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rsidRPr="003E07CC" w14:paraId="7A418695" w14:textId="77777777">
      <w:pPr>
        <w:jc w:val="center"/>
        <w:rPr>
          <w:b/>
          <w:szCs w:val="22"/>
        </w:rPr>
      </w:pPr>
      <w:r w:rsidRPr="003E07CC">
        <w:rPr>
          <w:b/>
          <w:kern w:val="0"/>
          <w:szCs w:val="22"/>
        </w:rPr>
        <w:t>Before</w:t>
      </w:r>
      <w:r w:rsidRPr="003E07CC">
        <w:rPr>
          <w:b/>
          <w:szCs w:val="22"/>
        </w:rPr>
        <w:t xml:space="preserve"> the</w:t>
      </w:r>
    </w:p>
    <w:p w:rsidR="00921803" w:rsidRPr="003E07CC" w:rsidP="00921803" w14:paraId="3ED4EA48" w14:textId="77777777">
      <w:pPr>
        <w:pStyle w:val="StyleBoldCentered"/>
        <w:rPr>
          <w:rFonts w:ascii="Times New Roman" w:hAnsi="Times New Roman"/>
        </w:rPr>
      </w:pPr>
      <w:r w:rsidRPr="003E07CC">
        <w:rPr>
          <w:rFonts w:ascii="Times New Roman" w:hAnsi="Times New Roman"/>
        </w:rPr>
        <w:t>F</w:t>
      </w:r>
      <w:r w:rsidRPr="003E07CC">
        <w:rPr>
          <w:rFonts w:ascii="Times New Roman" w:hAnsi="Times New Roman"/>
          <w:caps w:val="0"/>
        </w:rPr>
        <w:t>ederal Communications Commission</w:t>
      </w:r>
    </w:p>
    <w:p w:rsidR="004C2EE3" w:rsidRPr="003E07CC" w:rsidP="00096D8C" w14:paraId="092C9211" w14:textId="754A6DD8">
      <w:pPr>
        <w:pStyle w:val="StyleBoldCentered"/>
        <w:rPr>
          <w:rFonts w:ascii="Times New Roman" w:hAnsi="Times New Roman"/>
        </w:rPr>
      </w:pPr>
      <w:r w:rsidRPr="003E07CC">
        <w:rPr>
          <w:rFonts w:ascii="Times New Roman" w:hAnsi="Times New Roman"/>
          <w:caps w:val="0"/>
        </w:rPr>
        <w:t>Washington, DC 20554</w:t>
      </w:r>
    </w:p>
    <w:p w:rsidR="004C2EE3" w:rsidRPr="003E07CC" w:rsidP="0070224F" w14:paraId="0DEC5BB6" w14:textId="77777777">
      <w:pPr>
        <w:rPr>
          <w:szCs w:val="22"/>
        </w:rPr>
      </w:pPr>
    </w:p>
    <w:tbl>
      <w:tblPr>
        <w:tblW w:w="0" w:type="auto"/>
        <w:tblLayout w:type="fixed"/>
        <w:tblLook w:val="0000"/>
      </w:tblPr>
      <w:tblGrid>
        <w:gridCol w:w="4698"/>
        <w:gridCol w:w="630"/>
        <w:gridCol w:w="4248"/>
      </w:tblGrid>
      <w:tr w14:paraId="309D5A4E" w14:textId="77777777">
        <w:tblPrEx>
          <w:tblW w:w="0" w:type="auto"/>
          <w:tblLayout w:type="fixed"/>
          <w:tblLook w:val="0000"/>
        </w:tblPrEx>
        <w:tc>
          <w:tcPr>
            <w:tcW w:w="4698" w:type="dxa"/>
          </w:tcPr>
          <w:p w:rsidR="004C2EE3" w:rsidRPr="00EB0C4D" w14:paraId="3F871E2C" w14:textId="77777777">
            <w:pPr>
              <w:tabs>
                <w:tab w:val="center" w:pos="4680"/>
              </w:tabs>
              <w:suppressAutoHyphens/>
              <w:rPr>
                <w:spacing w:val="-2"/>
                <w:szCs w:val="22"/>
              </w:rPr>
            </w:pPr>
            <w:r w:rsidRPr="00EB0C4D">
              <w:rPr>
                <w:spacing w:val="-2"/>
                <w:szCs w:val="22"/>
              </w:rPr>
              <w:t>In the Matter of</w:t>
            </w:r>
          </w:p>
          <w:p w:rsidR="004C2EE3" w:rsidRPr="00EB0C4D" w14:paraId="3D9D5BA5" w14:textId="77777777">
            <w:pPr>
              <w:tabs>
                <w:tab w:val="center" w:pos="4680"/>
              </w:tabs>
              <w:suppressAutoHyphens/>
              <w:rPr>
                <w:spacing w:val="-2"/>
                <w:szCs w:val="22"/>
              </w:rPr>
            </w:pPr>
          </w:p>
          <w:p w:rsidR="00C029CE" w:rsidRPr="00EB0C4D" w:rsidP="007115F7" w14:paraId="0E6046E8" w14:textId="77777777">
            <w:pPr>
              <w:tabs>
                <w:tab w:val="center" w:pos="4680"/>
              </w:tabs>
              <w:suppressAutoHyphens/>
              <w:rPr>
                <w:szCs w:val="22"/>
              </w:rPr>
            </w:pPr>
            <w:bookmarkStart w:id="0" w:name="_Hlk71031821"/>
            <w:r w:rsidRPr="00EB0C4D">
              <w:rPr>
                <w:szCs w:val="22"/>
              </w:rPr>
              <w:t>Mobile Relay Associates</w:t>
            </w:r>
            <w:bookmarkEnd w:id="0"/>
            <w:r w:rsidRPr="00EB0C4D">
              <w:rPr>
                <w:szCs w:val="22"/>
              </w:rPr>
              <w:t>,</w:t>
            </w:r>
          </w:p>
          <w:p w:rsidR="004C2EE3" w:rsidRPr="00EB0C4D" w:rsidP="007115F7" w14:paraId="58D1A4BA" w14:textId="74BF72ED">
            <w:pPr>
              <w:tabs>
                <w:tab w:val="center" w:pos="4680"/>
              </w:tabs>
              <w:suppressAutoHyphens/>
              <w:rPr>
                <w:spacing w:val="-2"/>
                <w:szCs w:val="22"/>
              </w:rPr>
            </w:pPr>
            <w:r w:rsidRPr="00EB0C4D">
              <w:rPr>
                <w:szCs w:val="22"/>
              </w:rPr>
              <w:t>Licensee of Station WPPF234, Malibu, CA</w:t>
            </w:r>
            <w:r w:rsidRPr="00EB0C4D" w:rsidR="002D0E6B">
              <w:rPr>
                <w:szCs w:val="22"/>
              </w:rPr>
              <w:t xml:space="preserve"> </w:t>
            </w:r>
          </w:p>
        </w:tc>
        <w:tc>
          <w:tcPr>
            <w:tcW w:w="630" w:type="dxa"/>
          </w:tcPr>
          <w:p w:rsidR="004C2EE3" w:rsidRPr="00EB0C4D" w14:paraId="7DA960F6" w14:textId="77777777">
            <w:pPr>
              <w:tabs>
                <w:tab w:val="center" w:pos="4680"/>
              </w:tabs>
              <w:suppressAutoHyphens/>
              <w:rPr>
                <w:b/>
                <w:spacing w:val="-2"/>
                <w:szCs w:val="22"/>
              </w:rPr>
            </w:pPr>
            <w:r w:rsidRPr="00EB0C4D">
              <w:rPr>
                <w:b/>
                <w:spacing w:val="-2"/>
                <w:szCs w:val="22"/>
              </w:rPr>
              <w:t>)</w:t>
            </w:r>
          </w:p>
          <w:p w:rsidR="004C2EE3" w:rsidRPr="00EB0C4D" w14:paraId="65F9C50F" w14:textId="77777777">
            <w:pPr>
              <w:tabs>
                <w:tab w:val="center" w:pos="4680"/>
              </w:tabs>
              <w:suppressAutoHyphens/>
              <w:rPr>
                <w:b/>
                <w:spacing w:val="-2"/>
                <w:szCs w:val="22"/>
              </w:rPr>
            </w:pPr>
            <w:r w:rsidRPr="00EB0C4D">
              <w:rPr>
                <w:b/>
                <w:spacing w:val="-2"/>
                <w:szCs w:val="22"/>
              </w:rPr>
              <w:t>)</w:t>
            </w:r>
          </w:p>
          <w:p w:rsidR="004C2EE3" w:rsidRPr="00EB0C4D" w14:paraId="3A09CEDB" w14:textId="77777777">
            <w:pPr>
              <w:tabs>
                <w:tab w:val="center" w:pos="4680"/>
              </w:tabs>
              <w:suppressAutoHyphens/>
              <w:rPr>
                <w:b/>
                <w:spacing w:val="-2"/>
                <w:szCs w:val="22"/>
              </w:rPr>
            </w:pPr>
            <w:r w:rsidRPr="00EB0C4D">
              <w:rPr>
                <w:b/>
                <w:spacing w:val="-2"/>
                <w:szCs w:val="22"/>
              </w:rPr>
              <w:t>)</w:t>
            </w:r>
          </w:p>
          <w:p w:rsidR="004C2EE3" w:rsidRPr="00EB0C4D" w14:paraId="25516B72" w14:textId="77777777">
            <w:pPr>
              <w:tabs>
                <w:tab w:val="center" w:pos="4680"/>
              </w:tabs>
              <w:suppressAutoHyphens/>
              <w:rPr>
                <w:b/>
                <w:spacing w:val="-2"/>
                <w:szCs w:val="22"/>
              </w:rPr>
            </w:pPr>
            <w:r w:rsidRPr="00EB0C4D">
              <w:rPr>
                <w:b/>
                <w:spacing w:val="-2"/>
                <w:szCs w:val="22"/>
              </w:rPr>
              <w:t>)</w:t>
            </w:r>
          </w:p>
          <w:p w:rsidR="00871955" w:rsidRPr="00EB0C4D" w:rsidP="002D0E6B" w14:paraId="3F93BD9F" w14:textId="723DC04F">
            <w:pPr>
              <w:tabs>
                <w:tab w:val="center" w:pos="4680"/>
              </w:tabs>
              <w:suppressAutoHyphens/>
              <w:rPr>
                <w:spacing w:val="-2"/>
                <w:szCs w:val="22"/>
              </w:rPr>
            </w:pPr>
            <w:r w:rsidRPr="00EB0C4D">
              <w:rPr>
                <w:b/>
                <w:spacing w:val="-2"/>
                <w:szCs w:val="22"/>
              </w:rPr>
              <w:t>)</w:t>
            </w:r>
          </w:p>
        </w:tc>
        <w:tc>
          <w:tcPr>
            <w:tcW w:w="4248" w:type="dxa"/>
          </w:tcPr>
          <w:p w:rsidR="00871955" w:rsidRPr="00EB0C4D" w:rsidP="002D0E6B" w14:paraId="395C256A" w14:textId="77777777">
            <w:pPr>
              <w:widowControl/>
              <w:tabs>
                <w:tab w:val="center" w:pos="4680"/>
              </w:tabs>
              <w:suppressAutoHyphens/>
              <w:rPr>
                <w:szCs w:val="22"/>
              </w:rPr>
            </w:pPr>
          </w:p>
          <w:p w:rsidR="00871955" w:rsidRPr="00EB0C4D" w:rsidP="002D0E6B" w14:paraId="1F14307F" w14:textId="77777777">
            <w:pPr>
              <w:widowControl/>
              <w:tabs>
                <w:tab w:val="center" w:pos="4680"/>
              </w:tabs>
              <w:suppressAutoHyphens/>
              <w:rPr>
                <w:szCs w:val="22"/>
              </w:rPr>
            </w:pPr>
          </w:p>
          <w:p w:rsidR="002D0E6B" w:rsidRPr="00EB0C4D" w:rsidP="002D0E6B" w14:paraId="21DE41FF" w14:textId="38D53EF9">
            <w:pPr>
              <w:widowControl/>
              <w:tabs>
                <w:tab w:val="center" w:pos="4680"/>
              </w:tabs>
              <w:suppressAutoHyphens/>
              <w:rPr>
                <w:szCs w:val="22"/>
              </w:rPr>
            </w:pPr>
            <w:bookmarkStart w:id="1" w:name="_Hlk77070124"/>
            <w:r w:rsidRPr="00EB0C4D">
              <w:rPr>
                <w:szCs w:val="22"/>
              </w:rPr>
              <w:t>File No.:  EB-</w:t>
            </w:r>
            <w:r w:rsidRPr="00EB0C4D" w:rsidR="00CC6702">
              <w:rPr>
                <w:szCs w:val="22"/>
              </w:rPr>
              <w:t>FIELDWR-13-00006950</w:t>
            </w:r>
          </w:p>
          <w:bookmarkEnd w:id="1"/>
          <w:p w:rsidR="002D0E6B" w:rsidRPr="00EB0C4D" w:rsidP="002D0E6B" w14:paraId="3C987DDB" w14:textId="0D2A521D">
            <w:pPr>
              <w:widowControl/>
              <w:tabs>
                <w:tab w:val="center" w:pos="4680"/>
              </w:tabs>
              <w:suppressAutoHyphens/>
              <w:rPr>
                <w:szCs w:val="22"/>
              </w:rPr>
            </w:pPr>
            <w:r w:rsidRPr="00EB0C4D">
              <w:rPr>
                <w:szCs w:val="22"/>
              </w:rPr>
              <w:t xml:space="preserve">NAL/Acct. No.:  </w:t>
            </w:r>
            <w:r w:rsidRPr="00EB0C4D" w:rsidR="00CC6702">
              <w:rPr>
                <w:szCs w:val="22"/>
              </w:rPr>
              <w:t>201532900001</w:t>
            </w:r>
          </w:p>
          <w:p w:rsidR="004C2EE3" w:rsidRPr="00EB0C4D" w14:paraId="2D299DF4" w14:textId="320FE588">
            <w:pPr>
              <w:tabs>
                <w:tab w:val="center" w:pos="4680"/>
              </w:tabs>
              <w:suppressAutoHyphens/>
              <w:rPr>
                <w:snapToGrid/>
                <w:spacing w:val="-2"/>
                <w:szCs w:val="22"/>
              </w:rPr>
            </w:pPr>
            <w:r w:rsidRPr="00EB0C4D">
              <w:rPr>
                <w:szCs w:val="22"/>
              </w:rPr>
              <w:t xml:space="preserve">FRN:  </w:t>
            </w:r>
            <w:r w:rsidRPr="00EB0C4D" w:rsidR="00CC6702">
              <w:rPr>
                <w:szCs w:val="22"/>
              </w:rPr>
              <w:t>0001532027</w:t>
            </w:r>
          </w:p>
        </w:tc>
      </w:tr>
    </w:tbl>
    <w:p w:rsidR="004C2EE3" w:rsidRPr="003E07CC" w:rsidP="0070224F" w14:paraId="1F9E32D0" w14:textId="640F78DB">
      <w:pPr>
        <w:rPr>
          <w:szCs w:val="22"/>
        </w:rPr>
      </w:pPr>
    </w:p>
    <w:p w:rsidR="00841AB1" w:rsidRPr="003E07CC" w:rsidP="00F021FA" w14:paraId="13100C30" w14:textId="77777777">
      <w:pPr>
        <w:pStyle w:val="StyleBoldCentered"/>
        <w:rPr>
          <w:rFonts w:ascii="Times New Roman" w:hAnsi="Times New Roman"/>
        </w:rPr>
      </w:pPr>
      <w:r w:rsidRPr="003E07CC">
        <w:rPr>
          <w:rFonts w:ascii="Times New Roman" w:hAnsi="Times New Roman"/>
        </w:rPr>
        <w:t>MEMORANDUM OPINION AND ORDER</w:t>
      </w:r>
    </w:p>
    <w:p w:rsidR="004C2EE3" w:rsidRPr="003E07CC" w14:paraId="69B050DF" w14:textId="77777777">
      <w:pPr>
        <w:tabs>
          <w:tab w:val="left" w:pos="-720"/>
        </w:tabs>
        <w:suppressAutoHyphens/>
        <w:spacing w:line="227" w:lineRule="auto"/>
        <w:rPr>
          <w:spacing w:val="-2"/>
          <w:szCs w:val="22"/>
        </w:rPr>
      </w:pPr>
    </w:p>
    <w:p w:rsidR="004C2EE3" w:rsidRPr="003E07CC" w:rsidP="00133F79" w14:paraId="2C1B6723" w14:textId="45ED386F">
      <w:pPr>
        <w:tabs>
          <w:tab w:val="left" w:pos="720"/>
          <w:tab w:val="right" w:pos="9360"/>
        </w:tabs>
        <w:suppressAutoHyphens/>
        <w:spacing w:line="227" w:lineRule="auto"/>
        <w:rPr>
          <w:spacing w:val="-2"/>
          <w:szCs w:val="22"/>
        </w:rPr>
      </w:pPr>
      <w:r w:rsidRPr="003E07CC">
        <w:rPr>
          <w:b/>
          <w:spacing w:val="-2"/>
          <w:szCs w:val="22"/>
        </w:rPr>
        <w:t xml:space="preserve">Adopted:  </w:t>
      </w:r>
      <w:r w:rsidR="00573866">
        <w:rPr>
          <w:b/>
          <w:szCs w:val="22"/>
        </w:rPr>
        <w:t>July 13, 2021</w:t>
      </w:r>
      <w:r w:rsidRPr="003E07CC">
        <w:rPr>
          <w:b/>
          <w:spacing w:val="-2"/>
          <w:szCs w:val="22"/>
        </w:rPr>
        <w:tab/>
      </w:r>
      <w:r w:rsidRPr="003E07CC" w:rsidR="00822CE0">
        <w:rPr>
          <w:b/>
          <w:spacing w:val="-2"/>
          <w:szCs w:val="22"/>
        </w:rPr>
        <w:t>Released</w:t>
      </w:r>
      <w:r w:rsidRPr="003E07CC">
        <w:rPr>
          <w:b/>
          <w:spacing w:val="-2"/>
          <w:szCs w:val="22"/>
        </w:rPr>
        <w:t>:</w:t>
      </w:r>
      <w:r w:rsidRPr="003E07CC" w:rsidR="00822CE0">
        <w:rPr>
          <w:b/>
          <w:spacing w:val="-2"/>
          <w:szCs w:val="22"/>
        </w:rPr>
        <w:t xml:space="preserve"> </w:t>
      </w:r>
      <w:r w:rsidRPr="003E07CC">
        <w:rPr>
          <w:b/>
          <w:spacing w:val="-2"/>
          <w:szCs w:val="22"/>
        </w:rPr>
        <w:t xml:space="preserve"> </w:t>
      </w:r>
      <w:r w:rsidR="00573866">
        <w:rPr>
          <w:b/>
          <w:szCs w:val="22"/>
        </w:rPr>
        <w:t>July 14, 2021</w:t>
      </w:r>
    </w:p>
    <w:p w:rsidR="00822CE0" w:rsidRPr="003E07CC" w14:paraId="32506150" w14:textId="77777777">
      <w:pPr>
        <w:rPr>
          <w:szCs w:val="22"/>
        </w:rPr>
      </w:pPr>
    </w:p>
    <w:p w:rsidR="004C2EE3" w:rsidRPr="003E07CC" w14:paraId="50B20B5C" w14:textId="1FC63F02">
      <w:pPr>
        <w:rPr>
          <w:spacing w:val="-2"/>
          <w:szCs w:val="22"/>
        </w:rPr>
      </w:pPr>
      <w:r w:rsidRPr="003E07CC">
        <w:rPr>
          <w:szCs w:val="22"/>
        </w:rPr>
        <w:t xml:space="preserve">By </w:t>
      </w:r>
      <w:r w:rsidRPr="003E07CC" w:rsidR="004E4A22">
        <w:rPr>
          <w:szCs w:val="22"/>
        </w:rPr>
        <w:t>the</w:t>
      </w:r>
      <w:r w:rsidRPr="003E07CC" w:rsidR="002A2D2E">
        <w:rPr>
          <w:szCs w:val="22"/>
        </w:rPr>
        <w:t xml:space="preserve"> </w:t>
      </w:r>
      <w:r w:rsidRPr="003E07CC" w:rsidR="002D0E6B">
        <w:rPr>
          <w:szCs w:val="22"/>
        </w:rPr>
        <w:t>Commission</w:t>
      </w:r>
      <w:r w:rsidRPr="00136BBF">
        <w:rPr>
          <w:szCs w:val="22"/>
        </w:rPr>
        <w:t>:</w:t>
      </w:r>
      <w:r w:rsidRPr="00136BBF" w:rsidR="00136BBF">
        <w:rPr>
          <w:szCs w:val="22"/>
        </w:rPr>
        <w:t xml:space="preserve">  Acting Chairwoman </w:t>
      </w:r>
      <w:r w:rsidRPr="00136BBF" w:rsidR="00136BBF">
        <w:rPr>
          <w:szCs w:val="22"/>
        </w:rPr>
        <w:t>Rosenworcel</w:t>
      </w:r>
      <w:r w:rsidRPr="00136BBF" w:rsidR="00136BBF">
        <w:rPr>
          <w:szCs w:val="22"/>
        </w:rPr>
        <w:t xml:space="preserve"> issuing a statement.</w:t>
      </w:r>
    </w:p>
    <w:p w:rsidR="00350348" w:rsidRPr="003E07CC" w14:paraId="596AA555" w14:textId="77777777">
      <w:pPr>
        <w:rPr>
          <w:spacing w:val="-2"/>
          <w:szCs w:val="22"/>
        </w:rPr>
      </w:pPr>
    </w:p>
    <w:p w:rsidR="000C401B" w:rsidP="000C401B" w14:paraId="7FD1D7D1" w14:textId="1A8B673E">
      <w:pPr>
        <w:pStyle w:val="Heading1"/>
      </w:pPr>
      <w:r>
        <w:t>Introduction</w:t>
      </w:r>
    </w:p>
    <w:p w:rsidR="000E08C2" w:rsidP="000E08C2" w14:paraId="71047D27" w14:textId="52267AD6">
      <w:pPr>
        <w:pStyle w:val="ParaNum"/>
      </w:pPr>
      <w:r>
        <w:t>Mobile Relay Associates (Mobile Relay) filed</w:t>
      </w:r>
      <w:r>
        <w:t xml:space="preserve"> an Application for Review (Application)</w:t>
      </w:r>
      <w:r>
        <w:rPr>
          <w:rStyle w:val="FootnoteReference"/>
        </w:rPr>
        <w:footnoteReference w:id="3"/>
      </w:r>
      <w:r>
        <w:t xml:space="preserve"> of </w:t>
      </w:r>
      <w:r w:rsidR="0040162C">
        <w:t>a</w:t>
      </w:r>
      <w:r w:rsidR="00B52E53">
        <w:t>n Enforcement Bureau</w:t>
      </w:r>
      <w:r>
        <w:t xml:space="preserve"> </w:t>
      </w:r>
      <w:r>
        <w:rPr>
          <w:i/>
          <w:iCs/>
        </w:rPr>
        <w:t>Memorandum Opinion and Order</w:t>
      </w:r>
      <w:r w:rsidR="00234A8E">
        <w:rPr>
          <w:i/>
          <w:iCs/>
        </w:rPr>
        <w:t xml:space="preserve"> </w:t>
      </w:r>
      <w:r w:rsidR="00234A8E">
        <w:t>(</w:t>
      </w:r>
      <w:r w:rsidR="00477509">
        <w:rPr>
          <w:i/>
          <w:iCs/>
        </w:rPr>
        <w:t>MO&amp;O</w:t>
      </w:r>
      <w:r w:rsidR="00234A8E">
        <w:t xml:space="preserve">) </w:t>
      </w:r>
      <w:r w:rsidR="00B52E53">
        <w:t>that denied</w:t>
      </w:r>
      <w:r w:rsidR="00234A8E">
        <w:t xml:space="preserve"> Mobile Relay’s petition for reconsideration</w:t>
      </w:r>
      <w:r w:rsidR="0040162C">
        <w:t xml:space="preserve"> of a </w:t>
      </w:r>
      <w:r w:rsidR="0040162C">
        <w:rPr>
          <w:i/>
        </w:rPr>
        <w:t>Forfeiture Order</w:t>
      </w:r>
      <w:r w:rsidR="0040162C">
        <w:rPr>
          <w:iCs/>
        </w:rPr>
        <w:t xml:space="preserve"> imposing a $25,000 </w:t>
      </w:r>
      <w:r w:rsidR="009D5BE8">
        <w:rPr>
          <w:iCs/>
        </w:rPr>
        <w:t>fine</w:t>
      </w:r>
      <w:r w:rsidR="00234A8E">
        <w:t>.</w:t>
      </w:r>
      <w:r>
        <w:rPr>
          <w:rStyle w:val="FootnoteReference"/>
        </w:rPr>
        <w:footnoteReference w:id="4"/>
      </w:r>
      <w:r w:rsidR="00234A8E">
        <w:t xml:space="preserve">  In the </w:t>
      </w:r>
      <w:r w:rsidR="005B2D29">
        <w:rPr>
          <w:i/>
          <w:iCs/>
        </w:rPr>
        <w:t>MO&amp;O</w:t>
      </w:r>
      <w:r w:rsidR="00234A8E">
        <w:t xml:space="preserve">, the </w:t>
      </w:r>
      <w:r w:rsidR="0001341D">
        <w:t xml:space="preserve">Bureau affirmed a </w:t>
      </w:r>
      <w:r w:rsidR="009D5BE8">
        <w:t xml:space="preserve">monetary </w:t>
      </w:r>
      <w:r w:rsidR="0001341D">
        <w:t xml:space="preserve">forfeiture </w:t>
      </w:r>
      <w:r w:rsidR="002702B1">
        <w:t xml:space="preserve">against Mobile Relay for </w:t>
      </w:r>
      <w:r w:rsidR="001E6679">
        <w:t xml:space="preserve">failing to monitor and to take other precautions to avoid causing harmful interference to </w:t>
      </w:r>
      <w:r w:rsidR="009D5BE8">
        <w:t xml:space="preserve">a co-channel licensee </w:t>
      </w:r>
      <w:r w:rsidR="000F6D4F">
        <w:t xml:space="preserve">operating </w:t>
      </w:r>
      <w:r w:rsidR="009D5BE8">
        <w:t xml:space="preserve">on a shared </w:t>
      </w:r>
      <w:r w:rsidR="00FC6C5E">
        <w:t>channel</w:t>
      </w:r>
      <w:r w:rsidR="00B52E53">
        <w:t>, as required by the Commission’s private land mobile radio service rules</w:t>
      </w:r>
      <w:r w:rsidR="00FC6C5E">
        <w:t>.</w:t>
      </w:r>
      <w:r>
        <w:rPr>
          <w:rStyle w:val="FootnoteReference"/>
        </w:rPr>
        <w:footnoteReference w:id="5"/>
      </w:r>
      <w:r w:rsidR="001E6679">
        <w:t xml:space="preserve">  </w:t>
      </w:r>
      <w:r w:rsidR="00CF4FB0">
        <w:t xml:space="preserve">We have considered the Application and, for the reasons </w:t>
      </w:r>
      <w:r w:rsidR="00DB533A">
        <w:t xml:space="preserve">discussed below, we </w:t>
      </w:r>
      <w:r w:rsidR="001A3DD4">
        <w:t>deny</w:t>
      </w:r>
      <w:r w:rsidR="001E17E6">
        <w:t xml:space="preserve"> </w:t>
      </w:r>
      <w:r w:rsidR="00B47F75">
        <w:t>it</w:t>
      </w:r>
      <w:r w:rsidR="001E17E6">
        <w:t xml:space="preserve">.  </w:t>
      </w:r>
    </w:p>
    <w:p w:rsidR="001E17E6" w:rsidP="001E17E6" w14:paraId="16D2C649" w14:textId="233A018B">
      <w:pPr>
        <w:pStyle w:val="Heading1"/>
      </w:pPr>
      <w:r>
        <w:t>Background</w:t>
      </w:r>
    </w:p>
    <w:p w:rsidR="00EA3098" w:rsidP="00EA3098" w14:paraId="57F51C5A" w14:textId="65319294">
      <w:pPr>
        <w:pStyle w:val="ParaNum"/>
      </w:pPr>
      <w:r w:rsidRPr="000A583D">
        <w:rPr>
          <w:i/>
          <w:iCs/>
        </w:rPr>
        <w:t>Legal Framework</w:t>
      </w:r>
      <w:r>
        <w:t xml:space="preserve">.  </w:t>
      </w:r>
      <w:r w:rsidR="00E30998">
        <w:t>The Communications Act of 1934, as amended (Act),</w:t>
      </w:r>
      <w:r>
        <w:rPr>
          <w:rStyle w:val="FootnoteReference"/>
        </w:rPr>
        <w:footnoteReference w:id="6"/>
      </w:r>
      <w:r w:rsidR="00E30998">
        <w:t xml:space="preserve"> and the Commission’s rules permit parties to actions taken on delegated authority to seek review by the full Commission.  </w:t>
      </w:r>
      <w:r w:rsidR="00E01EFA">
        <w:t xml:space="preserve">Specifically, </w:t>
      </w:r>
      <w:r w:rsidRPr="00FA45E4" w:rsidR="00E01EFA">
        <w:t>section 5(c)(4)</w:t>
      </w:r>
      <w:r w:rsidR="00E01EFA">
        <w:t xml:space="preserve"> of the Act </w:t>
      </w:r>
      <w:r w:rsidR="008868DA">
        <w:t xml:space="preserve">states that </w:t>
      </w:r>
      <w:r w:rsidR="00106D5B">
        <w:t xml:space="preserve">a party “aggrieved by [an action taken on delegated authority] </w:t>
      </w:r>
      <w:r w:rsidR="00180163">
        <w:t>may file an application for review by the Commission . . . and every such action shall be passed upon by the Commission.”</w:t>
      </w:r>
      <w:r>
        <w:rPr>
          <w:rStyle w:val="FootnoteReference"/>
        </w:rPr>
        <w:footnoteReference w:id="7"/>
      </w:r>
      <w:r w:rsidR="00180163">
        <w:t xml:space="preserve">  Section 1.115 of the Commission’s rules </w:t>
      </w:r>
      <w:r w:rsidR="009B7CFF">
        <w:t>establishes the procedur</w:t>
      </w:r>
      <w:r w:rsidR="00FC6C5E">
        <w:t>al rules for filing</w:t>
      </w:r>
      <w:r w:rsidR="009B7CFF">
        <w:t xml:space="preserve"> </w:t>
      </w:r>
      <w:r w:rsidR="00522333">
        <w:t>applications for review.</w:t>
      </w:r>
      <w:r>
        <w:rPr>
          <w:rStyle w:val="FootnoteReference"/>
        </w:rPr>
        <w:footnoteReference w:id="8"/>
      </w:r>
      <w:r w:rsidR="00522333">
        <w:t xml:space="preserve"> </w:t>
      </w:r>
    </w:p>
    <w:p w:rsidR="00EA3098" w:rsidRPr="00EA3098" w:rsidP="00EA3098" w14:paraId="3FD140F2" w14:textId="2D42BD3D">
      <w:pPr>
        <w:pStyle w:val="ParaNum"/>
      </w:pPr>
      <w:r>
        <w:t xml:space="preserve">The relevant private land mobile radio service rules are found in part 90 of </w:t>
      </w:r>
      <w:r w:rsidR="00883150">
        <w:t xml:space="preserve">the Commission’s </w:t>
      </w:r>
      <w:r>
        <w:t>rules.  Unless specified otherwise, frequencies assigned to private land mobile radio stations are available on a shared basis.</w:t>
      </w:r>
      <w:r>
        <w:rPr>
          <w:rStyle w:val="FootnoteReference"/>
        </w:rPr>
        <w:footnoteReference w:id="9"/>
      </w:r>
      <w:r>
        <w:t xml:space="preserve"> </w:t>
      </w:r>
      <w:r w:rsidR="00D8232C">
        <w:t xml:space="preserve"> </w:t>
      </w:r>
      <w:r w:rsidRPr="00611187" w:rsidR="00ED49B5">
        <w:rPr>
          <w:szCs w:val="22"/>
        </w:rPr>
        <w:t>Section 90.403(c)</w:t>
      </w:r>
      <w:r w:rsidR="00ED49B5">
        <w:rPr>
          <w:szCs w:val="22"/>
        </w:rPr>
        <w:t xml:space="preserve"> of the Commission’s rules</w:t>
      </w:r>
      <w:r w:rsidRPr="00611187" w:rsidR="00ED49B5">
        <w:rPr>
          <w:szCs w:val="22"/>
        </w:rPr>
        <w:t xml:space="preserve"> requires that “</w:t>
      </w:r>
      <w:r w:rsidRPr="00611187" w:rsidR="00ED49B5">
        <w:rPr>
          <w:color w:val="000000"/>
          <w:szCs w:val="22"/>
          <w:shd w:val="clear" w:color="auto" w:fill="FFFFFF"/>
        </w:rPr>
        <w:t>[e]</w:t>
      </w:r>
      <w:r w:rsidRPr="00611187" w:rsidR="00ED49B5">
        <w:rPr>
          <w:color w:val="000000"/>
          <w:szCs w:val="22"/>
          <w:shd w:val="clear" w:color="auto" w:fill="FFFFFF"/>
        </w:rPr>
        <w:t>xcept</w:t>
      </w:r>
      <w:r w:rsidRPr="00611187" w:rsidR="00ED49B5">
        <w:rPr>
          <w:color w:val="000000"/>
          <w:szCs w:val="22"/>
          <w:shd w:val="clear" w:color="auto" w:fill="FFFFFF"/>
        </w:rPr>
        <w:t xml:space="preserve"> for stations that have been granted exclusive channels under this part and that are classified as commercial mobile radio service providers pursuant to part 20 of this chapter, each licensee must restrict all transmissions to the minimum practical transmission time and must employ an efficient operating </w:t>
      </w:r>
      <w:r w:rsidRPr="00611187" w:rsidR="00ED49B5">
        <w:rPr>
          <w:color w:val="000000"/>
          <w:szCs w:val="22"/>
          <w:shd w:val="clear" w:color="auto" w:fill="FFFFFF"/>
        </w:rPr>
        <w:t>procedure designed to maximize the utilization of the spectrum.”</w:t>
      </w:r>
      <w:r>
        <w:rPr>
          <w:rStyle w:val="FootnoteReference"/>
          <w:szCs w:val="22"/>
          <w:shd w:val="clear" w:color="auto" w:fill="FFFFFF"/>
        </w:rPr>
        <w:footnoteReference w:id="10"/>
      </w:r>
      <w:r w:rsidR="00ED49B5">
        <w:rPr>
          <w:color w:val="000000"/>
          <w:szCs w:val="22"/>
          <w:shd w:val="clear" w:color="auto" w:fill="FFFFFF"/>
        </w:rPr>
        <w:t xml:space="preserve">  </w:t>
      </w:r>
      <w:r w:rsidR="00F30E99">
        <w:t>Section 90.403(e) requires licensees to “take reasonable precautions to avoid causing harmful interference[, which] includes monitoring the transmitting frequency for communications in progress and such other measures as may be necessary to minimize the potential for causing interference.</w:t>
      </w:r>
      <w:r w:rsidR="00895996">
        <w:t>”</w:t>
      </w:r>
      <w:r>
        <w:rPr>
          <w:rStyle w:val="FootnoteReference"/>
        </w:rPr>
        <w:footnoteReference w:id="11"/>
      </w:r>
      <w:r w:rsidR="00895996">
        <w:t xml:space="preserve">  </w:t>
      </w:r>
      <w:r w:rsidRPr="00EA3098">
        <w:t xml:space="preserve">Section 90.187(b) of </w:t>
      </w:r>
      <w:r w:rsidR="00F968EB">
        <w:t xml:space="preserve">the Commission’s </w:t>
      </w:r>
      <w:r w:rsidR="000A4208">
        <w:t>r</w:t>
      </w:r>
      <w:r w:rsidRPr="00EA3098">
        <w:t>ules</w:t>
      </w:r>
      <w:r w:rsidR="00F82E60">
        <w:t xml:space="preserve"> requires that trunked systems (such as </w:t>
      </w:r>
      <w:r w:rsidR="00D14BB9">
        <w:t>the Station) “</w:t>
      </w:r>
      <w:r w:rsidRPr="00EA3098">
        <w:t xml:space="preserve">must employ equipment that prevents transmission on a trunked frequency if a signal from another system is present on that frequency. </w:t>
      </w:r>
      <w:r w:rsidR="00D14BB9">
        <w:t xml:space="preserve"> </w:t>
      </w:r>
      <w:r w:rsidRPr="00EA3098">
        <w:t>The level of monitoring must be sufficient to avoid harmful interference to other systems.”</w:t>
      </w:r>
      <w:r>
        <w:rPr>
          <w:rStyle w:val="FootnoteReference"/>
        </w:rPr>
        <w:footnoteReference w:id="12"/>
      </w:r>
      <w:r w:rsidRPr="00EA3098">
        <w:t xml:space="preserve"> </w:t>
      </w:r>
    </w:p>
    <w:p w:rsidR="0054498A" w:rsidP="0054498A" w14:paraId="3921EE5F" w14:textId="36422A6B">
      <w:pPr>
        <w:pStyle w:val="ParaNum"/>
      </w:pPr>
      <w:r w:rsidRPr="00EA3098">
        <w:rPr>
          <w:i/>
          <w:iCs/>
        </w:rPr>
        <w:t>Factual Background</w:t>
      </w:r>
      <w:r>
        <w:t xml:space="preserve">. </w:t>
      </w:r>
      <w:r w:rsidR="001050ED">
        <w:t xml:space="preserve"> </w:t>
      </w:r>
      <w:r w:rsidR="00B82F0A">
        <w:t>Mobile Relay is the licensee of multiple private land mobile radio service stations in the Los Angeles area, including</w:t>
      </w:r>
      <w:r w:rsidR="00B04F01">
        <w:t xml:space="preserve"> station WPPF234, Malibu, California</w:t>
      </w:r>
      <w:r w:rsidR="00510CA0">
        <w:t xml:space="preserve"> (Station)</w:t>
      </w:r>
      <w:r w:rsidR="00B04F01">
        <w:t>.</w:t>
      </w:r>
      <w:r>
        <w:rPr>
          <w:rStyle w:val="FootnoteReference"/>
        </w:rPr>
        <w:footnoteReference w:id="13"/>
      </w:r>
      <w:r w:rsidR="00B04F01">
        <w:t xml:space="preserve">  Under</w:t>
      </w:r>
      <w:r w:rsidR="00706262">
        <w:t xml:space="preserve"> its license, Mobile Relay is required to operate </w:t>
      </w:r>
      <w:r w:rsidR="005F03D6">
        <w:t>the Station</w:t>
      </w:r>
      <w:r w:rsidR="00706262">
        <w:t xml:space="preserve"> as a trunked Industrial/Business Pool station and is authorized to operate on two of the Station’s assigned frequencies—151.7825 MHz and 152.2925 MHz—on a shared basis with other </w:t>
      </w:r>
      <w:r w:rsidR="007517A6">
        <w:t xml:space="preserve">co-channel licensees </w:t>
      </w:r>
      <w:r w:rsidR="00ED22A3">
        <w:t>in</w:t>
      </w:r>
      <w:r w:rsidR="007517A6">
        <w:t xml:space="preserve"> the area.</w:t>
      </w:r>
      <w:r>
        <w:rPr>
          <w:rStyle w:val="FootnoteReference"/>
        </w:rPr>
        <w:footnoteReference w:id="14"/>
      </w:r>
      <w:r w:rsidR="007517A6">
        <w:t xml:space="preserve">  </w:t>
      </w:r>
      <w:r w:rsidR="003B63C6">
        <w:t xml:space="preserve">After receiving complaints </w:t>
      </w:r>
      <w:r w:rsidR="00510CA0">
        <w:t>from two licensees—Knotts Berry Farm and Eden</w:t>
      </w:r>
      <w:r w:rsidR="004C7627">
        <w:t xml:space="preserve"> Memorial Park</w:t>
      </w:r>
      <w:r w:rsidR="009764C9">
        <w:t xml:space="preserve"> (Eden)</w:t>
      </w:r>
      <w:r w:rsidR="00510CA0">
        <w:t xml:space="preserve">—that </w:t>
      </w:r>
      <w:r w:rsidR="003B63C6">
        <w:t xml:space="preserve">the Station was causing interference on shared frequencies, the Bureau issued a Notice of Violation to Mobile Relay </w:t>
      </w:r>
      <w:r w:rsidR="006E2FC3">
        <w:t xml:space="preserve">for multiple rule violations, including the failure to (a) restrict the Station’s transmission to the minimum practical </w:t>
      </w:r>
      <w:r w:rsidR="002762AF">
        <w:t>duration</w:t>
      </w:r>
      <w:r w:rsidR="006E2FC3">
        <w:t>,</w:t>
      </w:r>
      <w:r w:rsidR="002762AF">
        <w:t xml:space="preserve"> (b) monitor the transmitting frequencies of other licensees, and (c) take reasonable precautions to avoid causing harmful interference.</w:t>
      </w:r>
      <w:r>
        <w:rPr>
          <w:rStyle w:val="FootnoteReference"/>
        </w:rPr>
        <w:footnoteReference w:id="15"/>
      </w:r>
      <w:r w:rsidR="006E2FC3">
        <w:t xml:space="preserve"> </w:t>
      </w:r>
      <w:r w:rsidR="003B63C6">
        <w:t xml:space="preserve"> </w:t>
      </w:r>
      <w:r>
        <w:t>In response to the NOV, Mobile Relay asserted that its near-continuous use of the shared channel did not violate the Commission’s rules but that it had unilaterally reduced the Station’s operating power in an attempt to mitigate the interference.</w:t>
      </w:r>
      <w:r>
        <w:rPr>
          <w:rStyle w:val="FootnoteReference"/>
        </w:rPr>
        <w:footnoteReference w:id="16"/>
      </w:r>
    </w:p>
    <w:p w:rsidR="00606BE4" w:rsidP="00117D8A" w14:paraId="2BFB5DC6" w14:textId="503F5D7E">
      <w:pPr>
        <w:pStyle w:val="ParaNum"/>
        <w:widowControl/>
      </w:pPr>
      <w:r>
        <w:t xml:space="preserve">In June 2015, the Bureau determined that the Station was still causing harmful interference to </w:t>
      </w:r>
      <w:r w:rsidR="009764C9">
        <w:t>Eden</w:t>
      </w:r>
      <w:r w:rsidR="008C0531">
        <w:t>.</w:t>
      </w:r>
      <w:r>
        <w:rPr>
          <w:rStyle w:val="FootnoteReference"/>
        </w:rPr>
        <w:footnoteReference w:id="17"/>
      </w:r>
      <w:r w:rsidR="008C0531">
        <w:t xml:space="preserve">  The Bureau determined that the Station’s </w:t>
      </w:r>
      <w:r w:rsidR="00974855">
        <w:t xml:space="preserve">high occupancy rate (i.e., </w:t>
      </w:r>
      <w:r w:rsidR="0071039E">
        <w:t xml:space="preserve">its </w:t>
      </w:r>
      <w:r w:rsidR="008C0531">
        <w:t xml:space="preserve">95% </w:t>
      </w:r>
      <w:r w:rsidR="004E53C4">
        <w:t>duty</w:t>
      </w:r>
      <w:r w:rsidR="00A41335">
        <w:t xml:space="preserve"> cycle</w:t>
      </w:r>
      <w:r w:rsidR="0071039E">
        <w:t>)</w:t>
      </w:r>
      <w:r w:rsidR="008C0531">
        <w:t xml:space="preserve"> effectively precluded the</w:t>
      </w:r>
      <w:r w:rsidR="009764C9">
        <w:t xml:space="preserve"> Eden </w:t>
      </w:r>
      <w:r w:rsidR="004A7F17">
        <w:t xml:space="preserve">from using 152.2925 MHz, the frequency it shared with </w:t>
      </w:r>
      <w:r w:rsidR="00CE50C9">
        <w:t>the Station.</w:t>
      </w:r>
      <w:r>
        <w:rPr>
          <w:rStyle w:val="FootnoteReference"/>
        </w:rPr>
        <w:footnoteReference w:id="18"/>
      </w:r>
      <w:r w:rsidR="00CE50C9">
        <w:t xml:space="preserve">  Accordingly, the Bureau issued </w:t>
      </w:r>
      <w:r w:rsidR="00B9280F">
        <w:t xml:space="preserve">the </w:t>
      </w:r>
      <w:r w:rsidR="00B9280F">
        <w:rPr>
          <w:i/>
          <w:iCs/>
        </w:rPr>
        <w:t xml:space="preserve">NAL </w:t>
      </w:r>
      <w:r w:rsidR="00CE50C9">
        <w:t xml:space="preserve">proposing a $25,000 fine against Mobile Relay </w:t>
      </w:r>
      <w:r w:rsidR="00631CF9">
        <w:t>for apparent willful and repeated violations of sections 90.187(b) and 90.403(e)</w:t>
      </w:r>
      <w:r w:rsidR="00816E34">
        <w:t xml:space="preserve"> of </w:t>
      </w:r>
      <w:r w:rsidR="000B1C1E">
        <w:t>the Commission’s</w:t>
      </w:r>
      <w:r w:rsidR="00816E34">
        <w:t xml:space="preserve"> rules </w:t>
      </w:r>
      <w:r w:rsidR="002D0A53">
        <w:t xml:space="preserve">based on its near-continuous operation of the Station </w:t>
      </w:r>
      <w:r w:rsidR="00D3185A">
        <w:t xml:space="preserve">on a shared channel without employing monitoring equipment to prevent </w:t>
      </w:r>
      <w:r w:rsidR="004240E0">
        <w:t>harmful interference to co-channel licensees.</w:t>
      </w:r>
      <w:r>
        <w:rPr>
          <w:rStyle w:val="FootnoteReference"/>
        </w:rPr>
        <w:footnoteReference w:id="19"/>
      </w:r>
      <w:r w:rsidR="004240E0">
        <w:t xml:space="preserve">  </w:t>
      </w:r>
      <w:r w:rsidR="00F86937">
        <w:t>Given that two years passed since the issuance of the NOV for the same violations, t</w:t>
      </w:r>
      <w:r w:rsidR="00D14BB9">
        <w:t>he Bureau applied an upward adjustment</w:t>
      </w:r>
      <w:r w:rsidR="0073583E">
        <w:t xml:space="preserve"> for </w:t>
      </w:r>
      <w:r w:rsidR="00F86937">
        <w:t xml:space="preserve">Mobile Relay’s </w:t>
      </w:r>
      <w:r w:rsidR="0073583E">
        <w:t>egregious conduct and proposed an aggregate forfeiture of $25,000.</w:t>
      </w:r>
      <w:r>
        <w:rPr>
          <w:rStyle w:val="FootnoteReference"/>
        </w:rPr>
        <w:footnoteReference w:id="20"/>
      </w:r>
      <w:r w:rsidR="00D14BB9">
        <w:t xml:space="preserve"> </w:t>
      </w:r>
      <w:r w:rsidR="00217BE2">
        <w:t xml:space="preserve"> </w:t>
      </w:r>
      <w:r w:rsidR="00A96984">
        <w:t>T</w:t>
      </w:r>
      <w:r w:rsidR="004240E0">
        <w:t>he Bureau</w:t>
      </w:r>
      <w:r w:rsidR="00A54506">
        <w:t xml:space="preserve"> </w:t>
      </w:r>
      <w:r w:rsidR="00A96984">
        <w:t>subsequently</w:t>
      </w:r>
      <w:r w:rsidR="00A54506">
        <w:t xml:space="preserve"> </w:t>
      </w:r>
      <w:r w:rsidR="00A54506">
        <w:t>imposed the full $25,000 fine</w:t>
      </w:r>
      <w:r w:rsidR="00A96984">
        <w:t xml:space="preserve"> after considering and rejecting Mobile Relay’s arguments in response to the </w:t>
      </w:r>
      <w:r w:rsidRPr="004837C4" w:rsidR="004837C4">
        <w:rPr>
          <w:i/>
          <w:iCs/>
        </w:rPr>
        <w:t>NAL</w:t>
      </w:r>
      <w:r w:rsidR="00A96984">
        <w:t>.</w:t>
      </w:r>
      <w:r>
        <w:rPr>
          <w:rStyle w:val="FootnoteReference"/>
        </w:rPr>
        <w:footnoteReference w:id="21"/>
      </w:r>
      <w:r w:rsidR="00A96984">
        <w:t xml:space="preserve">  </w:t>
      </w:r>
    </w:p>
    <w:p w:rsidR="00F03E31" w:rsidP="00117D8A" w14:paraId="5CC0E996" w14:textId="517EB5DE">
      <w:pPr>
        <w:pStyle w:val="ParaNum"/>
        <w:widowControl/>
      </w:pPr>
      <w:r>
        <w:t xml:space="preserve">In </w:t>
      </w:r>
      <w:r w:rsidR="00A95F88">
        <w:t>January</w:t>
      </w:r>
      <w:r>
        <w:t xml:space="preserve"> 201</w:t>
      </w:r>
      <w:r w:rsidR="00A95F88">
        <w:t>6</w:t>
      </w:r>
      <w:r>
        <w:t xml:space="preserve">, Mobile Relay sought reconsideration of the Bureau’s </w:t>
      </w:r>
      <w:r w:rsidRPr="00F03E31">
        <w:rPr>
          <w:i/>
          <w:iCs/>
        </w:rPr>
        <w:t>Forfeiture Order</w:t>
      </w:r>
      <w:r w:rsidR="00F22BFA">
        <w:t>.</w:t>
      </w:r>
      <w:r>
        <w:rPr>
          <w:rStyle w:val="FootnoteReference"/>
        </w:rPr>
        <w:footnoteReference w:id="22"/>
      </w:r>
      <w:r>
        <w:t xml:space="preserve"> </w:t>
      </w:r>
      <w:r w:rsidR="00941CFC">
        <w:t xml:space="preserve"> In its Petition, Mobile Relay </w:t>
      </w:r>
      <w:r w:rsidR="00CE07A6">
        <w:t xml:space="preserve">made three arguments against the </w:t>
      </w:r>
      <w:r w:rsidRPr="000E5336" w:rsidR="00CE07A6">
        <w:rPr>
          <w:i/>
          <w:iCs/>
        </w:rPr>
        <w:t>Forfeiture Order</w:t>
      </w:r>
      <w:r w:rsidR="003F7E30">
        <w:t xml:space="preserve">: </w:t>
      </w:r>
      <w:r w:rsidR="00F314C2">
        <w:t xml:space="preserve">(a) </w:t>
      </w:r>
      <w:r w:rsidR="003F7E30">
        <w:t xml:space="preserve">that </w:t>
      </w:r>
      <w:r w:rsidR="00AC0A41">
        <w:t xml:space="preserve">the Bureau failed to provide sufficient notice that its 95% occupancy rate of the shared channel violated </w:t>
      </w:r>
      <w:r w:rsidR="00237F3A">
        <w:t xml:space="preserve">the Commission’s </w:t>
      </w:r>
      <w:r w:rsidR="00AC0A41">
        <w:t>part 90 rules</w:t>
      </w:r>
      <w:r w:rsidR="003F7E30">
        <w:t xml:space="preserve">; </w:t>
      </w:r>
      <w:r w:rsidR="00F314C2">
        <w:t xml:space="preserve">(b) </w:t>
      </w:r>
      <w:r w:rsidR="003F7E30">
        <w:t xml:space="preserve">that </w:t>
      </w:r>
      <w:r w:rsidR="008F487A">
        <w:t>the Bureau abused its prosecutorial discretion by treating Mobile Relay differently from similarly situated licensees</w:t>
      </w:r>
      <w:r w:rsidR="00F314C2">
        <w:t xml:space="preserve">; and (c) </w:t>
      </w:r>
      <w:r w:rsidR="005D4239">
        <w:t xml:space="preserve">that the Bureau was “punishing” Mobile Relay because of </w:t>
      </w:r>
      <w:r w:rsidR="0015249B">
        <w:t>complaints that it filed against other private land mobile radio licensees.</w:t>
      </w:r>
      <w:r>
        <w:rPr>
          <w:rStyle w:val="FootnoteReference"/>
        </w:rPr>
        <w:footnoteReference w:id="23"/>
      </w:r>
      <w:r>
        <w:t xml:space="preserve">  After considering the Petition, in August 2020, the Bureau rejected Mobile Relay’s arguments, denied the Petition and affirmed the $25,000 forfeiture.</w:t>
      </w:r>
      <w:r>
        <w:rPr>
          <w:rStyle w:val="FootnoteReference"/>
        </w:rPr>
        <w:footnoteReference w:id="24"/>
      </w:r>
      <w:r>
        <w:t xml:space="preserve">  </w:t>
      </w:r>
    </w:p>
    <w:p w:rsidR="00D116BE" w:rsidP="00CE1B30" w14:paraId="68099053" w14:textId="392F4E47">
      <w:pPr>
        <w:pStyle w:val="ParaNum"/>
        <w:widowControl/>
      </w:pPr>
      <w:r>
        <w:t xml:space="preserve">On September 2, 2020, Mobile Relay </w:t>
      </w:r>
      <w:r w:rsidR="0066473B">
        <w:t xml:space="preserve">filed the Application seeking our review of the </w:t>
      </w:r>
      <w:r w:rsidRPr="004D3C37" w:rsidR="0066473B">
        <w:rPr>
          <w:i/>
          <w:iCs/>
        </w:rPr>
        <w:t>MO&amp;O</w:t>
      </w:r>
      <w:r w:rsidR="0066473B">
        <w:t xml:space="preserve">.  In the Application, Mobile Relay advances two </w:t>
      </w:r>
      <w:r w:rsidR="00BF1CD7">
        <w:t xml:space="preserve">core </w:t>
      </w:r>
      <w:r w:rsidR="0066473B">
        <w:t>arguments</w:t>
      </w:r>
      <w:r w:rsidR="002928AB">
        <w:t xml:space="preserve">.  </w:t>
      </w:r>
      <w:r w:rsidRPr="00534354" w:rsidR="002928AB">
        <w:rPr>
          <w:i/>
          <w:iCs/>
        </w:rPr>
        <w:t>First</w:t>
      </w:r>
      <w:r w:rsidR="002928AB">
        <w:t xml:space="preserve">, Mobile Relay renews its argument that it lacked </w:t>
      </w:r>
      <w:r w:rsidR="00795EF3">
        <w:t>notice that it was violating the Commission’s rules</w:t>
      </w:r>
      <w:r w:rsidR="00534354">
        <w:t xml:space="preserve">.  </w:t>
      </w:r>
      <w:r w:rsidR="00484CE8">
        <w:t xml:space="preserve">In this iteration of the argument, the Application </w:t>
      </w:r>
      <w:r w:rsidR="006C2E31">
        <w:t>asserts that the Bureau denied Mobile Relay due process because</w:t>
      </w:r>
      <w:r w:rsidR="00484CE8">
        <w:t xml:space="preserve">, despite the company’s request, the Bureau did not notify </w:t>
      </w:r>
      <w:r w:rsidR="001E6982">
        <w:t xml:space="preserve">the company that its unilateral mitigation efforts were insufficient </w:t>
      </w:r>
      <w:r w:rsidR="00E939F3">
        <w:t xml:space="preserve">before issuing the </w:t>
      </w:r>
      <w:r w:rsidR="00E939F3">
        <w:rPr>
          <w:i/>
          <w:iCs/>
        </w:rPr>
        <w:t>NAL</w:t>
      </w:r>
      <w:r w:rsidR="008C6ABB">
        <w:t>,</w:t>
      </w:r>
      <w:r w:rsidR="00E03735">
        <w:rPr>
          <w:i/>
          <w:iCs/>
        </w:rPr>
        <w:t xml:space="preserve"> </w:t>
      </w:r>
      <w:r w:rsidR="00E03735">
        <w:t>and that</w:t>
      </w:r>
      <w:r w:rsidR="009B73E2">
        <w:t xml:space="preserve"> it lacked notice that</w:t>
      </w:r>
      <w:r w:rsidR="00E03735">
        <w:t xml:space="preserve"> its reduced-power operations </w:t>
      </w:r>
      <w:r w:rsidR="00AB0E88">
        <w:t>at a 95% duty cycle violated the Commission’s rules</w:t>
      </w:r>
      <w:r w:rsidR="00E939F3">
        <w:rPr>
          <w:i/>
          <w:iCs/>
        </w:rPr>
        <w:t>.</w:t>
      </w:r>
      <w:r>
        <w:rPr>
          <w:rStyle w:val="FootnoteReference"/>
        </w:rPr>
        <w:footnoteReference w:id="25"/>
      </w:r>
      <w:r w:rsidR="00514A2D">
        <w:t xml:space="preserve"> </w:t>
      </w:r>
      <w:r w:rsidR="002116C8">
        <w:t xml:space="preserve"> </w:t>
      </w:r>
      <w:r w:rsidRPr="00514A2D" w:rsidR="00853C1F">
        <w:rPr>
          <w:i/>
          <w:iCs/>
        </w:rPr>
        <w:t>Second</w:t>
      </w:r>
      <w:r w:rsidR="00853C1F">
        <w:t xml:space="preserve">, Mobile Relay </w:t>
      </w:r>
      <w:r w:rsidR="000670C6">
        <w:t>repeats its</w:t>
      </w:r>
      <w:r w:rsidR="00D438B9">
        <w:t xml:space="preserve"> prior</w:t>
      </w:r>
      <w:r w:rsidR="000670C6">
        <w:t xml:space="preserve"> argument that the </w:t>
      </w:r>
      <w:r w:rsidR="00624C56">
        <w:t>imposition of the $25,000 fine constituted disparate treatment compared with similarly situated licensee</w:t>
      </w:r>
      <w:r w:rsidR="00F23FE8">
        <w:t>s</w:t>
      </w:r>
      <w:r w:rsidR="00E939F3">
        <w:t>.</w:t>
      </w:r>
      <w:r>
        <w:rPr>
          <w:rStyle w:val="FootnoteReference"/>
        </w:rPr>
        <w:footnoteReference w:id="26"/>
      </w:r>
    </w:p>
    <w:p w:rsidR="001E17E6" w:rsidP="001E17E6" w14:paraId="2F89FD63" w14:textId="69BD59D2">
      <w:pPr>
        <w:pStyle w:val="Heading1"/>
      </w:pPr>
      <w:r>
        <w:t xml:space="preserve">Discussion </w:t>
      </w:r>
    </w:p>
    <w:p w:rsidR="001E17E6" w:rsidP="000E08C2" w14:paraId="202BC507" w14:textId="35A675CB">
      <w:pPr>
        <w:pStyle w:val="ParaNum"/>
      </w:pPr>
      <w:r>
        <w:t>After careful consideration of the record, we deny the Application</w:t>
      </w:r>
      <w:r w:rsidR="00B50F1F">
        <w:t xml:space="preserve"> and affirm the </w:t>
      </w:r>
      <w:r w:rsidR="009B73E2">
        <w:t>forfeiture</w:t>
      </w:r>
      <w:r w:rsidR="008C6ABB">
        <w:t xml:space="preserve"> penalty</w:t>
      </w:r>
      <w:r w:rsidR="0089190B">
        <w:t xml:space="preserve">.  As discussed below, </w:t>
      </w:r>
      <w:r w:rsidR="00A229E7">
        <w:t xml:space="preserve">the Application fails to establish that </w:t>
      </w:r>
      <w:r w:rsidR="0089190B">
        <w:t xml:space="preserve">the </w:t>
      </w:r>
      <w:r w:rsidR="00914207">
        <w:t>Bureau denied Mobile Relay due process or that it treated the company d</w:t>
      </w:r>
      <w:r w:rsidR="004B3165">
        <w:t>ifferently from similarly situated licensees.</w:t>
      </w:r>
    </w:p>
    <w:p w:rsidR="0030583F" w:rsidRPr="000E08C2" w:rsidP="00AE1A1C" w14:paraId="3AA8A8CE" w14:textId="0F7E28CD">
      <w:pPr>
        <w:pStyle w:val="Heading2"/>
      </w:pPr>
      <w:r>
        <w:t xml:space="preserve">Mobile Relay </w:t>
      </w:r>
      <w:r w:rsidR="00914207">
        <w:t>Received Due Process</w:t>
      </w:r>
    </w:p>
    <w:p w:rsidR="00BB583E" w:rsidP="00AA306E" w14:paraId="3FD311BF" w14:textId="724CB5B0">
      <w:pPr>
        <w:pStyle w:val="ParaNum"/>
      </w:pPr>
      <w:r>
        <w:t xml:space="preserve">Throughout this proceeding, Mobile Relay has made various attempts to </w:t>
      </w:r>
      <w:r w:rsidR="007F7CDF">
        <w:t xml:space="preserve">argue that its due process rights were violated because it lacked notice of the violations at issue in this matter.  </w:t>
      </w:r>
      <w:r w:rsidR="007172D4">
        <w:t xml:space="preserve">In the Application, Mobile Relay explains </w:t>
      </w:r>
      <w:r w:rsidR="001C7055">
        <w:t>that it took “material steps to eliminate all interference” to the co-channel licensee following its receipt of the NOV</w:t>
      </w:r>
      <w:r w:rsidR="008B64E4">
        <w:t xml:space="preserve"> by reducing the Station’s effective radiated power from 100 Watts to 15 Watts</w:t>
      </w:r>
      <w:r w:rsidR="00491A8C">
        <w:t>.</w:t>
      </w:r>
      <w:r>
        <w:rPr>
          <w:rStyle w:val="FootnoteReference"/>
        </w:rPr>
        <w:footnoteReference w:id="27"/>
      </w:r>
      <w:r w:rsidR="00491A8C">
        <w:t xml:space="preserve">  </w:t>
      </w:r>
      <w:r w:rsidR="00B1663F">
        <w:t xml:space="preserve">Mobile Relay then explains that it asked </w:t>
      </w:r>
      <w:r w:rsidR="00491A8C">
        <w:t xml:space="preserve">Bureau’s Los Angeles Field Office to advise if </w:t>
      </w:r>
      <w:r w:rsidR="00701AF3">
        <w:t>the interference nevertheless persisted.</w:t>
      </w:r>
      <w:r>
        <w:rPr>
          <w:rStyle w:val="FootnoteReference"/>
        </w:rPr>
        <w:footnoteReference w:id="28"/>
      </w:r>
      <w:r w:rsidR="00701AF3">
        <w:t xml:space="preserve">  </w:t>
      </w:r>
      <w:r w:rsidR="00871A5F">
        <w:t xml:space="preserve">Because </w:t>
      </w:r>
      <w:r w:rsidR="00E56D54">
        <w:t>it</w:t>
      </w:r>
      <w:r w:rsidR="00871A5F">
        <w:t xml:space="preserve"> never heard back from the Los Angeles Field Office </w:t>
      </w:r>
      <w:r w:rsidR="00E56D54">
        <w:t xml:space="preserve">(prior to the </w:t>
      </w:r>
      <w:r w:rsidRPr="00ED3541" w:rsidR="00E56D54">
        <w:rPr>
          <w:i/>
          <w:iCs/>
        </w:rPr>
        <w:t>NAL</w:t>
      </w:r>
      <w:r w:rsidR="00E56D54">
        <w:t xml:space="preserve">) </w:t>
      </w:r>
      <w:r w:rsidR="00871A5F">
        <w:t xml:space="preserve">or its co-channel licensees, </w:t>
      </w:r>
      <w:r w:rsidR="00E56D54">
        <w:t xml:space="preserve">Mobile Relay </w:t>
      </w:r>
      <w:r w:rsidR="005F0B2D">
        <w:t xml:space="preserve">argues that the Bureau violated due process by not providing </w:t>
      </w:r>
      <w:r w:rsidRPr="00ED3541" w:rsidR="005F0B2D">
        <w:rPr>
          <w:i/>
          <w:iCs/>
        </w:rPr>
        <w:t xml:space="preserve">additional </w:t>
      </w:r>
      <w:r w:rsidR="005F0B2D">
        <w:t xml:space="preserve">notice before issuing the </w:t>
      </w:r>
      <w:r w:rsidRPr="004C4B26" w:rsidR="005F0B2D">
        <w:rPr>
          <w:i/>
          <w:iCs/>
        </w:rPr>
        <w:t>NAL</w:t>
      </w:r>
      <w:r w:rsidR="005F0B2D">
        <w:t>.</w:t>
      </w:r>
      <w:r>
        <w:rPr>
          <w:rStyle w:val="FootnoteReference"/>
        </w:rPr>
        <w:footnoteReference w:id="29"/>
      </w:r>
      <w:r w:rsidR="005F0B2D">
        <w:t xml:space="preserve">  </w:t>
      </w:r>
    </w:p>
    <w:p w:rsidR="002E6621" w:rsidP="00750899" w14:paraId="4C82531F" w14:textId="1E3E860A">
      <w:pPr>
        <w:pStyle w:val="ParaNum"/>
        <w:widowControl/>
      </w:pPr>
      <w:r>
        <w:t xml:space="preserve">We agree with the Bureau’s analysis in the </w:t>
      </w:r>
      <w:r w:rsidRPr="00ED3541">
        <w:rPr>
          <w:i/>
          <w:iCs/>
        </w:rPr>
        <w:t>MO&amp;O</w:t>
      </w:r>
      <w:r>
        <w:t xml:space="preserve"> and find that the due process arguments set forth in the Application are without merit.</w:t>
      </w:r>
      <w:r>
        <w:rPr>
          <w:rStyle w:val="FootnoteReference"/>
        </w:rPr>
        <w:footnoteReference w:id="30"/>
      </w:r>
      <w:r>
        <w:t xml:space="preserve">  </w:t>
      </w:r>
      <w:r w:rsidR="00402DB1">
        <w:t xml:space="preserve">The Commission satisfies its due process </w:t>
      </w:r>
      <w:r w:rsidR="00402DB1">
        <w:t>obligations when it complies with section 503</w:t>
      </w:r>
      <w:r w:rsidR="00F86937">
        <w:t xml:space="preserve"> </w:t>
      </w:r>
      <w:r w:rsidR="00402DB1">
        <w:t>of the Act and affords parties the opportunity to be heard before imposing liability.</w:t>
      </w:r>
      <w:r>
        <w:rPr>
          <w:rStyle w:val="FootnoteReference"/>
        </w:rPr>
        <w:footnoteReference w:id="31"/>
      </w:r>
      <w:r w:rsidR="00402DB1">
        <w:t xml:space="preserve">  As a result, t</w:t>
      </w:r>
      <w:r w:rsidR="00ED3541">
        <w:t xml:space="preserve">he Commission is not obligated </w:t>
      </w:r>
      <w:r w:rsidR="00EE1C03">
        <w:t>“to inform the subject of an investigation that it is being investigated.”</w:t>
      </w:r>
      <w:r>
        <w:rPr>
          <w:rStyle w:val="FootnoteReference"/>
        </w:rPr>
        <w:footnoteReference w:id="32"/>
      </w:r>
      <w:r w:rsidR="00EE1C03">
        <w:t xml:space="preserve">  </w:t>
      </w:r>
      <w:r w:rsidR="0023042B">
        <w:t xml:space="preserve">A licensee’s knowledge of </w:t>
      </w:r>
      <w:r w:rsidR="00CB6875">
        <w:t xml:space="preserve">an </w:t>
      </w:r>
      <w:r w:rsidR="0096547E">
        <w:t>ongoing investigation does not alter these fundamental aspects of the statutory forfeiture process</w:t>
      </w:r>
      <w:r>
        <w:t>.</w:t>
      </w:r>
    </w:p>
    <w:p w:rsidR="008E5AFA" w:rsidP="00AB0E88" w14:paraId="659DAEA9" w14:textId="06F80D60">
      <w:pPr>
        <w:pStyle w:val="ParaNum"/>
        <w:widowControl/>
      </w:pPr>
      <w:r>
        <w:t>N</w:t>
      </w:r>
      <w:r w:rsidR="00CC245D">
        <w:t xml:space="preserve">either the Commission nor the Bureau </w:t>
      </w:r>
      <w:r w:rsidR="009A2E45">
        <w:t xml:space="preserve">was obligated to notify </w:t>
      </w:r>
      <w:r w:rsidR="002E6621">
        <w:t>Mobile Relay</w:t>
      </w:r>
      <w:r w:rsidR="009A2E45">
        <w:t xml:space="preserve">, prior to issuing the </w:t>
      </w:r>
      <w:r w:rsidR="00135676">
        <w:rPr>
          <w:i/>
          <w:iCs/>
        </w:rPr>
        <w:t>NAL</w:t>
      </w:r>
      <w:r w:rsidR="009A2E45">
        <w:t xml:space="preserve">, that </w:t>
      </w:r>
      <w:r w:rsidR="00A01F38">
        <w:t xml:space="preserve">the </w:t>
      </w:r>
      <w:r w:rsidR="002E6621">
        <w:t xml:space="preserve">company’s </w:t>
      </w:r>
      <w:r w:rsidR="00A01F38">
        <w:t>unilateral interference mitigation efforts were insufficient.</w:t>
      </w:r>
      <w:r>
        <w:rPr>
          <w:rStyle w:val="FootnoteReference"/>
        </w:rPr>
        <w:footnoteReference w:id="33"/>
      </w:r>
      <w:r w:rsidR="00A01F38">
        <w:t xml:space="preserve">  We have long held that “</w:t>
      </w:r>
      <w:r w:rsidR="00514175">
        <w:t>[l]</w:t>
      </w:r>
      <w:r w:rsidR="00514175">
        <w:t>icensees</w:t>
      </w:r>
      <w:r w:rsidR="00514175">
        <w:t xml:space="preserve"> are expected to know and comply with the Commission’s rules and regulations and will not be excused for violations thereof, absent clear mitigating circumstances.”</w:t>
      </w:r>
      <w:r>
        <w:rPr>
          <w:rStyle w:val="FootnoteReference"/>
        </w:rPr>
        <w:footnoteReference w:id="34"/>
      </w:r>
      <w:r w:rsidR="00514175">
        <w:t xml:space="preserve"> </w:t>
      </w:r>
      <w:r w:rsidR="00DA50B6">
        <w:t xml:space="preserve"> </w:t>
      </w:r>
      <w:r w:rsidR="00F82741">
        <w:t xml:space="preserve">In this regard, </w:t>
      </w:r>
      <w:r w:rsidR="00851BC0">
        <w:t>we agree with the Bureau’s longstanding view that “[n]</w:t>
      </w:r>
      <w:r w:rsidR="00851BC0">
        <w:t>othing</w:t>
      </w:r>
      <w:r w:rsidR="00851BC0">
        <w:t xml:space="preserve"> in the Communications Act or the Commission’s Rules entitles a licensee to an opportunity to correct a violation prior to the issuance of a [Notice of Apparent Liability for For</w:t>
      </w:r>
      <w:r w:rsidR="00550692">
        <w:t>feiture</w:t>
      </w:r>
      <w:r w:rsidR="009E5BD3">
        <w:t>]</w:t>
      </w:r>
      <w:r w:rsidR="00550692">
        <w:t xml:space="preserve">” and that licensees cannot simply “sit back and await Commission findings of violation before taking </w:t>
      </w:r>
      <w:r w:rsidRPr="009E5BD3" w:rsidR="00550692">
        <w:t>appropriate</w:t>
      </w:r>
      <w:r w:rsidR="00550692">
        <w:t xml:space="preserve"> steps to ensure compliance with the Commission’s rules.</w:t>
      </w:r>
      <w:r w:rsidR="00851BC0">
        <w:t>”</w:t>
      </w:r>
      <w:r>
        <w:rPr>
          <w:rStyle w:val="FootnoteReference"/>
        </w:rPr>
        <w:footnoteReference w:id="35"/>
      </w:r>
      <w:r w:rsidR="00C3658E">
        <w:t xml:space="preserve">  Given the Bureau’s broad responsibilities and </w:t>
      </w:r>
      <w:r w:rsidR="008D4F95">
        <w:t xml:space="preserve">finite resources, </w:t>
      </w:r>
      <w:r w:rsidR="00056451">
        <w:t xml:space="preserve">it cannot always </w:t>
      </w:r>
      <w:r w:rsidR="00135676">
        <w:t>verify</w:t>
      </w:r>
      <w:r w:rsidR="00056451">
        <w:t xml:space="preserve"> a licensee’s mitigation efforts</w:t>
      </w:r>
      <w:r w:rsidR="00E80402">
        <w:t xml:space="preserve">, and licensees cannot impose such an obligation </w:t>
      </w:r>
      <w:r w:rsidR="00DB630B">
        <w:t xml:space="preserve">on the Commission </w:t>
      </w:r>
      <w:r w:rsidR="00E80402">
        <w:t>by fiat</w:t>
      </w:r>
      <w:r w:rsidR="000057F1">
        <w:t xml:space="preserve">.  Accordingly, </w:t>
      </w:r>
      <w:r w:rsidR="008D4F95">
        <w:t xml:space="preserve">licensees cannot take the Bureau’s silence </w:t>
      </w:r>
      <w:r w:rsidR="00E14FD1">
        <w:t xml:space="preserve">as affirmation that a violation has been cured or as </w:t>
      </w:r>
      <w:r w:rsidR="00D445BC">
        <w:t xml:space="preserve">suggestion of </w:t>
      </w:r>
      <w:r w:rsidR="00E14FD1">
        <w:t xml:space="preserve">forbearance from future enforcement actions. </w:t>
      </w:r>
      <w:r w:rsidR="00D445BC">
        <w:t xml:space="preserve"> </w:t>
      </w:r>
    </w:p>
    <w:p w:rsidR="00340ECC" w:rsidP="00AB0E88" w14:paraId="569B1618" w14:textId="019CEEE5">
      <w:pPr>
        <w:pStyle w:val="ParaNum"/>
        <w:widowControl/>
      </w:pPr>
      <w:r>
        <w:t xml:space="preserve">Mobile Relay also </w:t>
      </w:r>
      <w:r w:rsidR="00A83637">
        <w:t xml:space="preserve">maintains </w:t>
      </w:r>
      <w:r w:rsidR="009A7E31">
        <w:t xml:space="preserve">that </w:t>
      </w:r>
      <w:r w:rsidR="000B267B">
        <w:t>it lacked notice that its 95% duty cycle on a shared channel violated the Commission’s part 90 rules.</w:t>
      </w:r>
      <w:r>
        <w:rPr>
          <w:rStyle w:val="FootnoteReference"/>
        </w:rPr>
        <w:footnoteReference w:id="36"/>
      </w:r>
      <w:r w:rsidR="009A7E31">
        <w:t xml:space="preserve">  </w:t>
      </w:r>
      <w:r w:rsidR="009705EC">
        <w:t>In this case, the Bureau imposed a forfeiture based on the totality of Mobile Relay’s conduct</w:t>
      </w:r>
      <w:r w:rsidR="0073235A">
        <w:t xml:space="preserve">, which included </w:t>
      </w:r>
      <w:r w:rsidR="00277579">
        <w:t xml:space="preserve">extremely heavy usage of a shared channel, the inadequacy of its monitoring to </w:t>
      </w:r>
      <w:r w:rsidR="00E416E0">
        <w:t>avoid harmful interference to other systems, and Mobile Relay’s actual interference to Eden’s system.</w:t>
      </w:r>
      <w:r>
        <w:rPr>
          <w:rStyle w:val="FootnoteReference"/>
        </w:rPr>
        <w:footnoteReference w:id="37"/>
      </w:r>
      <w:r w:rsidR="00E416E0">
        <w:t xml:space="preserve"> </w:t>
      </w:r>
      <w:r w:rsidR="00FA7120">
        <w:t xml:space="preserve"> </w:t>
      </w:r>
      <w:r w:rsidR="00F94A63">
        <w:t xml:space="preserve">Given </w:t>
      </w:r>
      <w:r w:rsidR="003F27B4">
        <w:t xml:space="preserve">the sum of Mobile Relay’s conduct, we need not opine on whether its near-continuous operation on a shared channel, standing alone, would have prompted the forfeiture.  </w:t>
      </w:r>
      <w:r w:rsidR="002968F5">
        <w:t xml:space="preserve">Accordingly, it is not necessary for us to </w:t>
      </w:r>
      <w:r w:rsidR="008A3DE4">
        <w:t>quantify the</w:t>
      </w:r>
      <w:r w:rsidR="002968F5">
        <w:t xml:space="preserve"> “minim</w:t>
      </w:r>
      <w:r w:rsidR="009E7465">
        <w:t xml:space="preserve">um </w:t>
      </w:r>
      <w:r w:rsidR="002968F5">
        <w:t xml:space="preserve">practical transmission time” </w:t>
      </w:r>
      <w:r w:rsidR="00E2359C">
        <w:t xml:space="preserve">set forth in </w:t>
      </w:r>
      <w:r w:rsidR="000A16F4">
        <w:t>section</w:t>
      </w:r>
      <w:r w:rsidR="00E2359C">
        <w:t xml:space="preserve"> </w:t>
      </w:r>
      <w:r w:rsidR="00C64278">
        <w:t>90.403(c)</w:t>
      </w:r>
      <w:r w:rsidR="00821C76">
        <w:t xml:space="preserve"> </w:t>
      </w:r>
      <w:r w:rsidR="000A16F4">
        <w:t xml:space="preserve">of the Commission’s rules </w:t>
      </w:r>
      <w:r w:rsidR="00A668DC">
        <w:t>for Mobile Relay to have been on notice</w:t>
      </w:r>
      <w:r w:rsidR="00F0189A">
        <w:t xml:space="preserve"> regarding proper usage of a shared channel</w:t>
      </w:r>
      <w:r w:rsidR="002968F5">
        <w:t>.</w:t>
      </w:r>
      <w:r>
        <w:rPr>
          <w:rStyle w:val="FootnoteReference"/>
        </w:rPr>
        <w:footnoteReference w:id="38"/>
      </w:r>
    </w:p>
    <w:p w:rsidR="006B176F" w:rsidP="00117D8A" w14:paraId="3515A7D4" w14:textId="03D3C12A">
      <w:pPr>
        <w:pStyle w:val="ParaNum"/>
        <w:widowControl/>
      </w:pPr>
      <w:r>
        <w:t xml:space="preserve">We find that </w:t>
      </w:r>
      <w:r w:rsidRPr="00E846E1" w:rsidR="004E15C0">
        <w:t>Mobile Relay has received the due process to which it is entitled under the Commission’s forfeiture rules.</w:t>
      </w:r>
      <w:r w:rsidR="004E15C0">
        <w:t xml:space="preserve">  </w:t>
      </w:r>
      <w:r w:rsidR="001D6D88">
        <w:t>W</w:t>
      </w:r>
      <w:r w:rsidR="00D445BC">
        <w:t xml:space="preserve">e therefore </w:t>
      </w:r>
      <w:r w:rsidR="00F15027">
        <w:t xml:space="preserve">deny the Application with respect to its assertions that the Bureau erred </w:t>
      </w:r>
      <w:r w:rsidR="00225A3E">
        <w:t xml:space="preserve">by </w:t>
      </w:r>
      <w:r w:rsidR="00C81E0A">
        <w:t xml:space="preserve">providing Mobile Relay with insufficient notice. </w:t>
      </w:r>
    </w:p>
    <w:p w:rsidR="00FD2144" w:rsidP="00FD2144" w14:paraId="6B29681C" w14:textId="15A2DF5E">
      <w:pPr>
        <w:pStyle w:val="Heading2"/>
      </w:pPr>
      <w:r>
        <w:t xml:space="preserve">Mobile Relay Fails to </w:t>
      </w:r>
      <w:r w:rsidR="00C12AC5">
        <w:t>Show Disparate Treatment</w:t>
      </w:r>
    </w:p>
    <w:p w:rsidR="00C077FF" w:rsidP="00117D8A" w14:paraId="33E8D4F6" w14:textId="1786A6D6">
      <w:pPr>
        <w:pStyle w:val="ParaNum"/>
        <w:widowControl/>
      </w:pPr>
      <w:r>
        <w:t>Mobile Relay contends that</w:t>
      </w:r>
      <w:r w:rsidR="00A60AC2">
        <w:t>, in imposing the $25,000 forfeiture, the Bureau engaged in disparate treatment compared with similarly situated licensees</w:t>
      </w:r>
      <w:r w:rsidR="00412714">
        <w:t xml:space="preserve"> conduct that </w:t>
      </w:r>
      <w:r w:rsidR="0006056A">
        <w:t xml:space="preserve">is prohibited under </w:t>
      </w:r>
      <w:r w:rsidRPr="0006056A" w:rsidR="0006056A">
        <w:rPr>
          <w:i/>
          <w:iCs/>
        </w:rPr>
        <w:t>Melody Music</w:t>
      </w:r>
      <w:r w:rsidR="00135676">
        <w:rPr>
          <w:i/>
          <w:iCs/>
        </w:rPr>
        <w:t xml:space="preserve"> v. FCC</w:t>
      </w:r>
      <w:r w:rsidR="00417D04">
        <w:t xml:space="preserve"> and its progeny</w:t>
      </w:r>
      <w:r w:rsidR="00A60AC2">
        <w:t>.</w:t>
      </w:r>
      <w:r>
        <w:rPr>
          <w:rStyle w:val="FootnoteReference"/>
        </w:rPr>
        <w:footnoteReference w:id="39"/>
      </w:r>
      <w:r w:rsidR="00A60AC2">
        <w:t xml:space="preserve">  </w:t>
      </w:r>
      <w:r w:rsidR="006D2EE1">
        <w:t xml:space="preserve">Specifically, Mobile Relay points to </w:t>
      </w:r>
      <w:r w:rsidR="000A2EB5">
        <w:t>two licensees</w:t>
      </w:r>
      <w:r w:rsidR="00043805">
        <w:t xml:space="preserve">—San </w:t>
      </w:r>
      <w:r w:rsidR="000A2EB5">
        <w:t>Gabriel Transit</w:t>
      </w:r>
      <w:r w:rsidR="00DF5F58">
        <w:t xml:space="preserve"> and Acumen Communications</w:t>
      </w:r>
      <w:r w:rsidR="00043805">
        <w:t xml:space="preserve">—that </w:t>
      </w:r>
      <w:r w:rsidR="00DF5F58">
        <w:t>it contends were similarly situated</w:t>
      </w:r>
      <w:r w:rsidR="00164C86">
        <w:t xml:space="preserve"> yet received less severe sanctions by the Bureau.  </w:t>
      </w:r>
      <w:r w:rsidR="00FF4D6A">
        <w:t xml:space="preserve">After reviewing the Application and the entire record, we </w:t>
      </w:r>
      <w:r w:rsidR="00DC1B28">
        <w:t>find that</w:t>
      </w:r>
      <w:r w:rsidR="00FF10E1">
        <w:t xml:space="preserve"> the facts surrounding the investigation and sanctions of San Gabriel Transit and Acumen Communications are distinguishable from those presented in this case, and we therefore reject </w:t>
      </w:r>
      <w:r w:rsidR="00231F18">
        <w:t xml:space="preserve">Mobile Relay’s arguments and affirm the </w:t>
      </w:r>
      <w:r w:rsidR="00D21A5B">
        <w:rPr>
          <w:i/>
          <w:iCs/>
        </w:rPr>
        <w:t>MO&amp;O</w:t>
      </w:r>
      <w:r w:rsidR="00231F18">
        <w:t>.</w:t>
      </w:r>
      <w:r w:rsidR="00FF4D6A">
        <w:t xml:space="preserve">  </w:t>
      </w:r>
    </w:p>
    <w:p w:rsidR="008C6ABB" w:rsidP="00C91399" w14:paraId="33D99E3A" w14:textId="497B88B6">
      <w:pPr>
        <w:pStyle w:val="ParaNum"/>
        <w:widowControl/>
      </w:pPr>
      <w:r>
        <w:t xml:space="preserve">The Application asserts that </w:t>
      </w:r>
      <w:r w:rsidR="00D067D1">
        <w:t>“the relevant comparison here is between [Mobile Relay] and [San Gabriel Transit]</w:t>
      </w:r>
      <w:r w:rsidR="00D7279E">
        <w:t xml:space="preserve">” because, according to Mobile Relay, San Gabriel Transit’s conduct </w:t>
      </w:r>
      <w:r w:rsidR="00087B40">
        <w:t xml:space="preserve">“forced [Mobile Relay] to move all of the customers onto the channels shared with </w:t>
      </w:r>
      <w:r w:rsidR="00EF7108">
        <w:t>[complainant licensee</w:t>
      </w:r>
      <w:r w:rsidR="00C12AC5">
        <w:t xml:space="preserve">] </w:t>
      </w:r>
      <w:r w:rsidR="00087B40">
        <w:t>Eden.”</w:t>
      </w:r>
      <w:r>
        <w:rPr>
          <w:rStyle w:val="FootnoteReference"/>
        </w:rPr>
        <w:footnoteReference w:id="40"/>
      </w:r>
      <w:r w:rsidR="00087B40">
        <w:t xml:space="preserve">  </w:t>
      </w:r>
      <w:r w:rsidRPr="00B9317D">
        <w:rPr>
          <w:i/>
          <w:iCs/>
        </w:rPr>
        <w:t>First</w:t>
      </w:r>
      <w:r w:rsidR="007E3701">
        <w:t xml:space="preserve">, </w:t>
      </w:r>
      <w:r>
        <w:t xml:space="preserve">Mobile Relay </w:t>
      </w:r>
      <w:r w:rsidR="007E3701">
        <w:t xml:space="preserve">is incorrect </w:t>
      </w:r>
      <w:r>
        <w:t xml:space="preserve">when it asserts </w:t>
      </w:r>
      <w:r w:rsidR="007E3701">
        <w:t>that “the Bureau never took the slightest action against [San Gabriel Transit].”</w:t>
      </w:r>
      <w:r>
        <w:rPr>
          <w:rStyle w:val="FootnoteReference"/>
        </w:rPr>
        <w:footnoteReference w:id="41"/>
      </w:r>
      <w:r w:rsidR="00914138">
        <w:t xml:space="preserve">  </w:t>
      </w:r>
      <w:r w:rsidR="00D43349">
        <w:t>T</w:t>
      </w:r>
      <w:r w:rsidR="00914138">
        <w:t xml:space="preserve">he Bureau issued a Notice of Violation to </w:t>
      </w:r>
      <w:r w:rsidR="00EA14B3">
        <w:t xml:space="preserve">San Gabriel Transit </w:t>
      </w:r>
      <w:r w:rsidR="00907B34">
        <w:t xml:space="preserve">after </w:t>
      </w:r>
      <w:r w:rsidR="00D43349">
        <w:t>it</w:t>
      </w:r>
      <w:r w:rsidR="00907B34">
        <w:t xml:space="preserve"> investigated Mobile Relay’s complaint</w:t>
      </w:r>
      <w:r w:rsidR="00D43349">
        <w:t>.</w:t>
      </w:r>
      <w:r>
        <w:rPr>
          <w:rStyle w:val="FootnoteReference"/>
        </w:rPr>
        <w:footnoteReference w:id="42"/>
      </w:r>
      <w:r w:rsidR="00907B34">
        <w:t xml:space="preserve"> </w:t>
      </w:r>
      <w:r w:rsidR="00D43349">
        <w:t xml:space="preserve"> </w:t>
      </w:r>
      <w:r w:rsidR="00C12AC5">
        <w:t xml:space="preserve">Subsequently, </w:t>
      </w:r>
      <w:r w:rsidR="006514CF">
        <w:t>San Gabriel Transit</w:t>
      </w:r>
      <w:r w:rsidR="00824B7C">
        <w:t>’s license lapsed</w:t>
      </w:r>
      <w:r w:rsidR="000B74AE">
        <w:t>,</w:t>
      </w:r>
      <w:r w:rsidR="00824B7C">
        <w:t xml:space="preserve"> and it </w:t>
      </w:r>
      <w:r w:rsidR="00231DF8">
        <w:t xml:space="preserve">ceased operating </w:t>
      </w:r>
      <w:r w:rsidR="00F02DF7">
        <w:t>its interfering station.</w:t>
      </w:r>
      <w:r>
        <w:rPr>
          <w:rStyle w:val="FootnoteReference"/>
        </w:rPr>
        <w:footnoteReference w:id="43"/>
      </w:r>
      <w:r w:rsidR="0021774E">
        <w:t xml:space="preserve">  </w:t>
      </w:r>
      <w:r w:rsidR="00FC47A8">
        <w:t xml:space="preserve">By contrast, </w:t>
      </w:r>
      <w:r w:rsidR="00562AE4">
        <w:t xml:space="preserve">after receiving its NOV, Mobile Relay responded that </w:t>
      </w:r>
      <w:r w:rsidR="004A02DA">
        <w:t xml:space="preserve">it had reduced the Station’s power, but did nothing to address the fact that </w:t>
      </w:r>
      <w:r w:rsidR="00A707F5">
        <w:t>on the shared channel, the Station was only silent 5 seconds out of every 5 minutes to allow other co-channel licensees to attempt to use the shared channel</w:t>
      </w:r>
      <w:r w:rsidR="00893DE2">
        <w:t>—behavior that persisted when the Bureau investigated the Station in 2015</w:t>
      </w:r>
      <w:r w:rsidR="00EC60A3">
        <w:t>.</w:t>
      </w:r>
      <w:r>
        <w:rPr>
          <w:rStyle w:val="FootnoteReference"/>
        </w:rPr>
        <w:footnoteReference w:id="44"/>
      </w:r>
      <w:r w:rsidR="00A707F5">
        <w:t xml:space="preserve">  </w:t>
      </w:r>
    </w:p>
    <w:p w:rsidR="00457C01" w:rsidP="00C91399" w14:paraId="43831BB0" w14:textId="25B095C6">
      <w:pPr>
        <w:pStyle w:val="ParaNum"/>
        <w:widowControl/>
      </w:pPr>
      <w:r w:rsidRPr="00B9317D">
        <w:rPr>
          <w:i/>
          <w:iCs/>
        </w:rPr>
        <w:t>Second</w:t>
      </w:r>
      <w:r>
        <w:t xml:space="preserve">, we reject Mobile Relay’s argument that, because the Station </w:t>
      </w:r>
      <w:r w:rsidR="00B10C9F">
        <w:t xml:space="preserve">temporarily </w:t>
      </w:r>
      <w:r>
        <w:t>receiv</w:t>
      </w:r>
      <w:r w:rsidR="00B10C9F">
        <w:t>ed</w:t>
      </w:r>
      <w:r>
        <w:t xml:space="preserve"> harmful interference from San Gabriel Transit on an exclusive channel, Mobile Relay was allowed to engage in spectrum self-help and effectively treat a shared channel as exclusive, without consideration of the interference it might cause to co-channel licensees.  Mobile Relay operates in a crowded spectrum </w:t>
      </w:r>
      <w:r>
        <w:t>market, and</w:t>
      </w:r>
      <w:r>
        <w:t xml:space="preserve"> countenancing Mobile Relay’s self-help using a shared channel would set an unsustainable precedent for other licensees operating in Los Angeles or similarly crowded markets.  We also reject this comparison for purposes of a </w:t>
      </w:r>
      <w:r>
        <w:rPr>
          <w:i/>
          <w:iCs/>
        </w:rPr>
        <w:t>Melody Music</w:t>
      </w:r>
      <w:r>
        <w:t xml:space="preserve"> analysis.  </w:t>
      </w:r>
      <w:r w:rsidR="00585D29">
        <w:t>Accordingly, we find that</w:t>
      </w:r>
      <w:r w:rsidR="002D239B">
        <w:t xml:space="preserve"> Mobile Relay and San Gabriel Transit are not similarly situated licensees</w:t>
      </w:r>
      <w:r w:rsidR="00497F90">
        <w:t>.</w:t>
      </w:r>
      <w:r>
        <w:rPr>
          <w:rStyle w:val="FootnoteReference"/>
        </w:rPr>
        <w:footnoteReference w:id="45"/>
      </w:r>
      <w:r w:rsidR="004C4DFF">
        <w:t xml:space="preserve"> </w:t>
      </w:r>
      <w:r w:rsidR="00E71CE5">
        <w:t xml:space="preserve"> </w:t>
      </w:r>
    </w:p>
    <w:p w:rsidR="00736144" w:rsidP="00C91399" w14:paraId="2B842B5A" w14:textId="77777777">
      <w:pPr>
        <w:pStyle w:val="ParaNum"/>
        <w:widowControl/>
      </w:pPr>
      <w:r>
        <w:t>T</w:t>
      </w:r>
      <w:r w:rsidR="00E31916">
        <w:t xml:space="preserve">he Application’s </w:t>
      </w:r>
      <w:r w:rsidR="00B81E4D">
        <w:t xml:space="preserve">focus on </w:t>
      </w:r>
      <w:r w:rsidR="008206FA">
        <w:t xml:space="preserve">the </w:t>
      </w:r>
      <w:r w:rsidRPr="00EB2951" w:rsidR="00B81E4D">
        <w:rPr>
          <w:i/>
          <w:iCs/>
        </w:rPr>
        <w:t>Acumen</w:t>
      </w:r>
      <w:r w:rsidRPr="00EB2951" w:rsidR="008206FA">
        <w:rPr>
          <w:i/>
          <w:iCs/>
        </w:rPr>
        <w:t xml:space="preserve"> Forfeiture Order</w:t>
      </w:r>
      <w:r w:rsidR="00B81E4D">
        <w:t xml:space="preserve"> </w:t>
      </w:r>
      <w:r w:rsidR="00F86BC9">
        <w:t xml:space="preserve">as </w:t>
      </w:r>
      <w:r w:rsidR="00A57B2C">
        <w:t xml:space="preserve">an example of the Bureau’s supposed disparate treatment </w:t>
      </w:r>
      <w:r w:rsidR="00B81E4D">
        <w:t xml:space="preserve">is </w:t>
      </w:r>
      <w:r w:rsidR="0063078F">
        <w:t xml:space="preserve">similarly </w:t>
      </w:r>
      <w:r w:rsidR="00B81E4D">
        <w:t>misplaced.</w:t>
      </w:r>
      <w:r>
        <w:rPr>
          <w:rStyle w:val="FootnoteReference"/>
        </w:rPr>
        <w:footnoteReference w:id="46"/>
      </w:r>
      <w:r w:rsidR="00B81E4D">
        <w:t xml:space="preserve">  </w:t>
      </w:r>
      <w:r w:rsidR="00E04C35">
        <w:t>Mobile Relay and Acumen are not similarly situated licensees</w:t>
      </w:r>
      <w:r w:rsidR="00AC50C8">
        <w:t xml:space="preserve"> and</w:t>
      </w:r>
      <w:r w:rsidR="00EE69E2">
        <w:t xml:space="preserve"> the cases</w:t>
      </w:r>
      <w:r w:rsidR="00AC50C8">
        <w:t xml:space="preserve"> are therefore distinguishable</w:t>
      </w:r>
      <w:r w:rsidR="004902A3">
        <w:t xml:space="preserve">. </w:t>
      </w:r>
      <w:r w:rsidR="00FB1F84">
        <w:t xml:space="preserve"> In the </w:t>
      </w:r>
      <w:r w:rsidRPr="00EB2951" w:rsidR="00FB1F84">
        <w:rPr>
          <w:i/>
          <w:iCs/>
        </w:rPr>
        <w:t>Acumen Forfeiture Order</w:t>
      </w:r>
      <w:r w:rsidR="00FB1F84">
        <w:t xml:space="preserve">, the Bureau imposed a $17,000 forfeiture based on </w:t>
      </w:r>
      <w:r w:rsidRPr="00EB2951" w:rsidR="00FB1F84">
        <w:rPr>
          <w:i/>
          <w:iCs/>
        </w:rPr>
        <w:t>two days</w:t>
      </w:r>
      <w:r w:rsidR="00FB1F84">
        <w:t xml:space="preserve"> of </w:t>
      </w:r>
      <w:r w:rsidR="005E0CCD">
        <w:t>operating without a</w:t>
      </w:r>
      <w:r w:rsidR="00E577D2">
        <w:t xml:space="preserve">uthority </w:t>
      </w:r>
      <w:r w:rsidR="005E0CCD">
        <w:t>and failing to take steps to reduce interference to other licensees.</w:t>
      </w:r>
      <w:r>
        <w:rPr>
          <w:rStyle w:val="FootnoteReference"/>
        </w:rPr>
        <w:footnoteReference w:id="47"/>
      </w:r>
      <w:r w:rsidR="00F977FC">
        <w:t xml:space="preserve">  </w:t>
      </w:r>
      <w:r w:rsidR="005E0CCD">
        <w:t>Here,</w:t>
      </w:r>
      <w:r w:rsidR="00824B7C">
        <w:t xml:space="preserve"> </w:t>
      </w:r>
      <w:r w:rsidR="005F10E7">
        <w:t xml:space="preserve">after receiving the NOV, </w:t>
      </w:r>
      <w:r w:rsidR="009F4733">
        <w:t>Mobile Relay fail</w:t>
      </w:r>
      <w:r w:rsidR="005F10E7">
        <w:t>ed</w:t>
      </w:r>
      <w:r w:rsidR="009F4733">
        <w:t xml:space="preserve"> to take the most basic step—consult</w:t>
      </w:r>
      <w:r w:rsidR="005F10E7">
        <w:t>ing Eden</w:t>
      </w:r>
      <w:r w:rsidR="00F906C3">
        <w:t>—to determine whether reducing the Station’s power level (while maintaining a</w:t>
      </w:r>
      <w:r w:rsidR="00C35F6C">
        <w:t xml:space="preserve"> 95% </w:t>
      </w:r>
      <w:r w:rsidR="00F906C3">
        <w:t xml:space="preserve">duty cycle) mitigated the </w:t>
      </w:r>
      <w:r w:rsidR="0002646C">
        <w:t>harmful interference that the Station was causing.</w:t>
      </w:r>
      <w:r>
        <w:rPr>
          <w:rStyle w:val="FootnoteReference"/>
        </w:rPr>
        <w:footnoteReference w:id="48"/>
      </w:r>
      <w:r w:rsidR="0002646C">
        <w:t xml:space="preserve">  When, </w:t>
      </w:r>
      <w:r w:rsidRPr="001867C6" w:rsidR="0002646C">
        <w:t>two years</w:t>
      </w:r>
      <w:r w:rsidR="0002646C">
        <w:t xml:space="preserve"> later, </w:t>
      </w:r>
      <w:r w:rsidR="002755C3">
        <w:t xml:space="preserve">Mobile Relay was </w:t>
      </w:r>
      <w:r w:rsidR="00BF6162">
        <w:t xml:space="preserve">still </w:t>
      </w:r>
      <w:r w:rsidR="002755C3">
        <w:t xml:space="preserve">causing harmful interference to </w:t>
      </w:r>
      <w:r w:rsidR="00BF6162">
        <w:t>Eden,</w:t>
      </w:r>
      <w:r w:rsidR="002755C3">
        <w:t xml:space="preserve"> the Bureau correctly determined that Mobile Relay’s conduct was egregious and</w:t>
      </w:r>
      <w:r w:rsidR="002A4E0C">
        <w:t xml:space="preserve"> applied a comparatively modest upward adjustment</w:t>
      </w:r>
      <w:r w:rsidR="008A3520">
        <w:t>.</w:t>
      </w:r>
      <w:r>
        <w:rPr>
          <w:rStyle w:val="FootnoteReference"/>
        </w:rPr>
        <w:footnoteReference w:id="49"/>
      </w:r>
      <w:r w:rsidR="008A3520">
        <w:t xml:space="preserve">  </w:t>
      </w:r>
    </w:p>
    <w:p w:rsidR="00AF7F0A" w:rsidP="00C91399" w14:paraId="60D220BE" w14:textId="2CAB22C7">
      <w:pPr>
        <w:pStyle w:val="ParaNum"/>
        <w:widowControl/>
      </w:pPr>
      <w:r>
        <w:t>We also note that, contrary to the Application’s suggestion, the Bureau</w:t>
      </w:r>
      <w:r w:rsidR="00EC0CBF">
        <w:t xml:space="preserve"> appropriately referenced </w:t>
      </w:r>
      <w:r>
        <w:t xml:space="preserve">its decision in </w:t>
      </w:r>
      <w:r w:rsidRPr="00CE7BE0">
        <w:rPr>
          <w:i/>
          <w:iCs/>
        </w:rPr>
        <w:t>Public Safety Technologies</w:t>
      </w:r>
      <w:r>
        <w:t xml:space="preserve"> (which was issued after the </w:t>
      </w:r>
      <w:r>
        <w:rPr>
          <w:i/>
          <w:iCs/>
        </w:rPr>
        <w:t xml:space="preserve">Forfeiture </w:t>
      </w:r>
      <w:r w:rsidRPr="0006130B">
        <w:rPr>
          <w:i/>
          <w:iCs/>
        </w:rPr>
        <w:t>Order</w:t>
      </w:r>
      <w:r>
        <w:t xml:space="preserve">) </w:t>
      </w:r>
      <w:r w:rsidR="00EC0CBF">
        <w:t>to</w:t>
      </w:r>
      <w:r>
        <w:t xml:space="preserve"> rebut the underlying Petition’s disparate treatment argument.</w:t>
      </w:r>
      <w:r>
        <w:rPr>
          <w:rStyle w:val="FootnoteReference"/>
        </w:rPr>
        <w:footnoteReference w:id="50"/>
      </w:r>
      <w:r>
        <w:t xml:space="preserve">  </w:t>
      </w:r>
      <w:r w:rsidRPr="007B29C0">
        <w:t>The</w:t>
      </w:r>
      <w:r>
        <w:t xml:space="preserve"> Bureau’s decision in </w:t>
      </w:r>
      <w:r>
        <w:rPr>
          <w:i/>
          <w:iCs/>
        </w:rPr>
        <w:t>Public Safety Technologies</w:t>
      </w:r>
      <w:r>
        <w:t xml:space="preserve"> </w:t>
      </w:r>
      <w:r w:rsidR="004D0EA1">
        <w:t>simply showed</w:t>
      </w:r>
      <w:r w:rsidR="00274A2D">
        <w:t xml:space="preserve"> that the Bureau</w:t>
      </w:r>
      <w:r w:rsidR="004140D0">
        <w:t>,</w:t>
      </w:r>
      <w:r w:rsidR="00B37237">
        <w:t xml:space="preserve"> in the context of enforcement actions involving continuous operation on a shared channel over a period of years</w:t>
      </w:r>
      <w:r w:rsidR="004140D0">
        <w:t>,</w:t>
      </w:r>
      <w:r>
        <w:t xml:space="preserve"> follow</w:t>
      </w:r>
      <w:r w:rsidR="00274A2D">
        <w:t>ed</w:t>
      </w:r>
      <w:r>
        <w:t xml:space="preserve"> the same approach </w:t>
      </w:r>
      <w:r w:rsidR="00B37237">
        <w:t xml:space="preserve">for upward adjustments </w:t>
      </w:r>
      <w:r>
        <w:t xml:space="preserve">used in the </w:t>
      </w:r>
      <w:r>
        <w:rPr>
          <w:i/>
          <w:iCs/>
        </w:rPr>
        <w:t>Forfeiture Order</w:t>
      </w:r>
      <w:r w:rsidR="00274A2D">
        <w:t xml:space="preserve"> in a later case</w:t>
      </w:r>
      <w:r w:rsidR="00A44F86">
        <w:t>, as well</w:t>
      </w:r>
      <w:r>
        <w:t>.</w:t>
      </w:r>
      <w:r>
        <w:rPr>
          <w:rStyle w:val="FootnoteReference"/>
        </w:rPr>
        <w:footnoteReference w:id="51"/>
      </w:r>
      <w:r>
        <w:t xml:space="preserve">  </w:t>
      </w:r>
      <w:r w:rsidR="00E60228">
        <w:t xml:space="preserve">Based on the foregoing, </w:t>
      </w:r>
      <w:r w:rsidR="003819CE">
        <w:t>we deny the Application</w:t>
      </w:r>
      <w:r w:rsidR="00606FE4">
        <w:t xml:space="preserve"> with respect to the disparate treatment allegations, as it fails to demonstrate that Mobile Relay was treated differently from similarly situated licensees.  </w:t>
      </w:r>
    </w:p>
    <w:p w:rsidR="00FF0AFD" w:rsidP="00FF0AFD" w14:paraId="54015520" w14:textId="2F2A3B97">
      <w:pPr>
        <w:pStyle w:val="Heading1"/>
      </w:pPr>
      <w:r>
        <w:t>Conclusion</w:t>
      </w:r>
    </w:p>
    <w:p w:rsidR="006F6E7B" w:rsidRPr="003E07CC" w:rsidP="00DD5E96" w14:paraId="4C9D5FFF" w14:textId="793FB5EA">
      <w:pPr>
        <w:pStyle w:val="ParaNum"/>
      </w:pPr>
      <w:r w:rsidRPr="003E07CC">
        <w:t xml:space="preserve">Upon review of the Application and the entire record, we conclude that </w:t>
      </w:r>
      <w:r w:rsidR="00CB4BD6">
        <w:t xml:space="preserve">Mobile Relay </w:t>
      </w:r>
      <w:r w:rsidRPr="003E07CC" w:rsidR="00DE2BC7">
        <w:t>fails</w:t>
      </w:r>
      <w:r w:rsidRPr="003E07CC">
        <w:t xml:space="preserve"> to demonstrate that the Bureau erred.  The Enforcement Bureau properly decided the matters raised</w:t>
      </w:r>
      <w:r w:rsidRPr="003E07CC" w:rsidR="001818C6">
        <w:t xml:space="preserve"> in the </w:t>
      </w:r>
      <w:r w:rsidRPr="000B5A36" w:rsidR="000B5A36">
        <w:rPr>
          <w:i/>
          <w:iCs/>
        </w:rPr>
        <w:t>MO&amp;O</w:t>
      </w:r>
      <w:r w:rsidRPr="003E07CC" w:rsidR="00FF30BE">
        <w:t>,</w:t>
      </w:r>
      <w:r w:rsidRPr="003E07CC">
        <w:t xml:space="preserve"> and we uphold </w:t>
      </w:r>
      <w:r w:rsidRPr="003E07CC" w:rsidR="001818C6">
        <w:t xml:space="preserve">its decisions </w:t>
      </w:r>
      <w:r w:rsidRPr="003E07CC">
        <w:t xml:space="preserve">for the reasons stated </w:t>
      </w:r>
      <w:r w:rsidR="000B5A36">
        <w:t xml:space="preserve">herein and </w:t>
      </w:r>
      <w:r w:rsidRPr="003E07CC">
        <w:t>therein</w:t>
      </w:r>
      <w:r w:rsidR="00824B7C">
        <w:t xml:space="preserve"> and affirm the imposition of the $25,000 monetary forfeiture against Mobile Relay</w:t>
      </w:r>
      <w:r w:rsidRPr="003E07CC">
        <w:t>.</w:t>
      </w:r>
    </w:p>
    <w:p w:rsidR="00D72C5F" w:rsidP="00D72C5F" w14:paraId="50455458" w14:textId="6237E862">
      <w:pPr>
        <w:pStyle w:val="Heading1"/>
      </w:pPr>
      <w:r>
        <w:t>Ordering Clauses</w:t>
      </w:r>
    </w:p>
    <w:p w:rsidR="00947139" w:rsidRPr="003E07CC" w:rsidP="001C5F68" w14:paraId="4C789739" w14:textId="037F462D">
      <w:pPr>
        <w:pStyle w:val="ParaNum"/>
        <w:widowControl/>
      </w:pPr>
      <w:r w:rsidRPr="00D72C5F">
        <w:rPr>
          <w:b/>
          <w:bCs/>
        </w:rPr>
        <w:t xml:space="preserve">ACCORDINGLY, </w:t>
      </w:r>
      <w:r w:rsidRPr="003E07CC" w:rsidR="00837C7C">
        <w:rPr>
          <w:b/>
        </w:rPr>
        <w:t>IT IS</w:t>
      </w:r>
      <w:r w:rsidRPr="003E07CC">
        <w:rPr>
          <w:b/>
        </w:rPr>
        <w:t xml:space="preserve"> ORDERED</w:t>
      </w:r>
      <w:r w:rsidRPr="003E07CC">
        <w:t xml:space="preserve"> that, pursuant to </w:t>
      </w:r>
      <w:r w:rsidR="002E3719">
        <w:t>s</w:t>
      </w:r>
      <w:r w:rsidRPr="003E07CC">
        <w:t xml:space="preserve">ection </w:t>
      </w:r>
      <w:r w:rsidRPr="003E07CC" w:rsidR="00277A70">
        <w:t>5(c)(5)</w:t>
      </w:r>
      <w:r w:rsidRPr="003E07CC">
        <w:t xml:space="preserve"> of the </w:t>
      </w:r>
      <w:r w:rsidR="00AF418A">
        <w:t>Act</w:t>
      </w:r>
      <w:r w:rsidRPr="003E07CC">
        <w:t xml:space="preserve"> and </w:t>
      </w:r>
      <w:r w:rsidR="002E3719">
        <w:t>s</w:t>
      </w:r>
      <w:r w:rsidRPr="003E07CC">
        <w:t xml:space="preserve">ection 1.115 of the Commission’s rules, the Application for Review filed by </w:t>
      </w:r>
      <w:r w:rsidR="00AF418A">
        <w:t xml:space="preserve">Mobile Relay Associates </w:t>
      </w:r>
      <w:r w:rsidRPr="003E07CC" w:rsidR="00837C7C">
        <w:rPr>
          <w:b/>
        </w:rPr>
        <w:t>IS</w:t>
      </w:r>
      <w:r w:rsidRPr="003E07CC">
        <w:rPr>
          <w:b/>
        </w:rPr>
        <w:t xml:space="preserve"> DENIED</w:t>
      </w:r>
      <w:r w:rsidRPr="003E07CC">
        <w:t>.</w:t>
      </w:r>
      <w:r>
        <w:rPr>
          <w:rStyle w:val="FootnoteReference"/>
          <w:szCs w:val="22"/>
        </w:rPr>
        <w:footnoteReference w:id="52"/>
      </w:r>
    </w:p>
    <w:p w:rsidR="00947139" w:rsidRPr="003E07CC" w:rsidP="008E4E74" w14:paraId="494E3A87" w14:textId="6C9D6272">
      <w:pPr>
        <w:pStyle w:val="ParaNum"/>
        <w:widowControl/>
      </w:pPr>
      <w:r w:rsidRPr="003E07CC">
        <w:rPr>
          <w:b/>
        </w:rPr>
        <w:t>IT IS</w:t>
      </w:r>
      <w:r w:rsidRPr="003E07CC">
        <w:rPr>
          <w:b/>
        </w:rPr>
        <w:t xml:space="preserve"> FURTHER ORDERED</w:t>
      </w:r>
      <w:r w:rsidRPr="003E07CC" w:rsidR="001818C6">
        <w:t xml:space="preserve"> that the </w:t>
      </w:r>
      <w:r w:rsidR="00B0529E">
        <w:rPr>
          <w:i/>
          <w:iCs/>
        </w:rPr>
        <w:t>MO&amp;O</w:t>
      </w:r>
      <w:r w:rsidR="00A462F9">
        <w:rPr>
          <w:i/>
          <w:iCs/>
        </w:rPr>
        <w:t xml:space="preserve"> </w:t>
      </w:r>
      <w:r w:rsidRPr="003E07CC" w:rsidR="001818C6">
        <w:rPr>
          <w:b/>
        </w:rPr>
        <w:t>IS</w:t>
      </w:r>
      <w:r w:rsidRPr="003E07CC">
        <w:rPr>
          <w:b/>
        </w:rPr>
        <w:t xml:space="preserve"> </w:t>
      </w:r>
      <w:r w:rsidRPr="003E07CC">
        <w:rPr>
          <w:b/>
        </w:rPr>
        <w:t>AFFIRMED</w:t>
      </w:r>
      <w:r w:rsidRPr="003E07CC">
        <w:t xml:space="preserve"> and that pursuant to </w:t>
      </w:r>
      <w:r w:rsidR="002E3719">
        <w:t>s</w:t>
      </w:r>
      <w:r w:rsidRPr="003E07CC">
        <w:t xml:space="preserve">ection 503(b) of the </w:t>
      </w:r>
      <w:r w:rsidRPr="003E07CC" w:rsidR="001818C6">
        <w:t xml:space="preserve">Act and </w:t>
      </w:r>
      <w:r w:rsidR="002E3719">
        <w:t>s</w:t>
      </w:r>
      <w:r w:rsidRPr="003E07CC" w:rsidR="001818C6">
        <w:t xml:space="preserve">ection 1.80 of the </w:t>
      </w:r>
      <w:r w:rsidR="002E3719">
        <w:t>Commission’s r</w:t>
      </w:r>
      <w:r w:rsidRPr="003E07CC" w:rsidR="001818C6">
        <w:t xml:space="preserve">ules, </w:t>
      </w:r>
      <w:r w:rsidR="00A462F9">
        <w:t xml:space="preserve">Mobile Relay Associates </w:t>
      </w:r>
      <w:r w:rsidRPr="003E07CC" w:rsidR="001818C6">
        <w:rPr>
          <w:b/>
        </w:rPr>
        <w:t>SHALL PAY A MONETARY FORFEITURE</w:t>
      </w:r>
      <w:r w:rsidRPr="003E07CC" w:rsidR="001818C6">
        <w:t xml:space="preserve"> in the amount of </w:t>
      </w:r>
      <w:r w:rsidR="00A462F9">
        <w:t xml:space="preserve">Twenty-Five Thousand Dollars ($25,000) </w:t>
      </w:r>
      <w:r w:rsidRPr="003E07CC" w:rsidR="001818C6">
        <w:t xml:space="preserve">as specified in the </w:t>
      </w:r>
      <w:r w:rsidR="00B0529E">
        <w:rPr>
          <w:i/>
          <w:iCs/>
        </w:rPr>
        <w:t>MO&amp;O</w:t>
      </w:r>
      <w:r w:rsidRPr="003E07CC">
        <w:t>.</w:t>
      </w:r>
      <w:r>
        <w:rPr>
          <w:rStyle w:val="FootnoteReference"/>
          <w:szCs w:val="22"/>
        </w:rPr>
        <w:footnoteReference w:id="53"/>
      </w:r>
    </w:p>
    <w:p w:rsidR="00200F2E" w:rsidRPr="003E07CC" w:rsidP="004379E6" w14:paraId="59281832" w14:textId="1EA1A516">
      <w:pPr>
        <w:pStyle w:val="ParaNum"/>
        <w:keepNext/>
        <w:widowControl/>
        <w:rPr>
          <w:b/>
        </w:rPr>
      </w:pPr>
      <w:r w:rsidRPr="003E07CC">
        <w:rPr>
          <w:b/>
        </w:rPr>
        <w:t>IT IS FURTHER ORDERED</w:t>
      </w:r>
      <w:r w:rsidRPr="003E07CC">
        <w:t xml:space="preserve"> that a copy of this </w:t>
      </w:r>
      <w:r w:rsidRPr="00EE69E2" w:rsidR="006311FE">
        <w:rPr>
          <w:i/>
          <w:iCs/>
        </w:rPr>
        <w:t>Memorandum Opin</w:t>
      </w:r>
      <w:r w:rsidRPr="00EE69E2" w:rsidR="00FE1D16">
        <w:rPr>
          <w:i/>
          <w:iCs/>
        </w:rPr>
        <w:t>ion and</w:t>
      </w:r>
      <w:r w:rsidRPr="00EE69E2" w:rsidR="006311FE">
        <w:rPr>
          <w:i/>
          <w:iCs/>
        </w:rPr>
        <w:t xml:space="preserve"> </w:t>
      </w:r>
      <w:r w:rsidRPr="00EE69E2" w:rsidR="00B0529E">
        <w:rPr>
          <w:i/>
          <w:iCs/>
        </w:rPr>
        <w:t>Order</w:t>
      </w:r>
      <w:r w:rsidR="00B0529E">
        <w:t xml:space="preserve"> </w:t>
      </w:r>
      <w:r w:rsidRPr="004749BE" w:rsidR="003E07CC">
        <w:t xml:space="preserve">shall be sent by first class mail and certified mail, return receipt requested, to </w:t>
      </w:r>
      <w:r w:rsidR="006965B0">
        <w:t xml:space="preserve">Mobile Relay Associates, P.O. Box 19, Paramount, California 90723-0019, and to its counsel, David J. Kaufman, Esquire, </w:t>
      </w:r>
      <w:r w:rsidR="006965B0">
        <w:t>Rini</w:t>
      </w:r>
      <w:r w:rsidR="006965B0">
        <w:t xml:space="preserve"> O’Neil, PC, 1200 New Hampshire Avenue, NW, Suite 600, Washington, DC 20036.</w:t>
      </w:r>
    </w:p>
    <w:p w:rsidR="00200F2E" w:rsidRPr="003E07CC" w:rsidP="00DD0347" w14:paraId="7235171E" w14:textId="77777777">
      <w:pPr>
        <w:pStyle w:val="ParaNum"/>
        <w:keepNext/>
        <w:numPr>
          <w:ilvl w:val="0"/>
          <w:numId w:val="0"/>
        </w:numPr>
        <w:ind w:left="720"/>
        <w:rPr>
          <w:szCs w:val="22"/>
        </w:rPr>
      </w:pPr>
    </w:p>
    <w:p w:rsidR="002D0E6B" w:rsidRPr="00DD5E96" w:rsidP="00DD0347" w14:paraId="79C4DBBF" w14:textId="77777777">
      <w:pPr>
        <w:keepNext/>
      </w:pPr>
      <w:r w:rsidRPr="003E07CC">
        <w:rPr>
          <w:szCs w:val="22"/>
        </w:rPr>
        <w:tab/>
      </w:r>
      <w:r w:rsidRPr="003E07CC">
        <w:rPr>
          <w:szCs w:val="22"/>
        </w:rPr>
        <w:tab/>
      </w:r>
      <w:r w:rsidRPr="003E07CC">
        <w:rPr>
          <w:szCs w:val="22"/>
        </w:rPr>
        <w:tab/>
      </w:r>
      <w:r w:rsidRPr="003E07CC">
        <w:rPr>
          <w:szCs w:val="22"/>
        </w:rPr>
        <w:tab/>
      </w:r>
      <w:r w:rsidRPr="003E07CC">
        <w:rPr>
          <w:szCs w:val="22"/>
        </w:rPr>
        <w:tab/>
      </w:r>
      <w:r w:rsidRPr="003E07CC">
        <w:rPr>
          <w:szCs w:val="22"/>
        </w:rPr>
        <w:tab/>
      </w:r>
      <w:r w:rsidRPr="00DD5E96">
        <w:t>FEDERAL COMMUNICATIONS COMMISSION</w:t>
      </w:r>
    </w:p>
    <w:p w:rsidR="002D0E6B" w:rsidP="00DD0347" w14:paraId="102F265A" w14:textId="77777777">
      <w:pPr>
        <w:keepNext/>
        <w:rPr>
          <w:szCs w:val="22"/>
        </w:rPr>
      </w:pPr>
    </w:p>
    <w:p w:rsidR="002D0E6B" w:rsidRPr="003E07CC" w:rsidP="00DD0347" w14:paraId="7BDEF6D3" w14:textId="77777777">
      <w:pPr>
        <w:keepNext/>
        <w:rPr>
          <w:szCs w:val="22"/>
        </w:rPr>
      </w:pPr>
    </w:p>
    <w:p w:rsidR="002D0E6B" w:rsidRPr="003E07CC" w:rsidP="00DD0347" w14:paraId="33AFFC55" w14:textId="77777777">
      <w:pPr>
        <w:keepNext/>
        <w:rPr>
          <w:szCs w:val="22"/>
        </w:rPr>
      </w:pPr>
    </w:p>
    <w:p w:rsidR="002D0E6B" w:rsidRPr="003E07CC" w:rsidP="00DD0347" w14:paraId="01701024" w14:textId="77777777">
      <w:pPr>
        <w:keepNext/>
        <w:rPr>
          <w:szCs w:val="22"/>
        </w:rPr>
      </w:pPr>
    </w:p>
    <w:p w:rsidR="002D0E6B" w:rsidRPr="003E07CC" w:rsidP="00DD0347" w14:paraId="4327DE97" w14:textId="77777777">
      <w:pPr>
        <w:keepNext/>
        <w:rPr>
          <w:szCs w:val="22"/>
        </w:rPr>
      </w:pPr>
      <w:r w:rsidRPr="003E07CC">
        <w:rPr>
          <w:szCs w:val="22"/>
        </w:rPr>
        <w:tab/>
      </w:r>
      <w:r w:rsidRPr="003E07CC">
        <w:rPr>
          <w:szCs w:val="22"/>
        </w:rPr>
        <w:tab/>
      </w:r>
      <w:r w:rsidRPr="003E07CC">
        <w:rPr>
          <w:szCs w:val="22"/>
        </w:rPr>
        <w:tab/>
      </w:r>
      <w:r w:rsidRPr="003E07CC">
        <w:rPr>
          <w:szCs w:val="22"/>
        </w:rPr>
        <w:tab/>
      </w:r>
      <w:r w:rsidRPr="003E07CC">
        <w:rPr>
          <w:szCs w:val="22"/>
        </w:rPr>
        <w:tab/>
      </w:r>
      <w:r w:rsidRPr="003E07CC">
        <w:rPr>
          <w:szCs w:val="22"/>
        </w:rPr>
        <w:tab/>
        <w:t>Marlene H. Dortch</w:t>
      </w:r>
    </w:p>
    <w:p w:rsidR="00B7594D" w:rsidP="00DD0347" w14:paraId="73BFD7B1" w14:textId="254691D6">
      <w:pPr>
        <w:keepNext/>
      </w:pPr>
      <w:r w:rsidRPr="003E07CC">
        <w:rPr>
          <w:szCs w:val="22"/>
        </w:rPr>
        <w:tab/>
      </w:r>
      <w:r w:rsidRPr="003E07CC">
        <w:rPr>
          <w:szCs w:val="22"/>
        </w:rPr>
        <w:tab/>
      </w:r>
      <w:r w:rsidRPr="003E07CC">
        <w:rPr>
          <w:szCs w:val="22"/>
        </w:rPr>
        <w:tab/>
      </w:r>
      <w:r w:rsidRPr="003E07CC">
        <w:rPr>
          <w:szCs w:val="22"/>
        </w:rPr>
        <w:tab/>
      </w:r>
      <w:r w:rsidRPr="003E07CC">
        <w:rPr>
          <w:szCs w:val="22"/>
        </w:rPr>
        <w:tab/>
      </w:r>
      <w:r w:rsidRPr="003E07CC">
        <w:rPr>
          <w:szCs w:val="22"/>
        </w:rPr>
        <w:tab/>
        <w:t>Secretary</w:t>
      </w:r>
      <w:r w:rsidRPr="00534310">
        <w:t xml:space="preserve"> </w:t>
      </w:r>
    </w:p>
    <w:p w:rsidR="00B91642" w:rsidP="00DD0347" w14:paraId="23660FEA" w14:textId="77777777">
      <w:pPr>
        <w:keepNext/>
        <w:rPr>
          <w:szCs w:val="22"/>
        </w:rPr>
        <w:sectPr w:rsidSect="007247C2">
          <w:headerReference w:type="even" r:id="rId5"/>
          <w:headerReference w:type="default" r:id="rId6"/>
          <w:footerReference w:type="even" r:id="rId7"/>
          <w:footerReference w:type="default" r:id="rId8"/>
          <w:headerReference w:type="first" r:id="rId9"/>
          <w:endnotePr>
            <w:numFmt w:val="decimal"/>
          </w:endnotePr>
          <w:pgSz w:w="12240" w:h="15840"/>
          <w:pgMar w:top="1170" w:right="1440" w:bottom="720" w:left="1440" w:header="720" w:footer="720" w:gutter="0"/>
          <w:pgNumType w:start="1"/>
          <w:cols w:space="720"/>
          <w:noEndnote/>
          <w:titlePg/>
        </w:sectPr>
      </w:pPr>
    </w:p>
    <w:p w:rsidR="00EF5DB2" w:rsidRPr="005577AD" w:rsidP="00EF5DB2" w14:paraId="73CA37C5" w14:textId="77777777">
      <w:pPr>
        <w:jc w:val="center"/>
        <w:rPr>
          <w:b/>
          <w:bCs/>
          <w:caps/>
          <w:szCs w:val="22"/>
        </w:rPr>
      </w:pPr>
      <w:r w:rsidRPr="005577AD">
        <w:rPr>
          <w:b/>
          <w:bCs/>
          <w:caps/>
          <w:szCs w:val="22"/>
        </w:rPr>
        <w:t>Statement of</w:t>
      </w:r>
    </w:p>
    <w:p w:rsidR="00EF5DB2" w:rsidRPr="005577AD" w:rsidP="00EF5DB2" w14:paraId="2FCA8651" w14:textId="01E6F3CD">
      <w:pPr>
        <w:jc w:val="center"/>
        <w:rPr>
          <w:b/>
          <w:bCs/>
          <w:caps/>
          <w:szCs w:val="22"/>
        </w:rPr>
      </w:pPr>
      <w:r w:rsidRPr="00EF5DB2">
        <w:rPr>
          <w:b/>
          <w:bCs/>
          <w:caps/>
          <w:szCs w:val="22"/>
        </w:rPr>
        <w:t xml:space="preserve">ACTING CHAIRWOMAN JESSICA </w:t>
      </w:r>
      <w:r w:rsidRPr="00EF5DB2">
        <w:rPr>
          <w:b/>
          <w:bCs/>
          <w:caps/>
          <w:szCs w:val="22"/>
        </w:rPr>
        <w:t>ROSENWORCEL</w:t>
      </w:r>
    </w:p>
    <w:p w:rsidR="00EF5DB2" w:rsidRPr="005577AD" w:rsidP="00EF5DB2" w14:paraId="078F8DBF" w14:textId="77777777">
      <w:pPr>
        <w:jc w:val="center"/>
        <w:rPr>
          <w:b/>
          <w:bCs/>
          <w:caps/>
          <w:szCs w:val="22"/>
        </w:rPr>
      </w:pPr>
    </w:p>
    <w:p w:rsidR="00EF5DB2" w:rsidRPr="005577AD" w:rsidP="00425C86" w14:paraId="293D9455" w14:textId="7399959B">
      <w:pPr>
        <w:ind w:left="720" w:hanging="720"/>
        <w:rPr>
          <w:i/>
          <w:iCs/>
          <w:szCs w:val="22"/>
        </w:rPr>
      </w:pPr>
      <w:r w:rsidRPr="005577AD">
        <w:rPr>
          <w:iCs/>
          <w:szCs w:val="22"/>
        </w:rPr>
        <w:t>Re:</w:t>
      </w:r>
      <w:r w:rsidRPr="005577AD">
        <w:rPr>
          <w:szCs w:val="22"/>
        </w:rPr>
        <w:t xml:space="preserve"> </w:t>
      </w:r>
      <w:r w:rsidRPr="005577AD">
        <w:rPr>
          <w:szCs w:val="22"/>
        </w:rPr>
        <w:tab/>
      </w:r>
      <w:r w:rsidRPr="00EF5DB2">
        <w:rPr>
          <w:i/>
          <w:iCs/>
          <w:szCs w:val="22"/>
        </w:rPr>
        <w:t>In the Matter of</w:t>
      </w:r>
      <w:r>
        <w:rPr>
          <w:i/>
          <w:iCs/>
          <w:szCs w:val="22"/>
        </w:rPr>
        <w:t xml:space="preserve"> </w:t>
      </w:r>
      <w:r w:rsidRPr="00EF5DB2">
        <w:rPr>
          <w:i/>
          <w:iCs/>
          <w:szCs w:val="22"/>
        </w:rPr>
        <w:t>Mobile Relay Associates,</w:t>
      </w:r>
      <w:r>
        <w:rPr>
          <w:i/>
          <w:iCs/>
          <w:szCs w:val="22"/>
        </w:rPr>
        <w:t xml:space="preserve"> </w:t>
      </w:r>
      <w:r w:rsidRPr="00EF5DB2">
        <w:rPr>
          <w:i/>
          <w:iCs/>
          <w:szCs w:val="22"/>
        </w:rPr>
        <w:t>Licensee of Station WPPF234, Malibu, CA</w:t>
      </w:r>
      <w:r w:rsidRPr="005577AD">
        <w:rPr>
          <w:iCs/>
          <w:szCs w:val="22"/>
        </w:rPr>
        <w:t xml:space="preserve">, </w:t>
      </w:r>
      <w:r w:rsidRPr="00EF5DB2">
        <w:rPr>
          <w:iCs/>
          <w:szCs w:val="22"/>
        </w:rPr>
        <w:t>File No.:  EB-FIELDWR-13-00006950</w:t>
      </w:r>
      <w:r w:rsidRPr="005577AD">
        <w:rPr>
          <w:iCs/>
          <w:szCs w:val="22"/>
        </w:rPr>
        <w:t>.</w:t>
      </w:r>
    </w:p>
    <w:p w:rsidR="00EF5DB2" w:rsidRPr="005577AD" w:rsidP="00EF5DB2" w14:paraId="3A704058" w14:textId="77777777">
      <w:pPr>
        <w:ind w:firstLine="720"/>
        <w:rPr>
          <w:szCs w:val="22"/>
        </w:rPr>
      </w:pPr>
    </w:p>
    <w:p w:rsidR="00667534" w:rsidRPr="00667534" w:rsidP="00667534" w14:paraId="3FE04FE7" w14:textId="6107E7CB">
      <w:pPr>
        <w:spacing w:after="120"/>
        <w:ind w:firstLine="720"/>
        <w:rPr>
          <w:szCs w:val="22"/>
        </w:rPr>
      </w:pPr>
      <w:r w:rsidRPr="00667534">
        <w:rPr>
          <w:szCs w:val="22"/>
        </w:rPr>
        <w:t xml:space="preserve">It was in 2013 when the Federal Communications Commission’s Field Office in Los Angeles first issued a Notice of Violation against Mobile Relay Associates.  It alleged that Mobile Relay Associates was operating a station on a channel that it was supposed to share, causing harmful interference to others that were playing by the rules.  </w:t>
      </w:r>
    </w:p>
    <w:p w:rsidR="00667534" w:rsidRPr="00667534" w:rsidP="00667534" w14:paraId="1B6623F1" w14:textId="07543D2D">
      <w:pPr>
        <w:spacing w:after="120"/>
        <w:ind w:firstLine="720"/>
        <w:rPr>
          <w:szCs w:val="22"/>
        </w:rPr>
      </w:pPr>
      <w:r w:rsidRPr="00667534">
        <w:rPr>
          <w:szCs w:val="22"/>
        </w:rPr>
        <w:t xml:space="preserve">This was the beginning of a long process—one that </w:t>
      </w:r>
      <w:r w:rsidRPr="00667534">
        <w:rPr>
          <w:szCs w:val="22"/>
        </w:rPr>
        <w:t>quite</w:t>
      </w:r>
      <w:r w:rsidRPr="00667534">
        <w:rPr>
          <w:szCs w:val="22"/>
        </w:rPr>
        <w:t xml:space="preserve"> frankly, takes too long.   In a series of filings Mobile Relay Associates contested the findings of our Field Office, disputing the initial Notice of Violation and subsequent enforcement activity.  We have given them time.  We have carefully considered each argument.  But now we bring the effort that began in 2013 to conclusion and affirm the monetary forfeiture against the company.</w:t>
      </w:r>
    </w:p>
    <w:p w:rsidR="00667534" w:rsidRPr="00667534" w:rsidP="00667534" w14:paraId="387D91EB" w14:textId="45BBA670">
      <w:pPr>
        <w:spacing w:after="120"/>
        <w:ind w:firstLine="720"/>
        <w:rPr>
          <w:szCs w:val="22"/>
        </w:rPr>
      </w:pPr>
      <w:r w:rsidRPr="00667534">
        <w:rPr>
          <w:szCs w:val="22"/>
        </w:rPr>
        <w:t xml:space="preserve">I believe that with interference allegations like this the agency can act more swiftly while also fulfilling its due process obligations.  After all, our airwaves are getting more crowded, which means we are facing new sources of interference to a resource that is increasingly important to our economic and national security.  That is why I am having the agency develop new timeliness goals for case resolution.  I believe that doing so will foster fairer and more consistent enforcement with better results for the public.  </w:t>
      </w:r>
    </w:p>
    <w:p w:rsidR="00667534" w:rsidRPr="00667534" w:rsidP="00667534" w14:paraId="4453B525" w14:textId="4AECEE47">
      <w:pPr>
        <w:spacing w:after="120"/>
        <w:ind w:firstLine="720"/>
        <w:rPr>
          <w:szCs w:val="22"/>
        </w:rPr>
      </w:pPr>
      <w:r w:rsidRPr="00667534">
        <w:rPr>
          <w:szCs w:val="22"/>
        </w:rPr>
        <w:t>Thank you to the staff of the Enforcement Bureau for the many years they spent on this effort, including Matt Gibson, Lark Hadley, Rosemary Harold, Christopher Killion, Jeremy Marcus, Janet Moran, Joy Ragsdale, Axel Rodriguez, Ashley Tyson, and the Field Agents in the Los Angeles Field Office.  Thank you also to David Horowitz, Linda Oliver, William Richardson, and Anjali Singh from the Office of General Counsel and Lloyd Coward and Jessica Quinley from the Wireless Telecommunications Bureau.</w:t>
      </w:r>
    </w:p>
    <w:p w:rsidR="00B91642" w:rsidRPr="001B6AB2" w:rsidP="00DD0347" w14:paraId="1F559330" w14:textId="5E0C92BC">
      <w:pPr>
        <w:keepNext/>
        <w:rPr>
          <w:szCs w:val="22"/>
        </w:rPr>
      </w:pPr>
    </w:p>
    <w:sectPr w:rsidSect="006F1686">
      <w:headerReference w:type="default" r:id="rId10"/>
      <w:footerReference w:type="even" r:id="rId11"/>
      <w:footerReference w:type="default" r:id="rId12"/>
      <w:headerReference w:type="first" r:id="rId13"/>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CF83D4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A52B53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62D4059" w14:textId="77777777">
    <w:pPr>
      <w:pStyle w:val="Footer"/>
      <w:framePr w:wrap="around" w:vAnchor="text" w:hAnchor="margin" w:xAlign="center" w:y="1"/>
    </w:pPr>
    <w:r>
      <w:fldChar w:fldCharType="begin"/>
    </w:r>
    <w:r>
      <w:instrText xml:space="preserve">PAGE  </w:instrText>
    </w:r>
    <w:r>
      <w:fldChar w:fldCharType="separate"/>
    </w:r>
    <w:r w:rsidR="009D3C86">
      <w:rPr>
        <w:noProof/>
      </w:rPr>
      <w:t>2</w:t>
    </w:r>
    <w:r>
      <w:fldChar w:fldCharType="end"/>
    </w:r>
  </w:p>
  <w:p w:rsidR="00D25FB5" w:rsidP="00E57EA6" w14:paraId="410A9F73"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19B795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48A7311"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D8D0DC8"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77566FB2" w14:textId="77777777">
    <w:pPr>
      <w:suppressAutoHyphens/>
      <w:spacing w:line="227"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51B86" w14:paraId="21601E4A" w14:textId="77777777">
      <w:r>
        <w:separator/>
      </w:r>
    </w:p>
  </w:footnote>
  <w:footnote w:type="continuationSeparator" w:id="1">
    <w:p w:rsidR="00E51B86" w:rsidP="00C721AC" w14:paraId="0BD9373D" w14:textId="77777777">
      <w:pPr>
        <w:spacing w:before="120"/>
        <w:rPr>
          <w:sz w:val="20"/>
        </w:rPr>
      </w:pPr>
      <w:r>
        <w:rPr>
          <w:sz w:val="20"/>
        </w:rPr>
        <w:t xml:space="preserve">(Continued from previous page)  </w:t>
      </w:r>
      <w:r>
        <w:rPr>
          <w:sz w:val="20"/>
        </w:rPr>
        <w:separator/>
      </w:r>
    </w:p>
  </w:footnote>
  <w:footnote w:type="continuationNotice" w:id="2">
    <w:p w:rsidR="00E51B86" w:rsidP="00C721AC" w14:paraId="63A70E93" w14:textId="77777777">
      <w:pPr>
        <w:jc w:val="right"/>
        <w:rPr>
          <w:sz w:val="20"/>
        </w:rPr>
      </w:pPr>
      <w:r>
        <w:rPr>
          <w:sz w:val="20"/>
        </w:rPr>
        <w:t>(continued….)</w:t>
      </w:r>
    </w:p>
  </w:footnote>
  <w:footnote w:id="3">
    <w:p w:rsidR="009368C3" w14:paraId="593DDE6E" w14:textId="3085A4F9">
      <w:pPr>
        <w:pStyle w:val="FootnoteText"/>
      </w:pPr>
      <w:r>
        <w:rPr>
          <w:rStyle w:val="FootnoteReference"/>
        </w:rPr>
        <w:footnoteRef/>
      </w:r>
      <w:r>
        <w:t xml:space="preserve"> </w:t>
      </w:r>
      <w:r w:rsidR="006F21CB">
        <w:t xml:space="preserve">Application for Review of </w:t>
      </w:r>
      <w:r w:rsidR="00047B0E">
        <w:t>Mobile Relay Associates</w:t>
      </w:r>
      <w:r w:rsidR="005B2D29">
        <w:t xml:space="preserve"> (filed Sept. 2, 2020) (on </w:t>
      </w:r>
      <w:r w:rsidR="002573E4">
        <w:t xml:space="preserve">file in EB-FIELDWR-13-00006950). </w:t>
      </w:r>
    </w:p>
  </w:footnote>
  <w:footnote w:id="4">
    <w:p w:rsidR="00477509" w:rsidRPr="005B2D29" w14:paraId="2CFA65D4" w14:textId="5B976BE8">
      <w:pPr>
        <w:pStyle w:val="FootnoteText"/>
      </w:pPr>
      <w:r>
        <w:rPr>
          <w:rStyle w:val="FootnoteReference"/>
        </w:rPr>
        <w:footnoteRef/>
      </w:r>
      <w:r>
        <w:t xml:space="preserve"> </w:t>
      </w:r>
      <w:r w:rsidR="005B2D29">
        <w:rPr>
          <w:i/>
          <w:iCs/>
        </w:rPr>
        <w:t>Mobile Relay Associates</w:t>
      </w:r>
      <w:r w:rsidR="004504A6">
        <w:rPr>
          <w:i/>
          <w:iCs/>
        </w:rPr>
        <w:t>, Licensee of WPPF234, Malibu, California</w:t>
      </w:r>
      <w:r w:rsidR="005B2D29">
        <w:t xml:space="preserve">, Memorandum Opinion and Order, </w:t>
      </w:r>
      <w:r w:rsidR="004504A6">
        <w:t xml:space="preserve">35 FCC </w:t>
      </w:r>
      <w:r w:rsidR="004504A6">
        <w:t>Rcd</w:t>
      </w:r>
      <w:r w:rsidR="004504A6">
        <w:t xml:space="preserve"> 8184 (EB 2020).</w:t>
      </w:r>
    </w:p>
  </w:footnote>
  <w:footnote w:id="5">
    <w:p w:rsidR="00477509" w:rsidRPr="00497D04" w14:paraId="093B4C22" w14:textId="703AE97F">
      <w:pPr>
        <w:pStyle w:val="FootnoteText"/>
      </w:pPr>
      <w:r>
        <w:rPr>
          <w:rStyle w:val="FootnoteReference"/>
        </w:rPr>
        <w:footnoteRef/>
      </w:r>
      <w:r>
        <w:t xml:space="preserve"> </w:t>
      </w:r>
      <w:r w:rsidR="006B5420">
        <w:rPr>
          <w:i/>
          <w:iCs/>
        </w:rPr>
        <w:t>Id</w:t>
      </w:r>
      <w:r w:rsidR="006B5420">
        <w:t>.</w:t>
      </w:r>
      <w:r w:rsidR="006B71AC">
        <w:t xml:space="preserve"> at 8190; </w:t>
      </w:r>
      <w:r w:rsidR="006B71AC">
        <w:rPr>
          <w:i/>
          <w:iCs/>
        </w:rPr>
        <w:t>see Mobile Relay Associates, Licensee of WPPF234, Malibu, California</w:t>
      </w:r>
      <w:r w:rsidR="006B71AC">
        <w:t xml:space="preserve">, Forfeiture Order, </w:t>
      </w:r>
      <w:r w:rsidR="00025929">
        <w:t xml:space="preserve">30 FCC </w:t>
      </w:r>
      <w:r w:rsidR="00025929">
        <w:t>Rcd</w:t>
      </w:r>
      <w:r w:rsidR="00025929">
        <w:t xml:space="preserve"> 13642 (EB 2015)</w:t>
      </w:r>
      <w:r w:rsidR="00497D04">
        <w:t xml:space="preserve"> (</w:t>
      </w:r>
      <w:r w:rsidR="00497D04">
        <w:rPr>
          <w:i/>
          <w:iCs/>
        </w:rPr>
        <w:t>Forfeiture Order</w:t>
      </w:r>
      <w:r w:rsidR="00497D04">
        <w:t>)</w:t>
      </w:r>
      <w:r w:rsidR="00025929">
        <w:t xml:space="preserve">, </w:t>
      </w:r>
      <w:r w:rsidR="00025929">
        <w:rPr>
          <w:i/>
          <w:iCs/>
        </w:rPr>
        <w:t>aff’g</w:t>
      </w:r>
      <w:r w:rsidR="00025929">
        <w:t xml:space="preserve"> Notice of Apparent Liability for Forfeiture</w:t>
      </w:r>
      <w:r w:rsidR="00497D04">
        <w:t xml:space="preserve">, 30 FCC </w:t>
      </w:r>
      <w:r w:rsidR="00497D04">
        <w:t>Rcd</w:t>
      </w:r>
      <w:r w:rsidR="00497D04">
        <w:t xml:space="preserve"> 7134 (EB 2015) (</w:t>
      </w:r>
      <w:r w:rsidR="00497D04">
        <w:rPr>
          <w:i/>
          <w:iCs/>
        </w:rPr>
        <w:t>NAL</w:t>
      </w:r>
      <w:r w:rsidR="00497D04">
        <w:t>).</w:t>
      </w:r>
    </w:p>
  </w:footnote>
  <w:footnote w:id="6">
    <w:p w:rsidR="005C64B3" w:rsidRPr="005C64B3" w14:paraId="39D12653" w14:textId="6F0CFE39">
      <w:pPr>
        <w:pStyle w:val="FootnoteText"/>
      </w:pPr>
      <w:r>
        <w:rPr>
          <w:rStyle w:val="FootnoteReference"/>
        </w:rPr>
        <w:footnoteRef/>
      </w:r>
      <w:r>
        <w:t xml:space="preserve"> 47 U.S.C. </w:t>
      </w:r>
      <w:r w:rsidR="001867C6">
        <w:t xml:space="preserve">§§ </w:t>
      </w:r>
      <w:r w:rsidR="004379E6">
        <w:t>151</w:t>
      </w:r>
      <w:r>
        <w:t xml:space="preserve">, </w:t>
      </w:r>
      <w:r>
        <w:rPr>
          <w:i/>
          <w:iCs/>
        </w:rPr>
        <w:t>et seq.</w:t>
      </w:r>
    </w:p>
  </w:footnote>
  <w:footnote w:id="7">
    <w:p w:rsidR="00180163" w14:paraId="4BAD49DD" w14:textId="08431CEB">
      <w:pPr>
        <w:pStyle w:val="FootnoteText"/>
      </w:pPr>
      <w:r>
        <w:rPr>
          <w:rStyle w:val="FootnoteReference"/>
        </w:rPr>
        <w:footnoteRef/>
      </w:r>
      <w:r>
        <w:t xml:space="preserve"> 47 U.S.C. § </w:t>
      </w:r>
      <w:r w:rsidR="00D51CF9">
        <w:t>155(c)(4)</w:t>
      </w:r>
      <w:r w:rsidRPr="00D51CF9">
        <w:t>.</w:t>
      </w:r>
    </w:p>
  </w:footnote>
  <w:footnote w:id="8">
    <w:p w:rsidR="00647F24" w14:paraId="22E2BC84" w14:textId="6D76334E">
      <w:pPr>
        <w:pStyle w:val="FootnoteText"/>
      </w:pPr>
      <w:r>
        <w:rPr>
          <w:rStyle w:val="FootnoteReference"/>
        </w:rPr>
        <w:footnoteRef/>
      </w:r>
      <w:r>
        <w:t xml:space="preserve"> 47 CFR § 1.115.</w:t>
      </w:r>
    </w:p>
  </w:footnote>
  <w:footnote w:id="9">
    <w:p w:rsidR="008E024D" w14:paraId="1D69CEAF" w14:textId="746E0157">
      <w:pPr>
        <w:pStyle w:val="FootnoteText"/>
      </w:pPr>
      <w:r>
        <w:rPr>
          <w:rStyle w:val="FootnoteReference"/>
        </w:rPr>
        <w:footnoteRef/>
      </w:r>
      <w:r>
        <w:t xml:space="preserve"> </w:t>
      </w:r>
      <w:r w:rsidR="00C41ED7">
        <w:t>47 CFR § 90.173(a) (“Except otherwise specifically provided in this part, frequencies assigned to land mobile stations are available on a shared basis only and will not be assigned for the exclusive use of any licensee”).</w:t>
      </w:r>
    </w:p>
  </w:footnote>
  <w:footnote w:id="10">
    <w:p w:rsidR="00ED49B5" w14:paraId="5484D20D" w14:textId="404C28DF">
      <w:pPr>
        <w:pStyle w:val="FootnoteText"/>
      </w:pPr>
      <w:r>
        <w:rPr>
          <w:rStyle w:val="FootnoteReference"/>
        </w:rPr>
        <w:footnoteRef/>
      </w:r>
      <w:r>
        <w:t xml:space="preserve"> 47 CFR § 90.403(c).</w:t>
      </w:r>
    </w:p>
  </w:footnote>
  <w:footnote w:id="11">
    <w:p w:rsidR="00895996" w14:paraId="56F6928B" w14:textId="5799A5C7">
      <w:pPr>
        <w:pStyle w:val="FootnoteText"/>
      </w:pPr>
      <w:r>
        <w:rPr>
          <w:rStyle w:val="FootnoteReference"/>
        </w:rPr>
        <w:footnoteRef/>
      </w:r>
      <w:r>
        <w:t xml:space="preserve"> </w:t>
      </w:r>
      <w:r w:rsidR="001C5284">
        <w:t>47 CFR § 90.403(e).</w:t>
      </w:r>
    </w:p>
  </w:footnote>
  <w:footnote w:id="12">
    <w:p w:rsidR="000A4208" w14:paraId="1DBC6F70" w14:textId="429500AD">
      <w:pPr>
        <w:pStyle w:val="FootnoteText"/>
      </w:pPr>
      <w:r>
        <w:rPr>
          <w:rStyle w:val="FootnoteReference"/>
        </w:rPr>
        <w:footnoteRef/>
      </w:r>
      <w:r>
        <w:t xml:space="preserve"> </w:t>
      </w:r>
      <w:r w:rsidR="001C5284">
        <w:t>47 CFR § 90.187(b).</w:t>
      </w:r>
      <w:r w:rsidR="0095190F">
        <w:t xml:space="preserve">  The rule contains two exceptions that are not applicable to this case.  47 CFR </w:t>
      </w:r>
      <w:r w:rsidRPr="0095190F" w:rsidR="0095190F">
        <w:t xml:space="preserve">§ </w:t>
      </w:r>
      <w:r w:rsidR="0095190F">
        <w:t>90.187(c), (d).</w:t>
      </w:r>
      <w:r w:rsidR="00795AE5">
        <w:t xml:space="preserve">  Under the Commission’s rules, a trunked radio system is “[a] radio system employing technology that provides the ability to search two or more available communications paths and automatically assigns an open communication path to a user.” 47 CFR § 90.7.</w:t>
      </w:r>
    </w:p>
  </w:footnote>
  <w:footnote w:id="13">
    <w:p w:rsidR="00B04F01" w:rsidRPr="00FA2B37" w14:paraId="7CA4EEFD" w14:textId="00F81DF3">
      <w:pPr>
        <w:pStyle w:val="FootnoteText"/>
      </w:pPr>
      <w:r>
        <w:rPr>
          <w:rStyle w:val="FootnoteReference"/>
        </w:rPr>
        <w:footnoteRef/>
      </w:r>
      <w:r>
        <w:t xml:space="preserve"> </w:t>
      </w:r>
      <w:r w:rsidR="00FA2B37">
        <w:rPr>
          <w:i/>
          <w:iCs/>
        </w:rPr>
        <w:t>Forfeiture Order</w:t>
      </w:r>
      <w:r w:rsidR="00FA2B37">
        <w:t xml:space="preserve">, 30 FCC </w:t>
      </w:r>
      <w:r w:rsidR="00FA2B37">
        <w:t>Rcd</w:t>
      </w:r>
      <w:r w:rsidR="00FA2B37">
        <w:t xml:space="preserve"> at 13642</w:t>
      </w:r>
      <w:r w:rsidR="00FA2BA6">
        <w:t>-3</w:t>
      </w:r>
      <w:r w:rsidR="00FA2B37">
        <w:t xml:space="preserve">, paras. 1 – 2. </w:t>
      </w:r>
    </w:p>
  </w:footnote>
  <w:footnote w:id="14">
    <w:p w:rsidR="007517A6" w:rsidRPr="009F19A4" w14:paraId="075BC71B" w14:textId="0D51F2E2">
      <w:pPr>
        <w:pStyle w:val="FootnoteText"/>
      </w:pPr>
      <w:r>
        <w:rPr>
          <w:rStyle w:val="FootnoteReference"/>
        </w:rPr>
        <w:footnoteRef/>
      </w:r>
      <w:r>
        <w:t xml:space="preserve"> </w:t>
      </w:r>
      <w:r w:rsidRPr="009F19A4" w:rsidR="00ED22A3">
        <w:rPr>
          <w:i/>
          <w:iCs/>
        </w:rPr>
        <w:t>See</w:t>
      </w:r>
      <w:r w:rsidRPr="009F19A4" w:rsidR="00ED22A3">
        <w:t xml:space="preserve"> </w:t>
      </w:r>
      <w:r w:rsidRPr="009F19A4" w:rsidR="00ED22A3">
        <w:rPr>
          <w:i/>
          <w:iCs/>
        </w:rPr>
        <w:t>NAL</w:t>
      </w:r>
      <w:r w:rsidRPr="009F19A4" w:rsidR="00ED22A3">
        <w:t xml:space="preserve">, 30 FCC </w:t>
      </w:r>
      <w:r w:rsidRPr="009F19A4" w:rsidR="00ED22A3">
        <w:t>Rcd</w:t>
      </w:r>
      <w:r w:rsidRPr="009F19A4" w:rsidR="00ED22A3">
        <w:t xml:space="preserve"> at 7134, para. 2.</w:t>
      </w:r>
    </w:p>
  </w:footnote>
  <w:footnote w:id="15">
    <w:p w:rsidR="002762AF" w:rsidRPr="009F19A4" w:rsidP="001D357E" w14:paraId="6262DA27" w14:textId="53E00892">
      <w:pPr>
        <w:pStyle w:val="FootnoteText"/>
      </w:pPr>
      <w:r w:rsidRPr="009F19A4">
        <w:rPr>
          <w:rStyle w:val="FootnoteReference"/>
        </w:rPr>
        <w:footnoteRef/>
      </w:r>
      <w:r w:rsidRPr="009F19A4">
        <w:t xml:space="preserve"> </w:t>
      </w:r>
      <w:bookmarkStart w:id="2" w:name="_Hlk71027067"/>
      <w:r w:rsidRPr="009F19A4" w:rsidR="00C3736E">
        <w:rPr>
          <w:i/>
          <w:iCs/>
        </w:rPr>
        <w:t>Mobile Relay Associates</w:t>
      </w:r>
      <w:r w:rsidRPr="009F19A4" w:rsidR="00C3736E">
        <w:t>, Notice of Violation, V201332900014 (</w:t>
      </w:r>
      <w:r w:rsidR="003A19A5">
        <w:t xml:space="preserve">EB </w:t>
      </w:r>
      <w:r w:rsidRPr="009F19A4" w:rsidR="00C3736E">
        <w:t>Mar. 20, 2013)</w:t>
      </w:r>
      <w:r w:rsidR="00980E96">
        <w:t xml:space="preserve">, </w:t>
      </w:r>
      <w:r w:rsidRPr="00980E96" w:rsidR="00980E96">
        <w:t>https://docs.fcc.gov/public/attachments/DOC-319851A1.pdf</w:t>
      </w:r>
      <w:r w:rsidRPr="009F19A4" w:rsidR="00C3736E">
        <w:t xml:space="preserve"> (NOV).</w:t>
      </w:r>
      <w:bookmarkEnd w:id="2"/>
    </w:p>
  </w:footnote>
  <w:footnote w:id="16">
    <w:p w:rsidR="0054498A" w:rsidRPr="009F19A4" w:rsidP="0054498A" w14:paraId="71926141" w14:textId="77777777">
      <w:pPr>
        <w:pStyle w:val="FootnoteText"/>
      </w:pPr>
      <w:r w:rsidRPr="009F19A4">
        <w:rPr>
          <w:rStyle w:val="FootnoteReference"/>
        </w:rPr>
        <w:footnoteRef/>
      </w:r>
      <w:r w:rsidRPr="009F19A4">
        <w:t xml:space="preserve"> </w:t>
      </w:r>
      <w:r w:rsidRPr="009F19A4">
        <w:rPr>
          <w:i/>
          <w:iCs/>
        </w:rPr>
        <w:t xml:space="preserve">See </w:t>
      </w:r>
      <w:r w:rsidRPr="009F19A4">
        <w:rPr>
          <w:i/>
          <w:iCs/>
        </w:rPr>
        <w:t>NAL</w:t>
      </w:r>
      <w:r w:rsidRPr="009F19A4">
        <w:t xml:space="preserve">, 30 FCC </w:t>
      </w:r>
      <w:r w:rsidRPr="009F19A4">
        <w:t>Rcd</w:t>
      </w:r>
      <w:r w:rsidRPr="009F19A4">
        <w:t xml:space="preserve"> at 7136, para. 4.</w:t>
      </w:r>
    </w:p>
  </w:footnote>
  <w:footnote w:id="17">
    <w:p w:rsidR="00E54EA5" w:rsidRPr="009F19A4" w14:paraId="4F829A29" w14:textId="2D9C7483">
      <w:pPr>
        <w:pStyle w:val="FootnoteText"/>
      </w:pPr>
      <w:r w:rsidRPr="009F19A4">
        <w:rPr>
          <w:rStyle w:val="FootnoteReference"/>
        </w:rPr>
        <w:footnoteRef/>
      </w:r>
      <w:r w:rsidRPr="009F19A4">
        <w:t xml:space="preserve"> </w:t>
      </w:r>
      <w:r w:rsidRPr="009F19A4" w:rsidR="004837C4">
        <w:rPr>
          <w:i/>
          <w:iCs/>
        </w:rPr>
        <w:t>Id.</w:t>
      </w:r>
      <w:r w:rsidRPr="009F19A4" w:rsidR="004837C4">
        <w:t xml:space="preserve"> at </w:t>
      </w:r>
      <w:r w:rsidRPr="009F19A4" w:rsidR="0055721A">
        <w:t>7137</w:t>
      </w:r>
      <w:r w:rsidRPr="009F19A4" w:rsidR="004837C4">
        <w:t xml:space="preserve">, para. </w:t>
      </w:r>
      <w:r w:rsidRPr="009F19A4" w:rsidR="0055721A">
        <w:t>6</w:t>
      </w:r>
      <w:r w:rsidRPr="009F19A4" w:rsidR="004837C4">
        <w:t>.</w:t>
      </w:r>
    </w:p>
  </w:footnote>
  <w:footnote w:id="18">
    <w:p w:rsidR="00E54EA5" w:rsidRPr="009F19A4" w14:paraId="0F5E1D11" w14:textId="67CF660A">
      <w:pPr>
        <w:pStyle w:val="FootnoteText"/>
      </w:pPr>
      <w:r w:rsidRPr="009F19A4">
        <w:rPr>
          <w:rStyle w:val="FootnoteReference"/>
        </w:rPr>
        <w:footnoteRef/>
      </w:r>
      <w:r w:rsidRPr="009F19A4">
        <w:t xml:space="preserve"> </w:t>
      </w:r>
      <w:r w:rsidRPr="009F19A4" w:rsidR="004837C4">
        <w:rPr>
          <w:i/>
          <w:iCs/>
        </w:rPr>
        <w:t>Id</w:t>
      </w:r>
      <w:r w:rsidRPr="009F19A4" w:rsidR="004837C4">
        <w:t>.</w:t>
      </w:r>
      <w:r w:rsidR="0071039E">
        <w:t xml:space="preserve">  </w:t>
      </w:r>
      <w:r w:rsidRPr="004C77C9" w:rsidR="0071039E">
        <w:t xml:space="preserve">The specification of a duty cycle limits the number and length of transmissions which may occur in any specific time period.  </w:t>
      </w:r>
      <w:r w:rsidRPr="00CB76FF" w:rsidR="0071039E">
        <w:rPr>
          <w:i/>
          <w:color w:val="000000"/>
          <w:shd w:val="clear" w:color="auto" w:fill="FFFFFF"/>
        </w:rPr>
        <w:t>See</w:t>
      </w:r>
      <w:r w:rsidRPr="00CB76FF" w:rsidR="0071039E">
        <w:rPr>
          <w:color w:val="000000"/>
          <w:shd w:val="clear" w:color="auto" w:fill="FFFFFF"/>
        </w:rPr>
        <w:t xml:space="preserve"> </w:t>
      </w:r>
      <w:r w:rsidRPr="00FD0169" w:rsidR="0071039E">
        <w:rPr>
          <w:i/>
          <w:color w:val="000000"/>
          <w:shd w:val="clear" w:color="auto" w:fill="FFFFFF"/>
        </w:rPr>
        <w:t>Amendment of Part 90 of the Commission</w:t>
      </w:r>
      <w:r w:rsidRPr="00CB76FF" w:rsidR="0071039E">
        <w:rPr>
          <w:i/>
          <w:color w:val="000000"/>
          <w:shd w:val="clear" w:color="auto" w:fill="FFFFFF"/>
        </w:rPr>
        <w:t>’</w:t>
      </w:r>
      <w:r w:rsidRPr="00FD0169" w:rsidR="0071039E">
        <w:rPr>
          <w:i/>
          <w:color w:val="000000"/>
          <w:shd w:val="clear" w:color="auto" w:fill="FFFFFF"/>
        </w:rPr>
        <w:t>s Rules and Policies for Applications and Licensing of Low Power Operations in the Private Land Mobile Radio 450-470 MHz Band</w:t>
      </w:r>
      <w:r w:rsidR="0071039E">
        <w:rPr>
          <w:color w:val="000000"/>
          <w:shd w:val="clear" w:color="auto" w:fill="FFFFFF"/>
        </w:rPr>
        <w:t xml:space="preserve">, </w:t>
      </w:r>
      <w:r w:rsidRPr="006F79E6" w:rsidR="0071039E">
        <w:rPr>
          <w:color w:val="000000"/>
          <w:shd w:val="clear" w:color="auto" w:fill="FFFFFF"/>
        </w:rPr>
        <w:t>WT Docket No. 01-146</w:t>
      </w:r>
      <w:r w:rsidR="0071039E">
        <w:rPr>
          <w:color w:val="000000"/>
          <w:shd w:val="clear" w:color="auto" w:fill="FFFFFF"/>
        </w:rPr>
        <w:t xml:space="preserve">, Report and Order, </w:t>
      </w:r>
      <w:r w:rsidRPr="00CB76FF" w:rsidR="0071039E">
        <w:rPr>
          <w:color w:val="000000"/>
          <w:shd w:val="clear" w:color="auto" w:fill="FFFFFF"/>
        </w:rPr>
        <w:t xml:space="preserve">18 FCC </w:t>
      </w:r>
      <w:r w:rsidRPr="00CB76FF" w:rsidR="0071039E">
        <w:rPr>
          <w:color w:val="000000"/>
          <w:shd w:val="clear" w:color="auto" w:fill="FFFFFF"/>
        </w:rPr>
        <w:t>Rcd</w:t>
      </w:r>
      <w:r w:rsidRPr="00CB76FF" w:rsidR="0071039E">
        <w:rPr>
          <w:color w:val="000000"/>
          <w:shd w:val="clear" w:color="auto" w:fill="FFFFFF"/>
        </w:rPr>
        <w:t xml:space="preserve"> 3948, 3969</w:t>
      </w:r>
      <w:r w:rsidR="0071039E">
        <w:rPr>
          <w:color w:val="000000"/>
          <w:shd w:val="clear" w:color="auto" w:fill="FFFFFF"/>
        </w:rPr>
        <w:t>, para. 51</w:t>
      </w:r>
      <w:r w:rsidRPr="00CB76FF" w:rsidR="0071039E">
        <w:rPr>
          <w:color w:val="000000"/>
          <w:shd w:val="clear" w:color="auto" w:fill="FFFFFF"/>
        </w:rPr>
        <w:t xml:space="preserve"> (2003)</w:t>
      </w:r>
      <w:r w:rsidR="0071039E">
        <w:rPr>
          <w:color w:val="000000"/>
          <w:shd w:val="clear" w:color="auto" w:fill="FFFFFF"/>
        </w:rPr>
        <w:t xml:space="preserve">.  </w:t>
      </w:r>
    </w:p>
  </w:footnote>
  <w:footnote w:id="19">
    <w:p w:rsidR="000D6236" w:rsidRPr="009F19A4" w14:paraId="4245190C" w14:textId="2598B148">
      <w:pPr>
        <w:pStyle w:val="FootnoteText"/>
      </w:pPr>
      <w:r w:rsidRPr="009F19A4">
        <w:rPr>
          <w:rStyle w:val="FootnoteReference"/>
        </w:rPr>
        <w:footnoteRef/>
      </w:r>
      <w:r w:rsidRPr="009F19A4">
        <w:t xml:space="preserve"> </w:t>
      </w:r>
      <w:r w:rsidRPr="004379E6" w:rsidR="00EF71E0">
        <w:rPr>
          <w:i/>
          <w:iCs/>
        </w:rPr>
        <w:t>NAL</w:t>
      </w:r>
      <w:r w:rsidRPr="009F19A4" w:rsidR="0054498A">
        <w:t xml:space="preserve">, 30 FCC </w:t>
      </w:r>
      <w:r w:rsidRPr="009F19A4" w:rsidR="0054498A">
        <w:t>Rcd</w:t>
      </w:r>
      <w:r w:rsidRPr="009F19A4" w:rsidR="0054498A">
        <w:t xml:space="preserve"> at </w:t>
      </w:r>
      <w:r w:rsidRPr="009F19A4" w:rsidR="0097532E">
        <w:t>7137, para. 7.</w:t>
      </w:r>
    </w:p>
  </w:footnote>
  <w:footnote w:id="20">
    <w:p w:rsidR="0073583E" w:rsidRPr="00633521" w14:paraId="0FEAD7ED" w14:textId="6DD5DEC9">
      <w:pPr>
        <w:pStyle w:val="FootnoteText"/>
      </w:pPr>
      <w:r w:rsidRPr="009F19A4">
        <w:rPr>
          <w:rStyle w:val="FootnoteReference"/>
        </w:rPr>
        <w:footnoteRef/>
      </w:r>
      <w:r w:rsidRPr="009F19A4">
        <w:t xml:space="preserve"> </w:t>
      </w:r>
      <w:r w:rsidRPr="009F19A4" w:rsidR="00633521">
        <w:rPr>
          <w:i/>
          <w:iCs/>
        </w:rPr>
        <w:t>Id.</w:t>
      </w:r>
      <w:r w:rsidRPr="009F19A4" w:rsidR="00633521">
        <w:t xml:space="preserve"> at 7140, para. 12.</w:t>
      </w:r>
    </w:p>
  </w:footnote>
  <w:footnote w:id="21">
    <w:p w:rsidR="00F22BFA" w:rsidRPr="003707B6" w14:paraId="6E1D76DC" w14:textId="5C946FE8">
      <w:pPr>
        <w:pStyle w:val="FootnoteText"/>
      </w:pPr>
      <w:r>
        <w:rPr>
          <w:rStyle w:val="FootnoteReference"/>
        </w:rPr>
        <w:footnoteRef/>
      </w:r>
      <w:r>
        <w:t xml:space="preserve"> </w:t>
      </w:r>
      <w:r w:rsidR="003707B6">
        <w:rPr>
          <w:i/>
          <w:iCs/>
        </w:rPr>
        <w:t>Forfeiture Order</w:t>
      </w:r>
      <w:r w:rsidR="003707B6">
        <w:t xml:space="preserve">, </w:t>
      </w:r>
      <w:r w:rsidR="000E5336">
        <w:t xml:space="preserve">30 FCC </w:t>
      </w:r>
      <w:r w:rsidR="000E5336">
        <w:t>Rcd</w:t>
      </w:r>
      <w:r w:rsidR="000E5336">
        <w:t xml:space="preserve">. </w:t>
      </w:r>
      <w:r w:rsidR="00EF71E0">
        <w:t xml:space="preserve">at </w:t>
      </w:r>
      <w:r w:rsidR="000E5336">
        <w:t xml:space="preserve">13649, para. 14. </w:t>
      </w:r>
    </w:p>
  </w:footnote>
  <w:footnote w:id="22">
    <w:p w:rsidR="00941CFC" w14:paraId="18DEEC6E" w14:textId="7F1E3A3E">
      <w:pPr>
        <w:pStyle w:val="FootnoteText"/>
      </w:pPr>
      <w:r w:rsidRPr="00BC1328">
        <w:rPr>
          <w:rStyle w:val="FootnoteReference"/>
        </w:rPr>
        <w:footnoteRef/>
      </w:r>
      <w:r w:rsidRPr="00BC1328">
        <w:t xml:space="preserve"> </w:t>
      </w:r>
      <w:r w:rsidRPr="00BC1328" w:rsidR="009421E5">
        <w:t xml:space="preserve">Petition for Reconsideration of Mobile Relay Associates, (filed </w:t>
      </w:r>
      <w:r w:rsidRPr="00BC1328" w:rsidR="001635DF">
        <w:t>Jan. 4, 2016</w:t>
      </w:r>
      <w:r w:rsidRPr="00BC1328" w:rsidR="009421E5">
        <w:t>) (on file in EB-FIELDWR-13-00006950) (Petition).</w:t>
      </w:r>
    </w:p>
  </w:footnote>
  <w:footnote w:id="23">
    <w:p w:rsidR="00F314C2" w:rsidRPr="000777D7" w14:paraId="4F95BE70" w14:textId="6A53B8B8">
      <w:pPr>
        <w:pStyle w:val="FootnoteText"/>
      </w:pPr>
      <w:r>
        <w:rPr>
          <w:rStyle w:val="FootnoteReference"/>
        </w:rPr>
        <w:footnoteRef/>
      </w:r>
      <w:r>
        <w:t xml:space="preserve"> </w:t>
      </w:r>
      <w:r w:rsidR="000777D7">
        <w:rPr>
          <w:i/>
          <w:iCs/>
        </w:rPr>
        <w:t>See</w:t>
      </w:r>
      <w:r w:rsidR="000777D7">
        <w:t xml:space="preserve"> </w:t>
      </w:r>
      <w:r w:rsidRPr="00F17176" w:rsidR="006D51BD">
        <w:t xml:space="preserve">Petition at </w:t>
      </w:r>
      <w:r w:rsidRPr="00F17176" w:rsidR="001633A4">
        <w:t>7 – 14</w:t>
      </w:r>
      <w:r w:rsidR="001633A4">
        <w:t xml:space="preserve">; </w:t>
      </w:r>
      <w:r w:rsidR="000777D7">
        <w:rPr>
          <w:i/>
          <w:iCs/>
        </w:rPr>
        <w:t>MO&amp;O</w:t>
      </w:r>
      <w:r w:rsidR="000777D7">
        <w:t xml:space="preserve">, 35 FCC </w:t>
      </w:r>
      <w:r w:rsidR="000777D7">
        <w:t>Rcd</w:t>
      </w:r>
      <w:r w:rsidR="000777D7">
        <w:t xml:space="preserve"> at </w:t>
      </w:r>
      <w:r w:rsidR="00DC4A4E">
        <w:t>8186 – 87, para</w:t>
      </w:r>
      <w:r w:rsidR="00EF71E0">
        <w:t>.</w:t>
      </w:r>
      <w:r w:rsidR="00DC4A4E">
        <w:t xml:space="preserve"> 8.</w:t>
      </w:r>
    </w:p>
  </w:footnote>
  <w:footnote w:id="24">
    <w:p w:rsidR="00F03E31" w:rsidRPr="00DC4A4E" w14:paraId="4DDCECCA" w14:textId="5F6BBCED">
      <w:pPr>
        <w:pStyle w:val="FootnoteText"/>
      </w:pPr>
      <w:r>
        <w:rPr>
          <w:rStyle w:val="FootnoteReference"/>
        </w:rPr>
        <w:footnoteRef/>
      </w:r>
      <w:r>
        <w:t xml:space="preserve"> </w:t>
      </w:r>
      <w:r w:rsidRPr="006D51BD" w:rsidR="006D51BD">
        <w:rPr>
          <w:i/>
          <w:iCs/>
        </w:rPr>
        <w:t>MO&amp;O</w:t>
      </w:r>
      <w:r w:rsidR="00DC4A4E">
        <w:t xml:space="preserve">, 35 FCC </w:t>
      </w:r>
      <w:r w:rsidR="00DC4A4E">
        <w:t>Rcd</w:t>
      </w:r>
      <w:r w:rsidR="00DC4A4E">
        <w:t xml:space="preserve"> at </w:t>
      </w:r>
      <w:r w:rsidR="00BA0413">
        <w:t xml:space="preserve">8190, para. </w:t>
      </w:r>
      <w:r w:rsidR="00847C14">
        <w:t>17-19</w:t>
      </w:r>
      <w:r w:rsidR="004D3C37">
        <w:t>.</w:t>
      </w:r>
      <w:r w:rsidR="00662C31">
        <w:t xml:space="preserve">  In denying the Petition, </w:t>
      </w:r>
      <w:r w:rsidR="00042DCA">
        <w:t>the Bureau rejected certain arguments by dismissing them as procedurally defective.</w:t>
      </w:r>
    </w:p>
  </w:footnote>
  <w:footnote w:id="25">
    <w:p w:rsidR="00514A2D" w14:paraId="27CE78A6" w14:textId="65100BDD">
      <w:pPr>
        <w:pStyle w:val="FootnoteText"/>
      </w:pPr>
      <w:r>
        <w:rPr>
          <w:rStyle w:val="FootnoteReference"/>
        </w:rPr>
        <w:footnoteRef/>
      </w:r>
      <w:r>
        <w:t xml:space="preserve"> </w:t>
      </w:r>
      <w:r w:rsidRPr="00F17176" w:rsidR="00D37BAC">
        <w:t xml:space="preserve">Application at </w:t>
      </w:r>
      <w:r w:rsidRPr="00F17176" w:rsidR="0088411C">
        <w:t>1 – 2, 7 -8</w:t>
      </w:r>
      <w:r w:rsidR="0088411C">
        <w:t xml:space="preserve">. </w:t>
      </w:r>
    </w:p>
  </w:footnote>
  <w:footnote w:id="26">
    <w:p w:rsidR="00436166" w:rsidRPr="0088411C" w14:paraId="25843FDD" w14:textId="3EBDCA51">
      <w:pPr>
        <w:pStyle w:val="FootnoteText"/>
      </w:pPr>
      <w:r>
        <w:rPr>
          <w:rStyle w:val="FootnoteReference"/>
        </w:rPr>
        <w:footnoteRef/>
      </w:r>
      <w:r>
        <w:t xml:space="preserve"> </w:t>
      </w:r>
      <w:r w:rsidRPr="00F17176" w:rsidR="0088411C">
        <w:rPr>
          <w:i/>
          <w:iCs/>
        </w:rPr>
        <w:t>Id</w:t>
      </w:r>
      <w:r w:rsidRPr="00F17176" w:rsidR="00F17176">
        <w:rPr>
          <w:i/>
          <w:iCs/>
        </w:rPr>
        <w:t>.</w:t>
      </w:r>
      <w:r w:rsidRPr="00F17176" w:rsidR="0088411C">
        <w:t xml:space="preserve"> at 1 – 2, 8 </w:t>
      </w:r>
      <w:r w:rsidRPr="00F17176" w:rsidR="004D785C">
        <w:t>–</w:t>
      </w:r>
      <w:r w:rsidRPr="00F17176" w:rsidR="0088411C">
        <w:t xml:space="preserve"> </w:t>
      </w:r>
      <w:r w:rsidRPr="00F17176" w:rsidR="004D785C">
        <w:t>11</w:t>
      </w:r>
      <w:r w:rsidR="004D785C">
        <w:t xml:space="preserve">. </w:t>
      </w:r>
    </w:p>
  </w:footnote>
  <w:footnote w:id="27">
    <w:p w:rsidR="004B3165" w:rsidRPr="007C22F6" w14:paraId="30B2CCA9" w14:textId="493DCEDA">
      <w:pPr>
        <w:pStyle w:val="FootnoteText"/>
      </w:pPr>
      <w:r>
        <w:rPr>
          <w:rStyle w:val="FootnoteReference"/>
        </w:rPr>
        <w:footnoteRef/>
      </w:r>
      <w:r>
        <w:t xml:space="preserve"> </w:t>
      </w:r>
      <w:r w:rsidRPr="00444046" w:rsidR="00444046">
        <w:rPr>
          <w:i/>
          <w:iCs/>
        </w:rPr>
        <w:t>Id.</w:t>
      </w:r>
      <w:r w:rsidRPr="007C22F6" w:rsidR="00444046">
        <w:t xml:space="preserve"> </w:t>
      </w:r>
      <w:r w:rsidRPr="007C22F6" w:rsidR="00750899">
        <w:t>at 7.</w:t>
      </w:r>
    </w:p>
  </w:footnote>
  <w:footnote w:id="28">
    <w:p w:rsidR="004B3165" w:rsidRPr="007C22F6" w14:paraId="3FC5AE37" w14:textId="276E9928">
      <w:pPr>
        <w:pStyle w:val="FootnoteText"/>
      </w:pPr>
      <w:r w:rsidRPr="007C22F6">
        <w:rPr>
          <w:rStyle w:val="FootnoteReference"/>
        </w:rPr>
        <w:footnoteRef/>
      </w:r>
      <w:r w:rsidRPr="007C22F6">
        <w:t xml:space="preserve"> </w:t>
      </w:r>
      <w:r w:rsidRPr="007C22F6" w:rsidR="004E0306">
        <w:rPr>
          <w:i/>
          <w:iCs/>
        </w:rPr>
        <w:t>Id.</w:t>
      </w:r>
    </w:p>
  </w:footnote>
  <w:footnote w:id="29">
    <w:p w:rsidR="004B3165" w:rsidRPr="00D5104A" w14:paraId="4B6882EA" w14:textId="11B909BD">
      <w:pPr>
        <w:pStyle w:val="FootnoteText"/>
      </w:pPr>
      <w:r w:rsidRPr="007C22F6">
        <w:rPr>
          <w:rStyle w:val="FootnoteReference"/>
        </w:rPr>
        <w:footnoteRef/>
      </w:r>
      <w:r w:rsidRPr="007C22F6">
        <w:t xml:space="preserve"> </w:t>
      </w:r>
      <w:r w:rsidRPr="007C22F6" w:rsidR="00D5104A">
        <w:rPr>
          <w:i/>
          <w:iCs/>
        </w:rPr>
        <w:t>Id.</w:t>
      </w:r>
      <w:r w:rsidRPr="007C22F6" w:rsidR="00D5104A">
        <w:t xml:space="preserve"> at 7 – 8.</w:t>
      </w:r>
    </w:p>
  </w:footnote>
  <w:footnote w:id="30">
    <w:p w:rsidR="008E5AFA" w:rsidRPr="00A571D7" w:rsidP="008E5AFA" w14:paraId="3E2A3D72" w14:textId="77777777">
      <w:pPr>
        <w:pStyle w:val="FootnoteText"/>
      </w:pPr>
      <w:r>
        <w:rPr>
          <w:rStyle w:val="FootnoteReference"/>
        </w:rPr>
        <w:footnoteRef/>
      </w:r>
      <w:r>
        <w:t xml:space="preserve"> </w:t>
      </w:r>
      <w:r w:rsidRPr="00A571D7">
        <w:rPr>
          <w:i/>
          <w:iCs/>
        </w:rPr>
        <w:t>See</w:t>
      </w:r>
      <w:r>
        <w:t xml:space="preserve"> </w:t>
      </w:r>
      <w:r>
        <w:rPr>
          <w:i/>
          <w:iCs/>
        </w:rPr>
        <w:t>MO&amp;O</w:t>
      </w:r>
      <w:r>
        <w:t xml:space="preserve">, 35 FCC </w:t>
      </w:r>
      <w:r>
        <w:t>Rcd</w:t>
      </w:r>
      <w:r>
        <w:t xml:space="preserve"> at 8187 – 88, paras. 11 – 12.  </w:t>
      </w:r>
    </w:p>
  </w:footnote>
  <w:footnote w:id="31">
    <w:p w:rsidR="00402DB1" w:rsidRPr="00572E87" w:rsidP="00402DB1" w14:paraId="443BBE46" w14:textId="729EB080">
      <w:pPr>
        <w:pStyle w:val="FootnoteText"/>
      </w:pPr>
      <w:r>
        <w:rPr>
          <w:rStyle w:val="FootnoteReference"/>
        </w:rPr>
        <w:footnoteRef/>
      </w:r>
      <w:r>
        <w:t xml:space="preserve"> </w:t>
      </w:r>
      <w:r w:rsidRPr="00E243FD">
        <w:rPr>
          <w:i/>
          <w:iCs/>
        </w:rPr>
        <w:t>See</w:t>
      </w:r>
      <w:r>
        <w:t xml:space="preserve"> </w:t>
      </w:r>
      <w:r w:rsidR="00A511BF">
        <w:t xml:space="preserve">47 U.S.C. § 503; </w:t>
      </w:r>
      <w:r w:rsidRPr="002A0DD0" w:rsidR="00D239D8">
        <w:rPr>
          <w:i/>
          <w:iCs/>
        </w:rPr>
        <w:t>see</w:t>
      </w:r>
      <w:r w:rsidR="00D239D8">
        <w:t xml:space="preserve">, </w:t>
      </w:r>
      <w:r w:rsidRPr="002A0DD0" w:rsidR="00D239D8">
        <w:rPr>
          <w:i/>
          <w:iCs/>
        </w:rPr>
        <w:t>e.g.</w:t>
      </w:r>
      <w:r w:rsidR="00D239D8">
        <w:t xml:space="preserve">, </w:t>
      </w:r>
      <w:r w:rsidRPr="002A0DD0" w:rsidR="00D239D8">
        <w:rPr>
          <w:i/>
          <w:iCs/>
        </w:rPr>
        <w:t xml:space="preserve">Fabrice Polynice North Miami, FL, Harold </w:t>
      </w:r>
      <w:r w:rsidRPr="002A0DD0" w:rsidR="00D239D8">
        <w:rPr>
          <w:i/>
          <w:iCs/>
        </w:rPr>
        <w:t>Sido</w:t>
      </w:r>
      <w:r w:rsidRPr="002A0DD0" w:rsidR="00D239D8">
        <w:rPr>
          <w:i/>
          <w:iCs/>
        </w:rPr>
        <w:t xml:space="preserve"> and </w:t>
      </w:r>
      <w:r w:rsidRPr="002A0DD0" w:rsidR="00D239D8">
        <w:rPr>
          <w:i/>
          <w:iCs/>
        </w:rPr>
        <w:t>Veronise</w:t>
      </w:r>
      <w:r w:rsidRPr="002A0DD0" w:rsidR="00D239D8">
        <w:rPr>
          <w:i/>
          <w:iCs/>
        </w:rPr>
        <w:t xml:space="preserve"> </w:t>
      </w:r>
      <w:r w:rsidRPr="002A0DD0" w:rsidR="00D239D8">
        <w:rPr>
          <w:i/>
          <w:iCs/>
        </w:rPr>
        <w:t>Sido</w:t>
      </w:r>
      <w:r w:rsidRPr="002A0DD0" w:rsidR="00D239D8">
        <w:rPr>
          <w:i/>
          <w:iCs/>
        </w:rPr>
        <w:t xml:space="preserve"> North Miami, FL</w:t>
      </w:r>
      <w:r w:rsidR="00D239D8">
        <w:t xml:space="preserve">, Forfeiture Order, 33 FCC </w:t>
      </w:r>
      <w:r w:rsidR="00D239D8">
        <w:t>Rcd</w:t>
      </w:r>
      <w:r w:rsidR="00D239D8">
        <w:t xml:space="preserve"> 6852, 6858-59, paras. 16-17 (2018); </w:t>
      </w:r>
      <w:r w:rsidRPr="000A7ABB">
        <w:rPr>
          <w:i/>
          <w:iCs/>
        </w:rPr>
        <w:t xml:space="preserve">Application for Review of Stephen Paul </w:t>
      </w:r>
      <w:r w:rsidRPr="000A7ABB">
        <w:rPr>
          <w:i/>
          <w:iCs/>
        </w:rPr>
        <w:t>Dunifer</w:t>
      </w:r>
      <w:r w:rsidRPr="000A7ABB">
        <w:rPr>
          <w:i/>
          <w:iCs/>
        </w:rPr>
        <w:t>, Berkeley, California</w:t>
      </w:r>
      <w:r>
        <w:t xml:space="preserve">, Memorandum Opinion and Order, 11 FCC </w:t>
      </w:r>
      <w:r>
        <w:t>Rcd</w:t>
      </w:r>
      <w:r>
        <w:t xml:space="preserve"> 718, 729, para. 28 (1995).  Indeed, Mobile Relay’s response to the </w:t>
      </w:r>
      <w:r w:rsidRPr="00215538">
        <w:rPr>
          <w:i/>
          <w:iCs/>
        </w:rPr>
        <w:t>NAL</w:t>
      </w:r>
      <w:r>
        <w:t xml:space="preserve"> demonstrates that it was afforded due process to respond to the Bureau’s findings before any liability was actually imposed.  </w:t>
      </w:r>
      <w:r w:rsidRPr="007340FC">
        <w:rPr>
          <w:i/>
          <w:iCs/>
        </w:rPr>
        <w:t>See</w:t>
      </w:r>
      <w:r w:rsidRPr="007340FC">
        <w:t xml:space="preserve"> </w:t>
      </w:r>
      <w:r w:rsidRPr="007340FC">
        <w:rPr>
          <w:i/>
          <w:iCs/>
        </w:rPr>
        <w:t>Forfeiture Order</w:t>
      </w:r>
      <w:r w:rsidRPr="007340FC">
        <w:t xml:space="preserve">, 30 FCC </w:t>
      </w:r>
      <w:r w:rsidRPr="007340FC">
        <w:t>Rcd</w:t>
      </w:r>
      <w:r w:rsidRPr="007340FC">
        <w:t xml:space="preserve"> at 13644, para. 5 (acknowledging receipt of Mobile Relay’s response to the </w:t>
      </w:r>
      <w:r w:rsidRPr="007340FC">
        <w:rPr>
          <w:i/>
          <w:iCs/>
        </w:rPr>
        <w:t>NAL</w:t>
      </w:r>
      <w:r w:rsidRPr="007340FC">
        <w:t>).</w:t>
      </w:r>
    </w:p>
  </w:footnote>
  <w:footnote w:id="32">
    <w:p w:rsidR="00215538" w:rsidRPr="00B14309" w14:paraId="0ACB28FA" w14:textId="161241C0">
      <w:pPr>
        <w:pStyle w:val="FootnoteText"/>
      </w:pPr>
      <w:r>
        <w:rPr>
          <w:rStyle w:val="FootnoteReference"/>
        </w:rPr>
        <w:footnoteRef/>
      </w:r>
      <w:r>
        <w:t xml:space="preserve"> </w:t>
      </w:r>
      <w:r w:rsidRPr="00D239D8" w:rsidR="00B14309">
        <w:rPr>
          <w:i/>
          <w:iCs/>
        </w:rPr>
        <w:t>Sandwich</w:t>
      </w:r>
      <w:r w:rsidR="00B14309">
        <w:rPr>
          <w:i/>
          <w:iCs/>
        </w:rPr>
        <w:t xml:space="preserve"> Isles Communications, Inc., </w:t>
      </w:r>
      <w:r w:rsidR="00B14309">
        <w:rPr>
          <w:i/>
          <w:iCs/>
        </w:rPr>
        <w:t>Waimana</w:t>
      </w:r>
      <w:r w:rsidR="00B14309">
        <w:rPr>
          <w:i/>
          <w:iCs/>
        </w:rPr>
        <w:t xml:space="preserve"> Enterprises, Inc., Albert </w:t>
      </w:r>
      <w:r w:rsidR="00B14309">
        <w:rPr>
          <w:i/>
          <w:iCs/>
        </w:rPr>
        <w:t>S.N</w:t>
      </w:r>
      <w:r w:rsidR="00B14309">
        <w:rPr>
          <w:i/>
          <w:iCs/>
        </w:rPr>
        <w:t xml:space="preserve">. </w:t>
      </w:r>
      <w:r w:rsidR="00B14309">
        <w:rPr>
          <w:i/>
          <w:iCs/>
        </w:rPr>
        <w:t>Hee</w:t>
      </w:r>
      <w:r w:rsidR="00B14309">
        <w:t xml:space="preserve">, Forfeiture Order, </w:t>
      </w:r>
      <w:r w:rsidR="004242FE">
        <w:t xml:space="preserve">35 FCC </w:t>
      </w:r>
      <w:r w:rsidR="004242FE">
        <w:t>Rcd</w:t>
      </w:r>
      <w:r w:rsidR="004242FE">
        <w:t xml:space="preserve"> 10831, </w:t>
      </w:r>
      <w:r w:rsidR="00D35C9C">
        <w:t xml:space="preserve">10852, para. 42 </w:t>
      </w:r>
      <w:r w:rsidR="004242FE">
        <w:t>(2020).</w:t>
      </w:r>
      <w:r w:rsidR="00B14309">
        <w:t xml:space="preserve"> </w:t>
      </w:r>
    </w:p>
  </w:footnote>
  <w:footnote w:id="33">
    <w:p w:rsidR="00CD728D" w14:paraId="5F583CCC" w14:textId="3E460D2B">
      <w:pPr>
        <w:pStyle w:val="FootnoteText"/>
      </w:pPr>
      <w:r>
        <w:rPr>
          <w:rStyle w:val="FootnoteReference"/>
        </w:rPr>
        <w:footnoteRef/>
      </w:r>
      <w:r>
        <w:t xml:space="preserve"> Mobile Relay overlooks its obligations under section 90.173(b) of </w:t>
      </w:r>
      <w:r w:rsidR="00111D9E">
        <w:t xml:space="preserve">the Commission’s </w:t>
      </w:r>
      <w:r>
        <w:t>rules, which states that “[l]</w:t>
      </w:r>
      <w:r w:rsidRPr="00C8147E">
        <w:t>icensees</w:t>
      </w:r>
      <w:r w:rsidRPr="00C8147E">
        <w:t xml:space="preserve"> of stations suffering </w:t>
      </w:r>
      <w:r w:rsidRPr="00C8147E">
        <w:rPr>
          <w:i/>
          <w:iCs/>
        </w:rPr>
        <w:t>or causing</w:t>
      </w:r>
      <w:r w:rsidRPr="00C8147E">
        <w:t xml:space="preserve"> harmful interference are expected to cooperate and resolve this problem by mutually satisfactory arrangements</w:t>
      </w:r>
      <w:r>
        <w:t>.”  47 CFR § 90.173(b)</w:t>
      </w:r>
      <w:r w:rsidR="009D3F45">
        <w:t xml:space="preserve"> </w:t>
      </w:r>
      <w:r w:rsidR="000E6DC3">
        <w:t>(emphasis added)</w:t>
      </w:r>
      <w:r>
        <w:t xml:space="preserve">.  Mobile Relay had actual notice—through the NOV and, later the </w:t>
      </w:r>
      <w:r>
        <w:rPr>
          <w:i/>
          <w:iCs/>
        </w:rPr>
        <w:t>NAL</w:t>
      </w:r>
      <w:r>
        <w:t>—that it was causing harmful interference to a co-channel licensee, yet the Application and the record is devoid of any evidence that Mobile Relay made any attempt to cooperate with the impacted licensees to determine whether its reduction in power addressed the harm caused by its overuse of the shared channel.</w:t>
      </w:r>
      <w:r w:rsidR="008976D6">
        <w:t xml:space="preserve">  Mobile Relay also overlooks its affirmative obligation under section 90.187 to </w:t>
      </w:r>
      <w:r w:rsidR="00B00D0E">
        <w:t>employ a “level of monitoring . . . sufficient to avoid harmful interference to other systems.”  47 CFR § 90.187(</w:t>
      </w:r>
      <w:r w:rsidR="00502B4D">
        <w:t>b).</w:t>
      </w:r>
    </w:p>
  </w:footnote>
  <w:footnote w:id="34">
    <w:p w:rsidR="00F97ED8" w:rsidRPr="00F97ED8" w14:paraId="6135C3D1" w14:textId="27186C08">
      <w:pPr>
        <w:pStyle w:val="FootnoteText"/>
      </w:pPr>
      <w:r>
        <w:rPr>
          <w:rStyle w:val="FootnoteReference"/>
        </w:rPr>
        <w:footnoteRef/>
      </w:r>
      <w:r>
        <w:t xml:space="preserve"> </w:t>
      </w:r>
      <w:r w:rsidRPr="00EF4EEC">
        <w:rPr>
          <w:i/>
          <w:iCs/>
        </w:rPr>
        <w:t>K&amp;M Radio, Inc., Licensee of Radio Station WEGP, Presque Isle, Maine</w:t>
      </w:r>
      <w:r w:rsidRPr="00EF4EEC">
        <w:t>, Memorandum Opinion and Order, 25 F.C.C.2d 916, 917, para. 4 (1970)</w:t>
      </w:r>
      <w:r w:rsidR="00FF6DEB">
        <w:t xml:space="preserve">; </w:t>
      </w:r>
      <w:r w:rsidRPr="002A0DD0" w:rsidR="002A0DD0">
        <w:rPr>
          <w:i/>
          <w:iCs/>
        </w:rPr>
        <w:t>see also</w:t>
      </w:r>
      <w:r w:rsidR="002A0DD0">
        <w:t xml:space="preserve"> </w:t>
      </w:r>
      <w:r w:rsidR="00FF6DEB">
        <w:rPr>
          <w:i/>
          <w:iCs/>
        </w:rPr>
        <w:t>Blanca Telephone Company v. FCC</w:t>
      </w:r>
      <w:r w:rsidR="00FF6DEB">
        <w:t>, 991 F.3d 1097, 1118 (10th Cir., Mar. 15, 2021) (</w:t>
      </w:r>
      <w:r w:rsidR="00C32935">
        <w:t xml:space="preserve">imputing </w:t>
      </w:r>
      <w:r w:rsidR="00FF6DEB">
        <w:t xml:space="preserve">“specialized knowledge” </w:t>
      </w:r>
      <w:r w:rsidR="00C32935">
        <w:t>of</w:t>
      </w:r>
      <w:r w:rsidR="00FF6DEB">
        <w:t xml:space="preserve"> the Act and the Commission’s rules </w:t>
      </w:r>
      <w:r w:rsidR="00C32935">
        <w:t>to a telecommunications carrier</w:t>
      </w:r>
      <w:r w:rsidR="002A0DD0">
        <w:t>)</w:t>
      </w:r>
      <w:r>
        <w:t>.</w:t>
      </w:r>
    </w:p>
  </w:footnote>
  <w:footnote w:id="35">
    <w:p w:rsidR="00550692" w:rsidRPr="002D0417" w14:paraId="5622F2D5" w14:textId="1278B7B5">
      <w:pPr>
        <w:pStyle w:val="FootnoteText"/>
      </w:pPr>
      <w:r>
        <w:rPr>
          <w:rStyle w:val="FootnoteReference"/>
        </w:rPr>
        <w:footnoteRef/>
      </w:r>
      <w:r>
        <w:t xml:space="preserve"> </w:t>
      </w:r>
      <w:r w:rsidR="00DE3923">
        <w:rPr>
          <w:i/>
          <w:iCs/>
        </w:rPr>
        <w:t>Ondas</w:t>
      </w:r>
      <w:r w:rsidR="00DE3923">
        <w:rPr>
          <w:i/>
          <w:iCs/>
        </w:rPr>
        <w:t xml:space="preserve"> de Vida, Inc., Licensee of FM Translator Station K256BS, Palmdale, California</w:t>
      </w:r>
      <w:r w:rsidR="00DE3923">
        <w:t xml:space="preserve">, Memorandum Opinion and Order, 35 FCC </w:t>
      </w:r>
      <w:r w:rsidR="00DE3923">
        <w:t>Rcd</w:t>
      </w:r>
      <w:r w:rsidR="00DE3923">
        <w:t xml:space="preserve"> 8163, 8165, para. 8 (EB 2020)</w:t>
      </w:r>
      <w:r w:rsidR="004B264C">
        <w:t xml:space="preserve">, </w:t>
      </w:r>
      <w:r w:rsidR="004B264C">
        <w:rPr>
          <w:i/>
          <w:iCs/>
        </w:rPr>
        <w:t xml:space="preserve">quoting Missouri RSA No. 2 Partnership d.b.a. Alltel, </w:t>
      </w:r>
      <w:r w:rsidR="004B264C">
        <w:t xml:space="preserve">Forfeiture Order 18 FCC </w:t>
      </w:r>
      <w:r w:rsidR="004B264C">
        <w:t>Rcd</w:t>
      </w:r>
      <w:r w:rsidR="004B264C">
        <w:t xml:space="preserve"> 12653, 12654, para. 6 (EB 2003)</w:t>
      </w:r>
      <w:r w:rsidR="00A815C6">
        <w:t xml:space="preserve"> </w:t>
      </w:r>
      <w:r w:rsidR="00C35F6C">
        <w:t>(</w:t>
      </w:r>
      <w:r w:rsidRPr="00A21C5B" w:rsidR="00C35F6C">
        <w:rPr>
          <w:i/>
          <w:iCs/>
        </w:rPr>
        <w:t>Missouri RSA Forfeiture Order</w:t>
      </w:r>
      <w:r w:rsidR="00C35F6C">
        <w:t>)</w:t>
      </w:r>
      <w:r w:rsidR="004B264C">
        <w:t xml:space="preserve">; </w:t>
      </w:r>
      <w:r w:rsidR="000B59E8">
        <w:rPr>
          <w:i/>
          <w:iCs/>
        </w:rPr>
        <w:t>see Radio X Broadcasting Corporation, Bayamon, Puerto Rico</w:t>
      </w:r>
      <w:r w:rsidR="000B59E8">
        <w:t xml:space="preserve">, Memorandum Opinion and Order, 19 FCC </w:t>
      </w:r>
      <w:r w:rsidR="000B59E8">
        <w:t>Rcd</w:t>
      </w:r>
      <w:r w:rsidR="000B59E8">
        <w:t xml:space="preserve"> 18690, 18692, para. 7 (EB 2004)</w:t>
      </w:r>
      <w:r w:rsidR="002D0417">
        <w:t xml:space="preserve"> (</w:t>
      </w:r>
      <w:r w:rsidRPr="002D0417" w:rsidR="000B59E8">
        <w:t>following</w:t>
      </w:r>
      <w:r w:rsidR="000B59E8">
        <w:t xml:space="preserve"> </w:t>
      </w:r>
      <w:r w:rsidR="002D0417">
        <w:rPr>
          <w:i/>
          <w:iCs/>
        </w:rPr>
        <w:t>Missouri RSA Forfeiture Order</w:t>
      </w:r>
      <w:r w:rsidR="002D0417">
        <w:t xml:space="preserve">), </w:t>
      </w:r>
      <w:r w:rsidR="002D0417">
        <w:rPr>
          <w:i/>
          <w:iCs/>
        </w:rPr>
        <w:t>review denied</w:t>
      </w:r>
      <w:r w:rsidR="002D0417">
        <w:t xml:space="preserve">, Memorandum Opinion and Order, 21 FCC </w:t>
      </w:r>
      <w:r w:rsidR="002D0417">
        <w:t>Rcd</w:t>
      </w:r>
      <w:r w:rsidR="002D0417">
        <w:t xml:space="preserve"> 12209 (2006).</w:t>
      </w:r>
      <w:r w:rsidR="009E5BD3">
        <w:t xml:space="preserve">  </w:t>
      </w:r>
    </w:p>
  </w:footnote>
  <w:footnote w:id="36">
    <w:p w:rsidR="00617249" w14:paraId="37922B75" w14:textId="22FB0FD6">
      <w:pPr>
        <w:pStyle w:val="FootnoteText"/>
      </w:pPr>
      <w:r>
        <w:rPr>
          <w:rStyle w:val="FootnoteReference"/>
        </w:rPr>
        <w:footnoteRef/>
      </w:r>
      <w:r>
        <w:t xml:space="preserve"> </w:t>
      </w:r>
      <w:r w:rsidRPr="009729C3">
        <w:rPr>
          <w:i/>
          <w:iCs/>
        </w:rPr>
        <w:t>See</w:t>
      </w:r>
      <w:r>
        <w:t xml:space="preserve"> Application at </w:t>
      </w:r>
      <w:r w:rsidR="001257C0">
        <w:t>2.</w:t>
      </w:r>
    </w:p>
  </w:footnote>
  <w:footnote w:id="37">
    <w:p w:rsidR="00FA7120" w:rsidRPr="00FA7120" w14:paraId="15986CF2" w14:textId="5CF21C5A">
      <w:pPr>
        <w:pStyle w:val="FootnoteText"/>
      </w:pPr>
      <w:r>
        <w:rPr>
          <w:rStyle w:val="FootnoteReference"/>
        </w:rPr>
        <w:footnoteRef/>
      </w:r>
      <w:r>
        <w:t xml:space="preserve"> </w:t>
      </w:r>
      <w:r>
        <w:rPr>
          <w:i/>
          <w:iCs/>
        </w:rPr>
        <w:t>Forfeiture Order</w:t>
      </w:r>
      <w:r>
        <w:t xml:space="preserve">, </w:t>
      </w:r>
      <w:r w:rsidR="009729C3">
        <w:t>30</w:t>
      </w:r>
      <w:r>
        <w:t xml:space="preserve"> FCC </w:t>
      </w:r>
      <w:r>
        <w:t>Rcd</w:t>
      </w:r>
      <w:r>
        <w:t xml:space="preserve"> at </w:t>
      </w:r>
      <w:r w:rsidR="00751E4B">
        <w:t>13646, para. 10.</w:t>
      </w:r>
      <w:r>
        <w:t xml:space="preserve"> </w:t>
      </w:r>
    </w:p>
  </w:footnote>
  <w:footnote w:id="38">
    <w:p w:rsidR="00FC54C6" w14:paraId="2292DE06" w14:textId="32C41FE1">
      <w:pPr>
        <w:pStyle w:val="FootnoteText"/>
      </w:pPr>
      <w:r>
        <w:rPr>
          <w:rStyle w:val="FootnoteReference"/>
        </w:rPr>
        <w:footnoteRef/>
      </w:r>
      <w:r>
        <w:t xml:space="preserve"> </w:t>
      </w:r>
      <w:r w:rsidR="007620A7">
        <w:t>47 CFR § 90.403(c).</w:t>
      </w:r>
    </w:p>
  </w:footnote>
  <w:footnote w:id="39">
    <w:p w:rsidR="0095601B" w:rsidRPr="00663CEB" w14:paraId="4200D57A" w14:textId="53E833A7">
      <w:pPr>
        <w:pStyle w:val="FootnoteText"/>
      </w:pPr>
      <w:r>
        <w:rPr>
          <w:rStyle w:val="FootnoteReference"/>
        </w:rPr>
        <w:footnoteRef/>
      </w:r>
      <w:r>
        <w:t xml:space="preserve"> </w:t>
      </w:r>
      <w:r w:rsidRPr="002C4B81" w:rsidR="001869BE">
        <w:t>A</w:t>
      </w:r>
      <w:r w:rsidR="001869BE">
        <w:t>pplication</w:t>
      </w:r>
      <w:r w:rsidRPr="002C4B81" w:rsidR="001869BE">
        <w:t xml:space="preserve"> </w:t>
      </w:r>
      <w:r w:rsidRPr="002C4B81" w:rsidR="00663CEB">
        <w:t xml:space="preserve">at </w:t>
      </w:r>
      <w:r w:rsidRPr="002C4B81" w:rsidR="00FE4C8A">
        <w:t xml:space="preserve">8 – 11; </w:t>
      </w:r>
      <w:r w:rsidRPr="002C4B81" w:rsidR="00851498">
        <w:rPr>
          <w:i/>
          <w:iCs/>
        </w:rPr>
        <w:t>Melody Music, Inc. v. FCC</w:t>
      </w:r>
      <w:r w:rsidRPr="002C4B81" w:rsidR="00851498">
        <w:t>, 345 F.2d 730 (D.C. Cir. 1965)</w:t>
      </w:r>
      <w:r w:rsidRPr="002C4B81" w:rsidR="00663CEB">
        <w:t>.</w:t>
      </w:r>
      <w:r w:rsidR="00663CEB">
        <w:t xml:space="preserve"> </w:t>
      </w:r>
    </w:p>
  </w:footnote>
  <w:footnote w:id="40">
    <w:p w:rsidR="00602B87" w14:paraId="1EF6CA9B" w14:textId="222584BC">
      <w:pPr>
        <w:pStyle w:val="FootnoteText"/>
      </w:pPr>
      <w:r>
        <w:rPr>
          <w:rStyle w:val="FootnoteReference"/>
        </w:rPr>
        <w:footnoteRef/>
      </w:r>
      <w:r>
        <w:t xml:space="preserve"> </w:t>
      </w:r>
      <w:r w:rsidR="001869BE">
        <w:t xml:space="preserve">Application </w:t>
      </w:r>
      <w:r>
        <w:t>at 9.</w:t>
      </w:r>
    </w:p>
  </w:footnote>
  <w:footnote w:id="41">
    <w:p w:rsidR="007E3701" w:rsidRPr="00914138" w14:paraId="5E661477" w14:textId="22E49774">
      <w:pPr>
        <w:pStyle w:val="FootnoteText"/>
      </w:pPr>
      <w:r>
        <w:rPr>
          <w:rStyle w:val="FootnoteReference"/>
        </w:rPr>
        <w:footnoteRef/>
      </w:r>
      <w:r>
        <w:t xml:space="preserve"> </w:t>
      </w:r>
      <w:r w:rsidR="00914138">
        <w:rPr>
          <w:i/>
          <w:iCs/>
        </w:rPr>
        <w:t>Id.</w:t>
      </w:r>
    </w:p>
  </w:footnote>
  <w:footnote w:id="42">
    <w:p w:rsidR="00914138" w14:paraId="20C5D448" w14:textId="6EF54572">
      <w:pPr>
        <w:pStyle w:val="FootnoteText"/>
      </w:pPr>
      <w:r>
        <w:rPr>
          <w:rStyle w:val="FootnoteReference"/>
        </w:rPr>
        <w:footnoteRef/>
      </w:r>
      <w:r>
        <w:t xml:space="preserve"> </w:t>
      </w:r>
      <w:bookmarkStart w:id="3" w:name="_Hlk71031764"/>
      <w:r w:rsidRPr="00D86DE7" w:rsidR="00234F41">
        <w:rPr>
          <w:i/>
          <w:iCs/>
        </w:rPr>
        <w:t>San Gabriel Transit</w:t>
      </w:r>
      <w:r w:rsidRPr="00D86DE7" w:rsidR="008A130C">
        <w:rPr>
          <w:i/>
          <w:iCs/>
        </w:rPr>
        <w:t>, Inc., Licensee of Station WPMY670, Palos Verdes, California</w:t>
      </w:r>
      <w:r w:rsidR="008A130C">
        <w:t>, Notice of Violation</w:t>
      </w:r>
      <w:r w:rsidR="001D357E">
        <w:t xml:space="preserve">, </w:t>
      </w:r>
      <w:r w:rsidRPr="001D357E" w:rsidR="001D357E">
        <w:t>V201332900012</w:t>
      </w:r>
      <w:r w:rsidR="008A130C">
        <w:t xml:space="preserve"> (EB </w:t>
      </w:r>
      <w:r w:rsidR="003A19A5">
        <w:t xml:space="preserve">Mar. 20, </w:t>
      </w:r>
      <w:r w:rsidR="008A130C">
        <w:t xml:space="preserve">2013), </w:t>
      </w:r>
      <w:hyperlink r:id="rId1" w:history="1">
        <w:r w:rsidRPr="00954FDB" w:rsidR="00F257BF">
          <w:rPr>
            <w:rStyle w:val="Hyperlink"/>
          </w:rPr>
          <w:t>https://docs.fcc.gov/public/attachments/DOC-319849A1.pdf</w:t>
        </w:r>
      </w:hyperlink>
      <w:r w:rsidR="00F257BF">
        <w:t xml:space="preserve">. </w:t>
      </w:r>
      <w:bookmarkEnd w:id="3"/>
    </w:p>
  </w:footnote>
  <w:footnote w:id="43">
    <w:p w:rsidR="001E57A1" w14:paraId="0D8DC9EA" w14:textId="52761EC0">
      <w:pPr>
        <w:pStyle w:val="FootnoteText"/>
      </w:pPr>
      <w:r>
        <w:rPr>
          <w:rStyle w:val="FootnoteReference"/>
        </w:rPr>
        <w:footnoteRef/>
      </w:r>
      <w:r>
        <w:t xml:space="preserve"> </w:t>
      </w:r>
      <w:r>
        <w:rPr>
          <w:i/>
          <w:iCs/>
        </w:rPr>
        <w:t xml:space="preserve">See </w:t>
      </w:r>
      <w:r>
        <w:t xml:space="preserve">License File for WPMY670, </w:t>
      </w:r>
      <w:hyperlink r:id="rId2" w:history="1">
        <w:r w:rsidRPr="00F44AC6">
          <w:rPr>
            <w:rStyle w:val="Hyperlink"/>
          </w:rPr>
          <w:t>https://wireless2.fcc.gov/UlsApp/UlsSearch/license.jsp?licKey=1803330</w:t>
        </w:r>
      </w:hyperlink>
      <w:r>
        <w:t xml:space="preserve"> (WPMY670 License File).  </w:t>
      </w:r>
    </w:p>
  </w:footnote>
  <w:footnote w:id="44">
    <w:p w:rsidR="00893DE2" w:rsidRPr="00003BA8" w14:paraId="1191C2E3" w14:textId="76777B4A">
      <w:pPr>
        <w:pStyle w:val="FootnoteText"/>
      </w:pPr>
      <w:r>
        <w:rPr>
          <w:rStyle w:val="FootnoteReference"/>
        </w:rPr>
        <w:footnoteRef/>
      </w:r>
      <w:r>
        <w:t xml:space="preserve"> </w:t>
      </w:r>
      <w:r w:rsidR="006657B0">
        <w:t>Response to Notice of Violation of Mobile Relay Associates</w:t>
      </w:r>
      <w:r w:rsidR="007E5565">
        <w:t xml:space="preserve"> at </w:t>
      </w:r>
      <w:r w:rsidR="003B7EDF">
        <w:t xml:space="preserve">2, 8 </w:t>
      </w:r>
      <w:r w:rsidR="007E5565">
        <w:t>(filed April 5, 2013) (on file in EB-FIELDWR-13-00006950)</w:t>
      </w:r>
      <w:r w:rsidR="003B7EDF">
        <w:t xml:space="preserve">; </w:t>
      </w:r>
      <w:r w:rsidR="003B7EDF">
        <w:rPr>
          <w:i/>
          <w:iCs/>
        </w:rPr>
        <w:t xml:space="preserve">see </w:t>
      </w:r>
      <w:r w:rsidR="00AB5014">
        <w:rPr>
          <w:i/>
          <w:iCs/>
        </w:rPr>
        <w:t xml:space="preserve">supra </w:t>
      </w:r>
      <w:r w:rsidR="003B7EDF">
        <w:t xml:space="preserve">para. </w:t>
      </w:r>
      <w:r w:rsidR="00003BA8">
        <w:t>5.</w:t>
      </w:r>
    </w:p>
  </w:footnote>
  <w:footnote w:id="45">
    <w:p w:rsidR="002E748B" w:rsidRPr="0072071C" w14:paraId="10756A3F" w14:textId="38B6C3A6">
      <w:pPr>
        <w:pStyle w:val="FootnoteText"/>
      </w:pPr>
      <w:r>
        <w:rPr>
          <w:rStyle w:val="FootnoteReference"/>
        </w:rPr>
        <w:footnoteRef/>
      </w:r>
      <w:r>
        <w:t xml:space="preserve"> </w:t>
      </w:r>
      <w:r w:rsidR="00F6291E">
        <w:t>T</w:t>
      </w:r>
      <w:r w:rsidR="00497F90">
        <w:t xml:space="preserve">he Application’s </w:t>
      </w:r>
      <w:r w:rsidR="00317B4A">
        <w:t xml:space="preserve">assertion that San Gabriel Transit’s conduct </w:t>
      </w:r>
      <w:r w:rsidR="00B07032">
        <w:t>triggered Mobile Relay’s decision to dominate a shared channel</w:t>
      </w:r>
      <w:r w:rsidR="00F6291E">
        <w:t xml:space="preserve"> is logically inchoate.</w:t>
      </w:r>
      <w:r w:rsidR="00B07032">
        <w:t xml:space="preserve">  </w:t>
      </w:r>
      <w:r w:rsidR="00F02DF7">
        <w:t>T</w:t>
      </w:r>
      <w:r>
        <w:t xml:space="preserve">he last complaint about San Gabriel Transit’s conduct that </w:t>
      </w:r>
      <w:r w:rsidR="00CB1BEA">
        <w:t xml:space="preserve">Mobile Relay attached as an exhibit in this proceeding was dated August </w:t>
      </w:r>
      <w:r w:rsidR="003C5A83">
        <w:t>9, 2014</w:t>
      </w:r>
      <w:r w:rsidR="00460883">
        <w:t xml:space="preserve">.  </w:t>
      </w:r>
      <w:r w:rsidR="00460883">
        <w:rPr>
          <w:i/>
          <w:iCs/>
        </w:rPr>
        <w:t xml:space="preserve">See </w:t>
      </w:r>
      <w:r w:rsidR="003C5A83">
        <w:t>Petition</w:t>
      </w:r>
      <w:r w:rsidR="00346332">
        <w:t xml:space="preserve">, </w:t>
      </w:r>
      <w:r w:rsidR="003C5A83">
        <w:t>Ex</w:t>
      </w:r>
      <w:r w:rsidR="00495804">
        <w:t>h</w:t>
      </w:r>
      <w:r w:rsidR="00F257BF">
        <w:t>.</w:t>
      </w:r>
      <w:r w:rsidR="003C5A83">
        <w:t xml:space="preserve"> </w:t>
      </w:r>
      <w:r w:rsidR="00346332">
        <w:t>1 at 3</w:t>
      </w:r>
      <w:r w:rsidR="00460883">
        <w:t xml:space="preserve">.  </w:t>
      </w:r>
      <w:r w:rsidR="00F6052B">
        <w:t>The license to San Gabriel Transit’s station WPMY670</w:t>
      </w:r>
      <w:r w:rsidR="00375F21">
        <w:t xml:space="preserve"> </w:t>
      </w:r>
      <w:r w:rsidR="00F6052B">
        <w:t xml:space="preserve">expired on March 31, 2014.  </w:t>
      </w:r>
      <w:r w:rsidR="001E57A1">
        <w:rPr>
          <w:i/>
          <w:iCs/>
        </w:rPr>
        <w:t xml:space="preserve">See </w:t>
      </w:r>
      <w:r w:rsidR="001E57A1">
        <w:t xml:space="preserve">WPMY670 License File.  </w:t>
      </w:r>
      <w:r w:rsidR="00652D21">
        <w:t xml:space="preserve">In October 2014, the Bureau attempted to observe </w:t>
      </w:r>
      <w:r w:rsidR="009A11C5">
        <w:t xml:space="preserve">whether WPMY670 was still operating and determined that it was not.  </w:t>
      </w:r>
      <w:r w:rsidR="0072071C">
        <w:t>Yet</w:t>
      </w:r>
      <w:r w:rsidR="00733D58">
        <w:t xml:space="preserve"> the violations in the </w:t>
      </w:r>
      <w:r w:rsidRPr="004B2125" w:rsidR="00733D58">
        <w:rPr>
          <w:i/>
          <w:iCs/>
        </w:rPr>
        <w:t>NAL</w:t>
      </w:r>
      <w:r w:rsidR="00733D58">
        <w:t xml:space="preserve"> are based on Mobile Relay’s conduct in June 2015, well after San Gabriel </w:t>
      </w:r>
      <w:r w:rsidR="005C6B6E">
        <w:t>Transit ceased operating on WPMY670</w:t>
      </w:r>
      <w:r w:rsidR="00DD358C">
        <w:t xml:space="preserve">.  </w:t>
      </w:r>
      <w:r w:rsidR="00DD358C">
        <w:rPr>
          <w:i/>
          <w:iCs/>
        </w:rPr>
        <w:t xml:space="preserve">See </w:t>
      </w:r>
      <w:r w:rsidR="00DD358C">
        <w:rPr>
          <w:i/>
          <w:iCs/>
        </w:rPr>
        <w:t>NAL</w:t>
      </w:r>
      <w:r w:rsidR="00DD358C">
        <w:t xml:space="preserve">, </w:t>
      </w:r>
      <w:r w:rsidR="00BE0986">
        <w:t xml:space="preserve">30 FCC </w:t>
      </w:r>
      <w:r w:rsidR="00BE0986">
        <w:t>Rcd</w:t>
      </w:r>
      <w:r w:rsidR="00BE0986">
        <w:t xml:space="preserve"> at 7137, para. 6.</w:t>
      </w:r>
      <w:r w:rsidR="00523527">
        <w:t xml:space="preserve"> </w:t>
      </w:r>
      <w:r w:rsidR="007B66EB">
        <w:t xml:space="preserve"> </w:t>
      </w:r>
      <w:r w:rsidR="003B0B58">
        <w:t>Accordingly, even if we agreed with Mobile Relay’s argument—which we categorically do not</w:t>
      </w:r>
      <w:r w:rsidR="00E92E5D">
        <w:t xml:space="preserve">—the factual basis for its unauthorized self-help was not present at the time of the violations at issue in this case.  </w:t>
      </w:r>
    </w:p>
  </w:footnote>
  <w:footnote w:id="46">
    <w:p w:rsidR="00B81E4D" w:rsidRPr="002C4B81" w:rsidP="00B81E4D" w14:paraId="75D23D2A" w14:textId="125CC660">
      <w:pPr>
        <w:pStyle w:val="FootnoteText"/>
      </w:pPr>
      <w:r>
        <w:rPr>
          <w:rStyle w:val="FootnoteReference"/>
        </w:rPr>
        <w:footnoteRef/>
      </w:r>
      <w:r>
        <w:t xml:space="preserve"> </w:t>
      </w:r>
      <w:r w:rsidRPr="002C4B81" w:rsidR="00CA04E0">
        <w:rPr>
          <w:i/>
          <w:iCs/>
        </w:rPr>
        <w:t>Acumen Communications</w:t>
      </w:r>
      <w:r w:rsidRPr="002C4B81" w:rsidR="00CA04E0">
        <w:t xml:space="preserve">, Forfeiture Order, 30 FCC </w:t>
      </w:r>
      <w:r w:rsidRPr="002C4B81" w:rsidR="00CA04E0">
        <w:t>Rcd</w:t>
      </w:r>
      <w:r w:rsidRPr="002C4B81" w:rsidR="00CA04E0">
        <w:t xml:space="preserve"> 6472 (EB 2015)</w:t>
      </w:r>
      <w:r w:rsidRPr="002C4B81" w:rsidR="003623A7">
        <w:t xml:space="preserve"> (</w:t>
      </w:r>
      <w:r w:rsidRPr="002C4B81" w:rsidR="003623A7">
        <w:rPr>
          <w:i/>
          <w:iCs/>
        </w:rPr>
        <w:t>Acumen Forfeiture Order</w:t>
      </w:r>
      <w:r w:rsidRPr="002C4B81" w:rsidR="003623A7">
        <w:t>)</w:t>
      </w:r>
      <w:r w:rsidRPr="002C4B81" w:rsidR="00CA04E0">
        <w:t>.</w:t>
      </w:r>
      <w:r w:rsidRPr="002C4B81" w:rsidR="008206FA">
        <w:t xml:space="preserve">  </w:t>
      </w:r>
    </w:p>
  </w:footnote>
  <w:footnote w:id="47">
    <w:p w:rsidR="005E0CCD" w:rsidRPr="000B21E0" w14:paraId="4039EE5F" w14:textId="1461E72F">
      <w:pPr>
        <w:pStyle w:val="FootnoteText"/>
      </w:pPr>
      <w:r w:rsidRPr="002C4B81">
        <w:rPr>
          <w:rStyle w:val="FootnoteReference"/>
        </w:rPr>
        <w:footnoteRef/>
      </w:r>
      <w:r w:rsidRPr="002C4B81">
        <w:t xml:space="preserve"> </w:t>
      </w:r>
      <w:r w:rsidRPr="002C4B81" w:rsidR="000B21E0">
        <w:rPr>
          <w:i/>
          <w:iCs/>
        </w:rPr>
        <w:t>Id.</w:t>
      </w:r>
      <w:r w:rsidRPr="002C4B81" w:rsidR="003623A7">
        <w:t xml:space="preserve"> at 6475, para. 10</w:t>
      </w:r>
      <w:r w:rsidR="003623A7">
        <w:t>.</w:t>
      </w:r>
    </w:p>
  </w:footnote>
  <w:footnote w:id="48">
    <w:p w:rsidR="00562071" w:rsidP="00562071" w14:paraId="2ABDB5F1" w14:textId="3FB0CDB8">
      <w:pPr>
        <w:pStyle w:val="FootnoteText"/>
      </w:pPr>
      <w:r>
        <w:rPr>
          <w:rStyle w:val="FootnoteReference"/>
        </w:rPr>
        <w:footnoteRef/>
      </w:r>
      <w:r>
        <w:t xml:space="preserve"> </w:t>
      </w:r>
      <w:r w:rsidRPr="009A71D9">
        <w:t xml:space="preserve">The </w:t>
      </w:r>
      <w:r w:rsidRPr="003623A7">
        <w:rPr>
          <w:i/>
          <w:iCs/>
        </w:rPr>
        <w:t>Acumen Forfeiture Order</w:t>
      </w:r>
      <w:r w:rsidRPr="009A71D9">
        <w:t xml:space="preserve"> is further distinguishable from the present case because it was part of a larger investigation of the company that ultimately resulted in the revocation of Acumen’s licenses.  Mobile Relay is well aware of th</w:t>
      </w:r>
      <w:r w:rsidR="00B47010">
        <w:t xml:space="preserve">e scope of the </w:t>
      </w:r>
      <w:r w:rsidR="006D4A21">
        <w:t xml:space="preserve">investigation of Acumen, as it actively participated in the revocation proceeding.  </w:t>
      </w:r>
      <w:r w:rsidRPr="009A71D9">
        <w:rPr>
          <w:i/>
          <w:iCs/>
        </w:rPr>
        <w:t>See</w:t>
      </w:r>
      <w:r w:rsidRPr="009A71D9">
        <w:t xml:space="preserve">, </w:t>
      </w:r>
      <w:r w:rsidRPr="009A71D9">
        <w:rPr>
          <w:i/>
          <w:iCs/>
        </w:rPr>
        <w:t>e.g.</w:t>
      </w:r>
      <w:r w:rsidRPr="009A71D9">
        <w:t xml:space="preserve">, Mobile Relay Associates, Second Supplement to Petition to Deny and First Supplement to Informal Objection, Applications of Acumen Communications for Modification of Various Licenses in the Private Mobile Radio Services in California, File Nos. 005614865, 0005834762, 0005839763, 0005840938, 0005962267, and 0006039610, at 1-2 (filed Jul. 15, 2015).  While the revocation proceeding primarily focused on Acumen’s candor in license application, the Bureau’s </w:t>
      </w:r>
      <w:r w:rsidRPr="003623A7">
        <w:rPr>
          <w:i/>
          <w:iCs/>
        </w:rPr>
        <w:t xml:space="preserve">Revocation Order </w:t>
      </w:r>
      <w:r w:rsidRPr="009A71D9">
        <w:t xml:space="preserve">expressly incorporates Mobile Relay’s argument that Acumen lacked candor during the investigation gave rise to the </w:t>
      </w:r>
      <w:r w:rsidRPr="003623A7">
        <w:rPr>
          <w:i/>
          <w:iCs/>
        </w:rPr>
        <w:t>Acumen Forfeiture Order</w:t>
      </w:r>
      <w:r w:rsidRPr="009A71D9">
        <w:t xml:space="preserve">.  </w:t>
      </w:r>
      <w:r w:rsidRPr="006B534E">
        <w:rPr>
          <w:i/>
          <w:iCs/>
        </w:rPr>
        <w:t>See Acumen Communications, Licensee of Various Authorizations in the Wireless Radio Services</w:t>
      </w:r>
      <w:r w:rsidRPr="009A71D9">
        <w:t xml:space="preserve">, Order of Revocation, 33 FCC </w:t>
      </w:r>
      <w:r w:rsidRPr="009A71D9">
        <w:t>Rcd</w:t>
      </w:r>
      <w:r w:rsidRPr="009A71D9">
        <w:t xml:space="preserve"> 4, 8 – 9, para. 15 (EB 2018) (</w:t>
      </w:r>
      <w:r w:rsidRPr="006B534E">
        <w:rPr>
          <w:i/>
          <w:iCs/>
        </w:rPr>
        <w:t>Revocation Order</w:t>
      </w:r>
      <w:r w:rsidRPr="009A71D9">
        <w:t xml:space="preserve">).  As a party to the revocation proceeding, Mobile Relay was served a copy of the Bureau’s </w:t>
      </w:r>
      <w:r w:rsidRPr="006B534E">
        <w:rPr>
          <w:i/>
          <w:iCs/>
        </w:rPr>
        <w:t>Revocation Order</w:t>
      </w:r>
      <w:r w:rsidRPr="009A71D9">
        <w:t xml:space="preserve"> against Acumen. </w:t>
      </w:r>
      <w:r w:rsidRPr="006B534E">
        <w:rPr>
          <w:i/>
          <w:iCs/>
        </w:rPr>
        <w:t>Id.</w:t>
      </w:r>
      <w:r w:rsidRPr="009A71D9">
        <w:t xml:space="preserve"> at 10, para. 20.  Given its reliance on the </w:t>
      </w:r>
      <w:r w:rsidRPr="00D51529">
        <w:rPr>
          <w:i/>
          <w:iCs/>
        </w:rPr>
        <w:t>Acumen Forfeiture Order</w:t>
      </w:r>
      <w:r w:rsidRPr="009A71D9">
        <w:t xml:space="preserve"> in its disparate treatment argument and its </w:t>
      </w:r>
      <w:r w:rsidR="00D51529">
        <w:t xml:space="preserve">active </w:t>
      </w:r>
      <w:r w:rsidRPr="009A71D9">
        <w:t xml:space="preserve">participation in the license revocation proceeding, Mobile Relay’s failure to account for the related </w:t>
      </w:r>
      <w:r w:rsidRPr="006B534E">
        <w:rPr>
          <w:i/>
          <w:iCs/>
        </w:rPr>
        <w:t>Revocation Order</w:t>
      </w:r>
      <w:r w:rsidRPr="009A71D9">
        <w:t xml:space="preserve"> is disingenuous, at best.  </w:t>
      </w:r>
    </w:p>
  </w:footnote>
  <w:footnote w:id="49">
    <w:p w:rsidR="00CE7BE0" w:rsidRPr="00443884" w14:paraId="1AC5D859" w14:textId="382CE10F">
      <w:pPr>
        <w:pStyle w:val="FootnoteText"/>
      </w:pPr>
      <w:r>
        <w:rPr>
          <w:rStyle w:val="FootnoteReference"/>
        </w:rPr>
        <w:footnoteRef/>
      </w:r>
      <w:r>
        <w:t xml:space="preserve"> </w:t>
      </w:r>
      <w:r w:rsidR="00443884">
        <w:rPr>
          <w:i/>
          <w:iCs/>
        </w:rPr>
        <w:t>See Forfeiture Order</w:t>
      </w:r>
      <w:r w:rsidR="00443884">
        <w:t xml:space="preserve">, 30 FCC </w:t>
      </w:r>
      <w:r w:rsidR="00443884">
        <w:t>Rcd</w:t>
      </w:r>
      <w:r w:rsidR="00443884">
        <w:t xml:space="preserve"> at </w:t>
      </w:r>
      <w:r w:rsidR="00F96EBF">
        <w:t>13648</w:t>
      </w:r>
      <w:r w:rsidR="00443884">
        <w:t xml:space="preserve">, para. </w:t>
      </w:r>
      <w:r w:rsidR="008577A6">
        <w:t>13</w:t>
      </w:r>
      <w:r w:rsidR="00443884">
        <w:t xml:space="preserve">. </w:t>
      </w:r>
    </w:p>
  </w:footnote>
  <w:footnote w:id="50">
    <w:p w:rsidR="00736144" w14:paraId="49E982B8" w14:textId="65C00644">
      <w:pPr>
        <w:pStyle w:val="FootnoteText"/>
      </w:pPr>
      <w:r>
        <w:rPr>
          <w:rStyle w:val="FootnoteReference"/>
        </w:rPr>
        <w:footnoteRef/>
      </w:r>
      <w:r>
        <w:t xml:space="preserve"> </w:t>
      </w:r>
      <w:r>
        <w:rPr>
          <w:i/>
          <w:iCs/>
        </w:rPr>
        <w:t xml:space="preserve">See </w:t>
      </w:r>
      <w:r>
        <w:rPr>
          <w:i/>
          <w:iCs/>
        </w:rPr>
        <w:t>MO&amp;</w:t>
      </w:r>
      <w:r w:rsidRPr="007B29C0">
        <w:rPr>
          <w:i/>
          <w:iCs/>
        </w:rPr>
        <w:t>O</w:t>
      </w:r>
      <w:r>
        <w:t xml:space="preserve">, 35 FCC </w:t>
      </w:r>
      <w:r>
        <w:t>Rcd</w:t>
      </w:r>
      <w:r>
        <w:t xml:space="preserve"> at 8189, para. 14.</w:t>
      </w:r>
    </w:p>
  </w:footnote>
  <w:footnote w:id="51">
    <w:p w:rsidR="00980FD9" w14:paraId="6652B801" w14:textId="2965B2C4">
      <w:pPr>
        <w:pStyle w:val="FootnoteText"/>
      </w:pPr>
      <w:r>
        <w:rPr>
          <w:rStyle w:val="FootnoteReference"/>
        </w:rPr>
        <w:footnoteRef/>
      </w:r>
      <w:r>
        <w:t xml:space="preserve"> </w:t>
      </w:r>
      <w:r>
        <w:rPr>
          <w:i/>
          <w:iCs/>
        </w:rPr>
        <w:t>See</w:t>
      </w:r>
      <w:r>
        <w:t xml:space="preserve"> </w:t>
      </w:r>
      <w:r w:rsidRPr="007E42F9">
        <w:rPr>
          <w:i/>
          <w:iCs/>
        </w:rPr>
        <w:t>Pub</w:t>
      </w:r>
      <w:r>
        <w:rPr>
          <w:i/>
          <w:iCs/>
        </w:rPr>
        <w:t>lic Safety Technologies</w:t>
      </w:r>
      <w:r w:rsidRPr="00960724">
        <w:rPr>
          <w:i/>
          <w:iCs/>
        </w:rPr>
        <w:t>, Inc., Licensee of Station WQJM334</w:t>
      </w:r>
      <w:r>
        <w:t xml:space="preserve">, Forfeiture Order, 32 FCC </w:t>
      </w:r>
      <w:r>
        <w:t>Rcd</w:t>
      </w:r>
      <w:r>
        <w:t xml:space="preserve"> 7433, 7434, para. 2 (EB 2017), </w:t>
      </w:r>
      <w:r>
        <w:rPr>
          <w:i/>
          <w:iCs/>
        </w:rPr>
        <w:t>aff’g</w:t>
      </w:r>
      <w:r>
        <w:t xml:space="preserve"> Notice of Apparent Liability for Forfeiture, 31 FCC </w:t>
      </w:r>
      <w:r>
        <w:t>Rcd</w:t>
      </w:r>
      <w:r>
        <w:t xml:space="preserve"> 10477 (EB 2016).</w:t>
      </w:r>
    </w:p>
  </w:footnote>
  <w:footnote w:id="52">
    <w:p w:rsidR="001C0D58" w14:paraId="21C291B2" w14:textId="5EB1039C">
      <w:pPr>
        <w:pStyle w:val="FootnoteText"/>
      </w:pPr>
      <w:r>
        <w:rPr>
          <w:rStyle w:val="FootnoteReference"/>
        </w:rPr>
        <w:footnoteRef/>
      </w:r>
      <w:r>
        <w:t xml:space="preserve"> </w:t>
      </w:r>
      <w:r w:rsidR="00277A70">
        <w:t>47 U.S.C. § 155(c)(5)</w:t>
      </w:r>
      <w:r>
        <w:t xml:space="preserve">; 47 </w:t>
      </w:r>
      <w:r w:rsidR="0056040C">
        <w:t>CFR</w:t>
      </w:r>
      <w:r>
        <w:t xml:space="preserve"> § 1.115</w:t>
      </w:r>
      <w:r w:rsidRPr="00BF0CB5">
        <w:t>.</w:t>
      </w:r>
    </w:p>
  </w:footnote>
  <w:footnote w:id="53">
    <w:p w:rsidR="001C0D58" w14:paraId="405C1ED3" w14:textId="60AEA7B6">
      <w:pPr>
        <w:pStyle w:val="FootnoteText"/>
      </w:pPr>
      <w:r>
        <w:rPr>
          <w:rStyle w:val="FootnoteReference"/>
        </w:rPr>
        <w:footnoteRef/>
      </w:r>
      <w:r>
        <w:t xml:space="preserve"> 47 U.S.C. § 503(b)</w:t>
      </w:r>
      <w:r w:rsidR="001818C6">
        <w:t xml:space="preserve">; 47 </w:t>
      </w:r>
      <w:r w:rsidR="0056040C">
        <w:t>CFR</w:t>
      </w:r>
      <w:r w:rsidR="001818C6">
        <w:t xml:space="preserve"> § 1.80</w:t>
      </w:r>
      <w:r w:rsidRPr="00BF0CB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1686" w14:paraId="173E775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3E07CC" w:rsidP="00810B6F" w14:paraId="2917513B" w14:textId="009076D1">
    <w:pPr>
      <w:pStyle w:val="Header"/>
      <w:rPr>
        <w:b w:val="0"/>
      </w:rPr>
    </w:pPr>
    <w:r>
      <w:tab/>
    </w:r>
    <w:r w:rsidRPr="003E07CC">
      <w:t>Federal Communications Commission</w:t>
    </w:r>
    <w:r w:rsidRPr="003E07CC">
      <w:tab/>
    </w:r>
    <w:r w:rsidRPr="00BA60CF" w:rsidR="002D0E6B">
      <w:t xml:space="preserve">FCC </w:t>
    </w:r>
    <w:r w:rsidR="00666250">
      <w:t xml:space="preserve"> </w:t>
    </w:r>
    <w:r w:rsidR="00CE1B30">
      <w:t>21</w:t>
    </w:r>
    <w:r w:rsidRPr="00BA60CF" w:rsidR="002D0E6B">
      <w:t>-</w:t>
    </w:r>
    <w:r w:rsidR="00573866">
      <w:t>85</w:t>
    </w:r>
  </w:p>
  <w:p w:rsidR="00D25FB5" w:rsidRPr="005267D2" w:rsidP="005267D2" w14:paraId="11438D29" w14:textId="37AF1206">
    <w:pPr>
      <w:tabs>
        <w:tab w:val="left" w:pos="-720"/>
      </w:tabs>
      <w:suppressAutoHyphens/>
      <w:spacing w:line="19" w:lineRule="exact"/>
      <w:rPr>
        <w:spacing w:val="-2"/>
      </w:rPr>
    </w:pPr>
    <w:r w:rsidRPr="003E07CC">
      <w:rPr>
        <w:noProof/>
        <w:snapToGrid/>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83A1C6D" w14:textId="412AE2F4">
    <w:pPr>
      <w:pStyle w:val="Header"/>
      <w:rPr>
        <w:b w:val="0"/>
      </w:rPr>
    </w:pPr>
    <w:r w:rsidRPr="003E07CC">
      <w:rPr>
        <w:noProof/>
        <w:snapToGrid/>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Pr="003E07CC">
      <w:tab/>
      <w:t>Federal Communications Commission</w:t>
    </w:r>
    <w:r w:rsidRPr="003E07CC">
      <w:tab/>
    </w:r>
    <w:r w:rsidRPr="00BA60CF" w:rsidR="00947139">
      <w:rPr>
        <w:spacing w:val="-2"/>
      </w:rPr>
      <w:t>FCC</w:t>
    </w:r>
    <w:r w:rsidR="00666250">
      <w:rPr>
        <w:spacing w:val="-2"/>
      </w:rPr>
      <w:t xml:space="preserve"> </w:t>
    </w:r>
    <w:r w:rsidRPr="00BA60CF" w:rsidR="00947139">
      <w:rPr>
        <w:spacing w:val="-2"/>
      </w:rPr>
      <w:t xml:space="preserve"> </w:t>
    </w:r>
    <w:r w:rsidR="0055539A">
      <w:rPr>
        <w:spacing w:val="-2"/>
      </w:rPr>
      <w:t>21</w:t>
    </w:r>
    <w:r w:rsidRPr="00BA60CF" w:rsidR="002D0E6B">
      <w:rPr>
        <w:spacing w:val="-2"/>
      </w:rPr>
      <w:t>-</w:t>
    </w:r>
    <w:r w:rsidR="00573866">
      <w:rPr>
        <w:spacing w:val="-2"/>
      </w:rPr>
      <w:t>85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CB97C2C"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32DD7E0D"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2336"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p>
  <w:p w:rsidR="00D25FB5" w14:paraId="763978EF" w14:textId="77777777">
    <w:pPr>
      <w:spacing w:after="389" w:line="100" w:lineRule="exact"/>
      <w:rPr>
        <w:sz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C7A613B" w14:textId="64DF0250">
    <w:pPr>
      <w:pStyle w:val="Header"/>
      <w:rPr>
        <w:b w:val="0"/>
      </w:rPr>
    </w:pPr>
    <w:r>
      <w:rPr>
        <w:noProof/>
      </w:rPr>
      <mc:AlternateContent>
        <mc:Choice Requires="wps">
          <w:drawing>
            <wp:anchor distT="0" distB="0" distL="114300" distR="114300" simplePos="0" relativeHeight="251664384"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r>
      <w:tab/>
      <w:t>Federal Communications Commission</w:t>
    </w:r>
    <w:r>
      <w:tab/>
    </w:r>
    <w:r w:rsidRPr="00BA60CF" w:rsidR="00666250">
      <w:t xml:space="preserve">FCC </w:t>
    </w:r>
    <w:r w:rsidR="00666250">
      <w:t xml:space="preserve"> 21</w:t>
    </w:r>
    <w:r w:rsidRPr="00BA60CF" w:rsidR="00666250">
      <w:t>-</w:t>
    </w:r>
    <w:r w:rsidR="00666250">
      <w:t>85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1127E7E"/>
    <w:multiLevelType w:val="hybridMultilevel"/>
    <w:tmpl w:val="B8180428"/>
    <w:lvl w:ilvl="0">
      <w:start w:val="1"/>
      <w:numFmt w:val="bullet"/>
      <w:lvlText w:val=""/>
      <w:lvlJc w:val="left"/>
      <w:pPr>
        <w:tabs>
          <w:tab w:val="num" w:pos="1080"/>
        </w:tabs>
        <w:ind w:left="1080" w:hanging="360"/>
      </w:pPr>
      <w:rPr>
        <w:rFonts w:ascii="Wingdings" w:hAnsi="Wingdings" w:hint="default"/>
        <w:color w:val="auto"/>
        <w:sz w:val="16"/>
      </w:rPr>
    </w:lvl>
    <w:lvl w:ilvl="1">
      <w:start w:val="17"/>
      <w:numFmt w:val="decimal"/>
      <w:lvlText w:val="%2."/>
      <w:lvlJc w:val="left"/>
      <w:pPr>
        <w:tabs>
          <w:tab w:val="num" w:pos="0"/>
        </w:tabs>
        <w:ind w:left="0" w:hanging="360"/>
      </w:pPr>
      <w:rPr>
        <w:rFonts w:hint="default"/>
      </w:rPr>
    </w:lvl>
    <w:lvl w:ilvl="2">
      <w:start w:val="15"/>
      <w:numFmt w:val="decimal"/>
      <w:lvlText w:val="%3."/>
      <w:lvlJc w:val="left"/>
      <w:pPr>
        <w:tabs>
          <w:tab w:val="num" w:pos="900"/>
        </w:tabs>
        <w:ind w:left="900" w:hanging="360"/>
      </w:pPr>
      <w:rPr>
        <w:rFonts w:hint="default"/>
      </w:rPr>
    </w:lvl>
    <w:lvl w:ilvl="3" w:tentative="1">
      <w:start w:val="1"/>
      <w:numFmt w:val="decimal"/>
      <w:lvlText w:val="%4."/>
      <w:lvlJc w:val="left"/>
      <w:pPr>
        <w:tabs>
          <w:tab w:val="num" w:pos="1440"/>
        </w:tabs>
        <w:ind w:left="1440" w:hanging="360"/>
      </w:pPr>
    </w:lvl>
    <w:lvl w:ilvl="4" w:tentative="1">
      <w:start w:val="1"/>
      <w:numFmt w:val="lowerLetter"/>
      <w:lvlText w:val="%5."/>
      <w:lvlJc w:val="left"/>
      <w:pPr>
        <w:tabs>
          <w:tab w:val="num" w:pos="2160"/>
        </w:tabs>
        <w:ind w:left="2160" w:hanging="360"/>
      </w:pPr>
    </w:lvl>
    <w:lvl w:ilvl="5" w:tentative="1">
      <w:start w:val="1"/>
      <w:numFmt w:val="lowerRoman"/>
      <w:lvlText w:val="%6."/>
      <w:lvlJc w:val="right"/>
      <w:pPr>
        <w:tabs>
          <w:tab w:val="num" w:pos="2880"/>
        </w:tabs>
        <w:ind w:left="2880" w:hanging="180"/>
      </w:pPr>
    </w:lvl>
    <w:lvl w:ilvl="6" w:tentative="1">
      <w:start w:val="1"/>
      <w:numFmt w:val="decimal"/>
      <w:lvlText w:val="%7."/>
      <w:lvlJc w:val="left"/>
      <w:pPr>
        <w:tabs>
          <w:tab w:val="num" w:pos="3600"/>
        </w:tabs>
        <w:ind w:left="3600" w:hanging="360"/>
      </w:pPr>
    </w:lvl>
    <w:lvl w:ilvl="7" w:tentative="1">
      <w:start w:val="1"/>
      <w:numFmt w:val="lowerLetter"/>
      <w:lvlText w:val="%8."/>
      <w:lvlJc w:val="left"/>
      <w:pPr>
        <w:tabs>
          <w:tab w:val="num" w:pos="4320"/>
        </w:tabs>
        <w:ind w:left="4320" w:hanging="360"/>
      </w:pPr>
    </w:lvl>
    <w:lvl w:ilvl="8" w:tentative="1">
      <w:start w:val="1"/>
      <w:numFmt w:val="lowerRoman"/>
      <w:lvlText w:val="%9."/>
      <w:lvlJc w:val="right"/>
      <w:pPr>
        <w:tabs>
          <w:tab w:val="num" w:pos="5040"/>
        </w:tabs>
        <w:ind w:left="504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6D2B48D2"/>
    <w:multiLevelType w:val="singleLevel"/>
    <w:tmpl w:val="93C2E86E"/>
    <w:lvl w:ilvl="0">
      <w:start w:val="1"/>
      <w:numFmt w:val="decimal"/>
      <w:pStyle w:val="Paranum0"/>
      <w:lvlText w:val="%1."/>
      <w:lvlJc w:val="left"/>
      <w:pPr>
        <w:tabs>
          <w:tab w:val="num" w:pos="1260"/>
        </w:tabs>
        <w:ind w:left="1260" w:hanging="360"/>
      </w:pPr>
      <w:rPr>
        <w:b w:val="0"/>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7"/>
  </w:num>
  <w:num w:numId="8">
    <w:abstractNumId w:val="4"/>
  </w:num>
  <w:num w:numId="9">
    <w:abstractNumId w:val="6"/>
  </w:num>
  <w:num w:numId="10">
    <w:abstractNumId w:val="6"/>
  </w:num>
  <w:num w:numId="11">
    <w:abstractNumId w:val="6"/>
    <w:lvlOverride w:ilvl="0">
      <w:startOverride w:val="1"/>
    </w:lvlOverride>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E6B"/>
    <w:rsid w:val="00003BA8"/>
    <w:rsid w:val="000057F1"/>
    <w:rsid w:val="0000707F"/>
    <w:rsid w:val="0001341D"/>
    <w:rsid w:val="00015DF8"/>
    <w:rsid w:val="00016A88"/>
    <w:rsid w:val="00022E8D"/>
    <w:rsid w:val="00025929"/>
    <w:rsid w:val="0002646C"/>
    <w:rsid w:val="00036039"/>
    <w:rsid w:val="000361C2"/>
    <w:rsid w:val="00037F90"/>
    <w:rsid w:val="00042DCA"/>
    <w:rsid w:val="00043805"/>
    <w:rsid w:val="00046A9F"/>
    <w:rsid w:val="00047B0E"/>
    <w:rsid w:val="00053670"/>
    <w:rsid w:val="00055158"/>
    <w:rsid w:val="00056451"/>
    <w:rsid w:val="000569CB"/>
    <w:rsid w:val="0006056A"/>
    <w:rsid w:val="00061139"/>
    <w:rsid w:val="0006130B"/>
    <w:rsid w:val="00063903"/>
    <w:rsid w:val="0006626A"/>
    <w:rsid w:val="000670C6"/>
    <w:rsid w:val="0007645F"/>
    <w:rsid w:val="000777D7"/>
    <w:rsid w:val="00081973"/>
    <w:rsid w:val="00083BB5"/>
    <w:rsid w:val="000875BF"/>
    <w:rsid w:val="00087B40"/>
    <w:rsid w:val="000962ED"/>
    <w:rsid w:val="00096D8C"/>
    <w:rsid w:val="00097791"/>
    <w:rsid w:val="000A16F4"/>
    <w:rsid w:val="000A225C"/>
    <w:rsid w:val="000A2EB5"/>
    <w:rsid w:val="000A3C02"/>
    <w:rsid w:val="000A4208"/>
    <w:rsid w:val="000A4879"/>
    <w:rsid w:val="000A583D"/>
    <w:rsid w:val="000A7ABB"/>
    <w:rsid w:val="000A7EE4"/>
    <w:rsid w:val="000B073E"/>
    <w:rsid w:val="000B1239"/>
    <w:rsid w:val="000B1C1E"/>
    <w:rsid w:val="000B21E0"/>
    <w:rsid w:val="000B267B"/>
    <w:rsid w:val="000B59E8"/>
    <w:rsid w:val="000B5A36"/>
    <w:rsid w:val="000B74AE"/>
    <w:rsid w:val="000C0B65"/>
    <w:rsid w:val="000C1385"/>
    <w:rsid w:val="000C16E9"/>
    <w:rsid w:val="000C1A74"/>
    <w:rsid w:val="000C401B"/>
    <w:rsid w:val="000C7B23"/>
    <w:rsid w:val="000D6236"/>
    <w:rsid w:val="000E05FE"/>
    <w:rsid w:val="000E06FB"/>
    <w:rsid w:val="000E08C2"/>
    <w:rsid w:val="000E0C72"/>
    <w:rsid w:val="000E1144"/>
    <w:rsid w:val="000E2358"/>
    <w:rsid w:val="000E3D42"/>
    <w:rsid w:val="000E5336"/>
    <w:rsid w:val="000E6DC3"/>
    <w:rsid w:val="000F03BD"/>
    <w:rsid w:val="000F6D4F"/>
    <w:rsid w:val="00100662"/>
    <w:rsid w:val="001009E2"/>
    <w:rsid w:val="001050ED"/>
    <w:rsid w:val="00106D5B"/>
    <w:rsid w:val="00111D9E"/>
    <w:rsid w:val="00112088"/>
    <w:rsid w:val="00114FA6"/>
    <w:rsid w:val="00115537"/>
    <w:rsid w:val="00117D8A"/>
    <w:rsid w:val="00122BD5"/>
    <w:rsid w:val="001257C0"/>
    <w:rsid w:val="0012688D"/>
    <w:rsid w:val="00126ADD"/>
    <w:rsid w:val="00127494"/>
    <w:rsid w:val="001317D5"/>
    <w:rsid w:val="00133F79"/>
    <w:rsid w:val="00135676"/>
    <w:rsid w:val="00136BBF"/>
    <w:rsid w:val="00146DDD"/>
    <w:rsid w:val="001477CE"/>
    <w:rsid w:val="0015151A"/>
    <w:rsid w:val="0015249B"/>
    <w:rsid w:val="0015437C"/>
    <w:rsid w:val="00154F7F"/>
    <w:rsid w:val="00155883"/>
    <w:rsid w:val="001624CC"/>
    <w:rsid w:val="00162EA6"/>
    <w:rsid w:val="001633A4"/>
    <w:rsid w:val="001635DF"/>
    <w:rsid w:val="00164C86"/>
    <w:rsid w:val="001656A8"/>
    <w:rsid w:val="00173AC2"/>
    <w:rsid w:val="00180163"/>
    <w:rsid w:val="001818C6"/>
    <w:rsid w:val="001867C6"/>
    <w:rsid w:val="001869BE"/>
    <w:rsid w:val="00194996"/>
    <w:rsid w:val="00194A66"/>
    <w:rsid w:val="001972CC"/>
    <w:rsid w:val="001A259D"/>
    <w:rsid w:val="001A3DD4"/>
    <w:rsid w:val="001A422C"/>
    <w:rsid w:val="001A5290"/>
    <w:rsid w:val="001B2B17"/>
    <w:rsid w:val="001B2C60"/>
    <w:rsid w:val="001B393E"/>
    <w:rsid w:val="001B6AB2"/>
    <w:rsid w:val="001C0C74"/>
    <w:rsid w:val="001C0D58"/>
    <w:rsid w:val="001C5284"/>
    <w:rsid w:val="001C5F68"/>
    <w:rsid w:val="001C7055"/>
    <w:rsid w:val="001D00CA"/>
    <w:rsid w:val="001D1B92"/>
    <w:rsid w:val="001D357E"/>
    <w:rsid w:val="001D4C21"/>
    <w:rsid w:val="001D4DB9"/>
    <w:rsid w:val="001D505A"/>
    <w:rsid w:val="001D5551"/>
    <w:rsid w:val="001D6BCF"/>
    <w:rsid w:val="001D6D88"/>
    <w:rsid w:val="001E01CA"/>
    <w:rsid w:val="001E17E6"/>
    <w:rsid w:val="001E39B9"/>
    <w:rsid w:val="001E57A1"/>
    <w:rsid w:val="001E6679"/>
    <w:rsid w:val="001E6982"/>
    <w:rsid w:val="001E6E97"/>
    <w:rsid w:val="001F4980"/>
    <w:rsid w:val="002001FE"/>
    <w:rsid w:val="00200F2E"/>
    <w:rsid w:val="00202401"/>
    <w:rsid w:val="0020594F"/>
    <w:rsid w:val="00205C36"/>
    <w:rsid w:val="002070C3"/>
    <w:rsid w:val="00210C17"/>
    <w:rsid w:val="002116C8"/>
    <w:rsid w:val="00215538"/>
    <w:rsid w:val="00215A79"/>
    <w:rsid w:val="0021774E"/>
    <w:rsid w:val="00217BE2"/>
    <w:rsid w:val="00220673"/>
    <w:rsid w:val="00224115"/>
    <w:rsid w:val="00225A3E"/>
    <w:rsid w:val="00225C21"/>
    <w:rsid w:val="0023042B"/>
    <w:rsid w:val="00231DF8"/>
    <w:rsid w:val="00231F18"/>
    <w:rsid w:val="002327EC"/>
    <w:rsid w:val="00234A8E"/>
    <w:rsid w:val="00234F41"/>
    <w:rsid w:val="00237F3A"/>
    <w:rsid w:val="002414DF"/>
    <w:rsid w:val="00244A75"/>
    <w:rsid w:val="0025590C"/>
    <w:rsid w:val="002565B2"/>
    <w:rsid w:val="002573E4"/>
    <w:rsid w:val="00257AEC"/>
    <w:rsid w:val="0026220C"/>
    <w:rsid w:val="002679EC"/>
    <w:rsid w:val="002702B1"/>
    <w:rsid w:val="00274A2D"/>
    <w:rsid w:val="002755C3"/>
    <w:rsid w:val="00275CF5"/>
    <w:rsid w:val="002762AF"/>
    <w:rsid w:val="00277579"/>
    <w:rsid w:val="00277A70"/>
    <w:rsid w:val="00282E10"/>
    <w:rsid w:val="0028301F"/>
    <w:rsid w:val="00285017"/>
    <w:rsid w:val="00285A7F"/>
    <w:rsid w:val="00285D0C"/>
    <w:rsid w:val="002928AB"/>
    <w:rsid w:val="00293D15"/>
    <w:rsid w:val="002968F5"/>
    <w:rsid w:val="002A0739"/>
    <w:rsid w:val="002A0DD0"/>
    <w:rsid w:val="002A10C3"/>
    <w:rsid w:val="002A2D2E"/>
    <w:rsid w:val="002A4E0C"/>
    <w:rsid w:val="002C00E8"/>
    <w:rsid w:val="002C4B81"/>
    <w:rsid w:val="002C67C2"/>
    <w:rsid w:val="002D0417"/>
    <w:rsid w:val="002D0A53"/>
    <w:rsid w:val="002D0E6B"/>
    <w:rsid w:val="002D239B"/>
    <w:rsid w:val="002D3765"/>
    <w:rsid w:val="002D41A3"/>
    <w:rsid w:val="002D6072"/>
    <w:rsid w:val="002E3719"/>
    <w:rsid w:val="002E6621"/>
    <w:rsid w:val="002E748B"/>
    <w:rsid w:val="002F1046"/>
    <w:rsid w:val="0030583F"/>
    <w:rsid w:val="0031392D"/>
    <w:rsid w:val="003143D2"/>
    <w:rsid w:val="003178AB"/>
    <w:rsid w:val="00317B4A"/>
    <w:rsid w:val="00323DB2"/>
    <w:rsid w:val="00331A70"/>
    <w:rsid w:val="00334434"/>
    <w:rsid w:val="00337633"/>
    <w:rsid w:val="00337B8A"/>
    <w:rsid w:val="00340ECC"/>
    <w:rsid w:val="003425E8"/>
    <w:rsid w:val="00343514"/>
    <w:rsid w:val="00343749"/>
    <w:rsid w:val="00346332"/>
    <w:rsid w:val="00350348"/>
    <w:rsid w:val="00350980"/>
    <w:rsid w:val="003524DF"/>
    <w:rsid w:val="00354C36"/>
    <w:rsid w:val="003623A7"/>
    <w:rsid w:val="003660ED"/>
    <w:rsid w:val="00366323"/>
    <w:rsid w:val="003668E7"/>
    <w:rsid w:val="003707B6"/>
    <w:rsid w:val="00373B67"/>
    <w:rsid w:val="00375F21"/>
    <w:rsid w:val="003819CE"/>
    <w:rsid w:val="00382261"/>
    <w:rsid w:val="003840F2"/>
    <w:rsid w:val="00386FA5"/>
    <w:rsid w:val="00390569"/>
    <w:rsid w:val="00390D32"/>
    <w:rsid w:val="00391FB1"/>
    <w:rsid w:val="00397428"/>
    <w:rsid w:val="003A1368"/>
    <w:rsid w:val="003A1500"/>
    <w:rsid w:val="003A158C"/>
    <w:rsid w:val="003A19A5"/>
    <w:rsid w:val="003A5286"/>
    <w:rsid w:val="003B0550"/>
    <w:rsid w:val="003B0B58"/>
    <w:rsid w:val="003B1C07"/>
    <w:rsid w:val="003B29DC"/>
    <w:rsid w:val="003B4637"/>
    <w:rsid w:val="003B63C6"/>
    <w:rsid w:val="003B67CF"/>
    <w:rsid w:val="003B694F"/>
    <w:rsid w:val="003B7EDF"/>
    <w:rsid w:val="003C2313"/>
    <w:rsid w:val="003C2971"/>
    <w:rsid w:val="003C41D8"/>
    <w:rsid w:val="003C488C"/>
    <w:rsid w:val="003C5A83"/>
    <w:rsid w:val="003D069C"/>
    <w:rsid w:val="003D1805"/>
    <w:rsid w:val="003D5549"/>
    <w:rsid w:val="003E07CC"/>
    <w:rsid w:val="003E679B"/>
    <w:rsid w:val="003F171C"/>
    <w:rsid w:val="003F1C8F"/>
    <w:rsid w:val="003F27B4"/>
    <w:rsid w:val="003F7E30"/>
    <w:rsid w:val="0040162C"/>
    <w:rsid w:val="00402558"/>
    <w:rsid w:val="00402DB1"/>
    <w:rsid w:val="00404500"/>
    <w:rsid w:val="00412714"/>
    <w:rsid w:val="00412FC5"/>
    <w:rsid w:val="004140D0"/>
    <w:rsid w:val="00414641"/>
    <w:rsid w:val="00417D04"/>
    <w:rsid w:val="00422276"/>
    <w:rsid w:val="00422328"/>
    <w:rsid w:val="004240E0"/>
    <w:rsid w:val="004242F1"/>
    <w:rsid w:val="004242FE"/>
    <w:rsid w:val="00425C86"/>
    <w:rsid w:val="004265FB"/>
    <w:rsid w:val="00430FED"/>
    <w:rsid w:val="0043410E"/>
    <w:rsid w:val="00434BAC"/>
    <w:rsid w:val="0043596F"/>
    <w:rsid w:val="00436166"/>
    <w:rsid w:val="004379E6"/>
    <w:rsid w:val="00443884"/>
    <w:rsid w:val="00444046"/>
    <w:rsid w:val="00445A00"/>
    <w:rsid w:val="00446D77"/>
    <w:rsid w:val="004504A6"/>
    <w:rsid w:val="00451B0F"/>
    <w:rsid w:val="00451EE7"/>
    <w:rsid w:val="00457C01"/>
    <w:rsid w:val="00460883"/>
    <w:rsid w:val="004659C6"/>
    <w:rsid w:val="00470AA6"/>
    <w:rsid w:val="0047262B"/>
    <w:rsid w:val="00474788"/>
    <w:rsid w:val="004749BE"/>
    <w:rsid w:val="00477509"/>
    <w:rsid w:val="00480A2B"/>
    <w:rsid w:val="00481028"/>
    <w:rsid w:val="004837C4"/>
    <w:rsid w:val="00484CE8"/>
    <w:rsid w:val="00486ABE"/>
    <w:rsid w:val="00486D61"/>
    <w:rsid w:val="00486E95"/>
    <w:rsid w:val="0048727D"/>
    <w:rsid w:val="004901B2"/>
    <w:rsid w:val="004902A3"/>
    <w:rsid w:val="00491A8C"/>
    <w:rsid w:val="004935F9"/>
    <w:rsid w:val="00495804"/>
    <w:rsid w:val="00497D04"/>
    <w:rsid w:val="00497E93"/>
    <w:rsid w:val="00497F90"/>
    <w:rsid w:val="004A02DA"/>
    <w:rsid w:val="004A099D"/>
    <w:rsid w:val="004A7F17"/>
    <w:rsid w:val="004B2125"/>
    <w:rsid w:val="004B2209"/>
    <w:rsid w:val="004B264C"/>
    <w:rsid w:val="004B2A7F"/>
    <w:rsid w:val="004B3165"/>
    <w:rsid w:val="004B471B"/>
    <w:rsid w:val="004C242E"/>
    <w:rsid w:val="004C2EE3"/>
    <w:rsid w:val="004C4B26"/>
    <w:rsid w:val="004C4DFF"/>
    <w:rsid w:val="004C7627"/>
    <w:rsid w:val="004C77C9"/>
    <w:rsid w:val="004C7A67"/>
    <w:rsid w:val="004D0EA1"/>
    <w:rsid w:val="004D17C7"/>
    <w:rsid w:val="004D1FCF"/>
    <w:rsid w:val="004D31D9"/>
    <w:rsid w:val="004D3C37"/>
    <w:rsid w:val="004D785C"/>
    <w:rsid w:val="004E0161"/>
    <w:rsid w:val="004E0306"/>
    <w:rsid w:val="004E1220"/>
    <w:rsid w:val="004E15C0"/>
    <w:rsid w:val="004E36FF"/>
    <w:rsid w:val="004E4A22"/>
    <w:rsid w:val="004E53C4"/>
    <w:rsid w:val="004E5EB3"/>
    <w:rsid w:val="004E6F9C"/>
    <w:rsid w:val="004F192C"/>
    <w:rsid w:val="004F7269"/>
    <w:rsid w:val="004F72F5"/>
    <w:rsid w:val="005024BE"/>
    <w:rsid w:val="00502B4D"/>
    <w:rsid w:val="00506368"/>
    <w:rsid w:val="00510CA0"/>
    <w:rsid w:val="00511968"/>
    <w:rsid w:val="00514175"/>
    <w:rsid w:val="00514A2D"/>
    <w:rsid w:val="00522333"/>
    <w:rsid w:val="00523527"/>
    <w:rsid w:val="005267D2"/>
    <w:rsid w:val="0052773C"/>
    <w:rsid w:val="00534310"/>
    <w:rsid w:val="00534354"/>
    <w:rsid w:val="0054391C"/>
    <w:rsid w:val="0054498A"/>
    <w:rsid w:val="00550692"/>
    <w:rsid w:val="00553F0D"/>
    <w:rsid w:val="0055539A"/>
    <w:rsid w:val="0055614C"/>
    <w:rsid w:val="0055721A"/>
    <w:rsid w:val="0055746A"/>
    <w:rsid w:val="005577AD"/>
    <w:rsid w:val="0056040C"/>
    <w:rsid w:val="005605B5"/>
    <w:rsid w:val="00562071"/>
    <w:rsid w:val="00562AE4"/>
    <w:rsid w:val="0056351D"/>
    <w:rsid w:val="00566E07"/>
    <w:rsid w:val="00570228"/>
    <w:rsid w:val="00572E87"/>
    <w:rsid w:val="00573650"/>
    <w:rsid w:val="00573866"/>
    <w:rsid w:val="0057431E"/>
    <w:rsid w:val="005755C5"/>
    <w:rsid w:val="00577089"/>
    <w:rsid w:val="0058167E"/>
    <w:rsid w:val="00585D29"/>
    <w:rsid w:val="00586D68"/>
    <w:rsid w:val="005878E7"/>
    <w:rsid w:val="00593CB2"/>
    <w:rsid w:val="005958BF"/>
    <w:rsid w:val="005B1AA4"/>
    <w:rsid w:val="005B2513"/>
    <w:rsid w:val="005B2D29"/>
    <w:rsid w:val="005C1434"/>
    <w:rsid w:val="005C42FC"/>
    <w:rsid w:val="005C64B3"/>
    <w:rsid w:val="005C6B6E"/>
    <w:rsid w:val="005C74EC"/>
    <w:rsid w:val="005D0910"/>
    <w:rsid w:val="005D4239"/>
    <w:rsid w:val="005D4874"/>
    <w:rsid w:val="005D5C92"/>
    <w:rsid w:val="005E0C16"/>
    <w:rsid w:val="005E0CCD"/>
    <w:rsid w:val="005E0D91"/>
    <w:rsid w:val="005E14C2"/>
    <w:rsid w:val="005E337C"/>
    <w:rsid w:val="005E3BF8"/>
    <w:rsid w:val="005E6DE0"/>
    <w:rsid w:val="005F0164"/>
    <w:rsid w:val="005F03D6"/>
    <w:rsid w:val="005F0B2D"/>
    <w:rsid w:val="005F10E7"/>
    <w:rsid w:val="00600FD2"/>
    <w:rsid w:val="00602B87"/>
    <w:rsid w:val="00605A35"/>
    <w:rsid w:val="00606BE4"/>
    <w:rsid w:val="00606FE4"/>
    <w:rsid w:val="00607BA5"/>
    <w:rsid w:val="00611187"/>
    <w:rsid w:val="0061180A"/>
    <w:rsid w:val="006167EC"/>
    <w:rsid w:val="00617249"/>
    <w:rsid w:val="00624C56"/>
    <w:rsid w:val="0062549F"/>
    <w:rsid w:val="00626EB6"/>
    <w:rsid w:val="00626F0E"/>
    <w:rsid w:val="00627176"/>
    <w:rsid w:val="00627627"/>
    <w:rsid w:val="006305B1"/>
    <w:rsid w:val="0063078F"/>
    <w:rsid w:val="006310D4"/>
    <w:rsid w:val="006311FE"/>
    <w:rsid w:val="00631CF9"/>
    <w:rsid w:val="00633521"/>
    <w:rsid w:val="00641A68"/>
    <w:rsid w:val="00641CEB"/>
    <w:rsid w:val="00644557"/>
    <w:rsid w:val="00647826"/>
    <w:rsid w:val="00647F14"/>
    <w:rsid w:val="00647F24"/>
    <w:rsid w:val="0065127E"/>
    <w:rsid w:val="006514CF"/>
    <w:rsid w:val="00652D21"/>
    <w:rsid w:val="00655D03"/>
    <w:rsid w:val="00660CCB"/>
    <w:rsid w:val="00661797"/>
    <w:rsid w:val="00662C31"/>
    <w:rsid w:val="00663CEB"/>
    <w:rsid w:val="00664339"/>
    <w:rsid w:val="0066473B"/>
    <w:rsid w:val="006657B0"/>
    <w:rsid w:val="00665B90"/>
    <w:rsid w:val="00666250"/>
    <w:rsid w:val="00666549"/>
    <w:rsid w:val="00667534"/>
    <w:rsid w:val="0067147F"/>
    <w:rsid w:val="00672D06"/>
    <w:rsid w:val="006778D8"/>
    <w:rsid w:val="00683388"/>
    <w:rsid w:val="00683F84"/>
    <w:rsid w:val="00690B84"/>
    <w:rsid w:val="00696027"/>
    <w:rsid w:val="006965B0"/>
    <w:rsid w:val="006974E0"/>
    <w:rsid w:val="006A36F5"/>
    <w:rsid w:val="006A593E"/>
    <w:rsid w:val="006A6A81"/>
    <w:rsid w:val="006B176F"/>
    <w:rsid w:val="006B2271"/>
    <w:rsid w:val="006B2E2E"/>
    <w:rsid w:val="006B38F4"/>
    <w:rsid w:val="006B534E"/>
    <w:rsid w:val="006B5420"/>
    <w:rsid w:val="006B71AC"/>
    <w:rsid w:val="006C2E31"/>
    <w:rsid w:val="006C3B1B"/>
    <w:rsid w:val="006C3F5B"/>
    <w:rsid w:val="006C4498"/>
    <w:rsid w:val="006D2EE1"/>
    <w:rsid w:val="006D3AB5"/>
    <w:rsid w:val="006D4A21"/>
    <w:rsid w:val="006D51BD"/>
    <w:rsid w:val="006E1E4F"/>
    <w:rsid w:val="006E28EB"/>
    <w:rsid w:val="006E2FC3"/>
    <w:rsid w:val="006E6BB9"/>
    <w:rsid w:val="006F1686"/>
    <w:rsid w:val="006F1798"/>
    <w:rsid w:val="006F21CB"/>
    <w:rsid w:val="006F2363"/>
    <w:rsid w:val="006F33A6"/>
    <w:rsid w:val="006F6E7B"/>
    <w:rsid w:val="006F7393"/>
    <w:rsid w:val="006F79E6"/>
    <w:rsid w:val="00700101"/>
    <w:rsid w:val="00701AF3"/>
    <w:rsid w:val="0070224F"/>
    <w:rsid w:val="00706262"/>
    <w:rsid w:val="0071039E"/>
    <w:rsid w:val="007115F7"/>
    <w:rsid w:val="007172D4"/>
    <w:rsid w:val="0072071C"/>
    <w:rsid w:val="007225B2"/>
    <w:rsid w:val="007247C2"/>
    <w:rsid w:val="00726619"/>
    <w:rsid w:val="0073235A"/>
    <w:rsid w:val="00733D58"/>
    <w:rsid w:val="007340FC"/>
    <w:rsid w:val="0073583E"/>
    <w:rsid w:val="00736144"/>
    <w:rsid w:val="00740BE1"/>
    <w:rsid w:val="007412C1"/>
    <w:rsid w:val="00741884"/>
    <w:rsid w:val="00741CA4"/>
    <w:rsid w:val="0075044D"/>
    <w:rsid w:val="00750899"/>
    <w:rsid w:val="007509C7"/>
    <w:rsid w:val="007517A6"/>
    <w:rsid w:val="00751E4B"/>
    <w:rsid w:val="0075478A"/>
    <w:rsid w:val="0075698C"/>
    <w:rsid w:val="00761589"/>
    <w:rsid w:val="007620A7"/>
    <w:rsid w:val="00763CB4"/>
    <w:rsid w:val="0077158F"/>
    <w:rsid w:val="007751EC"/>
    <w:rsid w:val="00775E94"/>
    <w:rsid w:val="0077614F"/>
    <w:rsid w:val="00777E4A"/>
    <w:rsid w:val="00785689"/>
    <w:rsid w:val="00794B73"/>
    <w:rsid w:val="00795AE5"/>
    <w:rsid w:val="00795EF3"/>
    <w:rsid w:val="0079754B"/>
    <w:rsid w:val="007A1DE8"/>
    <w:rsid w:val="007A1E6D"/>
    <w:rsid w:val="007A27B1"/>
    <w:rsid w:val="007A4C6D"/>
    <w:rsid w:val="007A5B09"/>
    <w:rsid w:val="007B0611"/>
    <w:rsid w:val="007B0EB2"/>
    <w:rsid w:val="007B29C0"/>
    <w:rsid w:val="007B5D5A"/>
    <w:rsid w:val="007B66EB"/>
    <w:rsid w:val="007B71BE"/>
    <w:rsid w:val="007C22F6"/>
    <w:rsid w:val="007C3C94"/>
    <w:rsid w:val="007C44A0"/>
    <w:rsid w:val="007D1718"/>
    <w:rsid w:val="007D5E44"/>
    <w:rsid w:val="007D7780"/>
    <w:rsid w:val="007E2E43"/>
    <w:rsid w:val="007E3701"/>
    <w:rsid w:val="007E42CB"/>
    <w:rsid w:val="007E42F9"/>
    <w:rsid w:val="007E5565"/>
    <w:rsid w:val="007E7124"/>
    <w:rsid w:val="007E7898"/>
    <w:rsid w:val="007F44DE"/>
    <w:rsid w:val="007F5ACD"/>
    <w:rsid w:val="007F7CDF"/>
    <w:rsid w:val="00800AA8"/>
    <w:rsid w:val="00800B3C"/>
    <w:rsid w:val="00801F0A"/>
    <w:rsid w:val="00806491"/>
    <w:rsid w:val="00810B6F"/>
    <w:rsid w:val="00811F44"/>
    <w:rsid w:val="00813BEB"/>
    <w:rsid w:val="00816E34"/>
    <w:rsid w:val="008206FA"/>
    <w:rsid w:val="00821C76"/>
    <w:rsid w:val="00822CE0"/>
    <w:rsid w:val="00824B7C"/>
    <w:rsid w:val="0083108D"/>
    <w:rsid w:val="00832585"/>
    <w:rsid w:val="00832B3E"/>
    <w:rsid w:val="00834EFE"/>
    <w:rsid w:val="008368D2"/>
    <w:rsid w:val="00837C7C"/>
    <w:rsid w:val="00841AB1"/>
    <w:rsid w:val="008469D5"/>
    <w:rsid w:val="00847C14"/>
    <w:rsid w:val="00851498"/>
    <w:rsid w:val="00851BC0"/>
    <w:rsid w:val="008523DF"/>
    <w:rsid w:val="00853A39"/>
    <w:rsid w:val="00853C1F"/>
    <w:rsid w:val="00856810"/>
    <w:rsid w:val="008577A6"/>
    <w:rsid w:val="00860962"/>
    <w:rsid w:val="00864DA0"/>
    <w:rsid w:val="00866718"/>
    <w:rsid w:val="00866B2F"/>
    <w:rsid w:val="00871955"/>
    <w:rsid w:val="00871A5F"/>
    <w:rsid w:val="008764FD"/>
    <w:rsid w:val="00882E09"/>
    <w:rsid w:val="00883150"/>
    <w:rsid w:val="0088411C"/>
    <w:rsid w:val="0088443F"/>
    <w:rsid w:val="008868DA"/>
    <w:rsid w:val="008908CE"/>
    <w:rsid w:val="0089190B"/>
    <w:rsid w:val="00893DE2"/>
    <w:rsid w:val="00895996"/>
    <w:rsid w:val="00895F14"/>
    <w:rsid w:val="008976D6"/>
    <w:rsid w:val="008A130C"/>
    <w:rsid w:val="008A3520"/>
    <w:rsid w:val="008A36DD"/>
    <w:rsid w:val="008A3DE4"/>
    <w:rsid w:val="008A5956"/>
    <w:rsid w:val="008B0336"/>
    <w:rsid w:val="008B4D8B"/>
    <w:rsid w:val="008B64E4"/>
    <w:rsid w:val="008C0531"/>
    <w:rsid w:val="008C0826"/>
    <w:rsid w:val="008C3EF1"/>
    <w:rsid w:val="008C68F1"/>
    <w:rsid w:val="008C6ABB"/>
    <w:rsid w:val="008C7956"/>
    <w:rsid w:val="008D449C"/>
    <w:rsid w:val="008D4F95"/>
    <w:rsid w:val="008E024D"/>
    <w:rsid w:val="008E026D"/>
    <w:rsid w:val="008E269F"/>
    <w:rsid w:val="008E4E74"/>
    <w:rsid w:val="008E537E"/>
    <w:rsid w:val="008E5AFA"/>
    <w:rsid w:val="008E6D03"/>
    <w:rsid w:val="008F26DE"/>
    <w:rsid w:val="008F2B5E"/>
    <w:rsid w:val="008F487A"/>
    <w:rsid w:val="008F56DA"/>
    <w:rsid w:val="008F700D"/>
    <w:rsid w:val="00907B34"/>
    <w:rsid w:val="00914138"/>
    <w:rsid w:val="00914207"/>
    <w:rsid w:val="00914A2F"/>
    <w:rsid w:val="00916167"/>
    <w:rsid w:val="00917FA4"/>
    <w:rsid w:val="0092117B"/>
    <w:rsid w:val="00921803"/>
    <w:rsid w:val="00924046"/>
    <w:rsid w:val="00925663"/>
    <w:rsid w:val="00926503"/>
    <w:rsid w:val="009265A1"/>
    <w:rsid w:val="0092661B"/>
    <w:rsid w:val="00932AF9"/>
    <w:rsid w:val="00933174"/>
    <w:rsid w:val="00933976"/>
    <w:rsid w:val="00934D83"/>
    <w:rsid w:val="00936552"/>
    <w:rsid w:val="009368C3"/>
    <w:rsid w:val="0094085A"/>
    <w:rsid w:val="00941CFC"/>
    <w:rsid w:val="009421E5"/>
    <w:rsid w:val="00947139"/>
    <w:rsid w:val="0095190F"/>
    <w:rsid w:val="00953890"/>
    <w:rsid w:val="00954B05"/>
    <w:rsid w:val="00954FDB"/>
    <w:rsid w:val="0095601B"/>
    <w:rsid w:val="00960724"/>
    <w:rsid w:val="0096547E"/>
    <w:rsid w:val="00965C5A"/>
    <w:rsid w:val="009705EC"/>
    <w:rsid w:val="00971425"/>
    <w:rsid w:val="00972589"/>
    <w:rsid w:val="009726D8"/>
    <w:rsid w:val="009729C3"/>
    <w:rsid w:val="00974855"/>
    <w:rsid w:val="0097532E"/>
    <w:rsid w:val="009764C9"/>
    <w:rsid w:val="00976705"/>
    <w:rsid w:val="00980E96"/>
    <w:rsid w:val="00980FD9"/>
    <w:rsid w:val="009814E5"/>
    <w:rsid w:val="0098348C"/>
    <w:rsid w:val="00991638"/>
    <w:rsid w:val="009973E9"/>
    <w:rsid w:val="009A11C5"/>
    <w:rsid w:val="009A2E45"/>
    <w:rsid w:val="009A71D9"/>
    <w:rsid w:val="009A7E31"/>
    <w:rsid w:val="009B1424"/>
    <w:rsid w:val="009B1A10"/>
    <w:rsid w:val="009B73E2"/>
    <w:rsid w:val="009B7CFF"/>
    <w:rsid w:val="009C0CE7"/>
    <w:rsid w:val="009C208F"/>
    <w:rsid w:val="009C626D"/>
    <w:rsid w:val="009C7529"/>
    <w:rsid w:val="009D0C20"/>
    <w:rsid w:val="009D3C86"/>
    <w:rsid w:val="009D3F45"/>
    <w:rsid w:val="009D5BE8"/>
    <w:rsid w:val="009D7109"/>
    <w:rsid w:val="009E0EC8"/>
    <w:rsid w:val="009E5ABD"/>
    <w:rsid w:val="009E5BD3"/>
    <w:rsid w:val="009E7465"/>
    <w:rsid w:val="009F19A4"/>
    <w:rsid w:val="009F3E6B"/>
    <w:rsid w:val="009F4733"/>
    <w:rsid w:val="009F76DB"/>
    <w:rsid w:val="00A01F38"/>
    <w:rsid w:val="00A04530"/>
    <w:rsid w:val="00A11223"/>
    <w:rsid w:val="00A12599"/>
    <w:rsid w:val="00A173E4"/>
    <w:rsid w:val="00A21C5B"/>
    <w:rsid w:val="00A229E7"/>
    <w:rsid w:val="00A25D63"/>
    <w:rsid w:val="00A30A3A"/>
    <w:rsid w:val="00A32C3B"/>
    <w:rsid w:val="00A36B57"/>
    <w:rsid w:val="00A36D62"/>
    <w:rsid w:val="00A37470"/>
    <w:rsid w:val="00A41335"/>
    <w:rsid w:val="00A420A4"/>
    <w:rsid w:val="00A44F86"/>
    <w:rsid w:val="00A45F4F"/>
    <w:rsid w:val="00A462F9"/>
    <w:rsid w:val="00A511BF"/>
    <w:rsid w:val="00A53A17"/>
    <w:rsid w:val="00A54506"/>
    <w:rsid w:val="00A571D7"/>
    <w:rsid w:val="00A57B2C"/>
    <w:rsid w:val="00A600A9"/>
    <w:rsid w:val="00A60AC2"/>
    <w:rsid w:val="00A668DC"/>
    <w:rsid w:val="00A707F5"/>
    <w:rsid w:val="00A709A8"/>
    <w:rsid w:val="00A815C6"/>
    <w:rsid w:val="00A81EDF"/>
    <w:rsid w:val="00A83637"/>
    <w:rsid w:val="00A90506"/>
    <w:rsid w:val="00A93C69"/>
    <w:rsid w:val="00A95F88"/>
    <w:rsid w:val="00A96984"/>
    <w:rsid w:val="00A96D8E"/>
    <w:rsid w:val="00AA0EF8"/>
    <w:rsid w:val="00AA2978"/>
    <w:rsid w:val="00AA306E"/>
    <w:rsid w:val="00AA5527"/>
    <w:rsid w:val="00AA55B7"/>
    <w:rsid w:val="00AA5B9E"/>
    <w:rsid w:val="00AA7127"/>
    <w:rsid w:val="00AB02A7"/>
    <w:rsid w:val="00AB0732"/>
    <w:rsid w:val="00AB0E88"/>
    <w:rsid w:val="00AB1DD5"/>
    <w:rsid w:val="00AB2407"/>
    <w:rsid w:val="00AB44C8"/>
    <w:rsid w:val="00AB5014"/>
    <w:rsid w:val="00AB53DF"/>
    <w:rsid w:val="00AB7470"/>
    <w:rsid w:val="00AC06B0"/>
    <w:rsid w:val="00AC0A41"/>
    <w:rsid w:val="00AC50C8"/>
    <w:rsid w:val="00AC7A18"/>
    <w:rsid w:val="00AD1DD6"/>
    <w:rsid w:val="00AD4951"/>
    <w:rsid w:val="00AE005D"/>
    <w:rsid w:val="00AE0CF8"/>
    <w:rsid w:val="00AE1A1C"/>
    <w:rsid w:val="00AE379F"/>
    <w:rsid w:val="00AE3CC4"/>
    <w:rsid w:val="00AE4766"/>
    <w:rsid w:val="00AF37C7"/>
    <w:rsid w:val="00AF418A"/>
    <w:rsid w:val="00AF7F0A"/>
    <w:rsid w:val="00B00D0E"/>
    <w:rsid w:val="00B04F01"/>
    <w:rsid w:val="00B0529E"/>
    <w:rsid w:val="00B07032"/>
    <w:rsid w:val="00B07E5C"/>
    <w:rsid w:val="00B107F2"/>
    <w:rsid w:val="00B10C9F"/>
    <w:rsid w:val="00B14309"/>
    <w:rsid w:val="00B1663F"/>
    <w:rsid w:val="00B20659"/>
    <w:rsid w:val="00B24817"/>
    <w:rsid w:val="00B27EF6"/>
    <w:rsid w:val="00B33C11"/>
    <w:rsid w:val="00B37237"/>
    <w:rsid w:val="00B37F19"/>
    <w:rsid w:val="00B404E5"/>
    <w:rsid w:val="00B41958"/>
    <w:rsid w:val="00B47010"/>
    <w:rsid w:val="00B47B17"/>
    <w:rsid w:val="00B47F75"/>
    <w:rsid w:val="00B50F1F"/>
    <w:rsid w:val="00B5222A"/>
    <w:rsid w:val="00B52E53"/>
    <w:rsid w:val="00B5343C"/>
    <w:rsid w:val="00B54B05"/>
    <w:rsid w:val="00B719A1"/>
    <w:rsid w:val="00B74D6F"/>
    <w:rsid w:val="00B7594D"/>
    <w:rsid w:val="00B76128"/>
    <w:rsid w:val="00B76292"/>
    <w:rsid w:val="00B811F7"/>
    <w:rsid w:val="00B81E4D"/>
    <w:rsid w:val="00B82F0A"/>
    <w:rsid w:val="00B838F2"/>
    <w:rsid w:val="00B86C07"/>
    <w:rsid w:val="00B91642"/>
    <w:rsid w:val="00B9280F"/>
    <w:rsid w:val="00B9317D"/>
    <w:rsid w:val="00B96DF7"/>
    <w:rsid w:val="00B97820"/>
    <w:rsid w:val="00BA0413"/>
    <w:rsid w:val="00BA18F5"/>
    <w:rsid w:val="00BA34BC"/>
    <w:rsid w:val="00BA3535"/>
    <w:rsid w:val="00BA5B4C"/>
    <w:rsid w:val="00BA5DC6"/>
    <w:rsid w:val="00BA60CF"/>
    <w:rsid w:val="00BA6196"/>
    <w:rsid w:val="00BA6ACC"/>
    <w:rsid w:val="00BB4B24"/>
    <w:rsid w:val="00BB583E"/>
    <w:rsid w:val="00BC037B"/>
    <w:rsid w:val="00BC1328"/>
    <w:rsid w:val="00BC14B4"/>
    <w:rsid w:val="00BC338B"/>
    <w:rsid w:val="00BC6D8C"/>
    <w:rsid w:val="00BD12DF"/>
    <w:rsid w:val="00BE0986"/>
    <w:rsid w:val="00BE5D51"/>
    <w:rsid w:val="00BE7C45"/>
    <w:rsid w:val="00BF0CB5"/>
    <w:rsid w:val="00BF1CD7"/>
    <w:rsid w:val="00BF2AA3"/>
    <w:rsid w:val="00BF6162"/>
    <w:rsid w:val="00C00DF8"/>
    <w:rsid w:val="00C01474"/>
    <w:rsid w:val="00C029CE"/>
    <w:rsid w:val="00C06ED8"/>
    <w:rsid w:val="00C077FF"/>
    <w:rsid w:val="00C07C9D"/>
    <w:rsid w:val="00C102F4"/>
    <w:rsid w:val="00C1193E"/>
    <w:rsid w:val="00C12AC5"/>
    <w:rsid w:val="00C21167"/>
    <w:rsid w:val="00C212A5"/>
    <w:rsid w:val="00C3152F"/>
    <w:rsid w:val="00C32935"/>
    <w:rsid w:val="00C34006"/>
    <w:rsid w:val="00C35607"/>
    <w:rsid w:val="00C35F6C"/>
    <w:rsid w:val="00C3658E"/>
    <w:rsid w:val="00C3736E"/>
    <w:rsid w:val="00C41ED7"/>
    <w:rsid w:val="00C426B1"/>
    <w:rsid w:val="00C52456"/>
    <w:rsid w:val="00C63B0B"/>
    <w:rsid w:val="00C64278"/>
    <w:rsid w:val="00C66160"/>
    <w:rsid w:val="00C66C7F"/>
    <w:rsid w:val="00C67AA2"/>
    <w:rsid w:val="00C721AC"/>
    <w:rsid w:val="00C7294E"/>
    <w:rsid w:val="00C8147E"/>
    <w:rsid w:val="00C81E0A"/>
    <w:rsid w:val="00C821DF"/>
    <w:rsid w:val="00C83B00"/>
    <w:rsid w:val="00C852EE"/>
    <w:rsid w:val="00C85308"/>
    <w:rsid w:val="00C90D6A"/>
    <w:rsid w:val="00C91399"/>
    <w:rsid w:val="00C93ECB"/>
    <w:rsid w:val="00C94CB0"/>
    <w:rsid w:val="00C97A29"/>
    <w:rsid w:val="00C97E84"/>
    <w:rsid w:val="00CA04E0"/>
    <w:rsid w:val="00CA247E"/>
    <w:rsid w:val="00CA6277"/>
    <w:rsid w:val="00CB0626"/>
    <w:rsid w:val="00CB1BEA"/>
    <w:rsid w:val="00CB3BE0"/>
    <w:rsid w:val="00CB4519"/>
    <w:rsid w:val="00CB4BD6"/>
    <w:rsid w:val="00CB667B"/>
    <w:rsid w:val="00CB6875"/>
    <w:rsid w:val="00CB76FF"/>
    <w:rsid w:val="00CB7DBB"/>
    <w:rsid w:val="00CC245D"/>
    <w:rsid w:val="00CC34E7"/>
    <w:rsid w:val="00CC3FF5"/>
    <w:rsid w:val="00CC6702"/>
    <w:rsid w:val="00CC72B6"/>
    <w:rsid w:val="00CD3127"/>
    <w:rsid w:val="00CD428D"/>
    <w:rsid w:val="00CD728D"/>
    <w:rsid w:val="00CD7DDF"/>
    <w:rsid w:val="00CE07A6"/>
    <w:rsid w:val="00CE1B30"/>
    <w:rsid w:val="00CE279A"/>
    <w:rsid w:val="00CE4DEB"/>
    <w:rsid w:val="00CE50C9"/>
    <w:rsid w:val="00CE63C3"/>
    <w:rsid w:val="00CE7BE0"/>
    <w:rsid w:val="00CF2609"/>
    <w:rsid w:val="00CF3C42"/>
    <w:rsid w:val="00CF4B46"/>
    <w:rsid w:val="00CF4FB0"/>
    <w:rsid w:val="00CF50A9"/>
    <w:rsid w:val="00D0218D"/>
    <w:rsid w:val="00D067D1"/>
    <w:rsid w:val="00D07848"/>
    <w:rsid w:val="00D10AA4"/>
    <w:rsid w:val="00D116BE"/>
    <w:rsid w:val="00D1425E"/>
    <w:rsid w:val="00D14BB9"/>
    <w:rsid w:val="00D15205"/>
    <w:rsid w:val="00D2022C"/>
    <w:rsid w:val="00D20594"/>
    <w:rsid w:val="00D21A5B"/>
    <w:rsid w:val="00D239D8"/>
    <w:rsid w:val="00D24AE7"/>
    <w:rsid w:val="00D25FB5"/>
    <w:rsid w:val="00D30139"/>
    <w:rsid w:val="00D30AFD"/>
    <w:rsid w:val="00D3185A"/>
    <w:rsid w:val="00D32E49"/>
    <w:rsid w:val="00D35C9C"/>
    <w:rsid w:val="00D37BAC"/>
    <w:rsid w:val="00D43349"/>
    <w:rsid w:val="00D438B9"/>
    <w:rsid w:val="00D44223"/>
    <w:rsid w:val="00D445BC"/>
    <w:rsid w:val="00D50B62"/>
    <w:rsid w:val="00D5104A"/>
    <w:rsid w:val="00D51529"/>
    <w:rsid w:val="00D51CF9"/>
    <w:rsid w:val="00D52F23"/>
    <w:rsid w:val="00D60FC0"/>
    <w:rsid w:val="00D61438"/>
    <w:rsid w:val="00D64F2F"/>
    <w:rsid w:val="00D654FC"/>
    <w:rsid w:val="00D66312"/>
    <w:rsid w:val="00D67325"/>
    <w:rsid w:val="00D723AD"/>
    <w:rsid w:val="00D7279E"/>
    <w:rsid w:val="00D72C5F"/>
    <w:rsid w:val="00D7369D"/>
    <w:rsid w:val="00D81322"/>
    <w:rsid w:val="00D8232C"/>
    <w:rsid w:val="00D824EB"/>
    <w:rsid w:val="00D86DE7"/>
    <w:rsid w:val="00DA2529"/>
    <w:rsid w:val="00DA50B6"/>
    <w:rsid w:val="00DB032B"/>
    <w:rsid w:val="00DB0867"/>
    <w:rsid w:val="00DB130A"/>
    <w:rsid w:val="00DB2EBB"/>
    <w:rsid w:val="00DB36D2"/>
    <w:rsid w:val="00DB533A"/>
    <w:rsid w:val="00DB630B"/>
    <w:rsid w:val="00DB76A0"/>
    <w:rsid w:val="00DC10A1"/>
    <w:rsid w:val="00DC1AD1"/>
    <w:rsid w:val="00DC1B28"/>
    <w:rsid w:val="00DC4A4E"/>
    <w:rsid w:val="00DC4FDE"/>
    <w:rsid w:val="00DC655F"/>
    <w:rsid w:val="00DC7DD9"/>
    <w:rsid w:val="00DD0347"/>
    <w:rsid w:val="00DD0B59"/>
    <w:rsid w:val="00DD1D39"/>
    <w:rsid w:val="00DD34DF"/>
    <w:rsid w:val="00DD358C"/>
    <w:rsid w:val="00DD3DC8"/>
    <w:rsid w:val="00DD594D"/>
    <w:rsid w:val="00DD5E96"/>
    <w:rsid w:val="00DD7EBD"/>
    <w:rsid w:val="00DE0B07"/>
    <w:rsid w:val="00DE1555"/>
    <w:rsid w:val="00DE2BC7"/>
    <w:rsid w:val="00DE3923"/>
    <w:rsid w:val="00DE3EBF"/>
    <w:rsid w:val="00DE3EE2"/>
    <w:rsid w:val="00DF3028"/>
    <w:rsid w:val="00DF5F58"/>
    <w:rsid w:val="00DF62B6"/>
    <w:rsid w:val="00DF63AE"/>
    <w:rsid w:val="00E01EFA"/>
    <w:rsid w:val="00E025F4"/>
    <w:rsid w:val="00E03735"/>
    <w:rsid w:val="00E04C35"/>
    <w:rsid w:val="00E0712D"/>
    <w:rsid w:val="00E07225"/>
    <w:rsid w:val="00E11DD4"/>
    <w:rsid w:val="00E13D4B"/>
    <w:rsid w:val="00E14FD1"/>
    <w:rsid w:val="00E20110"/>
    <w:rsid w:val="00E214A0"/>
    <w:rsid w:val="00E22E95"/>
    <w:rsid w:val="00E2359C"/>
    <w:rsid w:val="00E243FD"/>
    <w:rsid w:val="00E30998"/>
    <w:rsid w:val="00E31916"/>
    <w:rsid w:val="00E32546"/>
    <w:rsid w:val="00E359D5"/>
    <w:rsid w:val="00E416E0"/>
    <w:rsid w:val="00E470B4"/>
    <w:rsid w:val="00E50C8F"/>
    <w:rsid w:val="00E5138E"/>
    <w:rsid w:val="00E51B86"/>
    <w:rsid w:val="00E52125"/>
    <w:rsid w:val="00E53D6C"/>
    <w:rsid w:val="00E5409F"/>
    <w:rsid w:val="00E54EA5"/>
    <w:rsid w:val="00E550A1"/>
    <w:rsid w:val="00E569E2"/>
    <w:rsid w:val="00E56C8A"/>
    <w:rsid w:val="00E56D54"/>
    <w:rsid w:val="00E577D2"/>
    <w:rsid w:val="00E57EA6"/>
    <w:rsid w:val="00E60228"/>
    <w:rsid w:val="00E606FF"/>
    <w:rsid w:val="00E609B6"/>
    <w:rsid w:val="00E64072"/>
    <w:rsid w:val="00E71CE5"/>
    <w:rsid w:val="00E72A40"/>
    <w:rsid w:val="00E776DF"/>
    <w:rsid w:val="00E80402"/>
    <w:rsid w:val="00E810DA"/>
    <w:rsid w:val="00E846E1"/>
    <w:rsid w:val="00E92E5D"/>
    <w:rsid w:val="00E939F3"/>
    <w:rsid w:val="00E961E4"/>
    <w:rsid w:val="00EA14B3"/>
    <w:rsid w:val="00EA16A4"/>
    <w:rsid w:val="00EA3098"/>
    <w:rsid w:val="00EB0C4D"/>
    <w:rsid w:val="00EB2951"/>
    <w:rsid w:val="00EC0CBF"/>
    <w:rsid w:val="00EC0F69"/>
    <w:rsid w:val="00EC17DD"/>
    <w:rsid w:val="00EC50FE"/>
    <w:rsid w:val="00EC60A3"/>
    <w:rsid w:val="00ED22A3"/>
    <w:rsid w:val="00ED3541"/>
    <w:rsid w:val="00ED49B5"/>
    <w:rsid w:val="00ED5AA8"/>
    <w:rsid w:val="00EE1C03"/>
    <w:rsid w:val="00EE2E34"/>
    <w:rsid w:val="00EE5C74"/>
    <w:rsid w:val="00EE6488"/>
    <w:rsid w:val="00EE69E2"/>
    <w:rsid w:val="00EE6EFB"/>
    <w:rsid w:val="00EF1368"/>
    <w:rsid w:val="00EF4EEC"/>
    <w:rsid w:val="00EF5DB2"/>
    <w:rsid w:val="00EF61B1"/>
    <w:rsid w:val="00EF7108"/>
    <w:rsid w:val="00EF71E0"/>
    <w:rsid w:val="00F0189A"/>
    <w:rsid w:val="00F021FA"/>
    <w:rsid w:val="00F02460"/>
    <w:rsid w:val="00F02DF7"/>
    <w:rsid w:val="00F03058"/>
    <w:rsid w:val="00F03CE7"/>
    <w:rsid w:val="00F03E31"/>
    <w:rsid w:val="00F04388"/>
    <w:rsid w:val="00F052FC"/>
    <w:rsid w:val="00F06D71"/>
    <w:rsid w:val="00F10B69"/>
    <w:rsid w:val="00F139BA"/>
    <w:rsid w:val="00F14779"/>
    <w:rsid w:val="00F15027"/>
    <w:rsid w:val="00F17176"/>
    <w:rsid w:val="00F2093A"/>
    <w:rsid w:val="00F22BFA"/>
    <w:rsid w:val="00F2367D"/>
    <w:rsid w:val="00F23FE8"/>
    <w:rsid w:val="00F257BF"/>
    <w:rsid w:val="00F30E99"/>
    <w:rsid w:val="00F314C2"/>
    <w:rsid w:val="00F32280"/>
    <w:rsid w:val="00F34190"/>
    <w:rsid w:val="00F34993"/>
    <w:rsid w:val="00F4432D"/>
    <w:rsid w:val="00F44AC6"/>
    <w:rsid w:val="00F52024"/>
    <w:rsid w:val="00F5277A"/>
    <w:rsid w:val="00F548B2"/>
    <w:rsid w:val="00F6052B"/>
    <w:rsid w:val="00F6291E"/>
    <w:rsid w:val="00F62E97"/>
    <w:rsid w:val="00F64209"/>
    <w:rsid w:val="00F6699A"/>
    <w:rsid w:val="00F66C5B"/>
    <w:rsid w:val="00F67BFB"/>
    <w:rsid w:val="00F71B5A"/>
    <w:rsid w:val="00F71F9A"/>
    <w:rsid w:val="00F7722C"/>
    <w:rsid w:val="00F82741"/>
    <w:rsid w:val="00F82E60"/>
    <w:rsid w:val="00F84D82"/>
    <w:rsid w:val="00F86937"/>
    <w:rsid w:val="00F86BAB"/>
    <w:rsid w:val="00F86BC9"/>
    <w:rsid w:val="00F906C3"/>
    <w:rsid w:val="00F923A3"/>
    <w:rsid w:val="00F93BF5"/>
    <w:rsid w:val="00F94A63"/>
    <w:rsid w:val="00F966B9"/>
    <w:rsid w:val="00F968EB"/>
    <w:rsid w:val="00F96EBF"/>
    <w:rsid w:val="00F9736C"/>
    <w:rsid w:val="00F977FC"/>
    <w:rsid w:val="00F97DF0"/>
    <w:rsid w:val="00F97ED8"/>
    <w:rsid w:val="00FA1855"/>
    <w:rsid w:val="00FA2B37"/>
    <w:rsid w:val="00FA2BA6"/>
    <w:rsid w:val="00FA3347"/>
    <w:rsid w:val="00FA45E4"/>
    <w:rsid w:val="00FA6072"/>
    <w:rsid w:val="00FA7120"/>
    <w:rsid w:val="00FB1809"/>
    <w:rsid w:val="00FB1BBF"/>
    <w:rsid w:val="00FB1F84"/>
    <w:rsid w:val="00FB3C49"/>
    <w:rsid w:val="00FB4664"/>
    <w:rsid w:val="00FB6741"/>
    <w:rsid w:val="00FB71A3"/>
    <w:rsid w:val="00FB79CC"/>
    <w:rsid w:val="00FB7FC2"/>
    <w:rsid w:val="00FC3D09"/>
    <w:rsid w:val="00FC47A8"/>
    <w:rsid w:val="00FC54C6"/>
    <w:rsid w:val="00FC6696"/>
    <w:rsid w:val="00FC6C5E"/>
    <w:rsid w:val="00FC795B"/>
    <w:rsid w:val="00FD0169"/>
    <w:rsid w:val="00FD18E1"/>
    <w:rsid w:val="00FD2144"/>
    <w:rsid w:val="00FE10D9"/>
    <w:rsid w:val="00FE1D16"/>
    <w:rsid w:val="00FE428E"/>
    <w:rsid w:val="00FE438E"/>
    <w:rsid w:val="00FE4C8A"/>
    <w:rsid w:val="00FE4DFB"/>
    <w:rsid w:val="00FE6D34"/>
    <w:rsid w:val="00FE75E8"/>
    <w:rsid w:val="00FF0AFD"/>
    <w:rsid w:val="00FF10E1"/>
    <w:rsid w:val="00FF30BE"/>
    <w:rsid w:val="00FF4909"/>
    <w:rsid w:val="00FF4D6A"/>
    <w:rsid w:val="00FF6DEB"/>
    <w:rsid w:val="00FF767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608F102"/>
  <w15:docId w15:val="{2A59EA10-C2E7-8B46-AA25-866350A90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6F1686"/>
    <w:pPr>
      <w:widowControl w:val="0"/>
    </w:pPr>
    <w:rPr>
      <w:snapToGrid w:val="0"/>
      <w:kern w:val="28"/>
      <w:sz w:val="22"/>
    </w:rPr>
  </w:style>
  <w:style w:type="paragraph" w:styleId="Heading1">
    <w:name w:val="heading 1"/>
    <w:basedOn w:val="Normal"/>
    <w:next w:val="ParaNum"/>
    <w:qFormat/>
    <w:rsid w:val="006F168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F1686"/>
    <w:pPr>
      <w:keepNext/>
      <w:numPr>
        <w:ilvl w:val="1"/>
        <w:numId w:val="3"/>
      </w:numPr>
      <w:spacing w:after="120"/>
      <w:outlineLvl w:val="1"/>
    </w:pPr>
    <w:rPr>
      <w:b/>
    </w:rPr>
  </w:style>
  <w:style w:type="paragraph" w:styleId="Heading3">
    <w:name w:val="heading 3"/>
    <w:basedOn w:val="Normal"/>
    <w:next w:val="ParaNum"/>
    <w:qFormat/>
    <w:rsid w:val="006F1686"/>
    <w:pPr>
      <w:keepNext/>
      <w:numPr>
        <w:ilvl w:val="2"/>
        <w:numId w:val="3"/>
      </w:numPr>
      <w:tabs>
        <w:tab w:val="left" w:pos="2160"/>
      </w:tabs>
      <w:spacing w:after="120"/>
      <w:outlineLvl w:val="2"/>
    </w:pPr>
    <w:rPr>
      <w:b/>
    </w:rPr>
  </w:style>
  <w:style w:type="paragraph" w:styleId="Heading4">
    <w:name w:val="heading 4"/>
    <w:basedOn w:val="Normal"/>
    <w:next w:val="ParaNum"/>
    <w:qFormat/>
    <w:rsid w:val="006F1686"/>
    <w:pPr>
      <w:keepNext/>
      <w:numPr>
        <w:ilvl w:val="3"/>
        <w:numId w:val="3"/>
      </w:numPr>
      <w:tabs>
        <w:tab w:val="left" w:pos="2880"/>
      </w:tabs>
      <w:spacing w:after="120"/>
      <w:outlineLvl w:val="3"/>
    </w:pPr>
    <w:rPr>
      <w:b/>
    </w:rPr>
  </w:style>
  <w:style w:type="paragraph" w:styleId="Heading5">
    <w:name w:val="heading 5"/>
    <w:basedOn w:val="Normal"/>
    <w:next w:val="ParaNum"/>
    <w:qFormat/>
    <w:rsid w:val="006F1686"/>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6F1686"/>
    <w:pPr>
      <w:numPr>
        <w:ilvl w:val="5"/>
        <w:numId w:val="3"/>
      </w:numPr>
      <w:tabs>
        <w:tab w:val="left" w:pos="4320"/>
      </w:tabs>
      <w:spacing w:after="120"/>
      <w:outlineLvl w:val="5"/>
    </w:pPr>
    <w:rPr>
      <w:b/>
    </w:rPr>
  </w:style>
  <w:style w:type="paragraph" w:styleId="Heading7">
    <w:name w:val="heading 7"/>
    <w:basedOn w:val="Normal"/>
    <w:next w:val="ParaNum"/>
    <w:qFormat/>
    <w:rsid w:val="006F168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F168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6F168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F168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F1686"/>
  </w:style>
  <w:style w:type="paragraph" w:customStyle="1" w:styleId="ParaNum">
    <w:name w:val="ParaNum"/>
    <w:basedOn w:val="Normal"/>
    <w:link w:val="ParaNumChar"/>
    <w:rsid w:val="006F1686"/>
    <w:pPr>
      <w:numPr>
        <w:numId w:val="2"/>
      </w:numPr>
      <w:tabs>
        <w:tab w:val="clear" w:pos="1080"/>
        <w:tab w:val="num" w:pos="1440"/>
      </w:tabs>
      <w:spacing w:after="120"/>
    </w:pPr>
  </w:style>
  <w:style w:type="paragraph" w:styleId="EndnoteText">
    <w:name w:val="endnote text"/>
    <w:basedOn w:val="Normal"/>
    <w:semiHidden/>
    <w:rsid w:val="006F1686"/>
    <w:rPr>
      <w:sz w:val="20"/>
    </w:rPr>
  </w:style>
  <w:style w:type="character" w:styleId="EndnoteReference">
    <w:name w:val="endnote reference"/>
    <w:semiHidden/>
    <w:rsid w:val="006F1686"/>
    <w:rPr>
      <w:vertAlign w:val="superscript"/>
    </w:rPr>
  </w:style>
  <w:style w:type="paragraph" w:styleId="FootnoteText">
    <w:name w:val="footnote text"/>
    <w:aliases w:val="Footnote Text Char Cha,Footnote Text Char Char Char4 Char,Footnote Text Char1,Footnote Text Char2,Footnote Text Char4 Char1 Char,Footnote Text Char4 Char1 Char Char Char Char,Footnote Text Char7 Char,Footnote Text Char7 Char Char Char Char"/>
    <w:link w:val="FootnoteTextChar"/>
    <w:rsid w:val="006F1686"/>
    <w:pPr>
      <w:spacing w:after="120"/>
    </w:pPr>
  </w:style>
  <w:style w:type="character" w:styleId="FootnoteReference">
    <w:name w:val="footnote reference"/>
    <w:aliases w:val="(NECG) Footnote Reference,Appel note de bas de p,FR,Footnote Reference/,Style 12,Style 124,Style 13,Style 17,Style 3,Style 4,Style 6,fr,o"/>
    <w:rsid w:val="006F1686"/>
    <w:rPr>
      <w:rFonts w:ascii="Times New Roman" w:hAnsi="Times New Roman"/>
      <w:dstrike w:val="0"/>
      <w:color w:val="auto"/>
      <w:sz w:val="20"/>
      <w:vertAlign w:val="superscript"/>
    </w:rPr>
  </w:style>
  <w:style w:type="paragraph" w:styleId="TOC1">
    <w:name w:val="toc 1"/>
    <w:basedOn w:val="Normal"/>
    <w:next w:val="Normal"/>
    <w:semiHidden/>
    <w:rsid w:val="006F168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F1686"/>
    <w:pPr>
      <w:tabs>
        <w:tab w:val="left" w:pos="720"/>
        <w:tab w:val="right" w:leader="dot" w:pos="9360"/>
      </w:tabs>
      <w:suppressAutoHyphens/>
      <w:ind w:left="720" w:right="720" w:hanging="360"/>
    </w:pPr>
    <w:rPr>
      <w:noProof/>
    </w:rPr>
  </w:style>
  <w:style w:type="paragraph" w:styleId="TOC3">
    <w:name w:val="toc 3"/>
    <w:basedOn w:val="Normal"/>
    <w:next w:val="Normal"/>
    <w:semiHidden/>
    <w:rsid w:val="006F168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F168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F168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F168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F168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F168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F168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F1686"/>
    <w:pPr>
      <w:tabs>
        <w:tab w:val="right" w:pos="9360"/>
      </w:tabs>
      <w:suppressAutoHyphens/>
    </w:pPr>
  </w:style>
  <w:style w:type="character" w:customStyle="1" w:styleId="EquationCaption">
    <w:name w:val="_Equation Caption"/>
    <w:rsid w:val="006F1686"/>
  </w:style>
  <w:style w:type="paragraph" w:styleId="Header">
    <w:name w:val="header"/>
    <w:basedOn w:val="Normal"/>
    <w:link w:val="HeaderChar"/>
    <w:autoRedefine/>
    <w:rsid w:val="006F1686"/>
    <w:pPr>
      <w:tabs>
        <w:tab w:val="center" w:pos="4680"/>
        <w:tab w:val="right" w:pos="9360"/>
      </w:tabs>
    </w:pPr>
    <w:rPr>
      <w:b/>
    </w:rPr>
  </w:style>
  <w:style w:type="paragraph" w:styleId="Footer">
    <w:name w:val="footer"/>
    <w:basedOn w:val="Normal"/>
    <w:link w:val="FooterChar"/>
    <w:uiPriority w:val="99"/>
    <w:rsid w:val="006F1686"/>
    <w:pPr>
      <w:tabs>
        <w:tab w:val="center" w:pos="4320"/>
        <w:tab w:val="right" w:pos="8640"/>
      </w:tabs>
    </w:pPr>
  </w:style>
  <w:style w:type="character" w:styleId="PageNumber">
    <w:name w:val="page number"/>
    <w:basedOn w:val="DefaultParagraphFont"/>
    <w:rsid w:val="006F1686"/>
  </w:style>
  <w:style w:type="paragraph" w:styleId="BlockText">
    <w:name w:val="Block Text"/>
    <w:basedOn w:val="Normal"/>
    <w:rsid w:val="006F1686"/>
    <w:pPr>
      <w:spacing w:after="240"/>
      <w:ind w:left="1440" w:right="1440"/>
    </w:pPr>
  </w:style>
  <w:style w:type="paragraph" w:customStyle="1" w:styleId="Paratitle">
    <w:name w:val="Para title"/>
    <w:basedOn w:val="Normal"/>
    <w:rsid w:val="006F1686"/>
    <w:pPr>
      <w:tabs>
        <w:tab w:val="center" w:pos="9270"/>
      </w:tabs>
      <w:spacing w:after="240"/>
    </w:pPr>
    <w:rPr>
      <w:spacing w:val="-2"/>
    </w:rPr>
  </w:style>
  <w:style w:type="paragraph" w:customStyle="1" w:styleId="Bullet">
    <w:name w:val="Bullet"/>
    <w:basedOn w:val="Normal"/>
    <w:rsid w:val="006F1686"/>
    <w:pPr>
      <w:tabs>
        <w:tab w:val="left" w:pos="2160"/>
      </w:tabs>
      <w:spacing w:after="220"/>
      <w:ind w:left="2160" w:hanging="720"/>
    </w:pPr>
  </w:style>
  <w:style w:type="paragraph" w:customStyle="1" w:styleId="TableFormat">
    <w:name w:val="TableFormat"/>
    <w:basedOn w:val="Bullet"/>
    <w:rsid w:val="006F1686"/>
    <w:pPr>
      <w:tabs>
        <w:tab w:val="clear" w:pos="2160"/>
        <w:tab w:val="left" w:pos="5040"/>
      </w:tabs>
      <w:ind w:left="5040" w:hanging="3600"/>
    </w:pPr>
  </w:style>
  <w:style w:type="paragraph" w:customStyle="1" w:styleId="TOCTitle">
    <w:name w:val="TOC Title"/>
    <w:basedOn w:val="Normal"/>
    <w:rsid w:val="006F168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F1686"/>
    <w:pPr>
      <w:jc w:val="center"/>
    </w:pPr>
    <w:rPr>
      <w:rFonts w:ascii="Times New Roman Bold" w:hAnsi="Times New Roman Bold"/>
      <w:b/>
      <w:bCs/>
      <w:caps/>
      <w:szCs w:val="22"/>
    </w:rPr>
  </w:style>
  <w:style w:type="character" w:styleId="Hyperlink">
    <w:name w:val="Hyperlink"/>
    <w:rsid w:val="006F1686"/>
    <w:rPr>
      <w:color w:val="0000FF"/>
      <w:u w:val="single"/>
    </w:rPr>
  </w:style>
  <w:style w:type="character" w:customStyle="1" w:styleId="FootnoteTextChar">
    <w:name w:val="Footnote Text Char"/>
    <w:aliases w:val="Footnote Text Char Char Char4 Char Char,Footnote Text Char1 Char,Footnote Text Char4 Char1 Char Char,Footnote Text Char4 Char1 Char Char Char Char Char,Footnote Text Char7 Char Char,Footnote Text Char7 Char Char Char Char Char"/>
    <w:link w:val="FootnoteText"/>
    <w:rsid w:val="002D0E6B"/>
  </w:style>
  <w:style w:type="character" w:customStyle="1" w:styleId="documentbody1">
    <w:name w:val="documentbody1"/>
    <w:uiPriority w:val="99"/>
    <w:rsid w:val="002D0E6B"/>
    <w:rPr>
      <w:rFonts w:ascii="Verdana" w:hAnsi="Verdana" w:hint="default"/>
      <w:sz w:val="19"/>
      <w:szCs w:val="19"/>
      <w:shd w:val="clear" w:color="auto" w:fill="FFFFFF"/>
    </w:rPr>
  </w:style>
  <w:style w:type="paragraph" w:customStyle="1" w:styleId="Paranum0">
    <w:name w:val="Paranum"/>
    <w:uiPriority w:val="99"/>
    <w:rsid w:val="002D0E6B"/>
    <w:pPr>
      <w:numPr>
        <w:numId w:val="7"/>
      </w:numPr>
      <w:tabs>
        <w:tab w:val="left" w:pos="1440"/>
      </w:tabs>
      <w:spacing w:after="240"/>
      <w:ind w:left="0" w:firstLine="720"/>
      <w:jc w:val="both"/>
    </w:pPr>
    <w:rPr>
      <w:sz w:val="22"/>
      <w:szCs w:val="22"/>
    </w:rPr>
  </w:style>
  <w:style w:type="character" w:customStyle="1" w:styleId="ParaNumChar">
    <w:name w:val="ParaNum Char"/>
    <w:link w:val="ParaNum"/>
    <w:locked/>
    <w:rsid w:val="002D0E6B"/>
    <w:rPr>
      <w:snapToGrid w:val="0"/>
      <w:kern w:val="28"/>
      <w:sz w:val="22"/>
    </w:rPr>
  </w:style>
  <w:style w:type="paragraph" w:styleId="BalloonText">
    <w:name w:val="Balloon Text"/>
    <w:basedOn w:val="Normal"/>
    <w:link w:val="BalloonTextChar"/>
    <w:rsid w:val="00917FA4"/>
    <w:rPr>
      <w:rFonts w:ascii="Tahoma" w:hAnsi="Tahoma" w:cs="Tahoma"/>
      <w:sz w:val="16"/>
      <w:szCs w:val="16"/>
    </w:rPr>
  </w:style>
  <w:style w:type="character" w:customStyle="1" w:styleId="BalloonTextChar">
    <w:name w:val="Balloon Text Char"/>
    <w:basedOn w:val="DefaultParagraphFont"/>
    <w:link w:val="BalloonText"/>
    <w:rsid w:val="00917FA4"/>
    <w:rPr>
      <w:rFonts w:ascii="Tahoma" w:hAnsi="Tahoma" w:cs="Tahoma"/>
      <w:snapToGrid w:val="0"/>
      <w:kern w:val="28"/>
      <w:sz w:val="16"/>
      <w:szCs w:val="16"/>
    </w:rPr>
  </w:style>
  <w:style w:type="character" w:styleId="CommentReference">
    <w:name w:val="annotation reference"/>
    <w:basedOn w:val="DefaultParagraphFont"/>
    <w:rsid w:val="00F04388"/>
    <w:rPr>
      <w:sz w:val="16"/>
      <w:szCs w:val="16"/>
    </w:rPr>
  </w:style>
  <w:style w:type="paragraph" w:styleId="CommentText">
    <w:name w:val="annotation text"/>
    <w:basedOn w:val="Normal"/>
    <w:link w:val="CommentTextChar"/>
    <w:rsid w:val="00F04388"/>
    <w:rPr>
      <w:sz w:val="20"/>
    </w:rPr>
  </w:style>
  <w:style w:type="character" w:customStyle="1" w:styleId="CommentTextChar">
    <w:name w:val="Comment Text Char"/>
    <w:basedOn w:val="DefaultParagraphFont"/>
    <w:link w:val="CommentText"/>
    <w:rsid w:val="00F04388"/>
    <w:rPr>
      <w:snapToGrid w:val="0"/>
      <w:kern w:val="28"/>
    </w:rPr>
  </w:style>
  <w:style w:type="paragraph" w:styleId="CommentSubject">
    <w:name w:val="annotation subject"/>
    <w:basedOn w:val="CommentText"/>
    <w:next w:val="CommentText"/>
    <w:link w:val="CommentSubjectChar"/>
    <w:rsid w:val="00F04388"/>
    <w:rPr>
      <w:b/>
      <w:bCs/>
    </w:rPr>
  </w:style>
  <w:style w:type="character" w:customStyle="1" w:styleId="CommentSubjectChar">
    <w:name w:val="Comment Subject Char"/>
    <w:basedOn w:val="CommentTextChar"/>
    <w:link w:val="CommentSubject"/>
    <w:rsid w:val="00F04388"/>
    <w:rPr>
      <w:b/>
      <w:bCs/>
      <w:snapToGrid w:val="0"/>
      <w:kern w:val="28"/>
    </w:rPr>
  </w:style>
  <w:style w:type="character" w:customStyle="1" w:styleId="HeaderChar">
    <w:name w:val="Header Char"/>
    <w:basedOn w:val="DefaultParagraphFont"/>
    <w:link w:val="Header"/>
    <w:rsid w:val="002679EC"/>
    <w:rPr>
      <w:b/>
      <w:snapToGrid w:val="0"/>
      <w:kern w:val="28"/>
      <w:sz w:val="22"/>
    </w:rPr>
  </w:style>
  <w:style w:type="character" w:customStyle="1" w:styleId="FooterChar">
    <w:name w:val="Footer Char"/>
    <w:link w:val="Footer"/>
    <w:uiPriority w:val="99"/>
    <w:rsid w:val="006F1686"/>
    <w:rPr>
      <w:snapToGrid w:val="0"/>
      <w:kern w:val="28"/>
      <w:sz w:val="22"/>
    </w:rPr>
  </w:style>
  <w:style w:type="paragraph" w:styleId="NormalWeb">
    <w:name w:val="Normal (Web)"/>
    <w:basedOn w:val="Normal"/>
    <w:uiPriority w:val="99"/>
    <w:semiHidden/>
    <w:unhideWhenUsed/>
    <w:rsid w:val="00EA3098"/>
    <w:pPr>
      <w:widowControl/>
      <w:spacing w:before="100" w:beforeAutospacing="1" w:after="100" w:afterAutospacing="1"/>
    </w:pPr>
    <w:rPr>
      <w:snapToGrid/>
      <w:kern w:val="0"/>
      <w:sz w:val="24"/>
      <w:szCs w:val="24"/>
    </w:rPr>
  </w:style>
  <w:style w:type="character" w:customStyle="1" w:styleId="UnresolvedMention">
    <w:name w:val="Unresolved Mention"/>
    <w:basedOn w:val="DefaultParagraphFont"/>
    <w:uiPriority w:val="99"/>
    <w:semiHidden/>
    <w:unhideWhenUsed/>
    <w:rsid w:val="00F257BF"/>
    <w:rPr>
      <w:color w:val="605E5C"/>
      <w:shd w:val="clear" w:color="auto" w:fill="E1DFDD"/>
    </w:rPr>
  </w:style>
  <w:style w:type="character" w:styleId="FollowedHyperlink">
    <w:name w:val="FollowedHyperlink"/>
    <w:basedOn w:val="DefaultParagraphFont"/>
    <w:semiHidden/>
    <w:unhideWhenUsed/>
    <w:rsid w:val="007C44A0"/>
    <w:rPr>
      <w:color w:val="800080" w:themeColor="followedHyperlink"/>
      <w:u w:val="single"/>
    </w:rPr>
  </w:style>
  <w:style w:type="character" w:styleId="Emphasis">
    <w:name w:val="Emphasis"/>
    <w:basedOn w:val="DefaultParagraphFont"/>
    <w:uiPriority w:val="20"/>
    <w:qFormat/>
    <w:rsid w:val="00E52125"/>
    <w:rPr>
      <w:i/>
      <w:iCs/>
    </w:rPr>
  </w:style>
  <w:style w:type="paragraph" w:styleId="Revision">
    <w:name w:val="Revision"/>
    <w:hidden/>
    <w:uiPriority w:val="99"/>
    <w:semiHidden/>
    <w:rsid w:val="007509C7"/>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4.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header" Target="header5.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notes.xml.rels><?xml version="1.0" encoding="utf-8" standalone="yes"?><Relationships xmlns="http://schemas.openxmlformats.org/package/2006/relationships"><Relationship Id="rId1" Type="http://schemas.openxmlformats.org/officeDocument/2006/relationships/hyperlink" Target="https://docs.fcc.gov/public/attachments/DOC-319849A1.pdf" TargetMode="External" /><Relationship Id="rId2" Type="http://schemas.openxmlformats.org/officeDocument/2006/relationships/hyperlink" Target="https://wireless2.fcc.gov/UlsApp/UlsSearch/license.jsp?licKey=1803330"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