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C7528" w:rsidP="001C7528" w14:paraId="6D72C48F" w14:textId="77777777">
      <w:pPr>
        <w:jc w:val="center"/>
        <w:rPr>
          <w:b/>
        </w:rPr>
      </w:pPr>
      <w:r w:rsidRPr="0070224F">
        <w:rPr>
          <w:rFonts w:ascii="Times New Roman Bold" w:hAnsi="Times New Roman Bold"/>
          <w:b/>
          <w:kern w:val="0"/>
          <w:szCs w:val="22"/>
        </w:rPr>
        <w:t>Before</w:t>
      </w:r>
      <w:r>
        <w:rPr>
          <w:b/>
        </w:rPr>
        <w:t xml:space="preserve"> the</w:t>
      </w:r>
    </w:p>
    <w:p w:rsidR="001C7528" w:rsidP="001C7528" w14:paraId="66EBA3DF" w14:textId="77777777">
      <w:pPr>
        <w:pStyle w:val="StyleBoldCentered"/>
      </w:pPr>
      <w:r>
        <w:t>F</w:t>
      </w:r>
      <w:r>
        <w:rPr>
          <w:caps w:val="0"/>
        </w:rPr>
        <w:t>ederal Communications Commission</w:t>
      </w:r>
    </w:p>
    <w:p w:rsidR="001C7528" w:rsidP="001C7528" w14:paraId="78FAA103" w14:textId="22D4E7C2">
      <w:pPr>
        <w:pStyle w:val="StyleBoldCentered"/>
        <w:rPr>
          <w:caps w:val="0"/>
        </w:rPr>
      </w:pPr>
      <w:r>
        <w:rPr>
          <w:caps w:val="0"/>
        </w:rPr>
        <w:t>Washington, D.C. 20554</w:t>
      </w:r>
    </w:p>
    <w:p w:rsidR="007F774E" w:rsidP="001C7528" w14:paraId="5CCBD07F" w14:textId="77777777">
      <w:pPr>
        <w:pStyle w:val="StyleBoldCentered"/>
      </w:pPr>
    </w:p>
    <w:p w:rsidR="001C7528" w:rsidP="001C7528" w14:paraId="41FFEBB9" w14:textId="77777777"/>
    <w:tbl>
      <w:tblPr>
        <w:tblW w:w="0" w:type="auto"/>
        <w:tblLayout w:type="fixed"/>
        <w:tblLook w:val="0000"/>
      </w:tblPr>
      <w:tblGrid>
        <w:gridCol w:w="4698"/>
        <w:gridCol w:w="630"/>
        <w:gridCol w:w="4248"/>
      </w:tblGrid>
      <w:tr w14:paraId="12CDED00" w14:textId="77777777" w:rsidTr="00E260EE">
        <w:tblPrEx>
          <w:tblW w:w="0" w:type="auto"/>
          <w:tblLayout w:type="fixed"/>
          <w:tblLook w:val="0000"/>
        </w:tblPrEx>
        <w:tc>
          <w:tcPr>
            <w:tcW w:w="4698" w:type="dxa"/>
          </w:tcPr>
          <w:p w:rsidR="001C7528" w:rsidP="00E260EE" w14:paraId="1202E6F6" w14:textId="77777777">
            <w:pPr>
              <w:tabs>
                <w:tab w:val="center" w:pos="4680"/>
              </w:tabs>
              <w:suppressAutoHyphens/>
              <w:rPr>
                <w:spacing w:val="-2"/>
              </w:rPr>
            </w:pPr>
            <w:r>
              <w:rPr>
                <w:spacing w:val="-2"/>
              </w:rPr>
              <w:t>In the Matter of</w:t>
            </w:r>
          </w:p>
          <w:p w:rsidR="001C7528" w:rsidP="00E260EE" w14:paraId="14631B2D" w14:textId="77777777">
            <w:pPr>
              <w:tabs>
                <w:tab w:val="center" w:pos="4680"/>
              </w:tabs>
              <w:rPr>
                <w:spacing w:val="-2"/>
              </w:rPr>
            </w:pPr>
          </w:p>
          <w:p w:rsidR="00EB7768" w:rsidRPr="00EB7768" w:rsidP="00E260EE" w14:paraId="39163C7A" w14:textId="4BD43428">
            <w:pPr>
              <w:tabs>
                <w:tab w:val="center" w:pos="4680"/>
              </w:tabs>
              <w:rPr>
                <w:spacing w:val="-2"/>
                <w:szCs w:val="22"/>
              </w:rPr>
            </w:pPr>
            <w:r>
              <w:rPr>
                <w:b/>
                <w:spacing w:val="-2"/>
                <w:szCs w:val="22"/>
              </w:rPr>
              <w:t>ROGER WAHL</w:t>
            </w:r>
          </w:p>
          <w:p w:rsidR="001C7528" w:rsidRPr="00387167" w:rsidP="00E260EE" w14:paraId="251AF7D4" w14:textId="77777777">
            <w:pPr>
              <w:tabs>
                <w:tab w:val="center" w:pos="4680"/>
              </w:tabs>
              <w:rPr>
                <w:snapToGrid/>
                <w:szCs w:val="22"/>
              </w:rPr>
            </w:pPr>
          </w:p>
          <w:p w:rsidR="001C7528" w:rsidRPr="00387167" w:rsidP="00E260EE" w14:paraId="7B03548E" w14:textId="5FAD03E5">
            <w:pPr>
              <w:tabs>
                <w:tab w:val="center" w:pos="4680"/>
              </w:tabs>
              <w:rPr>
                <w:snapToGrid/>
                <w:szCs w:val="22"/>
              </w:rPr>
            </w:pPr>
            <w:r>
              <w:rPr>
                <w:snapToGrid/>
                <w:szCs w:val="22"/>
              </w:rPr>
              <w:t>WQZS(FM), Meyersdale, PA</w:t>
            </w:r>
          </w:p>
          <w:p w:rsidR="001C7528" w:rsidRPr="00EB7768" w:rsidP="00EB7768" w14:paraId="19B76E2D" w14:textId="77777777">
            <w:pPr>
              <w:tabs>
                <w:tab w:val="center" w:pos="4680"/>
              </w:tabs>
              <w:rPr>
                <w:b/>
                <w:spacing w:val="-2"/>
                <w:szCs w:val="22"/>
              </w:rPr>
            </w:pPr>
          </w:p>
        </w:tc>
        <w:tc>
          <w:tcPr>
            <w:tcW w:w="630" w:type="dxa"/>
          </w:tcPr>
          <w:p w:rsidR="001C7528" w:rsidP="00E260EE" w14:paraId="2D0A80DA" w14:textId="77777777">
            <w:pPr>
              <w:tabs>
                <w:tab w:val="center" w:pos="4680"/>
              </w:tabs>
              <w:suppressAutoHyphens/>
              <w:rPr>
                <w:b/>
                <w:spacing w:val="-2"/>
              </w:rPr>
            </w:pPr>
            <w:r>
              <w:rPr>
                <w:b/>
                <w:spacing w:val="-2"/>
              </w:rPr>
              <w:t>)</w:t>
            </w:r>
          </w:p>
          <w:p w:rsidR="001C7528" w:rsidP="00E260EE" w14:paraId="06FDF022" w14:textId="77777777">
            <w:pPr>
              <w:tabs>
                <w:tab w:val="center" w:pos="4680"/>
              </w:tabs>
              <w:suppressAutoHyphens/>
              <w:rPr>
                <w:b/>
                <w:spacing w:val="-2"/>
              </w:rPr>
            </w:pPr>
            <w:r>
              <w:rPr>
                <w:b/>
                <w:spacing w:val="-2"/>
              </w:rPr>
              <w:t>)</w:t>
            </w:r>
          </w:p>
          <w:p w:rsidR="001C7528" w:rsidP="00E260EE" w14:paraId="56F20006" w14:textId="77777777">
            <w:pPr>
              <w:tabs>
                <w:tab w:val="center" w:pos="4680"/>
              </w:tabs>
              <w:suppressAutoHyphens/>
              <w:rPr>
                <w:b/>
                <w:spacing w:val="-2"/>
              </w:rPr>
            </w:pPr>
            <w:r>
              <w:rPr>
                <w:b/>
                <w:spacing w:val="-2"/>
              </w:rPr>
              <w:t>)</w:t>
            </w:r>
          </w:p>
          <w:p w:rsidR="001C7528" w:rsidP="00E260EE" w14:paraId="1CF7BE73" w14:textId="77777777">
            <w:pPr>
              <w:tabs>
                <w:tab w:val="center" w:pos="4680"/>
              </w:tabs>
              <w:suppressAutoHyphens/>
              <w:rPr>
                <w:b/>
                <w:spacing w:val="-2"/>
              </w:rPr>
            </w:pPr>
            <w:r>
              <w:rPr>
                <w:b/>
                <w:spacing w:val="-2"/>
              </w:rPr>
              <w:t>)</w:t>
            </w:r>
          </w:p>
          <w:p w:rsidR="001C7528" w:rsidP="00E260EE" w14:paraId="6751F434" w14:textId="77777777">
            <w:pPr>
              <w:tabs>
                <w:tab w:val="center" w:pos="4680"/>
              </w:tabs>
              <w:suppressAutoHyphens/>
              <w:rPr>
                <w:b/>
                <w:spacing w:val="-2"/>
              </w:rPr>
            </w:pPr>
            <w:r>
              <w:rPr>
                <w:b/>
                <w:spacing w:val="-2"/>
              </w:rPr>
              <w:t>)</w:t>
            </w:r>
          </w:p>
          <w:p w:rsidR="001C7528" w:rsidP="00E260EE" w14:paraId="2FE44F71" w14:textId="120A7BDF">
            <w:pPr>
              <w:tabs>
                <w:tab w:val="center" w:pos="4680"/>
              </w:tabs>
              <w:suppressAutoHyphens/>
              <w:rPr>
                <w:b/>
                <w:spacing w:val="-2"/>
              </w:rPr>
            </w:pPr>
            <w:r>
              <w:rPr>
                <w:b/>
                <w:spacing w:val="-2"/>
              </w:rPr>
              <w:t>)</w:t>
            </w:r>
          </w:p>
          <w:p w:rsidR="001C7528" w:rsidRPr="00EB7768" w:rsidP="00E260EE" w14:paraId="64C86B07" w14:textId="5B2761B1">
            <w:pPr>
              <w:tabs>
                <w:tab w:val="center" w:pos="4680"/>
              </w:tabs>
              <w:suppressAutoHyphens/>
              <w:rPr>
                <w:b/>
                <w:spacing w:val="-2"/>
              </w:rPr>
            </w:pPr>
          </w:p>
        </w:tc>
        <w:tc>
          <w:tcPr>
            <w:tcW w:w="4248" w:type="dxa"/>
          </w:tcPr>
          <w:p w:rsidR="001C7528" w:rsidP="00E260EE" w14:paraId="77BEE898" w14:textId="77777777">
            <w:pPr>
              <w:tabs>
                <w:tab w:val="center" w:pos="4680"/>
              </w:tabs>
              <w:suppressAutoHyphens/>
              <w:rPr>
                <w:spacing w:val="-2"/>
              </w:rPr>
            </w:pPr>
          </w:p>
          <w:p w:rsidR="001C7528" w:rsidP="00E260EE" w14:paraId="71EE157D" w14:textId="77777777">
            <w:pPr>
              <w:pStyle w:val="TOAHeading"/>
              <w:tabs>
                <w:tab w:val="center" w:pos="4680"/>
                <w:tab w:val="clear" w:pos="9360"/>
              </w:tabs>
              <w:rPr>
                <w:spacing w:val="-2"/>
              </w:rPr>
            </w:pPr>
          </w:p>
          <w:p w:rsidR="001C7528" w:rsidRPr="0087030B" w:rsidP="00E260EE" w14:paraId="55BB496E" w14:textId="11FF5511">
            <w:pPr>
              <w:tabs>
                <w:tab w:val="center" w:pos="4680"/>
              </w:tabs>
              <w:rPr>
                <w:spacing w:val="-2"/>
                <w:szCs w:val="22"/>
              </w:rPr>
            </w:pPr>
            <w:r>
              <w:rPr>
                <w:spacing w:val="-2"/>
                <w:szCs w:val="22"/>
              </w:rPr>
              <w:t>M</w:t>
            </w:r>
            <w:r w:rsidRPr="0087030B">
              <w:rPr>
                <w:spacing w:val="-2"/>
                <w:szCs w:val="22"/>
              </w:rPr>
              <w:t xml:space="preserve">B Docket </w:t>
            </w:r>
            <w:r w:rsidR="00EB7768">
              <w:rPr>
                <w:spacing w:val="-2"/>
                <w:szCs w:val="22"/>
              </w:rPr>
              <w:t xml:space="preserve">No. </w:t>
            </w:r>
            <w:r>
              <w:rPr>
                <w:spacing w:val="-2"/>
                <w:szCs w:val="22"/>
              </w:rPr>
              <w:t>21-401</w:t>
            </w:r>
          </w:p>
          <w:p w:rsidR="001C7528" w:rsidRPr="0087030B" w:rsidP="00E260EE" w14:paraId="0CFCE5E5" w14:textId="77777777">
            <w:pPr>
              <w:tabs>
                <w:tab w:val="center" w:pos="4680"/>
              </w:tabs>
              <w:rPr>
                <w:spacing w:val="-2"/>
                <w:szCs w:val="22"/>
              </w:rPr>
            </w:pPr>
          </w:p>
          <w:p w:rsidR="001C7528" w:rsidRPr="0087030B" w:rsidP="00E260EE" w14:paraId="7D23079C" w14:textId="3ACAAA61">
            <w:pPr>
              <w:tabs>
                <w:tab w:val="center" w:pos="4680"/>
              </w:tabs>
              <w:rPr>
                <w:spacing w:val="-2"/>
                <w:szCs w:val="22"/>
              </w:rPr>
            </w:pPr>
            <w:r>
              <w:rPr>
                <w:spacing w:val="-2"/>
                <w:szCs w:val="22"/>
              </w:rPr>
              <w:t>Facility ID No. 57424</w:t>
            </w:r>
          </w:p>
          <w:p w:rsidR="001C7528" w:rsidRPr="00387167" w:rsidP="00E260EE" w14:paraId="43E7EDAC" w14:textId="77777777">
            <w:pPr>
              <w:tabs>
                <w:tab w:val="center" w:pos="4680"/>
              </w:tabs>
              <w:rPr>
                <w:spacing w:val="-2"/>
                <w:szCs w:val="22"/>
              </w:rPr>
            </w:pPr>
          </w:p>
          <w:p w:rsidR="001C7528" w:rsidP="00E260EE" w14:paraId="3395BF05" w14:textId="77777777">
            <w:pPr>
              <w:tabs>
                <w:tab w:val="center" w:pos="4680"/>
              </w:tabs>
              <w:suppressAutoHyphens/>
              <w:rPr>
                <w:spacing w:val="-2"/>
              </w:rPr>
            </w:pPr>
          </w:p>
        </w:tc>
      </w:tr>
    </w:tbl>
    <w:p w:rsidR="001C7528" w:rsidP="00EB7768" w14:paraId="0109C5BD" w14:textId="77777777">
      <w:pPr>
        <w:pStyle w:val="StyleBoldCentered"/>
        <w:jc w:val="left"/>
      </w:pPr>
    </w:p>
    <w:p w:rsidR="001C7528" w:rsidRPr="00EB7768" w:rsidP="00EB7768" w14:paraId="6EF381A1" w14:textId="77C7EECE">
      <w:pPr>
        <w:tabs>
          <w:tab w:val="left" w:pos="-720"/>
        </w:tabs>
        <w:suppressAutoHyphens/>
        <w:spacing w:line="227" w:lineRule="auto"/>
        <w:jc w:val="center"/>
        <w:rPr>
          <w:b/>
          <w:spacing w:val="-2"/>
        </w:rPr>
      </w:pPr>
      <w:r>
        <w:rPr>
          <w:b/>
          <w:spacing w:val="-2"/>
        </w:rPr>
        <w:t xml:space="preserve">TERMINATION </w:t>
      </w:r>
      <w:r w:rsidRPr="00EB7768" w:rsidR="00EB7768">
        <w:rPr>
          <w:b/>
          <w:spacing w:val="-2"/>
        </w:rPr>
        <w:t>ORDER</w:t>
      </w:r>
    </w:p>
    <w:p w:rsidR="00EB7768" w:rsidP="001C7528" w14:paraId="0EC0F082" w14:textId="77777777">
      <w:pPr>
        <w:tabs>
          <w:tab w:val="left" w:pos="-720"/>
        </w:tabs>
        <w:suppressAutoHyphens/>
        <w:spacing w:line="227" w:lineRule="auto"/>
        <w:rPr>
          <w:spacing w:val="-2"/>
        </w:rPr>
      </w:pPr>
    </w:p>
    <w:p w:rsidR="001C7528" w:rsidRPr="00DC59EC" w:rsidP="00DC59EC" w14:paraId="540B290B" w14:textId="219D701B">
      <w:pPr>
        <w:tabs>
          <w:tab w:val="left" w:pos="720"/>
          <w:tab w:val="right" w:pos="9360"/>
        </w:tabs>
        <w:suppressAutoHyphens/>
        <w:spacing w:line="227" w:lineRule="auto"/>
        <w:rPr>
          <w:spacing w:val="-2"/>
        </w:rPr>
      </w:pPr>
      <w:r>
        <w:rPr>
          <w:b/>
          <w:spacing w:val="-2"/>
        </w:rPr>
        <w:t>Issu</w:t>
      </w:r>
      <w:r>
        <w:rPr>
          <w:b/>
          <w:spacing w:val="-2"/>
        </w:rPr>
        <w:t xml:space="preserve">ed:  </w:t>
      </w:r>
      <w:r w:rsidR="00956CA4">
        <w:rPr>
          <w:b/>
          <w:spacing w:val="-2"/>
        </w:rPr>
        <w:t>December 1, 2021</w:t>
      </w:r>
      <w:r>
        <w:rPr>
          <w:b/>
          <w:spacing w:val="-2"/>
        </w:rPr>
        <w:tab/>
        <w:t xml:space="preserve">Released:  </w:t>
      </w:r>
      <w:r w:rsidR="00956CA4">
        <w:rPr>
          <w:b/>
          <w:spacing w:val="-2"/>
        </w:rPr>
        <w:t>December 1, 2021</w:t>
      </w:r>
    </w:p>
    <w:p w:rsidR="00F5534C" w:rsidP="001C7528" w14:paraId="4B32716C" w14:textId="77777777"/>
    <w:p w:rsidR="00976530" w:rsidP="00E517DB" w14:paraId="693621AF" w14:textId="1F2CD316">
      <w:r>
        <w:tab/>
      </w:r>
      <w:r w:rsidR="00293581">
        <w:t>By</w:t>
      </w:r>
      <w:r w:rsidR="00293581">
        <w:rPr>
          <w:i/>
        </w:rPr>
        <w:t>, Hearing Designation Order</w:t>
      </w:r>
      <w:r w:rsidR="007F774E">
        <w:rPr>
          <w:i/>
        </w:rPr>
        <w:t>,</w:t>
      </w:r>
      <w:r w:rsidR="00293581">
        <w:rPr>
          <w:i/>
        </w:rPr>
        <w:t xml:space="preserve"> </w:t>
      </w:r>
      <w:r w:rsidR="007F774E">
        <w:rPr>
          <w:i/>
        </w:rPr>
        <w:t xml:space="preserve">Order to Show Cause, </w:t>
      </w:r>
      <w:r w:rsidR="00293581">
        <w:rPr>
          <w:i/>
        </w:rPr>
        <w:t xml:space="preserve">and Notice of Opportunity for </w:t>
      </w:r>
      <w:r w:rsidRPr="00542854" w:rsidR="00293581">
        <w:rPr>
          <w:i/>
        </w:rPr>
        <w:t>Hearing</w:t>
      </w:r>
      <w:r w:rsidR="00B62584">
        <w:t xml:space="preserve"> </w:t>
      </w:r>
      <w:r w:rsidR="00624903">
        <w:t>in the above-captioned matter</w:t>
      </w:r>
      <w:r w:rsidR="00B62584">
        <w:t xml:space="preserve">, the Chief, </w:t>
      </w:r>
      <w:r w:rsidR="007F774E">
        <w:t>Media</w:t>
      </w:r>
      <w:r w:rsidR="00B62584">
        <w:t xml:space="preserve"> Bureau, pursuant to delegated authority, </w:t>
      </w:r>
      <w:r w:rsidR="00624903">
        <w:t>commenced a</w:t>
      </w:r>
      <w:r w:rsidR="00B62584">
        <w:t xml:space="preserve"> hearing</w:t>
      </w:r>
      <w:r w:rsidR="00624903">
        <w:t xml:space="preserve"> proceeding</w:t>
      </w:r>
      <w:r w:rsidR="00D078A0">
        <w:t xml:space="preserve"> to determine whether </w:t>
      </w:r>
      <w:r w:rsidR="007F774E">
        <w:t>Roger Wahl</w:t>
      </w:r>
      <w:r w:rsidR="00D078A0">
        <w:t xml:space="preserve"> </w:t>
      </w:r>
      <w:r w:rsidR="00624903">
        <w:t xml:space="preserve">is qualified to remain a Commission licensee and whether </w:t>
      </w:r>
      <w:r w:rsidR="00033D7D">
        <w:t>his</w:t>
      </w:r>
      <w:r w:rsidR="00624903">
        <w:t xml:space="preserve"> license for Station </w:t>
      </w:r>
      <w:r w:rsidR="007F774E">
        <w:t>W</w:t>
      </w:r>
      <w:r w:rsidR="00FA6B36">
        <w:t>Q</w:t>
      </w:r>
      <w:r w:rsidR="007F774E">
        <w:t>ZS(FM)</w:t>
      </w:r>
      <w:r w:rsidR="00624903">
        <w:t xml:space="preserve">, </w:t>
      </w:r>
      <w:r w:rsidR="007F774E">
        <w:t xml:space="preserve">Meyersdale, Pennsylvania, </w:t>
      </w:r>
      <w:r w:rsidR="00624903">
        <w:t>should be revoked</w:t>
      </w:r>
      <w:r w:rsidR="00B62584">
        <w:t>.</w:t>
      </w:r>
      <w:r>
        <w:rPr>
          <w:rStyle w:val="FootnoteReference"/>
        </w:rPr>
        <w:footnoteReference w:id="2"/>
      </w:r>
      <w:r w:rsidR="00B62584">
        <w:t xml:space="preserve">  </w:t>
      </w:r>
      <w:r w:rsidR="00723E97">
        <w:t xml:space="preserve">The issues to be considered </w:t>
      </w:r>
      <w:r w:rsidR="00A649ED">
        <w:t xml:space="preserve">stem from the </w:t>
      </w:r>
      <w:r w:rsidR="00033D7D">
        <w:t>conviction of Mr. Wahl of a felony and multiple misdemeanors under the Pennsylvania Crimes Code.</w:t>
      </w:r>
      <w:r>
        <w:rPr>
          <w:rStyle w:val="FootnoteReference"/>
        </w:rPr>
        <w:footnoteReference w:id="3"/>
      </w:r>
      <w:r w:rsidR="00033D7D">
        <w:t xml:space="preserve">  </w:t>
      </w:r>
      <w:r w:rsidR="00FF7CB6">
        <w:t xml:space="preserve">To avail </w:t>
      </w:r>
      <w:r w:rsidR="00033D7D">
        <w:t>himself</w:t>
      </w:r>
      <w:r w:rsidR="00FF7CB6">
        <w:t xml:space="preserve"> of the opportunity to be heard and the right to present evidence at the hearing, M</w:t>
      </w:r>
      <w:r w:rsidR="00033D7D">
        <w:t xml:space="preserve">r. Wahl </w:t>
      </w:r>
      <w:r w:rsidR="00FF7CB6">
        <w:t xml:space="preserve">was directed </w:t>
      </w:r>
      <w:r w:rsidR="007F5ADD">
        <w:t xml:space="preserve">by the </w:t>
      </w:r>
      <w:r w:rsidR="00033D7D">
        <w:rPr>
          <w:i/>
        </w:rPr>
        <w:t>Order</w:t>
      </w:r>
      <w:r w:rsidR="00911D59">
        <w:rPr>
          <w:i/>
        </w:rPr>
        <w:t xml:space="preserve"> to Show Cause</w:t>
      </w:r>
      <w:r w:rsidR="00033D7D">
        <w:rPr>
          <w:i/>
        </w:rPr>
        <w:t xml:space="preserve"> </w:t>
      </w:r>
      <w:r w:rsidRPr="007F5ADD" w:rsidR="00FF7CB6">
        <w:t>to</w:t>
      </w:r>
      <w:r w:rsidR="00FF7CB6">
        <w:t xml:space="preserve"> file a written appearance within 20 days </w:t>
      </w:r>
      <w:r w:rsidR="006A7ACF">
        <w:t>of the mailing of the order</w:t>
      </w:r>
      <w:r w:rsidR="000C15AD">
        <w:t>,</w:t>
      </w:r>
      <w:r w:rsidR="006A7ACF">
        <w:t xml:space="preserve"> </w:t>
      </w:r>
      <w:r w:rsidR="00FF7CB6">
        <w:t xml:space="preserve">stating that </w:t>
      </w:r>
      <w:r w:rsidR="00033D7D">
        <w:t>he</w:t>
      </w:r>
      <w:r w:rsidR="00FF7CB6">
        <w:t xml:space="preserve"> would appear at the hearing and present evidence on the issues specified.</w:t>
      </w:r>
      <w:r>
        <w:rPr>
          <w:rStyle w:val="FootnoteReference"/>
        </w:rPr>
        <w:footnoteReference w:id="4"/>
      </w:r>
    </w:p>
    <w:p w:rsidR="006D6D19" w:rsidRPr="00FF7CB6" w:rsidP="00E517DB" w14:paraId="5CB73487" w14:textId="77777777">
      <w:pPr>
        <w:rPr>
          <w:vertAlign w:val="superscript"/>
        </w:rPr>
      </w:pPr>
    </w:p>
    <w:p w:rsidR="002352F2" w:rsidP="006C25DD" w14:paraId="1EE6ECD0" w14:textId="07BCF416">
      <w:pPr>
        <w:ind w:firstLine="720"/>
      </w:pPr>
      <w:r>
        <w:t>T</w:t>
      </w:r>
      <w:r w:rsidR="006A4FB1">
        <w:t xml:space="preserve">he </w:t>
      </w:r>
      <w:r w:rsidR="007E4702">
        <w:rPr>
          <w:i/>
        </w:rPr>
        <w:t>Order</w:t>
      </w:r>
      <w:r w:rsidR="00911D59">
        <w:rPr>
          <w:i/>
        </w:rPr>
        <w:t xml:space="preserve"> to Show Cause</w:t>
      </w:r>
      <w:r w:rsidR="00126CDC">
        <w:t xml:space="preserve"> was released</w:t>
      </w:r>
      <w:r>
        <w:t xml:space="preserve"> </w:t>
      </w:r>
      <w:r w:rsidR="00126CDC">
        <w:t xml:space="preserve">on </w:t>
      </w:r>
      <w:r w:rsidR="007E4702">
        <w:t>October 19, 202</w:t>
      </w:r>
      <w:r>
        <w:t>1</w:t>
      </w:r>
      <w:r w:rsidR="000C15AD">
        <w:t>,</w:t>
      </w:r>
      <w:r>
        <w:t xml:space="preserve"> and a copy was mailed to Mr. Wahl by certified mail, return receipt requested, that same day.  Due to an error in the address initially used, the Media Bureau mailed another copy of the order to Mr. Wahl on November 8, 2021.  Based on the November 8 mailing date, Mr. Wahl’s </w:t>
      </w:r>
      <w:r w:rsidR="007E4702">
        <w:t xml:space="preserve">written </w:t>
      </w:r>
      <w:r w:rsidR="006A4FB1">
        <w:t>appearance was</w:t>
      </w:r>
      <w:r>
        <w:t xml:space="preserve"> </w:t>
      </w:r>
      <w:r w:rsidR="006A4FB1">
        <w:t xml:space="preserve">due by </w:t>
      </w:r>
      <w:r w:rsidR="007E4702">
        <w:t xml:space="preserve">November </w:t>
      </w:r>
      <w:r>
        <w:t>29</w:t>
      </w:r>
      <w:r w:rsidR="006A4FB1">
        <w:t>, 20</w:t>
      </w:r>
      <w:r w:rsidR="007E4702">
        <w:t>21</w:t>
      </w:r>
      <w:r>
        <w:t>.  Mr. Wahl has not filed the</w:t>
      </w:r>
      <w:r w:rsidR="006A4FB1">
        <w:t xml:space="preserve"> required written appearance, no</w:t>
      </w:r>
      <w:r w:rsidR="00564CBF">
        <w:t>r</w:t>
      </w:r>
      <w:r w:rsidR="006A4FB1">
        <w:t xml:space="preserve"> </w:t>
      </w:r>
      <w:r>
        <w:t>has</w:t>
      </w:r>
      <w:r w:rsidR="006A4FB1">
        <w:t xml:space="preserve"> </w:t>
      </w:r>
      <w:r>
        <w:t>he</w:t>
      </w:r>
      <w:r w:rsidR="006A4FB1">
        <w:t xml:space="preserve"> submit</w:t>
      </w:r>
      <w:r>
        <w:t>ted</w:t>
      </w:r>
      <w:r w:rsidR="006A4FB1">
        <w:t xml:space="preserve"> </w:t>
      </w:r>
      <w:r w:rsidR="00564CBF">
        <w:t xml:space="preserve">a petition </w:t>
      </w:r>
      <w:r w:rsidR="00FB404C">
        <w:t xml:space="preserve">seeking dismissal of the </w:t>
      </w:r>
      <w:r>
        <w:rPr>
          <w:i/>
        </w:rPr>
        <w:t>Order</w:t>
      </w:r>
      <w:r w:rsidR="00911D59">
        <w:rPr>
          <w:i/>
        </w:rPr>
        <w:t xml:space="preserve"> to Show Cause</w:t>
      </w:r>
      <w:r>
        <w:rPr>
          <w:i/>
        </w:rPr>
        <w:t xml:space="preserve"> </w:t>
      </w:r>
      <w:r w:rsidR="00FC0EE3">
        <w:t>or permission to</w:t>
      </w:r>
      <w:r w:rsidR="00FB404C">
        <w:t xml:space="preserve"> </w:t>
      </w:r>
      <w:r w:rsidR="00FC0EE3">
        <w:t xml:space="preserve">file </w:t>
      </w:r>
      <w:r>
        <w:t>his</w:t>
      </w:r>
      <w:r w:rsidR="00FC0EE3">
        <w:t xml:space="preserve"> appearance after the deadline.  </w:t>
      </w:r>
    </w:p>
    <w:p w:rsidR="006C25DD" w:rsidP="006C25DD" w14:paraId="76EC9B86" w14:textId="77777777">
      <w:pPr>
        <w:ind w:firstLine="720"/>
      </w:pPr>
    </w:p>
    <w:p w:rsidR="006C25DD" w:rsidP="006C25DD" w14:paraId="0FB0A5B0" w14:textId="3AE30C9A">
      <w:pPr>
        <w:ind w:firstLine="720"/>
      </w:pPr>
      <w:r>
        <w:t>Section 1.92 of the Commission’s rules provides that following the issuance of an Order to Show Cause,</w:t>
      </w:r>
      <w:r w:rsidRPr="00212B87">
        <w:t xml:space="preserve"> </w:t>
      </w:r>
      <w:r>
        <w:t>the right to a hearing shall be deemed waived if an applicant fails to file a written appearance within the time specified.</w:t>
      </w:r>
      <w:r>
        <w:rPr>
          <w:rStyle w:val="FootnoteReference"/>
        </w:rPr>
        <w:footnoteReference w:id="5"/>
      </w:r>
      <w:r>
        <w:t xml:space="preserve">  Upon that occurrence, the Presiding Judge is directed to issue an order reciting the events or circumstances constituting a waiver of the hearing, terminate the hearing, and certify the case to the Commission.</w:t>
      </w:r>
      <w:r>
        <w:rPr>
          <w:rStyle w:val="FootnoteReference"/>
        </w:rPr>
        <w:footnoteReference w:id="6"/>
      </w:r>
      <w:r>
        <w:t xml:space="preserve">  </w:t>
      </w:r>
      <w:r w:rsidR="00881F2A">
        <w:t>Because M</w:t>
      </w:r>
      <w:r w:rsidR="00956302">
        <w:t xml:space="preserve">r. Wahl </w:t>
      </w:r>
      <w:r w:rsidR="00CC2BF3">
        <w:t>has</w:t>
      </w:r>
      <w:r w:rsidR="00881F2A">
        <w:t xml:space="preserve"> not file</w:t>
      </w:r>
      <w:r w:rsidR="00CC2BF3">
        <w:t>d</w:t>
      </w:r>
      <w:r w:rsidR="00881F2A">
        <w:t xml:space="preserve"> the required notice of appearance or other permissible pleading, </w:t>
      </w:r>
      <w:r w:rsidR="00956302">
        <w:t>his</w:t>
      </w:r>
      <w:r w:rsidR="00881F2A">
        <w:t xml:space="preserve"> right to a hearing in this matter is deemed waived</w:t>
      </w:r>
      <w:r w:rsidR="00CC2BF3">
        <w:t xml:space="preserve">.  </w:t>
      </w:r>
      <w:r>
        <w:t>As a result, this</w:t>
      </w:r>
      <w:r w:rsidR="00CC2BF3">
        <w:t xml:space="preserve"> hearing </w:t>
      </w:r>
      <w:r>
        <w:t xml:space="preserve">is </w:t>
      </w:r>
      <w:r>
        <w:t>terminated</w:t>
      </w:r>
      <w:r w:rsidR="00CC2BF3">
        <w:t xml:space="preserve"> and this case </w:t>
      </w:r>
      <w:r>
        <w:t xml:space="preserve">is </w:t>
      </w:r>
      <w:r w:rsidR="00CC2BF3">
        <w:t>certified to the Commission.</w:t>
      </w:r>
      <w:r w:rsidRPr="006C25DD">
        <w:t xml:space="preserve"> </w:t>
      </w:r>
    </w:p>
    <w:p w:rsidR="006C25DD" w:rsidP="006C25DD" w14:paraId="19B4BE6D" w14:textId="77777777">
      <w:pPr>
        <w:ind w:firstLine="720"/>
      </w:pPr>
    </w:p>
    <w:p w:rsidR="00F5534C" w:rsidP="006C25DD" w14:paraId="73C061EE" w14:textId="4132BC76">
      <w:pPr>
        <w:ind w:firstLine="720"/>
      </w:pPr>
      <w:r>
        <w:t>The prospective assignee of Station WQZS(FM) filed a motion to intervene in this proceeding on November 29, 2021.</w:t>
      </w:r>
      <w:r>
        <w:rPr>
          <w:rStyle w:val="FootnoteReference"/>
        </w:rPr>
        <w:footnoteReference w:id="7"/>
      </w:r>
      <w:r>
        <w:t xml:space="preserve">  Due to the </w:t>
      </w:r>
      <w:r w:rsidR="008E518B">
        <w:t>termination</w:t>
      </w:r>
      <w:r>
        <w:t xml:space="preserve"> of this hearing proceeding, that motion will be dismissed as moot.</w:t>
      </w:r>
    </w:p>
    <w:p w:rsidR="00F5534C" w:rsidP="001C7528" w14:paraId="652E748C" w14:textId="77777777"/>
    <w:p w:rsidR="00F5534C" w:rsidRPr="00093A58" w:rsidP="001C7528" w14:paraId="423A05E3" w14:textId="5BBC56C2">
      <w:bookmarkStart w:id="0" w:name="_Hlk2852225"/>
      <w:r>
        <w:tab/>
      </w:r>
      <w:r w:rsidR="006C25DD">
        <w:t xml:space="preserve">Accordingly, </w:t>
      </w:r>
      <w:r>
        <w:rPr>
          <w:b/>
        </w:rPr>
        <w:t xml:space="preserve">IT IS ORDERED </w:t>
      </w:r>
      <w:r>
        <w:t>that</w:t>
      </w:r>
      <w:r w:rsidR="00093A58">
        <w:t xml:space="preserve">, pursuant to Section 1.92(c) of the Commission’s rules and paragraph </w:t>
      </w:r>
      <w:r w:rsidR="00925A75">
        <w:t>3</w:t>
      </w:r>
      <w:r w:rsidR="00956302">
        <w:t>0</w:t>
      </w:r>
      <w:r w:rsidR="00093A58">
        <w:t xml:space="preserve"> of th</w:t>
      </w:r>
      <w:r w:rsidR="00312E7D">
        <w:t xml:space="preserve">e </w:t>
      </w:r>
      <w:r w:rsidR="00956302">
        <w:rPr>
          <w:i/>
        </w:rPr>
        <w:t>Order</w:t>
      </w:r>
      <w:r w:rsidR="00CC2BF3">
        <w:rPr>
          <w:i/>
        </w:rPr>
        <w:t xml:space="preserve"> to Show Cause</w:t>
      </w:r>
      <w:r w:rsidR="00093A58">
        <w:t xml:space="preserve">, the hearing proceeding in the above-captioned matter </w:t>
      </w:r>
      <w:r w:rsidRPr="00CC2BF3" w:rsidR="00AC1F1D">
        <w:rPr>
          <w:b/>
          <w:bCs/>
        </w:rPr>
        <w:t>IS TERMINATED</w:t>
      </w:r>
      <w:r w:rsidR="00093A58">
        <w:t xml:space="preserve"> and this proceeding </w:t>
      </w:r>
      <w:r w:rsidRPr="00CC2BF3" w:rsidR="00AC1F1D">
        <w:rPr>
          <w:b/>
          <w:bCs/>
        </w:rPr>
        <w:t>IS CERTIFIED</w:t>
      </w:r>
      <w:r w:rsidR="00093A58">
        <w:t xml:space="preserve"> to the Commission.</w:t>
      </w:r>
    </w:p>
    <w:bookmarkEnd w:id="0"/>
    <w:p w:rsidR="00F5534C" w:rsidP="001C7528" w14:paraId="4700A5F0" w14:textId="77777777"/>
    <w:p w:rsidR="006C25DD" w:rsidRPr="00093A58" w:rsidP="006C25DD" w14:paraId="1060300A" w14:textId="38A1C7C7">
      <w:pPr>
        <w:ind w:firstLine="720"/>
      </w:pPr>
      <w:r>
        <w:tab/>
      </w:r>
      <w:r>
        <w:rPr>
          <w:b/>
          <w:bCs/>
        </w:rPr>
        <w:t xml:space="preserve">IT IS </w:t>
      </w:r>
      <w:r>
        <w:rPr>
          <w:b/>
        </w:rPr>
        <w:t>FURTHER</w:t>
      </w:r>
      <w:r>
        <w:rPr>
          <w:b/>
          <w:bCs/>
        </w:rPr>
        <w:t xml:space="preserve"> ORDERED </w:t>
      </w:r>
      <w:r>
        <w:t xml:space="preserve">that the Motion to Intervene filed by Wendy </w:t>
      </w:r>
      <w:r>
        <w:t>Sipple</w:t>
      </w:r>
      <w:r>
        <w:t xml:space="preserve"> on November 29, 2021, </w:t>
      </w:r>
      <w:r>
        <w:rPr>
          <w:b/>
          <w:bCs/>
        </w:rPr>
        <w:t>IS DISMISSED</w:t>
      </w:r>
      <w:r w:rsidRPr="006C25DD">
        <w:rPr>
          <w:b/>
          <w:bCs/>
        </w:rPr>
        <w:t xml:space="preserve"> </w:t>
      </w:r>
      <w:r>
        <w:rPr>
          <w:b/>
          <w:bCs/>
        </w:rPr>
        <w:t xml:space="preserve">AS MOOT.  </w:t>
      </w:r>
      <w:r>
        <w:t xml:space="preserve"> </w:t>
      </w:r>
    </w:p>
    <w:p w:rsidR="001C7528" w:rsidP="001C7528" w14:paraId="7EEAC52C" w14:textId="551F9B9D">
      <w:pPr>
        <w:rPr>
          <w:snapToGrid/>
          <w:kern w:val="0"/>
        </w:rPr>
      </w:pPr>
    </w:p>
    <w:p w:rsidR="001C7528" w:rsidP="001C7528" w14:paraId="0F9B12C9" w14:textId="77777777">
      <w:pPr>
        <w:rPr>
          <w:snapToGrid/>
          <w:kern w:val="0"/>
        </w:rPr>
      </w:pPr>
      <w:r>
        <w:rPr>
          <w:snapToGrid/>
          <w:kern w:val="0"/>
        </w:rPr>
        <w:tab/>
      </w:r>
      <w:r>
        <w:rPr>
          <w:snapToGrid/>
          <w:kern w:val="0"/>
        </w:rPr>
        <w:tab/>
      </w:r>
      <w:r>
        <w:rPr>
          <w:snapToGrid/>
          <w:kern w:val="0"/>
        </w:rPr>
        <w:tab/>
      </w:r>
      <w:r>
        <w:rPr>
          <w:snapToGrid/>
          <w:kern w:val="0"/>
        </w:rPr>
        <w:tab/>
      </w:r>
      <w:r>
        <w:rPr>
          <w:snapToGrid/>
          <w:kern w:val="0"/>
        </w:rPr>
        <w:tab/>
      </w:r>
      <w:r>
        <w:rPr>
          <w:snapToGrid/>
          <w:kern w:val="0"/>
        </w:rPr>
        <w:tab/>
        <w:t>FEDERAL COMMUNICATIONS COMMISSION</w:t>
      </w:r>
    </w:p>
    <w:p w:rsidR="001C7528" w:rsidP="001C7528" w14:paraId="4B2C6EC7" w14:textId="77777777">
      <w:pPr>
        <w:rPr>
          <w:snapToGrid/>
          <w:kern w:val="0"/>
        </w:rPr>
      </w:pPr>
    </w:p>
    <w:p w:rsidR="001C7528" w:rsidP="001C7528" w14:paraId="02A2A642" w14:textId="77777777">
      <w:pPr>
        <w:rPr>
          <w:snapToGrid/>
          <w:kern w:val="0"/>
        </w:rPr>
      </w:pPr>
    </w:p>
    <w:p w:rsidR="001C7528" w:rsidP="001C7528" w14:paraId="34D0DCE9" w14:textId="77777777">
      <w:pPr>
        <w:rPr>
          <w:snapToGrid/>
          <w:kern w:val="0"/>
        </w:rPr>
      </w:pPr>
    </w:p>
    <w:p w:rsidR="001C7528" w:rsidP="001C7528" w14:paraId="4BB7B38F" w14:textId="77777777">
      <w:pPr>
        <w:rPr>
          <w:snapToGrid/>
          <w:kern w:val="0"/>
        </w:rPr>
      </w:pPr>
      <w:r>
        <w:rPr>
          <w:snapToGrid/>
          <w:kern w:val="0"/>
        </w:rPr>
        <w:tab/>
      </w:r>
      <w:r>
        <w:rPr>
          <w:snapToGrid/>
          <w:kern w:val="0"/>
        </w:rPr>
        <w:tab/>
      </w:r>
      <w:r>
        <w:rPr>
          <w:snapToGrid/>
          <w:kern w:val="0"/>
        </w:rPr>
        <w:tab/>
      </w:r>
      <w:r>
        <w:rPr>
          <w:snapToGrid/>
          <w:kern w:val="0"/>
        </w:rPr>
        <w:tab/>
      </w:r>
      <w:r>
        <w:rPr>
          <w:snapToGrid/>
          <w:kern w:val="0"/>
        </w:rPr>
        <w:tab/>
      </w:r>
      <w:r>
        <w:rPr>
          <w:snapToGrid/>
          <w:kern w:val="0"/>
        </w:rPr>
        <w:tab/>
      </w:r>
      <w:r w:rsidR="003C2180">
        <w:rPr>
          <w:snapToGrid/>
          <w:kern w:val="0"/>
        </w:rPr>
        <w:t>Jane Halprin</w:t>
      </w:r>
    </w:p>
    <w:p w:rsidR="006C0195" w:rsidRPr="00F5534C" w14:paraId="6170486B" w14:textId="77777777">
      <w:pPr>
        <w:rPr>
          <w:snapToGrid/>
          <w:kern w:val="0"/>
        </w:rPr>
      </w:pPr>
      <w:r>
        <w:rPr>
          <w:snapToGrid/>
          <w:kern w:val="0"/>
        </w:rPr>
        <w:tab/>
      </w:r>
      <w:r>
        <w:rPr>
          <w:snapToGrid/>
          <w:kern w:val="0"/>
        </w:rPr>
        <w:tab/>
      </w:r>
      <w:r>
        <w:rPr>
          <w:snapToGrid/>
          <w:kern w:val="0"/>
        </w:rPr>
        <w:tab/>
      </w:r>
      <w:r>
        <w:rPr>
          <w:snapToGrid/>
          <w:kern w:val="0"/>
        </w:rPr>
        <w:tab/>
      </w:r>
      <w:r>
        <w:rPr>
          <w:snapToGrid/>
          <w:kern w:val="0"/>
        </w:rPr>
        <w:tab/>
      </w:r>
      <w:r>
        <w:rPr>
          <w:snapToGrid/>
          <w:kern w:val="0"/>
        </w:rPr>
        <w:tab/>
        <w:t>Administrative Law Judge</w:t>
      </w:r>
    </w:p>
    <w:sectPr w:rsidSect="008901CA">
      <w:headerReference w:type="default" r:id="rId5"/>
      <w:footerReference w:type="default" r:id="rId6"/>
      <w:headerReference w:type="first" r:id="rId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01CA" w14:paraId="20AE43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0195" w:rsidP="006C0195" w14:paraId="2B97180D" w14:textId="77777777">
      <w:r>
        <w:separator/>
      </w:r>
    </w:p>
  </w:footnote>
  <w:footnote w:type="continuationSeparator" w:id="1">
    <w:p w:rsidR="006C0195" w:rsidP="006C0195" w14:paraId="4B13F44F" w14:textId="77777777">
      <w:r>
        <w:continuationSeparator/>
      </w:r>
    </w:p>
  </w:footnote>
  <w:footnote w:id="2">
    <w:p w:rsidR="00B62584" w14:paraId="0FBB687B" w14:textId="0AF9A4B4">
      <w:pPr>
        <w:pStyle w:val="FootnoteText"/>
        <w:rPr>
          <w:color w:val="212121"/>
        </w:rPr>
      </w:pPr>
      <w:r>
        <w:rPr>
          <w:rStyle w:val="FootnoteReference"/>
        </w:rPr>
        <w:footnoteRef/>
      </w:r>
      <w:r>
        <w:t xml:space="preserve"> </w:t>
      </w:r>
      <w:r w:rsidR="00DC59EC">
        <w:rPr>
          <w:i/>
          <w:color w:val="212121"/>
        </w:rPr>
        <w:t>Roger Wahl</w:t>
      </w:r>
      <w:r w:rsidR="00DC59EC">
        <w:rPr>
          <w:iCs/>
          <w:color w:val="212121"/>
        </w:rPr>
        <w:t xml:space="preserve">, </w:t>
      </w:r>
      <w:r w:rsidR="00DC59EC">
        <w:rPr>
          <w:color w:val="212121"/>
        </w:rPr>
        <w:t>Hearing Designation Order, Order to Show Cause, and Notice of Opportunity for Hearing, MB Docket No. 21-401, DA 21-1305</w:t>
      </w:r>
      <w:r w:rsidR="00232A4D">
        <w:rPr>
          <w:color w:val="212121"/>
        </w:rPr>
        <w:t xml:space="preserve">, 2021 WL 4896332 </w:t>
      </w:r>
      <w:r w:rsidR="00DC59EC">
        <w:rPr>
          <w:color w:val="212121"/>
        </w:rPr>
        <w:t>(MB Oct. 19, 2021)</w:t>
      </w:r>
      <w:r w:rsidR="00846E27">
        <w:rPr>
          <w:color w:val="212121"/>
        </w:rPr>
        <w:t xml:space="preserve"> (</w:t>
      </w:r>
      <w:r w:rsidR="00911D59">
        <w:rPr>
          <w:i/>
          <w:iCs/>
          <w:color w:val="212121"/>
        </w:rPr>
        <w:t>Order to Show Cause</w:t>
      </w:r>
      <w:r w:rsidR="00846E27">
        <w:rPr>
          <w:color w:val="212121"/>
        </w:rPr>
        <w:t>)</w:t>
      </w:r>
      <w:r w:rsidR="00DC59EC">
        <w:rPr>
          <w:color w:val="212121"/>
        </w:rPr>
        <w:t>.</w:t>
      </w:r>
      <w:r>
        <w:rPr>
          <w:color w:val="212121"/>
        </w:rPr>
        <w:t xml:space="preserve">  </w:t>
      </w:r>
    </w:p>
    <w:p w:rsidR="00B62584" w:rsidRPr="00B62584" w14:paraId="23A3E178" w14:textId="77777777">
      <w:pPr>
        <w:pStyle w:val="FootnoteText"/>
      </w:pPr>
    </w:p>
  </w:footnote>
  <w:footnote w:id="3">
    <w:p w:rsidR="004F1C17" w14:paraId="3657A465" w14:textId="75031D1F">
      <w:pPr>
        <w:pStyle w:val="FootnoteText"/>
      </w:pPr>
      <w:r>
        <w:rPr>
          <w:rStyle w:val="FootnoteReference"/>
        </w:rPr>
        <w:footnoteRef/>
      </w:r>
      <w:r>
        <w:t xml:space="preserve"> </w:t>
      </w:r>
      <w:r>
        <w:rPr>
          <w:i/>
          <w:iCs/>
        </w:rPr>
        <w:t>Id</w:t>
      </w:r>
      <w:r>
        <w:t>. at paras. 2-5.</w:t>
      </w:r>
    </w:p>
    <w:p w:rsidR="004F1C17" w:rsidRPr="004F1C17" w14:paraId="138114EB" w14:textId="77777777">
      <w:pPr>
        <w:pStyle w:val="FootnoteText"/>
      </w:pPr>
    </w:p>
  </w:footnote>
  <w:footnote w:id="4">
    <w:p w:rsidR="00FF7CB6" w14:paraId="04877EE2" w14:textId="18A712D4">
      <w:pPr>
        <w:pStyle w:val="FootnoteText"/>
      </w:pPr>
      <w:r>
        <w:rPr>
          <w:rStyle w:val="FootnoteReference"/>
        </w:rPr>
        <w:footnoteRef/>
      </w:r>
      <w:r>
        <w:t xml:space="preserve"> </w:t>
      </w:r>
      <w:r w:rsidR="004F1C17">
        <w:rPr>
          <w:i/>
        </w:rPr>
        <w:t>Id.</w:t>
      </w:r>
      <w:r w:rsidR="00846E27">
        <w:rPr>
          <w:iCs/>
        </w:rPr>
        <w:t xml:space="preserve"> at </w:t>
      </w:r>
      <w:r>
        <w:t xml:space="preserve">para. </w:t>
      </w:r>
      <w:r w:rsidR="00846E27">
        <w:t>29</w:t>
      </w:r>
      <w:r>
        <w:t>.</w:t>
      </w:r>
      <w:r w:rsidR="00911D59">
        <w:t xml:space="preserve">  </w:t>
      </w:r>
      <w:r w:rsidR="00911D59">
        <w:rPr>
          <w:i/>
          <w:iCs/>
        </w:rPr>
        <w:t xml:space="preserve">See also </w:t>
      </w:r>
      <w:r w:rsidR="00911D59">
        <w:t xml:space="preserve">47 CFR § 1.91(c).   </w:t>
      </w:r>
    </w:p>
    <w:p w:rsidR="006A4F2A" w:rsidRPr="00FF7CB6" w14:paraId="5D1B625E" w14:textId="77777777">
      <w:pPr>
        <w:pStyle w:val="FootnoteText"/>
      </w:pPr>
    </w:p>
  </w:footnote>
  <w:footnote w:id="5">
    <w:p w:rsidR="006D6D19" w:rsidP="006D6D19" w14:paraId="6660C570" w14:textId="77777777">
      <w:pPr>
        <w:pStyle w:val="FootnoteText"/>
      </w:pPr>
      <w:r>
        <w:rPr>
          <w:rStyle w:val="FootnoteReference"/>
        </w:rPr>
        <w:footnoteRef/>
      </w:r>
      <w:r>
        <w:t xml:space="preserve"> </w:t>
      </w:r>
      <w:r>
        <w:t xml:space="preserve">47 CFR § 1.92(a)(1).  </w:t>
      </w:r>
    </w:p>
    <w:p w:rsidR="006D6D19" w:rsidP="006D6D19" w14:paraId="29833C38" w14:textId="77777777">
      <w:pPr>
        <w:pStyle w:val="FootnoteText"/>
      </w:pPr>
    </w:p>
  </w:footnote>
  <w:footnote w:id="6">
    <w:p w:rsidR="006D6D19" w:rsidP="006D6D19" w14:paraId="2AAA04B7" w14:textId="77777777">
      <w:pPr>
        <w:pStyle w:val="FootnoteText"/>
      </w:pPr>
      <w:r>
        <w:rPr>
          <w:rStyle w:val="FootnoteReference"/>
        </w:rPr>
        <w:footnoteRef/>
      </w:r>
      <w:r>
        <w:t xml:space="preserve"> </w:t>
      </w:r>
      <w:r>
        <w:t>47 CFR § 1.92(c).</w:t>
      </w:r>
    </w:p>
    <w:p w:rsidR="006D6D19" w:rsidP="006D6D19" w14:paraId="5783A830" w14:textId="77777777">
      <w:pPr>
        <w:pStyle w:val="FootnoteText"/>
      </w:pPr>
    </w:p>
  </w:footnote>
  <w:footnote w:id="7">
    <w:p w:rsidR="006C25DD" w14:paraId="1DD9A66F" w14:textId="027CB307">
      <w:pPr>
        <w:pStyle w:val="FootnoteText"/>
      </w:pPr>
      <w:r>
        <w:rPr>
          <w:rStyle w:val="FootnoteReference"/>
        </w:rPr>
        <w:footnoteRef/>
      </w:r>
      <w:r>
        <w:t xml:space="preserve"> </w:t>
      </w:r>
      <w:r>
        <w:t xml:space="preserve">Wendy </w:t>
      </w:r>
      <w:r>
        <w:t>Sipple</w:t>
      </w:r>
      <w:r>
        <w:t>, Motion to Intervene, MB Docket No. 21-401 (filed Nov. 29, 2021).</w:t>
      </w:r>
    </w:p>
    <w:p w:rsidR="006C25DD" w14:paraId="04ECD688"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01CA" w14:paraId="7CF2B8C4" w14:textId="6CBA453C">
    <w:pPr>
      <w:pStyle w:val="Header"/>
    </w:pPr>
    <w:r>
      <w:ptab w:relativeTo="margin" w:alignment="center" w:leader="none"/>
    </w:r>
    <w:r w:rsidRPr="008901CA">
      <w:rPr>
        <w:b/>
      </w:rPr>
      <w:t>Federal Communications Commission</w:t>
    </w:r>
    <w:r>
      <w:ptab w:relativeTo="margin" w:alignment="right" w:leader="none"/>
    </w:r>
    <w:r w:rsidRPr="008901CA">
      <w:rPr>
        <w:b/>
      </w:rPr>
      <w:t xml:space="preserve">FCC </w:t>
    </w:r>
    <w:r w:rsidR="009C132F">
      <w:rPr>
        <w:b/>
      </w:rPr>
      <w:t>21M-</w:t>
    </w:r>
    <w:r w:rsidR="00956CA4">
      <w:rPr>
        <w:b/>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01CA" w14:paraId="43208E2A" w14:textId="1BED914C">
    <w:pPr>
      <w:pStyle w:val="Header"/>
    </w:pPr>
    <w:r>
      <w:ptab w:relativeTo="margin" w:alignment="center" w:leader="none"/>
    </w:r>
    <w:r w:rsidRPr="008901CA">
      <w:rPr>
        <w:b/>
      </w:rPr>
      <w:t>Federal Communications Commission</w:t>
    </w:r>
    <w:r>
      <w:ptab w:relativeTo="margin" w:alignment="right" w:leader="none"/>
    </w:r>
    <w:r w:rsidRPr="008901CA">
      <w:rPr>
        <w:b/>
      </w:rPr>
      <w:t xml:space="preserve">FCC </w:t>
    </w:r>
    <w:r w:rsidR="009C132F">
      <w:rPr>
        <w:b/>
      </w:rPr>
      <w:t>21M-</w:t>
    </w:r>
    <w:r w:rsidR="00956CA4">
      <w:rPr>
        <w:b/>
      </w:rPr>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28"/>
    <w:rsid w:val="000119F9"/>
    <w:rsid w:val="00024BE8"/>
    <w:rsid w:val="00031096"/>
    <w:rsid w:val="00033D7D"/>
    <w:rsid w:val="00044F8E"/>
    <w:rsid w:val="00051875"/>
    <w:rsid w:val="0006031D"/>
    <w:rsid w:val="00093A58"/>
    <w:rsid w:val="000B2293"/>
    <w:rsid w:val="000C15AD"/>
    <w:rsid w:val="00125185"/>
    <w:rsid w:val="00126CDC"/>
    <w:rsid w:val="00126FFE"/>
    <w:rsid w:val="00135F13"/>
    <w:rsid w:val="00151DDB"/>
    <w:rsid w:val="00172963"/>
    <w:rsid w:val="001934F0"/>
    <w:rsid w:val="001A0C37"/>
    <w:rsid w:val="001C7528"/>
    <w:rsid w:val="00212B87"/>
    <w:rsid w:val="00222290"/>
    <w:rsid w:val="00232A4D"/>
    <w:rsid w:val="002352F2"/>
    <w:rsid w:val="00293581"/>
    <w:rsid w:val="002B7B65"/>
    <w:rsid w:val="002F4189"/>
    <w:rsid w:val="002F4F4C"/>
    <w:rsid w:val="00312E7D"/>
    <w:rsid w:val="00387167"/>
    <w:rsid w:val="003C2180"/>
    <w:rsid w:val="003C6ED6"/>
    <w:rsid w:val="00415CDE"/>
    <w:rsid w:val="0041780C"/>
    <w:rsid w:val="00481DE5"/>
    <w:rsid w:val="004971E1"/>
    <w:rsid w:val="004C2C62"/>
    <w:rsid w:val="004E0104"/>
    <w:rsid w:val="004E46D5"/>
    <w:rsid w:val="004F1C17"/>
    <w:rsid w:val="0052512E"/>
    <w:rsid w:val="00542854"/>
    <w:rsid w:val="00564CBF"/>
    <w:rsid w:val="005913F9"/>
    <w:rsid w:val="005A2C7E"/>
    <w:rsid w:val="005B64CF"/>
    <w:rsid w:val="005D5785"/>
    <w:rsid w:val="00617FBF"/>
    <w:rsid w:val="00624903"/>
    <w:rsid w:val="006527CE"/>
    <w:rsid w:val="006A4F2A"/>
    <w:rsid w:val="006A4FB1"/>
    <w:rsid w:val="006A7ACF"/>
    <w:rsid w:val="006C0195"/>
    <w:rsid w:val="006C211E"/>
    <w:rsid w:val="006C25DD"/>
    <w:rsid w:val="006D290C"/>
    <w:rsid w:val="006D6D19"/>
    <w:rsid w:val="0070224F"/>
    <w:rsid w:val="007042C6"/>
    <w:rsid w:val="007046EB"/>
    <w:rsid w:val="00723E97"/>
    <w:rsid w:val="00741EEE"/>
    <w:rsid w:val="00766EDC"/>
    <w:rsid w:val="00772B49"/>
    <w:rsid w:val="007A7723"/>
    <w:rsid w:val="007C4468"/>
    <w:rsid w:val="007E4702"/>
    <w:rsid w:val="007F1A3C"/>
    <w:rsid w:val="007F5ADD"/>
    <w:rsid w:val="007F774E"/>
    <w:rsid w:val="00801714"/>
    <w:rsid w:val="0080258E"/>
    <w:rsid w:val="0083738C"/>
    <w:rsid w:val="00846E27"/>
    <w:rsid w:val="0087030B"/>
    <w:rsid w:val="00881F2A"/>
    <w:rsid w:val="008901CA"/>
    <w:rsid w:val="00893BA1"/>
    <w:rsid w:val="008A0D00"/>
    <w:rsid w:val="008B27DF"/>
    <w:rsid w:val="008D41ED"/>
    <w:rsid w:val="008E518B"/>
    <w:rsid w:val="00903776"/>
    <w:rsid w:val="00911D59"/>
    <w:rsid w:val="00925A75"/>
    <w:rsid w:val="00956302"/>
    <w:rsid w:val="00956CA4"/>
    <w:rsid w:val="00976530"/>
    <w:rsid w:val="009C132F"/>
    <w:rsid w:val="009D01B7"/>
    <w:rsid w:val="00A04F56"/>
    <w:rsid w:val="00A17A0B"/>
    <w:rsid w:val="00A649ED"/>
    <w:rsid w:val="00AA297C"/>
    <w:rsid w:val="00AC1F1D"/>
    <w:rsid w:val="00B11620"/>
    <w:rsid w:val="00B16C7E"/>
    <w:rsid w:val="00B37A96"/>
    <w:rsid w:val="00B62584"/>
    <w:rsid w:val="00BD0D35"/>
    <w:rsid w:val="00BE331C"/>
    <w:rsid w:val="00C0659A"/>
    <w:rsid w:val="00C37AD8"/>
    <w:rsid w:val="00C502CF"/>
    <w:rsid w:val="00C858F9"/>
    <w:rsid w:val="00CC2BF3"/>
    <w:rsid w:val="00D078A0"/>
    <w:rsid w:val="00D65457"/>
    <w:rsid w:val="00D878FA"/>
    <w:rsid w:val="00DA5BD5"/>
    <w:rsid w:val="00DC514E"/>
    <w:rsid w:val="00DC59EC"/>
    <w:rsid w:val="00DD0A4C"/>
    <w:rsid w:val="00E05194"/>
    <w:rsid w:val="00E15B2C"/>
    <w:rsid w:val="00E260EE"/>
    <w:rsid w:val="00E517DB"/>
    <w:rsid w:val="00E5637E"/>
    <w:rsid w:val="00E56BB8"/>
    <w:rsid w:val="00E80040"/>
    <w:rsid w:val="00EB7768"/>
    <w:rsid w:val="00EE7AF3"/>
    <w:rsid w:val="00F5534C"/>
    <w:rsid w:val="00F66D20"/>
    <w:rsid w:val="00F72607"/>
    <w:rsid w:val="00FA2475"/>
    <w:rsid w:val="00FA63E5"/>
    <w:rsid w:val="00FA6B36"/>
    <w:rsid w:val="00FB404C"/>
    <w:rsid w:val="00FC0EE3"/>
    <w:rsid w:val="00FF3870"/>
    <w:rsid w:val="00FF7C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5B8528"/>
  <w15:chartTrackingRefBased/>
  <w15:docId w15:val="{4C542BD9-7C7C-48F2-8D85-113563E0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C752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1C7528"/>
    <w:pPr>
      <w:tabs>
        <w:tab w:val="right" w:pos="9360"/>
      </w:tabs>
      <w:suppressAutoHyphens/>
    </w:pPr>
  </w:style>
  <w:style w:type="paragraph" w:customStyle="1" w:styleId="StyleBoldCentered">
    <w:name w:val="Style Bold Centered"/>
    <w:basedOn w:val="Normal"/>
    <w:rsid w:val="001C7528"/>
    <w:pPr>
      <w:jc w:val="center"/>
    </w:pPr>
    <w:rPr>
      <w:rFonts w:ascii="Times New Roman Bold" w:hAnsi="Times New Roman Bold"/>
      <w:b/>
      <w:bCs/>
      <w:caps/>
      <w:szCs w:val="22"/>
    </w:rPr>
  </w:style>
  <w:style w:type="paragraph" w:styleId="FootnoteText">
    <w:name w:val="footnote text"/>
    <w:basedOn w:val="Normal"/>
    <w:link w:val="FootnoteTextChar"/>
    <w:uiPriority w:val="99"/>
    <w:semiHidden/>
    <w:unhideWhenUsed/>
    <w:rsid w:val="006C0195"/>
    <w:rPr>
      <w:sz w:val="20"/>
    </w:rPr>
  </w:style>
  <w:style w:type="character" w:customStyle="1" w:styleId="FootnoteTextChar">
    <w:name w:val="Footnote Text Char"/>
    <w:basedOn w:val="DefaultParagraphFont"/>
    <w:link w:val="FootnoteText"/>
    <w:uiPriority w:val="99"/>
    <w:semiHidden/>
    <w:rsid w:val="006C0195"/>
    <w:rPr>
      <w:rFonts w:ascii="Times New Roman" w:eastAsia="Times New Roman" w:hAnsi="Times New Roman" w:cs="Times New Roman"/>
      <w:snapToGrid w:val="0"/>
      <w:kern w:val="28"/>
      <w:sz w:val="20"/>
      <w:szCs w:val="20"/>
    </w:rPr>
  </w:style>
  <w:style w:type="character" w:styleId="FootnoteReference">
    <w:name w:val="footnote reference"/>
    <w:basedOn w:val="DefaultParagraphFont"/>
    <w:uiPriority w:val="99"/>
    <w:semiHidden/>
    <w:unhideWhenUsed/>
    <w:rsid w:val="006C0195"/>
    <w:rPr>
      <w:vertAlign w:val="superscript"/>
    </w:rPr>
  </w:style>
  <w:style w:type="paragraph" w:styleId="EndnoteText">
    <w:name w:val="endnote text"/>
    <w:basedOn w:val="Normal"/>
    <w:link w:val="EndnoteTextChar"/>
    <w:uiPriority w:val="99"/>
    <w:semiHidden/>
    <w:unhideWhenUsed/>
    <w:rsid w:val="00C37AD8"/>
    <w:rPr>
      <w:sz w:val="20"/>
    </w:rPr>
  </w:style>
  <w:style w:type="character" w:customStyle="1" w:styleId="EndnoteTextChar">
    <w:name w:val="Endnote Text Char"/>
    <w:basedOn w:val="DefaultParagraphFont"/>
    <w:link w:val="EndnoteText"/>
    <w:uiPriority w:val="99"/>
    <w:semiHidden/>
    <w:rsid w:val="00C37AD8"/>
    <w:rPr>
      <w:rFonts w:ascii="Times New Roman" w:eastAsia="Times New Roman" w:hAnsi="Times New Roman" w:cs="Times New Roman"/>
      <w:snapToGrid w:val="0"/>
      <w:kern w:val="28"/>
      <w:sz w:val="20"/>
      <w:szCs w:val="20"/>
    </w:rPr>
  </w:style>
  <w:style w:type="character" w:styleId="EndnoteReference">
    <w:name w:val="endnote reference"/>
    <w:basedOn w:val="DefaultParagraphFont"/>
    <w:uiPriority w:val="99"/>
    <w:semiHidden/>
    <w:unhideWhenUsed/>
    <w:rsid w:val="00C37AD8"/>
    <w:rPr>
      <w:vertAlign w:val="superscript"/>
    </w:rPr>
  </w:style>
  <w:style w:type="paragraph" w:styleId="Header">
    <w:name w:val="header"/>
    <w:basedOn w:val="Normal"/>
    <w:link w:val="HeaderChar"/>
    <w:uiPriority w:val="99"/>
    <w:unhideWhenUsed/>
    <w:rsid w:val="008901CA"/>
    <w:pPr>
      <w:tabs>
        <w:tab w:val="center" w:pos="4680"/>
        <w:tab w:val="right" w:pos="9360"/>
      </w:tabs>
    </w:pPr>
  </w:style>
  <w:style w:type="character" w:customStyle="1" w:styleId="HeaderChar">
    <w:name w:val="Header Char"/>
    <w:basedOn w:val="DefaultParagraphFont"/>
    <w:link w:val="Header"/>
    <w:uiPriority w:val="99"/>
    <w:rsid w:val="008901CA"/>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8901CA"/>
    <w:pPr>
      <w:tabs>
        <w:tab w:val="center" w:pos="4680"/>
        <w:tab w:val="right" w:pos="9360"/>
      </w:tabs>
    </w:pPr>
  </w:style>
  <w:style w:type="character" w:customStyle="1" w:styleId="FooterChar">
    <w:name w:val="Footer Char"/>
    <w:basedOn w:val="DefaultParagraphFont"/>
    <w:link w:val="Footer"/>
    <w:uiPriority w:val="99"/>
    <w:rsid w:val="008901CA"/>
    <w:rPr>
      <w:rFonts w:ascii="Times New Roman" w:eastAsia="Times New Roman" w:hAnsi="Times New Roman" w:cs="Times New Roman"/>
      <w:snapToGrid w:val="0"/>
      <w:kern w:val="28"/>
      <w:szCs w:val="20"/>
    </w:rPr>
  </w:style>
  <w:style w:type="character" w:styleId="Hyperlink">
    <w:name w:val="Hyperlink"/>
    <w:basedOn w:val="DefaultParagraphFont"/>
    <w:uiPriority w:val="99"/>
    <w:unhideWhenUsed/>
    <w:rsid w:val="00C858F9"/>
    <w:rPr>
      <w:color w:val="0000FF" w:themeColor="hyperlink"/>
      <w:u w:val="single"/>
    </w:rPr>
  </w:style>
  <w:style w:type="character" w:customStyle="1" w:styleId="UnresolvedMention">
    <w:name w:val="Unresolved Mention"/>
    <w:basedOn w:val="DefaultParagraphFont"/>
    <w:uiPriority w:val="99"/>
    <w:semiHidden/>
    <w:unhideWhenUsed/>
    <w:rsid w:val="00C85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