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4C2EE3" w14:paraId="1A83BE75" w14:textId="77777777">
      <w:pPr>
        <w:jc w:val="center"/>
        <w:rPr>
          <w:b/>
        </w:rPr>
      </w:pPr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P="00921803" w14:paraId="4B2E4D98" w14:textId="77777777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P="00096D8C" w14:paraId="4A6397CF" w14:textId="77777777">
      <w:pPr>
        <w:pStyle w:val="StyleBoldCentered"/>
      </w:pPr>
      <w:r>
        <w:rPr>
          <w:caps w:val="0"/>
        </w:rPr>
        <w:t>Washington, D.C. 20554</w:t>
      </w:r>
    </w:p>
    <w:p w:rsidR="004C2EE3" w:rsidP="0070224F" w14:paraId="69C3C700" w14:textId="77777777"/>
    <w:p w:rsidR="004C2EE3" w:rsidP="0070224F" w14:paraId="16B62CEF" w14:textId="77777777"/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 w14:paraId="116FEA3A" w14:textId="7777777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4C2EE3" w14:paraId="65E68FCF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14:paraId="5927E0DF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3B7184" w:rsidRPr="007115F7" w:rsidP="007115F7" w14:paraId="69EAC1B2" w14:textId="44342F86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Antenna Structure </w:t>
            </w:r>
            <w:r w:rsidR="004C52F0">
              <w:rPr>
                <w:spacing w:val="-2"/>
              </w:rPr>
              <w:t xml:space="preserve">Located </w:t>
            </w:r>
            <w:r>
              <w:rPr>
                <w:spacing w:val="-2"/>
              </w:rPr>
              <w:t xml:space="preserve">at </w:t>
            </w:r>
            <w:r w:rsidR="008A5FBA">
              <w:rPr>
                <w:spacing w:val="-2"/>
              </w:rPr>
              <w:t>3</w:t>
            </w:r>
            <w:r w:rsidR="00F50FF2">
              <w:rPr>
                <w:spacing w:val="-2"/>
              </w:rPr>
              <w:t>4</w:t>
            </w:r>
            <w:r w:rsidR="001B2144">
              <w:t>°</w:t>
            </w:r>
            <w:r w:rsidR="008A5FBA">
              <w:rPr>
                <w:spacing w:val="-2"/>
              </w:rPr>
              <w:t xml:space="preserve"> 3’ 58”</w:t>
            </w:r>
            <w:r>
              <w:rPr>
                <w:spacing w:val="-2"/>
              </w:rPr>
              <w:t xml:space="preserve"> N</w:t>
            </w:r>
            <w:r w:rsidR="00EA4AB1">
              <w:rPr>
                <w:spacing w:val="-2"/>
              </w:rPr>
              <w:t xml:space="preserve"> </w:t>
            </w:r>
            <w:r w:rsidR="000A7F4E">
              <w:rPr>
                <w:spacing w:val="-2"/>
              </w:rPr>
              <w:t>latitude</w:t>
            </w:r>
            <w:r w:rsidR="00CC129E">
              <w:rPr>
                <w:spacing w:val="-2"/>
              </w:rPr>
              <w:t xml:space="preserve">, </w:t>
            </w:r>
            <w:r w:rsidR="00EA4AB1">
              <w:rPr>
                <w:spacing w:val="-2"/>
              </w:rPr>
              <w:t>91</w:t>
            </w:r>
            <w:r w:rsidR="001B2144">
              <w:t>°</w:t>
            </w:r>
            <w:r w:rsidR="00EA4AB1">
              <w:rPr>
                <w:spacing w:val="-2"/>
              </w:rPr>
              <w:t xml:space="preserve"> 57’ 36” </w:t>
            </w:r>
            <w:r w:rsidR="00CC129E">
              <w:rPr>
                <w:spacing w:val="-2"/>
              </w:rPr>
              <w:t xml:space="preserve">W </w:t>
            </w:r>
            <w:r w:rsidR="000A7F4E">
              <w:rPr>
                <w:spacing w:val="-2"/>
              </w:rPr>
              <w:t>longitude</w:t>
            </w:r>
            <w:r w:rsidR="00EA4AB1">
              <w:rPr>
                <w:spacing w:val="-2"/>
              </w:rPr>
              <w:t xml:space="preserve"> </w:t>
            </w:r>
            <w:r w:rsidR="00CC129E">
              <w:rPr>
                <w:spacing w:val="-2"/>
              </w:rPr>
              <w:t>(Pine Bluff, Arkansas)</w:t>
            </w:r>
            <w:r w:rsidR="00666FAB">
              <w:rPr>
                <w:spacing w:val="-2"/>
              </w:rPr>
              <w:t xml:space="preserve"> on Land Owned by Lora</w:t>
            </w:r>
            <w:r w:rsidR="009C5E94">
              <w:rPr>
                <w:spacing w:val="-2"/>
              </w:rPr>
              <w:t xml:space="preserve"> Lynn</w:t>
            </w:r>
            <w:r w:rsidR="00666FAB">
              <w:rPr>
                <w:spacing w:val="-2"/>
              </w:rPr>
              <w:t xml:space="preserve"> Gaither</w:t>
            </w:r>
            <w:r w:rsidR="00385344">
              <w:rPr>
                <w:spacing w:val="-2"/>
              </w:rPr>
              <w:t>, Edward Wilkerson, and Allen Wilkerson</w:t>
            </w:r>
            <w:r w:rsidR="00666FAB">
              <w:rPr>
                <w:spacing w:val="-2"/>
              </w:rPr>
              <w:t xml:space="preserve"> </w:t>
            </w:r>
          </w:p>
        </w:tc>
        <w:tc>
          <w:tcPr>
            <w:tcW w:w="630" w:type="dxa"/>
          </w:tcPr>
          <w:p w:rsidR="004C2EE3" w14:paraId="6E15BF13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53502DF1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45FF6213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71623F7A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612A1D96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5432943B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3B7184" w14:paraId="17280DFB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B2378" w:rsidRPr="008A646A" w14:paraId="617496AA" w14:textId="4D3F140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</w:p>
        </w:tc>
        <w:tc>
          <w:tcPr>
            <w:tcW w:w="4248" w:type="dxa"/>
          </w:tcPr>
          <w:p w:rsidR="004C2EE3" w14:paraId="50C4E2D4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14:paraId="2C3ECE83" w14:textId="77777777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</w:rPr>
            </w:pPr>
          </w:p>
          <w:p w:rsidR="004C2EE3" w14:paraId="0BD58E65" w14:textId="425E048E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File No.: EB-FIELDSCR-16-</w:t>
            </w:r>
            <w:r w:rsidR="0074754A">
              <w:rPr>
                <w:spacing w:val="-2"/>
              </w:rPr>
              <w:t>00022453</w:t>
            </w:r>
          </w:p>
          <w:p w:rsidR="006520A7" w14:paraId="008535DC" w14:textId="748A156C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ASR: 1042873</w:t>
            </w:r>
          </w:p>
        </w:tc>
      </w:tr>
    </w:tbl>
    <w:p w:rsidR="004C2EE3" w:rsidP="0070224F" w14:paraId="0D797A7B" w14:textId="77777777"/>
    <w:p w:rsidR="00841AB1" w:rsidP="00F021FA" w14:paraId="085C83A3" w14:textId="329BB867">
      <w:pPr>
        <w:pStyle w:val="StyleBoldCentered"/>
      </w:pPr>
      <w:r>
        <w:t>Order to dismantle tower</w:t>
      </w:r>
    </w:p>
    <w:p w:rsidR="004C2EE3" w14:paraId="6032AFDC" w14:textId="77777777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P="00133F79" w14:paraId="1391707D" w14:textId="31BE593B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4E7735">
        <w:rPr>
          <w:b/>
          <w:spacing w:val="-2"/>
        </w:rPr>
        <w:t>January 27, 2022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4E7735">
        <w:rPr>
          <w:b/>
          <w:spacing w:val="-2"/>
        </w:rPr>
        <w:t>January 28, 2022</w:t>
      </w:r>
    </w:p>
    <w:p w:rsidR="00822CE0" w14:paraId="4D953A3C" w14:textId="77777777"/>
    <w:p w:rsidR="004C2EE3" w14:paraId="70E7ECEE" w14:textId="7216F67A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CC129E">
        <w:rPr>
          <w:spacing w:val="-2"/>
        </w:rPr>
        <w:t>Commission</w:t>
      </w:r>
      <w:r>
        <w:rPr>
          <w:spacing w:val="-2"/>
        </w:rPr>
        <w:t>:</w:t>
      </w:r>
    </w:p>
    <w:p w:rsidR="00822CE0" w14:paraId="0C795E33" w14:textId="77777777">
      <w:pPr>
        <w:rPr>
          <w:spacing w:val="-2"/>
        </w:rPr>
      </w:pPr>
    </w:p>
    <w:p w:rsidR="00412FC5" w:rsidP="00E7767F" w14:paraId="271F8832" w14:textId="343B8DB3">
      <w:pPr>
        <w:pStyle w:val="Heading1"/>
        <w:widowControl/>
      </w:pPr>
      <w:r>
        <w:t>introduction</w:t>
      </w:r>
    </w:p>
    <w:p w:rsidR="001E2DFB" w:rsidP="00E7767F" w14:paraId="6BB7D860" w14:textId="2C041D98">
      <w:pPr>
        <w:pStyle w:val="ParaNum"/>
        <w:widowControl/>
      </w:pPr>
      <w:r>
        <w:t xml:space="preserve">By this action, </w:t>
      </w:r>
      <w:r w:rsidR="00954EA4">
        <w:t xml:space="preserve">pursuant to </w:t>
      </w:r>
      <w:r w:rsidR="00975CFA">
        <w:t>s</w:t>
      </w:r>
      <w:r w:rsidR="00954EA4">
        <w:t>ection 303(q) of the Communications Act of 1934, as amended (Act),</w:t>
      </w:r>
      <w:r>
        <w:rPr>
          <w:rStyle w:val="FootnoteReference"/>
        </w:rPr>
        <w:footnoteReference w:id="3"/>
      </w:r>
      <w:r w:rsidR="00954EA4">
        <w:t xml:space="preserve"> </w:t>
      </w:r>
      <w:r>
        <w:t>the Commission directs</w:t>
      </w:r>
      <w:r w:rsidR="00F07633">
        <w:t xml:space="preserve">, </w:t>
      </w:r>
      <w:r w:rsidR="00377FAB">
        <w:t xml:space="preserve">on a </w:t>
      </w:r>
      <w:r w:rsidR="00F07633">
        <w:t>joint and several</w:t>
      </w:r>
      <w:r w:rsidR="00377FAB">
        <w:t xml:space="preserve"> basis</w:t>
      </w:r>
      <w:r w:rsidR="00F07633">
        <w:t>,</w:t>
      </w:r>
      <w:r w:rsidR="0065751E">
        <w:t xml:space="preserve"> Lora </w:t>
      </w:r>
      <w:r w:rsidR="009C5E94">
        <w:t xml:space="preserve">Lynn </w:t>
      </w:r>
      <w:r w:rsidR="0065751E">
        <w:t>Gaither</w:t>
      </w:r>
      <w:r w:rsidR="003B7184">
        <w:t xml:space="preserve">, Edward Wilkerson, and Allen Wilkerson </w:t>
      </w:r>
      <w:r w:rsidR="00C13071">
        <w:t>(collectively, the Land Owners)</w:t>
      </w:r>
      <w:r w:rsidR="00A8785B">
        <w:t xml:space="preserve"> </w:t>
      </w:r>
      <w:r w:rsidR="00F07633">
        <w:t xml:space="preserve">and any other </w:t>
      </w:r>
      <w:r w:rsidR="00F448C4">
        <w:t xml:space="preserve">person holding an </w:t>
      </w:r>
      <w:r w:rsidR="00D637E9">
        <w:t xml:space="preserve">interest </w:t>
      </w:r>
      <w:r w:rsidR="000C6A87">
        <w:t xml:space="preserve">in </w:t>
      </w:r>
      <w:r w:rsidR="00E92E08">
        <w:t>an antenna structure</w:t>
      </w:r>
      <w:r w:rsidR="00247762">
        <w:t xml:space="preserve"> (Structure)</w:t>
      </w:r>
      <w:r w:rsidR="000C6A87">
        <w:t xml:space="preserve"> </w:t>
      </w:r>
      <w:r w:rsidR="00DB74BE">
        <w:t>located on real property owned by the Land Owners at 34° 3’ 58” North latitude, 91° 57’ 36” West longitude in Pine Bluff, Arkansas (Land)</w:t>
      </w:r>
      <w:r w:rsidR="000C6A87">
        <w:t xml:space="preserve"> </w:t>
      </w:r>
      <w:r w:rsidR="0056371D">
        <w:t xml:space="preserve">to dismantle </w:t>
      </w:r>
      <w:r w:rsidR="001946E8">
        <w:t>the Structure</w:t>
      </w:r>
      <w:r w:rsidR="0056371D">
        <w:t xml:space="preserve"> because it is not marked or lighted as required by the </w:t>
      </w:r>
      <w:r w:rsidR="00542168">
        <w:t xml:space="preserve">Act and the </w:t>
      </w:r>
      <w:r w:rsidR="0056371D">
        <w:t>Commission</w:t>
      </w:r>
      <w:r w:rsidR="00B9394C">
        <w:t>’s rules</w:t>
      </w:r>
      <w:r w:rsidRPr="00690AE5" w:rsidR="00052560">
        <w:t>,</w:t>
      </w:r>
      <w:r w:rsidR="0056371D">
        <w:t xml:space="preserve"> and because the Federal Aviation Administration (FAA) has declared that </w:t>
      </w:r>
      <w:r w:rsidR="005133C6">
        <w:t xml:space="preserve">it is a menace to aviation.  </w:t>
      </w:r>
    </w:p>
    <w:p w:rsidR="001E2DFB" w:rsidP="00E7767F" w14:paraId="28B1842E" w14:textId="18EAA180">
      <w:pPr>
        <w:pStyle w:val="Heading1"/>
        <w:widowControl/>
      </w:pPr>
      <w:r>
        <w:t>Background</w:t>
      </w:r>
    </w:p>
    <w:p w:rsidR="00F83E1A" w:rsidP="00E7767F" w14:paraId="320EB573" w14:textId="4CC4B7E1">
      <w:pPr>
        <w:pStyle w:val="ParaNum"/>
        <w:widowControl/>
      </w:pPr>
      <w:r w:rsidRPr="00CE0331">
        <w:rPr>
          <w:i/>
          <w:iCs/>
        </w:rPr>
        <w:t>Legal Background</w:t>
      </w:r>
      <w:r>
        <w:t xml:space="preserve">. </w:t>
      </w:r>
      <w:r w:rsidR="007B7243">
        <w:t xml:space="preserve"> </w:t>
      </w:r>
      <w:r w:rsidR="00CE0331">
        <w:t>Section 303(q) of the Act</w:t>
      </w:r>
      <w:r w:rsidR="009024C7">
        <w:t xml:space="preserve"> </w:t>
      </w:r>
      <w:r w:rsidR="00371D93">
        <w:t>gives the Commission authority to require the painting and</w:t>
      </w:r>
      <w:r w:rsidR="008A6552">
        <w:t>/o</w:t>
      </w:r>
      <w:r w:rsidR="00A2653C">
        <w:t>r</w:t>
      </w:r>
      <w:r w:rsidR="00371D93">
        <w:t xml:space="preserve"> illumination of radio towers if and when, in its judgment, such towers </w:t>
      </w:r>
      <w:r w:rsidR="00CC72F1">
        <w:t xml:space="preserve">constitute, or there is a reasonable possibility that they </w:t>
      </w:r>
      <w:r w:rsidR="008A6552">
        <w:t>may</w:t>
      </w:r>
      <w:r w:rsidR="00CC72F1">
        <w:t xml:space="preserve"> constitute, a menace to</w:t>
      </w:r>
      <w:r w:rsidR="008A6552">
        <w:t xml:space="preserve"> air navigation.</w:t>
      </w:r>
      <w:r>
        <w:rPr>
          <w:rStyle w:val="FootnoteReference"/>
        </w:rPr>
        <w:footnoteReference w:id="4"/>
      </w:r>
      <w:r w:rsidR="00CC72F1">
        <w:t xml:space="preserve"> </w:t>
      </w:r>
      <w:r w:rsidR="00CE0331">
        <w:t xml:space="preserve"> </w:t>
      </w:r>
      <w:r w:rsidR="00AE7835">
        <w:t xml:space="preserve">That </w:t>
      </w:r>
      <w:r w:rsidR="00A93068">
        <w:t>s</w:t>
      </w:r>
      <w:r w:rsidR="00AE7835">
        <w:t xml:space="preserve">ection </w:t>
      </w:r>
      <w:r w:rsidR="001F4887">
        <w:t>additionally provides</w:t>
      </w:r>
      <w:r w:rsidR="00CE0331">
        <w:t xml:space="preserve">, in pertinent part, that “[i]n the event that </w:t>
      </w:r>
      <w:r w:rsidR="00A2653C">
        <w:t xml:space="preserve">[a] </w:t>
      </w:r>
      <w:r w:rsidR="00CE0331">
        <w:t>tower ceases to be licensed by the Commission for the transmission of radio energy, the owner of the tower shall maintain the prescribed painting and/or illumination of such tower until it is dismantled, and the Commission may require the owner to dismantle and remove the tower when the administrator of the [FAA] determines that there is a reasonable possibility that it may constitute a menace to air navigation.”</w:t>
      </w:r>
      <w:r>
        <w:rPr>
          <w:rStyle w:val="FootnoteReference"/>
        </w:rPr>
        <w:footnoteReference w:id="5"/>
      </w:r>
      <w:r w:rsidR="00FD4D3D">
        <w:t xml:space="preserve">  </w:t>
      </w:r>
      <w:r w:rsidR="00B40EE9">
        <w:t xml:space="preserve">In this context, the </w:t>
      </w:r>
      <w:r w:rsidR="001C2F79">
        <w:t>Commission has interpreted the term “owner” to include</w:t>
      </w:r>
      <w:r w:rsidR="005C438E">
        <w:t xml:space="preserve"> an</w:t>
      </w:r>
      <w:r w:rsidR="001C2F79">
        <w:t xml:space="preserve"> </w:t>
      </w:r>
      <w:r w:rsidR="006932EE">
        <w:t>“</w:t>
      </w:r>
      <w:r w:rsidR="00C50B55">
        <w:t xml:space="preserve">individual or entity vested with ownership, equitable ownership, dominion or title to the </w:t>
      </w:r>
      <w:r w:rsidR="00671768">
        <w:t xml:space="preserve">[tower] </w:t>
      </w:r>
      <w:r w:rsidR="00C50B55">
        <w:t>structure.”</w:t>
      </w:r>
      <w:r>
        <w:rPr>
          <w:rStyle w:val="FootnoteReference"/>
        </w:rPr>
        <w:footnoteReference w:id="6"/>
      </w:r>
      <w:r w:rsidR="00C50B55">
        <w:t xml:space="preserve">  In cases in which </w:t>
      </w:r>
      <w:r w:rsidR="00CD6D27">
        <w:t>t</w:t>
      </w:r>
      <w:r w:rsidR="0053160C">
        <w:t xml:space="preserve">he </w:t>
      </w:r>
      <w:r w:rsidR="009D1B8A">
        <w:t xml:space="preserve">title holder of </w:t>
      </w:r>
      <w:r w:rsidR="00C50B55">
        <w:t>a</w:t>
      </w:r>
      <w:r w:rsidR="00671768">
        <w:t>n antenna</w:t>
      </w:r>
      <w:r w:rsidR="00C50B55">
        <w:t xml:space="preserve"> structure </w:t>
      </w:r>
      <w:r w:rsidR="00FF771D">
        <w:t>does not own the land upon which the structure is built (</w:t>
      </w:r>
      <w:r w:rsidRPr="00CF5578" w:rsidR="00FF771D">
        <w:t>i.e.</w:t>
      </w:r>
      <w:r w:rsidR="00FF771D">
        <w:t xml:space="preserve">, the </w:t>
      </w:r>
      <w:r w:rsidR="002B7E1D">
        <w:t>title holder</w:t>
      </w:r>
      <w:r w:rsidR="007A6D17">
        <w:t xml:space="preserve"> of the structure</w:t>
      </w:r>
      <w:r w:rsidR="002B7E1D">
        <w:t xml:space="preserve"> has leased the land upon which </w:t>
      </w:r>
      <w:r w:rsidR="007A6D17">
        <w:t xml:space="preserve">the </w:t>
      </w:r>
      <w:r w:rsidR="007E0376">
        <w:t xml:space="preserve">structure </w:t>
      </w:r>
      <w:r w:rsidR="00C50B55">
        <w:t>is built</w:t>
      </w:r>
      <w:r w:rsidR="007A6D17">
        <w:t>),</w:t>
      </w:r>
      <w:r w:rsidR="00A71520">
        <w:t xml:space="preserve"> the Commission deems </w:t>
      </w:r>
      <w:r w:rsidR="003107E6">
        <w:t xml:space="preserve">title holder of the </w:t>
      </w:r>
      <w:r w:rsidR="00A71520">
        <w:t xml:space="preserve">structure to be </w:t>
      </w:r>
      <w:r w:rsidR="003107E6">
        <w:t>its own</w:t>
      </w:r>
      <w:r w:rsidR="00B3236C">
        <w:t xml:space="preserve">er unless and until the </w:t>
      </w:r>
      <w:r w:rsidR="00CC494B">
        <w:t xml:space="preserve">land owner </w:t>
      </w:r>
      <w:r w:rsidR="00C305A0">
        <w:t xml:space="preserve">acquires </w:t>
      </w:r>
      <w:r w:rsidR="00CC494B">
        <w:t>possession of the structure</w:t>
      </w:r>
      <w:r w:rsidR="00007C2B">
        <w:t xml:space="preserve">, in which case the land </w:t>
      </w:r>
      <w:r w:rsidR="00007C2B">
        <w:t>owner is deemed to be the “owner” of the structure for purposes of</w:t>
      </w:r>
      <w:r w:rsidR="00DF46D0">
        <w:t xml:space="preserve"> </w:t>
      </w:r>
      <w:r w:rsidR="009242D3">
        <w:t xml:space="preserve">administering and enforcing the requirements of </w:t>
      </w:r>
      <w:r w:rsidR="009C4B93">
        <w:t>s</w:t>
      </w:r>
      <w:r w:rsidR="00DF46D0">
        <w:t>ection 303</w:t>
      </w:r>
      <w:r w:rsidR="009242D3">
        <w:t xml:space="preserve">(q) </w:t>
      </w:r>
      <w:r w:rsidR="009C4B93">
        <w:t xml:space="preserve">of the Act </w:t>
      </w:r>
      <w:r w:rsidR="009242D3">
        <w:t>and the associated FCC regulations</w:t>
      </w:r>
      <w:r w:rsidR="00CC494B">
        <w:t>.</w:t>
      </w:r>
      <w:r>
        <w:rPr>
          <w:rStyle w:val="FootnoteReference"/>
        </w:rPr>
        <w:footnoteReference w:id="7"/>
      </w:r>
    </w:p>
    <w:p w:rsidR="00465011" w:rsidP="00E7767F" w14:paraId="23F072CA" w14:textId="2B3B8AAF">
      <w:pPr>
        <w:pStyle w:val="ParaNum"/>
        <w:widowControl/>
      </w:pPr>
      <w:r w:rsidRPr="006C3316">
        <w:rPr>
          <w:i/>
          <w:iCs/>
        </w:rPr>
        <w:t>Factual Background</w:t>
      </w:r>
      <w:r>
        <w:t xml:space="preserve">. </w:t>
      </w:r>
      <w:r w:rsidR="00525ECA">
        <w:t xml:space="preserve"> </w:t>
      </w:r>
      <w:r w:rsidR="00A30B78">
        <w:t xml:space="preserve">To identify the parties currently responsible </w:t>
      </w:r>
      <w:r w:rsidR="00B63B74">
        <w:t xml:space="preserve">under </w:t>
      </w:r>
      <w:r w:rsidR="0087211B">
        <w:t>s</w:t>
      </w:r>
      <w:r w:rsidR="00B63B74">
        <w:t xml:space="preserve">ection 303(q) </w:t>
      </w:r>
      <w:r w:rsidR="00C4105E">
        <w:t xml:space="preserve">of the Act </w:t>
      </w:r>
      <w:r w:rsidR="00B63B74">
        <w:t xml:space="preserve">for </w:t>
      </w:r>
      <w:r w:rsidR="00D61448">
        <w:t xml:space="preserve">dismantling and removing </w:t>
      </w:r>
      <w:r w:rsidR="009E0A01">
        <w:t>the Structure</w:t>
      </w:r>
      <w:r w:rsidR="00B5655C">
        <w:t xml:space="preserve">, </w:t>
      </w:r>
      <w:r w:rsidR="005B5D13">
        <w:t xml:space="preserve">we provide </w:t>
      </w:r>
      <w:r w:rsidR="00F13FA9">
        <w:t>a brief summary of its construction, use, and abandonment</w:t>
      </w:r>
      <w:r w:rsidR="00FD4D3D">
        <w:t xml:space="preserve">.  </w:t>
      </w:r>
      <w:r w:rsidR="00421BEB">
        <w:t xml:space="preserve">In </w:t>
      </w:r>
      <w:r w:rsidR="00D80CBE">
        <w:t>1990, Lee An</w:t>
      </w:r>
      <w:r w:rsidR="00387FF5">
        <w:t>n</w:t>
      </w:r>
      <w:r w:rsidR="00D80CBE">
        <w:t xml:space="preserve"> </w:t>
      </w:r>
      <w:r w:rsidR="00D80CBE">
        <w:t>Kleider</w:t>
      </w:r>
      <w:r w:rsidR="00D80CBE">
        <w:t xml:space="preserve">, </w:t>
      </w:r>
      <w:r w:rsidR="00AD5EF0">
        <w:t xml:space="preserve">the Land Owners’ </w:t>
      </w:r>
      <w:r w:rsidR="00D80CBE">
        <w:t xml:space="preserve">predecessor-in-interest to the Land, granted an easement </w:t>
      </w:r>
      <w:r w:rsidR="005042E8">
        <w:t xml:space="preserve">(Easement) </w:t>
      </w:r>
      <w:r w:rsidR="00D76FD6">
        <w:t>to Colon Johnston</w:t>
      </w:r>
      <w:r w:rsidR="00022C42">
        <w:t xml:space="preserve"> that</w:t>
      </w:r>
      <w:r w:rsidR="00D76FD6">
        <w:t xml:space="preserve"> permit</w:t>
      </w:r>
      <w:r w:rsidR="0011182A">
        <w:t>ted</w:t>
      </w:r>
      <w:r w:rsidR="00D76FD6">
        <w:t xml:space="preserve"> the latter to construct the Structure after obtaining the requisite Commission and FAA approvals.</w:t>
      </w:r>
      <w:r>
        <w:rPr>
          <w:rStyle w:val="FootnoteReference"/>
        </w:rPr>
        <w:footnoteReference w:id="8"/>
      </w:r>
      <w:r w:rsidR="00D76FD6">
        <w:t xml:space="preserve">  </w:t>
      </w:r>
      <w:r w:rsidR="00894D97">
        <w:t>Under the terms of the Easement, Johnston was required to pay $12,000 per year to the owner of the Land.</w:t>
      </w:r>
      <w:r>
        <w:rPr>
          <w:rStyle w:val="FootnoteReference"/>
        </w:rPr>
        <w:footnoteReference w:id="9"/>
      </w:r>
      <w:r w:rsidR="00894D97">
        <w:t xml:space="preserve">  The Easement states that it runs with the land, “so long as the consideration is paid,” and that the owner of the land can terminate the </w:t>
      </w:r>
      <w:r w:rsidR="00AB2575">
        <w:t>E</w:t>
      </w:r>
      <w:r w:rsidR="00894D97">
        <w:t>asement, with notice, if payments are more than 45 days late.</w:t>
      </w:r>
      <w:r>
        <w:rPr>
          <w:rStyle w:val="FootnoteReference"/>
        </w:rPr>
        <w:footnoteReference w:id="10"/>
      </w:r>
      <w:r w:rsidR="00894D97">
        <w:t xml:space="preserve">  </w:t>
      </w:r>
      <w:r w:rsidR="004A0636">
        <w:t xml:space="preserve">Also in 1990, Johnston appears to have requested a </w:t>
      </w:r>
      <w:r w:rsidR="0029168E">
        <w:t xml:space="preserve">no hazard </w:t>
      </w:r>
      <w:r w:rsidR="004A0636">
        <w:t>determination letter from the FAA</w:t>
      </w:r>
      <w:r w:rsidR="004C5704">
        <w:t>.</w:t>
      </w:r>
      <w:r>
        <w:rPr>
          <w:rStyle w:val="FootnoteReference"/>
        </w:rPr>
        <w:footnoteReference w:id="11"/>
      </w:r>
      <w:r w:rsidR="004C5704">
        <w:t xml:space="preserve">  </w:t>
      </w:r>
      <w:r w:rsidR="007A6D63">
        <w:t xml:space="preserve">It </w:t>
      </w:r>
      <w:r w:rsidR="00D7507E">
        <w:t xml:space="preserve">seems likely that </w:t>
      </w:r>
      <w:r w:rsidR="00DE7180">
        <w:t>Johnston constructed the Structure in connection with his acquisition of an unbuilt construction permit for a new FM broadcast station</w:t>
      </w:r>
      <w:r w:rsidR="007F0CA6">
        <w:t xml:space="preserve"> to serve Pine Bluff, Arkansas</w:t>
      </w:r>
      <w:r w:rsidR="00DE7180">
        <w:t xml:space="preserve">, which </w:t>
      </w:r>
      <w:r w:rsidR="008C7ECA">
        <w:t xml:space="preserve">the Commission eventually assigned the call sign </w:t>
      </w:r>
      <w:r w:rsidR="00DE7180">
        <w:t>KPBQ-FM</w:t>
      </w:r>
      <w:r w:rsidR="00553601">
        <w:t xml:space="preserve"> (Station)</w:t>
      </w:r>
      <w:r w:rsidR="00DE7180">
        <w:t>.</w:t>
      </w:r>
      <w:r>
        <w:rPr>
          <w:rStyle w:val="FootnoteReference"/>
        </w:rPr>
        <w:footnoteReference w:id="12"/>
      </w:r>
      <w:r w:rsidR="00DE7180">
        <w:t xml:space="preserve">  In 1993, Johnston </w:t>
      </w:r>
      <w:r w:rsidR="006C0476">
        <w:t xml:space="preserve">sold the </w:t>
      </w:r>
      <w:r w:rsidR="00553601">
        <w:t>St</w:t>
      </w:r>
      <w:r w:rsidR="006C0476">
        <w:t xml:space="preserve">ation </w:t>
      </w:r>
      <w:r w:rsidR="00DE7180">
        <w:t xml:space="preserve">to Pine Bluff Radio, Inc., which </w:t>
      </w:r>
      <w:r w:rsidR="006C0476">
        <w:t xml:space="preserve">subsequently sold </w:t>
      </w:r>
      <w:r w:rsidR="00471E29">
        <w:t>it</w:t>
      </w:r>
      <w:r w:rsidR="00D7507E">
        <w:t xml:space="preserve"> to</w:t>
      </w:r>
      <w:r w:rsidR="006C0476">
        <w:t xml:space="preserve"> </w:t>
      </w:r>
      <w:r w:rsidR="00DE7180">
        <w:t xml:space="preserve">SEARK </w:t>
      </w:r>
      <w:r w:rsidR="00FF2F3E">
        <w:t xml:space="preserve">Radio, Inc. (SEARK) </w:t>
      </w:r>
      <w:r w:rsidR="00DE7180">
        <w:t>in 1997.</w:t>
      </w:r>
      <w:r>
        <w:rPr>
          <w:rStyle w:val="FootnoteReference"/>
        </w:rPr>
        <w:footnoteReference w:id="13"/>
      </w:r>
      <w:r w:rsidR="00DE7180">
        <w:t xml:space="preserve">  </w:t>
      </w:r>
      <w:r w:rsidR="00387FF5">
        <w:t>In 1998, SEARK</w:t>
      </w:r>
      <w:r w:rsidR="00190E91">
        <w:t xml:space="preserve"> registered the Structure with the Commission</w:t>
      </w:r>
      <w:r w:rsidR="006C0476">
        <w:t>,</w:t>
      </w:r>
      <w:r w:rsidR="00190E91">
        <w:t xml:space="preserve"> and </w:t>
      </w:r>
      <w:r w:rsidR="006C0476">
        <w:t xml:space="preserve">the Structure was designated as </w:t>
      </w:r>
      <w:r w:rsidR="00190E91">
        <w:t xml:space="preserve">ASR </w:t>
      </w:r>
      <w:r w:rsidR="00901AFA">
        <w:t>1042873</w:t>
      </w:r>
      <w:r w:rsidR="000008BB">
        <w:t>.</w:t>
      </w:r>
      <w:r>
        <w:rPr>
          <w:rStyle w:val="FootnoteReference"/>
        </w:rPr>
        <w:footnoteReference w:id="14"/>
      </w:r>
      <w:r w:rsidR="000008BB">
        <w:t xml:space="preserve">  </w:t>
      </w:r>
      <w:r w:rsidR="00DE3649">
        <w:t xml:space="preserve">As stated in </w:t>
      </w:r>
      <w:r w:rsidR="001F5E81">
        <w:t>its</w:t>
      </w:r>
      <w:r w:rsidR="00DE3649">
        <w:t xml:space="preserve"> registration, </w:t>
      </w:r>
      <w:r w:rsidR="001F5E81">
        <w:t>the Structure is required to have</w:t>
      </w:r>
      <w:r w:rsidR="00F71313">
        <w:t xml:space="preserve"> a steady-burning obstruction light at the top of the Structure</w:t>
      </w:r>
      <w:r w:rsidR="0070141B">
        <w:t xml:space="preserve"> and flashing lights </w:t>
      </w:r>
      <w:r w:rsidR="00E02CBA">
        <w:t>at specified heights of the Structure</w:t>
      </w:r>
      <w:r w:rsidR="009B50B4">
        <w:t>.</w:t>
      </w:r>
      <w:r>
        <w:rPr>
          <w:rStyle w:val="FootnoteReference"/>
        </w:rPr>
        <w:footnoteReference w:id="15"/>
      </w:r>
      <w:r w:rsidRPr="00E7285D" w:rsidR="00E7285D">
        <w:t xml:space="preserve"> </w:t>
      </w:r>
    </w:p>
    <w:p w:rsidR="008F2574" w:rsidP="00E7767F" w14:paraId="427E0005" w14:textId="266616A9">
      <w:pPr>
        <w:pStyle w:val="ParaNum"/>
        <w:widowControl/>
      </w:pPr>
      <w:r>
        <w:t xml:space="preserve">On April 29, 2003, </w:t>
      </w:r>
      <w:r w:rsidR="00DA2509">
        <w:t xml:space="preserve">SEARK </w:t>
      </w:r>
      <w:r>
        <w:t>s</w:t>
      </w:r>
      <w:r w:rsidR="00942F45">
        <w:t xml:space="preserve">old the </w:t>
      </w:r>
      <w:r>
        <w:t>S</w:t>
      </w:r>
      <w:r w:rsidR="00942F45">
        <w:t xml:space="preserve">tation </w:t>
      </w:r>
      <w:r w:rsidR="007F7549">
        <w:t>and the Structure</w:t>
      </w:r>
      <w:r w:rsidR="00DA2509">
        <w:t xml:space="preserve"> to M.R.S. Ventures, Inc., (MRS).</w:t>
      </w:r>
      <w:r>
        <w:rPr>
          <w:rStyle w:val="FootnoteReference"/>
        </w:rPr>
        <w:footnoteReference w:id="16"/>
      </w:r>
      <w:r w:rsidR="00DA2509">
        <w:t xml:space="preserve">  </w:t>
      </w:r>
      <w:r w:rsidR="00095575">
        <w:t>In connection with that transaction, MRS appears to have failed to notify the Commission that it acquired the Structure</w:t>
      </w:r>
      <w:r w:rsidR="0024050E">
        <w:t xml:space="preserve">, such that </w:t>
      </w:r>
      <w:r w:rsidR="00103ABE">
        <w:t>SEARK</w:t>
      </w:r>
      <w:r w:rsidR="0024050E">
        <w:t xml:space="preserve"> remains the registrant of the Structure in the Commission’s recor</w:t>
      </w:r>
      <w:r w:rsidR="00B47B20">
        <w:t>ds</w:t>
      </w:r>
      <w:r w:rsidR="00095575">
        <w:t>.</w:t>
      </w:r>
      <w:r w:rsidR="00A535C8">
        <w:t xml:space="preserve">  In 2011, MRS notified the Media Bureau that many of its stations, including KPBQ</w:t>
      </w:r>
      <w:r w:rsidR="00795DA6">
        <w:t>-FM</w:t>
      </w:r>
      <w:r w:rsidR="00A535C8">
        <w:t xml:space="preserve">, had </w:t>
      </w:r>
      <w:r w:rsidR="00A535C8">
        <w:t xml:space="preserve">been </w:t>
      </w:r>
      <w:r>
        <w:t>silent</w:t>
      </w:r>
      <w:r w:rsidR="00A535C8">
        <w:t xml:space="preserve"> for more than 12 months, </w:t>
      </w:r>
      <w:r w:rsidR="00E70E39">
        <w:t xml:space="preserve">and that their licenses </w:t>
      </w:r>
      <w:r w:rsidR="009C5E94">
        <w:t>had therefore expired pursuant to section 312(g) of the Act</w:t>
      </w:r>
      <w:r w:rsidR="00A535C8">
        <w:t>.</w:t>
      </w:r>
      <w:r>
        <w:rPr>
          <w:rStyle w:val="FootnoteReference"/>
        </w:rPr>
        <w:footnoteReference w:id="17"/>
      </w:r>
      <w:r w:rsidR="00A535C8">
        <w:t xml:space="preserve"> </w:t>
      </w:r>
      <w:r w:rsidR="00B05459">
        <w:t xml:space="preserve"> Today, neither SEARK nor MRS remain in existence.</w:t>
      </w:r>
      <w:r>
        <w:rPr>
          <w:rStyle w:val="FootnoteReference"/>
        </w:rPr>
        <w:footnoteReference w:id="18"/>
      </w:r>
      <w:r w:rsidR="00B05459">
        <w:t xml:space="preserve">  </w:t>
      </w:r>
    </w:p>
    <w:p w:rsidR="00752759" w:rsidP="00E7767F" w14:paraId="46CA258F" w14:textId="6D1AE66C">
      <w:pPr>
        <w:pStyle w:val="ParaNum"/>
        <w:widowControl/>
      </w:pPr>
      <w:r>
        <w:t xml:space="preserve">According to the public real property records of Jefferson County, Arkansas, the Land passed from </w:t>
      </w:r>
      <w:r>
        <w:t>Kleider</w:t>
      </w:r>
      <w:r>
        <w:t xml:space="preserve"> to </w:t>
      </w:r>
      <w:r w:rsidR="002C705E">
        <w:t>“</w:t>
      </w:r>
      <w:r>
        <w:t>Wilkerson</w:t>
      </w:r>
      <w:r w:rsidR="00205963">
        <w:t xml:space="preserve"> Edward W</w:t>
      </w:r>
      <w:r w:rsidR="00627669">
        <w:t xml:space="preserve"> </w:t>
      </w:r>
      <w:r w:rsidRPr="00276063" w:rsidR="00627669">
        <w:rPr>
          <w:i/>
          <w:iCs/>
        </w:rPr>
        <w:t>et al.</w:t>
      </w:r>
      <w:r w:rsidR="00276063">
        <w:t>,</w:t>
      </w:r>
      <w:r w:rsidR="002C705E">
        <w:t>”</w:t>
      </w:r>
      <w:r>
        <w:t xml:space="preserve"> in April 1996</w:t>
      </w:r>
      <w:r w:rsidR="00B759F1">
        <w:t xml:space="preserve"> and then from </w:t>
      </w:r>
      <w:r w:rsidR="002C705E">
        <w:t>“</w:t>
      </w:r>
      <w:r w:rsidR="00B759F1">
        <w:t>Wilkerson</w:t>
      </w:r>
      <w:r w:rsidR="00205963">
        <w:t xml:space="preserve"> Edward W</w:t>
      </w:r>
      <w:r w:rsidR="00D20091">
        <w:t xml:space="preserve"> </w:t>
      </w:r>
      <w:r w:rsidRPr="00276063" w:rsidR="00D20091">
        <w:rPr>
          <w:i/>
          <w:iCs/>
        </w:rPr>
        <w:t>et al.</w:t>
      </w:r>
      <w:r w:rsidR="00276063">
        <w:t>,</w:t>
      </w:r>
      <w:r w:rsidR="002C705E">
        <w:t>”</w:t>
      </w:r>
      <w:r w:rsidR="00D20091">
        <w:t xml:space="preserve"> </w:t>
      </w:r>
      <w:r w:rsidR="00B759F1">
        <w:t xml:space="preserve">to </w:t>
      </w:r>
      <w:r w:rsidR="002C705E">
        <w:t>“</w:t>
      </w:r>
      <w:r w:rsidR="00B759F1">
        <w:t>Gaither</w:t>
      </w:r>
      <w:r w:rsidR="00205963">
        <w:t xml:space="preserve"> Lora Lynn</w:t>
      </w:r>
      <w:r w:rsidR="00D20091">
        <w:t xml:space="preserve"> </w:t>
      </w:r>
      <w:r w:rsidRPr="004F3658" w:rsidR="00D20091">
        <w:rPr>
          <w:i/>
          <w:iCs/>
        </w:rPr>
        <w:t>et al</w:t>
      </w:r>
      <w:r w:rsidR="00D20091">
        <w:t>.</w:t>
      </w:r>
      <w:r w:rsidR="004F3658">
        <w:t>,</w:t>
      </w:r>
      <w:r w:rsidR="002C705E">
        <w:t>”</w:t>
      </w:r>
      <w:r w:rsidR="00D20091">
        <w:t xml:space="preserve"> </w:t>
      </w:r>
      <w:r w:rsidR="00B759F1">
        <w:t>in 2002.</w:t>
      </w:r>
      <w:r>
        <w:rPr>
          <w:rStyle w:val="FootnoteReference"/>
        </w:rPr>
        <w:footnoteReference w:id="19"/>
      </w:r>
      <w:r w:rsidR="00B759F1">
        <w:t xml:space="preserve">  In response to</w:t>
      </w:r>
      <w:r w:rsidR="009E50E9">
        <w:t xml:space="preserve"> a 2017 Letter of Inquiry from the Enforcement Bureau</w:t>
      </w:r>
      <w:r w:rsidR="00B30B7B">
        <w:t xml:space="preserve"> directed to Gaither</w:t>
      </w:r>
      <w:r w:rsidR="009E50E9">
        <w:t xml:space="preserve">, Gaither </w:t>
      </w:r>
      <w:r w:rsidR="000F1A70">
        <w:t xml:space="preserve">stated that (a) she </w:t>
      </w:r>
      <w:r w:rsidR="0099049A">
        <w:t xml:space="preserve">jointly </w:t>
      </w:r>
      <w:r w:rsidR="000F1A70">
        <w:t xml:space="preserve">owns the Land with Edward Wilkerson and Allen Wilkerson; (b) she has never received any payments for </w:t>
      </w:r>
      <w:r w:rsidR="00D42497">
        <w:t>the Easement from its holder; (c) </w:t>
      </w:r>
      <w:r w:rsidR="00C318DA">
        <w:t>upon her own inquiry to the local ele</w:t>
      </w:r>
      <w:r w:rsidR="002D29FA">
        <w:t>ctric utility company, electricity to the Structure was disconnected in 2005</w:t>
      </w:r>
      <w:r w:rsidR="00F51C9B">
        <w:t>; and (d) at the time the electricity to the Structure was disconnected, MRS was the account holder with the utility company.</w:t>
      </w:r>
      <w:r>
        <w:rPr>
          <w:rStyle w:val="FootnoteReference"/>
        </w:rPr>
        <w:footnoteReference w:id="20"/>
      </w:r>
      <w:r w:rsidR="00F51C9B">
        <w:t xml:space="preserve"> </w:t>
      </w:r>
      <w:r w:rsidR="00B759F1">
        <w:t xml:space="preserve"> </w:t>
      </w:r>
      <w:r w:rsidR="00ED07DB">
        <w:t xml:space="preserve">In subsequent conversations with Enforcement Bureau personnel, Gaither </w:t>
      </w:r>
      <w:r>
        <w:t xml:space="preserve">expressed an interest in </w:t>
      </w:r>
      <w:r w:rsidR="00FB3C39">
        <w:t>quieting title to the Structure and then dismantling it</w:t>
      </w:r>
      <w:r w:rsidR="00D85D66">
        <w:t>, as the Structure is not maintained and is located near her home</w:t>
      </w:r>
      <w:r w:rsidR="004A3D6D">
        <w:t>.  Gaither reports that her efforts</w:t>
      </w:r>
      <w:r w:rsidR="00D85D66">
        <w:t xml:space="preserve"> to do so</w:t>
      </w:r>
      <w:r w:rsidR="004A3D6D">
        <w:t xml:space="preserve"> have been stymied by her inability to obtain local counsel, who</w:t>
      </w:r>
      <w:r w:rsidR="00000EF0">
        <w:t>, according to Gaither,</w:t>
      </w:r>
      <w:r w:rsidR="004A3D6D">
        <w:t xml:space="preserve"> are </w:t>
      </w:r>
      <w:r w:rsidR="00646AC7">
        <w:t xml:space="preserve">wary of </w:t>
      </w:r>
      <w:r w:rsidR="00074298">
        <w:t xml:space="preserve">representing her </w:t>
      </w:r>
      <w:r w:rsidR="00646AC7">
        <w:t xml:space="preserve">because of their unfamiliarity with the Commission’s regulatory requirements.  </w:t>
      </w:r>
      <w:r w:rsidR="00A93DF6">
        <w:t xml:space="preserve">On July 16, 2021, the Bureau issued </w:t>
      </w:r>
      <w:r w:rsidR="00E77920">
        <w:t xml:space="preserve">a Letter of Inquiry to </w:t>
      </w:r>
      <w:r w:rsidR="00552DB5">
        <w:t xml:space="preserve">each of the Land Owners </w:t>
      </w:r>
      <w:r w:rsidR="00E77920">
        <w:t xml:space="preserve">in an attempt to update the record and to confirm that no party was </w:t>
      </w:r>
      <w:r w:rsidR="00552DB5">
        <w:t>paying the Easement</w:t>
      </w:r>
      <w:r w:rsidR="003D4FB9">
        <w:t xml:space="preserve">’s fee to </w:t>
      </w:r>
      <w:r w:rsidR="00552DB5">
        <w:t>any of the Land Owners</w:t>
      </w:r>
      <w:r w:rsidR="003D4FB9">
        <w:t>.</w:t>
      </w:r>
      <w:r>
        <w:rPr>
          <w:rStyle w:val="FootnoteReference"/>
        </w:rPr>
        <w:footnoteReference w:id="21"/>
      </w:r>
      <w:r w:rsidR="003D4FB9">
        <w:t xml:space="preserve">  To date, none of the Land Owners have responded.</w:t>
      </w:r>
      <w:r w:rsidR="00552DB5">
        <w:t xml:space="preserve"> </w:t>
      </w:r>
    </w:p>
    <w:p w:rsidR="0080654E" w:rsidP="00E7767F" w14:paraId="79E10FE7" w14:textId="26A84215">
      <w:pPr>
        <w:pStyle w:val="ParaNum"/>
        <w:widowControl/>
      </w:pPr>
      <w:r>
        <w:t xml:space="preserve">The Structure </w:t>
      </w:r>
      <w:r w:rsidR="00EF2489">
        <w:t>has a height of 114 meters above ground level</w:t>
      </w:r>
      <w:r w:rsidR="005D198F">
        <w:t>,</w:t>
      </w:r>
      <w:r>
        <w:rPr>
          <w:rStyle w:val="FootnoteReference"/>
        </w:rPr>
        <w:footnoteReference w:id="22"/>
      </w:r>
      <w:r w:rsidR="005D198F">
        <w:t xml:space="preserve"> and the Commission has received complaints </w:t>
      </w:r>
      <w:r w:rsidR="00CC3653">
        <w:t xml:space="preserve">that it is not properly lit.  </w:t>
      </w:r>
      <w:r w:rsidR="00F83E1A">
        <w:t xml:space="preserve">There are no other Commission licensees using the Structure for radio transmissions. </w:t>
      </w:r>
      <w:r w:rsidR="00CC3653">
        <w:t xml:space="preserve"> While the Commission does not know the precise date on which the Structure’s lighting failed, </w:t>
      </w:r>
      <w:r w:rsidR="0072429A">
        <w:t>based on complaints</w:t>
      </w:r>
      <w:r w:rsidR="00627C1E">
        <w:t xml:space="preserve"> the Commission</w:t>
      </w:r>
      <w:r w:rsidR="0072429A">
        <w:t xml:space="preserve"> received (and </w:t>
      </w:r>
      <w:r w:rsidR="006375C8">
        <w:t xml:space="preserve">as </w:t>
      </w:r>
      <w:r w:rsidR="0072429A">
        <w:t>co</w:t>
      </w:r>
      <w:r w:rsidR="009037E2">
        <w:t>rr</w:t>
      </w:r>
      <w:r w:rsidR="0072429A">
        <w:t xml:space="preserve">oborated by Gaither), the Structure has not been illuminated since at least </w:t>
      </w:r>
      <w:r w:rsidR="009C3863">
        <w:t>November 28, 2005</w:t>
      </w:r>
      <w:r w:rsidR="0072429A">
        <w:t xml:space="preserve">.  </w:t>
      </w:r>
      <w:r>
        <w:t xml:space="preserve">On May 21, 2021, the FAA issued a letter </w:t>
      </w:r>
      <w:r w:rsidR="00EB64E3">
        <w:t>in which it determined that “this abandoned unlit structure [is] a menace to aviation</w:t>
      </w:r>
      <w:r w:rsidR="009037E2">
        <w:t>.</w:t>
      </w:r>
      <w:r w:rsidR="00EB64E3">
        <w:t>”</w:t>
      </w:r>
      <w:r>
        <w:rPr>
          <w:rStyle w:val="FootnoteReference"/>
        </w:rPr>
        <w:footnoteReference w:id="23"/>
      </w:r>
      <w:r w:rsidR="00EB64E3">
        <w:t xml:space="preserve"> </w:t>
      </w:r>
      <w:r w:rsidR="009037E2">
        <w:t xml:space="preserve"> In the </w:t>
      </w:r>
      <w:r w:rsidR="0068577D">
        <w:t xml:space="preserve">2021 </w:t>
      </w:r>
      <w:r w:rsidR="009037E2">
        <w:t xml:space="preserve">Determination Letter, the FAA recommended that </w:t>
      </w:r>
      <w:r w:rsidR="00EB64E3">
        <w:t>“the F</w:t>
      </w:r>
      <w:r w:rsidR="009037E2">
        <w:t xml:space="preserve">CC </w:t>
      </w:r>
      <w:r w:rsidR="00EB64E3">
        <w:t>take appropriate actions” to ensure that the Structure is dismantled.</w:t>
      </w:r>
      <w:r>
        <w:rPr>
          <w:rStyle w:val="FootnoteReference"/>
        </w:rPr>
        <w:footnoteReference w:id="24"/>
      </w:r>
      <w:r w:rsidR="009D6C6B">
        <w:t xml:space="preserve">  </w:t>
      </w:r>
    </w:p>
    <w:p w:rsidR="001E2DFB" w:rsidP="00E7767F" w14:paraId="741DA388" w14:textId="11DEEB91">
      <w:pPr>
        <w:pStyle w:val="Heading1"/>
        <w:widowControl/>
      </w:pPr>
      <w:r>
        <w:t>Discussion</w:t>
      </w:r>
    </w:p>
    <w:p w:rsidR="001E2DFB" w:rsidRPr="005B347F" w:rsidP="00E7767F" w14:paraId="16A02147" w14:textId="30E947E7">
      <w:pPr>
        <w:pStyle w:val="ParaNum"/>
        <w:widowControl/>
      </w:pPr>
      <w:r w:rsidRPr="005B347F">
        <w:t xml:space="preserve">The </w:t>
      </w:r>
      <w:r w:rsidRPr="005B347F" w:rsidR="004C7957">
        <w:t>material</w:t>
      </w:r>
      <w:r w:rsidR="005B347F">
        <w:t xml:space="preserve"> </w:t>
      </w:r>
      <w:r>
        <w:t xml:space="preserve">facts in this case are </w:t>
      </w:r>
      <w:r w:rsidR="00CD5A9D">
        <w:t xml:space="preserve">undisputed.  The Structure has </w:t>
      </w:r>
      <w:r w:rsidR="009C3863">
        <w:t xml:space="preserve">been unlit </w:t>
      </w:r>
      <w:r w:rsidR="00CD5A9D">
        <w:t xml:space="preserve">for many years, and </w:t>
      </w:r>
      <w:r w:rsidR="001C6E2A">
        <w:t>the FAA has determined that, in its present condition, it constitutes a menace to aviation.</w:t>
      </w:r>
      <w:r>
        <w:rPr>
          <w:rStyle w:val="FootnoteReference"/>
        </w:rPr>
        <w:footnoteReference w:id="25"/>
      </w:r>
      <w:r w:rsidR="001E1429">
        <w:t xml:space="preserve">  </w:t>
      </w:r>
      <w:r w:rsidR="00F23892">
        <w:t xml:space="preserve">The </w:t>
      </w:r>
      <w:r w:rsidR="00F23892">
        <w:t xml:space="preserve">FAA has also recommended that the Commission take </w:t>
      </w:r>
      <w:r w:rsidR="003F7B16">
        <w:t>“</w:t>
      </w:r>
      <w:r w:rsidR="00F23892">
        <w:t xml:space="preserve">appropriate </w:t>
      </w:r>
      <w:r w:rsidR="003F7B16">
        <w:t>actions” to dismantle the Structure.</w:t>
      </w:r>
      <w:r>
        <w:rPr>
          <w:rStyle w:val="FootnoteReference"/>
        </w:rPr>
        <w:footnoteReference w:id="26"/>
      </w:r>
      <w:r w:rsidR="003F7B16">
        <w:t xml:space="preserve"> </w:t>
      </w:r>
      <w:r w:rsidR="00F23892">
        <w:t xml:space="preserve"> </w:t>
      </w:r>
      <w:r w:rsidR="001E1429">
        <w:t>A licensee has not used the structure</w:t>
      </w:r>
      <w:r w:rsidR="00DC359B">
        <w:t xml:space="preserve"> to tran</w:t>
      </w:r>
      <w:r w:rsidR="001550F1">
        <w:t>smit pursuant to a Commission license</w:t>
      </w:r>
      <w:r w:rsidR="001E1429">
        <w:t xml:space="preserve"> in at least a decade</w:t>
      </w:r>
      <w:r w:rsidR="00A6137D">
        <w:t>,</w:t>
      </w:r>
      <w:r>
        <w:rPr>
          <w:rStyle w:val="FootnoteReference"/>
        </w:rPr>
        <w:footnoteReference w:id="27"/>
      </w:r>
      <w:r w:rsidR="001E1429">
        <w:t xml:space="preserve"> </w:t>
      </w:r>
      <w:r w:rsidR="00A6137D">
        <w:t>and</w:t>
      </w:r>
      <w:r w:rsidR="001E1429">
        <w:t xml:space="preserve"> </w:t>
      </w:r>
      <w:r w:rsidR="00A6137D">
        <w:t>t</w:t>
      </w:r>
      <w:r w:rsidR="0088415C">
        <w:t>he broadcaster</w:t>
      </w:r>
      <w:r w:rsidR="00F65E2B">
        <w:t>s</w:t>
      </w:r>
      <w:r w:rsidR="0088415C">
        <w:t xml:space="preserve"> who </w:t>
      </w:r>
      <w:r w:rsidR="00F65E2B">
        <w:t xml:space="preserve">previously </w:t>
      </w:r>
      <w:r w:rsidR="0088415C">
        <w:t>owned the Structure</w:t>
      </w:r>
      <w:r w:rsidR="005375F3">
        <w:t xml:space="preserve"> and who registered the Structure</w:t>
      </w:r>
      <w:r w:rsidR="0088415C">
        <w:t xml:space="preserve"> </w:t>
      </w:r>
      <w:r w:rsidR="00F65E2B">
        <w:t>no longer exist</w:t>
      </w:r>
      <w:r w:rsidR="00A6137D">
        <w:t>.</w:t>
      </w:r>
      <w:r>
        <w:rPr>
          <w:rStyle w:val="FootnoteReference"/>
        </w:rPr>
        <w:footnoteReference w:id="28"/>
      </w:r>
      <w:r w:rsidR="00F65E2B">
        <w:t xml:space="preserve"> </w:t>
      </w:r>
    </w:p>
    <w:p w:rsidR="008A5779" w:rsidRPr="00CC3459" w:rsidP="00E7767F" w14:paraId="68396C4F" w14:textId="43D1F7B5">
      <w:pPr>
        <w:pStyle w:val="ParaNum"/>
        <w:widowControl/>
      </w:pPr>
      <w:r w:rsidRPr="005B347F">
        <w:t xml:space="preserve">Although the </w:t>
      </w:r>
      <w:r w:rsidRPr="005B347F" w:rsidR="00C72D25">
        <w:t xml:space="preserve">Commission has </w:t>
      </w:r>
      <w:r w:rsidRPr="005B347F" w:rsidR="0014034F">
        <w:t xml:space="preserve">clear </w:t>
      </w:r>
      <w:r w:rsidRPr="005B347F" w:rsidR="00C72D25">
        <w:t xml:space="preserve">authority to issue an order requiring the dismantlement of the </w:t>
      </w:r>
      <w:r w:rsidRPr="005B347F">
        <w:t xml:space="preserve">Structure </w:t>
      </w:r>
      <w:r w:rsidRPr="005B347F" w:rsidR="00C72D25">
        <w:t>pursuant</w:t>
      </w:r>
      <w:r w:rsidRPr="005B347F" w:rsidR="00C018BF">
        <w:t xml:space="preserve"> to </w:t>
      </w:r>
      <w:r w:rsidRPr="005B347F" w:rsidR="000F3C3C">
        <w:t>s</w:t>
      </w:r>
      <w:r w:rsidRPr="005B347F" w:rsidR="00C018BF">
        <w:t>ection 303(q),</w:t>
      </w:r>
      <w:r w:rsidRPr="005B347F" w:rsidR="00173DCF">
        <w:t xml:space="preserve"> it appears that the Structure has been abandoned and lacks any owner of record</w:t>
      </w:r>
      <w:r w:rsidRPr="005B347F" w:rsidR="00F74F3D">
        <w:t xml:space="preserve">.  As an initial matter, </w:t>
      </w:r>
      <w:r w:rsidRPr="005B347F" w:rsidR="003A0D00">
        <w:t xml:space="preserve">we cannot—and do not—make any findings </w:t>
      </w:r>
      <w:r w:rsidRPr="005B347F" w:rsidR="00A04CEE">
        <w:t>regarding the legal title to</w:t>
      </w:r>
      <w:r w:rsidRPr="005B347F" w:rsidR="003A0D00">
        <w:t xml:space="preserve"> </w:t>
      </w:r>
      <w:r w:rsidRPr="005B347F" w:rsidR="00A06637">
        <w:t xml:space="preserve">the </w:t>
      </w:r>
      <w:r w:rsidRPr="005B347F" w:rsidR="003A0D00">
        <w:t>Structure</w:t>
      </w:r>
      <w:r w:rsidRPr="005B347F" w:rsidR="00562422">
        <w:t xml:space="preserve">, which </w:t>
      </w:r>
      <w:r w:rsidRPr="005B347F" w:rsidR="00F77C06">
        <w:t xml:space="preserve">is a matter </w:t>
      </w:r>
      <w:r w:rsidRPr="005B347F" w:rsidR="00E026FC">
        <w:t xml:space="preserve">of </w:t>
      </w:r>
      <w:r w:rsidRPr="005B347F" w:rsidR="00F77C06">
        <w:t xml:space="preserve">Arkansas </w:t>
      </w:r>
      <w:r w:rsidRPr="005B347F" w:rsidR="00562422">
        <w:t xml:space="preserve">state law for the courts of that </w:t>
      </w:r>
      <w:r w:rsidRPr="005B347F" w:rsidR="00F77C06">
        <w:t>state to resolve</w:t>
      </w:r>
      <w:r w:rsidRPr="005B347F" w:rsidR="00CA0D53">
        <w:t xml:space="preserve">.  However, </w:t>
      </w:r>
      <w:r w:rsidRPr="005B347F" w:rsidR="00F856B8">
        <w:t xml:space="preserve">because unlit antenna structures pose a significant </w:t>
      </w:r>
      <w:r w:rsidRPr="005B347F" w:rsidR="00A155E9">
        <w:t xml:space="preserve">safety </w:t>
      </w:r>
      <w:r w:rsidRPr="005B347F" w:rsidR="00F856B8">
        <w:t xml:space="preserve">hazard to </w:t>
      </w:r>
      <w:r w:rsidRPr="005B347F" w:rsidR="00CA0D53">
        <w:t xml:space="preserve">aviators, their passengers, and the general public, </w:t>
      </w:r>
      <w:r w:rsidRPr="005B347F" w:rsidR="003059AC">
        <w:t>it is important that we</w:t>
      </w:r>
      <w:r w:rsidRPr="005B347F" w:rsidR="00CA0D53">
        <w:t xml:space="preserve"> identify </w:t>
      </w:r>
      <w:r w:rsidRPr="005B347F" w:rsidR="00F856B8">
        <w:t>parties</w:t>
      </w:r>
      <w:r w:rsidRPr="005B347F" w:rsidR="00CA0D53">
        <w:t xml:space="preserve"> against whom section 303(q) can be invoked to compel the dismantlement of this long-abandoned antenna structure.  </w:t>
      </w:r>
      <w:r w:rsidRPr="005B347F" w:rsidR="00575995">
        <w:t xml:space="preserve">Gaither </w:t>
      </w:r>
      <w:r w:rsidRPr="005B347F" w:rsidR="00B90982">
        <w:t xml:space="preserve">has </w:t>
      </w:r>
      <w:r w:rsidRPr="005B347F" w:rsidR="00575995">
        <w:t>admitted to Enforcement Bureau personnel that she has never received payments under the Easement.</w:t>
      </w:r>
      <w:r w:rsidRPr="005B347F" w:rsidR="00F856B8">
        <w:t xml:space="preserve">  Further, the last known holder of the Easement, M</w:t>
      </w:r>
      <w:r w:rsidRPr="005B347F" w:rsidR="00114A76">
        <w:t xml:space="preserve">RS, was administratively </w:t>
      </w:r>
      <w:r w:rsidRPr="005B347F" w:rsidR="004968F7">
        <w:t>dissolved in 2008</w:t>
      </w:r>
      <w:r w:rsidRPr="005B347F" w:rsidR="00A162CC">
        <w:t xml:space="preserve">, thus making it exceedingly unlikely that </w:t>
      </w:r>
      <w:r w:rsidRPr="005B347F" w:rsidR="00D47D4D">
        <w:t xml:space="preserve">Gaither or the </w:t>
      </w:r>
      <w:r w:rsidRPr="005B347F" w:rsidR="00D47D4D">
        <w:t>Wilkersons</w:t>
      </w:r>
      <w:r w:rsidRPr="005B347F" w:rsidR="00D47D4D">
        <w:t xml:space="preserve"> continue to receive payments of the fee required under the Easement</w:t>
      </w:r>
      <w:r w:rsidRPr="005B347F" w:rsidR="00A162CC">
        <w:t>.</w:t>
      </w:r>
      <w:r>
        <w:rPr>
          <w:rStyle w:val="FootnoteReference"/>
        </w:rPr>
        <w:footnoteReference w:id="29"/>
      </w:r>
      <w:r w:rsidRPr="005B347F" w:rsidR="00A162CC">
        <w:t xml:space="preserve"> </w:t>
      </w:r>
      <w:r w:rsidRPr="005B347F" w:rsidR="00575995">
        <w:t xml:space="preserve"> </w:t>
      </w:r>
      <w:r w:rsidRPr="005B347F" w:rsidR="007F3E58">
        <w:t xml:space="preserve">Thus, pursuant to the terms of the Easement, the Land Owners appear to have the option </w:t>
      </w:r>
      <w:r w:rsidRPr="005B347F" w:rsidR="0078763A">
        <w:t>of taking steps to terminate</w:t>
      </w:r>
      <w:r w:rsidRPr="005B347F" w:rsidR="00E9763B">
        <w:t xml:space="preserve"> </w:t>
      </w:r>
      <w:r w:rsidRPr="005B347F" w:rsidR="00E97811">
        <w:t>the Easement</w:t>
      </w:r>
      <w:r w:rsidRPr="005B347F">
        <w:t>.</w:t>
      </w:r>
      <w:r>
        <w:rPr>
          <w:rStyle w:val="FootnoteReference"/>
        </w:rPr>
        <w:footnoteReference w:id="30"/>
      </w:r>
      <w:r w:rsidRPr="005B347F" w:rsidR="00916463">
        <w:t xml:space="preserve">    </w:t>
      </w:r>
      <w:r w:rsidRPr="00CC3459" w:rsidR="00F66AEE">
        <w:t xml:space="preserve">  </w:t>
      </w:r>
    </w:p>
    <w:p w:rsidR="00F367D1" w:rsidP="00E7767F" w14:paraId="71A4D49D" w14:textId="737EF8C3">
      <w:pPr>
        <w:pStyle w:val="ParaNum"/>
        <w:widowControl/>
      </w:pPr>
      <w:r>
        <w:t xml:space="preserve">Because of the threat to </w:t>
      </w:r>
      <w:r w:rsidR="00F64D0C">
        <w:t>life</w:t>
      </w:r>
      <w:r>
        <w:t xml:space="preserve"> </w:t>
      </w:r>
      <w:r w:rsidR="00154839">
        <w:t xml:space="preserve">posed by </w:t>
      </w:r>
      <w:r w:rsidR="00573C0E">
        <w:t>unlit antenna structures</w:t>
      </w:r>
      <w:r w:rsidR="002217AC">
        <w:t xml:space="preserve"> that the FAA has determined to be a menace to aviation</w:t>
      </w:r>
      <w:r w:rsidR="00573C0E">
        <w:t xml:space="preserve">, we cannot wait for the Land Owners to quiet title to the </w:t>
      </w:r>
      <w:r w:rsidR="00307606">
        <w:t xml:space="preserve">Easement </w:t>
      </w:r>
      <w:r w:rsidR="00623030">
        <w:t xml:space="preserve">and </w:t>
      </w:r>
      <w:r w:rsidR="00FB5876">
        <w:t xml:space="preserve">foreclose on the Structure </w:t>
      </w:r>
      <w:r w:rsidR="00307606">
        <w:t>before ordering the dismantlement of the Structure</w:t>
      </w:r>
      <w:r w:rsidR="00573C0E">
        <w:t xml:space="preserve">.  </w:t>
      </w:r>
      <w:r w:rsidR="00D57680">
        <w:t xml:space="preserve">We therefore find that </w:t>
      </w:r>
      <w:r w:rsidR="00F77C06">
        <w:t xml:space="preserve">the Land Owners </w:t>
      </w:r>
      <w:r w:rsidR="00A162CC">
        <w:t xml:space="preserve">presently </w:t>
      </w:r>
      <w:r w:rsidR="00D57680">
        <w:t>possess the Structure</w:t>
      </w:r>
      <w:r w:rsidR="00204A6D">
        <w:t xml:space="preserve"> for the limited purposes of invoking section 303(q) of the Act and enforcing the Commission’s part 17 rules</w:t>
      </w:r>
      <w:r w:rsidR="00C25567">
        <w:t>.</w:t>
      </w:r>
      <w:r>
        <w:rPr>
          <w:rStyle w:val="FootnoteReference"/>
        </w:rPr>
        <w:footnoteReference w:id="31"/>
      </w:r>
      <w:r w:rsidR="00C25567">
        <w:t xml:space="preserve">  </w:t>
      </w:r>
      <w:r w:rsidR="00130722">
        <w:t xml:space="preserve">To guard against the possibility that another party may come forward in the context of a state court action </w:t>
      </w:r>
      <w:r w:rsidR="007109D0">
        <w:t>to challenge the termination of the Easement</w:t>
      </w:r>
      <w:r w:rsidR="00130722">
        <w:t xml:space="preserve">, </w:t>
      </w:r>
      <w:r w:rsidR="003C462B">
        <w:t xml:space="preserve">we also find that </w:t>
      </w:r>
      <w:r w:rsidR="00B7683E">
        <w:t xml:space="preserve">any person </w:t>
      </w:r>
      <w:r w:rsidR="007109D0">
        <w:t xml:space="preserve">having </w:t>
      </w:r>
      <w:r w:rsidR="00B7683E">
        <w:t xml:space="preserve">a remaining interest in the Structure </w:t>
      </w:r>
      <w:r w:rsidR="00740776">
        <w:t xml:space="preserve">is subject to this </w:t>
      </w:r>
      <w:r w:rsidRPr="00675BC1" w:rsidR="00740776">
        <w:rPr>
          <w:i/>
          <w:iCs/>
        </w:rPr>
        <w:t>Order</w:t>
      </w:r>
      <w:r w:rsidR="00740776">
        <w:t>.</w:t>
      </w:r>
      <w:r>
        <w:rPr>
          <w:rStyle w:val="FootnoteReference"/>
        </w:rPr>
        <w:footnoteReference w:id="32"/>
      </w:r>
      <w:r w:rsidR="00740776">
        <w:t xml:space="preserve"> </w:t>
      </w:r>
    </w:p>
    <w:p w:rsidR="00FE6DA9" w:rsidP="00E7767F" w14:paraId="7B54B891" w14:textId="10830AE6">
      <w:pPr>
        <w:pStyle w:val="ParaNum"/>
        <w:widowControl/>
      </w:pPr>
      <w:r>
        <w:t xml:space="preserve">Accordingly, </w:t>
      </w:r>
      <w:r w:rsidR="00E9448F">
        <w:t xml:space="preserve">pursuant to </w:t>
      </w:r>
      <w:r w:rsidR="00124AC6">
        <w:t>s</w:t>
      </w:r>
      <w:r w:rsidR="00E9448F">
        <w:t xml:space="preserve">ection 303(q) of the Act and the Commission’s part 17 rules </w:t>
      </w:r>
      <w:r>
        <w:t>w</w:t>
      </w:r>
      <w:r w:rsidR="00D67B88">
        <w:t xml:space="preserve">e </w:t>
      </w:r>
      <w:r w:rsidR="00CB7140">
        <w:t xml:space="preserve">direct the </w:t>
      </w:r>
      <w:r w:rsidRPr="00C961EA" w:rsidR="0048652A">
        <w:t xml:space="preserve">Land Owners, </w:t>
      </w:r>
      <w:r w:rsidRPr="00C961EA" w:rsidR="00147A05">
        <w:t>jointly and severally, to dismantle the Structure</w:t>
      </w:r>
      <w:r w:rsidRPr="00C961EA" w:rsidR="00147A05">
        <w:t xml:space="preserve"> </w:t>
      </w:r>
      <w:r w:rsidRPr="00C961EA" w:rsidR="00737D9C">
        <w:t xml:space="preserve">within </w:t>
      </w:r>
      <w:r w:rsidRPr="00C961EA" w:rsidR="00926BCF">
        <w:t>90</w:t>
      </w:r>
      <w:r w:rsidRPr="00C961EA" w:rsidR="00737D9C">
        <w:t xml:space="preserve"> days </w:t>
      </w:r>
      <w:r w:rsidRPr="00C961EA" w:rsidR="00CB7140">
        <w:t>following the release of</w:t>
      </w:r>
      <w:r w:rsidRPr="00C961EA" w:rsidR="00737D9C">
        <w:t xml:space="preserve"> this </w:t>
      </w:r>
      <w:r w:rsidRPr="00C961EA" w:rsidR="00737D9C">
        <w:rPr>
          <w:i/>
          <w:iCs/>
        </w:rPr>
        <w:t>Order</w:t>
      </w:r>
      <w:r w:rsidRPr="00C961EA" w:rsidR="0048652A">
        <w:t xml:space="preserve">, and we extend this direction to any entity that </w:t>
      </w:r>
      <w:r w:rsidRPr="00C961EA" w:rsidR="00A81766">
        <w:t>may assert any ownership interest in the Structure</w:t>
      </w:r>
      <w:r w:rsidR="00926BCF">
        <w:t>.</w:t>
      </w:r>
      <w:r>
        <w:rPr>
          <w:rStyle w:val="FootnoteReference"/>
        </w:rPr>
        <w:footnoteReference w:id="33"/>
      </w:r>
      <w:r w:rsidR="00680582">
        <w:t xml:space="preserve">  </w:t>
      </w:r>
      <w:r w:rsidR="001357FD">
        <w:t xml:space="preserve">Upon the release of this </w:t>
      </w:r>
      <w:r w:rsidRPr="00582B43" w:rsidR="001357FD">
        <w:rPr>
          <w:i/>
          <w:iCs/>
        </w:rPr>
        <w:t>Order</w:t>
      </w:r>
      <w:r w:rsidR="001357FD">
        <w:t xml:space="preserve">, we direct the Wireless Telecommunications Bureau to update the Antenna Structure’s registration to identify </w:t>
      </w:r>
      <w:r w:rsidR="0004749E">
        <w:t>the Land Owners</w:t>
      </w:r>
      <w:r w:rsidR="001357FD">
        <w:t xml:space="preserve"> as the new registrants of the structure for purposes of compliance with the Act and part 17 of the Commission’s rules.  </w:t>
      </w:r>
      <w:r w:rsidR="003926AA">
        <w:t xml:space="preserve">To the extent that any other entity is deemed by a court of appropriate jurisdiction to hold an interest in the Structure, we </w:t>
      </w:r>
      <w:r w:rsidR="001132F9">
        <w:t xml:space="preserve">direct the Wireless Telecommunications Bureau to add that entity to the registration, and we will hold </w:t>
      </w:r>
      <w:r w:rsidR="001132F9">
        <w:t>all registrants jointly and severally liable</w:t>
      </w:r>
      <w:r w:rsidR="005F0065">
        <w:t xml:space="preserve">, along with the currently named Land Owners, for compliance with the </w:t>
      </w:r>
      <w:r w:rsidR="004F69E5">
        <w:t>s</w:t>
      </w:r>
      <w:r w:rsidR="005F0065">
        <w:t>ection 303(q) obligations relating to the Structure.</w:t>
      </w:r>
    </w:p>
    <w:p w:rsidR="001E2DFB" w:rsidP="00E7767F" w14:paraId="23E3C0ED" w14:textId="33598CCC">
      <w:pPr>
        <w:pStyle w:val="Heading1"/>
        <w:widowControl/>
      </w:pPr>
      <w:r>
        <w:t>Ordering Clauses</w:t>
      </w:r>
    </w:p>
    <w:p w:rsidR="001E2DFB" w:rsidP="00E7767F" w14:paraId="0D7B2EC7" w14:textId="0A352E37">
      <w:pPr>
        <w:pStyle w:val="ParaNum"/>
        <w:widowControl/>
      </w:pPr>
      <w:r>
        <w:t xml:space="preserve">Accordingly, </w:t>
      </w:r>
      <w:r w:rsidR="00933098">
        <w:rPr>
          <w:b/>
          <w:bCs/>
        </w:rPr>
        <w:t>IT IS ORDERED THAT</w:t>
      </w:r>
      <w:r w:rsidR="00D218D0">
        <w:t xml:space="preserve">, pursuant to section 303(q) of the Act, </w:t>
      </w:r>
      <w:r w:rsidR="00CA4DA0">
        <w:t xml:space="preserve">Lora </w:t>
      </w:r>
      <w:r w:rsidR="00865B89">
        <w:t xml:space="preserve">Lynn </w:t>
      </w:r>
      <w:r w:rsidR="001A4F93">
        <w:t>Gaither</w:t>
      </w:r>
      <w:r w:rsidR="00865B89">
        <w:t xml:space="preserve">, </w:t>
      </w:r>
      <w:r w:rsidR="00865B89">
        <w:rPr>
          <w:spacing w:val="-2"/>
        </w:rPr>
        <w:t>Edward Wilkerson, Allen Wilkerson</w:t>
      </w:r>
      <w:r w:rsidR="00147A05">
        <w:rPr>
          <w:spacing w:val="-2"/>
        </w:rPr>
        <w:t xml:space="preserve">, and any person holding an </w:t>
      </w:r>
      <w:r w:rsidRPr="00C961EA" w:rsidR="00877E54">
        <w:rPr>
          <w:spacing w:val="-2"/>
        </w:rPr>
        <w:t xml:space="preserve">ownership </w:t>
      </w:r>
      <w:r w:rsidRPr="00C961EA" w:rsidR="00147A05">
        <w:rPr>
          <w:spacing w:val="-2"/>
        </w:rPr>
        <w:t>interest</w:t>
      </w:r>
      <w:r w:rsidRPr="00C961EA" w:rsidR="00EB4BC0">
        <w:rPr>
          <w:spacing w:val="-2"/>
        </w:rPr>
        <w:t xml:space="preserve"> </w:t>
      </w:r>
      <w:r w:rsidRPr="00C961EA" w:rsidR="00877E54">
        <w:rPr>
          <w:spacing w:val="-2"/>
        </w:rPr>
        <w:t xml:space="preserve">of record </w:t>
      </w:r>
      <w:r w:rsidRPr="00C961EA" w:rsidR="00EB4BC0">
        <w:rPr>
          <w:spacing w:val="-2"/>
        </w:rPr>
        <w:t>in the Structure</w:t>
      </w:r>
      <w:r w:rsidR="000F3460">
        <w:rPr>
          <w:spacing w:val="-2"/>
        </w:rPr>
        <w:t xml:space="preserve">, </w:t>
      </w:r>
      <w:r w:rsidR="001B5016">
        <w:rPr>
          <w:spacing w:val="-2"/>
        </w:rPr>
        <w:t xml:space="preserve">shall, </w:t>
      </w:r>
      <w:r w:rsidR="00A60CED">
        <w:rPr>
          <w:spacing w:val="-2"/>
        </w:rPr>
        <w:t>jointly and severally</w:t>
      </w:r>
      <w:r w:rsidR="001B5016">
        <w:rPr>
          <w:spacing w:val="-2"/>
        </w:rPr>
        <w:t xml:space="preserve">, </w:t>
      </w:r>
      <w:r w:rsidR="009E1D98">
        <w:t>dismantle the antenna structure</w:t>
      </w:r>
      <w:r w:rsidR="00E8132F">
        <w:t xml:space="preserve"> located at</w:t>
      </w:r>
      <w:r w:rsidR="00C965E2">
        <w:t xml:space="preserve"> </w:t>
      </w:r>
      <w:r w:rsidR="00C965E2">
        <w:rPr>
          <w:spacing w:val="-2"/>
        </w:rPr>
        <w:t>3</w:t>
      </w:r>
      <w:r w:rsidR="00F50FF2">
        <w:rPr>
          <w:spacing w:val="-2"/>
        </w:rPr>
        <w:t>4</w:t>
      </w:r>
      <w:r w:rsidR="008029DE">
        <w:t>°</w:t>
      </w:r>
      <w:r w:rsidR="008029DE">
        <w:rPr>
          <w:spacing w:val="-2"/>
        </w:rPr>
        <w:t> 3’ </w:t>
      </w:r>
      <w:r w:rsidR="00C965E2">
        <w:rPr>
          <w:spacing w:val="-2"/>
        </w:rPr>
        <w:t xml:space="preserve">58” North </w:t>
      </w:r>
      <w:r w:rsidR="00C95466">
        <w:rPr>
          <w:spacing w:val="-2"/>
        </w:rPr>
        <w:t>latitude</w:t>
      </w:r>
      <w:r w:rsidR="00C965E2">
        <w:rPr>
          <w:spacing w:val="-2"/>
        </w:rPr>
        <w:t>, 91</w:t>
      </w:r>
      <w:r w:rsidR="008029DE">
        <w:t>°</w:t>
      </w:r>
      <w:r w:rsidR="00C965E2">
        <w:rPr>
          <w:spacing w:val="-2"/>
        </w:rPr>
        <w:t xml:space="preserve"> 57’ 36” West </w:t>
      </w:r>
      <w:r w:rsidR="00C95466">
        <w:rPr>
          <w:spacing w:val="-2"/>
        </w:rPr>
        <w:t>longitude</w:t>
      </w:r>
      <w:r w:rsidR="0044690C">
        <w:t xml:space="preserve">, and registered with the Commission under ASR </w:t>
      </w:r>
      <w:r w:rsidR="00F7039F">
        <w:rPr>
          <w:spacing w:val="-2"/>
        </w:rPr>
        <w:t xml:space="preserve">1042873, </w:t>
      </w:r>
      <w:r w:rsidR="0044690C">
        <w:t xml:space="preserve">within 90 days of this </w:t>
      </w:r>
      <w:r w:rsidRPr="00F7039F" w:rsidR="0044690C">
        <w:rPr>
          <w:i/>
          <w:iCs/>
        </w:rPr>
        <w:t>Order</w:t>
      </w:r>
      <w:r w:rsidR="0044690C">
        <w:t xml:space="preserve">.  </w:t>
      </w:r>
    </w:p>
    <w:p w:rsidR="008319B7" w:rsidP="00E7767F" w14:paraId="2B7403AC" w14:textId="39A3464F">
      <w:pPr>
        <w:pStyle w:val="ParaNum"/>
        <w:widowControl/>
      </w:pPr>
      <w:r w:rsidRPr="00086D14">
        <w:rPr>
          <w:b/>
          <w:bCs/>
        </w:rPr>
        <w:t>IT IS FURTHER ORDERED THAT</w:t>
      </w:r>
      <w:r>
        <w:t xml:space="preserve"> </w:t>
      </w:r>
      <w:r w:rsidR="00737D9C">
        <w:t xml:space="preserve">a copy of this </w:t>
      </w:r>
      <w:r w:rsidRPr="00A56DE5" w:rsidR="00737D9C">
        <w:rPr>
          <w:i/>
          <w:iCs/>
        </w:rPr>
        <w:t>Order</w:t>
      </w:r>
      <w:r w:rsidR="00737D9C">
        <w:t xml:space="preserve"> </w:t>
      </w:r>
      <w:r w:rsidR="001E05FC">
        <w:t xml:space="preserve">is sent to </w:t>
      </w:r>
      <w:r w:rsidR="00B22B91">
        <w:t>the</w:t>
      </w:r>
      <w:r w:rsidR="00467657">
        <w:t xml:space="preserve"> Land Owners</w:t>
      </w:r>
      <w:r w:rsidR="00B22B91">
        <w:t xml:space="preserve"> </w:t>
      </w:r>
      <w:r w:rsidR="00CF5578">
        <w:t xml:space="preserve">at their respective </w:t>
      </w:r>
      <w:r w:rsidR="001E05FC">
        <w:t>address</w:t>
      </w:r>
      <w:r w:rsidR="00CF5578">
        <w:t>es</w:t>
      </w:r>
      <w:r w:rsidR="001E05FC">
        <w:t xml:space="preserve"> of record.  </w:t>
      </w:r>
    </w:p>
    <w:p w:rsidR="00FB04FB" w:rsidP="00C6077A" w14:paraId="331D8FD8" w14:textId="77777777"/>
    <w:p w:rsidR="00FB04FB" w:rsidP="00C6077A" w14:paraId="24626054" w14:textId="419CB020">
      <w:r>
        <w:tab/>
      </w:r>
      <w:r>
        <w:tab/>
      </w:r>
      <w:r>
        <w:tab/>
      </w:r>
      <w:r>
        <w:tab/>
      </w:r>
      <w:r>
        <w:tab/>
      </w:r>
      <w:r>
        <w:tab/>
        <w:t>FEDERAL COMMUNICATIONS COMMISSION</w:t>
      </w:r>
    </w:p>
    <w:p w:rsidR="00FB04FB" w:rsidP="00C6077A" w14:paraId="6D163501" w14:textId="77777777"/>
    <w:p w:rsidR="00FB04FB" w:rsidP="00C6077A" w14:paraId="07FC53F0" w14:textId="77777777"/>
    <w:p w:rsidR="00FB04FB" w:rsidP="00C6077A" w14:paraId="762CD94E" w14:textId="77777777"/>
    <w:p w:rsidR="00FB04FB" w:rsidP="00C6077A" w14:paraId="31996B3D" w14:textId="77777777"/>
    <w:p w:rsidR="00FB04FB" w:rsidP="00C6077A" w14:paraId="65B3DE32" w14:textId="77777777">
      <w:r>
        <w:tab/>
      </w:r>
      <w:r>
        <w:tab/>
      </w:r>
      <w:r>
        <w:tab/>
      </w:r>
      <w:r>
        <w:tab/>
      </w:r>
      <w:r>
        <w:tab/>
      </w:r>
      <w:r>
        <w:tab/>
        <w:t>Marlene H. Dortch</w:t>
      </w:r>
    </w:p>
    <w:p w:rsidR="00FB04FB" w:rsidP="00C6077A" w14:paraId="4060189A" w14:textId="77777777"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0D0941" w:rsidRPr="001E2DFB" w:rsidP="000D0941" w14:paraId="7322CA43" w14:textId="77777777">
      <w:pPr>
        <w:pStyle w:val="ParaNum"/>
        <w:numPr>
          <w:ilvl w:val="0"/>
          <w:numId w:val="0"/>
        </w:numPr>
        <w:ind w:firstLine="720"/>
      </w:pPr>
    </w:p>
    <w:sectPr w:rsidSect="0055614C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077A" w:rsidP="0055614C" w14:paraId="2F8E83DE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C6077A" w14:paraId="09659AF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077A" w:rsidP="00305F11" w14:paraId="5D738743" w14:textId="1A2572E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077A" w14:paraId="7A1C84E1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B473F" w14:paraId="79D0F54C" w14:textId="77777777">
      <w:r>
        <w:separator/>
      </w:r>
    </w:p>
  </w:footnote>
  <w:footnote w:type="continuationSeparator" w:id="1">
    <w:p w:rsidR="005B473F" w:rsidP="00C721AC" w14:paraId="46D38F80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5B473F" w:rsidP="00C721AC" w14:paraId="32AF8065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C6077A" w:rsidP="00954EA4" w14:paraId="6C00714C" w14:textId="77777777">
      <w:pPr>
        <w:pStyle w:val="FootnoteText"/>
      </w:pPr>
      <w:r>
        <w:rPr>
          <w:rStyle w:val="FootnoteReference"/>
        </w:rPr>
        <w:footnoteRef/>
      </w:r>
      <w:r>
        <w:t xml:space="preserve"> 47 U.S.C. § 303(q).</w:t>
      </w:r>
    </w:p>
  </w:footnote>
  <w:footnote w:id="4">
    <w:p w:rsidR="00C6077A" w:rsidRPr="00AE7835" w14:paraId="57AE73E7" w14:textId="617946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  <w:r>
        <w:t xml:space="preserve">; </w:t>
      </w:r>
      <w:r w:rsidRPr="00900BA2">
        <w:rPr>
          <w:i/>
          <w:iCs/>
        </w:rPr>
        <w:t>see also</w:t>
      </w:r>
      <w:r>
        <w:t xml:space="preserve"> 47 CFR Part 17.</w:t>
      </w:r>
    </w:p>
  </w:footnote>
  <w:footnote w:id="5">
    <w:p w:rsidR="00C6077A" w:rsidRPr="006C3316" w14:paraId="752DC28F" w14:textId="5127CB4B">
      <w:pPr>
        <w:pStyle w:val="FootnoteText"/>
      </w:pPr>
      <w:r>
        <w:rPr>
          <w:rStyle w:val="FootnoteReference"/>
        </w:rPr>
        <w:footnoteRef/>
      </w:r>
      <w:r>
        <w:t xml:space="preserve"> 47 U.S.C. § 303(q).</w:t>
      </w:r>
    </w:p>
  </w:footnote>
  <w:footnote w:id="6">
    <w:p w:rsidR="00C6077A" w:rsidRPr="00CC494B" w14:paraId="49B2635A" w14:textId="5B20BE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Streamlining the Commission’s Antenna Structure Clearance Procedure</w:t>
      </w:r>
      <w:r>
        <w:t>, Report and Order, WT Docket No. 95-5, 11 FCC Rcd 4272, 4295, para. 56 (1995) (</w:t>
      </w:r>
      <w:r w:rsidRPr="00E26B26">
        <w:rPr>
          <w:i/>
          <w:iCs/>
        </w:rPr>
        <w:t>Antenna Structure R&amp;O</w:t>
      </w:r>
      <w:r>
        <w:t>).</w:t>
      </w:r>
    </w:p>
  </w:footnote>
  <w:footnote w:id="7">
    <w:p w:rsidR="00C6077A" w:rsidRPr="00CC494B" w14:paraId="37107657" w14:textId="3F2452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</w:p>
  </w:footnote>
  <w:footnote w:id="8">
    <w:p w:rsidR="00C6077A" w14:paraId="3381F0C9" w14:textId="6D9E8915">
      <w:pPr>
        <w:pStyle w:val="FootnoteText"/>
      </w:pPr>
      <w:r>
        <w:rPr>
          <w:rStyle w:val="FootnoteReference"/>
        </w:rPr>
        <w:footnoteRef/>
      </w:r>
      <w:r>
        <w:t xml:space="preserve"> Easement Granted by Lee Ann </w:t>
      </w:r>
      <w:r>
        <w:t>Kleider</w:t>
      </w:r>
      <w:r>
        <w:t xml:space="preserve"> to Colon Johnston at 1</w:t>
      </w:r>
      <w:r w:rsidR="002E5396">
        <w:t xml:space="preserve"> </w:t>
      </w:r>
      <w:r>
        <w:t>(Dec. 8, 1990) (on file in EB-FIELDSCR-16-00022453) (Easement).</w:t>
      </w:r>
    </w:p>
  </w:footnote>
  <w:footnote w:id="9">
    <w:p w:rsidR="00C6077A" w:rsidRPr="00855941" w14:paraId="4BCCE488" w14:textId="1FA189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</w:p>
  </w:footnote>
  <w:footnote w:id="10">
    <w:p w:rsidR="00C6077A" w:rsidRPr="00855941" w14:paraId="20AFAB8A" w14:textId="34875D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</w:p>
  </w:footnote>
  <w:footnote w:id="11">
    <w:p w:rsidR="00C6077A" w14:paraId="7D1B047C" w14:textId="5FB16639">
      <w:pPr>
        <w:pStyle w:val="FootnoteText"/>
      </w:pPr>
      <w:r>
        <w:rPr>
          <w:rStyle w:val="FootnoteReference"/>
        </w:rPr>
        <w:footnoteRef/>
      </w:r>
      <w:r>
        <w:t xml:space="preserve"> The FAA’s determination letter is not available in its obstruction evaluation database.  An abstract of Johnston’s request and the FAA’s determination is available at </w:t>
      </w:r>
      <w:hyperlink r:id="rId1" w:history="1">
        <w:r w:rsidRPr="00315D55">
          <w:rPr>
            <w:rStyle w:val="Hyperlink"/>
          </w:rPr>
          <w:t>https://oeaaa.faa.gov/oeaaa/external/searchAction.jsp?action=displayOECase&amp;oeCaseID=268803&amp;row=0</w:t>
        </w:r>
      </w:hyperlink>
      <w:r>
        <w:t xml:space="preserve"> (last visited June 7, 2021).  </w:t>
      </w:r>
    </w:p>
  </w:footnote>
  <w:footnote w:id="12">
    <w:p w:rsidR="00C6077A" w:rsidRPr="0001573A" w:rsidP="00DE7180" w14:paraId="2B8CB6F2" w14:textId="52108A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See</w:t>
      </w:r>
      <w:r>
        <w:t xml:space="preserve"> Application for Consent to Assignment of Broadcast Station Construction Permit or License, FCC File No. BAPH-19900827GS (filed Aug. 27, 1990); Application for License to Cover, FCC File No. BLH-19911218KC (filed Dec. 18, 1991). </w:t>
      </w:r>
    </w:p>
  </w:footnote>
  <w:footnote w:id="13">
    <w:p w:rsidR="00C6077A" w14:paraId="320ADA13" w14:textId="56F9D4D3">
      <w:pPr>
        <w:pStyle w:val="FootnoteText"/>
      </w:pPr>
      <w:r>
        <w:rPr>
          <w:rStyle w:val="FootnoteReference"/>
        </w:rPr>
        <w:footnoteRef/>
      </w:r>
      <w:r>
        <w:t xml:space="preserve"> Application for Consent to Assignment of Broadcast Station Construction Permit or License, FCC File No. </w:t>
      </w:r>
      <w:r w:rsidRPr="00CC40CE">
        <w:t>BALH</w:t>
      </w:r>
      <w:r>
        <w:t>-19931112GH (filed Nov. 12, 1993) (Johnston to Pine Bluff Radio, Inc.); Application for Consent to Assignment of Broadcast Station Construction Permit or License, FCC File No. BAL-19970103EA (filed Jan. 3, 1997) (Pine Bluff Radio, Inc. to SEARK).</w:t>
      </w:r>
    </w:p>
  </w:footnote>
  <w:footnote w:id="14">
    <w:p w:rsidR="00C6077A" w14:paraId="3C01306F" w14:textId="134525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95575">
        <w:rPr>
          <w:i/>
          <w:iCs/>
        </w:rPr>
        <w:t>See</w:t>
      </w:r>
      <w:r>
        <w:t xml:space="preserve"> ASR 1042873.</w:t>
      </w:r>
    </w:p>
  </w:footnote>
  <w:footnote w:id="15">
    <w:p w:rsidR="00C6077A" w14:paraId="3E6C71A6" w14:textId="05E684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95575">
        <w:rPr>
          <w:i/>
          <w:iCs/>
        </w:rPr>
        <w:t>Id</w:t>
      </w:r>
      <w:r>
        <w:t xml:space="preserve">.  Because of the Structure’s age, its marking and lighting requirements are specified through “FCC Paragraphs” rather than to chapters of an FAA Advisory Circular, which would be the case for a more modern antenna structure.  The FCC Paragraphs applicable to the Structure are 3, 4, 5, and 9.  The text of the FCC Paragraphs is available at </w:t>
      </w:r>
      <w:hyperlink r:id="rId2" w:history="1">
        <w:r w:rsidRPr="00445601">
          <w:rPr>
            <w:rStyle w:val="Hyperlink"/>
          </w:rPr>
          <w:t>https://www.fcc.gov/wireless/bureau-divisions/competition-infrastructure-policy-division/antenna-painting-lighting</w:t>
        </w:r>
      </w:hyperlink>
      <w:r>
        <w:t xml:space="preserve">. </w:t>
      </w:r>
    </w:p>
  </w:footnote>
  <w:footnote w:id="16">
    <w:p w:rsidR="00C6077A" w:rsidRPr="00AD73F1" w14:paraId="524080EC" w14:textId="5120FA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See</w:t>
      </w:r>
      <w:r>
        <w:t xml:space="preserve"> Application for Consent to Assignment of Broadcast Station Construction Permit or License, FCC File No. BAL-20020403AAN (filed April 3, 2002).  According to the Media Bureau’s licensing database, this transaction was approved by the Commission on May 21, 2002</w:t>
      </w:r>
      <w:r w:rsidR="00C26F8D">
        <w:t>,</w:t>
      </w:r>
      <w:r>
        <w:t xml:space="preserve"> and consummated on April 29, 2003. </w:t>
      </w:r>
    </w:p>
  </w:footnote>
  <w:footnote w:id="17">
    <w:p w:rsidR="00C6077A" w14:paraId="0B3F6542" w14:textId="06CE09C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</w:t>
      </w:r>
      <w:r>
        <w:t>Letter from Jerry Russell to Peter H. Doyle, Chief, Audio Division, FCC Media Bureau (Feb. 18, 2011) (on file in EB-FIELDSCR-16-00022453); 47 U.S.C. § 312(g).</w:t>
      </w:r>
    </w:p>
  </w:footnote>
  <w:footnote w:id="18">
    <w:p w:rsidR="00C6077A" w14:paraId="6A24AB1E" w14:textId="7ABC0C73">
      <w:pPr>
        <w:pStyle w:val="FootnoteText"/>
      </w:pPr>
      <w:r>
        <w:rPr>
          <w:rStyle w:val="FootnoteReference"/>
        </w:rPr>
        <w:footnoteRef/>
      </w:r>
      <w:r>
        <w:t xml:space="preserve"> Arkansas revoked SEARK’s corporate charter on June 1, 2004.  Texas administratively dissolved MRS on December 5, 2008.</w:t>
      </w:r>
    </w:p>
  </w:footnote>
  <w:footnote w:id="19">
    <w:p w:rsidR="00C6077A" w14:paraId="1343F18E" w14:textId="6AA03E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A3AF0">
        <w:rPr>
          <w:i/>
          <w:iCs/>
        </w:rPr>
        <w:t xml:space="preserve">See </w:t>
      </w:r>
      <w:r w:rsidR="009A3AF0">
        <w:t>Extract of Land Records</w:t>
      </w:r>
      <w:r w:rsidR="005F2E46">
        <w:t xml:space="preserve"> of Jefferson County, Arkansas (on file in EB-FIELDSCR-16-00022453); </w:t>
      </w:r>
      <w:r>
        <w:t>Letter of Inquiry from Charles Cooper, Field Director, FCC Enforcement Bureau, to Lora Lynn Gaither (Apr. 17, 2017) (on file in EB-FIELDSCR-16-000</w:t>
      </w:r>
      <w:r>
        <w:rPr>
          <w:spacing w:val="-2"/>
        </w:rPr>
        <w:t>22453).</w:t>
      </w:r>
    </w:p>
  </w:footnote>
  <w:footnote w:id="20">
    <w:p w:rsidR="00C6077A" w14:paraId="1A0E75ED" w14:textId="0242C310">
      <w:pPr>
        <w:pStyle w:val="FootnoteText"/>
      </w:pPr>
      <w:r>
        <w:rPr>
          <w:rStyle w:val="FootnoteReference"/>
        </w:rPr>
        <w:footnoteRef/>
      </w:r>
      <w:r>
        <w:t xml:space="preserve"> Response to Letter of Inquiry, from Lora Lynn Gaither to Charles Cooper, Field Director, FCC Enforcement Bureau, at 1 – 2 (May 8, 2017) (on file in EB-FIELDSCR-16-00022453).</w:t>
      </w:r>
    </w:p>
  </w:footnote>
  <w:footnote w:id="21">
    <w:p w:rsidR="00C6077A" w14:paraId="3212932D" w14:textId="37E48597">
      <w:pPr>
        <w:pStyle w:val="FootnoteText"/>
      </w:pPr>
      <w:r>
        <w:rPr>
          <w:rStyle w:val="FootnoteReference"/>
        </w:rPr>
        <w:footnoteRef/>
      </w:r>
      <w:r>
        <w:t xml:space="preserve"> Letter of Inquiry from Axel Rodriguez, Field Director, FCC Enforcement Bureau, to Lora Lynn Gaither, Edward Wilkerson, and Allan Wilkerson (Jul. 16, 2021) (on file in EB-FIELDSCR-16-00022453) (2021 LOI).</w:t>
      </w:r>
      <w:r w:rsidR="004F6BD0">
        <w:t xml:space="preserve">  Separate copies of the 2021 LOI were sent to each of Ms. Gaither and Messrs</w:t>
      </w:r>
      <w:r w:rsidR="007446E6">
        <w:t>.</w:t>
      </w:r>
      <w:r w:rsidR="004F6BD0">
        <w:t xml:space="preserve"> Wilkerson at the </w:t>
      </w:r>
      <w:r w:rsidR="004D5934">
        <w:t>mailing address for the land on which the Structure sits.</w:t>
      </w:r>
      <w:r>
        <w:t xml:space="preserve"> </w:t>
      </w:r>
    </w:p>
  </w:footnote>
  <w:footnote w:id="22">
    <w:p w:rsidR="00C6077A" w14:paraId="0EBA3BED" w14:textId="5B1C8B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95575">
        <w:rPr>
          <w:i/>
          <w:iCs/>
        </w:rPr>
        <w:t>See</w:t>
      </w:r>
      <w:r>
        <w:t xml:space="preserve"> ASR 1042873.</w:t>
      </w:r>
    </w:p>
  </w:footnote>
  <w:footnote w:id="23">
    <w:p w:rsidR="00C6077A" w14:paraId="0263BA18" w14:textId="09579173">
      <w:pPr>
        <w:pStyle w:val="FootnoteText"/>
      </w:pPr>
      <w:r>
        <w:rPr>
          <w:rStyle w:val="FootnoteReference"/>
        </w:rPr>
        <w:footnoteRef/>
      </w:r>
      <w:r>
        <w:t xml:space="preserve"> Letter from Steve Phillips, Acting Manager, Obstruction Evaluation Group, to Lora Lynn Gaither, May 21, 2021 (on file in EB-FIELDSCR-16-00022453) (FAA Determination).</w:t>
      </w:r>
    </w:p>
  </w:footnote>
  <w:footnote w:id="24">
    <w:p w:rsidR="00C6077A" w:rsidRPr="000529E2" w14:paraId="6C0B48AD" w14:textId="701810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</w:p>
  </w:footnote>
  <w:footnote w:id="25">
    <w:p w:rsidR="00C6077A" w:rsidRPr="00181C01" w14:paraId="5A66B52F" w14:textId="3B1BEC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</w:p>
  </w:footnote>
  <w:footnote w:id="26">
    <w:p w:rsidR="00C6077A" w:rsidRPr="00377FAB" w14:paraId="2F3EB22B" w14:textId="05D376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</w:p>
  </w:footnote>
  <w:footnote w:id="27">
    <w:p w:rsidR="00C6077A" w:rsidRPr="008B5545" w14:paraId="2C007DE9" w14:textId="798AB0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See supra</w:t>
      </w:r>
      <w:r>
        <w:t xml:space="preserve"> para. 4.</w:t>
      </w:r>
    </w:p>
  </w:footnote>
  <w:footnote w:id="28">
    <w:p w:rsidR="00C6077A" w:rsidRPr="00D12E03" w14:paraId="7B47FC88" w14:textId="7D78D7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</w:p>
  </w:footnote>
  <w:footnote w:id="29">
    <w:p w:rsidR="00C6077A" w:rsidRPr="008F771F" w14:paraId="20FA43CC" w14:textId="75637D49">
      <w:pPr>
        <w:pStyle w:val="FootnoteText"/>
      </w:pPr>
      <w:r>
        <w:rPr>
          <w:rStyle w:val="FootnoteReference"/>
        </w:rPr>
        <w:footnoteRef/>
      </w:r>
      <w:r w:rsidR="008F771F">
        <w:t xml:space="preserve">  Indeed, in response to the 2017 LOI, Gaither stated that she had never received payments under the Easement.  </w:t>
      </w:r>
      <w:r w:rsidRPr="00675BC1" w:rsidR="008F771F">
        <w:rPr>
          <w:i/>
          <w:iCs/>
        </w:rPr>
        <w:t>See supra</w:t>
      </w:r>
      <w:r w:rsidR="008F771F">
        <w:t xml:space="preserve"> para</w:t>
      </w:r>
      <w:r w:rsidR="00CA4F86">
        <w:t>s</w:t>
      </w:r>
      <w:r w:rsidR="008F771F">
        <w:t>. 4</w:t>
      </w:r>
      <w:r w:rsidR="00CA4F86">
        <w:t xml:space="preserve"> - 5</w:t>
      </w:r>
      <w:r w:rsidR="008F771F">
        <w:rPr>
          <w:i/>
          <w:iCs/>
        </w:rPr>
        <w:t>.</w:t>
      </w:r>
    </w:p>
  </w:footnote>
  <w:footnote w:id="30">
    <w:p w:rsidR="00C6077A" w:rsidRPr="00377FAB" w14:paraId="7A3F38E2" w14:textId="55F72D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</w:t>
      </w:r>
      <w:r>
        <w:t>Easement at 1.</w:t>
      </w:r>
    </w:p>
  </w:footnote>
  <w:footnote w:id="31">
    <w:p w:rsidR="00C6077A" w:rsidRPr="00E26B26" w:rsidP="007109D0" w14:paraId="365CFAE2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</w:t>
      </w:r>
      <w:r w:rsidRPr="00E26B26">
        <w:rPr>
          <w:i/>
          <w:iCs/>
        </w:rPr>
        <w:t>Antenna Structure R&amp;O</w:t>
      </w:r>
      <w:r>
        <w:t xml:space="preserve">, 11 FCC Rcd at 4295, para. 56 (stating that land owners in possession of an antenna structure are treated as the structure’s owner for purposes of the Commission’s part 17 rules).  </w:t>
      </w:r>
    </w:p>
  </w:footnote>
  <w:footnote w:id="32">
    <w:p w:rsidR="00C6077A" w:rsidRPr="00E531BB" w14:paraId="58026733" w14:textId="251BBA07">
      <w:pPr>
        <w:pStyle w:val="FootnoteText"/>
      </w:pPr>
      <w:r>
        <w:rPr>
          <w:rStyle w:val="FootnoteReference"/>
        </w:rPr>
        <w:footnoteRef/>
      </w:r>
      <w:r>
        <w:t xml:space="preserve"> By making persons with interests in the Structure—but not known to the Commission—subject to this </w:t>
      </w:r>
      <w:r>
        <w:rPr>
          <w:i/>
          <w:iCs/>
        </w:rPr>
        <w:t>Order</w:t>
      </w:r>
      <w:r>
        <w:t xml:space="preserve">, our intent is not to relieve the Land Owners of the primary obligation to dismantle the Structure; instead, we include unnamed interest holders in order to provide the Land Owners with </w:t>
      </w:r>
      <w:r w:rsidR="00C36A58">
        <w:t>evidence that could be used in a state court action to quiet title to the Structure or</w:t>
      </w:r>
      <w:r w:rsidR="00E968E8">
        <w:t xml:space="preserve"> as a defense </w:t>
      </w:r>
      <w:r w:rsidR="004A0001">
        <w:t xml:space="preserve">in the event that </w:t>
      </w:r>
      <w:r>
        <w:t xml:space="preserve">an interest holder </w:t>
      </w:r>
      <w:r w:rsidR="00444517">
        <w:t xml:space="preserve">subsequently </w:t>
      </w:r>
      <w:r>
        <w:t>come</w:t>
      </w:r>
      <w:r w:rsidR="00896A02">
        <w:t>s</w:t>
      </w:r>
      <w:r>
        <w:t xml:space="preserve"> forward to challenge the Land Owners’ actions in response to this </w:t>
      </w:r>
      <w:r>
        <w:rPr>
          <w:i/>
          <w:iCs/>
        </w:rPr>
        <w:t>Order</w:t>
      </w:r>
      <w:r>
        <w:t xml:space="preserve">. </w:t>
      </w:r>
    </w:p>
  </w:footnote>
  <w:footnote w:id="33">
    <w:p w:rsidR="00C6077A" w14:paraId="1C63D436" w14:textId="33BC6580">
      <w:pPr>
        <w:pStyle w:val="FootnoteText"/>
      </w:pPr>
      <w:r>
        <w:rPr>
          <w:rStyle w:val="FootnoteReference"/>
        </w:rPr>
        <w:footnoteRef/>
      </w:r>
      <w:r>
        <w:t xml:space="preserve"> Within five days following the dismantlement of the Structure, the </w:t>
      </w:r>
      <w:r w:rsidR="00467657">
        <w:t>Land Owners and any other party holding an ownership interest</w:t>
      </w:r>
      <w:r w:rsidR="00CA66FC">
        <w:t xml:space="preserve"> of record</w:t>
      </w:r>
      <w:r w:rsidR="00467657">
        <w:t xml:space="preserve"> in the Structure</w:t>
      </w:r>
      <w:r>
        <w:t xml:space="preserve"> must file FCC Form 854 with the Commission’s Wireless Telecommunications Bureau.  47 CFR § 17.57.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077A" w:rsidP="00810B6F" w14:paraId="6EF7BD56" w14:textId="4AA18D7F">
    <w:pPr>
      <w:pStyle w:val="Header"/>
      <w:rPr>
        <w:b w:val="0"/>
      </w:rPr>
    </w:pPr>
    <w:r>
      <w:tab/>
      <w:t>Federal Communications Commission</w:t>
    </w:r>
    <w:r>
      <w:tab/>
    </w:r>
    <w:r w:rsidR="004E7735">
      <w:t>FCC  22-11</w:t>
    </w:r>
  </w:p>
  <w:p w:rsidR="00C6077A" w:rsidRPr="004E7735" w:rsidP="004E7735" w14:paraId="529D61AE" w14:textId="32BE228B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v:path arrowok="t"/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67F" w:rsidRPr="004E7735" w:rsidP="00810B6F" w14:paraId="663FFA2C" w14:textId="6F9FE42D">
    <w:pPr>
      <w:pStyle w:val="Header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 w:rsidR="004E7735">
      <w:rPr>
        <w:spacing w:val="-2"/>
      </w:rPr>
      <w:t>FCC  22-11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39"/>
    <w:rsid w:val="000003FD"/>
    <w:rsid w:val="000008BB"/>
    <w:rsid w:val="00000ADD"/>
    <w:rsid w:val="00000EF0"/>
    <w:rsid w:val="0000747F"/>
    <w:rsid w:val="00007C2B"/>
    <w:rsid w:val="00007FA8"/>
    <w:rsid w:val="000103FC"/>
    <w:rsid w:val="0001573A"/>
    <w:rsid w:val="00022C42"/>
    <w:rsid w:val="000328A5"/>
    <w:rsid w:val="00035DCD"/>
    <w:rsid w:val="00036039"/>
    <w:rsid w:val="00037F90"/>
    <w:rsid w:val="00041E94"/>
    <w:rsid w:val="000429BB"/>
    <w:rsid w:val="00043F7E"/>
    <w:rsid w:val="0004749E"/>
    <w:rsid w:val="00052560"/>
    <w:rsid w:val="000529E2"/>
    <w:rsid w:val="0005300C"/>
    <w:rsid w:val="0005535A"/>
    <w:rsid w:val="00056966"/>
    <w:rsid w:val="00064E50"/>
    <w:rsid w:val="000664FA"/>
    <w:rsid w:val="00074298"/>
    <w:rsid w:val="00074694"/>
    <w:rsid w:val="00075D68"/>
    <w:rsid w:val="00086D14"/>
    <w:rsid w:val="000875BF"/>
    <w:rsid w:val="00094C45"/>
    <w:rsid w:val="00095575"/>
    <w:rsid w:val="00096D8C"/>
    <w:rsid w:val="000A3170"/>
    <w:rsid w:val="000A416E"/>
    <w:rsid w:val="000A7F4E"/>
    <w:rsid w:val="000B5DE3"/>
    <w:rsid w:val="000C0B65"/>
    <w:rsid w:val="000C0C1A"/>
    <w:rsid w:val="000C25B5"/>
    <w:rsid w:val="000C3376"/>
    <w:rsid w:val="000C6A87"/>
    <w:rsid w:val="000C7801"/>
    <w:rsid w:val="000D0941"/>
    <w:rsid w:val="000D35CB"/>
    <w:rsid w:val="000D3BB2"/>
    <w:rsid w:val="000D4454"/>
    <w:rsid w:val="000E05FE"/>
    <w:rsid w:val="000E15D9"/>
    <w:rsid w:val="000E1E90"/>
    <w:rsid w:val="000E3D42"/>
    <w:rsid w:val="000F1A70"/>
    <w:rsid w:val="000F3460"/>
    <w:rsid w:val="000F3C3C"/>
    <w:rsid w:val="0010032E"/>
    <w:rsid w:val="001018B6"/>
    <w:rsid w:val="00103ABE"/>
    <w:rsid w:val="00107465"/>
    <w:rsid w:val="0011182A"/>
    <w:rsid w:val="001132F9"/>
    <w:rsid w:val="00114A76"/>
    <w:rsid w:val="00122BD5"/>
    <w:rsid w:val="00124AC6"/>
    <w:rsid w:val="00127DD7"/>
    <w:rsid w:val="00130722"/>
    <w:rsid w:val="00130FCC"/>
    <w:rsid w:val="00133073"/>
    <w:rsid w:val="00133951"/>
    <w:rsid w:val="00133F79"/>
    <w:rsid w:val="001357FD"/>
    <w:rsid w:val="0014034F"/>
    <w:rsid w:val="001405A7"/>
    <w:rsid w:val="00141182"/>
    <w:rsid w:val="00143BFD"/>
    <w:rsid w:val="00147A05"/>
    <w:rsid w:val="001509F9"/>
    <w:rsid w:val="001514D4"/>
    <w:rsid w:val="001522EE"/>
    <w:rsid w:val="001541D0"/>
    <w:rsid w:val="00154839"/>
    <w:rsid w:val="001550F1"/>
    <w:rsid w:val="00156C60"/>
    <w:rsid w:val="00160A03"/>
    <w:rsid w:val="001709F9"/>
    <w:rsid w:val="00173DCF"/>
    <w:rsid w:val="001748E0"/>
    <w:rsid w:val="0017546E"/>
    <w:rsid w:val="0017549C"/>
    <w:rsid w:val="00175555"/>
    <w:rsid w:val="00181551"/>
    <w:rsid w:val="00181C01"/>
    <w:rsid w:val="00190E91"/>
    <w:rsid w:val="00191059"/>
    <w:rsid w:val="001946E8"/>
    <w:rsid w:val="00194A66"/>
    <w:rsid w:val="001A2DA6"/>
    <w:rsid w:val="001A4F93"/>
    <w:rsid w:val="001A634E"/>
    <w:rsid w:val="001B2144"/>
    <w:rsid w:val="001B5016"/>
    <w:rsid w:val="001C2F79"/>
    <w:rsid w:val="001C6E2A"/>
    <w:rsid w:val="001C6EEA"/>
    <w:rsid w:val="001C77EB"/>
    <w:rsid w:val="001D1229"/>
    <w:rsid w:val="001D21E3"/>
    <w:rsid w:val="001D4A00"/>
    <w:rsid w:val="001D4F24"/>
    <w:rsid w:val="001D6BCF"/>
    <w:rsid w:val="001D7479"/>
    <w:rsid w:val="001E01CA"/>
    <w:rsid w:val="001E05FC"/>
    <w:rsid w:val="001E118E"/>
    <w:rsid w:val="001E1429"/>
    <w:rsid w:val="001E1F48"/>
    <w:rsid w:val="001E2DFB"/>
    <w:rsid w:val="001E34C8"/>
    <w:rsid w:val="001E4212"/>
    <w:rsid w:val="001E4A28"/>
    <w:rsid w:val="001F1635"/>
    <w:rsid w:val="001F476E"/>
    <w:rsid w:val="001F4887"/>
    <w:rsid w:val="001F5E81"/>
    <w:rsid w:val="001F7E05"/>
    <w:rsid w:val="00204A14"/>
    <w:rsid w:val="00204A6D"/>
    <w:rsid w:val="00205963"/>
    <w:rsid w:val="00207A54"/>
    <w:rsid w:val="0021173F"/>
    <w:rsid w:val="00215546"/>
    <w:rsid w:val="00215DB6"/>
    <w:rsid w:val="00216261"/>
    <w:rsid w:val="00217E2D"/>
    <w:rsid w:val="00220285"/>
    <w:rsid w:val="002217AC"/>
    <w:rsid w:val="00225E12"/>
    <w:rsid w:val="002264EE"/>
    <w:rsid w:val="00233091"/>
    <w:rsid w:val="0024050E"/>
    <w:rsid w:val="00247762"/>
    <w:rsid w:val="002514B6"/>
    <w:rsid w:val="00252961"/>
    <w:rsid w:val="0025297A"/>
    <w:rsid w:val="00262EE8"/>
    <w:rsid w:val="002650F0"/>
    <w:rsid w:val="0026521A"/>
    <w:rsid w:val="00265798"/>
    <w:rsid w:val="002720ED"/>
    <w:rsid w:val="00272E39"/>
    <w:rsid w:val="00273FC4"/>
    <w:rsid w:val="0027424E"/>
    <w:rsid w:val="00275527"/>
    <w:rsid w:val="00275CF5"/>
    <w:rsid w:val="00276063"/>
    <w:rsid w:val="00281BC6"/>
    <w:rsid w:val="00282E61"/>
    <w:rsid w:val="0028301F"/>
    <w:rsid w:val="00285017"/>
    <w:rsid w:val="0029168E"/>
    <w:rsid w:val="0029561B"/>
    <w:rsid w:val="00295735"/>
    <w:rsid w:val="002A1F17"/>
    <w:rsid w:val="002A21C6"/>
    <w:rsid w:val="002A2D2E"/>
    <w:rsid w:val="002A3BA0"/>
    <w:rsid w:val="002B1417"/>
    <w:rsid w:val="002B3CD2"/>
    <w:rsid w:val="002B4F78"/>
    <w:rsid w:val="002B59F7"/>
    <w:rsid w:val="002B7E1D"/>
    <w:rsid w:val="002C00E8"/>
    <w:rsid w:val="002C705E"/>
    <w:rsid w:val="002C7D97"/>
    <w:rsid w:val="002D29FA"/>
    <w:rsid w:val="002D35FA"/>
    <w:rsid w:val="002D4C64"/>
    <w:rsid w:val="002D5795"/>
    <w:rsid w:val="002D5C2F"/>
    <w:rsid w:val="002E25BB"/>
    <w:rsid w:val="002E2D22"/>
    <w:rsid w:val="002E3B17"/>
    <w:rsid w:val="002E5396"/>
    <w:rsid w:val="002F0D82"/>
    <w:rsid w:val="002F4620"/>
    <w:rsid w:val="003059AC"/>
    <w:rsid w:val="00305F11"/>
    <w:rsid w:val="003061E4"/>
    <w:rsid w:val="00307606"/>
    <w:rsid w:val="003107E6"/>
    <w:rsid w:val="00310A71"/>
    <w:rsid w:val="00315D55"/>
    <w:rsid w:val="003164AF"/>
    <w:rsid w:val="0031703F"/>
    <w:rsid w:val="00317421"/>
    <w:rsid w:val="0033123A"/>
    <w:rsid w:val="003327FE"/>
    <w:rsid w:val="00332B85"/>
    <w:rsid w:val="00335DDB"/>
    <w:rsid w:val="00341A54"/>
    <w:rsid w:val="00342DB6"/>
    <w:rsid w:val="00343749"/>
    <w:rsid w:val="003449CE"/>
    <w:rsid w:val="00351320"/>
    <w:rsid w:val="00352EB0"/>
    <w:rsid w:val="00354A0C"/>
    <w:rsid w:val="00360A9E"/>
    <w:rsid w:val="003615AA"/>
    <w:rsid w:val="003644A4"/>
    <w:rsid w:val="003660ED"/>
    <w:rsid w:val="0037058B"/>
    <w:rsid w:val="00371D93"/>
    <w:rsid w:val="00377177"/>
    <w:rsid w:val="00377FAB"/>
    <w:rsid w:val="0038092E"/>
    <w:rsid w:val="003812E4"/>
    <w:rsid w:val="00383193"/>
    <w:rsid w:val="00385344"/>
    <w:rsid w:val="00387FF5"/>
    <w:rsid w:val="003926AA"/>
    <w:rsid w:val="00394467"/>
    <w:rsid w:val="003A0D00"/>
    <w:rsid w:val="003A0EA1"/>
    <w:rsid w:val="003A1132"/>
    <w:rsid w:val="003A4640"/>
    <w:rsid w:val="003B0550"/>
    <w:rsid w:val="003B1146"/>
    <w:rsid w:val="003B694F"/>
    <w:rsid w:val="003B7184"/>
    <w:rsid w:val="003C462B"/>
    <w:rsid w:val="003C47FF"/>
    <w:rsid w:val="003C4D97"/>
    <w:rsid w:val="003C5F89"/>
    <w:rsid w:val="003D123C"/>
    <w:rsid w:val="003D2FA6"/>
    <w:rsid w:val="003D4FB9"/>
    <w:rsid w:val="003E3F43"/>
    <w:rsid w:val="003F171C"/>
    <w:rsid w:val="003F1D8A"/>
    <w:rsid w:val="003F3429"/>
    <w:rsid w:val="003F7B16"/>
    <w:rsid w:val="00400A5C"/>
    <w:rsid w:val="00402935"/>
    <w:rsid w:val="00402E85"/>
    <w:rsid w:val="004050CD"/>
    <w:rsid w:val="00405624"/>
    <w:rsid w:val="00412FC5"/>
    <w:rsid w:val="004147F0"/>
    <w:rsid w:val="00421BEB"/>
    <w:rsid w:val="00422276"/>
    <w:rsid w:val="004242F1"/>
    <w:rsid w:val="00424E25"/>
    <w:rsid w:val="00424F22"/>
    <w:rsid w:val="0042642A"/>
    <w:rsid w:val="00426E86"/>
    <w:rsid w:val="00427F7E"/>
    <w:rsid w:val="00430EAC"/>
    <w:rsid w:val="00433224"/>
    <w:rsid w:val="00444517"/>
    <w:rsid w:val="00445601"/>
    <w:rsid w:val="00445A00"/>
    <w:rsid w:val="0044690C"/>
    <w:rsid w:val="00447F8B"/>
    <w:rsid w:val="00451B0F"/>
    <w:rsid w:val="0046350E"/>
    <w:rsid w:val="00465011"/>
    <w:rsid w:val="00467657"/>
    <w:rsid w:val="00467A66"/>
    <w:rsid w:val="00471455"/>
    <w:rsid w:val="00471E29"/>
    <w:rsid w:val="00473AC9"/>
    <w:rsid w:val="00480FC3"/>
    <w:rsid w:val="00485740"/>
    <w:rsid w:val="0048652A"/>
    <w:rsid w:val="00487B3E"/>
    <w:rsid w:val="00496485"/>
    <w:rsid w:val="004968F7"/>
    <w:rsid w:val="004A0001"/>
    <w:rsid w:val="004A0636"/>
    <w:rsid w:val="004A092F"/>
    <w:rsid w:val="004A3D6D"/>
    <w:rsid w:val="004B07FB"/>
    <w:rsid w:val="004B23DD"/>
    <w:rsid w:val="004C2EE3"/>
    <w:rsid w:val="004C52F0"/>
    <w:rsid w:val="004C5704"/>
    <w:rsid w:val="004C7957"/>
    <w:rsid w:val="004D5934"/>
    <w:rsid w:val="004D633A"/>
    <w:rsid w:val="004D6979"/>
    <w:rsid w:val="004E367A"/>
    <w:rsid w:val="004E4A22"/>
    <w:rsid w:val="004E51AF"/>
    <w:rsid w:val="004E7735"/>
    <w:rsid w:val="004F3658"/>
    <w:rsid w:val="004F69E5"/>
    <w:rsid w:val="004F6BD0"/>
    <w:rsid w:val="00500AEE"/>
    <w:rsid w:val="005037AF"/>
    <w:rsid w:val="005042E8"/>
    <w:rsid w:val="00504C33"/>
    <w:rsid w:val="005074FF"/>
    <w:rsid w:val="00507C74"/>
    <w:rsid w:val="00507D87"/>
    <w:rsid w:val="00511968"/>
    <w:rsid w:val="005133C6"/>
    <w:rsid w:val="00525ECA"/>
    <w:rsid w:val="0053160C"/>
    <w:rsid w:val="00533624"/>
    <w:rsid w:val="00533C57"/>
    <w:rsid w:val="00535CF1"/>
    <w:rsid w:val="005375F3"/>
    <w:rsid w:val="00542168"/>
    <w:rsid w:val="00543C8D"/>
    <w:rsid w:val="0054461D"/>
    <w:rsid w:val="00545193"/>
    <w:rsid w:val="00547407"/>
    <w:rsid w:val="00552DB5"/>
    <w:rsid w:val="00553601"/>
    <w:rsid w:val="00555EA2"/>
    <w:rsid w:val="0055614C"/>
    <w:rsid w:val="00562422"/>
    <w:rsid w:val="0056371D"/>
    <w:rsid w:val="00565C79"/>
    <w:rsid w:val="00566D06"/>
    <w:rsid w:val="00573C0E"/>
    <w:rsid w:val="00574946"/>
    <w:rsid w:val="00575995"/>
    <w:rsid w:val="005775D2"/>
    <w:rsid w:val="00577DB0"/>
    <w:rsid w:val="00581683"/>
    <w:rsid w:val="005824AF"/>
    <w:rsid w:val="00582B43"/>
    <w:rsid w:val="00586312"/>
    <w:rsid w:val="00587F5F"/>
    <w:rsid w:val="00596234"/>
    <w:rsid w:val="005973FC"/>
    <w:rsid w:val="005A70F7"/>
    <w:rsid w:val="005B0EB0"/>
    <w:rsid w:val="005B1651"/>
    <w:rsid w:val="005B23D9"/>
    <w:rsid w:val="005B3081"/>
    <w:rsid w:val="005B347F"/>
    <w:rsid w:val="005B473F"/>
    <w:rsid w:val="005B59FC"/>
    <w:rsid w:val="005B5D13"/>
    <w:rsid w:val="005B6AA3"/>
    <w:rsid w:val="005C1916"/>
    <w:rsid w:val="005C2FED"/>
    <w:rsid w:val="005C38A7"/>
    <w:rsid w:val="005C438E"/>
    <w:rsid w:val="005C629E"/>
    <w:rsid w:val="005D198F"/>
    <w:rsid w:val="005D2A57"/>
    <w:rsid w:val="005D405B"/>
    <w:rsid w:val="005D413D"/>
    <w:rsid w:val="005D45D8"/>
    <w:rsid w:val="005D4C02"/>
    <w:rsid w:val="005D584C"/>
    <w:rsid w:val="005D74F4"/>
    <w:rsid w:val="005E060D"/>
    <w:rsid w:val="005E14C2"/>
    <w:rsid w:val="005E2D1E"/>
    <w:rsid w:val="005F0065"/>
    <w:rsid w:val="005F2599"/>
    <w:rsid w:val="005F2E46"/>
    <w:rsid w:val="005F6165"/>
    <w:rsid w:val="005F6443"/>
    <w:rsid w:val="005F6914"/>
    <w:rsid w:val="0060157E"/>
    <w:rsid w:val="00602AE2"/>
    <w:rsid w:val="006054FE"/>
    <w:rsid w:val="00607BA5"/>
    <w:rsid w:val="00611328"/>
    <w:rsid w:val="006117D6"/>
    <w:rsid w:val="0061180A"/>
    <w:rsid w:val="00614C39"/>
    <w:rsid w:val="00616011"/>
    <w:rsid w:val="006160A1"/>
    <w:rsid w:val="006170DC"/>
    <w:rsid w:val="006226DE"/>
    <w:rsid w:val="00623030"/>
    <w:rsid w:val="0062532A"/>
    <w:rsid w:val="00626EB6"/>
    <w:rsid w:val="00627669"/>
    <w:rsid w:val="00627B7E"/>
    <w:rsid w:val="00627C1E"/>
    <w:rsid w:val="0063348C"/>
    <w:rsid w:val="006345C1"/>
    <w:rsid w:val="00635A03"/>
    <w:rsid w:val="00636003"/>
    <w:rsid w:val="006375C8"/>
    <w:rsid w:val="00641CE3"/>
    <w:rsid w:val="00645B81"/>
    <w:rsid w:val="00646AC7"/>
    <w:rsid w:val="006520A7"/>
    <w:rsid w:val="00653642"/>
    <w:rsid w:val="00655D03"/>
    <w:rsid w:val="0065751E"/>
    <w:rsid w:val="006620FA"/>
    <w:rsid w:val="00666FAB"/>
    <w:rsid w:val="00670F2B"/>
    <w:rsid w:val="00671768"/>
    <w:rsid w:val="006732EA"/>
    <w:rsid w:val="0067547D"/>
    <w:rsid w:val="00675BC1"/>
    <w:rsid w:val="006778DA"/>
    <w:rsid w:val="00680582"/>
    <w:rsid w:val="00680933"/>
    <w:rsid w:val="00683388"/>
    <w:rsid w:val="00683F84"/>
    <w:rsid w:val="0068577D"/>
    <w:rsid w:val="00686D6C"/>
    <w:rsid w:val="00690AE5"/>
    <w:rsid w:val="0069238E"/>
    <w:rsid w:val="006932EE"/>
    <w:rsid w:val="00693F22"/>
    <w:rsid w:val="006A2DF3"/>
    <w:rsid w:val="006A6A81"/>
    <w:rsid w:val="006B07FA"/>
    <w:rsid w:val="006B3697"/>
    <w:rsid w:val="006B7D38"/>
    <w:rsid w:val="006C0476"/>
    <w:rsid w:val="006C250F"/>
    <w:rsid w:val="006C3316"/>
    <w:rsid w:val="006D0706"/>
    <w:rsid w:val="006D3672"/>
    <w:rsid w:val="006F5197"/>
    <w:rsid w:val="006F5E31"/>
    <w:rsid w:val="006F7393"/>
    <w:rsid w:val="007012D5"/>
    <w:rsid w:val="0070141B"/>
    <w:rsid w:val="0070224F"/>
    <w:rsid w:val="00704667"/>
    <w:rsid w:val="00705F56"/>
    <w:rsid w:val="00706E9F"/>
    <w:rsid w:val="007109D0"/>
    <w:rsid w:val="007115F7"/>
    <w:rsid w:val="00712BC4"/>
    <w:rsid w:val="0071616B"/>
    <w:rsid w:val="00716C14"/>
    <w:rsid w:val="0072429A"/>
    <w:rsid w:val="00724606"/>
    <w:rsid w:val="007262E3"/>
    <w:rsid w:val="00726CDA"/>
    <w:rsid w:val="007318D8"/>
    <w:rsid w:val="0073251A"/>
    <w:rsid w:val="00732D70"/>
    <w:rsid w:val="0073770A"/>
    <w:rsid w:val="00737D9C"/>
    <w:rsid w:val="0074007F"/>
    <w:rsid w:val="00740776"/>
    <w:rsid w:val="00740A29"/>
    <w:rsid w:val="00744241"/>
    <w:rsid w:val="007446E6"/>
    <w:rsid w:val="00745992"/>
    <w:rsid w:val="00746B7C"/>
    <w:rsid w:val="0074754A"/>
    <w:rsid w:val="00751C81"/>
    <w:rsid w:val="00752759"/>
    <w:rsid w:val="007544F4"/>
    <w:rsid w:val="007573C6"/>
    <w:rsid w:val="0076148B"/>
    <w:rsid w:val="00762410"/>
    <w:rsid w:val="007666B6"/>
    <w:rsid w:val="00766FDE"/>
    <w:rsid w:val="00767CBA"/>
    <w:rsid w:val="007712BB"/>
    <w:rsid w:val="007713A1"/>
    <w:rsid w:val="00772172"/>
    <w:rsid w:val="00773C0B"/>
    <w:rsid w:val="00776F2F"/>
    <w:rsid w:val="0077725F"/>
    <w:rsid w:val="007778F9"/>
    <w:rsid w:val="00780ACB"/>
    <w:rsid w:val="00780FDA"/>
    <w:rsid w:val="00785689"/>
    <w:rsid w:val="0078763A"/>
    <w:rsid w:val="00791B6B"/>
    <w:rsid w:val="00795862"/>
    <w:rsid w:val="00795DA6"/>
    <w:rsid w:val="0079754B"/>
    <w:rsid w:val="0079799E"/>
    <w:rsid w:val="007A0A67"/>
    <w:rsid w:val="007A1E6D"/>
    <w:rsid w:val="007A3295"/>
    <w:rsid w:val="007A565D"/>
    <w:rsid w:val="007A5DAD"/>
    <w:rsid w:val="007A6D17"/>
    <w:rsid w:val="007A6D63"/>
    <w:rsid w:val="007B0EB2"/>
    <w:rsid w:val="007B14B5"/>
    <w:rsid w:val="007B2378"/>
    <w:rsid w:val="007B24B8"/>
    <w:rsid w:val="007B39E7"/>
    <w:rsid w:val="007B3EA9"/>
    <w:rsid w:val="007B684E"/>
    <w:rsid w:val="007B6983"/>
    <w:rsid w:val="007B7243"/>
    <w:rsid w:val="007B78B2"/>
    <w:rsid w:val="007C3CD9"/>
    <w:rsid w:val="007D0366"/>
    <w:rsid w:val="007D31E3"/>
    <w:rsid w:val="007D43F4"/>
    <w:rsid w:val="007D6BD7"/>
    <w:rsid w:val="007D704F"/>
    <w:rsid w:val="007E0376"/>
    <w:rsid w:val="007E2BD0"/>
    <w:rsid w:val="007E4783"/>
    <w:rsid w:val="007F0CA6"/>
    <w:rsid w:val="007F0D8E"/>
    <w:rsid w:val="007F3854"/>
    <w:rsid w:val="007F3E58"/>
    <w:rsid w:val="007F7549"/>
    <w:rsid w:val="0080185A"/>
    <w:rsid w:val="008029DE"/>
    <w:rsid w:val="0080654E"/>
    <w:rsid w:val="008109A9"/>
    <w:rsid w:val="00810B6F"/>
    <w:rsid w:val="00811FA6"/>
    <w:rsid w:val="0081291F"/>
    <w:rsid w:val="00815A10"/>
    <w:rsid w:val="00822CE0"/>
    <w:rsid w:val="00823D10"/>
    <w:rsid w:val="00826A99"/>
    <w:rsid w:val="008313D6"/>
    <w:rsid w:val="008319B7"/>
    <w:rsid w:val="00834900"/>
    <w:rsid w:val="008354BC"/>
    <w:rsid w:val="008410BD"/>
    <w:rsid w:val="00841AB1"/>
    <w:rsid w:val="00844E56"/>
    <w:rsid w:val="0084523F"/>
    <w:rsid w:val="00850B06"/>
    <w:rsid w:val="00855941"/>
    <w:rsid w:val="0086183D"/>
    <w:rsid w:val="00864779"/>
    <w:rsid w:val="00865B89"/>
    <w:rsid w:val="0086719F"/>
    <w:rsid w:val="00870D06"/>
    <w:rsid w:val="0087211B"/>
    <w:rsid w:val="00874AD1"/>
    <w:rsid w:val="00876845"/>
    <w:rsid w:val="00877E54"/>
    <w:rsid w:val="0088220E"/>
    <w:rsid w:val="0088360A"/>
    <w:rsid w:val="0088415C"/>
    <w:rsid w:val="00886D29"/>
    <w:rsid w:val="00894D97"/>
    <w:rsid w:val="00896A02"/>
    <w:rsid w:val="008A0B45"/>
    <w:rsid w:val="008A40C2"/>
    <w:rsid w:val="008A5779"/>
    <w:rsid w:val="008A5EB9"/>
    <w:rsid w:val="008A5FBA"/>
    <w:rsid w:val="008A646A"/>
    <w:rsid w:val="008A6552"/>
    <w:rsid w:val="008A665C"/>
    <w:rsid w:val="008A6801"/>
    <w:rsid w:val="008A73B7"/>
    <w:rsid w:val="008B0202"/>
    <w:rsid w:val="008B0DE2"/>
    <w:rsid w:val="008B5545"/>
    <w:rsid w:val="008B5E02"/>
    <w:rsid w:val="008C0403"/>
    <w:rsid w:val="008C1AAB"/>
    <w:rsid w:val="008C3FA3"/>
    <w:rsid w:val="008C5B6C"/>
    <w:rsid w:val="008C68F1"/>
    <w:rsid w:val="008C7ECA"/>
    <w:rsid w:val="008D0523"/>
    <w:rsid w:val="008D4B55"/>
    <w:rsid w:val="008D6357"/>
    <w:rsid w:val="008F10D8"/>
    <w:rsid w:val="008F1B79"/>
    <w:rsid w:val="008F2574"/>
    <w:rsid w:val="008F771F"/>
    <w:rsid w:val="009002F6"/>
    <w:rsid w:val="00900BA2"/>
    <w:rsid w:val="00901AFA"/>
    <w:rsid w:val="009023ED"/>
    <w:rsid w:val="009024C7"/>
    <w:rsid w:val="009037E2"/>
    <w:rsid w:val="009060A4"/>
    <w:rsid w:val="00916463"/>
    <w:rsid w:val="00921803"/>
    <w:rsid w:val="009242D3"/>
    <w:rsid w:val="00924387"/>
    <w:rsid w:val="00926503"/>
    <w:rsid w:val="00926BCF"/>
    <w:rsid w:val="00930C8B"/>
    <w:rsid w:val="00933098"/>
    <w:rsid w:val="0093396E"/>
    <w:rsid w:val="00942F45"/>
    <w:rsid w:val="009456BE"/>
    <w:rsid w:val="00946BAB"/>
    <w:rsid w:val="009478BD"/>
    <w:rsid w:val="00951F66"/>
    <w:rsid w:val="00954EA4"/>
    <w:rsid w:val="0096442B"/>
    <w:rsid w:val="00971ECA"/>
    <w:rsid w:val="009726D8"/>
    <w:rsid w:val="00975CFA"/>
    <w:rsid w:val="00977278"/>
    <w:rsid w:val="00977DB0"/>
    <w:rsid w:val="00980765"/>
    <w:rsid w:val="009831C9"/>
    <w:rsid w:val="00983861"/>
    <w:rsid w:val="0099049A"/>
    <w:rsid w:val="00994621"/>
    <w:rsid w:val="009A079E"/>
    <w:rsid w:val="009A3929"/>
    <w:rsid w:val="009A3AF0"/>
    <w:rsid w:val="009A7507"/>
    <w:rsid w:val="009B4359"/>
    <w:rsid w:val="009B50B4"/>
    <w:rsid w:val="009B6C33"/>
    <w:rsid w:val="009C04DA"/>
    <w:rsid w:val="009C3190"/>
    <w:rsid w:val="009C325E"/>
    <w:rsid w:val="009C3863"/>
    <w:rsid w:val="009C4B93"/>
    <w:rsid w:val="009C5258"/>
    <w:rsid w:val="009C5A3E"/>
    <w:rsid w:val="009C5E94"/>
    <w:rsid w:val="009C687E"/>
    <w:rsid w:val="009C71FE"/>
    <w:rsid w:val="009C752F"/>
    <w:rsid w:val="009D1AA3"/>
    <w:rsid w:val="009D1B8A"/>
    <w:rsid w:val="009D4591"/>
    <w:rsid w:val="009D6C6B"/>
    <w:rsid w:val="009D7308"/>
    <w:rsid w:val="009E0A01"/>
    <w:rsid w:val="009E1D98"/>
    <w:rsid w:val="009E2428"/>
    <w:rsid w:val="009E2FD5"/>
    <w:rsid w:val="009E50E9"/>
    <w:rsid w:val="009F11FE"/>
    <w:rsid w:val="009F76DB"/>
    <w:rsid w:val="00A0216E"/>
    <w:rsid w:val="00A02F45"/>
    <w:rsid w:val="00A04CEE"/>
    <w:rsid w:val="00A05670"/>
    <w:rsid w:val="00A06637"/>
    <w:rsid w:val="00A114F6"/>
    <w:rsid w:val="00A141B8"/>
    <w:rsid w:val="00A155E9"/>
    <w:rsid w:val="00A162CC"/>
    <w:rsid w:val="00A2653C"/>
    <w:rsid w:val="00A27040"/>
    <w:rsid w:val="00A2762F"/>
    <w:rsid w:val="00A30B78"/>
    <w:rsid w:val="00A312F3"/>
    <w:rsid w:val="00A32C3B"/>
    <w:rsid w:val="00A33A84"/>
    <w:rsid w:val="00A37BE2"/>
    <w:rsid w:val="00A40E01"/>
    <w:rsid w:val="00A41A95"/>
    <w:rsid w:val="00A45F4F"/>
    <w:rsid w:val="00A535C8"/>
    <w:rsid w:val="00A5503C"/>
    <w:rsid w:val="00A5697A"/>
    <w:rsid w:val="00A56DE5"/>
    <w:rsid w:val="00A600A9"/>
    <w:rsid w:val="00A60CED"/>
    <w:rsid w:val="00A612AD"/>
    <w:rsid w:val="00A6137D"/>
    <w:rsid w:val="00A71520"/>
    <w:rsid w:val="00A75E29"/>
    <w:rsid w:val="00A7665A"/>
    <w:rsid w:val="00A81251"/>
    <w:rsid w:val="00A81766"/>
    <w:rsid w:val="00A83401"/>
    <w:rsid w:val="00A8785B"/>
    <w:rsid w:val="00A93068"/>
    <w:rsid w:val="00A93DF6"/>
    <w:rsid w:val="00A94325"/>
    <w:rsid w:val="00AA55B7"/>
    <w:rsid w:val="00AA5B9E"/>
    <w:rsid w:val="00AA66D1"/>
    <w:rsid w:val="00AB162B"/>
    <w:rsid w:val="00AB2407"/>
    <w:rsid w:val="00AB2575"/>
    <w:rsid w:val="00AB53DF"/>
    <w:rsid w:val="00AC05F5"/>
    <w:rsid w:val="00AC5EDC"/>
    <w:rsid w:val="00AD508C"/>
    <w:rsid w:val="00AD5D43"/>
    <w:rsid w:val="00AD5EF0"/>
    <w:rsid w:val="00AD73F1"/>
    <w:rsid w:val="00AE7835"/>
    <w:rsid w:val="00AF7EAA"/>
    <w:rsid w:val="00B00483"/>
    <w:rsid w:val="00B00535"/>
    <w:rsid w:val="00B018A3"/>
    <w:rsid w:val="00B047CB"/>
    <w:rsid w:val="00B05459"/>
    <w:rsid w:val="00B061DA"/>
    <w:rsid w:val="00B07E5C"/>
    <w:rsid w:val="00B103D8"/>
    <w:rsid w:val="00B1306E"/>
    <w:rsid w:val="00B155C7"/>
    <w:rsid w:val="00B17C0A"/>
    <w:rsid w:val="00B22B91"/>
    <w:rsid w:val="00B3090C"/>
    <w:rsid w:val="00B30B7B"/>
    <w:rsid w:val="00B3236C"/>
    <w:rsid w:val="00B34496"/>
    <w:rsid w:val="00B349D3"/>
    <w:rsid w:val="00B34C74"/>
    <w:rsid w:val="00B36494"/>
    <w:rsid w:val="00B37EDF"/>
    <w:rsid w:val="00B40EE9"/>
    <w:rsid w:val="00B42102"/>
    <w:rsid w:val="00B47B20"/>
    <w:rsid w:val="00B47E5E"/>
    <w:rsid w:val="00B5655C"/>
    <w:rsid w:val="00B60AD7"/>
    <w:rsid w:val="00B61891"/>
    <w:rsid w:val="00B62B3E"/>
    <w:rsid w:val="00B62B58"/>
    <w:rsid w:val="00B63B74"/>
    <w:rsid w:val="00B66403"/>
    <w:rsid w:val="00B759F1"/>
    <w:rsid w:val="00B7683E"/>
    <w:rsid w:val="00B811F7"/>
    <w:rsid w:val="00B8210A"/>
    <w:rsid w:val="00B82AA7"/>
    <w:rsid w:val="00B87E73"/>
    <w:rsid w:val="00B90982"/>
    <w:rsid w:val="00B9355D"/>
    <w:rsid w:val="00B9394C"/>
    <w:rsid w:val="00B96514"/>
    <w:rsid w:val="00BA0339"/>
    <w:rsid w:val="00BA06A0"/>
    <w:rsid w:val="00BA1554"/>
    <w:rsid w:val="00BA3C13"/>
    <w:rsid w:val="00BA5DC6"/>
    <w:rsid w:val="00BA6196"/>
    <w:rsid w:val="00BA68A8"/>
    <w:rsid w:val="00BB1C4A"/>
    <w:rsid w:val="00BB2999"/>
    <w:rsid w:val="00BB393A"/>
    <w:rsid w:val="00BB47F6"/>
    <w:rsid w:val="00BB79CE"/>
    <w:rsid w:val="00BC550A"/>
    <w:rsid w:val="00BC6D8C"/>
    <w:rsid w:val="00BC7216"/>
    <w:rsid w:val="00BD01F7"/>
    <w:rsid w:val="00BD1E73"/>
    <w:rsid w:val="00BD68DE"/>
    <w:rsid w:val="00BE06E1"/>
    <w:rsid w:val="00BE6A11"/>
    <w:rsid w:val="00BF7B8F"/>
    <w:rsid w:val="00C018BF"/>
    <w:rsid w:val="00C01953"/>
    <w:rsid w:val="00C04BE3"/>
    <w:rsid w:val="00C05D65"/>
    <w:rsid w:val="00C107D2"/>
    <w:rsid w:val="00C13071"/>
    <w:rsid w:val="00C146D6"/>
    <w:rsid w:val="00C14734"/>
    <w:rsid w:val="00C22147"/>
    <w:rsid w:val="00C2421F"/>
    <w:rsid w:val="00C25567"/>
    <w:rsid w:val="00C257C0"/>
    <w:rsid w:val="00C25D06"/>
    <w:rsid w:val="00C26F8D"/>
    <w:rsid w:val="00C27A52"/>
    <w:rsid w:val="00C305A0"/>
    <w:rsid w:val="00C30635"/>
    <w:rsid w:val="00C318DA"/>
    <w:rsid w:val="00C32711"/>
    <w:rsid w:val="00C34006"/>
    <w:rsid w:val="00C36A58"/>
    <w:rsid w:val="00C36B4C"/>
    <w:rsid w:val="00C4105E"/>
    <w:rsid w:val="00C426B1"/>
    <w:rsid w:val="00C4330A"/>
    <w:rsid w:val="00C43EF0"/>
    <w:rsid w:val="00C444FE"/>
    <w:rsid w:val="00C47B47"/>
    <w:rsid w:val="00C50B55"/>
    <w:rsid w:val="00C54953"/>
    <w:rsid w:val="00C6077A"/>
    <w:rsid w:val="00C63F5D"/>
    <w:rsid w:val="00C64B16"/>
    <w:rsid w:val="00C66160"/>
    <w:rsid w:val="00C679B9"/>
    <w:rsid w:val="00C721AC"/>
    <w:rsid w:val="00C72D25"/>
    <w:rsid w:val="00C73FCC"/>
    <w:rsid w:val="00C84A68"/>
    <w:rsid w:val="00C90D6A"/>
    <w:rsid w:val="00C93740"/>
    <w:rsid w:val="00C9490B"/>
    <w:rsid w:val="00C95466"/>
    <w:rsid w:val="00C95C11"/>
    <w:rsid w:val="00C961EA"/>
    <w:rsid w:val="00C965E2"/>
    <w:rsid w:val="00CA0D53"/>
    <w:rsid w:val="00CA13B6"/>
    <w:rsid w:val="00CA247E"/>
    <w:rsid w:val="00CA3B39"/>
    <w:rsid w:val="00CA4DA0"/>
    <w:rsid w:val="00CA4F86"/>
    <w:rsid w:val="00CA66FC"/>
    <w:rsid w:val="00CA69EA"/>
    <w:rsid w:val="00CA6D21"/>
    <w:rsid w:val="00CB11C9"/>
    <w:rsid w:val="00CB7100"/>
    <w:rsid w:val="00CB7140"/>
    <w:rsid w:val="00CC0AE7"/>
    <w:rsid w:val="00CC129E"/>
    <w:rsid w:val="00CC12D3"/>
    <w:rsid w:val="00CC1888"/>
    <w:rsid w:val="00CC21CC"/>
    <w:rsid w:val="00CC3459"/>
    <w:rsid w:val="00CC3653"/>
    <w:rsid w:val="00CC40CE"/>
    <w:rsid w:val="00CC4512"/>
    <w:rsid w:val="00CC494B"/>
    <w:rsid w:val="00CC4C37"/>
    <w:rsid w:val="00CC5968"/>
    <w:rsid w:val="00CC68C6"/>
    <w:rsid w:val="00CC7085"/>
    <w:rsid w:val="00CC72B6"/>
    <w:rsid w:val="00CC72F1"/>
    <w:rsid w:val="00CC73EC"/>
    <w:rsid w:val="00CD5A9D"/>
    <w:rsid w:val="00CD6D27"/>
    <w:rsid w:val="00CE0331"/>
    <w:rsid w:val="00CE35AE"/>
    <w:rsid w:val="00CF3555"/>
    <w:rsid w:val="00CF5578"/>
    <w:rsid w:val="00CF712A"/>
    <w:rsid w:val="00D0218D"/>
    <w:rsid w:val="00D07DF5"/>
    <w:rsid w:val="00D11677"/>
    <w:rsid w:val="00D12E03"/>
    <w:rsid w:val="00D137C1"/>
    <w:rsid w:val="00D14CB4"/>
    <w:rsid w:val="00D15AFD"/>
    <w:rsid w:val="00D17457"/>
    <w:rsid w:val="00D20091"/>
    <w:rsid w:val="00D218D0"/>
    <w:rsid w:val="00D23745"/>
    <w:rsid w:val="00D25FB5"/>
    <w:rsid w:val="00D35244"/>
    <w:rsid w:val="00D36D6F"/>
    <w:rsid w:val="00D36FFC"/>
    <w:rsid w:val="00D40F8D"/>
    <w:rsid w:val="00D411A1"/>
    <w:rsid w:val="00D42497"/>
    <w:rsid w:val="00D42702"/>
    <w:rsid w:val="00D44223"/>
    <w:rsid w:val="00D47D4D"/>
    <w:rsid w:val="00D51FCF"/>
    <w:rsid w:val="00D536FD"/>
    <w:rsid w:val="00D57680"/>
    <w:rsid w:val="00D61448"/>
    <w:rsid w:val="00D637E9"/>
    <w:rsid w:val="00D67B88"/>
    <w:rsid w:val="00D725DB"/>
    <w:rsid w:val="00D7507E"/>
    <w:rsid w:val="00D76FD6"/>
    <w:rsid w:val="00D80007"/>
    <w:rsid w:val="00D80CBE"/>
    <w:rsid w:val="00D8108B"/>
    <w:rsid w:val="00D8139A"/>
    <w:rsid w:val="00D81D8C"/>
    <w:rsid w:val="00D83B03"/>
    <w:rsid w:val="00D85D66"/>
    <w:rsid w:val="00D87B07"/>
    <w:rsid w:val="00D95153"/>
    <w:rsid w:val="00D95EC9"/>
    <w:rsid w:val="00DA2509"/>
    <w:rsid w:val="00DA2529"/>
    <w:rsid w:val="00DA327C"/>
    <w:rsid w:val="00DA3CB0"/>
    <w:rsid w:val="00DA752A"/>
    <w:rsid w:val="00DB130A"/>
    <w:rsid w:val="00DB2EBB"/>
    <w:rsid w:val="00DB4570"/>
    <w:rsid w:val="00DB6C20"/>
    <w:rsid w:val="00DB74BE"/>
    <w:rsid w:val="00DC10A1"/>
    <w:rsid w:val="00DC359B"/>
    <w:rsid w:val="00DC4A54"/>
    <w:rsid w:val="00DC52FF"/>
    <w:rsid w:val="00DC655F"/>
    <w:rsid w:val="00DD0B59"/>
    <w:rsid w:val="00DD0E95"/>
    <w:rsid w:val="00DD0F8A"/>
    <w:rsid w:val="00DD76B8"/>
    <w:rsid w:val="00DD7EBD"/>
    <w:rsid w:val="00DE3649"/>
    <w:rsid w:val="00DE7180"/>
    <w:rsid w:val="00DF46D0"/>
    <w:rsid w:val="00DF62B6"/>
    <w:rsid w:val="00E01C27"/>
    <w:rsid w:val="00E026FC"/>
    <w:rsid w:val="00E02CBA"/>
    <w:rsid w:val="00E049D6"/>
    <w:rsid w:val="00E07225"/>
    <w:rsid w:val="00E15998"/>
    <w:rsid w:val="00E24A15"/>
    <w:rsid w:val="00E257A1"/>
    <w:rsid w:val="00E26B26"/>
    <w:rsid w:val="00E27482"/>
    <w:rsid w:val="00E27C71"/>
    <w:rsid w:val="00E30FF4"/>
    <w:rsid w:val="00E31038"/>
    <w:rsid w:val="00E427CB"/>
    <w:rsid w:val="00E51987"/>
    <w:rsid w:val="00E531BB"/>
    <w:rsid w:val="00E5409F"/>
    <w:rsid w:val="00E549CB"/>
    <w:rsid w:val="00E6006F"/>
    <w:rsid w:val="00E66923"/>
    <w:rsid w:val="00E70434"/>
    <w:rsid w:val="00E70E39"/>
    <w:rsid w:val="00E7252B"/>
    <w:rsid w:val="00E7285D"/>
    <w:rsid w:val="00E75BD9"/>
    <w:rsid w:val="00E7767F"/>
    <w:rsid w:val="00E77920"/>
    <w:rsid w:val="00E77F09"/>
    <w:rsid w:val="00E80FEA"/>
    <w:rsid w:val="00E8132F"/>
    <w:rsid w:val="00E83874"/>
    <w:rsid w:val="00E9095C"/>
    <w:rsid w:val="00E92245"/>
    <w:rsid w:val="00E92E08"/>
    <w:rsid w:val="00E93BF1"/>
    <w:rsid w:val="00E9448F"/>
    <w:rsid w:val="00E962FB"/>
    <w:rsid w:val="00E968E8"/>
    <w:rsid w:val="00E9763B"/>
    <w:rsid w:val="00E97811"/>
    <w:rsid w:val="00EA13B1"/>
    <w:rsid w:val="00EA33E8"/>
    <w:rsid w:val="00EA4AB1"/>
    <w:rsid w:val="00EA4BAA"/>
    <w:rsid w:val="00EA5D0F"/>
    <w:rsid w:val="00EA5FFB"/>
    <w:rsid w:val="00EA6E75"/>
    <w:rsid w:val="00EB0D82"/>
    <w:rsid w:val="00EB1FA2"/>
    <w:rsid w:val="00EB27CD"/>
    <w:rsid w:val="00EB3436"/>
    <w:rsid w:val="00EB4BC0"/>
    <w:rsid w:val="00EB6187"/>
    <w:rsid w:val="00EB63FF"/>
    <w:rsid w:val="00EB64E3"/>
    <w:rsid w:val="00EB6AA4"/>
    <w:rsid w:val="00EB6AC7"/>
    <w:rsid w:val="00EC0A25"/>
    <w:rsid w:val="00EC2EFC"/>
    <w:rsid w:val="00ED07DB"/>
    <w:rsid w:val="00ED47C4"/>
    <w:rsid w:val="00ED6FBA"/>
    <w:rsid w:val="00EE3F62"/>
    <w:rsid w:val="00EE4F4C"/>
    <w:rsid w:val="00EE5B0B"/>
    <w:rsid w:val="00EE6488"/>
    <w:rsid w:val="00EF2489"/>
    <w:rsid w:val="00EF2706"/>
    <w:rsid w:val="00EF3B5C"/>
    <w:rsid w:val="00EF3EB1"/>
    <w:rsid w:val="00EF4468"/>
    <w:rsid w:val="00EF6200"/>
    <w:rsid w:val="00EF7D96"/>
    <w:rsid w:val="00F00C3D"/>
    <w:rsid w:val="00F0196A"/>
    <w:rsid w:val="00F021FA"/>
    <w:rsid w:val="00F07633"/>
    <w:rsid w:val="00F07EE3"/>
    <w:rsid w:val="00F1100D"/>
    <w:rsid w:val="00F13DE1"/>
    <w:rsid w:val="00F13FA9"/>
    <w:rsid w:val="00F21B0A"/>
    <w:rsid w:val="00F23892"/>
    <w:rsid w:val="00F32FD9"/>
    <w:rsid w:val="00F367D1"/>
    <w:rsid w:val="00F40AC3"/>
    <w:rsid w:val="00F43CE2"/>
    <w:rsid w:val="00F448C4"/>
    <w:rsid w:val="00F50FF2"/>
    <w:rsid w:val="00F51C9B"/>
    <w:rsid w:val="00F544D2"/>
    <w:rsid w:val="00F62E97"/>
    <w:rsid w:val="00F64209"/>
    <w:rsid w:val="00F64D0C"/>
    <w:rsid w:val="00F65E2B"/>
    <w:rsid w:val="00F66AEE"/>
    <w:rsid w:val="00F7039F"/>
    <w:rsid w:val="00F70D1B"/>
    <w:rsid w:val="00F71313"/>
    <w:rsid w:val="00F723EF"/>
    <w:rsid w:val="00F73FDB"/>
    <w:rsid w:val="00F74592"/>
    <w:rsid w:val="00F74F3D"/>
    <w:rsid w:val="00F77C06"/>
    <w:rsid w:val="00F83402"/>
    <w:rsid w:val="00F83E1A"/>
    <w:rsid w:val="00F856B8"/>
    <w:rsid w:val="00F869B6"/>
    <w:rsid w:val="00F93BF5"/>
    <w:rsid w:val="00F950FC"/>
    <w:rsid w:val="00F954BF"/>
    <w:rsid w:val="00F954C4"/>
    <w:rsid w:val="00FA48B5"/>
    <w:rsid w:val="00FB04FB"/>
    <w:rsid w:val="00FB3C39"/>
    <w:rsid w:val="00FB5876"/>
    <w:rsid w:val="00FC0EE8"/>
    <w:rsid w:val="00FC28D6"/>
    <w:rsid w:val="00FC2D9E"/>
    <w:rsid w:val="00FC3EFE"/>
    <w:rsid w:val="00FC5F0C"/>
    <w:rsid w:val="00FC786D"/>
    <w:rsid w:val="00FC7D30"/>
    <w:rsid w:val="00FD10B0"/>
    <w:rsid w:val="00FD1A9C"/>
    <w:rsid w:val="00FD22F7"/>
    <w:rsid w:val="00FD4D3D"/>
    <w:rsid w:val="00FE34A5"/>
    <w:rsid w:val="00FE5864"/>
    <w:rsid w:val="00FE6DA9"/>
    <w:rsid w:val="00FE6F74"/>
    <w:rsid w:val="00FF2F3E"/>
    <w:rsid w:val="00FF3ED1"/>
    <w:rsid w:val="00FF4581"/>
    <w:rsid w:val="00FF716C"/>
    <w:rsid w:val="00FF771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9E082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7308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semiHidden/>
    <w:unhideWhenUsed/>
    <w:rsid w:val="00670F2B"/>
    <w:rPr>
      <w:color w:val="605E5C"/>
      <w:shd w:val="clear" w:color="auto" w:fill="E1DFDD"/>
    </w:rPr>
  </w:style>
  <w:style w:type="character" w:styleId="CommentReference">
    <w:name w:val="annotation reference"/>
    <w:rsid w:val="000C33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3376"/>
    <w:rPr>
      <w:sz w:val="20"/>
    </w:rPr>
  </w:style>
  <w:style w:type="character" w:customStyle="1" w:styleId="CommentTextChar">
    <w:name w:val="Comment Text Char"/>
    <w:link w:val="CommentText"/>
    <w:rsid w:val="000C3376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0C3376"/>
    <w:rPr>
      <w:b/>
      <w:bCs/>
    </w:rPr>
  </w:style>
  <w:style w:type="character" w:customStyle="1" w:styleId="CommentSubjectChar">
    <w:name w:val="Comment Subject Char"/>
    <w:link w:val="CommentSubject"/>
    <w:rsid w:val="000C3376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rsid w:val="001748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48E0"/>
    <w:rPr>
      <w:rFonts w:ascii="Segoe UI" w:hAnsi="Segoe UI" w:cs="Segoe UI"/>
      <w:snapToGrid w:val="0"/>
      <w:kern w:val="28"/>
      <w:sz w:val="18"/>
      <w:szCs w:val="18"/>
    </w:rPr>
  </w:style>
  <w:style w:type="character" w:styleId="FollowedHyperlink">
    <w:name w:val="FollowedHyperlink"/>
    <w:basedOn w:val="DefaultParagraphFont"/>
    <w:rsid w:val="005B308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B0D82"/>
    <w:rPr>
      <w:snapToGrid w:val="0"/>
      <w:kern w:val="28"/>
      <w:sz w:val="22"/>
    </w:rPr>
  </w:style>
  <w:style w:type="character" w:customStyle="1" w:styleId="HeaderChar">
    <w:name w:val="Header Char"/>
    <w:link w:val="Header"/>
    <w:rsid w:val="00C679B9"/>
    <w:rPr>
      <w:b/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oeaaa.faa.gov/oeaaa/external/searchAction.jsp?action=displayOECase&amp;oeCaseID=268803&amp;row=0" TargetMode="External" /><Relationship Id="rId2" Type="http://schemas.openxmlformats.org/officeDocument/2006/relationships/hyperlink" Target="https://www.fcc.gov/wireless/bureau-divisions/competition-infrastructure-policy-division/antenna-painting-lighting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