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9376C" w:rsidRPr="00981F23" w14:paraId="004073B6" w14:textId="77777777">
      <w:pPr>
        <w:jc w:val="center"/>
        <w:rPr>
          <w:b/>
          <w:color w:val="000000" w:themeColor="text1"/>
        </w:rPr>
      </w:pPr>
      <w:r w:rsidRPr="00981F23">
        <w:rPr>
          <w:b/>
          <w:color w:val="000000" w:themeColor="text1"/>
        </w:rPr>
        <w:t>Before the</w:t>
      </w:r>
    </w:p>
    <w:p w:rsidR="00E9376C" w:rsidRPr="00981F23" w14:paraId="43A3BBF3" w14:textId="77777777">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rsidR="00E9376C" w:rsidRPr="00981F23" w14:paraId="7B6E20E8" w14:textId="31C94AC4">
      <w:pPr>
        <w:jc w:val="center"/>
        <w:rPr>
          <w:b/>
          <w:color w:val="000000" w:themeColor="text1"/>
        </w:rPr>
      </w:pPr>
      <w:r w:rsidRPr="00981F23">
        <w:rPr>
          <w:b/>
          <w:color w:val="000000" w:themeColor="text1"/>
        </w:rPr>
        <w:t>Washington, D</w:t>
      </w:r>
      <w:r w:rsidR="00B9157F">
        <w:rPr>
          <w:b/>
          <w:color w:val="000000" w:themeColor="text1"/>
        </w:rPr>
        <w:t>.</w:t>
      </w:r>
      <w:r w:rsidRPr="00981F23">
        <w:rPr>
          <w:b/>
          <w:color w:val="000000" w:themeColor="text1"/>
        </w:rPr>
        <w:t>C</w:t>
      </w:r>
      <w:r w:rsidR="00B9157F">
        <w:rPr>
          <w:b/>
          <w:color w:val="000000" w:themeColor="text1"/>
        </w:rPr>
        <w:t>.</w:t>
      </w:r>
      <w:r w:rsidRPr="00981F23">
        <w:rPr>
          <w:b/>
          <w:color w:val="000000" w:themeColor="text1"/>
        </w:rPr>
        <w:t xml:space="preserve"> 20554 </w:t>
      </w:r>
    </w:p>
    <w:tbl>
      <w:tblPr>
        <w:tblW w:w="0" w:type="auto"/>
        <w:tblLayout w:type="fixed"/>
        <w:tblLook w:val="0000"/>
      </w:tblPr>
      <w:tblGrid>
        <w:gridCol w:w="4518"/>
        <w:gridCol w:w="630"/>
        <w:gridCol w:w="4248"/>
      </w:tblGrid>
      <w:tr w14:paraId="2B855BC2" w14:textId="77777777" w:rsidTr="00500F04">
        <w:tblPrEx>
          <w:tblW w:w="0" w:type="auto"/>
          <w:tblLayout w:type="fixed"/>
          <w:tblLook w:val="0000"/>
        </w:tblPrEx>
        <w:tc>
          <w:tcPr>
            <w:tcW w:w="4518" w:type="dxa"/>
          </w:tcPr>
          <w:p w:rsidR="00E9376C" w:rsidRPr="00010209" w14:paraId="4AF16562" w14:textId="77777777">
            <w:pPr>
              <w:tabs>
                <w:tab w:val="center" w:pos="4680"/>
              </w:tabs>
              <w:suppressAutoHyphens/>
              <w:rPr>
                <w:color w:val="000000" w:themeColor="text1"/>
                <w:spacing w:val="-2"/>
              </w:rPr>
            </w:pPr>
          </w:p>
          <w:p w:rsidR="00E9376C" w:rsidRPr="00010209" w14:paraId="29CB393E" w14:textId="77777777">
            <w:pPr>
              <w:tabs>
                <w:tab w:val="center" w:pos="4680"/>
              </w:tabs>
              <w:suppressAutoHyphens/>
              <w:rPr>
                <w:color w:val="000000" w:themeColor="text1"/>
                <w:spacing w:val="-2"/>
              </w:rPr>
            </w:pPr>
            <w:r w:rsidRPr="00010209">
              <w:rPr>
                <w:color w:val="000000" w:themeColor="text1"/>
                <w:spacing w:val="-2"/>
              </w:rPr>
              <w:t>In the Matter of</w:t>
            </w:r>
          </w:p>
          <w:p w:rsidR="00E9376C" w:rsidRPr="00010209" w14:paraId="745FD4CA" w14:textId="77777777">
            <w:pPr>
              <w:tabs>
                <w:tab w:val="center" w:pos="4680"/>
              </w:tabs>
              <w:suppressAutoHyphens/>
              <w:rPr>
                <w:color w:val="000000" w:themeColor="text1"/>
                <w:spacing w:val="-2"/>
              </w:rPr>
            </w:pPr>
          </w:p>
          <w:p w:rsidR="00536D50" w:rsidRPr="00010209" w:rsidP="00536D50" w14:paraId="1B733E59" w14:textId="77777777">
            <w:pPr>
              <w:tabs>
                <w:tab w:val="center" w:pos="4680"/>
              </w:tabs>
              <w:suppressAutoHyphens/>
              <w:rPr>
                <w:bCs/>
                <w:spacing w:val="-2"/>
              </w:rPr>
            </w:pPr>
            <w:r w:rsidRPr="00010209">
              <w:rPr>
                <w:bCs/>
                <w:spacing w:val="-2"/>
              </w:rPr>
              <w:t>Cumulus Licensing LLC</w:t>
            </w:r>
          </w:p>
          <w:p w:rsidR="00E9376C" w:rsidRPr="00010209" w14:paraId="2F2BA4A4" w14:textId="77777777">
            <w:pPr>
              <w:tabs>
                <w:tab w:val="center" w:pos="4680"/>
              </w:tabs>
              <w:suppressAutoHyphens/>
              <w:rPr>
                <w:color w:val="000000" w:themeColor="text1"/>
                <w:spacing w:val="-2"/>
              </w:rPr>
            </w:pPr>
          </w:p>
          <w:p w:rsidR="00536D50" w:rsidRPr="00010209" w:rsidP="00536D50" w14:paraId="3857E5EB" w14:textId="61400CA7">
            <w:pPr>
              <w:tabs>
                <w:tab w:val="center" w:pos="4680"/>
              </w:tabs>
              <w:suppressAutoHyphens/>
              <w:rPr>
                <w:spacing w:val="-2"/>
              </w:rPr>
            </w:pPr>
            <w:r w:rsidRPr="00010209">
              <w:rPr>
                <w:spacing w:val="-2"/>
              </w:rPr>
              <w:t xml:space="preserve">Former </w:t>
            </w:r>
            <w:r w:rsidRPr="00010209">
              <w:rPr>
                <w:spacing w:val="-2"/>
              </w:rPr>
              <w:t>Licensee of Stations</w:t>
            </w:r>
          </w:p>
          <w:p w:rsidR="00536D50" w:rsidRPr="00010209" w:rsidP="00536D50" w14:paraId="1F1C4702" w14:textId="77777777">
            <w:pPr>
              <w:tabs>
                <w:tab w:val="center" w:pos="4680"/>
              </w:tabs>
              <w:suppressAutoHyphens/>
              <w:rPr>
                <w:spacing w:val="-2"/>
              </w:rPr>
            </w:pPr>
            <w:r w:rsidRPr="00010209">
              <w:rPr>
                <w:spacing w:val="-2"/>
              </w:rPr>
              <w:t xml:space="preserve">WEGC(FM), Sasser, GA </w:t>
            </w:r>
          </w:p>
          <w:p w:rsidR="00536D50" w:rsidRPr="00010209" w:rsidP="00536D50" w14:paraId="1ADCDB04" w14:textId="64EC7D3A">
            <w:pPr>
              <w:tabs>
                <w:tab w:val="center" w:pos="4680"/>
              </w:tabs>
              <w:suppressAutoHyphens/>
              <w:rPr>
                <w:spacing w:val="-2"/>
              </w:rPr>
            </w:pPr>
            <w:r w:rsidRPr="00010209">
              <w:rPr>
                <w:spacing w:val="-2"/>
              </w:rPr>
              <w:t>Facility ID Number: 40463</w:t>
            </w:r>
            <w:r w:rsidRPr="00010209" w:rsidR="004E693D">
              <w:rPr>
                <w:spacing w:val="-2"/>
              </w:rPr>
              <w:t>;</w:t>
            </w:r>
          </w:p>
          <w:p w:rsidR="00536D50" w:rsidRPr="00010209" w:rsidP="00536D50" w14:paraId="25CAE047" w14:textId="77777777">
            <w:pPr>
              <w:tabs>
                <w:tab w:val="center" w:pos="4680"/>
              </w:tabs>
              <w:suppressAutoHyphens/>
              <w:rPr>
                <w:spacing w:val="-2"/>
              </w:rPr>
            </w:pPr>
            <w:r w:rsidRPr="00010209">
              <w:rPr>
                <w:spacing w:val="-2"/>
              </w:rPr>
              <w:t>WJAD(FM), Leesburg, GA</w:t>
            </w:r>
          </w:p>
          <w:p w:rsidR="00536D50" w:rsidRPr="00010209" w:rsidP="00536D50" w14:paraId="730AC3A1" w14:textId="5F8D00F2">
            <w:pPr>
              <w:tabs>
                <w:tab w:val="center" w:pos="4680"/>
              </w:tabs>
              <w:suppressAutoHyphens/>
              <w:rPr>
                <w:spacing w:val="-2"/>
              </w:rPr>
            </w:pPr>
            <w:r w:rsidRPr="00010209">
              <w:rPr>
                <w:spacing w:val="-2"/>
              </w:rPr>
              <w:t>Facility ID Number: 57782</w:t>
            </w:r>
            <w:r w:rsidRPr="00010209" w:rsidR="004E693D">
              <w:rPr>
                <w:spacing w:val="-2"/>
              </w:rPr>
              <w:t>;</w:t>
            </w:r>
          </w:p>
          <w:p w:rsidR="00536D50" w:rsidRPr="00010209" w:rsidP="00536D50" w14:paraId="7EFFEE65" w14:textId="77777777">
            <w:pPr>
              <w:tabs>
                <w:tab w:val="center" w:pos="4680"/>
              </w:tabs>
              <w:suppressAutoHyphens/>
              <w:rPr>
                <w:spacing w:val="-2"/>
              </w:rPr>
            </w:pPr>
            <w:r w:rsidRPr="00010209">
              <w:rPr>
                <w:spacing w:val="-2"/>
              </w:rPr>
              <w:t>WKAK(FM), Albany, GA</w:t>
            </w:r>
          </w:p>
          <w:p w:rsidR="00536D50" w:rsidRPr="00010209" w:rsidP="00536D50" w14:paraId="3B69A316" w14:textId="3F6A2CD0">
            <w:pPr>
              <w:tabs>
                <w:tab w:val="center" w:pos="4680"/>
              </w:tabs>
              <w:suppressAutoHyphens/>
              <w:rPr>
                <w:spacing w:val="-2"/>
              </w:rPr>
            </w:pPr>
            <w:r w:rsidRPr="00010209">
              <w:rPr>
                <w:spacing w:val="-2"/>
              </w:rPr>
              <w:t>Facility ID Number:  831</w:t>
            </w:r>
            <w:r w:rsidRPr="00010209" w:rsidR="004E693D">
              <w:rPr>
                <w:spacing w:val="-2"/>
              </w:rPr>
              <w:t>;</w:t>
            </w:r>
          </w:p>
          <w:p w:rsidR="00536D50" w:rsidRPr="00010209" w:rsidP="00536D50" w14:paraId="5EA24959" w14:textId="77777777">
            <w:pPr>
              <w:tabs>
                <w:tab w:val="center" w:pos="4680"/>
              </w:tabs>
              <w:suppressAutoHyphens/>
              <w:rPr>
                <w:spacing w:val="-2"/>
              </w:rPr>
            </w:pPr>
            <w:r w:rsidRPr="00010209">
              <w:rPr>
                <w:spacing w:val="-2"/>
              </w:rPr>
              <w:t>WQVE(FM), Albany, GA</w:t>
            </w:r>
          </w:p>
          <w:p w:rsidR="00536D50" w:rsidRPr="00010209" w:rsidP="00536D50" w14:paraId="12E4CAAE" w14:textId="12EBC4E1">
            <w:pPr>
              <w:tabs>
                <w:tab w:val="center" w:pos="4680"/>
              </w:tabs>
              <w:suppressAutoHyphens/>
              <w:rPr>
                <w:spacing w:val="-2"/>
              </w:rPr>
            </w:pPr>
            <w:r w:rsidRPr="00010209">
              <w:rPr>
                <w:spacing w:val="-2"/>
              </w:rPr>
              <w:t>Facility ID Number: 54704</w:t>
            </w:r>
            <w:r w:rsidRPr="00010209" w:rsidR="004E693D">
              <w:rPr>
                <w:spacing w:val="-2"/>
              </w:rPr>
              <w:t>; and</w:t>
            </w:r>
          </w:p>
          <w:p w:rsidR="00536D50" w:rsidRPr="00010209" w:rsidP="00536D50" w14:paraId="6E40258A" w14:textId="77777777">
            <w:pPr>
              <w:tabs>
                <w:tab w:val="center" w:pos="4680"/>
              </w:tabs>
              <w:suppressAutoHyphens/>
              <w:rPr>
                <w:spacing w:val="-2"/>
              </w:rPr>
            </w:pPr>
            <w:r w:rsidRPr="00010209">
              <w:rPr>
                <w:spacing w:val="-2"/>
              </w:rPr>
              <w:t>WALG(AM), Albany, GA</w:t>
            </w:r>
          </w:p>
          <w:p w:rsidR="00536D50" w:rsidRPr="00010209" w:rsidP="00536D50" w14:paraId="2DECFF0B" w14:textId="77777777">
            <w:pPr>
              <w:tabs>
                <w:tab w:val="center" w:pos="4680"/>
              </w:tabs>
              <w:suppressAutoHyphens/>
              <w:rPr>
                <w:spacing w:val="-2"/>
              </w:rPr>
            </w:pPr>
            <w:r w:rsidRPr="00010209">
              <w:rPr>
                <w:spacing w:val="-2"/>
              </w:rPr>
              <w:t>Facility ID Number: 54703</w:t>
            </w:r>
          </w:p>
          <w:p w:rsidR="00536D50" w:rsidRPr="00010209" w14:paraId="78010FA6" w14:textId="77777777">
            <w:pPr>
              <w:tabs>
                <w:tab w:val="center" w:pos="4680"/>
              </w:tabs>
              <w:suppressAutoHyphens/>
              <w:rPr>
                <w:color w:val="000000" w:themeColor="text1"/>
                <w:spacing w:val="-2"/>
              </w:rPr>
            </w:pPr>
          </w:p>
        </w:tc>
        <w:tc>
          <w:tcPr>
            <w:tcW w:w="630" w:type="dxa"/>
          </w:tcPr>
          <w:p w:rsidR="00E9376C" w:rsidRPr="00010209" w14:paraId="5BC25E85" w14:textId="77777777">
            <w:pPr>
              <w:tabs>
                <w:tab w:val="center" w:pos="4680"/>
              </w:tabs>
              <w:suppressAutoHyphens/>
              <w:rPr>
                <w:b/>
                <w:color w:val="000000" w:themeColor="text1"/>
                <w:spacing w:val="-2"/>
              </w:rPr>
            </w:pPr>
          </w:p>
          <w:p w:rsidR="00E9376C" w:rsidRPr="00010209" w14:paraId="4AB10109" w14:textId="77777777">
            <w:pPr>
              <w:tabs>
                <w:tab w:val="center" w:pos="4680"/>
              </w:tabs>
              <w:suppressAutoHyphens/>
              <w:rPr>
                <w:b/>
                <w:color w:val="000000" w:themeColor="text1"/>
                <w:spacing w:val="-2"/>
              </w:rPr>
            </w:pPr>
            <w:r w:rsidRPr="00010209">
              <w:rPr>
                <w:b/>
                <w:color w:val="000000" w:themeColor="text1"/>
                <w:spacing w:val="-2"/>
              </w:rPr>
              <w:t xml:space="preserve">  )</w:t>
            </w:r>
          </w:p>
          <w:p w:rsidR="00E9376C" w:rsidRPr="00010209" w14:paraId="0381A59E" w14:textId="77777777">
            <w:pPr>
              <w:tabs>
                <w:tab w:val="center" w:pos="4680"/>
              </w:tabs>
              <w:suppressAutoHyphens/>
              <w:rPr>
                <w:b/>
                <w:color w:val="000000" w:themeColor="text1"/>
                <w:spacing w:val="-2"/>
              </w:rPr>
            </w:pPr>
            <w:r w:rsidRPr="00010209">
              <w:rPr>
                <w:b/>
                <w:color w:val="000000" w:themeColor="text1"/>
                <w:spacing w:val="-2"/>
              </w:rPr>
              <w:t xml:space="preserve">  )</w:t>
            </w:r>
          </w:p>
          <w:p w:rsidR="00E9376C" w:rsidRPr="00010209" w14:paraId="1FBB4EBB" w14:textId="77777777">
            <w:pPr>
              <w:tabs>
                <w:tab w:val="center" w:pos="4680"/>
              </w:tabs>
              <w:suppressAutoHyphens/>
              <w:rPr>
                <w:b/>
                <w:color w:val="000000" w:themeColor="text1"/>
                <w:spacing w:val="-2"/>
              </w:rPr>
            </w:pPr>
            <w:r w:rsidRPr="00010209">
              <w:rPr>
                <w:b/>
                <w:color w:val="000000" w:themeColor="text1"/>
                <w:spacing w:val="-2"/>
              </w:rPr>
              <w:t xml:space="preserve">  )</w:t>
            </w:r>
          </w:p>
          <w:p w:rsidR="00E9376C" w:rsidRPr="00010209" w14:paraId="6FC8157A" w14:textId="77777777">
            <w:pPr>
              <w:tabs>
                <w:tab w:val="center" w:pos="4680"/>
              </w:tabs>
              <w:suppressAutoHyphens/>
              <w:rPr>
                <w:b/>
                <w:color w:val="000000" w:themeColor="text1"/>
                <w:spacing w:val="-2"/>
              </w:rPr>
            </w:pPr>
            <w:r w:rsidRPr="00010209">
              <w:rPr>
                <w:b/>
                <w:color w:val="000000" w:themeColor="text1"/>
                <w:spacing w:val="-2"/>
              </w:rPr>
              <w:t xml:space="preserve">  )</w:t>
            </w:r>
          </w:p>
          <w:p w:rsidR="00E9376C" w:rsidRPr="00010209" w14:paraId="69ECD657" w14:textId="77777777">
            <w:pPr>
              <w:tabs>
                <w:tab w:val="center" w:pos="4680"/>
              </w:tabs>
              <w:suppressAutoHyphens/>
              <w:rPr>
                <w:b/>
                <w:color w:val="000000" w:themeColor="text1"/>
                <w:spacing w:val="-2"/>
              </w:rPr>
            </w:pPr>
            <w:r w:rsidRPr="00010209">
              <w:rPr>
                <w:b/>
                <w:color w:val="000000" w:themeColor="text1"/>
                <w:spacing w:val="-2"/>
              </w:rPr>
              <w:t xml:space="preserve">  )</w:t>
            </w:r>
          </w:p>
          <w:p w:rsidR="00E9376C" w:rsidRPr="00010209" w14:paraId="3DE7AC89" w14:textId="77777777">
            <w:pPr>
              <w:tabs>
                <w:tab w:val="center" w:pos="4680"/>
              </w:tabs>
              <w:suppressAutoHyphens/>
              <w:rPr>
                <w:b/>
                <w:color w:val="000000" w:themeColor="text1"/>
                <w:spacing w:val="-2"/>
              </w:rPr>
            </w:pPr>
            <w:r w:rsidRPr="00010209">
              <w:rPr>
                <w:b/>
                <w:color w:val="000000" w:themeColor="text1"/>
                <w:spacing w:val="-2"/>
              </w:rPr>
              <w:t xml:space="preserve"> </w:t>
            </w:r>
            <w:r w:rsidRPr="00010209" w:rsidR="00536D50">
              <w:rPr>
                <w:b/>
                <w:color w:val="000000" w:themeColor="text1"/>
                <w:spacing w:val="-2"/>
              </w:rPr>
              <w:t xml:space="preserve"> )</w:t>
            </w:r>
          </w:p>
          <w:p w:rsidR="00536D50" w:rsidRPr="00010209" w:rsidP="00536D50" w14:paraId="7BD2D0F1" w14:textId="77777777">
            <w:pPr>
              <w:tabs>
                <w:tab w:val="center" w:pos="4680"/>
              </w:tabs>
              <w:suppressAutoHyphens/>
              <w:rPr>
                <w:b/>
                <w:color w:val="000000" w:themeColor="text1"/>
                <w:spacing w:val="-2"/>
              </w:rPr>
            </w:pPr>
            <w:r w:rsidRPr="00010209">
              <w:rPr>
                <w:b/>
                <w:color w:val="000000" w:themeColor="text1"/>
                <w:spacing w:val="-2"/>
              </w:rPr>
              <w:t xml:space="preserve">  )</w:t>
            </w:r>
          </w:p>
          <w:p w:rsidR="00536D50" w:rsidRPr="00010209" w:rsidP="00536D50" w14:paraId="61A6B133" w14:textId="77777777">
            <w:pPr>
              <w:tabs>
                <w:tab w:val="center" w:pos="4680"/>
              </w:tabs>
              <w:suppressAutoHyphens/>
              <w:rPr>
                <w:b/>
                <w:color w:val="000000" w:themeColor="text1"/>
                <w:spacing w:val="-2"/>
              </w:rPr>
            </w:pPr>
            <w:r w:rsidRPr="00010209">
              <w:rPr>
                <w:b/>
                <w:color w:val="000000" w:themeColor="text1"/>
                <w:spacing w:val="-2"/>
              </w:rPr>
              <w:t xml:space="preserve">  )</w:t>
            </w:r>
          </w:p>
          <w:p w:rsidR="00536D50" w:rsidRPr="00010209" w:rsidP="00536D50" w14:paraId="52E8D0E9" w14:textId="77777777">
            <w:pPr>
              <w:tabs>
                <w:tab w:val="center" w:pos="4680"/>
              </w:tabs>
              <w:suppressAutoHyphens/>
              <w:rPr>
                <w:b/>
                <w:color w:val="000000" w:themeColor="text1"/>
                <w:spacing w:val="-2"/>
              </w:rPr>
            </w:pPr>
            <w:r w:rsidRPr="00010209">
              <w:rPr>
                <w:b/>
                <w:color w:val="000000" w:themeColor="text1"/>
                <w:spacing w:val="-2"/>
              </w:rPr>
              <w:t xml:space="preserve">  )</w:t>
            </w:r>
          </w:p>
          <w:p w:rsidR="00536D50" w:rsidRPr="00010209" w:rsidP="00536D50" w14:paraId="48A35D40" w14:textId="77777777">
            <w:pPr>
              <w:tabs>
                <w:tab w:val="center" w:pos="4680"/>
              </w:tabs>
              <w:suppressAutoHyphens/>
              <w:rPr>
                <w:b/>
                <w:color w:val="000000" w:themeColor="text1"/>
                <w:spacing w:val="-2"/>
              </w:rPr>
            </w:pPr>
            <w:r w:rsidRPr="00010209">
              <w:rPr>
                <w:b/>
                <w:color w:val="000000" w:themeColor="text1"/>
                <w:spacing w:val="-2"/>
              </w:rPr>
              <w:t xml:space="preserve">  )</w:t>
            </w:r>
          </w:p>
          <w:p w:rsidR="00536D50" w:rsidRPr="00010209" w:rsidP="00536D50" w14:paraId="3E3D3B97" w14:textId="77777777">
            <w:pPr>
              <w:tabs>
                <w:tab w:val="center" w:pos="4680"/>
              </w:tabs>
              <w:suppressAutoHyphens/>
              <w:rPr>
                <w:b/>
                <w:color w:val="000000" w:themeColor="text1"/>
                <w:spacing w:val="-2"/>
              </w:rPr>
            </w:pPr>
            <w:r w:rsidRPr="00010209">
              <w:rPr>
                <w:b/>
                <w:color w:val="000000" w:themeColor="text1"/>
                <w:spacing w:val="-2"/>
              </w:rPr>
              <w:t xml:space="preserve">  )</w:t>
            </w:r>
          </w:p>
          <w:p w:rsidR="00536D50" w:rsidRPr="00010209" w:rsidP="00536D50" w14:paraId="4E23D371" w14:textId="77777777">
            <w:pPr>
              <w:tabs>
                <w:tab w:val="center" w:pos="4680"/>
              </w:tabs>
              <w:suppressAutoHyphens/>
              <w:rPr>
                <w:b/>
                <w:color w:val="000000" w:themeColor="text1"/>
                <w:spacing w:val="-2"/>
              </w:rPr>
            </w:pPr>
            <w:r w:rsidRPr="00010209">
              <w:rPr>
                <w:b/>
                <w:color w:val="000000" w:themeColor="text1"/>
                <w:spacing w:val="-2"/>
              </w:rPr>
              <w:t xml:space="preserve">  )</w:t>
            </w:r>
          </w:p>
          <w:p w:rsidR="00536D50" w:rsidRPr="00010209" w14:paraId="4F7369BF" w14:textId="77777777">
            <w:pPr>
              <w:tabs>
                <w:tab w:val="center" w:pos="4680"/>
              </w:tabs>
              <w:suppressAutoHyphens/>
              <w:rPr>
                <w:b/>
                <w:color w:val="000000" w:themeColor="text1"/>
                <w:spacing w:val="-2"/>
              </w:rPr>
            </w:pPr>
            <w:r w:rsidRPr="00010209">
              <w:rPr>
                <w:b/>
                <w:color w:val="000000" w:themeColor="text1"/>
                <w:spacing w:val="-2"/>
              </w:rPr>
              <w:t xml:space="preserve">  )</w:t>
            </w:r>
          </w:p>
          <w:p w:rsidR="00536D50" w:rsidRPr="00010209" w14:paraId="19AC9A1B" w14:textId="77777777">
            <w:pPr>
              <w:tabs>
                <w:tab w:val="center" w:pos="4680"/>
              </w:tabs>
              <w:suppressAutoHyphens/>
              <w:rPr>
                <w:b/>
                <w:color w:val="000000" w:themeColor="text1"/>
                <w:spacing w:val="-2"/>
              </w:rPr>
            </w:pPr>
            <w:r w:rsidRPr="00010209">
              <w:rPr>
                <w:b/>
                <w:color w:val="000000" w:themeColor="text1"/>
                <w:spacing w:val="-2"/>
              </w:rPr>
              <w:t xml:space="preserve">  )</w:t>
            </w:r>
          </w:p>
          <w:p w:rsidR="00536D50" w:rsidRPr="00010209" w14:paraId="0DA0CFDC" w14:textId="77777777">
            <w:pPr>
              <w:tabs>
                <w:tab w:val="center" w:pos="4680"/>
              </w:tabs>
              <w:suppressAutoHyphens/>
              <w:rPr>
                <w:b/>
                <w:color w:val="000000" w:themeColor="text1"/>
                <w:spacing w:val="-2"/>
              </w:rPr>
            </w:pPr>
            <w:r w:rsidRPr="00010209">
              <w:rPr>
                <w:b/>
                <w:color w:val="000000" w:themeColor="text1"/>
                <w:spacing w:val="-2"/>
              </w:rPr>
              <w:t xml:space="preserve">  )</w:t>
            </w:r>
          </w:p>
        </w:tc>
        <w:tc>
          <w:tcPr>
            <w:tcW w:w="4248" w:type="dxa"/>
          </w:tcPr>
          <w:p w:rsidR="00E9376C" w:rsidRPr="00010209" w14:paraId="6D52DA6D" w14:textId="77777777">
            <w:pPr>
              <w:tabs>
                <w:tab w:val="center" w:pos="4680"/>
              </w:tabs>
              <w:suppressAutoHyphens/>
              <w:rPr>
                <w:color w:val="000000" w:themeColor="text1"/>
                <w:spacing w:val="-2"/>
              </w:rPr>
            </w:pPr>
          </w:p>
          <w:p w:rsidR="00242FE3" w:rsidRPr="00010209" w14:paraId="1E926795" w14:textId="77777777">
            <w:pPr>
              <w:rPr>
                <w:color w:val="000000" w:themeColor="text1"/>
                <w:spacing w:val="-2"/>
              </w:rPr>
            </w:pPr>
            <w:r w:rsidRPr="00010209">
              <w:rPr>
                <w:color w:val="000000" w:themeColor="text1"/>
                <w:spacing w:val="-2"/>
              </w:rPr>
              <w:t xml:space="preserve">                </w:t>
            </w:r>
          </w:p>
          <w:p w:rsidR="00242FE3" w:rsidRPr="00010209" w14:paraId="719C8CD4" w14:textId="77777777">
            <w:pPr>
              <w:rPr>
                <w:color w:val="000000" w:themeColor="text1"/>
                <w:spacing w:val="-2"/>
              </w:rPr>
            </w:pPr>
          </w:p>
          <w:p w:rsidR="00242FE3" w:rsidRPr="00010209" w:rsidP="00F80F2C" w14:paraId="1DD388B8" w14:textId="77777777">
            <w:pPr>
              <w:ind w:left="612"/>
              <w:rPr>
                <w:color w:val="000000" w:themeColor="text1"/>
                <w:spacing w:val="-2"/>
              </w:rPr>
            </w:pPr>
            <w:r w:rsidRPr="00010209">
              <w:rPr>
                <w:color w:val="000000" w:themeColor="text1"/>
                <w:spacing w:val="-2"/>
              </w:rPr>
              <w:t xml:space="preserve">File No.: </w:t>
            </w:r>
            <w:r w:rsidRPr="00010209" w:rsidR="00536D50">
              <w:rPr>
                <w:color w:val="000000" w:themeColor="text1"/>
                <w:spacing w:val="-2"/>
              </w:rPr>
              <w:t>EB-IHD-20-00031223</w:t>
            </w:r>
          </w:p>
          <w:p w:rsidR="00242FE3" w:rsidRPr="00010209" w:rsidP="00F80F2C" w14:paraId="5730BD4E" w14:textId="6B3D8A17">
            <w:pPr>
              <w:ind w:left="612"/>
              <w:rPr>
                <w:color w:val="000000" w:themeColor="text1"/>
                <w:spacing w:val="-2"/>
              </w:rPr>
            </w:pPr>
            <w:r w:rsidRPr="00010209">
              <w:rPr>
                <w:color w:val="000000" w:themeColor="text1"/>
                <w:spacing w:val="-2"/>
              </w:rPr>
              <w:t>NAL</w:t>
            </w:r>
            <w:r w:rsidRPr="00010209" w:rsidR="004E693D">
              <w:rPr>
                <w:color w:val="000000" w:themeColor="text1"/>
                <w:spacing w:val="-2"/>
              </w:rPr>
              <w:t xml:space="preserve"> </w:t>
            </w:r>
            <w:r w:rsidRPr="00010209">
              <w:rPr>
                <w:color w:val="000000" w:themeColor="text1"/>
                <w:spacing w:val="-2"/>
              </w:rPr>
              <w:t>Acct. No.</w:t>
            </w:r>
            <w:r w:rsidRPr="00010209" w:rsidR="009D265E">
              <w:rPr>
                <w:color w:val="000000" w:themeColor="text1"/>
                <w:spacing w:val="-2"/>
              </w:rPr>
              <w:t>:</w:t>
            </w:r>
            <w:r w:rsidRPr="00010209" w:rsidR="00A569CE">
              <w:rPr>
                <w:color w:val="000000" w:themeColor="text1"/>
                <w:spacing w:val="-2"/>
              </w:rPr>
              <w:t xml:space="preserve">  </w:t>
            </w:r>
            <w:r w:rsidRPr="00010209" w:rsidR="00F66327">
              <w:rPr>
                <w:color w:val="000000" w:themeColor="text1"/>
                <w:spacing w:val="-2"/>
              </w:rPr>
              <w:t>202132080015</w:t>
            </w:r>
          </w:p>
          <w:p w:rsidR="00485A2E" w:rsidRPr="00010209" w:rsidP="00F80F2C" w14:paraId="099D4A99" w14:textId="7365F979">
            <w:pPr>
              <w:ind w:left="612"/>
              <w:rPr>
                <w:color w:val="000000" w:themeColor="text1"/>
                <w:spacing w:val="-2"/>
              </w:rPr>
            </w:pPr>
            <w:r w:rsidRPr="00010209">
              <w:rPr>
                <w:color w:val="000000" w:themeColor="text1"/>
                <w:spacing w:val="-2"/>
              </w:rPr>
              <w:t xml:space="preserve">FRN:  </w:t>
            </w:r>
            <w:r w:rsidRPr="00010209">
              <w:rPr>
                <w:color w:val="000000" w:themeColor="text1"/>
                <w:spacing w:val="-2"/>
              </w:rPr>
              <w:t>0002834810</w:t>
            </w:r>
          </w:p>
          <w:p w:rsidR="00E9376C" w:rsidRPr="00010209" w:rsidP="009E08F3" w14:paraId="0BF0AF65" w14:textId="77777777">
            <w:pPr>
              <w:rPr>
                <w:color w:val="000000" w:themeColor="text1"/>
              </w:rPr>
            </w:pPr>
            <w:r w:rsidRPr="00010209">
              <w:rPr>
                <w:color w:val="000000" w:themeColor="text1"/>
                <w:spacing w:val="-2"/>
              </w:rPr>
              <w:t xml:space="preserve">             </w:t>
            </w:r>
          </w:p>
        </w:tc>
      </w:tr>
    </w:tbl>
    <w:p w:rsidR="00E9376C" w:rsidRPr="00981F23" w:rsidP="00863418" w14:paraId="361DDF71" w14:textId="77777777">
      <w:pPr>
        <w:pStyle w:val="StyleBoldCentered"/>
        <w:widowControl/>
        <w:rPr>
          <w:rFonts w:ascii="Times New Roman" w:hAnsi="Times New Roman"/>
          <w:color w:val="000000" w:themeColor="text1"/>
        </w:rPr>
      </w:pPr>
      <w:r w:rsidRPr="00981F23">
        <w:rPr>
          <w:rFonts w:ascii="Times New Roman" w:hAnsi="Times New Roman"/>
          <w:color w:val="000000" w:themeColor="text1"/>
        </w:rPr>
        <w:t>NOTICE OF APPARENT LIABILITY FOR FORFEITURE</w:t>
      </w:r>
    </w:p>
    <w:p w:rsidR="00E9376C" w:rsidRPr="00981F23" w14:paraId="3311D435" w14:textId="77777777">
      <w:pPr>
        <w:pStyle w:val="BodyText"/>
        <w:tabs>
          <w:tab w:val="left" w:pos="4680"/>
        </w:tabs>
        <w:jc w:val="center"/>
        <w:rPr>
          <w:color w:val="000000" w:themeColor="text1"/>
          <w:sz w:val="22"/>
          <w:szCs w:val="22"/>
          <w:u w:val="none"/>
        </w:rPr>
      </w:pPr>
    </w:p>
    <w:p w:rsidR="009F511A" w:rsidRPr="003B1976" w:rsidP="00652F84" w14:paraId="1D583684" w14:textId="5AC601B4">
      <w:pPr>
        <w:tabs>
          <w:tab w:val="left" w:pos="720"/>
          <w:tab w:val="right" w:pos="9360"/>
        </w:tabs>
        <w:suppressAutoHyphens/>
        <w:spacing w:line="227" w:lineRule="auto"/>
        <w:rPr>
          <w:b/>
          <w:spacing w:val="-2"/>
        </w:rPr>
      </w:pPr>
      <w:r w:rsidRPr="00010209">
        <w:rPr>
          <w:b/>
          <w:spacing w:val="-2"/>
        </w:rPr>
        <w:t xml:space="preserve">Adopted:  </w:t>
      </w:r>
      <w:r>
        <w:rPr>
          <w:b/>
          <w:spacing w:val="-2"/>
        </w:rPr>
        <w:t>February 25, 2022</w:t>
      </w:r>
      <w:r w:rsidRPr="00010209">
        <w:rPr>
          <w:b/>
          <w:spacing w:val="-2"/>
        </w:rPr>
        <w:tab/>
        <w:t xml:space="preserve">Released:  </w:t>
      </w:r>
      <w:r>
        <w:rPr>
          <w:b/>
          <w:spacing w:val="-2"/>
        </w:rPr>
        <w:t>February 25, 2022</w:t>
      </w:r>
    </w:p>
    <w:p w:rsidR="00E9376C" w:rsidRPr="00981F23" w:rsidP="009645E5" w14:paraId="75F8E0C0" w14:textId="77777777">
      <w:pPr>
        <w:pStyle w:val="BodyText"/>
        <w:tabs>
          <w:tab w:val="left" w:pos="4680"/>
        </w:tabs>
        <w:jc w:val="center"/>
        <w:rPr>
          <w:color w:val="000000" w:themeColor="text1"/>
          <w:sz w:val="22"/>
          <w:szCs w:val="22"/>
          <w:u w:val="none"/>
        </w:rPr>
      </w:pPr>
    </w:p>
    <w:p w:rsidR="00CE5F1E" w:rsidRPr="00010209" w:rsidP="00CE5F1E" w14:paraId="67D31D8F" w14:textId="32E78426">
      <w:pPr>
        <w:tabs>
          <w:tab w:val="left" w:pos="720"/>
          <w:tab w:val="left" w:pos="5760"/>
        </w:tabs>
        <w:suppressAutoHyphens/>
        <w:spacing w:line="227" w:lineRule="auto"/>
        <w:jc w:val="both"/>
        <w:rPr>
          <w:spacing w:val="-2"/>
        </w:rPr>
      </w:pPr>
      <w:r w:rsidRPr="00010209">
        <w:rPr>
          <w:spacing w:val="-2"/>
        </w:rPr>
        <w:t>By the C</w:t>
      </w:r>
      <w:r w:rsidRPr="00010209" w:rsidR="00FC09E8">
        <w:rPr>
          <w:spacing w:val="-2"/>
        </w:rPr>
        <w:t>ommission</w:t>
      </w:r>
      <w:r w:rsidRPr="00010209" w:rsidR="00C94836">
        <w:rPr>
          <w:spacing w:val="-2"/>
        </w:rPr>
        <w:t>:</w:t>
      </w:r>
    </w:p>
    <w:p w:rsidR="00E9376C" w:rsidRPr="00981F23" w:rsidP="00AE35F6" w14:paraId="2921E1E0" w14:textId="77777777">
      <w:pPr>
        <w:pStyle w:val="BodyText"/>
        <w:tabs>
          <w:tab w:val="left" w:pos="4680"/>
        </w:tabs>
        <w:rPr>
          <w:b w:val="0"/>
          <w:color w:val="000000" w:themeColor="text1"/>
          <w:sz w:val="22"/>
          <w:szCs w:val="22"/>
          <w:u w:val="none"/>
        </w:rPr>
      </w:pPr>
    </w:p>
    <w:p w:rsidR="00E9376C" w:rsidRPr="00981F23" w:rsidP="00F60397" w14:paraId="13E30992" w14:textId="2295391A">
      <w:pPr>
        <w:pStyle w:val="Heading1"/>
        <w:rPr>
          <w:color w:val="000000" w:themeColor="text1"/>
        </w:rPr>
      </w:pPr>
      <w:r w:rsidRPr="00981F23">
        <w:rPr>
          <w:color w:val="000000" w:themeColor="text1"/>
        </w:rPr>
        <w:t>INTRODUCTION</w:t>
      </w:r>
    </w:p>
    <w:p w:rsidR="002F78DF" w:rsidP="002F78DF" w14:paraId="07F2EC8D" w14:textId="3E19C178">
      <w:pPr>
        <w:pStyle w:val="ParaNum0"/>
      </w:pPr>
      <w:r>
        <w:t>The</w:t>
      </w:r>
      <w:r w:rsidR="00D61455">
        <w:t xml:space="preserve"> Federal Communication </w:t>
      </w:r>
      <w:r>
        <w:t>Commission</w:t>
      </w:r>
      <w:r w:rsidR="00C44028">
        <w:t xml:space="preserve">’s </w:t>
      </w:r>
      <w:r w:rsidR="003555DB">
        <w:t>e</w:t>
      </w:r>
      <w:r w:rsidR="00C44028">
        <w:t xml:space="preserve">qual </w:t>
      </w:r>
      <w:r w:rsidR="003555DB">
        <w:t>e</w:t>
      </w:r>
      <w:r w:rsidR="00C44028">
        <w:t xml:space="preserve">mployment </w:t>
      </w:r>
      <w:r w:rsidR="003555DB">
        <w:t>o</w:t>
      </w:r>
      <w:r w:rsidR="00C44028">
        <w:t xml:space="preserve">pportunity (EEO) </w:t>
      </w:r>
      <w:r w:rsidR="00AD6E7A">
        <w:t xml:space="preserve">rules </w:t>
      </w:r>
      <w:r w:rsidR="00C44028">
        <w:t xml:space="preserve">prohibit </w:t>
      </w:r>
      <w:r w:rsidR="007523D8">
        <w:t xml:space="preserve">broadcasters from </w:t>
      </w:r>
      <w:r w:rsidR="00C44028">
        <w:t>discriminati</w:t>
      </w:r>
      <w:r w:rsidR="007523D8">
        <w:t>ng</w:t>
      </w:r>
      <w:r w:rsidR="00C44028">
        <w:t xml:space="preserve"> in hiring on the basis of race, color, religion, national origin or gender</w:t>
      </w:r>
      <w:r w:rsidR="004E693D">
        <w:t>,</w:t>
      </w:r>
      <w:r w:rsidR="00413B89">
        <w:t xml:space="preserve"> and require most broadcasters to conduct and document broad recruitment efforts</w:t>
      </w:r>
      <w:r w:rsidR="00C44028">
        <w:t xml:space="preserve">.  </w:t>
      </w:r>
      <w:r>
        <w:t xml:space="preserve">Here, we find that </w:t>
      </w:r>
      <w:bookmarkStart w:id="0" w:name="_Hlk53228160"/>
      <w:r>
        <w:t>Cumulus Licensing LLC</w:t>
      </w:r>
      <w:bookmarkEnd w:id="0"/>
      <w:r>
        <w:t xml:space="preserve"> (Cumulus</w:t>
      </w:r>
      <w:r w:rsidR="007C02B5">
        <w:t xml:space="preserve"> or Licensee</w:t>
      </w:r>
      <w:r>
        <w:t xml:space="preserve">), </w:t>
      </w:r>
      <w:r w:rsidR="009B0BB4">
        <w:t xml:space="preserve">former </w:t>
      </w:r>
      <w:r>
        <w:t>licensee of WEGC(FM), Sasser, Georgia</w:t>
      </w:r>
      <w:r w:rsidR="00A517BC">
        <w:t>;</w:t>
      </w:r>
      <w:r>
        <w:t xml:space="preserve"> WJAD(FM), Leesburg, Georgia</w:t>
      </w:r>
      <w:r w:rsidR="00A517BC">
        <w:t>;</w:t>
      </w:r>
      <w:r>
        <w:t xml:space="preserve"> WKAK(FM), Albany, Georgia</w:t>
      </w:r>
      <w:r w:rsidR="00A517BC">
        <w:t>;</w:t>
      </w:r>
      <w:r>
        <w:t xml:space="preserve"> WQVE(FM), Albany, Georgia</w:t>
      </w:r>
      <w:r w:rsidR="00A517BC">
        <w:t>;</w:t>
      </w:r>
      <w:r>
        <w:t xml:space="preserve"> and WALG(AM), Albany, Georgia (Stations), apparently violated the Commission’s EEO rules by failing to</w:t>
      </w:r>
      <w:r w:rsidR="001C049A">
        <w:t xml:space="preserve"> </w:t>
      </w:r>
      <w:r w:rsidR="00AB73E8">
        <w:t>(</w:t>
      </w:r>
      <w:r w:rsidR="00AB73E8">
        <w:t>i</w:t>
      </w:r>
      <w:r w:rsidR="00AB73E8">
        <w:t xml:space="preserve">) </w:t>
      </w:r>
      <w:r w:rsidR="00A33F48">
        <w:t>upload its annual EEO public file report (Annual Report) in the Stations’ online public inspection files;</w:t>
      </w:r>
      <w:r>
        <w:t xml:space="preserve"> </w:t>
      </w:r>
      <w:r w:rsidR="00AB73E8">
        <w:t xml:space="preserve">(ii) </w:t>
      </w:r>
      <w:r w:rsidR="00AC11C8">
        <w:t>upload its Annual Report to the Stations’ websites</w:t>
      </w:r>
      <w:r w:rsidR="00CB3ABA">
        <w:t>;</w:t>
      </w:r>
      <w:r w:rsidR="00A33F48">
        <w:t xml:space="preserve"> </w:t>
      </w:r>
      <w:r>
        <w:t>and</w:t>
      </w:r>
      <w:r w:rsidR="00AB73E8">
        <w:t xml:space="preserve"> (iii)</w:t>
      </w:r>
      <w:r>
        <w:t xml:space="preserve"> </w:t>
      </w:r>
      <w:r w:rsidR="008F72E5">
        <w:t>analyze</w:t>
      </w:r>
      <w:r w:rsidR="00A33F48">
        <w:t xml:space="preserve"> its EEO program</w:t>
      </w:r>
      <w:r>
        <w:t>.  Therefore, w</w:t>
      </w:r>
      <w:r w:rsidRPr="00AE4DF4">
        <w:t xml:space="preserve">e propose a penalty of </w:t>
      </w:r>
      <w:r w:rsidRPr="00B524CE">
        <w:t>$</w:t>
      </w:r>
      <w:r w:rsidR="00F318C5">
        <w:t>32,000</w:t>
      </w:r>
      <w:r w:rsidR="00413B89">
        <w:t xml:space="preserve"> </w:t>
      </w:r>
      <w:r w:rsidRPr="00AE4DF4">
        <w:t>against</w:t>
      </w:r>
      <w:r>
        <w:t xml:space="preserve"> Cumulus</w:t>
      </w:r>
      <w:r w:rsidRPr="0018439D">
        <w:t xml:space="preserve"> for its apparent violation of the</w:t>
      </w:r>
      <w:r w:rsidR="0078258C">
        <w:t>se</w:t>
      </w:r>
      <w:r w:rsidRPr="0018439D">
        <w:t xml:space="preserve"> rules</w:t>
      </w:r>
      <w:bookmarkStart w:id="1" w:name="co_tablefootnote_5_1"/>
      <w:bookmarkEnd w:id="1"/>
      <w:r>
        <w:t>.</w:t>
      </w:r>
    </w:p>
    <w:p w:rsidR="0050166C" w:rsidP="0050166C" w14:paraId="0D698DC8" w14:textId="11F2EDD1">
      <w:pPr>
        <w:pStyle w:val="Heading1"/>
        <w:rPr>
          <w:color w:val="000000" w:themeColor="text1"/>
        </w:rPr>
      </w:pPr>
      <w:r w:rsidRPr="00981F23">
        <w:rPr>
          <w:color w:val="000000" w:themeColor="text1"/>
        </w:rPr>
        <w:t>BACKGROUND</w:t>
      </w:r>
    </w:p>
    <w:p w:rsidR="002F78DF" w:rsidRPr="002F78DF" w:rsidP="004D0B4A" w14:paraId="2570D9BF" w14:textId="1759A823">
      <w:pPr>
        <w:pStyle w:val="ParaNum0"/>
      </w:pPr>
      <w:r w:rsidRPr="00F44FF8">
        <w:rPr>
          <w:i/>
          <w:iCs/>
        </w:rPr>
        <w:t xml:space="preserve">Legal </w:t>
      </w:r>
      <w:r w:rsidRPr="00F44FF8" w:rsidR="00076AC1">
        <w:rPr>
          <w:i/>
          <w:iCs/>
        </w:rPr>
        <w:t>Framework</w:t>
      </w:r>
      <w:r w:rsidRPr="00F44FF8">
        <w:rPr>
          <w:i/>
          <w:iCs/>
        </w:rPr>
        <w:t xml:space="preserve">. </w:t>
      </w:r>
      <w:bookmarkStart w:id="2" w:name="_Hlk42594535"/>
      <w:r w:rsidRPr="00F44FF8">
        <w:rPr>
          <w:i/>
          <w:iCs/>
        </w:rPr>
        <w:t xml:space="preserve"> </w:t>
      </w:r>
      <w:r w:rsidRPr="00F44FF8" w:rsidR="00B41186">
        <w:rPr>
          <w:szCs w:val="22"/>
        </w:rPr>
        <w:t xml:space="preserve">Section 73.2080(c)(6) of the Commission’s rules requires a licensee to place its station’s </w:t>
      </w:r>
      <w:r w:rsidR="00C06E6C">
        <w:rPr>
          <w:szCs w:val="22"/>
        </w:rPr>
        <w:t>Annual R</w:t>
      </w:r>
      <w:r w:rsidRPr="00F44FF8" w:rsidR="00B41186">
        <w:rPr>
          <w:szCs w:val="22"/>
        </w:rPr>
        <w:t>eport in its public inspection file and on its website</w:t>
      </w:r>
      <w:r w:rsidR="0054567E">
        <w:rPr>
          <w:szCs w:val="22"/>
        </w:rPr>
        <w:t>, if it has one</w:t>
      </w:r>
      <w:r w:rsidRPr="00F44FF8" w:rsidR="00B41186">
        <w:rPr>
          <w:szCs w:val="22"/>
        </w:rPr>
        <w:t>.</w:t>
      </w:r>
      <w:r>
        <w:rPr>
          <w:rStyle w:val="FootnoteReference"/>
          <w:szCs w:val="22"/>
        </w:rPr>
        <w:footnoteReference w:id="3"/>
      </w:r>
      <w:r w:rsidR="00B41186">
        <w:t xml:space="preserve">  </w:t>
      </w:r>
      <w:r w:rsidR="00D747C8">
        <w:t xml:space="preserve">A station’s </w:t>
      </w:r>
      <w:r w:rsidR="00C06E6C">
        <w:t>Annual Report</w:t>
      </w:r>
      <w:r w:rsidR="00D747C8">
        <w:t xml:space="preserve"> includes information concerning its full-time vacancies</w:t>
      </w:r>
      <w:r w:rsidR="00684126">
        <w:t xml:space="preserve"> over the prior year</w:t>
      </w:r>
      <w:r w:rsidR="00F86165">
        <w:t>;</w:t>
      </w:r>
      <w:r w:rsidR="00D747C8">
        <w:t xml:space="preserve"> </w:t>
      </w:r>
      <w:r w:rsidR="007B405A">
        <w:t xml:space="preserve">the </w:t>
      </w:r>
      <w:r w:rsidR="00D747C8">
        <w:t>recruitment sources utilized to fill full-time vacancies</w:t>
      </w:r>
      <w:r w:rsidR="00F86165">
        <w:t>;</w:t>
      </w:r>
      <w:r w:rsidR="00D747C8">
        <w:t xml:space="preserve"> the recruitment source that referred the </w:t>
      </w:r>
      <w:r w:rsidR="00D747C8">
        <w:t>hiree</w:t>
      </w:r>
      <w:r w:rsidR="00D747C8">
        <w:t xml:space="preserve"> for each full-time vacancy</w:t>
      </w:r>
      <w:r w:rsidR="00F86165">
        <w:t>;</w:t>
      </w:r>
      <w:r w:rsidR="00D747C8">
        <w:t xml:space="preserve"> data reflecting the total number of persons interviewed for full-time vacancies</w:t>
      </w:r>
      <w:r w:rsidR="00B122FC">
        <w:t>,</w:t>
      </w:r>
      <w:r w:rsidR="00D747C8">
        <w:t xml:space="preserve"> the total number of interviewees referred by each recruitment source</w:t>
      </w:r>
      <w:r w:rsidR="00F86165">
        <w:t>;</w:t>
      </w:r>
      <w:r w:rsidR="00D747C8">
        <w:t xml:space="preserve"> and a list and brief description of </w:t>
      </w:r>
      <w:r w:rsidR="007B405A">
        <w:t xml:space="preserve">its </w:t>
      </w:r>
      <w:r w:rsidR="00D747C8">
        <w:t>recruitment initiatives.</w:t>
      </w:r>
      <w:r>
        <w:rPr>
          <w:rStyle w:val="FootnoteReference"/>
        </w:rPr>
        <w:footnoteReference w:id="4"/>
      </w:r>
      <w:r w:rsidR="00D747C8">
        <w:t xml:space="preserve">  </w:t>
      </w:r>
      <w:r w:rsidRPr="0016077B">
        <w:rPr>
          <w:szCs w:val="22"/>
        </w:rPr>
        <w:t>Section 73.2080(c)(3) of the Commission’s rules</w:t>
      </w:r>
      <w:r w:rsidRPr="00522CD2">
        <w:rPr>
          <w:szCs w:val="22"/>
        </w:rPr>
        <w:t xml:space="preserve"> requires a licensee to analyze </w:t>
      </w:r>
      <w:r w:rsidR="0016077B">
        <w:rPr>
          <w:szCs w:val="22"/>
        </w:rPr>
        <w:t>its</w:t>
      </w:r>
      <w:r w:rsidRPr="0016077B" w:rsidR="0016077B">
        <w:rPr>
          <w:szCs w:val="22"/>
        </w:rPr>
        <w:t xml:space="preserve"> </w:t>
      </w:r>
      <w:r w:rsidRPr="0016077B">
        <w:rPr>
          <w:szCs w:val="22"/>
        </w:rPr>
        <w:t xml:space="preserve">EEO recruitment program </w:t>
      </w:r>
      <w:r w:rsidRPr="0016077B" w:rsidR="00550E11">
        <w:rPr>
          <w:szCs w:val="22"/>
        </w:rPr>
        <w:t xml:space="preserve">for its employment unit </w:t>
      </w:r>
      <w:r w:rsidRPr="00323B87">
        <w:rPr>
          <w:szCs w:val="22"/>
        </w:rPr>
        <w:t xml:space="preserve">on an ongoing basis to ensure that </w:t>
      </w:r>
      <w:r w:rsidR="001D47BF">
        <w:rPr>
          <w:szCs w:val="22"/>
        </w:rPr>
        <w:t xml:space="preserve">it </w:t>
      </w:r>
      <w:r w:rsidRPr="00744754">
        <w:rPr>
          <w:szCs w:val="22"/>
        </w:rPr>
        <w:t>is effective in achieving broad outreach to potential applicants, and address any problems found as a result of its analysis.</w:t>
      </w:r>
      <w:r>
        <w:rPr>
          <w:rStyle w:val="FootnoteReference"/>
          <w:sz w:val="22"/>
          <w:szCs w:val="22"/>
        </w:rPr>
        <w:footnoteReference w:id="5"/>
      </w:r>
      <w:bookmarkEnd w:id="2"/>
      <w:r w:rsidR="009F302F">
        <w:rPr>
          <w:szCs w:val="22"/>
        </w:rPr>
        <w:t xml:space="preserve">  </w:t>
      </w:r>
      <w:r w:rsidR="00744EE0">
        <w:rPr>
          <w:szCs w:val="22"/>
        </w:rPr>
        <w:t xml:space="preserve">In addition, section 73.3526(e)(7) of the Commission’s rules requires that a licensee place </w:t>
      </w:r>
      <w:r w:rsidR="00744EE0">
        <w:rPr>
          <w:szCs w:val="22"/>
        </w:rPr>
        <w:t>required information, including EEO files such as its Annual Report, in its station’s public inspection file.</w:t>
      </w:r>
      <w:r>
        <w:rPr>
          <w:rStyle w:val="FootnoteReference"/>
          <w:szCs w:val="22"/>
        </w:rPr>
        <w:footnoteReference w:id="6"/>
      </w:r>
    </w:p>
    <w:p w:rsidR="00544B91" w:rsidP="003B1976" w14:paraId="755E2EAE" w14:textId="6CED590E">
      <w:pPr>
        <w:pStyle w:val="ParaNum0"/>
        <w:widowControl/>
      </w:pPr>
      <w:r w:rsidRPr="00756FBB">
        <w:rPr>
          <w:i/>
          <w:iCs/>
        </w:rPr>
        <w:t>Factual Background</w:t>
      </w:r>
      <w:r>
        <w:t>.</w:t>
      </w:r>
      <w:r w:rsidR="00DE573B">
        <w:t xml:space="preserve"> </w:t>
      </w:r>
      <w:r w:rsidR="002A5323">
        <w:t xml:space="preserve"> </w:t>
      </w:r>
      <w:r w:rsidR="00DE573B">
        <w:t>Cumulus</w:t>
      </w:r>
      <w:r w:rsidR="00CF7BE6">
        <w:t xml:space="preserve"> is a</w:t>
      </w:r>
      <w:r w:rsidR="00CD1C45">
        <w:t>n indirect</w:t>
      </w:r>
      <w:r w:rsidR="00CF7BE6">
        <w:t xml:space="preserve"> subsidiary of Cumulus Media, Inc</w:t>
      </w:r>
      <w:r w:rsidR="00D763C2">
        <w:t>.</w:t>
      </w:r>
      <w:r w:rsidR="00CD1C45">
        <w:t>, which</w:t>
      </w:r>
      <w:r w:rsidR="000B5A02">
        <w:t>, on its website,</w:t>
      </w:r>
      <w:r w:rsidR="00CD1C45">
        <w:t xml:space="preserve"> </w:t>
      </w:r>
      <w:r w:rsidR="00D66CAD">
        <w:t xml:space="preserve">reports </w:t>
      </w:r>
      <w:r w:rsidR="00CD1C45">
        <w:t xml:space="preserve">that it owns and operates </w:t>
      </w:r>
      <w:r w:rsidR="00D66CAD">
        <w:t>41</w:t>
      </w:r>
      <w:r w:rsidR="00C34D7E">
        <w:t>0</w:t>
      </w:r>
      <w:r w:rsidR="00DE573B">
        <w:t xml:space="preserve"> </w:t>
      </w:r>
      <w:r w:rsidR="00D66CAD">
        <w:t>broadcast stations across 86 media markets</w:t>
      </w:r>
      <w:r w:rsidR="00DE573B">
        <w:t>,</w:t>
      </w:r>
      <w:r>
        <w:rPr>
          <w:rStyle w:val="FootnoteReference"/>
        </w:rPr>
        <w:footnoteReference w:id="7"/>
      </w:r>
      <w:r w:rsidR="00D66CAD">
        <w:t xml:space="preserve"> </w:t>
      </w:r>
      <w:r w:rsidR="00DE573B">
        <w:t xml:space="preserve">as well as </w:t>
      </w:r>
      <w:r w:rsidR="00D66CAD">
        <w:t xml:space="preserve">Westwood One, </w:t>
      </w:r>
      <w:r w:rsidR="00782C22">
        <w:t>an audio network that syndicates sports, news, talk, and entertainment programming.</w:t>
      </w:r>
      <w:r>
        <w:rPr>
          <w:rStyle w:val="FootnoteReference"/>
        </w:rPr>
        <w:footnoteReference w:id="8"/>
      </w:r>
      <w:r w:rsidR="00782C22">
        <w:t xml:space="preserve">  </w:t>
      </w:r>
      <w:r w:rsidRPr="0076278C" w:rsidR="0076278C">
        <w:t xml:space="preserve">In </w:t>
      </w:r>
      <w:r w:rsidR="00150D80">
        <w:t xml:space="preserve">the </w:t>
      </w:r>
      <w:r w:rsidR="002F1E9F">
        <w:t xml:space="preserve">Stations’ </w:t>
      </w:r>
      <w:r w:rsidR="009B0BB4">
        <w:t xml:space="preserve">most recent </w:t>
      </w:r>
      <w:r w:rsidR="002F1E9F">
        <w:t>re</w:t>
      </w:r>
      <w:r w:rsidRPr="0076278C" w:rsidR="0076278C">
        <w:t>newal applications</w:t>
      </w:r>
      <w:r w:rsidR="009B0BB4">
        <w:t xml:space="preserve"> (Renewal Applications)</w:t>
      </w:r>
      <w:r w:rsidRPr="0076278C" w:rsidR="0076278C">
        <w:t xml:space="preserve">, </w:t>
      </w:r>
      <w:r w:rsidR="0076278C">
        <w:t xml:space="preserve">Cumulus </w:t>
      </w:r>
      <w:r w:rsidR="00150D80">
        <w:t xml:space="preserve">indicated </w:t>
      </w:r>
      <w:r w:rsidR="0076278C">
        <w:t>that</w:t>
      </w:r>
      <w:r w:rsidR="00150D80">
        <w:t xml:space="preserve"> it had not uploaded </w:t>
      </w:r>
      <w:r w:rsidR="005A1019">
        <w:t>its</w:t>
      </w:r>
      <w:r w:rsidR="00150D80">
        <w:t xml:space="preserve"> EEO files</w:t>
      </w:r>
      <w:r w:rsidR="005A1019">
        <w:t xml:space="preserve"> to the Stations’ public inspection files</w:t>
      </w:r>
      <w:r w:rsidR="00150D80">
        <w:t xml:space="preserve"> </w:t>
      </w:r>
      <w:r w:rsidR="005A1019">
        <w:t>as and when</w:t>
      </w:r>
      <w:r w:rsidR="00150D80">
        <w:t xml:space="preserve"> required by the Commission’s rules.</w:t>
      </w:r>
      <w:r>
        <w:rPr>
          <w:rStyle w:val="FootnoteReference"/>
        </w:rPr>
        <w:footnoteReference w:id="9"/>
      </w:r>
      <w:r w:rsidR="005A1019">
        <w:t xml:space="preserve"> </w:t>
      </w:r>
      <w:r w:rsidRPr="00150D80" w:rsidR="00150D80">
        <w:t xml:space="preserve"> </w:t>
      </w:r>
      <w:r>
        <w:t xml:space="preserve">In response to </w:t>
      </w:r>
      <w:r w:rsidR="002F1E9F">
        <w:t xml:space="preserve">a </w:t>
      </w:r>
      <w:r>
        <w:t>Letter of Inquiry</w:t>
      </w:r>
      <w:r w:rsidR="002F1E9F">
        <w:t xml:space="preserve"> issued by the Enforcement Bureau’s Investigations and Hearings Division,</w:t>
      </w:r>
      <w:r>
        <w:rPr>
          <w:rStyle w:val="FootnoteReference"/>
        </w:rPr>
        <w:footnoteReference w:id="10"/>
      </w:r>
      <w:r w:rsidR="002F1E9F">
        <w:t xml:space="preserve"> </w:t>
      </w:r>
      <w:r>
        <w:t>Cumulus</w:t>
      </w:r>
      <w:r w:rsidR="00545FDB">
        <w:t xml:space="preserve"> acknowledged</w:t>
      </w:r>
      <w:r>
        <w:t xml:space="preserve"> that </w:t>
      </w:r>
      <w:r w:rsidR="005B08CB">
        <w:t>the Stations’</w:t>
      </w:r>
      <w:r w:rsidRPr="0076278C" w:rsidR="005B08CB">
        <w:t xml:space="preserve"> </w:t>
      </w:r>
      <w:r w:rsidR="005B08CB">
        <w:t xml:space="preserve">2018 </w:t>
      </w:r>
      <w:r w:rsidR="00C06E6C">
        <w:t>Annual Report</w:t>
      </w:r>
      <w:r w:rsidRPr="0076278C" w:rsidR="005B08CB">
        <w:t xml:space="preserve"> had </w:t>
      </w:r>
      <w:r w:rsidR="005B08CB">
        <w:t xml:space="preserve">not </w:t>
      </w:r>
      <w:r w:rsidRPr="0076278C" w:rsidR="005B08CB">
        <w:t xml:space="preserve">been added to the Stations’ public inspection </w:t>
      </w:r>
      <w:r w:rsidR="005B08CB">
        <w:t xml:space="preserve">files and websites until </w:t>
      </w:r>
      <w:r w:rsidR="000C5B32">
        <w:t>September 11, 2019</w:t>
      </w:r>
      <w:r>
        <w:rPr>
          <w:rStyle w:val="FootnoteReference"/>
        </w:rPr>
        <w:footnoteReference w:id="11"/>
      </w:r>
      <w:r w:rsidR="00BE4F83">
        <w:t>—</w:t>
      </w:r>
      <w:r w:rsidR="006C5C58">
        <w:t xml:space="preserve">more than </w:t>
      </w:r>
      <w:r w:rsidRPr="0076278C" w:rsidR="005B08CB">
        <w:t xml:space="preserve">nine months after the </w:t>
      </w:r>
      <w:r w:rsidR="006C5C58">
        <w:t xml:space="preserve">December 3, 2018 </w:t>
      </w:r>
      <w:r w:rsidRPr="0076278C" w:rsidR="005B08CB">
        <w:t xml:space="preserve">deadline for </w:t>
      </w:r>
      <w:r w:rsidR="00FE2B8B">
        <w:t>doing so</w:t>
      </w:r>
      <w:r>
        <w:t>.</w:t>
      </w:r>
      <w:r>
        <w:rPr>
          <w:rStyle w:val="FootnoteReference"/>
        </w:rPr>
        <w:footnoteReference w:id="12"/>
      </w:r>
      <w:r>
        <w:t xml:space="preserve">  </w:t>
      </w:r>
      <w:r w:rsidR="002F1E9F">
        <w:t>Cumulus</w:t>
      </w:r>
      <w:r>
        <w:t xml:space="preserve"> explained that this failure was due to </w:t>
      </w:r>
      <w:r w:rsidRPr="002F1E9F" w:rsidR="002F1E9F">
        <w:t xml:space="preserve">a </w:t>
      </w:r>
      <w:r w:rsidR="006C5C58">
        <w:t>“</w:t>
      </w:r>
      <w:r w:rsidRPr="002F1E9F" w:rsidR="006B5B06">
        <w:t xml:space="preserve">routine </w:t>
      </w:r>
      <w:r w:rsidRPr="002F1E9F" w:rsidR="002F1E9F">
        <w:t>administrative change</w:t>
      </w:r>
      <w:r w:rsidR="006C5C58">
        <w:t>”</w:t>
      </w:r>
      <w:r w:rsidRPr="002F1E9F" w:rsidR="002F1E9F">
        <w:t xml:space="preserve"> </w:t>
      </w:r>
      <w:r w:rsidR="002F1E9F">
        <w:t xml:space="preserve">and </w:t>
      </w:r>
      <w:r>
        <w:t>the loss of a former employe</w:t>
      </w:r>
      <w:r w:rsidR="002F1E9F">
        <w:t>e.</w:t>
      </w:r>
      <w:r>
        <w:rPr>
          <w:rStyle w:val="FootnoteReference"/>
        </w:rPr>
        <w:footnoteReference w:id="13"/>
      </w:r>
    </w:p>
    <w:p w:rsidR="00E9376C" w:rsidRPr="00A533D5" w:rsidP="004E5204" w14:paraId="3931AF30" w14:textId="77777777">
      <w:pPr>
        <w:pStyle w:val="Heading1"/>
        <w:rPr>
          <w:bCs/>
          <w:color w:val="000000" w:themeColor="text1"/>
        </w:rPr>
      </w:pPr>
      <w:r w:rsidRPr="00981F23">
        <w:rPr>
          <w:color w:val="000000" w:themeColor="text1"/>
        </w:rPr>
        <w:t>DISCUSSION</w:t>
      </w:r>
    </w:p>
    <w:p w:rsidR="00A533D5" w:rsidRPr="00A533D5" w:rsidP="00A533D5" w14:paraId="421AA685" w14:textId="77777777">
      <w:pPr>
        <w:pStyle w:val="ParaNum0"/>
        <w:numPr>
          <w:ilvl w:val="0"/>
          <w:numId w:val="0"/>
        </w:numPr>
        <w:ind w:left="720"/>
        <w:rPr>
          <w:b/>
          <w:bCs/>
        </w:rPr>
      </w:pPr>
      <w:r w:rsidRPr="00A533D5">
        <w:rPr>
          <w:b/>
          <w:bCs/>
        </w:rPr>
        <w:t>A.</w:t>
      </w:r>
      <w:r w:rsidRPr="00A533D5">
        <w:rPr>
          <w:b/>
          <w:bCs/>
        </w:rPr>
        <w:tab/>
        <w:t>Cumulus Apparently Violated the EEO Rules</w:t>
      </w:r>
    </w:p>
    <w:p w:rsidR="00FE7759" w:rsidRPr="004D0B4A" w:rsidP="00DB4629" w14:paraId="13730D3E" w14:textId="29857E94">
      <w:pPr>
        <w:pStyle w:val="ParaNum0"/>
        <w:rPr>
          <w:spacing w:val="-2"/>
        </w:rPr>
      </w:pPr>
      <w:r w:rsidRPr="00981F23">
        <w:rPr>
          <w:spacing w:val="-2"/>
        </w:rPr>
        <w:t xml:space="preserve">We find that </w:t>
      </w:r>
      <w:r w:rsidR="0092077F">
        <w:t>Cumulus</w:t>
      </w:r>
      <w:r w:rsidRPr="00981F23">
        <w:t xml:space="preserve"> apparently willfully and repeatedly violated </w:t>
      </w:r>
      <w:r>
        <w:t>sections 73.2080(c)(6)</w:t>
      </w:r>
      <w:r w:rsidR="00AA2004">
        <w:t>,</w:t>
      </w:r>
      <w:r w:rsidR="00E668F3">
        <w:t xml:space="preserve"> 73.2080(c)(3)</w:t>
      </w:r>
      <w:r w:rsidR="00AA2004">
        <w:t>, and 73.3526(e)(7)</w:t>
      </w:r>
      <w:r w:rsidR="00E668F3">
        <w:t xml:space="preserve"> </w:t>
      </w:r>
      <w:r w:rsidR="00117C6D">
        <w:t>of the Commission’s rules.</w:t>
      </w:r>
      <w:r>
        <w:rPr>
          <w:rStyle w:val="FootnoteReference"/>
        </w:rPr>
        <w:footnoteReference w:id="14"/>
      </w:r>
      <w:r w:rsidR="00350792">
        <w:t xml:space="preserve">  </w:t>
      </w:r>
      <w:r w:rsidR="009575BF">
        <w:t xml:space="preserve">Cumulus </w:t>
      </w:r>
      <w:r w:rsidR="009579C1">
        <w:t xml:space="preserve">apparently </w:t>
      </w:r>
      <w:r w:rsidR="00077657">
        <w:t xml:space="preserve">violated </w:t>
      </w:r>
      <w:r w:rsidR="000B72B2">
        <w:t>section</w:t>
      </w:r>
      <w:r w:rsidR="00DB4629">
        <w:t xml:space="preserve"> </w:t>
      </w:r>
      <w:r w:rsidR="000B72B2">
        <w:t>73.2080(c)(6)</w:t>
      </w:r>
      <w:r w:rsidR="003B22D0">
        <w:t xml:space="preserve"> by failing to timely </w:t>
      </w:r>
      <w:r w:rsidR="00A33F48">
        <w:t xml:space="preserve">upload </w:t>
      </w:r>
      <w:r w:rsidR="008E4195">
        <w:t>the Stations’</w:t>
      </w:r>
      <w:r w:rsidR="003B22D0">
        <w:t xml:space="preserve"> 2018 </w:t>
      </w:r>
      <w:r w:rsidR="00C24C89">
        <w:t>Annual Report</w:t>
      </w:r>
      <w:r w:rsidR="003B22D0">
        <w:t xml:space="preserve"> in </w:t>
      </w:r>
      <w:r w:rsidR="005E2309">
        <w:t xml:space="preserve">the </w:t>
      </w:r>
      <w:r w:rsidR="00225A23">
        <w:t xml:space="preserve">Stations’ </w:t>
      </w:r>
      <w:r w:rsidR="003B22D0">
        <w:t>public inspection files</w:t>
      </w:r>
      <w:r w:rsidR="00D322E1">
        <w:t>,</w:t>
      </w:r>
      <w:r w:rsidR="003B22D0">
        <w:t xml:space="preserve"> and </w:t>
      </w:r>
      <w:r w:rsidR="00D322E1">
        <w:t xml:space="preserve">by failing to upload the Annual Report </w:t>
      </w:r>
      <w:r w:rsidR="003B22D0">
        <w:t xml:space="preserve">on </w:t>
      </w:r>
      <w:r w:rsidR="00225A23">
        <w:t>the</w:t>
      </w:r>
      <w:r w:rsidR="00D322E1">
        <w:t xml:space="preserve"> Stations’</w:t>
      </w:r>
      <w:r w:rsidR="003B22D0">
        <w:t xml:space="preserve"> websites</w:t>
      </w:r>
      <w:r w:rsidR="00A333EB">
        <w:t xml:space="preserve">.  </w:t>
      </w:r>
      <w:r w:rsidR="00D322E1">
        <w:t>These failures reveal a continuing lack of EEO assessment, in apparent violation of section 73.2080(c)(3).</w:t>
      </w:r>
    </w:p>
    <w:p w:rsidR="00AA2435" w:rsidRPr="004D0B4A" w:rsidP="004D0B4A" w14:paraId="6078558D" w14:textId="7E7EC754">
      <w:pPr>
        <w:pStyle w:val="ParaNum0"/>
        <w:numPr>
          <w:ilvl w:val="0"/>
          <w:numId w:val="0"/>
        </w:numPr>
        <w:ind w:left="720"/>
        <w:rPr>
          <w:spacing w:val="-2"/>
        </w:rPr>
      </w:pPr>
      <w:r>
        <w:tab/>
      </w:r>
      <w:r w:rsidRPr="004D0B4A">
        <w:rPr>
          <w:b/>
          <w:bCs/>
        </w:rPr>
        <w:t>1.</w:t>
      </w:r>
      <w:r>
        <w:tab/>
      </w:r>
      <w:r w:rsidRPr="0050129F">
        <w:rPr>
          <w:b/>
        </w:rPr>
        <w:t xml:space="preserve">Cumulus </w:t>
      </w:r>
      <w:r w:rsidR="00A36026">
        <w:rPr>
          <w:b/>
        </w:rPr>
        <w:t>D</w:t>
      </w:r>
      <w:r w:rsidRPr="0050129F">
        <w:rPr>
          <w:b/>
        </w:rPr>
        <w:t xml:space="preserve">id </w:t>
      </w:r>
      <w:r w:rsidR="00A36026">
        <w:rPr>
          <w:b/>
        </w:rPr>
        <w:t>N</w:t>
      </w:r>
      <w:r w:rsidRPr="0050129F">
        <w:rPr>
          <w:b/>
        </w:rPr>
        <w:t xml:space="preserve">ot </w:t>
      </w:r>
      <w:r w:rsidR="00A36026">
        <w:rPr>
          <w:b/>
        </w:rPr>
        <w:t>T</w:t>
      </w:r>
      <w:r w:rsidRPr="0050129F">
        <w:rPr>
          <w:b/>
        </w:rPr>
        <w:t xml:space="preserve">imely </w:t>
      </w:r>
      <w:r w:rsidR="00D60D68">
        <w:rPr>
          <w:b/>
        </w:rPr>
        <w:t>Upload</w:t>
      </w:r>
      <w:r w:rsidRPr="0050129F" w:rsidR="00D60D68">
        <w:rPr>
          <w:b/>
        </w:rPr>
        <w:t xml:space="preserve"> </w:t>
      </w:r>
      <w:r w:rsidR="00A36026">
        <w:rPr>
          <w:b/>
        </w:rPr>
        <w:t>I</w:t>
      </w:r>
      <w:r w:rsidRPr="0050129F">
        <w:rPr>
          <w:b/>
        </w:rPr>
        <w:t>ts EEO Public File Report</w:t>
      </w:r>
      <w:r w:rsidR="00D322E1">
        <w:rPr>
          <w:b/>
        </w:rPr>
        <w:t xml:space="preserve"> Into Its Stations’ Online Public Inspection Files and Websites</w:t>
      </w:r>
    </w:p>
    <w:p w:rsidR="00054C2C" w:rsidP="00AA2435" w14:paraId="64E3E5C3" w14:textId="687E6465">
      <w:pPr>
        <w:pStyle w:val="ParaNum0"/>
      </w:pPr>
      <w:r w:rsidRPr="0060194B">
        <w:t xml:space="preserve">Cumulus apparently violated </w:t>
      </w:r>
      <w:r w:rsidR="002C6839">
        <w:t>s</w:t>
      </w:r>
      <w:r w:rsidRPr="0060194B" w:rsidR="00502D51">
        <w:t>ection 73.2080(c)(6)</w:t>
      </w:r>
      <w:r w:rsidR="00502D51">
        <w:t xml:space="preserve"> </w:t>
      </w:r>
      <w:r w:rsidR="002C6839">
        <w:t xml:space="preserve">of </w:t>
      </w:r>
      <w:r w:rsidRPr="0060194B">
        <w:t xml:space="preserve">the Commission’s rules </w:t>
      </w:r>
      <w:r w:rsidR="00E03BB6">
        <w:t xml:space="preserve">in two separate ways:  (1) </w:t>
      </w:r>
      <w:r w:rsidRPr="0060194B">
        <w:t xml:space="preserve">by failing to timely </w:t>
      </w:r>
      <w:r w:rsidR="00A33F48">
        <w:t>upload</w:t>
      </w:r>
      <w:r w:rsidRPr="0060194B" w:rsidR="00A33F48">
        <w:t xml:space="preserve"> </w:t>
      </w:r>
      <w:r w:rsidR="00502D51">
        <w:t>its</w:t>
      </w:r>
      <w:r w:rsidRPr="0060194B" w:rsidR="00502D51">
        <w:t xml:space="preserve"> </w:t>
      </w:r>
      <w:r w:rsidRPr="0060194B">
        <w:t xml:space="preserve">2018 </w:t>
      </w:r>
      <w:r w:rsidR="00AB0872">
        <w:t>Annual Report in its Stations’ public inspection files</w:t>
      </w:r>
      <w:r w:rsidR="00E03BB6">
        <w:t>;</w:t>
      </w:r>
      <w:r w:rsidR="00502D51">
        <w:t xml:space="preserve"> and </w:t>
      </w:r>
      <w:r w:rsidR="00E03BB6">
        <w:t xml:space="preserve">(2) </w:t>
      </w:r>
      <w:r w:rsidR="00D322E1">
        <w:t xml:space="preserve">by failing to timely upload its 2018 Annual Report </w:t>
      </w:r>
      <w:r w:rsidR="006660F0">
        <w:t xml:space="preserve">to </w:t>
      </w:r>
      <w:r w:rsidR="00502D51">
        <w:t>the Stations’ websites</w:t>
      </w:r>
      <w:r w:rsidRPr="0060194B">
        <w:t>.</w:t>
      </w:r>
      <w:r>
        <w:rPr>
          <w:rStyle w:val="FootnoteReference"/>
        </w:rPr>
        <w:footnoteReference w:id="15"/>
      </w:r>
      <w:r w:rsidRPr="0060194B">
        <w:t xml:space="preserve">  </w:t>
      </w:r>
      <w:r>
        <w:t xml:space="preserve">The </w:t>
      </w:r>
      <w:r w:rsidR="00AB0872">
        <w:t xml:space="preserve">Annual Report must be </w:t>
      </w:r>
      <w:r w:rsidR="00A33F48">
        <w:t xml:space="preserve">added to </w:t>
      </w:r>
      <w:r w:rsidR="00AB0872">
        <w:t xml:space="preserve">a station’s public inspection file </w:t>
      </w:r>
      <w:r w:rsidR="00E24BED">
        <w:t xml:space="preserve">and on a station’s website, if it has one, </w:t>
      </w:r>
      <w:r>
        <w:t xml:space="preserve">on the </w:t>
      </w:r>
      <w:r w:rsidR="00A26471">
        <w:t xml:space="preserve">anniversary of </w:t>
      </w:r>
      <w:r w:rsidR="005E2309">
        <w:t>the</w:t>
      </w:r>
      <w:r>
        <w:t xml:space="preserve"> </w:t>
      </w:r>
      <w:r w:rsidR="00A26471">
        <w:t xml:space="preserve">date that the </w:t>
      </w:r>
      <w:r>
        <w:t>station</w:t>
      </w:r>
      <w:r w:rsidR="005E2309">
        <w:t>’s</w:t>
      </w:r>
      <w:r>
        <w:t xml:space="preserve"> renewal application</w:t>
      </w:r>
      <w:r w:rsidRPr="005E2309" w:rsidR="005E2309">
        <w:t xml:space="preserve"> </w:t>
      </w:r>
      <w:r w:rsidR="00A26471">
        <w:t>was</w:t>
      </w:r>
      <w:r w:rsidR="005E2309">
        <w:t xml:space="preserve"> due</w:t>
      </w:r>
      <w:r w:rsidR="00F76B14">
        <w:t>.</w:t>
      </w:r>
      <w:r>
        <w:rPr>
          <w:rStyle w:val="FootnoteReference"/>
        </w:rPr>
        <w:footnoteReference w:id="16"/>
      </w:r>
      <w:r>
        <w:t xml:space="preserve"> </w:t>
      </w:r>
      <w:r w:rsidR="00F76B14">
        <w:t xml:space="preserve"> I</w:t>
      </w:r>
      <w:r>
        <w:t>n this case</w:t>
      </w:r>
      <w:r w:rsidR="00F76B14">
        <w:t xml:space="preserve">, Cumulus was required to upload </w:t>
      </w:r>
      <w:r w:rsidR="00502D51">
        <w:t xml:space="preserve">the </w:t>
      </w:r>
      <w:r w:rsidR="00EF62F5">
        <w:t xml:space="preserve">Stations’ </w:t>
      </w:r>
      <w:r>
        <w:t xml:space="preserve">2018 </w:t>
      </w:r>
      <w:r w:rsidR="004248B2">
        <w:t>Annual Report in</w:t>
      </w:r>
      <w:r w:rsidR="00A33F48">
        <w:t>to</w:t>
      </w:r>
      <w:r w:rsidR="004248B2">
        <w:t xml:space="preserve"> the Stations’ public inspection files</w:t>
      </w:r>
      <w:r>
        <w:t xml:space="preserve"> </w:t>
      </w:r>
      <w:r w:rsidR="00502D51">
        <w:t xml:space="preserve">and on their websites </w:t>
      </w:r>
      <w:r w:rsidR="00166D0B">
        <w:t xml:space="preserve">by </w:t>
      </w:r>
      <w:r>
        <w:t xml:space="preserve">December 3, 2018.  In its LOI </w:t>
      </w:r>
      <w:r w:rsidR="001A60C8">
        <w:t>Response</w:t>
      </w:r>
      <w:r>
        <w:t xml:space="preserve">, Cumulus reported that it had </w:t>
      </w:r>
      <w:r w:rsidR="004248B2">
        <w:t xml:space="preserve">not </w:t>
      </w:r>
      <w:r w:rsidR="00502D51">
        <w:t xml:space="preserve">uploaded </w:t>
      </w:r>
      <w:r w:rsidR="00D95889">
        <w:t>its</w:t>
      </w:r>
      <w:r w:rsidR="00502D51">
        <w:t xml:space="preserve"> </w:t>
      </w:r>
      <w:r>
        <w:t xml:space="preserve">2018 </w:t>
      </w:r>
      <w:r w:rsidR="004248B2">
        <w:t>Annual Report</w:t>
      </w:r>
      <w:r>
        <w:t xml:space="preserve"> </w:t>
      </w:r>
      <w:r w:rsidR="00EF62F5">
        <w:t xml:space="preserve">to </w:t>
      </w:r>
      <w:r w:rsidR="00E24BED">
        <w:t>the Stations’ public inspection files</w:t>
      </w:r>
      <w:r w:rsidR="00EF62F5">
        <w:t xml:space="preserve"> or to the Stations’ websites </w:t>
      </w:r>
      <w:r w:rsidR="004248B2">
        <w:t xml:space="preserve">until </w:t>
      </w:r>
      <w:r>
        <w:t>September 11, 2019.</w:t>
      </w:r>
      <w:r>
        <w:rPr>
          <w:rStyle w:val="FootnoteReference"/>
        </w:rPr>
        <w:footnoteReference w:id="17"/>
      </w:r>
      <w:r>
        <w:t xml:space="preserve">  </w:t>
      </w:r>
      <w:r w:rsidR="005E2309">
        <w:t>B</w:t>
      </w:r>
      <w:r>
        <w:t xml:space="preserve">y its own admission, </w:t>
      </w:r>
      <w:r w:rsidR="00502D51">
        <w:t xml:space="preserve">therefore, </w:t>
      </w:r>
      <w:r>
        <w:t xml:space="preserve">Cumulus was over nine months late in </w:t>
      </w:r>
      <w:r w:rsidR="004248B2">
        <w:t xml:space="preserve">placing </w:t>
      </w:r>
      <w:r>
        <w:t xml:space="preserve">its 2018 </w:t>
      </w:r>
      <w:r w:rsidR="004248B2">
        <w:t>Annual Report in the Stations’ public inspection files and on the</w:t>
      </w:r>
      <w:r w:rsidR="00502D51">
        <w:t>ir</w:t>
      </w:r>
      <w:r w:rsidR="004248B2">
        <w:t xml:space="preserve"> websites</w:t>
      </w:r>
      <w:r>
        <w:t>.</w:t>
      </w:r>
    </w:p>
    <w:p w:rsidR="0080030E" w:rsidRPr="00AA2004" w:rsidP="0080030E" w14:paraId="5E65D366" w14:textId="55B6E967">
      <w:pPr>
        <w:pStyle w:val="ParaNum0"/>
        <w:rPr>
          <w:spacing w:val="-2"/>
        </w:rPr>
      </w:pPr>
      <w:r>
        <w:t xml:space="preserve">In its LOI Response, Cumulus explained that it did not timely </w:t>
      </w:r>
      <w:r w:rsidR="005E1AD5">
        <w:t xml:space="preserve">upload </w:t>
      </w:r>
      <w:r>
        <w:t xml:space="preserve">its 2018 </w:t>
      </w:r>
      <w:r w:rsidR="00606C03">
        <w:t>Annual Report</w:t>
      </w:r>
      <w:r>
        <w:t xml:space="preserve"> in the Stations’ public inspection files because the Stations’ business manager had “simply overlooked this requirement” due to a</w:t>
      </w:r>
      <w:r w:rsidR="00A02539">
        <w:t xml:space="preserve"> routine </w:t>
      </w:r>
      <w:r>
        <w:t>administrative change and the loss of a former employee.</w:t>
      </w:r>
      <w:r>
        <w:rPr>
          <w:rStyle w:val="FootnoteReference"/>
        </w:rPr>
        <w:footnoteReference w:id="18"/>
      </w:r>
      <w:r>
        <w:t xml:space="preserve">  Cumulus further explained that the business manager “immediately corrected this oversight” as soon as it was discovered.</w:t>
      </w:r>
      <w:r>
        <w:rPr>
          <w:rStyle w:val="FootnoteReference"/>
        </w:rPr>
        <w:footnoteReference w:id="19"/>
      </w:r>
      <w:r>
        <w:t xml:space="preserve">  In this regard, where lapses occur in maintaining the public file, neither the negligent acts or omission</w:t>
      </w:r>
      <w:r w:rsidR="00D13544">
        <w:t>s</w:t>
      </w:r>
      <w:r>
        <w:t xml:space="preserve"> of station employees or agents, nor the subsequent remedial actions undertaken by the </w:t>
      </w:r>
      <w:r>
        <w:t>licensee, excuse or nullify a licensee’s rule violation</w:t>
      </w:r>
      <w:r w:rsidR="00186F51">
        <w:t>,</w:t>
      </w:r>
      <w:r>
        <w:rPr>
          <w:rStyle w:val="FootnoteReference"/>
        </w:rPr>
        <w:footnoteReference w:id="20"/>
      </w:r>
      <w:r>
        <w:t xml:space="preserve"> </w:t>
      </w:r>
      <w:r w:rsidR="00186F51">
        <w:t>and correcting the oversight nine months after the fact, and only three months before the next Annual Report was due to be placed in the public inspection file, does not mitigate the violation.</w:t>
      </w:r>
    </w:p>
    <w:p w:rsidR="00AA2004" w:rsidRPr="004D0B4A" w:rsidP="0080030E" w14:paraId="6525002A" w14:textId="4DFDB0EF">
      <w:pPr>
        <w:pStyle w:val="ParaNum0"/>
        <w:rPr>
          <w:spacing w:val="-2"/>
        </w:rPr>
      </w:pPr>
      <w:r>
        <w:t xml:space="preserve">We further find that by failing to timely upload its 2018 Annual Report into its public inspection files, Cumulus apparently violated section 73.3526(e)(7) of the Commission’s rules, which requires licensees of commercial stations to </w:t>
      </w:r>
      <w:r w:rsidRPr="000B0EE1">
        <w:t>keep</w:t>
      </w:r>
      <w:r>
        <w:t xml:space="preserve"> certain information, including EEO information such as the Annual Report, in their stations’ public inspection files.</w:t>
      </w:r>
      <w:r>
        <w:rPr>
          <w:rStyle w:val="FootnoteReference"/>
        </w:rPr>
        <w:footnoteReference w:id="21"/>
      </w:r>
    </w:p>
    <w:p w:rsidR="0080030E" w:rsidP="0080030E" w14:paraId="7B0A735A" w14:textId="53DE6FB3">
      <w:pPr>
        <w:pStyle w:val="ParaNum0"/>
        <w:numPr>
          <w:ilvl w:val="0"/>
          <w:numId w:val="0"/>
        </w:numPr>
        <w:ind w:left="720" w:firstLine="720"/>
        <w:rPr>
          <w:b/>
        </w:rPr>
      </w:pPr>
      <w:r>
        <w:rPr>
          <w:b/>
          <w:bCs/>
        </w:rPr>
        <w:t>2</w:t>
      </w:r>
      <w:r w:rsidRPr="005136C6">
        <w:rPr>
          <w:b/>
          <w:bCs/>
        </w:rPr>
        <w:t>.</w:t>
      </w:r>
      <w:r>
        <w:tab/>
      </w:r>
      <w:r w:rsidRPr="00A738D1">
        <w:rPr>
          <w:b/>
        </w:rPr>
        <w:t xml:space="preserve">Cumulus </w:t>
      </w:r>
      <w:r>
        <w:rPr>
          <w:b/>
        </w:rPr>
        <w:t>Did Not</w:t>
      </w:r>
      <w:r w:rsidRPr="00A738D1">
        <w:rPr>
          <w:b/>
        </w:rPr>
        <w:t xml:space="preserve"> </w:t>
      </w:r>
      <w:r w:rsidR="008F72E5">
        <w:rPr>
          <w:b/>
        </w:rPr>
        <w:t xml:space="preserve">Analyze </w:t>
      </w:r>
      <w:r w:rsidRPr="00A738D1">
        <w:rPr>
          <w:b/>
        </w:rPr>
        <w:t>its EEO Prog</w:t>
      </w:r>
      <w:r>
        <w:rPr>
          <w:b/>
        </w:rPr>
        <w:t>r</w:t>
      </w:r>
      <w:r w:rsidRPr="00A738D1">
        <w:rPr>
          <w:b/>
        </w:rPr>
        <w:t>am</w:t>
      </w:r>
    </w:p>
    <w:p w:rsidR="00DD4D67" w:rsidP="00886009" w14:paraId="3492C999" w14:textId="5B7FC092">
      <w:pPr>
        <w:pStyle w:val="ParaNum0"/>
      </w:pPr>
      <w:r>
        <w:t xml:space="preserve">By virtue of the deficiencies </w:t>
      </w:r>
      <w:r w:rsidR="002B3527">
        <w:t xml:space="preserve">discussed above, </w:t>
      </w:r>
      <w:r w:rsidR="0020087D">
        <w:t xml:space="preserve">we further find that </w:t>
      </w:r>
      <w:r w:rsidR="00886009">
        <w:t xml:space="preserve">Cumulus </w:t>
      </w:r>
      <w:r w:rsidR="00E92C26">
        <w:t xml:space="preserve">also </w:t>
      </w:r>
      <w:r w:rsidR="00886009">
        <w:t xml:space="preserve">apparently violated </w:t>
      </w:r>
      <w:r w:rsidR="0020087D">
        <w:t xml:space="preserve">section 73.2080(c)(3) of </w:t>
      </w:r>
      <w:r w:rsidR="00886009">
        <w:t xml:space="preserve">the Commission’s rules by failing to </w:t>
      </w:r>
      <w:r w:rsidR="008F72E5">
        <w:t>analyze</w:t>
      </w:r>
      <w:r w:rsidR="00886009">
        <w:t xml:space="preserve"> </w:t>
      </w:r>
      <w:r w:rsidR="006B69F2">
        <w:t>the</w:t>
      </w:r>
      <w:r w:rsidR="00886009">
        <w:t xml:space="preserve"> Stations’ EEO program.  Section </w:t>
      </w:r>
      <w:r w:rsidRPr="00440BC4" w:rsidR="00886009">
        <w:t>73.2080(c)(3</w:t>
      </w:r>
      <w:r w:rsidR="00886009">
        <w:t xml:space="preserve">) requires a licensee </w:t>
      </w:r>
      <w:r w:rsidRPr="00440BC4" w:rsidR="00886009">
        <w:t xml:space="preserve">to analyze </w:t>
      </w:r>
      <w:r w:rsidR="00886009">
        <w:t>its</w:t>
      </w:r>
      <w:r w:rsidRPr="00440BC4" w:rsidR="00886009">
        <w:t xml:space="preserve"> station’s EEO recruitment program on an ongoing basis to ensure that it is effective in achieving broad outreach to potential applicants, and to address any problems found as a result of </w:t>
      </w:r>
      <w:r w:rsidR="00323B87">
        <w:t>such</w:t>
      </w:r>
      <w:r w:rsidRPr="00440BC4" w:rsidR="00323B87">
        <w:t xml:space="preserve"> </w:t>
      </w:r>
      <w:r w:rsidRPr="00440BC4" w:rsidR="00886009">
        <w:t>analysis.</w:t>
      </w:r>
      <w:r w:rsidRPr="00C563A9" w:rsidR="00C563A9">
        <w:rPr>
          <w:rStyle w:val="FootnoteReference"/>
        </w:rPr>
        <w:t xml:space="preserve"> </w:t>
      </w:r>
      <w:r>
        <w:rPr>
          <w:rStyle w:val="FootnoteReference"/>
        </w:rPr>
        <w:footnoteReference w:id="22"/>
      </w:r>
      <w:r w:rsidR="00404FB7">
        <w:t xml:space="preserve">  The Commission has previously recognized the importance of monitoring broadcaster compliance with the EEO rules, including the role played by the public in doing so</w:t>
      </w:r>
      <w:r>
        <w:t>, stating that “[t]he EEO public file report is designed to facilitate meaningful public input.”</w:t>
      </w:r>
      <w:r>
        <w:rPr>
          <w:rStyle w:val="FootnoteReference"/>
        </w:rPr>
        <w:footnoteReference w:id="23"/>
      </w:r>
      <w:r>
        <w:t xml:space="preserve">  Cumulus’ failure to timely upload </w:t>
      </w:r>
      <w:r w:rsidR="00A410E1">
        <w:t xml:space="preserve">the Stations’ Annual Reports </w:t>
      </w:r>
      <w:r>
        <w:t>to the Stations’ online public inspection file</w:t>
      </w:r>
      <w:r w:rsidR="00A410E1">
        <w:t>s</w:t>
      </w:r>
      <w:r>
        <w:t xml:space="preserve"> and websites deprived the public of its </w:t>
      </w:r>
      <w:r w:rsidR="00626705">
        <w:t>right</w:t>
      </w:r>
      <w:r>
        <w:t xml:space="preserve"> to participate in monitoring and </w:t>
      </w:r>
      <w:r w:rsidR="006D7DB4">
        <w:t>providing input on</w:t>
      </w:r>
      <w:r>
        <w:t xml:space="preserve"> Cumulus’ EEO programs at the Stations</w:t>
      </w:r>
      <w:r w:rsidR="006D7DB4">
        <w:t xml:space="preserve">, thus </w:t>
      </w:r>
      <w:r w:rsidR="008F72E5">
        <w:t>preventing t</w:t>
      </w:r>
      <w:r w:rsidR="006D7DB4">
        <w:t>he Station</w:t>
      </w:r>
      <w:r w:rsidR="008F72E5">
        <w:t>s from fulfilling their obligation</w:t>
      </w:r>
      <w:r w:rsidR="006D7DB4">
        <w:t xml:space="preserve"> to </w:t>
      </w:r>
      <w:r w:rsidRPr="00440BC4" w:rsidR="006D7DB4">
        <w:t xml:space="preserve">analyze </w:t>
      </w:r>
      <w:r w:rsidR="006D7DB4">
        <w:t>their</w:t>
      </w:r>
      <w:r w:rsidRPr="00440BC4" w:rsidR="006D7DB4">
        <w:t xml:space="preserve"> EEO recruitment program</w:t>
      </w:r>
      <w:r>
        <w:t>.</w:t>
      </w:r>
    </w:p>
    <w:p w:rsidR="00886009" w:rsidP="00886009" w14:paraId="54DD2E66" w14:textId="6E62E3A3">
      <w:pPr>
        <w:pStyle w:val="ParaNum0"/>
      </w:pPr>
      <w:r>
        <w:t>Further</w:t>
      </w:r>
      <w:r w:rsidR="00A43944">
        <w:t>, Cumulus states that its Business Manager for the Stations in the Albany, Georgia market, had previously prepared the Stations’ annual EEO reports with the assistance of the market’s Assistant Business Manager, but that in December 2018, the Assistant Business Manager left the company.  Cumulus states that “[b]</w:t>
      </w:r>
      <w:r w:rsidR="00A43944">
        <w:t>eing</w:t>
      </w:r>
      <w:r w:rsidR="00A43944">
        <w:t xml:space="preserve"> accustomed to a different routine for years…” the Business Manager “simply overlooked this requirement and, as a result, the 2018 EEO report was not uploaded in a timely fashion.”</w:t>
      </w:r>
      <w:r>
        <w:rPr>
          <w:rStyle w:val="FootnoteReference"/>
        </w:rPr>
        <w:footnoteReference w:id="24"/>
      </w:r>
      <w:r w:rsidR="00A43944">
        <w:t xml:space="preserve">  Cumulus further states </w:t>
      </w:r>
      <w:r w:rsidR="0011006C">
        <w:t xml:space="preserve">that </w:t>
      </w:r>
      <w:r w:rsidR="00A43944">
        <w:t xml:space="preserve">the Business Manager </w:t>
      </w:r>
      <w:r w:rsidR="0011006C">
        <w:t xml:space="preserve">did not </w:t>
      </w:r>
      <w:r w:rsidR="00A43944">
        <w:t xml:space="preserve">realize </w:t>
      </w:r>
      <w:r w:rsidR="0011006C">
        <w:t xml:space="preserve">until September 2019 </w:t>
      </w:r>
      <w:r w:rsidR="00A43944">
        <w:t>that the EEO reports had not been uploaded</w:t>
      </w:r>
      <w:r w:rsidR="0011006C">
        <w:t xml:space="preserve"> to the public inspection files or websites</w:t>
      </w:r>
      <w:r w:rsidR="00A43944">
        <w:t>.</w:t>
      </w:r>
      <w:r>
        <w:rPr>
          <w:rStyle w:val="FootnoteReference"/>
        </w:rPr>
        <w:footnoteReference w:id="25"/>
      </w:r>
      <w:r w:rsidRPr="007054FD" w:rsidR="007054FD">
        <w:t xml:space="preserve"> </w:t>
      </w:r>
      <w:r w:rsidR="007054FD">
        <w:t xml:space="preserve"> We find that, at least </w:t>
      </w:r>
      <w:r w:rsidR="0011006C">
        <w:t xml:space="preserve">beginning </w:t>
      </w:r>
      <w:r w:rsidR="007054FD">
        <w:t>from the time that the Assistant Business Manager left the company in December 201</w:t>
      </w:r>
      <w:r w:rsidR="0011006C">
        <w:t>8</w:t>
      </w:r>
      <w:r w:rsidR="007054FD">
        <w:t xml:space="preserve">, Cumulus </w:t>
      </w:r>
      <w:r w:rsidR="0011006C">
        <w:t>could</w:t>
      </w:r>
      <w:r w:rsidR="007054FD">
        <w:t xml:space="preserve"> not </w:t>
      </w:r>
      <w:r w:rsidR="0011006C">
        <w:t xml:space="preserve">have </w:t>
      </w:r>
      <w:r w:rsidRPr="00015974" w:rsidR="007054FD">
        <w:t>adequately analyze</w:t>
      </w:r>
      <w:r w:rsidR="0011006C">
        <w:t>d</w:t>
      </w:r>
      <w:r w:rsidRPr="00015974" w:rsidR="007054FD">
        <w:t xml:space="preserve"> or self-assess</w:t>
      </w:r>
      <w:r w:rsidR="0011006C">
        <w:t>ed</w:t>
      </w:r>
      <w:r w:rsidRPr="00015974" w:rsidR="007054FD">
        <w:t xml:space="preserve"> </w:t>
      </w:r>
      <w:r w:rsidR="007054FD">
        <w:t>its Station</w:t>
      </w:r>
      <w:r w:rsidRPr="00015974" w:rsidR="007054FD">
        <w:t>s</w:t>
      </w:r>
      <w:r w:rsidR="007054FD">
        <w:t>’</w:t>
      </w:r>
      <w:r w:rsidRPr="00015974" w:rsidR="007054FD">
        <w:t xml:space="preserve"> EEO program </w:t>
      </w:r>
      <w:r w:rsidR="002C4D3F">
        <w:t xml:space="preserve">on an ongoing basis </w:t>
      </w:r>
      <w:r w:rsidR="007054FD">
        <w:t xml:space="preserve">because for </w:t>
      </w:r>
      <w:r w:rsidR="0011006C">
        <w:t xml:space="preserve">nine months </w:t>
      </w:r>
      <w:r w:rsidR="007054FD">
        <w:t xml:space="preserve">it </w:t>
      </w:r>
      <w:r w:rsidR="0011006C">
        <w:t xml:space="preserve">failed </w:t>
      </w:r>
      <w:r w:rsidR="007054FD">
        <w:t xml:space="preserve">to </w:t>
      </w:r>
      <w:r w:rsidR="008B7BD9">
        <w:t xml:space="preserve">even </w:t>
      </w:r>
      <w:r w:rsidR="007054FD">
        <w:t xml:space="preserve">realize that it had not </w:t>
      </w:r>
      <w:r w:rsidRPr="00015974" w:rsidR="007054FD">
        <w:t>review</w:t>
      </w:r>
      <w:r w:rsidR="007054FD">
        <w:t>ed</w:t>
      </w:r>
      <w:r w:rsidRPr="00015974" w:rsidR="007054FD">
        <w:t xml:space="preserve"> </w:t>
      </w:r>
      <w:r w:rsidR="007054FD">
        <w:t xml:space="preserve">and uploaded its 2018 Annual Report </w:t>
      </w:r>
      <w:r w:rsidR="0011006C">
        <w:t>to</w:t>
      </w:r>
      <w:r w:rsidR="007054FD">
        <w:t xml:space="preserve"> the Stations’ public inspection files and websites.  </w:t>
      </w:r>
    </w:p>
    <w:p w:rsidR="00E9376C" w:rsidRPr="00DC3642" w:rsidP="00DC3642" w14:paraId="3FCFBD98" w14:textId="47B2F04A">
      <w:pPr>
        <w:pStyle w:val="ParaNum0"/>
        <w:numPr>
          <w:ilvl w:val="0"/>
          <w:numId w:val="0"/>
        </w:numPr>
        <w:ind w:firstLine="720"/>
        <w:rPr>
          <w:b/>
          <w:bCs/>
          <w:color w:val="000000" w:themeColor="text1"/>
          <w:szCs w:val="22"/>
        </w:rPr>
      </w:pPr>
      <w:r w:rsidRPr="00DC3642">
        <w:rPr>
          <w:b/>
          <w:bCs/>
          <w:color w:val="000000" w:themeColor="text1"/>
          <w:szCs w:val="22"/>
        </w:rPr>
        <w:t xml:space="preserve">B. </w:t>
      </w:r>
      <w:r w:rsidRPr="00DC3642">
        <w:rPr>
          <w:b/>
          <w:bCs/>
          <w:color w:val="000000" w:themeColor="text1"/>
          <w:szCs w:val="22"/>
        </w:rPr>
        <w:tab/>
      </w:r>
      <w:r w:rsidRPr="00DC3642">
        <w:rPr>
          <w:b/>
          <w:bCs/>
          <w:color w:val="000000" w:themeColor="text1"/>
          <w:szCs w:val="22"/>
        </w:rPr>
        <w:t xml:space="preserve">Proposed Forfeiture </w:t>
      </w:r>
    </w:p>
    <w:p w:rsidR="00EA5433" w:rsidRPr="00981F23" w:rsidP="006E4C66" w14:paraId="1FA9414B" w14:textId="6FDC0FF8">
      <w:pPr>
        <w:pStyle w:val="ParaNum0"/>
      </w:pPr>
      <w:bookmarkStart w:id="3" w:name="_Hlk62494698"/>
      <w:r w:rsidRPr="00981F23">
        <w:t>Section 503(b) of t</w:t>
      </w:r>
      <w:r w:rsidR="00B86A39">
        <w:t xml:space="preserve">he Communications </w:t>
      </w:r>
      <w:r w:rsidRPr="00981F23">
        <w:t xml:space="preserve">Act </w:t>
      </w:r>
      <w:r w:rsidR="00B86A39">
        <w:t>of 1934, as amended</w:t>
      </w:r>
      <w:r w:rsidR="001A0848">
        <w:t xml:space="preserve"> (Act)</w:t>
      </w:r>
      <w:r w:rsidR="00B86A39">
        <w:t xml:space="preserve">, </w:t>
      </w:r>
      <w:r w:rsidRPr="00981F23" w:rsidR="00A031CA">
        <w:t>authorizes the Commission to impose a forfeiture against any entity that “</w:t>
      </w:r>
      <w:r w:rsidRPr="00981F23">
        <w:t>willfully or repeatedly fail</w:t>
      </w:r>
      <w:r w:rsidRPr="00981F23" w:rsidR="00A031CA">
        <w:t>[</w:t>
      </w:r>
      <w:r w:rsidRPr="00981F23">
        <w:t>s</w:t>
      </w:r>
      <w:r w:rsidRPr="00981F23" w:rsidR="00A031CA">
        <w:t>]</w:t>
      </w:r>
      <w:r w:rsidRPr="00981F23">
        <w:t xml:space="preserve"> to comply </w:t>
      </w:r>
      <w:r w:rsidRPr="00981F23" w:rsidR="00A031CA">
        <w:t>with any of the provisions of [the Act] or of any rule, regulation, or order issued by the Commission</w:t>
      </w:r>
      <w:r w:rsidR="003540AA">
        <w:t>[</w:t>
      </w:r>
      <w:r w:rsidRPr="00981F23" w:rsidR="00A031CA">
        <w:t>.</w:t>
      </w:r>
      <w:r w:rsidR="003540AA">
        <w:t>]</w:t>
      </w:r>
      <w:r w:rsidRPr="00981F23" w:rsidR="00A031CA">
        <w:t>”</w:t>
      </w:r>
      <w:r>
        <w:rPr>
          <w:vertAlign w:val="superscript"/>
        </w:rPr>
        <w:footnoteReference w:id="26"/>
      </w:r>
      <w:r w:rsidRPr="00981F23">
        <w:t xml:space="preserve">  </w:t>
      </w:r>
      <w:r w:rsidRPr="00981F23" w:rsidR="00C5625D">
        <w:t xml:space="preserve">Here, </w:t>
      </w:r>
      <w:r w:rsidR="007C1B0C">
        <w:t>s</w:t>
      </w:r>
      <w:r w:rsidRPr="00981F23" w:rsidR="002F3CB7">
        <w:t>ection 503(b)(2</w:t>
      </w:r>
      <w:r w:rsidRPr="00B31200" w:rsidR="002F3CB7">
        <w:t>)</w:t>
      </w:r>
      <w:r w:rsidR="00B31200">
        <w:t xml:space="preserve">(A) </w:t>
      </w:r>
      <w:r w:rsidRPr="00981F23" w:rsidR="002F3CB7">
        <w:t xml:space="preserve">of the Act authorizes </w:t>
      </w:r>
      <w:r w:rsidR="0016465F">
        <w:t>the Commission</w:t>
      </w:r>
      <w:r w:rsidRPr="00981F23" w:rsidR="002F3CB7">
        <w:t xml:space="preserve"> to assess a forfeiture against</w:t>
      </w:r>
      <w:r w:rsidR="00B31200">
        <w:t xml:space="preserve"> Cumulus </w:t>
      </w:r>
      <w:r w:rsidRPr="00981F23" w:rsidR="002F3CB7">
        <w:t>of up to $</w:t>
      </w:r>
      <w:r w:rsidR="00854D9D">
        <w:t>55,052</w:t>
      </w:r>
      <w:r w:rsidRPr="00981F23" w:rsidR="00757950">
        <w:t xml:space="preserve"> </w:t>
      </w:r>
      <w:r w:rsidRPr="00981F23" w:rsidR="002F3CB7">
        <w:t>for each day of a continuing violation, up to a statutory maximum of $</w:t>
      </w:r>
      <w:r w:rsidR="00854D9D">
        <w:t>550,531</w:t>
      </w:r>
      <w:r w:rsidRPr="00981F23" w:rsidR="00757950">
        <w:t xml:space="preserve"> </w:t>
      </w:r>
      <w:r w:rsidRPr="00981F23" w:rsidR="002F3CB7">
        <w:t xml:space="preserve">for a </w:t>
      </w:r>
      <w:r w:rsidRPr="00981F23" w:rsidR="002F3CB7">
        <w:t>single act or failure to act.</w:t>
      </w:r>
      <w:r>
        <w:rPr>
          <w:rStyle w:val="FootnoteReference"/>
          <w:color w:val="000000" w:themeColor="text1"/>
          <w:szCs w:val="22"/>
        </w:rPr>
        <w:footnoteReference w:id="27"/>
      </w:r>
      <w:r w:rsidRPr="00981F23" w:rsidR="002F3CB7">
        <w:t xml:space="preserve">  In exercising our forfeiture authority, we must consider</w:t>
      </w:r>
      <w:r w:rsidRPr="00981F23">
        <w:t xml:space="preserve"> the “</w:t>
      </w:r>
      <w:r w:rsidRPr="00981F23" w:rsidR="002F3CB7">
        <w:t xml:space="preserve">nature, circumstances, </w:t>
      </w:r>
      <w:bookmarkEnd w:id="3"/>
      <w:r w:rsidRPr="00981F23" w:rsidR="002F3CB7">
        <w:t>extent, and gravity of the violation and, with respect to the violator, the degree of culpability, any history of prior offenses, ability to pay, and such other matters as justice may require.”</w:t>
      </w:r>
      <w:r>
        <w:rPr>
          <w:rStyle w:val="FootnoteReference"/>
          <w:color w:val="000000" w:themeColor="text1"/>
          <w:szCs w:val="22"/>
        </w:rPr>
        <w:footnoteReference w:id="28"/>
      </w:r>
      <w:r w:rsidRPr="00981F23" w:rsidR="002F3CB7">
        <w:rPr>
          <w:spacing w:val="-2"/>
        </w:rPr>
        <w:t xml:space="preserve">  </w:t>
      </w:r>
      <w:r w:rsidRPr="00981F23">
        <w:t>In addition, the Commission has established forfeiture guidelines</w:t>
      </w:r>
      <w:r w:rsidR="0016465F">
        <w:t xml:space="preserve"> which</w:t>
      </w:r>
      <w:r w:rsidRPr="00981F23">
        <w:t xml:space="preserve"> establish base penalties for certain violations</w:t>
      </w:r>
      <w:r w:rsidR="006D0DCE">
        <w:t>,</w:t>
      </w:r>
      <w:r w:rsidRPr="00981F23">
        <w:t xml:space="preserve"> and identify criteria that we consider when</w:t>
      </w:r>
      <w:r w:rsidRPr="00981F23" w:rsidR="00C366C3">
        <w:t xml:space="preserve"> </w:t>
      </w:r>
      <w:r w:rsidRPr="00981F23">
        <w:t>determin</w:t>
      </w:r>
      <w:r w:rsidRPr="00981F23" w:rsidR="00C366C3">
        <w:t>ing</w:t>
      </w:r>
      <w:r w:rsidRPr="00981F23">
        <w:t xml:space="preserve"> the appropriate penalty in any given case.</w:t>
      </w:r>
      <w:r>
        <w:rPr>
          <w:rStyle w:val="FootnoteReference"/>
          <w:color w:val="000000" w:themeColor="text1"/>
        </w:rPr>
        <w:footnoteReference w:id="29"/>
      </w:r>
      <w:r w:rsidRPr="00981F23">
        <w:t xml:space="preserve">  Under these guidelines, </w:t>
      </w:r>
      <w:r w:rsidR="0016465F">
        <w:t>the Commission</w:t>
      </w:r>
      <w:r w:rsidRPr="00981F23">
        <w:t xml:space="preserve"> may adjust a forfeiture upward for violations that are egregious, intentional, or repeated, or that cause substantial harm or generate substantial economic gain for the violator.</w:t>
      </w:r>
      <w:r>
        <w:rPr>
          <w:rStyle w:val="FootnoteReference"/>
          <w:color w:val="000000" w:themeColor="text1"/>
        </w:rPr>
        <w:footnoteReference w:id="30"/>
      </w:r>
      <w:r w:rsidRPr="00981F23">
        <w:t xml:space="preserve">  </w:t>
      </w:r>
    </w:p>
    <w:p w:rsidR="00CF035D" w:rsidRPr="0094322E" w:rsidP="00E8253E" w14:paraId="3B3AA241" w14:textId="49AEA459">
      <w:pPr>
        <w:pStyle w:val="ParaNum0"/>
        <w:rPr>
          <w:color w:val="000000" w:themeColor="text1"/>
          <w:lang w:val="en"/>
        </w:rPr>
      </w:pPr>
      <w:bookmarkStart w:id="6" w:name="_Hlk65500924"/>
      <w:r w:rsidRPr="00AA2004">
        <w:rPr>
          <w:i/>
          <w:iCs/>
        </w:rPr>
        <w:t xml:space="preserve">Failure to </w:t>
      </w:r>
      <w:r w:rsidRPr="00AA2004" w:rsidR="00345B83">
        <w:rPr>
          <w:i/>
          <w:iCs/>
        </w:rPr>
        <w:t xml:space="preserve">Timely </w:t>
      </w:r>
      <w:r w:rsidRPr="00AA2004" w:rsidR="00BD7A80">
        <w:rPr>
          <w:i/>
          <w:iCs/>
        </w:rPr>
        <w:t xml:space="preserve">Upload </w:t>
      </w:r>
      <w:r w:rsidRPr="00AA2004">
        <w:rPr>
          <w:i/>
          <w:iCs/>
        </w:rPr>
        <w:t xml:space="preserve">EEO </w:t>
      </w:r>
      <w:r w:rsidRPr="00AA2004" w:rsidR="00F5221D">
        <w:rPr>
          <w:i/>
          <w:iCs/>
        </w:rPr>
        <w:t>P</w:t>
      </w:r>
      <w:r w:rsidRPr="00AA2004">
        <w:rPr>
          <w:i/>
          <w:iCs/>
        </w:rPr>
        <w:t xml:space="preserve">ublic </w:t>
      </w:r>
      <w:r w:rsidRPr="00AA2004" w:rsidR="00F5221D">
        <w:rPr>
          <w:i/>
          <w:iCs/>
        </w:rPr>
        <w:t>F</w:t>
      </w:r>
      <w:r w:rsidRPr="00AA2004">
        <w:rPr>
          <w:i/>
          <w:iCs/>
        </w:rPr>
        <w:t xml:space="preserve">ile </w:t>
      </w:r>
      <w:r w:rsidRPr="00AA2004" w:rsidR="003647CB">
        <w:rPr>
          <w:i/>
          <w:iCs/>
        </w:rPr>
        <w:t>R</w:t>
      </w:r>
      <w:r w:rsidRPr="00AA2004">
        <w:rPr>
          <w:i/>
          <w:iCs/>
        </w:rPr>
        <w:t>eport</w:t>
      </w:r>
      <w:r w:rsidRPr="00AA2004" w:rsidR="003647CB">
        <w:rPr>
          <w:i/>
          <w:iCs/>
        </w:rPr>
        <w:t xml:space="preserve"> </w:t>
      </w:r>
      <w:r w:rsidRPr="00AA2004" w:rsidR="003B7898">
        <w:rPr>
          <w:i/>
          <w:iCs/>
        </w:rPr>
        <w:t>to</w:t>
      </w:r>
      <w:r w:rsidRPr="00AA2004" w:rsidR="003647CB">
        <w:rPr>
          <w:i/>
          <w:iCs/>
        </w:rPr>
        <w:t xml:space="preserve"> Public Inspection File</w:t>
      </w:r>
      <w:r w:rsidRPr="00AA2004" w:rsidR="00BF7FDC">
        <w:rPr>
          <w:i/>
          <w:iCs/>
        </w:rPr>
        <w:t>s and Websites</w:t>
      </w:r>
      <w:r w:rsidRPr="00AA2004">
        <w:rPr>
          <w:i/>
          <w:iCs/>
        </w:rPr>
        <w:t xml:space="preserve">.  </w:t>
      </w:r>
      <w:r w:rsidR="00F0284C">
        <w:t xml:space="preserve">Cumulus </w:t>
      </w:r>
      <w:bookmarkStart w:id="7" w:name="_Hlk70523877"/>
      <w:r w:rsidR="00F0284C">
        <w:t>apparent</w:t>
      </w:r>
      <w:r w:rsidR="00982F80">
        <w:t>ly</w:t>
      </w:r>
      <w:r w:rsidR="00F0284C">
        <w:t xml:space="preserve"> violat</w:t>
      </w:r>
      <w:r w:rsidR="00982F80">
        <w:t>ed</w:t>
      </w:r>
      <w:r w:rsidR="00F0284C">
        <w:t xml:space="preserve"> section 73.2080(c)(6)</w:t>
      </w:r>
      <w:r>
        <w:rPr>
          <w:rStyle w:val="FootnoteReference"/>
        </w:rPr>
        <w:footnoteReference w:id="31"/>
      </w:r>
      <w:r w:rsidR="003647CB">
        <w:t xml:space="preserve"> </w:t>
      </w:r>
      <w:bookmarkEnd w:id="7"/>
      <w:r w:rsidR="00AA3CD6">
        <w:t>of the Commission’s rules</w:t>
      </w:r>
      <w:r w:rsidR="00982F80">
        <w:t xml:space="preserve"> in two separate ways by failing to timely upload the Stations’ 2018 Annual Reports for a period of over nine months</w:t>
      </w:r>
      <w:r w:rsidR="00862B5A">
        <w:t xml:space="preserve"> to either their public inspection files or </w:t>
      </w:r>
      <w:r w:rsidR="00982F80">
        <w:t>the Stations’ websites</w:t>
      </w:r>
      <w:r w:rsidR="00F0284C">
        <w:t>.</w:t>
      </w:r>
      <w:r w:rsidR="0077309C">
        <w:t xml:space="preserve"> </w:t>
      </w:r>
      <w:r w:rsidR="00F0284C">
        <w:t xml:space="preserve"> </w:t>
      </w:r>
      <w:r w:rsidRPr="00981F23" w:rsidR="002F3CB7">
        <w:t xml:space="preserve">Section 1.80(b) of the </w:t>
      </w:r>
      <w:r w:rsidR="007C1B0C">
        <w:t>Commission’s r</w:t>
      </w:r>
      <w:r w:rsidRPr="00981F23" w:rsidR="002F3CB7">
        <w:t>ules sets a base forfeiture of</w:t>
      </w:r>
      <w:r w:rsidR="00E92DF7">
        <w:t xml:space="preserve"> $10,000 </w:t>
      </w:r>
      <w:r w:rsidRPr="00981F23" w:rsidR="002F3CB7">
        <w:t>for</w:t>
      </w:r>
      <w:r w:rsidR="00E92DF7">
        <w:t xml:space="preserve"> </w:t>
      </w:r>
      <w:r w:rsidR="00323B87">
        <w:t xml:space="preserve">each </w:t>
      </w:r>
      <w:r w:rsidR="00E92DF7">
        <w:t xml:space="preserve">violation of public file </w:t>
      </w:r>
      <w:r w:rsidR="00126BA1">
        <w:t>rules</w:t>
      </w:r>
      <w:r w:rsidR="00F71992">
        <w:t>.</w:t>
      </w:r>
      <w:r>
        <w:rPr>
          <w:vertAlign w:val="superscript"/>
        </w:rPr>
        <w:footnoteReference w:id="32"/>
      </w:r>
      <w:r w:rsidRPr="00981F23" w:rsidR="002F3CB7">
        <w:t xml:space="preserve">  </w:t>
      </w:r>
      <w:r w:rsidRPr="00981F23" w:rsidR="00C31A4F">
        <w:t>We have discretion, however, to depart from these guidelines, taking into account the particular facts of each individual case.</w:t>
      </w:r>
      <w:r>
        <w:rPr>
          <w:rStyle w:val="FootnoteReference"/>
          <w:color w:val="000000" w:themeColor="text1"/>
          <w:szCs w:val="22"/>
        </w:rPr>
        <w:footnoteReference w:id="33"/>
      </w:r>
      <w:r w:rsidRPr="00981F23" w:rsidR="00C31A4F">
        <w:t xml:space="preserve"> </w:t>
      </w:r>
      <w:r w:rsidRPr="00F0284C" w:rsidR="00F0284C">
        <w:t xml:space="preserve"> </w:t>
      </w:r>
    </w:p>
    <w:p w:rsidR="00B976BA" w:rsidP="0048295B" w14:paraId="3566003B" w14:textId="4BE3D135">
      <w:pPr>
        <w:pStyle w:val="ParaNum0"/>
        <w:rPr>
          <w:color w:val="000000" w:themeColor="text1"/>
          <w:lang w:val="en"/>
        </w:rPr>
      </w:pPr>
      <w:r>
        <w:t xml:space="preserve">In this case, </w:t>
      </w:r>
      <w:r w:rsidR="0020087D">
        <w:t>the factors set forth in section 503 of the Act and the Commission’s forfeiture guidelines</w:t>
      </w:r>
      <w:r w:rsidR="00131A6F">
        <w:t xml:space="preserve"> support </w:t>
      </w:r>
      <w:r w:rsidR="00AC6658">
        <w:t xml:space="preserve">a higher forfeiture amount.  In particular, we note </w:t>
      </w:r>
      <w:r w:rsidR="0048295B">
        <w:t>Cumulus’ prior history of rule violations</w:t>
      </w:r>
      <w:r w:rsidR="00825A25">
        <w:t>, including violations of the EEO rules</w:t>
      </w:r>
      <w:r w:rsidRPr="00981F23" w:rsidR="0048295B">
        <w:t xml:space="preserve">.  </w:t>
      </w:r>
      <w:r w:rsidRPr="000829E3" w:rsidR="0048295B">
        <w:t xml:space="preserve">In </w:t>
      </w:r>
      <w:r w:rsidRPr="0094322E" w:rsidR="0048295B">
        <w:t>2008</w:t>
      </w:r>
      <w:r w:rsidR="007E37B2">
        <w:t>,</w:t>
      </w:r>
      <w:r w:rsidRPr="007E37B2" w:rsidR="0048295B">
        <w:t xml:space="preserve"> </w:t>
      </w:r>
      <w:r w:rsidR="0048295B">
        <w:t xml:space="preserve">the </w:t>
      </w:r>
      <w:r w:rsidR="001A62AC">
        <w:t xml:space="preserve">Media Bureau </w:t>
      </w:r>
      <w:r w:rsidRPr="000829E3" w:rsidR="0048295B">
        <w:t>issued a $14,000 proposed forfeiture to Cumulus for</w:t>
      </w:r>
      <w:r w:rsidR="0048295B">
        <w:t xml:space="preserve"> violating the EEO rules by</w:t>
      </w:r>
      <w:r w:rsidRPr="000829E3" w:rsidR="0048295B">
        <w:t xml:space="preserve"> failing to perform an EEO recruitment initiative, </w:t>
      </w:r>
      <w:r w:rsidR="008F72E5">
        <w:t>analyze</w:t>
      </w:r>
      <w:r w:rsidRPr="000829E3" w:rsidR="0048295B">
        <w:t xml:space="preserve"> its EEO program, maintain EEO recruitment records, report</w:t>
      </w:r>
      <w:r w:rsidR="0048295B">
        <w:t xml:space="preserve"> EEO</w:t>
      </w:r>
      <w:r w:rsidRPr="000829E3" w:rsidR="0048295B">
        <w:t xml:space="preserve"> recruitment</w:t>
      </w:r>
      <w:r w:rsidR="0048295B">
        <w:t xml:space="preserve"> </w:t>
      </w:r>
      <w:r w:rsidRPr="000829E3" w:rsidR="0048295B">
        <w:t xml:space="preserve">sources, </w:t>
      </w:r>
      <w:r w:rsidR="0048295B">
        <w:t xml:space="preserve">report interviewee data, </w:t>
      </w:r>
      <w:r w:rsidRPr="000829E3" w:rsidR="0048295B">
        <w:t>and maintain required EEO information in its stations’ public inspection files.</w:t>
      </w:r>
      <w:r>
        <w:rPr>
          <w:vertAlign w:val="superscript"/>
        </w:rPr>
        <w:footnoteReference w:id="34"/>
      </w:r>
      <w:r w:rsidRPr="000829E3" w:rsidR="0048295B">
        <w:t xml:space="preserve">  </w:t>
      </w:r>
      <w:r w:rsidR="0048295B">
        <w:t>I</w:t>
      </w:r>
      <w:r w:rsidRPr="000829E3" w:rsidR="0048295B">
        <w:t xml:space="preserve">n </w:t>
      </w:r>
      <w:r w:rsidRPr="0094322E" w:rsidR="0048295B">
        <w:t>2017</w:t>
      </w:r>
      <w:r w:rsidRPr="000829E3" w:rsidR="0048295B">
        <w:t>, th</w:t>
      </w:r>
      <w:r w:rsidR="0048295B">
        <w:t xml:space="preserve">e </w:t>
      </w:r>
      <w:r w:rsidR="001A62AC">
        <w:t>Media Bureau</w:t>
      </w:r>
      <w:r w:rsidRPr="000829E3" w:rsidR="0048295B">
        <w:t xml:space="preserve"> </w:t>
      </w:r>
      <w:r w:rsidRPr="000829E3" w:rsidR="00744754">
        <w:t xml:space="preserve">proposed </w:t>
      </w:r>
      <w:r w:rsidRPr="000829E3" w:rsidR="0048295B">
        <w:t>a $</w:t>
      </w:r>
      <w:r w:rsidR="0048295B">
        <w:t>20,000</w:t>
      </w:r>
      <w:r w:rsidRPr="000829E3" w:rsidR="0048295B">
        <w:t xml:space="preserve"> forfeiture </w:t>
      </w:r>
      <w:r w:rsidR="009A4793">
        <w:t>against</w:t>
      </w:r>
      <w:r w:rsidRPr="000829E3" w:rsidR="009A4793">
        <w:t xml:space="preserve"> </w:t>
      </w:r>
      <w:r w:rsidRPr="000829E3" w:rsidR="0048295B">
        <w:t xml:space="preserve">Cumulus for </w:t>
      </w:r>
      <w:r w:rsidR="0048295B">
        <w:t xml:space="preserve">violating the EEO rules by </w:t>
      </w:r>
      <w:r w:rsidRPr="000829E3" w:rsidR="0048295B">
        <w:t xml:space="preserve">failing to recruit for vacancies, provide notification of vacancies to a requesting organization, </w:t>
      </w:r>
      <w:r w:rsidR="008F72E5">
        <w:t>analyze</w:t>
      </w:r>
      <w:r w:rsidRPr="000829E3" w:rsidR="0048295B">
        <w:rPr>
          <w:color w:val="000000"/>
          <w:szCs w:val="22"/>
        </w:rPr>
        <w:t xml:space="preserve"> its EEO program, </w:t>
      </w:r>
      <w:r w:rsidR="0048295B">
        <w:t>retain</w:t>
      </w:r>
      <w:r w:rsidRPr="000829E3" w:rsidR="0048295B">
        <w:t xml:space="preserve"> EEO records, </w:t>
      </w:r>
      <w:r w:rsidR="0048295B">
        <w:t xml:space="preserve">report </w:t>
      </w:r>
      <w:r w:rsidRPr="000829E3" w:rsidR="0048295B">
        <w:rPr>
          <w:color w:val="000000"/>
          <w:szCs w:val="22"/>
        </w:rPr>
        <w:t xml:space="preserve">interviewee data, and </w:t>
      </w:r>
      <w:r w:rsidRPr="000829E3" w:rsidR="0048295B">
        <w:t>maintain required EEO information in its stations’ public inspection files.</w:t>
      </w:r>
      <w:r>
        <w:rPr>
          <w:vertAlign w:val="superscript"/>
        </w:rPr>
        <w:footnoteReference w:id="35"/>
      </w:r>
      <w:r w:rsidR="0048295B">
        <w:rPr>
          <w:color w:val="000000" w:themeColor="text1"/>
          <w:lang w:val="en"/>
        </w:rPr>
        <w:t xml:space="preserve">  </w:t>
      </w:r>
      <w:r w:rsidR="004E07D7">
        <w:rPr>
          <w:color w:val="000000" w:themeColor="text1"/>
          <w:lang w:val="en"/>
        </w:rPr>
        <w:t xml:space="preserve">This forfeiture included </w:t>
      </w:r>
      <w:r w:rsidR="0048295B">
        <w:rPr>
          <w:color w:val="000000" w:themeColor="text1"/>
          <w:lang w:val="en"/>
        </w:rPr>
        <w:t xml:space="preserve">an upward adjustment because </w:t>
      </w:r>
      <w:r w:rsidR="00BF3104">
        <w:rPr>
          <w:color w:val="000000" w:themeColor="text1"/>
          <w:lang w:val="en"/>
        </w:rPr>
        <w:t xml:space="preserve">the Bureau </w:t>
      </w:r>
      <w:r w:rsidR="0048295B">
        <w:rPr>
          <w:color w:val="000000" w:themeColor="text1"/>
          <w:lang w:val="en"/>
        </w:rPr>
        <w:t>found that Cumulus had engaged in a history of prior EEO offenses.</w:t>
      </w:r>
      <w:r>
        <w:rPr>
          <w:rStyle w:val="FootnoteReference"/>
          <w:lang w:val="en"/>
        </w:rPr>
        <w:footnoteReference w:id="36"/>
      </w:r>
    </w:p>
    <w:p w:rsidR="00825A25" w:rsidP="0048295B" w14:paraId="5FBF1D51" w14:textId="149F52A2">
      <w:pPr>
        <w:pStyle w:val="ParaNum0"/>
        <w:rPr>
          <w:color w:val="000000" w:themeColor="text1"/>
          <w:lang w:val="en"/>
        </w:rPr>
      </w:pPr>
      <w:r>
        <w:rPr>
          <w:color w:val="000000" w:themeColor="text1"/>
          <w:lang w:val="en"/>
        </w:rPr>
        <w:t>We further note that Cumulus has a prior history of non-EEO rule violations.</w:t>
      </w:r>
      <w:r>
        <w:rPr>
          <w:rStyle w:val="FootnoteReference"/>
          <w:lang w:val="en"/>
        </w:rPr>
        <w:footnoteReference w:id="37"/>
      </w:r>
      <w:r>
        <w:rPr>
          <w:color w:val="000000" w:themeColor="text1"/>
          <w:lang w:val="en"/>
        </w:rPr>
        <w:t xml:space="preserve">  Indeed, </w:t>
      </w:r>
      <w:r>
        <w:rPr>
          <w:color w:val="000000" w:themeColor="text1"/>
          <w:lang w:val="en"/>
        </w:rPr>
        <w:t>the Commission recently sanctioned Cumulus for its repeated violations of the Commission’s sponsorship identification rules.  In that Forfeiture Order, the Commission emphasized that repeated violations of the Commission’s rules warranted upward adjustment</w:t>
      </w:r>
      <w:r w:rsidR="00A41716">
        <w:rPr>
          <w:color w:val="000000" w:themeColor="text1"/>
          <w:lang w:val="en"/>
        </w:rPr>
        <w:t xml:space="preserve"> – </w:t>
      </w:r>
      <w:r>
        <w:rPr>
          <w:color w:val="000000" w:themeColor="text1"/>
          <w:lang w:val="en"/>
        </w:rPr>
        <w:t>even if the prior violations do not relate to the type of violations at issue in the current matter.</w:t>
      </w:r>
      <w:r>
        <w:rPr>
          <w:rStyle w:val="FootnoteReference"/>
          <w:lang w:val="en"/>
        </w:rPr>
        <w:footnoteReference w:id="38"/>
      </w:r>
    </w:p>
    <w:p w:rsidR="00A41716" w:rsidRPr="00BA5682" w:rsidP="0048295B" w14:paraId="64303826" w14:textId="73659758">
      <w:pPr>
        <w:pStyle w:val="ParaNum0"/>
        <w:rPr>
          <w:color w:val="000000" w:themeColor="text1"/>
          <w:lang w:val="en"/>
        </w:rPr>
      </w:pPr>
      <w:r>
        <w:t xml:space="preserve">While Cumulus’ history of </w:t>
      </w:r>
      <w:r>
        <w:t xml:space="preserve">repeatedly </w:t>
      </w:r>
      <w:r w:rsidR="00413B89">
        <w:t>violating</w:t>
      </w:r>
      <w:r>
        <w:t xml:space="preserve"> the Commission’s rules would be </w:t>
      </w:r>
      <w:r w:rsidR="001D7F21">
        <w:t>problematic</w:t>
      </w:r>
      <w:r>
        <w:t xml:space="preserve"> under any circumstances, its apparent disregard of the Commission’s EEO rules is particularly troubling.  Cumulus</w:t>
      </w:r>
      <w:r>
        <w:t xml:space="preserve">, in its own words, </w:t>
      </w:r>
      <w:r w:rsidR="001D7F21">
        <w:t xml:space="preserve">is </w:t>
      </w:r>
      <w:r>
        <w:t>“a</w:t>
      </w:r>
      <w:r w:rsidR="00232DC5">
        <w:t>n</w:t>
      </w:r>
      <w:r>
        <w:t xml:space="preserve"> audio-first media company delivering premium content to over a quarter billion people every month</w:t>
      </w:r>
      <w:r w:rsidR="00232DC5">
        <w:t>….</w:t>
      </w:r>
      <w:r>
        <w:t>”</w:t>
      </w:r>
      <w:r>
        <w:rPr>
          <w:rStyle w:val="FootnoteReference"/>
        </w:rPr>
        <w:footnoteReference w:id="39"/>
      </w:r>
      <w:r w:rsidR="00D317DE">
        <w:t xml:space="preserve">  </w:t>
      </w:r>
      <w:r>
        <w:t xml:space="preserve">Cumulus owns and operates several hundred radio stations in dozens of markets across the nation.  In short, it is a highly sophisticated broadcaster with </w:t>
      </w:r>
      <w:r w:rsidR="00C61DF3">
        <w:t xml:space="preserve">extensive </w:t>
      </w:r>
      <w:r>
        <w:t xml:space="preserve">operations that </w:t>
      </w:r>
      <w:r w:rsidR="0098059C">
        <w:t>employ</w:t>
      </w:r>
      <w:r w:rsidR="00D317DE">
        <w:t>s</w:t>
      </w:r>
      <w:r w:rsidR="0098059C">
        <w:t xml:space="preserve"> </w:t>
      </w:r>
      <w:r w:rsidR="00AB70A9">
        <w:t>thousands of people</w:t>
      </w:r>
      <w:r w:rsidR="00AF4918">
        <w:t xml:space="preserve"> and </w:t>
      </w:r>
      <w:r w:rsidR="00B94642">
        <w:t xml:space="preserve">routinely </w:t>
      </w:r>
      <w:r w:rsidR="00EE77B3">
        <w:t>fill</w:t>
      </w:r>
      <w:r w:rsidR="003C5893">
        <w:t>s</w:t>
      </w:r>
      <w:r w:rsidR="00EE77B3">
        <w:t xml:space="preserve"> scores of job openings</w:t>
      </w:r>
      <w:r w:rsidR="0083052A">
        <w:t xml:space="preserve"> annually.  </w:t>
      </w:r>
      <w:r w:rsidR="00B24A17">
        <w:t xml:space="preserve">The Commission’s EEO rules </w:t>
      </w:r>
      <w:r w:rsidR="00873077">
        <w:t xml:space="preserve">ensure that broadcasters take concrete and thoughtful steps to seek and attract diverse employees.  </w:t>
      </w:r>
      <w:r w:rsidR="00B24A17">
        <w:t xml:space="preserve">Repeated disregard of these rules by a broadcaster of Cumulus’ size and scope </w:t>
      </w:r>
      <w:r w:rsidR="00873077">
        <w:t xml:space="preserve">is contrary to the public interest.  </w:t>
      </w:r>
    </w:p>
    <w:p w:rsidR="00054990" w:rsidRPr="000829E3" w:rsidP="00054990" w14:paraId="3246A1A2" w14:textId="18B30BEE">
      <w:pPr>
        <w:pStyle w:val="ParaNum0"/>
        <w:rPr>
          <w:color w:val="000000" w:themeColor="text1"/>
          <w:lang w:val="en"/>
        </w:rPr>
      </w:pPr>
      <w:r>
        <w:rPr>
          <w:color w:val="000000" w:themeColor="text1"/>
          <w:lang w:val="en"/>
        </w:rPr>
        <w:t>Accordingly, c</w:t>
      </w:r>
      <w:r w:rsidR="00AC6658">
        <w:rPr>
          <w:color w:val="000000" w:themeColor="text1"/>
          <w:lang w:val="en"/>
        </w:rPr>
        <w:t xml:space="preserve">onsistent with the </w:t>
      </w:r>
      <w:r w:rsidR="00AC6658">
        <w:rPr>
          <w:i/>
          <w:iCs/>
          <w:color w:val="000000" w:themeColor="text1"/>
          <w:lang w:val="en"/>
        </w:rPr>
        <w:t xml:space="preserve">Forfeiture Policy </w:t>
      </w:r>
      <w:r w:rsidRPr="00AC6658" w:rsidR="00AC6658">
        <w:rPr>
          <w:i/>
          <w:iCs/>
          <w:color w:val="000000" w:themeColor="text1"/>
          <w:lang w:val="en"/>
        </w:rPr>
        <w:t>Statement</w:t>
      </w:r>
      <w:r w:rsidR="00910240">
        <w:rPr>
          <w:color w:val="000000" w:themeColor="text1"/>
          <w:lang w:val="en"/>
        </w:rPr>
        <w:t xml:space="preserve">, we have considered the licensee’s history of prior offenses, </w:t>
      </w:r>
      <w:r w:rsidR="0020087D">
        <w:rPr>
          <w:color w:val="000000" w:themeColor="text1"/>
          <w:lang w:val="en"/>
        </w:rPr>
        <w:t xml:space="preserve">as well as the </w:t>
      </w:r>
      <w:r w:rsidR="00910240">
        <w:rPr>
          <w:color w:val="000000" w:themeColor="text1"/>
          <w:lang w:val="en"/>
        </w:rPr>
        <w:t xml:space="preserve">other factors as </w:t>
      </w:r>
      <w:r w:rsidR="00A7276B">
        <w:rPr>
          <w:color w:val="000000" w:themeColor="text1"/>
          <w:lang w:val="en"/>
        </w:rPr>
        <w:t>indicated</w:t>
      </w:r>
      <w:r w:rsidR="00910240">
        <w:rPr>
          <w:color w:val="000000" w:themeColor="text1"/>
          <w:lang w:val="en"/>
        </w:rPr>
        <w:t xml:space="preserve"> by </w:t>
      </w:r>
      <w:r w:rsidRPr="007B5177" w:rsidR="00910240">
        <w:rPr>
          <w:color w:val="000000" w:themeColor="text1"/>
          <w:lang w:val="en"/>
        </w:rPr>
        <w:t xml:space="preserve">section </w:t>
      </w:r>
      <w:r w:rsidR="00910240">
        <w:rPr>
          <w:color w:val="000000" w:themeColor="text1"/>
          <w:lang w:val="en"/>
        </w:rPr>
        <w:t>503</w:t>
      </w:r>
      <w:r w:rsidRPr="007B5177" w:rsidR="00910240">
        <w:rPr>
          <w:color w:val="000000" w:themeColor="text1"/>
          <w:lang w:val="en"/>
        </w:rPr>
        <w:t xml:space="preserve"> of the </w:t>
      </w:r>
      <w:r w:rsidR="00910240">
        <w:rPr>
          <w:color w:val="000000" w:themeColor="text1"/>
          <w:lang w:val="en"/>
        </w:rPr>
        <w:t>Act, and determine</w:t>
      </w:r>
      <w:r w:rsidR="00B976BA">
        <w:rPr>
          <w:color w:val="000000" w:themeColor="text1"/>
          <w:lang w:val="en"/>
        </w:rPr>
        <w:t>d</w:t>
      </w:r>
      <w:r w:rsidR="00910240">
        <w:rPr>
          <w:color w:val="000000" w:themeColor="text1"/>
          <w:lang w:val="en"/>
        </w:rPr>
        <w:t xml:space="preserve"> that </w:t>
      </w:r>
      <w:r w:rsidR="00C934D9">
        <w:rPr>
          <w:color w:val="000000" w:themeColor="text1"/>
          <w:lang w:val="en"/>
        </w:rPr>
        <w:t xml:space="preserve">an upward adjustment of the base forfeiture is </w:t>
      </w:r>
      <w:r w:rsidR="00910240">
        <w:rPr>
          <w:color w:val="000000" w:themeColor="text1"/>
          <w:lang w:val="en"/>
        </w:rPr>
        <w:t xml:space="preserve">warranted with respect to </w:t>
      </w:r>
      <w:r w:rsidR="006660F0">
        <w:rPr>
          <w:color w:val="000000" w:themeColor="text1"/>
          <w:lang w:val="en"/>
        </w:rPr>
        <w:t xml:space="preserve">these </w:t>
      </w:r>
      <w:r w:rsidR="00910240">
        <w:rPr>
          <w:color w:val="000000" w:themeColor="text1"/>
          <w:lang w:val="en"/>
        </w:rPr>
        <w:t>apparent violation</w:t>
      </w:r>
      <w:r w:rsidR="006660F0">
        <w:rPr>
          <w:color w:val="000000" w:themeColor="text1"/>
          <w:lang w:val="en"/>
        </w:rPr>
        <w:t>s</w:t>
      </w:r>
      <w:r w:rsidR="00910240">
        <w:rPr>
          <w:color w:val="000000" w:themeColor="text1"/>
          <w:lang w:val="en"/>
        </w:rPr>
        <w:t>.</w:t>
      </w:r>
      <w:r>
        <w:rPr>
          <w:rStyle w:val="FootnoteReference"/>
          <w:iCs/>
        </w:rPr>
        <w:footnoteReference w:id="40"/>
      </w:r>
      <w:r w:rsidR="00910240">
        <w:rPr>
          <w:color w:val="000000" w:themeColor="text1"/>
          <w:lang w:val="en"/>
        </w:rPr>
        <w:t xml:space="preserve">  We therefore propose a</w:t>
      </w:r>
      <w:r w:rsidR="00744754">
        <w:rPr>
          <w:color w:val="000000" w:themeColor="text1"/>
          <w:lang w:val="en"/>
        </w:rPr>
        <w:t xml:space="preserve"> $</w:t>
      </w:r>
      <w:r w:rsidR="006660F0">
        <w:rPr>
          <w:color w:val="000000" w:themeColor="text1"/>
          <w:lang w:val="en"/>
        </w:rPr>
        <w:t>26</w:t>
      </w:r>
      <w:r w:rsidR="00744754">
        <w:rPr>
          <w:color w:val="000000" w:themeColor="text1"/>
          <w:lang w:val="en"/>
        </w:rPr>
        <w:t>,000</w:t>
      </w:r>
      <w:r w:rsidR="00910240">
        <w:rPr>
          <w:color w:val="000000" w:themeColor="text1"/>
          <w:lang w:val="en"/>
        </w:rPr>
        <w:t xml:space="preserve"> forfeiture for Cumulus’s apparent violation</w:t>
      </w:r>
      <w:r w:rsidR="006660F0">
        <w:rPr>
          <w:color w:val="000000" w:themeColor="text1"/>
          <w:lang w:val="en"/>
        </w:rPr>
        <w:t>s</w:t>
      </w:r>
      <w:r w:rsidR="00910240">
        <w:rPr>
          <w:color w:val="000000" w:themeColor="text1"/>
          <w:lang w:val="en"/>
        </w:rPr>
        <w:t xml:space="preserve"> of</w:t>
      </w:r>
      <w:r w:rsidRPr="007B5177" w:rsidR="00910240">
        <w:rPr>
          <w:color w:val="000000" w:themeColor="text1"/>
          <w:lang w:val="en"/>
        </w:rPr>
        <w:t xml:space="preserve"> section 73.2080(c)</w:t>
      </w:r>
      <w:r w:rsidRPr="007B5177" w:rsidR="00250085">
        <w:rPr>
          <w:color w:val="000000" w:themeColor="text1"/>
          <w:lang w:val="en"/>
        </w:rPr>
        <w:t>(6</w:t>
      </w:r>
      <w:r w:rsidR="00250085">
        <w:rPr>
          <w:color w:val="000000" w:themeColor="text1"/>
          <w:lang w:val="en"/>
        </w:rPr>
        <w:t>)</w:t>
      </w:r>
      <w:r w:rsidR="001A62AC">
        <w:rPr>
          <w:color w:val="000000" w:themeColor="text1"/>
          <w:lang w:val="en"/>
        </w:rPr>
        <w:t xml:space="preserve"> </w:t>
      </w:r>
      <w:r w:rsidR="006660F0">
        <w:t>for</w:t>
      </w:r>
      <w:r w:rsidR="00831FD4">
        <w:rPr>
          <w:iCs/>
          <w:color w:val="000000" w:themeColor="text1"/>
        </w:rPr>
        <w:t xml:space="preserve"> failing to </w:t>
      </w:r>
      <w:r w:rsidR="00B33843">
        <w:rPr>
          <w:iCs/>
          <w:color w:val="000000" w:themeColor="text1"/>
        </w:rPr>
        <w:t xml:space="preserve">timely </w:t>
      </w:r>
      <w:r w:rsidR="006660F0">
        <w:rPr>
          <w:iCs/>
          <w:color w:val="000000" w:themeColor="text1"/>
        </w:rPr>
        <w:t>upload</w:t>
      </w:r>
      <w:r w:rsidR="00B33843">
        <w:rPr>
          <w:iCs/>
          <w:color w:val="000000" w:themeColor="text1"/>
        </w:rPr>
        <w:t xml:space="preserve"> and </w:t>
      </w:r>
      <w:r w:rsidR="006660F0">
        <w:rPr>
          <w:iCs/>
          <w:color w:val="000000" w:themeColor="text1"/>
        </w:rPr>
        <w:t>maintain</w:t>
      </w:r>
      <w:r w:rsidR="00B33843">
        <w:rPr>
          <w:iCs/>
          <w:color w:val="000000" w:themeColor="text1"/>
        </w:rPr>
        <w:t xml:space="preserve"> </w:t>
      </w:r>
      <w:r w:rsidR="001A62AC">
        <w:t xml:space="preserve">the Stations’ 2018 Annual Reports in their public inspection files </w:t>
      </w:r>
      <w:r w:rsidR="006660F0">
        <w:t xml:space="preserve">and on the Stations’ websites </w:t>
      </w:r>
      <w:r w:rsidR="001A62AC">
        <w:t>for over nine months</w:t>
      </w:r>
      <w:r w:rsidR="00250085">
        <w:rPr>
          <w:color w:val="000000" w:themeColor="text1"/>
          <w:lang w:val="en"/>
        </w:rPr>
        <w:t>.</w:t>
      </w:r>
      <w:r>
        <w:rPr>
          <w:rStyle w:val="FootnoteReference"/>
          <w:iCs/>
        </w:rPr>
        <w:footnoteReference w:id="41"/>
      </w:r>
    </w:p>
    <w:p w:rsidR="00861612" w:rsidRPr="00E92C26" w:rsidP="00861612" w14:paraId="30DBF248" w14:textId="45ADAF35">
      <w:pPr>
        <w:pStyle w:val="ParaNum0"/>
        <w:rPr>
          <w:color w:val="000000" w:themeColor="text1"/>
          <w:lang w:val="en"/>
        </w:rPr>
      </w:pPr>
      <w:bookmarkStart w:id="8" w:name="_Hlk61613689"/>
      <w:bookmarkEnd w:id="6"/>
      <w:r w:rsidRPr="00AA2004">
        <w:rPr>
          <w:i/>
          <w:iCs/>
        </w:rPr>
        <w:t xml:space="preserve">Failure to </w:t>
      </w:r>
      <w:r w:rsidRPr="008F72E5" w:rsidR="008F72E5">
        <w:rPr>
          <w:i/>
          <w:iCs/>
        </w:rPr>
        <w:t>Analyze</w:t>
      </w:r>
      <w:r w:rsidRPr="00AA2004">
        <w:rPr>
          <w:i/>
          <w:iCs/>
        </w:rPr>
        <w:t xml:space="preserve">.  </w:t>
      </w:r>
      <w:bookmarkEnd w:id="8"/>
      <w:r w:rsidRPr="00571356" w:rsidR="00BF6379">
        <w:rPr>
          <w:color w:val="000000" w:themeColor="text1"/>
          <w:lang w:val="en"/>
        </w:rPr>
        <w:t xml:space="preserve">The Commission’s forfeiture guidelines do not establish a base forfeiture for </w:t>
      </w:r>
      <w:r w:rsidRPr="00571356" w:rsidR="00E74723">
        <w:rPr>
          <w:color w:val="000000" w:themeColor="text1"/>
          <w:lang w:val="en"/>
        </w:rPr>
        <w:t>specific EEO rule violations</w:t>
      </w:r>
      <w:r w:rsidRPr="00571356" w:rsidR="0016465F">
        <w:rPr>
          <w:color w:val="000000" w:themeColor="text1"/>
          <w:lang w:val="en"/>
        </w:rPr>
        <w:t>,</w:t>
      </w:r>
      <w:r w:rsidRPr="00571356" w:rsidR="00E74723">
        <w:rPr>
          <w:color w:val="000000" w:themeColor="text1"/>
          <w:lang w:val="en"/>
        </w:rPr>
        <w:t xml:space="preserve"> such as a failure</w:t>
      </w:r>
      <w:r w:rsidRPr="00571356" w:rsidR="005150DA">
        <w:rPr>
          <w:color w:val="000000" w:themeColor="text1"/>
          <w:lang w:val="en"/>
        </w:rPr>
        <w:t xml:space="preserve"> to</w:t>
      </w:r>
      <w:r w:rsidRPr="00571356" w:rsidR="00E74723">
        <w:rPr>
          <w:color w:val="000000" w:themeColor="text1"/>
          <w:lang w:val="en"/>
        </w:rPr>
        <w:t xml:space="preserve"> </w:t>
      </w:r>
      <w:r w:rsidR="008F72E5">
        <w:t>analyze</w:t>
      </w:r>
      <w:r w:rsidRPr="00571356" w:rsidR="00E74723">
        <w:rPr>
          <w:color w:val="000000" w:themeColor="text1"/>
          <w:lang w:val="en"/>
        </w:rPr>
        <w:t xml:space="preserve"> EEO performance</w:t>
      </w:r>
      <w:r w:rsidR="009556EC">
        <w:rPr>
          <w:color w:val="000000" w:themeColor="text1"/>
          <w:lang w:val="en"/>
        </w:rPr>
        <w:t xml:space="preserve"> in accordance with section 73.2080(c)(3)</w:t>
      </w:r>
      <w:r w:rsidRPr="00571356" w:rsidR="00E74723">
        <w:rPr>
          <w:color w:val="000000" w:themeColor="text1"/>
          <w:lang w:val="en"/>
        </w:rPr>
        <w:t>.</w:t>
      </w:r>
      <w:r w:rsidRPr="00571356" w:rsidR="005150DA">
        <w:rPr>
          <w:color w:val="000000" w:themeColor="text1"/>
          <w:lang w:val="en"/>
        </w:rPr>
        <w:t xml:space="preserve">  Thus</w:t>
      </w:r>
      <w:r w:rsidRPr="00571356" w:rsidR="006E742D">
        <w:rPr>
          <w:color w:val="000000" w:themeColor="text1"/>
          <w:lang w:val="en"/>
        </w:rPr>
        <w:t>,</w:t>
      </w:r>
      <w:r w:rsidRPr="00571356" w:rsidR="005150DA">
        <w:rPr>
          <w:color w:val="000000" w:themeColor="text1"/>
          <w:lang w:val="en"/>
        </w:rPr>
        <w:t xml:space="preserve"> we look to forfeitures issued in analogous cases for guidance.  </w:t>
      </w:r>
      <w:r w:rsidRPr="00571356" w:rsidR="00917166">
        <w:rPr>
          <w:color w:val="000000" w:themeColor="text1"/>
          <w:lang w:val="en"/>
        </w:rPr>
        <w:t xml:space="preserve">The </w:t>
      </w:r>
      <w:r w:rsidR="0017371D">
        <w:rPr>
          <w:color w:val="000000" w:themeColor="text1"/>
          <w:lang w:val="en"/>
        </w:rPr>
        <w:t>Media Bureau</w:t>
      </w:r>
      <w:r w:rsidRPr="00571356" w:rsidR="00917166">
        <w:rPr>
          <w:color w:val="000000" w:themeColor="text1"/>
          <w:lang w:val="en"/>
        </w:rPr>
        <w:t xml:space="preserve"> previously issue</w:t>
      </w:r>
      <w:r w:rsidRPr="00571356" w:rsidR="001608B7">
        <w:rPr>
          <w:color w:val="000000" w:themeColor="text1"/>
          <w:lang w:val="en"/>
        </w:rPr>
        <w:t>d</w:t>
      </w:r>
      <w:r w:rsidRPr="00571356" w:rsidR="00917166">
        <w:rPr>
          <w:color w:val="000000" w:themeColor="text1"/>
          <w:lang w:val="en"/>
        </w:rPr>
        <w:t xml:space="preserve"> N</w:t>
      </w:r>
      <w:r w:rsidRPr="00571356" w:rsidR="001608B7">
        <w:rPr>
          <w:color w:val="000000" w:themeColor="text1"/>
          <w:lang w:val="en"/>
        </w:rPr>
        <w:t>otice</w:t>
      </w:r>
      <w:r w:rsidRPr="00571356" w:rsidR="00F82393">
        <w:rPr>
          <w:color w:val="000000" w:themeColor="text1"/>
          <w:lang w:val="en"/>
        </w:rPr>
        <w:t>s</w:t>
      </w:r>
      <w:r w:rsidRPr="00571356" w:rsidR="001608B7">
        <w:rPr>
          <w:color w:val="000000" w:themeColor="text1"/>
          <w:lang w:val="en"/>
        </w:rPr>
        <w:t xml:space="preserve"> of </w:t>
      </w:r>
      <w:r w:rsidRPr="00571356" w:rsidR="00917166">
        <w:rPr>
          <w:color w:val="000000" w:themeColor="text1"/>
          <w:lang w:val="en"/>
        </w:rPr>
        <w:t>A</w:t>
      </w:r>
      <w:r w:rsidRPr="00571356" w:rsidR="001608B7">
        <w:rPr>
          <w:color w:val="000000" w:themeColor="text1"/>
          <w:lang w:val="en"/>
        </w:rPr>
        <w:t xml:space="preserve">pparent </w:t>
      </w:r>
      <w:r w:rsidRPr="00571356" w:rsidR="00917166">
        <w:rPr>
          <w:color w:val="000000" w:themeColor="text1"/>
          <w:lang w:val="en"/>
        </w:rPr>
        <w:t>L</w:t>
      </w:r>
      <w:r w:rsidRPr="00571356" w:rsidR="001608B7">
        <w:rPr>
          <w:color w:val="000000" w:themeColor="text1"/>
          <w:lang w:val="en"/>
        </w:rPr>
        <w:t>iability (NAL</w:t>
      </w:r>
      <w:r w:rsidRPr="00571356" w:rsidR="00917166">
        <w:rPr>
          <w:color w:val="000000" w:themeColor="text1"/>
          <w:lang w:val="en"/>
        </w:rPr>
        <w:t>s</w:t>
      </w:r>
      <w:r w:rsidRPr="00571356" w:rsidR="001608B7">
        <w:rPr>
          <w:color w:val="000000" w:themeColor="text1"/>
          <w:lang w:val="en"/>
        </w:rPr>
        <w:t>)</w:t>
      </w:r>
      <w:r w:rsidRPr="00571356" w:rsidR="00917166">
        <w:rPr>
          <w:color w:val="000000" w:themeColor="text1"/>
          <w:lang w:val="en"/>
        </w:rPr>
        <w:t xml:space="preserve"> against </w:t>
      </w:r>
      <w:r w:rsidR="00961622">
        <w:t xml:space="preserve">Cumulus </w:t>
      </w:r>
      <w:r w:rsidR="001E5DE9">
        <w:t>in 2008 and 2017</w:t>
      </w:r>
      <w:r w:rsidR="00917166">
        <w:t xml:space="preserve"> </w:t>
      </w:r>
      <w:r w:rsidR="00917166">
        <w:t>for EEO rule violations</w:t>
      </w:r>
      <w:r w:rsidR="00802494">
        <w:t xml:space="preserve"> of section 73.2080(c)(3)</w:t>
      </w:r>
      <w:r w:rsidR="00917166">
        <w:t>.</w:t>
      </w:r>
      <w:r>
        <w:rPr>
          <w:rStyle w:val="FootnoteReference"/>
        </w:rPr>
        <w:footnoteReference w:id="42"/>
      </w:r>
      <w:r w:rsidR="00917166">
        <w:t xml:space="preserve">  In both NALs, the </w:t>
      </w:r>
      <w:r w:rsidR="0017371D">
        <w:rPr>
          <w:color w:val="000000" w:themeColor="text1"/>
          <w:lang w:val="en"/>
        </w:rPr>
        <w:t>Media Bureau</w:t>
      </w:r>
      <w:r w:rsidR="00917166">
        <w:t xml:space="preserve"> issued a $2,000 forfeiture against Cumulus</w:t>
      </w:r>
      <w:r w:rsidR="001E5DE9">
        <w:t xml:space="preserve"> </w:t>
      </w:r>
      <w:r w:rsidR="00961622">
        <w:t xml:space="preserve">for failing to </w:t>
      </w:r>
      <w:r w:rsidR="0016465F">
        <w:t xml:space="preserve">adequately </w:t>
      </w:r>
      <w:r w:rsidR="008F72E5">
        <w:t>analyze</w:t>
      </w:r>
      <w:r w:rsidR="00961622">
        <w:t xml:space="preserve"> its stations’ EEO program.</w:t>
      </w:r>
      <w:r>
        <w:rPr>
          <w:rStyle w:val="FootnoteReference"/>
        </w:rPr>
        <w:footnoteReference w:id="43"/>
      </w:r>
      <w:r w:rsidR="00961622">
        <w:t xml:space="preserve">  </w:t>
      </w:r>
      <w:r w:rsidR="0017371D">
        <w:t xml:space="preserve">We agree that this is an appropriate base forfeiture for violations of this rule.  </w:t>
      </w:r>
      <w:r w:rsidR="00EB191A">
        <w:t xml:space="preserve">Again, </w:t>
      </w:r>
      <w:r w:rsidR="0020087D">
        <w:t>considering the circumstances of t</w:t>
      </w:r>
      <w:r w:rsidR="00493F7B">
        <w:t>h</w:t>
      </w:r>
      <w:r w:rsidR="0020087D">
        <w:t xml:space="preserve">is case, including </w:t>
      </w:r>
      <w:r w:rsidR="00EB191A">
        <w:t>Cumulus’ history of prior EEO offenses,</w:t>
      </w:r>
      <w:r>
        <w:rPr>
          <w:rStyle w:val="FootnoteReference"/>
          <w:iCs/>
        </w:rPr>
        <w:footnoteReference w:id="44"/>
      </w:r>
      <w:r w:rsidR="00EB191A">
        <w:t xml:space="preserve"> we </w:t>
      </w:r>
      <w:r w:rsidR="00EB191A">
        <w:rPr>
          <w:color w:val="000000" w:themeColor="text1"/>
          <w:lang w:val="en"/>
        </w:rPr>
        <w:t>determine that an upward adjustment to the base forfeiture is warranted</w:t>
      </w:r>
      <w:r w:rsidRPr="007B5177" w:rsidR="00EB191A">
        <w:rPr>
          <w:color w:val="000000" w:themeColor="text1"/>
          <w:lang w:val="en"/>
        </w:rPr>
        <w:t xml:space="preserve"> with </w:t>
      </w:r>
      <w:r w:rsidR="00EB191A">
        <w:rPr>
          <w:color w:val="000000" w:themeColor="text1"/>
          <w:lang w:val="en"/>
        </w:rPr>
        <w:t>respect to this apparent violation.</w:t>
      </w:r>
      <w:r w:rsidRPr="003C5893" w:rsidR="00EB191A">
        <w:rPr>
          <w:color w:val="000000" w:themeColor="text1"/>
          <w:lang w:val="en"/>
        </w:rPr>
        <w:t xml:space="preserve"> </w:t>
      </w:r>
      <w:r w:rsidRPr="00E47CFC" w:rsidR="00EB191A">
        <w:t xml:space="preserve"> </w:t>
      </w:r>
      <w:r w:rsidR="000E49D4">
        <w:t>Consistent with this precedent</w:t>
      </w:r>
      <w:r w:rsidR="0094322E">
        <w:t xml:space="preserve"> and the circumstances of this particular case, </w:t>
      </w:r>
      <w:r w:rsidRPr="00571356" w:rsidR="00CD0079">
        <w:rPr>
          <w:color w:val="000000" w:themeColor="text1"/>
          <w:lang w:val="en"/>
        </w:rPr>
        <w:t>we propose a forfeiture of $</w:t>
      </w:r>
      <w:r w:rsidR="004B6F02">
        <w:rPr>
          <w:color w:val="000000" w:themeColor="text1"/>
          <w:lang w:val="en"/>
        </w:rPr>
        <w:t>6,000</w:t>
      </w:r>
      <w:r w:rsidRPr="00571356" w:rsidR="00CD0079">
        <w:rPr>
          <w:color w:val="000000" w:themeColor="text1"/>
          <w:lang w:val="en"/>
        </w:rPr>
        <w:t xml:space="preserve"> </w:t>
      </w:r>
      <w:r w:rsidRPr="00571356" w:rsidR="0016465F">
        <w:rPr>
          <w:color w:val="000000" w:themeColor="text1"/>
          <w:lang w:val="en"/>
        </w:rPr>
        <w:t>against</w:t>
      </w:r>
      <w:r w:rsidRPr="00571356" w:rsidR="00961622">
        <w:rPr>
          <w:color w:val="000000" w:themeColor="text1"/>
          <w:lang w:val="en"/>
        </w:rPr>
        <w:t xml:space="preserve"> Cumulus for </w:t>
      </w:r>
      <w:r w:rsidR="00961622">
        <w:t xml:space="preserve">failing to </w:t>
      </w:r>
      <w:r w:rsidR="0016465F">
        <w:t xml:space="preserve">adequately </w:t>
      </w:r>
      <w:r w:rsidR="008F72E5">
        <w:t>analyze</w:t>
      </w:r>
      <w:r w:rsidR="00961622">
        <w:t xml:space="preserve"> its stations’ EEO program</w:t>
      </w:r>
      <w:r w:rsidR="004938C8">
        <w:t xml:space="preserve"> in apparent violation of </w:t>
      </w:r>
      <w:r w:rsidR="00B339A2">
        <w:t xml:space="preserve">section </w:t>
      </w:r>
      <w:r w:rsidR="004938C8">
        <w:t>73.2080(c)(3)</w:t>
      </w:r>
      <w:r w:rsidR="00B339A2">
        <w:t xml:space="preserve"> of the Commission’s rules</w:t>
      </w:r>
      <w:r w:rsidRPr="007B5177" w:rsidR="004938C8">
        <w:t>.</w:t>
      </w:r>
      <w:r>
        <w:rPr>
          <w:rStyle w:val="FootnoteReference"/>
          <w:iCs/>
        </w:rPr>
        <w:footnoteReference w:id="45"/>
      </w:r>
    </w:p>
    <w:p w:rsidR="008844B5" w:rsidRPr="000829E3" w:rsidP="008844B5" w14:paraId="4E5A4B21" w14:textId="0527447A">
      <w:pPr>
        <w:pStyle w:val="ParaNum0"/>
        <w:rPr>
          <w:color w:val="000000" w:themeColor="text1"/>
          <w:lang w:val="en"/>
        </w:rPr>
      </w:pPr>
      <w:r w:rsidRPr="00AA2004">
        <w:rPr>
          <w:i/>
          <w:iCs/>
          <w:color w:val="000000" w:themeColor="text1"/>
          <w:lang w:val="en"/>
        </w:rPr>
        <w:t xml:space="preserve">Public Inspection File </w:t>
      </w:r>
      <w:r w:rsidRPr="00AA2004" w:rsidR="0096700E">
        <w:rPr>
          <w:i/>
          <w:iCs/>
          <w:color w:val="000000" w:themeColor="text1"/>
          <w:lang w:val="en"/>
        </w:rPr>
        <w:t xml:space="preserve">Rule </w:t>
      </w:r>
      <w:r w:rsidRPr="00AA2004">
        <w:rPr>
          <w:i/>
          <w:iCs/>
          <w:color w:val="000000" w:themeColor="text1"/>
          <w:lang w:val="en"/>
        </w:rPr>
        <w:t xml:space="preserve">Violation.  </w:t>
      </w:r>
      <w:r w:rsidR="00010209">
        <w:t>S</w:t>
      </w:r>
      <w:r w:rsidRPr="00F44FF8" w:rsidR="00010209">
        <w:rPr>
          <w:szCs w:val="22"/>
        </w:rPr>
        <w:t xml:space="preserve">ection 73.3526(e)(7) </w:t>
      </w:r>
      <w:r w:rsidR="00010209">
        <w:rPr>
          <w:szCs w:val="22"/>
        </w:rPr>
        <w:t>of the Com</w:t>
      </w:r>
      <w:r w:rsidRPr="00522CD2" w:rsidR="00010209">
        <w:rPr>
          <w:szCs w:val="22"/>
        </w:rPr>
        <w:t xml:space="preserve">mission’s rules </w:t>
      </w:r>
      <w:r w:rsidRPr="0016077B" w:rsidR="00010209">
        <w:rPr>
          <w:szCs w:val="22"/>
        </w:rPr>
        <w:t xml:space="preserve">requires </w:t>
      </w:r>
      <w:r w:rsidR="00010209">
        <w:rPr>
          <w:szCs w:val="22"/>
        </w:rPr>
        <w:t xml:space="preserve">that </w:t>
      </w:r>
      <w:r w:rsidRPr="0016077B" w:rsidR="00010209">
        <w:rPr>
          <w:szCs w:val="22"/>
        </w:rPr>
        <w:t xml:space="preserve">a licensee </w:t>
      </w:r>
      <w:r w:rsidRPr="00A26471" w:rsidR="00010209">
        <w:rPr>
          <w:spacing w:val="-2"/>
          <w:szCs w:val="22"/>
        </w:rPr>
        <w:t xml:space="preserve">place required information, </w:t>
      </w:r>
      <w:r w:rsidR="00010209">
        <w:rPr>
          <w:spacing w:val="-2"/>
          <w:szCs w:val="22"/>
        </w:rPr>
        <w:t>including EEO files such</w:t>
      </w:r>
      <w:r w:rsidRPr="00A26471" w:rsidR="00010209">
        <w:rPr>
          <w:spacing w:val="-2"/>
          <w:szCs w:val="22"/>
        </w:rPr>
        <w:t xml:space="preserve"> as </w:t>
      </w:r>
      <w:r w:rsidR="00010209">
        <w:rPr>
          <w:spacing w:val="-2"/>
          <w:szCs w:val="22"/>
        </w:rPr>
        <w:t>its Annual Report</w:t>
      </w:r>
      <w:r w:rsidRPr="00A26471" w:rsidR="00010209">
        <w:rPr>
          <w:spacing w:val="-2"/>
          <w:szCs w:val="22"/>
        </w:rPr>
        <w:t>, in its station’s public inspection file</w:t>
      </w:r>
      <w:r w:rsidRPr="00522CD2" w:rsidR="00010209">
        <w:rPr>
          <w:szCs w:val="22"/>
        </w:rPr>
        <w:t>.</w:t>
      </w:r>
      <w:r>
        <w:rPr>
          <w:rStyle w:val="FootnoteReference"/>
          <w:sz w:val="22"/>
          <w:szCs w:val="22"/>
        </w:rPr>
        <w:footnoteReference w:id="46"/>
      </w:r>
      <w:r w:rsidRPr="00522CD2" w:rsidR="00010209">
        <w:rPr>
          <w:szCs w:val="22"/>
        </w:rPr>
        <w:t xml:space="preserve">  </w:t>
      </w:r>
      <w:r>
        <w:t>We note that Cumulus</w:t>
      </w:r>
      <w:r w:rsidR="004C3FC0">
        <w:t xml:space="preserve">’ </w:t>
      </w:r>
      <w:r>
        <w:t>fail</w:t>
      </w:r>
      <w:r w:rsidR="004C3FC0">
        <w:t xml:space="preserve">ure </w:t>
      </w:r>
      <w:r>
        <w:t xml:space="preserve">to keep required EEO </w:t>
      </w:r>
      <w:r w:rsidR="00A339FD">
        <w:t>information</w:t>
      </w:r>
      <w:r>
        <w:t xml:space="preserve"> in its Stations’ public inspection files</w:t>
      </w:r>
      <w:r w:rsidRPr="008844B5">
        <w:t xml:space="preserve"> </w:t>
      </w:r>
      <w:r w:rsidR="0096700E">
        <w:t xml:space="preserve">therefore </w:t>
      </w:r>
      <w:r w:rsidR="004C3FC0">
        <w:t xml:space="preserve">also </w:t>
      </w:r>
      <w:r>
        <w:t>apparent</w:t>
      </w:r>
      <w:r w:rsidR="004C3FC0">
        <w:t>ly</w:t>
      </w:r>
      <w:r>
        <w:t xml:space="preserve"> violat</w:t>
      </w:r>
      <w:r w:rsidR="004C3FC0">
        <w:t>es</w:t>
      </w:r>
      <w:r w:rsidRPr="00C36C91">
        <w:rPr>
          <w:iCs/>
          <w:color w:val="000000" w:themeColor="text1"/>
        </w:rPr>
        <w:t xml:space="preserve"> </w:t>
      </w:r>
      <w:r>
        <w:rPr>
          <w:iCs/>
          <w:color w:val="000000" w:themeColor="text1"/>
        </w:rPr>
        <w:t>section 73.3526(e)(7) of the Commission’s rules</w:t>
      </w:r>
      <w:r>
        <w:t>.</w:t>
      </w:r>
      <w:r>
        <w:rPr>
          <w:rStyle w:val="FootnoteReference"/>
        </w:rPr>
        <w:footnoteReference w:id="47"/>
      </w:r>
      <w:r>
        <w:t xml:space="preserve">  </w:t>
      </w:r>
      <w:r w:rsidR="00A339FD">
        <w:t>While we decline to issue a separate forfeiture for the apparent violation of section 73.3526(e)(7) in this case, the Commission has previously done so,</w:t>
      </w:r>
      <w:r>
        <w:rPr>
          <w:rStyle w:val="FootnoteReference"/>
        </w:rPr>
        <w:footnoteReference w:id="48"/>
      </w:r>
      <w:r w:rsidR="00A339FD">
        <w:t xml:space="preserve"> </w:t>
      </w:r>
      <w:r w:rsidR="006F4405">
        <w:t xml:space="preserve">and reserves the </w:t>
      </w:r>
      <w:r w:rsidR="0096700E">
        <w:t>right</w:t>
      </w:r>
      <w:r w:rsidR="006F4405">
        <w:t xml:space="preserve"> </w:t>
      </w:r>
      <w:r w:rsidR="0096700E">
        <w:t>to do</w:t>
      </w:r>
      <w:r w:rsidR="006F4405">
        <w:t xml:space="preserve"> so </w:t>
      </w:r>
      <w:r w:rsidR="0096700E">
        <w:t xml:space="preserve">when considering future </w:t>
      </w:r>
      <w:r w:rsidR="00FF7930">
        <w:t xml:space="preserve">such </w:t>
      </w:r>
      <w:r w:rsidR="0096700E">
        <w:t>violations</w:t>
      </w:r>
      <w:r w:rsidR="006F4405">
        <w:t>.</w:t>
      </w:r>
    </w:p>
    <w:p w:rsidR="00E34768" w:rsidRPr="00B6718E" w14:paraId="7CDC6160" w14:textId="77729601">
      <w:pPr>
        <w:pStyle w:val="ParaNum0"/>
        <w:rPr>
          <w:spacing w:val="-2"/>
        </w:rPr>
      </w:pPr>
      <w:r w:rsidRPr="00AA2004">
        <w:rPr>
          <w:i/>
          <w:iCs/>
          <w:color w:val="000000" w:themeColor="text1"/>
          <w:lang w:val="en"/>
        </w:rPr>
        <w:t xml:space="preserve">Other Factors.  </w:t>
      </w:r>
      <w:r w:rsidRPr="00740BCC" w:rsidR="00740BCC">
        <w:t xml:space="preserve">In applying the applicable statutory factors, we also consider whether there </w:t>
      </w:r>
      <w:r w:rsidR="00A7276B">
        <w:t>may be</w:t>
      </w:r>
      <w:r w:rsidRPr="00740BCC" w:rsidR="00740BCC">
        <w:t xml:space="preserve"> any</w:t>
      </w:r>
      <w:r w:rsidR="0094322E">
        <w:t xml:space="preserve"> </w:t>
      </w:r>
      <w:r w:rsidRPr="00740BCC" w:rsidR="00740BCC">
        <w:t xml:space="preserve">basis for a downward adjustment of the proposed forfeiture.  </w:t>
      </w:r>
      <w:r w:rsidR="00814F5B">
        <w:t xml:space="preserve">Here, we find none.  </w:t>
      </w:r>
      <w:r w:rsidR="005B69FD">
        <w:t>Cumulus</w:t>
      </w:r>
      <w:r w:rsidRPr="00740BCC" w:rsidR="005B69FD">
        <w:t xml:space="preserve"> </w:t>
      </w:r>
      <w:r w:rsidR="005B69FD">
        <w:t xml:space="preserve">argued that the forfeiture penalty should be adjusted downward as Cumulus’ parent </w:t>
      </w:r>
      <w:r w:rsidRPr="00740BCC" w:rsidR="005B69FD">
        <w:t>emerged from bankruptcy in 2018</w:t>
      </w:r>
      <w:r w:rsidR="005B69FD">
        <w:t>,</w:t>
      </w:r>
      <w:r w:rsidRPr="00740BCC" w:rsidR="005B69FD">
        <w:t xml:space="preserve"> and </w:t>
      </w:r>
      <w:r w:rsidR="005B69FD">
        <w:t>because</w:t>
      </w:r>
      <w:r w:rsidRPr="00740BCC" w:rsidR="005B69FD">
        <w:t xml:space="preserve"> the COVID-19 pandemic has negatively impacted its 2020 advertising revenue.</w:t>
      </w:r>
      <w:r>
        <w:rPr>
          <w:rStyle w:val="FootnoteReference"/>
        </w:rPr>
        <w:footnoteReference w:id="49"/>
      </w:r>
      <w:r w:rsidRPr="00740BCC" w:rsidR="005B69FD">
        <w:t xml:space="preserve">  </w:t>
      </w:r>
      <w:r w:rsidR="00672ABD">
        <w:t>However, Cumulus failed to</w:t>
      </w:r>
      <w:r w:rsidRPr="00740BCC" w:rsidR="00672ABD">
        <w:t xml:space="preserve"> submi</w:t>
      </w:r>
      <w:r w:rsidR="00672ABD">
        <w:t>t</w:t>
      </w:r>
      <w:r w:rsidRPr="00740BCC" w:rsidR="00672ABD">
        <w:t xml:space="preserve"> any evidence of inability to pay</w:t>
      </w:r>
      <w:r w:rsidR="00672ABD">
        <w:t xml:space="preserve"> a</w:t>
      </w:r>
      <w:r w:rsidRPr="00740BCC" w:rsidR="00672ABD">
        <w:t xml:space="preserve"> forfeiture</w:t>
      </w:r>
      <w:r w:rsidR="00BB14C6">
        <w:t>,</w:t>
      </w:r>
      <w:r>
        <w:rPr>
          <w:rStyle w:val="FootnoteReference"/>
        </w:rPr>
        <w:footnoteReference w:id="50"/>
      </w:r>
      <w:r w:rsidRPr="00740BCC" w:rsidR="00672ABD">
        <w:t xml:space="preserve"> </w:t>
      </w:r>
      <w:r w:rsidR="00BB14C6">
        <w:t xml:space="preserve">and moreover, </w:t>
      </w:r>
      <w:r w:rsidR="005B69FD">
        <w:t>Cumul</w:t>
      </w:r>
      <w:r w:rsidR="00672ABD">
        <w:t xml:space="preserve">us’ parent reported </w:t>
      </w:r>
      <w:r w:rsidR="00BB14C6">
        <w:t xml:space="preserve">on its website </w:t>
      </w:r>
      <w:r w:rsidR="00672ABD">
        <w:t>that</w:t>
      </w:r>
      <w:r w:rsidR="00BB14C6">
        <w:t xml:space="preserve">, for </w:t>
      </w:r>
      <w:r w:rsidR="00672ABD">
        <w:t>the third quarter of 2020, “[d]</w:t>
      </w:r>
      <w:r w:rsidR="00672ABD">
        <w:t>espite</w:t>
      </w:r>
      <w:r w:rsidR="00672ABD">
        <w:t xml:space="preserve"> the extraordinary challenges of operating through a pandemic, we have reduced debt by $269 million and increased cash by $316 million since emerging from bankruptcy…</w:t>
      </w:r>
      <w:r w:rsidR="00BB14C6">
        <w:t>.</w:t>
      </w:r>
      <w:r w:rsidR="00672ABD">
        <w:t>”</w:t>
      </w:r>
      <w:r>
        <w:rPr>
          <w:rStyle w:val="FootnoteReference"/>
        </w:rPr>
        <w:footnoteReference w:id="51"/>
      </w:r>
      <w:r w:rsidR="00672ABD">
        <w:t xml:space="preserve">  </w:t>
      </w:r>
      <w:r w:rsidR="0094322E">
        <w:t>Accordingly, we propose a total forfeiture of $</w:t>
      </w:r>
      <w:r w:rsidR="004B6F02">
        <w:t>32</w:t>
      </w:r>
      <w:r w:rsidR="0020087D">
        <w:t>,000</w:t>
      </w:r>
      <w:r w:rsidR="00EB191A">
        <w:t xml:space="preserve"> </w:t>
      </w:r>
      <w:r w:rsidR="0094322E">
        <w:t xml:space="preserve">for Cumulus’ apparent violations of the EEO rules in this case.  </w:t>
      </w:r>
    </w:p>
    <w:p w:rsidR="002302F1" w:rsidRPr="00981F23" w:rsidP="004E5204" w14:paraId="50E229F9" w14:textId="77777777">
      <w:pPr>
        <w:pStyle w:val="Heading1"/>
        <w:rPr>
          <w:color w:val="000000" w:themeColor="text1"/>
          <w:spacing w:val="-2"/>
        </w:rPr>
      </w:pPr>
      <w:r w:rsidRPr="00981F23">
        <w:rPr>
          <w:color w:val="000000" w:themeColor="text1"/>
          <w:spacing w:val="-2"/>
        </w:rPr>
        <w:t>Conclusion</w:t>
      </w:r>
    </w:p>
    <w:p w:rsidR="00A0350D" w:rsidRPr="00981F23" w:rsidP="003B1976" w14:paraId="0F711AEA" w14:textId="01F1A83E">
      <w:pPr>
        <w:pStyle w:val="ParaNum0"/>
        <w:widowControl/>
      </w:pPr>
      <w:r>
        <w:t>For the reasons set forth above, w</w:t>
      </w:r>
      <w:r w:rsidRPr="00981F23" w:rsidR="002302F1">
        <w:t xml:space="preserve">e </w:t>
      </w:r>
      <w:r>
        <w:t>find</w:t>
      </w:r>
      <w:r w:rsidRPr="00981F23" w:rsidR="002302F1">
        <w:t xml:space="preserve"> tha</w:t>
      </w:r>
      <w:r w:rsidR="00C3622C">
        <w:t>t Cumulus</w:t>
      </w:r>
      <w:r w:rsidRPr="00981F23" w:rsidR="002302F1">
        <w:t xml:space="preserve"> </w:t>
      </w:r>
      <w:r w:rsidRPr="00981F23">
        <w:t xml:space="preserve">apparently willfully and repeatedly violated </w:t>
      </w:r>
      <w:r w:rsidR="00E21321">
        <w:t xml:space="preserve">sections </w:t>
      </w:r>
      <w:r w:rsidR="00AA2004">
        <w:t>73.3</w:t>
      </w:r>
      <w:r w:rsidR="003D07FF">
        <w:t>526(e)(7),</w:t>
      </w:r>
      <w:r w:rsidR="00AA2004">
        <w:t xml:space="preserve"> </w:t>
      </w:r>
      <w:r w:rsidR="00E21321">
        <w:t>73.2080(c)(3)</w:t>
      </w:r>
      <w:r w:rsidR="0096700E">
        <w:t xml:space="preserve"> and</w:t>
      </w:r>
      <w:r w:rsidR="00E21321">
        <w:t xml:space="preserve"> 73.2080(c)(6).</w:t>
      </w:r>
      <w:r>
        <w:rPr>
          <w:rStyle w:val="FootnoteReference"/>
        </w:rPr>
        <w:footnoteReference w:id="52"/>
      </w:r>
      <w:r w:rsidR="00E21321">
        <w:t xml:space="preserve"> </w:t>
      </w:r>
      <w:r w:rsidRPr="00981F23">
        <w:t xml:space="preserve"> As such, </w:t>
      </w:r>
      <w:r w:rsidR="00C3622C">
        <w:t>Cumulus</w:t>
      </w:r>
      <w:r w:rsidRPr="00981F23">
        <w:t xml:space="preserve"> is apparently liable for a forfeiture of </w:t>
      </w:r>
      <w:r w:rsidR="00C3622C">
        <w:t>$</w:t>
      </w:r>
      <w:r w:rsidR="004B6F02">
        <w:t>32</w:t>
      </w:r>
      <w:r w:rsidR="0020087D">
        <w:t>,000</w:t>
      </w:r>
      <w:r w:rsidR="00C3622C">
        <w:t>.</w:t>
      </w:r>
      <w:r>
        <w:rPr>
          <w:rStyle w:val="FootnoteReference"/>
        </w:rPr>
        <w:footnoteReference w:id="53"/>
      </w:r>
    </w:p>
    <w:p w:rsidR="00E9376C" w:rsidRPr="00981F23" w:rsidP="004E5204" w14:paraId="0122343D" w14:textId="77777777">
      <w:pPr>
        <w:pStyle w:val="Heading1"/>
        <w:rPr>
          <w:color w:val="000000" w:themeColor="text1"/>
          <w:spacing w:val="-2"/>
        </w:rPr>
      </w:pPr>
      <w:r w:rsidRPr="00981F23">
        <w:rPr>
          <w:color w:val="000000" w:themeColor="text1"/>
        </w:rPr>
        <w:t>ORDERING CLAUSES</w:t>
      </w:r>
    </w:p>
    <w:p w:rsidR="00E9376C" w:rsidRPr="00981F23" w:rsidP="006E4C66" w14:paraId="183AC89A" w14:textId="3213E569">
      <w:pPr>
        <w:pStyle w:val="ParaNum0"/>
        <w:rPr>
          <w:spacing w:val="-2"/>
        </w:rPr>
      </w:pPr>
      <w:r w:rsidRPr="00981F23">
        <w:t xml:space="preserve">Accordingly, </w:t>
      </w:r>
      <w:r w:rsidRPr="00981F23">
        <w:rPr>
          <w:b/>
        </w:rPr>
        <w:t>IT IS ORDERED</w:t>
      </w:r>
      <w:r w:rsidRPr="00981F23">
        <w:t xml:space="preserve"> that, pursuant to </w:t>
      </w:r>
      <w:r w:rsidR="007C1B0C">
        <w:t>section</w:t>
      </w:r>
      <w:r w:rsidRPr="00981F23">
        <w:t xml:space="preserve"> 503(b) of the </w:t>
      </w:r>
      <w:r w:rsidR="003A3B45">
        <w:t>Act</w:t>
      </w:r>
      <w:r>
        <w:rPr>
          <w:vertAlign w:val="superscript"/>
        </w:rPr>
        <w:footnoteReference w:id="54"/>
      </w:r>
      <w:r w:rsidRPr="00981F23">
        <w:t xml:space="preserve"> and </w:t>
      </w:r>
      <w:r w:rsidR="007C1B0C">
        <w:t>section</w:t>
      </w:r>
      <w:r w:rsidRPr="00981F23">
        <w:t xml:space="preserve"> 1.80 of the</w:t>
      </w:r>
      <w:r w:rsidR="003A3B45">
        <w:t xml:space="preserve"> </w:t>
      </w:r>
      <w:r w:rsidR="007C1B0C">
        <w:t>Commission’s r</w:t>
      </w:r>
      <w:r w:rsidRPr="00981F23">
        <w:t>ules,</w:t>
      </w:r>
      <w:r>
        <w:rPr>
          <w:vertAlign w:val="superscript"/>
        </w:rPr>
        <w:footnoteReference w:id="55"/>
      </w:r>
      <w:r w:rsidRPr="00981F23">
        <w:t xml:space="preserve"> </w:t>
      </w:r>
      <w:r w:rsidRPr="00F76A06" w:rsidR="00F76A06">
        <w:t>Cumulus Licensing LLC</w:t>
      </w:r>
      <w:r w:rsidRPr="00981F23">
        <w:t xml:space="preserve"> is hereby </w:t>
      </w:r>
      <w:r w:rsidRPr="00981F23">
        <w:rPr>
          <w:b/>
        </w:rPr>
        <w:t>NOTIFIED</w:t>
      </w:r>
      <w:r w:rsidRPr="00981F23">
        <w:t xml:space="preserve"> of this </w:t>
      </w:r>
      <w:r w:rsidRPr="00981F23">
        <w:rPr>
          <w:b/>
        </w:rPr>
        <w:t>APPARENT LIABILITY FOR A FORFEITURE</w:t>
      </w:r>
      <w:r w:rsidRPr="00981F23">
        <w:t xml:space="preserve"> in the amount of </w:t>
      </w:r>
      <w:r w:rsidR="00873077">
        <w:t>thirty</w:t>
      </w:r>
      <w:r w:rsidR="004B6F02">
        <w:t>-two thousand</w:t>
      </w:r>
      <w:r w:rsidR="0032275F">
        <w:t xml:space="preserve"> </w:t>
      </w:r>
      <w:r w:rsidR="007B4949">
        <w:t>dollars</w:t>
      </w:r>
      <w:r w:rsidRPr="00981F23">
        <w:t xml:space="preserve"> </w:t>
      </w:r>
      <w:r w:rsidR="007B4949">
        <w:t>($</w:t>
      </w:r>
      <w:r w:rsidR="004B6F02">
        <w:t>32</w:t>
      </w:r>
      <w:r w:rsidR="00873077">
        <w:t>,000</w:t>
      </w:r>
      <w:r w:rsidRPr="00981F23" w:rsidR="00A0350D">
        <w:t>)</w:t>
      </w:r>
      <w:r w:rsidRPr="00981F23">
        <w:t xml:space="preserve"> for willful and repeated violations of </w:t>
      </w:r>
      <w:r w:rsidR="007C1B0C">
        <w:t>s</w:t>
      </w:r>
      <w:r w:rsidRPr="00981F23">
        <w:t>ection</w:t>
      </w:r>
      <w:r w:rsidR="007B4949">
        <w:t>s 73.2080(c)(3)</w:t>
      </w:r>
      <w:r w:rsidR="00933EF8">
        <w:t xml:space="preserve"> and </w:t>
      </w:r>
      <w:r w:rsidR="007B4949">
        <w:t>73.2080(c)(6) of the Commission’s rules.</w:t>
      </w:r>
      <w:r>
        <w:rPr>
          <w:rStyle w:val="FootnoteReference"/>
        </w:rPr>
        <w:footnoteReference w:id="56"/>
      </w:r>
    </w:p>
    <w:p w:rsidR="00E9376C" w:rsidRPr="00981F23" w14:paraId="222E7784" w14:textId="14500B4F">
      <w:pPr>
        <w:pStyle w:val="ParaNum0"/>
        <w:rPr>
          <w:spacing w:val="-2"/>
        </w:rPr>
      </w:pPr>
      <w:r w:rsidRPr="00981F23">
        <w:rPr>
          <w:b/>
        </w:rPr>
        <w:t xml:space="preserve">IT IS FURTHER ORDERED </w:t>
      </w:r>
      <w:r w:rsidRPr="00981F23">
        <w:t xml:space="preserve">that, pursuant to </w:t>
      </w:r>
      <w:r w:rsidR="007C1B0C">
        <w:t>s</w:t>
      </w:r>
      <w:r w:rsidRPr="00981F23">
        <w:t>ection 1.80 of the</w:t>
      </w:r>
      <w:r w:rsidR="003A3B45">
        <w:t xml:space="preserve"> </w:t>
      </w:r>
      <w:r w:rsidR="007C1B0C">
        <w:t>Commission’s r</w:t>
      </w:r>
      <w:r w:rsidRPr="00981F23">
        <w:t>ules,</w:t>
      </w:r>
      <w:r>
        <w:rPr>
          <w:vertAlign w:val="superscript"/>
        </w:rPr>
        <w:footnoteReference w:id="57"/>
      </w:r>
      <w:r w:rsidRPr="00981F23">
        <w:rPr>
          <w:vertAlign w:val="superscript"/>
        </w:rPr>
        <w:t xml:space="preserve"> </w:t>
      </w:r>
      <w:r w:rsidRPr="00981F23">
        <w:t xml:space="preserve">within thirty (30) calendar days of the release date of this Notice of Apparent Liability for Forfeiture, </w:t>
      </w:r>
      <w:r w:rsidRPr="00F76A06" w:rsidR="00F76A06">
        <w:t xml:space="preserve">Cumulus Licensing LLC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w:t>
      </w:r>
      <w:r w:rsidR="007D3686">
        <w:t xml:space="preserve"> </w:t>
      </w:r>
      <w:r w:rsidRPr="00981F23">
        <w:t>paragraph</w:t>
      </w:r>
      <w:r w:rsidR="007224CA">
        <w:t xml:space="preserve"> </w:t>
      </w:r>
      <w:r w:rsidR="00DF501A">
        <w:t>2</w:t>
      </w:r>
      <w:r w:rsidR="00BC3F90">
        <w:t>4</w:t>
      </w:r>
      <w:r w:rsidR="00DF501A">
        <w:t xml:space="preserve"> </w:t>
      </w:r>
      <w:r w:rsidRPr="00981F23">
        <w:t>below.</w:t>
      </w:r>
    </w:p>
    <w:p w:rsidR="00E9376C" w:rsidRPr="00E92C26" w:rsidP="006E4C66" w14:paraId="6BABD170" w14:textId="1041023C">
      <w:pPr>
        <w:pStyle w:val="ParaNum0"/>
        <w:rPr>
          <w:spacing w:val="-2"/>
          <w:szCs w:val="22"/>
        </w:rPr>
      </w:pPr>
      <w:r w:rsidRPr="00E92C26">
        <w:rPr>
          <w:szCs w:val="22"/>
        </w:rPr>
        <w:t xml:space="preserve">Cumulus Licensing LLC </w:t>
      </w:r>
      <w:r w:rsidRPr="00E92C26" w:rsidR="006A495F">
        <w:rPr>
          <w:szCs w:val="22"/>
        </w:rPr>
        <w:t xml:space="preserve">shall send electronic notification of payment to </w:t>
      </w:r>
      <w:r w:rsidRPr="00E92C26" w:rsidR="00001A0B">
        <w:rPr>
          <w:szCs w:val="22"/>
        </w:rPr>
        <w:t>Jeffrey J. Gee</w:t>
      </w:r>
      <w:r w:rsidRPr="00E92C26" w:rsidR="00857FAA">
        <w:rPr>
          <w:szCs w:val="22"/>
        </w:rPr>
        <w:t xml:space="preserve">, Chief, </w:t>
      </w:r>
      <w:r w:rsidRPr="00E92C26">
        <w:rPr>
          <w:szCs w:val="22"/>
        </w:rPr>
        <w:t>Hearings and Investigations Division</w:t>
      </w:r>
      <w:r w:rsidRPr="00E92C26" w:rsidR="006A495F">
        <w:rPr>
          <w:szCs w:val="22"/>
        </w:rPr>
        <w:t>, Enforcement Bureau, Federal Communications Commission, at</w:t>
      </w:r>
      <w:r w:rsidRPr="00E92C26" w:rsidR="00001A0B">
        <w:rPr>
          <w:szCs w:val="22"/>
        </w:rPr>
        <w:t xml:space="preserve"> </w:t>
      </w:r>
      <w:hyperlink r:id="rId5" w:history="1">
        <w:r w:rsidRPr="00E92C26" w:rsidR="00001A0B">
          <w:rPr>
            <w:rStyle w:val="Hyperlink"/>
            <w:szCs w:val="22"/>
          </w:rPr>
          <w:t>Jeffrey.Gee@fcc.gov</w:t>
        </w:r>
      </w:hyperlink>
      <w:r w:rsidRPr="00E92C26" w:rsidR="00001A0B">
        <w:rPr>
          <w:szCs w:val="22"/>
        </w:rPr>
        <w:t>, with a copy to</w:t>
      </w:r>
      <w:r w:rsidRPr="00E92C26" w:rsidR="006A495F">
        <w:rPr>
          <w:szCs w:val="22"/>
        </w:rPr>
        <w:t xml:space="preserve"> </w:t>
      </w:r>
      <w:hyperlink r:id="rId6" w:history="1">
        <w:r w:rsidRPr="00E92C26" w:rsidR="00B91793">
          <w:rPr>
            <w:rStyle w:val="Hyperlink"/>
            <w:szCs w:val="22"/>
          </w:rPr>
          <w:t>Christopher.Sova@fcc.gov</w:t>
        </w:r>
      </w:hyperlink>
      <w:r w:rsidR="004853A8">
        <w:rPr>
          <w:szCs w:val="22"/>
        </w:rPr>
        <w:t xml:space="preserve">, </w:t>
      </w:r>
      <w:hyperlink r:id="rId7" w:history="1">
        <w:r w:rsidRPr="00D7744E" w:rsidR="004853A8">
          <w:rPr>
            <w:rStyle w:val="Hyperlink"/>
            <w:szCs w:val="22"/>
          </w:rPr>
          <w:t>Elizabeth.Goldin@fcc.gov</w:t>
        </w:r>
      </w:hyperlink>
      <w:r w:rsidR="004853A8">
        <w:rPr>
          <w:szCs w:val="22"/>
        </w:rPr>
        <w:t xml:space="preserve"> </w:t>
      </w:r>
      <w:r w:rsidRPr="00E92C26" w:rsidR="00B91793">
        <w:rPr>
          <w:szCs w:val="22"/>
        </w:rPr>
        <w:t xml:space="preserve">and </w:t>
      </w:r>
      <w:hyperlink r:id="rId8" w:history="1">
        <w:r w:rsidRPr="00E92C26" w:rsidR="00FC6443">
          <w:rPr>
            <w:rStyle w:val="Hyperlink"/>
            <w:szCs w:val="22"/>
          </w:rPr>
          <w:t>Estella.Salvatierra@</w:t>
        </w:r>
        <w:r w:rsidRPr="00E92C26" w:rsidR="00D825FC">
          <w:rPr>
            <w:rStyle w:val="Hyperlink"/>
            <w:szCs w:val="22"/>
          </w:rPr>
          <w:t>fcc</w:t>
        </w:r>
        <w:r w:rsidRPr="00E92C26" w:rsidR="00FC6443">
          <w:rPr>
            <w:rStyle w:val="Hyperlink"/>
            <w:szCs w:val="22"/>
          </w:rPr>
          <w:t>.gov</w:t>
        </w:r>
      </w:hyperlink>
      <w:r w:rsidRPr="00E92C26" w:rsidR="00001A0B">
        <w:rPr>
          <w:szCs w:val="22"/>
        </w:rPr>
        <w:t>,</w:t>
      </w:r>
      <w:r w:rsidRPr="00E92C26" w:rsidR="006A495F">
        <w:rPr>
          <w:szCs w:val="22"/>
        </w:rPr>
        <w:t xml:space="preserve"> on the date said payment is made.  </w:t>
      </w:r>
      <w:r w:rsidRPr="00E92C26" w:rsidR="00EF3B70">
        <w:rPr>
          <w:szCs w:val="22"/>
        </w:rPr>
        <w:t>Payment of the forfeiture must be made by credit card, ACH (Automated Clearing House) debit from a bank account</w:t>
      </w:r>
      <w:r w:rsidR="00153A53">
        <w:rPr>
          <w:szCs w:val="22"/>
        </w:rPr>
        <w:t xml:space="preserve">, </w:t>
      </w:r>
      <w:r w:rsidRPr="00E92C26" w:rsidR="00153A53">
        <w:rPr>
          <w:szCs w:val="22"/>
        </w:rPr>
        <w:t>or by wire transfer</w:t>
      </w:r>
      <w:r w:rsidRPr="00E92C26" w:rsidR="00EF3B70">
        <w:rPr>
          <w:szCs w:val="22"/>
        </w:rPr>
        <w:t xml:space="preserve"> using the Commission’s </w:t>
      </w:r>
      <w:r w:rsidRPr="00AA3370" w:rsidR="00153A53">
        <w:t>FRN Management and Financial system</w:t>
      </w:r>
      <w:r w:rsidR="00153A53">
        <w:t>.</w:t>
      </w:r>
      <w:r w:rsidRPr="00E92C26" w:rsidR="00153A53">
        <w:rPr>
          <w:rStyle w:val="FootnoteReference"/>
          <w:sz w:val="22"/>
          <w:szCs w:val="22"/>
        </w:rPr>
        <w:t xml:space="preserve"> </w:t>
      </w:r>
      <w:r>
        <w:rPr>
          <w:rStyle w:val="FootnoteReference"/>
          <w:sz w:val="22"/>
          <w:szCs w:val="22"/>
        </w:rPr>
        <w:footnoteReference w:id="58"/>
      </w:r>
      <w:r w:rsidRPr="00E92C26" w:rsidR="00EF3B70">
        <w:rPr>
          <w:szCs w:val="22"/>
        </w:rPr>
        <w:t xml:space="preserve">  The Commission no longer accepts </w:t>
      </w:r>
      <w:r w:rsidR="00C4438B">
        <w:rPr>
          <w:szCs w:val="22"/>
        </w:rPr>
        <w:t>Civil Penalty</w:t>
      </w:r>
      <w:r w:rsidRPr="00E92C26" w:rsidR="00EF3B70">
        <w:rPr>
          <w:szCs w:val="22"/>
        </w:rPr>
        <w:t xml:space="preserve"> payments by check or money order.  Below are instructions that payors should follow based on the form of payment selected:</w:t>
      </w:r>
      <w:r>
        <w:rPr>
          <w:szCs w:val="22"/>
          <w:vertAlign w:val="superscript"/>
        </w:rPr>
        <w:footnoteReference w:id="59"/>
      </w:r>
      <w:r w:rsidRPr="00E92C26">
        <w:rPr>
          <w:szCs w:val="22"/>
        </w:rPr>
        <w:tab/>
      </w:r>
    </w:p>
    <w:p w:rsidR="00EF3B70" w:rsidRPr="00933EF8" w:rsidP="00EF3B70" w14:paraId="398EAD03" w14:textId="18ADC53D">
      <w:pPr>
        <w:numPr>
          <w:ilvl w:val="0"/>
          <w:numId w:val="57"/>
        </w:numPr>
        <w:spacing w:after="120"/>
      </w:pPr>
      <w:r w:rsidRPr="00933EF8">
        <w:t xml:space="preserve">Payment by wire transfer must be made to ABA Number 021030004, receiving bank TREAS/NYC, and Account Number 27000001.  A completed Form 159 must be faxed to the Federal Communications Commission at 202-418-2843 or e-mailed to </w:t>
      </w:r>
      <w:hyperlink r:id="rId9" w:history="1">
        <w:r w:rsidRPr="00933EF8">
          <w:rPr>
            <w:rStyle w:val="Hyperlink"/>
          </w:rPr>
          <w:t>RROGWireFaxes@fcc.gov</w:t>
        </w:r>
      </w:hyperlink>
      <w:r w:rsidRPr="00933EF8">
        <w:t xml:space="preserve"> on the same business day the wire transfer is initiated.</w:t>
      </w:r>
      <w:r>
        <w:rPr>
          <w:rStyle w:val="FootnoteReference"/>
        </w:rPr>
        <w:footnoteReference w:id="60"/>
      </w:r>
      <w:r w:rsidRPr="00933EF8">
        <w:t xml:space="preserve">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10" w:history="1">
        <w:r w:rsidRPr="00933EF8">
          <w:rPr>
            <w:rStyle w:val="Hyperlink"/>
          </w:rPr>
          <w:t>https://www.fcc.gov/licensing-databases/fees/wire-transfer</w:t>
        </w:r>
      </w:hyperlink>
      <w:r w:rsidRPr="00933EF8">
        <w:t xml:space="preserve">.  </w:t>
      </w:r>
    </w:p>
    <w:p w:rsidR="0057112C" w:rsidRPr="00AA3370" w:rsidP="007A20EC" w14:paraId="55EDDE9D" w14:textId="1A5779CF">
      <w:pPr>
        <w:widowControl/>
        <w:numPr>
          <w:ilvl w:val="0"/>
          <w:numId w:val="60"/>
        </w:numPr>
        <w:spacing w:after="160" w:line="259" w:lineRule="auto"/>
      </w:pPr>
      <w:r w:rsidRPr="00933EF8">
        <w:t xml:space="preserve">Payment by credit card must be made by using the Commission’s </w:t>
      </w:r>
      <w:r w:rsidR="00112C20">
        <w:t>Registration System (CORES)</w:t>
      </w:r>
      <w:r w:rsidRPr="00933EF8">
        <w:t xml:space="preserve"> at </w:t>
      </w:r>
      <w:hyperlink r:id="rId11" w:history="1">
        <w:r w:rsidRPr="005C7991" w:rsidR="005C7991">
          <w:rPr>
            <w:rStyle w:val="Hyperlink"/>
          </w:rPr>
          <w:t>https://apps.fcc.gov/cores/userLogin.do</w:t>
        </w:r>
      </w:hyperlink>
      <w:r w:rsidRPr="00933EF8">
        <w:t xml:space="preserve">.  To pay by credit card, log-in using the FRN captioned above.  If payment must be split across FRNs, complete this process for each FRN.  </w:t>
      </w:r>
      <w:r w:rsidRPr="00AA3370">
        <w:t xml:space="preserve">Next, select “Manage Existing FRNs | FRN Financial | Bills &amp; Fees” from the CORES Menu, then select FRN Financial and the view/make payments option next to the FRN.  Select the “Open Bills” tab and find the bill number associated with the NAL Acct. No.  The bill number is the NAL Acct. No. with the first two digits excluded (e.g., NAL 1912345678 would be associated with FCC Bill Number 12345678).  After selecting the bill for payment, choose the “Pay by Credit Card” option.  Please note that there is a $24,999.99-dollar limitation on credit card transactions.  </w:t>
      </w:r>
    </w:p>
    <w:p w:rsidR="008A6732" w:rsidRPr="007A20EC" w:rsidP="007A20EC" w14:paraId="734B7C47" w14:textId="4A5D008C">
      <w:pPr>
        <w:widowControl/>
        <w:numPr>
          <w:ilvl w:val="0"/>
          <w:numId w:val="60"/>
        </w:numPr>
        <w:spacing w:after="160" w:line="259" w:lineRule="auto"/>
      </w:pPr>
      <w:r w:rsidRPr="00736323">
        <w:t xml:space="preserve">Payment by ACH must be made by using the Commission’s Registration System (CORES) at </w:t>
      </w:r>
      <w:hyperlink r:id="rId12" w:history="1">
        <w:r w:rsidRPr="00736323">
          <w:rPr>
            <w:rStyle w:val="Hyperlink"/>
          </w:rPr>
          <w:t>https://apps.fcc.gov/cores/paymentFrnLogin.do</w:t>
        </w:r>
      </w:hyperlink>
      <w:r w:rsidRPr="00736323">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 Acct. No.  The bill number is the NAL Acct. No. with the first two digits excluded (e.g., NAL 1912345678 would be associated with FCC Bill Number 12345678).  Finally, choose the “Pay from Bank Account” option.  Please contact the appropriate financial institution to confirm the correct Routing Number and the correct account number from</w:t>
      </w:r>
      <w:r w:rsidRPr="004E5682">
        <w:t xml:space="preserve"> </w:t>
      </w:r>
      <w:r w:rsidRPr="00AA3370">
        <w:t xml:space="preserve">which payment will be made and verify with that financial institution that the designated account has authorization to accept ACH transactions.  </w:t>
      </w:r>
    </w:p>
    <w:p w:rsidR="00E9376C" w:rsidRPr="00981F23" w:rsidP="007A20EC" w14:paraId="6D9367DC" w14:textId="25D04EF2">
      <w:pPr>
        <w:pStyle w:val="ParaNum0"/>
        <w:ind w:left="144"/>
      </w:pPr>
      <w:r w:rsidRPr="00981F23">
        <w:t xml:space="preserve">Any request for making full payment over time under an installment plan should be sent to:  Chief Financial Officer—Financial Operations, Federal Communications Commission, </w:t>
      </w:r>
      <w:r w:rsidR="00C1660C">
        <w:t>45 L Street, NE</w:t>
      </w:r>
      <w:r w:rsidRPr="00981F23">
        <w:t>, Washington, D</w:t>
      </w:r>
      <w:r w:rsidR="00B9157F">
        <w:t>.</w:t>
      </w:r>
      <w:r w:rsidRPr="00981F23">
        <w:t>C</w:t>
      </w:r>
      <w:r w:rsidR="00B9157F">
        <w:t>.</w:t>
      </w:r>
      <w:r w:rsidRPr="00981F23">
        <w:t xml:space="preserve"> 20554.</w:t>
      </w:r>
      <w:r>
        <w:rPr>
          <w:rStyle w:val="FootnoteReference"/>
          <w:szCs w:val="22"/>
        </w:rPr>
        <w:footnoteReference w:id="61"/>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w:t>
      </w:r>
      <w:r w:rsidRPr="00A26471">
        <w:rPr>
          <w:rStyle w:val="Hyperlink"/>
        </w:rPr>
        <w:t>ARINQUIRIES@fcc.gov</w:t>
      </w:r>
      <w:r w:rsidRPr="00981F23">
        <w:t>.</w:t>
      </w:r>
    </w:p>
    <w:p w:rsidR="00A167BB" w:rsidRPr="00B36BEC" w:rsidP="007A20EC" w14:paraId="4B0450EB" w14:textId="74FBB727">
      <w:pPr>
        <w:pStyle w:val="ParaNum0"/>
        <w:ind w:left="144"/>
        <w:rPr>
          <w:rFonts w:eastAsia="ヒラギノ角ゴ Pro W3"/>
        </w:rPr>
      </w:pPr>
      <w:r w:rsidRPr="00981F23">
        <w:t xml:space="preserve">The written statement seeking reduction or cancellation of the proposed forfeiture, if any, must include a detailed factual statement supported by appropriate documentation and affidavits pursuant to </w:t>
      </w:r>
      <w:r w:rsidR="007C1B0C">
        <w:t>s</w:t>
      </w:r>
      <w:r w:rsidRPr="00981F23">
        <w:t>ections 1.16 and 1.80(</w:t>
      </w:r>
      <w:r w:rsidR="00252D83">
        <w:t>g</w:t>
      </w:r>
      <w:r w:rsidRPr="00981F23">
        <w:t xml:space="preserve">)(3) of the </w:t>
      </w:r>
      <w:r w:rsidR="007C1B0C">
        <w:t>Commission’s r</w:t>
      </w:r>
      <w:r w:rsidRPr="00981F23">
        <w:t>ules.</w:t>
      </w:r>
      <w:r>
        <w:rPr>
          <w:vertAlign w:val="superscript"/>
        </w:rPr>
        <w:footnoteReference w:id="62"/>
      </w:r>
      <w:r w:rsidRPr="00981F23">
        <w:t xml:space="preserve">  The written statement must be mailed to the Office of the Secretary, Federal Communications Commission, </w:t>
      </w:r>
      <w:r w:rsidR="00C1660C">
        <w:t>45 L Street, NE</w:t>
      </w:r>
      <w:r w:rsidRPr="00981F23">
        <w:t>, Washington, D</w:t>
      </w:r>
      <w:r w:rsidR="00B9157F">
        <w:t>.</w:t>
      </w:r>
      <w:r w:rsidRPr="00981F23">
        <w:t>C</w:t>
      </w:r>
      <w:r w:rsidR="00B9157F">
        <w:t>.</w:t>
      </w:r>
      <w:r w:rsidRPr="00981F23">
        <w:t xml:space="preserve"> 20554, ATTN:  Enforcement Bureau – </w:t>
      </w:r>
      <w:r w:rsidR="00F76A06">
        <w:t xml:space="preserve">Hearings and Investigations Division, </w:t>
      </w:r>
      <w:r w:rsidRPr="00981F23">
        <w:t xml:space="preserve">and must include the NAL/Account Number referenced in the caption.  </w:t>
      </w:r>
      <w:r w:rsidRPr="003D7347">
        <w:t xml:space="preserve">The statement must also be e-mailed to Jeffrey J. Gee at </w:t>
      </w:r>
      <w:r w:rsidRPr="003D7347">
        <w:rPr>
          <w:rStyle w:val="Hyperlink"/>
        </w:rPr>
        <w:t>Jeffrey.Gee@fcc.gov</w:t>
      </w:r>
      <w:r w:rsidRPr="003D7347">
        <w:t xml:space="preserve">, Christopher J. Sova at </w:t>
      </w:r>
      <w:hyperlink r:id="rId6" w:history="1">
        <w:r w:rsidRPr="00D7744E" w:rsidR="00195D06">
          <w:rPr>
            <w:rStyle w:val="Hyperlink"/>
          </w:rPr>
          <w:t>Christopher.Sova@fcc.gov</w:t>
        </w:r>
      </w:hyperlink>
      <w:r w:rsidRPr="003D7347">
        <w:t>,</w:t>
      </w:r>
      <w:r w:rsidR="00195D06">
        <w:t xml:space="preserve"> Elizabeth Goldin at </w:t>
      </w:r>
      <w:r w:rsidRPr="003D7347">
        <w:t xml:space="preserve"> </w:t>
      </w:r>
      <w:hyperlink r:id="rId7" w:history="1">
        <w:r w:rsidRPr="00737262" w:rsidR="00737262">
          <w:rPr>
            <w:rStyle w:val="Hyperlink"/>
          </w:rPr>
          <w:t>E</w:t>
        </w:r>
        <w:r w:rsidRPr="00264346" w:rsidR="00737262">
          <w:rPr>
            <w:rStyle w:val="Hyperlink"/>
          </w:rPr>
          <w:t>lizabeth.Goldin@fcc.gov</w:t>
        </w:r>
      </w:hyperlink>
      <w:r w:rsidR="00195D06">
        <w:t xml:space="preserve"> </w:t>
      </w:r>
      <w:r w:rsidRPr="003D7347">
        <w:t xml:space="preserve">and </w:t>
      </w:r>
      <w:r w:rsidR="00D529FA">
        <w:t xml:space="preserve">Estella Salvatierra at </w:t>
      </w:r>
      <w:hyperlink r:id="rId13" w:history="1">
        <w:r w:rsidRPr="00262275" w:rsidR="00C1660C">
          <w:rPr>
            <w:rStyle w:val="Hyperlink"/>
          </w:rPr>
          <w:t>Estella.Salvatierra@fcc.gov</w:t>
        </w:r>
      </w:hyperlink>
      <w:r w:rsidRPr="003D7347">
        <w:t xml:space="preserve">. </w:t>
      </w:r>
      <w:r>
        <w:rPr>
          <w:rFonts w:eastAsia="ヒラギノ角ゴ Pro W3"/>
        </w:rPr>
        <w:t xml:space="preserve"> </w:t>
      </w:r>
      <w:r w:rsidRPr="004F62C7">
        <w:rPr>
          <w:rFonts w:eastAsia="ヒラギノ角ゴ Pro W3"/>
        </w:rPr>
        <w:t xml:space="preserve">The electronic copy shall be produced in a format that allows the </w:t>
      </w:r>
      <w:r w:rsidRPr="004F62C7">
        <w:rPr>
          <w:rFonts w:eastAsia="ヒラギノ角ゴ Pro W3"/>
          <w:bCs/>
        </w:rPr>
        <w:t>Commission</w:t>
      </w:r>
      <w:r w:rsidRPr="004F62C7">
        <w:rPr>
          <w:rFonts w:eastAsia="ヒラギノ角ゴ Pro W3"/>
        </w:rPr>
        <w:t xml:space="preserve"> to access and use it, together with instructions and all other materials necessary to use or interpret the data, including record layouts, data dictionaries, and a description of the data’s source.  </w:t>
      </w:r>
      <w:r w:rsidR="00C1660C">
        <w:rPr>
          <w:rFonts w:eastAsia="ヒラギノ角ゴ Pro W3"/>
        </w:rPr>
        <w:t>The statement and any</w:t>
      </w:r>
      <w:r>
        <w:rPr>
          <w:rFonts w:eastAsia="ヒラギノ角ゴ Pro W3"/>
        </w:rPr>
        <w:t xml:space="preserve"> </w:t>
      </w:r>
      <w:r w:rsidRPr="004F62C7">
        <w:rPr>
          <w:rFonts w:eastAsia="ヒラギノ角ゴ Pro W3"/>
        </w:rPr>
        <w:t>accompanying document</w:t>
      </w:r>
      <w:r>
        <w:rPr>
          <w:rFonts w:eastAsia="ヒラギノ角ゴ Pro W3"/>
        </w:rPr>
        <w:t>ation, affidavits, and attachments, including recordings,</w:t>
      </w:r>
      <w:r w:rsidRPr="004F62C7">
        <w:rPr>
          <w:rFonts w:eastAsia="ヒラギノ角ゴ Pro W3"/>
        </w:rPr>
        <w:t xml:space="preserve"> exceeding 5MB must be sent to the Commission’s secure online file system by e-mailing such documents as attachments to:</w:t>
      </w:r>
      <w:r w:rsidRPr="00531B46" w:rsidR="00531B46">
        <w:t xml:space="preserve"> </w:t>
      </w:r>
      <w:r w:rsidRPr="00531B46" w:rsidR="00531B46">
        <w:rPr>
          <w:rFonts w:eastAsia="ヒラギノ角ゴ Pro W3"/>
        </w:rPr>
        <w:t>Cumulus.wnddpiej1wkdg22s@u.box.com</w:t>
      </w:r>
      <w:r>
        <w:rPr>
          <w:rFonts w:eastAsia="ヒラギノ角ゴ Pro W3"/>
        </w:rPr>
        <w:t>,</w:t>
      </w:r>
      <w:r w:rsidRPr="004F62C7">
        <w:rPr>
          <w:rFonts w:eastAsia="ヒラギノ角ゴ Pro W3"/>
        </w:rPr>
        <w:t xml:space="preserve"> consistent with the following parameters:</w:t>
      </w:r>
    </w:p>
    <w:p w:rsidR="00A167BB" w:rsidRPr="00933EF8" w:rsidP="007A20EC" w14:paraId="7FA11F42" w14:textId="7F75338A">
      <w:pPr>
        <w:numPr>
          <w:ilvl w:val="0"/>
          <w:numId w:val="58"/>
        </w:numPr>
        <w:spacing w:before="120"/>
        <w:ind w:left="1368"/>
        <w:rPr>
          <w:rFonts w:eastAsia="ヒラギノ角ゴ Pro W3"/>
        </w:rPr>
      </w:pPr>
      <w:r w:rsidRPr="00933EF8">
        <w:rPr>
          <w:rFonts w:eastAsia="ヒラギノ角ゴ Pro W3"/>
        </w:rPr>
        <w:t xml:space="preserve">Upload documents and supporting documentation as e-mail attachments only.  Only the attachments will be uploaded to the secure folder.  </w:t>
      </w:r>
      <w:r w:rsidRPr="00933EF8">
        <w:rPr>
          <w:rFonts w:eastAsia="ヒラギノ角ゴ Pro W3"/>
          <w:b/>
          <w:bCs/>
        </w:rPr>
        <w:t>E-mails and any accompanying text used for the purpose of uploading attachments, will NOT be uploaded to the secure folder.</w:t>
      </w:r>
      <w:r w:rsidRPr="00933EF8">
        <w:rPr>
          <w:rFonts w:eastAsia="ヒラギノ角ゴ Pro W3"/>
        </w:rPr>
        <w:t xml:space="preserve"> </w:t>
      </w:r>
    </w:p>
    <w:p w:rsidR="00A167BB" w:rsidRPr="004F62C7" w:rsidP="00A167BB" w14:paraId="633929A6" w14:textId="77777777">
      <w:pPr>
        <w:ind w:left="720"/>
        <w:rPr>
          <w:rFonts w:eastAsia="ヒラギノ角ゴ Pro W3"/>
        </w:rPr>
      </w:pPr>
    </w:p>
    <w:p w:rsidR="00A167BB" w:rsidRPr="00933EF8" w:rsidP="007A20EC" w14:paraId="22FFBD1E" w14:textId="77777777">
      <w:pPr>
        <w:numPr>
          <w:ilvl w:val="0"/>
          <w:numId w:val="58"/>
        </w:numPr>
        <w:ind w:left="1368"/>
        <w:rPr>
          <w:rFonts w:eastAsia="ヒラギノ角ゴ Pro W3"/>
        </w:rPr>
      </w:pPr>
      <w:r w:rsidRPr="00933EF8">
        <w:rPr>
          <w:rFonts w:eastAsia="ヒラギノ角ゴ Pro W3"/>
        </w:rPr>
        <w:t>Each e-mail upload of documents and supporting documentation must not exceed 50MB.  Multiple e-mails may be necessary to upload attached files that exceed a total of 50MB.</w:t>
      </w:r>
    </w:p>
    <w:p w:rsidR="00A167BB" w:rsidRPr="00933EF8" w:rsidP="00A167BB" w14:paraId="4806EC62" w14:textId="77777777">
      <w:pPr>
        <w:ind w:left="720"/>
        <w:rPr>
          <w:rFonts w:eastAsia="ヒラギノ角ゴ Pro W3"/>
        </w:rPr>
      </w:pPr>
    </w:p>
    <w:p w:rsidR="00A167BB" w:rsidRPr="00933EF8" w:rsidP="007A20EC" w14:paraId="4CA74630" w14:textId="77777777">
      <w:pPr>
        <w:numPr>
          <w:ilvl w:val="0"/>
          <w:numId w:val="58"/>
        </w:numPr>
        <w:ind w:left="1368"/>
        <w:rPr>
          <w:rFonts w:eastAsia="ヒラギノ角ゴ Pro W3"/>
        </w:rPr>
      </w:pPr>
      <w:r w:rsidRPr="00933EF8">
        <w:rPr>
          <w:rFonts w:eastAsia="ヒラギノ角ゴ Pro W3"/>
        </w:rPr>
        <w:t xml:space="preserve">Copies of e-mails containing text that are responsive to this Notice of Apparent Liability for Forfeiture must be uploaded separately as .PDF or .ZIP file attachments. </w:t>
      </w:r>
    </w:p>
    <w:p w:rsidR="00A167BB" w:rsidRPr="00933EF8" w:rsidP="00A167BB" w14:paraId="483C906E" w14:textId="77777777">
      <w:pPr>
        <w:ind w:left="720"/>
        <w:rPr>
          <w:rFonts w:eastAsia="ヒラギノ角ゴ Pro W3"/>
        </w:rPr>
      </w:pPr>
    </w:p>
    <w:p w:rsidR="00A167BB" w:rsidRPr="00933EF8" w:rsidP="007A20EC" w14:paraId="567DA281" w14:textId="77777777">
      <w:pPr>
        <w:numPr>
          <w:ilvl w:val="0"/>
          <w:numId w:val="58"/>
        </w:numPr>
        <w:ind w:left="1368"/>
        <w:rPr>
          <w:rFonts w:eastAsia="ヒラギノ角ゴ Pro W3"/>
        </w:rPr>
      </w:pPr>
      <w:r w:rsidRPr="00933EF8">
        <w:rPr>
          <w:rFonts w:eastAsia="ヒラギノ角ゴ Pro W3"/>
        </w:rPr>
        <w:t>Both designated Commission staff and the sender will receive a notification e-mail that files were uploaded successfully.</w:t>
      </w:r>
    </w:p>
    <w:p w:rsidR="00A167BB" w:rsidRPr="00933EF8" w:rsidP="00A167BB" w14:paraId="2CD000D6" w14:textId="77777777">
      <w:pPr>
        <w:ind w:left="720"/>
        <w:rPr>
          <w:rFonts w:eastAsia="ヒラギノ角ゴ Pro W3"/>
        </w:rPr>
      </w:pPr>
    </w:p>
    <w:p w:rsidR="008507F3" w:rsidRPr="00933EF8" w:rsidP="007A20EC" w14:paraId="6302D7AE" w14:textId="51A7C133">
      <w:pPr>
        <w:numPr>
          <w:ilvl w:val="0"/>
          <w:numId w:val="58"/>
        </w:numPr>
        <w:tabs>
          <w:tab w:val="num" w:pos="1800"/>
        </w:tabs>
        <w:spacing w:after="120"/>
        <w:ind w:left="1368"/>
        <w:rPr>
          <w:rFonts w:eastAsia="ヒラギノ角ゴ Pro W3"/>
        </w:rPr>
      </w:pPr>
      <w:r w:rsidRPr="00933EF8">
        <w:t xml:space="preserve">If you need help or have questions about how to provide electronic copies of the response or any accompanying documents or recordings, please contact </w:t>
      </w:r>
      <w:hyperlink r:id="rId13" w:history="1">
        <w:r w:rsidRPr="00933EF8">
          <w:rPr>
            <w:rStyle w:val="Hyperlink"/>
          </w:rPr>
          <w:t>Estella.Salvatierra@fcc.gov</w:t>
        </w:r>
      </w:hyperlink>
      <w:r w:rsidRPr="00933EF8">
        <w:t xml:space="preserve"> or 202-418-1789 </w:t>
      </w:r>
      <w:r w:rsidRPr="00933EF8">
        <w:rPr>
          <w:b/>
          <w:bCs/>
        </w:rPr>
        <w:t>no later than two business days prior to the response due date to ensure timely transmission of the response</w:t>
      </w:r>
      <w:r w:rsidRPr="00933EF8">
        <w:t xml:space="preserve">.   </w:t>
      </w:r>
    </w:p>
    <w:p w:rsidR="00E9376C" w:rsidRPr="00E92C26" w14:paraId="7F1921D2" w14:textId="3855C8E7">
      <w:pPr>
        <w:pStyle w:val="ParaNum0"/>
        <w:rPr>
          <w:szCs w:val="22"/>
        </w:rPr>
      </w:pPr>
      <w:r w:rsidRPr="00E92C26">
        <w:rPr>
          <w:szCs w:val="22"/>
        </w:rPr>
        <w:t>The Commission will not consider reducing or canceling a forfeiture in response to a claim of inability to pay unless the petitioner submits</w:t>
      </w:r>
      <w:r w:rsidRPr="00E92C26" w:rsidR="00AD2362">
        <w:rPr>
          <w:szCs w:val="22"/>
        </w:rPr>
        <w:t xml:space="preserve"> the following documentation</w:t>
      </w:r>
      <w:r w:rsidRPr="00E92C26">
        <w:rPr>
          <w:szCs w:val="22"/>
        </w:rPr>
        <w:t xml:space="preserve">:  (1) federal tax returns for the </w:t>
      </w:r>
      <w:r w:rsidRPr="00E92C26" w:rsidR="00AD2362">
        <w:rPr>
          <w:szCs w:val="22"/>
        </w:rPr>
        <w:t>past three years</w:t>
      </w:r>
      <w:r w:rsidRPr="00E92C26">
        <w:rPr>
          <w:szCs w:val="22"/>
        </w:rPr>
        <w:t xml:space="preserve">; (2) financial statements </w:t>
      </w:r>
      <w:r w:rsidRPr="00E92C26" w:rsidR="00AD2362">
        <w:rPr>
          <w:szCs w:val="22"/>
        </w:rPr>
        <w:t xml:space="preserve">for the past three years </w:t>
      </w:r>
      <w:r w:rsidRPr="00E92C26">
        <w:rPr>
          <w:szCs w:val="22"/>
        </w:rPr>
        <w:t>prepared according to generally accepted accounting practices; or (3)</w:t>
      </w:r>
      <w:r w:rsidRPr="00E92C26" w:rsidR="00981F23">
        <w:rPr>
          <w:szCs w:val="22"/>
        </w:rPr>
        <w:t> </w:t>
      </w:r>
      <w:r w:rsidRPr="00E92C26">
        <w:rPr>
          <w:szCs w:val="22"/>
        </w:rPr>
        <w:t>some other reliable and objective documentation that accurately reflects the petitioner’s current financial status.</w:t>
      </w:r>
      <w:r>
        <w:rPr>
          <w:rStyle w:val="FootnoteReference"/>
          <w:sz w:val="22"/>
          <w:szCs w:val="22"/>
        </w:rPr>
        <w:footnoteReference w:id="63"/>
      </w:r>
      <w:r w:rsidRPr="00E92C26">
        <w:rPr>
          <w:szCs w:val="22"/>
        </w:rPr>
        <w:t xml:space="preserve">  Any claim of inability to pay must specifically identify the basis for the claim by reference to the financial documentation.</w:t>
      </w:r>
      <w:r w:rsidRPr="00E92C26" w:rsidR="009A58BC">
        <w:rPr>
          <w:szCs w:val="22"/>
        </w:rPr>
        <w:t xml:space="preserve">  Inability to pay, however, is only one of several factors that the Commission will consider in determining the appropriate forfeiture, and we </w:t>
      </w:r>
      <w:r w:rsidRPr="00E92C26" w:rsidR="00210A72">
        <w:rPr>
          <w:szCs w:val="22"/>
        </w:rPr>
        <w:t>retain the</w:t>
      </w:r>
      <w:r w:rsidRPr="00E92C26" w:rsidR="009A58BC">
        <w:rPr>
          <w:szCs w:val="22"/>
        </w:rPr>
        <w:t xml:space="preserve"> discretion to decline reducing or canceling the forfeiture if other prongs of </w:t>
      </w:r>
      <w:r w:rsidR="00F318C5">
        <w:rPr>
          <w:szCs w:val="22"/>
        </w:rPr>
        <w:t>section</w:t>
      </w:r>
      <w:r w:rsidRPr="00E92C26" w:rsidR="003F3394">
        <w:rPr>
          <w:szCs w:val="22"/>
        </w:rPr>
        <w:t> </w:t>
      </w:r>
      <w:r w:rsidRPr="00E92C26" w:rsidR="009A58BC">
        <w:rPr>
          <w:szCs w:val="22"/>
        </w:rPr>
        <w:t xml:space="preserve">503(b)(2)(E) </w:t>
      </w:r>
      <w:r w:rsidR="00F318C5">
        <w:rPr>
          <w:szCs w:val="22"/>
        </w:rPr>
        <w:t xml:space="preserve">of the Act </w:t>
      </w:r>
      <w:r w:rsidRPr="00E92C26" w:rsidR="009A58BC">
        <w:rPr>
          <w:szCs w:val="22"/>
        </w:rPr>
        <w:t>support that result.</w:t>
      </w:r>
      <w:r>
        <w:rPr>
          <w:rStyle w:val="FootnoteReference"/>
          <w:sz w:val="22"/>
          <w:szCs w:val="22"/>
        </w:rPr>
        <w:footnoteReference w:id="64"/>
      </w:r>
    </w:p>
    <w:p w:rsidR="002B0F76" w:rsidRPr="002B0F76" w:rsidP="002B0F76" w14:paraId="0D3D115A" w14:textId="57085840">
      <w:pPr>
        <w:pStyle w:val="ParaNum0"/>
      </w:pPr>
      <w:r w:rsidRPr="002B0F76">
        <w:rPr>
          <w:b/>
        </w:rPr>
        <w:t xml:space="preserve">IT IS FURTHER ORDERED </w:t>
      </w:r>
      <w:r w:rsidRPr="00981F23">
        <w:t>that a copy of this Notice of Apparent Liability for Forfeiture shall be</w:t>
      </w:r>
      <w:r>
        <w:t xml:space="preserve"> </w:t>
      </w:r>
      <w:r w:rsidRPr="00981F23">
        <w:t xml:space="preserve">sent by first class mail and certified mail, return receipt requested, to </w:t>
      </w:r>
      <w:bookmarkStart w:id="9" w:name="_Hlk43472334"/>
      <w:r w:rsidRPr="002B0F76">
        <w:rPr>
          <w:bCs/>
          <w:szCs w:val="22"/>
        </w:rPr>
        <w:t>Richard S. Denning,</w:t>
      </w:r>
      <w:r>
        <w:rPr>
          <w:bCs/>
          <w:szCs w:val="22"/>
        </w:rPr>
        <w:t xml:space="preserve"> </w:t>
      </w:r>
      <w:r w:rsidRPr="002B0F76">
        <w:rPr>
          <w:bCs/>
          <w:szCs w:val="22"/>
        </w:rPr>
        <w:t xml:space="preserve">Executive Vice President, Secretary and General Counsel, Cumulus Licensing LLC, </w:t>
      </w:r>
      <w:bookmarkEnd w:id="9"/>
      <w:r>
        <w:t xml:space="preserve">3280 Peachtree Road, NW, Suite 2200, Atlanta, GA 30305 and to </w:t>
      </w:r>
      <w:r w:rsidR="00F57550">
        <w:t xml:space="preserve">Kathleen A. Kirby, </w:t>
      </w:r>
      <w:r>
        <w:t xml:space="preserve">Esq., Counsel for Cumulus Licensing LLC, </w:t>
      </w:r>
      <w:r w:rsidR="00F57550">
        <w:t>Wiley Rein LLP</w:t>
      </w:r>
      <w:r>
        <w:t xml:space="preserve">, </w:t>
      </w:r>
      <w:r w:rsidR="00235813">
        <w:t>2050</w:t>
      </w:r>
      <w:r w:rsidR="00EA0A26">
        <w:t xml:space="preserve"> M Street, NW</w:t>
      </w:r>
      <w:r w:rsidR="00F57550">
        <w:t>, Washington, D</w:t>
      </w:r>
      <w:r w:rsidR="00B9157F">
        <w:t>.</w:t>
      </w:r>
      <w:r w:rsidR="00F57550">
        <w:t>C</w:t>
      </w:r>
      <w:r w:rsidR="00B9157F">
        <w:t>.</w:t>
      </w:r>
      <w:r w:rsidR="00F57550">
        <w:t xml:space="preserve"> </w:t>
      </w:r>
      <w:r w:rsidR="00EA0A26">
        <w:t>20036</w:t>
      </w:r>
      <w:r w:rsidR="008E2F7B">
        <w:t>.</w:t>
      </w:r>
    </w:p>
    <w:p w:rsidR="007C3A62" w:rsidRPr="00981F23" w:rsidP="007C3A62" w14:paraId="7ACF6E04" w14:textId="77777777">
      <w:pPr>
        <w:rPr>
          <w:color w:val="000000" w:themeColor="text1"/>
        </w:rPr>
      </w:pPr>
    </w:p>
    <w:p w:rsidR="00F60397" w:rsidRPr="00933EF8" w:rsidP="00F60397" w14:paraId="02BC9994" w14:textId="77777777">
      <w:pPr>
        <w:spacing w:before="240"/>
        <w:rPr>
          <w:color w:val="000000" w:themeColor="text1"/>
        </w:rPr>
      </w:pPr>
      <w:r w:rsidRPr="00933EF8">
        <w:rPr>
          <w:color w:val="000000" w:themeColor="text1"/>
        </w:rPr>
        <w:tab/>
      </w:r>
      <w:r w:rsidRPr="00933EF8">
        <w:rPr>
          <w:color w:val="000000" w:themeColor="text1"/>
        </w:rPr>
        <w:tab/>
      </w:r>
      <w:r w:rsidRPr="00933EF8">
        <w:rPr>
          <w:color w:val="000000" w:themeColor="text1"/>
        </w:rPr>
        <w:tab/>
      </w:r>
      <w:r w:rsidRPr="00933EF8">
        <w:rPr>
          <w:color w:val="000000" w:themeColor="text1"/>
        </w:rPr>
        <w:tab/>
      </w:r>
      <w:r w:rsidRPr="00933EF8">
        <w:rPr>
          <w:color w:val="000000" w:themeColor="text1"/>
        </w:rPr>
        <w:tab/>
      </w:r>
      <w:r w:rsidRPr="00933EF8">
        <w:rPr>
          <w:color w:val="000000" w:themeColor="text1"/>
        </w:rPr>
        <w:tab/>
        <w:t>FEDERAL COMMUNICATIONS COMMISSION</w:t>
      </w:r>
    </w:p>
    <w:p w:rsidR="00F60397" w:rsidRPr="00981F23" w:rsidP="00BD75A3" w14:paraId="185C7498" w14:textId="77777777">
      <w:pPr>
        <w:rPr>
          <w:color w:val="000000" w:themeColor="text1"/>
        </w:rPr>
      </w:pPr>
    </w:p>
    <w:p w:rsidR="00F60397" w:rsidRPr="00981F23" w:rsidP="00BD75A3" w14:paraId="2DF1BD0B" w14:textId="77777777">
      <w:pPr>
        <w:rPr>
          <w:color w:val="000000" w:themeColor="text1"/>
        </w:rPr>
      </w:pPr>
    </w:p>
    <w:p w:rsidR="00F60397" w:rsidRPr="00981F23" w:rsidP="00BD75A3" w14:paraId="2DEE26F7" w14:textId="77777777">
      <w:pPr>
        <w:rPr>
          <w:color w:val="000000" w:themeColor="text1"/>
        </w:rPr>
      </w:pPr>
    </w:p>
    <w:p w:rsidR="007C3A62" w:rsidRPr="00981F23" w:rsidP="00BD75A3" w14:paraId="24598EA6" w14:textId="77777777">
      <w:pPr>
        <w:rPr>
          <w:color w:val="000000" w:themeColor="text1"/>
        </w:rPr>
      </w:pPr>
    </w:p>
    <w:p w:rsidR="00CE5F1E" w:rsidRPr="006D73F2" w:rsidP="00CE5F1E" w14:paraId="1AC243A2" w14:textId="77777777">
      <w:pPr>
        <w:ind w:left="4410"/>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p>
    <w:p w:rsidR="004010CC" w:rsidRPr="006C7E5D" w:rsidP="004010CC" w14:paraId="29A962B6" w14:textId="1732FC46">
      <w:pPr>
        <w:tabs>
          <w:tab w:val="left" w:pos="0"/>
        </w:tabs>
        <w:suppressAutoHyphens/>
        <w:spacing w:line="240" w:lineRule="atLeast"/>
      </w:pPr>
      <w:r>
        <w:tab/>
      </w:r>
      <w:r>
        <w:tab/>
      </w:r>
      <w:r>
        <w:tab/>
      </w:r>
      <w:r>
        <w:tab/>
      </w:r>
      <w:r>
        <w:tab/>
      </w:r>
      <w:r>
        <w:tab/>
      </w:r>
      <w:r w:rsidR="005064CB">
        <w:t>Marlene H. Dortch</w:t>
      </w:r>
    </w:p>
    <w:p w:rsidR="004010CC" w:rsidRPr="006C7E5D" w:rsidP="004010CC" w14:paraId="4E4C6276" w14:textId="311C0A64">
      <w:pPr>
        <w:tabs>
          <w:tab w:val="left" w:pos="0"/>
        </w:tabs>
        <w:suppressAutoHyphens/>
        <w:spacing w:line="240" w:lineRule="atLeast"/>
      </w:pPr>
      <w:r w:rsidRPr="006C7E5D">
        <w:tab/>
      </w:r>
      <w:r w:rsidRPr="006C7E5D">
        <w:tab/>
      </w:r>
      <w:r w:rsidRPr="006C7E5D">
        <w:tab/>
      </w:r>
      <w:r w:rsidRPr="006C7E5D">
        <w:tab/>
      </w:r>
      <w:r w:rsidRPr="006C7E5D">
        <w:tab/>
      </w:r>
      <w:r w:rsidRPr="006C7E5D">
        <w:tab/>
      </w:r>
      <w:r w:rsidR="005064CB">
        <w:t>Secretary</w:t>
      </w:r>
      <w:r w:rsidRPr="006C7E5D">
        <w:tab/>
      </w:r>
      <w:r w:rsidRPr="006C7E5D">
        <w:tab/>
      </w:r>
      <w:r w:rsidRPr="006C7E5D">
        <w:tab/>
      </w:r>
    </w:p>
    <w:p w:rsidR="00FA0B93" w:rsidRPr="008C10CC" w:rsidP="003C5893" w14:paraId="636A2148" w14:textId="77777777">
      <w:pPr>
        <w:rPr>
          <w:color w:val="000000" w:themeColor="text1"/>
        </w:rPr>
      </w:pPr>
    </w:p>
    <w:sectPr w:rsidSect="007C3A62">
      <w:headerReference w:type="default" r:id="rId14"/>
      <w:footerReference w:type="even" r:id="rId15"/>
      <w:footerReference w:type="default" r:id="rId16"/>
      <w:headerReference w:type="first" r:id="rId17"/>
      <w:footerReference w:type="first" r:id="rId18"/>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FD4" w:rsidP="009E64A3" w14:paraId="7790073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31FD4" w14:paraId="6B7130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FD4" w:rsidRPr="00575313" w:rsidP="009E64A3" w14:paraId="1B1E70FD"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Pr>
        <w:rStyle w:val="PageNumber"/>
        <w:noProof/>
        <w:szCs w:val="22"/>
      </w:rPr>
      <w:t>2</w:t>
    </w:r>
    <w:r w:rsidRPr="00575313">
      <w:rPr>
        <w:rStyle w:val="PageNumber"/>
        <w:szCs w:val="22"/>
      </w:rPr>
      <w:fldChar w:fldCharType="end"/>
    </w:r>
  </w:p>
  <w:p w:rsidR="00831FD4" w:rsidRPr="00EF1757" w:rsidP="00537DB1" w14:paraId="79E16D4D"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FD4" w14:paraId="0AAAC8B7"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50DF" w14:paraId="3866419D" w14:textId="77777777">
      <w:r>
        <w:separator/>
      </w:r>
    </w:p>
  </w:footnote>
  <w:footnote w:type="continuationSeparator" w:id="1">
    <w:p w:rsidR="000350DF" w:rsidP="00F60397" w14:paraId="203C4AF5" w14:textId="77777777">
      <w:r w:rsidRPr="00F60397">
        <w:rPr>
          <w:sz w:val="20"/>
        </w:rPr>
        <w:t>(Continued from previous page…)</w:t>
      </w:r>
      <w:r>
        <w:rPr>
          <w:sz w:val="20"/>
        </w:rPr>
        <w:t xml:space="preserve"> </w:t>
      </w:r>
      <w:r>
        <w:separator/>
      </w:r>
    </w:p>
  </w:footnote>
  <w:footnote w:type="continuationNotice" w:id="2">
    <w:p w:rsidR="000350DF" w:rsidRPr="00F60397" w:rsidP="00AE54D6" w14:paraId="5D955083" w14:textId="77777777">
      <w:pPr>
        <w:jc w:val="right"/>
        <w:rPr>
          <w:sz w:val="20"/>
        </w:rPr>
      </w:pPr>
      <w:r w:rsidRPr="00F60397">
        <w:rPr>
          <w:sz w:val="20"/>
        </w:rPr>
        <w:t>(continued…)</w:t>
      </w:r>
    </w:p>
  </w:footnote>
  <w:footnote w:id="3">
    <w:p w:rsidR="00831FD4" w:rsidP="00B41186" w14:paraId="2ED81E13" w14:textId="77777777">
      <w:pPr>
        <w:pStyle w:val="FootnoteText"/>
      </w:pPr>
      <w:r>
        <w:rPr>
          <w:rStyle w:val="FootnoteReference"/>
        </w:rPr>
        <w:footnoteRef/>
      </w:r>
      <w:r>
        <w:t xml:space="preserve"> 47 CFR </w:t>
      </w:r>
      <w:r w:rsidRPr="001A4B17">
        <w:t>§</w:t>
      </w:r>
      <w:r>
        <w:t xml:space="preserve"> 73.2080(c)(6).</w:t>
      </w:r>
    </w:p>
  </w:footnote>
  <w:footnote w:id="4">
    <w:p w:rsidR="00831FD4" w:rsidRPr="007E1EAF" w:rsidP="00D747C8" w14:paraId="719A9B2A" w14:textId="77777777">
      <w:pPr>
        <w:pStyle w:val="FootnoteText"/>
        <w:rPr>
          <w:i/>
          <w:iCs/>
        </w:rPr>
      </w:pPr>
      <w:r>
        <w:rPr>
          <w:rStyle w:val="FootnoteReference"/>
        </w:rPr>
        <w:footnoteRef/>
      </w:r>
      <w:r>
        <w:t xml:space="preserve"> </w:t>
      </w:r>
      <w:r w:rsidRPr="007E1EAF">
        <w:rPr>
          <w:i/>
          <w:iCs/>
        </w:rPr>
        <w:t>Id.</w:t>
      </w:r>
    </w:p>
  </w:footnote>
  <w:footnote w:id="5">
    <w:p w:rsidR="00831FD4" w:rsidP="0016077B" w14:paraId="42BD6B77" w14:textId="77777777">
      <w:pPr>
        <w:pStyle w:val="FootnoteText"/>
      </w:pPr>
      <w:r>
        <w:rPr>
          <w:rStyle w:val="FootnoteReference"/>
        </w:rPr>
        <w:footnoteRef/>
      </w:r>
      <w:r>
        <w:t xml:space="preserve"> 47 CFR </w:t>
      </w:r>
      <w:r w:rsidRPr="001A4B17">
        <w:t>§</w:t>
      </w:r>
      <w:r>
        <w:t xml:space="preserve"> 73.2080(c)(3).</w:t>
      </w:r>
    </w:p>
  </w:footnote>
  <w:footnote w:id="6">
    <w:p w:rsidR="00744EE0" w14:paraId="65941563" w14:textId="501F82A0">
      <w:pPr>
        <w:pStyle w:val="FootnoteText"/>
      </w:pPr>
      <w:r>
        <w:rPr>
          <w:rStyle w:val="FootnoteReference"/>
        </w:rPr>
        <w:footnoteRef/>
      </w:r>
      <w:r>
        <w:t xml:space="preserve"> </w:t>
      </w:r>
      <w:r w:rsidR="00BF6266">
        <w:t xml:space="preserve">47 CFR </w:t>
      </w:r>
      <w:r w:rsidRPr="001A4B17" w:rsidR="00BF6266">
        <w:t>§</w:t>
      </w:r>
      <w:r w:rsidR="00BF6266">
        <w:t xml:space="preserve"> 73.3526(e)(7).</w:t>
      </w:r>
    </w:p>
  </w:footnote>
  <w:footnote w:id="7">
    <w:p w:rsidR="00831FD4" w14:paraId="5952BFAC" w14:textId="2530224C">
      <w:pPr>
        <w:pStyle w:val="FootnoteText"/>
      </w:pPr>
      <w:r>
        <w:rPr>
          <w:rStyle w:val="FootnoteReference"/>
        </w:rPr>
        <w:footnoteRef/>
      </w:r>
      <w:r>
        <w:t xml:space="preserve"> </w:t>
      </w:r>
      <w:r w:rsidRPr="00B70C0F">
        <w:rPr>
          <w:i/>
          <w:iCs/>
        </w:rPr>
        <w:t>See</w:t>
      </w:r>
      <w:r>
        <w:t xml:space="preserve"> Cumulus Media, Inc., </w:t>
      </w:r>
      <w:hyperlink r:id="rId1" w:history="1">
        <w:r w:rsidRPr="00AA2435">
          <w:rPr>
            <w:rStyle w:val="Hyperlink"/>
          </w:rPr>
          <w:t>www.cumulusmedia.com</w:t>
        </w:r>
      </w:hyperlink>
      <w:r>
        <w:t xml:space="preserve"> (last visited Jan. </w:t>
      </w:r>
      <w:r w:rsidR="00C34D7E">
        <w:t>24</w:t>
      </w:r>
      <w:r>
        <w:t>, 202</w:t>
      </w:r>
      <w:r w:rsidR="00C34D7E">
        <w:t>2</w:t>
      </w:r>
      <w:r>
        <w:t>).</w:t>
      </w:r>
    </w:p>
  </w:footnote>
  <w:footnote w:id="8">
    <w:p w:rsidR="00831FD4" w14:paraId="46E1F055" w14:textId="57EFD4B7">
      <w:pPr>
        <w:pStyle w:val="FootnoteText"/>
      </w:pPr>
      <w:r>
        <w:rPr>
          <w:rStyle w:val="FootnoteReference"/>
        </w:rPr>
        <w:footnoteRef/>
      </w:r>
      <w:r>
        <w:t xml:space="preserve"> </w:t>
      </w:r>
      <w:r w:rsidRPr="004D0B4A">
        <w:rPr>
          <w:i/>
          <w:iCs/>
        </w:rPr>
        <w:t>Id</w:t>
      </w:r>
      <w:r>
        <w:t>.</w:t>
      </w:r>
    </w:p>
  </w:footnote>
  <w:footnote w:id="9">
    <w:p w:rsidR="00831FD4" w:rsidP="005A1019" w14:paraId="4E7251A4" w14:textId="25080CB5">
      <w:pPr>
        <w:pStyle w:val="FootnoteText"/>
      </w:pPr>
      <w:r>
        <w:rPr>
          <w:rStyle w:val="FootnoteReference"/>
        </w:rPr>
        <w:footnoteRef/>
      </w:r>
      <w:r>
        <w:t xml:space="preserve"> 47 CFR </w:t>
      </w:r>
      <w:r w:rsidRPr="001A4B17">
        <w:t>§</w:t>
      </w:r>
      <w:r>
        <w:t xml:space="preserve"> 73.3526.</w:t>
      </w:r>
      <w:r w:rsidRPr="00522CD2" w:rsidR="00010209">
        <w:rPr>
          <w:szCs w:val="22"/>
        </w:rPr>
        <w:t xml:space="preserve">  </w:t>
      </w:r>
      <w:r w:rsidRPr="00306B07">
        <w:rPr>
          <w:i/>
          <w:iCs/>
        </w:rPr>
        <w:t>See</w:t>
      </w:r>
      <w:r>
        <w:t xml:space="preserve"> </w:t>
      </w:r>
      <w:r w:rsidRPr="006C60F1">
        <w:t>Form 303-S Application</w:t>
      </w:r>
      <w:r>
        <w:t>s</w:t>
      </w:r>
      <w:r w:rsidRPr="006C60F1">
        <w:t xml:space="preserve"> </w:t>
      </w:r>
      <w:r>
        <w:t>f</w:t>
      </w:r>
      <w:r w:rsidRPr="006C60F1">
        <w:t>or Renewal of Broadcast Station License</w:t>
      </w:r>
      <w:r>
        <w:t xml:space="preserve">, WEGC(FM), Sasser, GA </w:t>
      </w:r>
      <w:r w:rsidRPr="006C60F1">
        <w:t xml:space="preserve">(Facility </w:t>
      </w:r>
      <w:r>
        <w:t>ID Number</w:t>
      </w:r>
      <w:r w:rsidRPr="006C60F1">
        <w:t xml:space="preserve"> </w:t>
      </w:r>
      <w:r w:rsidRPr="007E7632">
        <w:t>40463</w:t>
      </w:r>
      <w:r w:rsidRPr="006C60F1">
        <w:t>)</w:t>
      </w:r>
      <w:r>
        <w:t xml:space="preserve">, </w:t>
      </w:r>
      <w:r w:rsidRPr="006C60F1">
        <w:t xml:space="preserve">Renewal File No. </w:t>
      </w:r>
      <w:r>
        <w:t xml:space="preserve">0000098498 (filed Aug. </w:t>
      </w:r>
      <w:r>
        <w:t xml:space="preserve">25, 2020), </w:t>
      </w:r>
      <w:hyperlink r:id="rId2" w:history="1">
        <w:r w:rsidRPr="00C94E42">
          <w:rPr>
            <w:rStyle w:val="Hyperlink"/>
          </w:rPr>
          <w:t>https://enterpriseefiling.fcc.gov/dataentry/public/tv/draftCopy.html?displayType=html&amp;appKey=25076ff37414384b0174271ea2051252&amp;id=25076ff37414384b0174271ea2051252&amp;goBack=N</w:t>
        </w:r>
      </w:hyperlink>
      <w:r>
        <w:t xml:space="preserve">; WJAD(FM), Leesburg, GA (Facility ID Number 57782), </w:t>
      </w:r>
      <w:r w:rsidRPr="006C60F1">
        <w:t>Renewal File No.</w:t>
      </w:r>
      <w:r>
        <w:t xml:space="preserve"> 0000098499 (filed Aug. 25, 2020), </w:t>
      </w:r>
      <w:hyperlink r:id="rId3" w:history="1">
        <w:r w:rsidRPr="00401EE9">
          <w:rPr>
            <w:rStyle w:val="Hyperlink"/>
          </w:rPr>
          <w:t>https://enterpriseefiling.fcc.gov/dataentry/public/tv/draftCopy.html?displayType=html&amp;appKey=25076ff37414384b017427295ecb1271&amp;id=25076ff37414384b017427295ecb1271&amp;goBack=N</w:t>
        </w:r>
      </w:hyperlink>
      <w:r>
        <w:t xml:space="preserve">); WKAK(FM), Albany, GA (Facility ID Number 831), </w:t>
      </w:r>
      <w:r w:rsidRPr="006C60F1">
        <w:t>Renewal File No.</w:t>
      </w:r>
      <w:r>
        <w:t xml:space="preserve"> 0000098501(filed Aug. 25, 2020), </w:t>
      </w:r>
      <w:hyperlink r:id="rId4" w:history="1">
        <w:r w:rsidRPr="00C94E42">
          <w:rPr>
            <w:rStyle w:val="Hyperlink"/>
          </w:rPr>
          <w:t>https://enterpriseefiling.fcc.gov/dataentry/public/tv/draftCopy.html?displayType=html&amp;appKey=25076ff37414384b0174272d723c128e&amp;id=25076ff37414384b0174272d723c128e&amp;goBack=N</w:t>
        </w:r>
      </w:hyperlink>
      <w:r>
        <w:t xml:space="preserve">; WQVE(FM), Albany, GA (Facility ID Number 54704), </w:t>
      </w:r>
      <w:r w:rsidRPr="006C60F1">
        <w:t>Renewal File No.</w:t>
      </w:r>
      <w:r>
        <w:t xml:space="preserve"> 0000098500 (filed Aug. 25, 2020), </w:t>
      </w:r>
      <w:hyperlink r:id="rId5" w:history="1">
        <w:r w:rsidRPr="00C94E42">
          <w:rPr>
            <w:rStyle w:val="Hyperlink"/>
          </w:rPr>
          <w:t>https://enterpriseefiling.fcc.gov/dataentry/public/tv/draftCopy.html?displayType=html&amp;appKey=25076ff37414384b01742730ae1e12ad&amp;id=25076ff37414384b01742730ae1e12ad&amp;goBack=N</w:t>
        </w:r>
      </w:hyperlink>
      <w:r>
        <w:t xml:space="preserve">; WALG(AM), Albany, GA (Facility ID Number 54703), </w:t>
      </w:r>
      <w:r w:rsidRPr="006C60F1">
        <w:t>Renewal File No.</w:t>
      </w:r>
      <w:r>
        <w:t xml:space="preserve"> 0000098497 (filed Aug. 25, 2020), </w:t>
      </w:r>
      <w:hyperlink r:id="rId6" w:history="1">
        <w:r w:rsidRPr="00C94E42">
          <w:rPr>
            <w:rStyle w:val="Hyperlink"/>
          </w:rPr>
          <w:t>https://enterpriseefiling.fcc.gov/dataentry/public/tv/draftCopy.html?displayType=html&amp;appKey=25076ff37414384b0174271781c61234&amp;id=25076ff37414384b0174271781c61234&amp;goBack=N</w:t>
        </w:r>
      </w:hyperlink>
      <w:r>
        <w:t xml:space="preserve">. </w:t>
      </w:r>
    </w:p>
  </w:footnote>
  <w:footnote w:id="10">
    <w:p w:rsidR="00831FD4" w14:paraId="73B67FF4" w14:textId="1A4C6B79">
      <w:pPr>
        <w:pStyle w:val="FootnoteText"/>
      </w:pPr>
      <w:r>
        <w:rPr>
          <w:rStyle w:val="FootnoteReference"/>
        </w:rPr>
        <w:footnoteRef/>
      </w:r>
      <w:r>
        <w:t xml:space="preserve"> Letter from Christopher J. Sova, Deputy Chief, Investigations and Hearings Division, FCC Enforcement Bureau, to Richard S. Denning, Executive Vice President, Secretary and General Counsel, Cumulus Licensing LLC (July 23, 2020) (on file in </w:t>
      </w:r>
      <w:r w:rsidRPr="00536D50">
        <w:rPr>
          <w:color w:val="000000" w:themeColor="text1"/>
          <w:spacing w:val="-2"/>
          <w:szCs w:val="22"/>
        </w:rPr>
        <w:t>EB-IHD-20-00031223</w:t>
      </w:r>
      <w:r>
        <w:rPr>
          <w:color w:val="000000" w:themeColor="text1"/>
          <w:spacing w:val="-2"/>
          <w:szCs w:val="22"/>
        </w:rPr>
        <w:t xml:space="preserve">) (LOI).  </w:t>
      </w:r>
    </w:p>
  </w:footnote>
  <w:footnote w:id="11">
    <w:p w:rsidR="000019C8" w:rsidP="000019C8" w14:paraId="60F25B38" w14:textId="5DE2C49F">
      <w:pPr>
        <w:pStyle w:val="FootnoteText"/>
      </w:pPr>
      <w:r>
        <w:rPr>
          <w:rStyle w:val="FootnoteReference"/>
        </w:rPr>
        <w:footnoteRef/>
      </w:r>
      <w:r>
        <w:t xml:space="preserve"> Letter from Richard S. Denning, Executive Vice President, Secretary and General Counsel, Cumulus Licensing LLC and Mark Lipp, Esq., Fletcher, Heald &amp; Hildreth, counsel to Cumulus Licensing LLC, to EEO Staff, Investigations and Hearings Division, FCC Enforcement Bureau</w:t>
      </w:r>
      <w:r w:rsidR="003E388B">
        <w:t>,</w:t>
      </w:r>
      <w:r>
        <w:t xml:space="preserve"> </w:t>
      </w:r>
      <w:r w:rsidR="003E388B">
        <w:rPr>
          <w:color w:val="000000" w:themeColor="text1"/>
          <w:spacing w:val="-2"/>
          <w:szCs w:val="22"/>
        </w:rPr>
        <w:t>at Response to Questions 3, 5</w:t>
      </w:r>
      <w:r w:rsidR="003E388B">
        <w:t xml:space="preserve"> </w:t>
      </w:r>
      <w:r>
        <w:t>(Aug. 20, 2020)</w:t>
      </w:r>
      <w:r w:rsidRPr="00253C2A">
        <w:rPr>
          <w:color w:val="000000" w:themeColor="text1"/>
          <w:spacing w:val="-2"/>
          <w:szCs w:val="22"/>
        </w:rPr>
        <w:t xml:space="preserve"> </w:t>
      </w:r>
      <w:r>
        <w:t xml:space="preserve">(on file in </w:t>
      </w:r>
      <w:r w:rsidRPr="00536D50">
        <w:rPr>
          <w:color w:val="000000" w:themeColor="text1"/>
          <w:spacing w:val="-2"/>
          <w:szCs w:val="22"/>
        </w:rPr>
        <w:t>EB-IHD-20-00031223</w:t>
      </w:r>
      <w:r>
        <w:rPr>
          <w:color w:val="000000" w:themeColor="text1"/>
          <w:spacing w:val="-2"/>
          <w:szCs w:val="22"/>
        </w:rPr>
        <w:t>)</w:t>
      </w:r>
      <w:r w:rsidRPr="003E388B" w:rsidR="003E388B">
        <w:rPr>
          <w:color w:val="000000" w:themeColor="text1"/>
          <w:spacing w:val="-2"/>
          <w:szCs w:val="22"/>
        </w:rPr>
        <w:t xml:space="preserve"> </w:t>
      </w:r>
      <w:r w:rsidR="003E388B">
        <w:rPr>
          <w:color w:val="000000" w:themeColor="text1"/>
          <w:spacing w:val="-2"/>
          <w:szCs w:val="22"/>
        </w:rPr>
        <w:t>(LOI Response)</w:t>
      </w:r>
      <w:r>
        <w:t>.  The anniversary filing date for Georgia radio station renewal applications is December 1, and stations must generally upload their Annual Report on this date.  In 2018, however, December 1 fell on a Saturday.  The 2018 Annual Report was therefore due on the next business day, i.e., December 3, 2018.</w:t>
      </w:r>
    </w:p>
  </w:footnote>
  <w:footnote w:id="12">
    <w:p w:rsidR="00C162C9" w:rsidP="00C162C9" w14:paraId="24701C5B" w14:textId="7B4598D6">
      <w:pPr>
        <w:pStyle w:val="FootnoteText"/>
      </w:pPr>
      <w:r>
        <w:rPr>
          <w:rStyle w:val="FootnoteReference"/>
        </w:rPr>
        <w:footnoteRef/>
      </w:r>
      <w:r>
        <w:t xml:space="preserve"> On November 24, 2020, the Commission and Cumulus executed a tolling agreement which, among other things, preserved the Commission’s legal rights to issue one or more NALs and initiate collection proceedings, as applicable, with respect to the potential violations, while allowing for the grant of the Renewal Applications and for the consummation of the assignment of the licenses for the Stations in connection with Cumulus’ sale of the </w:t>
      </w:r>
      <w:r w:rsidR="00C563A9">
        <w:t>S</w:t>
      </w:r>
      <w:r>
        <w:t xml:space="preserve">tations to a third party.  </w:t>
      </w:r>
      <w:r w:rsidRPr="00AF0CE5">
        <w:rPr>
          <w:i/>
          <w:iCs/>
        </w:rPr>
        <w:t>See</w:t>
      </w:r>
      <w:r>
        <w:t xml:space="preserve"> Agreement Regarding Assignment Applications executed by Jeffrey J. Gee, Chief, Investigations and Hearings Division, FCC Enforcement Bureau, and Richard S. Denning, Executive Vice President, Secretary and General Counsel, Cumulus Licensing LLC (Nov. 24, 2020) (on file in </w:t>
      </w:r>
      <w:r w:rsidRPr="00536D50">
        <w:rPr>
          <w:color w:val="000000" w:themeColor="text1"/>
          <w:spacing w:val="-2"/>
          <w:szCs w:val="22"/>
        </w:rPr>
        <w:t>EB-IHD-20-00031223</w:t>
      </w:r>
      <w:r>
        <w:rPr>
          <w:color w:val="000000" w:themeColor="text1"/>
          <w:spacing w:val="-2"/>
          <w:szCs w:val="22"/>
        </w:rPr>
        <w:t>)</w:t>
      </w:r>
      <w:r>
        <w:t>.  Cumulus sold the Stations to First Media Services, LLC on Dec. 15, 2020 pursuant to assignment applications BAL-20200429AAB, and BALH-20200429AAC-F; Consummation Notice of Cumulus Licensing LLC, File Nos. BAL-20200429AAB et al. (filed Dec. 17, 2020).  Pursuant to the tolling agreement, Cumulus agreed to waive any right it might otherwise have to assert that it is no longer a holder of the Commission-issued licenses for the Stations.</w:t>
      </w:r>
    </w:p>
  </w:footnote>
  <w:footnote w:id="13">
    <w:p w:rsidR="00831FD4" w14:paraId="10CE22B7" w14:textId="39355970">
      <w:pPr>
        <w:pStyle w:val="FootnoteText"/>
      </w:pPr>
      <w:r>
        <w:rPr>
          <w:rStyle w:val="FootnoteReference"/>
        </w:rPr>
        <w:footnoteRef/>
      </w:r>
      <w:r>
        <w:t xml:space="preserve"> LOI Response at 4.</w:t>
      </w:r>
    </w:p>
  </w:footnote>
  <w:footnote w:id="14">
    <w:p w:rsidR="00831FD4" w14:paraId="4F166FFD" w14:textId="77777777">
      <w:pPr>
        <w:pStyle w:val="FootnoteText"/>
      </w:pPr>
      <w:r>
        <w:rPr>
          <w:rStyle w:val="FootnoteReference"/>
        </w:rPr>
        <w:footnoteRef/>
      </w:r>
      <w:r>
        <w:t xml:space="preserve"> 47 CFR </w:t>
      </w:r>
      <w:r w:rsidRPr="001A4B17">
        <w:t>§§</w:t>
      </w:r>
      <w:r>
        <w:t xml:space="preserve"> 73.2080(c)(6), </w:t>
      </w:r>
      <w:r w:rsidRPr="00FC7C29">
        <w:rPr>
          <w:szCs w:val="22"/>
        </w:rPr>
        <w:t>73.</w:t>
      </w:r>
      <w:r>
        <w:rPr>
          <w:szCs w:val="22"/>
        </w:rPr>
        <w:t xml:space="preserve">3526(e)(7), and </w:t>
      </w:r>
      <w:r>
        <w:t>73.2080(c)(3).</w:t>
      </w:r>
    </w:p>
  </w:footnote>
  <w:footnote w:id="15">
    <w:p w:rsidR="00831FD4" w:rsidP="002C6839" w14:paraId="4C008C95" w14:textId="5110204A">
      <w:pPr>
        <w:pStyle w:val="FootnoteText"/>
      </w:pPr>
      <w:r>
        <w:rPr>
          <w:rStyle w:val="FootnoteReference"/>
        </w:rPr>
        <w:footnoteRef/>
      </w:r>
      <w:r>
        <w:t xml:space="preserve"> 47 CFR </w:t>
      </w:r>
      <w:r w:rsidRPr="001A4B17">
        <w:t>§</w:t>
      </w:r>
      <w:r>
        <w:t xml:space="preserve"> 73.2080(c)(6).  While both Section 73.3526(e)(7) and Section </w:t>
      </w:r>
      <w:r w:rsidRPr="0060194B">
        <w:t>73.2080(c)(6</w:t>
      </w:r>
      <w:r>
        <w:t xml:space="preserve">) require the EEO Annual Report to be placed in a station’s public inspection file, Section </w:t>
      </w:r>
      <w:r w:rsidRPr="0060194B">
        <w:t>73.2080(c)(6</w:t>
      </w:r>
      <w:r>
        <w:t>) also requires the EEO Annual Report to be placed on a station’s website, if it has one.</w:t>
      </w:r>
    </w:p>
  </w:footnote>
  <w:footnote w:id="16">
    <w:p w:rsidR="00831FD4" w:rsidRPr="006B69F2" w14:paraId="1F517F6E" w14:textId="20EF8FF8">
      <w:pPr>
        <w:pStyle w:val="FootnoteText"/>
        <w:rPr>
          <w:i/>
          <w:iCs/>
        </w:rPr>
      </w:pPr>
      <w:r>
        <w:rPr>
          <w:rStyle w:val="FootnoteReference"/>
        </w:rPr>
        <w:footnoteRef/>
      </w:r>
      <w:r>
        <w:t xml:space="preserve"> </w:t>
      </w:r>
      <w:r>
        <w:rPr>
          <w:i/>
          <w:iCs/>
        </w:rPr>
        <w:t>Id.</w:t>
      </w:r>
    </w:p>
  </w:footnote>
  <w:footnote w:id="17">
    <w:p w:rsidR="00831FD4" w14:paraId="1B76C4CB" w14:textId="6A65A785">
      <w:pPr>
        <w:pStyle w:val="FootnoteText"/>
      </w:pPr>
      <w:r>
        <w:rPr>
          <w:rStyle w:val="FootnoteReference"/>
        </w:rPr>
        <w:footnoteRef/>
      </w:r>
      <w:r>
        <w:t xml:space="preserve"> LOI Response, Response to Questions 3, 5. </w:t>
      </w:r>
    </w:p>
  </w:footnote>
  <w:footnote w:id="18">
    <w:p w:rsidR="00831FD4" w14:paraId="5CD7C204" w14:textId="067E0C66">
      <w:pPr>
        <w:pStyle w:val="FootnoteText"/>
      </w:pPr>
      <w:r>
        <w:rPr>
          <w:rStyle w:val="FootnoteReference"/>
        </w:rPr>
        <w:footnoteRef/>
      </w:r>
      <w:r>
        <w:t xml:space="preserve"> LOI Response, Response to Question 6.</w:t>
      </w:r>
    </w:p>
  </w:footnote>
  <w:footnote w:id="19">
    <w:p w:rsidR="00831FD4" w14:paraId="0907DA4F" w14:textId="059C0883">
      <w:pPr>
        <w:pStyle w:val="FootnoteText"/>
      </w:pPr>
      <w:r>
        <w:rPr>
          <w:rStyle w:val="FootnoteReference"/>
        </w:rPr>
        <w:footnoteRef/>
      </w:r>
      <w:r>
        <w:t xml:space="preserve"> </w:t>
      </w:r>
      <w:r w:rsidRPr="006929C2">
        <w:rPr>
          <w:i/>
          <w:iCs/>
        </w:rPr>
        <w:t>Id</w:t>
      </w:r>
      <w:r>
        <w:t>.</w:t>
      </w:r>
    </w:p>
  </w:footnote>
  <w:footnote w:id="20">
    <w:p w:rsidR="00831FD4" w14:paraId="73040A22" w14:textId="2083F4EC">
      <w:pPr>
        <w:pStyle w:val="FootnoteText"/>
      </w:pPr>
      <w:r>
        <w:rPr>
          <w:rStyle w:val="FootnoteReference"/>
        </w:rPr>
        <w:footnoteRef/>
      </w:r>
      <w:r>
        <w:t xml:space="preserve"> </w:t>
      </w:r>
      <w:r w:rsidRPr="004D0B4A">
        <w:rPr>
          <w:i/>
          <w:iCs/>
        </w:rPr>
        <w:t>See</w:t>
      </w:r>
      <w:r>
        <w:t xml:space="preserve"> </w:t>
      </w:r>
      <w:r w:rsidRPr="004D0B4A">
        <w:rPr>
          <w:i/>
          <w:iCs/>
        </w:rPr>
        <w:t>Padre Serra Communications, Inc</w:t>
      </w:r>
      <w:r w:rsidRPr="005455C7">
        <w:t xml:space="preserve">., Letter, 14 FCC </w:t>
      </w:r>
      <w:r w:rsidRPr="005455C7">
        <w:t>Rcd</w:t>
      </w:r>
      <w:r w:rsidRPr="005455C7">
        <w:t xml:space="preserve"> 9709 (MMB 1999).  </w:t>
      </w:r>
    </w:p>
  </w:footnote>
  <w:footnote w:id="21">
    <w:p w:rsidR="00AA2004" w:rsidP="00AA2004" w14:paraId="2ECCCEFD" w14:textId="77777777">
      <w:pPr>
        <w:pStyle w:val="FootnoteText"/>
      </w:pPr>
      <w:r>
        <w:rPr>
          <w:rStyle w:val="FootnoteReference"/>
        </w:rPr>
        <w:footnoteRef/>
      </w:r>
      <w:r>
        <w:t xml:space="preserve"> 47 CFR </w:t>
      </w:r>
      <w:r w:rsidRPr="001A4B17">
        <w:t>§</w:t>
      </w:r>
      <w:r>
        <w:t xml:space="preserve"> 73.3526(e)(7).  </w:t>
      </w:r>
      <w:r w:rsidRPr="00494513">
        <w:rPr>
          <w:i/>
          <w:iCs/>
        </w:rPr>
        <w:t>See also Emmis Television License, LLC</w:t>
      </w:r>
      <w:r>
        <w:t xml:space="preserve">, Notice of Apparent Liability for Forfeiture, 20 FCC </w:t>
      </w:r>
      <w:r>
        <w:t>Rcd</w:t>
      </w:r>
      <w:r>
        <w:t xml:space="preserve"> 13860 (MB 2005) (licensee violated both the EEO rules and consequently, the public inspection file rules because it failed to place required EEO information in its stations’ public inspection files). </w:t>
      </w:r>
    </w:p>
  </w:footnote>
  <w:footnote w:id="22">
    <w:p w:rsidR="00C563A9" w:rsidP="00C563A9" w14:paraId="2C614A45" w14:textId="77777777">
      <w:pPr>
        <w:pStyle w:val="FootnoteText"/>
      </w:pPr>
      <w:r>
        <w:rPr>
          <w:rStyle w:val="FootnoteReference"/>
        </w:rPr>
        <w:footnoteRef/>
      </w:r>
      <w:r>
        <w:t xml:space="preserve"> 47 CFR </w:t>
      </w:r>
      <w:r w:rsidRPr="001A4B17">
        <w:t>§</w:t>
      </w:r>
      <w:r>
        <w:t xml:space="preserve"> 73.2080(c)(3).</w:t>
      </w:r>
    </w:p>
  </w:footnote>
  <w:footnote w:id="23">
    <w:p w:rsidR="00DD4D67" w14:paraId="5D2ADA5B" w14:textId="6B731B7D">
      <w:pPr>
        <w:pStyle w:val="FootnoteText"/>
      </w:pPr>
      <w:r>
        <w:rPr>
          <w:rStyle w:val="FootnoteReference"/>
        </w:rPr>
        <w:footnoteRef/>
      </w:r>
      <w:r>
        <w:t xml:space="preserve"> </w:t>
      </w:r>
      <w:r>
        <w:rPr>
          <w:i/>
          <w:iCs/>
        </w:rPr>
        <w:t xml:space="preserve">Review of the Commission’s Broadcast and Cable EEO Rules and Policies, </w:t>
      </w:r>
      <w:r>
        <w:t xml:space="preserve">Second Report and Order and Third Notice of Proposed Rule Making, 17 FCC </w:t>
      </w:r>
      <w:r>
        <w:t>Rcd</w:t>
      </w:r>
      <w:r>
        <w:t>. 24018, 24062 (2002).</w:t>
      </w:r>
    </w:p>
  </w:footnote>
  <w:footnote w:id="24">
    <w:p w:rsidR="00A43944" w14:paraId="7116C162" w14:textId="3BA6E982">
      <w:pPr>
        <w:pStyle w:val="FootnoteText"/>
      </w:pPr>
      <w:r>
        <w:rPr>
          <w:rStyle w:val="FootnoteReference"/>
        </w:rPr>
        <w:footnoteRef/>
      </w:r>
      <w:r>
        <w:t xml:space="preserve"> LOI Response, Response to Question 6.</w:t>
      </w:r>
    </w:p>
  </w:footnote>
  <w:footnote w:id="25">
    <w:p w:rsidR="007054FD" w14:paraId="64382C18" w14:textId="515EEAE5">
      <w:pPr>
        <w:pStyle w:val="FootnoteText"/>
      </w:pPr>
      <w:r>
        <w:rPr>
          <w:rStyle w:val="FootnoteReference"/>
        </w:rPr>
        <w:footnoteRef/>
      </w:r>
      <w:r>
        <w:t xml:space="preserve"> </w:t>
      </w:r>
      <w:r w:rsidRPr="00E92C26">
        <w:rPr>
          <w:i/>
          <w:iCs/>
        </w:rPr>
        <w:t>Id</w:t>
      </w:r>
      <w:r>
        <w:t>.</w:t>
      </w:r>
    </w:p>
  </w:footnote>
  <w:footnote w:id="26">
    <w:p w:rsidR="00831FD4" w:rsidRPr="00981F23" w:rsidP="00796CA3" w14:paraId="2AD32EE1" w14:textId="77777777">
      <w:pPr>
        <w:pStyle w:val="FootnoteText"/>
        <w:rPr>
          <w:b/>
          <w:i/>
          <w:color w:val="000000" w:themeColor="text1"/>
        </w:rPr>
      </w:pPr>
      <w:r w:rsidRPr="00981F23">
        <w:rPr>
          <w:rStyle w:val="FootnoteReference"/>
          <w:color w:val="000000" w:themeColor="text1"/>
        </w:rPr>
        <w:footnoteRef/>
      </w:r>
      <w:r w:rsidRPr="00981F23">
        <w:rPr>
          <w:color w:val="000000" w:themeColor="text1"/>
        </w:rPr>
        <w:t xml:space="preserve"> 47 U.S.C. § 503(b).  </w:t>
      </w:r>
    </w:p>
  </w:footnote>
  <w:footnote w:id="27">
    <w:p w:rsidR="00831FD4" w:rsidRPr="00981F23" w:rsidP="002F3CB7" w14:paraId="02BA2BC8" w14:textId="48FC15C1">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See</w:t>
      </w:r>
      <w:r w:rsidRPr="00981F23">
        <w:rPr>
          <w:color w:val="000000" w:themeColor="text1"/>
        </w:rPr>
        <w:t xml:space="preserve"> </w:t>
      </w:r>
      <w:r w:rsidRPr="00981F23">
        <w:rPr>
          <w:snapToGrid w:val="0"/>
          <w:color w:val="000000" w:themeColor="text1"/>
        </w:rPr>
        <w:t>47 U.S.C. § 503(b)(</w:t>
      </w:r>
      <w:r>
        <w:rPr>
          <w:snapToGrid w:val="0"/>
          <w:color w:val="000000" w:themeColor="text1"/>
        </w:rPr>
        <w:t>2</w:t>
      </w:r>
      <w:r w:rsidRPr="00981F23">
        <w:rPr>
          <w:snapToGrid w:val="0"/>
          <w:color w:val="000000" w:themeColor="text1"/>
        </w:rPr>
        <w:t>)(</w:t>
      </w:r>
      <w:r>
        <w:rPr>
          <w:snapToGrid w:val="0"/>
          <w:color w:val="000000" w:themeColor="text1"/>
        </w:rPr>
        <w:t>A</w:t>
      </w:r>
      <w:r w:rsidRPr="00981F23">
        <w:rPr>
          <w:snapToGrid w:val="0"/>
          <w:color w:val="000000" w:themeColor="text1"/>
        </w:rPr>
        <w:t xml:space="preserve">); 47 </w:t>
      </w:r>
      <w:r>
        <w:rPr>
          <w:snapToGrid w:val="0"/>
          <w:color w:val="000000" w:themeColor="text1"/>
        </w:rPr>
        <w:t>CFR</w:t>
      </w:r>
      <w:r w:rsidRPr="00981F23">
        <w:rPr>
          <w:snapToGrid w:val="0"/>
          <w:color w:val="000000" w:themeColor="text1"/>
        </w:rPr>
        <w:t xml:space="preserve"> § 1.80(b)(</w:t>
      </w:r>
      <w:r>
        <w:rPr>
          <w:snapToGrid w:val="0"/>
          <w:color w:val="000000" w:themeColor="text1"/>
        </w:rPr>
        <w:t>1</w:t>
      </w:r>
      <w:r w:rsidRPr="00981F23">
        <w:rPr>
          <w:snapToGrid w:val="0"/>
          <w:color w:val="000000" w:themeColor="text1"/>
        </w:rPr>
        <w:t xml:space="preserve">).  </w:t>
      </w:r>
      <w:bookmarkStart w:id="4" w:name="_Hlk18672240"/>
      <w:bookmarkStart w:id="5" w:name="_Hlk73106488"/>
      <w:r>
        <w:rPr>
          <w:i/>
          <w:iCs/>
          <w:snapToGrid w:val="0"/>
          <w:color w:val="000000" w:themeColor="text1"/>
        </w:rPr>
        <w:t xml:space="preserve">See also </w:t>
      </w:r>
      <w:r w:rsidRPr="007B5955">
        <w:rPr>
          <w:i/>
          <w:snapToGrid w:val="0"/>
          <w:color w:val="000000" w:themeColor="text1"/>
        </w:rPr>
        <w:t>Amendment of Section 1.80(b) of the Commission’s Rules, Adjustment of Civil Monetary Penalties to Reflect Inflation</w:t>
      </w:r>
      <w:r w:rsidRPr="007B5955">
        <w:rPr>
          <w:snapToGrid w:val="0"/>
          <w:color w:val="000000" w:themeColor="text1"/>
        </w:rPr>
        <w:t>, Order,</w:t>
      </w:r>
      <w:r w:rsidR="003D08F7">
        <w:rPr>
          <w:snapToGrid w:val="0"/>
          <w:color w:val="000000" w:themeColor="text1"/>
        </w:rPr>
        <w:t xml:space="preserve"> 87 Fed. Reg. 396 (Jan. 5, 2022). </w:t>
      </w:r>
      <w:r w:rsidRPr="007B5955">
        <w:rPr>
          <w:snapToGrid w:val="0"/>
          <w:color w:val="000000" w:themeColor="text1"/>
        </w:rPr>
        <w:t xml:space="preserve"> </w:t>
      </w:r>
      <w:r w:rsidR="003D08F7">
        <w:rPr>
          <w:snapToGrid w:val="0"/>
          <w:color w:val="000000" w:themeColor="text1"/>
        </w:rPr>
        <w:t>The effective date of these inflation adjusted forfeiture penalties was January 15, 2022.</w:t>
      </w:r>
      <w:bookmarkEnd w:id="4"/>
      <w:bookmarkEnd w:id="5"/>
    </w:p>
  </w:footnote>
  <w:footnote w:id="28">
    <w:p w:rsidR="00831FD4" w:rsidRPr="00981F23" w:rsidP="002F3CB7" w14:paraId="3B2E5A6B" w14:textId="77777777">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29">
    <w:p w:rsidR="00831FD4" w:rsidRPr="00981F23" w:rsidP="00EA5433" w14:paraId="7C4F8EA4" w14:textId="2FDCDF8A">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Pr>
          <w:color w:val="000000" w:themeColor="text1"/>
        </w:rPr>
        <w:t>CFR</w:t>
      </w:r>
      <w:r w:rsidRPr="00981F23">
        <w:rPr>
          <w:color w:val="000000" w:themeColor="text1"/>
        </w:rPr>
        <w:t xml:space="preserve"> § 1.80(b)(</w:t>
      </w:r>
      <w:r w:rsidR="00252D83">
        <w:rPr>
          <w:color w:val="000000" w:themeColor="text1"/>
        </w:rPr>
        <w:t>10</w:t>
      </w:r>
      <w:r w:rsidRPr="00981F23">
        <w:rPr>
          <w:color w:val="000000" w:themeColor="text1"/>
        </w:rPr>
        <w:t>), Note to paragraph (b)(</w:t>
      </w:r>
      <w:r w:rsidR="00252D83">
        <w:rPr>
          <w:color w:val="000000" w:themeColor="text1"/>
        </w:rPr>
        <w:t>10</w:t>
      </w:r>
      <w:r w:rsidRPr="00981F23">
        <w:rPr>
          <w:color w:val="000000" w:themeColor="text1"/>
        </w:rPr>
        <w:t>)</w:t>
      </w:r>
      <w:r w:rsidR="003D08F7">
        <w:rPr>
          <w:color w:val="000000" w:themeColor="text1"/>
        </w:rPr>
        <w:t>, Table 1</w:t>
      </w:r>
      <w:r w:rsidRPr="00981F23">
        <w:rPr>
          <w:color w:val="000000" w:themeColor="text1"/>
        </w:rPr>
        <w:t>.</w:t>
      </w:r>
    </w:p>
  </w:footnote>
  <w:footnote w:id="30">
    <w:p w:rsidR="00831FD4" w:rsidRPr="00981F23" w:rsidP="00EA5433" w14:paraId="13201D45" w14:textId="7777777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31">
    <w:p w:rsidR="00B33843" w:rsidP="00B33843" w14:paraId="6E995E03" w14:textId="09DB74D1">
      <w:pPr>
        <w:pStyle w:val="FootnoteText"/>
      </w:pPr>
      <w:r>
        <w:rPr>
          <w:rStyle w:val="FootnoteReference"/>
        </w:rPr>
        <w:footnoteRef/>
      </w:r>
      <w:r>
        <w:t xml:space="preserve"> 47 CFR § 73.2080(c)(6</w:t>
      </w:r>
      <w:r>
        <w:rPr>
          <w:iCs/>
          <w:color w:val="000000" w:themeColor="text1"/>
        </w:rPr>
        <w:t>)</w:t>
      </w:r>
      <w:r w:rsidR="00737262">
        <w:rPr>
          <w:iCs/>
          <w:color w:val="000000" w:themeColor="text1"/>
        </w:rPr>
        <w:t xml:space="preserve">; </w:t>
      </w:r>
      <w:r w:rsidRPr="007A20EC" w:rsidR="00737262">
        <w:rPr>
          <w:i/>
          <w:color w:val="000000" w:themeColor="text1"/>
        </w:rPr>
        <w:t>see also</w:t>
      </w:r>
      <w:r w:rsidR="00737262">
        <w:rPr>
          <w:iCs/>
          <w:color w:val="000000" w:themeColor="text1"/>
        </w:rPr>
        <w:t xml:space="preserve"> </w:t>
      </w:r>
      <w:r w:rsidR="00737262">
        <w:t xml:space="preserve">47 CFR </w:t>
      </w:r>
      <w:r w:rsidRPr="001A4B17" w:rsidR="00737262">
        <w:t>§</w:t>
      </w:r>
      <w:r w:rsidR="00737262">
        <w:t xml:space="preserve"> </w:t>
      </w:r>
      <w:r w:rsidR="00737262">
        <w:rPr>
          <w:iCs/>
          <w:color w:val="000000" w:themeColor="text1"/>
        </w:rPr>
        <w:t>73.3526(e)(7)</w:t>
      </w:r>
      <w:r>
        <w:rPr>
          <w:iCs/>
          <w:color w:val="000000" w:themeColor="text1"/>
        </w:rPr>
        <w:t>.</w:t>
      </w:r>
    </w:p>
  </w:footnote>
  <w:footnote w:id="32">
    <w:p w:rsidR="00831FD4" w:rsidRPr="00981F23" w:rsidP="002F3CB7" w14:paraId="520FA4ED" w14:textId="2F47C591">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Pr>
          <w:color w:val="000000" w:themeColor="text1"/>
        </w:rPr>
        <w:t>CFR</w:t>
      </w:r>
      <w:r w:rsidRPr="00981F23">
        <w:rPr>
          <w:color w:val="000000" w:themeColor="text1"/>
        </w:rPr>
        <w:t xml:space="preserve"> § 1.80(b)</w:t>
      </w:r>
      <w:r w:rsidR="00737262">
        <w:rPr>
          <w:color w:val="000000" w:themeColor="text1"/>
        </w:rPr>
        <w:t>(10), Table 1</w:t>
      </w:r>
      <w:r w:rsidRPr="00981F23">
        <w:rPr>
          <w:color w:val="000000" w:themeColor="text1"/>
        </w:rPr>
        <w:t>.</w:t>
      </w:r>
      <w:r w:rsidR="000C4655">
        <w:rPr>
          <w:color w:val="000000" w:themeColor="text1"/>
        </w:rPr>
        <w:t xml:space="preserve">  </w:t>
      </w:r>
      <w:r w:rsidR="000C4655">
        <w:t>Although the C</w:t>
      </w:r>
      <w:r w:rsidRPr="00571356" w:rsidR="000C4655">
        <w:rPr>
          <w:color w:val="000000" w:themeColor="text1"/>
          <w:lang w:val="en"/>
        </w:rPr>
        <w:t>ommission’s</w:t>
      </w:r>
      <w:r w:rsidRPr="00571356" w:rsidR="000C4655">
        <w:rPr>
          <w:color w:val="000000" w:themeColor="text1"/>
          <w:lang w:val="en"/>
        </w:rPr>
        <w:t xml:space="preserve"> forfeiture guidelines do not establish a base forfeiture for </w:t>
      </w:r>
      <w:r w:rsidR="000C4655">
        <w:rPr>
          <w:color w:val="000000" w:themeColor="text1"/>
          <w:lang w:val="en"/>
        </w:rPr>
        <w:t xml:space="preserve">the separate web site posting requirement of </w:t>
      </w:r>
      <w:r w:rsidR="000C4655">
        <w:t>section 73.2080(c)(6)</w:t>
      </w:r>
      <w:r w:rsidR="000C4655">
        <w:rPr>
          <w:color w:val="000000" w:themeColor="text1"/>
          <w:lang w:val="en"/>
        </w:rPr>
        <w:t xml:space="preserve">, </w:t>
      </w:r>
      <w:r w:rsidRPr="00981F23" w:rsidR="000C4655">
        <w:t xml:space="preserve">Section 1.80(b) of the </w:t>
      </w:r>
      <w:r w:rsidR="000C4655">
        <w:t>Commission’s r</w:t>
      </w:r>
      <w:r w:rsidRPr="00981F23" w:rsidR="000C4655">
        <w:t>ules sets a base forfeiture of</w:t>
      </w:r>
      <w:r w:rsidR="000C4655">
        <w:t xml:space="preserve"> $3,000 for failure to file required information, which we find to be analogous.</w:t>
      </w:r>
    </w:p>
  </w:footnote>
  <w:footnote w:id="33">
    <w:p w:rsidR="00831FD4" w:rsidRPr="00981F23" w:rsidP="00C31A4F" w14:paraId="3D36EF2A" w14:textId="7777777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The Commission’s Forfeiture Policy Statement and Amendment of Section 1.80 of the Rules to Incorporate the Forfeiture Guidelines</w:t>
      </w:r>
      <w:r w:rsidRPr="00981F23">
        <w:rPr>
          <w:color w:val="000000" w:themeColor="text1"/>
        </w:rPr>
        <w:t xml:space="preserve">, Report and Order, 12 FCC </w:t>
      </w:r>
      <w:r w:rsidRPr="00981F23">
        <w:rPr>
          <w:color w:val="000000" w:themeColor="text1"/>
        </w:rPr>
        <w:t>Rcd</w:t>
      </w:r>
      <w:r w:rsidRPr="00981F23">
        <w:rPr>
          <w:color w:val="000000" w:themeColor="text1"/>
        </w:rPr>
        <w:t xml:space="preserve"> 17087, 17098–99, para. 22 (1997) (noting that “[a]</w:t>
      </w:r>
      <w:r w:rsidRPr="00981F23">
        <w:rPr>
          <w:color w:val="000000" w:themeColor="text1"/>
        </w:rPr>
        <w:t>lthough</w:t>
      </w:r>
      <w:r w:rsidRPr="00981F23">
        <w:rPr>
          <w:color w:val="000000" w:themeColor="text1"/>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981F23">
        <w:rPr>
          <w:i/>
          <w:color w:val="000000" w:themeColor="text1"/>
        </w:rPr>
        <w:t>Forfeiture Policy Statement</w:t>
      </w:r>
      <w:r w:rsidRPr="00981F23">
        <w:rPr>
          <w:color w:val="000000" w:themeColor="text1"/>
        </w:rPr>
        <w:t xml:space="preserve">), </w:t>
      </w:r>
      <w:r w:rsidRPr="00981F23">
        <w:rPr>
          <w:i/>
          <w:color w:val="000000" w:themeColor="text1"/>
        </w:rPr>
        <w:t>recons. denied</w:t>
      </w:r>
      <w:r w:rsidRPr="00981F23">
        <w:rPr>
          <w:color w:val="000000" w:themeColor="text1"/>
        </w:rPr>
        <w:t xml:space="preserve">, Memorandum Opinion and Order, 15 FCC </w:t>
      </w:r>
      <w:r w:rsidRPr="00981F23">
        <w:rPr>
          <w:color w:val="000000" w:themeColor="text1"/>
        </w:rPr>
        <w:t>Rcd</w:t>
      </w:r>
      <w:r w:rsidRPr="00981F23">
        <w:rPr>
          <w:color w:val="000000" w:themeColor="text1"/>
        </w:rPr>
        <w:t xml:space="preserve"> 303 (1999).</w:t>
      </w:r>
    </w:p>
  </w:footnote>
  <w:footnote w:id="34">
    <w:p w:rsidR="00831FD4" w:rsidRPr="00BF25A0" w:rsidP="0048295B" w14:paraId="541C6B4F" w14:textId="65FA4BD8">
      <w:pPr>
        <w:pStyle w:val="FootnoteText"/>
      </w:pPr>
      <w:r w:rsidRPr="00BF25A0">
        <w:rPr>
          <w:rStyle w:val="FootnoteReference"/>
        </w:rPr>
        <w:footnoteRef/>
      </w:r>
      <w:r w:rsidRPr="00BF25A0">
        <w:t xml:space="preserve"> </w:t>
      </w:r>
      <w:r w:rsidRPr="00D62C43">
        <w:rPr>
          <w:i/>
          <w:iCs/>
        </w:rPr>
        <w:t>Cumulus Licensing LLC</w:t>
      </w:r>
      <w:r>
        <w:t xml:space="preserve">, Notice of Apparent Liability for Forfeiture, 23 FCC </w:t>
      </w:r>
      <w:r>
        <w:t>Rcd</w:t>
      </w:r>
      <w:r>
        <w:t xml:space="preserve"> 18433 (MB 2008) (forfeiture paid) (</w:t>
      </w:r>
      <w:r w:rsidRPr="00522178">
        <w:rPr>
          <w:i/>
          <w:iCs/>
        </w:rPr>
        <w:t>2008</w:t>
      </w:r>
      <w:r>
        <w:t xml:space="preserve"> </w:t>
      </w:r>
      <w:r w:rsidRPr="00733168">
        <w:rPr>
          <w:i/>
          <w:iCs/>
        </w:rPr>
        <w:t>Cumulus Licensin</w:t>
      </w:r>
      <w:r>
        <w:rPr>
          <w:i/>
          <w:iCs/>
        </w:rPr>
        <w:t>g LLC)</w:t>
      </w:r>
      <w:r>
        <w:t>.</w:t>
      </w:r>
    </w:p>
  </w:footnote>
  <w:footnote w:id="35">
    <w:p w:rsidR="00831FD4" w:rsidRPr="006F3163" w:rsidP="0048295B" w14:paraId="614D98D4" w14:textId="038F72B1">
      <w:pPr>
        <w:pStyle w:val="FootnoteText"/>
      </w:pPr>
      <w:r w:rsidRPr="006F3163">
        <w:rPr>
          <w:rStyle w:val="FootnoteReference"/>
        </w:rPr>
        <w:footnoteRef/>
      </w:r>
      <w:r w:rsidRPr="006F3163">
        <w:t xml:space="preserve"> </w:t>
      </w:r>
      <w:r w:rsidRPr="00D62C43">
        <w:rPr>
          <w:i/>
          <w:iCs/>
        </w:rPr>
        <w:t>Cumulus Licensing LLC</w:t>
      </w:r>
      <w:r>
        <w:t xml:space="preserve">, Notice of Apparent Liability for Forfeiture, 32 FCC </w:t>
      </w:r>
      <w:r>
        <w:t>Rcd</w:t>
      </w:r>
      <w:r>
        <w:t xml:space="preserve"> 10285 (MB 2017) (forfeiture paid) (</w:t>
      </w:r>
      <w:r w:rsidRPr="00522178">
        <w:rPr>
          <w:i/>
          <w:iCs/>
        </w:rPr>
        <w:t>2017</w:t>
      </w:r>
      <w:r>
        <w:t xml:space="preserve"> </w:t>
      </w:r>
      <w:r w:rsidRPr="00733168">
        <w:rPr>
          <w:i/>
          <w:iCs/>
        </w:rPr>
        <w:t>Cumulus Licensing</w:t>
      </w:r>
      <w:r>
        <w:rPr>
          <w:i/>
          <w:iCs/>
        </w:rPr>
        <w:t xml:space="preserve"> LLC).</w:t>
      </w:r>
    </w:p>
  </w:footnote>
  <w:footnote w:id="36">
    <w:p w:rsidR="00831FD4" w:rsidP="0048295B" w14:paraId="78ECE2C4" w14:textId="77777777">
      <w:pPr>
        <w:pStyle w:val="FootnoteText"/>
      </w:pPr>
      <w:r>
        <w:rPr>
          <w:rStyle w:val="FootnoteReference"/>
        </w:rPr>
        <w:footnoteRef/>
      </w:r>
      <w:r>
        <w:t xml:space="preserve"> </w:t>
      </w:r>
      <w:r w:rsidRPr="00522178">
        <w:rPr>
          <w:i/>
          <w:iCs/>
          <w:color w:val="000000" w:themeColor="text1"/>
          <w:lang w:val="en"/>
        </w:rPr>
        <w:t>20</w:t>
      </w:r>
      <w:r>
        <w:rPr>
          <w:i/>
          <w:iCs/>
          <w:color w:val="000000" w:themeColor="text1"/>
          <w:lang w:val="en"/>
        </w:rPr>
        <w:t>17</w:t>
      </w:r>
      <w:r>
        <w:rPr>
          <w:color w:val="000000" w:themeColor="text1"/>
          <w:lang w:val="en"/>
        </w:rPr>
        <w:t xml:space="preserve"> </w:t>
      </w:r>
      <w:r w:rsidRPr="00961622">
        <w:rPr>
          <w:i/>
          <w:iCs/>
        </w:rPr>
        <w:t>Cumulus Licensing</w:t>
      </w:r>
      <w:r>
        <w:rPr>
          <w:i/>
          <w:iCs/>
        </w:rPr>
        <w:t xml:space="preserve"> LLC, </w:t>
      </w:r>
      <w:r>
        <w:t xml:space="preserve">32 FCC </w:t>
      </w:r>
      <w:r>
        <w:t>Rcd</w:t>
      </w:r>
      <w:r>
        <w:t xml:space="preserve"> at 10288-9.</w:t>
      </w:r>
    </w:p>
  </w:footnote>
  <w:footnote w:id="37">
    <w:p w:rsidR="00831FD4" w14:paraId="16A44EBC" w14:textId="4A74DDE1">
      <w:pPr>
        <w:pStyle w:val="FootnoteText"/>
      </w:pPr>
      <w:r w:rsidRPr="00136D09">
        <w:rPr>
          <w:rStyle w:val="FootnoteReference"/>
        </w:rPr>
        <w:footnoteRef/>
      </w:r>
      <w:r w:rsidRPr="00136D09">
        <w:t xml:space="preserve"> </w:t>
      </w:r>
      <w:r w:rsidRPr="00824FFF">
        <w:rPr>
          <w:i/>
          <w:iCs/>
        </w:rPr>
        <w:t>See</w:t>
      </w:r>
      <w:r w:rsidRPr="00136D09">
        <w:t xml:space="preserve"> </w:t>
      </w:r>
      <w:r w:rsidRPr="00136D09">
        <w:rPr>
          <w:i/>
          <w:iCs/>
        </w:rPr>
        <w:t xml:space="preserve">Cumulus Radio LLC, </w:t>
      </w:r>
      <w:r>
        <w:rPr>
          <w:i/>
          <w:iCs/>
        </w:rPr>
        <w:t xml:space="preserve">et al., </w:t>
      </w:r>
      <w:r w:rsidRPr="00136D09">
        <w:t xml:space="preserve">Notice of Apparent Liability for Forfeiture, 34 FCC </w:t>
      </w:r>
      <w:r w:rsidRPr="00136D09">
        <w:t>Rcd</w:t>
      </w:r>
      <w:r w:rsidRPr="00136D09">
        <w:t xml:space="preserve"> 7289 (2019), </w:t>
      </w:r>
      <w:r w:rsidRPr="00136D09">
        <w:rPr>
          <w:i/>
          <w:iCs/>
        </w:rPr>
        <w:t>aff’d,</w:t>
      </w:r>
      <w:r w:rsidRPr="00136D09">
        <w:t xml:space="preserve"> </w:t>
      </w:r>
      <w:r w:rsidRPr="00136D09">
        <w:rPr>
          <w:i/>
          <w:iCs/>
        </w:rPr>
        <w:t>Forfeiture Order</w:t>
      </w:r>
      <w:r w:rsidRPr="00136D09">
        <w:t xml:space="preserve">, 36 FCC </w:t>
      </w:r>
      <w:r w:rsidRPr="00136D09">
        <w:t>Rcd</w:t>
      </w:r>
      <w:r w:rsidRPr="00136D09">
        <w:t xml:space="preserve"> 738 (2021) (sponsorship ID violations; violation of Consent Decree); </w:t>
      </w:r>
      <w:r w:rsidRPr="00136D09">
        <w:rPr>
          <w:i/>
          <w:iCs/>
        </w:rPr>
        <w:t xml:space="preserve">Cumulus Media New Holdings Inc., </w:t>
      </w:r>
      <w:r w:rsidRPr="00136D09">
        <w:t xml:space="preserve">Order and Consent Decree, 2020 WL 4282110 (MB 2020) (political file violations); </w:t>
      </w:r>
      <w:r w:rsidRPr="00136D09">
        <w:rPr>
          <w:i/>
        </w:rPr>
        <w:t>Radio License Holding CBC, LLC</w:t>
      </w:r>
      <w:r w:rsidRPr="00136D09">
        <w:rPr>
          <w:i/>
          <w:iCs/>
        </w:rPr>
        <w:t>; Cumulus Radio Corporation</w:t>
      </w:r>
      <w:r w:rsidRPr="00136D09">
        <w:t xml:space="preserve">, Order and Consent Decree, 31 FCC </w:t>
      </w:r>
      <w:r w:rsidRPr="00136D09">
        <w:t>Rcd</w:t>
      </w:r>
      <w:r w:rsidRPr="00136D09">
        <w:t xml:space="preserve"> 3 (EB 2016) (sponsorship ID); </w:t>
      </w:r>
      <w:r w:rsidRPr="00136D09">
        <w:rPr>
          <w:rStyle w:val="Emphasis"/>
        </w:rPr>
        <w:t>Radio</w:t>
      </w:r>
      <w:r w:rsidRPr="00136D09">
        <w:rPr>
          <w:rStyle w:val="Emphasis"/>
          <w:u w:val="single"/>
        </w:rPr>
        <w:t xml:space="preserve"> </w:t>
      </w:r>
      <w:r w:rsidRPr="00136D09">
        <w:rPr>
          <w:rStyle w:val="Emphasis"/>
        </w:rPr>
        <w:t>License Holding XI, LLC</w:t>
      </w:r>
      <w:r w:rsidRPr="00136D09">
        <w:t xml:space="preserve">, Notice of Apparent Liability for Forfeiture, </w:t>
      </w:r>
      <w:r w:rsidRPr="00136D09">
        <w:rPr>
          <w:rStyle w:val="cosearchterm"/>
        </w:rPr>
        <w:t>27 FCC</w:t>
      </w:r>
      <w:r w:rsidRPr="00136D09">
        <w:t xml:space="preserve"> </w:t>
      </w:r>
      <w:r w:rsidRPr="00136D09">
        <w:rPr>
          <w:rStyle w:val="cosearchterm"/>
        </w:rPr>
        <w:t>Rcd</w:t>
      </w:r>
      <w:r w:rsidRPr="00136D09">
        <w:t xml:space="preserve"> </w:t>
      </w:r>
      <w:r w:rsidRPr="00136D09">
        <w:rPr>
          <w:rStyle w:val="cosearchterm"/>
        </w:rPr>
        <w:t xml:space="preserve">930 </w:t>
      </w:r>
      <w:r w:rsidRPr="00136D09">
        <w:t xml:space="preserve">(2012), </w:t>
      </w:r>
      <w:r w:rsidRPr="00136D09">
        <w:rPr>
          <w:rStyle w:val="Emphasis"/>
        </w:rPr>
        <w:t>aff’d</w:t>
      </w:r>
      <w:r w:rsidRPr="00136D09">
        <w:t xml:space="preserve">, Forfeiture Order, 29 FCC </w:t>
      </w:r>
      <w:r w:rsidRPr="00136D09">
        <w:t>Rcd</w:t>
      </w:r>
      <w:r w:rsidRPr="00136D09">
        <w:t xml:space="preserve"> 1623 (2014) (sponsorship ID); </w:t>
      </w:r>
      <w:r w:rsidRPr="00136D09">
        <w:rPr>
          <w:rStyle w:val="cosearchterm"/>
          <w:bCs/>
          <w:i/>
          <w:iCs/>
        </w:rPr>
        <w:t xml:space="preserve">Cumulus Licensing LLC, </w:t>
      </w:r>
      <w:r w:rsidRPr="00136D09">
        <w:rPr>
          <w:rStyle w:val="cosearchterm"/>
          <w:bCs/>
        </w:rPr>
        <w:t xml:space="preserve">Notice of Apparent Liability for Forfeiture, 26 FCC </w:t>
      </w:r>
      <w:r w:rsidRPr="00136D09">
        <w:rPr>
          <w:rStyle w:val="cosearchterm"/>
          <w:bCs/>
        </w:rPr>
        <w:t>Rcd</w:t>
      </w:r>
      <w:r w:rsidRPr="00136D09">
        <w:rPr>
          <w:rStyle w:val="cosearchterm"/>
          <w:bCs/>
        </w:rPr>
        <w:t xml:space="preserve"> 2102 (EB 2011) (fail</w:t>
      </w:r>
      <w:r>
        <w:rPr>
          <w:rStyle w:val="cosearchterm"/>
          <w:bCs/>
        </w:rPr>
        <w:t>ure</w:t>
      </w:r>
      <w:r w:rsidRPr="00136D09">
        <w:rPr>
          <w:rStyle w:val="cosearchterm"/>
          <w:bCs/>
        </w:rPr>
        <w:t xml:space="preserve"> to maintain and make available quarterly issues/programs lists in public inspection file); </w:t>
      </w:r>
      <w:r w:rsidRPr="00136D09">
        <w:rPr>
          <w:rStyle w:val="cosearchterm"/>
          <w:bCs/>
          <w:i/>
          <w:iCs/>
        </w:rPr>
        <w:t xml:space="preserve">Cumulus </w:t>
      </w:r>
      <w:r w:rsidRPr="00136D09">
        <w:rPr>
          <w:rStyle w:val="Emphasis"/>
        </w:rPr>
        <w:t>Licensing LLC</w:t>
      </w:r>
      <w:r w:rsidRPr="00136D09">
        <w:rPr>
          <w:snapToGrid w:val="0"/>
        </w:rPr>
        <w:t xml:space="preserve">, Notice of Apparent Liability for </w:t>
      </w:r>
      <w:r w:rsidRPr="00136D09">
        <w:rPr>
          <w:rStyle w:val="cosearchterm"/>
          <w:bCs/>
        </w:rPr>
        <w:t>Forfeiture</w:t>
      </w:r>
      <w:r w:rsidRPr="00136D09">
        <w:rPr>
          <w:snapToGrid w:val="0"/>
        </w:rPr>
        <w:t xml:space="preserve">, 24 FCC </w:t>
      </w:r>
      <w:r w:rsidRPr="00136D09">
        <w:rPr>
          <w:snapToGrid w:val="0"/>
        </w:rPr>
        <w:t>Rcd</w:t>
      </w:r>
      <w:r w:rsidRPr="00136D09">
        <w:rPr>
          <w:snapToGrid w:val="0"/>
        </w:rPr>
        <w:t xml:space="preserve"> 1667 (EB 2009) </w:t>
      </w:r>
      <w:r w:rsidRPr="00824FFF">
        <w:rPr>
          <w:rStyle w:val="Emphasis"/>
          <w:i w:val="0"/>
          <w:iCs w:val="0"/>
        </w:rPr>
        <w:t>(broadcast of telephone conversations)</w:t>
      </w:r>
      <w:r w:rsidRPr="00136D09">
        <w:rPr>
          <w:rStyle w:val="Emphasis"/>
        </w:rPr>
        <w:t xml:space="preserve">; </w:t>
      </w:r>
      <w:r w:rsidRPr="00136D09">
        <w:rPr>
          <w:rStyle w:val="cosearchterm"/>
          <w:bCs/>
          <w:i/>
          <w:iCs/>
        </w:rPr>
        <w:t xml:space="preserve">Cumulus </w:t>
      </w:r>
      <w:r w:rsidRPr="00136D09">
        <w:rPr>
          <w:rStyle w:val="Emphasis"/>
        </w:rPr>
        <w:t>Licensing Corp.</w:t>
      </w:r>
      <w:r w:rsidRPr="00136D09">
        <w:rPr>
          <w:snapToGrid w:val="0"/>
        </w:rPr>
        <w:t xml:space="preserve">, Memorandum Opinion and Order, 23 FCC </w:t>
      </w:r>
      <w:r w:rsidRPr="00136D09">
        <w:rPr>
          <w:snapToGrid w:val="0"/>
        </w:rPr>
        <w:t>Rcd</w:t>
      </w:r>
      <w:r w:rsidRPr="00136D09">
        <w:rPr>
          <w:snapToGrid w:val="0"/>
        </w:rPr>
        <w:t xml:space="preserve"> 5286 (2008), </w:t>
      </w:r>
      <w:r w:rsidRPr="00136D09">
        <w:rPr>
          <w:i/>
          <w:iCs/>
          <w:snapToGrid w:val="0"/>
        </w:rPr>
        <w:t>aff’d Cumulus Licensing Corp.</w:t>
      </w:r>
      <w:r w:rsidRPr="00136D09">
        <w:rPr>
          <w:snapToGrid w:val="0"/>
        </w:rPr>
        <w:t>, Memorandum Opinion and Order</w:t>
      </w:r>
      <w:r>
        <w:rPr>
          <w:snapToGrid w:val="0"/>
        </w:rPr>
        <w:t xml:space="preserve">, 21 </w:t>
      </w:r>
      <w:r w:rsidRPr="00136D09">
        <w:rPr>
          <w:snapToGrid w:val="0"/>
        </w:rPr>
        <w:t xml:space="preserve">FCC </w:t>
      </w:r>
      <w:r w:rsidRPr="00136D09">
        <w:rPr>
          <w:snapToGrid w:val="0"/>
        </w:rPr>
        <w:t>Rcd</w:t>
      </w:r>
      <w:r w:rsidRPr="00136D09">
        <w:rPr>
          <w:snapToGrid w:val="0"/>
        </w:rPr>
        <w:t xml:space="preserve"> 1032 (EB 2006), </w:t>
      </w:r>
      <w:r w:rsidRPr="00136D09">
        <w:rPr>
          <w:i/>
          <w:iCs/>
          <w:snapToGrid w:val="0"/>
        </w:rPr>
        <w:t>aff’d Cumulus Licensing Corp.</w:t>
      </w:r>
      <w:r w:rsidRPr="00136D09">
        <w:rPr>
          <w:snapToGrid w:val="0"/>
        </w:rPr>
        <w:t xml:space="preserve">, Forfeiture Order, 19 FCC </w:t>
      </w:r>
      <w:r w:rsidRPr="00136D09">
        <w:rPr>
          <w:snapToGrid w:val="0"/>
        </w:rPr>
        <w:t>Rcd</w:t>
      </w:r>
      <w:r w:rsidRPr="00136D09">
        <w:rPr>
          <w:snapToGrid w:val="0"/>
        </w:rPr>
        <w:t xml:space="preserve"> 24815 (EB 2004) (antenna painting); </w:t>
      </w:r>
      <w:r w:rsidRPr="00136D09">
        <w:rPr>
          <w:i/>
          <w:iCs/>
        </w:rPr>
        <w:t>Cumulus Licensing LLC</w:t>
      </w:r>
      <w:r w:rsidRPr="00136D09">
        <w:t xml:space="preserve">, Memorandum Opinion and Order and Notice of Apparent Liability for Forfeiture, 22 FCC </w:t>
      </w:r>
      <w:r w:rsidRPr="00136D09">
        <w:t>Rcd</w:t>
      </w:r>
      <w:r w:rsidRPr="00136D09">
        <w:t xml:space="preserve"> 13711 (MB 2007) (false certification in renewal application); </w:t>
      </w:r>
      <w:r w:rsidRPr="00136D09">
        <w:rPr>
          <w:rStyle w:val="Emphasis"/>
        </w:rPr>
        <w:t xml:space="preserve">Cumulus Licensing Corp., </w:t>
      </w:r>
      <w:r w:rsidRPr="00824FFF">
        <w:rPr>
          <w:rStyle w:val="Emphasis"/>
          <w:i w:val="0"/>
          <w:iCs w:val="0"/>
        </w:rPr>
        <w:t xml:space="preserve">Notice of Apparent Liability for Forfeiture, 19 FCC </w:t>
      </w:r>
      <w:r w:rsidRPr="00824FFF">
        <w:rPr>
          <w:rStyle w:val="Emphasis"/>
          <w:i w:val="0"/>
          <w:iCs w:val="0"/>
        </w:rPr>
        <w:t>Rcd</w:t>
      </w:r>
      <w:r w:rsidRPr="00824FFF">
        <w:rPr>
          <w:rStyle w:val="Emphasis"/>
          <w:i w:val="0"/>
          <w:iCs w:val="0"/>
        </w:rPr>
        <w:t xml:space="preserve"> 2753 (EB 2004) (broadcast of telephone conversations)</w:t>
      </w:r>
      <w:r w:rsidRPr="00136D09">
        <w:rPr>
          <w:rStyle w:val="Emphasis"/>
        </w:rPr>
        <w:t>; Cumulus Licensing Corp.,</w:t>
      </w:r>
      <w:r w:rsidRPr="00824FFF">
        <w:rPr>
          <w:rStyle w:val="Emphasis"/>
          <w:i w:val="0"/>
          <w:iCs w:val="0"/>
        </w:rPr>
        <w:t xml:space="preserve"> Forfeiture Order, 18 FCC </w:t>
      </w:r>
      <w:r w:rsidRPr="00824FFF">
        <w:rPr>
          <w:rStyle w:val="Emphasis"/>
          <w:i w:val="0"/>
          <w:iCs w:val="0"/>
        </w:rPr>
        <w:t>Rcd</w:t>
      </w:r>
      <w:r w:rsidRPr="00824FFF">
        <w:rPr>
          <w:rStyle w:val="Emphasis"/>
          <w:i w:val="0"/>
          <w:iCs w:val="0"/>
        </w:rPr>
        <w:t xml:space="preserve"> 21234 (EB 2003) (failure to maintain </w:t>
      </w:r>
      <w:r>
        <w:rPr>
          <w:rStyle w:val="Emphasis"/>
          <w:i w:val="0"/>
          <w:iCs w:val="0"/>
        </w:rPr>
        <w:t>fencing</w:t>
      </w:r>
      <w:r w:rsidRPr="00824FFF">
        <w:rPr>
          <w:rStyle w:val="Emphasis"/>
          <w:i w:val="0"/>
          <w:iCs w:val="0"/>
        </w:rPr>
        <w:t xml:space="preserve"> around AM antenna)</w:t>
      </w:r>
      <w:r w:rsidRPr="00136D09">
        <w:rPr>
          <w:rStyle w:val="Emphasis"/>
        </w:rPr>
        <w:t>.</w:t>
      </w:r>
    </w:p>
  </w:footnote>
  <w:footnote w:id="38">
    <w:p w:rsidR="00831FD4" w:rsidRPr="00BA5682" w14:paraId="374FC7CF" w14:textId="2A1AF08D">
      <w:pPr>
        <w:pStyle w:val="FootnoteText"/>
        <w:rPr>
          <w:i/>
          <w:iCs/>
        </w:rPr>
      </w:pPr>
      <w:r>
        <w:rPr>
          <w:rStyle w:val="FootnoteReference"/>
        </w:rPr>
        <w:footnoteRef/>
      </w:r>
      <w:r>
        <w:t xml:space="preserve"> </w:t>
      </w:r>
      <w:r>
        <w:rPr>
          <w:i/>
          <w:iCs/>
        </w:rPr>
        <w:t>Cumulus Radio, LLC, Forfeiture Order</w:t>
      </w:r>
      <w:r w:rsidRPr="00BA5682">
        <w:t xml:space="preserve">, 36 FCC </w:t>
      </w:r>
      <w:r w:rsidRPr="00BA5682">
        <w:t>Rcd</w:t>
      </w:r>
      <w:r w:rsidRPr="00BA5682">
        <w:t xml:space="preserve"> 738</w:t>
      </w:r>
      <w:r>
        <w:t>, 746</w:t>
      </w:r>
      <w:r w:rsidRPr="00BA5682">
        <w:t xml:space="preserve"> (2021)</w:t>
      </w:r>
      <w:r w:rsidR="000116B4">
        <w:t>.</w:t>
      </w:r>
    </w:p>
  </w:footnote>
  <w:footnote w:id="39">
    <w:p w:rsidR="00831FD4" w14:paraId="1F7009EC" w14:textId="668B2331">
      <w:pPr>
        <w:pStyle w:val="FootnoteText"/>
      </w:pPr>
      <w:r>
        <w:rPr>
          <w:rStyle w:val="FootnoteReference"/>
        </w:rPr>
        <w:footnoteRef/>
      </w:r>
      <w:r>
        <w:t xml:space="preserve"> </w:t>
      </w:r>
      <w:r w:rsidRPr="001D7F21">
        <w:t>https://www.cumulusmedia.com/about-us/</w:t>
      </w:r>
      <w:r w:rsidR="000116B4">
        <w:t>.</w:t>
      </w:r>
    </w:p>
  </w:footnote>
  <w:footnote w:id="40">
    <w:p w:rsidR="00831FD4" w:rsidP="00910240" w14:paraId="6324D5C9" w14:textId="77777777">
      <w:pPr>
        <w:pStyle w:val="FootnoteText"/>
      </w:pPr>
      <w:r>
        <w:rPr>
          <w:rStyle w:val="FootnoteReference"/>
        </w:rPr>
        <w:footnoteRef/>
      </w:r>
      <w:r>
        <w:t xml:space="preserve"> </w:t>
      </w:r>
      <w:r w:rsidRPr="00AA35F5">
        <w:rPr>
          <w:i/>
        </w:rPr>
        <w:t>See</w:t>
      </w:r>
      <w:r>
        <w:t xml:space="preserve"> </w:t>
      </w:r>
      <w:r w:rsidRPr="00522178">
        <w:rPr>
          <w:i/>
          <w:iCs/>
          <w:color w:val="000000" w:themeColor="text1"/>
          <w:lang w:val="en"/>
        </w:rPr>
        <w:t>20</w:t>
      </w:r>
      <w:r>
        <w:rPr>
          <w:i/>
          <w:iCs/>
          <w:color w:val="000000" w:themeColor="text1"/>
          <w:lang w:val="en"/>
        </w:rPr>
        <w:t>17</w:t>
      </w:r>
      <w:r>
        <w:rPr>
          <w:color w:val="000000" w:themeColor="text1"/>
          <w:lang w:val="en"/>
        </w:rPr>
        <w:t xml:space="preserve"> </w:t>
      </w:r>
      <w:r w:rsidRPr="00961622">
        <w:rPr>
          <w:i/>
          <w:iCs/>
        </w:rPr>
        <w:t>Cumulus Licensing</w:t>
      </w:r>
      <w:r>
        <w:rPr>
          <w:i/>
          <w:iCs/>
        </w:rPr>
        <w:t xml:space="preserve"> LLC, </w:t>
      </w:r>
      <w:r>
        <w:t xml:space="preserve">32 FCC </w:t>
      </w:r>
      <w:r>
        <w:t>Rcd</w:t>
      </w:r>
      <w:r>
        <w:t xml:space="preserve"> at 10288 (finding that Cumulus “has a history of violations relating to the EEO rules”).</w:t>
      </w:r>
    </w:p>
  </w:footnote>
  <w:footnote w:id="41">
    <w:p w:rsidR="00831FD4" w:rsidP="009F69FF" w14:paraId="69D44DFE" w14:textId="7653FD35">
      <w:pPr>
        <w:pStyle w:val="FootnoteText"/>
      </w:pPr>
      <w:r>
        <w:rPr>
          <w:rStyle w:val="FootnoteReference"/>
        </w:rPr>
        <w:footnoteRef/>
      </w:r>
      <w:r>
        <w:t xml:space="preserve"> 47 U.S.C. </w:t>
      </w:r>
      <w:r w:rsidRPr="000E5435">
        <w:t>§</w:t>
      </w:r>
      <w:r>
        <w:t xml:space="preserve"> 503(b)(2)(E); </w:t>
      </w:r>
      <w:r w:rsidRPr="00910B67">
        <w:t>47 CFR § 1.80(b)(</w:t>
      </w:r>
      <w:r w:rsidR="000F2961">
        <w:t>10</w:t>
      </w:r>
      <w:r w:rsidRPr="00910B67">
        <w:t>), Note to paragraph (b)(</w:t>
      </w:r>
      <w:r w:rsidR="000F2961">
        <w:t>10</w:t>
      </w:r>
      <w:r w:rsidRPr="00910B67">
        <w:t>)</w:t>
      </w:r>
      <w:r>
        <w:t xml:space="preserve"> (articulating criteria for upward adjustments such as egregious misconduct, ability to pay/relative disincentive, intentional violation, substantial harm, prior violations of any FCC requirements, substantial economic gain, and repeated or continuous violation).  </w:t>
      </w:r>
      <w:r w:rsidRPr="00AA35F5">
        <w:rPr>
          <w:i/>
          <w:snapToGrid w:val="0"/>
          <w:kern w:val="28"/>
        </w:rPr>
        <w:t>See also</w:t>
      </w:r>
      <w:r w:rsidRPr="00AA35F5">
        <w:rPr>
          <w:snapToGrid w:val="0"/>
          <w:kern w:val="28"/>
        </w:rPr>
        <w:t xml:space="preserve"> </w:t>
      </w:r>
      <w:r w:rsidRPr="00AA35F5">
        <w:rPr>
          <w:i/>
          <w:iCs/>
          <w:snapToGrid w:val="0"/>
          <w:color w:val="000000" w:themeColor="text1"/>
          <w:kern w:val="28"/>
          <w:lang w:val="en"/>
        </w:rPr>
        <w:t>2017</w:t>
      </w:r>
      <w:r w:rsidRPr="00AA35F5">
        <w:rPr>
          <w:snapToGrid w:val="0"/>
          <w:color w:val="000000" w:themeColor="text1"/>
          <w:kern w:val="28"/>
          <w:lang w:val="en"/>
        </w:rPr>
        <w:t xml:space="preserve"> </w:t>
      </w:r>
      <w:r w:rsidRPr="00AA35F5">
        <w:rPr>
          <w:i/>
          <w:iCs/>
          <w:snapToGrid w:val="0"/>
          <w:kern w:val="28"/>
        </w:rPr>
        <w:t xml:space="preserve">Cumulus Licensing LLC, </w:t>
      </w:r>
      <w:r w:rsidRPr="00AA35F5">
        <w:rPr>
          <w:snapToGrid w:val="0"/>
          <w:kern w:val="28"/>
        </w:rPr>
        <w:t xml:space="preserve">32 FCC </w:t>
      </w:r>
      <w:r w:rsidRPr="00AA35F5">
        <w:rPr>
          <w:snapToGrid w:val="0"/>
          <w:kern w:val="28"/>
        </w:rPr>
        <w:t>Rcd</w:t>
      </w:r>
      <w:r w:rsidRPr="00AA35F5">
        <w:rPr>
          <w:snapToGrid w:val="0"/>
          <w:kern w:val="28"/>
        </w:rPr>
        <w:t xml:space="preserve"> at 1028</w:t>
      </w:r>
      <w:r>
        <w:t>8-89</w:t>
      </w:r>
      <w:r w:rsidRPr="00AA35F5">
        <w:rPr>
          <w:snapToGrid w:val="0"/>
          <w:kern w:val="28"/>
        </w:rPr>
        <w:t xml:space="preserve"> (</w:t>
      </w:r>
      <w:r>
        <w:t>FCC</w:t>
      </w:r>
      <w:r w:rsidRPr="00AA35F5">
        <w:rPr>
          <w:snapToGrid w:val="0"/>
          <w:kern w:val="28"/>
        </w:rPr>
        <w:t xml:space="preserve"> added an upward adjustment of $4000 for Cumulus’ history of prior offenses</w:t>
      </w:r>
      <w:r>
        <w:t>).</w:t>
      </w:r>
    </w:p>
  </w:footnote>
  <w:footnote w:id="42">
    <w:p w:rsidR="00831FD4" w14:paraId="2E2CF1A5" w14:textId="3247C288">
      <w:pPr>
        <w:pStyle w:val="FootnoteText"/>
      </w:pPr>
      <w:r>
        <w:rPr>
          <w:rStyle w:val="FootnoteReference"/>
        </w:rPr>
        <w:footnoteRef/>
      </w:r>
      <w:r>
        <w:t xml:space="preserve"> </w:t>
      </w:r>
      <w:r w:rsidRPr="004D0B4A">
        <w:rPr>
          <w:i/>
          <w:iCs/>
        </w:rPr>
        <w:t>2008 Cumulus Licensing LLC</w:t>
      </w:r>
      <w:r w:rsidRPr="00811940">
        <w:t xml:space="preserve">, 23 FCC </w:t>
      </w:r>
      <w:r w:rsidRPr="00811940">
        <w:t>Rcd</w:t>
      </w:r>
      <w:r w:rsidRPr="00811940">
        <w:t xml:space="preserve"> at 18436</w:t>
      </w:r>
      <w:r>
        <w:t xml:space="preserve"> (FCC proposed a $2,000 forfeiture for Cumulus’ violation of section 73.2080(c)(3) for failing to </w:t>
      </w:r>
      <w:r w:rsidR="008F72E5">
        <w:t>analyze</w:t>
      </w:r>
      <w:r>
        <w:t xml:space="preserve"> its EEO program for two years); </w:t>
      </w:r>
      <w:r w:rsidRPr="004D0B4A">
        <w:rPr>
          <w:i/>
          <w:iCs/>
        </w:rPr>
        <w:t>2017 Cumulus Licensing LLC</w:t>
      </w:r>
      <w:r w:rsidRPr="00811940">
        <w:t xml:space="preserve">, 32 FCC </w:t>
      </w:r>
      <w:r w:rsidRPr="00811940">
        <w:t>Rcd</w:t>
      </w:r>
      <w:r w:rsidRPr="00811940">
        <w:t xml:space="preserve"> at 10288</w:t>
      </w:r>
      <w:r>
        <w:t xml:space="preserve"> (FCC proposed a $2,000 forfeiture for Cumulus’ violation of section 73.2080(c)(3) for failing to </w:t>
      </w:r>
      <w:r w:rsidR="008F72E5">
        <w:t>analyze</w:t>
      </w:r>
      <w:r>
        <w:t xml:space="preserve"> its EEO program for two years).  </w:t>
      </w:r>
    </w:p>
  </w:footnote>
  <w:footnote w:id="43">
    <w:p w:rsidR="00831FD4" w:rsidRPr="003A7D98" w14:paraId="764842FB" w14:textId="15F21965">
      <w:pPr>
        <w:pStyle w:val="FootnoteText"/>
      </w:pPr>
      <w:r>
        <w:rPr>
          <w:rStyle w:val="FootnoteReference"/>
        </w:rPr>
        <w:footnoteRef/>
      </w:r>
      <w:r>
        <w:t xml:space="preserve"> </w:t>
      </w:r>
      <w:r>
        <w:rPr>
          <w:i/>
          <w:iCs/>
          <w:color w:val="000000" w:themeColor="text1"/>
          <w:lang w:val="en"/>
        </w:rPr>
        <w:t>Id</w:t>
      </w:r>
      <w:r>
        <w:t>.</w:t>
      </w:r>
    </w:p>
  </w:footnote>
  <w:footnote w:id="44">
    <w:p w:rsidR="00831FD4" w:rsidP="00EB191A" w14:paraId="48961C80" w14:textId="0F25E433">
      <w:pPr>
        <w:pStyle w:val="FootnoteText"/>
      </w:pPr>
      <w:r>
        <w:rPr>
          <w:rStyle w:val="FootnoteReference"/>
        </w:rPr>
        <w:footnoteRef/>
      </w:r>
      <w:r>
        <w:t xml:space="preserve"> 47 U.S.C. </w:t>
      </w:r>
      <w:r w:rsidRPr="000E5435">
        <w:t>§</w:t>
      </w:r>
      <w:r>
        <w:t xml:space="preserve"> 503(b)(2)(E); </w:t>
      </w:r>
      <w:r w:rsidRPr="00910B67">
        <w:t>47 CFR § 1.80(b)(</w:t>
      </w:r>
      <w:r w:rsidR="000F2961">
        <w:t>10</w:t>
      </w:r>
      <w:r w:rsidRPr="00910B67">
        <w:t>)</w:t>
      </w:r>
      <w:r>
        <w:t>.</w:t>
      </w:r>
    </w:p>
  </w:footnote>
  <w:footnote w:id="45">
    <w:p w:rsidR="00831FD4" w:rsidP="00861612" w14:paraId="4064CC2C" w14:textId="3BB03B70">
      <w:pPr>
        <w:pStyle w:val="FootnoteText"/>
      </w:pPr>
      <w:r>
        <w:rPr>
          <w:rStyle w:val="FootnoteReference"/>
        </w:rPr>
        <w:footnoteRef/>
      </w:r>
      <w:r>
        <w:t xml:space="preserve"> 47 U.S.C. </w:t>
      </w:r>
      <w:r w:rsidRPr="000E5435">
        <w:t>§</w:t>
      </w:r>
      <w:r>
        <w:t xml:space="preserve"> 503(b)(2)(E); </w:t>
      </w:r>
      <w:r w:rsidRPr="00910B67">
        <w:t>47 CFR § 1.80(b)(</w:t>
      </w:r>
      <w:r w:rsidR="000F2961">
        <w:t>10</w:t>
      </w:r>
      <w:r w:rsidRPr="00910B67">
        <w:t>)</w:t>
      </w:r>
      <w:r>
        <w:t>.</w:t>
      </w:r>
    </w:p>
  </w:footnote>
  <w:footnote w:id="46">
    <w:p w:rsidR="00010209" w:rsidP="00010209" w14:paraId="4DDA793B" w14:textId="77777777">
      <w:pPr>
        <w:pStyle w:val="FootnoteText"/>
      </w:pPr>
      <w:r>
        <w:rPr>
          <w:rStyle w:val="FootnoteReference"/>
        </w:rPr>
        <w:footnoteRef/>
      </w:r>
      <w:r>
        <w:t xml:space="preserve"> 47 CFR </w:t>
      </w:r>
      <w:r w:rsidRPr="001A4B17">
        <w:t>§</w:t>
      </w:r>
      <w:r>
        <w:t xml:space="preserve"> </w:t>
      </w:r>
      <w:r w:rsidRPr="00FC7C29">
        <w:rPr>
          <w:szCs w:val="22"/>
        </w:rPr>
        <w:t>73.</w:t>
      </w:r>
      <w:r>
        <w:rPr>
          <w:szCs w:val="22"/>
        </w:rPr>
        <w:t>3526(e)(7).</w:t>
      </w:r>
    </w:p>
  </w:footnote>
  <w:footnote w:id="47">
    <w:p w:rsidR="008844B5" w14:paraId="4F69C24D" w14:textId="7AFD6903">
      <w:pPr>
        <w:pStyle w:val="FootnoteText"/>
      </w:pPr>
      <w:r>
        <w:rPr>
          <w:rStyle w:val="FootnoteReference"/>
        </w:rPr>
        <w:footnoteRef/>
      </w:r>
      <w:r>
        <w:t xml:space="preserve"> 47 CFR </w:t>
      </w:r>
      <w:r w:rsidRPr="000E5435">
        <w:t>§</w:t>
      </w:r>
      <w:r>
        <w:t xml:space="preserve"> </w:t>
      </w:r>
      <w:r w:rsidRPr="000E5435">
        <w:t>73.3526(e)(7</w:t>
      </w:r>
      <w:r>
        <w:t>).</w:t>
      </w:r>
    </w:p>
  </w:footnote>
  <w:footnote w:id="48">
    <w:p w:rsidR="006F4405" w:rsidP="00FD77EF" w14:paraId="1EBFBEC5" w14:textId="17F8AE91">
      <w:pPr>
        <w:rPr>
          <w:sz w:val="20"/>
        </w:rPr>
      </w:pPr>
      <w:r w:rsidRPr="006F4405">
        <w:rPr>
          <w:rStyle w:val="FootnoteReference"/>
        </w:rPr>
        <w:footnoteRef/>
      </w:r>
      <w:r w:rsidRPr="00E92C26">
        <w:rPr>
          <w:sz w:val="20"/>
        </w:rPr>
        <w:t xml:space="preserve"> </w:t>
      </w:r>
      <w:r w:rsidRPr="00E92C26">
        <w:rPr>
          <w:i/>
          <w:iCs/>
          <w:sz w:val="20"/>
        </w:rPr>
        <w:t>See Cumulus Licensing L.L.C.</w:t>
      </w:r>
      <w:r w:rsidRPr="00E92C26">
        <w:rPr>
          <w:b/>
          <w:bCs/>
          <w:sz w:val="20"/>
        </w:rPr>
        <w:t>,</w:t>
      </w:r>
      <w:r>
        <w:rPr>
          <w:b/>
          <w:bCs/>
          <w:sz w:val="20"/>
        </w:rPr>
        <w:t xml:space="preserve"> </w:t>
      </w:r>
      <w:r w:rsidRPr="00E92C26">
        <w:rPr>
          <w:sz w:val="20"/>
        </w:rPr>
        <w:t>Notice of Apparent Liability for Forfeiture</w:t>
      </w:r>
      <w:r w:rsidRPr="00E92C26">
        <w:rPr>
          <w:i/>
          <w:iCs/>
          <w:sz w:val="20"/>
        </w:rPr>
        <w:t>,</w:t>
      </w:r>
      <w:r w:rsidRPr="00E92C26">
        <w:rPr>
          <w:sz w:val="20"/>
        </w:rPr>
        <w:t xml:space="preserve">23 FCC </w:t>
      </w:r>
      <w:r w:rsidRPr="00E92C26">
        <w:rPr>
          <w:sz w:val="20"/>
        </w:rPr>
        <w:t>Rcd</w:t>
      </w:r>
      <w:r w:rsidRPr="00E92C26">
        <w:rPr>
          <w:sz w:val="20"/>
        </w:rPr>
        <w:t>. 18433</w:t>
      </w:r>
      <w:r w:rsidR="00D12233">
        <w:rPr>
          <w:sz w:val="20"/>
        </w:rPr>
        <w:t>, 18436-37</w:t>
      </w:r>
      <w:r w:rsidRPr="00E92C26">
        <w:rPr>
          <w:sz w:val="20"/>
        </w:rPr>
        <w:t xml:space="preserve"> (2008)</w:t>
      </w:r>
      <w:r w:rsidR="00D12233">
        <w:rPr>
          <w:sz w:val="20"/>
        </w:rPr>
        <w:t xml:space="preserve"> (</w:t>
      </w:r>
      <w:r w:rsidRPr="00403A95" w:rsidR="00D12233">
        <w:rPr>
          <w:sz w:val="20"/>
        </w:rPr>
        <w:t>forfeiture paid</w:t>
      </w:r>
      <w:r w:rsidR="00D12233">
        <w:rPr>
          <w:sz w:val="20"/>
        </w:rPr>
        <w:t>)</w:t>
      </w:r>
      <w:r>
        <w:rPr>
          <w:sz w:val="20"/>
        </w:rPr>
        <w:t>.</w:t>
      </w:r>
      <w:r w:rsidR="00B07B9A">
        <w:rPr>
          <w:sz w:val="20"/>
        </w:rPr>
        <w:t xml:space="preserve">    </w:t>
      </w:r>
    </w:p>
    <w:p w:rsidR="00B07B9A" w:rsidP="00FD77EF" w14:paraId="3A4DAF9E" w14:textId="77777777"/>
  </w:footnote>
  <w:footnote w:id="49">
    <w:p w:rsidR="00831FD4" w:rsidP="005B69FD" w14:paraId="22390855" w14:textId="77777777">
      <w:pPr>
        <w:pStyle w:val="FootnoteText"/>
      </w:pPr>
      <w:r>
        <w:rPr>
          <w:rStyle w:val="FootnoteReference"/>
        </w:rPr>
        <w:footnoteRef/>
      </w:r>
      <w:r>
        <w:t xml:space="preserve"> </w:t>
      </w:r>
      <w:r w:rsidRPr="005A43E6">
        <w:t>LOI Response</w:t>
      </w:r>
      <w:r>
        <w:t>, Response</w:t>
      </w:r>
      <w:r w:rsidRPr="005A43E6">
        <w:t xml:space="preserve"> </w:t>
      </w:r>
      <w:r>
        <w:t xml:space="preserve">to Question </w:t>
      </w:r>
      <w:r w:rsidRPr="005A43E6">
        <w:t>12.</w:t>
      </w:r>
    </w:p>
  </w:footnote>
  <w:footnote w:id="50">
    <w:p w:rsidR="00831FD4" w:rsidP="00672ABD" w14:paraId="67D5E91D" w14:textId="77777777">
      <w:pPr>
        <w:pStyle w:val="FootnoteText"/>
      </w:pPr>
      <w:r>
        <w:rPr>
          <w:rStyle w:val="FootnoteReference"/>
        </w:rPr>
        <w:footnoteRef/>
      </w:r>
      <w:r>
        <w:t xml:space="preserve"> </w:t>
      </w:r>
      <w:r>
        <w:rPr>
          <w:i/>
          <w:iCs/>
        </w:rPr>
        <w:t>Id.</w:t>
      </w:r>
      <w:r>
        <w:t xml:space="preserve"> </w:t>
      </w:r>
    </w:p>
  </w:footnote>
  <w:footnote w:id="51">
    <w:p w:rsidR="00831FD4" w14:paraId="79F79A6D" w14:textId="1B586148">
      <w:pPr>
        <w:pStyle w:val="FootnoteText"/>
      </w:pPr>
      <w:r>
        <w:rPr>
          <w:rStyle w:val="FootnoteReference"/>
        </w:rPr>
        <w:footnoteRef/>
      </w:r>
      <w:r>
        <w:t xml:space="preserve"> </w:t>
      </w:r>
      <w:r w:rsidRPr="00672ABD">
        <w:rPr>
          <w:i/>
          <w:iCs/>
        </w:rPr>
        <w:t>See</w:t>
      </w:r>
      <w:r>
        <w:t xml:space="preserve"> Cumulus Media Reports Operating Results for the Third Quarter 2020, Nov. </w:t>
      </w:r>
      <w:r>
        <w:t xml:space="preserve">5, 2020 at </w:t>
      </w:r>
      <w:hyperlink r:id="rId7" w:history="1">
        <w:r w:rsidRPr="00E7068E">
          <w:rPr>
            <w:rStyle w:val="Hyperlink"/>
          </w:rPr>
          <w:t>https://www.cumulusmedia.com/wp-content/uploads/2020/11/CMLS-2020.09.30-Earnings-Release-FINAL-V2.pdf</w:t>
        </w:r>
      </w:hyperlink>
      <w:r>
        <w:t xml:space="preserve"> (last visited Jan. 2</w:t>
      </w:r>
      <w:r w:rsidR="00EB39CD">
        <w:t>4</w:t>
      </w:r>
      <w:r>
        <w:t>, 202</w:t>
      </w:r>
      <w:r w:rsidR="00EB39CD">
        <w:t>2</w:t>
      </w:r>
      <w:r>
        <w:t xml:space="preserve">).  </w:t>
      </w:r>
      <w:r w:rsidRPr="00672ABD">
        <w:rPr>
          <w:i/>
          <w:iCs/>
        </w:rPr>
        <w:t>See also</w:t>
      </w:r>
      <w:r>
        <w:t xml:space="preserve"> Cumulus Media Reports Operating Results for 2019, Feb. 21, 2020, at </w:t>
      </w:r>
      <w:hyperlink r:id="rId8" w:history="1">
        <w:r w:rsidRPr="00E7068E">
          <w:rPr>
            <w:rStyle w:val="Hyperlink"/>
          </w:rPr>
          <w:t>https://www.cumulusmedia.com/wp-content/uploads/2020/02/CMLS_12312019_Earnings_Release_Final-1.pdf</w:t>
        </w:r>
      </w:hyperlink>
      <w:r>
        <w:t xml:space="preserve"> (last visited Jan. 2</w:t>
      </w:r>
      <w:r w:rsidR="00EB39CD">
        <w:t>4</w:t>
      </w:r>
      <w:r>
        <w:t>, 202</w:t>
      </w:r>
      <w:r w:rsidR="00EB39CD">
        <w:t>2</w:t>
      </w:r>
      <w:r>
        <w:t>), in which Cumulus Media reported net revenue of $1.1 billion for fiscal year 2019.</w:t>
      </w:r>
    </w:p>
  </w:footnote>
  <w:footnote w:id="52">
    <w:p w:rsidR="00831FD4" w14:paraId="32F2D46C" w14:textId="7B8F5EC6">
      <w:pPr>
        <w:pStyle w:val="FootnoteText"/>
      </w:pPr>
      <w:r>
        <w:rPr>
          <w:rStyle w:val="FootnoteReference"/>
        </w:rPr>
        <w:footnoteRef/>
      </w:r>
      <w:r>
        <w:t xml:space="preserve"> 47 CFR </w:t>
      </w:r>
      <w:r w:rsidRPr="001A4B17">
        <w:t>§§</w:t>
      </w:r>
      <w:r>
        <w:t xml:space="preserve"> 73.2080(c)(3), </w:t>
      </w:r>
      <w:r w:rsidR="0096700E">
        <w:t xml:space="preserve">and </w:t>
      </w:r>
      <w:r>
        <w:t>73.2080(c)(6)</w:t>
      </w:r>
      <w:r>
        <w:rPr>
          <w:szCs w:val="22"/>
        </w:rPr>
        <w:t>.</w:t>
      </w:r>
    </w:p>
  </w:footnote>
  <w:footnote w:id="53">
    <w:p w:rsidR="00831FD4" w:rsidP="00BB14C6" w14:paraId="07376658" w14:textId="77777777">
      <w:pPr>
        <w:pStyle w:val="FootnoteText"/>
      </w:pPr>
      <w:r>
        <w:rPr>
          <w:rStyle w:val="FootnoteReference"/>
        </w:rPr>
        <w:footnoteRef/>
      </w:r>
      <w:r>
        <w:t xml:space="preserve"> </w:t>
      </w:r>
      <w:r w:rsidRPr="001A4B17">
        <w:t xml:space="preserve">Any entity that is a “Small Business Concern” as defined in the Small Business Act (Pub. L. 85-536, 72 Stat. 384 (codified as amended at 15 U.S.C. §§ 631 </w:t>
      </w:r>
      <w:r w:rsidRPr="001A4B17">
        <w:rPr>
          <w:i/>
        </w:rPr>
        <w:t>et seq</w:t>
      </w:r>
      <w:r w:rsidRPr="001A4B17">
        <w:t>. (2010)) may avail itself of rights set forth in that Act, including rights set forth in 15 U.S.C. § 657, “Oversight of Regulatory Enforcement,” in addition to other rights set forth herein.</w:t>
      </w:r>
    </w:p>
  </w:footnote>
  <w:footnote w:id="54">
    <w:p w:rsidR="00831FD4" w:rsidRPr="00981F23" w:rsidP="00796CA3" w14:paraId="3B1006E8" w14:textId="77777777">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55">
    <w:p w:rsidR="00831FD4" w:rsidRPr="00981F23" w:rsidP="00796CA3" w14:paraId="70E5C526" w14:textId="77777777">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w:t>
      </w:r>
      <w:r>
        <w:rPr>
          <w:color w:val="000000" w:themeColor="text1"/>
          <w:lang w:val="es-ES"/>
        </w:rPr>
        <w:t>CFR</w:t>
      </w:r>
      <w:r w:rsidRPr="00981F23">
        <w:rPr>
          <w:color w:val="000000" w:themeColor="text1"/>
          <w:lang w:val="es-ES"/>
        </w:rPr>
        <w:t xml:space="preserve"> § 1.80.</w:t>
      </w:r>
    </w:p>
  </w:footnote>
  <w:footnote w:id="56">
    <w:p w:rsidR="00831FD4" w:rsidP="007B4949" w14:paraId="39C93EF6" w14:textId="77777777">
      <w:pPr>
        <w:pStyle w:val="FootnoteText"/>
      </w:pPr>
      <w:r>
        <w:rPr>
          <w:rStyle w:val="FootnoteReference"/>
        </w:rPr>
        <w:footnoteRef/>
      </w:r>
      <w:r>
        <w:t xml:space="preserve"> 47 CFR </w:t>
      </w:r>
      <w:r w:rsidRPr="001A4B17">
        <w:t>§§</w:t>
      </w:r>
      <w:r>
        <w:t xml:space="preserve"> 73.2080(c)(3), 73.2080(c)(6), and </w:t>
      </w:r>
      <w:r w:rsidRPr="00FC7C29">
        <w:rPr>
          <w:szCs w:val="22"/>
        </w:rPr>
        <w:t>73.</w:t>
      </w:r>
      <w:r>
        <w:rPr>
          <w:szCs w:val="22"/>
        </w:rPr>
        <w:t>3526(e)(7).</w:t>
      </w:r>
    </w:p>
  </w:footnote>
  <w:footnote w:id="57">
    <w:p w:rsidR="00831FD4" w:rsidRPr="00981F23" w:rsidP="00796CA3" w14:paraId="78813C74" w14:textId="77777777">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Pr>
          <w:color w:val="000000" w:themeColor="text1"/>
        </w:rPr>
        <w:t>CFR</w:t>
      </w:r>
      <w:r w:rsidRPr="00981F23">
        <w:rPr>
          <w:color w:val="000000" w:themeColor="text1"/>
        </w:rPr>
        <w:t xml:space="preserve"> § 1.80.</w:t>
      </w:r>
    </w:p>
  </w:footnote>
  <w:footnote w:id="58">
    <w:p w:rsidR="00831FD4" w:rsidRPr="005476AB" w:rsidP="00EF3B70" w14:paraId="10F92D39" w14:textId="489BD10C">
      <w:pPr>
        <w:pStyle w:val="FootnoteText"/>
      </w:pPr>
      <w:r w:rsidRPr="005476AB">
        <w:rPr>
          <w:rStyle w:val="FootnoteReference"/>
        </w:rPr>
        <w:footnoteRef/>
      </w:r>
      <w:r w:rsidRPr="005476AB">
        <w:t xml:space="preserve"> Payments made using </w:t>
      </w:r>
      <w:r w:rsidR="00153A53">
        <w:t>CORES</w:t>
      </w:r>
      <w:r w:rsidRPr="005476AB">
        <w:t xml:space="preserve"> do not require the submission of an FCC Form 159.</w:t>
      </w:r>
    </w:p>
  </w:footnote>
  <w:footnote w:id="59">
    <w:p w:rsidR="00831FD4" w:rsidRPr="005476AB" w:rsidP="00EF3B70" w14:paraId="42489995" w14:textId="69A0CB59">
      <w:pPr>
        <w:pStyle w:val="FootnoteText"/>
        <w:rPr>
          <w:sz w:val="22"/>
          <w:szCs w:val="22"/>
        </w:rPr>
      </w:pPr>
      <w:r w:rsidRPr="005476AB">
        <w:rPr>
          <w:rStyle w:val="FootnoteReference"/>
        </w:rPr>
        <w:footnoteRef/>
      </w:r>
      <w:r w:rsidRPr="005476AB">
        <w:t xml:space="preserve"> </w:t>
      </w:r>
      <w:r w:rsidRPr="005476AB">
        <w:t>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9" w:history="1">
        <w:r w:rsidRPr="005476AB">
          <w:rPr>
            <w:rStyle w:val="Hyperlink"/>
          </w:rPr>
          <w:t>ARINQUIRIES@fcc.gov</w:t>
        </w:r>
      </w:hyperlink>
      <w:r w:rsidRPr="005476AB">
        <w:t>.</w:t>
      </w:r>
    </w:p>
  </w:footnote>
  <w:footnote w:id="60">
    <w:p w:rsidR="00C4438B" w14:paraId="672EDF9D" w14:textId="42E46E17">
      <w:pPr>
        <w:pStyle w:val="FootnoteText"/>
      </w:pPr>
      <w:r>
        <w:rPr>
          <w:rStyle w:val="FootnoteReference"/>
        </w:rPr>
        <w:footnoteRef/>
      </w:r>
      <w:r>
        <w:t xml:space="preserve"> </w:t>
      </w:r>
      <w:r w:rsidRPr="00AA3370">
        <w:t xml:space="preserve">FCC Form 159 is accessible at </w:t>
      </w:r>
      <w:hyperlink r:id="rId10" w:history="1">
        <w:r w:rsidRPr="00AA3370">
          <w:rPr>
            <w:rStyle w:val="Hyperlink"/>
          </w:rPr>
          <w:t>https://www.fcc.gov/licensing-databases/fees/fcc-remittance-advice-form-159</w:t>
        </w:r>
      </w:hyperlink>
      <w:r w:rsidRPr="00AA3370">
        <w:rPr>
          <w:rStyle w:val="Hyperlink"/>
        </w:rPr>
        <w:t>.</w:t>
      </w:r>
    </w:p>
  </w:footnote>
  <w:footnote w:id="61">
    <w:p w:rsidR="00831FD4" w14:paraId="784F3046" w14:textId="77777777">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62">
    <w:p w:rsidR="00831FD4" w:rsidRPr="00981F23" w:rsidP="00796CA3" w14:paraId="10FBEE16" w14:textId="01D1E786">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Pr>
          <w:color w:val="000000" w:themeColor="text1"/>
        </w:rPr>
        <w:t>CFR</w:t>
      </w:r>
      <w:r w:rsidRPr="00981F23">
        <w:rPr>
          <w:color w:val="000000" w:themeColor="text1"/>
        </w:rPr>
        <w:t xml:space="preserve"> §§ 1.16, 1.80(</w:t>
      </w:r>
      <w:r w:rsidR="00252D83">
        <w:rPr>
          <w:color w:val="000000" w:themeColor="text1"/>
        </w:rPr>
        <w:t>g</w:t>
      </w:r>
      <w:r w:rsidRPr="00981F23">
        <w:rPr>
          <w:color w:val="000000" w:themeColor="text1"/>
        </w:rPr>
        <w:t>)(3).</w:t>
      </w:r>
    </w:p>
  </w:footnote>
  <w:footnote w:id="63">
    <w:p w:rsidR="00831FD4" w14:paraId="2BE970D3" w14:textId="77777777">
      <w:pPr>
        <w:pStyle w:val="FootnoteText"/>
      </w:pPr>
      <w:r>
        <w:rPr>
          <w:rStyle w:val="FootnoteReference"/>
        </w:rPr>
        <w:footnoteRef/>
      </w:r>
      <w:r>
        <w:t xml:space="preserve"> </w:t>
      </w:r>
      <w:r w:rsidRPr="009A58BC">
        <w:t>47 U.S.C. § 503(b)(2)(E).</w:t>
      </w:r>
    </w:p>
  </w:footnote>
  <w:footnote w:id="64">
    <w:p w:rsidR="00831FD4" w14:paraId="359A1649" w14:textId="77777777">
      <w:pPr>
        <w:pStyle w:val="FootnoteText"/>
      </w:pPr>
      <w:r>
        <w:rPr>
          <w:rStyle w:val="FootnoteReference"/>
        </w:rPr>
        <w:footnoteRef/>
      </w:r>
      <w:r>
        <w:t xml:space="preserve"> </w:t>
      </w:r>
      <w:r>
        <w:rPr>
          <w:i/>
          <w:iCs/>
        </w:rPr>
        <w:t xml:space="preserve">See, e.g., Ocean Adrian Hinson, Surry County, North Carolina, </w:t>
      </w:r>
      <w:r>
        <w:t xml:space="preserve">Forfeiture Order, 34 FCC </w:t>
      </w:r>
      <w:r>
        <w:t>Rcd</w:t>
      </w:r>
      <w:r>
        <w:t xml:space="preserve"> 7619, 7621, para. 9 &amp; n.21 (2019); </w:t>
      </w:r>
      <w:r>
        <w:rPr>
          <w:i/>
          <w:iCs/>
          <w:snapToGrid w:val="0"/>
        </w:rPr>
        <w:t>Vearl</w:t>
      </w:r>
      <w:r>
        <w:rPr>
          <w:i/>
          <w:iCs/>
          <w:snapToGrid w:val="0"/>
        </w:rPr>
        <w:t xml:space="preserve"> Pennington and Michael Williamson</w:t>
      </w:r>
      <w:r>
        <w:rPr>
          <w:snapToGrid w:val="0"/>
        </w:rPr>
        <w:t xml:space="preserve">, Forfeiture Order, 34 FCC </w:t>
      </w:r>
      <w:r>
        <w:rPr>
          <w:snapToGrid w:val="0"/>
        </w:rPr>
        <w:t>Rcd</w:t>
      </w:r>
      <w:r>
        <w:rPr>
          <w:snapToGrid w:val="0"/>
        </w:rPr>
        <w:t xml:space="preserve"> 770, paras. 18–21 (2019); </w:t>
      </w:r>
      <w:r>
        <w:rPr>
          <w:i/>
          <w:iCs/>
          <w:snapToGrid w:val="0"/>
        </w:rPr>
        <w:t xml:space="preserve">Fabrice Polynice, Harold </w:t>
      </w:r>
      <w:r>
        <w:rPr>
          <w:i/>
          <w:iCs/>
          <w:snapToGrid w:val="0"/>
        </w:rPr>
        <w:t>Sido</w:t>
      </w:r>
      <w:r>
        <w:rPr>
          <w:i/>
          <w:iCs/>
          <w:snapToGrid w:val="0"/>
        </w:rPr>
        <w:t xml:space="preserve"> and </w:t>
      </w:r>
      <w:r>
        <w:rPr>
          <w:i/>
          <w:iCs/>
          <w:snapToGrid w:val="0"/>
        </w:rPr>
        <w:t>Veronise</w:t>
      </w:r>
      <w:r>
        <w:rPr>
          <w:i/>
          <w:iCs/>
          <w:snapToGrid w:val="0"/>
        </w:rPr>
        <w:t xml:space="preserve"> </w:t>
      </w:r>
      <w:r>
        <w:rPr>
          <w:i/>
          <w:iCs/>
          <w:snapToGrid w:val="0"/>
        </w:rPr>
        <w:t>Sido</w:t>
      </w:r>
      <w:r>
        <w:rPr>
          <w:i/>
          <w:iCs/>
          <w:snapToGrid w:val="0"/>
        </w:rPr>
        <w:t>, North Miami, Florida</w:t>
      </w:r>
      <w:r>
        <w:rPr>
          <w:snapToGrid w:val="0"/>
        </w:rPr>
        <w:t xml:space="preserve">, Forfeiture Order, 33 FCC </w:t>
      </w:r>
      <w:r>
        <w:rPr>
          <w:snapToGrid w:val="0"/>
        </w:rPr>
        <w:t>Rcd</w:t>
      </w:r>
      <w:r>
        <w:rPr>
          <w:snapToGrid w:val="0"/>
        </w:rPr>
        <w:t xml:space="preserve"> 6852, 6860–62, paras. 21–25 (2018); </w:t>
      </w:r>
      <w:r>
        <w:rPr>
          <w:i/>
          <w:iCs/>
        </w:rPr>
        <w:t>Adrian Abramovich, Marketing Strategy Leaders, Inc., and Marketing Leaders, Inc.</w:t>
      </w:r>
      <w:r>
        <w:t xml:space="preserve">, Forfeiture Order, 33 FCC </w:t>
      </w:r>
      <w:r>
        <w:t>Rcd</w:t>
      </w:r>
      <w:r>
        <w:t xml:space="preserve"> 4663, 4678-79, paras. 44-45 (2018); </w:t>
      </w:r>
      <w:r>
        <w:rPr>
          <w:i/>
          <w:iCs/>
        </w:rPr>
        <w:t>Purple Communications, Inc.</w:t>
      </w:r>
      <w:r>
        <w:t xml:space="preserve">, Forfeiture Order, 30 FCC </w:t>
      </w:r>
      <w:r>
        <w:t>Rcd</w:t>
      </w:r>
      <w:r>
        <w:t xml:space="preserve"> 14892, 14903-904, paras. 32-33 (2015); </w:t>
      </w:r>
      <w:r>
        <w:rPr>
          <w:i/>
          <w:iCs/>
          <w:snapToGrid w:val="0"/>
        </w:rPr>
        <w:t>TV Max, Inc., et al</w:t>
      </w:r>
      <w:r>
        <w:rPr>
          <w:snapToGrid w:val="0"/>
        </w:rPr>
        <w:t xml:space="preserve">., Forfeiture Order, 29 FCC </w:t>
      </w:r>
      <w:r>
        <w:rPr>
          <w:snapToGrid w:val="0"/>
        </w:rPr>
        <w:t>Rcd</w:t>
      </w:r>
      <w:r>
        <w:rPr>
          <w:snapToGrid w:val="0"/>
        </w:rPr>
        <w:t xml:space="preserve"> 8648, 8661, para. 25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FD4" w:rsidRPr="00F60397" w:rsidP="00F60397" w14:paraId="6EACCC14" w14:textId="7B3A4F7A">
    <w:pPr>
      <w:tabs>
        <w:tab w:val="center" w:pos="4680"/>
        <w:tab w:val="right" w:pos="9360"/>
      </w:tabs>
    </w:pPr>
    <w:r>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F60397">
      <w:rPr>
        <w:b/>
      </w:rPr>
      <w:tab/>
    </w:r>
    <w:r w:rsidRPr="00F60397">
      <w:rPr>
        <w:b/>
      </w:rPr>
      <w:t>Federal Communications Commission</w:t>
    </w:r>
    <w:r w:rsidRPr="00F60397">
      <w:rPr>
        <w:b/>
      </w:rPr>
      <w:tab/>
    </w:r>
    <w:r w:rsidR="00D82ED1">
      <w:rPr>
        <w:b/>
        <w:spacing w:val="-2"/>
      </w:rPr>
      <w:t>FCC</w:t>
    </w:r>
    <w:r>
      <w:rPr>
        <w:b/>
        <w:spacing w:val="-2"/>
      </w:rPr>
      <w:t xml:space="preserve"> 2</w:t>
    </w:r>
    <w:r w:rsidR="003B3505">
      <w:rPr>
        <w:b/>
        <w:spacing w:val="-2"/>
      </w:rPr>
      <w:t>2</w:t>
    </w:r>
    <w:r w:rsidRPr="00981F23">
      <w:rPr>
        <w:b/>
        <w:spacing w:val="-2"/>
      </w:rPr>
      <w:t>-</w:t>
    </w:r>
    <w:r w:rsidR="00F8183D">
      <w:rPr>
        <w:b/>
        <w:spacing w:val="-2"/>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FD4" w:rsidRPr="00F60397" w:rsidP="007A20EC" w14:paraId="74EDB4B6" w14:textId="03548648">
    <w:pPr>
      <w:tabs>
        <w:tab w:val="center" w:pos="4680"/>
        <w:tab w:val="left" w:pos="7210"/>
        <w:tab w:val="right" w:pos="9360"/>
      </w:tabs>
      <w:spacing w:after="120"/>
    </w:pPr>
    <w:r>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r>
    <w:r w:rsidRPr="00F60397">
      <w:rPr>
        <w:b/>
      </w:rPr>
      <w:t>Federal Communications Commission</w:t>
    </w:r>
    <w:r w:rsidRPr="00F60397">
      <w:rPr>
        <w:b/>
      </w:rPr>
      <w:tab/>
    </w:r>
    <w:r w:rsidR="003B3505">
      <w:rPr>
        <w:b/>
      </w:rPr>
      <w:tab/>
    </w:r>
    <w:r>
      <w:rPr>
        <w:b/>
        <w:spacing w:val="-2"/>
      </w:rPr>
      <w:t>FCC</w:t>
    </w:r>
    <w:r w:rsidRPr="00981F23">
      <w:rPr>
        <w:b/>
        <w:spacing w:val="-2"/>
      </w:rPr>
      <w:t xml:space="preserve"> </w:t>
    </w:r>
    <w:r>
      <w:rPr>
        <w:b/>
        <w:spacing w:val="-2"/>
      </w:rPr>
      <w:t>2</w:t>
    </w:r>
    <w:r w:rsidR="003B3505">
      <w:rPr>
        <w:b/>
        <w:spacing w:val="-2"/>
      </w:rPr>
      <w:t>2</w:t>
    </w:r>
    <w:r w:rsidRPr="00981F23">
      <w:rPr>
        <w:b/>
        <w:spacing w:val="-2"/>
      </w:rPr>
      <w:t>-</w:t>
    </w:r>
    <w:r w:rsidR="00F8183D">
      <w:rPr>
        <w:b/>
        <w:spacing w:val="-2"/>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A4C79DF"/>
    <w:multiLevelType w:val="hybridMultilevel"/>
    <w:tmpl w:val="4F18C2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1F8B5832"/>
    <w:multiLevelType w:val="hybridMultilevel"/>
    <w:tmpl w:val="57C0B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0">
    <w:nsid w:val="248246F3"/>
    <w:multiLevelType w:val="singleLevel"/>
    <w:tmpl w:val="B1F45678"/>
    <w:lvl w:ilvl="0">
      <w:start w:val="1"/>
      <w:numFmt w:val="decimal"/>
      <w:lvlText w:val="%1."/>
      <w:lvlJc w:val="left"/>
      <w:pPr>
        <w:tabs>
          <w:tab w:val="num" w:pos="1080"/>
        </w:tabs>
        <w:ind w:left="0" w:firstLine="720"/>
      </w:pPr>
    </w:lvl>
  </w:abstractNum>
  <w:abstractNum w:abstractNumId="2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2">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7">
    <w:nsid w:val="615E2582"/>
    <w:multiLevelType w:val="hybridMultilevel"/>
    <w:tmpl w:val="EDD0E9C6"/>
    <w:lvl w:ilvl="0">
      <w:start w:val="0"/>
      <w:numFmt w:val="decimal"/>
      <w:lvlText w:val=""/>
      <w:lvlJc w:val="left"/>
      <w:pPr>
        <w:tabs>
          <w:tab w:val="num" w:pos="1080"/>
        </w:tabs>
        <w:ind w:left="1080" w:hanging="360"/>
      </w:pPr>
      <w:rPr>
        <w:rFonts w:ascii="Wingdings" w:hAnsi="Wingdings" w:hint="default"/>
        <w:color w:val="auto"/>
        <w:sz w:val="16"/>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9">
    <w:nsid w:val="62FB739F"/>
    <w:multiLevelType w:val="hybridMultilevel"/>
    <w:tmpl w:val="B51686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31">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7BE844D5"/>
    <w:multiLevelType w:val="multilevel"/>
    <w:tmpl w:val="A60C9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8"/>
  </w:num>
  <w:num w:numId="3">
    <w:abstractNumId w:val="26"/>
  </w:num>
  <w:num w:numId="4">
    <w:abstractNumId w:val="31"/>
  </w:num>
  <w:num w:numId="5">
    <w:abstractNumId w:val="24"/>
  </w:num>
  <w:num w:numId="6">
    <w:abstractNumId w:val="21"/>
  </w:num>
  <w:num w:numId="7">
    <w:abstractNumId w:val="19"/>
  </w:num>
  <w:num w:numId="8">
    <w:abstractNumId w:val="23"/>
  </w:num>
  <w:num w:numId="9">
    <w:abstractNumId w:val="20"/>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9"/>
  </w:num>
  <w:num w:numId="48">
    <w:abstractNumId w:val="14"/>
  </w:num>
  <w:num w:numId="49">
    <w:abstractNumId w:val="13"/>
  </w:num>
  <w:num w:numId="50">
    <w:abstractNumId w:val="11"/>
  </w:num>
  <w:num w:numId="51">
    <w:abstractNumId w:val="18"/>
  </w:num>
  <w:num w:numId="52">
    <w:abstractNumId w:val="25"/>
  </w:num>
  <w:num w:numId="53">
    <w:abstractNumId w:val="22"/>
  </w:num>
  <w:num w:numId="54">
    <w:abstractNumId w:val="26"/>
  </w:num>
  <w:num w:numId="55">
    <w:abstractNumId w:val="17"/>
  </w:num>
  <w:num w:numId="56">
    <w:abstractNumId w:val="26"/>
  </w:num>
  <w:num w:numId="57">
    <w:abstractNumId w:val="16"/>
  </w:num>
  <w:num w:numId="58">
    <w:abstractNumId w:val="32"/>
  </w:num>
  <w:num w:numId="59">
    <w:abstractNumId w:val="26"/>
    <w:lvlOverride w:ilvl="0">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81"/>
    <w:rsid w:val="00000C6C"/>
    <w:rsid w:val="00000D69"/>
    <w:rsid w:val="00001813"/>
    <w:rsid w:val="000019C8"/>
    <w:rsid w:val="00001A0B"/>
    <w:rsid w:val="00001F91"/>
    <w:rsid w:val="000021A3"/>
    <w:rsid w:val="0000447A"/>
    <w:rsid w:val="00006096"/>
    <w:rsid w:val="00006B8F"/>
    <w:rsid w:val="00006FF0"/>
    <w:rsid w:val="0000715C"/>
    <w:rsid w:val="00010209"/>
    <w:rsid w:val="0001067E"/>
    <w:rsid w:val="000116B4"/>
    <w:rsid w:val="0001194B"/>
    <w:rsid w:val="00011FC8"/>
    <w:rsid w:val="00012592"/>
    <w:rsid w:val="0001259D"/>
    <w:rsid w:val="000126A7"/>
    <w:rsid w:val="000136FB"/>
    <w:rsid w:val="00015974"/>
    <w:rsid w:val="00015D7C"/>
    <w:rsid w:val="00016218"/>
    <w:rsid w:val="00016B12"/>
    <w:rsid w:val="00016BFB"/>
    <w:rsid w:val="0001758D"/>
    <w:rsid w:val="000221BE"/>
    <w:rsid w:val="00024160"/>
    <w:rsid w:val="00024D51"/>
    <w:rsid w:val="00026F3F"/>
    <w:rsid w:val="00031191"/>
    <w:rsid w:val="00033A7A"/>
    <w:rsid w:val="000350DF"/>
    <w:rsid w:val="00035B08"/>
    <w:rsid w:val="00036451"/>
    <w:rsid w:val="00036516"/>
    <w:rsid w:val="000365BD"/>
    <w:rsid w:val="00040C91"/>
    <w:rsid w:val="000412F0"/>
    <w:rsid w:val="000413FE"/>
    <w:rsid w:val="00041435"/>
    <w:rsid w:val="0004206A"/>
    <w:rsid w:val="00042E52"/>
    <w:rsid w:val="000430C1"/>
    <w:rsid w:val="00043BB1"/>
    <w:rsid w:val="00043C5E"/>
    <w:rsid w:val="00044A73"/>
    <w:rsid w:val="000457E5"/>
    <w:rsid w:val="00045A25"/>
    <w:rsid w:val="00046474"/>
    <w:rsid w:val="000475FE"/>
    <w:rsid w:val="00047C22"/>
    <w:rsid w:val="00050D24"/>
    <w:rsid w:val="00051FC4"/>
    <w:rsid w:val="000521F6"/>
    <w:rsid w:val="00052B74"/>
    <w:rsid w:val="00052ECD"/>
    <w:rsid w:val="00054990"/>
    <w:rsid w:val="00054C2C"/>
    <w:rsid w:val="0005514C"/>
    <w:rsid w:val="00060BD6"/>
    <w:rsid w:val="00061700"/>
    <w:rsid w:val="00062C72"/>
    <w:rsid w:val="00062E22"/>
    <w:rsid w:val="0006340A"/>
    <w:rsid w:val="00064B3E"/>
    <w:rsid w:val="00064C65"/>
    <w:rsid w:val="00067DA4"/>
    <w:rsid w:val="0007102F"/>
    <w:rsid w:val="00072A54"/>
    <w:rsid w:val="00076AC1"/>
    <w:rsid w:val="00077222"/>
    <w:rsid w:val="00077657"/>
    <w:rsid w:val="000829E3"/>
    <w:rsid w:val="00083019"/>
    <w:rsid w:val="00083739"/>
    <w:rsid w:val="00084F62"/>
    <w:rsid w:val="0008593B"/>
    <w:rsid w:val="00085F4C"/>
    <w:rsid w:val="00086C04"/>
    <w:rsid w:val="0008793B"/>
    <w:rsid w:val="000907C9"/>
    <w:rsid w:val="0009094C"/>
    <w:rsid w:val="00092230"/>
    <w:rsid w:val="00092A66"/>
    <w:rsid w:val="00092BAB"/>
    <w:rsid w:val="00092BF2"/>
    <w:rsid w:val="0009334D"/>
    <w:rsid w:val="000959C5"/>
    <w:rsid w:val="000973EC"/>
    <w:rsid w:val="00097E37"/>
    <w:rsid w:val="000A02F1"/>
    <w:rsid w:val="000A0708"/>
    <w:rsid w:val="000A1174"/>
    <w:rsid w:val="000A1455"/>
    <w:rsid w:val="000A2104"/>
    <w:rsid w:val="000A23CC"/>
    <w:rsid w:val="000A3027"/>
    <w:rsid w:val="000A3908"/>
    <w:rsid w:val="000A4B2B"/>
    <w:rsid w:val="000A633B"/>
    <w:rsid w:val="000A65A9"/>
    <w:rsid w:val="000A72EB"/>
    <w:rsid w:val="000A78F3"/>
    <w:rsid w:val="000B0EE1"/>
    <w:rsid w:val="000B575E"/>
    <w:rsid w:val="000B5A02"/>
    <w:rsid w:val="000B5FAA"/>
    <w:rsid w:val="000B6354"/>
    <w:rsid w:val="000B70AF"/>
    <w:rsid w:val="000B72B2"/>
    <w:rsid w:val="000B74EE"/>
    <w:rsid w:val="000C03A5"/>
    <w:rsid w:val="000C1E25"/>
    <w:rsid w:val="000C4655"/>
    <w:rsid w:val="000C5B32"/>
    <w:rsid w:val="000C6E17"/>
    <w:rsid w:val="000C6E40"/>
    <w:rsid w:val="000D295A"/>
    <w:rsid w:val="000D3BEE"/>
    <w:rsid w:val="000D481C"/>
    <w:rsid w:val="000D5CEF"/>
    <w:rsid w:val="000D6879"/>
    <w:rsid w:val="000E0BD7"/>
    <w:rsid w:val="000E3B23"/>
    <w:rsid w:val="000E49D4"/>
    <w:rsid w:val="000E5435"/>
    <w:rsid w:val="000E6925"/>
    <w:rsid w:val="000E71A8"/>
    <w:rsid w:val="000E731F"/>
    <w:rsid w:val="000F1523"/>
    <w:rsid w:val="000F1FEB"/>
    <w:rsid w:val="000F22A2"/>
    <w:rsid w:val="000F2961"/>
    <w:rsid w:val="000F41D6"/>
    <w:rsid w:val="000F438B"/>
    <w:rsid w:val="000F61F2"/>
    <w:rsid w:val="000F63F3"/>
    <w:rsid w:val="000F7062"/>
    <w:rsid w:val="000F7572"/>
    <w:rsid w:val="001002A6"/>
    <w:rsid w:val="001012D6"/>
    <w:rsid w:val="001056BA"/>
    <w:rsid w:val="00106C96"/>
    <w:rsid w:val="00107B60"/>
    <w:rsid w:val="0011006C"/>
    <w:rsid w:val="00110261"/>
    <w:rsid w:val="00111A21"/>
    <w:rsid w:val="00112C20"/>
    <w:rsid w:val="00112DFD"/>
    <w:rsid w:val="00113784"/>
    <w:rsid w:val="00113BC4"/>
    <w:rsid w:val="00113C39"/>
    <w:rsid w:val="00115302"/>
    <w:rsid w:val="00116FE5"/>
    <w:rsid w:val="00117C6D"/>
    <w:rsid w:val="00122A8F"/>
    <w:rsid w:val="00122B8F"/>
    <w:rsid w:val="00125A79"/>
    <w:rsid w:val="00126BA1"/>
    <w:rsid w:val="00130E36"/>
    <w:rsid w:val="00131A6F"/>
    <w:rsid w:val="0013283B"/>
    <w:rsid w:val="001336C6"/>
    <w:rsid w:val="00133B29"/>
    <w:rsid w:val="0013442B"/>
    <w:rsid w:val="00134667"/>
    <w:rsid w:val="001353CD"/>
    <w:rsid w:val="00136D09"/>
    <w:rsid w:val="001374F2"/>
    <w:rsid w:val="001374F8"/>
    <w:rsid w:val="00137BCF"/>
    <w:rsid w:val="001422A3"/>
    <w:rsid w:val="001435D9"/>
    <w:rsid w:val="0014680D"/>
    <w:rsid w:val="00147184"/>
    <w:rsid w:val="00150D80"/>
    <w:rsid w:val="00153A53"/>
    <w:rsid w:val="00155D7C"/>
    <w:rsid w:val="001564D8"/>
    <w:rsid w:val="001602AA"/>
    <w:rsid w:val="0016077B"/>
    <w:rsid w:val="001608B7"/>
    <w:rsid w:val="00161B26"/>
    <w:rsid w:val="00162CC6"/>
    <w:rsid w:val="001643B3"/>
    <w:rsid w:val="0016465F"/>
    <w:rsid w:val="001653EE"/>
    <w:rsid w:val="00166D0B"/>
    <w:rsid w:val="00167303"/>
    <w:rsid w:val="00172372"/>
    <w:rsid w:val="00172896"/>
    <w:rsid w:val="0017371D"/>
    <w:rsid w:val="00175520"/>
    <w:rsid w:val="001765F1"/>
    <w:rsid w:val="001778DD"/>
    <w:rsid w:val="00180FE4"/>
    <w:rsid w:val="00182136"/>
    <w:rsid w:val="0018439D"/>
    <w:rsid w:val="00186025"/>
    <w:rsid w:val="00186F51"/>
    <w:rsid w:val="0018718B"/>
    <w:rsid w:val="00187433"/>
    <w:rsid w:val="00194247"/>
    <w:rsid w:val="00195D06"/>
    <w:rsid w:val="00195FEC"/>
    <w:rsid w:val="00196363"/>
    <w:rsid w:val="00196DDC"/>
    <w:rsid w:val="00197827"/>
    <w:rsid w:val="001A04AB"/>
    <w:rsid w:val="001A0848"/>
    <w:rsid w:val="001A1A88"/>
    <w:rsid w:val="001A446D"/>
    <w:rsid w:val="001A4B17"/>
    <w:rsid w:val="001A5B2E"/>
    <w:rsid w:val="001A60C8"/>
    <w:rsid w:val="001A62AC"/>
    <w:rsid w:val="001A7294"/>
    <w:rsid w:val="001A73D7"/>
    <w:rsid w:val="001B0C82"/>
    <w:rsid w:val="001B1F2B"/>
    <w:rsid w:val="001B244B"/>
    <w:rsid w:val="001B7A93"/>
    <w:rsid w:val="001C049A"/>
    <w:rsid w:val="001C1896"/>
    <w:rsid w:val="001C3391"/>
    <w:rsid w:val="001C5E70"/>
    <w:rsid w:val="001C6FD2"/>
    <w:rsid w:val="001C748B"/>
    <w:rsid w:val="001C7A0C"/>
    <w:rsid w:val="001C7ACB"/>
    <w:rsid w:val="001C7E3F"/>
    <w:rsid w:val="001D1BD2"/>
    <w:rsid w:val="001D21C7"/>
    <w:rsid w:val="001D2551"/>
    <w:rsid w:val="001D2D30"/>
    <w:rsid w:val="001D432B"/>
    <w:rsid w:val="001D4393"/>
    <w:rsid w:val="001D43E1"/>
    <w:rsid w:val="001D47BF"/>
    <w:rsid w:val="001D4BED"/>
    <w:rsid w:val="001D5BC0"/>
    <w:rsid w:val="001D6360"/>
    <w:rsid w:val="001D7F21"/>
    <w:rsid w:val="001E0AD2"/>
    <w:rsid w:val="001E0D07"/>
    <w:rsid w:val="001E0F73"/>
    <w:rsid w:val="001E218B"/>
    <w:rsid w:val="001E3B22"/>
    <w:rsid w:val="001E3C95"/>
    <w:rsid w:val="001E5200"/>
    <w:rsid w:val="001E5C37"/>
    <w:rsid w:val="001E5DE9"/>
    <w:rsid w:val="001E5FA0"/>
    <w:rsid w:val="001E621A"/>
    <w:rsid w:val="001F0ED1"/>
    <w:rsid w:val="001F0F03"/>
    <w:rsid w:val="001F1B76"/>
    <w:rsid w:val="001F39AA"/>
    <w:rsid w:val="001F43A6"/>
    <w:rsid w:val="001F4FEC"/>
    <w:rsid w:val="001F6575"/>
    <w:rsid w:val="001F7A78"/>
    <w:rsid w:val="0020014C"/>
    <w:rsid w:val="0020087D"/>
    <w:rsid w:val="002036AA"/>
    <w:rsid w:val="002044D7"/>
    <w:rsid w:val="00204AA0"/>
    <w:rsid w:val="002051C3"/>
    <w:rsid w:val="0020572D"/>
    <w:rsid w:val="00205FF8"/>
    <w:rsid w:val="00210084"/>
    <w:rsid w:val="00210A72"/>
    <w:rsid w:val="002112B7"/>
    <w:rsid w:val="002119D0"/>
    <w:rsid w:val="00211A06"/>
    <w:rsid w:val="00212675"/>
    <w:rsid w:val="00213182"/>
    <w:rsid w:val="0021431B"/>
    <w:rsid w:val="00214354"/>
    <w:rsid w:val="00215996"/>
    <w:rsid w:val="00215F06"/>
    <w:rsid w:val="002208FA"/>
    <w:rsid w:val="0022442C"/>
    <w:rsid w:val="00224EFC"/>
    <w:rsid w:val="00225A23"/>
    <w:rsid w:val="00225F20"/>
    <w:rsid w:val="00226177"/>
    <w:rsid w:val="00226DB0"/>
    <w:rsid w:val="002302F1"/>
    <w:rsid w:val="00232003"/>
    <w:rsid w:val="00232A4B"/>
    <w:rsid w:val="00232DC5"/>
    <w:rsid w:val="0023346D"/>
    <w:rsid w:val="0023406E"/>
    <w:rsid w:val="002341EF"/>
    <w:rsid w:val="00234E6D"/>
    <w:rsid w:val="00235813"/>
    <w:rsid w:val="00237E00"/>
    <w:rsid w:val="002423FF"/>
    <w:rsid w:val="00242FE3"/>
    <w:rsid w:val="002431CE"/>
    <w:rsid w:val="00246DD3"/>
    <w:rsid w:val="00247671"/>
    <w:rsid w:val="00247B22"/>
    <w:rsid w:val="00250085"/>
    <w:rsid w:val="002514ED"/>
    <w:rsid w:val="0025179A"/>
    <w:rsid w:val="00252D83"/>
    <w:rsid w:val="002536E1"/>
    <w:rsid w:val="00253BA7"/>
    <w:rsid w:val="00253C2A"/>
    <w:rsid w:val="00254133"/>
    <w:rsid w:val="00255A78"/>
    <w:rsid w:val="00255B1D"/>
    <w:rsid w:val="00255F9B"/>
    <w:rsid w:val="0025762A"/>
    <w:rsid w:val="00260975"/>
    <w:rsid w:val="00260BE8"/>
    <w:rsid w:val="002617F1"/>
    <w:rsid w:val="00262275"/>
    <w:rsid w:val="002639F4"/>
    <w:rsid w:val="00264346"/>
    <w:rsid w:val="00264929"/>
    <w:rsid w:val="002661C4"/>
    <w:rsid w:val="00271CED"/>
    <w:rsid w:val="00271E9B"/>
    <w:rsid w:val="0027444B"/>
    <w:rsid w:val="00274788"/>
    <w:rsid w:val="002754BC"/>
    <w:rsid w:val="00277A4F"/>
    <w:rsid w:val="00282EB3"/>
    <w:rsid w:val="002849B2"/>
    <w:rsid w:val="00285BAA"/>
    <w:rsid w:val="00286303"/>
    <w:rsid w:val="002911F1"/>
    <w:rsid w:val="00292100"/>
    <w:rsid w:val="0029239D"/>
    <w:rsid w:val="0029779F"/>
    <w:rsid w:val="002979FF"/>
    <w:rsid w:val="00297E39"/>
    <w:rsid w:val="002A013D"/>
    <w:rsid w:val="002A37BA"/>
    <w:rsid w:val="002A3CC7"/>
    <w:rsid w:val="002A5323"/>
    <w:rsid w:val="002A63EC"/>
    <w:rsid w:val="002A7EC5"/>
    <w:rsid w:val="002B0F76"/>
    <w:rsid w:val="002B1030"/>
    <w:rsid w:val="002B1319"/>
    <w:rsid w:val="002B3527"/>
    <w:rsid w:val="002B3B4C"/>
    <w:rsid w:val="002B3B4E"/>
    <w:rsid w:val="002C06AA"/>
    <w:rsid w:val="002C2BE6"/>
    <w:rsid w:val="002C312D"/>
    <w:rsid w:val="002C3A39"/>
    <w:rsid w:val="002C4D3F"/>
    <w:rsid w:val="002C52BE"/>
    <w:rsid w:val="002C5D34"/>
    <w:rsid w:val="002C6839"/>
    <w:rsid w:val="002C7D0D"/>
    <w:rsid w:val="002D27F9"/>
    <w:rsid w:val="002D5159"/>
    <w:rsid w:val="002D67E1"/>
    <w:rsid w:val="002D680B"/>
    <w:rsid w:val="002D694E"/>
    <w:rsid w:val="002D6952"/>
    <w:rsid w:val="002D6C6D"/>
    <w:rsid w:val="002E1356"/>
    <w:rsid w:val="002E407E"/>
    <w:rsid w:val="002E4894"/>
    <w:rsid w:val="002E5566"/>
    <w:rsid w:val="002E583E"/>
    <w:rsid w:val="002E63E2"/>
    <w:rsid w:val="002E6AA1"/>
    <w:rsid w:val="002E79A6"/>
    <w:rsid w:val="002F1BAF"/>
    <w:rsid w:val="002F1E9F"/>
    <w:rsid w:val="002F3CB7"/>
    <w:rsid w:val="002F703E"/>
    <w:rsid w:val="002F7382"/>
    <w:rsid w:val="002F761C"/>
    <w:rsid w:val="002F774A"/>
    <w:rsid w:val="002F78DF"/>
    <w:rsid w:val="002F7979"/>
    <w:rsid w:val="002F7F02"/>
    <w:rsid w:val="003038CD"/>
    <w:rsid w:val="00304C38"/>
    <w:rsid w:val="00305D06"/>
    <w:rsid w:val="00306B07"/>
    <w:rsid w:val="00306D54"/>
    <w:rsid w:val="00313368"/>
    <w:rsid w:val="0031443E"/>
    <w:rsid w:val="003158D5"/>
    <w:rsid w:val="003166ED"/>
    <w:rsid w:val="00320A79"/>
    <w:rsid w:val="00321A15"/>
    <w:rsid w:val="00322349"/>
    <w:rsid w:val="00322558"/>
    <w:rsid w:val="0032275F"/>
    <w:rsid w:val="00323B87"/>
    <w:rsid w:val="0032470E"/>
    <w:rsid w:val="00326D27"/>
    <w:rsid w:val="00330752"/>
    <w:rsid w:val="003313D1"/>
    <w:rsid w:val="00332C40"/>
    <w:rsid w:val="003338F9"/>
    <w:rsid w:val="003341E5"/>
    <w:rsid w:val="00334450"/>
    <w:rsid w:val="00334897"/>
    <w:rsid w:val="00334B6A"/>
    <w:rsid w:val="00335414"/>
    <w:rsid w:val="00335D5A"/>
    <w:rsid w:val="0033657D"/>
    <w:rsid w:val="003369FE"/>
    <w:rsid w:val="003378A2"/>
    <w:rsid w:val="003379AE"/>
    <w:rsid w:val="00337EC9"/>
    <w:rsid w:val="00337F70"/>
    <w:rsid w:val="0034160D"/>
    <w:rsid w:val="00341F54"/>
    <w:rsid w:val="00343CF0"/>
    <w:rsid w:val="00344C0B"/>
    <w:rsid w:val="00345B83"/>
    <w:rsid w:val="00345B92"/>
    <w:rsid w:val="0034725C"/>
    <w:rsid w:val="003479EB"/>
    <w:rsid w:val="00350792"/>
    <w:rsid w:val="00350E1C"/>
    <w:rsid w:val="00351997"/>
    <w:rsid w:val="00352E37"/>
    <w:rsid w:val="003540AA"/>
    <w:rsid w:val="003540E3"/>
    <w:rsid w:val="00354FD5"/>
    <w:rsid w:val="0035502E"/>
    <w:rsid w:val="003555DB"/>
    <w:rsid w:val="00357741"/>
    <w:rsid w:val="003614A8"/>
    <w:rsid w:val="00363A55"/>
    <w:rsid w:val="003647CB"/>
    <w:rsid w:val="00364E03"/>
    <w:rsid w:val="00365439"/>
    <w:rsid w:val="003670A8"/>
    <w:rsid w:val="00370575"/>
    <w:rsid w:val="00371AB0"/>
    <w:rsid w:val="0037259E"/>
    <w:rsid w:val="00373E08"/>
    <w:rsid w:val="00375D54"/>
    <w:rsid w:val="00375EA1"/>
    <w:rsid w:val="00380885"/>
    <w:rsid w:val="003813D1"/>
    <w:rsid w:val="003814CE"/>
    <w:rsid w:val="00381549"/>
    <w:rsid w:val="0038376A"/>
    <w:rsid w:val="00384B8B"/>
    <w:rsid w:val="00387B6A"/>
    <w:rsid w:val="00390031"/>
    <w:rsid w:val="00390363"/>
    <w:rsid w:val="00390587"/>
    <w:rsid w:val="003928DB"/>
    <w:rsid w:val="00394E69"/>
    <w:rsid w:val="00395E9D"/>
    <w:rsid w:val="00396457"/>
    <w:rsid w:val="003975A7"/>
    <w:rsid w:val="003A01A5"/>
    <w:rsid w:val="003A0ED5"/>
    <w:rsid w:val="003A2E03"/>
    <w:rsid w:val="003A3B45"/>
    <w:rsid w:val="003A502F"/>
    <w:rsid w:val="003A5288"/>
    <w:rsid w:val="003A7D98"/>
    <w:rsid w:val="003B1761"/>
    <w:rsid w:val="003B1976"/>
    <w:rsid w:val="003B1A70"/>
    <w:rsid w:val="003B22D0"/>
    <w:rsid w:val="003B30EF"/>
    <w:rsid w:val="003B3505"/>
    <w:rsid w:val="003B52ED"/>
    <w:rsid w:val="003B5442"/>
    <w:rsid w:val="003B5704"/>
    <w:rsid w:val="003B67C1"/>
    <w:rsid w:val="003B7898"/>
    <w:rsid w:val="003B7B5A"/>
    <w:rsid w:val="003C1758"/>
    <w:rsid w:val="003C41A0"/>
    <w:rsid w:val="003C4A20"/>
    <w:rsid w:val="003C5824"/>
    <w:rsid w:val="003C5893"/>
    <w:rsid w:val="003D07FF"/>
    <w:rsid w:val="003D08F7"/>
    <w:rsid w:val="003D3528"/>
    <w:rsid w:val="003D47BD"/>
    <w:rsid w:val="003D5FA4"/>
    <w:rsid w:val="003D66C7"/>
    <w:rsid w:val="003D7347"/>
    <w:rsid w:val="003E388B"/>
    <w:rsid w:val="003E6415"/>
    <w:rsid w:val="003E78BF"/>
    <w:rsid w:val="003F2994"/>
    <w:rsid w:val="003F2B5A"/>
    <w:rsid w:val="003F2E86"/>
    <w:rsid w:val="003F3394"/>
    <w:rsid w:val="003F342B"/>
    <w:rsid w:val="003F497E"/>
    <w:rsid w:val="003F541B"/>
    <w:rsid w:val="00400BD1"/>
    <w:rsid w:val="004010CC"/>
    <w:rsid w:val="00401498"/>
    <w:rsid w:val="00401EE9"/>
    <w:rsid w:val="00403A95"/>
    <w:rsid w:val="00404A46"/>
    <w:rsid w:val="00404FB7"/>
    <w:rsid w:val="00405072"/>
    <w:rsid w:val="00405A07"/>
    <w:rsid w:val="00410AF6"/>
    <w:rsid w:val="00410C85"/>
    <w:rsid w:val="0041264B"/>
    <w:rsid w:val="00413B89"/>
    <w:rsid w:val="00413C25"/>
    <w:rsid w:val="00415029"/>
    <w:rsid w:val="00415357"/>
    <w:rsid w:val="004172C6"/>
    <w:rsid w:val="004223B8"/>
    <w:rsid w:val="00422B4E"/>
    <w:rsid w:val="00422D6A"/>
    <w:rsid w:val="00424852"/>
    <w:rsid w:val="004248B2"/>
    <w:rsid w:val="00424AF6"/>
    <w:rsid w:val="00424D63"/>
    <w:rsid w:val="00424DE6"/>
    <w:rsid w:val="0042500E"/>
    <w:rsid w:val="00425CFE"/>
    <w:rsid w:val="00426299"/>
    <w:rsid w:val="00427B10"/>
    <w:rsid w:val="00430B7E"/>
    <w:rsid w:val="00433123"/>
    <w:rsid w:val="00433850"/>
    <w:rsid w:val="0043465D"/>
    <w:rsid w:val="00434A22"/>
    <w:rsid w:val="00435FED"/>
    <w:rsid w:val="0043636A"/>
    <w:rsid w:val="00437D5A"/>
    <w:rsid w:val="004405B3"/>
    <w:rsid w:val="00440BC4"/>
    <w:rsid w:val="004412B4"/>
    <w:rsid w:val="004413D7"/>
    <w:rsid w:val="004427C4"/>
    <w:rsid w:val="004428AB"/>
    <w:rsid w:val="00444155"/>
    <w:rsid w:val="00445065"/>
    <w:rsid w:val="004453EA"/>
    <w:rsid w:val="0044579A"/>
    <w:rsid w:val="0044645C"/>
    <w:rsid w:val="0045100D"/>
    <w:rsid w:val="00451BB9"/>
    <w:rsid w:val="00451C2B"/>
    <w:rsid w:val="00452E33"/>
    <w:rsid w:val="00453747"/>
    <w:rsid w:val="00453C5F"/>
    <w:rsid w:val="00453C77"/>
    <w:rsid w:val="00454880"/>
    <w:rsid w:val="004564DB"/>
    <w:rsid w:val="004570D6"/>
    <w:rsid w:val="00457285"/>
    <w:rsid w:val="0046086D"/>
    <w:rsid w:val="00460EC0"/>
    <w:rsid w:val="004619C3"/>
    <w:rsid w:val="0046348E"/>
    <w:rsid w:val="004710E7"/>
    <w:rsid w:val="00471223"/>
    <w:rsid w:val="00471EF9"/>
    <w:rsid w:val="0047217B"/>
    <w:rsid w:val="00472BC1"/>
    <w:rsid w:val="0047487B"/>
    <w:rsid w:val="00474D14"/>
    <w:rsid w:val="00475713"/>
    <w:rsid w:val="00480C9A"/>
    <w:rsid w:val="004821B8"/>
    <w:rsid w:val="0048295B"/>
    <w:rsid w:val="004847BA"/>
    <w:rsid w:val="0048521D"/>
    <w:rsid w:val="004853A8"/>
    <w:rsid w:val="00485A2E"/>
    <w:rsid w:val="004863AC"/>
    <w:rsid w:val="00487CDC"/>
    <w:rsid w:val="00487F45"/>
    <w:rsid w:val="00491064"/>
    <w:rsid w:val="004914B7"/>
    <w:rsid w:val="004938C8"/>
    <w:rsid w:val="00493F7B"/>
    <w:rsid w:val="00494513"/>
    <w:rsid w:val="00495C49"/>
    <w:rsid w:val="00495EF1"/>
    <w:rsid w:val="00496C73"/>
    <w:rsid w:val="004973E2"/>
    <w:rsid w:val="004A08D8"/>
    <w:rsid w:val="004A2300"/>
    <w:rsid w:val="004A6D01"/>
    <w:rsid w:val="004A7544"/>
    <w:rsid w:val="004A7597"/>
    <w:rsid w:val="004B0789"/>
    <w:rsid w:val="004B1EF9"/>
    <w:rsid w:val="004B3DE7"/>
    <w:rsid w:val="004B5076"/>
    <w:rsid w:val="004B5722"/>
    <w:rsid w:val="004B5A79"/>
    <w:rsid w:val="004B6030"/>
    <w:rsid w:val="004B6CE3"/>
    <w:rsid w:val="004B6E9D"/>
    <w:rsid w:val="004B6F02"/>
    <w:rsid w:val="004C04B0"/>
    <w:rsid w:val="004C1059"/>
    <w:rsid w:val="004C292D"/>
    <w:rsid w:val="004C3FC0"/>
    <w:rsid w:val="004C5D6A"/>
    <w:rsid w:val="004C7877"/>
    <w:rsid w:val="004C7982"/>
    <w:rsid w:val="004D0B4A"/>
    <w:rsid w:val="004D4984"/>
    <w:rsid w:val="004D75AA"/>
    <w:rsid w:val="004D7C66"/>
    <w:rsid w:val="004E019C"/>
    <w:rsid w:val="004E07D7"/>
    <w:rsid w:val="004E09A2"/>
    <w:rsid w:val="004E18D2"/>
    <w:rsid w:val="004E20EC"/>
    <w:rsid w:val="004E42E2"/>
    <w:rsid w:val="004E5204"/>
    <w:rsid w:val="004E5682"/>
    <w:rsid w:val="004E6544"/>
    <w:rsid w:val="004E693D"/>
    <w:rsid w:val="004E78B9"/>
    <w:rsid w:val="004F02E0"/>
    <w:rsid w:val="004F2ECD"/>
    <w:rsid w:val="004F3251"/>
    <w:rsid w:val="004F3943"/>
    <w:rsid w:val="004F5693"/>
    <w:rsid w:val="004F5A94"/>
    <w:rsid w:val="004F62C7"/>
    <w:rsid w:val="004F62E8"/>
    <w:rsid w:val="004F6756"/>
    <w:rsid w:val="004F6B80"/>
    <w:rsid w:val="004F768E"/>
    <w:rsid w:val="004F7CAE"/>
    <w:rsid w:val="00500F04"/>
    <w:rsid w:val="0050129F"/>
    <w:rsid w:val="0050166C"/>
    <w:rsid w:val="00501EF4"/>
    <w:rsid w:val="00502D51"/>
    <w:rsid w:val="00503DCB"/>
    <w:rsid w:val="00504785"/>
    <w:rsid w:val="00505EF5"/>
    <w:rsid w:val="005064CB"/>
    <w:rsid w:val="005112F1"/>
    <w:rsid w:val="005119BA"/>
    <w:rsid w:val="00512587"/>
    <w:rsid w:val="005126EA"/>
    <w:rsid w:val="0051300E"/>
    <w:rsid w:val="0051347C"/>
    <w:rsid w:val="005136C6"/>
    <w:rsid w:val="005142AD"/>
    <w:rsid w:val="00514A5B"/>
    <w:rsid w:val="00514B32"/>
    <w:rsid w:val="005150DA"/>
    <w:rsid w:val="005155B5"/>
    <w:rsid w:val="0051631C"/>
    <w:rsid w:val="005168FC"/>
    <w:rsid w:val="00521311"/>
    <w:rsid w:val="00522178"/>
    <w:rsid w:val="0052262B"/>
    <w:rsid w:val="0052272D"/>
    <w:rsid w:val="00522CD2"/>
    <w:rsid w:val="00522E0F"/>
    <w:rsid w:val="00524607"/>
    <w:rsid w:val="00527DF5"/>
    <w:rsid w:val="00531A52"/>
    <w:rsid w:val="00531B46"/>
    <w:rsid w:val="00532215"/>
    <w:rsid w:val="005322EB"/>
    <w:rsid w:val="00532A3F"/>
    <w:rsid w:val="00532C8B"/>
    <w:rsid w:val="00532E60"/>
    <w:rsid w:val="005336CC"/>
    <w:rsid w:val="005339B8"/>
    <w:rsid w:val="005343A9"/>
    <w:rsid w:val="0053521F"/>
    <w:rsid w:val="00535B60"/>
    <w:rsid w:val="00536D50"/>
    <w:rsid w:val="00537303"/>
    <w:rsid w:val="00537DB1"/>
    <w:rsid w:val="0054001D"/>
    <w:rsid w:val="00540C14"/>
    <w:rsid w:val="0054103D"/>
    <w:rsid w:val="0054131E"/>
    <w:rsid w:val="005413C8"/>
    <w:rsid w:val="00541988"/>
    <w:rsid w:val="00541EEA"/>
    <w:rsid w:val="00544B2F"/>
    <w:rsid w:val="00544B91"/>
    <w:rsid w:val="005455C7"/>
    <w:rsid w:val="0054567E"/>
    <w:rsid w:val="00545FDB"/>
    <w:rsid w:val="005468DC"/>
    <w:rsid w:val="005476AB"/>
    <w:rsid w:val="00547CE4"/>
    <w:rsid w:val="00550664"/>
    <w:rsid w:val="00550E11"/>
    <w:rsid w:val="00552BF0"/>
    <w:rsid w:val="00554736"/>
    <w:rsid w:val="00555BCF"/>
    <w:rsid w:val="00556621"/>
    <w:rsid w:val="00556E17"/>
    <w:rsid w:val="005572E3"/>
    <w:rsid w:val="00560E8B"/>
    <w:rsid w:val="00561FC2"/>
    <w:rsid w:val="0056323D"/>
    <w:rsid w:val="0056454B"/>
    <w:rsid w:val="00564650"/>
    <w:rsid w:val="005659B2"/>
    <w:rsid w:val="0056703F"/>
    <w:rsid w:val="00567D61"/>
    <w:rsid w:val="0057007F"/>
    <w:rsid w:val="005703C8"/>
    <w:rsid w:val="00570CDA"/>
    <w:rsid w:val="0057112C"/>
    <w:rsid w:val="00571356"/>
    <w:rsid w:val="005719F8"/>
    <w:rsid w:val="00572D05"/>
    <w:rsid w:val="00575313"/>
    <w:rsid w:val="0057714E"/>
    <w:rsid w:val="00577295"/>
    <w:rsid w:val="0057772C"/>
    <w:rsid w:val="005779C9"/>
    <w:rsid w:val="005807C5"/>
    <w:rsid w:val="005816FB"/>
    <w:rsid w:val="00583524"/>
    <w:rsid w:val="00583A95"/>
    <w:rsid w:val="00584805"/>
    <w:rsid w:val="00585DC5"/>
    <w:rsid w:val="00586F83"/>
    <w:rsid w:val="00587FE4"/>
    <w:rsid w:val="00590221"/>
    <w:rsid w:val="00592240"/>
    <w:rsid w:val="005922C1"/>
    <w:rsid w:val="005922F2"/>
    <w:rsid w:val="00593AF2"/>
    <w:rsid w:val="00595DC2"/>
    <w:rsid w:val="00596580"/>
    <w:rsid w:val="00597D29"/>
    <w:rsid w:val="005A027A"/>
    <w:rsid w:val="005A1019"/>
    <w:rsid w:val="005A18DD"/>
    <w:rsid w:val="005A3373"/>
    <w:rsid w:val="005A43E6"/>
    <w:rsid w:val="005A59D2"/>
    <w:rsid w:val="005A5FB6"/>
    <w:rsid w:val="005A7E20"/>
    <w:rsid w:val="005B0002"/>
    <w:rsid w:val="005B08CB"/>
    <w:rsid w:val="005B0A57"/>
    <w:rsid w:val="005B1525"/>
    <w:rsid w:val="005B2DE3"/>
    <w:rsid w:val="005B4895"/>
    <w:rsid w:val="005B56F7"/>
    <w:rsid w:val="005B64E1"/>
    <w:rsid w:val="005B69FD"/>
    <w:rsid w:val="005B73F0"/>
    <w:rsid w:val="005B783E"/>
    <w:rsid w:val="005C314E"/>
    <w:rsid w:val="005C4428"/>
    <w:rsid w:val="005C633C"/>
    <w:rsid w:val="005C6CB8"/>
    <w:rsid w:val="005C7991"/>
    <w:rsid w:val="005D149D"/>
    <w:rsid w:val="005D25D0"/>
    <w:rsid w:val="005D28DB"/>
    <w:rsid w:val="005D4692"/>
    <w:rsid w:val="005D5AA1"/>
    <w:rsid w:val="005D6D94"/>
    <w:rsid w:val="005E0053"/>
    <w:rsid w:val="005E01D1"/>
    <w:rsid w:val="005E1749"/>
    <w:rsid w:val="005E1A27"/>
    <w:rsid w:val="005E1AD5"/>
    <w:rsid w:val="005E1D2B"/>
    <w:rsid w:val="005E1DEF"/>
    <w:rsid w:val="005E2309"/>
    <w:rsid w:val="005E3E47"/>
    <w:rsid w:val="005E5545"/>
    <w:rsid w:val="005E5F3A"/>
    <w:rsid w:val="005F0833"/>
    <w:rsid w:val="005F177D"/>
    <w:rsid w:val="005F1A1D"/>
    <w:rsid w:val="005F4E17"/>
    <w:rsid w:val="005F7236"/>
    <w:rsid w:val="0060194B"/>
    <w:rsid w:val="00601C05"/>
    <w:rsid w:val="00601D3F"/>
    <w:rsid w:val="00602A48"/>
    <w:rsid w:val="006030F1"/>
    <w:rsid w:val="00603565"/>
    <w:rsid w:val="00603CCE"/>
    <w:rsid w:val="00604176"/>
    <w:rsid w:val="0060454B"/>
    <w:rsid w:val="00605611"/>
    <w:rsid w:val="006065B6"/>
    <w:rsid w:val="00606643"/>
    <w:rsid w:val="00606C03"/>
    <w:rsid w:val="00607EED"/>
    <w:rsid w:val="006100E1"/>
    <w:rsid w:val="00610FDD"/>
    <w:rsid w:val="006133A9"/>
    <w:rsid w:val="006142DD"/>
    <w:rsid w:val="00614501"/>
    <w:rsid w:val="00615197"/>
    <w:rsid w:val="00616460"/>
    <w:rsid w:val="00616B9F"/>
    <w:rsid w:val="00617CE3"/>
    <w:rsid w:val="00623AC8"/>
    <w:rsid w:val="00623D18"/>
    <w:rsid w:val="00623FB8"/>
    <w:rsid w:val="00626705"/>
    <w:rsid w:val="006300A4"/>
    <w:rsid w:val="00630C96"/>
    <w:rsid w:val="0063161B"/>
    <w:rsid w:val="00632413"/>
    <w:rsid w:val="006332BD"/>
    <w:rsid w:val="00634B48"/>
    <w:rsid w:val="00635778"/>
    <w:rsid w:val="00637674"/>
    <w:rsid w:val="006411D4"/>
    <w:rsid w:val="00641507"/>
    <w:rsid w:val="00641561"/>
    <w:rsid w:val="00641648"/>
    <w:rsid w:val="006418FA"/>
    <w:rsid w:val="0064199A"/>
    <w:rsid w:val="00641DE6"/>
    <w:rsid w:val="00644DCE"/>
    <w:rsid w:val="00646192"/>
    <w:rsid w:val="0064676C"/>
    <w:rsid w:val="0064768F"/>
    <w:rsid w:val="00647E1D"/>
    <w:rsid w:val="00647E8E"/>
    <w:rsid w:val="0065280A"/>
    <w:rsid w:val="00652F84"/>
    <w:rsid w:val="006542A0"/>
    <w:rsid w:val="00657B2E"/>
    <w:rsid w:val="00660ADE"/>
    <w:rsid w:val="006613F9"/>
    <w:rsid w:val="006623FB"/>
    <w:rsid w:val="00665594"/>
    <w:rsid w:val="006660F0"/>
    <w:rsid w:val="00666B0A"/>
    <w:rsid w:val="00666CF4"/>
    <w:rsid w:val="00667269"/>
    <w:rsid w:val="0066746E"/>
    <w:rsid w:val="0067016D"/>
    <w:rsid w:val="0067177B"/>
    <w:rsid w:val="00671841"/>
    <w:rsid w:val="00672ABD"/>
    <w:rsid w:val="006742EC"/>
    <w:rsid w:val="00675403"/>
    <w:rsid w:val="006765F1"/>
    <w:rsid w:val="006803FC"/>
    <w:rsid w:val="0068278F"/>
    <w:rsid w:val="00682F85"/>
    <w:rsid w:val="00683F10"/>
    <w:rsid w:val="00683F5C"/>
    <w:rsid w:val="00684126"/>
    <w:rsid w:val="00684DD5"/>
    <w:rsid w:val="00686F2B"/>
    <w:rsid w:val="00687285"/>
    <w:rsid w:val="00687805"/>
    <w:rsid w:val="00687876"/>
    <w:rsid w:val="00687E51"/>
    <w:rsid w:val="00690134"/>
    <w:rsid w:val="006903C3"/>
    <w:rsid w:val="00690CEF"/>
    <w:rsid w:val="0069163D"/>
    <w:rsid w:val="006929C2"/>
    <w:rsid w:val="006949A8"/>
    <w:rsid w:val="00695061"/>
    <w:rsid w:val="0069712B"/>
    <w:rsid w:val="006A176B"/>
    <w:rsid w:val="006A1849"/>
    <w:rsid w:val="006A3742"/>
    <w:rsid w:val="006A495F"/>
    <w:rsid w:val="006A4F86"/>
    <w:rsid w:val="006A50DE"/>
    <w:rsid w:val="006A7BE3"/>
    <w:rsid w:val="006B037D"/>
    <w:rsid w:val="006B0ABC"/>
    <w:rsid w:val="006B3B51"/>
    <w:rsid w:val="006B3C68"/>
    <w:rsid w:val="006B5691"/>
    <w:rsid w:val="006B5B06"/>
    <w:rsid w:val="006B5BB2"/>
    <w:rsid w:val="006B69F2"/>
    <w:rsid w:val="006B7D8D"/>
    <w:rsid w:val="006C16A3"/>
    <w:rsid w:val="006C2C68"/>
    <w:rsid w:val="006C2FC9"/>
    <w:rsid w:val="006C3F1D"/>
    <w:rsid w:val="006C5C58"/>
    <w:rsid w:val="006C60F1"/>
    <w:rsid w:val="006C7E5D"/>
    <w:rsid w:val="006D0DCE"/>
    <w:rsid w:val="006D2F6A"/>
    <w:rsid w:val="006D54AE"/>
    <w:rsid w:val="006D73F2"/>
    <w:rsid w:val="006D7DB4"/>
    <w:rsid w:val="006E22DC"/>
    <w:rsid w:val="006E2E30"/>
    <w:rsid w:val="006E3F36"/>
    <w:rsid w:val="006E42CE"/>
    <w:rsid w:val="006E4C66"/>
    <w:rsid w:val="006E4D54"/>
    <w:rsid w:val="006E742D"/>
    <w:rsid w:val="006F1B3B"/>
    <w:rsid w:val="006F1B94"/>
    <w:rsid w:val="006F3163"/>
    <w:rsid w:val="006F4405"/>
    <w:rsid w:val="006F44FE"/>
    <w:rsid w:val="006F5B75"/>
    <w:rsid w:val="006F5F9A"/>
    <w:rsid w:val="006F7CFB"/>
    <w:rsid w:val="0070072B"/>
    <w:rsid w:val="00703540"/>
    <w:rsid w:val="00703EFC"/>
    <w:rsid w:val="00705182"/>
    <w:rsid w:val="007054FD"/>
    <w:rsid w:val="00705CB9"/>
    <w:rsid w:val="00706255"/>
    <w:rsid w:val="007067C7"/>
    <w:rsid w:val="00706CCD"/>
    <w:rsid w:val="007116DA"/>
    <w:rsid w:val="00712EEE"/>
    <w:rsid w:val="00713FAE"/>
    <w:rsid w:val="0071419B"/>
    <w:rsid w:val="007144B3"/>
    <w:rsid w:val="007166F6"/>
    <w:rsid w:val="00720558"/>
    <w:rsid w:val="007224CA"/>
    <w:rsid w:val="00722503"/>
    <w:rsid w:val="00723DE1"/>
    <w:rsid w:val="00723F01"/>
    <w:rsid w:val="00724437"/>
    <w:rsid w:val="00726FD8"/>
    <w:rsid w:val="00730049"/>
    <w:rsid w:val="0073075A"/>
    <w:rsid w:val="0073092C"/>
    <w:rsid w:val="007327A5"/>
    <w:rsid w:val="00733168"/>
    <w:rsid w:val="00733F04"/>
    <w:rsid w:val="007358CE"/>
    <w:rsid w:val="00736323"/>
    <w:rsid w:val="00736AFD"/>
    <w:rsid w:val="00736F41"/>
    <w:rsid w:val="00737262"/>
    <w:rsid w:val="00737B49"/>
    <w:rsid w:val="00740BCC"/>
    <w:rsid w:val="00742779"/>
    <w:rsid w:val="00742885"/>
    <w:rsid w:val="00742889"/>
    <w:rsid w:val="00744754"/>
    <w:rsid w:val="00744EE0"/>
    <w:rsid w:val="007452AD"/>
    <w:rsid w:val="0074545F"/>
    <w:rsid w:val="00747380"/>
    <w:rsid w:val="00747FFC"/>
    <w:rsid w:val="00752092"/>
    <w:rsid w:val="007523D8"/>
    <w:rsid w:val="0075283E"/>
    <w:rsid w:val="0075306C"/>
    <w:rsid w:val="007534DB"/>
    <w:rsid w:val="007541CD"/>
    <w:rsid w:val="00755873"/>
    <w:rsid w:val="00755B9A"/>
    <w:rsid w:val="00755FE2"/>
    <w:rsid w:val="00756FBB"/>
    <w:rsid w:val="0075774C"/>
    <w:rsid w:val="00757950"/>
    <w:rsid w:val="0076278C"/>
    <w:rsid w:val="00763E54"/>
    <w:rsid w:val="00764D7C"/>
    <w:rsid w:val="00765361"/>
    <w:rsid w:val="00765D8A"/>
    <w:rsid w:val="0076604C"/>
    <w:rsid w:val="0076656F"/>
    <w:rsid w:val="00767D0B"/>
    <w:rsid w:val="00770DD8"/>
    <w:rsid w:val="00771D26"/>
    <w:rsid w:val="00772E30"/>
    <w:rsid w:val="0077309C"/>
    <w:rsid w:val="007743C4"/>
    <w:rsid w:val="007755D2"/>
    <w:rsid w:val="007760A6"/>
    <w:rsid w:val="007764E8"/>
    <w:rsid w:val="00776F29"/>
    <w:rsid w:val="007770CC"/>
    <w:rsid w:val="00780430"/>
    <w:rsid w:val="00781FF4"/>
    <w:rsid w:val="0078258C"/>
    <w:rsid w:val="00782C22"/>
    <w:rsid w:val="00783024"/>
    <w:rsid w:val="00785376"/>
    <w:rsid w:val="007858CB"/>
    <w:rsid w:val="007864EE"/>
    <w:rsid w:val="00787620"/>
    <w:rsid w:val="0078786B"/>
    <w:rsid w:val="00790620"/>
    <w:rsid w:val="007949A5"/>
    <w:rsid w:val="00795B29"/>
    <w:rsid w:val="00796CA3"/>
    <w:rsid w:val="007A0888"/>
    <w:rsid w:val="007A20EC"/>
    <w:rsid w:val="007A3E03"/>
    <w:rsid w:val="007A4257"/>
    <w:rsid w:val="007A4F9B"/>
    <w:rsid w:val="007A50E4"/>
    <w:rsid w:val="007A5A51"/>
    <w:rsid w:val="007A5DD2"/>
    <w:rsid w:val="007A623C"/>
    <w:rsid w:val="007A7EB6"/>
    <w:rsid w:val="007B0C09"/>
    <w:rsid w:val="007B20EE"/>
    <w:rsid w:val="007B3114"/>
    <w:rsid w:val="007B3424"/>
    <w:rsid w:val="007B3B86"/>
    <w:rsid w:val="007B3F6C"/>
    <w:rsid w:val="007B405A"/>
    <w:rsid w:val="007B4949"/>
    <w:rsid w:val="007B4AC3"/>
    <w:rsid w:val="007B5177"/>
    <w:rsid w:val="007B5955"/>
    <w:rsid w:val="007C02B5"/>
    <w:rsid w:val="007C0BBA"/>
    <w:rsid w:val="007C0CA0"/>
    <w:rsid w:val="007C1B0C"/>
    <w:rsid w:val="007C1F9C"/>
    <w:rsid w:val="007C2238"/>
    <w:rsid w:val="007C2F15"/>
    <w:rsid w:val="007C3A62"/>
    <w:rsid w:val="007C3A92"/>
    <w:rsid w:val="007C446B"/>
    <w:rsid w:val="007C4891"/>
    <w:rsid w:val="007C5141"/>
    <w:rsid w:val="007C5A6C"/>
    <w:rsid w:val="007C75D5"/>
    <w:rsid w:val="007D18DE"/>
    <w:rsid w:val="007D3686"/>
    <w:rsid w:val="007D42F2"/>
    <w:rsid w:val="007D4BB3"/>
    <w:rsid w:val="007D5FF6"/>
    <w:rsid w:val="007D7384"/>
    <w:rsid w:val="007E1EAF"/>
    <w:rsid w:val="007E22B8"/>
    <w:rsid w:val="007E3450"/>
    <w:rsid w:val="007E37B2"/>
    <w:rsid w:val="007E62D6"/>
    <w:rsid w:val="007E7632"/>
    <w:rsid w:val="007F032B"/>
    <w:rsid w:val="007F1655"/>
    <w:rsid w:val="007F17B2"/>
    <w:rsid w:val="007F1C73"/>
    <w:rsid w:val="007F388F"/>
    <w:rsid w:val="007F39FE"/>
    <w:rsid w:val="007F4F8B"/>
    <w:rsid w:val="007F5FDB"/>
    <w:rsid w:val="007F60F9"/>
    <w:rsid w:val="007F683C"/>
    <w:rsid w:val="007F7B4B"/>
    <w:rsid w:val="007F7D64"/>
    <w:rsid w:val="0080023B"/>
    <w:rsid w:val="0080030E"/>
    <w:rsid w:val="00801B07"/>
    <w:rsid w:val="00802494"/>
    <w:rsid w:val="00803120"/>
    <w:rsid w:val="00807FED"/>
    <w:rsid w:val="00811940"/>
    <w:rsid w:val="0081222B"/>
    <w:rsid w:val="008127D1"/>
    <w:rsid w:val="00814895"/>
    <w:rsid w:val="008149CC"/>
    <w:rsid w:val="00814F5B"/>
    <w:rsid w:val="00815415"/>
    <w:rsid w:val="00815EF3"/>
    <w:rsid w:val="008208EC"/>
    <w:rsid w:val="00820B84"/>
    <w:rsid w:val="00823877"/>
    <w:rsid w:val="00824196"/>
    <w:rsid w:val="00824FFF"/>
    <w:rsid w:val="00825A25"/>
    <w:rsid w:val="00826423"/>
    <w:rsid w:val="0082669E"/>
    <w:rsid w:val="0083052A"/>
    <w:rsid w:val="00830755"/>
    <w:rsid w:val="00831FD4"/>
    <w:rsid w:val="00831FDE"/>
    <w:rsid w:val="0083439F"/>
    <w:rsid w:val="00834D3A"/>
    <w:rsid w:val="00835C0B"/>
    <w:rsid w:val="00836099"/>
    <w:rsid w:val="00836180"/>
    <w:rsid w:val="0083689A"/>
    <w:rsid w:val="00840469"/>
    <w:rsid w:val="00842020"/>
    <w:rsid w:val="008422AD"/>
    <w:rsid w:val="0084468E"/>
    <w:rsid w:val="00845BF0"/>
    <w:rsid w:val="00846283"/>
    <w:rsid w:val="0084768E"/>
    <w:rsid w:val="00847FB4"/>
    <w:rsid w:val="008507F3"/>
    <w:rsid w:val="0085092B"/>
    <w:rsid w:val="00850D2C"/>
    <w:rsid w:val="00850F6A"/>
    <w:rsid w:val="0085368F"/>
    <w:rsid w:val="00854D9D"/>
    <w:rsid w:val="0085593E"/>
    <w:rsid w:val="00855F22"/>
    <w:rsid w:val="008577C9"/>
    <w:rsid w:val="00857FAA"/>
    <w:rsid w:val="00861612"/>
    <w:rsid w:val="00862439"/>
    <w:rsid w:val="008629F9"/>
    <w:rsid w:val="00862B5A"/>
    <w:rsid w:val="0086335B"/>
    <w:rsid w:val="00863418"/>
    <w:rsid w:val="008640E1"/>
    <w:rsid w:val="008649D1"/>
    <w:rsid w:val="00866E03"/>
    <w:rsid w:val="008721F9"/>
    <w:rsid w:val="00872507"/>
    <w:rsid w:val="0087293E"/>
    <w:rsid w:val="00873077"/>
    <w:rsid w:val="00874165"/>
    <w:rsid w:val="008743C3"/>
    <w:rsid w:val="00877187"/>
    <w:rsid w:val="00877694"/>
    <w:rsid w:val="0088088D"/>
    <w:rsid w:val="00880B16"/>
    <w:rsid w:val="00881D01"/>
    <w:rsid w:val="008820CF"/>
    <w:rsid w:val="00882F22"/>
    <w:rsid w:val="008844B5"/>
    <w:rsid w:val="00885078"/>
    <w:rsid w:val="008854D9"/>
    <w:rsid w:val="00886009"/>
    <w:rsid w:val="00887711"/>
    <w:rsid w:val="008916C0"/>
    <w:rsid w:val="00894020"/>
    <w:rsid w:val="00894B8B"/>
    <w:rsid w:val="00895C3D"/>
    <w:rsid w:val="00896373"/>
    <w:rsid w:val="008A0341"/>
    <w:rsid w:val="008A0C06"/>
    <w:rsid w:val="008A0F7A"/>
    <w:rsid w:val="008A1CCF"/>
    <w:rsid w:val="008A3991"/>
    <w:rsid w:val="008A3AA7"/>
    <w:rsid w:val="008A4054"/>
    <w:rsid w:val="008A6732"/>
    <w:rsid w:val="008A7F41"/>
    <w:rsid w:val="008B0E37"/>
    <w:rsid w:val="008B213A"/>
    <w:rsid w:val="008B3046"/>
    <w:rsid w:val="008B4BAC"/>
    <w:rsid w:val="008B6878"/>
    <w:rsid w:val="008B7BD9"/>
    <w:rsid w:val="008C037D"/>
    <w:rsid w:val="008C0495"/>
    <w:rsid w:val="008C0524"/>
    <w:rsid w:val="008C10CC"/>
    <w:rsid w:val="008C11DC"/>
    <w:rsid w:val="008C1366"/>
    <w:rsid w:val="008C1A56"/>
    <w:rsid w:val="008C2094"/>
    <w:rsid w:val="008C24FE"/>
    <w:rsid w:val="008C2B8B"/>
    <w:rsid w:val="008C3232"/>
    <w:rsid w:val="008C3DA7"/>
    <w:rsid w:val="008C78BF"/>
    <w:rsid w:val="008C7EF1"/>
    <w:rsid w:val="008D07EF"/>
    <w:rsid w:val="008D1D4B"/>
    <w:rsid w:val="008D3CD4"/>
    <w:rsid w:val="008D4952"/>
    <w:rsid w:val="008D4E1E"/>
    <w:rsid w:val="008D4E99"/>
    <w:rsid w:val="008D6092"/>
    <w:rsid w:val="008E1E0C"/>
    <w:rsid w:val="008E2775"/>
    <w:rsid w:val="008E2F7B"/>
    <w:rsid w:val="008E3568"/>
    <w:rsid w:val="008E4195"/>
    <w:rsid w:val="008E56D7"/>
    <w:rsid w:val="008E5E76"/>
    <w:rsid w:val="008E6BBD"/>
    <w:rsid w:val="008E7466"/>
    <w:rsid w:val="008F1AD2"/>
    <w:rsid w:val="008F1ED7"/>
    <w:rsid w:val="008F21CC"/>
    <w:rsid w:val="008F4015"/>
    <w:rsid w:val="008F6B03"/>
    <w:rsid w:val="008F6B27"/>
    <w:rsid w:val="008F6CD3"/>
    <w:rsid w:val="008F72E5"/>
    <w:rsid w:val="00900593"/>
    <w:rsid w:val="00900EA0"/>
    <w:rsid w:val="00901083"/>
    <w:rsid w:val="00904527"/>
    <w:rsid w:val="00904F5B"/>
    <w:rsid w:val="0090637C"/>
    <w:rsid w:val="00906BE7"/>
    <w:rsid w:val="00910240"/>
    <w:rsid w:val="00910B67"/>
    <w:rsid w:val="009122C7"/>
    <w:rsid w:val="00912C7F"/>
    <w:rsid w:val="00915801"/>
    <w:rsid w:val="00915FE6"/>
    <w:rsid w:val="00917166"/>
    <w:rsid w:val="0092077F"/>
    <w:rsid w:val="00921F64"/>
    <w:rsid w:val="00922DC6"/>
    <w:rsid w:val="00923F89"/>
    <w:rsid w:val="00925FB0"/>
    <w:rsid w:val="00926372"/>
    <w:rsid w:val="00933EF8"/>
    <w:rsid w:val="00934084"/>
    <w:rsid w:val="00934A65"/>
    <w:rsid w:val="0093611D"/>
    <w:rsid w:val="00941051"/>
    <w:rsid w:val="0094151F"/>
    <w:rsid w:val="009420B0"/>
    <w:rsid w:val="0094322E"/>
    <w:rsid w:val="00945F4D"/>
    <w:rsid w:val="009466B6"/>
    <w:rsid w:val="0094681D"/>
    <w:rsid w:val="00946EC0"/>
    <w:rsid w:val="009476ED"/>
    <w:rsid w:val="00950220"/>
    <w:rsid w:val="00951DE8"/>
    <w:rsid w:val="00953743"/>
    <w:rsid w:val="00954FA7"/>
    <w:rsid w:val="009556EC"/>
    <w:rsid w:val="0095625E"/>
    <w:rsid w:val="00956595"/>
    <w:rsid w:val="009575BF"/>
    <w:rsid w:val="009579C1"/>
    <w:rsid w:val="00957E01"/>
    <w:rsid w:val="00960402"/>
    <w:rsid w:val="00961622"/>
    <w:rsid w:val="0096355B"/>
    <w:rsid w:val="009645E5"/>
    <w:rsid w:val="009656E8"/>
    <w:rsid w:val="00966BA9"/>
    <w:rsid w:val="0096700E"/>
    <w:rsid w:val="00970E37"/>
    <w:rsid w:val="00971DDE"/>
    <w:rsid w:val="009752A0"/>
    <w:rsid w:val="00975A85"/>
    <w:rsid w:val="0097654D"/>
    <w:rsid w:val="0097675F"/>
    <w:rsid w:val="009776AB"/>
    <w:rsid w:val="0098034E"/>
    <w:rsid w:val="0098059C"/>
    <w:rsid w:val="00981228"/>
    <w:rsid w:val="00981B70"/>
    <w:rsid w:val="00981F23"/>
    <w:rsid w:val="0098205B"/>
    <w:rsid w:val="00982C5A"/>
    <w:rsid w:val="00982F80"/>
    <w:rsid w:val="009830F7"/>
    <w:rsid w:val="00983A6A"/>
    <w:rsid w:val="0098420A"/>
    <w:rsid w:val="00984CAF"/>
    <w:rsid w:val="00987969"/>
    <w:rsid w:val="00987C33"/>
    <w:rsid w:val="00990B34"/>
    <w:rsid w:val="00991553"/>
    <w:rsid w:val="00991F95"/>
    <w:rsid w:val="009921DB"/>
    <w:rsid w:val="009929C2"/>
    <w:rsid w:val="009941F5"/>
    <w:rsid w:val="0099435E"/>
    <w:rsid w:val="0099520D"/>
    <w:rsid w:val="009959C2"/>
    <w:rsid w:val="0099617F"/>
    <w:rsid w:val="009963FA"/>
    <w:rsid w:val="00996EFB"/>
    <w:rsid w:val="009A1E45"/>
    <w:rsid w:val="009A1F9B"/>
    <w:rsid w:val="009A2D17"/>
    <w:rsid w:val="009A2F81"/>
    <w:rsid w:val="009A4018"/>
    <w:rsid w:val="009A4793"/>
    <w:rsid w:val="009A4C05"/>
    <w:rsid w:val="009A50E3"/>
    <w:rsid w:val="009A58BC"/>
    <w:rsid w:val="009A62FE"/>
    <w:rsid w:val="009B0BB4"/>
    <w:rsid w:val="009B18C6"/>
    <w:rsid w:val="009B3C3B"/>
    <w:rsid w:val="009B5BD3"/>
    <w:rsid w:val="009B63C6"/>
    <w:rsid w:val="009C031C"/>
    <w:rsid w:val="009C0B4C"/>
    <w:rsid w:val="009C276F"/>
    <w:rsid w:val="009C37E4"/>
    <w:rsid w:val="009C3B36"/>
    <w:rsid w:val="009C42E1"/>
    <w:rsid w:val="009C5990"/>
    <w:rsid w:val="009C70BD"/>
    <w:rsid w:val="009D1055"/>
    <w:rsid w:val="009D265E"/>
    <w:rsid w:val="009D276A"/>
    <w:rsid w:val="009D2ACC"/>
    <w:rsid w:val="009D322E"/>
    <w:rsid w:val="009D3ADE"/>
    <w:rsid w:val="009D3AFF"/>
    <w:rsid w:val="009D587C"/>
    <w:rsid w:val="009D701C"/>
    <w:rsid w:val="009D7C9B"/>
    <w:rsid w:val="009E08F3"/>
    <w:rsid w:val="009E0958"/>
    <w:rsid w:val="009E1116"/>
    <w:rsid w:val="009E1FC6"/>
    <w:rsid w:val="009E38BE"/>
    <w:rsid w:val="009E4072"/>
    <w:rsid w:val="009E64A3"/>
    <w:rsid w:val="009E73DC"/>
    <w:rsid w:val="009E76DF"/>
    <w:rsid w:val="009F11C8"/>
    <w:rsid w:val="009F2F9A"/>
    <w:rsid w:val="009F302F"/>
    <w:rsid w:val="009F3F12"/>
    <w:rsid w:val="009F511A"/>
    <w:rsid w:val="009F69FF"/>
    <w:rsid w:val="009F7B1A"/>
    <w:rsid w:val="00A001BE"/>
    <w:rsid w:val="00A0096E"/>
    <w:rsid w:val="00A0104C"/>
    <w:rsid w:val="00A01B34"/>
    <w:rsid w:val="00A01E05"/>
    <w:rsid w:val="00A0237F"/>
    <w:rsid w:val="00A02539"/>
    <w:rsid w:val="00A026C9"/>
    <w:rsid w:val="00A02BEE"/>
    <w:rsid w:val="00A031CA"/>
    <w:rsid w:val="00A0341F"/>
    <w:rsid w:val="00A0350D"/>
    <w:rsid w:val="00A03B0D"/>
    <w:rsid w:val="00A03DA7"/>
    <w:rsid w:val="00A0573A"/>
    <w:rsid w:val="00A05EE4"/>
    <w:rsid w:val="00A12292"/>
    <w:rsid w:val="00A13C44"/>
    <w:rsid w:val="00A14137"/>
    <w:rsid w:val="00A14EE4"/>
    <w:rsid w:val="00A15B42"/>
    <w:rsid w:val="00A15BB3"/>
    <w:rsid w:val="00A167BB"/>
    <w:rsid w:val="00A16D7C"/>
    <w:rsid w:val="00A21E7C"/>
    <w:rsid w:val="00A248D1"/>
    <w:rsid w:val="00A2560A"/>
    <w:rsid w:val="00A26471"/>
    <w:rsid w:val="00A31120"/>
    <w:rsid w:val="00A31B76"/>
    <w:rsid w:val="00A333EB"/>
    <w:rsid w:val="00A339FD"/>
    <w:rsid w:val="00A33F48"/>
    <w:rsid w:val="00A36026"/>
    <w:rsid w:val="00A3692B"/>
    <w:rsid w:val="00A37677"/>
    <w:rsid w:val="00A3775B"/>
    <w:rsid w:val="00A402C3"/>
    <w:rsid w:val="00A40A18"/>
    <w:rsid w:val="00A40AED"/>
    <w:rsid w:val="00A410E1"/>
    <w:rsid w:val="00A4110C"/>
    <w:rsid w:val="00A41716"/>
    <w:rsid w:val="00A42F52"/>
    <w:rsid w:val="00A435AA"/>
    <w:rsid w:val="00A435C0"/>
    <w:rsid w:val="00A438C0"/>
    <w:rsid w:val="00A43944"/>
    <w:rsid w:val="00A45A69"/>
    <w:rsid w:val="00A46411"/>
    <w:rsid w:val="00A47A14"/>
    <w:rsid w:val="00A50C1B"/>
    <w:rsid w:val="00A517BC"/>
    <w:rsid w:val="00A529F1"/>
    <w:rsid w:val="00A533D5"/>
    <w:rsid w:val="00A53880"/>
    <w:rsid w:val="00A5470F"/>
    <w:rsid w:val="00A55B84"/>
    <w:rsid w:val="00A55D7B"/>
    <w:rsid w:val="00A56180"/>
    <w:rsid w:val="00A56690"/>
    <w:rsid w:val="00A569CE"/>
    <w:rsid w:val="00A57DE6"/>
    <w:rsid w:val="00A60117"/>
    <w:rsid w:val="00A602D6"/>
    <w:rsid w:val="00A60B23"/>
    <w:rsid w:val="00A61546"/>
    <w:rsid w:val="00A625BA"/>
    <w:rsid w:val="00A62DF2"/>
    <w:rsid w:val="00A64975"/>
    <w:rsid w:val="00A667C7"/>
    <w:rsid w:val="00A67F52"/>
    <w:rsid w:val="00A7014C"/>
    <w:rsid w:val="00A7276B"/>
    <w:rsid w:val="00A738D1"/>
    <w:rsid w:val="00A75348"/>
    <w:rsid w:val="00A75550"/>
    <w:rsid w:val="00A7610E"/>
    <w:rsid w:val="00A77F8F"/>
    <w:rsid w:val="00A831C4"/>
    <w:rsid w:val="00A83301"/>
    <w:rsid w:val="00A85E6C"/>
    <w:rsid w:val="00A85E88"/>
    <w:rsid w:val="00A87AC2"/>
    <w:rsid w:val="00AA1D69"/>
    <w:rsid w:val="00AA2004"/>
    <w:rsid w:val="00AA2435"/>
    <w:rsid w:val="00AA3370"/>
    <w:rsid w:val="00AA35F5"/>
    <w:rsid w:val="00AA3CD6"/>
    <w:rsid w:val="00AA3F96"/>
    <w:rsid w:val="00AA796C"/>
    <w:rsid w:val="00AA7E13"/>
    <w:rsid w:val="00AB0872"/>
    <w:rsid w:val="00AB0DB6"/>
    <w:rsid w:val="00AB1D2C"/>
    <w:rsid w:val="00AB5A1E"/>
    <w:rsid w:val="00AB5EFE"/>
    <w:rsid w:val="00AB67DE"/>
    <w:rsid w:val="00AB6DA5"/>
    <w:rsid w:val="00AB70A9"/>
    <w:rsid w:val="00AB73E8"/>
    <w:rsid w:val="00AB77C4"/>
    <w:rsid w:val="00AB7987"/>
    <w:rsid w:val="00AB7AB4"/>
    <w:rsid w:val="00AB7C01"/>
    <w:rsid w:val="00AC105C"/>
    <w:rsid w:val="00AC11C8"/>
    <w:rsid w:val="00AC143B"/>
    <w:rsid w:val="00AC3F50"/>
    <w:rsid w:val="00AC5233"/>
    <w:rsid w:val="00AC5B1B"/>
    <w:rsid w:val="00AC6480"/>
    <w:rsid w:val="00AC6658"/>
    <w:rsid w:val="00AC70F3"/>
    <w:rsid w:val="00AD1886"/>
    <w:rsid w:val="00AD1BD2"/>
    <w:rsid w:val="00AD2362"/>
    <w:rsid w:val="00AD2F9B"/>
    <w:rsid w:val="00AD32B8"/>
    <w:rsid w:val="00AD6817"/>
    <w:rsid w:val="00AD6E7A"/>
    <w:rsid w:val="00AD7876"/>
    <w:rsid w:val="00AE0DC1"/>
    <w:rsid w:val="00AE12C0"/>
    <w:rsid w:val="00AE1573"/>
    <w:rsid w:val="00AE1A8D"/>
    <w:rsid w:val="00AE1B1E"/>
    <w:rsid w:val="00AE1BBA"/>
    <w:rsid w:val="00AE2583"/>
    <w:rsid w:val="00AE2BC0"/>
    <w:rsid w:val="00AE3027"/>
    <w:rsid w:val="00AE35F6"/>
    <w:rsid w:val="00AE4DF4"/>
    <w:rsid w:val="00AE54D6"/>
    <w:rsid w:val="00AE5B81"/>
    <w:rsid w:val="00AE6635"/>
    <w:rsid w:val="00AF0CE5"/>
    <w:rsid w:val="00AF19F3"/>
    <w:rsid w:val="00AF1EB6"/>
    <w:rsid w:val="00AF2838"/>
    <w:rsid w:val="00AF2CF8"/>
    <w:rsid w:val="00AF3363"/>
    <w:rsid w:val="00AF44BB"/>
    <w:rsid w:val="00AF4918"/>
    <w:rsid w:val="00AF4AE5"/>
    <w:rsid w:val="00AF5168"/>
    <w:rsid w:val="00AF543D"/>
    <w:rsid w:val="00AF6392"/>
    <w:rsid w:val="00AF6F6E"/>
    <w:rsid w:val="00B01E92"/>
    <w:rsid w:val="00B020FB"/>
    <w:rsid w:val="00B0320D"/>
    <w:rsid w:val="00B03768"/>
    <w:rsid w:val="00B04BF9"/>
    <w:rsid w:val="00B07B9A"/>
    <w:rsid w:val="00B10724"/>
    <w:rsid w:val="00B122FC"/>
    <w:rsid w:val="00B13100"/>
    <w:rsid w:val="00B156D6"/>
    <w:rsid w:val="00B16363"/>
    <w:rsid w:val="00B16B77"/>
    <w:rsid w:val="00B16C61"/>
    <w:rsid w:val="00B1708D"/>
    <w:rsid w:val="00B20040"/>
    <w:rsid w:val="00B21387"/>
    <w:rsid w:val="00B21EF1"/>
    <w:rsid w:val="00B24061"/>
    <w:rsid w:val="00B24A17"/>
    <w:rsid w:val="00B24A9A"/>
    <w:rsid w:val="00B27944"/>
    <w:rsid w:val="00B31200"/>
    <w:rsid w:val="00B3162A"/>
    <w:rsid w:val="00B31D74"/>
    <w:rsid w:val="00B32E45"/>
    <w:rsid w:val="00B33843"/>
    <w:rsid w:val="00B33859"/>
    <w:rsid w:val="00B339A2"/>
    <w:rsid w:val="00B33D37"/>
    <w:rsid w:val="00B350B6"/>
    <w:rsid w:val="00B35874"/>
    <w:rsid w:val="00B36BEC"/>
    <w:rsid w:val="00B41186"/>
    <w:rsid w:val="00B426FF"/>
    <w:rsid w:val="00B44CB9"/>
    <w:rsid w:val="00B45D16"/>
    <w:rsid w:val="00B46A8D"/>
    <w:rsid w:val="00B47B65"/>
    <w:rsid w:val="00B52245"/>
    <w:rsid w:val="00B52385"/>
    <w:rsid w:val="00B5247D"/>
    <w:rsid w:val="00B524CE"/>
    <w:rsid w:val="00B52903"/>
    <w:rsid w:val="00B529F3"/>
    <w:rsid w:val="00B55132"/>
    <w:rsid w:val="00B552EB"/>
    <w:rsid w:val="00B5612A"/>
    <w:rsid w:val="00B57473"/>
    <w:rsid w:val="00B57988"/>
    <w:rsid w:val="00B6139D"/>
    <w:rsid w:val="00B6266B"/>
    <w:rsid w:val="00B63DDB"/>
    <w:rsid w:val="00B64831"/>
    <w:rsid w:val="00B652CF"/>
    <w:rsid w:val="00B66750"/>
    <w:rsid w:val="00B6718E"/>
    <w:rsid w:val="00B67B79"/>
    <w:rsid w:val="00B67DC8"/>
    <w:rsid w:val="00B70C0F"/>
    <w:rsid w:val="00B70FE9"/>
    <w:rsid w:val="00B73AEA"/>
    <w:rsid w:val="00B73BC5"/>
    <w:rsid w:val="00B7657C"/>
    <w:rsid w:val="00B76783"/>
    <w:rsid w:val="00B76A8F"/>
    <w:rsid w:val="00B76AAB"/>
    <w:rsid w:val="00B80835"/>
    <w:rsid w:val="00B81209"/>
    <w:rsid w:val="00B853BB"/>
    <w:rsid w:val="00B86A39"/>
    <w:rsid w:val="00B86D7B"/>
    <w:rsid w:val="00B876CE"/>
    <w:rsid w:val="00B9157F"/>
    <w:rsid w:val="00B91793"/>
    <w:rsid w:val="00B937E0"/>
    <w:rsid w:val="00B937E9"/>
    <w:rsid w:val="00B94642"/>
    <w:rsid w:val="00B976BA"/>
    <w:rsid w:val="00BA00A5"/>
    <w:rsid w:val="00BA02C0"/>
    <w:rsid w:val="00BA129B"/>
    <w:rsid w:val="00BA2692"/>
    <w:rsid w:val="00BA28C8"/>
    <w:rsid w:val="00BA36F4"/>
    <w:rsid w:val="00BA5682"/>
    <w:rsid w:val="00BA6DBA"/>
    <w:rsid w:val="00BA79C3"/>
    <w:rsid w:val="00BB00EA"/>
    <w:rsid w:val="00BB02AB"/>
    <w:rsid w:val="00BB14C6"/>
    <w:rsid w:val="00BB2173"/>
    <w:rsid w:val="00BB2350"/>
    <w:rsid w:val="00BB2447"/>
    <w:rsid w:val="00BB2656"/>
    <w:rsid w:val="00BB41A5"/>
    <w:rsid w:val="00BB41F6"/>
    <w:rsid w:val="00BC1F16"/>
    <w:rsid w:val="00BC2102"/>
    <w:rsid w:val="00BC235B"/>
    <w:rsid w:val="00BC32AF"/>
    <w:rsid w:val="00BC3F00"/>
    <w:rsid w:val="00BC3F90"/>
    <w:rsid w:val="00BC4622"/>
    <w:rsid w:val="00BC4CEE"/>
    <w:rsid w:val="00BC52A0"/>
    <w:rsid w:val="00BC6994"/>
    <w:rsid w:val="00BC76A6"/>
    <w:rsid w:val="00BD010D"/>
    <w:rsid w:val="00BD12BB"/>
    <w:rsid w:val="00BD30AC"/>
    <w:rsid w:val="00BD31C6"/>
    <w:rsid w:val="00BD4E1A"/>
    <w:rsid w:val="00BD5436"/>
    <w:rsid w:val="00BD5746"/>
    <w:rsid w:val="00BD75A3"/>
    <w:rsid w:val="00BD7A80"/>
    <w:rsid w:val="00BD7D61"/>
    <w:rsid w:val="00BE08DF"/>
    <w:rsid w:val="00BE0DF0"/>
    <w:rsid w:val="00BE1249"/>
    <w:rsid w:val="00BE1E9D"/>
    <w:rsid w:val="00BE4F83"/>
    <w:rsid w:val="00BE71D8"/>
    <w:rsid w:val="00BE7B23"/>
    <w:rsid w:val="00BE7C17"/>
    <w:rsid w:val="00BF1CB0"/>
    <w:rsid w:val="00BF25A0"/>
    <w:rsid w:val="00BF3104"/>
    <w:rsid w:val="00BF32F0"/>
    <w:rsid w:val="00BF554E"/>
    <w:rsid w:val="00BF5859"/>
    <w:rsid w:val="00BF6266"/>
    <w:rsid w:val="00BF6379"/>
    <w:rsid w:val="00BF650E"/>
    <w:rsid w:val="00BF67AD"/>
    <w:rsid w:val="00BF6FE2"/>
    <w:rsid w:val="00BF7335"/>
    <w:rsid w:val="00BF7FDC"/>
    <w:rsid w:val="00C00237"/>
    <w:rsid w:val="00C01F37"/>
    <w:rsid w:val="00C02043"/>
    <w:rsid w:val="00C04A83"/>
    <w:rsid w:val="00C04AE8"/>
    <w:rsid w:val="00C05334"/>
    <w:rsid w:val="00C05E50"/>
    <w:rsid w:val="00C06E6C"/>
    <w:rsid w:val="00C07E24"/>
    <w:rsid w:val="00C122E0"/>
    <w:rsid w:val="00C1403B"/>
    <w:rsid w:val="00C152E5"/>
    <w:rsid w:val="00C162C9"/>
    <w:rsid w:val="00C1660C"/>
    <w:rsid w:val="00C210E7"/>
    <w:rsid w:val="00C21101"/>
    <w:rsid w:val="00C219A7"/>
    <w:rsid w:val="00C23859"/>
    <w:rsid w:val="00C24C89"/>
    <w:rsid w:val="00C26416"/>
    <w:rsid w:val="00C31528"/>
    <w:rsid w:val="00C31A4F"/>
    <w:rsid w:val="00C32D73"/>
    <w:rsid w:val="00C34D7E"/>
    <w:rsid w:val="00C3593A"/>
    <w:rsid w:val="00C359DC"/>
    <w:rsid w:val="00C3622C"/>
    <w:rsid w:val="00C366C3"/>
    <w:rsid w:val="00C36C91"/>
    <w:rsid w:val="00C3752C"/>
    <w:rsid w:val="00C4141E"/>
    <w:rsid w:val="00C44028"/>
    <w:rsid w:val="00C4438B"/>
    <w:rsid w:val="00C45872"/>
    <w:rsid w:val="00C458AA"/>
    <w:rsid w:val="00C46AD6"/>
    <w:rsid w:val="00C50243"/>
    <w:rsid w:val="00C5180F"/>
    <w:rsid w:val="00C52227"/>
    <w:rsid w:val="00C52825"/>
    <w:rsid w:val="00C532D4"/>
    <w:rsid w:val="00C535F8"/>
    <w:rsid w:val="00C5604B"/>
    <w:rsid w:val="00C5625D"/>
    <w:rsid w:val="00C563A9"/>
    <w:rsid w:val="00C56892"/>
    <w:rsid w:val="00C61DF3"/>
    <w:rsid w:val="00C66D04"/>
    <w:rsid w:val="00C6724A"/>
    <w:rsid w:val="00C67360"/>
    <w:rsid w:val="00C67DCF"/>
    <w:rsid w:val="00C703BF"/>
    <w:rsid w:val="00C73D15"/>
    <w:rsid w:val="00C756EA"/>
    <w:rsid w:val="00C75D98"/>
    <w:rsid w:val="00C855DA"/>
    <w:rsid w:val="00C87338"/>
    <w:rsid w:val="00C87CEB"/>
    <w:rsid w:val="00C9031A"/>
    <w:rsid w:val="00C91870"/>
    <w:rsid w:val="00C92320"/>
    <w:rsid w:val="00C92EB7"/>
    <w:rsid w:val="00C934D9"/>
    <w:rsid w:val="00C94806"/>
    <w:rsid w:val="00C94836"/>
    <w:rsid w:val="00C94E42"/>
    <w:rsid w:val="00C9578B"/>
    <w:rsid w:val="00C97955"/>
    <w:rsid w:val="00C97BE2"/>
    <w:rsid w:val="00CA19B9"/>
    <w:rsid w:val="00CA1A69"/>
    <w:rsid w:val="00CA22ED"/>
    <w:rsid w:val="00CA6019"/>
    <w:rsid w:val="00CA63CC"/>
    <w:rsid w:val="00CA6ED1"/>
    <w:rsid w:val="00CA7E59"/>
    <w:rsid w:val="00CB32AB"/>
    <w:rsid w:val="00CB3475"/>
    <w:rsid w:val="00CB3ABA"/>
    <w:rsid w:val="00CB3BAB"/>
    <w:rsid w:val="00CB3E08"/>
    <w:rsid w:val="00CB5252"/>
    <w:rsid w:val="00CB5917"/>
    <w:rsid w:val="00CB5FB7"/>
    <w:rsid w:val="00CB60F6"/>
    <w:rsid w:val="00CB6313"/>
    <w:rsid w:val="00CB64C7"/>
    <w:rsid w:val="00CC1967"/>
    <w:rsid w:val="00CC1EF0"/>
    <w:rsid w:val="00CC2B32"/>
    <w:rsid w:val="00CC7A35"/>
    <w:rsid w:val="00CD0079"/>
    <w:rsid w:val="00CD1883"/>
    <w:rsid w:val="00CD1C45"/>
    <w:rsid w:val="00CD372F"/>
    <w:rsid w:val="00CD4460"/>
    <w:rsid w:val="00CD4AF9"/>
    <w:rsid w:val="00CE0212"/>
    <w:rsid w:val="00CE25C4"/>
    <w:rsid w:val="00CE2CD7"/>
    <w:rsid w:val="00CE43FD"/>
    <w:rsid w:val="00CE4637"/>
    <w:rsid w:val="00CE5F1E"/>
    <w:rsid w:val="00CE6C03"/>
    <w:rsid w:val="00CE734C"/>
    <w:rsid w:val="00CF035D"/>
    <w:rsid w:val="00CF0B35"/>
    <w:rsid w:val="00CF0C10"/>
    <w:rsid w:val="00CF1512"/>
    <w:rsid w:val="00CF412B"/>
    <w:rsid w:val="00CF467E"/>
    <w:rsid w:val="00CF48E9"/>
    <w:rsid w:val="00CF750C"/>
    <w:rsid w:val="00CF7BE6"/>
    <w:rsid w:val="00CF7F0D"/>
    <w:rsid w:val="00D0158A"/>
    <w:rsid w:val="00D01AD8"/>
    <w:rsid w:val="00D029C5"/>
    <w:rsid w:val="00D0680D"/>
    <w:rsid w:val="00D10070"/>
    <w:rsid w:val="00D12233"/>
    <w:rsid w:val="00D13544"/>
    <w:rsid w:val="00D14191"/>
    <w:rsid w:val="00D1448F"/>
    <w:rsid w:val="00D14621"/>
    <w:rsid w:val="00D14D0F"/>
    <w:rsid w:val="00D20F36"/>
    <w:rsid w:val="00D22FDF"/>
    <w:rsid w:val="00D23390"/>
    <w:rsid w:val="00D24D16"/>
    <w:rsid w:val="00D24E13"/>
    <w:rsid w:val="00D2615F"/>
    <w:rsid w:val="00D2638A"/>
    <w:rsid w:val="00D317DE"/>
    <w:rsid w:val="00D31832"/>
    <w:rsid w:val="00D322E1"/>
    <w:rsid w:val="00D32B08"/>
    <w:rsid w:val="00D32CE9"/>
    <w:rsid w:val="00D34F65"/>
    <w:rsid w:val="00D35CDC"/>
    <w:rsid w:val="00D3602C"/>
    <w:rsid w:val="00D367E1"/>
    <w:rsid w:val="00D3690C"/>
    <w:rsid w:val="00D40895"/>
    <w:rsid w:val="00D40B62"/>
    <w:rsid w:val="00D415A3"/>
    <w:rsid w:val="00D415D9"/>
    <w:rsid w:val="00D44149"/>
    <w:rsid w:val="00D44274"/>
    <w:rsid w:val="00D4565A"/>
    <w:rsid w:val="00D46AD4"/>
    <w:rsid w:val="00D476C1"/>
    <w:rsid w:val="00D517C2"/>
    <w:rsid w:val="00D51A19"/>
    <w:rsid w:val="00D51AC6"/>
    <w:rsid w:val="00D51E92"/>
    <w:rsid w:val="00D522EE"/>
    <w:rsid w:val="00D529FA"/>
    <w:rsid w:val="00D52DEA"/>
    <w:rsid w:val="00D535BE"/>
    <w:rsid w:val="00D5405B"/>
    <w:rsid w:val="00D56C0E"/>
    <w:rsid w:val="00D57ACA"/>
    <w:rsid w:val="00D60240"/>
    <w:rsid w:val="00D60D68"/>
    <w:rsid w:val="00D61398"/>
    <w:rsid w:val="00D61455"/>
    <w:rsid w:val="00D62C43"/>
    <w:rsid w:val="00D64338"/>
    <w:rsid w:val="00D66364"/>
    <w:rsid w:val="00D666DD"/>
    <w:rsid w:val="00D669CC"/>
    <w:rsid w:val="00D66CAD"/>
    <w:rsid w:val="00D66FF5"/>
    <w:rsid w:val="00D6713E"/>
    <w:rsid w:val="00D67FCE"/>
    <w:rsid w:val="00D700AE"/>
    <w:rsid w:val="00D70F44"/>
    <w:rsid w:val="00D7118B"/>
    <w:rsid w:val="00D71513"/>
    <w:rsid w:val="00D71F99"/>
    <w:rsid w:val="00D731FE"/>
    <w:rsid w:val="00D733C5"/>
    <w:rsid w:val="00D73FC3"/>
    <w:rsid w:val="00D747C8"/>
    <w:rsid w:val="00D74C4E"/>
    <w:rsid w:val="00D763C2"/>
    <w:rsid w:val="00D7744E"/>
    <w:rsid w:val="00D80074"/>
    <w:rsid w:val="00D818C8"/>
    <w:rsid w:val="00D8203D"/>
    <w:rsid w:val="00D825FC"/>
    <w:rsid w:val="00D82ED1"/>
    <w:rsid w:val="00D82F17"/>
    <w:rsid w:val="00D83ED7"/>
    <w:rsid w:val="00D8476B"/>
    <w:rsid w:val="00D85DAF"/>
    <w:rsid w:val="00D86702"/>
    <w:rsid w:val="00D86A4D"/>
    <w:rsid w:val="00D87441"/>
    <w:rsid w:val="00D877AC"/>
    <w:rsid w:val="00D92CC6"/>
    <w:rsid w:val="00D944AF"/>
    <w:rsid w:val="00D94648"/>
    <w:rsid w:val="00D95889"/>
    <w:rsid w:val="00D9722D"/>
    <w:rsid w:val="00D97661"/>
    <w:rsid w:val="00DA0DE6"/>
    <w:rsid w:val="00DA4CDB"/>
    <w:rsid w:val="00DA4DED"/>
    <w:rsid w:val="00DA4EC4"/>
    <w:rsid w:val="00DA7007"/>
    <w:rsid w:val="00DB1253"/>
    <w:rsid w:val="00DB4629"/>
    <w:rsid w:val="00DB57AA"/>
    <w:rsid w:val="00DC030E"/>
    <w:rsid w:val="00DC1B1B"/>
    <w:rsid w:val="00DC3642"/>
    <w:rsid w:val="00DC39C5"/>
    <w:rsid w:val="00DC4DBE"/>
    <w:rsid w:val="00DC5901"/>
    <w:rsid w:val="00DC710C"/>
    <w:rsid w:val="00DD03BA"/>
    <w:rsid w:val="00DD2559"/>
    <w:rsid w:val="00DD26EA"/>
    <w:rsid w:val="00DD400A"/>
    <w:rsid w:val="00DD42E6"/>
    <w:rsid w:val="00DD4D67"/>
    <w:rsid w:val="00DD655A"/>
    <w:rsid w:val="00DD68F1"/>
    <w:rsid w:val="00DE0F0C"/>
    <w:rsid w:val="00DE158B"/>
    <w:rsid w:val="00DE2F28"/>
    <w:rsid w:val="00DE3BA3"/>
    <w:rsid w:val="00DE573B"/>
    <w:rsid w:val="00DE6E4D"/>
    <w:rsid w:val="00DE7AA2"/>
    <w:rsid w:val="00DF0D42"/>
    <w:rsid w:val="00DF2406"/>
    <w:rsid w:val="00DF270A"/>
    <w:rsid w:val="00DF3A53"/>
    <w:rsid w:val="00DF4C57"/>
    <w:rsid w:val="00DF501A"/>
    <w:rsid w:val="00DF55BA"/>
    <w:rsid w:val="00DF6DDC"/>
    <w:rsid w:val="00E016A5"/>
    <w:rsid w:val="00E03BB6"/>
    <w:rsid w:val="00E06091"/>
    <w:rsid w:val="00E06F13"/>
    <w:rsid w:val="00E06F80"/>
    <w:rsid w:val="00E1154B"/>
    <w:rsid w:val="00E11EAB"/>
    <w:rsid w:val="00E122E2"/>
    <w:rsid w:val="00E136C0"/>
    <w:rsid w:val="00E14D08"/>
    <w:rsid w:val="00E15F9C"/>
    <w:rsid w:val="00E21321"/>
    <w:rsid w:val="00E215C0"/>
    <w:rsid w:val="00E21607"/>
    <w:rsid w:val="00E22395"/>
    <w:rsid w:val="00E24BED"/>
    <w:rsid w:val="00E26411"/>
    <w:rsid w:val="00E26878"/>
    <w:rsid w:val="00E30369"/>
    <w:rsid w:val="00E30FB0"/>
    <w:rsid w:val="00E315AE"/>
    <w:rsid w:val="00E31BBC"/>
    <w:rsid w:val="00E32726"/>
    <w:rsid w:val="00E32BA9"/>
    <w:rsid w:val="00E34768"/>
    <w:rsid w:val="00E34935"/>
    <w:rsid w:val="00E35544"/>
    <w:rsid w:val="00E359CD"/>
    <w:rsid w:val="00E37EAF"/>
    <w:rsid w:val="00E426B8"/>
    <w:rsid w:val="00E42869"/>
    <w:rsid w:val="00E43058"/>
    <w:rsid w:val="00E43A7C"/>
    <w:rsid w:val="00E4646F"/>
    <w:rsid w:val="00E46843"/>
    <w:rsid w:val="00E47CFC"/>
    <w:rsid w:val="00E501DB"/>
    <w:rsid w:val="00E50979"/>
    <w:rsid w:val="00E51A4C"/>
    <w:rsid w:val="00E52524"/>
    <w:rsid w:val="00E5273B"/>
    <w:rsid w:val="00E56CAD"/>
    <w:rsid w:val="00E574F8"/>
    <w:rsid w:val="00E62F6B"/>
    <w:rsid w:val="00E64E7E"/>
    <w:rsid w:val="00E65578"/>
    <w:rsid w:val="00E65EA2"/>
    <w:rsid w:val="00E6640C"/>
    <w:rsid w:val="00E668F3"/>
    <w:rsid w:val="00E66B4B"/>
    <w:rsid w:val="00E70209"/>
    <w:rsid w:val="00E70296"/>
    <w:rsid w:val="00E7068E"/>
    <w:rsid w:val="00E71632"/>
    <w:rsid w:val="00E716A2"/>
    <w:rsid w:val="00E718A9"/>
    <w:rsid w:val="00E72286"/>
    <w:rsid w:val="00E739A8"/>
    <w:rsid w:val="00E73E7E"/>
    <w:rsid w:val="00E74723"/>
    <w:rsid w:val="00E749C2"/>
    <w:rsid w:val="00E773E6"/>
    <w:rsid w:val="00E81CDE"/>
    <w:rsid w:val="00E81DAB"/>
    <w:rsid w:val="00E8253E"/>
    <w:rsid w:val="00E82899"/>
    <w:rsid w:val="00E83C6B"/>
    <w:rsid w:val="00E849F7"/>
    <w:rsid w:val="00E9018D"/>
    <w:rsid w:val="00E90D3C"/>
    <w:rsid w:val="00E919B3"/>
    <w:rsid w:val="00E92C26"/>
    <w:rsid w:val="00E92DF7"/>
    <w:rsid w:val="00E9376C"/>
    <w:rsid w:val="00E95241"/>
    <w:rsid w:val="00E9542E"/>
    <w:rsid w:val="00E97F7E"/>
    <w:rsid w:val="00EA0A26"/>
    <w:rsid w:val="00EA0F47"/>
    <w:rsid w:val="00EA2EEF"/>
    <w:rsid w:val="00EA3659"/>
    <w:rsid w:val="00EA5433"/>
    <w:rsid w:val="00EA6AF9"/>
    <w:rsid w:val="00EB0154"/>
    <w:rsid w:val="00EB02A6"/>
    <w:rsid w:val="00EB191A"/>
    <w:rsid w:val="00EB1EEC"/>
    <w:rsid w:val="00EB332B"/>
    <w:rsid w:val="00EB39CD"/>
    <w:rsid w:val="00EB48B6"/>
    <w:rsid w:val="00EB5D29"/>
    <w:rsid w:val="00EC0628"/>
    <w:rsid w:val="00EC0B41"/>
    <w:rsid w:val="00EC0C2F"/>
    <w:rsid w:val="00EC0F9E"/>
    <w:rsid w:val="00EC133B"/>
    <w:rsid w:val="00EC18D0"/>
    <w:rsid w:val="00EC477F"/>
    <w:rsid w:val="00EC4EA7"/>
    <w:rsid w:val="00EC7A57"/>
    <w:rsid w:val="00ED064C"/>
    <w:rsid w:val="00ED092D"/>
    <w:rsid w:val="00ED1065"/>
    <w:rsid w:val="00ED2556"/>
    <w:rsid w:val="00ED2A4A"/>
    <w:rsid w:val="00ED6EB3"/>
    <w:rsid w:val="00ED7E0C"/>
    <w:rsid w:val="00EE0059"/>
    <w:rsid w:val="00EE2577"/>
    <w:rsid w:val="00EE3034"/>
    <w:rsid w:val="00EE342F"/>
    <w:rsid w:val="00EE35AC"/>
    <w:rsid w:val="00EE5540"/>
    <w:rsid w:val="00EE6164"/>
    <w:rsid w:val="00EE6EBE"/>
    <w:rsid w:val="00EE77B3"/>
    <w:rsid w:val="00EF1543"/>
    <w:rsid w:val="00EF1757"/>
    <w:rsid w:val="00EF1A62"/>
    <w:rsid w:val="00EF259A"/>
    <w:rsid w:val="00EF2F70"/>
    <w:rsid w:val="00EF3B70"/>
    <w:rsid w:val="00EF4852"/>
    <w:rsid w:val="00EF5FA1"/>
    <w:rsid w:val="00EF5FEA"/>
    <w:rsid w:val="00EF62F5"/>
    <w:rsid w:val="00F011DE"/>
    <w:rsid w:val="00F013FD"/>
    <w:rsid w:val="00F0284C"/>
    <w:rsid w:val="00F02FFD"/>
    <w:rsid w:val="00F0555E"/>
    <w:rsid w:val="00F06973"/>
    <w:rsid w:val="00F06FEA"/>
    <w:rsid w:val="00F134E3"/>
    <w:rsid w:val="00F13CCB"/>
    <w:rsid w:val="00F1494F"/>
    <w:rsid w:val="00F14AD7"/>
    <w:rsid w:val="00F164DD"/>
    <w:rsid w:val="00F20EE9"/>
    <w:rsid w:val="00F2173D"/>
    <w:rsid w:val="00F230E2"/>
    <w:rsid w:val="00F2398A"/>
    <w:rsid w:val="00F24332"/>
    <w:rsid w:val="00F3069C"/>
    <w:rsid w:val="00F30EB4"/>
    <w:rsid w:val="00F318C5"/>
    <w:rsid w:val="00F32F68"/>
    <w:rsid w:val="00F33C53"/>
    <w:rsid w:val="00F3539D"/>
    <w:rsid w:val="00F37372"/>
    <w:rsid w:val="00F377C6"/>
    <w:rsid w:val="00F40122"/>
    <w:rsid w:val="00F40CCD"/>
    <w:rsid w:val="00F4145F"/>
    <w:rsid w:val="00F44FF8"/>
    <w:rsid w:val="00F468EB"/>
    <w:rsid w:val="00F46AD5"/>
    <w:rsid w:val="00F47251"/>
    <w:rsid w:val="00F50713"/>
    <w:rsid w:val="00F5221D"/>
    <w:rsid w:val="00F53D7D"/>
    <w:rsid w:val="00F57550"/>
    <w:rsid w:val="00F60397"/>
    <w:rsid w:val="00F605AD"/>
    <w:rsid w:val="00F62647"/>
    <w:rsid w:val="00F64B4A"/>
    <w:rsid w:val="00F65609"/>
    <w:rsid w:val="00F65628"/>
    <w:rsid w:val="00F65A9F"/>
    <w:rsid w:val="00F66327"/>
    <w:rsid w:val="00F66644"/>
    <w:rsid w:val="00F6681B"/>
    <w:rsid w:val="00F70C81"/>
    <w:rsid w:val="00F7194A"/>
    <w:rsid w:val="00F71992"/>
    <w:rsid w:val="00F72C93"/>
    <w:rsid w:val="00F73244"/>
    <w:rsid w:val="00F75475"/>
    <w:rsid w:val="00F756FE"/>
    <w:rsid w:val="00F769AB"/>
    <w:rsid w:val="00F76A06"/>
    <w:rsid w:val="00F76B14"/>
    <w:rsid w:val="00F7799C"/>
    <w:rsid w:val="00F80F2C"/>
    <w:rsid w:val="00F813C6"/>
    <w:rsid w:val="00F8183D"/>
    <w:rsid w:val="00F81FCB"/>
    <w:rsid w:val="00F82393"/>
    <w:rsid w:val="00F83505"/>
    <w:rsid w:val="00F83591"/>
    <w:rsid w:val="00F841A4"/>
    <w:rsid w:val="00F85F4C"/>
    <w:rsid w:val="00F86165"/>
    <w:rsid w:val="00F876A5"/>
    <w:rsid w:val="00F90659"/>
    <w:rsid w:val="00F94195"/>
    <w:rsid w:val="00F9689C"/>
    <w:rsid w:val="00F9764A"/>
    <w:rsid w:val="00FA0621"/>
    <w:rsid w:val="00FA0B93"/>
    <w:rsid w:val="00FA14CB"/>
    <w:rsid w:val="00FA158F"/>
    <w:rsid w:val="00FA1E04"/>
    <w:rsid w:val="00FA3A82"/>
    <w:rsid w:val="00FA4978"/>
    <w:rsid w:val="00FA7E06"/>
    <w:rsid w:val="00FB1854"/>
    <w:rsid w:val="00FB4923"/>
    <w:rsid w:val="00FB7DB0"/>
    <w:rsid w:val="00FC09E8"/>
    <w:rsid w:val="00FC2E23"/>
    <w:rsid w:val="00FC4E6A"/>
    <w:rsid w:val="00FC5AE2"/>
    <w:rsid w:val="00FC6443"/>
    <w:rsid w:val="00FC744E"/>
    <w:rsid w:val="00FC7C29"/>
    <w:rsid w:val="00FC7C47"/>
    <w:rsid w:val="00FD1C11"/>
    <w:rsid w:val="00FD1D43"/>
    <w:rsid w:val="00FD2990"/>
    <w:rsid w:val="00FD2B3B"/>
    <w:rsid w:val="00FD5D92"/>
    <w:rsid w:val="00FD71A6"/>
    <w:rsid w:val="00FD77EF"/>
    <w:rsid w:val="00FD7F55"/>
    <w:rsid w:val="00FE1171"/>
    <w:rsid w:val="00FE2B8B"/>
    <w:rsid w:val="00FE31E3"/>
    <w:rsid w:val="00FE3B90"/>
    <w:rsid w:val="00FE59F9"/>
    <w:rsid w:val="00FE6BE5"/>
    <w:rsid w:val="00FE7759"/>
    <w:rsid w:val="00FF1806"/>
    <w:rsid w:val="00FF28C9"/>
    <w:rsid w:val="00FF338D"/>
    <w:rsid w:val="00FF422D"/>
    <w:rsid w:val="00FF4F69"/>
    <w:rsid w:val="00FF4F8F"/>
    <w:rsid w:val="00FF6308"/>
    <w:rsid w:val="00FF7730"/>
    <w:rsid w:val="00FF7930"/>
    <w:rsid w:val="00FF7F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2026DD6"/>
  <w15:docId w15:val="{0DC5E667-B048-4901-9143-E3F977CF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574F8"/>
    <w:pPr>
      <w:widowControl w:val="0"/>
    </w:pPr>
    <w:rPr>
      <w:snapToGrid w:val="0"/>
      <w:kern w:val="28"/>
      <w:szCs w:val="20"/>
    </w:rPr>
  </w:style>
  <w:style w:type="paragraph" w:styleId="Heading1">
    <w:name w:val="heading 1"/>
    <w:basedOn w:val="Normal"/>
    <w:next w:val="ParaNum0"/>
    <w:link w:val="Heading1Char"/>
    <w:qFormat/>
    <w:rsid w:val="00E574F8"/>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E574F8"/>
    <w:pPr>
      <w:keepNext/>
      <w:numPr>
        <w:ilvl w:val="1"/>
        <w:numId w:val="6"/>
      </w:numPr>
      <w:spacing w:after="120"/>
      <w:outlineLvl w:val="1"/>
    </w:pPr>
    <w:rPr>
      <w:b/>
    </w:rPr>
  </w:style>
  <w:style w:type="paragraph" w:styleId="Heading3">
    <w:name w:val="heading 3"/>
    <w:basedOn w:val="Normal"/>
    <w:next w:val="ParaNum0"/>
    <w:link w:val="Heading3Char"/>
    <w:qFormat/>
    <w:rsid w:val="00E574F8"/>
    <w:pPr>
      <w:keepNext/>
      <w:numPr>
        <w:ilvl w:val="2"/>
        <w:numId w:val="6"/>
      </w:numPr>
      <w:tabs>
        <w:tab w:val="left" w:pos="2160"/>
      </w:tabs>
      <w:spacing w:after="120"/>
      <w:outlineLvl w:val="2"/>
    </w:pPr>
    <w:rPr>
      <w:b/>
    </w:rPr>
  </w:style>
  <w:style w:type="paragraph" w:styleId="Heading4">
    <w:name w:val="heading 4"/>
    <w:basedOn w:val="Normal"/>
    <w:next w:val="ParaNum0"/>
    <w:link w:val="Heading4Char"/>
    <w:qFormat/>
    <w:rsid w:val="00E574F8"/>
    <w:pPr>
      <w:keepNext/>
      <w:numPr>
        <w:ilvl w:val="3"/>
        <w:numId w:val="6"/>
      </w:numPr>
      <w:tabs>
        <w:tab w:val="left" w:pos="2880"/>
      </w:tabs>
      <w:spacing w:after="120"/>
      <w:outlineLvl w:val="3"/>
    </w:pPr>
    <w:rPr>
      <w:b/>
    </w:rPr>
  </w:style>
  <w:style w:type="paragraph" w:styleId="Heading5">
    <w:name w:val="heading 5"/>
    <w:basedOn w:val="Normal"/>
    <w:next w:val="ParaNum0"/>
    <w:link w:val="Heading5Char"/>
    <w:qFormat/>
    <w:rsid w:val="00E574F8"/>
    <w:pPr>
      <w:keepNext/>
      <w:numPr>
        <w:ilvl w:val="4"/>
        <w:numId w:val="6"/>
      </w:numPr>
      <w:tabs>
        <w:tab w:val="left" w:pos="3600"/>
      </w:tabs>
      <w:suppressAutoHyphens/>
      <w:spacing w:after="120"/>
      <w:outlineLvl w:val="4"/>
    </w:pPr>
    <w:rPr>
      <w:b/>
    </w:rPr>
  </w:style>
  <w:style w:type="paragraph" w:styleId="Heading6">
    <w:name w:val="heading 6"/>
    <w:basedOn w:val="Normal"/>
    <w:next w:val="ParaNum0"/>
    <w:link w:val="Heading6Char"/>
    <w:qFormat/>
    <w:rsid w:val="00E574F8"/>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E574F8"/>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E574F8"/>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E574F8"/>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574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4F8"/>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824FFF"/>
    <w:rPr>
      <w:sz w:val="20"/>
    </w:rPr>
  </w:style>
  <w:style w:type="character" w:customStyle="1" w:styleId="BalloonTextChar">
    <w:name w:val="Balloon Text Char"/>
    <w:basedOn w:val="DefaultParagraphFont"/>
    <w:link w:val="BalloonText"/>
    <w:uiPriority w:val="99"/>
    <w:semiHidden/>
    <w:locked/>
    <w:rsid w:val="005E1749"/>
    <w:rPr>
      <w:kern w:val="28"/>
      <w:sz w:val="20"/>
      <w:szCs w:val="20"/>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E574F8"/>
    <w:pPr>
      <w:spacing w:after="120"/>
    </w:pPr>
    <w:rPr>
      <w:sz w:val="20"/>
      <w:szCs w:val="20"/>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basedOn w:val="DefaultParagraphFont"/>
    <w:locked/>
    <w:rsid w:val="00BC32AF"/>
    <w:rPr>
      <w:rFonts w:cs="Times New Roman"/>
      <w:sz w:val="24"/>
      <w:lang w:val="en-US"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574F8"/>
    <w:rPr>
      <w:rFonts w:ascii="Times New Roman" w:hAnsi="Times New Roman"/>
      <w:dstrike w:val="0"/>
      <w:color w:val="auto"/>
      <w:sz w:val="20"/>
      <w:vertAlign w:val="superscript"/>
    </w:rPr>
  </w:style>
  <w:style w:type="paragraph" w:styleId="Header">
    <w:name w:val="header"/>
    <w:basedOn w:val="Normal"/>
    <w:link w:val="HeaderChar"/>
    <w:autoRedefine/>
    <w:rsid w:val="00E574F8"/>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uiPriority w:val="99"/>
    <w:rsid w:val="00E574F8"/>
    <w:pPr>
      <w:tabs>
        <w:tab w:val="center" w:pos="4320"/>
        <w:tab w:val="right" w:pos="8640"/>
      </w:tabs>
    </w:pPr>
  </w:style>
  <w:style w:type="character" w:customStyle="1" w:styleId="FooterChar">
    <w:name w:val="Footer Char"/>
    <w:link w:val="Footer"/>
    <w:uiPriority w:val="99"/>
    <w:locked/>
    <w:rsid w:val="00E574F8"/>
    <w:rPr>
      <w:snapToGrid w:val="0"/>
      <w:kern w:val="28"/>
      <w:szCs w:val="20"/>
    </w:rPr>
  </w:style>
  <w:style w:type="character" w:styleId="PageNumber">
    <w:name w:val="page number"/>
    <w:basedOn w:val="DefaultParagraphFont"/>
    <w:rsid w:val="00E574F8"/>
  </w:style>
  <w:style w:type="paragraph" w:customStyle="1" w:styleId="Paranum">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0">
    <w:name w:val="ParaNum"/>
    <w:basedOn w:val="Normal"/>
    <w:link w:val="ParaNumChar0"/>
    <w:rsid w:val="00E574F8"/>
    <w:pPr>
      <w:numPr>
        <w:numId w:val="3"/>
      </w:numPr>
      <w:tabs>
        <w:tab w:val="clear" w:pos="1080"/>
        <w:tab w:val="num" w:pos="1440"/>
      </w:tabs>
      <w:spacing w:after="120"/>
    </w:pPr>
  </w:style>
  <w:style w:type="paragraph" w:styleId="BodyText">
    <w:name w:val="Body Text"/>
    <w:aliases w:val="b"/>
    <w:basedOn w:val="Normal"/>
    <w:link w:val="BodyTextChar"/>
    <w:uiPriority w:val="99"/>
    <w:rsid w:val="00824FFF"/>
    <w:rPr>
      <w:b/>
      <w:sz w:val="24"/>
      <w:u w:val="single"/>
    </w:rPr>
  </w:style>
  <w:style w:type="character" w:customStyle="1" w:styleId="BodyTextChar">
    <w:name w:val="Body Text Char"/>
    <w:aliases w:val="b Char"/>
    <w:basedOn w:val="DefaultParagraphFont"/>
    <w:link w:val="BodyText"/>
    <w:uiPriority w:val="99"/>
    <w:locked/>
    <w:rsid w:val="00BC32AF"/>
    <w:rPr>
      <w:b/>
      <w:kern w:val="28"/>
      <w:sz w:val="24"/>
      <w:szCs w:val="20"/>
      <w:u w:val="single"/>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82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8640E1"/>
    <w:rPr>
      <w:rFonts w:ascii="Courier New" w:hAnsi="Courier New"/>
      <w:kern w:val="28"/>
      <w:sz w:val="20"/>
      <w:szCs w:val="20"/>
    </w:rPr>
  </w:style>
  <w:style w:type="character" w:styleId="Hyperlink">
    <w:name w:val="Hyperlink"/>
    <w:rsid w:val="00E574F8"/>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824FFF"/>
    <w:pPr>
      <w:spacing w:after="120" w:line="480" w:lineRule="auto"/>
      <w:ind w:left="360"/>
    </w:pPr>
    <w:rPr>
      <w:sz w:val="24"/>
    </w:rPr>
  </w:style>
  <w:style w:type="character" w:customStyle="1" w:styleId="BodyTextIndent2Char">
    <w:name w:val="Body Text Indent 2 Char"/>
    <w:basedOn w:val="DefaultParagraphFont"/>
    <w:link w:val="BodyTextIndent2"/>
    <w:uiPriority w:val="99"/>
    <w:locked/>
    <w:rsid w:val="008640E1"/>
    <w:rPr>
      <w:kern w:val="28"/>
      <w:sz w:val="24"/>
      <w:szCs w:val="20"/>
    </w:rPr>
  </w:style>
  <w:style w:type="paragraph" w:customStyle="1" w:styleId="StyleBoldCentered">
    <w:name w:val="Style Bold Centered"/>
    <w:basedOn w:val="Normal"/>
    <w:rsid w:val="00E574F8"/>
    <w:pPr>
      <w:jc w:val="center"/>
    </w:pPr>
    <w:rPr>
      <w:rFonts w:ascii="Times New Roman Bold" w:hAnsi="Times New Roman Bold"/>
      <w:b/>
      <w:bCs/>
      <w:caps/>
      <w:szCs w:val="22"/>
    </w:rPr>
  </w:style>
  <w:style w:type="paragraph" w:styleId="TOAHeading">
    <w:name w:val="toa heading"/>
    <w:basedOn w:val="Normal"/>
    <w:next w:val="Normal"/>
    <w:semiHidden/>
    <w:rsid w:val="00E574F8"/>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824FFF"/>
    <w:rPr>
      <w:sz w:val="20"/>
    </w:rPr>
  </w:style>
  <w:style w:type="character" w:customStyle="1" w:styleId="CommentTextChar">
    <w:name w:val="Comment Text Char"/>
    <w:basedOn w:val="DefaultParagraphFont"/>
    <w:link w:val="CommentText"/>
    <w:uiPriority w:val="99"/>
    <w:locked/>
    <w:rsid w:val="00422D6A"/>
    <w:rPr>
      <w:kern w:val="28"/>
      <w:sz w:val="20"/>
      <w:szCs w:val="20"/>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kern w:val="28"/>
      <w:sz w:val="20"/>
      <w:szCs w:val="20"/>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E574F8"/>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E574F8"/>
    <w:rPr>
      <w:vertAlign w:val="superscript"/>
    </w:rPr>
  </w:style>
  <w:style w:type="paragraph" w:styleId="TOC1">
    <w:name w:val="toc 1"/>
    <w:basedOn w:val="Normal"/>
    <w:next w:val="Normal"/>
    <w:semiHidden/>
    <w:locked/>
    <w:rsid w:val="00E574F8"/>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E574F8"/>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E574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E574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E574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E574F8"/>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E574F8"/>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E574F8"/>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E574F8"/>
    <w:pPr>
      <w:tabs>
        <w:tab w:val="left" w:pos="3240"/>
        <w:tab w:val="right" w:leader="dot" w:pos="9360"/>
      </w:tabs>
      <w:suppressAutoHyphens/>
      <w:ind w:left="3240" w:hanging="360"/>
    </w:pPr>
    <w:rPr>
      <w:noProof/>
    </w:rPr>
  </w:style>
  <w:style w:type="character" w:customStyle="1" w:styleId="EquationCaption">
    <w:name w:val="_Equation Caption"/>
    <w:rsid w:val="00E574F8"/>
  </w:style>
  <w:style w:type="paragraph" w:styleId="BlockText">
    <w:name w:val="Block Text"/>
    <w:basedOn w:val="Normal"/>
    <w:locked/>
    <w:rsid w:val="00E574F8"/>
    <w:pPr>
      <w:spacing w:after="240"/>
      <w:ind w:left="1440" w:right="1440"/>
    </w:pPr>
  </w:style>
  <w:style w:type="paragraph" w:customStyle="1" w:styleId="Paratitle">
    <w:name w:val="Para title"/>
    <w:basedOn w:val="Normal"/>
    <w:rsid w:val="00E574F8"/>
    <w:pPr>
      <w:tabs>
        <w:tab w:val="center" w:pos="9270"/>
      </w:tabs>
      <w:spacing w:after="240"/>
    </w:pPr>
    <w:rPr>
      <w:spacing w:val="-2"/>
    </w:rPr>
  </w:style>
  <w:style w:type="paragraph" w:customStyle="1" w:styleId="Bullet">
    <w:name w:val="Bullet"/>
    <w:basedOn w:val="Normal"/>
    <w:rsid w:val="00E574F8"/>
    <w:pPr>
      <w:tabs>
        <w:tab w:val="left" w:pos="2160"/>
      </w:tabs>
      <w:spacing w:after="220"/>
      <w:ind w:left="2160" w:hanging="720"/>
    </w:pPr>
  </w:style>
  <w:style w:type="paragraph" w:customStyle="1" w:styleId="TableFormat">
    <w:name w:val="TableFormat"/>
    <w:basedOn w:val="Bullet"/>
    <w:rsid w:val="00E574F8"/>
    <w:pPr>
      <w:tabs>
        <w:tab w:val="clear" w:pos="2160"/>
        <w:tab w:val="left" w:pos="5040"/>
      </w:tabs>
      <w:ind w:left="5040" w:hanging="3600"/>
    </w:pPr>
  </w:style>
  <w:style w:type="paragraph" w:customStyle="1" w:styleId="TOCTitle">
    <w:name w:val="TOC Title"/>
    <w:basedOn w:val="Normal"/>
    <w:rsid w:val="00E574F8"/>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D87441"/>
    <w:rPr>
      <w:lang w:val="en-US" w:eastAsia="en-US"/>
    </w:rPr>
  </w:style>
  <w:style w:type="character" w:customStyle="1" w:styleId="ALTSFOOTNOTECharChar">
    <w:name w:val="ALTS FOOTNOTE Char Char"/>
    <w:aliases w:val="f Char,fn Char Char,fn Char1,rrfootnote Char Char Char Char Char,rrfootnote Char1 Char"/>
    <w:locked/>
    <w:rsid w:val="00A031CA"/>
  </w:style>
  <w:style w:type="character" w:customStyle="1" w:styleId="ParaNumChar0">
    <w:name w:val="ParaNum Char"/>
    <w:link w:val="ParaNum0"/>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customStyle="1" w:styleId="UnresolvedMention">
    <w:name w:val="Unresolved Mention"/>
    <w:basedOn w:val="DefaultParagraphFont"/>
    <w:uiPriority w:val="99"/>
    <w:semiHidden/>
    <w:unhideWhenUsed/>
    <w:rsid w:val="00A167BB"/>
    <w:rPr>
      <w:color w:val="605E5C"/>
      <w:shd w:val="clear" w:color="auto" w:fill="E1DFDD"/>
    </w:rPr>
  </w:style>
  <w:style w:type="character" w:styleId="FollowedHyperlink">
    <w:name w:val="FollowedHyperlink"/>
    <w:basedOn w:val="DefaultParagraphFont"/>
    <w:uiPriority w:val="99"/>
    <w:semiHidden/>
    <w:unhideWhenUsed/>
    <w:locked/>
    <w:rsid w:val="003B5442"/>
    <w:rPr>
      <w:color w:val="800080" w:themeColor="followedHyperlink"/>
      <w:u w:val="single"/>
    </w:rPr>
  </w:style>
  <w:style w:type="character" w:styleId="Emphasis">
    <w:name w:val="Emphasis"/>
    <w:uiPriority w:val="20"/>
    <w:qFormat/>
    <w:locked/>
    <w:rsid w:val="00136D09"/>
    <w:rPr>
      <w:i/>
      <w:iCs/>
    </w:rPr>
  </w:style>
  <w:style w:type="character" w:customStyle="1" w:styleId="cosearchterm">
    <w:name w:val="co_searchterm"/>
    <w:basedOn w:val="DefaultParagraphFont"/>
    <w:rsid w:val="0013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licensing-databases/fees/wire-transfer" TargetMode="External" /><Relationship Id="rId11" Type="http://schemas.openxmlformats.org/officeDocument/2006/relationships/hyperlink" Target="https://appsint.fcc.gov/cores/userLogin.do" TargetMode="External" /><Relationship Id="rId12" Type="http://schemas.openxmlformats.org/officeDocument/2006/relationships/hyperlink" Target="https://apps.fcc.gov/cores/paymentFrnLogin.do" TargetMode="External" /><Relationship Id="rId13" Type="http://schemas.openxmlformats.org/officeDocument/2006/relationships/hyperlink" Target="mailto:Estella.Salvatierra@fcc.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ffrey.Gee@fcc.gov" TargetMode="External" /><Relationship Id="rId6" Type="http://schemas.openxmlformats.org/officeDocument/2006/relationships/hyperlink" Target="mailto:Christopher.Sova@fcc.gov" TargetMode="External" /><Relationship Id="rId7" Type="http://schemas.openxmlformats.org/officeDocument/2006/relationships/hyperlink" Target="mailto:Elizabeth.Goldin@fcc.gov" TargetMode="External" /><Relationship Id="rId8" Type="http://schemas.openxmlformats.org/officeDocument/2006/relationships/hyperlink" Target="Estella.Salvatierra@fcc.gov" TargetMode="External" /><Relationship Id="rId9" Type="http://schemas.openxmlformats.org/officeDocument/2006/relationships/hyperlink" Target="RROGWireFax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cumulusmedia.com/" TargetMode="External" /><Relationship Id="rId10" Type="http://schemas.openxmlformats.org/officeDocument/2006/relationships/hyperlink" Target="https://www.fcc.gov/licensing-databases/fees/fcc-remittance-advice-form-159" TargetMode="External" /><Relationship Id="rId2" Type="http://schemas.openxmlformats.org/officeDocument/2006/relationships/hyperlink" Target="https://enterpriseefiling.fcc.gov/dataentry/public/tv/draftCopy.html?displayType=html&amp;appKey=25076ff37414384b0174271ea2051252&amp;id=25076ff37414384b0174271ea2051252&amp;goBack=N" TargetMode="External" /><Relationship Id="rId3" Type="http://schemas.openxmlformats.org/officeDocument/2006/relationships/hyperlink" Target="https://enterpriseefiling.fcc.gov/dataentry/public/tv/draftCopy.html?displayType=html&amp;appKey=25076ff37414384b017427295ecb1271&amp;id=25076ff37414384b017427295ecb1271&amp;goBack=N" TargetMode="External" /><Relationship Id="rId4" Type="http://schemas.openxmlformats.org/officeDocument/2006/relationships/hyperlink" Target="https://enterpriseefiling.fcc.gov/dataentry/public/tv/draftCopy.html?displayType=html&amp;appKey=25076ff37414384b0174272d723c128e&amp;id=25076ff37414384b0174272d723c128e&amp;goBack=N" TargetMode="External" /><Relationship Id="rId5" Type="http://schemas.openxmlformats.org/officeDocument/2006/relationships/hyperlink" Target="https://enterpriseefiling.fcc.gov/dataentry/public/tv/draftCopy.html?displayType=html&amp;appKey=25076ff37414384b01742730ae1e12ad&amp;id=25076ff37414384b01742730ae1e12ad&amp;goBack=N" TargetMode="External" /><Relationship Id="rId6" Type="http://schemas.openxmlformats.org/officeDocument/2006/relationships/hyperlink" Target="https://enterpriseefiling.fcc.gov/dataentry/public/tv/draftCopy.html?displayType=html&amp;appKey=25076ff37414384b0174271781c61234&amp;id=25076ff37414384b0174271781c61234&amp;goBack=N" TargetMode="External" /><Relationship Id="rId7" Type="http://schemas.openxmlformats.org/officeDocument/2006/relationships/hyperlink" Target="https://www.cumulusmedia.com/wp-content/uploads/2020/11/CMLS-2020.09.30-Earnings-Release-FINAL-V2.pdf" TargetMode="External" /><Relationship Id="rId8" Type="http://schemas.openxmlformats.org/officeDocument/2006/relationships/hyperlink" Target="https://www.cumulusmedia.com/wp-content/uploads/2020/02/CMLS_12312019_Earnings_Release_Final-1.pdf" TargetMode="External" /><Relationship Id="rId9" Type="http://schemas.openxmlformats.org/officeDocument/2006/relationships/hyperlink" Target="mailto:ARINQUIRIES@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