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AA286E" w14:paraId="79E73FBB" w14:textId="77777777">
      <w:pPr>
        <w:jc w:val="center"/>
        <w:rPr>
          <w:rFonts w:ascii="Times New Roman" w:hAnsi="Times New Roman" w:cs="Times New Roman"/>
          <w:b/>
        </w:rPr>
      </w:pPr>
      <w:r w:rsidRPr="00AA286E">
        <w:rPr>
          <w:rFonts w:ascii="Times New Roman" w:hAnsi="Times New Roman" w:cs="Times New Roman"/>
          <w:b/>
        </w:rPr>
        <w:t>Before the</w:t>
      </w:r>
    </w:p>
    <w:p w:rsidR="00921803" w:rsidRPr="00AA286E" w:rsidP="00921803" w14:paraId="3784E17E" w14:textId="77777777">
      <w:pPr>
        <w:pStyle w:val="StyleBoldCentered"/>
        <w:rPr>
          <w:rFonts w:ascii="Times New Roman" w:hAnsi="Times New Roman" w:cs="Times New Roman"/>
        </w:rPr>
      </w:pPr>
      <w:r w:rsidRPr="00AA286E">
        <w:rPr>
          <w:rFonts w:ascii="Times New Roman" w:hAnsi="Times New Roman" w:cs="Times New Roman"/>
        </w:rPr>
        <w:t>F</w:t>
      </w:r>
      <w:r w:rsidRPr="00AA286E">
        <w:rPr>
          <w:rFonts w:ascii="Times New Roman" w:hAnsi="Times New Roman" w:cs="Times New Roman"/>
          <w:caps w:val="0"/>
        </w:rPr>
        <w:t>ederal Communications Commission</w:t>
      </w:r>
    </w:p>
    <w:p w:rsidR="004C2EE3" w:rsidRPr="00AA286E" w:rsidP="00096D8C" w14:paraId="7FCB82A6" w14:textId="77777777">
      <w:pPr>
        <w:pStyle w:val="StyleBoldCentered"/>
        <w:rPr>
          <w:rFonts w:ascii="Times New Roman" w:hAnsi="Times New Roman" w:cs="Times New Roman"/>
        </w:rPr>
      </w:pPr>
      <w:r w:rsidRPr="00AA286E">
        <w:rPr>
          <w:rFonts w:ascii="Times New Roman" w:hAnsi="Times New Roman" w:cs="Times New Roman"/>
          <w:caps w:val="0"/>
        </w:rPr>
        <w:t>Washington, D.C. 20554</w:t>
      </w:r>
    </w:p>
    <w:p w:rsidR="004C2EE3" w:rsidRPr="00AA286E" w:rsidP="0070224F" w14:paraId="3D601F61" w14:textId="77777777">
      <w:pPr>
        <w:rPr>
          <w:rFonts w:ascii="Times New Roman" w:hAnsi="Times New Roman" w:cs="Times New Roman"/>
        </w:rPr>
      </w:pPr>
    </w:p>
    <w:p w:rsidR="004C2EE3" w:rsidRPr="00AA286E" w:rsidP="0070224F" w14:paraId="2BA0967E" w14:textId="77777777">
      <w:pPr>
        <w:rPr>
          <w:rFonts w:ascii="Times New Roman" w:hAnsi="Times New Roman" w:cs="Times New Roman"/>
        </w:rPr>
      </w:pPr>
    </w:p>
    <w:tbl>
      <w:tblPr>
        <w:tblW w:w="0" w:type="auto"/>
        <w:tblLayout w:type="fixed"/>
        <w:tblLook w:val="0000"/>
      </w:tblPr>
      <w:tblGrid>
        <w:gridCol w:w="4698"/>
        <w:gridCol w:w="630"/>
        <w:gridCol w:w="4248"/>
      </w:tblGrid>
      <w:tr w14:paraId="454ED462" w14:textId="77777777" w:rsidTr="0060018A">
        <w:tblPrEx>
          <w:tblW w:w="0" w:type="auto"/>
          <w:tblLayout w:type="fixed"/>
          <w:tblLook w:val="0000"/>
        </w:tblPrEx>
        <w:tc>
          <w:tcPr>
            <w:tcW w:w="4698" w:type="dxa"/>
          </w:tcPr>
          <w:p w:rsidR="004C2EE3" w:rsidRPr="00AA286E" w14:paraId="4ABA39D6" w14:textId="77777777">
            <w:pPr>
              <w:tabs>
                <w:tab w:val="center" w:pos="4680"/>
              </w:tabs>
              <w:suppressAutoHyphens/>
              <w:rPr>
                <w:rFonts w:ascii="Times New Roman" w:hAnsi="Times New Roman" w:cs="Times New Roman"/>
                <w:spacing w:val="-2"/>
              </w:rPr>
            </w:pPr>
            <w:r w:rsidRPr="00AA286E">
              <w:rPr>
                <w:rFonts w:ascii="Times New Roman" w:hAnsi="Times New Roman" w:cs="Times New Roman"/>
                <w:spacing w:val="-2"/>
              </w:rPr>
              <w:t>In the Matter of</w:t>
            </w:r>
          </w:p>
          <w:p w:rsidR="004C2EE3" w:rsidRPr="00AA286E" w14:paraId="6549AD51" w14:textId="77777777">
            <w:pPr>
              <w:tabs>
                <w:tab w:val="center" w:pos="4680"/>
              </w:tabs>
              <w:suppressAutoHyphens/>
              <w:rPr>
                <w:rFonts w:ascii="Times New Roman" w:hAnsi="Times New Roman" w:cs="Times New Roman"/>
                <w:spacing w:val="-2"/>
              </w:rPr>
            </w:pPr>
          </w:p>
          <w:p w:rsidR="004C2EE3" w:rsidRPr="00AA286E" w:rsidP="007115F7" w14:paraId="568AEFD0" w14:textId="08E647EF">
            <w:pPr>
              <w:tabs>
                <w:tab w:val="center" w:pos="4680"/>
              </w:tabs>
              <w:suppressAutoHyphens/>
              <w:rPr>
                <w:rFonts w:ascii="Times New Roman" w:hAnsi="Times New Roman" w:cs="Times New Roman"/>
                <w:spacing w:val="-2"/>
              </w:rPr>
            </w:pPr>
            <w:r w:rsidRPr="00AA286E">
              <w:rPr>
                <w:rFonts w:ascii="Times New Roman" w:hAnsi="Times New Roman" w:cs="Times New Roman"/>
                <w:spacing w:val="-2"/>
              </w:rPr>
              <w:t>Secur</w:t>
            </w:r>
            <w:r w:rsidRPr="00AA286E" w:rsidR="00F6604F">
              <w:rPr>
                <w:rFonts w:ascii="Times New Roman" w:hAnsi="Times New Roman" w:cs="Times New Roman"/>
                <w:spacing w:val="-2"/>
              </w:rPr>
              <w:t>e Internet Routing</w:t>
            </w:r>
          </w:p>
        </w:tc>
        <w:tc>
          <w:tcPr>
            <w:tcW w:w="630" w:type="dxa"/>
          </w:tcPr>
          <w:p w:rsidR="004C2EE3" w:rsidRPr="00AA286E" w14:paraId="2B1EF447" w14:textId="77777777">
            <w:pPr>
              <w:tabs>
                <w:tab w:val="center" w:pos="4680"/>
              </w:tabs>
              <w:suppressAutoHyphens/>
              <w:rPr>
                <w:rFonts w:ascii="Times New Roman" w:hAnsi="Times New Roman" w:cs="Times New Roman"/>
                <w:b/>
                <w:spacing w:val="-2"/>
              </w:rPr>
            </w:pPr>
            <w:r w:rsidRPr="00AA286E">
              <w:rPr>
                <w:rFonts w:ascii="Times New Roman" w:hAnsi="Times New Roman" w:cs="Times New Roman"/>
                <w:b/>
                <w:spacing w:val="-2"/>
              </w:rPr>
              <w:t>)</w:t>
            </w:r>
          </w:p>
          <w:p w:rsidR="004C2EE3" w:rsidRPr="00AA286E" w14:paraId="5D8E08FB" w14:textId="77777777">
            <w:pPr>
              <w:tabs>
                <w:tab w:val="center" w:pos="4680"/>
              </w:tabs>
              <w:suppressAutoHyphens/>
              <w:rPr>
                <w:rFonts w:ascii="Times New Roman" w:hAnsi="Times New Roman" w:cs="Times New Roman"/>
                <w:b/>
                <w:spacing w:val="-2"/>
              </w:rPr>
            </w:pPr>
            <w:r w:rsidRPr="00AA286E">
              <w:rPr>
                <w:rFonts w:ascii="Times New Roman" w:hAnsi="Times New Roman" w:cs="Times New Roman"/>
                <w:b/>
                <w:spacing w:val="-2"/>
              </w:rPr>
              <w:t>)</w:t>
            </w:r>
          </w:p>
          <w:p w:rsidR="004C2EE3" w:rsidRPr="00AA286E" w14:paraId="2CFB6013" w14:textId="77777777">
            <w:pPr>
              <w:tabs>
                <w:tab w:val="center" w:pos="4680"/>
              </w:tabs>
              <w:suppressAutoHyphens/>
              <w:rPr>
                <w:rFonts w:ascii="Times New Roman" w:hAnsi="Times New Roman" w:cs="Times New Roman"/>
                <w:b/>
                <w:spacing w:val="-2"/>
              </w:rPr>
            </w:pPr>
            <w:r w:rsidRPr="00AA286E">
              <w:rPr>
                <w:rFonts w:ascii="Times New Roman" w:hAnsi="Times New Roman" w:cs="Times New Roman"/>
                <w:b/>
                <w:spacing w:val="-2"/>
              </w:rPr>
              <w:t>)</w:t>
            </w:r>
          </w:p>
          <w:p w:rsidR="004C2EE3" w:rsidRPr="00F443D6" w14:paraId="2ED4B1FF" w14:textId="78CB63B6">
            <w:pPr>
              <w:tabs>
                <w:tab w:val="center" w:pos="4680"/>
              </w:tabs>
              <w:suppressAutoHyphens/>
              <w:rPr>
                <w:rFonts w:ascii="Times New Roman" w:hAnsi="Times New Roman" w:cs="Times New Roman"/>
                <w:b/>
                <w:spacing w:val="-2"/>
              </w:rPr>
            </w:pPr>
            <w:r w:rsidRPr="00AA286E">
              <w:rPr>
                <w:rFonts w:ascii="Times New Roman" w:hAnsi="Times New Roman" w:cs="Times New Roman"/>
                <w:b/>
                <w:spacing w:val="-2"/>
              </w:rPr>
              <w:t>)</w:t>
            </w:r>
          </w:p>
        </w:tc>
        <w:tc>
          <w:tcPr>
            <w:tcW w:w="4248" w:type="dxa"/>
          </w:tcPr>
          <w:p w:rsidR="004C2EE3" w:rsidRPr="00AA286E" w14:paraId="30BD47D3" w14:textId="77777777">
            <w:pPr>
              <w:tabs>
                <w:tab w:val="center" w:pos="4680"/>
              </w:tabs>
              <w:suppressAutoHyphens/>
              <w:rPr>
                <w:rFonts w:ascii="Times New Roman" w:hAnsi="Times New Roman" w:cs="Times New Roman"/>
                <w:spacing w:val="-2"/>
              </w:rPr>
            </w:pPr>
          </w:p>
          <w:p w:rsidR="004C2EE3" w:rsidRPr="00AA286E" w14:paraId="6879285D" w14:textId="77777777">
            <w:pPr>
              <w:pStyle w:val="TOAHeading"/>
              <w:tabs>
                <w:tab w:val="center" w:pos="4680"/>
                <w:tab w:val="clear" w:pos="9360"/>
              </w:tabs>
              <w:rPr>
                <w:rFonts w:ascii="Times New Roman" w:hAnsi="Times New Roman" w:cs="Times New Roman"/>
                <w:spacing w:val="-2"/>
              </w:rPr>
            </w:pPr>
          </w:p>
          <w:p w:rsidR="004C2EE3" w:rsidRPr="00AA286E" w14:paraId="0B0E7944" w14:textId="2CE2AB82">
            <w:pPr>
              <w:tabs>
                <w:tab w:val="center" w:pos="4680"/>
              </w:tabs>
              <w:suppressAutoHyphens/>
              <w:rPr>
                <w:rFonts w:ascii="Times New Roman" w:hAnsi="Times New Roman" w:cs="Times New Roman"/>
                <w:spacing w:val="-2"/>
              </w:rPr>
            </w:pPr>
            <w:r w:rsidRPr="001A2092">
              <w:rPr>
                <w:rFonts w:ascii="Times New Roman" w:hAnsi="Times New Roman"/>
              </w:rPr>
              <w:t>PS Docket No. 22-90</w:t>
            </w:r>
          </w:p>
        </w:tc>
      </w:tr>
    </w:tbl>
    <w:p w:rsidR="004C2EE3" w:rsidRPr="00AA286E" w:rsidP="0070224F" w14:paraId="7C3693A8" w14:textId="77777777">
      <w:pPr>
        <w:rPr>
          <w:rFonts w:ascii="Times New Roman" w:hAnsi="Times New Roman" w:cs="Times New Roman"/>
        </w:rPr>
      </w:pPr>
    </w:p>
    <w:p w:rsidR="00841AB1" w:rsidRPr="00E43D5F" w:rsidP="00F021FA" w14:paraId="54CB8EFD" w14:textId="5DCD070F">
      <w:pPr>
        <w:pStyle w:val="StyleBoldCentered"/>
        <w:rPr>
          <w:rFonts w:ascii="Times New Roman" w:hAnsi="Times New Roman" w:cs="Times New Roman"/>
        </w:rPr>
      </w:pPr>
      <w:r w:rsidRPr="00AA286E">
        <w:rPr>
          <w:rFonts w:ascii="Times New Roman" w:hAnsi="Times New Roman" w:cs="Times New Roman"/>
        </w:rPr>
        <w:t>notice of inquiry</w:t>
      </w:r>
    </w:p>
    <w:p w:rsidR="004C2EE3" w:rsidRPr="004D66E8" w14:paraId="20395C99" w14:textId="77777777">
      <w:pPr>
        <w:tabs>
          <w:tab w:val="left" w:pos="-720"/>
        </w:tabs>
        <w:suppressAutoHyphens/>
        <w:spacing w:line="227" w:lineRule="auto"/>
        <w:rPr>
          <w:rFonts w:ascii="Times New Roman" w:hAnsi="Times New Roman" w:cs="Times New Roman"/>
          <w:spacing w:val="-2"/>
        </w:rPr>
      </w:pPr>
    </w:p>
    <w:p w:rsidR="004C2EE3" w:rsidRPr="00AA286E" w:rsidP="00133F79" w14:paraId="53A22782" w14:textId="2111A5CB">
      <w:pPr>
        <w:tabs>
          <w:tab w:val="left" w:pos="720"/>
          <w:tab w:val="right" w:pos="9360"/>
        </w:tabs>
        <w:suppressAutoHyphens/>
        <w:spacing w:line="227" w:lineRule="auto"/>
        <w:rPr>
          <w:rFonts w:ascii="Times New Roman" w:hAnsi="Times New Roman" w:cs="Times New Roman"/>
          <w:spacing w:val="-2"/>
        </w:rPr>
      </w:pPr>
      <w:r w:rsidRPr="00AA286E">
        <w:rPr>
          <w:rFonts w:ascii="Times New Roman" w:hAnsi="Times New Roman" w:cs="Times New Roman"/>
          <w:b/>
          <w:spacing w:val="-2"/>
        </w:rPr>
        <w:t xml:space="preserve">Adopted:  </w:t>
      </w:r>
      <w:r w:rsidR="00F443D6">
        <w:rPr>
          <w:rFonts w:ascii="Times New Roman" w:hAnsi="Times New Roman" w:cs="Times New Roman"/>
          <w:b/>
          <w:spacing w:val="-2"/>
        </w:rPr>
        <w:t>February 28, 2022</w:t>
      </w:r>
      <w:r w:rsidRPr="00AA286E">
        <w:rPr>
          <w:rFonts w:ascii="Times New Roman" w:hAnsi="Times New Roman" w:cs="Times New Roman"/>
          <w:b/>
          <w:spacing w:val="-2"/>
        </w:rPr>
        <w:tab/>
      </w:r>
      <w:r w:rsidRPr="00AA286E" w:rsidR="00822CE0">
        <w:rPr>
          <w:rFonts w:ascii="Times New Roman" w:hAnsi="Times New Roman" w:cs="Times New Roman"/>
          <w:b/>
          <w:spacing w:val="-2"/>
        </w:rPr>
        <w:t>Released</w:t>
      </w:r>
      <w:r w:rsidRPr="00AA286E">
        <w:rPr>
          <w:rFonts w:ascii="Times New Roman" w:hAnsi="Times New Roman" w:cs="Times New Roman"/>
          <w:b/>
          <w:spacing w:val="-2"/>
        </w:rPr>
        <w:t>:</w:t>
      </w:r>
      <w:r w:rsidRPr="00E43D5F" w:rsidR="00822CE0">
        <w:rPr>
          <w:rFonts w:ascii="Times New Roman" w:hAnsi="Times New Roman" w:cs="Times New Roman"/>
          <w:b/>
          <w:spacing w:val="-2"/>
        </w:rPr>
        <w:t xml:space="preserve"> </w:t>
      </w:r>
      <w:r w:rsidRPr="00E43D5F">
        <w:rPr>
          <w:rFonts w:ascii="Times New Roman" w:hAnsi="Times New Roman" w:cs="Times New Roman"/>
          <w:b/>
          <w:spacing w:val="-2"/>
        </w:rPr>
        <w:t xml:space="preserve"> </w:t>
      </w:r>
      <w:r w:rsidR="00F443D6">
        <w:rPr>
          <w:rFonts w:ascii="Times New Roman" w:hAnsi="Times New Roman" w:cs="Times New Roman"/>
          <w:b/>
          <w:spacing w:val="-2"/>
        </w:rPr>
        <w:t>February 28, 2022</w:t>
      </w:r>
    </w:p>
    <w:p w:rsidR="00822CE0" w:rsidRPr="00AA286E" w14:paraId="0ED27C79" w14:textId="77777777">
      <w:pPr>
        <w:rPr>
          <w:rFonts w:ascii="Times New Roman" w:hAnsi="Times New Roman" w:cs="Times New Roman"/>
        </w:rPr>
      </w:pPr>
    </w:p>
    <w:p w:rsidR="008A584A" w:rsidRPr="00970050" w:rsidP="008A584A" w14:paraId="267EFC13" w14:textId="7CED7F5F">
      <w:pPr>
        <w:rPr>
          <w:rFonts w:ascii="Times New Roman" w:hAnsi="Times New Roman" w:cs="Times New Roman"/>
          <w:b/>
          <w:color w:val="000000"/>
        </w:rPr>
      </w:pPr>
      <w:r w:rsidRPr="004D66E8">
        <w:rPr>
          <w:rFonts w:ascii="Times New Roman" w:hAnsi="Times New Roman" w:cs="Times New Roman"/>
          <w:b/>
          <w:bCs/>
          <w:color w:val="000000"/>
        </w:rPr>
        <w:t>Comment Date:  30 days after Federal Register Publication</w:t>
      </w:r>
    </w:p>
    <w:p w:rsidR="008A584A" w:rsidRPr="00EE19FD" w:rsidP="008A584A" w14:paraId="7099390B" w14:textId="0406331C">
      <w:pPr>
        <w:rPr>
          <w:rFonts w:ascii="Times New Roman" w:hAnsi="Times New Roman" w:cs="Times New Roman"/>
          <w:b/>
          <w:bCs/>
          <w:color w:val="000000"/>
        </w:rPr>
      </w:pPr>
      <w:r w:rsidRPr="00EE19FD">
        <w:rPr>
          <w:rFonts w:ascii="Times New Roman" w:hAnsi="Times New Roman" w:cs="Times New Roman"/>
          <w:b/>
          <w:bCs/>
          <w:color w:val="000000"/>
        </w:rPr>
        <w:t xml:space="preserve">Reply Comment Date:  </w:t>
      </w:r>
      <w:r w:rsidR="00F443D6">
        <w:rPr>
          <w:rFonts w:ascii="Times New Roman" w:hAnsi="Times New Roman" w:cs="Times New Roman"/>
          <w:b/>
          <w:bCs/>
          <w:color w:val="000000"/>
        </w:rPr>
        <w:t>6</w:t>
      </w:r>
      <w:r w:rsidRPr="00EE19FD">
        <w:rPr>
          <w:rFonts w:ascii="Times New Roman" w:hAnsi="Times New Roman" w:cs="Times New Roman"/>
          <w:b/>
          <w:bCs/>
          <w:color w:val="000000"/>
        </w:rPr>
        <w:t>0 days after Federal Register Publication</w:t>
      </w:r>
    </w:p>
    <w:p w:rsidR="008A584A" w:rsidRPr="00AA286E" w14:paraId="19E68184" w14:textId="77777777">
      <w:pPr>
        <w:rPr>
          <w:rFonts w:ascii="Times New Roman" w:hAnsi="Times New Roman" w:cs="Times New Roman"/>
        </w:rPr>
      </w:pPr>
    </w:p>
    <w:p w:rsidR="004C2EE3" w:rsidRPr="00AA286E" w14:paraId="3BFDE40E" w14:textId="5B3A21EC">
      <w:pPr>
        <w:rPr>
          <w:rFonts w:ascii="Times New Roman" w:hAnsi="Times New Roman" w:cs="Times New Roman"/>
          <w:spacing w:val="-2"/>
        </w:rPr>
      </w:pPr>
      <w:r w:rsidRPr="00AA286E">
        <w:rPr>
          <w:rFonts w:ascii="Times New Roman" w:hAnsi="Times New Roman" w:cs="Times New Roman"/>
        </w:rPr>
        <w:t xml:space="preserve">By </w:t>
      </w:r>
      <w:r w:rsidRPr="00AA286E" w:rsidR="004E4A22">
        <w:rPr>
          <w:rFonts w:ascii="Times New Roman" w:hAnsi="Times New Roman" w:cs="Times New Roman"/>
        </w:rPr>
        <w:t>the</w:t>
      </w:r>
      <w:r w:rsidRPr="00AA286E" w:rsidR="0007692A">
        <w:rPr>
          <w:rFonts w:ascii="Times New Roman" w:hAnsi="Times New Roman" w:cs="Times New Roman"/>
        </w:rPr>
        <w:t xml:space="preserve"> Commission</w:t>
      </w:r>
      <w:r w:rsidRPr="00AA286E">
        <w:rPr>
          <w:rFonts w:ascii="Times New Roman" w:hAnsi="Times New Roman" w:cs="Times New Roman"/>
          <w:spacing w:val="-2"/>
        </w:rPr>
        <w:t>:</w:t>
      </w:r>
    </w:p>
    <w:p w:rsidR="00822CE0" w:rsidRPr="00AA286E" w14:paraId="1622CC79" w14:textId="77777777">
      <w:pPr>
        <w:rPr>
          <w:rFonts w:ascii="Times New Roman" w:hAnsi="Times New Roman" w:cs="Times New Roman"/>
          <w:spacing w:val="-2"/>
        </w:rPr>
      </w:pPr>
    </w:p>
    <w:p w:rsidR="00412FC5" w:rsidRPr="00AA286E" w:rsidP="00C36B4C" w14:paraId="500AFA33" w14:textId="1BB7FEE5">
      <w:pPr>
        <w:pStyle w:val="Heading1"/>
        <w:rPr>
          <w:rFonts w:ascii="Times New Roman" w:hAnsi="Times New Roman" w:cs="Times New Roman"/>
        </w:rPr>
      </w:pPr>
      <w:r w:rsidRPr="00AA286E">
        <w:rPr>
          <w:rFonts w:ascii="Times New Roman" w:hAnsi="Times New Roman" w:cs="Times New Roman"/>
        </w:rPr>
        <w:t>I</w:t>
      </w:r>
      <w:r w:rsidRPr="00AA286E" w:rsidR="007063ED">
        <w:rPr>
          <w:rFonts w:ascii="Times New Roman" w:hAnsi="Times New Roman" w:cs="Times New Roman"/>
        </w:rPr>
        <w:t>ntroduction</w:t>
      </w:r>
    </w:p>
    <w:p w:rsidR="00397939" w:rsidRPr="00AA286E" w:rsidP="00B667BF" w14:paraId="099C55B6" w14:textId="45132929">
      <w:pPr>
        <w:pStyle w:val="ParaNum"/>
        <w:rPr>
          <w:rFonts w:ascii="Times New Roman" w:hAnsi="Times New Roman" w:cs="Times New Roman"/>
        </w:rPr>
      </w:pPr>
      <w:r w:rsidRPr="00AA286E">
        <w:rPr>
          <w:rFonts w:ascii="Times New Roman" w:hAnsi="Times New Roman" w:cs="Times New Roman"/>
        </w:rPr>
        <w:t>The Commission plays an important role in protecting the security of America’s communications networks and critical infrastructure.</w:t>
      </w:r>
      <w:r w:rsidRPr="00AA286E">
        <w:rPr>
          <w:rFonts w:ascii="Times New Roman" w:hAnsi="Times New Roman" w:cs="Times New Roman"/>
        </w:rPr>
        <w:t xml:space="preserve"> </w:t>
      </w:r>
      <w:r w:rsidRPr="00AA286E">
        <w:rPr>
          <w:rFonts w:ascii="Times New Roman" w:hAnsi="Times New Roman" w:cs="Times New Roman"/>
        </w:rPr>
        <w:t xml:space="preserve"> </w:t>
      </w:r>
      <w:r w:rsidRPr="00AA286E" w:rsidR="00321F61">
        <w:rPr>
          <w:rFonts w:ascii="Times New Roman" w:hAnsi="Times New Roman" w:cs="Times New Roman"/>
        </w:rPr>
        <w:t>The Commission, in tandem with its federal partners, has</w:t>
      </w:r>
      <w:r w:rsidRPr="00AA286E" w:rsidR="00567A7E">
        <w:rPr>
          <w:rFonts w:ascii="Times New Roman" w:hAnsi="Times New Roman" w:cs="Times New Roman"/>
        </w:rPr>
        <w:t xml:space="preserve"> urge</w:t>
      </w:r>
      <w:r w:rsidRPr="00AA286E" w:rsidR="00321F61">
        <w:rPr>
          <w:rFonts w:ascii="Times New Roman" w:hAnsi="Times New Roman" w:cs="Times New Roman"/>
        </w:rPr>
        <w:t>d</w:t>
      </w:r>
      <w:r w:rsidRPr="00AA286E" w:rsidR="00567A7E">
        <w:rPr>
          <w:rFonts w:ascii="Times New Roman" w:hAnsi="Times New Roman" w:cs="Times New Roman"/>
        </w:rPr>
        <w:t xml:space="preserve"> </w:t>
      </w:r>
      <w:r w:rsidRPr="00AA286E" w:rsidR="00321F61">
        <w:rPr>
          <w:rFonts w:ascii="Times New Roman" w:hAnsi="Times New Roman" w:cs="Times New Roman"/>
        </w:rPr>
        <w:t xml:space="preserve">the </w:t>
      </w:r>
      <w:r w:rsidRPr="00AA286E" w:rsidR="00567A7E">
        <w:rPr>
          <w:rFonts w:ascii="Times New Roman" w:hAnsi="Times New Roman" w:cs="Times New Roman"/>
        </w:rPr>
        <w:t xml:space="preserve">communications </w:t>
      </w:r>
      <w:r w:rsidRPr="00AA286E" w:rsidR="00321F61">
        <w:rPr>
          <w:rFonts w:ascii="Times New Roman" w:hAnsi="Times New Roman" w:cs="Times New Roman"/>
        </w:rPr>
        <w:t xml:space="preserve">sector </w:t>
      </w:r>
      <w:r w:rsidRPr="00AA286E" w:rsidR="00567A7E">
        <w:rPr>
          <w:rFonts w:ascii="Times New Roman" w:hAnsi="Times New Roman" w:cs="Times New Roman"/>
        </w:rPr>
        <w:t>to defend against cyber threats</w:t>
      </w:r>
      <w:r w:rsidRPr="00AA286E" w:rsidR="00321F61">
        <w:rPr>
          <w:rFonts w:ascii="Times New Roman" w:hAnsi="Times New Roman" w:cs="Times New Roman"/>
        </w:rPr>
        <w:t xml:space="preserve">, while also taking </w:t>
      </w:r>
      <w:r w:rsidRPr="00AA286E" w:rsidR="00321F61">
        <w:rPr>
          <w:rFonts w:ascii="Times New Roman" w:eastAsia="Times New Roman" w:hAnsi="Times New Roman" w:cs="Times New Roman"/>
          <w:lang w:eastAsia="ja-JP"/>
        </w:rPr>
        <w:t>measures to reinforce our Nation’s readiness and to strengthen the cybersecurity of vital communications services and infrastructure</w:t>
      </w:r>
      <w:r w:rsidRPr="00AA286E" w:rsidR="00EA0807">
        <w:rPr>
          <w:rFonts w:ascii="Times New Roman" w:eastAsia="Times New Roman" w:hAnsi="Times New Roman" w:cs="Times New Roman"/>
          <w:lang w:eastAsia="ja-JP"/>
        </w:rPr>
        <w:t xml:space="preserve">, especially in light of </w:t>
      </w:r>
      <w:r w:rsidR="009E467A">
        <w:rPr>
          <w:rFonts w:ascii="Times New Roman" w:eastAsia="Times New Roman" w:hAnsi="Times New Roman" w:cs="Times New Roman"/>
          <w:lang w:eastAsia="ja-JP"/>
        </w:rPr>
        <w:t>Russia’s escalating actions inside of Ukraine</w:t>
      </w:r>
      <w:r w:rsidRPr="00AA286E" w:rsidR="00321F61">
        <w:rPr>
          <w:rFonts w:ascii="Times New Roman" w:hAnsi="Times New Roman" w:cs="Times New Roman"/>
        </w:rPr>
        <w:t xml:space="preserve">.  Today, we build on those efforts.  </w:t>
      </w:r>
      <w:r w:rsidRPr="00AA286E" w:rsidR="006A411D">
        <w:rPr>
          <w:rFonts w:ascii="Times New Roman" w:hAnsi="Times New Roman" w:cs="Times New Roman"/>
        </w:rPr>
        <w:t xml:space="preserve">With this </w:t>
      </w:r>
      <w:r w:rsidRPr="00EE19FD" w:rsidR="006A411D">
        <w:rPr>
          <w:rFonts w:ascii="Times New Roman" w:hAnsi="Times New Roman" w:cs="Times New Roman"/>
          <w:i/>
          <w:iCs/>
        </w:rPr>
        <w:t>Notice</w:t>
      </w:r>
      <w:r w:rsidRPr="00EE19FD" w:rsidR="00BC73B4">
        <w:rPr>
          <w:rFonts w:ascii="Times New Roman" w:hAnsi="Times New Roman" w:cs="Times New Roman"/>
          <w:i/>
          <w:iCs/>
        </w:rPr>
        <w:t xml:space="preserve"> of Inquiry </w:t>
      </w:r>
      <w:r w:rsidRPr="00AA286E" w:rsidR="00BC73B4">
        <w:rPr>
          <w:rFonts w:ascii="Times New Roman" w:hAnsi="Times New Roman" w:cs="Times New Roman"/>
        </w:rPr>
        <w:t>(</w:t>
      </w:r>
      <w:r w:rsidRPr="00EE19FD" w:rsidR="00BC73B4">
        <w:rPr>
          <w:rFonts w:ascii="Times New Roman" w:hAnsi="Times New Roman" w:cs="Times New Roman"/>
          <w:i/>
          <w:iCs/>
        </w:rPr>
        <w:t>Notice</w:t>
      </w:r>
      <w:r w:rsidRPr="00AA286E" w:rsidR="00BC73B4">
        <w:rPr>
          <w:rFonts w:ascii="Times New Roman" w:hAnsi="Times New Roman" w:cs="Times New Roman"/>
        </w:rPr>
        <w:t>)</w:t>
      </w:r>
      <w:r w:rsidRPr="00AA286E" w:rsidR="006A411D">
        <w:rPr>
          <w:rFonts w:ascii="Times New Roman" w:hAnsi="Times New Roman" w:cs="Times New Roman"/>
        </w:rPr>
        <w:t>,</w:t>
      </w:r>
      <w:r w:rsidRPr="00EE19FD" w:rsidR="006A411D">
        <w:rPr>
          <w:rFonts w:ascii="Times New Roman" w:hAnsi="Times New Roman" w:cs="Times New Roman"/>
          <w:i/>
          <w:iCs/>
        </w:rPr>
        <w:t xml:space="preserve"> </w:t>
      </w:r>
      <w:r w:rsidRPr="00AA286E" w:rsidR="00B667BF">
        <w:rPr>
          <w:rFonts w:ascii="Times New Roman" w:hAnsi="Times New Roman" w:cs="Times New Roman"/>
        </w:rPr>
        <w:t xml:space="preserve">we seek </w:t>
      </w:r>
      <w:r w:rsidRPr="00AA286E" w:rsidR="00EA0807">
        <w:rPr>
          <w:rFonts w:ascii="Times New Roman" w:hAnsi="Times New Roman" w:cs="Times New Roman"/>
        </w:rPr>
        <w:t xml:space="preserve">comment </w:t>
      </w:r>
      <w:r w:rsidRPr="00AA286E" w:rsidR="00B667BF">
        <w:rPr>
          <w:rFonts w:ascii="Times New Roman" w:hAnsi="Times New Roman" w:cs="Times New Roman"/>
        </w:rPr>
        <w:t>on</w:t>
      </w:r>
      <w:r w:rsidRPr="00AA286E" w:rsidR="006A411D">
        <w:rPr>
          <w:rFonts w:ascii="Times New Roman" w:hAnsi="Times New Roman" w:cs="Times New Roman"/>
        </w:rPr>
        <w:t xml:space="preserve"> vulnerabilities threatening the security and integrity of the </w:t>
      </w:r>
      <w:r w:rsidRPr="00AA286E" w:rsidR="00EA0807">
        <w:rPr>
          <w:rFonts w:ascii="Times New Roman" w:hAnsi="Times New Roman" w:cs="Times New Roman"/>
        </w:rPr>
        <w:t>Border Gateway Protocol</w:t>
      </w:r>
      <w:r w:rsidRPr="00AA286E" w:rsidR="001F0680">
        <w:rPr>
          <w:rFonts w:ascii="Times New Roman" w:hAnsi="Times New Roman" w:cs="Times New Roman"/>
        </w:rPr>
        <w:t xml:space="preserve"> (BGP)</w:t>
      </w:r>
      <w:r w:rsidRPr="00AA286E" w:rsidR="00EA0807">
        <w:rPr>
          <w:rFonts w:ascii="Times New Roman" w:hAnsi="Times New Roman" w:cs="Times New Roman"/>
        </w:rPr>
        <w:t xml:space="preserve">, which is central to the </w:t>
      </w:r>
      <w:r w:rsidRPr="00AA286E" w:rsidR="006A411D">
        <w:rPr>
          <w:rFonts w:ascii="Times New Roman" w:hAnsi="Times New Roman" w:cs="Times New Roman"/>
        </w:rPr>
        <w:t>Internet’s global routing system</w:t>
      </w:r>
      <w:r w:rsidRPr="00AA286E" w:rsidR="005E1DE5">
        <w:rPr>
          <w:rFonts w:ascii="Times New Roman" w:hAnsi="Times New Roman" w:cs="Times New Roman"/>
        </w:rPr>
        <w:t>,</w:t>
      </w:r>
      <w:r w:rsidRPr="00AA286E" w:rsidR="006A411D">
        <w:rPr>
          <w:rFonts w:ascii="Times New Roman" w:hAnsi="Times New Roman" w:cs="Times New Roman"/>
        </w:rPr>
        <w:t xml:space="preserve"> </w:t>
      </w:r>
      <w:r w:rsidRPr="00AA286E" w:rsidR="001730AE">
        <w:rPr>
          <w:rFonts w:ascii="Times New Roman" w:hAnsi="Times New Roman" w:cs="Times New Roman"/>
        </w:rPr>
        <w:t xml:space="preserve">its </w:t>
      </w:r>
      <w:r w:rsidRPr="00AA286E" w:rsidR="000D2752">
        <w:rPr>
          <w:rFonts w:ascii="Times New Roman" w:hAnsi="Times New Roman" w:cs="Times New Roman"/>
        </w:rPr>
        <w:t>impact on</w:t>
      </w:r>
      <w:r w:rsidRPr="00AA286E" w:rsidR="003A1EDA">
        <w:rPr>
          <w:rFonts w:ascii="Times New Roman" w:hAnsi="Times New Roman" w:cs="Times New Roman"/>
        </w:rPr>
        <w:t xml:space="preserve"> the transmission of</w:t>
      </w:r>
      <w:r w:rsidRPr="00AA286E" w:rsidR="000D2752">
        <w:rPr>
          <w:rFonts w:ascii="Times New Roman" w:hAnsi="Times New Roman" w:cs="Times New Roman"/>
        </w:rPr>
        <w:t xml:space="preserve"> data from email, </w:t>
      </w:r>
      <w:r w:rsidRPr="00AA286E" w:rsidR="003A1EDA">
        <w:rPr>
          <w:rFonts w:ascii="Times New Roman" w:hAnsi="Times New Roman" w:cs="Times New Roman"/>
        </w:rPr>
        <w:t>e-commerce</w:t>
      </w:r>
      <w:r w:rsidRPr="00AA286E" w:rsidR="000D2752">
        <w:rPr>
          <w:rFonts w:ascii="Times New Roman" w:hAnsi="Times New Roman" w:cs="Times New Roman"/>
        </w:rPr>
        <w:t>, and bank transactions to interconnected Vo</w:t>
      </w:r>
      <w:r w:rsidRPr="00AA286E" w:rsidR="007E001F">
        <w:rPr>
          <w:rFonts w:ascii="Times New Roman" w:hAnsi="Times New Roman" w:cs="Times New Roman"/>
        </w:rPr>
        <w:t>ice-over Internet Protocol (VoIP)</w:t>
      </w:r>
      <w:r w:rsidRPr="00AA286E" w:rsidR="00CA022F">
        <w:rPr>
          <w:rFonts w:ascii="Times New Roman" w:hAnsi="Times New Roman" w:cs="Times New Roman"/>
        </w:rPr>
        <w:t xml:space="preserve"> and</w:t>
      </w:r>
      <w:r w:rsidRPr="00AA286E" w:rsidR="000D2752">
        <w:rPr>
          <w:rFonts w:ascii="Times New Roman" w:hAnsi="Times New Roman" w:cs="Times New Roman"/>
        </w:rPr>
        <w:t xml:space="preserve"> 9-1-1 calls, and </w:t>
      </w:r>
      <w:r w:rsidRPr="00AA286E" w:rsidR="006A411D">
        <w:rPr>
          <w:rFonts w:ascii="Times New Roman" w:hAnsi="Times New Roman" w:cs="Times New Roman"/>
        </w:rPr>
        <w:t xml:space="preserve">how best to address them. </w:t>
      </w:r>
      <w:r w:rsidRPr="00AA286E" w:rsidR="00B667BF">
        <w:rPr>
          <w:rFonts w:ascii="Times New Roman" w:hAnsi="Times New Roman" w:cs="Times New Roman"/>
        </w:rPr>
        <w:t xml:space="preserve"> </w:t>
      </w:r>
    </w:p>
    <w:p w:rsidR="00016B98" w:rsidRPr="00AA286E" w:rsidP="00B667BF" w14:paraId="5AC0CE99" w14:textId="3D5188B9">
      <w:pPr>
        <w:pStyle w:val="ParaNum"/>
        <w:rPr>
          <w:rFonts w:ascii="Times New Roman" w:hAnsi="Times New Roman" w:cs="Times New Roman"/>
        </w:rPr>
      </w:pPr>
      <w:r w:rsidRPr="00AA286E">
        <w:rPr>
          <w:rFonts w:ascii="Times New Roman" w:hAnsi="Times New Roman" w:cs="Times New Roman"/>
        </w:rPr>
        <w:t>BGP</w:t>
      </w:r>
      <w:r w:rsidRPr="00AA286E" w:rsidR="0001783D">
        <w:rPr>
          <w:rFonts w:ascii="Times New Roman" w:hAnsi="Times New Roman" w:cs="Times New Roman"/>
        </w:rPr>
        <w:t xml:space="preserve"> </w:t>
      </w:r>
      <w:r w:rsidRPr="00AA286E" w:rsidR="00F149C0">
        <w:rPr>
          <w:rFonts w:ascii="Times New Roman" w:hAnsi="Times New Roman" w:cs="Times New Roman"/>
        </w:rPr>
        <w:t>is the routing protocol used to exchange reachability information amongst</w:t>
      </w:r>
      <w:r w:rsidRPr="00AA286E" w:rsidR="00B23F1B">
        <w:rPr>
          <w:rFonts w:ascii="Times New Roman" w:hAnsi="Times New Roman" w:cs="Times New Roman"/>
        </w:rPr>
        <w:t xml:space="preserve"> </w:t>
      </w:r>
      <w:r w:rsidRPr="00AA286E" w:rsidR="00F149C0">
        <w:rPr>
          <w:rFonts w:ascii="Times New Roman" w:hAnsi="Times New Roman" w:cs="Times New Roman"/>
        </w:rPr>
        <w:t xml:space="preserve">independently </w:t>
      </w:r>
      <w:r w:rsidRPr="00AA286E" w:rsidR="00047D66">
        <w:rPr>
          <w:rFonts w:ascii="Times New Roman" w:hAnsi="Times New Roman" w:cs="Times New Roman"/>
        </w:rPr>
        <w:t>managed</w:t>
      </w:r>
      <w:r w:rsidRPr="00AA286E" w:rsidR="00F149C0">
        <w:rPr>
          <w:rFonts w:ascii="Times New Roman" w:hAnsi="Times New Roman" w:cs="Times New Roman"/>
        </w:rPr>
        <w:t xml:space="preserve"> networks on the Internet.</w:t>
      </w:r>
      <w:r>
        <w:rPr>
          <w:rStyle w:val="FootnoteReference"/>
          <w:rFonts w:cs="Times New Roman"/>
        </w:rPr>
        <w:footnoteReference w:id="3"/>
      </w:r>
      <w:r w:rsidRPr="00AA286E" w:rsidR="005529D6">
        <w:rPr>
          <w:rFonts w:ascii="Times New Roman" w:hAnsi="Times New Roman" w:cs="Times New Roman"/>
        </w:rPr>
        <w:t xml:space="preserve"> </w:t>
      </w:r>
      <w:r w:rsidRPr="00AA286E" w:rsidR="006E3B31">
        <w:rPr>
          <w:rFonts w:ascii="Times New Roman" w:hAnsi="Times New Roman" w:cs="Times New Roman"/>
        </w:rPr>
        <w:t xml:space="preserve"> </w:t>
      </w:r>
      <w:r w:rsidRPr="00AA286E" w:rsidR="0018085C">
        <w:rPr>
          <w:rFonts w:ascii="Times New Roman" w:hAnsi="Times New Roman" w:cs="Times New Roman"/>
        </w:rPr>
        <w:t xml:space="preserve">BGP’s </w:t>
      </w:r>
      <w:r w:rsidRPr="00E43D5F" w:rsidR="00E53411">
        <w:rPr>
          <w:rFonts w:ascii="Times New Roman" w:hAnsi="Times New Roman" w:cs="Times New Roman"/>
        </w:rPr>
        <w:t>initial design</w:t>
      </w:r>
      <w:r w:rsidRPr="00E43D5F" w:rsidR="004B69E4">
        <w:rPr>
          <w:rFonts w:ascii="Times New Roman" w:hAnsi="Times New Roman" w:cs="Times New Roman"/>
        </w:rPr>
        <w:t>, which remains widely deployed today,</w:t>
      </w:r>
      <w:r w:rsidRPr="004D66E8" w:rsidR="00E53411">
        <w:rPr>
          <w:rFonts w:ascii="Times New Roman" w:hAnsi="Times New Roman" w:cs="Times New Roman"/>
        </w:rPr>
        <w:t xml:space="preserve"> d</w:t>
      </w:r>
      <w:r w:rsidRPr="004D66E8" w:rsidR="004B69E4">
        <w:rPr>
          <w:rFonts w:ascii="Times New Roman" w:hAnsi="Times New Roman" w:cs="Times New Roman"/>
        </w:rPr>
        <w:t>oes</w:t>
      </w:r>
      <w:r w:rsidRPr="00970050" w:rsidR="00E53411">
        <w:rPr>
          <w:rFonts w:ascii="Times New Roman" w:hAnsi="Times New Roman" w:cs="Times New Roman"/>
        </w:rPr>
        <w:t xml:space="preserve"> not</w:t>
      </w:r>
      <w:r w:rsidRPr="00AA286E" w:rsidR="0018085C">
        <w:rPr>
          <w:rFonts w:ascii="Times New Roman" w:hAnsi="Times New Roman" w:cs="Times New Roman"/>
        </w:rPr>
        <w:t xml:space="preserve"> </w:t>
      </w:r>
      <w:r w:rsidRPr="00AA286E" w:rsidR="00F149C0">
        <w:rPr>
          <w:rFonts w:ascii="Times New Roman" w:hAnsi="Times New Roman" w:cs="Times New Roman"/>
        </w:rPr>
        <w:t xml:space="preserve">include security features to ensure trust in </w:t>
      </w:r>
      <w:r w:rsidRPr="00AA286E" w:rsidR="005A3D0C">
        <w:rPr>
          <w:rFonts w:ascii="Times New Roman" w:hAnsi="Times New Roman" w:cs="Times New Roman"/>
        </w:rPr>
        <w:t xml:space="preserve">the </w:t>
      </w:r>
      <w:r w:rsidRPr="00AA286E" w:rsidR="00F0037F">
        <w:rPr>
          <w:rFonts w:ascii="Times New Roman" w:hAnsi="Times New Roman" w:cs="Times New Roman"/>
        </w:rPr>
        <w:t>information</w:t>
      </w:r>
      <w:r w:rsidRPr="00AA286E" w:rsidR="005A3D0C">
        <w:rPr>
          <w:rFonts w:ascii="Times New Roman" w:hAnsi="Times New Roman" w:cs="Times New Roman"/>
        </w:rPr>
        <w:t xml:space="preserve"> that it is used to exchange</w:t>
      </w:r>
      <w:r w:rsidRPr="00AA286E" w:rsidR="00F149C0">
        <w:rPr>
          <w:rFonts w:ascii="Times New Roman" w:hAnsi="Times New Roman" w:cs="Times New Roman"/>
        </w:rPr>
        <w:t>.</w:t>
      </w:r>
      <w:r>
        <w:rPr>
          <w:rStyle w:val="FootnoteReference"/>
          <w:rFonts w:cs="Times New Roman"/>
        </w:rPr>
        <w:footnoteReference w:id="4"/>
      </w:r>
      <w:r w:rsidRPr="00AA286E" w:rsidR="00F149C0">
        <w:rPr>
          <w:rFonts w:ascii="Times New Roman" w:hAnsi="Times New Roman" w:cs="Times New Roman"/>
        </w:rPr>
        <w:t xml:space="preserve">  As a result, </w:t>
      </w:r>
      <w:r w:rsidRPr="00AA286E" w:rsidR="007D7BCD">
        <w:rPr>
          <w:rFonts w:ascii="Times New Roman" w:hAnsi="Times New Roman" w:cs="Times New Roman"/>
        </w:rPr>
        <w:t xml:space="preserve">a </w:t>
      </w:r>
      <w:r w:rsidRPr="00E43D5F" w:rsidR="00F149C0">
        <w:rPr>
          <w:rFonts w:ascii="Times New Roman" w:hAnsi="Times New Roman" w:cs="Times New Roman"/>
        </w:rPr>
        <w:t xml:space="preserve">bad </w:t>
      </w:r>
      <w:r w:rsidRPr="004D66E8" w:rsidR="007D7BCD">
        <w:rPr>
          <w:rFonts w:ascii="Times New Roman" w:hAnsi="Times New Roman" w:cs="Times New Roman"/>
        </w:rPr>
        <w:t xml:space="preserve">network </w:t>
      </w:r>
      <w:r w:rsidRPr="004D66E8" w:rsidR="003572A1">
        <w:rPr>
          <w:rFonts w:ascii="Times New Roman" w:hAnsi="Times New Roman" w:cs="Times New Roman"/>
        </w:rPr>
        <w:t>actor</w:t>
      </w:r>
      <w:r w:rsidRPr="00970050" w:rsidR="00C97E22">
        <w:rPr>
          <w:rFonts w:ascii="Times New Roman" w:hAnsi="Times New Roman" w:cs="Times New Roman"/>
        </w:rPr>
        <w:t xml:space="preserve"> </w:t>
      </w:r>
      <w:r w:rsidRPr="00AA286E" w:rsidR="00EA0807">
        <w:rPr>
          <w:rFonts w:ascii="Times New Roman" w:hAnsi="Times New Roman" w:cs="Times New Roman"/>
        </w:rPr>
        <w:t xml:space="preserve">may </w:t>
      </w:r>
      <w:r w:rsidRPr="00AA286E" w:rsidR="00F149C0">
        <w:rPr>
          <w:rFonts w:ascii="Times New Roman" w:hAnsi="Times New Roman" w:cs="Times New Roman"/>
        </w:rPr>
        <w:t xml:space="preserve">deliberately falsify </w:t>
      </w:r>
      <w:r w:rsidRPr="00AA286E" w:rsidR="009353FA">
        <w:rPr>
          <w:rFonts w:ascii="Times New Roman" w:hAnsi="Times New Roman" w:cs="Times New Roman"/>
        </w:rPr>
        <w:t xml:space="preserve">BGP </w:t>
      </w:r>
      <w:r w:rsidRPr="00AA286E" w:rsidR="00F0037F">
        <w:rPr>
          <w:rFonts w:ascii="Times New Roman" w:hAnsi="Times New Roman" w:cs="Times New Roman"/>
        </w:rPr>
        <w:t>reachability information</w:t>
      </w:r>
      <w:r w:rsidRPr="00AA286E" w:rsidR="00E75A45">
        <w:rPr>
          <w:rFonts w:ascii="Times New Roman" w:hAnsi="Times New Roman" w:cs="Times New Roman"/>
        </w:rPr>
        <w:t xml:space="preserve"> to </w:t>
      </w:r>
      <w:r w:rsidRPr="00AA286E" w:rsidR="00F149C0">
        <w:rPr>
          <w:rFonts w:ascii="Times New Roman" w:hAnsi="Times New Roman" w:cs="Times New Roman"/>
        </w:rPr>
        <w:t xml:space="preserve">redirect traffic </w:t>
      </w:r>
      <w:r w:rsidRPr="00AA286E" w:rsidR="00374AF1">
        <w:rPr>
          <w:rFonts w:ascii="Times New Roman" w:hAnsi="Times New Roman" w:cs="Times New Roman"/>
        </w:rPr>
        <w:t>to itself</w:t>
      </w:r>
      <w:r w:rsidRPr="00AA286E" w:rsidR="00B41AF7">
        <w:rPr>
          <w:rFonts w:ascii="Times New Roman" w:hAnsi="Times New Roman" w:cs="Times New Roman"/>
        </w:rPr>
        <w:t xml:space="preserve"> or</w:t>
      </w:r>
      <w:r w:rsidRPr="00AA286E" w:rsidR="00374AF1">
        <w:rPr>
          <w:rFonts w:ascii="Times New Roman" w:hAnsi="Times New Roman" w:cs="Times New Roman"/>
        </w:rPr>
        <w:t xml:space="preserve"> </w:t>
      </w:r>
      <w:r w:rsidRPr="00AA286E" w:rsidR="00F149C0">
        <w:rPr>
          <w:rFonts w:ascii="Times New Roman" w:hAnsi="Times New Roman" w:cs="Times New Roman"/>
        </w:rPr>
        <w:t xml:space="preserve">through a specific third-party network, </w:t>
      </w:r>
      <w:r w:rsidRPr="00AA286E" w:rsidR="005529D6">
        <w:rPr>
          <w:rFonts w:ascii="Times New Roman" w:hAnsi="Times New Roman" w:cs="Times New Roman"/>
        </w:rPr>
        <w:t>and</w:t>
      </w:r>
      <w:r w:rsidRPr="00AA286E" w:rsidR="002D1504">
        <w:rPr>
          <w:rFonts w:ascii="Times New Roman" w:hAnsi="Times New Roman" w:cs="Times New Roman"/>
        </w:rPr>
        <w:t xml:space="preserve"> </w:t>
      </w:r>
      <w:r w:rsidRPr="00AA286E" w:rsidR="009F75DF">
        <w:rPr>
          <w:rFonts w:ascii="Times New Roman" w:hAnsi="Times New Roman" w:cs="Times New Roman"/>
        </w:rPr>
        <w:t xml:space="preserve">prevent </w:t>
      </w:r>
      <w:r w:rsidRPr="00AA286E" w:rsidR="004A6BC0">
        <w:rPr>
          <w:rFonts w:ascii="Times New Roman" w:hAnsi="Times New Roman" w:cs="Times New Roman"/>
        </w:rPr>
        <w:t xml:space="preserve">that </w:t>
      </w:r>
      <w:r w:rsidRPr="00AA286E" w:rsidR="009D2E5A">
        <w:rPr>
          <w:rFonts w:ascii="Times New Roman" w:hAnsi="Times New Roman" w:cs="Times New Roman"/>
        </w:rPr>
        <w:t>traffic</w:t>
      </w:r>
      <w:r w:rsidRPr="00AA286E" w:rsidR="009F75DF">
        <w:rPr>
          <w:rFonts w:ascii="Times New Roman" w:hAnsi="Times New Roman" w:cs="Times New Roman"/>
        </w:rPr>
        <w:t xml:space="preserve"> from </w:t>
      </w:r>
      <w:r w:rsidRPr="00AA286E" w:rsidR="005529D6">
        <w:rPr>
          <w:rFonts w:ascii="Times New Roman" w:hAnsi="Times New Roman" w:cs="Times New Roman"/>
        </w:rPr>
        <w:t>reaching</w:t>
      </w:r>
      <w:r w:rsidRPr="00AA286E" w:rsidR="00E75A45">
        <w:rPr>
          <w:rFonts w:ascii="Times New Roman" w:hAnsi="Times New Roman" w:cs="Times New Roman"/>
        </w:rPr>
        <w:t xml:space="preserve"> its intended </w:t>
      </w:r>
      <w:r w:rsidRPr="00AA286E" w:rsidR="00E75A45">
        <w:rPr>
          <w:rFonts w:ascii="Times New Roman" w:hAnsi="Times New Roman" w:cs="Times New Roman"/>
        </w:rPr>
        <w:t>recipient.</w:t>
      </w:r>
      <w:r>
        <w:rPr>
          <w:rStyle w:val="FootnoteReference"/>
          <w:rFonts w:cs="Times New Roman"/>
        </w:rPr>
        <w:footnoteReference w:id="5"/>
      </w:r>
      <w:r w:rsidRPr="00AA286E" w:rsidR="0061763F">
        <w:rPr>
          <w:rFonts w:ascii="Times New Roman" w:hAnsi="Times New Roman" w:cs="Times New Roman"/>
        </w:rPr>
        <w:t xml:space="preserve">  </w:t>
      </w:r>
      <w:bookmarkStart w:id="4" w:name="_Hlk95904526"/>
      <w:r w:rsidRPr="00AA286E" w:rsidR="009F75DF">
        <w:rPr>
          <w:rFonts w:ascii="Times New Roman" w:hAnsi="Times New Roman" w:cs="Times New Roman"/>
        </w:rPr>
        <w:t>These “</w:t>
      </w:r>
      <w:r w:rsidRPr="00AA286E" w:rsidR="003572A1">
        <w:rPr>
          <w:rFonts w:ascii="Times New Roman" w:hAnsi="Times New Roman" w:cs="Times New Roman"/>
        </w:rPr>
        <w:t>BGP hijacks</w:t>
      </w:r>
      <w:r w:rsidRPr="00E43D5F" w:rsidR="009F75DF">
        <w:rPr>
          <w:rFonts w:ascii="Times New Roman" w:hAnsi="Times New Roman" w:cs="Times New Roman"/>
        </w:rPr>
        <w:t>”</w:t>
      </w:r>
      <w:r w:rsidRPr="00E43D5F" w:rsidR="00B16472">
        <w:rPr>
          <w:rFonts w:ascii="Times New Roman" w:hAnsi="Times New Roman" w:cs="Times New Roman"/>
        </w:rPr>
        <w:t xml:space="preserve"> </w:t>
      </w:r>
      <w:r w:rsidRPr="004D66E8" w:rsidR="003572A1">
        <w:rPr>
          <w:rFonts w:ascii="Times New Roman" w:hAnsi="Times New Roman" w:cs="Times New Roman"/>
        </w:rPr>
        <w:t xml:space="preserve">expose </w:t>
      </w:r>
      <w:r w:rsidRPr="004D66E8" w:rsidR="000C5038">
        <w:rPr>
          <w:rFonts w:ascii="Times New Roman" w:hAnsi="Times New Roman" w:cs="Times New Roman"/>
        </w:rPr>
        <w:t>U.S. citizens</w:t>
      </w:r>
      <w:r w:rsidRPr="00970050" w:rsidR="0061763F">
        <w:rPr>
          <w:rFonts w:ascii="Times New Roman" w:hAnsi="Times New Roman" w:cs="Times New Roman"/>
        </w:rPr>
        <w:t xml:space="preserve">’ personally identifiable information, </w:t>
      </w:r>
      <w:r w:rsidRPr="00AA286E" w:rsidR="003572A1">
        <w:rPr>
          <w:rFonts w:ascii="Times New Roman" w:hAnsi="Times New Roman" w:cs="Times New Roman"/>
        </w:rPr>
        <w:t xml:space="preserve">enable theft, extortion, and state-level espionage, </w:t>
      </w:r>
      <w:r w:rsidRPr="00AA286E" w:rsidR="00763B47">
        <w:rPr>
          <w:rFonts w:ascii="Times New Roman" w:hAnsi="Times New Roman" w:cs="Times New Roman"/>
        </w:rPr>
        <w:t xml:space="preserve">and </w:t>
      </w:r>
      <w:r w:rsidRPr="00AA286E" w:rsidR="00C27664">
        <w:rPr>
          <w:rFonts w:ascii="Times New Roman" w:hAnsi="Times New Roman" w:cs="Times New Roman"/>
        </w:rPr>
        <w:t xml:space="preserve">disrupt </w:t>
      </w:r>
      <w:r w:rsidRPr="00AA286E" w:rsidR="00763B47">
        <w:rPr>
          <w:rFonts w:ascii="Times New Roman" w:hAnsi="Times New Roman" w:cs="Times New Roman"/>
        </w:rPr>
        <w:t>otherwise-</w:t>
      </w:r>
      <w:r w:rsidRPr="00AA286E" w:rsidR="0061763F">
        <w:rPr>
          <w:rFonts w:ascii="Times New Roman" w:hAnsi="Times New Roman" w:cs="Times New Roman"/>
        </w:rPr>
        <w:t>secure transactions</w:t>
      </w:r>
      <w:bookmarkEnd w:id="4"/>
      <w:r w:rsidRPr="00AA286E" w:rsidR="00376A0E">
        <w:rPr>
          <w:rFonts w:ascii="Times New Roman" w:hAnsi="Times New Roman" w:cs="Times New Roman"/>
        </w:rPr>
        <w:t>.</w:t>
      </w:r>
      <w:r>
        <w:rPr>
          <w:rStyle w:val="FootnoteReference"/>
          <w:rFonts w:cs="Times New Roman"/>
        </w:rPr>
        <w:footnoteReference w:id="6"/>
      </w:r>
    </w:p>
    <w:p w:rsidR="00F65869" w:rsidRPr="00E43D5F" w:rsidP="00F65869" w14:paraId="771852E3" w14:textId="77777777">
      <w:pPr>
        <w:pStyle w:val="Heading1"/>
        <w:rPr>
          <w:rFonts w:ascii="Times New Roman" w:hAnsi="Times New Roman" w:cs="Times New Roman"/>
        </w:rPr>
      </w:pPr>
      <w:r w:rsidRPr="00AA286E">
        <w:rPr>
          <w:rFonts w:ascii="Times New Roman" w:hAnsi="Times New Roman" w:cs="Times New Roman"/>
        </w:rPr>
        <w:t>Background</w:t>
      </w:r>
    </w:p>
    <w:p w:rsidR="00F65869" w:rsidRPr="00AA286E" w:rsidP="00F65869" w14:paraId="7B30B38A" w14:textId="208BBA9E">
      <w:pPr>
        <w:pStyle w:val="ParaNum"/>
        <w:rPr>
          <w:rFonts w:ascii="Times New Roman" w:hAnsi="Times New Roman" w:cs="Times New Roman"/>
        </w:rPr>
      </w:pPr>
      <w:bookmarkStart w:id="5" w:name="_Hlk95773011"/>
      <w:r w:rsidRPr="004D66E8">
        <w:rPr>
          <w:rFonts w:ascii="Times New Roman" w:hAnsi="Times New Roman" w:cs="Times New Roman"/>
        </w:rPr>
        <w:t>Congress created the Commission, among other reasons, “for the purpose of the national defense [and] for the purpose of promoting safety of life and property through the use of wire and radio communications</w:t>
      </w:r>
      <w:r w:rsidRPr="00970050" w:rsidR="00252DEC">
        <w:rPr>
          <w:rFonts w:ascii="Times New Roman" w:hAnsi="Times New Roman" w:cs="Times New Roman"/>
        </w:rPr>
        <w:t>.</w:t>
      </w:r>
      <w:r w:rsidRPr="00AA286E">
        <w:rPr>
          <w:rFonts w:ascii="Times New Roman" w:hAnsi="Times New Roman" w:cs="Times New Roman"/>
        </w:rPr>
        <w:t>”</w:t>
      </w:r>
      <w:r>
        <w:rPr>
          <w:rFonts w:ascii="Times New Roman" w:hAnsi="Times New Roman" w:cs="Times New Roman"/>
          <w:vertAlign w:val="superscript"/>
        </w:rPr>
        <w:footnoteReference w:id="7"/>
      </w:r>
      <w:r w:rsidRPr="00AA286E">
        <w:rPr>
          <w:rFonts w:ascii="Times New Roman" w:hAnsi="Times New Roman" w:cs="Times New Roman"/>
        </w:rPr>
        <w:t xml:space="preserve">  To obtain “maximum effectiveness from the use of radio and wire communications in connection with the safety of life and property,” </w:t>
      </w:r>
      <w:r w:rsidRPr="00AA286E" w:rsidR="00604B94">
        <w:rPr>
          <w:rFonts w:ascii="Times New Roman" w:hAnsi="Times New Roman" w:cs="Times New Roman"/>
        </w:rPr>
        <w:t>t</w:t>
      </w:r>
      <w:r w:rsidRPr="00E43D5F" w:rsidR="00252DEC">
        <w:rPr>
          <w:rFonts w:ascii="Times New Roman" w:hAnsi="Times New Roman" w:cs="Times New Roman"/>
        </w:rPr>
        <w:t>he Communications Act of 1934, as amended,</w:t>
      </w:r>
      <w:r w:rsidRPr="00E43D5F">
        <w:rPr>
          <w:rFonts w:ascii="Times New Roman" w:hAnsi="Times New Roman" w:cs="Times New Roman"/>
        </w:rPr>
        <w:t xml:space="preserve"> directs the Commission to “investigate and study all phases of the problem and</w:t>
      </w:r>
      <w:r w:rsidRPr="004D66E8">
        <w:rPr>
          <w:rFonts w:ascii="Times New Roman" w:hAnsi="Times New Roman" w:cs="Times New Roman"/>
        </w:rPr>
        <w:t xml:space="preserve"> the best methods of obtaining the cooperation and coordination” of such systems.”</w:t>
      </w:r>
      <w:r>
        <w:rPr>
          <w:rStyle w:val="FootnoteReference"/>
          <w:rFonts w:cs="Times New Roman"/>
          <w:sz w:val="22"/>
        </w:rPr>
        <w:footnoteReference w:id="8"/>
      </w:r>
      <w:r w:rsidRPr="00AA286E">
        <w:rPr>
          <w:rFonts w:ascii="Times New Roman" w:hAnsi="Times New Roman" w:cs="Times New Roman"/>
        </w:rPr>
        <w:t xml:space="preserve">  </w:t>
      </w:r>
    </w:p>
    <w:p w:rsidR="00C75EC6" w:rsidRPr="00000797" w:rsidP="00000797" w14:paraId="24BA91A9" w14:textId="682474C4">
      <w:pPr>
        <w:pStyle w:val="ParaNum"/>
        <w:rPr>
          <w:rFonts w:ascii="Times New Roman" w:hAnsi="Times New Roman"/>
        </w:rPr>
      </w:pPr>
      <w:r w:rsidRPr="00AA286E">
        <w:rPr>
          <w:rFonts w:ascii="Times New Roman" w:hAnsi="Times New Roman" w:cs="Times New Roman"/>
        </w:rPr>
        <w:t>T</w:t>
      </w:r>
      <w:r w:rsidRPr="00E43D5F" w:rsidR="00F65869">
        <w:rPr>
          <w:rFonts w:ascii="Times New Roman" w:hAnsi="Times New Roman" w:cs="Times New Roman"/>
        </w:rPr>
        <w:t>he Commission has taken targeted steps to protect the nation’s communications infrastructure from potential security threats.</w:t>
      </w:r>
      <w:r>
        <w:rPr>
          <w:rFonts w:ascii="Times New Roman" w:hAnsi="Times New Roman" w:cs="Times New Roman"/>
          <w:vertAlign w:val="superscript"/>
        </w:rPr>
        <w:footnoteReference w:id="9"/>
      </w:r>
      <w:r w:rsidRPr="00AA286E" w:rsidR="00F65869">
        <w:rPr>
          <w:rFonts w:ascii="Times New Roman" w:hAnsi="Times New Roman" w:cs="Times New Roman"/>
        </w:rPr>
        <w:t xml:space="preserve">  Most recently, the Commission encouraged communications companies to review cybersecurity practices to defend against threats to critical infrastructure,</w:t>
      </w:r>
      <w:r>
        <w:rPr>
          <w:rStyle w:val="FootnoteReference"/>
          <w:rFonts w:cs="Times New Roman"/>
        </w:rPr>
        <w:footnoteReference w:id="10"/>
      </w:r>
      <w:r w:rsidRPr="00AA286E" w:rsidR="00F65869">
        <w:rPr>
          <w:rFonts w:ascii="Times New Roman" w:hAnsi="Times New Roman" w:cs="Times New Roman"/>
        </w:rPr>
        <w:t xml:space="preserve"> sought comment on </w:t>
      </w:r>
      <w:r w:rsidRPr="00AA286E" w:rsidR="00D32DDF">
        <w:rPr>
          <w:rFonts w:ascii="Times New Roman" w:hAnsi="Times New Roman" w:cs="Times New Roman"/>
        </w:rPr>
        <w:t xml:space="preserve">how the Commission can leverage its equipment authorization program to encourage </w:t>
      </w:r>
      <w:r w:rsidRPr="00AA286E" w:rsidR="00F83A28">
        <w:rPr>
          <w:rFonts w:ascii="Times New Roman" w:hAnsi="Times New Roman" w:cs="Times New Roman"/>
        </w:rPr>
        <w:t xml:space="preserve">device </w:t>
      </w:r>
      <w:r w:rsidRPr="00E43D5F" w:rsidR="00D32DDF">
        <w:rPr>
          <w:rFonts w:ascii="Times New Roman" w:hAnsi="Times New Roman" w:cs="Times New Roman"/>
        </w:rPr>
        <w:t>manufacturers to consider cybersecurity standards and guidelines</w:t>
      </w:r>
      <w:r w:rsidRPr="004D66E8" w:rsidR="00D32DDF">
        <w:rPr>
          <w:rFonts w:ascii="Times New Roman" w:hAnsi="Times New Roman" w:cs="Times New Roman"/>
        </w:rPr>
        <w:t>,</w:t>
      </w:r>
      <w:r>
        <w:rPr>
          <w:rStyle w:val="FootnoteReference"/>
          <w:rFonts w:cs="Times New Roman"/>
        </w:rPr>
        <w:footnoteReference w:id="11"/>
      </w:r>
      <w:r w:rsidRPr="00AA286E" w:rsidR="00D32DDF">
        <w:rPr>
          <w:rFonts w:ascii="Times New Roman" w:hAnsi="Times New Roman" w:cs="Times New Roman"/>
        </w:rPr>
        <w:t xml:space="preserve"> </w:t>
      </w:r>
      <w:r w:rsidRPr="00AA286E" w:rsidR="00F65869">
        <w:rPr>
          <w:rFonts w:ascii="Times New Roman" w:hAnsi="Times New Roman" w:cs="Times New Roman"/>
        </w:rPr>
        <w:t xml:space="preserve">and </w:t>
      </w:r>
      <w:r w:rsidRPr="00AA286E" w:rsidR="000A1048">
        <w:rPr>
          <w:rFonts w:ascii="Times New Roman" w:hAnsi="Times New Roman" w:cs="Times New Roman"/>
        </w:rPr>
        <w:t xml:space="preserve">acted in the public interest to </w:t>
      </w:r>
      <w:r w:rsidRPr="00E43D5F" w:rsidR="00943CC2">
        <w:rPr>
          <w:rFonts w:ascii="Times New Roman" w:hAnsi="Times New Roman" w:cs="Times New Roman"/>
        </w:rPr>
        <w:t>den</w:t>
      </w:r>
      <w:r w:rsidRPr="00E43D5F" w:rsidR="00AE5B89">
        <w:rPr>
          <w:rFonts w:ascii="Times New Roman" w:hAnsi="Times New Roman" w:cs="Times New Roman"/>
        </w:rPr>
        <w:t>y</w:t>
      </w:r>
      <w:r w:rsidRPr="004D66E8" w:rsidR="000B7E3B">
        <w:rPr>
          <w:rFonts w:ascii="Times New Roman" w:hAnsi="Times New Roman" w:cs="Times New Roman"/>
        </w:rPr>
        <w:t xml:space="preserve"> and</w:t>
      </w:r>
      <w:r w:rsidRPr="004D66E8" w:rsidR="00AE5B89">
        <w:rPr>
          <w:rFonts w:ascii="Times New Roman" w:hAnsi="Times New Roman" w:cs="Times New Roman"/>
        </w:rPr>
        <w:t xml:space="preserve"> </w:t>
      </w:r>
      <w:r w:rsidRPr="00970050" w:rsidR="00943CC2">
        <w:rPr>
          <w:rFonts w:ascii="Times New Roman" w:hAnsi="Times New Roman" w:cs="Times New Roman"/>
        </w:rPr>
        <w:t>revoke</w:t>
      </w:r>
      <w:r w:rsidRPr="00AA286E" w:rsidR="000B7E3B">
        <w:rPr>
          <w:rFonts w:ascii="Times New Roman" w:hAnsi="Times New Roman" w:cs="Times New Roman"/>
        </w:rPr>
        <w:t xml:space="preserve"> </w:t>
      </w:r>
      <w:r w:rsidRPr="00AA286E" w:rsidR="00943CC2">
        <w:rPr>
          <w:rFonts w:ascii="Times New Roman" w:hAnsi="Times New Roman" w:cs="Times New Roman"/>
        </w:rPr>
        <w:t xml:space="preserve">the </w:t>
      </w:r>
      <w:r w:rsidRPr="00AA286E" w:rsidR="000B7E3B">
        <w:rPr>
          <w:rFonts w:ascii="Times New Roman" w:hAnsi="Times New Roman" w:cs="Times New Roman"/>
        </w:rPr>
        <w:t xml:space="preserve">section 214 </w:t>
      </w:r>
      <w:r w:rsidRPr="00AA286E" w:rsidR="00943CC2">
        <w:rPr>
          <w:rFonts w:ascii="Times New Roman" w:hAnsi="Times New Roman" w:cs="Times New Roman"/>
        </w:rPr>
        <w:t>authority of certain carriers to provide telecommunications service in the United States</w:t>
      </w:r>
      <w:r w:rsidRPr="00AA286E" w:rsidR="00F65869">
        <w:rPr>
          <w:rFonts w:ascii="Times New Roman" w:hAnsi="Times New Roman" w:cs="Times New Roman"/>
        </w:rPr>
        <w:t>.</w:t>
      </w:r>
      <w:r>
        <w:rPr>
          <w:rStyle w:val="FootnoteReference"/>
          <w:rFonts w:cs="Times New Roman"/>
          <w:sz w:val="22"/>
        </w:rPr>
        <w:footnoteReference w:id="12"/>
      </w:r>
    </w:p>
    <w:p w:rsidR="00F65869" w:rsidP="00BB3E5C" w14:paraId="7EE7BD4C" w14:textId="15190F45">
      <w:pPr>
        <w:pStyle w:val="ParaNum"/>
        <w:rPr>
          <w:rFonts w:ascii="Times New Roman" w:hAnsi="Times New Roman" w:cs="Times New Roman"/>
        </w:rPr>
      </w:pPr>
      <w:r w:rsidRPr="00AA286E">
        <w:rPr>
          <w:rFonts w:ascii="Times New Roman" w:hAnsi="Times New Roman" w:cs="Times New Roman"/>
        </w:rPr>
        <w:t xml:space="preserve">Independently managed networks </w:t>
      </w:r>
      <w:r w:rsidRPr="00E43D5F">
        <w:rPr>
          <w:rFonts w:ascii="Times New Roman" w:hAnsi="Times New Roman" w:cs="Times New Roman"/>
        </w:rPr>
        <w:t>are essential to the daily functioning of critical infrastructure such as transportation, gas and electric power, water, and financial markets</w:t>
      </w:r>
      <w:r w:rsidRPr="00E43D5F" w:rsidR="007011D9">
        <w:rPr>
          <w:rFonts w:ascii="Times New Roman" w:hAnsi="Times New Roman" w:cs="Times New Roman"/>
        </w:rPr>
        <w:t>.</w:t>
      </w:r>
      <w:r>
        <w:rPr>
          <w:rStyle w:val="FootnoteReference"/>
          <w:rFonts w:cs="Times New Roman"/>
        </w:rPr>
        <w:footnoteReference w:id="13"/>
      </w:r>
      <w:r w:rsidRPr="00AA286E" w:rsidR="007011D9">
        <w:rPr>
          <w:rFonts w:ascii="Times New Roman" w:hAnsi="Times New Roman" w:cs="Times New Roman"/>
        </w:rPr>
        <w:t xml:space="preserve"> </w:t>
      </w:r>
      <w:r w:rsidRPr="00AA286E">
        <w:rPr>
          <w:rFonts w:ascii="Times New Roman" w:hAnsi="Times New Roman" w:cs="Times New Roman"/>
        </w:rPr>
        <w:t xml:space="preserve"> </w:t>
      </w:r>
      <w:r w:rsidRPr="00AA286E" w:rsidR="00860E9E">
        <w:rPr>
          <w:rFonts w:ascii="Times New Roman" w:hAnsi="Times New Roman" w:cs="Times New Roman"/>
        </w:rPr>
        <w:t>T</w:t>
      </w:r>
      <w:r w:rsidRPr="00E43D5F" w:rsidR="009B0827">
        <w:rPr>
          <w:rFonts w:ascii="Times New Roman" w:hAnsi="Times New Roman" w:cs="Times New Roman"/>
        </w:rPr>
        <w:t>hese</w:t>
      </w:r>
      <w:r w:rsidRPr="00E43D5F" w:rsidR="00C70B58">
        <w:rPr>
          <w:rFonts w:ascii="Times New Roman" w:hAnsi="Times New Roman" w:cs="Times New Roman"/>
        </w:rPr>
        <w:t xml:space="preserve"> network</w:t>
      </w:r>
      <w:r w:rsidRPr="004D66E8" w:rsidR="0024216E">
        <w:rPr>
          <w:rFonts w:ascii="Times New Roman" w:hAnsi="Times New Roman" w:cs="Times New Roman"/>
        </w:rPr>
        <w:t xml:space="preserve">s </w:t>
      </w:r>
      <w:r w:rsidR="00417B3F">
        <w:rPr>
          <w:rFonts w:ascii="Times New Roman" w:hAnsi="Times New Roman" w:cs="Times New Roman"/>
        </w:rPr>
        <w:t>can be</w:t>
      </w:r>
      <w:r w:rsidRPr="004D66E8" w:rsidR="00A10D62">
        <w:rPr>
          <w:rFonts w:ascii="Times New Roman" w:hAnsi="Times New Roman" w:cs="Times New Roman"/>
        </w:rPr>
        <w:t xml:space="preserve"> vulnerable to attack </w:t>
      </w:r>
      <w:r w:rsidR="00417B3F">
        <w:rPr>
          <w:rFonts w:ascii="Times New Roman" w:hAnsi="Times New Roman" w:cs="Times New Roman"/>
        </w:rPr>
        <w:t>if</w:t>
      </w:r>
      <w:r w:rsidRPr="004D66E8" w:rsidR="00A10D62">
        <w:rPr>
          <w:rFonts w:ascii="Times New Roman" w:hAnsi="Times New Roman" w:cs="Times New Roman"/>
        </w:rPr>
        <w:t xml:space="preserve"> they </w:t>
      </w:r>
      <w:r w:rsidRPr="00970050" w:rsidR="0024216E">
        <w:rPr>
          <w:rFonts w:ascii="Times New Roman" w:hAnsi="Times New Roman" w:cs="Times New Roman"/>
        </w:rPr>
        <w:t>deploy a version of</w:t>
      </w:r>
      <w:r w:rsidRPr="00AA286E" w:rsidR="00B07E4A">
        <w:rPr>
          <w:rFonts w:ascii="Times New Roman" w:hAnsi="Times New Roman" w:cs="Times New Roman"/>
        </w:rPr>
        <w:t xml:space="preserve"> </w:t>
      </w:r>
      <w:r w:rsidRPr="00AA286E" w:rsidR="00C251DF">
        <w:rPr>
          <w:rFonts w:ascii="Times New Roman" w:hAnsi="Times New Roman" w:cs="Times New Roman"/>
        </w:rPr>
        <w:t xml:space="preserve">BGP </w:t>
      </w:r>
      <w:r w:rsidRPr="00AA286E" w:rsidR="0024216E">
        <w:rPr>
          <w:rFonts w:ascii="Times New Roman" w:hAnsi="Times New Roman" w:cs="Times New Roman"/>
        </w:rPr>
        <w:t xml:space="preserve">at their borders </w:t>
      </w:r>
      <w:r w:rsidRPr="00AA286E" w:rsidR="007E2489">
        <w:rPr>
          <w:rFonts w:ascii="Times New Roman" w:hAnsi="Times New Roman" w:cs="Times New Roman"/>
        </w:rPr>
        <w:t xml:space="preserve">that </w:t>
      </w:r>
      <w:r w:rsidRPr="00AA286E" w:rsidR="00B07E4A">
        <w:rPr>
          <w:rFonts w:ascii="Times New Roman" w:hAnsi="Times New Roman" w:cs="Times New Roman"/>
        </w:rPr>
        <w:t>cannot</w:t>
      </w:r>
      <w:r w:rsidRPr="00AA286E" w:rsidR="00C5300B">
        <w:rPr>
          <w:rFonts w:ascii="Times New Roman" w:hAnsi="Times New Roman" w:cs="Times New Roman"/>
        </w:rPr>
        <w:t xml:space="preserve"> </w:t>
      </w:r>
      <w:r w:rsidRPr="00AA286E" w:rsidR="00C251DF">
        <w:rPr>
          <w:rFonts w:ascii="Times New Roman" w:hAnsi="Times New Roman" w:cs="Times New Roman"/>
        </w:rPr>
        <w:t xml:space="preserve">verify the integrity or </w:t>
      </w:r>
      <w:r w:rsidRPr="00AA286E" w:rsidR="00D8279F">
        <w:rPr>
          <w:rFonts w:ascii="Times New Roman" w:hAnsi="Times New Roman" w:cs="Times New Roman"/>
        </w:rPr>
        <w:t xml:space="preserve">authenticity </w:t>
      </w:r>
      <w:r w:rsidRPr="00AA286E" w:rsidR="00C251DF">
        <w:rPr>
          <w:rFonts w:ascii="Times New Roman" w:hAnsi="Times New Roman" w:cs="Times New Roman"/>
        </w:rPr>
        <w:t>of routing information.</w:t>
      </w:r>
      <w:r>
        <w:rPr>
          <w:rStyle w:val="FootnoteReference"/>
          <w:rFonts w:cs="Times New Roman"/>
        </w:rPr>
        <w:footnoteReference w:id="14"/>
      </w:r>
      <w:r w:rsidRPr="00AA286E" w:rsidR="00C251DF">
        <w:rPr>
          <w:rFonts w:ascii="Times New Roman" w:hAnsi="Times New Roman" w:cs="Times New Roman"/>
        </w:rPr>
        <w:t xml:space="preserve">  </w:t>
      </w:r>
      <w:r w:rsidRPr="00AA286E" w:rsidR="00CC17C2">
        <w:rPr>
          <w:rFonts w:ascii="Times New Roman" w:hAnsi="Times New Roman" w:cs="Times New Roman"/>
        </w:rPr>
        <w:t>BGP’s</w:t>
      </w:r>
      <w:r w:rsidRPr="00AA286E" w:rsidR="00560DE2">
        <w:rPr>
          <w:rFonts w:ascii="Times New Roman" w:hAnsi="Times New Roman" w:cs="Times New Roman"/>
        </w:rPr>
        <w:t xml:space="preserve"> vulnerabilities allow</w:t>
      </w:r>
      <w:r w:rsidRPr="00E43D5F" w:rsidR="00F25576">
        <w:rPr>
          <w:rFonts w:ascii="Times New Roman" w:hAnsi="Times New Roman" w:cs="Times New Roman"/>
        </w:rPr>
        <w:t xml:space="preserve"> </w:t>
      </w:r>
      <w:r w:rsidRPr="00E43D5F" w:rsidR="00560DE2">
        <w:rPr>
          <w:rFonts w:ascii="Times New Roman" w:hAnsi="Times New Roman" w:cs="Times New Roman"/>
        </w:rPr>
        <w:t xml:space="preserve">a </w:t>
      </w:r>
      <w:r w:rsidRPr="004D66E8" w:rsidR="00F25576">
        <w:rPr>
          <w:rFonts w:ascii="Times New Roman" w:hAnsi="Times New Roman" w:cs="Times New Roman"/>
        </w:rPr>
        <w:t xml:space="preserve">network operator </w:t>
      </w:r>
      <w:r w:rsidRPr="004D66E8" w:rsidR="00560DE2">
        <w:rPr>
          <w:rFonts w:ascii="Times New Roman" w:hAnsi="Times New Roman" w:cs="Times New Roman"/>
        </w:rPr>
        <w:t>to</w:t>
      </w:r>
      <w:r w:rsidRPr="00970050" w:rsidR="00F25576">
        <w:rPr>
          <w:rFonts w:ascii="Times New Roman" w:hAnsi="Times New Roman" w:cs="Times New Roman"/>
        </w:rPr>
        <w:t xml:space="preserve"> accidentally or maliciously </w:t>
      </w:r>
      <w:r w:rsidRPr="00AA286E" w:rsidR="000B7C77">
        <w:rPr>
          <w:rFonts w:ascii="Times New Roman" w:hAnsi="Times New Roman" w:cs="Times New Roman"/>
        </w:rPr>
        <w:t>mis</w:t>
      </w:r>
      <w:r w:rsidRPr="00AA286E" w:rsidR="00F25576">
        <w:rPr>
          <w:rFonts w:ascii="Times New Roman" w:hAnsi="Times New Roman" w:cs="Times New Roman"/>
        </w:rPr>
        <w:t xml:space="preserve">configure </w:t>
      </w:r>
      <w:r w:rsidRPr="00AA286E" w:rsidR="000B7C77">
        <w:rPr>
          <w:rFonts w:ascii="Times New Roman" w:hAnsi="Times New Roman" w:cs="Times New Roman"/>
        </w:rPr>
        <w:t xml:space="preserve">its </w:t>
      </w:r>
      <w:r w:rsidRPr="00AA286E" w:rsidR="00F25576">
        <w:rPr>
          <w:rFonts w:ascii="Times New Roman" w:hAnsi="Times New Roman" w:cs="Times New Roman"/>
        </w:rPr>
        <w:t>BGP router</w:t>
      </w:r>
      <w:r w:rsidRPr="00AA286E" w:rsidR="000B7C77">
        <w:rPr>
          <w:rFonts w:ascii="Times New Roman" w:hAnsi="Times New Roman" w:cs="Times New Roman"/>
        </w:rPr>
        <w:t>s</w:t>
      </w:r>
      <w:r w:rsidRPr="00AA286E" w:rsidR="00F25576">
        <w:rPr>
          <w:rFonts w:ascii="Times New Roman" w:hAnsi="Times New Roman" w:cs="Times New Roman"/>
        </w:rPr>
        <w:t xml:space="preserve"> to falsely advertise that </w:t>
      </w:r>
      <w:r w:rsidRPr="00AA286E" w:rsidR="000B7C77">
        <w:rPr>
          <w:rFonts w:ascii="Times New Roman" w:hAnsi="Times New Roman" w:cs="Times New Roman"/>
        </w:rPr>
        <w:t xml:space="preserve">its </w:t>
      </w:r>
      <w:r w:rsidRPr="00AA286E" w:rsidR="00E23746">
        <w:rPr>
          <w:rFonts w:ascii="Times New Roman" w:hAnsi="Times New Roman" w:cs="Times New Roman"/>
        </w:rPr>
        <w:t xml:space="preserve">network </w:t>
      </w:r>
      <w:r w:rsidRPr="00AA286E" w:rsidR="000B7C77">
        <w:rPr>
          <w:rFonts w:ascii="Times New Roman" w:hAnsi="Times New Roman" w:cs="Times New Roman"/>
        </w:rPr>
        <w:t xml:space="preserve">contains </w:t>
      </w:r>
      <w:r w:rsidRPr="00AA286E" w:rsidR="007F2FA9">
        <w:rPr>
          <w:rFonts w:ascii="Times New Roman" w:hAnsi="Times New Roman" w:cs="Times New Roman"/>
        </w:rPr>
        <w:t>the intended destination for certain Internet traffic</w:t>
      </w:r>
      <w:r w:rsidRPr="00AA286E" w:rsidR="00F25576">
        <w:rPr>
          <w:rFonts w:ascii="Times New Roman" w:hAnsi="Times New Roman" w:cs="Times New Roman"/>
        </w:rPr>
        <w:t xml:space="preserve">, or </w:t>
      </w:r>
      <w:r w:rsidRPr="00AA286E" w:rsidR="000B7C77">
        <w:rPr>
          <w:rFonts w:ascii="Times New Roman" w:hAnsi="Times New Roman" w:cs="Times New Roman"/>
        </w:rPr>
        <w:t xml:space="preserve">is on the path to </w:t>
      </w:r>
      <w:r w:rsidRPr="00AA286E" w:rsidR="00F25576">
        <w:rPr>
          <w:rFonts w:ascii="Times New Roman" w:hAnsi="Times New Roman" w:cs="Times New Roman"/>
        </w:rPr>
        <w:t xml:space="preserve">that destination.  By advertising incorrect routing information, a </w:t>
      </w:r>
      <w:r w:rsidRPr="00AA286E" w:rsidR="00560DE2">
        <w:rPr>
          <w:rFonts w:ascii="Times New Roman" w:hAnsi="Times New Roman" w:cs="Times New Roman"/>
        </w:rPr>
        <w:t>bad actor</w:t>
      </w:r>
      <w:r w:rsidRPr="00AA286E" w:rsidR="00F25576">
        <w:rPr>
          <w:rFonts w:ascii="Times New Roman" w:hAnsi="Times New Roman" w:cs="Times New Roman"/>
        </w:rPr>
        <w:t xml:space="preserve"> c</w:t>
      </w:r>
      <w:r w:rsidRPr="00AA286E" w:rsidR="000B7C77">
        <w:rPr>
          <w:rFonts w:ascii="Times New Roman" w:hAnsi="Times New Roman" w:cs="Times New Roman"/>
        </w:rPr>
        <w:t>ould</w:t>
      </w:r>
      <w:r w:rsidRPr="00AA286E" w:rsidR="00F25576">
        <w:rPr>
          <w:rFonts w:ascii="Times New Roman" w:hAnsi="Times New Roman" w:cs="Times New Roman"/>
        </w:rPr>
        <w:t xml:space="preserve"> </w:t>
      </w:r>
      <w:bookmarkStart w:id="6" w:name="_Hlk96022066"/>
      <w:r w:rsidRPr="00AA286E" w:rsidR="00560DE2">
        <w:rPr>
          <w:rFonts w:ascii="Times New Roman" w:hAnsi="Times New Roman" w:cs="Times New Roman"/>
        </w:rPr>
        <w:t xml:space="preserve">spread incorrect information to other </w:t>
      </w:r>
      <w:r w:rsidRPr="00AA286E" w:rsidR="003F31E6">
        <w:rPr>
          <w:rFonts w:ascii="Times New Roman" w:hAnsi="Times New Roman" w:cs="Times New Roman"/>
        </w:rPr>
        <w:t>networks</w:t>
      </w:r>
      <w:r w:rsidRPr="00AA286E" w:rsidR="00560DE2">
        <w:rPr>
          <w:rFonts w:ascii="Times New Roman" w:hAnsi="Times New Roman" w:cs="Times New Roman"/>
        </w:rPr>
        <w:t xml:space="preserve"> and </w:t>
      </w:r>
      <w:r w:rsidRPr="00AA286E" w:rsidR="00F25576">
        <w:rPr>
          <w:rFonts w:ascii="Times New Roman" w:hAnsi="Times New Roman" w:cs="Times New Roman"/>
        </w:rPr>
        <w:t xml:space="preserve">cause traffic intended for </w:t>
      </w:r>
      <w:r w:rsidRPr="00AA286E" w:rsidR="00560DE2">
        <w:rPr>
          <w:rFonts w:ascii="Times New Roman" w:hAnsi="Times New Roman" w:cs="Times New Roman"/>
        </w:rPr>
        <w:t>the</w:t>
      </w:r>
      <w:r w:rsidRPr="00AA286E" w:rsidR="00F25576">
        <w:rPr>
          <w:rFonts w:ascii="Times New Roman" w:hAnsi="Times New Roman" w:cs="Times New Roman"/>
        </w:rPr>
        <w:t xml:space="preserve"> advertised destination to be misrouted to, or through, </w:t>
      </w:r>
      <w:bookmarkEnd w:id="6"/>
      <w:r w:rsidRPr="00AA286E" w:rsidR="00560DE2">
        <w:rPr>
          <w:rFonts w:ascii="Times New Roman" w:hAnsi="Times New Roman" w:cs="Times New Roman"/>
        </w:rPr>
        <w:t>the bad actor’s network</w:t>
      </w:r>
      <w:r w:rsidRPr="00AA286E">
        <w:rPr>
          <w:rFonts w:ascii="Times New Roman" w:hAnsi="Times New Roman" w:cs="Times New Roman"/>
        </w:rPr>
        <w:t xml:space="preserve">.  </w:t>
      </w:r>
      <w:r w:rsidRPr="00AA286E" w:rsidR="00516FD9">
        <w:rPr>
          <w:rFonts w:ascii="Times New Roman" w:hAnsi="Times New Roman" w:cs="Times New Roman"/>
        </w:rPr>
        <w:t>C</w:t>
      </w:r>
      <w:r w:rsidRPr="00AA286E" w:rsidR="007F2FA9">
        <w:rPr>
          <w:rFonts w:ascii="Times New Roman" w:hAnsi="Times New Roman" w:cs="Times New Roman"/>
        </w:rPr>
        <w:t xml:space="preserve">ausing Internet traffic to depart from its </w:t>
      </w:r>
      <w:r w:rsidRPr="00AA286E" w:rsidR="00943CC2">
        <w:rPr>
          <w:rFonts w:ascii="Times New Roman" w:hAnsi="Times New Roman" w:cs="Times New Roman"/>
        </w:rPr>
        <w:t xml:space="preserve">most efficient </w:t>
      </w:r>
      <w:r w:rsidRPr="00AA286E" w:rsidR="007F2FA9">
        <w:rPr>
          <w:rFonts w:ascii="Times New Roman" w:hAnsi="Times New Roman" w:cs="Times New Roman"/>
        </w:rPr>
        <w:t>path</w:t>
      </w:r>
      <w:r w:rsidRPr="00AA286E">
        <w:rPr>
          <w:rFonts w:ascii="Times New Roman" w:hAnsi="Times New Roman" w:cs="Times New Roman"/>
        </w:rPr>
        <w:t xml:space="preserve"> is </w:t>
      </w:r>
      <w:r w:rsidRPr="00AA286E" w:rsidR="007F2FA9">
        <w:rPr>
          <w:rFonts w:ascii="Times New Roman" w:hAnsi="Times New Roman" w:cs="Times New Roman"/>
        </w:rPr>
        <w:t>termed</w:t>
      </w:r>
      <w:r w:rsidRPr="00AA286E">
        <w:rPr>
          <w:rFonts w:ascii="Times New Roman" w:hAnsi="Times New Roman" w:cs="Times New Roman"/>
        </w:rPr>
        <w:t xml:space="preserve"> “BGP hijacking.”</w:t>
      </w:r>
      <w:r>
        <w:rPr>
          <w:rStyle w:val="FootnoteReference"/>
          <w:rFonts w:cs="Times New Roman"/>
        </w:rPr>
        <w:footnoteReference w:id="15"/>
      </w:r>
      <w:r w:rsidRPr="00AA286E">
        <w:rPr>
          <w:rFonts w:ascii="Times New Roman" w:hAnsi="Times New Roman" w:cs="Times New Roman"/>
        </w:rPr>
        <w:t xml:space="preserve">  </w:t>
      </w:r>
      <w:r w:rsidRPr="00AA286E" w:rsidR="007F2FA9">
        <w:rPr>
          <w:rFonts w:ascii="Times New Roman" w:hAnsi="Times New Roman" w:cs="Times New Roman"/>
        </w:rPr>
        <w:t>Although BG</w:t>
      </w:r>
      <w:r w:rsidRPr="00AA286E" w:rsidR="00560DE2">
        <w:rPr>
          <w:rFonts w:ascii="Times New Roman" w:hAnsi="Times New Roman" w:cs="Times New Roman"/>
        </w:rPr>
        <w:t>P</w:t>
      </w:r>
      <w:r w:rsidRPr="00E43D5F" w:rsidR="007F2FA9">
        <w:rPr>
          <w:rFonts w:ascii="Times New Roman" w:hAnsi="Times New Roman" w:cs="Times New Roman"/>
        </w:rPr>
        <w:t xml:space="preserve"> hijacking can occur anywhere on the global Internet, t</w:t>
      </w:r>
      <w:r w:rsidRPr="00E43D5F" w:rsidR="00AC6A64">
        <w:rPr>
          <w:rFonts w:ascii="Times New Roman" w:hAnsi="Times New Roman" w:cs="Times New Roman"/>
        </w:rPr>
        <w:t xml:space="preserve">he Commission has an interest </w:t>
      </w:r>
      <w:r w:rsidRPr="004D66E8" w:rsidR="007F2FA9">
        <w:rPr>
          <w:rFonts w:ascii="Times New Roman" w:hAnsi="Times New Roman" w:cs="Times New Roman"/>
        </w:rPr>
        <w:t xml:space="preserve">in minimizing or eliminating opportunities for it within its jurisdiction because it can </w:t>
      </w:r>
      <w:r w:rsidRPr="00970050" w:rsidR="4F99BCAD">
        <w:rPr>
          <w:rFonts w:ascii="Times New Roman" w:hAnsi="Times New Roman" w:cs="Times New Roman"/>
        </w:rPr>
        <w:t>potentially harm</w:t>
      </w:r>
      <w:r w:rsidRPr="00AA286E" w:rsidR="007F2FA9">
        <w:rPr>
          <w:rFonts w:ascii="Times New Roman" w:hAnsi="Times New Roman" w:cs="Times New Roman"/>
        </w:rPr>
        <w:t xml:space="preserve"> U.S. citizens</w:t>
      </w:r>
      <w:r w:rsidRPr="00AA286E" w:rsidR="00E23746">
        <w:rPr>
          <w:rFonts w:ascii="Times New Roman" w:hAnsi="Times New Roman" w:cs="Times New Roman"/>
        </w:rPr>
        <w:t>, commerce,</w:t>
      </w:r>
      <w:r w:rsidRPr="00AA286E" w:rsidR="007F2FA9">
        <w:rPr>
          <w:rFonts w:ascii="Times New Roman" w:hAnsi="Times New Roman" w:cs="Times New Roman"/>
        </w:rPr>
        <w:t xml:space="preserve"> and </w:t>
      </w:r>
      <w:r w:rsidRPr="00AA286E" w:rsidR="4F99BCAD">
        <w:rPr>
          <w:rFonts w:ascii="Times New Roman" w:hAnsi="Times New Roman" w:cs="Times New Roman"/>
        </w:rPr>
        <w:t>public safety operations</w:t>
      </w:r>
      <w:r w:rsidRPr="00AA286E" w:rsidR="00AC6A64">
        <w:rPr>
          <w:rFonts w:ascii="Times New Roman" w:hAnsi="Times New Roman" w:cs="Times New Roman"/>
        </w:rPr>
        <w:t xml:space="preserve">.  </w:t>
      </w:r>
    </w:p>
    <w:p w:rsidR="00F97448" w:rsidRPr="00AA286E" w:rsidP="00BB3E5C" w14:paraId="6D2B13FD" w14:textId="66FF96D8">
      <w:pPr>
        <w:pStyle w:val="ParaNum"/>
        <w:rPr>
          <w:rFonts w:ascii="Times New Roman" w:hAnsi="Times New Roman" w:cs="Times New Roman"/>
        </w:rPr>
      </w:pPr>
      <w:r w:rsidRPr="008F7147">
        <w:rPr>
          <w:rFonts w:ascii="Times New Roman" w:hAnsi="Times New Roman" w:cs="Times New Roman"/>
        </w:rPr>
        <w:t>Russian network operators have</w:t>
      </w:r>
      <w:r>
        <w:rPr>
          <w:rFonts w:ascii="Times New Roman" w:hAnsi="Times New Roman" w:cs="Times New Roman"/>
        </w:rPr>
        <w:t xml:space="preserve"> been suspected of</w:t>
      </w:r>
      <w:r w:rsidRPr="008F7147">
        <w:rPr>
          <w:rFonts w:ascii="Times New Roman" w:hAnsi="Times New Roman" w:cs="Times New Roman"/>
        </w:rPr>
        <w:t xml:space="preserve"> exploit</w:t>
      </w:r>
      <w:r>
        <w:rPr>
          <w:rFonts w:ascii="Times New Roman" w:hAnsi="Times New Roman" w:cs="Times New Roman"/>
        </w:rPr>
        <w:t>ing</w:t>
      </w:r>
      <w:r w:rsidRPr="008F7147">
        <w:rPr>
          <w:rFonts w:ascii="Times New Roman" w:hAnsi="Times New Roman" w:cs="Times New Roman"/>
        </w:rPr>
        <w:t xml:space="preserve"> BGP’s vulnerability to hijacking</w:t>
      </w:r>
      <w:r>
        <w:rPr>
          <w:rFonts w:ascii="Times New Roman" w:hAnsi="Times New Roman" w:cs="Times New Roman"/>
        </w:rPr>
        <w:t>, including instances in which traffic has been redirected through Russia without explanation.</w:t>
      </w:r>
      <w:r>
        <w:rPr>
          <w:rStyle w:val="FootnoteReference"/>
          <w:rFonts w:cs="Times New Roman"/>
        </w:rPr>
        <w:footnoteReference w:id="16"/>
      </w:r>
      <w:r>
        <w:rPr>
          <w:rFonts w:ascii="Times New Roman" w:hAnsi="Times New Roman" w:cs="Times New Roman"/>
        </w:rPr>
        <w:t xml:space="preserve"> </w:t>
      </w:r>
      <w:r w:rsidR="00BB44C0">
        <w:rPr>
          <w:rFonts w:ascii="Times New Roman" w:hAnsi="Times New Roman" w:cs="Times New Roman"/>
        </w:rPr>
        <w:t xml:space="preserve">In </w:t>
      </w:r>
      <w:r w:rsidR="00160BBE">
        <w:rPr>
          <w:rFonts w:ascii="Times New Roman" w:hAnsi="Times New Roman" w:cs="Times New Roman"/>
        </w:rPr>
        <w:t xml:space="preserve">late </w:t>
      </w:r>
      <w:r w:rsidR="00BB44C0">
        <w:rPr>
          <w:rFonts w:ascii="Times New Roman" w:hAnsi="Times New Roman" w:cs="Times New Roman"/>
        </w:rPr>
        <w:t>2017, for example, traffic sent to and from Google, Facebook, Apple and Microsoft w</w:t>
      </w:r>
      <w:r w:rsidR="00FD2992">
        <w:rPr>
          <w:rFonts w:ascii="Times New Roman" w:hAnsi="Times New Roman" w:cs="Times New Roman"/>
        </w:rPr>
        <w:t>as</w:t>
      </w:r>
      <w:r w:rsidR="00BB44C0">
        <w:rPr>
          <w:rFonts w:ascii="Times New Roman" w:hAnsi="Times New Roman" w:cs="Times New Roman"/>
        </w:rPr>
        <w:t xml:space="preserve"> briefly routed through an Internet service provider in Russia</w:t>
      </w:r>
      <w:r w:rsidR="00396EEA">
        <w:rPr>
          <w:rFonts w:ascii="Times New Roman" w:hAnsi="Times New Roman" w:cs="Times New Roman"/>
        </w:rPr>
        <w:t>.</w:t>
      </w:r>
      <w:r>
        <w:rPr>
          <w:rStyle w:val="FootnoteReference"/>
          <w:rFonts w:cs="Times New Roman"/>
        </w:rPr>
        <w:footnoteReference w:id="17"/>
      </w:r>
      <w:r w:rsidR="00644BB2">
        <w:rPr>
          <w:rFonts w:ascii="Times New Roman" w:hAnsi="Times New Roman" w:cs="Times New Roman"/>
        </w:rPr>
        <w:t xml:space="preserve">  That same year, traffic from </w:t>
      </w:r>
      <w:r w:rsidR="00D21721">
        <w:rPr>
          <w:rFonts w:ascii="Times New Roman" w:hAnsi="Times New Roman" w:cs="Times New Roman"/>
        </w:rPr>
        <w:t>a number of financial institutions, including MasterCard, Visa, and others was also routed through a Russian government-controlled telecommunications company</w:t>
      </w:r>
      <w:r w:rsidR="00E02CF4">
        <w:rPr>
          <w:rFonts w:ascii="Times New Roman" w:hAnsi="Times New Roman" w:cs="Times New Roman"/>
        </w:rPr>
        <w:t xml:space="preserve"> under “unexplained” circumstances</w:t>
      </w:r>
      <w:r w:rsidR="00D21721">
        <w:rPr>
          <w:rFonts w:ascii="Times New Roman" w:hAnsi="Times New Roman" w:cs="Times New Roman"/>
        </w:rPr>
        <w:t>.</w:t>
      </w:r>
      <w:r>
        <w:rPr>
          <w:rStyle w:val="FootnoteReference"/>
          <w:rFonts w:cs="Times New Roman"/>
        </w:rPr>
        <w:footnoteReference w:id="18"/>
      </w:r>
      <w:r w:rsidR="00D21721">
        <w:rPr>
          <w:rFonts w:ascii="Times New Roman" w:hAnsi="Times New Roman" w:cs="Times New Roman"/>
        </w:rPr>
        <w:t xml:space="preserve">  </w:t>
      </w:r>
    </w:p>
    <w:p w:rsidR="00F65869" w:rsidRPr="00731790" w:rsidP="00AA286E" w14:paraId="4DDD68D4" w14:textId="069ED502">
      <w:pPr>
        <w:pStyle w:val="ParaNum"/>
        <w:rPr>
          <w:rFonts w:ascii="Times New Roman" w:hAnsi="Times New Roman" w:cs="Times New Roman"/>
        </w:rPr>
      </w:pPr>
      <w:r w:rsidRPr="00AA286E">
        <w:rPr>
          <w:rFonts w:ascii="Times New Roman" w:hAnsi="Times New Roman" w:cs="Times New Roman"/>
        </w:rPr>
        <w:t>O</w:t>
      </w:r>
      <w:r w:rsidRPr="00AA286E" w:rsidR="00662F09">
        <w:rPr>
          <w:rFonts w:ascii="Times New Roman" w:hAnsi="Times New Roman" w:cs="Times New Roman"/>
        </w:rPr>
        <w:t xml:space="preserve">ver </w:t>
      </w:r>
      <w:r w:rsidRPr="00AA286E">
        <w:rPr>
          <w:rFonts w:ascii="Times New Roman" w:hAnsi="Times New Roman" w:cs="Times New Roman"/>
        </w:rPr>
        <w:t xml:space="preserve">the past </w:t>
      </w:r>
      <w:r w:rsidRPr="00AA286E" w:rsidR="00662F09">
        <w:rPr>
          <w:rFonts w:ascii="Times New Roman" w:hAnsi="Times New Roman" w:cs="Times New Roman"/>
        </w:rPr>
        <w:t>two decades</w:t>
      </w:r>
      <w:r w:rsidRPr="00AA286E">
        <w:rPr>
          <w:rFonts w:ascii="Times New Roman" w:hAnsi="Times New Roman" w:cs="Times New Roman"/>
        </w:rPr>
        <w:t>,</w:t>
      </w:r>
      <w:r w:rsidRPr="00AA286E" w:rsidR="00AC6A64">
        <w:rPr>
          <w:rFonts w:ascii="Times New Roman" w:hAnsi="Times New Roman" w:cs="Times New Roman"/>
        </w:rPr>
        <w:t xml:space="preserve"> </w:t>
      </w:r>
      <w:r w:rsidRPr="00AA286E">
        <w:rPr>
          <w:rFonts w:ascii="Times New Roman" w:hAnsi="Times New Roman" w:cs="Times New Roman"/>
        </w:rPr>
        <w:t>Internet stakeholders have</w:t>
      </w:r>
      <w:r w:rsidRPr="00AA286E" w:rsidR="00662F09">
        <w:rPr>
          <w:rFonts w:ascii="Times New Roman" w:hAnsi="Times New Roman" w:cs="Times New Roman"/>
        </w:rPr>
        <w:t xml:space="preserve"> </w:t>
      </w:r>
      <w:r w:rsidRPr="00AA286E">
        <w:rPr>
          <w:rFonts w:ascii="Times New Roman" w:hAnsi="Times New Roman" w:cs="Times New Roman"/>
        </w:rPr>
        <w:t xml:space="preserve">developed new standards, specifications, and best practice recommendations intended </w:t>
      </w:r>
      <w:r w:rsidRPr="00AA286E" w:rsidR="00662F09">
        <w:rPr>
          <w:rFonts w:ascii="Times New Roman" w:hAnsi="Times New Roman" w:cs="Times New Roman"/>
        </w:rPr>
        <w:t xml:space="preserve">to address </w:t>
      </w:r>
      <w:r w:rsidRPr="00AA286E">
        <w:rPr>
          <w:rFonts w:ascii="Times New Roman" w:hAnsi="Times New Roman" w:cs="Times New Roman"/>
        </w:rPr>
        <w:t>the security risk that BGP poses</w:t>
      </w:r>
      <w:r w:rsidRPr="00AA286E">
        <w:rPr>
          <w:rFonts w:ascii="Times New Roman" w:hAnsi="Times New Roman" w:cs="Times New Roman"/>
        </w:rPr>
        <w:t>.</w:t>
      </w:r>
      <w:r>
        <w:rPr>
          <w:rStyle w:val="FootnoteReference"/>
          <w:rFonts w:cs="Times New Roman"/>
        </w:rPr>
        <w:footnoteReference w:id="19"/>
      </w:r>
      <w:r w:rsidRPr="00AA286E">
        <w:rPr>
          <w:rFonts w:ascii="Times New Roman" w:hAnsi="Times New Roman" w:cs="Times New Roman"/>
        </w:rPr>
        <w:t xml:space="preserve"> </w:t>
      </w:r>
      <w:r w:rsidRPr="00AA286E" w:rsidR="00AC6A64">
        <w:rPr>
          <w:rFonts w:ascii="Times New Roman" w:hAnsi="Times New Roman" w:cs="Times New Roman"/>
        </w:rPr>
        <w:t xml:space="preserve"> </w:t>
      </w:r>
      <w:r w:rsidRPr="00AA286E">
        <w:rPr>
          <w:rFonts w:ascii="Times New Roman" w:hAnsi="Times New Roman" w:cs="Times New Roman"/>
        </w:rPr>
        <w:t>The Internet Engineering Task Force</w:t>
      </w:r>
      <w:r w:rsidRPr="00AA286E" w:rsidR="00F479E1">
        <w:rPr>
          <w:rFonts w:ascii="Times New Roman" w:hAnsi="Times New Roman" w:cs="Times New Roman"/>
        </w:rPr>
        <w:t xml:space="preserve"> (IETF)</w:t>
      </w:r>
      <w:bookmarkStart w:id="9" w:name="_Hlk96023067"/>
      <w:r w:rsidRPr="00AA286E">
        <w:rPr>
          <w:rFonts w:ascii="Times New Roman" w:hAnsi="Times New Roman" w:cs="Times New Roman"/>
        </w:rPr>
        <w:t xml:space="preserve">, </w:t>
      </w:r>
      <w:r w:rsidRPr="00AA286E" w:rsidR="00662F09">
        <w:rPr>
          <w:rFonts w:ascii="Times New Roman" w:hAnsi="Times New Roman" w:cs="Times New Roman"/>
        </w:rPr>
        <w:t>the principal authority responsible for Internet standards</w:t>
      </w:r>
      <w:r w:rsidRPr="00AA286E">
        <w:rPr>
          <w:rFonts w:ascii="Times New Roman" w:hAnsi="Times New Roman" w:cs="Times New Roman"/>
        </w:rPr>
        <w:t xml:space="preserve">, </w:t>
      </w:r>
      <w:r w:rsidRPr="00AA286E" w:rsidR="00662F09">
        <w:rPr>
          <w:rFonts w:ascii="Times New Roman" w:hAnsi="Times New Roman" w:cs="Times New Roman"/>
        </w:rPr>
        <w:t xml:space="preserve">has finalized </w:t>
      </w:r>
      <w:bookmarkEnd w:id="9"/>
      <w:r w:rsidRPr="00AA286E">
        <w:rPr>
          <w:rFonts w:ascii="Times New Roman" w:hAnsi="Times New Roman" w:cs="Times New Roman"/>
        </w:rPr>
        <w:t xml:space="preserve">several standards to reduce </w:t>
      </w:r>
      <w:r w:rsidRPr="00AA286E">
        <w:rPr>
          <w:rFonts w:ascii="Times New Roman" w:hAnsi="Times New Roman" w:cs="Times New Roman"/>
        </w:rPr>
        <w:t xml:space="preserve">BGP </w:t>
      </w:r>
      <w:r w:rsidRPr="00AA286E">
        <w:rPr>
          <w:rFonts w:ascii="Times New Roman" w:hAnsi="Times New Roman" w:cs="Times New Roman"/>
        </w:rPr>
        <w:t>vulnerabilities</w:t>
      </w:r>
      <w:r w:rsidRPr="00AA286E" w:rsidR="006914C9">
        <w:rPr>
          <w:rFonts w:ascii="Times New Roman" w:hAnsi="Times New Roman" w:cs="Times New Roman"/>
        </w:rPr>
        <w:t>, including BGPsec</w:t>
      </w:r>
      <w:r w:rsidRPr="00AA286E" w:rsidR="0014090D">
        <w:rPr>
          <w:rFonts w:ascii="Times New Roman" w:hAnsi="Times New Roman" w:cs="Times New Roman"/>
        </w:rPr>
        <w:t xml:space="preserve">, an extension to BGP that provides security for the path </w:t>
      </w:r>
      <w:r w:rsidRPr="00AA286E" w:rsidR="00837C99">
        <w:rPr>
          <w:rFonts w:ascii="Times New Roman" w:hAnsi="Times New Roman" w:cs="Times New Roman"/>
        </w:rPr>
        <w:t>through which reachability inf</w:t>
      </w:r>
      <w:r w:rsidRPr="00AA286E" w:rsidR="009D3E4A">
        <w:rPr>
          <w:rFonts w:ascii="Times New Roman" w:hAnsi="Times New Roman" w:cs="Times New Roman"/>
        </w:rPr>
        <w:t>ormation passes</w:t>
      </w:r>
      <w:r w:rsidRPr="00AA286E">
        <w:rPr>
          <w:rFonts w:ascii="Times New Roman" w:hAnsi="Times New Roman" w:cs="Times New Roman"/>
        </w:rPr>
        <w:t>.</w:t>
      </w:r>
      <w:r>
        <w:rPr>
          <w:rStyle w:val="FootnoteReference"/>
          <w:rFonts w:cs="Times New Roman"/>
        </w:rPr>
        <w:footnoteReference w:id="20"/>
      </w:r>
      <w:r w:rsidRPr="00AA286E">
        <w:rPr>
          <w:rFonts w:ascii="Times New Roman" w:hAnsi="Times New Roman" w:cs="Times New Roman"/>
        </w:rPr>
        <w:t xml:space="preserve">  The National Institute </w:t>
      </w:r>
      <w:r w:rsidRPr="00AA286E">
        <w:rPr>
          <w:rFonts w:ascii="Times New Roman" w:hAnsi="Times New Roman" w:cs="Times New Roman"/>
        </w:rPr>
        <w:t>of Standards and Technology (NIST)</w:t>
      </w:r>
      <w:r w:rsidRPr="00AA286E" w:rsidR="00662F09">
        <w:rPr>
          <w:rFonts w:ascii="Times New Roman" w:hAnsi="Times New Roman" w:cs="Times New Roman"/>
        </w:rPr>
        <w:t xml:space="preserve"> has</w:t>
      </w:r>
      <w:r w:rsidRPr="00AA286E">
        <w:rPr>
          <w:rFonts w:ascii="Times New Roman" w:hAnsi="Times New Roman" w:cs="Times New Roman"/>
        </w:rPr>
        <w:t xml:space="preserve"> released a practice guide proposing a method of validating routes’ origins</w:t>
      </w:r>
      <w:r w:rsidRPr="00AA286E" w:rsidR="00662F09">
        <w:rPr>
          <w:rFonts w:ascii="Times New Roman" w:hAnsi="Times New Roman" w:cs="Times New Roman"/>
        </w:rPr>
        <w:t xml:space="preserve"> and recommendations for resilient exchange between independently managed networks.</w:t>
      </w:r>
      <w:r>
        <w:rPr>
          <w:rStyle w:val="FootnoteReference"/>
          <w:rFonts w:cs="Times New Roman"/>
          <w:sz w:val="22"/>
        </w:rPr>
        <w:footnoteReference w:id="21"/>
      </w:r>
      <w:r w:rsidRPr="00AA286E">
        <w:rPr>
          <w:rFonts w:ascii="Times New Roman" w:hAnsi="Times New Roman" w:cs="Times New Roman"/>
        </w:rPr>
        <w:t xml:space="preserve"> </w:t>
      </w:r>
      <w:r w:rsidRPr="00AA286E">
        <w:rPr>
          <w:rFonts w:ascii="Times New Roman" w:hAnsi="Times New Roman" w:cs="Times New Roman"/>
        </w:rPr>
        <w:t xml:space="preserve"> </w:t>
      </w:r>
      <w:r w:rsidRPr="00AA286E" w:rsidR="00662F09">
        <w:rPr>
          <w:rFonts w:ascii="Times New Roman" w:hAnsi="Times New Roman" w:cs="Times New Roman"/>
        </w:rPr>
        <w:t>In 2017, the</w:t>
      </w:r>
      <w:r w:rsidRPr="00AA286E">
        <w:rPr>
          <w:rFonts w:ascii="Times New Roman" w:hAnsi="Times New Roman" w:cs="Times New Roman"/>
        </w:rPr>
        <w:t xml:space="preserve"> Internet Society launched Mutually Agreed Norms for Routing Security (MANRS),</w:t>
      </w:r>
      <w:r>
        <w:rPr>
          <w:rStyle w:val="FootnoteReference"/>
          <w:rFonts w:cs="Times New Roman"/>
        </w:rPr>
        <w:footnoteReference w:id="22"/>
      </w:r>
      <w:r w:rsidRPr="00AA286E">
        <w:rPr>
          <w:rFonts w:ascii="Times New Roman" w:hAnsi="Times New Roman" w:cs="Times New Roman"/>
        </w:rPr>
        <w:t xml:space="preserve"> an organizational initiative </w:t>
      </w:r>
      <w:bookmarkStart w:id="10" w:name="_Hlk96023419"/>
      <w:r w:rsidRPr="00AA286E" w:rsidR="009C22D5">
        <w:rPr>
          <w:rFonts w:ascii="Times New Roman" w:hAnsi="Times New Roman" w:cs="Times New Roman"/>
        </w:rPr>
        <w:t xml:space="preserve">with membership including over </w:t>
      </w:r>
      <w:r w:rsidRPr="00AA286E" w:rsidR="00780EEB">
        <w:rPr>
          <w:rFonts w:ascii="Times New Roman" w:hAnsi="Times New Roman" w:cs="Times New Roman"/>
        </w:rPr>
        <w:t>7</w:t>
      </w:r>
      <w:r w:rsidRPr="00AA286E" w:rsidR="009C22D5">
        <w:rPr>
          <w:rFonts w:ascii="Times New Roman" w:hAnsi="Times New Roman" w:cs="Times New Roman"/>
        </w:rPr>
        <w:t>00 network operators, Internet Service Providers, and enterprises, which aims to</w:t>
      </w:r>
      <w:r w:rsidRPr="00AA286E" w:rsidR="00662F09">
        <w:rPr>
          <w:rFonts w:ascii="Times New Roman" w:hAnsi="Times New Roman" w:cs="Times New Roman"/>
        </w:rPr>
        <w:t xml:space="preserve"> reduc</w:t>
      </w:r>
      <w:r w:rsidRPr="00AA286E" w:rsidR="009C22D5">
        <w:rPr>
          <w:rFonts w:ascii="Times New Roman" w:hAnsi="Times New Roman" w:cs="Times New Roman"/>
        </w:rPr>
        <w:t>e</w:t>
      </w:r>
      <w:r w:rsidRPr="00AA286E" w:rsidR="00662F09">
        <w:rPr>
          <w:rFonts w:ascii="Times New Roman" w:hAnsi="Times New Roman" w:cs="Times New Roman"/>
        </w:rPr>
        <w:t xml:space="preserve"> or prevent route hijacking and denial of service attacks </w:t>
      </w:r>
      <w:r w:rsidRPr="00AA286E">
        <w:rPr>
          <w:rFonts w:ascii="Times New Roman" w:hAnsi="Times New Roman" w:cs="Times New Roman"/>
        </w:rPr>
        <w:t>by</w:t>
      </w:r>
      <w:r w:rsidRPr="00AA286E" w:rsidR="00662F09">
        <w:rPr>
          <w:rFonts w:ascii="Times New Roman" w:hAnsi="Times New Roman" w:cs="Times New Roman"/>
        </w:rPr>
        <w:t xml:space="preserve"> requiring network operators </w:t>
      </w:r>
      <w:r w:rsidRPr="00AA286E">
        <w:rPr>
          <w:rFonts w:ascii="Times New Roman" w:hAnsi="Times New Roman" w:cs="Times New Roman"/>
        </w:rPr>
        <w:t xml:space="preserve">to </w:t>
      </w:r>
      <w:r w:rsidRPr="00AA286E" w:rsidR="00662F09">
        <w:rPr>
          <w:rFonts w:ascii="Times New Roman" w:hAnsi="Times New Roman" w:cs="Times New Roman"/>
        </w:rPr>
        <w:t xml:space="preserve">implement available tools </w:t>
      </w:r>
      <w:bookmarkEnd w:id="10"/>
      <w:r w:rsidRPr="00AA286E">
        <w:rPr>
          <w:rFonts w:ascii="Times New Roman" w:hAnsi="Times New Roman" w:cs="Times New Roman"/>
        </w:rPr>
        <w:t xml:space="preserve">and </w:t>
      </w:r>
      <w:r w:rsidR="00257DFB">
        <w:rPr>
          <w:rFonts w:ascii="Times New Roman" w:hAnsi="Times New Roman" w:cs="Times New Roman"/>
        </w:rPr>
        <w:t xml:space="preserve">applicable </w:t>
      </w:r>
      <w:r w:rsidRPr="00AA286E" w:rsidR="008063B3">
        <w:rPr>
          <w:rFonts w:ascii="Times New Roman" w:hAnsi="Times New Roman" w:cs="Times New Roman"/>
        </w:rPr>
        <w:t xml:space="preserve">IETF </w:t>
      </w:r>
      <w:r w:rsidRPr="00AA286E">
        <w:rPr>
          <w:rFonts w:ascii="Times New Roman" w:hAnsi="Times New Roman" w:cs="Times New Roman"/>
        </w:rPr>
        <w:t xml:space="preserve">Best Common Practice </w:t>
      </w:r>
      <w:r w:rsidRPr="00AA286E" w:rsidR="00CE46E0">
        <w:rPr>
          <w:rFonts w:ascii="Times New Roman" w:hAnsi="Times New Roman" w:cs="Times New Roman"/>
        </w:rPr>
        <w:t>s</w:t>
      </w:r>
      <w:r w:rsidRPr="00AA286E">
        <w:rPr>
          <w:rFonts w:ascii="Times New Roman" w:hAnsi="Times New Roman" w:cs="Times New Roman"/>
        </w:rPr>
        <w:t>tandards.</w:t>
      </w:r>
      <w:r>
        <w:rPr>
          <w:rStyle w:val="FootnoteReference"/>
          <w:rFonts w:cs="Times New Roman"/>
          <w:sz w:val="22"/>
        </w:rPr>
        <w:footnoteReference w:id="23"/>
      </w:r>
      <w:r w:rsidRPr="00AA286E">
        <w:rPr>
          <w:rFonts w:ascii="Times New Roman" w:hAnsi="Times New Roman" w:cs="Times New Roman"/>
        </w:rPr>
        <w:t xml:space="preserve"> </w:t>
      </w:r>
      <w:r w:rsidRPr="00731790" w:rsidR="009C22D5">
        <w:rPr>
          <w:rFonts w:ascii="Times New Roman" w:hAnsi="Times New Roman" w:cs="Times New Roman"/>
        </w:rPr>
        <w:t xml:space="preserve"> </w:t>
      </w:r>
      <w:r w:rsidRPr="00AA286E">
        <w:rPr>
          <w:rFonts w:ascii="Times New Roman" w:hAnsi="Times New Roman" w:cs="Times New Roman"/>
        </w:rPr>
        <w:t xml:space="preserve">MANRS offers a </w:t>
      </w:r>
      <w:r w:rsidRPr="00AA286E" w:rsidR="00F84899">
        <w:rPr>
          <w:rFonts w:ascii="Times New Roman" w:hAnsi="Times New Roman" w:cs="Times New Roman"/>
        </w:rPr>
        <w:t>tool called “</w:t>
      </w:r>
      <w:r w:rsidRPr="00AA286E">
        <w:rPr>
          <w:rFonts w:ascii="Times New Roman" w:hAnsi="Times New Roman" w:cs="Times New Roman"/>
        </w:rPr>
        <w:t>MANRS Observatory</w:t>
      </w:r>
      <w:r w:rsidRPr="00AA286E" w:rsidR="00F84899">
        <w:rPr>
          <w:rFonts w:ascii="Times New Roman" w:hAnsi="Times New Roman" w:cs="Times New Roman"/>
        </w:rPr>
        <w:t>”</w:t>
      </w:r>
      <w:r w:rsidRPr="00AA286E">
        <w:rPr>
          <w:rFonts w:ascii="Times New Roman" w:hAnsi="Times New Roman" w:cs="Times New Roman"/>
        </w:rPr>
        <w:t xml:space="preserve"> that </w:t>
      </w:r>
      <w:r w:rsidRPr="00AA286E">
        <w:rPr>
          <w:rFonts w:ascii="Times New Roman" w:hAnsi="Times New Roman" w:cs="Times New Roman"/>
        </w:rPr>
        <w:t>aggregates</w:t>
      </w:r>
      <w:r w:rsidRPr="00AA286E">
        <w:rPr>
          <w:rFonts w:ascii="Times New Roman" w:hAnsi="Times New Roman" w:cs="Times New Roman"/>
        </w:rPr>
        <w:t xml:space="preserve"> data from trusted sources into a dashboard to help network operators improve the security of their networks.</w:t>
      </w:r>
      <w:r>
        <w:rPr>
          <w:rStyle w:val="FootnoteReference"/>
          <w:rFonts w:cs="Times New Roman"/>
        </w:rPr>
        <w:footnoteReference w:id="24"/>
      </w:r>
      <w:r w:rsidRPr="00AA286E">
        <w:rPr>
          <w:rFonts w:ascii="Times New Roman" w:hAnsi="Times New Roman" w:cs="Times New Roman"/>
        </w:rPr>
        <w:t xml:space="preserve">  </w:t>
      </w:r>
      <w:r w:rsidRPr="00AA286E">
        <w:rPr>
          <w:rFonts w:ascii="Times New Roman" w:hAnsi="Times New Roman" w:cs="Times New Roman"/>
        </w:rPr>
        <w:t>Similarly, t</w:t>
      </w:r>
      <w:r w:rsidRPr="00AA286E" w:rsidR="66AD7C4F">
        <w:rPr>
          <w:rFonts w:ascii="Times New Roman" w:hAnsi="Times New Roman" w:cs="Times New Roman"/>
        </w:rPr>
        <w:t>he Commission’s</w:t>
      </w:r>
      <w:r w:rsidRPr="00AA286E">
        <w:rPr>
          <w:rFonts w:ascii="Times New Roman" w:hAnsi="Times New Roman" w:cs="Times New Roman"/>
        </w:rPr>
        <w:t xml:space="preserve"> Communications Security, Reliability, and Interoperability Council (CSRIC) has reported on best practices and recommendations to improve the security of BGP.</w:t>
      </w:r>
      <w:r>
        <w:rPr>
          <w:rStyle w:val="FootnoteReference"/>
          <w:rFonts w:cs="Times New Roman"/>
          <w:sz w:val="22"/>
        </w:rPr>
        <w:footnoteReference w:id="25"/>
      </w:r>
      <w:r w:rsidRPr="00AA286E">
        <w:rPr>
          <w:rFonts w:ascii="Times New Roman" w:hAnsi="Times New Roman" w:cs="Times New Roman"/>
        </w:rPr>
        <w:t xml:space="preserve">  CSRIC III recommended that network operators ensure that BGP routers’ Internet routing registries are accurate, complete, and up-to-date</w:t>
      </w:r>
      <w:r w:rsidRPr="00AA286E" w:rsidR="07DF3BD9">
        <w:rPr>
          <w:rFonts w:ascii="Times New Roman" w:hAnsi="Times New Roman" w:cs="Times New Roman"/>
        </w:rPr>
        <w:t>,</w:t>
      </w:r>
      <w:r w:rsidRPr="00AA286E">
        <w:rPr>
          <w:rFonts w:ascii="Times New Roman" w:hAnsi="Times New Roman" w:cs="Times New Roman"/>
        </w:rPr>
        <w:t xml:space="preserve"> and that network operators use a standards-based approach for providing cryptographically secure registries of Internet resources and routing authorizations, a Resource Public Key Infrastructure (RPKI).</w:t>
      </w:r>
      <w:r>
        <w:rPr>
          <w:rStyle w:val="FootnoteReference"/>
          <w:rFonts w:cs="Times New Roman"/>
          <w:sz w:val="22"/>
        </w:rPr>
        <w:footnoteReference w:id="26"/>
      </w:r>
      <w:r w:rsidRPr="00AA286E">
        <w:rPr>
          <w:rFonts w:ascii="Times New Roman" w:hAnsi="Times New Roman" w:cs="Times New Roman"/>
        </w:rPr>
        <w:t xml:space="preserve">  CSRIC VI recommended that network operators support MANRS </w:t>
      </w:r>
      <w:r w:rsidRPr="00AA286E" w:rsidR="00CE46E0">
        <w:rPr>
          <w:rFonts w:ascii="Times New Roman" w:hAnsi="Times New Roman" w:cs="Times New Roman"/>
        </w:rPr>
        <w:t xml:space="preserve">and </w:t>
      </w:r>
      <w:r w:rsidRPr="00AA286E">
        <w:rPr>
          <w:rFonts w:ascii="Times New Roman" w:hAnsi="Times New Roman" w:cs="Times New Roman"/>
        </w:rPr>
        <w:t>IETF Best Common Practice standards.</w:t>
      </w:r>
      <w:r>
        <w:rPr>
          <w:rFonts w:ascii="Times New Roman" w:hAnsi="Times New Roman" w:cs="Times New Roman"/>
          <w:vertAlign w:val="superscript"/>
        </w:rPr>
        <w:footnoteReference w:id="27"/>
      </w:r>
      <w:r w:rsidRPr="00AA286E">
        <w:rPr>
          <w:rFonts w:ascii="Times New Roman" w:hAnsi="Times New Roman" w:cs="Times New Roman"/>
        </w:rPr>
        <w:t xml:space="preserve">  </w:t>
      </w:r>
      <w:r w:rsidRPr="00AA286E" w:rsidR="5A0866F4">
        <w:rPr>
          <w:rFonts w:ascii="Times New Roman" w:hAnsi="Times New Roman" w:cs="Times New Roman"/>
        </w:rPr>
        <w:t xml:space="preserve">Notwithstanding this work, </w:t>
      </w:r>
      <w:r w:rsidRPr="00AA286E" w:rsidR="00662F09">
        <w:rPr>
          <w:rFonts w:ascii="Times New Roman" w:hAnsi="Times New Roman" w:cs="Times New Roman"/>
        </w:rPr>
        <w:t xml:space="preserve">available information suggests that the voluntary adoption and deployment of such measures </w:t>
      </w:r>
      <w:r w:rsidRPr="00AA286E" w:rsidR="00A6731F">
        <w:rPr>
          <w:rFonts w:ascii="Times New Roman" w:hAnsi="Times New Roman" w:cs="Times New Roman"/>
        </w:rPr>
        <w:t>has</w:t>
      </w:r>
      <w:r w:rsidRPr="00AA286E" w:rsidR="001F4286">
        <w:rPr>
          <w:rFonts w:ascii="Times New Roman" w:hAnsi="Times New Roman" w:cs="Times New Roman"/>
        </w:rPr>
        <w:t xml:space="preserve"> been such that </w:t>
      </w:r>
      <w:r w:rsidRPr="00AA286E" w:rsidR="00A6731F">
        <w:rPr>
          <w:rFonts w:ascii="Times New Roman" w:hAnsi="Times New Roman" w:cs="Times New Roman"/>
        </w:rPr>
        <w:t>many of</w:t>
      </w:r>
      <w:r w:rsidRPr="00AA286E" w:rsidR="5A0866F4">
        <w:rPr>
          <w:rFonts w:ascii="Times New Roman" w:hAnsi="Times New Roman" w:cs="Times New Roman"/>
        </w:rPr>
        <w:t xml:space="preserve"> the</w:t>
      </w:r>
      <w:r w:rsidRPr="00AA286E" w:rsidR="00A6731F">
        <w:rPr>
          <w:rFonts w:ascii="Times New Roman" w:hAnsi="Times New Roman" w:cs="Times New Roman"/>
        </w:rPr>
        <w:t xml:space="preserve"> independently </w:t>
      </w:r>
      <w:r w:rsidRPr="00AA286E" w:rsidR="00A6731F">
        <w:rPr>
          <w:rFonts w:ascii="Times New Roman" w:hAnsi="Times New Roman" w:cs="Times New Roman"/>
        </w:rPr>
        <w:t xml:space="preserve">managed networks that comprise the Internet </w:t>
      </w:r>
      <w:r w:rsidRPr="00AA286E" w:rsidR="5A0866F4">
        <w:rPr>
          <w:rFonts w:ascii="Times New Roman" w:hAnsi="Times New Roman" w:cs="Times New Roman"/>
        </w:rPr>
        <w:t>remain vulnerable</w:t>
      </w:r>
      <w:r w:rsidRPr="00AA286E" w:rsidR="00B278CE">
        <w:rPr>
          <w:rFonts w:ascii="Times New Roman" w:hAnsi="Times New Roman" w:cs="Times New Roman"/>
        </w:rPr>
        <w:t xml:space="preserve"> because they have not taken advantage of these measures</w:t>
      </w:r>
      <w:r w:rsidRPr="00AA286E" w:rsidR="5A0866F4">
        <w:rPr>
          <w:rFonts w:ascii="Times New Roman" w:hAnsi="Times New Roman" w:cs="Times New Roman"/>
        </w:rPr>
        <w:t>.</w:t>
      </w:r>
      <w:r>
        <w:rPr>
          <w:rStyle w:val="FootnoteReference"/>
          <w:rFonts w:cs="Times New Roman"/>
        </w:rPr>
        <w:footnoteReference w:id="28"/>
      </w:r>
      <w:r w:rsidRPr="00731790" w:rsidR="00B278CE">
        <w:rPr>
          <w:rFonts w:ascii="Times New Roman" w:eastAsia="Times New Roman" w:hAnsi="Times New Roman" w:cs="Times New Roman"/>
          <w:i/>
          <w:iCs/>
          <w:color w:val="000000"/>
          <w:sz w:val="24"/>
          <w:szCs w:val="24"/>
        </w:rPr>
        <w:t xml:space="preserve"> </w:t>
      </w:r>
    </w:p>
    <w:bookmarkEnd w:id="5"/>
    <w:p w:rsidR="008A584A" w:rsidRPr="00AA286E" w:rsidP="008A584A" w14:paraId="2557F2F9" w14:textId="18CDC07C">
      <w:pPr>
        <w:pStyle w:val="Heading1"/>
        <w:rPr>
          <w:rFonts w:ascii="Times New Roman" w:hAnsi="Times New Roman" w:cs="Times New Roman"/>
        </w:rPr>
      </w:pPr>
      <w:r w:rsidRPr="00AA286E">
        <w:rPr>
          <w:rFonts w:ascii="Times New Roman" w:hAnsi="Times New Roman" w:cs="Times New Roman"/>
        </w:rPr>
        <w:t>D</w:t>
      </w:r>
      <w:r w:rsidRPr="00AA286E" w:rsidR="007063ED">
        <w:rPr>
          <w:rFonts w:ascii="Times New Roman" w:hAnsi="Times New Roman" w:cs="Times New Roman"/>
        </w:rPr>
        <w:t>iscussion</w:t>
      </w:r>
    </w:p>
    <w:p w:rsidR="005A5D9C" w:rsidRPr="00AA286E" w:rsidP="005A5D9C" w14:paraId="069FEF25" w14:textId="1A3FA965">
      <w:pPr>
        <w:pStyle w:val="ParaNum"/>
        <w:rPr>
          <w:rFonts w:ascii="Times New Roman" w:hAnsi="Times New Roman" w:cs="Times New Roman"/>
        </w:rPr>
      </w:pPr>
      <w:bookmarkStart w:id="12" w:name="_Toc64470156"/>
      <w:bookmarkStart w:id="13" w:name="_Toc64476213"/>
      <w:bookmarkStart w:id="14" w:name="_Toc64476370"/>
      <w:bookmarkStart w:id="15" w:name="_Toc64622488"/>
      <w:bookmarkStart w:id="16" w:name="_Toc64623050"/>
      <w:bookmarkStart w:id="17" w:name="_Toc64900298"/>
      <w:bookmarkStart w:id="18" w:name="_Toc64900523"/>
      <w:bookmarkStart w:id="19" w:name="_Toc64967379"/>
      <w:r w:rsidRPr="004D66E8">
        <w:rPr>
          <w:rFonts w:ascii="Times New Roman" w:hAnsi="Times New Roman" w:cs="Times New Roman"/>
          <w:i/>
        </w:rPr>
        <w:t xml:space="preserve">Scope of Inquiry.  </w:t>
      </w:r>
      <w:r w:rsidRPr="004D66E8" w:rsidR="003A1EDA">
        <w:rPr>
          <w:rFonts w:ascii="Times New Roman" w:hAnsi="Times New Roman" w:cs="Times New Roman"/>
          <w:iCs/>
        </w:rPr>
        <w:t xml:space="preserve">In this </w:t>
      </w:r>
      <w:r w:rsidRPr="00970050" w:rsidR="00FD4746">
        <w:rPr>
          <w:rFonts w:ascii="Times New Roman" w:hAnsi="Times New Roman" w:cs="Times New Roman"/>
          <w:i/>
        </w:rPr>
        <w:t>Notice</w:t>
      </w:r>
      <w:r w:rsidRPr="00EE19FD" w:rsidR="003A1EDA">
        <w:rPr>
          <w:rFonts w:ascii="Times New Roman" w:hAnsi="Times New Roman" w:cs="Times New Roman"/>
          <w:iCs/>
        </w:rPr>
        <w:t xml:space="preserve">, we seek comment on </w:t>
      </w:r>
      <w:r w:rsidRPr="00550ADC" w:rsidR="00FD1F91">
        <w:rPr>
          <w:rFonts w:ascii="Times New Roman" w:hAnsi="Times New Roman" w:cs="Times New Roman"/>
        </w:rPr>
        <w:t xml:space="preserve">any steps that </w:t>
      </w:r>
      <w:r w:rsidRPr="00B57FD5" w:rsidR="00D833F9">
        <w:rPr>
          <w:rFonts w:ascii="Times New Roman" w:hAnsi="Times New Roman" w:cs="Times New Roman"/>
          <w:iCs/>
        </w:rPr>
        <w:t xml:space="preserve">the Commission </w:t>
      </w:r>
      <w:r w:rsidRPr="005211EE" w:rsidR="00FD1F91">
        <w:rPr>
          <w:rFonts w:ascii="Times New Roman" w:hAnsi="Times New Roman" w:cs="Times New Roman"/>
        </w:rPr>
        <w:t xml:space="preserve">should consider taking to help </w:t>
      </w:r>
      <w:r w:rsidRPr="005211EE" w:rsidR="00D833F9">
        <w:rPr>
          <w:rFonts w:ascii="Times New Roman" w:hAnsi="Times New Roman" w:cs="Times New Roman"/>
        </w:rPr>
        <w:t xml:space="preserve">protect and strengthen </w:t>
      </w:r>
      <w:r w:rsidRPr="005211EE" w:rsidR="00FD1F91">
        <w:rPr>
          <w:rFonts w:ascii="Times New Roman" w:hAnsi="Times New Roman" w:cs="Times New Roman"/>
        </w:rPr>
        <w:t xml:space="preserve">the nation’s </w:t>
      </w:r>
      <w:r w:rsidRPr="005211EE" w:rsidR="00D833F9">
        <w:rPr>
          <w:rFonts w:ascii="Times New Roman" w:hAnsi="Times New Roman" w:cs="Times New Roman"/>
        </w:rPr>
        <w:t>communications</w:t>
      </w:r>
      <w:r w:rsidRPr="007B2289" w:rsidR="00D833F9">
        <w:rPr>
          <w:rFonts w:ascii="Times New Roman" w:hAnsi="Times New Roman" w:cs="Times New Roman"/>
        </w:rPr>
        <w:t xml:space="preserve"> network and other critical infrastructure from vulnerabilities posed by BGP</w:t>
      </w:r>
      <w:r w:rsidRPr="008966AD" w:rsidR="00537E4D">
        <w:rPr>
          <w:rFonts w:ascii="Times New Roman" w:hAnsi="Times New Roman" w:cs="Times New Roman"/>
        </w:rPr>
        <w:t>,</w:t>
      </w:r>
      <w:r w:rsidRPr="000707AA" w:rsidR="00D833F9">
        <w:rPr>
          <w:rFonts w:ascii="Times New Roman" w:hAnsi="Times New Roman" w:cs="Times New Roman"/>
          <w:iCs/>
        </w:rPr>
        <w:t xml:space="preserve"> and how we can </w:t>
      </w:r>
      <w:r w:rsidRPr="00731790" w:rsidR="000E67A6">
        <w:rPr>
          <w:rFonts w:ascii="Times New Roman" w:hAnsi="Times New Roman" w:cs="Times New Roman"/>
          <w:iCs/>
        </w:rPr>
        <w:t xml:space="preserve">best </w:t>
      </w:r>
      <w:r w:rsidRPr="00731790" w:rsidR="00D833F9">
        <w:rPr>
          <w:rFonts w:ascii="Times New Roman" w:hAnsi="Times New Roman" w:cs="Times New Roman"/>
          <w:iCs/>
        </w:rPr>
        <w:t>facilitate the implementation of industry standards and best practices to mitigate the potential harms posed by these vulnerabilities.</w:t>
      </w:r>
      <w:r w:rsidRPr="00731790" w:rsidR="00AC6A64">
        <w:rPr>
          <w:rFonts w:ascii="Times New Roman" w:hAnsi="Times New Roman" w:cs="Times New Roman"/>
          <w:i/>
          <w:iCs/>
        </w:rPr>
        <w:t xml:space="preserve">  </w:t>
      </w:r>
      <w:r w:rsidRPr="00AA286E" w:rsidR="00BA2162">
        <w:rPr>
          <w:rFonts w:ascii="Times New Roman" w:hAnsi="Times New Roman" w:cs="Times New Roman"/>
        </w:rPr>
        <w:t>In order to better understand the BGP ecosystem, w</w:t>
      </w:r>
      <w:r w:rsidRPr="00AA286E" w:rsidR="00B71859">
        <w:rPr>
          <w:rFonts w:ascii="Times New Roman" w:hAnsi="Times New Roman" w:cs="Times New Roman"/>
        </w:rPr>
        <w:t xml:space="preserve">e seek </w:t>
      </w:r>
      <w:r w:rsidRPr="00AA286E" w:rsidR="00D833F9">
        <w:rPr>
          <w:rFonts w:ascii="Times New Roman" w:hAnsi="Times New Roman" w:cs="Times New Roman"/>
        </w:rPr>
        <w:t xml:space="preserve">comment </w:t>
      </w:r>
      <w:r w:rsidRPr="00AA286E" w:rsidR="00B71859">
        <w:rPr>
          <w:rFonts w:ascii="Times New Roman" w:hAnsi="Times New Roman" w:cs="Times New Roman"/>
        </w:rPr>
        <w:t xml:space="preserve">on the </w:t>
      </w:r>
      <w:r w:rsidRPr="00AA286E" w:rsidR="00877776">
        <w:rPr>
          <w:rFonts w:ascii="Times New Roman" w:hAnsi="Times New Roman" w:cs="Times New Roman"/>
        </w:rPr>
        <w:t xml:space="preserve">extent to which Internet Service Providers, public Internet Exchange Providers, </w:t>
      </w:r>
      <w:r w:rsidRPr="00AA286E" w:rsidR="0029326C">
        <w:rPr>
          <w:rFonts w:ascii="Times New Roman" w:hAnsi="Times New Roman" w:cs="Times New Roman"/>
        </w:rPr>
        <w:t xml:space="preserve">and </w:t>
      </w:r>
      <w:r w:rsidRPr="00AA286E" w:rsidR="00877776">
        <w:rPr>
          <w:rFonts w:ascii="Times New Roman" w:hAnsi="Times New Roman" w:cs="Times New Roman"/>
        </w:rPr>
        <w:t xml:space="preserve">providers of interconnected </w:t>
      </w:r>
      <w:r w:rsidRPr="00AA286E" w:rsidR="0029326C">
        <w:rPr>
          <w:rFonts w:ascii="Times New Roman" w:hAnsi="Times New Roman" w:cs="Times New Roman"/>
        </w:rPr>
        <w:t>VoIP</w:t>
      </w:r>
      <w:r w:rsidRPr="00AA286E" w:rsidR="00877776">
        <w:rPr>
          <w:rFonts w:ascii="Times New Roman" w:hAnsi="Times New Roman" w:cs="Times New Roman"/>
        </w:rPr>
        <w:t xml:space="preserve"> service</w:t>
      </w:r>
      <w:r w:rsidRPr="00AA286E" w:rsidR="0029326C">
        <w:rPr>
          <w:rFonts w:ascii="Times New Roman" w:hAnsi="Times New Roman" w:cs="Times New Roman"/>
        </w:rPr>
        <w:t xml:space="preserve"> have deployed BGP routers in their networks.  </w:t>
      </w:r>
      <w:r w:rsidRPr="00AA286E" w:rsidR="00336574">
        <w:rPr>
          <w:rFonts w:ascii="Times New Roman" w:hAnsi="Times New Roman" w:cs="Times New Roman"/>
        </w:rPr>
        <w:t>Do</w:t>
      </w:r>
      <w:r w:rsidRPr="00AA286E" w:rsidR="009E75A8">
        <w:rPr>
          <w:rFonts w:ascii="Times New Roman" w:hAnsi="Times New Roman" w:cs="Times New Roman"/>
        </w:rPr>
        <w:t xml:space="preserve"> </w:t>
      </w:r>
      <w:r w:rsidRPr="00AA286E" w:rsidR="00B71859">
        <w:rPr>
          <w:rFonts w:ascii="Times New Roman" w:hAnsi="Times New Roman" w:cs="Times New Roman"/>
        </w:rPr>
        <w:t>content delivery networks</w:t>
      </w:r>
      <w:r w:rsidRPr="00AA286E" w:rsidR="0029326C">
        <w:rPr>
          <w:rFonts w:ascii="Times New Roman" w:hAnsi="Times New Roman" w:cs="Times New Roman"/>
        </w:rPr>
        <w:t>,</w:t>
      </w:r>
      <w:r w:rsidRPr="00AA286E" w:rsidR="00B71859">
        <w:rPr>
          <w:rFonts w:ascii="Times New Roman" w:hAnsi="Times New Roman" w:cs="Times New Roman"/>
        </w:rPr>
        <w:t xml:space="preserve"> </w:t>
      </w:r>
      <w:r w:rsidRPr="00AA286E" w:rsidR="00877776">
        <w:rPr>
          <w:rFonts w:ascii="Times New Roman" w:hAnsi="Times New Roman" w:cs="Times New Roman"/>
        </w:rPr>
        <w:t>and</w:t>
      </w:r>
      <w:r w:rsidRPr="00AA286E" w:rsidR="000E78DB">
        <w:rPr>
          <w:rFonts w:ascii="Times New Roman" w:hAnsi="Times New Roman" w:cs="Times New Roman"/>
        </w:rPr>
        <w:t xml:space="preserve"> </w:t>
      </w:r>
      <w:r w:rsidRPr="00AA286E" w:rsidR="009E75A8">
        <w:rPr>
          <w:rFonts w:ascii="Times New Roman" w:hAnsi="Times New Roman" w:cs="Times New Roman"/>
        </w:rPr>
        <w:t xml:space="preserve">providers of </w:t>
      </w:r>
      <w:r w:rsidRPr="00AA286E" w:rsidR="00B71859">
        <w:rPr>
          <w:rFonts w:ascii="Times New Roman" w:hAnsi="Times New Roman" w:cs="Times New Roman"/>
        </w:rPr>
        <w:t>cloud service</w:t>
      </w:r>
      <w:r w:rsidRPr="00AA286E" w:rsidR="009E75A8">
        <w:rPr>
          <w:rFonts w:ascii="Times New Roman" w:hAnsi="Times New Roman" w:cs="Times New Roman"/>
        </w:rPr>
        <w:t>s</w:t>
      </w:r>
      <w:r w:rsidRPr="00AA286E" w:rsidR="0029326C">
        <w:rPr>
          <w:rFonts w:ascii="Times New Roman" w:hAnsi="Times New Roman" w:cs="Times New Roman"/>
        </w:rPr>
        <w:t xml:space="preserve"> </w:t>
      </w:r>
      <w:r w:rsidRPr="00AA286E" w:rsidR="00336574">
        <w:rPr>
          <w:rFonts w:ascii="Times New Roman" w:hAnsi="Times New Roman" w:cs="Times New Roman"/>
        </w:rPr>
        <w:t>operate</w:t>
      </w:r>
      <w:r w:rsidRPr="00AA286E" w:rsidR="0029326C">
        <w:rPr>
          <w:rFonts w:ascii="Times New Roman" w:hAnsi="Times New Roman" w:cs="Times New Roman"/>
        </w:rPr>
        <w:t xml:space="preserve"> BGP routers in their networks as well?</w:t>
      </w:r>
      <w:r w:rsidRPr="00AA286E" w:rsidR="00DE0D34">
        <w:rPr>
          <w:rFonts w:ascii="Times New Roman" w:hAnsi="Times New Roman" w:cs="Times New Roman"/>
        </w:rPr>
        <w:t xml:space="preserve">  </w:t>
      </w:r>
      <w:r w:rsidRPr="00AA286E" w:rsidR="00FD1F91">
        <w:rPr>
          <w:rFonts w:ascii="Times New Roman" w:hAnsi="Times New Roman" w:cs="Times New Roman"/>
        </w:rPr>
        <w:t xml:space="preserve">What other types of entities operate BGP routers?  </w:t>
      </w:r>
      <w:r w:rsidRPr="00AA286E" w:rsidR="009E75A8">
        <w:rPr>
          <w:rFonts w:ascii="Times New Roman" w:hAnsi="Times New Roman" w:cs="Times New Roman"/>
        </w:rPr>
        <w:t xml:space="preserve">We </w:t>
      </w:r>
      <w:r w:rsidRPr="00AA286E" w:rsidR="00BA2162">
        <w:rPr>
          <w:rFonts w:ascii="Times New Roman" w:hAnsi="Times New Roman" w:cs="Times New Roman"/>
        </w:rPr>
        <w:t xml:space="preserve">recognize that there are entities </w:t>
      </w:r>
      <w:r w:rsidRPr="00AA286E" w:rsidR="00FD4746">
        <w:rPr>
          <w:rFonts w:ascii="Times New Roman" w:hAnsi="Times New Roman" w:cs="Times New Roman"/>
        </w:rPr>
        <w:t>that</w:t>
      </w:r>
      <w:r w:rsidRPr="00AA286E" w:rsidR="00BA2162">
        <w:rPr>
          <w:rFonts w:ascii="Times New Roman" w:hAnsi="Times New Roman" w:cs="Times New Roman"/>
        </w:rPr>
        <w:t xml:space="preserve"> </w:t>
      </w:r>
      <w:r w:rsidRPr="00AA286E" w:rsidR="009E75A8">
        <w:rPr>
          <w:rFonts w:ascii="Times New Roman" w:hAnsi="Times New Roman" w:cs="Times New Roman"/>
        </w:rPr>
        <w:t xml:space="preserve">do not operate BGP routers, but </w:t>
      </w:r>
      <w:r w:rsidRPr="00AA286E" w:rsidR="000E67A6">
        <w:rPr>
          <w:rFonts w:ascii="Times New Roman" w:hAnsi="Times New Roman" w:cs="Times New Roman"/>
        </w:rPr>
        <w:t xml:space="preserve">that </w:t>
      </w:r>
      <w:r w:rsidRPr="00AA286E" w:rsidR="009E75A8">
        <w:rPr>
          <w:rFonts w:ascii="Times New Roman" w:hAnsi="Times New Roman" w:cs="Times New Roman"/>
        </w:rPr>
        <w:t>are otherwise well positioned to support the development and implementation of BGP security practices.</w:t>
      </w:r>
      <w:r w:rsidRPr="00AA286E" w:rsidR="000E67A6">
        <w:rPr>
          <w:rFonts w:ascii="Times New Roman" w:hAnsi="Times New Roman" w:cs="Times New Roman"/>
        </w:rPr>
        <w:t xml:space="preserve">  </w:t>
      </w:r>
      <w:bookmarkStart w:id="20" w:name="_Hlk96511378"/>
      <w:r w:rsidRPr="00AA286E" w:rsidR="000E67A6">
        <w:rPr>
          <w:rFonts w:ascii="Times New Roman" w:hAnsi="Times New Roman" w:cs="Times New Roman"/>
        </w:rPr>
        <w:t xml:space="preserve">For example, there are several </w:t>
      </w:r>
      <w:r w:rsidRPr="00AA286E" w:rsidR="00BA2162">
        <w:rPr>
          <w:rFonts w:ascii="Times New Roman" w:hAnsi="Times New Roman" w:cs="Times New Roman"/>
        </w:rPr>
        <w:t>r</w:t>
      </w:r>
      <w:r w:rsidRPr="00AA286E" w:rsidR="009E75A8">
        <w:rPr>
          <w:rFonts w:ascii="Times New Roman" w:hAnsi="Times New Roman" w:cs="Times New Roman"/>
        </w:rPr>
        <w:t>egional</w:t>
      </w:r>
      <w:r w:rsidRPr="00AA286E">
        <w:rPr>
          <w:rFonts w:ascii="Times New Roman" w:hAnsi="Times New Roman" w:cs="Times New Roman"/>
        </w:rPr>
        <w:t xml:space="preserve">, </w:t>
      </w:r>
      <w:r w:rsidRPr="00AA286E" w:rsidR="00BA2162">
        <w:rPr>
          <w:rFonts w:ascii="Times New Roman" w:hAnsi="Times New Roman" w:cs="Times New Roman"/>
        </w:rPr>
        <w:t>n</w:t>
      </w:r>
      <w:r w:rsidRPr="00AA286E">
        <w:rPr>
          <w:rFonts w:ascii="Times New Roman" w:hAnsi="Times New Roman" w:cs="Times New Roman"/>
        </w:rPr>
        <w:t>ational,</w:t>
      </w:r>
      <w:r w:rsidRPr="00AA286E" w:rsidR="009E75A8">
        <w:rPr>
          <w:rFonts w:ascii="Times New Roman" w:hAnsi="Times New Roman" w:cs="Times New Roman"/>
        </w:rPr>
        <w:t xml:space="preserve"> </w:t>
      </w:r>
      <w:r w:rsidRPr="00AA286E" w:rsidR="00FD4746">
        <w:rPr>
          <w:rFonts w:ascii="Times New Roman" w:hAnsi="Times New Roman" w:cs="Times New Roman"/>
        </w:rPr>
        <w:t>and</w:t>
      </w:r>
      <w:r w:rsidRPr="00AA286E" w:rsidR="000E78DB">
        <w:rPr>
          <w:rFonts w:ascii="Times New Roman" w:hAnsi="Times New Roman" w:cs="Times New Roman"/>
        </w:rPr>
        <w:t xml:space="preserve"> </w:t>
      </w:r>
      <w:r w:rsidRPr="00AA286E" w:rsidR="00BA2162">
        <w:rPr>
          <w:rFonts w:ascii="Times New Roman" w:hAnsi="Times New Roman" w:cs="Times New Roman"/>
        </w:rPr>
        <w:t>l</w:t>
      </w:r>
      <w:r w:rsidRPr="00AA286E">
        <w:rPr>
          <w:rFonts w:ascii="Times New Roman" w:hAnsi="Times New Roman" w:cs="Times New Roman"/>
        </w:rPr>
        <w:t xml:space="preserve">ocal </w:t>
      </w:r>
      <w:r w:rsidRPr="00AA286E" w:rsidR="009E75A8">
        <w:rPr>
          <w:rFonts w:ascii="Times New Roman" w:hAnsi="Times New Roman" w:cs="Times New Roman"/>
        </w:rPr>
        <w:t xml:space="preserve">Internet </w:t>
      </w:r>
      <w:r w:rsidRPr="00AA286E" w:rsidR="00BA2162">
        <w:rPr>
          <w:rFonts w:ascii="Times New Roman" w:hAnsi="Times New Roman" w:cs="Times New Roman"/>
        </w:rPr>
        <w:t>r</w:t>
      </w:r>
      <w:r w:rsidRPr="00AA286E" w:rsidR="009E75A8">
        <w:rPr>
          <w:rFonts w:ascii="Times New Roman" w:hAnsi="Times New Roman" w:cs="Times New Roman"/>
        </w:rPr>
        <w:t>egistries</w:t>
      </w:r>
      <w:r w:rsidRPr="00AA286E" w:rsidR="00CE46E0">
        <w:rPr>
          <w:rFonts w:ascii="Times New Roman" w:hAnsi="Times New Roman" w:cs="Times New Roman"/>
        </w:rPr>
        <w:t xml:space="preserve"> </w:t>
      </w:r>
      <w:r w:rsidRPr="00AA286E" w:rsidR="00FD4746">
        <w:rPr>
          <w:rFonts w:ascii="Times New Roman" w:hAnsi="Times New Roman" w:cs="Times New Roman"/>
        </w:rPr>
        <w:t>that</w:t>
      </w:r>
      <w:r w:rsidRPr="00AA286E" w:rsidR="009E75A8">
        <w:rPr>
          <w:rFonts w:ascii="Times New Roman" w:hAnsi="Times New Roman" w:cs="Times New Roman"/>
        </w:rPr>
        <w:t xml:space="preserve"> manage the allocation and registration of Internet number resources</w:t>
      </w:r>
      <w:r w:rsidRPr="00AA286E" w:rsidR="0029326C">
        <w:rPr>
          <w:rFonts w:ascii="Times New Roman" w:hAnsi="Times New Roman" w:cs="Times New Roman"/>
        </w:rPr>
        <w:t xml:space="preserve">, and </w:t>
      </w:r>
      <w:r w:rsidRPr="00AA286E" w:rsidR="0022588E">
        <w:rPr>
          <w:rFonts w:ascii="Times New Roman" w:hAnsi="Times New Roman" w:cs="Times New Roman"/>
        </w:rPr>
        <w:t>support</w:t>
      </w:r>
      <w:r w:rsidRPr="00AA286E" w:rsidR="0029326C">
        <w:rPr>
          <w:rFonts w:ascii="Times New Roman" w:hAnsi="Times New Roman" w:cs="Times New Roman"/>
        </w:rPr>
        <w:t xml:space="preserve"> RPKIs</w:t>
      </w:r>
      <w:bookmarkEnd w:id="20"/>
      <w:r w:rsidRPr="00AA286E" w:rsidR="000E67A6">
        <w:rPr>
          <w:rFonts w:ascii="Times New Roman" w:hAnsi="Times New Roman" w:cs="Times New Roman"/>
        </w:rPr>
        <w:t>.</w:t>
      </w:r>
      <w:r>
        <w:rPr>
          <w:rStyle w:val="FootnoteReference"/>
          <w:rFonts w:cs="Times New Roman"/>
        </w:rPr>
        <w:footnoteReference w:id="29"/>
      </w:r>
      <w:r w:rsidRPr="00AA286E" w:rsidR="000E67A6">
        <w:rPr>
          <w:rFonts w:ascii="Times New Roman" w:hAnsi="Times New Roman" w:cs="Times New Roman"/>
        </w:rPr>
        <w:t xml:space="preserve">  Additionally, </w:t>
      </w:r>
      <w:r w:rsidRPr="00AA286E">
        <w:rPr>
          <w:rFonts w:ascii="Times New Roman" w:hAnsi="Times New Roman" w:cs="Times New Roman"/>
        </w:rPr>
        <w:t>the Internet Corporation for Assigned Name</w:t>
      </w:r>
      <w:r w:rsidRPr="00E43D5F" w:rsidR="00AC6A64">
        <w:rPr>
          <w:rFonts w:ascii="Times New Roman" w:hAnsi="Times New Roman" w:cs="Times New Roman"/>
        </w:rPr>
        <w:t>s</w:t>
      </w:r>
      <w:r w:rsidRPr="004D66E8">
        <w:rPr>
          <w:rFonts w:ascii="Times New Roman" w:hAnsi="Times New Roman" w:cs="Times New Roman"/>
        </w:rPr>
        <w:t xml:space="preserve"> and Numbers (ICANN</w:t>
      </w:r>
      <w:r w:rsidRPr="004D66E8" w:rsidR="000E67A6">
        <w:rPr>
          <w:rFonts w:ascii="Times New Roman" w:hAnsi="Times New Roman" w:cs="Times New Roman"/>
        </w:rPr>
        <w:t>)</w:t>
      </w:r>
      <w:r w:rsidRPr="00970050" w:rsidR="00513365">
        <w:rPr>
          <w:rFonts w:ascii="Times New Roman" w:hAnsi="Times New Roman" w:cs="Times New Roman"/>
        </w:rPr>
        <w:t>, through its affiliate, Internet Assigned Numbers Authority (IANA),</w:t>
      </w:r>
      <w:r w:rsidRPr="00AA286E" w:rsidR="000E67A6">
        <w:rPr>
          <w:rFonts w:ascii="Times New Roman" w:hAnsi="Times New Roman" w:cs="Times New Roman"/>
        </w:rPr>
        <w:t xml:space="preserve"> </w:t>
      </w:r>
      <w:r w:rsidRPr="00AA286E" w:rsidR="00CE46E0">
        <w:rPr>
          <w:rFonts w:ascii="Times New Roman" w:hAnsi="Times New Roman" w:cs="Times New Roman"/>
        </w:rPr>
        <w:t>has</w:t>
      </w:r>
      <w:r w:rsidRPr="00AA286E">
        <w:rPr>
          <w:rFonts w:ascii="Times New Roman" w:hAnsi="Times New Roman" w:cs="Times New Roman"/>
        </w:rPr>
        <w:t xml:space="preserve"> responsibility for coordinating the Internet’s unique identifiers</w:t>
      </w:r>
      <w:r w:rsidRPr="00AA286E" w:rsidR="000E67A6">
        <w:rPr>
          <w:rFonts w:ascii="Times New Roman" w:hAnsi="Times New Roman" w:cs="Times New Roman"/>
        </w:rPr>
        <w:t xml:space="preserve">.  We seek comment on </w:t>
      </w:r>
      <w:r w:rsidRPr="00AA286E" w:rsidR="00FD1F91">
        <w:rPr>
          <w:rFonts w:ascii="Times New Roman" w:hAnsi="Times New Roman" w:cs="Times New Roman"/>
        </w:rPr>
        <w:t xml:space="preserve">what role </w:t>
      </w:r>
      <w:r w:rsidRPr="00AA286E" w:rsidR="00537E4D">
        <w:rPr>
          <w:rFonts w:ascii="Times New Roman" w:hAnsi="Times New Roman" w:cs="Times New Roman"/>
        </w:rPr>
        <w:t xml:space="preserve">these and </w:t>
      </w:r>
      <w:r w:rsidRPr="00AA286E" w:rsidR="000E67A6">
        <w:rPr>
          <w:rFonts w:ascii="Times New Roman" w:hAnsi="Times New Roman" w:cs="Times New Roman"/>
        </w:rPr>
        <w:t>other entities</w:t>
      </w:r>
      <w:r w:rsidRPr="00AA286E" w:rsidR="00537E4D">
        <w:rPr>
          <w:rFonts w:ascii="Times New Roman" w:hAnsi="Times New Roman" w:cs="Times New Roman"/>
        </w:rPr>
        <w:t>, including vendors of BGP routers or other networking equipment,</w:t>
      </w:r>
      <w:r w:rsidRPr="00AA286E" w:rsidR="000E67A6">
        <w:rPr>
          <w:rFonts w:ascii="Times New Roman" w:hAnsi="Times New Roman" w:cs="Times New Roman"/>
        </w:rPr>
        <w:t xml:space="preserve"> have in supporting the development and implementation of BGP security practices.</w:t>
      </w:r>
      <w:r w:rsidRPr="000707AA" w:rsidR="000707AA">
        <w:rPr>
          <w:rFonts w:ascii="Times New Roman" w:hAnsi="Times New Roman" w:cs="Times New Roman"/>
        </w:rPr>
        <w:t xml:space="preserve"> </w:t>
      </w:r>
      <w:r w:rsidR="000707AA">
        <w:rPr>
          <w:rFonts w:ascii="Times New Roman" w:hAnsi="Times New Roman" w:cs="Times New Roman"/>
        </w:rPr>
        <w:t xml:space="preserve"> </w:t>
      </w:r>
      <w:r w:rsidRPr="00A97A41" w:rsidR="000707AA">
        <w:rPr>
          <w:rFonts w:ascii="Times New Roman" w:hAnsi="Times New Roman" w:cs="Times New Roman"/>
        </w:rPr>
        <w:t>What threats to Internet routing should the Commission consider within the scope of this inquiry in addition to BGP hijacking?  For example, to what extent could BGP security measures prevent pervasive monitoring?</w:t>
      </w:r>
      <w:r>
        <w:rPr>
          <w:rStyle w:val="FootnoteReference"/>
          <w:rFonts w:cs="Times New Roman"/>
        </w:rPr>
        <w:footnoteReference w:id="30"/>
      </w:r>
    </w:p>
    <w:p w:rsidR="00AA286E" w:rsidRPr="00AA286E" w:rsidP="00BB01B6" w14:paraId="46119F61" w14:textId="4CADD5CF">
      <w:pPr>
        <w:pStyle w:val="ParaNum"/>
        <w:rPr>
          <w:rFonts w:ascii="Times New Roman" w:hAnsi="Times New Roman" w:cs="Times New Roman"/>
        </w:rPr>
      </w:pPr>
      <w:r w:rsidRPr="00EE19FD">
        <w:rPr>
          <w:rFonts w:ascii="Times New Roman" w:hAnsi="Times New Roman" w:cs="Times New Roman"/>
          <w:i/>
          <w:iCs/>
        </w:rPr>
        <w:t xml:space="preserve">Measuring BGP Security.  </w:t>
      </w:r>
      <w:r w:rsidRPr="00AA286E" w:rsidR="007E7634">
        <w:rPr>
          <w:rFonts w:ascii="Times New Roman" w:hAnsi="Times New Roman" w:cs="Times New Roman"/>
        </w:rPr>
        <w:t xml:space="preserve">We seek </w:t>
      </w:r>
      <w:r w:rsidRPr="00AA286E" w:rsidR="00C22C84">
        <w:rPr>
          <w:rFonts w:ascii="Times New Roman" w:hAnsi="Times New Roman" w:cs="Times New Roman"/>
        </w:rPr>
        <w:t xml:space="preserve">comment </w:t>
      </w:r>
      <w:r w:rsidRPr="00AA286E" w:rsidR="00A44193">
        <w:rPr>
          <w:rFonts w:ascii="Times New Roman" w:hAnsi="Times New Roman" w:cs="Times New Roman"/>
        </w:rPr>
        <w:t>on</w:t>
      </w:r>
      <w:r w:rsidRPr="00AA286E" w:rsidR="007E7634">
        <w:rPr>
          <w:rFonts w:ascii="Times New Roman" w:hAnsi="Times New Roman" w:cs="Times New Roman"/>
        </w:rPr>
        <w:t xml:space="preserve"> whether industry has defined metrics for identifying BGP routing security incidents and for quantifying their scope and impact</w:t>
      </w:r>
      <w:r w:rsidRPr="00AA286E" w:rsidR="00153FFB">
        <w:rPr>
          <w:rFonts w:ascii="Times New Roman" w:hAnsi="Times New Roman" w:cs="Times New Roman"/>
        </w:rPr>
        <w:t>.</w:t>
      </w:r>
      <w:r w:rsidRPr="00AA286E" w:rsidR="00CF661B">
        <w:rPr>
          <w:rFonts w:ascii="Times New Roman" w:hAnsi="Times New Roman" w:cs="Times New Roman"/>
        </w:rPr>
        <w:t xml:space="preserve"> </w:t>
      </w:r>
      <w:r w:rsidRPr="00AA286E" w:rsidR="00153FFB">
        <w:rPr>
          <w:rFonts w:ascii="Times New Roman" w:hAnsi="Times New Roman" w:cs="Times New Roman"/>
        </w:rPr>
        <w:t xml:space="preserve"> </w:t>
      </w:r>
      <w:r w:rsidRPr="00AA286E" w:rsidR="00C22C84">
        <w:rPr>
          <w:rFonts w:ascii="Times New Roman" w:hAnsi="Times New Roman" w:cs="Times New Roman"/>
        </w:rPr>
        <w:t>To what extent are</w:t>
      </w:r>
      <w:r w:rsidRPr="00AA286E" w:rsidR="00FB189E">
        <w:rPr>
          <w:rFonts w:ascii="Times New Roman" w:hAnsi="Times New Roman" w:cs="Times New Roman"/>
        </w:rPr>
        <w:t xml:space="preserve"> </w:t>
      </w:r>
      <w:r w:rsidRPr="00AA286E" w:rsidR="00153FFB">
        <w:rPr>
          <w:rFonts w:ascii="Times New Roman" w:hAnsi="Times New Roman" w:cs="Times New Roman"/>
        </w:rPr>
        <w:t xml:space="preserve">available </w:t>
      </w:r>
      <w:r w:rsidRPr="00AA286E" w:rsidR="00CF1E58">
        <w:rPr>
          <w:rFonts w:ascii="Times New Roman" w:hAnsi="Times New Roman" w:cs="Times New Roman"/>
        </w:rPr>
        <w:t>tools</w:t>
      </w:r>
      <w:r w:rsidRPr="00AA286E" w:rsidR="008063B3">
        <w:rPr>
          <w:rFonts w:ascii="Times New Roman" w:hAnsi="Times New Roman" w:cs="Times New Roman"/>
        </w:rPr>
        <w:t>,</w:t>
      </w:r>
      <w:r w:rsidRPr="00AA286E" w:rsidR="00CF1E58">
        <w:rPr>
          <w:rFonts w:ascii="Times New Roman" w:hAnsi="Times New Roman" w:cs="Times New Roman"/>
        </w:rPr>
        <w:t xml:space="preserve"> such as </w:t>
      </w:r>
      <w:r w:rsidRPr="00AA286E" w:rsidR="008E496F">
        <w:rPr>
          <w:rFonts w:ascii="Times New Roman" w:hAnsi="Times New Roman" w:cs="Times New Roman"/>
        </w:rPr>
        <w:t>NIST’s RPKI Monitor,</w:t>
      </w:r>
      <w:r w:rsidRPr="00AA286E" w:rsidR="00CF1E58">
        <w:rPr>
          <w:rFonts w:ascii="Times New Roman" w:hAnsi="Times New Roman" w:cs="Times New Roman"/>
        </w:rPr>
        <w:t xml:space="preserve"> Automatic and Real-Time </w:t>
      </w:r>
      <w:r w:rsidRPr="00AA286E" w:rsidR="00CF1E58">
        <w:rPr>
          <w:rFonts w:ascii="Times New Roman" w:hAnsi="Times New Roman" w:cs="Times New Roman"/>
        </w:rPr>
        <w:t>dE</w:t>
      </w:r>
      <w:r w:rsidRPr="00AA286E" w:rsidR="00D32DDF">
        <w:rPr>
          <w:rFonts w:ascii="Times New Roman" w:hAnsi="Times New Roman" w:cs="Times New Roman"/>
        </w:rPr>
        <w:t>te</w:t>
      </w:r>
      <w:r w:rsidRPr="00AA286E" w:rsidR="00CF1E58">
        <w:rPr>
          <w:rFonts w:ascii="Times New Roman" w:hAnsi="Times New Roman" w:cs="Times New Roman"/>
        </w:rPr>
        <w:t>ction</w:t>
      </w:r>
      <w:r w:rsidRPr="00AA286E" w:rsidR="00CF1E58">
        <w:rPr>
          <w:rFonts w:ascii="Times New Roman" w:hAnsi="Times New Roman" w:cs="Times New Roman"/>
        </w:rPr>
        <w:t xml:space="preserve"> and Mitigation System (ARTEMIS)</w:t>
      </w:r>
      <w:r w:rsidRPr="00AA286E" w:rsidR="00513365">
        <w:rPr>
          <w:rFonts w:ascii="Times New Roman" w:hAnsi="Times New Roman" w:cs="Times New Roman"/>
        </w:rPr>
        <w:t xml:space="preserve">, </w:t>
      </w:r>
      <w:r w:rsidRPr="00AA286E" w:rsidR="00513365">
        <w:rPr>
          <w:rFonts w:ascii="Times New Roman" w:hAnsi="Times New Roman" w:cs="Times New Roman"/>
        </w:rPr>
        <w:t>BGPstream</w:t>
      </w:r>
      <w:r w:rsidRPr="00AA286E" w:rsidR="00513365">
        <w:rPr>
          <w:rFonts w:ascii="Times New Roman" w:hAnsi="Times New Roman" w:cs="Times New Roman"/>
        </w:rPr>
        <w:t xml:space="preserve">, </w:t>
      </w:r>
      <w:r w:rsidRPr="00AA286E" w:rsidR="00513365">
        <w:rPr>
          <w:rFonts w:ascii="Times New Roman" w:hAnsi="Times New Roman" w:cs="Times New Roman"/>
        </w:rPr>
        <w:t>BGPMon</w:t>
      </w:r>
      <w:r w:rsidRPr="00AA286E" w:rsidR="00513365">
        <w:rPr>
          <w:rFonts w:ascii="Times New Roman" w:hAnsi="Times New Roman" w:cs="Times New Roman"/>
        </w:rPr>
        <w:t>,</w:t>
      </w:r>
      <w:r w:rsidRPr="00AA286E" w:rsidR="00CF1E58">
        <w:rPr>
          <w:rFonts w:ascii="Times New Roman" w:hAnsi="Times New Roman" w:cs="Times New Roman"/>
        </w:rPr>
        <w:t xml:space="preserve"> </w:t>
      </w:r>
      <w:r w:rsidRPr="00AA286E" w:rsidR="003979D7">
        <w:rPr>
          <w:rFonts w:ascii="Times New Roman" w:hAnsi="Times New Roman" w:cs="Times New Roman"/>
        </w:rPr>
        <w:t>Kenti</w:t>
      </w:r>
      <w:r w:rsidRPr="00AA286E" w:rsidR="00B373CE">
        <w:rPr>
          <w:rFonts w:ascii="Times New Roman" w:hAnsi="Times New Roman" w:cs="Times New Roman"/>
        </w:rPr>
        <w:t>k</w:t>
      </w:r>
      <w:r w:rsidRPr="00AA286E" w:rsidR="00513365">
        <w:rPr>
          <w:rFonts w:ascii="Times New Roman" w:hAnsi="Times New Roman" w:cs="Times New Roman"/>
        </w:rPr>
        <w:t>,</w:t>
      </w:r>
      <w:r w:rsidRPr="00AA286E" w:rsidR="00CF1E58">
        <w:rPr>
          <w:rFonts w:ascii="Times New Roman" w:hAnsi="Times New Roman" w:cs="Times New Roman"/>
        </w:rPr>
        <w:t xml:space="preserve"> and Traceroute</w:t>
      </w:r>
      <w:r w:rsidRPr="00AA286E" w:rsidR="008063B3">
        <w:rPr>
          <w:rFonts w:ascii="Times New Roman" w:hAnsi="Times New Roman" w:cs="Times New Roman"/>
        </w:rPr>
        <w:t>,</w:t>
      </w:r>
      <w:r w:rsidRPr="00AA286E" w:rsidR="00CF1E58">
        <w:rPr>
          <w:rFonts w:ascii="Times New Roman" w:hAnsi="Times New Roman" w:cs="Times New Roman"/>
        </w:rPr>
        <w:t xml:space="preserve"> able to</w:t>
      </w:r>
      <w:r w:rsidRPr="00AA286E" w:rsidR="00153FFB">
        <w:rPr>
          <w:rFonts w:ascii="Times New Roman" w:hAnsi="Times New Roman" w:cs="Times New Roman"/>
        </w:rPr>
        <w:t xml:space="preserve"> </w:t>
      </w:r>
      <w:r w:rsidRPr="00AA286E" w:rsidR="00CF1E58">
        <w:rPr>
          <w:rFonts w:ascii="Times New Roman" w:hAnsi="Times New Roman" w:cs="Times New Roman"/>
        </w:rPr>
        <w:t xml:space="preserve">rapidly and accurately </w:t>
      </w:r>
      <w:r w:rsidRPr="00AA286E" w:rsidR="00153FFB">
        <w:rPr>
          <w:rFonts w:ascii="Times New Roman" w:hAnsi="Times New Roman" w:cs="Times New Roman"/>
        </w:rPr>
        <w:t>detect BGP hijacks or router misconfigurations?</w:t>
      </w:r>
      <w:r>
        <w:rPr>
          <w:rStyle w:val="FootnoteReference"/>
          <w:rFonts w:cs="Times New Roman"/>
        </w:rPr>
        <w:footnoteReference w:id="31"/>
      </w:r>
      <w:r w:rsidRPr="00AA286E" w:rsidR="00CF1E58">
        <w:rPr>
          <w:rFonts w:ascii="Times New Roman" w:hAnsi="Times New Roman" w:cs="Times New Roman"/>
        </w:rPr>
        <w:t xml:space="preserve">  </w:t>
      </w:r>
      <w:r w:rsidRPr="00AA286E" w:rsidR="00C22C84">
        <w:rPr>
          <w:rFonts w:ascii="Times New Roman" w:hAnsi="Times New Roman" w:cs="Times New Roman"/>
        </w:rPr>
        <w:t xml:space="preserve">To what extent do </w:t>
      </w:r>
      <w:r w:rsidRPr="00AA286E" w:rsidR="00CF1E58">
        <w:rPr>
          <w:rFonts w:ascii="Times New Roman" w:hAnsi="Times New Roman" w:cs="Times New Roman"/>
        </w:rPr>
        <w:t>these tools di</w:t>
      </w:r>
      <w:r w:rsidRPr="00E43D5F" w:rsidR="00CF1E58">
        <w:rPr>
          <w:rFonts w:ascii="Times New Roman" w:hAnsi="Times New Roman" w:cs="Times New Roman"/>
        </w:rPr>
        <w:t xml:space="preserve">stinguish malicious routing changes from accidental ones?  </w:t>
      </w:r>
      <w:r w:rsidRPr="00E43D5F" w:rsidR="00AC6A64">
        <w:rPr>
          <w:rFonts w:ascii="Times New Roman" w:hAnsi="Times New Roman" w:cs="Times New Roman"/>
        </w:rPr>
        <w:t xml:space="preserve">Do artificial intelligence and machine learning tools promise advancements in this area? </w:t>
      </w:r>
      <w:r w:rsidRPr="004D66E8" w:rsidR="008063B3">
        <w:rPr>
          <w:rFonts w:ascii="Times New Roman" w:hAnsi="Times New Roman" w:cs="Times New Roman"/>
        </w:rPr>
        <w:t xml:space="preserve"> </w:t>
      </w:r>
      <w:bookmarkEnd w:id="12"/>
      <w:bookmarkEnd w:id="13"/>
      <w:bookmarkEnd w:id="14"/>
      <w:bookmarkEnd w:id="15"/>
      <w:bookmarkEnd w:id="16"/>
      <w:bookmarkEnd w:id="17"/>
      <w:bookmarkEnd w:id="18"/>
      <w:bookmarkEnd w:id="19"/>
    </w:p>
    <w:p w:rsidR="007E7634" w:rsidRPr="00AA286E" w:rsidP="00104161" w14:paraId="736170DB" w14:textId="5E5135F3">
      <w:pPr>
        <w:pStyle w:val="ParaNum"/>
        <w:rPr>
          <w:rFonts w:ascii="Times New Roman" w:hAnsi="Times New Roman" w:cs="Times New Roman"/>
        </w:rPr>
      </w:pPr>
      <w:r w:rsidRPr="004D66E8">
        <w:rPr>
          <w:rFonts w:ascii="Times New Roman" w:hAnsi="Times New Roman" w:cs="Times New Roman"/>
          <w:i/>
          <w:iCs/>
        </w:rPr>
        <w:t xml:space="preserve">Deployment of BGP Security </w:t>
      </w:r>
      <w:r w:rsidRPr="004D66E8" w:rsidR="007902BA">
        <w:rPr>
          <w:rFonts w:ascii="Times New Roman" w:hAnsi="Times New Roman" w:cs="Times New Roman"/>
          <w:i/>
          <w:iCs/>
        </w:rPr>
        <w:t>Measures</w:t>
      </w:r>
      <w:r w:rsidRPr="00970050">
        <w:rPr>
          <w:rFonts w:ascii="Times New Roman" w:hAnsi="Times New Roman" w:cs="Times New Roman"/>
          <w:i/>
        </w:rPr>
        <w:t xml:space="preserve">.  </w:t>
      </w:r>
      <w:r w:rsidRPr="00AA286E" w:rsidR="008A584A">
        <w:rPr>
          <w:rFonts w:ascii="Times New Roman" w:hAnsi="Times New Roman" w:cs="Times New Roman"/>
        </w:rPr>
        <w:t xml:space="preserve">We seek </w:t>
      </w:r>
      <w:r w:rsidRPr="00AA286E" w:rsidR="000E67A6">
        <w:rPr>
          <w:rFonts w:ascii="Times New Roman" w:hAnsi="Times New Roman" w:cs="Times New Roman"/>
        </w:rPr>
        <w:t xml:space="preserve">comment </w:t>
      </w:r>
      <w:r w:rsidRPr="00AA286E" w:rsidR="008A584A">
        <w:rPr>
          <w:rFonts w:ascii="Times New Roman" w:hAnsi="Times New Roman" w:cs="Times New Roman"/>
        </w:rPr>
        <w:t xml:space="preserve">on </w:t>
      </w:r>
      <w:r w:rsidRPr="00AA286E" w:rsidR="003713C0">
        <w:rPr>
          <w:rFonts w:ascii="Times New Roman" w:hAnsi="Times New Roman" w:cs="Times New Roman"/>
        </w:rPr>
        <w:t>the security measures that have been developed</w:t>
      </w:r>
      <w:r w:rsidRPr="00AA286E" w:rsidR="00AF0730">
        <w:rPr>
          <w:rFonts w:ascii="Times New Roman" w:hAnsi="Times New Roman" w:cs="Times New Roman"/>
        </w:rPr>
        <w:t xml:space="preserve"> and deployed</w:t>
      </w:r>
      <w:r w:rsidRPr="00AA286E" w:rsidR="003713C0">
        <w:rPr>
          <w:rFonts w:ascii="Times New Roman" w:hAnsi="Times New Roman" w:cs="Times New Roman"/>
        </w:rPr>
        <w:t xml:space="preserve"> by industry to </w:t>
      </w:r>
      <w:r w:rsidRPr="00AA286E" w:rsidR="0027318E">
        <w:rPr>
          <w:rFonts w:ascii="Times New Roman" w:hAnsi="Times New Roman" w:cs="Times New Roman"/>
        </w:rPr>
        <w:t>secure BGP.  In addition to the measures recommended by CSRIC</w:t>
      </w:r>
      <w:r w:rsidRPr="00AA286E" w:rsidR="000C55E1">
        <w:rPr>
          <w:rFonts w:ascii="Times New Roman" w:hAnsi="Times New Roman" w:cs="Times New Roman"/>
        </w:rPr>
        <w:t xml:space="preserve"> III</w:t>
      </w:r>
      <w:r w:rsidRPr="00AA286E" w:rsidR="005E1DE5">
        <w:rPr>
          <w:rFonts w:ascii="Times New Roman" w:hAnsi="Times New Roman" w:cs="Times New Roman"/>
        </w:rPr>
        <w:t xml:space="preserve"> and VI</w:t>
      </w:r>
      <w:r w:rsidRPr="00AA286E" w:rsidR="0027318E">
        <w:rPr>
          <w:rFonts w:ascii="Times New Roman" w:hAnsi="Times New Roman" w:cs="Times New Roman"/>
        </w:rPr>
        <w:t xml:space="preserve"> (RPKI</w:t>
      </w:r>
      <w:r w:rsidRPr="00AA286E" w:rsidR="006B2373">
        <w:rPr>
          <w:rFonts w:ascii="Times New Roman" w:hAnsi="Times New Roman" w:cs="Times New Roman"/>
        </w:rPr>
        <w:t xml:space="preserve">, </w:t>
      </w:r>
      <w:r w:rsidRPr="00AA286E" w:rsidR="0027318E">
        <w:rPr>
          <w:rFonts w:ascii="Times New Roman" w:hAnsi="Times New Roman" w:cs="Times New Roman"/>
        </w:rPr>
        <w:t>MANRS</w:t>
      </w:r>
      <w:r w:rsidRPr="00AA286E" w:rsidR="006E37CD">
        <w:rPr>
          <w:rFonts w:ascii="Times New Roman" w:hAnsi="Times New Roman" w:cs="Times New Roman"/>
        </w:rPr>
        <w:t>,</w:t>
      </w:r>
      <w:r w:rsidRPr="00AA286E" w:rsidR="007770F6">
        <w:rPr>
          <w:rFonts w:ascii="Times New Roman" w:hAnsi="Times New Roman" w:cs="Times New Roman"/>
        </w:rPr>
        <w:t xml:space="preserve"> and</w:t>
      </w:r>
      <w:r w:rsidRPr="00AA286E" w:rsidR="0027318E">
        <w:rPr>
          <w:rFonts w:ascii="Times New Roman" w:hAnsi="Times New Roman" w:cs="Times New Roman"/>
        </w:rPr>
        <w:t xml:space="preserve"> </w:t>
      </w:r>
      <w:r w:rsidR="00702D99">
        <w:rPr>
          <w:rFonts w:ascii="Times New Roman" w:hAnsi="Times New Roman" w:cs="Times New Roman"/>
        </w:rPr>
        <w:t xml:space="preserve">applicable </w:t>
      </w:r>
      <w:r w:rsidRPr="00AA286E" w:rsidR="0027318E">
        <w:rPr>
          <w:rFonts w:ascii="Times New Roman" w:hAnsi="Times New Roman" w:cs="Times New Roman"/>
        </w:rPr>
        <w:t>IETF Best Common Practice standards)</w:t>
      </w:r>
      <w:r w:rsidR="007036DE">
        <w:rPr>
          <w:rFonts w:ascii="Times New Roman" w:hAnsi="Times New Roman" w:cs="Times New Roman"/>
        </w:rPr>
        <w:t xml:space="preserve">, </w:t>
      </w:r>
      <w:r w:rsidRPr="00AA286E" w:rsidR="00016A99">
        <w:rPr>
          <w:rFonts w:ascii="Times New Roman" w:hAnsi="Times New Roman" w:cs="Times New Roman"/>
        </w:rPr>
        <w:t>BGPsec</w:t>
      </w:r>
      <w:r w:rsidR="00E43D5F">
        <w:rPr>
          <w:rFonts w:ascii="Times New Roman" w:hAnsi="Times New Roman" w:cs="Times New Roman"/>
        </w:rPr>
        <w:t xml:space="preserve">, </w:t>
      </w:r>
      <w:r w:rsidR="007036DE">
        <w:rPr>
          <w:rFonts w:ascii="Times New Roman" w:hAnsi="Times New Roman" w:cs="Times New Roman"/>
        </w:rPr>
        <w:t>and the NIST practice guide,</w:t>
      </w:r>
      <w:r w:rsidR="009A0F41">
        <w:rPr>
          <w:rFonts w:ascii="Times New Roman" w:hAnsi="Times New Roman" w:cs="Times New Roman"/>
        </w:rPr>
        <w:t xml:space="preserve"> </w:t>
      </w:r>
      <w:r w:rsidRPr="00AA286E" w:rsidR="0027318E">
        <w:rPr>
          <w:rFonts w:ascii="Times New Roman" w:hAnsi="Times New Roman" w:cs="Times New Roman"/>
        </w:rPr>
        <w:t xml:space="preserve">what other standards, specifications, or best practices have been developed to address potential </w:t>
      </w:r>
      <w:r w:rsidRPr="00AA286E" w:rsidR="00FD1F91">
        <w:rPr>
          <w:rFonts w:ascii="Times New Roman" w:hAnsi="Times New Roman" w:cs="Times New Roman"/>
        </w:rPr>
        <w:t xml:space="preserve">attacks that exploit </w:t>
      </w:r>
      <w:r w:rsidRPr="00AA286E" w:rsidR="0027318E">
        <w:rPr>
          <w:rFonts w:ascii="Times New Roman" w:hAnsi="Times New Roman" w:cs="Times New Roman"/>
        </w:rPr>
        <w:t xml:space="preserve">BGP </w:t>
      </w:r>
      <w:r w:rsidRPr="00AA286E" w:rsidR="00FD1F91">
        <w:rPr>
          <w:rFonts w:ascii="Times New Roman" w:hAnsi="Times New Roman" w:cs="Times New Roman"/>
        </w:rPr>
        <w:t>vulnerabilities</w:t>
      </w:r>
      <w:r w:rsidRPr="00AA286E" w:rsidR="0027318E">
        <w:rPr>
          <w:rFonts w:ascii="Times New Roman" w:hAnsi="Times New Roman" w:cs="Times New Roman"/>
        </w:rPr>
        <w:t xml:space="preserve">?  We seek </w:t>
      </w:r>
      <w:r w:rsidRPr="00AA286E" w:rsidR="005A5D9C">
        <w:rPr>
          <w:rFonts w:ascii="Times New Roman" w:hAnsi="Times New Roman" w:cs="Times New Roman"/>
        </w:rPr>
        <w:t>comment</w:t>
      </w:r>
      <w:r w:rsidRPr="00AA286E" w:rsidR="0027318E">
        <w:rPr>
          <w:rFonts w:ascii="Times New Roman" w:hAnsi="Times New Roman" w:cs="Times New Roman"/>
        </w:rPr>
        <w:t xml:space="preserve"> on </w:t>
      </w:r>
      <w:r w:rsidRPr="00AA286E" w:rsidR="008A584A">
        <w:rPr>
          <w:rFonts w:ascii="Times New Roman" w:hAnsi="Times New Roman" w:cs="Times New Roman"/>
        </w:rPr>
        <w:t xml:space="preserve">the extent to which </w:t>
      </w:r>
      <w:r w:rsidRPr="00AA286E" w:rsidR="00DE0D34">
        <w:rPr>
          <w:rFonts w:ascii="Times New Roman" w:hAnsi="Times New Roman" w:cs="Times New Roman"/>
        </w:rPr>
        <w:t>network operators</w:t>
      </w:r>
      <w:r w:rsidRPr="00AA286E" w:rsidR="008A584A">
        <w:rPr>
          <w:rFonts w:ascii="Times New Roman" w:hAnsi="Times New Roman" w:cs="Times New Roman"/>
        </w:rPr>
        <w:t xml:space="preserve"> have implemented </w:t>
      </w:r>
      <w:r w:rsidRPr="00AA286E" w:rsidR="003713C0">
        <w:rPr>
          <w:rFonts w:ascii="Times New Roman" w:hAnsi="Times New Roman" w:cs="Times New Roman"/>
        </w:rPr>
        <w:t xml:space="preserve">any of the available </w:t>
      </w:r>
      <w:r w:rsidRPr="00AA286E" w:rsidR="00B71859">
        <w:rPr>
          <w:rFonts w:ascii="Times New Roman" w:hAnsi="Times New Roman" w:cs="Times New Roman"/>
        </w:rPr>
        <w:t xml:space="preserve">BGP </w:t>
      </w:r>
      <w:r w:rsidRPr="00AA286E" w:rsidR="003713C0">
        <w:rPr>
          <w:rFonts w:ascii="Times New Roman" w:hAnsi="Times New Roman" w:cs="Times New Roman"/>
        </w:rPr>
        <w:t>security measures developed by industry</w:t>
      </w:r>
      <w:r w:rsidRPr="00AA286E" w:rsidR="0027318E">
        <w:rPr>
          <w:rFonts w:ascii="Times New Roman" w:hAnsi="Times New Roman" w:cs="Times New Roman"/>
        </w:rPr>
        <w:t>.</w:t>
      </w:r>
      <w:r w:rsidRPr="00AA286E" w:rsidR="003713C0">
        <w:rPr>
          <w:rFonts w:ascii="Times New Roman" w:hAnsi="Times New Roman" w:cs="Times New Roman"/>
        </w:rPr>
        <w:t xml:space="preserve"> </w:t>
      </w:r>
      <w:r w:rsidRPr="00AA286E" w:rsidR="0027318E">
        <w:rPr>
          <w:rFonts w:ascii="Times New Roman" w:hAnsi="Times New Roman" w:cs="Times New Roman"/>
        </w:rPr>
        <w:t xml:space="preserve"> </w:t>
      </w:r>
      <w:r w:rsidRPr="00AA286E" w:rsidR="00A63F3E">
        <w:rPr>
          <w:rFonts w:ascii="Times New Roman" w:hAnsi="Times New Roman" w:cs="Times New Roman"/>
        </w:rPr>
        <w:t>How effective are these</w:t>
      </w:r>
      <w:r w:rsidRPr="00AA286E" w:rsidR="000B6CFD">
        <w:rPr>
          <w:rFonts w:ascii="Times New Roman" w:hAnsi="Times New Roman" w:cs="Times New Roman"/>
        </w:rPr>
        <w:t xml:space="preserve"> measures in practice?  </w:t>
      </w:r>
      <w:r w:rsidRPr="00AA286E" w:rsidR="00A63F3E">
        <w:rPr>
          <w:rFonts w:ascii="Times New Roman" w:hAnsi="Times New Roman" w:cs="Times New Roman"/>
        </w:rPr>
        <w:t xml:space="preserve">We seek comment on how </w:t>
      </w:r>
      <w:r w:rsidRPr="00AA286E" w:rsidR="000B6CFD">
        <w:rPr>
          <w:rFonts w:ascii="Times New Roman" w:hAnsi="Times New Roman" w:cs="Times New Roman"/>
        </w:rPr>
        <w:t xml:space="preserve">to </w:t>
      </w:r>
      <w:r w:rsidRPr="00AA286E" w:rsidR="005E1DE5">
        <w:rPr>
          <w:rFonts w:ascii="Times New Roman" w:hAnsi="Times New Roman" w:cs="Times New Roman"/>
        </w:rPr>
        <w:t xml:space="preserve">assess, </w:t>
      </w:r>
      <w:r w:rsidRPr="00AA286E" w:rsidR="00824853">
        <w:rPr>
          <w:rFonts w:ascii="Times New Roman" w:hAnsi="Times New Roman" w:cs="Times New Roman"/>
        </w:rPr>
        <w:t xml:space="preserve">measure, </w:t>
      </w:r>
      <w:r w:rsidRPr="00AA286E" w:rsidR="000B6CFD">
        <w:rPr>
          <w:rFonts w:ascii="Times New Roman" w:hAnsi="Times New Roman" w:cs="Times New Roman"/>
        </w:rPr>
        <w:t>demonstrate</w:t>
      </w:r>
      <w:r w:rsidRPr="00AA286E" w:rsidR="00F67FFA">
        <w:rPr>
          <w:rFonts w:ascii="Times New Roman" w:hAnsi="Times New Roman" w:cs="Times New Roman"/>
        </w:rPr>
        <w:t>,</w:t>
      </w:r>
      <w:r w:rsidRPr="00AA286E" w:rsidR="000B6CFD">
        <w:rPr>
          <w:rFonts w:ascii="Times New Roman" w:hAnsi="Times New Roman" w:cs="Times New Roman"/>
        </w:rPr>
        <w:t xml:space="preserve"> or increase th</w:t>
      </w:r>
      <w:r w:rsidRPr="00AA286E" w:rsidR="00A63F3E">
        <w:rPr>
          <w:rFonts w:ascii="Times New Roman" w:hAnsi="Times New Roman" w:cs="Times New Roman"/>
        </w:rPr>
        <w:t>e</w:t>
      </w:r>
      <w:r w:rsidRPr="00AA286E" w:rsidR="000B6CFD">
        <w:rPr>
          <w:rFonts w:ascii="Times New Roman" w:hAnsi="Times New Roman" w:cs="Times New Roman"/>
        </w:rPr>
        <w:t xml:space="preserve"> effectiveness</w:t>
      </w:r>
      <w:r w:rsidRPr="00AA286E" w:rsidR="00A63F3E">
        <w:rPr>
          <w:rFonts w:ascii="Times New Roman" w:hAnsi="Times New Roman" w:cs="Times New Roman"/>
        </w:rPr>
        <w:t xml:space="preserve"> of these security measures</w:t>
      </w:r>
      <w:r w:rsidRPr="00AA286E" w:rsidR="000C55E1">
        <w:rPr>
          <w:rFonts w:ascii="Times New Roman" w:hAnsi="Times New Roman" w:cs="Times New Roman"/>
        </w:rPr>
        <w:t xml:space="preserve">.  </w:t>
      </w:r>
      <w:r w:rsidRPr="00AA286E">
        <w:rPr>
          <w:rFonts w:ascii="Times New Roman" w:hAnsi="Times New Roman" w:cs="Times New Roman"/>
        </w:rPr>
        <w:t>To the extent that network operators have not implemented security measures</w:t>
      </w:r>
      <w:r w:rsidRPr="00AA286E" w:rsidR="00A63F3E">
        <w:rPr>
          <w:rFonts w:ascii="Times New Roman" w:hAnsi="Times New Roman" w:cs="Times New Roman"/>
        </w:rPr>
        <w:t>, we seek comment on why such measures have not be</w:t>
      </w:r>
      <w:r w:rsidRPr="00AA286E" w:rsidR="009B71C0">
        <w:rPr>
          <w:rFonts w:ascii="Times New Roman" w:hAnsi="Times New Roman" w:cs="Times New Roman"/>
        </w:rPr>
        <w:t>en</w:t>
      </w:r>
      <w:r w:rsidRPr="00AA286E" w:rsidR="00A63F3E">
        <w:rPr>
          <w:rFonts w:ascii="Times New Roman" w:hAnsi="Times New Roman" w:cs="Times New Roman"/>
        </w:rPr>
        <w:t xml:space="preserve"> implemented. </w:t>
      </w:r>
      <w:r w:rsidRPr="00AA286E" w:rsidR="000C55E1">
        <w:rPr>
          <w:rFonts w:ascii="Times New Roman" w:hAnsi="Times New Roman" w:cs="Times New Roman"/>
        </w:rPr>
        <w:t xml:space="preserve"> </w:t>
      </w:r>
      <w:r w:rsidRPr="00AA286E" w:rsidR="003847F0">
        <w:rPr>
          <w:rFonts w:ascii="Times New Roman" w:hAnsi="Times New Roman" w:cs="Times New Roman"/>
        </w:rPr>
        <w:t>To the extent that network operators have implemented security measures, how effective have they been at mitigating the vulnerability</w:t>
      </w:r>
      <w:r w:rsidRPr="00AA286E" w:rsidR="0079270B">
        <w:rPr>
          <w:rFonts w:ascii="Times New Roman" w:hAnsi="Times New Roman" w:cs="Times New Roman"/>
        </w:rPr>
        <w:t xml:space="preserve">? </w:t>
      </w:r>
      <w:r w:rsidRPr="00AA286E" w:rsidR="003847F0">
        <w:rPr>
          <w:rFonts w:ascii="Times New Roman" w:hAnsi="Times New Roman" w:cs="Times New Roman"/>
        </w:rPr>
        <w:t xml:space="preserve"> </w:t>
      </w:r>
      <w:r w:rsidRPr="00AA286E" w:rsidR="00A63F3E">
        <w:rPr>
          <w:rFonts w:ascii="Times New Roman" w:hAnsi="Times New Roman" w:cs="Times New Roman"/>
        </w:rPr>
        <w:t>What</w:t>
      </w:r>
      <w:r w:rsidRPr="00AA286E">
        <w:rPr>
          <w:rFonts w:ascii="Times New Roman" w:hAnsi="Times New Roman" w:cs="Times New Roman"/>
        </w:rPr>
        <w:t xml:space="preserve"> obstacles have prevented them from doing so?  </w:t>
      </w:r>
    </w:p>
    <w:p w:rsidR="00023A4B" w:rsidRPr="00AA286E" w:rsidP="00CF1E58" w14:paraId="1E5FEECB" w14:textId="21162F6D">
      <w:pPr>
        <w:pStyle w:val="ParaNum"/>
        <w:rPr>
          <w:rFonts w:ascii="Times New Roman" w:hAnsi="Times New Roman" w:cs="Times New Roman"/>
        </w:rPr>
      </w:pPr>
      <w:r w:rsidRPr="00AA286E">
        <w:rPr>
          <w:rFonts w:ascii="Times New Roman" w:hAnsi="Times New Roman" w:cs="Times New Roman"/>
        </w:rPr>
        <w:t xml:space="preserve">We seek </w:t>
      </w:r>
      <w:r w:rsidRPr="00AA286E" w:rsidR="00A63F3E">
        <w:rPr>
          <w:rFonts w:ascii="Times New Roman" w:hAnsi="Times New Roman" w:cs="Times New Roman"/>
        </w:rPr>
        <w:t xml:space="preserve">comment </w:t>
      </w:r>
      <w:r w:rsidRPr="00AA286E" w:rsidR="00613C83">
        <w:rPr>
          <w:rFonts w:ascii="Times New Roman" w:hAnsi="Times New Roman" w:cs="Times New Roman"/>
        </w:rPr>
        <w:t>on</w:t>
      </w:r>
      <w:r w:rsidRPr="00AA286E" w:rsidR="00BB3E5C">
        <w:rPr>
          <w:rFonts w:ascii="Times New Roman" w:hAnsi="Times New Roman" w:cs="Times New Roman"/>
        </w:rPr>
        <w:t xml:space="preserve"> </w:t>
      </w:r>
      <w:r w:rsidRPr="00AA286E" w:rsidR="009A11AB">
        <w:rPr>
          <w:rFonts w:ascii="Times New Roman" w:hAnsi="Times New Roman" w:cs="Times New Roman"/>
        </w:rPr>
        <w:t xml:space="preserve">the extent to which </w:t>
      </w:r>
      <w:r w:rsidRPr="00AA286E" w:rsidR="009C22D5">
        <w:rPr>
          <w:rFonts w:ascii="Times New Roman" w:hAnsi="Times New Roman" w:cs="Times New Roman"/>
        </w:rPr>
        <w:t xml:space="preserve">RPKI, as implemented by </w:t>
      </w:r>
      <w:r w:rsidR="00C22630">
        <w:rPr>
          <w:rFonts w:ascii="Times New Roman" w:hAnsi="Times New Roman" w:cs="Times New Roman"/>
        </w:rPr>
        <w:t>other</w:t>
      </w:r>
      <w:r w:rsidRPr="00AA286E" w:rsidR="009C22D5">
        <w:rPr>
          <w:rFonts w:ascii="Times New Roman" w:hAnsi="Times New Roman" w:cs="Times New Roman"/>
        </w:rPr>
        <w:t xml:space="preserve"> </w:t>
      </w:r>
      <w:r w:rsidRPr="00AA286E" w:rsidR="00FD4746">
        <w:rPr>
          <w:rFonts w:ascii="Times New Roman" w:hAnsi="Times New Roman" w:cs="Times New Roman"/>
        </w:rPr>
        <w:t>r</w:t>
      </w:r>
      <w:r w:rsidRPr="00AA286E" w:rsidR="009C22D5">
        <w:rPr>
          <w:rFonts w:ascii="Times New Roman" w:hAnsi="Times New Roman" w:cs="Times New Roman"/>
        </w:rPr>
        <w:t xml:space="preserve">egional Internet </w:t>
      </w:r>
      <w:r w:rsidRPr="00AA286E" w:rsidR="00FD4746">
        <w:rPr>
          <w:rFonts w:ascii="Times New Roman" w:hAnsi="Times New Roman" w:cs="Times New Roman"/>
        </w:rPr>
        <w:t>r</w:t>
      </w:r>
      <w:r w:rsidRPr="00AA286E" w:rsidR="009C22D5">
        <w:rPr>
          <w:rFonts w:ascii="Times New Roman" w:hAnsi="Times New Roman" w:cs="Times New Roman"/>
        </w:rPr>
        <w:t>egistries, effectively prevents BGP hijacking</w:t>
      </w:r>
      <w:r w:rsidRPr="00AA286E" w:rsidR="00BB3E5C">
        <w:rPr>
          <w:rFonts w:ascii="Times New Roman" w:hAnsi="Times New Roman" w:cs="Times New Roman"/>
        </w:rPr>
        <w:t xml:space="preserve">.  </w:t>
      </w:r>
      <w:r w:rsidRPr="00AA286E" w:rsidR="009C22D5">
        <w:rPr>
          <w:rFonts w:ascii="Times New Roman" w:hAnsi="Times New Roman" w:cs="Times New Roman"/>
        </w:rPr>
        <w:t xml:space="preserve">To what extent do network operators take advantage of the RPKI services that </w:t>
      </w:r>
      <w:r w:rsidRPr="00AA286E" w:rsidR="00FD4746">
        <w:rPr>
          <w:rFonts w:ascii="Times New Roman" w:hAnsi="Times New Roman" w:cs="Times New Roman"/>
        </w:rPr>
        <w:t>r</w:t>
      </w:r>
      <w:r w:rsidRPr="00AA286E" w:rsidR="009C22D5">
        <w:rPr>
          <w:rFonts w:ascii="Times New Roman" w:hAnsi="Times New Roman" w:cs="Times New Roman"/>
        </w:rPr>
        <w:t xml:space="preserve">egional Internet </w:t>
      </w:r>
      <w:r w:rsidRPr="00AA286E" w:rsidR="00FD4746">
        <w:rPr>
          <w:rFonts w:ascii="Times New Roman" w:hAnsi="Times New Roman" w:cs="Times New Roman"/>
        </w:rPr>
        <w:t>r</w:t>
      </w:r>
      <w:r w:rsidRPr="00AA286E" w:rsidR="009C22D5">
        <w:rPr>
          <w:rFonts w:ascii="Times New Roman" w:hAnsi="Times New Roman" w:cs="Times New Roman"/>
        </w:rPr>
        <w:t>egistries offer</w:t>
      </w:r>
      <w:r w:rsidRPr="00AA286E" w:rsidR="007902BA">
        <w:rPr>
          <w:rFonts w:ascii="Times New Roman" w:hAnsi="Times New Roman" w:cs="Times New Roman"/>
        </w:rPr>
        <w:t xml:space="preserve"> by implementing RPKI in their networks</w:t>
      </w:r>
      <w:r w:rsidRPr="00AA286E" w:rsidR="009C22D5">
        <w:rPr>
          <w:rFonts w:ascii="Times New Roman" w:hAnsi="Times New Roman" w:cs="Times New Roman"/>
        </w:rPr>
        <w:t>?</w:t>
      </w:r>
      <w:r>
        <w:rPr>
          <w:rStyle w:val="FootnoteReference"/>
          <w:rFonts w:cs="Times New Roman"/>
        </w:rPr>
        <w:footnoteReference w:id="32"/>
      </w:r>
      <w:r w:rsidRPr="00AA286E" w:rsidR="009C22D5">
        <w:rPr>
          <w:rFonts w:ascii="Times New Roman" w:hAnsi="Times New Roman" w:cs="Times New Roman"/>
        </w:rPr>
        <w:t xml:space="preserve">  </w:t>
      </w:r>
      <w:r w:rsidRPr="00E43D5F" w:rsidR="00A63F3E">
        <w:rPr>
          <w:rFonts w:ascii="Times New Roman" w:hAnsi="Times New Roman" w:cs="Times New Roman"/>
        </w:rPr>
        <w:t xml:space="preserve">To what extent, if any, do </w:t>
      </w:r>
      <w:r w:rsidRPr="00E43D5F" w:rsidR="00BB3E5C">
        <w:rPr>
          <w:rFonts w:ascii="Times New Roman" w:hAnsi="Times New Roman" w:cs="Times New Roman"/>
        </w:rPr>
        <w:t xml:space="preserve">network operators’ service level agreements </w:t>
      </w:r>
      <w:r w:rsidRPr="00E43D5F" w:rsidR="00A63F3E">
        <w:rPr>
          <w:rFonts w:ascii="Times New Roman" w:hAnsi="Times New Roman" w:cs="Times New Roman"/>
        </w:rPr>
        <w:t xml:space="preserve">affect </w:t>
      </w:r>
      <w:r w:rsidRPr="00E43D5F" w:rsidR="000F0A4A">
        <w:rPr>
          <w:rFonts w:ascii="Times New Roman" w:hAnsi="Times New Roman" w:cs="Times New Roman"/>
        </w:rPr>
        <w:t xml:space="preserve">the ability of network </w:t>
      </w:r>
      <w:r w:rsidRPr="004D66E8" w:rsidR="000F0A4A">
        <w:rPr>
          <w:rFonts w:ascii="Times New Roman" w:hAnsi="Times New Roman" w:cs="Times New Roman"/>
        </w:rPr>
        <w:t xml:space="preserve">operators to </w:t>
      </w:r>
      <w:r w:rsidRPr="004D66E8" w:rsidR="00BB3E5C">
        <w:rPr>
          <w:rFonts w:ascii="Times New Roman" w:hAnsi="Times New Roman" w:cs="Times New Roman"/>
        </w:rPr>
        <w:t xml:space="preserve">drop traffic </w:t>
      </w:r>
      <w:r w:rsidRPr="00970050" w:rsidR="00BB3E5C">
        <w:rPr>
          <w:rFonts w:ascii="Times New Roman" w:hAnsi="Times New Roman" w:cs="Times New Roman"/>
        </w:rPr>
        <w:t>th</w:t>
      </w:r>
      <w:r w:rsidRPr="00AA286E" w:rsidR="00BB3E5C">
        <w:rPr>
          <w:rFonts w:ascii="Times New Roman" w:hAnsi="Times New Roman" w:cs="Times New Roman"/>
        </w:rPr>
        <w:t xml:space="preserve">at RPKI deems invalid?  </w:t>
      </w:r>
      <w:r w:rsidRPr="00AA286E" w:rsidR="000F0A4A">
        <w:rPr>
          <w:rFonts w:ascii="Times New Roman" w:hAnsi="Times New Roman" w:cs="Times New Roman"/>
        </w:rPr>
        <w:t xml:space="preserve">How do </w:t>
      </w:r>
      <w:r w:rsidRPr="00AA286E" w:rsidR="00FD4746">
        <w:rPr>
          <w:rFonts w:ascii="Times New Roman" w:hAnsi="Times New Roman" w:cs="Times New Roman"/>
        </w:rPr>
        <w:t>r</w:t>
      </w:r>
      <w:r w:rsidRPr="00AA286E" w:rsidR="00613C83">
        <w:rPr>
          <w:rFonts w:ascii="Times New Roman" w:hAnsi="Times New Roman" w:cs="Times New Roman"/>
        </w:rPr>
        <w:t xml:space="preserve">egional Internet </w:t>
      </w:r>
      <w:r w:rsidRPr="00AA286E" w:rsidR="00FD4746">
        <w:rPr>
          <w:rFonts w:ascii="Times New Roman" w:hAnsi="Times New Roman" w:cs="Times New Roman"/>
        </w:rPr>
        <w:t>r</w:t>
      </w:r>
      <w:r w:rsidRPr="00AA286E" w:rsidR="00613C83">
        <w:rPr>
          <w:rFonts w:ascii="Times New Roman" w:hAnsi="Times New Roman" w:cs="Times New Roman"/>
        </w:rPr>
        <w:t xml:space="preserve">egistries maintain </w:t>
      </w:r>
      <w:r w:rsidRPr="00AA286E" w:rsidR="00BB3E5C">
        <w:rPr>
          <w:rFonts w:ascii="Times New Roman" w:hAnsi="Times New Roman" w:cs="Times New Roman"/>
        </w:rPr>
        <w:t xml:space="preserve">the </w:t>
      </w:r>
      <w:r w:rsidRPr="00AA286E" w:rsidR="00613C83">
        <w:rPr>
          <w:rFonts w:ascii="Times New Roman" w:hAnsi="Times New Roman" w:cs="Times New Roman"/>
        </w:rPr>
        <w:t xml:space="preserve">certificate authority for the RPKIs </w:t>
      </w:r>
      <w:r w:rsidRPr="00AA286E" w:rsidR="00BB3E5C">
        <w:rPr>
          <w:rFonts w:ascii="Times New Roman" w:hAnsi="Times New Roman" w:cs="Times New Roman"/>
        </w:rPr>
        <w:t xml:space="preserve">in a way that </w:t>
      </w:r>
      <w:r w:rsidRPr="00AA286E" w:rsidR="0007692A">
        <w:rPr>
          <w:rFonts w:ascii="Times New Roman" w:hAnsi="Times New Roman" w:cs="Times New Roman"/>
        </w:rPr>
        <w:t xml:space="preserve">mitigates the </w:t>
      </w:r>
      <w:r w:rsidRPr="00AA286E" w:rsidR="00BB3E5C">
        <w:rPr>
          <w:rFonts w:ascii="Times New Roman" w:hAnsi="Times New Roman" w:cs="Times New Roman"/>
        </w:rPr>
        <w:t>risk</w:t>
      </w:r>
      <w:r w:rsidRPr="00AA286E" w:rsidR="0007692A">
        <w:rPr>
          <w:rFonts w:ascii="Times New Roman" w:hAnsi="Times New Roman" w:cs="Times New Roman"/>
        </w:rPr>
        <w:t xml:space="preserve"> of</w:t>
      </w:r>
      <w:r w:rsidRPr="00AA286E" w:rsidR="00BB3E5C">
        <w:rPr>
          <w:rFonts w:ascii="Times New Roman" w:hAnsi="Times New Roman" w:cs="Times New Roman"/>
        </w:rPr>
        <w:t xml:space="preserve"> </w:t>
      </w:r>
      <w:r w:rsidRPr="00AA286E" w:rsidR="00613C83">
        <w:rPr>
          <w:rFonts w:ascii="Times New Roman" w:hAnsi="Times New Roman" w:cs="Times New Roman"/>
        </w:rPr>
        <w:t xml:space="preserve">a </w:t>
      </w:r>
      <w:r w:rsidRPr="00AA286E" w:rsidR="00104161">
        <w:rPr>
          <w:rFonts w:ascii="Times New Roman" w:hAnsi="Times New Roman" w:cs="Times New Roman"/>
        </w:rPr>
        <w:t xml:space="preserve">single point of failure </w:t>
      </w:r>
      <w:r w:rsidRPr="00AA286E" w:rsidR="004C13F6">
        <w:rPr>
          <w:rFonts w:ascii="Times New Roman" w:hAnsi="Times New Roman" w:cs="Times New Roman"/>
        </w:rPr>
        <w:t>vulnerable to</w:t>
      </w:r>
      <w:r w:rsidRPr="00AA286E" w:rsidR="00104161">
        <w:rPr>
          <w:rFonts w:ascii="Times New Roman" w:hAnsi="Times New Roman" w:cs="Times New Roman"/>
        </w:rPr>
        <w:t xml:space="preserve"> distributed denial of service attacks?  </w:t>
      </w:r>
      <w:r w:rsidRPr="00AA286E" w:rsidR="00BB3E5C">
        <w:rPr>
          <w:rFonts w:ascii="Times New Roman" w:hAnsi="Times New Roman" w:cs="Times New Roman"/>
        </w:rPr>
        <w:t>How do</w:t>
      </w:r>
      <w:r w:rsidRPr="00AA286E" w:rsidR="00104161">
        <w:rPr>
          <w:rFonts w:ascii="Times New Roman" w:hAnsi="Times New Roman" w:cs="Times New Roman"/>
        </w:rPr>
        <w:t xml:space="preserve"> </w:t>
      </w:r>
      <w:r w:rsidRPr="00AA286E" w:rsidR="0007692A">
        <w:rPr>
          <w:rFonts w:ascii="Times New Roman" w:hAnsi="Times New Roman" w:cs="Times New Roman"/>
        </w:rPr>
        <w:t>r</w:t>
      </w:r>
      <w:r w:rsidRPr="00AA286E" w:rsidR="00BB3E5C">
        <w:rPr>
          <w:rFonts w:ascii="Times New Roman" w:hAnsi="Times New Roman" w:cs="Times New Roman"/>
        </w:rPr>
        <w:t xml:space="preserve">egional </w:t>
      </w:r>
      <w:r w:rsidRPr="00AA286E" w:rsidR="00104161">
        <w:rPr>
          <w:rFonts w:ascii="Times New Roman" w:hAnsi="Times New Roman" w:cs="Times New Roman"/>
        </w:rPr>
        <w:t xml:space="preserve">Internet </w:t>
      </w:r>
      <w:r w:rsidRPr="00AA286E" w:rsidR="0007692A">
        <w:rPr>
          <w:rFonts w:ascii="Times New Roman" w:hAnsi="Times New Roman" w:cs="Times New Roman"/>
        </w:rPr>
        <w:t>r</w:t>
      </w:r>
      <w:r w:rsidRPr="00AA286E" w:rsidR="00104161">
        <w:rPr>
          <w:rFonts w:ascii="Times New Roman" w:hAnsi="Times New Roman" w:cs="Times New Roman"/>
        </w:rPr>
        <w:t xml:space="preserve">egistries prevent conflicts among distributed </w:t>
      </w:r>
      <w:r w:rsidRPr="00AA286E" w:rsidR="009C22D5">
        <w:rPr>
          <w:rFonts w:ascii="Times New Roman" w:hAnsi="Times New Roman" w:cs="Times New Roman"/>
        </w:rPr>
        <w:t>RPKI trust</w:t>
      </w:r>
      <w:r w:rsidRPr="00AA286E" w:rsidR="00BB3E5C">
        <w:rPr>
          <w:rFonts w:ascii="Times New Roman" w:hAnsi="Times New Roman" w:cs="Times New Roman"/>
        </w:rPr>
        <w:t xml:space="preserve"> anchors</w:t>
      </w:r>
      <w:r w:rsidRPr="00AA286E" w:rsidR="003C761E">
        <w:rPr>
          <w:rFonts w:ascii="Times New Roman" w:hAnsi="Times New Roman" w:cs="Times New Roman"/>
        </w:rPr>
        <w:t>?</w:t>
      </w:r>
      <w:r w:rsidRPr="00AA286E" w:rsidR="006B2373">
        <w:rPr>
          <w:rFonts w:ascii="Times New Roman" w:hAnsi="Times New Roman" w:cs="Times New Roman"/>
        </w:rPr>
        <w:t xml:space="preserve">  </w:t>
      </w:r>
    </w:p>
    <w:p w:rsidR="00F624B4" w:rsidRPr="00E43D5F" w:rsidP="00F624B4" w14:paraId="3AB75CD0" w14:textId="715AF704">
      <w:pPr>
        <w:pStyle w:val="ParaNum"/>
        <w:rPr>
          <w:rFonts w:ascii="Times New Roman" w:hAnsi="Times New Roman" w:cs="Times New Roman"/>
        </w:rPr>
      </w:pPr>
      <w:r w:rsidRPr="00AA286E">
        <w:rPr>
          <w:rFonts w:ascii="Times New Roman" w:hAnsi="Times New Roman" w:cs="Times New Roman"/>
        </w:rPr>
        <w:t xml:space="preserve">We seek comment on </w:t>
      </w:r>
      <w:r w:rsidRPr="00AA286E" w:rsidR="00BB3E5C">
        <w:rPr>
          <w:rFonts w:ascii="Times New Roman" w:hAnsi="Times New Roman" w:cs="Times New Roman"/>
        </w:rPr>
        <w:t>whether</w:t>
      </w:r>
      <w:r w:rsidRPr="00AA286E">
        <w:rPr>
          <w:rFonts w:ascii="Times New Roman" w:hAnsi="Times New Roman" w:cs="Times New Roman"/>
        </w:rPr>
        <w:t xml:space="preserve"> </w:t>
      </w:r>
      <w:r w:rsidRPr="00AA286E" w:rsidR="00BB3E5C">
        <w:rPr>
          <w:rFonts w:ascii="Times New Roman" w:hAnsi="Times New Roman" w:cs="Times New Roman"/>
        </w:rPr>
        <w:t xml:space="preserve">and to what extent </w:t>
      </w:r>
      <w:r w:rsidRPr="00AA286E">
        <w:rPr>
          <w:rFonts w:ascii="Times New Roman" w:hAnsi="Times New Roman" w:cs="Times New Roman"/>
        </w:rPr>
        <w:t xml:space="preserve">network operators anticipate integrating BGPsec-capable routers into their </w:t>
      </w:r>
      <w:r w:rsidRPr="00AA286E" w:rsidR="00BB3E5C">
        <w:rPr>
          <w:rFonts w:ascii="Times New Roman" w:hAnsi="Times New Roman" w:cs="Times New Roman"/>
        </w:rPr>
        <w:t>networks</w:t>
      </w:r>
      <w:r w:rsidRPr="00AA286E">
        <w:rPr>
          <w:rFonts w:ascii="Times New Roman" w:hAnsi="Times New Roman" w:cs="Times New Roman"/>
        </w:rPr>
        <w:t>.  The specific</w:t>
      </w:r>
      <w:r w:rsidRPr="00E43D5F">
        <w:rPr>
          <w:rFonts w:ascii="Times New Roman" w:hAnsi="Times New Roman" w:cs="Times New Roman"/>
        </w:rPr>
        <w:t>ation for the BGPsec extension to BGP became available in 2017</w:t>
      </w:r>
      <w:r w:rsidRPr="00E43D5F" w:rsidR="000F0A4A">
        <w:rPr>
          <w:rFonts w:ascii="Times New Roman" w:hAnsi="Times New Roman" w:cs="Times New Roman"/>
        </w:rPr>
        <w:t>,</w:t>
      </w:r>
      <w:r w:rsidRPr="00E43D5F">
        <w:rPr>
          <w:rFonts w:ascii="Times New Roman" w:hAnsi="Times New Roman" w:cs="Times New Roman"/>
        </w:rPr>
        <w:t xml:space="preserve"> but</w:t>
      </w:r>
      <w:r w:rsidRPr="00E43D5F" w:rsidR="00BB3E5C">
        <w:rPr>
          <w:rFonts w:ascii="Times New Roman" w:hAnsi="Times New Roman" w:cs="Times New Roman"/>
        </w:rPr>
        <w:t xml:space="preserve"> </w:t>
      </w:r>
      <w:r w:rsidR="00E43D5F">
        <w:rPr>
          <w:rFonts w:ascii="Times New Roman" w:hAnsi="Times New Roman" w:cs="Times New Roman"/>
        </w:rPr>
        <w:t>i</w:t>
      </w:r>
      <w:r w:rsidRPr="00E43D5F" w:rsidR="00F26F39">
        <w:rPr>
          <w:rFonts w:ascii="Times New Roman" w:hAnsi="Times New Roman" w:cs="Times New Roman"/>
        </w:rPr>
        <w:t xml:space="preserve">t appears that </w:t>
      </w:r>
      <w:r w:rsidRPr="00E43D5F">
        <w:rPr>
          <w:rFonts w:ascii="Times New Roman" w:hAnsi="Times New Roman" w:cs="Times New Roman"/>
        </w:rPr>
        <w:t>BGPsec has not been widely deployed</w:t>
      </w:r>
      <w:r w:rsidRPr="00E43D5F" w:rsidR="00BB3E5C">
        <w:rPr>
          <w:rFonts w:ascii="Times New Roman" w:hAnsi="Times New Roman" w:cs="Times New Roman"/>
        </w:rPr>
        <w:t xml:space="preserve"> despite BGP’s known vulnerabilities</w:t>
      </w:r>
      <w:r w:rsidRPr="00E43D5F">
        <w:rPr>
          <w:rFonts w:ascii="Times New Roman" w:hAnsi="Times New Roman" w:cs="Times New Roman"/>
        </w:rPr>
        <w:t>.</w:t>
      </w:r>
      <w:r>
        <w:rPr>
          <w:rStyle w:val="FootnoteReference"/>
          <w:rFonts w:cs="Times New Roman"/>
        </w:rPr>
        <w:footnoteReference w:id="33"/>
      </w:r>
      <w:r w:rsidRPr="00AA286E">
        <w:rPr>
          <w:rFonts w:ascii="Times New Roman" w:hAnsi="Times New Roman" w:cs="Times New Roman"/>
        </w:rPr>
        <w:t xml:space="preserve">  </w:t>
      </w:r>
      <w:r w:rsidRPr="00E43D5F" w:rsidR="000F0A4A">
        <w:rPr>
          <w:rFonts w:ascii="Times New Roman" w:hAnsi="Times New Roman" w:cs="Times New Roman"/>
        </w:rPr>
        <w:t xml:space="preserve">Why have </w:t>
      </w:r>
      <w:r w:rsidRPr="00E43D5F" w:rsidR="00BB3E5C">
        <w:rPr>
          <w:rFonts w:ascii="Times New Roman" w:hAnsi="Times New Roman" w:cs="Times New Roman"/>
        </w:rPr>
        <w:t xml:space="preserve">network operators </w:t>
      </w:r>
      <w:r w:rsidRPr="00E43D5F" w:rsidR="000F0A4A">
        <w:rPr>
          <w:rFonts w:ascii="Times New Roman" w:hAnsi="Times New Roman" w:cs="Times New Roman"/>
        </w:rPr>
        <w:t xml:space="preserve">not taken more aggressive steps to adopt BGPsec?  What particular </w:t>
      </w:r>
      <w:r w:rsidRPr="00E43D5F" w:rsidR="0007692A">
        <w:rPr>
          <w:rFonts w:ascii="Times New Roman" w:hAnsi="Times New Roman" w:cs="Times New Roman"/>
        </w:rPr>
        <w:t>obstacles</w:t>
      </w:r>
      <w:r w:rsidRPr="004D66E8" w:rsidR="000F0A4A">
        <w:rPr>
          <w:rFonts w:ascii="Times New Roman" w:hAnsi="Times New Roman" w:cs="Times New Roman"/>
        </w:rPr>
        <w:t xml:space="preserve"> or concerns </w:t>
      </w:r>
      <w:r w:rsidRPr="004D66E8" w:rsidR="00BB3E5C">
        <w:rPr>
          <w:rFonts w:ascii="Times New Roman" w:hAnsi="Times New Roman" w:cs="Times New Roman"/>
        </w:rPr>
        <w:t xml:space="preserve">about BGPsec have slowed their adoption? </w:t>
      </w:r>
      <w:r w:rsidRPr="00970050" w:rsidR="000F0A4A">
        <w:rPr>
          <w:rFonts w:ascii="Times New Roman" w:hAnsi="Times New Roman" w:cs="Times New Roman"/>
        </w:rPr>
        <w:t xml:space="preserve">To what extent does the </w:t>
      </w:r>
      <w:r w:rsidRPr="00AA286E" w:rsidR="00BB3E5C">
        <w:rPr>
          <w:rFonts w:ascii="Times New Roman" w:hAnsi="Times New Roman" w:cs="Times New Roman"/>
        </w:rPr>
        <w:t>introduction of BGPsec routers potentially introduce compatibility issues among managed networks or introduce delays?</w:t>
      </w:r>
      <w:r w:rsidRPr="00AA286E" w:rsidR="004F4141">
        <w:rPr>
          <w:rStyle w:val="FootnoteReference"/>
          <w:rFonts w:cs="Times New Roman"/>
        </w:rPr>
        <w:t xml:space="preserve"> </w:t>
      </w:r>
      <w:r>
        <w:rPr>
          <w:rStyle w:val="FootnoteReference"/>
          <w:rFonts w:cs="Times New Roman"/>
        </w:rPr>
        <w:footnoteReference w:id="34"/>
      </w:r>
      <w:r w:rsidRPr="00AA286E">
        <w:rPr>
          <w:rFonts w:ascii="Times New Roman" w:hAnsi="Times New Roman" w:cs="Times New Roman"/>
        </w:rPr>
        <w:t xml:space="preserve">  </w:t>
      </w:r>
    </w:p>
    <w:p w:rsidR="002E039B" w:rsidRPr="00E43D5F" w:rsidP="006B2373" w14:paraId="51364306" w14:textId="3220BEC8">
      <w:pPr>
        <w:pStyle w:val="ParaNum"/>
        <w:rPr>
          <w:rFonts w:ascii="Times New Roman" w:hAnsi="Times New Roman" w:cs="Times New Roman"/>
        </w:rPr>
      </w:pPr>
      <w:r w:rsidRPr="004D66E8">
        <w:rPr>
          <w:rFonts w:ascii="Times New Roman" w:hAnsi="Times New Roman" w:cs="Times New Roman"/>
        </w:rPr>
        <w:t xml:space="preserve">For network operators </w:t>
      </w:r>
      <w:r w:rsidRPr="004D66E8" w:rsidR="0007692A">
        <w:rPr>
          <w:rFonts w:ascii="Times New Roman" w:hAnsi="Times New Roman" w:cs="Times New Roman"/>
        </w:rPr>
        <w:t>that</w:t>
      </w:r>
      <w:r w:rsidRPr="00970050">
        <w:rPr>
          <w:rFonts w:ascii="Times New Roman" w:hAnsi="Times New Roman" w:cs="Times New Roman"/>
        </w:rPr>
        <w:t xml:space="preserve"> </w:t>
      </w:r>
      <w:r w:rsidRPr="00AA286E" w:rsidR="008B2DCC">
        <w:rPr>
          <w:rFonts w:ascii="Times New Roman" w:hAnsi="Times New Roman" w:cs="Times New Roman"/>
        </w:rPr>
        <w:t xml:space="preserve">currently </w:t>
      </w:r>
      <w:r w:rsidRPr="00AA286E" w:rsidR="009C22D5">
        <w:rPr>
          <w:rFonts w:ascii="Times New Roman" w:hAnsi="Times New Roman" w:cs="Times New Roman"/>
        </w:rPr>
        <w:t>participat</w:t>
      </w:r>
      <w:r w:rsidRPr="00AA286E">
        <w:rPr>
          <w:rFonts w:ascii="Times New Roman" w:hAnsi="Times New Roman" w:cs="Times New Roman"/>
        </w:rPr>
        <w:t>e</w:t>
      </w:r>
      <w:r w:rsidRPr="00AA286E" w:rsidR="009C22D5">
        <w:rPr>
          <w:rFonts w:ascii="Times New Roman" w:hAnsi="Times New Roman" w:cs="Times New Roman"/>
        </w:rPr>
        <w:t xml:space="preserve"> in MANRS and compl</w:t>
      </w:r>
      <w:r w:rsidRPr="00AA286E" w:rsidR="008B2DCC">
        <w:rPr>
          <w:rFonts w:ascii="Times New Roman" w:hAnsi="Times New Roman" w:cs="Times New Roman"/>
        </w:rPr>
        <w:t>y</w:t>
      </w:r>
      <w:r w:rsidRPr="00AA286E" w:rsidR="009C22D5">
        <w:rPr>
          <w:rFonts w:ascii="Times New Roman" w:hAnsi="Times New Roman" w:cs="Times New Roman"/>
        </w:rPr>
        <w:t xml:space="preserve"> with its requirements, including support for IETF Best Common Practice standards, </w:t>
      </w:r>
      <w:r w:rsidRPr="00AA286E" w:rsidR="008B2DCC">
        <w:rPr>
          <w:rFonts w:ascii="Times New Roman" w:hAnsi="Times New Roman" w:cs="Times New Roman"/>
        </w:rPr>
        <w:t xml:space="preserve">we seek comment on the efficacy of such measures for </w:t>
      </w:r>
      <w:r w:rsidRPr="00AA286E" w:rsidR="009C22D5">
        <w:rPr>
          <w:rFonts w:ascii="Times New Roman" w:hAnsi="Times New Roman" w:cs="Times New Roman"/>
        </w:rPr>
        <w:t>prevent</w:t>
      </w:r>
      <w:r w:rsidRPr="00AA286E" w:rsidR="008B2DCC">
        <w:rPr>
          <w:rFonts w:ascii="Times New Roman" w:hAnsi="Times New Roman" w:cs="Times New Roman"/>
        </w:rPr>
        <w:t>ing</w:t>
      </w:r>
      <w:r w:rsidRPr="00AA286E" w:rsidR="009C22D5">
        <w:rPr>
          <w:rFonts w:ascii="Times New Roman" w:hAnsi="Times New Roman" w:cs="Times New Roman"/>
        </w:rPr>
        <w:t xml:space="preserve"> BGP hijacking.</w:t>
      </w:r>
      <w:r>
        <w:rPr>
          <w:rStyle w:val="FootnoteReference"/>
          <w:rFonts w:cs="Times New Roman"/>
        </w:rPr>
        <w:footnoteReference w:id="35"/>
      </w:r>
      <w:r w:rsidRPr="00AA286E" w:rsidR="009C22D5">
        <w:rPr>
          <w:rFonts w:ascii="Times New Roman" w:hAnsi="Times New Roman" w:cs="Times New Roman"/>
        </w:rPr>
        <w:t xml:space="preserve"> </w:t>
      </w:r>
      <w:r w:rsidRPr="00E43D5F" w:rsidR="009C22D5">
        <w:rPr>
          <w:rFonts w:ascii="Times New Roman" w:hAnsi="Times New Roman" w:cs="Times New Roman"/>
        </w:rPr>
        <w:t xml:space="preserve"> </w:t>
      </w:r>
      <w:r w:rsidRPr="00E43D5F" w:rsidR="002033A2">
        <w:rPr>
          <w:rFonts w:ascii="Times New Roman" w:hAnsi="Times New Roman" w:cs="Times New Roman"/>
        </w:rPr>
        <w:t xml:space="preserve">To what extent do the network operators </w:t>
      </w:r>
      <w:r w:rsidRPr="004D66E8" w:rsidR="002033A2">
        <w:rPr>
          <w:rFonts w:ascii="Times New Roman" w:hAnsi="Times New Roman" w:cs="Times New Roman"/>
        </w:rPr>
        <w:t xml:space="preserve">that participate in </w:t>
      </w:r>
      <w:r w:rsidRPr="00970050" w:rsidR="002033A2">
        <w:rPr>
          <w:rFonts w:ascii="Times New Roman" w:hAnsi="Times New Roman" w:cs="Times New Roman"/>
        </w:rPr>
        <w:t>MANRS</w:t>
      </w:r>
      <w:r w:rsidRPr="00AA286E" w:rsidR="002033A2">
        <w:rPr>
          <w:rFonts w:ascii="Times New Roman" w:hAnsi="Times New Roman" w:cs="Times New Roman"/>
        </w:rPr>
        <w:t xml:space="preserve"> support both its required and recommended routing security actions,</w:t>
      </w:r>
      <w:r>
        <w:rPr>
          <w:rStyle w:val="FootnoteReference"/>
          <w:rFonts w:cs="Times New Roman"/>
        </w:rPr>
        <w:footnoteReference w:id="36"/>
      </w:r>
      <w:r w:rsidRPr="00AA286E" w:rsidR="002033A2">
        <w:rPr>
          <w:rFonts w:ascii="Times New Roman" w:hAnsi="Times New Roman" w:cs="Times New Roman"/>
        </w:rPr>
        <w:t xml:space="preserve"> as well as </w:t>
      </w:r>
      <w:r w:rsidR="00204F4C">
        <w:rPr>
          <w:rFonts w:ascii="Times New Roman" w:hAnsi="Times New Roman" w:cs="Times New Roman"/>
        </w:rPr>
        <w:t xml:space="preserve">applicable </w:t>
      </w:r>
      <w:r w:rsidR="002033A2">
        <w:rPr>
          <w:rFonts w:ascii="Times New Roman" w:hAnsi="Times New Roman" w:cs="Times New Roman"/>
        </w:rPr>
        <w:t xml:space="preserve">IETF </w:t>
      </w:r>
      <w:r w:rsidRPr="00AA286E" w:rsidR="002033A2">
        <w:rPr>
          <w:rFonts w:ascii="Times New Roman" w:hAnsi="Times New Roman" w:cs="Times New Roman"/>
        </w:rPr>
        <w:t>Best Common Practice standards on which those actions are based</w:t>
      </w:r>
      <w:r w:rsidRPr="00E43D5F" w:rsidR="000C55E1">
        <w:rPr>
          <w:rFonts w:ascii="Times New Roman" w:hAnsi="Times New Roman" w:cs="Times New Roman"/>
        </w:rPr>
        <w:t>?</w:t>
      </w:r>
      <w:r w:rsidRPr="00AA286E" w:rsidR="000C55E1">
        <w:rPr>
          <w:rFonts w:ascii="Times New Roman" w:hAnsi="Times New Roman" w:cs="Times New Roman"/>
        </w:rPr>
        <w:t xml:space="preserve">  </w:t>
      </w:r>
      <w:r w:rsidRPr="00E43D5F" w:rsidR="002033A2">
        <w:rPr>
          <w:rFonts w:ascii="Times New Roman" w:hAnsi="Times New Roman" w:cs="Times New Roman"/>
        </w:rPr>
        <w:t>T</w:t>
      </w:r>
      <w:r w:rsidRPr="00E43D5F" w:rsidR="00847775">
        <w:rPr>
          <w:rFonts w:ascii="Times New Roman" w:hAnsi="Times New Roman" w:cs="Times New Roman"/>
        </w:rPr>
        <w:t xml:space="preserve">o what extent do network operators participate in MANRS’ </w:t>
      </w:r>
      <w:r w:rsidRPr="00E43D5F" w:rsidR="009C22D5">
        <w:rPr>
          <w:rFonts w:ascii="Times New Roman" w:hAnsi="Times New Roman" w:cs="Times New Roman"/>
        </w:rPr>
        <w:t xml:space="preserve">various programs, including its </w:t>
      </w:r>
      <w:r w:rsidRPr="004D66E8" w:rsidR="00881F5C">
        <w:rPr>
          <w:rFonts w:ascii="Times New Roman" w:hAnsi="Times New Roman" w:cs="Times New Roman"/>
        </w:rPr>
        <w:t>equipment vendor program</w:t>
      </w:r>
      <w:r w:rsidRPr="004D66E8" w:rsidR="00847775">
        <w:rPr>
          <w:rFonts w:ascii="Times New Roman" w:hAnsi="Times New Roman" w:cs="Times New Roman"/>
        </w:rPr>
        <w:t xml:space="preserve">, </w:t>
      </w:r>
      <w:r w:rsidRPr="00AA286E" w:rsidR="00847775">
        <w:rPr>
          <w:rFonts w:ascii="Times New Roman" w:hAnsi="Times New Roman" w:cs="Times New Roman"/>
        </w:rPr>
        <w:t>launched in 2021, which</w:t>
      </w:r>
      <w:r w:rsidRPr="00AA286E" w:rsidR="00881F5C">
        <w:rPr>
          <w:rFonts w:ascii="Times New Roman" w:hAnsi="Times New Roman" w:cs="Times New Roman"/>
        </w:rPr>
        <w:t xml:space="preserve"> aims to enable routing security features on network equipment and provide support and training guidance to use them</w:t>
      </w:r>
      <w:r w:rsidRPr="00AA286E" w:rsidR="002033A2">
        <w:rPr>
          <w:rFonts w:ascii="Times New Roman" w:hAnsi="Times New Roman" w:cs="Times New Roman"/>
        </w:rPr>
        <w:t>, or take advantage of the MANRS Observatory.</w:t>
      </w:r>
      <w:r>
        <w:rPr>
          <w:rStyle w:val="FootnoteReference"/>
          <w:rFonts w:cs="Times New Roman"/>
        </w:rPr>
        <w:footnoteReference w:id="37"/>
      </w:r>
      <w:r w:rsidRPr="00AA286E" w:rsidR="00881F5C">
        <w:rPr>
          <w:rFonts w:ascii="Times New Roman" w:hAnsi="Times New Roman" w:cs="Times New Roman"/>
        </w:rPr>
        <w:t xml:space="preserve">  </w:t>
      </w:r>
    </w:p>
    <w:p w:rsidR="006A1743" w:rsidRPr="00AA286E" w:rsidP="00CF1E58" w14:paraId="00970757" w14:textId="6C6CE43A">
      <w:pPr>
        <w:pStyle w:val="ParaNum"/>
        <w:rPr>
          <w:rFonts w:ascii="Times New Roman" w:hAnsi="Times New Roman" w:cs="Times New Roman"/>
        </w:rPr>
      </w:pPr>
      <w:r w:rsidRPr="004D66E8">
        <w:rPr>
          <w:rFonts w:ascii="Times New Roman" w:hAnsi="Times New Roman" w:cs="Times New Roman"/>
          <w:i/>
          <w:iCs/>
        </w:rPr>
        <w:t xml:space="preserve">Commission’s Role. </w:t>
      </w:r>
      <w:r w:rsidRPr="004D66E8" w:rsidR="00D32DDF">
        <w:rPr>
          <w:rFonts w:ascii="Times New Roman" w:hAnsi="Times New Roman" w:cs="Times New Roman"/>
          <w:i/>
          <w:iCs/>
        </w:rPr>
        <w:t xml:space="preserve"> </w:t>
      </w:r>
      <w:r w:rsidRPr="00970050" w:rsidR="001F1109">
        <w:rPr>
          <w:rFonts w:ascii="Times New Roman" w:hAnsi="Times New Roman" w:cs="Times New Roman"/>
        </w:rPr>
        <w:t xml:space="preserve">Ensuring continued </w:t>
      </w:r>
      <w:r w:rsidRPr="00AA286E" w:rsidR="0007692A">
        <w:rPr>
          <w:rFonts w:ascii="Times New Roman" w:hAnsi="Times New Roman" w:cs="Times New Roman"/>
        </w:rPr>
        <w:t>U.S.</w:t>
      </w:r>
      <w:r w:rsidRPr="00AA286E" w:rsidR="001F1109">
        <w:rPr>
          <w:rFonts w:ascii="Times New Roman" w:hAnsi="Times New Roman" w:cs="Times New Roman"/>
        </w:rPr>
        <w:t xml:space="preserve"> leadership requires that we explore opportunities to spur trustworthy innovation for more secure communications and critical infrastructure.  </w:t>
      </w:r>
      <w:r w:rsidRPr="00AA286E" w:rsidR="00FD1F91">
        <w:rPr>
          <w:rFonts w:ascii="Times New Roman" w:hAnsi="Times New Roman" w:cs="Times New Roman"/>
        </w:rPr>
        <w:t>The Commission has sought to promote the security of U.S. networks and network equipment both by drawing attention to available resources and through exercise of its regulatory authority.</w:t>
      </w:r>
      <w:r>
        <w:rPr>
          <w:rStyle w:val="FootnoteReference"/>
          <w:rFonts w:cs="Times New Roman"/>
        </w:rPr>
        <w:footnoteReference w:id="38"/>
      </w:r>
      <w:r w:rsidRPr="00AA286E" w:rsidR="005951D9">
        <w:rPr>
          <w:rFonts w:ascii="Times New Roman" w:hAnsi="Times New Roman" w:cs="Times New Roman"/>
        </w:rPr>
        <w:t xml:space="preserve">  </w:t>
      </w:r>
      <w:r w:rsidRPr="00E43D5F" w:rsidR="00043B0F">
        <w:rPr>
          <w:rFonts w:ascii="Times New Roman" w:hAnsi="Times New Roman" w:cs="Times New Roman"/>
        </w:rPr>
        <w:t>We seek comment on steps the Commission</w:t>
      </w:r>
      <w:r w:rsidRPr="00E43D5F" w:rsidR="0040321A">
        <w:rPr>
          <w:rFonts w:ascii="Times New Roman" w:hAnsi="Times New Roman" w:cs="Times New Roman"/>
        </w:rPr>
        <w:t xml:space="preserve">, </w:t>
      </w:r>
      <w:r w:rsidRPr="003243B5" w:rsidR="00265ED6">
        <w:rPr>
          <w:rFonts w:ascii="Times New Roman" w:hAnsi="Times New Roman" w:cs="Times New Roman"/>
        </w:rPr>
        <w:t>in coordination with other federal agencies,</w:t>
      </w:r>
      <w:r>
        <w:rPr>
          <w:rStyle w:val="FootnoteReference"/>
          <w:rFonts w:cs="Times New Roman"/>
        </w:rPr>
        <w:footnoteReference w:id="39"/>
      </w:r>
      <w:r w:rsidRPr="00AA286E" w:rsidR="00043B0F">
        <w:rPr>
          <w:rFonts w:ascii="Times New Roman" w:hAnsi="Times New Roman" w:cs="Times New Roman"/>
        </w:rPr>
        <w:t xml:space="preserve"> </w:t>
      </w:r>
      <w:r w:rsidRPr="00E43D5F" w:rsidR="00FD1F91">
        <w:rPr>
          <w:rFonts w:ascii="Times New Roman" w:hAnsi="Times New Roman" w:cs="Times New Roman"/>
        </w:rPr>
        <w:t>c</w:t>
      </w:r>
      <w:r w:rsidRPr="00E43D5F" w:rsidR="00043B0F">
        <w:rPr>
          <w:rFonts w:ascii="Times New Roman" w:hAnsi="Times New Roman" w:cs="Times New Roman"/>
        </w:rPr>
        <w:t xml:space="preserve">ould take to </w:t>
      </w:r>
      <w:r w:rsidRPr="003243B5" w:rsidR="002033A2">
        <w:rPr>
          <w:rFonts w:ascii="Times New Roman" w:hAnsi="Times New Roman" w:cs="Times New Roman"/>
        </w:rPr>
        <w:t xml:space="preserve">prevent BGP hijacking or otherwise </w:t>
      </w:r>
      <w:r w:rsidRPr="004D66E8" w:rsidR="00043B0F">
        <w:rPr>
          <w:rFonts w:ascii="Times New Roman" w:hAnsi="Times New Roman" w:cs="Times New Roman"/>
        </w:rPr>
        <w:t xml:space="preserve">promote secure Internet routing.  </w:t>
      </w:r>
      <w:r w:rsidRPr="004D66E8" w:rsidR="005736E5">
        <w:rPr>
          <w:rFonts w:ascii="Times New Roman" w:hAnsi="Times New Roman" w:cs="Times New Roman"/>
        </w:rPr>
        <w:t>W</w:t>
      </w:r>
      <w:r w:rsidRPr="00970050" w:rsidR="004C5EAA">
        <w:rPr>
          <w:rFonts w:ascii="Times New Roman" w:hAnsi="Times New Roman" w:cs="Times New Roman"/>
        </w:rPr>
        <w:t xml:space="preserve">e </w:t>
      </w:r>
      <w:r w:rsidRPr="00AA286E">
        <w:rPr>
          <w:rFonts w:ascii="Times New Roman" w:hAnsi="Times New Roman" w:cs="Times New Roman"/>
        </w:rPr>
        <w:t xml:space="preserve">seek comment on </w:t>
      </w:r>
      <w:r w:rsidRPr="00AA286E" w:rsidR="004C5EAA">
        <w:rPr>
          <w:rFonts w:ascii="Times New Roman" w:hAnsi="Times New Roman" w:cs="Times New Roman"/>
        </w:rPr>
        <w:t xml:space="preserve">whether the Commission has a role in helping </w:t>
      </w:r>
      <w:r w:rsidRPr="00AA286E" w:rsidR="0007692A">
        <w:rPr>
          <w:rFonts w:ascii="Times New Roman" w:hAnsi="Times New Roman" w:cs="Times New Roman"/>
        </w:rPr>
        <w:t>U.S.</w:t>
      </w:r>
      <w:r w:rsidRPr="00AA286E" w:rsidR="004C5EAA">
        <w:rPr>
          <w:rFonts w:ascii="Times New Roman" w:hAnsi="Times New Roman" w:cs="Times New Roman"/>
        </w:rPr>
        <w:t xml:space="preserve"> network operators deploy </w:t>
      </w:r>
      <w:r w:rsidRPr="00AA286E" w:rsidR="007902BA">
        <w:rPr>
          <w:rFonts w:ascii="Times New Roman" w:hAnsi="Times New Roman" w:cs="Times New Roman"/>
        </w:rPr>
        <w:t>BGP security measures</w:t>
      </w:r>
      <w:r w:rsidRPr="00AA286E" w:rsidR="002033A2">
        <w:rPr>
          <w:rFonts w:ascii="Times New Roman" w:hAnsi="Times New Roman" w:cs="Times New Roman"/>
        </w:rPr>
        <w:t>.  I</w:t>
      </w:r>
      <w:r w:rsidRPr="00AA286E" w:rsidR="00043B0F">
        <w:rPr>
          <w:rFonts w:ascii="Times New Roman" w:hAnsi="Times New Roman" w:cs="Times New Roman"/>
        </w:rPr>
        <w:t xml:space="preserve">f so, </w:t>
      </w:r>
      <w:r w:rsidRPr="00AA286E" w:rsidR="002033A2">
        <w:rPr>
          <w:rFonts w:ascii="Times New Roman" w:hAnsi="Times New Roman" w:cs="Times New Roman"/>
        </w:rPr>
        <w:t>how can the Commission be most helpful?</w:t>
      </w:r>
      <w:r w:rsidRPr="00AA286E">
        <w:rPr>
          <w:rFonts w:ascii="Times New Roman" w:hAnsi="Times New Roman" w:cs="Times New Roman"/>
        </w:rPr>
        <w:t xml:space="preserve"> </w:t>
      </w:r>
      <w:r w:rsidRPr="00AA286E" w:rsidR="004C5EAA">
        <w:rPr>
          <w:rFonts w:ascii="Times New Roman" w:hAnsi="Times New Roman" w:cs="Times New Roman"/>
        </w:rPr>
        <w:t xml:space="preserve"> </w:t>
      </w:r>
      <w:r w:rsidRPr="00AA286E" w:rsidR="001C5B41">
        <w:rPr>
          <w:rFonts w:ascii="Times New Roman" w:hAnsi="Times New Roman" w:cs="Times New Roman"/>
        </w:rPr>
        <w:t xml:space="preserve">We seek comment </w:t>
      </w:r>
      <w:r w:rsidRPr="00AA286E" w:rsidR="00FD1AAD">
        <w:rPr>
          <w:rFonts w:ascii="Times New Roman" w:hAnsi="Times New Roman" w:cs="Times New Roman"/>
        </w:rPr>
        <w:t xml:space="preserve">on </w:t>
      </w:r>
      <w:r w:rsidRPr="00AA286E" w:rsidR="00043B0F">
        <w:rPr>
          <w:rFonts w:ascii="Times New Roman" w:hAnsi="Times New Roman" w:cs="Times New Roman"/>
        </w:rPr>
        <w:t>our</w:t>
      </w:r>
      <w:r w:rsidRPr="00AA286E" w:rsidR="001C5B41">
        <w:rPr>
          <w:rFonts w:ascii="Times New Roman" w:hAnsi="Times New Roman" w:cs="Times New Roman"/>
        </w:rPr>
        <w:t xml:space="preserve"> authority </w:t>
      </w:r>
      <w:r w:rsidRPr="00AA286E" w:rsidR="009F7630">
        <w:rPr>
          <w:rFonts w:ascii="Times New Roman" w:hAnsi="Times New Roman" w:cs="Times New Roman"/>
        </w:rPr>
        <w:t xml:space="preserve">to </w:t>
      </w:r>
      <w:r w:rsidRPr="00AA286E" w:rsidR="001C5B41">
        <w:rPr>
          <w:rFonts w:ascii="Times New Roman" w:hAnsi="Times New Roman" w:cs="Times New Roman"/>
        </w:rPr>
        <w:t>promot</w:t>
      </w:r>
      <w:r w:rsidRPr="00AA286E" w:rsidR="009F7630">
        <w:rPr>
          <w:rFonts w:ascii="Times New Roman" w:hAnsi="Times New Roman" w:cs="Times New Roman"/>
        </w:rPr>
        <w:t>e</w:t>
      </w:r>
      <w:r w:rsidRPr="00AA286E" w:rsidR="001C5B41">
        <w:rPr>
          <w:rFonts w:ascii="Times New Roman" w:hAnsi="Times New Roman" w:cs="Times New Roman"/>
        </w:rPr>
        <w:t xml:space="preserve"> the security of Internet routing through regulation</w:t>
      </w:r>
      <w:r w:rsidRPr="00AA286E" w:rsidR="009F7630">
        <w:rPr>
          <w:rFonts w:ascii="Times New Roman" w:hAnsi="Times New Roman" w:cs="Times New Roman"/>
        </w:rPr>
        <w:t xml:space="preserve">, including as it may apply to </w:t>
      </w:r>
      <w:r w:rsidRPr="00AA286E" w:rsidR="00FD1F91">
        <w:rPr>
          <w:rFonts w:ascii="Times New Roman" w:hAnsi="Times New Roman" w:cs="Times New Roman"/>
        </w:rPr>
        <w:t xml:space="preserve">wireless and wireline </w:t>
      </w:r>
      <w:r w:rsidRPr="00AA286E" w:rsidR="009F7630">
        <w:rPr>
          <w:rFonts w:ascii="Times New Roman" w:hAnsi="Times New Roman" w:cs="Times New Roman"/>
        </w:rPr>
        <w:t xml:space="preserve">Internet Service Providers, Internet Exchange Providers, interconnected VoIP providers, operators of </w:t>
      </w:r>
      <w:r w:rsidRPr="00AA286E" w:rsidR="00B37E78">
        <w:rPr>
          <w:rFonts w:ascii="Times New Roman" w:hAnsi="Times New Roman" w:cs="Times New Roman"/>
        </w:rPr>
        <w:t>c</w:t>
      </w:r>
      <w:r w:rsidRPr="00AA286E" w:rsidR="009F7630">
        <w:rPr>
          <w:rFonts w:ascii="Times New Roman" w:hAnsi="Times New Roman" w:cs="Times New Roman"/>
        </w:rPr>
        <w:t xml:space="preserve">ontent </w:t>
      </w:r>
      <w:r w:rsidRPr="00AA286E" w:rsidR="00B37E78">
        <w:rPr>
          <w:rFonts w:ascii="Times New Roman" w:hAnsi="Times New Roman" w:cs="Times New Roman"/>
        </w:rPr>
        <w:t>d</w:t>
      </w:r>
      <w:r w:rsidRPr="00AA286E" w:rsidR="009F7630">
        <w:rPr>
          <w:rFonts w:ascii="Times New Roman" w:hAnsi="Times New Roman" w:cs="Times New Roman"/>
        </w:rPr>
        <w:t xml:space="preserve">elivery </w:t>
      </w:r>
      <w:r w:rsidRPr="00AA286E" w:rsidR="00B37E78">
        <w:rPr>
          <w:rFonts w:ascii="Times New Roman" w:hAnsi="Times New Roman" w:cs="Times New Roman"/>
        </w:rPr>
        <w:t>n</w:t>
      </w:r>
      <w:r w:rsidRPr="00AA286E" w:rsidR="009F7630">
        <w:rPr>
          <w:rFonts w:ascii="Times New Roman" w:hAnsi="Times New Roman" w:cs="Times New Roman"/>
        </w:rPr>
        <w:t xml:space="preserve">etworks, cloud service providers, </w:t>
      </w:r>
      <w:r w:rsidRPr="00AA286E" w:rsidR="002033A2">
        <w:rPr>
          <w:rFonts w:ascii="Times New Roman" w:hAnsi="Times New Roman" w:cs="Times New Roman"/>
        </w:rPr>
        <w:t>and</w:t>
      </w:r>
      <w:r w:rsidRPr="00AA286E" w:rsidR="009F7630">
        <w:rPr>
          <w:rFonts w:ascii="Times New Roman" w:hAnsi="Times New Roman" w:cs="Times New Roman"/>
        </w:rPr>
        <w:t xml:space="preserve"> other enterprise </w:t>
      </w:r>
      <w:r w:rsidRPr="00AA286E" w:rsidR="002033A2">
        <w:rPr>
          <w:rFonts w:ascii="Times New Roman" w:hAnsi="Times New Roman" w:cs="Times New Roman"/>
        </w:rPr>
        <w:t xml:space="preserve">and organizational </w:t>
      </w:r>
      <w:r w:rsidRPr="00AA286E" w:rsidR="009F7630">
        <w:rPr>
          <w:rFonts w:ascii="Times New Roman" w:hAnsi="Times New Roman" w:cs="Times New Roman"/>
        </w:rPr>
        <w:t>stakeholders</w:t>
      </w:r>
      <w:r w:rsidRPr="00AA286E" w:rsidR="001C5B41">
        <w:rPr>
          <w:rFonts w:ascii="Times New Roman" w:hAnsi="Times New Roman" w:cs="Times New Roman"/>
        </w:rPr>
        <w:t xml:space="preserve">.  </w:t>
      </w:r>
      <w:r w:rsidRPr="00AA286E" w:rsidR="004C5EAA">
        <w:rPr>
          <w:rFonts w:ascii="Times New Roman" w:hAnsi="Times New Roman" w:cs="Times New Roman"/>
        </w:rPr>
        <w:t xml:space="preserve">We seek comment on whether regulatory clarity could help network operators prioritize investments in the security of their networks.  </w:t>
      </w:r>
    </w:p>
    <w:p w:rsidR="001E137A" w:rsidRPr="00AA286E" w:rsidP="001E137A" w14:paraId="28884397" w14:textId="76883332">
      <w:pPr>
        <w:pStyle w:val="ParaNum"/>
        <w:rPr>
          <w:rFonts w:ascii="Times New Roman" w:hAnsi="Times New Roman" w:cs="Times New Roman"/>
        </w:rPr>
      </w:pPr>
      <w:r w:rsidRPr="00AA286E">
        <w:rPr>
          <w:rFonts w:ascii="Times New Roman" w:hAnsi="Times New Roman" w:cs="Times New Roman"/>
        </w:rPr>
        <w:t xml:space="preserve">We seek comment on the extent to which other nations’ telecommunications regulators </w:t>
      </w:r>
      <w:r w:rsidRPr="00AA286E" w:rsidR="00B861E7">
        <w:rPr>
          <w:rFonts w:ascii="Times New Roman" w:hAnsi="Times New Roman" w:cs="Times New Roman"/>
        </w:rPr>
        <w:t>and multistakeholder organizations</w:t>
      </w:r>
      <w:r w:rsidRPr="00AA286E">
        <w:rPr>
          <w:rFonts w:ascii="Times New Roman" w:hAnsi="Times New Roman" w:cs="Times New Roman"/>
        </w:rPr>
        <w:t xml:space="preserve"> have </w:t>
      </w:r>
      <w:r w:rsidRPr="00AA286E" w:rsidR="009E2CA3">
        <w:rPr>
          <w:rFonts w:ascii="Times New Roman" w:hAnsi="Times New Roman" w:cs="Times New Roman"/>
        </w:rPr>
        <w:t>issued rules</w:t>
      </w:r>
      <w:r w:rsidRPr="00AA286E" w:rsidR="009B4A50">
        <w:rPr>
          <w:rFonts w:ascii="Times New Roman" w:hAnsi="Times New Roman" w:cs="Times New Roman"/>
        </w:rPr>
        <w:t>,</w:t>
      </w:r>
      <w:r w:rsidRPr="00AA286E" w:rsidR="009E2CA3">
        <w:rPr>
          <w:rFonts w:ascii="Times New Roman" w:hAnsi="Times New Roman" w:cs="Times New Roman"/>
        </w:rPr>
        <w:t xml:space="preserve"> guidance</w:t>
      </w:r>
      <w:r w:rsidRPr="00AA286E" w:rsidR="009B4A50">
        <w:rPr>
          <w:rFonts w:ascii="Times New Roman" w:hAnsi="Times New Roman" w:cs="Times New Roman"/>
        </w:rPr>
        <w:t>, or otherwise</w:t>
      </w:r>
      <w:r w:rsidRPr="00AA286E" w:rsidR="009E2CA3">
        <w:rPr>
          <w:rFonts w:ascii="Times New Roman" w:hAnsi="Times New Roman" w:cs="Times New Roman"/>
        </w:rPr>
        <w:t xml:space="preserve"> </w:t>
      </w:r>
      <w:r w:rsidRPr="00AA286E">
        <w:rPr>
          <w:rFonts w:ascii="Times New Roman" w:hAnsi="Times New Roman" w:cs="Times New Roman"/>
        </w:rPr>
        <w:t xml:space="preserve">encouraged network </w:t>
      </w:r>
      <w:r w:rsidRPr="00AA286E" w:rsidR="00A53D45">
        <w:rPr>
          <w:rFonts w:ascii="Times New Roman" w:hAnsi="Times New Roman" w:cs="Times New Roman"/>
        </w:rPr>
        <w:t>operators</w:t>
      </w:r>
      <w:r w:rsidRPr="00AA286E">
        <w:rPr>
          <w:rFonts w:ascii="Times New Roman" w:hAnsi="Times New Roman" w:cs="Times New Roman"/>
        </w:rPr>
        <w:t xml:space="preserve">, network security organizations, and equipment vendors to implement </w:t>
      </w:r>
      <w:r w:rsidRPr="00AA286E" w:rsidR="007902BA">
        <w:rPr>
          <w:rFonts w:ascii="Times New Roman" w:hAnsi="Times New Roman" w:cs="Times New Roman"/>
        </w:rPr>
        <w:t>BGP security measures and</w:t>
      </w:r>
      <w:r w:rsidRPr="00AA286E">
        <w:rPr>
          <w:rFonts w:ascii="Times New Roman" w:hAnsi="Times New Roman" w:cs="Times New Roman"/>
        </w:rPr>
        <w:t xml:space="preserve"> on any lessons learned from those endeavors.  We seek comment on the extent to which the effectiveness of BGP security measures may be </w:t>
      </w:r>
      <w:r w:rsidRPr="00AA286E" w:rsidR="009C2BE0">
        <w:rPr>
          <w:rFonts w:ascii="Times New Roman" w:hAnsi="Times New Roman" w:cs="Times New Roman"/>
        </w:rPr>
        <w:t>related to international</w:t>
      </w:r>
      <w:r w:rsidRPr="00AA286E">
        <w:rPr>
          <w:rFonts w:ascii="Times New Roman" w:hAnsi="Times New Roman" w:cs="Times New Roman"/>
        </w:rPr>
        <w:t xml:space="preserve"> participation and coordination.</w:t>
      </w:r>
    </w:p>
    <w:p w:rsidR="005613B4" w:rsidRPr="00AA286E" w:rsidP="006B2373" w14:paraId="2F82DB6F" w14:textId="2E6CD0D2">
      <w:pPr>
        <w:pStyle w:val="ParaNum"/>
        <w:rPr>
          <w:rFonts w:ascii="Times New Roman" w:hAnsi="Times New Roman" w:cs="Times New Roman"/>
        </w:rPr>
      </w:pPr>
      <w:r w:rsidRPr="00E43D5F">
        <w:rPr>
          <w:rFonts w:ascii="Times New Roman" w:hAnsi="Times New Roman" w:cs="Times New Roman"/>
          <w:i/>
          <w:iCs/>
        </w:rPr>
        <w:t>Cost</w:t>
      </w:r>
      <w:r w:rsidRPr="00E43D5F" w:rsidR="00A76351">
        <w:rPr>
          <w:rFonts w:ascii="Times New Roman" w:hAnsi="Times New Roman" w:cs="Times New Roman"/>
          <w:i/>
          <w:iCs/>
        </w:rPr>
        <w:t>s and Benefits</w:t>
      </w:r>
      <w:r w:rsidRPr="003243B5">
        <w:rPr>
          <w:rFonts w:ascii="Times New Roman" w:hAnsi="Times New Roman" w:cs="Times New Roman"/>
          <w:i/>
          <w:iCs/>
        </w:rPr>
        <w:t xml:space="preserve">.  </w:t>
      </w:r>
      <w:r w:rsidRPr="004D66E8" w:rsidR="006B2373">
        <w:rPr>
          <w:rFonts w:ascii="Times New Roman" w:hAnsi="Times New Roman" w:cs="Times New Roman"/>
        </w:rPr>
        <w:t xml:space="preserve">We seek comment on the </w:t>
      </w:r>
      <w:r w:rsidRPr="004D66E8" w:rsidR="00A01B84">
        <w:rPr>
          <w:rFonts w:ascii="Times New Roman" w:hAnsi="Times New Roman" w:cs="Times New Roman"/>
        </w:rPr>
        <w:t>one-time and ongoing</w:t>
      </w:r>
      <w:r w:rsidRPr="00970050" w:rsidR="006B2373">
        <w:rPr>
          <w:rFonts w:ascii="Times New Roman" w:hAnsi="Times New Roman" w:cs="Times New Roman"/>
        </w:rPr>
        <w:t xml:space="preserve"> costs </w:t>
      </w:r>
      <w:r w:rsidRPr="00AA286E">
        <w:rPr>
          <w:rFonts w:ascii="Times New Roman" w:hAnsi="Times New Roman" w:cs="Times New Roman"/>
        </w:rPr>
        <w:t xml:space="preserve">of implementing the </w:t>
      </w:r>
      <w:r w:rsidRPr="00AA286E" w:rsidR="007902BA">
        <w:rPr>
          <w:rFonts w:ascii="Times New Roman" w:hAnsi="Times New Roman" w:cs="Times New Roman"/>
        </w:rPr>
        <w:t xml:space="preserve">BGP security measures </w:t>
      </w:r>
      <w:r w:rsidRPr="00AA286E">
        <w:rPr>
          <w:rFonts w:ascii="Times New Roman" w:hAnsi="Times New Roman" w:cs="Times New Roman"/>
        </w:rPr>
        <w:t>discussed herein</w:t>
      </w:r>
      <w:r w:rsidRPr="00AA286E" w:rsidR="001E137A">
        <w:rPr>
          <w:rFonts w:ascii="Times New Roman" w:hAnsi="Times New Roman" w:cs="Times New Roman"/>
        </w:rPr>
        <w:t xml:space="preserve">. </w:t>
      </w:r>
      <w:r w:rsidRPr="00AA286E" w:rsidR="006B2373">
        <w:rPr>
          <w:rFonts w:ascii="Times New Roman" w:hAnsi="Times New Roman" w:cs="Times New Roman"/>
        </w:rPr>
        <w:t xml:space="preserve"> </w:t>
      </w:r>
      <w:r w:rsidRPr="00AA286E">
        <w:rPr>
          <w:rFonts w:ascii="Times New Roman" w:hAnsi="Times New Roman" w:cs="Times New Roman"/>
        </w:rPr>
        <w:t>What capital and</w:t>
      </w:r>
      <w:r w:rsidRPr="00AA286E" w:rsidR="006B2373">
        <w:rPr>
          <w:rFonts w:ascii="Times New Roman" w:hAnsi="Times New Roman" w:cs="Times New Roman"/>
        </w:rPr>
        <w:t xml:space="preserve"> </w:t>
      </w:r>
      <w:r w:rsidRPr="00AA286E">
        <w:rPr>
          <w:rFonts w:ascii="Times New Roman" w:hAnsi="Times New Roman" w:cs="Times New Roman"/>
        </w:rPr>
        <w:t xml:space="preserve">operational expenditures </w:t>
      </w:r>
      <w:r w:rsidRPr="00AA286E" w:rsidR="007902BA">
        <w:rPr>
          <w:rFonts w:ascii="Times New Roman" w:hAnsi="Times New Roman" w:cs="Times New Roman"/>
        </w:rPr>
        <w:t>attend their implementation?</w:t>
      </w:r>
      <w:r w:rsidRPr="00AA286E" w:rsidR="007773D0">
        <w:rPr>
          <w:rFonts w:ascii="Times New Roman" w:hAnsi="Times New Roman" w:cs="Times New Roman"/>
        </w:rPr>
        <w:t xml:space="preserve"> </w:t>
      </w:r>
      <w:r w:rsidRPr="00AA286E" w:rsidR="007902BA">
        <w:rPr>
          <w:rFonts w:ascii="Times New Roman" w:hAnsi="Times New Roman" w:cs="Times New Roman"/>
        </w:rPr>
        <w:t xml:space="preserve"> Does the availability of a protocol for RPKI keep implementation costs low?  W</w:t>
      </w:r>
      <w:r w:rsidRPr="00AA286E" w:rsidR="007773D0">
        <w:rPr>
          <w:rFonts w:ascii="Times New Roman" w:hAnsi="Times New Roman" w:cs="Times New Roman"/>
        </w:rPr>
        <w:t xml:space="preserve">ould network operators need to replace existing routers to support </w:t>
      </w:r>
      <w:r w:rsidRPr="00AA286E">
        <w:rPr>
          <w:rFonts w:ascii="Times New Roman" w:hAnsi="Times New Roman" w:cs="Times New Roman"/>
        </w:rPr>
        <w:t xml:space="preserve">the </w:t>
      </w:r>
      <w:r w:rsidRPr="00AA286E" w:rsidR="007773D0">
        <w:rPr>
          <w:rFonts w:ascii="Times New Roman" w:hAnsi="Times New Roman" w:cs="Times New Roman"/>
        </w:rPr>
        <w:t xml:space="preserve">BGPsec </w:t>
      </w:r>
      <w:r w:rsidRPr="00AA286E">
        <w:rPr>
          <w:rFonts w:ascii="Times New Roman" w:hAnsi="Times New Roman" w:cs="Times New Roman"/>
        </w:rPr>
        <w:t>extension?  C</w:t>
      </w:r>
      <w:r w:rsidRPr="00AA286E" w:rsidR="007773D0">
        <w:rPr>
          <w:rFonts w:ascii="Times New Roman" w:hAnsi="Times New Roman" w:cs="Times New Roman"/>
        </w:rPr>
        <w:t>ould support be enabled through a software upgrade</w:t>
      </w:r>
      <w:r w:rsidRPr="00AA286E">
        <w:rPr>
          <w:rFonts w:ascii="Times New Roman" w:hAnsi="Times New Roman" w:cs="Times New Roman"/>
        </w:rPr>
        <w:t>, particularly for routers that are not considered to be “end-of-life”</w:t>
      </w:r>
      <w:r w:rsidRPr="00AA286E" w:rsidR="007773D0">
        <w:rPr>
          <w:rFonts w:ascii="Times New Roman" w:hAnsi="Times New Roman" w:cs="Times New Roman"/>
        </w:rPr>
        <w:t xml:space="preserve">?  To what extent can network operators support MANRS’ required and recommended actions by updating their policies and practices, and without equipment replacement or software updates?  </w:t>
      </w:r>
      <w:r w:rsidRPr="00AA286E" w:rsidR="007902BA">
        <w:rPr>
          <w:rFonts w:ascii="Times New Roman" w:hAnsi="Times New Roman" w:cs="Times New Roman"/>
        </w:rPr>
        <w:t xml:space="preserve">What costs </w:t>
      </w:r>
      <w:r w:rsidRPr="00AA286E" w:rsidR="00A62FB6">
        <w:rPr>
          <w:rFonts w:ascii="Times New Roman" w:hAnsi="Times New Roman" w:cs="Times New Roman"/>
        </w:rPr>
        <w:t>would consumer likely experience from</w:t>
      </w:r>
      <w:r w:rsidRPr="00AA286E" w:rsidR="007902BA">
        <w:rPr>
          <w:rFonts w:ascii="Times New Roman" w:hAnsi="Times New Roman" w:cs="Times New Roman"/>
        </w:rPr>
        <w:t xml:space="preserve"> BGP security implementations</w:t>
      </w:r>
      <w:r w:rsidRPr="00AA286E" w:rsidR="00940458">
        <w:rPr>
          <w:rFonts w:ascii="Times New Roman" w:hAnsi="Times New Roman" w:cs="Times New Roman"/>
        </w:rPr>
        <w:t>, such as higher service costs or speed reductions?</w:t>
      </w:r>
      <w:r w:rsidRPr="00AA286E" w:rsidR="007902BA">
        <w:rPr>
          <w:rFonts w:ascii="Times New Roman" w:hAnsi="Times New Roman" w:cs="Times New Roman"/>
        </w:rPr>
        <w:t xml:space="preserve"> </w:t>
      </w:r>
    </w:p>
    <w:p w:rsidR="007773D0" w:rsidRPr="00AA286E" w:rsidP="006B2373" w14:paraId="0F6096E1" w14:textId="2A807707">
      <w:pPr>
        <w:pStyle w:val="ParaNum"/>
        <w:rPr>
          <w:rFonts w:ascii="Times New Roman" w:hAnsi="Times New Roman" w:cs="Times New Roman"/>
        </w:rPr>
      </w:pPr>
      <w:r w:rsidRPr="00AA286E">
        <w:rPr>
          <w:rFonts w:ascii="Times New Roman" w:hAnsi="Times New Roman" w:cs="Times New Roman"/>
        </w:rPr>
        <w:t xml:space="preserve">We seek comment on whether </w:t>
      </w:r>
      <w:r w:rsidRPr="00AA286E" w:rsidR="007902BA">
        <w:rPr>
          <w:rFonts w:ascii="Times New Roman" w:hAnsi="Times New Roman" w:cs="Times New Roman"/>
        </w:rPr>
        <w:t xml:space="preserve">the Commission should </w:t>
      </w:r>
      <w:r w:rsidRPr="00AA286E" w:rsidR="009B5E8E">
        <w:rPr>
          <w:rFonts w:ascii="Times New Roman" w:hAnsi="Times New Roman" w:cs="Times New Roman"/>
        </w:rPr>
        <w:t xml:space="preserve">encourage </w:t>
      </w:r>
      <w:r w:rsidRPr="00AA286E" w:rsidR="007902BA">
        <w:rPr>
          <w:rFonts w:ascii="Times New Roman" w:hAnsi="Times New Roman" w:cs="Times New Roman"/>
        </w:rPr>
        <w:t>industry to prioritize the deployment of BGP security measures within the networks on which critical infrastructure and emergency services</w:t>
      </w:r>
      <w:r w:rsidRPr="00AA286E" w:rsidR="009B5E8E">
        <w:rPr>
          <w:rFonts w:ascii="Times New Roman" w:hAnsi="Times New Roman" w:cs="Times New Roman"/>
        </w:rPr>
        <w:t xml:space="preserve"> </w:t>
      </w:r>
      <w:r w:rsidRPr="00AA286E" w:rsidR="007902BA">
        <w:rPr>
          <w:rFonts w:ascii="Times New Roman" w:hAnsi="Times New Roman" w:cs="Times New Roman"/>
        </w:rPr>
        <w:t>rely</w:t>
      </w:r>
      <w:r w:rsidRPr="00AA286E" w:rsidR="00307A03">
        <w:rPr>
          <w:rFonts w:ascii="Times New Roman" w:hAnsi="Times New Roman" w:cs="Times New Roman"/>
        </w:rPr>
        <w:t>,</w:t>
      </w:r>
      <w:r w:rsidRPr="00AA286E" w:rsidR="009B5E8E">
        <w:rPr>
          <w:rFonts w:ascii="Times New Roman" w:hAnsi="Times New Roman" w:cs="Times New Roman"/>
        </w:rPr>
        <w:t xml:space="preserve"> as a means of helping industry to control costs otherwise associated with a network-wide deployment</w:t>
      </w:r>
      <w:r w:rsidRPr="00AA286E" w:rsidR="007902BA">
        <w:rPr>
          <w:rFonts w:ascii="Times New Roman" w:hAnsi="Times New Roman" w:cs="Times New Roman"/>
        </w:rPr>
        <w:t xml:space="preserve">.  </w:t>
      </w:r>
      <w:r w:rsidRPr="00AA286E" w:rsidR="009B5E8E">
        <w:rPr>
          <w:rFonts w:ascii="Times New Roman" w:hAnsi="Times New Roman" w:cs="Times New Roman"/>
        </w:rPr>
        <w:t xml:space="preserve">Would this or another </w:t>
      </w:r>
      <w:r w:rsidRPr="00AA286E">
        <w:rPr>
          <w:rFonts w:ascii="Times New Roman" w:hAnsi="Times New Roman" w:cs="Times New Roman"/>
        </w:rPr>
        <w:t xml:space="preserve">phased </w:t>
      </w:r>
      <w:r w:rsidRPr="00AA286E" w:rsidR="009B5E8E">
        <w:rPr>
          <w:rFonts w:ascii="Times New Roman" w:hAnsi="Times New Roman" w:cs="Times New Roman"/>
        </w:rPr>
        <w:t>or gradual</w:t>
      </w:r>
      <w:r w:rsidRPr="00AA286E">
        <w:rPr>
          <w:rFonts w:ascii="Times New Roman" w:hAnsi="Times New Roman" w:cs="Times New Roman"/>
        </w:rPr>
        <w:t xml:space="preserve"> implementation of </w:t>
      </w:r>
      <w:r w:rsidRPr="00AA286E" w:rsidR="007902BA">
        <w:rPr>
          <w:rFonts w:ascii="Times New Roman" w:hAnsi="Times New Roman" w:cs="Times New Roman"/>
        </w:rPr>
        <w:t xml:space="preserve">BGP security measures </w:t>
      </w:r>
      <w:r w:rsidRPr="00AA286E" w:rsidR="009B5E8E">
        <w:rPr>
          <w:rFonts w:ascii="Times New Roman" w:hAnsi="Times New Roman" w:cs="Times New Roman"/>
        </w:rPr>
        <w:t xml:space="preserve">be effective and </w:t>
      </w:r>
      <w:r w:rsidRPr="00AA286E">
        <w:rPr>
          <w:rFonts w:ascii="Times New Roman" w:hAnsi="Times New Roman" w:cs="Times New Roman"/>
        </w:rPr>
        <w:t>help network operators to plan for and control implementation costs</w:t>
      </w:r>
      <w:r w:rsidRPr="00AA286E" w:rsidR="009B5E8E">
        <w:rPr>
          <w:rFonts w:ascii="Times New Roman" w:hAnsi="Times New Roman" w:cs="Times New Roman"/>
        </w:rPr>
        <w:t>?</w:t>
      </w:r>
      <w:r w:rsidRPr="00AA286E">
        <w:rPr>
          <w:rFonts w:ascii="Times New Roman" w:hAnsi="Times New Roman" w:cs="Times New Roman"/>
        </w:rPr>
        <w:t xml:space="preserve">  </w:t>
      </w:r>
    </w:p>
    <w:p w:rsidR="004C13F6" w:rsidP="006B2373" w14:paraId="2632262E" w14:textId="06120C47">
      <w:pPr>
        <w:pStyle w:val="ParaNum"/>
        <w:rPr>
          <w:rFonts w:ascii="Times New Roman" w:hAnsi="Times New Roman" w:cs="Times New Roman"/>
        </w:rPr>
      </w:pPr>
      <w:r w:rsidRPr="00AA286E">
        <w:rPr>
          <w:rFonts w:ascii="Times New Roman" w:hAnsi="Times New Roman" w:cs="Times New Roman"/>
        </w:rPr>
        <w:t xml:space="preserve">We also seek comment </w:t>
      </w:r>
      <w:r w:rsidRPr="00AA286E" w:rsidR="005613B4">
        <w:rPr>
          <w:rFonts w:ascii="Times New Roman" w:hAnsi="Times New Roman" w:cs="Times New Roman"/>
        </w:rPr>
        <w:t>on the national security, economic</w:t>
      </w:r>
      <w:r w:rsidRPr="00AA286E" w:rsidR="00E12E2B">
        <w:rPr>
          <w:rFonts w:ascii="Times New Roman" w:hAnsi="Times New Roman" w:cs="Times New Roman"/>
        </w:rPr>
        <w:t>, and public safety benefits</w:t>
      </w:r>
      <w:r w:rsidRPr="00AA286E" w:rsidR="005613B4">
        <w:rPr>
          <w:rFonts w:ascii="Times New Roman" w:hAnsi="Times New Roman" w:cs="Times New Roman"/>
        </w:rPr>
        <w:t xml:space="preserve"> of more secure Internet routing, both within the U.S. and globally. </w:t>
      </w:r>
      <w:r w:rsidRPr="00AA286E" w:rsidR="00E12E2B">
        <w:rPr>
          <w:rFonts w:ascii="Times New Roman" w:hAnsi="Times New Roman" w:cs="Times New Roman"/>
        </w:rPr>
        <w:t xml:space="preserve"> </w:t>
      </w:r>
      <w:r w:rsidRPr="00AA286E" w:rsidR="00A44193">
        <w:rPr>
          <w:rFonts w:ascii="Times New Roman" w:hAnsi="Times New Roman" w:cs="Times New Roman"/>
        </w:rPr>
        <w:t xml:space="preserve">What entities are </w:t>
      </w:r>
      <w:r w:rsidRPr="00AA286E" w:rsidR="00502E1D">
        <w:rPr>
          <w:rFonts w:ascii="Times New Roman" w:hAnsi="Times New Roman" w:cs="Times New Roman"/>
        </w:rPr>
        <w:t xml:space="preserve">particularly </w:t>
      </w:r>
      <w:r w:rsidRPr="00AA286E" w:rsidR="00A44193">
        <w:rPr>
          <w:rFonts w:ascii="Times New Roman" w:hAnsi="Times New Roman" w:cs="Times New Roman"/>
        </w:rPr>
        <w:t xml:space="preserve">affected by </w:t>
      </w:r>
      <w:r w:rsidRPr="00AA286E" w:rsidR="00A44193">
        <w:rPr>
          <w:rFonts w:ascii="Times New Roman" w:hAnsi="Times New Roman" w:cs="Times New Roman"/>
        </w:rPr>
        <w:t xml:space="preserve">threats to BGP security?  </w:t>
      </w:r>
      <w:r w:rsidRPr="00AA286E" w:rsidR="00502E1D">
        <w:rPr>
          <w:rFonts w:ascii="Times New Roman" w:hAnsi="Times New Roman" w:cs="Times New Roman"/>
        </w:rPr>
        <w:t>To what extent would the security measures discussed herein be effective in mitigating BGP hijacking?</w:t>
      </w:r>
      <w:r w:rsidRPr="00AA286E" w:rsidR="00A44193">
        <w:rPr>
          <w:rFonts w:ascii="Times New Roman" w:hAnsi="Times New Roman" w:cs="Times New Roman"/>
        </w:rPr>
        <w:t xml:space="preserve">  What is the potential impact of </w:t>
      </w:r>
      <w:r w:rsidRPr="00AA286E" w:rsidR="003B6C1B">
        <w:rPr>
          <w:rFonts w:ascii="Times New Roman" w:hAnsi="Times New Roman" w:cs="Times New Roman"/>
        </w:rPr>
        <w:t xml:space="preserve">mitigating </w:t>
      </w:r>
      <w:r w:rsidRPr="00AA286E" w:rsidR="009B5E8E">
        <w:rPr>
          <w:rFonts w:ascii="Times New Roman" w:hAnsi="Times New Roman" w:cs="Times New Roman"/>
        </w:rPr>
        <w:t>BG</w:t>
      </w:r>
      <w:r w:rsidRPr="00AA286E" w:rsidR="00BB25B2">
        <w:rPr>
          <w:rFonts w:ascii="Times New Roman" w:hAnsi="Times New Roman" w:cs="Times New Roman"/>
        </w:rPr>
        <w:t>P</w:t>
      </w:r>
      <w:r w:rsidRPr="00AA286E" w:rsidR="009B5E8E">
        <w:rPr>
          <w:rFonts w:ascii="Times New Roman" w:hAnsi="Times New Roman" w:cs="Times New Roman"/>
        </w:rPr>
        <w:t xml:space="preserve"> hijacking</w:t>
      </w:r>
      <w:r w:rsidRPr="00AA286E" w:rsidR="00A44193">
        <w:rPr>
          <w:rFonts w:ascii="Times New Roman" w:hAnsi="Times New Roman" w:cs="Times New Roman"/>
        </w:rPr>
        <w:t xml:space="preserve"> on U.S. national security and the U.S. economy?  </w:t>
      </w:r>
      <w:r w:rsidRPr="00AA286E" w:rsidR="00E12E2B">
        <w:rPr>
          <w:rFonts w:ascii="Times New Roman" w:hAnsi="Times New Roman" w:cs="Times New Roman"/>
        </w:rPr>
        <w:t>Have stakeholders attempted to quantify the benefits that secure Internet routing could convey by protecting critical infrastructure, sensitive communications, and personally identifiable information?  Have stakeholders attempted to quantify the benefits of secure Internet routing in terms of the potential loss of Intellectual Property, communications delays</w:t>
      </w:r>
      <w:r w:rsidRPr="00AA286E" w:rsidR="009B5E8E">
        <w:rPr>
          <w:rFonts w:ascii="Times New Roman" w:hAnsi="Times New Roman" w:cs="Times New Roman"/>
        </w:rPr>
        <w:t>,</w:t>
      </w:r>
      <w:r w:rsidRPr="00AA286E" w:rsidR="00E12E2B">
        <w:rPr>
          <w:rFonts w:ascii="Times New Roman" w:hAnsi="Times New Roman" w:cs="Times New Roman"/>
        </w:rPr>
        <w:t xml:space="preserve"> or disruptions that BGP’s unmitigated vulnerability represents?  Have stakeholders attempted to measure or quantify the extent to which BGP hijack</w:t>
      </w:r>
      <w:r w:rsidRPr="00AA286E" w:rsidR="009B5E8E">
        <w:rPr>
          <w:rFonts w:ascii="Times New Roman" w:hAnsi="Times New Roman" w:cs="Times New Roman"/>
        </w:rPr>
        <w:t>ing</w:t>
      </w:r>
      <w:r w:rsidRPr="00AA286E" w:rsidR="00E12E2B">
        <w:rPr>
          <w:rFonts w:ascii="Times New Roman" w:hAnsi="Times New Roman" w:cs="Times New Roman"/>
        </w:rPr>
        <w:t xml:space="preserve"> pose</w:t>
      </w:r>
      <w:r w:rsidRPr="00AA286E" w:rsidR="009B5E8E">
        <w:rPr>
          <w:rFonts w:ascii="Times New Roman" w:hAnsi="Times New Roman" w:cs="Times New Roman"/>
        </w:rPr>
        <w:t>s</w:t>
      </w:r>
      <w:r w:rsidRPr="00AA286E" w:rsidR="00E12E2B">
        <w:rPr>
          <w:rFonts w:ascii="Times New Roman" w:hAnsi="Times New Roman" w:cs="Times New Roman"/>
        </w:rPr>
        <w:t xml:space="preserve"> a threat to life and property by disrupting 9-1-1 calls carried by providers of interconnected VoIP service?  What other benefit</w:t>
      </w:r>
      <w:r w:rsidRPr="00AA286E" w:rsidR="00307A03">
        <w:rPr>
          <w:rFonts w:ascii="Times New Roman" w:hAnsi="Times New Roman" w:cs="Times New Roman"/>
        </w:rPr>
        <w:t>s</w:t>
      </w:r>
      <w:r w:rsidRPr="00AA286E" w:rsidR="00E12E2B">
        <w:rPr>
          <w:rFonts w:ascii="Times New Roman" w:hAnsi="Times New Roman" w:cs="Times New Roman"/>
        </w:rPr>
        <w:t xml:space="preserve"> </w:t>
      </w:r>
      <w:r w:rsidRPr="00AA286E" w:rsidR="00E518AE">
        <w:rPr>
          <w:rFonts w:ascii="Times New Roman" w:hAnsi="Times New Roman" w:cs="Times New Roman"/>
        </w:rPr>
        <w:t>could potentially accrue from</w:t>
      </w:r>
      <w:r w:rsidRPr="00AA286E" w:rsidR="00E12E2B">
        <w:rPr>
          <w:rFonts w:ascii="Times New Roman" w:hAnsi="Times New Roman" w:cs="Times New Roman"/>
        </w:rPr>
        <w:t xml:space="preserve"> this inquiry?</w:t>
      </w:r>
    </w:p>
    <w:p w:rsidR="00AF602C" w:rsidRPr="000B33EC" w:rsidP="000B33EC" w14:paraId="70654F2F" w14:textId="3B73DC9A">
      <w:pPr>
        <w:pStyle w:val="ParaNum"/>
        <w:widowControl w:val="0"/>
        <w:rPr>
          <w:rFonts w:ascii="Times New Roman" w:hAnsi="Times New Roman" w:cs="Times New Roman"/>
        </w:rPr>
      </w:pPr>
      <w:r w:rsidRPr="00C35704">
        <w:rPr>
          <w:rFonts w:ascii="Times New Roman" w:hAnsi="Times New Roman" w:cs="Times New Roman"/>
          <w:i/>
          <w:iCs/>
        </w:rPr>
        <w:t>Digital Equity and Inclusion.</w:t>
      </w:r>
      <w:r w:rsidRPr="00C35704">
        <w:rPr>
          <w:rFonts w:ascii="Times New Roman" w:hAnsi="Times New Roman" w:cs="Times New Roman"/>
        </w:rPr>
        <w:t xml:space="preserve">  Finally, the Commission, as part of its continuing effort to advance digital equity for all,</w:t>
      </w:r>
      <w:r>
        <w:rPr>
          <w:rStyle w:val="FootnoteReference"/>
          <w:rFonts w:cs="Times New Roman"/>
          <w:sz w:val="22"/>
        </w:rPr>
        <w:footnoteReference w:id="40"/>
      </w:r>
      <w:r w:rsidRPr="00C35704">
        <w:rPr>
          <w:rFonts w:ascii="Times New Roman" w:hAnsi="Times New Roman" w:cs="Times New Roman"/>
        </w:rPr>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Fonts w:cs="Times New Roman"/>
          <w:sz w:val="22"/>
        </w:rPr>
        <w:footnoteReference w:id="41"/>
      </w:r>
      <w:r w:rsidRPr="00C35704">
        <w:rPr>
          <w:rFonts w:ascii="Times New Roman" w:hAnsi="Times New Roman" w:cs="Times New Roman"/>
        </w:rPr>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C8349C" w:rsidRPr="00AA286E" w:rsidP="00C8349C" w14:paraId="16F986F6" w14:textId="77777777">
      <w:pPr>
        <w:pStyle w:val="Heading1"/>
        <w:tabs>
          <w:tab w:val="num" w:pos="720"/>
        </w:tabs>
        <w:rPr>
          <w:rFonts w:ascii="Times New Roman" w:hAnsi="Times New Roman" w:cs="Times New Roman"/>
        </w:rPr>
      </w:pPr>
      <w:bookmarkStart w:id="27" w:name="_Toc64470157"/>
      <w:bookmarkStart w:id="28" w:name="_Toc64476233"/>
      <w:bookmarkStart w:id="29" w:name="_Toc64476390"/>
      <w:bookmarkStart w:id="30" w:name="_Toc64622508"/>
      <w:bookmarkStart w:id="31" w:name="_Toc64623070"/>
      <w:bookmarkStart w:id="32" w:name="_Toc64900319"/>
      <w:bookmarkStart w:id="33" w:name="_Toc64900544"/>
      <w:bookmarkStart w:id="34" w:name="_Toc64967400"/>
      <w:r w:rsidRPr="00AA286E">
        <w:rPr>
          <w:rFonts w:ascii="Times New Roman" w:hAnsi="Times New Roman" w:cs="Times New Roman"/>
        </w:rPr>
        <w:t>Procedural matters</w:t>
      </w:r>
      <w:bookmarkEnd w:id="27"/>
      <w:bookmarkEnd w:id="28"/>
      <w:bookmarkEnd w:id="29"/>
      <w:bookmarkEnd w:id="30"/>
      <w:bookmarkEnd w:id="31"/>
      <w:bookmarkEnd w:id="32"/>
      <w:bookmarkEnd w:id="33"/>
      <w:bookmarkEnd w:id="34"/>
    </w:p>
    <w:p w:rsidR="00C8349C" w:rsidRPr="00AA286E" w:rsidP="00C8349C" w14:paraId="7DBB474E" w14:textId="191D306F">
      <w:pPr>
        <w:pStyle w:val="ParaNum"/>
        <w:rPr>
          <w:rFonts w:ascii="Times New Roman" w:hAnsi="Times New Roman" w:cs="Times New Roman"/>
        </w:rPr>
      </w:pPr>
      <w:r w:rsidRPr="00EE19FD">
        <w:rPr>
          <w:rFonts w:ascii="Times New Roman" w:hAnsi="Times New Roman" w:cs="Times New Roman"/>
          <w:i/>
          <w:iCs/>
        </w:rPr>
        <w:t xml:space="preserve">Ex </w:t>
      </w:r>
      <w:r w:rsidRPr="00EE19FD">
        <w:rPr>
          <w:rFonts w:ascii="Times New Roman" w:hAnsi="Times New Roman" w:cs="Times New Roman"/>
          <w:i/>
          <w:iCs/>
        </w:rPr>
        <w:t>Parte</w:t>
      </w:r>
      <w:r w:rsidRPr="00EE19FD">
        <w:rPr>
          <w:rFonts w:ascii="Times New Roman" w:hAnsi="Times New Roman" w:cs="Times New Roman"/>
          <w:i/>
          <w:iCs/>
        </w:rPr>
        <w:t xml:space="preserve"> Rules</w:t>
      </w:r>
      <w:r w:rsidRPr="00AA286E">
        <w:rPr>
          <w:rFonts w:ascii="Times New Roman" w:hAnsi="Times New Roman" w:cs="Times New Roman"/>
        </w:rPr>
        <w:t xml:space="preserve">.  This proceeding shall be treated as a “permit-but-disclose” proceeding in accordance with the Commission’s </w:t>
      </w:r>
      <w:r w:rsidRPr="00EE19FD">
        <w:rPr>
          <w:rFonts w:ascii="Times New Roman" w:hAnsi="Times New Roman" w:cs="Times New Roman"/>
          <w:i/>
          <w:iCs/>
        </w:rPr>
        <w:t xml:space="preserve">ex </w:t>
      </w:r>
      <w:r w:rsidRPr="00EE19FD">
        <w:rPr>
          <w:rFonts w:ascii="Times New Roman" w:hAnsi="Times New Roman" w:cs="Times New Roman"/>
          <w:i/>
          <w:iCs/>
        </w:rPr>
        <w:t>parte</w:t>
      </w:r>
      <w:r w:rsidRPr="00EE19FD">
        <w:rPr>
          <w:rFonts w:ascii="Times New Roman" w:hAnsi="Times New Roman" w:cs="Times New Roman"/>
          <w:i/>
          <w:iCs/>
        </w:rPr>
        <w:t xml:space="preserve"> </w:t>
      </w:r>
      <w:r w:rsidRPr="00AA286E">
        <w:rPr>
          <w:rFonts w:ascii="Times New Roman" w:hAnsi="Times New Roman" w:cs="Times New Roman"/>
        </w:rPr>
        <w:t>rules.</w:t>
      </w:r>
      <w:r>
        <w:rPr>
          <w:rStyle w:val="FootnoteReference"/>
          <w:rFonts w:cs="Times New Roman"/>
          <w:sz w:val="22"/>
        </w:rPr>
        <w:footnoteReference w:id="42"/>
      </w:r>
      <w:r w:rsidRPr="00AA286E">
        <w:rPr>
          <w:rFonts w:ascii="Times New Roman" w:hAnsi="Times New Roman" w:cs="Times New Roman"/>
        </w:rPr>
        <w:t xml:space="preserve">  Persons making </w:t>
      </w:r>
      <w:r w:rsidRPr="00E43D5F">
        <w:rPr>
          <w:rFonts w:ascii="Times New Roman" w:hAnsi="Times New Roman" w:cs="Times New Roman"/>
          <w:i/>
          <w:iCs/>
        </w:rPr>
        <w:t xml:space="preserve">ex </w:t>
      </w:r>
      <w:r w:rsidRPr="00E43D5F">
        <w:rPr>
          <w:rFonts w:ascii="Times New Roman" w:hAnsi="Times New Roman" w:cs="Times New Roman"/>
          <w:i/>
          <w:iCs/>
        </w:rPr>
        <w:t>parte</w:t>
      </w:r>
      <w:r w:rsidRPr="00E43D5F">
        <w:rPr>
          <w:rFonts w:ascii="Times New Roman" w:hAnsi="Times New Roman" w:cs="Times New Roman"/>
          <w:i/>
          <w:iCs/>
        </w:rPr>
        <w:t xml:space="preserve"> </w:t>
      </w:r>
      <w:r w:rsidRPr="00E43D5F">
        <w:rPr>
          <w:rFonts w:ascii="Times New Roman" w:hAnsi="Times New Roman" w:cs="Times New Roman"/>
        </w:rPr>
        <w:t>presentations must file a copy of any written presentation or a memorandum summarizing any oral presenta</w:t>
      </w:r>
      <w:r w:rsidRPr="003243B5">
        <w:rPr>
          <w:rFonts w:ascii="Times New Roman" w:hAnsi="Times New Roman" w:cs="Times New Roman"/>
        </w:rPr>
        <w:t xml:space="preserve">tion within two business days after the presentation (unless a different deadline applicable to the Sunshine period applies).  Persons making oral </w:t>
      </w:r>
      <w:r w:rsidRPr="004D66E8">
        <w:rPr>
          <w:rFonts w:ascii="Times New Roman" w:hAnsi="Times New Roman" w:cs="Times New Roman"/>
          <w:i/>
          <w:iCs/>
        </w:rPr>
        <w:t xml:space="preserve">ex </w:t>
      </w:r>
      <w:r w:rsidRPr="004D66E8">
        <w:rPr>
          <w:rFonts w:ascii="Times New Roman" w:hAnsi="Times New Roman" w:cs="Times New Roman"/>
          <w:i/>
          <w:iCs/>
        </w:rPr>
        <w:t>parte</w:t>
      </w:r>
      <w:r w:rsidRPr="004D66E8">
        <w:rPr>
          <w:rFonts w:ascii="Times New Roman" w:hAnsi="Times New Roman" w:cs="Times New Roman"/>
          <w:i/>
          <w:iCs/>
        </w:rPr>
        <w:t xml:space="preserve"> </w:t>
      </w:r>
      <w:r w:rsidRPr="004D66E8">
        <w:rPr>
          <w:rFonts w:ascii="Times New Roman" w:hAnsi="Times New Roman" w:cs="Times New Roman"/>
        </w:rPr>
        <w:t>presentations are reminded that memoranda summarizing the presentation must (1)</w:t>
      </w:r>
      <w:r w:rsidRPr="00970050" w:rsidR="00F26F39">
        <w:rPr>
          <w:rFonts w:ascii="Times New Roman" w:hAnsi="Times New Roman" w:cs="Times New Roman"/>
        </w:rPr>
        <w:t xml:space="preserve"> </w:t>
      </w:r>
      <w:r w:rsidRPr="00AA286E">
        <w:rPr>
          <w:rFonts w:ascii="Times New Roman" w:hAnsi="Times New Roman" w:cs="Times New Roman"/>
        </w:rPr>
        <w:t xml:space="preserve">list all persons attending or otherwise participating in the meeting at which the </w:t>
      </w:r>
      <w:r w:rsidRPr="00EE19FD">
        <w:rPr>
          <w:rFonts w:ascii="Times New Roman" w:hAnsi="Times New Roman" w:cs="Times New Roman"/>
          <w:i/>
          <w:iCs/>
        </w:rPr>
        <w:t xml:space="preserve">ex </w:t>
      </w:r>
      <w:r w:rsidRPr="00EE19FD">
        <w:rPr>
          <w:rFonts w:ascii="Times New Roman" w:hAnsi="Times New Roman" w:cs="Times New Roman"/>
          <w:i/>
          <w:iCs/>
        </w:rPr>
        <w:t>parte</w:t>
      </w:r>
      <w:r w:rsidRPr="00EE19FD">
        <w:rPr>
          <w:rFonts w:ascii="Times New Roman" w:hAnsi="Times New Roman" w:cs="Times New Roman"/>
          <w:i/>
          <w:iCs/>
        </w:rPr>
        <w:t xml:space="preserve"> </w:t>
      </w:r>
      <w:r w:rsidRPr="00AA286E">
        <w:rPr>
          <w:rFonts w:ascii="Times New Roman" w:hAnsi="Times New Roman" w:cs="Times New Roman"/>
        </w:rPr>
        <w:t>presentation was made, and (2)</w:t>
      </w:r>
      <w:r w:rsidRPr="00AA286E" w:rsidR="00F26F39">
        <w:rPr>
          <w:rFonts w:ascii="Times New Roman" w:hAnsi="Times New Roman" w:cs="Times New Roman"/>
        </w:rPr>
        <w:t xml:space="preserve"> </w:t>
      </w:r>
      <w:r w:rsidRPr="00AA286E">
        <w:rPr>
          <w:rFonts w:ascii="Times New Roman" w:hAnsi="Times New Roman" w:cs="Times New Roman"/>
        </w:rPr>
        <w:t xml:space="preserve">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E19FD">
        <w:rPr>
          <w:rFonts w:ascii="Times New Roman" w:hAnsi="Times New Roman" w:cs="Times New Roman"/>
          <w:i/>
          <w:iCs/>
        </w:rPr>
        <w:t xml:space="preserve">ex </w:t>
      </w:r>
      <w:r w:rsidRPr="00EE19FD">
        <w:rPr>
          <w:rFonts w:ascii="Times New Roman" w:hAnsi="Times New Roman" w:cs="Times New Roman"/>
          <w:i/>
          <w:iCs/>
        </w:rPr>
        <w:t>parte</w:t>
      </w:r>
      <w:r w:rsidRPr="00EE19FD">
        <w:rPr>
          <w:rFonts w:ascii="Times New Roman" w:hAnsi="Times New Roman" w:cs="Times New Roman"/>
          <w:i/>
          <w:iCs/>
        </w:rPr>
        <w:t xml:space="preserve"> </w:t>
      </w:r>
      <w:r w:rsidRPr="00AA286E">
        <w:rPr>
          <w:rFonts w:ascii="Times New Roman" w:hAnsi="Times New Roman" w:cs="Times New Roman"/>
        </w:rPr>
        <w:t xml:space="preserve">meetings are deemed to be written </w:t>
      </w:r>
      <w:r w:rsidRPr="00EE19FD">
        <w:rPr>
          <w:rFonts w:ascii="Times New Roman" w:hAnsi="Times New Roman" w:cs="Times New Roman"/>
          <w:i/>
          <w:iCs/>
        </w:rPr>
        <w:t xml:space="preserve">ex </w:t>
      </w:r>
      <w:r w:rsidRPr="00EE19FD">
        <w:rPr>
          <w:rFonts w:ascii="Times New Roman" w:hAnsi="Times New Roman" w:cs="Times New Roman"/>
          <w:i/>
          <w:iCs/>
        </w:rPr>
        <w:t>parte</w:t>
      </w:r>
      <w:r w:rsidRPr="00AA286E">
        <w:rPr>
          <w:rFonts w:ascii="Times New Roman" w:hAnsi="Times New Roman" w:cs="Times New Roman"/>
        </w:rPr>
        <w:t xml:space="preserve"> presentations and must be filed consistent with Rule 1.1206(b), </w:t>
      </w:r>
      <w:r w:rsidRPr="00AA286E">
        <w:rPr>
          <w:rFonts w:ascii="Times New Roman" w:hAnsi="Times New Roman" w:cs="Times New Roman"/>
          <w:color w:val="000000"/>
        </w:rPr>
        <w:t>47 CFR §</w:t>
      </w:r>
      <w:r w:rsidRPr="00AA286E" w:rsidR="00F26F39">
        <w:rPr>
          <w:rFonts w:ascii="Times New Roman" w:hAnsi="Times New Roman" w:cs="Times New Roman"/>
          <w:color w:val="000000"/>
        </w:rPr>
        <w:t xml:space="preserve"> </w:t>
      </w:r>
      <w:r w:rsidRPr="00AA286E">
        <w:rPr>
          <w:rFonts w:ascii="Times New Roman" w:hAnsi="Times New Roman" w:cs="Times New Roman"/>
          <w:color w:val="000000"/>
        </w:rPr>
        <w:t>1.1206(b)</w:t>
      </w:r>
      <w:r w:rsidRPr="00AA286E">
        <w:rPr>
          <w:rFonts w:ascii="Times New Roman" w:hAnsi="Times New Roman" w:cs="Times New Roman"/>
        </w:rPr>
        <w:t xml:space="preserve">.  Participants in this proceeding should familiarize themselves with the Commission’s </w:t>
      </w:r>
      <w:r w:rsidRPr="00EE19FD">
        <w:rPr>
          <w:rFonts w:ascii="Times New Roman" w:hAnsi="Times New Roman" w:cs="Times New Roman"/>
          <w:i/>
          <w:iCs/>
        </w:rPr>
        <w:t xml:space="preserve">ex </w:t>
      </w:r>
      <w:r w:rsidRPr="00EE19FD">
        <w:rPr>
          <w:rFonts w:ascii="Times New Roman" w:hAnsi="Times New Roman" w:cs="Times New Roman"/>
          <w:i/>
          <w:iCs/>
        </w:rPr>
        <w:t>parte</w:t>
      </w:r>
      <w:r w:rsidRPr="00EE19FD">
        <w:rPr>
          <w:rFonts w:ascii="Times New Roman" w:hAnsi="Times New Roman" w:cs="Times New Roman"/>
          <w:i/>
          <w:iCs/>
        </w:rPr>
        <w:t xml:space="preserve"> </w:t>
      </w:r>
      <w:r w:rsidRPr="00AA286E">
        <w:rPr>
          <w:rFonts w:ascii="Times New Roman" w:hAnsi="Times New Roman" w:cs="Times New Roman"/>
        </w:rPr>
        <w:t>rules.</w:t>
      </w:r>
    </w:p>
    <w:p w:rsidR="00FD1F91" w:rsidRPr="00AA286E" w:rsidP="00FD1F91" w14:paraId="0FD7CB20" w14:textId="597B7FF5">
      <w:pPr>
        <w:pStyle w:val="ParaNum"/>
        <w:rPr>
          <w:rFonts w:ascii="Times New Roman" w:hAnsi="Times New Roman" w:cs="Times New Roman"/>
        </w:rPr>
      </w:pPr>
      <w:r w:rsidRPr="00EE19FD">
        <w:rPr>
          <w:rFonts w:ascii="Times New Roman" w:hAnsi="Times New Roman" w:cs="Times New Roman"/>
          <w:i/>
          <w:iCs/>
        </w:rPr>
        <w:t>Confidentiality.</w:t>
      </w:r>
      <w:r w:rsidRPr="00AA286E">
        <w:rPr>
          <w:rFonts w:ascii="Times New Roman" w:hAnsi="Times New Roman" w:cs="Times New Roman"/>
        </w:rPr>
        <w:t xml:space="preserve">  We recognize that some comments could contain information that the submitter believes should not be made available to the general public because of commercial or national security reasons.  Parties may request that such information be kept confidential, identifying the specific information sought to be kept confidential, providing the reasons for the request, and otherwise following the procedures set forth in section 0.459 of our rules.</w:t>
      </w:r>
      <w:r>
        <w:rPr>
          <w:rStyle w:val="FootnoteReference"/>
          <w:rFonts w:cs="Times New Roman"/>
        </w:rPr>
        <w:footnoteReference w:id="43"/>
      </w:r>
      <w:r w:rsidRPr="00AA286E">
        <w:rPr>
          <w:rFonts w:ascii="Times New Roman" w:hAnsi="Times New Roman" w:cs="Times New Roman"/>
        </w:rPr>
        <w:t xml:space="preserve">  If a party requests confidential treatment of a comment, it must file an original and one copy of the confidential ver</w:t>
      </w:r>
      <w:r w:rsidRPr="00E43D5F">
        <w:rPr>
          <w:rFonts w:ascii="Times New Roman" w:hAnsi="Times New Roman" w:cs="Times New Roman"/>
        </w:rPr>
        <w:t xml:space="preserve">sion of the comment on paper, following the procedures below, and a public version of the filing that omits </w:t>
      </w:r>
      <w:r w:rsidRPr="003243B5">
        <w:rPr>
          <w:rFonts w:ascii="Times New Roman" w:hAnsi="Times New Roman" w:cs="Times New Roman"/>
          <w:i/>
          <w:iCs/>
        </w:rPr>
        <w:t>only</w:t>
      </w:r>
      <w:r w:rsidRPr="004D66E8">
        <w:rPr>
          <w:rFonts w:ascii="Times New Roman" w:hAnsi="Times New Roman" w:cs="Times New Roman"/>
        </w:rPr>
        <w:t xml:space="preserve"> the confidential inform</w:t>
      </w:r>
      <w:r w:rsidRPr="00970050">
        <w:rPr>
          <w:rFonts w:ascii="Times New Roman" w:hAnsi="Times New Roman" w:cs="Times New Roman"/>
        </w:rPr>
        <w:t>at</w:t>
      </w:r>
      <w:r w:rsidRPr="00AA286E">
        <w:rPr>
          <w:rFonts w:ascii="Times New Roman" w:hAnsi="Times New Roman" w:cs="Times New Roman"/>
        </w:rPr>
        <w:t xml:space="preserve">ion and is otherwise identical to the confidential version, using either the electronic filing or the filing-by-paper procedures below.  </w:t>
      </w:r>
    </w:p>
    <w:p w:rsidR="00C8349C" w:rsidRPr="00AA286E" w:rsidP="00C8349C" w14:paraId="14AB8788" w14:textId="4A4465C7">
      <w:pPr>
        <w:pStyle w:val="ParaNum"/>
        <w:rPr>
          <w:rFonts w:ascii="Times New Roman" w:hAnsi="Times New Roman" w:cs="Times New Roman"/>
        </w:rPr>
      </w:pPr>
      <w:r w:rsidRPr="00EE19FD">
        <w:rPr>
          <w:rFonts w:ascii="Times New Roman" w:hAnsi="Times New Roman" w:cs="Times New Roman"/>
          <w:i/>
          <w:iCs/>
        </w:rPr>
        <w:t>Comment Filing Procedures</w:t>
      </w:r>
      <w:r w:rsidRPr="00AA286E" w:rsidR="00FD1F91">
        <w:rPr>
          <w:rFonts w:ascii="Times New Roman" w:hAnsi="Times New Roman" w:cs="Times New Roman"/>
        </w:rPr>
        <w:t xml:space="preserve">  I</w:t>
      </w:r>
      <w:r w:rsidRPr="00AA286E">
        <w:rPr>
          <w:rFonts w:ascii="Times New Roman" w:hAnsi="Times New Roman" w:cs="Times New Roman"/>
        </w:rPr>
        <w:t xml:space="preserve">nterested parties may file comments and reply comments on or before the dates indicated on the first page of this document.  </w:t>
      </w:r>
      <w:r w:rsidRPr="00EE19FD">
        <w:rPr>
          <w:rFonts w:ascii="Times New Roman" w:hAnsi="Times New Roman" w:cs="Times New Roman"/>
          <w:color w:val="000000" w:themeColor="text1"/>
        </w:rPr>
        <w:t>Comments may be filed using the Commission’s Ele</w:t>
      </w:r>
      <w:r w:rsidRPr="00D16FA4">
        <w:rPr>
          <w:rFonts w:ascii="Times New Roman" w:hAnsi="Times New Roman" w:cs="Times New Roman"/>
          <w:color w:val="000000" w:themeColor="text1"/>
        </w:rPr>
        <w:t>ctronic Comment Filing System (ECFS</w:t>
      </w:r>
      <w:r w:rsidRPr="00204F4C">
        <w:rPr>
          <w:rFonts w:ascii="Times New Roman" w:hAnsi="Times New Roman" w:cs="Times New Roman"/>
          <w:color w:val="000000" w:themeColor="text1"/>
        </w:rPr>
        <w:t>) or by paper.</w:t>
      </w:r>
      <w:r w:rsidRPr="00865D30" w:rsidR="00F26F39">
        <w:rPr>
          <w:rFonts w:ascii="Times New Roman" w:hAnsi="Times New Roman" w:cs="Times New Roman"/>
          <w:color w:val="000000" w:themeColor="text1"/>
        </w:rPr>
        <w:t xml:space="preserve">  </w:t>
      </w:r>
      <w:r w:rsidRPr="005211EE">
        <w:rPr>
          <w:rFonts w:ascii="Times New Roman" w:hAnsi="Times New Roman" w:cs="Times New Roman"/>
          <w:color w:val="000000" w:themeColor="text1"/>
        </w:rPr>
        <w:t>All filings must be addressed to the Comm</w:t>
      </w:r>
      <w:r w:rsidRPr="007B2289">
        <w:rPr>
          <w:rFonts w:ascii="Times New Roman" w:hAnsi="Times New Roman" w:cs="Times New Roman"/>
          <w:color w:val="000000" w:themeColor="text1"/>
        </w:rPr>
        <w:t>ission’s Secretary, Office of the Secretary, Federal Communications Commission</w:t>
      </w:r>
      <w:r w:rsidRPr="00AA286E">
        <w:rPr>
          <w:rFonts w:ascii="Times New Roman" w:hAnsi="Times New Roman" w:cs="Times New Roman"/>
        </w:rPr>
        <w:t>.</w:t>
      </w:r>
    </w:p>
    <w:p w:rsidR="00C8349C" w:rsidRPr="00E43D5F" w:rsidP="00C8349C" w14:paraId="137B1A31" w14:textId="77777777">
      <w:pPr>
        <w:numPr>
          <w:ilvl w:val="0"/>
          <w:numId w:val="8"/>
        </w:numPr>
        <w:snapToGrid w:val="0"/>
        <w:spacing w:after="120"/>
        <w:rPr>
          <w:rFonts w:ascii="Times New Roman" w:hAnsi="Times New Roman" w:cs="Times New Roman"/>
        </w:rPr>
      </w:pPr>
      <w:r w:rsidRPr="00AA286E">
        <w:rPr>
          <w:rFonts w:ascii="Times New Roman" w:hAnsi="Times New Roman" w:cs="Times New Roman"/>
        </w:rPr>
        <w:t xml:space="preserve">Electronic Filers:  </w:t>
      </w:r>
      <w:r w:rsidRPr="00AA286E">
        <w:rPr>
          <w:rFonts w:ascii="Times New Roman" w:hAnsi="Times New Roman" w:cs="Times New Roman"/>
          <w:color w:val="000000"/>
        </w:rPr>
        <w:t>Comments may be filed electronically by accessing ECFS at </w:t>
      </w:r>
      <w:hyperlink r:id="rId5" w:history="1">
        <w:r w:rsidRPr="00AA286E">
          <w:rPr>
            <w:rStyle w:val="Hyperlink"/>
            <w:rFonts w:ascii="Times New Roman" w:hAnsi="Times New Roman" w:cs="Times New Roman"/>
          </w:rPr>
          <w:t>https://www.fcc.gov/ecfs</w:t>
        </w:r>
      </w:hyperlink>
      <w:r w:rsidRPr="00AA286E">
        <w:rPr>
          <w:rFonts w:ascii="Times New Roman" w:hAnsi="Times New Roman" w:cs="Times New Roman"/>
          <w:color w:val="000000"/>
        </w:rPr>
        <w:t>.</w:t>
      </w:r>
    </w:p>
    <w:p w:rsidR="00C8349C" w:rsidRPr="00AA286E" w:rsidP="00C8349C" w14:paraId="74A87C99" w14:textId="631E9BFD">
      <w:pPr>
        <w:numPr>
          <w:ilvl w:val="0"/>
          <w:numId w:val="8"/>
        </w:numPr>
        <w:snapToGrid w:val="0"/>
        <w:spacing w:after="120"/>
        <w:rPr>
          <w:rFonts w:ascii="Times New Roman" w:hAnsi="Times New Roman" w:cs="Times New Roman"/>
        </w:rPr>
      </w:pPr>
      <w:r w:rsidRPr="004D66E8">
        <w:rPr>
          <w:rFonts w:ascii="Times New Roman" w:hAnsi="Times New Roman" w:cs="Times New Roman"/>
          <w:color w:val="000000"/>
        </w:rPr>
        <w:t>Paper Filers:  Parties who choose to file by paper must file an original and</w:t>
      </w:r>
      <w:r w:rsidRPr="004D66E8" w:rsidR="00F26F39">
        <w:rPr>
          <w:rFonts w:ascii="Times New Roman" w:hAnsi="Times New Roman" w:cs="Times New Roman"/>
          <w:color w:val="000000"/>
        </w:rPr>
        <w:t xml:space="preserve"> </w:t>
      </w:r>
      <w:r w:rsidRPr="00970050">
        <w:rPr>
          <w:rFonts w:ascii="Times New Roman" w:hAnsi="Times New Roman" w:cs="Times New Roman"/>
          <w:color w:val="000000"/>
        </w:rPr>
        <w:t>one copy of each filing.</w:t>
      </w:r>
      <w:r w:rsidRPr="00AA286E" w:rsidR="00F26F39">
        <w:rPr>
          <w:rFonts w:ascii="Times New Roman" w:hAnsi="Times New Roman" w:cs="Times New Roman"/>
          <w:color w:val="000000"/>
        </w:rPr>
        <w:t xml:space="preserve">  </w:t>
      </w:r>
      <w:r w:rsidRPr="00AA286E">
        <w:rPr>
          <w:rFonts w:ascii="Times New Roman" w:hAnsi="Times New Roman" w:cs="Times New Roman"/>
          <w:color w:val="000000"/>
        </w:rPr>
        <w:t>Paper filings can be sent by hand or messenger delivery, by commercial overnight courier, or by first-class or overnight U.S. Postal Service mail.</w:t>
      </w:r>
    </w:p>
    <w:p w:rsidR="00C8349C" w:rsidRPr="00AA286E" w:rsidP="00C8349C" w14:paraId="7EC0FFA0" w14:textId="77777777">
      <w:pPr>
        <w:numPr>
          <w:ilvl w:val="0"/>
          <w:numId w:val="9"/>
        </w:numPr>
        <w:snapToGrid w:val="0"/>
        <w:spacing w:after="120"/>
        <w:rPr>
          <w:rFonts w:ascii="Times New Roman" w:hAnsi="Times New Roman" w:cs="Times New Roman"/>
        </w:rPr>
      </w:pPr>
      <w:r w:rsidRPr="00AA286E">
        <w:rPr>
          <w:rFonts w:ascii="Times New Roman" w:hAnsi="Times New Roman" w:cs="Times New Roman"/>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Fonts w:cs="Times New Roman"/>
          <w:sz w:val="22"/>
        </w:rPr>
        <w:footnoteReference w:id="44"/>
      </w:r>
    </w:p>
    <w:p w:rsidR="00C8349C" w:rsidRPr="00970050" w:rsidP="00C8349C" w14:paraId="4D1B9BAE" w14:textId="77777777">
      <w:pPr>
        <w:numPr>
          <w:ilvl w:val="0"/>
          <w:numId w:val="9"/>
        </w:numPr>
        <w:snapToGrid w:val="0"/>
        <w:spacing w:after="120"/>
        <w:rPr>
          <w:rFonts w:ascii="Times New Roman" w:hAnsi="Times New Roman" w:cs="Times New Roman"/>
        </w:rPr>
      </w:pPr>
      <w:r w:rsidRPr="00E43D5F">
        <w:rPr>
          <w:rFonts w:ascii="Times New Roman" w:hAnsi="Times New Roman" w:cs="Times New Roman"/>
        </w:rPr>
        <w:t xml:space="preserve">Commercial overnight mail (other than U.S. Postal Service Express Mail and Priority Mail) must be sent to </w:t>
      </w:r>
      <w:r w:rsidRPr="003243B5">
        <w:rPr>
          <w:rFonts w:ascii="Times New Roman" w:hAnsi="Times New Roman" w:cs="Times New Roman"/>
          <w:color w:val="000000"/>
        </w:rPr>
        <w:t>9050 Junction Drive, Annapolis Junction, MD 20701</w:t>
      </w:r>
      <w:r w:rsidRPr="004D66E8">
        <w:rPr>
          <w:rFonts w:ascii="Times New Roman" w:hAnsi="Times New Roman" w:cs="Times New Roman"/>
        </w:rPr>
        <w:t>.</w:t>
      </w:r>
    </w:p>
    <w:p w:rsidR="00C8349C" w:rsidRPr="00AA286E" w:rsidP="00C8349C" w14:paraId="3730341C" w14:textId="77777777">
      <w:pPr>
        <w:numPr>
          <w:ilvl w:val="0"/>
          <w:numId w:val="9"/>
        </w:numPr>
        <w:snapToGrid w:val="0"/>
        <w:spacing w:after="120"/>
        <w:rPr>
          <w:rFonts w:ascii="Times New Roman" w:hAnsi="Times New Roman" w:cs="Times New Roman"/>
        </w:rPr>
      </w:pPr>
      <w:r w:rsidRPr="00AA286E">
        <w:rPr>
          <w:rFonts w:ascii="Times New Roman" w:hAnsi="Times New Roman" w:cs="Times New Roman"/>
        </w:rPr>
        <w:t>U.S. Postal Service first-class, Express, and Priority mail must be addressed to 45 L Street NE, Washington, D.C. 20554.</w:t>
      </w:r>
    </w:p>
    <w:p w:rsidR="00C8349C" w:rsidRPr="00AA286E" w:rsidP="00C8349C" w14:paraId="4F4BDE1A" w14:textId="77777777">
      <w:pPr>
        <w:pStyle w:val="ParaNum"/>
        <w:rPr>
          <w:rFonts w:ascii="Times New Roman" w:hAnsi="Times New Roman" w:cs="Times New Roman"/>
        </w:rPr>
      </w:pPr>
      <w:r w:rsidRPr="00EE19FD">
        <w:rPr>
          <w:rFonts w:ascii="Times New Roman" w:hAnsi="Times New Roman" w:cs="Times New Roman"/>
          <w:i/>
          <w:iCs/>
        </w:rPr>
        <w:t>Availability of Documents</w:t>
      </w:r>
      <w:r w:rsidRPr="00AA286E">
        <w:rPr>
          <w:rFonts w:ascii="Times New Roman" w:hAnsi="Times New Roman" w:cs="Times New Roman"/>
        </w:rPr>
        <w:t xml:space="preserve">.  Comments, reply comments, and </w:t>
      </w:r>
      <w:r w:rsidRPr="00EE19FD">
        <w:rPr>
          <w:rFonts w:ascii="Times New Roman" w:hAnsi="Times New Roman" w:cs="Times New Roman"/>
          <w:i/>
          <w:iCs/>
        </w:rPr>
        <w:t xml:space="preserve">ex </w:t>
      </w:r>
      <w:r w:rsidRPr="00EE19FD">
        <w:rPr>
          <w:rFonts w:ascii="Times New Roman" w:hAnsi="Times New Roman" w:cs="Times New Roman"/>
          <w:i/>
          <w:iCs/>
        </w:rPr>
        <w:t>parte</w:t>
      </w:r>
      <w:r w:rsidRPr="00AA286E">
        <w:rPr>
          <w:rFonts w:ascii="Times New Roman" w:hAnsi="Times New Roman" w:cs="Times New Roman"/>
        </w:rPr>
        <w:t xml:space="preserve"> submissions will be publicly available online via ECFS.  These documents will also be available for public inspection during regular business hours in the FCC Reference Information Center, when FCC Headquarters reopen to the public.</w:t>
      </w:r>
    </w:p>
    <w:p w:rsidR="00C8349C" w:rsidRPr="00AA286E" w:rsidP="00C8349C" w14:paraId="2C9473AC" w14:textId="77777777">
      <w:pPr>
        <w:pStyle w:val="ParaNum"/>
        <w:rPr>
          <w:rFonts w:ascii="Times New Roman" w:hAnsi="Times New Roman" w:cs="Times New Roman"/>
        </w:rPr>
      </w:pPr>
      <w:r w:rsidRPr="00EE19FD">
        <w:rPr>
          <w:rFonts w:ascii="Times New Roman" w:hAnsi="Times New Roman" w:cs="Times New Roman"/>
          <w:i/>
          <w:iCs/>
        </w:rPr>
        <w:t>People with Disabilities</w:t>
      </w:r>
      <w:r w:rsidRPr="00AA286E">
        <w:rPr>
          <w:rFonts w:ascii="Times New Roman" w:hAnsi="Times New Roman" w:cs="Times New Roman"/>
        </w:rPr>
        <w:t>.  To request materials in accessible formats for people with disabilities (braille, large print, electronic files, audio format), send an e-mail to fcc504@fcc.gov or call the Consumer &amp; Governmental Affairs Bureau at 202-418-0530 (voice), 202-418-0432 (</w:t>
      </w:r>
      <w:r w:rsidRPr="00AA286E">
        <w:rPr>
          <w:rFonts w:ascii="Times New Roman" w:hAnsi="Times New Roman" w:cs="Times New Roman"/>
        </w:rPr>
        <w:t>tty</w:t>
      </w:r>
      <w:r w:rsidRPr="00AA286E">
        <w:rPr>
          <w:rFonts w:ascii="Times New Roman" w:hAnsi="Times New Roman" w:cs="Times New Roman"/>
        </w:rPr>
        <w:t>).</w:t>
      </w:r>
      <w:bookmarkStart w:id="35" w:name="_Toc64476234"/>
      <w:bookmarkStart w:id="36" w:name="_Toc64476391"/>
    </w:p>
    <w:p w:rsidR="00C8349C" w:rsidRPr="004D66E8" w:rsidP="00C8349C" w14:paraId="56265A5C" w14:textId="0DC7804D">
      <w:pPr>
        <w:pStyle w:val="ParaNum"/>
        <w:rPr>
          <w:rFonts w:ascii="Times New Roman" w:hAnsi="Times New Roman" w:cs="Times New Roman"/>
        </w:rPr>
      </w:pPr>
      <w:r w:rsidRPr="00EE19FD">
        <w:rPr>
          <w:rFonts w:ascii="Times New Roman" w:hAnsi="Times New Roman" w:cs="Times New Roman"/>
          <w:i/>
          <w:iCs/>
        </w:rPr>
        <w:t xml:space="preserve">Further </w:t>
      </w:r>
      <w:r w:rsidRPr="002B4B10">
        <w:rPr>
          <w:rFonts w:ascii="Times New Roman" w:hAnsi="Times New Roman" w:cs="Times New Roman"/>
          <w:i/>
        </w:rPr>
        <w:t>Information</w:t>
      </w:r>
      <w:r w:rsidRPr="00AA286E">
        <w:rPr>
          <w:rFonts w:ascii="Times New Roman" w:hAnsi="Times New Roman" w:cs="Times New Roman"/>
        </w:rPr>
        <w:t>.</w:t>
      </w:r>
      <w:bookmarkStart w:id="37" w:name="_Toc64470158"/>
      <w:r w:rsidRPr="00AA286E">
        <w:rPr>
          <w:rFonts w:ascii="Times New Roman" w:hAnsi="Times New Roman" w:cs="Times New Roman"/>
        </w:rPr>
        <w:t xml:space="preserve">  For additional information on this proceeding, contact </w:t>
      </w:r>
      <w:r w:rsidRPr="00AA286E" w:rsidR="00F624B4">
        <w:rPr>
          <w:rFonts w:ascii="Times New Roman" w:hAnsi="Times New Roman" w:cs="Times New Roman"/>
        </w:rPr>
        <w:t>James Wiley of the Cybersecurity and Communications Reliability Division</w:t>
      </w:r>
      <w:r w:rsidRPr="00AA286E" w:rsidR="00A33351">
        <w:rPr>
          <w:rFonts w:ascii="Times New Roman" w:hAnsi="Times New Roman" w:cs="Times New Roman"/>
        </w:rPr>
        <w:t>, Public Safety and Homeland Security Bureau,</w:t>
      </w:r>
      <w:r w:rsidRPr="00AA286E" w:rsidR="00F624B4">
        <w:rPr>
          <w:rFonts w:ascii="Times New Roman" w:hAnsi="Times New Roman" w:cs="Times New Roman"/>
        </w:rPr>
        <w:t xml:space="preserve"> at </w:t>
      </w:r>
      <w:hyperlink r:id="rId6" w:history="1">
        <w:r w:rsidRPr="00AA286E" w:rsidR="00F624B4">
          <w:rPr>
            <w:rStyle w:val="Hyperlink"/>
            <w:rFonts w:ascii="Times New Roman" w:hAnsi="Times New Roman" w:cs="Times New Roman"/>
          </w:rPr>
          <w:t>james.wiley@fcc.gov</w:t>
        </w:r>
      </w:hyperlink>
      <w:r w:rsidRPr="00AA286E" w:rsidR="00F624B4">
        <w:rPr>
          <w:rFonts w:ascii="Times New Roman" w:hAnsi="Times New Roman" w:cs="Times New Roman"/>
        </w:rPr>
        <w:t xml:space="preserve"> or (202) 418-1678</w:t>
      </w:r>
      <w:r w:rsidRPr="00E43D5F" w:rsidR="00A33351">
        <w:rPr>
          <w:rFonts w:ascii="Times New Roman" w:hAnsi="Times New Roman" w:cs="Times New Roman"/>
        </w:rPr>
        <w:t xml:space="preserve"> or </w:t>
      </w:r>
      <w:r w:rsidRPr="00E43D5F" w:rsidR="00A33351">
        <w:rPr>
          <w:rFonts w:ascii="Times New Roman" w:hAnsi="Times New Roman" w:cs="Times New Roman"/>
        </w:rPr>
        <w:t>Minsoo</w:t>
      </w:r>
      <w:r w:rsidRPr="00E43D5F" w:rsidR="00A33351">
        <w:rPr>
          <w:rFonts w:ascii="Times New Roman" w:hAnsi="Times New Roman" w:cs="Times New Roman"/>
        </w:rPr>
        <w:t xml:space="preserve"> Kim of the Cybersecurity and Communications Reliability Division, Public Safety and Homeland Security Bureau, </w:t>
      </w:r>
      <w:r w:rsidR="004D66E8">
        <w:rPr>
          <w:rFonts w:ascii="Times New Roman" w:hAnsi="Times New Roman" w:cs="Times New Roman"/>
        </w:rPr>
        <w:t xml:space="preserve">at </w:t>
      </w:r>
      <w:hyperlink r:id="rId7" w:history="1">
        <w:r w:rsidRPr="004A4C6E" w:rsidR="004D66E8">
          <w:rPr>
            <w:rStyle w:val="Hyperlink"/>
            <w:rFonts w:ascii="Times New Roman" w:hAnsi="Times New Roman" w:cs="Times New Roman"/>
          </w:rPr>
          <w:t>minsoo.kim@fcc.gov</w:t>
        </w:r>
      </w:hyperlink>
      <w:r w:rsidR="004D66E8">
        <w:rPr>
          <w:rFonts w:ascii="Times New Roman" w:hAnsi="Times New Roman" w:cs="Times New Roman"/>
        </w:rPr>
        <w:t xml:space="preserve"> or </w:t>
      </w:r>
      <w:r w:rsidRPr="00E43D5F" w:rsidR="00A33351">
        <w:rPr>
          <w:rFonts w:ascii="Times New Roman" w:hAnsi="Times New Roman" w:cs="Times New Roman"/>
        </w:rPr>
        <w:t>(202) 418-1739</w:t>
      </w:r>
      <w:r w:rsidRPr="003243B5" w:rsidR="00F624B4">
        <w:rPr>
          <w:rFonts w:ascii="Times New Roman" w:hAnsi="Times New Roman" w:cs="Times New Roman"/>
        </w:rPr>
        <w:t>.</w:t>
      </w:r>
    </w:p>
    <w:p w:rsidR="00C8349C" w:rsidRPr="00AA286E" w:rsidP="00C8349C" w14:paraId="18656333" w14:textId="77777777">
      <w:pPr>
        <w:pStyle w:val="Heading1"/>
        <w:tabs>
          <w:tab w:val="num" w:pos="720"/>
        </w:tabs>
        <w:rPr>
          <w:rFonts w:ascii="Times New Roman" w:eastAsia="Times New Roman Bold" w:hAnsi="Times New Roman" w:cs="Times New Roman"/>
        </w:rPr>
      </w:pPr>
      <w:bookmarkStart w:id="38" w:name="_Toc64622509"/>
      <w:bookmarkStart w:id="39" w:name="_Toc64623071"/>
      <w:bookmarkStart w:id="40" w:name="_Toc64900320"/>
      <w:bookmarkStart w:id="41" w:name="_Toc64900545"/>
      <w:bookmarkStart w:id="42" w:name="_Toc64967401"/>
      <w:r w:rsidRPr="00AA286E">
        <w:rPr>
          <w:rFonts w:ascii="Times New Roman" w:hAnsi="Times New Roman" w:cs="Times New Roman"/>
        </w:rPr>
        <w:t>Ordering clauses</w:t>
      </w:r>
      <w:bookmarkEnd w:id="35"/>
      <w:bookmarkEnd w:id="36"/>
      <w:bookmarkEnd w:id="37"/>
      <w:bookmarkEnd w:id="38"/>
      <w:bookmarkEnd w:id="39"/>
      <w:bookmarkEnd w:id="40"/>
      <w:bookmarkEnd w:id="41"/>
      <w:bookmarkEnd w:id="42"/>
    </w:p>
    <w:p w:rsidR="00C8349C" w:rsidRPr="00AA286E" w:rsidP="00C8349C" w14:paraId="049B64F6" w14:textId="18D7BC70">
      <w:pPr>
        <w:pStyle w:val="ParaNum"/>
        <w:rPr>
          <w:rFonts w:ascii="Times New Roman" w:hAnsi="Times New Roman" w:cs="Times New Roman"/>
        </w:rPr>
      </w:pPr>
      <w:r w:rsidRPr="00AA286E">
        <w:rPr>
          <w:rFonts w:ascii="Times New Roman" w:hAnsi="Times New Roman" w:cs="Times New Roman"/>
        </w:rPr>
        <w:t xml:space="preserve">Accordingly, IT IS ORDERED, pursuant to </w:t>
      </w:r>
      <w:r w:rsidRPr="00AA286E" w:rsidR="00B151E2">
        <w:rPr>
          <w:rFonts w:ascii="Times New Roman" w:hAnsi="Times New Roman" w:cs="Times New Roman"/>
        </w:rPr>
        <w:t>s</w:t>
      </w:r>
      <w:r w:rsidRPr="00AA286E">
        <w:rPr>
          <w:rFonts w:ascii="Times New Roman" w:hAnsi="Times New Roman" w:cs="Times New Roman"/>
        </w:rPr>
        <w:t xml:space="preserve">ections 1, </w:t>
      </w:r>
      <w:r w:rsidRPr="00AA286E" w:rsidR="007063ED">
        <w:rPr>
          <w:rFonts w:ascii="Times New Roman" w:hAnsi="Times New Roman" w:cs="Times New Roman"/>
        </w:rPr>
        <w:t>4(i)</w:t>
      </w:r>
      <w:r w:rsidRPr="00AA286E" w:rsidR="00B151E2">
        <w:rPr>
          <w:rFonts w:ascii="Times New Roman" w:hAnsi="Times New Roman" w:cs="Times New Roman"/>
        </w:rPr>
        <w:t>-(j)</w:t>
      </w:r>
      <w:r w:rsidRPr="00AA286E" w:rsidR="007063ED">
        <w:rPr>
          <w:rFonts w:ascii="Times New Roman" w:hAnsi="Times New Roman" w:cs="Times New Roman"/>
        </w:rPr>
        <w:t xml:space="preserve">, </w:t>
      </w:r>
      <w:r w:rsidRPr="00AA286E" w:rsidR="00F26F39">
        <w:rPr>
          <w:rFonts w:ascii="Times New Roman" w:hAnsi="Times New Roman" w:cs="Times New Roman"/>
        </w:rPr>
        <w:t xml:space="preserve">4(n), </w:t>
      </w:r>
      <w:r w:rsidRPr="00AA286E" w:rsidR="00282504">
        <w:rPr>
          <w:rFonts w:ascii="Times New Roman" w:hAnsi="Times New Roman" w:cs="Times New Roman"/>
        </w:rPr>
        <w:t xml:space="preserve">7, </w:t>
      </w:r>
      <w:r w:rsidRPr="00AA286E" w:rsidR="007E001F">
        <w:rPr>
          <w:rFonts w:ascii="Times New Roman" w:hAnsi="Times New Roman" w:cs="Times New Roman"/>
        </w:rPr>
        <w:t xml:space="preserve">and </w:t>
      </w:r>
      <w:r w:rsidRPr="00AA286E">
        <w:rPr>
          <w:rFonts w:ascii="Times New Roman" w:hAnsi="Times New Roman" w:cs="Times New Roman"/>
        </w:rPr>
        <w:t>403</w:t>
      </w:r>
      <w:r w:rsidRPr="00AA286E" w:rsidR="007063ED">
        <w:rPr>
          <w:rFonts w:ascii="Times New Roman" w:hAnsi="Times New Roman" w:cs="Times New Roman"/>
        </w:rPr>
        <w:t xml:space="preserve"> </w:t>
      </w:r>
      <w:r w:rsidRPr="00AA286E">
        <w:rPr>
          <w:rFonts w:ascii="Times New Roman" w:hAnsi="Times New Roman" w:cs="Times New Roman"/>
        </w:rPr>
        <w:t>of the Communications Act of 1934, as amended, 47 U.S.C. §§ 151</w:t>
      </w:r>
      <w:r w:rsidRPr="00AA286E" w:rsidR="00B151E2">
        <w:rPr>
          <w:rFonts w:ascii="Times New Roman" w:hAnsi="Times New Roman" w:cs="Times New Roman"/>
        </w:rPr>
        <w:t xml:space="preserve">, </w:t>
      </w:r>
      <w:r w:rsidRPr="00AA286E" w:rsidR="007063ED">
        <w:rPr>
          <w:rFonts w:ascii="Times New Roman" w:hAnsi="Times New Roman" w:cs="Times New Roman"/>
        </w:rPr>
        <w:t>154(i)</w:t>
      </w:r>
      <w:r w:rsidRPr="00AA286E" w:rsidR="00B151E2">
        <w:rPr>
          <w:rFonts w:ascii="Times New Roman" w:hAnsi="Times New Roman" w:cs="Times New Roman"/>
        </w:rPr>
        <w:t>-(j)</w:t>
      </w:r>
      <w:r w:rsidRPr="00AA286E" w:rsidR="007063ED">
        <w:rPr>
          <w:rFonts w:ascii="Times New Roman" w:hAnsi="Times New Roman" w:cs="Times New Roman"/>
        </w:rPr>
        <w:t xml:space="preserve">, </w:t>
      </w:r>
      <w:r w:rsidRPr="00AA286E" w:rsidR="00F26F39">
        <w:rPr>
          <w:rFonts w:ascii="Times New Roman" w:hAnsi="Times New Roman" w:cs="Times New Roman"/>
        </w:rPr>
        <w:t xml:space="preserve">154(n), </w:t>
      </w:r>
      <w:r w:rsidRPr="00AA286E" w:rsidR="00282504">
        <w:rPr>
          <w:rFonts w:ascii="Times New Roman" w:hAnsi="Times New Roman" w:cs="Times New Roman"/>
        </w:rPr>
        <w:t>157</w:t>
      </w:r>
      <w:bookmarkStart w:id="43" w:name="_Hlk96334872"/>
      <w:r w:rsidRPr="00AA286E" w:rsidR="007E001F">
        <w:rPr>
          <w:rFonts w:ascii="Times New Roman" w:hAnsi="Times New Roman" w:cs="Times New Roman"/>
        </w:rPr>
        <w:t xml:space="preserve"> </w:t>
      </w:r>
      <w:r w:rsidRPr="00AA286E">
        <w:rPr>
          <w:rFonts w:ascii="Times New Roman" w:hAnsi="Times New Roman" w:cs="Times New Roman"/>
        </w:rPr>
        <w:t>and Section 1.430 of the Commission’s rules</w:t>
      </w:r>
      <w:bookmarkEnd w:id="43"/>
      <w:r w:rsidRPr="00AA286E">
        <w:rPr>
          <w:rFonts w:ascii="Times New Roman" w:hAnsi="Times New Roman" w:cs="Times New Roman"/>
        </w:rPr>
        <w:t xml:space="preserve">, </w:t>
      </w:r>
      <w:bookmarkStart w:id="44" w:name="_Hlk96335124"/>
      <w:r w:rsidRPr="00AA286E">
        <w:rPr>
          <w:rFonts w:ascii="Times New Roman" w:hAnsi="Times New Roman" w:cs="Times New Roman"/>
        </w:rPr>
        <w:t>47 CFR § 1.430</w:t>
      </w:r>
      <w:bookmarkEnd w:id="44"/>
      <w:r w:rsidRPr="00AA286E">
        <w:rPr>
          <w:rFonts w:ascii="Times New Roman" w:hAnsi="Times New Roman" w:cs="Times New Roman"/>
        </w:rPr>
        <w:t>, that this NOTICE OF INQUIRY IS ADOPTED.</w:t>
      </w:r>
    </w:p>
    <w:p w:rsidR="00C8349C" w:rsidRPr="00AA286E" w:rsidP="00C8349C" w14:paraId="587CE524" w14:textId="77777777">
      <w:pPr>
        <w:pStyle w:val="ParaNum"/>
        <w:numPr>
          <w:ilvl w:val="0"/>
          <w:numId w:val="0"/>
        </w:numPr>
        <w:rPr>
          <w:rFonts w:ascii="Times New Roman" w:hAnsi="Times New Roman" w:cs="Times New Roman"/>
        </w:rPr>
      </w:pPr>
    </w:p>
    <w:p w:rsidR="00C8349C" w:rsidRPr="00AA286E" w:rsidP="00C8349C" w14:paraId="4A6F839F" w14:textId="77777777">
      <w:pPr>
        <w:rPr>
          <w:rFonts w:ascii="Times New Roman" w:hAnsi="Times New Roman" w:cs="Times New Roman"/>
        </w:rPr>
      </w:pP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t>FEDERAL COMMUNICATIONS COMMISSION</w:t>
      </w:r>
    </w:p>
    <w:p w:rsidR="00C8349C" w:rsidRPr="00AA286E" w:rsidP="00C8349C" w14:paraId="33195A08" w14:textId="77777777">
      <w:pPr>
        <w:rPr>
          <w:rFonts w:ascii="Times New Roman" w:hAnsi="Times New Roman" w:cs="Times New Roman"/>
        </w:rPr>
      </w:pPr>
    </w:p>
    <w:p w:rsidR="00C8349C" w:rsidRPr="00AA286E" w:rsidP="00C8349C" w14:paraId="6E9FB4A1" w14:textId="77777777">
      <w:pPr>
        <w:rPr>
          <w:rFonts w:ascii="Times New Roman" w:hAnsi="Times New Roman" w:cs="Times New Roman"/>
        </w:rPr>
      </w:pPr>
    </w:p>
    <w:p w:rsidR="00C8349C" w:rsidRPr="00AA286E" w:rsidP="00C8349C" w14:paraId="7FE16884" w14:textId="77777777">
      <w:pPr>
        <w:rPr>
          <w:rFonts w:ascii="Times New Roman" w:hAnsi="Times New Roman" w:cs="Times New Roman"/>
        </w:rPr>
      </w:pPr>
    </w:p>
    <w:p w:rsidR="00C8349C" w:rsidRPr="00AA286E" w:rsidP="00C8349C" w14:paraId="05737CAE" w14:textId="77777777">
      <w:pPr>
        <w:rPr>
          <w:rFonts w:ascii="Times New Roman" w:hAnsi="Times New Roman" w:cs="Times New Roman"/>
        </w:rPr>
      </w:pPr>
    </w:p>
    <w:p w:rsidR="00C8349C" w:rsidRPr="00AA286E" w:rsidP="00C8349C" w14:paraId="3A82C1E7" w14:textId="77777777">
      <w:pPr>
        <w:rPr>
          <w:rFonts w:ascii="Times New Roman" w:hAnsi="Times New Roman" w:cs="Times New Roman"/>
        </w:rPr>
      </w:pP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t>Marlene H. Dortch</w:t>
      </w:r>
    </w:p>
    <w:p w:rsidR="00C8349C" w:rsidRPr="00731790" w:rsidP="00731790" w14:paraId="4AB182F3" w14:textId="3660175F">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r>
      <w:r w:rsidRPr="00AA286E">
        <w:rPr>
          <w:rFonts w:ascii="Times New Roman" w:hAnsi="Times New Roman" w:cs="Times New Roman"/>
        </w:rPr>
        <w:tab/>
        <w:t>Secretary</w:t>
      </w:r>
    </w:p>
    <w:sectPr w:rsidSect="0055614C">
      <w:headerReference w:type="default" r:id="rId8"/>
      <w:footerReference w:type="even" r:id="rId9"/>
      <w:footerReference w:type="default" r:id="rId10"/>
      <w:head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F91" w:rsidP="0055614C" w14:paraId="2ADFDF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FD1F91" w14:paraId="69840E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F91" w:rsidP="003C0521" w14:paraId="249904B2" w14:textId="6631C18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4064" w14:paraId="78E7621E" w14:textId="77777777">
      <w:r>
        <w:separator/>
      </w:r>
    </w:p>
  </w:footnote>
  <w:footnote w:type="continuationSeparator" w:id="1">
    <w:p w:rsidR="00F94064" w:rsidP="00C721AC" w14:paraId="67C79224" w14:textId="77777777">
      <w:pPr>
        <w:spacing w:before="120"/>
        <w:rPr>
          <w:sz w:val="20"/>
        </w:rPr>
      </w:pPr>
      <w:r>
        <w:rPr>
          <w:sz w:val="20"/>
        </w:rPr>
        <w:t xml:space="preserve">(Continued from previous page)  </w:t>
      </w:r>
      <w:r>
        <w:rPr>
          <w:sz w:val="20"/>
        </w:rPr>
        <w:separator/>
      </w:r>
    </w:p>
  </w:footnote>
  <w:footnote w:type="continuationNotice" w:id="2">
    <w:p w:rsidR="00F94064" w:rsidP="00C721AC" w14:paraId="672409AB" w14:textId="77777777">
      <w:pPr>
        <w:jc w:val="right"/>
        <w:rPr>
          <w:sz w:val="20"/>
        </w:rPr>
      </w:pPr>
      <w:r>
        <w:rPr>
          <w:sz w:val="20"/>
        </w:rPr>
        <w:t>(continued….)</w:t>
      </w:r>
    </w:p>
  </w:footnote>
  <w:footnote w:id="3">
    <w:p w:rsidR="005529D6" w:rsidRPr="000D4ADA" w:rsidP="005529D6" w14:paraId="2DCE1C8A" w14:textId="1F6D557B">
      <w:pPr>
        <w:pStyle w:val="FootnoteText"/>
        <w:rPr>
          <w:i/>
        </w:rPr>
      </w:pPr>
      <w:r>
        <w:rPr>
          <w:rStyle w:val="FootnoteReference"/>
        </w:rPr>
        <w:footnoteRef/>
      </w:r>
      <w:r>
        <w:t xml:space="preserve"> </w:t>
      </w:r>
      <w:r w:rsidRPr="000D4ADA">
        <w:rPr>
          <w:i/>
          <w:iCs/>
        </w:rPr>
        <w:t>See</w:t>
      </w:r>
      <w:r>
        <w:t xml:space="preserve"> </w:t>
      </w:r>
      <w:r w:rsidRPr="000D4ADA">
        <w:rPr>
          <w:rFonts w:eastAsia="Arial"/>
        </w:rPr>
        <w:t>BGP Best Path Selection Algorithm</w:t>
      </w:r>
      <w:r w:rsidRPr="00305341">
        <w:rPr>
          <w:rFonts w:eastAsia="Arial"/>
          <w:color w:val="000000" w:themeColor="text1"/>
        </w:rPr>
        <w:t xml:space="preserve">, CISCO Doc ID 13753 (Sept. 12, 2016), </w:t>
      </w:r>
      <w:hyperlink r:id="rId1" w:history="1">
        <w:r w:rsidRPr="00FB60A9">
          <w:rPr>
            <w:rStyle w:val="Hyperlink"/>
            <w:rFonts w:eastAsia="Arial"/>
          </w:rPr>
          <w:t>https://www.cisco.com/c/en/us/support/docs/ip/border-gate</w:t>
        </w:r>
        <w:bookmarkStart w:id="0" w:name="_Hlt96574679"/>
        <w:bookmarkStart w:id="1" w:name="_Hlt96574680"/>
        <w:r w:rsidRPr="00FB60A9">
          <w:rPr>
            <w:rStyle w:val="Hyperlink"/>
            <w:rFonts w:eastAsia="Arial"/>
          </w:rPr>
          <w:t>w</w:t>
        </w:r>
        <w:bookmarkEnd w:id="0"/>
        <w:bookmarkEnd w:id="1"/>
        <w:r w:rsidRPr="00FB60A9">
          <w:rPr>
            <w:rStyle w:val="Hyperlink"/>
            <w:rFonts w:eastAsia="Arial"/>
          </w:rPr>
          <w:t>ay-protocol-bgp/13753-25.html</w:t>
        </w:r>
      </w:hyperlink>
      <w:r w:rsidRPr="00305341">
        <w:rPr>
          <w:rFonts w:eastAsia="Arial"/>
          <w:color w:val="000000" w:themeColor="text1"/>
        </w:rPr>
        <w:t xml:space="preserve">. </w:t>
      </w:r>
      <w:r>
        <w:rPr>
          <w:rFonts w:eastAsia="Arial"/>
          <w:color w:val="000000" w:themeColor="text1"/>
        </w:rPr>
        <w:t xml:space="preserve"> </w:t>
      </w:r>
      <w:r>
        <w:t>These independently managed networks (also termed “d</w:t>
      </w:r>
      <w:r w:rsidRPr="00FA0CEF">
        <w:t>omains</w:t>
      </w:r>
      <w:r>
        <w:t>”) loosely map to one or more “</w:t>
      </w:r>
      <w:r w:rsidRPr="00FA0CEF">
        <w:t>Autonomous Systems</w:t>
      </w:r>
      <w:r>
        <w:t>” (</w:t>
      </w:r>
      <w:r w:rsidRPr="00763B47">
        <w:t xml:space="preserve">so </w:t>
      </w:r>
      <w:r>
        <w:t>termed</w:t>
      </w:r>
      <w:r w:rsidRPr="00763B47">
        <w:t xml:space="preserve"> because the administration of the network is the sole responsibility of a single, independent entity</w:t>
      </w:r>
      <w:r>
        <w:t xml:space="preserve">).  </w:t>
      </w:r>
      <w:r>
        <w:rPr>
          <w:i/>
          <w:iCs/>
        </w:rPr>
        <w:t xml:space="preserve">See </w:t>
      </w:r>
      <w:r>
        <w:t xml:space="preserve">ARIN, </w:t>
      </w:r>
      <w:r w:rsidRPr="00305341">
        <w:rPr>
          <w:i/>
        </w:rPr>
        <w:t>Requesting IP Addresses or ASNs</w:t>
      </w:r>
      <w:r w:rsidRPr="00FD2992">
        <w:rPr>
          <w:iCs/>
        </w:rPr>
        <w:t>,</w:t>
      </w:r>
      <w:r w:rsidRPr="00305341">
        <w:rPr>
          <w:i/>
          <w:iCs/>
        </w:rPr>
        <w:t xml:space="preserve"> </w:t>
      </w:r>
      <w:hyperlink r:id="rId2" w:history="1">
        <w:r w:rsidRPr="00CA30D7">
          <w:rPr>
            <w:rStyle w:val="Hyperlink"/>
          </w:rPr>
          <w:t>https://www.arin.net/resources/guide/request/</w:t>
        </w:r>
      </w:hyperlink>
      <w:r w:rsidRPr="000505F6">
        <w:t xml:space="preserve"> </w:t>
      </w:r>
      <w:r>
        <w:t>(last visited Feb. 23, 2022).</w:t>
      </w:r>
    </w:p>
  </w:footnote>
  <w:footnote w:id="4">
    <w:p w:rsidR="00A752F7" w:rsidRPr="00C27664" w:rsidP="00A752F7" w14:paraId="66B1CEC2" w14:textId="2AFAFA28">
      <w:pPr>
        <w:pStyle w:val="FootnoteText"/>
        <w:rPr>
          <w:i/>
          <w:iCs/>
        </w:rPr>
      </w:pPr>
      <w:r>
        <w:rPr>
          <w:rStyle w:val="FootnoteReference"/>
        </w:rPr>
        <w:footnoteRef/>
      </w:r>
      <w:r>
        <w:t xml:space="preserve"> </w:t>
      </w:r>
      <w:r>
        <w:rPr>
          <w:i/>
          <w:iCs/>
        </w:rPr>
        <w:t xml:space="preserve">See </w:t>
      </w:r>
      <w:r>
        <w:t xml:space="preserve">The Internet Society, </w:t>
      </w:r>
      <w:r w:rsidRPr="00731790">
        <w:t>A Border Gateway Protocol 4 (BGP-4)</w:t>
      </w:r>
      <w:r>
        <w:t xml:space="preserve"> (2006), </w:t>
      </w:r>
      <w:hyperlink r:id="rId3" w:history="1">
        <w:r w:rsidRPr="00943CC2">
          <w:rPr>
            <w:rStyle w:val="Hyperlink"/>
          </w:rPr>
          <w:t>https://datatracker.ietf.org/doc/html/</w:t>
        </w:r>
        <w:bookmarkStart w:id="2" w:name="_Hlt96513599"/>
        <w:bookmarkStart w:id="3" w:name="_Hlt96513600"/>
        <w:r w:rsidRPr="00943CC2">
          <w:rPr>
            <w:rStyle w:val="Hyperlink"/>
          </w:rPr>
          <w:t>r</w:t>
        </w:r>
        <w:bookmarkEnd w:id="2"/>
        <w:bookmarkEnd w:id="3"/>
        <w:r w:rsidRPr="00943CC2">
          <w:rPr>
            <w:rStyle w:val="Hyperlink"/>
          </w:rPr>
          <w:t>fc</w:t>
        </w:r>
        <w:r w:rsidRPr="00FB60A9">
          <w:rPr>
            <w:rStyle w:val="Hyperlink"/>
          </w:rPr>
          <w:t>4271</w:t>
        </w:r>
      </w:hyperlink>
      <w:r>
        <w:t>.</w:t>
      </w:r>
      <w:r w:rsidRPr="00C27664">
        <w:rPr>
          <w:rFonts w:eastAsia="Calibri"/>
          <w:sz w:val="22"/>
          <w:szCs w:val="22"/>
        </w:rPr>
        <w:t xml:space="preserve"> </w:t>
      </w:r>
      <w:r>
        <w:rPr>
          <w:rFonts w:eastAsia="Calibri"/>
          <w:sz w:val="22"/>
          <w:szCs w:val="22"/>
        </w:rPr>
        <w:t xml:space="preserve"> </w:t>
      </w:r>
      <w:r w:rsidRPr="00C27664">
        <w:t xml:space="preserve">BGP was designed at a time when the number of independently managed networks on the Internet was low and the trust among them was high.  </w:t>
      </w:r>
    </w:p>
  </w:footnote>
  <w:footnote w:id="5">
    <w:p w:rsidR="00FD1F91" w:rsidRPr="00397939" w:rsidP="007063ED" w14:paraId="08AFECB3" w14:textId="06234D55">
      <w:pPr>
        <w:pStyle w:val="FootnoteText"/>
      </w:pPr>
      <w:r w:rsidRPr="00397939">
        <w:rPr>
          <w:rStyle w:val="FootnoteReference"/>
        </w:rPr>
        <w:footnoteRef/>
      </w:r>
      <w:r w:rsidRPr="00397939">
        <w:t xml:space="preserve"> </w:t>
      </w:r>
      <w:r w:rsidR="00680F37">
        <w:rPr>
          <w:i/>
          <w:iCs/>
        </w:rPr>
        <w:t xml:space="preserve">See </w:t>
      </w:r>
      <w:r w:rsidRPr="00CA30D7" w:rsidR="00810B39">
        <w:rPr>
          <w:i/>
          <w:iCs/>
        </w:rPr>
        <w:t>Resilient Interdomain Traffic Exchange:</w:t>
      </w:r>
      <w:r w:rsidRPr="00781A3B" w:rsidR="00810B39">
        <w:t xml:space="preserve"> </w:t>
      </w:r>
      <w:r w:rsidRPr="00F01336" w:rsidR="00810B39">
        <w:rPr>
          <w:i/>
          <w:iCs/>
        </w:rPr>
        <w:t>BGP Security and DDoS Mitigation</w:t>
      </w:r>
      <w:r w:rsidRPr="00FD2992" w:rsidR="00810B39">
        <w:t>,</w:t>
      </w:r>
      <w:r w:rsidRPr="00F01336" w:rsidR="00810B39">
        <w:rPr>
          <w:i/>
          <w:iCs/>
        </w:rPr>
        <w:t xml:space="preserve"> </w:t>
      </w:r>
      <w:r w:rsidRPr="00F01336" w:rsidR="00810B39">
        <w:t xml:space="preserve">NIST Spec. Pub. 800-189, </w:t>
      </w:r>
      <w:r w:rsidR="00CB4E29">
        <w:t xml:space="preserve">at </w:t>
      </w:r>
      <w:r w:rsidRPr="00305341" w:rsidR="00810B39">
        <w:t>3 (2019</w:t>
      </w:r>
      <w:r w:rsidR="00A424B4">
        <w:t xml:space="preserve">), </w:t>
      </w:r>
      <w:hyperlink r:id="rId4" w:history="1">
        <w:r w:rsidRPr="00FB60A9" w:rsidR="00A424B4">
          <w:rPr>
            <w:rStyle w:val="Hyperlink"/>
          </w:rPr>
          <w:t>https://csrc.nist.gov/publications/detail/sp/800-189/final</w:t>
        </w:r>
      </w:hyperlink>
      <w:r w:rsidR="008018C0">
        <w:t xml:space="preserve">; </w:t>
      </w:r>
      <w:r w:rsidR="008018C0">
        <w:rPr>
          <w:i/>
          <w:iCs/>
        </w:rPr>
        <w:t>s</w:t>
      </w:r>
      <w:r w:rsidRPr="00397939" w:rsidR="008018C0">
        <w:rPr>
          <w:i/>
          <w:iCs/>
        </w:rPr>
        <w:t>ee</w:t>
      </w:r>
      <w:r w:rsidRPr="00397939" w:rsidR="008018C0">
        <w:t xml:space="preserve"> </w:t>
      </w:r>
      <w:r w:rsidR="008018C0">
        <w:rPr>
          <w:i/>
          <w:iCs/>
        </w:rPr>
        <w:t xml:space="preserve">also </w:t>
      </w:r>
      <w:r w:rsidRPr="00397939" w:rsidR="008018C0">
        <w:t xml:space="preserve">Internet Society, </w:t>
      </w:r>
      <w:r w:rsidRPr="00731790" w:rsidR="00543988">
        <w:rPr>
          <w:i/>
        </w:rPr>
        <w:t xml:space="preserve">MANRS </w:t>
      </w:r>
      <w:r w:rsidRPr="00731790" w:rsidR="008018C0">
        <w:rPr>
          <w:i/>
        </w:rPr>
        <w:t>Mutually Agreed Norms for Routing Security</w:t>
      </w:r>
      <w:r w:rsidRPr="00397939" w:rsidR="008018C0">
        <w:t xml:space="preserve">, </w:t>
      </w:r>
      <w:hyperlink r:id="rId5" w:history="1">
        <w:r w:rsidRPr="00397939" w:rsidR="008018C0">
          <w:rPr>
            <w:rStyle w:val="Hyperlink"/>
          </w:rPr>
          <w:t>https://www.internetsociety.org/issues/manrs/</w:t>
        </w:r>
      </w:hyperlink>
      <w:r w:rsidRPr="00397939" w:rsidR="008018C0">
        <w:t xml:space="preserve"> (last visited Feb. </w:t>
      </w:r>
      <w:r w:rsidR="0060283D">
        <w:t>23</w:t>
      </w:r>
      <w:r w:rsidRPr="00397939" w:rsidR="008018C0">
        <w:t>, 2022) (citing thousands of incidents of misrouted traffic or denial of service each year)</w:t>
      </w:r>
      <w:r w:rsidR="008018C0">
        <w:t xml:space="preserve">.  </w:t>
      </w:r>
      <w:r w:rsidR="00D66F39">
        <w:t>When a bad actor directs traffic to be dropped in this way, it is commonly referred to as a “blackhole.</w:t>
      </w:r>
      <w:r w:rsidR="008018C0">
        <w:t>”</w:t>
      </w:r>
      <w:r w:rsidR="00D66F39">
        <w:t xml:space="preserve">  </w:t>
      </w:r>
      <w:r w:rsidRPr="00397939">
        <w:rPr>
          <w:i/>
          <w:iCs/>
        </w:rPr>
        <w:t>See</w:t>
      </w:r>
      <w:r w:rsidRPr="00397939">
        <w:t xml:space="preserve">, </w:t>
      </w:r>
      <w:r w:rsidRPr="00397939">
        <w:rPr>
          <w:i/>
          <w:iCs/>
        </w:rPr>
        <w:t>e.g.</w:t>
      </w:r>
      <w:r w:rsidRPr="00397939">
        <w:t xml:space="preserve">, </w:t>
      </w:r>
      <w:r w:rsidRPr="00731790">
        <w:rPr>
          <w:i/>
        </w:rPr>
        <w:t>YouTube and Pakistan Telecom</w:t>
      </w:r>
      <w:r w:rsidRPr="00397939">
        <w:t xml:space="preserve">, </w:t>
      </w:r>
      <w:hyperlink r:id="rId6" w:history="1">
        <w:r w:rsidRPr="00397939">
          <w:rPr>
            <w:rStyle w:val="Hyperlink"/>
          </w:rPr>
          <w:t>https://youtu.be/IzLPKuAOe50</w:t>
        </w:r>
      </w:hyperlink>
      <w:r>
        <w:t xml:space="preserve"> (last visited Feb. </w:t>
      </w:r>
      <w:r w:rsidR="006D4CA6">
        <w:t>23</w:t>
      </w:r>
      <w:r>
        <w:t>, 2022)</w:t>
      </w:r>
      <w:r w:rsidR="008018C0">
        <w:t>.</w:t>
      </w:r>
      <w:r>
        <w:t xml:space="preserve"> </w:t>
      </w:r>
    </w:p>
  </w:footnote>
  <w:footnote w:id="6">
    <w:p w:rsidR="00FD1F91" w14:paraId="479787B7" w14:textId="3823B823">
      <w:pPr>
        <w:pStyle w:val="FootnoteText"/>
      </w:pPr>
      <w:r>
        <w:rPr>
          <w:rStyle w:val="FootnoteReference"/>
        </w:rPr>
        <w:footnoteRef/>
      </w:r>
      <w:r>
        <w:t xml:space="preserve"> </w:t>
      </w:r>
      <w:r w:rsidR="009F54ED">
        <w:rPr>
          <w:i/>
          <w:iCs/>
        </w:rPr>
        <w:t>See</w:t>
      </w:r>
      <w:r w:rsidR="00EA7061">
        <w:rPr>
          <w:i/>
        </w:rPr>
        <w:t xml:space="preserve"> </w:t>
      </w:r>
      <w:r w:rsidRPr="00781A3B" w:rsidR="009F54ED">
        <w:rPr>
          <w:i/>
        </w:rPr>
        <w:t>Protecting the Integrity of Internet Routing: Border Gateway Protocol (BGP) Route Origin Validation</w:t>
      </w:r>
      <w:r w:rsidRPr="00E75216" w:rsidR="0090476B">
        <w:t>,</w:t>
      </w:r>
      <w:r w:rsidRPr="00C83C12" w:rsidR="0090476B">
        <w:t xml:space="preserve"> NIST Spec. Pub. 1800-14,</w:t>
      </w:r>
      <w:r w:rsidRPr="00F01336" w:rsidR="0090476B">
        <w:t xml:space="preserve"> </w:t>
      </w:r>
      <w:r w:rsidR="00430099">
        <w:t>at</w:t>
      </w:r>
      <w:r w:rsidRPr="00F01336" w:rsidR="0090476B">
        <w:t xml:space="preserve"> 6 (2019), </w:t>
      </w:r>
      <w:hyperlink r:id="rId7" w:history="1">
        <w:r w:rsidRPr="00832E0B" w:rsidR="00FB7592">
          <w:rPr>
            <w:rStyle w:val="Hyperlink"/>
          </w:rPr>
          <w:t>https://csrc.nist.gov/publications/detail/sp/1800-14/final</w:t>
        </w:r>
      </w:hyperlink>
      <w:r w:rsidR="005302F1">
        <w:t xml:space="preserve">. </w:t>
      </w:r>
      <w:r>
        <w:t xml:space="preserve"> </w:t>
      </w:r>
      <w:r w:rsidRPr="00282544" w:rsidR="00282544">
        <w:t>We use the term “BGP hijacking</w:t>
      </w:r>
      <w:r w:rsidR="00282544">
        <w:t>”</w:t>
      </w:r>
      <w:r w:rsidRPr="00282544" w:rsidR="00282544">
        <w:t xml:space="preserve"> to refer to any deliberate injection of routing information away from the optimal (or most secure) route</w:t>
      </w:r>
      <w:r w:rsidR="00282544">
        <w:t xml:space="preserve">, </w:t>
      </w:r>
      <w:r w:rsidRPr="00282544" w:rsidR="00282544">
        <w:t>includ</w:t>
      </w:r>
      <w:r w:rsidR="00282544">
        <w:t>ing</w:t>
      </w:r>
      <w:r w:rsidRPr="00282544" w:rsidR="00282544">
        <w:t xml:space="preserve"> both false route origination and path interception attacks.</w:t>
      </w:r>
    </w:p>
  </w:footnote>
  <w:footnote w:id="7">
    <w:p w:rsidR="00FD1F91" w:rsidRPr="00397939" w:rsidP="007063ED" w14:paraId="420B692D" w14:textId="69BC07EF">
      <w:pPr>
        <w:pStyle w:val="FootnoteText"/>
      </w:pPr>
      <w:r w:rsidRPr="00397939">
        <w:rPr>
          <w:rStyle w:val="FootnoteReference"/>
        </w:rPr>
        <w:footnoteRef/>
      </w:r>
      <w:r w:rsidRPr="00397939">
        <w:t xml:space="preserve"> 47 U.S.C. §</w:t>
      </w:r>
      <w:r w:rsidR="00FD2992">
        <w:t xml:space="preserve"> </w:t>
      </w:r>
      <w:r w:rsidRPr="00397939">
        <w:t>151.</w:t>
      </w:r>
    </w:p>
  </w:footnote>
  <w:footnote w:id="8">
    <w:p w:rsidR="00FD1F91" w:rsidRPr="00397939" w:rsidP="007063ED" w14:paraId="4ACECD39" w14:textId="4865D82F">
      <w:pPr>
        <w:pStyle w:val="FootnoteText"/>
      </w:pPr>
      <w:r w:rsidRPr="00397939">
        <w:rPr>
          <w:rStyle w:val="FootnoteReference"/>
        </w:rPr>
        <w:footnoteRef/>
      </w:r>
      <w:r w:rsidRPr="00397939">
        <w:t xml:space="preserve"> 47 U.S.C. </w:t>
      </w:r>
      <w:r w:rsidRPr="00397939" w:rsidR="000E190D">
        <w:t>§</w:t>
      </w:r>
      <w:r w:rsidR="00FD2992">
        <w:t xml:space="preserve"> </w:t>
      </w:r>
      <w:r w:rsidRPr="00397939">
        <w:t xml:space="preserve">154(n).  </w:t>
      </w:r>
    </w:p>
  </w:footnote>
  <w:footnote w:id="9">
    <w:p w:rsidR="00FD1F91" w:rsidRPr="00397939" w:rsidP="007063ED" w14:paraId="79800C29" w14:textId="182A0D09">
      <w:pPr>
        <w:pStyle w:val="FootnoteText"/>
      </w:pPr>
      <w:r w:rsidRPr="00397939">
        <w:rPr>
          <w:rStyle w:val="FootnoteReference"/>
        </w:rPr>
        <w:footnoteRef/>
      </w:r>
      <w:r w:rsidRPr="00397939">
        <w:t xml:space="preserve"> </w:t>
      </w:r>
      <w:r>
        <w:rPr>
          <w:i/>
          <w:iCs/>
        </w:rPr>
        <w:t>See</w:t>
      </w:r>
      <w:r>
        <w:t xml:space="preserve">, </w:t>
      </w:r>
      <w:r>
        <w:rPr>
          <w:i/>
          <w:iCs/>
        </w:rPr>
        <w:t>e.g.</w:t>
      </w:r>
      <w:r>
        <w:t>,</w:t>
      </w:r>
      <w:r>
        <w:rPr>
          <w:i/>
          <w:iCs/>
        </w:rPr>
        <w:t xml:space="preserve"> </w:t>
      </w:r>
      <w:r w:rsidRPr="00397939">
        <w:rPr>
          <w:i/>
          <w:iCs/>
        </w:rPr>
        <w:t>China Mobile International (USA) Inc.; Application for Global Facilities-Based and Global Resale International Telecommunications Authority Pursuant to Section 214 of the Communications Act of 1934, as Amended</w:t>
      </w:r>
      <w:r w:rsidRPr="00397939">
        <w:t>, Memorandum Opinion and Order, 34 FCC Rcd 3361 (2019)</w:t>
      </w:r>
      <w:r w:rsidR="00366B3B">
        <w:t xml:space="preserve"> (</w:t>
      </w:r>
      <w:r w:rsidR="00366B3B">
        <w:rPr>
          <w:i/>
          <w:iCs/>
        </w:rPr>
        <w:t>China Mobile USA Denial Order</w:t>
      </w:r>
      <w:r w:rsidR="00366B3B">
        <w:t>)</w:t>
      </w:r>
      <w:r w:rsidRPr="00397939">
        <w:t xml:space="preserve">; </w:t>
      </w:r>
      <w:r w:rsidRPr="00397939">
        <w:rPr>
          <w:i/>
          <w:iCs/>
        </w:rPr>
        <w:t>Protecting Against National Security Threats to the Communications Supply Chain Through FCC Programs et al.</w:t>
      </w:r>
      <w:r w:rsidRPr="00397939">
        <w:t xml:space="preserve">, WC Docket No. 18-89 et al., Report and Order, Further Notice of Proposed Rulemaking, and Order, 34 FCC Rcd 11423 (2019); </w:t>
      </w:r>
      <w:r w:rsidRPr="00397939">
        <w:rPr>
          <w:i/>
          <w:iCs/>
        </w:rPr>
        <w:t>Protecting Against National Security Threats to the Communications Supply Chain Through FCC Programs</w:t>
      </w:r>
      <w:r w:rsidRPr="00397939">
        <w:t xml:space="preserve">, WC Docket No. 18-89, Declaratory Ruling and Second Further Notice of Proposed Rulemaking, 35 FCC Rcd 7821, 7822, paras. 2-3 (2020); </w:t>
      </w:r>
      <w:r w:rsidRPr="00397939">
        <w:rPr>
          <w:i/>
          <w:iCs/>
        </w:rPr>
        <w:t>Protecting Against National Security Threats to the Communications Supply Chain Through FCC Programs</w:t>
      </w:r>
      <w:r w:rsidRPr="00397939">
        <w:t xml:space="preserve">, WC Docket No. 18-89, Second Report and Order, 35 FCC Rcd 14284, 14285, para. 1 (2020); </w:t>
      </w:r>
      <w:r w:rsidRPr="00397939">
        <w:rPr>
          <w:i/>
          <w:iCs/>
        </w:rPr>
        <w:t>Protecting Against National Security Threats to the Communications Supply Chain Through FCC Programs</w:t>
      </w:r>
      <w:r w:rsidRPr="00397939">
        <w:t>, WC Docket No. 18-89, Third Report and Order, FCC 21-86 (Jul</w:t>
      </w:r>
      <w:r w:rsidR="00782DB6">
        <w:t>y</w:t>
      </w:r>
      <w:r w:rsidRPr="00397939">
        <w:t xml:space="preserve"> 14, 2021); </w:t>
      </w:r>
      <w:r w:rsidRPr="000E160A" w:rsidR="000E6E0E">
        <w:rPr>
          <w:i/>
        </w:rPr>
        <w:t>China Telecom (Americas) Corporation</w:t>
      </w:r>
      <w:r w:rsidRPr="00BD469A" w:rsidR="000E6E0E">
        <w:t>, GN Docket No. 20-109, File Nos. ITC-214-20010613-00346, ITC-214-20020716-00371, ITC-T/C-20070725-00285,</w:t>
      </w:r>
      <w:r w:rsidR="000E6E0E">
        <w:t xml:space="preserve"> Order on Revocation and Termination, FCC 21-114 (Nov. 2, 2021) (</w:t>
      </w:r>
      <w:r w:rsidRPr="00CC61C7" w:rsidR="000E6E0E">
        <w:rPr>
          <w:i/>
          <w:iCs/>
        </w:rPr>
        <w:t>China Telecom Americas Order on Revocation and Termination</w:t>
      </w:r>
      <w:r w:rsidR="000E6E0E">
        <w:t xml:space="preserve">); </w:t>
      </w:r>
      <w:r w:rsidRPr="001778B0" w:rsidR="000E6E0E">
        <w:rPr>
          <w:i/>
          <w:iCs/>
        </w:rPr>
        <w:t xml:space="preserve">China Unicom (Americas) </w:t>
      </w:r>
      <w:r w:rsidR="000E6E0E">
        <w:rPr>
          <w:i/>
          <w:iCs/>
        </w:rPr>
        <w:t>Limited</w:t>
      </w:r>
      <w:r w:rsidR="000E6E0E">
        <w:t>, GN Docket No. 20-110, File Nos. ITC-214-20020728-00361, ITC-214-20020724-00427, Order on Revocation, FCC 22</w:t>
      </w:r>
      <w:r w:rsidRPr="003311C0" w:rsidR="000E6E0E">
        <w:rPr>
          <w:b/>
          <w:bCs/>
        </w:rPr>
        <w:t>-</w:t>
      </w:r>
      <w:r w:rsidRPr="009360D8" w:rsidR="000E6E0E">
        <w:t>9</w:t>
      </w:r>
      <w:r w:rsidR="000E6E0E">
        <w:t xml:space="preserve"> (Feb. 2, 2022) (</w:t>
      </w:r>
      <w:r w:rsidRPr="00CC61C7" w:rsidR="000E6E0E">
        <w:rPr>
          <w:i/>
          <w:iCs/>
        </w:rPr>
        <w:t xml:space="preserve">China </w:t>
      </w:r>
      <w:r w:rsidR="000E6E0E">
        <w:rPr>
          <w:i/>
          <w:iCs/>
        </w:rPr>
        <w:t>Unicom</w:t>
      </w:r>
      <w:r w:rsidRPr="00CC61C7" w:rsidR="000E6E0E">
        <w:rPr>
          <w:i/>
          <w:iCs/>
        </w:rPr>
        <w:t xml:space="preserve"> Americas Order on Revocation</w:t>
      </w:r>
      <w:r w:rsidR="000E6E0E">
        <w:t>)</w:t>
      </w:r>
      <w:r w:rsidR="005A5862">
        <w:t>.</w:t>
      </w:r>
    </w:p>
  </w:footnote>
  <w:footnote w:id="10">
    <w:p w:rsidR="00FD1F91" w:rsidP="007063ED" w14:paraId="405F7901" w14:textId="2115BFC3">
      <w:pPr>
        <w:pStyle w:val="FootnoteText"/>
      </w:pPr>
      <w:r>
        <w:rPr>
          <w:rStyle w:val="FootnoteReference"/>
        </w:rPr>
        <w:footnoteRef/>
      </w:r>
      <w:r>
        <w:t xml:space="preserve"> </w:t>
      </w:r>
      <w:r>
        <w:rPr>
          <w:i/>
          <w:iCs/>
        </w:rPr>
        <w:t xml:space="preserve">See </w:t>
      </w:r>
      <w:r w:rsidRPr="00F65869">
        <w:rPr>
          <w:i/>
          <w:iCs/>
        </w:rPr>
        <w:t>FCC Urges Communications Companies to Review Cybersecurity Practices to Defend Against Cyber Threats to Critical Infrastructure</w:t>
      </w:r>
      <w:r>
        <w:t xml:space="preserve">, </w:t>
      </w:r>
      <w:r w:rsidR="00F93FB8">
        <w:t xml:space="preserve">Public Notice, </w:t>
      </w:r>
      <w:r>
        <w:t>DA 22-75 (PSHSB Jan. 21, 2022).</w:t>
      </w:r>
    </w:p>
  </w:footnote>
  <w:footnote w:id="11">
    <w:p w:rsidR="00FD1F91" w:rsidRPr="00D32DDF" w:rsidP="007063ED" w14:paraId="3CCE08C0" w14:textId="7F6CF489">
      <w:pPr>
        <w:pStyle w:val="FootnoteText"/>
      </w:pPr>
      <w:r>
        <w:rPr>
          <w:rStyle w:val="FootnoteReference"/>
        </w:rPr>
        <w:footnoteRef/>
      </w:r>
      <w:r>
        <w:t xml:space="preserve"> </w:t>
      </w:r>
      <w:r>
        <w:rPr>
          <w:i/>
          <w:iCs/>
        </w:rPr>
        <w:t>See Protecting Against National Security Threats to the Communications Supply Chain through the Equipment Authorization Program</w:t>
      </w:r>
      <w:r>
        <w:t xml:space="preserve">; </w:t>
      </w:r>
      <w:r>
        <w:rPr>
          <w:i/>
          <w:iCs/>
        </w:rPr>
        <w:t>Protecting Against National Security threats to the Communications Supply Chain through the Competitive Bidding Program</w:t>
      </w:r>
      <w:r>
        <w:t>, ET Docket No</w:t>
      </w:r>
      <w:r w:rsidR="00F1402F">
        <w:t>.</w:t>
      </w:r>
      <w:r>
        <w:t xml:space="preserve"> 21-232, EA Docket No. 21-233, Notice of Proposed Rulemaking and Notice of Inquiry, FCC 21-73, paras. 98-105 (Jun</w:t>
      </w:r>
      <w:r w:rsidR="00795A8D">
        <w:t>e</w:t>
      </w:r>
      <w:r>
        <w:t xml:space="preserve"> 17, 2021). </w:t>
      </w:r>
    </w:p>
  </w:footnote>
  <w:footnote w:id="12">
    <w:p w:rsidR="00FD1F91" w:rsidRPr="000A1048" w:rsidP="007063ED" w14:paraId="2C15922F" w14:textId="11EE36B1">
      <w:pPr>
        <w:pStyle w:val="FootnoteText"/>
      </w:pPr>
      <w:r w:rsidRPr="00397939">
        <w:rPr>
          <w:rStyle w:val="FootnoteReference"/>
        </w:rPr>
        <w:footnoteRef/>
      </w:r>
      <w:r w:rsidRPr="00397939">
        <w:t xml:space="preserve"> </w:t>
      </w:r>
      <w:r w:rsidR="00C825C9">
        <w:rPr>
          <w:i/>
          <w:iCs/>
        </w:rPr>
        <w:t xml:space="preserve">See generally </w:t>
      </w:r>
      <w:r w:rsidRPr="0059040D" w:rsidR="00C825C9">
        <w:rPr>
          <w:i/>
        </w:rPr>
        <w:t xml:space="preserve">China Mobile USA </w:t>
      </w:r>
      <w:r w:rsidR="00C825C9">
        <w:rPr>
          <w:i/>
        </w:rPr>
        <w:t xml:space="preserve">Denial </w:t>
      </w:r>
      <w:r w:rsidRPr="0059040D" w:rsidR="00C825C9">
        <w:rPr>
          <w:i/>
        </w:rPr>
        <w:t>Or</w:t>
      </w:r>
      <w:r w:rsidRPr="006E514C" w:rsidR="00C825C9">
        <w:rPr>
          <w:i/>
        </w:rPr>
        <w:t>der</w:t>
      </w:r>
      <w:r w:rsidR="00C825C9">
        <w:rPr>
          <w:i/>
          <w:iCs/>
        </w:rPr>
        <w:t xml:space="preserve">; </w:t>
      </w:r>
      <w:r w:rsidRPr="00CC61C7" w:rsidR="00C825C9">
        <w:rPr>
          <w:i/>
          <w:iCs/>
        </w:rPr>
        <w:t>China Telecom Americas Order on Revocation and Termination</w:t>
      </w:r>
      <w:r w:rsidR="00C825C9">
        <w:rPr>
          <w:i/>
          <w:iCs/>
        </w:rPr>
        <w:t xml:space="preserve"> </w:t>
      </w:r>
      <w:r w:rsidR="00C825C9">
        <w:t xml:space="preserve">(revoking and terminating </w:t>
      </w:r>
      <w:r w:rsidR="008D5B5D">
        <w:t xml:space="preserve">China Mobile’s </w:t>
      </w:r>
      <w:r w:rsidR="00C825C9">
        <w:t>section 214 authority)</w:t>
      </w:r>
      <w:r w:rsidRPr="00781A3B" w:rsidR="00C825C9">
        <w:t>;</w:t>
      </w:r>
      <w:r w:rsidRPr="00C45220" w:rsidR="00C825C9">
        <w:rPr>
          <w:i/>
          <w:iCs/>
        </w:rPr>
        <w:t xml:space="preserve"> </w:t>
      </w:r>
      <w:r w:rsidRPr="00CC61C7" w:rsidR="00C825C9">
        <w:rPr>
          <w:i/>
          <w:iCs/>
        </w:rPr>
        <w:t xml:space="preserve">China </w:t>
      </w:r>
      <w:r w:rsidR="00C825C9">
        <w:rPr>
          <w:i/>
          <w:iCs/>
        </w:rPr>
        <w:t>Unicom</w:t>
      </w:r>
      <w:r w:rsidRPr="00CC61C7" w:rsidR="00C825C9">
        <w:rPr>
          <w:i/>
          <w:iCs/>
        </w:rPr>
        <w:t xml:space="preserve"> Americas Order on Revocation</w:t>
      </w:r>
      <w:r w:rsidR="00C825C9">
        <w:t>.</w:t>
      </w:r>
    </w:p>
  </w:footnote>
  <w:footnote w:id="13">
    <w:p w:rsidR="00B824B3" w14:paraId="69242B0C" w14:textId="056DCE7D">
      <w:pPr>
        <w:pStyle w:val="FootnoteText"/>
      </w:pPr>
      <w:r>
        <w:rPr>
          <w:rStyle w:val="FootnoteReference"/>
        </w:rPr>
        <w:footnoteRef/>
      </w:r>
      <w:r>
        <w:t xml:space="preserve"> </w:t>
      </w:r>
      <w:r w:rsidRPr="00B824B3">
        <w:t>Border routers are also referred to as “edge routers</w:t>
      </w:r>
      <w:r w:rsidR="00335F93">
        <w:t>.</w:t>
      </w:r>
      <w:r w:rsidRPr="00B824B3">
        <w:t xml:space="preserve">”  </w:t>
      </w:r>
      <w:r w:rsidRPr="00B824B3">
        <w:rPr>
          <w:i/>
          <w:iCs/>
        </w:rPr>
        <w:t>See</w:t>
      </w:r>
      <w:r w:rsidRPr="00B824B3">
        <w:t xml:space="preserve"> </w:t>
      </w:r>
      <w:r w:rsidR="000770E3">
        <w:t>Cloudflare,</w:t>
      </w:r>
      <w:r w:rsidRPr="00B824B3">
        <w:t xml:space="preserve"> </w:t>
      </w:r>
      <w:r w:rsidRPr="00B824B3">
        <w:rPr>
          <w:i/>
          <w:iCs/>
        </w:rPr>
        <w:t>What is BGP</w:t>
      </w:r>
      <w:r w:rsidR="00756CB2">
        <w:rPr>
          <w:i/>
          <w:iCs/>
        </w:rPr>
        <w:t>?</w:t>
      </w:r>
      <w:r w:rsidRPr="00B824B3">
        <w:t xml:space="preserve">, </w:t>
      </w:r>
      <w:hyperlink r:id="rId8" w:history="1">
        <w:r w:rsidRPr="00B824B3">
          <w:rPr>
            <w:rStyle w:val="Hyperlink"/>
          </w:rPr>
          <w:t>https://www.cloudflare.com/learning/security/glossary/what-is-bgp/</w:t>
        </w:r>
      </w:hyperlink>
      <w:r w:rsidRPr="00B824B3">
        <w:t xml:space="preserve"> (last visited Feb. 2</w:t>
      </w:r>
      <w:r w:rsidR="00222AF5">
        <w:t>3</w:t>
      </w:r>
      <w:r w:rsidRPr="00B824B3">
        <w:t>, 2022).</w:t>
      </w:r>
    </w:p>
  </w:footnote>
  <w:footnote w:id="14">
    <w:p w:rsidR="00FD1F91" w14:paraId="33799CEF" w14:textId="1BBD246B">
      <w:pPr>
        <w:pStyle w:val="FootnoteText"/>
      </w:pPr>
      <w:r>
        <w:rPr>
          <w:rStyle w:val="FootnoteReference"/>
        </w:rPr>
        <w:footnoteRef/>
      </w:r>
      <w:r>
        <w:t xml:space="preserve"> </w:t>
      </w:r>
      <w:r w:rsidRPr="00A62324">
        <w:t xml:space="preserve">These vulnerabilities have two main causes: </w:t>
      </w:r>
      <w:r>
        <w:t>(</w:t>
      </w:r>
      <w:r w:rsidRPr="00A62324">
        <w:t xml:space="preserve">1) validating </w:t>
      </w:r>
      <w:r w:rsidRPr="000D4ADA">
        <w:t>a route’s origin</w:t>
      </w:r>
      <w:r w:rsidRPr="00A62324">
        <w:t xml:space="preserve">; and </w:t>
      </w:r>
      <w:r>
        <w:t>(</w:t>
      </w:r>
      <w:r w:rsidRPr="00A62324">
        <w:t xml:space="preserve">2) </w:t>
      </w:r>
      <w:r w:rsidRPr="000D4ADA">
        <w:t>securing and validating the correct BGP path to a given destination</w:t>
      </w:r>
      <w:r w:rsidRPr="00A62324">
        <w:t>.</w:t>
      </w:r>
    </w:p>
  </w:footnote>
  <w:footnote w:id="15">
    <w:p w:rsidR="00FD1F91" w14:paraId="36BE3D3E" w14:textId="60974063">
      <w:pPr>
        <w:pStyle w:val="FootnoteText"/>
      </w:pPr>
      <w:r>
        <w:rPr>
          <w:rStyle w:val="FootnoteReference"/>
        </w:rPr>
        <w:footnoteRef/>
      </w:r>
      <w:r>
        <w:t xml:space="preserve"> </w:t>
      </w:r>
      <w:r w:rsidRPr="00FD4746">
        <w:rPr>
          <w:i/>
          <w:iCs/>
        </w:rPr>
        <w:t>See</w:t>
      </w:r>
      <w:r w:rsidRPr="00FD4746">
        <w:rPr>
          <w:i/>
        </w:rPr>
        <w:t xml:space="preserve"> </w:t>
      </w:r>
      <w:r w:rsidRPr="00305341" w:rsidR="003E5911">
        <w:rPr>
          <w:i/>
        </w:rPr>
        <w:t>Resilient Interdomain Traffic Exchange:</w:t>
      </w:r>
      <w:r w:rsidRPr="00E75216" w:rsidR="003E5911">
        <w:rPr>
          <w:b/>
        </w:rPr>
        <w:t xml:space="preserve"> </w:t>
      </w:r>
      <w:r w:rsidRPr="00305341" w:rsidR="003E5911">
        <w:rPr>
          <w:i/>
        </w:rPr>
        <w:t>BGP Security and DDoS Mitigation</w:t>
      </w:r>
      <w:r w:rsidRPr="00E75216" w:rsidR="003E5911">
        <w:t>,</w:t>
      </w:r>
      <w:r w:rsidRPr="00305341" w:rsidR="003E5911">
        <w:t xml:space="preserve"> NIST Spec. Pub. 800-189, Sec. 2.1</w:t>
      </w:r>
      <w:r w:rsidR="00A44112">
        <w:t xml:space="preserve"> (2019)</w:t>
      </w:r>
      <w:r w:rsidR="00756CB2">
        <w:t>,</w:t>
      </w:r>
      <w:r w:rsidRPr="00305341" w:rsidR="00756CB2">
        <w:rPr>
          <w:i/>
          <w:iCs/>
        </w:rPr>
        <w:t xml:space="preserve"> </w:t>
      </w:r>
      <w:hyperlink r:id="rId4" w:history="1">
        <w:r w:rsidRPr="00FB60A9" w:rsidR="00756CB2">
          <w:rPr>
            <w:rStyle w:val="Hyperlink"/>
          </w:rPr>
          <w:t>https://csrc.nist.gov/publications/deta</w:t>
        </w:r>
        <w:bookmarkStart w:id="7" w:name="_Hlt96574227"/>
        <w:bookmarkStart w:id="8" w:name="_Hlt96574228"/>
        <w:r w:rsidRPr="00FB60A9" w:rsidR="00756CB2">
          <w:rPr>
            <w:rStyle w:val="Hyperlink"/>
          </w:rPr>
          <w:t>i</w:t>
        </w:r>
        <w:bookmarkEnd w:id="7"/>
        <w:bookmarkEnd w:id="8"/>
        <w:r w:rsidRPr="00FB60A9" w:rsidR="00756CB2">
          <w:rPr>
            <w:rStyle w:val="Hyperlink"/>
          </w:rPr>
          <w:t>l/sp/800-189/final</w:t>
        </w:r>
      </w:hyperlink>
      <w:r w:rsidRPr="000505F6" w:rsidR="003E5911">
        <w:t>;</w:t>
      </w:r>
      <w:r w:rsidRPr="00CA30D7">
        <w:t xml:space="preserve"> </w:t>
      </w:r>
      <w:r w:rsidRPr="00FD4746">
        <w:t xml:space="preserve">Kevin Butler et al., </w:t>
      </w:r>
      <w:r w:rsidRPr="0006715A">
        <w:rPr>
          <w:i/>
          <w:iCs/>
        </w:rPr>
        <w:t>A Survey of BGP Security Issues and Solutions</w:t>
      </w:r>
      <w:r w:rsidRPr="00FD4746">
        <w:t xml:space="preserve">, </w:t>
      </w:r>
      <w:r>
        <w:t xml:space="preserve">98 </w:t>
      </w:r>
      <w:r w:rsidRPr="00FD4746">
        <w:t>Proceedings of the IEEE</w:t>
      </w:r>
      <w:r>
        <w:t xml:space="preserve"> </w:t>
      </w:r>
      <w:r w:rsidRPr="00FD4746">
        <w:t>1, at 100-122 (</w:t>
      </w:r>
      <w:r w:rsidR="00BD2042">
        <w:t xml:space="preserve">Jan. </w:t>
      </w:r>
      <w:r w:rsidRPr="00FD4746">
        <w:t xml:space="preserve">2010), </w:t>
      </w:r>
      <w:hyperlink r:id="rId9" w:history="1">
        <w:r w:rsidRPr="00FD4746">
          <w:rPr>
            <w:rStyle w:val="Hyperlink"/>
          </w:rPr>
          <w:t>https://www.cise.ufl.edu/~butler/pubs/bgpsurvey.pdf</w:t>
        </w:r>
      </w:hyperlink>
      <w:r w:rsidRPr="00FD4746">
        <w:t>.</w:t>
      </w:r>
      <w:r>
        <w:t xml:space="preserve">  </w:t>
      </w:r>
    </w:p>
  </w:footnote>
  <w:footnote w:id="16">
    <w:p w:rsidR="005D0B97" w:rsidRPr="005D0B97" w14:paraId="56E04E0E" w14:textId="16EDC350">
      <w:pPr>
        <w:pStyle w:val="FootnoteText"/>
      </w:pPr>
      <w:r>
        <w:rPr>
          <w:rStyle w:val="FootnoteReference"/>
        </w:rPr>
        <w:footnoteRef/>
      </w:r>
      <w:r>
        <w:t xml:space="preserve"> </w:t>
      </w:r>
      <w:r>
        <w:rPr>
          <w:i/>
          <w:iCs/>
        </w:rPr>
        <w:t>See</w:t>
      </w:r>
      <w:r w:rsidRPr="00D64DC0">
        <w:t>,</w:t>
      </w:r>
      <w:r>
        <w:rPr>
          <w:i/>
          <w:iCs/>
        </w:rPr>
        <w:t xml:space="preserve"> e.g.</w:t>
      </w:r>
      <w:r w:rsidRPr="00FD2992">
        <w:t>,</w:t>
      </w:r>
      <w:r>
        <w:rPr>
          <w:i/>
          <w:iCs/>
        </w:rPr>
        <w:t xml:space="preserve"> </w:t>
      </w:r>
      <w:r>
        <w:t xml:space="preserve">Dan </w:t>
      </w:r>
      <w:r>
        <w:t>Goodin</w:t>
      </w:r>
      <w:r>
        <w:t xml:space="preserve">, </w:t>
      </w:r>
      <w:r w:rsidRPr="00D64DC0">
        <w:rPr>
          <w:i/>
          <w:iCs/>
        </w:rPr>
        <w:t>Repeated attacks hijack huge chunks of Internet traffic, researchers warn</w:t>
      </w:r>
      <w:r>
        <w:rPr>
          <w:i/>
          <w:iCs/>
        </w:rPr>
        <w:t xml:space="preserve"> </w:t>
      </w:r>
      <w:r>
        <w:t>(</w:t>
      </w:r>
      <w:r w:rsidR="00F20910">
        <w:t xml:space="preserve">Nov. 20, </w:t>
      </w:r>
      <w:r>
        <w:t>2013)</w:t>
      </w:r>
      <w:r w:rsidR="00FA4A00">
        <w:t xml:space="preserve">, </w:t>
      </w:r>
      <w:hyperlink r:id="rId10" w:history="1">
        <w:r w:rsidRPr="00F45D39" w:rsidR="00FA4A00">
          <w:rPr>
            <w:rStyle w:val="Hyperlink"/>
          </w:rPr>
          <w:t>https://arstechnica.com/information-technology/2013/11/repeated-attacks-hijack-huge-chunks-of-internet-traffic-researchers-warn/</w:t>
        </w:r>
      </w:hyperlink>
      <w:r w:rsidR="00F20910">
        <w:t>.</w:t>
      </w:r>
    </w:p>
  </w:footnote>
  <w:footnote w:id="17">
    <w:p w:rsidR="00396EEA" w14:paraId="6035FADF" w14:textId="54793494">
      <w:pPr>
        <w:pStyle w:val="FootnoteText"/>
      </w:pPr>
      <w:r>
        <w:rPr>
          <w:rStyle w:val="FootnoteReference"/>
        </w:rPr>
        <w:footnoteRef/>
      </w:r>
      <w:r>
        <w:t xml:space="preserve"> </w:t>
      </w:r>
      <w:r w:rsidR="00C67C71">
        <w:rPr>
          <w:i/>
          <w:iCs/>
        </w:rPr>
        <w:t>See</w:t>
      </w:r>
      <w:r w:rsidR="00436E3B">
        <w:rPr>
          <w:i/>
          <w:iCs/>
        </w:rPr>
        <w:t xml:space="preserve"> </w:t>
      </w:r>
      <w:r w:rsidR="00657D72">
        <w:t xml:space="preserve">Dan </w:t>
      </w:r>
      <w:r w:rsidR="00657D72">
        <w:t>Goodin</w:t>
      </w:r>
      <w:r w:rsidR="00657D72">
        <w:t>,</w:t>
      </w:r>
      <w:r w:rsidRPr="00436E3B" w:rsidR="00436E3B">
        <w:rPr>
          <w:i/>
          <w:iCs/>
        </w:rPr>
        <w:t>“Suspicious” event routes traffic for big-name sites through Russia</w:t>
      </w:r>
      <w:r w:rsidR="00657D72">
        <w:rPr>
          <w:i/>
          <w:iCs/>
        </w:rPr>
        <w:t xml:space="preserve"> </w:t>
      </w:r>
      <w:r w:rsidR="00F121D4">
        <w:t>(</w:t>
      </w:r>
      <w:r w:rsidR="00F20910">
        <w:t xml:space="preserve">Dec. 13, </w:t>
      </w:r>
      <w:r w:rsidR="00F121D4">
        <w:t>2017),</w:t>
      </w:r>
      <w:r w:rsidR="00C67C71">
        <w:rPr>
          <w:i/>
          <w:iCs/>
        </w:rPr>
        <w:t xml:space="preserve"> </w:t>
      </w:r>
      <w:hyperlink r:id="rId11" w:history="1">
        <w:r w:rsidRPr="00F45D39" w:rsidR="009B0A0E">
          <w:rPr>
            <w:rStyle w:val="Hyperlink"/>
          </w:rPr>
          <w:t>https://arstechnica.com/information-technology/2017/12/suspicious-event-routes-traffic-for-big-name-sites-through-russia/</w:t>
        </w:r>
      </w:hyperlink>
      <w:r w:rsidR="009B0A0E">
        <w:t>.</w:t>
      </w:r>
    </w:p>
  </w:footnote>
  <w:footnote w:id="18">
    <w:p w:rsidR="00D21721" w:rsidRPr="00E02CF4" w14:paraId="2CF51502" w14:textId="731E6E0F">
      <w:pPr>
        <w:pStyle w:val="FootnoteText"/>
      </w:pPr>
      <w:r>
        <w:rPr>
          <w:rStyle w:val="FootnoteReference"/>
        </w:rPr>
        <w:footnoteRef/>
      </w:r>
      <w:r>
        <w:t xml:space="preserve"> </w:t>
      </w:r>
      <w:r>
        <w:rPr>
          <w:i/>
          <w:iCs/>
        </w:rPr>
        <w:t>See</w:t>
      </w:r>
      <w:r w:rsidR="007C4580">
        <w:rPr>
          <w:i/>
          <w:iCs/>
        </w:rPr>
        <w:t xml:space="preserve"> </w:t>
      </w:r>
      <w:r w:rsidR="007C4580">
        <w:t xml:space="preserve">Dan </w:t>
      </w:r>
      <w:r w:rsidR="007C4580">
        <w:t>Goodin</w:t>
      </w:r>
      <w:r w:rsidR="007C4580">
        <w:t xml:space="preserve">, </w:t>
      </w:r>
      <w:r w:rsidRPr="00D64DC0" w:rsidR="00160BBE">
        <w:rPr>
          <w:i/>
          <w:iCs/>
        </w:rPr>
        <w:t>Russian-controlled telecom hijacks financial services’ Internet traffic</w:t>
      </w:r>
      <w:r w:rsidR="00E02CF4">
        <w:t xml:space="preserve"> (</w:t>
      </w:r>
      <w:r w:rsidR="00F20910">
        <w:t xml:space="preserve">Apr. 7, </w:t>
      </w:r>
      <w:r w:rsidR="00E02CF4">
        <w:t xml:space="preserve">2017), </w:t>
      </w:r>
      <w:hyperlink r:id="rId12" w:history="1">
        <w:r w:rsidRPr="001827AD" w:rsidR="00F20910">
          <w:rPr>
            <w:rStyle w:val="Hyperlink"/>
          </w:rPr>
          <w:t>https://arstechnica.com/information-technology/2017/04/russian-controlled-telecom-hijacks-financial-services-internet-traffic/</w:t>
        </w:r>
      </w:hyperlink>
      <w:r w:rsidR="006D12F1">
        <w:t>.</w:t>
      </w:r>
    </w:p>
  </w:footnote>
  <w:footnote w:id="19">
    <w:p w:rsidR="00FD1F91" w:rsidP="00203FF2" w14:paraId="392379BA" w14:textId="50A29A09">
      <w:pPr>
        <w:pStyle w:val="FootnoteText"/>
      </w:pPr>
      <w:r>
        <w:rPr>
          <w:rStyle w:val="FootnoteReference"/>
        </w:rPr>
        <w:footnoteRef/>
      </w:r>
      <w:r>
        <w:t xml:space="preserve"> </w:t>
      </w:r>
      <w:r>
        <w:rPr>
          <w:i/>
          <w:iCs/>
        </w:rPr>
        <w:t xml:space="preserve">See </w:t>
      </w:r>
      <w:r>
        <w:t>Douglas Montgomery,</w:t>
      </w:r>
      <w:r w:rsidRPr="00662F09">
        <w:t xml:space="preserve"> </w:t>
      </w:r>
      <w:r w:rsidRPr="00662F09">
        <w:rPr>
          <w:i/>
          <w:iCs/>
        </w:rPr>
        <w:t>Towards Secure Routing Infrastructures</w:t>
      </w:r>
      <w:r>
        <w:t>, 4 IEEE Security &amp; Privacy 5 (</w:t>
      </w:r>
      <w:r w:rsidR="00EF5BBF">
        <w:t xml:space="preserve">Jan. </w:t>
      </w:r>
      <w:r>
        <w:t>2006)</w:t>
      </w:r>
      <w:r w:rsidRPr="00662F09">
        <w:t xml:space="preserve"> </w:t>
      </w:r>
      <w:hyperlink r:id="rId13" w:history="1">
        <w:r w:rsidRPr="00BB0D71">
          <w:rPr>
            <w:rStyle w:val="Hyperlink"/>
          </w:rPr>
          <w:t>https://www.nist.gov/publications/toward-secure-routing-infrastructures</w:t>
        </w:r>
      </w:hyperlink>
      <w:r>
        <w:t>.</w:t>
      </w:r>
    </w:p>
  </w:footnote>
  <w:footnote w:id="20">
    <w:p w:rsidR="00FD1F91" w14:paraId="0D3904CF" w14:textId="57A32925">
      <w:pPr>
        <w:pStyle w:val="FootnoteText"/>
      </w:pPr>
      <w:r>
        <w:rPr>
          <w:rStyle w:val="FootnoteReference"/>
        </w:rPr>
        <w:footnoteRef/>
      </w:r>
      <w:r>
        <w:t xml:space="preserve"> </w:t>
      </w:r>
      <w:r w:rsidRPr="00203FF2">
        <w:rPr>
          <w:i/>
          <w:iCs/>
        </w:rPr>
        <w:t>See</w:t>
      </w:r>
      <w:r w:rsidRPr="00203FF2">
        <w:t xml:space="preserve"> </w:t>
      </w:r>
      <w:r>
        <w:t>IETF</w:t>
      </w:r>
      <w:r w:rsidRPr="00203FF2">
        <w:t xml:space="preserve">, </w:t>
      </w:r>
      <w:r w:rsidRPr="00731790">
        <w:rPr>
          <w:i/>
        </w:rPr>
        <w:t>Secure Inter-Domain Routing</w:t>
      </w:r>
      <w:r w:rsidRPr="00203FF2">
        <w:t>,</w:t>
      </w:r>
      <w:r w:rsidRPr="00203FF2">
        <w:rPr>
          <w:i/>
          <w:iCs/>
        </w:rPr>
        <w:t xml:space="preserve"> </w:t>
      </w:r>
      <w:hyperlink r:id="rId14" w:history="1">
        <w:r w:rsidRPr="00203FF2">
          <w:rPr>
            <w:rStyle w:val="Hyperlink"/>
          </w:rPr>
          <w:t>https://datatracker.ietf.org/wg/sidr/documents/</w:t>
        </w:r>
      </w:hyperlink>
      <w:r w:rsidRPr="00203FF2">
        <w:t xml:space="preserve"> (</w:t>
      </w:r>
      <w:r>
        <w:t xml:space="preserve">last visited </w:t>
      </w:r>
      <w:r w:rsidRPr="00203FF2">
        <w:t xml:space="preserve">Feb. </w:t>
      </w:r>
      <w:r w:rsidR="00D33D1E">
        <w:t>23</w:t>
      </w:r>
      <w:r w:rsidRPr="00203FF2">
        <w:t>, 2022)</w:t>
      </w:r>
      <w:r w:rsidR="006914C9">
        <w:t xml:space="preserve">; </w:t>
      </w:r>
      <w:r w:rsidRPr="00AE5BC0" w:rsidR="006914C9">
        <w:t>IETF</w:t>
      </w:r>
      <w:r w:rsidRPr="00B57FD5" w:rsidR="006914C9">
        <w:t xml:space="preserve">, </w:t>
      </w:r>
      <w:r w:rsidRPr="00257DFB" w:rsidR="006914C9">
        <w:t>BGPsec Protocol Specification</w:t>
      </w:r>
      <w:r w:rsidRPr="00AE5BC0" w:rsidR="006914C9">
        <w:t xml:space="preserve"> (201</w:t>
      </w:r>
      <w:r w:rsidR="006914C9">
        <w:t>7</w:t>
      </w:r>
      <w:r w:rsidRPr="00AE5BC0" w:rsidR="006914C9">
        <w:t xml:space="preserve">), </w:t>
      </w:r>
      <w:hyperlink r:id="rId15" w:history="1">
        <w:r w:rsidRPr="00832E0B" w:rsidR="00650786">
          <w:rPr>
            <w:rStyle w:val="Hyperlink"/>
          </w:rPr>
          <w:t>https://www.rfc-editor.org/rfc/pdfrfc/rfc8205.txt.pdf</w:t>
        </w:r>
      </w:hyperlink>
      <w:r w:rsidR="006914C9">
        <w:t>.</w:t>
      </w:r>
    </w:p>
  </w:footnote>
  <w:footnote w:id="21">
    <w:p w:rsidR="00FD1F91" w:rsidRPr="00397939" w:rsidP="007063ED" w14:paraId="38DCD856" w14:textId="653CC098">
      <w:pPr>
        <w:pStyle w:val="FootnoteText"/>
      </w:pPr>
      <w:r w:rsidRPr="00397939">
        <w:rPr>
          <w:rStyle w:val="FootnoteReference"/>
        </w:rPr>
        <w:footnoteRef/>
      </w:r>
      <w:r w:rsidRPr="00397939">
        <w:t xml:space="preserve"> </w:t>
      </w:r>
      <w:r>
        <w:rPr>
          <w:i/>
          <w:iCs/>
        </w:rPr>
        <w:t>See</w:t>
      </w:r>
      <w:r>
        <w:rPr>
          <w:i/>
        </w:rPr>
        <w:t xml:space="preserve"> </w:t>
      </w:r>
      <w:r w:rsidRPr="009916D8">
        <w:rPr>
          <w:i/>
        </w:rPr>
        <w:t>Protecting the Integrity of Internet Routing: Border Gateway Protocol (BGP) Route Origin Validation</w:t>
      </w:r>
      <w:r w:rsidRPr="00F01336" w:rsidR="006A2167">
        <w:t>, NIST Spec. Pub. 1800-14</w:t>
      </w:r>
      <w:r w:rsidR="006A2167">
        <w:t xml:space="preserve"> </w:t>
      </w:r>
      <w:r w:rsidRPr="00F01336" w:rsidR="006A2167">
        <w:t>(</w:t>
      </w:r>
      <w:r w:rsidR="00971952">
        <w:t>2019</w:t>
      </w:r>
      <w:r w:rsidRPr="00F01336" w:rsidR="006A2167">
        <w:t>),</w:t>
      </w:r>
      <w:r w:rsidRPr="00397939">
        <w:t xml:space="preserve"> </w:t>
      </w:r>
      <w:hyperlink r:id="rId7" w:history="1">
        <w:r w:rsidRPr="00832E0B" w:rsidR="00971952">
          <w:rPr>
            <w:rStyle w:val="Hyperlink"/>
          </w:rPr>
          <w:t>https://csrc.nist.gov/publications/detail/sp/1800-14/final</w:t>
        </w:r>
      </w:hyperlink>
      <w:r>
        <w:t>;</w:t>
      </w:r>
      <w:r w:rsidR="009967AB">
        <w:t xml:space="preserve"> </w:t>
      </w:r>
      <w:r w:rsidRPr="00CA30D7" w:rsidR="00965DA1">
        <w:rPr>
          <w:i/>
          <w:iCs/>
        </w:rPr>
        <w:t>Resilient Interdomain Traffic Exchange:</w:t>
      </w:r>
      <w:r w:rsidRPr="00305341" w:rsidR="00965DA1">
        <w:rPr>
          <w:b/>
        </w:rPr>
        <w:t xml:space="preserve"> </w:t>
      </w:r>
      <w:r w:rsidRPr="00F01336" w:rsidR="00965DA1">
        <w:rPr>
          <w:i/>
          <w:iCs/>
        </w:rPr>
        <w:t>BGP Security and DDoS Mitigation</w:t>
      </w:r>
      <w:r w:rsidRPr="00305341" w:rsidR="006A2167">
        <w:t>, NIST Spec. Pub. 800-189</w:t>
      </w:r>
      <w:r w:rsidR="006A2167">
        <w:t xml:space="preserve"> (</w:t>
      </w:r>
      <w:r w:rsidRPr="00305341" w:rsidR="00965DA1">
        <w:t>2019</w:t>
      </w:r>
      <w:r w:rsidR="00965DA1">
        <w:t>),</w:t>
      </w:r>
      <w:r w:rsidRPr="00305341" w:rsidR="00965DA1">
        <w:rPr>
          <w:i/>
        </w:rPr>
        <w:t xml:space="preserve"> </w:t>
      </w:r>
      <w:hyperlink r:id="rId4" w:history="1">
        <w:r w:rsidRPr="00FB60A9" w:rsidR="00965DA1">
          <w:rPr>
            <w:rStyle w:val="Hyperlink"/>
          </w:rPr>
          <w:t>https://csrc.nist.gov/publications/detail/sp/800-189/final</w:t>
        </w:r>
      </w:hyperlink>
      <w:r w:rsidR="00A40B1D">
        <w:t xml:space="preserve">; </w:t>
      </w:r>
      <w:r w:rsidRPr="00305341" w:rsidR="00AF4557">
        <w:t xml:space="preserve">Oliver Borchert, </w:t>
      </w:r>
      <w:r w:rsidR="00C718C5">
        <w:t>et al.</w:t>
      </w:r>
      <w:r w:rsidRPr="00305341" w:rsidR="00AF4557">
        <w:t>, BGP Secure Routing Extension (BGP-</w:t>
      </w:r>
      <w:r w:rsidRPr="00305341" w:rsidR="00AF4557">
        <w:t>SRx</w:t>
      </w:r>
      <w:r w:rsidRPr="00305341" w:rsidR="00AF4557">
        <w:t xml:space="preserve">): Reference Implementation and Test Tools for Emerging BGP Security Standards, White Paper NIST Technical Note (TN) 2060 (2021), </w:t>
      </w:r>
      <w:hyperlink r:id="rId16" w:history="1">
        <w:r w:rsidRPr="00305341" w:rsidR="00AF4557">
          <w:rPr>
            <w:rStyle w:val="Hyperlink"/>
          </w:rPr>
          <w:t>https://csrc.nist.gov/publications/detail/white-paper/2021/09/15/bgp-secure-routing-extension-bgp-srx/final</w:t>
        </w:r>
      </w:hyperlink>
      <w:r w:rsidRPr="00305341" w:rsidR="00AF4557">
        <w:rPr>
          <w:rStyle w:val="Hyperlink"/>
        </w:rPr>
        <w:t>.</w:t>
      </w:r>
      <w:r>
        <w:t xml:space="preserve"> </w:t>
      </w:r>
    </w:p>
  </w:footnote>
  <w:footnote w:id="22">
    <w:p w:rsidR="005211EE" w14:paraId="165E5870" w14:textId="57DB912E">
      <w:pPr>
        <w:pStyle w:val="FootnoteText"/>
      </w:pPr>
      <w:r>
        <w:rPr>
          <w:rStyle w:val="FootnoteReference"/>
        </w:rPr>
        <w:footnoteRef/>
      </w:r>
      <w:r>
        <w:t xml:space="preserve"> </w:t>
      </w:r>
      <w:r w:rsidRPr="00397939">
        <w:rPr>
          <w:i/>
          <w:iCs/>
        </w:rPr>
        <w:t>See</w:t>
      </w:r>
      <w:r w:rsidRPr="00397939">
        <w:t xml:space="preserve"> </w:t>
      </w:r>
      <w:r w:rsidRPr="00D15DA5">
        <w:rPr>
          <w:i/>
          <w:iCs/>
        </w:rPr>
        <w:t>Mutually Agreed Norms for Routing Security (MANRS)</w:t>
      </w:r>
      <w:r>
        <w:t xml:space="preserve">, </w:t>
      </w:r>
      <w:hyperlink r:id="rId17" w:history="1">
        <w:r w:rsidRPr="0098746E">
          <w:rPr>
            <w:rStyle w:val="Hyperlink"/>
          </w:rPr>
          <w:t>https://www.manrs.org/</w:t>
        </w:r>
      </w:hyperlink>
      <w:r>
        <w:t xml:space="preserve"> (last visited Feb. 23, 2022)</w:t>
      </w:r>
      <w:r w:rsidRPr="00397939">
        <w:t xml:space="preserve">.  MANRS focuses on improving routing security by filtering routing advertisements to include only those likely to be relevant to the customer BGP router; enabling source IP address validation for customer networks; coordinating and sharing contact information for </w:t>
      </w:r>
      <w:r w:rsidR="00DD7FE9">
        <w:t>ne</w:t>
      </w:r>
      <w:r w:rsidRPr="00397939">
        <w:t xml:space="preserve">twork </w:t>
      </w:r>
      <w:r w:rsidR="00DD7FE9">
        <w:t>o</w:t>
      </w:r>
      <w:r w:rsidRPr="00397939">
        <w:t xml:space="preserve">perations </w:t>
      </w:r>
      <w:r w:rsidR="00DD7FE9">
        <w:t>c</w:t>
      </w:r>
      <w:r w:rsidRPr="00397939">
        <w:t xml:space="preserve">enter contacts through </w:t>
      </w:r>
      <w:r w:rsidR="00DD7FE9">
        <w:t>r</w:t>
      </w:r>
      <w:r w:rsidRPr="00397939">
        <w:t xml:space="preserve">egional Internet </w:t>
      </w:r>
      <w:r w:rsidR="00DD7FE9">
        <w:t>r</w:t>
      </w:r>
      <w:r w:rsidRPr="00397939">
        <w:t>egistries, and enabling routing information to be validated on a global scale.</w:t>
      </w:r>
    </w:p>
  </w:footnote>
  <w:footnote w:id="23">
    <w:p w:rsidR="00FD1F91" w:rsidRPr="00AF0730" w:rsidP="007063ED" w14:paraId="0B6438FB" w14:textId="3C92F979">
      <w:pPr>
        <w:pStyle w:val="FootnoteText"/>
        <w:rPr>
          <w:i/>
          <w:iCs/>
        </w:rPr>
      </w:pPr>
      <w:r w:rsidRPr="00397939">
        <w:rPr>
          <w:rStyle w:val="FootnoteReference"/>
        </w:rPr>
        <w:footnoteRef/>
      </w:r>
      <w:r w:rsidRPr="00397939">
        <w:t xml:space="preserve"> </w:t>
      </w:r>
      <w:r w:rsidRPr="00397939" w:rsidR="005211EE">
        <w:rPr>
          <w:i/>
          <w:iCs/>
        </w:rPr>
        <w:t>See</w:t>
      </w:r>
      <w:r w:rsidRPr="00397939" w:rsidR="005211EE">
        <w:t xml:space="preserve">, </w:t>
      </w:r>
      <w:r w:rsidRPr="00397939" w:rsidR="005211EE">
        <w:rPr>
          <w:i/>
          <w:iCs/>
        </w:rPr>
        <w:t>e.g.</w:t>
      </w:r>
      <w:r w:rsidRPr="00397939" w:rsidR="005211EE">
        <w:t>, The Internet Society</w:t>
      </w:r>
      <w:r w:rsidRPr="0096443A" w:rsidR="005211EE">
        <w:t xml:space="preserve">, </w:t>
      </w:r>
      <w:r w:rsidRPr="00D15DA5" w:rsidR="005211EE">
        <w:t>Network Ingress Filtering Defeating Denial of Service Attacks which Employ IP Source Address Spoofing</w:t>
      </w:r>
      <w:r w:rsidR="005211EE">
        <w:t xml:space="preserve"> </w:t>
      </w:r>
      <w:r w:rsidRPr="00397939" w:rsidR="005211EE">
        <w:t xml:space="preserve">(2000), </w:t>
      </w:r>
      <w:hyperlink r:id="rId18" w:history="1">
        <w:r w:rsidRPr="00397939" w:rsidR="005211EE">
          <w:rPr>
            <w:rStyle w:val="Hyperlink"/>
          </w:rPr>
          <w:t>https://www.rfc-editor.org/rfc/pdfrfc/rfc2827.txt.pdf</w:t>
        </w:r>
      </w:hyperlink>
      <w:r w:rsidRPr="00397939" w:rsidR="005211EE">
        <w:t xml:space="preserve">; </w:t>
      </w:r>
      <w:r w:rsidRPr="0096443A" w:rsidR="005211EE">
        <w:t xml:space="preserve">The Internet Society, </w:t>
      </w:r>
      <w:r w:rsidRPr="00D15DA5" w:rsidR="005211EE">
        <w:t xml:space="preserve">Recommended Internet Service Provider Security Services and Procedures </w:t>
      </w:r>
      <w:r w:rsidRPr="00397939" w:rsidR="005211EE">
        <w:t xml:space="preserve">(2000), </w:t>
      </w:r>
      <w:hyperlink r:id="rId19" w:history="1">
        <w:r w:rsidRPr="00397939" w:rsidR="005211EE">
          <w:rPr>
            <w:rStyle w:val="Hyperlink"/>
          </w:rPr>
          <w:t>https://www.rfc-editor.org/rfc/pdfrfc/rfc3013.txt.pdf</w:t>
        </w:r>
      </w:hyperlink>
      <w:r w:rsidRPr="00397939" w:rsidR="005211EE">
        <w:t xml:space="preserve">; The IETF Trust, </w:t>
      </w:r>
      <w:r w:rsidRPr="00D15DA5" w:rsidR="005211EE">
        <w:t>Current Operational Security practices in Internet Service Provider Environments</w:t>
      </w:r>
      <w:r w:rsidRPr="00397939" w:rsidR="005211EE">
        <w:t xml:space="preserve"> (2007), </w:t>
      </w:r>
      <w:hyperlink r:id="rId20" w:history="1">
        <w:r w:rsidRPr="00397939" w:rsidR="005211EE">
          <w:rPr>
            <w:rStyle w:val="Hyperlink"/>
          </w:rPr>
          <w:t>https://datatracker.ietf.org/doc/html/rfc4778</w:t>
        </w:r>
      </w:hyperlink>
      <w:r w:rsidRPr="00397939" w:rsidR="005211EE">
        <w:t>.</w:t>
      </w:r>
      <w:r>
        <w:t xml:space="preserve">  </w:t>
      </w:r>
    </w:p>
  </w:footnote>
  <w:footnote w:id="24">
    <w:p w:rsidR="00FD1F91" w:rsidRPr="00397939" w:rsidP="007063ED" w14:paraId="1EEAB194" w14:textId="6D797A03">
      <w:pPr>
        <w:pStyle w:val="FootnoteText"/>
      </w:pPr>
      <w:r w:rsidRPr="00397939">
        <w:rPr>
          <w:rStyle w:val="FootnoteReference"/>
        </w:rPr>
        <w:footnoteRef/>
      </w:r>
      <w:r w:rsidRPr="00397939">
        <w:t xml:space="preserve"> </w:t>
      </w:r>
      <w:r w:rsidRPr="00397939">
        <w:rPr>
          <w:i/>
          <w:iCs/>
        </w:rPr>
        <w:t xml:space="preserve">See </w:t>
      </w:r>
      <w:r w:rsidRPr="00397939">
        <w:t xml:space="preserve">MANRS, Observatory, </w:t>
      </w:r>
      <w:bookmarkStart w:id="11" w:name="_Hlk95904266"/>
      <w:hyperlink r:id="rId21" w:history="1">
        <w:r w:rsidRPr="00397939">
          <w:rPr>
            <w:rStyle w:val="Hyperlink"/>
          </w:rPr>
          <w:t>https://observatory.manrs.org/#/overview</w:t>
        </w:r>
      </w:hyperlink>
      <w:bookmarkEnd w:id="11"/>
      <w:r w:rsidRPr="00397939">
        <w:t xml:space="preserve"> (last visited Feb. </w:t>
      </w:r>
      <w:r w:rsidR="007658C1">
        <w:t>23</w:t>
      </w:r>
      <w:r w:rsidRPr="00397939">
        <w:t xml:space="preserve">, 2022). </w:t>
      </w:r>
    </w:p>
  </w:footnote>
  <w:footnote w:id="25">
    <w:p w:rsidR="00FD1F91" w:rsidRPr="00397939" w:rsidP="007063ED" w14:paraId="2CAB3DAE" w14:textId="689CE878">
      <w:pPr>
        <w:pStyle w:val="FootnoteText"/>
      </w:pPr>
      <w:r w:rsidRPr="00397939">
        <w:rPr>
          <w:rStyle w:val="FootnoteReference"/>
        </w:rPr>
        <w:footnoteRef/>
      </w:r>
      <w:r w:rsidRPr="00397939">
        <w:t xml:space="preserve"> </w:t>
      </w:r>
      <w:r w:rsidRPr="00397939">
        <w:rPr>
          <w:i/>
          <w:iCs/>
        </w:rPr>
        <w:t>See</w:t>
      </w:r>
      <w:r w:rsidRPr="00397939">
        <w:t xml:space="preserve"> CSRIC III, Secure BGP Deployment, Final Report (2013), </w:t>
      </w:r>
      <w:hyperlink r:id="rId22" w:history="1">
        <w:r w:rsidRPr="00397939">
          <w:rPr>
            <w:rStyle w:val="Hyperlink"/>
          </w:rPr>
          <w:t>https://transition.fcc.gov/bureaus/pshs/advisory/csric3/CSRIC_III_WG6_Report_March_%202013.pdf</w:t>
        </w:r>
      </w:hyperlink>
      <w:r w:rsidR="00282544">
        <w:t xml:space="preserve">; </w:t>
      </w:r>
      <w:r w:rsidR="00C21454">
        <w:t xml:space="preserve">CSRIC VI, Report on best Practices and Recommendations to Mitigate Security Risks to Current IP-based Protocols, Final Report (2019), </w:t>
      </w:r>
      <w:hyperlink r:id="rId23" w:history="1">
        <w:r w:rsidRPr="00FB60A9" w:rsidR="008337A5">
          <w:rPr>
            <w:rStyle w:val="Hyperlink"/>
          </w:rPr>
          <w:t>https://www.fcc.gov/file/15311/download</w:t>
        </w:r>
      </w:hyperlink>
      <w:r w:rsidR="008337A5">
        <w:t xml:space="preserve">.  </w:t>
      </w:r>
      <w:r w:rsidR="00014E84">
        <w:t xml:space="preserve">The roman numerals following the name of federal advisory committee, </w:t>
      </w:r>
      <w:r w:rsidR="007B017A">
        <w:t>“</w:t>
      </w:r>
      <w:r w:rsidR="00014E84">
        <w:t>CSRIC,</w:t>
      </w:r>
      <w:r w:rsidR="007B017A">
        <w:t>”</w:t>
      </w:r>
      <w:r w:rsidR="00014E84">
        <w:t xml:space="preserve"> enumerate the successive years during which the Commission has chartered CSRIC to provide recommendations on selected topics.  </w:t>
      </w:r>
    </w:p>
  </w:footnote>
  <w:footnote w:id="26">
    <w:p w:rsidR="00FD1F91" w:rsidRPr="00397939" w:rsidP="007063ED" w14:paraId="4069F78E" w14:textId="20EC5D80">
      <w:pPr>
        <w:pStyle w:val="FootnoteText"/>
      </w:pPr>
      <w:r w:rsidRPr="00397939">
        <w:rPr>
          <w:rStyle w:val="FootnoteReference"/>
        </w:rPr>
        <w:footnoteRef/>
      </w:r>
      <w:r w:rsidRPr="00397939">
        <w:t xml:space="preserve"> In this connection, the FCC sought comment on the implementation and effectiveness of the CSRIC III recommendations and/or alternatives that stakeholders have developed since the time of the CSRIC’s original work to address these challenges.  </w:t>
      </w:r>
      <w:r w:rsidRPr="00397939">
        <w:rPr>
          <w:i/>
          <w:iCs/>
        </w:rPr>
        <w:t>See</w:t>
      </w:r>
      <w:r w:rsidRPr="00397939">
        <w:t xml:space="preserve"> </w:t>
      </w:r>
      <w:r w:rsidRPr="002C4CF3">
        <w:rPr>
          <w:i/>
          <w:iCs/>
        </w:rPr>
        <w:t>FCC’s Public Safety and Homeland Security Bureau Requests Comment on Implementation of CSRIC III Cybersecurity Best Practices</w:t>
      </w:r>
      <w:r w:rsidRPr="00397939">
        <w:t xml:space="preserve">, </w:t>
      </w:r>
      <w:r>
        <w:t xml:space="preserve">Public Notice, </w:t>
      </w:r>
      <w:r w:rsidRPr="00397939">
        <w:t>29 FCC Rcd 9217 (2014).</w:t>
      </w:r>
      <w:r>
        <w:t xml:space="preserve">  </w:t>
      </w:r>
    </w:p>
  </w:footnote>
  <w:footnote w:id="27">
    <w:p w:rsidR="00FD1F91" w:rsidRPr="00397939" w:rsidP="007063ED" w14:paraId="3C4AD708" w14:textId="760C0BFA">
      <w:pPr>
        <w:pStyle w:val="FootnoteText"/>
      </w:pPr>
      <w:r w:rsidRPr="00397939">
        <w:rPr>
          <w:rStyle w:val="FootnoteReference"/>
        </w:rPr>
        <w:footnoteRef/>
      </w:r>
      <w:r w:rsidRPr="00397939">
        <w:t xml:space="preserve"> </w:t>
      </w:r>
      <w:r w:rsidR="00200215">
        <w:rPr>
          <w:i/>
          <w:iCs/>
        </w:rPr>
        <w:t xml:space="preserve">See </w:t>
      </w:r>
      <w:r w:rsidR="00200215">
        <w:t xml:space="preserve">CSRIC VI, Report on best Practices and Recommendations to Mitigate Security Risks to Current IP-based Protocols, Final Report, at 20-21 (2019), </w:t>
      </w:r>
      <w:hyperlink r:id="rId23" w:history="1">
        <w:r w:rsidRPr="00FB60A9" w:rsidR="00200215">
          <w:rPr>
            <w:rStyle w:val="Hyperlink"/>
          </w:rPr>
          <w:t>https://www.fcc.gov/file/15311/download</w:t>
        </w:r>
      </w:hyperlink>
      <w:r w:rsidR="00200215">
        <w:t xml:space="preserve">.  </w:t>
      </w:r>
    </w:p>
  </w:footnote>
  <w:footnote w:id="28">
    <w:p w:rsidR="00FD1F91" w14:paraId="5A9FCF8F" w14:textId="473463BD">
      <w:pPr>
        <w:pStyle w:val="FootnoteText"/>
      </w:pPr>
      <w:r>
        <w:rPr>
          <w:rStyle w:val="FootnoteReference"/>
        </w:rPr>
        <w:footnoteRef/>
      </w:r>
      <w:r>
        <w:t xml:space="preserve"> </w:t>
      </w:r>
      <w:r>
        <w:rPr>
          <w:i/>
          <w:iCs/>
        </w:rPr>
        <w:t xml:space="preserve">Compare </w:t>
      </w:r>
      <w:r>
        <w:t xml:space="preserve">The 32-bit AS Number Report, </w:t>
      </w:r>
      <w:hyperlink r:id="rId24" w:history="1">
        <w:r w:rsidRPr="00BB0D71">
          <w:rPr>
            <w:rStyle w:val="Hyperlink"/>
          </w:rPr>
          <w:t>https://www.potaroo.net/tools/asn32/</w:t>
        </w:r>
      </w:hyperlink>
      <w:r>
        <w:t xml:space="preserve"> (counting 72,635 independently managed networks on the Internet as of February 16, 2022) </w:t>
      </w:r>
      <w:r>
        <w:rPr>
          <w:i/>
          <w:iCs/>
        </w:rPr>
        <w:t>with</w:t>
      </w:r>
      <w:r>
        <w:t xml:space="preserve"> MANRS Steering Committee Needs You, </w:t>
      </w:r>
      <w:hyperlink r:id="rId25" w:history="1">
        <w:r w:rsidRPr="0098746E">
          <w:rPr>
            <w:rStyle w:val="Hyperlink"/>
          </w:rPr>
          <w:t>https://www.manrs.org/2021/09/the-manrs-steering-committee-needs-you/</w:t>
        </w:r>
      </w:hyperlink>
      <w:r>
        <w:t xml:space="preserve"> (last visited Feb. 21, 2022) (stating that over 700 entities participate in MANRS representing over 750 autonomous systems); </w:t>
      </w:r>
      <w:r>
        <w:rPr>
          <w:i/>
          <w:iCs/>
        </w:rPr>
        <w:t>see also</w:t>
      </w:r>
      <w:r>
        <w:t xml:space="preserve"> MANRS Observatory, </w:t>
      </w:r>
      <w:hyperlink r:id="rId26" w:anchor="/overview" w:history="1">
        <w:r w:rsidRPr="00FB60A9">
          <w:rPr>
            <w:rStyle w:val="Hyperlink"/>
          </w:rPr>
          <w:t>https://observatory.manrs.org/#/overview</w:t>
        </w:r>
      </w:hyperlink>
      <w:r>
        <w:t xml:space="preserve"> (last visited Feb. 23, 2022). </w:t>
      </w:r>
    </w:p>
  </w:footnote>
  <w:footnote w:id="29">
    <w:p w:rsidR="0022588E" w14:paraId="4627D054" w14:textId="16BE4D0C">
      <w:pPr>
        <w:pStyle w:val="FootnoteText"/>
      </w:pPr>
      <w:r>
        <w:rPr>
          <w:rStyle w:val="FootnoteReference"/>
        </w:rPr>
        <w:footnoteRef/>
      </w:r>
      <w:r>
        <w:t xml:space="preserve"> </w:t>
      </w:r>
      <w:r w:rsidRPr="00620690" w:rsidR="00620690">
        <w:t xml:space="preserve">As an example, </w:t>
      </w:r>
      <w:r w:rsidR="00AF6427">
        <w:t xml:space="preserve">one such regional Internet registry, </w:t>
      </w:r>
      <w:r w:rsidRPr="00620690" w:rsidR="00620690">
        <w:t xml:space="preserve">the American Registry for Internet Numbers (ARIN) supports the roles of a digital </w:t>
      </w:r>
      <w:r w:rsidR="00AF6427">
        <w:t>c</w:t>
      </w:r>
      <w:r w:rsidRPr="00620690" w:rsidR="00620690">
        <w:t xml:space="preserve">ertificate </w:t>
      </w:r>
      <w:r w:rsidR="00AF6427">
        <w:t>a</w:t>
      </w:r>
      <w:r w:rsidRPr="00620690" w:rsidR="00620690">
        <w:t>uthority</w:t>
      </w:r>
      <w:r w:rsidR="00AF6427">
        <w:t xml:space="preserve"> and</w:t>
      </w:r>
      <w:r w:rsidRPr="00620690" w:rsidR="00620690">
        <w:t xml:space="preserve"> a</w:t>
      </w:r>
      <w:r w:rsidR="00AF6427">
        <w:t>cts as a</w:t>
      </w:r>
      <w:r w:rsidRPr="00620690" w:rsidR="00620690">
        <w:t xml:space="preserve"> repository for routing information and a</w:t>
      </w:r>
      <w:r w:rsidR="00AF6427">
        <w:t>s a</w:t>
      </w:r>
      <w:r w:rsidRPr="00620690" w:rsidR="00620690">
        <w:t xml:space="preserve"> validator of RPKI data.  </w:t>
      </w:r>
      <w:r w:rsidRPr="00781A3B" w:rsidR="00620690">
        <w:rPr>
          <w:i/>
          <w:iCs/>
        </w:rPr>
        <w:t>See</w:t>
      </w:r>
      <w:r w:rsidRPr="00620690" w:rsidR="00620690">
        <w:t xml:space="preserve"> ARIN</w:t>
      </w:r>
      <w:r w:rsidR="00E97E6D">
        <w:t>,</w:t>
      </w:r>
      <w:r w:rsidRPr="00620690" w:rsidR="00620690">
        <w:t xml:space="preserve"> Resource Certification, </w:t>
      </w:r>
      <w:hyperlink r:id="rId27" w:history="1">
        <w:r w:rsidRPr="00620690" w:rsidR="00620690">
          <w:rPr>
            <w:rStyle w:val="Hyperlink"/>
          </w:rPr>
          <w:t>https://www.arin.net/resources/manage/rpki/</w:t>
        </w:r>
      </w:hyperlink>
      <w:r w:rsidRPr="00620690" w:rsidR="00620690">
        <w:t xml:space="preserve"> </w:t>
      </w:r>
      <w:r w:rsidR="00E97E6D">
        <w:t>(</w:t>
      </w:r>
      <w:r w:rsidRPr="00620690" w:rsidR="00620690">
        <w:t>last v</w:t>
      </w:r>
      <w:r w:rsidR="00E97E6D">
        <w:t>isited</w:t>
      </w:r>
      <w:r w:rsidRPr="00620690" w:rsidR="00620690">
        <w:t xml:space="preserve"> </w:t>
      </w:r>
      <w:r w:rsidR="00E97E6D">
        <w:t xml:space="preserve">Feb. </w:t>
      </w:r>
      <w:r w:rsidRPr="00620690" w:rsidR="00620690">
        <w:t>23</w:t>
      </w:r>
      <w:r w:rsidR="00E97E6D">
        <w:t xml:space="preserve">, </w:t>
      </w:r>
      <w:r w:rsidRPr="00620690" w:rsidR="00620690">
        <w:t>2022</w:t>
      </w:r>
      <w:r w:rsidR="00E97E6D">
        <w:t>).</w:t>
      </w:r>
    </w:p>
  </w:footnote>
  <w:footnote w:id="30">
    <w:p w:rsidR="000707AA" w:rsidRPr="00F26F39" w:rsidP="000707AA" w14:paraId="59435ECC" w14:textId="77777777">
      <w:pPr>
        <w:pStyle w:val="FootnoteText"/>
      </w:pPr>
      <w:r>
        <w:rPr>
          <w:rStyle w:val="FootnoteReference"/>
        </w:rPr>
        <w:footnoteRef/>
      </w:r>
      <w:r>
        <w:t xml:space="preserve"> </w:t>
      </w:r>
      <w:r w:rsidRPr="00A44193">
        <w:rPr>
          <w:i/>
          <w:iCs/>
        </w:rPr>
        <w:t>See</w:t>
      </w:r>
      <w:r>
        <w:t xml:space="preserve"> IETF, Pervasive Monitoring is an Attack (2014), </w:t>
      </w:r>
      <w:hyperlink r:id="rId28" w:history="1">
        <w:r w:rsidRPr="0098746E">
          <w:rPr>
            <w:rStyle w:val="Hyperlink"/>
          </w:rPr>
          <w:t>https://datatracker.ietf.org/doc/html/rfc7258</w:t>
        </w:r>
      </w:hyperlink>
      <w:r>
        <w:rPr>
          <w:rStyle w:val="Hyperlink"/>
          <w:u w:val="none"/>
        </w:rPr>
        <w:t>.</w:t>
      </w:r>
    </w:p>
  </w:footnote>
  <w:footnote w:id="31">
    <w:p w:rsidR="00FD1F91" w:rsidP="007063ED" w14:paraId="38747FD1" w14:textId="44E3B557">
      <w:pPr>
        <w:pStyle w:val="FootnoteText"/>
      </w:pPr>
      <w:r>
        <w:rPr>
          <w:rStyle w:val="FootnoteReference"/>
        </w:rPr>
        <w:footnoteRef/>
      </w:r>
      <w:r>
        <w:t xml:space="preserve"> </w:t>
      </w:r>
      <w:r w:rsidRPr="00153FFB">
        <w:rPr>
          <w:i/>
          <w:iCs/>
        </w:rPr>
        <w:t>See</w:t>
      </w:r>
      <w:r>
        <w:t xml:space="preserve"> </w:t>
      </w:r>
      <w:r w:rsidRPr="00731790" w:rsidR="00E932B9">
        <w:rPr>
          <w:i/>
        </w:rPr>
        <w:t>NIST RPKI Monitor</w:t>
      </w:r>
      <w:r w:rsidRPr="00305341" w:rsidR="00E932B9">
        <w:t xml:space="preserve">, </w:t>
      </w:r>
      <w:hyperlink r:id="rId29" w:history="1">
        <w:r w:rsidRPr="002F6C12" w:rsidR="00E932B9">
          <w:rPr>
            <w:rStyle w:val="Hyperlink"/>
          </w:rPr>
          <w:t>https://rpki-monitor.antd.nist.gov/</w:t>
        </w:r>
      </w:hyperlink>
      <w:r w:rsidR="00E932B9">
        <w:t xml:space="preserve"> (last visited Feb. 23, 2022); </w:t>
      </w:r>
      <w:r w:rsidRPr="00731790">
        <w:rPr>
          <w:i/>
        </w:rPr>
        <w:t>RIPE Labs, ARTEMIS: An Open-source Tool for Detecting BGP Prefix Hijacking in Real Time</w:t>
      </w:r>
      <w:r>
        <w:t xml:space="preserve"> (Aug. 21, 2017),</w:t>
      </w:r>
      <w:r w:rsidRPr="00153FFB">
        <w:t xml:space="preserve"> </w:t>
      </w:r>
      <w:hyperlink r:id="rId30" w:history="1">
        <w:r w:rsidRPr="00BB0D71">
          <w:rPr>
            <w:rStyle w:val="Hyperlink"/>
          </w:rPr>
          <w:t>https://l</w:t>
        </w:r>
        <w:bookmarkStart w:id="21" w:name="_Hlt95917642"/>
        <w:bookmarkStart w:id="22" w:name="_Hlt95917643"/>
        <w:r w:rsidRPr="00BB0D71">
          <w:rPr>
            <w:rStyle w:val="Hyperlink"/>
          </w:rPr>
          <w:t>a</w:t>
        </w:r>
        <w:bookmarkEnd w:id="21"/>
        <w:bookmarkEnd w:id="22"/>
        <w:r w:rsidRPr="00BB0D71">
          <w:rPr>
            <w:rStyle w:val="Hyperlink"/>
          </w:rPr>
          <w:t>bs.ripe.net/author/vasileios_kotronis/artemis-an-open-source-tool-for-detecting-bgp-prefix-hijacking-in-real-time/</w:t>
        </w:r>
      </w:hyperlink>
      <w:r>
        <w:t xml:space="preserve">; </w:t>
      </w:r>
      <w:r w:rsidR="00E932B9">
        <w:t xml:space="preserve">Cisco, </w:t>
      </w:r>
      <w:r w:rsidRPr="00731790" w:rsidR="00E932B9">
        <w:rPr>
          <w:i/>
        </w:rPr>
        <w:t>BGPstream</w:t>
      </w:r>
      <w:r w:rsidR="00E932B9">
        <w:t xml:space="preserve">, </w:t>
      </w:r>
      <w:hyperlink r:id="rId31" w:history="1">
        <w:r w:rsidRPr="00FB60A9" w:rsidR="00E932B9">
          <w:rPr>
            <w:rStyle w:val="Hyperlink"/>
          </w:rPr>
          <w:t>https://bgpstream.com/</w:t>
        </w:r>
      </w:hyperlink>
      <w:r w:rsidR="00E932B9">
        <w:t xml:space="preserve"> (last visited Feb. 23, 2022); Cisco, </w:t>
      </w:r>
      <w:r w:rsidRPr="00731790" w:rsidR="00E932B9">
        <w:rPr>
          <w:i/>
        </w:rPr>
        <w:t>BGPMon</w:t>
      </w:r>
      <w:r w:rsidR="00E932B9">
        <w:t>,</w:t>
      </w:r>
      <w:r w:rsidRPr="00513365" w:rsidR="00E932B9">
        <w:t xml:space="preserve"> </w:t>
      </w:r>
      <w:hyperlink r:id="rId32" w:history="1">
        <w:r w:rsidRPr="00FB60A9" w:rsidR="00E932B9">
          <w:rPr>
            <w:rStyle w:val="Hyperlink"/>
          </w:rPr>
          <w:t>https://bgpmon.net/</w:t>
        </w:r>
      </w:hyperlink>
      <w:r w:rsidR="00E932B9">
        <w:t xml:space="preserve"> (last visited Feb. 23, 2022); </w:t>
      </w:r>
      <w:r w:rsidRPr="00731790" w:rsidR="00E932B9">
        <w:rPr>
          <w:i/>
        </w:rPr>
        <w:t>Kentik</w:t>
      </w:r>
      <w:r w:rsidRPr="00273CC9" w:rsidR="00E932B9">
        <w:t xml:space="preserve">, </w:t>
      </w:r>
      <w:hyperlink r:id="rId33" w:history="1">
        <w:r w:rsidRPr="002F6C12" w:rsidR="00E932B9">
          <w:rPr>
            <w:rStyle w:val="Hyperlink"/>
          </w:rPr>
          <w:t>https://www.kentik.com</w:t>
        </w:r>
      </w:hyperlink>
      <w:r w:rsidR="00E932B9">
        <w:t>/ (last visited Feb 23, 2022)</w:t>
      </w:r>
      <w:r w:rsidR="00365C0F">
        <w:t>;</w:t>
      </w:r>
      <w:r>
        <w:t xml:space="preserve"> </w:t>
      </w:r>
      <w:r w:rsidR="00A714CC">
        <w:t>KC</w:t>
      </w:r>
      <w:r w:rsidR="001353E4">
        <w:t xml:space="preserve"> </w:t>
      </w:r>
      <w:r w:rsidR="00A714CC">
        <w:t>C</w:t>
      </w:r>
      <w:r w:rsidR="001353E4">
        <w:t>laffy</w:t>
      </w:r>
      <w:r>
        <w:t>, Border Gateway Protocol (BGP) and Traceroute Data Workshop Report</w:t>
      </w:r>
      <w:r w:rsidRPr="00CF1E58">
        <w:t xml:space="preserve"> and Traceroute Data Workshop </w:t>
      </w:r>
      <w:r>
        <w:t>R</w:t>
      </w:r>
      <w:r w:rsidRPr="00CF1E58">
        <w:t xml:space="preserve">eport, </w:t>
      </w:r>
      <w:hyperlink r:id="rId34" w:history="1">
        <w:r w:rsidRPr="00CF1E58">
          <w:rPr>
            <w:rStyle w:val="Hyperlink"/>
          </w:rPr>
          <w:t>https://www.caida.org/catalog/papers/2012</w:t>
        </w:r>
        <w:bookmarkStart w:id="23" w:name="_Hlt95917907"/>
        <w:bookmarkStart w:id="24" w:name="_Hlt95917908"/>
        <w:r w:rsidRPr="00CF1E58">
          <w:rPr>
            <w:rStyle w:val="Hyperlink"/>
          </w:rPr>
          <w:t>_</w:t>
        </w:r>
        <w:bookmarkEnd w:id="23"/>
        <w:bookmarkEnd w:id="24"/>
        <w:r w:rsidRPr="00CF1E58">
          <w:rPr>
            <w:rStyle w:val="Hyperlink"/>
          </w:rPr>
          <w:t>bgp_traceroute_report/bgp-traceroute_report.pdf</w:t>
        </w:r>
      </w:hyperlink>
      <w:r>
        <w:t>;</w:t>
      </w:r>
      <w:r w:rsidRPr="00CF1E58">
        <w:t xml:space="preserve"> </w:t>
      </w:r>
      <w:r>
        <w:t xml:space="preserve">Tamir </w:t>
      </w:r>
      <w:r>
        <w:t>Carmeli</w:t>
      </w:r>
      <w:r>
        <w:t xml:space="preserve">, </w:t>
      </w:r>
      <w:r w:rsidRPr="00CF1E58">
        <w:t>Detection of BGP Hijacking Using TTL Analysis</w:t>
      </w:r>
      <w:r>
        <w:t xml:space="preserve"> (2018),</w:t>
      </w:r>
      <w:r w:rsidRPr="00CF1E58">
        <w:t xml:space="preserve"> </w:t>
      </w:r>
      <w:hyperlink r:id="rId35" w:history="1">
        <w:r w:rsidRPr="00BB0D71">
          <w:rPr>
            <w:rStyle w:val="Hyperlink"/>
          </w:rPr>
          <w:t>https://ww</w:t>
        </w:r>
        <w:bookmarkStart w:id="25" w:name="_Hlt95918006"/>
        <w:r w:rsidRPr="00BB0D71">
          <w:rPr>
            <w:rStyle w:val="Hyperlink"/>
          </w:rPr>
          <w:t>w</w:t>
        </w:r>
        <w:bookmarkEnd w:id="25"/>
        <w:r w:rsidRPr="00BB0D71">
          <w:rPr>
            <w:rStyle w:val="Hyperlink"/>
          </w:rPr>
          <w:t>.cs.technion.ac.il/users/wwwb/cgi-bin/tr-get.cgi/2018/MSC/MSC-2018-05.pdf</w:t>
        </w:r>
      </w:hyperlink>
      <w:r w:rsidR="00365C0F">
        <w:rPr>
          <w:rStyle w:val="Hyperlink"/>
        </w:rPr>
        <w:t>.</w:t>
      </w:r>
      <w:r>
        <w:t xml:space="preserve"> </w:t>
      </w:r>
    </w:p>
  </w:footnote>
  <w:footnote w:id="32">
    <w:p w:rsidR="00FD1F91" w14:paraId="24B5221D" w14:textId="552C9895">
      <w:pPr>
        <w:pStyle w:val="FootnoteText"/>
      </w:pPr>
      <w:r>
        <w:rPr>
          <w:rStyle w:val="FootnoteReference"/>
        </w:rPr>
        <w:footnoteRef/>
      </w:r>
      <w:r>
        <w:t xml:space="preserve"> </w:t>
      </w:r>
      <w:r>
        <w:rPr>
          <w:i/>
          <w:iCs/>
        </w:rPr>
        <w:t xml:space="preserve">See </w:t>
      </w:r>
      <w:r>
        <w:t xml:space="preserve">NIST, </w:t>
      </w:r>
      <w:r w:rsidRPr="00731790">
        <w:rPr>
          <w:i/>
        </w:rPr>
        <w:t>RPKI Monitor</w:t>
      </w:r>
      <w:r>
        <w:t xml:space="preserve">, </w:t>
      </w:r>
      <w:hyperlink r:id="rId29" w:history="1">
        <w:r w:rsidRPr="00493F9D">
          <w:rPr>
            <w:rStyle w:val="Hyperlink"/>
          </w:rPr>
          <w:t>https://rpki-monitor.antd.nist.gov/</w:t>
        </w:r>
      </w:hyperlink>
      <w:r>
        <w:t xml:space="preserve"> (last visited Feb. 22, 2022) (showing that 34% of IPv4 Internet traffic is validated using RPKI). </w:t>
      </w:r>
    </w:p>
  </w:footnote>
  <w:footnote w:id="33">
    <w:p w:rsidR="00FD1F91" w:rsidP="00F624B4" w14:paraId="2770711B" w14:textId="33E29150">
      <w:pPr>
        <w:pStyle w:val="FootnoteText"/>
      </w:pPr>
      <w:r>
        <w:rPr>
          <w:rStyle w:val="FootnoteReference"/>
        </w:rPr>
        <w:footnoteRef/>
      </w:r>
      <w:r>
        <w:t xml:space="preserve"> </w:t>
      </w:r>
      <w:r w:rsidRPr="00397939">
        <w:rPr>
          <w:i/>
          <w:iCs/>
        </w:rPr>
        <w:t>See</w:t>
      </w:r>
      <w:r w:rsidRPr="00397939">
        <w:t xml:space="preserve"> Phillip Smith, BGP Origin Validation, ISP Workshops</w:t>
      </w:r>
      <w:r>
        <w:t xml:space="preserve"> (2022),</w:t>
      </w:r>
      <w:r w:rsidRPr="00397939">
        <w:rPr>
          <w:i/>
          <w:iCs/>
        </w:rPr>
        <w:t xml:space="preserve"> </w:t>
      </w:r>
      <w:hyperlink r:id="rId36" w:history="1">
        <w:r w:rsidRPr="00397939">
          <w:rPr>
            <w:rStyle w:val="Hyperlink"/>
          </w:rPr>
          <w:t>https://bgp4all.com/pfs/_media/workshops/02-rpki.pdf</w:t>
        </w:r>
      </w:hyperlink>
      <w:r w:rsidRPr="00397939">
        <w:t xml:space="preserve">; </w:t>
      </w:r>
      <w:r w:rsidRPr="00397939">
        <w:rPr>
          <w:i/>
          <w:iCs/>
        </w:rPr>
        <w:t>see also</w:t>
      </w:r>
      <w:r w:rsidRPr="00397939">
        <w:t xml:space="preserve"> BGPsec, </w:t>
      </w:r>
      <w:r w:rsidRPr="00731790">
        <w:rPr>
          <w:i/>
        </w:rPr>
        <w:t>History</w:t>
      </w:r>
      <w:r w:rsidRPr="00397939">
        <w:t xml:space="preserve">, </w:t>
      </w:r>
      <w:hyperlink r:id="rId37" w:history="1">
        <w:r w:rsidRPr="00397939">
          <w:rPr>
            <w:rStyle w:val="Hyperlink"/>
          </w:rPr>
          <w:t>https://bgpsec.net/history.html</w:t>
        </w:r>
      </w:hyperlink>
      <w:r w:rsidRPr="00397939">
        <w:t xml:space="preserve"> (</w:t>
      </w:r>
      <w:r w:rsidR="00BE5BFF">
        <w:t xml:space="preserve">last visited Feb. 24, 2022) </w:t>
      </w:r>
      <w:r w:rsidRPr="00397939">
        <w:t>(targeting 2026 for a global launch of BGPsec).</w:t>
      </w:r>
    </w:p>
  </w:footnote>
  <w:footnote w:id="34">
    <w:p w:rsidR="00FD1F91" w:rsidRPr="004F4141" w:rsidP="004F4141" w14:paraId="5F77A469" w14:textId="5B489117">
      <w:pPr>
        <w:pStyle w:val="FootnoteText"/>
      </w:pPr>
      <w:r>
        <w:rPr>
          <w:rStyle w:val="FootnoteReference"/>
        </w:rPr>
        <w:footnoteRef/>
      </w:r>
      <w:r>
        <w:t xml:space="preserve"> </w:t>
      </w:r>
      <w:r>
        <w:rPr>
          <w:i/>
          <w:iCs/>
        </w:rPr>
        <w:t>See</w:t>
      </w:r>
      <w:r>
        <w:t xml:space="preserve"> Robert </w:t>
      </w:r>
      <w:r>
        <w:t>Lychev</w:t>
      </w:r>
      <w:r>
        <w:t xml:space="preserve">, et al., BGP Security in Partial Deployment (2013), </w:t>
      </w:r>
      <w:hyperlink r:id="rId38" w:history="1">
        <w:r w:rsidRPr="00493F9D">
          <w:rPr>
            <w:rStyle w:val="Hyperlink"/>
          </w:rPr>
          <w:t>https://www.cs.bu.edu/~goldbe/papers/partialSec.pdf</w:t>
        </w:r>
      </w:hyperlink>
      <w:r>
        <w:t xml:space="preserve"> (</w:t>
      </w:r>
      <w:bookmarkStart w:id="26" w:name="_Hlk96428025"/>
      <w:r>
        <w:t>purporting to show that partial deployment of BGPsec performs poorly, can cause instability, and is susceptible to downgrade attacks</w:t>
      </w:r>
      <w:bookmarkEnd w:id="26"/>
      <w:r>
        <w:t>).</w:t>
      </w:r>
    </w:p>
  </w:footnote>
  <w:footnote w:id="35">
    <w:p w:rsidR="00FD1F91" w:rsidRPr="00397939" w:rsidP="009C22D5" w14:paraId="4F088A6C" w14:textId="7AA83455">
      <w:pPr>
        <w:pStyle w:val="FootnoteText"/>
      </w:pPr>
      <w:r w:rsidRPr="00397939">
        <w:rPr>
          <w:rStyle w:val="FootnoteReference"/>
        </w:rPr>
        <w:footnoteRef/>
      </w:r>
      <w:r w:rsidRPr="00397939">
        <w:t xml:space="preserve"> </w:t>
      </w:r>
      <w:r w:rsidRPr="00D63E5A" w:rsidR="002B0EE6">
        <w:rPr>
          <w:rFonts w:eastAsia="Calibri"/>
          <w:i/>
          <w:iCs/>
        </w:rPr>
        <w:t xml:space="preserve">See </w:t>
      </w:r>
      <w:r w:rsidR="00DB5A61">
        <w:rPr>
          <w:rFonts w:eastAsia="Calibri"/>
        </w:rPr>
        <w:t>MA</w:t>
      </w:r>
      <w:r w:rsidR="00E02247">
        <w:rPr>
          <w:rFonts w:eastAsia="Calibri"/>
        </w:rPr>
        <w:t>N</w:t>
      </w:r>
      <w:r w:rsidR="00DB5A61">
        <w:rPr>
          <w:rFonts w:eastAsia="Calibri"/>
        </w:rPr>
        <w:t>RS,</w:t>
      </w:r>
      <w:r w:rsidR="002B0EE6">
        <w:rPr>
          <w:rFonts w:eastAsia="Calibri"/>
        </w:rPr>
        <w:t xml:space="preserve"> </w:t>
      </w:r>
      <w:r w:rsidRPr="00D63E5A" w:rsidR="002B0EE6">
        <w:t>MANRS Community Report 2021</w:t>
      </w:r>
      <w:r w:rsidR="00AF249A">
        <w:t xml:space="preserve"> (</w:t>
      </w:r>
      <w:r w:rsidRPr="00D63E5A" w:rsidR="002B0EE6">
        <w:t>2022</w:t>
      </w:r>
      <w:r w:rsidR="00AF249A">
        <w:t>)</w:t>
      </w:r>
      <w:r w:rsidRPr="00D63E5A" w:rsidR="002B0EE6">
        <w:t xml:space="preserve">, </w:t>
      </w:r>
      <w:hyperlink r:id="rId39" w:history="1">
        <w:r w:rsidRPr="00731790" w:rsidR="002B0EE6">
          <w:rPr>
            <w:rStyle w:val="Hyperlink"/>
          </w:rPr>
          <w:t>https://www.manrs.org/resources/community-report-2021/</w:t>
        </w:r>
      </w:hyperlink>
      <w:r w:rsidRPr="00D63E5A" w:rsidR="002B0EE6">
        <w:t>; MANRS</w:t>
      </w:r>
      <w:r w:rsidR="00E02247">
        <w:t xml:space="preserve">, </w:t>
      </w:r>
      <w:r w:rsidRPr="00D63E5A" w:rsidR="002B0EE6">
        <w:t xml:space="preserve">MANRS Community Report 2020 </w:t>
      </w:r>
      <w:r w:rsidR="00E02247">
        <w:t>(</w:t>
      </w:r>
      <w:r w:rsidRPr="00D63E5A" w:rsidR="002B0EE6">
        <w:t>2021</w:t>
      </w:r>
      <w:r w:rsidR="00E02247">
        <w:t>)</w:t>
      </w:r>
      <w:r w:rsidRPr="00D63E5A" w:rsidR="002B0EE6">
        <w:t xml:space="preserve">, </w:t>
      </w:r>
      <w:hyperlink r:id="rId40" w:history="1">
        <w:r w:rsidRPr="00305341" w:rsidR="002B0EE6">
          <w:rPr>
            <w:rStyle w:val="Hyperlink"/>
          </w:rPr>
          <w:t>https://www.manrs.org/resources/community-report-2020/</w:t>
        </w:r>
      </w:hyperlink>
      <w:r w:rsidRPr="00305341" w:rsidR="002B0EE6">
        <w:rPr>
          <w:color w:val="D13438"/>
          <w:u w:val="single"/>
        </w:rPr>
        <w:t xml:space="preserve"> </w:t>
      </w:r>
      <w:r w:rsidRPr="00D63E5A" w:rsidR="002B0EE6">
        <w:rPr>
          <w:rFonts w:eastAsia="Arial"/>
        </w:rPr>
        <w:t>(</w:t>
      </w:r>
      <w:r w:rsidRPr="00D63E5A" w:rsidR="00D63E5A">
        <w:rPr>
          <w:rFonts w:eastAsia="Arial"/>
        </w:rPr>
        <w:t>“</w:t>
      </w:r>
      <w:r w:rsidRPr="00D63E5A" w:rsidR="002B0EE6">
        <w:rPr>
          <w:rFonts w:eastAsia="Arial"/>
        </w:rPr>
        <w:t>The number of reported routing incidents has been decreasing from more than 5,000 in 2017 to below 4,000 at the end of 2020, while the number of MANRS participants has been increasing</w:t>
      </w:r>
      <w:r w:rsidRPr="00D63E5A" w:rsidR="00D63E5A">
        <w:rPr>
          <w:rFonts w:eastAsia="Arial"/>
        </w:rPr>
        <w:t>”</w:t>
      </w:r>
      <w:r w:rsidRPr="00D63E5A" w:rsidR="002B0EE6">
        <w:rPr>
          <w:rFonts w:eastAsia="Arial"/>
        </w:rPr>
        <w:t>)</w:t>
      </w:r>
      <w:r w:rsidRPr="00A97E60" w:rsidR="002B0EE6">
        <w:t>;</w:t>
      </w:r>
      <w:r w:rsidR="002B0EE6">
        <w:rPr>
          <w:i/>
          <w:iCs/>
        </w:rPr>
        <w:t xml:space="preserve"> </w:t>
      </w:r>
      <w:r w:rsidRPr="00397939" w:rsidR="001725F0">
        <w:t>Hosting Journalist</w:t>
      </w:r>
      <w:r w:rsidR="001725F0">
        <w:t>,</w:t>
      </w:r>
      <w:r w:rsidRPr="00397939" w:rsidR="001725F0">
        <w:t xml:space="preserve"> </w:t>
      </w:r>
      <w:r w:rsidRPr="00397939">
        <w:rPr>
          <w:i/>
          <w:iCs/>
        </w:rPr>
        <w:t>All China Telecom Backbone Networks Now Meeting MANRS Security Standards</w:t>
      </w:r>
      <w:r w:rsidR="005E55FF">
        <w:t xml:space="preserve"> </w:t>
      </w:r>
      <w:r w:rsidRPr="00397939">
        <w:t>(Jun. 6, 2021),</w:t>
      </w:r>
      <w:r w:rsidRPr="00397939">
        <w:rPr>
          <w:i/>
          <w:iCs/>
        </w:rPr>
        <w:t xml:space="preserve"> </w:t>
      </w:r>
      <w:hyperlink r:id="rId41" w:history="1">
        <w:r w:rsidRPr="00397939">
          <w:rPr>
            <w:rStyle w:val="Hyperlink"/>
          </w:rPr>
          <w:t>https://hostingjournalist.com/all-china-telecom-backbone-networks-now-meeting-manrs-security-standards/</w:t>
        </w:r>
      </w:hyperlink>
      <w:r w:rsidRPr="00397939">
        <w:t>.</w:t>
      </w:r>
    </w:p>
  </w:footnote>
  <w:footnote w:id="36">
    <w:p w:rsidR="00FD1F91" w:rsidRPr="00397939" w:rsidP="002033A2" w14:paraId="439E5172" w14:textId="6F309320">
      <w:pPr>
        <w:pStyle w:val="FootnoteText"/>
      </w:pPr>
      <w:r w:rsidRPr="00397939">
        <w:rPr>
          <w:rStyle w:val="FootnoteReference"/>
        </w:rPr>
        <w:footnoteRef/>
      </w:r>
      <w:r w:rsidRPr="00397939">
        <w:t xml:space="preserve"> </w:t>
      </w:r>
      <w:r w:rsidRPr="00397939">
        <w:rPr>
          <w:i/>
          <w:iCs/>
        </w:rPr>
        <w:t>See MANRS for Network Operators</w:t>
      </w:r>
      <w:r w:rsidRPr="00397939">
        <w:t>, v. 2.5.2 (May 17, 2021).</w:t>
      </w:r>
      <w:r w:rsidRPr="00397939">
        <w:rPr>
          <w:i/>
          <w:iCs/>
        </w:rPr>
        <w:t xml:space="preserve"> </w:t>
      </w:r>
      <w:hyperlink r:id="rId42" w:history="1">
        <w:r w:rsidRPr="00397939">
          <w:rPr>
            <w:rStyle w:val="Hyperlink"/>
          </w:rPr>
          <w:t>https://www.manrs.org/isps/</w:t>
        </w:r>
      </w:hyperlink>
      <w:r w:rsidRPr="00397939">
        <w:t xml:space="preserve">; </w:t>
      </w:r>
      <w:r w:rsidRPr="00397939">
        <w:rPr>
          <w:i/>
          <w:iCs/>
        </w:rPr>
        <w:t>MANRS for IXPs</w:t>
      </w:r>
      <w:r w:rsidRPr="00397939">
        <w:t>,</w:t>
      </w:r>
      <w:r w:rsidRPr="00397939">
        <w:rPr>
          <w:i/>
          <w:iCs/>
        </w:rPr>
        <w:t xml:space="preserve"> </w:t>
      </w:r>
      <w:hyperlink r:id="rId43" w:history="1">
        <w:r w:rsidRPr="00397939">
          <w:rPr>
            <w:rStyle w:val="Hyperlink"/>
          </w:rPr>
          <w:t>https://www.manrs.org/ixps/</w:t>
        </w:r>
      </w:hyperlink>
      <w:r w:rsidRPr="00397939">
        <w:t xml:space="preserve"> (last visited Feb. 16, 2021); </w:t>
      </w:r>
      <w:r w:rsidRPr="00397939">
        <w:rPr>
          <w:i/>
          <w:iCs/>
        </w:rPr>
        <w:t>MANRS for CDN and Cloud Providers</w:t>
      </w:r>
      <w:r w:rsidRPr="00397939">
        <w:t xml:space="preserve">, </w:t>
      </w:r>
      <w:hyperlink r:id="rId44" w:history="1">
        <w:r w:rsidRPr="00397939">
          <w:rPr>
            <w:rStyle w:val="Hyperlink"/>
          </w:rPr>
          <w:t>https://www.manrs.org/cdn-cloud-providers/</w:t>
        </w:r>
      </w:hyperlink>
      <w:r w:rsidRPr="00397939">
        <w:t xml:space="preserve"> (last visited Feb. 16, 2021); </w:t>
      </w:r>
      <w:r w:rsidRPr="00397939">
        <w:rPr>
          <w:i/>
          <w:iCs/>
        </w:rPr>
        <w:t>MANRS for Equipment Vendors</w:t>
      </w:r>
      <w:r w:rsidRPr="00397939">
        <w:t xml:space="preserve">, </w:t>
      </w:r>
      <w:hyperlink r:id="rId45" w:history="1">
        <w:r w:rsidRPr="00397939">
          <w:rPr>
            <w:rStyle w:val="Hyperlink"/>
          </w:rPr>
          <w:t>https://www.manrs.org/equipment-vendors/</w:t>
        </w:r>
      </w:hyperlink>
      <w:r w:rsidRPr="00397939">
        <w:t xml:space="preserve"> (last visited Feb. 16, 2021). </w:t>
      </w:r>
    </w:p>
  </w:footnote>
  <w:footnote w:id="37">
    <w:p w:rsidR="00FD1F91" w:rsidRPr="00397939" w:rsidP="007063ED" w14:paraId="51CD096E" w14:textId="21EC9E9C">
      <w:pPr>
        <w:pStyle w:val="FootnoteText"/>
      </w:pPr>
      <w:r w:rsidRPr="00397939">
        <w:rPr>
          <w:rStyle w:val="FootnoteReference"/>
        </w:rPr>
        <w:footnoteRef/>
      </w:r>
      <w:r w:rsidRPr="00397939">
        <w:t xml:space="preserve"> </w:t>
      </w:r>
      <w:r w:rsidRPr="00397939">
        <w:rPr>
          <w:i/>
          <w:iCs/>
        </w:rPr>
        <w:t xml:space="preserve">See </w:t>
      </w:r>
      <w:r w:rsidR="00124B09">
        <w:t>Converge,</w:t>
      </w:r>
      <w:r>
        <w:t xml:space="preserve"> </w:t>
      </w:r>
      <w:r w:rsidRPr="00F26F39">
        <w:rPr>
          <w:i/>
          <w:iCs/>
        </w:rPr>
        <w:t>Leading vendors agree to tackle vulnerabilities in global routing</w:t>
      </w:r>
      <w:r w:rsidR="00124B09">
        <w:t xml:space="preserve"> </w:t>
      </w:r>
      <w:r w:rsidRPr="00397939">
        <w:t xml:space="preserve">(Sep. 15, 2021), </w:t>
      </w:r>
      <w:hyperlink r:id="rId46" w:history="1">
        <w:r w:rsidRPr="00397939">
          <w:rPr>
            <w:rStyle w:val="Hyperlink"/>
          </w:rPr>
          <w:t>https://www.convergedigest.com/2021/09/leading-vendors-agree-to-tackle.html</w:t>
        </w:r>
      </w:hyperlink>
      <w:r w:rsidRPr="00397939">
        <w:t xml:space="preserve"> (stating that this initiative is backed by Arista, Cisco, Huawei, Juniper, and Nokia).</w:t>
      </w:r>
    </w:p>
  </w:footnote>
  <w:footnote w:id="38">
    <w:p w:rsidR="00FD1F91" w:rsidP="001F1109" w14:paraId="2512C18A" w14:textId="22242AE8">
      <w:pPr>
        <w:pStyle w:val="FootnoteText"/>
      </w:pPr>
      <w:r>
        <w:rPr>
          <w:rStyle w:val="FootnoteReference"/>
        </w:rPr>
        <w:footnoteRef/>
      </w:r>
      <w:r>
        <w:t xml:space="preserve"> </w:t>
      </w:r>
      <w:r>
        <w:rPr>
          <w:i/>
          <w:iCs/>
        </w:rPr>
        <w:t>See</w:t>
      </w:r>
      <w:r>
        <w:t xml:space="preserve">, </w:t>
      </w:r>
      <w:r>
        <w:rPr>
          <w:i/>
          <w:iCs/>
        </w:rPr>
        <w:t>e.g.</w:t>
      </w:r>
      <w:r>
        <w:t>,</w:t>
      </w:r>
      <w:r>
        <w:rPr>
          <w:i/>
          <w:iCs/>
        </w:rPr>
        <w:t xml:space="preserve"> </w:t>
      </w:r>
      <w:r w:rsidRPr="00F65869">
        <w:rPr>
          <w:i/>
          <w:iCs/>
        </w:rPr>
        <w:t>FCC Urges Communications Companies to Review Cybersecurity Practices to Defend Against Cyber Threats to Critical Infrastructure</w:t>
      </w:r>
      <w:r>
        <w:t xml:space="preserve">, </w:t>
      </w:r>
      <w:r w:rsidR="00E728C1">
        <w:t xml:space="preserve">Public Notice, </w:t>
      </w:r>
      <w:r>
        <w:t xml:space="preserve">DA 22-75 (PSHSB Jan. 21, 2022); </w:t>
      </w:r>
      <w:r>
        <w:rPr>
          <w:i/>
          <w:iCs/>
        </w:rPr>
        <w:t>Protecting Against National Security Threats to the Communications Supply Chain through the Equipment Authorization Program</w:t>
      </w:r>
      <w:r>
        <w:t xml:space="preserve">; </w:t>
      </w:r>
      <w:r>
        <w:rPr>
          <w:i/>
          <w:iCs/>
        </w:rPr>
        <w:t>Protecting Against National Security threats to the Communications Supply Chain through the Competitive Bidding Program</w:t>
      </w:r>
      <w:r>
        <w:t xml:space="preserve">, ET Docket No 21-232, EA Docket No. 21-233, Notice of Proposed Rulemaking and Notice of Inquiry, FCC 21-73, paras. 98-105 (Jun. 17, 2021); </w:t>
      </w:r>
      <w:r w:rsidRPr="00397939">
        <w:rPr>
          <w:i/>
          <w:iCs/>
        </w:rPr>
        <w:t>China Telecom (Americas) Corporation</w:t>
      </w:r>
      <w:r w:rsidRPr="00397939">
        <w:t>, GN Docket No. 20-109, ITC-214-20010613-00346; ITC-214-20020716-00371; ITC-T/C-20070725-00285, Order</w:t>
      </w:r>
      <w:r w:rsidR="00E728C1">
        <w:t xml:space="preserve"> on Revocation and Termination</w:t>
      </w:r>
      <w:r w:rsidRPr="00397939">
        <w:t>, FCC 21-114, para.</w:t>
      </w:r>
      <w:r>
        <w:t xml:space="preserve"> </w:t>
      </w:r>
      <w:r w:rsidRPr="00397939">
        <w:t>2 (Nov. 2, 2021).</w:t>
      </w:r>
    </w:p>
  </w:footnote>
  <w:footnote w:id="39">
    <w:p w:rsidR="00265ED6" w14:paraId="3BAB2F27" w14:textId="7683A864">
      <w:pPr>
        <w:pStyle w:val="FootnoteText"/>
      </w:pPr>
      <w:r>
        <w:rPr>
          <w:rStyle w:val="FootnoteReference"/>
        </w:rPr>
        <w:footnoteRef/>
      </w:r>
      <w:r>
        <w:t xml:space="preserve"> </w:t>
      </w:r>
      <w:r w:rsidRPr="71D6D47A">
        <w:t>Other federal agencies are engaged in cybersecurity and specifically BGP security, including NIST, the Department of Homeland Security, and the National Telecommunications and Information Administration</w:t>
      </w:r>
      <w:r>
        <w:t>.</w:t>
      </w:r>
    </w:p>
  </w:footnote>
  <w:footnote w:id="40">
    <w:p w:rsidR="00AF602C" w:rsidRPr="00823393" w:rsidP="00AF602C" w14:paraId="712DB8D7" w14:textId="77777777">
      <w:pPr>
        <w:pStyle w:val="FootnoteText"/>
      </w:pPr>
      <w:r w:rsidRPr="0041424C">
        <w:rPr>
          <w:rStyle w:val="FootnoteReference"/>
        </w:rPr>
        <w:footnoteRef/>
      </w:r>
      <w:r w:rsidRPr="0041424C">
        <w:t xml:space="preserve"> </w:t>
      </w:r>
      <w:r w:rsidRPr="00847DCC">
        <w:t>Section 1 of the Communications Act of 1934 as amended provides that the FCC “</w:t>
      </w:r>
      <w:r w:rsidRPr="00847DCC">
        <w:t>regulat</w:t>
      </w:r>
      <w:r w:rsidRPr="00847DCC">
        <w:t>[e</w:t>
      </w:r>
      <w:r w:rsidRPr="00823393">
        <w:t>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41">
    <w:p w:rsidR="00AF602C" w:rsidRPr="00823393" w:rsidP="00AF602C" w14:paraId="02190BF7" w14:textId="77777777">
      <w:pPr>
        <w:pStyle w:val="FootnoteText"/>
      </w:pPr>
      <w:r w:rsidRPr="0041424C">
        <w:rPr>
          <w:rStyle w:val="FootnoteReference"/>
        </w:rPr>
        <w:footnoteRef/>
      </w:r>
      <w:r w:rsidRPr="0041424C">
        <w:t xml:space="preserve"> </w:t>
      </w:r>
      <w:r>
        <w:t>T</w:t>
      </w:r>
      <w:r w:rsidRPr="00847DCC">
        <w:t xml:space="preserve">he term “equity” </w:t>
      </w:r>
      <w:r>
        <w:t xml:space="preserve">is used here </w:t>
      </w:r>
      <w:r w:rsidRPr="00847DCC">
        <w:t>consistent with Ex</w:t>
      </w:r>
      <w:r w:rsidRPr="00823393">
        <w:t xml:space="preserve">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sidRPr="00823393">
        <w:rPr>
          <w:i/>
          <w:iCs/>
        </w:rPr>
        <w:t>See</w:t>
      </w:r>
      <w:r w:rsidRPr="00823393">
        <w:t xml:space="preserve"> Exec. Order No. 13985, 86 Fed. Reg. 7009, Executive Order on Advancing Racial Equity and Support for Underserved Communities Through the Federal Government (January 20, 2021).</w:t>
      </w:r>
    </w:p>
  </w:footnote>
  <w:footnote w:id="42">
    <w:p w:rsidR="00FD1F91" w:rsidRPr="00397939" w:rsidP="007063ED" w14:paraId="7FCB418D" w14:textId="36868B62">
      <w:pPr>
        <w:pStyle w:val="FootnoteText"/>
      </w:pPr>
      <w:r w:rsidRPr="00397939">
        <w:rPr>
          <w:rStyle w:val="FootnoteReference"/>
        </w:rPr>
        <w:footnoteRef/>
      </w:r>
      <w:r w:rsidRPr="00397939">
        <w:t xml:space="preserve"> 47 CFR §</w:t>
      </w:r>
      <w:r>
        <w:t xml:space="preserve"> </w:t>
      </w:r>
      <w:r w:rsidRPr="00397939">
        <w:t>1.1200(a)</w:t>
      </w:r>
      <w:r w:rsidRPr="00397939">
        <w:rPr>
          <w:iCs/>
        </w:rPr>
        <w:t xml:space="preserve">.  Although the </w:t>
      </w:r>
      <w:r>
        <w:rPr>
          <w:iCs/>
        </w:rPr>
        <w:t>r</w:t>
      </w:r>
      <w:r w:rsidRPr="00397939">
        <w:rPr>
          <w:iCs/>
        </w:rPr>
        <w:t xml:space="preserve">ules do not generally require </w:t>
      </w:r>
      <w:r w:rsidRPr="00397939">
        <w:rPr>
          <w:i/>
          <w:iCs/>
        </w:rPr>
        <w:t xml:space="preserve">ex </w:t>
      </w:r>
      <w:r w:rsidRPr="00397939">
        <w:rPr>
          <w:i/>
          <w:iCs/>
        </w:rPr>
        <w:t>parte</w:t>
      </w:r>
      <w:r w:rsidRPr="00397939">
        <w:rPr>
          <w:iCs/>
        </w:rPr>
        <w:t xml:space="preserve"> presentations to be treated as “permit but disclose” in Notice of Inquiry proceedings, </w:t>
      </w:r>
      <w:r w:rsidRPr="00397939">
        <w:rPr>
          <w:i/>
          <w:iCs/>
        </w:rPr>
        <w:t>see</w:t>
      </w:r>
      <w:r w:rsidRPr="00397939">
        <w:rPr>
          <w:iCs/>
        </w:rPr>
        <w:t xml:space="preserve"> 47 CFR §</w:t>
      </w:r>
      <w:r>
        <w:rPr>
          <w:iCs/>
        </w:rPr>
        <w:t xml:space="preserve"> </w:t>
      </w:r>
      <w:r w:rsidRPr="00397939">
        <w:rPr>
          <w:iCs/>
        </w:rPr>
        <w:t xml:space="preserve">1.1204(b)(1), we exercise our discretion in this instance, and find that the public interest is served by making </w:t>
      </w:r>
      <w:r w:rsidRPr="00397939">
        <w:rPr>
          <w:i/>
          <w:iCs/>
        </w:rPr>
        <w:t xml:space="preserve">ex </w:t>
      </w:r>
      <w:r w:rsidRPr="00397939">
        <w:rPr>
          <w:i/>
          <w:iCs/>
        </w:rPr>
        <w:t>parte</w:t>
      </w:r>
      <w:r w:rsidRPr="00397939">
        <w:rPr>
          <w:iCs/>
        </w:rPr>
        <w:t xml:space="preserve"> presentations available to the public, in order to encourage a robust record.  </w:t>
      </w:r>
      <w:r w:rsidRPr="00397939">
        <w:rPr>
          <w:i/>
          <w:iCs/>
        </w:rPr>
        <w:t>See id.</w:t>
      </w:r>
      <w:r w:rsidRPr="00397939">
        <w:t xml:space="preserve"> </w:t>
      </w:r>
      <w:r w:rsidRPr="00397939">
        <w:rPr>
          <w:iCs/>
        </w:rPr>
        <w:t>§</w:t>
      </w:r>
      <w:r>
        <w:rPr>
          <w:iCs/>
        </w:rPr>
        <w:t xml:space="preserve"> </w:t>
      </w:r>
      <w:r w:rsidRPr="00397939">
        <w:rPr>
          <w:iCs/>
        </w:rPr>
        <w:t xml:space="preserve">1.1200(a).  </w:t>
      </w:r>
    </w:p>
  </w:footnote>
  <w:footnote w:id="43">
    <w:p w:rsidR="00FD1F91" w:rsidP="00FD1F91" w14:paraId="460D7F00" w14:textId="77777777">
      <w:pPr>
        <w:pStyle w:val="FootnoteText"/>
      </w:pPr>
      <w:r>
        <w:rPr>
          <w:rStyle w:val="FootnoteReference"/>
        </w:rPr>
        <w:footnoteRef/>
      </w:r>
      <w:r>
        <w:t xml:space="preserve"> 47 CFR </w:t>
      </w:r>
      <w:r>
        <w:rPr>
          <w:rFonts w:cstheme="minorHAnsi"/>
        </w:rPr>
        <w:t>§</w:t>
      </w:r>
      <w:r>
        <w:t xml:space="preserve"> 0.459.</w:t>
      </w:r>
    </w:p>
  </w:footnote>
  <w:footnote w:id="44">
    <w:p w:rsidR="00FD1F91" w:rsidRPr="00397939" w:rsidP="007063ED" w14:paraId="339EAB9E" w14:textId="77777777">
      <w:pPr>
        <w:pStyle w:val="FootnoteText"/>
      </w:pPr>
      <w:r w:rsidRPr="00397939">
        <w:rPr>
          <w:rStyle w:val="FootnoteReference"/>
        </w:rPr>
        <w:footnoteRef/>
      </w:r>
      <w:r w:rsidRPr="00397939">
        <w:t xml:space="preserve"> </w:t>
      </w:r>
      <w:r w:rsidRPr="00397939">
        <w:rPr>
          <w:i/>
          <w:iCs/>
        </w:rPr>
        <w:t xml:space="preserve">See </w:t>
      </w:r>
      <w:r w:rsidRPr="00397939">
        <w:t xml:space="preserve">FCC Announces Closure of FCC Headquarters Open Window and Change in Hand-Delivery Policy, Public Notice, 35 FCC Rcd 2788 (2020), </w:t>
      </w:r>
      <w:hyperlink r:id="rId47" w:history="1">
        <w:r w:rsidRPr="00397939">
          <w:rPr>
            <w:rStyle w:val="Hyperlink"/>
          </w:rPr>
          <w:t>https://www.fcc.gov/document/fcc-closes-headquarters-open-window-and-changes-hand-delivery-policy</w:t>
        </w:r>
      </w:hyperlink>
      <w:r w:rsidRPr="0039793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F91" w:rsidP="008D21E4" w14:paraId="43482E7A" w14:textId="371EDD07">
    <w:pPr>
      <w:pStyle w:val="Header"/>
    </w:pPr>
    <w:r>
      <w:tab/>
    </w:r>
    <w:r>
      <w:t>Federal Communications Commission</w:t>
    </w:r>
    <w:r w:rsidR="008D21E4">
      <w:tab/>
    </w:r>
    <w:r w:rsidR="008D21E4">
      <w:t>FCC 22-18</w:t>
    </w:r>
  </w:p>
  <w:p w:rsidR="00FD1F91" w14:paraId="432BD935" w14:textId="77777777">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FD1F91" w14:paraId="0438ACC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F91" w:rsidRPr="0007692A" w:rsidP="0007692A" w14:paraId="0267675B" w14:textId="4D34E4D5">
    <w:pPr>
      <w:pStyle w:val="Header"/>
    </w:pPr>
    <w:r w:rsidRPr="0007692A">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rsidRPr="0007692A">
      <w:tab/>
      <w:t>Federal Communications Commission</w:t>
    </w:r>
    <w:r w:rsidRPr="0007692A">
      <w:tab/>
    </w:r>
    <w:r w:rsidR="00B31644">
      <w:t>FCC 22-18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016EE4"/>
    <w:multiLevelType w:val="hybridMultilevel"/>
    <w:tmpl w:val="DACA0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461BB0"/>
    <w:multiLevelType w:val="hybridMultilevel"/>
    <w:tmpl w:val="AC36FD84"/>
    <w:lvl w:ilvl="0">
      <w:start w:va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C98A3422"/>
    <w:lvl w:ilvl="0">
      <w:start w:val="1"/>
      <w:numFmt w:val="decimal"/>
      <w:pStyle w:val="ParaNum"/>
      <w:lvlText w:val="%1."/>
      <w:lvlJc w:val="left"/>
      <w:pPr>
        <w:tabs>
          <w:tab w:val="num" w:pos="1080"/>
        </w:tabs>
        <w:ind w:left="0" w:firstLine="720"/>
      </w:pPr>
      <w:rPr>
        <w:rFonts w:ascii="Times New Roman" w:hAnsi="Times New Roman" w:cs="Times New Roman" w:hint="default"/>
      </w:r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4"/>
  </w:num>
  <w:num w:numId="2">
    <w:abstractNumId w:val="1"/>
  </w:num>
  <w:num w:numId="3">
    <w:abstractNumId w:val="8"/>
  </w:num>
  <w:num w:numId="4">
    <w:abstractNumId w:val="3"/>
  </w:num>
  <w:num w:numId="5">
    <w:abstractNumId w:val="6"/>
  </w:num>
  <w:num w:numId="6">
    <w:abstractNumId w:val="2"/>
  </w:num>
  <w:num w:numId="7">
    <w:abstractNumId w:val="0"/>
  </w:num>
  <w:num w:numId="8">
    <w:abstractNumId w:val="5"/>
  </w:num>
  <w:num w:numId="9">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4A"/>
    <w:rsid w:val="00000797"/>
    <w:rsid w:val="000046DE"/>
    <w:rsid w:val="00014E84"/>
    <w:rsid w:val="00015E1C"/>
    <w:rsid w:val="00016A99"/>
    <w:rsid w:val="00016B98"/>
    <w:rsid w:val="0001783D"/>
    <w:rsid w:val="00023A4B"/>
    <w:rsid w:val="00026B80"/>
    <w:rsid w:val="0003064B"/>
    <w:rsid w:val="0003385D"/>
    <w:rsid w:val="0003412B"/>
    <w:rsid w:val="00034FB0"/>
    <w:rsid w:val="000359CB"/>
    <w:rsid w:val="00036039"/>
    <w:rsid w:val="000362C4"/>
    <w:rsid w:val="00036F12"/>
    <w:rsid w:val="00037F90"/>
    <w:rsid w:val="00040D0C"/>
    <w:rsid w:val="00041B51"/>
    <w:rsid w:val="00043B0F"/>
    <w:rsid w:val="00047D66"/>
    <w:rsid w:val="000505F6"/>
    <w:rsid w:val="00052DD1"/>
    <w:rsid w:val="0005384B"/>
    <w:rsid w:val="000557A3"/>
    <w:rsid w:val="0005606D"/>
    <w:rsid w:val="00056723"/>
    <w:rsid w:val="0005721A"/>
    <w:rsid w:val="0005727F"/>
    <w:rsid w:val="000617C0"/>
    <w:rsid w:val="00062909"/>
    <w:rsid w:val="00062986"/>
    <w:rsid w:val="00062F77"/>
    <w:rsid w:val="00064576"/>
    <w:rsid w:val="00065ACD"/>
    <w:rsid w:val="00066996"/>
    <w:rsid w:val="0006715A"/>
    <w:rsid w:val="000707AA"/>
    <w:rsid w:val="00072EE6"/>
    <w:rsid w:val="000749FA"/>
    <w:rsid w:val="00076322"/>
    <w:rsid w:val="0007692A"/>
    <w:rsid w:val="000770E3"/>
    <w:rsid w:val="00084CDE"/>
    <w:rsid w:val="0008554E"/>
    <w:rsid w:val="00086562"/>
    <w:rsid w:val="000875BF"/>
    <w:rsid w:val="00090A41"/>
    <w:rsid w:val="000915E8"/>
    <w:rsid w:val="00091833"/>
    <w:rsid w:val="00093655"/>
    <w:rsid w:val="000966A2"/>
    <w:rsid w:val="00096D8C"/>
    <w:rsid w:val="000A1048"/>
    <w:rsid w:val="000A1B7B"/>
    <w:rsid w:val="000A2EF9"/>
    <w:rsid w:val="000A3C21"/>
    <w:rsid w:val="000A4002"/>
    <w:rsid w:val="000A5E1E"/>
    <w:rsid w:val="000A6B25"/>
    <w:rsid w:val="000A79F2"/>
    <w:rsid w:val="000A7D88"/>
    <w:rsid w:val="000B132A"/>
    <w:rsid w:val="000B25FF"/>
    <w:rsid w:val="000B33EC"/>
    <w:rsid w:val="000B6CFD"/>
    <w:rsid w:val="000B72A0"/>
    <w:rsid w:val="000B7C77"/>
    <w:rsid w:val="000B7E3B"/>
    <w:rsid w:val="000C0B65"/>
    <w:rsid w:val="000C336C"/>
    <w:rsid w:val="000C5038"/>
    <w:rsid w:val="000C55E1"/>
    <w:rsid w:val="000C779B"/>
    <w:rsid w:val="000D18B0"/>
    <w:rsid w:val="000D1AF1"/>
    <w:rsid w:val="000D2752"/>
    <w:rsid w:val="000D2E9A"/>
    <w:rsid w:val="000D3B68"/>
    <w:rsid w:val="000D4ADA"/>
    <w:rsid w:val="000D7384"/>
    <w:rsid w:val="000E05FE"/>
    <w:rsid w:val="000E160A"/>
    <w:rsid w:val="000E190D"/>
    <w:rsid w:val="000E3D42"/>
    <w:rsid w:val="000E3EFD"/>
    <w:rsid w:val="000E5B72"/>
    <w:rsid w:val="000E6452"/>
    <w:rsid w:val="000E67A6"/>
    <w:rsid w:val="000E6E0E"/>
    <w:rsid w:val="000E78DB"/>
    <w:rsid w:val="000F09EC"/>
    <w:rsid w:val="000F0A4A"/>
    <w:rsid w:val="000F4138"/>
    <w:rsid w:val="000F4612"/>
    <w:rsid w:val="000F5BB6"/>
    <w:rsid w:val="00102D08"/>
    <w:rsid w:val="00104161"/>
    <w:rsid w:val="0010434C"/>
    <w:rsid w:val="001046F7"/>
    <w:rsid w:val="0010510D"/>
    <w:rsid w:val="00105538"/>
    <w:rsid w:val="001068F6"/>
    <w:rsid w:val="00107D51"/>
    <w:rsid w:val="00114FBF"/>
    <w:rsid w:val="00122BD5"/>
    <w:rsid w:val="00124524"/>
    <w:rsid w:val="00124B09"/>
    <w:rsid w:val="001255B5"/>
    <w:rsid w:val="00125C2A"/>
    <w:rsid w:val="0013312A"/>
    <w:rsid w:val="00133F79"/>
    <w:rsid w:val="00134D0A"/>
    <w:rsid w:val="001353E4"/>
    <w:rsid w:val="00136774"/>
    <w:rsid w:val="00140323"/>
    <w:rsid w:val="001405A2"/>
    <w:rsid w:val="0014090D"/>
    <w:rsid w:val="001409BE"/>
    <w:rsid w:val="00140B3A"/>
    <w:rsid w:val="0014392F"/>
    <w:rsid w:val="0015088E"/>
    <w:rsid w:val="001520DD"/>
    <w:rsid w:val="00153960"/>
    <w:rsid w:val="00153FFB"/>
    <w:rsid w:val="00160BBE"/>
    <w:rsid w:val="00161711"/>
    <w:rsid w:val="0017100A"/>
    <w:rsid w:val="001725F0"/>
    <w:rsid w:val="00172FC2"/>
    <w:rsid w:val="001730AE"/>
    <w:rsid w:val="00173C6A"/>
    <w:rsid w:val="00173CDE"/>
    <w:rsid w:val="00173EE3"/>
    <w:rsid w:val="00173F77"/>
    <w:rsid w:val="001778B0"/>
    <w:rsid w:val="0018085C"/>
    <w:rsid w:val="001827AD"/>
    <w:rsid w:val="001829CF"/>
    <w:rsid w:val="0018348B"/>
    <w:rsid w:val="00184291"/>
    <w:rsid w:val="00194A66"/>
    <w:rsid w:val="001967A3"/>
    <w:rsid w:val="001A2092"/>
    <w:rsid w:val="001B5934"/>
    <w:rsid w:val="001C0458"/>
    <w:rsid w:val="001C17F7"/>
    <w:rsid w:val="001C3A6C"/>
    <w:rsid w:val="001C5B41"/>
    <w:rsid w:val="001C5D5C"/>
    <w:rsid w:val="001C67A2"/>
    <w:rsid w:val="001D0E40"/>
    <w:rsid w:val="001D15D3"/>
    <w:rsid w:val="001D5060"/>
    <w:rsid w:val="001D6BCF"/>
    <w:rsid w:val="001D6F5B"/>
    <w:rsid w:val="001E01CA"/>
    <w:rsid w:val="001E137A"/>
    <w:rsid w:val="001E1B48"/>
    <w:rsid w:val="001E2F0D"/>
    <w:rsid w:val="001E4C84"/>
    <w:rsid w:val="001E5BA6"/>
    <w:rsid w:val="001E61AC"/>
    <w:rsid w:val="001F0680"/>
    <w:rsid w:val="001F09CF"/>
    <w:rsid w:val="001F1109"/>
    <w:rsid w:val="001F1845"/>
    <w:rsid w:val="001F4286"/>
    <w:rsid w:val="001F5852"/>
    <w:rsid w:val="001F5C88"/>
    <w:rsid w:val="00200215"/>
    <w:rsid w:val="0020152D"/>
    <w:rsid w:val="002033A2"/>
    <w:rsid w:val="00203FF2"/>
    <w:rsid w:val="00204F4C"/>
    <w:rsid w:val="002064FA"/>
    <w:rsid w:val="00207D97"/>
    <w:rsid w:val="00215120"/>
    <w:rsid w:val="00216CB9"/>
    <w:rsid w:val="002208E1"/>
    <w:rsid w:val="00222AF5"/>
    <w:rsid w:val="00223D7B"/>
    <w:rsid w:val="0022588E"/>
    <w:rsid w:val="00225B9E"/>
    <w:rsid w:val="00227A81"/>
    <w:rsid w:val="0023024D"/>
    <w:rsid w:val="0023433C"/>
    <w:rsid w:val="00235217"/>
    <w:rsid w:val="002356B6"/>
    <w:rsid w:val="002371D5"/>
    <w:rsid w:val="00241778"/>
    <w:rsid w:val="00241BC5"/>
    <w:rsid w:val="0024216E"/>
    <w:rsid w:val="002425FE"/>
    <w:rsid w:val="0024396C"/>
    <w:rsid w:val="00243CD6"/>
    <w:rsid w:val="00244127"/>
    <w:rsid w:val="00244AA2"/>
    <w:rsid w:val="00245D36"/>
    <w:rsid w:val="0024667D"/>
    <w:rsid w:val="0024702C"/>
    <w:rsid w:val="002470FD"/>
    <w:rsid w:val="00250A26"/>
    <w:rsid w:val="00252386"/>
    <w:rsid w:val="00252401"/>
    <w:rsid w:val="00252DEC"/>
    <w:rsid w:val="00253D8E"/>
    <w:rsid w:val="00255CDF"/>
    <w:rsid w:val="00256562"/>
    <w:rsid w:val="00257DFB"/>
    <w:rsid w:val="00265ED6"/>
    <w:rsid w:val="00267068"/>
    <w:rsid w:val="0027318E"/>
    <w:rsid w:val="002736F1"/>
    <w:rsid w:val="00273CC9"/>
    <w:rsid w:val="00275CF5"/>
    <w:rsid w:val="0027748F"/>
    <w:rsid w:val="00282504"/>
    <w:rsid w:val="00282544"/>
    <w:rsid w:val="0028301F"/>
    <w:rsid w:val="002842D2"/>
    <w:rsid w:val="00285017"/>
    <w:rsid w:val="00285FA5"/>
    <w:rsid w:val="002872F9"/>
    <w:rsid w:val="00287EA5"/>
    <w:rsid w:val="00290508"/>
    <w:rsid w:val="0029326C"/>
    <w:rsid w:val="0029332B"/>
    <w:rsid w:val="00293B91"/>
    <w:rsid w:val="00296B62"/>
    <w:rsid w:val="002A0E3C"/>
    <w:rsid w:val="002A14A3"/>
    <w:rsid w:val="002A284D"/>
    <w:rsid w:val="002A2D2E"/>
    <w:rsid w:val="002A3DCE"/>
    <w:rsid w:val="002A43CE"/>
    <w:rsid w:val="002B0EE6"/>
    <w:rsid w:val="002B15AF"/>
    <w:rsid w:val="002B1FC6"/>
    <w:rsid w:val="002B4B10"/>
    <w:rsid w:val="002B5FAD"/>
    <w:rsid w:val="002B61C4"/>
    <w:rsid w:val="002B656A"/>
    <w:rsid w:val="002B7A33"/>
    <w:rsid w:val="002C00E8"/>
    <w:rsid w:val="002C0A56"/>
    <w:rsid w:val="002C1506"/>
    <w:rsid w:val="002C2235"/>
    <w:rsid w:val="002C28AA"/>
    <w:rsid w:val="002C4CF3"/>
    <w:rsid w:val="002D03D8"/>
    <w:rsid w:val="002D1504"/>
    <w:rsid w:val="002D323A"/>
    <w:rsid w:val="002D34AF"/>
    <w:rsid w:val="002E039B"/>
    <w:rsid w:val="002E1498"/>
    <w:rsid w:val="002E7C40"/>
    <w:rsid w:val="002F5587"/>
    <w:rsid w:val="002F587A"/>
    <w:rsid w:val="002F6C12"/>
    <w:rsid w:val="002F7994"/>
    <w:rsid w:val="003011F8"/>
    <w:rsid w:val="00301BBF"/>
    <w:rsid w:val="0030250A"/>
    <w:rsid w:val="0030365D"/>
    <w:rsid w:val="00305341"/>
    <w:rsid w:val="00307A03"/>
    <w:rsid w:val="00311EC6"/>
    <w:rsid w:val="00316BB5"/>
    <w:rsid w:val="00320ED3"/>
    <w:rsid w:val="00321F61"/>
    <w:rsid w:val="003243B5"/>
    <w:rsid w:val="00324A35"/>
    <w:rsid w:val="00330C3F"/>
    <w:rsid w:val="003311C0"/>
    <w:rsid w:val="00335F93"/>
    <w:rsid w:val="00336574"/>
    <w:rsid w:val="00341499"/>
    <w:rsid w:val="00343749"/>
    <w:rsid w:val="003440BA"/>
    <w:rsid w:val="00347021"/>
    <w:rsid w:val="00351648"/>
    <w:rsid w:val="0035318E"/>
    <w:rsid w:val="003552AB"/>
    <w:rsid w:val="003572A1"/>
    <w:rsid w:val="00357E6B"/>
    <w:rsid w:val="0036230C"/>
    <w:rsid w:val="00365C0F"/>
    <w:rsid w:val="003660ED"/>
    <w:rsid w:val="00366B3B"/>
    <w:rsid w:val="00367169"/>
    <w:rsid w:val="003713C0"/>
    <w:rsid w:val="00373AE7"/>
    <w:rsid w:val="00374AF1"/>
    <w:rsid w:val="003753D4"/>
    <w:rsid w:val="00376138"/>
    <w:rsid w:val="00376A0E"/>
    <w:rsid w:val="00381000"/>
    <w:rsid w:val="00382D13"/>
    <w:rsid w:val="00382F06"/>
    <w:rsid w:val="00383279"/>
    <w:rsid w:val="00383608"/>
    <w:rsid w:val="003847F0"/>
    <w:rsid w:val="00385A41"/>
    <w:rsid w:val="00386A7C"/>
    <w:rsid w:val="00386C6C"/>
    <w:rsid w:val="0038795C"/>
    <w:rsid w:val="003905C6"/>
    <w:rsid w:val="0039425C"/>
    <w:rsid w:val="00394EA9"/>
    <w:rsid w:val="00395F7E"/>
    <w:rsid w:val="00396EEA"/>
    <w:rsid w:val="00397939"/>
    <w:rsid w:val="003979D7"/>
    <w:rsid w:val="00397C63"/>
    <w:rsid w:val="00397D31"/>
    <w:rsid w:val="003A1EDA"/>
    <w:rsid w:val="003A2937"/>
    <w:rsid w:val="003A49A0"/>
    <w:rsid w:val="003A602E"/>
    <w:rsid w:val="003A6353"/>
    <w:rsid w:val="003B0550"/>
    <w:rsid w:val="003B1D23"/>
    <w:rsid w:val="003B2E9F"/>
    <w:rsid w:val="003B3AAC"/>
    <w:rsid w:val="003B694F"/>
    <w:rsid w:val="003B6C1B"/>
    <w:rsid w:val="003C0521"/>
    <w:rsid w:val="003C15EF"/>
    <w:rsid w:val="003C1F4A"/>
    <w:rsid w:val="003C1FFE"/>
    <w:rsid w:val="003C34D1"/>
    <w:rsid w:val="003C42DD"/>
    <w:rsid w:val="003C761E"/>
    <w:rsid w:val="003C7798"/>
    <w:rsid w:val="003D1ECE"/>
    <w:rsid w:val="003D3648"/>
    <w:rsid w:val="003D71E7"/>
    <w:rsid w:val="003D7F2B"/>
    <w:rsid w:val="003E0B47"/>
    <w:rsid w:val="003E2566"/>
    <w:rsid w:val="003E454B"/>
    <w:rsid w:val="003E5911"/>
    <w:rsid w:val="003E6025"/>
    <w:rsid w:val="003E7F73"/>
    <w:rsid w:val="003F171C"/>
    <w:rsid w:val="003F31E6"/>
    <w:rsid w:val="003F4BD5"/>
    <w:rsid w:val="003F52DE"/>
    <w:rsid w:val="003F56F7"/>
    <w:rsid w:val="003F5B82"/>
    <w:rsid w:val="004008DF"/>
    <w:rsid w:val="0040321A"/>
    <w:rsid w:val="0040346A"/>
    <w:rsid w:val="00406BE6"/>
    <w:rsid w:val="00412FC5"/>
    <w:rsid w:val="00414184"/>
    <w:rsid w:val="0041424C"/>
    <w:rsid w:val="00414490"/>
    <w:rsid w:val="00417B3F"/>
    <w:rsid w:val="00422276"/>
    <w:rsid w:val="00423379"/>
    <w:rsid w:val="004242F1"/>
    <w:rsid w:val="004244D5"/>
    <w:rsid w:val="00426E5B"/>
    <w:rsid w:val="00430099"/>
    <w:rsid w:val="004317BB"/>
    <w:rsid w:val="004332A9"/>
    <w:rsid w:val="00433562"/>
    <w:rsid w:val="0043392E"/>
    <w:rsid w:val="00436E3B"/>
    <w:rsid w:val="004410BC"/>
    <w:rsid w:val="004415D8"/>
    <w:rsid w:val="004419D5"/>
    <w:rsid w:val="00441B10"/>
    <w:rsid w:val="004444C8"/>
    <w:rsid w:val="00444C19"/>
    <w:rsid w:val="00445A00"/>
    <w:rsid w:val="00447FF4"/>
    <w:rsid w:val="00450363"/>
    <w:rsid w:val="004517FC"/>
    <w:rsid w:val="00451B0F"/>
    <w:rsid w:val="00453345"/>
    <w:rsid w:val="00455436"/>
    <w:rsid w:val="004570D1"/>
    <w:rsid w:val="00457CF1"/>
    <w:rsid w:val="0046220A"/>
    <w:rsid w:val="004625B0"/>
    <w:rsid w:val="00463D88"/>
    <w:rsid w:val="004653CA"/>
    <w:rsid w:val="00472AF7"/>
    <w:rsid w:val="00473D35"/>
    <w:rsid w:val="00475789"/>
    <w:rsid w:val="00475DDE"/>
    <w:rsid w:val="00481140"/>
    <w:rsid w:val="00482AE2"/>
    <w:rsid w:val="00485491"/>
    <w:rsid w:val="0048596C"/>
    <w:rsid w:val="0049157C"/>
    <w:rsid w:val="00493F9D"/>
    <w:rsid w:val="004A4B19"/>
    <w:rsid w:val="004A4C6E"/>
    <w:rsid w:val="004A6BC0"/>
    <w:rsid w:val="004B029B"/>
    <w:rsid w:val="004B09E0"/>
    <w:rsid w:val="004B2B0D"/>
    <w:rsid w:val="004B35A8"/>
    <w:rsid w:val="004B69E4"/>
    <w:rsid w:val="004C13F6"/>
    <w:rsid w:val="004C2EE3"/>
    <w:rsid w:val="004C3CBA"/>
    <w:rsid w:val="004C4648"/>
    <w:rsid w:val="004C47AA"/>
    <w:rsid w:val="004C502E"/>
    <w:rsid w:val="004C54B0"/>
    <w:rsid w:val="004C5EAA"/>
    <w:rsid w:val="004C7852"/>
    <w:rsid w:val="004D117B"/>
    <w:rsid w:val="004D1628"/>
    <w:rsid w:val="004D21E5"/>
    <w:rsid w:val="004D59F7"/>
    <w:rsid w:val="004D66E8"/>
    <w:rsid w:val="004E0A0F"/>
    <w:rsid w:val="004E14B7"/>
    <w:rsid w:val="004E31D7"/>
    <w:rsid w:val="004E45F4"/>
    <w:rsid w:val="004E4853"/>
    <w:rsid w:val="004E4A22"/>
    <w:rsid w:val="004E526E"/>
    <w:rsid w:val="004E637E"/>
    <w:rsid w:val="004F06D0"/>
    <w:rsid w:val="004F2E58"/>
    <w:rsid w:val="004F4141"/>
    <w:rsid w:val="004F796C"/>
    <w:rsid w:val="00501D87"/>
    <w:rsid w:val="00502E1D"/>
    <w:rsid w:val="005035F7"/>
    <w:rsid w:val="0050560E"/>
    <w:rsid w:val="00511968"/>
    <w:rsid w:val="00513365"/>
    <w:rsid w:val="0051580B"/>
    <w:rsid w:val="00516FD9"/>
    <w:rsid w:val="005177DD"/>
    <w:rsid w:val="005211EE"/>
    <w:rsid w:val="005268F1"/>
    <w:rsid w:val="00526C28"/>
    <w:rsid w:val="005302F1"/>
    <w:rsid w:val="00530EBA"/>
    <w:rsid w:val="00531BFD"/>
    <w:rsid w:val="005325B2"/>
    <w:rsid w:val="00532A39"/>
    <w:rsid w:val="005350CB"/>
    <w:rsid w:val="00535A04"/>
    <w:rsid w:val="00537E4D"/>
    <w:rsid w:val="005400DB"/>
    <w:rsid w:val="005402F3"/>
    <w:rsid w:val="005408B3"/>
    <w:rsid w:val="00543988"/>
    <w:rsid w:val="00544879"/>
    <w:rsid w:val="00546356"/>
    <w:rsid w:val="00546779"/>
    <w:rsid w:val="005475DB"/>
    <w:rsid w:val="00550ADC"/>
    <w:rsid w:val="00550C13"/>
    <w:rsid w:val="005529D6"/>
    <w:rsid w:val="00554685"/>
    <w:rsid w:val="005554F2"/>
    <w:rsid w:val="0055614C"/>
    <w:rsid w:val="00560DE2"/>
    <w:rsid w:val="005613B4"/>
    <w:rsid w:val="00561451"/>
    <w:rsid w:val="00562D54"/>
    <w:rsid w:val="005634F9"/>
    <w:rsid w:val="005660B9"/>
    <w:rsid w:val="00566D06"/>
    <w:rsid w:val="00567289"/>
    <w:rsid w:val="00567A7E"/>
    <w:rsid w:val="00571C1B"/>
    <w:rsid w:val="005724DC"/>
    <w:rsid w:val="005736E5"/>
    <w:rsid w:val="00574851"/>
    <w:rsid w:val="005834BA"/>
    <w:rsid w:val="005859BD"/>
    <w:rsid w:val="00585E52"/>
    <w:rsid w:val="0059040D"/>
    <w:rsid w:val="005951D9"/>
    <w:rsid w:val="005A3D0C"/>
    <w:rsid w:val="005A3E88"/>
    <w:rsid w:val="005A4A0D"/>
    <w:rsid w:val="005A5402"/>
    <w:rsid w:val="005A5862"/>
    <w:rsid w:val="005A5D9C"/>
    <w:rsid w:val="005A6F02"/>
    <w:rsid w:val="005B094C"/>
    <w:rsid w:val="005B22D5"/>
    <w:rsid w:val="005C484C"/>
    <w:rsid w:val="005D0B97"/>
    <w:rsid w:val="005D122C"/>
    <w:rsid w:val="005D3F54"/>
    <w:rsid w:val="005D52CD"/>
    <w:rsid w:val="005D5AFF"/>
    <w:rsid w:val="005D6DE9"/>
    <w:rsid w:val="005D7878"/>
    <w:rsid w:val="005D7F09"/>
    <w:rsid w:val="005E14C2"/>
    <w:rsid w:val="005E1DA8"/>
    <w:rsid w:val="005E1DE5"/>
    <w:rsid w:val="005E27D2"/>
    <w:rsid w:val="005E3D31"/>
    <w:rsid w:val="005E3DB0"/>
    <w:rsid w:val="005E55FF"/>
    <w:rsid w:val="005F007D"/>
    <w:rsid w:val="005F0119"/>
    <w:rsid w:val="005F0314"/>
    <w:rsid w:val="005F27A3"/>
    <w:rsid w:val="005F4A3E"/>
    <w:rsid w:val="005F6F63"/>
    <w:rsid w:val="0060018A"/>
    <w:rsid w:val="0060283D"/>
    <w:rsid w:val="00603A68"/>
    <w:rsid w:val="00604B94"/>
    <w:rsid w:val="00607BA5"/>
    <w:rsid w:val="006102C8"/>
    <w:rsid w:val="00610327"/>
    <w:rsid w:val="00610842"/>
    <w:rsid w:val="0061180A"/>
    <w:rsid w:val="00613C83"/>
    <w:rsid w:val="00614EC5"/>
    <w:rsid w:val="0061763F"/>
    <w:rsid w:val="00617738"/>
    <w:rsid w:val="00620690"/>
    <w:rsid w:val="006212F8"/>
    <w:rsid w:val="00621DD9"/>
    <w:rsid w:val="00622CEC"/>
    <w:rsid w:val="00623919"/>
    <w:rsid w:val="00626893"/>
    <w:rsid w:val="00626EB6"/>
    <w:rsid w:val="006274BC"/>
    <w:rsid w:val="006350EC"/>
    <w:rsid w:val="0063632D"/>
    <w:rsid w:val="006378C6"/>
    <w:rsid w:val="00641F11"/>
    <w:rsid w:val="0064420C"/>
    <w:rsid w:val="00644BB2"/>
    <w:rsid w:val="006468A3"/>
    <w:rsid w:val="00647299"/>
    <w:rsid w:val="00650786"/>
    <w:rsid w:val="00652F2F"/>
    <w:rsid w:val="00655D03"/>
    <w:rsid w:val="00657D72"/>
    <w:rsid w:val="00660BA0"/>
    <w:rsid w:val="0066215C"/>
    <w:rsid w:val="00662ED6"/>
    <w:rsid w:val="00662F09"/>
    <w:rsid w:val="00665A68"/>
    <w:rsid w:val="006672C4"/>
    <w:rsid w:val="00667A2A"/>
    <w:rsid w:val="00673B0B"/>
    <w:rsid w:val="00674B58"/>
    <w:rsid w:val="00674BA6"/>
    <w:rsid w:val="006771B8"/>
    <w:rsid w:val="00677B7F"/>
    <w:rsid w:val="00680F37"/>
    <w:rsid w:val="0068183D"/>
    <w:rsid w:val="00683388"/>
    <w:rsid w:val="00683F84"/>
    <w:rsid w:val="006901BB"/>
    <w:rsid w:val="006914C9"/>
    <w:rsid w:val="00693B13"/>
    <w:rsid w:val="00694D7C"/>
    <w:rsid w:val="00696C4E"/>
    <w:rsid w:val="006979B1"/>
    <w:rsid w:val="006A1743"/>
    <w:rsid w:val="006A1C9F"/>
    <w:rsid w:val="006A2167"/>
    <w:rsid w:val="006A3CDE"/>
    <w:rsid w:val="006A411D"/>
    <w:rsid w:val="006A548B"/>
    <w:rsid w:val="006A6A81"/>
    <w:rsid w:val="006A6FED"/>
    <w:rsid w:val="006A7498"/>
    <w:rsid w:val="006B0923"/>
    <w:rsid w:val="006B2373"/>
    <w:rsid w:val="006B3666"/>
    <w:rsid w:val="006B420E"/>
    <w:rsid w:val="006B62B4"/>
    <w:rsid w:val="006B69AD"/>
    <w:rsid w:val="006C117A"/>
    <w:rsid w:val="006C17F7"/>
    <w:rsid w:val="006C26ED"/>
    <w:rsid w:val="006C44E6"/>
    <w:rsid w:val="006C57DE"/>
    <w:rsid w:val="006D12F1"/>
    <w:rsid w:val="006D2668"/>
    <w:rsid w:val="006D4CA6"/>
    <w:rsid w:val="006E09F4"/>
    <w:rsid w:val="006E2FAF"/>
    <w:rsid w:val="006E312B"/>
    <w:rsid w:val="006E37CD"/>
    <w:rsid w:val="006E3B31"/>
    <w:rsid w:val="006E514C"/>
    <w:rsid w:val="006E7ECC"/>
    <w:rsid w:val="006F2C09"/>
    <w:rsid w:val="006F7393"/>
    <w:rsid w:val="007011D9"/>
    <w:rsid w:val="00701821"/>
    <w:rsid w:val="0070224F"/>
    <w:rsid w:val="00702D99"/>
    <w:rsid w:val="007036DE"/>
    <w:rsid w:val="0070429C"/>
    <w:rsid w:val="00704786"/>
    <w:rsid w:val="00704F02"/>
    <w:rsid w:val="007063ED"/>
    <w:rsid w:val="00706BF3"/>
    <w:rsid w:val="007115F7"/>
    <w:rsid w:val="007234C3"/>
    <w:rsid w:val="007254B3"/>
    <w:rsid w:val="00731790"/>
    <w:rsid w:val="0073299D"/>
    <w:rsid w:val="007364B1"/>
    <w:rsid w:val="00737199"/>
    <w:rsid w:val="0074185E"/>
    <w:rsid w:val="00741E86"/>
    <w:rsid w:val="007468A6"/>
    <w:rsid w:val="00747EA4"/>
    <w:rsid w:val="0075122A"/>
    <w:rsid w:val="007535AD"/>
    <w:rsid w:val="00753BEC"/>
    <w:rsid w:val="00754BC3"/>
    <w:rsid w:val="0075515F"/>
    <w:rsid w:val="00755DA8"/>
    <w:rsid w:val="00756CB2"/>
    <w:rsid w:val="00763B47"/>
    <w:rsid w:val="007658C1"/>
    <w:rsid w:val="00765BC9"/>
    <w:rsid w:val="00766698"/>
    <w:rsid w:val="00767FF3"/>
    <w:rsid w:val="007757B7"/>
    <w:rsid w:val="007770F6"/>
    <w:rsid w:val="007773D0"/>
    <w:rsid w:val="00777CE7"/>
    <w:rsid w:val="00780EEB"/>
    <w:rsid w:val="007816FE"/>
    <w:rsid w:val="00781A3B"/>
    <w:rsid w:val="00782DB6"/>
    <w:rsid w:val="00785689"/>
    <w:rsid w:val="007902BA"/>
    <w:rsid w:val="0079270B"/>
    <w:rsid w:val="00792A76"/>
    <w:rsid w:val="00793158"/>
    <w:rsid w:val="00795A8D"/>
    <w:rsid w:val="0079754B"/>
    <w:rsid w:val="00797D4E"/>
    <w:rsid w:val="007A00AF"/>
    <w:rsid w:val="007A1E6D"/>
    <w:rsid w:val="007A2B5E"/>
    <w:rsid w:val="007A398A"/>
    <w:rsid w:val="007A40AE"/>
    <w:rsid w:val="007A5D88"/>
    <w:rsid w:val="007A7074"/>
    <w:rsid w:val="007A73F0"/>
    <w:rsid w:val="007B017A"/>
    <w:rsid w:val="007B0EB2"/>
    <w:rsid w:val="007B10F8"/>
    <w:rsid w:val="007B1946"/>
    <w:rsid w:val="007B1D7C"/>
    <w:rsid w:val="007B2289"/>
    <w:rsid w:val="007B41FA"/>
    <w:rsid w:val="007B4B56"/>
    <w:rsid w:val="007B68BC"/>
    <w:rsid w:val="007B7687"/>
    <w:rsid w:val="007C3E0C"/>
    <w:rsid w:val="007C4580"/>
    <w:rsid w:val="007D0C07"/>
    <w:rsid w:val="007D265B"/>
    <w:rsid w:val="007D2D8B"/>
    <w:rsid w:val="007D7B26"/>
    <w:rsid w:val="007D7BCD"/>
    <w:rsid w:val="007E001F"/>
    <w:rsid w:val="007E0DB9"/>
    <w:rsid w:val="007E2489"/>
    <w:rsid w:val="007E3E07"/>
    <w:rsid w:val="007E5560"/>
    <w:rsid w:val="007E7634"/>
    <w:rsid w:val="007F2FA9"/>
    <w:rsid w:val="007F43B4"/>
    <w:rsid w:val="007F5A5F"/>
    <w:rsid w:val="00800187"/>
    <w:rsid w:val="008018C0"/>
    <w:rsid w:val="008022D7"/>
    <w:rsid w:val="00802D3C"/>
    <w:rsid w:val="00802EE6"/>
    <w:rsid w:val="00803D7F"/>
    <w:rsid w:val="00804580"/>
    <w:rsid w:val="00805231"/>
    <w:rsid w:val="00805777"/>
    <w:rsid w:val="008063B3"/>
    <w:rsid w:val="00807415"/>
    <w:rsid w:val="0081086B"/>
    <w:rsid w:val="00810912"/>
    <w:rsid w:val="00810B39"/>
    <w:rsid w:val="00810B6F"/>
    <w:rsid w:val="00812D49"/>
    <w:rsid w:val="00814C02"/>
    <w:rsid w:val="008151C5"/>
    <w:rsid w:val="0081681E"/>
    <w:rsid w:val="008172CA"/>
    <w:rsid w:val="008200BB"/>
    <w:rsid w:val="00822CE0"/>
    <w:rsid w:val="0082308C"/>
    <w:rsid w:val="00823393"/>
    <w:rsid w:val="00823754"/>
    <w:rsid w:val="00824853"/>
    <w:rsid w:val="00826607"/>
    <w:rsid w:val="0083105C"/>
    <w:rsid w:val="00832E0B"/>
    <w:rsid w:val="008337A5"/>
    <w:rsid w:val="00834F54"/>
    <w:rsid w:val="00837C99"/>
    <w:rsid w:val="00840903"/>
    <w:rsid w:val="00841AB1"/>
    <w:rsid w:val="00841FED"/>
    <w:rsid w:val="00847775"/>
    <w:rsid w:val="00847DCC"/>
    <w:rsid w:val="00850016"/>
    <w:rsid w:val="00850307"/>
    <w:rsid w:val="00851124"/>
    <w:rsid w:val="00853113"/>
    <w:rsid w:val="0085360C"/>
    <w:rsid w:val="00856C3E"/>
    <w:rsid w:val="00860C2F"/>
    <w:rsid w:val="00860E9E"/>
    <w:rsid w:val="00864BD9"/>
    <w:rsid w:val="0086595B"/>
    <w:rsid w:val="00865D30"/>
    <w:rsid w:val="0086641D"/>
    <w:rsid w:val="008715BA"/>
    <w:rsid w:val="008727FD"/>
    <w:rsid w:val="008728D0"/>
    <w:rsid w:val="00877776"/>
    <w:rsid w:val="00881437"/>
    <w:rsid w:val="00881F5C"/>
    <w:rsid w:val="00882593"/>
    <w:rsid w:val="008829C1"/>
    <w:rsid w:val="008842A4"/>
    <w:rsid w:val="0088466D"/>
    <w:rsid w:val="008872AB"/>
    <w:rsid w:val="008902FE"/>
    <w:rsid w:val="00891032"/>
    <w:rsid w:val="00891C4F"/>
    <w:rsid w:val="0089470A"/>
    <w:rsid w:val="00894F54"/>
    <w:rsid w:val="008966AD"/>
    <w:rsid w:val="008A07E4"/>
    <w:rsid w:val="008A4C47"/>
    <w:rsid w:val="008A584A"/>
    <w:rsid w:val="008A60C3"/>
    <w:rsid w:val="008A6F36"/>
    <w:rsid w:val="008B07F3"/>
    <w:rsid w:val="008B2D86"/>
    <w:rsid w:val="008B2DCC"/>
    <w:rsid w:val="008B4834"/>
    <w:rsid w:val="008B513E"/>
    <w:rsid w:val="008B51C0"/>
    <w:rsid w:val="008C5B63"/>
    <w:rsid w:val="008C68F1"/>
    <w:rsid w:val="008C6FFA"/>
    <w:rsid w:val="008D21E4"/>
    <w:rsid w:val="008D5B5D"/>
    <w:rsid w:val="008D67C6"/>
    <w:rsid w:val="008D7790"/>
    <w:rsid w:val="008D7D43"/>
    <w:rsid w:val="008E1B4A"/>
    <w:rsid w:val="008E415A"/>
    <w:rsid w:val="008E496F"/>
    <w:rsid w:val="008E4AE5"/>
    <w:rsid w:val="008E739E"/>
    <w:rsid w:val="008E76C8"/>
    <w:rsid w:val="008E7C71"/>
    <w:rsid w:val="008F0E43"/>
    <w:rsid w:val="008F18DD"/>
    <w:rsid w:val="008F5830"/>
    <w:rsid w:val="008F7147"/>
    <w:rsid w:val="00903278"/>
    <w:rsid w:val="0090453D"/>
    <w:rsid w:val="0090476B"/>
    <w:rsid w:val="00904947"/>
    <w:rsid w:val="00906206"/>
    <w:rsid w:val="00907534"/>
    <w:rsid w:val="00907926"/>
    <w:rsid w:val="00907EBC"/>
    <w:rsid w:val="0091280C"/>
    <w:rsid w:val="00921803"/>
    <w:rsid w:val="00921A1C"/>
    <w:rsid w:val="00926503"/>
    <w:rsid w:val="009268B5"/>
    <w:rsid w:val="00927ADC"/>
    <w:rsid w:val="009320FE"/>
    <w:rsid w:val="0093379F"/>
    <w:rsid w:val="00934697"/>
    <w:rsid w:val="0093471D"/>
    <w:rsid w:val="009353FA"/>
    <w:rsid w:val="009360D8"/>
    <w:rsid w:val="00940458"/>
    <w:rsid w:val="00943788"/>
    <w:rsid w:val="009437B2"/>
    <w:rsid w:val="00943CC2"/>
    <w:rsid w:val="00952916"/>
    <w:rsid w:val="00954752"/>
    <w:rsid w:val="009603E1"/>
    <w:rsid w:val="00962A11"/>
    <w:rsid w:val="0096374C"/>
    <w:rsid w:val="0096443A"/>
    <w:rsid w:val="00965A66"/>
    <w:rsid w:val="00965DA1"/>
    <w:rsid w:val="009661E4"/>
    <w:rsid w:val="009664BA"/>
    <w:rsid w:val="00970050"/>
    <w:rsid w:val="00971952"/>
    <w:rsid w:val="009722AE"/>
    <w:rsid w:val="009726D8"/>
    <w:rsid w:val="00973276"/>
    <w:rsid w:val="00975174"/>
    <w:rsid w:val="00975D8B"/>
    <w:rsid w:val="00977AE6"/>
    <w:rsid w:val="00977CBD"/>
    <w:rsid w:val="009809FE"/>
    <w:rsid w:val="00981A2B"/>
    <w:rsid w:val="00983A71"/>
    <w:rsid w:val="00985216"/>
    <w:rsid w:val="009861B5"/>
    <w:rsid w:val="009871EC"/>
    <w:rsid w:val="0098746E"/>
    <w:rsid w:val="00991385"/>
    <w:rsid w:val="009916D8"/>
    <w:rsid w:val="009967AB"/>
    <w:rsid w:val="009A0251"/>
    <w:rsid w:val="009A0F41"/>
    <w:rsid w:val="009A11AB"/>
    <w:rsid w:val="009A183C"/>
    <w:rsid w:val="009A2D93"/>
    <w:rsid w:val="009A3EF2"/>
    <w:rsid w:val="009B0827"/>
    <w:rsid w:val="009B0A0E"/>
    <w:rsid w:val="009B1129"/>
    <w:rsid w:val="009B327F"/>
    <w:rsid w:val="009B345B"/>
    <w:rsid w:val="009B451A"/>
    <w:rsid w:val="009B4A50"/>
    <w:rsid w:val="009B5E8E"/>
    <w:rsid w:val="009B712C"/>
    <w:rsid w:val="009B71C0"/>
    <w:rsid w:val="009C0B29"/>
    <w:rsid w:val="009C10D7"/>
    <w:rsid w:val="009C180E"/>
    <w:rsid w:val="009C22D5"/>
    <w:rsid w:val="009C2BE0"/>
    <w:rsid w:val="009C4F53"/>
    <w:rsid w:val="009C5AB6"/>
    <w:rsid w:val="009D127D"/>
    <w:rsid w:val="009D2E5A"/>
    <w:rsid w:val="009D30DD"/>
    <w:rsid w:val="009D37FB"/>
    <w:rsid w:val="009D3E4A"/>
    <w:rsid w:val="009D5FEE"/>
    <w:rsid w:val="009D7308"/>
    <w:rsid w:val="009E17B8"/>
    <w:rsid w:val="009E1B0C"/>
    <w:rsid w:val="009E2CA3"/>
    <w:rsid w:val="009E2DC0"/>
    <w:rsid w:val="009E35DC"/>
    <w:rsid w:val="009E467A"/>
    <w:rsid w:val="009E75A8"/>
    <w:rsid w:val="009F1527"/>
    <w:rsid w:val="009F54ED"/>
    <w:rsid w:val="009F58CF"/>
    <w:rsid w:val="009F755F"/>
    <w:rsid w:val="009F75DF"/>
    <w:rsid w:val="009F7630"/>
    <w:rsid w:val="009F76DB"/>
    <w:rsid w:val="00A01B65"/>
    <w:rsid w:val="00A01B84"/>
    <w:rsid w:val="00A01C19"/>
    <w:rsid w:val="00A10D62"/>
    <w:rsid w:val="00A10E4E"/>
    <w:rsid w:val="00A1120D"/>
    <w:rsid w:val="00A160C8"/>
    <w:rsid w:val="00A16F9B"/>
    <w:rsid w:val="00A22809"/>
    <w:rsid w:val="00A31015"/>
    <w:rsid w:val="00A3187D"/>
    <w:rsid w:val="00A32C3B"/>
    <w:rsid w:val="00A33351"/>
    <w:rsid w:val="00A3359C"/>
    <w:rsid w:val="00A33B23"/>
    <w:rsid w:val="00A37F99"/>
    <w:rsid w:val="00A40B1D"/>
    <w:rsid w:val="00A424B4"/>
    <w:rsid w:val="00A44112"/>
    <w:rsid w:val="00A44193"/>
    <w:rsid w:val="00A445B9"/>
    <w:rsid w:val="00A45F4F"/>
    <w:rsid w:val="00A45FDF"/>
    <w:rsid w:val="00A47D78"/>
    <w:rsid w:val="00A50848"/>
    <w:rsid w:val="00A53D45"/>
    <w:rsid w:val="00A5435E"/>
    <w:rsid w:val="00A566A7"/>
    <w:rsid w:val="00A56978"/>
    <w:rsid w:val="00A600A9"/>
    <w:rsid w:val="00A6148C"/>
    <w:rsid w:val="00A62324"/>
    <w:rsid w:val="00A62FB6"/>
    <w:rsid w:val="00A63F3E"/>
    <w:rsid w:val="00A67135"/>
    <w:rsid w:val="00A6731F"/>
    <w:rsid w:val="00A70C22"/>
    <w:rsid w:val="00A714CC"/>
    <w:rsid w:val="00A724B8"/>
    <w:rsid w:val="00A72E77"/>
    <w:rsid w:val="00A73290"/>
    <w:rsid w:val="00A73B71"/>
    <w:rsid w:val="00A752D9"/>
    <w:rsid w:val="00A752F7"/>
    <w:rsid w:val="00A75D1F"/>
    <w:rsid w:val="00A76063"/>
    <w:rsid w:val="00A76351"/>
    <w:rsid w:val="00A832B8"/>
    <w:rsid w:val="00A83389"/>
    <w:rsid w:val="00A91461"/>
    <w:rsid w:val="00A91799"/>
    <w:rsid w:val="00A92EF2"/>
    <w:rsid w:val="00A9319C"/>
    <w:rsid w:val="00A939E8"/>
    <w:rsid w:val="00A946FC"/>
    <w:rsid w:val="00A94C08"/>
    <w:rsid w:val="00A96F5D"/>
    <w:rsid w:val="00A97A41"/>
    <w:rsid w:val="00A97E60"/>
    <w:rsid w:val="00AA2104"/>
    <w:rsid w:val="00AA286E"/>
    <w:rsid w:val="00AA3A7B"/>
    <w:rsid w:val="00AA47AA"/>
    <w:rsid w:val="00AA55B7"/>
    <w:rsid w:val="00AA5B9E"/>
    <w:rsid w:val="00AA7C77"/>
    <w:rsid w:val="00AB0F8C"/>
    <w:rsid w:val="00AB1B2D"/>
    <w:rsid w:val="00AB2407"/>
    <w:rsid w:val="00AB31EC"/>
    <w:rsid w:val="00AB4442"/>
    <w:rsid w:val="00AB53DF"/>
    <w:rsid w:val="00AB59A5"/>
    <w:rsid w:val="00AB74D0"/>
    <w:rsid w:val="00AC297F"/>
    <w:rsid w:val="00AC4C73"/>
    <w:rsid w:val="00AC50CE"/>
    <w:rsid w:val="00AC5C8E"/>
    <w:rsid w:val="00AC6A64"/>
    <w:rsid w:val="00AC6E63"/>
    <w:rsid w:val="00AD47B0"/>
    <w:rsid w:val="00AD4A29"/>
    <w:rsid w:val="00AD4D8A"/>
    <w:rsid w:val="00AE091B"/>
    <w:rsid w:val="00AE4111"/>
    <w:rsid w:val="00AE5B89"/>
    <w:rsid w:val="00AE5BC0"/>
    <w:rsid w:val="00AF0730"/>
    <w:rsid w:val="00AF08EE"/>
    <w:rsid w:val="00AF0E38"/>
    <w:rsid w:val="00AF1A6A"/>
    <w:rsid w:val="00AF249A"/>
    <w:rsid w:val="00AF2856"/>
    <w:rsid w:val="00AF2F4F"/>
    <w:rsid w:val="00AF4557"/>
    <w:rsid w:val="00AF45A4"/>
    <w:rsid w:val="00AF4CC9"/>
    <w:rsid w:val="00AF602C"/>
    <w:rsid w:val="00AF6427"/>
    <w:rsid w:val="00AF6E37"/>
    <w:rsid w:val="00B0099B"/>
    <w:rsid w:val="00B03356"/>
    <w:rsid w:val="00B0764C"/>
    <w:rsid w:val="00B07B4F"/>
    <w:rsid w:val="00B07E4A"/>
    <w:rsid w:val="00B07E5C"/>
    <w:rsid w:val="00B07E8C"/>
    <w:rsid w:val="00B12A48"/>
    <w:rsid w:val="00B151E2"/>
    <w:rsid w:val="00B16472"/>
    <w:rsid w:val="00B21753"/>
    <w:rsid w:val="00B23EAF"/>
    <w:rsid w:val="00B23F1B"/>
    <w:rsid w:val="00B255F6"/>
    <w:rsid w:val="00B267D3"/>
    <w:rsid w:val="00B278CE"/>
    <w:rsid w:val="00B31644"/>
    <w:rsid w:val="00B3400A"/>
    <w:rsid w:val="00B373CE"/>
    <w:rsid w:val="00B37E78"/>
    <w:rsid w:val="00B40C6A"/>
    <w:rsid w:val="00B41AF7"/>
    <w:rsid w:val="00B42B9F"/>
    <w:rsid w:val="00B4395A"/>
    <w:rsid w:val="00B50FBD"/>
    <w:rsid w:val="00B5148F"/>
    <w:rsid w:val="00B53B1D"/>
    <w:rsid w:val="00B53ECC"/>
    <w:rsid w:val="00B56FAD"/>
    <w:rsid w:val="00B57408"/>
    <w:rsid w:val="00B57FD5"/>
    <w:rsid w:val="00B606B1"/>
    <w:rsid w:val="00B6352F"/>
    <w:rsid w:val="00B63982"/>
    <w:rsid w:val="00B6427A"/>
    <w:rsid w:val="00B667BF"/>
    <w:rsid w:val="00B675EE"/>
    <w:rsid w:val="00B71859"/>
    <w:rsid w:val="00B74479"/>
    <w:rsid w:val="00B75909"/>
    <w:rsid w:val="00B807C3"/>
    <w:rsid w:val="00B811F7"/>
    <w:rsid w:val="00B818EE"/>
    <w:rsid w:val="00B824B3"/>
    <w:rsid w:val="00B84A02"/>
    <w:rsid w:val="00B84C0D"/>
    <w:rsid w:val="00B861E7"/>
    <w:rsid w:val="00B90332"/>
    <w:rsid w:val="00B90D23"/>
    <w:rsid w:val="00B90E84"/>
    <w:rsid w:val="00B91480"/>
    <w:rsid w:val="00B9485A"/>
    <w:rsid w:val="00B956BC"/>
    <w:rsid w:val="00B95D9A"/>
    <w:rsid w:val="00B96596"/>
    <w:rsid w:val="00BA2136"/>
    <w:rsid w:val="00BA2162"/>
    <w:rsid w:val="00BA2749"/>
    <w:rsid w:val="00BA4069"/>
    <w:rsid w:val="00BA55F2"/>
    <w:rsid w:val="00BA57AB"/>
    <w:rsid w:val="00BA5DC6"/>
    <w:rsid w:val="00BA6196"/>
    <w:rsid w:val="00BB01B6"/>
    <w:rsid w:val="00BB0859"/>
    <w:rsid w:val="00BB0D71"/>
    <w:rsid w:val="00BB1939"/>
    <w:rsid w:val="00BB25B2"/>
    <w:rsid w:val="00BB2629"/>
    <w:rsid w:val="00BB288F"/>
    <w:rsid w:val="00BB3E5C"/>
    <w:rsid w:val="00BB44C0"/>
    <w:rsid w:val="00BB494D"/>
    <w:rsid w:val="00BB5BF4"/>
    <w:rsid w:val="00BB5DA5"/>
    <w:rsid w:val="00BB68FD"/>
    <w:rsid w:val="00BB7397"/>
    <w:rsid w:val="00BC05A7"/>
    <w:rsid w:val="00BC27E3"/>
    <w:rsid w:val="00BC6D8C"/>
    <w:rsid w:val="00BC73B4"/>
    <w:rsid w:val="00BD2042"/>
    <w:rsid w:val="00BD3BA0"/>
    <w:rsid w:val="00BD469A"/>
    <w:rsid w:val="00BD5500"/>
    <w:rsid w:val="00BE107E"/>
    <w:rsid w:val="00BE454A"/>
    <w:rsid w:val="00BE472A"/>
    <w:rsid w:val="00BE5361"/>
    <w:rsid w:val="00BE5BFF"/>
    <w:rsid w:val="00BE69B5"/>
    <w:rsid w:val="00BE69E2"/>
    <w:rsid w:val="00BF0326"/>
    <w:rsid w:val="00BF0586"/>
    <w:rsid w:val="00BF0A83"/>
    <w:rsid w:val="00BF5460"/>
    <w:rsid w:val="00BF72F3"/>
    <w:rsid w:val="00BF770C"/>
    <w:rsid w:val="00C0123F"/>
    <w:rsid w:val="00C05FF5"/>
    <w:rsid w:val="00C11566"/>
    <w:rsid w:val="00C125CC"/>
    <w:rsid w:val="00C126E5"/>
    <w:rsid w:val="00C13DDB"/>
    <w:rsid w:val="00C14527"/>
    <w:rsid w:val="00C21454"/>
    <w:rsid w:val="00C22630"/>
    <w:rsid w:val="00C22C84"/>
    <w:rsid w:val="00C251DF"/>
    <w:rsid w:val="00C27664"/>
    <w:rsid w:val="00C2788C"/>
    <w:rsid w:val="00C33412"/>
    <w:rsid w:val="00C34006"/>
    <w:rsid w:val="00C35704"/>
    <w:rsid w:val="00C36B4C"/>
    <w:rsid w:val="00C3728B"/>
    <w:rsid w:val="00C3733A"/>
    <w:rsid w:val="00C37342"/>
    <w:rsid w:val="00C37416"/>
    <w:rsid w:val="00C41F30"/>
    <w:rsid w:val="00C42635"/>
    <w:rsid w:val="00C426B1"/>
    <w:rsid w:val="00C429C0"/>
    <w:rsid w:val="00C4453E"/>
    <w:rsid w:val="00C45220"/>
    <w:rsid w:val="00C507CE"/>
    <w:rsid w:val="00C50C4F"/>
    <w:rsid w:val="00C52BAE"/>
    <w:rsid w:val="00C5300B"/>
    <w:rsid w:val="00C538AB"/>
    <w:rsid w:val="00C55BB8"/>
    <w:rsid w:val="00C601A3"/>
    <w:rsid w:val="00C60EBE"/>
    <w:rsid w:val="00C61B76"/>
    <w:rsid w:val="00C65CB0"/>
    <w:rsid w:val="00C66160"/>
    <w:rsid w:val="00C66BD9"/>
    <w:rsid w:val="00C67659"/>
    <w:rsid w:val="00C67C71"/>
    <w:rsid w:val="00C70B58"/>
    <w:rsid w:val="00C7147A"/>
    <w:rsid w:val="00C718AB"/>
    <w:rsid w:val="00C718C5"/>
    <w:rsid w:val="00C721AC"/>
    <w:rsid w:val="00C72595"/>
    <w:rsid w:val="00C74547"/>
    <w:rsid w:val="00C75EC6"/>
    <w:rsid w:val="00C77032"/>
    <w:rsid w:val="00C81074"/>
    <w:rsid w:val="00C825C9"/>
    <w:rsid w:val="00C8349C"/>
    <w:rsid w:val="00C83C12"/>
    <w:rsid w:val="00C86227"/>
    <w:rsid w:val="00C867B5"/>
    <w:rsid w:val="00C87350"/>
    <w:rsid w:val="00C90D6A"/>
    <w:rsid w:val="00C91741"/>
    <w:rsid w:val="00C93DFF"/>
    <w:rsid w:val="00C95231"/>
    <w:rsid w:val="00C97E22"/>
    <w:rsid w:val="00CA022F"/>
    <w:rsid w:val="00CA1DE6"/>
    <w:rsid w:val="00CA247E"/>
    <w:rsid w:val="00CA25B2"/>
    <w:rsid w:val="00CA30D7"/>
    <w:rsid w:val="00CA34D8"/>
    <w:rsid w:val="00CA3970"/>
    <w:rsid w:val="00CA520E"/>
    <w:rsid w:val="00CA6D21"/>
    <w:rsid w:val="00CB38D7"/>
    <w:rsid w:val="00CB4C02"/>
    <w:rsid w:val="00CB4E29"/>
    <w:rsid w:val="00CB562A"/>
    <w:rsid w:val="00CB5760"/>
    <w:rsid w:val="00CB5DA7"/>
    <w:rsid w:val="00CC17C2"/>
    <w:rsid w:val="00CC61C7"/>
    <w:rsid w:val="00CC72B6"/>
    <w:rsid w:val="00CD1199"/>
    <w:rsid w:val="00CD45CC"/>
    <w:rsid w:val="00CD7513"/>
    <w:rsid w:val="00CD77F6"/>
    <w:rsid w:val="00CE46E0"/>
    <w:rsid w:val="00CE4CDE"/>
    <w:rsid w:val="00CE593E"/>
    <w:rsid w:val="00CF1E58"/>
    <w:rsid w:val="00CF25BC"/>
    <w:rsid w:val="00CF661B"/>
    <w:rsid w:val="00D00FD6"/>
    <w:rsid w:val="00D0157B"/>
    <w:rsid w:val="00D0218D"/>
    <w:rsid w:val="00D1433A"/>
    <w:rsid w:val="00D15DA5"/>
    <w:rsid w:val="00D1638F"/>
    <w:rsid w:val="00D16A11"/>
    <w:rsid w:val="00D16FA4"/>
    <w:rsid w:val="00D213E6"/>
    <w:rsid w:val="00D21721"/>
    <w:rsid w:val="00D25747"/>
    <w:rsid w:val="00D25BD8"/>
    <w:rsid w:val="00D25FB5"/>
    <w:rsid w:val="00D2666B"/>
    <w:rsid w:val="00D26F87"/>
    <w:rsid w:val="00D30B66"/>
    <w:rsid w:val="00D31828"/>
    <w:rsid w:val="00D321B8"/>
    <w:rsid w:val="00D32DDF"/>
    <w:rsid w:val="00D33D1E"/>
    <w:rsid w:val="00D44223"/>
    <w:rsid w:val="00D45152"/>
    <w:rsid w:val="00D500F4"/>
    <w:rsid w:val="00D5522F"/>
    <w:rsid w:val="00D5604D"/>
    <w:rsid w:val="00D560D6"/>
    <w:rsid w:val="00D5638C"/>
    <w:rsid w:val="00D56467"/>
    <w:rsid w:val="00D5796A"/>
    <w:rsid w:val="00D61C7B"/>
    <w:rsid w:val="00D6325C"/>
    <w:rsid w:val="00D63E5A"/>
    <w:rsid w:val="00D64DC0"/>
    <w:rsid w:val="00D6531E"/>
    <w:rsid w:val="00D66E14"/>
    <w:rsid w:val="00D66F39"/>
    <w:rsid w:val="00D712F2"/>
    <w:rsid w:val="00D72FBA"/>
    <w:rsid w:val="00D77221"/>
    <w:rsid w:val="00D8279F"/>
    <w:rsid w:val="00D82AD9"/>
    <w:rsid w:val="00D82BBB"/>
    <w:rsid w:val="00D833F9"/>
    <w:rsid w:val="00D918ED"/>
    <w:rsid w:val="00D97220"/>
    <w:rsid w:val="00D97E57"/>
    <w:rsid w:val="00DA2529"/>
    <w:rsid w:val="00DA486C"/>
    <w:rsid w:val="00DA62AE"/>
    <w:rsid w:val="00DA68F3"/>
    <w:rsid w:val="00DA79C2"/>
    <w:rsid w:val="00DB130A"/>
    <w:rsid w:val="00DB2EBB"/>
    <w:rsid w:val="00DB3C04"/>
    <w:rsid w:val="00DB4053"/>
    <w:rsid w:val="00DB48B3"/>
    <w:rsid w:val="00DB5A61"/>
    <w:rsid w:val="00DB5C00"/>
    <w:rsid w:val="00DB7003"/>
    <w:rsid w:val="00DB7A16"/>
    <w:rsid w:val="00DC0162"/>
    <w:rsid w:val="00DC10A1"/>
    <w:rsid w:val="00DC15F1"/>
    <w:rsid w:val="00DC276A"/>
    <w:rsid w:val="00DC655F"/>
    <w:rsid w:val="00DC7526"/>
    <w:rsid w:val="00DD0B59"/>
    <w:rsid w:val="00DD15DD"/>
    <w:rsid w:val="00DD3165"/>
    <w:rsid w:val="00DD6A67"/>
    <w:rsid w:val="00DD6F0E"/>
    <w:rsid w:val="00DD7EBD"/>
    <w:rsid w:val="00DD7FE9"/>
    <w:rsid w:val="00DE0D34"/>
    <w:rsid w:val="00DE4581"/>
    <w:rsid w:val="00DE4B61"/>
    <w:rsid w:val="00DF55DF"/>
    <w:rsid w:val="00DF5A73"/>
    <w:rsid w:val="00DF62B6"/>
    <w:rsid w:val="00DF7EE6"/>
    <w:rsid w:val="00E01B57"/>
    <w:rsid w:val="00E02247"/>
    <w:rsid w:val="00E02CF4"/>
    <w:rsid w:val="00E07225"/>
    <w:rsid w:val="00E1021A"/>
    <w:rsid w:val="00E12E2B"/>
    <w:rsid w:val="00E17344"/>
    <w:rsid w:val="00E17651"/>
    <w:rsid w:val="00E205B5"/>
    <w:rsid w:val="00E208F8"/>
    <w:rsid w:val="00E228C8"/>
    <w:rsid w:val="00E23028"/>
    <w:rsid w:val="00E23746"/>
    <w:rsid w:val="00E25F83"/>
    <w:rsid w:val="00E263EF"/>
    <w:rsid w:val="00E27D92"/>
    <w:rsid w:val="00E307F4"/>
    <w:rsid w:val="00E31FEC"/>
    <w:rsid w:val="00E323DA"/>
    <w:rsid w:val="00E43785"/>
    <w:rsid w:val="00E43D5F"/>
    <w:rsid w:val="00E4508E"/>
    <w:rsid w:val="00E4549E"/>
    <w:rsid w:val="00E46FBB"/>
    <w:rsid w:val="00E50A5C"/>
    <w:rsid w:val="00E518AE"/>
    <w:rsid w:val="00E52997"/>
    <w:rsid w:val="00E53411"/>
    <w:rsid w:val="00E534A1"/>
    <w:rsid w:val="00E5409F"/>
    <w:rsid w:val="00E579C7"/>
    <w:rsid w:val="00E622AE"/>
    <w:rsid w:val="00E6325D"/>
    <w:rsid w:val="00E63386"/>
    <w:rsid w:val="00E6413E"/>
    <w:rsid w:val="00E668C8"/>
    <w:rsid w:val="00E721AB"/>
    <w:rsid w:val="00E728C1"/>
    <w:rsid w:val="00E7363D"/>
    <w:rsid w:val="00E75216"/>
    <w:rsid w:val="00E758EE"/>
    <w:rsid w:val="00E75A45"/>
    <w:rsid w:val="00E80E6F"/>
    <w:rsid w:val="00E8173C"/>
    <w:rsid w:val="00E81C85"/>
    <w:rsid w:val="00E83099"/>
    <w:rsid w:val="00E84027"/>
    <w:rsid w:val="00E84D69"/>
    <w:rsid w:val="00E85235"/>
    <w:rsid w:val="00E86337"/>
    <w:rsid w:val="00E8755F"/>
    <w:rsid w:val="00E90602"/>
    <w:rsid w:val="00E932B9"/>
    <w:rsid w:val="00E95AD7"/>
    <w:rsid w:val="00E97E6D"/>
    <w:rsid w:val="00EA0296"/>
    <w:rsid w:val="00EA0807"/>
    <w:rsid w:val="00EA2372"/>
    <w:rsid w:val="00EA354E"/>
    <w:rsid w:val="00EA3745"/>
    <w:rsid w:val="00EA446C"/>
    <w:rsid w:val="00EA504B"/>
    <w:rsid w:val="00EA5AC7"/>
    <w:rsid w:val="00EA7061"/>
    <w:rsid w:val="00EB03AA"/>
    <w:rsid w:val="00EB04B7"/>
    <w:rsid w:val="00EB0C82"/>
    <w:rsid w:val="00EB1448"/>
    <w:rsid w:val="00EC0C6D"/>
    <w:rsid w:val="00EC248F"/>
    <w:rsid w:val="00EC3647"/>
    <w:rsid w:val="00EC4A22"/>
    <w:rsid w:val="00EC5061"/>
    <w:rsid w:val="00ED3141"/>
    <w:rsid w:val="00ED79D2"/>
    <w:rsid w:val="00ED7C0F"/>
    <w:rsid w:val="00EE11A6"/>
    <w:rsid w:val="00EE19FD"/>
    <w:rsid w:val="00EE2FB9"/>
    <w:rsid w:val="00EE5A5B"/>
    <w:rsid w:val="00EE6488"/>
    <w:rsid w:val="00EE6CFA"/>
    <w:rsid w:val="00EE78F4"/>
    <w:rsid w:val="00EE7ADE"/>
    <w:rsid w:val="00EF26BA"/>
    <w:rsid w:val="00EF3893"/>
    <w:rsid w:val="00EF5BBF"/>
    <w:rsid w:val="00EF6255"/>
    <w:rsid w:val="00EF7798"/>
    <w:rsid w:val="00EF7B89"/>
    <w:rsid w:val="00EF7D8D"/>
    <w:rsid w:val="00F0037F"/>
    <w:rsid w:val="00F01336"/>
    <w:rsid w:val="00F017B3"/>
    <w:rsid w:val="00F01E31"/>
    <w:rsid w:val="00F021FA"/>
    <w:rsid w:val="00F05910"/>
    <w:rsid w:val="00F05D47"/>
    <w:rsid w:val="00F06B2C"/>
    <w:rsid w:val="00F11DF0"/>
    <w:rsid w:val="00F11F7D"/>
    <w:rsid w:val="00F121D4"/>
    <w:rsid w:val="00F1402F"/>
    <w:rsid w:val="00F149C0"/>
    <w:rsid w:val="00F20910"/>
    <w:rsid w:val="00F211FC"/>
    <w:rsid w:val="00F21903"/>
    <w:rsid w:val="00F25576"/>
    <w:rsid w:val="00F26A45"/>
    <w:rsid w:val="00F26C1D"/>
    <w:rsid w:val="00F26F39"/>
    <w:rsid w:val="00F31372"/>
    <w:rsid w:val="00F31F02"/>
    <w:rsid w:val="00F325A9"/>
    <w:rsid w:val="00F339F2"/>
    <w:rsid w:val="00F33C6F"/>
    <w:rsid w:val="00F3417C"/>
    <w:rsid w:val="00F377BE"/>
    <w:rsid w:val="00F40C76"/>
    <w:rsid w:val="00F425C4"/>
    <w:rsid w:val="00F443D6"/>
    <w:rsid w:val="00F45D39"/>
    <w:rsid w:val="00F473A8"/>
    <w:rsid w:val="00F479E1"/>
    <w:rsid w:val="00F5030B"/>
    <w:rsid w:val="00F523E6"/>
    <w:rsid w:val="00F52BD5"/>
    <w:rsid w:val="00F532A4"/>
    <w:rsid w:val="00F57FDE"/>
    <w:rsid w:val="00F60AF7"/>
    <w:rsid w:val="00F624B4"/>
    <w:rsid w:val="00F62E97"/>
    <w:rsid w:val="00F64209"/>
    <w:rsid w:val="00F65869"/>
    <w:rsid w:val="00F6604F"/>
    <w:rsid w:val="00F66A40"/>
    <w:rsid w:val="00F677DA"/>
    <w:rsid w:val="00F67FFA"/>
    <w:rsid w:val="00F73E3D"/>
    <w:rsid w:val="00F74485"/>
    <w:rsid w:val="00F74541"/>
    <w:rsid w:val="00F76785"/>
    <w:rsid w:val="00F80D12"/>
    <w:rsid w:val="00F816CD"/>
    <w:rsid w:val="00F829AA"/>
    <w:rsid w:val="00F83A28"/>
    <w:rsid w:val="00F84899"/>
    <w:rsid w:val="00F93BF5"/>
    <w:rsid w:val="00F93FB8"/>
    <w:rsid w:val="00F94064"/>
    <w:rsid w:val="00F95BFC"/>
    <w:rsid w:val="00F95C4F"/>
    <w:rsid w:val="00F97448"/>
    <w:rsid w:val="00FA0CEF"/>
    <w:rsid w:val="00FA4A00"/>
    <w:rsid w:val="00FB0016"/>
    <w:rsid w:val="00FB03DB"/>
    <w:rsid w:val="00FB0D67"/>
    <w:rsid w:val="00FB189E"/>
    <w:rsid w:val="00FB3E62"/>
    <w:rsid w:val="00FB4299"/>
    <w:rsid w:val="00FB4B12"/>
    <w:rsid w:val="00FB4E8F"/>
    <w:rsid w:val="00FB60A9"/>
    <w:rsid w:val="00FB6269"/>
    <w:rsid w:val="00FB658E"/>
    <w:rsid w:val="00FB7592"/>
    <w:rsid w:val="00FC2437"/>
    <w:rsid w:val="00FC38F7"/>
    <w:rsid w:val="00FC57C6"/>
    <w:rsid w:val="00FD0C2A"/>
    <w:rsid w:val="00FD10C0"/>
    <w:rsid w:val="00FD1AAD"/>
    <w:rsid w:val="00FD1F59"/>
    <w:rsid w:val="00FD1F91"/>
    <w:rsid w:val="00FD2992"/>
    <w:rsid w:val="00FD4746"/>
    <w:rsid w:val="00FD75C5"/>
    <w:rsid w:val="00FE3C6B"/>
    <w:rsid w:val="00FE4109"/>
    <w:rsid w:val="00FE5024"/>
    <w:rsid w:val="00FE5216"/>
    <w:rsid w:val="00FE6FC1"/>
    <w:rsid w:val="00FF080D"/>
    <w:rsid w:val="00FF55A3"/>
    <w:rsid w:val="00FF5656"/>
    <w:rsid w:val="032FE2B3"/>
    <w:rsid w:val="04B30D34"/>
    <w:rsid w:val="07DF3BD9"/>
    <w:rsid w:val="0E63B6A3"/>
    <w:rsid w:val="13A4045D"/>
    <w:rsid w:val="1486A092"/>
    <w:rsid w:val="1509F0F9"/>
    <w:rsid w:val="17C57483"/>
    <w:rsid w:val="1ADAB324"/>
    <w:rsid w:val="2E5CCEFF"/>
    <w:rsid w:val="34CC1083"/>
    <w:rsid w:val="37D9DD06"/>
    <w:rsid w:val="3E22827F"/>
    <w:rsid w:val="41916B2E"/>
    <w:rsid w:val="4A1B775C"/>
    <w:rsid w:val="4BB747BD"/>
    <w:rsid w:val="4C2C1067"/>
    <w:rsid w:val="4D53181E"/>
    <w:rsid w:val="4F99BCAD"/>
    <w:rsid w:val="5A0866F4"/>
    <w:rsid w:val="6282554B"/>
    <w:rsid w:val="66AD7C4F"/>
    <w:rsid w:val="66BBB569"/>
    <w:rsid w:val="6963B1EC"/>
    <w:rsid w:val="6D36BBCF"/>
    <w:rsid w:val="710165EA"/>
    <w:rsid w:val="71D6D47A"/>
    <w:rsid w:val="75D4D70D"/>
    <w:rsid w:val="76189F0C"/>
    <w:rsid w:val="76E1C25D"/>
    <w:rsid w:val="78D52FE2"/>
    <w:rsid w:val="798B3CD1"/>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0C40A60D"/>
  <w15:chartTrackingRefBased/>
  <w15:docId w15:val="{743C1FFE-5C10-4BCC-BE32-6DF82539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F7EE6"/>
    <w:rPr>
      <w:rFonts w:ascii="Calibri" w:eastAsia="Calibri" w:hAnsi="Calibri" w:cs="Calibri"/>
      <w:sz w:val="22"/>
      <w:szCs w:val="22"/>
      <w:lang w:eastAsia="en-US"/>
    </w:rPr>
  </w:style>
  <w:style w:type="paragraph" w:styleId="Heading1">
    <w:name w:val="heading 1"/>
    <w:basedOn w:val="Normal"/>
    <w:next w:val="ParaNum"/>
    <w:link w:val="Heading1Char"/>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Footnote Text Char Char,Footnote Text Char Char Char Char Char,Footnote Text Char1,Footnote Text Char1 Char Char Char,Footnote Text Char3 Char Char,Footnote Text Char3 Char Char Char Char Char,f,fn,fn Char,ft"/>
    <w:link w:val="FootnoteTextChar"/>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7692A"/>
    <w:pPr>
      <w:tabs>
        <w:tab w:val="center" w:pos="4680"/>
        <w:tab w:val="right" w:pos="9360"/>
      </w:tabs>
    </w:pPr>
    <w:rPr>
      <w:rFonts w:ascii="Times New Roman" w:hAnsi="Times New Roman" w:cs="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3351"/>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C8349C"/>
    <w:rPr>
      <w:rFonts w:ascii="Times New Roman Bold" w:hAnsi="Times New Roman Bold"/>
      <w:b/>
      <w:caps/>
      <w:snapToGrid w:val="0"/>
      <w:kern w:val="28"/>
      <w:sz w:val="22"/>
    </w:rPr>
  </w:style>
  <w:style w:type="character" w:customStyle="1" w:styleId="FootnoteTextChar">
    <w:name w:val="Footnote Text Char"/>
    <w:aliases w:val="ALTS FOOTNOTE Char,FOOTNOTE Char,Foo Char,Footnote Text Char Char Char,Footnote Text Char Char Char Char Char Char,Footnote Text Char1 Char,Footnote Text Char1 Char Char Char Char,Footnote Text Char3 Char Char Char,f Char,fn Char1"/>
    <w:link w:val="FootnoteText"/>
    <w:rsid w:val="00C8349C"/>
  </w:style>
  <w:style w:type="character" w:customStyle="1" w:styleId="ParaNumChar">
    <w:name w:val="ParaNum Char"/>
    <w:link w:val="ParaNum"/>
    <w:rsid w:val="00C8349C"/>
    <w:rPr>
      <w:snapToGrid w:val="0"/>
      <w:kern w:val="28"/>
      <w:sz w:val="22"/>
    </w:rPr>
  </w:style>
  <w:style w:type="character" w:customStyle="1" w:styleId="Heading2Char">
    <w:name w:val="Heading 2 Char"/>
    <w:link w:val="Heading2"/>
    <w:rsid w:val="002A14A3"/>
    <w:rPr>
      <w:b/>
      <w:snapToGrid w:val="0"/>
      <w:kern w:val="28"/>
      <w:sz w:val="22"/>
    </w:rPr>
  </w:style>
  <w:style w:type="character" w:styleId="CommentReference">
    <w:name w:val="annotation reference"/>
    <w:rsid w:val="00F40C76"/>
    <w:rPr>
      <w:sz w:val="16"/>
      <w:szCs w:val="16"/>
    </w:rPr>
  </w:style>
  <w:style w:type="paragraph" w:styleId="CommentText">
    <w:name w:val="annotation text"/>
    <w:basedOn w:val="Normal"/>
    <w:link w:val="CommentTextChar"/>
    <w:rsid w:val="00F40C76"/>
    <w:rPr>
      <w:sz w:val="20"/>
    </w:rPr>
  </w:style>
  <w:style w:type="character" w:customStyle="1" w:styleId="CommentTextChar">
    <w:name w:val="Comment Text Char"/>
    <w:link w:val="CommentText"/>
    <w:rsid w:val="00F40C76"/>
    <w:rPr>
      <w:snapToGrid w:val="0"/>
      <w:kern w:val="28"/>
    </w:rPr>
  </w:style>
  <w:style w:type="paragraph" w:styleId="CommentSubject">
    <w:name w:val="annotation subject"/>
    <w:basedOn w:val="CommentText"/>
    <w:next w:val="CommentText"/>
    <w:link w:val="CommentSubjectChar"/>
    <w:rsid w:val="00F40C76"/>
    <w:rPr>
      <w:b/>
      <w:bCs/>
    </w:rPr>
  </w:style>
  <w:style w:type="character" w:customStyle="1" w:styleId="CommentSubjectChar">
    <w:name w:val="Comment Subject Char"/>
    <w:link w:val="CommentSubject"/>
    <w:rsid w:val="00F40C76"/>
    <w:rPr>
      <w:b/>
      <w:bCs/>
      <w:snapToGrid w:val="0"/>
      <w:kern w:val="28"/>
    </w:rPr>
  </w:style>
  <w:style w:type="character" w:customStyle="1" w:styleId="UnresolvedMention">
    <w:name w:val="Unresolved Mention"/>
    <w:uiPriority w:val="99"/>
    <w:semiHidden/>
    <w:unhideWhenUsed/>
    <w:rsid w:val="00B818EE"/>
    <w:rPr>
      <w:color w:val="605E5C"/>
      <w:shd w:val="clear" w:color="auto" w:fill="E1DFDD"/>
    </w:rPr>
  </w:style>
  <w:style w:type="character" w:styleId="FollowedHyperlink">
    <w:name w:val="FollowedHyperlink"/>
    <w:basedOn w:val="DefaultParagraphFont"/>
    <w:rsid w:val="00DB5C00"/>
    <w:rPr>
      <w:color w:val="954F72" w:themeColor="followedHyperlink"/>
      <w:u w:val="single"/>
    </w:rPr>
  </w:style>
  <w:style w:type="paragraph" w:styleId="Revision">
    <w:name w:val="Revision"/>
    <w:hidden/>
    <w:uiPriority w:val="99"/>
    <w:semiHidden/>
    <w:rsid w:val="00F479E1"/>
    <w:rPr>
      <w:rFonts w:ascii="Calibri" w:eastAsia="Calibri" w:hAnsi="Calibri" w:cs="Calibri"/>
      <w:sz w:val="22"/>
      <w:szCs w:val="22"/>
      <w:lang w:eastAsia="en-US"/>
    </w:rPr>
  </w:style>
  <w:style w:type="paragraph" w:customStyle="1" w:styleId="Default">
    <w:name w:val="Default"/>
    <w:rsid w:val="00DB5C00"/>
    <w:pPr>
      <w:autoSpaceDE w:val="0"/>
      <w:autoSpaceDN w:val="0"/>
      <w:adjustRightInd w:val="0"/>
    </w:pPr>
    <w:rPr>
      <w:color w:val="000000"/>
      <w:sz w:val="24"/>
      <w:szCs w:val="24"/>
      <w:lang w:eastAsia="en-US"/>
    </w:rPr>
  </w:style>
  <w:style w:type="paragraph" w:styleId="BalloonText">
    <w:name w:val="Balloon Text"/>
    <w:basedOn w:val="Normal"/>
    <w:link w:val="BalloonTextChar"/>
    <w:rsid w:val="0038795C"/>
    <w:rPr>
      <w:rFonts w:ascii="Times New Roman" w:hAnsi="Times New Roman" w:cs="Times New Roman"/>
      <w:sz w:val="18"/>
      <w:szCs w:val="18"/>
    </w:rPr>
  </w:style>
  <w:style w:type="character" w:customStyle="1" w:styleId="BalloonTextChar">
    <w:name w:val="Balloon Text Char"/>
    <w:basedOn w:val="DefaultParagraphFont"/>
    <w:link w:val="BalloonText"/>
    <w:rsid w:val="0038795C"/>
    <w:rPr>
      <w:rFonts w:eastAsia="Calibri"/>
      <w:sz w:val="18"/>
      <w:szCs w:val="18"/>
      <w:lang w:eastAsia="en-US"/>
    </w:rPr>
  </w:style>
  <w:style w:type="paragraph" w:styleId="ListParagraph">
    <w:name w:val="List Paragraph"/>
    <w:basedOn w:val="Normal"/>
    <w:uiPriority w:val="34"/>
    <w:qFormat/>
    <w:rsid w:val="0005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james.wiley@fcc.gov" TargetMode="External" /><Relationship Id="rId7" Type="http://schemas.openxmlformats.org/officeDocument/2006/relationships/hyperlink" Target="mailto:minsoo.kim@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cisco.com/c/en/us/support/docs/ip/border-gateway-protocol-bgp/13753-25.html" TargetMode="External" /><Relationship Id="rId10" Type="http://schemas.openxmlformats.org/officeDocument/2006/relationships/hyperlink" Target="https://arstechnica.com/information-technology/2013/11/repeated-attacks-hijack-huge-chunks-of-internet-traffic-researchers-warn/" TargetMode="External" /><Relationship Id="rId11" Type="http://schemas.openxmlformats.org/officeDocument/2006/relationships/hyperlink" Target="https://arstechnica.com/information-technology/2017/12/suspicious-event-routes-traffic-for-big-name-sites-through-russia/" TargetMode="External" /><Relationship Id="rId12" Type="http://schemas.openxmlformats.org/officeDocument/2006/relationships/hyperlink" Target="https://arstechnica.com/information-technology/2017/04/russian-controlled-telecom-hijacks-financial-services-internet-traffic/" TargetMode="External" /><Relationship Id="rId13" Type="http://schemas.openxmlformats.org/officeDocument/2006/relationships/hyperlink" Target="https://www.nist.gov/publications/toward-secure-routing-infrastructures" TargetMode="External" /><Relationship Id="rId14" Type="http://schemas.openxmlformats.org/officeDocument/2006/relationships/hyperlink" Target="https://datatracker.ietf.org/wg/sidr/documents/" TargetMode="External" /><Relationship Id="rId15" Type="http://schemas.openxmlformats.org/officeDocument/2006/relationships/hyperlink" Target="https://www.rfc-editor.org/rfc/pdfrfc/rfc8205.txt.pdf" TargetMode="External" /><Relationship Id="rId16" Type="http://schemas.openxmlformats.org/officeDocument/2006/relationships/hyperlink" Target="https://csrc.nist.gov/publications/detail/white-paper/2021/09/15/bgp-secure-routing-extension-bgp-srx/final" TargetMode="External" /><Relationship Id="rId17" Type="http://schemas.openxmlformats.org/officeDocument/2006/relationships/hyperlink" Target="https://www.manrs.org/" TargetMode="External" /><Relationship Id="rId18" Type="http://schemas.openxmlformats.org/officeDocument/2006/relationships/hyperlink" Target="https://www.rfc-editor.org/rfc/pdfrfc/rfc2827.txt.pdf" TargetMode="External" /><Relationship Id="rId19" Type="http://schemas.openxmlformats.org/officeDocument/2006/relationships/hyperlink" Target="https://www.rfc-editor.org/rfc/pdfrfc/rfc3013.txt.pdf" TargetMode="External" /><Relationship Id="rId2" Type="http://schemas.openxmlformats.org/officeDocument/2006/relationships/hyperlink" Target="https://www.arin.net/resources/guide/request/" TargetMode="External" /><Relationship Id="rId20" Type="http://schemas.openxmlformats.org/officeDocument/2006/relationships/hyperlink" Target="https://datatracker.ietf.org/doc/html/rfc4778" TargetMode="External" /><Relationship Id="rId21" Type="http://schemas.openxmlformats.org/officeDocument/2006/relationships/hyperlink" Target="https://observatory.manrs.org/#/overview" TargetMode="External" /><Relationship Id="rId22" Type="http://schemas.openxmlformats.org/officeDocument/2006/relationships/hyperlink" Target="https://transition.fcc.gov/bureaus/pshs/advisory/csric3/CSRIC_III_WG6_Report_March_%202013.pdf" TargetMode="External" /><Relationship Id="rId23" Type="http://schemas.openxmlformats.org/officeDocument/2006/relationships/hyperlink" Target="https://www.fcc.gov/file/15311/download" TargetMode="External" /><Relationship Id="rId24" Type="http://schemas.openxmlformats.org/officeDocument/2006/relationships/hyperlink" Target="https://www.potaroo.net/tools/asn32/" TargetMode="External" /><Relationship Id="rId25" Type="http://schemas.openxmlformats.org/officeDocument/2006/relationships/hyperlink" Target="https://www.manrs.org/2021/09/the-manrs-steering-committee-needs-you/" TargetMode="External" /><Relationship Id="rId26" Type="http://schemas.openxmlformats.org/officeDocument/2006/relationships/hyperlink" Target="https://observatory.manrs.org/" TargetMode="External" /><Relationship Id="rId27" Type="http://schemas.openxmlformats.org/officeDocument/2006/relationships/hyperlink" Target="https://www.arin.net/resources/manage/rpki/" TargetMode="External" /><Relationship Id="rId28" Type="http://schemas.openxmlformats.org/officeDocument/2006/relationships/hyperlink" Target="https://datatracker.ietf.org/doc/html/rfc7258" TargetMode="External" /><Relationship Id="rId29" Type="http://schemas.openxmlformats.org/officeDocument/2006/relationships/hyperlink" Target="https://rpki-monitor.antd.nist.gov/" TargetMode="External" /><Relationship Id="rId3" Type="http://schemas.openxmlformats.org/officeDocument/2006/relationships/hyperlink" Target="https://datatracker.ietf.org/doc/html/rfc4271" TargetMode="External" /><Relationship Id="rId30" Type="http://schemas.openxmlformats.org/officeDocument/2006/relationships/hyperlink" Target="https://labs.ripe.net/author/vasileios_kotronis/artemis-an-open-source-tool-for-detecting-bgp-prefix-hijacking-in-real-time/" TargetMode="External" /><Relationship Id="rId31" Type="http://schemas.openxmlformats.org/officeDocument/2006/relationships/hyperlink" Target="https://bgpstream.com/" TargetMode="External" /><Relationship Id="rId32" Type="http://schemas.openxmlformats.org/officeDocument/2006/relationships/hyperlink" Target="https://bgpmon.net/" TargetMode="External" /><Relationship Id="rId33" Type="http://schemas.openxmlformats.org/officeDocument/2006/relationships/hyperlink" Target="https://www.kentik.com" TargetMode="External" /><Relationship Id="rId34" Type="http://schemas.openxmlformats.org/officeDocument/2006/relationships/hyperlink" Target="https://www.caida.org/catalog/papers/2012_bgp_traceroute_report/bgp-traceroute_report.pdf" TargetMode="External" /><Relationship Id="rId35" Type="http://schemas.openxmlformats.org/officeDocument/2006/relationships/hyperlink" Target="https://www.cs.technion.ac.il/users/wwwb/cgi-bin/tr-get.cgi/2018/MSC/MSC-2018-05.pdf" TargetMode="External" /><Relationship Id="rId36" Type="http://schemas.openxmlformats.org/officeDocument/2006/relationships/hyperlink" Target="https://bgp4all.com/pfs/_media/workshops/02-rpki.pdf" TargetMode="External" /><Relationship Id="rId37" Type="http://schemas.openxmlformats.org/officeDocument/2006/relationships/hyperlink" Target="https://bgpsec.net/history.html" TargetMode="External" /><Relationship Id="rId38" Type="http://schemas.openxmlformats.org/officeDocument/2006/relationships/hyperlink" Target="https://www.cs.bu.edu/~goldbe/papers/partialSec.pdf" TargetMode="External" /><Relationship Id="rId39" Type="http://schemas.openxmlformats.org/officeDocument/2006/relationships/hyperlink" Target="https://www.manrs.org/resources/community-report-2021/" TargetMode="External" /><Relationship Id="rId4" Type="http://schemas.openxmlformats.org/officeDocument/2006/relationships/hyperlink" Target="https://csrc.nist.gov/publications/detail/sp/800-189/final" TargetMode="External" /><Relationship Id="rId40" Type="http://schemas.openxmlformats.org/officeDocument/2006/relationships/hyperlink" Target="https://www.manrs.org/resources/community-report-2020/" TargetMode="External" /><Relationship Id="rId41" Type="http://schemas.openxmlformats.org/officeDocument/2006/relationships/hyperlink" Target="https://hostingjournalist.com/all-china-telecom-backbone-networks-now-meeting-manrs-security-standards/" TargetMode="External" /><Relationship Id="rId42" Type="http://schemas.openxmlformats.org/officeDocument/2006/relationships/hyperlink" Target="https://www.manrs.org/isps/" TargetMode="External" /><Relationship Id="rId43" Type="http://schemas.openxmlformats.org/officeDocument/2006/relationships/hyperlink" Target="https://www.manrs.org/ixps/" TargetMode="External" /><Relationship Id="rId44" Type="http://schemas.openxmlformats.org/officeDocument/2006/relationships/hyperlink" Target="https://www.manrs.org/cdn-cloud-providers/" TargetMode="External" /><Relationship Id="rId45" Type="http://schemas.openxmlformats.org/officeDocument/2006/relationships/hyperlink" Target="https://www.manrs.org/equipment-vendors/" TargetMode="External" /><Relationship Id="rId46" Type="http://schemas.openxmlformats.org/officeDocument/2006/relationships/hyperlink" Target="https://www.convergedigest.com/2021/09/leading-vendors-agree-to-tackle.html" TargetMode="External" /><Relationship Id="rId47" Type="http://schemas.openxmlformats.org/officeDocument/2006/relationships/hyperlink" Target="https://www.fcc.gov/document/fcc-closes-headquarters-open-window-and-changes-hand-delivery-policy" TargetMode="External" /><Relationship Id="rId5" Type="http://schemas.openxmlformats.org/officeDocument/2006/relationships/hyperlink" Target="https://www.internetsociety.org/issues/manrs/" TargetMode="External" /><Relationship Id="rId6" Type="http://schemas.openxmlformats.org/officeDocument/2006/relationships/hyperlink" Target="https://youtu.be/IzLPKuAOe50" TargetMode="External" /><Relationship Id="rId7" Type="http://schemas.openxmlformats.org/officeDocument/2006/relationships/hyperlink" Target="https://csrc.nist.gov/publications/detail/sp/1800-14/final" TargetMode="External" /><Relationship Id="rId8" Type="http://schemas.openxmlformats.org/officeDocument/2006/relationships/hyperlink" Target="https://www.cloudflare.com/learning/security/glossary/what-is-bgp/" TargetMode="External" /><Relationship Id="rId9" Type="http://schemas.openxmlformats.org/officeDocument/2006/relationships/hyperlink" Target="https://www.cise.ufl.edu/~butler/pubs/bgpsurvey.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