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rsidP="00B672CF" w14:paraId="35511499" w14:textId="77777777">
      <w:pPr>
        <w:jc w:val="center"/>
        <w:rPr>
          <w:b/>
        </w:rPr>
      </w:pPr>
      <w:r w:rsidRPr="0070224F">
        <w:rPr>
          <w:rFonts w:ascii="Times New Roman Bold" w:hAnsi="Times New Roman Bold"/>
          <w:b/>
          <w:kern w:val="0"/>
          <w:szCs w:val="22"/>
        </w:rPr>
        <w:t>Before</w:t>
      </w:r>
      <w:r>
        <w:rPr>
          <w:b/>
        </w:rPr>
        <w:t xml:space="preserve"> the</w:t>
      </w:r>
    </w:p>
    <w:p w:rsidR="00921803" w:rsidP="00B672CF" w14:paraId="02900BBA" w14:textId="77777777">
      <w:pPr>
        <w:pStyle w:val="StyleBoldCentered"/>
      </w:pPr>
      <w:r>
        <w:t>F</w:t>
      </w:r>
      <w:r>
        <w:rPr>
          <w:caps w:val="0"/>
        </w:rPr>
        <w:t>ederal Communications Commission</w:t>
      </w:r>
    </w:p>
    <w:p w:rsidR="004C2EE3" w:rsidP="00B672CF" w14:paraId="6B1E7F63" w14:textId="77777777">
      <w:pPr>
        <w:pStyle w:val="StyleBoldCentered"/>
      </w:pPr>
      <w:r>
        <w:rPr>
          <w:caps w:val="0"/>
        </w:rPr>
        <w:t>Washington, D.C. 20554</w:t>
      </w:r>
    </w:p>
    <w:p w:rsidR="004C2EE3" w:rsidP="00B672CF" w14:paraId="731F2C85" w14:textId="77777777"/>
    <w:tbl>
      <w:tblPr>
        <w:tblW w:w="0" w:type="auto"/>
        <w:tblLayout w:type="fixed"/>
        <w:tblLook w:val="0000"/>
      </w:tblPr>
      <w:tblGrid>
        <w:gridCol w:w="4698"/>
        <w:gridCol w:w="630"/>
        <w:gridCol w:w="4248"/>
      </w:tblGrid>
      <w:tr w14:paraId="6F34E579" w14:textId="77777777">
        <w:tblPrEx>
          <w:tblW w:w="0" w:type="auto"/>
          <w:tblLayout w:type="fixed"/>
          <w:tblLook w:val="0000"/>
        </w:tblPrEx>
        <w:tc>
          <w:tcPr>
            <w:tcW w:w="4698" w:type="dxa"/>
          </w:tcPr>
          <w:p w:rsidR="0030758D" w:rsidP="0030758D" w14:paraId="2E832E29" w14:textId="70F47DD7">
            <w:pPr>
              <w:tabs>
                <w:tab w:val="center" w:pos="4680"/>
              </w:tabs>
              <w:suppressAutoHyphens/>
              <w:rPr>
                <w:spacing w:val="-2"/>
              </w:rPr>
            </w:pPr>
            <w:r>
              <w:rPr>
                <w:spacing w:val="-2"/>
              </w:rPr>
              <w:t xml:space="preserve">In </w:t>
            </w:r>
            <w:r w:rsidR="00327840">
              <w:rPr>
                <w:spacing w:val="-2"/>
              </w:rPr>
              <w:t>of the Matter of</w:t>
            </w:r>
            <w:r>
              <w:rPr>
                <w:spacing w:val="-2"/>
              </w:rPr>
              <w:t xml:space="preserve"> </w:t>
            </w:r>
          </w:p>
          <w:p w:rsidR="0030758D" w:rsidP="0030758D" w14:paraId="798E9C4E" w14:textId="77777777">
            <w:pPr>
              <w:tabs>
                <w:tab w:val="center" w:pos="4680"/>
              </w:tabs>
              <w:suppressAutoHyphens/>
              <w:rPr>
                <w:spacing w:val="-2"/>
              </w:rPr>
            </w:pPr>
          </w:p>
          <w:p w:rsidR="0030758D" w:rsidP="0030758D" w14:paraId="6F0F4C20" w14:textId="65655770">
            <w:pPr>
              <w:tabs>
                <w:tab w:val="center" w:pos="4680"/>
              </w:tabs>
              <w:suppressAutoHyphens/>
              <w:rPr>
                <w:spacing w:val="-2"/>
              </w:rPr>
            </w:pPr>
            <w:r>
              <w:rPr>
                <w:rStyle w:val="normaltextrun"/>
                <w:color w:val="000000"/>
                <w:szCs w:val="22"/>
                <w:shd w:val="clear" w:color="auto" w:fill="FFFFFF"/>
              </w:rPr>
              <w:t>Florida </w:t>
            </w:r>
            <w:r>
              <w:rPr>
                <w:rStyle w:val="spellingerror"/>
                <w:color w:val="000000"/>
                <w:szCs w:val="22"/>
                <w:shd w:val="clear" w:color="auto" w:fill="FFFFFF"/>
              </w:rPr>
              <w:t>SportsTalk</w:t>
            </w:r>
            <w:r>
              <w:rPr>
                <w:rStyle w:val="normaltextrun"/>
                <w:color w:val="000000"/>
                <w:szCs w:val="22"/>
                <w:shd w:val="clear" w:color="auto" w:fill="FFFFFF"/>
              </w:rPr>
              <w:t>, LLC</w:t>
            </w:r>
            <w:r>
              <w:rPr>
                <w:spacing w:val="-2"/>
              </w:rPr>
              <w:t xml:space="preserve"> (Assignor)</w:t>
            </w:r>
          </w:p>
          <w:p w:rsidR="0030758D" w:rsidP="0030758D" w14:paraId="38E86821" w14:textId="77777777">
            <w:pPr>
              <w:tabs>
                <w:tab w:val="center" w:pos="4680"/>
              </w:tabs>
              <w:suppressAutoHyphens/>
              <w:rPr>
                <w:spacing w:val="-2"/>
              </w:rPr>
            </w:pPr>
            <w:r>
              <w:rPr>
                <w:spacing w:val="-2"/>
              </w:rPr>
              <w:t>And</w:t>
            </w:r>
          </w:p>
          <w:p w:rsidR="0030758D" w:rsidP="0030758D" w14:paraId="46EF813F" w14:textId="77777777">
            <w:pPr>
              <w:tabs>
                <w:tab w:val="center" w:pos="4680"/>
              </w:tabs>
              <w:suppressAutoHyphens/>
              <w:rPr>
                <w:spacing w:val="-2"/>
              </w:rPr>
            </w:pPr>
            <w:r>
              <w:rPr>
                <w:color w:val="000000"/>
                <w:szCs w:val="22"/>
                <w:shd w:val="clear" w:color="auto" w:fill="FFFFFF"/>
              </w:rPr>
              <w:t>Hitmaker Music Group, LLC</w:t>
            </w:r>
            <w:r>
              <w:rPr>
                <w:spacing w:val="-2"/>
              </w:rPr>
              <w:t xml:space="preserve"> (Assignee)</w:t>
            </w:r>
          </w:p>
          <w:p w:rsidR="0030758D" w:rsidP="0030758D" w14:paraId="6D3E1DC2" w14:textId="77777777">
            <w:pPr>
              <w:tabs>
                <w:tab w:val="center" w:pos="4680"/>
              </w:tabs>
              <w:suppressAutoHyphens/>
              <w:rPr>
                <w:spacing w:val="-2"/>
              </w:rPr>
            </w:pPr>
          </w:p>
          <w:p w:rsidR="005B203A" w:rsidP="0030758D" w14:paraId="766EE43B" w14:textId="041BEF6A">
            <w:pPr>
              <w:tabs>
                <w:tab w:val="center" w:pos="4680"/>
              </w:tabs>
              <w:suppressAutoHyphens/>
              <w:rPr>
                <w:spacing w:val="-2"/>
              </w:rPr>
            </w:pPr>
            <w:r>
              <w:rPr>
                <w:spacing w:val="-2"/>
              </w:rPr>
              <w:t>Applications f</w:t>
            </w:r>
            <w:r w:rsidR="0030758D">
              <w:rPr>
                <w:spacing w:val="-2"/>
              </w:rPr>
              <w:t xml:space="preserve">or Consent to Assignment of Licenses of </w:t>
            </w:r>
          </w:p>
          <w:p w:rsidR="005B203A" w:rsidP="0030758D" w14:paraId="27607E2B" w14:textId="77777777">
            <w:pPr>
              <w:tabs>
                <w:tab w:val="center" w:pos="4680"/>
              </w:tabs>
              <w:suppressAutoHyphens/>
              <w:rPr>
                <w:spacing w:val="-2"/>
              </w:rPr>
            </w:pPr>
          </w:p>
          <w:p w:rsidR="00327840" w:rsidP="0030758D" w14:paraId="650EFEA9" w14:textId="3EBC63F7">
            <w:pPr>
              <w:tabs>
                <w:tab w:val="center" w:pos="4680"/>
              </w:tabs>
              <w:rPr>
                <w:rStyle w:val="normaltextrun"/>
                <w:color w:val="000000"/>
                <w:szCs w:val="22"/>
                <w:shd w:val="clear" w:color="auto" w:fill="FFFFFF"/>
              </w:rPr>
            </w:pPr>
            <w:r>
              <w:rPr>
                <w:spacing w:val="-2"/>
              </w:rPr>
              <w:t>Station</w:t>
            </w:r>
            <w:r w:rsidR="005B203A">
              <w:rPr>
                <w:spacing w:val="-2"/>
              </w:rPr>
              <w:t xml:space="preserve"> </w:t>
            </w:r>
            <w:r w:rsidRPr="005D162E">
              <w:rPr>
                <w:rStyle w:val="normaltextrun"/>
                <w:color w:val="000000"/>
                <w:szCs w:val="22"/>
                <w:shd w:val="clear" w:color="auto" w:fill="FFFFFF"/>
              </w:rPr>
              <w:t>WGGG</w:t>
            </w:r>
            <w:r>
              <w:rPr>
                <w:rStyle w:val="normaltextrun"/>
                <w:color w:val="000000"/>
                <w:szCs w:val="22"/>
                <w:shd w:val="clear" w:color="auto" w:fill="FFFFFF"/>
              </w:rPr>
              <w:t>(AM)</w:t>
            </w:r>
            <w:r w:rsidRPr="005D162E">
              <w:rPr>
                <w:rStyle w:val="normaltextrun"/>
                <w:color w:val="000000"/>
                <w:szCs w:val="22"/>
                <w:shd w:val="clear" w:color="auto" w:fill="FFFFFF"/>
              </w:rPr>
              <w:t>, </w:t>
            </w:r>
          </w:p>
          <w:p w:rsidR="005B203A" w:rsidP="0030758D" w14:paraId="20DCCCD0" w14:textId="3A86EBC0">
            <w:pPr>
              <w:tabs>
                <w:tab w:val="center" w:pos="4680"/>
              </w:tabs>
              <w:rPr>
                <w:rStyle w:val="normaltextrun"/>
                <w:color w:val="000000"/>
                <w:szCs w:val="22"/>
                <w:shd w:val="clear" w:color="auto" w:fill="FFFFFF"/>
              </w:rPr>
            </w:pPr>
            <w:r w:rsidRPr="005D162E">
              <w:rPr>
                <w:rStyle w:val="normaltextrun"/>
                <w:color w:val="000000"/>
                <w:szCs w:val="22"/>
                <w:shd w:val="clear" w:color="auto" w:fill="FFFFFF"/>
              </w:rPr>
              <w:t xml:space="preserve">Gainesville, FL, </w:t>
            </w:r>
          </w:p>
          <w:p w:rsidR="005B203A" w:rsidP="0030758D" w14:paraId="6BB4946D" w14:textId="77777777">
            <w:pPr>
              <w:tabs>
                <w:tab w:val="center" w:pos="4680"/>
              </w:tabs>
              <w:rPr>
                <w:rStyle w:val="normaltextrun"/>
                <w:color w:val="000000"/>
                <w:szCs w:val="22"/>
                <w:shd w:val="clear" w:color="auto" w:fill="FFFFFF"/>
              </w:rPr>
            </w:pPr>
          </w:p>
          <w:p w:rsidR="00327840" w:rsidP="0030758D" w14:paraId="4CAC5538" w14:textId="77777777">
            <w:pPr>
              <w:tabs>
                <w:tab w:val="center" w:pos="4680"/>
              </w:tabs>
              <w:rPr>
                <w:rStyle w:val="normaltextrun"/>
                <w:color w:val="000000"/>
                <w:szCs w:val="22"/>
                <w:shd w:val="clear" w:color="auto" w:fill="FFFFFF"/>
              </w:rPr>
            </w:pPr>
            <w:r>
              <w:rPr>
                <w:rStyle w:val="normaltextrun"/>
                <w:color w:val="000000"/>
                <w:szCs w:val="22"/>
                <w:shd w:val="clear" w:color="auto" w:fill="FFFFFF"/>
              </w:rPr>
              <w:t xml:space="preserve">Station </w:t>
            </w:r>
            <w:r w:rsidRPr="005D162E">
              <w:rPr>
                <w:rStyle w:val="normaltextrun"/>
                <w:color w:val="000000"/>
                <w:szCs w:val="22"/>
                <w:shd w:val="clear" w:color="auto" w:fill="FFFFFF"/>
              </w:rPr>
              <w:t>WMOP</w:t>
            </w:r>
            <w:r>
              <w:rPr>
                <w:rStyle w:val="normaltextrun"/>
                <w:color w:val="000000"/>
                <w:szCs w:val="22"/>
                <w:shd w:val="clear" w:color="auto" w:fill="FFFFFF"/>
              </w:rPr>
              <w:t>(AM)</w:t>
            </w:r>
            <w:r w:rsidRPr="005D162E">
              <w:rPr>
                <w:rStyle w:val="normaltextrun"/>
                <w:color w:val="000000"/>
                <w:szCs w:val="22"/>
                <w:shd w:val="clear" w:color="auto" w:fill="FFFFFF"/>
              </w:rPr>
              <w:t>,</w:t>
            </w:r>
          </w:p>
          <w:p w:rsidR="005B203A" w:rsidP="0030758D" w14:paraId="010500D3" w14:textId="127D72A6">
            <w:pPr>
              <w:tabs>
                <w:tab w:val="center" w:pos="4680"/>
              </w:tabs>
              <w:rPr>
                <w:rStyle w:val="normaltextrun"/>
              </w:rPr>
            </w:pPr>
            <w:r w:rsidRPr="005D162E">
              <w:rPr>
                <w:rStyle w:val="normaltextrun"/>
                <w:color w:val="000000"/>
                <w:szCs w:val="22"/>
                <w:shd w:val="clear" w:color="auto" w:fill="FFFFFF"/>
              </w:rPr>
              <w:t>Ocala, FL</w:t>
            </w:r>
            <w:r>
              <w:rPr>
                <w:rStyle w:val="normaltextrun"/>
                <w:color w:val="000000"/>
                <w:szCs w:val="22"/>
                <w:shd w:val="clear" w:color="auto" w:fill="FFFFFF"/>
              </w:rPr>
              <w:t>, and</w:t>
            </w:r>
            <w:r w:rsidRPr="005D162E">
              <w:rPr>
                <w:rStyle w:val="eop"/>
                <w:color w:val="000000"/>
                <w:szCs w:val="22"/>
                <w:shd w:val="clear" w:color="auto" w:fill="FFFFFF"/>
              </w:rPr>
              <w:t> </w:t>
            </w:r>
          </w:p>
          <w:p w:rsidR="005B203A" w:rsidP="0030758D" w14:paraId="19504F55" w14:textId="77777777">
            <w:pPr>
              <w:tabs>
                <w:tab w:val="center" w:pos="4680"/>
              </w:tabs>
              <w:rPr>
                <w:color w:val="000000"/>
                <w:szCs w:val="22"/>
                <w:shd w:val="clear" w:color="auto" w:fill="FFFFFF"/>
              </w:rPr>
            </w:pPr>
          </w:p>
          <w:p w:rsidR="00327840" w:rsidP="0030758D" w14:paraId="756A9913" w14:textId="77777777">
            <w:pPr>
              <w:tabs>
                <w:tab w:val="center" w:pos="4680"/>
              </w:tabs>
              <w:rPr>
                <w:color w:val="000000"/>
                <w:szCs w:val="22"/>
                <w:shd w:val="clear" w:color="auto" w:fill="FFFFFF"/>
              </w:rPr>
            </w:pPr>
            <w:r>
              <w:rPr>
                <w:color w:val="000000"/>
                <w:szCs w:val="22"/>
                <w:shd w:val="clear" w:color="auto" w:fill="FFFFFF"/>
              </w:rPr>
              <w:t xml:space="preserve">FM Translator </w:t>
            </w:r>
            <w:r w:rsidR="00CF03B6">
              <w:rPr>
                <w:color w:val="000000"/>
                <w:szCs w:val="22"/>
                <w:shd w:val="clear" w:color="auto" w:fill="FFFFFF"/>
              </w:rPr>
              <w:t xml:space="preserve">Station </w:t>
            </w:r>
            <w:r w:rsidRPr="005D162E" w:rsidR="0030758D">
              <w:rPr>
                <w:color w:val="000000"/>
                <w:szCs w:val="22"/>
                <w:shd w:val="clear" w:color="auto" w:fill="FFFFFF"/>
              </w:rPr>
              <w:t xml:space="preserve">W221DX, </w:t>
            </w:r>
          </w:p>
          <w:p w:rsidR="004C2EE3" w:rsidRPr="00D1470B" w:rsidP="0030758D" w14:paraId="5524D466" w14:textId="7E9B4FF0">
            <w:pPr>
              <w:tabs>
                <w:tab w:val="center" w:pos="4680"/>
              </w:tabs>
              <w:rPr>
                <w:color w:val="000000"/>
                <w:szCs w:val="22"/>
                <w:shd w:val="clear" w:color="auto" w:fill="FFFFFF"/>
              </w:rPr>
            </w:pPr>
            <w:r w:rsidRPr="005D162E">
              <w:rPr>
                <w:color w:val="000000"/>
                <w:szCs w:val="22"/>
                <w:shd w:val="clear" w:color="auto" w:fill="FFFFFF"/>
              </w:rPr>
              <w:t xml:space="preserve">Gainesville, FL </w:t>
            </w:r>
          </w:p>
        </w:tc>
        <w:tc>
          <w:tcPr>
            <w:tcW w:w="630" w:type="dxa"/>
          </w:tcPr>
          <w:p w:rsidR="004C2EE3" w:rsidP="00B672CF" w14:paraId="00F53F06" w14:textId="77777777">
            <w:pPr>
              <w:tabs>
                <w:tab w:val="center" w:pos="4680"/>
              </w:tabs>
              <w:rPr>
                <w:b/>
                <w:spacing w:val="-2"/>
              </w:rPr>
            </w:pPr>
            <w:r>
              <w:rPr>
                <w:b/>
                <w:spacing w:val="-2"/>
              </w:rPr>
              <w:t>)</w:t>
            </w:r>
          </w:p>
          <w:p w:rsidR="004C2EE3" w:rsidP="00B672CF" w14:paraId="5B7F8738" w14:textId="77777777">
            <w:pPr>
              <w:tabs>
                <w:tab w:val="center" w:pos="4680"/>
              </w:tabs>
              <w:rPr>
                <w:b/>
                <w:spacing w:val="-2"/>
              </w:rPr>
            </w:pPr>
            <w:r>
              <w:rPr>
                <w:b/>
                <w:spacing w:val="-2"/>
              </w:rPr>
              <w:t>)</w:t>
            </w:r>
          </w:p>
          <w:p w:rsidR="004C2EE3" w:rsidP="00B672CF" w14:paraId="46735878" w14:textId="77777777">
            <w:pPr>
              <w:tabs>
                <w:tab w:val="center" w:pos="4680"/>
              </w:tabs>
              <w:rPr>
                <w:b/>
                <w:spacing w:val="-2"/>
              </w:rPr>
            </w:pPr>
            <w:r>
              <w:rPr>
                <w:b/>
                <w:spacing w:val="-2"/>
              </w:rPr>
              <w:t>)</w:t>
            </w:r>
          </w:p>
          <w:p w:rsidR="004C2EE3" w:rsidP="00B672CF" w14:paraId="5215D2D4" w14:textId="77777777">
            <w:pPr>
              <w:tabs>
                <w:tab w:val="center" w:pos="4680"/>
              </w:tabs>
              <w:rPr>
                <w:b/>
                <w:spacing w:val="-2"/>
              </w:rPr>
            </w:pPr>
            <w:r>
              <w:rPr>
                <w:b/>
                <w:spacing w:val="-2"/>
              </w:rPr>
              <w:t>)</w:t>
            </w:r>
          </w:p>
          <w:p w:rsidR="004C2EE3" w:rsidP="00B672CF" w14:paraId="2A45E3B0" w14:textId="77777777">
            <w:pPr>
              <w:tabs>
                <w:tab w:val="center" w:pos="4680"/>
              </w:tabs>
              <w:rPr>
                <w:b/>
                <w:spacing w:val="-2"/>
              </w:rPr>
            </w:pPr>
            <w:r>
              <w:rPr>
                <w:b/>
                <w:spacing w:val="-2"/>
              </w:rPr>
              <w:t>)</w:t>
            </w:r>
          </w:p>
          <w:p w:rsidR="004C2EE3" w:rsidP="00B672CF" w14:paraId="761766B2" w14:textId="77777777">
            <w:pPr>
              <w:tabs>
                <w:tab w:val="center" w:pos="4680"/>
              </w:tabs>
              <w:rPr>
                <w:b/>
                <w:spacing w:val="-2"/>
              </w:rPr>
            </w:pPr>
            <w:r>
              <w:rPr>
                <w:b/>
                <w:spacing w:val="-2"/>
              </w:rPr>
              <w:t>)</w:t>
            </w:r>
          </w:p>
          <w:p w:rsidR="0030758D" w:rsidP="00B672CF" w14:paraId="60881F5A" w14:textId="77777777">
            <w:pPr>
              <w:tabs>
                <w:tab w:val="center" w:pos="4680"/>
              </w:tabs>
              <w:rPr>
                <w:b/>
                <w:spacing w:val="-2"/>
              </w:rPr>
            </w:pPr>
            <w:r>
              <w:rPr>
                <w:b/>
                <w:spacing w:val="-2"/>
              </w:rPr>
              <w:t>)</w:t>
            </w:r>
          </w:p>
          <w:p w:rsidR="0030758D" w:rsidP="00B672CF" w14:paraId="46E950F5" w14:textId="77777777">
            <w:pPr>
              <w:tabs>
                <w:tab w:val="center" w:pos="4680"/>
              </w:tabs>
              <w:rPr>
                <w:b/>
                <w:spacing w:val="-2"/>
              </w:rPr>
            </w:pPr>
            <w:r>
              <w:rPr>
                <w:b/>
                <w:spacing w:val="-2"/>
              </w:rPr>
              <w:t>)</w:t>
            </w:r>
          </w:p>
          <w:p w:rsidR="00327840" w:rsidP="00B672CF" w14:paraId="10712795" w14:textId="77777777">
            <w:pPr>
              <w:tabs>
                <w:tab w:val="center" w:pos="4680"/>
              </w:tabs>
              <w:rPr>
                <w:b/>
                <w:spacing w:val="-2"/>
              </w:rPr>
            </w:pPr>
            <w:r>
              <w:rPr>
                <w:b/>
                <w:spacing w:val="-2"/>
              </w:rPr>
              <w:t>)</w:t>
            </w:r>
          </w:p>
          <w:p w:rsidR="00327840" w:rsidP="00B672CF" w14:paraId="2DFE366E" w14:textId="77777777">
            <w:pPr>
              <w:tabs>
                <w:tab w:val="center" w:pos="4680"/>
              </w:tabs>
              <w:rPr>
                <w:b/>
                <w:spacing w:val="-2"/>
              </w:rPr>
            </w:pPr>
            <w:r>
              <w:rPr>
                <w:b/>
                <w:spacing w:val="-2"/>
              </w:rPr>
              <w:t>)</w:t>
            </w:r>
          </w:p>
          <w:p w:rsidR="00327840" w:rsidP="00B672CF" w14:paraId="221B7715" w14:textId="77777777">
            <w:pPr>
              <w:tabs>
                <w:tab w:val="center" w:pos="4680"/>
              </w:tabs>
              <w:rPr>
                <w:b/>
                <w:spacing w:val="-2"/>
              </w:rPr>
            </w:pPr>
            <w:r>
              <w:rPr>
                <w:b/>
                <w:spacing w:val="-2"/>
              </w:rPr>
              <w:t>)</w:t>
            </w:r>
          </w:p>
          <w:p w:rsidR="00327840" w:rsidP="00B672CF" w14:paraId="6563AA47" w14:textId="77777777">
            <w:pPr>
              <w:tabs>
                <w:tab w:val="center" w:pos="4680"/>
              </w:tabs>
              <w:rPr>
                <w:b/>
                <w:spacing w:val="-2"/>
              </w:rPr>
            </w:pPr>
            <w:r>
              <w:rPr>
                <w:b/>
                <w:spacing w:val="-2"/>
              </w:rPr>
              <w:t>)</w:t>
            </w:r>
          </w:p>
          <w:p w:rsidR="00327840" w:rsidP="00B672CF" w14:paraId="08ECFA0F" w14:textId="77777777">
            <w:pPr>
              <w:tabs>
                <w:tab w:val="center" w:pos="4680"/>
              </w:tabs>
              <w:rPr>
                <w:b/>
                <w:spacing w:val="-2"/>
              </w:rPr>
            </w:pPr>
            <w:r>
              <w:rPr>
                <w:b/>
                <w:spacing w:val="-2"/>
              </w:rPr>
              <w:t>)</w:t>
            </w:r>
          </w:p>
          <w:p w:rsidR="00327840" w:rsidP="00B672CF" w14:paraId="7560A1A3" w14:textId="77777777">
            <w:pPr>
              <w:tabs>
                <w:tab w:val="center" w:pos="4680"/>
              </w:tabs>
              <w:rPr>
                <w:b/>
                <w:spacing w:val="-2"/>
              </w:rPr>
            </w:pPr>
            <w:r>
              <w:rPr>
                <w:b/>
                <w:spacing w:val="-2"/>
              </w:rPr>
              <w:t>)</w:t>
            </w:r>
          </w:p>
          <w:p w:rsidR="00327840" w:rsidP="00B672CF" w14:paraId="462DB948" w14:textId="77777777">
            <w:pPr>
              <w:tabs>
                <w:tab w:val="center" w:pos="4680"/>
              </w:tabs>
              <w:rPr>
                <w:b/>
                <w:spacing w:val="-2"/>
              </w:rPr>
            </w:pPr>
            <w:r>
              <w:rPr>
                <w:b/>
                <w:spacing w:val="-2"/>
              </w:rPr>
              <w:t>)</w:t>
            </w:r>
          </w:p>
          <w:p w:rsidR="00327840" w:rsidRPr="00B672CF" w:rsidP="00B672CF" w14:paraId="0B9D7A1C" w14:textId="6329CB5B">
            <w:pPr>
              <w:tabs>
                <w:tab w:val="center" w:pos="4680"/>
              </w:tabs>
              <w:rPr>
                <w:b/>
                <w:spacing w:val="-2"/>
              </w:rPr>
            </w:pPr>
            <w:r>
              <w:rPr>
                <w:b/>
                <w:spacing w:val="-2"/>
              </w:rPr>
              <w:t>)</w:t>
            </w:r>
          </w:p>
        </w:tc>
        <w:tc>
          <w:tcPr>
            <w:tcW w:w="4248" w:type="dxa"/>
          </w:tcPr>
          <w:p w:rsidR="004C2EE3" w:rsidP="00B672CF" w14:paraId="33623314" w14:textId="77777777">
            <w:pPr>
              <w:tabs>
                <w:tab w:val="center" w:pos="4680"/>
              </w:tabs>
              <w:rPr>
                <w:spacing w:val="-2"/>
              </w:rPr>
            </w:pPr>
          </w:p>
          <w:p w:rsidR="004C2EE3" w:rsidP="00B672CF" w14:paraId="594E54DD" w14:textId="77777777">
            <w:pPr>
              <w:pStyle w:val="TOAHeading"/>
              <w:tabs>
                <w:tab w:val="center" w:pos="4680"/>
                <w:tab w:val="clear" w:pos="9360"/>
              </w:tabs>
              <w:suppressAutoHyphens w:val="0"/>
              <w:rPr>
                <w:spacing w:val="-2"/>
              </w:rPr>
            </w:pPr>
          </w:p>
          <w:p w:rsidR="00327840" w:rsidP="0030758D" w14:paraId="53EF3C25" w14:textId="77777777">
            <w:pPr>
              <w:tabs>
                <w:tab w:val="center" w:pos="4680"/>
              </w:tabs>
              <w:suppressAutoHyphens/>
              <w:rPr>
                <w:spacing w:val="-2"/>
              </w:rPr>
            </w:pPr>
          </w:p>
          <w:p w:rsidR="00327840" w:rsidP="0030758D" w14:paraId="76F77C8A" w14:textId="77777777">
            <w:pPr>
              <w:tabs>
                <w:tab w:val="center" w:pos="4680"/>
              </w:tabs>
              <w:suppressAutoHyphens/>
              <w:rPr>
                <w:spacing w:val="-2"/>
              </w:rPr>
            </w:pPr>
          </w:p>
          <w:p w:rsidR="00327840" w:rsidP="0030758D" w14:paraId="17C73546" w14:textId="77777777">
            <w:pPr>
              <w:tabs>
                <w:tab w:val="center" w:pos="4680"/>
              </w:tabs>
              <w:suppressAutoHyphens/>
              <w:rPr>
                <w:spacing w:val="-2"/>
              </w:rPr>
            </w:pPr>
          </w:p>
          <w:p w:rsidR="00327840" w:rsidP="0030758D" w14:paraId="2BC448C6" w14:textId="77777777">
            <w:pPr>
              <w:tabs>
                <w:tab w:val="center" w:pos="4680"/>
              </w:tabs>
              <w:suppressAutoHyphens/>
              <w:rPr>
                <w:spacing w:val="-2"/>
              </w:rPr>
            </w:pPr>
          </w:p>
          <w:p w:rsidR="00327840" w:rsidP="009950BB" w14:paraId="46999C02" w14:textId="77777777">
            <w:pPr>
              <w:tabs>
                <w:tab w:val="center" w:pos="4680"/>
              </w:tabs>
              <w:suppressAutoHyphens/>
              <w:rPr>
                <w:spacing w:val="-2"/>
              </w:rPr>
            </w:pPr>
          </w:p>
          <w:p w:rsidR="00327840" w:rsidP="009950BB" w14:paraId="1BF90600" w14:textId="77777777">
            <w:pPr>
              <w:tabs>
                <w:tab w:val="center" w:pos="4680"/>
              </w:tabs>
              <w:suppressAutoHyphens/>
              <w:rPr>
                <w:spacing w:val="-2"/>
              </w:rPr>
            </w:pPr>
          </w:p>
          <w:p w:rsidR="00327840" w:rsidRPr="009950BB" w:rsidP="0030758D" w14:paraId="1B2DB7E6" w14:textId="03F6DD0F">
            <w:pPr>
              <w:tabs>
                <w:tab w:val="center" w:pos="4680"/>
              </w:tabs>
              <w:suppressAutoHyphens/>
              <w:rPr>
                <w:color w:val="000000"/>
                <w:shd w:val="clear" w:color="auto" w:fill="FFFFFF"/>
              </w:rPr>
            </w:pPr>
            <w:r>
              <w:rPr>
                <w:spacing w:val="-2"/>
              </w:rPr>
              <w:t xml:space="preserve">File No. </w:t>
            </w:r>
            <w:r>
              <w:rPr>
                <w:color w:val="000000"/>
                <w:szCs w:val="22"/>
                <w:shd w:val="clear" w:color="auto" w:fill="FFFFFF"/>
              </w:rPr>
              <w:t>BAL-20200828AAJ</w:t>
            </w:r>
          </w:p>
          <w:p w:rsidR="00327840" w:rsidP="0030758D" w14:paraId="1F755D7A" w14:textId="27C0B3DF">
            <w:pPr>
              <w:tabs>
                <w:tab w:val="center" w:pos="4680"/>
              </w:tabs>
              <w:suppressAutoHyphens/>
              <w:rPr>
                <w:color w:val="000000"/>
                <w:szCs w:val="22"/>
                <w:shd w:val="clear" w:color="auto" w:fill="FFFFFF"/>
              </w:rPr>
            </w:pPr>
            <w:r w:rsidRPr="009950BB">
              <w:rPr>
                <w:color w:val="000000"/>
                <w:shd w:val="clear" w:color="auto" w:fill="FFFFFF"/>
              </w:rPr>
              <w:t xml:space="preserve">Facility ID </w:t>
            </w:r>
            <w:r>
              <w:rPr>
                <w:color w:val="000000"/>
                <w:szCs w:val="22"/>
                <w:shd w:val="clear" w:color="auto" w:fill="FFFFFF"/>
              </w:rPr>
              <w:t>No</w:t>
            </w:r>
            <w:r w:rsidRPr="009950BB">
              <w:rPr>
                <w:color w:val="000000"/>
                <w:shd w:val="clear" w:color="auto" w:fill="FFFFFF"/>
              </w:rPr>
              <w:t xml:space="preserve">. </w:t>
            </w:r>
            <w:r>
              <w:rPr>
                <w:color w:val="000000"/>
                <w:szCs w:val="22"/>
                <w:shd w:val="clear" w:color="auto" w:fill="FFFFFF"/>
              </w:rPr>
              <w:t>72101</w:t>
            </w:r>
          </w:p>
          <w:p w:rsidR="00327840" w:rsidP="0030758D" w14:paraId="4B4C8E78" w14:textId="77777777">
            <w:pPr>
              <w:tabs>
                <w:tab w:val="center" w:pos="4680"/>
              </w:tabs>
              <w:suppressAutoHyphens/>
              <w:rPr>
                <w:color w:val="000000"/>
                <w:szCs w:val="22"/>
                <w:shd w:val="clear" w:color="auto" w:fill="FFFFFF"/>
              </w:rPr>
            </w:pPr>
          </w:p>
          <w:p w:rsidR="00327840" w:rsidP="0030758D" w14:paraId="0B7120A2" w14:textId="4AF5ACE8">
            <w:pPr>
              <w:tabs>
                <w:tab w:val="center" w:pos="4680"/>
              </w:tabs>
              <w:suppressAutoHyphens/>
              <w:rPr>
                <w:color w:val="000000"/>
                <w:szCs w:val="22"/>
                <w:shd w:val="clear" w:color="auto" w:fill="FFFFFF"/>
              </w:rPr>
            </w:pPr>
            <w:r>
              <w:rPr>
                <w:color w:val="000000"/>
                <w:szCs w:val="22"/>
                <w:shd w:val="clear" w:color="auto" w:fill="FFFFFF"/>
              </w:rPr>
              <w:t>File No.</w:t>
            </w:r>
            <w:r w:rsidR="0030758D">
              <w:rPr>
                <w:color w:val="000000"/>
                <w:szCs w:val="22"/>
                <w:shd w:val="clear" w:color="auto" w:fill="FFFFFF"/>
              </w:rPr>
              <w:t xml:space="preserve"> BAL-20200828AA</w:t>
            </w:r>
            <w:r>
              <w:rPr>
                <w:color w:val="000000"/>
                <w:szCs w:val="22"/>
                <w:shd w:val="clear" w:color="auto" w:fill="FFFFFF"/>
              </w:rPr>
              <w:t>K</w:t>
            </w:r>
          </w:p>
          <w:p w:rsidR="00327840" w:rsidP="0030758D" w14:paraId="55839546" w14:textId="70DC7DFF">
            <w:pPr>
              <w:tabs>
                <w:tab w:val="center" w:pos="4680"/>
              </w:tabs>
              <w:suppressAutoHyphens/>
              <w:rPr>
                <w:color w:val="000000"/>
                <w:szCs w:val="22"/>
                <w:shd w:val="clear" w:color="auto" w:fill="FFFFFF"/>
              </w:rPr>
            </w:pPr>
            <w:r>
              <w:rPr>
                <w:color w:val="000000"/>
                <w:szCs w:val="22"/>
                <w:shd w:val="clear" w:color="auto" w:fill="FFFFFF"/>
              </w:rPr>
              <w:t>Facility ID No. 73278</w:t>
            </w:r>
          </w:p>
          <w:p w:rsidR="00327840" w:rsidP="0030758D" w14:paraId="5D42C6F2" w14:textId="77777777">
            <w:pPr>
              <w:tabs>
                <w:tab w:val="center" w:pos="4680"/>
              </w:tabs>
              <w:suppressAutoHyphens/>
              <w:rPr>
                <w:color w:val="000000"/>
                <w:szCs w:val="22"/>
                <w:shd w:val="clear" w:color="auto" w:fill="FFFFFF"/>
              </w:rPr>
            </w:pPr>
          </w:p>
          <w:p w:rsidR="0030758D" w:rsidP="0030758D" w14:paraId="0D831DD8" w14:textId="1D5B55CC">
            <w:pPr>
              <w:tabs>
                <w:tab w:val="center" w:pos="4680"/>
              </w:tabs>
              <w:suppressAutoHyphens/>
              <w:rPr>
                <w:spacing w:val="-2"/>
              </w:rPr>
            </w:pPr>
            <w:r>
              <w:rPr>
                <w:color w:val="000000"/>
                <w:szCs w:val="22"/>
                <w:shd w:val="clear" w:color="auto" w:fill="FFFFFF"/>
              </w:rPr>
              <w:t>File No.</w:t>
            </w:r>
            <w:r>
              <w:rPr>
                <w:color w:val="000000"/>
                <w:szCs w:val="22"/>
                <w:shd w:val="clear" w:color="auto" w:fill="FFFFFF"/>
              </w:rPr>
              <w:t xml:space="preserve"> BAL-20200828AA</w:t>
            </w:r>
            <w:r>
              <w:rPr>
                <w:color w:val="000000"/>
                <w:szCs w:val="22"/>
                <w:shd w:val="clear" w:color="auto" w:fill="FFFFFF"/>
              </w:rPr>
              <w:t>L</w:t>
            </w:r>
          </w:p>
          <w:p w:rsidR="0030758D" w:rsidP="0030758D" w14:paraId="7A1C9240" w14:textId="55DA9D84">
            <w:pPr>
              <w:tabs>
                <w:tab w:val="center" w:pos="4680"/>
              </w:tabs>
              <w:suppressAutoHyphens/>
              <w:rPr>
                <w:spacing w:val="-2"/>
              </w:rPr>
            </w:pPr>
            <w:r>
              <w:rPr>
                <w:spacing w:val="-2"/>
              </w:rPr>
              <w:t>Facility ID No.</w:t>
            </w:r>
            <w:r w:rsidRPr="009950BB">
              <w:rPr>
                <w:spacing w:val="-2"/>
              </w:rPr>
              <w:t xml:space="preserve"> 147176</w:t>
            </w:r>
          </w:p>
          <w:p w:rsidR="004C2EE3" w:rsidP="0030758D" w14:paraId="2D1A90E1" w14:textId="2A3FE90E">
            <w:pPr>
              <w:tabs>
                <w:tab w:val="center" w:pos="4680"/>
              </w:tabs>
              <w:rPr>
                <w:spacing w:val="-2"/>
              </w:rPr>
            </w:pPr>
          </w:p>
        </w:tc>
      </w:tr>
    </w:tbl>
    <w:p w:rsidR="004C2EE3" w:rsidP="00B672CF" w14:paraId="5B5435B6" w14:textId="77777777"/>
    <w:p w:rsidR="00841AB1" w:rsidP="00B672CF" w14:paraId="489D708B" w14:textId="3B073E5B">
      <w:pPr>
        <w:pStyle w:val="StyleBoldCentered"/>
      </w:pPr>
      <w:r>
        <w:t>memorandum opinion and order</w:t>
      </w:r>
    </w:p>
    <w:p w:rsidR="004C2EE3" w:rsidP="00B672CF" w14:paraId="5AF34DC6" w14:textId="77777777">
      <w:pPr>
        <w:tabs>
          <w:tab w:val="left" w:pos="-720"/>
        </w:tabs>
        <w:spacing w:line="227" w:lineRule="auto"/>
        <w:rPr>
          <w:spacing w:val="-2"/>
        </w:rPr>
      </w:pPr>
    </w:p>
    <w:p w:rsidR="004C2EE3" w:rsidP="00B672CF" w14:paraId="42FB977F" w14:textId="76AD4F6E">
      <w:pPr>
        <w:tabs>
          <w:tab w:val="left" w:pos="720"/>
          <w:tab w:val="right" w:pos="9360"/>
        </w:tabs>
        <w:spacing w:line="227" w:lineRule="auto"/>
        <w:rPr>
          <w:spacing w:val="-2"/>
        </w:rPr>
      </w:pPr>
      <w:r>
        <w:rPr>
          <w:b/>
          <w:spacing w:val="-2"/>
        </w:rPr>
        <w:t xml:space="preserve">Adopted:  </w:t>
      </w:r>
      <w:r w:rsidR="00D1470B">
        <w:rPr>
          <w:b/>
          <w:spacing w:val="-2"/>
        </w:rPr>
        <w:t>March 23,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1470B">
        <w:rPr>
          <w:b/>
          <w:spacing w:val="-2"/>
        </w:rPr>
        <w:t>March 23, 2022</w:t>
      </w:r>
    </w:p>
    <w:p w:rsidR="00822CE0" w:rsidP="00B672CF" w14:paraId="48EFB28F" w14:textId="77777777"/>
    <w:p w:rsidR="004C2EE3" w:rsidP="00B672CF" w14:paraId="2EA20678" w14:textId="4B9CAD3A">
      <w:pPr>
        <w:rPr>
          <w:spacing w:val="-2"/>
        </w:rPr>
      </w:pPr>
      <w:r>
        <w:t xml:space="preserve">By </w:t>
      </w:r>
      <w:r w:rsidR="004E4A22">
        <w:t>the</w:t>
      </w:r>
      <w:r w:rsidR="002A2D2E">
        <w:t xml:space="preserve"> </w:t>
      </w:r>
      <w:r w:rsidR="00B672CF">
        <w:rPr>
          <w:spacing w:val="-2"/>
        </w:rPr>
        <w:t>Commission</w:t>
      </w:r>
      <w:r>
        <w:rPr>
          <w:spacing w:val="-2"/>
        </w:rPr>
        <w:t>:</w:t>
      </w:r>
    </w:p>
    <w:p w:rsidR="00822CE0" w:rsidP="00B672CF" w14:paraId="18DF005D" w14:textId="77777777">
      <w:pPr>
        <w:rPr>
          <w:spacing w:val="-2"/>
        </w:rPr>
      </w:pPr>
    </w:p>
    <w:p w:rsidR="00B672CF" w:rsidP="00D1470B" w14:paraId="6609ADC2" w14:textId="77777777">
      <w:pPr>
        <w:pStyle w:val="Heading1"/>
      </w:pPr>
      <w:r>
        <w:t>INTRODUCTION</w:t>
      </w:r>
    </w:p>
    <w:p w:rsidR="0030758D" w:rsidRPr="00BE340D" w:rsidP="00D1470B" w14:paraId="0BFC5698" w14:textId="064CAC3F">
      <w:pPr>
        <w:pStyle w:val="ParaNum"/>
        <w:rPr>
          <w:rStyle w:val="normaltextrun"/>
          <w:szCs w:val="22"/>
        </w:rPr>
      </w:pPr>
      <w:bookmarkStart w:id="0" w:name="_Hlk94257908"/>
      <w:r w:rsidRPr="00BF240F">
        <w:t xml:space="preserve">We have before us </w:t>
      </w:r>
      <w:r w:rsidRPr="00BF240F">
        <w:t xml:space="preserve">an Application for Review </w:t>
      </w:r>
      <w:r w:rsidRPr="00BF240F">
        <w:t xml:space="preserve">(AFR) </w:t>
      </w:r>
      <w:r w:rsidRPr="00BF240F">
        <w:t xml:space="preserve">filed by </w:t>
      </w:r>
      <w:r w:rsidR="00172936">
        <w:rPr>
          <w:rStyle w:val="normaltextrun"/>
          <w:color w:val="000000"/>
          <w:szCs w:val="22"/>
          <w:shd w:val="clear" w:color="auto" w:fill="FFFFFF"/>
        </w:rPr>
        <w:t>UOBN</w:t>
      </w:r>
      <w:r w:rsidRPr="00BF240F">
        <w:rPr>
          <w:rStyle w:val="normaltextrun"/>
          <w:color w:val="000000"/>
          <w:szCs w:val="22"/>
          <w:shd w:val="clear" w:color="auto" w:fill="FFFFFF"/>
        </w:rPr>
        <w:t> Broadcasting Network, LLC (</w:t>
      </w:r>
      <w:r w:rsidR="00172936">
        <w:rPr>
          <w:rStyle w:val="normaltextrun"/>
          <w:color w:val="000000"/>
          <w:szCs w:val="22"/>
          <w:shd w:val="clear" w:color="auto" w:fill="FFFFFF"/>
        </w:rPr>
        <w:t>UOBN</w:t>
      </w:r>
      <w:r w:rsidRPr="00BF240F">
        <w:rPr>
          <w:rStyle w:val="normaltextrun"/>
          <w:color w:val="000000"/>
          <w:szCs w:val="22"/>
          <w:shd w:val="clear" w:color="auto" w:fill="FFFFFF"/>
        </w:rPr>
        <w:t>)</w:t>
      </w:r>
      <w:r w:rsidRPr="00BF240F">
        <w:t xml:space="preserve"> on February 26, 2021, and a responsive pleading.</w:t>
      </w:r>
      <w:r>
        <w:rPr>
          <w:rStyle w:val="FootnoteReference"/>
          <w:sz w:val="22"/>
          <w:szCs w:val="22"/>
        </w:rPr>
        <w:footnoteReference w:id="3"/>
      </w:r>
      <w:r w:rsidRPr="00BF240F">
        <w:t xml:space="preserve">  </w:t>
      </w:r>
      <w:r w:rsidR="00172936">
        <w:t xml:space="preserve">UOBN </w:t>
      </w:r>
      <w:r w:rsidRPr="00BF240F">
        <w:t xml:space="preserve"> requests review of a January 26, 2021, </w:t>
      </w:r>
      <w:r w:rsidRPr="00BE340D" w:rsidR="005B203A">
        <w:t xml:space="preserve">Media Bureau (Bureau) </w:t>
      </w:r>
      <w:r w:rsidRPr="00BE340D">
        <w:t xml:space="preserve">staff decision </w:t>
      </w:r>
      <w:r w:rsidRPr="00BE340D" w:rsidR="00E94A40">
        <w:t>that</w:t>
      </w:r>
      <w:r w:rsidRPr="00BE340D">
        <w:t xml:space="preserve"> granted an application </w:t>
      </w:r>
      <w:r w:rsidR="00BC3CCE">
        <w:t xml:space="preserve">(Application) </w:t>
      </w:r>
      <w:r w:rsidRPr="00BE340D">
        <w:t xml:space="preserve">to assign the licenses of </w:t>
      </w:r>
      <w:r w:rsidRPr="00BF240F" w:rsidR="005B203A">
        <w:rPr>
          <w:rStyle w:val="normaltextrun"/>
          <w:color w:val="000000"/>
          <w:szCs w:val="22"/>
          <w:shd w:val="clear" w:color="auto" w:fill="FFFFFF"/>
        </w:rPr>
        <w:t>S</w:t>
      </w:r>
      <w:r w:rsidRPr="00BF240F">
        <w:rPr>
          <w:rStyle w:val="normaltextrun"/>
          <w:color w:val="000000"/>
          <w:szCs w:val="22"/>
          <w:shd w:val="clear" w:color="auto" w:fill="FFFFFF"/>
        </w:rPr>
        <w:t>tation WGGG</w:t>
      </w:r>
      <w:r w:rsidRPr="00BF240F" w:rsidR="005B203A">
        <w:rPr>
          <w:rStyle w:val="normaltextrun"/>
          <w:color w:val="000000"/>
          <w:szCs w:val="22"/>
          <w:shd w:val="clear" w:color="auto" w:fill="FFFFFF"/>
        </w:rPr>
        <w:t>(AM)</w:t>
      </w:r>
      <w:r w:rsidRPr="00BF240F">
        <w:rPr>
          <w:rStyle w:val="normaltextrun"/>
          <w:color w:val="000000"/>
          <w:szCs w:val="22"/>
          <w:shd w:val="clear" w:color="auto" w:fill="FFFFFF"/>
        </w:rPr>
        <w:t>,</w:t>
      </w:r>
      <w:r w:rsidRPr="00BF240F" w:rsidR="005B203A">
        <w:rPr>
          <w:rStyle w:val="normaltextrun"/>
          <w:color w:val="000000"/>
          <w:szCs w:val="22"/>
          <w:shd w:val="clear" w:color="auto" w:fill="FFFFFF"/>
        </w:rPr>
        <w:t xml:space="preserve"> Gainesville, Florida,</w:t>
      </w:r>
      <w:r w:rsidRPr="00BF240F">
        <w:rPr>
          <w:rStyle w:val="normaltextrun"/>
          <w:color w:val="000000"/>
          <w:szCs w:val="22"/>
          <w:shd w:val="clear" w:color="auto" w:fill="FFFFFF"/>
        </w:rPr>
        <w:t> </w:t>
      </w:r>
      <w:r w:rsidRPr="00BF240F" w:rsidR="005B203A">
        <w:rPr>
          <w:rStyle w:val="normaltextrun"/>
          <w:color w:val="000000"/>
          <w:szCs w:val="22"/>
          <w:shd w:val="clear" w:color="auto" w:fill="FFFFFF"/>
        </w:rPr>
        <w:t xml:space="preserve">WMOP(AM), Ocala, Florida, </w:t>
      </w:r>
      <w:r w:rsidRPr="00BF240F">
        <w:rPr>
          <w:rStyle w:val="normaltextrun"/>
          <w:color w:val="000000"/>
          <w:szCs w:val="22"/>
          <w:shd w:val="clear" w:color="auto" w:fill="FFFFFF"/>
        </w:rPr>
        <w:t>and FM </w:t>
      </w:r>
      <w:r w:rsidRPr="00BF240F" w:rsidR="005B203A">
        <w:rPr>
          <w:rStyle w:val="normaltextrun"/>
          <w:color w:val="000000"/>
          <w:szCs w:val="22"/>
          <w:shd w:val="clear" w:color="auto" w:fill="FFFFFF"/>
        </w:rPr>
        <w:t>T</w:t>
      </w:r>
      <w:r w:rsidRPr="00BF240F">
        <w:rPr>
          <w:rStyle w:val="normaltextrun"/>
          <w:color w:val="000000"/>
          <w:szCs w:val="22"/>
          <w:shd w:val="clear" w:color="auto" w:fill="FFFFFF"/>
        </w:rPr>
        <w:t xml:space="preserve">ranslator </w:t>
      </w:r>
      <w:r w:rsidRPr="00BF240F" w:rsidR="005B203A">
        <w:rPr>
          <w:rStyle w:val="normaltextrun"/>
          <w:color w:val="000000"/>
          <w:szCs w:val="22"/>
          <w:shd w:val="clear" w:color="auto" w:fill="FFFFFF"/>
        </w:rPr>
        <w:t>S</w:t>
      </w:r>
      <w:r w:rsidRPr="00BF240F">
        <w:rPr>
          <w:rStyle w:val="normaltextrun"/>
          <w:color w:val="000000"/>
          <w:szCs w:val="22"/>
          <w:shd w:val="clear" w:color="auto" w:fill="FFFFFF"/>
        </w:rPr>
        <w:t>tation W221DX</w:t>
      </w:r>
      <w:r w:rsidRPr="00BF240F" w:rsidR="005B203A">
        <w:rPr>
          <w:rStyle w:val="normaltextrun"/>
          <w:color w:val="000000"/>
          <w:szCs w:val="22"/>
          <w:shd w:val="clear" w:color="auto" w:fill="FFFFFF"/>
        </w:rPr>
        <w:t>, Gainesville, Florida</w:t>
      </w:r>
      <w:r w:rsidRPr="00BF240F">
        <w:rPr>
          <w:rStyle w:val="normaltextrun"/>
          <w:color w:val="000000"/>
          <w:szCs w:val="22"/>
          <w:shd w:val="clear" w:color="auto" w:fill="FFFFFF"/>
        </w:rPr>
        <w:t> (collectively, Stations),</w:t>
      </w:r>
      <w:r w:rsidRPr="00BF240F" w:rsidR="00EF07CE">
        <w:rPr>
          <w:rStyle w:val="normaltextrun"/>
          <w:color w:val="000000"/>
          <w:szCs w:val="22"/>
          <w:shd w:val="clear" w:color="auto" w:fill="FFFFFF"/>
        </w:rPr>
        <w:t xml:space="preserve"> from Florida SportsTalk, LLC </w:t>
      </w:r>
      <w:r w:rsidRPr="00BF240F">
        <w:rPr>
          <w:rStyle w:val="normaltextrun"/>
          <w:color w:val="000000"/>
          <w:szCs w:val="22"/>
          <w:shd w:val="clear" w:color="auto" w:fill="FFFFFF"/>
        </w:rPr>
        <w:t>(</w:t>
      </w:r>
      <w:r w:rsidRPr="00BF240F">
        <w:rPr>
          <w:rStyle w:val="spellingerror"/>
          <w:color w:val="000000"/>
          <w:szCs w:val="22"/>
          <w:shd w:val="clear" w:color="auto" w:fill="FFFFFF"/>
        </w:rPr>
        <w:t>SportsTalk</w:t>
      </w:r>
      <w:r w:rsidRPr="00BF240F">
        <w:rPr>
          <w:rStyle w:val="normaltextrun"/>
          <w:color w:val="000000"/>
          <w:szCs w:val="22"/>
          <w:shd w:val="clear" w:color="auto" w:fill="FFFFFF"/>
        </w:rPr>
        <w:t xml:space="preserve">) to Hitmaker Music Group, LLC (Hitmaker), and denied </w:t>
      </w:r>
      <w:r w:rsidR="00172936">
        <w:t>UOBN</w:t>
      </w:r>
      <w:r w:rsidRPr="00BE340D">
        <w:t>’s Informal Objection (Objection) to the assignment</w:t>
      </w:r>
      <w:r w:rsidRPr="00BF240F">
        <w:rPr>
          <w:rStyle w:val="normaltextrun"/>
          <w:color w:val="000000"/>
          <w:szCs w:val="22"/>
          <w:shd w:val="clear" w:color="auto" w:fill="FFFFFF"/>
        </w:rPr>
        <w:t>.</w:t>
      </w:r>
      <w:r>
        <w:rPr>
          <w:rStyle w:val="FootnoteReference"/>
          <w:sz w:val="22"/>
          <w:szCs w:val="22"/>
          <w:shd w:val="clear" w:color="auto" w:fill="FFFFFF"/>
        </w:rPr>
        <w:footnoteReference w:id="4"/>
      </w:r>
      <w:r w:rsidRPr="00BF240F">
        <w:rPr>
          <w:rStyle w:val="normaltextrun"/>
          <w:color w:val="000000"/>
          <w:szCs w:val="22"/>
          <w:shd w:val="clear" w:color="auto" w:fill="FFFFFF"/>
        </w:rPr>
        <w:t xml:space="preserve">  We find no error in the </w:t>
      </w:r>
      <w:r w:rsidRPr="00BF240F" w:rsidR="00FF20DA">
        <w:rPr>
          <w:rStyle w:val="normaltextrun"/>
          <w:i/>
          <w:iCs/>
          <w:color w:val="000000"/>
          <w:szCs w:val="22"/>
          <w:shd w:val="clear" w:color="auto" w:fill="FFFFFF"/>
        </w:rPr>
        <w:t xml:space="preserve">Staff </w:t>
      </w:r>
      <w:r w:rsidRPr="00BF240F">
        <w:rPr>
          <w:rStyle w:val="normaltextrun"/>
          <w:i/>
          <w:iCs/>
          <w:color w:val="000000"/>
          <w:szCs w:val="22"/>
          <w:shd w:val="clear" w:color="auto" w:fill="FFFFFF"/>
        </w:rPr>
        <w:t>Letter</w:t>
      </w:r>
      <w:r w:rsidRPr="00BF240F">
        <w:rPr>
          <w:rStyle w:val="normaltextrun"/>
          <w:color w:val="000000"/>
          <w:szCs w:val="22"/>
          <w:shd w:val="clear" w:color="auto" w:fill="FFFFFF"/>
        </w:rPr>
        <w:t xml:space="preserve"> and, </w:t>
      </w:r>
      <w:r w:rsidRPr="00BF240F">
        <w:rPr>
          <w:rStyle w:val="normaltextrun"/>
          <w:color w:val="000000"/>
          <w:szCs w:val="22"/>
          <w:shd w:val="clear" w:color="auto" w:fill="FFFFFF"/>
        </w:rPr>
        <w:t>for the reasons set forth below</w:t>
      </w:r>
      <w:r w:rsidRPr="00BF240F">
        <w:rPr>
          <w:rStyle w:val="normaltextrun"/>
          <w:color w:val="000000"/>
          <w:szCs w:val="22"/>
          <w:shd w:val="clear" w:color="auto" w:fill="FFFFFF"/>
        </w:rPr>
        <w:t xml:space="preserve">, </w:t>
      </w:r>
      <w:r w:rsidRPr="00BF240F">
        <w:rPr>
          <w:rStyle w:val="normaltextrun"/>
          <w:color w:val="000000"/>
          <w:szCs w:val="22"/>
          <w:shd w:val="clear" w:color="auto" w:fill="FFFFFF"/>
        </w:rPr>
        <w:t xml:space="preserve">we </w:t>
      </w:r>
      <w:r w:rsidR="004512BF">
        <w:rPr>
          <w:rStyle w:val="normaltextrun"/>
          <w:color w:val="000000"/>
          <w:szCs w:val="22"/>
          <w:shd w:val="clear" w:color="auto" w:fill="FFFFFF"/>
        </w:rPr>
        <w:t xml:space="preserve">dismiss, and </w:t>
      </w:r>
      <w:r w:rsidR="00531B73">
        <w:rPr>
          <w:rStyle w:val="normaltextrun"/>
          <w:color w:val="000000"/>
          <w:szCs w:val="22"/>
          <w:shd w:val="clear" w:color="auto" w:fill="FFFFFF"/>
        </w:rPr>
        <w:t xml:space="preserve">on </w:t>
      </w:r>
      <w:r w:rsidR="004512BF">
        <w:rPr>
          <w:rStyle w:val="normaltextrun"/>
          <w:color w:val="000000"/>
          <w:szCs w:val="22"/>
          <w:shd w:val="clear" w:color="auto" w:fill="FFFFFF"/>
        </w:rPr>
        <w:t>alternat</w:t>
      </w:r>
      <w:r w:rsidR="00531B73">
        <w:rPr>
          <w:rStyle w:val="normaltextrun"/>
          <w:color w:val="000000"/>
          <w:szCs w:val="22"/>
          <w:shd w:val="clear" w:color="auto" w:fill="FFFFFF"/>
        </w:rPr>
        <w:t>ive and independent grounds</w:t>
      </w:r>
      <w:r w:rsidR="004512BF">
        <w:rPr>
          <w:rStyle w:val="normaltextrun"/>
          <w:color w:val="000000"/>
          <w:szCs w:val="22"/>
          <w:shd w:val="clear" w:color="auto" w:fill="FFFFFF"/>
        </w:rPr>
        <w:t xml:space="preserve">, </w:t>
      </w:r>
      <w:r w:rsidRPr="00BF240F">
        <w:rPr>
          <w:rStyle w:val="normaltextrun"/>
          <w:color w:val="000000"/>
          <w:szCs w:val="22"/>
          <w:shd w:val="clear" w:color="auto" w:fill="FFFFFF"/>
        </w:rPr>
        <w:t xml:space="preserve">deny the </w:t>
      </w:r>
      <w:r w:rsidRPr="00BF240F">
        <w:rPr>
          <w:rStyle w:val="normaltextrun"/>
          <w:color w:val="000000"/>
          <w:szCs w:val="22"/>
          <w:shd w:val="clear" w:color="auto" w:fill="FFFFFF"/>
        </w:rPr>
        <w:t>AFR</w:t>
      </w:r>
      <w:bookmarkEnd w:id="0"/>
      <w:r w:rsidRPr="00BF240F">
        <w:rPr>
          <w:rStyle w:val="normaltextrun"/>
          <w:color w:val="000000"/>
          <w:szCs w:val="22"/>
          <w:shd w:val="clear" w:color="auto" w:fill="FFFFFF"/>
        </w:rPr>
        <w:t xml:space="preserve">.  </w:t>
      </w:r>
    </w:p>
    <w:p w:rsidR="00B672CF" w:rsidRPr="00BE340D" w:rsidP="00B672CF" w14:paraId="0C8FEDD8" w14:textId="77777777">
      <w:pPr>
        <w:pStyle w:val="Heading1"/>
        <w:keepNext w:val="0"/>
        <w:suppressAutoHyphens w:val="0"/>
        <w:rPr>
          <w:rFonts w:ascii="Times New Roman" w:hAnsi="Times New Roman"/>
          <w:szCs w:val="22"/>
        </w:rPr>
      </w:pPr>
      <w:r w:rsidRPr="00BE340D">
        <w:rPr>
          <w:rFonts w:ascii="Times New Roman" w:hAnsi="Times New Roman"/>
          <w:szCs w:val="22"/>
        </w:rPr>
        <w:t>BACKGROUND</w:t>
      </w:r>
    </w:p>
    <w:p w:rsidR="009B34A3" w:rsidRPr="00BF240F" w:rsidP="000357A7" w14:paraId="36FF99DC" w14:textId="0E402C80">
      <w:pPr>
        <w:pStyle w:val="ParaNum"/>
        <w:rPr>
          <w:rStyle w:val="spellingerror"/>
          <w:szCs w:val="22"/>
        </w:rPr>
      </w:pPr>
      <w:r w:rsidRPr="00BF240F">
        <w:rPr>
          <w:szCs w:val="22"/>
        </w:rPr>
        <w:t xml:space="preserve">This case stems from a contractual dispute between </w:t>
      </w:r>
      <w:r w:rsidR="00172936">
        <w:rPr>
          <w:szCs w:val="22"/>
        </w:rPr>
        <w:t>UOBN</w:t>
      </w:r>
      <w:r w:rsidRPr="00BF240F" w:rsidR="00E94A40">
        <w:rPr>
          <w:szCs w:val="22"/>
        </w:rPr>
        <w:t xml:space="preserve"> </w:t>
      </w:r>
      <w:r w:rsidRPr="00BF240F">
        <w:rPr>
          <w:szCs w:val="22"/>
        </w:rPr>
        <w:t xml:space="preserve">and </w:t>
      </w:r>
      <w:r w:rsidRPr="00BF240F">
        <w:rPr>
          <w:rStyle w:val="spellingerror"/>
          <w:color w:val="000000"/>
          <w:szCs w:val="22"/>
          <w:shd w:val="clear" w:color="auto" w:fill="FFFFFF"/>
        </w:rPr>
        <w:t xml:space="preserve">SportsTalk concerning the sale of the Stations.  </w:t>
      </w:r>
      <w:r w:rsidRPr="00BE340D">
        <w:rPr>
          <w:szCs w:val="22"/>
        </w:rPr>
        <w:t>In its Objection</w:t>
      </w:r>
      <w:r w:rsidRPr="00BE340D" w:rsidR="00215B30">
        <w:rPr>
          <w:szCs w:val="22"/>
        </w:rPr>
        <w:t xml:space="preserve"> to the Application</w:t>
      </w:r>
      <w:r w:rsidRPr="00BE340D">
        <w:rPr>
          <w:szCs w:val="22"/>
        </w:rPr>
        <w:t xml:space="preserve">, </w:t>
      </w:r>
      <w:r w:rsidR="00172936">
        <w:rPr>
          <w:rStyle w:val="normaltextrun"/>
          <w:color w:val="000000"/>
          <w:szCs w:val="22"/>
          <w:shd w:val="clear" w:color="auto" w:fill="FFFFFF"/>
        </w:rPr>
        <w:t>UOBN</w:t>
      </w:r>
      <w:r w:rsidRPr="00BF240F">
        <w:rPr>
          <w:rStyle w:val="normaltextrun"/>
          <w:color w:val="000000"/>
          <w:szCs w:val="22"/>
          <w:shd w:val="clear" w:color="auto" w:fill="FFFFFF"/>
        </w:rPr>
        <w:t xml:space="preserve"> </w:t>
      </w:r>
      <w:r w:rsidRPr="00BF240F" w:rsidR="00D116D4">
        <w:rPr>
          <w:rStyle w:val="normaltextrun"/>
          <w:color w:val="000000"/>
          <w:szCs w:val="22"/>
          <w:shd w:val="clear" w:color="auto" w:fill="FFFFFF"/>
        </w:rPr>
        <w:t xml:space="preserve">asked the </w:t>
      </w:r>
      <w:r w:rsidRPr="00BF240F" w:rsidR="00245E69">
        <w:rPr>
          <w:rStyle w:val="normaltextrun"/>
          <w:color w:val="000000"/>
          <w:szCs w:val="22"/>
          <w:shd w:val="clear" w:color="auto" w:fill="FFFFFF"/>
        </w:rPr>
        <w:t>Bureau</w:t>
      </w:r>
      <w:r w:rsidRPr="00BF240F" w:rsidR="00D116D4">
        <w:rPr>
          <w:rStyle w:val="normaltextrun"/>
          <w:color w:val="000000"/>
          <w:szCs w:val="22"/>
          <w:shd w:val="clear" w:color="auto" w:fill="FFFFFF"/>
        </w:rPr>
        <w:t xml:space="preserve"> to dismiss</w:t>
      </w:r>
      <w:r w:rsidRPr="00BF240F">
        <w:rPr>
          <w:rStyle w:val="normaltextrun"/>
          <w:color w:val="000000"/>
          <w:szCs w:val="22"/>
          <w:shd w:val="clear" w:color="auto" w:fill="FFFFFF"/>
        </w:rPr>
        <w:t xml:space="preserve"> </w:t>
      </w:r>
      <w:r w:rsidRPr="00BF240F">
        <w:rPr>
          <w:rStyle w:val="spellingerror"/>
          <w:color w:val="000000"/>
          <w:szCs w:val="22"/>
          <w:shd w:val="clear" w:color="auto" w:fill="FFFFFF"/>
        </w:rPr>
        <w:t>SportsTalk</w:t>
      </w:r>
      <w:r w:rsidRPr="00BF240F" w:rsidR="00D116D4">
        <w:rPr>
          <w:rStyle w:val="spellingerror"/>
          <w:color w:val="000000"/>
          <w:szCs w:val="22"/>
          <w:shd w:val="clear" w:color="auto" w:fill="FFFFFF"/>
        </w:rPr>
        <w:t>’s application for permission</w:t>
      </w:r>
      <w:r w:rsidRPr="00BF240F">
        <w:rPr>
          <w:rStyle w:val="spellingerror"/>
          <w:color w:val="000000"/>
          <w:szCs w:val="22"/>
          <w:shd w:val="clear" w:color="auto" w:fill="FFFFFF"/>
        </w:rPr>
        <w:t xml:space="preserve"> to assign the licenses of the Stations to Hitmaker</w:t>
      </w:r>
      <w:r w:rsidRPr="00BF240F" w:rsidR="00F9279B">
        <w:rPr>
          <w:rStyle w:val="spellingerror"/>
          <w:color w:val="000000"/>
          <w:szCs w:val="22"/>
          <w:shd w:val="clear" w:color="auto" w:fill="FFFFFF"/>
        </w:rPr>
        <w:t xml:space="preserve">.  </w:t>
      </w:r>
      <w:r w:rsidR="00172936">
        <w:rPr>
          <w:rStyle w:val="spellingerror"/>
          <w:color w:val="000000"/>
          <w:szCs w:val="22"/>
          <w:shd w:val="clear" w:color="auto" w:fill="FFFFFF"/>
        </w:rPr>
        <w:t>UOBN</w:t>
      </w:r>
      <w:r w:rsidRPr="00BF240F" w:rsidR="004B556C">
        <w:rPr>
          <w:rStyle w:val="spellingerror"/>
          <w:color w:val="000000"/>
          <w:szCs w:val="22"/>
          <w:shd w:val="clear" w:color="auto" w:fill="FFFFFF"/>
        </w:rPr>
        <w:t xml:space="preserve"> </w:t>
      </w:r>
      <w:r w:rsidRPr="00BF240F" w:rsidR="00641BAD">
        <w:rPr>
          <w:rStyle w:val="spellingerror"/>
          <w:color w:val="000000"/>
          <w:szCs w:val="22"/>
          <w:shd w:val="clear" w:color="auto" w:fill="FFFFFF"/>
        </w:rPr>
        <w:t xml:space="preserve">claimed it </w:t>
      </w:r>
      <w:r w:rsidRPr="00BF240F" w:rsidR="00FF20DA">
        <w:rPr>
          <w:rStyle w:val="spellingerror"/>
          <w:color w:val="000000"/>
          <w:szCs w:val="22"/>
          <w:shd w:val="clear" w:color="auto" w:fill="FFFFFF"/>
        </w:rPr>
        <w:t xml:space="preserve">had entered into a local marketing agreement (LMA) </w:t>
      </w:r>
      <w:r w:rsidRPr="00BF240F" w:rsidR="00D861B1">
        <w:rPr>
          <w:rStyle w:val="spellingerror"/>
          <w:color w:val="000000"/>
          <w:szCs w:val="22"/>
          <w:shd w:val="clear" w:color="auto" w:fill="FFFFFF"/>
        </w:rPr>
        <w:t xml:space="preserve">with SportsTalk </w:t>
      </w:r>
      <w:r w:rsidRPr="00BF240F" w:rsidR="00FF20DA">
        <w:rPr>
          <w:rStyle w:val="spellingerror"/>
          <w:color w:val="000000"/>
          <w:szCs w:val="22"/>
          <w:shd w:val="clear" w:color="auto" w:fill="FFFFFF"/>
        </w:rPr>
        <w:t xml:space="preserve">which provided </w:t>
      </w:r>
      <w:r w:rsidR="00172936">
        <w:rPr>
          <w:rStyle w:val="spellingerror"/>
          <w:color w:val="000000"/>
          <w:szCs w:val="22"/>
          <w:shd w:val="clear" w:color="auto" w:fill="FFFFFF"/>
        </w:rPr>
        <w:t>UOBN</w:t>
      </w:r>
      <w:r w:rsidRPr="00BF240F" w:rsidR="00FF20DA">
        <w:rPr>
          <w:rStyle w:val="spellingerror"/>
          <w:color w:val="000000"/>
          <w:szCs w:val="22"/>
          <w:shd w:val="clear" w:color="auto" w:fill="FFFFFF"/>
        </w:rPr>
        <w:t xml:space="preserve"> with brokered time on the Stations, as well as the option to buy the Stations</w:t>
      </w:r>
      <w:r w:rsidRPr="00BF240F" w:rsidR="00D67501">
        <w:rPr>
          <w:rStyle w:val="spellingerror"/>
          <w:color w:val="000000"/>
          <w:szCs w:val="22"/>
          <w:shd w:val="clear" w:color="auto" w:fill="FFFFFF"/>
        </w:rPr>
        <w:t>.</w:t>
      </w:r>
      <w:r w:rsidRPr="00BF240F">
        <w:rPr>
          <w:rStyle w:val="spellingerror"/>
          <w:color w:val="000000"/>
          <w:szCs w:val="22"/>
          <w:shd w:val="clear" w:color="auto" w:fill="FFFFFF"/>
        </w:rPr>
        <w:t xml:space="preserve"> </w:t>
      </w:r>
      <w:r w:rsidRPr="00BF240F" w:rsidR="00D67501">
        <w:rPr>
          <w:rStyle w:val="spellingerror"/>
          <w:color w:val="000000"/>
          <w:szCs w:val="22"/>
          <w:shd w:val="clear" w:color="auto" w:fill="FFFFFF"/>
        </w:rPr>
        <w:t xml:space="preserve"> </w:t>
      </w:r>
      <w:r w:rsidR="00172936">
        <w:rPr>
          <w:rStyle w:val="spellingerror"/>
          <w:color w:val="000000"/>
          <w:szCs w:val="22"/>
          <w:shd w:val="clear" w:color="auto" w:fill="FFFFFF"/>
        </w:rPr>
        <w:t>UOBN</w:t>
      </w:r>
      <w:r w:rsidRPr="00BF240F" w:rsidR="00D67501">
        <w:rPr>
          <w:rStyle w:val="spellingerror"/>
          <w:color w:val="000000"/>
          <w:szCs w:val="22"/>
          <w:shd w:val="clear" w:color="auto" w:fill="FFFFFF"/>
        </w:rPr>
        <w:t xml:space="preserve"> </w:t>
      </w:r>
      <w:r w:rsidRPr="00BF240F" w:rsidR="00106D63">
        <w:rPr>
          <w:rStyle w:val="spellingerror"/>
          <w:color w:val="000000"/>
          <w:szCs w:val="22"/>
          <w:shd w:val="clear" w:color="auto" w:fill="FFFFFF"/>
        </w:rPr>
        <w:t>further</w:t>
      </w:r>
      <w:r w:rsidRPr="00BF240F" w:rsidR="00D67501">
        <w:rPr>
          <w:rStyle w:val="spellingerror"/>
          <w:color w:val="000000"/>
          <w:szCs w:val="22"/>
          <w:shd w:val="clear" w:color="auto" w:fill="FFFFFF"/>
        </w:rPr>
        <w:t xml:space="preserve"> </w:t>
      </w:r>
      <w:r w:rsidRPr="00BF240F" w:rsidR="00245E69">
        <w:rPr>
          <w:rStyle w:val="spellingerror"/>
          <w:color w:val="000000"/>
          <w:szCs w:val="22"/>
          <w:shd w:val="clear" w:color="auto" w:fill="FFFFFF"/>
        </w:rPr>
        <w:t>maintained</w:t>
      </w:r>
      <w:r w:rsidRPr="00BF240F" w:rsidR="00D67501">
        <w:rPr>
          <w:rStyle w:val="spellingerror"/>
          <w:color w:val="000000"/>
          <w:szCs w:val="22"/>
          <w:shd w:val="clear" w:color="auto" w:fill="FFFFFF"/>
        </w:rPr>
        <w:t xml:space="preserve"> </w:t>
      </w:r>
      <w:r w:rsidRPr="00BF240F">
        <w:rPr>
          <w:rStyle w:val="spellingerror"/>
          <w:color w:val="000000"/>
          <w:szCs w:val="22"/>
          <w:shd w:val="clear" w:color="auto" w:fill="FFFFFF"/>
        </w:rPr>
        <w:t xml:space="preserve">SportsTalk engaged in racial discrimination against </w:t>
      </w:r>
      <w:r w:rsidR="00172936">
        <w:rPr>
          <w:rStyle w:val="spellingerror"/>
          <w:color w:val="000000"/>
          <w:szCs w:val="22"/>
          <w:shd w:val="clear" w:color="auto" w:fill="FFFFFF"/>
        </w:rPr>
        <w:t>UOBN</w:t>
      </w:r>
      <w:r w:rsidRPr="00BF240F">
        <w:rPr>
          <w:rStyle w:val="spellingerror"/>
          <w:color w:val="000000"/>
          <w:szCs w:val="22"/>
          <w:shd w:val="clear" w:color="auto" w:fill="FFFFFF"/>
        </w:rPr>
        <w:t xml:space="preserve"> </w:t>
      </w:r>
      <w:r w:rsidRPr="00BF240F" w:rsidR="00FF20DA">
        <w:rPr>
          <w:rStyle w:val="spellingerror"/>
          <w:color w:val="000000"/>
          <w:szCs w:val="22"/>
          <w:shd w:val="clear" w:color="auto" w:fill="FFFFFF"/>
        </w:rPr>
        <w:t xml:space="preserve">by selling </w:t>
      </w:r>
      <w:r w:rsidRPr="00BF240F">
        <w:rPr>
          <w:rStyle w:val="spellingerror"/>
          <w:color w:val="000000"/>
          <w:szCs w:val="22"/>
          <w:shd w:val="clear" w:color="auto" w:fill="FFFFFF"/>
        </w:rPr>
        <w:t>the Stations</w:t>
      </w:r>
      <w:r w:rsidRPr="00BF240F" w:rsidR="00FF20DA">
        <w:rPr>
          <w:rStyle w:val="spellingerror"/>
          <w:color w:val="000000"/>
          <w:szCs w:val="22"/>
          <w:shd w:val="clear" w:color="auto" w:fill="FFFFFF"/>
        </w:rPr>
        <w:t xml:space="preserve"> to Hitmaker instead</w:t>
      </w:r>
      <w:r w:rsidRPr="00BF240F" w:rsidR="002B7B16">
        <w:rPr>
          <w:rStyle w:val="spellingerror"/>
          <w:color w:val="000000"/>
          <w:szCs w:val="22"/>
          <w:shd w:val="clear" w:color="auto" w:fill="FFFFFF"/>
        </w:rPr>
        <w:t xml:space="preserve"> of </w:t>
      </w:r>
      <w:r w:rsidR="00172936">
        <w:rPr>
          <w:rStyle w:val="spellingerror"/>
          <w:color w:val="000000"/>
          <w:szCs w:val="22"/>
          <w:shd w:val="clear" w:color="auto" w:fill="FFFFFF"/>
        </w:rPr>
        <w:t>UOBN</w:t>
      </w:r>
      <w:r w:rsidRPr="00BF240F" w:rsidR="00E94A40">
        <w:rPr>
          <w:rStyle w:val="spellingerror"/>
          <w:color w:val="000000"/>
          <w:szCs w:val="22"/>
          <w:shd w:val="clear" w:color="auto" w:fill="FFFFFF"/>
        </w:rPr>
        <w:t xml:space="preserve">.  </w:t>
      </w:r>
      <w:r w:rsidRPr="00226A92" w:rsidR="00422078">
        <w:rPr>
          <w:rStyle w:val="spellingerror"/>
          <w:color w:val="000000"/>
          <w:szCs w:val="22"/>
          <w:shd w:val="clear" w:color="auto" w:fill="FFFFFF"/>
        </w:rPr>
        <w:t>I</w:t>
      </w:r>
      <w:r w:rsidRPr="00226A92" w:rsidR="008C2CA6">
        <w:rPr>
          <w:rStyle w:val="spellingerror"/>
          <w:color w:val="000000"/>
          <w:szCs w:val="22"/>
          <w:shd w:val="clear" w:color="auto" w:fill="FFFFFF"/>
        </w:rPr>
        <w:t>t</w:t>
      </w:r>
      <w:r w:rsidRPr="00BF240F" w:rsidR="008C2CA6">
        <w:rPr>
          <w:rStyle w:val="spellingerror"/>
          <w:color w:val="000000"/>
          <w:szCs w:val="22"/>
          <w:shd w:val="clear" w:color="auto" w:fill="FFFFFF"/>
        </w:rPr>
        <w:t xml:space="preserve"> </w:t>
      </w:r>
      <w:r w:rsidRPr="00BF240F">
        <w:rPr>
          <w:rStyle w:val="spellingerror"/>
          <w:color w:val="000000"/>
          <w:szCs w:val="22"/>
          <w:shd w:val="clear" w:color="auto" w:fill="FFFFFF"/>
        </w:rPr>
        <w:t xml:space="preserve">did not challenge Hitmaker’s qualifications to become the licensee of the Stations.  </w:t>
      </w:r>
      <w:r w:rsidRPr="00BF240F">
        <w:rPr>
          <w:rStyle w:val="spellingerror"/>
          <w:color w:val="000000"/>
          <w:szCs w:val="22"/>
          <w:shd w:val="clear" w:color="auto" w:fill="FFFFFF"/>
        </w:rPr>
        <w:t xml:space="preserve">In its Opposition to the Objection, </w:t>
      </w:r>
      <w:r w:rsidRPr="00BF240F" w:rsidR="009B73FF">
        <w:rPr>
          <w:rStyle w:val="spellingerror"/>
          <w:color w:val="000000"/>
          <w:szCs w:val="22"/>
          <w:shd w:val="clear" w:color="auto" w:fill="FFFFFF"/>
        </w:rPr>
        <w:t xml:space="preserve">SportsTalk </w:t>
      </w:r>
      <w:r w:rsidRPr="00BF240F" w:rsidR="00CA31E6">
        <w:rPr>
          <w:rStyle w:val="spellingerror"/>
          <w:color w:val="000000"/>
          <w:szCs w:val="22"/>
          <w:shd w:val="clear" w:color="auto" w:fill="FFFFFF"/>
        </w:rPr>
        <w:t>assert</w:t>
      </w:r>
      <w:r w:rsidRPr="00BF240F" w:rsidR="00926142">
        <w:rPr>
          <w:rStyle w:val="spellingerror"/>
          <w:color w:val="000000"/>
          <w:szCs w:val="22"/>
          <w:shd w:val="clear" w:color="auto" w:fill="FFFFFF"/>
        </w:rPr>
        <w:t>ed</w:t>
      </w:r>
      <w:r w:rsidRPr="00BF240F" w:rsidR="00CA31E6">
        <w:rPr>
          <w:rStyle w:val="spellingerror"/>
          <w:color w:val="000000"/>
          <w:szCs w:val="22"/>
          <w:shd w:val="clear" w:color="auto" w:fill="FFFFFF"/>
        </w:rPr>
        <w:t xml:space="preserve"> that </w:t>
      </w:r>
      <w:r w:rsidRPr="00BF240F" w:rsidR="0047277A">
        <w:rPr>
          <w:rStyle w:val="spellingerror"/>
          <w:color w:val="000000"/>
          <w:szCs w:val="22"/>
          <w:shd w:val="clear" w:color="auto" w:fill="FFFFFF"/>
        </w:rPr>
        <w:t xml:space="preserve">although the parties had exchanged proposals concerning a possible LMA and sale of the Stations, </w:t>
      </w:r>
      <w:r w:rsidRPr="00BF240F" w:rsidR="00CA31E6">
        <w:rPr>
          <w:rStyle w:val="spellingerror"/>
          <w:color w:val="000000"/>
          <w:szCs w:val="22"/>
          <w:shd w:val="clear" w:color="auto" w:fill="FFFFFF"/>
        </w:rPr>
        <w:t xml:space="preserve">there was no </w:t>
      </w:r>
      <w:r w:rsidRPr="00BF240F" w:rsidR="0047277A">
        <w:rPr>
          <w:rStyle w:val="spellingerror"/>
          <w:color w:val="000000"/>
          <w:szCs w:val="22"/>
          <w:shd w:val="clear" w:color="auto" w:fill="FFFFFF"/>
        </w:rPr>
        <w:t xml:space="preserve">executed </w:t>
      </w:r>
      <w:r w:rsidRPr="00BF240F" w:rsidR="00CA31E6">
        <w:rPr>
          <w:rStyle w:val="spellingerror"/>
          <w:color w:val="000000"/>
          <w:szCs w:val="22"/>
          <w:shd w:val="clear" w:color="auto" w:fill="FFFFFF"/>
        </w:rPr>
        <w:t xml:space="preserve">contract between SportsTalk and </w:t>
      </w:r>
      <w:r w:rsidR="00172936">
        <w:rPr>
          <w:rStyle w:val="spellingerror"/>
          <w:color w:val="000000"/>
          <w:szCs w:val="22"/>
          <w:shd w:val="clear" w:color="auto" w:fill="FFFFFF"/>
        </w:rPr>
        <w:t>UOBN</w:t>
      </w:r>
      <w:r w:rsidRPr="00BF240F" w:rsidR="00245E69">
        <w:rPr>
          <w:rStyle w:val="spellingerror"/>
          <w:color w:val="000000"/>
          <w:szCs w:val="22"/>
          <w:shd w:val="clear" w:color="auto" w:fill="FFFFFF"/>
        </w:rPr>
        <w:t>.  S</w:t>
      </w:r>
      <w:r w:rsidRPr="00BF240F" w:rsidR="001A4811">
        <w:rPr>
          <w:rStyle w:val="spellingerror"/>
          <w:color w:val="000000"/>
          <w:szCs w:val="22"/>
          <w:shd w:val="clear" w:color="auto" w:fill="FFFFFF"/>
        </w:rPr>
        <w:t>portsTalk</w:t>
      </w:r>
      <w:r w:rsidRPr="00BF240F" w:rsidR="00245E69">
        <w:rPr>
          <w:rStyle w:val="spellingerror"/>
          <w:color w:val="000000"/>
          <w:szCs w:val="22"/>
          <w:shd w:val="clear" w:color="auto" w:fill="FFFFFF"/>
        </w:rPr>
        <w:t xml:space="preserve"> went on to explain that its</w:t>
      </w:r>
      <w:r w:rsidRPr="00BF240F" w:rsidR="001A4811">
        <w:rPr>
          <w:rStyle w:val="spellingerror"/>
          <w:color w:val="000000"/>
          <w:szCs w:val="22"/>
          <w:shd w:val="clear" w:color="auto" w:fill="FFFFFF"/>
        </w:rPr>
        <w:t xml:space="preserve"> decision to sell</w:t>
      </w:r>
      <w:r w:rsidRPr="00BF240F" w:rsidR="00CA31E6">
        <w:rPr>
          <w:rStyle w:val="spellingerror"/>
          <w:color w:val="000000"/>
          <w:szCs w:val="22"/>
          <w:shd w:val="clear" w:color="auto" w:fill="FFFFFF"/>
        </w:rPr>
        <w:t xml:space="preserve"> the Station</w:t>
      </w:r>
      <w:r w:rsidRPr="00BF240F" w:rsidR="00854AF2">
        <w:rPr>
          <w:rStyle w:val="spellingerror"/>
          <w:color w:val="000000"/>
          <w:szCs w:val="22"/>
          <w:shd w:val="clear" w:color="auto" w:fill="FFFFFF"/>
        </w:rPr>
        <w:t>s</w:t>
      </w:r>
      <w:r w:rsidRPr="00BF240F" w:rsidR="00CA31E6">
        <w:rPr>
          <w:rStyle w:val="spellingerror"/>
          <w:color w:val="000000"/>
          <w:szCs w:val="22"/>
          <w:shd w:val="clear" w:color="auto" w:fill="FFFFFF"/>
        </w:rPr>
        <w:t xml:space="preserve"> to Hitmaker was a business</w:t>
      </w:r>
      <w:r w:rsidRPr="00BF240F" w:rsidR="00B8624F">
        <w:rPr>
          <w:rStyle w:val="spellingerror"/>
          <w:color w:val="000000"/>
          <w:szCs w:val="22"/>
          <w:shd w:val="clear" w:color="auto" w:fill="FFFFFF"/>
        </w:rPr>
        <w:t xml:space="preserve"> decision</w:t>
      </w:r>
      <w:r w:rsidRPr="00BF240F" w:rsidR="001A4811">
        <w:rPr>
          <w:rStyle w:val="spellingerror"/>
          <w:color w:val="000000"/>
          <w:szCs w:val="22"/>
          <w:shd w:val="clear" w:color="auto" w:fill="FFFFFF"/>
        </w:rPr>
        <w:t xml:space="preserve"> based on financial need</w:t>
      </w:r>
      <w:r w:rsidRPr="00BF240F" w:rsidR="00DB3B24">
        <w:rPr>
          <w:rStyle w:val="spellingerror"/>
          <w:color w:val="000000"/>
          <w:szCs w:val="22"/>
          <w:shd w:val="clear" w:color="auto" w:fill="FFFFFF"/>
        </w:rPr>
        <w:t xml:space="preserve"> and </w:t>
      </w:r>
      <w:r w:rsidRPr="00BF240F" w:rsidR="00245E69">
        <w:rPr>
          <w:rStyle w:val="spellingerror"/>
          <w:color w:val="000000"/>
          <w:szCs w:val="22"/>
          <w:shd w:val="clear" w:color="auto" w:fill="FFFFFF"/>
        </w:rPr>
        <w:t xml:space="preserve">that </w:t>
      </w:r>
      <w:r w:rsidR="00172936">
        <w:rPr>
          <w:rStyle w:val="spellingerror"/>
          <w:color w:val="000000"/>
          <w:szCs w:val="22"/>
          <w:shd w:val="clear" w:color="auto" w:fill="FFFFFF"/>
        </w:rPr>
        <w:t>UOBN</w:t>
      </w:r>
      <w:r w:rsidRPr="00BF240F" w:rsidR="00DB3B24">
        <w:rPr>
          <w:rStyle w:val="spellingerror"/>
          <w:color w:val="000000"/>
          <w:szCs w:val="22"/>
          <w:shd w:val="clear" w:color="auto" w:fill="FFFFFF"/>
        </w:rPr>
        <w:t xml:space="preserve"> fail</w:t>
      </w:r>
      <w:r w:rsidRPr="00BF240F" w:rsidR="00245E69">
        <w:rPr>
          <w:rStyle w:val="spellingerror"/>
          <w:color w:val="000000"/>
          <w:szCs w:val="22"/>
          <w:shd w:val="clear" w:color="auto" w:fill="FFFFFF"/>
        </w:rPr>
        <w:t>ed</w:t>
      </w:r>
      <w:r w:rsidRPr="00BF240F" w:rsidR="00DB3B24">
        <w:rPr>
          <w:rStyle w:val="spellingerror"/>
          <w:color w:val="000000"/>
          <w:szCs w:val="22"/>
          <w:shd w:val="clear" w:color="auto" w:fill="FFFFFF"/>
        </w:rPr>
        <w:t xml:space="preserve"> to pursue discussions about entering into an agreement to broker and acquire the Stations</w:t>
      </w:r>
      <w:r w:rsidRPr="00BF240F" w:rsidR="00CA31E6">
        <w:rPr>
          <w:rStyle w:val="spellingerror"/>
          <w:color w:val="000000"/>
          <w:szCs w:val="22"/>
          <w:shd w:val="clear" w:color="auto" w:fill="FFFFFF"/>
        </w:rPr>
        <w:t>.</w:t>
      </w:r>
      <w:r>
        <w:rPr>
          <w:rStyle w:val="FootnoteReference"/>
          <w:sz w:val="22"/>
          <w:szCs w:val="22"/>
          <w:shd w:val="clear" w:color="auto" w:fill="FFFFFF"/>
        </w:rPr>
        <w:footnoteReference w:id="5"/>
      </w:r>
      <w:r w:rsidRPr="00BF240F" w:rsidR="00CA31E6">
        <w:rPr>
          <w:rStyle w:val="spellingerror"/>
          <w:color w:val="000000"/>
          <w:szCs w:val="22"/>
          <w:shd w:val="clear" w:color="auto" w:fill="FFFFFF"/>
        </w:rPr>
        <w:t xml:space="preserve">  </w:t>
      </w:r>
      <w:r w:rsidRPr="00BF240F" w:rsidR="009B73FF">
        <w:rPr>
          <w:szCs w:val="22"/>
        </w:rPr>
        <w:t xml:space="preserve">In its Reply, </w:t>
      </w:r>
      <w:r w:rsidR="00172936">
        <w:rPr>
          <w:szCs w:val="22"/>
        </w:rPr>
        <w:t>UOBN</w:t>
      </w:r>
      <w:r w:rsidRPr="00BF240F" w:rsidR="009B73FF">
        <w:rPr>
          <w:szCs w:val="22"/>
        </w:rPr>
        <w:t xml:space="preserve"> reiterate</w:t>
      </w:r>
      <w:r w:rsidRPr="00BF240F" w:rsidR="004C3BB2">
        <w:rPr>
          <w:szCs w:val="22"/>
        </w:rPr>
        <w:t>d</w:t>
      </w:r>
      <w:r w:rsidRPr="00BF240F" w:rsidR="009B73FF">
        <w:rPr>
          <w:szCs w:val="22"/>
        </w:rPr>
        <w:t xml:space="preserve"> </w:t>
      </w:r>
      <w:r w:rsidRPr="00BF240F" w:rsidR="001E0253">
        <w:rPr>
          <w:szCs w:val="22"/>
        </w:rPr>
        <w:t>its claim</w:t>
      </w:r>
      <w:r w:rsidRPr="00BF240F" w:rsidR="00325886">
        <w:rPr>
          <w:szCs w:val="22"/>
        </w:rPr>
        <w:t>s</w:t>
      </w:r>
      <w:r w:rsidRPr="00BF240F" w:rsidR="009B73FF">
        <w:rPr>
          <w:szCs w:val="22"/>
        </w:rPr>
        <w:t>.</w:t>
      </w:r>
      <w:r>
        <w:rPr>
          <w:rStyle w:val="FootnoteReference"/>
          <w:sz w:val="22"/>
          <w:szCs w:val="22"/>
        </w:rPr>
        <w:footnoteReference w:id="6"/>
      </w:r>
    </w:p>
    <w:p w:rsidR="000357A7" w:rsidRPr="00BF240F" w:rsidP="000357A7" w14:paraId="1A60AE79" w14:textId="36DCADEC">
      <w:pPr>
        <w:pStyle w:val="ParaNum"/>
        <w:rPr>
          <w:szCs w:val="22"/>
        </w:rPr>
      </w:pPr>
      <w:r w:rsidRPr="00BF240F">
        <w:rPr>
          <w:rStyle w:val="spellingerror"/>
          <w:color w:val="000000"/>
          <w:szCs w:val="22"/>
          <w:shd w:val="clear" w:color="auto" w:fill="FFFFFF"/>
        </w:rPr>
        <w:t xml:space="preserve">The </w:t>
      </w:r>
      <w:r w:rsidRPr="00BF240F" w:rsidR="009D02DE">
        <w:rPr>
          <w:rStyle w:val="spellingerror"/>
          <w:i/>
          <w:iCs/>
          <w:color w:val="000000"/>
          <w:szCs w:val="22"/>
          <w:shd w:val="clear" w:color="auto" w:fill="FFFFFF"/>
        </w:rPr>
        <w:t xml:space="preserve">Staff </w:t>
      </w:r>
      <w:r w:rsidRPr="00BF240F">
        <w:rPr>
          <w:rStyle w:val="spellingerror"/>
          <w:i/>
          <w:iCs/>
          <w:color w:val="000000"/>
          <w:szCs w:val="22"/>
          <w:shd w:val="clear" w:color="auto" w:fill="FFFFFF"/>
        </w:rPr>
        <w:t>Letter</w:t>
      </w:r>
      <w:r w:rsidRPr="00BF240F">
        <w:rPr>
          <w:rStyle w:val="spellingerror"/>
          <w:color w:val="000000"/>
          <w:szCs w:val="22"/>
          <w:shd w:val="clear" w:color="auto" w:fill="FFFFFF"/>
        </w:rPr>
        <w:t xml:space="preserve"> denied </w:t>
      </w:r>
      <w:r w:rsidR="00172936">
        <w:rPr>
          <w:rStyle w:val="spellingerror"/>
          <w:color w:val="000000"/>
          <w:szCs w:val="22"/>
          <w:shd w:val="clear" w:color="auto" w:fill="FFFFFF"/>
        </w:rPr>
        <w:t>UOBN</w:t>
      </w:r>
      <w:r w:rsidRPr="00BF240F">
        <w:rPr>
          <w:rStyle w:val="spellingerror"/>
          <w:color w:val="000000"/>
          <w:szCs w:val="22"/>
          <w:shd w:val="clear" w:color="auto" w:fill="FFFFFF"/>
        </w:rPr>
        <w:t xml:space="preserve">’s Objection and granted the assignment application, finding that </w:t>
      </w:r>
      <w:r w:rsidR="00172936">
        <w:rPr>
          <w:rStyle w:val="spellingerror"/>
          <w:color w:val="000000"/>
          <w:szCs w:val="22"/>
          <w:shd w:val="clear" w:color="auto" w:fill="FFFFFF"/>
        </w:rPr>
        <w:t>UOBN</w:t>
      </w:r>
      <w:r w:rsidRPr="00BF240F" w:rsidR="0011484A">
        <w:rPr>
          <w:rStyle w:val="spellingerror"/>
          <w:color w:val="000000"/>
          <w:szCs w:val="22"/>
          <w:shd w:val="clear" w:color="auto" w:fill="FFFFFF"/>
        </w:rPr>
        <w:t xml:space="preserve"> had failed to provide sufficient justification</w:t>
      </w:r>
      <w:r w:rsidRPr="00BF240F">
        <w:rPr>
          <w:rStyle w:val="spellingerror"/>
          <w:color w:val="000000"/>
          <w:szCs w:val="22"/>
          <w:shd w:val="clear" w:color="auto" w:fill="FFFFFF"/>
        </w:rPr>
        <w:t xml:space="preserve"> to deny or defer consideration of the assignment application.</w:t>
      </w:r>
      <w:r>
        <w:rPr>
          <w:rStyle w:val="FootnoteReference"/>
          <w:sz w:val="22"/>
          <w:szCs w:val="22"/>
          <w:shd w:val="clear" w:color="auto" w:fill="FFFFFF"/>
        </w:rPr>
        <w:footnoteReference w:id="7"/>
      </w:r>
      <w:r w:rsidRPr="00BF240F">
        <w:rPr>
          <w:rStyle w:val="spellingerror"/>
          <w:color w:val="000000"/>
          <w:szCs w:val="22"/>
          <w:shd w:val="clear" w:color="auto" w:fill="FFFFFF"/>
        </w:rPr>
        <w:t xml:space="preserve">  Specifically, the </w:t>
      </w:r>
      <w:r w:rsidRPr="00BF240F" w:rsidR="006502AE">
        <w:rPr>
          <w:rStyle w:val="spellingerror"/>
          <w:i/>
          <w:iCs/>
          <w:color w:val="000000"/>
          <w:szCs w:val="22"/>
          <w:shd w:val="clear" w:color="auto" w:fill="FFFFFF"/>
        </w:rPr>
        <w:t xml:space="preserve">Staff </w:t>
      </w:r>
      <w:r w:rsidRPr="00BF240F">
        <w:rPr>
          <w:rStyle w:val="spellingerror"/>
          <w:i/>
          <w:iCs/>
          <w:color w:val="000000"/>
          <w:szCs w:val="22"/>
          <w:shd w:val="clear" w:color="auto" w:fill="FFFFFF"/>
        </w:rPr>
        <w:t>Letter</w:t>
      </w:r>
      <w:r w:rsidRPr="00BF240F">
        <w:rPr>
          <w:rStyle w:val="spellingerror"/>
          <w:color w:val="000000"/>
          <w:szCs w:val="22"/>
          <w:shd w:val="clear" w:color="auto" w:fill="FFFFFF"/>
        </w:rPr>
        <w:t xml:space="preserve"> found that (1) the matter is rooted in a private contractual dispute that </w:t>
      </w:r>
      <w:r w:rsidR="00086F4B">
        <w:rPr>
          <w:rStyle w:val="spellingerror"/>
          <w:color w:val="000000"/>
          <w:szCs w:val="22"/>
          <w:shd w:val="clear" w:color="auto" w:fill="FFFFFF"/>
        </w:rPr>
        <w:t xml:space="preserve">falls within the purview of </w:t>
      </w:r>
      <w:r w:rsidRPr="00BF240F">
        <w:rPr>
          <w:rStyle w:val="spellingerror"/>
          <w:color w:val="000000"/>
          <w:szCs w:val="22"/>
          <w:shd w:val="clear" w:color="auto" w:fill="FFFFFF"/>
        </w:rPr>
        <w:t>a court of competent jurisdiction</w:t>
      </w:r>
      <w:r w:rsidR="00086F4B">
        <w:rPr>
          <w:rStyle w:val="spellingerror"/>
          <w:color w:val="000000"/>
          <w:szCs w:val="22"/>
          <w:shd w:val="clear" w:color="auto" w:fill="FFFFFF"/>
        </w:rPr>
        <w:t xml:space="preserve"> and not the Commission</w:t>
      </w:r>
      <w:r w:rsidRPr="00BF240F">
        <w:rPr>
          <w:rStyle w:val="spellingerror"/>
          <w:color w:val="000000"/>
          <w:szCs w:val="22"/>
          <w:shd w:val="clear" w:color="auto" w:fill="FFFFFF"/>
        </w:rPr>
        <w:t xml:space="preserve"> and (2) </w:t>
      </w:r>
      <w:r w:rsidR="00172936">
        <w:rPr>
          <w:rStyle w:val="spellingerror"/>
          <w:color w:val="000000"/>
          <w:szCs w:val="22"/>
          <w:shd w:val="clear" w:color="auto" w:fill="FFFFFF"/>
        </w:rPr>
        <w:t>UOBN</w:t>
      </w:r>
      <w:r w:rsidRPr="00BF240F">
        <w:rPr>
          <w:rStyle w:val="spellingerror"/>
          <w:color w:val="000000"/>
          <w:szCs w:val="22"/>
          <w:shd w:val="clear" w:color="auto" w:fill="FFFFFF"/>
        </w:rPr>
        <w:t>’s claim of racial discrimination is unsupported.</w:t>
      </w:r>
      <w:r>
        <w:rPr>
          <w:rStyle w:val="FootnoteReference"/>
          <w:sz w:val="22"/>
          <w:szCs w:val="22"/>
          <w:shd w:val="clear" w:color="auto" w:fill="FFFFFF"/>
        </w:rPr>
        <w:footnoteReference w:id="8"/>
      </w:r>
      <w:r w:rsidRPr="00BF240F">
        <w:rPr>
          <w:rStyle w:val="spellingerror"/>
          <w:color w:val="000000"/>
          <w:szCs w:val="22"/>
          <w:shd w:val="clear" w:color="auto" w:fill="FFFFFF"/>
        </w:rPr>
        <w:t xml:space="preserve">  </w:t>
      </w:r>
    </w:p>
    <w:p w:rsidR="00FF7876" w:rsidRPr="00921275" w:rsidP="00CA6D10" w14:paraId="3BF6DF4A" w14:textId="32C0A71F">
      <w:pPr>
        <w:pStyle w:val="ParaNum"/>
        <w:rPr>
          <w:szCs w:val="22"/>
        </w:rPr>
      </w:pPr>
      <w:r w:rsidRPr="00BE340D">
        <w:rPr>
          <w:szCs w:val="22"/>
        </w:rPr>
        <w:t xml:space="preserve">In its AFR, </w:t>
      </w:r>
      <w:r w:rsidR="00172936">
        <w:rPr>
          <w:szCs w:val="22"/>
        </w:rPr>
        <w:t>UOBN</w:t>
      </w:r>
      <w:r w:rsidRPr="00226A92" w:rsidR="00703D22">
        <w:rPr>
          <w:szCs w:val="22"/>
        </w:rPr>
        <w:t xml:space="preserve"> bases its claim on “U.S. civil rights laws that prohibit business practices involving disparate treatment of those persons belonging to protected classes under Title VII of the equal employment laws.”</w:t>
      </w:r>
      <w:r>
        <w:rPr>
          <w:rStyle w:val="FootnoteReference"/>
          <w:szCs w:val="22"/>
        </w:rPr>
        <w:footnoteReference w:id="9"/>
      </w:r>
      <w:r w:rsidRPr="00226A92" w:rsidR="00703D22">
        <w:rPr>
          <w:szCs w:val="22"/>
        </w:rPr>
        <w:t xml:space="preserve">  </w:t>
      </w:r>
      <w:r w:rsidR="00172936">
        <w:rPr>
          <w:szCs w:val="22"/>
        </w:rPr>
        <w:t>UOBN</w:t>
      </w:r>
      <w:r w:rsidRPr="00226A92">
        <w:rPr>
          <w:szCs w:val="22"/>
        </w:rPr>
        <w:t>’s primary contention is that</w:t>
      </w:r>
      <w:r w:rsidRPr="00226A92" w:rsidR="00521CB2">
        <w:rPr>
          <w:szCs w:val="22"/>
        </w:rPr>
        <w:t xml:space="preserve"> </w:t>
      </w:r>
      <w:r w:rsidRPr="00226A92">
        <w:rPr>
          <w:szCs w:val="22"/>
        </w:rPr>
        <w:t xml:space="preserve">the </w:t>
      </w:r>
      <w:r w:rsidRPr="00226A92" w:rsidR="00521CB2">
        <w:rPr>
          <w:szCs w:val="22"/>
        </w:rPr>
        <w:t>Bureau</w:t>
      </w:r>
      <w:r w:rsidRPr="00226A92">
        <w:rPr>
          <w:szCs w:val="22"/>
        </w:rPr>
        <w:t xml:space="preserve"> </w:t>
      </w:r>
      <w:r w:rsidRPr="00226A92" w:rsidR="00521CB2">
        <w:rPr>
          <w:szCs w:val="22"/>
        </w:rPr>
        <w:t>failed to</w:t>
      </w:r>
      <w:r w:rsidRPr="00226A92">
        <w:rPr>
          <w:szCs w:val="22"/>
        </w:rPr>
        <w:t xml:space="preserve"> </w:t>
      </w:r>
      <w:r w:rsidRPr="00226A92" w:rsidR="00521CB2">
        <w:rPr>
          <w:szCs w:val="22"/>
        </w:rPr>
        <w:t>conduct an inquiry into whether</w:t>
      </w:r>
      <w:r w:rsidRPr="00226A92">
        <w:rPr>
          <w:szCs w:val="22"/>
        </w:rPr>
        <w:t xml:space="preserve"> SportsTalk’s actions </w:t>
      </w:r>
      <w:r w:rsidRPr="00226A92" w:rsidR="000E1F2D">
        <w:rPr>
          <w:szCs w:val="22"/>
        </w:rPr>
        <w:t xml:space="preserve">had </w:t>
      </w:r>
      <w:r w:rsidRPr="00226A92" w:rsidR="00703D22">
        <w:rPr>
          <w:szCs w:val="22"/>
        </w:rPr>
        <w:t xml:space="preserve">such </w:t>
      </w:r>
      <w:r w:rsidRPr="00226A92">
        <w:rPr>
          <w:szCs w:val="22"/>
        </w:rPr>
        <w:t xml:space="preserve">a disparate </w:t>
      </w:r>
      <w:r w:rsidRPr="00226A92" w:rsidR="00625CC2">
        <w:rPr>
          <w:szCs w:val="22"/>
        </w:rPr>
        <w:t xml:space="preserve">impact </w:t>
      </w:r>
      <w:r w:rsidRPr="00226A92">
        <w:rPr>
          <w:szCs w:val="22"/>
        </w:rPr>
        <w:t xml:space="preserve">on </w:t>
      </w:r>
      <w:r w:rsidR="00172936">
        <w:rPr>
          <w:szCs w:val="22"/>
        </w:rPr>
        <w:t>UOBN</w:t>
      </w:r>
      <w:r w:rsidRPr="001D5D5F">
        <w:rPr>
          <w:szCs w:val="22"/>
          <w:shd w:val="clear" w:color="auto" w:fill="FFFFFF"/>
        </w:rPr>
        <w:t>.</w:t>
      </w:r>
      <w:r>
        <w:rPr>
          <w:rStyle w:val="FootnoteReference"/>
          <w:sz w:val="22"/>
          <w:szCs w:val="22"/>
          <w:shd w:val="clear" w:color="auto" w:fill="FFFFFF"/>
        </w:rPr>
        <w:footnoteReference w:id="10"/>
      </w:r>
      <w:r w:rsidRPr="001D5D5F">
        <w:rPr>
          <w:szCs w:val="22"/>
          <w:shd w:val="clear" w:color="auto" w:fill="FFFFFF"/>
        </w:rPr>
        <w:t xml:space="preserve"> </w:t>
      </w:r>
      <w:r w:rsidRPr="001D5D5F">
        <w:rPr>
          <w:szCs w:val="22"/>
        </w:rPr>
        <w:t xml:space="preserve"> </w:t>
      </w:r>
      <w:r w:rsidR="00172936">
        <w:rPr>
          <w:szCs w:val="22"/>
        </w:rPr>
        <w:t>UOBN</w:t>
      </w:r>
      <w:r w:rsidRPr="001D5D5F">
        <w:rPr>
          <w:szCs w:val="22"/>
        </w:rPr>
        <w:t xml:space="preserve"> also </w:t>
      </w:r>
      <w:r w:rsidRPr="001D5D5F" w:rsidR="00325886">
        <w:rPr>
          <w:szCs w:val="22"/>
        </w:rPr>
        <w:t>maintains</w:t>
      </w:r>
      <w:r w:rsidRPr="001D5D5F">
        <w:rPr>
          <w:szCs w:val="22"/>
        </w:rPr>
        <w:t xml:space="preserve"> that</w:t>
      </w:r>
      <w:r w:rsidRPr="001D5D5F" w:rsidR="00521CB2">
        <w:rPr>
          <w:szCs w:val="22"/>
        </w:rPr>
        <w:t xml:space="preserve"> the </w:t>
      </w:r>
      <w:r w:rsidRPr="001D5D5F" w:rsidR="00CF03B6">
        <w:rPr>
          <w:i/>
          <w:iCs/>
          <w:szCs w:val="22"/>
        </w:rPr>
        <w:t xml:space="preserve">Staff </w:t>
      </w:r>
      <w:r w:rsidRPr="001D5D5F" w:rsidR="00521CB2">
        <w:rPr>
          <w:i/>
          <w:iCs/>
          <w:szCs w:val="22"/>
        </w:rPr>
        <w:t>Letter</w:t>
      </w:r>
      <w:r w:rsidRPr="001D5D5F" w:rsidR="00521CB2">
        <w:rPr>
          <w:szCs w:val="22"/>
        </w:rPr>
        <w:t xml:space="preserve"> is inconsistent with</w:t>
      </w:r>
      <w:r w:rsidRPr="001D5D5F">
        <w:rPr>
          <w:szCs w:val="22"/>
        </w:rPr>
        <w:t xml:space="preserve"> </w:t>
      </w:r>
      <w:r w:rsidRPr="001D5D5F" w:rsidR="006868F5">
        <w:rPr>
          <w:i/>
          <w:iCs/>
          <w:szCs w:val="22"/>
        </w:rPr>
        <w:t>Metro Broadcasting</w:t>
      </w:r>
      <w:r w:rsidRPr="001D5D5F" w:rsidR="006868F5">
        <w:rPr>
          <w:szCs w:val="22"/>
          <w:shd w:val="clear" w:color="auto" w:fill="FFFFFF"/>
        </w:rPr>
        <w:t xml:space="preserve">, </w:t>
      </w:r>
      <w:r w:rsidRPr="001D5D5F" w:rsidR="006868F5">
        <w:rPr>
          <w:i/>
          <w:iCs/>
          <w:szCs w:val="22"/>
        </w:rPr>
        <w:t>Adarand</w:t>
      </w:r>
      <w:r w:rsidRPr="001D5D5F" w:rsidR="006868F5">
        <w:rPr>
          <w:szCs w:val="22"/>
        </w:rPr>
        <w:t xml:space="preserve">, and </w:t>
      </w:r>
      <w:r w:rsidRPr="001D5D5F" w:rsidR="006868F5">
        <w:rPr>
          <w:i/>
          <w:iCs/>
          <w:szCs w:val="22"/>
        </w:rPr>
        <w:t>Lutheran Church</w:t>
      </w:r>
      <w:r w:rsidR="00563A39">
        <w:rPr>
          <w:i/>
          <w:iCs/>
          <w:szCs w:val="22"/>
        </w:rPr>
        <w:t>.</w:t>
      </w:r>
      <w:r>
        <w:rPr>
          <w:rStyle w:val="FootnoteReference"/>
          <w:szCs w:val="22"/>
        </w:rPr>
        <w:footnoteReference w:id="11"/>
      </w:r>
      <w:r w:rsidR="00CA0A8F">
        <w:rPr>
          <w:i/>
          <w:iCs/>
          <w:szCs w:val="22"/>
        </w:rPr>
        <w:t xml:space="preserve">  </w:t>
      </w:r>
      <w:r w:rsidR="00172936">
        <w:rPr>
          <w:szCs w:val="22"/>
        </w:rPr>
        <w:t>UOBN</w:t>
      </w:r>
      <w:r w:rsidRPr="0078145C" w:rsidR="00CA0A8F">
        <w:rPr>
          <w:szCs w:val="22"/>
        </w:rPr>
        <w:t xml:space="preserve"> argues </w:t>
      </w:r>
      <w:r w:rsidRPr="00921275" w:rsidR="00CA0A8F">
        <w:rPr>
          <w:szCs w:val="22"/>
        </w:rPr>
        <w:t>that</w:t>
      </w:r>
      <w:r w:rsidRPr="002737A7" w:rsidR="00CA0A8F">
        <w:rPr>
          <w:szCs w:val="22"/>
        </w:rPr>
        <w:t>,</w:t>
      </w:r>
      <w:r w:rsidRPr="00246B88" w:rsidR="00CA0A8F">
        <w:rPr>
          <w:szCs w:val="22"/>
        </w:rPr>
        <w:t xml:space="preserve"> p</w:t>
      </w:r>
      <w:r w:rsidRPr="00E8319E" w:rsidR="00CA0A8F">
        <w:rPr>
          <w:szCs w:val="22"/>
        </w:rPr>
        <w:t xml:space="preserve">ursuant to </w:t>
      </w:r>
      <w:r w:rsidRPr="00AD4486" w:rsidR="00CA0A8F">
        <w:rPr>
          <w:i/>
          <w:iCs/>
          <w:szCs w:val="22"/>
        </w:rPr>
        <w:t>Metro Broadc</w:t>
      </w:r>
      <w:r w:rsidRPr="005E2954" w:rsidR="00CA0A8F">
        <w:rPr>
          <w:i/>
          <w:iCs/>
          <w:szCs w:val="22"/>
        </w:rPr>
        <w:t>asting</w:t>
      </w:r>
      <w:r w:rsidRPr="005472E8" w:rsidR="00CA0A8F">
        <w:rPr>
          <w:szCs w:val="22"/>
        </w:rPr>
        <w:t xml:space="preserve">, the </w:t>
      </w:r>
      <w:r w:rsidRPr="009D7729" w:rsidR="00CA0A8F">
        <w:rPr>
          <w:szCs w:val="22"/>
        </w:rPr>
        <w:t xml:space="preserve">FCC </w:t>
      </w:r>
      <w:r w:rsidRPr="004C77B8" w:rsidR="00CA0A8F">
        <w:rPr>
          <w:szCs w:val="22"/>
        </w:rPr>
        <w:t>has</w:t>
      </w:r>
      <w:r w:rsidRPr="0043102F" w:rsidR="00CA0A8F">
        <w:rPr>
          <w:szCs w:val="22"/>
        </w:rPr>
        <w:t xml:space="preserve"> a </w:t>
      </w:r>
      <w:r w:rsidRPr="00792093" w:rsidR="00CA0A8F">
        <w:rPr>
          <w:szCs w:val="22"/>
        </w:rPr>
        <w:t>“</w:t>
      </w:r>
      <w:r w:rsidRPr="00CA0A8F" w:rsidR="00CA0A8F">
        <w:rPr>
          <w:szCs w:val="22"/>
        </w:rPr>
        <w:t>compelling interest in promoting diversity in the broadcasting industry.”</w:t>
      </w:r>
      <w:r>
        <w:rPr>
          <w:rStyle w:val="FootnoteReference"/>
          <w:szCs w:val="22"/>
        </w:rPr>
        <w:footnoteReference w:id="12"/>
      </w:r>
      <w:r w:rsidRPr="00823391" w:rsidR="00CA0A8F">
        <w:rPr>
          <w:szCs w:val="22"/>
        </w:rPr>
        <w:t xml:space="preserve">  </w:t>
      </w:r>
      <w:r w:rsidR="00172936">
        <w:rPr>
          <w:szCs w:val="22"/>
        </w:rPr>
        <w:t>UOBN</w:t>
      </w:r>
      <w:r w:rsidRPr="0078145C" w:rsidR="00CA0A8F">
        <w:rPr>
          <w:szCs w:val="22"/>
        </w:rPr>
        <w:t xml:space="preserve"> </w:t>
      </w:r>
      <w:r w:rsidRPr="00921275" w:rsidR="00CA0A8F">
        <w:rPr>
          <w:szCs w:val="22"/>
        </w:rPr>
        <w:t>states</w:t>
      </w:r>
      <w:r w:rsidRPr="002737A7" w:rsidR="00CA0A8F">
        <w:rPr>
          <w:szCs w:val="22"/>
        </w:rPr>
        <w:t xml:space="preserve"> that </w:t>
      </w:r>
      <w:r w:rsidRPr="00246B88" w:rsidR="00CA0A8F">
        <w:rPr>
          <w:szCs w:val="22"/>
        </w:rPr>
        <w:t xml:space="preserve">while </w:t>
      </w:r>
      <w:r w:rsidRPr="001D5D5F" w:rsidR="004F2718">
        <w:rPr>
          <w:i/>
          <w:iCs/>
          <w:szCs w:val="22"/>
        </w:rPr>
        <w:t>Adarand</w:t>
      </w:r>
      <w:r w:rsidRPr="00AD4486" w:rsidR="00CA0A8F">
        <w:rPr>
          <w:szCs w:val="22"/>
        </w:rPr>
        <w:t xml:space="preserve"> and </w:t>
      </w:r>
      <w:r w:rsidRPr="005E2954" w:rsidR="00CA0A8F">
        <w:rPr>
          <w:i/>
          <w:iCs/>
          <w:szCs w:val="22"/>
        </w:rPr>
        <w:t>Luther</w:t>
      </w:r>
      <w:r w:rsidR="00192DA9">
        <w:rPr>
          <w:i/>
          <w:iCs/>
          <w:szCs w:val="22"/>
        </w:rPr>
        <w:t>a</w:t>
      </w:r>
      <w:r w:rsidRPr="005E2954" w:rsidR="00CA0A8F">
        <w:rPr>
          <w:i/>
          <w:iCs/>
          <w:szCs w:val="22"/>
        </w:rPr>
        <w:t>n Church</w:t>
      </w:r>
      <w:r w:rsidRPr="005472E8" w:rsidR="00CA0A8F">
        <w:rPr>
          <w:szCs w:val="22"/>
        </w:rPr>
        <w:t xml:space="preserve"> </w:t>
      </w:r>
      <w:r w:rsidRPr="009D7729" w:rsidR="00CA0A8F">
        <w:rPr>
          <w:szCs w:val="22"/>
        </w:rPr>
        <w:t>“</w:t>
      </w:r>
      <w:r w:rsidRPr="004C77B8" w:rsidR="00CA0A8F">
        <w:rPr>
          <w:szCs w:val="22"/>
        </w:rPr>
        <w:t>overturned the analysis uphe</w:t>
      </w:r>
      <w:r w:rsidRPr="00CA0A8F" w:rsidR="00CA0A8F">
        <w:rPr>
          <w:szCs w:val="22"/>
        </w:rPr>
        <w:t xml:space="preserve">ld in </w:t>
      </w:r>
      <w:r w:rsidRPr="00CA0A8F" w:rsidR="00CA0A8F">
        <w:rPr>
          <w:i/>
          <w:iCs/>
          <w:szCs w:val="22"/>
        </w:rPr>
        <w:t>Metro Broadcasting</w:t>
      </w:r>
      <w:r w:rsidRPr="00CA0A8F" w:rsidR="00CA0A8F">
        <w:rPr>
          <w:szCs w:val="22"/>
        </w:rPr>
        <w:t xml:space="preserve">” and employed a strict scrutiny standard for race-based regulations, </w:t>
      </w:r>
      <w:r w:rsidRPr="001D5D5F" w:rsidR="004F2718">
        <w:rPr>
          <w:i/>
          <w:iCs/>
          <w:szCs w:val="22"/>
        </w:rPr>
        <w:t>Adarand</w:t>
      </w:r>
      <w:r w:rsidRPr="00CA0A8F" w:rsidR="00CA0A8F">
        <w:rPr>
          <w:szCs w:val="22"/>
        </w:rPr>
        <w:t xml:space="preserve"> and </w:t>
      </w:r>
      <w:r w:rsidRPr="00CA0A8F" w:rsidR="00CA0A8F">
        <w:rPr>
          <w:i/>
          <w:iCs/>
          <w:szCs w:val="22"/>
        </w:rPr>
        <w:t>Luther</w:t>
      </w:r>
      <w:r w:rsidR="00192DA9">
        <w:rPr>
          <w:i/>
          <w:iCs/>
          <w:szCs w:val="22"/>
        </w:rPr>
        <w:t>a</w:t>
      </w:r>
      <w:r w:rsidRPr="00CA0A8F" w:rsidR="00CA0A8F">
        <w:rPr>
          <w:i/>
          <w:iCs/>
          <w:szCs w:val="22"/>
        </w:rPr>
        <w:t xml:space="preserve">n Church </w:t>
      </w:r>
      <w:r w:rsidRPr="00CA0A8F" w:rsidR="00CA0A8F">
        <w:rPr>
          <w:szCs w:val="22"/>
        </w:rPr>
        <w:t xml:space="preserve">did not overturn </w:t>
      </w:r>
      <w:r w:rsidRPr="00CA0A8F" w:rsidR="00CA0A8F">
        <w:rPr>
          <w:i/>
          <w:iCs/>
          <w:szCs w:val="22"/>
        </w:rPr>
        <w:t>Metro Broadcasting</w:t>
      </w:r>
      <w:r w:rsidRPr="00CA0A8F" w:rsidR="00CA0A8F">
        <w:rPr>
          <w:szCs w:val="22"/>
        </w:rPr>
        <w:t>’s “recognition of a government interest in ‘diverse’ programming.”</w:t>
      </w:r>
      <w:r>
        <w:rPr>
          <w:rStyle w:val="FootnoteReference"/>
          <w:szCs w:val="22"/>
        </w:rPr>
        <w:footnoteReference w:id="13"/>
      </w:r>
      <w:r w:rsidR="00CA6D10">
        <w:rPr>
          <w:szCs w:val="22"/>
        </w:rPr>
        <w:t xml:space="preserve">  </w:t>
      </w:r>
      <w:r w:rsidR="00172936">
        <w:rPr>
          <w:szCs w:val="22"/>
        </w:rPr>
        <w:t>UOBN</w:t>
      </w:r>
      <w:r w:rsidRPr="00CA6D10" w:rsidR="00CE5EDF">
        <w:rPr>
          <w:szCs w:val="22"/>
        </w:rPr>
        <w:t xml:space="preserve"> argues that </w:t>
      </w:r>
      <w:r w:rsidRPr="00CA6D10" w:rsidR="009976FD">
        <w:rPr>
          <w:szCs w:val="22"/>
        </w:rPr>
        <w:t>these cases do not</w:t>
      </w:r>
      <w:r w:rsidRPr="00CA6D10" w:rsidR="00E30FF1">
        <w:rPr>
          <w:szCs w:val="22"/>
        </w:rPr>
        <w:t xml:space="preserve"> </w:t>
      </w:r>
      <w:r w:rsidRPr="00CA6D10" w:rsidR="00E058D7">
        <w:rPr>
          <w:szCs w:val="22"/>
        </w:rPr>
        <w:t xml:space="preserve">“preclude the FCC from promoting diversity of broadcasting or diversity of </w:t>
      </w:r>
      <w:r w:rsidRPr="00CA6D10" w:rsidR="00B721C0">
        <w:rPr>
          <w:szCs w:val="22"/>
        </w:rPr>
        <w:t>ownership</w:t>
      </w:r>
      <w:r w:rsidRPr="00CA6D10" w:rsidR="00587587">
        <w:rPr>
          <w:szCs w:val="22"/>
        </w:rPr>
        <w:t>”</w:t>
      </w:r>
      <w:r>
        <w:rPr>
          <w:rStyle w:val="FootnoteReference"/>
          <w:szCs w:val="22"/>
        </w:rPr>
        <w:footnoteReference w:id="14"/>
      </w:r>
      <w:r w:rsidRPr="00823391" w:rsidR="00587587">
        <w:rPr>
          <w:szCs w:val="22"/>
        </w:rPr>
        <w:t xml:space="preserve"> nor do they </w:t>
      </w:r>
      <w:r w:rsidRPr="00921275" w:rsidR="00F67973">
        <w:rPr>
          <w:szCs w:val="22"/>
        </w:rPr>
        <w:t>“</w:t>
      </w:r>
      <w:r w:rsidRPr="002737A7" w:rsidR="00F67973">
        <w:rPr>
          <w:szCs w:val="22"/>
        </w:rPr>
        <w:t>preclude the FCC from p</w:t>
      </w:r>
      <w:r w:rsidRPr="00246B88" w:rsidR="00F67973">
        <w:rPr>
          <w:szCs w:val="22"/>
        </w:rPr>
        <w:t xml:space="preserve">romoting </w:t>
      </w:r>
      <w:r w:rsidRPr="00CA6D10" w:rsidR="001D5D5F">
        <w:rPr>
          <w:szCs w:val="22"/>
          <w:shd w:val="clear" w:color="auto" w:fill="FFFFFF"/>
        </w:rPr>
        <w:t>policies that favor diversity.”</w:t>
      </w:r>
      <w:r>
        <w:rPr>
          <w:rStyle w:val="FootnoteReference"/>
          <w:sz w:val="22"/>
          <w:szCs w:val="22"/>
        </w:rPr>
        <w:footnoteReference w:id="15"/>
      </w:r>
      <w:r w:rsidRPr="00823391" w:rsidR="00521CB2">
        <w:rPr>
          <w:szCs w:val="22"/>
        </w:rPr>
        <w:t xml:space="preserve">  </w:t>
      </w:r>
      <w:r w:rsidR="00172936">
        <w:rPr>
          <w:szCs w:val="22"/>
        </w:rPr>
        <w:t>UOBN</w:t>
      </w:r>
      <w:r w:rsidRPr="00823391" w:rsidR="00521CB2">
        <w:rPr>
          <w:szCs w:val="22"/>
        </w:rPr>
        <w:t xml:space="preserve"> similarly contends that</w:t>
      </w:r>
      <w:r w:rsidRPr="0078145C">
        <w:rPr>
          <w:szCs w:val="22"/>
        </w:rPr>
        <w:t xml:space="preserve"> section 309</w:t>
      </w:r>
      <w:r w:rsidR="00FC785A">
        <w:rPr>
          <w:szCs w:val="22"/>
        </w:rPr>
        <w:t xml:space="preserve"> </w:t>
      </w:r>
      <w:r w:rsidRPr="00CA6D10">
        <w:rPr>
          <w:szCs w:val="22"/>
        </w:rPr>
        <w:t>of the Communications Act of 1934, as amended</w:t>
      </w:r>
      <w:r w:rsidRPr="00CA6D10" w:rsidR="005E44F6">
        <w:rPr>
          <w:szCs w:val="22"/>
        </w:rPr>
        <w:t xml:space="preserve"> (Act)</w:t>
      </w:r>
      <w:r w:rsidRPr="00CA6D10">
        <w:rPr>
          <w:szCs w:val="22"/>
        </w:rPr>
        <w:t xml:space="preserve">, </w:t>
      </w:r>
      <w:r w:rsidRPr="00CA6D10" w:rsidR="00521CB2">
        <w:rPr>
          <w:szCs w:val="22"/>
        </w:rPr>
        <w:t>permits the Bureau to “give preferences to applicants where the granting of a license would result in media diversification</w:t>
      </w:r>
      <w:r w:rsidRPr="00CA6D10">
        <w:rPr>
          <w:szCs w:val="22"/>
        </w:rPr>
        <w:t>.</w:t>
      </w:r>
      <w:r w:rsidRPr="00CA6D10" w:rsidR="00521CB2">
        <w:rPr>
          <w:szCs w:val="22"/>
        </w:rPr>
        <w:t>”</w:t>
      </w:r>
      <w:r>
        <w:rPr>
          <w:rStyle w:val="FootnoteReference"/>
          <w:sz w:val="22"/>
          <w:szCs w:val="22"/>
        </w:rPr>
        <w:footnoteReference w:id="16"/>
      </w:r>
      <w:r w:rsidRPr="00823391">
        <w:rPr>
          <w:szCs w:val="22"/>
        </w:rPr>
        <w:t xml:space="preserve"> </w:t>
      </w:r>
      <w:r w:rsidRPr="0078145C" w:rsidR="00454385">
        <w:rPr>
          <w:szCs w:val="22"/>
        </w:rPr>
        <w:t xml:space="preserve"> </w:t>
      </w:r>
      <w:r w:rsidRPr="00921275" w:rsidR="00245E69">
        <w:rPr>
          <w:szCs w:val="22"/>
        </w:rPr>
        <w:t xml:space="preserve">Accordingly, </w:t>
      </w:r>
      <w:r w:rsidR="00172936">
        <w:rPr>
          <w:szCs w:val="22"/>
        </w:rPr>
        <w:t>UOBN</w:t>
      </w:r>
      <w:r w:rsidRPr="002737A7" w:rsidR="00521CB2">
        <w:rPr>
          <w:szCs w:val="22"/>
        </w:rPr>
        <w:t xml:space="preserve"> states that the </w:t>
      </w:r>
      <w:r w:rsidRPr="00246B88" w:rsidR="00CF03B6">
        <w:rPr>
          <w:i/>
          <w:iCs/>
          <w:szCs w:val="22"/>
        </w:rPr>
        <w:t xml:space="preserve">Staff </w:t>
      </w:r>
      <w:r w:rsidRPr="00F33238" w:rsidR="00521CB2">
        <w:rPr>
          <w:i/>
          <w:iCs/>
          <w:szCs w:val="22"/>
        </w:rPr>
        <w:t>Letter</w:t>
      </w:r>
      <w:r w:rsidRPr="00E8319E" w:rsidR="00521CB2">
        <w:rPr>
          <w:szCs w:val="22"/>
        </w:rPr>
        <w:t xml:space="preserve"> was decided “arbitrarily and in a biased manner.”</w:t>
      </w:r>
      <w:r>
        <w:rPr>
          <w:rStyle w:val="FootnoteReference"/>
          <w:sz w:val="22"/>
          <w:szCs w:val="22"/>
        </w:rPr>
        <w:footnoteReference w:id="17"/>
      </w:r>
      <w:r w:rsidRPr="00823391" w:rsidR="00521CB2">
        <w:rPr>
          <w:szCs w:val="22"/>
        </w:rPr>
        <w:t xml:space="preserve"> </w:t>
      </w:r>
      <w:r w:rsidRPr="0078145C" w:rsidR="005E44F6">
        <w:rPr>
          <w:szCs w:val="22"/>
        </w:rPr>
        <w:t xml:space="preserve"> </w:t>
      </w:r>
    </w:p>
    <w:p w:rsidR="000357A7" w:rsidRPr="00BE340D" w:rsidP="005E44F6" w14:paraId="70E317C7" w14:textId="3552CA73">
      <w:pPr>
        <w:pStyle w:val="ParaNum"/>
        <w:rPr>
          <w:szCs w:val="22"/>
        </w:rPr>
      </w:pPr>
      <w:r w:rsidRPr="00BE340D">
        <w:rPr>
          <w:szCs w:val="22"/>
        </w:rPr>
        <w:t xml:space="preserve">In </w:t>
      </w:r>
      <w:r w:rsidRPr="00BE340D" w:rsidR="00245E69">
        <w:rPr>
          <w:szCs w:val="22"/>
        </w:rPr>
        <w:t>its</w:t>
      </w:r>
      <w:r w:rsidRPr="00BE340D" w:rsidR="00272F67">
        <w:rPr>
          <w:szCs w:val="22"/>
        </w:rPr>
        <w:t xml:space="preserve"> </w:t>
      </w:r>
      <w:r w:rsidRPr="00BE340D" w:rsidR="00633361">
        <w:rPr>
          <w:szCs w:val="22"/>
        </w:rPr>
        <w:t>AFR</w:t>
      </w:r>
      <w:r w:rsidRPr="00BE340D" w:rsidR="00272F67">
        <w:rPr>
          <w:szCs w:val="22"/>
        </w:rPr>
        <w:t xml:space="preserve"> Response</w:t>
      </w:r>
      <w:r w:rsidRPr="00BE340D">
        <w:rPr>
          <w:szCs w:val="22"/>
        </w:rPr>
        <w:t xml:space="preserve">, SportsTalk </w:t>
      </w:r>
      <w:r w:rsidRPr="00226A92" w:rsidR="00703D22">
        <w:rPr>
          <w:szCs w:val="22"/>
        </w:rPr>
        <w:t xml:space="preserve">continues to deny that it had any contractual obligation to </w:t>
      </w:r>
      <w:r w:rsidR="00172936">
        <w:rPr>
          <w:szCs w:val="22"/>
        </w:rPr>
        <w:t>UOBN</w:t>
      </w:r>
      <w:r w:rsidRPr="00226A92" w:rsidR="00703D22">
        <w:rPr>
          <w:szCs w:val="22"/>
        </w:rPr>
        <w:t>, and</w:t>
      </w:r>
      <w:r w:rsidR="00703D22">
        <w:rPr>
          <w:szCs w:val="22"/>
        </w:rPr>
        <w:t xml:space="preserve"> </w:t>
      </w:r>
      <w:r w:rsidRPr="00BE340D" w:rsidR="005E44F6">
        <w:rPr>
          <w:szCs w:val="22"/>
        </w:rPr>
        <w:t xml:space="preserve">reiterates its </w:t>
      </w:r>
      <w:r w:rsidRPr="00BE340D" w:rsidR="00325886">
        <w:rPr>
          <w:szCs w:val="22"/>
        </w:rPr>
        <w:t>assertion</w:t>
      </w:r>
      <w:r w:rsidRPr="00BE340D" w:rsidR="005E44F6">
        <w:rPr>
          <w:szCs w:val="22"/>
        </w:rPr>
        <w:t xml:space="preserve"> that the current matter involves a private contractual dispute</w:t>
      </w:r>
      <w:r w:rsidRPr="00BE340D" w:rsidR="00BF324F">
        <w:rPr>
          <w:szCs w:val="22"/>
        </w:rPr>
        <w:t xml:space="preserve"> and</w:t>
      </w:r>
      <w:r w:rsidRPr="00BE340D" w:rsidR="005E44F6">
        <w:rPr>
          <w:szCs w:val="22"/>
        </w:rPr>
        <w:t xml:space="preserve"> that </w:t>
      </w:r>
      <w:r w:rsidRPr="00BE340D" w:rsidR="00BF324F">
        <w:rPr>
          <w:szCs w:val="22"/>
        </w:rPr>
        <w:t>“the correct forum is a local court in the venue with jurisdiction to resolve local issues on contractual matters, not the FCC.”</w:t>
      </w:r>
      <w:r>
        <w:rPr>
          <w:rStyle w:val="FootnoteReference"/>
          <w:sz w:val="22"/>
          <w:szCs w:val="22"/>
        </w:rPr>
        <w:footnoteReference w:id="18"/>
      </w:r>
      <w:r w:rsidRPr="00BF240F" w:rsidR="00B10B73">
        <w:rPr>
          <w:szCs w:val="22"/>
        </w:rPr>
        <w:t xml:space="preserve">  The </w:t>
      </w:r>
      <w:r w:rsidRPr="00BF240F" w:rsidR="00272F67">
        <w:rPr>
          <w:szCs w:val="22"/>
        </w:rPr>
        <w:t xml:space="preserve">AFR Response </w:t>
      </w:r>
      <w:r w:rsidRPr="00BE340D" w:rsidR="00B10B73">
        <w:rPr>
          <w:szCs w:val="22"/>
        </w:rPr>
        <w:t>further notes that, as of its date of</w:t>
      </w:r>
      <w:r w:rsidRPr="00BE340D" w:rsidR="009B34A3">
        <w:rPr>
          <w:szCs w:val="22"/>
        </w:rPr>
        <w:t xml:space="preserve"> </w:t>
      </w:r>
      <w:r w:rsidRPr="00BE340D" w:rsidR="00B10B73">
        <w:rPr>
          <w:szCs w:val="22"/>
        </w:rPr>
        <w:t xml:space="preserve">filing, </w:t>
      </w:r>
      <w:r w:rsidR="00172936">
        <w:rPr>
          <w:szCs w:val="22"/>
        </w:rPr>
        <w:t>UOBN</w:t>
      </w:r>
      <w:r w:rsidRPr="00BE340D" w:rsidR="00B10B73">
        <w:rPr>
          <w:szCs w:val="22"/>
        </w:rPr>
        <w:t xml:space="preserve"> had not initiated a proceeding in civil court.</w:t>
      </w:r>
      <w:r>
        <w:rPr>
          <w:rStyle w:val="FootnoteReference"/>
          <w:sz w:val="22"/>
          <w:szCs w:val="22"/>
        </w:rPr>
        <w:footnoteReference w:id="19"/>
      </w:r>
      <w:r w:rsidRPr="00BF240F" w:rsidR="00A43ACB">
        <w:rPr>
          <w:szCs w:val="22"/>
        </w:rPr>
        <w:t xml:space="preserve">  </w:t>
      </w:r>
    </w:p>
    <w:p w:rsidR="00B672CF" w:rsidRPr="00BE340D" w:rsidP="00B672CF" w14:paraId="6191F257" w14:textId="77777777">
      <w:pPr>
        <w:pStyle w:val="Heading1"/>
        <w:keepNext w:val="0"/>
        <w:suppressAutoHyphens w:val="0"/>
        <w:rPr>
          <w:rFonts w:ascii="Times New Roman" w:hAnsi="Times New Roman"/>
          <w:szCs w:val="22"/>
        </w:rPr>
      </w:pPr>
      <w:r w:rsidRPr="00BE340D">
        <w:rPr>
          <w:rFonts w:ascii="Times New Roman" w:hAnsi="Times New Roman"/>
          <w:szCs w:val="22"/>
        </w:rPr>
        <w:t>DISCUSSION</w:t>
      </w:r>
    </w:p>
    <w:p w:rsidR="000357A7" w:rsidRPr="00BF240F" w:rsidP="000357A7" w14:paraId="158B1CD7" w14:textId="220FD83E">
      <w:pPr>
        <w:pStyle w:val="ParaNum"/>
        <w:rPr>
          <w:szCs w:val="22"/>
        </w:rPr>
      </w:pPr>
      <w:r w:rsidRPr="00BF240F">
        <w:rPr>
          <w:rStyle w:val="Emphasis"/>
          <w:szCs w:val="22"/>
        </w:rPr>
        <w:t>Procedural</w:t>
      </w:r>
      <w:r w:rsidRPr="00BF240F">
        <w:rPr>
          <w:rStyle w:val="Emphasis"/>
          <w:i w:val="0"/>
          <w:iCs w:val="0"/>
          <w:szCs w:val="22"/>
        </w:rPr>
        <w:t xml:space="preserve">. We </w:t>
      </w:r>
      <w:r w:rsidRPr="00BF240F" w:rsidR="009B34A3">
        <w:rPr>
          <w:rStyle w:val="Emphasis"/>
          <w:i w:val="0"/>
          <w:iCs w:val="0"/>
          <w:szCs w:val="22"/>
        </w:rPr>
        <w:t xml:space="preserve">dismiss </w:t>
      </w:r>
      <w:r w:rsidRPr="00BF240F">
        <w:rPr>
          <w:rStyle w:val="Emphasis"/>
          <w:i w:val="0"/>
          <w:iCs w:val="0"/>
          <w:szCs w:val="22"/>
        </w:rPr>
        <w:t xml:space="preserve">the AFR on procedural grounds.  </w:t>
      </w:r>
      <w:r w:rsidRPr="00BF240F" w:rsidR="00325886">
        <w:rPr>
          <w:rStyle w:val="Emphasis"/>
          <w:i w:val="0"/>
          <w:iCs w:val="0"/>
          <w:szCs w:val="22"/>
        </w:rPr>
        <w:t xml:space="preserve">Specifically, we find that </w:t>
      </w:r>
      <w:r w:rsidRPr="00BF240F" w:rsidR="00FA740E">
        <w:rPr>
          <w:rStyle w:val="Emphasis"/>
          <w:i w:val="0"/>
          <w:iCs w:val="0"/>
          <w:szCs w:val="22"/>
        </w:rPr>
        <w:t xml:space="preserve">each </w:t>
      </w:r>
      <w:r w:rsidRPr="00BF240F" w:rsidR="00325886">
        <w:rPr>
          <w:rStyle w:val="Emphasis"/>
          <w:i w:val="0"/>
          <w:iCs w:val="0"/>
          <w:szCs w:val="22"/>
        </w:rPr>
        <w:t xml:space="preserve">of the claims contained in </w:t>
      </w:r>
      <w:r w:rsidR="00172936">
        <w:rPr>
          <w:rStyle w:val="Emphasis"/>
          <w:i w:val="0"/>
          <w:iCs w:val="0"/>
          <w:szCs w:val="22"/>
        </w:rPr>
        <w:t>UOBN</w:t>
      </w:r>
      <w:r w:rsidRPr="00BF240F" w:rsidR="00325886">
        <w:rPr>
          <w:rStyle w:val="Emphasis"/>
          <w:i w:val="0"/>
          <w:iCs w:val="0"/>
          <w:szCs w:val="22"/>
        </w:rPr>
        <w:t>’s AFR w</w:t>
      </w:r>
      <w:r w:rsidR="00192DA9">
        <w:rPr>
          <w:rStyle w:val="Emphasis"/>
          <w:i w:val="0"/>
          <w:iCs w:val="0"/>
          <w:szCs w:val="22"/>
        </w:rPr>
        <w:t>as</w:t>
      </w:r>
      <w:r w:rsidRPr="00BF240F" w:rsidR="00325886">
        <w:rPr>
          <w:rStyle w:val="Emphasis"/>
          <w:i w:val="0"/>
          <w:iCs w:val="0"/>
          <w:szCs w:val="22"/>
        </w:rPr>
        <w:t xml:space="preserve"> not previously presented to the Bureau. </w:t>
      </w:r>
      <w:r w:rsidRPr="00BF240F" w:rsidR="00016C7E">
        <w:rPr>
          <w:szCs w:val="22"/>
          <w:shd w:val="clear" w:color="auto" w:fill="FFFFFF"/>
        </w:rPr>
        <w:t xml:space="preserve"> </w:t>
      </w:r>
      <w:r w:rsidRPr="00BF240F">
        <w:rPr>
          <w:szCs w:val="22"/>
          <w:shd w:val="clear" w:color="auto" w:fill="FFFFFF"/>
        </w:rPr>
        <w:t xml:space="preserve">Section </w:t>
      </w:r>
      <w:r w:rsidRPr="00BF240F">
        <w:rPr>
          <w:color w:val="000000"/>
          <w:szCs w:val="22"/>
          <w:shd w:val="clear" w:color="auto" w:fill="FFFFFF"/>
        </w:rPr>
        <w:t xml:space="preserve">1.115(c) of the </w:t>
      </w:r>
      <w:r w:rsidRPr="00BF240F" w:rsidR="00016C7E">
        <w:rPr>
          <w:color w:val="000000"/>
          <w:szCs w:val="22"/>
          <w:shd w:val="clear" w:color="auto" w:fill="FFFFFF"/>
        </w:rPr>
        <w:t>Commission’s rules (</w:t>
      </w:r>
      <w:r w:rsidRPr="00BF240F">
        <w:rPr>
          <w:color w:val="000000"/>
          <w:szCs w:val="22"/>
          <w:shd w:val="clear" w:color="auto" w:fill="FFFFFF"/>
        </w:rPr>
        <w:t>Rules</w:t>
      </w:r>
      <w:r w:rsidRPr="00BF240F" w:rsidR="00016C7E">
        <w:rPr>
          <w:color w:val="000000"/>
          <w:szCs w:val="22"/>
          <w:shd w:val="clear" w:color="auto" w:fill="FFFFFF"/>
        </w:rPr>
        <w:t>)</w:t>
      </w:r>
      <w:r w:rsidRPr="00BF240F">
        <w:rPr>
          <w:color w:val="000000"/>
          <w:szCs w:val="22"/>
          <w:shd w:val="clear" w:color="auto" w:fill="FFFFFF"/>
        </w:rPr>
        <w:t xml:space="preserve"> explicitly prohibit</w:t>
      </w:r>
      <w:r w:rsidRPr="00BF240F" w:rsidR="007030AB">
        <w:rPr>
          <w:color w:val="000000"/>
          <w:szCs w:val="22"/>
          <w:shd w:val="clear" w:color="auto" w:fill="FFFFFF"/>
        </w:rPr>
        <w:t>s</w:t>
      </w:r>
      <w:r w:rsidRPr="00BF240F">
        <w:rPr>
          <w:color w:val="000000"/>
          <w:szCs w:val="22"/>
          <w:shd w:val="clear" w:color="auto" w:fill="FFFFFF"/>
        </w:rPr>
        <w:t xml:space="preserve"> parties from raising </w:t>
      </w:r>
      <w:r w:rsidRPr="00BF240F">
        <w:rPr>
          <w:color w:val="000000"/>
          <w:szCs w:val="22"/>
          <w:bdr w:val="none" w:sz="0" w:space="0" w:color="auto" w:frame="1"/>
          <w:shd w:val="clear" w:color="auto" w:fill="FFFFFF"/>
        </w:rPr>
        <w:t>new</w:t>
      </w:r>
      <w:r w:rsidRPr="00BF240F">
        <w:rPr>
          <w:color w:val="000000"/>
          <w:szCs w:val="22"/>
          <w:shd w:val="clear" w:color="auto" w:fill="FFFFFF"/>
        </w:rPr>
        <w:t> </w:t>
      </w:r>
      <w:r w:rsidRPr="00BF240F">
        <w:rPr>
          <w:color w:val="000000"/>
          <w:szCs w:val="22"/>
          <w:bdr w:val="none" w:sz="0" w:space="0" w:color="auto" w:frame="1"/>
          <w:shd w:val="clear" w:color="auto" w:fill="FFFFFF"/>
        </w:rPr>
        <w:t>arguments</w:t>
      </w:r>
      <w:r w:rsidRPr="00BF240F">
        <w:rPr>
          <w:color w:val="000000"/>
          <w:szCs w:val="22"/>
          <w:shd w:val="clear" w:color="auto" w:fill="FFFFFF"/>
        </w:rPr>
        <w:t> on review.</w:t>
      </w:r>
      <w:r>
        <w:rPr>
          <w:rStyle w:val="FootnoteReference"/>
          <w:sz w:val="22"/>
          <w:szCs w:val="22"/>
          <w:shd w:val="clear" w:color="auto" w:fill="FFFFFF"/>
        </w:rPr>
        <w:footnoteReference w:id="20"/>
      </w:r>
      <w:r w:rsidRPr="00BF240F">
        <w:rPr>
          <w:color w:val="000000"/>
          <w:szCs w:val="22"/>
          <w:shd w:val="clear" w:color="auto" w:fill="FFFFFF"/>
        </w:rPr>
        <w:t xml:space="preserve">  Accordingly, we dismiss </w:t>
      </w:r>
      <w:r w:rsidR="00172936">
        <w:rPr>
          <w:color w:val="000000"/>
          <w:szCs w:val="22"/>
          <w:shd w:val="clear" w:color="auto" w:fill="FFFFFF"/>
        </w:rPr>
        <w:t>UOBN</w:t>
      </w:r>
      <w:r w:rsidRPr="00BF240F">
        <w:rPr>
          <w:color w:val="000000"/>
          <w:szCs w:val="22"/>
          <w:shd w:val="clear" w:color="auto" w:fill="FFFFFF"/>
        </w:rPr>
        <w:t xml:space="preserve">’s </w:t>
      </w:r>
      <w:r w:rsidRPr="00BF240F">
        <w:rPr>
          <w:color w:val="000000"/>
          <w:szCs w:val="22"/>
          <w:bdr w:val="none" w:sz="0" w:space="0" w:color="auto" w:frame="1"/>
          <w:shd w:val="clear" w:color="auto" w:fill="FFFFFF"/>
        </w:rPr>
        <w:t>new</w:t>
      </w:r>
      <w:r w:rsidRPr="00BF240F">
        <w:rPr>
          <w:color w:val="000000"/>
          <w:szCs w:val="22"/>
          <w:shd w:val="clear" w:color="auto" w:fill="FFFFFF"/>
        </w:rPr>
        <w:t> </w:t>
      </w:r>
      <w:r w:rsidRPr="00BF240F">
        <w:rPr>
          <w:color w:val="000000"/>
          <w:szCs w:val="22"/>
          <w:bdr w:val="none" w:sz="0" w:space="0" w:color="auto" w:frame="1"/>
          <w:shd w:val="clear" w:color="auto" w:fill="FFFFFF"/>
        </w:rPr>
        <w:t>arguments</w:t>
      </w:r>
      <w:r w:rsidRPr="00BF240F">
        <w:rPr>
          <w:color w:val="000000"/>
          <w:szCs w:val="22"/>
          <w:shd w:val="clear" w:color="auto" w:fill="FFFFFF"/>
        </w:rPr>
        <w:t xml:space="preserve"> as procedurally barred.  </w:t>
      </w:r>
    </w:p>
    <w:p w:rsidR="000D5A6C" w:rsidRPr="001D1E34" w:rsidP="001D1E34" w14:paraId="79BFE2C8" w14:textId="63481880">
      <w:pPr>
        <w:pStyle w:val="ParaNum"/>
        <w:rPr>
          <w:szCs w:val="22"/>
        </w:rPr>
      </w:pPr>
      <w:r w:rsidRPr="00BF240F">
        <w:rPr>
          <w:rStyle w:val="Emphasis"/>
          <w:color w:val="1B1B1B"/>
          <w:szCs w:val="22"/>
          <w:shd w:val="clear" w:color="auto" w:fill="FFFFFF"/>
        </w:rPr>
        <w:t>Substantive</w:t>
      </w:r>
      <w:r w:rsidRPr="00BF240F">
        <w:rPr>
          <w:rStyle w:val="Emphasis"/>
          <w:i w:val="0"/>
          <w:iCs w:val="0"/>
          <w:color w:val="1B1B1B"/>
          <w:szCs w:val="22"/>
          <w:shd w:val="clear" w:color="auto" w:fill="FFFFFF"/>
        </w:rPr>
        <w:t xml:space="preserve">. </w:t>
      </w:r>
      <w:r w:rsidRPr="00C968E8" w:rsidR="00881CCC">
        <w:rPr>
          <w:color w:val="000000"/>
          <w:szCs w:val="22"/>
          <w:shd w:val="clear" w:color="auto" w:fill="FFFFFF"/>
        </w:rPr>
        <w:t xml:space="preserve"> </w:t>
      </w:r>
      <w:r w:rsidRPr="00BF240F" w:rsidR="001D1E34">
        <w:rPr>
          <w:color w:val="000000"/>
          <w:szCs w:val="22"/>
          <w:shd w:val="clear" w:color="auto" w:fill="FFFFFF"/>
        </w:rPr>
        <w:t xml:space="preserve">As an alternative and independent basis for our decision, we deny </w:t>
      </w:r>
      <w:r w:rsidR="001D1E34">
        <w:rPr>
          <w:color w:val="000000"/>
          <w:szCs w:val="22"/>
          <w:shd w:val="clear" w:color="auto" w:fill="FFFFFF"/>
        </w:rPr>
        <w:t>UOBN</w:t>
      </w:r>
      <w:r w:rsidRPr="00BF240F" w:rsidR="001D1E34">
        <w:rPr>
          <w:color w:val="000000"/>
          <w:szCs w:val="22"/>
          <w:shd w:val="clear" w:color="auto" w:fill="FFFFFF"/>
        </w:rPr>
        <w:t>’s arguments on the merits.</w:t>
      </w:r>
      <w:r w:rsidR="001D1E34">
        <w:rPr>
          <w:rStyle w:val="Emphasis"/>
          <w:i w:val="0"/>
          <w:iCs w:val="0"/>
          <w:color w:val="1B1B1B"/>
          <w:szCs w:val="22"/>
          <w:shd w:val="clear" w:color="auto" w:fill="FFFFFF"/>
        </w:rPr>
        <w:t xml:space="preserve">  </w:t>
      </w:r>
      <w:r w:rsidRPr="001D1E34" w:rsidR="002702A6">
        <w:rPr>
          <w:rStyle w:val="Emphasis"/>
          <w:i w:val="0"/>
          <w:iCs w:val="0"/>
          <w:color w:val="1B1B1B"/>
          <w:szCs w:val="22"/>
          <w:shd w:val="clear" w:color="auto" w:fill="FFFFFF"/>
        </w:rPr>
        <w:t>At</w:t>
      </w:r>
      <w:r w:rsidRPr="001D1E34" w:rsidR="00002890">
        <w:rPr>
          <w:rStyle w:val="Emphasis"/>
          <w:i w:val="0"/>
          <w:iCs w:val="0"/>
          <w:color w:val="1B1B1B"/>
          <w:szCs w:val="22"/>
          <w:shd w:val="clear" w:color="auto" w:fill="FFFFFF"/>
        </w:rPr>
        <w:t xml:space="preserve"> the outset, we reiterate our long-standing policy </w:t>
      </w:r>
      <w:r w:rsidRPr="001D1E34" w:rsidR="00002890">
        <w:rPr>
          <w:color w:val="3D3D3D"/>
          <w:szCs w:val="22"/>
          <w:shd w:val="clear" w:color="auto" w:fill="FFFFFF"/>
        </w:rPr>
        <w:t xml:space="preserve">that </w:t>
      </w:r>
      <w:r w:rsidRPr="00331662" w:rsidR="00002890">
        <w:rPr>
          <w:szCs w:val="22"/>
          <w:shd w:val="clear" w:color="auto" w:fill="FFFFFF"/>
        </w:rPr>
        <w:t>“</w:t>
      </w:r>
      <w:r w:rsidRPr="00331662" w:rsidR="0089651A">
        <w:rPr>
          <w:szCs w:val="22"/>
          <w:shd w:val="clear" w:color="auto" w:fill="FFFFFF"/>
        </w:rPr>
        <w:t xml:space="preserve">discrimination </w:t>
      </w:r>
      <w:r w:rsidRPr="00331662" w:rsidR="00002890">
        <w:rPr>
          <w:szCs w:val="22"/>
          <w:shd w:val="clear" w:color="auto" w:fill="FFFFFF"/>
        </w:rPr>
        <w:t>simply has no place” in the broadcast industry</w:t>
      </w:r>
      <w:r w:rsidRPr="005049F5" w:rsidR="0045465C">
        <w:rPr>
          <w:szCs w:val="22"/>
        </w:rPr>
        <w:t>,</w:t>
      </w:r>
      <w:r>
        <w:rPr>
          <w:rStyle w:val="FootnoteReference"/>
          <w:sz w:val="22"/>
          <w:szCs w:val="22"/>
        </w:rPr>
        <w:footnoteReference w:id="21"/>
      </w:r>
      <w:r w:rsidRPr="005049F5" w:rsidR="0045465C">
        <w:rPr>
          <w:szCs w:val="22"/>
        </w:rPr>
        <w:t xml:space="preserve"> and, accordingly, we take </w:t>
      </w:r>
      <w:r w:rsidRPr="001D1E34" w:rsidR="0045465C">
        <w:rPr>
          <w:szCs w:val="22"/>
        </w:rPr>
        <w:t>c</w:t>
      </w:r>
      <w:r w:rsidRPr="001D1E34" w:rsidR="00002890">
        <w:rPr>
          <w:szCs w:val="22"/>
        </w:rPr>
        <w:t xml:space="preserve">laims of discrimination </w:t>
      </w:r>
      <w:r w:rsidRPr="001D1E34" w:rsidR="002438EB">
        <w:rPr>
          <w:szCs w:val="22"/>
        </w:rPr>
        <w:t xml:space="preserve">in broadcasting </w:t>
      </w:r>
      <w:r w:rsidRPr="001D1E34" w:rsidR="00002890">
        <w:rPr>
          <w:szCs w:val="22"/>
        </w:rPr>
        <w:t xml:space="preserve">seriously.  </w:t>
      </w:r>
      <w:r w:rsidRPr="001D1E34" w:rsidR="00002890">
        <w:rPr>
          <w:szCs w:val="22"/>
          <w:shd w:val="clear" w:color="auto" w:fill="FFFFFF"/>
        </w:rPr>
        <w:t>Section 73.2090 of the Rules, explicitly prohibits any person or entity from engaging in discrimination on the basis of race, color, religion, national origin or sex in the sale of commercially operated AM, FM, TV, Class A TV or international broadcast stations.</w:t>
      </w:r>
      <w:r>
        <w:rPr>
          <w:rStyle w:val="FootnoteReference"/>
          <w:sz w:val="22"/>
          <w:szCs w:val="22"/>
          <w:shd w:val="clear" w:color="auto" w:fill="FFFFFF"/>
        </w:rPr>
        <w:footnoteReference w:id="22"/>
      </w:r>
      <w:r w:rsidRPr="001D1E34" w:rsidR="00002890">
        <w:rPr>
          <w:szCs w:val="22"/>
        </w:rPr>
        <w:t xml:space="preserve"> </w:t>
      </w:r>
      <w:r w:rsidRPr="001D1E34" w:rsidR="00002890">
        <w:rPr>
          <w:rStyle w:val="Emphasis"/>
          <w:i w:val="0"/>
          <w:iCs w:val="0"/>
          <w:szCs w:val="22"/>
          <w:shd w:val="clear" w:color="auto" w:fill="FFFFFF"/>
        </w:rPr>
        <w:t xml:space="preserve"> </w:t>
      </w:r>
      <w:r w:rsidR="001D1E34">
        <w:rPr>
          <w:szCs w:val="22"/>
        </w:rPr>
        <w:t>I</w:t>
      </w:r>
      <w:r w:rsidRPr="001D1E34" w:rsidR="0089651A">
        <w:rPr>
          <w:szCs w:val="22"/>
        </w:rPr>
        <w:t>n the context of an assignment of license or transfer of control application, section 73.2090 means that approval of any commercial broadcast transaction tainted by any type of discrimination within the ambit of the rule would be inconsistent with the public interest pursuant to section 310(d) of the Act.</w:t>
      </w:r>
      <w:r>
        <w:rPr>
          <w:rStyle w:val="FootnoteReference"/>
          <w:sz w:val="22"/>
          <w:szCs w:val="22"/>
        </w:rPr>
        <w:footnoteReference w:id="23"/>
      </w:r>
      <w:r w:rsidRPr="001D1E34" w:rsidR="0089651A">
        <w:rPr>
          <w:szCs w:val="22"/>
        </w:rPr>
        <w:t xml:space="preserve">  An objector, such as UOBN, however, must make a </w:t>
      </w:r>
      <w:r w:rsidRPr="001D1E34" w:rsidR="0089651A">
        <w:rPr>
          <w:i/>
          <w:iCs/>
          <w:szCs w:val="22"/>
        </w:rPr>
        <w:t xml:space="preserve">prima facie </w:t>
      </w:r>
      <w:r w:rsidRPr="001D1E34" w:rsidR="0089651A">
        <w:rPr>
          <w:szCs w:val="22"/>
        </w:rPr>
        <w:t>case that the transaction is tainted by such discrimination.</w:t>
      </w:r>
      <w:r>
        <w:rPr>
          <w:rStyle w:val="FootnoteReference"/>
          <w:sz w:val="22"/>
          <w:szCs w:val="22"/>
        </w:rPr>
        <w:footnoteReference w:id="24"/>
      </w:r>
      <w:r w:rsidRPr="001D1E34" w:rsidR="0089651A">
        <w:rPr>
          <w:szCs w:val="22"/>
        </w:rPr>
        <w:t xml:space="preserve">  </w:t>
      </w:r>
      <w:r w:rsidRPr="00331662" w:rsidR="005049F5">
        <w:t>The Bureau found</w:t>
      </w:r>
      <w:r w:rsidRPr="005049F5" w:rsidR="0089651A">
        <w:rPr>
          <w:szCs w:val="22"/>
        </w:rPr>
        <w:t>,</w:t>
      </w:r>
      <w:r w:rsidRPr="001D1E34" w:rsidR="0089651A">
        <w:rPr>
          <w:szCs w:val="22"/>
        </w:rPr>
        <w:t xml:space="preserve"> in this instance, that UOBN ha</w:t>
      </w:r>
      <w:r w:rsidR="005049F5">
        <w:rPr>
          <w:szCs w:val="22"/>
        </w:rPr>
        <w:t>d</w:t>
      </w:r>
      <w:r w:rsidRPr="001D1E34" w:rsidR="0089651A">
        <w:rPr>
          <w:szCs w:val="22"/>
        </w:rPr>
        <w:t xml:space="preserve"> failed to do so</w:t>
      </w:r>
      <w:r w:rsidR="005049F5">
        <w:rPr>
          <w:szCs w:val="22"/>
        </w:rPr>
        <w:t xml:space="preserve">, </w:t>
      </w:r>
      <w:r w:rsidRPr="00331662" w:rsidR="005049F5">
        <w:rPr>
          <w:color w:val="000000"/>
          <w:shd w:val="clear" w:color="auto" w:fill="FFFFFF"/>
        </w:rPr>
        <w:t>a decision UOBN does not challenge</w:t>
      </w:r>
      <w:r w:rsidR="005049F5">
        <w:rPr>
          <w:color w:val="000000"/>
          <w:shd w:val="clear" w:color="auto" w:fill="FFFFFF"/>
        </w:rPr>
        <w:t>.</w:t>
      </w:r>
      <w:r w:rsidRPr="001D1E34" w:rsidR="0089651A">
        <w:rPr>
          <w:szCs w:val="22"/>
        </w:rPr>
        <w:t xml:space="preserve"> </w:t>
      </w:r>
    </w:p>
    <w:p w:rsidR="000357A7" w:rsidRPr="00BF240F" w:rsidP="00D1470B" w14:paraId="14DE0F31" w14:textId="1D7F1C31">
      <w:pPr>
        <w:pStyle w:val="ParaNum"/>
        <w:widowControl/>
        <w:rPr>
          <w:rStyle w:val="Emphasis"/>
          <w:i w:val="0"/>
          <w:iCs w:val="0"/>
          <w:szCs w:val="22"/>
        </w:rPr>
      </w:pPr>
      <w:r>
        <w:rPr>
          <w:szCs w:val="22"/>
          <w:shd w:val="clear" w:color="auto" w:fill="FFFFFF"/>
        </w:rPr>
        <w:t>W</w:t>
      </w:r>
      <w:r w:rsidRPr="00BF240F">
        <w:rPr>
          <w:rStyle w:val="Emphasis"/>
          <w:i w:val="0"/>
          <w:iCs w:val="0"/>
          <w:color w:val="1B1B1B"/>
          <w:szCs w:val="22"/>
          <w:shd w:val="clear" w:color="auto" w:fill="FFFFFF"/>
        </w:rPr>
        <w:t xml:space="preserve">e </w:t>
      </w:r>
      <w:r w:rsidR="001D1E34">
        <w:rPr>
          <w:rStyle w:val="Emphasis"/>
          <w:i w:val="0"/>
          <w:iCs w:val="0"/>
          <w:color w:val="1B1B1B"/>
          <w:szCs w:val="22"/>
          <w:shd w:val="clear" w:color="auto" w:fill="FFFFFF"/>
        </w:rPr>
        <w:t xml:space="preserve">also </w:t>
      </w:r>
      <w:r w:rsidRPr="00BF240F">
        <w:rPr>
          <w:rStyle w:val="Emphasis"/>
          <w:i w:val="0"/>
          <w:iCs w:val="0"/>
          <w:color w:val="1B1B1B"/>
          <w:szCs w:val="22"/>
          <w:shd w:val="clear" w:color="auto" w:fill="FFFFFF"/>
        </w:rPr>
        <w:t xml:space="preserve">find </w:t>
      </w:r>
      <w:r w:rsidR="00172936">
        <w:rPr>
          <w:rStyle w:val="Emphasis"/>
          <w:i w:val="0"/>
          <w:iCs w:val="0"/>
          <w:color w:val="1B1B1B"/>
          <w:szCs w:val="22"/>
          <w:shd w:val="clear" w:color="auto" w:fill="FFFFFF"/>
        </w:rPr>
        <w:t>UOBN</w:t>
      </w:r>
      <w:r w:rsidRPr="00BF240F">
        <w:rPr>
          <w:rStyle w:val="Emphasis"/>
          <w:i w:val="0"/>
          <w:iCs w:val="0"/>
          <w:color w:val="1B1B1B"/>
          <w:szCs w:val="22"/>
          <w:shd w:val="clear" w:color="auto" w:fill="FFFFFF"/>
        </w:rPr>
        <w:t xml:space="preserve">’s reliance on </w:t>
      </w:r>
      <w:r w:rsidR="00FF4D67">
        <w:rPr>
          <w:rStyle w:val="Emphasis"/>
          <w:i w:val="0"/>
          <w:iCs w:val="0"/>
          <w:color w:val="1B1B1B"/>
          <w:szCs w:val="22"/>
          <w:shd w:val="clear" w:color="auto" w:fill="FFFFFF"/>
        </w:rPr>
        <w:t>“</w:t>
      </w:r>
      <w:r w:rsidRPr="00BF240F">
        <w:rPr>
          <w:rStyle w:val="Emphasis"/>
          <w:i w:val="0"/>
          <w:iCs w:val="0"/>
          <w:color w:val="1B1B1B"/>
          <w:szCs w:val="22"/>
          <w:shd w:val="clear" w:color="auto" w:fill="FFFFFF"/>
        </w:rPr>
        <w:t>Title VII</w:t>
      </w:r>
      <w:r w:rsidR="00FF4D67">
        <w:rPr>
          <w:rStyle w:val="Emphasis"/>
          <w:i w:val="0"/>
          <w:iCs w:val="0"/>
          <w:color w:val="1B1B1B"/>
          <w:szCs w:val="22"/>
          <w:shd w:val="clear" w:color="auto" w:fill="FFFFFF"/>
        </w:rPr>
        <w:t xml:space="preserve"> of the equal employment laws”</w:t>
      </w:r>
      <w:r w:rsidRPr="00BF240F">
        <w:rPr>
          <w:rStyle w:val="Emphasis"/>
          <w:i w:val="0"/>
          <w:iCs w:val="0"/>
          <w:color w:val="1B1B1B"/>
          <w:szCs w:val="22"/>
          <w:shd w:val="clear" w:color="auto" w:fill="FFFFFF"/>
        </w:rPr>
        <w:t xml:space="preserve"> and the disparate impact provisions contained therein is misplaced.</w:t>
      </w:r>
      <w:r>
        <w:rPr>
          <w:rStyle w:val="FootnoteReference"/>
          <w:szCs w:val="22"/>
          <w:shd w:val="clear" w:color="auto" w:fill="FFFFFF"/>
        </w:rPr>
        <w:footnoteReference w:id="25"/>
      </w:r>
      <w:r w:rsidRPr="00BF240F">
        <w:rPr>
          <w:rStyle w:val="Emphasis"/>
          <w:i w:val="0"/>
          <w:iCs w:val="0"/>
          <w:color w:val="1B1B1B"/>
          <w:szCs w:val="22"/>
          <w:shd w:val="clear" w:color="auto" w:fill="FFFFFF"/>
        </w:rPr>
        <w:t xml:space="preserve">  Title VII prohibits employment discrimination based on race, color, religion, sex and national</w:t>
      </w:r>
      <w:r w:rsidRPr="00BF240F" w:rsidR="008D7096">
        <w:rPr>
          <w:rStyle w:val="Emphasis"/>
          <w:i w:val="0"/>
          <w:iCs w:val="0"/>
          <w:color w:val="1B1B1B"/>
          <w:szCs w:val="22"/>
          <w:shd w:val="clear" w:color="auto" w:fill="FFFFFF"/>
        </w:rPr>
        <w:t xml:space="preserve"> origin</w:t>
      </w:r>
      <w:r w:rsidRPr="00BF240F">
        <w:rPr>
          <w:rStyle w:val="Emphasis"/>
          <w:i w:val="0"/>
          <w:iCs w:val="0"/>
          <w:color w:val="1B1B1B"/>
          <w:szCs w:val="22"/>
          <w:shd w:val="clear" w:color="auto" w:fill="FFFFFF"/>
        </w:rPr>
        <w:t>.</w:t>
      </w:r>
      <w:r>
        <w:rPr>
          <w:rStyle w:val="FootnoteReference"/>
          <w:sz w:val="22"/>
          <w:szCs w:val="22"/>
          <w:shd w:val="clear" w:color="auto" w:fill="FFFFFF"/>
        </w:rPr>
        <w:footnoteReference w:id="26"/>
      </w:r>
      <w:r w:rsidRPr="00BF240F">
        <w:rPr>
          <w:rStyle w:val="Emphasis"/>
          <w:i w:val="0"/>
          <w:iCs w:val="0"/>
          <w:color w:val="1B1B1B"/>
          <w:szCs w:val="22"/>
          <w:shd w:val="clear" w:color="auto" w:fill="FFFFFF"/>
        </w:rPr>
        <w:t xml:space="preserve">  </w:t>
      </w:r>
      <w:r w:rsidRPr="00BF240F" w:rsidR="00245E69">
        <w:rPr>
          <w:rStyle w:val="Emphasis"/>
          <w:i w:val="0"/>
          <w:iCs w:val="0"/>
          <w:color w:val="1B1B1B"/>
          <w:szCs w:val="22"/>
          <w:shd w:val="clear" w:color="auto" w:fill="FFFFFF"/>
        </w:rPr>
        <w:t xml:space="preserve">Specifically, </w:t>
      </w:r>
      <w:r w:rsidRPr="00BF240F">
        <w:rPr>
          <w:rStyle w:val="Emphasis"/>
          <w:i w:val="0"/>
          <w:iCs w:val="0"/>
          <w:color w:val="1B1B1B"/>
          <w:szCs w:val="22"/>
          <w:shd w:val="clear" w:color="auto" w:fill="FFFFFF"/>
        </w:rPr>
        <w:t xml:space="preserve">Title VII protects employees from discrimination from their employers.  The instant case does not involve any discriminatory practices occurring within an employer/employee relationship.  </w:t>
      </w:r>
      <w:r w:rsidRPr="00BF240F" w:rsidR="00245E69">
        <w:rPr>
          <w:rStyle w:val="Emphasis"/>
          <w:i w:val="0"/>
          <w:iCs w:val="0"/>
          <w:color w:val="1B1B1B"/>
          <w:szCs w:val="22"/>
          <w:shd w:val="clear" w:color="auto" w:fill="FFFFFF"/>
        </w:rPr>
        <w:t xml:space="preserve">We therefore deny </w:t>
      </w:r>
      <w:r w:rsidR="00172936">
        <w:rPr>
          <w:rStyle w:val="Emphasis"/>
          <w:i w:val="0"/>
          <w:iCs w:val="0"/>
          <w:color w:val="1B1B1B"/>
          <w:szCs w:val="22"/>
          <w:shd w:val="clear" w:color="auto" w:fill="FFFFFF"/>
        </w:rPr>
        <w:t>UOBN</w:t>
      </w:r>
      <w:r w:rsidRPr="00BF240F" w:rsidR="00245E69">
        <w:rPr>
          <w:rStyle w:val="Emphasis"/>
          <w:i w:val="0"/>
          <w:iCs w:val="0"/>
          <w:color w:val="1B1B1B"/>
          <w:szCs w:val="22"/>
          <w:shd w:val="clear" w:color="auto" w:fill="FFFFFF"/>
        </w:rPr>
        <w:t xml:space="preserve">’s </w:t>
      </w:r>
      <w:r w:rsidR="00B344D6">
        <w:rPr>
          <w:rStyle w:val="Emphasis"/>
          <w:i w:val="0"/>
          <w:iCs w:val="0"/>
          <w:color w:val="1B1B1B"/>
          <w:szCs w:val="22"/>
          <w:shd w:val="clear" w:color="auto" w:fill="FFFFFF"/>
        </w:rPr>
        <w:t>request th</w:t>
      </w:r>
      <w:r w:rsidR="00DF4945">
        <w:rPr>
          <w:rStyle w:val="Emphasis"/>
          <w:i w:val="0"/>
          <w:iCs w:val="0"/>
          <w:color w:val="1B1B1B"/>
          <w:szCs w:val="22"/>
          <w:shd w:val="clear" w:color="auto" w:fill="FFFFFF"/>
        </w:rPr>
        <w:t>at</w:t>
      </w:r>
      <w:r w:rsidR="00B344D6">
        <w:rPr>
          <w:rStyle w:val="Emphasis"/>
          <w:i w:val="0"/>
          <w:iCs w:val="0"/>
          <w:color w:val="1B1B1B"/>
          <w:szCs w:val="22"/>
          <w:shd w:val="clear" w:color="auto" w:fill="FFFFFF"/>
        </w:rPr>
        <w:t xml:space="preserve"> we </w:t>
      </w:r>
      <w:r w:rsidRPr="001D5D5F" w:rsidR="00B344D6">
        <w:rPr>
          <w:szCs w:val="22"/>
        </w:rPr>
        <w:t xml:space="preserve">conduct an inquiry into whether SportsTalk’s actions had a disparate impact on </w:t>
      </w:r>
      <w:r w:rsidR="00172936">
        <w:rPr>
          <w:szCs w:val="22"/>
        </w:rPr>
        <w:t>UOBN</w:t>
      </w:r>
      <w:r w:rsidRPr="00BF240F" w:rsidR="00245E69">
        <w:rPr>
          <w:rStyle w:val="Emphasis"/>
          <w:i w:val="0"/>
          <w:iCs w:val="0"/>
          <w:color w:val="1B1B1B"/>
          <w:szCs w:val="22"/>
          <w:shd w:val="clear" w:color="auto" w:fill="FFFFFF"/>
        </w:rPr>
        <w:t>.</w:t>
      </w:r>
      <w:r w:rsidRPr="00BF240F">
        <w:rPr>
          <w:rStyle w:val="Emphasis"/>
          <w:i w:val="0"/>
          <w:iCs w:val="0"/>
          <w:color w:val="1B1B1B"/>
          <w:szCs w:val="22"/>
          <w:shd w:val="clear" w:color="auto" w:fill="FFFFFF"/>
        </w:rPr>
        <w:t xml:space="preserve"> </w:t>
      </w:r>
      <w:r w:rsidRPr="00BF240F" w:rsidR="00A52871">
        <w:rPr>
          <w:rStyle w:val="Emphasis"/>
          <w:i w:val="0"/>
          <w:iCs w:val="0"/>
          <w:color w:val="1B1B1B"/>
          <w:szCs w:val="22"/>
          <w:shd w:val="clear" w:color="auto" w:fill="FFFFFF"/>
        </w:rPr>
        <w:t xml:space="preserve"> In any event, </w:t>
      </w:r>
      <w:r w:rsidR="00321165">
        <w:rPr>
          <w:rStyle w:val="Emphasis"/>
          <w:i w:val="0"/>
          <w:iCs w:val="0"/>
          <w:color w:val="1B1B1B"/>
          <w:szCs w:val="22"/>
          <w:shd w:val="clear" w:color="auto" w:fill="FFFFFF"/>
        </w:rPr>
        <w:t xml:space="preserve">we note that the appropriate venue for a Title VII claim is not the Commission but rather </w:t>
      </w:r>
      <w:r w:rsidRPr="00BF240F" w:rsidR="00565367">
        <w:rPr>
          <w:rStyle w:val="Emphasis"/>
          <w:i w:val="0"/>
          <w:iCs w:val="0"/>
          <w:color w:val="1B1B1B"/>
          <w:szCs w:val="22"/>
          <w:shd w:val="clear" w:color="auto" w:fill="FFFFFF"/>
        </w:rPr>
        <w:t>the</w:t>
      </w:r>
      <w:r w:rsidRPr="00BF240F" w:rsidR="00422467">
        <w:rPr>
          <w:rStyle w:val="Emphasis"/>
          <w:i w:val="0"/>
          <w:iCs w:val="0"/>
          <w:color w:val="1B1B1B"/>
          <w:szCs w:val="22"/>
          <w:shd w:val="clear" w:color="auto" w:fill="FFFFFF"/>
        </w:rPr>
        <w:t xml:space="preserve"> Equal Employment Opportunity Commissio</w:t>
      </w:r>
      <w:r w:rsidR="00321165">
        <w:rPr>
          <w:rStyle w:val="Emphasis"/>
          <w:i w:val="0"/>
          <w:iCs w:val="0"/>
          <w:color w:val="1B1B1B"/>
          <w:szCs w:val="22"/>
          <w:shd w:val="clear" w:color="auto" w:fill="FFFFFF"/>
        </w:rPr>
        <w:t>n</w:t>
      </w:r>
      <w:r w:rsidRPr="00BF240F" w:rsidR="00147998">
        <w:rPr>
          <w:rStyle w:val="Emphasis"/>
          <w:i w:val="0"/>
          <w:iCs w:val="0"/>
          <w:color w:val="1B1B1B"/>
          <w:szCs w:val="22"/>
          <w:shd w:val="clear" w:color="auto" w:fill="FFFFFF"/>
        </w:rPr>
        <w:t xml:space="preserve"> </w:t>
      </w:r>
      <w:r w:rsidRPr="00BF240F" w:rsidR="00D85B56">
        <w:rPr>
          <w:rStyle w:val="Emphasis"/>
          <w:i w:val="0"/>
          <w:iCs w:val="0"/>
          <w:color w:val="1B1B1B"/>
          <w:szCs w:val="22"/>
          <w:shd w:val="clear" w:color="auto" w:fill="FFFFFF"/>
        </w:rPr>
        <w:t>and a federal court of competent jurisdiction.</w:t>
      </w:r>
      <w:r>
        <w:rPr>
          <w:rStyle w:val="FootnoteReference"/>
          <w:sz w:val="22"/>
          <w:szCs w:val="22"/>
          <w:shd w:val="clear" w:color="auto" w:fill="FFFFFF"/>
        </w:rPr>
        <w:footnoteReference w:id="27"/>
      </w:r>
      <w:r w:rsidRPr="00BF240F" w:rsidR="00D85B56">
        <w:rPr>
          <w:rStyle w:val="Emphasis"/>
          <w:i w:val="0"/>
          <w:iCs w:val="0"/>
          <w:color w:val="1B1B1B"/>
          <w:szCs w:val="22"/>
          <w:shd w:val="clear" w:color="auto" w:fill="FFFFFF"/>
        </w:rPr>
        <w:t xml:space="preserve"> </w:t>
      </w:r>
      <w:r w:rsidRPr="00BF240F">
        <w:rPr>
          <w:rStyle w:val="Emphasis"/>
          <w:i w:val="0"/>
          <w:iCs w:val="0"/>
          <w:color w:val="1B1B1B"/>
          <w:szCs w:val="22"/>
          <w:shd w:val="clear" w:color="auto" w:fill="FFFFFF"/>
        </w:rPr>
        <w:t xml:space="preserve"> </w:t>
      </w:r>
      <w:r w:rsidRPr="00BE340D" w:rsidR="00B62865">
        <w:rPr>
          <w:color w:val="1B1B1B"/>
          <w:szCs w:val="22"/>
          <w:shd w:val="clear" w:color="auto" w:fill="FFFFFF"/>
        </w:rPr>
        <w:t xml:space="preserve"> </w:t>
      </w:r>
    </w:p>
    <w:p w:rsidR="000357A7" w:rsidRPr="00BF240F" w:rsidP="001D79F1" w14:paraId="25F98F4A" w14:textId="02636720">
      <w:pPr>
        <w:pStyle w:val="ParaNum"/>
        <w:rPr>
          <w:rStyle w:val="Emphasis"/>
          <w:i w:val="0"/>
          <w:iCs w:val="0"/>
          <w:szCs w:val="22"/>
        </w:rPr>
      </w:pPr>
      <w:r w:rsidRPr="00BF240F">
        <w:rPr>
          <w:rStyle w:val="Emphasis"/>
          <w:i w:val="0"/>
          <w:iCs w:val="0"/>
          <w:szCs w:val="22"/>
        </w:rPr>
        <w:t xml:space="preserve">We similarly reject </w:t>
      </w:r>
      <w:r w:rsidR="00172936">
        <w:rPr>
          <w:rStyle w:val="Emphasis"/>
          <w:i w:val="0"/>
          <w:iCs w:val="0"/>
          <w:szCs w:val="22"/>
        </w:rPr>
        <w:t>UOBN</w:t>
      </w:r>
      <w:r w:rsidRPr="00BF240F">
        <w:rPr>
          <w:rStyle w:val="Emphasis"/>
          <w:i w:val="0"/>
          <w:iCs w:val="0"/>
          <w:szCs w:val="22"/>
        </w:rPr>
        <w:t xml:space="preserve">’s </w:t>
      </w:r>
      <w:r w:rsidR="00321165">
        <w:rPr>
          <w:rStyle w:val="Emphasis"/>
          <w:i w:val="0"/>
          <w:iCs w:val="0"/>
          <w:szCs w:val="22"/>
        </w:rPr>
        <w:t xml:space="preserve">contention </w:t>
      </w:r>
      <w:r w:rsidR="00920ED8">
        <w:rPr>
          <w:szCs w:val="22"/>
        </w:rPr>
        <w:t>that</w:t>
      </w:r>
      <w:r w:rsidR="0078145C">
        <w:rPr>
          <w:szCs w:val="22"/>
        </w:rPr>
        <w:t xml:space="preserve"> the </w:t>
      </w:r>
      <w:r w:rsidRPr="00247A4C" w:rsidR="0078145C">
        <w:rPr>
          <w:i/>
          <w:iCs/>
          <w:szCs w:val="22"/>
        </w:rPr>
        <w:t>Staff Letter</w:t>
      </w:r>
      <w:r w:rsidR="0078145C">
        <w:rPr>
          <w:szCs w:val="22"/>
        </w:rPr>
        <w:t xml:space="preserve"> is inconsistent</w:t>
      </w:r>
      <w:r w:rsidR="000D5A92">
        <w:rPr>
          <w:szCs w:val="22"/>
        </w:rPr>
        <w:t xml:space="preserve"> with</w:t>
      </w:r>
      <w:r w:rsidR="00920ED8">
        <w:rPr>
          <w:szCs w:val="22"/>
        </w:rPr>
        <w:t xml:space="preserve"> </w:t>
      </w:r>
      <w:r w:rsidRPr="00BE340D" w:rsidR="009B0F5D">
        <w:rPr>
          <w:i/>
          <w:iCs/>
          <w:szCs w:val="22"/>
        </w:rPr>
        <w:t>Metro Broadcasting, Adarand</w:t>
      </w:r>
      <w:r w:rsidRPr="00BE340D" w:rsidR="009B0F5D">
        <w:rPr>
          <w:szCs w:val="22"/>
        </w:rPr>
        <w:t xml:space="preserve">, and </w:t>
      </w:r>
      <w:r w:rsidRPr="00BE340D" w:rsidR="009B0F5D">
        <w:rPr>
          <w:i/>
          <w:iCs/>
          <w:szCs w:val="22"/>
        </w:rPr>
        <w:t>Lutheran Church</w:t>
      </w:r>
      <w:r w:rsidRPr="00E8319E" w:rsidR="00920ED8">
        <w:rPr>
          <w:szCs w:val="22"/>
        </w:rPr>
        <w:t>.</w:t>
      </w:r>
      <w:r>
        <w:rPr>
          <w:rStyle w:val="FootnoteReference"/>
          <w:szCs w:val="22"/>
        </w:rPr>
        <w:footnoteReference w:id="28"/>
      </w:r>
      <w:r w:rsidR="00B77E91">
        <w:rPr>
          <w:szCs w:val="22"/>
        </w:rPr>
        <w:t xml:space="preserve">  </w:t>
      </w:r>
      <w:r w:rsidR="00641917">
        <w:rPr>
          <w:szCs w:val="22"/>
        </w:rPr>
        <w:t>We</w:t>
      </w:r>
      <w:r w:rsidRPr="00BF240F">
        <w:rPr>
          <w:color w:val="000000"/>
          <w:szCs w:val="22"/>
        </w:rPr>
        <w:t xml:space="preserve"> find </w:t>
      </w:r>
      <w:r w:rsidR="00172936">
        <w:rPr>
          <w:color w:val="000000"/>
          <w:szCs w:val="22"/>
        </w:rPr>
        <w:t>UOBN</w:t>
      </w:r>
      <w:r w:rsidRPr="00BF240F">
        <w:rPr>
          <w:color w:val="000000"/>
          <w:szCs w:val="22"/>
        </w:rPr>
        <w:t xml:space="preserve">’s </w:t>
      </w:r>
      <w:r w:rsidRPr="00BF240F" w:rsidR="008703A1">
        <w:rPr>
          <w:color w:val="000000"/>
          <w:szCs w:val="22"/>
        </w:rPr>
        <w:t xml:space="preserve">reliance </w:t>
      </w:r>
      <w:r w:rsidRPr="00BF240F" w:rsidR="00FD530E">
        <w:rPr>
          <w:color w:val="000000"/>
          <w:szCs w:val="22"/>
        </w:rPr>
        <w:t xml:space="preserve">on these judicial decisions </w:t>
      </w:r>
      <w:r w:rsidRPr="00BF240F" w:rsidR="006B0B73">
        <w:rPr>
          <w:color w:val="000000"/>
          <w:szCs w:val="22"/>
        </w:rPr>
        <w:t>to be misplaced</w:t>
      </w:r>
      <w:r w:rsidRPr="00BF240F" w:rsidR="008703A1">
        <w:rPr>
          <w:color w:val="000000"/>
          <w:szCs w:val="22"/>
        </w:rPr>
        <w:t xml:space="preserve"> because none of </w:t>
      </w:r>
      <w:r w:rsidRPr="00BF240F" w:rsidR="00FD530E">
        <w:rPr>
          <w:color w:val="000000"/>
          <w:szCs w:val="22"/>
        </w:rPr>
        <w:t xml:space="preserve">the decisions </w:t>
      </w:r>
      <w:r w:rsidRPr="00BF240F" w:rsidR="008703A1">
        <w:rPr>
          <w:color w:val="000000"/>
          <w:szCs w:val="22"/>
        </w:rPr>
        <w:t>dealt with the matter at hand—allegations of racial discrimination in a private contractual dispute</w:t>
      </w:r>
      <w:r w:rsidRPr="00BF240F" w:rsidR="00FD530E">
        <w:rPr>
          <w:color w:val="000000"/>
          <w:szCs w:val="22"/>
        </w:rPr>
        <w:t>.</w:t>
      </w:r>
      <w:r w:rsidR="004F2718">
        <w:rPr>
          <w:color w:val="000000"/>
          <w:szCs w:val="22"/>
        </w:rPr>
        <w:t xml:space="preserve">  </w:t>
      </w:r>
      <w:r w:rsidR="003C270B">
        <w:rPr>
          <w:szCs w:val="22"/>
        </w:rPr>
        <w:t>B</w:t>
      </w:r>
      <w:r w:rsidR="00641917">
        <w:rPr>
          <w:szCs w:val="22"/>
        </w:rPr>
        <w:t>ased</w:t>
      </w:r>
      <w:r w:rsidRPr="00BF240F" w:rsidR="0026591C">
        <w:rPr>
          <w:szCs w:val="22"/>
          <w:shd w:val="clear" w:color="auto" w:fill="FFFFFF"/>
        </w:rPr>
        <w:t xml:space="preserve"> on the record before us</w:t>
      </w:r>
      <w:r w:rsidR="00B5674F">
        <w:rPr>
          <w:szCs w:val="22"/>
          <w:shd w:val="clear" w:color="auto" w:fill="FFFFFF"/>
        </w:rPr>
        <w:t xml:space="preserve"> and </w:t>
      </w:r>
      <w:r w:rsidR="00172936">
        <w:rPr>
          <w:szCs w:val="22"/>
          <w:shd w:val="clear" w:color="auto" w:fill="FFFFFF"/>
        </w:rPr>
        <w:t>UOBN</w:t>
      </w:r>
      <w:r w:rsidR="00B5674F">
        <w:rPr>
          <w:szCs w:val="22"/>
          <w:shd w:val="clear" w:color="auto" w:fill="FFFFFF"/>
        </w:rPr>
        <w:t xml:space="preserve">’s failure to challenge the Bureau’s finding </w:t>
      </w:r>
      <w:r w:rsidR="00971718">
        <w:rPr>
          <w:szCs w:val="22"/>
          <w:shd w:val="clear" w:color="auto" w:fill="FFFFFF"/>
        </w:rPr>
        <w:t xml:space="preserve">that </w:t>
      </w:r>
      <w:r w:rsidR="00172936">
        <w:rPr>
          <w:szCs w:val="22"/>
          <w:shd w:val="clear" w:color="auto" w:fill="FFFFFF"/>
        </w:rPr>
        <w:t>UOBN</w:t>
      </w:r>
      <w:r w:rsidR="00971718">
        <w:rPr>
          <w:szCs w:val="22"/>
          <w:shd w:val="clear" w:color="auto" w:fill="FFFFFF"/>
        </w:rPr>
        <w:t xml:space="preserve"> did not establish a </w:t>
      </w:r>
      <w:r w:rsidRPr="00971718" w:rsidR="00971718">
        <w:rPr>
          <w:i/>
          <w:iCs/>
          <w:szCs w:val="22"/>
          <w:shd w:val="clear" w:color="auto" w:fill="FFFFFF"/>
        </w:rPr>
        <w:t>prima facie</w:t>
      </w:r>
      <w:r w:rsidR="00971718">
        <w:rPr>
          <w:szCs w:val="22"/>
          <w:shd w:val="clear" w:color="auto" w:fill="FFFFFF"/>
        </w:rPr>
        <w:t xml:space="preserve"> case of a </w:t>
      </w:r>
      <w:r w:rsidR="00B5674F">
        <w:rPr>
          <w:szCs w:val="22"/>
          <w:shd w:val="clear" w:color="auto" w:fill="FFFFFF"/>
        </w:rPr>
        <w:t xml:space="preserve">violation of </w:t>
      </w:r>
      <w:r w:rsidR="00B5674F">
        <w:rPr>
          <w:szCs w:val="22"/>
        </w:rPr>
        <w:t>Section 73.2090,</w:t>
      </w:r>
      <w:r>
        <w:rPr>
          <w:rStyle w:val="FootnoteReference"/>
          <w:szCs w:val="22"/>
        </w:rPr>
        <w:footnoteReference w:id="29"/>
      </w:r>
      <w:r w:rsidRPr="00BF240F" w:rsidR="0026591C">
        <w:rPr>
          <w:szCs w:val="22"/>
          <w:shd w:val="clear" w:color="auto" w:fill="FFFFFF"/>
        </w:rPr>
        <w:t xml:space="preserve"> w</w:t>
      </w:r>
      <w:r w:rsidRPr="00BF240F">
        <w:rPr>
          <w:snapToGrid/>
          <w:szCs w:val="22"/>
        </w:rPr>
        <w:t xml:space="preserve">e agree </w:t>
      </w:r>
      <w:r w:rsidRPr="00BF240F" w:rsidR="004A43FA">
        <w:rPr>
          <w:snapToGrid/>
          <w:szCs w:val="22"/>
        </w:rPr>
        <w:t xml:space="preserve">with the </w:t>
      </w:r>
      <w:r w:rsidRPr="00BF240F" w:rsidR="00B10B73">
        <w:rPr>
          <w:i/>
          <w:iCs/>
          <w:snapToGrid/>
          <w:szCs w:val="22"/>
        </w:rPr>
        <w:t xml:space="preserve">Staff </w:t>
      </w:r>
      <w:r w:rsidRPr="00BF240F" w:rsidR="004A43FA">
        <w:rPr>
          <w:i/>
          <w:iCs/>
          <w:snapToGrid/>
          <w:szCs w:val="22"/>
        </w:rPr>
        <w:t>Letter</w:t>
      </w:r>
      <w:r w:rsidRPr="00BF240F" w:rsidR="004A43FA">
        <w:rPr>
          <w:snapToGrid/>
          <w:szCs w:val="22"/>
        </w:rPr>
        <w:t xml:space="preserve">’s determination </w:t>
      </w:r>
      <w:r w:rsidRPr="00BF240F">
        <w:rPr>
          <w:snapToGrid/>
          <w:szCs w:val="22"/>
        </w:rPr>
        <w:t xml:space="preserve">that </w:t>
      </w:r>
      <w:r w:rsidRPr="00BF240F" w:rsidR="004A43FA">
        <w:rPr>
          <w:szCs w:val="22"/>
        </w:rPr>
        <w:t xml:space="preserve">this case involves </w:t>
      </w:r>
      <w:r w:rsidRPr="00BF240F">
        <w:rPr>
          <w:szCs w:val="22"/>
        </w:rPr>
        <w:t xml:space="preserve">a private </w:t>
      </w:r>
      <w:r w:rsidR="00920ED8">
        <w:rPr>
          <w:szCs w:val="22"/>
        </w:rPr>
        <w:t xml:space="preserve">contractual </w:t>
      </w:r>
      <w:r w:rsidRPr="00BF240F">
        <w:rPr>
          <w:szCs w:val="22"/>
        </w:rPr>
        <w:t xml:space="preserve">dispute </w:t>
      </w:r>
      <w:r w:rsidR="00920ED8">
        <w:rPr>
          <w:szCs w:val="22"/>
        </w:rPr>
        <w:t xml:space="preserve">that is </w:t>
      </w:r>
      <w:r w:rsidRPr="00BF240F" w:rsidR="002C36A2">
        <w:rPr>
          <w:szCs w:val="22"/>
        </w:rPr>
        <w:t>inappropriate for Commission resolution</w:t>
      </w:r>
      <w:r w:rsidRPr="00BF240F">
        <w:rPr>
          <w:szCs w:val="22"/>
        </w:rPr>
        <w:t>.</w:t>
      </w:r>
      <w:r>
        <w:rPr>
          <w:rStyle w:val="FootnoteReference"/>
          <w:szCs w:val="22"/>
        </w:rPr>
        <w:footnoteReference w:id="30"/>
      </w:r>
      <w:r w:rsidRPr="00BF240F">
        <w:rPr>
          <w:szCs w:val="22"/>
        </w:rPr>
        <w:t xml:space="preserve">  </w:t>
      </w:r>
      <w:r w:rsidRPr="00BE340D">
        <w:rPr>
          <w:szCs w:val="22"/>
        </w:rPr>
        <w:t xml:space="preserve">Accordingly, we </w:t>
      </w:r>
      <w:r w:rsidR="001A0560">
        <w:rPr>
          <w:szCs w:val="22"/>
        </w:rPr>
        <w:t xml:space="preserve">reject </w:t>
      </w:r>
      <w:r w:rsidR="00172936">
        <w:rPr>
          <w:szCs w:val="22"/>
        </w:rPr>
        <w:t>UOBN</w:t>
      </w:r>
      <w:r w:rsidR="001A0560">
        <w:rPr>
          <w:szCs w:val="22"/>
        </w:rPr>
        <w:t xml:space="preserve">’s claim. </w:t>
      </w:r>
    </w:p>
    <w:p w:rsidR="001A0560" w:rsidRPr="00A76F2F" w:rsidP="00493943" w14:paraId="6ECBA4E4" w14:textId="796FF118">
      <w:pPr>
        <w:pStyle w:val="ParaNum"/>
        <w:rPr>
          <w:rFonts w:eastAsiaTheme="minorHAnsi"/>
          <w:snapToGrid/>
          <w:kern w:val="0"/>
          <w:szCs w:val="22"/>
        </w:rPr>
      </w:pPr>
      <w:r>
        <w:rPr>
          <w:rStyle w:val="Emphasis"/>
          <w:i w:val="0"/>
          <w:iCs w:val="0"/>
          <w:szCs w:val="22"/>
        </w:rPr>
        <w:t xml:space="preserve">Finally, we reject </w:t>
      </w:r>
      <w:r w:rsidR="00172936">
        <w:rPr>
          <w:rStyle w:val="Emphasis"/>
          <w:i w:val="0"/>
          <w:iCs w:val="0"/>
          <w:szCs w:val="22"/>
        </w:rPr>
        <w:t>UOBN</w:t>
      </w:r>
      <w:r>
        <w:rPr>
          <w:rStyle w:val="Emphasis"/>
          <w:i w:val="0"/>
          <w:iCs w:val="0"/>
          <w:szCs w:val="22"/>
        </w:rPr>
        <w:t xml:space="preserve">’s </w:t>
      </w:r>
      <w:r w:rsidRPr="00BF240F" w:rsidR="000357A7">
        <w:rPr>
          <w:rStyle w:val="Emphasis"/>
          <w:i w:val="0"/>
          <w:iCs w:val="0"/>
          <w:szCs w:val="22"/>
        </w:rPr>
        <w:t>alleg</w:t>
      </w:r>
      <w:r>
        <w:rPr>
          <w:rStyle w:val="Emphasis"/>
          <w:i w:val="0"/>
          <w:iCs w:val="0"/>
          <w:szCs w:val="22"/>
        </w:rPr>
        <w:t>ation</w:t>
      </w:r>
      <w:r w:rsidRPr="00BF240F" w:rsidR="000357A7">
        <w:rPr>
          <w:rStyle w:val="Emphasis"/>
          <w:i w:val="0"/>
          <w:iCs w:val="0"/>
          <w:szCs w:val="22"/>
        </w:rPr>
        <w:t xml:space="preserve"> that the Commission failed to act in accordance with </w:t>
      </w:r>
      <w:r w:rsidRPr="00BF240F" w:rsidR="009A1530">
        <w:rPr>
          <w:rStyle w:val="Emphasis"/>
          <w:i w:val="0"/>
          <w:iCs w:val="0"/>
          <w:szCs w:val="22"/>
        </w:rPr>
        <w:t>s</w:t>
      </w:r>
      <w:r w:rsidRPr="00BF240F" w:rsidR="000357A7">
        <w:rPr>
          <w:rStyle w:val="Emphasis"/>
          <w:i w:val="0"/>
          <w:iCs w:val="0"/>
          <w:szCs w:val="22"/>
        </w:rPr>
        <w:t>ection 309</w:t>
      </w:r>
      <w:r w:rsidRPr="00BF240F" w:rsidR="009203E2">
        <w:rPr>
          <w:rStyle w:val="Emphasis"/>
          <w:i w:val="0"/>
          <w:iCs w:val="0"/>
          <w:szCs w:val="22"/>
        </w:rPr>
        <w:t xml:space="preserve"> </w:t>
      </w:r>
      <w:r w:rsidRPr="00BF240F" w:rsidR="000357A7">
        <w:rPr>
          <w:rStyle w:val="Emphasis"/>
          <w:i w:val="0"/>
          <w:iCs w:val="0"/>
          <w:szCs w:val="22"/>
        </w:rPr>
        <w:t>of the Act</w:t>
      </w:r>
      <w:r>
        <w:rPr>
          <w:rStyle w:val="Emphasis"/>
          <w:i w:val="0"/>
          <w:iCs w:val="0"/>
          <w:szCs w:val="22"/>
        </w:rPr>
        <w:t>.</w:t>
      </w:r>
      <w:r>
        <w:rPr>
          <w:rStyle w:val="FootnoteReference"/>
          <w:sz w:val="22"/>
          <w:szCs w:val="22"/>
        </w:rPr>
        <w:footnoteReference w:id="31"/>
      </w:r>
      <w:r w:rsidRPr="00BF240F" w:rsidR="000357A7">
        <w:rPr>
          <w:rStyle w:val="Emphasis"/>
          <w:i w:val="0"/>
          <w:iCs w:val="0"/>
          <w:szCs w:val="22"/>
        </w:rPr>
        <w:t xml:space="preserve">  </w:t>
      </w:r>
      <w:r w:rsidR="00172936">
        <w:rPr>
          <w:rStyle w:val="Emphasis"/>
          <w:i w:val="0"/>
          <w:iCs w:val="0"/>
          <w:szCs w:val="22"/>
        </w:rPr>
        <w:t>UOBN</w:t>
      </w:r>
      <w:r w:rsidRPr="00BF240F" w:rsidR="000357A7">
        <w:rPr>
          <w:rStyle w:val="Emphasis"/>
          <w:i w:val="0"/>
          <w:iCs w:val="0"/>
          <w:szCs w:val="22"/>
        </w:rPr>
        <w:t xml:space="preserve"> posits that </w:t>
      </w:r>
      <w:r w:rsidRPr="00BF240F" w:rsidR="008F3635">
        <w:rPr>
          <w:rStyle w:val="Emphasis"/>
          <w:i w:val="0"/>
          <w:iCs w:val="0"/>
          <w:szCs w:val="22"/>
        </w:rPr>
        <w:t xml:space="preserve">the Bureau should have favored </w:t>
      </w:r>
      <w:r w:rsidR="00172936">
        <w:rPr>
          <w:rStyle w:val="Emphasis"/>
          <w:i w:val="0"/>
          <w:iCs w:val="0"/>
          <w:szCs w:val="22"/>
        </w:rPr>
        <w:t>UOBN</w:t>
      </w:r>
      <w:r w:rsidRPr="00BF240F" w:rsidR="008F3635">
        <w:rPr>
          <w:rStyle w:val="Emphasis"/>
          <w:i w:val="0"/>
          <w:iCs w:val="0"/>
          <w:szCs w:val="22"/>
        </w:rPr>
        <w:t xml:space="preserve"> </w:t>
      </w:r>
      <w:r w:rsidRPr="00BF240F" w:rsidR="000357A7">
        <w:rPr>
          <w:rStyle w:val="Emphasis"/>
          <w:i w:val="0"/>
          <w:iCs w:val="0"/>
          <w:szCs w:val="22"/>
        </w:rPr>
        <w:t>because</w:t>
      </w:r>
      <w:r w:rsidRPr="00BF240F" w:rsidR="008F3635">
        <w:rPr>
          <w:rStyle w:val="Emphasis"/>
          <w:i w:val="0"/>
          <w:iCs w:val="0"/>
          <w:szCs w:val="22"/>
        </w:rPr>
        <w:t xml:space="preserve">, it </w:t>
      </w:r>
      <w:r w:rsidRPr="00BF240F" w:rsidR="004E6914">
        <w:rPr>
          <w:rStyle w:val="Emphasis"/>
          <w:i w:val="0"/>
          <w:iCs w:val="0"/>
          <w:szCs w:val="22"/>
        </w:rPr>
        <w:t>states</w:t>
      </w:r>
      <w:r w:rsidRPr="00BF240F" w:rsidR="008F3635">
        <w:rPr>
          <w:rStyle w:val="Emphasis"/>
          <w:i w:val="0"/>
          <w:iCs w:val="0"/>
          <w:szCs w:val="22"/>
        </w:rPr>
        <w:t>,</w:t>
      </w:r>
      <w:r w:rsidRPr="00BF240F" w:rsidR="000357A7">
        <w:rPr>
          <w:rStyle w:val="Emphasis"/>
          <w:i w:val="0"/>
          <w:iCs w:val="0"/>
          <w:szCs w:val="22"/>
        </w:rPr>
        <w:t xml:space="preserve"> there are no commercial radio stations </w:t>
      </w:r>
      <w:r w:rsidRPr="00BF240F" w:rsidR="008F3635">
        <w:rPr>
          <w:rStyle w:val="Emphasis"/>
          <w:i w:val="0"/>
          <w:iCs w:val="0"/>
          <w:szCs w:val="22"/>
        </w:rPr>
        <w:t xml:space="preserve">in the Gainesville-Ocala Florida markets </w:t>
      </w:r>
      <w:r w:rsidRPr="00BF240F" w:rsidR="000357A7">
        <w:rPr>
          <w:rStyle w:val="Emphasis"/>
          <w:i w:val="0"/>
          <w:iCs w:val="0"/>
          <w:szCs w:val="22"/>
        </w:rPr>
        <w:t xml:space="preserve">that </w:t>
      </w:r>
      <w:r w:rsidRPr="00BF240F" w:rsidR="008F3635">
        <w:rPr>
          <w:rStyle w:val="Emphasis"/>
          <w:i w:val="0"/>
          <w:iCs w:val="0"/>
          <w:szCs w:val="22"/>
        </w:rPr>
        <w:t>are African-American owned.</w:t>
      </w:r>
      <w:r>
        <w:rPr>
          <w:rStyle w:val="FootnoteReference"/>
          <w:sz w:val="22"/>
          <w:szCs w:val="22"/>
        </w:rPr>
        <w:footnoteReference w:id="32"/>
      </w:r>
      <w:r w:rsidRPr="00BF240F" w:rsidR="000357A7">
        <w:rPr>
          <w:rStyle w:val="Emphasis"/>
          <w:i w:val="0"/>
          <w:iCs w:val="0"/>
          <w:szCs w:val="22"/>
        </w:rPr>
        <w:t xml:space="preserve"> </w:t>
      </w:r>
      <w:r w:rsidRPr="00BF240F" w:rsidR="009A1530">
        <w:rPr>
          <w:rStyle w:val="Emphasis"/>
          <w:i w:val="0"/>
          <w:iCs w:val="0"/>
          <w:szCs w:val="22"/>
        </w:rPr>
        <w:t xml:space="preserve"> </w:t>
      </w:r>
      <w:bookmarkStart w:id="2" w:name="_Hlk94109677"/>
      <w:r w:rsidRPr="00BF240F" w:rsidR="000357A7">
        <w:rPr>
          <w:rStyle w:val="Emphasis"/>
          <w:i w:val="0"/>
          <w:iCs w:val="0"/>
          <w:szCs w:val="22"/>
        </w:rPr>
        <w:t xml:space="preserve">Section </w:t>
      </w:r>
      <w:r w:rsidRPr="00BF240F" w:rsidR="000357A7">
        <w:rPr>
          <w:snapToGrid/>
          <w:szCs w:val="22"/>
        </w:rPr>
        <w:t>309</w:t>
      </w:r>
      <w:r w:rsidRPr="00BF240F" w:rsidR="004717F8">
        <w:rPr>
          <w:snapToGrid/>
          <w:szCs w:val="22"/>
        </w:rPr>
        <w:t>(j)</w:t>
      </w:r>
      <w:r w:rsidRPr="00BF240F" w:rsidR="008C65FB">
        <w:rPr>
          <w:snapToGrid/>
          <w:szCs w:val="22"/>
        </w:rPr>
        <w:t xml:space="preserve">, </w:t>
      </w:r>
      <w:r w:rsidRPr="00BF240F" w:rsidR="008C65FB">
        <w:rPr>
          <w:i/>
          <w:iCs/>
          <w:snapToGrid/>
          <w:szCs w:val="22"/>
        </w:rPr>
        <w:t xml:space="preserve">inter </w:t>
      </w:r>
      <w:r w:rsidRPr="00772889" w:rsidR="008C65FB">
        <w:rPr>
          <w:i/>
          <w:iCs/>
          <w:snapToGrid/>
          <w:szCs w:val="22"/>
        </w:rPr>
        <w:t>alia</w:t>
      </w:r>
      <w:r w:rsidRPr="00772889" w:rsidR="008C65FB">
        <w:rPr>
          <w:snapToGrid/>
          <w:szCs w:val="22"/>
        </w:rPr>
        <w:t xml:space="preserve">, </w:t>
      </w:r>
      <w:r w:rsidRPr="00772889" w:rsidR="000357A7">
        <w:rPr>
          <w:snapToGrid/>
          <w:szCs w:val="22"/>
        </w:rPr>
        <w:t xml:space="preserve">directs the Commission to </w:t>
      </w:r>
      <w:r w:rsidRPr="00772889" w:rsidR="00CA2DDC">
        <w:rPr>
          <w:snapToGrid/>
          <w:szCs w:val="22"/>
        </w:rPr>
        <w:t>prescribe regulations pertaining to</w:t>
      </w:r>
      <w:r w:rsidRPr="00772889" w:rsidR="008C65FB">
        <w:rPr>
          <w:snapToGrid/>
          <w:szCs w:val="22"/>
        </w:rPr>
        <w:t xml:space="preserve"> a competitive bidding </w:t>
      </w:r>
      <w:r w:rsidRPr="00772889" w:rsidR="00CA2DDC">
        <w:rPr>
          <w:snapToGrid/>
          <w:szCs w:val="22"/>
        </w:rPr>
        <w:t xml:space="preserve">system </w:t>
      </w:r>
      <w:r w:rsidRPr="00772889" w:rsidR="008C65FB">
        <w:rPr>
          <w:snapToGrid/>
          <w:szCs w:val="22"/>
        </w:rPr>
        <w:t xml:space="preserve">that </w:t>
      </w:r>
      <w:r w:rsidRPr="00772889" w:rsidR="00CA2DDC">
        <w:rPr>
          <w:szCs w:val="22"/>
          <w:shd w:val="clear" w:color="auto" w:fill="FFFFFF"/>
        </w:rPr>
        <w:t>(1) specify “area designations and bandwidth assignments that promote . . . economic opportunity for a wide variety of applicants, including . . . businesses owned by members of minority groups</w:t>
      </w:r>
      <w:r w:rsidRPr="00772889" w:rsidR="00CA2DDC">
        <w:rPr>
          <w:szCs w:val="22"/>
        </w:rPr>
        <w:t>”</w:t>
      </w:r>
      <w:r w:rsidRPr="00772889" w:rsidR="00CA2DDC">
        <w:rPr>
          <w:szCs w:val="22"/>
          <w:shd w:val="clear" w:color="auto" w:fill="FFFFFF"/>
        </w:rPr>
        <w:t xml:space="preserve">; and (2) “ensure that . . . businesses owned by members of minority groups . . . </w:t>
      </w:r>
      <w:r w:rsidRPr="00772889" w:rsidR="000357A7">
        <w:rPr>
          <w:szCs w:val="22"/>
          <w:shd w:val="clear" w:color="auto" w:fill="FFFFFF"/>
        </w:rPr>
        <w:t>are given the opportunity to participate in the provision of spectrum-based services</w:t>
      </w:r>
      <w:r w:rsidRPr="00772889" w:rsidR="000357A7">
        <w:rPr>
          <w:snapToGrid/>
          <w:szCs w:val="22"/>
          <w:shd w:val="clear" w:color="auto" w:fill="FFFFFF"/>
        </w:rPr>
        <w:t>.</w:t>
      </w:r>
      <w:r w:rsidRPr="00772889" w:rsidR="00FD530E">
        <w:rPr>
          <w:snapToGrid/>
          <w:szCs w:val="22"/>
          <w:shd w:val="clear" w:color="auto" w:fill="FFFFFF"/>
        </w:rPr>
        <w:t>”</w:t>
      </w:r>
      <w:r>
        <w:rPr>
          <w:rStyle w:val="FootnoteReference"/>
          <w:snapToGrid/>
          <w:sz w:val="22"/>
          <w:szCs w:val="22"/>
          <w:shd w:val="clear" w:color="auto" w:fill="FFFFFF"/>
        </w:rPr>
        <w:footnoteReference w:id="33"/>
      </w:r>
      <w:r w:rsidRPr="00772889" w:rsidR="000357A7">
        <w:rPr>
          <w:rStyle w:val="Emphasis"/>
          <w:i w:val="0"/>
          <w:iCs w:val="0"/>
          <w:szCs w:val="22"/>
        </w:rPr>
        <w:t xml:space="preserve">  </w:t>
      </w:r>
      <w:bookmarkEnd w:id="2"/>
      <w:r w:rsidRPr="00772889" w:rsidR="00C4286F">
        <w:rPr>
          <w:snapToGrid/>
          <w:kern w:val="0"/>
          <w:szCs w:val="22"/>
          <w:shd w:val="clear" w:color="auto" w:fill="FFFFFF"/>
        </w:rPr>
        <w:t xml:space="preserve">However, </w:t>
      </w:r>
      <w:r w:rsidRPr="00772889" w:rsidR="006B0B73">
        <w:rPr>
          <w:snapToGrid/>
          <w:kern w:val="0"/>
          <w:szCs w:val="22"/>
          <w:shd w:val="clear" w:color="auto" w:fill="FFFFFF"/>
        </w:rPr>
        <w:t xml:space="preserve">section 309(j) is </w:t>
      </w:r>
      <w:r w:rsidRPr="00772889" w:rsidR="00A0732D">
        <w:rPr>
          <w:snapToGrid/>
          <w:kern w:val="0"/>
          <w:szCs w:val="22"/>
          <w:shd w:val="clear" w:color="auto" w:fill="FFFFFF"/>
        </w:rPr>
        <w:t>in</w:t>
      </w:r>
      <w:r w:rsidRPr="00772889" w:rsidR="006B0B73">
        <w:rPr>
          <w:snapToGrid/>
          <w:kern w:val="0"/>
          <w:szCs w:val="22"/>
          <w:shd w:val="clear" w:color="auto" w:fill="FFFFFF"/>
        </w:rPr>
        <w:t xml:space="preserve">applicable to </w:t>
      </w:r>
      <w:r w:rsidRPr="00772889" w:rsidR="00C4286F">
        <w:rPr>
          <w:snapToGrid/>
          <w:kern w:val="0"/>
          <w:szCs w:val="22"/>
          <w:shd w:val="clear" w:color="auto" w:fill="FFFFFF"/>
        </w:rPr>
        <w:t xml:space="preserve">the instant case </w:t>
      </w:r>
      <w:r w:rsidRPr="00772889" w:rsidR="006B0B73">
        <w:rPr>
          <w:snapToGrid/>
          <w:kern w:val="0"/>
          <w:szCs w:val="22"/>
          <w:shd w:val="clear" w:color="auto" w:fill="FFFFFF"/>
        </w:rPr>
        <w:t xml:space="preserve">as it </w:t>
      </w:r>
      <w:r w:rsidRPr="00772889" w:rsidR="00C4286F">
        <w:rPr>
          <w:snapToGrid/>
          <w:kern w:val="0"/>
          <w:szCs w:val="22"/>
          <w:shd w:val="clear" w:color="auto" w:fill="FFFFFF"/>
        </w:rPr>
        <w:t xml:space="preserve">does not </w:t>
      </w:r>
      <w:r w:rsidRPr="002737A7" w:rsidR="00C4286F">
        <w:rPr>
          <w:snapToGrid/>
          <w:color w:val="000000"/>
          <w:kern w:val="0"/>
          <w:szCs w:val="22"/>
          <w:shd w:val="clear" w:color="auto" w:fill="FFFFFF"/>
        </w:rPr>
        <w:t xml:space="preserve">involve </w:t>
      </w:r>
      <w:r w:rsidRPr="00246B88" w:rsidR="005F6271">
        <w:rPr>
          <w:snapToGrid/>
          <w:color w:val="000000"/>
          <w:kern w:val="0"/>
          <w:szCs w:val="22"/>
          <w:shd w:val="clear" w:color="auto" w:fill="FFFFFF"/>
        </w:rPr>
        <w:t xml:space="preserve">mutually exclusive applications </w:t>
      </w:r>
      <w:r w:rsidRPr="00246B88" w:rsidR="00922E53">
        <w:rPr>
          <w:snapToGrid/>
          <w:color w:val="000000"/>
          <w:kern w:val="0"/>
          <w:szCs w:val="22"/>
          <w:shd w:val="clear" w:color="auto" w:fill="FFFFFF"/>
        </w:rPr>
        <w:t xml:space="preserve">for </w:t>
      </w:r>
      <w:r w:rsidRPr="00246B88" w:rsidR="00C4286F">
        <w:rPr>
          <w:snapToGrid/>
          <w:color w:val="000000"/>
          <w:kern w:val="0"/>
          <w:szCs w:val="22"/>
          <w:shd w:val="clear" w:color="auto" w:fill="FFFFFF"/>
        </w:rPr>
        <w:t>an initial construction permit or license</w:t>
      </w:r>
      <w:r w:rsidRPr="00246B88" w:rsidR="00EE5B13">
        <w:rPr>
          <w:snapToGrid/>
          <w:color w:val="000000"/>
          <w:kern w:val="0"/>
          <w:szCs w:val="22"/>
          <w:shd w:val="clear" w:color="auto" w:fill="FFFFFF"/>
        </w:rPr>
        <w:t xml:space="preserve"> </w:t>
      </w:r>
      <w:r w:rsidRPr="00246B88" w:rsidR="00610DF7">
        <w:rPr>
          <w:snapToGrid/>
          <w:color w:val="000000"/>
          <w:kern w:val="0"/>
          <w:szCs w:val="22"/>
          <w:shd w:val="clear" w:color="auto" w:fill="FFFFFF"/>
        </w:rPr>
        <w:t xml:space="preserve">for which the Commission must grant </w:t>
      </w:r>
      <w:r w:rsidRPr="00246B88" w:rsidR="00830115">
        <w:rPr>
          <w:snapToGrid/>
          <w:color w:val="000000"/>
          <w:kern w:val="0"/>
          <w:szCs w:val="22"/>
          <w:shd w:val="clear" w:color="auto" w:fill="FFFFFF"/>
        </w:rPr>
        <w:t>an application</w:t>
      </w:r>
      <w:r w:rsidRPr="00246B88" w:rsidR="00EE5B13">
        <w:rPr>
          <w:snapToGrid/>
          <w:color w:val="000000"/>
          <w:kern w:val="0"/>
          <w:szCs w:val="22"/>
          <w:shd w:val="clear" w:color="auto" w:fill="FFFFFF"/>
        </w:rPr>
        <w:t xml:space="preserve"> through a</w:t>
      </w:r>
      <w:r w:rsidR="009439EC">
        <w:rPr>
          <w:snapToGrid/>
          <w:color w:val="000000"/>
          <w:kern w:val="0"/>
          <w:szCs w:val="22"/>
          <w:shd w:val="clear" w:color="auto" w:fill="FFFFFF"/>
        </w:rPr>
        <w:t>n auction or</w:t>
      </w:r>
      <w:r w:rsidRPr="00246B88" w:rsidR="00EE5B13">
        <w:rPr>
          <w:snapToGrid/>
          <w:color w:val="000000"/>
          <w:kern w:val="0"/>
          <w:szCs w:val="22"/>
          <w:shd w:val="clear" w:color="auto" w:fill="FFFFFF"/>
        </w:rPr>
        <w:t xml:space="preserve"> competitive bidding process</w:t>
      </w:r>
      <w:r w:rsidRPr="00246B88">
        <w:rPr>
          <w:snapToGrid/>
          <w:color w:val="000000"/>
          <w:kern w:val="0"/>
          <w:szCs w:val="22"/>
          <w:shd w:val="clear" w:color="auto" w:fill="FFFFFF"/>
        </w:rPr>
        <w:t>.</w:t>
      </w:r>
      <w:r>
        <w:rPr>
          <w:rStyle w:val="FootnoteReference"/>
          <w:snapToGrid/>
          <w:kern w:val="0"/>
          <w:szCs w:val="22"/>
          <w:shd w:val="clear" w:color="auto" w:fill="FFFFFF"/>
        </w:rPr>
        <w:footnoteReference w:id="34"/>
      </w:r>
      <w:r w:rsidRPr="00246B88">
        <w:rPr>
          <w:snapToGrid/>
          <w:color w:val="000000"/>
          <w:kern w:val="0"/>
          <w:szCs w:val="22"/>
          <w:shd w:val="clear" w:color="auto" w:fill="FFFFFF"/>
        </w:rPr>
        <w:t xml:space="preserve">  R</w:t>
      </w:r>
      <w:r w:rsidRPr="00246B88" w:rsidR="00C4286F">
        <w:rPr>
          <w:snapToGrid/>
          <w:color w:val="000000"/>
          <w:kern w:val="0"/>
          <w:szCs w:val="22"/>
          <w:shd w:val="clear" w:color="auto" w:fill="FFFFFF"/>
        </w:rPr>
        <w:t>ather</w:t>
      </w:r>
      <w:r w:rsidR="00135476">
        <w:rPr>
          <w:snapToGrid/>
          <w:color w:val="000000"/>
          <w:kern w:val="0"/>
          <w:szCs w:val="22"/>
          <w:shd w:val="clear" w:color="auto" w:fill="FFFFFF"/>
        </w:rPr>
        <w:t>,</w:t>
      </w:r>
      <w:r w:rsidRPr="00246B88" w:rsidR="00FF20DA">
        <w:rPr>
          <w:snapToGrid/>
          <w:color w:val="000000"/>
          <w:kern w:val="0"/>
          <w:szCs w:val="22"/>
          <w:shd w:val="clear" w:color="auto" w:fill="FFFFFF"/>
        </w:rPr>
        <w:t xml:space="preserve"> </w:t>
      </w:r>
      <w:r w:rsidRPr="00246B88" w:rsidR="00EE5B13">
        <w:rPr>
          <w:snapToGrid/>
          <w:color w:val="000000"/>
          <w:kern w:val="0"/>
          <w:szCs w:val="22"/>
          <w:shd w:val="clear" w:color="auto" w:fill="FFFFFF"/>
        </w:rPr>
        <w:t xml:space="preserve">this case involves </w:t>
      </w:r>
      <w:r w:rsidRPr="00246B88" w:rsidR="00FF20DA">
        <w:rPr>
          <w:snapToGrid/>
          <w:color w:val="000000"/>
          <w:kern w:val="0"/>
          <w:szCs w:val="22"/>
          <w:shd w:val="clear" w:color="auto" w:fill="FFFFFF"/>
        </w:rPr>
        <w:t>the</w:t>
      </w:r>
      <w:r w:rsidRPr="00246B88" w:rsidR="00C4286F">
        <w:rPr>
          <w:snapToGrid/>
          <w:color w:val="000000"/>
          <w:kern w:val="0"/>
          <w:szCs w:val="22"/>
          <w:shd w:val="clear" w:color="auto" w:fill="FFFFFF"/>
        </w:rPr>
        <w:t xml:space="preserve"> assignment of existing authoriza</w:t>
      </w:r>
      <w:r w:rsidRPr="00E67C8F" w:rsidR="00C4286F">
        <w:rPr>
          <w:snapToGrid/>
          <w:color w:val="000000"/>
          <w:kern w:val="0"/>
          <w:szCs w:val="22"/>
          <w:shd w:val="clear" w:color="auto" w:fill="FFFFFF"/>
        </w:rPr>
        <w:t>tions</w:t>
      </w:r>
      <w:r w:rsidRPr="00E67C8F">
        <w:rPr>
          <w:snapToGrid/>
          <w:color w:val="000000"/>
          <w:kern w:val="0"/>
          <w:szCs w:val="22"/>
          <w:shd w:val="clear" w:color="auto" w:fill="FFFFFF"/>
        </w:rPr>
        <w:t xml:space="preserve"> to which section 309(j) does not apply</w:t>
      </w:r>
      <w:r w:rsidRPr="00E67C8F" w:rsidR="006B0B73">
        <w:rPr>
          <w:snapToGrid/>
          <w:color w:val="000000"/>
          <w:kern w:val="0"/>
          <w:szCs w:val="22"/>
          <w:shd w:val="clear" w:color="auto" w:fill="FFFFFF"/>
        </w:rPr>
        <w:t>.</w:t>
      </w:r>
      <w:r>
        <w:rPr>
          <w:snapToGrid/>
          <w:color w:val="000000"/>
          <w:kern w:val="0"/>
          <w:szCs w:val="22"/>
          <w:shd w:val="clear" w:color="auto" w:fill="FFFFFF"/>
        </w:rPr>
        <w:t xml:space="preserve">  </w:t>
      </w:r>
      <w:r w:rsidR="00703D22">
        <w:rPr>
          <w:snapToGrid/>
          <w:color w:val="000000"/>
          <w:kern w:val="0"/>
          <w:szCs w:val="22"/>
          <w:shd w:val="clear" w:color="auto" w:fill="FFFFFF"/>
        </w:rPr>
        <w:t xml:space="preserve">Indeed, </w:t>
      </w:r>
      <w:r w:rsidR="00DE2C0C">
        <w:rPr>
          <w:snapToGrid/>
          <w:color w:val="000000"/>
          <w:kern w:val="0"/>
          <w:szCs w:val="22"/>
          <w:shd w:val="clear" w:color="auto" w:fill="FFFFFF"/>
        </w:rPr>
        <w:t>in acting on such assignment applications, “the Commission may not consider whether the public interest, convenience, and necessity might be served by [such] assignment . . . to a person other than the proposed . . . assignee.”</w:t>
      </w:r>
      <w:r>
        <w:rPr>
          <w:rStyle w:val="FootnoteReference"/>
          <w:snapToGrid/>
          <w:kern w:val="0"/>
          <w:szCs w:val="22"/>
          <w:shd w:val="clear" w:color="auto" w:fill="FFFFFF"/>
        </w:rPr>
        <w:footnoteReference w:id="35"/>
      </w:r>
      <w:r w:rsidR="00DE2C0C">
        <w:rPr>
          <w:snapToGrid/>
          <w:color w:val="000000"/>
          <w:kern w:val="0"/>
          <w:szCs w:val="22"/>
          <w:shd w:val="clear" w:color="auto" w:fill="FFFFFF"/>
        </w:rPr>
        <w:t xml:space="preserve">  </w:t>
      </w:r>
      <w:r w:rsidR="005934F4">
        <w:rPr>
          <w:snapToGrid/>
          <w:color w:val="000000"/>
          <w:kern w:val="0"/>
          <w:szCs w:val="22"/>
          <w:shd w:val="clear" w:color="auto" w:fill="FFFFFF"/>
        </w:rPr>
        <w:t>In addition</w:t>
      </w:r>
      <w:r w:rsidRPr="00BF240F" w:rsidR="00B4177E">
        <w:rPr>
          <w:snapToGrid/>
          <w:color w:val="000000"/>
          <w:kern w:val="0"/>
          <w:szCs w:val="22"/>
          <w:shd w:val="clear" w:color="auto" w:fill="FFFFFF"/>
        </w:rPr>
        <w:t xml:space="preserve">, </w:t>
      </w:r>
      <w:r>
        <w:rPr>
          <w:snapToGrid/>
          <w:color w:val="000000"/>
          <w:kern w:val="0"/>
          <w:szCs w:val="22"/>
          <w:shd w:val="clear" w:color="auto" w:fill="FFFFFF"/>
        </w:rPr>
        <w:t xml:space="preserve">as </w:t>
      </w:r>
      <w:r w:rsidRPr="00BF240F" w:rsidR="00B4177E">
        <w:rPr>
          <w:snapToGrid/>
          <w:color w:val="000000"/>
          <w:kern w:val="0"/>
          <w:szCs w:val="22"/>
          <w:shd w:val="clear" w:color="auto" w:fill="FFFFFF"/>
        </w:rPr>
        <w:t xml:space="preserve">the </w:t>
      </w:r>
      <w:r w:rsidRPr="00BF240F" w:rsidR="00B4177E">
        <w:rPr>
          <w:i/>
          <w:iCs/>
          <w:snapToGrid/>
          <w:color w:val="000000"/>
          <w:kern w:val="0"/>
          <w:szCs w:val="22"/>
          <w:shd w:val="clear" w:color="auto" w:fill="FFFFFF"/>
        </w:rPr>
        <w:t>Staff Letter</w:t>
      </w:r>
      <w:r w:rsidRPr="00BF240F" w:rsidR="00B4177E">
        <w:rPr>
          <w:snapToGrid/>
          <w:color w:val="000000"/>
          <w:kern w:val="0"/>
          <w:szCs w:val="22"/>
          <w:shd w:val="clear" w:color="auto" w:fill="FFFFFF"/>
        </w:rPr>
        <w:t xml:space="preserve"> correctly </w:t>
      </w:r>
      <w:r w:rsidR="008E5845">
        <w:rPr>
          <w:snapToGrid/>
          <w:color w:val="000000"/>
          <w:kern w:val="0"/>
          <w:szCs w:val="22"/>
          <w:shd w:val="clear" w:color="auto" w:fill="FFFFFF"/>
        </w:rPr>
        <w:t>noted</w:t>
      </w:r>
      <w:r w:rsidRPr="008E5845" w:rsidR="00B4177E">
        <w:rPr>
          <w:snapToGrid/>
          <w:color w:val="000000"/>
          <w:kern w:val="0"/>
          <w:szCs w:val="22"/>
          <w:shd w:val="clear" w:color="auto" w:fill="FFFFFF"/>
        </w:rPr>
        <w:t xml:space="preserve">, the </w:t>
      </w:r>
      <w:r w:rsidRPr="00BF240F" w:rsidR="00B4177E">
        <w:rPr>
          <w:snapToGrid/>
          <w:color w:val="000000"/>
          <w:kern w:val="0"/>
          <w:szCs w:val="22"/>
          <w:shd w:val="clear" w:color="auto" w:fill="FFFFFF"/>
        </w:rPr>
        <w:t xml:space="preserve">Commission </w:t>
      </w:r>
      <w:r>
        <w:rPr>
          <w:rFonts w:eastAsia="Calibri"/>
          <w:szCs w:val="22"/>
        </w:rPr>
        <w:t xml:space="preserve">does </w:t>
      </w:r>
      <w:r w:rsidRPr="00BE340D" w:rsidR="00B4177E">
        <w:rPr>
          <w:rFonts w:eastAsia="Calibri"/>
          <w:szCs w:val="22"/>
        </w:rPr>
        <w:t>not intervene in matters involving the interpretation and enforcement of contracts for the sale of broadcast stations</w:t>
      </w:r>
      <w:r w:rsidR="004202D3">
        <w:rPr>
          <w:rFonts w:eastAsia="Calibri"/>
          <w:szCs w:val="22"/>
        </w:rPr>
        <w:t xml:space="preserve"> </w:t>
      </w:r>
      <w:r w:rsidRPr="00D406D0" w:rsidR="004202D3">
        <w:rPr>
          <w:rFonts w:eastAsia="Calibri"/>
          <w:szCs w:val="22"/>
        </w:rPr>
        <w:t xml:space="preserve">in the absence of a </w:t>
      </w:r>
      <w:r w:rsidRPr="00D406D0" w:rsidR="004202D3">
        <w:rPr>
          <w:rFonts w:eastAsia="Calibri"/>
          <w:i/>
          <w:iCs/>
          <w:szCs w:val="22"/>
        </w:rPr>
        <w:t xml:space="preserve">prima </w:t>
      </w:r>
      <w:r w:rsidRPr="00D406D0" w:rsidR="004202D3">
        <w:rPr>
          <w:rFonts w:eastAsia="Calibri"/>
          <w:i/>
          <w:iCs/>
          <w:szCs w:val="22"/>
        </w:rPr>
        <w:t>facie</w:t>
      </w:r>
      <w:r w:rsidRPr="00D406D0" w:rsidR="004202D3">
        <w:rPr>
          <w:rFonts w:eastAsia="Calibri"/>
          <w:szCs w:val="22"/>
        </w:rPr>
        <w:t xml:space="preserve"> showing of discrimination</w:t>
      </w:r>
      <w:r w:rsidRPr="00D406D0" w:rsidR="00B4177E">
        <w:rPr>
          <w:rFonts w:eastAsia="Calibri"/>
          <w:szCs w:val="22"/>
        </w:rPr>
        <w:t>.</w:t>
      </w:r>
      <w:r>
        <w:rPr>
          <w:rStyle w:val="FootnoteReference"/>
          <w:snapToGrid/>
          <w:kern w:val="0"/>
          <w:sz w:val="22"/>
          <w:szCs w:val="22"/>
          <w:shd w:val="clear" w:color="auto" w:fill="FFFFFF"/>
        </w:rPr>
        <w:footnoteReference w:id="36"/>
      </w:r>
      <w:r w:rsidRPr="00BF240F" w:rsidR="00B4177E">
        <w:rPr>
          <w:snapToGrid/>
          <w:color w:val="000000"/>
          <w:kern w:val="0"/>
          <w:szCs w:val="22"/>
          <w:shd w:val="clear" w:color="auto" w:fill="FFFFFF"/>
        </w:rPr>
        <w:t xml:space="preserve">  </w:t>
      </w:r>
      <w:r w:rsidRPr="00BF240F" w:rsidR="000357A7">
        <w:rPr>
          <w:snapToGrid/>
          <w:color w:val="000000"/>
          <w:kern w:val="0"/>
          <w:szCs w:val="22"/>
          <w:shd w:val="clear" w:color="auto" w:fill="FFFFFF"/>
        </w:rPr>
        <w:t>Therefore, we find the suggestion that the</w:t>
      </w:r>
      <w:r w:rsidRPr="00BF240F" w:rsidR="00881CCC">
        <w:rPr>
          <w:snapToGrid/>
          <w:color w:val="000000"/>
          <w:kern w:val="0"/>
          <w:szCs w:val="22"/>
          <w:shd w:val="clear" w:color="auto" w:fill="FFFFFF"/>
        </w:rPr>
        <w:t xml:space="preserve"> Bureau’s </w:t>
      </w:r>
      <w:r w:rsidRPr="00BF240F" w:rsidR="00C4286F">
        <w:rPr>
          <w:i/>
          <w:iCs/>
          <w:snapToGrid/>
          <w:color w:val="000000"/>
          <w:kern w:val="0"/>
          <w:szCs w:val="22"/>
          <w:shd w:val="clear" w:color="auto" w:fill="FFFFFF"/>
        </w:rPr>
        <w:t>St</w:t>
      </w:r>
      <w:r w:rsidRPr="00BF240F" w:rsidR="001D0796">
        <w:rPr>
          <w:i/>
          <w:iCs/>
          <w:snapToGrid/>
          <w:color w:val="000000"/>
          <w:kern w:val="0"/>
          <w:szCs w:val="22"/>
          <w:shd w:val="clear" w:color="auto" w:fill="FFFFFF"/>
        </w:rPr>
        <w:t>a</w:t>
      </w:r>
      <w:r w:rsidRPr="00BF240F" w:rsidR="00C4286F">
        <w:rPr>
          <w:i/>
          <w:iCs/>
          <w:snapToGrid/>
          <w:color w:val="000000"/>
          <w:kern w:val="0"/>
          <w:szCs w:val="22"/>
          <w:shd w:val="clear" w:color="auto" w:fill="FFFFFF"/>
        </w:rPr>
        <w:t xml:space="preserve">ff </w:t>
      </w:r>
      <w:r w:rsidRPr="00BF240F" w:rsidR="00881CCC">
        <w:rPr>
          <w:i/>
          <w:iCs/>
          <w:snapToGrid/>
          <w:color w:val="000000"/>
          <w:kern w:val="0"/>
          <w:szCs w:val="22"/>
          <w:shd w:val="clear" w:color="auto" w:fill="FFFFFF"/>
        </w:rPr>
        <w:t>Letter</w:t>
      </w:r>
      <w:r w:rsidRPr="00BF240F" w:rsidR="000357A7">
        <w:rPr>
          <w:snapToGrid/>
          <w:color w:val="000000"/>
          <w:kern w:val="0"/>
          <w:szCs w:val="22"/>
          <w:shd w:val="clear" w:color="auto" w:fill="FFFFFF"/>
        </w:rPr>
        <w:t xml:space="preserve"> ran afoul of section 309</w:t>
      </w:r>
      <w:r w:rsidRPr="00BF240F" w:rsidR="0034181A">
        <w:rPr>
          <w:snapToGrid/>
          <w:color w:val="000000"/>
          <w:kern w:val="0"/>
          <w:szCs w:val="22"/>
          <w:shd w:val="clear" w:color="auto" w:fill="FFFFFF"/>
        </w:rPr>
        <w:t xml:space="preserve"> </w:t>
      </w:r>
      <w:r w:rsidRPr="00BF240F" w:rsidR="000357A7">
        <w:rPr>
          <w:snapToGrid/>
          <w:color w:val="000000"/>
          <w:kern w:val="0"/>
          <w:szCs w:val="22"/>
          <w:shd w:val="clear" w:color="auto" w:fill="FFFFFF"/>
        </w:rPr>
        <w:t xml:space="preserve">by not favoring </w:t>
      </w:r>
      <w:r w:rsidR="00172936">
        <w:rPr>
          <w:snapToGrid/>
          <w:color w:val="000000"/>
          <w:kern w:val="0"/>
          <w:szCs w:val="22"/>
          <w:shd w:val="clear" w:color="auto" w:fill="FFFFFF"/>
        </w:rPr>
        <w:t>UOBN</w:t>
      </w:r>
      <w:r w:rsidRPr="00BF240F" w:rsidR="000357A7">
        <w:rPr>
          <w:snapToGrid/>
          <w:color w:val="000000"/>
          <w:kern w:val="0"/>
          <w:szCs w:val="22"/>
          <w:shd w:val="clear" w:color="auto" w:fill="FFFFFF"/>
        </w:rPr>
        <w:t xml:space="preserve"> in its contractual dispute over the sale of the </w:t>
      </w:r>
      <w:r w:rsidRPr="00BF240F" w:rsidR="00C4286F">
        <w:rPr>
          <w:snapToGrid/>
          <w:color w:val="000000"/>
          <w:kern w:val="0"/>
          <w:szCs w:val="22"/>
          <w:shd w:val="clear" w:color="auto" w:fill="FFFFFF"/>
        </w:rPr>
        <w:t>S</w:t>
      </w:r>
      <w:r w:rsidRPr="00BF240F" w:rsidR="000357A7">
        <w:rPr>
          <w:snapToGrid/>
          <w:color w:val="000000"/>
          <w:kern w:val="0"/>
          <w:szCs w:val="22"/>
          <w:shd w:val="clear" w:color="auto" w:fill="FFFFFF"/>
        </w:rPr>
        <w:t>tation</w:t>
      </w:r>
      <w:r w:rsidRPr="00BF240F" w:rsidR="00C4286F">
        <w:rPr>
          <w:snapToGrid/>
          <w:color w:val="000000"/>
          <w:kern w:val="0"/>
          <w:szCs w:val="22"/>
          <w:shd w:val="clear" w:color="auto" w:fill="FFFFFF"/>
        </w:rPr>
        <w:t>s</w:t>
      </w:r>
      <w:r w:rsidRPr="00BF240F" w:rsidR="000357A7">
        <w:rPr>
          <w:snapToGrid/>
          <w:color w:val="000000"/>
          <w:kern w:val="0"/>
          <w:szCs w:val="22"/>
          <w:shd w:val="clear" w:color="auto" w:fill="FFFFFF"/>
        </w:rPr>
        <w:t xml:space="preserve"> is untenable</w:t>
      </w:r>
      <w:r>
        <w:rPr>
          <w:snapToGrid/>
          <w:color w:val="000000"/>
          <w:kern w:val="0"/>
          <w:szCs w:val="22"/>
          <w:shd w:val="clear" w:color="auto" w:fill="FFFFFF"/>
        </w:rPr>
        <w:t xml:space="preserve"> and we reject this claim. </w:t>
      </w:r>
    </w:p>
    <w:p w:rsidR="00C45111" w:rsidRPr="00BE340D" w:rsidP="00493943" w14:paraId="4CC846CE" w14:textId="56811476">
      <w:pPr>
        <w:pStyle w:val="ParaNum"/>
        <w:rPr>
          <w:rFonts w:eastAsiaTheme="minorHAnsi"/>
          <w:snapToGrid/>
          <w:kern w:val="0"/>
          <w:szCs w:val="22"/>
        </w:rPr>
      </w:pPr>
      <w:r>
        <w:rPr>
          <w:snapToGrid/>
          <w:color w:val="000000"/>
          <w:kern w:val="0"/>
          <w:szCs w:val="22"/>
          <w:shd w:val="clear" w:color="auto" w:fill="FFFFFF"/>
        </w:rPr>
        <w:t xml:space="preserve">Upon careful review of the AFR and the entire record, we conclude that </w:t>
      </w:r>
      <w:r w:rsidR="00172936">
        <w:rPr>
          <w:snapToGrid/>
          <w:color w:val="000000"/>
          <w:kern w:val="0"/>
          <w:szCs w:val="22"/>
          <w:shd w:val="clear" w:color="auto" w:fill="FFFFFF"/>
        </w:rPr>
        <w:t>UOBN</w:t>
      </w:r>
      <w:r w:rsidR="00802FEC">
        <w:rPr>
          <w:snapToGrid/>
          <w:color w:val="000000"/>
          <w:kern w:val="0"/>
          <w:szCs w:val="22"/>
          <w:shd w:val="clear" w:color="auto" w:fill="FFFFFF"/>
        </w:rPr>
        <w:t xml:space="preserve"> has failed to demonstrate that the Bureau erred.  </w:t>
      </w:r>
      <w:r w:rsidR="002C793B">
        <w:rPr>
          <w:snapToGrid/>
          <w:color w:val="000000"/>
          <w:kern w:val="0"/>
          <w:szCs w:val="22"/>
          <w:shd w:val="clear" w:color="auto" w:fill="FFFFFF"/>
        </w:rPr>
        <w:t>The Bureau properly decided the matters raised, and we uphold its decision</w:t>
      </w:r>
      <w:r w:rsidR="005A4248">
        <w:rPr>
          <w:snapToGrid/>
          <w:color w:val="000000"/>
          <w:kern w:val="0"/>
          <w:szCs w:val="22"/>
          <w:shd w:val="clear" w:color="auto" w:fill="FFFFFF"/>
        </w:rPr>
        <w:t xml:space="preserve">.  </w:t>
      </w:r>
      <w:r w:rsidR="0035202E">
        <w:rPr>
          <w:snapToGrid/>
          <w:color w:val="000000"/>
          <w:kern w:val="0"/>
          <w:szCs w:val="22"/>
          <w:shd w:val="clear" w:color="auto" w:fill="FFFFFF"/>
        </w:rPr>
        <w:t xml:space="preserve">Accordingly, </w:t>
      </w:r>
      <w:r w:rsidR="00E833DF">
        <w:rPr>
          <w:snapToGrid/>
          <w:color w:val="000000"/>
          <w:kern w:val="0"/>
          <w:szCs w:val="22"/>
          <w:shd w:val="clear" w:color="auto" w:fill="FFFFFF"/>
        </w:rPr>
        <w:t>for</w:t>
      </w:r>
      <w:r w:rsidR="001A0560">
        <w:rPr>
          <w:snapToGrid/>
          <w:color w:val="000000"/>
          <w:kern w:val="0"/>
          <w:szCs w:val="22"/>
          <w:shd w:val="clear" w:color="auto" w:fill="FFFFFF"/>
        </w:rPr>
        <w:t xml:space="preserve"> the aforementioned reasons</w:t>
      </w:r>
      <w:r w:rsidR="00E833DF">
        <w:rPr>
          <w:snapToGrid/>
          <w:color w:val="000000"/>
          <w:kern w:val="0"/>
          <w:szCs w:val="22"/>
          <w:shd w:val="clear" w:color="auto" w:fill="FFFFFF"/>
        </w:rPr>
        <w:t>,</w:t>
      </w:r>
      <w:r w:rsidR="001A0560">
        <w:rPr>
          <w:snapToGrid/>
          <w:color w:val="000000"/>
          <w:kern w:val="0"/>
          <w:szCs w:val="22"/>
          <w:shd w:val="clear" w:color="auto" w:fill="FFFFFF"/>
        </w:rPr>
        <w:t xml:space="preserve"> we dismiss, and </w:t>
      </w:r>
      <w:r w:rsidR="00135476">
        <w:rPr>
          <w:rStyle w:val="normaltextrun"/>
          <w:color w:val="000000"/>
          <w:szCs w:val="22"/>
          <w:shd w:val="clear" w:color="auto" w:fill="FFFFFF"/>
        </w:rPr>
        <w:t>on alternative and independent grounds</w:t>
      </w:r>
      <w:r w:rsidR="001A0560">
        <w:rPr>
          <w:snapToGrid/>
          <w:color w:val="000000"/>
          <w:kern w:val="0"/>
          <w:szCs w:val="22"/>
          <w:shd w:val="clear" w:color="auto" w:fill="FFFFFF"/>
        </w:rPr>
        <w:t>, deny the AFR.</w:t>
      </w:r>
      <w:r w:rsidRPr="00BF240F" w:rsidR="006B0B73">
        <w:rPr>
          <w:snapToGrid/>
          <w:color w:val="000000"/>
          <w:kern w:val="0"/>
          <w:szCs w:val="22"/>
          <w:shd w:val="clear" w:color="auto" w:fill="FFFFFF"/>
        </w:rPr>
        <w:t xml:space="preserve">  </w:t>
      </w:r>
    </w:p>
    <w:p w:rsidR="00B672CF" w:rsidRPr="00BE340D" w:rsidP="00B672CF" w14:paraId="2840ADD3" w14:textId="77777777">
      <w:pPr>
        <w:pStyle w:val="Heading1"/>
        <w:keepLines/>
        <w:suppressAutoHyphens w:val="0"/>
        <w:rPr>
          <w:rFonts w:ascii="Times New Roman" w:hAnsi="Times New Roman"/>
          <w:szCs w:val="22"/>
        </w:rPr>
      </w:pPr>
      <w:r w:rsidRPr="00BE340D">
        <w:rPr>
          <w:rFonts w:ascii="Times New Roman" w:hAnsi="Times New Roman"/>
          <w:szCs w:val="22"/>
        </w:rPr>
        <w:t>ORDERING CLAUSE</w:t>
      </w:r>
    </w:p>
    <w:p w:rsidR="00B672CF" w:rsidP="00B672CF" w14:paraId="7E2E47C2" w14:textId="7BD84EC2">
      <w:pPr>
        <w:pStyle w:val="ParaNum"/>
        <w:keepNext/>
        <w:keepLines/>
        <w:rPr>
          <w:szCs w:val="22"/>
        </w:rPr>
      </w:pPr>
      <w:r w:rsidRPr="00BF240F">
        <w:rPr>
          <w:szCs w:val="22"/>
        </w:rPr>
        <w:t xml:space="preserve">For the foregoing reasons, </w:t>
      </w:r>
      <w:r w:rsidRPr="00BF240F" w:rsidR="00B10B73">
        <w:rPr>
          <w:b/>
          <w:bCs/>
          <w:szCs w:val="22"/>
        </w:rPr>
        <w:t>IT IS ORDERED</w:t>
      </w:r>
      <w:r w:rsidRPr="00BE340D" w:rsidR="00B10B73">
        <w:rPr>
          <w:szCs w:val="22"/>
        </w:rPr>
        <w:t xml:space="preserve"> that the Application for Review filed by </w:t>
      </w:r>
      <w:r w:rsidR="00172936">
        <w:rPr>
          <w:szCs w:val="22"/>
        </w:rPr>
        <w:t>UOBN</w:t>
      </w:r>
      <w:r w:rsidRPr="00BE340D" w:rsidR="00B10B73">
        <w:rPr>
          <w:szCs w:val="22"/>
        </w:rPr>
        <w:t xml:space="preserve"> on February 26, 2021</w:t>
      </w:r>
      <w:r w:rsidRPr="00BE340D" w:rsidR="001D0796">
        <w:rPr>
          <w:szCs w:val="22"/>
        </w:rPr>
        <w:t>,</w:t>
      </w:r>
      <w:r w:rsidRPr="00BE340D" w:rsidR="009B34A3">
        <w:rPr>
          <w:szCs w:val="22"/>
        </w:rPr>
        <w:t xml:space="preserve"> </w:t>
      </w:r>
      <w:r w:rsidRPr="00BE340D" w:rsidR="009B34A3">
        <w:rPr>
          <w:b/>
          <w:bCs/>
          <w:szCs w:val="22"/>
        </w:rPr>
        <w:t>IS DISMISSED</w:t>
      </w:r>
      <w:r w:rsidRPr="00BE340D" w:rsidR="009B34A3">
        <w:rPr>
          <w:szCs w:val="22"/>
        </w:rPr>
        <w:t xml:space="preserve"> </w:t>
      </w:r>
      <w:r w:rsidRPr="00BE340D" w:rsidR="00CD5621">
        <w:rPr>
          <w:szCs w:val="22"/>
        </w:rPr>
        <w:t xml:space="preserve">AND </w:t>
      </w:r>
      <w:r w:rsidRPr="00674962" w:rsidR="00621DBD">
        <w:rPr>
          <w:b/>
          <w:bCs/>
          <w:szCs w:val="22"/>
        </w:rPr>
        <w:t xml:space="preserve">IN THE ALTERNATIVE </w:t>
      </w:r>
      <w:r w:rsidRPr="00674962" w:rsidR="00674962">
        <w:rPr>
          <w:b/>
          <w:bCs/>
          <w:szCs w:val="22"/>
        </w:rPr>
        <w:t>IS</w:t>
      </w:r>
      <w:r w:rsidR="00674962">
        <w:rPr>
          <w:szCs w:val="22"/>
        </w:rPr>
        <w:t xml:space="preserve"> </w:t>
      </w:r>
      <w:r w:rsidRPr="00BE340D">
        <w:rPr>
          <w:b/>
          <w:bCs/>
          <w:szCs w:val="22"/>
        </w:rPr>
        <w:t>DENIED</w:t>
      </w:r>
      <w:r w:rsidRPr="00BE340D">
        <w:rPr>
          <w:szCs w:val="22"/>
        </w:rPr>
        <w:t>.</w:t>
      </w:r>
    </w:p>
    <w:p w:rsidR="00B672CF" w:rsidRPr="00BE340D" w:rsidP="00B672CF" w14:paraId="5083D00B" w14:textId="77777777">
      <w:pPr>
        <w:rPr>
          <w:szCs w:val="22"/>
        </w:rPr>
      </w:pPr>
      <w:r w:rsidRPr="00BE340D">
        <w:rPr>
          <w:szCs w:val="22"/>
        </w:rPr>
        <w:tab/>
      </w:r>
      <w:r w:rsidRPr="00BE340D">
        <w:rPr>
          <w:szCs w:val="22"/>
        </w:rPr>
        <w:tab/>
      </w:r>
      <w:r w:rsidRPr="00BE340D">
        <w:rPr>
          <w:szCs w:val="22"/>
        </w:rPr>
        <w:tab/>
      </w:r>
      <w:r w:rsidRPr="00BE340D">
        <w:rPr>
          <w:szCs w:val="22"/>
        </w:rPr>
        <w:tab/>
      </w:r>
      <w:r w:rsidRPr="00BE340D">
        <w:rPr>
          <w:szCs w:val="22"/>
        </w:rPr>
        <w:tab/>
      </w:r>
      <w:r w:rsidRPr="00BE340D">
        <w:rPr>
          <w:szCs w:val="22"/>
        </w:rPr>
        <w:tab/>
        <w:t>FEDERAL COMMUNICATIONS COMMISSION</w:t>
      </w:r>
    </w:p>
    <w:p w:rsidR="00B672CF" w:rsidP="00B672CF" w14:paraId="6BD1057E" w14:textId="77777777"/>
    <w:p w:rsidR="00B672CF" w:rsidP="00B672CF" w14:paraId="4CCCA843" w14:textId="255DEBE0">
      <w:r>
        <w:t xml:space="preserve">  </w:t>
      </w:r>
    </w:p>
    <w:p w:rsidR="00B672CF" w:rsidP="00B672CF" w14:paraId="625FE4FC" w14:textId="77777777"/>
    <w:p w:rsidR="00B672CF" w:rsidP="00B672CF" w14:paraId="13E07ECD" w14:textId="77777777"/>
    <w:p w:rsidR="00B672CF" w:rsidP="00B672CF" w14:paraId="266D3D7D" w14:textId="77777777">
      <w:r>
        <w:tab/>
      </w:r>
      <w:r>
        <w:tab/>
      </w:r>
      <w:r>
        <w:tab/>
      </w:r>
      <w:r>
        <w:tab/>
      </w:r>
      <w:r>
        <w:tab/>
      </w:r>
      <w:r>
        <w:tab/>
        <w:t>Marlene H. Dortch</w:t>
      </w:r>
    </w:p>
    <w:p w:rsidR="00412FC5" w:rsidP="00B672CF" w14:paraId="3E1DB04D" w14:textId="0E517D7D">
      <w:r>
        <w:tab/>
      </w:r>
      <w:r>
        <w:tab/>
      </w:r>
      <w:r>
        <w:tab/>
      </w:r>
      <w:r>
        <w:tab/>
      </w:r>
      <w:r>
        <w:tab/>
      </w:r>
      <w:r>
        <w:tab/>
        <w:t>Secretary</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282073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15AE89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672CF" w14:paraId="0EED6A21" w14:textId="4DF04601">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B630F4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47DBE" w14:paraId="3E8BF2B9" w14:textId="77777777">
      <w:r>
        <w:separator/>
      </w:r>
    </w:p>
  </w:footnote>
  <w:footnote w:type="continuationSeparator" w:id="1">
    <w:p w:rsidR="00447DBE" w:rsidP="00C721AC" w14:paraId="79EF899D" w14:textId="77777777">
      <w:pPr>
        <w:spacing w:before="120"/>
        <w:rPr>
          <w:sz w:val="20"/>
        </w:rPr>
      </w:pPr>
      <w:r>
        <w:rPr>
          <w:sz w:val="20"/>
        </w:rPr>
        <w:t xml:space="preserve">(Continued from previous page)  </w:t>
      </w:r>
      <w:r>
        <w:rPr>
          <w:sz w:val="20"/>
        </w:rPr>
        <w:separator/>
      </w:r>
    </w:p>
  </w:footnote>
  <w:footnote w:type="continuationNotice" w:id="2">
    <w:p w:rsidR="00447DBE" w:rsidP="00C721AC" w14:paraId="3065C8DB" w14:textId="77777777">
      <w:pPr>
        <w:jc w:val="right"/>
        <w:rPr>
          <w:sz w:val="20"/>
        </w:rPr>
      </w:pPr>
      <w:r>
        <w:rPr>
          <w:sz w:val="20"/>
        </w:rPr>
        <w:t>(continued….)</w:t>
      </w:r>
    </w:p>
  </w:footnote>
  <w:footnote w:id="3">
    <w:p w:rsidR="0030758D" w:rsidRPr="0028771D" w:rsidP="0030758D" w14:paraId="6A92B9D1" w14:textId="7EFF5ACD">
      <w:pPr>
        <w:pStyle w:val="FootnoteText"/>
      </w:pPr>
      <w:r w:rsidRPr="002D1867">
        <w:rPr>
          <w:rStyle w:val="FootnoteReference"/>
        </w:rPr>
        <w:footnoteRef/>
      </w:r>
      <w:r w:rsidRPr="002D1867">
        <w:t xml:space="preserve"> Application for Review</w:t>
      </w:r>
      <w:r w:rsidRPr="002D1867" w:rsidR="00355D46">
        <w:t xml:space="preserve"> </w:t>
      </w:r>
      <w:r w:rsidRPr="002D1867" w:rsidR="000076E7">
        <w:t>by the Full Commission En Banc</w:t>
      </w:r>
      <w:r w:rsidRPr="002D1867" w:rsidR="00355D46">
        <w:t xml:space="preserve">, File No. </w:t>
      </w:r>
      <w:r w:rsidRPr="002D1867" w:rsidR="00355D46">
        <w:rPr>
          <w:color w:val="000000"/>
          <w:shd w:val="clear" w:color="auto" w:fill="FFFFFF"/>
        </w:rPr>
        <w:t>BAL-20200828AAJ</w:t>
      </w:r>
      <w:r w:rsidRPr="002D1867" w:rsidR="00355D46">
        <w:t xml:space="preserve"> (filed Feb. 26, 2021) </w:t>
      </w:r>
      <w:r w:rsidRPr="002D1867">
        <w:t>(A</w:t>
      </w:r>
      <w:r w:rsidRPr="002D1867" w:rsidR="00355D46">
        <w:t>FR</w:t>
      </w:r>
      <w:r w:rsidRPr="002D1867">
        <w:t xml:space="preserve">).  </w:t>
      </w:r>
      <w:r w:rsidRPr="002D1867">
        <w:rPr>
          <w:rStyle w:val="spellingerror"/>
          <w:color w:val="000000"/>
          <w:shd w:val="clear" w:color="auto" w:fill="FFFFFF"/>
        </w:rPr>
        <w:t>SportsTalk</w:t>
      </w:r>
      <w:r w:rsidRPr="002D1867">
        <w:rPr>
          <w:rStyle w:val="normaltextrun"/>
          <w:color w:val="000000"/>
          <w:shd w:val="clear" w:color="auto" w:fill="FFFFFF"/>
        </w:rPr>
        <w:t xml:space="preserve"> filed </w:t>
      </w:r>
      <w:r w:rsidRPr="002D1867" w:rsidR="001F10C0">
        <w:rPr>
          <w:rStyle w:val="normaltextrun"/>
          <w:color w:val="000000"/>
          <w:shd w:val="clear" w:color="auto" w:fill="FFFFFF"/>
        </w:rPr>
        <w:t>a pleading styled as a Response</w:t>
      </w:r>
      <w:r w:rsidRPr="002D1867">
        <w:rPr>
          <w:rStyle w:val="normaltextrun"/>
          <w:color w:val="000000"/>
          <w:shd w:val="clear" w:color="auto" w:fill="FFFFFF"/>
        </w:rPr>
        <w:t xml:space="preserve"> to the </w:t>
      </w:r>
      <w:r w:rsidRPr="002D1867" w:rsidR="00355D46">
        <w:rPr>
          <w:rStyle w:val="normaltextrun"/>
          <w:color w:val="000000"/>
          <w:shd w:val="clear" w:color="auto" w:fill="FFFFFF"/>
        </w:rPr>
        <w:t>AFR</w:t>
      </w:r>
      <w:r w:rsidRPr="002D1867" w:rsidR="001F10C0">
        <w:rPr>
          <w:rStyle w:val="normaltextrun"/>
          <w:color w:val="000000"/>
          <w:shd w:val="clear" w:color="auto" w:fill="FFFFFF"/>
        </w:rPr>
        <w:t>, which we will treat as an opposition</w:t>
      </w:r>
      <w:r w:rsidRPr="002D1867" w:rsidR="00F348CC">
        <w:rPr>
          <w:rStyle w:val="normaltextrun"/>
          <w:color w:val="000000"/>
          <w:shd w:val="clear" w:color="auto" w:fill="FFFFFF"/>
        </w:rPr>
        <w:t xml:space="preserve">. Response to Application for Full Commission Review, </w:t>
      </w:r>
      <w:r w:rsidRPr="002D1867" w:rsidR="00F348CC">
        <w:rPr>
          <w:color w:val="000000"/>
          <w:shd w:val="clear" w:color="auto" w:fill="FFFFFF"/>
        </w:rPr>
        <w:t>BAL-20200828AAJ</w:t>
      </w:r>
      <w:r w:rsidRPr="002D1867" w:rsidR="00F348CC">
        <w:t xml:space="preserve"> (filed </w:t>
      </w:r>
      <w:r w:rsidRPr="002D1867" w:rsidR="00F348CC">
        <w:rPr>
          <w:rStyle w:val="normaltextrun"/>
          <w:color w:val="000000"/>
          <w:shd w:val="clear" w:color="auto" w:fill="FFFFFF"/>
        </w:rPr>
        <w:t xml:space="preserve">Mar. </w:t>
      </w:r>
      <w:r w:rsidRPr="002D1867" w:rsidR="00432A7A">
        <w:rPr>
          <w:rStyle w:val="normaltextrun"/>
          <w:color w:val="000000"/>
          <w:shd w:val="clear" w:color="auto" w:fill="FFFFFF"/>
        </w:rPr>
        <w:t>11</w:t>
      </w:r>
      <w:r w:rsidRPr="002D1867">
        <w:rPr>
          <w:rStyle w:val="normaltextrun"/>
          <w:color w:val="000000"/>
          <w:shd w:val="clear" w:color="auto" w:fill="FFFFFF"/>
        </w:rPr>
        <w:t>, 2021</w:t>
      </w:r>
      <w:r w:rsidRPr="002D1867" w:rsidR="00F348CC">
        <w:rPr>
          <w:rStyle w:val="normaltextrun"/>
          <w:color w:val="000000"/>
          <w:shd w:val="clear" w:color="auto" w:fill="FFFFFF"/>
        </w:rPr>
        <w:t>)</w:t>
      </w:r>
      <w:r w:rsidRPr="002D1867" w:rsidR="00200434">
        <w:rPr>
          <w:rStyle w:val="normaltextrun"/>
          <w:color w:val="000000"/>
          <w:shd w:val="clear" w:color="auto" w:fill="FFFFFF"/>
        </w:rPr>
        <w:t xml:space="preserve"> </w:t>
      </w:r>
      <w:r w:rsidRPr="002D1867">
        <w:rPr>
          <w:rStyle w:val="normaltextrun"/>
          <w:color w:val="000000"/>
          <w:shd w:val="clear" w:color="auto" w:fill="FFFFFF"/>
        </w:rPr>
        <w:t>(</w:t>
      </w:r>
      <w:r w:rsidRPr="002D1867" w:rsidR="00E365B2">
        <w:rPr>
          <w:rStyle w:val="normaltextrun"/>
          <w:color w:val="000000"/>
          <w:shd w:val="clear" w:color="auto" w:fill="FFFFFF"/>
        </w:rPr>
        <w:t>AFR Response</w:t>
      </w:r>
      <w:r w:rsidRPr="002D1867">
        <w:rPr>
          <w:rStyle w:val="normaltextrun"/>
          <w:color w:val="000000"/>
          <w:shd w:val="clear" w:color="auto" w:fill="FFFFFF"/>
        </w:rPr>
        <w:t>).</w:t>
      </w:r>
      <w:r w:rsidRPr="00BE340D">
        <w:rPr>
          <w:rStyle w:val="normaltextrun"/>
          <w:color w:val="000000"/>
          <w:shd w:val="clear" w:color="auto" w:fill="FFFFFF"/>
        </w:rPr>
        <w:t xml:space="preserve">  </w:t>
      </w:r>
    </w:p>
  </w:footnote>
  <w:footnote w:id="4">
    <w:p w:rsidR="00331D9C" w:rsidRPr="002D1867" w:rsidP="00331D9C" w14:paraId="303EEEBF" w14:textId="4886D807">
      <w:pPr>
        <w:rPr>
          <w:sz w:val="20"/>
        </w:rPr>
      </w:pPr>
      <w:r w:rsidRPr="0028771D">
        <w:rPr>
          <w:rStyle w:val="FootnoteReference"/>
        </w:rPr>
        <w:footnoteRef/>
      </w:r>
      <w:r w:rsidRPr="00BE340D">
        <w:rPr>
          <w:sz w:val="20"/>
        </w:rPr>
        <w:t xml:space="preserve"> </w:t>
      </w:r>
      <w:r w:rsidRPr="0028771D">
        <w:rPr>
          <w:sz w:val="20"/>
        </w:rPr>
        <w:t>Letter from Albert Shuldiner</w:t>
      </w:r>
      <w:r w:rsidRPr="00BF240F">
        <w:rPr>
          <w:rStyle w:val="normaltextrun"/>
          <w:color w:val="000000"/>
          <w:sz w:val="20"/>
          <w:shd w:val="clear" w:color="auto" w:fill="FFFFFF"/>
        </w:rPr>
        <w:t xml:space="preserve">, </w:t>
      </w:r>
      <w:r w:rsidRPr="00BF240F">
        <w:rPr>
          <w:sz w:val="20"/>
        </w:rPr>
        <w:t>Chief, Audio Division</w:t>
      </w:r>
      <w:r w:rsidRPr="00BF240F">
        <w:rPr>
          <w:rStyle w:val="normaltextrun"/>
          <w:color w:val="000000"/>
          <w:sz w:val="20"/>
          <w:shd w:val="clear" w:color="auto" w:fill="FFFFFF"/>
        </w:rPr>
        <w:t xml:space="preserve">, Media Bureau, </w:t>
      </w:r>
      <w:r w:rsidRPr="00BF240F" w:rsidR="00B13353">
        <w:rPr>
          <w:rStyle w:val="normaltextrun"/>
          <w:color w:val="000000"/>
          <w:sz w:val="20"/>
          <w:shd w:val="clear" w:color="auto" w:fill="FFFFFF"/>
        </w:rPr>
        <w:t xml:space="preserve">FCC </w:t>
      </w:r>
      <w:r w:rsidRPr="00BF240F">
        <w:rPr>
          <w:rStyle w:val="normaltextrun"/>
          <w:color w:val="000000"/>
          <w:sz w:val="20"/>
          <w:shd w:val="clear" w:color="auto" w:fill="FFFFFF"/>
        </w:rPr>
        <w:t xml:space="preserve">to </w:t>
      </w:r>
      <w:r w:rsidRPr="002D1867">
        <w:rPr>
          <w:sz w:val="20"/>
        </w:rPr>
        <w:t>Florida SportsTalk, LLC</w:t>
      </w:r>
    </w:p>
    <w:p w:rsidR="0030758D" w:rsidRPr="002D1867" w:rsidP="009D42F2" w14:paraId="19EF7466" w14:textId="7660E467">
      <w:pPr>
        <w:pStyle w:val="FootnoteText"/>
      </w:pPr>
      <w:r w:rsidRPr="002D1867">
        <w:rPr>
          <w:rStyle w:val="normaltextrun"/>
          <w:color w:val="000000"/>
          <w:shd w:val="clear" w:color="auto" w:fill="FFFFFF"/>
        </w:rPr>
        <w:t>(</w:t>
      </w:r>
      <w:r w:rsidRPr="002D1867" w:rsidR="00200434">
        <w:rPr>
          <w:rStyle w:val="normaltextrun"/>
          <w:color w:val="000000"/>
          <w:shd w:val="clear" w:color="auto" w:fill="FFFFFF"/>
        </w:rPr>
        <w:t xml:space="preserve">Jan. 26, 2021) </w:t>
      </w:r>
      <w:r w:rsidRPr="002D1867">
        <w:rPr>
          <w:rStyle w:val="normaltextrun"/>
          <w:color w:val="000000"/>
          <w:shd w:val="clear" w:color="auto" w:fill="FFFFFF"/>
        </w:rPr>
        <w:t xml:space="preserve">(on file in </w:t>
      </w:r>
      <w:r w:rsidRPr="002D1867">
        <w:t xml:space="preserve">File No. </w:t>
      </w:r>
      <w:r w:rsidRPr="002D1867">
        <w:rPr>
          <w:color w:val="000000"/>
          <w:shd w:val="clear" w:color="auto" w:fill="FFFFFF"/>
        </w:rPr>
        <w:t>BAL-20200828AAJ</w:t>
      </w:r>
      <w:r w:rsidRPr="002D1867">
        <w:rPr>
          <w:rStyle w:val="normaltextrun"/>
          <w:color w:val="000000"/>
          <w:shd w:val="clear" w:color="auto" w:fill="FFFFFF"/>
        </w:rPr>
        <w:t xml:space="preserve">) </w:t>
      </w:r>
      <w:r w:rsidRPr="002D1867" w:rsidR="00200434">
        <w:rPr>
          <w:rStyle w:val="normaltextrun"/>
          <w:color w:val="000000"/>
          <w:shd w:val="clear" w:color="auto" w:fill="FFFFFF"/>
        </w:rPr>
        <w:t>(</w:t>
      </w:r>
      <w:r w:rsidRPr="002D1867" w:rsidR="009D02DE">
        <w:rPr>
          <w:rStyle w:val="normaltextrun"/>
          <w:i/>
          <w:iCs/>
          <w:color w:val="000000"/>
          <w:shd w:val="clear" w:color="auto" w:fill="FFFFFF"/>
        </w:rPr>
        <w:t>Staff</w:t>
      </w:r>
      <w:r w:rsidRPr="002D1867" w:rsidR="009D02DE">
        <w:rPr>
          <w:rStyle w:val="normaltextrun"/>
          <w:i/>
          <w:color w:val="000000"/>
          <w:shd w:val="clear" w:color="auto" w:fill="FFFFFF"/>
        </w:rPr>
        <w:t xml:space="preserve"> </w:t>
      </w:r>
      <w:r w:rsidRPr="002D1867" w:rsidR="00200434">
        <w:rPr>
          <w:rStyle w:val="normaltextrun"/>
          <w:i/>
          <w:color w:val="000000"/>
          <w:shd w:val="clear" w:color="auto" w:fill="FFFFFF"/>
        </w:rPr>
        <w:t>Letter</w:t>
      </w:r>
      <w:r w:rsidRPr="002D1867" w:rsidR="00200434">
        <w:rPr>
          <w:rStyle w:val="normaltextrun"/>
          <w:color w:val="000000"/>
          <w:shd w:val="clear" w:color="auto" w:fill="FFFFFF"/>
        </w:rPr>
        <w:t>)</w:t>
      </w:r>
      <w:r w:rsidRPr="002D1867">
        <w:rPr>
          <w:rStyle w:val="normaltextrun"/>
          <w:color w:val="000000"/>
          <w:shd w:val="clear" w:color="auto" w:fill="FFFFFF"/>
        </w:rPr>
        <w:t xml:space="preserve">.  </w:t>
      </w:r>
      <w:r w:rsidRPr="002D1867">
        <w:t xml:space="preserve">The Bureau initially released the </w:t>
      </w:r>
      <w:r w:rsidRPr="002D1867" w:rsidR="009D02DE">
        <w:rPr>
          <w:i/>
          <w:iCs/>
        </w:rPr>
        <w:t xml:space="preserve">Staff </w:t>
      </w:r>
      <w:r w:rsidRPr="002D1867">
        <w:rPr>
          <w:i/>
          <w:iCs/>
        </w:rPr>
        <w:t>Letter</w:t>
      </w:r>
      <w:r w:rsidRPr="002D1867">
        <w:t xml:space="preserve"> on January 15, 2021.  The Bureau rescinded the </w:t>
      </w:r>
      <w:r w:rsidRPr="002D1867" w:rsidR="00FF20DA">
        <w:rPr>
          <w:i/>
          <w:iCs/>
        </w:rPr>
        <w:t xml:space="preserve">Staff </w:t>
      </w:r>
      <w:r w:rsidRPr="002D1867">
        <w:rPr>
          <w:i/>
          <w:iCs/>
        </w:rPr>
        <w:t>Letter</w:t>
      </w:r>
      <w:r w:rsidRPr="002D1867">
        <w:t xml:space="preserve"> on January 19, 2021, due to </w:t>
      </w:r>
      <w:r w:rsidRPr="002D1867">
        <w:rPr>
          <w:rStyle w:val="spellingerror"/>
          <w:color w:val="000000"/>
          <w:shd w:val="clear" w:color="auto" w:fill="FFFFFF"/>
        </w:rPr>
        <w:t>SportsTalk</w:t>
      </w:r>
      <w:r w:rsidRPr="002D1867">
        <w:t xml:space="preserve">’s delinquent regulatory fees, and later reissued it on January 26, 2021, upon payment of said fees. </w:t>
      </w:r>
    </w:p>
  </w:footnote>
  <w:footnote w:id="5">
    <w:p w:rsidR="00B8624F" w:rsidRPr="002D1867" w14:paraId="4585AF82" w14:textId="53FB24E1">
      <w:pPr>
        <w:pStyle w:val="FootnoteText"/>
      </w:pPr>
      <w:r w:rsidRPr="0028771D">
        <w:rPr>
          <w:rStyle w:val="FootnoteReference"/>
        </w:rPr>
        <w:footnoteRef/>
      </w:r>
      <w:r w:rsidRPr="0028771D">
        <w:t xml:space="preserve"> </w:t>
      </w:r>
      <w:r w:rsidRPr="0028771D" w:rsidR="00FD530E">
        <w:t>Opposition</w:t>
      </w:r>
      <w:r w:rsidRPr="0028771D" w:rsidR="00633361">
        <w:rPr>
          <w:rStyle w:val="normaltextrun"/>
          <w:color w:val="000000"/>
          <w:shd w:val="clear" w:color="auto" w:fill="FFFFFF"/>
        </w:rPr>
        <w:t xml:space="preserve">, </w:t>
      </w:r>
      <w:r w:rsidRPr="00BF240F" w:rsidR="002C50B2">
        <w:rPr>
          <w:rStyle w:val="normaltextrun"/>
          <w:color w:val="000000"/>
          <w:shd w:val="clear" w:color="auto" w:fill="FFFFFF"/>
        </w:rPr>
        <w:t xml:space="preserve">File No. </w:t>
      </w:r>
      <w:r w:rsidRPr="00BF240F" w:rsidR="00633361">
        <w:rPr>
          <w:color w:val="000000"/>
          <w:shd w:val="clear" w:color="auto" w:fill="FFFFFF"/>
        </w:rPr>
        <w:t>BAL-20200828AAJ</w:t>
      </w:r>
      <w:r w:rsidRPr="00BF240F" w:rsidR="00633361">
        <w:t xml:space="preserve"> (filed </w:t>
      </w:r>
      <w:r w:rsidRPr="00BF240F" w:rsidR="00633361">
        <w:rPr>
          <w:rStyle w:val="normaltextrun"/>
          <w:color w:val="000000"/>
          <w:shd w:val="clear" w:color="auto" w:fill="FFFFFF"/>
        </w:rPr>
        <w:t>Oct. 14, 2020)</w:t>
      </w:r>
      <w:r w:rsidRPr="00BF240F" w:rsidR="00FD530E">
        <w:t xml:space="preserve">. </w:t>
      </w:r>
    </w:p>
  </w:footnote>
  <w:footnote w:id="6">
    <w:p w:rsidR="009B73FF" w:rsidRPr="002D1867" w14:paraId="46A3EF99" w14:textId="06253F5C">
      <w:pPr>
        <w:pStyle w:val="FootnoteText"/>
      </w:pPr>
      <w:r w:rsidRPr="0028771D">
        <w:rPr>
          <w:rStyle w:val="FootnoteReference"/>
        </w:rPr>
        <w:footnoteRef/>
      </w:r>
      <w:r w:rsidRPr="0028771D">
        <w:t xml:space="preserve"> </w:t>
      </w:r>
      <w:r w:rsidRPr="0028771D" w:rsidR="00FD530E">
        <w:t>Reply</w:t>
      </w:r>
      <w:r w:rsidRPr="0028771D" w:rsidR="00633361">
        <w:rPr>
          <w:rStyle w:val="normaltextrun"/>
          <w:color w:val="000000"/>
          <w:shd w:val="clear" w:color="auto" w:fill="FFFFFF"/>
        </w:rPr>
        <w:t xml:space="preserve">, </w:t>
      </w:r>
      <w:r w:rsidRPr="00BF240F" w:rsidR="002C50B2">
        <w:rPr>
          <w:rStyle w:val="normaltextrun"/>
          <w:color w:val="000000"/>
          <w:shd w:val="clear" w:color="auto" w:fill="FFFFFF"/>
        </w:rPr>
        <w:t xml:space="preserve">File No. </w:t>
      </w:r>
      <w:r w:rsidRPr="00BF240F" w:rsidR="00633361">
        <w:rPr>
          <w:color w:val="000000"/>
          <w:shd w:val="clear" w:color="auto" w:fill="FFFFFF"/>
        </w:rPr>
        <w:t>BAL-20200828AAJ</w:t>
      </w:r>
      <w:r w:rsidRPr="00BF240F" w:rsidR="00633361">
        <w:t xml:space="preserve"> (filed </w:t>
      </w:r>
      <w:r w:rsidRPr="00BF240F" w:rsidR="00633361">
        <w:rPr>
          <w:rStyle w:val="normaltextrun"/>
          <w:color w:val="000000"/>
          <w:shd w:val="clear" w:color="auto" w:fill="FFFFFF"/>
        </w:rPr>
        <w:t>Oct. 27, 2020)</w:t>
      </w:r>
      <w:r w:rsidRPr="002D1867" w:rsidR="0050319D">
        <w:t>.</w:t>
      </w:r>
      <w:r w:rsidRPr="002D1867" w:rsidR="00FD530E">
        <w:t xml:space="preserve"> </w:t>
      </w:r>
    </w:p>
  </w:footnote>
  <w:footnote w:id="7">
    <w:p w:rsidR="00CC02AD" w:rsidRPr="00BF240F" w14:paraId="1BDFB5DA" w14:textId="6AD64580">
      <w:pPr>
        <w:pStyle w:val="FootnoteText"/>
      </w:pPr>
      <w:r w:rsidRPr="0028771D">
        <w:rPr>
          <w:rStyle w:val="FootnoteReference"/>
        </w:rPr>
        <w:footnoteRef/>
      </w:r>
      <w:r w:rsidRPr="0028771D">
        <w:t xml:space="preserve"> </w:t>
      </w:r>
      <w:r w:rsidRPr="0028771D" w:rsidR="00272F67">
        <w:rPr>
          <w:i/>
          <w:iCs/>
        </w:rPr>
        <w:t xml:space="preserve">Staff Letter </w:t>
      </w:r>
      <w:r w:rsidRPr="001B2E63" w:rsidR="00272F67">
        <w:t xml:space="preserve">at </w:t>
      </w:r>
      <w:r w:rsidRPr="001B2E63" w:rsidR="00550B99">
        <w:t>3-5</w:t>
      </w:r>
      <w:r w:rsidRPr="00BF240F" w:rsidR="00ED29A6">
        <w:t xml:space="preserve"> </w:t>
      </w:r>
      <w:r w:rsidRPr="001B2E63" w:rsidR="00B5674F">
        <w:t>(explaining that</w:t>
      </w:r>
      <w:r w:rsidR="00D9159A">
        <w:t xml:space="preserve"> </w:t>
      </w:r>
      <w:r w:rsidR="00172936">
        <w:t>UOBN</w:t>
      </w:r>
      <w:r w:rsidRPr="001B2E63" w:rsidR="00B5674F">
        <w:t xml:space="preserve"> failed to make a </w:t>
      </w:r>
      <w:r w:rsidRPr="001B2E63" w:rsidR="00B5674F">
        <w:rPr>
          <w:i/>
          <w:iCs/>
        </w:rPr>
        <w:t xml:space="preserve">prima facie </w:t>
      </w:r>
      <w:r w:rsidRPr="001B2E63" w:rsidR="00B5674F">
        <w:t>case that the transaction is tainted by discrimination, thus finding that the case involves a private controversy rather than a public interest matter)</w:t>
      </w:r>
      <w:r w:rsidRPr="001B2E63" w:rsidR="001B2E63">
        <w:t>.</w:t>
      </w:r>
    </w:p>
  </w:footnote>
  <w:footnote w:id="8">
    <w:p w:rsidR="00CC02AD" w:rsidRPr="00BF240F" w14:paraId="0FE29650" w14:textId="405CA031">
      <w:pPr>
        <w:pStyle w:val="FootnoteText"/>
      </w:pPr>
      <w:r w:rsidRPr="0028771D">
        <w:rPr>
          <w:rStyle w:val="FootnoteReference"/>
        </w:rPr>
        <w:footnoteRef/>
      </w:r>
      <w:r w:rsidRPr="0028771D">
        <w:t xml:space="preserve"> </w:t>
      </w:r>
      <w:r w:rsidRPr="0028771D" w:rsidR="00ED29A6">
        <w:rPr>
          <w:i/>
          <w:iCs/>
        </w:rPr>
        <w:t>Id</w:t>
      </w:r>
      <w:r w:rsidRPr="00BF240F" w:rsidR="00ED29A6">
        <w:t xml:space="preserve">. at 4. </w:t>
      </w:r>
    </w:p>
  </w:footnote>
  <w:footnote w:id="9">
    <w:p w:rsidR="00703D22" w14:paraId="4AFFEBCB" w14:textId="12C5C982">
      <w:pPr>
        <w:pStyle w:val="FootnoteText"/>
      </w:pPr>
      <w:r>
        <w:rPr>
          <w:rStyle w:val="FootnoteReference"/>
        </w:rPr>
        <w:footnoteRef/>
      </w:r>
      <w:r>
        <w:t xml:space="preserve"> AFR at 3.</w:t>
      </w:r>
    </w:p>
  </w:footnote>
  <w:footnote w:id="10">
    <w:p w:rsidR="00ED29A6" w:rsidRPr="00BF240F" w:rsidP="00ED29A6" w14:paraId="3218C190" w14:textId="19EF2DC0">
      <w:pPr>
        <w:pStyle w:val="FootnoteText"/>
      </w:pPr>
      <w:r w:rsidRPr="0028771D">
        <w:rPr>
          <w:rStyle w:val="FootnoteReference"/>
        </w:rPr>
        <w:footnoteRef/>
      </w:r>
      <w:r w:rsidRPr="0028771D">
        <w:t xml:space="preserve"> A</w:t>
      </w:r>
      <w:r w:rsidRPr="0028771D" w:rsidR="00306F2A">
        <w:t>FR</w:t>
      </w:r>
      <w:r w:rsidRPr="00BF240F">
        <w:t xml:space="preserve"> at 3</w:t>
      </w:r>
      <w:r w:rsidRPr="00BF240F" w:rsidR="00306F2A">
        <w:t xml:space="preserve">. </w:t>
      </w:r>
      <w:r w:rsidR="00172936">
        <w:rPr>
          <w:szCs w:val="22"/>
          <w:shd w:val="clear" w:color="auto" w:fill="FFFFFF"/>
        </w:rPr>
        <w:t>UOBN</w:t>
      </w:r>
      <w:r w:rsidRPr="00BF240F" w:rsidR="00881450">
        <w:rPr>
          <w:szCs w:val="22"/>
          <w:shd w:val="clear" w:color="auto" w:fill="FFFFFF"/>
        </w:rPr>
        <w:t xml:space="preserve"> asserts that, even absent any discriminatory intent, SportsTalk’s business practices are illegal under Title VII based upon a disparate impact standard.</w:t>
      </w:r>
    </w:p>
  </w:footnote>
  <w:footnote w:id="11">
    <w:p w:rsidR="00EF36F4" w14:paraId="432662B2" w14:textId="5DD2E406">
      <w:pPr>
        <w:pStyle w:val="FootnoteText"/>
      </w:pPr>
      <w:r>
        <w:rPr>
          <w:rStyle w:val="FootnoteReference"/>
        </w:rPr>
        <w:footnoteRef/>
      </w:r>
      <w:r>
        <w:t xml:space="preserve"> </w:t>
      </w:r>
      <w:r w:rsidRPr="0028771D">
        <w:rPr>
          <w:i/>
          <w:iCs/>
        </w:rPr>
        <w:t>Id</w:t>
      </w:r>
      <w:r w:rsidRPr="0028771D">
        <w:t>. at 4-5</w:t>
      </w:r>
      <w:r w:rsidRPr="00BF240F">
        <w:t xml:space="preserve"> (citing </w:t>
      </w:r>
      <w:r w:rsidRPr="00BF240F">
        <w:rPr>
          <w:i/>
          <w:iCs/>
        </w:rPr>
        <w:t>Metro Broadcasting, Inc. v. FCC</w:t>
      </w:r>
      <w:r w:rsidRPr="00BF240F">
        <w:t>, 497 U.S. 547 (1990)</w:t>
      </w:r>
      <w:r w:rsidR="008635B4">
        <w:t xml:space="preserve"> (</w:t>
      </w:r>
      <w:r w:rsidRPr="004F2718" w:rsidR="008635B4">
        <w:rPr>
          <w:i/>
          <w:iCs/>
        </w:rPr>
        <w:t>Metro Broadcasting</w:t>
      </w:r>
      <w:r w:rsidR="008635B4">
        <w:t>)</w:t>
      </w:r>
      <w:r w:rsidRPr="00BF240F">
        <w:t xml:space="preserve">, </w:t>
      </w:r>
      <w:r w:rsidRPr="00BF240F">
        <w:rPr>
          <w:i/>
          <w:iCs/>
        </w:rPr>
        <w:t xml:space="preserve">overruled in part by </w:t>
      </w:r>
      <w:r w:rsidRPr="002D1867">
        <w:rPr>
          <w:i/>
          <w:iCs/>
        </w:rPr>
        <w:t>Adarand Constructors, Inc. v. Pena</w:t>
      </w:r>
      <w:r w:rsidRPr="002D1867">
        <w:t>, 515 U.S. 200 (1995) (</w:t>
      </w:r>
      <w:r w:rsidRPr="002D1867">
        <w:rPr>
          <w:i/>
          <w:iCs/>
        </w:rPr>
        <w:t>Adarand</w:t>
      </w:r>
      <w:r w:rsidRPr="002D1867">
        <w:t xml:space="preserve">); </w:t>
      </w:r>
      <w:r w:rsidRPr="002D1867">
        <w:rPr>
          <w:i/>
          <w:iCs/>
        </w:rPr>
        <w:t>Lutheran Church-Missouri Synod v. FCC</w:t>
      </w:r>
      <w:r w:rsidRPr="002D1867">
        <w:t>, 141 F.3d 344 (D.C. Cir. 1998)</w:t>
      </w:r>
      <w:r w:rsidR="007419D0">
        <w:t xml:space="preserve"> (</w:t>
      </w:r>
      <w:r w:rsidRPr="004F2718" w:rsidR="007419D0">
        <w:rPr>
          <w:i/>
          <w:iCs/>
        </w:rPr>
        <w:t>Lutheran Church</w:t>
      </w:r>
      <w:r w:rsidR="007419D0">
        <w:t>)</w:t>
      </w:r>
      <w:r w:rsidRPr="002D1867">
        <w:t xml:space="preserve">.  </w:t>
      </w:r>
    </w:p>
  </w:footnote>
  <w:footnote w:id="12">
    <w:p w:rsidR="00CA0A8F" w:rsidP="00CA0A8F" w14:paraId="048F5D82" w14:textId="77777777">
      <w:pPr>
        <w:pStyle w:val="FootnoteText"/>
      </w:pPr>
      <w:r>
        <w:rPr>
          <w:rStyle w:val="FootnoteReference"/>
        </w:rPr>
        <w:footnoteRef/>
      </w:r>
      <w:r>
        <w:t xml:space="preserve"> </w:t>
      </w:r>
      <w:r w:rsidRPr="004F2718">
        <w:rPr>
          <w:i/>
          <w:iCs/>
        </w:rPr>
        <w:t>Id</w:t>
      </w:r>
      <w:r>
        <w:t xml:space="preserve">. at 5. </w:t>
      </w:r>
    </w:p>
  </w:footnote>
  <w:footnote w:id="13">
    <w:p w:rsidR="00CA6D10" w14:paraId="7747048D" w14:textId="67279F7D">
      <w:pPr>
        <w:pStyle w:val="FootnoteText"/>
      </w:pPr>
      <w:r>
        <w:rPr>
          <w:rStyle w:val="FootnoteReference"/>
        </w:rPr>
        <w:footnoteRef/>
      </w:r>
      <w:r>
        <w:t xml:space="preserve"> </w:t>
      </w:r>
      <w:r w:rsidRPr="004F2718" w:rsidR="00E85B55">
        <w:rPr>
          <w:i/>
          <w:iCs/>
        </w:rPr>
        <w:t>Id</w:t>
      </w:r>
      <w:r w:rsidR="00E85B55">
        <w:t xml:space="preserve">. at 4-5. </w:t>
      </w:r>
    </w:p>
  </w:footnote>
  <w:footnote w:id="14">
    <w:p w:rsidR="007974E8" w14:paraId="7892D5AF" w14:textId="3754A7CF">
      <w:pPr>
        <w:pStyle w:val="FootnoteText"/>
      </w:pPr>
      <w:r>
        <w:rPr>
          <w:rStyle w:val="FootnoteReference"/>
        </w:rPr>
        <w:footnoteRef/>
      </w:r>
      <w:r>
        <w:t xml:space="preserve"> </w:t>
      </w:r>
      <w:r w:rsidRPr="004F2718">
        <w:rPr>
          <w:i/>
          <w:iCs/>
        </w:rPr>
        <w:t>Id</w:t>
      </w:r>
      <w:r>
        <w:t xml:space="preserve">. at 4. </w:t>
      </w:r>
    </w:p>
  </w:footnote>
  <w:footnote w:id="15">
    <w:p w:rsidR="00521CB2" w:rsidRPr="002D1867" w14:paraId="205D1F6E" w14:textId="0E55D3F0">
      <w:pPr>
        <w:pStyle w:val="FootnoteText"/>
      </w:pPr>
      <w:r w:rsidRPr="0028771D">
        <w:rPr>
          <w:rStyle w:val="FootnoteReference"/>
        </w:rPr>
        <w:footnoteRef/>
      </w:r>
      <w:r w:rsidRPr="0028771D">
        <w:t xml:space="preserve"> </w:t>
      </w:r>
      <w:r w:rsidRPr="004F2718" w:rsidR="00BC3A40">
        <w:rPr>
          <w:i/>
          <w:iCs/>
        </w:rPr>
        <w:t>Id</w:t>
      </w:r>
      <w:r w:rsidR="00BC3A40">
        <w:t xml:space="preserve">. at 5. </w:t>
      </w:r>
    </w:p>
  </w:footnote>
  <w:footnote w:id="16">
    <w:p w:rsidR="00ED29A6" w:rsidRPr="002D1867" w:rsidP="00ED29A6" w14:paraId="7AC6799D" w14:textId="1C1EF133">
      <w:pPr>
        <w:pStyle w:val="FootnoteText"/>
      </w:pPr>
      <w:r w:rsidRPr="0028771D">
        <w:rPr>
          <w:rStyle w:val="FootnoteReference"/>
        </w:rPr>
        <w:footnoteRef/>
      </w:r>
      <w:r w:rsidR="00192DA9">
        <w:t xml:space="preserve"> </w:t>
      </w:r>
      <w:r w:rsidRPr="00192DA9" w:rsidR="00192DA9">
        <w:rPr>
          <w:i/>
          <w:iCs/>
        </w:rPr>
        <w:t>Id</w:t>
      </w:r>
      <w:r w:rsidR="00192DA9">
        <w:t>.</w:t>
      </w:r>
      <w:r w:rsidRPr="0028771D" w:rsidR="005E44F6">
        <w:t xml:space="preserve"> at 5-6</w:t>
      </w:r>
      <w:r w:rsidRPr="0028771D" w:rsidR="009D02DE">
        <w:t xml:space="preserve">; </w:t>
      </w:r>
      <w:r w:rsidRPr="00BF240F" w:rsidR="009D02DE">
        <w:rPr>
          <w:i/>
          <w:iCs/>
        </w:rPr>
        <w:t xml:space="preserve">see also </w:t>
      </w:r>
      <w:r w:rsidRPr="00BF240F" w:rsidR="009D02DE">
        <w:t xml:space="preserve">47 U.S.C. </w:t>
      </w:r>
      <w:r w:rsidRPr="00BF240F" w:rsidR="009D02DE">
        <w:rPr>
          <w:rStyle w:val="normaltextrun"/>
          <w:color w:val="000000"/>
          <w:shd w:val="clear" w:color="auto" w:fill="FFFFFF"/>
        </w:rPr>
        <w:t xml:space="preserve">§ </w:t>
      </w:r>
      <w:r w:rsidRPr="00BF240F" w:rsidR="009D02DE">
        <w:t>309(j)</w:t>
      </w:r>
      <w:r w:rsidRPr="002D1867" w:rsidR="00C4286F">
        <w:t>.</w:t>
      </w:r>
      <w:r w:rsidRPr="002D1867" w:rsidR="009D02DE">
        <w:t xml:space="preserve"> </w:t>
      </w:r>
    </w:p>
  </w:footnote>
  <w:footnote w:id="17">
    <w:p w:rsidR="001944B1" w:rsidRPr="002D1867" w14:paraId="15788157" w14:textId="255C2A07">
      <w:pPr>
        <w:pStyle w:val="FootnoteText"/>
      </w:pPr>
      <w:r w:rsidRPr="0028771D">
        <w:rPr>
          <w:rStyle w:val="FootnoteReference"/>
        </w:rPr>
        <w:footnoteRef/>
      </w:r>
      <w:r w:rsidRPr="0028771D">
        <w:t xml:space="preserve"> </w:t>
      </w:r>
      <w:r w:rsidRPr="0028771D" w:rsidR="009D02DE">
        <w:t>AFR</w:t>
      </w:r>
      <w:r w:rsidRPr="0028771D" w:rsidR="005E44F6">
        <w:t xml:space="preserve"> at </w:t>
      </w:r>
      <w:r w:rsidRPr="00BF240F" w:rsidR="00264FD3">
        <w:t xml:space="preserve">1. </w:t>
      </w:r>
      <w:r w:rsidRPr="00BF240F" w:rsidR="00B003BA">
        <w:t xml:space="preserve">In the AFR, </w:t>
      </w:r>
      <w:r w:rsidR="00172936">
        <w:t>UOBN</w:t>
      </w:r>
      <w:r w:rsidRPr="00BF240F" w:rsidR="00B003BA">
        <w:t xml:space="preserve"> also states that it “will show” that the </w:t>
      </w:r>
      <w:r w:rsidRPr="00BF240F" w:rsidR="00CF03B6">
        <w:rPr>
          <w:i/>
          <w:iCs/>
        </w:rPr>
        <w:t xml:space="preserve">Staff </w:t>
      </w:r>
      <w:r w:rsidRPr="00BF240F" w:rsidR="00B003BA">
        <w:rPr>
          <w:i/>
          <w:iCs/>
        </w:rPr>
        <w:t>Letter</w:t>
      </w:r>
      <w:r w:rsidRPr="002D1867" w:rsidR="00B003BA">
        <w:t xml:space="preserve"> involves “the application of precedent that should be overturned or revised” pursuant to </w:t>
      </w:r>
      <w:r w:rsidRPr="002D1867" w:rsidR="00B003BA">
        <w:rPr>
          <w:i/>
          <w:iCs/>
        </w:rPr>
        <w:t>Melody Music v. FCC</w:t>
      </w:r>
      <w:r w:rsidRPr="002D1867" w:rsidR="00B003BA">
        <w:t xml:space="preserve">. </w:t>
      </w:r>
      <w:r w:rsidRPr="002D1867" w:rsidR="00037B5D">
        <w:t xml:space="preserve"> </w:t>
      </w:r>
      <w:r w:rsidRPr="002D1867" w:rsidR="00B003BA">
        <w:t xml:space="preserve">AFR at 2.  </w:t>
      </w:r>
      <w:r w:rsidR="00172936">
        <w:t>UOBN</w:t>
      </w:r>
      <w:r w:rsidRPr="002D1867" w:rsidR="00B003BA">
        <w:t>, however, does not present any facts or arguments associated with this allegation, and we, therefore, do not address it herein.</w:t>
      </w:r>
    </w:p>
  </w:footnote>
  <w:footnote w:id="18">
    <w:p w:rsidR="00264FD3" w:rsidRPr="00BF240F" w14:paraId="07756323" w14:textId="648E3962">
      <w:pPr>
        <w:pStyle w:val="FootnoteText"/>
      </w:pPr>
      <w:r w:rsidRPr="0028771D">
        <w:rPr>
          <w:rStyle w:val="FootnoteReference"/>
        </w:rPr>
        <w:footnoteRef/>
      </w:r>
      <w:r w:rsidRPr="0028771D">
        <w:t xml:space="preserve"> </w:t>
      </w:r>
      <w:r w:rsidRPr="0028771D" w:rsidR="00272F67">
        <w:rPr>
          <w:color w:val="000000"/>
          <w:shd w:val="clear" w:color="auto" w:fill="FFFFFF"/>
        </w:rPr>
        <w:t>AFR Response</w:t>
      </w:r>
      <w:r w:rsidRPr="0028771D" w:rsidR="00432A7A">
        <w:rPr>
          <w:color w:val="000000"/>
          <w:shd w:val="clear" w:color="auto" w:fill="FFFFFF"/>
        </w:rPr>
        <w:t xml:space="preserve"> at 2</w:t>
      </w:r>
      <w:r w:rsidRPr="00BF240F">
        <w:t xml:space="preserve">. </w:t>
      </w:r>
    </w:p>
  </w:footnote>
  <w:footnote w:id="19">
    <w:p w:rsidR="00B10B73" w:rsidRPr="00BF240F" w14:paraId="4D9291AD" w14:textId="5BC51E1E">
      <w:pPr>
        <w:pStyle w:val="FootnoteText"/>
      </w:pPr>
      <w:r w:rsidRPr="0028771D">
        <w:rPr>
          <w:rStyle w:val="FootnoteReference"/>
        </w:rPr>
        <w:footnoteRef/>
      </w:r>
      <w:r w:rsidRPr="0028771D">
        <w:t xml:space="preserve"> </w:t>
      </w:r>
      <w:r w:rsidRPr="0028771D">
        <w:rPr>
          <w:i/>
          <w:iCs/>
        </w:rPr>
        <w:t>Id.</w:t>
      </w:r>
      <w:r w:rsidRPr="0028771D">
        <w:t xml:space="preserve">  </w:t>
      </w:r>
      <w:r w:rsidR="00172936">
        <w:rPr>
          <w:szCs w:val="22"/>
        </w:rPr>
        <w:t>UOBN</w:t>
      </w:r>
      <w:r w:rsidRPr="00BF240F" w:rsidR="00C72FD8">
        <w:rPr>
          <w:szCs w:val="22"/>
        </w:rPr>
        <w:t xml:space="preserve"> did not file a Reply to the </w:t>
      </w:r>
      <w:r w:rsidRPr="00BE340D" w:rsidR="00C72FD8">
        <w:rPr>
          <w:szCs w:val="22"/>
        </w:rPr>
        <w:t>AFR Response.</w:t>
      </w:r>
    </w:p>
  </w:footnote>
  <w:footnote w:id="20">
    <w:p w:rsidR="000357A7" w:rsidRPr="00BF240F" w:rsidP="000357A7" w14:paraId="5E83F79B" w14:textId="34213AFE">
      <w:pPr>
        <w:pStyle w:val="FootnoteText"/>
      </w:pPr>
      <w:r w:rsidRPr="0028771D">
        <w:rPr>
          <w:rStyle w:val="FootnoteReference"/>
        </w:rPr>
        <w:footnoteRef/>
      </w:r>
      <w:r w:rsidRPr="0028771D">
        <w:t xml:space="preserve"> </w:t>
      </w:r>
      <w:r w:rsidRPr="00BF240F">
        <w:rPr>
          <w:i/>
          <w:iCs/>
          <w:color w:val="000000"/>
          <w:bdr w:val="none" w:sz="0" w:space="0" w:color="auto" w:frame="1"/>
        </w:rPr>
        <w:t>See</w:t>
      </w:r>
      <w:r w:rsidRPr="00BF240F">
        <w:rPr>
          <w:color w:val="000000"/>
          <w:shd w:val="clear" w:color="auto" w:fill="FFFFFF"/>
        </w:rPr>
        <w:t> 47 C.F.R. § 1.115(c).</w:t>
      </w:r>
      <w:r w:rsidR="00724F87">
        <w:rPr>
          <w:color w:val="000000"/>
          <w:shd w:val="clear" w:color="auto" w:fill="FFFFFF"/>
        </w:rPr>
        <w:t xml:space="preserve">  While </w:t>
      </w:r>
      <w:r w:rsidR="00172936">
        <w:rPr>
          <w:color w:val="000000"/>
          <w:shd w:val="clear" w:color="auto" w:fill="FFFFFF"/>
        </w:rPr>
        <w:t>UOBN</w:t>
      </w:r>
      <w:r w:rsidR="00724F87">
        <w:rPr>
          <w:color w:val="000000"/>
          <w:shd w:val="clear" w:color="auto" w:fill="FFFFFF"/>
        </w:rPr>
        <w:t xml:space="preserve"> quoted Section 309(j) in its Informal Objection, it made no attempt to argue in the </w:t>
      </w:r>
      <w:r w:rsidRPr="00724F87" w:rsidR="00724F87">
        <w:rPr>
          <w:color w:val="000000"/>
          <w:shd w:val="clear" w:color="auto" w:fill="FFFFFF"/>
        </w:rPr>
        <w:t xml:space="preserve">Informal Objection </w:t>
      </w:r>
      <w:r w:rsidR="00724F87">
        <w:rPr>
          <w:color w:val="000000"/>
          <w:shd w:val="clear" w:color="auto" w:fill="FFFFFF"/>
        </w:rPr>
        <w:t>why th</w:t>
      </w:r>
      <w:r w:rsidR="00192DA9">
        <w:rPr>
          <w:color w:val="000000"/>
          <w:shd w:val="clear" w:color="auto" w:fill="FFFFFF"/>
        </w:rPr>
        <w:t>at</w:t>
      </w:r>
      <w:r w:rsidR="00724F87">
        <w:rPr>
          <w:color w:val="000000"/>
          <w:shd w:val="clear" w:color="auto" w:fill="FFFFFF"/>
        </w:rPr>
        <w:t xml:space="preserve"> provision would support the relief it requested.  Informal Objection</w:t>
      </w:r>
      <w:r w:rsidRPr="0028771D" w:rsidR="00724F87">
        <w:rPr>
          <w:rStyle w:val="normaltextrun"/>
          <w:color w:val="000000"/>
          <w:shd w:val="clear" w:color="auto" w:fill="FFFFFF"/>
        </w:rPr>
        <w:t xml:space="preserve">, </w:t>
      </w:r>
      <w:r w:rsidRPr="00BF240F" w:rsidR="00724F87">
        <w:rPr>
          <w:rStyle w:val="normaltextrun"/>
          <w:color w:val="000000"/>
          <w:shd w:val="clear" w:color="auto" w:fill="FFFFFF"/>
        </w:rPr>
        <w:t xml:space="preserve">File No. </w:t>
      </w:r>
      <w:r w:rsidRPr="00BF240F" w:rsidR="00724F87">
        <w:rPr>
          <w:color w:val="000000"/>
          <w:shd w:val="clear" w:color="auto" w:fill="FFFFFF"/>
        </w:rPr>
        <w:t>BAL-20200828AAJ</w:t>
      </w:r>
      <w:r w:rsidRPr="00BF240F" w:rsidR="00724F87">
        <w:t xml:space="preserve"> (filed</w:t>
      </w:r>
      <w:r w:rsidR="00724F87">
        <w:t xml:space="preserve"> Sept. 29</w:t>
      </w:r>
      <w:r w:rsidRPr="00BF240F" w:rsidR="00724F87">
        <w:rPr>
          <w:rStyle w:val="normaltextrun"/>
          <w:color w:val="000000"/>
          <w:shd w:val="clear" w:color="auto" w:fill="FFFFFF"/>
        </w:rPr>
        <w:t>, 2020)</w:t>
      </w:r>
      <w:r w:rsidR="00724F87">
        <w:rPr>
          <w:rStyle w:val="normaltextrun"/>
          <w:color w:val="000000"/>
          <w:shd w:val="clear" w:color="auto" w:fill="FFFFFF"/>
        </w:rPr>
        <w:t>, at 6</w:t>
      </w:r>
      <w:r w:rsidRPr="00BF240F" w:rsidR="00724F87">
        <w:t>.</w:t>
      </w:r>
    </w:p>
  </w:footnote>
  <w:footnote w:id="21">
    <w:p w:rsidR="002438EB" w:rsidP="00F467E3" w14:paraId="52131E7E" w14:textId="17C91DD2">
      <w:pPr>
        <w:widowControl/>
        <w:shd w:val="clear" w:color="auto" w:fill="FFFFFF"/>
        <w:spacing w:after="120"/>
        <w:textAlignment w:val="baseline"/>
      </w:pPr>
      <w:r>
        <w:rPr>
          <w:rStyle w:val="FootnoteReference"/>
        </w:rPr>
        <w:footnoteRef/>
      </w:r>
      <w:r>
        <w:t xml:space="preserve"> </w:t>
      </w:r>
      <w:r w:rsidRPr="00F467E3" w:rsidR="00B76120">
        <w:rPr>
          <w:i/>
          <w:iCs/>
          <w:sz w:val="20"/>
        </w:rPr>
        <w:t>Promoting Diversification of Ownership in Broad. Servs.</w:t>
      </w:r>
      <w:r w:rsidRPr="00F467E3" w:rsidR="00B76120">
        <w:rPr>
          <w:sz w:val="20"/>
        </w:rPr>
        <w:t xml:space="preserve">, </w:t>
      </w:r>
      <w:r w:rsidRPr="00F467E3" w:rsidR="00381C69">
        <w:rPr>
          <w:sz w:val="20"/>
        </w:rPr>
        <w:t xml:space="preserve">Report and Order and Third Further Notice of Proposed Rulemaking, </w:t>
      </w:r>
      <w:bookmarkStart w:id="1" w:name="_Hlk95320786"/>
      <w:r w:rsidRPr="00F467E3" w:rsidR="008E3E5D">
        <w:rPr>
          <w:sz w:val="20"/>
        </w:rPr>
        <w:t xml:space="preserve">23 FCC Rcd </w:t>
      </w:r>
      <w:r w:rsidRPr="00F467E3" w:rsidR="00F66834">
        <w:rPr>
          <w:sz w:val="20"/>
        </w:rPr>
        <w:t>5922</w:t>
      </w:r>
      <w:bookmarkEnd w:id="1"/>
      <w:r w:rsidRPr="00F467E3" w:rsidR="00F66834">
        <w:rPr>
          <w:sz w:val="20"/>
        </w:rPr>
        <w:t>, 5939</w:t>
      </w:r>
      <w:r w:rsidRPr="00F467E3" w:rsidR="00E672D7">
        <w:rPr>
          <w:sz w:val="20"/>
        </w:rPr>
        <w:t>, para. 41 (</w:t>
      </w:r>
      <w:r w:rsidRPr="00F467E3" w:rsidR="001C1434">
        <w:rPr>
          <w:sz w:val="20"/>
        </w:rPr>
        <w:t>2008)</w:t>
      </w:r>
      <w:r w:rsidR="00975DD6">
        <w:rPr>
          <w:sz w:val="20"/>
        </w:rPr>
        <w:t xml:space="preserve"> (</w:t>
      </w:r>
      <w:r w:rsidR="00975DD6">
        <w:rPr>
          <w:i/>
          <w:iCs/>
          <w:sz w:val="20"/>
        </w:rPr>
        <w:t>Diversity Order</w:t>
      </w:r>
      <w:r w:rsidR="00975DD6">
        <w:rPr>
          <w:sz w:val="20"/>
        </w:rPr>
        <w:t>)</w:t>
      </w:r>
      <w:r w:rsidRPr="00F467E3" w:rsidR="001C1434">
        <w:rPr>
          <w:sz w:val="20"/>
        </w:rPr>
        <w:t>.</w:t>
      </w:r>
      <w:r w:rsidR="001C1434">
        <w:t xml:space="preserve"> </w:t>
      </w:r>
    </w:p>
  </w:footnote>
  <w:footnote w:id="22">
    <w:p w:rsidR="009650FB" w14:paraId="66D04B6A" w14:textId="600ED5B8">
      <w:pPr>
        <w:pStyle w:val="FootnoteText"/>
      </w:pPr>
      <w:r>
        <w:rPr>
          <w:rStyle w:val="FootnoteReference"/>
        </w:rPr>
        <w:footnoteRef/>
      </w:r>
      <w:r>
        <w:t xml:space="preserve"> 47 CFR § 73.2090.</w:t>
      </w:r>
      <w:r w:rsidR="00975DD6">
        <w:t xml:space="preserve">  To promote compliance with this rule, the Commission revised FCC Form 314 (Application for Consent to Assignment of Broadcast Station Construction Permit or License) and FCC Form 315 (Application for Consent to Transfer Control of Entity Holding Broadcast Station Construction Permit or License) to require assignors</w:t>
      </w:r>
      <w:r w:rsidR="0068750A">
        <w:t xml:space="preserve"> and </w:t>
      </w:r>
      <w:r w:rsidR="00520019">
        <w:t>transferors</w:t>
      </w:r>
      <w:r w:rsidR="00975DD6">
        <w:t xml:space="preserve"> to certify compliance with this rule.  </w:t>
      </w:r>
      <w:r w:rsidR="00975DD6">
        <w:rPr>
          <w:i/>
          <w:iCs/>
        </w:rPr>
        <w:t xml:space="preserve">See Diversity </w:t>
      </w:r>
      <w:r w:rsidRPr="00975DD6" w:rsidR="00975DD6">
        <w:rPr>
          <w:i/>
          <w:iCs/>
        </w:rPr>
        <w:t>Order</w:t>
      </w:r>
      <w:r w:rsidR="00975DD6">
        <w:t xml:space="preserve">, 5922 </w:t>
      </w:r>
      <w:r w:rsidRPr="00975DD6" w:rsidR="00975DD6">
        <w:t>at</w:t>
      </w:r>
      <w:r w:rsidR="00975DD6">
        <w:t xml:space="preserve"> 5940, para. 42</w:t>
      </w:r>
      <w:r w:rsidR="00BC3CCE">
        <w:t>.  In the Application, SportsTalk certified compliance with this rule.  Application at Section II, Question 10.</w:t>
      </w:r>
    </w:p>
  </w:footnote>
  <w:footnote w:id="23">
    <w:p w:rsidR="009650FB" w14:paraId="00A0D863" w14:textId="005D176D">
      <w:pPr>
        <w:pStyle w:val="FootnoteText"/>
      </w:pPr>
      <w:r>
        <w:rPr>
          <w:rStyle w:val="FootnoteReference"/>
        </w:rPr>
        <w:footnoteRef/>
      </w:r>
      <w:r>
        <w:t xml:space="preserve"> </w:t>
      </w:r>
      <w:r w:rsidRPr="00F467E3" w:rsidR="00312A59">
        <w:rPr>
          <w:i/>
          <w:iCs/>
        </w:rPr>
        <w:t>Mr. William Johnson</w:t>
      </w:r>
      <w:r w:rsidR="00312A59">
        <w:t>, Letter</w:t>
      </w:r>
      <w:r w:rsidR="00F467E3">
        <w:t xml:space="preserve"> Order</w:t>
      </w:r>
      <w:r w:rsidR="00312A59">
        <w:t>, 27 FCC Rcd 1471</w:t>
      </w:r>
      <w:r w:rsidR="000E0BE7">
        <w:t xml:space="preserve"> (MB 2012). </w:t>
      </w:r>
    </w:p>
  </w:footnote>
  <w:footnote w:id="24">
    <w:p w:rsidR="002D1EA9" w14:paraId="36BE4612" w14:textId="25A68129">
      <w:pPr>
        <w:pStyle w:val="FootnoteText"/>
      </w:pPr>
      <w:r>
        <w:rPr>
          <w:rStyle w:val="FootnoteReference"/>
        </w:rPr>
        <w:footnoteRef/>
      </w:r>
      <w:r>
        <w:t xml:space="preserve"> </w:t>
      </w:r>
      <w:r w:rsidRPr="00520019" w:rsidR="0058734A">
        <w:rPr>
          <w:i/>
          <w:iCs/>
        </w:rPr>
        <w:t>See</w:t>
      </w:r>
      <w:r w:rsidR="0058734A">
        <w:t xml:space="preserve"> </w:t>
      </w:r>
      <w:r w:rsidRPr="00BF240F" w:rsidR="00D8731D">
        <w:rPr>
          <w:rStyle w:val="normaltextrun"/>
          <w:color w:val="000000"/>
          <w:shd w:val="clear" w:color="auto" w:fill="FFFFFF"/>
        </w:rPr>
        <w:t>47 U.S.C. § 309(</w:t>
      </w:r>
      <w:r w:rsidR="0058734A">
        <w:rPr>
          <w:rStyle w:val="normaltextrun"/>
          <w:color w:val="000000"/>
          <w:shd w:val="clear" w:color="auto" w:fill="FFFFFF"/>
        </w:rPr>
        <w:t>d</w:t>
      </w:r>
      <w:r w:rsidRPr="00BF240F" w:rsidR="00D8731D">
        <w:rPr>
          <w:rStyle w:val="normaltextrun"/>
          <w:color w:val="000000"/>
          <w:shd w:val="clear" w:color="auto" w:fill="FFFFFF"/>
        </w:rPr>
        <w:t>)</w:t>
      </w:r>
      <w:r w:rsidR="0058734A">
        <w:rPr>
          <w:rStyle w:val="normaltextrun"/>
          <w:color w:val="000000"/>
          <w:shd w:val="clear" w:color="auto" w:fill="FFFFFF"/>
        </w:rPr>
        <w:t>.</w:t>
      </w:r>
    </w:p>
  </w:footnote>
  <w:footnote w:id="25">
    <w:p w:rsidR="00A46B91" w:rsidP="002438EB" w14:paraId="3EF4EA7F" w14:textId="29109202">
      <w:pPr>
        <w:pStyle w:val="FootnoteText"/>
      </w:pPr>
      <w:r>
        <w:rPr>
          <w:rStyle w:val="FootnoteReference"/>
        </w:rPr>
        <w:footnoteRef/>
      </w:r>
      <w:r>
        <w:t xml:space="preserve"> AFR at 3.</w:t>
      </w:r>
    </w:p>
  </w:footnote>
  <w:footnote w:id="26">
    <w:p w:rsidR="000357A7" w:rsidRPr="0028771D" w:rsidP="000357A7" w14:paraId="07BED6CB" w14:textId="77777777">
      <w:pPr>
        <w:pStyle w:val="FootnoteText"/>
      </w:pPr>
      <w:r w:rsidRPr="0028771D">
        <w:rPr>
          <w:rStyle w:val="FootnoteReference"/>
        </w:rPr>
        <w:footnoteRef/>
      </w:r>
      <w:r w:rsidRPr="0028771D">
        <w:t xml:space="preserve"> </w:t>
      </w:r>
      <w:r w:rsidRPr="00BF240F">
        <w:rPr>
          <w:rStyle w:val="normaltextrun"/>
          <w:color w:val="000000"/>
          <w:shd w:val="clear" w:color="auto" w:fill="FFFFFF"/>
        </w:rPr>
        <w:t xml:space="preserve">42 U.S.C. § 2000e </w:t>
      </w:r>
      <w:r w:rsidRPr="00BF240F">
        <w:rPr>
          <w:rStyle w:val="normaltextrun"/>
          <w:i/>
          <w:iCs/>
          <w:color w:val="000000"/>
          <w:shd w:val="clear" w:color="auto" w:fill="FFFFFF"/>
        </w:rPr>
        <w:t>et</w:t>
      </w:r>
      <w:r w:rsidRPr="0045471B">
        <w:rPr>
          <w:rStyle w:val="normaltextrun"/>
          <w:i/>
          <w:iCs/>
          <w:color w:val="000000"/>
          <w:shd w:val="clear" w:color="auto" w:fill="FFFFFF"/>
        </w:rPr>
        <w:t xml:space="preserve"> seq</w:t>
      </w:r>
      <w:r w:rsidRPr="002D1867">
        <w:rPr>
          <w:rStyle w:val="normaltextrun"/>
          <w:color w:val="000000"/>
          <w:shd w:val="clear" w:color="auto" w:fill="FFFFFF"/>
        </w:rPr>
        <w:t xml:space="preserve">. </w:t>
      </w:r>
      <w:r w:rsidRPr="00BE340D">
        <w:rPr>
          <w:i/>
          <w:iCs/>
          <w:color w:val="000000"/>
          <w:shd w:val="clear" w:color="auto" w:fill="FFEE80"/>
        </w:rPr>
        <w:t xml:space="preserve"> </w:t>
      </w:r>
    </w:p>
  </w:footnote>
  <w:footnote w:id="27">
    <w:p w:rsidR="00D85B56" w:rsidRPr="00226A92" w:rsidP="009D7729" w14:paraId="4040D205" w14:textId="79E0F0CC">
      <w:pPr>
        <w:pStyle w:val="FootnoteText"/>
      </w:pPr>
      <w:r w:rsidRPr="0028771D">
        <w:rPr>
          <w:rStyle w:val="FootnoteReference"/>
        </w:rPr>
        <w:footnoteRef/>
      </w:r>
      <w:r w:rsidRPr="0028771D">
        <w:t xml:space="preserve"> </w:t>
      </w:r>
      <w:r w:rsidRPr="00BF240F" w:rsidR="007D07A1">
        <w:t>U</w:t>
      </w:r>
      <w:r w:rsidRPr="00BF240F" w:rsidR="0099054A">
        <w:t>.</w:t>
      </w:r>
      <w:r w:rsidRPr="00BF240F" w:rsidR="007D07A1">
        <w:t>S</w:t>
      </w:r>
      <w:r w:rsidRPr="00BF240F" w:rsidR="0099054A">
        <w:t>.</w:t>
      </w:r>
      <w:r w:rsidRPr="0045471B" w:rsidR="007D07A1">
        <w:t xml:space="preserve"> Equal Emplo</w:t>
      </w:r>
      <w:r w:rsidRPr="002D1867" w:rsidR="007D07A1">
        <w:t xml:space="preserve">yment Opportunity Commission, </w:t>
      </w:r>
      <w:r w:rsidRPr="00BE340D" w:rsidR="007D07A1">
        <w:rPr>
          <w:i/>
          <w:iCs/>
        </w:rPr>
        <w:t>Filing a Lawsuit</w:t>
      </w:r>
      <w:r w:rsidRPr="0028771D" w:rsidR="007D07A1">
        <w:t xml:space="preserve">, </w:t>
      </w:r>
      <w:hyperlink r:id="rId1" w:history="1">
        <w:r w:rsidRPr="00BE340D" w:rsidR="008A2FF4">
          <w:rPr>
            <w:rStyle w:val="Hyperlink"/>
            <w:color w:val="auto"/>
          </w:rPr>
          <w:t>https://www.eeoc.gov/filing-lawsuit</w:t>
        </w:r>
      </w:hyperlink>
      <w:r w:rsidRPr="0028771D" w:rsidR="008A2FF4">
        <w:t xml:space="preserve"> (</w:t>
      </w:r>
      <w:r w:rsidRPr="00BF240F" w:rsidR="008A2FF4">
        <w:t>last visited Dec. 20, 2021)</w:t>
      </w:r>
      <w:r w:rsidRPr="00BF240F" w:rsidR="00394C7F">
        <w:t xml:space="preserve"> </w:t>
      </w:r>
      <w:r w:rsidRPr="00BE340D" w:rsidR="00394C7F">
        <w:rPr>
          <w:rStyle w:val="Hyperlink"/>
          <w:color w:val="auto"/>
        </w:rPr>
        <w:t>(</w:t>
      </w:r>
      <w:r w:rsidRPr="00BE340D" w:rsidR="00394C7F">
        <w:rPr>
          <w:rStyle w:val="Hyperlink"/>
          <w:color w:val="auto"/>
          <w:u w:val="none"/>
        </w:rPr>
        <w:t>“To file a Title VII lawsuit in court, you must have filed a charge with EEOC and received a Notice of Right to Sue.”).</w:t>
      </w:r>
      <w:r w:rsidR="0007744C">
        <w:rPr>
          <w:rFonts w:ascii="Helvetica" w:hAnsi="Helvetica" w:cs="Helvetica"/>
          <w:shd w:val="clear" w:color="auto" w:fill="FFFFFF"/>
        </w:rPr>
        <w:t xml:space="preserve">  </w:t>
      </w:r>
      <w:r w:rsidR="00172936">
        <w:rPr>
          <w:shd w:val="clear" w:color="auto" w:fill="FFFFFF"/>
        </w:rPr>
        <w:t>UOBN</w:t>
      </w:r>
      <w:r w:rsidRPr="00226A92" w:rsidR="0007744C">
        <w:rPr>
          <w:shd w:val="clear" w:color="auto" w:fill="FFFFFF"/>
        </w:rPr>
        <w:t xml:space="preserve"> has not identified any other “U.S. civil rights laws” that would apply here</w:t>
      </w:r>
      <w:r w:rsidRPr="00226A92" w:rsidR="00226A92">
        <w:rPr>
          <w:shd w:val="clear" w:color="auto" w:fill="FFFFFF"/>
        </w:rPr>
        <w:t>.</w:t>
      </w:r>
    </w:p>
  </w:footnote>
  <w:footnote w:id="28">
    <w:p w:rsidR="00F76992" w14:paraId="7CC011E5" w14:textId="4582A9BC">
      <w:pPr>
        <w:pStyle w:val="FootnoteText"/>
      </w:pPr>
      <w:r>
        <w:rPr>
          <w:rStyle w:val="FootnoteReference"/>
        </w:rPr>
        <w:footnoteRef/>
      </w:r>
      <w:r>
        <w:t xml:space="preserve"> </w:t>
      </w:r>
      <w:r w:rsidR="001818F6">
        <w:rPr>
          <w:szCs w:val="22"/>
        </w:rPr>
        <w:t xml:space="preserve">The Commission’s interest in </w:t>
      </w:r>
      <w:r w:rsidRPr="001358FE" w:rsidR="001818F6">
        <w:rPr>
          <w:szCs w:val="22"/>
        </w:rPr>
        <w:t xml:space="preserve">promoting broadcast diversity is </w:t>
      </w:r>
      <w:r w:rsidR="001358FE">
        <w:rPr>
          <w:szCs w:val="22"/>
        </w:rPr>
        <w:t xml:space="preserve">not </w:t>
      </w:r>
      <w:r w:rsidRPr="001358FE" w:rsidR="001818F6">
        <w:rPr>
          <w:szCs w:val="22"/>
        </w:rPr>
        <w:t>dispute</w:t>
      </w:r>
      <w:r w:rsidR="001358FE">
        <w:rPr>
          <w:szCs w:val="22"/>
        </w:rPr>
        <w:t>d</w:t>
      </w:r>
      <w:r w:rsidRPr="001358FE" w:rsidR="001818F6">
        <w:rPr>
          <w:szCs w:val="22"/>
        </w:rPr>
        <w:t xml:space="preserve"> in the record here.  </w:t>
      </w:r>
      <w:r w:rsidR="00172936">
        <w:t>UOBN</w:t>
      </w:r>
      <w:r w:rsidRPr="001358FE" w:rsidR="001818F6">
        <w:t>’s</w:t>
      </w:r>
      <w:r w:rsidRPr="001358FE" w:rsidR="00E27860">
        <w:t xml:space="preserve"> </w:t>
      </w:r>
      <w:r w:rsidRPr="001358FE" w:rsidR="001818F6">
        <w:t xml:space="preserve">primary point is </w:t>
      </w:r>
      <w:r w:rsidRPr="001358FE" w:rsidR="00E27860">
        <w:t xml:space="preserve">that </w:t>
      </w:r>
      <w:r w:rsidRPr="001358FE" w:rsidR="000250F9">
        <w:t>our public policy interest in promoting diversity in broadcast</w:t>
      </w:r>
      <w:r w:rsidRPr="001358FE" w:rsidR="003C270B">
        <w:t>ing</w:t>
      </w:r>
      <w:r w:rsidRPr="001358FE" w:rsidR="00BA3C33">
        <w:t xml:space="preserve"> recognized in </w:t>
      </w:r>
      <w:r w:rsidRPr="001358FE" w:rsidR="00BA3C33">
        <w:rPr>
          <w:i/>
          <w:iCs/>
        </w:rPr>
        <w:t>Metro Broadcasting</w:t>
      </w:r>
      <w:r w:rsidRPr="001358FE" w:rsidR="00BA3C33">
        <w:t xml:space="preserve"> was not overturned by </w:t>
      </w:r>
      <w:r w:rsidRPr="001358FE" w:rsidR="00BA3C33">
        <w:rPr>
          <w:i/>
          <w:iCs/>
          <w:szCs w:val="22"/>
        </w:rPr>
        <w:t>Adarand</w:t>
      </w:r>
      <w:r w:rsidRPr="001358FE" w:rsidR="00BA3C33">
        <w:rPr>
          <w:szCs w:val="22"/>
        </w:rPr>
        <w:t xml:space="preserve"> and </w:t>
      </w:r>
      <w:r w:rsidRPr="001358FE" w:rsidR="00BA3C33">
        <w:rPr>
          <w:i/>
          <w:iCs/>
          <w:szCs w:val="22"/>
        </w:rPr>
        <w:t>Lutheran Church.</w:t>
      </w:r>
      <w:r w:rsidR="001358FE">
        <w:rPr>
          <w:szCs w:val="22"/>
        </w:rPr>
        <w:t xml:space="preserve">  AFR at 5.</w:t>
      </w:r>
      <w:r w:rsidR="00BA3C33">
        <w:t xml:space="preserve"> </w:t>
      </w:r>
      <w:r w:rsidR="000250F9">
        <w:t xml:space="preserve"> </w:t>
      </w:r>
    </w:p>
  </w:footnote>
  <w:footnote w:id="29">
    <w:p w:rsidR="00B5674F" w14:paraId="72B1CEC4" w14:textId="40B6733A">
      <w:pPr>
        <w:pStyle w:val="FootnoteText"/>
      </w:pPr>
      <w:r>
        <w:rPr>
          <w:rStyle w:val="FootnoteReference"/>
        </w:rPr>
        <w:footnoteRef/>
      </w:r>
      <w:r>
        <w:t xml:space="preserve"> </w:t>
      </w:r>
      <w:r w:rsidRPr="00BE340D" w:rsidR="00B344D6">
        <w:rPr>
          <w:i/>
          <w:iCs/>
        </w:rPr>
        <w:t>Staff Letter</w:t>
      </w:r>
      <w:r w:rsidRPr="0028771D" w:rsidR="00B344D6">
        <w:t xml:space="preserve"> at </w:t>
      </w:r>
      <w:r w:rsidR="00B344D6">
        <w:t xml:space="preserve">4-5 (finding </w:t>
      </w:r>
      <w:r w:rsidR="00172936">
        <w:t>UOBN</w:t>
      </w:r>
      <w:r w:rsidR="00971718">
        <w:t xml:space="preserve"> failed to make a </w:t>
      </w:r>
      <w:r w:rsidRPr="00971718" w:rsidR="00971718">
        <w:rPr>
          <w:i/>
          <w:iCs/>
        </w:rPr>
        <w:t>prima facie</w:t>
      </w:r>
      <w:r w:rsidR="00971718">
        <w:t xml:space="preserve"> case of discrimination to support a violation of 47 CFR § 73.2090).</w:t>
      </w:r>
    </w:p>
  </w:footnote>
  <w:footnote w:id="30">
    <w:p w:rsidR="00641917" w14:paraId="17CA1A43" w14:textId="49B67B46">
      <w:pPr>
        <w:pStyle w:val="FootnoteText"/>
      </w:pPr>
      <w:r>
        <w:rPr>
          <w:rStyle w:val="FootnoteReference"/>
        </w:rPr>
        <w:footnoteRef/>
      </w:r>
      <w:r>
        <w:t xml:space="preserve"> </w:t>
      </w:r>
      <w:r w:rsidRPr="00641917">
        <w:rPr>
          <w:i/>
          <w:iCs/>
        </w:rPr>
        <w:t>S</w:t>
      </w:r>
      <w:r>
        <w:rPr>
          <w:i/>
          <w:iCs/>
        </w:rPr>
        <w:t>ee Stockholders</w:t>
      </w:r>
      <w:r w:rsidRPr="00641917">
        <w:rPr>
          <w:i/>
          <w:iCs/>
        </w:rPr>
        <w:t xml:space="preserve"> of Renaissance Comm. Corp</w:t>
      </w:r>
      <w:r w:rsidRPr="00641917">
        <w:t>., Memorandum Opinion and Order, 12 FCC Rcd 11866, 118</w:t>
      </w:r>
      <w:r>
        <w:t xml:space="preserve">69 </w:t>
      </w:r>
      <w:r w:rsidRPr="00641917">
        <w:t>(1997)</w:t>
      </w:r>
      <w:r w:rsidR="00DF4945">
        <w:t xml:space="preserve"> </w:t>
      </w:r>
      <w:r>
        <w:t>(</w:t>
      </w:r>
      <w:r w:rsidRPr="00641917">
        <w:t>Commission is not the proper forum for the adjudication of private contractual disputes</w:t>
      </w:r>
      <w:r w:rsidR="00882420">
        <w:t>).</w:t>
      </w:r>
    </w:p>
  </w:footnote>
  <w:footnote w:id="31">
    <w:p w:rsidR="008C65FB" w:rsidRPr="002D1867" w14:paraId="27F7D893" w14:textId="366A7EDC">
      <w:pPr>
        <w:pStyle w:val="FootnoteText"/>
      </w:pPr>
      <w:r w:rsidRPr="0028771D">
        <w:rPr>
          <w:rStyle w:val="FootnoteReference"/>
        </w:rPr>
        <w:footnoteRef/>
      </w:r>
      <w:r w:rsidRPr="0028771D">
        <w:t xml:space="preserve"> AFR at 5-6</w:t>
      </w:r>
      <w:r w:rsidRPr="00BF240F" w:rsidR="00C4286F">
        <w:t xml:space="preserve">; 47 U.S.C. </w:t>
      </w:r>
      <w:r w:rsidRPr="00BF240F" w:rsidR="00C4286F">
        <w:rPr>
          <w:rStyle w:val="normaltextrun"/>
          <w:color w:val="000000"/>
          <w:shd w:val="clear" w:color="auto" w:fill="FFFFFF"/>
        </w:rPr>
        <w:t xml:space="preserve">§ </w:t>
      </w:r>
      <w:r w:rsidRPr="00BF240F" w:rsidR="00C4286F">
        <w:t>309</w:t>
      </w:r>
      <w:r w:rsidRPr="002D1867" w:rsidR="00C4286F">
        <w:t>.</w:t>
      </w:r>
    </w:p>
  </w:footnote>
  <w:footnote w:id="32">
    <w:p w:rsidR="000357A7" w:rsidRPr="00BF240F" w:rsidP="000357A7" w14:paraId="6FC2CBC0" w14:textId="22F37FF4">
      <w:pPr>
        <w:pStyle w:val="FootnoteText"/>
      </w:pPr>
      <w:r w:rsidRPr="0028771D">
        <w:rPr>
          <w:rStyle w:val="FootnoteReference"/>
        </w:rPr>
        <w:footnoteRef/>
      </w:r>
      <w:r w:rsidRPr="0028771D">
        <w:t xml:space="preserve"> </w:t>
      </w:r>
      <w:r w:rsidRPr="00BF240F" w:rsidR="008C65FB">
        <w:rPr>
          <w:i/>
          <w:iCs/>
        </w:rPr>
        <w:t xml:space="preserve">See </w:t>
      </w:r>
      <w:r w:rsidRPr="00ED5AF8" w:rsidR="00ED5AF8">
        <w:t>AFR</w:t>
      </w:r>
      <w:r w:rsidRPr="00BF240F" w:rsidR="008C65FB">
        <w:t xml:space="preserve"> at 6. </w:t>
      </w:r>
    </w:p>
  </w:footnote>
  <w:footnote w:id="33">
    <w:p w:rsidR="000357A7" w:rsidRPr="00BF240F" w:rsidP="000357A7" w14:paraId="1F0F8A93" w14:textId="23C16E3A">
      <w:pPr>
        <w:pStyle w:val="FootnoteText"/>
      </w:pPr>
      <w:r w:rsidRPr="0028771D">
        <w:rPr>
          <w:rStyle w:val="FootnoteReference"/>
        </w:rPr>
        <w:footnoteRef/>
      </w:r>
      <w:r w:rsidRPr="0028771D">
        <w:t xml:space="preserve"> </w:t>
      </w:r>
      <w:r w:rsidRPr="00BF240F" w:rsidR="008C65FB">
        <w:rPr>
          <w:rStyle w:val="normaltextrun"/>
          <w:color w:val="000000"/>
          <w:shd w:val="clear" w:color="auto" w:fill="FFFFFF"/>
        </w:rPr>
        <w:t>47 U.S.C. § 309(j)</w:t>
      </w:r>
      <w:r w:rsidRPr="00BF240F" w:rsidR="00666934">
        <w:rPr>
          <w:rStyle w:val="normaltextrun"/>
          <w:color w:val="000000"/>
          <w:shd w:val="clear" w:color="auto" w:fill="FFFFFF"/>
        </w:rPr>
        <w:t>(4)</w:t>
      </w:r>
      <w:r w:rsidR="00CA2DDC">
        <w:rPr>
          <w:rStyle w:val="normaltextrun"/>
          <w:color w:val="000000"/>
          <w:shd w:val="clear" w:color="auto" w:fill="FFFFFF"/>
        </w:rPr>
        <w:t>(C)-</w:t>
      </w:r>
      <w:r w:rsidRPr="00BF240F" w:rsidR="00666934">
        <w:rPr>
          <w:rStyle w:val="normaltextrun"/>
          <w:color w:val="000000"/>
          <w:shd w:val="clear" w:color="auto" w:fill="FFFFFF"/>
        </w:rPr>
        <w:t>(D)</w:t>
      </w:r>
      <w:r w:rsidRPr="00BF240F" w:rsidR="008C65FB">
        <w:rPr>
          <w:rStyle w:val="normaltextrun"/>
          <w:color w:val="000000"/>
          <w:shd w:val="clear" w:color="auto" w:fill="FFFFFF"/>
        </w:rPr>
        <w:t>.</w:t>
      </w:r>
      <w:r w:rsidR="00BE3108">
        <w:rPr>
          <w:rStyle w:val="normaltextrun"/>
          <w:color w:val="000000"/>
          <w:shd w:val="clear" w:color="auto" w:fill="FFFFFF"/>
        </w:rPr>
        <w:t xml:space="preserve">  </w:t>
      </w:r>
      <w:r w:rsidRPr="00335216" w:rsidR="00335216">
        <w:rPr>
          <w:rStyle w:val="normaltextrun"/>
          <w:i/>
          <w:iCs/>
          <w:color w:val="000000"/>
          <w:shd w:val="clear" w:color="auto" w:fill="FFFFFF"/>
        </w:rPr>
        <w:t>See also</w:t>
      </w:r>
      <w:r w:rsidR="00335216">
        <w:rPr>
          <w:rStyle w:val="normaltextrun"/>
          <w:color w:val="000000"/>
          <w:shd w:val="clear" w:color="auto" w:fill="FFFFFF"/>
        </w:rPr>
        <w:t xml:space="preserve"> </w:t>
      </w:r>
      <w:r w:rsidRPr="00902248" w:rsidR="00335216">
        <w:t>47 U.S.C. § 309(j)(3)(</w:t>
      </w:r>
      <w:r w:rsidRPr="00902248" w:rsidR="00335216">
        <w:rPr>
          <w:rFonts w:eastAsia="Segoe UI Emoji"/>
        </w:rPr>
        <w:t xml:space="preserve">B) </w:t>
      </w:r>
      <w:r w:rsidR="00335216">
        <w:t>(“</w:t>
      </w:r>
      <w:r w:rsidRPr="00902248" w:rsidR="00335216">
        <w:t>In identifying classes of licenses and permits to be issued by competitive bidding, in specifying eligibility and other characteristics of such licenses and permits, and in designing the methodologies for use under this subsection, the Commission </w:t>
      </w:r>
      <w:r w:rsidR="00335216">
        <w:t>. . .</w:t>
      </w:r>
      <w:r w:rsidRPr="00902248" w:rsidR="00335216">
        <w:t xml:space="preserve"> shall seek to promote </w:t>
      </w:r>
      <w:r w:rsidR="00335216">
        <w:t xml:space="preserve">. . . </w:t>
      </w:r>
      <w:r w:rsidRPr="00902248" w:rsidR="00335216">
        <w:t>the following objectives</w:t>
      </w:r>
      <w:r w:rsidR="00335216">
        <w:t xml:space="preserve">: . . . (B) . . . </w:t>
      </w:r>
      <w:r w:rsidRPr="00902248" w:rsidR="00335216">
        <w:t xml:space="preserve">ensuring that new and innovative technologies are readily accessible to the American people </w:t>
      </w:r>
      <w:r w:rsidR="00335216">
        <w:t xml:space="preserve">. . . </w:t>
      </w:r>
      <w:r w:rsidRPr="00902248" w:rsidR="00335216">
        <w:t xml:space="preserve">by disseminating licenses among a wide variety of applicants, including </w:t>
      </w:r>
      <w:r w:rsidR="00335216">
        <w:t xml:space="preserve">. . . </w:t>
      </w:r>
      <w:r w:rsidRPr="00902248" w:rsidR="00335216">
        <w:t>businesses owned by members of minority groups and women</w:t>
      </w:r>
      <w:r w:rsidR="00335216">
        <w:t>”).</w:t>
      </w:r>
      <w:r w:rsidR="00BE3108">
        <w:rPr>
          <w:rStyle w:val="normaltextrun"/>
          <w:color w:val="000000"/>
          <w:shd w:val="clear" w:color="auto" w:fill="FFFFFF"/>
        </w:rPr>
        <w:t xml:space="preserve"> </w:t>
      </w:r>
      <w:r w:rsidRPr="00BE340D" w:rsidR="008C65FB">
        <w:rPr>
          <w:rStyle w:val="eop"/>
          <w:color w:val="000000"/>
          <w:shd w:val="clear" w:color="auto" w:fill="FFFFFF"/>
        </w:rPr>
        <w:t> </w:t>
      </w:r>
      <w:r w:rsidRPr="0028771D">
        <w:t xml:space="preserve"> </w:t>
      </w:r>
    </w:p>
  </w:footnote>
  <w:footnote w:id="34">
    <w:p w:rsidR="000D06CD" w14:paraId="7AF630C9" w14:textId="24B08002">
      <w:pPr>
        <w:pStyle w:val="FootnoteText"/>
      </w:pPr>
      <w:r>
        <w:rPr>
          <w:rStyle w:val="FootnoteReference"/>
        </w:rPr>
        <w:footnoteRef/>
      </w:r>
      <w:r>
        <w:t xml:space="preserve"> 47 U.S.C. § 309(j)(1).</w:t>
      </w:r>
    </w:p>
  </w:footnote>
  <w:footnote w:id="35">
    <w:p w:rsidR="00DE2C0C" w14:paraId="47DCB961" w14:textId="09BC234C">
      <w:pPr>
        <w:pStyle w:val="FootnoteText"/>
      </w:pPr>
      <w:r>
        <w:rPr>
          <w:rStyle w:val="FootnoteReference"/>
        </w:rPr>
        <w:footnoteRef/>
      </w:r>
      <w:r>
        <w:t xml:space="preserve"> 47 U.S.C. § 310(d).  </w:t>
      </w:r>
    </w:p>
  </w:footnote>
  <w:footnote w:id="36">
    <w:p w:rsidR="00AC0FE9" w:rsidRPr="00BF240F" w:rsidP="00D1470B" w14:paraId="3734C8F8" w14:textId="326F616C">
      <w:pPr>
        <w:pStyle w:val="FootnoteText"/>
        <w:keepNext/>
        <w:keepLines/>
      </w:pPr>
      <w:r w:rsidRPr="0028771D">
        <w:rPr>
          <w:rStyle w:val="FootnoteReference"/>
        </w:rPr>
        <w:footnoteRef/>
      </w:r>
      <w:r w:rsidRPr="0028771D">
        <w:t xml:space="preserve"> </w:t>
      </w:r>
      <w:r w:rsidRPr="00BE340D">
        <w:rPr>
          <w:i/>
          <w:iCs/>
        </w:rPr>
        <w:t>Staff Letter</w:t>
      </w:r>
      <w:r w:rsidRPr="0028771D">
        <w:t xml:space="preserve"> at </w:t>
      </w:r>
      <w:r w:rsidRPr="00BF240F" w:rsidR="00695A5E">
        <w:t>3</w:t>
      </w:r>
      <w:r>
        <w:t xml:space="preserve"> (citing </w:t>
      </w:r>
      <w:r w:rsidRPr="0087548D">
        <w:rPr>
          <w:i/>
          <w:iCs/>
        </w:rPr>
        <w:t>A.L.Z. Broadcasting, Inc.</w:t>
      </w:r>
      <w:r w:rsidRPr="0087548D">
        <w:t>, Memorandum Opinion and Order, 15 FCC Rcd 23200, 23201, para. 3 (2000)</w:t>
      </w:r>
      <w:r>
        <w:t>)</w:t>
      </w:r>
      <w:r w:rsidRPr="00BF240F" w:rsidR="00695A5E">
        <w:t>.</w:t>
      </w:r>
      <w:r w:rsidR="005934F4">
        <w:t xml:space="preserve"> For example, as noted above, </w:t>
      </w:r>
      <w:r>
        <w:t xml:space="preserve">while 47 CFR § 73.2090 prohibits discrimination in the sale of a broadcast station, the Bureau found </w:t>
      </w:r>
      <w:r w:rsidR="00172936">
        <w:t>UOBN</w:t>
      </w:r>
      <w:r w:rsidRPr="001B2E63">
        <w:t xml:space="preserve"> failed to make a </w:t>
      </w:r>
      <w:r w:rsidRPr="001B2E63">
        <w:rPr>
          <w:i/>
          <w:iCs/>
        </w:rPr>
        <w:t xml:space="preserve">prima facie </w:t>
      </w:r>
      <w:r w:rsidRPr="001B2E63">
        <w:t xml:space="preserve">case </w:t>
      </w:r>
      <w:r>
        <w:t xml:space="preserve">of </w:t>
      </w:r>
      <w:r w:rsidRPr="001B2E63">
        <w:t>such discrimination</w:t>
      </w:r>
      <w:r>
        <w:t xml:space="preserve"> here.  </w:t>
      </w:r>
      <w:r w:rsidRPr="00BE340D">
        <w:rPr>
          <w:i/>
          <w:iCs/>
        </w:rPr>
        <w:t>Staff Letter</w:t>
      </w:r>
      <w:r w:rsidRPr="0028771D">
        <w:t xml:space="preserve"> at </w:t>
      </w:r>
      <w:r>
        <w:t>4-5.</w:t>
      </w:r>
    </w:p>
    <w:p w:rsidR="00B4177E" w:rsidP="00B4177E" w14:paraId="708A2306" w14:textId="7F0E90B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9F73D9A" w14:textId="122C06CD">
    <w:pPr>
      <w:pStyle w:val="Header"/>
      <w:rPr>
        <w:b w:val="0"/>
      </w:rPr>
    </w:pPr>
    <w:r>
      <w:tab/>
    </w:r>
    <w:r>
      <w:t>Federal Communications Commission</w:t>
    </w:r>
    <w:r>
      <w:tab/>
    </w:r>
    <w:r w:rsidR="00D1470B">
      <w:t>FCC 22-25</w:t>
    </w:r>
  </w:p>
  <w:p w:rsidR="00D25FB5" w14:paraId="1D033150" w14:textId="07B7CDF8">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E8780F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35CACAB" w14:textId="3CDF8E32">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sidR="00D1470B">
      <w:t>FCC 22-2</w:t>
    </w:r>
    <w:r w:rsidR="00D1470B">
      <w:rPr>
        <w:spacing w:val="-2"/>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4646663"/>
    <w:multiLevelType w:val="hybridMultilevel"/>
    <w:tmpl w:val="54C0DC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447A539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0461B3F"/>
    <w:multiLevelType w:val="hybridMultilevel"/>
    <w:tmpl w:val="0A34D6B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169E0E78"/>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2CF"/>
    <w:rsid w:val="00002890"/>
    <w:rsid w:val="000076E7"/>
    <w:rsid w:val="00012DAA"/>
    <w:rsid w:val="00016C7E"/>
    <w:rsid w:val="0002072C"/>
    <w:rsid w:val="000250F9"/>
    <w:rsid w:val="0002601F"/>
    <w:rsid w:val="00026A6F"/>
    <w:rsid w:val="00033E8D"/>
    <w:rsid w:val="000357A7"/>
    <w:rsid w:val="00036039"/>
    <w:rsid w:val="00037B5D"/>
    <w:rsid w:val="00037F7A"/>
    <w:rsid w:val="00037F90"/>
    <w:rsid w:val="00044C10"/>
    <w:rsid w:val="00050E69"/>
    <w:rsid w:val="00061F6A"/>
    <w:rsid w:val="00064C4A"/>
    <w:rsid w:val="00076DBB"/>
    <w:rsid w:val="0007744C"/>
    <w:rsid w:val="00083EAB"/>
    <w:rsid w:val="00086F4B"/>
    <w:rsid w:val="000875BF"/>
    <w:rsid w:val="00087E05"/>
    <w:rsid w:val="00096D8C"/>
    <w:rsid w:val="00097BFD"/>
    <w:rsid w:val="000B08E2"/>
    <w:rsid w:val="000B1F27"/>
    <w:rsid w:val="000B2A99"/>
    <w:rsid w:val="000B7E4B"/>
    <w:rsid w:val="000C05CE"/>
    <w:rsid w:val="000C0B65"/>
    <w:rsid w:val="000C4774"/>
    <w:rsid w:val="000C5784"/>
    <w:rsid w:val="000D06CD"/>
    <w:rsid w:val="000D2EF6"/>
    <w:rsid w:val="000D5A6C"/>
    <w:rsid w:val="000D5A92"/>
    <w:rsid w:val="000D7B24"/>
    <w:rsid w:val="000E05FE"/>
    <w:rsid w:val="000E0BE7"/>
    <w:rsid w:val="000E16EE"/>
    <w:rsid w:val="000E1F2D"/>
    <w:rsid w:val="000E3D42"/>
    <w:rsid w:val="000E49B1"/>
    <w:rsid w:val="000F21B0"/>
    <w:rsid w:val="000F379A"/>
    <w:rsid w:val="00100461"/>
    <w:rsid w:val="00100863"/>
    <w:rsid w:val="00102D1F"/>
    <w:rsid w:val="00104872"/>
    <w:rsid w:val="00106D63"/>
    <w:rsid w:val="001141B0"/>
    <w:rsid w:val="0011484A"/>
    <w:rsid w:val="00115B28"/>
    <w:rsid w:val="001175C9"/>
    <w:rsid w:val="00122BD5"/>
    <w:rsid w:val="001302BE"/>
    <w:rsid w:val="001336B9"/>
    <w:rsid w:val="00133F79"/>
    <w:rsid w:val="00135476"/>
    <w:rsid w:val="001358FE"/>
    <w:rsid w:val="00147998"/>
    <w:rsid w:val="00150FC3"/>
    <w:rsid w:val="00154A32"/>
    <w:rsid w:val="00157C60"/>
    <w:rsid w:val="00166529"/>
    <w:rsid w:val="00166C22"/>
    <w:rsid w:val="00172041"/>
    <w:rsid w:val="00172936"/>
    <w:rsid w:val="001818F6"/>
    <w:rsid w:val="00187EDD"/>
    <w:rsid w:val="00190D4C"/>
    <w:rsid w:val="00190FD0"/>
    <w:rsid w:val="00192DA9"/>
    <w:rsid w:val="001944B1"/>
    <w:rsid w:val="00194A66"/>
    <w:rsid w:val="001A0560"/>
    <w:rsid w:val="001A4811"/>
    <w:rsid w:val="001A6EC4"/>
    <w:rsid w:val="001B2E63"/>
    <w:rsid w:val="001B3183"/>
    <w:rsid w:val="001C06FA"/>
    <w:rsid w:val="001C0EC5"/>
    <w:rsid w:val="001C1434"/>
    <w:rsid w:val="001C4160"/>
    <w:rsid w:val="001D0796"/>
    <w:rsid w:val="001D0D6C"/>
    <w:rsid w:val="001D1E34"/>
    <w:rsid w:val="001D5A12"/>
    <w:rsid w:val="001D5D5F"/>
    <w:rsid w:val="001D6BCF"/>
    <w:rsid w:val="001D79F1"/>
    <w:rsid w:val="001E01CA"/>
    <w:rsid w:val="001E0253"/>
    <w:rsid w:val="001E0845"/>
    <w:rsid w:val="001E6801"/>
    <w:rsid w:val="001F10C0"/>
    <w:rsid w:val="001F3DAA"/>
    <w:rsid w:val="001F7F4D"/>
    <w:rsid w:val="0020037E"/>
    <w:rsid w:val="00200434"/>
    <w:rsid w:val="0020118F"/>
    <w:rsid w:val="002013C9"/>
    <w:rsid w:val="002018EE"/>
    <w:rsid w:val="00214F91"/>
    <w:rsid w:val="00215B30"/>
    <w:rsid w:val="00226A92"/>
    <w:rsid w:val="0023447D"/>
    <w:rsid w:val="002351F7"/>
    <w:rsid w:val="00235A9F"/>
    <w:rsid w:val="00235D2F"/>
    <w:rsid w:val="002422F1"/>
    <w:rsid w:val="002426EB"/>
    <w:rsid w:val="002438EB"/>
    <w:rsid w:val="00245E69"/>
    <w:rsid w:val="00246B88"/>
    <w:rsid w:val="00247A4C"/>
    <w:rsid w:val="00253063"/>
    <w:rsid w:val="002621AE"/>
    <w:rsid w:val="00264FD3"/>
    <w:rsid w:val="0026591C"/>
    <w:rsid w:val="00265B6B"/>
    <w:rsid w:val="002702A6"/>
    <w:rsid w:val="00271E73"/>
    <w:rsid w:val="00272F67"/>
    <w:rsid w:val="002737A7"/>
    <w:rsid w:val="00275052"/>
    <w:rsid w:val="00275CF5"/>
    <w:rsid w:val="00276A72"/>
    <w:rsid w:val="0028301F"/>
    <w:rsid w:val="002841EC"/>
    <w:rsid w:val="00285017"/>
    <w:rsid w:val="0028771D"/>
    <w:rsid w:val="0029077E"/>
    <w:rsid w:val="00292974"/>
    <w:rsid w:val="002974DA"/>
    <w:rsid w:val="002A2D2E"/>
    <w:rsid w:val="002A4C11"/>
    <w:rsid w:val="002A6B24"/>
    <w:rsid w:val="002A6E1A"/>
    <w:rsid w:val="002B7B16"/>
    <w:rsid w:val="002C00E8"/>
    <w:rsid w:val="002C016E"/>
    <w:rsid w:val="002C0AB1"/>
    <w:rsid w:val="002C36A2"/>
    <w:rsid w:val="002C50B2"/>
    <w:rsid w:val="002C793B"/>
    <w:rsid w:val="002D1867"/>
    <w:rsid w:val="002D1B96"/>
    <w:rsid w:val="002D1EA9"/>
    <w:rsid w:val="002D44AA"/>
    <w:rsid w:val="002D7984"/>
    <w:rsid w:val="002E30E2"/>
    <w:rsid w:val="00303537"/>
    <w:rsid w:val="00306F2A"/>
    <w:rsid w:val="0030758D"/>
    <w:rsid w:val="00312A59"/>
    <w:rsid w:val="00321165"/>
    <w:rsid w:val="00325886"/>
    <w:rsid w:val="00327840"/>
    <w:rsid w:val="00331662"/>
    <w:rsid w:val="00331D9C"/>
    <w:rsid w:val="003339B9"/>
    <w:rsid w:val="00335216"/>
    <w:rsid w:val="00335D97"/>
    <w:rsid w:val="0034181A"/>
    <w:rsid w:val="00343749"/>
    <w:rsid w:val="00344202"/>
    <w:rsid w:val="0035202E"/>
    <w:rsid w:val="00352EAD"/>
    <w:rsid w:val="00355D46"/>
    <w:rsid w:val="0035756D"/>
    <w:rsid w:val="003660ED"/>
    <w:rsid w:val="003717C2"/>
    <w:rsid w:val="00372578"/>
    <w:rsid w:val="003726F8"/>
    <w:rsid w:val="0037570D"/>
    <w:rsid w:val="00377970"/>
    <w:rsid w:val="00381C69"/>
    <w:rsid w:val="003859ED"/>
    <w:rsid w:val="0039205B"/>
    <w:rsid w:val="00394C7F"/>
    <w:rsid w:val="00397C49"/>
    <w:rsid w:val="003A1DEC"/>
    <w:rsid w:val="003A78C2"/>
    <w:rsid w:val="003B0550"/>
    <w:rsid w:val="003B694F"/>
    <w:rsid w:val="003C1041"/>
    <w:rsid w:val="003C270B"/>
    <w:rsid w:val="003C2B50"/>
    <w:rsid w:val="003C599A"/>
    <w:rsid w:val="003C6F96"/>
    <w:rsid w:val="003D09A8"/>
    <w:rsid w:val="003D4FEB"/>
    <w:rsid w:val="003D5331"/>
    <w:rsid w:val="003E1A48"/>
    <w:rsid w:val="003F171C"/>
    <w:rsid w:val="003F2C3C"/>
    <w:rsid w:val="004034A6"/>
    <w:rsid w:val="00410C42"/>
    <w:rsid w:val="004115F3"/>
    <w:rsid w:val="00411A80"/>
    <w:rsid w:val="00412FC5"/>
    <w:rsid w:val="0041495E"/>
    <w:rsid w:val="004202D3"/>
    <w:rsid w:val="00422078"/>
    <w:rsid w:val="00422276"/>
    <w:rsid w:val="00422467"/>
    <w:rsid w:val="004242F1"/>
    <w:rsid w:val="0043102F"/>
    <w:rsid w:val="00432A7A"/>
    <w:rsid w:val="00432D32"/>
    <w:rsid w:val="00437A40"/>
    <w:rsid w:val="00445A00"/>
    <w:rsid w:val="0044770A"/>
    <w:rsid w:val="00447DBE"/>
    <w:rsid w:val="004512BF"/>
    <w:rsid w:val="00451B0F"/>
    <w:rsid w:val="00454385"/>
    <w:rsid w:val="0045465C"/>
    <w:rsid w:val="0045471B"/>
    <w:rsid w:val="00457214"/>
    <w:rsid w:val="00463080"/>
    <w:rsid w:val="004717F8"/>
    <w:rsid w:val="0047277A"/>
    <w:rsid w:val="0047337C"/>
    <w:rsid w:val="00475F6F"/>
    <w:rsid w:val="0048586C"/>
    <w:rsid w:val="0048769A"/>
    <w:rsid w:val="00490C17"/>
    <w:rsid w:val="00493943"/>
    <w:rsid w:val="004A43FA"/>
    <w:rsid w:val="004A4533"/>
    <w:rsid w:val="004A744F"/>
    <w:rsid w:val="004A7599"/>
    <w:rsid w:val="004A78C5"/>
    <w:rsid w:val="004B1192"/>
    <w:rsid w:val="004B556C"/>
    <w:rsid w:val="004B6DD1"/>
    <w:rsid w:val="004C2EE3"/>
    <w:rsid w:val="004C3BB2"/>
    <w:rsid w:val="004C77B8"/>
    <w:rsid w:val="004E0C3A"/>
    <w:rsid w:val="004E4A22"/>
    <w:rsid w:val="004E6914"/>
    <w:rsid w:val="004E7DC5"/>
    <w:rsid w:val="004F2718"/>
    <w:rsid w:val="004F27D0"/>
    <w:rsid w:val="004F6D45"/>
    <w:rsid w:val="005010A7"/>
    <w:rsid w:val="00502F4B"/>
    <w:rsid w:val="0050319D"/>
    <w:rsid w:val="005037A7"/>
    <w:rsid w:val="005049F5"/>
    <w:rsid w:val="00504EA7"/>
    <w:rsid w:val="00511968"/>
    <w:rsid w:val="00520019"/>
    <w:rsid w:val="00521CB2"/>
    <w:rsid w:val="00531B73"/>
    <w:rsid w:val="00532081"/>
    <w:rsid w:val="00535B2E"/>
    <w:rsid w:val="00547111"/>
    <w:rsid w:val="005472E8"/>
    <w:rsid w:val="00550B99"/>
    <w:rsid w:val="00553942"/>
    <w:rsid w:val="00553A86"/>
    <w:rsid w:val="0055614C"/>
    <w:rsid w:val="0056065C"/>
    <w:rsid w:val="00560894"/>
    <w:rsid w:val="005619AA"/>
    <w:rsid w:val="00563A39"/>
    <w:rsid w:val="00565367"/>
    <w:rsid w:val="00566D06"/>
    <w:rsid w:val="00575D1A"/>
    <w:rsid w:val="0058734A"/>
    <w:rsid w:val="00587587"/>
    <w:rsid w:val="005934F4"/>
    <w:rsid w:val="00596AC3"/>
    <w:rsid w:val="005A15D8"/>
    <w:rsid w:val="005A4248"/>
    <w:rsid w:val="005B203A"/>
    <w:rsid w:val="005B4A34"/>
    <w:rsid w:val="005B6DE5"/>
    <w:rsid w:val="005C1835"/>
    <w:rsid w:val="005C18DE"/>
    <w:rsid w:val="005C5100"/>
    <w:rsid w:val="005C7432"/>
    <w:rsid w:val="005D11D3"/>
    <w:rsid w:val="005D162E"/>
    <w:rsid w:val="005E14C2"/>
    <w:rsid w:val="005E2954"/>
    <w:rsid w:val="005E44F6"/>
    <w:rsid w:val="005E58C0"/>
    <w:rsid w:val="005F3D18"/>
    <w:rsid w:val="005F43A2"/>
    <w:rsid w:val="005F5F52"/>
    <w:rsid w:val="005F6271"/>
    <w:rsid w:val="00605B15"/>
    <w:rsid w:val="006079C1"/>
    <w:rsid w:val="00607BA5"/>
    <w:rsid w:val="00610DF7"/>
    <w:rsid w:val="0061180A"/>
    <w:rsid w:val="006175C0"/>
    <w:rsid w:val="00621DBD"/>
    <w:rsid w:val="00625CC2"/>
    <w:rsid w:val="00626EB6"/>
    <w:rsid w:val="00627D05"/>
    <w:rsid w:val="00633361"/>
    <w:rsid w:val="00636459"/>
    <w:rsid w:val="00636AE1"/>
    <w:rsid w:val="0063787A"/>
    <w:rsid w:val="00640583"/>
    <w:rsid w:val="00641917"/>
    <w:rsid w:val="00641BAD"/>
    <w:rsid w:val="00645735"/>
    <w:rsid w:val="006502AE"/>
    <w:rsid w:val="006534C0"/>
    <w:rsid w:val="00655D03"/>
    <w:rsid w:val="006568BE"/>
    <w:rsid w:val="0066425D"/>
    <w:rsid w:val="00666934"/>
    <w:rsid w:val="00670387"/>
    <w:rsid w:val="00672C6B"/>
    <w:rsid w:val="00674962"/>
    <w:rsid w:val="006759AA"/>
    <w:rsid w:val="00683388"/>
    <w:rsid w:val="00683F84"/>
    <w:rsid w:val="00684156"/>
    <w:rsid w:val="00685217"/>
    <w:rsid w:val="006868F5"/>
    <w:rsid w:val="0068750A"/>
    <w:rsid w:val="00695964"/>
    <w:rsid w:val="00695A5E"/>
    <w:rsid w:val="006A000E"/>
    <w:rsid w:val="006A6A81"/>
    <w:rsid w:val="006B0B73"/>
    <w:rsid w:val="006B29A1"/>
    <w:rsid w:val="006B44FB"/>
    <w:rsid w:val="006B4950"/>
    <w:rsid w:val="006C0EEC"/>
    <w:rsid w:val="006C319F"/>
    <w:rsid w:val="006C6883"/>
    <w:rsid w:val="006D4D5A"/>
    <w:rsid w:val="006E0CC7"/>
    <w:rsid w:val="006E1767"/>
    <w:rsid w:val="006E7482"/>
    <w:rsid w:val="006F49FC"/>
    <w:rsid w:val="006F60A9"/>
    <w:rsid w:val="006F7393"/>
    <w:rsid w:val="0070224F"/>
    <w:rsid w:val="007030AB"/>
    <w:rsid w:val="00703D22"/>
    <w:rsid w:val="00706EA0"/>
    <w:rsid w:val="007115F7"/>
    <w:rsid w:val="00711F32"/>
    <w:rsid w:val="007128BF"/>
    <w:rsid w:val="00720C53"/>
    <w:rsid w:val="00724F87"/>
    <w:rsid w:val="007321A7"/>
    <w:rsid w:val="007419D0"/>
    <w:rsid w:val="00746A1B"/>
    <w:rsid w:val="00752E68"/>
    <w:rsid w:val="0075302D"/>
    <w:rsid w:val="0075777E"/>
    <w:rsid w:val="007662FF"/>
    <w:rsid w:val="00767430"/>
    <w:rsid w:val="00772889"/>
    <w:rsid w:val="00774DA9"/>
    <w:rsid w:val="0078145C"/>
    <w:rsid w:val="00785689"/>
    <w:rsid w:val="00792093"/>
    <w:rsid w:val="007974E8"/>
    <w:rsid w:val="0079754B"/>
    <w:rsid w:val="007A1E6D"/>
    <w:rsid w:val="007A600D"/>
    <w:rsid w:val="007B0EB2"/>
    <w:rsid w:val="007B2565"/>
    <w:rsid w:val="007B43BD"/>
    <w:rsid w:val="007C2B62"/>
    <w:rsid w:val="007C5D4A"/>
    <w:rsid w:val="007D064C"/>
    <w:rsid w:val="007D07A1"/>
    <w:rsid w:val="007D130F"/>
    <w:rsid w:val="007D6946"/>
    <w:rsid w:val="007D74B4"/>
    <w:rsid w:val="007E05C8"/>
    <w:rsid w:val="007E663A"/>
    <w:rsid w:val="007F100A"/>
    <w:rsid w:val="007F269D"/>
    <w:rsid w:val="007F72B7"/>
    <w:rsid w:val="00800008"/>
    <w:rsid w:val="00802F08"/>
    <w:rsid w:val="00802FEC"/>
    <w:rsid w:val="00803F1B"/>
    <w:rsid w:val="00810B6F"/>
    <w:rsid w:val="00816752"/>
    <w:rsid w:val="00822CE0"/>
    <w:rsid w:val="00823391"/>
    <w:rsid w:val="00824662"/>
    <w:rsid w:val="00830115"/>
    <w:rsid w:val="0083442A"/>
    <w:rsid w:val="00841AB1"/>
    <w:rsid w:val="008511FC"/>
    <w:rsid w:val="00854AF2"/>
    <w:rsid w:val="00860610"/>
    <w:rsid w:val="008635B4"/>
    <w:rsid w:val="008703A1"/>
    <w:rsid w:val="00874EB2"/>
    <w:rsid w:val="0087548D"/>
    <w:rsid w:val="00876189"/>
    <w:rsid w:val="008808AF"/>
    <w:rsid w:val="00881450"/>
    <w:rsid w:val="00881CCC"/>
    <w:rsid w:val="00882420"/>
    <w:rsid w:val="008874CD"/>
    <w:rsid w:val="00892551"/>
    <w:rsid w:val="0089651A"/>
    <w:rsid w:val="008A157F"/>
    <w:rsid w:val="008A2FF4"/>
    <w:rsid w:val="008A4012"/>
    <w:rsid w:val="008B0E3A"/>
    <w:rsid w:val="008B33AE"/>
    <w:rsid w:val="008C2CA6"/>
    <w:rsid w:val="008C4BA0"/>
    <w:rsid w:val="008C65FB"/>
    <w:rsid w:val="008C68F1"/>
    <w:rsid w:val="008D1052"/>
    <w:rsid w:val="008D6113"/>
    <w:rsid w:val="008D7096"/>
    <w:rsid w:val="008E3E5D"/>
    <w:rsid w:val="008E5845"/>
    <w:rsid w:val="008F1E01"/>
    <w:rsid w:val="008F30CF"/>
    <w:rsid w:val="008F3635"/>
    <w:rsid w:val="008F75C6"/>
    <w:rsid w:val="00902248"/>
    <w:rsid w:val="00906791"/>
    <w:rsid w:val="00906A09"/>
    <w:rsid w:val="00912E40"/>
    <w:rsid w:val="00914F45"/>
    <w:rsid w:val="00917767"/>
    <w:rsid w:val="009203E2"/>
    <w:rsid w:val="00920ED8"/>
    <w:rsid w:val="00921275"/>
    <w:rsid w:val="00921803"/>
    <w:rsid w:val="009227E3"/>
    <w:rsid w:val="00922E53"/>
    <w:rsid w:val="0092356B"/>
    <w:rsid w:val="0092387E"/>
    <w:rsid w:val="009245E7"/>
    <w:rsid w:val="00926142"/>
    <w:rsid w:val="00926503"/>
    <w:rsid w:val="00942CCE"/>
    <w:rsid w:val="009439EC"/>
    <w:rsid w:val="00955B7F"/>
    <w:rsid w:val="0096193D"/>
    <w:rsid w:val="009650FB"/>
    <w:rsid w:val="00971718"/>
    <w:rsid w:val="009726D8"/>
    <w:rsid w:val="00973341"/>
    <w:rsid w:val="0097444A"/>
    <w:rsid w:val="00975DD6"/>
    <w:rsid w:val="0097629F"/>
    <w:rsid w:val="0098355B"/>
    <w:rsid w:val="00987F41"/>
    <w:rsid w:val="0099054A"/>
    <w:rsid w:val="009950BB"/>
    <w:rsid w:val="00995D8D"/>
    <w:rsid w:val="009976FD"/>
    <w:rsid w:val="009A0945"/>
    <w:rsid w:val="009A1530"/>
    <w:rsid w:val="009A6D02"/>
    <w:rsid w:val="009B0F5D"/>
    <w:rsid w:val="009B34A3"/>
    <w:rsid w:val="009B73FF"/>
    <w:rsid w:val="009B7D08"/>
    <w:rsid w:val="009C33EF"/>
    <w:rsid w:val="009D02DE"/>
    <w:rsid w:val="009D3D28"/>
    <w:rsid w:val="009D42F2"/>
    <w:rsid w:val="009D6817"/>
    <w:rsid w:val="009D7308"/>
    <w:rsid w:val="009D7729"/>
    <w:rsid w:val="009E54D4"/>
    <w:rsid w:val="009F38BD"/>
    <w:rsid w:val="009F76DB"/>
    <w:rsid w:val="00A02984"/>
    <w:rsid w:val="00A04B4D"/>
    <w:rsid w:val="00A052E9"/>
    <w:rsid w:val="00A0732D"/>
    <w:rsid w:val="00A1243E"/>
    <w:rsid w:val="00A13D07"/>
    <w:rsid w:val="00A23C1E"/>
    <w:rsid w:val="00A24FEB"/>
    <w:rsid w:val="00A3253B"/>
    <w:rsid w:val="00A32687"/>
    <w:rsid w:val="00A32C3B"/>
    <w:rsid w:val="00A344E8"/>
    <w:rsid w:val="00A43ACB"/>
    <w:rsid w:val="00A4418A"/>
    <w:rsid w:val="00A4490C"/>
    <w:rsid w:val="00A45F4F"/>
    <w:rsid w:val="00A46B91"/>
    <w:rsid w:val="00A46C15"/>
    <w:rsid w:val="00A52871"/>
    <w:rsid w:val="00A54A03"/>
    <w:rsid w:val="00A600A9"/>
    <w:rsid w:val="00A64101"/>
    <w:rsid w:val="00A715E9"/>
    <w:rsid w:val="00A76F2F"/>
    <w:rsid w:val="00A76F68"/>
    <w:rsid w:val="00A95E58"/>
    <w:rsid w:val="00AA55B7"/>
    <w:rsid w:val="00AA5B9E"/>
    <w:rsid w:val="00AB2407"/>
    <w:rsid w:val="00AB527E"/>
    <w:rsid w:val="00AB53DF"/>
    <w:rsid w:val="00AB568A"/>
    <w:rsid w:val="00AB61D4"/>
    <w:rsid w:val="00AB749E"/>
    <w:rsid w:val="00AC0FE9"/>
    <w:rsid w:val="00AC3B16"/>
    <w:rsid w:val="00AC72E9"/>
    <w:rsid w:val="00AD05A0"/>
    <w:rsid w:val="00AD4323"/>
    <w:rsid w:val="00AD4486"/>
    <w:rsid w:val="00AE231A"/>
    <w:rsid w:val="00AE2565"/>
    <w:rsid w:val="00AF6B32"/>
    <w:rsid w:val="00B003BA"/>
    <w:rsid w:val="00B00E06"/>
    <w:rsid w:val="00B05C34"/>
    <w:rsid w:val="00B06491"/>
    <w:rsid w:val="00B07E5C"/>
    <w:rsid w:val="00B10B73"/>
    <w:rsid w:val="00B10BFD"/>
    <w:rsid w:val="00B11978"/>
    <w:rsid w:val="00B12ED1"/>
    <w:rsid w:val="00B13353"/>
    <w:rsid w:val="00B143A4"/>
    <w:rsid w:val="00B14730"/>
    <w:rsid w:val="00B23293"/>
    <w:rsid w:val="00B344D6"/>
    <w:rsid w:val="00B34D2B"/>
    <w:rsid w:val="00B35185"/>
    <w:rsid w:val="00B4177E"/>
    <w:rsid w:val="00B47C4B"/>
    <w:rsid w:val="00B5674F"/>
    <w:rsid w:val="00B6004C"/>
    <w:rsid w:val="00B61471"/>
    <w:rsid w:val="00B61C2D"/>
    <w:rsid w:val="00B62865"/>
    <w:rsid w:val="00B63994"/>
    <w:rsid w:val="00B6610D"/>
    <w:rsid w:val="00B6713C"/>
    <w:rsid w:val="00B672CF"/>
    <w:rsid w:val="00B721C0"/>
    <w:rsid w:val="00B72C8F"/>
    <w:rsid w:val="00B76120"/>
    <w:rsid w:val="00B76E15"/>
    <w:rsid w:val="00B77669"/>
    <w:rsid w:val="00B77E91"/>
    <w:rsid w:val="00B811F7"/>
    <w:rsid w:val="00B82D80"/>
    <w:rsid w:val="00B8624F"/>
    <w:rsid w:val="00BA021E"/>
    <w:rsid w:val="00BA10AE"/>
    <w:rsid w:val="00BA3C33"/>
    <w:rsid w:val="00BA5338"/>
    <w:rsid w:val="00BA5DC6"/>
    <w:rsid w:val="00BA6196"/>
    <w:rsid w:val="00BA67FE"/>
    <w:rsid w:val="00BB1CD5"/>
    <w:rsid w:val="00BB34D7"/>
    <w:rsid w:val="00BB510C"/>
    <w:rsid w:val="00BC3A40"/>
    <w:rsid w:val="00BC3CCE"/>
    <w:rsid w:val="00BC3ED6"/>
    <w:rsid w:val="00BC6D8C"/>
    <w:rsid w:val="00BD3ED9"/>
    <w:rsid w:val="00BD5BA4"/>
    <w:rsid w:val="00BE3108"/>
    <w:rsid w:val="00BE340D"/>
    <w:rsid w:val="00BE5199"/>
    <w:rsid w:val="00BF1A06"/>
    <w:rsid w:val="00BF240F"/>
    <w:rsid w:val="00BF249D"/>
    <w:rsid w:val="00BF324F"/>
    <w:rsid w:val="00C10CF1"/>
    <w:rsid w:val="00C12A97"/>
    <w:rsid w:val="00C17C04"/>
    <w:rsid w:val="00C21399"/>
    <w:rsid w:val="00C24080"/>
    <w:rsid w:val="00C30E74"/>
    <w:rsid w:val="00C34006"/>
    <w:rsid w:val="00C36B4C"/>
    <w:rsid w:val="00C426B1"/>
    <w:rsid w:val="00C4286F"/>
    <w:rsid w:val="00C4336D"/>
    <w:rsid w:val="00C45111"/>
    <w:rsid w:val="00C451B1"/>
    <w:rsid w:val="00C4667E"/>
    <w:rsid w:val="00C545F8"/>
    <w:rsid w:val="00C56073"/>
    <w:rsid w:val="00C6546D"/>
    <w:rsid w:val="00C6606F"/>
    <w:rsid w:val="00C66160"/>
    <w:rsid w:val="00C721AC"/>
    <w:rsid w:val="00C72E7F"/>
    <w:rsid w:val="00C72FD8"/>
    <w:rsid w:val="00C813FE"/>
    <w:rsid w:val="00C84025"/>
    <w:rsid w:val="00C90D6A"/>
    <w:rsid w:val="00C967C2"/>
    <w:rsid w:val="00C968E8"/>
    <w:rsid w:val="00CA0A8F"/>
    <w:rsid w:val="00CA247E"/>
    <w:rsid w:val="00CA2DDC"/>
    <w:rsid w:val="00CA31E6"/>
    <w:rsid w:val="00CA663B"/>
    <w:rsid w:val="00CA6D10"/>
    <w:rsid w:val="00CA6D21"/>
    <w:rsid w:val="00CB7517"/>
    <w:rsid w:val="00CC02AD"/>
    <w:rsid w:val="00CC4398"/>
    <w:rsid w:val="00CC4DF2"/>
    <w:rsid w:val="00CC72B6"/>
    <w:rsid w:val="00CD0D0F"/>
    <w:rsid w:val="00CD5621"/>
    <w:rsid w:val="00CD63C0"/>
    <w:rsid w:val="00CE4ECA"/>
    <w:rsid w:val="00CE5EDF"/>
    <w:rsid w:val="00CF03B6"/>
    <w:rsid w:val="00CF51F4"/>
    <w:rsid w:val="00D0218D"/>
    <w:rsid w:val="00D116D4"/>
    <w:rsid w:val="00D1470B"/>
    <w:rsid w:val="00D15622"/>
    <w:rsid w:val="00D20DA6"/>
    <w:rsid w:val="00D25FB5"/>
    <w:rsid w:val="00D321E7"/>
    <w:rsid w:val="00D35679"/>
    <w:rsid w:val="00D406D0"/>
    <w:rsid w:val="00D44223"/>
    <w:rsid w:val="00D45107"/>
    <w:rsid w:val="00D46800"/>
    <w:rsid w:val="00D473AC"/>
    <w:rsid w:val="00D55163"/>
    <w:rsid w:val="00D575FF"/>
    <w:rsid w:val="00D6071A"/>
    <w:rsid w:val="00D647EC"/>
    <w:rsid w:val="00D67501"/>
    <w:rsid w:val="00D70A4B"/>
    <w:rsid w:val="00D82A83"/>
    <w:rsid w:val="00D85B56"/>
    <w:rsid w:val="00D861B1"/>
    <w:rsid w:val="00D8731D"/>
    <w:rsid w:val="00D9159A"/>
    <w:rsid w:val="00D95739"/>
    <w:rsid w:val="00DA2529"/>
    <w:rsid w:val="00DA5BEE"/>
    <w:rsid w:val="00DA7839"/>
    <w:rsid w:val="00DB0C34"/>
    <w:rsid w:val="00DB1101"/>
    <w:rsid w:val="00DB130A"/>
    <w:rsid w:val="00DB2EBB"/>
    <w:rsid w:val="00DB3B24"/>
    <w:rsid w:val="00DC10A1"/>
    <w:rsid w:val="00DC655F"/>
    <w:rsid w:val="00DD0B59"/>
    <w:rsid w:val="00DD4103"/>
    <w:rsid w:val="00DD7EBD"/>
    <w:rsid w:val="00DE2C0C"/>
    <w:rsid w:val="00DE5B9B"/>
    <w:rsid w:val="00DE7F78"/>
    <w:rsid w:val="00DF4945"/>
    <w:rsid w:val="00DF62B6"/>
    <w:rsid w:val="00E00A21"/>
    <w:rsid w:val="00E03D4E"/>
    <w:rsid w:val="00E058A8"/>
    <w:rsid w:val="00E058D7"/>
    <w:rsid w:val="00E07225"/>
    <w:rsid w:val="00E170CF"/>
    <w:rsid w:val="00E27860"/>
    <w:rsid w:val="00E30FF1"/>
    <w:rsid w:val="00E315C2"/>
    <w:rsid w:val="00E365B2"/>
    <w:rsid w:val="00E40C9E"/>
    <w:rsid w:val="00E46EF9"/>
    <w:rsid w:val="00E51CE6"/>
    <w:rsid w:val="00E5409F"/>
    <w:rsid w:val="00E672D7"/>
    <w:rsid w:val="00E67883"/>
    <w:rsid w:val="00E67C8F"/>
    <w:rsid w:val="00E74DB6"/>
    <w:rsid w:val="00E8319E"/>
    <w:rsid w:val="00E833DF"/>
    <w:rsid w:val="00E85B55"/>
    <w:rsid w:val="00E9224F"/>
    <w:rsid w:val="00E94A40"/>
    <w:rsid w:val="00EA26B6"/>
    <w:rsid w:val="00EB4A4B"/>
    <w:rsid w:val="00EB4B93"/>
    <w:rsid w:val="00EC1B25"/>
    <w:rsid w:val="00EC62CE"/>
    <w:rsid w:val="00ED29A6"/>
    <w:rsid w:val="00ED5AF8"/>
    <w:rsid w:val="00ED669B"/>
    <w:rsid w:val="00EE0431"/>
    <w:rsid w:val="00EE5B13"/>
    <w:rsid w:val="00EE5C69"/>
    <w:rsid w:val="00EE6488"/>
    <w:rsid w:val="00EE68DB"/>
    <w:rsid w:val="00EF07CE"/>
    <w:rsid w:val="00EF15F6"/>
    <w:rsid w:val="00EF36F4"/>
    <w:rsid w:val="00EF4297"/>
    <w:rsid w:val="00EF7AA0"/>
    <w:rsid w:val="00F021FA"/>
    <w:rsid w:val="00F17B3D"/>
    <w:rsid w:val="00F33238"/>
    <w:rsid w:val="00F3486A"/>
    <w:rsid w:val="00F348CC"/>
    <w:rsid w:val="00F359B6"/>
    <w:rsid w:val="00F467E3"/>
    <w:rsid w:val="00F472AA"/>
    <w:rsid w:val="00F54A6E"/>
    <w:rsid w:val="00F557ED"/>
    <w:rsid w:val="00F61027"/>
    <w:rsid w:val="00F62E97"/>
    <w:rsid w:val="00F63507"/>
    <w:rsid w:val="00F63B00"/>
    <w:rsid w:val="00F64209"/>
    <w:rsid w:val="00F66834"/>
    <w:rsid w:val="00F67973"/>
    <w:rsid w:val="00F72C8C"/>
    <w:rsid w:val="00F76992"/>
    <w:rsid w:val="00F823DA"/>
    <w:rsid w:val="00F84646"/>
    <w:rsid w:val="00F84A0A"/>
    <w:rsid w:val="00F85A9D"/>
    <w:rsid w:val="00F86CEA"/>
    <w:rsid w:val="00F874E0"/>
    <w:rsid w:val="00F912F2"/>
    <w:rsid w:val="00F9279B"/>
    <w:rsid w:val="00F93BF5"/>
    <w:rsid w:val="00F96071"/>
    <w:rsid w:val="00F96290"/>
    <w:rsid w:val="00FA01A0"/>
    <w:rsid w:val="00FA2EED"/>
    <w:rsid w:val="00FA740E"/>
    <w:rsid w:val="00FC1C12"/>
    <w:rsid w:val="00FC6938"/>
    <w:rsid w:val="00FC6B16"/>
    <w:rsid w:val="00FC785A"/>
    <w:rsid w:val="00FD17FC"/>
    <w:rsid w:val="00FD530E"/>
    <w:rsid w:val="00FE0B3E"/>
    <w:rsid w:val="00FE3E5C"/>
    <w:rsid w:val="00FF20DA"/>
    <w:rsid w:val="00FF4340"/>
    <w:rsid w:val="00FF4D67"/>
    <w:rsid w:val="00FF552C"/>
    <w:rsid w:val="00FF787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E31F530"/>
  <w15:chartTrackingRefBased/>
  <w15:docId w15:val="{959B5786-9B34-4009-88F4-2FE96E681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1470B"/>
    <w:pPr>
      <w:widowControl w:val="0"/>
    </w:pPr>
    <w:rPr>
      <w:snapToGrid w:val="0"/>
      <w:kern w:val="28"/>
      <w:sz w:val="22"/>
    </w:rPr>
  </w:style>
  <w:style w:type="paragraph" w:styleId="Heading1">
    <w:name w:val="heading 1"/>
    <w:basedOn w:val="Normal"/>
    <w:next w:val="ParaNum"/>
    <w:qFormat/>
    <w:rsid w:val="00D1470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1470B"/>
    <w:pPr>
      <w:keepNext/>
      <w:numPr>
        <w:ilvl w:val="1"/>
        <w:numId w:val="3"/>
      </w:numPr>
      <w:spacing w:after="120"/>
      <w:outlineLvl w:val="1"/>
    </w:pPr>
    <w:rPr>
      <w:b/>
    </w:rPr>
  </w:style>
  <w:style w:type="paragraph" w:styleId="Heading3">
    <w:name w:val="heading 3"/>
    <w:basedOn w:val="Normal"/>
    <w:next w:val="ParaNum"/>
    <w:qFormat/>
    <w:rsid w:val="00D1470B"/>
    <w:pPr>
      <w:keepNext/>
      <w:numPr>
        <w:ilvl w:val="2"/>
        <w:numId w:val="3"/>
      </w:numPr>
      <w:tabs>
        <w:tab w:val="left" w:pos="2160"/>
      </w:tabs>
      <w:spacing w:after="120"/>
      <w:outlineLvl w:val="2"/>
    </w:pPr>
    <w:rPr>
      <w:b/>
    </w:rPr>
  </w:style>
  <w:style w:type="paragraph" w:styleId="Heading4">
    <w:name w:val="heading 4"/>
    <w:basedOn w:val="Normal"/>
    <w:next w:val="ParaNum"/>
    <w:qFormat/>
    <w:rsid w:val="00D1470B"/>
    <w:pPr>
      <w:keepNext/>
      <w:numPr>
        <w:ilvl w:val="3"/>
        <w:numId w:val="3"/>
      </w:numPr>
      <w:tabs>
        <w:tab w:val="left" w:pos="2880"/>
      </w:tabs>
      <w:spacing w:after="120"/>
      <w:outlineLvl w:val="3"/>
    </w:pPr>
    <w:rPr>
      <w:b/>
    </w:rPr>
  </w:style>
  <w:style w:type="paragraph" w:styleId="Heading5">
    <w:name w:val="heading 5"/>
    <w:basedOn w:val="Normal"/>
    <w:next w:val="ParaNum"/>
    <w:qFormat/>
    <w:rsid w:val="00D1470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1470B"/>
    <w:pPr>
      <w:numPr>
        <w:ilvl w:val="5"/>
        <w:numId w:val="3"/>
      </w:numPr>
      <w:tabs>
        <w:tab w:val="left" w:pos="4320"/>
      </w:tabs>
      <w:spacing w:after="120"/>
      <w:outlineLvl w:val="5"/>
    </w:pPr>
    <w:rPr>
      <w:b/>
    </w:rPr>
  </w:style>
  <w:style w:type="paragraph" w:styleId="Heading7">
    <w:name w:val="heading 7"/>
    <w:basedOn w:val="Normal"/>
    <w:next w:val="ParaNum"/>
    <w:qFormat/>
    <w:rsid w:val="00D1470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1470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1470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1470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1470B"/>
  </w:style>
  <w:style w:type="paragraph" w:customStyle="1" w:styleId="ParaNum">
    <w:name w:val="ParaNum"/>
    <w:basedOn w:val="Normal"/>
    <w:link w:val="ParaNumChar"/>
    <w:rsid w:val="00D1470B"/>
    <w:pPr>
      <w:numPr>
        <w:numId w:val="2"/>
      </w:numPr>
      <w:tabs>
        <w:tab w:val="clear" w:pos="1080"/>
        <w:tab w:val="num" w:pos="1440"/>
      </w:tabs>
      <w:spacing w:after="120"/>
    </w:pPr>
  </w:style>
  <w:style w:type="paragraph" w:styleId="EndnoteText">
    <w:name w:val="endnote text"/>
    <w:basedOn w:val="Normal"/>
    <w:semiHidden/>
    <w:rsid w:val="00D1470B"/>
    <w:rPr>
      <w:sz w:val="20"/>
    </w:rPr>
  </w:style>
  <w:style w:type="character" w:styleId="EndnoteReference">
    <w:name w:val="endnote reference"/>
    <w:semiHidden/>
    <w:rsid w:val="00D1470B"/>
    <w:rPr>
      <w:vertAlign w:val="superscript"/>
    </w:rPr>
  </w:style>
  <w:style w:type="paragraph" w:styleId="FootnoteText">
    <w:name w:val="footnote text"/>
    <w:aliases w:val="Footnote Text Char Char Char4 Char,Footnote Text Char1,Footnote Text Char4 Char1 Char,Footnote Text Char4 Char1 Char Char Char Char,Footnote Text Char7 Char,Footnote Text Char7 Char Char Char Char,f,fn,fn Char,fn Char Char,rrfootnote"/>
    <w:link w:val="FootnoteTextChar"/>
    <w:rsid w:val="00D1470B"/>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D1470B"/>
    <w:rPr>
      <w:rFonts w:ascii="Times New Roman" w:hAnsi="Times New Roman"/>
      <w:dstrike w:val="0"/>
      <w:color w:val="auto"/>
      <w:sz w:val="20"/>
      <w:vertAlign w:val="superscript"/>
    </w:rPr>
  </w:style>
  <w:style w:type="paragraph" w:styleId="TOC1">
    <w:name w:val="toc 1"/>
    <w:basedOn w:val="Normal"/>
    <w:next w:val="Normal"/>
    <w:semiHidden/>
    <w:rsid w:val="00D1470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1470B"/>
    <w:pPr>
      <w:tabs>
        <w:tab w:val="left" w:pos="720"/>
        <w:tab w:val="right" w:leader="dot" w:pos="9360"/>
      </w:tabs>
      <w:suppressAutoHyphens/>
      <w:ind w:left="720" w:right="720" w:hanging="360"/>
    </w:pPr>
    <w:rPr>
      <w:noProof/>
    </w:rPr>
  </w:style>
  <w:style w:type="paragraph" w:styleId="TOC3">
    <w:name w:val="toc 3"/>
    <w:basedOn w:val="Normal"/>
    <w:next w:val="Normal"/>
    <w:semiHidden/>
    <w:rsid w:val="00D1470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1470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1470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1470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1470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1470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1470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1470B"/>
    <w:pPr>
      <w:tabs>
        <w:tab w:val="right" w:pos="9360"/>
      </w:tabs>
      <w:suppressAutoHyphens/>
    </w:pPr>
  </w:style>
  <w:style w:type="character" w:customStyle="1" w:styleId="EquationCaption">
    <w:name w:val="_Equation Caption"/>
    <w:rsid w:val="00D1470B"/>
  </w:style>
  <w:style w:type="paragraph" w:styleId="Header">
    <w:name w:val="header"/>
    <w:basedOn w:val="Normal"/>
    <w:autoRedefine/>
    <w:rsid w:val="00D1470B"/>
    <w:pPr>
      <w:tabs>
        <w:tab w:val="center" w:pos="4680"/>
        <w:tab w:val="right" w:pos="9360"/>
      </w:tabs>
    </w:pPr>
    <w:rPr>
      <w:b/>
    </w:rPr>
  </w:style>
  <w:style w:type="paragraph" w:styleId="Footer">
    <w:name w:val="footer"/>
    <w:basedOn w:val="Normal"/>
    <w:link w:val="FooterChar"/>
    <w:uiPriority w:val="99"/>
    <w:rsid w:val="00D1470B"/>
    <w:pPr>
      <w:tabs>
        <w:tab w:val="center" w:pos="4320"/>
        <w:tab w:val="right" w:pos="8640"/>
      </w:tabs>
    </w:pPr>
  </w:style>
  <w:style w:type="character" w:styleId="PageNumber">
    <w:name w:val="page number"/>
    <w:basedOn w:val="DefaultParagraphFont"/>
    <w:rsid w:val="00D1470B"/>
  </w:style>
  <w:style w:type="paragraph" w:styleId="BlockText">
    <w:name w:val="Block Text"/>
    <w:basedOn w:val="Normal"/>
    <w:rsid w:val="00D1470B"/>
    <w:pPr>
      <w:spacing w:after="240"/>
      <w:ind w:left="1440" w:right="1440"/>
    </w:pPr>
  </w:style>
  <w:style w:type="paragraph" w:customStyle="1" w:styleId="Paratitle">
    <w:name w:val="Para title"/>
    <w:basedOn w:val="Normal"/>
    <w:rsid w:val="00D1470B"/>
    <w:pPr>
      <w:tabs>
        <w:tab w:val="center" w:pos="9270"/>
      </w:tabs>
      <w:spacing w:after="240"/>
    </w:pPr>
    <w:rPr>
      <w:spacing w:val="-2"/>
    </w:rPr>
  </w:style>
  <w:style w:type="paragraph" w:customStyle="1" w:styleId="Bullet">
    <w:name w:val="Bullet"/>
    <w:basedOn w:val="Normal"/>
    <w:rsid w:val="00D1470B"/>
    <w:pPr>
      <w:tabs>
        <w:tab w:val="left" w:pos="2160"/>
      </w:tabs>
      <w:spacing w:after="220"/>
      <w:ind w:left="2160" w:hanging="720"/>
    </w:pPr>
  </w:style>
  <w:style w:type="paragraph" w:customStyle="1" w:styleId="TableFormat">
    <w:name w:val="TableFormat"/>
    <w:basedOn w:val="Bullet"/>
    <w:rsid w:val="00D1470B"/>
    <w:pPr>
      <w:tabs>
        <w:tab w:val="clear" w:pos="2160"/>
        <w:tab w:val="left" w:pos="5040"/>
      </w:tabs>
      <w:ind w:left="5040" w:hanging="3600"/>
    </w:pPr>
  </w:style>
  <w:style w:type="paragraph" w:customStyle="1" w:styleId="TOCTitle">
    <w:name w:val="TOC Title"/>
    <w:basedOn w:val="Normal"/>
    <w:rsid w:val="00D1470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1470B"/>
    <w:pPr>
      <w:jc w:val="center"/>
    </w:pPr>
    <w:rPr>
      <w:rFonts w:ascii="Times New Roman Bold" w:hAnsi="Times New Roman Bold"/>
      <w:b/>
      <w:bCs/>
      <w:caps/>
      <w:szCs w:val="22"/>
    </w:rPr>
  </w:style>
  <w:style w:type="character" w:styleId="Hyperlink">
    <w:name w:val="Hyperlink"/>
    <w:rsid w:val="00D1470B"/>
    <w:rPr>
      <w:color w:val="0000FF"/>
      <w:u w:val="single"/>
    </w:rPr>
  </w:style>
  <w:style w:type="character" w:customStyle="1" w:styleId="FooterChar">
    <w:name w:val="Footer Char"/>
    <w:link w:val="Footer"/>
    <w:uiPriority w:val="99"/>
    <w:rsid w:val="00D1470B"/>
    <w:rPr>
      <w:snapToGrid w:val="0"/>
      <w:kern w:val="28"/>
      <w:sz w:val="22"/>
    </w:r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f Char"/>
    <w:link w:val="FootnoteText"/>
    <w:rsid w:val="00B672CF"/>
  </w:style>
  <w:style w:type="character" w:styleId="Emphasis">
    <w:name w:val="Emphasis"/>
    <w:uiPriority w:val="20"/>
    <w:qFormat/>
    <w:rsid w:val="00B672CF"/>
    <w:rPr>
      <w:i/>
      <w:iCs/>
    </w:rPr>
  </w:style>
  <w:style w:type="character" w:customStyle="1" w:styleId="normaltextrun">
    <w:name w:val="normaltextrun"/>
    <w:basedOn w:val="DefaultParagraphFont"/>
    <w:rsid w:val="0030758D"/>
  </w:style>
  <w:style w:type="character" w:customStyle="1" w:styleId="spellingerror">
    <w:name w:val="spellingerror"/>
    <w:basedOn w:val="DefaultParagraphFont"/>
    <w:rsid w:val="0030758D"/>
  </w:style>
  <w:style w:type="character" w:customStyle="1" w:styleId="eop">
    <w:name w:val="eop"/>
    <w:basedOn w:val="DefaultParagraphFont"/>
    <w:rsid w:val="0030758D"/>
  </w:style>
  <w:style w:type="character" w:customStyle="1" w:styleId="ParaNumChar">
    <w:name w:val="ParaNum Char"/>
    <w:link w:val="ParaNum"/>
    <w:locked/>
    <w:rsid w:val="0030758D"/>
    <w:rPr>
      <w:snapToGrid w:val="0"/>
      <w:kern w:val="28"/>
      <w:sz w:val="22"/>
    </w:rPr>
  </w:style>
  <w:style w:type="character" w:styleId="CommentReference">
    <w:name w:val="annotation reference"/>
    <w:uiPriority w:val="99"/>
    <w:unhideWhenUsed/>
    <w:rsid w:val="000357A7"/>
    <w:rPr>
      <w:sz w:val="16"/>
      <w:szCs w:val="16"/>
    </w:rPr>
  </w:style>
  <w:style w:type="paragraph" w:styleId="CommentText">
    <w:name w:val="annotation text"/>
    <w:basedOn w:val="Normal"/>
    <w:link w:val="CommentTextChar"/>
    <w:uiPriority w:val="99"/>
    <w:unhideWhenUsed/>
    <w:rsid w:val="000357A7"/>
    <w:rPr>
      <w:kern w:val="0"/>
      <w:sz w:val="20"/>
    </w:rPr>
  </w:style>
  <w:style w:type="character" w:customStyle="1" w:styleId="CommentTextChar">
    <w:name w:val="Comment Text Char"/>
    <w:basedOn w:val="DefaultParagraphFont"/>
    <w:link w:val="CommentText"/>
    <w:uiPriority w:val="99"/>
    <w:rsid w:val="000357A7"/>
    <w:rPr>
      <w:snapToGrid w:val="0"/>
    </w:rPr>
  </w:style>
  <w:style w:type="character" w:customStyle="1" w:styleId="cosearchterm">
    <w:name w:val="co_searchterm"/>
    <w:basedOn w:val="DefaultParagraphFont"/>
    <w:rsid w:val="000357A7"/>
  </w:style>
  <w:style w:type="character" w:customStyle="1" w:styleId="cosearchwithinterm">
    <w:name w:val="co_searchwithinterm"/>
    <w:basedOn w:val="DefaultParagraphFont"/>
    <w:rsid w:val="000357A7"/>
  </w:style>
  <w:style w:type="paragraph" w:styleId="CommentSubject">
    <w:name w:val="annotation subject"/>
    <w:basedOn w:val="CommentText"/>
    <w:next w:val="CommentText"/>
    <w:link w:val="CommentSubjectChar"/>
    <w:uiPriority w:val="99"/>
    <w:unhideWhenUsed/>
    <w:rsid w:val="00331D9C"/>
    <w:rPr>
      <w:b/>
      <w:bCs/>
    </w:rPr>
  </w:style>
  <w:style w:type="character" w:customStyle="1" w:styleId="CommentSubjectChar">
    <w:name w:val="Comment Subject Char"/>
    <w:basedOn w:val="CommentTextChar"/>
    <w:link w:val="CommentSubject"/>
    <w:uiPriority w:val="99"/>
    <w:rsid w:val="00331D9C"/>
    <w:rPr>
      <w:b/>
      <w:bCs/>
      <w:snapToGrid w:val="0"/>
    </w:rPr>
  </w:style>
  <w:style w:type="paragraph" w:customStyle="1" w:styleId="paragraph">
    <w:name w:val="paragraph"/>
    <w:basedOn w:val="Normal"/>
    <w:rsid w:val="000C05CE"/>
    <w:pPr>
      <w:widowControl/>
      <w:spacing w:before="100" w:beforeAutospacing="1" w:after="100" w:afterAutospacing="1"/>
    </w:pPr>
    <w:rPr>
      <w:snapToGrid/>
      <w:kern w:val="0"/>
      <w:sz w:val="24"/>
      <w:szCs w:val="24"/>
    </w:rPr>
  </w:style>
  <w:style w:type="paragraph" w:styleId="Revision">
    <w:name w:val="Revision"/>
    <w:hidden/>
    <w:uiPriority w:val="99"/>
    <w:semiHidden/>
    <w:rsid w:val="009950BB"/>
    <w:rPr>
      <w:snapToGrid w:val="0"/>
      <w:kern w:val="28"/>
      <w:sz w:val="22"/>
    </w:rPr>
  </w:style>
  <w:style w:type="character" w:customStyle="1" w:styleId="UnresolvedMention">
    <w:name w:val="Unresolved Mention"/>
    <w:basedOn w:val="DefaultParagraphFont"/>
    <w:uiPriority w:val="99"/>
    <w:semiHidden/>
    <w:unhideWhenUsed/>
    <w:rsid w:val="00394C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eeoc.gov/filing-lawsuit"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