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651494" w14:paraId="70FA2619" w14:textId="77777777">
      <w:pPr>
        <w:jc w:val="center"/>
        <w:rPr>
          <w:b/>
        </w:rPr>
      </w:pPr>
      <w:r w:rsidRPr="0070224F">
        <w:rPr>
          <w:rFonts w:ascii="Times New Roman Bold" w:hAnsi="Times New Roman Bold"/>
          <w:b/>
          <w:kern w:val="0"/>
          <w:szCs w:val="22"/>
        </w:rPr>
        <w:t>Before</w:t>
      </w:r>
      <w:r>
        <w:rPr>
          <w:b/>
        </w:rPr>
        <w:t xml:space="preserve"> the</w:t>
      </w:r>
    </w:p>
    <w:p w:rsidR="00921803" w:rsidP="00651494" w14:paraId="70FA261A" w14:textId="77777777">
      <w:pPr>
        <w:pStyle w:val="StyleBoldCentered"/>
      </w:pPr>
      <w:r>
        <w:t>F</w:t>
      </w:r>
      <w:r>
        <w:rPr>
          <w:caps w:val="0"/>
        </w:rPr>
        <w:t>ederal Communications Commission</w:t>
      </w:r>
    </w:p>
    <w:p w:rsidR="004C2EE3" w:rsidP="00651494" w14:paraId="70FA261B" w14:textId="77777777">
      <w:pPr>
        <w:pStyle w:val="StyleBoldCentered"/>
      </w:pPr>
      <w:r>
        <w:rPr>
          <w:caps w:val="0"/>
        </w:rPr>
        <w:t>Washington, D.C. 20554</w:t>
      </w:r>
    </w:p>
    <w:p w:rsidR="004C2EE3" w:rsidP="00651494" w14:paraId="70FA261D" w14:textId="77777777"/>
    <w:tbl>
      <w:tblPr>
        <w:tblW w:w="0" w:type="auto"/>
        <w:tblLayout w:type="fixed"/>
        <w:tblLook w:val="0000"/>
      </w:tblPr>
      <w:tblGrid>
        <w:gridCol w:w="4698"/>
        <w:gridCol w:w="630"/>
        <w:gridCol w:w="4248"/>
      </w:tblGrid>
      <w:tr w14:paraId="70FA2635" w14:textId="77777777">
        <w:tblPrEx>
          <w:tblW w:w="0" w:type="auto"/>
          <w:tblLayout w:type="fixed"/>
          <w:tblLook w:val="0000"/>
        </w:tblPrEx>
        <w:tc>
          <w:tcPr>
            <w:tcW w:w="4698" w:type="dxa"/>
          </w:tcPr>
          <w:p w:rsidR="004C2EE3" w:rsidP="00651494" w14:paraId="70FA261E" w14:textId="77777777">
            <w:pPr>
              <w:tabs>
                <w:tab w:val="center" w:pos="4680"/>
              </w:tabs>
              <w:rPr>
                <w:spacing w:val="-2"/>
              </w:rPr>
            </w:pPr>
            <w:r>
              <w:rPr>
                <w:spacing w:val="-2"/>
              </w:rPr>
              <w:t>In the Matter of</w:t>
            </w:r>
          </w:p>
          <w:p w:rsidR="004C2EE3" w:rsidP="00651494" w14:paraId="70FA261F" w14:textId="77777777">
            <w:pPr>
              <w:tabs>
                <w:tab w:val="center" w:pos="4680"/>
              </w:tabs>
              <w:rPr>
                <w:spacing w:val="-2"/>
              </w:rPr>
            </w:pPr>
          </w:p>
          <w:p w:rsidR="006C44CA" w:rsidRPr="002F7C28" w:rsidP="00651494" w14:paraId="70FA2620" w14:textId="7B5B6038">
            <w:pPr>
              <w:tabs>
                <w:tab w:val="center" w:pos="4680"/>
              </w:tabs>
              <w:rPr>
                <w:b/>
                <w:spacing w:val="-2"/>
              </w:rPr>
            </w:pPr>
            <w:r>
              <w:rPr>
                <w:b/>
                <w:spacing w:val="-2"/>
              </w:rPr>
              <w:t>Family Stations, Inc.</w:t>
            </w:r>
          </w:p>
          <w:p w:rsidR="006C44CA" w:rsidRPr="007C52AC" w:rsidP="00651494" w14:paraId="70FA2621" w14:textId="77777777">
            <w:pPr>
              <w:tabs>
                <w:tab w:val="center" w:pos="4680"/>
              </w:tabs>
              <w:rPr>
                <w:spacing w:val="-2"/>
              </w:rPr>
            </w:pPr>
          </w:p>
          <w:p w:rsidR="006C44CA" w:rsidP="00651494" w14:paraId="70FA2622" w14:textId="40BD689F">
            <w:pPr>
              <w:tabs>
                <w:tab w:val="center" w:pos="4680"/>
              </w:tabs>
              <w:rPr>
                <w:spacing w:val="-2"/>
              </w:rPr>
            </w:pPr>
            <w:r>
              <w:rPr>
                <w:spacing w:val="-2"/>
              </w:rPr>
              <w:t>New FM Translator</w:t>
            </w:r>
            <w:r w:rsidR="00384784">
              <w:rPr>
                <w:spacing w:val="-2"/>
              </w:rPr>
              <w:t>, El Cajon, California</w:t>
            </w:r>
          </w:p>
          <w:p w:rsidR="00384784" w:rsidP="00651494" w14:paraId="3D635FA6" w14:textId="28592C83">
            <w:pPr>
              <w:tabs>
                <w:tab w:val="center" w:pos="4680"/>
              </w:tabs>
              <w:rPr>
                <w:spacing w:val="-2"/>
              </w:rPr>
            </w:pPr>
          </w:p>
          <w:p w:rsidR="00384784" w:rsidRPr="00384784" w:rsidP="00651494" w14:paraId="000D62D4" w14:textId="48D0396F">
            <w:pPr>
              <w:tabs>
                <w:tab w:val="center" w:pos="4680"/>
              </w:tabs>
              <w:rPr>
                <w:b/>
                <w:bCs/>
                <w:spacing w:val="-2"/>
              </w:rPr>
            </w:pPr>
            <w:r w:rsidRPr="00384784">
              <w:rPr>
                <w:b/>
                <w:bCs/>
                <w:spacing w:val="-2"/>
              </w:rPr>
              <w:t>Positive Hope Inc.</w:t>
            </w:r>
          </w:p>
          <w:p w:rsidR="006C44CA" w:rsidP="00651494" w14:paraId="70FA2623" w14:textId="77382EEA">
            <w:pPr>
              <w:tabs>
                <w:tab w:val="center" w:pos="4680"/>
              </w:tabs>
              <w:rPr>
                <w:spacing w:val="-2"/>
              </w:rPr>
            </w:pPr>
          </w:p>
          <w:p w:rsidR="00384784" w:rsidRPr="007C52AC" w:rsidP="00651494" w14:paraId="416CADCF" w14:textId="0558C7BF">
            <w:pPr>
              <w:tabs>
                <w:tab w:val="center" w:pos="4680"/>
              </w:tabs>
              <w:rPr>
                <w:spacing w:val="-2"/>
              </w:rPr>
            </w:pPr>
            <w:r>
              <w:rPr>
                <w:spacing w:val="-2"/>
              </w:rPr>
              <w:t>KVIB-LP, San Diego, California</w:t>
            </w:r>
          </w:p>
          <w:p w:rsidR="004C2EE3" w:rsidRPr="007115F7" w:rsidP="00651494" w14:paraId="70FA2624" w14:textId="77777777">
            <w:pPr>
              <w:tabs>
                <w:tab w:val="center" w:pos="4680"/>
              </w:tabs>
              <w:rPr>
                <w:spacing w:val="-2"/>
              </w:rPr>
            </w:pPr>
          </w:p>
        </w:tc>
        <w:tc>
          <w:tcPr>
            <w:tcW w:w="630" w:type="dxa"/>
          </w:tcPr>
          <w:p w:rsidR="004C2EE3" w:rsidP="00651494" w14:paraId="70FA2625" w14:textId="77777777">
            <w:pPr>
              <w:tabs>
                <w:tab w:val="center" w:pos="4680"/>
              </w:tabs>
              <w:rPr>
                <w:b/>
                <w:spacing w:val="-2"/>
              </w:rPr>
            </w:pPr>
            <w:r>
              <w:rPr>
                <w:b/>
                <w:spacing w:val="-2"/>
              </w:rPr>
              <w:t>)</w:t>
            </w:r>
          </w:p>
          <w:p w:rsidR="004C2EE3" w:rsidP="00651494" w14:paraId="70FA2626" w14:textId="77777777">
            <w:pPr>
              <w:tabs>
                <w:tab w:val="center" w:pos="4680"/>
              </w:tabs>
              <w:rPr>
                <w:b/>
                <w:spacing w:val="-2"/>
              </w:rPr>
            </w:pPr>
            <w:r>
              <w:rPr>
                <w:b/>
                <w:spacing w:val="-2"/>
              </w:rPr>
              <w:t>)</w:t>
            </w:r>
          </w:p>
          <w:p w:rsidR="004C2EE3" w:rsidP="00651494" w14:paraId="70FA2627" w14:textId="77777777">
            <w:pPr>
              <w:tabs>
                <w:tab w:val="center" w:pos="4680"/>
              </w:tabs>
              <w:rPr>
                <w:b/>
                <w:spacing w:val="-2"/>
              </w:rPr>
            </w:pPr>
            <w:r>
              <w:rPr>
                <w:b/>
                <w:spacing w:val="-2"/>
              </w:rPr>
              <w:t>)</w:t>
            </w:r>
          </w:p>
          <w:p w:rsidR="004C2EE3" w:rsidP="00651494" w14:paraId="70FA2628" w14:textId="77777777">
            <w:pPr>
              <w:tabs>
                <w:tab w:val="center" w:pos="4680"/>
              </w:tabs>
              <w:rPr>
                <w:b/>
                <w:spacing w:val="-2"/>
              </w:rPr>
            </w:pPr>
            <w:r>
              <w:rPr>
                <w:b/>
                <w:spacing w:val="-2"/>
              </w:rPr>
              <w:t>)</w:t>
            </w:r>
          </w:p>
          <w:p w:rsidR="004C2EE3" w:rsidP="00651494" w14:paraId="70FA2629" w14:textId="77777777">
            <w:pPr>
              <w:tabs>
                <w:tab w:val="center" w:pos="4680"/>
              </w:tabs>
              <w:rPr>
                <w:b/>
                <w:spacing w:val="-2"/>
              </w:rPr>
            </w:pPr>
            <w:r>
              <w:rPr>
                <w:b/>
                <w:spacing w:val="-2"/>
              </w:rPr>
              <w:t>)</w:t>
            </w:r>
          </w:p>
          <w:p w:rsidR="004C2EE3" w:rsidP="00651494" w14:paraId="70FA262A" w14:textId="77777777">
            <w:pPr>
              <w:tabs>
                <w:tab w:val="center" w:pos="4680"/>
              </w:tabs>
              <w:rPr>
                <w:b/>
                <w:spacing w:val="-2"/>
              </w:rPr>
            </w:pPr>
            <w:r>
              <w:rPr>
                <w:b/>
                <w:spacing w:val="-2"/>
              </w:rPr>
              <w:t>)</w:t>
            </w:r>
          </w:p>
          <w:p w:rsidR="006C44CA" w:rsidP="00651494" w14:paraId="541E2062" w14:textId="77777777">
            <w:pPr>
              <w:tabs>
                <w:tab w:val="center" w:pos="4680"/>
              </w:tabs>
              <w:rPr>
                <w:b/>
                <w:spacing w:val="-2"/>
              </w:rPr>
            </w:pPr>
            <w:r>
              <w:rPr>
                <w:b/>
                <w:spacing w:val="-2"/>
              </w:rPr>
              <w:t>)</w:t>
            </w:r>
          </w:p>
          <w:p w:rsidR="00384784" w:rsidP="00651494" w14:paraId="423BF33C" w14:textId="77777777">
            <w:pPr>
              <w:tabs>
                <w:tab w:val="center" w:pos="4680"/>
              </w:tabs>
              <w:rPr>
                <w:b/>
                <w:spacing w:val="-2"/>
              </w:rPr>
            </w:pPr>
            <w:r>
              <w:rPr>
                <w:b/>
                <w:spacing w:val="-2"/>
              </w:rPr>
              <w:t>)</w:t>
            </w:r>
          </w:p>
          <w:p w:rsidR="00384784" w:rsidRPr="00875EE1" w:rsidP="00651494" w14:paraId="70FA262B" w14:textId="726B772C">
            <w:pPr>
              <w:tabs>
                <w:tab w:val="center" w:pos="4680"/>
              </w:tabs>
              <w:rPr>
                <w:b/>
                <w:spacing w:val="-2"/>
              </w:rPr>
            </w:pPr>
            <w:r>
              <w:rPr>
                <w:b/>
                <w:spacing w:val="-2"/>
              </w:rPr>
              <w:t>)</w:t>
            </w:r>
          </w:p>
        </w:tc>
        <w:tc>
          <w:tcPr>
            <w:tcW w:w="4248" w:type="dxa"/>
          </w:tcPr>
          <w:p w:rsidR="004C2EE3" w:rsidP="00651494" w14:paraId="70FA262C" w14:textId="77777777">
            <w:pPr>
              <w:tabs>
                <w:tab w:val="center" w:pos="4680"/>
              </w:tabs>
              <w:rPr>
                <w:spacing w:val="-2"/>
              </w:rPr>
            </w:pPr>
          </w:p>
          <w:p w:rsidR="004C2EE3" w:rsidP="00651494" w14:paraId="70FA262D" w14:textId="77777777">
            <w:pPr>
              <w:pStyle w:val="TOAHeading"/>
              <w:tabs>
                <w:tab w:val="center" w:pos="4680"/>
                <w:tab w:val="clear" w:pos="9360"/>
              </w:tabs>
              <w:suppressAutoHyphens w:val="0"/>
              <w:rPr>
                <w:spacing w:val="-2"/>
              </w:rPr>
            </w:pPr>
          </w:p>
          <w:p w:rsidR="004951DC" w:rsidP="00651494" w14:paraId="35FB7EE0" w14:textId="77777777">
            <w:pPr>
              <w:tabs>
                <w:tab w:val="center" w:pos="4680"/>
              </w:tabs>
              <w:rPr>
                <w:spacing w:val="-2"/>
              </w:rPr>
            </w:pPr>
            <w:bookmarkStart w:id="0" w:name="_Hlk94090853"/>
            <w:r>
              <w:rPr>
                <w:color w:val="000000"/>
                <w:szCs w:val="22"/>
              </w:rPr>
              <w:t>BNPFT-20190731AAZ</w:t>
            </w:r>
            <w:r>
              <w:rPr>
                <w:spacing w:val="-2"/>
              </w:rPr>
              <w:t xml:space="preserve"> </w:t>
            </w:r>
          </w:p>
          <w:bookmarkEnd w:id="0"/>
          <w:p w:rsidR="00875EE1" w:rsidP="00651494" w14:paraId="70FA2631" w14:textId="65A9D058">
            <w:pPr>
              <w:tabs>
                <w:tab w:val="center" w:pos="4680"/>
              </w:tabs>
              <w:rPr>
                <w:spacing w:val="-2"/>
              </w:rPr>
            </w:pPr>
            <w:r>
              <w:rPr>
                <w:spacing w:val="-2"/>
              </w:rPr>
              <w:t xml:space="preserve">Facility ID No. </w:t>
            </w:r>
            <w:r w:rsidR="004951DC">
              <w:rPr>
                <w:spacing w:val="-2"/>
              </w:rPr>
              <w:t>203018</w:t>
            </w:r>
          </w:p>
          <w:p w:rsidR="009F10BC" w:rsidP="00651494" w14:paraId="70FA2632" w14:textId="77777777">
            <w:pPr>
              <w:tabs>
                <w:tab w:val="center" w:pos="4680"/>
              </w:tabs>
              <w:rPr>
                <w:spacing w:val="-2"/>
              </w:rPr>
            </w:pPr>
          </w:p>
          <w:p w:rsidR="009F10BC" w:rsidP="00651494" w14:paraId="70FA2633" w14:textId="3E18A02D">
            <w:pPr>
              <w:tabs>
                <w:tab w:val="center" w:pos="4680"/>
              </w:tabs>
              <w:rPr>
                <w:spacing w:val="-2"/>
              </w:rPr>
            </w:pPr>
          </w:p>
          <w:p w:rsidR="00384784" w:rsidP="00651494" w14:paraId="51C5AAEC" w14:textId="256029AC">
            <w:pPr>
              <w:tabs>
                <w:tab w:val="center" w:pos="4680"/>
              </w:tabs>
              <w:rPr>
                <w:color w:val="000000"/>
                <w:szCs w:val="22"/>
              </w:rPr>
            </w:pPr>
            <w:r>
              <w:rPr>
                <w:color w:val="000000"/>
                <w:szCs w:val="22"/>
              </w:rPr>
              <w:t>BPL-20190909ABO</w:t>
            </w:r>
          </w:p>
          <w:p w:rsidR="00384784" w:rsidP="00651494" w14:paraId="752B69D2" w14:textId="2D3493AE">
            <w:pPr>
              <w:tabs>
                <w:tab w:val="center" w:pos="4680"/>
              </w:tabs>
              <w:rPr>
                <w:spacing w:val="-2"/>
              </w:rPr>
            </w:pPr>
            <w:r w:rsidRPr="00E86B07">
              <w:rPr>
                <w:color w:val="000000"/>
                <w:szCs w:val="22"/>
              </w:rPr>
              <w:t>Facility ID No. 197704</w:t>
            </w:r>
          </w:p>
          <w:p w:rsidR="004C2EE3" w:rsidP="00651494" w14:paraId="70FA2634" w14:textId="77777777">
            <w:pPr>
              <w:tabs>
                <w:tab w:val="center" w:pos="4680"/>
              </w:tabs>
              <w:rPr>
                <w:spacing w:val="-2"/>
              </w:rPr>
            </w:pPr>
          </w:p>
        </w:tc>
      </w:tr>
    </w:tbl>
    <w:p w:rsidR="006C44CA" w:rsidP="00651494" w14:paraId="70FA2636" w14:textId="77777777">
      <w:pPr>
        <w:pStyle w:val="StyleBoldCentered"/>
      </w:pPr>
      <w:r>
        <w:t>Memorandum Opinion and order</w:t>
      </w:r>
    </w:p>
    <w:p w:rsidR="00841AB1" w:rsidP="00651494" w14:paraId="70FA2637" w14:textId="77777777">
      <w:pPr>
        <w:pStyle w:val="StyleBoldCentered"/>
      </w:pPr>
    </w:p>
    <w:p w:rsidR="004C2EE3" w:rsidP="00651494" w14:paraId="70FA2638" w14:textId="77777777">
      <w:pPr>
        <w:tabs>
          <w:tab w:val="left" w:pos="-720"/>
        </w:tabs>
        <w:spacing w:line="227" w:lineRule="auto"/>
        <w:rPr>
          <w:spacing w:val="-2"/>
        </w:rPr>
      </w:pPr>
    </w:p>
    <w:p w:rsidR="004C2EE3" w:rsidP="00651494" w14:paraId="70FA2639" w14:textId="6D6B9FB8">
      <w:pPr>
        <w:tabs>
          <w:tab w:val="left" w:pos="720"/>
          <w:tab w:val="right" w:pos="9360"/>
        </w:tabs>
        <w:spacing w:line="227" w:lineRule="auto"/>
        <w:rPr>
          <w:spacing w:val="-2"/>
        </w:rPr>
      </w:pPr>
      <w:r>
        <w:rPr>
          <w:b/>
          <w:spacing w:val="-2"/>
        </w:rPr>
        <w:t xml:space="preserve">Adopted:  </w:t>
      </w:r>
      <w:r w:rsidR="00127873">
        <w:rPr>
          <w:b/>
          <w:spacing w:val="-2"/>
        </w:rPr>
        <w:t>April 19,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27873">
        <w:rPr>
          <w:b/>
          <w:spacing w:val="-2"/>
        </w:rPr>
        <w:t>April 19, 2022</w:t>
      </w:r>
    </w:p>
    <w:p w:rsidR="00822CE0" w:rsidP="00651494" w14:paraId="70FA263A" w14:textId="77777777"/>
    <w:p w:rsidR="004C2EE3" w:rsidP="00651494" w14:paraId="70FA263B" w14:textId="77777777">
      <w:pPr>
        <w:rPr>
          <w:spacing w:val="-2"/>
        </w:rPr>
      </w:pPr>
      <w:r>
        <w:t xml:space="preserve">By </w:t>
      </w:r>
      <w:r w:rsidR="004E4A22">
        <w:t>the</w:t>
      </w:r>
      <w:r w:rsidR="002A2D2E">
        <w:t xml:space="preserve"> </w:t>
      </w:r>
      <w:r w:rsidR="006C44CA">
        <w:t>Commission</w:t>
      </w:r>
      <w:r>
        <w:rPr>
          <w:spacing w:val="-2"/>
        </w:rPr>
        <w:t>:</w:t>
      </w:r>
    </w:p>
    <w:p w:rsidR="00412FC5" w:rsidP="00651494" w14:paraId="70FA263C" w14:textId="77777777"/>
    <w:p w:rsidR="00ED3597" w:rsidP="00651494" w14:paraId="03F12A7D" w14:textId="77777777">
      <w:pPr>
        <w:pStyle w:val="Heading1"/>
        <w:keepNext w:val="0"/>
        <w:suppressAutoHyphens w:val="0"/>
      </w:pPr>
      <w:r>
        <w:t>Introduction</w:t>
      </w:r>
    </w:p>
    <w:p w:rsidR="002C00E8" w:rsidP="00651494" w14:paraId="70FA263D" w14:textId="58CED1ED">
      <w:pPr>
        <w:pStyle w:val="ParaNum"/>
      </w:pPr>
      <w:r>
        <w:t xml:space="preserve">In this Memorandum Opinion and Order, we </w:t>
      </w:r>
      <w:r w:rsidR="00CA3F72">
        <w:t xml:space="preserve">dismiss in part and otherwise </w:t>
      </w:r>
      <w:r>
        <w:t xml:space="preserve">deny the Application for Review </w:t>
      </w:r>
      <w:r w:rsidR="00B712E6">
        <w:t>(Application</w:t>
      </w:r>
      <w:r w:rsidR="00CE5965">
        <w:t xml:space="preserve"> for Review</w:t>
      </w:r>
      <w:r w:rsidR="00B712E6">
        <w:t xml:space="preserve">) </w:t>
      </w:r>
      <w:r>
        <w:t xml:space="preserve">filed by </w:t>
      </w:r>
      <w:r w:rsidR="00384784">
        <w:t>Positive Hope, Inc. (Positive Hope)</w:t>
      </w:r>
      <w:r>
        <w:t xml:space="preserve">.  </w:t>
      </w:r>
      <w:r w:rsidR="00384784">
        <w:t>Positive Hope</w:t>
      </w:r>
      <w:r w:rsidR="00DC7A91">
        <w:t xml:space="preserve"> se</w:t>
      </w:r>
      <w:r>
        <w:t xml:space="preserve">eks review of </w:t>
      </w:r>
      <w:r w:rsidR="00384784">
        <w:t xml:space="preserve">a </w:t>
      </w:r>
      <w:r w:rsidR="00975636">
        <w:t>letter decision</w:t>
      </w:r>
      <w:r w:rsidR="002F4E81">
        <w:t xml:space="preserve"> </w:t>
      </w:r>
      <w:r w:rsidR="008D7D4B">
        <w:t>(</w:t>
      </w:r>
      <w:r w:rsidR="008D7D4B">
        <w:rPr>
          <w:i/>
          <w:iCs/>
        </w:rPr>
        <w:t>Reconsideration</w:t>
      </w:r>
      <w:r w:rsidR="008D7D4B">
        <w:rPr>
          <w:i/>
        </w:rPr>
        <w:t xml:space="preserve"> Letter</w:t>
      </w:r>
      <w:r w:rsidR="008D7D4B">
        <w:t>)</w:t>
      </w:r>
      <w:r>
        <w:rPr>
          <w:rStyle w:val="FootnoteReference"/>
        </w:rPr>
        <w:footnoteReference w:id="3"/>
      </w:r>
      <w:r w:rsidR="008D7D4B">
        <w:t xml:space="preserve"> </w:t>
      </w:r>
      <w:r w:rsidR="00975636">
        <w:t xml:space="preserve">by </w:t>
      </w:r>
      <w:r w:rsidR="00DC7A91">
        <w:t>th</w:t>
      </w:r>
      <w:r w:rsidR="002F4E81">
        <w:t>e Audio Division, Media Bureau</w:t>
      </w:r>
      <w:r w:rsidR="008D7D4B">
        <w:t xml:space="preserve"> (Bureau)</w:t>
      </w:r>
      <w:r w:rsidR="00835971">
        <w:t xml:space="preserve"> </w:t>
      </w:r>
      <w:r w:rsidR="000959A3">
        <w:t xml:space="preserve">that </w:t>
      </w:r>
      <w:r w:rsidR="007A19F2">
        <w:t>reinstat</w:t>
      </w:r>
      <w:r w:rsidR="000959A3">
        <w:t>ed</w:t>
      </w:r>
      <w:r w:rsidR="00FF1510">
        <w:rPr>
          <w:i/>
          <w:iCs/>
        </w:rPr>
        <w:t xml:space="preserve"> </w:t>
      </w:r>
      <w:r w:rsidR="00ED0F7A">
        <w:t>the above-referenced</w:t>
      </w:r>
      <w:r w:rsidR="00FF1510">
        <w:t xml:space="preserve"> </w:t>
      </w:r>
      <w:r w:rsidR="00143A5A">
        <w:t xml:space="preserve">new FM </w:t>
      </w:r>
      <w:r w:rsidR="00FF1510">
        <w:t>translator application</w:t>
      </w:r>
      <w:r w:rsidR="00A83CCB">
        <w:t>, as amended</w:t>
      </w:r>
      <w:r w:rsidR="00235430">
        <w:t xml:space="preserve"> (</w:t>
      </w:r>
      <w:r w:rsidR="00A83CCB">
        <w:t xml:space="preserve">Amended </w:t>
      </w:r>
      <w:r w:rsidR="00235430">
        <w:t>Translator Application)</w:t>
      </w:r>
      <w:r w:rsidR="00FF1510">
        <w:t xml:space="preserve"> filed by Family Stations, Inc. (Family) on September 6, 2019</w:t>
      </w:r>
      <w:r w:rsidR="00143A5A">
        <w:t>,</w:t>
      </w:r>
      <w:r w:rsidR="00ED0F7A">
        <w:t xml:space="preserve"> and up</w:t>
      </w:r>
      <w:r w:rsidR="000959A3">
        <w:t>held</w:t>
      </w:r>
      <w:r w:rsidR="00ED0F7A">
        <w:t xml:space="preserve"> the </w:t>
      </w:r>
      <w:r w:rsidR="00C22B7D">
        <w:t>Bure</w:t>
      </w:r>
      <w:r w:rsidR="002510E9">
        <w:t xml:space="preserve">au’s </w:t>
      </w:r>
      <w:r w:rsidR="00ED0F7A">
        <w:t xml:space="preserve">dismissal of the above-referenced </w:t>
      </w:r>
      <w:r w:rsidR="00143A5A">
        <w:t xml:space="preserve">modification </w:t>
      </w:r>
      <w:r w:rsidR="00ED0F7A">
        <w:t>application filed by Positive Hope on September 9, 2019 (KVIB-LP Modification Application).</w:t>
      </w:r>
      <w:r>
        <w:rPr>
          <w:rStyle w:val="FootnoteReference"/>
        </w:rPr>
        <w:footnoteReference w:id="4"/>
      </w:r>
      <w:r w:rsidR="009F6BB8">
        <w:t xml:space="preserve">  In light of </w:t>
      </w:r>
      <w:r w:rsidR="00114DDF">
        <w:t>receiving Mexican concurrence</w:t>
      </w:r>
      <w:r w:rsidR="009F6BB8">
        <w:t xml:space="preserve"> for the </w:t>
      </w:r>
      <w:r w:rsidR="00A83CCB">
        <w:t xml:space="preserve">proposed </w:t>
      </w:r>
      <w:r w:rsidR="009F6BB8">
        <w:t xml:space="preserve">facilities, we also grant the </w:t>
      </w:r>
      <w:r w:rsidR="00A83CCB">
        <w:t xml:space="preserve">Amended </w:t>
      </w:r>
      <w:r w:rsidR="009F6BB8">
        <w:t>Translator Application.</w:t>
      </w:r>
    </w:p>
    <w:p w:rsidR="00BC6592" w:rsidRPr="00BC6592" w:rsidP="00651494" w14:paraId="6D1D2A79" w14:textId="481FDA34">
      <w:pPr>
        <w:pStyle w:val="Heading1"/>
        <w:keepNext w:val="0"/>
        <w:suppressAutoHyphens w:val="0"/>
      </w:pPr>
      <w:r>
        <w:t>Background</w:t>
      </w:r>
    </w:p>
    <w:p w:rsidR="0077205D" w:rsidRPr="008F2851" w:rsidP="00651494" w14:paraId="09223328" w14:textId="47DB5241">
      <w:pPr>
        <w:pStyle w:val="ParaNum"/>
      </w:pPr>
      <w:r>
        <w:rPr>
          <w:bCs/>
          <w:color w:val="000000"/>
          <w:szCs w:val="22"/>
        </w:rPr>
        <w:t>In 2019</w:t>
      </w:r>
      <w:r w:rsidRPr="00760469" w:rsidR="00482984">
        <w:rPr>
          <w:bCs/>
          <w:color w:val="000000"/>
          <w:szCs w:val="22"/>
        </w:rPr>
        <w:t>, the Commission conducted</w:t>
      </w:r>
      <w:r w:rsidRPr="00760469" w:rsidR="00F34CF9">
        <w:rPr>
          <w:bCs/>
          <w:color w:val="000000"/>
          <w:szCs w:val="22"/>
        </w:rPr>
        <w:t xml:space="preserve"> </w:t>
      </w:r>
      <w:r w:rsidRPr="00760469" w:rsidR="00760469">
        <w:rPr>
          <w:bCs/>
          <w:color w:val="000000"/>
          <w:szCs w:val="22"/>
        </w:rPr>
        <w:t>Auction 100, which resolved</w:t>
      </w:r>
      <w:r w:rsidR="00143A5A">
        <w:rPr>
          <w:bCs/>
          <w:color w:val="000000"/>
          <w:szCs w:val="22"/>
        </w:rPr>
        <w:t xml:space="preserve"> through competitive bidding</w:t>
      </w:r>
      <w:r w:rsidRPr="00760469" w:rsidR="00760469">
        <w:rPr>
          <w:bCs/>
          <w:color w:val="000000"/>
          <w:szCs w:val="22"/>
        </w:rPr>
        <w:t xml:space="preserve"> mutually exclusive proposals for new cross-service FM translators</w:t>
      </w:r>
      <w:r>
        <w:rPr>
          <w:bCs/>
          <w:color w:val="000000"/>
          <w:szCs w:val="22"/>
        </w:rPr>
        <w:t xml:space="preserve"> to be paired with AM stations</w:t>
      </w:r>
      <w:r w:rsidRPr="00760469" w:rsidR="00F34CF9">
        <w:rPr>
          <w:color w:val="000000"/>
          <w:szCs w:val="22"/>
        </w:rPr>
        <w:t>.</w:t>
      </w:r>
      <w:r>
        <w:rPr>
          <w:rStyle w:val="FootnoteReference"/>
          <w:szCs w:val="22"/>
        </w:rPr>
        <w:footnoteReference w:id="5"/>
      </w:r>
      <w:r w:rsidRPr="00760469" w:rsidR="00F34CF9">
        <w:rPr>
          <w:bCs/>
          <w:color w:val="000000"/>
          <w:szCs w:val="22"/>
        </w:rPr>
        <w:t xml:space="preserve">  </w:t>
      </w:r>
      <w:r w:rsidRPr="00760469" w:rsidR="00760469">
        <w:rPr>
          <w:bCs/>
          <w:color w:val="000000"/>
          <w:szCs w:val="22"/>
        </w:rPr>
        <w:t xml:space="preserve">At the conclusion of Auction 100, </w:t>
      </w:r>
      <w:r w:rsidRPr="00760469">
        <w:rPr>
          <w:bCs/>
          <w:color w:val="000000"/>
          <w:szCs w:val="22"/>
        </w:rPr>
        <w:t xml:space="preserve">Family was the </w:t>
      </w:r>
      <w:r w:rsidRPr="00552C71">
        <w:t>winning</w:t>
      </w:r>
      <w:r w:rsidRPr="00760469">
        <w:rPr>
          <w:bCs/>
          <w:color w:val="000000"/>
          <w:szCs w:val="22"/>
        </w:rPr>
        <w:t xml:space="preserve"> bidder for a new cross-service translator station at El Cajon, California (Translator)</w:t>
      </w:r>
      <w:r w:rsidR="00522DEB">
        <w:rPr>
          <w:bCs/>
          <w:color w:val="000000"/>
          <w:szCs w:val="22"/>
        </w:rPr>
        <w:t xml:space="preserve"> on Channel </w:t>
      </w:r>
      <w:r w:rsidR="008D15B5">
        <w:rPr>
          <w:bCs/>
          <w:color w:val="000000"/>
          <w:szCs w:val="22"/>
        </w:rPr>
        <w:t>261</w:t>
      </w:r>
      <w:r w:rsidRPr="00760469">
        <w:rPr>
          <w:bCs/>
          <w:color w:val="000000"/>
          <w:szCs w:val="22"/>
        </w:rPr>
        <w:t>.</w:t>
      </w:r>
      <w:r>
        <w:rPr>
          <w:rStyle w:val="FootnoteReference"/>
          <w:bCs/>
          <w:color w:val="000000"/>
          <w:szCs w:val="22"/>
        </w:rPr>
        <w:footnoteReference w:id="6"/>
      </w:r>
      <w:r w:rsidRPr="00760469">
        <w:rPr>
          <w:bCs/>
          <w:color w:val="000000"/>
          <w:szCs w:val="22"/>
        </w:rPr>
        <w:t xml:space="preserve">  On July 31, 2019, </w:t>
      </w:r>
      <w:r w:rsidR="002F484B">
        <w:rPr>
          <w:bCs/>
          <w:color w:val="000000"/>
          <w:szCs w:val="22"/>
        </w:rPr>
        <w:t>following Auction 100 procedures</w:t>
      </w:r>
      <w:r w:rsidRPr="00760469" w:rsidR="00760469">
        <w:rPr>
          <w:bCs/>
          <w:color w:val="000000"/>
          <w:szCs w:val="22"/>
        </w:rPr>
        <w:t xml:space="preserve">, </w:t>
      </w:r>
      <w:r w:rsidRPr="00760469">
        <w:rPr>
          <w:bCs/>
          <w:color w:val="000000"/>
          <w:szCs w:val="22"/>
        </w:rPr>
        <w:t xml:space="preserve">Family filed </w:t>
      </w:r>
      <w:r w:rsidR="00A83CCB">
        <w:rPr>
          <w:bCs/>
          <w:color w:val="000000"/>
          <w:szCs w:val="22"/>
        </w:rPr>
        <w:t xml:space="preserve">its original </w:t>
      </w:r>
      <w:r w:rsidR="002F484B">
        <w:rPr>
          <w:bCs/>
          <w:color w:val="000000"/>
          <w:szCs w:val="22"/>
        </w:rPr>
        <w:t xml:space="preserve">long-form </w:t>
      </w:r>
      <w:r w:rsidR="00A83CCB">
        <w:rPr>
          <w:bCs/>
          <w:color w:val="000000"/>
          <w:szCs w:val="22"/>
        </w:rPr>
        <w:t>application (</w:t>
      </w:r>
      <w:r w:rsidRPr="00760469">
        <w:rPr>
          <w:bCs/>
          <w:color w:val="000000"/>
          <w:szCs w:val="22"/>
        </w:rPr>
        <w:t>Translator Application</w:t>
      </w:r>
      <w:r w:rsidR="00A83CCB">
        <w:rPr>
          <w:bCs/>
          <w:color w:val="000000"/>
          <w:szCs w:val="22"/>
        </w:rPr>
        <w:t>)</w:t>
      </w:r>
      <w:r w:rsidRPr="00760469" w:rsidR="00230924">
        <w:rPr>
          <w:bCs/>
          <w:color w:val="000000"/>
          <w:szCs w:val="22"/>
        </w:rPr>
        <w:t>.</w:t>
      </w:r>
      <w:r w:rsidRPr="00760469">
        <w:rPr>
          <w:bCs/>
          <w:color w:val="000000"/>
          <w:szCs w:val="22"/>
        </w:rPr>
        <w:t xml:space="preserve">  On August 2, 2019, Bureau </w:t>
      </w:r>
      <w:r w:rsidRPr="00760469" w:rsidR="007A7997">
        <w:rPr>
          <w:bCs/>
          <w:color w:val="000000"/>
          <w:szCs w:val="22"/>
        </w:rPr>
        <w:t xml:space="preserve">staff </w:t>
      </w:r>
      <w:r w:rsidRPr="00760469">
        <w:rPr>
          <w:bCs/>
          <w:color w:val="000000"/>
          <w:szCs w:val="22"/>
        </w:rPr>
        <w:t>dismiss</w:t>
      </w:r>
      <w:r w:rsidRPr="00760469" w:rsidR="00230924">
        <w:rPr>
          <w:bCs/>
          <w:color w:val="000000"/>
          <w:szCs w:val="22"/>
        </w:rPr>
        <w:t>ed</w:t>
      </w:r>
      <w:r w:rsidRPr="00760469">
        <w:rPr>
          <w:bCs/>
          <w:color w:val="000000"/>
          <w:szCs w:val="22"/>
        </w:rPr>
        <w:t xml:space="preserve"> the Translator Application because the proposed facility violated the contour overlap requirements </w:t>
      </w:r>
      <w:r w:rsidR="002F484B">
        <w:rPr>
          <w:bCs/>
          <w:color w:val="000000"/>
          <w:szCs w:val="22"/>
        </w:rPr>
        <w:t>established by</w:t>
      </w:r>
      <w:r w:rsidRPr="00760469">
        <w:rPr>
          <w:bCs/>
          <w:color w:val="000000"/>
          <w:szCs w:val="22"/>
        </w:rPr>
        <w:t xml:space="preserve"> the </w:t>
      </w:r>
      <w:r w:rsidRPr="00760469">
        <w:rPr>
          <w:bCs/>
          <w:i/>
          <w:iCs/>
          <w:color w:val="000000"/>
          <w:szCs w:val="22"/>
        </w:rPr>
        <w:t xml:space="preserve">1992 </w:t>
      </w:r>
      <w:r w:rsidRPr="004F038F">
        <w:rPr>
          <w:bCs/>
          <w:i/>
          <w:iCs/>
          <w:noProof/>
          <w:color w:val="000000"/>
          <w:szCs w:val="22"/>
        </w:rPr>
        <w:drawing>
          <wp:inline distT="0" distB="0" distL="0" distR="0">
            <wp:extent cx="9525" cy="9525"/>
            <wp:effectExtent l="0" t="0" r="0" b="0"/>
            <wp:docPr id="4" name="Picture 4" descr="previous hit">
              <a:hlinkClick xmlns:a="http://schemas.openxmlformats.org/drawingml/2006/main" xmlns:r="http://schemas.openxmlformats.org/officeDocument/2006/relationships" r:id="rId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1" descr="previous hit">
                      <a:hlinkClick xmlns:a="http://schemas.openxmlformats.org/drawingml/2006/main" xmlns:r="http://schemas.openxmlformats.org/officeDocument/2006/relationships" r:id="rId5" tgtFrame="&quot;_top&quot;"/>
                    </pic:cNvPr>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760469">
        <w:rPr>
          <w:bCs/>
          <w:i/>
          <w:iCs/>
          <w:color w:val="000000"/>
          <w:szCs w:val="22"/>
        </w:rPr>
        <w:t>Agreement Between the Government</w:t>
      </w:r>
      <w:r w:rsidRPr="004F038F">
        <w:rPr>
          <w:bCs/>
          <w:i/>
          <w:iCs/>
          <w:noProof/>
          <w:color w:val="000000"/>
          <w:szCs w:val="22"/>
        </w:rPr>
        <w:drawing>
          <wp:inline distT="0" distB="0" distL="0" distR="0">
            <wp:extent cx="9525" cy="9525"/>
            <wp:effectExtent l="0" t="0" r="0" b="0"/>
            <wp:docPr id="5" name="Picture 5" descr="next hit">
              <a:hlinkClick xmlns:a="http://schemas.openxmlformats.org/drawingml/2006/main" xmlns:r="http://schemas.openxmlformats.org/officeDocument/2006/relationships"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2" descr="next hit">
                      <a:hlinkClick xmlns:a="http://schemas.openxmlformats.org/drawingml/2006/main" xmlns:r="http://schemas.openxmlformats.org/officeDocument/2006/relationships" r:id="rId7"/>
                    </pic:cNvPr>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760469">
        <w:rPr>
          <w:bCs/>
          <w:i/>
          <w:iCs/>
          <w:color w:val="000000"/>
          <w:szCs w:val="22"/>
        </w:rPr>
        <w:t xml:space="preserve"> of the United States of America and the Government of the United </w:t>
      </w:r>
      <w:r w:rsidRPr="004F038F">
        <w:rPr>
          <w:bCs/>
          <w:i/>
          <w:iCs/>
          <w:noProof/>
          <w:color w:val="000000"/>
          <w:szCs w:val="22"/>
        </w:rPr>
        <w:drawing>
          <wp:inline distT="0" distB="0" distL="0" distR="0">
            <wp:extent cx="9525" cy="9525"/>
            <wp:effectExtent l="0" t="0" r="0" b="0"/>
            <wp:docPr id="9" name="Picture 9" descr="previous hit">
              <a:hlinkClick xmlns:a="http://schemas.openxmlformats.org/drawingml/2006/main" xmlns:r="http://schemas.openxmlformats.org/officeDocument/2006/relationships"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3" descr="previous hit">
                      <a:hlinkClick xmlns:a="http://schemas.openxmlformats.org/drawingml/2006/main" xmlns:r="http://schemas.openxmlformats.org/officeDocument/2006/relationships" r:id="rId8"/>
                    </pic:cNvPr>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760469">
        <w:rPr>
          <w:bCs/>
          <w:i/>
          <w:iCs/>
          <w:color w:val="000000"/>
          <w:szCs w:val="22"/>
        </w:rPr>
        <w:t>Mexican</w:t>
      </w:r>
      <w:r w:rsidRPr="004F038F">
        <w:rPr>
          <w:bCs/>
          <w:i/>
          <w:iCs/>
          <w:noProof/>
          <w:color w:val="000000"/>
          <w:szCs w:val="22"/>
        </w:rPr>
        <w:drawing>
          <wp:inline distT="0" distB="0" distL="0" distR="0">
            <wp:extent cx="9525" cy="9525"/>
            <wp:effectExtent l="0" t="0" r="0" b="0"/>
            <wp:docPr id="10" name="Picture 10" descr="next hit">
              <a:hlinkClick xmlns:a="http://schemas.openxmlformats.org/drawingml/2006/main" xmlns:r="http://schemas.openxmlformats.org/officeDocument/2006/relationships"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4" descr="next hit">
                      <a:hlinkClick xmlns:a="http://schemas.openxmlformats.org/drawingml/2006/main" xmlns:r="http://schemas.openxmlformats.org/officeDocument/2006/relationships" r:id="rId9"/>
                    </pic:cNvPr>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760469">
        <w:rPr>
          <w:bCs/>
          <w:i/>
          <w:iCs/>
          <w:color w:val="000000"/>
          <w:szCs w:val="22"/>
        </w:rPr>
        <w:t xml:space="preserve"> States Relating to the FM Service in </w:t>
      </w:r>
      <w:r w:rsidRPr="00760469">
        <w:rPr>
          <w:bCs/>
          <w:i/>
          <w:iCs/>
          <w:color w:val="000000"/>
          <w:szCs w:val="22"/>
        </w:rPr>
        <w:t>the Band 88-108 MHz, August 11, 1992 (USA-Mexico Agreement).</w:t>
      </w:r>
      <w:r>
        <w:rPr>
          <w:bCs/>
          <w:color w:val="000000"/>
          <w:szCs w:val="22"/>
          <w:vertAlign w:val="superscript"/>
        </w:rPr>
        <w:footnoteReference w:id="7"/>
      </w:r>
      <w:r w:rsidRPr="00760469" w:rsidR="00230924">
        <w:rPr>
          <w:bCs/>
          <w:i/>
          <w:iCs/>
          <w:color w:val="000000"/>
          <w:szCs w:val="22"/>
        </w:rPr>
        <w:t xml:space="preserve">  </w:t>
      </w:r>
      <w:r w:rsidR="006C1630">
        <w:rPr>
          <w:bCs/>
          <w:color w:val="000000"/>
          <w:szCs w:val="22"/>
        </w:rPr>
        <w:t xml:space="preserve">On August 13, 2019, </w:t>
      </w:r>
      <w:r w:rsidR="00233411">
        <w:rPr>
          <w:bCs/>
          <w:color w:val="000000"/>
          <w:szCs w:val="22"/>
        </w:rPr>
        <w:t xml:space="preserve">amendments to our Part 74 </w:t>
      </w:r>
      <w:r w:rsidR="006C1630">
        <w:rPr>
          <w:bCs/>
          <w:color w:val="000000"/>
          <w:szCs w:val="22"/>
        </w:rPr>
        <w:t xml:space="preserve">translator interference rules took effect that allow translator </w:t>
      </w:r>
      <w:r w:rsidR="00536BA4">
        <w:rPr>
          <w:bCs/>
          <w:color w:val="000000"/>
          <w:szCs w:val="22"/>
        </w:rPr>
        <w:t>licensees</w:t>
      </w:r>
      <w:r w:rsidR="00F50DC4">
        <w:rPr>
          <w:bCs/>
          <w:color w:val="000000"/>
          <w:szCs w:val="22"/>
        </w:rPr>
        <w:t>,</w:t>
      </w:r>
      <w:r w:rsidR="003F48D2">
        <w:rPr>
          <w:bCs/>
          <w:color w:val="000000"/>
          <w:szCs w:val="22"/>
        </w:rPr>
        <w:t xml:space="preserve"> </w:t>
      </w:r>
      <w:r w:rsidR="00536BA4">
        <w:rPr>
          <w:bCs/>
          <w:color w:val="000000"/>
          <w:szCs w:val="22"/>
        </w:rPr>
        <w:t>permittees</w:t>
      </w:r>
      <w:r w:rsidR="00F50DC4">
        <w:rPr>
          <w:bCs/>
          <w:color w:val="000000"/>
          <w:szCs w:val="22"/>
        </w:rPr>
        <w:t>, or applicants</w:t>
      </w:r>
      <w:r w:rsidR="006C1630">
        <w:rPr>
          <w:bCs/>
          <w:color w:val="000000"/>
          <w:szCs w:val="22"/>
        </w:rPr>
        <w:t xml:space="preserve"> to mitigate interference by </w:t>
      </w:r>
      <w:r w:rsidR="00536BA4">
        <w:rPr>
          <w:bCs/>
          <w:color w:val="000000"/>
          <w:szCs w:val="22"/>
        </w:rPr>
        <w:t>changing channels</w:t>
      </w:r>
      <w:r w:rsidR="006C1630">
        <w:rPr>
          <w:bCs/>
          <w:color w:val="000000"/>
          <w:szCs w:val="22"/>
        </w:rPr>
        <w:t xml:space="preserve"> to any available </w:t>
      </w:r>
      <w:r w:rsidR="00536BA4">
        <w:rPr>
          <w:bCs/>
          <w:color w:val="000000"/>
          <w:szCs w:val="22"/>
        </w:rPr>
        <w:t>frequency</w:t>
      </w:r>
      <w:r w:rsidR="006C1630">
        <w:rPr>
          <w:bCs/>
          <w:color w:val="000000"/>
          <w:szCs w:val="22"/>
        </w:rPr>
        <w:t>.</w:t>
      </w:r>
      <w:r>
        <w:rPr>
          <w:rStyle w:val="FootnoteReference"/>
          <w:bCs/>
          <w:szCs w:val="22"/>
        </w:rPr>
        <w:footnoteReference w:id="8"/>
      </w:r>
      <w:r w:rsidR="006C1630">
        <w:rPr>
          <w:bCs/>
          <w:color w:val="000000"/>
          <w:szCs w:val="22"/>
        </w:rPr>
        <w:t xml:space="preserve">  </w:t>
      </w:r>
      <w:r w:rsidRPr="00760469" w:rsidR="007A7997">
        <w:rPr>
          <w:bCs/>
          <w:color w:val="000000"/>
          <w:szCs w:val="22"/>
        </w:rPr>
        <w:t>O</w:t>
      </w:r>
      <w:r w:rsidRPr="00760469" w:rsidR="001007FA">
        <w:rPr>
          <w:bCs/>
          <w:color w:val="000000"/>
          <w:szCs w:val="22"/>
        </w:rPr>
        <w:t>n September 6, 2019,</w:t>
      </w:r>
      <w:r w:rsidRPr="00760469" w:rsidR="00230924">
        <w:rPr>
          <w:bCs/>
          <w:color w:val="000000"/>
          <w:szCs w:val="22"/>
        </w:rPr>
        <w:t xml:space="preserve"> Family </w:t>
      </w:r>
      <w:r w:rsidRPr="00760469" w:rsidR="00067C82">
        <w:rPr>
          <w:bCs/>
          <w:color w:val="000000"/>
          <w:szCs w:val="22"/>
        </w:rPr>
        <w:t>submitted</w:t>
      </w:r>
      <w:r w:rsidRPr="00760469" w:rsidR="00230924">
        <w:rPr>
          <w:bCs/>
          <w:color w:val="000000"/>
          <w:szCs w:val="22"/>
        </w:rPr>
        <w:t xml:space="preserve"> a petition for reconsidera</w:t>
      </w:r>
      <w:r w:rsidRPr="00760469" w:rsidR="001007FA">
        <w:rPr>
          <w:bCs/>
          <w:color w:val="000000"/>
          <w:szCs w:val="22"/>
        </w:rPr>
        <w:t>tion</w:t>
      </w:r>
      <w:r w:rsidR="00B7320A">
        <w:rPr>
          <w:bCs/>
          <w:color w:val="000000"/>
          <w:szCs w:val="22"/>
        </w:rPr>
        <w:t xml:space="preserve"> (Family Petition)</w:t>
      </w:r>
      <w:r w:rsidRPr="00760469" w:rsidR="00750D4F">
        <w:rPr>
          <w:bCs/>
          <w:color w:val="000000"/>
          <w:szCs w:val="22"/>
        </w:rPr>
        <w:t xml:space="preserve"> and amendment</w:t>
      </w:r>
      <w:r w:rsidR="00E97B3E">
        <w:rPr>
          <w:bCs/>
          <w:color w:val="000000"/>
          <w:szCs w:val="22"/>
        </w:rPr>
        <w:t xml:space="preserve"> to the Translator Application</w:t>
      </w:r>
      <w:r w:rsidRPr="00760469" w:rsidR="001007FA">
        <w:rPr>
          <w:bCs/>
          <w:color w:val="000000"/>
          <w:szCs w:val="22"/>
        </w:rPr>
        <w:t xml:space="preserve"> </w:t>
      </w:r>
      <w:r w:rsidRPr="00760469" w:rsidR="004712E5">
        <w:rPr>
          <w:bCs/>
          <w:color w:val="000000"/>
          <w:szCs w:val="22"/>
        </w:rPr>
        <w:t>(</w:t>
      </w:r>
      <w:r w:rsidR="00E97B3E">
        <w:rPr>
          <w:bCs/>
          <w:color w:val="000000"/>
          <w:szCs w:val="22"/>
        </w:rPr>
        <w:t>Amended Translator Application</w:t>
      </w:r>
      <w:r w:rsidRPr="00760469" w:rsidR="004712E5">
        <w:rPr>
          <w:bCs/>
          <w:color w:val="000000"/>
          <w:szCs w:val="22"/>
        </w:rPr>
        <w:t xml:space="preserve">) </w:t>
      </w:r>
      <w:r w:rsidRPr="00760469" w:rsidR="004531E5">
        <w:rPr>
          <w:bCs/>
          <w:color w:val="000000"/>
          <w:szCs w:val="22"/>
        </w:rPr>
        <w:t xml:space="preserve">seeking </w:t>
      </w:r>
      <w:r w:rsidRPr="00760469" w:rsidR="001007FA">
        <w:rPr>
          <w:bCs/>
          <w:color w:val="000000"/>
          <w:szCs w:val="22"/>
        </w:rPr>
        <w:t xml:space="preserve">to reinstate the Translator Application </w:t>
      </w:r>
      <w:r w:rsidRPr="00760469" w:rsidR="004531E5">
        <w:rPr>
          <w:bCs/>
          <w:color w:val="000000"/>
          <w:szCs w:val="22"/>
        </w:rPr>
        <w:t>and</w:t>
      </w:r>
      <w:r w:rsidRPr="00760469" w:rsidR="007A7997">
        <w:rPr>
          <w:bCs/>
          <w:color w:val="000000"/>
          <w:szCs w:val="22"/>
        </w:rPr>
        <w:t xml:space="preserve"> </w:t>
      </w:r>
      <w:r w:rsidR="00C56169">
        <w:rPr>
          <w:bCs/>
          <w:color w:val="000000"/>
          <w:szCs w:val="22"/>
        </w:rPr>
        <w:t xml:space="preserve">move from Channel </w:t>
      </w:r>
      <w:r w:rsidR="009B7F29">
        <w:rPr>
          <w:bCs/>
          <w:color w:val="000000"/>
          <w:szCs w:val="22"/>
        </w:rPr>
        <w:t>261</w:t>
      </w:r>
      <w:r w:rsidR="00C56169">
        <w:rPr>
          <w:bCs/>
          <w:color w:val="000000"/>
          <w:szCs w:val="22"/>
        </w:rPr>
        <w:t xml:space="preserve"> to Channel </w:t>
      </w:r>
      <w:r w:rsidR="009B7F29">
        <w:rPr>
          <w:bCs/>
          <w:color w:val="000000"/>
          <w:szCs w:val="22"/>
        </w:rPr>
        <w:t>266.  This proposed facility</w:t>
      </w:r>
      <w:r w:rsidR="00114DDF">
        <w:rPr>
          <w:bCs/>
          <w:color w:val="000000"/>
          <w:szCs w:val="22"/>
        </w:rPr>
        <w:t>, although requiring Mexican concurrence,</w:t>
      </w:r>
      <w:r w:rsidRPr="00760469" w:rsidR="007A7997">
        <w:rPr>
          <w:bCs/>
          <w:color w:val="000000"/>
          <w:szCs w:val="22"/>
        </w:rPr>
        <w:t xml:space="preserve"> d</w:t>
      </w:r>
      <w:r w:rsidRPr="00760469" w:rsidR="00750D4F">
        <w:rPr>
          <w:bCs/>
          <w:color w:val="000000"/>
          <w:szCs w:val="22"/>
        </w:rPr>
        <w:t>id</w:t>
      </w:r>
      <w:r w:rsidRPr="00760469" w:rsidR="007A7997">
        <w:rPr>
          <w:bCs/>
          <w:color w:val="000000"/>
          <w:szCs w:val="22"/>
        </w:rPr>
        <w:t xml:space="preserve"> not </w:t>
      </w:r>
      <w:r w:rsidR="00CF1DDE">
        <w:rPr>
          <w:bCs/>
          <w:color w:val="000000"/>
          <w:szCs w:val="22"/>
        </w:rPr>
        <w:t>violate</w:t>
      </w:r>
      <w:r w:rsidRPr="00760469" w:rsidR="007A7997">
        <w:rPr>
          <w:bCs/>
          <w:color w:val="000000"/>
          <w:szCs w:val="22"/>
        </w:rPr>
        <w:t xml:space="preserve"> the </w:t>
      </w:r>
      <w:r w:rsidRPr="00760469" w:rsidR="007A7997">
        <w:rPr>
          <w:bCs/>
          <w:i/>
          <w:iCs/>
          <w:color w:val="000000"/>
          <w:szCs w:val="22"/>
        </w:rPr>
        <w:t>USA-Mexico Agreement</w:t>
      </w:r>
      <w:r w:rsidR="00A11B84">
        <w:rPr>
          <w:bCs/>
          <w:color w:val="000000"/>
          <w:szCs w:val="22"/>
        </w:rPr>
        <w:t>.</w:t>
      </w:r>
    </w:p>
    <w:p w:rsidR="00EB27E6" w:rsidRPr="00EB27E6" w:rsidP="00651494" w14:paraId="09CE1732" w14:textId="04D30F82">
      <w:pPr>
        <w:pStyle w:val="ParaNum"/>
      </w:pPr>
      <w:r>
        <w:t xml:space="preserve">On September 9, 2019, </w:t>
      </w:r>
      <w:r>
        <w:rPr>
          <w:bCs/>
          <w:color w:val="000000"/>
          <w:szCs w:val="22"/>
        </w:rPr>
        <w:t xml:space="preserve">Positive Hope filed the </w:t>
      </w:r>
      <w:r>
        <w:rPr>
          <w:color w:val="000000"/>
          <w:szCs w:val="22"/>
        </w:rPr>
        <w:t>KVIB-LP Modification Application,</w:t>
      </w:r>
      <w:r>
        <w:rPr>
          <w:bCs/>
          <w:color w:val="000000"/>
          <w:szCs w:val="22"/>
        </w:rPr>
        <w:t xml:space="preserve"> </w:t>
      </w:r>
      <w:r w:rsidR="0091076B">
        <w:rPr>
          <w:bCs/>
          <w:color w:val="000000"/>
          <w:szCs w:val="22"/>
        </w:rPr>
        <w:t xml:space="preserve">specifying modified facilities </w:t>
      </w:r>
      <w:r w:rsidR="003C07BE">
        <w:rPr>
          <w:bCs/>
          <w:color w:val="000000"/>
          <w:szCs w:val="22"/>
        </w:rPr>
        <w:t xml:space="preserve">on Channel </w:t>
      </w:r>
      <w:r w:rsidR="00CD4159">
        <w:rPr>
          <w:bCs/>
          <w:color w:val="000000"/>
          <w:szCs w:val="22"/>
        </w:rPr>
        <w:t>266</w:t>
      </w:r>
      <w:r w:rsidR="003C07BE">
        <w:rPr>
          <w:bCs/>
          <w:color w:val="000000"/>
          <w:szCs w:val="22"/>
        </w:rPr>
        <w:t xml:space="preserve"> </w:t>
      </w:r>
      <w:r w:rsidR="0091076B">
        <w:rPr>
          <w:bCs/>
          <w:color w:val="000000"/>
          <w:szCs w:val="22"/>
        </w:rPr>
        <w:t xml:space="preserve">that </w:t>
      </w:r>
      <w:r w:rsidR="00CF1DDE">
        <w:rPr>
          <w:bCs/>
          <w:color w:val="000000"/>
          <w:szCs w:val="22"/>
        </w:rPr>
        <w:t>were</w:t>
      </w:r>
      <w:r w:rsidR="00932139">
        <w:rPr>
          <w:color w:val="000000"/>
          <w:szCs w:val="22"/>
        </w:rPr>
        <w:t xml:space="preserve"> </w:t>
      </w:r>
      <w:r>
        <w:rPr>
          <w:color w:val="000000"/>
          <w:szCs w:val="22"/>
        </w:rPr>
        <w:t>mutually exclusive</w:t>
      </w:r>
      <w:r w:rsidR="0091076B">
        <w:rPr>
          <w:color w:val="000000"/>
          <w:szCs w:val="22"/>
        </w:rPr>
        <w:t xml:space="preserve"> with</w:t>
      </w:r>
      <w:r>
        <w:rPr>
          <w:color w:val="000000"/>
          <w:szCs w:val="22"/>
        </w:rPr>
        <w:t xml:space="preserve"> </w:t>
      </w:r>
      <w:r w:rsidR="00705F6F">
        <w:rPr>
          <w:color w:val="000000"/>
          <w:szCs w:val="22"/>
        </w:rPr>
        <w:t xml:space="preserve">Family’s </w:t>
      </w:r>
      <w:r w:rsidR="00386FAD">
        <w:rPr>
          <w:color w:val="000000"/>
          <w:szCs w:val="22"/>
        </w:rPr>
        <w:t xml:space="preserve">Amended </w:t>
      </w:r>
      <w:r w:rsidR="0091076B">
        <w:rPr>
          <w:color w:val="000000"/>
          <w:szCs w:val="22"/>
        </w:rPr>
        <w:t xml:space="preserve">Translator </w:t>
      </w:r>
      <w:r w:rsidR="00386FAD">
        <w:rPr>
          <w:color w:val="000000"/>
          <w:szCs w:val="22"/>
        </w:rPr>
        <w:t>Application</w:t>
      </w:r>
      <w:r>
        <w:rPr>
          <w:color w:val="000000"/>
          <w:szCs w:val="22"/>
        </w:rPr>
        <w:t xml:space="preserve">.  On September 19, 2019, the Bureau dismissed the </w:t>
      </w:r>
      <w:r w:rsidRPr="00552C71">
        <w:rPr>
          <w:bCs/>
          <w:color w:val="000000"/>
          <w:szCs w:val="22"/>
        </w:rPr>
        <w:t>KVIB</w:t>
      </w:r>
      <w:r>
        <w:rPr>
          <w:color w:val="000000"/>
          <w:szCs w:val="22"/>
        </w:rPr>
        <w:t>-LP Modification Application for failure to comply with the minimum distance separation requirements with respect to the Translator.</w:t>
      </w:r>
      <w:r>
        <w:rPr>
          <w:rStyle w:val="FootnoteReference"/>
          <w:color w:val="000000"/>
          <w:szCs w:val="22"/>
        </w:rPr>
        <w:footnoteReference w:id="9"/>
      </w:r>
      <w:r>
        <w:rPr>
          <w:color w:val="000000"/>
          <w:szCs w:val="22"/>
        </w:rPr>
        <w:t xml:space="preserve">  On October 10, 2019, Positive Hope </w:t>
      </w:r>
      <w:r>
        <w:rPr>
          <w:color w:val="000000"/>
          <w:szCs w:val="22"/>
        </w:rPr>
        <w:t>filed an informal objection</w:t>
      </w:r>
      <w:r>
        <w:rPr>
          <w:color w:val="000000"/>
          <w:szCs w:val="22"/>
        </w:rPr>
        <w:t xml:space="preserve"> </w:t>
      </w:r>
      <w:r w:rsidR="005C2C05">
        <w:rPr>
          <w:color w:val="000000"/>
          <w:szCs w:val="22"/>
        </w:rPr>
        <w:t xml:space="preserve">to the </w:t>
      </w:r>
      <w:r w:rsidR="00386FAD">
        <w:rPr>
          <w:color w:val="000000"/>
          <w:szCs w:val="22"/>
        </w:rPr>
        <w:t>Amended Translator Application</w:t>
      </w:r>
      <w:r w:rsidR="005C2C05">
        <w:rPr>
          <w:color w:val="000000"/>
          <w:szCs w:val="22"/>
        </w:rPr>
        <w:t xml:space="preserve"> </w:t>
      </w:r>
      <w:r w:rsidR="000E543E">
        <w:rPr>
          <w:color w:val="000000"/>
          <w:szCs w:val="22"/>
        </w:rPr>
        <w:t xml:space="preserve">(Informal Objection) </w:t>
      </w:r>
      <w:r w:rsidR="004712E5">
        <w:rPr>
          <w:color w:val="000000"/>
          <w:szCs w:val="22"/>
        </w:rPr>
        <w:t>and a petition for reconsideration</w:t>
      </w:r>
      <w:r>
        <w:rPr>
          <w:color w:val="000000"/>
          <w:szCs w:val="22"/>
        </w:rPr>
        <w:t xml:space="preserve"> of the </w:t>
      </w:r>
      <w:r>
        <w:rPr>
          <w:color w:val="000000"/>
          <w:szCs w:val="22"/>
        </w:rPr>
        <w:t xml:space="preserve">dismissal of the </w:t>
      </w:r>
      <w:r>
        <w:rPr>
          <w:color w:val="000000"/>
          <w:szCs w:val="22"/>
        </w:rPr>
        <w:t>KVIB-LP Modification Application</w:t>
      </w:r>
      <w:r w:rsidR="0091076B">
        <w:rPr>
          <w:color w:val="000000"/>
          <w:szCs w:val="22"/>
        </w:rPr>
        <w:t>.</w:t>
      </w:r>
      <w:r>
        <w:rPr>
          <w:color w:val="000000"/>
          <w:szCs w:val="22"/>
        </w:rPr>
        <w:t xml:space="preserve"> </w:t>
      </w:r>
    </w:p>
    <w:p w:rsidR="008760A9" w:rsidRPr="00C943D3" w:rsidP="00651494" w14:paraId="7D120B6B" w14:textId="13BB1709">
      <w:pPr>
        <w:pStyle w:val="ParaNum"/>
      </w:pPr>
      <w:r w:rsidRPr="008760A9">
        <w:rPr>
          <w:color w:val="000000"/>
          <w:szCs w:val="22"/>
        </w:rPr>
        <w:t xml:space="preserve">On June 24, 2020, the Bureau issued the </w:t>
      </w:r>
      <w:r w:rsidRPr="008760A9">
        <w:rPr>
          <w:i/>
          <w:iCs/>
          <w:color w:val="000000"/>
          <w:szCs w:val="22"/>
        </w:rPr>
        <w:t>Reconsideration Letter</w:t>
      </w:r>
      <w:r w:rsidRPr="008760A9">
        <w:rPr>
          <w:color w:val="000000"/>
          <w:szCs w:val="22"/>
        </w:rPr>
        <w:t xml:space="preserve">, </w:t>
      </w:r>
      <w:r w:rsidRPr="008760A9" w:rsidR="00410B43">
        <w:rPr>
          <w:color w:val="000000"/>
          <w:szCs w:val="22"/>
        </w:rPr>
        <w:t>reinstating the Translator Application</w:t>
      </w:r>
      <w:r w:rsidRPr="008760A9" w:rsidR="00DB6F9C">
        <w:rPr>
          <w:color w:val="000000"/>
          <w:szCs w:val="22"/>
        </w:rPr>
        <w:t>, as amended,</w:t>
      </w:r>
      <w:r w:rsidRPr="008760A9" w:rsidR="00410B43">
        <w:rPr>
          <w:color w:val="000000"/>
          <w:szCs w:val="22"/>
        </w:rPr>
        <w:t xml:space="preserve"> </w:t>
      </w:r>
      <w:r w:rsidRPr="008760A9" w:rsidR="00DB6F9C">
        <w:rPr>
          <w:color w:val="000000"/>
          <w:szCs w:val="22"/>
        </w:rPr>
        <w:t>under</w:t>
      </w:r>
      <w:r w:rsidRPr="008760A9" w:rsidR="00873692">
        <w:rPr>
          <w:color w:val="000000"/>
          <w:szCs w:val="22"/>
        </w:rPr>
        <w:t xml:space="preserve"> the Commission’s </w:t>
      </w:r>
      <w:r w:rsidR="00EE534D">
        <w:rPr>
          <w:i/>
          <w:iCs/>
          <w:color w:val="000000"/>
          <w:szCs w:val="22"/>
        </w:rPr>
        <w:t>nunc</w:t>
      </w:r>
      <w:r w:rsidR="00EE534D">
        <w:rPr>
          <w:i/>
          <w:iCs/>
          <w:color w:val="000000"/>
          <w:szCs w:val="22"/>
        </w:rPr>
        <w:t xml:space="preserve"> pro </w:t>
      </w:r>
      <w:r w:rsidR="00EE534D">
        <w:rPr>
          <w:i/>
          <w:iCs/>
          <w:color w:val="000000"/>
          <w:szCs w:val="22"/>
        </w:rPr>
        <w:t>tunc</w:t>
      </w:r>
      <w:r w:rsidR="00EE534D">
        <w:rPr>
          <w:i/>
          <w:iCs/>
          <w:color w:val="000000"/>
          <w:szCs w:val="22"/>
        </w:rPr>
        <w:t xml:space="preserve"> </w:t>
      </w:r>
      <w:r w:rsidRPr="008760A9" w:rsidR="00873692">
        <w:rPr>
          <w:color w:val="000000"/>
          <w:szCs w:val="22"/>
        </w:rPr>
        <w:t xml:space="preserve">policy of considering petitions for reconsideration of </w:t>
      </w:r>
      <w:r w:rsidR="00EE534D">
        <w:rPr>
          <w:color w:val="000000"/>
          <w:szCs w:val="22"/>
        </w:rPr>
        <w:t xml:space="preserve">the </w:t>
      </w:r>
      <w:r w:rsidRPr="008760A9" w:rsidR="00873692">
        <w:rPr>
          <w:color w:val="000000"/>
          <w:szCs w:val="22"/>
        </w:rPr>
        <w:t xml:space="preserve">dismissal of an application when the applicant submits a </w:t>
      </w:r>
      <w:r w:rsidR="00D229C0">
        <w:rPr>
          <w:color w:val="000000"/>
          <w:szCs w:val="22"/>
        </w:rPr>
        <w:t xml:space="preserve">relatively minor </w:t>
      </w:r>
      <w:r w:rsidRPr="008760A9" w:rsidR="00873692">
        <w:rPr>
          <w:color w:val="000000"/>
          <w:szCs w:val="22"/>
        </w:rPr>
        <w:t>curative amendment within 30 days of dismissal</w:t>
      </w:r>
      <w:r w:rsidRPr="008760A9">
        <w:rPr>
          <w:color w:val="000000"/>
          <w:szCs w:val="22"/>
        </w:rPr>
        <w:t>.</w:t>
      </w:r>
      <w:r>
        <w:rPr>
          <w:rStyle w:val="FootnoteReference"/>
          <w:szCs w:val="22"/>
        </w:rPr>
        <w:footnoteReference w:id="10"/>
      </w:r>
      <w:r w:rsidRPr="008760A9">
        <w:rPr>
          <w:color w:val="000000"/>
          <w:szCs w:val="22"/>
        </w:rPr>
        <w:t xml:space="preserve"> </w:t>
      </w:r>
      <w:r w:rsidRPr="008760A9" w:rsidR="009F2236">
        <w:rPr>
          <w:color w:val="000000"/>
          <w:szCs w:val="22"/>
        </w:rPr>
        <w:t xml:space="preserve"> </w:t>
      </w:r>
      <w:r w:rsidRPr="008760A9" w:rsidR="00E975FB">
        <w:rPr>
          <w:color w:val="000000"/>
          <w:szCs w:val="22"/>
        </w:rPr>
        <w:t>The</w:t>
      </w:r>
      <w:r w:rsidRPr="008760A9" w:rsidR="00881E5F">
        <w:rPr>
          <w:color w:val="000000"/>
          <w:szCs w:val="22"/>
        </w:rPr>
        <w:t xml:space="preserve"> Bureau</w:t>
      </w:r>
      <w:r w:rsidRPr="008760A9" w:rsidR="001F6BC4">
        <w:rPr>
          <w:color w:val="000000"/>
          <w:szCs w:val="22"/>
        </w:rPr>
        <w:t xml:space="preserve"> </w:t>
      </w:r>
      <w:r w:rsidRPr="008760A9" w:rsidR="00410B43">
        <w:rPr>
          <w:color w:val="000000"/>
          <w:szCs w:val="22"/>
        </w:rPr>
        <w:t xml:space="preserve">determined </w:t>
      </w:r>
      <w:r w:rsidRPr="008760A9" w:rsidR="001F6BC4">
        <w:rPr>
          <w:color w:val="000000"/>
          <w:szCs w:val="22"/>
        </w:rPr>
        <w:t>that</w:t>
      </w:r>
      <w:r w:rsidRPr="008760A9" w:rsidR="00881E5F">
        <w:rPr>
          <w:color w:val="000000"/>
          <w:szCs w:val="22"/>
        </w:rPr>
        <w:t xml:space="preserve"> </w:t>
      </w:r>
      <w:r w:rsidR="00705F6F">
        <w:rPr>
          <w:color w:val="000000"/>
          <w:szCs w:val="22"/>
        </w:rPr>
        <w:t xml:space="preserve">the amendment was acceptable, as </w:t>
      </w:r>
      <w:r w:rsidR="008A7833">
        <w:rPr>
          <w:color w:val="000000"/>
          <w:szCs w:val="22"/>
        </w:rPr>
        <w:t>the Commission’s rules (Rules)</w:t>
      </w:r>
      <w:r w:rsidR="00705F6F">
        <w:rPr>
          <w:color w:val="000000"/>
          <w:szCs w:val="22"/>
        </w:rPr>
        <w:t xml:space="preserve"> allow </w:t>
      </w:r>
      <w:r w:rsidRPr="008760A9" w:rsidR="00523E75">
        <w:rPr>
          <w:bCs/>
          <w:color w:val="000000"/>
          <w:szCs w:val="22"/>
        </w:rPr>
        <w:t xml:space="preserve">a winning bidder filing a long-form application </w:t>
      </w:r>
      <w:r w:rsidR="00705F6F">
        <w:rPr>
          <w:bCs/>
          <w:color w:val="000000"/>
          <w:szCs w:val="22"/>
        </w:rPr>
        <w:t>to</w:t>
      </w:r>
      <w:r w:rsidRPr="008760A9" w:rsidR="00705F6F">
        <w:rPr>
          <w:bCs/>
          <w:color w:val="000000"/>
          <w:szCs w:val="22"/>
        </w:rPr>
        <w:t xml:space="preserve"> </w:t>
      </w:r>
      <w:r w:rsidRPr="008760A9" w:rsidR="00523E75">
        <w:rPr>
          <w:bCs/>
          <w:color w:val="000000"/>
          <w:szCs w:val="22"/>
        </w:rPr>
        <w:t>change the technical proposals specified in its previously submitted short-form application as long as such change does not constitute a major change.</w:t>
      </w:r>
      <w:r>
        <w:rPr>
          <w:rStyle w:val="FootnoteReference"/>
          <w:bCs/>
          <w:szCs w:val="22"/>
        </w:rPr>
        <w:footnoteReference w:id="11"/>
      </w:r>
      <w:r w:rsidRPr="008760A9" w:rsidR="00523E75">
        <w:rPr>
          <w:bCs/>
          <w:color w:val="000000"/>
          <w:szCs w:val="22"/>
        </w:rPr>
        <w:t xml:space="preserve">  </w:t>
      </w:r>
      <w:r w:rsidR="00120EC3">
        <w:rPr>
          <w:bCs/>
          <w:color w:val="000000"/>
          <w:szCs w:val="22"/>
        </w:rPr>
        <w:t>This determination was based on t</w:t>
      </w:r>
      <w:r w:rsidR="00523E75">
        <w:rPr>
          <w:bCs/>
          <w:color w:val="000000"/>
          <w:szCs w:val="22"/>
        </w:rPr>
        <w:t>he Bureau</w:t>
      </w:r>
      <w:r w:rsidR="00120EC3">
        <w:rPr>
          <w:bCs/>
          <w:color w:val="000000"/>
          <w:szCs w:val="22"/>
        </w:rPr>
        <w:t>’s finding</w:t>
      </w:r>
      <w:r w:rsidR="00523E75">
        <w:rPr>
          <w:bCs/>
          <w:color w:val="000000"/>
          <w:szCs w:val="22"/>
        </w:rPr>
        <w:t xml:space="preserve"> that </w:t>
      </w:r>
      <w:r w:rsidRPr="008760A9" w:rsidR="001F6BC4">
        <w:rPr>
          <w:color w:val="000000"/>
          <w:szCs w:val="22"/>
        </w:rPr>
        <w:t xml:space="preserve">Family </w:t>
      </w:r>
      <w:r w:rsidR="0078543A">
        <w:rPr>
          <w:color w:val="000000"/>
          <w:szCs w:val="22"/>
        </w:rPr>
        <w:t xml:space="preserve">had satisfied </w:t>
      </w:r>
      <w:r w:rsidRPr="008760A9" w:rsidR="0078543A">
        <w:rPr>
          <w:color w:val="000000"/>
          <w:szCs w:val="22"/>
        </w:rPr>
        <w:t xml:space="preserve">section </w:t>
      </w:r>
      <w:r w:rsidRPr="008760A9" w:rsidR="0078543A">
        <w:rPr>
          <w:bCs/>
          <w:color w:val="000000"/>
          <w:szCs w:val="22"/>
        </w:rPr>
        <w:t>74.1233(a)(1)(</w:t>
      </w:r>
      <w:r w:rsidRPr="008760A9" w:rsidR="0078543A">
        <w:rPr>
          <w:bCs/>
          <w:color w:val="000000"/>
          <w:szCs w:val="22"/>
        </w:rPr>
        <w:t>i</w:t>
      </w:r>
      <w:r w:rsidRPr="008760A9" w:rsidR="0078543A">
        <w:rPr>
          <w:bCs/>
          <w:color w:val="000000"/>
          <w:szCs w:val="22"/>
        </w:rPr>
        <w:t>)(A)(2)</w:t>
      </w:r>
      <w:r w:rsidR="0078543A">
        <w:rPr>
          <w:bCs/>
          <w:color w:val="000000"/>
          <w:szCs w:val="22"/>
        </w:rPr>
        <w:t xml:space="preserve"> of the Rules</w:t>
      </w:r>
      <w:r w:rsidR="00923008">
        <w:rPr>
          <w:bCs/>
          <w:color w:val="000000"/>
          <w:szCs w:val="22"/>
        </w:rPr>
        <w:t>,</w:t>
      </w:r>
      <w:r>
        <w:rPr>
          <w:rStyle w:val="FootnoteReference"/>
          <w:bCs/>
          <w:szCs w:val="22"/>
        </w:rPr>
        <w:footnoteReference w:id="12"/>
      </w:r>
      <w:r w:rsidR="0078543A">
        <w:rPr>
          <w:bCs/>
          <w:color w:val="000000"/>
          <w:szCs w:val="22"/>
        </w:rPr>
        <w:t xml:space="preserve"> </w:t>
      </w:r>
      <w:r w:rsidR="00923008">
        <w:rPr>
          <w:bCs/>
          <w:color w:val="000000"/>
          <w:szCs w:val="22"/>
        </w:rPr>
        <w:t xml:space="preserve">which classifies a </w:t>
      </w:r>
      <w:r w:rsidR="00A0184D">
        <w:rPr>
          <w:bCs/>
          <w:color w:val="000000"/>
          <w:szCs w:val="22"/>
        </w:rPr>
        <w:t xml:space="preserve">non-adjacent </w:t>
      </w:r>
      <w:r w:rsidR="00923008">
        <w:rPr>
          <w:bCs/>
          <w:color w:val="000000"/>
          <w:szCs w:val="22"/>
        </w:rPr>
        <w:t xml:space="preserve">channel change in response to a </w:t>
      </w:r>
      <w:r w:rsidRPr="008760A9" w:rsidR="00523E75">
        <w:rPr>
          <w:bCs/>
          <w:color w:val="000000"/>
          <w:szCs w:val="22"/>
        </w:rPr>
        <w:t xml:space="preserve">technical showing of interference </w:t>
      </w:r>
      <w:r w:rsidR="00923008">
        <w:rPr>
          <w:bCs/>
          <w:color w:val="000000"/>
          <w:szCs w:val="22"/>
        </w:rPr>
        <w:t xml:space="preserve">as a minor change.  </w:t>
      </w:r>
      <w:r w:rsidR="00A0184D">
        <w:rPr>
          <w:bCs/>
          <w:color w:val="000000"/>
          <w:szCs w:val="22"/>
        </w:rPr>
        <w:t xml:space="preserve">The Bureau found that </w:t>
      </w:r>
      <w:r w:rsidR="00E06F4B">
        <w:rPr>
          <w:bCs/>
          <w:color w:val="000000"/>
          <w:szCs w:val="22"/>
        </w:rPr>
        <w:t>Family</w:t>
      </w:r>
      <w:r w:rsidR="00907436">
        <w:rPr>
          <w:bCs/>
          <w:color w:val="000000"/>
          <w:szCs w:val="22"/>
        </w:rPr>
        <w:t xml:space="preserve"> </w:t>
      </w:r>
      <w:r w:rsidR="00A0184D">
        <w:rPr>
          <w:color w:val="000000"/>
          <w:szCs w:val="22"/>
        </w:rPr>
        <w:t xml:space="preserve">satisfied the interference criterion </w:t>
      </w:r>
      <w:r w:rsidR="00A0184D">
        <w:rPr>
          <w:bCs/>
          <w:color w:val="000000"/>
          <w:szCs w:val="22"/>
        </w:rPr>
        <w:t xml:space="preserve">by demonstrating </w:t>
      </w:r>
      <w:r w:rsidRPr="008760A9" w:rsidR="00410B43">
        <w:rPr>
          <w:bCs/>
          <w:color w:val="000000"/>
          <w:szCs w:val="22"/>
        </w:rPr>
        <w:t>the existence of</w:t>
      </w:r>
      <w:r w:rsidRPr="008760A9" w:rsidR="00CD4D27">
        <w:rPr>
          <w:bCs/>
          <w:color w:val="000000"/>
          <w:szCs w:val="22"/>
        </w:rPr>
        <w:t xml:space="preserve"> a “sizable zone of potential interference within the contour overlap of the Translator’s 25 </w:t>
      </w:r>
      <w:r w:rsidRPr="008760A9" w:rsidR="00CD4D27">
        <w:rPr>
          <w:bCs/>
          <w:color w:val="000000"/>
          <w:szCs w:val="22"/>
        </w:rPr>
        <w:t>dBu</w:t>
      </w:r>
      <w:r w:rsidRPr="008760A9" w:rsidR="00CD4D27">
        <w:rPr>
          <w:bCs/>
          <w:color w:val="000000"/>
          <w:szCs w:val="22"/>
        </w:rPr>
        <w:t xml:space="preserve"> contour and [a neighboring station’s] 45 </w:t>
      </w:r>
      <w:r w:rsidRPr="008760A9" w:rsidR="00CD4D27">
        <w:rPr>
          <w:bCs/>
          <w:color w:val="000000"/>
          <w:szCs w:val="22"/>
        </w:rPr>
        <w:t>dBu</w:t>
      </w:r>
      <w:r w:rsidRPr="008760A9" w:rsidR="00CD4D27">
        <w:rPr>
          <w:bCs/>
          <w:color w:val="000000"/>
          <w:szCs w:val="22"/>
        </w:rPr>
        <w:t xml:space="preserve"> contour.”</w:t>
      </w:r>
      <w:r>
        <w:rPr>
          <w:rStyle w:val="FootnoteReference"/>
          <w:bCs/>
          <w:szCs w:val="22"/>
        </w:rPr>
        <w:footnoteReference w:id="13"/>
      </w:r>
      <w:r w:rsidRPr="008760A9" w:rsidR="00CD4D27">
        <w:rPr>
          <w:bCs/>
          <w:color w:val="000000"/>
          <w:szCs w:val="22"/>
        </w:rPr>
        <w:t xml:space="preserve">  </w:t>
      </w:r>
      <w:r w:rsidR="00EE534D">
        <w:rPr>
          <w:bCs/>
          <w:color w:val="000000"/>
          <w:szCs w:val="22"/>
        </w:rPr>
        <w:t>Lastly</w:t>
      </w:r>
      <w:r w:rsidRPr="008760A9" w:rsidR="00CD4D27">
        <w:rPr>
          <w:bCs/>
          <w:color w:val="000000"/>
          <w:szCs w:val="22"/>
        </w:rPr>
        <w:t>, the Bureau</w:t>
      </w:r>
      <w:r w:rsidRPr="008760A9" w:rsidR="00DC15A6">
        <w:rPr>
          <w:bCs/>
          <w:color w:val="000000"/>
          <w:szCs w:val="22"/>
        </w:rPr>
        <w:t xml:space="preserve"> </w:t>
      </w:r>
      <w:r w:rsidRPr="008760A9" w:rsidR="004E01BE">
        <w:rPr>
          <w:bCs/>
          <w:color w:val="000000"/>
          <w:szCs w:val="22"/>
        </w:rPr>
        <w:t xml:space="preserve">rejected Positive Hope’s claim that the Translator Application should have been dismissed for failure to protect </w:t>
      </w:r>
      <w:r w:rsidR="00BD0061">
        <w:rPr>
          <w:bCs/>
          <w:color w:val="000000"/>
          <w:szCs w:val="22"/>
        </w:rPr>
        <w:t xml:space="preserve">cancelled </w:t>
      </w:r>
      <w:r w:rsidRPr="008760A9" w:rsidR="004E01BE">
        <w:rPr>
          <w:bCs/>
          <w:color w:val="000000"/>
          <w:szCs w:val="22"/>
        </w:rPr>
        <w:t>station DKRSA-LP, El Cajon, California</w:t>
      </w:r>
      <w:r w:rsidR="00A564ED">
        <w:rPr>
          <w:bCs/>
          <w:color w:val="000000"/>
          <w:szCs w:val="22"/>
        </w:rPr>
        <w:t xml:space="preserve"> (DKRSA</w:t>
      </w:r>
      <w:r w:rsidR="007540EC">
        <w:rPr>
          <w:bCs/>
          <w:color w:val="000000"/>
          <w:szCs w:val="22"/>
        </w:rPr>
        <w:t>-LP</w:t>
      </w:r>
      <w:r w:rsidR="00A564ED">
        <w:rPr>
          <w:bCs/>
          <w:color w:val="000000"/>
          <w:szCs w:val="22"/>
        </w:rPr>
        <w:t>)</w:t>
      </w:r>
      <w:r w:rsidRPr="008760A9" w:rsidR="004361DB">
        <w:rPr>
          <w:bCs/>
          <w:color w:val="000000"/>
          <w:szCs w:val="22"/>
        </w:rPr>
        <w:t>,</w:t>
      </w:r>
      <w:r w:rsidRPr="008760A9" w:rsidR="00760469">
        <w:rPr>
          <w:bCs/>
          <w:color w:val="000000"/>
          <w:szCs w:val="22"/>
        </w:rPr>
        <w:t xml:space="preserve"> </w:t>
      </w:r>
      <w:r w:rsidR="00B16C80">
        <w:rPr>
          <w:bCs/>
          <w:color w:val="000000"/>
          <w:szCs w:val="22"/>
        </w:rPr>
        <w:t xml:space="preserve">which </w:t>
      </w:r>
      <w:r w:rsidR="00EE534D">
        <w:rPr>
          <w:bCs/>
          <w:color w:val="000000"/>
          <w:szCs w:val="22"/>
        </w:rPr>
        <w:t>had been</w:t>
      </w:r>
      <w:r w:rsidR="00BD0061">
        <w:rPr>
          <w:bCs/>
          <w:color w:val="000000"/>
          <w:szCs w:val="22"/>
        </w:rPr>
        <w:t xml:space="preserve"> assigned to</w:t>
      </w:r>
      <w:r w:rsidR="00B16C80">
        <w:rPr>
          <w:bCs/>
          <w:color w:val="000000"/>
          <w:szCs w:val="22"/>
        </w:rPr>
        <w:t xml:space="preserve"> Channel </w:t>
      </w:r>
      <w:r w:rsidR="0028078D">
        <w:rPr>
          <w:bCs/>
          <w:color w:val="000000"/>
          <w:szCs w:val="22"/>
        </w:rPr>
        <w:t>266</w:t>
      </w:r>
      <w:r w:rsidR="00FD5FB8">
        <w:rPr>
          <w:bCs/>
          <w:color w:val="000000"/>
          <w:szCs w:val="22"/>
        </w:rPr>
        <w:t xml:space="preserve">.  The Bureau </w:t>
      </w:r>
      <w:r w:rsidR="00EE534D">
        <w:rPr>
          <w:bCs/>
          <w:color w:val="000000"/>
          <w:szCs w:val="22"/>
        </w:rPr>
        <w:t>explained</w:t>
      </w:r>
      <w:r w:rsidR="00BD0061">
        <w:rPr>
          <w:bCs/>
          <w:color w:val="000000"/>
          <w:szCs w:val="22"/>
        </w:rPr>
        <w:t xml:space="preserve"> </w:t>
      </w:r>
      <w:r w:rsidR="00FD5FB8">
        <w:rPr>
          <w:bCs/>
          <w:color w:val="000000"/>
          <w:szCs w:val="22"/>
        </w:rPr>
        <w:t xml:space="preserve">that, </w:t>
      </w:r>
      <w:r w:rsidRPr="008760A9" w:rsidR="0078310F">
        <w:rPr>
          <w:bCs/>
          <w:color w:val="000000"/>
          <w:szCs w:val="22"/>
        </w:rPr>
        <w:t xml:space="preserve">although </w:t>
      </w:r>
      <w:r w:rsidR="006F127F">
        <w:rPr>
          <w:bCs/>
          <w:color w:val="000000"/>
          <w:szCs w:val="22"/>
        </w:rPr>
        <w:t>a third party</w:t>
      </w:r>
      <w:r w:rsidR="001B244D">
        <w:rPr>
          <w:bCs/>
          <w:color w:val="000000"/>
          <w:szCs w:val="22"/>
        </w:rPr>
        <w:t xml:space="preserve"> had filed </w:t>
      </w:r>
      <w:r w:rsidRPr="008760A9" w:rsidR="0078310F">
        <w:rPr>
          <w:bCs/>
          <w:color w:val="000000"/>
          <w:szCs w:val="22"/>
        </w:rPr>
        <w:t xml:space="preserve">a petition for reconsideration </w:t>
      </w:r>
      <w:r w:rsidR="001B244D">
        <w:rPr>
          <w:bCs/>
          <w:color w:val="000000"/>
          <w:szCs w:val="22"/>
        </w:rPr>
        <w:t>concerning the cancellation of its license</w:t>
      </w:r>
      <w:r w:rsidRPr="008760A9" w:rsidR="00410B43">
        <w:rPr>
          <w:bCs/>
          <w:color w:val="000000"/>
          <w:szCs w:val="22"/>
        </w:rPr>
        <w:t>—</w:t>
      </w:r>
      <w:r w:rsidRPr="008760A9" w:rsidR="004361DB">
        <w:rPr>
          <w:bCs/>
          <w:color w:val="000000"/>
          <w:szCs w:val="22"/>
        </w:rPr>
        <w:t>the DKRSA-LP</w:t>
      </w:r>
      <w:r w:rsidRPr="008760A9" w:rsidR="00383A88">
        <w:rPr>
          <w:bCs/>
          <w:color w:val="000000"/>
          <w:szCs w:val="22"/>
        </w:rPr>
        <w:t xml:space="preserve"> </w:t>
      </w:r>
      <w:r w:rsidRPr="008760A9" w:rsidR="009F713A">
        <w:rPr>
          <w:bCs/>
          <w:color w:val="000000"/>
          <w:szCs w:val="22"/>
        </w:rPr>
        <w:t xml:space="preserve">license </w:t>
      </w:r>
      <w:r w:rsidR="00BD0061">
        <w:rPr>
          <w:bCs/>
          <w:color w:val="000000"/>
          <w:szCs w:val="22"/>
        </w:rPr>
        <w:t>cancellation was effective absent a request for stay</w:t>
      </w:r>
      <w:r w:rsidRPr="008760A9" w:rsidR="004E01BE">
        <w:rPr>
          <w:bCs/>
          <w:color w:val="000000"/>
          <w:szCs w:val="22"/>
        </w:rPr>
        <w:t>.</w:t>
      </w:r>
      <w:r>
        <w:rPr>
          <w:rStyle w:val="FootnoteReference"/>
          <w:bCs/>
          <w:szCs w:val="22"/>
        </w:rPr>
        <w:footnoteReference w:id="14"/>
      </w:r>
      <w:r w:rsidRPr="008760A9" w:rsidR="004E01BE">
        <w:rPr>
          <w:bCs/>
          <w:color w:val="000000"/>
          <w:szCs w:val="22"/>
        </w:rPr>
        <w:t xml:space="preserve">  </w:t>
      </w:r>
      <w:r w:rsidRPr="008760A9">
        <w:rPr>
          <w:bCs/>
          <w:color w:val="000000"/>
          <w:szCs w:val="22"/>
        </w:rPr>
        <w:t xml:space="preserve">On September 14, 2020, the Mexican government </w:t>
      </w:r>
      <w:r>
        <w:rPr>
          <w:bCs/>
          <w:color w:val="000000"/>
          <w:szCs w:val="22"/>
        </w:rPr>
        <w:t xml:space="preserve">notified the Commission’s International Bureau by letter </w:t>
      </w:r>
      <w:r w:rsidR="00610CB8">
        <w:rPr>
          <w:bCs/>
          <w:color w:val="000000"/>
          <w:szCs w:val="22"/>
        </w:rPr>
        <w:t>of its concurrence</w:t>
      </w:r>
      <w:r w:rsidRPr="008760A9">
        <w:rPr>
          <w:bCs/>
          <w:color w:val="000000"/>
          <w:szCs w:val="22"/>
        </w:rPr>
        <w:t xml:space="preserve"> with the facilities proposed in the </w:t>
      </w:r>
      <w:r w:rsidR="00463674">
        <w:rPr>
          <w:bCs/>
          <w:color w:val="000000"/>
          <w:szCs w:val="22"/>
        </w:rPr>
        <w:t>A</w:t>
      </w:r>
      <w:r w:rsidRPr="008760A9" w:rsidR="00463674">
        <w:rPr>
          <w:bCs/>
          <w:color w:val="000000"/>
          <w:szCs w:val="22"/>
        </w:rPr>
        <w:t>mended</w:t>
      </w:r>
      <w:r w:rsidR="00ED338B">
        <w:rPr>
          <w:bCs/>
          <w:color w:val="000000"/>
          <w:szCs w:val="22"/>
        </w:rPr>
        <w:t xml:space="preserve"> </w:t>
      </w:r>
      <w:r w:rsidRPr="008760A9">
        <w:rPr>
          <w:bCs/>
          <w:color w:val="000000"/>
          <w:szCs w:val="22"/>
        </w:rPr>
        <w:t xml:space="preserve">Translator Application. </w:t>
      </w:r>
    </w:p>
    <w:p w:rsidR="00A564ED" w:rsidRPr="00A564ED" w:rsidP="00651494" w14:paraId="5F194DBE" w14:textId="54533CA5">
      <w:pPr>
        <w:pStyle w:val="ParaNum"/>
      </w:pPr>
      <w:bookmarkStart w:id="2" w:name="_Hlk87982892"/>
      <w:bookmarkStart w:id="3" w:name="_Hlk87982912"/>
      <w:r>
        <w:rPr>
          <w:bCs/>
          <w:i/>
          <w:iCs/>
          <w:color w:val="000000"/>
          <w:szCs w:val="22"/>
        </w:rPr>
        <w:t xml:space="preserve">Timeliness of the Family Petition.  </w:t>
      </w:r>
      <w:r w:rsidR="00C943D3">
        <w:rPr>
          <w:bCs/>
          <w:color w:val="000000"/>
          <w:szCs w:val="22"/>
        </w:rPr>
        <w:t xml:space="preserve">In </w:t>
      </w:r>
      <w:r w:rsidR="005E608C">
        <w:rPr>
          <w:bCs/>
          <w:color w:val="000000"/>
          <w:szCs w:val="22"/>
        </w:rPr>
        <w:t xml:space="preserve">the </w:t>
      </w:r>
      <w:r w:rsidR="00C943D3">
        <w:rPr>
          <w:bCs/>
          <w:color w:val="000000"/>
          <w:szCs w:val="22"/>
        </w:rPr>
        <w:t>Application for Review</w:t>
      </w:r>
      <w:r w:rsidR="00610CB8">
        <w:rPr>
          <w:bCs/>
          <w:color w:val="000000"/>
          <w:szCs w:val="22"/>
        </w:rPr>
        <w:t xml:space="preserve"> and </w:t>
      </w:r>
      <w:r w:rsidR="005E608C">
        <w:rPr>
          <w:bCs/>
          <w:color w:val="000000"/>
          <w:szCs w:val="22"/>
        </w:rPr>
        <w:t xml:space="preserve">the </w:t>
      </w:r>
      <w:r w:rsidR="00610CB8">
        <w:rPr>
          <w:bCs/>
          <w:color w:val="000000"/>
          <w:szCs w:val="22"/>
        </w:rPr>
        <w:t>Reply</w:t>
      </w:r>
      <w:r w:rsidR="00C943D3">
        <w:rPr>
          <w:bCs/>
          <w:color w:val="000000"/>
          <w:szCs w:val="22"/>
        </w:rPr>
        <w:t>, Positive Hope argues that</w:t>
      </w:r>
      <w:r w:rsidR="006844A7">
        <w:rPr>
          <w:bCs/>
          <w:color w:val="000000"/>
          <w:szCs w:val="22"/>
        </w:rPr>
        <w:t xml:space="preserve"> </w:t>
      </w:r>
      <w:r w:rsidR="003D69B2">
        <w:rPr>
          <w:bCs/>
          <w:color w:val="000000"/>
          <w:szCs w:val="22"/>
        </w:rPr>
        <w:t xml:space="preserve">the Family Petition </w:t>
      </w:r>
      <w:r w:rsidR="00410B43">
        <w:rPr>
          <w:bCs/>
          <w:color w:val="000000"/>
          <w:szCs w:val="22"/>
        </w:rPr>
        <w:t>was</w:t>
      </w:r>
      <w:r w:rsidR="003D69B2">
        <w:rPr>
          <w:bCs/>
          <w:color w:val="000000"/>
          <w:szCs w:val="22"/>
        </w:rPr>
        <w:t xml:space="preserve"> procedurally inadmissible under section 1.106(f) </w:t>
      </w:r>
      <w:r w:rsidR="00C15F28">
        <w:rPr>
          <w:bCs/>
          <w:color w:val="000000"/>
          <w:szCs w:val="22"/>
        </w:rPr>
        <w:t xml:space="preserve">of the Rules </w:t>
      </w:r>
      <w:r w:rsidR="003D69B2">
        <w:rPr>
          <w:bCs/>
          <w:color w:val="000000"/>
          <w:szCs w:val="22"/>
        </w:rPr>
        <w:t>because it was “tendered” on September 9, 20</w:t>
      </w:r>
      <w:r w:rsidR="005761EF">
        <w:rPr>
          <w:bCs/>
          <w:color w:val="000000"/>
          <w:szCs w:val="22"/>
        </w:rPr>
        <w:t>19</w:t>
      </w:r>
      <w:r w:rsidR="003D69B2">
        <w:rPr>
          <w:bCs/>
          <w:color w:val="000000"/>
          <w:szCs w:val="22"/>
        </w:rPr>
        <w:t>, three days after the September 6, 20</w:t>
      </w:r>
      <w:r w:rsidR="005761EF">
        <w:rPr>
          <w:bCs/>
          <w:color w:val="000000"/>
          <w:szCs w:val="22"/>
        </w:rPr>
        <w:t>19</w:t>
      </w:r>
      <w:r w:rsidR="003D69B2">
        <w:rPr>
          <w:bCs/>
          <w:color w:val="000000"/>
          <w:szCs w:val="22"/>
        </w:rPr>
        <w:t>, deadline</w:t>
      </w:r>
      <w:r w:rsidR="009A004E">
        <w:rPr>
          <w:bCs/>
          <w:color w:val="000000"/>
          <w:szCs w:val="22"/>
        </w:rPr>
        <w:t xml:space="preserve"> for</w:t>
      </w:r>
      <w:r w:rsidR="003D69B2">
        <w:rPr>
          <w:bCs/>
          <w:color w:val="000000"/>
          <w:szCs w:val="22"/>
        </w:rPr>
        <w:t xml:space="preserve"> </w:t>
      </w:r>
      <w:r w:rsidR="00DE7D44">
        <w:rPr>
          <w:bCs/>
          <w:color w:val="000000"/>
          <w:szCs w:val="22"/>
        </w:rPr>
        <w:t>petition</w:t>
      </w:r>
      <w:r w:rsidR="00FB07B5">
        <w:rPr>
          <w:bCs/>
          <w:color w:val="000000"/>
          <w:szCs w:val="22"/>
        </w:rPr>
        <w:t>s</w:t>
      </w:r>
      <w:r w:rsidR="00DE7D44">
        <w:rPr>
          <w:bCs/>
          <w:color w:val="000000"/>
          <w:szCs w:val="22"/>
        </w:rPr>
        <w:t xml:space="preserve"> for reconsideration</w:t>
      </w:r>
      <w:r w:rsidR="00FB07B5">
        <w:rPr>
          <w:bCs/>
          <w:color w:val="000000"/>
          <w:szCs w:val="22"/>
        </w:rPr>
        <w:t xml:space="preserve"> of the </w:t>
      </w:r>
      <w:r w:rsidR="00FB07B5">
        <w:rPr>
          <w:bCs/>
          <w:i/>
          <w:iCs/>
          <w:color w:val="000000"/>
          <w:szCs w:val="22"/>
        </w:rPr>
        <w:t>Dismissal Letter</w:t>
      </w:r>
      <w:r w:rsidR="006844A7">
        <w:rPr>
          <w:bCs/>
          <w:i/>
          <w:iCs/>
          <w:color w:val="000000"/>
          <w:szCs w:val="22"/>
        </w:rPr>
        <w:t xml:space="preserve"> </w:t>
      </w:r>
      <w:r w:rsidR="006844A7">
        <w:rPr>
          <w:bCs/>
          <w:color w:val="000000"/>
          <w:szCs w:val="22"/>
        </w:rPr>
        <w:t xml:space="preserve">and on the same day as the </w:t>
      </w:r>
      <w:r w:rsidR="006844A7">
        <w:rPr>
          <w:color w:val="000000"/>
          <w:szCs w:val="22"/>
        </w:rPr>
        <w:t>KVIB-LP Modification Application</w:t>
      </w:r>
      <w:r w:rsidR="006844A7">
        <w:rPr>
          <w:bCs/>
          <w:color w:val="000000"/>
          <w:szCs w:val="22"/>
        </w:rPr>
        <w:t>.</w:t>
      </w:r>
      <w:r>
        <w:rPr>
          <w:rStyle w:val="FootnoteReference"/>
          <w:bCs/>
          <w:szCs w:val="22"/>
        </w:rPr>
        <w:footnoteReference w:id="15"/>
      </w:r>
      <w:r w:rsidR="006844A7">
        <w:rPr>
          <w:bCs/>
          <w:color w:val="000000"/>
          <w:szCs w:val="22"/>
        </w:rPr>
        <w:t xml:space="preserve"> </w:t>
      </w:r>
      <w:r w:rsidR="0061331E">
        <w:rPr>
          <w:bCs/>
          <w:color w:val="000000"/>
          <w:szCs w:val="22"/>
        </w:rPr>
        <w:t xml:space="preserve"> </w:t>
      </w:r>
      <w:r w:rsidR="00F27D73">
        <w:rPr>
          <w:bCs/>
          <w:color w:val="000000"/>
          <w:szCs w:val="22"/>
        </w:rPr>
        <w:t xml:space="preserve">In response, </w:t>
      </w:r>
      <w:r w:rsidR="00533B3E">
        <w:rPr>
          <w:bCs/>
          <w:color w:val="000000"/>
          <w:szCs w:val="22"/>
        </w:rPr>
        <w:t>Family submits a CDBS filing confirmation stating that the Family Petition was successfully filed on September 6, 2019.</w:t>
      </w:r>
      <w:r>
        <w:rPr>
          <w:rStyle w:val="FootnoteReference"/>
          <w:bCs/>
          <w:szCs w:val="22"/>
        </w:rPr>
        <w:footnoteReference w:id="16"/>
      </w:r>
      <w:r w:rsidR="00533B3E">
        <w:rPr>
          <w:bCs/>
          <w:color w:val="000000"/>
          <w:szCs w:val="22"/>
        </w:rPr>
        <w:t xml:space="preserve">  </w:t>
      </w:r>
      <w:r w:rsidR="006E7683">
        <w:rPr>
          <w:bCs/>
          <w:color w:val="000000"/>
          <w:szCs w:val="22"/>
        </w:rPr>
        <w:t xml:space="preserve">In the Reply, Positive Hope concedes </w:t>
      </w:r>
      <w:r w:rsidR="0061331E">
        <w:rPr>
          <w:bCs/>
          <w:color w:val="000000"/>
          <w:szCs w:val="22"/>
        </w:rPr>
        <w:t>that Family filed the Family Petition on September 6, 20</w:t>
      </w:r>
      <w:r w:rsidR="005761EF">
        <w:rPr>
          <w:bCs/>
          <w:color w:val="000000"/>
          <w:szCs w:val="22"/>
        </w:rPr>
        <w:t>19</w:t>
      </w:r>
      <w:r w:rsidR="0061331E">
        <w:rPr>
          <w:bCs/>
          <w:color w:val="000000"/>
          <w:szCs w:val="22"/>
        </w:rPr>
        <w:t xml:space="preserve">, </w:t>
      </w:r>
      <w:r w:rsidR="00360C5F">
        <w:rPr>
          <w:bCs/>
          <w:color w:val="000000"/>
          <w:szCs w:val="22"/>
        </w:rPr>
        <w:t>but</w:t>
      </w:r>
      <w:r w:rsidR="005761EF">
        <w:rPr>
          <w:bCs/>
          <w:color w:val="000000"/>
          <w:szCs w:val="22"/>
        </w:rPr>
        <w:t xml:space="preserve"> </w:t>
      </w:r>
      <w:r w:rsidR="00F27D73">
        <w:rPr>
          <w:bCs/>
          <w:color w:val="000000"/>
          <w:szCs w:val="22"/>
        </w:rPr>
        <w:t>nonetheless argues</w:t>
      </w:r>
      <w:r w:rsidR="0061331E">
        <w:rPr>
          <w:bCs/>
          <w:color w:val="000000"/>
          <w:szCs w:val="22"/>
        </w:rPr>
        <w:t xml:space="preserve"> that “tendering is the act that counts” when determining the timeliness of a petition for reconsideration.</w:t>
      </w:r>
      <w:r>
        <w:rPr>
          <w:rStyle w:val="FootnoteReference"/>
          <w:bCs/>
          <w:szCs w:val="22"/>
        </w:rPr>
        <w:footnoteReference w:id="17"/>
      </w:r>
      <w:r w:rsidR="0061331E">
        <w:rPr>
          <w:bCs/>
          <w:color w:val="000000"/>
          <w:szCs w:val="22"/>
        </w:rPr>
        <w:t xml:space="preserve"> </w:t>
      </w:r>
      <w:r w:rsidR="006844A7">
        <w:rPr>
          <w:bCs/>
          <w:color w:val="000000"/>
          <w:szCs w:val="22"/>
        </w:rPr>
        <w:t xml:space="preserve"> </w:t>
      </w:r>
      <w:r w:rsidR="00F27D73">
        <w:rPr>
          <w:bCs/>
          <w:color w:val="000000"/>
          <w:szCs w:val="22"/>
        </w:rPr>
        <w:t xml:space="preserve">Positive Hope </w:t>
      </w:r>
      <w:r w:rsidR="00346F46">
        <w:rPr>
          <w:bCs/>
          <w:color w:val="000000"/>
          <w:szCs w:val="22"/>
        </w:rPr>
        <w:t>a</w:t>
      </w:r>
      <w:r w:rsidR="007C7C3F">
        <w:rPr>
          <w:bCs/>
          <w:color w:val="000000"/>
          <w:szCs w:val="22"/>
        </w:rPr>
        <w:t>sks</w:t>
      </w:r>
      <w:r w:rsidR="00F27D73">
        <w:rPr>
          <w:bCs/>
          <w:color w:val="000000"/>
          <w:szCs w:val="22"/>
        </w:rPr>
        <w:t xml:space="preserve"> the Commission </w:t>
      </w:r>
      <w:r w:rsidR="007C7C3F">
        <w:rPr>
          <w:bCs/>
          <w:color w:val="000000"/>
          <w:szCs w:val="22"/>
        </w:rPr>
        <w:t xml:space="preserve">to </w:t>
      </w:r>
      <w:r w:rsidRPr="00A564ED">
        <w:rPr>
          <w:bCs/>
          <w:color w:val="000000"/>
          <w:szCs w:val="22"/>
        </w:rPr>
        <w:t xml:space="preserve">either </w:t>
      </w:r>
      <w:r w:rsidR="00533B3E">
        <w:rPr>
          <w:bCs/>
          <w:color w:val="000000"/>
          <w:szCs w:val="22"/>
        </w:rPr>
        <w:t xml:space="preserve">dismiss the Family Petition and </w:t>
      </w:r>
      <w:r w:rsidRPr="00A564ED">
        <w:rPr>
          <w:bCs/>
          <w:color w:val="000000"/>
          <w:szCs w:val="22"/>
        </w:rPr>
        <w:t>reinstate the KVIB Modification Application, reinstate and compare both applications as mutually exclusive, or dismiss both applications for failure to protect DKRSA</w:t>
      </w:r>
      <w:r w:rsidR="007540EC">
        <w:rPr>
          <w:bCs/>
          <w:color w:val="000000"/>
          <w:szCs w:val="22"/>
        </w:rPr>
        <w:t>-LP</w:t>
      </w:r>
      <w:r w:rsidR="006844A7">
        <w:rPr>
          <w:bCs/>
          <w:color w:val="000000"/>
          <w:szCs w:val="22"/>
        </w:rPr>
        <w:t>.</w:t>
      </w:r>
      <w:r>
        <w:rPr>
          <w:rStyle w:val="FootnoteReference"/>
          <w:bCs/>
          <w:szCs w:val="22"/>
        </w:rPr>
        <w:footnoteReference w:id="18"/>
      </w:r>
      <w:r w:rsidR="006844A7">
        <w:rPr>
          <w:bCs/>
          <w:color w:val="000000"/>
          <w:szCs w:val="22"/>
        </w:rPr>
        <w:t xml:space="preserve"> </w:t>
      </w:r>
      <w:r>
        <w:rPr>
          <w:bCs/>
          <w:color w:val="000000"/>
          <w:szCs w:val="22"/>
        </w:rPr>
        <w:t xml:space="preserve"> </w:t>
      </w:r>
    </w:p>
    <w:bookmarkEnd w:id="2"/>
    <w:p w:rsidR="00C058EB" w:rsidRPr="00744277" w:rsidP="00651494" w14:paraId="3910F251" w14:textId="5B276A2C">
      <w:pPr>
        <w:pStyle w:val="ParaNum"/>
        <w:rPr>
          <w:snapToGrid/>
        </w:rPr>
      </w:pPr>
      <w:r>
        <w:rPr>
          <w:bCs/>
          <w:i/>
          <w:iCs/>
          <w:color w:val="000000"/>
          <w:szCs w:val="22"/>
        </w:rPr>
        <w:t>Reinstatement</w:t>
      </w:r>
      <w:r w:rsidR="009F0EFE">
        <w:rPr>
          <w:bCs/>
          <w:i/>
          <w:iCs/>
          <w:color w:val="000000"/>
          <w:szCs w:val="22"/>
        </w:rPr>
        <w:t xml:space="preserve">.  </w:t>
      </w:r>
      <w:r w:rsidRPr="00EC38CF">
        <w:rPr>
          <w:bCs/>
          <w:color w:val="000000"/>
          <w:szCs w:val="22"/>
        </w:rPr>
        <w:t xml:space="preserve">Positive Hope </w:t>
      </w:r>
      <w:r w:rsidR="00102B5C">
        <w:rPr>
          <w:bCs/>
          <w:color w:val="000000"/>
          <w:szCs w:val="22"/>
        </w:rPr>
        <w:t xml:space="preserve">also </w:t>
      </w:r>
      <w:r>
        <w:rPr>
          <w:bCs/>
          <w:color w:val="000000"/>
          <w:szCs w:val="22"/>
        </w:rPr>
        <w:t xml:space="preserve">objects to the Bureau’s </w:t>
      </w:r>
      <w:r w:rsidRPr="00437BC7">
        <w:rPr>
          <w:bCs/>
          <w:i/>
          <w:iCs/>
          <w:color w:val="000000"/>
          <w:szCs w:val="22"/>
        </w:rPr>
        <w:t>nunc</w:t>
      </w:r>
      <w:r w:rsidRPr="00437BC7">
        <w:rPr>
          <w:bCs/>
          <w:i/>
          <w:iCs/>
          <w:color w:val="000000"/>
          <w:szCs w:val="22"/>
        </w:rPr>
        <w:t xml:space="preserve"> pro </w:t>
      </w:r>
      <w:r w:rsidRPr="00437BC7">
        <w:rPr>
          <w:bCs/>
          <w:i/>
          <w:iCs/>
          <w:color w:val="000000"/>
          <w:szCs w:val="22"/>
        </w:rPr>
        <w:t>tunc</w:t>
      </w:r>
      <w:r w:rsidRPr="00437BC7">
        <w:rPr>
          <w:bCs/>
          <w:i/>
          <w:iCs/>
          <w:color w:val="000000"/>
          <w:szCs w:val="22"/>
        </w:rPr>
        <w:t xml:space="preserve"> </w:t>
      </w:r>
      <w:r w:rsidRPr="00437BC7">
        <w:rPr>
          <w:bCs/>
          <w:color w:val="000000"/>
          <w:szCs w:val="22"/>
        </w:rPr>
        <w:t xml:space="preserve">reinstatement of the Amended Translator Application because it “essentially </w:t>
      </w:r>
      <w:r w:rsidRPr="00437BC7">
        <w:rPr>
          <w:bCs/>
          <w:color w:val="000000"/>
          <w:szCs w:val="22"/>
        </w:rPr>
        <w:t>evad</w:t>
      </w:r>
      <w:r w:rsidRPr="00437BC7">
        <w:rPr>
          <w:bCs/>
          <w:color w:val="000000"/>
          <w:szCs w:val="22"/>
        </w:rPr>
        <w:t>[es] Section 73.3566(a)’s waiver request requirements.”</w:t>
      </w:r>
      <w:r>
        <w:rPr>
          <w:rStyle w:val="FootnoteReference"/>
          <w:bCs/>
          <w:szCs w:val="22"/>
        </w:rPr>
        <w:footnoteReference w:id="19"/>
      </w:r>
      <w:r w:rsidR="00EE534D">
        <w:rPr>
          <w:bCs/>
          <w:color w:val="000000"/>
          <w:szCs w:val="22"/>
        </w:rPr>
        <w:t xml:space="preserve">  </w:t>
      </w:r>
      <w:r>
        <w:rPr>
          <w:bCs/>
          <w:color w:val="000000"/>
          <w:szCs w:val="22"/>
        </w:rPr>
        <w:t xml:space="preserve">Positive Hope </w:t>
      </w:r>
      <w:r w:rsidR="009763F8">
        <w:rPr>
          <w:bCs/>
          <w:color w:val="000000"/>
          <w:szCs w:val="22"/>
        </w:rPr>
        <w:t xml:space="preserve">additionally </w:t>
      </w:r>
      <w:r>
        <w:rPr>
          <w:bCs/>
          <w:color w:val="000000"/>
          <w:szCs w:val="22"/>
        </w:rPr>
        <w:t xml:space="preserve">argues that </w:t>
      </w:r>
      <w:r>
        <w:rPr>
          <w:bCs/>
          <w:color w:val="000000"/>
          <w:szCs w:val="22"/>
        </w:rPr>
        <w:t xml:space="preserve">reinstatement </w:t>
      </w:r>
      <w:r w:rsidR="00314733">
        <w:rPr>
          <w:bCs/>
          <w:color w:val="000000"/>
          <w:szCs w:val="22"/>
        </w:rPr>
        <w:t xml:space="preserve">under the </w:t>
      </w:r>
      <w:r w:rsidRPr="00C46D11" w:rsidR="00314733">
        <w:rPr>
          <w:bCs/>
          <w:i/>
          <w:iCs/>
          <w:color w:val="000000"/>
          <w:szCs w:val="22"/>
        </w:rPr>
        <w:t>nunc</w:t>
      </w:r>
      <w:r w:rsidRPr="00C46D11" w:rsidR="00314733">
        <w:rPr>
          <w:bCs/>
          <w:i/>
          <w:iCs/>
          <w:color w:val="000000"/>
          <w:szCs w:val="22"/>
        </w:rPr>
        <w:t xml:space="preserve"> pro </w:t>
      </w:r>
      <w:r w:rsidRPr="00C46D11" w:rsidR="00314733">
        <w:rPr>
          <w:bCs/>
          <w:i/>
          <w:iCs/>
          <w:color w:val="000000"/>
          <w:szCs w:val="22"/>
        </w:rPr>
        <w:t>tunc</w:t>
      </w:r>
      <w:r w:rsidR="00314733">
        <w:rPr>
          <w:bCs/>
          <w:color w:val="000000"/>
          <w:szCs w:val="22"/>
        </w:rPr>
        <w:t xml:space="preserve"> processing policy </w:t>
      </w:r>
      <w:r>
        <w:rPr>
          <w:bCs/>
          <w:color w:val="000000"/>
          <w:szCs w:val="22"/>
        </w:rPr>
        <w:t xml:space="preserve">is inappropriate here </w:t>
      </w:r>
      <w:r>
        <w:rPr>
          <w:bCs/>
          <w:color w:val="000000"/>
          <w:szCs w:val="22"/>
        </w:rPr>
        <w:t>because Family</w:t>
      </w:r>
      <w:r w:rsidR="00602DF6">
        <w:rPr>
          <w:bCs/>
          <w:color w:val="000000"/>
          <w:szCs w:val="22"/>
        </w:rPr>
        <w:t>’s</w:t>
      </w:r>
      <w:r>
        <w:rPr>
          <w:bCs/>
          <w:color w:val="000000"/>
          <w:szCs w:val="22"/>
        </w:rPr>
        <w:t xml:space="preserve"> reinstatement request </w:t>
      </w:r>
      <w:r w:rsidR="002625F6">
        <w:rPr>
          <w:bCs/>
          <w:color w:val="000000"/>
          <w:szCs w:val="22"/>
        </w:rPr>
        <w:t xml:space="preserve">and curative amendment were </w:t>
      </w:r>
      <w:r>
        <w:rPr>
          <w:bCs/>
          <w:color w:val="000000"/>
          <w:szCs w:val="22"/>
        </w:rPr>
        <w:t xml:space="preserve">based on </w:t>
      </w:r>
      <w:r w:rsidR="00907943">
        <w:rPr>
          <w:bCs/>
          <w:color w:val="000000"/>
          <w:szCs w:val="22"/>
        </w:rPr>
        <w:t xml:space="preserve">an </w:t>
      </w:r>
      <w:r w:rsidR="002625F6">
        <w:rPr>
          <w:bCs/>
          <w:color w:val="000000"/>
          <w:szCs w:val="22"/>
        </w:rPr>
        <w:t xml:space="preserve">interference claim </w:t>
      </w:r>
      <w:r w:rsidR="00907943">
        <w:rPr>
          <w:bCs/>
          <w:color w:val="000000"/>
          <w:szCs w:val="22"/>
        </w:rPr>
        <w:t xml:space="preserve">rather than </w:t>
      </w:r>
      <w:r w:rsidR="002625F6">
        <w:rPr>
          <w:bCs/>
          <w:color w:val="000000"/>
          <w:szCs w:val="22"/>
        </w:rPr>
        <w:t xml:space="preserve">a showing of </w:t>
      </w:r>
      <w:r w:rsidR="00CC150F">
        <w:rPr>
          <w:bCs/>
          <w:color w:val="000000"/>
          <w:szCs w:val="22"/>
        </w:rPr>
        <w:t xml:space="preserve">any error in </w:t>
      </w:r>
      <w:r w:rsidR="00907943">
        <w:rPr>
          <w:bCs/>
          <w:color w:val="000000"/>
          <w:szCs w:val="22"/>
        </w:rPr>
        <w:t>the Bureau’s original finding that it</w:t>
      </w:r>
      <w:r w:rsidR="00F1320F">
        <w:rPr>
          <w:bCs/>
          <w:color w:val="000000"/>
          <w:szCs w:val="22"/>
        </w:rPr>
        <w:t xml:space="preserve"> violat</w:t>
      </w:r>
      <w:r w:rsidR="00907943">
        <w:rPr>
          <w:bCs/>
          <w:color w:val="000000"/>
          <w:szCs w:val="22"/>
        </w:rPr>
        <w:t>ed</w:t>
      </w:r>
      <w:r w:rsidR="00F1320F">
        <w:rPr>
          <w:bCs/>
          <w:color w:val="000000"/>
          <w:szCs w:val="22"/>
        </w:rPr>
        <w:t xml:space="preserve"> the </w:t>
      </w:r>
      <w:r w:rsidRPr="00760469" w:rsidR="00F1320F">
        <w:rPr>
          <w:bCs/>
          <w:i/>
          <w:iCs/>
          <w:color w:val="000000"/>
          <w:szCs w:val="22"/>
        </w:rPr>
        <w:t>USA-Mexico Agreement</w:t>
      </w:r>
      <w:r w:rsidR="0005067A">
        <w:rPr>
          <w:bCs/>
          <w:i/>
          <w:iCs/>
          <w:color w:val="000000"/>
          <w:szCs w:val="22"/>
        </w:rPr>
        <w:t>.</w:t>
      </w:r>
      <w:r w:rsidR="00F1320F">
        <w:rPr>
          <w:bCs/>
          <w:color w:val="000000"/>
          <w:szCs w:val="22"/>
        </w:rPr>
        <w:t xml:space="preserve"> </w:t>
      </w:r>
      <w:r w:rsidR="00C46D11">
        <w:rPr>
          <w:bCs/>
          <w:color w:val="000000"/>
          <w:szCs w:val="22"/>
        </w:rPr>
        <w:t xml:space="preserve"> </w:t>
      </w:r>
      <w:r w:rsidR="0005067A">
        <w:rPr>
          <w:bCs/>
          <w:color w:val="000000"/>
          <w:szCs w:val="22"/>
        </w:rPr>
        <w:t>Positive Hope contends that such a</w:t>
      </w:r>
      <w:r w:rsidR="00F1320F">
        <w:rPr>
          <w:bCs/>
          <w:color w:val="000000"/>
          <w:szCs w:val="22"/>
        </w:rPr>
        <w:t xml:space="preserve"> request for reinstatement</w:t>
      </w:r>
      <w:r w:rsidR="00CC150F">
        <w:rPr>
          <w:bCs/>
          <w:color w:val="000000"/>
          <w:szCs w:val="22"/>
        </w:rPr>
        <w:t>,</w:t>
      </w:r>
      <w:r w:rsidR="00F1320F">
        <w:rPr>
          <w:bCs/>
          <w:color w:val="000000"/>
          <w:szCs w:val="22"/>
        </w:rPr>
        <w:t xml:space="preserve"> </w:t>
      </w:r>
      <w:r w:rsidR="0005067A">
        <w:rPr>
          <w:bCs/>
          <w:color w:val="000000"/>
          <w:szCs w:val="22"/>
        </w:rPr>
        <w:t xml:space="preserve">based </w:t>
      </w:r>
      <w:r w:rsidR="00F1320F">
        <w:rPr>
          <w:bCs/>
          <w:color w:val="000000"/>
          <w:szCs w:val="22"/>
        </w:rPr>
        <w:t xml:space="preserve">on </w:t>
      </w:r>
      <w:r>
        <w:rPr>
          <w:bCs/>
          <w:color w:val="000000"/>
          <w:szCs w:val="22"/>
        </w:rPr>
        <w:t>“</w:t>
      </w:r>
      <w:r w:rsidRPr="00E11C00">
        <w:rPr>
          <w:bCs/>
          <w:color w:val="000000"/>
          <w:szCs w:val="22"/>
        </w:rPr>
        <w:t>non-treaty grounds</w:t>
      </w:r>
      <w:r w:rsidR="0005067A">
        <w:rPr>
          <w:bCs/>
          <w:color w:val="000000"/>
          <w:szCs w:val="22"/>
        </w:rPr>
        <w:t>,</w:t>
      </w:r>
      <w:r w:rsidR="00F1320F">
        <w:rPr>
          <w:bCs/>
          <w:color w:val="000000"/>
          <w:szCs w:val="22"/>
        </w:rPr>
        <w:t>” is improper</w:t>
      </w:r>
      <w:r>
        <w:rPr>
          <w:bCs/>
          <w:color w:val="000000"/>
          <w:szCs w:val="22"/>
        </w:rPr>
        <w:t>.</w:t>
      </w:r>
      <w:r>
        <w:rPr>
          <w:rStyle w:val="FootnoteReference"/>
          <w:bCs/>
          <w:szCs w:val="22"/>
        </w:rPr>
        <w:footnoteReference w:id="20"/>
      </w:r>
      <w:r>
        <w:rPr>
          <w:bCs/>
          <w:color w:val="000000"/>
          <w:szCs w:val="22"/>
        </w:rPr>
        <w:t xml:space="preserve">  Moreover, according to Positive Hope, </w:t>
      </w:r>
      <w:r w:rsidRPr="00744277">
        <w:rPr>
          <w:bCs/>
          <w:color w:val="000000"/>
          <w:szCs w:val="22"/>
        </w:rPr>
        <w:t>a treaty violation is not one of the “type of applicat</w:t>
      </w:r>
      <w:r w:rsidRPr="00015B96">
        <w:rPr>
          <w:bCs/>
          <w:color w:val="000000"/>
          <w:szCs w:val="22"/>
        </w:rPr>
        <w:t xml:space="preserve">ion errors that qualify for </w:t>
      </w:r>
      <w:r w:rsidRPr="00015B96">
        <w:rPr>
          <w:bCs/>
          <w:i/>
          <w:iCs/>
          <w:color w:val="000000"/>
          <w:szCs w:val="22"/>
        </w:rPr>
        <w:t>nunc</w:t>
      </w:r>
      <w:r w:rsidRPr="00015B96">
        <w:rPr>
          <w:bCs/>
          <w:i/>
          <w:iCs/>
          <w:color w:val="000000"/>
          <w:szCs w:val="22"/>
        </w:rPr>
        <w:t xml:space="preserve"> pro </w:t>
      </w:r>
      <w:r w:rsidRPr="00015B96">
        <w:rPr>
          <w:bCs/>
          <w:i/>
          <w:iCs/>
          <w:color w:val="000000"/>
          <w:szCs w:val="22"/>
        </w:rPr>
        <w:t>tunc</w:t>
      </w:r>
      <w:r w:rsidRPr="00015B96">
        <w:rPr>
          <w:bCs/>
          <w:i/>
          <w:iCs/>
          <w:color w:val="000000"/>
          <w:szCs w:val="22"/>
        </w:rPr>
        <w:t xml:space="preserve"> </w:t>
      </w:r>
      <w:r w:rsidRPr="007F0109">
        <w:rPr>
          <w:bCs/>
          <w:color w:val="000000"/>
          <w:szCs w:val="22"/>
        </w:rPr>
        <w:t>treatment,” such as a typographical or other clerical error.</w:t>
      </w:r>
      <w:r>
        <w:rPr>
          <w:rStyle w:val="FootnoteReference"/>
          <w:bCs/>
          <w:szCs w:val="22"/>
        </w:rPr>
        <w:footnoteReference w:id="21"/>
      </w:r>
      <w:r w:rsidRPr="00744277">
        <w:rPr>
          <w:bCs/>
          <w:color w:val="000000"/>
          <w:szCs w:val="22"/>
        </w:rPr>
        <w:t xml:space="preserve">  </w:t>
      </w:r>
    </w:p>
    <w:p w:rsidR="00C058EB" w:rsidRPr="00B20081" w:rsidP="00651494" w14:paraId="5A2CE76A" w14:textId="56FAD399">
      <w:pPr>
        <w:pStyle w:val="ParaNum"/>
      </w:pPr>
      <w:r w:rsidRPr="00EC38CF">
        <w:rPr>
          <w:bCs/>
          <w:color w:val="000000"/>
          <w:szCs w:val="22"/>
        </w:rPr>
        <w:t>Positive Hope</w:t>
      </w:r>
      <w:r>
        <w:t xml:space="preserve"> </w:t>
      </w:r>
      <w:r w:rsidRPr="00463674" w:rsidR="008B2051">
        <w:rPr>
          <w:bCs/>
          <w:color w:val="000000"/>
          <w:szCs w:val="22"/>
        </w:rPr>
        <w:t xml:space="preserve">further </w:t>
      </w:r>
      <w:r w:rsidRPr="00463674">
        <w:rPr>
          <w:bCs/>
          <w:color w:val="000000"/>
          <w:szCs w:val="22"/>
        </w:rPr>
        <w:t>c</w:t>
      </w:r>
      <w:r w:rsidR="00621543">
        <w:rPr>
          <w:bCs/>
          <w:color w:val="000000"/>
          <w:szCs w:val="22"/>
        </w:rPr>
        <w:t>ontends</w:t>
      </w:r>
      <w:r w:rsidRPr="00463674">
        <w:rPr>
          <w:bCs/>
          <w:color w:val="000000"/>
          <w:szCs w:val="22"/>
        </w:rPr>
        <w:t xml:space="preserve"> that reinstatement is not appropriate when the curative amendment relies on a rule that came into effect after the </w:t>
      </w:r>
      <w:r w:rsidR="00CD4D85">
        <w:rPr>
          <w:bCs/>
          <w:color w:val="000000"/>
          <w:szCs w:val="22"/>
        </w:rPr>
        <w:t>application was dismissed</w:t>
      </w:r>
      <w:r w:rsidRPr="00463674">
        <w:rPr>
          <w:bCs/>
          <w:color w:val="000000"/>
          <w:szCs w:val="22"/>
        </w:rPr>
        <w:t>.</w:t>
      </w:r>
      <w:r>
        <w:rPr>
          <w:rStyle w:val="FootnoteReference"/>
          <w:bCs/>
          <w:szCs w:val="22"/>
        </w:rPr>
        <w:footnoteReference w:id="22"/>
      </w:r>
      <w:r w:rsidRPr="00463674">
        <w:rPr>
          <w:bCs/>
          <w:color w:val="000000"/>
          <w:szCs w:val="22"/>
        </w:rPr>
        <w:t xml:space="preserve">  In support of this argument, Positive Hope cites to the </w:t>
      </w:r>
      <w:r w:rsidRPr="00463674">
        <w:rPr>
          <w:bCs/>
          <w:i/>
          <w:iCs/>
          <w:color w:val="000000"/>
          <w:szCs w:val="22"/>
        </w:rPr>
        <w:t>Translator Interference Order</w:t>
      </w:r>
      <w:r w:rsidRPr="00463674">
        <w:rPr>
          <w:bCs/>
          <w:color w:val="000000"/>
          <w:szCs w:val="22"/>
        </w:rPr>
        <w:t>, which states that</w:t>
      </w:r>
      <w:r w:rsidRPr="00463674">
        <w:rPr>
          <w:bCs/>
          <w:i/>
          <w:iCs/>
          <w:color w:val="000000"/>
          <w:szCs w:val="22"/>
        </w:rPr>
        <w:t xml:space="preserve"> </w:t>
      </w:r>
      <w:r w:rsidRPr="00463674">
        <w:rPr>
          <w:bCs/>
          <w:color w:val="000000"/>
          <w:szCs w:val="22"/>
        </w:rPr>
        <w:t xml:space="preserve">the new translator interference rules apply only to “applications or complaints that have not been acted upon as of the </w:t>
      </w:r>
      <w:r w:rsidRPr="00463674">
        <w:rPr>
          <w:bCs/>
          <w:color w:val="000000"/>
          <w:szCs w:val="22"/>
        </w:rPr>
        <w:t>effective date [of the rules].”</w:t>
      </w:r>
      <w:r>
        <w:rPr>
          <w:rStyle w:val="FootnoteReference"/>
          <w:bCs/>
          <w:szCs w:val="22"/>
        </w:rPr>
        <w:footnoteReference w:id="23"/>
      </w:r>
      <w:r w:rsidRPr="00463674">
        <w:rPr>
          <w:bCs/>
          <w:color w:val="000000"/>
          <w:szCs w:val="22"/>
        </w:rPr>
        <w:t xml:space="preserve">  It also cites to the </w:t>
      </w:r>
      <w:r w:rsidRPr="00463674">
        <w:rPr>
          <w:bCs/>
          <w:i/>
          <w:iCs/>
          <w:color w:val="000000"/>
          <w:szCs w:val="22"/>
        </w:rPr>
        <w:t>Emmanuel</w:t>
      </w:r>
      <w:r w:rsidRPr="00463674">
        <w:rPr>
          <w:bCs/>
          <w:color w:val="000000"/>
          <w:szCs w:val="22"/>
        </w:rPr>
        <w:t xml:space="preserve"> decision, in which the Commission </w:t>
      </w:r>
      <w:r w:rsidR="00CD4D85">
        <w:rPr>
          <w:bCs/>
          <w:color w:val="000000"/>
          <w:szCs w:val="22"/>
        </w:rPr>
        <w:t xml:space="preserve">denied a petition for reconsideration of the dismissal of a new FM translator station, noting that </w:t>
      </w:r>
      <w:r>
        <w:t xml:space="preserve">the new </w:t>
      </w:r>
      <w:r w:rsidR="00CD4D85">
        <w:t xml:space="preserve">translator interference </w:t>
      </w:r>
      <w:r>
        <w:t xml:space="preserve">rules did not affect its analysis because </w:t>
      </w:r>
      <w:r w:rsidR="00704DB3">
        <w:t>the application was acted upon prior to the rules becoming effective.</w:t>
      </w:r>
      <w:r>
        <w:rPr>
          <w:rStyle w:val="FootnoteReference"/>
        </w:rPr>
        <w:footnoteReference w:id="24"/>
      </w:r>
      <w:r w:rsidRPr="00463674">
        <w:rPr>
          <w:i/>
          <w:iCs/>
        </w:rPr>
        <w:t xml:space="preserve">  </w:t>
      </w:r>
      <w:r w:rsidRPr="00463674">
        <w:rPr>
          <w:bCs/>
          <w:color w:val="000000"/>
          <w:szCs w:val="22"/>
        </w:rPr>
        <w:t xml:space="preserve">In the Opposition, Family contends that this argument </w:t>
      </w:r>
      <w:r>
        <w:t>could have been raised earlier and “ignores the fact that the [Amended Translator Application], the relevant application for which interference mitigation was sought, was not filed until September 6, after the effective date of the rules.”</w:t>
      </w:r>
      <w:r>
        <w:rPr>
          <w:rStyle w:val="FootnoteReference"/>
        </w:rPr>
        <w:footnoteReference w:id="25"/>
      </w:r>
      <w:r>
        <w:t xml:space="preserve">  Because the Amended Translator Application had not been acted on when the new rules took effect, according to Family, it was eligible to request a channel change under </w:t>
      </w:r>
      <w:r w:rsidRPr="00463674">
        <w:rPr>
          <w:bCs/>
          <w:color w:val="000000"/>
          <w:szCs w:val="22"/>
        </w:rPr>
        <w:t xml:space="preserve">section </w:t>
      </w:r>
      <w:r>
        <w:t>74.1233(a)(1)(</w:t>
      </w:r>
      <w:r>
        <w:t>i</w:t>
      </w:r>
      <w:r>
        <w:t>)(A)(2)</w:t>
      </w:r>
      <w:r w:rsidRPr="00463674">
        <w:rPr>
          <w:bCs/>
          <w:color w:val="000000"/>
          <w:szCs w:val="22"/>
        </w:rPr>
        <w:t>.</w:t>
      </w:r>
      <w:r>
        <w:rPr>
          <w:rStyle w:val="FootnoteReference"/>
          <w:bCs/>
          <w:szCs w:val="22"/>
        </w:rPr>
        <w:footnoteReference w:id="26"/>
      </w:r>
      <w:r>
        <w:t xml:space="preserve">  </w:t>
      </w:r>
    </w:p>
    <w:p w:rsidR="00BE109B" w:rsidRPr="00EC38CF" w:rsidP="00651494" w14:paraId="7CA0B13F" w14:textId="6923CD50">
      <w:pPr>
        <w:pStyle w:val="ParaNum"/>
      </w:pPr>
      <w:r>
        <w:rPr>
          <w:bCs/>
          <w:i/>
          <w:iCs/>
          <w:color w:val="000000"/>
          <w:szCs w:val="22"/>
        </w:rPr>
        <w:t>Eligibility for non-adjacent channel change</w:t>
      </w:r>
      <w:r w:rsidR="00A65E7F">
        <w:rPr>
          <w:bCs/>
          <w:i/>
          <w:iCs/>
          <w:color w:val="000000"/>
          <w:szCs w:val="22"/>
        </w:rPr>
        <w:t xml:space="preserve">.  </w:t>
      </w:r>
      <w:r w:rsidRPr="00F27D73" w:rsidR="00EC38CF">
        <w:rPr>
          <w:bCs/>
          <w:color w:val="000000"/>
          <w:szCs w:val="22"/>
        </w:rPr>
        <w:t xml:space="preserve">Positive Hope </w:t>
      </w:r>
      <w:r w:rsidR="0084626C">
        <w:rPr>
          <w:bCs/>
          <w:color w:val="000000"/>
          <w:szCs w:val="22"/>
        </w:rPr>
        <w:t>advances the theory</w:t>
      </w:r>
      <w:r w:rsidRPr="00F27D73" w:rsidR="0084626C">
        <w:rPr>
          <w:bCs/>
          <w:color w:val="000000"/>
          <w:szCs w:val="22"/>
        </w:rPr>
        <w:t xml:space="preserve"> </w:t>
      </w:r>
      <w:r w:rsidRPr="00F27D73" w:rsidR="00EC38CF">
        <w:rPr>
          <w:bCs/>
          <w:color w:val="000000"/>
          <w:szCs w:val="22"/>
        </w:rPr>
        <w:t>that an</w:t>
      </w:r>
      <w:r w:rsidR="00437BC7">
        <w:rPr>
          <w:bCs/>
          <w:color w:val="000000"/>
          <w:szCs w:val="22"/>
        </w:rPr>
        <w:t>y</w:t>
      </w:r>
      <w:r w:rsidRPr="00F27D73" w:rsidR="00EC38CF">
        <w:rPr>
          <w:bCs/>
          <w:color w:val="000000"/>
          <w:szCs w:val="22"/>
        </w:rPr>
        <w:t xml:space="preserve"> application that contains no waiver request and is dismissed as defective under section 73.3566(a)</w:t>
      </w:r>
      <w:r>
        <w:rPr>
          <w:rStyle w:val="FootnoteReference"/>
          <w:bCs/>
          <w:szCs w:val="22"/>
        </w:rPr>
        <w:footnoteReference w:id="27"/>
      </w:r>
      <w:r w:rsidRPr="00F27D73" w:rsidR="00EC38CF">
        <w:rPr>
          <w:bCs/>
          <w:color w:val="000000"/>
          <w:szCs w:val="22"/>
        </w:rPr>
        <w:t xml:space="preserve"> becomes a “</w:t>
      </w:r>
      <w:r w:rsidRPr="00E11C00" w:rsidR="00EC38CF">
        <w:rPr>
          <w:bCs/>
          <w:color w:val="000000"/>
          <w:szCs w:val="22"/>
        </w:rPr>
        <w:t>nullity.”</w:t>
      </w:r>
      <w:r>
        <w:rPr>
          <w:rStyle w:val="FootnoteReference"/>
          <w:bCs/>
          <w:szCs w:val="22"/>
        </w:rPr>
        <w:footnoteReference w:id="28"/>
      </w:r>
      <w:r w:rsidRPr="00F27D73" w:rsidR="00EC38CF">
        <w:rPr>
          <w:bCs/>
          <w:color w:val="000000"/>
          <w:szCs w:val="22"/>
        </w:rPr>
        <w:t xml:space="preserve">  As a “nullity,” Positive Hope</w:t>
      </w:r>
      <w:r w:rsidRPr="006C7743" w:rsidR="006C7743">
        <w:rPr>
          <w:bCs/>
          <w:color w:val="000000"/>
          <w:szCs w:val="22"/>
        </w:rPr>
        <w:t xml:space="preserve"> </w:t>
      </w:r>
      <w:r w:rsidR="00B11A97">
        <w:rPr>
          <w:bCs/>
          <w:color w:val="000000"/>
          <w:szCs w:val="22"/>
        </w:rPr>
        <w:t>argues</w:t>
      </w:r>
      <w:r w:rsidRPr="00F27D73" w:rsidR="00EC38CF">
        <w:rPr>
          <w:bCs/>
          <w:color w:val="000000"/>
          <w:szCs w:val="22"/>
        </w:rPr>
        <w:t>, the Translator "creates no interference, so it has none to mitigate.”</w:t>
      </w:r>
      <w:r>
        <w:rPr>
          <w:rStyle w:val="FootnoteReference"/>
          <w:bCs/>
          <w:szCs w:val="22"/>
        </w:rPr>
        <w:footnoteReference w:id="29"/>
      </w:r>
      <w:r>
        <w:rPr>
          <w:bCs/>
          <w:color w:val="000000"/>
          <w:szCs w:val="22"/>
        </w:rPr>
        <w:t xml:space="preserve">  Therefore, according to Positive Hope, Family cannot satisfy the section </w:t>
      </w:r>
      <w:r>
        <w:t>74.1233(a)(1)(</w:t>
      </w:r>
      <w:r>
        <w:t>i</w:t>
      </w:r>
      <w:r>
        <w:t xml:space="preserve">)(A)(2) </w:t>
      </w:r>
      <w:r>
        <w:rPr>
          <w:bCs/>
          <w:color w:val="000000"/>
          <w:szCs w:val="22"/>
        </w:rPr>
        <w:t xml:space="preserve">criterion that a non-adjacent channel change applicant must show interference to or from any other broadcast station. </w:t>
      </w:r>
    </w:p>
    <w:p w:rsidR="0043159D" w:rsidP="0043159D" w14:paraId="243800D7" w14:textId="77777777">
      <w:pPr>
        <w:pStyle w:val="ParaNum"/>
        <w:rPr>
          <w:bCs/>
          <w:color w:val="000000"/>
          <w:szCs w:val="22"/>
        </w:rPr>
      </w:pPr>
      <w:r>
        <w:rPr>
          <w:bCs/>
          <w:color w:val="000000"/>
          <w:szCs w:val="22"/>
        </w:rPr>
        <w:t xml:space="preserve">Positive Hope </w:t>
      </w:r>
      <w:r w:rsidR="00746FAA">
        <w:rPr>
          <w:bCs/>
          <w:color w:val="000000"/>
          <w:szCs w:val="22"/>
        </w:rPr>
        <w:t xml:space="preserve">also </w:t>
      </w:r>
      <w:r w:rsidR="00A65E7F">
        <w:rPr>
          <w:bCs/>
          <w:color w:val="000000"/>
          <w:szCs w:val="22"/>
        </w:rPr>
        <w:t>contends</w:t>
      </w:r>
      <w:r>
        <w:rPr>
          <w:bCs/>
          <w:color w:val="000000"/>
          <w:szCs w:val="22"/>
        </w:rPr>
        <w:t xml:space="preserve"> that Family’s requested channel was not an available channel for the purposes of section </w:t>
      </w:r>
      <w:r>
        <w:t>74.1233(a)(1)(</w:t>
      </w:r>
      <w:r>
        <w:t>i</w:t>
      </w:r>
      <w:r>
        <w:t>)(A)(2) because the cancellation of LPFM station DKRSA-LP on that channel was still under appeal and not yet final</w:t>
      </w:r>
      <w:r w:rsidR="00621543">
        <w:t xml:space="preserve"> when the Translator Application was </w:t>
      </w:r>
      <w:r w:rsidR="00453893">
        <w:t>originally</w:t>
      </w:r>
      <w:r w:rsidR="00621543">
        <w:t xml:space="preserve"> filed</w:t>
      </w:r>
      <w:r>
        <w:t>.</w:t>
      </w:r>
      <w:r>
        <w:rPr>
          <w:rStyle w:val="FootnoteReference"/>
        </w:rPr>
        <w:footnoteReference w:id="30"/>
      </w:r>
      <w:r>
        <w:t xml:space="preserve">  </w:t>
      </w:r>
      <w:r w:rsidRPr="00AC22D6" w:rsidR="00AC22D6">
        <w:rPr>
          <w:bCs/>
          <w:color w:val="000000"/>
          <w:szCs w:val="22"/>
        </w:rPr>
        <w:t xml:space="preserve">In support of this argument, Positive Hope cites to the 2020 </w:t>
      </w:r>
      <w:r w:rsidR="00565B65">
        <w:rPr>
          <w:bCs/>
          <w:i/>
          <w:iCs/>
          <w:color w:val="000000"/>
          <w:szCs w:val="22"/>
        </w:rPr>
        <w:t>Silver State</w:t>
      </w:r>
      <w:r w:rsidRPr="00AC22D6" w:rsidR="00AC22D6">
        <w:rPr>
          <w:bCs/>
          <w:color w:val="000000"/>
          <w:szCs w:val="22"/>
        </w:rPr>
        <w:t xml:space="preserve"> </w:t>
      </w:r>
      <w:r w:rsidR="00B4339F">
        <w:rPr>
          <w:bCs/>
          <w:color w:val="000000"/>
          <w:szCs w:val="22"/>
        </w:rPr>
        <w:t>proceeding</w:t>
      </w:r>
      <w:r w:rsidR="00AC22D6">
        <w:rPr>
          <w:bCs/>
          <w:color w:val="000000"/>
          <w:szCs w:val="22"/>
        </w:rPr>
        <w:t xml:space="preserve">, in which </w:t>
      </w:r>
      <w:r w:rsidR="0089600C">
        <w:rPr>
          <w:bCs/>
          <w:color w:val="000000"/>
          <w:szCs w:val="22"/>
        </w:rPr>
        <w:t>Bureau</w:t>
      </w:r>
      <w:r w:rsidRPr="00AC22D6" w:rsidR="0089600C">
        <w:rPr>
          <w:bCs/>
          <w:color w:val="000000"/>
          <w:szCs w:val="22"/>
        </w:rPr>
        <w:t xml:space="preserve"> </w:t>
      </w:r>
      <w:r w:rsidR="00B4339F">
        <w:rPr>
          <w:bCs/>
          <w:color w:val="000000"/>
          <w:szCs w:val="22"/>
        </w:rPr>
        <w:t xml:space="preserve">staff </w:t>
      </w:r>
      <w:r w:rsidR="00AC22D6">
        <w:rPr>
          <w:bCs/>
          <w:color w:val="000000"/>
          <w:szCs w:val="22"/>
        </w:rPr>
        <w:t>determined that a</w:t>
      </w:r>
      <w:r w:rsidRPr="00AC22D6" w:rsidR="00AC22D6">
        <w:rPr>
          <w:bCs/>
          <w:color w:val="000000"/>
          <w:szCs w:val="22"/>
        </w:rPr>
        <w:t xml:space="preserve"> cancelled station’s frequency </w:t>
      </w:r>
      <w:r w:rsidR="00AC22D6">
        <w:rPr>
          <w:bCs/>
          <w:color w:val="000000"/>
          <w:szCs w:val="22"/>
        </w:rPr>
        <w:t xml:space="preserve">was not available for section </w:t>
      </w:r>
      <w:r w:rsidR="00AC22D6">
        <w:t>74.1233(a)(1)(</w:t>
      </w:r>
      <w:r w:rsidR="00AC22D6">
        <w:t>i</w:t>
      </w:r>
      <w:r w:rsidR="00AC22D6">
        <w:t>)(A)(2) purposes</w:t>
      </w:r>
      <w:r w:rsidR="00AC22D6">
        <w:rPr>
          <w:bCs/>
          <w:color w:val="000000"/>
          <w:szCs w:val="22"/>
        </w:rPr>
        <w:t xml:space="preserve"> </w:t>
      </w:r>
      <w:r w:rsidR="002E08A4">
        <w:rPr>
          <w:bCs/>
          <w:color w:val="000000"/>
          <w:szCs w:val="22"/>
        </w:rPr>
        <w:t>during</w:t>
      </w:r>
      <w:r w:rsidRPr="00AC22D6" w:rsidR="00AC22D6">
        <w:rPr>
          <w:bCs/>
          <w:color w:val="000000"/>
          <w:szCs w:val="22"/>
        </w:rPr>
        <w:t xml:space="preserve"> the appeal process.</w:t>
      </w:r>
      <w:r>
        <w:rPr>
          <w:rStyle w:val="FootnoteReference"/>
          <w:bCs/>
          <w:szCs w:val="22"/>
        </w:rPr>
        <w:footnoteReference w:id="31"/>
      </w:r>
      <w:r w:rsidRPr="00AC22D6" w:rsidR="00AC22D6">
        <w:rPr>
          <w:bCs/>
          <w:color w:val="000000"/>
          <w:szCs w:val="22"/>
        </w:rPr>
        <w:t xml:space="preserve"> </w:t>
      </w:r>
      <w:r w:rsidR="0085159B">
        <w:rPr>
          <w:bCs/>
          <w:color w:val="000000"/>
          <w:szCs w:val="22"/>
        </w:rPr>
        <w:t xml:space="preserve"> In the Opposition, Family </w:t>
      </w:r>
      <w:r w:rsidR="0074593D">
        <w:rPr>
          <w:bCs/>
          <w:color w:val="000000"/>
          <w:szCs w:val="22"/>
        </w:rPr>
        <w:t>respond</w:t>
      </w:r>
      <w:r w:rsidR="0085159B">
        <w:rPr>
          <w:bCs/>
          <w:color w:val="000000"/>
          <w:szCs w:val="22"/>
        </w:rPr>
        <w:t xml:space="preserve">s that the Commission is not bound by the Bureau’s reasoning in </w:t>
      </w:r>
      <w:r w:rsidR="00B4339F">
        <w:rPr>
          <w:bCs/>
          <w:i/>
          <w:iCs/>
          <w:color w:val="000000"/>
          <w:szCs w:val="22"/>
        </w:rPr>
        <w:t>Silver State</w:t>
      </w:r>
      <w:r w:rsidR="0085159B">
        <w:rPr>
          <w:bCs/>
          <w:color w:val="000000"/>
          <w:szCs w:val="22"/>
        </w:rPr>
        <w:t xml:space="preserve">, that </w:t>
      </w:r>
      <w:r w:rsidR="00B4339F">
        <w:rPr>
          <w:bCs/>
          <w:i/>
          <w:iCs/>
          <w:color w:val="000000"/>
          <w:szCs w:val="22"/>
        </w:rPr>
        <w:t>Silver State</w:t>
      </w:r>
      <w:r w:rsidRPr="00AC22D6" w:rsidR="00B4339F">
        <w:rPr>
          <w:bCs/>
          <w:color w:val="000000"/>
          <w:szCs w:val="22"/>
        </w:rPr>
        <w:t xml:space="preserve"> </w:t>
      </w:r>
      <w:r w:rsidR="0085159B">
        <w:rPr>
          <w:bCs/>
          <w:color w:val="000000"/>
          <w:szCs w:val="22"/>
        </w:rPr>
        <w:t>was wrongly decided, and that the two cases are distinguishable on the facts.</w:t>
      </w:r>
      <w:r>
        <w:rPr>
          <w:rStyle w:val="FootnoteReference"/>
          <w:bCs/>
          <w:szCs w:val="22"/>
        </w:rPr>
        <w:footnoteReference w:id="32"/>
      </w:r>
      <w:r w:rsidR="000A5061">
        <w:rPr>
          <w:bCs/>
          <w:color w:val="000000"/>
          <w:szCs w:val="22"/>
        </w:rPr>
        <w:t xml:space="preserve">  Family also </w:t>
      </w:r>
      <w:r w:rsidR="0074593D">
        <w:rPr>
          <w:bCs/>
          <w:color w:val="000000"/>
          <w:szCs w:val="22"/>
        </w:rPr>
        <w:t>relies on</w:t>
      </w:r>
      <w:r w:rsidR="000A5061">
        <w:rPr>
          <w:bCs/>
          <w:color w:val="000000"/>
          <w:szCs w:val="22"/>
        </w:rPr>
        <w:t xml:space="preserve"> the general proposition that non-hearing decisions taken pursuant to delegated authority are effective unless stayed </w:t>
      </w:r>
      <w:r w:rsidR="000A5061">
        <w:rPr>
          <w:bCs/>
          <w:color w:val="000000"/>
          <w:szCs w:val="22"/>
        </w:rPr>
        <w:t>(in this case, upon public notice of the cancellation).</w:t>
      </w:r>
      <w:r>
        <w:rPr>
          <w:rStyle w:val="FootnoteReference"/>
          <w:bCs/>
          <w:szCs w:val="22"/>
        </w:rPr>
        <w:footnoteReference w:id="33"/>
      </w:r>
      <w:r w:rsidR="000A5061">
        <w:rPr>
          <w:bCs/>
          <w:color w:val="000000"/>
          <w:szCs w:val="22"/>
        </w:rPr>
        <w:t xml:space="preserve">  In </w:t>
      </w:r>
      <w:r w:rsidR="0074593D">
        <w:rPr>
          <w:bCs/>
          <w:color w:val="000000"/>
          <w:szCs w:val="22"/>
        </w:rPr>
        <w:t>its Reply</w:t>
      </w:r>
      <w:r w:rsidR="000A5061">
        <w:rPr>
          <w:bCs/>
          <w:color w:val="000000"/>
          <w:szCs w:val="22"/>
        </w:rPr>
        <w:t>, Positive Hope argues that Family</w:t>
      </w:r>
      <w:r w:rsidR="002E08A4">
        <w:rPr>
          <w:bCs/>
          <w:color w:val="000000"/>
          <w:szCs w:val="22"/>
        </w:rPr>
        <w:t xml:space="preserve"> </w:t>
      </w:r>
      <w:r w:rsidR="00345235">
        <w:rPr>
          <w:bCs/>
          <w:color w:val="000000"/>
          <w:szCs w:val="22"/>
        </w:rPr>
        <w:t>relies on</w:t>
      </w:r>
      <w:r w:rsidR="002E08A4">
        <w:rPr>
          <w:bCs/>
          <w:color w:val="000000"/>
          <w:szCs w:val="22"/>
        </w:rPr>
        <w:t xml:space="preserve"> case law that does not involve a </w:t>
      </w:r>
      <w:r w:rsidR="008D0C13">
        <w:rPr>
          <w:bCs/>
          <w:color w:val="000000"/>
          <w:szCs w:val="22"/>
        </w:rPr>
        <w:t>cancelled license</w:t>
      </w:r>
      <w:r w:rsidR="002E08A4">
        <w:rPr>
          <w:bCs/>
          <w:color w:val="000000"/>
          <w:szCs w:val="22"/>
        </w:rPr>
        <w:t>, as here</w:t>
      </w:r>
      <w:r w:rsidR="008D0C13">
        <w:rPr>
          <w:bCs/>
          <w:color w:val="000000"/>
          <w:szCs w:val="22"/>
        </w:rPr>
        <w:t>.</w:t>
      </w:r>
      <w:r>
        <w:rPr>
          <w:rStyle w:val="FootnoteReference"/>
          <w:bCs/>
          <w:szCs w:val="22"/>
        </w:rPr>
        <w:footnoteReference w:id="34"/>
      </w:r>
      <w:bookmarkEnd w:id="3"/>
    </w:p>
    <w:p w:rsidR="0043159D" w:rsidP="0043159D" w14:paraId="2E563D1D" w14:textId="77777777">
      <w:pPr>
        <w:pStyle w:val="Heading1"/>
        <w:rPr>
          <w:bCs/>
          <w:color w:val="000000"/>
          <w:szCs w:val="22"/>
        </w:rPr>
      </w:pPr>
      <w:r w:rsidRPr="0043159D">
        <w:rPr>
          <w:snapToGrid/>
        </w:rPr>
        <w:t>Discussion</w:t>
      </w:r>
    </w:p>
    <w:p w:rsidR="000F6A44" w:rsidRPr="0043159D" w:rsidP="0043159D" w14:paraId="18102F02" w14:textId="4AF4D9D9">
      <w:pPr>
        <w:pStyle w:val="ParaNum"/>
        <w:rPr>
          <w:bCs/>
          <w:color w:val="000000"/>
          <w:szCs w:val="22"/>
        </w:rPr>
      </w:pPr>
      <w:r w:rsidRPr="0043159D">
        <w:rPr>
          <w:snapToGrid/>
        </w:rPr>
        <w:t xml:space="preserve">We </w:t>
      </w:r>
      <w:r w:rsidRPr="0043159D" w:rsidR="000B1C87">
        <w:rPr>
          <w:snapToGrid/>
        </w:rPr>
        <w:t xml:space="preserve">dismiss </w:t>
      </w:r>
      <w:r w:rsidRPr="0043159D" w:rsidR="00F40E68">
        <w:rPr>
          <w:snapToGrid/>
        </w:rPr>
        <w:t>one of the</w:t>
      </w:r>
      <w:r w:rsidRPr="0043159D" w:rsidR="00ED53AC">
        <w:rPr>
          <w:snapToGrid/>
        </w:rPr>
        <w:t xml:space="preserve"> </w:t>
      </w:r>
      <w:r w:rsidRPr="0043159D">
        <w:rPr>
          <w:snapToGrid/>
        </w:rPr>
        <w:t xml:space="preserve">arguments made in the Application for Review </w:t>
      </w:r>
      <w:r w:rsidRPr="0043159D" w:rsidR="000B1C87">
        <w:rPr>
          <w:snapToGrid/>
        </w:rPr>
        <w:t xml:space="preserve">on procedural grounds </w:t>
      </w:r>
      <w:r w:rsidRPr="0043159D">
        <w:rPr>
          <w:snapToGrid/>
        </w:rPr>
        <w:t>and</w:t>
      </w:r>
      <w:r w:rsidRPr="0043159D" w:rsidR="00DB6F9C">
        <w:rPr>
          <w:snapToGrid/>
        </w:rPr>
        <w:t>, as a separate and independent ground for disposal,</w:t>
      </w:r>
      <w:r w:rsidRPr="0043159D">
        <w:rPr>
          <w:snapToGrid/>
        </w:rPr>
        <w:t xml:space="preserve"> </w:t>
      </w:r>
      <w:r w:rsidRPr="0043159D" w:rsidR="000B1C87">
        <w:rPr>
          <w:snapToGrid/>
        </w:rPr>
        <w:t>deny all of them</w:t>
      </w:r>
      <w:r w:rsidRPr="0043159D">
        <w:rPr>
          <w:snapToGrid/>
        </w:rPr>
        <w:t xml:space="preserve">.  </w:t>
      </w:r>
      <w:r w:rsidRPr="0043159D" w:rsidR="00974792">
        <w:rPr>
          <w:snapToGrid/>
        </w:rPr>
        <w:t>A</w:t>
      </w:r>
      <w:r w:rsidRPr="0043159D" w:rsidR="003D3223">
        <w:rPr>
          <w:snapToGrid/>
        </w:rPr>
        <w:t xml:space="preserve">n application for review of a final action taken on </w:t>
      </w:r>
      <w:r w:rsidRPr="0043159D" w:rsidR="003D3223">
        <w:rPr>
          <w:bCs/>
          <w:color w:val="000000"/>
          <w:szCs w:val="22"/>
        </w:rPr>
        <w:t>delegated</w:t>
      </w:r>
      <w:r w:rsidRPr="0043159D" w:rsidR="003D3223">
        <w:rPr>
          <w:snapToGrid/>
        </w:rPr>
        <w:t xml:space="preserve"> authority </w:t>
      </w:r>
      <w:r w:rsidRPr="0043159D" w:rsidR="00974792">
        <w:rPr>
          <w:snapToGrid/>
        </w:rPr>
        <w:t xml:space="preserve">will be granted </w:t>
      </w:r>
      <w:r w:rsidRPr="0043159D" w:rsidR="003D3223">
        <w:rPr>
          <w:snapToGrid/>
        </w:rPr>
        <w:t>when</w:t>
      </w:r>
      <w:r w:rsidRPr="0043159D" w:rsidR="00DB6F9C">
        <w:rPr>
          <w:snapToGrid/>
        </w:rPr>
        <w:t xml:space="preserve">, </w:t>
      </w:r>
      <w:r w:rsidRPr="0043159D" w:rsidR="00DB6F9C">
        <w:rPr>
          <w:i/>
          <w:iCs/>
          <w:snapToGrid/>
        </w:rPr>
        <w:t>inter alia</w:t>
      </w:r>
      <w:r w:rsidRPr="0043159D" w:rsidR="00DB6F9C">
        <w:rPr>
          <w:snapToGrid/>
        </w:rPr>
        <w:t>,</w:t>
      </w:r>
      <w:r w:rsidRPr="0043159D" w:rsidR="003D3223">
        <w:rPr>
          <w:snapToGrid/>
        </w:rPr>
        <w:t xml:space="preserve"> such action</w:t>
      </w:r>
      <w:r w:rsidRPr="0043159D">
        <w:rPr>
          <w:snapToGrid/>
        </w:rPr>
        <w:t>:</w:t>
      </w:r>
      <w:r w:rsidRPr="0043159D" w:rsidR="003D3223">
        <w:rPr>
          <w:snapToGrid/>
        </w:rPr>
        <w:t xml:space="preserve"> conflicts with statute, regulation, precedent or established Commission policy; involves application of a precedent or policy that should be overturned; or makes an erroneous finding as to an important or material factual question.</w:t>
      </w:r>
      <w:r>
        <w:rPr>
          <w:rStyle w:val="FootnoteReference"/>
          <w:snapToGrid/>
        </w:rPr>
        <w:footnoteReference w:id="35"/>
      </w:r>
      <w:r w:rsidRPr="0043159D" w:rsidR="00104841">
        <w:rPr>
          <w:snapToGrid/>
        </w:rPr>
        <w:t xml:space="preserve">  </w:t>
      </w:r>
      <w:r w:rsidR="00033261">
        <w:t xml:space="preserve">The Commission’s </w:t>
      </w:r>
      <w:r w:rsidRPr="00CD0034" w:rsidR="00EA5A25">
        <w:t>R</w:t>
      </w:r>
      <w:r w:rsidR="00033261">
        <w:t xml:space="preserve">ules do not permit </w:t>
      </w:r>
      <w:r w:rsidR="00974792">
        <w:t xml:space="preserve"> the</w:t>
      </w:r>
      <w:r w:rsidR="00033261">
        <w:t xml:space="preserve"> grant </w:t>
      </w:r>
      <w:r w:rsidR="00974792">
        <w:t xml:space="preserve">of </w:t>
      </w:r>
      <w:r w:rsidR="00033261">
        <w:t>an application for review “if it relies on questions of fact or law upon which the designated authority has been afforded no opportunity to pass.”</w:t>
      </w:r>
      <w:r>
        <w:rPr>
          <w:rStyle w:val="FootnoteReference"/>
        </w:rPr>
        <w:footnoteReference w:id="36"/>
      </w:r>
      <w:r w:rsidR="00033261">
        <w:t xml:space="preserve">  </w:t>
      </w:r>
    </w:p>
    <w:p w:rsidR="00AE4A66" w:rsidP="00651494" w14:paraId="301F92FF" w14:textId="77777777">
      <w:pPr>
        <w:pStyle w:val="ParaNum"/>
        <w:rPr>
          <w:snapToGrid/>
        </w:rPr>
      </w:pPr>
      <w:bookmarkStart w:id="6" w:name="_Hlk87982933"/>
      <w:r>
        <w:rPr>
          <w:bCs/>
          <w:i/>
          <w:iCs/>
          <w:color w:val="000000"/>
          <w:szCs w:val="22"/>
        </w:rPr>
        <w:t xml:space="preserve">Timeliness of the Family Petition. </w:t>
      </w:r>
      <w:r w:rsidR="00614C01">
        <w:rPr>
          <w:bCs/>
          <w:i/>
          <w:iCs/>
          <w:color w:val="000000"/>
          <w:szCs w:val="22"/>
        </w:rPr>
        <w:t xml:space="preserve"> </w:t>
      </w:r>
      <w:r w:rsidR="00614C01">
        <w:rPr>
          <w:bCs/>
          <w:color w:val="000000"/>
          <w:szCs w:val="22"/>
        </w:rPr>
        <w:t xml:space="preserve">We dismiss and, as a separate and independent ground for disposal, deny Positive Hope’s </w:t>
      </w:r>
      <w:r w:rsidRPr="000F6A44" w:rsidR="00614C01">
        <w:rPr>
          <w:bCs/>
          <w:color w:val="000000"/>
          <w:szCs w:val="22"/>
        </w:rPr>
        <w:t>argument that the Family Petition was untimely</w:t>
      </w:r>
      <w:r w:rsidR="00746CA8">
        <w:rPr>
          <w:bCs/>
          <w:color w:val="000000"/>
          <w:szCs w:val="22"/>
        </w:rPr>
        <w:t xml:space="preserve"> </w:t>
      </w:r>
      <w:r w:rsidRPr="000F6A44" w:rsidR="00614C01">
        <w:rPr>
          <w:bCs/>
          <w:color w:val="000000"/>
          <w:szCs w:val="22"/>
        </w:rPr>
        <w:t xml:space="preserve">filed under section 1.106(f) of the </w:t>
      </w:r>
      <w:r w:rsidRPr="00CD0034" w:rsidR="00F71A7E">
        <w:rPr>
          <w:bCs/>
          <w:color w:val="000000"/>
          <w:szCs w:val="22"/>
        </w:rPr>
        <w:t>R</w:t>
      </w:r>
      <w:r w:rsidRPr="00746CA8" w:rsidR="00614C01">
        <w:rPr>
          <w:bCs/>
          <w:color w:val="000000"/>
          <w:szCs w:val="22"/>
        </w:rPr>
        <w:t>ules.</w:t>
      </w:r>
      <w:r>
        <w:rPr>
          <w:rStyle w:val="FootnoteReference"/>
          <w:bCs/>
          <w:szCs w:val="22"/>
        </w:rPr>
        <w:footnoteReference w:id="37"/>
      </w:r>
      <w:r w:rsidRPr="00746CA8" w:rsidR="00614C01">
        <w:rPr>
          <w:bCs/>
          <w:color w:val="000000"/>
          <w:szCs w:val="22"/>
        </w:rPr>
        <w:t xml:space="preserve">  </w:t>
      </w:r>
      <w:r w:rsidR="001705D4">
        <w:rPr>
          <w:bCs/>
          <w:color w:val="000000"/>
          <w:szCs w:val="22"/>
        </w:rPr>
        <w:t>Positive Hope did not present t</w:t>
      </w:r>
      <w:r w:rsidRPr="00746CA8" w:rsidR="00614C01">
        <w:rPr>
          <w:bCs/>
          <w:color w:val="000000"/>
          <w:szCs w:val="22"/>
        </w:rPr>
        <w:t>his</w:t>
      </w:r>
      <w:r w:rsidR="00614C01">
        <w:rPr>
          <w:bCs/>
          <w:color w:val="000000"/>
          <w:szCs w:val="22"/>
        </w:rPr>
        <w:t xml:space="preserve"> argument </w:t>
      </w:r>
      <w:r w:rsidR="00D229C0">
        <w:t>to the Bureau</w:t>
      </w:r>
      <w:r w:rsidR="00614C01">
        <w:rPr>
          <w:bCs/>
          <w:color w:val="000000"/>
          <w:szCs w:val="22"/>
        </w:rPr>
        <w:t xml:space="preserve">.  </w:t>
      </w:r>
      <w:r w:rsidR="00183DB7">
        <w:t>Therefore, we dismiss this argument on procedural grounds.</w:t>
      </w:r>
      <w:r>
        <w:rPr>
          <w:rStyle w:val="FootnoteReference"/>
        </w:rPr>
        <w:footnoteReference w:id="38"/>
      </w:r>
      <w:r w:rsidR="00183DB7">
        <w:t xml:space="preserve">  </w:t>
      </w:r>
      <w:r w:rsidR="00614C01">
        <w:rPr>
          <w:bCs/>
          <w:color w:val="000000"/>
          <w:szCs w:val="22"/>
        </w:rPr>
        <w:t xml:space="preserve">On the merits, we </w:t>
      </w:r>
      <w:r w:rsidR="00B74438">
        <w:rPr>
          <w:bCs/>
          <w:color w:val="000000"/>
          <w:szCs w:val="22"/>
        </w:rPr>
        <w:t xml:space="preserve">find that </w:t>
      </w:r>
      <w:r w:rsidR="00B56289">
        <w:rPr>
          <w:bCs/>
          <w:color w:val="000000"/>
          <w:szCs w:val="22"/>
        </w:rPr>
        <w:t>the Family Pe</w:t>
      </w:r>
      <w:r w:rsidR="000A00F1">
        <w:rPr>
          <w:bCs/>
          <w:color w:val="000000"/>
          <w:szCs w:val="22"/>
        </w:rPr>
        <w:t xml:space="preserve">tition was timely filed.  </w:t>
      </w:r>
      <w:r w:rsidR="00D1059D">
        <w:rPr>
          <w:bCs/>
          <w:color w:val="000000"/>
          <w:szCs w:val="22"/>
        </w:rPr>
        <w:t xml:space="preserve">A petition for reconsideration must be filed </w:t>
      </w:r>
      <w:r w:rsidR="00D1059D">
        <w:t xml:space="preserve">within 30 days of public notice of the action taken, which in this case would be </w:t>
      </w:r>
      <w:r w:rsidR="00BF49A5">
        <w:t>on or before</w:t>
      </w:r>
      <w:r w:rsidR="00D1059D">
        <w:t xml:space="preserve"> </w:t>
      </w:r>
      <w:r w:rsidR="00D1059D">
        <w:rPr>
          <w:bCs/>
          <w:color w:val="000000"/>
          <w:szCs w:val="22"/>
        </w:rPr>
        <w:t>September 6, 2019</w:t>
      </w:r>
      <w:r w:rsidR="00D1059D">
        <w:t>.</w:t>
      </w:r>
      <w:r>
        <w:rPr>
          <w:rStyle w:val="FootnoteReference"/>
        </w:rPr>
        <w:footnoteReference w:id="39"/>
      </w:r>
      <w:r w:rsidR="00D1059D">
        <w:t xml:space="preserve"> </w:t>
      </w:r>
      <w:r w:rsidR="00D1059D">
        <w:rPr>
          <w:bCs/>
          <w:color w:val="000000"/>
          <w:szCs w:val="22"/>
        </w:rPr>
        <w:t xml:space="preserve"> </w:t>
      </w:r>
      <w:r w:rsidR="009956EC">
        <w:rPr>
          <w:bCs/>
          <w:color w:val="000000"/>
          <w:szCs w:val="22"/>
        </w:rPr>
        <w:t xml:space="preserve">The applicable rule section </w:t>
      </w:r>
      <w:r w:rsidRPr="00CD0034" w:rsidR="001D0BFE">
        <w:rPr>
          <w:bCs/>
          <w:color w:val="000000"/>
          <w:szCs w:val="22"/>
        </w:rPr>
        <w:t>for determining when Family filed the Pe</w:t>
      </w:r>
      <w:r w:rsidRPr="00CD0034" w:rsidR="00250216">
        <w:rPr>
          <w:bCs/>
          <w:color w:val="000000"/>
          <w:szCs w:val="22"/>
        </w:rPr>
        <w:t xml:space="preserve">tition </w:t>
      </w:r>
      <w:r w:rsidRPr="00CD0034" w:rsidR="009956EC">
        <w:rPr>
          <w:bCs/>
          <w:color w:val="000000"/>
          <w:szCs w:val="22"/>
        </w:rPr>
        <w:t>is</w:t>
      </w:r>
      <w:r w:rsidR="009956EC">
        <w:rPr>
          <w:bCs/>
          <w:color w:val="000000"/>
          <w:szCs w:val="22"/>
        </w:rPr>
        <w:t xml:space="preserve"> s</w:t>
      </w:r>
      <w:r w:rsidR="00287517">
        <w:rPr>
          <w:bCs/>
          <w:color w:val="000000"/>
          <w:szCs w:val="22"/>
        </w:rPr>
        <w:t>ection 1.4(f)</w:t>
      </w:r>
      <w:r w:rsidR="009956EC">
        <w:rPr>
          <w:bCs/>
          <w:color w:val="000000"/>
          <w:szCs w:val="22"/>
        </w:rPr>
        <w:t>, which</w:t>
      </w:r>
      <w:r w:rsidR="00287517">
        <w:rPr>
          <w:bCs/>
          <w:color w:val="000000"/>
          <w:szCs w:val="22"/>
        </w:rPr>
        <w:t xml:space="preserve"> states that electronically filed documents must be received by the electronic filing system before midnight on the filing date.</w:t>
      </w:r>
      <w:r>
        <w:rPr>
          <w:rStyle w:val="FootnoteReference"/>
          <w:bCs/>
          <w:szCs w:val="22"/>
        </w:rPr>
        <w:footnoteReference w:id="40"/>
      </w:r>
      <w:r w:rsidR="00287517">
        <w:rPr>
          <w:bCs/>
          <w:color w:val="000000"/>
          <w:szCs w:val="22"/>
        </w:rPr>
        <w:t xml:space="preserve">  </w:t>
      </w:r>
      <w:r w:rsidR="000A00F1">
        <w:rPr>
          <w:bCs/>
          <w:color w:val="000000"/>
          <w:szCs w:val="22"/>
        </w:rPr>
        <w:t>T</w:t>
      </w:r>
      <w:r w:rsidR="00614C01">
        <w:rPr>
          <w:bCs/>
          <w:color w:val="000000"/>
          <w:szCs w:val="22"/>
        </w:rPr>
        <w:t>h</w:t>
      </w:r>
      <w:r w:rsidR="00786161">
        <w:rPr>
          <w:bCs/>
          <w:color w:val="000000"/>
          <w:szCs w:val="22"/>
        </w:rPr>
        <w:t>is</w:t>
      </w:r>
      <w:r w:rsidRPr="000F6A44" w:rsidR="00FB1858">
        <w:rPr>
          <w:bCs/>
          <w:color w:val="000000"/>
          <w:szCs w:val="22"/>
        </w:rPr>
        <w:t xml:space="preserve"> “Filed Date” for the Family Petition is recorded in t</w:t>
      </w:r>
      <w:r w:rsidRPr="000F6A44" w:rsidR="007B72D7">
        <w:rPr>
          <w:bCs/>
          <w:color w:val="000000"/>
          <w:szCs w:val="22"/>
        </w:rPr>
        <w:t xml:space="preserve">he </w:t>
      </w:r>
      <w:r w:rsidR="00A40EC7">
        <w:rPr>
          <w:bCs/>
          <w:color w:val="000000"/>
          <w:szCs w:val="22"/>
        </w:rPr>
        <w:t>Bureau’s</w:t>
      </w:r>
      <w:r w:rsidRPr="000F6A44" w:rsidR="00830C58">
        <w:rPr>
          <w:bCs/>
          <w:color w:val="000000"/>
          <w:szCs w:val="22"/>
        </w:rPr>
        <w:t xml:space="preserve"> Consolidated Data</w:t>
      </w:r>
      <w:r w:rsidR="00FB1060">
        <w:rPr>
          <w:bCs/>
          <w:color w:val="000000"/>
          <w:szCs w:val="22"/>
        </w:rPr>
        <w:t>b</w:t>
      </w:r>
      <w:r w:rsidRPr="000F6A44" w:rsidR="00830C58">
        <w:rPr>
          <w:bCs/>
          <w:color w:val="000000"/>
          <w:szCs w:val="22"/>
        </w:rPr>
        <w:t>ase System (</w:t>
      </w:r>
      <w:r w:rsidRPr="000F6A44" w:rsidR="003D5EC0">
        <w:rPr>
          <w:bCs/>
          <w:color w:val="000000"/>
          <w:szCs w:val="22"/>
        </w:rPr>
        <w:t>CDBS</w:t>
      </w:r>
      <w:r w:rsidRPr="000F6A44" w:rsidR="00830C58">
        <w:rPr>
          <w:bCs/>
          <w:color w:val="000000"/>
          <w:szCs w:val="22"/>
        </w:rPr>
        <w:t>)</w:t>
      </w:r>
      <w:r w:rsidRPr="000F6A44" w:rsidR="007B72D7">
        <w:rPr>
          <w:bCs/>
          <w:color w:val="000000"/>
          <w:szCs w:val="22"/>
        </w:rPr>
        <w:t xml:space="preserve"> under “Legal Action Information” </w:t>
      </w:r>
      <w:r w:rsidRPr="000F6A44" w:rsidR="00FB1858">
        <w:rPr>
          <w:bCs/>
          <w:color w:val="000000"/>
          <w:szCs w:val="22"/>
        </w:rPr>
        <w:t>as</w:t>
      </w:r>
      <w:r w:rsidRPr="000F6A44" w:rsidR="0025745B">
        <w:rPr>
          <w:bCs/>
          <w:color w:val="000000"/>
          <w:szCs w:val="22"/>
        </w:rPr>
        <w:t xml:space="preserve"> September 6</w:t>
      </w:r>
      <w:r w:rsidRPr="000F6A44" w:rsidR="007B72D7">
        <w:rPr>
          <w:bCs/>
          <w:color w:val="000000"/>
          <w:szCs w:val="22"/>
        </w:rPr>
        <w:t>, 2019</w:t>
      </w:r>
      <w:r w:rsidR="00E8710A">
        <w:rPr>
          <w:bCs/>
          <w:color w:val="000000"/>
          <w:szCs w:val="22"/>
        </w:rPr>
        <w:t xml:space="preserve">.  </w:t>
      </w:r>
      <w:r w:rsidRPr="000F6A44" w:rsidR="001A0B51">
        <w:rPr>
          <w:bCs/>
          <w:color w:val="000000"/>
          <w:szCs w:val="22"/>
        </w:rPr>
        <w:t>Th</w:t>
      </w:r>
      <w:r w:rsidR="00786161">
        <w:rPr>
          <w:bCs/>
          <w:color w:val="000000"/>
          <w:szCs w:val="22"/>
        </w:rPr>
        <w:t>e</w:t>
      </w:r>
      <w:r w:rsidR="003D7ADB">
        <w:rPr>
          <w:bCs/>
          <w:color w:val="000000"/>
          <w:szCs w:val="22"/>
        </w:rPr>
        <w:t xml:space="preserve"> filing date </w:t>
      </w:r>
      <w:r w:rsidRPr="000F6A44" w:rsidR="001A0B51">
        <w:rPr>
          <w:bCs/>
          <w:color w:val="000000"/>
          <w:szCs w:val="22"/>
        </w:rPr>
        <w:t xml:space="preserve">is </w:t>
      </w:r>
      <w:r w:rsidR="00D1059D">
        <w:rPr>
          <w:bCs/>
          <w:color w:val="000000"/>
          <w:szCs w:val="22"/>
        </w:rPr>
        <w:t xml:space="preserve">also reflected </w:t>
      </w:r>
      <w:r w:rsidR="003D7ADB">
        <w:rPr>
          <w:bCs/>
          <w:color w:val="000000"/>
          <w:szCs w:val="22"/>
        </w:rPr>
        <w:t>in CDBS</w:t>
      </w:r>
      <w:r w:rsidRPr="000F6A44" w:rsidR="001A0B51">
        <w:rPr>
          <w:bCs/>
          <w:color w:val="000000"/>
          <w:szCs w:val="22"/>
        </w:rPr>
        <w:t xml:space="preserve"> </w:t>
      </w:r>
      <w:r w:rsidRPr="000F6A44" w:rsidR="007B72D7">
        <w:rPr>
          <w:bCs/>
          <w:color w:val="000000"/>
          <w:szCs w:val="22"/>
        </w:rPr>
        <w:t>as the “</w:t>
      </w:r>
      <w:r w:rsidRPr="000F6A44" w:rsidR="004C0334">
        <w:rPr>
          <w:bCs/>
          <w:color w:val="000000"/>
          <w:szCs w:val="22"/>
        </w:rPr>
        <w:t>A</w:t>
      </w:r>
      <w:r w:rsidRPr="000F6A44" w:rsidR="007B72D7">
        <w:rPr>
          <w:bCs/>
          <w:color w:val="000000"/>
          <w:szCs w:val="22"/>
        </w:rPr>
        <w:t xml:space="preserve">mendment </w:t>
      </w:r>
      <w:r w:rsidRPr="000F6A44" w:rsidR="004C0334">
        <w:rPr>
          <w:bCs/>
          <w:color w:val="000000"/>
          <w:szCs w:val="22"/>
        </w:rPr>
        <w:t>R</w:t>
      </w:r>
      <w:r w:rsidRPr="000F6A44" w:rsidR="007B72D7">
        <w:rPr>
          <w:bCs/>
          <w:color w:val="000000"/>
          <w:szCs w:val="22"/>
        </w:rPr>
        <w:t xml:space="preserve">eceived </w:t>
      </w:r>
      <w:r w:rsidRPr="000F6A44" w:rsidR="004C0334">
        <w:rPr>
          <w:bCs/>
          <w:color w:val="000000"/>
          <w:szCs w:val="22"/>
        </w:rPr>
        <w:t>D</w:t>
      </w:r>
      <w:r w:rsidRPr="000F6A44" w:rsidR="007B72D7">
        <w:rPr>
          <w:bCs/>
          <w:color w:val="000000"/>
          <w:szCs w:val="22"/>
        </w:rPr>
        <w:t xml:space="preserve">ate” for the </w:t>
      </w:r>
      <w:r w:rsidR="00786161">
        <w:rPr>
          <w:bCs/>
          <w:color w:val="000000"/>
          <w:szCs w:val="22"/>
        </w:rPr>
        <w:t xml:space="preserve">simultaneously filed </w:t>
      </w:r>
      <w:r w:rsidR="00386FAD">
        <w:rPr>
          <w:bCs/>
          <w:color w:val="000000"/>
          <w:szCs w:val="22"/>
        </w:rPr>
        <w:t>Amended Translator Application</w:t>
      </w:r>
      <w:r w:rsidR="0003756D">
        <w:rPr>
          <w:bCs/>
          <w:color w:val="000000"/>
          <w:szCs w:val="22"/>
        </w:rPr>
        <w:t xml:space="preserve"> and </w:t>
      </w:r>
      <w:r w:rsidR="00846FE3">
        <w:rPr>
          <w:bCs/>
          <w:color w:val="000000"/>
          <w:szCs w:val="22"/>
        </w:rPr>
        <w:t>again in</w:t>
      </w:r>
      <w:r w:rsidRPr="000F6A44" w:rsidR="00846FE3">
        <w:rPr>
          <w:bCs/>
          <w:color w:val="000000"/>
          <w:szCs w:val="22"/>
        </w:rPr>
        <w:t xml:space="preserve"> </w:t>
      </w:r>
      <w:r w:rsidRPr="000F6A44" w:rsidR="00F25691">
        <w:rPr>
          <w:bCs/>
          <w:color w:val="000000"/>
          <w:szCs w:val="22"/>
        </w:rPr>
        <w:t xml:space="preserve">the </w:t>
      </w:r>
      <w:r w:rsidR="007758FB">
        <w:t>September 11, 2019,</w:t>
      </w:r>
      <w:r w:rsidR="0003756D">
        <w:rPr>
          <w:bCs/>
          <w:color w:val="000000"/>
          <w:szCs w:val="22"/>
        </w:rPr>
        <w:t xml:space="preserve"> </w:t>
      </w:r>
      <w:r w:rsidRPr="000F6A44" w:rsidR="003D5EC0">
        <w:rPr>
          <w:bCs/>
          <w:color w:val="000000"/>
          <w:szCs w:val="22"/>
        </w:rPr>
        <w:t>public notice</w:t>
      </w:r>
      <w:r w:rsidRPr="000F6A44" w:rsidR="00F25691">
        <w:rPr>
          <w:bCs/>
          <w:color w:val="000000"/>
          <w:szCs w:val="22"/>
        </w:rPr>
        <w:t xml:space="preserve"> </w:t>
      </w:r>
      <w:r w:rsidR="007758FB">
        <w:rPr>
          <w:bCs/>
          <w:color w:val="000000"/>
          <w:szCs w:val="22"/>
        </w:rPr>
        <w:t>announcing</w:t>
      </w:r>
      <w:r w:rsidRPr="000F6A44" w:rsidR="00F25691">
        <w:rPr>
          <w:bCs/>
          <w:color w:val="000000"/>
          <w:szCs w:val="22"/>
        </w:rPr>
        <w:t xml:space="preserve">, </w:t>
      </w:r>
      <w:r w:rsidRPr="000F6A44" w:rsidR="0025745B">
        <w:rPr>
          <w:bCs/>
          <w:color w:val="000000"/>
          <w:szCs w:val="22"/>
        </w:rPr>
        <w:t>“</w:t>
      </w:r>
      <w:r w:rsidRPr="000F6A44" w:rsidR="00F25691">
        <w:rPr>
          <w:bCs/>
          <w:color w:val="000000"/>
          <w:szCs w:val="22"/>
        </w:rPr>
        <w:t>E</w:t>
      </w:r>
      <w:r w:rsidRPr="000F6A44" w:rsidR="0025745B">
        <w:rPr>
          <w:bCs/>
          <w:color w:val="000000"/>
          <w:szCs w:val="22"/>
        </w:rPr>
        <w:t>ngineering amendment filed 09/06/2019.”</w:t>
      </w:r>
      <w:r>
        <w:rPr>
          <w:rStyle w:val="FootnoteReference"/>
          <w:bCs/>
          <w:szCs w:val="22"/>
        </w:rPr>
        <w:footnoteReference w:id="41"/>
      </w:r>
      <w:r w:rsidRPr="000F6A44" w:rsidR="003D5EC0">
        <w:rPr>
          <w:bCs/>
          <w:color w:val="000000"/>
          <w:szCs w:val="22"/>
        </w:rPr>
        <w:t xml:space="preserve"> </w:t>
      </w:r>
      <w:r w:rsidRPr="000F6A44" w:rsidR="0025745B">
        <w:rPr>
          <w:bCs/>
          <w:color w:val="000000"/>
          <w:szCs w:val="22"/>
        </w:rPr>
        <w:t xml:space="preserve"> </w:t>
      </w:r>
      <w:r w:rsidR="00DE4A69">
        <w:rPr>
          <w:bCs/>
          <w:color w:val="000000"/>
          <w:szCs w:val="22"/>
        </w:rPr>
        <w:t>The</w:t>
      </w:r>
      <w:r w:rsidRPr="000F6A44" w:rsidR="00DB7037">
        <w:rPr>
          <w:bCs/>
          <w:color w:val="000000"/>
          <w:szCs w:val="22"/>
        </w:rPr>
        <w:t xml:space="preserve"> “tendered date” </w:t>
      </w:r>
      <w:r w:rsidR="004D602F">
        <w:rPr>
          <w:bCs/>
          <w:color w:val="000000"/>
          <w:szCs w:val="22"/>
        </w:rPr>
        <w:t xml:space="preserve">data field </w:t>
      </w:r>
      <w:r w:rsidRPr="000F6A44" w:rsidR="0073207C">
        <w:rPr>
          <w:bCs/>
          <w:color w:val="000000"/>
          <w:szCs w:val="22"/>
        </w:rPr>
        <w:t>displayed</w:t>
      </w:r>
      <w:r w:rsidRPr="000F6A44" w:rsidR="00830C58">
        <w:rPr>
          <w:bCs/>
          <w:color w:val="000000"/>
          <w:szCs w:val="22"/>
        </w:rPr>
        <w:t xml:space="preserve"> in CDBS</w:t>
      </w:r>
      <w:r w:rsidRPr="000F6A44" w:rsidR="0073207C">
        <w:rPr>
          <w:bCs/>
          <w:color w:val="000000"/>
          <w:szCs w:val="22"/>
        </w:rPr>
        <w:t xml:space="preserve"> </w:t>
      </w:r>
      <w:r w:rsidRPr="000F6A44" w:rsidR="004C0334">
        <w:rPr>
          <w:bCs/>
          <w:color w:val="000000"/>
          <w:szCs w:val="22"/>
        </w:rPr>
        <w:t xml:space="preserve">under “Application Search Details” </w:t>
      </w:r>
      <w:r w:rsidR="00655FB9">
        <w:rPr>
          <w:bCs/>
          <w:color w:val="000000"/>
          <w:szCs w:val="22"/>
        </w:rPr>
        <w:t xml:space="preserve">in this case was </w:t>
      </w:r>
      <w:r w:rsidR="00CA50BF">
        <w:rPr>
          <w:bCs/>
          <w:color w:val="000000"/>
          <w:szCs w:val="22"/>
        </w:rPr>
        <w:t>used</w:t>
      </w:r>
      <w:r w:rsidR="00322263">
        <w:rPr>
          <w:bCs/>
          <w:color w:val="000000"/>
          <w:szCs w:val="22"/>
        </w:rPr>
        <w:t xml:space="preserve"> </w:t>
      </w:r>
      <w:r w:rsidR="00655FB9">
        <w:rPr>
          <w:bCs/>
          <w:color w:val="000000"/>
          <w:szCs w:val="22"/>
        </w:rPr>
        <w:t xml:space="preserve">for internal administrative processing </w:t>
      </w:r>
      <w:r w:rsidR="00410A2C">
        <w:rPr>
          <w:bCs/>
          <w:color w:val="000000"/>
          <w:szCs w:val="22"/>
        </w:rPr>
        <w:t xml:space="preserve">of the application </w:t>
      </w:r>
      <w:r w:rsidR="00655FB9">
        <w:rPr>
          <w:bCs/>
          <w:color w:val="000000"/>
          <w:szCs w:val="22"/>
        </w:rPr>
        <w:t>and</w:t>
      </w:r>
      <w:r w:rsidR="00322263">
        <w:rPr>
          <w:bCs/>
          <w:color w:val="000000"/>
          <w:szCs w:val="22"/>
        </w:rPr>
        <w:t xml:space="preserve">, </w:t>
      </w:r>
      <w:r w:rsidR="005C006C">
        <w:rPr>
          <w:bCs/>
          <w:color w:val="000000"/>
          <w:szCs w:val="22"/>
        </w:rPr>
        <w:t>regardless</w:t>
      </w:r>
      <w:r w:rsidR="00322263">
        <w:rPr>
          <w:bCs/>
          <w:color w:val="000000"/>
          <w:szCs w:val="22"/>
        </w:rPr>
        <w:t>,</w:t>
      </w:r>
      <w:r w:rsidR="00096B12">
        <w:rPr>
          <w:bCs/>
          <w:color w:val="000000"/>
          <w:szCs w:val="22"/>
        </w:rPr>
        <w:t xml:space="preserve"> </w:t>
      </w:r>
      <w:r w:rsidR="00655FB9">
        <w:rPr>
          <w:bCs/>
          <w:color w:val="000000"/>
          <w:szCs w:val="22"/>
        </w:rPr>
        <w:t xml:space="preserve">is </w:t>
      </w:r>
      <w:r w:rsidR="0088632F">
        <w:rPr>
          <w:bCs/>
          <w:color w:val="000000"/>
          <w:szCs w:val="22"/>
        </w:rPr>
        <w:t>irrelevant for section 1.106(f) purposes</w:t>
      </w:r>
      <w:r w:rsidR="00D1059D">
        <w:rPr>
          <w:bCs/>
          <w:color w:val="000000"/>
          <w:szCs w:val="22"/>
        </w:rPr>
        <w:t xml:space="preserve">, as </w:t>
      </w:r>
      <w:r w:rsidR="00217753">
        <w:rPr>
          <w:bCs/>
          <w:color w:val="000000"/>
          <w:szCs w:val="22"/>
        </w:rPr>
        <w:t>this data field</w:t>
      </w:r>
      <w:r w:rsidR="00D1059D">
        <w:rPr>
          <w:bCs/>
          <w:color w:val="000000"/>
          <w:szCs w:val="22"/>
        </w:rPr>
        <w:t xml:space="preserve"> relates only </w:t>
      </w:r>
      <w:r w:rsidRPr="00AE4A66" w:rsidR="00D1059D">
        <w:rPr>
          <w:bCs/>
          <w:color w:val="000000"/>
          <w:szCs w:val="22"/>
        </w:rPr>
        <w:t>to the Amended Translator Application, not the Family Petition</w:t>
      </w:r>
      <w:r w:rsidRPr="00AE4A66" w:rsidR="0088632F">
        <w:rPr>
          <w:bCs/>
          <w:color w:val="000000"/>
          <w:szCs w:val="22"/>
        </w:rPr>
        <w:t xml:space="preserve">.  </w:t>
      </w:r>
      <w:r w:rsidRPr="00AE4A66" w:rsidR="00BF49A5">
        <w:rPr>
          <w:bCs/>
          <w:color w:val="000000"/>
          <w:szCs w:val="22"/>
        </w:rPr>
        <w:t xml:space="preserve">In any </w:t>
      </w:r>
      <w:r w:rsidRPr="00AE4A66" w:rsidR="007B1859">
        <w:rPr>
          <w:bCs/>
          <w:color w:val="000000"/>
          <w:szCs w:val="22"/>
        </w:rPr>
        <w:t>event</w:t>
      </w:r>
      <w:r w:rsidRPr="00AE4A66" w:rsidR="00217753">
        <w:rPr>
          <w:bCs/>
          <w:color w:val="000000"/>
          <w:szCs w:val="22"/>
        </w:rPr>
        <w:t xml:space="preserve">, </w:t>
      </w:r>
      <w:r w:rsidRPr="00AE4A66" w:rsidR="008C3706">
        <w:rPr>
          <w:bCs/>
          <w:color w:val="000000"/>
          <w:szCs w:val="22"/>
        </w:rPr>
        <w:t xml:space="preserve">as we note </w:t>
      </w:r>
      <w:r w:rsidRPr="00AE4A66" w:rsidR="00BF49A5">
        <w:rPr>
          <w:bCs/>
          <w:color w:val="000000"/>
          <w:szCs w:val="22"/>
        </w:rPr>
        <w:t>above</w:t>
      </w:r>
      <w:r w:rsidRPr="00AE4A66" w:rsidR="008C3706">
        <w:rPr>
          <w:bCs/>
          <w:color w:val="000000"/>
          <w:szCs w:val="22"/>
        </w:rPr>
        <w:t>,</w:t>
      </w:r>
      <w:r w:rsidRPr="00AE4A66" w:rsidR="00217753">
        <w:rPr>
          <w:bCs/>
          <w:color w:val="000000"/>
          <w:szCs w:val="22"/>
        </w:rPr>
        <w:t xml:space="preserve"> both documents were received in CDBS on September 6, 2019. </w:t>
      </w:r>
    </w:p>
    <w:p w:rsidR="00C058EB" w:rsidRPr="00620FC9" w:rsidP="00651494" w14:paraId="38B049F7" w14:textId="20DF4324">
      <w:pPr>
        <w:pStyle w:val="ParaNum"/>
        <w:rPr>
          <w:snapToGrid/>
        </w:rPr>
      </w:pPr>
      <w:r w:rsidRPr="00AE4A66">
        <w:rPr>
          <w:bCs/>
          <w:i/>
          <w:iCs/>
          <w:color w:val="000000"/>
          <w:szCs w:val="22"/>
        </w:rPr>
        <w:t>Reinstatement</w:t>
      </w:r>
      <w:r w:rsidRPr="00AE4A66" w:rsidR="00217753">
        <w:rPr>
          <w:i/>
          <w:iCs/>
        </w:rPr>
        <w:t xml:space="preserve">.  </w:t>
      </w:r>
      <w:r w:rsidRPr="00AE4A66" w:rsidR="004B3B5B">
        <w:t>We deny</w:t>
      </w:r>
      <w:r w:rsidR="004B3B5B">
        <w:t xml:space="preserve"> Positive Hope’s argument that the Translator Application should not have been reinstated, although on different grounds than those set out in the </w:t>
      </w:r>
      <w:r w:rsidRPr="00AE4A66" w:rsidR="004B3B5B">
        <w:rPr>
          <w:i/>
          <w:iCs/>
        </w:rPr>
        <w:t xml:space="preserve">Reconsideration </w:t>
      </w:r>
      <w:r w:rsidRPr="00AE4A66" w:rsidR="004B3B5B">
        <w:rPr>
          <w:i/>
          <w:iCs/>
        </w:rPr>
        <w:t>Letter</w:t>
      </w:r>
      <w:r w:rsidR="004B3B5B">
        <w:t xml:space="preserve">.  </w:t>
      </w:r>
      <w:r w:rsidR="00BF49A5">
        <w:t>Specifically, we conclude</w:t>
      </w:r>
      <w:r w:rsidR="00E62DE6">
        <w:t xml:space="preserve"> that </w:t>
      </w:r>
      <w:r w:rsidRPr="00AE4A66" w:rsidR="00E62DE6">
        <w:rPr>
          <w:bCs/>
          <w:color w:val="000000"/>
          <w:szCs w:val="22"/>
        </w:rPr>
        <w:t xml:space="preserve">reinstatement in this case </w:t>
      </w:r>
      <w:r w:rsidRPr="00AE4A66" w:rsidR="004B3B5B">
        <w:rPr>
          <w:bCs/>
          <w:color w:val="000000"/>
          <w:szCs w:val="22"/>
        </w:rPr>
        <w:t>was</w:t>
      </w:r>
      <w:r w:rsidRPr="00AE4A66">
        <w:rPr>
          <w:bCs/>
          <w:color w:val="000000"/>
          <w:szCs w:val="22"/>
        </w:rPr>
        <w:t xml:space="preserve"> necessary </w:t>
      </w:r>
      <w:r w:rsidRPr="00AE4A66" w:rsidR="004B3B5B">
        <w:rPr>
          <w:bCs/>
          <w:color w:val="000000"/>
          <w:szCs w:val="22"/>
        </w:rPr>
        <w:t xml:space="preserve">and appropriate </w:t>
      </w:r>
      <w:r w:rsidRPr="00AE4A66">
        <w:rPr>
          <w:bCs/>
          <w:color w:val="000000"/>
          <w:szCs w:val="22"/>
        </w:rPr>
        <w:t>to</w:t>
      </w:r>
      <w:r w:rsidRPr="00AE4A66" w:rsidR="00E62DE6">
        <w:rPr>
          <w:bCs/>
          <w:color w:val="000000"/>
          <w:szCs w:val="22"/>
        </w:rPr>
        <w:t xml:space="preserve"> implement the Commission’s liberal amendment policy regarding auction long-form applications in general, and Auction 100 applications specifically.</w:t>
      </w:r>
      <w:r>
        <w:rPr>
          <w:rStyle w:val="FootnoteReference"/>
          <w:bCs/>
          <w:szCs w:val="22"/>
        </w:rPr>
        <w:footnoteReference w:id="42"/>
      </w:r>
      <w:r w:rsidRPr="00AE4A66" w:rsidR="00E62DE6">
        <w:rPr>
          <w:bCs/>
          <w:color w:val="000000"/>
          <w:szCs w:val="22"/>
        </w:rPr>
        <w:t xml:space="preserve">  This policy provides that an auction long-form applicant may file an amendment to cure </w:t>
      </w:r>
      <w:r w:rsidRPr="00AE4A66" w:rsidR="00E62DE6">
        <w:rPr>
          <w:bCs/>
          <w:i/>
          <w:iCs/>
          <w:color w:val="000000"/>
          <w:szCs w:val="22"/>
        </w:rPr>
        <w:t xml:space="preserve">any </w:t>
      </w:r>
      <w:r w:rsidRPr="00AE4A66" w:rsidR="00E62DE6">
        <w:rPr>
          <w:bCs/>
          <w:color w:val="000000"/>
          <w:szCs w:val="22"/>
        </w:rPr>
        <w:t>defect, as long as the amendment does not constitute a major change to its originally proposed facilities.</w:t>
      </w:r>
      <w:r>
        <w:rPr>
          <w:rStyle w:val="FootnoteReference"/>
          <w:bCs/>
          <w:szCs w:val="22"/>
        </w:rPr>
        <w:footnoteReference w:id="43"/>
      </w:r>
      <w:r w:rsidRPr="00AE4A66" w:rsidR="00E62DE6">
        <w:rPr>
          <w:bCs/>
          <w:color w:val="000000"/>
          <w:szCs w:val="22"/>
        </w:rPr>
        <w:t xml:space="preserve">  </w:t>
      </w:r>
      <w:r w:rsidRPr="00AE4A66" w:rsidR="00E62DE6">
        <w:rPr>
          <w:bCs/>
          <w:szCs w:val="22"/>
        </w:rPr>
        <w:t>The non-adjacent channel change proposed in the Amended Translator Application is classified as a minor change.</w:t>
      </w:r>
      <w:r>
        <w:rPr>
          <w:rStyle w:val="FootnoteReference"/>
          <w:bCs/>
          <w:szCs w:val="22"/>
        </w:rPr>
        <w:footnoteReference w:id="44"/>
      </w:r>
      <w:r w:rsidRPr="00AE4A66" w:rsidR="00E62DE6">
        <w:rPr>
          <w:bCs/>
          <w:szCs w:val="22"/>
        </w:rPr>
        <w:t xml:space="preserve">  </w:t>
      </w:r>
      <w:r>
        <w:t>Under</w:t>
      </w:r>
      <w:r>
        <w:t xml:space="preserve"> </w:t>
      </w:r>
      <w:r w:rsidR="009420C8">
        <w:t xml:space="preserve">the Commission’s liberal amendment policy, </w:t>
      </w:r>
      <w:r>
        <w:t xml:space="preserve">processing staff should have issued a </w:t>
      </w:r>
      <w:r w:rsidRPr="00AE4A66" w:rsidR="008656E5">
        <w:rPr>
          <w:bCs/>
          <w:color w:val="000000"/>
          <w:szCs w:val="22"/>
        </w:rPr>
        <w:t xml:space="preserve">deficiency letter </w:t>
      </w:r>
      <w:r>
        <w:t>and afforded Family an opportunity to correct the Translator Application</w:t>
      </w:r>
      <w:r w:rsidR="004B3B5B">
        <w:t xml:space="preserve"> rather than dismiss the application</w:t>
      </w:r>
      <w:r>
        <w:t>.</w:t>
      </w:r>
      <w:r>
        <w:rPr>
          <w:rStyle w:val="FootnoteReference"/>
        </w:rPr>
        <w:footnoteReference w:id="45"/>
      </w:r>
      <w:r>
        <w:t xml:space="preserve"> </w:t>
      </w:r>
      <w:r w:rsidR="004B3B5B">
        <w:t xml:space="preserve"> </w:t>
      </w:r>
      <w:r>
        <w:t>Had this procedure been followed, the Translator Application would have still been pending when the new rules took effect</w:t>
      </w:r>
      <w:r w:rsidR="00A25E4D">
        <w:t xml:space="preserve"> and thus would have been processed under those rules</w:t>
      </w:r>
      <w:r>
        <w:t>.</w:t>
      </w:r>
      <w:r>
        <w:rPr>
          <w:rStyle w:val="FootnoteReference"/>
        </w:rPr>
        <w:footnoteReference w:id="46"/>
      </w:r>
      <w:r>
        <w:t xml:space="preserve">  </w:t>
      </w:r>
      <w:r w:rsidR="00F40E68">
        <w:t>We reject Positive Hope</w:t>
      </w:r>
      <w:r w:rsidRPr="00CD0034" w:rsidR="00D2226A">
        <w:t>’s</w:t>
      </w:r>
      <w:r w:rsidR="00F40E68">
        <w:t xml:space="preserve"> implication that any defective application that does not contain a waiver request cannot be subsequently reinstated.  </w:t>
      </w:r>
      <w:r w:rsidRPr="00AE4A66" w:rsidR="00773039">
        <w:rPr>
          <w:bCs/>
        </w:rPr>
        <w:t>Rather, i</w:t>
      </w:r>
      <w:r w:rsidRPr="00AE4A66">
        <w:rPr>
          <w:bCs/>
        </w:rPr>
        <w:t>n these circumstances</w:t>
      </w:r>
      <w:r w:rsidRPr="00AE4A66" w:rsidR="00291BB4">
        <w:rPr>
          <w:bCs/>
        </w:rPr>
        <w:t>,</w:t>
      </w:r>
      <w:r w:rsidRPr="00AE4A66" w:rsidR="006711B9">
        <w:rPr>
          <w:bCs/>
        </w:rPr>
        <w:t xml:space="preserve"> we uphold </w:t>
      </w:r>
      <w:r w:rsidRPr="00AE4A66" w:rsidR="00F40E68">
        <w:rPr>
          <w:bCs/>
        </w:rPr>
        <w:t xml:space="preserve">the Bureau’s </w:t>
      </w:r>
      <w:r w:rsidRPr="00AE4A66" w:rsidR="00B429F2">
        <w:rPr>
          <w:bCs/>
        </w:rPr>
        <w:t>reinstatement</w:t>
      </w:r>
      <w:r w:rsidRPr="00AE4A66" w:rsidR="00E62DE6">
        <w:rPr>
          <w:bCs/>
        </w:rPr>
        <w:t xml:space="preserve"> </w:t>
      </w:r>
      <w:r w:rsidRPr="00AE4A66">
        <w:rPr>
          <w:bCs/>
        </w:rPr>
        <w:t>of the Amended Translator Application</w:t>
      </w:r>
      <w:r w:rsidRPr="00AE4A66" w:rsidR="00F40E68">
        <w:rPr>
          <w:bCs/>
        </w:rPr>
        <w:t>, but</w:t>
      </w:r>
      <w:r w:rsidRPr="00AE4A66">
        <w:rPr>
          <w:bCs/>
        </w:rPr>
        <w:t xml:space="preserve"> </w:t>
      </w:r>
      <w:r w:rsidRPr="00AE4A66" w:rsidR="00E62DE6">
        <w:rPr>
          <w:bCs/>
        </w:rPr>
        <w:t xml:space="preserve">on the basis that </w:t>
      </w:r>
      <w:r w:rsidRPr="00AE4A66" w:rsidR="00F40E68">
        <w:rPr>
          <w:bCs/>
        </w:rPr>
        <w:t>it</w:t>
      </w:r>
      <w:r w:rsidRPr="00AE4A66" w:rsidR="00E62DE6">
        <w:rPr>
          <w:bCs/>
        </w:rPr>
        <w:t xml:space="preserve"> </w:t>
      </w:r>
      <w:r w:rsidRPr="00AE4A66" w:rsidR="00B429F2">
        <w:rPr>
          <w:bCs/>
        </w:rPr>
        <w:t>implement</w:t>
      </w:r>
      <w:r w:rsidRPr="00AE4A66">
        <w:rPr>
          <w:bCs/>
        </w:rPr>
        <w:t>s</w:t>
      </w:r>
      <w:r w:rsidRPr="00AE4A66" w:rsidR="00E62DE6">
        <w:rPr>
          <w:bCs/>
        </w:rPr>
        <w:t xml:space="preserve"> the </w:t>
      </w:r>
      <w:r w:rsidRPr="00AE4A66" w:rsidR="00B429F2">
        <w:rPr>
          <w:bCs/>
        </w:rPr>
        <w:t xml:space="preserve">Commission’s </w:t>
      </w:r>
      <w:r w:rsidRPr="00AE4A66" w:rsidR="00E62DE6">
        <w:rPr>
          <w:bCs/>
        </w:rPr>
        <w:t>liberal amendment</w:t>
      </w:r>
      <w:r w:rsidRPr="00AE4A66" w:rsidR="00B429F2">
        <w:rPr>
          <w:bCs/>
        </w:rPr>
        <w:t xml:space="preserve"> policy for auction long</w:t>
      </w:r>
      <w:r w:rsidRPr="00AE4A66" w:rsidR="00884F59">
        <w:rPr>
          <w:bCs/>
        </w:rPr>
        <w:t>-</w:t>
      </w:r>
      <w:r w:rsidRPr="00AE4A66" w:rsidR="00B429F2">
        <w:rPr>
          <w:bCs/>
        </w:rPr>
        <w:t>form applications</w:t>
      </w:r>
      <w:r w:rsidRPr="00620FC9">
        <w:rPr>
          <w:bCs/>
        </w:rPr>
        <w:t>.</w:t>
      </w:r>
      <w:r>
        <w:rPr>
          <w:rStyle w:val="FootnoteReference"/>
          <w:bCs/>
        </w:rPr>
        <w:footnoteReference w:id="47"/>
      </w:r>
    </w:p>
    <w:p w:rsidR="0091347D" w:rsidRPr="00060FDF" w:rsidP="00651494" w14:paraId="07E3A29E" w14:textId="14591796">
      <w:pPr>
        <w:pStyle w:val="ParaNum"/>
        <w:rPr>
          <w:snapToGrid/>
        </w:rPr>
      </w:pPr>
      <w:r>
        <w:t xml:space="preserve">Despite Positive Hope’s assertions, </w:t>
      </w:r>
      <w:r w:rsidR="00A25E4D">
        <w:t xml:space="preserve">neither </w:t>
      </w:r>
      <w:r w:rsidR="00671DA6">
        <w:t>the</w:t>
      </w:r>
      <w:r w:rsidR="00B64183">
        <w:t xml:space="preserve"> </w:t>
      </w:r>
      <w:r w:rsidR="00B64183">
        <w:rPr>
          <w:i/>
          <w:iCs/>
        </w:rPr>
        <w:t xml:space="preserve">Translator Interference Order </w:t>
      </w:r>
      <w:r w:rsidR="00B64183">
        <w:t>nor the</w:t>
      </w:r>
      <w:r w:rsidR="00671DA6">
        <w:t xml:space="preserve"> Commission’s</w:t>
      </w:r>
      <w:r w:rsidR="00A25E4D">
        <w:t xml:space="preserve"> decision in</w:t>
      </w:r>
      <w:r w:rsidR="00671DA6">
        <w:t xml:space="preserve"> </w:t>
      </w:r>
      <w:r w:rsidR="00671DA6">
        <w:rPr>
          <w:i/>
          <w:iCs/>
        </w:rPr>
        <w:t xml:space="preserve">Emmanuel </w:t>
      </w:r>
      <w:r w:rsidR="00CB002B">
        <w:t>militate</w:t>
      </w:r>
      <w:r w:rsidR="00B64183">
        <w:t>s</w:t>
      </w:r>
      <w:r w:rsidR="00CB002B">
        <w:t xml:space="preserve"> against reinstatement in this case</w:t>
      </w:r>
      <w:r>
        <w:t>.</w:t>
      </w:r>
      <w:r>
        <w:rPr>
          <w:rStyle w:val="FootnoteReference"/>
        </w:rPr>
        <w:footnoteReference w:id="48"/>
      </w:r>
      <w:r>
        <w:t xml:space="preserve">  </w:t>
      </w:r>
      <w:r w:rsidR="00671DA6">
        <w:t xml:space="preserve">In </w:t>
      </w:r>
      <w:r w:rsidR="00671DA6">
        <w:rPr>
          <w:i/>
          <w:iCs/>
        </w:rPr>
        <w:t>Emmanuel</w:t>
      </w:r>
      <w:r w:rsidR="00671DA6">
        <w:t>, the applicant</w:t>
      </w:r>
      <w:r>
        <w:t xml:space="preserve"> </w:t>
      </w:r>
      <w:r w:rsidR="00CB002B">
        <w:t xml:space="preserve">initially </w:t>
      </w:r>
      <w:r>
        <w:t xml:space="preserve">sought </w:t>
      </w:r>
      <w:r w:rsidR="00200F68">
        <w:t xml:space="preserve">reconsideration </w:t>
      </w:r>
      <w:r w:rsidR="00671DA6">
        <w:t xml:space="preserve">of the dismissal of </w:t>
      </w:r>
      <w:r w:rsidR="00CB002B">
        <w:t>its</w:t>
      </w:r>
      <w:r w:rsidR="00671DA6">
        <w:t xml:space="preserve"> defective long</w:t>
      </w:r>
      <w:r w:rsidR="005D0381">
        <w:t>-</w:t>
      </w:r>
      <w:r w:rsidR="00671DA6">
        <w:t xml:space="preserve">form application </w:t>
      </w:r>
      <w:r w:rsidRPr="007F0485" w:rsidR="008208C0">
        <w:t>by</w:t>
      </w:r>
      <w:r w:rsidRPr="00E66692" w:rsidR="007F0485">
        <w:t xml:space="preserve">, </w:t>
      </w:r>
      <w:r w:rsidRPr="00E66692" w:rsidR="007F0485">
        <w:rPr>
          <w:i/>
          <w:iCs/>
        </w:rPr>
        <w:t>inter alia</w:t>
      </w:r>
      <w:r w:rsidRPr="00E66692" w:rsidR="007F0485">
        <w:t>,</w:t>
      </w:r>
      <w:r w:rsidRPr="007F0485" w:rsidR="008208C0">
        <w:t xml:space="preserve"> seeking a waiver rather than by proposing to cure </w:t>
      </w:r>
      <w:r w:rsidR="00614537">
        <w:t>the defect</w:t>
      </w:r>
      <w:r>
        <w:t>.</w:t>
      </w:r>
      <w:r>
        <w:rPr>
          <w:rStyle w:val="FootnoteReference"/>
        </w:rPr>
        <w:footnoteReference w:id="49"/>
      </w:r>
      <w:r>
        <w:t xml:space="preserve">  </w:t>
      </w:r>
      <w:r w:rsidR="00671DA6">
        <w:t xml:space="preserve">It was not until the application for review stage that the </w:t>
      </w:r>
      <w:r w:rsidR="00671DA6">
        <w:rPr>
          <w:i/>
          <w:iCs/>
        </w:rPr>
        <w:t xml:space="preserve">Emmanuel </w:t>
      </w:r>
      <w:r w:rsidR="00671DA6">
        <w:t xml:space="preserve">applicant filed an amendment purporting to address the </w:t>
      </w:r>
      <w:r w:rsidRPr="007F0485" w:rsidR="00711101">
        <w:t>defects</w:t>
      </w:r>
      <w:r w:rsidR="00671DA6">
        <w:t xml:space="preserve"> in its application</w:t>
      </w:r>
      <w:r w:rsidRPr="007F0485" w:rsidR="009218E1">
        <w:t>.</w:t>
      </w:r>
      <w:r w:rsidR="007F0485">
        <w:t xml:space="preserve">  </w:t>
      </w:r>
      <w:r w:rsidRPr="007F0485" w:rsidR="009218E1">
        <w:t>T</w:t>
      </w:r>
      <w:r w:rsidRPr="007F0485" w:rsidR="00671DA6">
        <w:t xml:space="preserve">he Commission declined to consider </w:t>
      </w:r>
      <w:r w:rsidRPr="007F0485" w:rsidR="00066CE5">
        <w:t>the amendment at that stage</w:t>
      </w:r>
      <w:r w:rsidR="00066CE5">
        <w:t xml:space="preserve"> </w:t>
      </w:r>
      <w:r w:rsidR="00671DA6">
        <w:t xml:space="preserve">on the basis that </w:t>
      </w:r>
      <w:r w:rsidR="00614537">
        <w:t xml:space="preserve">it </w:t>
      </w:r>
      <w:r w:rsidR="00A25E4D">
        <w:t>had not been</w:t>
      </w:r>
      <w:r w:rsidR="00614537">
        <w:t xml:space="preserve"> filed within 30 days of the dismissal</w:t>
      </w:r>
      <w:r w:rsidR="005B5267">
        <w:t xml:space="preserve">, </w:t>
      </w:r>
      <w:r w:rsidRPr="00E66692" w:rsidR="005B5267">
        <w:t xml:space="preserve">as required by the Commission’s </w:t>
      </w:r>
      <w:r w:rsidRPr="00E66692" w:rsidR="005B5267">
        <w:rPr>
          <w:i/>
          <w:iCs/>
        </w:rPr>
        <w:t>nunc</w:t>
      </w:r>
      <w:r w:rsidRPr="00E66692" w:rsidR="005B5267">
        <w:rPr>
          <w:i/>
          <w:iCs/>
        </w:rPr>
        <w:t xml:space="preserve"> pro </w:t>
      </w:r>
      <w:r w:rsidRPr="00E66692" w:rsidR="005B5267">
        <w:rPr>
          <w:i/>
          <w:iCs/>
        </w:rPr>
        <w:t>tunc</w:t>
      </w:r>
      <w:r w:rsidRPr="00E66692" w:rsidR="005B5267">
        <w:t xml:space="preserve"> policy</w:t>
      </w:r>
      <w:r w:rsidR="00614537">
        <w:t>.</w:t>
      </w:r>
      <w:r>
        <w:rPr>
          <w:rStyle w:val="FootnoteReference"/>
        </w:rPr>
        <w:footnoteReference w:id="50"/>
      </w:r>
      <w:r w:rsidR="00614537">
        <w:t xml:space="preserve">  </w:t>
      </w:r>
      <w:r w:rsidR="00B64183">
        <w:t>In doing so, t</w:t>
      </w:r>
      <w:r w:rsidR="00614537">
        <w:t xml:space="preserve">he Commission noted that the new requirements </w:t>
      </w:r>
      <w:r w:rsidR="00B64183">
        <w:t xml:space="preserve">set out in the </w:t>
      </w:r>
      <w:r w:rsidR="00B64183">
        <w:rPr>
          <w:i/>
          <w:iCs/>
        </w:rPr>
        <w:t>Translator Interference Order</w:t>
      </w:r>
      <w:r w:rsidR="00614537">
        <w:t xml:space="preserve"> did not apply because Emmanuel’s application had been acted upon before the new rules became effective.</w:t>
      </w:r>
      <w:r>
        <w:rPr>
          <w:rStyle w:val="FootnoteReference"/>
        </w:rPr>
        <w:footnoteReference w:id="51"/>
      </w:r>
      <w:r w:rsidR="00614537">
        <w:t xml:space="preserve">  </w:t>
      </w:r>
    </w:p>
    <w:p w:rsidR="006B2D6C" w:rsidRPr="006B2D6C" w:rsidP="00651494" w14:paraId="313B42A1" w14:textId="76FE6863">
      <w:pPr>
        <w:pStyle w:val="ParaNum"/>
        <w:rPr>
          <w:snapToGrid/>
        </w:rPr>
      </w:pPr>
      <w:r>
        <w:t>Here</w:t>
      </w:r>
      <w:r w:rsidR="00974885">
        <w:t>,</w:t>
      </w:r>
      <w:r>
        <w:t xml:space="preserve"> </w:t>
      </w:r>
      <w:r w:rsidRPr="007F0485">
        <w:t>we</w:t>
      </w:r>
      <w:r w:rsidRPr="007F0485" w:rsidR="004B3B5B">
        <w:t xml:space="preserve"> </w:t>
      </w:r>
      <w:r w:rsidRPr="007F0485" w:rsidR="00BA34CF">
        <w:t>acknowledge the Bureau incorrectly dismisse</w:t>
      </w:r>
      <w:r w:rsidRPr="00620FC9" w:rsidR="00BA34CF">
        <w:t>d</w:t>
      </w:r>
      <w:r w:rsidRPr="00620FC9" w:rsidR="00D634ED">
        <w:t xml:space="preserve"> the application </w:t>
      </w:r>
      <w:r w:rsidRPr="00620FC9" w:rsidR="00B35425">
        <w:t xml:space="preserve">without first issuing a </w:t>
      </w:r>
      <w:r w:rsidRPr="00620FC9" w:rsidR="00B35425">
        <w:rPr>
          <w:bCs/>
          <w:color w:val="000000"/>
          <w:szCs w:val="22"/>
        </w:rPr>
        <w:t xml:space="preserve">deficiency letter </w:t>
      </w:r>
      <w:r w:rsidRPr="00620FC9" w:rsidR="00B35425">
        <w:t>and affording Family an opportunity to cure the defect</w:t>
      </w:r>
      <w:r w:rsidRPr="00620FC9" w:rsidR="00D634ED">
        <w:t>.</w:t>
      </w:r>
      <w:r w:rsidRPr="007F0485" w:rsidR="00D634ED">
        <w:t xml:space="preserve">  We </w:t>
      </w:r>
      <w:r>
        <w:t xml:space="preserve">rectify </w:t>
      </w:r>
      <w:r w:rsidR="004B3B5B">
        <w:t>the</w:t>
      </w:r>
      <w:r>
        <w:t xml:space="preserve"> </w:t>
      </w:r>
      <w:r>
        <w:t>improper dismissal by returning Family</w:t>
      </w:r>
      <w:r>
        <w:rPr>
          <w:bCs/>
        </w:rPr>
        <w:t xml:space="preserve"> to the position it would have been in if </w:t>
      </w:r>
      <w:r w:rsidR="004B3B5B">
        <w:rPr>
          <w:bCs/>
        </w:rPr>
        <w:t>Bureau staff had issued a deficiency notice and provided an opportunity to file a curative amendment</w:t>
      </w:r>
      <w:r w:rsidR="00B94E5B">
        <w:rPr>
          <w:bCs/>
        </w:rPr>
        <w:t xml:space="preserve"> </w:t>
      </w:r>
      <w:r w:rsidRPr="007F0485" w:rsidR="00B94E5B">
        <w:rPr>
          <w:bCs/>
        </w:rPr>
        <w:t>under the liberal amendment policy</w:t>
      </w:r>
      <w:r>
        <w:rPr>
          <w:bCs/>
        </w:rPr>
        <w:t xml:space="preserve">. </w:t>
      </w:r>
      <w:r>
        <w:t xml:space="preserve"> </w:t>
      </w:r>
      <w:r w:rsidRPr="00620FC9" w:rsidR="00E66692">
        <w:t>Therefore,</w:t>
      </w:r>
      <w:r w:rsidRPr="00620FC9" w:rsidR="00DB0A6C">
        <w:t xml:space="preserve"> to prevent any undue prejudice from the improper dismissal,</w:t>
      </w:r>
      <w:r w:rsidR="00E66692">
        <w:t xml:space="preserve"> w</w:t>
      </w:r>
      <w:r w:rsidR="00B15C3C">
        <w:t xml:space="preserve">e treat the Amended Translator Application as </w:t>
      </w:r>
      <w:r w:rsidR="00E66692">
        <w:t xml:space="preserve">pending and </w:t>
      </w:r>
      <w:r>
        <w:t xml:space="preserve">not yet acted upon </w:t>
      </w:r>
      <w:r w:rsidR="009420D5">
        <w:t>prior to the effect</w:t>
      </w:r>
      <w:r w:rsidR="00E66692">
        <w:t>ive</w:t>
      </w:r>
      <w:r w:rsidR="009420D5">
        <w:t xml:space="preserve"> date of the rules adopted in</w:t>
      </w:r>
      <w:r>
        <w:t xml:space="preserve"> the </w:t>
      </w:r>
      <w:r>
        <w:rPr>
          <w:i/>
          <w:iCs/>
        </w:rPr>
        <w:t xml:space="preserve">Translator Interference </w:t>
      </w:r>
      <w:r w:rsidRPr="00620FC9">
        <w:rPr>
          <w:i/>
          <w:iCs/>
        </w:rPr>
        <w:t>Order</w:t>
      </w:r>
      <w:r w:rsidRPr="00620FC9" w:rsidR="002F2253">
        <w:t>, and thus as being subject to the new rules</w:t>
      </w:r>
      <w:r w:rsidR="00823AF8">
        <w:t>.</w:t>
      </w:r>
      <w:r>
        <w:rPr>
          <w:rStyle w:val="FootnoteReference"/>
        </w:rPr>
        <w:footnoteReference w:id="52"/>
      </w:r>
    </w:p>
    <w:p w:rsidR="00B53627" w:rsidRPr="00773039" w:rsidP="00651494" w14:paraId="0058279D" w14:textId="2E55B355">
      <w:pPr>
        <w:pStyle w:val="ParaNum"/>
        <w:rPr>
          <w:snapToGrid/>
        </w:rPr>
      </w:pPr>
      <w:r w:rsidRPr="0036055D">
        <w:rPr>
          <w:i/>
          <w:iCs/>
          <w:snapToGrid/>
        </w:rPr>
        <w:t>Eligibility for a non</w:t>
      </w:r>
      <w:r w:rsidRPr="00AB2817">
        <w:rPr>
          <w:i/>
          <w:iCs/>
          <w:snapToGrid/>
        </w:rPr>
        <w:t>-adjacent channel change</w:t>
      </w:r>
      <w:r w:rsidRPr="006B2D6C" w:rsidR="00D1129A">
        <w:rPr>
          <w:snapToGrid/>
        </w:rPr>
        <w:t>.  We</w:t>
      </w:r>
      <w:r w:rsidRPr="006B2D6C" w:rsidR="0051390F">
        <w:rPr>
          <w:bCs/>
          <w:color w:val="000000"/>
          <w:szCs w:val="22"/>
        </w:rPr>
        <w:t xml:space="preserve"> </w:t>
      </w:r>
      <w:r w:rsidR="00ED1BBF">
        <w:rPr>
          <w:bCs/>
          <w:color w:val="000000"/>
          <w:szCs w:val="22"/>
        </w:rPr>
        <w:t xml:space="preserve">find </w:t>
      </w:r>
      <w:r w:rsidRPr="006B2D6C" w:rsidR="0051390F">
        <w:rPr>
          <w:bCs/>
          <w:color w:val="000000"/>
          <w:szCs w:val="22"/>
        </w:rPr>
        <w:t xml:space="preserve">that </w:t>
      </w:r>
      <w:r w:rsidR="0051390F">
        <w:t xml:space="preserve">Family </w:t>
      </w:r>
      <w:r w:rsidRPr="005D3098" w:rsidR="00BA6B2C">
        <w:t xml:space="preserve">was </w:t>
      </w:r>
      <w:r w:rsidRPr="00F11B62" w:rsidR="00BA6B2C">
        <w:t>eligible to seek a non-adjacent channel change</w:t>
      </w:r>
      <w:r w:rsidRPr="00B53627">
        <w:t xml:space="preserve"> </w:t>
      </w:r>
      <w:r>
        <w:t xml:space="preserve">under section </w:t>
      </w:r>
      <w:r w:rsidRPr="0036055D">
        <w:rPr>
          <w:bCs/>
          <w:color w:val="000000"/>
          <w:szCs w:val="22"/>
        </w:rPr>
        <w:t>74.1233(a)(1)(</w:t>
      </w:r>
      <w:r w:rsidRPr="0036055D">
        <w:rPr>
          <w:bCs/>
          <w:color w:val="000000"/>
          <w:szCs w:val="22"/>
        </w:rPr>
        <w:t>i</w:t>
      </w:r>
      <w:r w:rsidRPr="0036055D">
        <w:rPr>
          <w:bCs/>
          <w:color w:val="000000"/>
          <w:szCs w:val="22"/>
        </w:rPr>
        <w:t>)(A)(2</w:t>
      </w:r>
      <w:r w:rsidRPr="00AB2817">
        <w:rPr>
          <w:bCs/>
          <w:color w:val="000000"/>
          <w:szCs w:val="22"/>
        </w:rPr>
        <w:t>)</w:t>
      </w:r>
      <w:r w:rsidR="00944031">
        <w:rPr>
          <w:bCs/>
          <w:color w:val="000000"/>
          <w:szCs w:val="22"/>
        </w:rPr>
        <w:t xml:space="preserve"> </w:t>
      </w:r>
      <w:r w:rsidRPr="00327E55" w:rsidR="00944031">
        <w:rPr>
          <w:bCs/>
          <w:color w:val="000000"/>
          <w:szCs w:val="22"/>
        </w:rPr>
        <w:t>to eliminate</w:t>
      </w:r>
      <w:r w:rsidRPr="00327E55" w:rsidR="002A170C">
        <w:rPr>
          <w:bCs/>
          <w:color w:val="000000"/>
          <w:szCs w:val="22"/>
        </w:rPr>
        <w:t xml:space="preserve"> potential interference to either </w:t>
      </w:r>
      <w:r w:rsidRPr="00327E55" w:rsidR="003817ED">
        <w:rPr>
          <w:bCs/>
          <w:color w:val="000000"/>
          <w:szCs w:val="22"/>
        </w:rPr>
        <w:t>XHTY or neighboring station KKLJ(FM), Julian, California (KKLJ)</w:t>
      </w:r>
      <w:r w:rsidRPr="00327E55" w:rsidR="00A51B27">
        <w:rPr>
          <w:bCs/>
          <w:color w:val="000000"/>
          <w:szCs w:val="22"/>
        </w:rPr>
        <w:t>.</w:t>
      </w:r>
      <w:r>
        <w:rPr>
          <w:rStyle w:val="FootnoteReference"/>
          <w:bCs/>
          <w:szCs w:val="22"/>
        </w:rPr>
        <w:footnoteReference w:id="53"/>
      </w:r>
      <w:r w:rsidRPr="0036055D" w:rsidR="0051390F">
        <w:rPr>
          <w:bCs/>
          <w:color w:val="000000"/>
          <w:szCs w:val="22"/>
        </w:rPr>
        <w:t xml:space="preserve"> </w:t>
      </w:r>
      <w:r>
        <w:rPr>
          <w:bCs/>
          <w:color w:val="000000"/>
          <w:szCs w:val="22"/>
        </w:rPr>
        <w:t xml:space="preserve"> </w:t>
      </w:r>
      <w:r w:rsidR="00F40E68">
        <w:rPr>
          <w:bCs/>
          <w:color w:val="000000"/>
          <w:szCs w:val="22"/>
        </w:rPr>
        <w:t>First, w</w:t>
      </w:r>
      <w:r w:rsidRPr="00AB2817">
        <w:rPr>
          <w:bCs/>
          <w:color w:val="000000"/>
          <w:szCs w:val="22"/>
        </w:rPr>
        <w:t>e</w:t>
      </w:r>
      <w:r w:rsidRPr="0036055D">
        <w:rPr>
          <w:bCs/>
          <w:color w:val="000000"/>
          <w:szCs w:val="22"/>
        </w:rPr>
        <w:t xml:space="preserve"> </w:t>
      </w:r>
      <w:r w:rsidRPr="00AB2817">
        <w:rPr>
          <w:bCs/>
          <w:color w:val="000000"/>
          <w:szCs w:val="22"/>
        </w:rPr>
        <w:t>reject Positiv</w:t>
      </w:r>
      <w:r w:rsidRPr="006B2D6C">
        <w:rPr>
          <w:bCs/>
          <w:color w:val="000000"/>
          <w:szCs w:val="22"/>
        </w:rPr>
        <w:t>e Hope’s contention that “</w:t>
      </w:r>
      <w:r w:rsidRPr="007C58DB">
        <w:rPr>
          <w:bCs/>
          <w:color w:val="000000"/>
          <w:szCs w:val="22"/>
        </w:rPr>
        <w:t xml:space="preserve">the station proposed in </w:t>
      </w:r>
      <w:r w:rsidRPr="00060FDF">
        <w:rPr>
          <w:bCs/>
          <w:color w:val="000000"/>
          <w:szCs w:val="22"/>
        </w:rPr>
        <w:t xml:space="preserve">[the] Translator Application </w:t>
      </w:r>
      <w:r w:rsidRPr="00921F33">
        <w:rPr>
          <w:bCs/>
          <w:color w:val="000000"/>
          <w:szCs w:val="22"/>
        </w:rPr>
        <w:t>cannot exist” because</w:t>
      </w:r>
      <w:r>
        <w:rPr>
          <w:bCs/>
          <w:color w:val="000000"/>
          <w:szCs w:val="22"/>
        </w:rPr>
        <w:t xml:space="preserve"> the dismissal of the Translator Application rendered the Translator facility a “nullity” incapable of causing</w:t>
      </w:r>
      <w:r w:rsidRPr="0036055D">
        <w:rPr>
          <w:bCs/>
          <w:color w:val="000000"/>
          <w:szCs w:val="22"/>
        </w:rPr>
        <w:t xml:space="preserve"> interference </w:t>
      </w:r>
      <w:r w:rsidRPr="00AB2817">
        <w:rPr>
          <w:bCs/>
          <w:color w:val="000000"/>
          <w:szCs w:val="22"/>
        </w:rPr>
        <w:t xml:space="preserve">as required by section </w:t>
      </w:r>
      <w:r>
        <w:t>74.1233(a)(1)(</w:t>
      </w:r>
      <w:r>
        <w:t>i</w:t>
      </w:r>
      <w:r>
        <w:t>)(A)(2)</w:t>
      </w:r>
      <w:r w:rsidRPr="0036055D">
        <w:rPr>
          <w:bCs/>
          <w:color w:val="000000"/>
          <w:szCs w:val="22"/>
        </w:rPr>
        <w:t>.</w:t>
      </w:r>
      <w:r>
        <w:rPr>
          <w:rStyle w:val="FootnoteReference"/>
          <w:bCs/>
          <w:szCs w:val="22"/>
        </w:rPr>
        <w:footnoteReference w:id="54"/>
      </w:r>
      <w:r w:rsidRPr="0036055D">
        <w:rPr>
          <w:bCs/>
          <w:color w:val="000000"/>
          <w:szCs w:val="22"/>
        </w:rPr>
        <w:t xml:space="preserve">  </w:t>
      </w:r>
      <w:r w:rsidR="00C77667">
        <w:rPr>
          <w:bCs/>
          <w:color w:val="000000"/>
          <w:szCs w:val="22"/>
        </w:rPr>
        <w:t xml:space="preserve">As noted above, the Bureau should not have </w:t>
      </w:r>
      <w:r w:rsidR="00886B5D">
        <w:rPr>
          <w:bCs/>
          <w:color w:val="000000"/>
          <w:szCs w:val="22"/>
        </w:rPr>
        <w:t xml:space="preserve">dismissed the Translator Application but should have issued a </w:t>
      </w:r>
      <w:r w:rsidR="00F5475A">
        <w:rPr>
          <w:bCs/>
          <w:color w:val="000000"/>
          <w:szCs w:val="22"/>
        </w:rPr>
        <w:t xml:space="preserve">deficiency notice and provided an opportunity </w:t>
      </w:r>
      <w:r w:rsidR="003C2774">
        <w:rPr>
          <w:bCs/>
          <w:color w:val="000000"/>
          <w:szCs w:val="22"/>
        </w:rPr>
        <w:t>to file a curative amendment.</w:t>
      </w:r>
      <w:r w:rsidR="00886B5D">
        <w:rPr>
          <w:bCs/>
          <w:color w:val="000000"/>
          <w:szCs w:val="22"/>
        </w:rPr>
        <w:t xml:space="preserve"> </w:t>
      </w:r>
      <w:r w:rsidR="008D3CCF">
        <w:rPr>
          <w:bCs/>
          <w:color w:val="000000"/>
          <w:szCs w:val="22"/>
        </w:rPr>
        <w:t xml:space="preserve"> </w:t>
      </w:r>
      <w:r w:rsidR="00BF2449">
        <w:rPr>
          <w:bCs/>
          <w:color w:val="000000"/>
          <w:szCs w:val="22"/>
        </w:rPr>
        <w:t xml:space="preserve">The Amended Translator </w:t>
      </w:r>
      <w:r w:rsidR="007E081E">
        <w:rPr>
          <w:bCs/>
          <w:color w:val="000000"/>
          <w:szCs w:val="22"/>
        </w:rPr>
        <w:t xml:space="preserve">Application, which we are </w:t>
      </w:r>
      <w:r w:rsidR="007650A0">
        <w:rPr>
          <w:bCs/>
          <w:color w:val="000000"/>
          <w:szCs w:val="22"/>
        </w:rPr>
        <w:t xml:space="preserve">allowing </w:t>
      </w:r>
      <w:r w:rsidR="007E081E">
        <w:rPr>
          <w:bCs/>
          <w:color w:val="000000"/>
          <w:szCs w:val="22"/>
        </w:rPr>
        <w:t xml:space="preserve">under the liberal amendment policy, </w:t>
      </w:r>
      <w:r w:rsidR="00ED1BBF">
        <w:rPr>
          <w:bCs/>
          <w:color w:val="000000"/>
          <w:szCs w:val="22"/>
        </w:rPr>
        <w:t>i</w:t>
      </w:r>
      <w:r w:rsidRPr="0036055D">
        <w:rPr>
          <w:bCs/>
          <w:color w:val="000000"/>
          <w:szCs w:val="22"/>
        </w:rPr>
        <w:t xml:space="preserve">s subject to the </w:t>
      </w:r>
      <w:r w:rsidRPr="00AB2817">
        <w:rPr>
          <w:bCs/>
          <w:color w:val="000000"/>
          <w:szCs w:val="22"/>
        </w:rPr>
        <w:t>standard procedure governing non-adjacent channel changes</w:t>
      </w:r>
      <w:r w:rsidRPr="006B2D6C">
        <w:rPr>
          <w:bCs/>
          <w:color w:val="000000"/>
          <w:szCs w:val="22"/>
        </w:rPr>
        <w:t xml:space="preserve">, which are expressed in terms of </w:t>
      </w:r>
      <w:r w:rsidR="00736A60">
        <w:rPr>
          <w:bCs/>
          <w:color w:val="000000"/>
          <w:szCs w:val="22"/>
        </w:rPr>
        <w:t xml:space="preserve">predicted </w:t>
      </w:r>
      <w:r w:rsidRPr="006B2D6C">
        <w:rPr>
          <w:bCs/>
          <w:color w:val="000000"/>
          <w:szCs w:val="22"/>
        </w:rPr>
        <w:t>operations.</w:t>
      </w:r>
      <w:r>
        <w:rPr>
          <w:rStyle w:val="FootnoteReference"/>
          <w:bCs/>
          <w:szCs w:val="22"/>
        </w:rPr>
        <w:footnoteReference w:id="55"/>
      </w:r>
      <w:r w:rsidRPr="0036055D">
        <w:rPr>
          <w:bCs/>
          <w:color w:val="000000"/>
          <w:szCs w:val="22"/>
        </w:rPr>
        <w:t xml:space="preserve">  </w:t>
      </w:r>
      <w:r w:rsidR="00AB2817">
        <w:rPr>
          <w:bCs/>
          <w:color w:val="000000"/>
          <w:szCs w:val="22"/>
        </w:rPr>
        <w:t>Specifically, a</w:t>
      </w:r>
      <w:r w:rsidRPr="00AB2817">
        <w:rPr>
          <w:bCs/>
          <w:color w:val="000000"/>
          <w:szCs w:val="22"/>
        </w:rPr>
        <w:t>s the Bureau explained</w:t>
      </w:r>
      <w:r w:rsidRPr="006B2D6C">
        <w:rPr>
          <w:bCs/>
          <w:color w:val="000000"/>
          <w:szCs w:val="22"/>
        </w:rPr>
        <w:t xml:space="preserve"> in the </w:t>
      </w:r>
      <w:r w:rsidRPr="006B2D6C">
        <w:rPr>
          <w:bCs/>
          <w:i/>
          <w:iCs/>
          <w:color w:val="000000"/>
          <w:szCs w:val="22"/>
        </w:rPr>
        <w:t>Reconsideration Decision</w:t>
      </w:r>
      <w:r w:rsidRPr="006B2D6C">
        <w:rPr>
          <w:bCs/>
          <w:color w:val="000000"/>
          <w:szCs w:val="22"/>
        </w:rPr>
        <w:t>,</w:t>
      </w:r>
      <w:r w:rsidRPr="007C58DB">
        <w:rPr>
          <w:bCs/>
          <w:color w:val="000000"/>
          <w:szCs w:val="22"/>
        </w:rPr>
        <w:t xml:space="preserve"> “</w:t>
      </w:r>
      <w:r w:rsidRPr="00060FDF">
        <w:rPr>
          <w:bCs/>
          <w:color w:val="000000"/>
          <w:szCs w:val="22"/>
        </w:rPr>
        <w:t>An unbuilt station, by necessity, must submit a showing of predicted rather than actual interference.</w:t>
      </w:r>
      <w:r w:rsidRPr="00921F33">
        <w:rPr>
          <w:bCs/>
          <w:color w:val="000000"/>
          <w:szCs w:val="22"/>
        </w:rPr>
        <w:t>”</w:t>
      </w:r>
      <w:r>
        <w:rPr>
          <w:rStyle w:val="FootnoteReference"/>
          <w:bCs/>
          <w:szCs w:val="22"/>
        </w:rPr>
        <w:footnoteReference w:id="56"/>
      </w:r>
      <w:r w:rsidRPr="0036055D">
        <w:rPr>
          <w:bCs/>
          <w:color w:val="000000"/>
          <w:szCs w:val="22"/>
        </w:rPr>
        <w:t xml:space="preserve"> </w:t>
      </w:r>
      <w:r w:rsidRPr="00AB2817">
        <w:rPr>
          <w:bCs/>
          <w:color w:val="000000"/>
          <w:szCs w:val="22"/>
        </w:rPr>
        <w:t xml:space="preserve"> </w:t>
      </w:r>
      <w:r w:rsidRPr="00AB2817" w:rsidR="00B429F2">
        <w:rPr>
          <w:bCs/>
          <w:color w:val="000000"/>
          <w:szCs w:val="22"/>
        </w:rPr>
        <w:t>In this case, Family</w:t>
      </w:r>
      <w:r w:rsidRPr="006B2D6C" w:rsidR="00B429F2">
        <w:rPr>
          <w:bCs/>
          <w:color w:val="000000"/>
          <w:szCs w:val="22"/>
        </w:rPr>
        <w:t>’s channel change resolved</w:t>
      </w:r>
      <w:r w:rsidRPr="007C58DB" w:rsidR="00DC1D41">
        <w:rPr>
          <w:bCs/>
          <w:color w:val="000000"/>
          <w:szCs w:val="22"/>
        </w:rPr>
        <w:t xml:space="preserve"> </w:t>
      </w:r>
      <w:r w:rsidR="00AF0BBD">
        <w:rPr>
          <w:bCs/>
          <w:color w:val="000000"/>
          <w:szCs w:val="22"/>
        </w:rPr>
        <w:t xml:space="preserve">or reduced interference to two stations: (1) </w:t>
      </w:r>
      <w:r w:rsidR="00B429F2">
        <w:t>the Mexican station, XHTY</w:t>
      </w:r>
      <w:r w:rsidR="00AF0BBD">
        <w:t xml:space="preserve">, by eliminating the spacing violation; and (2) </w:t>
      </w:r>
      <w:r w:rsidRPr="007650A0" w:rsidR="00B429F2">
        <w:rPr>
          <w:bCs/>
          <w:color w:val="000000"/>
          <w:szCs w:val="22"/>
        </w:rPr>
        <w:t>KKLJ,</w:t>
      </w:r>
      <w:r w:rsidR="00AF0BBD">
        <w:rPr>
          <w:bCs/>
          <w:color w:val="000000"/>
          <w:szCs w:val="22"/>
        </w:rPr>
        <w:t xml:space="preserve"> by eliminating a </w:t>
      </w:r>
      <w:r w:rsidRPr="00AB2817">
        <w:rPr>
          <w:bCs/>
          <w:color w:val="000000"/>
          <w:szCs w:val="22"/>
        </w:rPr>
        <w:t xml:space="preserve">sizable zone of potential interference within the contour overlap of the Translator’s 25 </w:t>
      </w:r>
      <w:r w:rsidRPr="00AB2817">
        <w:rPr>
          <w:bCs/>
          <w:color w:val="000000"/>
          <w:szCs w:val="22"/>
        </w:rPr>
        <w:t>dBu</w:t>
      </w:r>
      <w:r w:rsidRPr="00AB2817">
        <w:rPr>
          <w:bCs/>
          <w:color w:val="000000"/>
          <w:szCs w:val="22"/>
        </w:rPr>
        <w:t xml:space="preserve"> contour </w:t>
      </w:r>
      <w:r w:rsidRPr="006B2D6C">
        <w:rPr>
          <w:bCs/>
          <w:color w:val="000000"/>
          <w:szCs w:val="22"/>
        </w:rPr>
        <w:t xml:space="preserve">and </w:t>
      </w:r>
      <w:r w:rsidRPr="006B2D6C" w:rsidR="00B429F2">
        <w:rPr>
          <w:bCs/>
          <w:color w:val="000000"/>
          <w:szCs w:val="22"/>
        </w:rPr>
        <w:t>KKLJ</w:t>
      </w:r>
      <w:r w:rsidRPr="007C58DB" w:rsidR="00B429F2">
        <w:rPr>
          <w:bCs/>
          <w:color w:val="000000"/>
          <w:szCs w:val="22"/>
        </w:rPr>
        <w:t>’</w:t>
      </w:r>
      <w:r w:rsidRPr="00060FDF" w:rsidR="00B429F2">
        <w:rPr>
          <w:bCs/>
          <w:color w:val="000000"/>
          <w:szCs w:val="22"/>
        </w:rPr>
        <w:t>s</w:t>
      </w:r>
      <w:r w:rsidRPr="00060FDF">
        <w:rPr>
          <w:bCs/>
          <w:color w:val="000000"/>
          <w:szCs w:val="22"/>
        </w:rPr>
        <w:t xml:space="preserve"> 45 </w:t>
      </w:r>
      <w:r w:rsidRPr="00060FDF">
        <w:rPr>
          <w:bCs/>
          <w:color w:val="000000"/>
          <w:szCs w:val="22"/>
        </w:rPr>
        <w:t>dBu</w:t>
      </w:r>
      <w:r w:rsidRPr="00060FDF">
        <w:rPr>
          <w:bCs/>
          <w:color w:val="000000"/>
          <w:szCs w:val="22"/>
        </w:rPr>
        <w:t xml:space="preserve"> contour.</w:t>
      </w:r>
      <w:r>
        <w:rPr>
          <w:rStyle w:val="FootnoteReference"/>
          <w:bCs/>
          <w:szCs w:val="22"/>
        </w:rPr>
        <w:footnoteReference w:id="57"/>
      </w:r>
      <w:r w:rsidRPr="0036055D">
        <w:rPr>
          <w:bCs/>
          <w:color w:val="000000"/>
          <w:szCs w:val="22"/>
        </w:rPr>
        <w:t xml:space="preserve">  </w:t>
      </w:r>
      <w:r w:rsidRPr="00AB2817">
        <w:rPr>
          <w:bCs/>
          <w:color w:val="000000"/>
          <w:szCs w:val="22"/>
        </w:rPr>
        <w:t xml:space="preserve">No such zone of potential interference would be created with another broadcast station at the proposed frequency.  </w:t>
      </w:r>
      <w:r w:rsidRPr="006B2D6C">
        <w:rPr>
          <w:bCs/>
          <w:color w:val="000000"/>
          <w:szCs w:val="22"/>
        </w:rPr>
        <w:t xml:space="preserve">Therefore, Family </w:t>
      </w:r>
      <w:r w:rsidRPr="007C58DB">
        <w:rPr>
          <w:bCs/>
          <w:color w:val="000000"/>
          <w:szCs w:val="22"/>
        </w:rPr>
        <w:t>satisfie</w:t>
      </w:r>
      <w:r w:rsidR="00ED1BBF">
        <w:rPr>
          <w:bCs/>
          <w:color w:val="000000"/>
          <w:szCs w:val="22"/>
        </w:rPr>
        <w:t>s</w:t>
      </w:r>
      <w:r w:rsidRPr="007C58DB">
        <w:rPr>
          <w:bCs/>
          <w:color w:val="000000"/>
          <w:szCs w:val="22"/>
        </w:rPr>
        <w:t xml:space="preserve"> the section 74.1233(a)(1)(</w:t>
      </w:r>
      <w:r w:rsidRPr="007C58DB">
        <w:rPr>
          <w:bCs/>
          <w:color w:val="000000"/>
          <w:szCs w:val="22"/>
        </w:rPr>
        <w:t>i</w:t>
      </w:r>
      <w:r w:rsidRPr="007C58DB">
        <w:rPr>
          <w:bCs/>
          <w:color w:val="000000"/>
          <w:szCs w:val="22"/>
        </w:rPr>
        <w:t xml:space="preserve">)(A)(2) threshold </w:t>
      </w:r>
      <w:r w:rsidRPr="00921F33">
        <w:rPr>
          <w:bCs/>
          <w:color w:val="000000"/>
          <w:szCs w:val="22"/>
        </w:rPr>
        <w:t>requirement of reducing predicted interference</w:t>
      </w:r>
      <w:r w:rsidRPr="0036055D">
        <w:rPr>
          <w:bCs/>
          <w:color w:val="000000"/>
          <w:szCs w:val="22"/>
        </w:rPr>
        <w:t>.</w:t>
      </w:r>
    </w:p>
    <w:p w:rsidR="00213BC6" w:rsidRPr="00213BC6" w:rsidP="00651494" w14:paraId="78A51594" w14:textId="7F143447">
      <w:pPr>
        <w:pStyle w:val="ParaNum"/>
        <w:rPr>
          <w:snapToGrid/>
        </w:rPr>
      </w:pPr>
      <w:bookmarkStart w:id="8" w:name="_Hlk93936246"/>
      <w:bookmarkStart w:id="9" w:name="_Hlk87982990"/>
      <w:bookmarkEnd w:id="6"/>
      <w:r w:rsidRPr="00952879">
        <w:rPr>
          <w:bCs/>
          <w:color w:val="000000"/>
          <w:szCs w:val="22"/>
        </w:rPr>
        <w:t xml:space="preserve">We </w:t>
      </w:r>
      <w:r w:rsidR="00F40E68">
        <w:rPr>
          <w:bCs/>
          <w:color w:val="000000"/>
          <w:szCs w:val="22"/>
        </w:rPr>
        <w:t xml:space="preserve">also </w:t>
      </w:r>
      <w:r w:rsidRPr="00952879">
        <w:rPr>
          <w:bCs/>
          <w:color w:val="000000"/>
          <w:szCs w:val="22"/>
        </w:rPr>
        <w:t xml:space="preserve">deny Positive Hope’s argument that the Bureau </w:t>
      </w:r>
      <w:r w:rsidRPr="00952879" w:rsidR="00B81BFA">
        <w:rPr>
          <w:bCs/>
          <w:color w:val="000000"/>
          <w:szCs w:val="22"/>
        </w:rPr>
        <w:t>treated</w:t>
      </w:r>
      <w:r w:rsidRPr="00952879">
        <w:rPr>
          <w:bCs/>
          <w:color w:val="000000"/>
          <w:szCs w:val="22"/>
        </w:rPr>
        <w:t xml:space="preserve"> similarly situated parties </w:t>
      </w:r>
      <w:r w:rsidRPr="00952879" w:rsidR="00B81BFA">
        <w:rPr>
          <w:bCs/>
          <w:color w:val="000000"/>
          <w:szCs w:val="22"/>
        </w:rPr>
        <w:t>dis</w:t>
      </w:r>
      <w:r w:rsidRPr="00952879">
        <w:rPr>
          <w:bCs/>
          <w:color w:val="000000"/>
          <w:szCs w:val="22"/>
        </w:rPr>
        <w:t xml:space="preserve">similarly </w:t>
      </w:r>
      <w:r w:rsidRPr="00952879" w:rsidR="00A65B68">
        <w:rPr>
          <w:bCs/>
          <w:color w:val="000000"/>
          <w:szCs w:val="22"/>
        </w:rPr>
        <w:t xml:space="preserve">by reinstating </w:t>
      </w:r>
      <w:r w:rsidRPr="00952879">
        <w:rPr>
          <w:bCs/>
          <w:color w:val="000000"/>
          <w:szCs w:val="22"/>
        </w:rPr>
        <w:t xml:space="preserve">the Translator Application </w:t>
      </w:r>
      <w:r w:rsidRPr="00952879" w:rsidR="00A65B68">
        <w:rPr>
          <w:bCs/>
          <w:color w:val="000000"/>
          <w:szCs w:val="22"/>
        </w:rPr>
        <w:t>while</w:t>
      </w:r>
      <w:r w:rsidRPr="00952879">
        <w:rPr>
          <w:bCs/>
          <w:color w:val="000000"/>
          <w:szCs w:val="22"/>
        </w:rPr>
        <w:t xml:space="preserve">, in the </w:t>
      </w:r>
      <w:r w:rsidR="00B4339F">
        <w:rPr>
          <w:bCs/>
          <w:i/>
          <w:iCs/>
          <w:color w:val="000000"/>
          <w:szCs w:val="22"/>
        </w:rPr>
        <w:t>Silver State</w:t>
      </w:r>
      <w:r w:rsidRPr="00952879">
        <w:rPr>
          <w:bCs/>
          <w:i/>
          <w:iCs/>
          <w:color w:val="000000"/>
          <w:szCs w:val="22"/>
        </w:rPr>
        <w:t xml:space="preserve"> </w:t>
      </w:r>
      <w:r w:rsidRPr="00952879">
        <w:rPr>
          <w:bCs/>
          <w:color w:val="000000"/>
          <w:szCs w:val="22"/>
        </w:rPr>
        <w:t xml:space="preserve">proceeding, </w:t>
      </w:r>
      <w:r w:rsidRPr="00952879" w:rsidR="00A65B68">
        <w:rPr>
          <w:bCs/>
          <w:color w:val="000000"/>
          <w:szCs w:val="22"/>
        </w:rPr>
        <w:t xml:space="preserve">dismissing </w:t>
      </w:r>
      <w:r w:rsidRPr="00952879">
        <w:rPr>
          <w:bCs/>
          <w:color w:val="000000"/>
          <w:szCs w:val="22"/>
        </w:rPr>
        <w:t>a</w:t>
      </w:r>
      <w:r w:rsidRPr="00952879" w:rsidR="00A65B68">
        <w:rPr>
          <w:bCs/>
          <w:color w:val="000000"/>
          <w:szCs w:val="22"/>
        </w:rPr>
        <w:t xml:space="preserve"> </w:t>
      </w:r>
      <w:r w:rsidRPr="00952879">
        <w:rPr>
          <w:bCs/>
          <w:color w:val="000000"/>
          <w:szCs w:val="22"/>
        </w:rPr>
        <w:t>non-adjacent channel change translator modification application</w:t>
      </w:r>
      <w:r w:rsidRPr="00952879" w:rsidR="00B81BFA">
        <w:rPr>
          <w:bCs/>
          <w:color w:val="000000"/>
          <w:szCs w:val="22"/>
        </w:rPr>
        <w:t xml:space="preserve"> that also sought to move to a channel</w:t>
      </w:r>
      <w:r w:rsidR="006F36E8">
        <w:rPr>
          <w:bCs/>
          <w:color w:val="000000"/>
          <w:szCs w:val="22"/>
        </w:rPr>
        <w:t xml:space="preserve"> recently vacated as a result of a license cancellation</w:t>
      </w:r>
      <w:r w:rsidRPr="00952879">
        <w:rPr>
          <w:bCs/>
          <w:color w:val="000000"/>
          <w:szCs w:val="22"/>
        </w:rPr>
        <w:t>.</w:t>
      </w:r>
      <w:r w:rsidR="001D3D1E">
        <w:rPr>
          <w:bCs/>
          <w:color w:val="000000"/>
          <w:szCs w:val="22"/>
        </w:rPr>
        <w:t xml:space="preserve">  </w:t>
      </w:r>
      <w:r w:rsidRPr="00E66692" w:rsidR="001D3D1E">
        <w:rPr>
          <w:bCs/>
          <w:color w:val="000000"/>
          <w:szCs w:val="22"/>
        </w:rPr>
        <w:t xml:space="preserve">In </w:t>
      </w:r>
      <w:r w:rsidRPr="00E66692" w:rsidR="001D3D1E">
        <w:rPr>
          <w:bCs/>
          <w:i/>
          <w:iCs/>
          <w:color w:val="000000"/>
          <w:szCs w:val="22"/>
        </w:rPr>
        <w:t>Silver State</w:t>
      </w:r>
      <w:r w:rsidRPr="00E66692" w:rsidR="001D3D1E">
        <w:rPr>
          <w:bCs/>
          <w:color w:val="000000"/>
          <w:szCs w:val="22"/>
        </w:rPr>
        <w:t xml:space="preserve">, </w:t>
      </w:r>
      <w:r w:rsidRPr="00E66692" w:rsidR="005D0F09">
        <w:rPr>
          <w:bCs/>
          <w:color w:val="000000"/>
          <w:szCs w:val="22"/>
        </w:rPr>
        <w:t>the translator station sought to move to a channel</w:t>
      </w:r>
      <w:r w:rsidRPr="00E66692" w:rsidR="000972CE">
        <w:rPr>
          <w:bCs/>
          <w:color w:val="000000"/>
          <w:szCs w:val="22"/>
        </w:rPr>
        <w:t xml:space="preserve"> whose</w:t>
      </w:r>
      <w:r w:rsidRPr="00E66692" w:rsidR="00622308">
        <w:rPr>
          <w:bCs/>
          <w:color w:val="000000"/>
          <w:szCs w:val="22"/>
        </w:rPr>
        <w:t xml:space="preserve"> status</w:t>
      </w:r>
      <w:r w:rsidRPr="00E66692" w:rsidR="000972CE">
        <w:rPr>
          <w:bCs/>
          <w:color w:val="000000"/>
          <w:szCs w:val="22"/>
        </w:rPr>
        <w:t xml:space="preserve"> </w:t>
      </w:r>
      <w:r w:rsidRPr="00E66692" w:rsidR="00A64F01">
        <w:rPr>
          <w:bCs/>
          <w:color w:val="000000"/>
          <w:szCs w:val="22"/>
        </w:rPr>
        <w:t xml:space="preserve">was still in dispute whereas </w:t>
      </w:r>
      <w:r w:rsidR="00317F4F">
        <w:rPr>
          <w:bCs/>
          <w:color w:val="000000"/>
          <w:szCs w:val="22"/>
        </w:rPr>
        <w:t xml:space="preserve">the Bureau authorized </w:t>
      </w:r>
      <w:r w:rsidRPr="00E66692" w:rsidR="00A64F01">
        <w:rPr>
          <w:bCs/>
          <w:color w:val="000000"/>
          <w:szCs w:val="22"/>
        </w:rPr>
        <w:t>Family to move to a channel that was vacant.</w:t>
      </w:r>
      <w:r w:rsidRPr="00952879">
        <w:rPr>
          <w:bCs/>
          <w:color w:val="000000"/>
          <w:szCs w:val="22"/>
        </w:rPr>
        <w:t xml:space="preserve">  </w:t>
      </w:r>
      <w:r w:rsidRPr="004E0B73" w:rsidR="00F40E68">
        <w:rPr>
          <w:bCs/>
          <w:color w:val="000000"/>
          <w:szCs w:val="22"/>
        </w:rPr>
        <w:t>We</w:t>
      </w:r>
      <w:r w:rsidRPr="004E0B73" w:rsidR="00CE54E9">
        <w:rPr>
          <w:bCs/>
          <w:color w:val="000000"/>
          <w:szCs w:val="22"/>
        </w:rPr>
        <w:t xml:space="preserve"> clarify </w:t>
      </w:r>
      <w:r w:rsidRPr="004E0B73" w:rsidR="008B584A">
        <w:rPr>
          <w:bCs/>
          <w:color w:val="000000"/>
          <w:szCs w:val="22"/>
        </w:rPr>
        <w:t xml:space="preserve">that </w:t>
      </w:r>
      <w:r w:rsidRPr="004E0B73" w:rsidR="0061191B">
        <w:rPr>
          <w:bCs/>
          <w:color w:val="000000"/>
          <w:szCs w:val="22"/>
        </w:rPr>
        <w:t xml:space="preserve">translator stations seeking to cure interference by relocating to another </w:t>
      </w:r>
      <w:r w:rsidRPr="004E0B73" w:rsidR="000F101D">
        <w:rPr>
          <w:bCs/>
          <w:color w:val="000000"/>
          <w:szCs w:val="22"/>
        </w:rPr>
        <w:t xml:space="preserve">channel may only move to a channel </w:t>
      </w:r>
      <w:r w:rsidRPr="00284B4D" w:rsidR="008B584A">
        <w:rPr>
          <w:bCs/>
          <w:color w:val="000000"/>
          <w:szCs w:val="22"/>
        </w:rPr>
        <w:t>that is either uncontested or the subject of a final decision confirming its availability at the time the application is acted upon</w:t>
      </w:r>
      <w:r w:rsidRPr="002E0FFC" w:rsidR="008B584A">
        <w:rPr>
          <w:bCs/>
          <w:color w:val="000000"/>
          <w:szCs w:val="22"/>
        </w:rPr>
        <w:t>.</w:t>
      </w:r>
      <w:r w:rsidRPr="002E0FFC" w:rsidR="008B584A">
        <w:rPr>
          <w:snapToGrid/>
        </w:rPr>
        <w:t xml:space="preserve">  </w:t>
      </w:r>
      <w:r w:rsidR="00D134CC">
        <w:rPr>
          <w:snapToGrid/>
        </w:rPr>
        <w:t>In</w:t>
      </w:r>
      <w:r w:rsidRPr="002E0FFC" w:rsidR="00FE3C5C">
        <w:rPr>
          <w:snapToGrid/>
        </w:rPr>
        <w:t xml:space="preserve"> </w:t>
      </w:r>
      <w:r w:rsidRPr="00D134CC" w:rsidR="00D319DF">
        <w:rPr>
          <w:bCs/>
          <w:color w:val="000000"/>
          <w:szCs w:val="22"/>
        </w:rPr>
        <w:t xml:space="preserve">the </w:t>
      </w:r>
      <w:r w:rsidRPr="00D134CC" w:rsidR="00D319DF">
        <w:rPr>
          <w:bCs/>
          <w:i/>
          <w:iCs/>
          <w:color w:val="000000"/>
          <w:szCs w:val="22"/>
        </w:rPr>
        <w:t>Translator Interference Order</w:t>
      </w:r>
      <w:r w:rsidRPr="00D134CC" w:rsidR="00D319DF">
        <w:rPr>
          <w:bCs/>
          <w:color w:val="000000"/>
          <w:szCs w:val="22"/>
        </w:rPr>
        <w:t xml:space="preserve">, </w:t>
      </w:r>
      <w:r w:rsidRPr="003B78CF" w:rsidR="00D319DF">
        <w:rPr>
          <w:bCs/>
          <w:color w:val="000000"/>
          <w:szCs w:val="22"/>
        </w:rPr>
        <w:t xml:space="preserve">the Commission allowed non-adjacent channel changes </w:t>
      </w:r>
      <w:r w:rsidR="00921F33">
        <w:rPr>
          <w:bCs/>
          <w:color w:val="000000"/>
          <w:szCs w:val="22"/>
        </w:rPr>
        <w:t>in order to</w:t>
      </w:r>
      <w:r w:rsidRPr="003B78CF" w:rsidR="00D319DF">
        <w:rPr>
          <w:bCs/>
          <w:color w:val="000000"/>
          <w:szCs w:val="22"/>
        </w:rPr>
        <w:t xml:space="preserve"> “help keep translators on the air and reduce the intensity of conflicts stemming from the fact that the translator’s future operation is at stake.”</w:t>
      </w:r>
      <w:r>
        <w:rPr>
          <w:rStyle w:val="FootnoteReference"/>
          <w:bCs/>
          <w:szCs w:val="22"/>
        </w:rPr>
        <w:footnoteReference w:id="58"/>
      </w:r>
      <w:r w:rsidRPr="003B78CF" w:rsidR="00D319DF">
        <w:rPr>
          <w:bCs/>
          <w:i/>
          <w:iCs/>
          <w:color w:val="000000"/>
          <w:szCs w:val="22"/>
        </w:rPr>
        <w:t xml:space="preserve">  </w:t>
      </w:r>
      <w:r w:rsidRPr="003B78CF" w:rsidR="00D319DF">
        <w:rPr>
          <w:bCs/>
          <w:color w:val="000000"/>
          <w:szCs w:val="22"/>
        </w:rPr>
        <w:t xml:space="preserve">This purpose would not be served by permitting channel changes to contested frequencies. </w:t>
      </w:r>
      <w:r w:rsidRPr="003B78CF" w:rsidR="00424B92">
        <w:rPr>
          <w:bCs/>
          <w:color w:val="000000"/>
          <w:szCs w:val="22"/>
        </w:rPr>
        <w:t xml:space="preserve"> </w:t>
      </w:r>
      <w:r w:rsidR="00F726E1">
        <w:rPr>
          <w:bCs/>
          <w:color w:val="000000"/>
          <w:szCs w:val="22"/>
        </w:rPr>
        <w:t xml:space="preserve">Rather, </w:t>
      </w:r>
      <w:r w:rsidRPr="00327E55" w:rsidR="00BB111E">
        <w:rPr>
          <w:bCs/>
          <w:color w:val="000000"/>
          <w:szCs w:val="22"/>
        </w:rPr>
        <w:t>granting</w:t>
      </w:r>
      <w:r w:rsidRPr="003B78CF" w:rsidR="00424B92">
        <w:rPr>
          <w:bCs/>
          <w:color w:val="000000"/>
          <w:szCs w:val="22"/>
        </w:rPr>
        <w:t xml:space="preserve"> non-adjacent channel changes prior to a final decision confirming the propos</w:t>
      </w:r>
      <w:r w:rsidRPr="002E0FFC" w:rsidR="00424B92">
        <w:rPr>
          <w:bCs/>
          <w:color w:val="000000"/>
          <w:szCs w:val="22"/>
        </w:rPr>
        <w:t xml:space="preserve">ed channel’s availability would </w:t>
      </w:r>
      <w:r w:rsidRPr="00921F33" w:rsidR="00424B92">
        <w:rPr>
          <w:bCs/>
          <w:color w:val="000000"/>
          <w:szCs w:val="22"/>
        </w:rPr>
        <w:t xml:space="preserve">encourage translator operators to </w:t>
      </w:r>
      <w:r w:rsidRPr="00327E55" w:rsidR="00BB111E">
        <w:rPr>
          <w:bCs/>
          <w:color w:val="000000"/>
          <w:szCs w:val="22"/>
        </w:rPr>
        <w:t xml:space="preserve">attempt </w:t>
      </w:r>
      <w:r w:rsidRPr="00327E55" w:rsidR="00424B92">
        <w:rPr>
          <w:bCs/>
          <w:color w:val="000000"/>
          <w:szCs w:val="22"/>
        </w:rPr>
        <w:t>to</w:t>
      </w:r>
      <w:r w:rsidRPr="00921F33" w:rsidR="00424B92">
        <w:rPr>
          <w:bCs/>
          <w:color w:val="000000"/>
          <w:szCs w:val="22"/>
        </w:rPr>
        <w:t xml:space="preserve"> remediate interference by relocating to channels that may not be viable</w:t>
      </w:r>
      <w:r w:rsidR="0084246E">
        <w:rPr>
          <w:bCs/>
          <w:color w:val="000000"/>
          <w:szCs w:val="22"/>
        </w:rPr>
        <w:t>,</w:t>
      </w:r>
      <w:r w:rsidR="00F40E68">
        <w:rPr>
          <w:bCs/>
          <w:color w:val="000000"/>
          <w:szCs w:val="22"/>
        </w:rPr>
        <w:t xml:space="preserve"> thus risk</w:t>
      </w:r>
      <w:r w:rsidR="0084246E">
        <w:rPr>
          <w:bCs/>
          <w:color w:val="000000"/>
          <w:szCs w:val="22"/>
        </w:rPr>
        <w:t>ing</w:t>
      </w:r>
      <w:r w:rsidR="00F40E68">
        <w:rPr>
          <w:bCs/>
          <w:color w:val="000000"/>
          <w:szCs w:val="22"/>
        </w:rPr>
        <w:t xml:space="preserve"> the translator being caught in a situation where it can neither return to its original channel </w:t>
      </w:r>
      <w:r w:rsidR="0084246E">
        <w:rPr>
          <w:bCs/>
          <w:color w:val="000000"/>
          <w:szCs w:val="22"/>
        </w:rPr>
        <w:t xml:space="preserve">(due to interference) </w:t>
      </w:r>
      <w:r w:rsidR="00F40E68">
        <w:rPr>
          <w:bCs/>
          <w:color w:val="000000"/>
          <w:szCs w:val="22"/>
        </w:rPr>
        <w:t>nor construct on the new one</w:t>
      </w:r>
      <w:r w:rsidR="0084246E">
        <w:rPr>
          <w:bCs/>
          <w:color w:val="000000"/>
          <w:szCs w:val="22"/>
        </w:rPr>
        <w:t xml:space="preserve"> (if an appeal results in the frequency being occupied by another station).  This situation </w:t>
      </w:r>
      <w:r w:rsidRPr="00921F33" w:rsidR="00424B92">
        <w:rPr>
          <w:bCs/>
          <w:color w:val="000000"/>
          <w:szCs w:val="22"/>
        </w:rPr>
        <w:t xml:space="preserve">would contravene the Commission’s clearly </w:t>
      </w:r>
      <w:r w:rsidRPr="00921F33" w:rsidR="00424B92">
        <w:rPr>
          <w:bCs/>
          <w:color w:val="000000"/>
          <w:szCs w:val="22"/>
        </w:rPr>
        <w:t>expressed intent to prevent such proposals</w:t>
      </w:r>
      <w:r w:rsidRPr="002E0FFC" w:rsidR="00424B92">
        <w:rPr>
          <w:bCs/>
          <w:color w:val="000000"/>
          <w:szCs w:val="22"/>
        </w:rPr>
        <w:t>.</w:t>
      </w:r>
      <w:r>
        <w:rPr>
          <w:rStyle w:val="FootnoteReference"/>
          <w:bCs/>
          <w:szCs w:val="22"/>
        </w:rPr>
        <w:footnoteReference w:id="59"/>
      </w:r>
      <w:r w:rsidRPr="003B78CF" w:rsidR="00424B92">
        <w:rPr>
          <w:bCs/>
          <w:color w:val="000000"/>
          <w:szCs w:val="22"/>
        </w:rPr>
        <w:t xml:space="preserve">  </w:t>
      </w:r>
      <w:r w:rsidR="00415CF4">
        <w:rPr>
          <w:bCs/>
          <w:color w:val="000000"/>
          <w:szCs w:val="22"/>
        </w:rPr>
        <w:t>In addition</w:t>
      </w:r>
      <w:r w:rsidR="000C79D0">
        <w:rPr>
          <w:bCs/>
          <w:color w:val="000000"/>
          <w:szCs w:val="22"/>
        </w:rPr>
        <w:t>, a translator seeking to remediate interference on its existing channel is often operating under a Commission-imposed deadline to resolve the interference.  Relying on a channel whose availability is the subject of an ongoing proceeding</w:t>
      </w:r>
      <w:r w:rsidRPr="000C79D0" w:rsidR="000C79D0">
        <w:rPr>
          <w:bCs/>
          <w:color w:val="000000"/>
          <w:szCs w:val="22"/>
        </w:rPr>
        <w:t xml:space="preserve"> </w:t>
      </w:r>
      <w:r w:rsidR="000C79D0">
        <w:rPr>
          <w:bCs/>
          <w:color w:val="000000"/>
          <w:szCs w:val="22"/>
        </w:rPr>
        <w:t xml:space="preserve">would risk undermining the translator’s ability to meet </w:t>
      </w:r>
      <w:r w:rsidR="00F848D6">
        <w:rPr>
          <w:bCs/>
          <w:color w:val="000000"/>
          <w:szCs w:val="22"/>
        </w:rPr>
        <w:t>that</w:t>
      </w:r>
      <w:r w:rsidR="000C79D0">
        <w:rPr>
          <w:bCs/>
          <w:color w:val="000000"/>
          <w:szCs w:val="22"/>
        </w:rPr>
        <w:t xml:space="preserve"> deadline. </w:t>
      </w:r>
      <w:r w:rsidR="00F848D6">
        <w:rPr>
          <w:bCs/>
          <w:color w:val="000000"/>
          <w:szCs w:val="22"/>
        </w:rPr>
        <w:t xml:space="preserve"> </w:t>
      </w:r>
      <w:r w:rsidRPr="003B78CF" w:rsidR="00A65B68">
        <w:rPr>
          <w:bCs/>
          <w:color w:val="000000"/>
          <w:szCs w:val="22"/>
        </w:rPr>
        <w:t xml:space="preserve">For these reasons, </w:t>
      </w:r>
      <w:r w:rsidRPr="00327E55" w:rsidR="00A65B68">
        <w:rPr>
          <w:bCs/>
          <w:color w:val="000000"/>
          <w:szCs w:val="22"/>
        </w:rPr>
        <w:t xml:space="preserve">we </w:t>
      </w:r>
      <w:r w:rsidRPr="00327E55" w:rsidR="00BA03AA">
        <w:rPr>
          <w:bCs/>
          <w:color w:val="000000"/>
          <w:szCs w:val="22"/>
        </w:rPr>
        <w:t xml:space="preserve">conclude </w:t>
      </w:r>
      <w:r w:rsidRPr="00327E55" w:rsidR="00A65B68">
        <w:rPr>
          <w:bCs/>
          <w:color w:val="000000"/>
          <w:szCs w:val="22"/>
        </w:rPr>
        <w:t>that</w:t>
      </w:r>
      <w:r w:rsidRPr="00327E55" w:rsidR="0084246E">
        <w:rPr>
          <w:bCs/>
          <w:color w:val="000000"/>
          <w:szCs w:val="22"/>
        </w:rPr>
        <w:t xml:space="preserve"> the Commission intended </w:t>
      </w:r>
      <w:r w:rsidRPr="00327E55" w:rsidR="00A576E7">
        <w:rPr>
          <w:bCs/>
          <w:color w:val="000000"/>
          <w:szCs w:val="22"/>
        </w:rPr>
        <w:t xml:space="preserve">that </w:t>
      </w:r>
      <w:r w:rsidRPr="00327E55" w:rsidR="00BB111E">
        <w:rPr>
          <w:bCs/>
          <w:color w:val="000000"/>
          <w:szCs w:val="22"/>
        </w:rPr>
        <w:t xml:space="preserve">a </w:t>
      </w:r>
      <w:r w:rsidRPr="00327E55" w:rsidR="00A576E7">
        <w:rPr>
          <w:bCs/>
          <w:color w:val="000000"/>
          <w:szCs w:val="22"/>
        </w:rPr>
        <w:t xml:space="preserve">channel used to eliminate interference </w:t>
      </w:r>
      <w:r w:rsidRPr="00327E55" w:rsidR="00BB111E">
        <w:rPr>
          <w:bCs/>
          <w:color w:val="000000"/>
          <w:szCs w:val="22"/>
        </w:rPr>
        <w:t xml:space="preserve">would </w:t>
      </w:r>
      <w:r w:rsidRPr="00327E55" w:rsidR="00A576E7">
        <w:rPr>
          <w:bCs/>
          <w:color w:val="000000"/>
          <w:szCs w:val="22"/>
        </w:rPr>
        <w:t>be limited</w:t>
      </w:r>
      <w:r w:rsidR="00A576E7">
        <w:rPr>
          <w:bCs/>
          <w:color w:val="000000"/>
          <w:szCs w:val="22"/>
        </w:rPr>
        <w:t xml:space="preserve"> to </w:t>
      </w:r>
      <w:r w:rsidRPr="004E0B73" w:rsidR="00A920E1">
        <w:rPr>
          <w:bCs/>
          <w:color w:val="000000"/>
          <w:szCs w:val="22"/>
        </w:rPr>
        <w:t xml:space="preserve">a </w:t>
      </w:r>
      <w:r w:rsidRPr="004E0B73" w:rsidR="00DB4EE4">
        <w:rPr>
          <w:bCs/>
          <w:color w:val="000000"/>
          <w:szCs w:val="22"/>
        </w:rPr>
        <w:t xml:space="preserve">channel that </w:t>
      </w:r>
      <w:r w:rsidRPr="00A576E7" w:rsidR="00A920E1">
        <w:rPr>
          <w:bCs/>
          <w:color w:val="000000"/>
          <w:szCs w:val="22"/>
        </w:rPr>
        <w:t>is</w:t>
      </w:r>
      <w:r w:rsidRPr="00A576E7" w:rsidR="00DB4EE4">
        <w:rPr>
          <w:bCs/>
          <w:color w:val="000000"/>
          <w:szCs w:val="22"/>
        </w:rPr>
        <w:t xml:space="preserve"> </w:t>
      </w:r>
      <w:r w:rsidRPr="00A576E7" w:rsidR="00AB2283">
        <w:rPr>
          <w:bCs/>
          <w:color w:val="000000"/>
          <w:szCs w:val="22"/>
        </w:rPr>
        <w:t>either</w:t>
      </w:r>
      <w:r w:rsidRPr="002E0FFC" w:rsidR="00AB2283">
        <w:rPr>
          <w:bCs/>
          <w:color w:val="000000"/>
          <w:szCs w:val="22"/>
        </w:rPr>
        <w:t xml:space="preserve"> uncontested or the subject of a final decision confirming its </w:t>
      </w:r>
      <w:bookmarkStart w:id="10" w:name="_Hlk99374249"/>
      <w:r w:rsidRPr="002E0FFC" w:rsidR="00AB2283">
        <w:rPr>
          <w:bCs/>
          <w:color w:val="000000"/>
          <w:szCs w:val="22"/>
        </w:rPr>
        <w:t>availability at the time the application is acted upon</w:t>
      </w:r>
      <w:bookmarkEnd w:id="10"/>
      <w:r w:rsidRPr="00D134CC" w:rsidR="00A65B68">
        <w:rPr>
          <w:bCs/>
          <w:color w:val="000000"/>
          <w:szCs w:val="22"/>
        </w:rPr>
        <w:t>.</w:t>
      </w:r>
      <w:r>
        <w:rPr>
          <w:rStyle w:val="FootnoteReference"/>
          <w:bCs/>
          <w:szCs w:val="22"/>
        </w:rPr>
        <w:footnoteReference w:id="60"/>
      </w:r>
      <w:r w:rsidRPr="003B78CF" w:rsidR="00A65B68">
        <w:rPr>
          <w:bCs/>
          <w:color w:val="000000"/>
          <w:szCs w:val="22"/>
        </w:rPr>
        <w:t xml:space="preserve">  </w:t>
      </w:r>
      <w:bookmarkEnd w:id="8"/>
    </w:p>
    <w:p w:rsidR="00A65B68" w:rsidRPr="00236406" w:rsidP="00651494" w14:paraId="6C971D0A" w14:textId="2DA474C4">
      <w:pPr>
        <w:pStyle w:val="ParaNum"/>
        <w:rPr>
          <w:snapToGrid/>
        </w:rPr>
      </w:pPr>
      <w:r w:rsidRPr="00213BC6">
        <w:rPr>
          <w:bCs/>
          <w:color w:val="000000"/>
          <w:szCs w:val="22"/>
        </w:rPr>
        <w:t xml:space="preserve">Applying this </w:t>
      </w:r>
      <w:r w:rsidRPr="00213BC6" w:rsidR="00236406">
        <w:rPr>
          <w:bCs/>
          <w:color w:val="000000"/>
          <w:szCs w:val="22"/>
        </w:rPr>
        <w:t>analysis</w:t>
      </w:r>
      <w:r w:rsidRPr="00213BC6">
        <w:rPr>
          <w:bCs/>
          <w:color w:val="000000"/>
          <w:szCs w:val="22"/>
        </w:rPr>
        <w:t xml:space="preserve"> to the facts before us, we </w:t>
      </w:r>
      <w:r w:rsidRPr="00213BC6" w:rsidR="0084246E">
        <w:rPr>
          <w:bCs/>
          <w:color w:val="000000"/>
          <w:szCs w:val="22"/>
        </w:rPr>
        <w:t xml:space="preserve">note </w:t>
      </w:r>
      <w:r w:rsidRPr="00213BC6">
        <w:rPr>
          <w:bCs/>
          <w:color w:val="000000"/>
          <w:szCs w:val="22"/>
        </w:rPr>
        <w:t xml:space="preserve">that the DKRSA-LP cancellation </w:t>
      </w:r>
      <w:r w:rsidRPr="00213BC6" w:rsidR="00DD5DB1">
        <w:rPr>
          <w:bCs/>
          <w:color w:val="000000"/>
          <w:szCs w:val="22"/>
        </w:rPr>
        <w:t>became final on October 14, 2019,</w:t>
      </w:r>
      <w:r>
        <w:rPr>
          <w:rStyle w:val="FootnoteReference"/>
          <w:bCs/>
          <w:szCs w:val="22"/>
        </w:rPr>
        <w:footnoteReference w:id="61"/>
      </w:r>
      <w:r w:rsidRPr="00213BC6">
        <w:rPr>
          <w:bCs/>
          <w:color w:val="000000"/>
          <w:szCs w:val="22"/>
        </w:rPr>
        <w:t xml:space="preserve"> and therefore </w:t>
      </w:r>
      <w:r w:rsidRPr="00213BC6" w:rsidR="001A2692">
        <w:rPr>
          <w:bCs/>
          <w:color w:val="000000"/>
          <w:szCs w:val="22"/>
        </w:rPr>
        <w:t>Channel 266</w:t>
      </w:r>
      <w:r w:rsidRPr="00213BC6">
        <w:rPr>
          <w:bCs/>
          <w:color w:val="000000"/>
          <w:szCs w:val="22"/>
        </w:rPr>
        <w:t xml:space="preserve"> was available </w:t>
      </w:r>
      <w:r w:rsidRPr="00213BC6" w:rsidR="00AE4A66">
        <w:rPr>
          <w:bCs/>
          <w:color w:val="000000"/>
          <w:szCs w:val="22"/>
        </w:rPr>
        <w:t>after that date, both when the Bureau reinstated the Amended Translator Application as well as at the time of the grant of the application herein.</w:t>
      </w:r>
      <w:r w:rsidR="00213BC6">
        <w:rPr>
          <w:bCs/>
          <w:color w:val="000000"/>
          <w:szCs w:val="22"/>
        </w:rPr>
        <w:t xml:space="preserve"> </w:t>
      </w:r>
      <w:r>
        <w:rPr>
          <w:bCs/>
          <w:color w:val="000000"/>
          <w:szCs w:val="22"/>
        </w:rPr>
        <w:t xml:space="preserve"> </w:t>
      </w:r>
      <w:r w:rsidR="00ED1BBF">
        <w:rPr>
          <w:bCs/>
          <w:color w:val="000000"/>
          <w:szCs w:val="22"/>
        </w:rPr>
        <w:t>T</w:t>
      </w:r>
      <w:r w:rsidR="009A0424">
        <w:rPr>
          <w:bCs/>
          <w:color w:val="000000"/>
          <w:szCs w:val="22"/>
        </w:rPr>
        <w:t>he</w:t>
      </w:r>
      <w:r w:rsidR="008770F5">
        <w:rPr>
          <w:bCs/>
          <w:color w:val="000000"/>
          <w:szCs w:val="22"/>
        </w:rPr>
        <w:t xml:space="preserve"> </w:t>
      </w:r>
      <w:r w:rsidR="00F726E1">
        <w:rPr>
          <w:bCs/>
          <w:i/>
          <w:iCs/>
          <w:color w:val="000000"/>
          <w:szCs w:val="22"/>
        </w:rPr>
        <w:t>Silver State</w:t>
      </w:r>
      <w:r w:rsidR="00F726E1">
        <w:rPr>
          <w:bCs/>
          <w:color w:val="000000"/>
          <w:szCs w:val="22"/>
        </w:rPr>
        <w:t xml:space="preserve"> </w:t>
      </w:r>
      <w:r w:rsidR="008770F5">
        <w:rPr>
          <w:bCs/>
          <w:color w:val="000000"/>
          <w:szCs w:val="22"/>
        </w:rPr>
        <w:t>decision</w:t>
      </w:r>
      <w:r w:rsidR="009A0424">
        <w:rPr>
          <w:bCs/>
          <w:color w:val="000000"/>
          <w:szCs w:val="22"/>
        </w:rPr>
        <w:t xml:space="preserve"> is entirely consistent with </w:t>
      </w:r>
      <w:r w:rsidR="00225E96">
        <w:rPr>
          <w:bCs/>
          <w:color w:val="000000"/>
          <w:szCs w:val="22"/>
        </w:rPr>
        <w:t>our</w:t>
      </w:r>
      <w:r w:rsidR="009A0424">
        <w:rPr>
          <w:bCs/>
          <w:color w:val="000000"/>
          <w:szCs w:val="22"/>
        </w:rPr>
        <w:t xml:space="preserve"> analysis</w:t>
      </w:r>
      <w:r w:rsidR="00225E96">
        <w:rPr>
          <w:bCs/>
          <w:color w:val="000000"/>
          <w:szCs w:val="22"/>
        </w:rPr>
        <w:t>.  In that situation, the</w:t>
      </w:r>
      <w:r w:rsidR="008770F5">
        <w:rPr>
          <w:bCs/>
          <w:color w:val="000000"/>
          <w:szCs w:val="22"/>
        </w:rPr>
        <w:t xml:space="preserve"> </w:t>
      </w:r>
      <w:r w:rsidR="00312EF0">
        <w:rPr>
          <w:bCs/>
          <w:color w:val="000000"/>
          <w:szCs w:val="22"/>
        </w:rPr>
        <w:t xml:space="preserve">Bureau </w:t>
      </w:r>
      <w:r w:rsidR="008770F5">
        <w:rPr>
          <w:bCs/>
          <w:color w:val="000000"/>
          <w:szCs w:val="22"/>
        </w:rPr>
        <w:t xml:space="preserve">determined </w:t>
      </w:r>
      <w:r w:rsidR="00F726E1">
        <w:rPr>
          <w:bCs/>
          <w:color w:val="000000"/>
          <w:szCs w:val="22"/>
        </w:rPr>
        <w:t xml:space="preserve">that a channel was </w:t>
      </w:r>
      <w:r w:rsidRPr="00F648EA" w:rsidR="00F726E1">
        <w:rPr>
          <w:bCs/>
          <w:color w:val="000000"/>
          <w:szCs w:val="22"/>
        </w:rPr>
        <w:t xml:space="preserve">not </w:t>
      </w:r>
      <w:r w:rsidR="00F726E1">
        <w:rPr>
          <w:bCs/>
          <w:color w:val="000000"/>
          <w:szCs w:val="22"/>
        </w:rPr>
        <w:t>available because the cancellation of the original licensee on that channel was still under appeal</w:t>
      </w:r>
      <w:r w:rsidR="0058797F">
        <w:rPr>
          <w:bCs/>
          <w:color w:val="000000"/>
          <w:szCs w:val="22"/>
        </w:rPr>
        <w:t xml:space="preserve"> at the time the subject application was processed by the Bureau</w:t>
      </w:r>
      <w:r w:rsidR="00F726E1">
        <w:rPr>
          <w:bCs/>
          <w:color w:val="000000"/>
          <w:szCs w:val="22"/>
        </w:rPr>
        <w:t>.</w:t>
      </w:r>
      <w:r>
        <w:rPr>
          <w:rStyle w:val="FootnoteReference"/>
          <w:bCs/>
          <w:szCs w:val="22"/>
        </w:rPr>
        <w:footnoteReference w:id="62"/>
      </w:r>
      <w:r w:rsidR="00415CF4">
        <w:rPr>
          <w:bCs/>
          <w:color w:val="000000"/>
          <w:szCs w:val="22"/>
        </w:rPr>
        <w:t xml:space="preserve"> </w:t>
      </w:r>
      <w:r w:rsidR="00F726E1">
        <w:rPr>
          <w:bCs/>
          <w:color w:val="000000"/>
          <w:szCs w:val="22"/>
        </w:rPr>
        <w:t xml:space="preserve"> </w:t>
      </w:r>
      <w:r w:rsidR="00FD3FE4">
        <w:rPr>
          <w:bCs/>
          <w:color w:val="000000"/>
          <w:szCs w:val="22"/>
        </w:rPr>
        <w:t xml:space="preserve">Although as a Bureau-level decision </w:t>
      </w:r>
      <w:r w:rsidR="00FD3FE4">
        <w:rPr>
          <w:bCs/>
          <w:i/>
          <w:iCs/>
          <w:color w:val="000000"/>
          <w:szCs w:val="22"/>
        </w:rPr>
        <w:t xml:space="preserve">Silver State </w:t>
      </w:r>
      <w:r w:rsidR="00FD3FE4">
        <w:rPr>
          <w:bCs/>
          <w:color w:val="000000"/>
          <w:szCs w:val="22"/>
        </w:rPr>
        <w:t>is not binding on the Commission, we hereby affirm the reasoning therein with respect to channel availability.</w:t>
      </w:r>
      <w:r>
        <w:rPr>
          <w:rStyle w:val="FootnoteReference"/>
          <w:bCs/>
          <w:szCs w:val="22"/>
        </w:rPr>
        <w:footnoteReference w:id="63"/>
      </w:r>
      <w:r w:rsidR="00FD3FE4">
        <w:rPr>
          <w:bCs/>
          <w:color w:val="000000"/>
          <w:szCs w:val="22"/>
        </w:rPr>
        <w:t xml:space="preserve">  </w:t>
      </w:r>
    </w:p>
    <w:bookmarkEnd w:id="9"/>
    <w:p w:rsidR="00250485" w:rsidRPr="00D05CAD" w:rsidP="00651494" w14:paraId="11B2B0F8" w14:textId="36A6E63D">
      <w:pPr>
        <w:pStyle w:val="ParaNum"/>
        <w:rPr>
          <w:snapToGrid/>
        </w:rPr>
      </w:pPr>
      <w:r w:rsidRPr="00D05CAD">
        <w:rPr>
          <w:snapToGrid/>
        </w:rPr>
        <w:t xml:space="preserve">Upon review of the Application for Review and the entire record, we conclude that Positive Hope has not demonstrated that the </w:t>
      </w:r>
      <w:r w:rsidRPr="00D05CAD">
        <w:rPr>
          <w:bCs/>
          <w:i/>
          <w:iCs/>
          <w:color w:val="000000"/>
          <w:szCs w:val="22"/>
        </w:rPr>
        <w:t>Reconsideration</w:t>
      </w:r>
      <w:r w:rsidRPr="00D05CAD">
        <w:rPr>
          <w:i/>
          <w:snapToGrid/>
        </w:rPr>
        <w:t xml:space="preserve"> Letter</w:t>
      </w:r>
      <w:r w:rsidRPr="00D05CAD">
        <w:rPr>
          <w:snapToGrid/>
        </w:rPr>
        <w:t xml:space="preserve"> conflicts with statute, regulation, precedent or established Commission policy, </w:t>
      </w:r>
      <w:r w:rsidRPr="00C0251F">
        <w:t>involves</w:t>
      </w:r>
      <w:r w:rsidRPr="00D05CAD">
        <w:rPr>
          <w:snapToGrid/>
        </w:rPr>
        <w:t xml:space="preserve"> application of a precedent or policy that should be overturned, or contains an erroneous finding as to an important or material factual question.</w:t>
      </w:r>
    </w:p>
    <w:p w:rsidR="00CE5965" w:rsidRPr="00DD50B9" w:rsidP="00651494" w14:paraId="4517DCD6" w14:textId="27054884">
      <w:pPr>
        <w:pStyle w:val="Heading1"/>
        <w:keepNext w:val="0"/>
        <w:suppressAutoHyphens w:val="0"/>
        <w:rPr>
          <w:snapToGrid/>
        </w:rPr>
      </w:pPr>
      <w:r>
        <w:rPr>
          <w:snapToGrid/>
        </w:rPr>
        <w:t>Ordering clause</w:t>
      </w:r>
    </w:p>
    <w:p w:rsidR="0090606C" w:rsidP="00651494" w14:paraId="70FA2640" w14:textId="064E1640">
      <w:pPr>
        <w:pStyle w:val="ParaNum"/>
        <w:rPr>
          <w:snapToGrid/>
        </w:rPr>
      </w:pPr>
      <w:r w:rsidRPr="00651494">
        <w:rPr>
          <w:b/>
          <w:bCs/>
          <w:snapToGrid/>
        </w:rPr>
        <w:t>ACCORDINGLY, IT IS ORDERED</w:t>
      </w:r>
      <w:r w:rsidRPr="0040710F">
        <w:rPr>
          <w:snapToGrid/>
        </w:rPr>
        <w:t xml:space="preserve"> that, pursuant to Section 5(c)(5) of the Communications Act of 1934, as amended,</w:t>
      </w:r>
      <w:r>
        <w:rPr>
          <w:snapToGrid/>
          <w:vertAlign w:val="superscript"/>
        </w:rPr>
        <w:footnoteReference w:id="64"/>
      </w:r>
      <w:r w:rsidRPr="0040710F">
        <w:rPr>
          <w:snapToGrid/>
        </w:rPr>
        <w:t xml:space="preserve"> and Sectio</w:t>
      </w:r>
      <w:r w:rsidR="008065DC">
        <w:rPr>
          <w:snapToGrid/>
        </w:rPr>
        <w:t>n 1.115(g) of the Commission’s R</w:t>
      </w:r>
      <w:r w:rsidRPr="0040710F">
        <w:rPr>
          <w:snapToGrid/>
        </w:rPr>
        <w:t>ules,</w:t>
      </w:r>
      <w:r>
        <w:rPr>
          <w:snapToGrid/>
          <w:vertAlign w:val="superscript"/>
        </w:rPr>
        <w:footnoteReference w:id="65"/>
      </w:r>
      <w:r w:rsidRPr="0040710F">
        <w:rPr>
          <w:snapToGrid/>
        </w:rPr>
        <w:t xml:space="preserve"> the Application for Review IS</w:t>
      </w:r>
      <w:r w:rsidR="00143A5A">
        <w:rPr>
          <w:snapToGrid/>
        </w:rPr>
        <w:t xml:space="preserve"> DISMISSED to the extent d</w:t>
      </w:r>
      <w:r w:rsidR="00FA531A">
        <w:rPr>
          <w:snapToGrid/>
        </w:rPr>
        <w:t>iscussed</w:t>
      </w:r>
      <w:r w:rsidR="00143A5A">
        <w:rPr>
          <w:snapToGrid/>
        </w:rPr>
        <w:t xml:space="preserve"> </w:t>
      </w:r>
      <w:r w:rsidR="0058797F">
        <w:rPr>
          <w:snapToGrid/>
        </w:rPr>
        <w:t xml:space="preserve">herein </w:t>
      </w:r>
      <w:r w:rsidR="00143A5A">
        <w:rPr>
          <w:snapToGrid/>
        </w:rPr>
        <w:t xml:space="preserve">and otherwise </w:t>
      </w:r>
      <w:r w:rsidRPr="00651494" w:rsidR="00143A5A">
        <w:rPr>
          <w:b/>
          <w:bCs/>
          <w:snapToGrid/>
        </w:rPr>
        <w:t xml:space="preserve">IS </w:t>
      </w:r>
      <w:r w:rsidRPr="00651494">
        <w:rPr>
          <w:b/>
          <w:bCs/>
          <w:snapToGrid/>
        </w:rPr>
        <w:t>DENIED</w:t>
      </w:r>
      <w:r w:rsidRPr="0040710F">
        <w:rPr>
          <w:snapToGrid/>
        </w:rPr>
        <w:t xml:space="preserve">.  </w:t>
      </w:r>
    </w:p>
    <w:p w:rsidR="006D63B5" w:rsidRPr="00C90DD7" w:rsidP="00651494" w14:paraId="368BD1F9" w14:textId="579D1359">
      <w:pPr>
        <w:pStyle w:val="ParaNum"/>
        <w:rPr>
          <w:snapToGrid/>
        </w:rPr>
      </w:pPr>
      <w:r w:rsidRPr="00651494">
        <w:rPr>
          <w:b/>
          <w:bCs/>
          <w:snapToGrid/>
        </w:rPr>
        <w:t>IT IS FURTHER ORDERED</w:t>
      </w:r>
      <w:r>
        <w:rPr>
          <w:snapToGrid/>
        </w:rPr>
        <w:t xml:space="preserve"> that the </w:t>
      </w:r>
      <w:r w:rsidR="00442EF8">
        <w:rPr>
          <w:snapToGrid/>
        </w:rPr>
        <w:t xml:space="preserve">long-form </w:t>
      </w:r>
      <w:r>
        <w:rPr>
          <w:snapToGrid/>
        </w:rPr>
        <w:t xml:space="preserve">application filed by </w:t>
      </w:r>
      <w:r w:rsidR="00C90DD7">
        <w:t xml:space="preserve">Family Stations, Inc. on </w:t>
      </w:r>
      <w:r w:rsidR="00985F55">
        <w:t xml:space="preserve">July 31, 2019, and </w:t>
      </w:r>
      <w:r w:rsidRPr="00C0251F" w:rsidR="00985F55">
        <w:rPr>
          <w:snapToGrid/>
        </w:rPr>
        <w:t>amended</w:t>
      </w:r>
      <w:r w:rsidR="00985F55">
        <w:t xml:space="preserve"> on </w:t>
      </w:r>
      <w:r w:rsidR="00C90DD7">
        <w:t xml:space="preserve">September 6, 2019 </w:t>
      </w:r>
      <w:r w:rsidR="00C90DD7">
        <w:rPr>
          <w:snapToGrid/>
        </w:rPr>
        <w:t xml:space="preserve">(Application File No. </w:t>
      </w:r>
      <w:r w:rsidRPr="00C90DD7" w:rsidR="00C90DD7">
        <w:rPr>
          <w:snapToGrid/>
        </w:rPr>
        <w:t>BNPFT-20190731AAZ</w:t>
      </w:r>
      <w:r w:rsidR="00C90DD7">
        <w:rPr>
          <w:snapToGrid/>
        </w:rPr>
        <w:t xml:space="preserve">), </w:t>
      </w:r>
      <w:r w:rsidRPr="00651494" w:rsidR="00C90DD7">
        <w:rPr>
          <w:b/>
          <w:bCs/>
          <w:snapToGrid/>
        </w:rPr>
        <w:t>IS GRANTED</w:t>
      </w:r>
      <w:r w:rsidR="00C90DD7">
        <w:rPr>
          <w:snapToGrid/>
        </w:rPr>
        <w:t>.</w:t>
      </w:r>
      <w:r w:rsidRPr="00C90DD7" w:rsidR="00C90DD7">
        <w:rPr>
          <w:snapToGrid/>
        </w:rPr>
        <w:t xml:space="preserve"> </w:t>
      </w:r>
    </w:p>
    <w:p w:rsidR="0090606C" w:rsidP="00651494" w14:paraId="70FA2641" w14:textId="77777777">
      <w:r>
        <w:tab/>
      </w:r>
      <w:r>
        <w:tab/>
      </w:r>
      <w:r>
        <w:tab/>
      </w:r>
      <w:r>
        <w:tab/>
      </w:r>
      <w:r>
        <w:tab/>
      </w:r>
      <w:r>
        <w:tab/>
        <w:t>FEDERAL COMMUNICATIONS COMMISSION</w:t>
      </w:r>
    </w:p>
    <w:p w:rsidR="0090606C" w:rsidP="00651494" w14:paraId="70FA2642" w14:textId="77777777"/>
    <w:p w:rsidR="0090606C" w:rsidP="00651494" w14:paraId="70FA2643" w14:textId="77777777"/>
    <w:p w:rsidR="0090606C" w:rsidP="00651494" w14:paraId="70FA2644" w14:textId="77777777"/>
    <w:p w:rsidR="0090606C" w:rsidP="00651494" w14:paraId="70FA2645" w14:textId="77777777"/>
    <w:p w:rsidR="0090606C" w:rsidP="00651494" w14:paraId="70FA2646" w14:textId="77777777">
      <w:r>
        <w:tab/>
      </w:r>
      <w:r>
        <w:tab/>
      </w:r>
      <w:r>
        <w:tab/>
      </w:r>
      <w:r>
        <w:tab/>
      </w:r>
      <w:r>
        <w:tab/>
      </w:r>
      <w:r>
        <w:tab/>
        <w:t>Marlene H. Dortch</w:t>
      </w:r>
    </w:p>
    <w:p w:rsidR="0090606C" w:rsidP="00651494" w14:paraId="70FA2647" w14:textId="77777777">
      <w:r>
        <w:tab/>
      </w:r>
      <w:r>
        <w:tab/>
      </w:r>
      <w:r>
        <w:tab/>
      </w:r>
      <w:r>
        <w:tab/>
      </w:r>
      <w:r>
        <w:tab/>
      </w:r>
      <w:r>
        <w:tab/>
        <w:t>Secretary</w:t>
      </w: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50A0" w:rsidP="0055614C" w14:paraId="70FA2655" w14:textId="77777777">
    <w:pPr>
      <w:pStyle w:val="Footer"/>
      <w:framePr w:wrap="around" w:vAnchor="text" w:hAnchor="margin" w:xAlign="center" w:y="1"/>
    </w:pPr>
    <w:r>
      <w:fldChar w:fldCharType="begin"/>
    </w:r>
    <w:r>
      <w:instrText xml:space="preserve">PAGE  </w:instrText>
    </w:r>
    <w:r>
      <w:fldChar w:fldCharType="separate"/>
    </w:r>
    <w:r>
      <w:fldChar w:fldCharType="end"/>
    </w:r>
  </w:p>
  <w:p w:rsidR="007650A0" w14:paraId="70FA265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50A0" w:rsidP="0055614C" w14:paraId="70FA2657"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7650A0" w14:paraId="70FA265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50A0" w14:paraId="70FA265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06BD6" w14:paraId="49128334" w14:textId="77777777">
      <w:r>
        <w:separator/>
      </w:r>
    </w:p>
  </w:footnote>
  <w:footnote w:type="continuationSeparator" w:id="1">
    <w:p w:rsidR="00106BD6" w:rsidP="00C721AC" w14:paraId="4B6DED84" w14:textId="77777777">
      <w:pPr>
        <w:spacing w:before="120"/>
        <w:rPr>
          <w:sz w:val="20"/>
        </w:rPr>
      </w:pPr>
      <w:r>
        <w:rPr>
          <w:sz w:val="20"/>
        </w:rPr>
        <w:t xml:space="preserve">(Continued from previous page)  </w:t>
      </w:r>
      <w:r>
        <w:rPr>
          <w:sz w:val="20"/>
        </w:rPr>
        <w:separator/>
      </w:r>
    </w:p>
  </w:footnote>
  <w:footnote w:type="continuationNotice" w:id="2">
    <w:p w:rsidR="00106BD6" w:rsidP="00C721AC" w14:paraId="030E4598" w14:textId="77777777">
      <w:pPr>
        <w:jc w:val="right"/>
        <w:rPr>
          <w:sz w:val="20"/>
        </w:rPr>
      </w:pPr>
      <w:r>
        <w:rPr>
          <w:sz w:val="20"/>
        </w:rPr>
        <w:t>(continued….)</w:t>
      </w:r>
    </w:p>
  </w:footnote>
  <w:footnote w:id="3">
    <w:p w:rsidR="007650A0" w:rsidRPr="00AE3923" w:rsidP="00651494" w14:paraId="308235FB" w14:textId="77777777">
      <w:pPr>
        <w:pStyle w:val="FootnoteText"/>
        <w:widowControl w:val="0"/>
      </w:pPr>
      <w:r>
        <w:rPr>
          <w:rStyle w:val="FootnoteReference"/>
        </w:rPr>
        <w:footnoteRef/>
      </w:r>
      <w:r>
        <w:t xml:space="preserve"> </w:t>
      </w:r>
      <w:r>
        <w:rPr>
          <w:i/>
        </w:rPr>
        <w:t>Matthew H. McCormick, Esq.</w:t>
      </w:r>
      <w:r>
        <w:t xml:space="preserve">, Letter Order, </w:t>
      </w:r>
      <w:r w:rsidRPr="004531E5">
        <w:t xml:space="preserve">35 FCC </w:t>
      </w:r>
      <w:r w:rsidRPr="004531E5">
        <w:t>Rcd</w:t>
      </w:r>
      <w:r w:rsidRPr="004531E5">
        <w:t xml:space="preserve"> 6465 </w:t>
      </w:r>
      <w:r>
        <w:t xml:space="preserve">(MB June 24, 2020). </w:t>
      </w:r>
    </w:p>
  </w:footnote>
  <w:footnote w:id="4">
    <w:p w:rsidR="007650A0" w:rsidP="00651494" w14:paraId="069B6F64" w14:textId="4CC5B830">
      <w:pPr>
        <w:pStyle w:val="FootnoteText"/>
        <w:widowControl w:val="0"/>
      </w:pPr>
      <w:r>
        <w:rPr>
          <w:rStyle w:val="FootnoteReference"/>
        </w:rPr>
        <w:footnoteRef/>
      </w:r>
      <w:r>
        <w:t xml:space="preserve"> On August 13, 2020, Family filed an opposition to the Application for Review (Opposition).  On September 4, 2020, Positive Hope filed a reply to the Opposition (Reply). </w:t>
      </w:r>
    </w:p>
  </w:footnote>
  <w:footnote w:id="5">
    <w:p w:rsidR="007650A0" w:rsidRPr="00E12A8E" w:rsidP="00651494" w14:paraId="3F097479" w14:textId="416D5222">
      <w:pPr>
        <w:pStyle w:val="FootnoteText"/>
        <w:widowControl w:val="0"/>
      </w:pPr>
      <w:r>
        <w:rPr>
          <w:rStyle w:val="FootnoteReference"/>
        </w:rPr>
        <w:footnoteRef/>
      </w:r>
      <w:r>
        <w:t xml:space="preserve"> </w:t>
      </w:r>
      <w:r>
        <w:rPr>
          <w:i/>
          <w:iCs/>
        </w:rPr>
        <w:t>See Auction of Cross-Service FM Translator Construction Permits Scheduled for June 25, 2019, Notice and Filing Requirements, Minimum Opening Bids, Upfront Payments, and Other Procedures for Auction 100</w:t>
      </w:r>
      <w:r>
        <w:t xml:space="preserve">, Public Notice, 34 FCC </w:t>
      </w:r>
      <w:r>
        <w:t>Rcd</w:t>
      </w:r>
      <w:r>
        <w:t xml:space="preserve"> 2231 (MB/OEA 2019).</w:t>
      </w:r>
    </w:p>
  </w:footnote>
  <w:footnote w:id="6">
    <w:p w:rsidR="007650A0" w:rsidRPr="00D676C9" w:rsidP="00651494" w14:paraId="68374839" w14:textId="4AB0B29A">
      <w:pPr>
        <w:pStyle w:val="FootnoteText"/>
        <w:widowControl w:val="0"/>
      </w:pPr>
      <w:r>
        <w:rPr>
          <w:rStyle w:val="FootnoteReference"/>
        </w:rPr>
        <w:footnoteRef/>
      </w:r>
      <w:r>
        <w:t xml:space="preserve"> </w:t>
      </w:r>
      <w:r>
        <w:rPr>
          <w:i/>
          <w:iCs/>
        </w:rPr>
        <w:t>Auction of Cross-Service FM Translator Construction Permit Closes—Winning Bidders Announced for Auction 100</w:t>
      </w:r>
      <w:r>
        <w:t xml:space="preserve">, Public Notice, 34 FCC </w:t>
      </w:r>
      <w:r>
        <w:t>Rcd</w:t>
      </w:r>
      <w:r>
        <w:t xml:space="preserve"> 5212, Attach. A (MB/OEA 2019).</w:t>
      </w:r>
    </w:p>
  </w:footnote>
  <w:footnote w:id="7">
    <w:p w:rsidR="007650A0" w:rsidRPr="00FB07B5" w:rsidP="00651494" w14:paraId="2BDA9E88" w14:textId="1820417D">
      <w:pPr>
        <w:pStyle w:val="FootnoteText"/>
        <w:widowControl w:val="0"/>
      </w:pPr>
      <w:r>
        <w:rPr>
          <w:rStyle w:val="FootnoteReference"/>
        </w:rPr>
        <w:footnoteRef/>
      </w:r>
      <w:r>
        <w:t xml:space="preserve"> </w:t>
      </w:r>
      <w:r>
        <w:rPr>
          <w:i/>
          <w:iCs/>
        </w:rPr>
        <w:t>Family Stations, Inc.</w:t>
      </w:r>
      <w:r>
        <w:t xml:space="preserve">, Letter Decision, FCC File No. </w:t>
      </w:r>
      <w:r w:rsidRPr="00FB07B5">
        <w:t xml:space="preserve">BNPFT-20190731AAZ </w:t>
      </w:r>
      <w:r>
        <w:t>(MB Aug. 2, 2019) (</w:t>
      </w:r>
      <w:r w:rsidRPr="003E70E1">
        <w:rPr>
          <w:i/>
          <w:iCs/>
        </w:rPr>
        <w:t>Dismissal Letter</w:t>
      </w:r>
      <w:r>
        <w:t>) at 1 (citing</w:t>
      </w:r>
      <w:r>
        <w:rPr>
          <w:i/>
          <w:iCs/>
        </w:rPr>
        <w:t xml:space="preserve"> </w:t>
      </w:r>
      <w:r>
        <w:rPr>
          <w:i/>
        </w:rPr>
        <w:t>USA-Mexico Agreement</w:t>
      </w:r>
      <w:r>
        <w:t xml:space="preserve">, Article 7, </w:t>
      </w:r>
      <w:r>
        <w:rPr>
          <w:i/>
        </w:rPr>
        <w:t xml:space="preserve">available at </w:t>
      </w:r>
      <w:hyperlink r:id="rId1" w:tgtFrame="_blank" w:history="1">
        <w:r>
          <w:rPr>
            <w:color w:val="0000FF"/>
            <w:u w:val="single"/>
          </w:rPr>
          <w:t>http://transition.fcc.gov/ib/sand/agree/files/mex-bc/fmbc.pdf</w:t>
        </w:r>
      </w:hyperlink>
      <w:r>
        <w:t xml:space="preserve"> (last visited August 11, 2021)).  Specifically, the Bureau found that the proposed Translator would cause impermissible contour overlap with XHTY-FM, Tijuana, Baja California, Mexico (XHTY).  </w:t>
      </w:r>
      <w:r>
        <w:rPr>
          <w:i/>
          <w:iCs/>
        </w:rPr>
        <w:t xml:space="preserve">Dismissal Letter </w:t>
      </w:r>
      <w:r>
        <w:t xml:space="preserve">at 1.  </w:t>
      </w:r>
    </w:p>
  </w:footnote>
  <w:footnote w:id="8">
    <w:p w:rsidR="007650A0" w:rsidP="00651494" w14:paraId="6983BA37" w14:textId="4DCDE6D9">
      <w:pPr>
        <w:pStyle w:val="FootnoteText"/>
        <w:widowControl w:val="0"/>
      </w:pPr>
      <w:r>
        <w:rPr>
          <w:rStyle w:val="FootnoteReference"/>
        </w:rPr>
        <w:footnoteRef/>
      </w:r>
      <w:r>
        <w:t xml:space="preserve"> </w:t>
      </w:r>
      <w:r w:rsidRPr="006C1630">
        <w:rPr>
          <w:i/>
          <w:iCs/>
        </w:rPr>
        <w:t>Amendment of Part 74 of the Commission’s Rules Regarding FM Translator Interference</w:t>
      </w:r>
      <w:r w:rsidRPr="006C1630">
        <w:t xml:space="preserve">, Report and Order, 34 FCC </w:t>
      </w:r>
      <w:r w:rsidRPr="006C1630">
        <w:t>Rcd</w:t>
      </w:r>
      <w:r w:rsidRPr="006C1630">
        <w:t xml:space="preserve"> 3457, 3482 (2019)</w:t>
      </w:r>
      <w:r>
        <w:t xml:space="preserve"> (</w:t>
      </w:r>
      <w:r>
        <w:rPr>
          <w:i/>
          <w:iCs/>
        </w:rPr>
        <w:t>Translator Interference Order</w:t>
      </w:r>
      <w:r>
        <w:t xml:space="preserve">), </w:t>
      </w:r>
      <w:r>
        <w:rPr>
          <w:i/>
          <w:iCs/>
        </w:rPr>
        <w:t>aff’d on reconsideration</w:t>
      </w:r>
      <w:r>
        <w:t xml:space="preserve">, 35 FCC </w:t>
      </w:r>
      <w:r>
        <w:t>Rcd</w:t>
      </w:r>
      <w:r>
        <w:t xml:space="preserve"> 11561 (2020); </w:t>
      </w:r>
      <w:r w:rsidRPr="00536BA4">
        <w:rPr>
          <w:i/>
          <w:iCs/>
        </w:rPr>
        <w:t>Media Bureau Announces August 13, 2019, Effective Date of</w:t>
      </w:r>
      <w:r>
        <w:rPr>
          <w:i/>
          <w:iCs/>
        </w:rPr>
        <w:t xml:space="preserve"> </w:t>
      </w:r>
      <w:r w:rsidRPr="00536BA4">
        <w:rPr>
          <w:i/>
          <w:iCs/>
        </w:rPr>
        <w:t>Amended Rules for FM Translator Interference</w:t>
      </w:r>
      <w:r w:rsidRPr="00536BA4">
        <w:t xml:space="preserve">, Public Notice, 34 FCC </w:t>
      </w:r>
      <w:r w:rsidRPr="00536BA4">
        <w:t>Rcd</w:t>
      </w:r>
      <w:r w:rsidRPr="00536BA4">
        <w:t xml:space="preserve"> 7004 (MB 2019).</w:t>
      </w:r>
    </w:p>
  </w:footnote>
  <w:footnote w:id="9">
    <w:p w:rsidR="007650A0" w:rsidRPr="004F0080" w:rsidP="00651494" w14:paraId="0DD9CE21" w14:textId="77777777">
      <w:pPr>
        <w:pStyle w:val="FootnoteText"/>
        <w:widowControl w:val="0"/>
      </w:pPr>
      <w:r>
        <w:rPr>
          <w:rStyle w:val="FootnoteReference"/>
        </w:rPr>
        <w:footnoteRef/>
      </w:r>
      <w:r>
        <w:t xml:space="preserve"> </w:t>
      </w:r>
      <w:r>
        <w:rPr>
          <w:i/>
          <w:iCs/>
        </w:rPr>
        <w:t>Positive Hope Inc.</w:t>
      </w:r>
      <w:r>
        <w:t xml:space="preserve">, Letter Decision, Ref. No. 1800B3-GL (MB Sept. 19, 2019). </w:t>
      </w:r>
    </w:p>
  </w:footnote>
  <w:footnote w:id="10">
    <w:p w:rsidR="007650A0" w:rsidRPr="00843220" w:rsidP="00651494" w14:paraId="7882A829" w14:textId="2631859E">
      <w:pPr>
        <w:pStyle w:val="FootnoteText"/>
        <w:widowControl w:val="0"/>
      </w:pPr>
      <w:r>
        <w:rPr>
          <w:rStyle w:val="FootnoteReference"/>
        </w:rPr>
        <w:footnoteRef/>
      </w:r>
      <w:r>
        <w:t xml:space="preserve"> </w:t>
      </w:r>
      <w:r>
        <w:rPr>
          <w:i/>
          <w:iCs/>
        </w:rPr>
        <w:t>Reconsideration Letter</w:t>
      </w:r>
      <w:r>
        <w:t xml:space="preserve">, 35 FCC </w:t>
      </w:r>
      <w:r>
        <w:t>Rcd</w:t>
      </w:r>
      <w:r>
        <w:t xml:space="preserve"> at 6467-68 (citing the </w:t>
      </w:r>
      <w:bookmarkStart w:id="1" w:name="_Hlk62751102"/>
      <w:r>
        <w:rPr>
          <w:i/>
          <w:iCs/>
        </w:rPr>
        <w:t>Statement of</w:t>
      </w:r>
      <w:r w:rsidRPr="009F713A">
        <w:rPr>
          <w:i/>
          <w:iCs/>
        </w:rPr>
        <w:t xml:space="preserve"> Future Policy on Incomplete and Patently</w:t>
      </w:r>
      <w:r>
        <w:rPr>
          <w:i/>
          <w:iCs/>
        </w:rPr>
        <w:t xml:space="preserve"> </w:t>
      </w:r>
      <w:r w:rsidRPr="009F713A">
        <w:rPr>
          <w:i/>
          <w:iCs/>
        </w:rPr>
        <w:t>Defective AM and FM Construction Permit Applications</w:t>
      </w:r>
      <w:r w:rsidRPr="009F713A">
        <w:t>, Public Notice, 56 RR 2d 776 (Aug. 2,</w:t>
      </w:r>
      <w:r>
        <w:t xml:space="preserve"> </w:t>
      </w:r>
      <w:r w:rsidRPr="009F713A">
        <w:t>1984)</w:t>
      </w:r>
      <w:r>
        <w:t xml:space="preserve"> </w:t>
      </w:r>
      <w:r w:rsidRPr="00A658C1">
        <w:t xml:space="preserve">(as subsequently published in the Federal Register, 49 Fed. Reg. 47331, 47332 (Dec. 3, 1984)) </w:t>
      </w:r>
      <w:r>
        <w:t>(</w:t>
      </w:r>
      <w:r>
        <w:rPr>
          <w:i/>
          <w:iCs/>
        </w:rPr>
        <w:t>Nunc Pro Tunc Policy Statement</w:t>
      </w:r>
      <w:r>
        <w:t>)).</w:t>
      </w:r>
      <w:bookmarkEnd w:id="1"/>
      <w:r>
        <w:t xml:space="preserve">  </w:t>
      </w:r>
    </w:p>
  </w:footnote>
  <w:footnote w:id="11">
    <w:p w:rsidR="007650A0" w:rsidRPr="00881E5F" w:rsidP="00651494" w14:paraId="24A86E00" w14:textId="77777777">
      <w:pPr>
        <w:pStyle w:val="FootnoteText"/>
        <w:widowControl w:val="0"/>
      </w:pPr>
      <w:r>
        <w:rPr>
          <w:rStyle w:val="FootnoteReference"/>
        </w:rPr>
        <w:footnoteRef/>
      </w:r>
      <w:r>
        <w:t xml:space="preserve"> </w:t>
      </w:r>
      <w:r>
        <w:rPr>
          <w:i/>
          <w:iCs/>
        </w:rPr>
        <w:t>Reconsideration Letter</w:t>
      </w:r>
      <w:r>
        <w:t xml:space="preserve">, </w:t>
      </w:r>
      <w:r w:rsidRPr="004531E5">
        <w:t xml:space="preserve">35 FCC </w:t>
      </w:r>
      <w:r w:rsidRPr="004531E5">
        <w:t>Rcd</w:t>
      </w:r>
      <w:r w:rsidRPr="004531E5">
        <w:t xml:space="preserve"> </w:t>
      </w:r>
      <w:r>
        <w:t>at 6467 (citing 47 CFR § 74.1233(d)(5)(iii)).</w:t>
      </w:r>
    </w:p>
  </w:footnote>
  <w:footnote w:id="12">
    <w:p w:rsidR="007650A0" w:rsidP="00651494" w14:paraId="303FC155" w14:textId="77777777">
      <w:pPr>
        <w:pStyle w:val="FootnoteText"/>
        <w:widowControl w:val="0"/>
      </w:pPr>
      <w:r>
        <w:rPr>
          <w:rStyle w:val="FootnoteReference"/>
        </w:rPr>
        <w:footnoteRef/>
      </w:r>
      <w:r>
        <w:t xml:space="preserve"> Section </w:t>
      </w:r>
      <w:r w:rsidRPr="008760A9">
        <w:rPr>
          <w:bCs/>
          <w:color w:val="000000"/>
          <w:szCs w:val="22"/>
        </w:rPr>
        <w:t>74.1233(a)(1)(</w:t>
      </w:r>
      <w:r w:rsidRPr="008760A9">
        <w:rPr>
          <w:bCs/>
          <w:color w:val="000000"/>
          <w:szCs w:val="22"/>
        </w:rPr>
        <w:t>i</w:t>
      </w:r>
      <w:r w:rsidRPr="008760A9">
        <w:rPr>
          <w:bCs/>
          <w:color w:val="000000"/>
          <w:szCs w:val="22"/>
        </w:rPr>
        <w:t>)(A)(2)</w:t>
      </w:r>
      <w:r>
        <w:rPr>
          <w:bCs/>
          <w:color w:val="000000"/>
          <w:szCs w:val="22"/>
        </w:rPr>
        <w:t xml:space="preserve"> allows non-adjacent channel changes “[u]</w:t>
      </w:r>
      <w:r>
        <w:rPr>
          <w:bCs/>
          <w:color w:val="000000"/>
          <w:szCs w:val="22"/>
        </w:rPr>
        <w:t>pon</w:t>
      </w:r>
      <w:r>
        <w:rPr>
          <w:bCs/>
          <w:color w:val="000000"/>
          <w:szCs w:val="22"/>
        </w:rPr>
        <w:t xml:space="preserve"> a showing of interference to or from any other broadcast station.” </w:t>
      </w:r>
    </w:p>
  </w:footnote>
  <w:footnote w:id="13">
    <w:p w:rsidR="007650A0" w:rsidRPr="00CD4D27" w:rsidP="00651494" w14:paraId="54606B5E" w14:textId="3EC15230">
      <w:pPr>
        <w:pStyle w:val="FootnoteText"/>
        <w:widowControl w:val="0"/>
      </w:pPr>
      <w:r>
        <w:rPr>
          <w:rStyle w:val="FootnoteReference"/>
        </w:rPr>
        <w:footnoteRef/>
      </w:r>
      <w:r>
        <w:t xml:space="preserve"> </w:t>
      </w:r>
      <w:r>
        <w:rPr>
          <w:i/>
          <w:iCs/>
        </w:rPr>
        <w:t>Reconsideration Letter</w:t>
      </w:r>
      <w:r>
        <w:t xml:space="preserve">, 35 FCC </w:t>
      </w:r>
      <w:r>
        <w:t>Rcd</w:t>
      </w:r>
      <w:r>
        <w:t xml:space="preserve"> at 6467.</w:t>
      </w:r>
    </w:p>
  </w:footnote>
  <w:footnote w:id="14">
    <w:p w:rsidR="007650A0" w:rsidP="00651494" w14:paraId="28B2DC34" w14:textId="65D69271">
      <w:pPr>
        <w:pStyle w:val="FootnoteText"/>
        <w:widowControl w:val="0"/>
      </w:pPr>
      <w:r>
        <w:rPr>
          <w:rStyle w:val="FootnoteReference"/>
        </w:rPr>
        <w:footnoteRef/>
      </w:r>
      <w:r>
        <w:t xml:space="preserve"> </w:t>
      </w:r>
      <w:r>
        <w:rPr>
          <w:i/>
          <w:iCs/>
        </w:rPr>
        <w:t>Id</w:t>
      </w:r>
      <w:r>
        <w:t>. at 6468.</w:t>
      </w:r>
    </w:p>
  </w:footnote>
  <w:footnote w:id="15">
    <w:p w:rsidR="007650A0" w:rsidP="00651494" w14:paraId="21DD7D82" w14:textId="2062F08E">
      <w:pPr>
        <w:pStyle w:val="FootnoteText"/>
        <w:widowControl w:val="0"/>
      </w:pPr>
      <w:r>
        <w:rPr>
          <w:rStyle w:val="FootnoteReference"/>
        </w:rPr>
        <w:footnoteRef/>
      </w:r>
      <w:r>
        <w:t xml:space="preserve"> Application for Review at 8-9 (citing 47 CFR § 1.106(f) (requiring that petitions for reconsideration be filed within 30 days of public notice of the action taken, which in this case issued on August 7, 2019.  </w:t>
      </w:r>
      <w:r>
        <w:rPr>
          <w:i/>
          <w:iCs/>
        </w:rPr>
        <w:t xml:space="preserve">See Broadcast Actions, </w:t>
      </w:r>
      <w:r>
        <w:t xml:space="preserve">Public Notice, Report No. 49545 (Aug. 7, 2019)). </w:t>
      </w:r>
    </w:p>
  </w:footnote>
  <w:footnote w:id="16">
    <w:p w:rsidR="007650A0" w:rsidP="00651494" w14:paraId="6A71D1C6" w14:textId="7CFBE465">
      <w:pPr>
        <w:pStyle w:val="FootnoteText"/>
        <w:widowControl w:val="0"/>
      </w:pPr>
      <w:r>
        <w:rPr>
          <w:rStyle w:val="FootnoteReference"/>
        </w:rPr>
        <w:footnoteRef/>
      </w:r>
      <w:r>
        <w:t xml:space="preserve"> Opposition, </w:t>
      </w:r>
      <w:r>
        <w:t>Exh</w:t>
      </w:r>
      <w:r>
        <w:t xml:space="preserve">. A. </w:t>
      </w:r>
    </w:p>
  </w:footnote>
  <w:footnote w:id="17">
    <w:p w:rsidR="007650A0" w:rsidP="00651494" w14:paraId="28AF5299" w14:textId="406F4621">
      <w:pPr>
        <w:pStyle w:val="FootnoteText"/>
        <w:widowControl w:val="0"/>
      </w:pPr>
      <w:r>
        <w:rPr>
          <w:rStyle w:val="FootnoteReference"/>
        </w:rPr>
        <w:footnoteRef/>
      </w:r>
      <w:r>
        <w:t xml:space="preserve"> Reply at 4 (citing 47 CFR § 73.3564(a) (“</w:t>
      </w:r>
      <w:r w:rsidRPr="009A3FAD">
        <w:t>Applications tendered for filing are dated upon receipt and then forwarded to the Media Bureau, where an administrative examination is made to ascertain whether the applications are complete</w:t>
      </w:r>
      <w:r>
        <w:t xml:space="preserve">”; 47 CFR § 1.4(f) (instructing that hand-carried documents must be tendered for filing with the Office of the Secretary before 4 p.m. and electronically filed documents must be received by the electronic filing system before midnight on the filing date)). </w:t>
      </w:r>
    </w:p>
  </w:footnote>
  <w:footnote w:id="18">
    <w:p w:rsidR="007650A0" w:rsidP="00651494" w14:paraId="2624F321" w14:textId="2262C316">
      <w:pPr>
        <w:pStyle w:val="FootnoteText"/>
        <w:widowControl w:val="0"/>
      </w:pPr>
      <w:r>
        <w:rPr>
          <w:rStyle w:val="FootnoteReference"/>
        </w:rPr>
        <w:footnoteRef/>
      </w:r>
      <w:r>
        <w:t xml:space="preserve"> Application for Review at 8-10.</w:t>
      </w:r>
    </w:p>
  </w:footnote>
  <w:footnote w:id="19">
    <w:p w:rsidR="007650A0" w:rsidP="00651494" w14:paraId="07B6AD1F" w14:textId="1365559C">
      <w:pPr>
        <w:pStyle w:val="FootnoteText"/>
        <w:widowControl w:val="0"/>
      </w:pPr>
      <w:r>
        <w:rPr>
          <w:rStyle w:val="FootnoteReference"/>
        </w:rPr>
        <w:footnoteRef/>
      </w:r>
      <w:r>
        <w:t xml:space="preserve"> </w:t>
      </w:r>
      <w:r>
        <w:rPr>
          <w:i/>
          <w:iCs/>
        </w:rPr>
        <w:t>Id</w:t>
      </w:r>
      <w:r>
        <w:t>. at 3.</w:t>
      </w:r>
    </w:p>
  </w:footnote>
  <w:footnote w:id="20">
    <w:p w:rsidR="007650A0" w:rsidP="00651494" w14:paraId="061C290D" w14:textId="492B2C51">
      <w:pPr>
        <w:pStyle w:val="FootnoteText"/>
        <w:widowControl w:val="0"/>
      </w:pPr>
      <w:r>
        <w:rPr>
          <w:rStyle w:val="FootnoteReference"/>
        </w:rPr>
        <w:footnoteRef/>
      </w:r>
      <w:r>
        <w:t xml:space="preserve"> Reply at 3.  </w:t>
      </w:r>
      <w:r w:rsidRPr="00C46D11">
        <w:t xml:space="preserve">Family </w:t>
      </w:r>
      <w:r>
        <w:t xml:space="preserve">also argues that the Bureau improperly failed to request Mexican concurrence for the facilities originally specified in the Translator Application.  Opposition at 4.  This argument is moot given the Amended Translator Application specifying another channel and will not be considered further here.  Moreover, the Bureau followed its well-established practice of not submitting non-compliant applications for Mexican concurrence. </w:t>
      </w:r>
    </w:p>
  </w:footnote>
  <w:footnote w:id="21">
    <w:p w:rsidR="007650A0" w:rsidRPr="00562EAC" w:rsidP="00651494" w14:paraId="015F8057" w14:textId="77777777">
      <w:pPr>
        <w:pStyle w:val="FootnoteText"/>
        <w:widowControl w:val="0"/>
      </w:pPr>
      <w:r>
        <w:rPr>
          <w:rStyle w:val="FootnoteReference"/>
        </w:rPr>
        <w:footnoteRef/>
      </w:r>
      <w:r>
        <w:t xml:space="preserve"> Application for Review at 4-5 (citing </w:t>
      </w:r>
      <w:r>
        <w:rPr>
          <w:i/>
          <w:iCs/>
        </w:rPr>
        <w:t>Nunc Pro Tunc Policy Statement</w:t>
      </w:r>
      <w:r>
        <w:t xml:space="preserve">, </w:t>
      </w:r>
      <w:r w:rsidRPr="00A658C1">
        <w:t xml:space="preserve">49 Fed. Reg. </w:t>
      </w:r>
      <w:r>
        <w:t>at</w:t>
      </w:r>
      <w:r w:rsidRPr="00A658C1">
        <w:t xml:space="preserve"> 47332</w:t>
      </w:r>
      <w:r>
        <w:t>).</w:t>
      </w:r>
    </w:p>
  </w:footnote>
  <w:footnote w:id="22">
    <w:p w:rsidR="007650A0" w:rsidP="00651494" w14:paraId="47CB27F4" w14:textId="35DD0430">
      <w:pPr>
        <w:pStyle w:val="FootnoteText"/>
        <w:widowControl w:val="0"/>
      </w:pPr>
      <w:r>
        <w:rPr>
          <w:rStyle w:val="FootnoteReference"/>
        </w:rPr>
        <w:footnoteRef/>
      </w:r>
      <w:r>
        <w:t xml:space="preserve"> </w:t>
      </w:r>
      <w:r>
        <w:rPr>
          <w:i/>
          <w:iCs/>
        </w:rPr>
        <w:t>Id</w:t>
      </w:r>
      <w:r>
        <w:t>. at 7-8; Reply at 5.</w:t>
      </w:r>
    </w:p>
  </w:footnote>
  <w:footnote w:id="23">
    <w:p w:rsidR="007650A0" w:rsidP="00651494" w14:paraId="57C884C5" w14:textId="4E73674A">
      <w:pPr>
        <w:pStyle w:val="FootnoteText"/>
      </w:pPr>
      <w:r>
        <w:rPr>
          <w:rStyle w:val="FootnoteReference"/>
        </w:rPr>
        <w:footnoteRef/>
      </w:r>
      <w:r>
        <w:t xml:space="preserve"> Application for Review at 7 (citing </w:t>
      </w:r>
      <w:r>
        <w:rPr>
          <w:i/>
          <w:iCs/>
        </w:rPr>
        <w:t>Translator Interference Order</w:t>
      </w:r>
      <w:r>
        <w:t xml:space="preserve">, 34 FCC </w:t>
      </w:r>
      <w:r>
        <w:t>Rcd</w:t>
      </w:r>
      <w:r>
        <w:t xml:space="preserve"> at 348</w:t>
      </w:r>
      <w:r w:rsidR="00404237">
        <w:t>2</w:t>
      </w:r>
      <w:r>
        <w:t>, para. 49 (“</w:t>
      </w:r>
      <w:r w:rsidRPr="0091347D">
        <w:t>Applications or complaints that have not been acted upon as of the effective date of the rules adopted in this </w:t>
      </w:r>
      <w:r w:rsidRPr="0091347D">
        <w:rPr>
          <w:i/>
          <w:iCs/>
        </w:rPr>
        <w:t>Report and Order</w:t>
      </w:r>
      <w:r w:rsidRPr="0091347D">
        <w:t> will be decided based on the new rules.</w:t>
      </w:r>
      <w:r>
        <w:t>”)</w:t>
      </w:r>
      <w:r w:rsidRPr="00C46D11">
        <w:t>)</w:t>
      </w:r>
      <w:r>
        <w:t xml:space="preserve">. </w:t>
      </w:r>
    </w:p>
  </w:footnote>
  <w:footnote w:id="24">
    <w:p w:rsidR="007650A0" w:rsidRPr="00704DB3" w:rsidP="00651494" w14:paraId="279F8512" w14:textId="3478389E">
      <w:pPr>
        <w:pStyle w:val="FootnoteText"/>
        <w:widowControl w:val="0"/>
      </w:pPr>
      <w:r>
        <w:rPr>
          <w:rStyle w:val="FootnoteReference"/>
        </w:rPr>
        <w:footnoteRef/>
      </w:r>
      <w:r>
        <w:t xml:space="preserve"> </w:t>
      </w:r>
      <w:r>
        <w:rPr>
          <w:i/>
          <w:iCs/>
        </w:rPr>
        <w:t>Id</w:t>
      </w:r>
      <w:r>
        <w:t xml:space="preserve">. (citing </w:t>
      </w:r>
      <w:r>
        <w:rPr>
          <w:i/>
          <w:iCs/>
        </w:rPr>
        <w:t>Emmanuel Communications, Inc.</w:t>
      </w:r>
      <w:r>
        <w:t xml:space="preserve">, Memorandum Opinion and Order, 34 FCC </w:t>
      </w:r>
      <w:r>
        <w:t>Rcd</w:t>
      </w:r>
      <w:r>
        <w:t xml:space="preserve"> 9294 (2019) (</w:t>
      </w:r>
      <w:r>
        <w:rPr>
          <w:i/>
          <w:iCs/>
        </w:rPr>
        <w:t>Emmanuel</w:t>
      </w:r>
      <w:r>
        <w:t>)).</w:t>
      </w:r>
    </w:p>
  </w:footnote>
  <w:footnote w:id="25">
    <w:p w:rsidR="007650A0" w:rsidP="00651494" w14:paraId="429A69A9" w14:textId="77777777">
      <w:pPr>
        <w:pStyle w:val="FootnoteText"/>
        <w:widowControl w:val="0"/>
      </w:pPr>
      <w:r>
        <w:rPr>
          <w:rStyle w:val="FootnoteReference"/>
        </w:rPr>
        <w:footnoteRef/>
      </w:r>
      <w:r>
        <w:t xml:space="preserve"> Opposition at 8-9.</w:t>
      </w:r>
    </w:p>
  </w:footnote>
  <w:footnote w:id="26">
    <w:p w:rsidR="007650A0" w:rsidP="00651494" w14:paraId="38D4480B" w14:textId="3B0B5BD4">
      <w:pPr>
        <w:pStyle w:val="FootnoteText"/>
        <w:widowControl w:val="0"/>
      </w:pPr>
      <w:r>
        <w:rPr>
          <w:rStyle w:val="FootnoteReference"/>
        </w:rPr>
        <w:footnoteRef/>
      </w:r>
      <w:r>
        <w:t xml:space="preserve"> </w:t>
      </w:r>
      <w:r>
        <w:rPr>
          <w:i/>
          <w:iCs/>
        </w:rPr>
        <w:t>Id</w:t>
      </w:r>
      <w:r>
        <w:t>. at 9-10.</w:t>
      </w:r>
    </w:p>
  </w:footnote>
  <w:footnote w:id="27">
    <w:p w:rsidR="007650A0" w:rsidP="00651494" w14:paraId="540CDE47" w14:textId="62643CA4">
      <w:pPr>
        <w:pStyle w:val="FootnoteText"/>
        <w:widowControl w:val="0"/>
      </w:pPr>
      <w:r>
        <w:rPr>
          <w:rStyle w:val="FootnoteReference"/>
        </w:rPr>
        <w:footnoteRef/>
      </w:r>
      <w:r>
        <w:t xml:space="preserve"> 47 CFR § 73.3566(a) (“</w:t>
      </w:r>
      <w:r w:rsidRPr="009E32A0">
        <w:t>Applications which are determined to be patently not in accordance with the FCC rules, regulations, or other requirements, unless accompanied by an appropriate request for waiver, will be considered defective and will not be accepted for filing or if inadvertently accepted for filing will be dismissed.</w:t>
      </w:r>
      <w:r>
        <w:t>”).</w:t>
      </w:r>
    </w:p>
  </w:footnote>
  <w:footnote w:id="28">
    <w:p w:rsidR="007650A0" w:rsidP="00651494" w14:paraId="71ADF1B7" w14:textId="15591CAB">
      <w:pPr>
        <w:pStyle w:val="FootnoteText"/>
        <w:widowControl w:val="0"/>
      </w:pPr>
      <w:r>
        <w:rPr>
          <w:rStyle w:val="FootnoteReference"/>
        </w:rPr>
        <w:footnoteRef/>
      </w:r>
      <w:r>
        <w:t xml:space="preserve"> Application for Review at 3 (“A winning bidder must FIRST tender an application acceptable for filing or seek a waiver of any regulatory hindrance to application acceptance.”).</w:t>
      </w:r>
    </w:p>
  </w:footnote>
  <w:footnote w:id="29">
    <w:p w:rsidR="007650A0" w:rsidP="00651494" w14:paraId="391EE514" w14:textId="19203E40">
      <w:pPr>
        <w:pStyle w:val="FootnoteText"/>
        <w:widowControl w:val="0"/>
      </w:pPr>
      <w:r>
        <w:rPr>
          <w:rStyle w:val="FootnoteReference"/>
        </w:rPr>
        <w:footnoteRef/>
      </w:r>
      <w:r>
        <w:t xml:space="preserve"> </w:t>
      </w:r>
      <w:r w:rsidR="00ED1BBF">
        <w:rPr>
          <w:i/>
          <w:iCs/>
        </w:rPr>
        <w:t>Id</w:t>
      </w:r>
      <w:r w:rsidR="00ED1BBF">
        <w:t>.</w:t>
      </w:r>
      <w:r>
        <w:t xml:space="preserve"> at 5; Reply at 3.</w:t>
      </w:r>
    </w:p>
  </w:footnote>
  <w:footnote w:id="30">
    <w:p w:rsidR="007650A0" w:rsidP="00651494" w14:paraId="292797B9" w14:textId="269F9D03">
      <w:pPr>
        <w:pStyle w:val="FootnoteText"/>
        <w:widowControl w:val="0"/>
      </w:pPr>
      <w:r>
        <w:rPr>
          <w:rStyle w:val="FootnoteReference"/>
        </w:rPr>
        <w:footnoteRef/>
      </w:r>
      <w:r>
        <w:t xml:space="preserve"> Application for Review at 6-7.</w:t>
      </w:r>
    </w:p>
  </w:footnote>
  <w:footnote w:id="31">
    <w:p w:rsidR="007650A0" w:rsidRPr="00015B96" w:rsidP="00651494" w14:paraId="4F4E20B8" w14:textId="1A22E9C1">
      <w:pPr>
        <w:pStyle w:val="FootnoteText"/>
        <w:widowControl w:val="0"/>
      </w:pPr>
      <w:r>
        <w:rPr>
          <w:rStyle w:val="FootnoteReference"/>
        </w:rPr>
        <w:footnoteRef/>
      </w:r>
      <w:r>
        <w:t xml:space="preserve"> </w:t>
      </w:r>
      <w:r>
        <w:rPr>
          <w:i/>
          <w:iCs/>
        </w:rPr>
        <w:t>Id</w:t>
      </w:r>
      <w:r>
        <w:t xml:space="preserve">. at 5-6 (citing </w:t>
      </w:r>
      <w:bookmarkStart w:id="4" w:name="_Hlk98931848"/>
      <w:bookmarkStart w:id="5" w:name="_Hlk97311547"/>
      <w:r>
        <w:rPr>
          <w:i/>
          <w:iCs/>
        </w:rPr>
        <w:t>Silver State</w:t>
      </w:r>
      <w:r w:rsidRPr="0085159B">
        <w:t xml:space="preserve">, Letter Decision, FCC File Nos. BLFT-20190415ABG </w:t>
      </w:r>
      <w:r w:rsidRPr="0085159B">
        <w:rPr>
          <w:i/>
          <w:iCs/>
        </w:rPr>
        <w:t>et al</w:t>
      </w:r>
      <w:r w:rsidRPr="0085159B">
        <w:t>. (MB June 29, 2020)</w:t>
      </w:r>
      <w:r>
        <w:t xml:space="preserve"> (</w:t>
      </w:r>
      <w:r>
        <w:rPr>
          <w:i/>
          <w:iCs/>
        </w:rPr>
        <w:t>Silver State Staff Letter</w:t>
      </w:r>
      <w:r>
        <w:t xml:space="preserve">), </w:t>
      </w:r>
      <w:r>
        <w:rPr>
          <w:i/>
          <w:iCs/>
        </w:rPr>
        <w:t xml:space="preserve">recon. dismissed in part and otherwise denied, </w:t>
      </w:r>
      <w:r w:rsidRPr="0085159B">
        <w:rPr>
          <w:i/>
          <w:iCs/>
        </w:rPr>
        <w:t>Silver State Broadcasting, LLC</w:t>
      </w:r>
      <w:r w:rsidRPr="0085159B">
        <w:t xml:space="preserve">, Letter Decision, FCC File Nos. 93597 </w:t>
      </w:r>
      <w:r w:rsidRPr="0085159B">
        <w:rPr>
          <w:i/>
          <w:iCs/>
        </w:rPr>
        <w:t xml:space="preserve">et al. </w:t>
      </w:r>
      <w:r w:rsidRPr="0085159B">
        <w:t xml:space="preserve">(MB Oct. 16, 2020) </w:t>
      </w:r>
      <w:bookmarkEnd w:id="4"/>
      <w:r w:rsidRPr="0085159B">
        <w:t>(</w:t>
      </w:r>
      <w:r w:rsidRPr="0085159B">
        <w:rPr>
          <w:i/>
          <w:iCs/>
        </w:rPr>
        <w:t>Silver State Reconsideration Letter</w:t>
      </w:r>
      <w:r w:rsidRPr="0085159B">
        <w:t xml:space="preserve">); </w:t>
      </w:r>
      <w:bookmarkEnd w:id="5"/>
      <w:r>
        <w:rPr>
          <w:i/>
          <w:iCs/>
        </w:rPr>
        <w:t>Melody Music, Inc. v. FCC</w:t>
      </w:r>
      <w:r>
        <w:t xml:space="preserve">, 345 F.2d 730 (D.C. Cir. 1965) </w:t>
      </w:r>
      <w:r w:rsidRPr="000F6A44">
        <w:t>(holding that the Commission acted arbitrarily and capriciously when it treated two similarly</w:t>
      </w:r>
      <w:r>
        <w:t xml:space="preserve"> </w:t>
      </w:r>
      <w:r w:rsidRPr="000F6A44">
        <w:t>situated licensees differently without an adequate explanation for doing so)</w:t>
      </w:r>
      <w:r>
        <w:t>).</w:t>
      </w:r>
    </w:p>
  </w:footnote>
  <w:footnote w:id="32">
    <w:p w:rsidR="007650A0" w:rsidP="00651494" w14:paraId="35A58883" w14:textId="49FF3E61">
      <w:pPr>
        <w:pStyle w:val="FootnoteText"/>
        <w:widowControl w:val="0"/>
      </w:pPr>
      <w:r>
        <w:rPr>
          <w:rStyle w:val="FootnoteReference"/>
        </w:rPr>
        <w:footnoteRef/>
      </w:r>
      <w:r>
        <w:t xml:space="preserve"> Opposition at 6-8 (noting that </w:t>
      </w:r>
      <w:r>
        <w:rPr>
          <w:i/>
          <w:iCs/>
        </w:rPr>
        <w:t xml:space="preserve">Silver State </w:t>
      </w:r>
      <w:r>
        <w:t>involved a former licensee appealing the deletion of its own license and had filed a stay request “demonstrating its desire to preserve access to its former channel,” in contrast to the DKRSA-LP licensee, who “has not objected to either the Translator Application or the KVIB-LP Modification Application”).</w:t>
      </w:r>
    </w:p>
  </w:footnote>
  <w:footnote w:id="33">
    <w:p w:rsidR="007650A0" w:rsidRPr="000A5061" w:rsidP="00651494" w14:paraId="0991DB4E" w14:textId="49A72D2B">
      <w:pPr>
        <w:pStyle w:val="FootnoteText"/>
        <w:widowControl w:val="0"/>
      </w:pPr>
      <w:r>
        <w:rPr>
          <w:rStyle w:val="FootnoteReference"/>
        </w:rPr>
        <w:footnoteRef/>
      </w:r>
      <w:r>
        <w:t xml:space="preserve"> Opposition at 6 (citing the </w:t>
      </w:r>
      <w:r>
        <w:rPr>
          <w:i/>
          <w:iCs/>
        </w:rPr>
        <w:t>Reconsideration Letter</w:t>
      </w:r>
      <w:r>
        <w:t>,</w:t>
      </w:r>
      <w:r>
        <w:rPr>
          <w:i/>
          <w:iCs/>
        </w:rPr>
        <w:t xml:space="preserve"> </w:t>
      </w:r>
      <w:r>
        <w:t xml:space="preserve">35 FCC </w:t>
      </w:r>
      <w:r>
        <w:t>Rcd</w:t>
      </w:r>
      <w:r>
        <w:t xml:space="preserve"> at 6468; 47 CFR § 1.102(b); </w:t>
      </w:r>
      <w:r>
        <w:rPr>
          <w:i/>
          <w:iCs/>
        </w:rPr>
        <w:t xml:space="preserve">Committee to Save WEAM v. FCC, </w:t>
      </w:r>
      <w:r>
        <w:t>808 F.2d 113, 119 (D.C. Cir. 1986)).</w:t>
      </w:r>
    </w:p>
  </w:footnote>
  <w:footnote w:id="34">
    <w:p w:rsidR="007650A0" w:rsidP="00651494" w14:paraId="7E44A06A" w14:textId="62AFD56D">
      <w:pPr>
        <w:pStyle w:val="FootnoteText"/>
        <w:widowControl w:val="0"/>
      </w:pPr>
      <w:r>
        <w:rPr>
          <w:rStyle w:val="FootnoteReference"/>
        </w:rPr>
        <w:footnoteRef/>
      </w:r>
      <w:r>
        <w:t xml:space="preserve"> Reply at 4.</w:t>
      </w:r>
    </w:p>
  </w:footnote>
  <w:footnote w:id="35">
    <w:p w:rsidR="007650A0" w:rsidP="00651494" w14:paraId="40D750D9" w14:textId="27132E49">
      <w:pPr>
        <w:pStyle w:val="FootnoteText"/>
        <w:widowControl w:val="0"/>
      </w:pPr>
      <w:r>
        <w:rPr>
          <w:rStyle w:val="FootnoteReference"/>
        </w:rPr>
        <w:footnoteRef/>
      </w:r>
      <w:r>
        <w:t xml:space="preserve"> </w:t>
      </w:r>
      <w:r>
        <w:t>47 CFR § 1.115(b).</w:t>
      </w:r>
    </w:p>
  </w:footnote>
  <w:footnote w:id="36">
    <w:p w:rsidR="007650A0" w:rsidP="00651494" w14:paraId="6C39E7F6" w14:textId="77777777">
      <w:pPr>
        <w:pStyle w:val="FootnoteText"/>
        <w:widowControl w:val="0"/>
      </w:pPr>
      <w:r>
        <w:rPr>
          <w:rStyle w:val="FootnoteReference"/>
        </w:rPr>
        <w:footnoteRef/>
      </w:r>
      <w:r>
        <w:t xml:space="preserve"> 47 CFR § 1.115(c).</w:t>
      </w:r>
    </w:p>
  </w:footnote>
  <w:footnote w:id="37">
    <w:p w:rsidR="007650A0" w:rsidP="00651494" w14:paraId="32F3A59E" w14:textId="2A4088B7">
      <w:pPr>
        <w:pStyle w:val="FootnoteText"/>
        <w:widowControl w:val="0"/>
      </w:pPr>
      <w:r>
        <w:rPr>
          <w:rStyle w:val="FootnoteReference"/>
        </w:rPr>
        <w:footnoteRef/>
      </w:r>
      <w:r>
        <w:t xml:space="preserve"> </w:t>
      </w:r>
      <w:r>
        <w:rPr>
          <w:bCs/>
          <w:color w:val="000000"/>
          <w:szCs w:val="22"/>
        </w:rPr>
        <w:t xml:space="preserve">To the extent that Positive Hope also challenges the timeliness of </w:t>
      </w:r>
      <w:r w:rsidRPr="00CD0034">
        <w:rPr>
          <w:bCs/>
          <w:color w:val="000000"/>
          <w:szCs w:val="22"/>
        </w:rPr>
        <w:t>Family’s filing of the</w:t>
      </w:r>
      <w:r>
        <w:rPr>
          <w:bCs/>
          <w:color w:val="000000"/>
          <w:szCs w:val="22"/>
        </w:rPr>
        <w:t xml:space="preserve"> Amended Translator Application, this issue is moot given our holding herein that Family was entitled to file a minor amendment under the Commission’s liberal amendment policy for auction winners.</w:t>
      </w:r>
    </w:p>
  </w:footnote>
  <w:footnote w:id="38">
    <w:p w:rsidR="007650A0" w:rsidP="00651494" w14:paraId="7A2735C2" w14:textId="6911DB03">
      <w:pPr>
        <w:pStyle w:val="FootnoteText"/>
        <w:widowControl w:val="0"/>
      </w:pPr>
      <w:r>
        <w:rPr>
          <w:rStyle w:val="FootnoteReference"/>
        </w:rPr>
        <w:footnoteRef/>
      </w:r>
      <w:r>
        <w:t xml:space="preserve"> 47 CFR § 1.115(c).</w:t>
      </w:r>
    </w:p>
  </w:footnote>
  <w:footnote w:id="39">
    <w:p w:rsidR="007650A0" w:rsidP="00651494" w14:paraId="45F893B3" w14:textId="3AABAD3B">
      <w:pPr>
        <w:pStyle w:val="FootnoteText"/>
        <w:widowControl w:val="0"/>
      </w:pPr>
      <w:r>
        <w:rPr>
          <w:rStyle w:val="FootnoteReference"/>
        </w:rPr>
        <w:footnoteRef/>
      </w:r>
      <w:r>
        <w:t xml:space="preserve"> 47 CFR § 1.106(f).</w:t>
      </w:r>
    </w:p>
  </w:footnote>
  <w:footnote w:id="40">
    <w:p w:rsidR="007650A0" w:rsidP="00651494" w14:paraId="5E27390F" w14:textId="60E9A5B1">
      <w:pPr>
        <w:pStyle w:val="FootnoteText"/>
        <w:widowControl w:val="0"/>
      </w:pPr>
      <w:r>
        <w:rPr>
          <w:rStyle w:val="FootnoteReference"/>
        </w:rPr>
        <w:footnoteRef/>
      </w:r>
      <w:r>
        <w:t xml:space="preserve"> 47 CFR </w:t>
      </w:r>
      <w:r w:rsidRPr="00CD0034">
        <w:t xml:space="preserve">§§ </w:t>
      </w:r>
      <w:r w:rsidRPr="00CD0034" w:rsidR="00A96B5D">
        <w:t xml:space="preserve">1.4(f) </w:t>
      </w:r>
      <w:r w:rsidR="00A96B5D">
        <w:t xml:space="preserve">and </w:t>
      </w:r>
      <w:r w:rsidRPr="00CD0034">
        <w:t xml:space="preserve">73.3564(a) also refer to </w:t>
      </w:r>
      <w:r>
        <w:t xml:space="preserve">documents that are “tendered”—i.e., delivered—in person or by mail to the Commission.  For electronically filed documents, the relevant time is when the document was received by the Commission’s electronic filing system.    </w:t>
      </w:r>
    </w:p>
  </w:footnote>
  <w:footnote w:id="41">
    <w:p w:rsidR="007650A0" w:rsidRPr="0025745B" w:rsidP="00651494" w14:paraId="7BC3E40B" w14:textId="3948FA98">
      <w:pPr>
        <w:pStyle w:val="FootnoteText"/>
        <w:widowControl w:val="0"/>
      </w:pPr>
      <w:r>
        <w:rPr>
          <w:rStyle w:val="FootnoteReference"/>
        </w:rPr>
        <w:footnoteRef/>
      </w:r>
      <w:r>
        <w:t xml:space="preserve"> </w:t>
      </w:r>
      <w:r>
        <w:rPr>
          <w:i/>
          <w:iCs/>
        </w:rPr>
        <w:t>Broadcast Applications</w:t>
      </w:r>
      <w:r>
        <w:t xml:space="preserve">, Public Notice, Report No. 29569 (MB Sept. 11, 2019) at 8. </w:t>
      </w:r>
      <w:r w:rsidRPr="00DE4A69">
        <w:t xml:space="preserve"> </w:t>
      </w:r>
      <w:bookmarkStart w:id="7" w:name="_Hlk99383523"/>
      <w:r w:rsidR="00A96B5D">
        <w:t xml:space="preserve">In the </w:t>
      </w:r>
      <w:r w:rsidR="00A96B5D">
        <w:rPr>
          <w:i/>
          <w:iCs/>
        </w:rPr>
        <w:t>Reconsideration Letter</w:t>
      </w:r>
      <w:r w:rsidR="00A96B5D">
        <w:t>,</w:t>
      </w:r>
      <w:r w:rsidR="00A96B5D">
        <w:rPr>
          <w:i/>
          <w:iCs/>
        </w:rPr>
        <w:t xml:space="preserve"> </w:t>
      </w:r>
      <w:r w:rsidR="00A96B5D">
        <w:t>t</w:t>
      </w:r>
      <w:r>
        <w:t xml:space="preserve">he Bureau </w:t>
      </w:r>
      <w:r w:rsidR="00620FC9">
        <w:t xml:space="preserve">correctly recited the date that the Family Petition was filed as September 6, 2019.  However, it </w:t>
      </w:r>
      <w:r>
        <w:t xml:space="preserve">inconsistently recites the filing date of the Amended Translator Application as September 6, 2019, and September 9, 2019.  </w:t>
      </w:r>
      <w:r>
        <w:rPr>
          <w:i/>
          <w:iCs/>
        </w:rPr>
        <w:t>See Reconsideration Letter</w:t>
      </w:r>
      <w:r>
        <w:t xml:space="preserve">, 35 </w:t>
      </w:r>
      <w:r w:rsidRPr="00620FC9">
        <w:t xml:space="preserve">FCC </w:t>
      </w:r>
      <w:r w:rsidRPr="00620FC9">
        <w:t>Rcd</w:t>
      </w:r>
      <w:r w:rsidRPr="00620FC9">
        <w:t xml:space="preserve"> at 6465-66.  The information in CDBS confirms </w:t>
      </w:r>
      <w:r w:rsidRPr="00620FC9" w:rsidR="00620FC9">
        <w:t xml:space="preserve">that </w:t>
      </w:r>
      <w:r w:rsidRPr="00620FC9">
        <w:t>only the September 6, 2019, date is correct.</w:t>
      </w:r>
      <w:r w:rsidRPr="00327E55">
        <w:t xml:space="preserve">  </w:t>
      </w:r>
      <w:bookmarkEnd w:id="7"/>
    </w:p>
  </w:footnote>
  <w:footnote w:id="42">
    <w:p w:rsidR="007650A0" w:rsidP="00651494" w14:paraId="3EBBCDA0" w14:textId="77777777">
      <w:pPr>
        <w:pStyle w:val="FootnoteText"/>
        <w:widowControl w:val="0"/>
      </w:pPr>
      <w:r>
        <w:rPr>
          <w:rStyle w:val="FootnoteReference"/>
        </w:rPr>
        <w:footnoteRef/>
      </w:r>
      <w:r>
        <w:t xml:space="preserve"> </w:t>
      </w:r>
      <w:r>
        <w:rPr>
          <w:i/>
          <w:iCs/>
        </w:rPr>
        <w:t>See Auction of Cross-Service FM Translator Construction Permit Closes—Winning Bidders Announced for Auction 100</w:t>
      </w:r>
      <w:r>
        <w:t xml:space="preserve">, Public Notice, 34 FCC </w:t>
      </w:r>
      <w:r>
        <w:t>Rcd</w:t>
      </w:r>
      <w:r>
        <w:t xml:space="preserve"> 5212, 5219, para. 37, n.42 (MB/OEA 2019) (“</w:t>
      </w:r>
      <w:r w:rsidRPr="007A3F79">
        <w:t>Although we expect applicants to provide complete and accurate information in all filings with the Commission, under our liberal amendment policy we will permit winning bidders to file amendments to their long-form applications including, as necessary, amendments to resolve site availability issues.</w:t>
      </w:r>
      <w:r>
        <w:t xml:space="preserve">”).  </w:t>
      </w:r>
    </w:p>
  </w:footnote>
  <w:footnote w:id="43">
    <w:p w:rsidR="007650A0" w:rsidP="00651494" w14:paraId="45CC45D9" w14:textId="77777777">
      <w:pPr>
        <w:pStyle w:val="FootnoteText"/>
        <w:widowControl w:val="0"/>
      </w:pPr>
      <w:r>
        <w:rPr>
          <w:rStyle w:val="FootnoteReference"/>
        </w:rPr>
        <w:footnoteRef/>
      </w:r>
      <w:r>
        <w:t xml:space="preserve"> 47 CFR § 73.3522(a)(2)-(3) (stating </w:t>
      </w:r>
      <w:r w:rsidRPr="00DF2D42">
        <w:t>that amendments to any long</w:t>
      </w:r>
      <w:r>
        <w:t>-</w:t>
      </w:r>
      <w:r w:rsidRPr="00DF2D42">
        <w:t xml:space="preserve">form application filed by “a winning bidder or a non-mutually exclusive applicant for a new station </w:t>
      </w:r>
      <w:r>
        <w:t xml:space="preserve">. . . </w:t>
      </w:r>
      <w:r w:rsidRPr="00DF2D42">
        <w:t xml:space="preserve">in all broadcast services subject to competitive bidding” may be filed to “cur[e] </w:t>
      </w:r>
      <w:r w:rsidRPr="007907D9">
        <w:rPr>
          <w:i/>
          <w:iCs/>
        </w:rPr>
        <w:t>any</w:t>
      </w:r>
      <w:r w:rsidRPr="00DF2D42">
        <w:t xml:space="preserve"> defect, omission or inconsistency identified by the Commission, or to make minor modifications to the application, or pursuant to § 1.65</w:t>
      </w:r>
      <w:r>
        <w:t>”) (emphasis added).</w:t>
      </w:r>
    </w:p>
  </w:footnote>
  <w:footnote w:id="44">
    <w:p w:rsidR="007650A0" w:rsidP="00651494" w14:paraId="48A05DB0" w14:textId="77777777">
      <w:pPr>
        <w:pStyle w:val="FootnoteText"/>
        <w:widowControl w:val="0"/>
      </w:pPr>
      <w:r>
        <w:rPr>
          <w:rStyle w:val="FootnoteReference"/>
        </w:rPr>
        <w:footnoteRef/>
      </w:r>
      <w:r>
        <w:t xml:space="preserve"> </w:t>
      </w:r>
      <w:r>
        <w:rPr>
          <w:bCs/>
          <w:szCs w:val="22"/>
        </w:rPr>
        <w:t xml:space="preserve">47 CFR § </w:t>
      </w:r>
      <w:r w:rsidRPr="002359D8">
        <w:rPr>
          <w:bCs/>
          <w:szCs w:val="22"/>
        </w:rPr>
        <w:t>74.1233(a)(1)(</w:t>
      </w:r>
      <w:r w:rsidRPr="002359D8">
        <w:rPr>
          <w:bCs/>
          <w:szCs w:val="22"/>
        </w:rPr>
        <w:t>i</w:t>
      </w:r>
      <w:r w:rsidRPr="002359D8">
        <w:rPr>
          <w:bCs/>
          <w:szCs w:val="22"/>
        </w:rPr>
        <w:t>)(A)(2)</w:t>
      </w:r>
      <w:r>
        <w:rPr>
          <w:bCs/>
          <w:szCs w:val="22"/>
        </w:rPr>
        <w:t xml:space="preserve">; </w:t>
      </w:r>
      <w:r>
        <w:rPr>
          <w:bCs/>
          <w:i/>
          <w:iCs/>
          <w:szCs w:val="22"/>
        </w:rPr>
        <w:t xml:space="preserve">see also </w:t>
      </w:r>
      <w:r>
        <w:rPr>
          <w:bCs/>
          <w:szCs w:val="22"/>
        </w:rPr>
        <w:t xml:space="preserve">47 CFR § </w:t>
      </w:r>
      <w:r w:rsidRPr="002359D8">
        <w:rPr>
          <w:bCs/>
          <w:szCs w:val="22"/>
        </w:rPr>
        <w:t>74.1233(</w:t>
      </w:r>
      <w:r>
        <w:rPr>
          <w:bCs/>
          <w:szCs w:val="22"/>
        </w:rPr>
        <w:t>d</w:t>
      </w:r>
      <w:r w:rsidRPr="002359D8">
        <w:rPr>
          <w:bCs/>
          <w:szCs w:val="22"/>
        </w:rPr>
        <w:t>)(</w:t>
      </w:r>
      <w:r>
        <w:rPr>
          <w:bCs/>
          <w:szCs w:val="22"/>
        </w:rPr>
        <w:t>5)(iii).</w:t>
      </w:r>
      <w:r w:rsidRPr="002359D8">
        <w:rPr>
          <w:bCs/>
          <w:szCs w:val="22"/>
        </w:rPr>
        <w:t xml:space="preserve">  </w:t>
      </w:r>
    </w:p>
  </w:footnote>
  <w:footnote w:id="45">
    <w:p w:rsidR="007650A0" w:rsidRPr="00673C07" w:rsidP="00651494" w14:paraId="322ABBE9" w14:textId="55F82048">
      <w:pPr>
        <w:pStyle w:val="FootnoteText"/>
        <w:widowControl w:val="0"/>
      </w:pPr>
      <w:r>
        <w:rPr>
          <w:rStyle w:val="FootnoteReference"/>
        </w:rPr>
        <w:footnoteRef/>
      </w:r>
      <w:r>
        <w:t xml:space="preserve"> </w:t>
      </w:r>
      <w:r>
        <w:rPr>
          <w:i/>
          <w:iCs/>
        </w:rPr>
        <w:t xml:space="preserve">See </w:t>
      </w:r>
      <w:r>
        <w:t>47 CFR § 73.3522(a)(2).</w:t>
      </w:r>
    </w:p>
  </w:footnote>
  <w:footnote w:id="46">
    <w:p w:rsidR="007650A0" w:rsidRPr="007C58DB" w:rsidP="00651494" w14:paraId="210C3FFF" w14:textId="4BD1D1CC">
      <w:pPr>
        <w:pStyle w:val="FootnoteText"/>
        <w:widowControl w:val="0"/>
      </w:pPr>
      <w:r>
        <w:rPr>
          <w:rStyle w:val="FootnoteReference"/>
        </w:rPr>
        <w:footnoteRef/>
      </w:r>
      <w:r>
        <w:t xml:space="preserve"> </w:t>
      </w:r>
      <w:r>
        <w:rPr>
          <w:i/>
          <w:iCs/>
        </w:rPr>
        <w:t>Translator Interference Order</w:t>
      </w:r>
      <w:r>
        <w:t xml:space="preserve">, 34 FCC </w:t>
      </w:r>
      <w:r>
        <w:t>Rcd</w:t>
      </w:r>
      <w:r>
        <w:t xml:space="preserve"> at 3484, para. 49. </w:t>
      </w:r>
    </w:p>
  </w:footnote>
  <w:footnote w:id="47">
    <w:p w:rsidR="00B35425" w:rsidP="00651494" w14:paraId="59E01D5F" w14:textId="59F17902">
      <w:pPr>
        <w:pStyle w:val="FootnoteText"/>
        <w:widowControl w:val="0"/>
      </w:pPr>
      <w:r w:rsidRPr="00624924">
        <w:rPr>
          <w:rStyle w:val="FootnoteReference"/>
        </w:rPr>
        <w:footnoteRef/>
      </w:r>
      <w:r w:rsidRPr="00624924">
        <w:t xml:space="preserve"> </w:t>
      </w:r>
      <w:r w:rsidRPr="00624924" w:rsidR="00344054">
        <w:t xml:space="preserve">In view of our finding that reinstatement was proper based on the Commission’s liberal amendment policy, it is unnecessary to address Positive Hope’s arguments that Family did not qualify for </w:t>
      </w:r>
      <w:r w:rsidRPr="00624924" w:rsidR="00344054">
        <w:rPr>
          <w:i/>
          <w:iCs/>
        </w:rPr>
        <w:t>nunc</w:t>
      </w:r>
      <w:r w:rsidRPr="00624924" w:rsidR="00344054">
        <w:rPr>
          <w:i/>
          <w:iCs/>
        </w:rPr>
        <w:t xml:space="preserve"> pro </w:t>
      </w:r>
      <w:r w:rsidRPr="00624924" w:rsidR="00344054">
        <w:rPr>
          <w:i/>
          <w:iCs/>
        </w:rPr>
        <w:t>tunc</w:t>
      </w:r>
      <w:r w:rsidRPr="00624924" w:rsidR="00344054">
        <w:rPr>
          <w:i/>
          <w:iCs/>
        </w:rPr>
        <w:t xml:space="preserve"> </w:t>
      </w:r>
      <w:r w:rsidRPr="00624924" w:rsidR="00344054">
        <w:t>treatment or that the Bureau otherwise misapplied that policy to the circumstances here</w:t>
      </w:r>
      <w:r w:rsidRPr="00624924" w:rsidR="00F95FBE">
        <w:t>.</w:t>
      </w:r>
    </w:p>
  </w:footnote>
  <w:footnote w:id="48">
    <w:p w:rsidR="007650A0" w:rsidRPr="00114DDF" w:rsidP="00651494" w14:paraId="77E648A8" w14:textId="77777777">
      <w:pPr>
        <w:pStyle w:val="FootnoteText"/>
        <w:widowControl w:val="0"/>
      </w:pPr>
      <w:r>
        <w:rPr>
          <w:rStyle w:val="FootnoteReference"/>
        </w:rPr>
        <w:footnoteRef/>
      </w:r>
      <w:r>
        <w:t xml:space="preserve"> </w:t>
      </w:r>
      <w:r>
        <w:rPr>
          <w:i/>
          <w:iCs/>
        </w:rPr>
        <w:t>Emmanuel</w:t>
      </w:r>
      <w:r>
        <w:t xml:space="preserve">, 34 FCC </w:t>
      </w:r>
      <w:r>
        <w:t>Rcd</w:t>
      </w:r>
      <w:r>
        <w:t xml:space="preserve"> at 9298, para. 10.</w:t>
      </w:r>
    </w:p>
  </w:footnote>
  <w:footnote w:id="49">
    <w:p w:rsidR="007650A0" w:rsidRPr="007C58DB" w:rsidP="00651494" w14:paraId="1143871E" w14:textId="6B2E8887">
      <w:pPr>
        <w:pStyle w:val="FootnoteText"/>
        <w:widowControl w:val="0"/>
      </w:pPr>
      <w:r>
        <w:rPr>
          <w:rStyle w:val="FootnoteReference"/>
        </w:rPr>
        <w:footnoteRef/>
      </w:r>
      <w:r>
        <w:t xml:space="preserve"> </w:t>
      </w:r>
      <w:r>
        <w:rPr>
          <w:i/>
          <w:iCs/>
        </w:rPr>
        <w:t>Emmanuel</w:t>
      </w:r>
      <w:r>
        <w:t xml:space="preserve">, 34 FCC </w:t>
      </w:r>
      <w:r>
        <w:t>Rcd</w:t>
      </w:r>
      <w:r>
        <w:t xml:space="preserve"> at 9295, para. 4; </w:t>
      </w:r>
      <w:r>
        <w:rPr>
          <w:i/>
          <w:iCs/>
        </w:rPr>
        <w:t>see also Emmanuel Communications, Inc.</w:t>
      </w:r>
      <w:r>
        <w:t xml:space="preserve">, Letter Decision, File No. BNPFT-20171220AAW (MB rel. Sept. 28, 2018). </w:t>
      </w:r>
    </w:p>
  </w:footnote>
  <w:footnote w:id="50">
    <w:p w:rsidR="007650A0" w:rsidP="00651494" w14:paraId="39FB8247" w14:textId="227EAAE7">
      <w:pPr>
        <w:pStyle w:val="FootnoteText"/>
        <w:widowControl w:val="0"/>
      </w:pPr>
      <w:r>
        <w:rPr>
          <w:rStyle w:val="FootnoteReference"/>
        </w:rPr>
        <w:footnoteRef/>
      </w:r>
      <w:r>
        <w:t xml:space="preserve"> </w:t>
      </w:r>
      <w:r>
        <w:rPr>
          <w:i/>
          <w:iCs/>
        </w:rPr>
        <w:t>Emmanuel</w:t>
      </w:r>
      <w:r>
        <w:t xml:space="preserve">, 34 FCC </w:t>
      </w:r>
      <w:r>
        <w:t>Rcd</w:t>
      </w:r>
      <w:r>
        <w:t xml:space="preserve"> at 9298, para. 10.</w:t>
      </w:r>
    </w:p>
  </w:footnote>
  <w:footnote w:id="51">
    <w:p w:rsidR="007650A0" w:rsidP="00651494" w14:paraId="1AC2D202" w14:textId="45978EF3">
      <w:pPr>
        <w:pStyle w:val="FootnoteText"/>
        <w:widowControl w:val="0"/>
      </w:pPr>
      <w:r>
        <w:rPr>
          <w:rStyle w:val="FootnoteReference"/>
        </w:rPr>
        <w:footnoteRef/>
      </w:r>
      <w:r>
        <w:t xml:space="preserve"> </w:t>
      </w:r>
      <w:r>
        <w:rPr>
          <w:i/>
          <w:iCs/>
        </w:rPr>
        <w:t>Id.</w:t>
      </w:r>
      <w:r>
        <w:t xml:space="preserve"> at 9298, para. 11.  The Commission did not address the issue of whether an improperly dismissed long form applicant is entitled to reinstatement and an opportunity to amend, nor whether, in such circumstances, the applicant could seek a non-adjacent channel change under the new rules.  </w:t>
      </w:r>
    </w:p>
  </w:footnote>
  <w:footnote w:id="52">
    <w:p w:rsidR="007650A0" w:rsidP="00651494" w14:paraId="38E5A396" w14:textId="37E73783">
      <w:pPr>
        <w:pStyle w:val="FootnoteText"/>
        <w:widowControl w:val="0"/>
      </w:pPr>
      <w:r>
        <w:rPr>
          <w:rStyle w:val="FootnoteReference"/>
        </w:rPr>
        <w:footnoteRef/>
      </w:r>
      <w:r>
        <w:t xml:space="preserve"> </w:t>
      </w:r>
      <w:r w:rsidR="00327E55">
        <w:rPr>
          <w:i/>
          <w:iCs/>
        </w:rPr>
        <w:t xml:space="preserve">See </w:t>
      </w:r>
      <w:r>
        <w:rPr>
          <w:i/>
          <w:iCs/>
        </w:rPr>
        <w:t>Translator Interference Order</w:t>
      </w:r>
      <w:r>
        <w:t xml:space="preserve">, 34 FCC </w:t>
      </w:r>
      <w:r>
        <w:t>Rcd</w:t>
      </w:r>
      <w:r>
        <w:t xml:space="preserve"> at 348</w:t>
      </w:r>
      <w:r w:rsidRPr="00327E55" w:rsidR="002F2253">
        <w:t>2</w:t>
      </w:r>
      <w:r>
        <w:t>, para. 49.</w:t>
      </w:r>
    </w:p>
  </w:footnote>
  <w:footnote w:id="53">
    <w:p w:rsidR="007650A0" w:rsidP="00651494" w14:paraId="5EAAA177" w14:textId="0AF81EF6">
      <w:pPr>
        <w:pStyle w:val="FootnoteText"/>
        <w:widowControl w:val="0"/>
      </w:pPr>
      <w:r>
        <w:rPr>
          <w:rStyle w:val="FootnoteReference"/>
        </w:rPr>
        <w:footnoteRef/>
      </w:r>
      <w:r>
        <w:t xml:space="preserve"> </w:t>
      </w:r>
      <w:r w:rsidRPr="002359D8">
        <w:rPr>
          <w:bCs/>
          <w:i/>
          <w:iCs/>
          <w:szCs w:val="22"/>
        </w:rPr>
        <w:t>Reconsideration Letter</w:t>
      </w:r>
      <w:r w:rsidRPr="002359D8">
        <w:rPr>
          <w:bCs/>
          <w:szCs w:val="22"/>
        </w:rPr>
        <w:t xml:space="preserve">, 35 FCC </w:t>
      </w:r>
      <w:r w:rsidRPr="002359D8">
        <w:rPr>
          <w:bCs/>
          <w:szCs w:val="22"/>
        </w:rPr>
        <w:t>Rcd</w:t>
      </w:r>
      <w:r w:rsidRPr="002359D8">
        <w:rPr>
          <w:bCs/>
          <w:szCs w:val="22"/>
        </w:rPr>
        <w:t xml:space="preserve"> at 6467</w:t>
      </w:r>
      <w:r>
        <w:rPr>
          <w:bCs/>
          <w:szCs w:val="22"/>
        </w:rPr>
        <w:t>.</w:t>
      </w:r>
    </w:p>
  </w:footnote>
  <w:footnote w:id="54">
    <w:p w:rsidR="007650A0" w:rsidP="00651494" w14:paraId="0920895A" w14:textId="395A5D5F">
      <w:pPr>
        <w:pStyle w:val="FootnoteText"/>
        <w:widowControl w:val="0"/>
      </w:pPr>
      <w:r>
        <w:rPr>
          <w:rStyle w:val="FootnoteReference"/>
        </w:rPr>
        <w:footnoteRef/>
      </w:r>
      <w:r>
        <w:t xml:space="preserve"> Application for Review at 5, paras. 13-14. </w:t>
      </w:r>
    </w:p>
  </w:footnote>
  <w:footnote w:id="55">
    <w:p w:rsidR="007650A0" w:rsidRPr="005267B2" w:rsidP="00651494" w14:paraId="2AA9C90B" w14:textId="77777777">
      <w:pPr>
        <w:pStyle w:val="FootnoteText"/>
        <w:widowControl w:val="0"/>
      </w:pPr>
      <w:r>
        <w:rPr>
          <w:rStyle w:val="FootnoteReference"/>
        </w:rPr>
        <w:footnoteRef/>
      </w:r>
      <w:r>
        <w:t xml:space="preserve"> </w:t>
      </w:r>
      <w:r>
        <w:rPr>
          <w:i/>
          <w:iCs/>
        </w:rPr>
        <w:t xml:space="preserve">See </w:t>
      </w:r>
      <w:r>
        <w:t xml:space="preserve">47 CFR § 74.1204(f); </w:t>
      </w:r>
      <w:r>
        <w:rPr>
          <w:i/>
          <w:iCs/>
        </w:rPr>
        <w:t>Translator Interference Order</w:t>
      </w:r>
      <w:r>
        <w:t xml:space="preserve">, 34 FCC </w:t>
      </w:r>
      <w:r>
        <w:t>Rcd</w:t>
      </w:r>
      <w:r>
        <w:t xml:space="preserve"> at 3460, para 6 (“[W]</w:t>
      </w:r>
      <w:r w:rsidRPr="00F50B44">
        <w:t xml:space="preserve">e modify section 74.1233(a)(1) of the Commission's rules (Rules) to define an FM translator's change to any available same-band FM channel as a minor change, upon a showing of actual or </w:t>
      </w:r>
      <w:r w:rsidRPr="00F50B44">
        <w:rPr>
          <w:b/>
          <w:bCs/>
          <w:i/>
          <w:iCs/>
        </w:rPr>
        <w:t>predicted</w:t>
      </w:r>
      <w:r w:rsidRPr="00F50B44">
        <w:t xml:space="preserve"> interference to or from any other broadcast station.</w:t>
      </w:r>
      <w:r>
        <w:t xml:space="preserve">”) (emphasis added). </w:t>
      </w:r>
    </w:p>
  </w:footnote>
  <w:footnote w:id="56">
    <w:p w:rsidR="007650A0" w:rsidP="00651494" w14:paraId="4E926FB4" w14:textId="77777777">
      <w:pPr>
        <w:pStyle w:val="FootnoteText"/>
        <w:widowControl w:val="0"/>
      </w:pPr>
      <w:r>
        <w:rPr>
          <w:rStyle w:val="FootnoteReference"/>
        </w:rPr>
        <w:footnoteRef/>
      </w:r>
      <w:r>
        <w:t xml:space="preserve"> </w:t>
      </w:r>
      <w:r>
        <w:rPr>
          <w:i/>
          <w:iCs/>
        </w:rPr>
        <w:t>Reconsideration Letter</w:t>
      </w:r>
      <w:r>
        <w:t xml:space="preserve">, 35 FCC </w:t>
      </w:r>
      <w:r>
        <w:t>Rcd</w:t>
      </w:r>
      <w:r>
        <w:t xml:space="preserve"> at 6467.  </w:t>
      </w:r>
    </w:p>
  </w:footnote>
  <w:footnote w:id="57">
    <w:p w:rsidR="007650A0" w:rsidRPr="00CD4D27" w:rsidP="00651494" w14:paraId="62D43BE2" w14:textId="77777777">
      <w:pPr>
        <w:pStyle w:val="FootnoteText"/>
        <w:widowControl w:val="0"/>
      </w:pPr>
      <w:r>
        <w:rPr>
          <w:rStyle w:val="FootnoteReference"/>
        </w:rPr>
        <w:footnoteRef/>
      </w:r>
      <w:r>
        <w:t xml:space="preserve"> </w:t>
      </w:r>
      <w:r>
        <w:rPr>
          <w:i/>
          <w:iCs/>
        </w:rPr>
        <w:t>Id</w:t>
      </w:r>
      <w:r>
        <w:t>.</w:t>
      </w:r>
    </w:p>
  </w:footnote>
  <w:footnote w:id="58">
    <w:p w:rsidR="007650A0" w:rsidRPr="00D319DF" w:rsidP="00651494" w14:paraId="5418D525" w14:textId="09A3DD99">
      <w:pPr>
        <w:pStyle w:val="FootnoteText"/>
        <w:widowControl w:val="0"/>
      </w:pPr>
      <w:r>
        <w:rPr>
          <w:rStyle w:val="FootnoteReference"/>
        </w:rPr>
        <w:footnoteRef/>
      </w:r>
      <w:r>
        <w:t xml:space="preserve"> </w:t>
      </w:r>
      <w:r>
        <w:rPr>
          <w:i/>
          <w:iCs/>
        </w:rPr>
        <w:t>Translator Interference Order</w:t>
      </w:r>
      <w:r>
        <w:t xml:space="preserve">, 34 FCC </w:t>
      </w:r>
      <w:r>
        <w:t>Rcd</w:t>
      </w:r>
      <w:r>
        <w:t xml:space="preserve"> at 3460, para. 5.</w:t>
      </w:r>
    </w:p>
  </w:footnote>
  <w:footnote w:id="59">
    <w:p w:rsidR="007650A0" w:rsidRPr="009B6723" w:rsidP="00651494" w14:paraId="155E18C5" w14:textId="559097D9">
      <w:pPr>
        <w:pStyle w:val="FootnoteText"/>
        <w:widowControl w:val="0"/>
      </w:pPr>
      <w:r>
        <w:rPr>
          <w:rStyle w:val="FootnoteReference"/>
        </w:rPr>
        <w:footnoteRef/>
      </w:r>
      <w:r>
        <w:t xml:space="preserve"> </w:t>
      </w:r>
      <w:r>
        <w:rPr>
          <w:i/>
          <w:iCs/>
        </w:rPr>
        <w:t xml:space="preserve">See </w:t>
      </w:r>
      <w:r w:rsidRPr="00F726E1">
        <w:rPr>
          <w:i/>
          <w:iCs/>
        </w:rPr>
        <w:t>Translator</w:t>
      </w:r>
      <w:r>
        <w:rPr>
          <w:i/>
          <w:iCs/>
        </w:rPr>
        <w:t xml:space="preserve"> Interference Order</w:t>
      </w:r>
      <w:r>
        <w:t xml:space="preserve">, 34 FCC </w:t>
      </w:r>
      <w:r>
        <w:t>Rcd</w:t>
      </w:r>
      <w:r>
        <w:t xml:space="preserve"> at 3471, n.107 (“T</w:t>
      </w:r>
      <w:r w:rsidRPr="009B6723">
        <w:t>o prevent translator operators from</w:t>
      </w:r>
      <w:r>
        <w:t xml:space="preserve"> </w:t>
      </w:r>
      <w:r w:rsidRPr="009B6723">
        <w:t xml:space="preserve">filing modification applications for channels that are not viable,” the Commission </w:t>
      </w:r>
      <w:r>
        <w:t>c</w:t>
      </w:r>
      <w:r w:rsidRPr="009B6723">
        <w:t>onsiders interference resolved</w:t>
      </w:r>
      <w:r>
        <w:t xml:space="preserve"> </w:t>
      </w:r>
      <w:r w:rsidRPr="009B6723">
        <w:t>only “when the translator is licensed on the new channel”</w:t>
      </w:r>
      <w:r>
        <w:t>)</w:t>
      </w:r>
      <w:r w:rsidRPr="009B6723">
        <w:t>.</w:t>
      </w:r>
    </w:p>
  </w:footnote>
  <w:footnote w:id="60">
    <w:p w:rsidR="007650A0" w:rsidRPr="00333AEB" w:rsidP="00651494" w14:paraId="00DF78FA" w14:textId="40AF587C">
      <w:pPr>
        <w:pStyle w:val="FootnoteText"/>
        <w:widowControl w:val="0"/>
      </w:pPr>
      <w:r>
        <w:rPr>
          <w:rStyle w:val="FootnoteReference"/>
        </w:rPr>
        <w:footnoteRef/>
      </w:r>
      <w:r>
        <w:t xml:space="preserve"> </w:t>
      </w:r>
      <w:r>
        <w:rPr>
          <w:i/>
          <w:iCs/>
        </w:rPr>
        <w:t xml:space="preserve">See </w:t>
      </w:r>
      <w:r w:rsidRPr="00061E1D">
        <w:rPr>
          <w:i/>
          <w:iCs/>
        </w:rPr>
        <w:t>WKVE, Semora, North Carolina</w:t>
      </w:r>
      <w:r w:rsidRPr="00061E1D">
        <w:t xml:space="preserve">, Memorandum Opinion and Order and Notice of Apparent Liability, 18 FCC </w:t>
      </w:r>
      <w:r w:rsidRPr="00061E1D">
        <w:t>Rcd</w:t>
      </w:r>
      <w:r w:rsidRPr="00061E1D">
        <w:t xml:space="preserve"> 23411, 23423 (2003) </w:t>
      </w:r>
      <w:r>
        <w:t>(“</w:t>
      </w:r>
      <w:r w:rsidRPr="00061E1D">
        <w:t xml:space="preserve">We will not take adverse action on </w:t>
      </w:r>
      <w:r>
        <w:t>[an application]</w:t>
      </w:r>
      <w:r w:rsidRPr="00061E1D">
        <w:t xml:space="preserve"> based solely on its acceptability as filed, when subsequent events prior to staff review resulted in a fully acceptable application.</w:t>
      </w:r>
      <w:r>
        <w:t>”).</w:t>
      </w:r>
    </w:p>
  </w:footnote>
  <w:footnote w:id="61">
    <w:p w:rsidR="007650A0" w:rsidP="00651494" w14:paraId="52DEDE66" w14:textId="77777777">
      <w:pPr>
        <w:pStyle w:val="FootnoteText"/>
        <w:widowControl w:val="0"/>
      </w:pPr>
      <w:r>
        <w:rPr>
          <w:rStyle w:val="FootnoteReference"/>
        </w:rPr>
        <w:footnoteRef/>
      </w:r>
      <w:r>
        <w:t xml:space="preserve"> </w:t>
      </w:r>
      <w:r>
        <w:rPr>
          <w:bCs/>
          <w:color w:val="000000"/>
          <w:szCs w:val="22"/>
        </w:rPr>
        <w:t xml:space="preserve">The DKRSA-LP cancellation became final on October 14, 2019, one month after public notice of the Bureau’s disposal of the last petition for reconsideration challenging the cancellation.  </w:t>
      </w:r>
      <w:r>
        <w:rPr>
          <w:i/>
          <w:iCs/>
        </w:rPr>
        <w:t>See La Maestra Family Foundation</w:t>
      </w:r>
      <w:r>
        <w:t xml:space="preserve">, Letter Decision, Ref. No. 1800B3-IB (MB Sept. 10, 2019); </w:t>
      </w:r>
      <w:r>
        <w:rPr>
          <w:i/>
          <w:iCs/>
        </w:rPr>
        <w:t>Broadcast Applications</w:t>
      </w:r>
      <w:r>
        <w:t>, Public Notice, Report No. 29571 (MB Sept. 13, 2019).</w:t>
      </w:r>
    </w:p>
  </w:footnote>
  <w:footnote w:id="62">
    <w:p w:rsidR="007650A0" w:rsidRPr="00F726E1" w:rsidP="00651494" w14:paraId="344803DC" w14:textId="79BB5532">
      <w:pPr>
        <w:pStyle w:val="FootnoteText"/>
        <w:widowControl w:val="0"/>
      </w:pPr>
      <w:r>
        <w:rPr>
          <w:rStyle w:val="FootnoteReference"/>
        </w:rPr>
        <w:footnoteRef/>
      </w:r>
      <w:r>
        <w:t xml:space="preserve"> </w:t>
      </w:r>
      <w:r>
        <w:rPr>
          <w:i/>
          <w:iCs/>
        </w:rPr>
        <w:t xml:space="preserve">See Silver State Reconsideration Letter </w:t>
      </w:r>
      <w:r>
        <w:t>at 4.</w:t>
      </w:r>
    </w:p>
  </w:footnote>
  <w:footnote w:id="63">
    <w:p w:rsidR="007650A0" w:rsidP="00651494" w14:paraId="36F33A1F" w14:textId="00829C47">
      <w:pPr>
        <w:pStyle w:val="FootnoteText"/>
        <w:widowControl w:val="0"/>
      </w:pPr>
      <w:r>
        <w:rPr>
          <w:rStyle w:val="FootnoteReference"/>
        </w:rPr>
        <w:footnoteRef/>
      </w:r>
      <w:r>
        <w:t xml:space="preserve"> </w:t>
      </w:r>
      <w:r w:rsidRPr="00FD3FE4">
        <w:rPr>
          <w:i/>
          <w:iCs/>
        </w:rPr>
        <w:t>See Comcast Corp. v. FCC,</w:t>
      </w:r>
      <w:r w:rsidRPr="00FD3FE4">
        <w:t xml:space="preserve"> 526 F.3d 763, 769 (D.C. Cir. 2008).</w:t>
      </w:r>
    </w:p>
  </w:footnote>
  <w:footnote w:id="64">
    <w:p w:rsidR="007650A0" w:rsidRPr="00320BF6" w:rsidP="00651494" w14:paraId="70FA2668" w14:textId="77777777">
      <w:pPr>
        <w:pStyle w:val="FootnoteText"/>
        <w:widowControl w:val="0"/>
      </w:pPr>
      <w:r w:rsidRPr="00320BF6">
        <w:rPr>
          <w:rStyle w:val="FootnoteReference"/>
        </w:rPr>
        <w:footnoteRef/>
      </w:r>
      <w:r w:rsidRPr="00320BF6">
        <w:t xml:space="preserve"> </w:t>
      </w:r>
      <w:r w:rsidRPr="00320BF6">
        <w:t>47 U.S.C. § 155(c)(5).</w:t>
      </w:r>
    </w:p>
  </w:footnote>
  <w:footnote w:id="65">
    <w:p w:rsidR="007650A0" w:rsidRPr="00320BF6" w:rsidP="00651494" w14:paraId="70FA2669" w14:textId="77777777">
      <w:pPr>
        <w:pStyle w:val="FootnoteText"/>
        <w:widowControl w:val="0"/>
      </w:pPr>
      <w:r w:rsidRPr="00320BF6">
        <w:rPr>
          <w:rStyle w:val="FootnoteReference"/>
        </w:rPr>
        <w:footnoteRef/>
      </w:r>
      <w:r>
        <w:t xml:space="preserve"> 47 CFR</w:t>
      </w:r>
      <w:r w:rsidRPr="00320BF6">
        <w:t xml:space="preserve"> § 1.115(g).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50A0" w:rsidP="00810B6F" w14:paraId="70FA2652" w14:textId="54DB38E6">
    <w:pPr>
      <w:pStyle w:val="Header"/>
      <w:rPr>
        <w:b w:val="0"/>
      </w:rPr>
    </w:pPr>
    <w:r>
      <w:tab/>
      <w:t>Federal Communications Commission</w:t>
    </w:r>
    <w:r>
      <w:tab/>
    </w:r>
    <w:r w:rsidR="00127873">
      <w:t>FCC 22-27</w:t>
    </w:r>
  </w:p>
  <w:p w:rsidR="007650A0" w14:paraId="70FA2653"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7650A0" w14:paraId="70FA265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50A0" w:rsidP="00810B6F" w14:paraId="70FA2659" w14:textId="7922AE7C">
    <w:pPr>
      <w:pStyle w:val="Header"/>
      <w:rPr>
        <w:b w:val="0"/>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127873">
      <w:rPr>
        <w:spacing w:val="-2"/>
      </w:rPr>
      <w:t>FCC 22-27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7AE4174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91F14AC"/>
    <w:multiLevelType w:val="singleLevel"/>
    <w:tmpl w:val="78888554"/>
    <w:lvl w:ilvl="0">
      <w:start w:val="1"/>
      <w:numFmt w:val="decimal"/>
      <w:lvlText w:val="%1."/>
      <w:lvlJc w:val="left"/>
      <w:pPr>
        <w:tabs>
          <w:tab w:val="num" w:pos="1080"/>
        </w:tabs>
        <w:ind w:left="0" w:firstLine="720"/>
      </w:pPr>
      <w:rPr>
        <w:b w:val="0"/>
        <w:bCs w:val="0"/>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CA"/>
    <w:rsid w:val="00000A5C"/>
    <w:rsid w:val="00002A76"/>
    <w:rsid w:val="00004AB5"/>
    <w:rsid w:val="0000540F"/>
    <w:rsid w:val="0000638A"/>
    <w:rsid w:val="000066E4"/>
    <w:rsid w:val="00007774"/>
    <w:rsid w:val="00015B96"/>
    <w:rsid w:val="00023501"/>
    <w:rsid w:val="000263BA"/>
    <w:rsid w:val="00032D93"/>
    <w:rsid w:val="00033261"/>
    <w:rsid w:val="000339DC"/>
    <w:rsid w:val="00033AA0"/>
    <w:rsid w:val="00036039"/>
    <w:rsid w:val="00037274"/>
    <w:rsid w:val="000374C9"/>
    <w:rsid w:val="0003756D"/>
    <w:rsid w:val="00037A6F"/>
    <w:rsid w:val="00037F90"/>
    <w:rsid w:val="000416B6"/>
    <w:rsid w:val="00042367"/>
    <w:rsid w:val="00044EE6"/>
    <w:rsid w:val="00046334"/>
    <w:rsid w:val="00047D8D"/>
    <w:rsid w:val="0005067A"/>
    <w:rsid w:val="00051B57"/>
    <w:rsid w:val="00060FDF"/>
    <w:rsid w:val="0006179C"/>
    <w:rsid w:val="00061E1D"/>
    <w:rsid w:val="00062D6E"/>
    <w:rsid w:val="00063AE4"/>
    <w:rsid w:val="000646A2"/>
    <w:rsid w:val="000650AD"/>
    <w:rsid w:val="000659FD"/>
    <w:rsid w:val="00066CE5"/>
    <w:rsid w:val="00067176"/>
    <w:rsid w:val="00067C82"/>
    <w:rsid w:val="00071282"/>
    <w:rsid w:val="00073152"/>
    <w:rsid w:val="00074DCF"/>
    <w:rsid w:val="00080A98"/>
    <w:rsid w:val="00084A8A"/>
    <w:rsid w:val="000875BF"/>
    <w:rsid w:val="00090C4B"/>
    <w:rsid w:val="000959A3"/>
    <w:rsid w:val="00096865"/>
    <w:rsid w:val="00096B12"/>
    <w:rsid w:val="00096D8C"/>
    <w:rsid w:val="000972CE"/>
    <w:rsid w:val="00097595"/>
    <w:rsid w:val="000A00F1"/>
    <w:rsid w:val="000A04E5"/>
    <w:rsid w:val="000A057A"/>
    <w:rsid w:val="000A187F"/>
    <w:rsid w:val="000A43CA"/>
    <w:rsid w:val="000A444A"/>
    <w:rsid w:val="000A4DD0"/>
    <w:rsid w:val="000A5061"/>
    <w:rsid w:val="000A77D5"/>
    <w:rsid w:val="000B1C87"/>
    <w:rsid w:val="000C0B65"/>
    <w:rsid w:val="000C50CB"/>
    <w:rsid w:val="000C7822"/>
    <w:rsid w:val="000C79D0"/>
    <w:rsid w:val="000D06C0"/>
    <w:rsid w:val="000D0B19"/>
    <w:rsid w:val="000D453C"/>
    <w:rsid w:val="000D6A5D"/>
    <w:rsid w:val="000D6F69"/>
    <w:rsid w:val="000E05FE"/>
    <w:rsid w:val="000E1F1C"/>
    <w:rsid w:val="000E21BB"/>
    <w:rsid w:val="000E2EC6"/>
    <w:rsid w:val="000E3D42"/>
    <w:rsid w:val="000E543E"/>
    <w:rsid w:val="000E65F3"/>
    <w:rsid w:val="000E69E4"/>
    <w:rsid w:val="000E70AD"/>
    <w:rsid w:val="000F101D"/>
    <w:rsid w:val="000F4047"/>
    <w:rsid w:val="000F573D"/>
    <w:rsid w:val="000F6A44"/>
    <w:rsid w:val="000F71BC"/>
    <w:rsid w:val="000F78D8"/>
    <w:rsid w:val="001007FA"/>
    <w:rsid w:val="00101541"/>
    <w:rsid w:val="00102B5C"/>
    <w:rsid w:val="00104841"/>
    <w:rsid w:val="00104F2A"/>
    <w:rsid w:val="00105A65"/>
    <w:rsid w:val="00106BD6"/>
    <w:rsid w:val="00111732"/>
    <w:rsid w:val="00111B72"/>
    <w:rsid w:val="00111EA9"/>
    <w:rsid w:val="00114DDF"/>
    <w:rsid w:val="00117C27"/>
    <w:rsid w:val="001208FB"/>
    <w:rsid w:val="00120EC3"/>
    <w:rsid w:val="001223E9"/>
    <w:rsid w:val="00122BD5"/>
    <w:rsid w:val="0012382C"/>
    <w:rsid w:val="001238A7"/>
    <w:rsid w:val="00127873"/>
    <w:rsid w:val="00131007"/>
    <w:rsid w:val="00132B7E"/>
    <w:rsid w:val="00133F79"/>
    <w:rsid w:val="00134EE9"/>
    <w:rsid w:val="00136BE1"/>
    <w:rsid w:val="00137908"/>
    <w:rsid w:val="001406D0"/>
    <w:rsid w:val="0014293A"/>
    <w:rsid w:val="0014350E"/>
    <w:rsid w:val="00143A5A"/>
    <w:rsid w:val="00143D0C"/>
    <w:rsid w:val="00144B2D"/>
    <w:rsid w:val="00151BB0"/>
    <w:rsid w:val="00153D05"/>
    <w:rsid w:val="00154E82"/>
    <w:rsid w:val="00155D9F"/>
    <w:rsid w:val="001561CD"/>
    <w:rsid w:val="0015746E"/>
    <w:rsid w:val="001632E8"/>
    <w:rsid w:val="00166073"/>
    <w:rsid w:val="001705D4"/>
    <w:rsid w:val="00171CAC"/>
    <w:rsid w:val="001729C1"/>
    <w:rsid w:val="00174364"/>
    <w:rsid w:val="0017686F"/>
    <w:rsid w:val="001775F3"/>
    <w:rsid w:val="00181645"/>
    <w:rsid w:val="0018291E"/>
    <w:rsid w:val="00183DB7"/>
    <w:rsid w:val="00185130"/>
    <w:rsid w:val="00190CDB"/>
    <w:rsid w:val="0019286C"/>
    <w:rsid w:val="00194A66"/>
    <w:rsid w:val="00197027"/>
    <w:rsid w:val="001A0B51"/>
    <w:rsid w:val="001A2692"/>
    <w:rsid w:val="001A7918"/>
    <w:rsid w:val="001B0679"/>
    <w:rsid w:val="001B244D"/>
    <w:rsid w:val="001B4B14"/>
    <w:rsid w:val="001B4F41"/>
    <w:rsid w:val="001B6173"/>
    <w:rsid w:val="001B66FD"/>
    <w:rsid w:val="001B6FE9"/>
    <w:rsid w:val="001B773F"/>
    <w:rsid w:val="001B7AC1"/>
    <w:rsid w:val="001C0727"/>
    <w:rsid w:val="001C0B8C"/>
    <w:rsid w:val="001C2727"/>
    <w:rsid w:val="001C2FDC"/>
    <w:rsid w:val="001C703D"/>
    <w:rsid w:val="001D0BFE"/>
    <w:rsid w:val="001D2C7D"/>
    <w:rsid w:val="001D3D1E"/>
    <w:rsid w:val="001D6BCF"/>
    <w:rsid w:val="001E01CA"/>
    <w:rsid w:val="001E127D"/>
    <w:rsid w:val="001E137F"/>
    <w:rsid w:val="001E2631"/>
    <w:rsid w:val="001E3233"/>
    <w:rsid w:val="001E5AD9"/>
    <w:rsid w:val="001F0439"/>
    <w:rsid w:val="001F34D7"/>
    <w:rsid w:val="001F5CD9"/>
    <w:rsid w:val="001F6BC4"/>
    <w:rsid w:val="00200681"/>
    <w:rsid w:val="00200F68"/>
    <w:rsid w:val="0020616C"/>
    <w:rsid w:val="00206783"/>
    <w:rsid w:val="00213BC6"/>
    <w:rsid w:val="00217346"/>
    <w:rsid w:val="00217753"/>
    <w:rsid w:val="0022207B"/>
    <w:rsid w:val="00222371"/>
    <w:rsid w:val="002226EA"/>
    <w:rsid w:val="00224EA7"/>
    <w:rsid w:val="00225E96"/>
    <w:rsid w:val="00230924"/>
    <w:rsid w:val="00232DDD"/>
    <w:rsid w:val="00233411"/>
    <w:rsid w:val="00235430"/>
    <w:rsid w:val="002359D8"/>
    <w:rsid w:val="00236406"/>
    <w:rsid w:val="00237E39"/>
    <w:rsid w:val="00237F31"/>
    <w:rsid w:val="0024151C"/>
    <w:rsid w:val="00242017"/>
    <w:rsid w:val="0024652B"/>
    <w:rsid w:val="002466CE"/>
    <w:rsid w:val="00246AC3"/>
    <w:rsid w:val="00246C7B"/>
    <w:rsid w:val="0024758B"/>
    <w:rsid w:val="00247E80"/>
    <w:rsid w:val="00250190"/>
    <w:rsid w:val="00250216"/>
    <w:rsid w:val="00250485"/>
    <w:rsid w:val="002508FC"/>
    <w:rsid w:val="002510E9"/>
    <w:rsid w:val="002518C3"/>
    <w:rsid w:val="00254613"/>
    <w:rsid w:val="002549D2"/>
    <w:rsid w:val="0025541E"/>
    <w:rsid w:val="00256451"/>
    <w:rsid w:val="0025745B"/>
    <w:rsid w:val="00257F36"/>
    <w:rsid w:val="002624C0"/>
    <w:rsid w:val="002625F6"/>
    <w:rsid w:val="0026292A"/>
    <w:rsid w:val="002649F7"/>
    <w:rsid w:val="00270739"/>
    <w:rsid w:val="002733F6"/>
    <w:rsid w:val="002743D1"/>
    <w:rsid w:val="00274E13"/>
    <w:rsid w:val="002751E0"/>
    <w:rsid w:val="00275CF5"/>
    <w:rsid w:val="002801FB"/>
    <w:rsid w:val="0028078D"/>
    <w:rsid w:val="00281ACF"/>
    <w:rsid w:val="0028291E"/>
    <w:rsid w:val="0028301F"/>
    <w:rsid w:val="00283DCA"/>
    <w:rsid w:val="00284B4D"/>
    <w:rsid w:val="00285017"/>
    <w:rsid w:val="002859AF"/>
    <w:rsid w:val="00287517"/>
    <w:rsid w:val="00287BC8"/>
    <w:rsid w:val="00290A6E"/>
    <w:rsid w:val="00290DCA"/>
    <w:rsid w:val="0029185B"/>
    <w:rsid w:val="00291BB4"/>
    <w:rsid w:val="00295A0D"/>
    <w:rsid w:val="002A170C"/>
    <w:rsid w:val="002A2D2E"/>
    <w:rsid w:val="002A5628"/>
    <w:rsid w:val="002A7BC0"/>
    <w:rsid w:val="002B3A9D"/>
    <w:rsid w:val="002B4640"/>
    <w:rsid w:val="002B49E3"/>
    <w:rsid w:val="002B6A9C"/>
    <w:rsid w:val="002C00E8"/>
    <w:rsid w:val="002C07E1"/>
    <w:rsid w:val="002C32BE"/>
    <w:rsid w:val="002C3FB9"/>
    <w:rsid w:val="002C4A52"/>
    <w:rsid w:val="002C4D3B"/>
    <w:rsid w:val="002C5D13"/>
    <w:rsid w:val="002C5D5E"/>
    <w:rsid w:val="002C733E"/>
    <w:rsid w:val="002C7790"/>
    <w:rsid w:val="002D32A8"/>
    <w:rsid w:val="002E08A4"/>
    <w:rsid w:val="002E0FFC"/>
    <w:rsid w:val="002E1EFE"/>
    <w:rsid w:val="002E23D5"/>
    <w:rsid w:val="002E72D3"/>
    <w:rsid w:val="002F16DC"/>
    <w:rsid w:val="002F1711"/>
    <w:rsid w:val="002F2253"/>
    <w:rsid w:val="002F22E4"/>
    <w:rsid w:val="002F23E3"/>
    <w:rsid w:val="002F484B"/>
    <w:rsid w:val="002F4E81"/>
    <w:rsid w:val="002F731D"/>
    <w:rsid w:val="002F7C28"/>
    <w:rsid w:val="0030037E"/>
    <w:rsid w:val="00303B0F"/>
    <w:rsid w:val="00305260"/>
    <w:rsid w:val="003064D9"/>
    <w:rsid w:val="003121A5"/>
    <w:rsid w:val="00312EF0"/>
    <w:rsid w:val="0031305D"/>
    <w:rsid w:val="00314733"/>
    <w:rsid w:val="00314D94"/>
    <w:rsid w:val="00317F4F"/>
    <w:rsid w:val="003201DA"/>
    <w:rsid w:val="00320BF6"/>
    <w:rsid w:val="0032115F"/>
    <w:rsid w:val="00321E83"/>
    <w:rsid w:val="0032203E"/>
    <w:rsid w:val="00322263"/>
    <w:rsid w:val="00322BB0"/>
    <w:rsid w:val="00325983"/>
    <w:rsid w:val="0032646B"/>
    <w:rsid w:val="00327E55"/>
    <w:rsid w:val="003338AA"/>
    <w:rsid w:val="00333AEB"/>
    <w:rsid w:val="00333EBC"/>
    <w:rsid w:val="00334F2B"/>
    <w:rsid w:val="0034019E"/>
    <w:rsid w:val="0034092C"/>
    <w:rsid w:val="00341179"/>
    <w:rsid w:val="00343749"/>
    <w:rsid w:val="00344054"/>
    <w:rsid w:val="0034471D"/>
    <w:rsid w:val="00344752"/>
    <w:rsid w:val="00345235"/>
    <w:rsid w:val="00346F46"/>
    <w:rsid w:val="0034748C"/>
    <w:rsid w:val="00350D5F"/>
    <w:rsid w:val="00350FC5"/>
    <w:rsid w:val="00353C34"/>
    <w:rsid w:val="003562EF"/>
    <w:rsid w:val="003565AD"/>
    <w:rsid w:val="00356F58"/>
    <w:rsid w:val="00357125"/>
    <w:rsid w:val="0036055D"/>
    <w:rsid w:val="00360C5F"/>
    <w:rsid w:val="003612FE"/>
    <w:rsid w:val="00361A7A"/>
    <w:rsid w:val="00362B0F"/>
    <w:rsid w:val="00363F6B"/>
    <w:rsid w:val="003649AA"/>
    <w:rsid w:val="003650D3"/>
    <w:rsid w:val="003660ED"/>
    <w:rsid w:val="003735F7"/>
    <w:rsid w:val="00375790"/>
    <w:rsid w:val="00376C27"/>
    <w:rsid w:val="00380CB0"/>
    <w:rsid w:val="003817ED"/>
    <w:rsid w:val="00381CD0"/>
    <w:rsid w:val="00382FF9"/>
    <w:rsid w:val="00383A88"/>
    <w:rsid w:val="00384784"/>
    <w:rsid w:val="00384DBF"/>
    <w:rsid w:val="003850E5"/>
    <w:rsid w:val="00386FAD"/>
    <w:rsid w:val="003922E9"/>
    <w:rsid w:val="00393C94"/>
    <w:rsid w:val="003955A6"/>
    <w:rsid w:val="00396F0F"/>
    <w:rsid w:val="003A1837"/>
    <w:rsid w:val="003A42D3"/>
    <w:rsid w:val="003A7285"/>
    <w:rsid w:val="003A7F11"/>
    <w:rsid w:val="003B0550"/>
    <w:rsid w:val="003B24D7"/>
    <w:rsid w:val="003B4C03"/>
    <w:rsid w:val="003B6492"/>
    <w:rsid w:val="003B694F"/>
    <w:rsid w:val="003B78CF"/>
    <w:rsid w:val="003B792F"/>
    <w:rsid w:val="003B7F20"/>
    <w:rsid w:val="003C07BE"/>
    <w:rsid w:val="003C1136"/>
    <w:rsid w:val="003C1A13"/>
    <w:rsid w:val="003C2774"/>
    <w:rsid w:val="003C27BA"/>
    <w:rsid w:val="003C314D"/>
    <w:rsid w:val="003C3FF3"/>
    <w:rsid w:val="003C5060"/>
    <w:rsid w:val="003C50EA"/>
    <w:rsid w:val="003D3223"/>
    <w:rsid w:val="003D5EC0"/>
    <w:rsid w:val="003D69B2"/>
    <w:rsid w:val="003D7349"/>
    <w:rsid w:val="003D7856"/>
    <w:rsid w:val="003D7ADB"/>
    <w:rsid w:val="003E10AB"/>
    <w:rsid w:val="003E2C3B"/>
    <w:rsid w:val="003E41AB"/>
    <w:rsid w:val="003E5B63"/>
    <w:rsid w:val="003E64EB"/>
    <w:rsid w:val="003E6A37"/>
    <w:rsid w:val="003E70E1"/>
    <w:rsid w:val="003E7E3F"/>
    <w:rsid w:val="003F0E6D"/>
    <w:rsid w:val="003F0F74"/>
    <w:rsid w:val="003F171C"/>
    <w:rsid w:val="003F4051"/>
    <w:rsid w:val="003F48D2"/>
    <w:rsid w:val="003F5ADC"/>
    <w:rsid w:val="003F701A"/>
    <w:rsid w:val="003F7F46"/>
    <w:rsid w:val="004009B0"/>
    <w:rsid w:val="00403CDD"/>
    <w:rsid w:val="00404237"/>
    <w:rsid w:val="004066FF"/>
    <w:rsid w:val="0040710F"/>
    <w:rsid w:val="00410A2C"/>
    <w:rsid w:val="00410B43"/>
    <w:rsid w:val="00410D7F"/>
    <w:rsid w:val="0041164A"/>
    <w:rsid w:val="00412FC5"/>
    <w:rsid w:val="00415736"/>
    <w:rsid w:val="00415CF4"/>
    <w:rsid w:val="00420B64"/>
    <w:rsid w:val="00422276"/>
    <w:rsid w:val="004223A6"/>
    <w:rsid w:val="0042248B"/>
    <w:rsid w:val="0042348C"/>
    <w:rsid w:val="004235BF"/>
    <w:rsid w:val="00423D60"/>
    <w:rsid w:val="004242F1"/>
    <w:rsid w:val="00424B92"/>
    <w:rsid w:val="00425ADD"/>
    <w:rsid w:val="0043137E"/>
    <w:rsid w:val="0043159D"/>
    <w:rsid w:val="00431E4D"/>
    <w:rsid w:val="00434169"/>
    <w:rsid w:val="00435ABF"/>
    <w:rsid w:val="004361DB"/>
    <w:rsid w:val="00437BB0"/>
    <w:rsid w:val="00437BC7"/>
    <w:rsid w:val="004429B0"/>
    <w:rsid w:val="00442EF8"/>
    <w:rsid w:val="00445A00"/>
    <w:rsid w:val="00446F6E"/>
    <w:rsid w:val="00451B0F"/>
    <w:rsid w:val="004531E5"/>
    <w:rsid w:val="00453893"/>
    <w:rsid w:val="004538C4"/>
    <w:rsid w:val="004543D5"/>
    <w:rsid w:val="00456096"/>
    <w:rsid w:val="00463674"/>
    <w:rsid w:val="00464981"/>
    <w:rsid w:val="00464ABC"/>
    <w:rsid w:val="00464B54"/>
    <w:rsid w:val="00464CE6"/>
    <w:rsid w:val="0046526C"/>
    <w:rsid w:val="004712E5"/>
    <w:rsid w:val="00475D17"/>
    <w:rsid w:val="00482984"/>
    <w:rsid w:val="0048478A"/>
    <w:rsid w:val="00486198"/>
    <w:rsid w:val="00487FFB"/>
    <w:rsid w:val="004935F7"/>
    <w:rsid w:val="004951DC"/>
    <w:rsid w:val="00495201"/>
    <w:rsid w:val="00495BBA"/>
    <w:rsid w:val="00496596"/>
    <w:rsid w:val="004A31B6"/>
    <w:rsid w:val="004A3371"/>
    <w:rsid w:val="004B0A95"/>
    <w:rsid w:val="004B1251"/>
    <w:rsid w:val="004B3B5B"/>
    <w:rsid w:val="004B52FF"/>
    <w:rsid w:val="004B5629"/>
    <w:rsid w:val="004B606E"/>
    <w:rsid w:val="004B675D"/>
    <w:rsid w:val="004C0334"/>
    <w:rsid w:val="004C1368"/>
    <w:rsid w:val="004C174F"/>
    <w:rsid w:val="004C2EE3"/>
    <w:rsid w:val="004C38EC"/>
    <w:rsid w:val="004C399B"/>
    <w:rsid w:val="004C4CF7"/>
    <w:rsid w:val="004C608D"/>
    <w:rsid w:val="004C6D56"/>
    <w:rsid w:val="004C7CE9"/>
    <w:rsid w:val="004D08D4"/>
    <w:rsid w:val="004D2412"/>
    <w:rsid w:val="004D43BF"/>
    <w:rsid w:val="004D602F"/>
    <w:rsid w:val="004E01BE"/>
    <w:rsid w:val="004E0B73"/>
    <w:rsid w:val="004E1962"/>
    <w:rsid w:val="004E356B"/>
    <w:rsid w:val="004E3BEC"/>
    <w:rsid w:val="004E4A22"/>
    <w:rsid w:val="004F0080"/>
    <w:rsid w:val="004F0BD4"/>
    <w:rsid w:val="004F2319"/>
    <w:rsid w:val="004F2B93"/>
    <w:rsid w:val="004F368B"/>
    <w:rsid w:val="004F464E"/>
    <w:rsid w:val="004F6BE7"/>
    <w:rsid w:val="004F7AC2"/>
    <w:rsid w:val="00500434"/>
    <w:rsid w:val="005048F3"/>
    <w:rsid w:val="005049FC"/>
    <w:rsid w:val="005062B5"/>
    <w:rsid w:val="005075E0"/>
    <w:rsid w:val="005104CC"/>
    <w:rsid w:val="00511968"/>
    <w:rsid w:val="005120F8"/>
    <w:rsid w:val="00512E02"/>
    <w:rsid w:val="0051390F"/>
    <w:rsid w:val="0051530F"/>
    <w:rsid w:val="00516656"/>
    <w:rsid w:val="00521271"/>
    <w:rsid w:val="00521A4A"/>
    <w:rsid w:val="00521C9B"/>
    <w:rsid w:val="00522DEB"/>
    <w:rsid w:val="00523E75"/>
    <w:rsid w:val="00524A6D"/>
    <w:rsid w:val="00525C27"/>
    <w:rsid w:val="005267B2"/>
    <w:rsid w:val="00526F93"/>
    <w:rsid w:val="005272B9"/>
    <w:rsid w:val="00527CEA"/>
    <w:rsid w:val="00530113"/>
    <w:rsid w:val="005309DA"/>
    <w:rsid w:val="00530B48"/>
    <w:rsid w:val="00531237"/>
    <w:rsid w:val="00532A9E"/>
    <w:rsid w:val="00533B3E"/>
    <w:rsid w:val="00534606"/>
    <w:rsid w:val="00536BA4"/>
    <w:rsid w:val="00542EFB"/>
    <w:rsid w:val="00543F91"/>
    <w:rsid w:val="00546B5D"/>
    <w:rsid w:val="00547102"/>
    <w:rsid w:val="00547D13"/>
    <w:rsid w:val="00547E94"/>
    <w:rsid w:val="00547F03"/>
    <w:rsid w:val="00550725"/>
    <w:rsid w:val="00552C71"/>
    <w:rsid w:val="00553362"/>
    <w:rsid w:val="0055523F"/>
    <w:rsid w:val="00555F5F"/>
    <w:rsid w:val="0055614C"/>
    <w:rsid w:val="00562EAC"/>
    <w:rsid w:val="00565B65"/>
    <w:rsid w:val="00565F7D"/>
    <w:rsid w:val="00570CD4"/>
    <w:rsid w:val="00571860"/>
    <w:rsid w:val="00573AF6"/>
    <w:rsid w:val="005761EF"/>
    <w:rsid w:val="0058085B"/>
    <w:rsid w:val="00584E10"/>
    <w:rsid w:val="00585295"/>
    <w:rsid w:val="00586743"/>
    <w:rsid w:val="0058797F"/>
    <w:rsid w:val="00587E31"/>
    <w:rsid w:val="005920F7"/>
    <w:rsid w:val="005921E8"/>
    <w:rsid w:val="005A0B2B"/>
    <w:rsid w:val="005A1795"/>
    <w:rsid w:val="005A1B5C"/>
    <w:rsid w:val="005A1E96"/>
    <w:rsid w:val="005A2FCB"/>
    <w:rsid w:val="005A463C"/>
    <w:rsid w:val="005A6050"/>
    <w:rsid w:val="005B291C"/>
    <w:rsid w:val="005B368C"/>
    <w:rsid w:val="005B5267"/>
    <w:rsid w:val="005C006C"/>
    <w:rsid w:val="005C04B9"/>
    <w:rsid w:val="005C2C05"/>
    <w:rsid w:val="005C3875"/>
    <w:rsid w:val="005C3E10"/>
    <w:rsid w:val="005C53E3"/>
    <w:rsid w:val="005C77BC"/>
    <w:rsid w:val="005D0381"/>
    <w:rsid w:val="005D0582"/>
    <w:rsid w:val="005D0F09"/>
    <w:rsid w:val="005D26C8"/>
    <w:rsid w:val="005D3098"/>
    <w:rsid w:val="005D44A7"/>
    <w:rsid w:val="005E0B25"/>
    <w:rsid w:val="005E1136"/>
    <w:rsid w:val="005E14C2"/>
    <w:rsid w:val="005E556C"/>
    <w:rsid w:val="005E608C"/>
    <w:rsid w:val="005E6CD2"/>
    <w:rsid w:val="005E71DF"/>
    <w:rsid w:val="005E73B5"/>
    <w:rsid w:val="005F0BEA"/>
    <w:rsid w:val="005F3A1E"/>
    <w:rsid w:val="005F41DF"/>
    <w:rsid w:val="00602A30"/>
    <w:rsid w:val="00602DF6"/>
    <w:rsid w:val="00602ECE"/>
    <w:rsid w:val="00603CD2"/>
    <w:rsid w:val="006066F9"/>
    <w:rsid w:val="00607BA5"/>
    <w:rsid w:val="00607F31"/>
    <w:rsid w:val="00610CB8"/>
    <w:rsid w:val="00610E85"/>
    <w:rsid w:val="0061180A"/>
    <w:rsid w:val="0061191B"/>
    <w:rsid w:val="0061331E"/>
    <w:rsid w:val="00614128"/>
    <w:rsid w:val="00614537"/>
    <w:rsid w:val="006146B0"/>
    <w:rsid w:val="00614C01"/>
    <w:rsid w:val="00615664"/>
    <w:rsid w:val="00617236"/>
    <w:rsid w:val="00620FC9"/>
    <w:rsid w:val="00621543"/>
    <w:rsid w:val="00622308"/>
    <w:rsid w:val="0062321B"/>
    <w:rsid w:val="006245B8"/>
    <w:rsid w:val="00624924"/>
    <w:rsid w:val="00626EB6"/>
    <w:rsid w:val="006309C5"/>
    <w:rsid w:val="00631AF7"/>
    <w:rsid w:val="00631EB9"/>
    <w:rsid w:val="0063207F"/>
    <w:rsid w:val="00636A1B"/>
    <w:rsid w:val="00644F89"/>
    <w:rsid w:val="00645372"/>
    <w:rsid w:val="00645F20"/>
    <w:rsid w:val="00651494"/>
    <w:rsid w:val="00652634"/>
    <w:rsid w:val="006538FF"/>
    <w:rsid w:val="00654A57"/>
    <w:rsid w:val="00654AEE"/>
    <w:rsid w:val="006559F2"/>
    <w:rsid w:val="00655D03"/>
    <w:rsid w:val="00655FB9"/>
    <w:rsid w:val="00661883"/>
    <w:rsid w:val="006625BE"/>
    <w:rsid w:val="00664C46"/>
    <w:rsid w:val="006670C4"/>
    <w:rsid w:val="00667DE1"/>
    <w:rsid w:val="006711B9"/>
    <w:rsid w:val="00671493"/>
    <w:rsid w:val="00671DA6"/>
    <w:rsid w:val="006736E0"/>
    <w:rsid w:val="00673C07"/>
    <w:rsid w:val="006748F5"/>
    <w:rsid w:val="00674F67"/>
    <w:rsid w:val="006758E4"/>
    <w:rsid w:val="00675D5F"/>
    <w:rsid w:val="0067758C"/>
    <w:rsid w:val="00677BCD"/>
    <w:rsid w:val="00680565"/>
    <w:rsid w:val="006810B6"/>
    <w:rsid w:val="00683388"/>
    <w:rsid w:val="00683F84"/>
    <w:rsid w:val="006844A7"/>
    <w:rsid w:val="0068528A"/>
    <w:rsid w:val="006852D7"/>
    <w:rsid w:val="00686996"/>
    <w:rsid w:val="00687260"/>
    <w:rsid w:val="00697571"/>
    <w:rsid w:val="00697572"/>
    <w:rsid w:val="006A2B22"/>
    <w:rsid w:val="006A319A"/>
    <w:rsid w:val="006A46FD"/>
    <w:rsid w:val="006A5757"/>
    <w:rsid w:val="006A6A81"/>
    <w:rsid w:val="006B1835"/>
    <w:rsid w:val="006B1985"/>
    <w:rsid w:val="006B1D86"/>
    <w:rsid w:val="006B1F21"/>
    <w:rsid w:val="006B2D6C"/>
    <w:rsid w:val="006B740D"/>
    <w:rsid w:val="006C0A9E"/>
    <w:rsid w:val="006C1630"/>
    <w:rsid w:val="006C3B14"/>
    <w:rsid w:val="006C44CA"/>
    <w:rsid w:val="006C4822"/>
    <w:rsid w:val="006C4D8C"/>
    <w:rsid w:val="006C5858"/>
    <w:rsid w:val="006C7743"/>
    <w:rsid w:val="006D1B6A"/>
    <w:rsid w:val="006D1BCA"/>
    <w:rsid w:val="006D3AF6"/>
    <w:rsid w:val="006D3E16"/>
    <w:rsid w:val="006D4122"/>
    <w:rsid w:val="006D63B5"/>
    <w:rsid w:val="006E0DB2"/>
    <w:rsid w:val="006E0EDC"/>
    <w:rsid w:val="006E1BCB"/>
    <w:rsid w:val="006E2046"/>
    <w:rsid w:val="006E2467"/>
    <w:rsid w:val="006E2B48"/>
    <w:rsid w:val="006E32C5"/>
    <w:rsid w:val="006E43E7"/>
    <w:rsid w:val="006E4C60"/>
    <w:rsid w:val="006E7683"/>
    <w:rsid w:val="006F127F"/>
    <w:rsid w:val="006F2ED0"/>
    <w:rsid w:val="006F36E8"/>
    <w:rsid w:val="006F4E9F"/>
    <w:rsid w:val="006F64CF"/>
    <w:rsid w:val="006F6CC4"/>
    <w:rsid w:val="006F7393"/>
    <w:rsid w:val="0070224F"/>
    <w:rsid w:val="00704DB3"/>
    <w:rsid w:val="0070505D"/>
    <w:rsid w:val="00705F6F"/>
    <w:rsid w:val="00706603"/>
    <w:rsid w:val="00711101"/>
    <w:rsid w:val="007115F7"/>
    <w:rsid w:val="00715063"/>
    <w:rsid w:val="00715EDA"/>
    <w:rsid w:val="00720600"/>
    <w:rsid w:val="00720D1D"/>
    <w:rsid w:val="0072173B"/>
    <w:rsid w:val="00721CBE"/>
    <w:rsid w:val="00722E94"/>
    <w:rsid w:val="00725061"/>
    <w:rsid w:val="00725446"/>
    <w:rsid w:val="00727AAD"/>
    <w:rsid w:val="00730A04"/>
    <w:rsid w:val="0073207C"/>
    <w:rsid w:val="00734EF4"/>
    <w:rsid w:val="00735425"/>
    <w:rsid w:val="007362BF"/>
    <w:rsid w:val="00736A60"/>
    <w:rsid w:val="007421B5"/>
    <w:rsid w:val="00742965"/>
    <w:rsid w:val="00743FD3"/>
    <w:rsid w:val="00744277"/>
    <w:rsid w:val="00745260"/>
    <w:rsid w:val="0074593D"/>
    <w:rsid w:val="0074608D"/>
    <w:rsid w:val="00746565"/>
    <w:rsid w:val="00746CA8"/>
    <w:rsid w:val="00746FAA"/>
    <w:rsid w:val="00750D4F"/>
    <w:rsid w:val="00750F77"/>
    <w:rsid w:val="007540EC"/>
    <w:rsid w:val="00755F92"/>
    <w:rsid w:val="00756D2D"/>
    <w:rsid w:val="00757A2E"/>
    <w:rsid w:val="00757B64"/>
    <w:rsid w:val="00760469"/>
    <w:rsid w:val="00760F49"/>
    <w:rsid w:val="0076457B"/>
    <w:rsid w:val="00764B70"/>
    <w:rsid w:val="007650A0"/>
    <w:rsid w:val="0076536A"/>
    <w:rsid w:val="0077205D"/>
    <w:rsid w:val="00773039"/>
    <w:rsid w:val="007758FB"/>
    <w:rsid w:val="00776154"/>
    <w:rsid w:val="00776A86"/>
    <w:rsid w:val="007805F9"/>
    <w:rsid w:val="00780D4A"/>
    <w:rsid w:val="00782B2F"/>
    <w:rsid w:val="0078310F"/>
    <w:rsid w:val="00783131"/>
    <w:rsid w:val="00783697"/>
    <w:rsid w:val="0078419D"/>
    <w:rsid w:val="0078543A"/>
    <w:rsid w:val="00785689"/>
    <w:rsid w:val="007856EF"/>
    <w:rsid w:val="00786161"/>
    <w:rsid w:val="007907D9"/>
    <w:rsid w:val="00792864"/>
    <w:rsid w:val="00793E26"/>
    <w:rsid w:val="007966D6"/>
    <w:rsid w:val="0079754B"/>
    <w:rsid w:val="007979E3"/>
    <w:rsid w:val="007979F1"/>
    <w:rsid w:val="007A19F2"/>
    <w:rsid w:val="007A1E6D"/>
    <w:rsid w:val="007A3F79"/>
    <w:rsid w:val="007A7997"/>
    <w:rsid w:val="007B0EB2"/>
    <w:rsid w:val="007B1859"/>
    <w:rsid w:val="007B1B18"/>
    <w:rsid w:val="007B2A44"/>
    <w:rsid w:val="007B4AFA"/>
    <w:rsid w:val="007B59FB"/>
    <w:rsid w:val="007B72D7"/>
    <w:rsid w:val="007B7C42"/>
    <w:rsid w:val="007C3E53"/>
    <w:rsid w:val="007C5291"/>
    <w:rsid w:val="007C52AC"/>
    <w:rsid w:val="007C58DB"/>
    <w:rsid w:val="007C6EB6"/>
    <w:rsid w:val="007C6ED9"/>
    <w:rsid w:val="007C6F88"/>
    <w:rsid w:val="007C7C3F"/>
    <w:rsid w:val="007D0760"/>
    <w:rsid w:val="007D29B5"/>
    <w:rsid w:val="007D3B98"/>
    <w:rsid w:val="007D4E39"/>
    <w:rsid w:val="007D52DC"/>
    <w:rsid w:val="007D5D4C"/>
    <w:rsid w:val="007D5D81"/>
    <w:rsid w:val="007D7433"/>
    <w:rsid w:val="007E081E"/>
    <w:rsid w:val="007E4869"/>
    <w:rsid w:val="007E6D2D"/>
    <w:rsid w:val="007F0109"/>
    <w:rsid w:val="007F0485"/>
    <w:rsid w:val="007F1E64"/>
    <w:rsid w:val="007F2F20"/>
    <w:rsid w:val="007F5945"/>
    <w:rsid w:val="0080091E"/>
    <w:rsid w:val="00803B2C"/>
    <w:rsid w:val="008065DC"/>
    <w:rsid w:val="00806EC9"/>
    <w:rsid w:val="00806F5A"/>
    <w:rsid w:val="00810B6F"/>
    <w:rsid w:val="00810DDB"/>
    <w:rsid w:val="00812F1A"/>
    <w:rsid w:val="00813623"/>
    <w:rsid w:val="00815F3D"/>
    <w:rsid w:val="00816864"/>
    <w:rsid w:val="00820380"/>
    <w:rsid w:val="008208C0"/>
    <w:rsid w:val="00822CE0"/>
    <w:rsid w:val="00823AF8"/>
    <w:rsid w:val="008247BD"/>
    <w:rsid w:val="00830C58"/>
    <w:rsid w:val="00831711"/>
    <w:rsid w:val="008320FA"/>
    <w:rsid w:val="00835971"/>
    <w:rsid w:val="00840995"/>
    <w:rsid w:val="00841322"/>
    <w:rsid w:val="00841AB1"/>
    <w:rsid w:val="0084224C"/>
    <w:rsid w:val="0084246E"/>
    <w:rsid w:val="00843220"/>
    <w:rsid w:val="008437A1"/>
    <w:rsid w:val="00845553"/>
    <w:rsid w:val="00845D70"/>
    <w:rsid w:val="0084626C"/>
    <w:rsid w:val="00846DA6"/>
    <w:rsid w:val="00846FE3"/>
    <w:rsid w:val="0085159B"/>
    <w:rsid w:val="008569C6"/>
    <w:rsid w:val="00856BF2"/>
    <w:rsid w:val="00856CB8"/>
    <w:rsid w:val="00860574"/>
    <w:rsid w:val="00862D44"/>
    <w:rsid w:val="00863154"/>
    <w:rsid w:val="008656E5"/>
    <w:rsid w:val="00865F05"/>
    <w:rsid w:val="00866A7E"/>
    <w:rsid w:val="00866C78"/>
    <w:rsid w:val="008677A6"/>
    <w:rsid w:val="00873692"/>
    <w:rsid w:val="00873B13"/>
    <w:rsid w:val="008757B7"/>
    <w:rsid w:val="00875EE1"/>
    <w:rsid w:val="008760A9"/>
    <w:rsid w:val="00876A57"/>
    <w:rsid w:val="008770F5"/>
    <w:rsid w:val="00877409"/>
    <w:rsid w:val="00881E5F"/>
    <w:rsid w:val="008831C6"/>
    <w:rsid w:val="00884F15"/>
    <w:rsid w:val="00884F59"/>
    <w:rsid w:val="0088632F"/>
    <w:rsid w:val="00886B5D"/>
    <w:rsid w:val="00887694"/>
    <w:rsid w:val="00887E91"/>
    <w:rsid w:val="00893C01"/>
    <w:rsid w:val="0089600C"/>
    <w:rsid w:val="008A1B1F"/>
    <w:rsid w:val="008A37BD"/>
    <w:rsid w:val="008A4862"/>
    <w:rsid w:val="008A5541"/>
    <w:rsid w:val="008A6182"/>
    <w:rsid w:val="008A631D"/>
    <w:rsid w:val="008A7833"/>
    <w:rsid w:val="008B0BBB"/>
    <w:rsid w:val="008B2051"/>
    <w:rsid w:val="008B4AF6"/>
    <w:rsid w:val="008B584A"/>
    <w:rsid w:val="008B62D2"/>
    <w:rsid w:val="008B758D"/>
    <w:rsid w:val="008C2F29"/>
    <w:rsid w:val="008C3706"/>
    <w:rsid w:val="008C4AFE"/>
    <w:rsid w:val="008C56EF"/>
    <w:rsid w:val="008C5E67"/>
    <w:rsid w:val="008C5E92"/>
    <w:rsid w:val="008C68F1"/>
    <w:rsid w:val="008C7E3D"/>
    <w:rsid w:val="008D04CF"/>
    <w:rsid w:val="008D0750"/>
    <w:rsid w:val="008D089A"/>
    <w:rsid w:val="008D0C13"/>
    <w:rsid w:val="008D14A4"/>
    <w:rsid w:val="008D15B5"/>
    <w:rsid w:val="008D3CCF"/>
    <w:rsid w:val="008D4ECE"/>
    <w:rsid w:val="008D5963"/>
    <w:rsid w:val="008D5B93"/>
    <w:rsid w:val="008D7D4B"/>
    <w:rsid w:val="008E0CD0"/>
    <w:rsid w:val="008F01D8"/>
    <w:rsid w:val="008F04AA"/>
    <w:rsid w:val="008F0522"/>
    <w:rsid w:val="008F17D6"/>
    <w:rsid w:val="008F2851"/>
    <w:rsid w:val="008F30B0"/>
    <w:rsid w:val="008F7E37"/>
    <w:rsid w:val="00901388"/>
    <w:rsid w:val="00901D47"/>
    <w:rsid w:val="0090606C"/>
    <w:rsid w:val="00907436"/>
    <w:rsid w:val="00907943"/>
    <w:rsid w:val="009103F6"/>
    <w:rsid w:val="0091076B"/>
    <w:rsid w:val="009107FB"/>
    <w:rsid w:val="009123EC"/>
    <w:rsid w:val="00912EA7"/>
    <w:rsid w:val="00913349"/>
    <w:rsid w:val="0091347D"/>
    <w:rsid w:val="009135D7"/>
    <w:rsid w:val="0091459F"/>
    <w:rsid w:val="009152AC"/>
    <w:rsid w:val="0091586F"/>
    <w:rsid w:val="00921803"/>
    <w:rsid w:val="009218E1"/>
    <w:rsid w:val="00921F33"/>
    <w:rsid w:val="00921FBD"/>
    <w:rsid w:val="00923008"/>
    <w:rsid w:val="00923BF0"/>
    <w:rsid w:val="00926503"/>
    <w:rsid w:val="00926EA7"/>
    <w:rsid w:val="0093138A"/>
    <w:rsid w:val="00932139"/>
    <w:rsid w:val="00932708"/>
    <w:rsid w:val="00932D21"/>
    <w:rsid w:val="00933668"/>
    <w:rsid w:val="00933888"/>
    <w:rsid w:val="0093437F"/>
    <w:rsid w:val="009347CD"/>
    <w:rsid w:val="009354B2"/>
    <w:rsid w:val="0093584B"/>
    <w:rsid w:val="009362BC"/>
    <w:rsid w:val="009404DD"/>
    <w:rsid w:val="009412D7"/>
    <w:rsid w:val="009420C8"/>
    <w:rsid w:val="009420D5"/>
    <w:rsid w:val="00943749"/>
    <w:rsid w:val="00944031"/>
    <w:rsid w:val="00945F19"/>
    <w:rsid w:val="00947828"/>
    <w:rsid w:val="00950D89"/>
    <w:rsid w:val="0095206C"/>
    <w:rsid w:val="00952879"/>
    <w:rsid w:val="0095618B"/>
    <w:rsid w:val="0095627D"/>
    <w:rsid w:val="009562FC"/>
    <w:rsid w:val="009565EB"/>
    <w:rsid w:val="0096003A"/>
    <w:rsid w:val="0096066A"/>
    <w:rsid w:val="00961236"/>
    <w:rsid w:val="00961B0C"/>
    <w:rsid w:val="00963F19"/>
    <w:rsid w:val="0096490F"/>
    <w:rsid w:val="009668B0"/>
    <w:rsid w:val="00971071"/>
    <w:rsid w:val="00971669"/>
    <w:rsid w:val="009726D8"/>
    <w:rsid w:val="009729F3"/>
    <w:rsid w:val="00972CAE"/>
    <w:rsid w:val="00974792"/>
    <w:rsid w:val="00974885"/>
    <w:rsid w:val="00975636"/>
    <w:rsid w:val="009763F8"/>
    <w:rsid w:val="00976E7F"/>
    <w:rsid w:val="00977D1B"/>
    <w:rsid w:val="00980344"/>
    <w:rsid w:val="00980AC3"/>
    <w:rsid w:val="00980E1B"/>
    <w:rsid w:val="0098146D"/>
    <w:rsid w:val="00982D35"/>
    <w:rsid w:val="00985F55"/>
    <w:rsid w:val="0099378B"/>
    <w:rsid w:val="00995141"/>
    <w:rsid w:val="009956EC"/>
    <w:rsid w:val="00996BD2"/>
    <w:rsid w:val="009A004E"/>
    <w:rsid w:val="009A0424"/>
    <w:rsid w:val="009A3C36"/>
    <w:rsid w:val="009A3FAD"/>
    <w:rsid w:val="009A45A7"/>
    <w:rsid w:val="009A5A60"/>
    <w:rsid w:val="009A6797"/>
    <w:rsid w:val="009A7497"/>
    <w:rsid w:val="009B6723"/>
    <w:rsid w:val="009B7185"/>
    <w:rsid w:val="009B7F29"/>
    <w:rsid w:val="009C4AC6"/>
    <w:rsid w:val="009D11E2"/>
    <w:rsid w:val="009D27B0"/>
    <w:rsid w:val="009D6172"/>
    <w:rsid w:val="009D653A"/>
    <w:rsid w:val="009D720E"/>
    <w:rsid w:val="009D7C6F"/>
    <w:rsid w:val="009E280E"/>
    <w:rsid w:val="009E32A0"/>
    <w:rsid w:val="009E4310"/>
    <w:rsid w:val="009F00DA"/>
    <w:rsid w:val="009F0EFE"/>
    <w:rsid w:val="009F1046"/>
    <w:rsid w:val="009F10BC"/>
    <w:rsid w:val="009F1220"/>
    <w:rsid w:val="009F1328"/>
    <w:rsid w:val="009F2236"/>
    <w:rsid w:val="009F28B2"/>
    <w:rsid w:val="009F4210"/>
    <w:rsid w:val="009F6BB8"/>
    <w:rsid w:val="009F713A"/>
    <w:rsid w:val="009F72FE"/>
    <w:rsid w:val="009F76DB"/>
    <w:rsid w:val="00A0105C"/>
    <w:rsid w:val="00A0184D"/>
    <w:rsid w:val="00A03208"/>
    <w:rsid w:val="00A04167"/>
    <w:rsid w:val="00A07690"/>
    <w:rsid w:val="00A11B84"/>
    <w:rsid w:val="00A12818"/>
    <w:rsid w:val="00A13380"/>
    <w:rsid w:val="00A13AD3"/>
    <w:rsid w:val="00A13E5E"/>
    <w:rsid w:val="00A14005"/>
    <w:rsid w:val="00A1474F"/>
    <w:rsid w:val="00A14A1F"/>
    <w:rsid w:val="00A14AC3"/>
    <w:rsid w:val="00A204AC"/>
    <w:rsid w:val="00A221D9"/>
    <w:rsid w:val="00A25E4D"/>
    <w:rsid w:val="00A32C3B"/>
    <w:rsid w:val="00A33126"/>
    <w:rsid w:val="00A34488"/>
    <w:rsid w:val="00A40375"/>
    <w:rsid w:val="00A40477"/>
    <w:rsid w:val="00A40EC7"/>
    <w:rsid w:val="00A416A3"/>
    <w:rsid w:val="00A42AC7"/>
    <w:rsid w:val="00A430DA"/>
    <w:rsid w:val="00A44386"/>
    <w:rsid w:val="00A454F3"/>
    <w:rsid w:val="00A455F5"/>
    <w:rsid w:val="00A45F4F"/>
    <w:rsid w:val="00A46489"/>
    <w:rsid w:val="00A51B27"/>
    <w:rsid w:val="00A52078"/>
    <w:rsid w:val="00A53382"/>
    <w:rsid w:val="00A55AC3"/>
    <w:rsid w:val="00A55D06"/>
    <w:rsid w:val="00A562C1"/>
    <w:rsid w:val="00A564ED"/>
    <w:rsid w:val="00A571E5"/>
    <w:rsid w:val="00A576E7"/>
    <w:rsid w:val="00A600A9"/>
    <w:rsid w:val="00A61766"/>
    <w:rsid w:val="00A63B28"/>
    <w:rsid w:val="00A64F01"/>
    <w:rsid w:val="00A658C1"/>
    <w:rsid w:val="00A65B68"/>
    <w:rsid w:val="00A65E7F"/>
    <w:rsid w:val="00A66AB3"/>
    <w:rsid w:val="00A67969"/>
    <w:rsid w:val="00A72B95"/>
    <w:rsid w:val="00A7482E"/>
    <w:rsid w:val="00A75FE7"/>
    <w:rsid w:val="00A76D0D"/>
    <w:rsid w:val="00A77CA6"/>
    <w:rsid w:val="00A80E7F"/>
    <w:rsid w:val="00A812DA"/>
    <w:rsid w:val="00A83551"/>
    <w:rsid w:val="00A83CCB"/>
    <w:rsid w:val="00A90310"/>
    <w:rsid w:val="00A90342"/>
    <w:rsid w:val="00A90393"/>
    <w:rsid w:val="00A905B1"/>
    <w:rsid w:val="00A9205D"/>
    <w:rsid w:val="00A920E1"/>
    <w:rsid w:val="00A925C7"/>
    <w:rsid w:val="00A936AC"/>
    <w:rsid w:val="00A9524E"/>
    <w:rsid w:val="00A95277"/>
    <w:rsid w:val="00A96B5D"/>
    <w:rsid w:val="00A97017"/>
    <w:rsid w:val="00AA1FCE"/>
    <w:rsid w:val="00AA55B7"/>
    <w:rsid w:val="00AA5791"/>
    <w:rsid w:val="00AA5B9E"/>
    <w:rsid w:val="00AB07B7"/>
    <w:rsid w:val="00AB0B03"/>
    <w:rsid w:val="00AB2283"/>
    <w:rsid w:val="00AB2407"/>
    <w:rsid w:val="00AB2817"/>
    <w:rsid w:val="00AB4CC2"/>
    <w:rsid w:val="00AB53DF"/>
    <w:rsid w:val="00AB5E19"/>
    <w:rsid w:val="00AB72D9"/>
    <w:rsid w:val="00AB7A0E"/>
    <w:rsid w:val="00AC1324"/>
    <w:rsid w:val="00AC22D6"/>
    <w:rsid w:val="00AC49F9"/>
    <w:rsid w:val="00AD2331"/>
    <w:rsid w:val="00AD3D88"/>
    <w:rsid w:val="00AD559A"/>
    <w:rsid w:val="00AD5612"/>
    <w:rsid w:val="00AD56A5"/>
    <w:rsid w:val="00AD579C"/>
    <w:rsid w:val="00AD617F"/>
    <w:rsid w:val="00AD64B9"/>
    <w:rsid w:val="00AD7C77"/>
    <w:rsid w:val="00AE3923"/>
    <w:rsid w:val="00AE4A66"/>
    <w:rsid w:val="00AE4D40"/>
    <w:rsid w:val="00AE73CA"/>
    <w:rsid w:val="00AE7C86"/>
    <w:rsid w:val="00AF03DB"/>
    <w:rsid w:val="00AF0BBD"/>
    <w:rsid w:val="00AF2883"/>
    <w:rsid w:val="00AF29FE"/>
    <w:rsid w:val="00AF3173"/>
    <w:rsid w:val="00AF4A45"/>
    <w:rsid w:val="00AF537F"/>
    <w:rsid w:val="00AF7026"/>
    <w:rsid w:val="00B00864"/>
    <w:rsid w:val="00B020EC"/>
    <w:rsid w:val="00B03B2C"/>
    <w:rsid w:val="00B07B43"/>
    <w:rsid w:val="00B07E5C"/>
    <w:rsid w:val="00B11863"/>
    <w:rsid w:val="00B11A97"/>
    <w:rsid w:val="00B14D62"/>
    <w:rsid w:val="00B1507A"/>
    <w:rsid w:val="00B15C3C"/>
    <w:rsid w:val="00B16C80"/>
    <w:rsid w:val="00B20081"/>
    <w:rsid w:val="00B23637"/>
    <w:rsid w:val="00B23977"/>
    <w:rsid w:val="00B23CB7"/>
    <w:rsid w:val="00B23F69"/>
    <w:rsid w:val="00B24A6C"/>
    <w:rsid w:val="00B32595"/>
    <w:rsid w:val="00B327E9"/>
    <w:rsid w:val="00B32B99"/>
    <w:rsid w:val="00B35414"/>
    <w:rsid w:val="00B35425"/>
    <w:rsid w:val="00B37FA3"/>
    <w:rsid w:val="00B40871"/>
    <w:rsid w:val="00B4185A"/>
    <w:rsid w:val="00B429F2"/>
    <w:rsid w:val="00B42E27"/>
    <w:rsid w:val="00B42EBB"/>
    <w:rsid w:val="00B4339F"/>
    <w:rsid w:val="00B44216"/>
    <w:rsid w:val="00B443D9"/>
    <w:rsid w:val="00B506F3"/>
    <w:rsid w:val="00B52EAD"/>
    <w:rsid w:val="00B53627"/>
    <w:rsid w:val="00B545F9"/>
    <w:rsid w:val="00B54707"/>
    <w:rsid w:val="00B55281"/>
    <w:rsid w:val="00B56289"/>
    <w:rsid w:val="00B56E5B"/>
    <w:rsid w:val="00B639C6"/>
    <w:rsid w:val="00B64183"/>
    <w:rsid w:val="00B64CD5"/>
    <w:rsid w:val="00B66124"/>
    <w:rsid w:val="00B67F5C"/>
    <w:rsid w:val="00B70CEE"/>
    <w:rsid w:val="00B712E6"/>
    <w:rsid w:val="00B72FE8"/>
    <w:rsid w:val="00B7320A"/>
    <w:rsid w:val="00B733D6"/>
    <w:rsid w:val="00B74438"/>
    <w:rsid w:val="00B75117"/>
    <w:rsid w:val="00B7648D"/>
    <w:rsid w:val="00B767E7"/>
    <w:rsid w:val="00B76A71"/>
    <w:rsid w:val="00B811F7"/>
    <w:rsid w:val="00B81BFA"/>
    <w:rsid w:val="00B83D88"/>
    <w:rsid w:val="00B846B1"/>
    <w:rsid w:val="00B86807"/>
    <w:rsid w:val="00B92274"/>
    <w:rsid w:val="00B926B1"/>
    <w:rsid w:val="00B92E12"/>
    <w:rsid w:val="00B9353F"/>
    <w:rsid w:val="00B9417D"/>
    <w:rsid w:val="00B94E5B"/>
    <w:rsid w:val="00B951D0"/>
    <w:rsid w:val="00B9782B"/>
    <w:rsid w:val="00B9792A"/>
    <w:rsid w:val="00B97EAC"/>
    <w:rsid w:val="00BA0331"/>
    <w:rsid w:val="00BA03AA"/>
    <w:rsid w:val="00BA34BE"/>
    <w:rsid w:val="00BA34CF"/>
    <w:rsid w:val="00BA4A0D"/>
    <w:rsid w:val="00BA5DC6"/>
    <w:rsid w:val="00BA6196"/>
    <w:rsid w:val="00BA6B2C"/>
    <w:rsid w:val="00BB063E"/>
    <w:rsid w:val="00BB0BE2"/>
    <w:rsid w:val="00BB111E"/>
    <w:rsid w:val="00BB54A9"/>
    <w:rsid w:val="00BB5B9C"/>
    <w:rsid w:val="00BB78E1"/>
    <w:rsid w:val="00BB7D61"/>
    <w:rsid w:val="00BC0BE1"/>
    <w:rsid w:val="00BC0F4A"/>
    <w:rsid w:val="00BC0F7E"/>
    <w:rsid w:val="00BC4EF3"/>
    <w:rsid w:val="00BC6592"/>
    <w:rsid w:val="00BC6D8C"/>
    <w:rsid w:val="00BD0061"/>
    <w:rsid w:val="00BD336C"/>
    <w:rsid w:val="00BE109B"/>
    <w:rsid w:val="00BE1C63"/>
    <w:rsid w:val="00BE26C9"/>
    <w:rsid w:val="00BE32FA"/>
    <w:rsid w:val="00BF2449"/>
    <w:rsid w:val="00BF49A5"/>
    <w:rsid w:val="00BF514C"/>
    <w:rsid w:val="00BF6AFE"/>
    <w:rsid w:val="00C0251F"/>
    <w:rsid w:val="00C03A12"/>
    <w:rsid w:val="00C03DCD"/>
    <w:rsid w:val="00C0477B"/>
    <w:rsid w:val="00C058EB"/>
    <w:rsid w:val="00C06E5D"/>
    <w:rsid w:val="00C15822"/>
    <w:rsid w:val="00C15F28"/>
    <w:rsid w:val="00C20959"/>
    <w:rsid w:val="00C22B7D"/>
    <w:rsid w:val="00C240F4"/>
    <w:rsid w:val="00C264B8"/>
    <w:rsid w:val="00C26BCE"/>
    <w:rsid w:val="00C32AA2"/>
    <w:rsid w:val="00C32AA3"/>
    <w:rsid w:val="00C33E08"/>
    <w:rsid w:val="00C34006"/>
    <w:rsid w:val="00C354EC"/>
    <w:rsid w:val="00C363C0"/>
    <w:rsid w:val="00C407B8"/>
    <w:rsid w:val="00C42413"/>
    <w:rsid w:val="00C426B1"/>
    <w:rsid w:val="00C44E37"/>
    <w:rsid w:val="00C45D9E"/>
    <w:rsid w:val="00C46D11"/>
    <w:rsid w:val="00C47D10"/>
    <w:rsid w:val="00C5032D"/>
    <w:rsid w:val="00C518C6"/>
    <w:rsid w:val="00C54275"/>
    <w:rsid w:val="00C5603D"/>
    <w:rsid w:val="00C56169"/>
    <w:rsid w:val="00C6271A"/>
    <w:rsid w:val="00C62882"/>
    <w:rsid w:val="00C6375E"/>
    <w:rsid w:val="00C66160"/>
    <w:rsid w:val="00C67F3C"/>
    <w:rsid w:val="00C71073"/>
    <w:rsid w:val="00C714B7"/>
    <w:rsid w:val="00C721AC"/>
    <w:rsid w:val="00C73580"/>
    <w:rsid w:val="00C7488A"/>
    <w:rsid w:val="00C75FB0"/>
    <w:rsid w:val="00C77667"/>
    <w:rsid w:val="00C80CF5"/>
    <w:rsid w:val="00C80E80"/>
    <w:rsid w:val="00C81FF5"/>
    <w:rsid w:val="00C82D20"/>
    <w:rsid w:val="00C839D9"/>
    <w:rsid w:val="00C90D6A"/>
    <w:rsid w:val="00C90DD7"/>
    <w:rsid w:val="00C91424"/>
    <w:rsid w:val="00C93B43"/>
    <w:rsid w:val="00C943D3"/>
    <w:rsid w:val="00C96BD8"/>
    <w:rsid w:val="00CA193A"/>
    <w:rsid w:val="00CA2192"/>
    <w:rsid w:val="00CA247E"/>
    <w:rsid w:val="00CA265D"/>
    <w:rsid w:val="00CA29BE"/>
    <w:rsid w:val="00CA3366"/>
    <w:rsid w:val="00CA37A0"/>
    <w:rsid w:val="00CA3F16"/>
    <w:rsid w:val="00CA3F72"/>
    <w:rsid w:val="00CA50BF"/>
    <w:rsid w:val="00CA5721"/>
    <w:rsid w:val="00CA5958"/>
    <w:rsid w:val="00CA5960"/>
    <w:rsid w:val="00CA5CA9"/>
    <w:rsid w:val="00CA7F10"/>
    <w:rsid w:val="00CB002B"/>
    <w:rsid w:val="00CB3083"/>
    <w:rsid w:val="00CB6B1D"/>
    <w:rsid w:val="00CB7C1E"/>
    <w:rsid w:val="00CC04B3"/>
    <w:rsid w:val="00CC0BFA"/>
    <w:rsid w:val="00CC150F"/>
    <w:rsid w:val="00CC2684"/>
    <w:rsid w:val="00CC4BB6"/>
    <w:rsid w:val="00CC72B6"/>
    <w:rsid w:val="00CC772C"/>
    <w:rsid w:val="00CC7731"/>
    <w:rsid w:val="00CD0034"/>
    <w:rsid w:val="00CD26EF"/>
    <w:rsid w:val="00CD4159"/>
    <w:rsid w:val="00CD460A"/>
    <w:rsid w:val="00CD4D27"/>
    <w:rsid w:val="00CD4D85"/>
    <w:rsid w:val="00CD646E"/>
    <w:rsid w:val="00CE1441"/>
    <w:rsid w:val="00CE1D32"/>
    <w:rsid w:val="00CE54E9"/>
    <w:rsid w:val="00CE5965"/>
    <w:rsid w:val="00CE72BA"/>
    <w:rsid w:val="00CF0335"/>
    <w:rsid w:val="00CF1898"/>
    <w:rsid w:val="00CF19A9"/>
    <w:rsid w:val="00CF1DDE"/>
    <w:rsid w:val="00CF51BA"/>
    <w:rsid w:val="00CF74C3"/>
    <w:rsid w:val="00D0218D"/>
    <w:rsid w:val="00D0494A"/>
    <w:rsid w:val="00D04AD7"/>
    <w:rsid w:val="00D054D5"/>
    <w:rsid w:val="00D05786"/>
    <w:rsid w:val="00D05CAD"/>
    <w:rsid w:val="00D1059D"/>
    <w:rsid w:val="00D1129A"/>
    <w:rsid w:val="00D12A04"/>
    <w:rsid w:val="00D134CC"/>
    <w:rsid w:val="00D17B38"/>
    <w:rsid w:val="00D2220F"/>
    <w:rsid w:val="00D2226A"/>
    <w:rsid w:val="00D229C0"/>
    <w:rsid w:val="00D25ED7"/>
    <w:rsid w:val="00D25F44"/>
    <w:rsid w:val="00D25FB5"/>
    <w:rsid w:val="00D303BA"/>
    <w:rsid w:val="00D303D1"/>
    <w:rsid w:val="00D319DF"/>
    <w:rsid w:val="00D33498"/>
    <w:rsid w:val="00D34BC7"/>
    <w:rsid w:val="00D34D34"/>
    <w:rsid w:val="00D34ECF"/>
    <w:rsid w:val="00D35C15"/>
    <w:rsid w:val="00D36827"/>
    <w:rsid w:val="00D429EE"/>
    <w:rsid w:val="00D44223"/>
    <w:rsid w:val="00D46B64"/>
    <w:rsid w:val="00D50126"/>
    <w:rsid w:val="00D5153D"/>
    <w:rsid w:val="00D52B52"/>
    <w:rsid w:val="00D533BE"/>
    <w:rsid w:val="00D53AAE"/>
    <w:rsid w:val="00D55EEC"/>
    <w:rsid w:val="00D56827"/>
    <w:rsid w:val="00D6327E"/>
    <w:rsid w:val="00D634ED"/>
    <w:rsid w:val="00D638E7"/>
    <w:rsid w:val="00D66936"/>
    <w:rsid w:val="00D676C9"/>
    <w:rsid w:val="00D71952"/>
    <w:rsid w:val="00D7242C"/>
    <w:rsid w:val="00D7346C"/>
    <w:rsid w:val="00D74955"/>
    <w:rsid w:val="00D75B5E"/>
    <w:rsid w:val="00D76BE7"/>
    <w:rsid w:val="00D76CC5"/>
    <w:rsid w:val="00D77C45"/>
    <w:rsid w:val="00D801C1"/>
    <w:rsid w:val="00D80257"/>
    <w:rsid w:val="00D807FA"/>
    <w:rsid w:val="00D8167E"/>
    <w:rsid w:val="00D82E2B"/>
    <w:rsid w:val="00D849D1"/>
    <w:rsid w:val="00D8627D"/>
    <w:rsid w:val="00D90BCB"/>
    <w:rsid w:val="00D9184F"/>
    <w:rsid w:val="00D9274A"/>
    <w:rsid w:val="00D92B21"/>
    <w:rsid w:val="00D945DC"/>
    <w:rsid w:val="00D95A5E"/>
    <w:rsid w:val="00D96371"/>
    <w:rsid w:val="00DA199F"/>
    <w:rsid w:val="00DA21A2"/>
    <w:rsid w:val="00DA2529"/>
    <w:rsid w:val="00DA304B"/>
    <w:rsid w:val="00DA3BEA"/>
    <w:rsid w:val="00DA521E"/>
    <w:rsid w:val="00DA7929"/>
    <w:rsid w:val="00DB0A6C"/>
    <w:rsid w:val="00DB0B1B"/>
    <w:rsid w:val="00DB130A"/>
    <w:rsid w:val="00DB1544"/>
    <w:rsid w:val="00DB1B99"/>
    <w:rsid w:val="00DB292F"/>
    <w:rsid w:val="00DB2EBB"/>
    <w:rsid w:val="00DB4962"/>
    <w:rsid w:val="00DB4EE4"/>
    <w:rsid w:val="00DB6F9C"/>
    <w:rsid w:val="00DB7037"/>
    <w:rsid w:val="00DC10A1"/>
    <w:rsid w:val="00DC15A6"/>
    <w:rsid w:val="00DC1D41"/>
    <w:rsid w:val="00DC3609"/>
    <w:rsid w:val="00DC655F"/>
    <w:rsid w:val="00DC66CD"/>
    <w:rsid w:val="00DC7A91"/>
    <w:rsid w:val="00DD04E7"/>
    <w:rsid w:val="00DD084B"/>
    <w:rsid w:val="00DD0B59"/>
    <w:rsid w:val="00DD0E4E"/>
    <w:rsid w:val="00DD4E41"/>
    <w:rsid w:val="00DD50B9"/>
    <w:rsid w:val="00DD5DB1"/>
    <w:rsid w:val="00DD7EBD"/>
    <w:rsid w:val="00DE0F7E"/>
    <w:rsid w:val="00DE1614"/>
    <w:rsid w:val="00DE2DF8"/>
    <w:rsid w:val="00DE363E"/>
    <w:rsid w:val="00DE4148"/>
    <w:rsid w:val="00DE4A69"/>
    <w:rsid w:val="00DE7D44"/>
    <w:rsid w:val="00DF16CB"/>
    <w:rsid w:val="00DF2D42"/>
    <w:rsid w:val="00DF46EF"/>
    <w:rsid w:val="00DF5388"/>
    <w:rsid w:val="00DF62B6"/>
    <w:rsid w:val="00DF796A"/>
    <w:rsid w:val="00E002AB"/>
    <w:rsid w:val="00E00513"/>
    <w:rsid w:val="00E01B17"/>
    <w:rsid w:val="00E025EA"/>
    <w:rsid w:val="00E02BF4"/>
    <w:rsid w:val="00E02F72"/>
    <w:rsid w:val="00E0319A"/>
    <w:rsid w:val="00E05609"/>
    <w:rsid w:val="00E0589B"/>
    <w:rsid w:val="00E05EE3"/>
    <w:rsid w:val="00E06136"/>
    <w:rsid w:val="00E06624"/>
    <w:rsid w:val="00E06A7C"/>
    <w:rsid w:val="00E06F4B"/>
    <w:rsid w:val="00E07225"/>
    <w:rsid w:val="00E07AAB"/>
    <w:rsid w:val="00E07D5C"/>
    <w:rsid w:val="00E10AF1"/>
    <w:rsid w:val="00E11C00"/>
    <w:rsid w:val="00E12A8E"/>
    <w:rsid w:val="00E13A0C"/>
    <w:rsid w:val="00E141A1"/>
    <w:rsid w:val="00E14E61"/>
    <w:rsid w:val="00E16BD8"/>
    <w:rsid w:val="00E24E90"/>
    <w:rsid w:val="00E25DC0"/>
    <w:rsid w:val="00E306F1"/>
    <w:rsid w:val="00E32C98"/>
    <w:rsid w:val="00E33017"/>
    <w:rsid w:val="00E34425"/>
    <w:rsid w:val="00E34F43"/>
    <w:rsid w:val="00E3560A"/>
    <w:rsid w:val="00E3599F"/>
    <w:rsid w:val="00E36762"/>
    <w:rsid w:val="00E4106F"/>
    <w:rsid w:val="00E479FA"/>
    <w:rsid w:val="00E47B47"/>
    <w:rsid w:val="00E50938"/>
    <w:rsid w:val="00E51333"/>
    <w:rsid w:val="00E5409F"/>
    <w:rsid w:val="00E6046A"/>
    <w:rsid w:val="00E60822"/>
    <w:rsid w:val="00E62DE6"/>
    <w:rsid w:val="00E63025"/>
    <w:rsid w:val="00E64D79"/>
    <w:rsid w:val="00E66053"/>
    <w:rsid w:val="00E66692"/>
    <w:rsid w:val="00E668C4"/>
    <w:rsid w:val="00E71C8D"/>
    <w:rsid w:val="00E73320"/>
    <w:rsid w:val="00E73807"/>
    <w:rsid w:val="00E7390A"/>
    <w:rsid w:val="00E73FDD"/>
    <w:rsid w:val="00E7609E"/>
    <w:rsid w:val="00E843FC"/>
    <w:rsid w:val="00E85CCC"/>
    <w:rsid w:val="00E86893"/>
    <w:rsid w:val="00E86B07"/>
    <w:rsid w:val="00E8710A"/>
    <w:rsid w:val="00E930A2"/>
    <w:rsid w:val="00E94F11"/>
    <w:rsid w:val="00E95F88"/>
    <w:rsid w:val="00E96182"/>
    <w:rsid w:val="00E975FB"/>
    <w:rsid w:val="00E97B3E"/>
    <w:rsid w:val="00EA3307"/>
    <w:rsid w:val="00EA3892"/>
    <w:rsid w:val="00EA4454"/>
    <w:rsid w:val="00EA494A"/>
    <w:rsid w:val="00EA5119"/>
    <w:rsid w:val="00EA572F"/>
    <w:rsid w:val="00EA5A25"/>
    <w:rsid w:val="00EA6FEF"/>
    <w:rsid w:val="00EB07A5"/>
    <w:rsid w:val="00EB1D1B"/>
    <w:rsid w:val="00EB27E6"/>
    <w:rsid w:val="00EB40FB"/>
    <w:rsid w:val="00EB4553"/>
    <w:rsid w:val="00EB6C6F"/>
    <w:rsid w:val="00EB7206"/>
    <w:rsid w:val="00EB72E4"/>
    <w:rsid w:val="00EC0AF5"/>
    <w:rsid w:val="00EC38CF"/>
    <w:rsid w:val="00EC56B3"/>
    <w:rsid w:val="00EC5798"/>
    <w:rsid w:val="00EC65ED"/>
    <w:rsid w:val="00EC6CD4"/>
    <w:rsid w:val="00EC6EFE"/>
    <w:rsid w:val="00ED05F7"/>
    <w:rsid w:val="00ED0F7A"/>
    <w:rsid w:val="00ED1BBF"/>
    <w:rsid w:val="00ED2079"/>
    <w:rsid w:val="00ED2197"/>
    <w:rsid w:val="00ED338B"/>
    <w:rsid w:val="00ED3597"/>
    <w:rsid w:val="00ED40D3"/>
    <w:rsid w:val="00ED4187"/>
    <w:rsid w:val="00ED53AC"/>
    <w:rsid w:val="00EE1262"/>
    <w:rsid w:val="00EE534D"/>
    <w:rsid w:val="00EE5FD3"/>
    <w:rsid w:val="00EE6488"/>
    <w:rsid w:val="00EE68AC"/>
    <w:rsid w:val="00EE785C"/>
    <w:rsid w:val="00EF14B4"/>
    <w:rsid w:val="00EF320D"/>
    <w:rsid w:val="00F009BA"/>
    <w:rsid w:val="00F021FA"/>
    <w:rsid w:val="00F056B2"/>
    <w:rsid w:val="00F06B0E"/>
    <w:rsid w:val="00F107C8"/>
    <w:rsid w:val="00F1090D"/>
    <w:rsid w:val="00F11B62"/>
    <w:rsid w:val="00F1320F"/>
    <w:rsid w:val="00F16202"/>
    <w:rsid w:val="00F21280"/>
    <w:rsid w:val="00F25691"/>
    <w:rsid w:val="00F26860"/>
    <w:rsid w:val="00F2727A"/>
    <w:rsid w:val="00F27D73"/>
    <w:rsid w:val="00F31CEB"/>
    <w:rsid w:val="00F31D40"/>
    <w:rsid w:val="00F32E64"/>
    <w:rsid w:val="00F34CF9"/>
    <w:rsid w:val="00F35017"/>
    <w:rsid w:val="00F376CB"/>
    <w:rsid w:val="00F40E68"/>
    <w:rsid w:val="00F42FD6"/>
    <w:rsid w:val="00F47D0A"/>
    <w:rsid w:val="00F509C4"/>
    <w:rsid w:val="00F50B44"/>
    <w:rsid w:val="00F50DC4"/>
    <w:rsid w:val="00F5475A"/>
    <w:rsid w:val="00F55603"/>
    <w:rsid w:val="00F56568"/>
    <w:rsid w:val="00F61DDA"/>
    <w:rsid w:val="00F62734"/>
    <w:rsid w:val="00F62E97"/>
    <w:rsid w:val="00F64209"/>
    <w:rsid w:val="00F648EA"/>
    <w:rsid w:val="00F7156D"/>
    <w:rsid w:val="00F71A7E"/>
    <w:rsid w:val="00F726E1"/>
    <w:rsid w:val="00F7370F"/>
    <w:rsid w:val="00F739CB"/>
    <w:rsid w:val="00F753F2"/>
    <w:rsid w:val="00F76773"/>
    <w:rsid w:val="00F76ECE"/>
    <w:rsid w:val="00F80806"/>
    <w:rsid w:val="00F82E7D"/>
    <w:rsid w:val="00F838C4"/>
    <w:rsid w:val="00F84784"/>
    <w:rsid w:val="00F848D6"/>
    <w:rsid w:val="00F85A98"/>
    <w:rsid w:val="00F86580"/>
    <w:rsid w:val="00F877E2"/>
    <w:rsid w:val="00F9127F"/>
    <w:rsid w:val="00F93BF5"/>
    <w:rsid w:val="00F93D68"/>
    <w:rsid w:val="00F95FBE"/>
    <w:rsid w:val="00FA37F1"/>
    <w:rsid w:val="00FA4C39"/>
    <w:rsid w:val="00FA531A"/>
    <w:rsid w:val="00FA5AA1"/>
    <w:rsid w:val="00FB0554"/>
    <w:rsid w:val="00FB07B5"/>
    <w:rsid w:val="00FB1060"/>
    <w:rsid w:val="00FB1858"/>
    <w:rsid w:val="00FB2C21"/>
    <w:rsid w:val="00FB30AD"/>
    <w:rsid w:val="00FB6946"/>
    <w:rsid w:val="00FC1329"/>
    <w:rsid w:val="00FC2574"/>
    <w:rsid w:val="00FC42F7"/>
    <w:rsid w:val="00FC4833"/>
    <w:rsid w:val="00FC4844"/>
    <w:rsid w:val="00FC7EB8"/>
    <w:rsid w:val="00FD03A9"/>
    <w:rsid w:val="00FD2C0E"/>
    <w:rsid w:val="00FD3FE4"/>
    <w:rsid w:val="00FD5130"/>
    <w:rsid w:val="00FD5B1F"/>
    <w:rsid w:val="00FD5FB8"/>
    <w:rsid w:val="00FD7C68"/>
    <w:rsid w:val="00FE0B7C"/>
    <w:rsid w:val="00FE1ED8"/>
    <w:rsid w:val="00FE3C5C"/>
    <w:rsid w:val="00FE3F96"/>
    <w:rsid w:val="00FE547B"/>
    <w:rsid w:val="00FF1510"/>
    <w:rsid w:val="00FF379B"/>
    <w:rsid w:val="00FF496B"/>
    <w:rsid w:val="00FF4AFE"/>
    <w:rsid w:val="00FF4EFF"/>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0FA2619"/>
  <w15:docId w15:val="{AED354D9-29AF-4362-BFDC-F4C4B812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3159D"/>
    <w:pPr>
      <w:widowControl w:val="0"/>
    </w:pPr>
    <w:rPr>
      <w:snapToGrid w:val="0"/>
      <w:kern w:val="28"/>
      <w:sz w:val="22"/>
    </w:rPr>
  </w:style>
  <w:style w:type="paragraph" w:styleId="Heading1">
    <w:name w:val="heading 1"/>
    <w:basedOn w:val="Normal"/>
    <w:next w:val="ParaNum"/>
    <w:qFormat/>
    <w:rsid w:val="0043159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3159D"/>
    <w:pPr>
      <w:keepNext/>
      <w:numPr>
        <w:ilvl w:val="1"/>
        <w:numId w:val="3"/>
      </w:numPr>
      <w:spacing w:after="120"/>
      <w:outlineLvl w:val="1"/>
    </w:pPr>
    <w:rPr>
      <w:b/>
    </w:rPr>
  </w:style>
  <w:style w:type="paragraph" w:styleId="Heading3">
    <w:name w:val="heading 3"/>
    <w:basedOn w:val="Normal"/>
    <w:next w:val="ParaNum"/>
    <w:qFormat/>
    <w:rsid w:val="0043159D"/>
    <w:pPr>
      <w:keepNext/>
      <w:numPr>
        <w:ilvl w:val="2"/>
        <w:numId w:val="3"/>
      </w:numPr>
      <w:tabs>
        <w:tab w:val="left" w:pos="2160"/>
      </w:tabs>
      <w:spacing w:after="120"/>
      <w:outlineLvl w:val="2"/>
    </w:pPr>
    <w:rPr>
      <w:b/>
    </w:rPr>
  </w:style>
  <w:style w:type="paragraph" w:styleId="Heading4">
    <w:name w:val="heading 4"/>
    <w:basedOn w:val="Normal"/>
    <w:next w:val="ParaNum"/>
    <w:qFormat/>
    <w:rsid w:val="0043159D"/>
    <w:pPr>
      <w:keepNext/>
      <w:numPr>
        <w:ilvl w:val="3"/>
        <w:numId w:val="3"/>
      </w:numPr>
      <w:tabs>
        <w:tab w:val="left" w:pos="2880"/>
      </w:tabs>
      <w:spacing w:after="120"/>
      <w:outlineLvl w:val="3"/>
    </w:pPr>
    <w:rPr>
      <w:b/>
    </w:rPr>
  </w:style>
  <w:style w:type="paragraph" w:styleId="Heading5">
    <w:name w:val="heading 5"/>
    <w:basedOn w:val="Normal"/>
    <w:next w:val="ParaNum"/>
    <w:qFormat/>
    <w:rsid w:val="0043159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3159D"/>
    <w:pPr>
      <w:numPr>
        <w:ilvl w:val="5"/>
        <w:numId w:val="3"/>
      </w:numPr>
      <w:tabs>
        <w:tab w:val="left" w:pos="4320"/>
      </w:tabs>
      <w:spacing w:after="120"/>
      <w:outlineLvl w:val="5"/>
    </w:pPr>
    <w:rPr>
      <w:b/>
    </w:rPr>
  </w:style>
  <w:style w:type="paragraph" w:styleId="Heading7">
    <w:name w:val="heading 7"/>
    <w:basedOn w:val="Normal"/>
    <w:next w:val="ParaNum"/>
    <w:qFormat/>
    <w:rsid w:val="0043159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3159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3159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315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159D"/>
  </w:style>
  <w:style w:type="paragraph" w:customStyle="1" w:styleId="ParaNum">
    <w:name w:val="ParaNum"/>
    <w:basedOn w:val="Normal"/>
    <w:link w:val="ParaNumChar1"/>
    <w:rsid w:val="0043159D"/>
    <w:pPr>
      <w:numPr>
        <w:numId w:val="2"/>
      </w:numPr>
      <w:tabs>
        <w:tab w:val="clear" w:pos="1080"/>
        <w:tab w:val="num" w:pos="1440"/>
      </w:tabs>
      <w:spacing w:after="120"/>
    </w:pPr>
  </w:style>
  <w:style w:type="paragraph" w:styleId="EndnoteText">
    <w:name w:val="endnote text"/>
    <w:basedOn w:val="Normal"/>
    <w:semiHidden/>
    <w:rsid w:val="0043159D"/>
    <w:rPr>
      <w:sz w:val="20"/>
    </w:rPr>
  </w:style>
  <w:style w:type="character" w:styleId="EndnoteReference">
    <w:name w:val="endnote reference"/>
    <w:semiHidden/>
    <w:rsid w:val="0043159D"/>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f,fn,fn Char,rrfootnote"/>
    <w:link w:val="FootnoteTextChar2"/>
    <w:rsid w:val="0043159D"/>
    <w:pPr>
      <w:spacing w:after="120"/>
    </w:pPr>
  </w:style>
  <w:style w:type="character" w:styleId="FootnoteReference">
    <w:name w:val="footnote reference"/>
    <w:aliases w:val="(NECG) Footnote Reference,Appel note de bas de p,FR,Footnote Reference/,Style 12,Style 124,Style 13,Style 17,Style 3,Style 4,Style 6,fr,o"/>
    <w:rsid w:val="0043159D"/>
    <w:rPr>
      <w:rFonts w:ascii="Times New Roman" w:hAnsi="Times New Roman"/>
      <w:dstrike w:val="0"/>
      <w:color w:val="auto"/>
      <w:sz w:val="20"/>
      <w:vertAlign w:val="superscript"/>
    </w:rPr>
  </w:style>
  <w:style w:type="paragraph" w:styleId="TOC1">
    <w:name w:val="toc 1"/>
    <w:basedOn w:val="Normal"/>
    <w:next w:val="Normal"/>
    <w:semiHidden/>
    <w:rsid w:val="0043159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3159D"/>
    <w:pPr>
      <w:tabs>
        <w:tab w:val="left" w:pos="720"/>
        <w:tab w:val="right" w:leader="dot" w:pos="9360"/>
      </w:tabs>
      <w:suppressAutoHyphens/>
      <w:ind w:left="720" w:right="720" w:hanging="360"/>
    </w:pPr>
    <w:rPr>
      <w:noProof/>
    </w:rPr>
  </w:style>
  <w:style w:type="paragraph" w:styleId="TOC3">
    <w:name w:val="toc 3"/>
    <w:basedOn w:val="Normal"/>
    <w:next w:val="Normal"/>
    <w:semiHidden/>
    <w:rsid w:val="0043159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3159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3159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3159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3159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3159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3159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3159D"/>
    <w:pPr>
      <w:tabs>
        <w:tab w:val="right" w:pos="9360"/>
      </w:tabs>
      <w:suppressAutoHyphens/>
    </w:pPr>
  </w:style>
  <w:style w:type="character" w:customStyle="1" w:styleId="EquationCaption">
    <w:name w:val="_Equation Caption"/>
    <w:rsid w:val="0043159D"/>
  </w:style>
  <w:style w:type="paragraph" w:styleId="Header">
    <w:name w:val="header"/>
    <w:basedOn w:val="Normal"/>
    <w:autoRedefine/>
    <w:rsid w:val="0043159D"/>
    <w:pPr>
      <w:tabs>
        <w:tab w:val="center" w:pos="4680"/>
        <w:tab w:val="right" w:pos="9360"/>
      </w:tabs>
    </w:pPr>
    <w:rPr>
      <w:b/>
    </w:rPr>
  </w:style>
  <w:style w:type="paragraph" w:styleId="Footer">
    <w:name w:val="footer"/>
    <w:basedOn w:val="Normal"/>
    <w:link w:val="FooterChar"/>
    <w:uiPriority w:val="99"/>
    <w:rsid w:val="0043159D"/>
    <w:pPr>
      <w:tabs>
        <w:tab w:val="center" w:pos="4320"/>
        <w:tab w:val="right" w:pos="8640"/>
      </w:tabs>
    </w:pPr>
  </w:style>
  <w:style w:type="character" w:styleId="PageNumber">
    <w:name w:val="page number"/>
    <w:basedOn w:val="DefaultParagraphFont"/>
    <w:rsid w:val="0043159D"/>
  </w:style>
  <w:style w:type="paragraph" w:styleId="BlockText">
    <w:name w:val="Block Text"/>
    <w:basedOn w:val="Normal"/>
    <w:rsid w:val="0043159D"/>
    <w:pPr>
      <w:spacing w:after="240"/>
      <w:ind w:left="1440" w:right="1440"/>
    </w:pPr>
  </w:style>
  <w:style w:type="paragraph" w:customStyle="1" w:styleId="Paratitle">
    <w:name w:val="Para title"/>
    <w:basedOn w:val="Normal"/>
    <w:rsid w:val="0043159D"/>
    <w:pPr>
      <w:tabs>
        <w:tab w:val="center" w:pos="9270"/>
      </w:tabs>
      <w:spacing w:after="240"/>
    </w:pPr>
    <w:rPr>
      <w:spacing w:val="-2"/>
    </w:rPr>
  </w:style>
  <w:style w:type="paragraph" w:customStyle="1" w:styleId="Bullet">
    <w:name w:val="Bullet"/>
    <w:basedOn w:val="Normal"/>
    <w:rsid w:val="0043159D"/>
    <w:pPr>
      <w:tabs>
        <w:tab w:val="left" w:pos="2160"/>
      </w:tabs>
      <w:spacing w:after="220"/>
      <w:ind w:left="2160" w:hanging="720"/>
    </w:pPr>
  </w:style>
  <w:style w:type="paragraph" w:customStyle="1" w:styleId="TableFormat">
    <w:name w:val="TableFormat"/>
    <w:basedOn w:val="Bullet"/>
    <w:rsid w:val="0043159D"/>
    <w:pPr>
      <w:tabs>
        <w:tab w:val="clear" w:pos="2160"/>
        <w:tab w:val="left" w:pos="5040"/>
      </w:tabs>
      <w:ind w:left="5040" w:hanging="3600"/>
    </w:pPr>
  </w:style>
  <w:style w:type="paragraph" w:customStyle="1" w:styleId="TOCTitle">
    <w:name w:val="TOC Title"/>
    <w:basedOn w:val="Normal"/>
    <w:rsid w:val="0043159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3159D"/>
    <w:pPr>
      <w:jc w:val="center"/>
    </w:pPr>
    <w:rPr>
      <w:rFonts w:ascii="Times New Roman Bold" w:hAnsi="Times New Roman Bold"/>
      <w:b/>
      <w:bCs/>
      <w:caps/>
      <w:szCs w:val="22"/>
    </w:rPr>
  </w:style>
  <w:style w:type="character" w:styleId="Hyperlink">
    <w:name w:val="Hyperlink"/>
    <w:rsid w:val="0043159D"/>
    <w:rPr>
      <w:color w:val="0000FF"/>
      <w:u w:val="single"/>
    </w:rPr>
  </w:style>
  <w:style w:type="character" w:customStyle="1" w:styleId="FootnoteTextChar2">
    <w:name w:val="Footnote Text Char2"/>
    <w:aliases w:val="Footnote Text Char Char Char4 Char Char,Footnote Text Char1 Char,Footnote Text Char4 Char1 Char Char,Footnote Text Char4 Char1 Char Char Char Char Char,Footnote Text Char7 Char Char,Footnote Text Char7 Char Char Char Char Char,f Char"/>
    <w:link w:val="FootnoteText"/>
    <w:locked/>
    <w:rsid w:val="00921FBD"/>
  </w:style>
  <w:style w:type="paragraph" w:styleId="BalloonText">
    <w:name w:val="Balloon Text"/>
    <w:basedOn w:val="Normal"/>
    <w:link w:val="BalloonTextChar"/>
    <w:rsid w:val="00AE73CA"/>
    <w:rPr>
      <w:rFonts w:ascii="Tahoma" w:hAnsi="Tahoma" w:cs="Tahoma"/>
      <w:sz w:val="16"/>
      <w:szCs w:val="16"/>
    </w:rPr>
  </w:style>
  <w:style w:type="character" w:customStyle="1" w:styleId="BalloonTextChar">
    <w:name w:val="Balloon Text Char"/>
    <w:basedOn w:val="DefaultParagraphFont"/>
    <w:link w:val="BalloonText"/>
    <w:rsid w:val="00AE73CA"/>
    <w:rPr>
      <w:rFonts w:ascii="Tahoma" w:hAnsi="Tahoma" w:cs="Tahoma"/>
      <w:snapToGrid w:val="0"/>
      <w:kern w:val="28"/>
      <w:sz w:val="16"/>
      <w:szCs w:val="16"/>
    </w:rPr>
  </w:style>
  <w:style w:type="character" w:styleId="CommentReference">
    <w:name w:val="annotation reference"/>
    <w:basedOn w:val="DefaultParagraphFont"/>
    <w:rsid w:val="00FC4844"/>
    <w:rPr>
      <w:sz w:val="16"/>
      <w:szCs w:val="16"/>
    </w:rPr>
  </w:style>
  <w:style w:type="paragraph" w:styleId="CommentText">
    <w:name w:val="annotation text"/>
    <w:basedOn w:val="Normal"/>
    <w:link w:val="CommentTextChar"/>
    <w:rsid w:val="00FC4844"/>
    <w:rPr>
      <w:sz w:val="20"/>
    </w:rPr>
  </w:style>
  <w:style w:type="character" w:customStyle="1" w:styleId="CommentTextChar">
    <w:name w:val="Comment Text Char"/>
    <w:basedOn w:val="DefaultParagraphFont"/>
    <w:link w:val="CommentText"/>
    <w:rsid w:val="00FC4844"/>
    <w:rPr>
      <w:snapToGrid w:val="0"/>
      <w:kern w:val="28"/>
    </w:rPr>
  </w:style>
  <w:style w:type="paragraph" w:styleId="CommentSubject">
    <w:name w:val="annotation subject"/>
    <w:basedOn w:val="CommentText"/>
    <w:next w:val="CommentText"/>
    <w:link w:val="CommentSubjectChar"/>
    <w:rsid w:val="00FC4844"/>
    <w:rPr>
      <w:b/>
      <w:bCs/>
    </w:rPr>
  </w:style>
  <w:style w:type="character" w:customStyle="1" w:styleId="CommentSubjectChar">
    <w:name w:val="Comment Subject Char"/>
    <w:basedOn w:val="CommentTextChar"/>
    <w:link w:val="CommentSubject"/>
    <w:rsid w:val="00FC4844"/>
    <w:rPr>
      <w:b/>
      <w:bCs/>
      <w:snapToGrid w:val="0"/>
      <w:kern w:val="28"/>
    </w:rPr>
  </w:style>
  <w:style w:type="character" w:customStyle="1" w:styleId="displayhltext">
    <w:name w:val="display_hl_text"/>
    <w:basedOn w:val="DefaultParagraphFont"/>
    <w:rsid w:val="00835971"/>
  </w:style>
  <w:style w:type="character" w:customStyle="1" w:styleId="UnresolvedMention">
    <w:name w:val="Unresolved Mention"/>
    <w:basedOn w:val="DefaultParagraphFont"/>
    <w:uiPriority w:val="99"/>
    <w:semiHidden/>
    <w:unhideWhenUsed/>
    <w:rsid w:val="00CF19A9"/>
    <w:rPr>
      <w:color w:val="605E5C"/>
      <w:shd w:val="clear" w:color="auto" w:fill="E1DFDD"/>
    </w:rPr>
  </w:style>
  <w:style w:type="character" w:customStyle="1" w:styleId="ParaNumChar1">
    <w:name w:val="ParaNum Char1"/>
    <w:link w:val="ParaNum"/>
    <w:locked/>
    <w:rsid w:val="00552C71"/>
    <w:rPr>
      <w:snapToGrid w:val="0"/>
      <w:kern w:val="28"/>
      <w:sz w:val="22"/>
    </w:rPr>
  </w:style>
  <w:style w:type="paragraph" w:styleId="ListParagraph">
    <w:name w:val="List Paragraph"/>
    <w:basedOn w:val="Normal"/>
    <w:uiPriority w:val="34"/>
    <w:qFormat/>
    <w:rsid w:val="00AC22D6"/>
    <w:pPr>
      <w:ind w:left="720"/>
      <w:contextualSpacing/>
    </w:pPr>
  </w:style>
  <w:style w:type="paragraph" w:styleId="Revision">
    <w:name w:val="Revision"/>
    <w:hidden/>
    <w:uiPriority w:val="99"/>
    <w:semiHidden/>
    <w:rsid w:val="00654A57"/>
    <w:rPr>
      <w:snapToGrid w:val="0"/>
      <w:kern w:val="28"/>
      <w:sz w:val="22"/>
    </w:rPr>
  </w:style>
  <w:style w:type="character" w:styleId="Emphasis">
    <w:name w:val="Emphasis"/>
    <w:basedOn w:val="DefaultParagraphFont"/>
    <w:uiPriority w:val="20"/>
    <w:qFormat/>
    <w:rsid w:val="00BB7D61"/>
    <w:rPr>
      <w:i/>
      <w:iCs/>
    </w:rPr>
  </w:style>
  <w:style w:type="character" w:customStyle="1" w:styleId="cosearchterm">
    <w:name w:val="co_searchterm"/>
    <w:basedOn w:val="DefaultParagraphFont"/>
    <w:rsid w:val="00BB7D61"/>
  </w:style>
  <w:style w:type="character" w:customStyle="1" w:styleId="FooterChar">
    <w:name w:val="Footer Char"/>
    <w:link w:val="Footer"/>
    <w:uiPriority w:val="99"/>
    <w:rsid w:val="0043159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telecomlaw.bna.com/terc/display/split_display.adp?fedfid=21193990&amp;wsn=578418000&amp;vname=comrgdec&amp;searchid=30082288&amp;doctypeid=1&amp;type=court&amp;scm=1502&amp;pg=0" TargetMode="External" /><Relationship Id="rId6" Type="http://schemas.openxmlformats.org/officeDocument/2006/relationships/image" Target="media/image1.gif" /><Relationship Id="rId7" Type="http://schemas.openxmlformats.org/officeDocument/2006/relationships/hyperlink" Target="javascript:top.docjs.next_hit(1)" TargetMode="External" /><Relationship Id="rId8" Type="http://schemas.openxmlformats.org/officeDocument/2006/relationships/hyperlink" Target="javascript:top.docjs.prev_hit(2)" TargetMode="External" /><Relationship Id="rId9" Type="http://schemas.openxmlformats.org/officeDocument/2006/relationships/hyperlink" Target="javascript:top.docjs.next_hit(2)"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transition.fcc.gov/ib/sand/agree/files/mex-bc/fmbc.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