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664F3C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9E87BD9" w14:textId="77777777">
      <w:pPr>
        <w:pStyle w:val="StyleBoldCentered"/>
      </w:pPr>
      <w:r>
        <w:t>F</w:t>
      </w:r>
      <w:r>
        <w:rPr>
          <w:caps w:val="0"/>
        </w:rPr>
        <w:t>ederal Communications Commission</w:t>
      </w:r>
    </w:p>
    <w:p w:rsidR="004C2EE3" w:rsidP="00096D8C" w14:paraId="06E3FEFD" w14:textId="77777777">
      <w:pPr>
        <w:pStyle w:val="StyleBoldCentered"/>
      </w:pPr>
      <w:r>
        <w:rPr>
          <w:caps w:val="0"/>
        </w:rPr>
        <w:t>Washington, D.C. 20554</w:t>
      </w:r>
    </w:p>
    <w:p w:rsidR="004C2EE3" w:rsidP="0070224F" w14:paraId="73B9EA80" w14:textId="77777777"/>
    <w:p w:rsidR="004C2EE3" w:rsidP="0070224F" w14:paraId="3E66325A" w14:textId="77777777"/>
    <w:tbl>
      <w:tblPr>
        <w:tblW w:w="0" w:type="auto"/>
        <w:tblLayout w:type="fixed"/>
        <w:tblLook w:val="0000"/>
      </w:tblPr>
      <w:tblGrid>
        <w:gridCol w:w="4698"/>
        <w:gridCol w:w="630"/>
        <w:gridCol w:w="4248"/>
      </w:tblGrid>
      <w:tr w14:paraId="6DE053EC" w14:textId="77777777">
        <w:tblPrEx>
          <w:tblW w:w="0" w:type="auto"/>
          <w:tblLayout w:type="fixed"/>
          <w:tblLook w:val="0000"/>
        </w:tblPrEx>
        <w:tc>
          <w:tcPr>
            <w:tcW w:w="4698" w:type="dxa"/>
          </w:tcPr>
          <w:p w:rsidR="004C2EE3" w14:paraId="71A6784A" w14:textId="77777777">
            <w:pPr>
              <w:tabs>
                <w:tab w:val="center" w:pos="4680"/>
              </w:tabs>
              <w:suppressAutoHyphens/>
              <w:rPr>
                <w:spacing w:val="-2"/>
              </w:rPr>
            </w:pPr>
            <w:r>
              <w:rPr>
                <w:spacing w:val="-2"/>
              </w:rPr>
              <w:t>In the Matter of</w:t>
            </w:r>
          </w:p>
          <w:p w:rsidR="004C2EE3" w14:paraId="1A61A7AB" w14:textId="77777777">
            <w:pPr>
              <w:tabs>
                <w:tab w:val="center" w:pos="4680"/>
              </w:tabs>
              <w:suppressAutoHyphens/>
              <w:rPr>
                <w:spacing w:val="-2"/>
              </w:rPr>
            </w:pPr>
          </w:p>
          <w:p w:rsidR="004C2EE3" w:rsidRPr="00C8785D" w:rsidP="00FF64EB" w14:paraId="2F6A1D78" w14:textId="309ACF2D">
            <w:pPr>
              <w:ind w:right="-18"/>
              <w:rPr>
                <w:bCs/>
                <w:spacing w:val="-2"/>
              </w:rPr>
            </w:pPr>
            <w:r w:rsidRPr="00C8785D">
              <w:rPr>
                <w:bCs/>
              </w:rPr>
              <w:t xml:space="preserve">Threshold Fair Distribution Analysis of Mutually Exclusive Applications of </w:t>
            </w:r>
            <w:r w:rsidRPr="00C8785D" w:rsidR="005E3CAE">
              <w:rPr>
                <w:bCs/>
              </w:rPr>
              <w:t>the Southern California Tribal Chairmen’s Association</w:t>
            </w:r>
            <w:r w:rsidRPr="00C8785D" w:rsidR="00FF64EB">
              <w:rPr>
                <w:bCs/>
              </w:rPr>
              <w:t xml:space="preserve"> </w:t>
            </w:r>
            <w:r w:rsidRPr="00C8785D" w:rsidR="005E3CAE">
              <w:rPr>
                <w:bCs/>
              </w:rPr>
              <w:t xml:space="preserve">and the </w:t>
            </w:r>
            <w:r w:rsidR="00C71A62">
              <w:rPr>
                <w:bCs/>
              </w:rPr>
              <w:t xml:space="preserve">Foundation for Economic Justice d/b/a </w:t>
            </w:r>
            <w:r w:rsidRPr="00C8785D" w:rsidR="005E3CAE">
              <w:rPr>
                <w:bCs/>
              </w:rPr>
              <w:t xml:space="preserve">Center for Economic Justice </w:t>
            </w:r>
            <w:r w:rsidRPr="00C8785D">
              <w:rPr>
                <w:bCs/>
              </w:rPr>
              <w:t xml:space="preserve">for Permits to Construct New Noncommercial Educational FM Stations Filed in </w:t>
            </w:r>
            <w:r w:rsidRPr="00C8785D" w:rsidR="001568FD">
              <w:rPr>
                <w:bCs/>
              </w:rPr>
              <w:t>November</w:t>
            </w:r>
            <w:r w:rsidRPr="00C8785D">
              <w:rPr>
                <w:bCs/>
              </w:rPr>
              <w:t xml:space="preserve"> 2021 Window</w:t>
            </w:r>
          </w:p>
        </w:tc>
        <w:tc>
          <w:tcPr>
            <w:tcW w:w="630" w:type="dxa"/>
          </w:tcPr>
          <w:p w:rsidR="004C2EE3" w14:paraId="14F94FF9" w14:textId="77777777">
            <w:pPr>
              <w:tabs>
                <w:tab w:val="center" w:pos="4680"/>
              </w:tabs>
              <w:suppressAutoHyphens/>
              <w:rPr>
                <w:b/>
                <w:spacing w:val="-2"/>
              </w:rPr>
            </w:pPr>
            <w:r>
              <w:rPr>
                <w:b/>
                <w:spacing w:val="-2"/>
              </w:rPr>
              <w:t>)</w:t>
            </w:r>
          </w:p>
          <w:p w:rsidR="004C2EE3" w14:paraId="3B7DD2F5" w14:textId="77777777">
            <w:pPr>
              <w:tabs>
                <w:tab w:val="center" w:pos="4680"/>
              </w:tabs>
              <w:suppressAutoHyphens/>
              <w:rPr>
                <w:b/>
                <w:spacing w:val="-2"/>
              </w:rPr>
            </w:pPr>
            <w:r>
              <w:rPr>
                <w:b/>
                <w:spacing w:val="-2"/>
              </w:rPr>
              <w:t>)</w:t>
            </w:r>
          </w:p>
          <w:p w:rsidR="004C2EE3" w14:paraId="6512D020" w14:textId="77777777">
            <w:pPr>
              <w:tabs>
                <w:tab w:val="center" w:pos="4680"/>
              </w:tabs>
              <w:suppressAutoHyphens/>
              <w:rPr>
                <w:b/>
                <w:spacing w:val="-2"/>
              </w:rPr>
            </w:pPr>
            <w:r>
              <w:rPr>
                <w:b/>
                <w:spacing w:val="-2"/>
              </w:rPr>
              <w:t>)</w:t>
            </w:r>
          </w:p>
          <w:p w:rsidR="004C2EE3" w14:paraId="1DC754A3" w14:textId="77777777">
            <w:pPr>
              <w:tabs>
                <w:tab w:val="center" w:pos="4680"/>
              </w:tabs>
              <w:suppressAutoHyphens/>
              <w:rPr>
                <w:b/>
                <w:spacing w:val="-2"/>
              </w:rPr>
            </w:pPr>
            <w:r>
              <w:rPr>
                <w:b/>
                <w:spacing w:val="-2"/>
              </w:rPr>
              <w:t>)</w:t>
            </w:r>
          </w:p>
          <w:p w:rsidR="004C2EE3" w14:paraId="0306B21B" w14:textId="77777777">
            <w:pPr>
              <w:tabs>
                <w:tab w:val="center" w:pos="4680"/>
              </w:tabs>
              <w:suppressAutoHyphens/>
              <w:rPr>
                <w:b/>
                <w:spacing w:val="-2"/>
              </w:rPr>
            </w:pPr>
            <w:r>
              <w:rPr>
                <w:b/>
                <w:spacing w:val="-2"/>
              </w:rPr>
              <w:t>)</w:t>
            </w:r>
          </w:p>
          <w:p w:rsidR="004C2EE3" w14:paraId="32EB74D3" w14:textId="77777777">
            <w:pPr>
              <w:tabs>
                <w:tab w:val="center" w:pos="4680"/>
              </w:tabs>
              <w:suppressAutoHyphens/>
              <w:rPr>
                <w:b/>
                <w:spacing w:val="-2"/>
              </w:rPr>
            </w:pPr>
            <w:r>
              <w:rPr>
                <w:b/>
                <w:spacing w:val="-2"/>
              </w:rPr>
              <w:t>)</w:t>
            </w:r>
          </w:p>
          <w:p w:rsidR="004C2EE3" w14:paraId="0DED9348" w14:textId="77777777">
            <w:pPr>
              <w:tabs>
                <w:tab w:val="center" w:pos="4680"/>
              </w:tabs>
              <w:suppressAutoHyphens/>
              <w:rPr>
                <w:b/>
                <w:spacing w:val="-2"/>
              </w:rPr>
            </w:pPr>
            <w:r>
              <w:rPr>
                <w:b/>
                <w:spacing w:val="-2"/>
              </w:rPr>
              <w:t>)</w:t>
            </w:r>
          </w:p>
          <w:p w:rsidR="004C2EE3" w14:paraId="6E37E65A" w14:textId="77777777">
            <w:pPr>
              <w:tabs>
                <w:tab w:val="center" w:pos="4680"/>
              </w:tabs>
              <w:suppressAutoHyphens/>
              <w:rPr>
                <w:b/>
                <w:spacing w:val="-2"/>
              </w:rPr>
            </w:pPr>
            <w:r>
              <w:rPr>
                <w:b/>
                <w:spacing w:val="-2"/>
              </w:rPr>
              <w:t>)</w:t>
            </w:r>
          </w:p>
          <w:p w:rsidR="004C2EE3" w14:paraId="718D098C" w14:textId="77777777">
            <w:pPr>
              <w:tabs>
                <w:tab w:val="center" w:pos="4680"/>
              </w:tabs>
              <w:suppressAutoHyphens/>
              <w:rPr>
                <w:spacing w:val="-2"/>
              </w:rPr>
            </w:pPr>
            <w:r>
              <w:rPr>
                <w:b/>
                <w:spacing w:val="-2"/>
              </w:rPr>
              <w:t>)</w:t>
            </w:r>
          </w:p>
        </w:tc>
        <w:tc>
          <w:tcPr>
            <w:tcW w:w="4248" w:type="dxa"/>
          </w:tcPr>
          <w:p w:rsidR="004C2EE3" w14:paraId="4AB42DA1" w14:textId="77777777">
            <w:pPr>
              <w:tabs>
                <w:tab w:val="center" w:pos="4680"/>
              </w:tabs>
              <w:suppressAutoHyphens/>
              <w:rPr>
                <w:spacing w:val="-2"/>
              </w:rPr>
            </w:pPr>
          </w:p>
          <w:p w:rsidR="004C2EE3" w14:paraId="7D47575F" w14:textId="77777777">
            <w:pPr>
              <w:pStyle w:val="TOAHeading"/>
              <w:tabs>
                <w:tab w:val="center" w:pos="4680"/>
                <w:tab w:val="clear" w:pos="9360"/>
              </w:tabs>
              <w:rPr>
                <w:spacing w:val="-2"/>
              </w:rPr>
            </w:pPr>
          </w:p>
          <w:p w:rsidR="004C2EE3" w14:paraId="39485F01" w14:textId="7267E0B0">
            <w:pPr>
              <w:tabs>
                <w:tab w:val="center" w:pos="4680"/>
              </w:tabs>
              <w:suppressAutoHyphens/>
              <w:rPr>
                <w:spacing w:val="-2"/>
              </w:rPr>
            </w:pPr>
            <w:r>
              <w:rPr>
                <w:spacing w:val="-2"/>
              </w:rPr>
              <w:t xml:space="preserve">MX Group </w:t>
            </w:r>
            <w:r w:rsidR="005E3CAE">
              <w:rPr>
                <w:spacing w:val="-2"/>
              </w:rPr>
              <w:t>29</w:t>
            </w:r>
          </w:p>
          <w:p w:rsidR="00224FAD" w14:paraId="25981581" w14:textId="77777777">
            <w:pPr>
              <w:tabs>
                <w:tab w:val="center" w:pos="4680"/>
              </w:tabs>
              <w:suppressAutoHyphens/>
              <w:rPr>
                <w:spacing w:val="-2"/>
              </w:rPr>
            </w:pPr>
          </w:p>
          <w:p w:rsidR="00224FAD" w14:paraId="6E2C317A" w14:textId="3E6B3367">
            <w:pPr>
              <w:tabs>
                <w:tab w:val="center" w:pos="4680"/>
              </w:tabs>
              <w:suppressAutoHyphens/>
              <w:rPr>
                <w:spacing w:val="-2"/>
              </w:rPr>
            </w:pPr>
            <w:r>
              <w:rPr>
                <w:spacing w:val="-2"/>
              </w:rPr>
              <w:t>File No. 000016</w:t>
            </w:r>
            <w:r w:rsidR="005E3CAE">
              <w:rPr>
                <w:spacing w:val="-2"/>
              </w:rPr>
              <w:t>7741</w:t>
            </w:r>
          </w:p>
          <w:p w:rsidR="00224FAD" w14:paraId="34EFC834" w14:textId="081499F7">
            <w:pPr>
              <w:tabs>
                <w:tab w:val="center" w:pos="4680"/>
              </w:tabs>
              <w:suppressAutoHyphens/>
              <w:rPr>
                <w:spacing w:val="-2"/>
              </w:rPr>
            </w:pPr>
            <w:r>
              <w:rPr>
                <w:spacing w:val="-2"/>
              </w:rPr>
              <w:t>File No. 0000167</w:t>
            </w:r>
            <w:r w:rsidR="005E3CAE">
              <w:rPr>
                <w:spacing w:val="-2"/>
              </w:rPr>
              <w:t>868</w:t>
            </w:r>
          </w:p>
        </w:tc>
      </w:tr>
    </w:tbl>
    <w:p w:rsidR="004C2EE3" w:rsidP="0070224F" w14:paraId="52006730" w14:textId="77777777"/>
    <w:p w:rsidR="00841AB1" w:rsidP="00F021FA" w14:paraId="74839059" w14:textId="612A4221">
      <w:pPr>
        <w:pStyle w:val="StyleBoldCentered"/>
      </w:pPr>
      <w:r>
        <w:t>memorandum opinion and order</w:t>
      </w:r>
    </w:p>
    <w:p w:rsidR="004C2EE3" w14:paraId="7645A675" w14:textId="77777777">
      <w:pPr>
        <w:tabs>
          <w:tab w:val="left" w:pos="-720"/>
        </w:tabs>
        <w:suppressAutoHyphens/>
        <w:spacing w:line="227" w:lineRule="auto"/>
        <w:rPr>
          <w:spacing w:val="-2"/>
        </w:rPr>
      </w:pPr>
    </w:p>
    <w:p w:rsidR="004C2EE3" w:rsidP="00133F79" w14:paraId="690FC7B8" w14:textId="3E42CF70">
      <w:pPr>
        <w:tabs>
          <w:tab w:val="left" w:pos="720"/>
          <w:tab w:val="right" w:pos="9360"/>
        </w:tabs>
        <w:suppressAutoHyphens/>
        <w:spacing w:line="227" w:lineRule="auto"/>
        <w:rPr>
          <w:spacing w:val="-2"/>
        </w:rPr>
      </w:pPr>
      <w:r>
        <w:rPr>
          <w:b/>
          <w:spacing w:val="-2"/>
        </w:rPr>
        <w:t xml:space="preserve">Adopted:  </w:t>
      </w:r>
      <w:r w:rsidR="006745AA">
        <w:rPr>
          <w:b/>
          <w:spacing w:val="-2"/>
        </w:rPr>
        <w:t>April 19,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745AA">
        <w:rPr>
          <w:b/>
          <w:spacing w:val="-2"/>
        </w:rPr>
        <w:t>April 19, 2022</w:t>
      </w:r>
    </w:p>
    <w:p w:rsidR="00822CE0" w14:paraId="1D6DC95E" w14:textId="77777777"/>
    <w:p w:rsidR="004C2EE3" w:rsidP="0023478C" w14:paraId="17D2E7BA" w14:textId="1003BF21">
      <w:pPr>
        <w:widowControl/>
        <w:rPr>
          <w:spacing w:val="-2"/>
        </w:rPr>
      </w:pPr>
      <w:r>
        <w:t xml:space="preserve">By </w:t>
      </w:r>
      <w:r w:rsidR="004E4A22">
        <w:t>the</w:t>
      </w:r>
      <w:r w:rsidR="002A2D2E">
        <w:t xml:space="preserve"> </w:t>
      </w:r>
      <w:r w:rsidR="008F7892">
        <w:rPr>
          <w:spacing w:val="-2"/>
        </w:rPr>
        <w:t>Commission</w:t>
      </w:r>
      <w:r>
        <w:rPr>
          <w:spacing w:val="-2"/>
        </w:rPr>
        <w:t>:</w:t>
      </w:r>
    </w:p>
    <w:p w:rsidR="00822CE0" w:rsidP="0023478C" w14:paraId="1110967A" w14:textId="77777777">
      <w:pPr>
        <w:widowControl/>
        <w:rPr>
          <w:spacing w:val="-2"/>
        </w:rPr>
      </w:pPr>
    </w:p>
    <w:p w:rsidR="00412FC5" w:rsidP="0023478C" w14:paraId="446979DF" w14:textId="6AB0897F">
      <w:pPr>
        <w:pStyle w:val="Heading1"/>
        <w:widowControl/>
      </w:pPr>
      <w:r>
        <w:t>BACKGROUND</w:t>
      </w:r>
    </w:p>
    <w:p w:rsidR="00CF71A1" w:rsidP="0023478C" w14:paraId="32AC64ED" w14:textId="071A9A79">
      <w:pPr>
        <w:pStyle w:val="ParaNum"/>
        <w:widowControl/>
      </w:pPr>
      <w:r>
        <w:t>We have before us</w:t>
      </w:r>
      <w:r>
        <w:t xml:space="preserve"> for comparative consideration two mutually exclusive (MX) applications for new noncommercial educational (NCE) FM station construction permits.</w:t>
      </w:r>
      <w:r>
        <w:rPr>
          <w:rStyle w:val="FootnoteReference"/>
        </w:rPr>
        <w:footnoteReference w:id="3"/>
      </w:r>
      <w:r>
        <w:t xml:space="preserve">  By this Memorandum Opinion and Order (Order), </w:t>
      </w:r>
      <w:r w:rsidR="00FC74CD">
        <w:t>we perform</w:t>
      </w:r>
      <w:r>
        <w:t xml:space="preserve"> a threshold Tribal Priority analysis</w:t>
      </w:r>
      <w:r w:rsidR="002E3E67">
        <w:t>, including granting a requested waiver,</w:t>
      </w:r>
      <w:r>
        <w:t xml:space="preserve"> and </w:t>
      </w:r>
      <w:r w:rsidR="00FC74CD">
        <w:t>identify</w:t>
      </w:r>
      <w:r>
        <w:t xml:space="preserve"> the </w:t>
      </w:r>
      <w:r w:rsidR="002E3E67">
        <w:t>Southern California Tribal Chairmen’s Association</w:t>
      </w:r>
      <w:r>
        <w:t xml:space="preserve"> (</w:t>
      </w:r>
      <w:r w:rsidR="002E3E67">
        <w:t>SCTCA</w:t>
      </w:r>
      <w:r>
        <w:t xml:space="preserve">), proposing a new NCE FM station at </w:t>
      </w:r>
      <w:r w:rsidR="002E3E67">
        <w:t>Warner Springs, California</w:t>
      </w:r>
      <w:r>
        <w:t>,</w:t>
      </w:r>
      <w:r>
        <w:rPr>
          <w:rStyle w:val="FootnoteReference"/>
        </w:rPr>
        <w:footnoteReference w:id="4"/>
      </w:r>
      <w:r>
        <w:t xml:space="preserve"> as the tentative selectee in MX Group </w:t>
      </w:r>
      <w:r w:rsidR="002E3E67">
        <w:t>29</w:t>
      </w:r>
      <w:r>
        <w:t>.</w:t>
      </w:r>
      <w:r>
        <w:rPr>
          <w:rStyle w:val="FootnoteReference"/>
        </w:rPr>
        <w:footnoteReference w:id="5"/>
      </w:r>
      <w:r>
        <w:t xml:space="preserve">  Petitions to deny the application of this tentative selectee must be filed within 30 days of the date of release of this Order.</w:t>
      </w:r>
      <w:r>
        <w:rPr>
          <w:rStyle w:val="FootnoteReference"/>
        </w:rPr>
        <w:footnoteReference w:id="6"/>
      </w:r>
    </w:p>
    <w:p w:rsidR="00196E86" w:rsidP="0023478C" w14:paraId="28223857" w14:textId="6C5966A4">
      <w:pPr>
        <w:pStyle w:val="ParaNum"/>
        <w:widowControl/>
      </w:pPr>
      <w:r w:rsidRPr="00AE09DF">
        <w:t xml:space="preserve">The Commission accepts applications for new NCE stations during specified filing windows announced by public notice.  Due to the finite nature </w:t>
      </w:r>
      <w:r>
        <w:t xml:space="preserve">of </w:t>
      </w:r>
      <w:r w:rsidRPr="00AE09DF">
        <w:t xml:space="preserve">and high demand for spectrum, the Commission cannot authorize an NCE station to every qualified applicant.  Accordingly, after the close of an NCE filing window, the Commission examines all timely and complete applications to determine </w:t>
      </w:r>
      <w:r w:rsidRPr="00AE09DF">
        <w:t>whether any two or more proposals are mutually exclusive.</w:t>
      </w:r>
      <w:r>
        <w:rPr>
          <w:vertAlign w:val="superscript"/>
        </w:rPr>
        <w:footnoteReference w:id="7"/>
      </w:r>
      <w:r w:rsidRPr="00AE09DF">
        <w:t xml:space="preserve">  </w:t>
      </w:r>
      <w:r w:rsidRPr="0001459D" w:rsidR="0001459D">
        <w:t>Due to the noncommercial nature of the NCE service, mutually exclusive applications for new station licenses are not subject to auction, but are resolved by applying comparative procedures.</w:t>
      </w:r>
      <w:r>
        <w:rPr>
          <w:rStyle w:val="FootnoteReference"/>
        </w:rPr>
        <w:footnoteReference w:id="8"/>
      </w:r>
      <w:r w:rsidRPr="0001459D" w:rsidR="0001459D">
        <w:t xml:space="preserve">  Specifically,</w:t>
      </w:r>
      <w:r w:rsidR="0001459D">
        <w:t xml:space="preserve"> </w:t>
      </w:r>
      <w:r>
        <w:t xml:space="preserve">when applicants in an MX group propose to serve different communities, the </w:t>
      </w:r>
      <w:r w:rsidR="00792B44">
        <w:t>Commission</w:t>
      </w:r>
      <w:r>
        <w:t xml:space="preserve"> first performs a threshold “fair distribution” analysis</w:t>
      </w:r>
      <w:r>
        <w:rPr>
          <w:rStyle w:val="FootnoteReference"/>
        </w:rPr>
        <w:footnoteReference w:id="9"/>
      </w:r>
      <w:r>
        <w:t xml:space="preserve"> to ascertain whether grant of any of the applications would best further the objectives set forth in section 307(b) of the Communications Act of 1934, as amended (Section 307(b))</w:t>
      </w:r>
      <w:r w:rsidR="00D504D6">
        <w:t>, to “provide a fair, efficient, and equitable distribution” of broadcast service among the states and communities</w:t>
      </w:r>
      <w:r>
        <w:t>.</w:t>
      </w:r>
      <w:r>
        <w:rPr>
          <w:rStyle w:val="FootnoteReference"/>
        </w:rPr>
        <w:footnoteReference w:id="10"/>
      </w:r>
      <w:r>
        <w:t xml:space="preserve">  </w:t>
      </w:r>
      <w:r w:rsidR="00D504D6">
        <w:t xml:space="preserve">If no MX applicant </w:t>
      </w:r>
      <w:r w:rsidR="00A76457">
        <w:t>prevails under the fair distribution analysis,</w:t>
      </w:r>
      <w:r>
        <w:rPr>
          <w:rStyle w:val="FootnoteReference"/>
        </w:rPr>
        <w:footnoteReference w:id="11"/>
      </w:r>
      <w:r w:rsidR="00A76457">
        <w:t xml:space="preserve"> </w:t>
      </w:r>
      <w:r w:rsidRPr="00AE09DF">
        <w:t>the Commission uses</w:t>
      </w:r>
      <w:r w:rsidR="00A76457">
        <w:t xml:space="preserve"> </w:t>
      </w:r>
      <w:r w:rsidRPr="00AE09DF">
        <w:t xml:space="preserve">a point system to select among the </w:t>
      </w:r>
      <w:r w:rsidR="00E573C8">
        <w:t>MX</w:t>
      </w:r>
      <w:r w:rsidRPr="00AE09DF">
        <w:t xml:space="preserve"> applications.</w:t>
      </w:r>
      <w:r>
        <w:rPr>
          <w:vertAlign w:val="superscript"/>
        </w:rPr>
        <w:footnoteReference w:id="12"/>
      </w:r>
    </w:p>
    <w:p w:rsidR="00966D56" w:rsidP="0023478C" w14:paraId="1B3F1FBA" w14:textId="548B3F5A">
      <w:pPr>
        <w:pStyle w:val="ParaNum"/>
        <w:widowControl/>
      </w:pPr>
      <w:r>
        <w:t>MX Group 29</w:t>
      </w:r>
      <w:r w:rsidR="00CF71A1">
        <w:t xml:space="preserve"> consists of applications that were filed in November 2021, during the filing window for NCE FM applications.</w:t>
      </w:r>
      <w:r>
        <w:rPr>
          <w:rStyle w:val="FootnoteReference"/>
        </w:rPr>
        <w:footnoteReference w:id="13"/>
      </w:r>
      <w:r w:rsidR="00CF71A1">
        <w:t xml:space="preserve">  In addition to </w:t>
      </w:r>
      <w:r w:rsidR="002E3E67">
        <w:t>SCTCA</w:t>
      </w:r>
      <w:r w:rsidR="00CF71A1">
        <w:t xml:space="preserve">, MX Group </w:t>
      </w:r>
      <w:r w:rsidR="002E3E67">
        <w:t>29</w:t>
      </w:r>
      <w:r w:rsidR="00CF71A1">
        <w:t xml:space="preserve"> includes </w:t>
      </w:r>
      <w:r w:rsidR="002E3E67">
        <w:t>CEJ</w:t>
      </w:r>
      <w:r w:rsidR="00CF71A1">
        <w:t xml:space="preserve">, which proposes a new NCE FM station at </w:t>
      </w:r>
      <w:r w:rsidR="002E3E67">
        <w:t>Ramona, California</w:t>
      </w:r>
      <w:r w:rsidR="00CF71A1">
        <w:t>.</w:t>
      </w:r>
      <w:r>
        <w:rPr>
          <w:rStyle w:val="FootnoteReference"/>
        </w:rPr>
        <w:footnoteReference w:id="14"/>
      </w:r>
      <w:r w:rsidR="00CF71A1">
        <w:t xml:space="preserve">  These applicants have had an opportunity to settle among themselves,</w:t>
      </w:r>
      <w:r>
        <w:rPr>
          <w:rStyle w:val="FootnoteReference"/>
        </w:rPr>
        <w:footnoteReference w:id="15"/>
      </w:r>
      <w:r w:rsidR="00CF71A1">
        <w:t xml:space="preserve"> and are now subject to </w:t>
      </w:r>
      <w:r w:rsidR="003F4D8F">
        <w:t>the</w:t>
      </w:r>
      <w:r w:rsidR="00CF71A1">
        <w:t xml:space="preserve"> simplified, comparative process codified in Part 73, Subpart K, of the Commission’s rules.</w:t>
      </w:r>
      <w:r>
        <w:rPr>
          <w:rStyle w:val="FootnoteReference"/>
        </w:rPr>
        <w:footnoteReference w:id="16"/>
      </w:r>
      <w:r w:rsidR="00CF71A1">
        <w:t xml:space="preserve">  During the first step of this process the </w:t>
      </w:r>
      <w:r w:rsidR="00B66518">
        <w:t>Commission</w:t>
      </w:r>
      <w:r w:rsidR="00CF71A1">
        <w:t xml:space="preserve"> uses Tribal Priority criteria, service area population data, and certifications provided by the applicants to perform a threshold fair distribution analysis.</w:t>
      </w:r>
    </w:p>
    <w:p w:rsidR="00987F29" w:rsidP="0023478C" w14:paraId="3A21D1CC" w14:textId="68C6C6F0">
      <w:pPr>
        <w:pStyle w:val="Heading1"/>
        <w:widowControl/>
        <w:rPr>
          <w:b w:val="0"/>
        </w:rPr>
      </w:pPr>
      <w:r>
        <w:rPr>
          <w:b w:val="0"/>
        </w:rPr>
        <w:t>THRESHOLD FAIR DISTRIBUTION PROCEDURES</w:t>
      </w:r>
    </w:p>
    <w:p w:rsidR="00C37DE5" w:rsidP="0023478C" w14:paraId="1F10A9BB" w14:textId="4E74274B">
      <w:pPr>
        <w:pStyle w:val="ParaNum"/>
        <w:widowControl/>
      </w:pPr>
      <w:r>
        <w:t>As discussed above</w:t>
      </w:r>
      <w:r w:rsidR="00CF71A1">
        <w:t>,</w:t>
      </w:r>
      <w:r>
        <w:rPr>
          <w:rStyle w:val="FootnoteReference"/>
        </w:rPr>
        <w:footnoteReference w:id="17"/>
      </w:r>
      <w:r w:rsidR="00CF71A1">
        <w:t xml:space="preserve"> </w:t>
      </w:r>
      <w:r w:rsidR="009C6F56">
        <w:t>we consider</w:t>
      </w:r>
      <w:r w:rsidR="00CF71A1">
        <w:t xml:space="preserve"> the fair distribution of service as a first, or threshold, issue in </w:t>
      </w:r>
      <w:r w:rsidR="009C6F56">
        <w:t>the</w:t>
      </w:r>
      <w:r w:rsidR="00CF71A1">
        <w:t xml:space="preserve"> NCE FM comparative review process.</w:t>
      </w:r>
      <w:r>
        <w:rPr>
          <w:rStyle w:val="FootnoteReference"/>
        </w:rPr>
        <w:footnoteReference w:id="18"/>
      </w:r>
      <w:r w:rsidR="00CF71A1">
        <w:t xml:space="preserve">  Accordingly, when applicants in a mutually exclusive NCE FM group propose to serve different communities, the </w:t>
      </w:r>
      <w:r w:rsidR="00F04C07">
        <w:t>Commission</w:t>
      </w:r>
      <w:r w:rsidR="00CF71A1">
        <w:t xml:space="preserve"> first performs a threshold “fair distribution” analysis to ascertain whether grant of any of the applications would best further the Section 307(b) objective.</w:t>
      </w:r>
      <w:r>
        <w:rPr>
          <w:rStyle w:val="FootnoteReference"/>
        </w:rPr>
        <w:footnoteReference w:id="19"/>
      </w:r>
      <w:r w:rsidR="00CF71A1">
        <w:t xml:space="preserve">  In the first step of the Section 307(b), or fair distribution, analysis, the </w:t>
      </w:r>
      <w:r w:rsidR="00F04C07">
        <w:t>Commission</w:t>
      </w:r>
      <w:r w:rsidR="00CF71A1">
        <w:t xml:space="preserve"> determines whether any of the applicants in the MX group is a federally recognized Native American Tribe or Alaska Native Village proposing to serve Tribal Lands.</w:t>
      </w:r>
      <w:r>
        <w:rPr>
          <w:rStyle w:val="FootnoteReference"/>
        </w:rPr>
        <w:footnoteReference w:id="20"/>
      </w:r>
      <w:r w:rsidR="00CF71A1">
        <w:t xml:space="preserve">  Specifically, an NCE FM applicant is eligible to receive a fair distribution preference (or Section 307(b) preference),</w:t>
      </w:r>
      <w:r>
        <w:rPr>
          <w:rStyle w:val="FootnoteReference"/>
        </w:rPr>
        <w:footnoteReference w:id="21"/>
      </w:r>
      <w:r w:rsidR="00CF71A1">
        <w:t xml:space="preserve"> and ultimately be awarded the construction permit, if it identifies itself as a Tribal Applicant,</w:t>
      </w:r>
      <w:r>
        <w:rPr>
          <w:rStyle w:val="FootnoteReference"/>
        </w:rPr>
        <w:footnoteReference w:id="22"/>
      </w:r>
      <w:r w:rsidR="00CF71A1">
        <w:t xml:space="preserve"> proposes Tribal Coverage,</w:t>
      </w:r>
      <w:r>
        <w:rPr>
          <w:rStyle w:val="FootnoteReference"/>
        </w:rPr>
        <w:footnoteReference w:id="23"/>
      </w:r>
      <w:r w:rsidR="00CF71A1">
        <w:t xml:space="preserve"> and proposes the first reserved channel NCE service owned by any Tribal Applicant at a community of license located on Tribal Lands (the Tribal Priority).</w:t>
      </w:r>
      <w:r>
        <w:rPr>
          <w:rStyle w:val="FootnoteReference"/>
        </w:rPr>
        <w:footnoteReference w:id="24"/>
      </w:r>
      <w:r w:rsidR="00CF71A1">
        <w:t xml:space="preserve">  If only one applicant in an MX group qualifies for the Tribal Priority, its “fair distribution” (Section 307(b)) preference is dispositive,</w:t>
      </w:r>
      <w:r>
        <w:rPr>
          <w:rStyle w:val="FootnoteReference"/>
        </w:rPr>
        <w:footnoteReference w:id="25"/>
      </w:r>
      <w:r w:rsidR="00CF71A1">
        <w:t xml:space="preserve"> </w:t>
      </w:r>
      <w:r w:rsidR="00CF71A1">
        <w:t>and the applicant will be awarded the construction permit.</w:t>
      </w:r>
      <w:r>
        <w:rPr>
          <w:rStyle w:val="FootnoteReference"/>
        </w:rPr>
        <w:footnoteReference w:id="26"/>
      </w:r>
      <w:r w:rsidR="00CF71A1">
        <w:t xml:space="preserve"> </w:t>
      </w:r>
      <w:r w:rsidRPr="0017218D" w:rsidR="00CF71A1">
        <w:rPr>
          <w:sz w:val="20"/>
        </w:rPr>
        <w:t xml:space="preserve"> </w:t>
      </w:r>
      <w:r w:rsidRPr="0017218D" w:rsidR="00CF71A1">
        <w:rPr>
          <w:szCs w:val="22"/>
        </w:rPr>
        <w:t>Each Tribal A</w:t>
      </w:r>
      <w:r w:rsidRPr="0017218D" w:rsidR="00CF71A1">
        <w:rPr>
          <w:szCs w:val="22"/>
          <w:lang w:bidi="he-IL"/>
        </w:rPr>
        <w:t xml:space="preserve">pplicant must support its fair distribution claim with an exhibit demonstrating its qualifications to claim a Tribal Priority. </w:t>
      </w:r>
      <w:r w:rsidR="00CF71A1">
        <w:rPr>
          <w:szCs w:val="22"/>
          <w:lang w:bidi="he-IL"/>
        </w:rPr>
        <w:t xml:space="preserve">Any </w:t>
      </w:r>
      <w:r w:rsidR="00CF71A1">
        <w:t>applicant that receives a Tribal Priority and decisive Section 307(b) preference is required to construct and operate technical facilities substantially as proposed, and cannot downgrade service to the area on which the preference was based for a period of four years of on-air operations.</w:t>
      </w:r>
      <w:r>
        <w:rPr>
          <w:rStyle w:val="FootnoteReference"/>
        </w:rPr>
        <w:footnoteReference w:id="27"/>
      </w:r>
      <w:r w:rsidR="00532AA7">
        <w:rPr>
          <w:szCs w:val="22"/>
          <w:lang w:bidi="he-IL"/>
        </w:rPr>
        <w:t xml:space="preserve">  </w:t>
      </w:r>
    </w:p>
    <w:p w:rsidR="00ED43FD" w:rsidP="0023478C" w14:paraId="059D7B5A" w14:textId="3D524992">
      <w:pPr>
        <w:pStyle w:val="Heading1"/>
        <w:widowControl/>
      </w:pPr>
      <w:r>
        <w:t>ANALYSIS</w:t>
      </w:r>
    </w:p>
    <w:p w:rsidR="00ED43FD" w:rsidRPr="00D22FD5" w:rsidP="0023478C" w14:paraId="18DD2C53" w14:textId="5E3DF71C">
      <w:pPr>
        <w:pStyle w:val="ParaNum"/>
        <w:widowControl/>
      </w:pPr>
      <w:r>
        <w:t xml:space="preserve">In the </w:t>
      </w:r>
      <w:r>
        <w:rPr>
          <w:i/>
        </w:rPr>
        <w:t>Rural Radio</w:t>
      </w:r>
      <w:r>
        <w:rPr>
          <w:iCs/>
        </w:rPr>
        <w:t xml:space="preserve"> proceeding</w:t>
      </w:r>
      <w:r>
        <w:t>,</w:t>
      </w:r>
      <w:r>
        <w:rPr>
          <w:rStyle w:val="FootnoteReference"/>
        </w:rPr>
        <w:footnoteReference w:id="28"/>
      </w:r>
      <w:r>
        <w:t xml:space="preserve"> the Commission concluded that </w:t>
      </w:r>
      <w:r w:rsidR="002B69A2">
        <w:t xml:space="preserve">establishing a Tribal Priority for Native American Tribes and Tribal-owned entities would </w:t>
      </w:r>
      <w:r w:rsidR="002B69A2">
        <w:rPr>
          <w:szCs w:val="22"/>
        </w:rPr>
        <w:t>advance its Section 307(b) goals and serve the public interest by enabling Indian tribal governments to provide radio service tailored to the needs and interests of their local communities that they are uniquely capable of providing.</w:t>
      </w:r>
      <w:r>
        <w:rPr>
          <w:rStyle w:val="FootnoteReference"/>
          <w:szCs w:val="22"/>
        </w:rPr>
        <w:footnoteReference w:id="29"/>
      </w:r>
      <w:r w:rsidR="00CD6875">
        <w:t xml:space="preserve">  The Tribal Priority is available to</w:t>
      </w:r>
      <w:r>
        <w:t xml:space="preserve"> Tribes proposing</w:t>
      </w:r>
      <w:r w:rsidR="00BA51E5">
        <w:t>, among other things,</w:t>
      </w:r>
      <w:r>
        <w:t xml:space="preserve"> the </w:t>
      </w:r>
      <w:r w:rsidR="00BA51E5">
        <w:t>assignment</w:t>
      </w:r>
      <w:r>
        <w:t xml:space="preserve"> of </w:t>
      </w:r>
      <w:r w:rsidR="00BA51E5">
        <w:t xml:space="preserve">reserved band NCE </w:t>
      </w:r>
      <w:r>
        <w:t xml:space="preserve">FM radio </w:t>
      </w:r>
      <w:r w:rsidR="00BA51E5">
        <w:t>stations</w:t>
      </w:r>
      <w:r>
        <w:t xml:space="preserve"> to serve Tribal Lands.</w:t>
      </w:r>
      <w:r>
        <w:rPr>
          <w:rStyle w:val="FootnoteReference"/>
          <w:szCs w:val="22"/>
        </w:rPr>
        <w:footnoteReference w:id="30"/>
      </w:r>
      <w:r>
        <w:t xml:space="preserve">  </w:t>
      </w:r>
      <w:r w:rsidR="00972B9E">
        <w:rPr>
          <w:szCs w:val="22"/>
        </w:rPr>
        <w:t xml:space="preserve">Applicant </w:t>
      </w:r>
      <w:r w:rsidR="009240C7">
        <w:rPr>
          <w:szCs w:val="22"/>
        </w:rPr>
        <w:t>SCTCA</w:t>
      </w:r>
      <w:r>
        <w:rPr>
          <w:szCs w:val="22"/>
        </w:rPr>
        <w:t xml:space="preserve"> </w:t>
      </w:r>
      <w:r w:rsidR="00865A0B">
        <w:rPr>
          <w:szCs w:val="22"/>
        </w:rPr>
        <w:t>states</w:t>
      </w:r>
      <w:r>
        <w:rPr>
          <w:szCs w:val="22"/>
        </w:rPr>
        <w:t xml:space="preserve"> that its proposal </w:t>
      </w:r>
      <w:r w:rsidR="00865A0B">
        <w:rPr>
          <w:szCs w:val="22"/>
        </w:rPr>
        <w:t xml:space="preserve">generally </w:t>
      </w:r>
      <w:r>
        <w:rPr>
          <w:szCs w:val="22"/>
        </w:rPr>
        <w:t xml:space="preserve">meets the requirements established in </w:t>
      </w:r>
      <w:r>
        <w:rPr>
          <w:i/>
          <w:szCs w:val="22"/>
        </w:rPr>
        <w:t>Rural Radio</w:t>
      </w:r>
      <w:r w:rsidR="00BA51E5">
        <w:rPr>
          <w:iCs/>
          <w:szCs w:val="22"/>
        </w:rPr>
        <w:t>, and codified in the rules,</w:t>
      </w:r>
      <w:r>
        <w:rPr>
          <w:rStyle w:val="FootnoteReference"/>
          <w:iCs/>
          <w:szCs w:val="22"/>
        </w:rPr>
        <w:footnoteReference w:id="31"/>
      </w:r>
      <w:r>
        <w:rPr>
          <w:szCs w:val="22"/>
        </w:rPr>
        <w:t xml:space="preserve"> for a Tribal Priority</w:t>
      </w:r>
      <w:r w:rsidR="00865A0B">
        <w:rPr>
          <w:szCs w:val="22"/>
        </w:rPr>
        <w:t>, but that it requires waiver of one of two rules regarding Tribal Coverage</w:t>
      </w:r>
      <w:r>
        <w:rPr>
          <w:szCs w:val="22"/>
        </w:rPr>
        <w:t>.</w:t>
      </w:r>
      <w:r>
        <w:rPr>
          <w:rStyle w:val="FootnoteReference"/>
          <w:szCs w:val="22"/>
        </w:rPr>
        <w:footnoteReference w:id="32"/>
      </w:r>
      <w:r>
        <w:rPr>
          <w:szCs w:val="22"/>
        </w:rPr>
        <w:t xml:space="preserve">  Specifically, </w:t>
      </w:r>
      <w:r w:rsidR="00E57E85">
        <w:rPr>
          <w:szCs w:val="22"/>
        </w:rPr>
        <w:t xml:space="preserve">SCTCA </w:t>
      </w:r>
      <w:r w:rsidR="00376DBB">
        <w:rPr>
          <w:szCs w:val="22"/>
        </w:rPr>
        <w:t xml:space="preserve">maintains that it </w:t>
      </w:r>
      <w:r w:rsidR="00E57E85">
        <w:rPr>
          <w:szCs w:val="22"/>
        </w:rPr>
        <w:t>is a consortium of Tribal chairmen of a number of Southern California Tribes,</w:t>
      </w:r>
      <w:r>
        <w:rPr>
          <w:rStyle w:val="FootnoteReference"/>
          <w:szCs w:val="22"/>
        </w:rPr>
        <w:footnoteReference w:id="33"/>
      </w:r>
      <w:r w:rsidR="00E57E85">
        <w:rPr>
          <w:szCs w:val="22"/>
        </w:rPr>
        <w:t xml:space="preserve"> and its proposed 60 dBµ contour would cover over 50% of Tribal Lands belonging to Tribes that are members of the consortium.</w:t>
      </w:r>
      <w:r>
        <w:rPr>
          <w:rStyle w:val="FootnoteReference"/>
          <w:szCs w:val="22"/>
        </w:rPr>
        <w:footnoteReference w:id="34"/>
      </w:r>
      <w:r w:rsidR="00E57E85">
        <w:rPr>
          <w:szCs w:val="22"/>
        </w:rPr>
        <w:t xml:space="preserve">  The proposed community of license, Warner Springs, California, is located </w:t>
      </w:r>
      <w:r w:rsidR="00AA328F">
        <w:rPr>
          <w:szCs w:val="22"/>
        </w:rPr>
        <w:t>adjacent to</w:t>
      </w:r>
      <w:r w:rsidR="00E57E85">
        <w:rPr>
          <w:szCs w:val="22"/>
        </w:rPr>
        <w:t xml:space="preserve"> the</w:t>
      </w:r>
      <w:r w:rsidR="0059370C">
        <w:rPr>
          <w:szCs w:val="22"/>
        </w:rPr>
        <w:t xml:space="preserve"> reservation</w:t>
      </w:r>
      <w:r w:rsidR="00E57E85">
        <w:rPr>
          <w:szCs w:val="22"/>
        </w:rPr>
        <w:t xml:space="preserve"> </w:t>
      </w:r>
      <w:r w:rsidR="0059370C">
        <w:rPr>
          <w:szCs w:val="22"/>
        </w:rPr>
        <w:t>(</w:t>
      </w:r>
      <w:r w:rsidR="00E57E85">
        <w:rPr>
          <w:szCs w:val="22"/>
        </w:rPr>
        <w:t>Los Coyotes Reservation</w:t>
      </w:r>
      <w:r w:rsidR="0059370C">
        <w:rPr>
          <w:szCs w:val="22"/>
        </w:rPr>
        <w:t xml:space="preserve">) of the </w:t>
      </w:r>
      <w:r w:rsidRPr="0092427C" w:rsidR="0059370C">
        <w:t>Los Coyotes Band of Cahuilla and Cupeño Indians</w:t>
      </w:r>
      <w:r w:rsidR="0059370C">
        <w:t xml:space="preserve"> (Los Coyotes </w:t>
      </w:r>
      <w:r w:rsidR="0059370C">
        <w:t>Band)</w:t>
      </w:r>
      <w:r w:rsidR="00E57E85">
        <w:rPr>
          <w:szCs w:val="22"/>
        </w:rPr>
        <w:t>,</w:t>
      </w:r>
      <w:r>
        <w:rPr>
          <w:rStyle w:val="FootnoteReference"/>
          <w:szCs w:val="22"/>
        </w:rPr>
        <w:footnoteReference w:id="35"/>
      </w:r>
      <w:r w:rsidR="00E57E85">
        <w:rPr>
          <w:szCs w:val="22"/>
        </w:rPr>
        <w:t xml:space="preserve"> which are Tribal Lands belonging to an SCTCA member Tribe,</w:t>
      </w:r>
      <w:r>
        <w:rPr>
          <w:rStyle w:val="FootnoteReference"/>
          <w:szCs w:val="22"/>
        </w:rPr>
        <w:footnoteReference w:id="36"/>
      </w:r>
      <w:r w:rsidR="00E57E85">
        <w:rPr>
          <w:szCs w:val="22"/>
        </w:rPr>
        <w:t xml:space="preserve"> and is the first Tribal-owned NCE service at Warner Springs.</w:t>
      </w:r>
      <w:r>
        <w:rPr>
          <w:rStyle w:val="FootnoteReference"/>
          <w:szCs w:val="22"/>
        </w:rPr>
        <w:footnoteReference w:id="37"/>
      </w:r>
      <w:r w:rsidR="00E57E85">
        <w:rPr>
          <w:szCs w:val="22"/>
        </w:rPr>
        <w:t xml:space="preserve">  </w:t>
      </w:r>
      <w:r w:rsidR="00FA60E4">
        <w:rPr>
          <w:szCs w:val="22"/>
        </w:rPr>
        <w:t xml:space="preserve">However, with regard to the Tribal Coverage criterion, </w:t>
      </w:r>
      <w:r w:rsidR="00865A0B">
        <w:rPr>
          <w:szCs w:val="22"/>
        </w:rPr>
        <w:t xml:space="preserve">SCTCA requests waiver of the </w:t>
      </w:r>
      <w:r w:rsidR="00625873">
        <w:rPr>
          <w:szCs w:val="22"/>
        </w:rPr>
        <w:t xml:space="preserve">requirement that at least 50% of the proposed 60 dBµ contour </w:t>
      </w:r>
      <w:r w:rsidR="000547C5">
        <w:rPr>
          <w:szCs w:val="22"/>
        </w:rPr>
        <w:t>be comprised of</w:t>
      </w:r>
      <w:r w:rsidR="00625873">
        <w:rPr>
          <w:szCs w:val="22"/>
        </w:rPr>
        <w:t xml:space="preserve"> the applicant’s Tribal Lands,</w:t>
      </w:r>
      <w:r>
        <w:rPr>
          <w:rStyle w:val="FootnoteReference"/>
          <w:szCs w:val="22"/>
        </w:rPr>
        <w:footnoteReference w:id="38"/>
      </w:r>
      <w:r w:rsidR="00625873">
        <w:rPr>
          <w:szCs w:val="22"/>
        </w:rPr>
        <w:t xml:space="preserve"> or of the </w:t>
      </w:r>
      <w:r w:rsidR="005038D2">
        <w:rPr>
          <w:szCs w:val="22"/>
        </w:rPr>
        <w:t xml:space="preserve">alternative </w:t>
      </w:r>
      <w:r w:rsidR="00625873">
        <w:rPr>
          <w:szCs w:val="22"/>
        </w:rPr>
        <w:t xml:space="preserve">requirement that the proposed 60 dBµ contour cover 50% </w:t>
      </w:r>
      <w:r w:rsidR="00C64B36">
        <w:rPr>
          <w:szCs w:val="22"/>
        </w:rPr>
        <w:t xml:space="preserve">or more </w:t>
      </w:r>
      <w:r w:rsidR="00625873">
        <w:rPr>
          <w:szCs w:val="22"/>
        </w:rPr>
        <w:t>of the applicant’s Tribal Lands, and that it meet population coverage requirements.</w:t>
      </w:r>
      <w:r>
        <w:rPr>
          <w:rStyle w:val="FootnoteReference"/>
          <w:szCs w:val="22"/>
        </w:rPr>
        <w:footnoteReference w:id="39"/>
      </w:r>
      <w:r w:rsidR="00625873">
        <w:rPr>
          <w:szCs w:val="22"/>
        </w:rPr>
        <w:t xml:space="preserve">  </w:t>
      </w:r>
      <w:r w:rsidRPr="009D494A" w:rsidR="00E57E85">
        <w:rPr>
          <w:szCs w:val="22"/>
        </w:rPr>
        <w:t>The</w:t>
      </w:r>
      <w:r w:rsidRPr="009D494A" w:rsidR="005C06B2">
        <w:rPr>
          <w:szCs w:val="22"/>
        </w:rPr>
        <w:t xml:space="preserve"> proposed 60 dBµ contour would not </w:t>
      </w:r>
      <w:r w:rsidRPr="009D494A" w:rsidR="00806CD4">
        <w:rPr>
          <w:szCs w:val="22"/>
        </w:rPr>
        <w:t>serve at least</w:t>
      </w:r>
      <w:r w:rsidRPr="009D494A" w:rsidR="005C06B2">
        <w:rPr>
          <w:szCs w:val="22"/>
        </w:rPr>
        <w:t xml:space="preserve"> 2,000 </w:t>
      </w:r>
      <w:r w:rsidRPr="009D494A" w:rsidR="001C0BDD">
        <w:rPr>
          <w:szCs w:val="22"/>
        </w:rPr>
        <w:t>people living</w:t>
      </w:r>
      <w:r w:rsidRPr="009D494A" w:rsidR="00806CD4">
        <w:rPr>
          <w:szCs w:val="22"/>
        </w:rPr>
        <w:t xml:space="preserve"> </w:t>
      </w:r>
      <w:r w:rsidRPr="009D494A" w:rsidR="005C06B2">
        <w:rPr>
          <w:szCs w:val="22"/>
        </w:rPr>
        <w:t xml:space="preserve">on Tribal Lands, nor would the </w:t>
      </w:r>
      <w:r w:rsidRPr="009D494A" w:rsidR="001558DD">
        <w:rPr>
          <w:szCs w:val="22"/>
        </w:rPr>
        <w:t xml:space="preserve">total </w:t>
      </w:r>
      <w:r w:rsidRPr="009D494A" w:rsidR="005C06B2">
        <w:rPr>
          <w:szCs w:val="22"/>
        </w:rPr>
        <w:t xml:space="preserve">population on Tribal Lands </w:t>
      </w:r>
      <w:r w:rsidRPr="009D494A" w:rsidR="001558DD">
        <w:rPr>
          <w:szCs w:val="22"/>
        </w:rPr>
        <w:t>residing within the station’s service contour constitute at least 50% of the total covered population</w:t>
      </w:r>
      <w:r w:rsidRPr="009D494A" w:rsidR="005C06B2">
        <w:rPr>
          <w:szCs w:val="22"/>
        </w:rPr>
        <w:t>.</w:t>
      </w:r>
      <w:r w:rsidR="005C06B2">
        <w:rPr>
          <w:szCs w:val="22"/>
        </w:rPr>
        <w:t xml:space="preserve">  According to SCTCA, </w:t>
      </w:r>
      <w:r w:rsidR="000F725E">
        <w:rPr>
          <w:szCs w:val="22"/>
        </w:rPr>
        <w:t>although there are more than 30 Tribal reservations in San Diego and Riverside Counties, California—more than in any state in the United States—even assuming the most restrictive signal</w:t>
      </w:r>
      <w:r w:rsidR="00FA0C20">
        <w:rPr>
          <w:szCs w:val="22"/>
        </w:rPr>
        <w:t>,</w:t>
      </w:r>
      <w:r w:rsidR="000F725E">
        <w:rPr>
          <w:szCs w:val="22"/>
        </w:rPr>
        <w:t xml:space="preserve"> none of the California reservations could meet the population standards in section 73.7000 for </w:t>
      </w:r>
      <w:r w:rsidR="005E07C0">
        <w:rPr>
          <w:szCs w:val="22"/>
        </w:rPr>
        <w:t xml:space="preserve">the </w:t>
      </w:r>
      <w:r w:rsidR="000F725E">
        <w:rPr>
          <w:szCs w:val="22"/>
        </w:rPr>
        <w:t>Tribal Coverage</w:t>
      </w:r>
      <w:r w:rsidR="005E07C0">
        <w:rPr>
          <w:szCs w:val="22"/>
        </w:rPr>
        <w:t xml:space="preserve"> criterion</w:t>
      </w:r>
      <w:r w:rsidR="000F725E">
        <w:rPr>
          <w:szCs w:val="22"/>
        </w:rPr>
        <w:t>, owing to “small size and native population dilution within surrounding areas.”</w:t>
      </w:r>
      <w:r>
        <w:rPr>
          <w:rStyle w:val="FootnoteReference"/>
          <w:szCs w:val="22"/>
        </w:rPr>
        <w:footnoteReference w:id="40"/>
      </w:r>
    </w:p>
    <w:p w:rsidR="00424A8F" w:rsidP="0023478C" w14:paraId="2FFE4B35" w14:textId="734E0A5F">
      <w:pPr>
        <w:pStyle w:val="ParaNum"/>
        <w:widowControl/>
      </w:pPr>
      <w:bookmarkStart w:id="0" w:name="_Hlk99095609"/>
      <w:r>
        <w:t xml:space="preserve">A waiver is appropriate </w:t>
      </w:r>
      <w:r w:rsidRPr="00382164" w:rsidR="000A3899">
        <w:rPr>
          <w:szCs w:val="22"/>
        </w:rPr>
        <w:t>only if both (1) special circumstances warrant a deviation from the general rule, and (2) such deviation better serves the public interest.</w:t>
      </w:r>
      <w:r>
        <w:rPr>
          <w:rStyle w:val="FootnoteReference"/>
          <w:sz w:val="22"/>
          <w:szCs w:val="22"/>
        </w:rPr>
        <w:footnoteReference w:id="41"/>
      </w:r>
      <w:r w:rsidRPr="00382164" w:rsidR="000A3899">
        <w:rPr>
          <w:szCs w:val="22"/>
        </w:rPr>
        <w:t xml:space="preserve"> </w:t>
      </w:r>
      <w:r w:rsidRPr="004F2529" w:rsidR="000A3899">
        <w:t xml:space="preserve"> </w:t>
      </w:r>
      <w:r w:rsidRPr="004F2529" w:rsidR="007A3509">
        <w:t>Generally, the Commission may waive any rule for good cause shown</w:t>
      </w:r>
      <w:r>
        <w:rPr>
          <w:vertAlign w:val="superscript"/>
        </w:rPr>
        <w:footnoteReference w:id="42"/>
      </w:r>
      <w:r w:rsidRPr="004F2529" w:rsidR="007A3509">
        <w:t xml:space="preserve"> and, in making this determination, may take into account considerations </w:t>
      </w:r>
      <w:r w:rsidR="00C73214">
        <w:t xml:space="preserve">such as </w:t>
      </w:r>
      <w:r>
        <w:t>hardship, equity, or more effective implementation of overall policy on an individual basis</w:t>
      </w:r>
      <w:bookmarkEnd w:id="0"/>
      <w:r w:rsidRPr="003A72DF">
        <w:t>.</w:t>
      </w:r>
      <w:r>
        <w:rPr>
          <w:rStyle w:val="FootnoteReference"/>
        </w:rPr>
        <w:footnoteReference w:id="43"/>
      </w:r>
      <w:r w:rsidRPr="00E57FCB">
        <w:t xml:space="preserve">  </w:t>
      </w:r>
      <w:r w:rsidR="003E38B0">
        <w:t xml:space="preserve">The </w:t>
      </w:r>
      <w:r w:rsidR="00B117FD">
        <w:t>Tribal Coverage criteria, requiring</w:t>
      </w:r>
      <w:r w:rsidR="003E38B0">
        <w:t xml:space="preserve"> that the </w:t>
      </w:r>
      <w:r w:rsidRPr="009D494A" w:rsidR="00382164">
        <w:rPr>
          <w:szCs w:val="22"/>
        </w:rPr>
        <w:t>total population on Tribal Lands residing within the station’s service contour constitute at least 50% of the total covered population</w:t>
      </w:r>
      <w:r w:rsidR="00382164">
        <w:t xml:space="preserve"> is designed “to ensure that a facility qualifying for the Tribal Priority is primarily used for its intended purpose, namely</w:t>
      </w:r>
      <w:r w:rsidR="00930037">
        <w:t>,</w:t>
      </w:r>
      <w:r w:rsidR="00382164">
        <w:t xml:space="preserve"> to assist Tribes in their mission of promulgating </w:t>
      </w:r>
      <w:r w:rsidRPr="0054501D" w:rsidR="00930037">
        <w:rPr>
          <w:szCs w:val="22"/>
        </w:rPr>
        <w:t>Tribal language and culture, promoting self-governance, and serving the specific needs</w:t>
      </w:r>
      <w:r w:rsidR="00930037">
        <w:rPr>
          <w:szCs w:val="22"/>
        </w:rPr>
        <w:t xml:space="preserve"> </w:t>
      </w:r>
      <w:r w:rsidRPr="0054501D" w:rsidR="00930037">
        <w:rPr>
          <w:szCs w:val="22"/>
        </w:rPr>
        <w:t>of Tribal communities</w:t>
      </w:r>
      <w:r w:rsidR="00930037">
        <w:rPr>
          <w:szCs w:val="22"/>
        </w:rPr>
        <w:t>.”</w:t>
      </w:r>
      <w:r>
        <w:rPr>
          <w:rStyle w:val="FootnoteReference"/>
          <w:szCs w:val="22"/>
        </w:rPr>
        <w:footnoteReference w:id="44"/>
      </w:r>
      <w:r w:rsidR="00930037">
        <w:rPr>
          <w:szCs w:val="22"/>
        </w:rPr>
        <w:t xml:space="preserve"> </w:t>
      </w:r>
      <w:r w:rsidR="00930037">
        <w:t xml:space="preserve"> </w:t>
      </w:r>
      <w:r>
        <w:t>Additionally, the Commission established that a station claiming the Tribal Priority must be located on Tribal Lands</w:t>
      </w:r>
      <w:r w:rsidR="005E7B41">
        <w:t>, in order to tie the preference to the needs of Tribal communities</w:t>
      </w:r>
      <w:r>
        <w:t>.</w:t>
      </w:r>
      <w:r>
        <w:rPr>
          <w:rStyle w:val="FootnoteReference"/>
        </w:rPr>
        <w:footnoteReference w:id="45"/>
      </w:r>
      <w:r>
        <w:t xml:space="preserve">  </w:t>
      </w:r>
    </w:p>
    <w:p w:rsidR="00A3388E" w:rsidP="0023478C" w14:paraId="451B0CF4" w14:textId="7CEF4BC6">
      <w:pPr>
        <w:pStyle w:val="ParaNum"/>
        <w:widowControl/>
      </w:pPr>
      <w:r>
        <w:t>I</w:t>
      </w:r>
      <w:r w:rsidRPr="00E57FCB" w:rsidR="00A853FD">
        <w:t xml:space="preserve">n creating the Tribal Priority, </w:t>
      </w:r>
      <w:r w:rsidRPr="005B77C3" w:rsidR="008F5A7D">
        <w:t>the Commission endorsed the formation of tribal consortia for applicant Tribes in the same geographic area, stating that limiting the Tribal Priority to applications proposing facilities that would not cover more than 50% of a non-applicant Tribe’s Tribal lands would have “</w:t>
      </w:r>
      <w:r w:rsidRPr="00382164" w:rsidR="008F5A7D">
        <w:rPr>
          <w:szCs w:val="22"/>
        </w:rPr>
        <w:t>the salutary effect of encouraging different Tribes whose lands are in close proximity to each other to form consortia to establish radio service serving the various Tribes’ needs, as well as share the expense of starting new radio service.”</w:t>
      </w:r>
      <w:r>
        <w:rPr>
          <w:rStyle w:val="FootnoteReference"/>
          <w:szCs w:val="22"/>
        </w:rPr>
        <w:footnoteReference w:id="46"/>
      </w:r>
      <w:r w:rsidRPr="00382164" w:rsidR="008F5A7D">
        <w:rPr>
          <w:szCs w:val="22"/>
        </w:rPr>
        <w:t xml:space="preserve">  </w:t>
      </w:r>
      <w:r w:rsidRPr="00382164" w:rsidR="000B64E2">
        <w:rPr>
          <w:szCs w:val="22"/>
        </w:rPr>
        <w:t>T</w:t>
      </w:r>
      <w:r w:rsidRPr="00E57FCB" w:rsidR="00DC4B05">
        <w:t xml:space="preserve">he Commission </w:t>
      </w:r>
      <w:r w:rsidR="000B64E2">
        <w:t>also</w:t>
      </w:r>
      <w:r w:rsidRPr="00E57FCB" w:rsidR="00DC4B05">
        <w:t xml:space="preserve"> stated that it </w:t>
      </w:r>
      <w:r w:rsidRPr="00E57FCB" w:rsidR="00A853FD">
        <w:t>would</w:t>
      </w:r>
      <w:r w:rsidRPr="00E57FCB" w:rsidR="00DC4B05">
        <w:t xml:space="preserve"> “</w:t>
      </w:r>
      <w:r w:rsidRPr="00382164" w:rsidR="00DC4B05">
        <w:rPr>
          <w:szCs w:val="22"/>
        </w:rPr>
        <w:t>entertain waiver requests from applicants proposing Tribal service to service areas in which the population on Tribal Lands is less than 50 percent of the covered population, in appropriate situations.”</w:t>
      </w:r>
      <w:r>
        <w:rPr>
          <w:rStyle w:val="FootnoteReference"/>
          <w:szCs w:val="22"/>
        </w:rPr>
        <w:footnoteReference w:id="47"/>
      </w:r>
      <w:r w:rsidRPr="00382164" w:rsidR="00DC4B05">
        <w:rPr>
          <w:szCs w:val="22"/>
        </w:rPr>
        <w:t xml:space="preserve"> </w:t>
      </w:r>
      <w:r w:rsidRPr="00382164">
        <w:rPr>
          <w:szCs w:val="22"/>
        </w:rPr>
        <w:t xml:space="preserve"> </w:t>
      </w:r>
      <w:r>
        <w:t xml:space="preserve">The Commission </w:t>
      </w:r>
      <w:r w:rsidRPr="00A924CD">
        <w:t>set forth some of the criteria that may be used in considering whether</w:t>
      </w:r>
      <w:r>
        <w:t xml:space="preserve"> such a</w:t>
      </w:r>
      <w:r w:rsidRPr="00A924CD">
        <w:t xml:space="preserve"> waiver is appropriate:</w:t>
      </w:r>
    </w:p>
    <w:p w:rsidR="000C6332" w:rsidP="0023478C" w14:paraId="2FF8D5FF" w14:textId="59E8DB4C">
      <w:pPr>
        <w:pStyle w:val="ParaNum"/>
        <w:widowControl/>
        <w:numPr>
          <w:ilvl w:val="0"/>
          <w:numId w:val="0"/>
        </w:numPr>
        <w:ind w:left="720"/>
      </w:pPr>
      <w:r w:rsidRPr="00A924CD">
        <w:t>For example, if all the tribes in a densely populated area were to form a consortium to provide service covering all of their Tribal Lands, and the collective population still does not constitute 50 percent of the total covered population, we would be receptive to a showing that the proposed facility is designed to minimize non-Tribal coverage while still providing needed service to Tribal Lands.  We would also consider other factors, such as:  the abundance of non-Tribal radio service in the area; the absence of Tribal radio service in the area; and the absence of other Tribal-owned or Tribal-oriented media of mass communications in the area, or a showing that other such Tribal-directed media are inadequate to serve the needs of Tribal communities.</w:t>
      </w:r>
      <w:r>
        <w:rPr>
          <w:rStyle w:val="FootnoteReference"/>
        </w:rPr>
        <w:footnoteReference w:id="48"/>
      </w:r>
    </w:p>
    <w:p w:rsidR="00A3388E" w:rsidRPr="00A3388E" w:rsidP="0023478C" w14:paraId="0F12D580" w14:textId="75DE78AE">
      <w:pPr>
        <w:pStyle w:val="ParaNum"/>
        <w:widowControl/>
        <w:numPr>
          <w:ilvl w:val="0"/>
          <w:numId w:val="0"/>
        </w:numPr>
      </w:pPr>
      <w:r>
        <w:t xml:space="preserve">The Commission </w:t>
      </w:r>
      <w:r w:rsidRPr="00A3388E" w:rsidR="00BF7CA4">
        <w:rPr>
          <w:szCs w:val="22"/>
        </w:rPr>
        <w:t xml:space="preserve">further noted that </w:t>
      </w:r>
      <w:r w:rsidRPr="00A3388E" w:rsidR="00BF7CA4">
        <w:rPr>
          <w:snapToGrid/>
          <w:color w:val="3F3F3F"/>
          <w:kern w:val="0"/>
          <w:szCs w:val="22"/>
        </w:rPr>
        <w:t>“[a]</w:t>
      </w:r>
      <w:r w:rsidRPr="00A3388E" w:rsidR="000E0102">
        <w:rPr>
          <w:snapToGrid/>
          <w:color w:val="000000"/>
          <w:kern w:val="0"/>
          <w:szCs w:val="22"/>
        </w:rPr>
        <w:t xml:space="preserve"> tribal proposal that covers 50 percent of Tribal Lands but does not meet the 2,000 population threshold may be able to make a persuasive waiver showing if it can demonstrate that it would provide needed service to Tribal Lands and populations that are isolated and sparse.</w:t>
      </w:r>
      <w:r>
        <w:rPr>
          <w:rStyle w:val="FootnoteReference"/>
          <w:snapToGrid/>
          <w:kern w:val="0"/>
          <w:szCs w:val="22"/>
        </w:rPr>
        <w:footnoteReference w:id="49"/>
      </w:r>
      <w:r w:rsidRPr="00A3388E">
        <w:rPr>
          <w:szCs w:val="22"/>
        </w:rPr>
        <w:t xml:space="preserve"> </w:t>
      </w:r>
      <w:r w:rsidR="0025652D">
        <w:rPr>
          <w:szCs w:val="22"/>
        </w:rPr>
        <w:t xml:space="preserve"> </w:t>
      </w:r>
      <w:r w:rsidR="00C47C59">
        <w:rPr>
          <w:szCs w:val="22"/>
        </w:rPr>
        <w:t>SCTCA’s waiver request makes such a showing.</w:t>
      </w:r>
    </w:p>
    <w:p w:rsidR="00FF37ED" w:rsidRPr="00FF37ED" w:rsidP="0023478C" w14:paraId="29719A95" w14:textId="014D4768">
      <w:pPr>
        <w:pStyle w:val="ParaNum"/>
        <w:widowControl/>
      </w:pPr>
      <w:r>
        <w:rPr>
          <w:szCs w:val="22"/>
        </w:rPr>
        <w:t xml:space="preserve">In support of its waiver request, SCTCA points to the </w:t>
      </w:r>
      <w:r w:rsidR="00DC4B05">
        <w:rPr>
          <w:szCs w:val="22"/>
        </w:rPr>
        <w:t xml:space="preserve">above-cited </w:t>
      </w:r>
      <w:r w:rsidRPr="00DC6B04" w:rsidR="00DC6B04">
        <w:rPr>
          <w:i/>
          <w:iCs/>
          <w:szCs w:val="22"/>
        </w:rPr>
        <w:t xml:space="preserve">Rural Radio </w:t>
      </w:r>
      <w:r w:rsidRPr="00DC6B04">
        <w:rPr>
          <w:i/>
          <w:iCs/>
          <w:szCs w:val="22"/>
        </w:rPr>
        <w:t>First Order on Reconsideration</w:t>
      </w:r>
      <w:r w:rsidR="00DC6B04">
        <w:rPr>
          <w:szCs w:val="22"/>
        </w:rPr>
        <w:t>,</w:t>
      </w:r>
      <w:r>
        <w:rPr>
          <w:szCs w:val="22"/>
        </w:rPr>
        <w:t xml:space="preserve"> in </w:t>
      </w:r>
      <w:r w:rsidR="00DC6B04">
        <w:rPr>
          <w:szCs w:val="22"/>
        </w:rPr>
        <w:t xml:space="preserve">which </w:t>
      </w:r>
      <w:r>
        <w:rPr>
          <w:szCs w:val="22"/>
        </w:rPr>
        <w:t>the Commission</w:t>
      </w:r>
      <w:r w:rsidR="00DC6B04">
        <w:rPr>
          <w:szCs w:val="22"/>
        </w:rPr>
        <w:t xml:space="preserve"> specifically recognized the difficulties inherent in applying the Tribal Priority </w:t>
      </w:r>
      <w:r w:rsidRPr="00C3578C" w:rsidR="00DC6B04">
        <w:rPr>
          <w:szCs w:val="22"/>
        </w:rPr>
        <w:t>in San Diego County, California</w:t>
      </w:r>
      <w:r>
        <w:rPr>
          <w:szCs w:val="22"/>
        </w:rPr>
        <w:t>.</w:t>
      </w:r>
      <w:r>
        <w:rPr>
          <w:rStyle w:val="FootnoteReference"/>
          <w:szCs w:val="22"/>
        </w:rPr>
        <w:footnoteReference w:id="50"/>
      </w:r>
      <w:r>
        <w:rPr>
          <w:szCs w:val="22"/>
        </w:rPr>
        <w:t xml:space="preserve">  SCTCA goes on to make several arguments in favor of waiver grant in this case.  We find the following </w:t>
      </w:r>
      <w:r w:rsidRPr="0025652D" w:rsidR="0012249E">
        <w:rPr>
          <w:szCs w:val="22"/>
        </w:rPr>
        <w:t xml:space="preserve">facts asserted by </w:t>
      </w:r>
      <w:r w:rsidRPr="0025652D" w:rsidR="003A2B73">
        <w:rPr>
          <w:szCs w:val="22"/>
        </w:rPr>
        <w:t xml:space="preserve">SCTCA </w:t>
      </w:r>
      <w:r w:rsidRPr="0025652D" w:rsidR="0012249E">
        <w:rPr>
          <w:szCs w:val="22"/>
        </w:rPr>
        <w:t xml:space="preserve"> to be</w:t>
      </w:r>
      <w:r>
        <w:rPr>
          <w:szCs w:val="22"/>
        </w:rPr>
        <w:t xml:space="preserve"> particularly germane to our consideration</w:t>
      </w:r>
      <w:r w:rsidR="0012249E">
        <w:rPr>
          <w:szCs w:val="22"/>
        </w:rPr>
        <w:t xml:space="preserve"> </w:t>
      </w:r>
      <w:r w:rsidRPr="0025652D" w:rsidR="0012249E">
        <w:rPr>
          <w:szCs w:val="22"/>
        </w:rPr>
        <w:t>for the reasons stated below</w:t>
      </w:r>
      <w:r>
        <w:rPr>
          <w:szCs w:val="22"/>
        </w:rPr>
        <w:t>:</w:t>
      </w:r>
    </w:p>
    <w:p w:rsidR="00D22FD5" w:rsidP="0023478C" w14:paraId="22E6047C" w14:textId="58B43722">
      <w:pPr>
        <w:pStyle w:val="ParaNum"/>
        <w:widowControl/>
        <w:numPr>
          <w:ilvl w:val="0"/>
          <w:numId w:val="11"/>
        </w:numPr>
      </w:pPr>
      <w:r>
        <w:t>Depending on the Tribe, a</w:t>
      </w:r>
      <w:r w:rsidR="00FF37ED">
        <w:t xml:space="preserve">nywhere from 30-80% of </w:t>
      </w:r>
      <w:r>
        <w:t xml:space="preserve">SCTCA </w:t>
      </w:r>
      <w:r w:rsidR="00FF37ED">
        <w:t>Tribal members live off-reservation, with the majority of these living on near-reservation lands</w:t>
      </w:r>
      <w:r w:rsidR="00923969">
        <w:t>.</w:t>
      </w:r>
      <w:r>
        <w:rPr>
          <w:rStyle w:val="FootnoteReference"/>
        </w:rPr>
        <w:footnoteReference w:id="51"/>
      </w:r>
      <w:r w:rsidR="00923969">
        <w:t xml:space="preserve"> </w:t>
      </w:r>
      <w:r w:rsidR="00C27AFF">
        <w:t xml:space="preserve"> </w:t>
      </w:r>
      <w:r w:rsidR="00923969">
        <w:t>This indicates that the Tribal population to be served by the proposed station is larger than the</w:t>
      </w:r>
      <w:r w:rsidR="0053546C">
        <w:t xml:space="preserve"> number that would be obtained merely by the population living on reservations.</w:t>
      </w:r>
    </w:p>
    <w:p w:rsidR="00FF37ED" w:rsidP="0023478C" w14:paraId="2257626C" w14:textId="137E216C">
      <w:pPr>
        <w:pStyle w:val="ParaNum"/>
        <w:widowControl/>
        <w:numPr>
          <w:ilvl w:val="0"/>
          <w:numId w:val="11"/>
        </w:numPr>
      </w:pPr>
      <w:r>
        <w:t xml:space="preserve">In viewing population figures for the </w:t>
      </w:r>
      <w:r w:rsidRPr="00AD32DE">
        <w:t>census t</w:t>
      </w:r>
      <w:r>
        <w:t>ract in which the proposed transmitter site is situated, and those census tracts immediately adjacent to and surrounding the transmitter site’s tract, anywhere from 11.1% (Rincon</w:t>
      </w:r>
      <w:r w:rsidR="005E6D7F">
        <w:t xml:space="preserve"> tract</w:t>
      </w:r>
      <w:r>
        <w:t>) to 35.4% (La Jolla/Palomar</w:t>
      </w:r>
      <w:r w:rsidR="005E6D7F">
        <w:t xml:space="preserve"> tract</w:t>
      </w:r>
      <w:r>
        <w:t>) of the populations are Native American</w:t>
      </w:r>
      <w:r w:rsidR="0053546C">
        <w:t>.</w:t>
      </w:r>
      <w:r>
        <w:rPr>
          <w:rStyle w:val="FootnoteReference"/>
        </w:rPr>
        <w:footnoteReference w:id="52"/>
      </w:r>
      <w:r w:rsidR="0053546C">
        <w:t xml:space="preserve">  This, again, strongly suggests that a large number of Tribal citizens live in the area covered by the proposed station’s service contour, but that is not reflected by a simple count of citizens living on Tribal reservations.</w:t>
      </w:r>
    </w:p>
    <w:p w:rsidR="005A247C" w:rsidRPr="00F9199B" w:rsidP="0023478C" w14:paraId="3691A94F" w14:textId="68D4E10F">
      <w:pPr>
        <w:pStyle w:val="ParaNum"/>
        <w:widowControl/>
        <w:numPr>
          <w:ilvl w:val="0"/>
          <w:numId w:val="11"/>
        </w:numPr>
      </w:pPr>
      <w:r w:rsidRPr="000C6332">
        <w:t>No other transmitter site can reach as many reservations, as many Tribal persons, or as high a percentage of Tribal population</w:t>
      </w:r>
      <w:r w:rsidRPr="000C6332" w:rsidR="00CF3586">
        <w:t xml:space="preserve"> in Southern California</w:t>
      </w:r>
      <w:r w:rsidRPr="000C6332">
        <w:t xml:space="preserve"> as the one proposed</w:t>
      </w:r>
      <w:r w:rsidR="0053546C">
        <w:t>.</w:t>
      </w:r>
      <w:r>
        <w:rPr>
          <w:rStyle w:val="FootnoteReference"/>
        </w:rPr>
        <w:footnoteReference w:id="53"/>
      </w:r>
      <w:r w:rsidR="0053546C">
        <w:t xml:space="preserve">  SCTCA shows that it has maximized the Tribal coverage it is able to obtain, within the constraints of geography and spectrum availability.</w:t>
      </w:r>
    </w:p>
    <w:p w:rsidR="005A247C" w:rsidP="0023478C" w14:paraId="4A82B5F5" w14:textId="05DF02CF">
      <w:pPr>
        <w:pStyle w:val="ParaNum"/>
        <w:widowControl/>
        <w:numPr>
          <w:ilvl w:val="0"/>
          <w:numId w:val="11"/>
        </w:numPr>
      </w:pPr>
      <w:r>
        <w:t xml:space="preserve">The proposed station will serve, within its 60 dBµ contour, six member reservations, and could be heard by other reservations just outside the contour.  Additionally, the proposed </w:t>
      </w:r>
      <w:r w:rsidR="00D572AA">
        <w:t>facility</w:t>
      </w:r>
      <w:r>
        <w:t xml:space="preserve"> could serve as a primary</w:t>
      </w:r>
      <w:r w:rsidR="00D572AA">
        <w:t xml:space="preserve"> FM station,</w:t>
      </w:r>
      <w:r>
        <w:t xml:space="preserve"> feeding additional FM translators serving surrounding Tribal Lands</w:t>
      </w:r>
      <w:r w:rsidR="0053546C">
        <w:t>.</w:t>
      </w:r>
      <w:r>
        <w:rPr>
          <w:rStyle w:val="FootnoteReference"/>
        </w:rPr>
        <w:footnoteReference w:id="54"/>
      </w:r>
      <w:r w:rsidR="00985BCA">
        <w:t xml:space="preserve"> </w:t>
      </w:r>
      <w:r w:rsidR="0053546C">
        <w:t xml:space="preserve"> As with showing (c), above, this demonstrates that SCTCA has chosen a site for its proposed stations designed to serve the maximum number of Tribal lands and citizens.</w:t>
      </w:r>
    </w:p>
    <w:p w:rsidR="00985BCA" w:rsidP="0023478C" w14:paraId="41620C0E" w14:textId="14B3E866">
      <w:pPr>
        <w:pStyle w:val="ParaNum"/>
        <w:widowControl/>
        <w:numPr>
          <w:ilvl w:val="0"/>
          <w:numId w:val="11"/>
        </w:numPr>
      </w:pPr>
      <w:r>
        <w:t xml:space="preserve">The only other Tribal-owned radio station in Southern California, KPRI(FM), Pala, California, licensed to the Pala Band of Mission Indians, operates with 0.1 kW Effective Radiated Power (ERP), has an antenna Height Above Average Terrain (HAAT) of </w:t>
      </w:r>
      <w:r w:rsidR="00716698">
        <w:t>-</w:t>
      </w:r>
      <w:r>
        <w:t xml:space="preserve"> 325 meters, and has a contour that does not overlap that of SCTCA’s proposed station.</w:t>
      </w:r>
      <w:r>
        <w:rPr>
          <w:rStyle w:val="FootnoteReference"/>
        </w:rPr>
        <w:footnoteReference w:id="55"/>
      </w:r>
      <w:r w:rsidR="0053546C">
        <w:t xml:space="preserve">  Thus, the only other Tribal-owned radio service in Southern California does not duplicate SCTCA’s proposed service; SCTCA</w:t>
      </w:r>
      <w:r w:rsidR="000D1060">
        <w:t xml:space="preserve"> seeks to expand Tribal service in the region.</w:t>
      </w:r>
    </w:p>
    <w:p w:rsidR="000D6669" w:rsidRPr="00F32878" w:rsidP="0023478C" w14:paraId="6C3ECDEF" w14:textId="549511F3">
      <w:pPr>
        <w:pStyle w:val="ParaNum"/>
        <w:widowControl/>
        <w:rPr>
          <w:szCs w:val="22"/>
        </w:rPr>
      </w:pPr>
      <w:r w:rsidRPr="00840522">
        <w:t xml:space="preserve">We believe that, given the circumstances, </w:t>
      </w:r>
      <w:r w:rsidR="00923969">
        <w:t>it would be extremely difficult for</w:t>
      </w:r>
      <w:r w:rsidRPr="00840522">
        <w:t xml:space="preserve"> </w:t>
      </w:r>
      <w:r w:rsidRPr="008179CB">
        <w:t xml:space="preserve">a Tribe or Tribal consortium </w:t>
      </w:r>
      <w:r w:rsidR="00923969">
        <w:t>to</w:t>
      </w:r>
      <w:r w:rsidRPr="008179CB" w:rsidR="00923969">
        <w:t xml:space="preserve"> </w:t>
      </w:r>
      <w:r w:rsidRPr="008179CB">
        <w:t xml:space="preserve">claim a Tribal Priority in this area without a waiver of </w:t>
      </w:r>
      <w:r w:rsidRPr="008179CB" w:rsidR="00F9438F">
        <w:t xml:space="preserve">the </w:t>
      </w:r>
      <w:r w:rsidRPr="008179CB">
        <w:t>Tribal Coverage</w:t>
      </w:r>
      <w:r w:rsidRPr="008179CB" w:rsidR="00F9438F">
        <w:t xml:space="preserve"> criterion</w:t>
      </w:r>
      <w:r w:rsidRPr="008179CB">
        <w:t>.</w:t>
      </w:r>
      <w:r>
        <w:t xml:space="preserve">  </w:t>
      </w:r>
      <w:r w:rsidRPr="0025652D" w:rsidR="007F68F5">
        <w:t>I</w:t>
      </w:r>
      <w:r w:rsidRPr="0025652D" w:rsidR="00542F10">
        <w:t>n</w:t>
      </w:r>
      <w:r w:rsidR="00542F10">
        <w:t xml:space="preserve"> creating the Tribal Priority, </w:t>
      </w:r>
      <w:r>
        <w:t xml:space="preserve">the Commission </w:t>
      </w:r>
      <w:r w:rsidR="00BC759D">
        <w:t xml:space="preserve">indicated a willingness to </w:t>
      </w:r>
      <w:r w:rsidR="00661A2F">
        <w:rPr>
          <w:szCs w:val="22"/>
        </w:rPr>
        <w:t xml:space="preserve">entertain waiver requests </w:t>
      </w:r>
      <w:r w:rsidR="002E2316">
        <w:rPr>
          <w:szCs w:val="22"/>
        </w:rPr>
        <w:t xml:space="preserve">in circumstances </w:t>
      </w:r>
      <w:r w:rsidR="006F1CDB">
        <w:rPr>
          <w:szCs w:val="22"/>
        </w:rPr>
        <w:t xml:space="preserve">similar to those </w:t>
      </w:r>
      <w:r w:rsidR="002E2316">
        <w:rPr>
          <w:szCs w:val="22"/>
        </w:rPr>
        <w:t>presented</w:t>
      </w:r>
      <w:r w:rsidR="00BC759D">
        <w:rPr>
          <w:szCs w:val="22"/>
        </w:rPr>
        <w:t xml:space="preserve"> </w:t>
      </w:r>
      <w:r w:rsidR="002E2316">
        <w:rPr>
          <w:szCs w:val="22"/>
        </w:rPr>
        <w:t xml:space="preserve">by </w:t>
      </w:r>
      <w:r w:rsidR="00BC759D">
        <w:rPr>
          <w:szCs w:val="22"/>
        </w:rPr>
        <w:t>SCTCA.</w:t>
      </w:r>
      <w:r>
        <w:rPr>
          <w:rStyle w:val="FootnoteReference"/>
        </w:rPr>
        <w:footnoteReference w:id="56"/>
      </w:r>
      <w:r w:rsidR="00954CD2">
        <w:t xml:space="preserve">  As SCTCA notes, the Commission singled out the very area proposed to be covered by this application as </w:t>
      </w:r>
      <w:r w:rsidR="003070FE">
        <w:t xml:space="preserve">an </w:t>
      </w:r>
      <w:r w:rsidR="00B52447">
        <w:t>example of the circumstances</w:t>
      </w:r>
      <w:r w:rsidR="00B52447">
        <w:t xml:space="preserve"> </w:t>
      </w:r>
      <w:r w:rsidR="00B52447">
        <w:t xml:space="preserve">in which </w:t>
      </w:r>
      <w:r w:rsidR="002E2316">
        <w:t xml:space="preserve">grant of Tribal Priority would be appropriate even though </w:t>
      </w:r>
      <w:r w:rsidR="00B52447">
        <w:t xml:space="preserve">Tribes’ actual situations may not </w:t>
      </w:r>
      <w:r w:rsidR="002E2316">
        <w:t>conform</w:t>
      </w:r>
      <w:r w:rsidR="0025652D">
        <w:t xml:space="preserve"> </w:t>
      </w:r>
      <w:r w:rsidR="00B52447">
        <w:t>with the Tribal Priority rule regime</w:t>
      </w:r>
      <w:r w:rsidR="00954CD2">
        <w:t>.</w:t>
      </w:r>
      <w:r>
        <w:rPr>
          <w:rStyle w:val="FootnoteReference"/>
        </w:rPr>
        <w:footnoteReference w:id="57"/>
      </w:r>
      <w:r w:rsidR="003070FE">
        <w:t xml:space="preserve"> </w:t>
      </w:r>
      <w:r w:rsidR="00F13395">
        <w:t xml:space="preserve"> We also observe that, while the proposed station’s coverage area includes reservations belonging to SCTCA member Tribes, as SCTCA notes the</w:t>
      </w:r>
      <w:r w:rsidR="00B91B8D">
        <w:t>s</w:t>
      </w:r>
      <w:r w:rsidR="00F13395">
        <w:t>e</w:t>
      </w:r>
      <w:r w:rsidR="00B91B8D">
        <w:t xml:space="preserve"> reservations are </w:t>
      </w:r>
      <w:r w:rsidR="003C43A9">
        <w:t>of “</w:t>
      </w:r>
      <w:r w:rsidR="00B91B8D">
        <w:t>small</w:t>
      </w:r>
      <w:r w:rsidR="003C43A9">
        <w:t xml:space="preserve"> size” and are subject to native population dilution,</w:t>
      </w:r>
      <w:r>
        <w:rPr>
          <w:rStyle w:val="FootnoteReference"/>
        </w:rPr>
        <w:footnoteReference w:id="58"/>
      </w:r>
      <w:r w:rsidR="003C43A9">
        <w:t xml:space="preserve"> with members living</w:t>
      </w:r>
      <w:r w:rsidR="00B91B8D">
        <w:t xml:space="preserve"> </w:t>
      </w:r>
      <w:r w:rsidR="00F13395">
        <w:t xml:space="preserve">in the near- and off-reservation areas surrounding </w:t>
      </w:r>
      <w:r w:rsidR="00F32878">
        <w:t>these reservations that may not be considered “Tribal Lands.”</w:t>
      </w:r>
      <w:r>
        <w:rPr>
          <w:rStyle w:val="FootnoteReference"/>
        </w:rPr>
        <w:footnoteReference w:id="59"/>
      </w:r>
      <w:r w:rsidR="00F32878">
        <w:t xml:space="preserve">  </w:t>
      </w:r>
      <w:r w:rsidRPr="00F32878" w:rsidR="003070FE">
        <w:rPr>
          <w:szCs w:val="22"/>
        </w:rPr>
        <w:t xml:space="preserve"> </w:t>
      </w:r>
    </w:p>
    <w:p w:rsidR="0074253D" w:rsidP="0023478C" w14:paraId="7138A690" w14:textId="27AD7E28">
      <w:pPr>
        <w:pStyle w:val="ParaNum"/>
        <w:widowControl/>
      </w:pPr>
      <w:r>
        <w:t>We further</w:t>
      </w:r>
      <w:r w:rsidR="003070FE">
        <w:t xml:space="preserve"> believe it would serve the </w:t>
      </w:r>
      <w:r>
        <w:t xml:space="preserve">goals of the Tribal Priority to grant waiver of Tribal Coverage in this instance.  </w:t>
      </w:r>
      <w:r w:rsidR="000B7943">
        <w:t>The proposed station would serve six Tribes’ reservations in its 60 dBµ contour, and according to the maps provided another six reservations lie just outside the proposed 60 dBµ contour.</w:t>
      </w:r>
      <w:r>
        <w:rPr>
          <w:rStyle w:val="FootnoteReference"/>
        </w:rPr>
        <w:footnoteReference w:id="60"/>
      </w:r>
      <w:r w:rsidR="000B7943">
        <w:t xml:space="preserve">  The station proposed by the SCTCA consortium would thus serve from a half-dozen to a dozen Tribal Lands directly, not counting any potential future FM translators rebroadcasting the proposed station’s signal.</w:t>
      </w:r>
      <w:r>
        <w:t xml:space="preserve">  As noted by SCTCA, there is only one Tribal-owned station in Southern California, the </w:t>
      </w:r>
      <w:r>
        <w:t xml:space="preserve">service contour of which does not overlap the proposed Warner Springs station, and no other Tribal applicants have sought stations in Southern California in this </w:t>
      </w:r>
      <w:r w:rsidR="00860201">
        <w:t xml:space="preserve">NCE </w:t>
      </w:r>
      <w:r>
        <w:t xml:space="preserve">filing window.  </w:t>
      </w:r>
      <w:r w:rsidR="003118E4">
        <w:t xml:space="preserve">Additionally, </w:t>
      </w:r>
      <w:r w:rsidR="001E7B4F">
        <w:t>staff engineering analysis</w:t>
      </w:r>
      <w:r w:rsidR="006673F9">
        <w:t xml:space="preserve">, plotting the contours of radio stations obtained from the </w:t>
      </w:r>
      <w:r w:rsidR="00535EDF">
        <w:t>Media Bureau’s</w:t>
      </w:r>
      <w:r w:rsidR="006673F9">
        <w:t xml:space="preserve"> Licensing and Management System</w:t>
      </w:r>
      <w:r w:rsidR="00535EDF">
        <w:t xml:space="preserve"> (LMS)</w:t>
      </w:r>
      <w:r w:rsidR="006673F9">
        <w:t xml:space="preserve"> database,</w:t>
      </w:r>
      <w:r w:rsidR="001E7B4F">
        <w:t xml:space="preserve"> shows that the area covered by SCTCA’s proposed service contour is already well-served by at least seven non-Tribal radio stations.  Finally, </w:t>
      </w:r>
      <w:r w:rsidR="003118E4">
        <w:t>a staff channel study</w:t>
      </w:r>
      <w:r w:rsidR="00535EDF">
        <w:t xml:space="preserve">, again based on LMS </w:t>
      </w:r>
      <w:r w:rsidR="002D73DA">
        <w:t xml:space="preserve">radio station coverage </w:t>
      </w:r>
      <w:r w:rsidR="00535EDF">
        <w:t xml:space="preserve">data, </w:t>
      </w:r>
      <w:r w:rsidR="003118E4">
        <w:t xml:space="preserve">shows there are currently no spectrum openings for even a minimum Class A FM NCE facility in the area covered by the two MX Group 29 applicants.  </w:t>
      </w:r>
      <w:r w:rsidRPr="00084E17">
        <w:t xml:space="preserve">The proposed station </w:t>
      </w:r>
      <w:r w:rsidR="00535EDF">
        <w:t>represents</w:t>
      </w:r>
      <w:r w:rsidRPr="00084E17" w:rsidR="00535EDF">
        <w:t xml:space="preserve"> </w:t>
      </w:r>
      <w:r w:rsidRPr="00084E17">
        <w:t xml:space="preserve">the </w:t>
      </w:r>
      <w:r w:rsidR="00535EDF">
        <w:t>only current</w:t>
      </w:r>
      <w:r w:rsidRPr="00084E17">
        <w:t xml:space="preserve"> opportunity for Tribal-owned NCE service to an area of the country that is home to many different Native Nations.</w:t>
      </w:r>
    </w:p>
    <w:p w:rsidR="002C1D6D" w:rsidRPr="00084E17" w:rsidP="0023478C" w14:paraId="3F71245B" w14:textId="228B4910">
      <w:pPr>
        <w:pStyle w:val="ParaNum"/>
        <w:widowControl/>
      </w:pPr>
      <w:r>
        <w:t>SCTCA notes that the proposed community of license is “adjacent” to the Los Coyotes Reservation,</w:t>
      </w:r>
      <w:r>
        <w:rPr>
          <w:rStyle w:val="FootnoteReference"/>
        </w:rPr>
        <w:footnoteReference w:id="61"/>
      </w:r>
      <w:r>
        <w:t xml:space="preserve"> although it does not specifically seek waiver of the Tribal Priority requirement that the community of license be located on Tribal Lands.  We nonetheless find good cause to waive this requirement.  </w:t>
      </w:r>
      <w:r w:rsidRPr="00034C36">
        <w:t xml:space="preserve">We take official notice that the </w:t>
      </w:r>
      <w:r w:rsidR="00722808">
        <w:t xml:space="preserve">2020 U.S. Census map of the </w:t>
      </w:r>
      <w:r w:rsidRPr="00034C36">
        <w:t xml:space="preserve">Los Coyotes Reservation does not </w:t>
      </w:r>
      <w:r w:rsidR="00722808">
        <w:t>show</w:t>
      </w:r>
      <w:r w:rsidRPr="00034C36">
        <w:t xml:space="preserve"> any Census Designated Places, nor any cities, towns, or villages.</w:t>
      </w:r>
      <w:r>
        <w:rPr>
          <w:rStyle w:val="FootnoteReference"/>
        </w:rPr>
        <w:footnoteReference w:id="62"/>
      </w:r>
      <w:r w:rsidRPr="00034C36">
        <w:t xml:space="preserve">  </w:t>
      </w:r>
      <w:r w:rsidRPr="0092427C">
        <w:t xml:space="preserve">We further </w:t>
      </w:r>
      <w:r w:rsidR="00722808">
        <w:t>note</w:t>
      </w:r>
      <w:r w:rsidRPr="0092427C">
        <w:t xml:space="preserve"> that the Los Coyotes Band of Cahuilla and Cupeño Indians have their tribal headquarters in Warner Springs, California.</w:t>
      </w:r>
      <w:r>
        <w:rPr>
          <w:rStyle w:val="FootnoteReference"/>
        </w:rPr>
        <w:footnoteReference w:id="63"/>
      </w:r>
      <w:r w:rsidRPr="00034C36">
        <w:t xml:space="preserve">  </w:t>
      </w:r>
      <w:r w:rsidRPr="002D522A">
        <w:t xml:space="preserve">Given the lack of geographically recognizable population groupings on the Los Coyotes Reservation, the fact that Warner Springs is adjacent to that reservation and serves as the Tribe’s headquarters, and Warner Springs’s central location among the various Tribal Lands covered by SCTCA’s proposed 60 dBµ contour, we </w:t>
      </w:r>
      <w:r w:rsidR="003C43A9">
        <w:t xml:space="preserve">find that </w:t>
      </w:r>
      <w:r w:rsidRPr="0025652D" w:rsidR="008C7993">
        <w:t>waiving</w:t>
      </w:r>
      <w:r w:rsidRPr="0025652D" w:rsidR="003C43A9">
        <w:t xml:space="preserve"> this requirement would further the goals of the Tribal Priority</w:t>
      </w:r>
      <w:r w:rsidRPr="0025652D" w:rsidR="008C7993">
        <w:t xml:space="preserve"> for the reasons set forth above.</w:t>
      </w:r>
      <w:r w:rsidRPr="0025652D" w:rsidR="008C7993">
        <w:t xml:space="preserve"> </w:t>
      </w:r>
      <w:r w:rsidRPr="0025652D" w:rsidR="008C7993">
        <w:t xml:space="preserve"> A</w:t>
      </w:r>
      <w:r w:rsidRPr="0025652D" w:rsidR="003C43A9">
        <w:t>ccordingly</w:t>
      </w:r>
      <w:r w:rsidRPr="0025652D" w:rsidR="008C7993">
        <w:t>, we</w:t>
      </w:r>
      <w:r w:rsidR="003C43A9">
        <w:t xml:space="preserve"> </w:t>
      </w:r>
      <w:r w:rsidRPr="002D522A">
        <w:t>waive the requirement that the community of license be located on Tribal Lands.</w:t>
      </w:r>
      <w:r>
        <w:rPr>
          <w:rStyle w:val="FootnoteReference"/>
        </w:rPr>
        <w:footnoteReference w:id="64"/>
      </w:r>
    </w:p>
    <w:p w:rsidR="003070FE" w:rsidRPr="002B3DDF" w:rsidP="0023478C" w14:paraId="19E8667D" w14:textId="41010866">
      <w:pPr>
        <w:pStyle w:val="ParaNum"/>
        <w:widowControl/>
      </w:pPr>
      <w:r>
        <w:t xml:space="preserve">For these reasons, we believe that the </w:t>
      </w:r>
      <w:r w:rsidR="00E033D8">
        <w:t xml:space="preserve">special circumstances demonstrated by SCTCA </w:t>
      </w:r>
      <w:r w:rsidR="005E51E1">
        <w:t xml:space="preserve">are </w:t>
      </w:r>
      <w:r w:rsidR="00EA4226">
        <w:t xml:space="preserve">compelling </w:t>
      </w:r>
      <w:bookmarkStart w:id="1" w:name="_Hlk99102647"/>
      <w:r w:rsidR="005E51E1">
        <w:t xml:space="preserve">and </w:t>
      </w:r>
      <w:r w:rsidR="00EA4226">
        <w:t xml:space="preserve">support waiver of the population coverage </w:t>
      </w:r>
      <w:r w:rsidR="001A4700">
        <w:t xml:space="preserve">requirement </w:t>
      </w:r>
      <w:bookmarkEnd w:id="1"/>
      <w:r w:rsidR="001A4700">
        <w:t xml:space="preserve">in section 73.7000 </w:t>
      </w:r>
      <w:r w:rsidR="005B1BA3">
        <w:t xml:space="preserve">and community of license </w:t>
      </w:r>
      <w:r w:rsidR="00EA4226">
        <w:t>requirements</w:t>
      </w:r>
      <w:r>
        <w:t xml:space="preserve"> in section 73.700</w:t>
      </w:r>
      <w:r w:rsidR="001A4700">
        <w:t>2(b)</w:t>
      </w:r>
      <w:r>
        <w:t xml:space="preserve">.  </w:t>
      </w:r>
      <w:r w:rsidR="001260FE">
        <w:t>As SCTCA has met the other Tribal Priority criteria, w</w:t>
      </w:r>
      <w:r>
        <w:t xml:space="preserve">e therefore grant the requested waiver </w:t>
      </w:r>
      <w:r w:rsidR="001260FE">
        <w:t xml:space="preserve">and on our own motion grant waiver of the community of license location criterion, </w:t>
      </w:r>
      <w:r>
        <w:t xml:space="preserve">and find that SCTCA’s application qualifies under </w:t>
      </w:r>
      <w:r w:rsidR="00A34493">
        <w:t>our</w:t>
      </w:r>
      <w:r>
        <w:t xml:space="preserve"> Tribal Priority.</w:t>
      </w:r>
      <w:r w:rsidR="000B7943">
        <w:t xml:space="preserve">  </w:t>
      </w:r>
    </w:p>
    <w:p w:rsidR="002B3DDF" w:rsidP="0023478C" w14:paraId="30E8473E" w14:textId="62C08D11">
      <w:pPr>
        <w:pStyle w:val="ParaNum"/>
        <w:widowControl/>
      </w:pPr>
      <w:r>
        <w:t>CEJ</w:t>
      </w:r>
      <w:r w:rsidR="00FF6A71">
        <w:t xml:space="preserve">, the only other applicant in MX Group </w:t>
      </w:r>
      <w:r>
        <w:t>29</w:t>
      </w:r>
      <w:r w:rsidR="00FF6A71">
        <w:t>, is not and does not claim to be a Tribe as defined in section 73.7000.</w:t>
      </w:r>
      <w:r>
        <w:rPr>
          <w:rStyle w:val="FootnoteReference"/>
        </w:rPr>
        <w:footnoteReference w:id="65"/>
      </w:r>
      <w:r w:rsidR="00FF6A71">
        <w:t xml:space="preserve">  </w:t>
      </w:r>
      <w:r w:rsidR="004D3F53">
        <w:t>Pursuant to section 73.7002(b) of the rules, “a full-service FM applicant that identifies itself as a Tribal Applicant, that proposes Tribal Coverage, and that proposes the first reserved channel NCE service owned by any Tribal Applicant at a community of license located on Tribal Lands, will be awarded a construction permit.”</w:t>
      </w:r>
      <w:r>
        <w:rPr>
          <w:rStyle w:val="FootnoteReference"/>
        </w:rPr>
        <w:footnoteReference w:id="66"/>
      </w:r>
      <w:r w:rsidR="00F74669">
        <w:t xml:space="preserve">  </w:t>
      </w:r>
      <w:r w:rsidR="00FF6A71">
        <w:t xml:space="preserve">Thus, under our rules, </w:t>
      </w:r>
      <w:r w:rsidR="00F86B99">
        <w:t>SCTCA</w:t>
      </w:r>
      <w:r w:rsidR="00FF6A71">
        <w:t xml:space="preserve"> is the tentative selectee in MX Group </w:t>
      </w:r>
      <w:r w:rsidR="00F86B99">
        <w:t>29</w:t>
      </w:r>
      <w:r w:rsidR="00FF6A71">
        <w:t xml:space="preserve">. </w:t>
      </w:r>
    </w:p>
    <w:p w:rsidR="009A3516" w:rsidP="0023478C" w14:paraId="0AABC40F" w14:textId="6515E8EB">
      <w:pPr>
        <w:pStyle w:val="Heading1"/>
        <w:widowControl/>
      </w:pPr>
      <w:r>
        <w:t>ADDITIONAL MATTERS</w:t>
      </w:r>
    </w:p>
    <w:p w:rsidR="00F97D9F" w:rsidP="0023478C" w14:paraId="14955DEF" w14:textId="583A4184">
      <w:pPr>
        <w:pStyle w:val="ParaNum"/>
        <w:widowControl/>
      </w:pPr>
      <w:r>
        <w:rPr>
          <w:b/>
          <w:bCs/>
        </w:rPr>
        <w:t xml:space="preserve">Acceptability Studies.  </w:t>
      </w:r>
      <w:r w:rsidR="00203283">
        <w:t xml:space="preserve">Once the </w:t>
      </w:r>
      <w:r w:rsidR="00E720E2">
        <w:t>Commission</w:t>
      </w:r>
      <w:r w:rsidR="00203283">
        <w:t xml:space="preserve"> identifies a tentative selectee pursuant to the fair distribution analysis, the next step is to consider whether the selectee’s application has defects.</w:t>
      </w:r>
      <w:r>
        <w:rPr>
          <w:rStyle w:val="FootnoteReference"/>
        </w:rPr>
        <w:footnoteReference w:id="67"/>
      </w:r>
      <w:r w:rsidR="00203283">
        <w:t xml:space="preserve">  If the </w:t>
      </w:r>
      <w:r w:rsidR="00E720E2">
        <w:t>Commission</w:t>
      </w:r>
      <w:r w:rsidR="00203283">
        <w:t xml:space="preserve"> finds the application acceptable for filing, </w:t>
      </w:r>
      <w:r w:rsidR="00CB4989">
        <w:t>we announce acceptance by the release of this Order, and petitions to deny may be filed within 30 days following the release of the Order</w:t>
      </w:r>
      <w:r w:rsidR="00203283">
        <w:t>.</w:t>
      </w:r>
      <w:r>
        <w:rPr>
          <w:rStyle w:val="FootnoteReference"/>
        </w:rPr>
        <w:footnoteReference w:id="68"/>
      </w:r>
    </w:p>
    <w:p w:rsidR="0087508C" w:rsidP="0023478C" w14:paraId="70C11973" w14:textId="77777777">
      <w:pPr>
        <w:pStyle w:val="ParaNum"/>
        <w:widowControl/>
      </w:pPr>
      <w:r>
        <w:t xml:space="preserve">The </w:t>
      </w:r>
      <w:r w:rsidR="00E720E2">
        <w:t>Commission</w:t>
      </w:r>
      <w:r>
        <w:t xml:space="preserve"> has </w:t>
      </w:r>
      <w:r w:rsidR="00CB7754">
        <w:t xml:space="preserve">reviewed </w:t>
      </w:r>
      <w:r w:rsidR="00D742AC">
        <w:t>SCTCA’s</w:t>
      </w:r>
      <w:r>
        <w:t xml:space="preserve"> application and has determined that it is acceptable for filing.  </w:t>
      </w:r>
      <w:r w:rsidR="00D742AC">
        <w:t>SCTCA</w:t>
      </w:r>
      <w:r>
        <w:t xml:space="preserve"> appears to be fully qualified to become the licensee of the new NCE FM station it has proposed.  We tentatively conclude that the grant of its application would serve the public interest, convenience, and necessity.  It is our intention to grant the application if, after the 30-day petition to deny period has run, there is no substantial and material question concerning the </w:t>
      </w:r>
      <w:r>
        <w:t>grantability</w:t>
      </w:r>
      <w:r>
        <w:t xml:space="preserve"> of the tentative selectee’s application.  Such determinations of </w:t>
      </w:r>
      <w:r>
        <w:t>grantability</w:t>
      </w:r>
      <w:r>
        <w:t xml:space="preserve"> may, of course, involve additional matters that may impact the timing or outcome of a decision.  For example, a proposal to serve an area near the United States border with Canada or Mexico cannot become ripe for grant prior to the successful completion of international coordination.</w:t>
      </w:r>
      <w:r>
        <w:rPr>
          <w:rStyle w:val="FootnoteReference"/>
        </w:rPr>
        <w:footnoteReference w:id="69"/>
      </w:r>
      <w:r w:rsidR="00EF50C8">
        <w:t xml:space="preserve">  Also, in addition to the standard constraints set forth in section 73.700</w:t>
      </w:r>
      <w:r w:rsidR="009346FE">
        <w:t>2</w:t>
      </w:r>
      <w:r w:rsidR="00EF50C8">
        <w:t>(c)(1), section 73.7002(c)(2) identifies the specific restrictions pertaining to a Tribal Applicant receiving a decisive preference through a fair distribution analysis.</w:t>
      </w:r>
      <w:r>
        <w:rPr>
          <w:rStyle w:val="FootnoteReference"/>
        </w:rPr>
        <w:footnoteReference w:id="70"/>
      </w:r>
      <w:r w:rsidR="00C10DDD">
        <w:t xml:space="preserve">  </w:t>
      </w:r>
    </w:p>
    <w:p w:rsidR="009A3516" w:rsidP="0023478C" w14:paraId="42216DA1" w14:textId="0704E6F4">
      <w:pPr>
        <w:pStyle w:val="ParaNum"/>
        <w:widowControl/>
      </w:pPr>
      <w:r>
        <w:t>The Media Bureau shall process the application according to our rules, and shall make any necessary determinations regarding pleadings filed against the SCTCA</w:t>
      </w:r>
      <w:r w:rsidR="00DD2D3F">
        <w:t xml:space="preserve"> application.</w:t>
      </w:r>
      <w:r w:rsidR="0087508C">
        <w:t xml:space="preserve">  </w:t>
      </w:r>
      <w:r w:rsidR="002C2051">
        <w:t>We direct</w:t>
      </w:r>
      <w:r w:rsidR="00676F4E">
        <w:t xml:space="preserve"> </w:t>
      </w:r>
      <w:r w:rsidR="0087508C">
        <w:t xml:space="preserve">the </w:t>
      </w:r>
      <w:r w:rsidR="00676F4E">
        <w:t>Bureau</w:t>
      </w:r>
      <w:r w:rsidR="0087508C">
        <w:t xml:space="preserve"> </w:t>
      </w:r>
      <w:r w:rsidR="00676F4E">
        <w:t xml:space="preserve">to </w:t>
      </w:r>
      <w:r w:rsidR="0087508C">
        <w:t xml:space="preserve">act </w:t>
      </w:r>
      <w:r w:rsidR="00676F4E">
        <w:t xml:space="preserve">on any routine matter that may be raised, </w:t>
      </w:r>
      <w:r w:rsidR="0087508C">
        <w:t xml:space="preserve">and </w:t>
      </w:r>
      <w:r w:rsidR="00C87774">
        <w:t xml:space="preserve">to determine </w:t>
      </w:r>
      <w:r w:rsidR="0087508C">
        <w:t xml:space="preserve">whether the </w:t>
      </w:r>
      <w:r w:rsidR="00676F4E">
        <w:t xml:space="preserve">tentatively selected </w:t>
      </w:r>
      <w:r w:rsidR="0087508C">
        <w:t xml:space="preserve">application complies with all relevant Commission rules and policies.  </w:t>
      </w:r>
    </w:p>
    <w:p w:rsidR="009A3516" w:rsidP="0023478C" w14:paraId="21B1EEC3" w14:textId="11658854">
      <w:pPr>
        <w:pStyle w:val="Heading1"/>
        <w:widowControl/>
      </w:pPr>
      <w:r>
        <w:t>ORDERING CLAUSES</w:t>
      </w:r>
    </w:p>
    <w:p w:rsidR="0023478C" w:rsidP="004B70A5" w14:paraId="215E7021" w14:textId="11ED00FF">
      <w:pPr>
        <w:pStyle w:val="ParaNum"/>
        <w:widowControl/>
      </w:pPr>
      <w:r>
        <w:t>Accordingly, IT IS ORDERED that the waiver requested by the Southern California Tribal Chairmen’s Association IS GRANTED.</w:t>
      </w:r>
    </w:p>
    <w:p w:rsidR="009A3516" w:rsidP="0023478C" w14:paraId="7F2BB62F" w14:textId="7ACF916B">
      <w:pPr>
        <w:pStyle w:val="ParaNum"/>
        <w:widowControl/>
      </w:pPr>
      <w:r>
        <w:t xml:space="preserve">IT IS </w:t>
      </w:r>
      <w:r w:rsidR="00B94B7B">
        <w:t xml:space="preserve">FURTHER </w:t>
      </w:r>
      <w:r>
        <w:t xml:space="preserve">ORDERED, that the Application filed by </w:t>
      </w:r>
      <w:r w:rsidR="00164151">
        <w:t>t</w:t>
      </w:r>
      <w:r>
        <w:t xml:space="preserve">he </w:t>
      </w:r>
      <w:r w:rsidR="00D742AC">
        <w:t>Southern California Tribal Chairmen’s Association</w:t>
      </w:r>
      <w:r>
        <w:t xml:space="preserve"> (File No. 000016</w:t>
      </w:r>
      <w:r w:rsidR="00D742AC">
        <w:t>7741</w:t>
      </w:r>
      <w:r>
        <w:t xml:space="preserve">) is TENTATIVELY SELECTED to be awarded a construction permit for a new NCE FM station at </w:t>
      </w:r>
      <w:r w:rsidR="00D742AC">
        <w:t>Warner Springs, California</w:t>
      </w:r>
      <w:r>
        <w:t xml:space="preserve">, and that its application is ACCEPTED FOR FILING, establishing a deadline thirty (30) days hereafter for the filing of petitions to deny. </w:t>
      </w:r>
      <w:r w:rsidR="00956FD7">
        <w:t xml:space="preserve"> </w:t>
      </w:r>
      <w:r>
        <w:t xml:space="preserve">If, after the 30-day petition to deny period has run, there is no substantial and material question concerning the </w:t>
      </w:r>
      <w:r>
        <w:t>grantability</w:t>
      </w:r>
      <w:r>
        <w:t xml:space="preserve"> of the tentative selectee’s application, we intend, by public notice, TO DISMISS the mutually exclusive application of </w:t>
      </w:r>
      <w:r w:rsidR="00D742AC">
        <w:t xml:space="preserve">the </w:t>
      </w:r>
      <w:r w:rsidR="00A22783">
        <w:t xml:space="preserve">Foundation for Economic Justice d/b/a </w:t>
      </w:r>
      <w:r w:rsidR="00D742AC">
        <w:t>Center for Economic Justice</w:t>
      </w:r>
      <w:r>
        <w:t xml:space="preserve"> (File No. 0000167</w:t>
      </w:r>
      <w:r w:rsidR="00D742AC">
        <w:t>868</w:t>
      </w:r>
      <w:r>
        <w:t xml:space="preserve">) and TO GRANT the application of </w:t>
      </w:r>
      <w:r w:rsidR="00D742AC">
        <w:t>the Southern California Tribal Chairmen’s Association</w:t>
      </w:r>
      <w:r w:rsidR="001455AF">
        <w:t xml:space="preserve"> (File No. 000016</w:t>
      </w:r>
      <w:r w:rsidR="00D742AC">
        <w:t>7741</w:t>
      </w:r>
      <w:r w:rsidR="001455AF">
        <w:t>)</w:t>
      </w:r>
      <w:r w:rsidR="00DF0353">
        <w:t xml:space="preserve"> </w:t>
      </w:r>
      <w:r>
        <w:t>CONDITIONED UPON that selectee’s compliance with Section 73.7002(c) of the Commission’s Rules,</w:t>
      </w:r>
      <w:r>
        <w:rPr>
          <w:rStyle w:val="FootnoteReference"/>
        </w:rPr>
        <w:footnoteReference w:id="71"/>
      </w:r>
      <w:r>
        <w:t xml:space="preserve"> which sets forth a four-year period of on-air operations substantially as proposed.</w:t>
      </w:r>
    </w:p>
    <w:p w:rsidR="00DF0353" w:rsidP="0023478C" w14:paraId="24E03A1C" w14:textId="77777777">
      <w:pPr>
        <w:pStyle w:val="ParaNum"/>
        <w:widowControl/>
        <w:numPr>
          <w:ilvl w:val="0"/>
          <w:numId w:val="0"/>
        </w:numPr>
      </w:pPr>
    </w:p>
    <w:p w:rsidR="00DF0353" w:rsidP="0023478C" w14:paraId="43B48821" w14:textId="77777777">
      <w:pPr>
        <w:widowControl/>
      </w:pPr>
      <w:r>
        <w:tab/>
      </w:r>
      <w:r>
        <w:tab/>
      </w:r>
      <w:r>
        <w:tab/>
      </w:r>
      <w:r>
        <w:tab/>
      </w:r>
      <w:r>
        <w:tab/>
      </w:r>
      <w:r>
        <w:tab/>
        <w:t>FEDERAL COMMUNICATIONS COMMISSION</w:t>
      </w:r>
    </w:p>
    <w:p w:rsidR="00DF0353" w:rsidP="0023478C" w14:paraId="7FD740A3" w14:textId="77777777">
      <w:pPr>
        <w:widowControl/>
      </w:pPr>
    </w:p>
    <w:p w:rsidR="00DF0353" w:rsidP="0023478C" w14:paraId="7FD7A792" w14:textId="77777777">
      <w:pPr>
        <w:widowControl/>
      </w:pPr>
    </w:p>
    <w:p w:rsidR="00DF0353" w:rsidP="0023478C" w14:paraId="0F447DB5" w14:textId="77777777">
      <w:pPr>
        <w:widowControl/>
      </w:pPr>
    </w:p>
    <w:p w:rsidR="00DF0353" w:rsidP="0023478C" w14:paraId="5197515C" w14:textId="77777777">
      <w:pPr>
        <w:widowControl/>
      </w:pPr>
    </w:p>
    <w:p w:rsidR="00DF0353" w:rsidP="0023478C" w14:paraId="351910A3" w14:textId="60ADAC1F">
      <w:pPr>
        <w:widowControl/>
      </w:pPr>
      <w:r>
        <w:tab/>
      </w:r>
      <w:r>
        <w:tab/>
      </w:r>
      <w:r>
        <w:tab/>
      </w:r>
      <w:r>
        <w:tab/>
      </w:r>
      <w:r>
        <w:tab/>
      </w:r>
      <w:r>
        <w:tab/>
      </w:r>
      <w:r w:rsidR="0035286D">
        <w:t>Marlene H. Dortch</w:t>
      </w:r>
    </w:p>
    <w:p w:rsidR="00DF0353" w:rsidP="0023478C" w14:paraId="29E9BB03" w14:textId="6F65903F">
      <w:pPr>
        <w:widowControl/>
      </w:pPr>
      <w:r>
        <w:tab/>
      </w:r>
      <w:r>
        <w:tab/>
      </w:r>
      <w:r>
        <w:tab/>
      </w:r>
      <w:r>
        <w:tab/>
      </w:r>
      <w:r>
        <w:tab/>
      </w:r>
      <w:r>
        <w:tab/>
      </w:r>
      <w:r w:rsidR="0035286D">
        <w:t>Secretary</w:t>
      </w:r>
    </w:p>
    <w:p w:rsidR="00DF0353" w:rsidRPr="009A3516" w:rsidP="0023478C" w14:paraId="2722A218" w14:textId="77777777">
      <w:pPr>
        <w:pStyle w:val="ParaNum"/>
        <w:widowControl/>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85FB0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4FB52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A0B5A" w14:paraId="3427E491" w14:textId="6F17476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F26EF5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203C" w14:paraId="4797E056" w14:textId="77777777">
      <w:r>
        <w:separator/>
      </w:r>
    </w:p>
  </w:footnote>
  <w:footnote w:type="continuationSeparator" w:id="1">
    <w:p w:rsidR="0069203C" w:rsidP="00C721AC" w14:paraId="3A6193F5" w14:textId="77777777">
      <w:pPr>
        <w:spacing w:before="120"/>
        <w:rPr>
          <w:sz w:val="20"/>
        </w:rPr>
      </w:pPr>
      <w:r>
        <w:rPr>
          <w:sz w:val="20"/>
        </w:rPr>
        <w:t xml:space="preserve">(Continued from previous page)  </w:t>
      </w:r>
      <w:r>
        <w:rPr>
          <w:sz w:val="20"/>
        </w:rPr>
        <w:separator/>
      </w:r>
    </w:p>
  </w:footnote>
  <w:footnote w:type="continuationNotice" w:id="2">
    <w:p w:rsidR="0069203C" w:rsidP="00C721AC" w14:paraId="66839630" w14:textId="77777777">
      <w:pPr>
        <w:jc w:val="right"/>
        <w:rPr>
          <w:sz w:val="20"/>
        </w:rPr>
      </w:pPr>
      <w:r>
        <w:rPr>
          <w:sz w:val="20"/>
        </w:rPr>
        <w:t>(continued….)</w:t>
      </w:r>
    </w:p>
  </w:footnote>
  <w:footnote w:id="3">
    <w:p w:rsidR="00CF71A1" w:rsidRPr="004B3CCD" w:rsidP="00CF71A1" w14:paraId="5370086B" w14:textId="4F806789">
      <w:pPr>
        <w:pStyle w:val="FootnoteText"/>
      </w:pPr>
      <w:r>
        <w:rPr>
          <w:rStyle w:val="FootnoteReference"/>
        </w:rPr>
        <w:footnoteRef/>
      </w:r>
      <w:r>
        <w:t xml:space="preserve"> </w:t>
      </w:r>
      <w:r w:rsidRPr="004B3CCD">
        <w:t xml:space="preserve">On November 29, 2021, the </w:t>
      </w:r>
      <w:r w:rsidR="00196E86">
        <w:t>Media Bureau (</w:t>
      </w:r>
      <w:r w:rsidRPr="004B3CCD">
        <w:t>Bureau</w:t>
      </w:r>
      <w:r w:rsidR="00196E86">
        <w:t>)</w:t>
      </w:r>
      <w:r w:rsidRPr="004B3CCD">
        <w:t xml:space="preserve"> issued a public notice identifying 231 groups of mutually exclusive NCE FM applications.  </w:t>
      </w:r>
      <w:r w:rsidRPr="004B3CCD">
        <w:rPr>
          <w:i/>
          <w:iCs/>
        </w:rPr>
        <w:t xml:space="preserve">See Media Bureau Identifies Groups of Mutually Exclusive Applications Submitted in the November 2021, Filing Window for New Noncommercial Educational Stations, </w:t>
      </w:r>
      <w:r w:rsidRPr="004B3CCD">
        <w:t>MB Docket No. 20-343, Public Notice, DA 21-1476 (MB rel. Nov. 29, 2021) (</w:t>
      </w:r>
      <w:r w:rsidRPr="004B3CCD">
        <w:rPr>
          <w:i/>
          <w:iCs/>
        </w:rPr>
        <w:t>NCE MX Public Notice</w:t>
      </w:r>
      <w:r w:rsidRPr="004B3CCD">
        <w:t xml:space="preserve">).  MX Group </w:t>
      </w:r>
      <w:r w:rsidR="00430BF9">
        <w:t>29</w:t>
      </w:r>
      <w:r w:rsidRPr="004B3CCD">
        <w:t xml:space="preserve"> was included in the </w:t>
      </w:r>
      <w:r w:rsidRPr="004B3CCD">
        <w:rPr>
          <w:i/>
          <w:iCs/>
        </w:rPr>
        <w:t>NCE MX Public Notice</w:t>
      </w:r>
      <w:r w:rsidRPr="004B3CCD">
        <w:t xml:space="preserve">.   </w:t>
      </w:r>
    </w:p>
  </w:footnote>
  <w:footnote w:id="4">
    <w:p w:rsidR="00CF71A1" w:rsidRPr="004B3CCD" w:rsidP="00CF71A1" w14:paraId="0BFFE517" w14:textId="57FCC746">
      <w:pPr>
        <w:pStyle w:val="FootnoteText"/>
      </w:pPr>
      <w:r w:rsidRPr="004B3CCD">
        <w:rPr>
          <w:rStyle w:val="FootnoteReference"/>
        </w:rPr>
        <w:footnoteRef/>
      </w:r>
      <w:r w:rsidRPr="004B3CCD">
        <w:t xml:space="preserve"> File No. 000016</w:t>
      </w:r>
      <w:r w:rsidR="002E3E67">
        <w:t>7741</w:t>
      </w:r>
      <w:r w:rsidRPr="004B3CCD">
        <w:t>.</w:t>
      </w:r>
    </w:p>
  </w:footnote>
  <w:footnote w:id="5">
    <w:p w:rsidR="00E82E7E" w14:paraId="22A4C018" w14:textId="44A353DA">
      <w:pPr>
        <w:pStyle w:val="FootnoteText"/>
      </w:pPr>
      <w:r>
        <w:rPr>
          <w:rStyle w:val="FootnoteReference"/>
        </w:rPr>
        <w:footnoteRef/>
      </w:r>
      <w:r>
        <w:t xml:space="preserve"> </w:t>
      </w:r>
      <w:r w:rsidR="00C71A62">
        <w:t xml:space="preserve">The other mutually exclusive applicant in MX Group 29 originally filed its application on November 9, 2021, as the Center for Economic Justice (CEJ).  File No. 0000167868.  </w:t>
      </w:r>
      <w:r>
        <w:t xml:space="preserve">On </w:t>
      </w:r>
      <w:r w:rsidR="00A70A9C">
        <w:t>January 25, 2022</w:t>
      </w:r>
      <w:r>
        <w:t xml:space="preserve">, SCTCA filed an </w:t>
      </w:r>
      <w:r w:rsidR="00A70A9C">
        <w:t>Informal Objection</w:t>
      </w:r>
      <w:r>
        <w:t xml:space="preserve"> against </w:t>
      </w:r>
      <w:r w:rsidR="001169DA">
        <w:t>CEJ’s original</w:t>
      </w:r>
      <w:r w:rsidR="00A70A9C">
        <w:t xml:space="preserve"> </w:t>
      </w:r>
      <w:r>
        <w:t xml:space="preserve">application.  </w:t>
      </w:r>
      <w:r w:rsidR="00A70A9C">
        <w:t>P</w:t>
      </w:r>
      <w:r>
        <w:t xml:space="preserve">leading </w:t>
      </w:r>
      <w:r w:rsidR="00A70A9C">
        <w:t>F</w:t>
      </w:r>
      <w:r>
        <w:t xml:space="preserve">ile </w:t>
      </w:r>
      <w:r w:rsidR="00A70A9C">
        <w:t>N</w:t>
      </w:r>
      <w:r>
        <w:t xml:space="preserve">o. </w:t>
      </w:r>
      <w:r w:rsidR="00A70A9C">
        <w:t>0000181229, Application</w:t>
      </w:r>
      <w:r>
        <w:t xml:space="preserve"> </w:t>
      </w:r>
      <w:r w:rsidR="00A70A9C">
        <w:t>F</w:t>
      </w:r>
      <w:r>
        <w:t xml:space="preserve">ile </w:t>
      </w:r>
      <w:r w:rsidR="00A70A9C">
        <w:t>N</w:t>
      </w:r>
      <w:r>
        <w:t>o.</w:t>
      </w:r>
      <w:r w:rsidR="00A70A9C">
        <w:t xml:space="preserve"> 0000167868.</w:t>
      </w:r>
      <w:r w:rsidR="001169DA">
        <w:t xml:space="preserve">  </w:t>
      </w:r>
      <w:r>
        <w:t xml:space="preserve">On </w:t>
      </w:r>
      <w:r w:rsidR="00A70A9C">
        <w:t>April 12, 2022</w:t>
      </w:r>
      <w:r>
        <w:t xml:space="preserve">, </w:t>
      </w:r>
      <w:r w:rsidR="00A70A9C">
        <w:t>C</w:t>
      </w:r>
      <w:r>
        <w:t>EJ filed an Opposition</w:t>
      </w:r>
      <w:r w:rsidR="00015398">
        <w:t>,</w:t>
      </w:r>
      <w:r>
        <w:t xml:space="preserve"> </w:t>
      </w:r>
      <w:r w:rsidR="005A4CD3">
        <w:t>P</w:t>
      </w:r>
      <w:r>
        <w:t xml:space="preserve">leading </w:t>
      </w:r>
      <w:r w:rsidR="005A4CD3">
        <w:t>F</w:t>
      </w:r>
      <w:r>
        <w:t xml:space="preserve">ile </w:t>
      </w:r>
      <w:r w:rsidR="005A4CD3">
        <w:t>N</w:t>
      </w:r>
      <w:r>
        <w:t>o.</w:t>
      </w:r>
      <w:r w:rsidR="005A4CD3">
        <w:t xml:space="preserve"> 000189307</w:t>
      </w:r>
      <w:r w:rsidR="00015398">
        <w:t xml:space="preserve">, and also amended its application to, among other things, correct its name to Foundation for Economic Justice d/b/a Center for Economic Justice.  </w:t>
      </w:r>
      <w:r>
        <w:t xml:space="preserve">Because </w:t>
      </w:r>
      <w:r w:rsidR="005A4CD3">
        <w:t>C</w:t>
      </w:r>
      <w:r>
        <w:t xml:space="preserve">EJ is not the </w:t>
      </w:r>
      <w:r w:rsidR="005A4CD3">
        <w:t>tentative selectee in MX Group 29</w:t>
      </w:r>
      <w:r>
        <w:t xml:space="preserve">, </w:t>
      </w:r>
      <w:r w:rsidR="005A4CD3">
        <w:t xml:space="preserve">the </w:t>
      </w:r>
      <w:r w:rsidR="00C41DB6">
        <w:t>I</w:t>
      </w:r>
      <w:r w:rsidR="005A4CD3">
        <w:t xml:space="preserve">nformal </w:t>
      </w:r>
      <w:r w:rsidR="00C41DB6">
        <w:t>O</w:t>
      </w:r>
      <w:r w:rsidR="005A4CD3">
        <w:t xml:space="preserve">bjection is moot, and </w:t>
      </w:r>
      <w:r>
        <w:t xml:space="preserve">we </w:t>
      </w:r>
      <w:r w:rsidR="005A4CD3">
        <w:t xml:space="preserve">therefore </w:t>
      </w:r>
      <w:r w:rsidR="005525CB">
        <w:t>direct the Bureau to dismiss</w:t>
      </w:r>
      <w:r w:rsidR="005A4CD3">
        <w:t xml:space="preserve"> both the Informal Objection and the Opposition without prejudice</w:t>
      </w:r>
      <w:r>
        <w:t xml:space="preserve">.  To the extent </w:t>
      </w:r>
      <w:r w:rsidR="005A4CD3">
        <w:t>C</w:t>
      </w:r>
      <w:r>
        <w:t xml:space="preserve">EJ in its Opposition raises any issues with </w:t>
      </w:r>
      <w:r w:rsidR="005A4CD3">
        <w:t>SCTCA’s application, which we herein designate as tentative selectee</w:t>
      </w:r>
      <w:r>
        <w:t xml:space="preserve">, its recourse is to file a </w:t>
      </w:r>
      <w:r w:rsidR="005A4CD3">
        <w:t>petition to deny</w:t>
      </w:r>
      <w:r>
        <w:t xml:space="preserve"> or </w:t>
      </w:r>
      <w:r w:rsidR="005A4CD3">
        <w:t>informal objection</w:t>
      </w:r>
      <w:r>
        <w:t xml:space="preserve"> within 30 days of this Order, as discussed in para. </w:t>
      </w:r>
      <w:r w:rsidR="0033604B">
        <w:t>&lt;</w:t>
      </w:r>
      <w:r w:rsidR="00170E4A">
        <w:t>1</w:t>
      </w:r>
      <w:r w:rsidR="0033604B">
        <w:t>8&gt;</w:t>
      </w:r>
      <w:r w:rsidR="00170E4A">
        <w:t xml:space="preserve">, </w:t>
      </w:r>
      <w:r w:rsidRPr="00170E4A" w:rsidR="00170E4A">
        <w:rPr>
          <w:i/>
          <w:iCs/>
        </w:rPr>
        <w:t>infra</w:t>
      </w:r>
      <w:r>
        <w:t>.</w:t>
      </w:r>
    </w:p>
  </w:footnote>
  <w:footnote w:id="6">
    <w:p w:rsidR="00CF71A1" w:rsidRPr="004B3CCD" w:rsidP="00CF71A1" w14:paraId="73044C43" w14:textId="77777777">
      <w:pPr>
        <w:pStyle w:val="FootnoteText"/>
      </w:pPr>
      <w:r w:rsidRPr="004B3CCD">
        <w:rPr>
          <w:rStyle w:val="FootnoteReference"/>
        </w:rPr>
        <w:footnoteRef/>
      </w:r>
      <w:r w:rsidRPr="004B3CCD">
        <w:t xml:space="preserve"> </w:t>
      </w:r>
      <w:r w:rsidRPr="004B3CCD">
        <w:rPr>
          <w:i/>
          <w:iCs/>
        </w:rPr>
        <w:t xml:space="preserve">See </w:t>
      </w:r>
      <w:r w:rsidRPr="004B3CCD">
        <w:t>47 CFR § 73.7004(b).</w:t>
      </w:r>
    </w:p>
  </w:footnote>
  <w:footnote w:id="7">
    <w:p w:rsidR="00D2065F" w:rsidRPr="00CF6D0F" w:rsidP="00D2065F" w14:paraId="1704E0DF" w14:textId="02A21A00">
      <w:pPr>
        <w:pStyle w:val="FootnoteText"/>
      </w:pPr>
      <w:r w:rsidRPr="00CF6D0F">
        <w:rPr>
          <w:rStyle w:val="FootnoteReference"/>
        </w:rPr>
        <w:footnoteRef/>
      </w:r>
      <w:r w:rsidRPr="00CF6D0F">
        <w:t xml:space="preserve"> Conflicting NCE applications, which cannot all be granted consistent with the Commission’s technical rules, are considered mutually exclusive.  An MX group consists of all applications which are MX to at least one other application in the group.</w:t>
      </w:r>
    </w:p>
  </w:footnote>
  <w:footnote w:id="8">
    <w:p w:rsidR="0001459D" w:rsidRPr="00B30709" w:rsidP="0001459D" w14:paraId="10F9FACA" w14:textId="40798659">
      <w:pPr>
        <w:pStyle w:val="FootnoteText"/>
        <w:rPr>
          <w:color w:val="2E2E2E"/>
        </w:rPr>
      </w:pPr>
      <w:r w:rsidRPr="008042CC">
        <w:rPr>
          <w:rStyle w:val="FootnoteReference"/>
        </w:rPr>
        <w:footnoteRef/>
      </w:r>
      <w:r w:rsidRPr="008042CC">
        <w:t xml:space="preserve"> </w:t>
      </w:r>
      <w:r w:rsidRPr="008042CC">
        <w:rPr>
          <w:i/>
          <w:iCs/>
          <w:color w:val="2E2E2E"/>
        </w:rPr>
        <w:t xml:space="preserve">See </w:t>
      </w:r>
      <w:r>
        <w:rPr>
          <w:i/>
          <w:iCs/>
          <w:color w:val="2E2E2E"/>
        </w:rPr>
        <w:t xml:space="preserve">Reexamination of the Comparative Standards for Noncommercial Educational Applicants, </w:t>
      </w:r>
      <w:r w:rsidRPr="008042CC">
        <w:rPr>
          <w:color w:val="2E2E2E"/>
        </w:rPr>
        <w:t xml:space="preserve">Report and Order, </w:t>
      </w:r>
      <w:r>
        <w:rPr>
          <w:color w:val="2E2E2E"/>
        </w:rPr>
        <w:t>15 FCC Rcd 7386 (2000)</w:t>
      </w:r>
      <w:r w:rsidRPr="008042CC">
        <w:rPr>
          <w:color w:val="2E2E2E"/>
        </w:rPr>
        <w:t xml:space="preserve">, </w:t>
      </w:r>
      <w:r w:rsidRPr="008042CC">
        <w:rPr>
          <w:i/>
          <w:iCs/>
          <w:color w:val="2E2E2E"/>
        </w:rPr>
        <w:t>clarified</w:t>
      </w:r>
      <w:r w:rsidRPr="008042CC">
        <w:rPr>
          <w:color w:val="2E2E2E"/>
        </w:rPr>
        <w:t xml:space="preserve">, Memorandum Opinion and Order, </w:t>
      </w:r>
      <w:r>
        <w:rPr>
          <w:color w:val="2E2E2E"/>
        </w:rPr>
        <w:t>16 FCC Rcd 5074 (2001)</w:t>
      </w:r>
      <w:r w:rsidRPr="008042CC">
        <w:rPr>
          <w:color w:val="2E2E2E"/>
        </w:rPr>
        <w:t xml:space="preserve">, </w:t>
      </w:r>
      <w:r w:rsidRPr="008042CC">
        <w:rPr>
          <w:i/>
          <w:iCs/>
          <w:color w:val="2E2E2E"/>
        </w:rPr>
        <w:t>recon. denied</w:t>
      </w:r>
      <w:r w:rsidRPr="008042CC">
        <w:rPr>
          <w:color w:val="2E2E2E"/>
        </w:rPr>
        <w:t xml:space="preserve">, Memorandum Opinion and Second Order on Reconsideration, </w:t>
      </w:r>
      <w:r>
        <w:rPr>
          <w:color w:val="2E2E2E"/>
        </w:rPr>
        <w:t xml:space="preserve">17 FCC Rcd 13132 (2002).  </w:t>
      </w:r>
      <w:r>
        <w:rPr>
          <w:i/>
          <w:iCs/>
        </w:rPr>
        <w:t>S</w:t>
      </w:r>
      <w:r w:rsidRPr="00AD27A4">
        <w:rPr>
          <w:i/>
          <w:iCs/>
        </w:rPr>
        <w:t xml:space="preserve">ee also </w:t>
      </w:r>
      <w:r w:rsidRPr="00AD27A4">
        <w:rPr>
          <w:rStyle w:val="Emphasis"/>
          <w:bdr w:val="none" w:sz="0" w:space="0" w:color="auto" w:frame="1"/>
        </w:rPr>
        <w:t>Reexamination of the Comparative Standards and Procedures for Licensing Noncommercial Educational Broadcast Stations and Low Power FM Stations</w:t>
      </w:r>
      <w:r w:rsidRPr="00AD27A4">
        <w:t>, MB Docket No. 19-3, Report and Order, 34 FCC Rcd 12519 (2019)</w:t>
      </w:r>
      <w:r>
        <w:t xml:space="preserve"> (amending the comparative rules and procedures),</w:t>
      </w:r>
      <w:r w:rsidRPr="00AD27A4">
        <w:t> </w:t>
      </w:r>
      <w:r w:rsidRPr="00AD27A4">
        <w:rPr>
          <w:rStyle w:val="Emphasis"/>
          <w:bdr w:val="none" w:sz="0" w:space="0" w:color="auto" w:frame="1"/>
        </w:rPr>
        <w:t>aff'd</w:t>
      </w:r>
      <w:r w:rsidR="00DB6361">
        <w:rPr>
          <w:rStyle w:val="Emphasis"/>
          <w:i w:val="0"/>
          <w:iCs w:val="0"/>
          <w:bdr w:val="none" w:sz="0" w:space="0" w:color="auto" w:frame="1"/>
        </w:rPr>
        <w:t>,</w:t>
      </w:r>
      <w:r w:rsidRPr="00AD27A4">
        <w:t> Order on Reconsideration, FCC 20-121, 35 FCC Rcd 10180 (2020)</w:t>
      </w:r>
      <w:r>
        <w:t>.</w:t>
      </w:r>
      <w:r w:rsidRPr="00AD27A4">
        <w:t xml:space="preserve"> </w:t>
      </w:r>
      <w:r w:rsidRPr="00AD27A4">
        <w:rPr>
          <w:color w:val="2E2E2E"/>
        </w:rPr>
        <w:t xml:space="preserve">  </w:t>
      </w:r>
    </w:p>
  </w:footnote>
  <w:footnote w:id="9">
    <w:p w:rsidR="00792B44" w:rsidRPr="00561CD8" w:rsidP="00792B44" w14:paraId="3CC389CE" w14:textId="77777777">
      <w:pPr>
        <w:pStyle w:val="FootnoteText"/>
      </w:pPr>
      <w:r>
        <w:rPr>
          <w:rStyle w:val="FootnoteReference"/>
        </w:rPr>
        <w:footnoteRef/>
      </w:r>
      <w:r>
        <w:t xml:space="preserve"> The Bureau has delegated authority to analyze service population data, and to perform threshold fair distribution analyses of NCE FM proposals.  </w:t>
      </w:r>
      <w:r w:rsidRPr="004B3CCD">
        <w:rPr>
          <w:i/>
        </w:rPr>
        <w:t>See</w:t>
      </w:r>
      <w:r w:rsidRPr="004B3CCD">
        <w:t xml:space="preserve"> </w:t>
      </w:r>
      <w:r w:rsidRPr="004B3CCD">
        <w:rPr>
          <w:i/>
          <w:iCs/>
        </w:rPr>
        <w:t xml:space="preserve">Comparative Consideration of 76 Groups of Mutually Exclusive Applications, </w:t>
      </w:r>
      <w:r w:rsidRPr="004B3CCD">
        <w:t>Memorandum Opinion and Order, 22 FCC Rcd 6101, n.16</w:t>
      </w:r>
      <w:r>
        <w:t xml:space="preserve"> (2007)</w:t>
      </w:r>
      <w:r w:rsidRPr="004B3CCD">
        <w:t xml:space="preserve">.  </w:t>
      </w:r>
      <w:r w:rsidRPr="004B3CCD">
        <w:rPr>
          <w:i/>
        </w:rPr>
        <w:t xml:space="preserve">See also </w:t>
      </w:r>
      <w:r w:rsidRPr="004B3CCD">
        <w:t>47 CFR §§ 0.61 and 0.283.</w:t>
      </w:r>
      <w:r>
        <w:t xml:space="preserve">  The Commission expects that the Bureau will continue to issue fair distribution orders under delegated authority.  </w:t>
      </w:r>
      <w:r w:rsidRPr="006E5152">
        <w:rPr>
          <w:i/>
          <w:iCs/>
        </w:rPr>
        <w:t>See</w:t>
      </w:r>
      <w:r>
        <w:t xml:space="preserve">, </w:t>
      </w:r>
      <w:r w:rsidRPr="006E5152">
        <w:rPr>
          <w:i/>
          <w:iCs/>
        </w:rPr>
        <w:t>e.g.</w:t>
      </w:r>
      <w:r>
        <w:t xml:space="preserve">, </w:t>
      </w:r>
      <w:r w:rsidRPr="006E5152">
        <w:rPr>
          <w:i/>
          <w:iCs/>
        </w:rPr>
        <w:t>Threshold Fair Distribution Analysis of 20 Groups of Mutually Exclusive Applications for Permits to Construct New Noncommercial Educational FM Stations</w:t>
      </w:r>
      <w:r>
        <w:t xml:space="preserve">, Memorandum Opinion and Order, DA 22-314 (MB Mar. 24, 2022); </w:t>
      </w:r>
      <w:r w:rsidRPr="006E5152">
        <w:rPr>
          <w:i/>
          <w:iCs/>
        </w:rPr>
        <w:t>Threshold Fair Distribution Analysis of 15 Groups of Mutually Exclusive Applications for Permits to Construct New Noncommercial Educational FM Stations</w:t>
      </w:r>
      <w:r>
        <w:t xml:space="preserve">, Memorandum Opinion and Order, DA 22-238 (MB Mar. 9, 2022); </w:t>
      </w:r>
      <w:r w:rsidRPr="006E5152">
        <w:rPr>
          <w:i/>
          <w:iCs/>
        </w:rPr>
        <w:t>Threshold Fair Distribution Analysis of Mutually Exclusive Applications of the Blackfeet Tribe of the Blackfeet Indian Reservation of Montana and Holy Spirit Radio, Inc., for Permits to Construct New Noncommercial Educational FM Stations Filed in November 2021 Window</w:t>
      </w:r>
      <w:r>
        <w:t>, Memorandum Opinion and Order, DA 22-210 (MB Mar. 2, 2022).</w:t>
      </w:r>
    </w:p>
  </w:footnote>
  <w:footnote w:id="10">
    <w:p w:rsidR="00D2065F" w:rsidRPr="004B3CCD" w:rsidP="00D2065F" w14:paraId="593161F3" w14:textId="77777777">
      <w:pPr>
        <w:pStyle w:val="FootnoteText"/>
      </w:pPr>
      <w:r w:rsidRPr="004B3CCD">
        <w:rPr>
          <w:rStyle w:val="FootnoteReference"/>
        </w:rPr>
        <w:footnoteRef/>
      </w:r>
      <w:r w:rsidRPr="004B3CCD">
        <w:t xml:space="preserve"> </w:t>
      </w:r>
      <w:r w:rsidRPr="004B3CCD">
        <w:rPr>
          <w:i/>
        </w:rPr>
        <w:t xml:space="preserve">See </w:t>
      </w:r>
      <w:r w:rsidRPr="004B3CCD">
        <w:t>47 U.S.C. § 307(b)</w:t>
      </w:r>
      <w:r w:rsidRPr="004B3CCD">
        <w:rPr>
          <w:i/>
        </w:rPr>
        <w:t xml:space="preserve"> </w:t>
      </w:r>
      <w:r w:rsidRPr="004B3CCD">
        <w:rPr>
          <w:iCs/>
        </w:rPr>
        <w:t xml:space="preserve">(“In considering applications for licenses </w:t>
      </w:r>
      <w:r>
        <w:rPr>
          <w:iCs/>
        </w:rPr>
        <w:t>. . .</w:t>
      </w:r>
      <w:r w:rsidRPr="004B3CCD">
        <w:rPr>
          <w:iCs/>
        </w:rPr>
        <w:t xml:space="preserve"> when and insofar as there is demand for the same, the Commission shall make such distribution of licenses, frequencies, hours of operation, and of power among the several States and communities as to provide a fair, efficient, and equitable distribution of radio service to each of the same.”)</w:t>
      </w:r>
      <w:r w:rsidRPr="004B3CCD">
        <w:t xml:space="preserve">; 47 CFR § 73.7002(a). </w:t>
      </w:r>
    </w:p>
  </w:footnote>
  <w:footnote w:id="11">
    <w:p w:rsidR="00A76457" w14:paraId="5C4E6A45" w14:textId="3FBB79A8">
      <w:pPr>
        <w:pStyle w:val="FootnoteText"/>
      </w:pPr>
      <w:r>
        <w:rPr>
          <w:rStyle w:val="FootnoteReference"/>
        </w:rPr>
        <w:footnoteRef/>
      </w:r>
      <w:r>
        <w:t xml:space="preserve"> </w:t>
      </w:r>
      <w:r w:rsidRPr="00CF6D0F">
        <w:t>47 CFR § 73.700</w:t>
      </w:r>
      <w:r>
        <w:t>2(a), (b)</w:t>
      </w:r>
      <w:r w:rsidRPr="00CF6D0F">
        <w:t>.</w:t>
      </w:r>
    </w:p>
  </w:footnote>
  <w:footnote w:id="12">
    <w:p w:rsidR="00D2065F" w:rsidRPr="00CF6D0F" w:rsidP="00D2065F" w14:paraId="214E7EA7" w14:textId="636D197B">
      <w:pPr>
        <w:pStyle w:val="FootnoteText"/>
        <w:jc w:val="both"/>
      </w:pPr>
      <w:r w:rsidRPr="00CF6D0F">
        <w:rPr>
          <w:rStyle w:val="FootnoteReference"/>
        </w:rPr>
        <w:footnoteRef/>
      </w:r>
      <w:r w:rsidRPr="00CF6D0F">
        <w:t xml:space="preserve"> 47 CFR § 73.7003.  </w:t>
      </w:r>
    </w:p>
  </w:footnote>
  <w:footnote w:id="13">
    <w:p w:rsidR="00CF71A1" w:rsidRPr="004B3CCD" w:rsidP="00CF71A1" w14:paraId="06EEAD4A" w14:textId="77777777">
      <w:pPr>
        <w:pStyle w:val="FootnoteText"/>
      </w:pPr>
      <w:r w:rsidRPr="004B3CCD">
        <w:rPr>
          <w:rStyle w:val="FootnoteReference"/>
        </w:rPr>
        <w:footnoteRef/>
      </w:r>
      <w:r w:rsidRPr="004B3CCD">
        <w:t xml:space="preserve"> </w:t>
      </w:r>
      <w:r w:rsidRPr="004B3CCD">
        <w:rPr>
          <w:i/>
          <w:iCs/>
        </w:rPr>
        <w:t>See Media Bureau Announces NCE FM New Station Application Filing Window; Window Open from November 2, 2021, to November 9, 2021</w:t>
      </w:r>
      <w:r w:rsidRPr="004B3CCD">
        <w:t>, MB Docket No. 20-343, Public Notice, 36 FCC Rcd 7449 (MB 2021).  The window was available for FM reserved band (channels 201-220) proposals.</w:t>
      </w:r>
      <w:r w:rsidRPr="004B3CCD">
        <w:rPr>
          <w:i/>
          <w:iCs/>
        </w:rPr>
        <w:t xml:space="preserve">  See </w:t>
      </w:r>
      <w:r w:rsidRPr="004B3CCD">
        <w:t xml:space="preserve">47 CFR § 73.501.   </w:t>
      </w:r>
    </w:p>
  </w:footnote>
  <w:footnote w:id="14">
    <w:p w:rsidR="00CF71A1" w:rsidRPr="004B3CCD" w:rsidP="00CF71A1" w14:paraId="0D7AA89B" w14:textId="08B836A7">
      <w:pPr>
        <w:pStyle w:val="FootnoteText"/>
      </w:pPr>
      <w:r w:rsidRPr="004B3CCD">
        <w:rPr>
          <w:rStyle w:val="FootnoteReference"/>
        </w:rPr>
        <w:footnoteRef/>
      </w:r>
      <w:r w:rsidRPr="004B3CCD">
        <w:t xml:space="preserve"> File No. 0000167</w:t>
      </w:r>
      <w:r w:rsidR="002E3E67">
        <w:t>868</w:t>
      </w:r>
      <w:r w:rsidRPr="004B3CCD">
        <w:t>.</w:t>
      </w:r>
    </w:p>
  </w:footnote>
  <w:footnote w:id="15">
    <w:p w:rsidR="00CF71A1" w:rsidRPr="004B3CCD" w:rsidP="00CF71A1" w14:paraId="35A3090B" w14:textId="77777777">
      <w:pPr>
        <w:pStyle w:val="FootnoteText"/>
      </w:pPr>
      <w:r w:rsidRPr="004B3CCD">
        <w:rPr>
          <w:rStyle w:val="FootnoteReference"/>
        </w:rPr>
        <w:footnoteRef/>
      </w:r>
      <w:r w:rsidRPr="004B3CCD">
        <w:t xml:space="preserve"> </w:t>
      </w:r>
      <w:r w:rsidRPr="004B3CCD">
        <w:rPr>
          <w:i/>
          <w:iCs/>
        </w:rPr>
        <w:t xml:space="preserve">See NCE MX Public Notice </w:t>
      </w:r>
      <w:r w:rsidRPr="004B3CCD">
        <w:t>at 2-5.</w:t>
      </w:r>
    </w:p>
  </w:footnote>
  <w:footnote w:id="16">
    <w:p w:rsidR="00CF71A1" w:rsidRPr="004B3CCD" w:rsidP="00CF71A1" w14:paraId="4A9EB074" w14:textId="77777777">
      <w:pPr>
        <w:pStyle w:val="FootnoteText"/>
      </w:pPr>
      <w:r w:rsidRPr="004B3CCD">
        <w:rPr>
          <w:rStyle w:val="FootnoteReference"/>
        </w:rPr>
        <w:footnoteRef/>
      </w:r>
      <w:r w:rsidRPr="004B3CCD">
        <w:t xml:space="preserve"> 47 CFR §§ 73.7000 – 7005.  </w:t>
      </w:r>
    </w:p>
  </w:footnote>
  <w:footnote w:id="17">
    <w:p w:rsidR="00934EE1" w14:paraId="1BE334A9" w14:textId="218A1278">
      <w:pPr>
        <w:pStyle w:val="FootnoteText"/>
      </w:pPr>
      <w:r>
        <w:rPr>
          <w:rStyle w:val="FootnoteReference"/>
        </w:rPr>
        <w:footnoteRef/>
      </w:r>
      <w:r>
        <w:t xml:space="preserve"> </w:t>
      </w:r>
      <w:r w:rsidRPr="00934EE1">
        <w:rPr>
          <w:i/>
          <w:iCs/>
        </w:rPr>
        <w:t>See supra</w:t>
      </w:r>
      <w:r>
        <w:t xml:space="preserve"> para. 2.</w:t>
      </w:r>
    </w:p>
  </w:footnote>
  <w:footnote w:id="18">
    <w:p w:rsidR="00CF71A1" w:rsidRPr="001921C4" w:rsidP="00CF71A1" w14:paraId="765A65D0" w14:textId="77777777">
      <w:pPr>
        <w:pStyle w:val="FootnoteText"/>
      </w:pPr>
      <w:r>
        <w:rPr>
          <w:rStyle w:val="FootnoteReference"/>
        </w:rPr>
        <w:footnoteRef/>
      </w:r>
      <w:r>
        <w:t xml:space="preserve"> </w:t>
      </w:r>
      <w:r w:rsidRPr="00366A72">
        <w:rPr>
          <w:i/>
          <w:iCs/>
        </w:rPr>
        <w:t xml:space="preserve">See </w:t>
      </w:r>
      <w:r w:rsidRPr="00366A72">
        <w:t>47 CFR § 73.7002</w:t>
      </w:r>
      <w:r w:rsidRPr="004B3CCD">
        <w:t xml:space="preserve">; </w:t>
      </w:r>
      <w:r w:rsidRPr="000A04D0">
        <w:rPr>
          <w:i/>
          <w:iCs/>
        </w:rPr>
        <w:t xml:space="preserve">Reexamination of Comparative Standards for Noncommercial Educational Applicants, </w:t>
      </w:r>
      <w:r w:rsidRPr="000A04D0">
        <w:t>Report and Order, 15 FCC Rcd 7386, 7396 (2000) (</w:t>
      </w:r>
      <w:r w:rsidRPr="000A04D0">
        <w:rPr>
          <w:i/>
          <w:iCs/>
        </w:rPr>
        <w:t>NCE Order</w:t>
      </w:r>
      <w:r w:rsidRPr="000A04D0">
        <w:t>) (concluding that “fair distribution of stations to communities should remain a threshold issue”), Memorandum Opinion and Order, 16 FCC Rcd 5074, 5077 (2001)</w:t>
      </w:r>
      <w:r>
        <w:t xml:space="preserve"> (</w:t>
      </w:r>
      <w:r>
        <w:rPr>
          <w:i/>
          <w:iCs/>
        </w:rPr>
        <w:t>NCE MO&amp;O</w:t>
      </w:r>
      <w:r w:rsidRPr="00AB3027">
        <w:t>)</w:t>
      </w:r>
      <w:r>
        <w:rPr>
          <w:i/>
          <w:iCs/>
        </w:rPr>
        <w:t xml:space="preserve"> </w:t>
      </w:r>
      <w:r>
        <w:t>(“when competing FM applications propose to serve different communities, a proposal would be considered best, as a threshold matter, if it would provide service to a significant unserved or underserved population”).</w:t>
      </w:r>
      <w:r w:rsidRPr="004B3CCD">
        <w:t xml:space="preserve"> </w:t>
      </w:r>
      <w:r>
        <w:t xml:space="preserve"> </w:t>
      </w:r>
    </w:p>
  </w:footnote>
  <w:footnote w:id="19">
    <w:p w:rsidR="00CF71A1" w:rsidRPr="004B3CCD" w:rsidP="00CF71A1" w14:paraId="09F1C1AF" w14:textId="77777777">
      <w:pPr>
        <w:pStyle w:val="FootnoteText"/>
      </w:pPr>
      <w:r w:rsidRPr="004B3CCD">
        <w:rPr>
          <w:rStyle w:val="FootnoteReference"/>
        </w:rPr>
        <w:footnoteRef/>
      </w:r>
      <w:r w:rsidRPr="004B3CCD">
        <w:t xml:space="preserve"> </w:t>
      </w:r>
      <w:r w:rsidRPr="004B3CCD">
        <w:rPr>
          <w:i/>
        </w:rPr>
        <w:t xml:space="preserve">See </w:t>
      </w:r>
      <w:r w:rsidRPr="004B3CCD">
        <w:t>47 U.S.C. § 307(b)</w:t>
      </w:r>
      <w:r w:rsidRPr="004B3CCD">
        <w:rPr>
          <w:i/>
        </w:rPr>
        <w:t xml:space="preserve"> </w:t>
      </w:r>
      <w:r w:rsidRPr="004B3CCD">
        <w:rPr>
          <w:iCs/>
        </w:rPr>
        <w:t xml:space="preserve">(“In considering applications for licenses </w:t>
      </w:r>
      <w:r>
        <w:rPr>
          <w:iCs/>
        </w:rPr>
        <w:t>. . .</w:t>
      </w:r>
      <w:r w:rsidRPr="004B3CCD">
        <w:rPr>
          <w:iCs/>
        </w:rPr>
        <w:t xml:space="preserve"> when and insofar as there is demand for the same, the Commission shall make such distribution of licenses, frequencies, hours of operation, and of power among the several States and communities as to provide a fair, efficient, and equitable distribution of radio service to each of the same.”)</w:t>
      </w:r>
      <w:r w:rsidRPr="004B3CCD">
        <w:t xml:space="preserve">; 47 CFR § 73.7002(a). </w:t>
      </w:r>
    </w:p>
  </w:footnote>
  <w:footnote w:id="20">
    <w:p w:rsidR="00CF71A1" w:rsidRPr="004B3CCD" w:rsidP="00CF71A1" w14:paraId="1A9FFDB0" w14:textId="77777777">
      <w:pPr>
        <w:pStyle w:val="FootnoteText"/>
      </w:pPr>
      <w:r w:rsidRPr="004B3CCD">
        <w:rPr>
          <w:rStyle w:val="FootnoteReference"/>
        </w:rPr>
        <w:footnoteRef/>
      </w:r>
      <w:r w:rsidRPr="004B3CCD">
        <w:t xml:space="preserve"> </w:t>
      </w:r>
      <w:r w:rsidRPr="006F42F6">
        <w:rPr>
          <w:i/>
          <w:iCs/>
        </w:rPr>
        <w:t>See</w:t>
      </w:r>
      <w:r w:rsidRPr="006F42F6">
        <w:t xml:space="preserve"> 47 CFR §§ 73.7000, 73.7002(b).</w:t>
      </w:r>
    </w:p>
  </w:footnote>
  <w:footnote w:id="21">
    <w:p w:rsidR="00CF71A1" w:rsidP="00CF71A1" w14:paraId="06D41BBD" w14:textId="77777777">
      <w:pPr>
        <w:pStyle w:val="FootnoteText"/>
      </w:pPr>
      <w:r>
        <w:rPr>
          <w:rStyle w:val="FootnoteReference"/>
        </w:rPr>
        <w:footnoteRef/>
      </w:r>
      <w:r>
        <w:t xml:space="preserve"> The terms “fair distribution preference” and “Section 307(b) preference” are used interchangeably to refer to the preference given to an MX application that is deemed to substantially further the fair distribution of service goals enunciated in Section 307(b) of the Act.</w:t>
      </w:r>
    </w:p>
  </w:footnote>
  <w:footnote w:id="22">
    <w:p w:rsidR="00CF71A1" w:rsidRPr="004D5CB1" w:rsidP="004D5CB1" w14:paraId="27AEE466" w14:textId="25930A50">
      <w:pPr>
        <w:pStyle w:val="FootnoteText"/>
        <w:rPr>
          <w:rFonts w:ascii="Verdana" w:hAnsi="Verdana" w:cs="Verdana"/>
          <w:color w:val="262626"/>
        </w:rPr>
      </w:pPr>
      <w:r w:rsidRPr="008078FB">
        <w:rPr>
          <w:rStyle w:val="FootnoteReference"/>
        </w:rPr>
        <w:footnoteRef/>
      </w:r>
      <w:r w:rsidRPr="00A76B0D">
        <w:t xml:space="preserve"> </w:t>
      </w:r>
      <w:r w:rsidRPr="00A76B0D">
        <w:rPr>
          <w:i/>
          <w:iCs/>
        </w:rPr>
        <w:t xml:space="preserve">See </w:t>
      </w:r>
      <w:r w:rsidRPr="00A76B0D">
        <w:t>47 CFR § 73.7000 (defining a “Tribal Applicant” as  “(1) a Tribe or consortium of Tribes, or (2) an entity that is 50 percent or more owned or controlled by a Tribe or Tribes that occupy Tribal Lands that receive Tribal Coverage.”).</w:t>
      </w:r>
    </w:p>
  </w:footnote>
  <w:footnote w:id="23">
    <w:p w:rsidR="00CF71A1" w:rsidRPr="004D5CB1" w:rsidP="004D5CB1" w14:paraId="02D3AF7B" w14:textId="34707CD0">
      <w:pPr>
        <w:pStyle w:val="FootnoteText"/>
        <w:rPr>
          <w:color w:val="262626"/>
        </w:rPr>
      </w:pPr>
      <w:r w:rsidRPr="008078FB">
        <w:rPr>
          <w:rStyle w:val="FootnoteReference"/>
        </w:rPr>
        <w:footnoteRef/>
      </w:r>
      <w:r w:rsidRPr="003E3465">
        <w:t xml:space="preserve"> </w:t>
      </w:r>
      <w:r w:rsidRPr="003E3465">
        <w:rPr>
          <w:i/>
          <w:iCs/>
        </w:rPr>
        <w:t xml:space="preserve">Id. </w:t>
      </w:r>
      <w:r w:rsidRPr="003E3465">
        <w:t xml:space="preserve">(defining “Tribal Coverage” as </w:t>
      </w:r>
      <w:r w:rsidRPr="008078FB">
        <w:rPr>
          <w:color w:val="262626"/>
        </w:rPr>
        <w:t>“(1)</w:t>
      </w:r>
      <w:r w:rsidRPr="003E3465">
        <w:rPr>
          <w:color w:val="262626"/>
        </w:rPr>
        <w:t xml:space="preserve"> </w:t>
      </w:r>
      <w:r w:rsidRPr="006E2C43">
        <w:rPr>
          <w:color w:val="262626"/>
        </w:rPr>
        <w:t>Coverage of a Tribal Applicant's or Tribal Applicants' Tribal Lands</w:t>
      </w:r>
      <w:r>
        <w:rPr>
          <w:color w:val="262626"/>
        </w:rPr>
        <w:t xml:space="preserve"> </w:t>
      </w:r>
      <w:r w:rsidRPr="00A76B0D">
        <w:rPr>
          <w:color w:val="262626"/>
        </w:rPr>
        <w:t>by at</w:t>
      </w:r>
      <w:r>
        <w:rPr>
          <w:color w:val="262626"/>
        </w:rPr>
        <w:t xml:space="preserve"> least</w:t>
      </w:r>
      <w:r w:rsidRPr="00A76B0D">
        <w:rPr>
          <w:color w:val="262626"/>
        </w:rPr>
        <w:t xml:space="preserve"> 50 percent of a facility's 60 dB</w:t>
      </w:r>
      <w:r w:rsidR="00677483">
        <w:rPr>
          <w:color w:val="262626"/>
        </w:rPr>
        <w:t>µ</w:t>
      </w:r>
      <w:r w:rsidRPr="00A76B0D">
        <w:rPr>
          <w:color w:val="262626"/>
        </w:rPr>
        <w:t xml:space="preserve"> (1 mV/m) contour, or</w:t>
      </w:r>
      <w:r>
        <w:rPr>
          <w:color w:val="262626"/>
        </w:rPr>
        <w:t xml:space="preserve"> (2) The facility’s 60 dB</w:t>
      </w:r>
      <w:r w:rsidR="00677483">
        <w:rPr>
          <w:color w:val="262626"/>
        </w:rPr>
        <w:t>µ</w:t>
      </w:r>
      <w:r>
        <w:rPr>
          <w:color w:val="262626"/>
        </w:rPr>
        <w:t xml:space="preserve"> (1 mV/m) contour (</w:t>
      </w:r>
      <w:r>
        <w:rPr>
          <w:color w:val="262626"/>
        </w:rPr>
        <w:t>i</w:t>
      </w:r>
      <w:r>
        <w:rPr>
          <w:color w:val="262626"/>
        </w:rPr>
        <w:t xml:space="preserve">) Covers 50 percent or more of a </w:t>
      </w:r>
      <w:r w:rsidRPr="00745631">
        <w:rPr>
          <w:color w:val="262626"/>
        </w:rPr>
        <w:t>Tribal Applicant’s or Tribal Applicants’ Tribal Lands</w:t>
      </w:r>
      <w:r>
        <w:rPr>
          <w:color w:val="262626"/>
        </w:rPr>
        <w:t xml:space="preserve">, (ii) Serves at least 2,000 people living on Tribal Lands, and (iii) The total population on Tribal Lands </w:t>
      </w:r>
      <w:r w:rsidRPr="004D5CB1">
        <w:t>residing</w:t>
      </w:r>
      <w:r>
        <w:rPr>
          <w:color w:val="262626"/>
        </w:rPr>
        <w:t xml:space="preserve"> within the station’s service contour constitutes at least 50 percent of the total </w:t>
      </w:r>
      <w:r w:rsidRPr="004D5CB1">
        <w:rPr>
          <w:kern w:val="28"/>
        </w:rPr>
        <w:t>covered</w:t>
      </w:r>
      <w:r>
        <w:rPr>
          <w:color w:val="262626"/>
        </w:rPr>
        <w:t xml:space="preserve"> population.”</w:t>
      </w:r>
      <w:r w:rsidR="00A47E5E">
        <w:rPr>
          <w:color w:val="262626"/>
        </w:rPr>
        <w:t>).</w:t>
      </w:r>
    </w:p>
  </w:footnote>
  <w:footnote w:id="24">
    <w:p w:rsidR="00CF71A1" w:rsidRPr="004B3CCD" w:rsidP="00CF71A1" w14:paraId="0DFFBA1C" w14:textId="4E4AC5E2">
      <w:pPr>
        <w:pStyle w:val="FootnoteText"/>
      </w:pPr>
      <w:r w:rsidRPr="004B3CCD">
        <w:rPr>
          <w:rStyle w:val="FootnoteReference"/>
        </w:rPr>
        <w:footnoteRef/>
      </w:r>
      <w:r w:rsidRPr="004B3CCD">
        <w:t xml:space="preserve"> 47 CFR § 73.7002(b).</w:t>
      </w:r>
      <w:r>
        <w:t xml:space="preserve">  If there is no Tribal Applicant in an MX group, the </w:t>
      </w:r>
      <w:r w:rsidR="00647713">
        <w:t>Commission</w:t>
      </w:r>
      <w:r>
        <w:t xml:space="preserve"> proceeds to the second step in the Section 307(b) analysis and determines whether any applicant would provide a first or second reserved band channel NCE aural service to a substantial population (the First or Second NCE Service Preference) and compares population coverage totals.  </w:t>
      </w:r>
      <w:r>
        <w:rPr>
          <w:i/>
          <w:iCs/>
        </w:rPr>
        <w:t xml:space="preserve">Id.  </w:t>
      </w:r>
      <w:r>
        <w:t>In an MX group with a Tribal Applicant, an applicant qualifying for a Tribal Priority, however, will prevail over any MX applicant claiming a First or Second NCE Service Preference.  In such cases, this second step (First and Second NCE Service Preference analysis) is moot.</w:t>
      </w:r>
      <w:r w:rsidRPr="004B3CCD">
        <w:t xml:space="preserve">  </w:t>
      </w:r>
    </w:p>
  </w:footnote>
  <w:footnote w:id="25">
    <w:p w:rsidR="00CF71A1" w:rsidP="00CF71A1" w14:paraId="26936F09" w14:textId="77777777">
      <w:pPr>
        <w:pStyle w:val="FootnoteText"/>
      </w:pPr>
      <w:r w:rsidRPr="00FF6D9C">
        <w:rPr>
          <w:rStyle w:val="FootnoteReference"/>
        </w:rPr>
        <w:footnoteRef/>
      </w:r>
      <w:r w:rsidRPr="00FF6D9C">
        <w:t xml:space="preserve"> The Tribal Priority, however, will not prevail over a proposal for a first overall aural reception service to a significant population.  </w:t>
      </w:r>
      <w:r w:rsidRPr="00FF6D9C">
        <w:rPr>
          <w:i/>
        </w:rPr>
        <w:t>See Policies to Promote Rural Radio Service and to Streamline Allotment and Assignment Procedures</w:t>
      </w:r>
      <w:r w:rsidRPr="00FF6D9C">
        <w:t>, First Report and Order, 25 FCC Rcd 1583, 1594 (2010) (</w:t>
      </w:r>
      <w:r w:rsidRPr="00FF6D9C">
        <w:rPr>
          <w:i/>
          <w:iCs/>
        </w:rPr>
        <w:t>Rural Radio First R&amp;O</w:t>
      </w:r>
      <w:r w:rsidRPr="00FF6D9C">
        <w:t>).</w:t>
      </w:r>
      <w:r w:rsidRPr="004B3CCD">
        <w:t xml:space="preserve">  We only review and consider a claim that an applicant will provide a first overall aural reception service (</w:t>
      </w:r>
      <w:r w:rsidRPr="004B3CCD">
        <w:rPr>
          <w:i/>
          <w:iCs/>
        </w:rPr>
        <w:t xml:space="preserve">see </w:t>
      </w:r>
      <w:r w:rsidRPr="004B3CCD">
        <w:t xml:space="preserve">FCC Form 2100, Schedule 340, Fair Distribution of Service Section, Question 1) if the application is mutually exclusive with an application claiming a Tribal Priority.  </w:t>
      </w:r>
      <w:r w:rsidRPr="004B3CCD">
        <w:rPr>
          <w:i/>
          <w:iCs/>
        </w:rPr>
        <w:t xml:space="preserve">See </w:t>
      </w:r>
      <w:r w:rsidRPr="004B3CCD">
        <w:t xml:space="preserve">FCC Form 2100, Schedule 340, Instructions for Fair Distribution of Service at 12-13.  </w:t>
      </w:r>
    </w:p>
  </w:footnote>
  <w:footnote w:id="26">
    <w:p w:rsidR="00CF71A1" w:rsidRPr="004B3CCD" w:rsidP="00CF71A1" w14:paraId="011772DB" w14:textId="3EAF734A">
      <w:pPr>
        <w:pStyle w:val="FootnoteText"/>
      </w:pPr>
      <w:r w:rsidRPr="004B3CCD">
        <w:rPr>
          <w:rStyle w:val="FootnoteReference"/>
        </w:rPr>
        <w:footnoteRef/>
      </w:r>
      <w:r w:rsidRPr="004B3CCD">
        <w:t xml:space="preserve"> 47 CFR § 73.7002(b).</w:t>
      </w:r>
    </w:p>
  </w:footnote>
  <w:footnote w:id="27">
    <w:p w:rsidR="00CF71A1" w:rsidRPr="004B3CCD" w:rsidP="00CF71A1" w14:paraId="758336F5" w14:textId="77777777">
      <w:pPr>
        <w:pStyle w:val="FootnoteText"/>
      </w:pPr>
      <w:r w:rsidRPr="004B3CCD">
        <w:rPr>
          <w:rStyle w:val="FootnoteReference"/>
        </w:rPr>
        <w:footnoteRef/>
      </w:r>
      <w:r w:rsidRPr="004B3CCD">
        <w:t xml:space="preserve"> </w:t>
      </w:r>
      <w:r w:rsidRPr="00B81B81">
        <w:rPr>
          <w:i/>
        </w:rPr>
        <w:t xml:space="preserve">See </w:t>
      </w:r>
      <w:r w:rsidRPr="00B81B81">
        <w:rPr>
          <w:iCs/>
        </w:rPr>
        <w:t xml:space="preserve">47 CFR </w:t>
      </w:r>
      <w:r w:rsidRPr="00B81B81">
        <w:t>§ 73.7005(b);</w:t>
      </w:r>
      <w:r w:rsidRPr="004B3CCD">
        <w:t xml:space="preserve"> </w:t>
      </w:r>
      <w:r w:rsidRPr="004B3CCD">
        <w:rPr>
          <w:i/>
          <w:iCs/>
        </w:rPr>
        <w:t xml:space="preserve">see also </w:t>
      </w:r>
      <w:r w:rsidRPr="004B3CCD">
        <w:t>47 CFR § 73.7002(c).</w:t>
      </w:r>
      <w:r>
        <w:t xml:space="preserve">  In particular, during this period, any Tribal Applicant, which receives a decisive Section 307(b) preference, cannot “</w:t>
      </w:r>
      <w:r w:rsidRPr="004B3CCD">
        <w:t>(</w:t>
      </w:r>
      <w:r w:rsidRPr="004B3CCD">
        <w:t>i</w:t>
      </w:r>
      <w:r w:rsidRPr="004B3CCD">
        <w:t>) assign or transfer the authorization except to another party that qualifies as a Tribal Applicant; (ii) change the facility’s community of license; or (iii) effect a technical change that would cause the facility to provide less than full Tribal Coverage.</w:t>
      </w:r>
      <w:r>
        <w:t>”</w:t>
      </w:r>
      <w:r w:rsidRPr="004B3CCD">
        <w:t xml:space="preserve">  </w:t>
      </w:r>
      <w:r>
        <w:rPr>
          <w:i/>
          <w:iCs/>
        </w:rPr>
        <w:t>Id.</w:t>
      </w:r>
      <w:r w:rsidRPr="004B3CCD">
        <w:t xml:space="preserve"> § 73.7002(c)(2).</w:t>
      </w:r>
    </w:p>
  </w:footnote>
  <w:footnote w:id="28">
    <w:p w:rsidR="000C344D" w:rsidRPr="004B3CCD" w:rsidP="000C344D" w14:paraId="2446D070" w14:textId="710840B2">
      <w:pPr>
        <w:pStyle w:val="FootnoteText"/>
      </w:pPr>
      <w:r w:rsidRPr="004B3CCD">
        <w:rPr>
          <w:rStyle w:val="FootnoteReference"/>
        </w:rPr>
        <w:footnoteRef/>
      </w:r>
      <w:r w:rsidRPr="004B3CCD">
        <w:t xml:space="preserve"> </w:t>
      </w:r>
      <w:r w:rsidRPr="003970FF">
        <w:rPr>
          <w:i/>
        </w:rPr>
        <w:t>See Policies to Promote Rural Radio Service and to Streamline Allotment and Assignment Procedures</w:t>
      </w:r>
      <w:r w:rsidRPr="003970FF">
        <w:t>, Notice of Proposed Rule Making, 24 FCC Rcd 5239 (2009) (</w:t>
      </w:r>
      <w:r w:rsidRPr="003970FF" w:rsidR="005D7CBD">
        <w:rPr>
          <w:i/>
          <w:iCs/>
        </w:rPr>
        <w:t>Rural Radio</w:t>
      </w:r>
      <w:r w:rsidRPr="003970FF" w:rsidR="005D7CBD">
        <w:t xml:space="preserve"> </w:t>
      </w:r>
      <w:r w:rsidRPr="003970FF">
        <w:rPr>
          <w:i/>
          <w:iCs/>
        </w:rPr>
        <w:t>NPRM</w:t>
      </w:r>
      <w:r w:rsidRPr="003970FF">
        <w:t>); First Report and Order, 25 FCC Rcd 1583 (2010)</w:t>
      </w:r>
      <w:r w:rsidR="005E7B41">
        <w:t xml:space="preserve"> (</w:t>
      </w:r>
      <w:r w:rsidRPr="005E7B41" w:rsidR="005E7B41">
        <w:rPr>
          <w:i/>
          <w:iCs/>
        </w:rPr>
        <w:t>Rural Radio First R&amp;O</w:t>
      </w:r>
      <w:r w:rsidR="005E7B41">
        <w:t>)</w:t>
      </w:r>
      <w:r w:rsidRPr="003970FF">
        <w:t>; Second Report and Order,</w:t>
      </w:r>
      <w:r w:rsidRPr="003970FF" w:rsidR="00D22FD5">
        <w:t xml:space="preserve"> First Order on Reconsideration, and </w:t>
      </w:r>
      <w:r w:rsidRPr="003970FF" w:rsidR="00DC6B04">
        <w:t>Second Further Notice of Proposed Rule Making,</w:t>
      </w:r>
      <w:r w:rsidRPr="003970FF">
        <w:t xml:space="preserve"> 26 FCC Rcd 2556</w:t>
      </w:r>
      <w:r w:rsidRPr="003970FF" w:rsidR="00DC6B04">
        <w:t xml:space="preserve"> (</w:t>
      </w:r>
      <w:r w:rsidRPr="00930037" w:rsidR="00930037">
        <w:rPr>
          <w:i/>
          <w:iCs/>
        </w:rPr>
        <w:t>Rural Radio Second R&amp;O</w:t>
      </w:r>
      <w:r w:rsidR="00930037">
        <w:t xml:space="preserve">; </w:t>
      </w:r>
      <w:r w:rsidRPr="003970FF" w:rsidR="00DC6B04">
        <w:rPr>
          <w:i/>
          <w:iCs/>
        </w:rPr>
        <w:t>Rural Radio First Order on Reconsideration</w:t>
      </w:r>
      <w:r w:rsidRPr="003970FF" w:rsidR="00DC6B04">
        <w:t>)</w:t>
      </w:r>
      <w:r w:rsidRPr="003970FF">
        <w:t xml:space="preserve">; and Third Report and Order, 26 FCC Rcd 17642 (2011) (collectively, </w:t>
      </w:r>
      <w:r w:rsidRPr="003970FF">
        <w:rPr>
          <w:i/>
        </w:rPr>
        <w:t>Rural Radio</w:t>
      </w:r>
      <w:r w:rsidRPr="003970FF">
        <w:t>).</w:t>
      </w:r>
    </w:p>
  </w:footnote>
  <w:footnote w:id="29">
    <w:p w:rsidR="002B69A2" w14:paraId="6CF3B8D4" w14:textId="7806C738">
      <w:pPr>
        <w:pStyle w:val="FootnoteText"/>
      </w:pPr>
      <w:r>
        <w:rPr>
          <w:rStyle w:val="FootnoteReference"/>
        </w:rPr>
        <w:footnoteRef/>
      </w:r>
      <w:r>
        <w:t xml:space="preserve"> </w:t>
      </w:r>
      <w:r w:rsidRPr="00CD6875" w:rsidR="00CD6875">
        <w:rPr>
          <w:i/>
          <w:iCs/>
        </w:rPr>
        <w:t>Rural Radio First R&amp;O</w:t>
      </w:r>
      <w:r w:rsidR="00CD6875">
        <w:t>, 25 FCC Rcd at 1587, para. 8.</w:t>
      </w:r>
    </w:p>
  </w:footnote>
  <w:footnote w:id="30">
    <w:p w:rsidR="000C344D" w:rsidRPr="004B3CCD" w:rsidP="000C344D" w14:paraId="4BB71288" w14:textId="579D0AA6">
      <w:pPr>
        <w:pStyle w:val="FootnoteText"/>
      </w:pPr>
      <w:r w:rsidRPr="004B3CCD">
        <w:rPr>
          <w:rStyle w:val="FootnoteReference"/>
        </w:rPr>
        <w:footnoteRef/>
      </w:r>
      <w:r w:rsidRPr="004B3CCD">
        <w:t xml:space="preserve"> </w:t>
      </w:r>
      <w:r w:rsidR="00CD6875">
        <w:rPr>
          <w:i/>
        </w:rPr>
        <w:t>Id</w:t>
      </w:r>
      <w:r w:rsidR="00CD6875">
        <w:rPr>
          <w:iCs/>
        </w:rPr>
        <w:t>.</w:t>
      </w:r>
      <w:r w:rsidRPr="004B3CCD">
        <w:t xml:space="preserve"> at 1596-97</w:t>
      </w:r>
      <w:r w:rsidR="00CD6875">
        <w:t>, paras. 26-27</w:t>
      </w:r>
      <w:r w:rsidRPr="004B3CCD">
        <w:t xml:space="preserve">.  </w:t>
      </w:r>
      <w:r w:rsidRPr="004B3CCD">
        <w:rPr>
          <w:i/>
        </w:rPr>
        <w:t>See also</w:t>
      </w:r>
      <w:r w:rsidRPr="004B3CCD">
        <w:t xml:space="preserve"> </w:t>
      </w:r>
      <w:r w:rsidRPr="004B3CCD" w:rsidR="005D7CBD">
        <w:rPr>
          <w:i/>
          <w:iCs/>
        </w:rPr>
        <w:t>Rural Radio</w:t>
      </w:r>
      <w:r w:rsidRPr="004B3CCD" w:rsidR="005D7CBD">
        <w:t xml:space="preserve"> </w:t>
      </w:r>
      <w:r w:rsidRPr="004B3CCD">
        <w:rPr>
          <w:i/>
          <w:iCs/>
        </w:rPr>
        <w:t>NPRM</w:t>
      </w:r>
      <w:r w:rsidRPr="004B3CCD">
        <w:t>, 24 FCC Rcd at 5248, n.29 (defining “Indian Tribe[s]” and “Federally-Recognized Indian Tribes”), and n.30 (defining “Tribal Lands”); 47 CFR § 73.7000 (defining “Tribe,” “Tribal applicant,” “Tribal coverage,” and “Tribal lands”).</w:t>
      </w:r>
    </w:p>
  </w:footnote>
  <w:footnote w:id="31">
    <w:p w:rsidR="00BA51E5" w:rsidRPr="004B3CCD" w14:paraId="784A0289" w14:textId="15220D13">
      <w:pPr>
        <w:pStyle w:val="FootnoteText"/>
      </w:pPr>
      <w:r w:rsidRPr="004B3CCD">
        <w:rPr>
          <w:rStyle w:val="FootnoteReference"/>
        </w:rPr>
        <w:footnoteRef/>
      </w:r>
      <w:r w:rsidRPr="004B3CCD">
        <w:t xml:space="preserve"> </w:t>
      </w:r>
      <w:r w:rsidRPr="004B3CCD">
        <w:rPr>
          <w:i/>
          <w:iCs/>
        </w:rPr>
        <w:t>See</w:t>
      </w:r>
      <w:r w:rsidRPr="004B3CCD">
        <w:t xml:space="preserve"> 47 CFR </w:t>
      </w:r>
      <w:r w:rsidRPr="004B3CCD" w:rsidR="00D344E0">
        <w:t xml:space="preserve">§§ </w:t>
      </w:r>
      <w:r w:rsidRPr="004B3CCD">
        <w:t>73.7000</w:t>
      </w:r>
      <w:r w:rsidRPr="004B3CCD" w:rsidR="00D344E0">
        <w:t>, 73.7002.</w:t>
      </w:r>
      <w:r w:rsidR="00E23FDF">
        <w:t xml:space="preserve">  To receive a Tribal Priority, the applicant (1) must be a federally recognized Native American Tribe or Alaska Native Village (Tribe), a consortium of Tribes, or an entity 51% or more owned by a Tribe or Tribes; (2) must propose Tribal Coverage, that is, either (a) 50% or more of the proposed facility’s </w:t>
      </w:r>
      <w:r w:rsidR="00807D5A">
        <w:t>60 dBµ</w:t>
      </w:r>
      <w:r w:rsidR="00E23FDF">
        <w:t xml:space="preserve"> contour is comprised of Tribal Lands or (b) the proposed </w:t>
      </w:r>
      <w:r w:rsidR="00807D5A">
        <w:t xml:space="preserve">60 dBµ contour </w:t>
      </w:r>
      <w:r w:rsidR="00E23FDF">
        <w:t>must cover 50</w:t>
      </w:r>
      <w:r w:rsidR="008152DB">
        <w:t xml:space="preserve">% </w:t>
      </w:r>
      <w:r w:rsidR="00E23FDF">
        <w:t>or more of Tribal Lands, a minimum of 2,000 persons living on Tribal Lands, and the population living on Tribal Lands must constitute at least 50</w:t>
      </w:r>
      <w:r w:rsidR="008152DB">
        <w:t xml:space="preserve">% </w:t>
      </w:r>
      <w:r w:rsidR="00E23FDF">
        <w:t xml:space="preserve">of the total covered population, and in neither case may the proposed facility’s </w:t>
      </w:r>
      <w:r w:rsidR="00807D5A">
        <w:t xml:space="preserve">60 dBµ contour </w:t>
      </w:r>
      <w:r w:rsidR="00E23FDF">
        <w:t>cover more than 50</w:t>
      </w:r>
      <w:r w:rsidR="008152DB">
        <w:t xml:space="preserve">% </w:t>
      </w:r>
      <w:r w:rsidR="00E23FDF">
        <w:t xml:space="preserve">of a non-applicant Tribe’s Tribal Lands; (3) must propose a community of license located on Tribal Lands; and (4) </w:t>
      </w:r>
      <w:r w:rsidR="00807D5A">
        <w:t xml:space="preserve">must propose the first local NCE Tribal-owned transmission service at the designated community of license.  </w:t>
      </w:r>
      <w:r w:rsidRPr="00807D5A" w:rsidR="00807D5A">
        <w:rPr>
          <w:i/>
          <w:iCs/>
        </w:rPr>
        <w:t>Id</w:t>
      </w:r>
      <w:r w:rsidR="00807D5A">
        <w:t xml:space="preserve">.  47 CFR § 73.7000 defines the terms used here, including “Tribe,” “Tribal Lands,” and “Tribal Coverage.” </w:t>
      </w:r>
    </w:p>
  </w:footnote>
  <w:footnote w:id="32">
    <w:p w:rsidR="00865A0B" w14:paraId="58DBFE78" w14:textId="2910D1F9">
      <w:pPr>
        <w:pStyle w:val="FootnoteText"/>
      </w:pPr>
      <w:r>
        <w:rPr>
          <w:rStyle w:val="FootnoteReference"/>
        </w:rPr>
        <w:footnoteRef/>
      </w:r>
      <w:r>
        <w:t xml:space="preserve"> </w:t>
      </w:r>
      <w:r w:rsidRPr="00CF5447">
        <w:rPr>
          <w:i/>
          <w:iCs/>
        </w:rPr>
        <w:t>See</w:t>
      </w:r>
      <w:r w:rsidRPr="00CF5447">
        <w:t xml:space="preserve"> File No. 0000167741, Attachment, “Request</w:t>
      </w:r>
      <w:r w:rsidR="0015359C">
        <w:t>_</w:t>
      </w:r>
      <w:r w:rsidRPr="00CF5447">
        <w:t>for</w:t>
      </w:r>
      <w:r w:rsidR="0015359C">
        <w:t>_</w:t>
      </w:r>
      <w:r w:rsidRPr="00CF5447">
        <w:t>Waiver</w:t>
      </w:r>
      <w:r w:rsidR="0015359C">
        <w:t>_</w:t>
      </w:r>
      <w:r w:rsidRPr="00CF5447">
        <w:t>of</w:t>
      </w:r>
      <w:r w:rsidR="0015359C">
        <w:t>_</w:t>
      </w:r>
      <w:r w:rsidRPr="00CF5447">
        <w:t>Criteria</w:t>
      </w:r>
      <w:r w:rsidR="0015359C">
        <w:t>_</w:t>
      </w:r>
      <w:r w:rsidRPr="00CF5447">
        <w:t>for</w:t>
      </w:r>
      <w:r w:rsidR="0015359C">
        <w:t>_</w:t>
      </w:r>
      <w:r w:rsidRPr="00CF5447">
        <w:t>Tribal</w:t>
      </w:r>
      <w:r w:rsidR="0015359C">
        <w:t>_</w:t>
      </w:r>
      <w:r w:rsidRPr="00CF5447">
        <w:t>Priority.pdf”</w:t>
      </w:r>
      <w:r w:rsidRPr="00CF5447" w:rsidR="005C06B2">
        <w:t xml:space="preserve"> (Waiver Attachment).</w:t>
      </w:r>
      <w:r>
        <w:t xml:space="preserve">  </w:t>
      </w:r>
      <w:r w:rsidRPr="00865A0B">
        <w:rPr>
          <w:i/>
          <w:iCs/>
        </w:rPr>
        <w:t>See also</w:t>
      </w:r>
      <w:r>
        <w:t xml:space="preserve"> 47 CFR </w:t>
      </w:r>
      <w:r w:rsidRPr="004B3CCD">
        <w:t>§ 73.7000</w:t>
      </w:r>
      <w:r>
        <w:t xml:space="preserve"> (defining Tribal Coverage).</w:t>
      </w:r>
    </w:p>
  </w:footnote>
  <w:footnote w:id="33">
    <w:p w:rsidR="004B12DD" w14:paraId="3F5A5756" w14:textId="396C3CAD">
      <w:pPr>
        <w:pStyle w:val="FootnoteText"/>
      </w:pPr>
      <w:r>
        <w:rPr>
          <w:rStyle w:val="FootnoteReference"/>
        </w:rPr>
        <w:footnoteRef/>
      </w:r>
      <w:r>
        <w:t xml:space="preserve"> Waiver Attachment at 1</w:t>
      </w:r>
      <w:r w:rsidR="00B31EB9">
        <w:t>.</w:t>
      </w:r>
    </w:p>
  </w:footnote>
  <w:footnote w:id="34">
    <w:p w:rsidR="00921B7F" w14:paraId="14DBA9C2" w14:textId="393017DC">
      <w:pPr>
        <w:pStyle w:val="FootnoteText"/>
      </w:pPr>
      <w:r>
        <w:rPr>
          <w:rStyle w:val="FootnoteReference"/>
        </w:rPr>
        <w:footnoteRef/>
      </w:r>
      <w:r>
        <w:t xml:space="preserve"> </w:t>
      </w:r>
      <w:r w:rsidRPr="0015359C" w:rsidR="0015359C">
        <w:rPr>
          <w:i/>
          <w:iCs/>
        </w:rPr>
        <w:t>Id</w:t>
      </w:r>
      <w:r>
        <w:t>.</w:t>
      </w:r>
    </w:p>
  </w:footnote>
  <w:footnote w:id="35">
    <w:p w:rsidR="00AA328F" w14:paraId="3A36E892" w14:textId="09333052">
      <w:pPr>
        <w:pStyle w:val="FootnoteText"/>
      </w:pPr>
      <w:r>
        <w:rPr>
          <w:rStyle w:val="FootnoteReference"/>
        </w:rPr>
        <w:footnoteRef/>
      </w:r>
      <w:r>
        <w:t xml:space="preserve"> </w:t>
      </w:r>
      <w:r w:rsidRPr="00AA328F">
        <w:rPr>
          <w:i/>
          <w:iCs/>
        </w:rPr>
        <w:t>See</w:t>
      </w:r>
      <w:r>
        <w:t xml:space="preserve"> File No. 0000167741, Attachment, “Tribal_Priority.pdf” (Tribal Priority Attachment).  </w:t>
      </w:r>
      <w:r w:rsidR="00910BE2">
        <w:t xml:space="preserve"> </w:t>
      </w:r>
      <w:r w:rsidR="00B009B2">
        <w:t xml:space="preserve"> </w:t>
      </w:r>
      <w:r>
        <w:t xml:space="preserve"> </w:t>
      </w:r>
    </w:p>
  </w:footnote>
  <w:footnote w:id="36">
    <w:p w:rsidR="00E57E85" w:rsidP="00E57E85" w14:paraId="62BC0D57" w14:textId="77777777">
      <w:pPr>
        <w:pStyle w:val="FootnoteText"/>
      </w:pPr>
      <w:r>
        <w:rPr>
          <w:rStyle w:val="FootnoteReference"/>
        </w:rPr>
        <w:footnoteRef/>
      </w:r>
      <w:r>
        <w:t xml:space="preserve"> </w:t>
      </w:r>
      <w:r w:rsidRPr="00F17E46">
        <w:rPr>
          <w:i/>
          <w:iCs/>
        </w:rPr>
        <w:t>See</w:t>
      </w:r>
      <w:r>
        <w:t xml:space="preserve"> File No. 0000167741, Attachment, “SCTCA_Articles_of_Incorporation_1975-1.pdf.”</w:t>
      </w:r>
    </w:p>
  </w:footnote>
  <w:footnote w:id="37">
    <w:p w:rsidR="00E57E85" w:rsidP="00E57E85" w14:paraId="6358BCA9" w14:textId="3C941FCE">
      <w:pPr>
        <w:pStyle w:val="FootnoteText"/>
      </w:pPr>
      <w:r>
        <w:rPr>
          <w:rStyle w:val="FootnoteReference"/>
        </w:rPr>
        <w:footnoteRef/>
      </w:r>
      <w:r>
        <w:t xml:space="preserve"> </w:t>
      </w:r>
      <w:r w:rsidRPr="00865A0B">
        <w:rPr>
          <w:i/>
          <w:iCs/>
        </w:rPr>
        <w:t>See</w:t>
      </w:r>
      <w:r>
        <w:t xml:space="preserve"> Tribal</w:t>
      </w:r>
      <w:r w:rsidR="00AA328F">
        <w:t xml:space="preserve"> </w:t>
      </w:r>
      <w:r>
        <w:t>Priority</w:t>
      </w:r>
      <w:r w:rsidR="00AA328F">
        <w:t xml:space="preserve"> Attachment</w:t>
      </w:r>
      <w:r w:rsidR="00F71AA2">
        <w:t xml:space="preserve"> at 1</w:t>
      </w:r>
      <w:r w:rsidR="00AA328F">
        <w:t>.</w:t>
      </w:r>
    </w:p>
  </w:footnote>
  <w:footnote w:id="38">
    <w:p w:rsidR="00625873" w14:paraId="32A53645" w14:textId="17DE760C">
      <w:pPr>
        <w:pStyle w:val="FootnoteText"/>
      </w:pPr>
      <w:r>
        <w:rPr>
          <w:rStyle w:val="FootnoteReference"/>
        </w:rPr>
        <w:footnoteRef/>
      </w:r>
      <w:r>
        <w:t xml:space="preserve"> 47 CFR </w:t>
      </w:r>
      <w:r w:rsidRPr="004B3CCD">
        <w:t>§ 73.7000</w:t>
      </w:r>
      <w:r w:rsidR="00476EA3">
        <w:t xml:space="preserve"> (definition of Tribal </w:t>
      </w:r>
      <w:r w:rsidR="006A269C">
        <w:t>c</w:t>
      </w:r>
      <w:r w:rsidR="00476EA3">
        <w:t>overage)</w:t>
      </w:r>
      <w:r>
        <w:t>.</w:t>
      </w:r>
    </w:p>
  </w:footnote>
  <w:footnote w:id="39">
    <w:p w:rsidR="00625873" w14:paraId="2B942016" w14:textId="25BA8B54">
      <w:pPr>
        <w:pStyle w:val="FootnoteText"/>
      </w:pPr>
      <w:r>
        <w:rPr>
          <w:rStyle w:val="FootnoteReference"/>
        </w:rPr>
        <w:footnoteRef/>
      </w:r>
      <w:r>
        <w:t xml:space="preserve"> </w:t>
      </w:r>
      <w:r w:rsidRPr="00625873">
        <w:rPr>
          <w:i/>
          <w:iCs/>
        </w:rPr>
        <w:t>Id</w:t>
      </w:r>
      <w:r>
        <w:t xml:space="preserve">.  To meet this requirement, the 60 dBµ contour must not only cover over 50% of the applicant’s Tribal Lands, but must also cover a minimum of 2,000 people living on Tribal Lands, and the covered population living on Tribal Lands must constitute at least 50% of the total covered population.  </w:t>
      </w:r>
      <w:r w:rsidRPr="00625873">
        <w:rPr>
          <w:i/>
          <w:iCs/>
        </w:rPr>
        <w:t>Id</w:t>
      </w:r>
      <w:r>
        <w:t>.</w:t>
      </w:r>
    </w:p>
  </w:footnote>
  <w:footnote w:id="40">
    <w:p w:rsidR="000F725E" w14:paraId="6DDFD998" w14:textId="7B13A023">
      <w:pPr>
        <w:pStyle w:val="FootnoteText"/>
      </w:pPr>
      <w:r>
        <w:rPr>
          <w:rStyle w:val="FootnoteReference"/>
        </w:rPr>
        <w:footnoteRef/>
      </w:r>
      <w:r>
        <w:t xml:space="preserve"> Waiver Attachment at 1.</w:t>
      </w:r>
      <w:r w:rsidR="00FF37ED">
        <w:t xml:space="preserve">  SCTCA further notes that </w:t>
      </w:r>
      <w:r w:rsidR="002679B0">
        <w:t xml:space="preserve">an estimated 1.6-1.9% of California’s population is Native American, and that that population is “thoroughly blended” with the non-Native population, such that no reservation in California could meet the “50% of total covered population” standard.  </w:t>
      </w:r>
      <w:r w:rsidRPr="002679B0" w:rsidR="002679B0">
        <w:rPr>
          <w:i/>
          <w:iCs/>
        </w:rPr>
        <w:t>Id</w:t>
      </w:r>
      <w:r w:rsidR="002679B0">
        <w:t>.</w:t>
      </w:r>
    </w:p>
  </w:footnote>
  <w:footnote w:id="41">
    <w:p w:rsidR="000A3899" w:rsidRPr="004F2529" w:rsidP="000A3899" w14:paraId="5D056B6D" w14:textId="77777777">
      <w:pPr>
        <w:pStyle w:val="FootnoteText"/>
      </w:pPr>
      <w:r w:rsidRPr="004F2529">
        <w:rPr>
          <w:rStyle w:val="FootnoteReference"/>
        </w:rPr>
        <w:footnoteRef/>
      </w:r>
      <w:r w:rsidRPr="004F2529">
        <w:t xml:space="preserve"> </w:t>
      </w:r>
      <w:r w:rsidRPr="004F2529">
        <w:rPr>
          <w:i/>
        </w:rPr>
        <w:t>NetworkIP</w:t>
      </w:r>
      <w:r w:rsidRPr="004F2529">
        <w:rPr>
          <w:i/>
        </w:rPr>
        <w:t>, LLC v. FCC</w:t>
      </w:r>
      <w:r w:rsidRPr="004F2529">
        <w:t xml:space="preserve">, 548 F.3d 116, 125-128 (D.C. Cir. 2008) (citing </w:t>
      </w:r>
      <w:r w:rsidRPr="004F2529">
        <w:rPr>
          <w:i/>
        </w:rPr>
        <w:t>Northeast Cellular Telephone Co.</w:t>
      </w:r>
      <w:r w:rsidRPr="004F2529">
        <w:t>, 897 F.2d 1164, 1166 (1990)).</w:t>
      </w:r>
    </w:p>
  </w:footnote>
  <w:footnote w:id="42">
    <w:p w:rsidR="007A3509" w:rsidRPr="004F2529" w:rsidP="007A3509" w14:paraId="06C61686" w14:textId="77777777">
      <w:pPr>
        <w:pStyle w:val="FootnoteText"/>
      </w:pPr>
      <w:r w:rsidRPr="004F2529">
        <w:rPr>
          <w:rStyle w:val="FootnoteReference"/>
        </w:rPr>
        <w:footnoteRef/>
      </w:r>
      <w:r w:rsidRPr="004F2529">
        <w:t xml:space="preserve"> 47 CFR § 1.3.</w:t>
      </w:r>
    </w:p>
  </w:footnote>
  <w:footnote w:id="43">
    <w:p w:rsidR="00643553" w14:paraId="15BD3D47" w14:textId="710AB360">
      <w:pPr>
        <w:pStyle w:val="FootnoteText"/>
      </w:pPr>
      <w:r w:rsidRPr="00056E05">
        <w:rPr>
          <w:rStyle w:val="FootnoteReference"/>
        </w:rPr>
        <w:footnoteRef/>
      </w:r>
      <w:r w:rsidRPr="00CC0DD2">
        <w:t xml:space="preserve"> </w:t>
      </w:r>
      <w:r w:rsidRPr="00CC0DD2">
        <w:rPr>
          <w:i/>
          <w:iCs/>
        </w:rPr>
        <w:t>See Northeast Cellular Telephone Co. v. FCC</w:t>
      </w:r>
      <w:r w:rsidRPr="00CC0DD2">
        <w:t>, 897 F.2d 1164, 1166 (D.C. Cir. 1990)</w:t>
      </w:r>
      <w:r w:rsidR="00CC0DD2">
        <w:t xml:space="preserve"> </w:t>
      </w:r>
      <w:r w:rsidRPr="00BB0EE5" w:rsidR="00CC0DD2">
        <w:t>(“</w:t>
      </w:r>
      <w:r w:rsidRPr="00BB0EE5" w:rsidR="00CC0DD2">
        <w:rPr>
          <w:color w:val="000000"/>
          <w:shd w:val="clear" w:color="auto" w:fill="FFFFFF"/>
        </w:rPr>
        <w:t>[A] waiver is appropriate only if special circumstances warrant a deviation from the general rule and such deviation will serve the public interest. The agency must explain why deviation better serves the public interest and articulate the nature of the special circumstances to prevent discriminatory application and to put future parties on notice as to its operation</w:t>
      </w:r>
      <w:r w:rsidRPr="00BB0EE5" w:rsidR="00BB0EE5">
        <w:rPr>
          <w:color w:val="000000"/>
          <w:shd w:val="clear" w:color="auto" w:fill="FFFFFF"/>
        </w:rPr>
        <w:t>”)</w:t>
      </w:r>
      <w:r w:rsidRPr="00BB0EE5">
        <w:t xml:space="preserve">; </w:t>
      </w:r>
      <w:r w:rsidRPr="00BB0EE5">
        <w:rPr>
          <w:i/>
          <w:iCs/>
        </w:rPr>
        <w:t>WAIT Radio v. FCC</w:t>
      </w:r>
      <w:r w:rsidRPr="00BB0EE5">
        <w:t>, 418 F.2d 1153, 1159 (D.C. Cir. 1969)</w:t>
      </w:r>
      <w:r w:rsidRPr="00BB0EE5" w:rsidR="00BB0EE5">
        <w:t xml:space="preserve"> (“</w:t>
      </w:r>
      <w:r w:rsidRPr="00BB0EE5" w:rsidR="00BB0EE5">
        <w:rPr>
          <w:color w:val="000000"/>
          <w:shd w:val="clear" w:color="auto" w:fill="FFFFFF"/>
        </w:rPr>
        <w:t>The agency's discretion to proceed in difficult areas through general rules is intimately linked to the existence of a safety valve procedure for consideration of an application for exemption based on special circumstances.”)</w:t>
      </w:r>
      <w:r w:rsidRPr="00BB0EE5">
        <w:t xml:space="preserve">.  </w:t>
      </w:r>
      <w:r w:rsidRPr="00CC0DD2">
        <w:rPr>
          <w:i/>
          <w:iCs/>
        </w:rPr>
        <w:t>See also</w:t>
      </w:r>
      <w:r w:rsidRPr="00CC0DD2">
        <w:t xml:space="preserve"> 47 CFR § 1.3 (waiver for good cause shown).</w:t>
      </w:r>
    </w:p>
  </w:footnote>
  <w:footnote w:id="44">
    <w:p w:rsidR="00930037" w14:paraId="64BB70B3" w14:textId="4AC776B0">
      <w:pPr>
        <w:pStyle w:val="FootnoteText"/>
      </w:pPr>
      <w:r>
        <w:rPr>
          <w:rStyle w:val="FootnoteReference"/>
        </w:rPr>
        <w:footnoteRef/>
      </w:r>
      <w:r>
        <w:t xml:space="preserve"> </w:t>
      </w:r>
      <w:r w:rsidRPr="0070661C">
        <w:rPr>
          <w:i/>
          <w:iCs/>
        </w:rPr>
        <w:t>Rural Radio Second R&amp;O</w:t>
      </w:r>
      <w:r>
        <w:t xml:space="preserve">, 26 FCC Rcd at </w:t>
      </w:r>
      <w:r w:rsidR="00105E13">
        <w:t xml:space="preserve">2559-60, para. </w:t>
      </w:r>
      <w:r w:rsidR="0070661C">
        <w:t xml:space="preserve">6.  This criterion is also “designed to </w:t>
      </w:r>
      <w:r w:rsidRPr="0070661C" w:rsidR="0070661C">
        <w:t>avoid applying the Tribal Priority to regions and populations that are largely non-Native in character or</w:t>
      </w:r>
      <w:r w:rsidR="0070661C">
        <w:t xml:space="preserve"> </w:t>
      </w:r>
      <w:r w:rsidRPr="0070661C" w:rsidR="0070661C">
        <w:t>location, in keeping with the priority’s goals.</w:t>
      </w:r>
      <w:r w:rsidR="0070661C">
        <w:t xml:space="preserve">” </w:t>
      </w:r>
      <w:r w:rsidRPr="0070661C" w:rsidR="0070661C">
        <w:t xml:space="preserve"> </w:t>
      </w:r>
      <w:r w:rsidRPr="0070661C" w:rsidR="0070661C">
        <w:rPr>
          <w:i/>
          <w:iCs/>
        </w:rPr>
        <w:t>Rural Radio First Order on Reconsideration</w:t>
      </w:r>
      <w:r w:rsidR="0070661C">
        <w:t>, 26 FCC Rcd at 2586-87, para. 59.</w:t>
      </w:r>
    </w:p>
  </w:footnote>
  <w:footnote w:id="45">
    <w:p w:rsidR="00424A8F" w14:paraId="67D0D783" w14:textId="35EE2953">
      <w:pPr>
        <w:pStyle w:val="FootnoteText"/>
      </w:pPr>
      <w:r>
        <w:rPr>
          <w:rStyle w:val="FootnoteReference"/>
        </w:rPr>
        <w:footnoteRef/>
      </w:r>
      <w:r>
        <w:t xml:space="preserve"> </w:t>
      </w:r>
      <w:r w:rsidRPr="0054501D" w:rsidR="005E7B41">
        <w:rPr>
          <w:i/>
          <w:iCs/>
        </w:rPr>
        <w:t>Rural Radio First R&amp;O</w:t>
      </w:r>
      <w:r w:rsidR="005E7B41">
        <w:t xml:space="preserve">, 25 FCC Rcd at </w:t>
      </w:r>
      <w:r w:rsidR="0054501D">
        <w:t>1591, para. 13.</w:t>
      </w:r>
    </w:p>
  </w:footnote>
  <w:footnote w:id="46">
    <w:p w:rsidR="000B64E2" w14:paraId="66DA560E" w14:textId="6736F64B">
      <w:pPr>
        <w:pStyle w:val="FootnoteText"/>
      </w:pPr>
      <w:r>
        <w:rPr>
          <w:rStyle w:val="FootnoteReference"/>
        </w:rPr>
        <w:footnoteRef/>
      </w:r>
      <w:r>
        <w:t xml:space="preserve"> </w:t>
      </w:r>
      <w:r w:rsidRPr="005B77C3">
        <w:rPr>
          <w:i/>
          <w:iCs/>
          <w:szCs w:val="22"/>
        </w:rPr>
        <w:t>Rural Radio First Order on Reconsideration</w:t>
      </w:r>
      <w:r w:rsidRPr="005B77C3">
        <w:rPr>
          <w:szCs w:val="22"/>
        </w:rPr>
        <w:t>, 26 FCC Rcd at 2587, para. 59</w:t>
      </w:r>
      <w:r>
        <w:rPr>
          <w:szCs w:val="22"/>
        </w:rPr>
        <w:t>.</w:t>
      </w:r>
    </w:p>
  </w:footnote>
  <w:footnote w:id="47">
    <w:p w:rsidR="00DC4B05" w14:paraId="78894591" w14:textId="28C88A19">
      <w:pPr>
        <w:pStyle w:val="FootnoteText"/>
      </w:pPr>
      <w:r>
        <w:rPr>
          <w:rStyle w:val="FootnoteReference"/>
        </w:rPr>
        <w:footnoteRef/>
      </w:r>
      <w:r>
        <w:t xml:space="preserve"> </w:t>
      </w:r>
      <w:r w:rsidR="00EB5520">
        <w:rPr>
          <w:i/>
        </w:rPr>
        <w:t>Id.</w:t>
      </w:r>
      <w:r w:rsidRPr="0052340A">
        <w:t xml:space="preserve"> at 2587, para. 59</w:t>
      </w:r>
      <w:r w:rsidRPr="0052340A" w:rsidR="00F8387E">
        <w:t xml:space="preserve"> and n.156</w:t>
      </w:r>
      <w:r w:rsidRPr="0052340A">
        <w:t>.</w:t>
      </w:r>
      <w:r w:rsidRPr="00A924CD" w:rsidR="00A924CD">
        <w:t xml:space="preserve"> </w:t>
      </w:r>
    </w:p>
  </w:footnote>
  <w:footnote w:id="48">
    <w:p w:rsidR="000C6332" w14:paraId="5531C6E7" w14:textId="58E7A51F">
      <w:pPr>
        <w:pStyle w:val="FootnoteText"/>
      </w:pPr>
      <w:r>
        <w:rPr>
          <w:rStyle w:val="FootnoteReference"/>
        </w:rPr>
        <w:footnoteRef/>
      </w:r>
      <w:r>
        <w:t xml:space="preserve"> </w:t>
      </w:r>
      <w:r w:rsidR="00EB5520">
        <w:rPr>
          <w:i/>
        </w:rPr>
        <w:t>Id.</w:t>
      </w:r>
      <w:r w:rsidRPr="007D2FAE">
        <w:t xml:space="preserve"> at</w:t>
      </w:r>
      <w:r>
        <w:t xml:space="preserve"> 2587 n.156.</w:t>
      </w:r>
    </w:p>
  </w:footnote>
  <w:footnote w:id="49">
    <w:p w:rsidR="000C6332" w:rsidRPr="000C6332" w14:paraId="1E40428E" w14:textId="394A4582">
      <w:pPr>
        <w:pStyle w:val="FootnoteText"/>
      </w:pPr>
      <w:r>
        <w:rPr>
          <w:rStyle w:val="FootnoteReference"/>
        </w:rPr>
        <w:footnoteRef/>
      </w:r>
      <w:r>
        <w:t xml:space="preserve"> </w:t>
      </w:r>
      <w:r>
        <w:rPr>
          <w:i/>
          <w:iCs/>
        </w:rPr>
        <w:t>Id.</w:t>
      </w:r>
      <w:r>
        <w:t xml:space="preserve"> at 2587 n.155.</w:t>
      </w:r>
    </w:p>
  </w:footnote>
  <w:footnote w:id="50">
    <w:p w:rsidR="00B72B0C" w14:paraId="76DB46BD" w14:textId="14A78E2E">
      <w:pPr>
        <w:pStyle w:val="FootnoteText"/>
      </w:pPr>
      <w:r>
        <w:rPr>
          <w:rStyle w:val="FootnoteReference"/>
        </w:rPr>
        <w:footnoteRef/>
      </w:r>
      <w:r>
        <w:t xml:space="preserve"> </w:t>
      </w:r>
      <w:r w:rsidRPr="00056E05" w:rsidR="00DC4B05">
        <w:rPr>
          <w:i/>
        </w:rPr>
        <w:t>Id.</w:t>
      </w:r>
      <w:r w:rsidRPr="00056E05">
        <w:t xml:space="preserve"> at 2585-87, paras. 56-59.</w:t>
      </w:r>
    </w:p>
  </w:footnote>
  <w:footnote w:id="51">
    <w:p w:rsidR="00FC07DC" w14:paraId="6E6BB471" w14:textId="7B62667E">
      <w:pPr>
        <w:pStyle w:val="FootnoteText"/>
      </w:pPr>
      <w:r w:rsidRPr="0025652D">
        <w:rPr>
          <w:rStyle w:val="FootnoteReference"/>
        </w:rPr>
        <w:footnoteRef/>
      </w:r>
      <w:r w:rsidRPr="0025652D">
        <w:t xml:space="preserve"> Waiver Attachment at </w:t>
      </w:r>
      <w:r w:rsidRPr="0025652D" w:rsidR="00725B82">
        <w:t>1</w:t>
      </w:r>
      <w:r w:rsidRPr="0025652D">
        <w:t>.</w:t>
      </w:r>
    </w:p>
  </w:footnote>
  <w:footnote w:id="52">
    <w:p w:rsidR="005A247C" w14:paraId="5227460F" w14:textId="6988A30E">
      <w:pPr>
        <w:pStyle w:val="FootnoteText"/>
      </w:pPr>
      <w:r>
        <w:rPr>
          <w:rStyle w:val="FootnoteReference"/>
        </w:rPr>
        <w:footnoteRef/>
      </w:r>
      <w:r>
        <w:t xml:space="preserve"> </w:t>
      </w:r>
      <w:r w:rsidRPr="00EB5520" w:rsidR="00EB5520">
        <w:rPr>
          <w:i/>
          <w:iCs/>
        </w:rPr>
        <w:t>Id</w:t>
      </w:r>
      <w:r w:rsidR="00EB5520">
        <w:t>.</w:t>
      </w:r>
      <w:r>
        <w:t xml:space="preserve"> at 1-2.  These figures are for individuals identifying as American Indian/Alaska Native.  Including those identifying as American Indian/Alaska Native plus another race increases these figures by approximately three percentage points.  </w:t>
      </w:r>
      <w:r w:rsidRPr="005A247C">
        <w:rPr>
          <w:i/>
          <w:iCs/>
        </w:rPr>
        <w:t>Id</w:t>
      </w:r>
      <w:r>
        <w:t>.</w:t>
      </w:r>
    </w:p>
  </w:footnote>
  <w:footnote w:id="53">
    <w:p w:rsidR="005A247C" w14:paraId="7FA6CEE1" w14:textId="08760CE0">
      <w:pPr>
        <w:pStyle w:val="FootnoteText"/>
      </w:pPr>
      <w:r>
        <w:rPr>
          <w:rStyle w:val="FootnoteReference"/>
        </w:rPr>
        <w:footnoteRef/>
      </w:r>
      <w:r>
        <w:t xml:space="preserve"> </w:t>
      </w:r>
      <w:r w:rsidR="00EB5520">
        <w:t>Waiver Attachment</w:t>
      </w:r>
      <w:r>
        <w:t xml:space="preserve"> at 2.</w:t>
      </w:r>
    </w:p>
  </w:footnote>
  <w:footnote w:id="54">
    <w:p w:rsidR="005F3B8C" w14:paraId="16F99B25" w14:textId="2BEBC253">
      <w:pPr>
        <w:pStyle w:val="FootnoteText"/>
      </w:pPr>
      <w:r>
        <w:rPr>
          <w:rStyle w:val="FootnoteReference"/>
        </w:rPr>
        <w:footnoteRef/>
      </w:r>
      <w:r>
        <w:t xml:space="preserve"> </w:t>
      </w:r>
      <w:r w:rsidRPr="005C50BD">
        <w:rPr>
          <w:i/>
          <w:iCs/>
        </w:rPr>
        <w:t>Id</w:t>
      </w:r>
      <w:r>
        <w:t>.</w:t>
      </w:r>
    </w:p>
  </w:footnote>
  <w:footnote w:id="55">
    <w:p w:rsidR="00985BCA" w14:paraId="6AB30948" w14:textId="1B107E25">
      <w:pPr>
        <w:pStyle w:val="FootnoteText"/>
      </w:pPr>
      <w:r>
        <w:rPr>
          <w:rStyle w:val="FootnoteReference"/>
        </w:rPr>
        <w:footnoteRef/>
      </w:r>
      <w:r>
        <w:t xml:space="preserve"> </w:t>
      </w:r>
      <w:r w:rsidRPr="00985BCA">
        <w:rPr>
          <w:i/>
          <w:iCs/>
        </w:rPr>
        <w:t>Id</w:t>
      </w:r>
      <w:r>
        <w:t>.  ERP and HAAT figures were obtained from the FM Query database.</w:t>
      </w:r>
    </w:p>
  </w:footnote>
  <w:footnote w:id="56">
    <w:p w:rsidR="00954CD2" w14:paraId="632D0377" w14:textId="18284A77">
      <w:pPr>
        <w:pStyle w:val="FootnoteText"/>
      </w:pPr>
      <w:r>
        <w:rPr>
          <w:rStyle w:val="FootnoteReference"/>
        </w:rPr>
        <w:footnoteRef/>
      </w:r>
      <w:r>
        <w:t xml:space="preserve"> </w:t>
      </w:r>
      <w:r w:rsidRPr="001F7045" w:rsidR="00661A2F">
        <w:rPr>
          <w:i/>
          <w:iCs/>
        </w:rPr>
        <w:t>See</w:t>
      </w:r>
      <w:r w:rsidR="00661A2F">
        <w:t xml:space="preserve"> </w:t>
      </w:r>
      <w:r w:rsidR="00BC759D">
        <w:rPr>
          <w:i/>
          <w:iCs/>
        </w:rPr>
        <w:t xml:space="preserve">supra </w:t>
      </w:r>
      <w:r w:rsidR="00BC759D">
        <w:t xml:space="preserve">note </w:t>
      </w:r>
      <w:r w:rsidR="007A5BA2">
        <w:t>46</w:t>
      </w:r>
      <w:r w:rsidR="00661A2F">
        <w:t>.</w:t>
      </w:r>
    </w:p>
  </w:footnote>
  <w:footnote w:id="57">
    <w:p w:rsidR="001F7045" w14:paraId="783FB305" w14:textId="5ECA2C72">
      <w:pPr>
        <w:pStyle w:val="FootnoteText"/>
      </w:pPr>
      <w:r>
        <w:rPr>
          <w:rStyle w:val="FootnoteReference"/>
        </w:rPr>
        <w:footnoteRef/>
      </w:r>
      <w:r>
        <w:t xml:space="preserve"> </w:t>
      </w:r>
      <w:r w:rsidRPr="007D2FAE">
        <w:rPr>
          <w:i/>
        </w:rPr>
        <w:t>See</w:t>
      </w:r>
      <w:r w:rsidRPr="007D2FAE">
        <w:t xml:space="preserve"> </w:t>
      </w:r>
      <w:r w:rsidRPr="007D2FAE" w:rsidR="001E7B4F">
        <w:rPr>
          <w:i/>
        </w:rPr>
        <w:t>Rural Radio First Order on Reconsideration</w:t>
      </w:r>
      <w:r w:rsidRPr="007D2FAE" w:rsidR="001E7B4F">
        <w:t>,</w:t>
      </w:r>
      <w:r w:rsidRPr="007D2FAE">
        <w:t xml:space="preserve"> 26 FCC Rcd at 2585-87, paras. 56-59.</w:t>
      </w:r>
      <w:r w:rsidR="00926974">
        <w:t xml:space="preserve">  </w:t>
      </w:r>
    </w:p>
  </w:footnote>
  <w:footnote w:id="58">
    <w:p w:rsidR="003C43A9" w14:paraId="23B0683F" w14:textId="1A11F003">
      <w:pPr>
        <w:pStyle w:val="FootnoteText"/>
      </w:pPr>
      <w:r>
        <w:rPr>
          <w:rStyle w:val="FootnoteReference"/>
        </w:rPr>
        <w:footnoteRef/>
      </w:r>
      <w:r>
        <w:t xml:space="preserve"> Waiver Attachment at 1.</w:t>
      </w:r>
    </w:p>
  </w:footnote>
  <w:footnote w:id="59">
    <w:p w:rsidR="00B91B8D" w:rsidRPr="00080352" w14:paraId="6014E228" w14:textId="571D8F98">
      <w:pPr>
        <w:pStyle w:val="FootnoteText"/>
      </w:pPr>
      <w:r>
        <w:rPr>
          <w:rStyle w:val="FootnoteReference"/>
        </w:rPr>
        <w:footnoteRef/>
      </w:r>
      <w:r>
        <w:t xml:space="preserve"> 47 CFR § 73.7000 (definition of Tribal Lands).</w:t>
      </w:r>
      <w:r w:rsidR="00297EAE">
        <w:t xml:space="preserve">  </w:t>
      </w:r>
      <w:r w:rsidRPr="0025652D" w:rsidR="00080352">
        <w:t xml:space="preserve">The Commission noted in the </w:t>
      </w:r>
      <w:r w:rsidRPr="0025652D" w:rsidR="00080352">
        <w:rPr>
          <w:i/>
          <w:iCs/>
        </w:rPr>
        <w:t>Rural Radio First Order on Reconsideration</w:t>
      </w:r>
      <w:r w:rsidRPr="0025652D" w:rsidR="00080352">
        <w:t xml:space="preserve"> that “</w:t>
      </w:r>
      <w:r w:rsidRPr="0025652D" w:rsidR="00080352">
        <w:rPr>
          <w:szCs w:val="22"/>
        </w:rPr>
        <w:t xml:space="preserve">approximately two-thirds of all Tribal citizens do not live on Tribal Lands.” </w:t>
      </w:r>
      <w:r w:rsidRPr="0025652D" w:rsidR="00080352">
        <w:rPr>
          <w:i/>
          <w:iCs/>
          <w:szCs w:val="22"/>
        </w:rPr>
        <w:t>Rural Radio First Order on Reconsideration</w:t>
      </w:r>
      <w:r w:rsidRPr="0025652D" w:rsidR="00080352">
        <w:rPr>
          <w:szCs w:val="22"/>
        </w:rPr>
        <w:t xml:space="preserve">, 26 FCC Rcd at 2561, para. 8.  In the context of Tribes that lack Tribal Lands, the Commission </w:t>
      </w:r>
      <w:r w:rsidRPr="0025652D" w:rsidR="00EA3A7F">
        <w:rPr>
          <w:szCs w:val="22"/>
        </w:rPr>
        <w:t xml:space="preserve">said it would be receptive to waivers of the coverage requirement where “a majority of the proposed service would cover the functional equivalent of Tribal Lands” provided that the applicant could demonstrate that a waiver would “enable the Tribe to provide radio service uniquely devoted to the needs, language, and culture of the Tribal community . . . .”  </w:t>
      </w:r>
      <w:r w:rsidRPr="0025652D" w:rsidR="00EA3A7F">
        <w:rPr>
          <w:i/>
          <w:iCs/>
          <w:szCs w:val="22"/>
        </w:rPr>
        <w:t>Id.</w:t>
      </w:r>
      <w:r w:rsidR="00EA3A7F">
        <w:rPr>
          <w:szCs w:val="22"/>
        </w:rPr>
        <w:t xml:space="preserve"> </w:t>
      </w:r>
    </w:p>
  </w:footnote>
  <w:footnote w:id="60">
    <w:p w:rsidR="0074253D" w14:paraId="7ED607A0" w14:textId="72A153DC">
      <w:pPr>
        <w:pStyle w:val="FootnoteText"/>
      </w:pPr>
      <w:r>
        <w:rPr>
          <w:rStyle w:val="FootnoteReference"/>
        </w:rPr>
        <w:footnoteRef/>
      </w:r>
      <w:r>
        <w:t xml:space="preserve"> Waiver Attachment at 3-4.</w:t>
      </w:r>
    </w:p>
  </w:footnote>
  <w:footnote w:id="61">
    <w:p w:rsidR="00F7126E" w14:paraId="1E381D6D" w14:textId="155B5BED">
      <w:pPr>
        <w:pStyle w:val="FootnoteText"/>
      </w:pPr>
      <w:r>
        <w:rPr>
          <w:rStyle w:val="FootnoteReference"/>
        </w:rPr>
        <w:footnoteRef/>
      </w:r>
      <w:r>
        <w:t xml:space="preserve"> Tribal Priority</w:t>
      </w:r>
      <w:r w:rsidR="00F71AA2">
        <w:t xml:space="preserve"> </w:t>
      </w:r>
      <w:r>
        <w:t>Attachment at 1.</w:t>
      </w:r>
    </w:p>
  </w:footnote>
  <w:footnote w:id="62">
    <w:p w:rsidR="00722808" w14:paraId="1168B7CB" w14:textId="6A86472F">
      <w:pPr>
        <w:pStyle w:val="FootnoteText"/>
      </w:pPr>
      <w:r>
        <w:rPr>
          <w:rStyle w:val="FootnoteReference"/>
        </w:rPr>
        <w:footnoteRef/>
      </w:r>
      <w:r>
        <w:t xml:space="preserve"> </w:t>
      </w:r>
      <w:r w:rsidRPr="00722808">
        <w:rPr>
          <w:i/>
          <w:iCs/>
        </w:rPr>
        <w:t>See</w:t>
      </w:r>
      <w:r>
        <w:t xml:space="preserve"> </w:t>
      </w:r>
      <w:r w:rsidRPr="00722808">
        <w:t>https://www2.census.gov/geo/maps/DC2020/TribalTract/r1995_los_coyotes/DC20TT_FR1995.pdf</w:t>
      </w:r>
      <w:r>
        <w:t>.</w:t>
      </w:r>
    </w:p>
  </w:footnote>
  <w:footnote w:id="63">
    <w:p w:rsidR="00722808" w14:paraId="4A379C87" w14:textId="3473F030">
      <w:pPr>
        <w:pStyle w:val="FootnoteText"/>
      </w:pPr>
      <w:r>
        <w:rPr>
          <w:rStyle w:val="FootnoteReference"/>
        </w:rPr>
        <w:footnoteRef/>
      </w:r>
      <w:r>
        <w:t xml:space="preserve"> </w:t>
      </w:r>
      <w:r w:rsidRPr="00722808">
        <w:rPr>
          <w:i/>
          <w:iCs/>
        </w:rPr>
        <w:t>See</w:t>
      </w:r>
      <w:r>
        <w:t xml:space="preserve"> File No. 0000167741, Parties to the Application (indicating a mailing address in Warner Springs for the Los Coyotes Band).  </w:t>
      </w:r>
      <w:r w:rsidRPr="00F13395">
        <w:rPr>
          <w:i/>
          <w:iCs/>
        </w:rPr>
        <w:t>See also</w:t>
      </w:r>
      <w:r>
        <w:t xml:space="preserve"> </w:t>
      </w:r>
      <w:r w:rsidR="00B63316">
        <w:t xml:space="preserve">Bureau of Indian Affairs online database, </w:t>
      </w:r>
      <w:hyperlink r:id="rId1" w:history="1">
        <w:r w:rsidRPr="00B63316" w:rsidR="00B63316">
          <w:rPr>
            <w:rStyle w:val="Hyperlink"/>
          </w:rPr>
          <w:t>https://www.bia.gov/service/tribal-leaders-directory/federally-recognized-tribes?field_us_state_s__value=CA&amp;page=2</w:t>
        </w:r>
      </w:hyperlink>
      <w:r>
        <w:t xml:space="preserve"> (giving address for Los Coyotes Band as 2300 Camino San Ignacio Road, Warner Springs, CA  92086)</w:t>
      </w:r>
      <w:r w:rsidR="00F13395">
        <w:t>.</w:t>
      </w:r>
    </w:p>
  </w:footnote>
  <w:footnote w:id="64">
    <w:p w:rsidR="002A5B68" w14:paraId="108994D1" w14:textId="03096962">
      <w:pPr>
        <w:pStyle w:val="FootnoteText"/>
      </w:pPr>
      <w:r>
        <w:rPr>
          <w:rStyle w:val="FootnoteReference"/>
        </w:rPr>
        <w:footnoteRef/>
      </w:r>
      <w:r>
        <w:t xml:space="preserve"> </w:t>
      </w:r>
      <w:r>
        <w:rPr>
          <w:bCs/>
          <w:i/>
        </w:rPr>
        <w:t xml:space="preserve">See </w:t>
      </w:r>
      <w:r>
        <w:rPr>
          <w:i/>
        </w:rPr>
        <w:t>Winter Park Communications, Inc. v. FCC</w:t>
      </w:r>
      <w:r>
        <w:t>, 873 F.2d 347, 352 (D.C.</w:t>
      </w:r>
      <w:r w:rsidR="008C7993">
        <w:t xml:space="preserve"> </w:t>
      </w:r>
      <w:r>
        <w:t xml:space="preserve">Cir. 1989) (“The FCC has broad discretion under section 307(b) to determine the public interest, and nothing in the Communications Act </w:t>
      </w:r>
      <w:r>
        <w:rPr>
          <w:color w:val="000000"/>
        </w:rPr>
        <w:t>prevents</w:t>
      </w:r>
      <w:r>
        <w:t xml:space="preserve"> the FCC from defining the term ‘community’ differently in different contexts, or from adopting an interpretation that strays considerably from political boundaries.”) (citations omitted).</w:t>
      </w:r>
    </w:p>
  </w:footnote>
  <w:footnote w:id="65">
    <w:p w:rsidR="00FF6A71" w:rsidRPr="004B3CCD" w14:paraId="0948CC1B" w14:textId="611F9281">
      <w:pPr>
        <w:pStyle w:val="FootnoteText"/>
      </w:pPr>
      <w:r w:rsidRPr="004B3CCD">
        <w:rPr>
          <w:rStyle w:val="FootnoteReference"/>
        </w:rPr>
        <w:footnoteRef/>
      </w:r>
      <w:r w:rsidRPr="004B3CCD">
        <w:t xml:space="preserve"> 47 CFR § 73.7000.</w:t>
      </w:r>
      <w:r w:rsidRPr="004B3CCD" w:rsidR="00713516">
        <w:t xml:space="preserve">  </w:t>
      </w:r>
      <w:r w:rsidR="003118E4">
        <w:t>CEJ</w:t>
      </w:r>
      <w:r w:rsidRPr="004B3CCD" w:rsidR="00713516">
        <w:t xml:space="preserve"> also does not claim to provide a first overall aural reception service</w:t>
      </w:r>
      <w:r w:rsidR="003118E4">
        <w:t>, although it proposes a first NCE service to 5,563 persons, and second NCE service to 10,3</w:t>
      </w:r>
      <w:r w:rsidR="00085A2D">
        <w:t>75</w:t>
      </w:r>
      <w:r w:rsidR="003118E4">
        <w:t xml:space="preserve"> persons</w:t>
      </w:r>
      <w:r w:rsidRPr="004B3CCD" w:rsidR="00713516">
        <w:t>.</w:t>
      </w:r>
      <w:r w:rsidR="00A9296F">
        <w:t xml:space="preserve">  File No. 0000167868, Attachment, “</w:t>
      </w:r>
      <w:r w:rsidR="00A9296F">
        <w:t>Consolidated_Engineering_Report_Ramona_Calif</w:t>
      </w:r>
      <w:r w:rsidR="00A9296F">
        <w:t xml:space="preserve">_(1).pdf.” </w:t>
      </w:r>
    </w:p>
  </w:footnote>
  <w:footnote w:id="66">
    <w:p w:rsidR="004D3F53" w:rsidRPr="004B3CCD" w14:paraId="24932E53" w14:textId="68F4289F">
      <w:pPr>
        <w:pStyle w:val="FootnoteText"/>
      </w:pPr>
      <w:r w:rsidRPr="004B3CCD">
        <w:rPr>
          <w:rStyle w:val="FootnoteReference"/>
        </w:rPr>
        <w:footnoteRef/>
      </w:r>
      <w:r w:rsidRPr="004B3CCD">
        <w:t xml:space="preserve"> 47 CFR § 73.7002(b).</w:t>
      </w:r>
    </w:p>
  </w:footnote>
  <w:footnote w:id="67">
    <w:p w:rsidR="00203283" w:rsidRPr="004B3CCD" w:rsidP="00203283" w14:paraId="22A19301" w14:textId="211FA88D">
      <w:pPr>
        <w:pStyle w:val="FootnoteText"/>
      </w:pPr>
      <w:r w:rsidRPr="004B3CCD">
        <w:rPr>
          <w:rStyle w:val="FootnoteReference"/>
        </w:rPr>
        <w:footnoteRef/>
      </w:r>
      <w:r w:rsidRPr="004B3CCD">
        <w:t xml:space="preserve">  If a tentative selectee’s application is found unacceptable for filing, it is dismissed.  The applicant then has one opportunity to submit a curative amendment and a petition for reconsideration requesting reinstatement </w:t>
      </w:r>
      <w:r w:rsidRPr="004B3CCD">
        <w:rPr>
          <w:i/>
          <w:iCs/>
        </w:rPr>
        <w:t>nunc</w:t>
      </w:r>
      <w:r w:rsidRPr="004B3CCD">
        <w:rPr>
          <w:i/>
          <w:iCs/>
        </w:rPr>
        <w:t xml:space="preserve"> pro </w:t>
      </w:r>
      <w:r w:rsidRPr="004B3CCD">
        <w:rPr>
          <w:i/>
          <w:iCs/>
        </w:rPr>
        <w:t>tunc</w:t>
      </w:r>
      <w:r w:rsidRPr="004B3CCD">
        <w:rPr>
          <w:i/>
          <w:iCs/>
        </w:rPr>
        <w:t xml:space="preserve"> </w:t>
      </w:r>
      <w:r w:rsidRPr="004B3CCD">
        <w:t xml:space="preserve">within 30 days, provided that the amendment is minor and does not alter the fair distribution </w:t>
      </w:r>
      <w:r>
        <w:t>analysis</w:t>
      </w:r>
      <w:r w:rsidRPr="004B3CCD">
        <w:t xml:space="preserve">.  </w:t>
      </w:r>
      <w:r w:rsidRPr="004B3CCD">
        <w:rPr>
          <w:i/>
        </w:rPr>
        <w:t xml:space="preserve">See </w:t>
      </w:r>
      <w:r w:rsidRPr="004B3CCD">
        <w:t>47 CFR § 73.3522(b)(1).  A tentative selectee that is unable to cure the defect is disqualified.</w:t>
      </w:r>
      <w:r w:rsidR="00297B75">
        <w:t xml:space="preserve">  </w:t>
      </w:r>
      <w:r w:rsidRPr="004B3CCD" w:rsidR="00297B75">
        <w:t xml:space="preserve">47 CFR § </w:t>
      </w:r>
      <w:r w:rsidR="00297B75">
        <w:t>73.7004(d).</w:t>
      </w:r>
      <w:r w:rsidRPr="004B3CCD">
        <w:t xml:space="preserve">  </w:t>
      </w:r>
    </w:p>
  </w:footnote>
  <w:footnote w:id="68">
    <w:p w:rsidR="003F6D92" w14:paraId="38D6BD90" w14:textId="207C3642">
      <w:pPr>
        <w:pStyle w:val="FootnoteText"/>
      </w:pPr>
      <w:r>
        <w:rPr>
          <w:rStyle w:val="FootnoteReference"/>
        </w:rPr>
        <w:footnoteRef/>
      </w:r>
      <w:r>
        <w:t xml:space="preserve"> </w:t>
      </w:r>
      <w:r w:rsidRPr="004B3CCD">
        <w:t>47 CFR §</w:t>
      </w:r>
      <w:r>
        <w:t xml:space="preserve"> 73.7004.</w:t>
      </w:r>
    </w:p>
  </w:footnote>
  <w:footnote w:id="69">
    <w:p w:rsidR="00B94B7B" w14:paraId="78EA9EE6" w14:textId="58923356">
      <w:pPr>
        <w:pStyle w:val="FootnoteText"/>
      </w:pPr>
      <w:r>
        <w:rPr>
          <w:rStyle w:val="FootnoteReference"/>
        </w:rPr>
        <w:footnoteRef/>
      </w:r>
      <w:r>
        <w:t xml:space="preserve"> </w:t>
      </w:r>
      <w:r w:rsidRPr="00B94B7B">
        <w:rPr>
          <w:i/>
          <w:iCs/>
        </w:rPr>
        <w:t>See generally</w:t>
      </w:r>
      <w:r>
        <w:t xml:space="preserve"> </w:t>
      </w:r>
      <w:r w:rsidRPr="004B3CCD">
        <w:t>47 CFR §</w:t>
      </w:r>
      <w:r>
        <w:t xml:space="preserve"> 73.1650.</w:t>
      </w:r>
    </w:p>
  </w:footnote>
  <w:footnote w:id="70">
    <w:p w:rsidR="00EF50C8" w:rsidRPr="004B3CCD" w14:paraId="1111624F" w14:textId="1D473898">
      <w:pPr>
        <w:pStyle w:val="FootnoteText"/>
      </w:pPr>
      <w:r w:rsidRPr="004B3CCD">
        <w:rPr>
          <w:rStyle w:val="FootnoteReference"/>
        </w:rPr>
        <w:footnoteRef/>
      </w:r>
      <w:r w:rsidRPr="004B3CCD">
        <w:t xml:space="preserve"> 47 CFR § 73.7002(c)(1)-(2).  Section 73.7002(c)(2) states that, for a period beginning with award of the construction permit through four years of on-air operation, a Tribal Applicant receiving a decisive preference under 47 CFR § 73.7002 may not (</w:t>
      </w:r>
      <w:r w:rsidRPr="004B3CCD">
        <w:t>i</w:t>
      </w:r>
      <w:r w:rsidRPr="004B3CCD">
        <w:t>) assign or transfer the authorization except to another party that qualifies as a Tribal Applicant; (ii) change the facility’s community of license; or (iii) effect a technical change that would cause the facility to provide less than full Tribal Coverage.  47 CFR § 73.7002(c)(2).</w:t>
      </w:r>
    </w:p>
  </w:footnote>
  <w:footnote w:id="71">
    <w:p w:rsidR="001455AF" w:rsidRPr="004B3CCD" w14:paraId="0965AE6D" w14:textId="08207BA2">
      <w:pPr>
        <w:pStyle w:val="FootnoteText"/>
      </w:pPr>
      <w:r w:rsidRPr="004B3CCD">
        <w:rPr>
          <w:rStyle w:val="FootnoteReference"/>
        </w:rPr>
        <w:footnoteRef/>
      </w:r>
      <w:r w:rsidRPr="004B3CCD">
        <w:t xml:space="preserve"> 47 CFR § 73.7002(c).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5BE3C9" w14:textId="2B584058">
    <w:pPr>
      <w:pStyle w:val="Header"/>
      <w:rPr>
        <w:b w:val="0"/>
      </w:rPr>
    </w:pPr>
    <w:r>
      <w:tab/>
      <w:t>Federal Communications Commission</w:t>
    </w:r>
    <w:r>
      <w:tab/>
    </w:r>
    <w:r w:rsidR="00C8785D">
      <w:t>FCC</w:t>
    </w:r>
    <w:r w:rsidR="000930FD">
      <w:t xml:space="preserve"> 22-</w:t>
    </w:r>
    <w:r w:rsidR="006745AA">
      <w:t>28</w:t>
    </w:r>
  </w:p>
  <w:p w:rsidR="00D25FB5" w14:paraId="7D3E7BC5" w14:textId="263E5E2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11F280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5B7F38" w:rsidP="00810B6F" w14:paraId="1AEF85E5" w14:textId="4343D919">
    <w:pPr>
      <w:pStyle w:val="Header"/>
      <w:rPr>
        <w:b w:val="0"/>
        <w:u w:val="single"/>
      </w:rPr>
    </w:pPr>
    <w:r w:rsidRPr="005B7F38">
      <w:rPr>
        <w:u w:val="single"/>
      </w:rPr>
      <w:tab/>
      <w:t>Federal Communications Commission</w:t>
    </w:r>
    <w:r w:rsidRPr="005B7F38">
      <w:rPr>
        <w:u w:val="single"/>
      </w:rPr>
      <w:tab/>
    </w:r>
    <w:r w:rsidRPr="005B7F38" w:rsidR="00C8785D">
      <w:rPr>
        <w:spacing w:val="-2"/>
        <w:u w:val="single"/>
      </w:rPr>
      <w:t>FCC</w:t>
    </w:r>
    <w:r w:rsidRPr="005B7F38" w:rsidR="000930FD">
      <w:rPr>
        <w:spacing w:val="-2"/>
        <w:u w:val="single"/>
      </w:rPr>
      <w:t xml:space="preserve"> 22-</w:t>
    </w:r>
    <w:r w:rsidR="006745AA">
      <w:rPr>
        <w:spacing w:val="-2"/>
        <w:u w:val="single"/>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086265"/>
    <w:multiLevelType w:val="hybridMultilevel"/>
    <w:tmpl w:val="E874418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4F621BF6"/>
    <w:multiLevelType w:val="hybridMultilevel"/>
    <w:tmpl w:val="CEB48640"/>
    <w:lvl w:ilvl="0">
      <w:start w:val="1"/>
      <w:numFmt w:val="lowerLetter"/>
      <w:lvlText w:val="%1)"/>
      <w:lvlJc w:val="left"/>
      <w:pPr>
        <w:ind w:left="1500" w:hanging="360"/>
      </w:p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7">
    <w:nsid w:val="518818AC"/>
    <w:multiLevelType w:val="hybridMultilevel"/>
    <w:tmpl w:val="F28EED80"/>
    <w:lvl w:ilvl="0">
      <w:start w:val="2"/>
      <w:numFmt w:val="decimal"/>
      <w:lvlText w:val="%1."/>
      <w:lvlJc w:val="left"/>
      <w:pPr>
        <w:tabs>
          <w:tab w:val="num" w:pos="990"/>
        </w:tabs>
        <w:ind w:left="990" w:hanging="360"/>
      </w:pPr>
      <w:rPr>
        <w:rFonts w:hint="default"/>
        <w:i w:val="0"/>
        <w:iCs w:val="0"/>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rPr>
    </w:lvl>
    <w:lvl w:ilvl="3">
      <w:start w:val="4"/>
      <w:numFmt w:val="upperRoman"/>
      <w:lvlText w:val="%4."/>
      <w:lvlJc w:val="left"/>
      <w:pPr>
        <w:tabs>
          <w:tab w:val="num" w:pos="3600"/>
        </w:tabs>
        <w:ind w:left="3600" w:hanging="72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7"/>
  </w:num>
  <w:num w:numId="8">
    <w:abstractNumId w:val="8"/>
  </w:num>
  <w:num w:numId="9">
    <w:abstractNumId w:val="8"/>
  </w:num>
  <w:num w:numId="10">
    <w:abstractNumId w:val="8"/>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4E"/>
    <w:rsid w:val="00001277"/>
    <w:rsid w:val="00007890"/>
    <w:rsid w:val="00010171"/>
    <w:rsid w:val="00010943"/>
    <w:rsid w:val="000109D5"/>
    <w:rsid w:val="0001459D"/>
    <w:rsid w:val="00014DC4"/>
    <w:rsid w:val="00015398"/>
    <w:rsid w:val="00016002"/>
    <w:rsid w:val="000165A5"/>
    <w:rsid w:val="000168FD"/>
    <w:rsid w:val="00020C69"/>
    <w:rsid w:val="00023934"/>
    <w:rsid w:val="000239A6"/>
    <w:rsid w:val="00023E0F"/>
    <w:rsid w:val="00026693"/>
    <w:rsid w:val="00034C36"/>
    <w:rsid w:val="000357D2"/>
    <w:rsid w:val="00035E84"/>
    <w:rsid w:val="00036039"/>
    <w:rsid w:val="000365D7"/>
    <w:rsid w:val="00037F90"/>
    <w:rsid w:val="000407CD"/>
    <w:rsid w:val="00042C25"/>
    <w:rsid w:val="00045E26"/>
    <w:rsid w:val="000463AF"/>
    <w:rsid w:val="0004755F"/>
    <w:rsid w:val="0005017C"/>
    <w:rsid w:val="00050E11"/>
    <w:rsid w:val="00052382"/>
    <w:rsid w:val="00054764"/>
    <w:rsid w:val="000547C5"/>
    <w:rsid w:val="00056E05"/>
    <w:rsid w:val="000609FD"/>
    <w:rsid w:val="000658CA"/>
    <w:rsid w:val="000668C7"/>
    <w:rsid w:val="00066F51"/>
    <w:rsid w:val="0007060C"/>
    <w:rsid w:val="00074A2F"/>
    <w:rsid w:val="00075195"/>
    <w:rsid w:val="000761BF"/>
    <w:rsid w:val="00080352"/>
    <w:rsid w:val="000847EF"/>
    <w:rsid w:val="00084A3D"/>
    <w:rsid w:val="00084E17"/>
    <w:rsid w:val="00085A2D"/>
    <w:rsid w:val="000875BF"/>
    <w:rsid w:val="000877F6"/>
    <w:rsid w:val="00087AD9"/>
    <w:rsid w:val="000920A5"/>
    <w:rsid w:val="00092F7C"/>
    <w:rsid w:val="000930FD"/>
    <w:rsid w:val="00093559"/>
    <w:rsid w:val="00096D8C"/>
    <w:rsid w:val="000972FE"/>
    <w:rsid w:val="000A04D0"/>
    <w:rsid w:val="000A27DF"/>
    <w:rsid w:val="000A2859"/>
    <w:rsid w:val="000A3899"/>
    <w:rsid w:val="000B64E2"/>
    <w:rsid w:val="000B7943"/>
    <w:rsid w:val="000C0B65"/>
    <w:rsid w:val="000C2FC6"/>
    <w:rsid w:val="000C30C8"/>
    <w:rsid w:val="000C344D"/>
    <w:rsid w:val="000C44B0"/>
    <w:rsid w:val="000C5631"/>
    <w:rsid w:val="000C6332"/>
    <w:rsid w:val="000D056A"/>
    <w:rsid w:val="000D1060"/>
    <w:rsid w:val="000D30C6"/>
    <w:rsid w:val="000D31BC"/>
    <w:rsid w:val="000D3D7D"/>
    <w:rsid w:val="000D3E61"/>
    <w:rsid w:val="000D43F1"/>
    <w:rsid w:val="000D49BE"/>
    <w:rsid w:val="000D5053"/>
    <w:rsid w:val="000D5F40"/>
    <w:rsid w:val="000D6669"/>
    <w:rsid w:val="000E0102"/>
    <w:rsid w:val="000E05FE"/>
    <w:rsid w:val="000E0D31"/>
    <w:rsid w:val="000E3D42"/>
    <w:rsid w:val="000E5205"/>
    <w:rsid w:val="000E6C24"/>
    <w:rsid w:val="000F2D57"/>
    <w:rsid w:val="000F5741"/>
    <w:rsid w:val="000F725E"/>
    <w:rsid w:val="000F73FC"/>
    <w:rsid w:val="00100A4D"/>
    <w:rsid w:val="001012F9"/>
    <w:rsid w:val="00101832"/>
    <w:rsid w:val="00102E6C"/>
    <w:rsid w:val="00104EFB"/>
    <w:rsid w:val="00105E13"/>
    <w:rsid w:val="0010643E"/>
    <w:rsid w:val="00106759"/>
    <w:rsid w:val="001071B8"/>
    <w:rsid w:val="00111163"/>
    <w:rsid w:val="00112984"/>
    <w:rsid w:val="00114B1D"/>
    <w:rsid w:val="00115AA7"/>
    <w:rsid w:val="001169DA"/>
    <w:rsid w:val="00117F16"/>
    <w:rsid w:val="0012037C"/>
    <w:rsid w:val="0012249E"/>
    <w:rsid w:val="00122BD5"/>
    <w:rsid w:val="00125850"/>
    <w:rsid w:val="001260FE"/>
    <w:rsid w:val="00127BF0"/>
    <w:rsid w:val="001304B6"/>
    <w:rsid w:val="00131375"/>
    <w:rsid w:val="00132F66"/>
    <w:rsid w:val="00133A83"/>
    <w:rsid w:val="00133F79"/>
    <w:rsid w:val="00135D9F"/>
    <w:rsid w:val="001423B6"/>
    <w:rsid w:val="0014378D"/>
    <w:rsid w:val="001455AF"/>
    <w:rsid w:val="00146CD8"/>
    <w:rsid w:val="001473F8"/>
    <w:rsid w:val="001479D1"/>
    <w:rsid w:val="0015359C"/>
    <w:rsid w:val="00154268"/>
    <w:rsid w:val="001545EF"/>
    <w:rsid w:val="001558DD"/>
    <w:rsid w:val="001568FD"/>
    <w:rsid w:val="00156917"/>
    <w:rsid w:val="00157B27"/>
    <w:rsid w:val="00160260"/>
    <w:rsid w:val="001611B2"/>
    <w:rsid w:val="00164151"/>
    <w:rsid w:val="001646BD"/>
    <w:rsid w:val="00164D5F"/>
    <w:rsid w:val="00165187"/>
    <w:rsid w:val="00166E31"/>
    <w:rsid w:val="00167D23"/>
    <w:rsid w:val="00170E4A"/>
    <w:rsid w:val="0017218D"/>
    <w:rsid w:val="00174588"/>
    <w:rsid w:val="00176153"/>
    <w:rsid w:val="001808E7"/>
    <w:rsid w:val="0018432F"/>
    <w:rsid w:val="00184F7B"/>
    <w:rsid w:val="00186A8A"/>
    <w:rsid w:val="0019046B"/>
    <w:rsid w:val="0019066F"/>
    <w:rsid w:val="001921C4"/>
    <w:rsid w:val="00192A44"/>
    <w:rsid w:val="00194A5F"/>
    <w:rsid w:val="00194A66"/>
    <w:rsid w:val="00196D8E"/>
    <w:rsid w:val="00196E86"/>
    <w:rsid w:val="001979F2"/>
    <w:rsid w:val="00197A26"/>
    <w:rsid w:val="001A3599"/>
    <w:rsid w:val="001A4700"/>
    <w:rsid w:val="001A48EF"/>
    <w:rsid w:val="001A60F3"/>
    <w:rsid w:val="001A6732"/>
    <w:rsid w:val="001A6FB1"/>
    <w:rsid w:val="001B08AC"/>
    <w:rsid w:val="001B0BF8"/>
    <w:rsid w:val="001B3F2A"/>
    <w:rsid w:val="001B449F"/>
    <w:rsid w:val="001B4C89"/>
    <w:rsid w:val="001B610B"/>
    <w:rsid w:val="001C0BDD"/>
    <w:rsid w:val="001C197E"/>
    <w:rsid w:val="001C28AC"/>
    <w:rsid w:val="001C2BE5"/>
    <w:rsid w:val="001C2D65"/>
    <w:rsid w:val="001D1470"/>
    <w:rsid w:val="001D14A0"/>
    <w:rsid w:val="001D2D9C"/>
    <w:rsid w:val="001D3DDA"/>
    <w:rsid w:val="001D4BE1"/>
    <w:rsid w:val="001D4EDC"/>
    <w:rsid w:val="001D5029"/>
    <w:rsid w:val="001D6BCF"/>
    <w:rsid w:val="001E01CA"/>
    <w:rsid w:val="001E4F1A"/>
    <w:rsid w:val="001E606B"/>
    <w:rsid w:val="001E756F"/>
    <w:rsid w:val="001E7B4F"/>
    <w:rsid w:val="001F0FCB"/>
    <w:rsid w:val="001F230E"/>
    <w:rsid w:val="001F5C4D"/>
    <w:rsid w:val="001F7045"/>
    <w:rsid w:val="001F7B9E"/>
    <w:rsid w:val="001F7C74"/>
    <w:rsid w:val="00200362"/>
    <w:rsid w:val="00200A2A"/>
    <w:rsid w:val="0020228C"/>
    <w:rsid w:val="00203283"/>
    <w:rsid w:val="00203BFE"/>
    <w:rsid w:val="002040A1"/>
    <w:rsid w:val="00205A2D"/>
    <w:rsid w:val="00206443"/>
    <w:rsid w:val="002073D8"/>
    <w:rsid w:val="00212952"/>
    <w:rsid w:val="002152AB"/>
    <w:rsid w:val="00216EF6"/>
    <w:rsid w:val="0021702C"/>
    <w:rsid w:val="00217276"/>
    <w:rsid w:val="00220FD2"/>
    <w:rsid w:val="00221CCE"/>
    <w:rsid w:val="00222B98"/>
    <w:rsid w:val="00224298"/>
    <w:rsid w:val="00224E2B"/>
    <w:rsid w:val="00224FAD"/>
    <w:rsid w:val="00225A79"/>
    <w:rsid w:val="00226A94"/>
    <w:rsid w:val="00226B24"/>
    <w:rsid w:val="0023281E"/>
    <w:rsid w:val="00233196"/>
    <w:rsid w:val="00233355"/>
    <w:rsid w:val="00233FC2"/>
    <w:rsid w:val="0023478C"/>
    <w:rsid w:val="00234C04"/>
    <w:rsid w:val="00235AD5"/>
    <w:rsid w:val="0023741C"/>
    <w:rsid w:val="002412AD"/>
    <w:rsid w:val="0024192C"/>
    <w:rsid w:val="0024579C"/>
    <w:rsid w:val="0024704D"/>
    <w:rsid w:val="00247434"/>
    <w:rsid w:val="002509C0"/>
    <w:rsid w:val="0025103E"/>
    <w:rsid w:val="00252061"/>
    <w:rsid w:val="0025652D"/>
    <w:rsid w:val="00262B7B"/>
    <w:rsid w:val="00262C0F"/>
    <w:rsid w:val="00267425"/>
    <w:rsid w:val="002679B0"/>
    <w:rsid w:val="00270030"/>
    <w:rsid w:val="00270968"/>
    <w:rsid w:val="0027104A"/>
    <w:rsid w:val="0027289E"/>
    <w:rsid w:val="00273C14"/>
    <w:rsid w:val="00275CF5"/>
    <w:rsid w:val="00276DC5"/>
    <w:rsid w:val="00281DEA"/>
    <w:rsid w:val="0028301F"/>
    <w:rsid w:val="002830C4"/>
    <w:rsid w:val="002832B4"/>
    <w:rsid w:val="00285017"/>
    <w:rsid w:val="00285D89"/>
    <w:rsid w:val="002953F8"/>
    <w:rsid w:val="00295E12"/>
    <w:rsid w:val="00296564"/>
    <w:rsid w:val="00297B75"/>
    <w:rsid w:val="00297EAE"/>
    <w:rsid w:val="002A2D2E"/>
    <w:rsid w:val="002A2E22"/>
    <w:rsid w:val="002A50FC"/>
    <w:rsid w:val="002A5AF2"/>
    <w:rsid w:val="002A5B68"/>
    <w:rsid w:val="002A7C5D"/>
    <w:rsid w:val="002B3DDF"/>
    <w:rsid w:val="002B5E2C"/>
    <w:rsid w:val="002B69A2"/>
    <w:rsid w:val="002C00E8"/>
    <w:rsid w:val="002C070B"/>
    <w:rsid w:val="002C1D6D"/>
    <w:rsid w:val="002C2051"/>
    <w:rsid w:val="002C338C"/>
    <w:rsid w:val="002C3471"/>
    <w:rsid w:val="002C7EB8"/>
    <w:rsid w:val="002D2D1E"/>
    <w:rsid w:val="002D2D4F"/>
    <w:rsid w:val="002D2D92"/>
    <w:rsid w:val="002D3917"/>
    <w:rsid w:val="002D3925"/>
    <w:rsid w:val="002D3A1A"/>
    <w:rsid w:val="002D42E1"/>
    <w:rsid w:val="002D5152"/>
    <w:rsid w:val="002D522A"/>
    <w:rsid w:val="002D5387"/>
    <w:rsid w:val="002D5EF9"/>
    <w:rsid w:val="002D73DA"/>
    <w:rsid w:val="002D79D7"/>
    <w:rsid w:val="002E08A5"/>
    <w:rsid w:val="002E10E4"/>
    <w:rsid w:val="002E2316"/>
    <w:rsid w:val="002E3E67"/>
    <w:rsid w:val="002E49D2"/>
    <w:rsid w:val="002E5083"/>
    <w:rsid w:val="002E5A5A"/>
    <w:rsid w:val="002E601E"/>
    <w:rsid w:val="002E7C62"/>
    <w:rsid w:val="002F3F08"/>
    <w:rsid w:val="00300004"/>
    <w:rsid w:val="00300A8F"/>
    <w:rsid w:val="00303626"/>
    <w:rsid w:val="003070FE"/>
    <w:rsid w:val="00310908"/>
    <w:rsid w:val="00310A40"/>
    <w:rsid w:val="003118E4"/>
    <w:rsid w:val="00311E66"/>
    <w:rsid w:val="00316179"/>
    <w:rsid w:val="00316FF9"/>
    <w:rsid w:val="00317771"/>
    <w:rsid w:val="00317FD7"/>
    <w:rsid w:val="00327294"/>
    <w:rsid w:val="00332FE8"/>
    <w:rsid w:val="0033604B"/>
    <w:rsid w:val="003368DC"/>
    <w:rsid w:val="003371B3"/>
    <w:rsid w:val="0034117C"/>
    <w:rsid w:val="00343749"/>
    <w:rsid w:val="003455F9"/>
    <w:rsid w:val="00346102"/>
    <w:rsid w:val="00350087"/>
    <w:rsid w:val="00350641"/>
    <w:rsid w:val="00351646"/>
    <w:rsid w:val="0035286D"/>
    <w:rsid w:val="00354CC8"/>
    <w:rsid w:val="00355E02"/>
    <w:rsid w:val="00355EA4"/>
    <w:rsid w:val="003565A2"/>
    <w:rsid w:val="003577E0"/>
    <w:rsid w:val="00362DE5"/>
    <w:rsid w:val="003660ED"/>
    <w:rsid w:val="00366A72"/>
    <w:rsid w:val="003678A6"/>
    <w:rsid w:val="0036796D"/>
    <w:rsid w:val="00367C0F"/>
    <w:rsid w:val="00370B6F"/>
    <w:rsid w:val="00370F70"/>
    <w:rsid w:val="0037204A"/>
    <w:rsid w:val="00373BB6"/>
    <w:rsid w:val="0037419F"/>
    <w:rsid w:val="00374D52"/>
    <w:rsid w:val="00376DBB"/>
    <w:rsid w:val="00381269"/>
    <w:rsid w:val="00381E21"/>
    <w:rsid w:val="00382164"/>
    <w:rsid w:val="003850A3"/>
    <w:rsid w:val="00386F72"/>
    <w:rsid w:val="00392A58"/>
    <w:rsid w:val="00395FB0"/>
    <w:rsid w:val="00396244"/>
    <w:rsid w:val="003970FF"/>
    <w:rsid w:val="003A2B73"/>
    <w:rsid w:val="003A3B03"/>
    <w:rsid w:val="003A40B4"/>
    <w:rsid w:val="003A5A37"/>
    <w:rsid w:val="003A6945"/>
    <w:rsid w:val="003A72DF"/>
    <w:rsid w:val="003B0550"/>
    <w:rsid w:val="003B0F6D"/>
    <w:rsid w:val="003B129B"/>
    <w:rsid w:val="003B1D9A"/>
    <w:rsid w:val="003B2520"/>
    <w:rsid w:val="003B5795"/>
    <w:rsid w:val="003B58FC"/>
    <w:rsid w:val="003B66C3"/>
    <w:rsid w:val="003B66DE"/>
    <w:rsid w:val="003B694F"/>
    <w:rsid w:val="003C1592"/>
    <w:rsid w:val="003C40DC"/>
    <w:rsid w:val="003C43A9"/>
    <w:rsid w:val="003D00C1"/>
    <w:rsid w:val="003D156A"/>
    <w:rsid w:val="003D1678"/>
    <w:rsid w:val="003D5A01"/>
    <w:rsid w:val="003D64CD"/>
    <w:rsid w:val="003D7BBD"/>
    <w:rsid w:val="003E15A2"/>
    <w:rsid w:val="003E3465"/>
    <w:rsid w:val="003E38B0"/>
    <w:rsid w:val="003E73B5"/>
    <w:rsid w:val="003F071C"/>
    <w:rsid w:val="003F08CB"/>
    <w:rsid w:val="003F12DE"/>
    <w:rsid w:val="003F171C"/>
    <w:rsid w:val="003F2829"/>
    <w:rsid w:val="003F2DEB"/>
    <w:rsid w:val="003F4D8F"/>
    <w:rsid w:val="003F6D4F"/>
    <w:rsid w:val="003F6D92"/>
    <w:rsid w:val="00400BB6"/>
    <w:rsid w:val="00403B3E"/>
    <w:rsid w:val="0040455E"/>
    <w:rsid w:val="00404923"/>
    <w:rsid w:val="0041176F"/>
    <w:rsid w:val="00412FC5"/>
    <w:rsid w:val="00413060"/>
    <w:rsid w:val="004148BA"/>
    <w:rsid w:val="0041532A"/>
    <w:rsid w:val="0041558F"/>
    <w:rsid w:val="00417AF6"/>
    <w:rsid w:val="00417E9C"/>
    <w:rsid w:val="00420346"/>
    <w:rsid w:val="004215FF"/>
    <w:rsid w:val="00422276"/>
    <w:rsid w:val="00423F2E"/>
    <w:rsid w:val="0042425C"/>
    <w:rsid w:val="004242F1"/>
    <w:rsid w:val="00424A8F"/>
    <w:rsid w:val="00430BF9"/>
    <w:rsid w:val="00432786"/>
    <w:rsid w:val="004331CD"/>
    <w:rsid w:val="004332FB"/>
    <w:rsid w:val="00434653"/>
    <w:rsid w:val="0043596A"/>
    <w:rsid w:val="00437669"/>
    <w:rsid w:val="004378CC"/>
    <w:rsid w:val="00440405"/>
    <w:rsid w:val="0044119D"/>
    <w:rsid w:val="004420F3"/>
    <w:rsid w:val="004423E8"/>
    <w:rsid w:val="00445295"/>
    <w:rsid w:val="00445A00"/>
    <w:rsid w:val="004470DA"/>
    <w:rsid w:val="0045006D"/>
    <w:rsid w:val="00450292"/>
    <w:rsid w:val="00450E7B"/>
    <w:rsid w:val="00451B0F"/>
    <w:rsid w:val="00456354"/>
    <w:rsid w:val="00456E61"/>
    <w:rsid w:val="00457E83"/>
    <w:rsid w:val="00464BF9"/>
    <w:rsid w:val="00466E00"/>
    <w:rsid w:val="00467F0F"/>
    <w:rsid w:val="004732E8"/>
    <w:rsid w:val="0047383E"/>
    <w:rsid w:val="00476EA3"/>
    <w:rsid w:val="004810DE"/>
    <w:rsid w:val="00482151"/>
    <w:rsid w:val="00483BCA"/>
    <w:rsid w:val="00483C16"/>
    <w:rsid w:val="00484C40"/>
    <w:rsid w:val="00485090"/>
    <w:rsid w:val="00485DB4"/>
    <w:rsid w:val="0048638F"/>
    <w:rsid w:val="004924A2"/>
    <w:rsid w:val="00495997"/>
    <w:rsid w:val="00497648"/>
    <w:rsid w:val="004A16FB"/>
    <w:rsid w:val="004A2097"/>
    <w:rsid w:val="004A2349"/>
    <w:rsid w:val="004A339A"/>
    <w:rsid w:val="004A3A2B"/>
    <w:rsid w:val="004A5DB1"/>
    <w:rsid w:val="004A60BE"/>
    <w:rsid w:val="004B04CD"/>
    <w:rsid w:val="004B12DD"/>
    <w:rsid w:val="004B29CD"/>
    <w:rsid w:val="004B3128"/>
    <w:rsid w:val="004B3CCD"/>
    <w:rsid w:val="004B4254"/>
    <w:rsid w:val="004B70A5"/>
    <w:rsid w:val="004C2EE3"/>
    <w:rsid w:val="004C49F5"/>
    <w:rsid w:val="004C5B70"/>
    <w:rsid w:val="004D136A"/>
    <w:rsid w:val="004D1A11"/>
    <w:rsid w:val="004D1EC6"/>
    <w:rsid w:val="004D2185"/>
    <w:rsid w:val="004D2932"/>
    <w:rsid w:val="004D2953"/>
    <w:rsid w:val="004D3F53"/>
    <w:rsid w:val="004D4206"/>
    <w:rsid w:val="004D518B"/>
    <w:rsid w:val="004D5BAD"/>
    <w:rsid w:val="004D5CB1"/>
    <w:rsid w:val="004D7B47"/>
    <w:rsid w:val="004D7C3B"/>
    <w:rsid w:val="004E0E0A"/>
    <w:rsid w:val="004E1D82"/>
    <w:rsid w:val="004E2749"/>
    <w:rsid w:val="004E3557"/>
    <w:rsid w:val="004E42B4"/>
    <w:rsid w:val="004E4A22"/>
    <w:rsid w:val="004E754B"/>
    <w:rsid w:val="004F0064"/>
    <w:rsid w:val="004F1208"/>
    <w:rsid w:val="004F1FC8"/>
    <w:rsid w:val="004F2529"/>
    <w:rsid w:val="004F75A2"/>
    <w:rsid w:val="00500810"/>
    <w:rsid w:val="00502A30"/>
    <w:rsid w:val="00502DAF"/>
    <w:rsid w:val="005038D2"/>
    <w:rsid w:val="00504955"/>
    <w:rsid w:val="005057A6"/>
    <w:rsid w:val="00506675"/>
    <w:rsid w:val="0050698F"/>
    <w:rsid w:val="00510DC1"/>
    <w:rsid w:val="0051178B"/>
    <w:rsid w:val="00511968"/>
    <w:rsid w:val="005162A4"/>
    <w:rsid w:val="0051722E"/>
    <w:rsid w:val="00520180"/>
    <w:rsid w:val="0052340A"/>
    <w:rsid w:val="00524621"/>
    <w:rsid w:val="00532AA7"/>
    <w:rsid w:val="00533E2B"/>
    <w:rsid w:val="00533F7D"/>
    <w:rsid w:val="0053496E"/>
    <w:rsid w:val="0053546C"/>
    <w:rsid w:val="00535A78"/>
    <w:rsid w:val="00535B1F"/>
    <w:rsid w:val="00535EDF"/>
    <w:rsid w:val="0053773A"/>
    <w:rsid w:val="00537D9D"/>
    <w:rsid w:val="00537DC7"/>
    <w:rsid w:val="005403D0"/>
    <w:rsid w:val="00542F10"/>
    <w:rsid w:val="0054408F"/>
    <w:rsid w:val="00544CF3"/>
    <w:rsid w:val="0054501D"/>
    <w:rsid w:val="00547061"/>
    <w:rsid w:val="0054748E"/>
    <w:rsid w:val="005507D4"/>
    <w:rsid w:val="00550CF5"/>
    <w:rsid w:val="005519B0"/>
    <w:rsid w:val="00552051"/>
    <w:rsid w:val="005525CB"/>
    <w:rsid w:val="005557F9"/>
    <w:rsid w:val="00555F84"/>
    <w:rsid w:val="0055614C"/>
    <w:rsid w:val="00556E43"/>
    <w:rsid w:val="005571EE"/>
    <w:rsid w:val="00561381"/>
    <w:rsid w:val="00561CD8"/>
    <w:rsid w:val="005628CC"/>
    <w:rsid w:val="005643BF"/>
    <w:rsid w:val="0056474E"/>
    <w:rsid w:val="005656B3"/>
    <w:rsid w:val="00565723"/>
    <w:rsid w:val="00566D06"/>
    <w:rsid w:val="00572CA6"/>
    <w:rsid w:val="00574ACC"/>
    <w:rsid w:val="0057685C"/>
    <w:rsid w:val="00576AA4"/>
    <w:rsid w:val="00580215"/>
    <w:rsid w:val="00584178"/>
    <w:rsid w:val="00586716"/>
    <w:rsid w:val="00587D86"/>
    <w:rsid w:val="00591212"/>
    <w:rsid w:val="0059142F"/>
    <w:rsid w:val="00591E83"/>
    <w:rsid w:val="0059370C"/>
    <w:rsid w:val="00594AB8"/>
    <w:rsid w:val="00595ABC"/>
    <w:rsid w:val="005969E7"/>
    <w:rsid w:val="005A03D3"/>
    <w:rsid w:val="005A1E1A"/>
    <w:rsid w:val="005A247C"/>
    <w:rsid w:val="005A3995"/>
    <w:rsid w:val="005A4CD3"/>
    <w:rsid w:val="005A716D"/>
    <w:rsid w:val="005B0712"/>
    <w:rsid w:val="005B0E10"/>
    <w:rsid w:val="005B1BA3"/>
    <w:rsid w:val="005B20F5"/>
    <w:rsid w:val="005B2880"/>
    <w:rsid w:val="005B77C3"/>
    <w:rsid w:val="005B7F38"/>
    <w:rsid w:val="005C0434"/>
    <w:rsid w:val="005C06B2"/>
    <w:rsid w:val="005C09AF"/>
    <w:rsid w:val="005C1DF4"/>
    <w:rsid w:val="005C28FA"/>
    <w:rsid w:val="005C2A88"/>
    <w:rsid w:val="005C475A"/>
    <w:rsid w:val="005C50BD"/>
    <w:rsid w:val="005C6E9F"/>
    <w:rsid w:val="005C76DA"/>
    <w:rsid w:val="005D0703"/>
    <w:rsid w:val="005D24AC"/>
    <w:rsid w:val="005D3687"/>
    <w:rsid w:val="005D3689"/>
    <w:rsid w:val="005D789F"/>
    <w:rsid w:val="005D7CBD"/>
    <w:rsid w:val="005E07C0"/>
    <w:rsid w:val="005E14C2"/>
    <w:rsid w:val="005E1B0E"/>
    <w:rsid w:val="005E1E39"/>
    <w:rsid w:val="005E26AD"/>
    <w:rsid w:val="005E286F"/>
    <w:rsid w:val="005E3817"/>
    <w:rsid w:val="005E3CAE"/>
    <w:rsid w:val="005E51E1"/>
    <w:rsid w:val="005E67D7"/>
    <w:rsid w:val="005E6D7F"/>
    <w:rsid w:val="005E7AEA"/>
    <w:rsid w:val="005E7B41"/>
    <w:rsid w:val="005F305D"/>
    <w:rsid w:val="005F3B8C"/>
    <w:rsid w:val="005F4857"/>
    <w:rsid w:val="005F6C6B"/>
    <w:rsid w:val="00601BB0"/>
    <w:rsid w:val="006031D6"/>
    <w:rsid w:val="00603F4E"/>
    <w:rsid w:val="00605F97"/>
    <w:rsid w:val="006070EA"/>
    <w:rsid w:val="006073D7"/>
    <w:rsid w:val="00607BA5"/>
    <w:rsid w:val="0061180A"/>
    <w:rsid w:val="0061722D"/>
    <w:rsid w:val="006177FD"/>
    <w:rsid w:val="00620A43"/>
    <w:rsid w:val="00620D04"/>
    <w:rsid w:val="00624526"/>
    <w:rsid w:val="00625712"/>
    <w:rsid w:val="00625873"/>
    <w:rsid w:val="0062628D"/>
    <w:rsid w:val="00626EB6"/>
    <w:rsid w:val="00627101"/>
    <w:rsid w:val="006277EF"/>
    <w:rsid w:val="00627922"/>
    <w:rsid w:val="006314EB"/>
    <w:rsid w:val="00633916"/>
    <w:rsid w:val="00633A8A"/>
    <w:rsid w:val="00633B0E"/>
    <w:rsid w:val="006371E6"/>
    <w:rsid w:val="006405D9"/>
    <w:rsid w:val="006407AC"/>
    <w:rsid w:val="00641912"/>
    <w:rsid w:val="0064324F"/>
    <w:rsid w:val="00643553"/>
    <w:rsid w:val="006436EE"/>
    <w:rsid w:val="00645744"/>
    <w:rsid w:val="00646D47"/>
    <w:rsid w:val="006476C7"/>
    <w:rsid w:val="00647713"/>
    <w:rsid w:val="0065220B"/>
    <w:rsid w:val="0065315F"/>
    <w:rsid w:val="006551D0"/>
    <w:rsid w:val="00655D03"/>
    <w:rsid w:val="00656E99"/>
    <w:rsid w:val="00657488"/>
    <w:rsid w:val="00657B70"/>
    <w:rsid w:val="006600D9"/>
    <w:rsid w:val="00660766"/>
    <w:rsid w:val="00660AAF"/>
    <w:rsid w:val="00661A2F"/>
    <w:rsid w:val="00662224"/>
    <w:rsid w:val="006638C3"/>
    <w:rsid w:val="00665567"/>
    <w:rsid w:val="006673F9"/>
    <w:rsid w:val="00667E00"/>
    <w:rsid w:val="00670A17"/>
    <w:rsid w:val="00671D20"/>
    <w:rsid w:val="00672234"/>
    <w:rsid w:val="006745AA"/>
    <w:rsid w:val="00674B76"/>
    <w:rsid w:val="00676F4E"/>
    <w:rsid w:val="00677483"/>
    <w:rsid w:val="0067791E"/>
    <w:rsid w:val="006811D8"/>
    <w:rsid w:val="006817A0"/>
    <w:rsid w:val="00683388"/>
    <w:rsid w:val="00683F84"/>
    <w:rsid w:val="006861B3"/>
    <w:rsid w:val="00690783"/>
    <w:rsid w:val="00691002"/>
    <w:rsid w:val="0069203C"/>
    <w:rsid w:val="0069390C"/>
    <w:rsid w:val="00695F8E"/>
    <w:rsid w:val="00697AFC"/>
    <w:rsid w:val="006A03AC"/>
    <w:rsid w:val="006A1B00"/>
    <w:rsid w:val="006A1F41"/>
    <w:rsid w:val="006A1F8E"/>
    <w:rsid w:val="006A269C"/>
    <w:rsid w:val="006A3740"/>
    <w:rsid w:val="006A56F3"/>
    <w:rsid w:val="006A6A81"/>
    <w:rsid w:val="006A7557"/>
    <w:rsid w:val="006A78BE"/>
    <w:rsid w:val="006B3845"/>
    <w:rsid w:val="006B3D7F"/>
    <w:rsid w:val="006B3FE0"/>
    <w:rsid w:val="006B626F"/>
    <w:rsid w:val="006C0A1C"/>
    <w:rsid w:val="006C360B"/>
    <w:rsid w:val="006C4605"/>
    <w:rsid w:val="006C4A74"/>
    <w:rsid w:val="006C4CDD"/>
    <w:rsid w:val="006C6F43"/>
    <w:rsid w:val="006D0720"/>
    <w:rsid w:val="006D0733"/>
    <w:rsid w:val="006D3225"/>
    <w:rsid w:val="006D36B1"/>
    <w:rsid w:val="006D4624"/>
    <w:rsid w:val="006D47AA"/>
    <w:rsid w:val="006D5315"/>
    <w:rsid w:val="006D5DDB"/>
    <w:rsid w:val="006D6A2E"/>
    <w:rsid w:val="006D77CA"/>
    <w:rsid w:val="006E1186"/>
    <w:rsid w:val="006E15FD"/>
    <w:rsid w:val="006E1646"/>
    <w:rsid w:val="006E2C43"/>
    <w:rsid w:val="006E2ECF"/>
    <w:rsid w:val="006E5152"/>
    <w:rsid w:val="006F1CDB"/>
    <w:rsid w:val="006F42F6"/>
    <w:rsid w:val="006F7393"/>
    <w:rsid w:val="006F7536"/>
    <w:rsid w:val="006F7710"/>
    <w:rsid w:val="007010D8"/>
    <w:rsid w:val="0070224F"/>
    <w:rsid w:val="007038A8"/>
    <w:rsid w:val="0070661C"/>
    <w:rsid w:val="007115F7"/>
    <w:rsid w:val="00713516"/>
    <w:rsid w:val="0071603E"/>
    <w:rsid w:val="00716698"/>
    <w:rsid w:val="00720BC6"/>
    <w:rsid w:val="00722808"/>
    <w:rsid w:val="00725B82"/>
    <w:rsid w:val="007261A6"/>
    <w:rsid w:val="00727F1F"/>
    <w:rsid w:val="00727F72"/>
    <w:rsid w:val="007329C3"/>
    <w:rsid w:val="00733EF0"/>
    <w:rsid w:val="00740332"/>
    <w:rsid w:val="007419DF"/>
    <w:rsid w:val="0074253D"/>
    <w:rsid w:val="0074439B"/>
    <w:rsid w:val="00745631"/>
    <w:rsid w:val="0074647B"/>
    <w:rsid w:val="00751DA4"/>
    <w:rsid w:val="00753C46"/>
    <w:rsid w:val="00754A4A"/>
    <w:rsid w:val="00756CB9"/>
    <w:rsid w:val="007602AA"/>
    <w:rsid w:val="00761302"/>
    <w:rsid w:val="00762CF4"/>
    <w:rsid w:val="00763CCB"/>
    <w:rsid w:val="0076655E"/>
    <w:rsid w:val="00767B6A"/>
    <w:rsid w:val="00770148"/>
    <w:rsid w:val="007728EF"/>
    <w:rsid w:val="00773924"/>
    <w:rsid w:val="007825A9"/>
    <w:rsid w:val="00784752"/>
    <w:rsid w:val="00784B90"/>
    <w:rsid w:val="00785689"/>
    <w:rsid w:val="00787754"/>
    <w:rsid w:val="0079209A"/>
    <w:rsid w:val="00792B44"/>
    <w:rsid w:val="00793C3C"/>
    <w:rsid w:val="00794032"/>
    <w:rsid w:val="00794217"/>
    <w:rsid w:val="00795EEF"/>
    <w:rsid w:val="0079754B"/>
    <w:rsid w:val="00797F02"/>
    <w:rsid w:val="007A0B5A"/>
    <w:rsid w:val="007A0ECE"/>
    <w:rsid w:val="007A1E6D"/>
    <w:rsid w:val="007A300E"/>
    <w:rsid w:val="007A32D7"/>
    <w:rsid w:val="007A3509"/>
    <w:rsid w:val="007A5B50"/>
    <w:rsid w:val="007A5BA2"/>
    <w:rsid w:val="007A784F"/>
    <w:rsid w:val="007B0AFA"/>
    <w:rsid w:val="007B0B3A"/>
    <w:rsid w:val="007B0EB2"/>
    <w:rsid w:val="007B1985"/>
    <w:rsid w:val="007C0ED3"/>
    <w:rsid w:val="007C1603"/>
    <w:rsid w:val="007C3E8A"/>
    <w:rsid w:val="007C6CE4"/>
    <w:rsid w:val="007D0FF7"/>
    <w:rsid w:val="007D1B9A"/>
    <w:rsid w:val="007D1F95"/>
    <w:rsid w:val="007D2FAE"/>
    <w:rsid w:val="007D390D"/>
    <w:rsid w:val="007D4033"/>
    <w:rsid w:val="007E2AA3"/>
    <w:rsid w:val="007E42E0"/>
    <w:rsid w:val="007F44C8"/>
    <w:rsid w:val="007F4C4A"/>
    <w:rsid w:val="007F68F5"/>
    <w:rsid w:val="007F692E"/>
    <w:rsid w:val="007F79F9"/>
    <w:rsid w:val="00801DF8"/>
    <w:rsid w:val="00801E3B"/>
    <w:rsid w:val="008042CC"/>
    <w:rsid w:val="008056DF"/>
    <w:rsid w:val="00806CD4"/>
    <w:rsid w:val="008078FB"/>
    <w:rsid w:val="00807D5A"/>
    <w:rsid w:val="00810B6F"/>
    <w:rsid w:val="008133F5"/>
    <w:rsid w:val="008138C8"/>
    <w:rsid w:val="008152DB"/>
    <w:rsid w:val="008161A3"/>
    <w:rsid w:val="008173D0"/>
    <w:rsid w:val="008179CB"/>
    <w:rsid w:val="0082267E"/>
    <w:rsid w:val="00822CE0"/>
    <w:rsid w:val="00825391"/>
    <w:rsid w:val="008253E7"/>
    <w:rsid w:val="00826F05"/>
    <w:rsid w:val="008302CB"/>
    <w:rsid w:val="00830861"/>
    <w:rsid w:val="00831737"/>
    <w:rsid w:val="00831E03"/>
    <w:rsid w:val="00833226"/>
    <w:rsid w:val="00834325"/>
    <w:rsid w:val="00834E57"/>
    <w:rsid w:val="00840522"/>
    <w:rsid w:val="00840763"/>
    <w:rsid w:val="00840798"/>
    <w:rsid w:val="00841AB1"/>
    <w:rsid w:val="00845494"/>
    <w:rsid w:val="00847E54"/>
    <w:rsid w:val="00850911"/>
    <w:rsid w:val="00851B86"/>
    <w:rsid w:val="008525AA"/>
    <w:rsid w:val="00853310"/>
    <w:rsid w:val="00855CED"/>
    <w:rsid w:val="0085611A"/>
    <w:rsid w:val="008562FC"/>
    <w:rsid w:val="00856A33"/>
    <w:rsid w:val="008576D6"/>
    <w:rsid w:val="0086018C"/>
    <w:rsid w:val="00860201"/>
    <w:rsid w:val="008634DA"/>
    <w:rsid w:val="00864F4B"/>
    <w:rsid w:val="0086588A"/>
    <w:rsid w:val="00865A0B"/>
    <w:rsid w:val="008672D2"/>
    <w:rsid w:val="00873B79"/>
    <w:rsid w:val="0087508C"/>
    <w:rsid w:val="008750DF"/>
    <w:rsid w:val="00876A35"/>
    <w:rsid w:val="0088005E"/>
    <w:rsid w:val="00880886"/>
    <w:rsid w:val="00882324"/>
    <w:rsid w:val="0088526E"/>
    <w:rsid w:val="00886954"/>
    <w:rsid w:val="0089230D"/>
    <w:rsid w:val="0089373D"/>
    <w:rsid w:val="0089558C"/>
    <w:rsid w:val="008A1B36"/>
    <w:rsid w:val="008A2E78"/>
    <w:rsid w:val="008A553F"/>
    <w:rsid w:val="008B1855"/>
    <w:rsid w:val="008B20F0"/>
    <w:rsid w:val="008B3A17"/>
    <w:rsid w:val="008B555D"/>
    <w:rsid w:val="008B6F0E"/>
    <w:rsid w:val="008C1E94"/>
    <w:rsid w:val="008C55EA"/>
    <w:rsid w:val="008C68F1"/>
    <w:rsid w:val="008C7993"/>
    <w:rsid w:val="008D0939"/>
    <w:rsid w:val="008D3596"/>
    <w:rsid w:val="008D3AB9"/>
    <w:rsid w:val="008D42FD"/>
    <w:rsid w:val="008D5F99"/>
    <w:rsid w:val="008D63EF"/>
    <w:rsid w:val="008D706E"/>
    <w:rsid w:val="008E3B7A"/>
    <w:rsid w:val="008F072B"/>
    <w:rsid w:val="008F19A4"/>
    <w:rsid w:val="008F2BAE"/>
    <w:rsid w:val="008F32D4"/>
    <w:rsid w:val="008F5A7D"/>
    <w:rsid w:val="008F7086"/>
    <w:rsid w:val="008F7892"/>
    <w:rsid w:val="00900265"/>
    <w:rsid w:val="00903644"/>
    <w:rsid w:val="009051F8"/>
    <w:rsid w:val="00907E36"/>
    <w:rsid w:val="00910BE2"/>
    <w:rsid w:val="0091166F"/>
    <w:rsid w:val="00911EBD"/>
    <w:rsid w:val="009165B9"/>
    <w:rsid w:val="00917EB3"/>
    <w:rsid w:val="0092063E"/>
    <w:rsid w:val="009212AD"/>
    <w:rsid w:val="00921803"/>
    <w:rsid w:val="00921B7F"/>
    <w:rsid w:val="00923842"/>
    <w:rsid w:val="00923969"/>
    <w:rsid w:val="009240C7"/>
    <w:rsid w:val="0092427C"/>
    <w:rsid w:val="00924356"/>
    <w:rsid w:val="00926503"/>
    <w:rsid w:val="00926974"/>
    <w:rsid w:val="00927A55"/>
    <w:rsid w:val="00927F6C"/>
    <w:rsid w:val="00930037"/>
    <w:rsid w:val="00931892"/>
    <w:rsid w:val="00933ABB"/>
    <w:rsid w:val="009346FE"/>
    <w:rsid w:val="00934EE1"/>
    <w:rsid w:val="00935C9B"/>
    <w:rsid w:val="00935EBF"/>
    <w:rsid w:val="00940507"/>
    <w:rsid w:val="00944915"/>
    <w:rsid w:val="009453E4"/>
    <w:rsid w:val="00946E04"/>
    <w:rsid w:val="0095150A"/>
    <w:rsid w:val="009516E5"/>
    <w:rsid w:val="00954CD2"/>
    <w:rsid w:val="0095593E"/>
    <w:rsid w:val="00956FD7"/>
    <w:rsid w:val="00957F5A"/>
    <w:rsid w:val="0096180B"/>
    <w:rsid w:val="00963B25"/>
    <w:rsid w:val="00965D23"/>
    <w:rsid w:val="00966C6C"/>
    <w:rsid w:val="00966D56"/>
    <w:rsid w:val="00966D75"/>
    <w:rsid w:val="00970A50"/>
    <w:rsid w:val="009713B6"/>
    <w:rsid w:val="009726D8"/>
    <w:rsid w:val="00972B9E"/>
    <w:rsid w:val="0097306A"/>
    <w:rsid w:val="0097457E"/>
    <w:rsid w:val="00974EBB"/>
    <w:rsid w:val="0097617F"/>
    <w:rsid w:val="009773C8"/>
    <w:rsid w:val="00977F49"/>
    <w:rsid w:val="00981292"/>
    <w:rsid w:val="009812A4"/>
    <w:rsid w:val="00982AA9"/>
    <w:rsid w:val="00983FEB"/>
    <w:rsid w:val="00985BCA"/>
    <w:rsid w:val="00985DBE"/>
    <w:rsid w:val="00986C57"/>
    <w:rsid w:val="00987F29"/>
    <w:rsid w:val="009A0DAE"/>
    <w:rsid w:val="009A3516"/>
    <w:rsid w:val="009A63F0"/>
    <w:rsid w:val="009A712E"/>
    <w:rsid w:val="009A7971"/>
    <w:rsid w:val="009B5606"/>
    <w:rsid w:val="009C0B4E"/>
    <w:rsid w:val="009C66EB"/>
    <w:rsid w:val="009C6F56"/>
    <w:rsid w:val="009C72A6"/>
    <w:rsid w:val="009D0F70"/>
    <w:rsid w:val="009D294E"/>
    <w:rsid w:val="009D494A"/>
    <w:rsid w:val="009D6050"/>
    <w:rsid w:val="009D7308"/>
    <w:rsid w:val="009E3A3E"/>
    <w:rsid w:val="009E4E37"/>
    <w:rsid w:val="009E650B"/>
    <w:rsid w:val="009E6CC4"/>
    <w:rsid w:val="009F132A"/>
    <w:rsid w:val="009F3176"/>
    <w:rsid w:val="009F5898"/>
    <w:rsid w:val="009F7476"/>
    <w:rsid w:val="009F76DB"/>
    <w:rsid w:val="00A00610"/>
    <w:rsid w:val="00A10135"/>
    <w:rsid w:val="00A13F00"/>
    <w:rsid w:val="00A14BAE"/>
    <w:rsid w:val="00A16EE4"/>
    <w:rsid w:val="00A17D1E"/>
    <w:rsid w:val="00A20FF7"/>
    <w:rsid w:val="00A220D6"/>
    <w:rsid w:val="00A22783"/>
    <w:rsid w:val="00A24948"/>
    <w:rsid w:val="00A24E86"/>
    <w:rsid w:val="00A266F2"/>
    <w:rsid w:val="00A27D8E"/>
    <w:rsid w:val="00A30CEF"/>
    <w:rsid w:val="00A30E1F"/>
    <w:rsid w:val="00A32C3B"/>
    <w:rsid w:val="00A3388E"/>
    <w:rsid w:val="00A34493"/>
    <w:rsid w:val="00A40BE3"/>
    <w:rsid w:val="00A41743"/>
    <w:rsid w:val="00A431A0"/>
    <w:rsid w:val="00A44D02"/>
    <w:rsid w:val="00A44DA2"/>
    <w:rsid w:val="00A45B9B"/>
    <w:rsid w:val="00A45F4F"/>
    <w:rsid w:val="00A474EC"/>
    <w:rsid w:val="00A47E5E"/>
    <w:rsid w:val="00A511C2"/>
    <w:rsid w:val="00A51F2F"/>
    <w:rsid w:val="00A567A3"/>
    <w:rsid w:val="00A57EAC"/>
    <w:rsid w:val="00A600A9"/>
    <w:rsid w:val="00A62362"/>
    <w:rsid w:val="00A63F53"/>
    <w:rsid w:val="00A659D8"/>
    <w:rsid w:val="00A66A3C"/>
    <w:rsid w:val="00A701B8"/>
    <w:rsid w:val="00A70A9C"/>
    <w:rsid w:val="00A747E1"/>
    <w:rsid w:val="00A74817"/>
    <w:rsid w:val="00A76457"/>
    <w:rsid w:val="00A76B0D"/>
    <w:rsid w:val="00A77AD8"/>
    <w:rsid w:val="00A84EF1"/>
    <w:rsid w:val="00A85250"/>
    <w:rsid w:val="00A853FD"/>
    <w:rsid w:val="00A8765C"/>
    <w:rsid w:val="00A923BF"/>
    <w:rsid w:val="00A924CD"/>
    <w:rsid w:val="00A9296F"/>
    <w:rsid w:val="00AA04C2"/>
    <w:rsid w:val="00AA087E"/>
    <w:rsid w:val="00AA1207"/>
    <w:rsid w:val="00AA2A2B"/>
    <w:rsid w:val="00AA2E1B"/>
    <w:rsid w:val="00AA2E37"/>
    <w:rsid w:val="00AA328F"/>
    <w:rsid w:val="00AA43A2"/>
    <w:rsid w:val="00AA4A93"/>
    <w:rsid w:val="00AA4D32"/>
    <w:rsid w:val="00AA55B7"/>
    <w:rsid w:val="00AA55DB"/>
    <w:rsid w:val="00AA5B9E"/>
    <w:rsid w:val="00AA5F9C"/>
    <w:rsid w:val="00AA7407"/>
    <w:rsid w:val="00AB0717"/>
    <w:rsid w:val="00AB1D0A"/>
    <w:rsid w:val="00AB2407"/>
    <w:rsid w:val="00AB268A"/>
    <w:rsid w:val="00AB3027"/>
    <w:rsid w:val="00AB3583"/>
    <w:rsid w:val="00AB4FAE"/>
    <w:rsid w:val="00AB520B"/>
    <w:rsid w:val="00AB53DF"/>
    <w:rsid w:val="00AC0B23"/>
    <w:rsid w:val="00AC76B7"/>
    <w:rsid w:val="00AC79D5"/>
    <w:rsid w:val="00AD0AAD"/>
    <w:rsid w:val="00AD27A4"/>
    <w:rsid w:val="00AD2AB8"/>
    <w:rsid w:val="00AD32DE"/>
    <w:rsid w:val="00AD48D6"/>
    <w:rsid w:val="00AD7C0F"/>
    <w:rsid w:val="00AD7D73"/>
    <w:rsid w:val="00AE09DF"/>
    <w:rsid w:val="00AE0C0E"/>
    <w:rsid w:val="00AE24AE"/>
    <w:rsid w:val="00AF20CB"/>
    <w:rsid w:val="00AF39F7"/>
    <w:rsid w:val="00AF6519"/>
    <w:rsid w:val="00AF686C"/>
    <w:rsid w:val="00AF6F48"/>
    <w:rsid w:val="00B009B2"/>
    <w:rsid w:val="00B0115A"/>
    <w:rsid w:val="00B042A0"/>
    <w:rsid w:val="00B054FD"/>
    <w:rsid w:val="00B06364"/>
    <w:rsid w:val="00B07E5C"/>
    <w:rsid w:val="00B10017"/>
    <w:rsid w:val="00B112BE"/>
    <w:rsid w:val="00B117FD"/>
    <w:rsid w:val="00B11B30"/>
    <w:rsid w:val="00B173A8"/>
    <w:rsid w:val="00B256EA"/>
    <w:rsid w:val="00B27E9E"/>
    <w:rsid w:val="00B30709"/>
    <w:rsid w:val="00B31EB9"/>
    <w:rsid w:val="00B33B8A"/>
    <w:rsid w:val="00B34B9C"/>
    <w:rsid w:val="00B34EB8"/>
    <w:rsid w:val="00B36A27"/>
    <w:rsid w:val="00B37008"/>
    <w:rsid w:val="00B37CE3"/>
    <w:rsid w:val="00B4685D"/>
    <w:rsid w:val="00B52447"/>
    <w:rsid w:val="00B52F68"/>
    <w:rsid w:val="00B54865"/>
    <w:rsid w:val="00B54C7E"/>
    <w:rsid w:val="00B56F5E"/>
    <w:rsid w:val="00B57B09"/>
    <w:rsid w:val="00B615E1"/>
    <w:rsid w:val="00B63316"/>
    <w:rsid w:val="00B66518"/>
    <w:rsid w:val="00B66DED"/>
    <w:rsid w:val="00B67905"/>
    <w:rsid w:val="00B7054F"/>
    <w:rsid w:val="00B70FF5"/>
    <w:rsid w:val="00B72696"/>
    <w:rsid w:val="00B72B0C"/>
    <w:rsid w:val="00B72C04"/>
    <w:rsid w:val="00B73254"/>
    <w:rsid w:val="00B74F15"/>
    <w:rsid w:val="00B75228"/>
    <w:rsid w:val="00B754EE"/>
    <w:rsid w:val="00B75BE1"/>
    <w:rsid w:val="00B7709F"/>
    <w:rsid w:val="00B811F7"/>
    <w:rsid w:val="00B81B81"/>
    <w:rsid w:val="00B83062"/>
    <w:rsid w:val="00B83F29"/>
    <w:rsid w:val="00B850B3"/>
    <w:rsid w:val="00B87A87"/>
    <w:rsid w:val="00B90F87"/>
    <w:rsid w:val="00B91B8D"/>
    <w:rsid w:val="00B94B7B"/>
    <w:rsid w:val="00B95687"/>
    <w:rsid w:val="00B95B9F"/>
    <w:rsid w:val="00BA1E94"/>
    <w:rsid w:val="00BA3644"/>
    <w:rsid w:val="00BA4717"/>
    <w:rsid w:val="00BA51E5"/>
    <w:rsid w:val="00BA59E9"/>
    <w:rsid w:val="00BA5DC6"/>
    <w:rsid w:val="00BA6196"/>
    <w:rsid w:val="00BB0EE5"/>
    <w:rsid w:val="00BB2E7D"/>
    <w:rsid w:val="00BB62F4"/>
    <w:rsid w:val="00BB73CB"/>
    <w:rsid w:val="00BC27DF"/>
    <w:rsid w:val="00BC54C1"/>
    <w:rsid w:val="00BC6D8C"/>
    <w:rsid w:val="00BC759D"/>
    <w:rsid w:val="00BD1559"/>
    <w:rsid w:val="00BD18F1"/>
    <w:rsid w:val="00BD38EA"/>
    <w:rsid w:val="00BE2D15"/>
    <w:rsid w:val="00BF041A"/>
    <w:rsid w:val="00BF2E60"/>
    <w:rsid w:val="00BF5052"/>
    <w:rsid w:val="00BF556F"/>
    <w:rsid w:val="00BF6B48"/>
    <w:rsid w:val="00BF6CF7"/>
    <w:rsid w:val="00BF73E7"/>
    <w:rsid w:val="00BF7CA4"/>
    <w:rsid w:val="00C022F8"/>
    <w:rsid w:val="00C0466E"/>
    <w:rsid w:val="00C053AF"/>
    <w:rsid w:val="00C062D3"/>
    <w:rsid w:val="00C07DBA"/>
    <w:rsid w:val="00C10AB9"/>
    <w:rsid w:val="00C10DDD"/>
    <w:rsid w:val="00C11D10"/>
    <w:rsid w:val="00C15D42"/>
    <w:rsid w:val="00C1618F"/>
    <w:rsid w:val="00C25478"/>
    <w:rsid w:val="00C27AFF"/>
    <w:rsid w:val="00C27B46"/>
    <w:rsid w:val="00C34006"/>
    <w:rsid w:val="00C346E2"/>
    <w:rsid w:val="00C348A2"/>
    <w:rsid w:val="00C3578C"/>
    <w:rsid w:val="00C36B4C"/>
    <w:rsid w:val="00C37237"/>
    <w:rsid w:val="00C37DE5"/>
    <w:rsid w:val="00C41DB6"/>
    <w:rsid w:val="00C426B1"/>
    <w:rsid w:val="00C43B45"/>
    <w:rsid w:val="00C4552D"/>
    <w:rsid w:val="00C47C59"/>
    <w:rsid w:val="00C54C6B"/>
    <w:rsid w:val="00C57EFD"/>
    <w:rsid w:val="00C61257"/>
    <w:rsid w:val="00C64B36"/>
    <w:rsid w:val="00C66160"/>
    <w:rsid w:val="00C66DEB"/>
    <w:rsid w:val="00C67B59"/>
    <w:rsid w:val="00C67D62"/>
    <w:rsid w:val="00C70FF7"/>
    <w:rsid w:val="00C71017"/>
    <w:rsid w:val="00C71A62"/>
    <w:rsid w:val="00C721AC"/>
    <w:rsid w:val="00C73214"/>
    <w:rsid w:val="00C7412F"/>
    <w:rsid w:val="00C809AA"/>
    <w:rsid w:val="00C81726"/>
    <w:rsid w:val="00C81ECA"/>
    <w:rsid w:val="00C83491"/>
    <w:rsid w:val="00C86214"/>
    <w:rsid w:val="00C86BCA"/>
    <w:rsid w:val="00C86F6C"/>
    <w:rsid w:val="00C87774"/>
    <w:rsid w:val="00C87845"/>
    <w:rsid w:val="00C8785D"/>
    <w:rsid w:val="00C90328"/>
    <w:rsid w:val="00C90D6A"/>
    <w:rsid w:val="00C9545B"/>
    <w:rsid w:val="00C960FB"/>
    <w:rsid w:val="00C97B4E"/>
    <w:rsid w:val="00CA0AFF"/>
    <w:rsid w:val="00CA140C"/>
    <w:rsid w:val="00CA1A43"/>
    <w:rsid w:val="00CA247E"/>
    <w:rsid w:val="00CA582C"/>
    <w:rsid w:val="00CA67CF"/>
    <w:rsid w:val="00CA6D21"/>
    <w:rsid w:val="00CA7779"/>
    <w:rsid w:val="00CA7862"/>
    <w:rsid w:val="00CB04B7"/>
    <w:rsid w:val="00CB21B7"/>
    <w:rsid w:val="00CB289A"/>
    <w:rsid w:val="00CB4989"/>
    <w:rsid w:val="00CB5876"/>
    <w:rsid w:val="00CB7754"/>
    <w:rsid w:val="00CC0DD2"/>
    <w:rsid w:val="00CC29C7"/>
    <w:rsid w:val="00CC4701"/>
    <w:rsid w:val="00CC4FBC"/>
    <w:rsid w:val="00CC56C8"/>
    <w:rsid w:val="00CC6A08"/>
    <w:rsid w:val="00CC6A11"/>
    <w:rsid w:val="00CC72B6"/>
    <w:rsid w:val="00CD039B"/>
    <w:rsid w:val="00CD0BE9"/>
    <w:rsid w:val="00CD279F"/>
    <w:rsid w:val="00CD6875"/>
    <w:rsid w:val="00CD78E4"/>
    <w:rsid w:val="00CE06B2"/>
    <w:rsid w:val="00CE1DFE"/>
    <w:rsid w:val="00CE1EBF"/>
    <w:rsid w:val="00CE2677"/>
    <w:rsid w:val="00CE3DCC"/>
    <w:rsid w:val="00CE6B24"/>
    <w:rsid w:val="00CF16A9"/>
    <w:rsid w:val="00CF1A9F"/>
    <w:rsid w:val="00CF3586"/>
    <w:rsid w:val="00CF5293"/>
    <w:rsid w:val="00CF5447"/>
    <w:rsid w:val="00CF6D0F"/>
    <w:rsid w:val="00CF71A1"/>
    <w:rsid w:val="00D00774"/>
    <w:rsid w:val="00D013D8"/>
    <w:rsid w:val="00D01C6F"/>
    <w:rsid w:val="00D0218D"/>
    <w:rsid w:val="00D022A7"/>
    <w:rsid w:val="00D033B6"/>
    <w:rsid w:val="00D0683C"/>
    <w:rsid w:val="00D07165"/>
    <w:rsid w:val="00D07F82"/>
    <w:rsid w:val="00D100CC"/>
    <w:rsid w:val="00D10CFE"/>
    <w:rsid w:val="00D13742"/>
    <w:rsid w:val="00D143AC"/>
    <w:rsid w:val="00D16490"/>
    <w:rsid w:val="00D1787C"/>
    <w:rsid w:val="00D2065F"/>
    <w:rsid w:val="00D225FF"/>
    <w:rsid w:val="00D22FD5"/>
    <w:rsid w:val="00D25033"/>
    <w:rsid w:val="00D25FB5"/>
    <w:rsid w:val="00D3053E"/>
    <w:rsid w:val="00D31A55"/>
    <w:rsid w:val="00D33D34"/>
    <w:rsid w:val="00D344E0"/>
    <w:rsid w:val="00D35128"/>
    <w:rsid w:val="00D436D5"/>
    <w:rsid w:val="00D44223"/>
    <w:rsid w:val="00D504D6"/>
    <w:rsid w:val="00D52182"/>
    <w:rsid w:val="00D52D43"/>
    <w:rsid w:val="00D5327C"/>
    <w:rsid w:val="00D55645"/>
    <w:rsid w:val="00D55A2A"/>
    <w:rsid w:val="00D572AA"/>
    <w:rsid w:val="00D60E2E"/>
    <w:rsid w:val="00D619D0"/>
    <w:rsid w:val="00D66BC9"/>
    <w:rsid w:val="00D66FEA"/>
    <w:rsid w:val="00D7385B"/>
    <w:rsid w:val="00D74123"/>
    <w:rsid w:val="00D742AC"/>
    <w:rsid w:val="00D74671"/>
    <w:rsid w:val="00D747BB"/>
    <w:rsid w:val="00D7508E"/>
    <w:rsid w:val="00D81E83"/>
    <w:rsid w:val="00D833C6"/>
    <w:rsid w:val="00D84D9C"/>
    <w:rsid w:val="00D85639"/>
    <w:rsid w:val="00D863F8"/>
    <w:rsid w:val="00D90F6F"/>
    <w:rsid w:val="00D93C55"/>
    <w:rsid w:val="00D94113"/>
    <w:rsid w:val="00D94160"/>
    <w:rsid w:val="00D966B4"/>
    <w:rsid w:val="00D97FB0"/>
    <w:rsid w:val="00DA0477"/>
    <w:rsid w:val="00DA2104"/>
    <w:rsid w:val="00DA2529"/>
    <w:rsid w:val="00DA3676"/>
    <w:rsid w:val="00DA41BE"/>
    <w:rsid w:val="00DA4596"/>
    <w:rsid w:val="00DB051A"/>
    <w:rsid w:val="00DB0968"/>
    <w:rsid w:val="00DB130A"/>
    <w:rsid w:val="00DB1353"/>
    <w:rsid w:val="00DB2EBB"/>
    <w:rsid w:val="00DB33FA"/>
    <w:rsid w:val="00DB4CD9"/>
    <w:rsid w:val="00DB632C"/>
    <w:rsid w:val="00DB6361"/>
    <w:rsid w:val="00DB6CC1"/>
    <w:rsid w:val="00DB74B9"/>
    <w:rsid w:val="00DC10A1"/>
    <w:rsid w:val="00DC1D63"/>
    <w:rsid w:val="00DC4B05"/>
    <w:rsid w:val="00DC655F"/>
    <w:rsid w:val="00DC6B04"/>
    <w:rsid w:val="00DC6BF4"/>
    <w:rsid w:val="00DC779B"/>
    <w:rsid w:val="00DD0B59"/>
    <w:rsid w:val="00DD2A2D"/>
    <w:rsid w:val="00DD2C1E"/>
    <w:rsid w:val="00DD2D3F"/>
    <w:rsid w:val="00DD48D1"/>
    <w:rsid w:val="00DD77D4"/>
    <w:rsid w:val="00DD77F9"/>
    <w:rsid w:val="00DD7EBD"/>
    <w:rsid w:val="00DD7FFA"/>
    <w:rsid w:val="00DE275D"/>
    <w:rsid w:val="00DE3382"/>
    <w:rsid w:val="00DE45BB"/>
    <w:rsid w:val="00DE59CB"/>
    <w:rsid w:val="00DF0353"/>
    <w:rsid w:val="00DF24F0"/>
    <w:rsid w:val="00DF4004"/>
    <w:rsid w:val="00DF4A2F"/>
    <w:rsid w:val="00DF609D"/>
    <w:rsid w:val="00DF62B6"/>
    <w:rsid w:val="00E033D8"/>
    <w:rsid w:val="00E0423D"/>
    <w:rsid w:val="00E0507E"/>
    <w:rsid w:val="00E07225"/>
    <w:rsid w:val="00E07A00"/>
    <w:rsid w:val="00E1291E"/>
    <w:rsid w:val="00E14288"/>
    <w:rsid w:val="00E16089"/>
    <w:rsid w:val="00E23FDF"/>
    <w:rsid w:val="00E256F9"/>
    <w:rsid w:val="00E25A23"/>
    <w:rsid w:val="00E302B0"/>
    <w:rsid w:val="00E3224C"/>
    <w:rsid w:val="00E32DBA"/>
    <w:rsid w:val="00E34355"/>
    <w:rsid w:val="00E3464A"/>
    <w:rsid w:val="00E3601F"/>
    <w:rsid w:val="00E36ECD"/>
    <w:rsid w:val="00E37039"/>
    <w:rsid w:val="00E407C1"/>
    <w:rsid w:val="00E41071"/>
    <w:rsid w:val="00E41B9E"/>
    <w:rsid w:val="00E4561C"/>
    <w:rsid w:val="00E5164E"/>
    <w:rsid w:val="00E5409F"/>
    <w:rsid w:val="00E54F6B"/>
    <w:rsid w:val="00E561BE"/>
    <w:rsid w:val="00E56BD5"/>
    <w:rsid w:val="00E5719A"/>
    <w:rsid w:val="00E573C8"/>
    <w:rsid w:val="00E57E85"/>
    <w:rsid w:val="00E57FCB"/>
    <w:rsid w:val="00E61B95"/>
    <w:rsid w:val="00E6227D"/>
    <w:rsid w:val="00E62FD2"/>
    <w:rsid w:val="00E65064"/>
    <w:rsid w:val="00E66D7A"/>
    <w:rsid w:val="00E720E2"/>
    <w:rsid w:val="00E7659F"/>
    <w:rsid w:val="00E77B88"/>
    <w:rsid w:val="00E82E7E"/>
    <w:rsid w:val="00E82FD6"/>
    <w:rsid w:val="00E84389"/>
    <w:rsid w:val="00E86088"/>
    <w:rsid w:val="00E861E2"/>
    <w:rsid w:val="00E86A64"/>
    <w:rsid w:val="00E907F6"/>
    <w:rsid w:val="00E94979"/>
    <w:rsid w:val="00E95D43"/>
    <w:rsid w:val="00E97923"/>
    <w:rsid w:val="00EA04B1"/>
    <w:rsid w:val="00EA0858"/>
    <w:rsid w:val="00EA0C16"/>
    <w:rsid w:val="00EA0DB5"/>
    <w:rsid w:val="00EA1251"/>
    <w:rsid w:val="00EA3A7F"/>
    <w:rsid w:val="00EA4226"/>
    <w:rsid w:val="00EA46D9"/>
    <w:rsid w:val="00EA4D3B"/>
    <w:rsid w:val="00EA55D9"/>
    <w:rsid w:val="00EA681A"/>
    <w:rsid w:val="00EA6A6E"/>
    <w:rsid w:val="00EA75CB"/>
    <w:rsid w:val="00EB5520"/>
    <w:rsid w:val="00EC040F"/>
    <w:rsid w:val="00EC47D4"/>
    <w:rsid w:val="00EC5881"/>
    <w:rsid w:val="00EC58AD"/>
    <w:rsid w:val="00EC676B"/>
    <w:rsid w:val="00ED0FA8"/>
    <w:rsid w:val="00ED2FEA"/>
    <w:rsid w:val="00ED43FD"/>
    <w:rsid w:val="00ED64B1"/>
    <w:rsid w:val="00ED76CC"/>
    <w:rsid w:val="00EE45B7"/>
    <w:rsid w:val="00EE6488"/>
    <w:rsid w:val="00EE656A"/>
    <w:rsid w:val="00EF076D"/>
    <w:rsid w:val="00EF141F"/>
    <w:rsid w:val="00EF479A"/>
    <w:rsid w:val="00EF4F3F"/>
    <w:rsid w:val="00EF50C8"/>
    <w:rsid w:val="00EF6243"/>
    <w:rsid w:val="00EF63B4"/>
    <w:rsid w:val="00F00295"/>
    <w:rsid w:val="00F00353"/>
    <w:rsid w:val="00F015DE"/>
    <w:rsid w:val="00F021FA"/>
    <w:rsid w:val="00F04180"/>
    <w:rsid w:val="00F041C9"/>
    <w:rsid w:val="00F04C07"/>
    <w:rsid w:val="00F063C5"/>
    <w:rsid w:val="00F068B0"/>
    <w:rsid w:val="00F07AFF"/>
    <w:rsid w:val="00F1134D"/>
    <w:rsid w:val="00F124AF"/>
    <w:rsid w:val="00F12D4F"/>
    <w:rsid w:val="00F13395"/>
    <w:rsid w:val="00F15C98"/>
    <w:rsid w:val="00F17E46"/>
    <w:rsid w:val="00F218FD"/>
    <w:rsid w:val="00F31033"/>
    <w:rsid w:val="00F31C8D"/>
    <w:rsid w:val="00F32878"/>
    <w:rsid w:val="00F33587"/>
    <w:rsid w:val="00F34513"/>
    <w:rsid w:val="00F34A47"/>
    <w:rsid w:val="00F36E10"/>
    <w:rsid w:val="00F37022"/>
    <w:rsid w:val="00F414FF"/>
    <w:rsid w:val="00F4505C"/>
    <w:rsid w:val="00F4506F"/>
    <w:rsid w:val="00F46D49"/>
    <w:rsid w:val="00F51733"/>
    <w:rsid w:val="00F5213F"/>
    <w:rsid w:val="00F6015A"/>
    <w:rsid w:val="00F61B92"/>
    <w:rsid w:val="00F61F1C"/>
    <w:rsid w:val="00F62E97"/>
    <w:rsid w:val="00F63BD4"/>
    <w:rsid w:val="00F641BD"/>
    <w:rsid w:val="00F64209"/>
    <w:rsid w:val="00F64C5A"/>
    <w:rsid w:val="00F64C6C"/>
    <w:rsid w:val="00F6610C"/>
    <w:rsid w:val="00F667E3"/>
    <w:rsid w:val="00F66E8F"/>
    <w:rsid w:val="00F70AE4"/>
    <w:rsid w:val="00F7126E"/>
    <w:rsid w:val="00F7146C"/>
    <w:rsid w:val="00F71AA2"/>
    <w:rsid w:val="00F72A92"/>
    <w:rsid w:val="00F74669"/>
    <w:rsid w:val="00F74981"/>
    <w:rsid w:val="00F74A49"/>
    <w:rsid w:val="00F8387E"/>
    <w:rsid w:val="00F845EC"/>
    <w:rsid w:val="00F858B9"/>
    <w:rsid w:val="00F86B99"/>
    <w:rsid w:val="00F9199B"/>
    <w:rsid w:val="00F926C8"/>
    <w:rsid w:val="00F93BF5"/>
    <w:rsid w:val="00F9438F"/>
    <w:rsid w:val="00F97D9F"/>
    <w:rsid w:val="00FA0C20"/>
    <w:rsid w:val="00FA0DDF"/>
    <w:rsid w:val="00FA60E4"/>
    <w:rsid w:val="00FB234A"/>
    <w:rsid w:val="00FB598C"/>
    <w:rsid w:val="00FB5DD2"/>
    <w:rsid w:val="00FC07DC"/>
    <w:rsid w:val="00FC0A5B"/>
    <w:rsid w:val="00FC1C51"/>
    <w:rsid w:val="00FC6016"/>
    <w:rsid w:val="00FC6D91"/>
    <w:rsid w:val="00FC74CD"/>
    <w:rsid w:val="00FC7CA0"/>
    <w:rsid w:val="00FC7FD9"/>
    <w:rsid w:val="00FD03F4"/>
    <w:rsid w:val="00FD0FA5"/>
    <w:rsid w:val="00FD19AF"/>
    <w:rsid w:val="00FD23AA"/>
    <w:rsid w:val="00FD3D88"/>
    <w:rsid w:val="00FD45AF"/>
    <w:rsid w:val="00FD5387"/>
    <w:rsid w:val="00FD7C69"/>
    <w:rsid w:val="00FD7C90"/>
    <w:rsid w:val="00FE0A71"/>
    <w:rsid w:val="00FE2043"/>
    <w:rsid w:val="00FE21AA"/>
    <w:rsid w:val="00FE4A46"/>
    <w:rsid w:val="00FE529F"/>
    <w:rsid w:val="00FF37ED"/>
    <w:rsid w:val="00FF43A7"/>
    <w:rsid w:val="00FF56F5"/>
    <w:rsid w:val="00FF64EB"/>
    <w:rsid w:val="00FF6A71"/>
    <w:rsid w:val="00FF6D9C"/>
    <w:rsid w:val="00FF7D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A48F55"/>
  <w15:chartTrackingRefBased/>
  <w15:docId w15:val="{DE1F347B-0365-4DA0-9198-B05D26E4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91E83"/>
    <w:pPr>
      <w:widowControl w:val="0"/>
    </w:pPr>
    <w:rPr>
      <w:snapToGrid w:val="0"/>
      <w:kern w:val="28"/>
      <w:sz w:val="22"/>
    </w:rPr>
  </w:style>
  <w:style w:type="paragraph" w:styleId="Heading1">
    <w:name w:val="heading 1"/>
    <w:basedOn w:val="Normal"/>
    <w:next w:val="ParaNum"/>
    <w:qFormat/>
    <w:rsid w:val="00591E8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91E83"/>
    <w:pPr>
      <w:keepNext/>
      <w:numPr>
        <w:ilvl w:val="1"/>
        <w:numId w:val="3"/>
      </w:numPr>
      <w:spacing w:after="120"/>
      <w:outlineLvl w:val="1"/>
    </w:pPr>
    <w:rPr>
      <w:b/>
    </w:rPr>
  </w:style>
  <w:style w:type="paragraph" w:styleId="Heading3">
    <w:name w:val="heading 3"/>
    <w:basedOn w:val="Normal"/>
    <w:next w:val="ParaNum"/>
    <w:qFormat/>
    <w:rsid w:val="00591E83"/>
    <w:pPr>
      <w:keepNext/>
      <w:numPr>
        <w:ilvl w:val="2"/>
        <w:numId w:val="3"/>
      </w:numPr>
      <w:tabs>
        <w:tab w:val="left" w:pos="2160"/>
      </w:tabs>
      <w:spacing w:after="120"/>
      <w:outlineLvl w:val="2"/>
    </w:pPr>
    <w:rPr>
      <w:b/>
    </w:rPr>
  </w:style>
  <w:style w:type="paragraph" w:styleId="Heading4">
    <w:name w:val="heading 4"/>
    <w:basedOn w:val="Normal"/>
    <w:next w:val="ParaNum"/>
    <w:qFormat/>
    <w:rsid w:val="00591E83"/>
    <w:pPr>
      <w:keepNext/>
      <w:numPr>
        <w:ilvl w:val="3"/>
        <w:numId w:val="3"/>
      </w:numPr>
      <w:tabs>
        <w:tab w:val="left" w:pos="2880"/>
      </w:tabs>
      <w:spacing w:after="120"/>
      <w:outlineLvl w:val="3"/>
    </w:pPr>
    <w:rPr>
      <w:b/>
    </w:rPr>
  </w:style>
  <w:style w:type="paragraph" w:styleId="Heading5">
    <w:name w:val="heading 5"/>
    <w:basedOn w:val="Normal"/>
    <w:next w:val="ParaNum"/>
    <w:qFormat/>
    <w:rsid w:val="00591E8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91E83"/>
    <w:pPr>
      <w:numPr>
        <w:ilvl w:val="5"/>
        <w:numId w:val="3"/>
      </w:numPr>
      <w:tabs>
        <w:tab w:val="left" w:pos="4320"/>
      </w:tabs>
      <w:spacing w:after="120"/>
      <w:outlineLvl w:val="5"/>
    </w:pPr>
    <w:rPr>
      <w:b/>
    </w:rPr>
  </w:style>
  <w:style w:type="paragraph" w:styleId="Heading7">
    <w:name w:val="heading 7"/>
    <w:basedOn w:val="Normal"/>
    <w:next w:val="ParaNum"/>
    <w:qFormat/>
    <w:rsid w:val="00591E8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91E8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91E8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91E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1E83"/>
  </w:style>
  <w:style w:type="paragraph" w:customStyle="1" w:styleId="ParaNum">
    <w:name w:val="ParaNum"/>
    <w:basedOn w:val="Normal"/>
    <w:rsid w:val="00591E83"/>
    <w:pPr>
      <w:numPr>
        <w:numId w:val="2"/>
      </w:numPr>
      <w:tabs>
        <w:tab w:val="clear" w:pos="1080"/>
        <w:tab w:val="num" w:pos="1440"/>
      </w:tabs>
      <w:spacing w:after="120"/>
    </w:pPr>
  </w:style>
  <w:style w:type="paragraph" w:styleId="EndnoteText">
    <w:name w:val="endnote text"/>
    <w:basedOn w:val="Normal"/>
    <w:semiHidden/>
    <w:rsid w:val="00591E83"/>
    <w:rPr>
      <w:sz w:val="20"/>
    </w:rPr>
  </w:style>
  <w:style w:type="character" w:styleId="EndnoteReference">
    <w:name w:val="endnote reference"/>
    <w:semiHidden/>
    <w:rsid w:val="00591E83"/>
    <w:rPr>
      <w:vertAlign w:val="superscript"/>
    </w:rPr>
  </w:style>
  <w:style w:type="paragraph" w:styleId="FootnoteText">
    <w:name w:val="footnote text"/>
    <w:aliases w:val="Footnote Text Char Char Char,Footnote Text Char Char Char Char Char,Footnote Text Char1 Char Char Char,Footnote Text Char1 Char1,Footnote Text Char2,Footnote Text Char2 Char Char Char Char Char,Footnote Text Char4,f,fn,fn Cha,fn Char Char"/>
    <w:link w:val="FootnoteTextChar"/>
    <w:rsid w:val="00591E83"/>
    <w:pPr>
      <w:spacing w:after="120"/>
    </w:pPr>
  </w:style>
  <w:style w:type="character" w:styleId="FootnoteReference">
    <w:name w:val="footnote reference"/>
    <w:aliases w:val="(NECG) Footnote Reference,A,Appel note de bas de p,FR,Footnote Reference/,Footnote Reference1,Style 12,Style 124,Style 13,Style 17,Style 20,Style 3,Style 34,Style 4,Style 6,Style 7,Style 9,callout,fr,o"/>
    <w:rsid w:val="00591E83"/>
    <w:rPr>
      <w:rFonts w:ascii="Times New Roman" w:hAnsi="Times New Roman"/>
      <w:dstrike w:val="0"/>
      <w:color w:val="auto"/>
      <w:sz w:val="20"/>
      <w:vertAlign w:val="superscript"/>
    </w:rPr>
  </w:style>
  <w:style w:type="paragraph" w:styleId="TOC1">
    <w:name w:val="toc 1"/>
    <w:basedOn w:val="Normal"/>
    <w:next w:val="Normal"/>
    <w:semiHidden/>
    <w:rsid w:val="00591E8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91E83"/>
    <w:pPr>
      <w:tabs>
        <w:tab w:val="left" w:pos="720"/>
        <w:tab w:val="right" w:leader="dot" w:pos="9360"/>
      </w:tabs>
      <w:suppressAutoHyphens/>
      <w:ind w:left="720" w:right="720" w:hanging="360"/>
    </w:pPr>
    <w:rPr>
      <w:noProof/>
    </w:rPr>
  </w:style>
  <w:style w:type="paragraph" w:styleId="TOC3">
    <w:name w:val="toc 3"/>
    <w:basedOn w:val="Normal"/>
    <w:next w:val="Normal"/>
    <w:semiHidden/>
    <w:rsid w:val="00591E8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91E8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91E8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91E8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91E8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91E8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91E8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91E83"/>
    <w:pPr>
      <w:tabs>
        <w:tab w:val="right" w:pos="9360"/>
      </w:tabs>
      <w:suppressAutoHyphens/>
    </w:pPr>
  </w:style>
  <w:style w:type="character" w:customStyle="1" w:styleId="EquationCaption">
    <w:name w:val="_Equation Caption"/>
    <w:rsid w:val="00591E83"/>
  </w:style>
  <w:style w:type="paragraph" w:styleId="Header">
    <w:name w:val="header"/>
    <w:basedOn w:val="Normal"/>
    <w:autoRedefine/>
    <w:rsid w:val="00591E83"/>
    <w:pPr>
      <w:tabs>
        <w:tab w:val="center" w:pos="4680"/>
        <w:tab w:val="right" w:pos="9360"/>
      </w:tabs>
    </w:pPr>
    <w:rPr>
      <w:b/>
    </w:rPr>
  </w:style>
  <w:style w:type="paragraph" w:styleId="Footer">
    <w:name w:val="footer"/>
    <w:basedOn w:val="Normal"/>
    <w:link w:val="FooterChar"/>
    <w:uiPriority w:val="99"/>
    <w:rsid w:val="00591E83"/>
    <w:pPr>
      <w:tabs>
        <w:tab w:val="center" w:pos="4320"/>
        <w:tab w:val="right" w:pos="8640"/>
      </w:tabs>
    </w:pPr>
  </w:style>
  <w:style w:type="character" w:styleId="PageNumber">
    <w:name w:val="page number"/>
    <w:basedOn w:val="DefaultParagraphFont"/>
    <w:rsid w:val="00591E83"/>
  </w:style>
  <w:style w:type="paragraph" w:styleId="BlockText">
    <w:name w:val="Block Text"/>
    <w:basedOn w:val="Normal"/>
    <w:rsid w:val="00591E83"/>
    <w:pPr>
      <w:spacing w:after="240"/>
      <w:ind w:left="1440" w:right="1440"/>
    </w:pPr>
  </w:style>
  <w:style w:type="paragraph" w:customStyle="1" w:styleId="Paratitle">
    <w:name w:val="Para title"/>
    <w:basedOn w:val="Normal"/>
    <w:rsid w:val="00591E83"/>
    <w:pPr>
      <w:tabs>
        <w:tab w:val="center" w:pos="9270"/>
      </w:tabs>
      <w:spacing w:after="240"/>
    </w:pPr>
    <w:rPr>
      <w:spacing w:val="-2"/>
    </w:rPr>
  </w:style>
  <w:style w:type="paragraph" w:customStyle="1" w:styleId="Bullet">
    <w:name w:val="Bullet"/>
    <w:basedOn w:val="Normal"/>
    <w:rsid w:val="00591E83"/>
    <w:pPr>
      <w:tabs>
        <w:tab w:val="left" w:pos="2160"/>
      </w:tabs>
      <w:spacing w:after="220"/>
      <w:ind w:left="2160" w:hanging="720"/>
    </w:pPr>
  </w:style>
  <w:style w:type="paragraph" w:customStyle="1" w:styleId="TableFormat">
    <w:name w:val="TableFormat"/>
    <w:basedOn w:val="Bullet"/>
    <w:rsid w:val="00591E83"/>
    <w:pPr>
      <w:tabs>
        <w:tab w:val="clear" w:pos="2160"/>
        <w:tab w:val="left" w:pos="5040"/>
      </w:tabs>
      <w:ind w:left="5040" w:hanging="3600"/>
    </w:pPr>
  </w:style>
  <w:style w:type="paragraph" w:customStyle="1" w:styleId="TOCTitle">
    <w:name w:val="TOC Title"/>
    <w:basedOn w:val="Normal"/>
    <w:rsid w:val="00591E8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91E83"/>
    <w:pPr>
      <w:jc w:val="center"/>
    </w:pPr>
    <w:rPr>
      <w:rFonts w:ascii="Times New Roman Bold" w:hAnsi="Times New Roman Bold"/>
      <w:b/>
      <w:bCs/>
      <w:caps/>
      <w:szCs w:val="22"/>
    </w:rPr>
  </w:style>
  <w:style w:type="character" w:styleId="Hyperlink">
    <w:name w:val="Hyperlink"/>
    <w:rsid w:val="00591E83"/>
    <w:rPr>
      <w:color w:val="0000FF"/>
      <w:u w:val="single"/>
    </w:rPr>
  </w:style>
  <w:style w:type="character" w:customStyle="1" w:styleId="FooterChar">
    <w:name w:val="Footer Char"/>
    <w:link w:val="Footer"/>
    <w:uiPriority w:val="99"/>
    <w:rsid w:val="00591E83"/>
    <w:rPr>
      <w:snapToGrid w:val="0"/>
      <w:kern w:val="28"/>
      <w:sz w:val="22"/>
    </w:rPr>
  </w:style>
  <w:style w:type="paragraph" w:styleId="ListParagraph">
    <w:name w:val="List Paragraph"/>
    <w:basedOn w:val="Normal"/>
    <w:uiPriority w:val="34"/>
    <w:qFormat/>
    <w:rsid w:val="009A3516"/>
    <w:pPr>
      <w:ind w:left="720"/>
    </w:pPr>
  </w:style>
  <w:style w:type="character" w:styleId="CommentReference">
    <w:name w:val="annotation reference"/>
    <w:rsid w:val="00CC4FBC"/>
    <w:rPr>
      <w:sz w:val="16"/>
      <w:szCs w:val="16"/>
    </w:rPr>
  </w:style>
  <w:style w:type="paragraph" w:styleId="CommentText">
    <w:name w:val="annotation text"/>
    <w:basedOn w:val="Normal"/>
    <w:link w:val="CommentTextChar"/>
    <w:rsid w:val="00CF71A1"/>
    <w:rPr>
      <w:sz w:val="20"/>
    </w:rPr>
  </w:style>
  <w:style w:type="character" w:customStyle="1" w:styleId="CommentTextChar">
    <w:name w:val="Comment Text Char"/>
    <w:link w:val="CommentText"/>
    <w:rsid w:val="00CF71A1"/>
    <w:rPr>
      <w:snapToGrid w:val="0"/>
      <w:kern w:val="28"/>
    </w:rPr>
  </w:style>
  <w:style w:type="paragraph" w:styleId="CommentSubject">
    <w:name w:val="annotation subject"/>
    <w:basedOn w:val="CommentText"/>
    <w:next w:val="CommentText"/>
    <w:link w:val="CommentSubjectChar"/>
    <w:rsid w:val="004423E8"/>
    <w:rPr>
      <w:b/>
      <w:bCs/>
    </w:rPr>
  </w:style>
  <w:style w:type="character" w:customStyle="1" w:styleId="CommentSubjectChar">
    <w:name w:val="Comment Subject Char"/>
    <w:link w:val="CommentSubject"/>
    <w:rsid w:val="004423E8"/>
    <w:rPr>
      <w:b/>
      <w:bCs/>
      <w:snapToGrid w:val="0"/>
      <w:kern w:val="28"/>
    </w:rPr>
  </w:style>
  <w:style w:type="character" w:customStyle="1" w:styleId="FootnoteTextChar">
    <w:name w:val="Footnote Text Char"/>
    <w:aliases w:val="Footnote Text Char Char Char Char,Footnote Text Char Char Char Char Char Char,Footnote Text Char1 Char Char Char Char,Footnote Text Char1 Char1 Char,Footnote Text Char2 Char,Footnote Text Char2 Char Char Char Char Char Char,f Char"/>
    <w:link w:val="FootnoteText"/>
    <w:locked/>
    <w:rsid w:val="00D2065F"/>
  </w:style>
  <w:style w:type="character" w:styleId="Emphasis">
    <w:name w:val="Emphasis"/>
    <w:uiPriority w:val="20"/>
    <w:qFormat/>
    <w:rsid w:val="0001459D"/>
    <w:rPr>
      <w:i/>
      <w:iCs/>
    </w:rPr>
  </w:style>
  <w:style w:type="character" w:customStyle="1" w:styleId="Mention">
    <w:name w:val="Mention"/>
    <w:uiPriority w:val="99"/>
    <w:unhideWhenUsed/>
    <w:rsid w:val="00900265"/>
    <w:rPr>
      <w:color w:val="2B579A"/>
      <w:shd w:val="clear" w:color="auto" w:fill="E1DFDD"/>
    </w:rPr>
  </w:style>
  <w:style w:type="character" w:customStyle="1" w:styleId="UnresolvedMention">
    <w:name w:val="Unresolved Mention"/>
    <w:uiPriority w:val="99"/>
    <w:unhideWhenUsed/>
    <w:rsid w:val="00450292"/>
    <w:rPr>
      <w:color w:val="605E5C"/>
      <w:shd w:val="clear" w:color="auto" w:fill="E1DFDD"/>
    </w:rPr>
  </w:style>
  <w:style w:type="paragraph" w:styleId="Revision">
    <w:name w:val="Revision"/>
    <w:hidden/>
    <w:uiPriority w:val="99"/>
    <w:semiHidden/>
    <w:rsid w:val="00985DBE"/>
    <w:rPr>
      <w:snapToGrid w:val="0"/>
      <w:kern w:val="28"/>
      <w:sz w:val="22"/>
    </w:rPr>
  </w:style>
  <w:style w:type="character" w:customStyle="1" w:styleId="cohl">
    <w:name w:val="co_hl"/>
    <w:basedOn w:val="DefaultParagraphFont"/>
    <w:rsid w:val="00CC0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bia.gov/service/tribal-leaders-directory/federally-recognized-tribes?field_us_state_s__value=CA&amp;page=2"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