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B6017" w:rsidRPr="003A0293" w:rsidP="009B6017" w14:paraId="707FB7E0" w14:textId="77777777">
      <w:pPr>
        <w:widowControl/>
        <w:jc w:val="center"/>
        <w:rPr>
          <w:b/>
        </w:rPr>
      </w:pPr>
      <w:bookmarkStart w:id="0" w:name="_Hlk100227928"/>
      <w:r w:rsidRPr="003A0293">
        <w:rPr>
          <w:rFonts w:ascii="Times New Roman Bold" w:hAnsi="Times New Roman Bold"/>
          <w:b/>
          <w:kern w:val="0"/>
          <w:szCs w:val="22"/>
        </w:rPr>
        <w:t>Before</w:t>
      </w:r>
      <w:r w:rsidRPr="003A0293">
        <w:rPr>
          <w:b/>
        </w:rPr>
        <w:t xml:space="preserve"> the</w:t>
      </w:r>
    </w:p>
    <w:p w:rsidR="009B6017" w:rsidRPr="003A0293" w:rsidP="009B6017" w14:paraId="6EBDF246" w14:textId="77777777">
      <w:pPr>
        <w:pStyle w:val="StyleBoldCentered"/>
        <w:widowControl/>
      </w:pPr>
      <w:r w:rsidRPr="003A0293">
        <w:t>F</w:t>
      </w:r>
      <w:r w:rsidRPr="003A0293">
        <w:rPr>
          <w:caps w:val="0"/>
        </w:rPr>
        <w:t>ederal Communications Commission</w:t>
      </w:r>
    </w:p>
    <w:p w:rsidR="009B6017" w:rsidRPr="003A0293" w:rsidP="009B6017" w14:paraId="080468D6" w14:textId="77777777">
      <w:pPr>
        <w:pStyle w:val="StyleBoldCentered"/>
        <w:widowControl/>
      </w:pPr>
      <w:r w:rsidRPr="003A0293">
        <w:rPr>
          <w:caps w:val="0"/>
        </w:rPr>
        <w:t>Washington, D.C. 20554</w:t>
      </w:r>
    </w:p>
    <w:p w:rsidR="009B6017" w:rsidRPr="003A0293" w:rsidP="009B6017" w14:paraId="2C368188" w14:textId="77777777">
      <w:pPr>
        <w:widowControl/>
      </w:pPr>
    </w:p>
    <w:p w:rsidR="009B6017" w:rsidRPr="003A0293" w:rsidP="009B6017" w14:paraId="42140331" w14:textId="77777777">
      <w:pPr>
        <w:widowControl/>
      </w:pPr>
    </w:p>
    <w:tbl>
      <w:tblPr>
        <w:tblW w:w="0" w:type="auto"/>
        <w:tblLayout w:type="fixed"/>
        <w:tblLook w:val="0000"/>
      </w:tblPr>
      <w:tblGrid>
        <w:gridCol w:w="4698"/>
        <w:gridCol w:w="630"/>
        <w:gridCol w:w="4248"/>
      </w:tblGrid>
      <w:tr w14:paraId="081F9153" w14:textId="77777777" w:rsidTr="00FE5344">
        <w:tblPrEx>
          <w:tblW w:w="0" w:type="auto"/>
          <w:tblLayout w:type="fixed"/>
          <w:tblLook w:val="0000"/>
        </w:tblPrEx>
        <w:tc>
          <w:tcPr>
            <w:tcW w:w="4698" w:type="dxa"/>
          </w:tcPr>
          <w:p w:rsidR="009B6017" w:rsidRPr="003A0293" w:rsidP="00FE5344" w14:paraId="14CB3EE7" w14:textId="77777777">
            <w:pPr>
              <w:widowControl/>
              <w:tabs>
                <w:tab w:val="center" w:pos="4680"/>
              </w:tabs>
              <w:suppressAutoHyphens/>
              <w:rPr>
                <w:spacing w:val="-2"/>
              </w:rPr>
            </w:pPr>
            <w:r w:rsidRPr="003A0293">
              <w:rPr>
                <w:spacing w:val="-2"/>
              </w:rPr>
              <w:t>In the Matter of</w:t>
            </w:r>
          </w:p>
          <w:p w:rsidR="009B6017" w:rsidRPr="003A0293" w:rsidP="00FE5344" w14:paraId="5438DE10" w14:textId="77777777">
            <w:pPr>
              <w:widowControl/>
              <w:tabs>
                <w:tab w:val="center" w:pos="4680"/>
              </w:tabs>
              <w:suppressAutoHyphens/>
              <w:rPr>
                <w:spacing w:val="-2"/>
              </w:rPr>
            </w:pPr>
          </w:p>
          <w:p w:rsidR="009B6017" w:rsidRPr="003A0293" w:rsidP="00FE5344" w14:paraId="24ABE3DB" w14:textId="77777777">
            <w:pPr>
              <w:widowControl/>
              <w:tabs>
                <w:tab w:val="center" w:pos="4680"/>
              </w:tabs>
              <w:suppressAutoHyphens/>
              <w:rPr>
                <w:spacing w:val="-2"/>
              </w:rPr>
            </w:pPr>
            <w:r w:rsidRPr="003A0293">
              <w:rPr>
                <w:spacing w:val="-2"/>
              </w:rPr>
              <w:t>Wireless Emergency Alerts</w:t>
            </w:r>
          </w:p>
          <w:p w:rsidR="009B6017" w:rsidRPr="003A0293" w:rsidP="00FE5344" w14:paraId="71510C71" w14:textId="77777777">
            <w:pPr>
              <w:widowControl/>
              <w:tabs>
                <w:tab w:val="center" w:pos="4680"/>
              </w:tabs>
              <w:suppressAutoHyphens/>
              <w:rPr>
                <w:spacing w:val="-2"/>
              </w:rPr>
            </w:pPr>
          </w:p>
          <w:p w:rsidR="009B6017" w:rsidRPr="003A0293" w:rsidP="00FE5344" w14:paraId="4D573A9E" w14:textId="77777777">
            <w:pPr>
              <w:widowControl/>
              <w:tabs>
                <w:tab w:val="center" w:pos="4680"/>
              </w:tabs>
              <w:suppressAutoHyphens/>
              <w:rPr>
                <w:spacing w:val="-2"/>
              </w:rPr>
            </w:pPr>
            <w:r w:rsidRPr="003A0293">
              <w:rPr>
                <w:spacing w:val="-2"/>
                <w:szCs w:val="22"/>
              </w:rPr>
              <w:t>Amendments to Part 11 of the Commission’s Rules Regarding the Emergency Alert System</w:t>
            </w:r>
          </w:p>
        </w:tc>
        <w:tc>
          <w:tcPr>
            <w:tcW w:w="630" w:type="dxa"/>
          </w:tcPr>
          <w:p w:rsidR="009B6017" w:rsidRPr="003A0293" w:rsidP="00FE5344" w14:paraId="2670AB13" w14:textId="77777777">
            <w:pPr>
              <w:widowControl/>
              <w:tabs>
                <w:tab w:val="center" w:pos="4680"/>
              </w:tabs>
              <w:suppressAutoHyphens/>
              <w:rPr>
                <w:b/>
                <w:spacing w:val="-2"/>
              </w:rPr>
            </w:pPr>
            <w:r w:rsidRPr="003A0293">
              <w:rPr>
                <w:b/>
                <w:spacing w:val="-2"/>
              </w:rPr>
              <w:t>)</w:t>
            </w:r>
          </w:p>
          <w:p w:rsidR="009B6017" w:rsidRPr="003A0293" w:rsidP="00FE5344" w14:paraId="4B5FAC0D" w14:textId="77777777">
            <w:pPr>
              <w:widowControl/>
              <w:tabs>
                <w:tab w:val="center" w:pos="4680"/>
              </w:tabs>
              <w:suppressAutoHyphens/>
              <w:rPr>
                <w:b/>
                <w:spacing w:val="-2"/>
              </w:rPr>
            </w:pPr>
            <w:r w:rsidRPr="003A0293">
              <w:rPr>
                <w:b/>
                <w:spacing w:val="-2"/>
              </w:rPr>
              <w:t>)</w:t>
            </w:r>
          </w:p>
          <w:p w:rsidR="009B6017" w:rsidRPr="003A0293" w:rsidP="00FE5344" w14:paraId="305858BF" w14:textId="77777777">
            <w:pPr>
              <w:widowControl/>
              <w:tabs>
                <w:tab w:val="center" w:pos="4680"/>
              </w:tabs>
              <w:suppressAutoHyphens/>
              <w:rPr>
                <w:b/>
                <w:spacing w:val="-2"/>
              </w:rPr>
            </w:pPr>
            <w:r w:rsidRPr="003A0293">
              <w:rPr>
                <w:b/>
                <w:spacing w:val="-2"/>
              </w:rPr>
              <w:t>)</w:t>
            </w:r>
          </w:p>
          <w:p w:rsidR="009B6017" w:rsidRPr="003A0293" w:rsidP="00FE5344" w14:paraId="4851720D" w14:textId="77777777">
            <w:pPr>
              <w:widowControl/>
              <w:tabs>
                <w:tab w:val="center" w:pos="4680"/>
              </w:tabs>
              <w:suppressAutoHyphens/>
              <w:rPr>
                <w:b/>
                <w:spacing w:val="-2"/>
              </w:rPr>
            </w:pPr>
            <w:r w:rsidRPr="003A0293">
              <w:rPr>
                <w:b/>
                <w:spacing w:val="-2"/>
              </w:rPr>
              <w:t>)</w:t>
            </w:r>
          </w:p>
          <w:p w:rsidR="009B6017" w:rsidRPr="003A0293" w:rsidP="00FE5344" w14:paraId="77912E51" w14:textId="77777777">
            <w:pPr>
              <w:widowControl/>
              <w:tabs>
                <w:tab w:val="center" w:pos="4680"/>
              </w:tabs>
              <w:suppressAutoHyphens/>
              <w:rPr>
                <w:b/>
                <w:spacing w:val="-2"/>
              </w:rPr>
            </w:pPr>
            <w:r w:rsidRPr="003A0293">
              <w:rPr>
                <w:b/>
                <w:spacing w:val="-2"/>
              </w:rPr>
              <w:t>)</w:t>
            </w:r>
          </w:p>
          <w:p w:rsidR="009B6017" w:rsidRPr="003A0293" w:rsidP="00FE5344" w14:paraId="17AAD237" w14:textId="77777777">
            <w:pPr>
              <w:widowControl/>
              <w:tabs>
                <w:tab w:val="center" w:pos="4680"/>
              </w:tabs>
              <w:suppressAutoHyphens/>
              <w:rPr>
                <w:b/>
                <w:spacing w:val="-2"/>
              </w:rPr>
            </w:pPr>
            <w:r w:rsidRPr="003A0293">
              <w:rPr>
                <w:b/>
                <w:spacing w:val="-2"/>
              </w:rPr>
              <w:t>)</w:t>
            </w:r>
          </w:p>
          <w:p w:rsidR="009B6017" w:rsidRPr="003A0293" w:rsidP="00FE5344" w14:paraId="0F4F33F7" w14:textId="77777777">
            <w:pPr>
              <w:widowControl/>
              <w:tabs>
                <w:tab w:val="center" w:pos="4680"/>
              </w:tabs>
              <w:suppressAutoHyphens/>
              <w:rPr>
                <w:spacing w:val="-2"/>
              </w:rPr>
            </w:pPr>
          </w:p>
        </w:tc>
        <w:tc>
          <w:tcPr>
            <w:tcW w:w="4248" w:type="dxa"/>
          </w:tcPr>
          <w:p w:rsidR="009B6017" w:rsidRPr="003A0293" w:rsidP="00FE5344" w14:paraId="6C89561B" w14:textId="77777777">
            <w:pPr>
              <w:widowControl/>
              <w:tabs>
                <w:tab w:val="center" w:pos="4680"/>
              </w:tabs>
              <w:suppressAutoHyphens/>
              <w:rPr>
                <w:spacing w:val="-2"/>
              </w:rPr>
            </w:pPr>
          </w:p>
          <w:p w:rsidR="009B6017" w:rsidRPr="003A0293" w:rsidP="00FE5344" w14:paraId="6BB93FAB" w14:textId="77777777">
            <w:pPr>
              <w:pStyle w:val="TOAHeading"/>
              <w:widowControl/>
              <w:tabs>
                <w:tab w:val="center" w:pos="4680"/>
                <w:tab w:val="clear" w:pos="9360"/>
              </w:tabs>
              <w:rPr>
                <w:spacing w:val="-2"/>
              </w:rPr>
            </w:pPr>
          </w:p>
          <w:p w:rsidR="009B6017" w:rsidRPr="003A0293" w:rsidP="00FE5344" w14:paraId="3CCC78AF" w14:textId="77777777">
            <w:pPr>
              <w:widowControl/>
              <w:tabs>
                <w:tab w:val="center" w:pos="4680"/>
              </w:tabs>
              <w:suppressAutoHyphens/>
              <w:rPr>
                <w:spacing w:val="-2"/>
              </w:rPr>
            </w:pPr>
            <w:r w:rsidRPr="003A0293">
              <w:rPr>
                <w:spacing w:val="-2"/>
              </w:rPr>
              <w:t>PS Docket No. 15-91</w:t>
            </w:r>
          </w:p>
          <w:p w:rsidR="009B6017" w:rsidRPr="003A0293" w:rsidP="00FE5344" w14:paraId="0B3EAB44" w14:textId="77777777">
            <w:pPr>
              <w:widowControl/>
              <w:tabs>
                <w:tab w:val="center" w:pos="4680"/>
              </w:tabs>
              <w:suppressAutoHyphens/>
              <w:rPr>
                <w:spacing w:val="-2"/>
              </w:rPr>
            </w:pPr>
          </w:p>
          <w:p w:rsidR="009B6017" w:rsidRPr="003A0293" w:rsidP="00FE5344" w14:paraId="7E3D136F" w14:textId="77777777">
            <w:pPr>
              <w:widowControl/>
              <w:tabs>
                <w:tab w:val="center" w:pos="4680"/>
              </w:tabs>
              <w:suppressAutoHyphens/>
              <w:rPr>
                <w:spacing w:val="-2"/>
              </w:rPr>
            </w:pPr>
            <w:r w:rsidRPr="003A0293">
              <w:rPr>
                <w:spacing w:val="-2"/>
                <w:szCs w:val="22"/>
              </w:rPr>
              <w:t>PS Docket No. 15-94</w:t>
            </w:r>
          </w:p>
        </w:tc>
      </w:tr>
    </w:tbl>
    <w:p w:rsidR="009B6017" w:rsidRPr="003A0293" w:rsidP="009B6017" w14:paraId="3E16C457" w14:textId="77777777">
      <w:pPr>
        <w:widowControl/>
      </w:pPr>
    </w:p>
    <w:p w:rsidR="009B6017" w:rsidRPr="003A0293" w:rsidP="009B6017" w14:paraId="0A771760" w14:textId="5F8F1B44">
      <w:pPr>
        <w:pStyle w:val="StyleBoldCentered"/>
        <w:widowControl/>
      </w:pPr>
      <w:r w:rsidRPr="003A0293">
        <w:t>Further Notice of Proposed Rulemaking</w:t>
      </w:r>
    </w:p>
    <w:p w:rsidR="009B6017" w:rsidRPr="003A0293" w:rsidP="009B6017" w14:paraId="15C86238" w14:textId="77777777">
      <w:pPr>
        <w:widowControl/>
        <w:tabs>
          <w:tab w:val="left" w:pos="-720"/>
        </w:tabs>
        <w:suppressAutoHyphens/>
        <w:spacing w:line="227" w:lineRule="auto"/>
        <w:rPr>
          <w:spacing w:val="-2"/>
        </w:rPr>
      </w:pPr>
    </w:p>
    <w:p w:rsidR="009B6017" w:rsidRPr="003A0293" w:rsidP="009B6017" w14:paraId="436CB57E" w14:textId="77777777">
      <w:pPr>
        <w:widowControl/>
        <w:tabs>
          <w:tab w:val="left" w:pos="720"/>
          <w:tab w:val="right" w:pos="9360"/>
        </w:tabs>
        <w:suppressAutoHyphens/>
        <w:spacing w:line="227" w:lineRule="auto"/>
        <w:rPr>
          <w:spacing w:val="-2"/>
        </w:rPr>
      </w:pPr>
      <w:r w:rsidRPr="003A0293">
        <w:rPr>
          <w:b/>
          <w:spacing w:val="-2"/>
        </w:rPr>
        <w:t xml:space="preserve">Adopted: </w:t>
      </w:r>
      <w:r>
        <w:rPr>
          <w:b/>
          <w:spacing w:val="-2"/>
        </w:rPr>
        <w:t>April 21, 2022</w:t>
      </w:r>
      <w:r w:rsidRPr="003A0293">
        <w:rPr>
          <w:b/>
          <w:spacing w:val="-2"/>
        </w:rPr>
        <w:tab/>
        <w:t xml:space="preserve">Released: </w:t>
      </w:r>
      <w:r>
        <w:rPr>
          <w:b/>
          <w:spacing w:val="-2"/>
        </w:rPr>
        <w:t>April 21, 2022</w:t>
      </w:r>
    </w:p>
    <w:p w:rsidR="009B6017" w:rsidRPr="003A0293" w:rsidP="009B6017" w14:paraId="3C7B70A0" w14:textId="77777777">
      <w:pPr>
        <w:widowControl/>
      </w:pPr>
    </w:p>
    <w:p w:rsidR="009B6017" w:rsidRPr="003A0293" w:rsidP="009B6017" w14:paraId="669C7966" w14:textId="77777777">
      <w:pPr>
        <w:widowControl/>
        <w:rPr>
          <w:spacing w:val="-2"/>
        </w:rPr>
      </w:pPr>
      <w:r w:rsidRPr="003A0293">
        <w:rPr>
          <w:b/>
          <w:bCs/>
          <w:spacing w:val="-2"/>
        </w:rPr>
        <w:t xml:space="preserve">Comment Date: </w:t>
      </w:r>
      <w:r w:rsidRPr="003A0293">
        <w:rPr>
          <w:spacing w:val="-2"/>
        </w:rPr>
        <w:t xml:space="preserve">(30 days from the date of publication in the </w:t>
      </w:r>
      <w:r w:rsidRPr="003A0293">
        <w:rPr>
          <w:i/>
          <w:iCs/>
          <w:spacing w:val="-2"/>
        </w:rPr>
        <w:t>Federal Register</w:t>
      </w:r>
      <w:r w:rsidRPr="003A0293">
        <w:rPr>
          <w:spacing w:val="-2"/>
        </w:rPr>
        <w:t>)</w:t>
      </w:r>
    </w:p>
    <w:p w:rsidR="009B6017" w:rsidRPr="003A0293" w:rsidP="009B6017" w14:paraId="1BEA1EA4" w14:textId="77777777">
      <w:pPr>
        <w:widowControl/>
        <w:rPr>
          <w:spacing w:val="-2"/>
        </w:rPr>
      </w:pPr>
      <w:r w:rsidRPr="003A0293">
        <w:rPr>
          <w:b/>
          <w:bCs/>
          <w:spacing w:val="-2"/>
        </w:rPr>
        <w:t xml:space="preserve">Reply Comment Date: </w:t>
      </w:r>
      <w:r w:rsidRPr="003A0293">
        <w:rPr>
          <w:spacing w:val="-2"/>
        </w:rPr>
        <w:t xml:space="preserve">(60 days from the date of publication in the </w:t>
      </w:r>
      <w:r w:rsidRPr="003A0293">
        <w:rPr>
          <w:i/>
          <w:iCs/>
          <w:spacing w:val="-2"/>
        </w:rPr>
        <w:t>Federal Register</w:t>
      </w:r>
      <w:r w:rsidRPr="003A0293">
        <w:rPr>
          <w:spacing w:val="-2"/>
        </w:rPr>
        <w:t>)</w:t>
      </w:r>
    </w:p>
    <w:p w:rsidR="009B6017" w:rsidRPr="003A0293" w:rsidP="009B6017" w14:paraId="7FA63238" w14:textId="77777777">
      <w:pPr>
        <w:widowControl/>
      </w:pPr>
    </w:p>
    <w:p w:rsidR="009B6017" w:rsidRPr="003A0293" w:rsidP="009B6017" w14:paraId="25E19AD6" w14:textId="77777777">
      <w:pPr>
        <w:widowControl/>
        <w:rPr>
          <w:spacing w:val="-2"/>
        </w:rPr>
      </w:pPr>
      <w:r w:rsidRPr="002539F6">
        <w:rPr>
          <w:spacing w:val="-2"/>
        </w:rPr>
        <w:t xml:space="preserve">By the Commission: Chairwoman </w:t>
      </w:r>
      <w:r w:rsidRPr="002539F6">
        <w:rPr>
          <w:spacing w:val="-2"/>
        </w:rPr>
        <w:t>Rosenworcel</w:t>
      </w:r>
      <w:r w:rsidRPr="002539F6">
        <w:rPr>
          <w:spacing w:val="-2"/>
        </w:rPr>
        <w:t xml:space="preserve"> and Commissioners </w:t>
      </w:r>
      <w:r w:rsidRPr="002539F6">
        <w:rPr>
          <w:spacing w:val="-2"/>
        </w:rPr>
        <w:t>Carr</w:t>
      </w:r>
      <w:r w:rsidRPr="002539F6">
        <w:rPr>
          <w:spacing w:val="-2"/>
        </w:rPr>
        <w:t xml:space="preserve"> and Starks issuing separate statements</w:t>
      </w:r>
      <w:r w:rsidRPr="003A0293">
        <w:rPr>
          <w:spacing w:val="-2"/>
        </w:rPr>
        <w:t>:</w:t>
      </w:r>
      <w:bookmarkStart w:id="1" w:name="TOChere"/>
    </w:p>
    <w:p w:rsidR="009B6017" w:rsidRPr="003A0293" w:rsidP="009B6017" w14:paraId="5AFDCD65" w14:textId="77777777">
      <w:pPr>
        <w:widowControl/>
        <w:rPr>
          <w:spacing w:val="-2"/>
        </w:rPr>
      </w:pPr>
    </w:p>
    <w:p w:rsidR="009B6017" w:rsidRPr="008C583E" w:rsidP="007F0195" w14:paraId="55BD8ABC" w14:textId="77777777">
      <w:pPr>
        <w:pStyle w:val="Heading1"/>
        <w:numPr>
          <w:ilvl w:val="0"/>
          <w:numId w:val="3"/>
        </w:numPr>
      </w:pPr>
      <w:bookmarkStart w:id="2" w:name="start_here"/>
      <w:bookmarkStart w:id="3" w:name="_Toc99488446"/>
      <w:bookmarkEnd w:id="1"/>
      <w:bookmarkEnd w:id="2"/>
      <w:r w:rsidRPr="008C583E">
        <w:t>Introduction</w:t>
      </w:r>
      <w:bookmarkEnd w:id="3"/>
    </w:p>
    <w:p w:rsidR="009B6017" w:rsidRPr="003A0293" w:rsidP="009B6017" w14:paraId="63802F7A" w14:textId="5CD79FC7">
      <w:pPr>
        <w:pStyle w:val="ParaNum"/>
        <w:widowControl/>
      </w:pPr>
      <w:r w:rsidRPr="003A0293">
        <w:t>Since its launch one decade ago, Wireless Emergency Alerts (WEA) has become an essential part of America’s emergency preparedness.  WEA has been used more than 6</w:t>
      </w:r>
      <w:r>
        <w:t>2</w:t>
      </w:r>
      <w:r w:rsidRPr="003A0293">
        <w:t>,000 times to warn the public about dangerous weather, missing children, and other critical situations – through alerts on compatible cell phones and other mobile devices.  Currently, 76 Commercial Mobile Service (CMS) providers have voluntarily elected to participate in WEA.</w:t>
      </w:r>
      <w:r>
        <w:rPr>
          <w:rStyle w:val="FootnoteReference"/>
        </w:rPr>
        <w:footnoteReference w:id="3"/>
      </w:r>
      <w:r w:rsidRPr="003A0293">
        <w:t xml:space="preserve">  In the past decade, </w:t>
      </w:r>
      <w:r>
        <w:t xml:space="preserve">as of April 7, 2022, </w:t>
      </w:r>
      <w:r w:rsidRPr="003A0293">
        <w:t>6</w:t>
      </w:r>
      <w:r>
        <w:t>39</w:t>
      </w:r>
      <w:r w:rsidRPr="003A0293">
        <w:t xml:space="preserve"> emergency management agencies across the nation have issued 6</w:t>
      </w:r>
      <w:r>
        <w:t>2</w:t>
      </w:r>
      <w:r w:rsidRPr="003A0293">
        <w:t>,</w:t>
      </w:r>
      <w:r>
        <w:t>819</w:t>
      </w:r>
      <w:r w:rsidRPr="003A0293">
        <w:t xml:space="preserve"> WEA alerts.</w:t>
      </w:r>
      <w:r>
        <w:rPr>
          <w:rStyle w:val="FootnoteReference"/>
        </w:rPr>
        <w:footnoteReference w:id="4"/>
      </w:r>
      <w:r w:rsidRPr="003A0293">
        <w:t xml:space="preserve">  WEA is credited with 120 successful child recoveries.</w:t>
      </w:r>
      <w:r>
        <w:rPr>
          <w:rStyle w:val="FootnoteReference"/>
        </w:rPr>
        <w:footnoteReference w:id="5"/>
      </w:r>
      <w:r w:rsidRPr="003A0293">
        <w:t xml:space="preserve">  In short, WEA messages save lives, whether it is by providing early warnings of imminent natural disasters such as tornadoes</w:t>
      </w:r>
      <w:r>
        <w:rPr>
          <w:vertAlign w:val="superscript"/>
        </w:rPr>
        <w:footnoteReference w:id="6"/>
      </w:r>
      <w:r w:rsidRPr="003A0293">
        <w:t xml:space="preserve"> or by helping to recover children who have been abducted.</w:t>
      </w:r>
      <w:r>
        <w:rPr>
          <w:vertAlign w:val="superscript"/>
        </w:rPr>
        <w:footnoteReference w:id="7"/>
      </w:r>
      <w:r w:rsidRPr="003A0293">
        <w:t xml:space="preserve">  </w:t>
      </w:r>
    </w:p>
    <w:p w:rsidR="009B6017" w:rsidRPr="003A0293" w:rsidP="009B6017" w14:paraId="47AA4BB6" w14:textId="77777777">
      <w:pPr>
        <w:pStyle w:val="ParaNum"/>
        <w:widowControl/>
      </w:pPr>
      <w:r w:rsidRPr="003A0293">
        <w:t>As the Federal Communications Commission (Commission) marks WEA’s tenth anniversary,</w:t>
      </w:r>
      <w:r>
        <w:rPr>
          <w:rStyle w:val="FootnoteReference"/>
        </w:rPr>
        <w:footnoteReference w:id="8"/>
      </w:r>
      <w:r w:rsidRPr="003A0293">
        <w:t xml:space="preserve"> the Commission seeks to build upon WEA’s demonstrated record of success by improving WEA’s effectiveness.  Notwithstanding WEA’s many successes, there is room for growth.  WEAs are not always received by people for whom they are intended.</w:t>
      </w:r>
      <w:r>
        <w:rPr>
          <w:rStyle w:val="FootnoteReference"/>
        </w:rPr>
        <w:footnoteReference w:id="9"/>
      </w:r>
      <w:r w:rsidRPr="003A0293">
        <w:t xml:space="preserve">  WEAs may be delivered too slowly to be effective in certain important use cases,</w:t>
      </w:r>
      <w:r>
        <w:rPr>
          <w:rStyle w:val="FootnoteReference"/>
        </w:rPr>
        <w:footnoteReference w:id="10"/>
      </w:r>
      <w:r w:rsidRPr="003A0293">
        <w:t xml:space="preserve"> and WEAs may be delivered outside of the targeted area, resulting in consumers receiving a message that is not relevant to that geographic area.</w:t>
      </w:r>
      <w:r>
        <w:rPr>
          <w:rStyle w:val="FootnoteReference"/>
        </w:rPr>
        <w:footnoteReference w:id="11"/>
      </w:r>
      <w:r w:rsidRPr="003A0293">
        <w:t xml:space="preserve">  Moreover, we are not aware of any WEA stakeholder that has developed sufficient end-to-end visibility into the WEA system to measure it reliably and transparently.  As a result, the record shows that emergency management agencies may be declining to use WEA in situations where it could save lives because they lack information about, and confidence in, how WEA works in practice.</w:t>
      </w:r>
      <w:r>
        <w:rPr>
          <w:rStyle w:val="FootnoteReference"/>
        </w:rPr>
        <w:footnoteReference w:id="12"/>
      </w:r>
      <w:r w:rsidRPr="003A0293">
        <w:t xml:space="preserve">  We seek to strengthen WEA’s </w:t>
      </w:r>
      <w:r w:rsidRPr="003A0293">
        <w:t>effectiveness through the development of performance metrics and reporting standards that will help all stakeholders understand the effectiveness of WEA in their particular area, as well as identify areas for improvement where needed.  In particular, we propose that CMS providers who choose to participate in WEA (Participating CMS Providers) file public reports with the Commission on important attributes of WEA’s performance on which we seek comment below: its reliability, speed, and accuracy</w:t>
      </w:r>
      <w:r w:rsidRPr="003A0293">
        <w:rPr>
          <w:szCs w:val="24"/>
        </w:rPr>
        <w:t>.</w:t>
      </w:r>
      <w:r>
        <w:rPr>
          <w:rStyle w:val="FootnoteReference"/>
        </w:rPr>
        <w:footnoteReference w:id="13"/>
      </w:r>
      <w:r w:rsidRPr="003A0293">
        <w:rPr>
          <w:szCs w:val="24"/>
        </w:rPr>
        <w:t xml:space="preserve">  </w:t>
      </w:r>
      <w:r w:rsidRPr="003A0293">
        <w:t xml:space="preserve">We believe that gaining visibility into WEA’s key performance indicators and developing a shared understanding among emergency management agencies and the public regarding the system’s capabilities will help promote its use and improvement.  </w:t>
      </w:r>
    </w:p>
    <w:p w:rsidR="009B6017" w:rsidRPr="004E6AF7" w:rsidP="007F0195" w14:paraId="6B2770A3" w14:textId="77777777">
      <w:pPr>
        <w:pStyle w:val="Heading1"/>
        <w:numPr>
          <w:ilvl w:val="0"/>
          <w:numId w:val="3"/>
        </w:numPr>
      </w:pPr>
      <w:bookmarkStart w:id="4" w:name="_Toc99488447"/>
      <w:r w:rsidRPr="004E6AF7">
        <w:t>Background</w:t>
      </w:r>
      <w:bookmarkEnd w:id="4"/>
    </w:p>
    <w:p w:rsidR="009B6017" w:rsidRPr="003A0293" w:rsidP="009B6017" w14:paraId="63191027" w14:textId="77777777">
      <w:pPr>
        <w:pStyle w:val="ParaNum"/>
        <w:widowControl/>
      </w:pPr>
      <w:r w:rsidRPr="003A0293">
        <w:t xml:space="preserve">The Warning Alert and Response Network (WARN) Act </w:t>
      </w:r>
      <w:r>
        <w:t xml:space="preserve">establishes WEA as a voluntary system in which CMS providers may elect to participate and </w:t>
      </w:r>
      <w:r w:rsidRPr="003A0293">
        <w:t>gives the Commission authority to adopt “relevant technical standards, protocols, procedures and other technical requirements</w:t>
      </w:r>
      <w:r>
        <w:t xml:space="preserve"> . . . necessary to enable commercial mobile service alerting capability for commercial mobile service providers that voluntarily elect to transmit emergency alerts.</w:t>
      </w:r>
      <w:r w:rsidRPr="003A0293">
        <w:t>”</w:t>
      </w:r>
      <w:r>
        <w:rPr>
          <w:rStyle w:val="FootnoteReference"/>
        </w:rPr>
        <w:footnoteReference w:id="14"/>
      </w:r>
      <w:r w:rsidRPr="003A0293">
        <w:t xml:space="preserve">  Pursuant to this authority, the Commission has adopted requirements to prescribe WEA capabilities, WEA testing, and WEA election procedures.</w:t>
      </w:r>
      <w:r>
        <w:rPr>
          <w:vertAlign w:val="superscript"/>
        </w:rPr>
        <w:footnoteReference w:id="15"/>
      </w:r>
      <w:r w:rsidRPr="003A0293">
        <w:t xml:space="preserve">  </w:t>
      </w:r>
      <w:bookmarkStart w:id="5" w:name="_Hlk496365640"/>
      <w:r w:rsidRPr="00923ACE">
        <w:t xml:space="preserve">While participation by wireless providers is voluntary, those that offer the service must adhere to the technical and operational requirements established by the </w:t>
      </w:r>
      <w:r>
        <w:t>Commission</w:t>
      </w:r>
      <w:r w:rsidRPr="00923ACE">
        <w:t>.</w:t>
      </w:r>
      <w:r>
        <w:t xml:space="preserve">  </w:t>
      </w:r>
      <w:r w:rsidRPr="003A0293">
        <w:t>WEA is a tool for authorized federal, state and local government entities to geographically target alerts and warnings to WEA-capable mobile devices of Participating CMS Providers’ subscribers.</w:t>
      </w:r>
      <w:bookmarkEnd w:id="5"/>
      <w:r w:rsidRPr="003A0293">
        <w:rPr>
          <w:szCs w:val="22"/>
        </w:rPr>
        <w:t xml:space="preserve">  </w:t>
      </w:r>
    </w:p>
    <w:p w:rsidR="009B6017" w:rsidRPr="003A0293" w:rsidP="009B6017" w14:paraId="538D9A95" w14:textId="77777777">
      <w:pPr>
        <w:pStyle w:val="ParaNum"/>
        <w:widowControl/>
      </w:pPr>
      <w:r w:rsidRPr="003A0293">
        <w:t>WEA works as follows:  an alert originator</w:t>
      </w:r>
      <w:r>
        <w:rPr>
          <w:rStyle w:val="FootnoteReference"/>
        </w:rPr>
        <w:footnoteReference w:id="16"/>
      </w:r>
      <w:r w:rsidRPr="003A0293">
        <w:t xml:space="preserve"> uses Federal Emergency Management Agency (FEMA)-approved alert origination software to send a WEA Alert Message</w:t>
      </w:r>
      <w:r>
        <w:rPr>
          <w:rStyle w:val="FootnoteReference"/>
        </w:rPr>
        <w:footnoteReference w:id="17"/>
      </w:r>
      <w:r w:rsidRPr="003A0293">
        <w:t xml:space="preserve"> in the Common Alerting </w:t>
      </w:r>
      <w:r w:rsidRPr="003A0293">
        <w:t>Protocol (CAP) to FEMA’s alert aggregator, which is named the Integrated Public Alert and Warning System (IPAWS).</w:t>
      </w:r>
      <w:r>
        <w:rPr>
          <w:rStyle w:val="FootnoteReference"/>
        </w:rPr>
        <w:footnoteReference w:id="18"/>
      </w:r>
      <w:r w:rsidRPr="003A0293">
        <w:rPr>
          <w:szCs w:val="22"/>
        </w:rPr>
        <w:t xml:space="preserve"> </w:t>
      </w:r>
      <w:r w:rsidRPr="003A0293">
        <w:t xml:space="preserve"> There</w:t>
      </w:r>
      <w:r w:rsidRPr="003A0293">
        <w:rPr>
          <w:szCs w:val="22"/>
        </w:rPr>
        <w:t>,</w:t>
      </w:r>
      <w:r w:rsidRPr="003A0293">
        <w:t xml:space="preserve"> the alert is authenticated, validated, and delivered to FEMA’s Alert Gateway for dissemination to Participating CMS Providers</w:t>
      </w:r>
      <w:r w:rsidRPr="003A0293">
        <w:rPr>
          <w:szCs w:val="22"/>
        </w:rPr>
        <w:t>’</w:t>
      </w:r>
      <w:r w:rsidRPr="003A0293">
        <w:t xml:space="preserve"> Alert Gateways</w:t>
      </w:r>
      <w:r w:rsidRPr="003A0293">
        <w:rPr>
          <w:szCs w:val="22"/>
        </w:rPr>
        <w:t>.</w:t>
      </w:r>
      <w:r>
        <w:rPr>
          <w:rStyle w:val="FootnoteReference"/>
        </w:rPr>
        <w:footnoteReference w:id="19"/>
      </w:r>
      <w:r w:rsidRPr="003A0293">
        <w:t xml:space="preserve">  </w:t>
      </w:r>
      <w:r>
        <w:t>Currently, FEMA only transmits to Participating CMS Providers information about the Alert Message that is necessary for mobile devices to present Alert Messages to subscribers (</w:t>
      </w:r>
      <w:r w:rsidRPr="46BB033C">
        <w:rPr>
          <w:i/>
          <w:iCs/>
        </w:rPr>
        <w:t>e.g.</w:t>
      </w:r>
      <w:r>
        <w:t>, message content, geographic target area coordinates if applicable, and a unique message identifier).  FEMA removes all other metadata from the Alert Message (</w:t>
      </w:r>
      <w:r w:rsidRPr="46BB033C">
        <w:rPr>
          <w:i/>
          <w:iCs/>
        </w:rPr>
        <w:t>e.g.</w:t>
      </w:r>
      <w:r>
        <w:t>, the time at which the Alert Message was initiated by the alert originator).</w:t>
      </w:r>
      <w:r>
        <w:rPr>
          <w:rStyle w:val="FootnoteReference"/>
        </w:rPr>
        <w:footnoteReference w:id="20"/>
      </w:r>
      <w:r>
        <w:t xml:space="preserve">  Participating CMS Providers are required to log all of the Alert Message data that they receive at their Alert Gateways, including the time of receipt, maintain those logs for at least 12 months, and make them available to the Commission, FEMA, and emergency management agencies that offer confidentiality protection at least equal to that provided by the federal Freedom of Information Act (FOIA) upon request.</w:t>
      </w:r>
      <w:r>
        <w:rPr>
          <w:rStyle w:val="FootnoteReference"/>
        </w:rPr>
        <w:footnoteReference w:id="21"/>
      </w:r>
      <w:r>
        <w:t xml:space="preserve">  </w:t>
      </w:r>
      <w:r w:rsidRPr="003A0293">
        <w:t xml:space="preserve">While the Commission’s WEA rules are technologically neutral, most Participating CMS Providers </w:t>
      </w:r>
      <w:r>
        <w:t xml:space="preserve">currently </w:t>
      </w:r>
      <w:r w:rsidRPr="003A0293">
        <w:t xml:space="preserve">use </w:t>
      </w:r>
      <w:r>
        <w:t xml:space="preserve">one-way </w:t>
      </w:r>
      <w:r w:rsidRPr="003A0293">
        <w:t>cell broadcast technology to transmit WEA Alert Messages to their subscribers.</w:t>
      </w:r>
      <w:r>
        <w:rPr>
          <w:rStyle w:val="FootnoteReference"/>
        </w:rPr>
        <w:footnoteReference w:id="22"/>
      </w:r>
      <w:r w:rsidRPr="003A0293">
        <w:t xml:space="preserve">  When the Alert Message is received by a WEA-capable mobile device</w:t>
      </w:r>
      <w:r w:rsidRPr="003A0293">
        <w:rPr>
          <w:szCs w:val="22"/>
        </w:rPr>
        <w:t>,</w:t>
      </w:r>
      <w:r w:rsidRPr="003A0293">
        <w:t xml:space="preserve"> it is prominently presented to the subscriber as long as the subscriber has not opted out of receiving Alert Messages of that type.</w:t>
      </w:r>
      <w:r>
        <w:rPr>
          <w:rStyle w:val="FootnoteReference"/>
        </w:rPr>
        <w:footnoteReference w:id="23"/>
      </w:r>
      <w:r>
        <w:t xml:space="preserve">  The Commission requires WEA-capable mobile devices to preserve Alert Messages in a consumer-accessible format and location for at least 24 hours or until deleted by the subscriber, but does not specifically require WEA-capable mobile devices to log information about Alert Messages that they receive.</w:t>
      </w:r>
      <w:r>
        <w:rPr>
          <w:rStyle w:val="FootnoteReference"/>
        </w:rPr>
        <w:footnoteReference w:id="24"/>
      </w:r>
    </w:p>
    <w:p w:rsidR="009B6017" w:rsidRPr="003A0293" w:rsidP="009B6017" w14:paraId="7A702DFA" w14:textId="77777777">
      <w:pPr>
        <w:pStyle w:val="ParaNum"/>
        <w:widowControl/>
      </w:pPr>
      <w:r w:rsidRPr="003A0293">
        <w:t xml:space="preserve">The Commission has sought comment twice before on whether Participating CMS Providers should measure and report on the reliability, speed, and accuracy of the WEA service that they provide.  In 2016, the Commission proposed to require Participating CMS Providers to annually report the </w:t>
      </w:r>
      <w:r w:rsidRPr="003A0293">
        <w:t>reliability and availability, latency, and geotargeting of their respective WEA systems.</w:t>
      </w:r>
      <w:r>
        <w:rPr>
          <w:vertAlign w:val="superscript"/>
        </w:rPr>
        <w:footnoteReference w:id="25"/>
      </w:r>
      <w:r w:rsidRPr="003A0293">
        <w:rPr>
          <w:szCs w:val="24"/>
        </w:rPr>
        <w:t xml:space="preserve">  </w:t>
      </w:r>
      <w:r w:rsidRPr="003A0293">
        <w:t>The Commission also sought comment on whether Participating CMS Providers should update additional WEA network elements and mobile device software to log the receipt of WEA alerts, because performance reporting necessitates performance measurement, including at the end user device where WEAs are received.</w:t>
      </w:r>
      <w:r>
        <w:rPr>
          <w:vertAlign w:val="superscript"/>
        </w:rPr>
        <w:footnoteReference w:id="26"/>
      </w:r>
      <w:r w:rsidRPr="003A0293">
        <w:t xml:space="preserve">  In 2018, the Commission again sought comment on how WEA’s performance should be measured and reported, how the Commission should address inconsistent WEA delivery, and why WEA alerts were not being delivered to all handsets within a targeted area.</w:t>
      </w:r>
      <w:r>
        <w:rPr>
          <w:vertAlign w:val="superscript"/>
        </w:rPr>
        <w:footnoteReference w:id="27"/>
      </w:r>
      <w:r w:rsidRPr="003A0293">
        <w:rPr>
          <w:szCs w:val="24"/>
        </w:rPr>
        <w:t xml:space="preserve">  </w:t>
      </w:r>
      <w:r w:rsidRPr="003A0293">
        <w:t>Participating CMS Providers comment that burdensome performance requirements would be inconsistent with the voluntary nature of WEA,</w:t>
      </w:r>
      <w:r>
        <w:rPr>
          <w:vertAlign w:val="superscript"/>
        </w:rPr>
        <w:footnoteReference w:id="28"/>
      </w:r>
      <w:r w:rsidRPr="003A0293">
        <w:t xml:space="preserve"> and that performance measurement would be difficult because of Participating CMS Providers’ lack of visibility into WEA’s receipt at mobile devices.</w:t>
      </w:r>
      <w:r>
        <w:rPr>
          <w:vertAlign w:val="superscript"/>
        </w:rPr>
        <w:footnoteReference w:id="29"/>
      </w:r>
      <w:r w:rsidRPr="003A0293">
        <w:t xml:space="preserve">  Emergency management agencies and consumer groups, on the other hand, comment that better information about how WEA works in practice would help them to use WEA more adeptly and would promote confidence that the system will work as intended when needed.</w:t>
      </w:r>
      <w:r>
        <w:rPr>
          <w:vertAlign w:val="superscript"/>
        </w:rPr>
        <w:footnoteReference w:id="30"/>
      </w:r>
      <w:r w:rsidRPr="003A0293">
        <w:rPr>
          <w:szCs w:val="24"/>
        </w:rPr>
        <w:t xml:space="preserve">  </w:t>
      </w:r>
      <w:r w:rsidRPr="003A0293">
        <w:t>The California Governor’s Office of Emergency Services (</w:t>
      </w:r>
      <w:r w:rsidRPr="003A0293">
        <w:t>CalOES</w:t>
      </w:r>
      <w:r w:rsidRPr="003A0293">
        <w:t>) states that “the elements of geo-targeting accuracy, alert latency, and availability and reliability cover the main concerns of state and local alert originators.”</w:t>
      </w:r>
      <w:r>
        <w:rPr>
          <w:vertAlign w:val="superscript"/>
        </w:rPr>
        <w:footnoteReference w:id="31"/>
      </w:r>
      <w:r w:rsidRPr="003A0293">
        <w:t xml:space="preserve">  APCO states that reporting on WEA’s performance “will increase transparency and improve the system’s trustworthiness and effectiveness,</w:t>
      </w:r>
      <w:r>
        <w:rPr>
          <w:vertAlign w:val="superscript"/>
        </w:rPr>
        <w:footnoteReference w:id="32"/>
      </w:r>
      <w:r w:rsidRPr="003A0293">
        <w:t xml:space="preserve"> and Nassau </w:t>
      </w:r>
      <w:r w:rsidRPr="003A0293">
        <w:t>County states that “[w]e feel . . . [WEA performance reporting] is important so we feel confident that the alert messages are being delivered swiftly and correctly targeted.”</w:t>
      </w:r>
      <w:r>
        <w:rPr>
          <w:vertAlign w:val="superscript"/>
        </w:rPr>
        <w:footnoteReference w:id="33"/>
      </w:r>
      <w:r w:rsidRPr="003A0293">
        <w:t xml:space="preserve">  The Harris County Office of Homeland Security and Emergency Management states that “additional information from wireless carriers on message delivery and delivery failures is crucial to identifying what areas are being over and under alerted during an emergency.”</w:t>
      </w:r>
      <w:r>
        <w:rPr>
          <w:vertAlign w:val="superscript"/>
        </w:rPr>
        <w:footnoteReference w:id="34"/>
      </w:r>
      <w:r w:rsidRPr="003A0293">
        <w:t xml:space="preserve">  Wireless RERC states that reporting on WEA’s performance “will allow for data to be collected and analyzed to set a baseline from which to measure implementation progress and effectiveness of WEA with regards to system performance.”</w:t>
      </w:r>
      <w:r>
        <w:rPr>
          <w:vertAlign w:val="superscript"/>
        </w:rPr>
        <w:footnoteReference w:id="35"/>
      </w:r>
      <w:r w:rsidRPr="003A0293">
        <w:t xml:space="preserve">  </w:t>
      </w:r>
    </w:p>
    <w:p w:rsidR="009B6017" w:rsidRPr="003A0293" w:rsidP="009B6017" w14:paraId="3CA0C695" w14:textId="77777777">
      <w:pPr>
        <w:pStyle w:val="ParaNum"/>
        <w:widowControl/>
      </w:pPr>
      <w:r w:rsidRPr="003A0293">
        <w:t>In 2020, the Government Accountability Office (GAO) recommended that the Commission “develop specific, measurable goals and performance measures for its efforts to monitor the performance of new WEA capabilities, such as enhanced geo-targeting and message length.”</w:t>
      </w:r>
      <w:r>
        <w:rPr>
          <w:vertAlign w:val="superscript"/>
        </w:rPr>
        <w:footnoteReference w:id="36"/>
      </w:r>
      <w:r w:rsidRPr="003A0293">
        <w:t xml:space="preserve">  In response, the Commission committed to “[c]</w:t>
      </w:r>
      <w:r w:rsidRPr="003A0293">
        <w:t>omplet</w:t>
      </w:r>
      <w:r w:rsidRPr="003A0293">
        <w:t>[</w:t>
      </w:r>
      <w:r w:rsidRPr="003A0293">
        <w:t>ing</w:t>
      </w:r>
      <w:r w:rsidRPr="003A0293">
        <w:t xml:space="preserve">] geo-targeting pilot testing with selected local jurisdiction partner(s)” and </w:t>
      </w:r>
      <w:r>
        <w:t>“</w:t>
      </w:r>
      <w:r w:rsidRPr="003A0293">
        <w:t>[c]</w:t>
      </w:r>
      <w:r w:rsidRPr="003A0293">
        <w:t>omplet</w:t>
      </w:r>
      <w:r w:rsidRPr="003A0293">
        <w:t>[</w:t>
      </w:r>
      <w:r w:rsidRPr="003A0293">
        <w:t>ing</w:t>
      </w:r>
      <w:r w:rsidRPr="003A0293">
        <w:t>] associated rulemaking to adopt performance measures for enhanced WEA capabilities, as appropriate.”</w:t>
      </w:r>
      <w:r>
        <w:rPr>
          <w:vertAlign w:val="superscript"/>
        </w:rPr>
        <w:footnoteReference w:id="37"/>
      </w:r>
      <w:r w:rsidRPr="003A0293">
        <w:rPr>
          <w:szCs w:val="24"/>
        </w:rPr>
        <w:t xml:space="preserve">  </w:t>
      </w:r>
    </w:p>
    <w:p w:rsidR="009B6017" w:rsidRPr="003A0293" w:rsidP="009B6017" w14:paraId="7EEF1838" w14:textId="77777777">
      <w:pPr>
        <w:pStyle w:val="ParaNum"/>
        <w:widowControl/>
      </w:pPr>
      <w:r w:rsidRPr="003A0293">
        <w:t>In 2021, the Commission took a significant step in measuring WEA’s performance when PSHSB partnered with 11 federal, state, and local emergency management agencies to gather data about the end user’s experience with the nationwide WEA test.</w:t>
      </w:r>
      <w:r>
        <w:rPr>
          <w:rStyle w:val="FootnoteReference"/>
        </w:rPr>
        <w:footnoteReference w:id="38"/>
      </w:r>
      <w:r w:rsidRPr="003A0293">
        <w:t xml:space="preserve">  The Public Safety &amp; Homeland Security Bureau (Bureau) gathered and analyzed data from dedicated volunteer respondents across the country on performance factors that Participating CMS Providers are not required to measure under the Commission’s current rules, such as the rate of test receipt on mobile devices, how long it takes for the test to reach mobile devices, and whether the test is presented as designed.  The Bureau’s Report on the 2021 Nationwide WEA Test found that approximately 90% of respondents received the test message, and that they received it within two minutes of transmission.</w:t>
      </w:r>
      <w:r>
        <w:rPr>
          <w:rStyle w:val="FootnoteReference"/>
        </w:rPr>
        <w:footnoteReference w:id="39"/>
      </w:r>
      <w:r w:rsidRPr="003A0293">
        <w:t xml:space="preserve">  The Report found that WEA’s reliability was largely consistent across CMS Providers, generation of wireless network technology (i.e., 4G or 5G), mobile device manufacturer, device operating system, whether a user was indoors or outdoors, and whether the mobile device was already in use at the time of the test.</w:t>
      </w:r>
      <w:r>
        <w:rPr>
          <w:rStyle w:val="FootnoteReference"/>
        </w:rPr>
        <w:footnoteReference w:id="40"/>
      </w:r>
      <w:r w:rsidRPr="003A0293">
        <w:t xml:space="preserve">  The Report also found, however, that many mobile devices erroneously received a duplicate nationwide WEA test message, and that there may be opportunities to improve WEA’s reliability.</w:t>
      </w:r>
      <w:r>
        <w:rPr>
          <w:rStyle w:val="FootnoteReference"/>
        </w:rPr>
        <w:footnoteReference w:id="41"/>
      </w:r>
      <w:r w:rsidRPr="003A0293">
        <w:t xml:space="preserve">  In addition, the Report found that survey respondents attached to the networks of Mobile Virtual Network Operators (MVNOs) that had not </w:t>
      </w:r>
      <w:r w:rsidRPr="003A0293">
        <w:t>formally submitted to the Commission letters attesting to their intent to participate in WEA nonetheless received the nationwide WEA test.</w:t>
      </w:r>
      <w:r>
        <w:rPr>
          <w:vertAlign w:val="superscript"/>
        </w:rPr>
        <w:footnoteReference w:id="42"/>
      </w:r>
    </w:p>
    <w:p w:rsidR="009B6017" w:rsidRPr="00B26C9E" w:rsidP="007F0195" w14:paraId="3581113C" w14:textId="77777777">
      <w:pPr>
        <w:pStyle w:val="Heading1"/>
        <w:numPr>
          <w:ilvl w:val="0"/>
          <w:numId w:val="3"/>
        </w:numPr>
      </w:pPr>
      <w:bookmarkStart w:id="6" w:name="_Toc99488448"/>
      <w:r w:rsidRPr="00B26C9E">
        <w:t>Discussion</w:t>
      </w:r>
      <w:bookmarkEnd w:id="6"/>
    </w:p>
    <w:p w:rsidR="009B6017" w:rsidRPr="00746B1B" w:rsidP="009B6017" w14:paraId="337EEC0F" w14:textId="77777777">
      <w:pPr>
        <w:pStyle w:val="Heading2"/>
      </w:pPr>
      <w:r w:rsidRPr="00746B1B">
        <w:t>WEA Performance Metrics and Reporting</w:t>
      </w:r>
    </w:p>
    <w:p w:rsidR="009B6017" w:rsidRPr="003A0293" w:rsidP="009B6017" w14:paraId="2732DD4F" w14:textId="77777777">
      <w:pPr>
        <w:pStyle w:val="ParaNum"/>
        <w:widowControl/>
      </w:pPr>
      <w:bookmarkStart w:id="7" w:name="_Hlk101171530"/>
      <w:bookmarkStart w:id="8" w:name="_Hlk101171544"/>
      <w:r w:rsidRPr="003A0293">
        <w:t>Emergency management agencies have made it clear that information about WEA performance is essential to develop confidence in WEA’s ability to perform effectively during an emergency.</w:t>
      </w:r>
      <w:r>
        <w:rPr>
          <w:rStyle w:val="FootnoteReference"/>
        </w:rPr>
        <w:footnoteReference w:id="43"/>
      </w:r>
      <w:r w:rsidRPr="003A0293">
        <w:t xml:space="preserve">  The record in the underlying proceedings reflects emergency management agencies’ perspective that increased transparency about WEA’s reliability, speed, and accuracy in a given market will help provide necessary data to emergency managers to help them assess WEA’s utility in their respective jurisdictions and with respect to specific use cases.</w:t>
      </w:r>
      <w:r>
        <w:rPr>
          <w:rStyle w:val="FootnoteReference"/>
        </w:rPr>
        <w:footnoteReference w:id="44"/>
      </w:r>
      <w:r w:rsidRPr="003A0293">
        <w:t xml:space="preserve">  In addition, understanding WEA’s end-to-end performance will also help identify areas for improvement.  We therefore seek to build upon the Commission’s prior proposals and refresh the record to develop metrics for WEA performance and reporting.  We clarify that we are not proposing to set minimum performance benchmarks at this time.  Instead, we </w:t>
      </w:r>
      <w:r>
        <w:t xml:space="preserve">propose that Participating CMS Providers report on </w:t>
      </w:r>
      <w:r w:rsidRPr="003A0293">
        <w:t>key metrics that will help stakeholders develop an understanding of WEA end-to-end performance</w:t>
      </w:r>
      <w:r>
        <w:t>, and we seek comment on the implementation of this proposal</w:t>
      </w:r>
      <w:r w:rsidRPr="003A0293">
        <w:t>.</w:t>
      </w:r>
      <w:bookmarkEnd w:id="7"/>
      <w:r w:rsidRPr="003A0293">
        <w:t xml:space="preserve">  </w:t>
      </w:r>
    </w:p>
    <w:bookmarkEnd w:id="8"/>
    <w:p w:rsidR="009B6017" w:rsidRPr="003A0293" w:rsidP="009B6017" w14:paraId="6560DBB7" w14:textId="77777777">
      <w:pPr>
        <w:pStyle w:val="ParaNum"/>
        <w:widowControl/>
      </w:pPr>
      <w:r w:rsidRPr="003A0293">
        <w:t xml:space="preserve">As an initial matter, </w:t>
      </w:r>
      <w:bookmarkStart w:id="9" w:name="_Hlk99501098"/>
      <w:r w:rsidRPr="003A0293">
        <w:t xml:space="preserve">we seek comment on how WEA’s reliability, speed, and accuracy should be defined.  </w:t>
      </w:r>
      <w:bookmarkEnd w:id="9"/>
      <w:r w:rsidRPr="003A0293">
        <w:t>In 2016, the Commission proposed to</w:t>
      </w:r>
      <w:r w:rsidRPr="003A0293">
        <w:rPr>
          <w:szCs w:val="22"/>
        </w:rPr>
        <w:t xml:space="preserve"> </w:t>
      </w:r>
      <w:r w:rsidRPr="003A0293">
        <w:t>define “reliability” as “the annual percentage of WEA Alert Messages that the Participating CMS Provider processes successfully, and a summary of the most common errors with Alert Message transmission.</w:t>
      </w:r>
      <w:r w:rsidRPr="003A0293">
        <w:rPr>
          <w:szCs w:val="22"/>
        </w:rPr>
        <w:t>”</w:t>
      </w:r>
      <w:r>
        <w:rPr>
          <w:rStyle w:val="FootnoteReference"/>
        </w:rPr>
        <w:footnoteReference w:id="45"/>
      </w:r>
      <w:r w:rsidRPr="003A0293">
        <w:rPr>
          <w:szCs w:val="22"/>
        </w:rPr>
        <w:t xml:space="preserve"> </w:t>
      </w:r>
      <w:r w:rsidRPr="003A0293">
        <w:t xml:space="preserve"> The Commission considered speed in terms of latency, and proposed to define “latency” as “[a]n end-to-end analysis of the amount of time that it takes for the Participating CMS Provider to transmit a WEA Alert Message.</w:t>
      </w:r>
      <w:r w:rsidRPr="003A0293">
        <w:rPr>
          <w:szCs w:val="22"/>
        </w:rPr>
        <w:t>”</w:t>
      </w:r>
      <w:r>
        <w:rPr>
          <w:rStyle w:val="FootnoteReference"/>
        </w:rPr>
        <w:footnoteReference w:id="46"/>
      </w:r>
      <w:r w:rsidRPr="003A0293">
        <w:rPr>
          <w:szCs w:val="22"/>
        </w:rPr>
        <w:t xml:space="preserve">  </w:t>
      </w:r>
      <w:r w:rsidRPr="003A0293">
        <w:t>The Commission proposed to couch accuracy in terms of geotargeting, as “[t]he accuracy with which the Participating CMS Provider can distribute WEA Alert Messages to a geographic area specified by an alert originator.</w:t>
      </w:r>
      <w:r w:rsidRPr="003A0293">
        <w:rPr>
          <w:szCs w:val="22"/>
        </w:rPr>
        <w:t>”</w:t>
      </w:r>
      <w:r>
        <w:rPr>
          <w:rStyle w:val="FootnoteReference"/>
        </w:rPr>
        <w:footnoteReference w:id="47"/>
      </w:r>
      <w:r w:rsidRPr="003A0293">
        <w:rPr>
          <w:szCs w:val="22"/>
        </w:rPr>
        <w:t xml:space="preserve">  </w:t>
      </w:r>
      <w:r w:rsidRPr="003A0293">
        <w:t>CalOES</w:t>
      </w:r>
      <w:r w:rsidRPr="003A0293">
        <w:t xml:space="preserve"> states that “these three parameters, appropriately presented (</w:t>
      </w:r>
      <w:r w:rsidRPr="003A0293">
        <w:rPr>
          <w:i/>
          <w:iCs/>
        </w:rPr>
        <w:t>e.g.</w:t>
      </w:r>
      <w:r w:rsidRPr="003A0293">
        <w:rPr>
          <w:szCs w:val="22"/>
        </w:rPr>
        <w:t>,</w:t>
      </w:r>
      <w:r w:rsidRPr="003A0293">
        <w:rPr>
          <w:i/>
          <w:iCs/>
        </w:rPr>
        <w:t xml:space="preserve"> </w:t>
      </w:r>
      <w:r w:rsidRPr="003A0293">
        <w:t>as distributions, not just averages) appropriately support the vast majority of emergency managers and public safety officials.”</w:t>
      </w:r>
      <w:r>
        <w:rPr>
          <w:rStyle w:val="FootnoteReference"/>
        </w:rPr>
        <w:footnoteReference w:id="48"/>
      </w:r>
      <w:r w:rsidRPr="003A0293">
        <w:rPr>
          <w:szCs w:val="22"/>
        </w:rPr>
        <w:t xml:space="preserve">  </w:t>
      </w:r>
      <w:r w:rsidRPr="003A0293">
        <w:t xml:space="preserve">Do these definitions best capture the reliability, speed, and accuracy of WEA?  Alternatively, we seek comment on whether WEA’s reliability should be defined as the proportion of devices within the targeted area while the alert is active that successfully displayed the alert.  We seek comment on whether WEA’s speed should be measured as the difference between the time that an alert is initiated by an authorized alert originator and the time that the alert is displayed at the mobile device.  We seek comment on whether WEA’s accuracy should be defined as the proportion of alert recipients that received the alert within and further than 0.1 miles from the target area.  We seek comment on whether reliability, speed, and accuracy are the most pertinent measures of WEA’s performance to emergency management agencies and the </w:t>
      </w:r>
      <w:r w:rsidRPr="003A0293">
        <w:t>public.  What other (or additional) measures of WEA’s performance should the Commission consider as relevant to emergency management agencies and the public, if any?</w:t>
      </w:r>
      <w:r>
        <w:rPr>
          <w:rStyle w:val="FootnoteReference"/>
        </w:rPr>
        <w:footnoteReference w:id="49"/>
      </w:r>
    </w:p>
    <w:p w:rsidR="009B6017" w:rsidRPr="003A0293" w:rsidP="009B6017" w14:paraId="4FD9E847" w14:textId="77777777">
      <w:pPr>
        <w:pStyle w:val="ParaNum"/>
        <w:widowControl/>
      </w:pPr>
      <w:r w:rsidRPr="003A0293">
        <w:t>We seek comment on how Participating CMS Providers should measure the performance of their WEA service for the purpose of generating WEA performance reports.</w:t>
      </w:r>
      <w:r w:rsidRPr="003A0293">
        <w:rPr>
          <w:i/>
          <w:iCs/>
        </w:rPr>
        <w:t xml:space="preserve">  </w:t>
      </w:r>
      <w:r w:rsidRPr="003A0293">
        <w:t>We note that the Commission previously proposed to require that Participating CMS Providers submit WEA performance reports based on aggregated data from all WEA activations during the reporting period.</w:t>
      </w:r>
      <w:r w:rsidRPr="003A0293">
        <w:rPr>
          <w:rStyle w:val="FootnoteReference"/>
        </w:rPr>
        <w:t xml:space="preserve"> </w:t>
      </w:r>
      <w:r>
        <w:rPr>
          <w:rStyle w:val="FootnoteReference"/>
        </w:rPr>
        <w:footnoteReference w:id="50"/>
      </w:r>
      <w:r w:rsidRPr="003A0293">
        <w:t xml:space="preserve">  The Commission sought comment, in the alternative, on whether WEA’s performance could be measured based on the issuance of a single State/Local WEA Test, and through additional testing only as needed in light of material network upgrades.</w:t>
      </w:r>
      <w:r>
        <w:rPr>
          <w:rStyle w:val="FootnoteReference"/>
        </w:rPr>
        <w:footnoteReference w:id="51"/>
      </w:r>
      <w:r w:rsidRPr="003A0293">
        <w:t xml:space="preserve">  NYCEM argues that WEA performance reports “should</w:t>
      </w:r>
      <w:r w:rsidRPr="003A0293">
        <w:rPr>
          <w:snapToGrid/>
          <w:color w:val="000000"/>
          <w:kern w:val="0"/>
        </w:rPr>
        <w:t xml:space="preserve"> </w:t>
      </w:r>
      <w:r w:rsidRPr="003A0293">
        <w:t>be based on an analysis of all WEA messages that were or should have been transmitted during the reporting period and NOT only limited to [discrete] State/Local WEA tests.”</w:t>
      </w:r>
      <w:r>
        <w:rPr>
          <w:rStyle w:val="FootnoteReference"/>
        </w:rPr>
        <w:footnoteReference w:id="52"/>
      </w:r>
      <w:r w:rsidRPr="003A0293">
        <w:t xml:space="preserve">  Should the Commission allow these reports to be based on discrete WEA tests conducted by Participating CMS Providers in partnership with federal, state, or local emergency management agencies in a representative sample of dense urban, urban, suburban and rural geographic environments?</w:t>
      </w:r>
      <w:r>
        <w:rPr>
          <w:rStyle w:val="FootnoteReference"/>
        </w:rPr>
        <w:footnoteReference w:id="53"/>
      </w:r>
      <w:r w:rsidRPr="003A0293">
        <w:t xml:space="preserve">  Or, should the Commission require WEA performance reports to be based on aggregated data from real-time WEA use?  If the latter, how might that be effectuated?</w:t>
      </w:r>
    </w:p>
    <w:p w:rsidR="009B6017" w:rsidRPr="003A0293" w:rsidP="009B6017" w14:paraId="75B0BBBD" w14:textId="77777777">
      <w:pPr>
        <w:pStyle w:val="ParaNum"/>
        <w:widowControl/>
      </w:pPr>
      <w:r w:rsidRPr="003A0293">
        <w:t>We seek comment on when and how these reports should be provided to the Commission.  In 2016, the Commission proposed to require Participating CMS Providers to report on the performance of their WEA service annually or, in the alternative, to require a single report and additional reports only in response to “material” network upgrades.</w:t>
      </w:r>
      <w:r>
        <w:rPr>
          <w:rStyle w:val="FootnoteReference"/>
        </w:rPr>
        <w:footnoteReference w:id="54"/>
      </w:r>
      <w:r w:rsidRPr="003A0293">
        <w:t xml:space="preserve">  </w:t>
      </w:r>
      <w:r w:rsidRPr="003A0293">
        <w:t>CalOES</w:t>
      </w:r>
      <w:r w:rsidRPr="003A0293">
        <w:t xml:space="preserve"> “recommends that performance reporting occur annually,” but NYCEM opposes less-than-annual reporting because “WEA is a mission-critical system and needs to be tested and reported on in light of routine CMSP maintenance and upgrade activity.”</w:t>
      </w:r>
      <w:r>
        <w:rPr>
          <w:rStyle w:val="FootnoteReference"/>
        </w:rPr>
        <w:footnoteReference w:id="55"/>
      </w:r>
      <w:r w:rsidRPr="003A0293">
        <w:t xml:space="preserve">  Alternatively, to limit the burden of reporting while still gaining visibility into end-to-end WEA performance, should we require Participating CMS Providers to submit multiple reports, such as a series of three reports?  Should the submission of those reports coincide with any particular developments or milestones? We seek comment on whether this approach would allow the Commission to track WEA performance over time and still obtain sufficient information to assess WEA performance.  If we require the submission of more than one report (for example, three reports), when should each of these reports be submitted to the Commission, and what periods of time should their contents cover?  How could the Commission best ensure that the information in each subsequent report could be directly compared against one another, in order to draw accurate conclusions about improvements or declines in WEA performance over time?</w:t>
      </w:r>
      <w:r>
        <w:t xml:space="preserve">  As another alternative, noting that Emergency Alert System (EAS) Participants are required to file reports after each national test scheduled by the Commission in consultation with </w:t>
      </w:r>
      <w:r>
        <w:t>FEMA,</w:t>
      </w:r>
      <w:r>
        <w:rPr>
          <w:rStyle w:val="FootnoteReference"/>
        </w:rPr>
        <w:footnoteReference w:id="56"/>
      </w:r>
      <w:r>
        <w:t xml:space="preserve"> we seek comment on whether a similar approach would be appropriate for WEA performance reporting.</w:t>
      </w:r>
    </w:p>
    <w:p w:rsidR="009B6017" w:rsidRPr="003A0293" w:rsidP="009B6017" w14:paraId="181F3A99" w14:textId="77777777">
      <w:pPr>
        <w:pStyle w:val="ParaNum"/>
        <w:widowControl/>
      </w:pPr>
      <w:r w:rsidRPr="003A0293">
        <w:t>In 2016, the Commission proposed to require that Participating CMS Providers grant emergency management agencies’ requests for a locality-specific version of these performance metrics where the requesting entity agrees to provide confidentiality protection at least equal to that provided by the federal Freedom of Information Act (FOIA).</w:t>
      </w:r>
      <w:r>
        <w:rPr>
          <w:vertAlign w:val="superscript"/>
        </w:rPr>
        <w:footnoteReference w:id="57"/>
      </w:r>
      <w:r w:rsidRPr="003A0293">
        <w:t xml:space="preserve">  Commenters did not address this issue directly.  We again seek comment on the extent to which locality specific WEA performance reports would be necessary for emergency management agencies and the public to understand how WEA works within their local areas as compared to Participating CMS Providers’ nationwide WEA deployment.  In the event that the record demonstrates there are sound public policy reasons for protecting the confidentiality of the information provided by Participating CMS Providers, could the Commission instead offer aggregated/anonymized reports, based on all WEA performance reports?  Would this be sufficiently granular to help inform emergency managers regarding WEA effectiveness in their area and if not, how could that be better addressed while still protecting the confidentiality of the information as needed?  </w:t>
      </w:r>
    </w:p>
    <w:p w:rsidR="009B6017" w:rsidP="009B6017" w14:paraId="0117B9A8" w14:textId="77777777">
      <w:pPr>
        <w:pStyle w:val="ParaNum"/>
        <w:widowControl/>
      </w:pPr>
      <w:r w:rsidRPr="003A0293">
        <w:t xml:space="preserve">What information would Participating CMS Providers need to collect to assess WEA performance?  </w:t>
      </w:r>
      <w:r>
        <w:t>Is it feasible for</w:t>
      </w:r>
      <w:r w:rsidRPr="003A0293">
        <w:t xml:space="preserve"> </w:t>
      </w:r>
      <w:r>
        <w:t xml:space="preserve">Participating CMS Providers to generate </w:t>
      </w:r>
      <w:r w:rsidRPr="003A0293">
        <w:t xml:space="preserve">WEA performance reports </w:t>
      </w:r>
      <w:r>
        <w:t xml:space="preserve">using </w:t>
      </w:r>
      <w:r w:rsidRPr="003A0293">
        <w:t>information that is</w:t>
      </w:r>
      <w:r>
        <w:t xml:space="preserve"> already</w:t>
      </w:r>
      <w:r w:rsidRPr="003A0293">
        <w:t xml:space="preserve"> collecte</w:t>
      </w:r>
      <w:r>
        <w:t xml:space="preserve">d, or could be collected, based on WEA’s current architecture and from WEA-capable mobile devices connected to providers’ networks, including leveraging </w:t>
      </w:r>
      <w:r w:rsidRPr="00B70B77">
        <w:t xml:space="preserve">information currently </w:t>
      </w:r>
      <w:r>
        <w:t>logged</w:t>
      </w:r>
      <w:r w:rsidRPr="00B70B77">
        <w:t xml:space="preserve"> at their Alert Gateway</w:t>
      </w:r>
      <w:r>
        <w:t>?</w:t>
      </w:r>
      <w:r>
        <w:rPr>
          <w:rStyle w:val="FootnoteReference"/>
        </w:rPr>
        <w:footnoteReference w:id="58"/>
      </w:r>
      <w:r w:rsidRPr="00B70B77">
        <w:t xml:space="preserve">  </w:t>
      </w:r>
      <w:r>
        <w:t>S</w:t>
      </w:r>
      <w:r w:rsidRPr="003A0293">
        <w:t xml:space="preserve">hould these reports reflect specific information about the actual time and location of alert receipt?  In order to be useful, how granular should that information be (e.g., to the second and within 0.1 mile)?  Should these reports take into account those device makes and models that cannot be updated to deliver alerts within 0.1 miles of the target area?  </w:t>
      </w:r>
    </w:p>
    <w:p w:rsidR="009B6017" w:rsidRPr="003A0293" w:rsidP="009B6017" w14:paraId="063A0CBF" w14:textId="77777777">
      <w:pPr>
        <w:pStyle w:val="ParaNum"/>
        <w:widowControl/>
      </w:pPr>
      <w:r>
        <w:t>If it is not feasible for Participating CMS Providers to collect this information from WEA networks and devices as currently designed, then what network or device firmware or software changes would be needed for Participating CMS Providers to comply with the proposed reporting requirements?</w:t>
      </w:r>
      <w:r>
        <w:rPr>
          <w:rStyle w:val="FootnoteReference"/>
        </w:rPr>
        <w:footnoteReference w:id="59"/>
      </w:r>
      <w:r>
        <w:t xml:space="preserve">  How much time would be necessary to complete these steps?  We do not envision that our proposed reporting requirements would necessarily implicate changes to the one-way cell broadcast transmission of WEA alerts currently used by many Participating CMS Providers.  Rather, we envision that Participating CMS Providers – at their option – could continue to use cell broadcast to transmit WEA alerts and develop an additional mechanism to receive WEA performance data from mobile devices (</w:t>
      </w:r>
      <w:r>
        <w:rPr>
          <w:i/>
          <w:iCs/>
        </w:rPr>
        <w:t>e.g.</w:t>
      </w:r>
      <w:r>
        <w:t>, through a System Information Block control channel or with a mobile device Application Programming Interface (API) that connects the WEA firmware to another mobile device application from which Participating CMS Providers already receive data).</w:t>
      </w:r>
      <w:r>
        <w:rPr>
          <w:rStyle w:val="FootnoteReference"/>
        </w:rPr>
        <w:footnoteReference w:id="60"/>
      </w:r>
      <w:r>
        <w:rPr>
          <w:i/>
          <w:iCs/>
        </w:rPr>
        <w:t xml:space="preserve"> </w:t>
      </w:r>
      <w:r>
        <w:t xml:space="preserve"> We note that the Commission’s Communications Security, Reliability, and Interoperability Council (CSRIC) VIII is tasked with defining an API to allow the WEA software “to pull capabilities from other mobile device applications and firmware to enhance the </w:t>
      </w:r>
      <w:r>
        <w:t>presentation of WEA messages.”</w:t>
      </w:r>
      <w:r>
        <w:rPr>
          <w:rStyle w:val="FootnoteReference"/>
        </w:rPr>
        <w:footnoteReference w:id="61"/>
      </w:r>
      <w:r>
        <w:t xml:space="preserve">  While CSRIC VIII’s task is specifically directed towards enabling mapping and accessibility features, we seek comment on the extent to which this API could be used to facilitate the generation of WEA performance reports as proposed in this proceeding.  Alternatively, we seek comment on how Participating CMS Providers would recommend measuring and reporting on the performance of their WEA service.</w:t>
      </w:r>
      <w:r>
        <w:rPr>
          <w:rStyle w:val="FootnoteReference"/>
        </w:rPr>
        <w:footnoteReference w:id="62"/>
      </w:r>
      <w:r>
        <w:t xml:space="preserve">  </w:t>
      </w:r>
      <w:r w:rsidRPr="003A0293">
        <w:t xml:space="preserve">Are there other ways to collect this information that do not require </w:t>
      </w:r>
      <w:r>
        <w:t xml:space="preserve">network or device </w:t>
      </w:r>
      <w:r w:rsidRPr="003A0293">
        <w:t xml:space="preserve">changes?  We seek comment on whether information about how, when, and where alerts are being delivered to devices would be beneficial to emergency managers that are evaluating WEA’s effectiveness.  If so, how would emergency managers use this information to improve their emergency operations?  </w:t>
      </w:r>
    </w:p>
    <w:p w:rsidR="009B6017" w:rsidRPr="003A0293" w:rsidP="009B6017" w14:paraId="7C079D07" w14:textId="77777777">
      <w:pPr>
        <w:pStyle w:val="ParaNum"/>
        <w:widowControl/>
      </w:pPr>
      <w:r w:rsidRPr="003A0293">
        <w:t>Should we also require that Participating CMS Providers offer WEA-capable mobile devices that automatically report WEA performance information back to the provider for the sole and limited purpose of being used in performance reports?  If so, what steps would Participating CMS Providers, device manufacturers, and others need to take in order to enable WEA-capable mobile devices to log this information and automatically report it to a provider?  How much time would be necessary to complete those steps?  How should performance reports address WEA-capable mobile devices that are considered to be “end-of-life” and may not be updated with support for performance measurement?  How can the end-to-end performance of WEA be accurately evaluated if a significant portion of WEA-capable devices do not support performance measurement?</w:t>
      </w:r>
    </w:p>
    <w:p w:rsidR="009B6017" w:rsidRPr="003A0293" w:rsidP="009B6017" w14:paraId="4B20103C" w14:textId="77777777">
      <w:pPr>
        <w:pStyle w:val="ParaNum"/>
        <w:widowControl/>
      </w:pPr>
      <w:r w:rsidRPr="003A0293">
        <w:t xml:space="preserve">Are there consumer privacy concerns associated with the automatic reporting of WEA performance information from WEA-capable mobile devices?  The Commission does not anticipate that any personally identifiable information (PII) would be disclosed in WEA performance reports.  Is it necessary for Participating CMS Providers to collect PII </w:t>
      </w:r>
      <w:r>
        <w:t>(</w:t>
      </w:r>
      <w:r>
        <w:rPr>
          <w:i/>
          <w:iCs/>
        </w:rPr>
        <w:t>e.g.</w:t>
      </w:r>
      <w:r>
        <w:t>, precise geolocation)</w:t>
      </w:r>
      <w:r>
        <w:rPr>
          <w:i/>
          <w:iCs/>
        </w:rPr>
        <w:t xml:space="preserve"> </w:t>
      </w:r>
      <w:r w:rsidRPr="003A0293">
        <w:t xml:space="preserve">to compile WEA performance reports?  To the extent that the collection of PII would be necessary to compile WEA performance reports, what steps can be taken to mitigate </w:t>
      </w:r>
      <w:r>
        <w:t>any privacy</w:t>
      </w:r>
      <w:r w:rsidRPr="003A0293">
        <w:t xml:space="preserve"> concerns</w:t>
      </w:r>
      <w:r w:rsidRPr="000B25D0">
        <w:t xml:space="preserve"> </w:t>
      </w:r>
      <w:r>
        <w:t>and ensure the collection of information only as and when necessary to generate WEA performance reports</w:t>
      </w:r>
      <w:r w:rsidRPr="003A0293">
        <w:t xml:space="preserve">?  For example, should we require Participating CMS Providers to obtain consumer opt-in or other form of consent prior to receiving or using WEA information to generate WEA performance reports?  If the Commission requires some form of opt-in or other consent before a Participating CMS Provider may receive or use such information, should that consent be periodically refreshed, and if so, how frequently?  What elements should be required for such consumer consent?  If the logging and reporting of WEA performance information is made automatic, would it be possible to limit such logging and reporting to only consenting consumers?  </w:t>
      </w:r>
      <w:r>
        <w:t xml:space="preserve">To the extent that any mobile device or network changes are necessary to measure WEA’s performance, we seek comment on the extent to which they would implicate consumer privacy. </w:t>
      </w:r>
      <w:r w:rsidRPr="003A0293">
        <w:t>We ask commenters weighing in on privacy considerations to keep in mind the requirements of potentially applicable statutes.</w:t>
      </w:r>
      <w:r>
        <w:rPr>
          <w:vertAlign w:val="superscript"/>
        </w:rPr>
        <w:footnoteReference w:id="63"/>
      </w:r>
    </w:p>
    <w:p w:rsidR="009B6017" w:rsidRPr="003A0293" w:rsidP="009B6017" w14:paraId="281B9D99" w14:textId="77777777">
      <w:pPr>
        <w:pStyle w:val="ParaNum"/>
        <w:widowControl/>
      </w:pPr>
      <w:r w:rsidRPr="003A0293">
        <w:rPr>
          <w:i/>
          <w:iCs/>
        </w:rPr>
        <w:t xml:space="preserve">Costs.  </w:t>
      </w:r>
      <w:r w:rsidRPr="003A0293">
        <w:t xml:space="preserve">The </w:t>
      </w:r>
      <w:r w:rsidRPr="003A0293">
        <w:rPr>
          <w:i/>
          <w:iCs/>
        </w:rPr>
        <w:t xml:space="preserve">2016 WEA R&amp;O and FNPRM </w:t>
      </w:r>
      <w:r w:rsidRPr="003A0293">
        <w:t>sought detailed comment on the costs of WEA performance reporting but the Commission received no comments responsive to this issue.</w:t>
      </w:r>
      <w:r>
        <w:rPr>
          <w:rStyle w:val="FootnoteReference"/>
        </w:rPr>
        <w:footnoteReference w:id="64"/>
      </w:r>
      <w:r w:rsidRPr="003A0293">
        <w:t xml:space="preserve">  We seek </w:t>
      </w:r>
      <w:r w:rsidRPr="003A0293">
        <w:t>comment on the costs associated with Participating CMS Providers’ production of WEA performance reports.  Regarding the cost of reporting WEA performance information to the Commission, the Office of Management and Budget has approved the Commission’s estimate that the total annual cost of compliance with the Commission’s WEA election requirements is $1 million for industry.</w:t>
      </w:r>
      <w:r>
        <w:rPr>
          <w:vertAlign w:val="superscript"/>
        </w:rPr>
        <w:footnoteReference w:id="65"/>
      </w:r>
      <w:r w:rsidRPr="003A0293">
        <w:t xml:space="preserve">  This figure represents the total effort required by Participating CMS Providers to assess the extent of their readiness to participate in WEA and report such to new and existing subscribers and the Commission.  We seek comment on whether this figure is a reasonable cost ceiling for CMS Providers to generate and submit WEA performance tests because both lines of effort entail reporting and analysis of WEA-related network infrastructure.  Alternatively, we seek comment on whether the cost to establish and report on the results of E911 location accuracy testing would be a more accurate analog to the cost of reporting on WEA’s performance.</w:t>
      </w:r>
      <w:r>
        <w:rPr>
          <w:rStyle w:val="FootnoteReference"/>
        </w:rPr>
        <w:footnoteReference w:id="66"/>
      </w:r>
      <w:r w:rsidRPr="003A0293">
        <w:t xml:space="preserve">  In addition to the cost of reporting, we seek comment on whether standards revisions or software and firmware updates to CMS network equipment and mobile devices may be necessary to log WEA performance data.  In the 2016 </w:t>
      </w:r>
      <w:r w:rsidRPr="003A0293">
        <w:rPr>
          <w:i/>
          <w:iCs/>
        </w:rPr>
        <w:t>WEA R&amp;O and FNPRM</w:t>
      </w:r>
      <w:r w:rsidRPr="003A0293">
        <w:t>, the Commission concluded that the maximum reasonable cost of compliance with the new WEA requirements proposed at the time that entailed standards and software revisions (</w:t>
      </w:r>
      <w:r w:rsidRPr="003A0293">
        <w:rPr>
          <w:i/>
          <w:iCs/>
        </w:rPr>
        <w:t>e.g.</w:t>
      </w:r>
      <w:r w:rsidRPr="003A0293">
        <w:t>, an expanded alert message character limit and support for Spanish-language alerts) was approximately $40 million as a one-time cost.</w:t>
      </w:r>
      <w:r>
        <w:rPr>
          <w:vertAlign w:val="superscript"/>
        </w:rPr>
        <w:footnoteReference w:id="67"/>
      </w:r>
      <w:r w:rsidRPr="003A0293">
        <w:t xml:space="preserve">  We seek comment on whether this figure is a reasonable ceiling for the cost of revising the standards, software, and firmware necessary to enable Participating CMS Providers to log WEA performance data.</w:t>
      </w:r>
      <w:r>
        <w:rPr>
          <w:vertAlign w:val="superscript"/>
        </w:rPr>
        <w:footnoteReference w:id="68"/>
      </w:r>
      <w:r w:rsidRPr="003A0293">
        <w:t xml:space="preserve">  In the event that Participating CMS Providers were to facilitate automatic logging and reporting of information from WEA devices, what would be the associated initial development and ongoing maintenance costs?  We also seek comment on the effect of our proposals on the level of participation in WEA.</w:t>
      </w:r>
    </w:p>
    <w:p w:rsidR="009B6017" w:rsidRPr="003A0293" w:rsidP="009B6017" w14:paraId="4679BB37" w14:textId="77777777">
      <w:pPr>
        <w:pStyle w:val="ParaNum"/>
        <w:widowControl/>
      </w:pPr>
      <w:r w:rsidRPr="003A0293">
        <w:t xml:space="preserve">In addition, we seek comment on measures that the Commission could take to limit the burden of WEA performance reporting.  We seek comment on the extent to which the Commission could limit the overall economic impact of WEA performance reporting by providing increased flexibility for businesses identified as small by the Small Business Administration or by limiting the applicability of the requirement to only three nationwide CMS Providers.  How might the scope of this limitation be adjusted in the event that additional CMS Providers offer nationwide service at a future date? </w:t>
      </w:r>
    </w:p>
    <w:p w:rsidR="009B6017" w:rsidRPr="003A0293" w:rsidP="009B6017" w14:paraId="47101581" w14:textId="77777777">
      <w:pPr>
        <w:pStyle w:val="ParaNum"/>
        <w:widowControl/>
      </w:pPr>
      <w:r w:rsidRPr="003A0293">
        <w:rPr>
          <w:i/>
          <w:iCs/>
        </w:rPr>
        <w:t xml:space="preserve">Benefits.  </w:t>
      </w:r>
      <w:r w:rsidRPr="003A0293">
        <w:t xml:space="preserve">We seek comment on the extent to which the availability of empirical data on WEA’s reliability, speed, and accuracy would promote emergency managers’ use of WEA during circumstances where it could be used as life-saving tool and promote public confidence in WEA.  </w:t>
      </w:r>
      <w:r w:rsidRPr="008741A6">
        <w:t>We seek additional comment on other benefits from WEA performance reporting.</w:t>
      </w:r>
      <w:r>
        <w:t xml:space="preserve"> </w:t>
      </w:r>
      <w:r w:rsidRPr="008741A6">
        <w:t xml:space="preserve"> Would consumers</w:t>
      </w:r>
      <w:r>
        <w:t>’ choice of providers incentivize</w:t>
      </w:r>
      <w:r w:rsidRPr="008741A6">
        <w:t xml:space="preserve"> additional carriers</w:t>
      </w:r>
      <w:r>
        <w:t xml:space="preserve"> to</w:t>
      </w:r>
      <w:r w:rsidRPr="008741A6">
        <w:t xml:space="preserve"> participate in the program?</w:t>
      </w:r>
      <w:r>
        <w:t xml:space="preserve"> </w:t>
      </w:r>
      <w:r w:rsidRPr="008741A6">
        <w:t xml:space="preserve"> How would Participating CMS Providers, emergency managers, and the public benefit?</w:t>
      </w:r>
      <w:r>
        <w:t xml:space="preserve"> </w:t>
      </w:r>
      <w:r w:rsidRPr="008741A6">
        <w:t xml:space="preserve"> What publicly-available information and data should the </w:t>
      </w:r>
      <w:r>
        <w:t>Commission</w:t>
      </w:r>
      <w:r w:rsidRPr="008741A6">
        <w:t xml:space="preserve"> review in order to perform a proper cost-benefit analysis, and how can the Commission best evaluate the corresponding benefits? </w:t>
      </w:r>
      <w:r>
        <w:t xml:space="preserve"> </w:t>
      </w:r>
      <w:r w:rsidRPr="003A0293">
        <w:t xml:space="preserve">We seek comment on any measures that the Commission could take to augment the value of WEA performance reports for emergency management </w:t>
      </w:r>
      <w:r w:rsidRPr="003A0293">
        <w:t xml:space="preserve">agencies and the public.  </w:t>
      </w:r>
      <w:r>
        <w:t>We seek comment on whether the benefits of WEA performance reporting would outweigh the costs.</w:t>
      </w:r>
      <w:r>
        <w:rPr>
          <w:rStyle w:val="FootnoteReference"/>
        </w:rPr>
        <w:footnoteReference w:id="69"/>
      </w:r>
    </w:p>
    <w:p w:rsidR="009B6017" w:rsidRPr="00B26C9E" w:rsidP="009B6017" w14:paraId="4F15DE9D" w14:textId="77777777">
      <w:pPr>
        <w:pStyle w:val="Heading2"/>
      </w:pPr>
      <w:r w:rsidRPr="00B26C9E">
        <w:t>Further Improvements to WEA</w:t>
      </w:r>
    </w:p>
    <w:p w:rsidR="009B6017" w:rsidRPr="003A0293" w:rsidP="009B6017" w14:paraId="150A0454" w14:textId="77777777">
      <w:pPr>
        <w:pStyle w:val="ParaNum"/>
        <w:widowControl/>
        <w:tabs>
          <w:tab w:val="left" w:pos="1440"/>
        </w:tabs>
        <w:rPr>
          <w:snapToGrid/>
          <w:kern w:val="0"/>
          <w:sz w:val="24"/>
          <w:szCs w:val="24"/>
        </w:rPr>
      </w:pPr>
      <w:r w:rsidRPr="003A0293">
        <w:t>We seek comment on ways in which we can further improve WEA’s consistency and the pace at which messages are received, based on findings from the 2021 nationwide WEA test.</w:t>
      </w:r>
      <w:r>
        <w:rPr>
          <w:rStyle w:val="FootnoteReference"/>
        </w:rPr>
        <w:footnoteReference w:id="70"/>
      </w:r>
      <w:r w:rsidRPr="003A0293">
        <w:t xml:space="preserve">  While performance during the 2021 nationwide test demonstrated that, on the whole, WEA generally is performing well, the test results also showed there is room to make WEA more consistently effective. </w:t>
      </w:r>
    </w:p>
    <w:p w:rsidR="009B6017" w:rsidRPr="003A0293" w:rsidP="009B6017" w14:paraId="3C54D572" w14:textId="77777777">
      <w:pPr>
        <w:pStyle w:val="ParaNum"/>
        <w:widowControl/>
        <w:rPr>
          <w:snapToGrid/>
          <w:kern w:val="0"/>
          <w:sz w:val="24"/>
          <w:szCs w:val="24"/>
        </w:rPr>
      </w:pPr>
      <w:r w:rsidRPr="003A0293">
        <w:t>The Commission does not require Participating CMS Providers to deliver WEA alerts to the public with a particular consistency or within a particular timeframe from when they receive it from the IPAWS gateway.  Ten percent of WEA-capable mobile devices within the target area that had opted in to receive the nationwide WEA test nonetheless did not receive it.</w:t>
      </w:r>
      <w:r>
        <w:rPr>
          <w:rStyle w:val="FootnoteReference"/>
        </w:rPr>
        <w:footnoteReference w:id="71"/>
      </w:r>
      <w:r w:rsidRPr="003A0293">
        <w:t xml:space="preserve">  Participating CMS Providers’ responses to the nationwide WEA test, illustrate how WEA alerts currently transit the nationwide CMS Providers’ networks from the alert gateway to the cell site, and how long each step in that process takes.</w:t>
      </w:r>
      <w:r>
        <w:rPr>
          <w:rStyle w:val="FootnoteReference"/>
        </w:rPr>
        <w:footnoteReference w:id="72"/>
      </w:r>
      <w:r w:rsidRPr="003A0293">
        <w:t xml:space="preserve">  Based on responses to the Commission’s nationwide WEA test survey, at least half of the WEA-capable mobile devices that received the nationwide WEA test received it within two minutes of FEMA’s transmission.</w:t>
      </w:r>
      <w:r>
        <w:rPr>
          <w:rStyle w:val="FootnoteReference"/>
        </w:rPr>
        <w:footnoteReference w:id="73"/>
      </w:r>
      <w:r w:rsidRPr="003A0293">
        <w:t xml:space="preserve">  </w:t>
      </w:r>
    </w:p>
    <w:p w:rsidR="009B6017" w:rsidRPr="003A0293" w:rsidP="009B6017" w14:paraId="1D8D4278" w14:textId="77777777">
      <w:pPr>
        <w:pStyle w:val="ParaNum"/>
        <w:widowControl/>
        <w:rPr>
          <w:snapToGrid/>
          <w:kern w:val="0"/>
          <w:sz w:val="24"/>
          <w:szCs w:val="24"/>
        </w:rPr>
      </w:pPr>
      <w:r w:rsidRPr="003A0293">
        <w:t>To help inform the Commission’s approach, including in connection with the proposals above, we seek comment on measures Participating CMS Providers could take to improve WEA’s consistency and the rate at which alerts are received.  We seek comment on the extent to which Participating CMS Providers include network extenders, repeaters, and in-building microcells among the network components that are eligible to transmit WEA alerts as a means of ensuring that as many wireless subscribers within the targeted area as possible receive alerts intended for them.</w:t>
      </w:r>
      <w:r>
        <w:rPr>
          <w:vertAlign w:val="superscript"/>
        </w:rPr>
        <w:footnoteReference w:id="74"/>
      </w:r>
      <w:r w:rsidRPr="003A0293">
        <w:t xml:space="preserve">  We seek comment on whether Participating CMS Providers could make WEA both faster and more effective by increasing the periodicity with which their cell broadcast facilities retransmit WEA alerts and the periodicity with which mobile devices in motion check to determine whether they are within the target area.</w:t>
      </w:r>
      <w:r>
        <w:rPr>
          <w:vertAlign w:val="superscript"/>
        </w:rPr>
        <w:footnoteReference w:id="75"/>
      </w:r>
      <w:r w:rsidRPr="003A0293">
        <w:t xml:space="preserve">  Would the latter significantly impact device performance or battery life? Are there technical impediments to either action? </w:t>
      </w:r>
      <w:r w:rsidRPr="003A0293">
        <w:t>Does the geographic scope of the alert have any bearing on the speed with which the alert is delivered?  To what extent should the Commission expect that WEAs will be delivered faster during non-nationwide activations?  To what extent do Participating CMS Providers follow network reliability and security best practices identified by the Communications Security, Reliability and Interoperability Council (CSRIC) that are relevant to WEA’s effectiveness?</w:t>
      </w:r>
      <w:r>
        <w:rPr>
          <w:rStyle w:val="FootnoteReference"/>
        </w:rPr>
        <w:footnoteReference w:id="76"/>
      </w:r>
      <w:r w:rsidRPr="003A0293">
        <w:t xml:space="preserve"> </w:t>
      </w:r>
    </w:p>
    <w:p w:rsidR="009B6017" w:rsidRPr="003A0293" w:rsidP="009B6017" w14:paraId="4F3BB715" w14:textId="77777777">
      <w:pPr>
        <w:pStyle w:val="ParaNum"/>
        <w:widowControl/>
      </w:pPr>
      <w:r w:rsidRPr="003A0293">
        <w:t>We seek comment on whether there are steps that Participating CMS Providers can take to prevent the incidence of unintentional duplicate alerts that the Commission observed during the 2021 nationwide WEA test.  While some duplicate alerts may have been attributable to a specific software failure in a Participating CMS Provider’s network, many were not.</w:t>
      </w:r>
      <w:r>
        <w:rPr>
          <w:rStyle w:val="FootnoteReference"/>
        </w:rPr>
        <w:footnoteReference w:id="77"/>
      </w:r>
      <w:r w:rsidRPr="003A0293">
        <w:t xml:space="preserve">  To what extent do all WEA-capable mobile devices use both a unique alert message identifier and a CMS Provider-specific serial number to suppress the presentation of duplicate alerts?</w:t>
      </w:r>
      <w:r>
        <w:rPr>
          <w:rStyle w:val="FootnoteReference"/>
        </w:rPr>
        <w:footnoteReference w:id="78"/>
      </w:r>
      <w:r w:rsidRPr="003A0293">
        <w:t xml:space="preserve">  To what extent are some WEA-capable mobile devices programmed to present the WEA vibration cadence and attention signal an second time if the alert is not acknowledged by the user within a specified timeframe?</w:t>
      </w:r>
    </w:p>
    <w:p w:rsidR="009B6017" w:rsidRPr="003A0293" w:rsidP="009B6017" w14:paraId="40EB7107" w14:textId="77777777">
      <w:pPr>
        <w:pStyle w:val="ParaNum"/>
        <w:widowControl/>
      </w:pPr>
      <w:r w:rsidRPr="003A0293">
        <w:t>We seek comment on the extent to which MVNOs, mobile satellite service providers, or other wireless providers deliver WEA alerts to their subscribers, notwithstanding the fact that they have not elected to participate in WEA.  Do MVNOs or other wireless providers receive WEA alerts directly from FEMA IPAWS?  If not, where do they receive WEA alerts?  On what factors does an MVNO’s ability to serve their subscribers with WEA alerts depend?  We seek comment on whether all wireless service providers that serve their subscribers with WEA alerts should formally elect to participate in WEA, or take other steps to notify their subscribers that they can expect to receive WEA alerts on their networks.</w:t>
      </w:r>
    </w:p>
    <w:p w:rsidR="009B6017" w:rsidRPr="003A0293" w:rsidP="009B6017" w14:paraId="235BEF90" w14:textId="77777777">
      <w:pPr>
        <w:pStyle w:val="ParaNum"/>
        <w:widowControl/>
      </w:pPr>
      <w:r w:rsidRPr="003A0293">
        <w:t>The Commission, as part of its continuing effort to advance digital equity for all,</w:t>
      </w:r>
      <w:r>
        <w:rPr>
          <w:vertAlign w:val="superscript"/>
        </w:rPr>
        <w:footnoteReference w:id="79"/>
      </w:r>
      <w:r w:rsidRPr="003A0293">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vertAlign w:val="superscript"/>
        </w:rPr>
        <w:footnoteReference w:id="80"/>
      </w:r>
      <w:r w:rsidRPr="003A0293">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9B6017" w:rsidRPr="003A0293" w:rsidP="007F0195" w14:paraId="19022EDF" w14:textId="77777777">
      <w:pPr>
        <w:pStyle w:val="Heading1"/>
        <w:numPr>
          <w:ilvl w:val="0"/>
          <w:numId w:val="3"/>
        </w:numPr>
      </w:pPr>
      <w:bookmarkStart w:id="10" w:name="_Toc460426315"/>
      <w:bookmarkStart w:id="11" w:name="_Toc460924069"/>
      <w:bookmarkStart w:id="12" w:name="_Toc460943103"/>
      <w:bookmarkStart w:id="13" w:name="_Toc462781358"/>
      <w:bookmarkStart w:id="14" w:name="_Toc462917222"/>
      <w:bookmarkStart w:id="15" w:name="_Toc496822997"/>
      <w:bookmarkStart w:id="16" w:name="_Toc498024449"/>
      <w:bookmarkStart w:id="17" w:name="_Toc498024668"/>
      <w:bookmarkStart w:id="18" w:name="_Toc498024818"/>
      <w:bookmarkStart w:id="19" w:name="_Toc499824570"/>
      <w:bookmarkStart w:id="20" w:name="_Toc499907864"/>
      <w:bookmarkStart w:id="21" w:name="_Toc501007092"/>
      <w:bookmarkStart w:id="22" w:name="_Toc501384689"/>
      <w:bookmarkStart w:id="23" w:name="_Toc501543825"/>
      <w:bookmarkStart w:id="24" w:name="_Toc502848666"/>
      <w:bookmarkStart w:id="25" w:name="_Toc503173182"/>
      <w:bookmarkStart w:id="26" w:name="_Toc99488449"/>
      <w:r w:rsidRPr="003A0293">
        <w:t>Procedural Matters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9B6017" w:rsidRPr="003A0293" w:rsidP="009B6017" w14:paraId="03CCE666" w14:textId="77777777">
      <w:pPr>
        <w:pStyle w:val="Heading2"/>
      </w:pPr>
      <w:bookmarkStart w:id="27" w:name="_Toc338410305"/>
      <w:bookmarkStart w:id="28" w:name="_Toc338664689"/>
      <w:bookmarkStart w:id="29" w:name="_Toc338664843"/>
      <w:bookmarkStart w:id="30" w:name="_Toc338664961"/>
      <w:bookmarkStart w:id="31" w:name="_Toc339542900"/>
      <w:bookmarkStart w:id="32" w:name="_Toc339543055"/>
      <w:bookmarkStart w:id="33" w:name="_Toc340591469"/>
      <w:bookmarkStart w:id="34" w:name="_Toc340846927"/>
      <w:bookmarkStart w:id="35" w:name="_Toc340847662"/>
      <w:bookmarkStart w:id="36" w:name="_Toc349837066"/>
      <w:bookmarkStart w:id="37" w:name="_Toc350414965"/>
      <w:bookmarkStart w:id="38" w:name="_Toc350430179"/>
      <w:bookmarkStart w:id="39" w:name="_Toc350430290"/>
      <w:bookmarkStart w:id="40" w:name="_Toc353355774"/>
      <w:bookmarkStart w:id="41" w:name="_Toc353357322"/>
      <w:bookmarkStart w:id="42" w:name="_Toc353363776"/>
      <w:bookmarkStart w:id="43" w:name="_Toc353366110"/>
      <w:bookmarkStart w:id="44" w:name="_Toc353540488"/>
      <w:bookmarkStart w:id="45" w:name="_Toc354054819"/>
      <w:bookmarkStart w:id="46" w:name="_Toc355791219"/>
      <w:bookmarkStart w:id="47" w:name="_Toc376876238"/>
      <w:bookmarkStart w:id="48" w:name="_Toc377047229"/>
      <w:bookmarkStart w:id="49" w:name="_Toc377047393"/>
      <w:bookmarkStart w:id="50" w:name="_Toc378343143"/>
      <w:bookmarkStart w:id="51" w:name="_Toc378870717"/>
      <w:bookmarkStart w:id="52" w:name="_Toc378870778"/>
      <w:bookmarkStart w:id="53" w:name="_Toc391281502"/>
      <w:bookmarkStart w:id="54" w:name="_Toc391283261"/>
      <w:bookmarkStart w:id="55" w:name="_Toc391554778"/>
      <w:bookmarkStart w:id="56" w:name="_Toc391977815"/>
      <w:bookmarkStart w:id="57" w:name="_Toc391992889"/>
      <w:bookmarkStart w:id="58" w:name="_Toc392090150"/>
      <w:bookmarkStart w:id="59" w:name="_Toc392166791"/>
      <w:bookmarkStart w:id="60" w:name="_Toc392585469"/>
      <w:bookmarkStart w:id="61" w:name="_Toc393124513"/>
      <w:bookmarkStart w:id="62" w:name="_Toc393719140"/>
      <w:bookmarkStart w:id="63" w:name="_Toc395277286"/>
      <w:bookmarkStart w:id="64" w:name="_Toc399837491"/>
      <w:bookmarkStart w:id="65" w:name="_Toc399837641"/>
      <w:bookmarkStart w:id="66" w:name="_Toc399862321"/>
      <w:bookmarkStart w:id="67" w:name="_Toc400456268"/>
      <w:bookmarkStart w:id="68" w:name="_Toc400636978"/>
      <w:bookmarkStart w:id="69" w:name="_Toc400714750"/>
      <w:bookmarkStart w:id="70" w:name="_Toc401307889"/>
      <w:bookmarkStart w:id="71" w:name="_Toc401326466"/>
      <w:bookmarkStart w:id="72" w:name="_Toc401661685"/>
      <w:bookmarkStart w:id="73" w:name="_Toc401746844"/>
      <w:bookmarkStart w:id="74" w:name="_Toc402432898"/>
      <w:bookmarkStart w:id="75" w:name="_Toc402517654"/>
      <w:bookmarkStart w:id="76" w:name="_Toc402517816"/>
      <w:bookmarkStart w:id="77" w:name="_Toc403412696"/>
      <w:bookmarkStart w:id="78" w:name="_Toc403552177"/>
      <w:bookmarkStart w:id="79" w:name="_Toc403827545"/>
      <w:bookmarkStart w:id="80" w:name="_Toc403978173"/>
      <w:bookmarkStart w:id="81" w:name="_Toc407699130"/>
      <w:bookmarkStart w:id="82" w:name="_Toc407701793"/>
      <w:bookmarkStart w:id="83" w:name="_Toc445200403"/>
      <w:bookmarkStart w:id="84" w:name="_Toc445288674"/>
      <w:bookmarkStart w:id="85" w:name="_Toc447029893"/>
      <w:bookmarkStart w:id="86" w:name="_Toc447121571"/>
      <w:bookmarkStart w:id="87" w:name="_Toc447890507"/>
      <w:bookmarkStart w:id="88" w:name="_Toc448326094"/>
      <w:bookmarkStart w:id="89" w:name="_Toc448421309"/>
      <w:bookmarkStart w:id="90" w:name="_Toc450726730"/>
      <w:bookmarkStart w:id="91" w:name="_Toc455148097"/>
      <w:bookmarkStart w:id="92" w:name="_Toc456885105"/>
      <w:bookmarkStart w:id="93" w:name="_Toc456900768"/>
      <w:bookmarkStart w:id="94" w:name="_Toc457080430"/>
      <w:bookmarkStart w:id="95" w:name="_Toc457234780"/>
      <w:bookmarkStart w:id="96" w:name="_Toc457489826"/>
      <w:bookmarkStart w:id="97" w:name="_Toc457576629"/>
      <w:bookmarkStart w:id="98" w:name="_Toc457577520"/>
      <w:bookmarkStart w:id="99" w:name="_Toc457843281"/>
      <w:bookmarkStart w:id="100" w:name="_Toc457927184"/>
      <w:bookmarkStart w:id="101" w:name="_Toc458003456"/>
      <w:bookmarkStart w:id="102" w:name="_Toc459387108"/>
      <w:bookmarkStart w:id="103" w:name="_Toc459738071"/>
      <w:bookmarkStart w:id="104" w:name="_Toc459805996"/>
      <w:bookmarkStart w:id="105" w:name="_Toc460426316"/>
      <w:bookmarkStart w:id="106" w:name="_Toc460924070"/>
      <w:bookmarkStart w:id="107" w:name="_Toc460943104"/>
      <w:bookmarkStart w:id="108" w:name="_Toc462781359"/>
      <w:bookmarkStart w:id="109" w:name="_Toc462917223"/>
      <w:bookmarkStart w:id="110" w:name="_Toc99488450"/>
      <w:r w:rsidRPr="003A0293">
        <w:t>Accessible Formats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9B6017" w:rsidRPr="003A0293" w:rsidP="009B6017" w14:paraId="66AF922C" w14:textId="77777777">
      <w:pPr>
        <w:pStyle w:val="ParaNum"/>
        <w:widowControl/>
      </w:pPr>
      <w:r w:rsidRPr="003A0293">
        <w:t>To request materials in accessible formats for people with disabilities (braille, large print, electronic files, audio format), send an e-mail to fcc504@fcc.gov or call the Consumer &amp; Governmental Affairs Bureau at 202-418-0530 (voice), 202-418-0432 (TTY).</w:t>
      </w:r>
    </w:p>
    <w:p w:rsidR="009B6017" w:rsidRPr="003A0293" w:rsidP="009B6017" w14:paraId="788787E2" w14:textId="77777777">
      <w:pPr>
        <w:pStyle w:val="Heading2"/>
      </w:pPr>
      <w:bookmarkStart w:id="111" w:name="_Toc378863295"/>
      <w:bookmarkStart w:id="112" w:name="_Toc378868612"/>
      <w:bookmarkStart w:id="113" w:name="_Toc379787522"/>
      <w:bookmarkStart w:id="114" w:name="_Toc379902604"/>
      <w:bookmarkStart w:id="115" w:name="_Toc379903290"/>
      <w:bookmarkStart w:id="116" w:name="_Toc379907069"/>
      <w:bookmarkStart w:id="117" w:name="_Toc380482110"/>
      <w:bookmarkStart w:id="118" w:name="_Toc380483103"/>
      <w:bookmarkStart w:id="119" w:name="_Toc380569176"/>
      <w:bookmarkStart w:id="120" w:name="_Toc380580364"/>
      <w:bookmarkStart w:id="121" w:name="_Toc380581432"/>
      <w:bookmarkStart w:id="122" w:name="_Toc380584422"/>
      <w:bookmarkStart w:id="123" w:name="_Toc380673900"/>
      <w:bookmarkStart w:id="124" w:name="_Toc383514779"/>
      <w:bookmarkStart w:id="125" w:name="_Toc384814352"/>
      <w:bookmarkStart w:id="126" w:name="_Toc384814431"/>
      <w:bookmarkStart w:id="127" w:name="_Toc384814865"/>
      <w:bookmarkStart w:id="128" w:name="_Toc384817907"/>
      <w:bookmarkStart w:id="129" w:name="_Toc387054611"/>
      <w:bookmarkStart w:id="130" w:name="_Toc387154757"/>
      <w:bookmarkStart w:id="131" w:name="_Toc387155782"/>
      <w:bookmarkStart w:id="132" w:name="_Toc387222346"/>
      <w:bookmarkStart w:id="133" w:name="_Toc416948211"/>
      <w:bookmarkStart w:id="134" w:name="_Toc416953268"/>
      <w:bookmarkStart w:id="135" w:name="_Toc417049394"/>
      <w:bookmarkStart w:id="136" w:name="_Toc417049526"/>
      <w:bookmarkStart w:id="137" w:name="_Toc417052026"/>
      <w:bookmarkStart w:id="138" w:name="_Toc417571488"/>
      <w:bookmarkStart w:id="139" w:name="_Toc417571656"/>
      <w:bookmarkStart w:id="140" w:name="_Toc417571760"/>
      <w:bookmarkStart w:id="141" w:name="_Toc417571849"/>
      <w:bookmarkStart w:id="142" w:name="_Toc417571960"/>
      <w:bookmarkStart w:id="143" w:name="_Toc417572015"/>
      <w:bookmarkStart w:id="144" w:name="_Toc417654855"/>
      <w:bookmarkStart w:id="145" w:name="_Toc418178674"/>
      <w:bookmarkStart w:id="146" w:name="_Toc418178784"/>
      <w:bookmarkStart w:id="147" w:name="_Toc418239081"/>
      <w:bookmarkStart w:id="148" w:name="_Toc418861061"/>
      <w:bookmarkStart w:id="149" w:name="_Toc418861129"/>
      <w:bookmarkStart w:id="150" w:name="_Toc419106291"/>
      <w:bookmarkStart w:id="151" w:name="_Toc419106332"/>
      <w:bookmarkStart w:id="152" w:name="_Toc419106393"/>
      <w:bookmarkStart w:id="153" w:name="_Toc419458991"/>
      <w:bookmarkStart w:id="154" w:name="_Toc419466194"/>
      <w:bookmarkStart w:id="155" w:name="_Toc419734064"/>
      <w:bookmarkStart w:id="156" w:name="_Toc420570510"/>
      <w:bookmarkStart w:id="157" w:name="_Toc420670768"/>
      <w:bookmarkStart w:id="158" w:name="_Toc421607788"/>
      <w:bookmarkStart w:id="159" w:name="_Toc421608008"/>
      <w:bookmarkStart w:id="160" w:name="_Toc421608180"/>
      <w:bookmarkStart w:id="161" w:name="_Toc421634226"/>
      <w:bookmarkStart w:id="162" w:name="_Toc421718437"/>
      <w:bookmarkStart w:id="163" w:name="_Toc421874070"/>
      <w:bookmarkStart w:id="164" w:name="_Toc422316758"/>
      <w:bookmarkStart w:id="165" w:name="_Toc422477879"/>
      <w:bookmarkStart w:id="166" w:name="_Toc422497551"/>
      <w:bookmarkStart w:id="167" w:name="_Toc422777746"/>
      <w:bookmarkStart w:id="168" w:name="_Toc423010412"/>
      <w:bookmarkStart w:id="169" w:name="_Toc425353396"/>
      <w:bookmarkStart w:id="170" w:name="_Toc425353516"/>
      <w:bookmarkStart w:id="171" w:name="_Toc425841297"/>
      <w:bookmarkStart w:id="172" w:name="_Toc425841481"/>
      <w:bookmarkStart w:id="173" w:name="_Toc431203045"/>
      <w:bookmarkStart w:id="174" w:name="_Toc431387647"/>
      <w:bookmarkStart w:id="175" w:name="_Toc431389383"/>
      <w:bookmarkStart w:id="176" w:name="_Toc431389855"/>
      <w:bookmarkStart w:id="177" w:name="_Toc432670393"/>
      <w:bookmarkStart w:id="178" w:name="_Toc433887289"/>
      <w:bookmarkStart w:id="179" w:name="_Toc435443182"/>
      <w:bookmarkStart w:id="180" w:name="_Toc435603230"/>
      <w:bookmarkStart w:id="181" w:name="_Toc99488451"/>
      <w:r w:rsidRPr="003A0293">
        <w:t xml:space="preserve">Ex </w:t>
      </w:r>
      <w:r w:rsidRPr="003A0293">
        <w:t>Parte</w:t>
      </w:r>
      <w:r w:rsidRPr="003A0293">
        <w:t xml:space="preserve"> Rules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9B6017" w:rsidRPr="003A0293" w:rsidP="009B6017" w14:paraId="0274EA82" w14:textId="77777777">
      <w:pPr>
        <w:pStyle w:val="ParaNum"/>
        <w:widowControl/>
      </w:pPr>
      <w:r w:rsidRPr="003A0293">
        <w:t xml:space="preserve">The proceeding this </w:t>
      </w:r>
      <w:r w:rsidRPr="003A0293">
        <w:rPr>
          <w:i/>
          <w:iCs/>
        </w:rPr>
        <w:t>Further Notice</w:t>
      </w:r>
      <w:r w:rsidRPr="003A0293">
        <w:rPr>
          <w:szCs w:val="22"/>
        </w:rPr>
        <w:t xml:space="preserve"> </w:t>
      </w:r>
      <w:r w:rsidRPr="003A0293">
        <w:rPr>
          <w:i/>
          <w:iCs/>
        </w:rPr>
        <w:t xml:space="preserve">of Proposed Rulemaking </w:t>
      </w:r>
      <w:r w:rsidRPr="003A0293">
        <w:t xml:space="preserve">initiates shall be treated as a </w:t>
      </w:r>
      <w:r w:rsidRPr="003A0293">
        <w:rPr>
          <w:szCs w:val="22"/>
        </w:rPr>
        <w:t>“</w:t>
      </w:r>
      <w:r w:rsidRPr="003A0293">
        <w:t xml:space="preserve">permit-but-disclose” proceeding in accordance with the Commission’s </w:t>
      </w:r>
      <w:r w:rsidRPr="003A0293">
        <w:rPr>
          <w:i/>
          <w:iCs/>
        </w:rPr>
        <w:t xml:space="preserve">ex </w:t>
      </w:r>
      <w:r w:rsidRPr="003A0293">
        <w:rPr>
          <w:i/>
          <w:iCs/>
        </w:rPr>
        <w:t>parte</w:t>
      </w:r>
      <w:r w:rsidRPr="003A0293">
        <w:rPr>
          <w:i/>
          <w:iCs/>
        </w:rPr>
        <w:t xml:space="preserve"> </w:t>
      </w:r>
      <w:r w:rsidRPr="003A0293">
        <w:t>rules.</w:t>
      </w:r>
      <w:r>
        <w:rPr>
          <w:vertAlign w:val="superscript"/>
        </w:rPr>
        <w:footnoteReference w:id="81"/>
      </w:r>
      <w:r w:rsidRPr="003A0293">
        <w:t xml:space="preserve">  Persons making </w:t>
      </w:r>
      <w:r w:rsidRPr="003A0293">
        <w:rPr>
          <w:i/>
          <w:iCs/>
        </w:rPr>
        <w:t xml:space="preserve">ex </w:t>
      </w:r>
      <w:r w:rsidRPr="003A0293">
        <w:rPr>
          <w:i/>
          <w:iCs/>
        </w:rPr>
        <w:t>parte</w:t>
      </w:r>
      <w:r w:rsidRPr="003A0293">
        <w:rPr>
          <w:i/>
          <w:iCs/>
        </w:rPr>
        <w:t xml:space="preserve"> </w:t>
      </w:r>
      <w:r w:rsidRPr="003A0293">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A0293">
        <w:rPr>
          <w:i/>
          <w:iCs/>
        </w:rPr>
        <w:t xml:space="preserve">ex </w:t>
      </w:r>
      <w:r w:rsidRPr="003A0293">
        <w:rPr>
          <w:i/>
          <w:iCs/>
        </w:rPr>
        <w:t>parte</w:t>
      </w:r>
      <w:r w:rsidRPr="003A0293">
        <w:rPr>
          <w:i/>
          <w:iCs/>
        </w:rPr>
        <w:t xml:space="preserve"> </w:t>
      </w:r>
      <w:r w:rsidRPr="003A0293">
        <w:t xml:space="preserve">presentations are reminded that memoranda summarizing the presentation must: (1) list all persons attending or otherwise participating in the meeting at which the </w:t>
      </w:r>
      <w:r w:rsidRPr="003A0293">
        <w:rPr>
          <w:i/>
          <w:iCs/>
        </w:rPr>
        <w:t xml:space="preserve">ex </w:t>
      </w:r>
      <w:r w:rsidRPr="003A0293">
        <w:rPr>
          <w:i/>
          <w:iCs/>
        </w:rPr>
        <w:t>parte</w:t>
      </w:r>
      <w:r w:rsidRPr="003A0293">
        <w:rPr>
          <w:i/>
          <w:iCs/>
        </w:rPr>
        <w:t xml:space="preserve"> </w:t>
      </w:r>
      <w:r w:rsidRPr="003A0293">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A0293">
        <w:rPr>
          <w:i/>
          <w:iCs/>
        </w:rPr>
        <w:t xml:space="preserve">ex </w:t>
      </w:r>
      <w:r w:rsidRPr="003A0293">
        <w:rPr>
          <w:i/>
          <w:iCs/>
        </w:rPr>
        <w:t>parte</w:t>
      </w:r>
      <w:r w:rsidRPr="003A0293">
        <w:rPr>
          <w:i/>
          <w:iCs/>
        </w:rPr>
        <w:t xml:space="preserve"> </w:t>
      </w:r>
      <w:r w:rsidRPr="003A0293">
        <w:t xml:space="preserve">meetings are deemed to be written </w:t>
      </w:r>
      <w:r w:rsidRPr="003A0293">
        <w:rPr>
          <w:i/>
          <w:iCs/>
        </w:rPr>
        <w:t xml:space="preserve">ex </w:t>
      </w:r>
      <w:r w:rsidRPr="003A0293">
        <w:rPr>
          <w:i/>
          <w:iCs/>
        </w:rPr>
        <w:t>parte</w:t>
      </w:r>
      <w:r w:rsidRPr="003A0293">
        <w:t xml:space="preserve"> presentations and must be filed consistent with rule 1.1206(b).  In proceedings governed by rule 1.49(f) or for which the Commission has made available a method of electronic filing, written </w:t>
      </w:r>
      <w:r w:rsidRPr="003A0293">
        <w:rPr>
          <w:i/>
          <w:iCs/>
        </w:rPr>
        <w:t xml:space="preserve">ex </w:t>
      </w:r>
      <w:r w:rsidRPr="003A0293">
        <w:rPr>
          <w:i/>
          <w:iCs/>
        </w:rPr>
        <w:t>parte</w:t>
      </w:r>
      <w:r w:rsidRPr="003A0293">
        <w:rPr>
          <w:i/>
          <w:iCs/>
        </w:rPr>
        <w:t xml:space="preserve"> </w:t>
      </w:r>
      <w:r w:rsidRPr="003A0293">
        <w:t xml:space="preserve">presentations and memoranda summarizing oral </w:t>
      </w:r>
      <w:r w:rsidRPr="003A0293">
        <w:rPr>
          <w:i/>
          <w:iCs/>
        </w:rPr>
        <w:t xml:space="preserve">ex </w:t>
      </w:r>
      <w:r w:rsidRPr="003A0293">
        <w:rPr>
          <w:i/>
          <w:iCs/>
        </w:rPr>
        <w:t>parte</w:t>
      </w:r>
      <w:r w:rsidRPr="003A0293">
        <w:rPr>
          <w:i/>
          <w:iCs/>
        </w:rPr>
        <w:t xml:space="preserve"> </w:t>
      </w:r>
      <w:r w:rsidRPr="003A0293">
        <w:t>presentations, and all attachments thereto, must be filed through the electronic comment filing system available for that proceeding, and must be filed in their native format (</w:t>
      </w:r>
      <w:r w:rsidRPr="003A0293">
        <w:rPr>
          <w:i/>
          <w:iCs/>
        </w:rPr>
        <w:t>e.g.</w:t>
      </w:r>
      <w:r w:rsidRPr="003A0293">
        <w:t xml:space="preserve">, .doc, .xml, .ppt, searchable .pdf).  Participants in this proceeding should familiarize themselves with the Commission’s </w:t>
      </w:r>
      <w:r w:rsidRPr="003A0293">
        <w:rPr>
          <w:i/>
          <w:iCs/>
        </w:rPr>
        <w:t xml:space="preserve">ex </w:t>
      </w:r>
      <w:r w:rsidRPr="003A0293">
        <w:rPr>
          <w:i/>
          <w:iCs/>
        </w:rPr>
        <w:t>parte</w:t>
      </w:r>
      <w:r w:rsidRPr="003A0293">
        <w:rPr>
          <w:i/>
          <w:iCs/>
        </w:rPr>
        <w:t xml:space="preserve"> </w:t>
      </w:r>
      <w:r w:rsidRPr="003A0293">
        <w:t>rules.</w:t>
      </w:r>
    </w:p>
    <w:p w:rsidR="009B6017" w:rsidRPr="003A0293" w:rsidP="009B6017" w14:paraId="5A552503" w14:textId="77777777">
      <w:pPr>
        <w:pStyle w:val="Heading2"/>
      </w:pPr>
      <w:bookmarkStart w:id="182" w:name="_Toc378863296"/>
      <w:bookmarkStart w:id="183" w:name="_Toc378868613"/>
      <w:bookmarkStart w:id="184" w:name="_Toc379787523"/>
      <w:bookmarkStart w:id="185" w:name="_Toc379902605"/>
      <w:bookmarkStart w:id="186" w:name="_Toc379903291"/>
      <w:bookmarkStart w:id="187" w:name="_Toc379907070"/>
      <w:bookmarkStart w:id="188" w:name="_Toc380482111"/>
      <w:bookmarkStart w:id="189" w:name="_Toc380483104"/>
      <w:bookmarkStart w:id="190" w:name="_Toc380569177"/>
      <w:bookmarkStart w:id="191" w:name="_Toc380580365"/>
      <w:bookmarkStart w:id="192" w:name="_Toc380581433"/>
      <w:bookmarkStart w:id="193" w:name="_Toc380584423"/>
      <w:bookmarkStart w:id="194" w:name="_Toc380673901"/>
      <w:bookmarkStart w:id="195" w:name="_Toc383514780"/>
      <w:bookmarkStart w:id="196" w:name="_Toc384814353"/>
      <w:bookmarkStart w:id="197" w:name="_Toc384814432"/>
      <w:bookmarkStart w:id="198" w:name="_Toc384814866"/>
      <w:bookmarkStart w:id="199" w:name="_Toc384817908"/>
      <w:bookmarkStart w:id="200" w:name="_Toc387054612"/>
      <w:bookmarkStart w:id="201" w:name="_Toc387154758"/>
      <w:bookmarkStart w:id="202" w:name="_Toc387155783"/>
      <w:bookmarkStart w:id="203" w:name="_Toc387222347"/>
      <w:bookmarkStart w:id="204" w:name="_Toc416948212"/>
      <w:bookmarkStart w:id="205" w:name="_Toc416953269"/>
      <w:bookmarkStart w:id="206" w:name="_Toc417049395"/>
      <w:bookmarkStart w:id="207" w:name="_Toc417049527"/>
      <w:bookmarkStart w:id="208" w:name="_Toc417052027"/>
      <w:bookmarkStart w:id="209" w:name="_Toc417571489"/>
      <w:bookmarkStart w:id="210" w:name="_Toc417571657"/>
      <w:bookmarkStart w:id="211" w:name="_Toc417571761"/>
      <w:bookmarkStart w:id="212" w:name="_Toc417571850"/>
      <w:bookmarkStart w:id="213" w:name="_Toc417571961"/>
      <w:bookmarkStart w:id="214" w:name="_Toc417572016"/>
      <w:bookmarkStart w:id="215" w:name="_Toc417654856"/>
      <w:bookmarkStart w:id="216" w:name="_Toc418178675"/>
      <w:bookmarkStart w:id="217" w:name="_Toc418178785"/>
      <w:bookmarkStart w:id="218" w:name="_Toc418239082"/>
      <w:bookmarkStart w:id="219" w:name="_Toc418861062"/>
      <w:bookmarkStart w:id="220" w:name="_Toc418861130"/>
      <w:bookmarkStart w:id="221" w:name="_Toc419106292"/>
      <w:bookmarkStart w:id="222" w:name="_Toc419106333"/>
      <w:bookmarkStart w:id="223" w:name="_Toc419106394"/>
      <w:bookmarkStart w:id="224" w:name="_Toc419458992"/>
      <w:bookmarkStart w:id="225" w:name="_Toc419466195"/>
      <w:bookmarkStart w:id="226" w:name="_Toc419734065"/>
      <w:bookmarkStart w:id="227" w:name="_Toc420570511"/>
      <w:bookmarkStart w:id="228" w:name="_Toc420670769"/>
      <w:bookmarkStart w:id="229" w:name="_Toc421607789"/>
      <w:bookmarkStart w:id="230" w:name="_Toc421608009"/>
      <w:bookmarkStart w:id="231" w:name="_Toc421608181"/>
      <w:bookmarkStart w:id="232" w:name="_Toc421634227"/>
      <w:bookmarkStart w:id="233" w:name="_Toc421718438"/>
      <w:bookmarkStart w:id="234" w:name="_Toc421874071"/>
      <w:bookmarkStart w:id="235" w:name="_Toc422316759"/>
      <w:bookmarkStart w:id="236" w:name="_Toc422477880"/>
      <w:bookmarkStart w:id="237" w:name="_Toc422497552"/>
      <w:bookmarkStart w:id="238" w:name="_Toc422777747"/>
      <w:bookmarkStart w:id="239" w:name="_Toc423010413"/>
      <w:bookmarkStart w:id="240" w:name="_Toc425353397"/>
      <w:bookmarkStart w:id="241" w:name="_Toc425353517"/>
      <w:bookmarkStart w:id="242" w:name="_Toc425841298"/>
      <w:bookmarkStart w:id="243" w:name="_Toc425841482"/>
      <w:bookmarkStart w:id="244" w:name="_Toc431203046"/>
      <w:bookmarkStart w:id="245" w:name="_Toc431387648"/>
      <w:bookmarkStart w:id="246" w:name="_Toc431389384"/>
      <w:bookmarkStart w:id="247" w:name="_Toc431389856"/>
      <w:bookmarkStart w:id="248" w:name="_Toc432670394"/>
      <w:bookmarkStart w:id="249" w:name="_Toc433887290"/>
      <w:bookmarkStart w:id="250" w:name="_Toc435443183"/>
      <w:bookmarkStart w:id="251" w:name="_Toc435603231"/>
      <w:bookmarkStart w:id="252" w:name="_Toc99488452"/>
      <w:r w:rsidRPr="003A0293">
        <w:t>Comment Filing Procedures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9B6017" w:rsidRPr="003A0293" w:rsidP="009B6017" w14:paraId="0F79CF3E" w14:textId="77777777">
      <w:pPr>
        <w:pStyle w:val="ParaNum"/>
        <w:widowControl/>
      </w:pPr>
      <w:r w:rsidRPr="003A0293">
        <w:t xml:space="preserve">Pursuant to Sections 1.415 and 1.419 of the Commission’s rules, 47 CFR §§ 1.415, 1.419, interested parties may file comments and reply comments in response to this </w:t>
      </w:r>
      <w:r w:rsidRPr="003A0293">
        <w:rPr>
          <w:i/>
          <w:iCs/>
        </w:rPr>
        <w:t xml:space="preserve">Notice </w:t>
      </w:r>
      <w:r w:rsidRPr="003A0293">
        <w:t xml:space="preserve">on or before the dates indicated on the first page of this document.  Comments may be filed using the Commission’s Electronic Comment Filing System (ECFS).  </w:t>
      </w:r>
      <w:r w:rsidRPr="003A0293">
        <w:rPr>
          <w:i/>
          <w:iCs/>
        </w:rPr>
        <w:t>See Electronic Filing of Documents in Rulemaking Proceedings</w:t>
      </w:r>
      <w:r w:rsidRPr="003A0293">
        <w:t>, 63 FR 24121 (1998).</w:t>
      </w:r>
    </w:p>
    <w:p w:rsidR="009B6017" w:rsidRPr="003A0293" w:rsidP="007F0195" w14:paraId="4F103E43" w14:textId="77777777">
      <w:pPr>
        <w:pStyle w:val="ParaNum"/>
        <w:widowControl/>
        <w:numPr>
          <w:ilvl w:val="0"/>
          <w:numId w:val="4"/>
        </w:numPr>
      </w:pPr>
      <w:bookmarkStart w:id="253" w:name="_Toc378863297"/>
      <w:bookmarkStart w:id="254" w:name="_Toc378868614"/>
      <w:bookmarkStart w:id="255" w:name="_Toc379787524"/>
      <w:bookmarkStart w:id="256" w:name="_Toc379902606"/>
      <w:bookmarkStart w:id="257" w:name="_Toc379903292"/>
      <w:bookmarkStart w:id="258" w:name="_Toc379907071"/>
      <w:bookmarkStart w:id="259" w:name="_Toc380482112"/>
      <w:bookmarkStart w:id="260" w:name="_Toc380483105"/>
      <w:bookmarkStart w:id="261" w:name="_Toc380569178"/>
      <w:bookmarkStart w:id="262" w:name="_Toc380580366"/>
      <w:bookmarkStart w:id="263" w:name="_Toc380581434"/>
      <w:bookmarkStart w:id="264" w:name="_Toc380584424"/>
      <w:bookmarkStart w:id="265" w:name="_Toc380673902"/>
      <w:bookmarkStart w:id="266" w:name="_Toc383514781"/>
      <w:bookmarkStart w:id="267" w:name="_Toc384814354"/>
      <w:bookmarkStart w:id="268" w:name="_Toc384814433"/>
      <w:bookmarkStart w:id="269" w:name="_Toc384814867"/>
      <w:bookmarkStart w:id="270" w:name="_Toc384817909"/>
      <w:bookmarkStart w:id="271" w:name="_Toc387054613"/>
      <w:bookmarkStart w:id="272" w:name="_Toc387154759"/>
      <w:bookmarkStart w:id="273" w:name="_Toc387155784"/>
      <w:bookmarkStart w:id="274" w:name="_Toc387222348"/>
      <w:bookmarkStart w:id="275" w:name="_Toc416948213"/>
      <w:bookmarkStart w:id="276" w:name="_Toc416953270"/>
      <w:bookmarkStart w:id="277" w:name="_Toc417049396"/>
      <w:bookmarkStart w:id="278" w:name="_Toc417049528"/>
      <w:bookmarkStart w:id="279" w:name="_Toc417052028"/>
      <w:bookmarkStart w:id="280" w:name="_Toc417571490"/>
      <w:bookmarkStart w:id="281" w:name="_Toc417571658"/>
      <w:bookmarkStart w:id="282" w:name="_Toc417571762"/>
      <w:bookmarkStart w:id="283" w:name="_Toc417571851"/>
      <w:bookmarkStart w:id="284" w:name="_Toc417571962"/>
      <w:bookmarkStart w:id="285" w:name="_Toc417572017"/>
      <w:bookmarkStart w:id="286" w:name="_Toc417654857"/>
      <w:bookmarkStart w:id="287" w:name="_Toc418178676"/>
      <w:bookmarkStart w:id="288" w:name="_Toc418178786"/>
      <w:bookmarkStart w:id="289" w:name="_Toc418239083"/>
      <w:bookmarkStart w:id="290" w:name="_Toc418861063"/>
      <w:bookmarkStart w:id="291" w:name="_Toc418861131"/>
      <w:bookmarkStart w:id="292" w:name="_Toc419106293"/>
      <w:bookmarkStart w:id="293" w:name="_Toc419106334"/>
      <w:bookmarkStart w:id="294" w:name="_Toc419106395"/>
      <w:bookmarkStart w:id="295" w:name="_Toc419458993"/>
      <w:bookmarkStart w:id="296" w:name="_Toc419466196"/>
      <w:bookmarkStart w:id="297" w:name="_Toc419734066"/>
      <w:bookmarkStart w:id="298" w:name="_Toc420570512"/>
      <w:r w:rsidRPr="003A0293">
        <w:t xml:space="preserve">Electronic Filers:  Comments may be filed electronically using the Internet by accessing the ECFS:  http://apps.fcc.gov/ecfs/.  </w:t>
      </w:r>
    </w:p>
    <w:p w:rsidR="009B6017" w:rsidRPr="003A0293" w:rsidP="007F0195" w14:paraId="3D3167C8" w14:textId="77777777">
      <w:pPr>
        <w:pStyle w:val="ParaNum"/>
        <w:widowControl/>
        <w:numPr>
          <w:ilvl w:val="0"/>
          <w:numId w:val="4"/>
        </w:numPr>
      </w:pPr>
      <w:r w:rsidRPr="003A0293">
        <w:t>Paper Filers:  Parties who choose to file by paper must file an original and one copy of each filing.</w:t>
      </w:r>
    </w:p>
    <w:p w:rsidR="009B6017" w:rsidRPr="003A0293" w:rsidP="007F0195" w14:paraId="2B673C86" w14:textId="77777777">
      <w:pPr>
        <w:pStyle w:val="ParaNum"/>
        <w:widowControl/>
        <w:numPr>
          <w:ilvl w:val="0"/>
          <w:numId w:val="4"/>
        </w:numPr>
      </w:pPr>
      <w:r w:rsidRPr="003A0293">
        <w:t>Filings can be sent by commercial overnight courier, or by first-class or overnight U.S. Postal Service mail. All filings must be addressed to the Commission’s Secretary, Office of the Secretary, Federal Communications Commission.</w:t>
      </w:r>
    </w:p>
    <w:p w:rsidR="009B6017" w:rsidRPr="003A0293" w:rsidP="007F0195" w14:paraId="3289A47E" w14:textId="77777777">
      <w:pPr>
        <w:pStyle w:val="ParaNum"/>
        <w:widowControl/>
        <w:numPr>
          <w:ilvl w:val="0"/>
          <w:numId w:val="4"/>
        </w:numPr>
      </w:pPr>
      <w:r w:rsidRPr="003A0293">
        <w:t xml:space="preserve"> Commercial overnight mail (other than U.S. Postal Service Express Mail and Priority Mail) must be sent to 9050 Junction Drive, Annapolis Junction, MD 20701.U.S. Postal Service first-class, Express, and Priority mail must be addressed to 45 L Street NE, Washington, DC  20554.</w:t>
      </w:r>
    </w:p>
    <w:p w:rsidR="009B6017" w:rsidRPr="003A0293" w:rsidP="007F0195" w14:paraId="65783802" w14:textId="77777777">
      <w:pPr>
        <w:pStyle w:val="ParaNum"/>
        <w:widowControl/>
        <w:numPr>
          <w:ilvl w:val="0"/>
          <w:numId w:val="4"/>
        </w:numPr>
      </w:pPr>
      <w:r w:rsidRPr="003A0293">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w:t>
      </w:r>
      <w:r w:rsidRPr="003A0293">
        <w:t xml:space="preserve">Closure of FCC Headquarters Open Window and Change in Hand-Delivery Policy, Public Notice, DA 20-304 (March 19, 2020).  </w:t>
      </w:r>
      <w:hyperlink r:id="rId5" w:history="1">
        <w:r w:rsidRPr="003A0293">
          <w:t>https://www.fcc.gov/document/fcc-closes-headquarters-open-window-and-changes-hand-delivery-policy</w:t>
        </w:r>
      </w:hyperlink>
      <w:r w:rsidRPr="003A0293">
        <w:t>.</w:t>
      </w:r>
    </w:p>
    <w:p w:rsidR="009B6017" w:rsidRPr="003A0293" w:rsidP="009B6017" w14:paraId="50099472" w14:textId="77777777">
      <w:pPr>
        <w:pStyle w:val="ParaNum"/>
        <w:widowControl/>
        <w:numPr>
          <w:ilvl w:val="0"/>
          <w:numId w:val="0"/>
        </w:numPr>
      </w:pPr>
      <w:r w:rsidRPr="003A0293">
        <w:t xml:space="preserve">People with Disabilities:  To request materials in accessible formats for people with disabilities (braille, large print, electronic files, audio format), send an e-mail to </w:t>
      </w:r>
      <w:hyperlink r:id="rId6" w:history="1">
        <w:r w:rsidRPr="003A0293">
          <w:rPr>
            <w:color w:val="0000FF"/>
            <w:u w:val="single"/>
          </w:rPr>
          <w:t>fcc504@fcc.gov</w:t>
        </w:r>
      </w:hyperlink>
      <w:r w:rsidRPr="003A0293">
        <w:t xml:space="preserve"> or call the Consumer &amp; Governmental Affairs Bureau at 202-418-0530 (voice), 202-418-0432 (TTY).</w:t>
      </w:r>
    </w:p>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rsidR="009B6017" w:rsidRPr="003A0293" w:rsidP="007F0195" w14:paraId="1A90AC96" w14:textId="77777777">
      <w:pPr>
        <w:pStyle w:val="Heading1"/>
        <w:numPr>
          <w:ilvl w:val="0"/>
          <w:numId w:val="3"/>
        </w:numPr>
      </w:pPr>
      <w:r>
        <w:t>REGULATORY FLEXIBILITY ACT</w:t>
      </w:r>
    </w:p>
    <w:p w:rsidR="009B6017" w:rsidRPr="003A0293" w:rsidP="009B6017" w14:paraId="3B39C1CC" w14:textId="77777777">
      <w:pPr>
        <w:pStyle w:val="ParaNum"/>
        <w:widowControl/>
        <w:rPr>
          <w:szCs w:val="22"/>
        </w:rPr>
      </w:pPr>
      <w:r w:rsidRPr="003A0293">
        <w:t>The Regulatory Flexibility Act of 1980, as amended (RFA),</w:t>
      </w:r>
      <w:r>
        <w:rPr>
          <w:rStyle w:val="FootnoteReference"/>
        </w:rPr>
        <w:footnoteReference w:id="82"/>
      </w:r>
      <w:r w:rsidRPr="003A0293">
        <w:t xml:space="preserve">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83"/>
      </w:r>
      <w:r w:rsidRPr="003A0293">
        <w:t xml:space="preserve">  Accordingly, the Commission has prepared an Initial Regulatory Flexibility Analysis (IRFA) on the potential impact of the rule and policy changes contained in this </w:t>
      </w:r>
      <w:r w:rsidRPr="003A0293">
        <w:rPr>
          <w:i/>
          <w:iCs/>
        </w:rPr>
        <w:t xml:space="preserve">Further </w:t>
      </w:r>
      <w:r w:rsidRPr="003A0293">
        <w:rPr>
          <w:i/>
        </w:rPr>
        <w:t xml:space="preserve">Notice of Proposed Rulemaking, </w:t>
      </w:r>
      <w:r w:rsidRPr="003A0293">
        <w:t xml:space="preserve">on small entities.  </w:t>
      </w:r>
      <w:r w:rsidRPr="003A0293">
        <w:rPr>
          <w:szCs w:val="22"/>
        </w:rPr>
        <w:t>The IRFA is set forth in Appendix</w:t>
      </w:r>
      <w:r w:rsidRPr="003A0293">
        <w:t xml:space="preserve"> A.</w:t>
      </w:r>
    </w:p>
    <w:p w:rsidR="009B6017" w:rsidRPr="003A0293" w:rsidP="007F0195" w14:paraId="31CC77A4" w14:textId="77777777">
      <w:pPr>
        <w:pStyle w:val="Heading2"/>
        <w:numPr>
          <w:ilvl w:val="1"/>
          <w:numId w:val="3"/>
        </w:numPr>
      </w:pPr>
      <w:bookmarkStart w:id="300" w:name="_Toc399862323"/>
      <w:bookmarkStart w:id="301" w:name="_Toc400456270"/>
      <w:bookmarkStart w:id="302" w:name="_Toc400636980"/>
      <w:bookmarkStart w:id="303" w:name="_Toc400714752"/>
      <w:bookmarkStart w:id="304" w:name="_Toc401307891"/>
      <w:bookmarkStart w:id="305" w:name="_Toc401326468"/>
      <w:bookmarkStart w:id="306" w:name="_Toc401661687"/>
      <w:bookmarkStart w:id="307" w:name="_Toc401746846"/>
      <w:bookmarkStart w:id="308" w:name="_Toc402432900"/>
      <w:bookmarkStart w:id="309" w:name="_Toc402517656"/>
      <w:bookmarkStart w:id="310" w:name="_Toc402517818"/>
      <w:bookmarkStart w:id="311" w:name="_Toc403412698"/>
      <w:bookmarkStart w:id="312" w:name="_Toc403552179"/>
      <w:bookmarkStart w:id="313" w:name="_Toc403827547"/>
      <w:bookmarkStart w:id="314" w:name="_Toc403978175"/>
      <w:bookmarkStart w:id="315" w:name="_Toc407699132"/>
      <w:bookmarkStart w:id="316" w:name="_Toc407701795"/>
      <w:bookmarkStart w:id="317" w:name="_Toc445200405"/>
      <w:bookmarkStart w:id="318" w:name="_Toc445288676"/>
      <w:bookmarkStart w:id="319" w:name="_Toc447029895"/>
      <w:bookmarkStart w:id="320" w:name="_Toc447121573"/>
      <w:bookmarkStart w:id="321" w:name="_Toc447890509"/>
      <w:bookmarkStart w:id="322" w:name="_Toc448326096"/>
      <w:bookmarkStart w:id="323" w:name="_Toc448421311"/>
      <w:bookmarkStart w:id="324" w:name="_Toc450726732"/>
      <w:bookmarkStart w:id="325" w:name="_Toc455148099"/>
      <w:bookmarkStart w:id="326" w:name="_Toc456885107"/>
      <w:bookmarkStart w:id="327" w:name="_Toc456900770"/>
      <w:bookmarkStart w:id="328" w:name="_Toc457080432"/>
      <w:bookmarkStart w:id="329" w:name="_Toc457234782"/>
      <w:bookmarkStart w:id="330" w:name="_Toc457489828"/>
      <w:bookmarkStart w:id="331" w:name="_Toc457576631"/>
      <w:bookmarkStart w:id="332" w:name="_Toc457577522"/>
      <w:bookmarkStart w:id="333" w:name="_Toc457843283"/>
      <w:bookmarkStart w:id="334" w:name="_Toc457927186"/>
      <w:bookmarkStart w:id="335" w:name="_Toc458003458"/>
      <w:bookmarkStart w:id="336" w:name="_Toc459387110"/>
      <w:bookmarkStart w:id="337" w:name="_Toc459738073"/>
      <w:bookmarkStart w:id="338" w:name="_Toc459805998"/>
      <w:bookmarkStart w:id="339" w:name="_Toc460426318"/>
      <w:bookmarkStart w:id="340" w:name="_Toc460924072"/>
      <w:bookmarkStart w:id="341" w:name="_Toc460943106"/>
      <w:bookmarkStart w:id="342" w:name="_Toc462781361"/>
      <w:bookmarkStart w:id="343" w:name="_Toc462917225"/>
      <w:bookmarkStart w:id="344" w:name="_Toc496823000"/>
      <w:bookmarkStart w:id="345" w:name="_Toc498024452"/>
      <w:bookmarkStart w:id="346" w:name="_Toc498024671"/>
      <w:bookmarkStart w:id="347" w:name="_Toc498024821"/>
      <w:bookmarkStart w:id="348" w:name="_Toc499824573"/>
      <w:bookmarkStart w:id="349" w:name="_Toc499907867"/>
      <w:bookmarkStart w:id="350" w:name="_Toc501007095"/>
      <w:bookmarkStart w:id="351" w:name="_Toc501384692"/>
      <w:bookmarkStart w:id="352" w:name="_Toc501543828"/>
      <w:bookmarkStart w:id="353" w:name="_Toc502848669"/>
      <w:bookmarkStart w:id="354" w:name="_Toc503173185"/>
      <w:bookmarkStart w:id="355" w:name="_Toc99488454"/>
      <w:r w:rsidRPr="003A0293">
        <w:t>Initial Paperwork Reduction Analysis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9B6017" w:rsidRPr="003A0293" w:rsidP="009B6017" w14:paraId="0C16A1D4" w14:textId="77777777">
      <w:pPr>
        <w:pStyle w:val="ParaNum"/>
        <w:widowControl/>
        <w:rPr>
          <w:snapToGrid/>
        </w:rPr>
      </w:pPr>
      <w:r w:rsidRPr="003A0293">
        <w:rPr>
          <w:snapToGrid/>
        </w:rPr>
        <w:t xml:space="preserve">This document contains proposed new and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3A0293">
        <w:rPr>
          <w:i/>
          <w:iCs/>
          <w:snapToGrid/>
        </w:rPr>
        <w:t>see</w:t>
      </w:r>
      <w:r w:rsidRPr="003A0293">
        <w:rPr>
          <w:snapToGrid/>
        </w:rPr>
        <w:t xml:space="preserve"> 44 U.S.C. 3506(c)(4), we seek specific comment on how we might further reduce the information collection burden for small business concerns with fewer than 25 employees.</w:t>
      </w:r>
    </w:p>
    <w:p w:rsidR="009B6017" w:rsidRPr="003A0293" w:rsidP="009B6017" w14:paraId="5B4AEDEC" w14:textId="77777777">
      <w:pPr>
        <w:pStyle w:val="Heading1"/>
        <w:rPr>
          <w:snapToGrid/>
        </w:rPr>
      </w:pPr>
      <w:bookmarkStart w:id="356" w:name="_Toc99488455"/>
      <w:r w:rsidRPr="003A0293">
        <w:rPr>
          <w:snapToGrid/>
        </w:rPr>
        <w:t>Further Information</w:t>
      </w:r>
      <w:bookmarkEnd w:id="356"/>
    </w:p>
    <w:p w:rsidR="009B6017" w:rsidRPr="003A0293" w:rsidP="009B6017" w14:paraId="64966181" w14:textId="77777777">
      <w:pPr>
        <w:pStyle w:val="ParaNum"/>
        <w:widowControl/>
      </w:pPr>
      <w:r w:rsidRPr="003A0293">
        <w:t xml:space="preserve">For further information regarding this </w:t>
      </w:r>
      <w:r w:rsidRPr="003A0293">
        <w:rPr>
          <w:i/>
          <w:iCs/>
        </w:rPr>
        <w:t>Further Notice of Proposed Rulemaking</w:t>
      </w:r>
      <w:r w:rsidRPr="003A0293">
        <w:t xml:space="preserve">, please contact James Wiley, Cybersecurity and Communications Reliability Division, Public Safety and Homeland Security Bureau, (202) 418-1678, or by email to </w:t>
      </w:r>
      <w:hyperlink r:id="rId7" w:history="1">
        <w:r w:rsidRPr="003A0293">
          <w:rPr>
            <w:rStyle w:val="Hyperlink"/>
          </w:rPr>
          <w:t>james.wiley@fcc.gov</w:t>
        </w:r>
      </w:hyperlink>
      <w:r w:rsidRPr="003A0293">
        <w:t xml:space="preserve">, or David Kirschner, Cybersecurity and Communications Reliability Division, Public Safety and Homeland Security Bureau, (202) 418-0695, or by email to </w:t>
      </w:r>
      <w:hyperlink r:id="rId8" w:history="1">
        <w:r w:rsidRPr="003A0293">
          <w:rPr>
            <w:rStyle w:val="Hyperlink"/>
          </w:rPr>
          <w:t>david.kirschner@fcc.gov</w:t>
        </w:r>
      </w:hyperlink>
      <w:r w:rsidRPr="003A0293">
        <w:t>.</w:t>
      </w:r>
    </w:p>
    <w:p w:rsidR="009B6017" w:rsidRPr="003A0293" w:rsidP="007F0195" w14:paraId="78278BD8" w14:textId="77777777">
      <w:pPr>
        <w:pStyle w:val="Heading1"/>
        <w:numPr>
          <w:ilvl w:val="0"/>
          <w:numId w:val="3"/>
        </w:numPr>
      </w:pPr>
      <w:bookmarkStart w:id="357" w:name="_Toc338410309"/>
      <w:bookmarkStart w:id="358" w:name="_Toc338664693"/>
      <w:bookmarkStart w:id="359" w:name="_Toc338664847"/>
      <w:bookmarkStart w:id="360" w:name="_Toc338664965"/>
      <w:bookmarkStart w:id="361" w:name="_Toc339542904"/>
      <w:bookmarkStart w:id="362" w:name="_Toc339543059"/>
      <w:bookmarkStart w:id="363" w:name="_Toc340591473"/>
      <w:bookmarkStart w:id="364" w:name="_Toc340846931"/>
      <w:bookmarkStart w:id="365" w:name="_Toc340847666"/>
      <w:bookmarkStart w:id="366" w:name="_Toc349837070"/>
      <w:bookmarkStart w:id="367" w:name="_Toc350414969"/>
      <w:bookmarkStart w:id="368" w:name="_Toc350430183"/>
      <w:bookmarkStart w:id="369" w:name="_Toc350430294"/>
      <w:bookmarkStart w:id="370" w:name="_Toc353355778"/>
      <w:bookmarkStart w:id="371" w:name="_Toc353357326"/>
      <w:bookmarkStart w:id="372" w:name="_Toc353363780"/>
      <w:bookmarkStart w:id="373" w:name="_Toc353366114"/>
      <w:bookmarkStart w:id="374" w:name="_Toc353540492"/>
      <w:bookmarkStart w:id="375" w:name="_Toc354054823"/>
      <w:bookmarkStart w:id="376" w:name="_Toc355791223"/>
      <w:bookmarkStart w:id="377" w:name="_Toc376876242"/>
      <w:bookmarkStart w:id="378" w:name="_Toc377047233"/>
      <w:bookmarkStart w:id="379" w:name="_Toc377047397"/>
      <w:bookmarkStart w:id="380" w:name="_Toc378343147"/>
      <w:bookmarkStart w:id="381" w:name="_Toc378870721"/>
      <w:bookmarkStart w:id="382" w:name="_Toc378870782"/>
      <w:bookmarkStart w:id="383" w:name="_Toc391281506"/>
      <w:bookmarkStart w:id="384" w:name="_Toc391283265"/>
      <w:bookmarkStart w:id="385" w:name="_Toc391554782"/>
      <w:bookmarkStart w:id="386" w:name="_Toc391977819"/>
      <w:bookmarkStart w:id="387" w:name="_Toc391992893"/>
      <w:bookmarkStart w:id="388" w:name="_Toc392090154"/>
      <w:bookmarkStart w:id="389" w:name="_Toc392166795"/>
      <w:bookmarkStart w:id="390" w:name="_Toc392585473"/>
      <w:bookmarkStart w:id="391" w:name="_Toc393124517"/>
      <w:bookmarkStart w:id="392" w:name="_Toc393719144"/>
      <w:bookmarkStart w:id="393" w:name="_Toc395277290"/>
      <w:bookmarkStart w:id="394" w:name="_Toc399837495"/>
      <w:bookmarkStart w:id="395" w:name="_Toc399837645"/>
      <w:bookmarkStart w:id="396" w:name="_Toc399862325"/>
      <w:bookmarkStart w:id="397" w:name="_Toc400456272"/>
      <w:bookmarkStart w:id="398" w:name="_Toc400636982"/>
      <w:bookmarkStart w:id="399" w:name="_Toc400714754"/>
      <w:bookmarkStart w:id="400" w:name="_Toc401307893"/>
      <w:bookmarkStart w:id="401" w:name="_Toc401326470"/>
      <w:bookmarkStart w:id="402" w:name="_Toc401661689"/>
      <w:bookmarkStart w:id="403" w:name="_Toc401746848"/>
      <w:bookmarkStart w:id="404" w:name="_Toc402432902"/>
      <w:bookmarkStart w:id="405" w:name="_Toc402517658"/>
      <w:bookmarkStart w:id="406" w:name="_Toc402517820"/>
      <w:bookmarkStart w:id="407" w:name="_Toc403412700"/>
      <w:bookmarkStart w:id="408" w:name="_Toc403552181"/>
      <w:bookmarkStart w:id="409" w:name="_Toc403827549"/>
      <w:bookmarkStart w:id="410" w:name="_Toc403978177"/>
      <w:bookmarkStart w:id="411" w:name="_Toc407699134"/>
      <w:bookmarkStart w:id="412" w:name="_Toc407701797"/>
      <w:bookmarkStart w:id="413" w:name="_Toc445200407"/>
      <w:bookmarkStart w:id="414" w:name="_Toc445288678"/>
      <w:bookmarkStart w:id="415" w:name="_Toc447029897"/>
      <w:bookmarkStart w:id="416" w:name="_Toc447121575"/>
      <w:bookmarkStart w:id="417" w:name="_Toc447890511"/>
      <w:bookmarkStart w:id="418" w:name="_Toc448326098"/>
      <w:bookmarkStart w:id="419" w:name="_Toc448421313"/>
      <w:bookmarkStart w:id="420" w:name="_Toc450726734"/>
      <w:bookmarkStart w:id="421" w:name="_Toc455148101"/>
      <w:bookmarkStart w:id="422" w:name="_Toc456885109"/>
      <w:bookmarkStart w:id="423" w:name="_Toc456900772"/>
      <w:bookmarkStart w:id="424" w:name="_Toc457080434"/>
      <w:bookmarkStart w:id="425" w:name="_Toc457234784"/>
      <w:bookmarkStart w:id="426" w:name="_Toc457489830"/>
      <w:bookmarkStart w:id="427" w:name="_Toc457576633"/>
      <w:bookmarkStart w:id="428" w:name="_Toc457577524"/>
      <w:bookmarkStart w:id="429" w:name="_Toc457843285"/>
      <w:bookmarkStart w:id="430" w:name="_Toc457927188"/>
      <w:bookmarkStart w:id="431" w:name="_Toc458003460"/>
      <w:bookmarkStart w:id="432" w:name="_Toc459387112"/>
      <w:bookmarkStart w:id="433" w:name="_Toc459738075"/>
      <w:bookmarkStart w:id="434" w:name="_Toc459806000"/>
      <w:bookmarkStart w:id="435" w:name="_Toc460426320"/>
      <w:bookmarkStart w:id="436" w:name="_Toc460924074"/>
      <w:bookmarkStart w:id="437" w:name="_Toc460943108"/>
      <w:bookmarkStart w:id="438" w:name="_Toc462781363"/>
      <w:bookmarkStart w:id="439" w:name="_Toc462917227"/>
      <w:bookmarkStart w:id="440" w:name="_Toc496823002"/>
      <w:bookmarkStart w:id="441" w:name="_Toc498024454"/>
      <w:bookmarkStart w:id="442" w:name="_Toc498024673"/>
      <w:bookmarkStart w:id="443" w:name="_Toc498024823"/>
      <w:bookmarkStart w:id="444" w:name="_Toc499824575"/>
      <w:bookmarkStart w:id="445" w:name="_Toc499907869"/>
      <w:bookmarkStart w:id="446" w:name="_Toc501007097"/>
      <w:bookmarkStart w:id="447" w:name="_Toc501384694"/>
      <w:bookmarkStart w:id="448" w:name="_Toc501543830"/>
      <w:bookmarkStart w:id="449" w:name="_Toc502848671"/>
      <w:bookmarkStart w:id="450" w:name="_Toc503173187"/>
      <w:bookmarkStart w:id="451" w:name="_Toc99488456"/>
      <w:r w:rsidRPr="003A0293">
        <w:t>Ordering Clause</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3A0293">
        <w:t>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9B6017" w:rsidRPr="003A0293" w:rsidP="009B6017" w14:paraId="202CD295" w14:textId="77777777">
      <w:pPr>
        <w:pStyle w:val="ParaNum"/>
        <w:widowControl/>
      </w:pPr>
      <w:r w:rsidRPr="003A0293">
        <w:rPr>
          <w:rStyle w:val="Heading6Char"/>
          <w:rFonts w:eastAsia="Calibri"/>
          <w:b w:val="0"/>
        </w:rPr>
        <w:t>Accordingly, IT IS ORDERED, pursuant to Sections 1, 2, 4(</w:t>
      </w:r>
      <w:r w:rsidRPr="003A0293">
        <w:rPr>
          <w:rStyle w:val="Heading6Char"/>
          <w:rFonts w:eastAsia="Calibri"/>
          <w:b w:val="0"/>
        </w:rPr>
        <w:t>i</w:t>
      </w:r>
      <w:r w:rsidRPr="003A0293">
        <w:rPr>
          <w:rStyle w:val="Heading6Char"/>
          <w:rFonts w:eastAsia="Calibri"/>
          <w:b w:val="0"/>
        </w:rPr>
        <w:t>), 4(o), 301, 303(r), 303(v), 307, 309, 335, 403, 624(g), 706, and 715 of the Communications Act of 1934, as amended, 47 U.S.C. §§ 151, 152, 154(</w:t>
      </w:r>
      <w:r w:rsidRPr="003A0293">
        <w:rPr>
          <w:rStyle w:val="Heading6Char"/>
          <w:rFonts w:eastAsia="Calibri"/>
          <w:b w:val="0"/>
        </w:rPr>
        <w:t>i</w:t>
      </w:r>
      <w:r w:rsidRPr="003A0293">
        <w:rPr>
          <w:rStyle w:val="Heading6Char"/>
          <w:rFonts w:eastAsia="Calibri"/>
          <w:b w:val="0"/>
        </w:rPr>
        <w:t>), 154(o), 301, 301(r), 303(v), 307, 309, 335, 403, 544(g), 606, and 615,</w:t>
      </w:r>
      <w:r w:rsidRPr="003A0293">
        <w:t xml:space="preserve"> as well as by sections 602(a),(b),(c), (f), 603, 604, 605, and 606 of the WARN Act, as amended, 47 U.S.C. </w:t>
      </w:r>
      <w:r w:rsidRPr="003A0293">
        <w:rPr>
          <w:rStyle w:val="Heading6Char"/>
          <w:rFonts w:eastAsia="Calibri"/>
          <w:b w:val="0"/>
        </w:rPr>
        <w:t>§§</w:t>
      </w:r>
      <w:r w:rsidRPr="003A0293">
        <w:rPr>
          <w:rStyle w:val="Heading6Char"/>
          <w:rFonts w:eastAsia="Calibri"/>
        </w:rPr>
        <w:t xml:space="preserve"> </w:t>
      </w:r>
      <w:r w:rsidRPr="003A0293">
        <w:t xml:space="preserve">1202(a),(b),(c), (f), 1203, 1204, 1205, and 1206, that the </w:t>
      </w:r>
      <w:r w:rsidRPr="003A0293">
        <w:rPr>
          <w:i/>
          <w:iCs/>
        </w:rPr>
        <w:t xml:space="preserve">Further Notice of Proposed Rulemaking </w:t>
      </w:r>
      <w:r w:rsidRPr="003A0293">
        <w:t>in PS Docket No. 15-91 and 15-94 IS HEREBY ADOPTED.</w:t>
      </w:r>
    </w:p>
    <w:p w:rsidR="009B6017" w:rsidP="009B6017" w14:paraId="7297745E" w14:textId="77777777">
      <w:pPr>
        <w:pStyle w:val="ParaNum"/>
        <w:widowControl/>
      </w:pPr>
      <w:r w:rsidRPr="003A0293">
        <w:t xml:space="preserve">IT IS FURTHER ORDERED </w:t>
      </w:r>
      <w:r w:rsidRPr="003A0293">
        <w:rPr>
          <w:szCs w:val="22"/>
        </w:rPr>
        <w:t xml:space="preserve">that the Commission’s Consumer and Governmental Affairs Bureau, Reference Information Center, SHALL SEND a copy of this </w:t>
      </w:r>
      <w:r w:rsidRPr="003A0293">
        <w:rPr>
          <w:i/>
          <w:szCs w:val="22"/>
        </w:rPr>
        <w:t xml:space="preserve">Further Notice of Proposed Rulemaking, </w:t>
      </w:r>
      <w:r w:rsidRPr="003A0293">
        <w:rPr>
          <w:szCs w:val="22"/>
        </w:rPr>
        <w:t>including the Initial Regulatory Flexibility Analysis, to the Chief Counsel for Advocacy of the Small Business Administration.</w:t>
      </w:r>
      <w:r w:rsidRPr="003A0293">
        <w:br/>
      </w:r>
    </w:p>
    <w:p w:rsidR="009B6017" w:rsidP="009B6017" w14:paraId="37583CF9" w14:textId="77777777">
      <w:pPr>
        <w:pStyle w:val="ParaNum"/>
        <w:widowControl/>
        <w:numPr>
          <w:ilvl w:val="0"/>
          <w:numId w:val="0"/>
        </w:numPr>
        <w:ind w:firstLine="720"/>
      </w:pPr>
    </w:p>
    <w:p w:rsidR="009B6017" w:rsidP="009B6017" w14:paraId="4F27FBFD" w14:textId="77777777">
      <w:pPr>
        <w:pStyle w:val="ParaNum"/>
        <w:widowControl/>
        <w:numPr>
          <w:ilvl w:val="0"/>
          <w:numId w:val="0"/>
        </w:numPr>
        <w:ind w:firstLine="720"/>
      </w:pPr>
    </w:p>
    <w:p w:rsidR="009B6017" w:rsidRPr="003A0293" w:rsidP="009B6017" w14:paraId="4BFB0974" w14:textId="77777777">
      <w:pPr>
        <w:pStyle w:val="ParaNum"/>
        <w:widowControl/>
        <w:numPr>
          <w:ilvl w:val="0"/>
          <w:numId w:val="0"/>
        </w:numPr>
        <w:ind w:firstLine="720"/>
      </w:pPr>
    </w:p>
    <w:p w:rsidR="009B6017" w:rsidRPr="003A0293" w:rsidP="009B6017" w14:paraId="78A67A3C" w14:textId="77777777">
      <w:pPr>
        <w:widowControl/>
      </w:pPr>
      <w:r w:rsidRPr="003A0293">
        <w:tab/>
      </w:r>
      <w:r w:rsidRPr="003A0293">
        <w:tab/>
      </w:r>
      <w:r w:rsidRPr="003A0293">
        <w:tab/>
      </w:r>
      <w:r w:rsidRPr="003A0293">
        <w:tab/>
      </w:r>
      <w:r w:rsidRPr="003A0293">
        <w:tab/>
      </w:r>
      <w:r w:rsidRPr="003A0293">
        <w:tab/>
        <w:t>FEDERAL COMMUNICATIONS COMMISSION</w:t>
      </w:r>
    </w:p>
    <w:p w:rsidR="009B6017" w:rsidRPr="003A0293" w:rsidP="009B6017" w14:paraId="25AC3A7F" w14:textId="77777777">
      <w:pPr>
        <w:widowControl/>
      </w:pPr>
    </w:p>
    <w:p w:rsidR="009B6017" w:rsidRPr="003A0293" w:rsidP="009B6017" w14:paraId="5B4CE6C9" w14:textId="77777777">
      <w:pPr>
        <w:widowControl/>
      </w:pPr>
    </w:p>
    <w:p w:rsidR="009B6017" w:rsidRPr="003A0293" w:rsidP="009B6017" w14:paraId="303EA641" w14:textId="77777777">
      <w:pPr>
        <w:widowControl/>
      </w:pPr>
    </w:p>
    <w:p w:rsidR="009B6017" w:rsidRPr="003A0293" w:rsidP="009B6017" w14:paraId="6E7CE167" w14:textId="77777777">
      <w:pPr>
        <w:widowControl/>
      </w:pPr>
    </w:p>
    <w:p w:rsidR="009B6017" w:rsidRPr="003A0293" w:rsidP="009B6017" w14:paraId="47E02BCC" w14:textId="77777777">
      <w:pPr>
        <w:widowControl/>
      </w:pPr>
      <w:r w:rsidRPr="003A0293">
        <w:tab/>
      </w:r>
      <w:r w:rsidRPr="003A0293">
        <w:tab/>
      </w:r>
      <w:r w:rsidRPr="003A0293">
        <w:tab/>
      </w:r>
      <w:r w:rsidRPr="003A0293">
        <w:tab/>
      </w:r>
      <w:r w:rsidRPr="003A0293">
        <w:tab/>
      </w:r>
      <w:r w:rsidRPr="003A0293">
        <w:tab/>
        <w:t>Marlene H. Dortch</w:t>
      </w:r>
    </w:p>
    <w:p w:rsidR="009B6017" w:rsidRPr="003A0293" w:rsidP="009B6017" w14:paraId="7DFD02DA" w14:textId="77777777">
      <w:pPr>
        <w:widowControl/>
        <w:sectPr w:rsidSect="0055614C">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r w:rsidRPr="003A0293">
        <w:tab/>
      </w:r>
      <w:r w:rsidRPr="003A0293">
        <w:tab/>
      </w:r>
      <w:r w:rsidRPr="003A0293">
        <w:tab/>
      </w:r>
      <w:r w:rsidRPr="003A0293">
        <w:tab/>
      </w:r>
      <w:r w:rsidRPr="003A0293">
        <w:tab/>
      </w:r>
      <w:r w:rsidRPr="003A0293">
        <w:tab/>
        <w:t>Secretary</w:t>
      </w:r>
    </w:p>
    <w:p w:rsidR="009B6017" w:rsidRPr="003A0293" w:rsidP="009B6017" w14:paraId="6E636BEA" w14:textId="77777777">
      <w:pPr>
        <w:pStyle w:val="ParaNum"/>
        <w:widowControl/>
        <w:numPr>
          <w:ilvl w:val="0"/>
          <w:numId w:val="0"/>
        </w:numPr>
        <w:jc w:val="center"/>
        <w:rPr>
          <w:b/>
          <w:bCs/>
        </w:rPr>
      </w:pPr>
      <w:r w:rsidRPr="003A0293">
        <w:rPr>
          <w:b/>
          <w:bCs/>
        </w:rPr>
        <w:t>APPENDIX A</w:t>
      </w:r>
    </w:p>
    <w:p w:rsidR="009B6017" w:rsidRPr="003A0293" w:rsidP="009B6017" w14:paraId="772FE09F" w14:textId="77777777">
      <w:pPr>
        <w:pStyle w:val="ParaNum"/>
        <w:widowControl/>
        <w:numPr>
          <w:ilvl w:val="0"/>
          <w:numId w:val="0"/>
        </w:numPr>
        <w:jc w:val="center"/>
        <w:rPr>
          <w:b/>
          <w:bCs/>
        </w:rPr>
      </w:pPr>
      <w:r w:rsidRPr="003A0293">
        <w:rPr>
          <w:b/>
          <w:bCs/>
        </w:rPr>
        <w:t>Initial Regulatory Flexibility Analysis</w:t>
      </w:r>
    </w:p>
    <w:p w:rsidR="009B6017" w:rsidRPr="00B02E99" w:rsidP="007F0195" w14:paraId="02C93445" w14:textId="77777777">
      <w:pPr>
        <w:pStyle w:val="ParaNum"/>
        <w:widowControl/>
        <w:numPr>
          <w:ilvl w:val="0"/>
          <w:numId w:val="5"/>
        </w:numPr>
        <w:tabs>
          <w:tab w:val="clear" w:pos="1080"/>
        </w:tabs>
        <w:rPr>
          <w:snapToGrid/>
        </w:rPr>
      </w:pPr>
      <w:r w:rsidRPr="003A0293">
        <w:t>As required by the Regulatory Flexibility Act of 1980, as amended (RFA),</w:t>
      </w:r>
      <w:r>
        <w:rPr>
          <w:rStyle w:val="FootnoteReference"/>
        </w:rPr>
        <w:footnoteReference w:id="84"/>
      </w:r>
      <w:r w:rsidRPr="003A0293">
        <w:t xml:space="preserve"> the Commission has prepared </w:t>
      </w:r>
      <w:r w:rsidRPr="00BE6D4C">
        <w:t>this</w:t>
      </w:r>
      <w:r w:rsidRPr="003A0293">
        <w:t xml:space="preserve"> Initial Regulatory Flexibility Analysis (IRFA) of the possible significant economic impact on a substantial number of small entities by the policies and rules proposed in the Further Notice of Proposed Rulemaking (</w:t>
      </w:r>
      <w:r w:rsidRPr="00B02E99">
        <w:rPr>
          <w:i/>
          <w:iCs/>
        </w:rPr>
        <w:t>Further Notice</w:t>
      </w:r>
      <w:r w:rsidRPr="003A0293">
        <w:t xml:space="preserve">).  Written public comments are requested on this IRFA.  Comments must be identified as responses to the IRFA and must be filed by the deadlines for comments on the </w:t>
      </w:r>
      <w:r w:rsidRPr="00B02E99">
        <w:rPr>
          <w:i/>
          <w:iCs/>
        </w:rPr>
        <w:t>Further Notice</w:t>
      </w:r>
      <w:r w:rsidRPr="003A0293">
        <w:t xml:space="preserve">.  The Commission will send a copy of the </w:t>
      </w:r>
      <w:r w:rsidRPr="00B02E99">
        <w:rPr>
          <w:i/>
          <w:iCs/>
        </w:rPr>
        <w:t>Further Notice</w:t>
      </w:r>
      <w:r w:rsidRPr="003A0293">
        <w:t>, including this IRFA, to the Chief Counsel for Advocacy of the Small Business Administration (SBA).</w:t>
      </w:r>
      <w:r>
        <w:rPr>
          <w:rStyle w:val="FootnoteReference"/>
        </w:rPr>
        <w:footnoteReference w:id="85"/>
      </w:r>
      <w:r w:rsidRPr="003A0293">
        <w:t xml:space="preserve">  In addition, the </w:t>
      </w:r>
      <w:r w:rsidRPr="00B02E99">
        <w:rPr>
          <w:i/>
          <w:iCs/>
        </w:rPr>
        <w:t xml:space="preserve">Further Notice </w:t>
      </w:r>
      <w:r w:rsidRPr="003A0293">
        <w:t>and IRFA (or summaries thereof) will be published in the Federal Register.</w:t>
      </w:r>
      <w:r>
        <w:rPr>
          <w:rStyle w:val="FootnoteReference"/>
        </w:rPr>
        <w:footnoteReference w:id="86"/>
      </w:r>
    </w:p>
    <w:p w:rsidR="009B6017" w:rsidRPr="00A31868" w:rsidP="007F0195" w14:paraId="7BE6DBF5" w14:textId="77777777">
      <w:pPr>
        <w:pStyle w:val="Heading2"/>
        <w:numPr>
          <w:ilvl w:val="1"/>
          <w:numId w:val="3"/>
        </w:numPr>
      </w:pPr>
      <w:bookmarkStart w:id="452" w:name="_Toc367458365"/>
      <w:bookmarkStart w:id="453" w:name="_Toc383514547"/>
      <w:bookmarkStart w:id="454" w:name="_Toc383514785"/>
      <w:bookmarkStart w:id="455" w:name="_Toc384814358"/>
      <w:bookmarkStart w:id="456" w:name="_Toc384814437"/>
      <w:bookmarkStart w:id="457" w:name="_Toc384814871"/>
      <w:bookmarkStart w:id="458" w:name="_Toc384817913"/>
      <w:bookmarkStart w:id="459" w:name="_Toc387054617"/>
      <w:bookmarkStart w:id="460" w:name="_Toc387154763"/>
      <w:bookmarkStart w:id="461" w:name="_Toc387155788"/>
      <w:bookmarkStart w:id="462" w:name="_Toc387222352"/>
      <w:bookmarkStart w:id="463" w:name="_Toc411452476"/>
      <w:bookmarkStart w:id="464" w:name="_Toc411452598"/>
      <w:bookmarkStart w:id="465" w:name="_Toc415747823"/>
      <w:bookmarkStart w:id="466" w:name="_Toc513568753"/>
      <w:bookmarkStart w:id="467" w:name="_Toc514252473"/>
      <w:bookmarkStart w:id="468" w:name="_Toc515613525"/>
      <w:bookmarkStart w:id="469" w:name="_Toc517101452"/>
      <w:bookmarkStart w:id="470" w:name="_Toc517189770"/>
      <w:bookmarkStart w:id="471" w:name="_Toc518822303"/>
      <w:bookmarkStart w:id="472" w:name="_Toc518897255"/>
      <w:bookmarkStart w:id="473" w:name="_Toc518929716"/>
      <w:r w:rsidRPr="00A31868">
        <w:t>Need for, and Objectives of, the Proposed Rules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9B6017" w:rsidRPr="003A0293" w:rsidP="009B6017" w14:paraId="62913C3E" w14:textId="77777777">
      <w:pPr>
        <w:pStyle w:val="ParaNum"/>
        <w:widowControl/>
        <w:snapToGrid w:val="0"/>
      </w:pPr>
      <w:r w:rsidRPr="003A0293">
        <w:t xml:space="preserve">In the </w:t>
      </w:r>
      <w:r w:rsidRPr="003A0293">
        <w:rPr>
          <w:i/>
          <w:iCs/>
        </w:rPr>
        <w:t>Further Notice</w:t>
      </w:r>
      <w:r w:rsidRPr="003A0293">
        <w:t>, the Commission seeks to improve the effectiveness of WEA by building upon and refreshing the record on the Commission’s prior proposals to require commercial mobile service (CMS) providers participating in WEA (Participating CMS Providers)</w:t>
      </w:r>
      <w:r>
        <w:rPr>
          <w:rStyle w:val="FootnoteReference"/>
        </w:rPr>
        <w:footnoteReference w:id="87"/>
      </w:r>
      <w:r w:rsidRPr="003A0293">
        <w:t xml:space="preserve"> to file with the Commission, public reports on WEA’s reliability, speed, and accuracy.</w:t>
      </w:r>
      <w:r>
        <w:rPr>
          <w:rStyle w:val="FootnoteReference"/>
        </w:rPr>
        <w:footnoteReference w:id="88"/>
      </w:r>
      <w:r w:rsidRPr="003A0293">
        <w:t xml:space="preserve">  Further, we seek to strengthen WEA’s effectiveness through the development of performance metrics and reporting standards that will help emergency management and other stakeholders understand the effectiveness of WEA in their </w:t>
      </w:r>
      <w:bookmarkStart w:id="474" w:name="_Hlk99501129"/>
      <w:r w:rsidRPr="003A0293">
        <w:t>particular area, and identify areas where improvement is needed.</w:t>
      </w:r>
      <w:r w:rsidRPr="003A0293">
        <w:rPr>
          <w:iCs/>
          <w:szCs w:val="24"/>
        </w:rPr>
        <w:t xml:space="preserve">  More specifically, in the </w:t>
      </w:r>
      <w:r w:rsidRPr="003A0293">
        <w:rPr>
          <w:i/>
          <w:szCs w:val="24"/>
        </w:rPr>
        <w:t xml:space="preserve">Further Notice </w:t>
      </w:r>
      <w:r w:rsidRPr="003A0293">
        <w:t xml:space="preserve">we propose that CMS providers who choose to participate in WEA file public reports with the Commission on important attributes of WEA’s performance and </w:t>
      </w:r>
      <w:r w:rsidRPr="003A0293">
        <w:rPr>
          <w:iCs/>
          <w:szCs w:val="24"/>
        </w:rPr>
        <w:t xml:space="preserve">comment on (1) </w:t>
      </w:r>
      <w:r w:rsidRPr="003A0293">
        <w:rPr>
          <w:szCs w:val="24"/>
        </w:rPr>
        <w:t>how WEA’s reliability, speed, and accuracy should be defined, and whether these are the most pertinent measures of WEA’s performance</w:t>
      </w:r>
      <w:r w:rsidRPr="003A0293">
        <w:rPr>
          <w:iCs/>
          <w:szCs w:val="24"/>
        </w:rPr>
        <w:t xml:space="preserve">; (2) </w:t>
      </w:r>
      <w:r w:rsidRPr="003A0293">
        <w:rPr>
          <w:szCs w:val="24"/>
        </w:rPr>
        <w:t>how Participating CMS Providers should measure performance of WEA for the purpose of generating WEA performance reports</w:t>
      </w:r>
      <w:r w:rsidRPr="003A0293">
        <w:rPr>
          <w:iCs/>
          <w:szCs w:val="24"/>
        </w:rPr>
        <w:t xml:space="preserve">; (3) </w:t>
      </w:r>
      <w:r w:rsidRPr="003A0293">
        <w:rPr>
          <w:szCs w:val="24"/>
        </w:rPr>
        <w:t>how and when WEA performance reports should be provided to the Commission</w:t>
      </w:r>
      <w:r w:rsidRPr="003A0293">
        <w:rPr>
          <w:iCs/>
          <w:szCs w:val="24"/>
        </w:rPr>
        <w:t xml:space="preserve">; (4) </w:t>
      </w:r>
      <w:r w:rsidRPr="003A0293">
        <w:rPr>
          <w:szCs w:val="24"/>
        </w:rPr>
        <w:t>whether WEA performance reports should include information collected at the consumer’s device, including information about the actual time and location of alert receipt, and whether consumer devices should automatically report this information to Participating CMS Providers</w:t>
      </w:r>
      <w:r w:rsidRPr="003A0293">
        <w:rPr>
          <w:iCs/>
          <w:szCs w:val="24"/>
        </w:rPr>
        <w:t xml:space="preserve">; and, (5) how the Commission can further improve WEA’s speed and reliability based on the findings of the 2021 nationwide WEA test. </w:t>
      </w:r>
      <w:r w:rsidRPr="003A0293">
        <w:t xml:space="preserve"> </w:t>
      </w:r>
      <w:bookmarkEnd w:id="474"/>
      <w:r w:rsidRPr="003A0293">
        <w:t xml:space="preserve">We believe that having empirical data on WEA’s reliability, speed, and accuracy, and developing a shared understanding among emergency management agencies and the public regarding the system’s capabilities will help promote and increase emergency managers’ use of WEA during emergencies and other critical situations which will save lives.  We also believe that our actions will help increase public confidence in WEA. </w:t>
      </w:r>
    </w:p>
    <w:p w:rsidR="009B6017" w:rsidRPr="00A31868" w:rsidP="007F0195" w14:paraId="78C0F933" w14:textId="77777777">
      <w:pPr>
        <w:pStyle w:val="Heading2"/>
        <w:numPr>
          <w:ilvl w:val="1"/>
          <w:numId w:val="3"/>
        </w:numPr>
      </w:pPr>
      <w:r w:rsidRPr="00A31868">
        <w:t>Legal Basis</w:t>
      </w:r>
    </w:p>
    <w:p w:rsidR="009B6017" w:rsidRPr="003A0293" w:rsidP="009B6017" w14:paraId="1E252233" w14:textId="77777777">
      <w:pPr>
        <w:pStyle w:val="ParaNum"/>
        <w:widowControl/>
      </w:pPr>
      <w:r w:rsidRPr="003A0293">
        <w:t>The proposed action is taken pursuant to</w:t>
      </w:r>
      <w:r w:rsidRPr="003A0293">
        <w:rPr>
          <w:rFonts w:eastAsia="Calibri"/>
          <w:snapToGrid/>
        </w:rPr>
        <w:t xml:space="preserve"> </w:t>
      </w:r>
      <w:r w:rsidRPr="003A0293">
        <w:t>Sections 1, 2, 4(</w:t>
      </w:r>
      <w:r w:rsidRPr="003A0293">
        <w:t>i</w:t>
      </w:r>
      <w:r w:rsidRPr="003A0293">
        <w:t xml:space="preserve">), 4(o), 301, 303(r), 303(v), 307, 309, 335, 403, 624(g), 706, and 715 of the Communications Act of 1934, as amended, 47 U.S.C. §§ 151, </w:t>
      </w:r>
      <w:r w:rsidRPr="003A0293">
        <w:t>152, 154(</w:t>
      </w:r>
      <w:r w:rsidRPr="003A0293">
        <w:t>i</w:t>
      </w:r>
      <w:r w:rsidRPr="003A0293">
        <w:t>), 154(o), 301, 301(r), 303(v), 307, 309, 335, 403, 544(g), 606, and 615, as well as by sections 602(a),(b),(c), (f), 603, 604, 605 and 606 of the WARN Act, 47 U.S.C. §§</w:t>
      </w:r>
      <w:r w:rsidRPr="003A0293">
        <w:rPr>
          <w:b/>
          <w:bCs/>
        </w:rPr>
        <w:t xml:space="preserve"> </w:t>
      </w:r>
      <w:r w:rsidRPr="003A0293">
        <w:t>1202(a),(b),(c), (f), 1203, 1204, 1205 and 1206.</w:t>
      </w:r>
    </w:p>
    <w:p w:rsidR="009B6017" w:rsidRPr="00A31868" w:rsidP="007F0195" w14:paraId="119DBDFF" w14:textId="77777777">
      <w:pPr>
        <w:pStyle w:val="Heading2"/>
        <w:numPr>
          <w:ilvl w:val="1"/>
          <w:numId w:val="3"/>
        </w:numPr>
      </w:pPr>
      <w:bookmarkStart w:id="475" w:name="_Toc367458367"/>
      <w:bookmarkStart w:id="476" w:name="_Toc383514549"/>
      <w:bookmarkStart w:id="477" w:name="_Toc383514787"/>
      <w:bookmarkStart w:id="478" w:name="_Toc384814360"/>
      <w:bookmarkStart w:id="479" w:name="_Toc384814439"/>
      <w:bookmarkStart w:id="480" w:name="_Toc384814873"/>
      <w:bookmarkStart w:id="481" w:name="_Toc384817915"/>
      <w:bookmarkStart w:id="482" w:name="_Toc387054619"/>
      <w:bookmarkStart w:id="483" w:name="_Toc387154765"/>
      <w:bookmarkStart w:id="484" w:name="_Toc387155790"/>
      <w:bookmarkStart w:id="485" w:name="_Toc387222354"/>
      <w:bookmarkStart w:id="486" w:name="_Toc411452478"/>
      <w:bookmarkStart w:id="487" w:name="_Toc411452600"/>
      <w:bookmarkStart w:id="488" w:name="_Toc415747825"/>
      <w:bookmarkStart w:id="489" w:name="_Toc513568755"/>
      <w:bookmarkStart w:id="490" w:name="_Toc514252475"/>
      <w:bookmarkStart w:id="491" w:name="_Toc515613527"/>
      <w:bookmarkStart w:id="492" w:name="_Toc517101454"/>
      <w:bookmarkStart w:id="493" w:name="_Toc517189772"/>
      <w:bookmarkStart w:id="494" w:name="_Toc518822305"/>
      <w:bookmarkStart w:id="495" w:name="_Toc518897257"/>
      <w:bookmarkStart w:id="496" w:name="_Toc518929718"/>
      <w:r w:rsidRPr="00A31868">
        <w:t>Description and Estimate of the Number of Small Entities to Which the Proposed Rules Will Apply</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9B6017" w:rsidRPr="003A0293" w:rsidP="009B6017" w14:paraId="6B8E8D57" w14:textId="77777777">
      <w:pPr>
        <w:pStyle w:val="ParaNum"/>
        <w:widowControl/>
      </w:pPr>
      <w:r w:rsidRPr="003A0293">
        <w:t>The RFA directs agencies to provide a description of and, where feasible, an estimate of, the number of small entities that may be affected by the proposed rules, if adopted.</w:t>
      </w:r>
      <w:r>
        <w:rPr>
          <w:rStyle w:val="FootnoteReference"/>
        </w:rPr>
        <w:footnoteReference w:id="89"/>
      </w:r>
      <w:r w:rsidRPr="003A0293">
        <w:t xml:space="preserve">  The RFA generally defines the term “small entity” as having the same meaning as the terms “small business,” “small organization,” and “small governmental jurisdiction.”</w:t>
      </w:r>
      <w:r>
        <w:rPr>
          <w:rStyle w:val="FootnoteReference"/>
        </w:rPr>
        <w:footnoteReference w:id="90"/>
      </w:r>
      <w:r w:rsidRPr="003A0293">
        <w:t xml:space="preserve">  In addition, the term “small business” has the same meaning as the term “small business concern” under the Small Business Act.</w:t>
      </w:r>
      <w:r>
        <w:rPr>
          <w:rStyle w:val="FootnoteReference"/>
        </w:rPr>
        <w:footnoteReference w:id="91"/>
      </w:r>
      <w:r w:rsidRPr="003A0293">
        <w:t xml:space="preserve">  A “small business concern” is one which:  (1) is independently owned and operated; (2) is not dominant in its field of operation; and (3) satisfies any additional criteria established by the SBA.</w:t>
      </w:r>
      <w:r>
        <w:rPr>
          <w:rStyle w:val="FootnoteReference"/>
        </w:rPr>
        <w:footnoteReference w:id="92"/>
      </w:r>
    </w:p>
    <w:p w:rsidR="009B6017" w:rsidRPr="003A0293" w:rsidP="009B6017" w14:paraId="56D13B2A" w14:textId="77777777">
      <w:pPr>
        <w:pStyle w:val="ParaNum"/>
        <w:widowControl/>
      </w:pPr>
      <w:bookmarkStart w:id="497" w:name="_Hlk52979113"/>
      <w:r w:rsidRPr="003A0293">
        <w:rPr>
          <w:i/>
          <w:iCs/>
        </w:rPr>
        <w:t>Small Businesses, Small Organizations, Small Governmental Jurisdictions.</w:t>
      </w:r>
      <w:r w:rsidRPr="003A0293">
        <w:t xml:space="preserve">  Our actions, over time, may affect small entities that are not easily categorized at present.  We therefore describe here, at the outset, three broad groups of small entities that could be directly affected herein.</w:t>
      </w:r>
      <w:r>
        <w:rPr>
          <w:rStyle w:val="FootnoteReference"/>
        </w:rPr>
        <w:footnoteReference w:id="93"/>
      </w:r>
      <w:r w:rsidRPr="003A0293">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rStyle w:val="FootnoteReference"/>
        </w:rPr>
        <w:footnoteReference w:id="94"/>
      </w:r>
      <w:r w:rsidRPr="003A0293">
        <w:t xml:space="preserve">  These types of small businesses represent 99.9% of all businesses in the United States, which translates to 32.5 million businesses.</w:t>
      </w:r>
      <w:r>
        <w:rPr>
          <w:rStyle w:val="FootnoteReference"/>
        </w:rPr>
        <w:footnoteReference w:id="95"/>
      </w:r>
    </w:p>
    <w:p w:rsidR="009B6017" w:rsidRPr="003A0293" w:rsidP="009B6017" w14:paraId="33D79E23" w14:textId="77777777">
      <w:pPr>
        <w:pStyle w:val="ParaNum"/>
        <w:widowControl/>
      </w:pPr>
      <w:r w:rsidRPr="003A0293">
        <w:t>Next, the type of small entity described as a “small organization” is generally “any not-for-profit enterprise which is independently owned and operated and is not dominant in its field.”</w:t>
      </w:r>
      <w:r>
        <w:rPr>
          <w:rStyle w:val="FootnoteReference"/>
        </w:rPr>
        <w:footnoteReference w:id="96"/>
      </w:r>
      <w:r w:rsidRPr="003A0293">
        <w:t xml:space="preserve"> The Internal Revenue Service (IRS) uses a revenue benchmark of $50,000 or less to delineate its annual electronic filing requirements for small exempt organizations.</w:t>
      </w:r>
      <w:r>
        <w:rPr>
          <w:rStyle w:val="FootnoteReference"/>
        </w:rPr>
        <w:footnoteReference w:id="97"/>
      </w:r>
      <w:r w:rsidRPr="003A0293">
        <w:t xml:space="preserve">  Nationwide, for tax year 2020, there </w:t>
      </w:r>
      <w:r w:rsidRPr="003A0293">
        <w:t>were approximately 447,689 small exempt organizations in the U.S. reporting revenues of $50,000 or less according to the registration and tax data for exempt organizations available from the IRS.</w:t>
      </w:r>
      <w:r>
        <w:rPr>
          <w:rStyle w:val="FootnoteReference"/>
        </w:rPr>
        <w:footnoteReference w:id="98"/>
      </w:r>
      <w:r w:rsidRPr="003A0293">
        <w:t xml:space="preserve"> </w:t>
      </w:r>
    </w:p>
    <w:p w:rsidR="009B6017" w:rsidRPr="003A0293" w:rsidP="009B6017" w14:paraId="71DA836C" w14:textId="77777777">
      <w:pPr>
        <w:pStyle w:val="ParaNum"/>
        <w:widowControl/>
      </w:pPr>
      <w:r w:rsidRPr="003A0293">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99"/>
      </w:r>
      <w:r w:rsidRPr="003A0293">
        <w:t xml:space="preserve">  U.S. Census Bureau data from the 2017 Census of Governments</w:t>
      </w:r>
      <w:r>
        <w:rPr>
          <w:rStyle w:val="FootnoteReference"/>
        </w:rPr>
        <w:footnoteReference w:id="100"/>
      </w:r>
      <w:r w:rsidRPr="003A0293">
        <w:t xml:space="preserve"> indicate that there were </w:t>
      </w:r>
      <w:r w:rsidRPr="003A0293">
        <w:rPr>
          <w:color w:val="000000"/>
        </w:rPr>
        <w:t>90,075 l</w:t>
      </w:r>
      <w:r w:rsidRPr="003A0293">
        <w:t>ocal governmental jurisdictions consisting of general purpose governments and special purpose governments in the United States.</w:t>
      </w:r>
      <w:r>
        <w:rPr>
          <w:rStyle w:val="FootnoteReference"/>
        </w:rPr>
        <w:footnoteReference w:id="101"/>
      </w:r>
      <w:r w:rsidRPr="003A0293">
        <w:t xml:space="preserve">  Of this number there were 36,931 general purpose governments (county</w:t>
      </w:r>
      <w:r>
        <w:rPr>
          <w:rStyle w:val="FootnoteReference"/>
        </w:rPr>
        <w:footnoteReference w:id="102"/>
      </w:r>
      <w:r w:rsidRPr="003A0293">
        <w:t>, municipal and town or township</w:t>
      </w:r>
      <w:r>
        <w:rPr>
          <w:rStyle w:val="FootnoteReference"/>
        </w:rPr>
        <w:footnoteReference w:id="103"/>
      </w:r>
      <w:r w:rsidRPr="003A0293">
        <w:t>) with populations of less than 50,000 and 12,040 special purpose governments - independent school districts</w:t>
      </w:r>
      <w:r>
        <w:rPr>
          <w:rStyle w:val="FootnoteReference"/>
        </w:rPr>
        <w:footnoteReference w:id="104"/>
      </w:r>
      <w:r w:rsidRPr="003A0293">
        <w:t xml:space="preserve"> with enrollment populations of less than 50,000.</w:t>
      </w:r>
      <w:r>
        <w:rPr>
          <w:rStyle w:val="FootnoteReference"/>
        </w:rPr>
        <w:footnoteReference w:id="105"/>
      </w:r>
      <w:r w:rsidRPr="003A0293">
        <w:t xml:space="preserve">  Accordingly, based on the 2017 U.S. Census of Governments data, we estimate that at least 48,971 entities fall into the category of “small governmental jurisdictions.”</w:t>
      </w:r>
      <w:r>
        <w:rPr>
          <w:rStyle w:val="FootnoteReference"/>
        </w:rPr>
        <w:footnoteReference w:id="106"/>
      </w:r>
      <w:bookmarkEnd w:id="497"/>
    </w:p>
    <w:p w:rsidR="009B6017" w:rsidRPr="003A0293" w:rsidP="009B6017" w14:paraId="66F0B6D9" w14:textId="77777777">
      <w:pPr>
        <w:pStyle w:val="ParaNum"/>
        <w:widowControl/>
      </w:pPr>
      <w:r w:rsidRPr="003A0293">
        <w:rPr>
          <w:i/>
          <w:iCs/>
        </w:rPr>
        <w:t>Wireless Telecommunications Carriers (except Satellite).</w:t>
      </w:r>
      <w:r w:rsidRPr="003A0293">
        <w:t xml:space="preserve">  This industry comprises establishments engaged in operating and maintaining switching and transmission facilities to provide communications via the airwaves.</w:t>
      </w:r>
      <w:r>
        <w:rPr>
          <w:rStyle w:val="FootnoteReference"/>
        </w:rPr>
        <w:footnoteReference w:id="107"/>
      </w:r>
      <w:r w:rsidRPr="003A0293">
        <w:rPr>
          <w:rStyle w:val="FootnoteReference"/>
        </w:rPr>
        <w:t xml:space="preserve"> </w:t>
      </w:r>
      <w:r w:rsidRPr="003A0293">
        <w:t xml:space="preserve"> Establishments in this industry have spectrum licenses and provide services using that spectrum, such as cellular services, paging services, wireless internet access, and wireless video services.</w:t>
      </w:r>
      <w:r>
        <w:rPr>
          <w:rStyle w:val="FootnoteReference"/>
        </w:rPr>
        <w:footnoteReference w:id="108"/>
      </w:r>
      <w:r w:rsidRPr="003A0293">
        <w:rPr>
          <w:rStyle w:val="FootnoteReference"/>
        </w:rPr>
        <w:t xml:space="preserve"> </w:t>
      </w:r>
      <w:r w:rsidRPr="003A0293">
        <w:t>The SBA size standard for this industry classifies a business as small if it has 1,500 or fewer employees</w:t>
      </w:r>
      <w:r w:rsidRPr="003A0293">
        <w:rPr>
          <w:szCs w:val="22"/>
        </w:rPr>
        <w:t>.</w:t>
      </w:r>
      <w:r>
        <w:rPr>
          <w:rStyle w:val="FootnoteReference"/>
        </w:rPr>
        <w:footnoteReference w:id="109"/>
      </w:r>
      <w:r w:rsidRPr="003A0293">
        <w:rPr>
          <w:rStyle w:val="FootnoteReference"/>
        </w:rPr>
        <w:t xml:space="preserve"> </w:t>
      </w:r>
      <w:r w:rsidRPr="003A0293">
        <w:rPr>
          <w:vertAlign w:val="superscript"/>
        </w:rPr>
        <w:t xml:space="preserve"> </w:t>
      </w:r>
      <w:r w:rsidRPr="003A0293">
        <w:t>U.S. Census Bureau data for 2017 show that there were 2,893 firms in this industry that operated for the entire year.</w:t>
      </w:r>
      <w:r>
        <w:rPr>
          <w:rStyle w:val="FootnoteReference"/>
        </w:rPr>
        <w:footnoteReference w:id="110"/>
      </w:r>
      <w:r w:rsidRPr="003A0293">
        <w:rPr>
          <w:rStyle w:val="FootnoteReference"/>
        </w:rPr>
        <w:t xml:space="preserve"> </w:t>
      </w:r>
      <w:r w:rsidRPr="003A0293">
        <w:t xml:space="preserve"> Of that number, 2,837 firms employed fewer than 250 employees.</w:t>
      </w:r>
      <w:r>
        <w:rPr>
          <w:rStyle w:val="FootnoteReference"/>
        </w:rPr>
        <w:footnoteReference w:id="111"/>
      </w:r>
      <w:r w:rsidRPr="003A0293">
        <w:rPr>
          <w:szCs w:val="22"/>
        </w:rPr>
        <w:t xml:space="preserve">  </w:t>
      </w:r>
      <w:r w:rsidRPr="003A0293">
        <w:t xml:space="preserve">Additionally, based </w:t>
      </w:r>
      <w:r w:rsidRPr="003A0293">
        <w:rPr>
          <w:rFonts w:eastAsia="Calibri"/>
        </w:rPr>
        <w:t xml:space="preserve">on </w:t>
      </w:r>
      <w:r w:rsidRPr="003A0293">
        <w:t>Commission data in the 2021 Universal Service Monitoring Report, as of December 31, 2020, there were 797 providers that reported they were engaged in the provision of wireless services.</w:t>
      </w:r>
      <w:r>
        <w:rPr>
          <w:spacing w:val="-2"/>
          <w:vertAlign w:val="superscript"/>
        </w:rPr>
        <w:footnoteReference w:id="112"/>
      </w:r>
      <w:r w:rsidRPr="003A0293">
        <w:t xml:space="preserve">  Of these providers, the Commission estimates that 715 providers have 1,500 or fewer employees.</w:t>
      </w:r>
      <w:r>
        <w:rPr>
          <w:rStyle w:val="FootnoteReference"/>
        </w:rPr>
        <w:footnoteReference w:id="113"/>
      </w:r>
      <w:r w:rsidRPr="003A0293">
        <w:t xml:space="preserve">  Consequently, using the SBA’s small business size standard, most of these providers can be considered small entities.  </w:t>
      </w:r>
    </w:p>
    <w:p w:rsidR="009B6017" w:rsidRPr="003A0293" w:rsidP="009B6017" w14:paraId="3BA3A356" w14:textId="77777777">
      <w:pPr>
        <w:pStyle w:val="ParaNum"/>
        <w:widowControl/>
        <w:tabs>
          <w:tab w:val="left" w:pos="-1440"/>
          <w:tab w:val="left" w:pos="-720"/>
          <w:tab w:val="left" w:pos="4590"/>
          <w:tab w:val="left" w:pos="6480"/>
        </w:tabs>
        <w:suppressAutoHyphens/>
      </w:pPr>
      <w:r w:rsidRPr="003A0293">
        <w:rPr>
          <w:i/>
          <w:iCs/>
        </w:rPr>
        <w:t>Broadband Personal Communications Service.</w:t>
      </w:r>
      <w:r w:rsidRPr="003A0293">
        <w:t xml:space="preserve">  The broadband personal communications services (PCS) spectrum encompasses services in the 1850-1910 and 1930-1990 MHz bands.</w:t>
      </w:r>
      <w:r>
        <w:rPr>
          <w:rStyle w:val="FootnoteReference"/>
        </w:rPr>
        <w:footnoteReference w:id="114"/>
      </w:r>
      <w:r w:rsidRPr="003A0293">
        <w:t xml:space="preserve">  The closest industry with a SBA small business size standard applicable to these services is Wireless Telecommunications Carriers (except Satellite).</w:t>
      </w:r>
      <w:r>
        <w:rPr>
          <w:rStyle w:val="FootnoteReference"/>
        </w:rPr>
        <w:footnoteReference w:id="115"/>
      </w:r>
      <w:r w:rsidRPr="003A0293">
        <w:t xml:space="preserve">  The SBA small business size standard for this industry classifies a business as small if it has 1,500 or fewer employees.</w:t>
      </w:r>
      <w:r>
        <w:rPr>
          <w:rStyle w:val="FootnoteReference"/>
        </w:rPr>
        <w:footnoteReference w:id="116"/>
      </w:r>
      <w:r w:rsidRPr="003A0293">
        <w:t xml:space="preserve">  U.S. Census Bureau data for 2017 show that there were 2,893 firms that operated in this industry for the entire year.</w:t>
      </w:r>
      <w:r>
        <w:rPr>
          <w:rStyle w:val="FootnoteReference"/>
        </w:rPr>
        <w:footnoteReference w:id="117"/>
      </w:r>
      <w:r w:rsidRPr="003A0293">
        <w:t xml:space="preserve">  Of this number, 2,837 firms employed fewer than 250 employees.</w:t>
      </w:r>
      <w:r>
        <w:rPr>
          <w:rStyle w:val="FootnoteReference"/>
        </w:rPr>
        <w:footnoteReference w:id="118"/>
      </w:r>
      <w:r w:rsidRPr="003A0293">
        <w:t xml:space="preserve">  Thus under the SBA size standard, the Commission estimates that a majority of licensees in this industry can be considered small.</w:t>
      </w:r>
    </w:p>
    <w:p w:rsidR="009B6017" w:rsidRPr="003A0293" w:rsidP="00BE6D4C" w14:paraId="0FBDE16D" w14:textId="77777777">
      <w:pPr>
        <w:pStyle w:val="ParaNum"/>
        <w:widowControl/>
        <w:tabs>
          <w:tab w:val="clear" w:pos="1080"/>
        </w:tabs>
      </w:pPr>
      <w:r w:rsidRPr="003A0293">
        <w:t>Based on Commission data as of November 2021, there were approximately 5,060 active licenses in the Broadband PCS service.</w:t>
      </w:r>
      <w:r>
        <w:rPr>
          <w:rStyle w:val="FootnoteReference"/>
        </w:rPr>
        <w:footnoteReference w:id="119"/>
      </w:r>
      <w:r w:rsidRPr="003A0293">
        <w:t xml:space="preserve">  The Commission’s small business size standards with respect to Broadband PCS involve eligibility for bidding credits and installment payments in the auction of licenses for these services.  In auctions for these licenses, the Commission defined “small business” as an entity that, together with its affiliates and controlling interests, has average gross revenues not exceeding $40 million for the preceding three years, and a “very small business” as an entity that, together with its affiliates and controlling interests, has had average annual gross revenues not exceeding $15 million for the preceding three years.</w:t>
      </w:r>
      <w:r>
        <w:rPr>
          <w:vertAlign w:val="superscript"/>
        </w:rPr>
        <w:footnoteReference w:id="120"/>
      </w:r>
      <w:r w:rsidRPr="003A0293">
        <w:t xml:space="preserve">  Winning bidders claiming small business credits won Broadband PCS licenses in C, D, E, and F Blocks.</w:t>
      </w:r>
      <w:r>
        <w:rPr>
          <w:rStyle w:val="FootnoteReference"/>
        </w:rPr>
        <w:footnoteReference w:id="121"/>
      </w:r>
    </w:p>
    <w:p w:rsidR="009B6017" w:rsidRPr="003A0293" w:rsidP="00BE6D4C" w14:paraId="027DDB82" w14:textId="77777777">
      <w:pPr>
        <w:pStyle w:val="ParaNum"/>
        <w:widowControl/>
        <w:tabs>
          <w:tab w:val="clear" w:pos="1080"/>
        </w:tabs>
      </w:pPr>
      <w:r w:rsidRPr="003A0293">
        <w:t>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at this time we are not able to estimate the number of licensees with active licenses that would qualify as small under the SBA’s small business size standard.</w:t>
      </w:r>
    </w:p>
    <w:p w:rsidR="009B6017" w:rsidRPr="003A0293" w:rsidP="00BE6D4C" w14:paraId="315AB397" w14:textId="77777777">
      <w:pPr>
        <w:pStyle w:val="ParaNum"/>
        <w:widowControl/>
        <w:tabs>
          <w:tab w:val="clear" w:pos="1080"/>
        </w:tabs>
        <w:rPr>
          <w:i/>
          <w:iCs/>
        </w:rPr>
      </w:pPr>
      <w:bookmarkStart w:id="503" w:name="OLE_LINK30"/>
      <w:bookmarkStart w:id="504" w:name="OLE_LINK31"/>
      <w:r w:rsidRPr="003A0293">
        <w:rPr>
          <w:i/>
          <w:iCs/>
        </w:rPr>
        <w:t>Narrowband Personal Communications Services.</w:t>
      </w:r>
      <w:r w:rsidRPr="003A0293">
        <w:rPr>
          <w:iCs/>
        </w:rPr>
        <w:t xml:space="preserve"> </w:t>
      </w:r>
      <w:r w:rsidRPr="003A0293">
        <w:t xml:space="preserve">Narrowband Personal Communications Services </w:t>
      </w:r>
      <w:r w:rsidRPr="003A0293">
        <w:rPr>
          <w:i/>
          <w:iCs/>
        </w:rPr>
        <w:t xml:space="preserve">(Narrowband PCS) </w:t>
      </w:r>
      <w:r w:rsidRPr="003A0293">
        <w:t>are PCS services operating in the 901-902 MHz, 930-931 MHz, and 940-941 MHz bands.</w:t>
      </w:r>
      <w:r>
        <w:rPr>
          <w:rStyle w:val="FootnoteReference"/>
        </w:rPr>
        <w:footnoteReference w:id="122"/>
      </w:r>
      <w:r w:rsidRPr="003A0293">
        <w:t xml:space="preserve">  PCS services are radio communications that encompass mobile and ancillary fixed communication that provide services to individuals and businesses and can be integrated with a variety of competing networks.</w:t>
      </w:r>
      <w:r>
        <w:rPr>
          <w:rStyle w:val="FootnoteReference"/>
        </w:rPr>
        <w:footnoteReference w:id="123"/>
      </w:r>
      <w:r w:rsidRPr="003A0293">
        <w:rPr>
          <w:i/>
          <w:iCs/>
        </w:rPr>
        <w:t xml:space="preserve">  </w:t>
      </w:r>
      <w:r w:rsidRPr="003A0293">
        <w:t>Wireless Telecommunications Carriers (</w:t>
      </w:r>
      <w:r w:rsidRPr="003A0293">
        <w:rPr>
          <w:i/>
          <w:iCs/>
        </w:rPr>
        <w:t xml:space="preserve">except </w:t>
      </w:r>
      <w:r w:rsidRPr="003A0293">
        <w:t>Satellite)</w:t>
      </w:r>
      <w:r>
        <w:rPr>
          <w:rStyle w:val="FootnoteReference"/>
        </w:rPr>
        <w:footnoteReference w:id="124"/>
      </w:r>
      <w:r w:rsidRPr="003A0293">
        <w:t xml:space="preserve"> is the closest industry with a SBA small business size standard applicable to these services.  The SBA small business size standard for this industry classifies a business as small if it has 1,500 or fewer employees.</w:t>
      </w:r>
      <w:r>
        <w:rPr>
          <w:rStyle w:val="FootnoteReference"/>
        </w:rPr>
        <w:footnoteReference w:id="125"/>
      </w:r>
      <w:r w:rsidRPr="003A0293">
        <w:t xml:space="preserve">  U.S. Census Bureau data for 2017 show that there were 2,893 firms that operated in this industry for the entire year.</w:t>
      </w:r>
      <w:r>
        <w:rPr>
          <w:rStyle w:val="FootnoteReference"/>
        </w:rPr>
        <w:footnoteReference w:id="126"/>
      </w:r>
      <w:r w:rsidRPr="003A0293">
        <w:t xml:space="preserve">  Of this number, 2,837 firms employed fewer than 250 employees.</w:t>
      </w:r>
      <w:r>
        <w:rPr>
          <w:rStyle w:val="FootnoteReference"/>
        </w:rPr>
        <w:footnoteReference w:id="127"/>
      </w:r>
      <w:r w:rsidRPr="003A0293">
        <w:t xml:space="preserve">  Thus under the SBA size standard, the Commission estimates that a majority of licensees in this industry can be considered small.</w:t>
      </w:r>
    </w:p>
    <w:bookmarkEnd w:id="503"/>
    <w:bookmarkEnd w:id="504"/>
    <w:p w:rsidR="009B6017" w:rsidRPr="003A0293" w:rsidP="00BE6D4C" w14:paraId="7FA86585" w14:textId="77777777">
      <w:pPr>
        <w:pStyle w:val="ParaNum"/>
        <w:widowControl/>
        <w:tabs>
          <w:tab w:val="clear" w:pos="1080"/>
        </w:tabs>
      </w:pPr>
      <w:r w:rsidRPr="003A0293">
        <w:t xml:space="preserve">According to Commission data as of December 2021, there were approximately 4, 211 active </w:t>
      </w:r>
      <w:r w:rsidRPr="003A0293">
        <w:rPr>
          <w:i/>
          <w:iCs/>
        </w:rPr>
        <w:t xml:space="preserve">Narrowband PCS </w:t>
      </w:r>
      <w:r w:rsidRPr="003A0293">
        <w:t>licenses.</w:t>
      </w:r>
      <w:r>
        <w:rPr>
          <w:rStyle w:val="FootnoteReference"/>
        </w:rPr>
        <w:footnoteReference w:id="128"/>
      </w:r>
      <w:r w:rsidRPr="003A0293">
        <w:t xml:space="preserve">  The Commission’s small business size standards with respect to </w:t>
      </w:r>
      <w:r w:rsidRPr="003A0293">
        <w:rPr>
          <w:i/>
          <w:iCs/>
        </w:rPr>
        <w:t xml:space="preserve">Narrowband PCS </w:t>
      </w:r>
      <w:r w:rsidRPr="003A0293">
        <w:t xml:space="preserve">involve eligibility for bidding credits and installment payments in the auction of licenses for these services.  </w:t>
      </w:r>
      <w:r w:rsidRPr="003A0293">
        <w:rPr>
          <w:color w:val="000000"/>
        </w:rPr>
        <w:t xml:space="preserve">For the auction of these licenses, </w:t>
      </w:r>
      <w:r w:rsidRPr="003A0293">
        <w:t>the Commission defined a “small business” as an entity that, together with affiliates and controlling interests, has average gross revenues for the three preceding years of not more than $40 million.</w:t>
      </w:r>
      <w:r>
        <w:rPr>
          <w:rStyle w:val="StyleFootnoteReferenceStyle13Style12NECGFootnoteReferenc"/>
        </w:rPr>
        <w:footnoteReference w:id="129"/>
      </w:r>
      <w:r w:rsidRPr="003A0293">
        <w:t xml:space="preserve">  A “very small business” is defined as an entity that, together with affiliates and controlling interests, has average gross revenues for the three preceding years of not more than $15 million.</w:t>
      </w:r>
      <w:r>
        <w:rPr>
          <w:rStyle w:val="StyleFootnoteReferenceStyle13Style12NECGFootnoteReferenc"/>
        </w:rPr>
        <w:footnoteReference w:id="130"/>
      </w:r>
      <w:r w:rsidRPr="003A0293">
        <w:t xml:space="preserve">  Pursuant to these definitions, 7 winning bidders claiming small and very small bidding credits won approximately 359 licenses.</w:t>
      </w:r>
      <w:r>
        <w:rPr>
          <w:rStyle w:val="FootnoteReference"/>
        </w:rPr>
        <w:footnoteReference w:id="131"/>
      </w:r>
      <w:r w:rsidRPr="003A0293">
        <w:rPr>
          <w:szCs w:val="22"/>
        </w:rPr>
        <w:t xml:space="preserve">  </w:t>
      </w:r>
      <w:r w:rsidRPr="003A0293">
        <w:rPr>
          <w:color w:val="000000"/>
        </w:rPr>
        <w:t xml:space="preserve">One of the winning bidders claiming a small business status classification in these </w:t>
      </w:r>
      <w:r w:rsidRPr="003A0293">
        <w:rPr>
          <w:i/>
          <w:iCs/>
          <w:color w:val="000000"/>
        </w:rPr>
        <w:t xml:space="preserve">Narrowband PCS </w:t>
      </w:r>
      <w:r w:rsidRPr="003A0293">
        <w:rPr>
          <w:color w:val="000000"/>
        </w:rPr>
        <w:t>license auctions had an active license as of December 2021.</w:t>
      </w:r>
      <w:r>
        <w:rPr>
          <w:rStyle w:val="FootnoteReference"/>
        </w:rPr>
        <w:footnoteReference w:id="132"/>
      </w:r>
      <w:r w:rsidRPr="003A0293">
        <w:t xml:space="preserve"> </w:t>
      </w:r>
      <w:r w:rsidRPr="003A0293">
        <w:rPr>
          <w:color w:val="000000"/>
        </w:rPr>
        <w:t xml:space="preserve">  </w:t>
      </w:r>
    </w:p>
    <w:p w:rsidR="009B6017" w:rsidRPr="003A0293" w:rsidP="00BE6D4C" w14:paraId="7A4BA2F6" w14:textId="77777777">
      <w:pPr>
        <w:pStyle w:val="ParaNum"/>
        <w:widowControl/>
        <w:tabs>
          <w:tab w:val="clear" w:pos="1080"/>
        </w:tabs>
      </w:pPr>
      <w:r w:rsidRPr="003A0293">
        <w:t xml:space="preserve">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9B6017" w:rsidRPr="003A0293" w:rsidP="00BE6D4C" w14:paraId="42B7BD1D" w14:textId="77777777">
      <w:pPr>
        <w:pStyle w:val="ParaNum"/>
        <w:widowControl/>
        <w:tabs>
          <w:tab w:val="clear" w:pos="1080"/>
        </w:tabs>
      </w:pPr>
      <w:r w:rsidRPr="003A0293">
        <w:rPr>
          <w:i/>
          <w:iCs/>
        </w:rPr>
        <w:t>Wireless Communications Services</w:t>
      </w:r>
      <w:r w:rsidRPr="003A0293">
        <w:rPr>
          <w:szCs w:val="22"/>
        </w:rPr>
        <w:t xml:space="preserve">.  </w:t>
      </w:r>
      <w:r w:rsidRPr="003A0293">
        <w:t>Wireless Communications Services (WCS) can be used for a variety of fixed, mobile, radiolocation, and digital audio broadcasting satellite services. Wireless spectrum is made available and licensed for the provision of wireless communications services in several frequency bands subject to Part 27 of the Commission’s rules.</w:t>
      </w:r>
      <w:r>
        <w:rPr>
          <w:rStyle w:val="FootnoteReference"/>
        </w:rPr>
        <w:footnoteReference w:id="133"/>
      </w:r>
      <w:r w:rsidRPr="003A0293">
        <w:t xml:space="preserve">  Wireless Telecommunications Carriers (</w:t>
      </w:r>
      <w:r w:rsidRPr="003A0293">
        <w:rPr>
          <w:i/>
          <w:iCs/>
        </w:rPr>
        <w:t xml:space="preserve">except </w:t>
      </w:r>
      <w:r w:rsidRPr="003A0293">
        <w:t>Satellite)</w:t>
      </w:r>
      <w:r>
        <w:rPr>
          <w:rStyle w:val="FootnoteReference"/>
        </w:rPr>
        <w:footnoteReference w:id="134"/>
      </w:r>
      <w:r w:rsidRPr="003A0293">
        <w:t xml:space="preserve"> is the closest industry with a SBA small business size standard applicable to these services.  The SBA small business size standard for this industry classifies a business as small if it has 1,500 or fewer employees.</w:t>
      </w:r>
      <w:r>
        <w:rPr>
          <w:rStyle w:val="FootnoteReference"/>
        </w:rPr>
        <w:footnoteReference w:id="135"/>
      </w:r>
      <w:r w:rsidRPr="003A0293">
        <w:t xml:space="preserve">  U.S. Census Bureau data for 2017 show that there were 2,893 firms that operated in this industry for the entire year.</w:t>
      </w:r>
      <w:r>
        <w:rPr>
          <w:rStyle w:val="FootnoteReference"/>
        </w:rPr>
        <w:footnoteReference w:id="136"/>
      </w:r>
      <w:r w:rsidRPr="003A0293">
        <w:t xml:space="preserve">  Of this number, 2,837 firms employed fewer than 250 </w:t>
      </w:r>
      <w:r w:rsidRPr="003A0293">
        <w:t>employees.</w:t>
      </w:r>
      <w:r>
        <w:rPr>
          <w:rStyle w:val="FootnoteReference"/>
        </w:rPr>
        <w:footnoteReference w:id="137"/>
      </w:r>
      <w:r w:rsidRPr="003A0293">
        <w:t xml:space="preserve">  Thus under the SBA size standard, the Commission estimates that a majority of licensees in this industry can be considered small.</w:t>
      </w:r>
    </w:p>
    <w:p w:rsidR="009B6017" w:rsidRPr="003A0293" w:rsidP="00BE6D4C" w14:paraId="1DDEE438" w14:textId="77777777">
      <w:pPr>
        <w:pStyle w:val="ParaNum"/>
        <w:widowControl/>
        <w:tabs>
          <w:tab w:val="clear" w:pos="1080"/>
        </w:tabs>
      </w:pPr>
      <w:r w:rsidRPr="003A0293">
        <w:t>The Commission’s small business size standards with respect to WCS involve eligibility for bidding credits and installment payments in the auction of licenses for the various frequency bands included in WCS.  When bidding credits are adopted for the auction of licenses in WCS frequency bands, such credits may be available to several types of small businesses based average gross revenues (small, very small and entrepreneur) pursuant to the competitive bidding rules adopted in conjunction with the requirements for the auction and/or as identified in the designated entities section in Part 27 of the Commission’s rules for the specific WCS frequency bands.</w:t>
      </w:r>
      <w:r>
        <w:rPr>
          <w:rStyle w:val="FootnoteReference"/>
        </w:rPr>
        <w:footnoteReference w:id="138"/>
      </w:r>
      <w:r w:rsidRPr="003A0293">
        <w:t xml:space="preserve">   </w:t>
      </w:r>
    </w:p>
    <w:p w:rsidR="009B6017" w:rsidRPr="003A0293" w:rsidP="00BE6D4C" w14:paraId="0AE5F44A" w14:textId="77777777">
      <w:pPr>
        <w:pStyle w:val="ParaNum"/>
        <w:widowControl/>
        <w:tabs>
          <w:tab w:val="clear" w:pos="1080"/>
        </w:tabs>
      </w:pPr>
      <w:r w:rsidRPr="003A0293">
        <w:t xml:space="preserve">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9B6017" w:rsidRPr="003A0293" w:rsidP="00BE6D4C" w14:paraId="32D97A59" w14:textId="77777777">
      <w:pPr>
        <w:pStyle w:val="ParaNum"/>
        <w:widowControl/>
        <w:tabs>
          <w:tab w:val="clear" w:pos="1080"/>
        </w:tabs>
        <w:rPr>
          <w:snapToGrid/>
          <w:color w:val="000000"/>
        </w:rPr>
      </w:pPr>
      <w:r w:rsidRPr="003A0293">
        <w:rPr>
          <w:i/>
          <w:iCs/>
        </w:rPr>
        <w:t>700 MHz Guard Band Licensees</w:t>
      </w:r>
      <w:r w:rsidRPr="003A0293">
        <w:t>.  The 700 MHz Guard Band encompasses spectrum in 746-747/776-777 MHz and 762-764/792-794 MHz frequency bands.  Wireless Telecommunications Carriers (</w:t>
      </w:r>
      <w:r w:rsidRPr="003A0293">
        <w:rPr>
          <w:i/>
          <w:iCs/>
        </w:rPr>
        <w:t xml:space="preserve">except </w:t>
      </w:r>
      <w:r w:rsidRPr="003A0293">
        <w:t>Satellite)</w:t>
      </w:r>
      <w:r>
        <w:rPr>
          <w:rStyle w:val="FootnoteReference"/>
        </w:rPr>
        <w:footnoteReference w:id="139"/>
      </w:r>
      <w:r w:rsidRPr="003A0293">
        <w:t xml:space="preserve"> is the closest industry with a SBA small business size standard applicable to licenses providing services in these bands.  The SBA small business size standard for this industry classifies a business as small if it has 1,500 or fewer employees.</w:t>
      </w:r>
      <w:r>
        <w:rPr>
          <w:rStyle w:val="FootnoteReference"/>
        </w:rPr>
        <w:footnoteReference w:id="140"/>
      </w:r>
      <w:r w:rsidRPr="003A0293">
        <w:t xml:space="preserve">  U.S. Census Bureau data for 2017 show that there were 2,893 firms that operated in this industry for the entire year.</w:t>
      </w:r>
      <w:r>
        <w:rPr>
          <w:rStyle w:val="FootnoteReference"/>
        </w:rPr>
        <w:footnoteReference w:id="141"/>
      </w:r>
      <w:r w:rsidRPr="003A0293">
        <w:t xml:space="preserve">  Of this number, 2,837 firms employed fewer than 250 employees.</w:t>
      </w:r>
      <w:r>
        <w:rPr>
          <w:rStyle w:val="FootnoteReference"/>
        </w:rPr>
        <w:footnoteReference w:id="142"/>
      </w:r>
      <w:r w:rsidRPr="003A0293">
        <w:t xml:space="preserve">  Thus under the SBA size standard, the Commission estimates that a majority of licensees in this industry can be considered small.</w:t>
      </w:r>
    </w:p>
    <w:p w:rsidR="009B6017" w:rsidRPr="003A0293" w:rsidP="00BE6D4C" w14:paraId="5C377C66" w14:textId="77777777">
      <w:pPr>
        <w:pStyle w:val="ParaNum"/>
        <w:widowControl/>
        <w:tabs>
          <w:tab w:val="clear" w:pos="1080"/>
        </w:tabs>
      </w:pPr>
      <w:r w:rsidRPr="003A0293">
        <w:t>According to Commission data as of December 2021, there were approximately 224 active 700 MHz Guard Band licenses.</w:t>
      </w:r>
      <w:r>
        <w:rPr>
          <w:rStyle w:val="FootnoteReference"/>
        </w:rPr>
        <w:footnoteReference w:id="143"/>
      </w:r>
      <w:r w:rsidRPr="003A0293">
        <w:t xml:space="preserve">  The Commission’s small business size standards with respect to </w:t>
      </w:r>
      <w:r w:rsidRPr="003A0293">
        <w:t xml:space="preserve">700 MHz Guard Band licensees involve eligibility for bidding credits and installment payments in the auction of licenses.  </w:t>
      </w:r>
      <w:r w:rsidRPr="003A0293">
        <w:rPr>
          <w:color w:val="000000"/>
        </w:rPr>
        <w:t xml:space="preserve">For the auction of these licenses, </w:t>
      </w:r>
      <w:r w:rsidRPr="003A0293">
        <w:t>the Commission defined a “small business” as an entity that, together with its affiliates and controlling principals, has average gross revenues not exceeding $40 million for the preceding three years, and a “very small business” an entity that, together with its affiliates and controlling principals, has average gross revenues that are not more than $15 million for the preceding three years.</w:t>
      </w:r>
      <w:r>
        <w:rPr>
          <w:rStyle w:val="FootnoteReference"/>
        </w:rPr>
        <w:footnoteReference w:id="144"/>
      </w:r>
      <w:r w:rsidRPr="003A0293">
        <w:t xml:space="preserve">  Pursuant to these definitions, five winning bidders claiming </w:t>
      </w:r>
      <w:r w:rsidRPr="003A0293">
        <w:rPr>
          <w:color w:val="000000"/>
        </w:rPr>
        <w:t>one of the small business status classifications</w:t>
      </w:r>
      <w:r w:rsidRPr="003A0293">
        <w:t xml:space="preserve"> won 26 licenses, and one winning bidder </w:t>
      </w:r>
      <w:r w:rsidRPr="003A0293">
        <w:rPr>
          <w:color w:val="000000"/>
        </w:rPr>
        <w:t xml:space="preserve">claiming small business won </w:t>
      </w:r>
      <w:r w:rsidRPr="003A0293">
        <w:t>two licenses.</w:t>
      </w:r>
      <w:r>
        <w:rPr>
          <w:rStyle w:val="FootnoteReference"/>
        </w:rPr>
        <w:footnoteReference w:id="145"/>
      </w:r>
      <w:r w:rsidRPr="003A0293">
        <w:t xml:space="preserve"> </w:t>
      </w:r>
      <w:r w:rsidRPr="003A0293">
        <w:rPr>
          <w:color w:val="000000"/>
        </w:rPr>
        <w:t xml:space="preserve">None of the winning bidders claiming a small business status classification in these </w:t>
      </w:r>
      <w:r w:rsidRPr="003A0293">
        <w:t xml:space="preserve">700 MHz Guard Band </w:t>
      </w:r>
      <w:r w:rsidRPr="003A0293">
        <w:rPr>
          <w:color w:val="000000"/>
        </w:rPr>
        <w:t>license auctions had an active license as of December 2021.</w:t>
      </w:r>
      <w:r>
        <w:rPr>
          <w:rStyle w:val="FootnoteReference"/>
        </w:rPr>
        <w:footnoteReference w:id="146"/>
      </w:r>
      <w:r w:rsidRPr="003A0293">
        <w:t xml:space="preserve"> </w:t>
      </w:r>
      <w:r w:rsidRPr="003A0293">
        <w:rPr>
          <w:color w:val="000000"/>
        </w:rPr>
        <w:t xml:space="preserve">  </w:t>
      </w:r>
    </w:p>
    <w:p w:rsidR="009B6017" w:rsidRPr="003A0293" w:rsidP="00BE6D4C" w14:paraId="57AC4D9D" w14:textId="77777777">
      <w:pPr>
        <w:pStyle w:val="ParaNum"/>
        <w:widowControl/>
        <w:tabs>
          <w:tab w:val="clear" w:pos="1080"/>
        </w:tabs>
      </w:pPr>
      <w:r w:rsidRPr="003A0293">
        <w:t xml:space="preserve">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9B6017" w:rsidRPr="003A0293" w:rsidP="00BE6D4C" w14:paraId="082A63D8" w14:textId="77777777">
      <w:pPr>
        <w:pStyle w:val="ParaNum"/>
        <w:widowControl/>
        <w:tabs>
          <w:tab w:val="clear" w:pos="1080"/>
        </w:tabs>
      </w:pPr>
      <w:bookmarkStart w:id="506" w:name="OLE_LINK48"/>
      <w:bookmarkStart w:id="507" w:name="OLE_LINK49"/>
      <w:r w:rsidRPr="003A0293">
        <w:rPr>
          <w:i/>
          <w:iCs/>
        </w:rPr>
        <w:t>Lower 700 MHz Band Licenses</w:t>
      </w:r>
      <w:r w:rsidRPr="003A0293">
        <w:t xml:space="preserve">.  The lower 700 MHz band encompasses spectrum in the </w:t>
      </w:r>
      <w:r w:rsidRPr="003A0293">
        <w:rPr>
          <w:rFonts w:ascii="TimesNewRoman" w:hAnsi="TimesNewRoman" w:cs="TimesNewRoman"/>
          <w:color w:val="010101"/>
          <w:sz w:val="20"/>
        </w:rPr>
        <w:t xml:space="preserve">698-746 MHz frequency </w:t>
      </w:r>
      <w:r w:rsidRPr="003A0293">
        <w:t>bands.  Permissible operations in these bands include</w:t>
      </w:r>
      <w:bookmarkStart w:id="508" w:name="Permissible_Operations"/>
      <w:r w:rsidRPr="003A0293">
        <w:t xml:space="preserve"> flexible fixed, mobile, and broadcast uses, including mobile and other digital new broadcast operation; fixed and mobile wireless commercial services (including FDD- and TDD-based services); as well as fixed and mobile wireless uses for private, internal radio needs, two-way interactive, cellular, and mobile television broadcasting services.</w:t>
      </w:r>
      <w:bookmarkEnd w:id="508"/>
      <w:r>
        <w:rPr>
          <w:rStyle w:val="FootnoteReference"/>
        </w:rPr>
        <w:footnoteReference w:id="147"/>
      </w:r>
      <w:r w:rsidRPr="003A0293">
        <w:rPr>
          <w:rFonts w:ascii="Open Sans" w:hAnsi="Open Sans" w:cs="Open Sans"/>
        </w:rPr>
        <w:t xml:space="preserve"> </w:t>
      </w:r>
      <w:r w:rsidRPr="003A0293">
        <w:t>Wireless Telecommunications Carriers (</w:t>
      </w:r>
      <w:r w:rsidRPr="003A0293">
        <w:rPr>
          <w:i/>
          <w:iCs/>
        </w:rPr>
        <w:t xml:space="preserve">except </w:t>
      </w:r>
      <w:r w:rsidRPr="003A0293">
        <w:t>Satellite)</w:t>
      </w:r>
      <w:r>
        <w:rPr>
          <w:rStyle w:val="FootnoteReference"/>
        </w:rPr>
        <w:footnoteReference w:id="148"/>
      </w:r>
      <w:r w:rsidRPr="003A0293">
        <w:t xml:space="preserve"> is the closest industry with a SBA small business size standard applicable to licenses providing services in these bands.  The SBA small business size standard for this industry classifies a business as small if it has 1,500 or fewer employees.</w:t>
      </w:r>
      <w:r>
        <w:rPr>
          <w:rStyle w:val="FootnoteReference"/>
        </w:rPr>
        <w:footnoteReference w:id="149"/>
      </w:r>
      <w:r w:rsidRPr="003A0293">
        <w:t xml:space="preserve">  U.S. Census Bureau data for 2017 show that there were 2,893 firms that operated in this industry for the entire year.</w:t>
      </w:r>
      <w:r>
        <w:rPr>
          <w:rStyle w:val="FootnoteReference"/>
        </w:rPr>
        <w:footnoteReference w:id="150"/>
      </w:r>
      <w:r w:rsidRPr="003A0293">
        <w:t xml:space="preserve">  Of this number, 2,837 firms employed fewer than 250 employees.</w:t>
      </w:r>
      <w:r>
        <w:rPr>
          <w:rStyle w:val="FootnoteReference"/>
        </w:rPr>
        <w:footnoteReference w:id="151"/>
      </w:r>
      <w:r w:rsidRPr="003A0293">
        <w:t xml:space="preserve">  Thus under the SBA </w:t>
      </w:r>
      <w:r w:rsidRPr="003A0293">
        <w:t>size standard, the Commission estimates that a majority of licensees in this industry can be considered small.</w:t>
      </w:r>
    </w:p>
    <w:p w:rsidR="009B6017" w:rsidRPr="003A0293" w:rsidP="00BE6D4C" w14:paraId="5D4506D8" w14:textId="77777777">
      <w:pPr>
        <w:pStyle w:val="ParaNum"/>
        <w:widowControl/>
        <w:tabs>
          <w:tab w:val="clear" w:pos="1080"/>
        </w:tabs>
      </w:pPr>
      <w:r w:rsidRPr="003A0293">
        <w:t>According to Commission data as of December 2021, there were approximately 2,824 active Lower 700 MHz Band licenses.</w:t>
      </w:r>
      <w:r>
        <w:rPr>
          <w:rStyle w:val="FootnoteReference"/>
        </w:rPr>
        <w:footnoteReference w:id="152"/>
      </w:r>
      <w:r w:rsidRPr="003A0293">
        <w:t xml:space="preserve">  The Commission’s small business size standards with respect to Lower 700 MHz Band licensees involve eligibility for bidding credits and installment payments in the auction of licenses.  For auctions of Lower 700 MHz Band licenses the </w:t>
      </w:r>
      <w:r w:rsidRPr="003A0293">
        <w:rPr>
          <w:color w:val="000000"/>
        </w:rPr>
        <w:t xml:space="preserve">Commission adopted criteria for three groups of small businesses.  </w:t>
      </w:r>
      <w:r w:rsidRPr="003A0293">
        <w:t>A very small business was defined as an entity that, together with its affiliates and controlling interests, has average annual gross revenues not exceeding $15 million for the preceding three years, a small business was defined as an entity that, together with its affiliates and controlling interests, has average gross revenues not exceeding $40 million for the preceding three years, and an entrepreneur was defined as an entity that, together with its affiliates and controlling interests, has average gross revenues not exceeding $3 million for the preceding three years.</w:t>
      </w:r>
      <w:r>
        <w:rPr>
          <w:rStyle w:val="FootnoteReference"/>
        </w:rPr>
        <w:footnoteReference w:id="153"/>
      </w:r>
      <w:r w:rsidRPr="003A0293">
        <w:t xml:space="preserve"> In auctions for Lower 700 MHz Band licenses seventy-two winning bidders claiming a small business classification won 329 licenses,</w:t>
      </w:r>
      <w:r>
        <w:rPr>
          <w:vertAlign w:val="superscript"/>
        </w:rPr>
        <w:footnoteReference w:id="154"/>
      </w:r>
      <w:r w:rsidRPr="003A0293">
        <w:t xml:space="preserve">  twenty-six winning bidders claiming a small business classification won 214 licenses,</w:t>
      </w:r>
      <w:r>
        <w:rPr>
          <w:vertAlign w:val="superscript"/>
        </w:rPr>
        <w:footnoteReference w:id="155"/>
      </w:r>
      <w:r w:rsidRPr="003A0293">
        <w:t xml:space="preserve"> and three winning bidders claiming a small business classification won all five auctioned licenses.</w:t>
      </w:r>
      <w:r>
        <w:rPr>
          <w:rStyle w:val="FootnoteReference"/>
        </w:rPr>
        <w:footnoteReference w:id="156"/>
      </w:r>
    </w:p>
    <w:p w:rsidR="009B6017" w:rsidRPr="003A0293" w:rsidP="00BE6D4C" w14:paraId="3C248135" w14:textId="77777777">
      <w:pPr>
        <w:pStyle w:val="ParaNum"/>
        <w:widowControl/>
        <w:tabs>
          <w:tab w:val="clear" w:pos="1080"/>
        </w:tabs>
      </w:pPr>
      <w:r w:rsidRPr="003A0293">
        <w:t xml:space="preserve">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bookmarkEnd w:id="506"/>
    <w:bookmarkEnd w:id="507"/>
    <w:p w:rsidR="009B6017" w:rsidRPr="003A0293" w:rsidP="00BE6D4C" w14:paraId="5F7DA7F1" w14:textId="77777777">
      <w:pPr>
        <w:pStyle w:val="ParaNum"/>
        <w:widowControl/>
        <w:tabs>
          <w:tab w:val="clear" w:pos="1080"/>
        </w:tabs>
      </w:pPr>
      <w:r w:rsidRPr="003A0293">
        <w:rPr>
          <w:i/>
          <w:iCs/>
        </w:rPr>
        <w:t>Upper 700 MHz Band Licenses</w:t>
      </w:r>
      <w:r w:rsidRPr="003A0293">
        <w:t xml:space="preserve">.  The upper 700 MHz band encompasses spectrum in the </w:t>
      </w:r>
      <w:r w:rsidRPr="003A0293">
        <w:rPr>
          <w:color w:val="010101"/>
        </w:rPr>
        <w:t xml:space="preserve">746-806 MHz bands.  Upper 700 MHz D </w:t>
      </w:r>
      <w:r w:rsidRPr="00BE6D4C">
        <w:t>Block</w:t>
      </w:r>
      <w:r w:rsidRPr="003A0293">
        <w:rPr>
          <w:color w:val="010101"/>
        </w:rPr>
        <w:t xml:space="preserve"> licenses are nationwide licenses associated with the 758-763 MHz and 788-793 MHz bands.</w:t>
      </w:r>
      <w:r>
        <w:rPr>
          <w:rStyle w:val="FootnoteReference"/>
        </w:rPr>
        <w:footnoteReference w:id="157"/>
      </w:r>
      <w:r w:rsidRPr="003A0293">
        <w:rPr>
          <w:color w:val="010101"/>
        </w:rPr>
        <w:t xml:space="preserve">  </w:t>
      </w:r>
      <w:r w:rsidRPr="003A0293">
        <w:t xml:space="preserve">Permissible operations in these bands include flexible fixed, mobile, and broadcast uses, including mobile and other digital new broadcast operation; fixed and mobile </w:t>
      </w:r>
      <w:r w:rsidRPr="003A0293">
        <w:t>wireless commercial services (including FDD- and TDD-based services); as well as fixed and mobile wireless uses for private, internal radio needs, two-way interactive, cellular, and mobile television broadcasting services.</w:t>
      </w:r>
      <w:r>
        <w:rPr>
          <w:rStyle w:val="FootnoteReference"/>
        </w:rPr>
        <w:footnoteReference w:id="158"/>
      </w:r>
      <w:r w:rsidRPr="003A0293">
        <w:t xml:space="preserve"> Wireless Telecommunications Carriers (</w:t>
      </w:r>
      <w:r w:rsidRPr="003A0293">
        <w:rPr>
          <w:i/>
          <w:iCs/>
        </w:rPr>
        <w:t xml:space="preserve">except </w:t>
      </w:r>
      <w:r w:rsidRPr="003A0293">
        <w:t>Satellite)</w:t>
      </w:r>
      <w:r>
        <w:rPr>
          <w:rStyle w:val="FootnoteReference"/>
        </w:rPr>
        <w:footnoteReference w:id="159"/>
      </w:r>
      <w:r w:rsidRPr="003A0293">
        <w:t xml:space="preserve"> is the closest industry with a SBA small business size standard applicable to licenses providing services in these bands.  The SBA small business size standard for this industry classifies a business as small if it has 1,500 or fewer employees.</w:t>
      </w:r>
      <w:r>
        <w:rPr>
          <w:rStyle w:val="FootnoteReference"/>
        </w:rPr>
        <w:footnoteReference w:id="160"/>
      </w:r>
      <w:r w:rsidRPr="003A0293">
        <w:t xml:space="preserve">  U.S. Census Bureau data for 2017 show that there were 2,893 firms that operated in this industry for the entire year.</w:t>
      </w:r>
      <w:r>
        <w:rPr>
          <w:rStyle w:val="FootnoteReference"/>
        </w:rPr>
        <w:footnoteReference w:id="161"/>
      </w:r>
      <w:r w:rsidRPr="003A0293">
        <w:t xml:space="preserve">  Of that number, 2,837 firms employed fewer than 250 employees.</w:t>
      </w:r>
      <w:r>
        <w:rPr>
          <w:rStyle w:val="FootnoteReference"/>
        </w:rPr>
        <w:footnoteReference w:id="162"/>
      </w:r>
      <w:r w:rsidRPr="003A0293">
        <w:t xml:space="preserve">  Thus, under the SBA size standard, the Commission estimates that a majority of licensees in this industry can be considered small.</w:t>
      </w:r>
    </w:p>
    <w:p w:rsidR="009B6017" w:rsidRPr="003A0293" w:rsidP="00BE6D4C" w14:paraId="72A0B2A5" w14:textId="77777777">
      <w:pPr>
        <w:pStyle w:val="ParaNum"/>
        <w:widowControl/>
        <w:tabs>
          <w:tab w:val="clear" w:pos="1080"/>
        </w:tabs>
      </w:pPr>
      <w:r w:rsidRPr="003A0293">
        <w:t>According to Commission data as of December 2021, there were approximately 152 active Upper 700 MHz Band licenses.</w:t>
      </w:r>
      <w:r>
        <w:rPr>
          <w:rStyle w:val="Hyperlink"/>
          <w:vertAlign w:val="superscript"/>
        </w:rPr>
        <w:footnoteReference w:id="163"/>
      </w:r>
      <w:r w:rsidRPr="003A0293">
        <w:rPr>
          <w:vertAlign w:val="superscript"/>
        </w:rPr>
        <w:t xml:space="preserve">  </w:t>
      </w:r>
      <w:r w:rsidRPr="003A0293">
        <w:t xml:space="preserve">The Commission’s small business size standards with respect to Upper 700 MHz Band licensees involve eligibility for bidding credits and installment payments in the auction of licenses.  </w:t>
      </w:r>
      <w:r w:rsidRPr="003A0293">
        <w:rPr>
          <w:color w:val="000000"/>
        </w:rPr>
        <w:t xml:space="preserve">For the auction of </w:t>
      </w:r>
      <w:r w:rsidRPr="00BE6D4C">
        <w:t>these</w:t>
      </w:r>
      <w:r w:rsidRPr="003A0293">
        <w:rPr>
          <w:color w:val="000000"/>
        </w:rPr>
        <w:t xml:space="preserve"> licenses, </w:t>
      </w:r>
      <w:r w:rsidRPr="003A0293">
        <w:t>the Commission defined a “small business” as an entity that, together with its affiliates and controlling principals, has average gross revenues not exceeding $40 million for the preceding three years, and a “very small business” an entity that, together with its affiliates and controlling principals, has average gross revenues that are not more than $15 million for the preceding three years.</w:t>
      </w:r>
      <w:r>
        <w:rPr>
          <w:rStyle w:val="FootnoteReference"/>
        </w:rPr>
        <w:footnoteReference w:id="164"/>
      </w:r>
      <w:r w:rsidRPr="003A0293">
        <w:rPr>
          <w:rStyle w:val="FootnoteReference"/>
        </w:rPr>
        <w:t xml:space="preserve"> </w:t>
      </w:r>
      <w:r w:rsidRPr="003A0293">
        <w:rPr>
          <w:szCs w:val="22"/>
        </w:rPr>
        <w:t xml:space="preserve"> </w:t>
      </w:r>
      <w:r w:rsidRPr="003A0293">
        <w:t>Pursuant to these definitions, three winning bidders claiming very small business status won five of the twelve available licenses.</w:t>
      </w:r>
      <w:r>
        <w:rPr>
          <w:rStyle w:val="FootnoteReference"/>
        </w:rPr>
        <w:footnoteReference w:id="165"/>
      </w:r>
      <w:r w:rsidRPr="003A0293">
        <w:rPr>
          <w:rStyle w:val="FootnoteReference"/>
        </w:rPr>
        <w:t xml:space="preserve"> </w:t>
      </w:r>
      <w:r w:rsidRPr="003A0293">
        <w:rPr>
          <w:vertAlign w:val="superscript"/>
        </w:rPr>
        <w:t xml:space="preserve">  </w:t>
      </w:r>
      <w:r w:rsidRPr="003A0293">
        <w:rPr>
          <w:color w:val="000000"/>
        </w:rPr>
        <w:t xml:space="preserve">  </w:t>
      </w:r>
    </w:p>
    <w:p w:rsidR="009B6017" w:rsidRPr="003A0293" w:rsidP="00BE6D4C" w14:paraId="19F26BF0" w14:textId="77777777">
      <w:pPr>
        <w:pStyle w:val="ParaNum"/>
        <w:widowControl/>
        <w:tabs>
          <w:tab w:val="clear" w:pos="1080"/>
        </w:tabs>
      </w:pPr>
      <w:r w:rsidRPr="003A0293">
        <w:t xml:space="preserve">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9B6017" w:rsidRPr="003A0293" w:rsidP="00BE6D4C" w14:paraId="0423A3BE" w14:textId="77777777">
      <w:pPr>
        <w:pStyle w:val="ParaNum"/>
        <w:widowControl/>
        <w:tabs>
          <w:tab w:val="clear" w:pos="1080"/>
        </w:tabs>
        <w:rPr>
          <w:snapToGrid/>
          <w:color w:val="000000"/>
        </w:rPr>
      </w:pPr>
      <w:r w:rsidRPr="003A0293">
        <w:rPr>
          <w:i/>
          <w:iCs/>
        </w:rPr>
        <w:t xml:space="preserve">Advanced Wireless Services (AWS) - (1710–1755 MHz and 2110–2155 MHz bands (AWS-1); 1915–1920 MHz, 1995–2000 MHz, 2020–2025 MHz and 2175–2180 MHz bands (AWS-2); 2155–2175 MHz band (AWS-3); </w:t>
      </w:r>
      <w:r w:rsidRPr="003A0293">
        <w:t>2000-2020 MHz and 2180-2200 MHz (AWS-4)</w:t>
      </w:r>
      <w:r w:rsidRPr="003A0293">
        <w:rPr>
          <w:i/>
          <w:iCs/>
        </w:rPr>
        <w:t>)</w:t>
      </w:r>
      <w:r w:rsidRPr="003A0293">
        <w:rPr>
          <w:szCs w:val="22"/>
        </w:rPr>
        <w:t xml:space="preserve">.  </w:t>
      </w:r>
      <w:r w:rsidRPr="003A0293">
        <w:t>Spectrum is made available and licensed in these bands for the provision of various wireless communications services.</w:t>
      </w:r>
      <w:r>
        <w:rPr>
          <w:rStyle w:val="FootnoteReference"/>
        </w:rPr>
        <w:footnoteReference w:id="166"/>
      </w:r>
      <w:r w:rsidRPr="003A0293">
        <w:t xml:space="preserve">  Wireless Telecommunications Carriers (</w:t>
      </w:r>
      <w:r w:rsidRPr="003A0293">
        <w:rPr>
          <w:i/>
          <w:iCs/>
        </w:rPr>
        <w:t xml:space="preserve">except </w:t>
      </w:r>
      <w:r w:rsidRPr="003A0293">
        <w:t>Satellite)</w:t>
      </w:r>
      <w:r>
        <w:rPr>
          <w:rStyle w:val="FootnoteReference"/>
        </w:rPr>
        <w:footnoteReference w:id="167"/>
      </w:r>
      <w:r w:rsidRPr="003A0293">
        <w:t xml:space="preserve"> is the closest industry with a SBA small business size standard applicable to these services.  The SBA small business size standard for this industry classifies a business as small if it has 1,500 or fewer employees.</w:t>
      </w:r>
      <w:r>
        <w:rPr>
          <w:rStyle w:val="FootnoteReference"/>
        </w:rPr>
        <w:footnoteReference w:id="168"/>
      </w:r>
      <w:r w:rsidRPr="003A0293">
        <w:t xml:space="preserve">  U.S. Census Bureau data for 2017 show that there were 2,893 firms that operated in this industry for the entire year.</w:t>
      </w:r>
      <w:r>
        <w:rPr>
          <w:rStyle w:val="FootnoteReference"/>
        </w:rPr>
        <w:footnoteReference w:id="169"/>
      </w:r>
      <w:r w:rsidRPr="003A0293">
        <w:t xml:space="preserve">  Of this number, 2,837 firms employed fewer than 250 employees.</w:t>
      </w:r>
      <w:r>
        <w:rPr>
          <w:rStyle w:val="FootnoteReference"/>
        </w:rPr>
        <w:footnoteReference w:id="170"/>
      </w:r>
      <w:r w:rsidRPr="003A0293">
        <w:t xml:space="preserve">  Thus, under the SBA size standard, the Commission estimates that a majority of licensees in this industry can be considered small.</w:t>
      </w:r>
    </w:p>
    <w:p w:rsidR="009B6017" w:rsidRPr="003A0293" w:rsidP="00BE6D4C" w14:paraId="664D636C" w14:textId="77777777">
      <w:pPr>
        <w:pStyle w:val="ParaNum"/>
        <w:widowControl/>
        <w:tabs>
          <w:tab w:val="clear" w:pos="1080"/>
        </w:tabs>
      </w:pPr>
      <w:r w:rsidRPr="003A0293">
        <w:t>According to Commission data as December 2021, there were approximately 4,472 active AWS licenses.</w:t>
      </w:r>
      <w:r>
        <w:rPr>
          <w:rStyle w:val="FootnoteReference"/>
        </w:rPr>
        <w:footnoteReference w:id="171"/>
      </w:r>
      <w:r w:rsidRPr="003A0293">
        <w:t xml:space="preserve">  The Commission’s small business size standards with respect to AWS involve eligibility for bidding credits and installment payments in the auction of licenses for these services.  </w:t>
      </w:r>
      <w:r w:rsidRPr="003A0293">
        <w:rPr>
          <w:color w:val="000000"/>
        </w:rPr>
        <w:t>For the auction of AWS licenses, the Commission defined</w:t>
      </w:r>
      <w:r w:rsidRPr="003A0293">
        <w:t xml:space="preserve"> a “small business” as an entity with average annual gross revenues for the preceding three years not exceeding $40 million, and a “very small business” as an entity with average annual gross revenues for the preceding three years not exceeding $15 million</w:t>
      </w:r>
      <w:r w:rsidRPr="003A0293">
        <w:rPr>
          <w:snapToGrid/>
          <w:color w:val="000000"/>
        </w:rPr>
        <w:t>.</w:t>
      </w:r>
      <w:r>
        <w:rPr>
          <w:snapToGrid/>
          <w:color w:val="000000"/>
          <w:vertAlign w:val="superscript"/>
        </w:rPr>
        <w:footnoteReference w:id="172"/>
      </w:r>
      <w:r w:rsidRPr="003A0293">
        <w:rPr>
          <w:szCs w:val="22"/>
        </w:rPr>
        <w:t xml:space="preserve">  </w:t>
      </w:r>
      <w:r w:rsidRPr="003A0293">
        <w:rPr>
          <w:snapToGrid/>
          <w:color w:val="000000"/>
        </w:rPr>
        <w:t>Pursuant to these definitions, 57 winning bidders claiming status as small or very small businesses won 215 of 1,087 licenses.</w:t>
      </w:r>
      <w:r>
        <w:rPr>
          <w:rStyle w:val="FootnoteReference"/>
          <w:snapToGrid/>
        </w:rPr>
        <w:footnoteReference w:id="173"/>
      </w:r>
      <w:r w:rsidRPr="003A0293">
        <w:rPr>
          <w:snapToGrid/>
          <w:color w:val="000000"/>
        </w:rPr>
        <w:t xml:space="preserve">  In the most recent auction of AWS licenses 15 of 37 bidders qualifying for status as small or very small businesses won licenses.</w:t>
      </w:r>
      <w:r>
        <w:rPr>
          <w:rStyle w:val="FootnoteReference"/>
          <w:snapToGrid/>
        </w:rPr>
        <w:footnoteReference w:id="174"/>
      </w:r>
    </w:p>
    <w:p w:rsidR="009B6017" w:rsidRPr="003A0293" w:rsidP="00BE6D4C" w14:paraId="41EC174D" w14:textId="77777777">
      <w:pPr>
        <w:pStyle w:val="ParaNum"/>
        <w:widowControl/>
        <w:tabs>
          <w:tab w:val="clear" w:pos="1080"/>
        </w:tabs>
      </w:pPr>
      <w:r w:rsidRPr="003A0293">
        <w:t xml:space="preserve">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9B6017" w:rsidRPr="003A0293" w:rsidP="00BE6D4C" w14:paraId="1946C27C" w14:textId="77777777">
      <w:pPr>
        <w:pStyle w:val="ParaNum"/>
        <w:widowControl/>
        <w:tabs>
          <w:tab w:val="clear" w:pos="1080"/>
        </w:tabs>
      </w:pPr>
      <w:r w:rsidRPr="003A0293">
        <w:rPr>
          <w:i/>
          <w:iCs/>
        </w:rPr>
        <w:t>Broadband Radio Service and Educational Broadband Service.</w:t>
      </w:r>
      <w:r w:rsidRPr="003A0293">
        <w:t xml:space="preserve">  Broadband Radio Service systems, previously referred to as Multipoint Distribution Service (MDS) and Multichannel Multipoint Distribution Service (MMDS) systems, and “wireless cable,”</w:t>
      </w:r>
      <w:r>
        <w:rPr>
          <w:rStyle w:val="FootnoteReference"/>
        </w:rPr>
        <w:footnoteReference w:id="175"/>
      </w:r>
      <w:r w:rsidRPr="003A0293">
        <w:t xml:space="preserv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rStyle w:val="FootnoteReference"/>
        </w:rPr>
        <w:footnoteReference w:id="176"/>
      </w:r>
      <w:r w:rsidRPr="003A0293">
        <w:t xml:space="preserve">  Wireless cable operators that use spectrum in the BRS often supplemented with leased channels from the EBS, provide a competitive alternative to wired cable and other multichannel video programming distributors.  Wireless cable programming to subscribers resembles cable television, but instead of coaxial cable, wireless cable uses microwave channels.</w:t>
      </w:r>
      <w:r>
        <w:rPr>
          <w:rStyle w:val="FootnoteReference"/>
        </w:rPr>
        <w:footnoteReference w:id="177"/>
      </w:r>
      <w:r w:rsidRPr="003A0293">
        <w:t xml:space="preserve">    </w:t>
      </w:r>
    </w:p>
    <w:p w:rsidR="009B6017" w:rsidRPr="003A0293" w:rsidP="00BE6D4C" w14:paraId="4A9FDCE6" w14:textId="77777777">
      <w:pPr>
        <w:pStyle w:val="ParaNum"/>
        <w:widowControl/>
        <w:tabs>
          <w:tab w:val="clear" w:pos="1080"/>
        </w:tabs>
        <w:rPr>
          <w:snapToGrid/>
          <w:color w:val="000000"/>
        </w:rPr>
      </w:pPr>
      <w:r w:rsidRPr="003A0293">
        <w:t>In light of the use of wireless frequencies by BRS and EBS services, the closest industry with a SBA small business size standard applicable to these services is Wireless Telecommunications Carriers (</w:t>
      </w:r>
      <w:r w:rsidRPr="003A0293">
        <w:rPr>
          <w:i/>
          <w:iCs/>
        </w:rPr>
        <w:t xml:space="preserve">except </w:t>
      </w:r>
      <w:r w:rsidRPr="003A0293">
        <w:t>Satellite).</w:t>
      </w:r>
      <w:r>
        <w:rPr>
          <w:rStyle w:val="FootnoteReference"/>
        </w:rPr>
        <w:footnoteReference w:id="178"/>
      </w:r>
      <w:r w:rsidRPr="003A0293">
        <w:t xml:space="preserve">  The SBA small business size standard for this industry classifies a business as small if it has 1,500 or fewer employees.</w:t>
      </w:r>
      <w:r>
        <w:rPr>
          <w:rStyle w:val="FootnoteReference"/>
        </w:rPr>
        <w:footnoteReference w:id="179"/>
      </w:r>
      <w:r w:rsidRPr="003A0293">
        <w:t xml:space="preserve">  U.S. Census Bureau data for 2017 show that there were 2,893 firms that operated in this industry for the entire year.</w:t>
      </w:r>
      <w:r>
        <w:rPr>
          <w:rStyle w:val="FootnoteReference"/>
        </w:rPr>
        <w:footnoteReference w:id="180"/>
      </w:r>
      <w:r w:rsidRPr="003A0293">
        <w:t xml:space="preserve">  Of this number, 2,837 firms employed fewer than 250 employees.</w:t>
      </w:r>
      <w:r>
        <w:rPr>
          <w:rStyle w:val="FootnoteReference"/>
        </w:rPr>
        <w:footnoteReference w:id="181"/>
      </w:r>
      <w:r w:rsidRPr="003A0293">
        <w:t xml:space="preserve">  Thus under the SBA size standard, the Commission estimates that a majority of licensees in this industry can be considered small.</w:t>
      </w:r>
    </w:p>
    <w:p w:rsidR="009B6017" w:rsidRPr="003A0293" w:rsidP="00BE6D4C" w14:paraId="71EA32D3" w14:textId="77777777">
      <w:pPr>
        <w:pStyle w:val="ParaNum"/>
        <w:widowControl/>
        <w:tabs>
          <w:tab w:val="clear" w:pos="1080"/>
        </w:tabs>
      </w:pPr>
      <w:r w:rsidRPr="003A0293">
        <w:t>According to Commission data as December 2021, there were approximately 5,869 active BRS and EBS licenses.</w:t>
      </w:r>
      <w:r>
        <w:rPr>
          <w:rStyle w:val="FootnoteReference"/>
        </w:rPr>
        <w:footnoteReference w:id="182"/>
      </w:r>
      <w:r w:rsidRPr="003A0293">
        <w:t xml:space="preserve">  The Commission’s small business size standards with respect to BRS involves eligibility for bidding credits and installment payments in the auction of licenses for these services.  For the auction of BRS licenses, the </w:t>
      </w:r>
      <w:r w:rsidRPr="003A0293">
        <w:rPr>
          <w:color w:val="000000"/>
        </w:rPr>
        <w:t xml:space="preserve">Commission adopted criteria for three groups of small businesses.  </w:t>
      </w:r>
      <w:r w:rsidRPr="003A0293">
        <w:t xml:space="preserve">A very small business is an entity that, together with its affiliates and controlling interests, has average annual gross revenues exceed $3 million and did not exceed $15 million for the preceding three years, a small business is an entity that, together with its affiliates and controlling interests, has </w:t>
      </w:r>
      <w:r w:rsidRPr="003A0293">
        <w:t>average gross revenues exceed $15 million and did not exceed $40 million for the preceding three years, and an entrepreneur is an entity that, together with its affiliates and controlling interests, has average gross revenues not exceeding $3 million for the preceding three years.</w:t>
      </w:r>
      <w:r>
        <w:rPr>
          <w:rStyle w:val="FootnoteReference"/>
        </w:rPr>
        <w:footnoteReference w:id="183"/>
      </w:r>
      <w:r w:rsidRPr="003A0293">
        <w:t xml:space="preserve"> Of the ten winning bidders for BRS licenses, two bidders claiming the small business status won 4 licenses, one bidder claiming the very small business status won three licenses and two bidders claiming entrepreneur status won six licenses.</w:t>
      </w:r>
      <w:r>
        <w:rPr>
          <w:vertAlign w:val="superscript"/>
        </w:rPr>
        <w:footnoteReference w:id="184"/>
      </w:r>
      <w:r w:rsidRPr="003A0293">
        <w:rPr>
          <w:szCs w:val="22"/>
        </w:rPr>
        <w:t xml:space="preserve">  </w:t>
      </w:r>
      <w:r w:rsidRPr="003A0293">
        <w:rPr>
          <w:color w:val="000000"/>
        </w:rPr>
        <w:t>One of the winning bidders claiming a small business status classification in the BRS license auction has an active licenses as of December 2021.</w:t>
      </w:r>
      <w:r>
        <w:rPr>
          <w:rStyle w:val="FootnoteReference"/>
        </w:rPr>
        <w:footnoteReference w:id="185"/>
      </w:r>
      <w:r w:rsidRPr="003A0293">
        <w:t xml:space="preserve"> </w:t>
      </w:r>
      <w:r w:rsidRPr="003A0293">
        <w:rPr>
          <w:color w:val="000000"/>
        </w:rPr>
        <w:t xml:space="preserve">  </w:t>
      </w:r>
    </w:p>
    <w:p w:rsidR="009B6017" w:rsidRPr="003A0293" w:rsidP="00BE6D4C" w14:paraId="40ACCF99" w14:textId="77777777">
      <w:pPr>
        <w:pStyle w:val="ParaNum"/>
        <w:widowControl/>
        <w:tabs>
          <w:tab w:val="clear" w:pos="1080"/>
        </w:tabs>
      </w:pPr>
      <w:r w:rsidRPr="003A0293">
        <w:t xml:space="preserve">The Commission’s small business size standards for EBS define a small business as </w:t>
      </w:r>
      <w:r w:rsidRPr="003A0293">
        <w:rPr>
          <w:color w:val="201F1E"/>
        </w:rPr>
        <w:t xml:space="preserve">an entity that, together with its affiliates, its controlling interests and the affiliates of its controlling interests, has average gross revenues that are not more than $55 million for the preceding five (5) years, and a very small business is an entity that, </w:t>
      </w:r>
      <w:r w:rsidRPr="00BE6D4C">
        <w:t>together</w:t>
      </w:r>
      <w:r w:rsidRPr="003A0293">
        <w:rPr>
          <w:color w:val="201F1E"/>
        </w:rPr>
        <w:t xml:space="preserve"> with its affiliates, its controlling interests and the affiliates of its controlling interests, has average gross revenues that are not more than $20 million for the preceding five (5) years.</w:t>
      </w:r>
      <w:r>
        <w:rPr>
          <w:rStyle w:val="FootnoteReference"/>
        </w:rPr>
        <w:footnoteReference w:id="186"/>
      </w:r>
      <w:r w:rsidRPr="003A0293">
        <w:t xml:space="preserve">  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9B6017" w:rsidRPr="003A0293" w:rsidP="00BE6D4C" w14:paraId="40A4FFAB" w14:textId="77777777">
      <w:pPr>
        <w:pStyle w:val="ParaNum"/>
        <w:widowControl/>
        <w:tabs>
          <w:tab w:val="clear" w:pos="1080"/>
        </w:tabs>
      </w:pPr>
      <w:r w:rsidRPr="003A0293">
        <w:rPr>
          <w:i/>
          <w:iCs/>
        </w:rPr>
        <w:t xml:space="preserve">The Educational Broadcasting Services.  </w:t>
      </w:r>
      <w:r w:rsidRPr="003A0293">
        <w:t xml:space="preserve"> Cable-based educational broadcasting services fall under the broad category of the Wired Telecommunications Carriers industry.</w:t>
      </w:r>
      <w:r>
        <w:rPr>
          <w:vertAlign w:val="superscript"/>
        </w:rPr>
        <w:footnoteReference w:id="187"/>
      </w:r>
      <w:r w:rsidRPr="003A0293">
        <w:t xml:space="preserve">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188"/>
      </w:r>
      <w:r w:rsidRPr="003A0293">
        <w:t xml:space="preserve">  Transmission facilities may be based on a single technology or a combination of technologies.</w:t>
      </w:r>
      <w:r w:rsidRPr="003A0293">
        <w:rPr>
          <w:rStyle w:val="FootnoteReference"/>
        </w:rPr>
        <w:t xml:space="preserve"> </w:t>
      </w:r>
      <w:r>
        <w:rPr>
          <w:rStyle w:val="FootnoteReference"/>
        </w:rPr>
        <w:footnoteReference w:id="189"/>
      </w:r>
      <w:r w:rsidRPr="003A0293">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3A0293">
        <w:rPr>
          <w:rStyle w:val="FootnoteReference"/>
        </w:rPr>
        <w:t xml:space="preserve"> </w:t>
      </w:r>
      <w:r>
        <w:rPr>
          <w:rStyle w:val="FootnoteReference"/>
        </w:rPr>
        <w:footnoteReference w:id="190"/>
      </w:r>
      <w:r w:rsidRPr="003A0293">
        <w:rPr>
          <w:szCs w:val="22"/>
        </w:rPr>
        <w:t xml:space="preserve">  </w:t>
      </w:r>
    </w:p>
    <w:p w:rsidR="009B6017" w:rsidRPr="003A0293" w:rsidP="00BE6D4C" w14:paraId="14F109DB" w14:textId="77777777">
      <w:pPr>
        <w:pStyle w:val="ParaNum"/>
        <w:widowControl/>
        <w:tabs>
          <w:tab w:val="clear" w:pos="1080"/>
        </w:tabs>
      </w:pPr>
      <w:r w:rsidRPr="003A0293">
        <w:t>The SBA small business size standard for this industry classifies businesses having 1,500 or fewer employees as small.</w:t>
      </w:r>
      <w:r>
        <w:rPr>
          <w:vertAlign w:val="superscript"/>
        </w:rPr>
        <w:footnoteReference w:id="191"/>
      </w:r>
      <w:r w:rsidRPr="003A0293">
        <w:t xml:space="preserve">  U.S. Census Bureau data for 2017 show that there were 3,054 firms in this industry that operated for the entire year.</w:t>
      </w:r>
      <w:r>
        <w:rPr>
          <w:rStyle w:val="FootnoteReference"/>
        </w:rPr>
        <w:footnoteReference w:id="192"/>
      </w:r>
      <w:r w:rsidRPr="003A0293">
        <w:t xml:space="preserve">  Of this total, 2,964 firms operated with fewer than 250 employees.</w:t>
      </w:r>
      <w:r>
        <w:rPr>
          <w:rStyle w:val="FootnoteReference"/>
        </w:rPr>
        <w:footnoteReference w:id="193"/>
      </w:r>
      <w:r w:rsidRPr="003A0293">
        <w:t xml:space="preserve"> Thus, under this size standard, the majority of firms in this industry can be considered small.  Additionally, according to Commission data as of December 2021, there were 4,477 active EBS licenses.</w:t>
      </w:r>
      <w:r>
        <w:rPr>
          <w:vertAlign w:val="superscript"/>
        </w:rPr>
        <w:footnoteReference w:id="194"/>
      </w:r>
      <w:r w:rsidRPr="003A0293">
        <w:t xml:space="preserve">  The Commission estimates that the majority of these licenses are held by non-profit educational institutions and school districts and are likely small entities.</w:t>
      </w:r>
    </w:p>
    <w:p w:rsidR="009B6017" w:rsidRPr="003A0293" w:rsidP="00BE6D4C" w14:paraId="7E13DC03" w14:textId="77777777">
      <w:pPr>
        <w:pStyle w:val="ParaNum"/>
        <w:widowControl/>
        <w:tabs>
          <w:tab w:val="clear" w:pos="1080"/>
        </w:tabs>
      </w:pPr>
      <w:r w:rsidRPr="003A0293">
        <w:rPr>
          <w:i/>
          <w:iCs/>
          <w:color w:val="000000"/>
        </w:rPr>
        <w:t>Radio and Television Broadcasting and Wireless Communications Equipment Manufacturing</w:t>
      </w:r>
      <w:r w:rsidRPr="003A0293">
        <w:rPr>
          <w:color w:val="000000"/>
        </w:rPr>
        <w:t>.  This industry comprises establishments primarily engaged in manufacturing radio and television broadcast and wireless communications equipment.</w:t>
      </w:r>
      <w:r>
        <w:rPr>
          <w:rStyle w:val="FootnoteReference"/>
        </w:rPr>
        <w:footnoteReference w:id="195"/>
      </w:r>
      <w:r w:rsidRPr="003A0293">
        <w:rPr>
          <w:color w:val="000000"/>
        </w:rPr>
        <w:t xml:space="preserve">  Examples of products made by these establishments are: transmitting </w:t>
      </w:r>
      <w:r w:rsidRPr="00BE6D4C">
        <w:t>and</w:t>
      </w:r>
      <w:r w:rsidRPr="003A0293">
        <w:rPr>
          <w:color w:val="000000"/>
        </w:rPr>
        <w:t xml:space="preserve"> receiving antennas, cable television equipment, GPS equipment, pagers, cellular phones, mobile communications equipment, and radio and television studio and broadcasting equipment.</w:t>
      </w:r>
      <w:r>
        <w:rPr>
          <w:rStyle w:val="FootnoteReference"/>
        </w:rPr>
        <w:footnoteReference w:id="196"/>
      </w:r>
      <w:r w:rsidRPr="003A0293">
        <w:rPr>
          <w:color w:val="000000"/>
        </w:rPr>
        <w:t xml:space="preserve">  The SBA small business size standard for this industry classifies businesses having 1,250 employees or less as small.</w:t>
      </w:r>
      <w:r>
        <w:rPr>
          <w:rStyle w:val="FootnoteReference"/>
        </w:rPr>
        <w:footnoteReference w:id="197"/>
      </w:r>
      <w:r w:rsidRPr="003A0293">
        <w:rPr>
          <w:color w:val="000000"/>
        </w:rPr>
        <w:t xml:space="preserve">  </w:t>
      </w:r>
      <w:r w:rsidRPr="003A0293">
        <w:t>U.S. Census Bureau data for 2017 show that there were 656 firms in this industry that operated for the entire year.</w:t>
      </w:r>
      <w:r>
        <w:rPr>
          <w:rStyle w:val="FootnoteReference"/>
        </w:rPr>
        <w:footnoteReference w:id="198"/>
      </w:r>
      <w:r w:rsidRPr="003A0293">
        <w:t xml:space="preserve">  Of this number, 624 firms had fewer than 250 employees.</w:t>
      </w:r>
      <w:r>
        <w:rPr>
          <w:rStyle w:val="FootnoteReference"/>
        </w:rPr>
        <w:footnoteReference w:id="199"/>
      </w:r>
      <w:r w:rsidRPr="003A0293">
        <w:t xml:space="preserve">  Thus, under the SBA size standard, the majority of firms in this industry can be considered small.</w:t>
      </w:r>
    </w:p>
    <w:p w:rsidR="009B6017" w:rsidRPr="003A0293" w:rsidP="00BE6D4C" w14:paraId="5AEC6DE7" w14:textId="77777777">
      <w:pPr>
        <w:pStyle w:val="ParaNum"/>
        <w:widowControl/>
        <w:tabs>
          <w:tab w:val="clear" w:pos="1080"/>
        </w:tabs>
      </w:pPr>
      <w:r w:rsidRPr="003A0293">
        <w:rPr>
          <w:i/>
          <w:iCs/>
        </w:rPr>
        <w:t xml:space="preserve">Software Publishers. </w:t>
      </w:r>
      <w:r w:rsidRPr="003A0293">
        <w:t>This industry comprises establishments primarily engaged in computer software publishing or publishing and reproduction.</w:t>
      </w:r>
      <w:r>
        <w:rPr>
          <w:rStyle w:val="FootnoteReference"/>
        </w:rPr>
        <w:footnoteReference w:id="200"/>
      </w:r>
      <w:r w:rsidRPr="003A0293">
        <w:t xml:space="preserve">  Establishments in this industry carry out operations necessary for producing and distributing computer software, such as designing, providing documentation, assisting in installation, and providing support services to software purchasers.</w:t>
      </w:r>
      <w:r>
        <w:rPr>
          <w:rStyle w:val="FootnoteReference"/>
        </w:rPr>
        <w:footnoteReference w:id="201"/>
      </w:r>
      <w:r w:rsidRPr="003A0293">
        <w:t xml:space="preserve">  These </w:t>
      </w:r>
      <w:r w:rsidRPr="003A0293">
        <w:t>establishments may design, develop, and publish, or publish only.</w:t>
      </w:r>
      <w:r>
        <w:rPr>
          <w:rStyle w:val="FootnoteReference"/>
        </w:rPr>
        <w:footnoteReference w:id="202"/>
      </w:r>
      <w:r w:rsidRPr="003A0293">
        <w:t xml:space="preserve">  The SBA small business size standard for this industry classifies businesses having annual receipts of $41.5 million or less as small.</w:t>
      </w:r>
      <w:r>
        <w:rPr>
          <w:rStyle w:val="FootnoteReference"/>
        </w:rPr>
        <w:footnoteReference w:id="203"/>
      </w:r>
      <w:r w:rsidRPr="003A0293">
        <w:t xml:space="preserve">  U.S. Census Bureau data for 2017 indicate that 7,842 firms in this industry operated for the entire year.</w:t>
      </w:r>
      <w:r w:rsidRPr="003A0293">
        <w:rPr>
          <w:rStyle w:val="FootnoteReference"/>
        </w:rPr>
        <w:t xml:space="preserve"> </w:t>
      </w:r>
      <w:r>
        <w:rPr>
          <w:rStyle w:val="FootnoteReference"/>
        </w:rPr>
        <w:footnoteReference w:id="204"/>
      </w:r>
      <w:r w:rsidRPr="003A0293">
        <w:t xml:space="preserve">  Of this number 7,226 firms had </w:t>
      </w:r>
      <w:r w:rsidRPr="003A0293">
        <w:rPr>
          <w:rFonts w:eastAsia="Calibri"/>
        </w:rPr>
        <w:t xml:space="preserve">revenue </w:t>
      </w:r>
      <w:r w:rsidRPr="003A0293">
        <w:t>of less than $25 million.</w:t>
      </w:r>
      <w:r>
        <w:rPr>
          <w:rStyle w:val="FootnoteReference"/>
        </w:rPr>
        <w:footnoteReference w:id="205"/>
      </w:r>
      <w:r w:rsidRPr="003A0293">
        <w:t xml:space="preserve">  Based on this data, we conclude that a majority of firms in this industry are small</w:t>
      </w:r>
      <w:r w:rsidRPr="003A0293">
        <w:rPr>
          <w:szCs w:val="22"/>
        </w:rPr>
        <w:t>.</w:t>
      </w:r>
    </w:p>
    <w:p w:rsidR="009B6017" w:rsidRPr="003A0293" w:rsidP="00BE6D4C" w14:paraId="3B4118DA" w14:textId="77777777">
      <w:pPr>
        <w:pStyle w:val="ParaNum"/>
        <w:widowControl/>
        <w:tabs>
          <w:tab w:val="clear" w:pos="1080"/>
        </w:tabs>
      </w:pPr>
      <w:r w:rsidRPr="003A0293">
        <w:rPr>
          <w:i/>
          <w:iCs/>
        </w:rPr>
        <w:t xml:space="preserve">Noncommercial Educational (NCE) and Public Broadcast Stations. </w:t>
      </w:r>
      <w:r w:rsidRPr="003A0293">
        <w:t xml:space="preserve"> Noncommercial educational broadcast stations and public broadcast stations are television or radio broadcast stations which under the Commission's rules are eligible to be licensed by the Commission as a noncommercial educational radio or television broadcast station and are owned and operated by a public agency or nonprofit private foundation, corporation, or association; or are owned and operated by a municipality which transmits only noncommercial programs for education purposes.</w:t>
      </w:r>
    </w:p>
    <w:p w:rsidR="009B6017" w:rsidP="00BE6D4C" w14:paraId="4B63262E" w14:textId="77777777">
      <w:pPr>
        <w:pStyle w:val="ParaNum"/>
        <w:widowControl/>
        <w:tabs>
          <w:tab w:val="clear" w:pos="1080"/>
        </w:tabs>
      </w:pPr>
      <w:r w:rsidRPr="003A0293">
        <w:t>The SBA small business size standards and U.S. Census Bureau data classify radio stations</w:t>
      </w:r>
      <w:r>
        <w:rPr>
          <w:rStyle w:val="FootnoteReference"/>
        </w:rPr>
        <w:footnoteReference w:id="206"/>
      </w:r>
      <w:r w:rsidRPr="003A0293">
        <w:t xml:space="preserve"> and television broadcasting</w:t>
      </w:r>
      <w:r>
        <w:rPr>
          <w:rStyle w:val="FootnoteReference"/>
        </w:rPr>
        <w:footnoteReference w:id="207"/>
      </w:r>
      <w:r w:rsidRPr="003A0293">
        <w:t xml:space="preserve"> separately and both categories may include both noncommercial and commercial stations.</w:t>
      </w:r>
      <w:r w:rsidRPr="003A0293">
        <w:rPr>
          <w:b/>
          <w:bCs/>
          <w:i/>
          <w:iCs/>
        </w:rPr>
        <w:t xml:space="preserve">  </w:t>
      </w:r>
      <w:r w:rsidRPr="003A0293">
        <w:rPr>
          <w:snapToGrid/>
          <w:kern w:val="0"/>
        </w:rPr>
        <w:t xml:space="preserve">The SBA small business size standard for both radio stations and television broadcasting classify firms </w:t>
      </w:r>
      <w:r w:rsidRPr="00BE6D4C">
        <w:t>having</w:t>
      </w:r>
      <w:r w:rsidRPr="003A0293">
        <w:rPr>
          <w:snapToGrid/>
          <w:kern w:val="0"/>
        </w:rPr>
        <w:t xml:space="preserve"> $41.5 million or less in annual receipts as small.</w:t>
      </w:r>
      <w:r>
        <w:rPr>
          <w:snapToGrid/>
          <w:kern w:val="0"/>
          <w:vertAlign w:val="superscript"/>
        </w:rPr>
        <w:footnoteReference w:id="208"/>
      </w:r>
      <w:r w:rsidRPr="003A0293">
        <w:rPr>
          <w:snapToGrid/>
          <w:kern w:val="0"/>
        </w:rPr>
        <w:t xml:space="preserve">  For Radio Stations, U.S. Census Bureau data for 2017 show that 1,879 of the 2,963 firms that operated during that year had revenue of less than $25 million per year.</w:t>
      </w:r>
      <w:r>
        <w:rPr>
          <w:snapToGrid/>
          <w:kern w:val="0"/>
          <w:vertAlign w:val="superscript"/>
        </w:rPr>
        <w:footnoteReference w:id="209"/>
      </w:r>
      <w:r w:rsidRPr="003A0293">
        <w:rPr>
          <w:snapToGrid/>
          <w:kern w:val="0"/>
        </w:rPr>
        <w:t xml:space="preserve">  For Television Broadcasting, U.S. Census Bureau data for 2017 show that 657 of the </w:t>
      </w:r>
      <w:r w:rsidRPr="003A0293">
        <w:t>744 firms that operated for the entire year had revenue of less than $25,000,000.</w:t>
      </w:r>
      <w:r>
        <w:rPr>
          <w:rStyle w:val="FootnoteReference"/>
        </w:rPr>
        <w:footnoteReference w:id="210"/>
      </w:r>
      <w:r w:rsidRPr="003A0293">
        <w:t xml:space="preserve">  While the </w:t>
      </w:r>
      <w:r w:rsidRPr="003A0293">
        <w:rPr>
          <w:snapToGrid/>
          <w:kern w:val="0"/>
        </w:rPr>
        <w:t>U.S. Census Bureau</w:t>
      </w:r>
      <w:r w:rsidRPr="003A0293">
        <w:t xml:space="preserve"> data does not indicate the number of non-commercial </w:t>
      </w:r>
      <w:r w:rsidRPr="003A0293">
        <w:t>stations, we estimate that under the applicable SBA size standard the majority of noncommercial educational broadcast stations and public broadcast stations are small entities.</w:t>
      </w:r>
    </w:p>
    <w:p w:rsidR="009B6017" w:rsidRPr="00845DD6" w:rsidP="00BE6D4C" w14:paraId="35BC9B63" w14:textId="77777777">
      <w:pPr>
        <w:pStyle w:val="ParaNum"/>
        <w:widowControl/>
        <w:tabs>
          <w:tab w:val="clear" w:pos="1080"/>
        </w:tabs>
      </w:pPr>
      <w:r w:rsidRPr="003A0293">
        <w:t>According to Commission data as of September 2021, there were 4,595 licensed noncommercial educational radio and television stations.</w:t>
      </w:r>
      <w:r>
        <w:rPr>
          <w:rStyle w:val="FootnoteReference"/>
        </w:rPr>
        <w:footnoteReference w:id="211"/>
      </w:r>
      <w:r w:rsidRPr="003A0293">
        <w:t xml:space="preserve">  There were also 2,276 low power television stations, including Class A stations (LPTV) and 3,106 TV translator stations.</w:t>
      </w:r>
      <w:r>
        <w:rPr>
          <w:vertAlign w:val="superscript"/>
        </w:rPr>
        <w:footnoteReference w:id="212"/>
      </w:r>
      <w:r w:rsidRPr="003A0293">
        <w:t xml:space="preserve">  The Commission does not compile and otherwise does not have access to financial information for these stations that permit it to determine how many stations qualify as small entities under the SBA small business size standards</w:t>
      </w:r>
      <w:r w:rsidRPr="00845DD6">
        <w:rPr>
          <w:szCs w:val="22"/>
        </w:rPr>
        <w:t xml:space="preserve">.  </w:t>
      </w:r>
      <w:r w:rsidRPr="003A0293">
        <w:t>However, given the nature of these services, we will presume that all noncommercial educational and public broadcast stations qualify as small entities under the above SBA small business size standards.</w:t>
      </w:r>
    </w:p>
    <w:p w:rsidR="009B6017" w:rsidRPr="00845DD6" w:rsidP="007F0195" w14:paraId="1FA1F54A" w14:textId="77777777">
      <w:pPr>
        <w:pStyle w:val="Heading2"/>
        <w:numPr>
          <w:ilvl w:val="1"/>
          <w:numId w:val="3"/>
        </w:numPr>
      </w:pPr>
      <w:bookmarkStart w:id="523" w:name="_Toc445200411"/>
      <w:bookmarkStart w:id="524" w:name="_Toc445288682"/>
      <w:bookmarkStart w:id="525" w:name="_Toc447029901"/>
      <w:bookmarkStart w:id="526" w:name="_Toc447121579"/>
      <w:bookmarkStart w:id="527" w:name="_Toc447890515"/>
      <w:bookmarkStart w:id="528" w:name="_Toc448326102"/>
      <w:bookmarkStart w:id="529" w:name="_Toc448421317"/>
      <w:bookmarkStart w:id="530" w:name="_Toc450726738"/>
      <w:bookmarkStart w:id="531" w:name="_Toc455148105"/>
      <w:bookmarkStart w:id="532" w:name="_Toc456885113"/>
      <w:bookmarkStart w:id="533" w:name="_Toc456900776"/>
      <w:bookmarkStart w:id="534" w:name="_Toc457080438"/>
      <w:bookmarkStart w:id="535" w:name="_Toc457234788"/>
      <w:bookmarkStart w:id="536" w:name="_Toc457489834"/>
      <w:bookmarkStart w:id="537" w:name="_Toc457576637"/>
      <w:bookmarkStart w:id="538" w:name="_Toc457577528"/>
      <w:bookmarkStart w:id="539" w:name="_Toc457843289"/>
      <w:bookmarkStart w:id="540" w:name="_Toc457927192"/>
      <w:bookmarkStart w:id="541" w:name="_Toc458003464"/>
      <w:bookmarkStart w:id="542" w:name="_Toc459387116"/>
      <w:bookmarkStart w:id="543" w:name="_Toc459738079"/>
      <w:bookmarkStart w:id="544" w:name="_Toc459806004"/>
      <w:bookmarkStart w:id="545" w:name="_Toc460426324"/>
      <w:bookmarkStart w:id="546" w:name="_Toc460924078"/>
      <w:bookmarkStart w:id="547" w:name="_Toc460943112"/>
      <w:bookmarkStart w:id="548" w:name="_Toc462781367"/>
      <w:bookmarkStart w:id="549" w:name="_Toc462917231"/>
      <w:bookmarkStart w:id="550" w:name="_Toc496823006"/>
      <w:bookmarkStart w:id="551" w:name="_Toc498024458"/>
      <w:bookmarkStart w:id="552" w:name="_Toc498024677"/>
      <w:bookmarkStart w:id="553" w:name="_Toc498024827"/>
      <w:bookmarkStart w:id="554" w:name="_Toc499824579"/>
      <w:bookmarkStart w:id="555" w:name="_Toc499907873"/>
      <w:bookmarkStart w:id="556" w:name="_Toc501007102"/>
      <w:bookmarkStart w:id="557" w:name="_Toc501384699"/>
      <w:bookmarkStart w:id="558" w:name="_Toc501543835"/>
      <w:bookmarkStart w:id="559" w:name="_Toc502848676"/>
      <w:bookmarkStart w:id="560" w:name="_Toc503173192"/>
      <w:r w:rsidRPr="00845DD6">
        <w:t>Description of Projected Reporting, Recordkeeping, and Other Compliance Requirements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845DD6">
        <w:t xml:space="preserve"> for Small Entities</w:t>
      </w:r>
    </w:p>
    <w:p w:rsidR="009B6017" w:rsidRPr="003A0293" w:rsidP="00BE6D4C" w14:paraId="234BE6EF" w14:textId="77777777">
      <w:pPr>
        <w:pStyle w:val="ParaNum"/>
        <w:widowControl/>
        <w:tabs>
          <w:tab w:val="clear" w:pos="1080"/>
        </w:tabs>
      </w:pPr>
      <w:r w:rsidRPr="003A0293">
        <w:t xml:space="preserve">We expect the actions proposed in the </w:t>
      </w:r>
      <w:r w:rsidRPr="003A0293">
        <w:rPr>
          <w:i/>
          <w:iCs/>
        </w:rPr>
        <w:t>Further Notice</w:t>
      </w:r>
      <w:r w:rsidRPr="003A0293">
        <w:t xml:space="preserve">, if adopted, will impose additional reporting, recordkeeping and/or other compliance obligations on small as well as other entities who report to the Commission on the performance of their WEA service.  The </w:t>
      </w:r>
      <w:r w:rsidRPr="003A0293">
        <w:rPr>
          <w:i/>
          <w:iCs/>
        </w:rPr>
        <w:t xml:space="preserve">Further Notice </w:t>
      </w:r>
      <w:r w:rsidRPr="003A0293">
        <w:t>seeks to refresh the record to develop metrics for WEA performance and reporting.  Specifically, we seek comment on whether Participating CMS Providers should report to the Commission on the reliability, speed, and accuracy of their WEA service, and if so, on when and how the reports should be provided to the Commission, on how Participating CMS Providers should gather that data necessary to compile those performance reports, and on how WEA reports should quantify these key performance metrics.  We also inquire whether there are other or additional measures of WEA’s performance that are relevant to emergency management agencies and the public that the Commission should consider as a reporting requirement.</w:t>
      </w:r>
    </w:p>
    <w:p w:rsidR="009B6017" w:rsidRPr="003A0293" w:rsidP="00BE6D4C" w14:paraId="31E72A81" w14:textId="77777777">
      <w:pPr>
        <w:pStyle w:val="ParaNum"/>
        <w:widowControl/>
        <w:tabs>
          <w:tab w:val="clear" w:pos="1080"/>
        </w:tabs>
      </w:pPr>
      <w:r w:rsidRPr="003A0293">
        <w:t xml:space="preserve">In assessing the cost of compliance for small entities, at this time the Commission cannot quantify the cost of compliance for small entities and is not in a position to determine whether, if adopted, compliance with any WEA performance reporting or other requirements will require small entities to hire professionals.  The Commission sought detailed comment on the costs of WEA performance reporting in the </w:t>
      </w:r>
      <w:r w:rsidRPr="003A0293">
        <w:rPr>
          <w:i/>
          <w:iCs/>
        </w:rPr>
        <w:t>2016 WEA R&amp;O and FNPRM</w:t>
      </w:r>
      <w:r w:rsidRPr="003A0293">
        <w:t>, but did not receive any responsive comments on this issue.  However, in 2021, the Commission estimated that the total annual cost of compliance with its WEA election requirements for the industry would be $1 million, which was approved by the Office of Management and Budget.</w:t>
      </w:r>
      <w:r>
        <w:rPr>
          <w:vertAlign w:val="superscript"/>
        </w:rPr>
        <w:footnoteReference w:id="213"/>
      </w:r>
      <w:r w:rsidRPr="003A0293">
        <w:t xml:space="preserve">  This cost estimate included the total effort required by Participating CMS Providers to assess the extent of their readiness to participate in WEA and report such to new and existing subscribers and the Commission.  Accordingly regarding costs, the </w:t>
      </w:r>
      <w:r w:rsidRPr="003A0293">
        <w:rPr>
          <w:i/>
          <w:iCs/>
        </w:rPr>
        <w:t>Further Notice</w:t>
      </w:r>
      <w:r w:rsidRPr="003A0293">
        <w:t xml:space="preserve"> seeks comment on: (1) the costs associated with Participating CMS Providers’ production of WEA performance reports, (2) whether its prior $1 million estimate is a reasonable cost ceiling for CMS Providers to generate and submit WEA performance tests because both lines of effort entail reporting and analysis of WEA-related network infrastructure, (3) whether in the alternative, the cost to establish and report on the results of E911 location accuracy testing would be a more accurate analog to the cost of reporting on WEA’s performance,</w:t>
      </w:r>
      <w:r>
        <w:rPr>
          <w:rStyle w:val="FootnoteReference"/>
        </w:rPr>
        <w:footnoteReference w:id="214"/>
      </w:r>
      <w:r w:rsidRPr="003A0293">
        <w:t xml:space="preserve">  and (4) whether </w:t>
      </w:r>
      <w:r w:rsidRPr="003A0293">
        <w:t>standards revisions or software and firmware updates to CMS network equipment and mobile devices may be necessary to log WEA performance data.  We expect the comments we receive to include information addressing costs which will help the Commission identify and evaluate relevant issues for small entities, including compliance costs and other burdens that may result from any WEA performance reporting requirements that may be adopted in this proceeding, before adopting final rules.</w:t>
      </w:r>
    </w:p>
    <w:p w:rsidR="009B6017" w:rsidRPr="00845DD6" w:rsidP="007F0195" w14:paraId="0C565BE0" w14:textId="77777777">
      <w:pPr>
        <w:pStyle w:val="Heading2"/>
        <w:numPr>
          <w:ilvl w:val="1"/>
          <w:numId w:val="3"/>
        </w:numPr>
      </w:pPr>
      <w:bookmarkStart w:id="561" w:name="_Toc367458369"/>
      <w:bookmarkStart w:id="562" w:name="_Toc383514551"/>
      <w:bookmarkStart w:id="563" w:name="_Toc383514789"/>
      <w:bookmarkStart w:id="564" w:name="_Toc384817917"/>
      <w:bookmarkStart w:id="565" w:name="_Toc387054621"/>
      <w:bookmarkStart w:id="566" w:name="_Toc387154767"/>
      <w:bookmarkStart w:id="567" w:name="_Toc387155792"/>
      <w:bookmarkStart w:id="568" w:name="_Toc387222356"/>
      <w:bookmarkStart w:id="569" w:name="_Toc411452480"/>
      <w:bookmarkStart w:id="570" w:name="_Toc411452602"/>
      <w:bookmarkStart w:id="571" w:name="_Toc415747827"/>
      <w:bookmarkStart w:id="572" w:name="_Toc513568757"/>
      <w:bookmarkStart w:id="573" w:name="_Toc514252477"/>
      <w:bookmarkStart w:id="574" w:name="_Toc515613529"/>
      <w:bookmarkStart w:id="575" w:name="_Toc517101456"/>
      <w:bookmarkStart w:id="576" w:name="_Toc517189774"/>
      <w:bookmarkStart w:id="577" w:name="_Toc518822307"/>
      <w:bookmarkStart w:id="578" w:name="_Toc518897259"/>
      <w:bookmarkStart w:id="579" w:name="_Toc518929720"/>
      <w:bookmarkStart w:id="580" w:name="_Toc384814362"/>
      <w:bookmarkStart w:id="581" w:name="_Toc384814441"/>
      <w:bookmarkStart w:id="582" w:name="_Toc384814875"/>
      <w:r w:rsidRPr="00845DD6">
        <w:t>Steps Taken to Minimize the Significant Economic Impact on Small Entities, and Significant Alternatives Considered</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845DD6">
        <w:t xml:space="preserve"> </w:t>
      </w:r>
      <w:bookmarkEnd w:id="580"/>
      <w:bookmarkEnd w:id="581"/>
      <w:bookmarkEnd w:id="582"/>
    </w:p>
    <w:p w:rsidR="009B6017" w:rsidRPr="003A0293" w:rsidP="00BE6D4C" w14:paraId="680F5F03" w14:textId="77777777">
      <w:pPr>
        <w:pStyle w:val="ParaNum"/>
        <w:widowControl/>
        <w:tabs>
          <w:tab w:val="clear" w:pos="1080"/>
        </w:tabs>
      </w:pPr>
      <w:r w:rsidRPr="003A0293">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such small entities; (3) the use of performance, rather than design, standards; and (4) and exemption from coverage of the rule, or any part thereof, for such small entities.”</w:t>
      </w:r>
      <w:r>
        <w:rPr>
          <w:vertAlign w:val="superscript"/>
        </w:rPr>
        <w:footnoteReference w:id="215"/>
      </w:r>
      <w:r w:rsidRPr="003A0293">
        <w:t xml:space="preserve"> </w:t>
      </w:r>
    </w:p>
    <w:p w:rsidR="009B6017" w:rsidRPr="003A0293" w:rsidP="00BE6D4C" w14:paraId="30BCF099" w14:textId="77777777">
      <w:pPr>
        <w:pStyle w:val="ParaNum"/>
        <w:widowControl/>
        <w:tabs>
          <w:tab w:val="clear" w:pos="1080"/>
        </w:tabs>
      </w:pPr>
      <w:r w:rsidRPr="003A0293">
        <w:t>The Commission seeks comment on steps that it could take to limit the burden of WEA performance reporting.  It seeks comment on the extent to which the Commission could limit the overall economic impact of WEA performance reporting by providing increased flexibility for businesses identified as small by the Small Business Administration or by limiting the applicability of the requirement to only the three nationwide CMS Providers.</w:t>
      </w:r>
    </w:p>
    <w:p w:rsidR="009B6017" w:rsidRPr="003A0293" w:rsidP="00BE6D4C" w14:paraId="5B66F6BF" w14:textId="77777777">
      <w:pPr>
        <w:pStyle w:val="ParaNum"/>
        <w:widowControl/>
        <w:tabs>
          <w:tab w:val="clear" w:pos="1080"/>
        </w:tabs>
      </w:pPr>
      <w:r w:rsidRPr="003A0293">
        <w:t xml:space="preserve">Building on the Commission’s prior proposals and its objective to refresh the record to develop metrics for WEA performance and reporting, in the </w:t>
      </w:r>
      <w:r w:rsidRPr="003A0293">
        <w:rPr>
          <w:i/>
          <w:iCs/>
        </w:rPr>
        <w:t>Further Notice</w:t>
      </w:r>
      <w:r w:rsidRPr="003A0293">
        <w:t xml:space="preserve"> the Commission does not propose to set minimum performance benchmarks which could adversely affect small entities.  Instead, we seek to identify key reporting metrics that will help stakeholders develop an understanding of WEA end-to-end performance.  The Commission also seeks comment on steps that it could take to limit the burden of WEA performance reporting as a general matter, which could help minimize the economic impact of any adopted WEA performance reporting requirements on small entities.  Further, specifically targeting small entities, we seek comment on the extent to which the Commission could limit the overall economic impact of WEA performance reporting by providing increased flexibility for businesses identified as small by the SBA, or by limiting the applicability of the requirement to only the three nationwide CMS Providers.</w:t>
      </w:r>
    </w:p>
    <w:p w:rsidR="009B6017" w:rsidRPr="003A0293" w:rsidP="00BE6D4C" w14:paraId="1814DD13" w14:textId="77777777">
      <w:pPr>
        <w:pStyle w:val="ParaNum"/>
        <w:widowControl/>
        <w:tabs>
          <w:tab w:val="clear" w:pos="1080"/>
        </w:tabs>
      </w:pPr>
      <w:r w:rsidRPr="003A0293">
        <w:t xml:space="preserve">In the </w:t>
      </w:r>
      <w:r w:rsidRPr="003A0293">
        <w:rPr>
          <w:i/>
          <w:iCs/>
        </w:rPr>
        <w:t>Further Notice</w:t>
      </w:r>
      <w:r w:rsidRPr="003A0293">
        <w:t xml:space="preserve">, the Commission also identifies alternative approaches on several matters that might minimize the economic impact for small entities.  While seeking comment on how to define reliability, speed, and accuracy for WEA, the Commission inquires whether the definitions it proposed in the </w:t>
      </w:r>
      <w:r w:rsidRPr="003A0293">
        <w:rPr>
          <w:i/>
          <w:iCs/>
        </w:rPr>
        <w:t>2016 WEA R&amp;O and FNPRM</w:t>
      </w:r>
      <w:r w:rsidRPr="003A0293">
        <w:t xml:space="preserve"> best capture the definitions for reliability, speed, and accuracy of WEA.  As part of this inquiry, in the alternative we seek comment on: (1) whether WEA’s reliability should be defined as the proportion of devices within the targeted area while the alert is active that successfully displayed the alert, (2) whether WEA’s speed should be measured as the difference between the time that an alert is initiated by an authorized alert originator and the time that the alert is displayed at the mobile device, (3) whether WEA’s accuracy should be defined as the proportion of alert recipients that received the alert within and further than 0.1 miles from the target area, and (4) whether reliability, speed, and accuracy are the most pertinent measures of WEA’s performance to emergency management agencies and the public.</w:t>
      </w:r>
    </w:p>
    <w:p w:rsidR="009B6017" w:rsidRPr="003A0293" w:rsidP="00BE6D4C" w14:paraId="7371D3A7" w14:textId="77777777">
      <w:pPr>
        <w:pStyle w:val="ParaNum"/>
        <w:widowControl/>
        <w:tabs>
          <w:tab w:val="clear" w:pos="1080"/>
        </w:tabs>
      </w:pPr>
      <w:r w:rsidRPr="003A0293">
        <w:t xml:space="preserve">Similarly, the Commission seeks comment in the </w:t>
      </w:r>
      <w:r w:rsidRPr="003A0293">
        <w:rPr>
          <w:i/>
          <w:iCs/>
        </w:rPr>
        <w:t>Further Notice</w:t>
      </w:r>
      <w:r w:rsidRPr="003A0293">
        <w:t xml:space="preserve"> on how Participating CMS Providers should measure the performance of their WEA service for the purpose of generating </w:t>
      </w:r>
      <w:r w:rsidRPr="003A0293">
        <w:t xml:space="preserve">WEA performance reports noting that in the </w:t>
      </w:r>
      <w:r w:rsidRPr="003A0293">
        <w:rPr>
          <w:i/>
          <w:iCs/>
        </w:rPr>
        <w:t>2016 WEA R&amp;O and FNPRM</w:t>
      </w:r>
      <w:r w:rsidRPr="003A0293">
        <w:t xml:space="preserve"> we previously proposed that Participating CMS Providers be required to submit WEA performance reports based on aggregated data from all WEA activations during the reporting period.</w:t>
      </w:r>
      <w:r>
        <w:rPr>
          <w:rStyle w:val="FootnoteReference"/>
        </w:rPr>
        <w:footnoteReference w:id="216"/>
      </w:r>
      <w:r w:rsidRPr="003A0293">
        <w:t xml:space="preserve">  In the alternative, we inquire whether the Commission should: (1) allow performance reports to be based on discrete WEA tests conducted by Participating CMS Providers in partnership with federal, state, or local emergency management agencies in a representative sample of dense urban, urban, suburban and rural geographic environments,</w:t>
      </w:r>
      <w:r>
        <w:rPr>
          <w:rStyle w:val="FootnoteReference"/>
        </w:rPr>
        <w:footnoteReference w:id="217"/>
      </w:r>
      <w:r w:rsidRPr="003A0293">
        <w:t xml:space="preserve"> or (2) require WEA performance reports to be based on aggregated data from real-time WEA use and how this would be implemented.  Regarding how and when performance reports should be provided to the Commission, as an alternative to our 2016 proposal to require Participating CMS Providers to report on the performance of their WEA service annually, or to require a single report and additional reports only in response to “material” network upgrades,</w:t>
      </w:r>
      <w:r>
        <w:rPr>
          <w:rStyle w:val="FootnoteReference"/>
        </w:rPr>
        <w:footnoteReference w:id="218"/>
      </w:r>
      <w:r w:rsidRPr="003A0293">
        <w:t xml:space="preserve"> in the </w:t>
      </w:r>
      <w:r w:rsidRPr="003A0293">
        <w:rPr>
          <w:i/>
          <w:iCs/>
        </w:rPr>
        <w:t>Further Notice</w:t>
      </w:r>
      <w:r w:rsidRPr="003A0293">
        <w:t xml:space="preserve"> as a step to limit the burden of reporting while still gaining visibility into end-to-end WEA performance, we inquire whether to require Participating CMS Providers to submit multiple reports, such as a series of three reports, and whether the submission of performance reports should coincide with any particular developments or milestones.  The Commission expects to more fully consider the economic impact and alternatives for small entities following the review of comments filed in response to the </w:t>
      </w:r>
      <w:r w:rsidRPr="003A0293">
        <w:rPr>
          <w:i/>
        </w:rPr>
        <w:t>Further Notice.</w:t>
      </w:r>
    </w:p>
    <w:p w:rsidR="009B6017" w:rsidRPr="00654DE8" w:rsidP="009B6017" w14:paraId="70D19EE2" w14:textId="77777777">
      <w:pPr>
        <w:pStyle w:val="Heading2"/>
      </w:pPr>
      <w:bookmarkStart w:id="583" w:name="_Toc367458370"/>
      <w:bookmarkStart w:id="584" w:name="_Toc383514552"/>
      <w:bookmarkStart w:id="585" w:name="_Toc383514790"/>
      <w:bookmarkStart w:id="586" w:name="_Toc384814363"/>
      <w:bookmarkStart w:id="587" w:name="_Toc384814442"/>
      <w:bookmarkStart w:id="588" w:name="_Toc384814876"/>
      <w:bookmarkStart w:id="589" w:name="_Toc384817918"/>
      <w:bookmarkStart w:id="590" w:name="_Toc387054622"/>
      <w:bookmarkStart w:id="591" w:name="_Toc387154768"/>
      <w:bookmarkStart w:id="592" w:name="_Toc387155793"/>
      <w:bookmarkStart w:id="593" w:name="_Toc387222357"/>
      <w:bookmarkStart w:id="594" w:name="_Toc411452481"/>
      <w:bookmarkStart w:id="595" w:name="_Toc411452603"/>
      <w:bookmarkStart w:id="596" w:name="_Toc415747828"/>
      <w:bookmarkStart w:id="597" w:name="_Toc513568758"/>
      <w:bookmarkStart w:id="598" w:name="_Toc514252478"/>
      <w:bookmarkStart w:id="599" w:name="_Toc515613530"/>
      <w:bookmarkStart w:id="600" w:name="_Toc517101457"/>
      <w:bookmarkStart w:id="601" w:name="_Toc517189775"/>
      <w:bookmarkStart w:id="602" w:name="_Toc518822308"/>
      <w:bookmarkStart w:id="603" w:name="_Toc518897260"/>
      <w:bookmarkStart w:id="604" w:name="_Toc518929721"/>
      <w:r w:rsidRPr="00654DE8">
        <w:t>Federal Rules that May Duplicate, Overlap, or Conflict with the Proposed Rules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rsidR="00412FC5" w:rsidRPr="009B6017" w:rsidP="00BE6D4C" w14:paraId="72DEAFBB" w14:textId="5524C54D">
      <w:pPr>
        <w:pStyle w:val="ParaNum"/>
        <w:widowControl/>
        <w:tabs>
          <w:tab w:val="clear" w:pos="1080"/>
        </w:tabs>
      </w:pPr>
      <w:r w:rsidRPr="003A0293">
        <w:t>None.</w:t>
      </w:r>
      <w:bookmarkEnd w:id="0"/>
    </w:p>
    <w:sectPr w:rsidSect="00BE6D4C">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017" w:rsidP="0055614C" w14:paraId="47588B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9B6017" w14:paraId="2AE90361" w14:textId="77777777">
    <w:pPr>
      <w:pStyle w:val="Footer"/>
    </w:pPr>
  </w:p>
  <w:p w:rsidR="009B6017" w:rsidP="004960AD" w14:paraId="4833579C"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017" w:rsidP="004960AD" w14:paraId="59C5E4DF" w14:textId="77777777">
    <w:pPr>
      <w:pStyle w:val="Footer"/>
      <w:framePr w:wrap="around" w:vAnchor="text" w:hAnchor="margin" w:xAlign="center" w:y="1"/>
      <w:jc w:val="center"/>
    </w:pPr>
    <w:r>
      <w:fldChar w:fldCharType="begin"/>
    </w:r>
    <w:r>
      <w:instrText xml:space="preserve">PAGE  </w:instrText>
    </w:r>
    <w:r>
      <w:fldChar w:fldCharType="separate"/>
    </w:r>
    <w:r>
      <w:rPr>
        <w:noProof/>
      </w:rPr>
      <w:t>43</w:t>
    </w:r>
    <w:r>
      <w:rPr>
        <w:noProof/>
      </w:rPr>
      <w:fldChar w:fldCharType="end"/>
    </w:r>
  </w:p>
  <w:p w:rsidR="009B6017" w:rsidP="004960AD" w14:paraId="17EA20CC"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E74FBC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8EACE4A" w14:textId="77777777">
    <w:pPr>
      <w:pStyle w:val="Footer"/>
    </w:pPr>
  </w:p>
  <w:p w:rsidR="003660ED" w14:paraId="069B1DF2" w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9B6017" w14:paraId="69D53847" w14:textId="1F31A36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935051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0195" w14:paraId="67B15753" w14:textId="77777777">
      <w:r>
        <w:separator/>
      </w:r>
    </w:p>
  </w:footnote>
  <w:footnote w:type="continuationSeparator" w:id="1">
    <w:p w:rsidR="007F0195" w:rsidP="00C721AC" w14:paraId="775CE2A0" w14:textId="77777777">
      <w:pPr>
        <w:spacing w:before="120"/>
        <w:rPr>
          <w:sz w:val="20"/>
        </w:rPr>
      </w:pPr>
      <w:r>
        <w:rPr>
          <w:sz w:val="20"/>
        </w:rPr>
        <w:t xml:space="preserve">(Continued from previous page)  </w:t>
      </w:r>
      <w:r>
        <w:rPr>
          <w:sz w:val="20"/>
        </w:rPr>
        <w:separator/>
      </w:r>
    </w:p>
  </w:footnote>
  <w:footnote w:type="continuationNotice" w:id="2">
    <w:p w:rsidR="007F0195" w:rsidP="00C721AC" w14:paraId="5EA4FE17" w14:textId="77777777">
      <w:pPr>
        <w:jc w:val="right"/>
        <w:rPr>
          <w:sz w:val="20"/>
        </w:rPr>
      </w:pPr>
      <w:r>
        <w:rPr>
          <w:sz w:val="20"/>
        </w:rPr>
        <w:t>(continued….)</w:t>
      </w:r>
    </w:p>
  </w:footnote>
  <w:footnote w:id="3">
    <w:p w:rsidR="009B6017" w14:paraId="57197A4C" w14:textId="04EFA57B">
      <w:pPr>
        <w:pStyle w:val="FootnoteText"/>
      </w:pPr>
      <w:r>
        <w:rPr>
          <w:rStyle w:val="FootnoteReference"/>
        </w:rPr>
        <w:footnoteRef/>
      </w:r>
      <w:r>
        <w:t xml:space="preserve"> </w:t>
      </w:r>
      <w:r w:rsidRPr="51B2F8E3">
        <w:rPr>
          <w:i/>
          <w:iCs/>
        </w:rPr>
        <w:t>See</w:t>
      </w:r>
      <w:r>
        <w:t xml:space="preserve"> FCC, </w:t>
      </w:r>
      <w:r w:rsidRPr="0065764D">
        <w:rPr>
          <w:i/>
        </w:rPr>
        <w:t>Master WEA Registry</w:t>
      </w:r>
      <w:r>
        <w:t xml:space="preserve">, </w:t>
      </w:r>
      <w:hyperlink r:id="rId1" w:history="1">
        <w:r w:rsidRPr="00683A3F">
          <w:rPr>
            <w:rStyle w:val="Hyperlink"/>
          </w:rPr>
          <w:t>https://www.fcc.gov/files/weamasterregistry112019xls</w:t>
        </w:r>
      </w:hyperlink>
      <w:r>
        <w:t xml:space="preserve"> (last visited Mar. 25, 2022).</w:t>
      </w:r>
    </w:p>
  </w:footnote>
  <w:footnote w:id="4">
    <w:p w:rsidR="009B6017" w:rsidRPr="00CA07E6" w:rsidP="009B6017" w14:paraId="11C492D1" w14:textId="77777777">
      <w:pPr>
        <w:pStyle w:val="FootnoteText"/>
        <w:rPr>
          <w:highlight w:val="yellow"/>
        </w:rPr>
      </w:pPr>
      <w:r w:rsidRPr="001C25C5">
        <w:rPr>
          <w:rStyle w:val="FootnoteReference"/>
        </w:rPr>
        <w:footnoteRef/>
      </w:r>
      <w:r w:rsidRPr="001C25C5">
        <w:t xml:space="preserve"> </w:t>
      </w:r>
      <w:r w:rsidRPr="001C25C5">
        <w:rPr>
          <w:i/>
          <w:iCs/>
        </w:rPr>
        <w:t>See</w:t>
      </w:r>
      <w:r w:rsidRPr="001C25C5">
        <w:t xml:space="preserve"> </w:t>
      </w:r>
      <w:r>
        <w:t>Email from Donica Allen, Stakeholder Engagement Branch Chief, IPAWS NCP, FEMA, to James Wiley, Deputy Chief, Cybersecurity and Communications Reliability Division, Public Safety and Homeland Security Bureau, Federal Communications Commission (Apr. 12, 2022)</w:t>
      </w:r>
      <w:r w:rsidRPr="001C25C5">
        <w:t xml:space="preserve"> </w:t>
      </w:r>
      <w:r>
        <w:t xml:space="preserve">(on file with author) </w:t>
      </w:r>
      <w:r w:rsidRPr="001C25C5">
        <w:t>(</w:t>
      </w:r>
      <w:r>
        <w:t>stating in addition that 1,666 unique alerting authorities were authorized to use WEA as of April 7, 2022</w:t>
      </w:r>
      <w:r w:rsidRPr="001C25C5">
        <w:t>)</w:t>
      </w:r>
      <w:r>
        <w:t>.</w:t>
      </w:r>
    </w:p>
  </w:footnote>
  <w:footnote w:id="5">
    <w:p w:rsidR="009B6017" w:rsidP="009B6017" w14:paraId="3D410E5A" w14:textId="77777777">
      <w:pPr>
        <w:pStyle w:val="FootnoteText"/>
      </w:pPr>
      <w:r>
        <w:rPr>
          <w:rStyle w:val="FootnoteReference"/>
        </w:rPr>
        <w:footnoteRef/>
      </w:r>
      <w:r>
        <w:t xml:space="preserve"> </w:t>
      </w:r>
      <w:r>
        <w:rPr>
          <w:i/>
          <w:iCs/>
        </w:rPr>
        <w:t>See</w:t>
      </w:r>
      <w:r>
        <w:t xml:space="preserve"> National Center for Missing and Exploited Children, </w:t>
      </w:r>
      <w:r w:rsidRPr="00967188">
        <w:rPr>
          <w:i/>
          <w:iCs/>
        </w:rPr>
        <w:t>AMBER Alerts: Get Help Now</w:t>
      </w:r>
      <w:r>
        <w:t xml:space="preserve">, </w:t>
      </w:r>
      <w:hyperlink r:id="rId2" w:history="1">
        <w:r w:rsidRPr="009275F4">
          <w:rPr>
            <w:rStyle w:val="Hyperlink"/>
          </w:rPr>
          <w:t>https://www.missingkids.org/gethelpnow/amber</w:t>
        </w:r>
      </w:hyperlink>
      <w:r>
        <w:t xml:space="preserve"> (last visited Mar. 30, 2022).</w:t>
      </w:r>
    </w:p>
  </w:footnote>
  <w:footnote w:id="6">
    <w:p w:rsidR="009B6017" w:rsidRPr="000D5460" w:rsidP="009B6017" w14:paraId="03D075E8" w14:textId="77777777">
      <w:pPr>
        <w:pStyle w:val="FootnoteText"/>
      </w:pPr>
      <w:r>
        <w:rPr>
          <w:rStyle w:val="FootnoteReference"/>
        </w:rPr>
        <w:footnoteRef/>
      </w:r>
      <w:r>
        <w:t xml:space="preserve"> </w:t>
      </w:r>
      <w:r>
        <w:rPr>
          <w:i/>
          <w:iCs/>
        </w:rPr>
        <w:t>See, e.g.,</w:t>
      </w:r>
      <w:r>
        <w:t xml:space="preserve"> Ryan Prior, </w:t>
      </w:r>
      <w:r>
        <w:rPr>
          <w:i/>
          <w:iCs/>
        </w:rPr>
        <w:t xml:space="preserve">During </w:t>
      </w:r>
      <w:r w:rsidRPr="5759B4B5">
        <w:rPr>
          <w:i/>
          <w:iCs/>
        </w:rPr>
        <w:t>Late Night Storms, Phone Alerts Are Saving L</w:t>
      </w:r>
      <w:r>
        <w:rPr>
          <w:i/>
          <w:iCs/>
        </w:rPr>
        <w:t xml:space="preserve">ives in </w:t>
      </w:r>
      <w:r w:rsidRPr="5759B4B5">
        <w:rPr>
          <w:i/>
          <w:iCs/>
        </w:rPr>
        <w:t>W</w:t>
      </w:r>
      <w:r>
        <w:rPr>
          <w:i/>
          <w:iCs/>
        </w:rPr>
        <w:t xml:space="preserve">ays TV and </w:t>
      </w:r>
      <w:r w:rsidRPr="5759B4B5">
        <w:rPr>
          <w:i/>
          <w:iCs/>
        </w:rPr>
        <w:t>Radio Warnings C</w:t>
      </w:r>
      <w:r>
        <w:rPr>
          <w:i/>
          <w:iCs/>
        </w:rPr>
        <w:t>an’t</w:t>
      </w:r>
      <w:r>
        <w:t xml:space="preserve">, CNN (May 29, 2019), </w:t>
      </w:r>
      <w:hyperlink r:id="rId3" w:history="1">
        <w:r w:rsidRPr="00C22374">
          <w:rPr>
            <w:rStyle w:val="Hyperlink"/>
          </w:rPr>
          <w:t>https://www.cnn.com/2019/05/29/us/weather-alert-tech-saved-lives-trnd/index.html</w:t>
        </w:r>
      </w:hyperlink>
      <w:r>
        <w:t xml:space="preserve"> (“A study in the journal </w:t>
      </w:r>
      <w:r w:rsidRPr="0032120D">
        <w:t>Weather and Forecasting</w:t>
      </w:r>
      <w:r w:rsidRPr="00846777">
        <w:t xml:space="preserve"> [found] that </w:t>
      </w:r>
      <w:r>
        <w:t xml:space="preserve">tornadoes occurring at night were 2.5 deadlier than those occurring during daytime hours.  The researchers saw the fact that people were sleeping, and were therefore unwarned, as perhaps the biggest contributor to nocturnal tornado fatalities . . . .  ‘We are getting alerts in time to be able to relate to our people in plenty of time to save lives,’ [LaSalle Parish sheriff Scott] Franklin  told the NWS.  ‘The alerts on the storm saved at least 20 lives that I know of in LaSalle Parish.  You can’t put a price tag on that.’”); National Weather Service, </w:t>
      </w:r>
      <w:r>
        <w:rPr>
          <w:i/>
          <w:iCs/>
        </w:rPr>
        <w:t>Johns Island, SC Tornado</w:t>
      </w:r>
      <w:r>
        <w:t xml:space="preserve">, (Sept. 25, 2015), </w:t>
      </w:r>
      <w:hyperlink r:id="rId4" w:history="1">
        <w:r w:rsidRPr="00C22374">
          <w:rPr>
            <w:rStyle w:val="Hyperlink"/>
          </w:rPr>
          <w:t>https://www.weather.gov/chs/JohnsIslandTornado-Sep2015</w:t>
        </w:r>
      </w:hyperlink>
      <w:r>
        <w:t xml:space="preserve"> (“Several people in the worst hit area got to a safe place after receiving warning on their cell phones through the wireless emergency alerts”); </w:t>
      </w:r>
      <w:r w:rsidRPr="0065764D">
        <w:rPr>
          <w:i/>
        </w:rPr>
        <w:t xml:space="preserve">Wireless </w:t>
      </w:r>
      <w:r w:rsidRPr="0065764D">
        <w:rPr>
          <w:i/>
          <w:iCs/>
        </w:rPr>
        <w:t>Emergency Alert ‘Saved Lives, Prevented Injuries,</w:t>
      </w:r>
      <w:r>
        <w:rPr>
          <w:i/>
          <w:iCs/>
        </w:rPr>
        <w:t>’</w:t>
      </w:r>
      <w:r w:rsidRPr="003062A9">
        <w:t xml:space="preserve"> </w:t>
      </w:r>
      <w:r>
        <w:t xml:space="preserve">WCVB5 ABC (June 24, 2015) </w:t>
      </w:r>
      <w:hyperlink r:id="rId5" w:history="1">
        <w:r w:rsidRPr="00C22374">
          <w:rPr>
            <w:rStyle w:val="Hyperlink"/>
          </w:rPr>
          <w:t>https://www.wcvb.com/article/wireless-emergency-alert-saved-lives-prevented-injuries/8066962</w:t>
        </w:r>
      </w:hyperlink>
      <w:r>
        <w:t xml:space="preserve"> (“A Meteorologist with the National Weather Service who confirmed a tornado hit parts of Wrentham Tuesday afternoon said wireless alerts that were sent to phones helped save people’s lives and prevented injuries.”). </w:t>
      </w:r>
    </w:p>
  </w:footnote>
  <w:footnote w:id="7">
    <w:p w:rsidR="009B6017" w:rsidP="009B6017" w14:paraId="6F47E546" w14:textId="77777777">
      <w:pPr>
        <w:pStyle w:val="FootnoteText"/>
      </w:pPr>
      <w:r>
        <w:rPr>
          <w:rStyle w:val="FootnoteReference"/>
        </w:rPr>
        <w:footnoteRef/>
      </w:r>
      <w:r>
        <w:t xml:space="preserve"> </w:t>
      </w:r>
      <w:r>
        <w:rPr>
          <w:i/>
          <w:iCs/>
        </w:rPr>
        <w:t>See</w:t>
      </w:r>
      <w:r>
        <w:t xml:space="preserve">, </w:t>
      </w:r>
      <w:r>
        <w:rPr>
          <w:i/>
          <w:iCs/>
        </w:rPr>
        <w:t>e.g.</w:t>
      </w:r>
      <w:r>
        <w:t>,</w:t>
      </w:r>
      <w:r>
        <w:rPr>
          <w:i/>
          <w:iCs/>
        </w:rPr>
        <w:t xml:space="preserve"> </w:t>
      </w:r>
      <w:r>
        <w:t xml:space="preserve">John Fischer, </w:t>
      </w:r>
      <w:r>
        <w:rPr>
          <w:i/>
          <w:iCs/>
        </w:rPr>
        <w:t xml:space="preserve">15-Year-Old Hero </w:t>
      </w:r>
      <w:r w:rsidRPr="1C3245C2">
        <w:rPr>
          <w:i/>
          <w:iCs/>
        </w:rPr>
        <w:t>w</w:t>
      </w:r>
      <w:r>
        <w:rPr>
          <w:i/>
          <w:iCs/>
        </w:rPr>
        <w:t>ith Cellphone Helps Rescue Kidnapped Infant After AMBER Alert</w:t>
      </w:r>
      <w:r>
        <w:t xml:space="preserve">, ABC News (Oct. 31, 2014), </w:t>
      </w:r>
      <w:hyperlink r:id="rId6" w:history="1">
        <w:r w:rsidRPr="00C153A4">
          <w:rPr>
            <w:rStyle w:val="Hyperlink"/>
          </w:rPr>
          <w:t>https://abcnews.go.com/US/15-year-hero-cellphone-helps-rescues-kidnapped-infant/story?id=26604395</w:t>
        </w:r>
      </w:hyperlink>
      <w:r>
        <w:t xml:space="preserve">; Florida Department of Law Enforcement, </w:t>
      </w:r>
      <w:r w:rsidRPr="1C3245C2">
        <w:rPr>
          <w:i/>
          <w:iCs/>
        </w:rPr>
        <w:t>2016 Success Story</w:t>
      </w:r>
      <w:r w:rsidRPr="1C3245C2">
        <w:t xml:space="preserve">, </w:t>
      </w:r>
      <w:hyperlink r:id="rId7" w:history="1">
        <w:r w:rsidRPr="009275F4">
          <w:rPr>
            <w:rStyle w:val="Hyperlink"/>
          </w:rPr>
          <w:t>https://www.fdle.state.fl.us/Amber-Plan/Documents/2016SuccessStory.aspx</w:t>
        </w:r>
      </w:hyperlink>
      <w:r>
        <w:t xml:space="preserve"> (last visited Mar. 29, 2022); ‘</w:t>
      </w:r>
      <w:r w:rsidRPr="003D27C3">
        <w:rPr>
          <w:i/>
          <w:iCs/>
        </w:rPr>
        <w:t xml:space="preserve">I’m just glad we found your baby’: Women </w:t>
      </w:r>
      <w:r w:rsidRPr="1C3245C2">
        <w:rPr>
          <w:i/>
          <w:iCs/>
        </w:rPr>
        <w:t>Find Missing Child After Re</w:t>
      </w:r>
      <w:r w:rsidRPr="003D27C3">
        <w:rPr>
          <w:i/>
          <w:iCs/>
        </w:rPr>
        <w:t>ceiving AMBER Alert</w:t>
      </w:r>
      <w:r>
        <w:t>,</w:t>
      </w:r>
      <w:r w:rsidRPr="00FA3F3C">
        <w:t xml:space="preserve"> </w:t>
      </w:r>
      <w:r>
        <w:t>WSYX ABC 6</w:t>
      </w:r>
      <w:r w:rsidRPr="1C3245C2">
        <w:rPr>
          <w:i/>
        </w:rPr>
        <w:t xml:space="preserve"> </w:t>
      </w:r>
      <w:r>
        <w:t xml:space="preserve">(Feb. </w:t>
      </w:r>
      <w:r w:rsidRPr="1C3245C2">
        <w:t>9, 2021),</w:t>
      </w:r>
      <w:r w:rsidRPr="1C3245C2">
        <w:rPr>
          <w:i/>
          <w:iCs/>
        </w:rPr>
        <w:t xml:space="preserve"> </w:t>
      </w:r>
      <w:hyperlink r:id="rId8" w:history="1">
        <w:r w:rsidRPr="1C3245C2">
          <w:rPr>
            <w:rStyle w:val="Hyperlink"/>
          </w:rPr>
          <w:t>https://abc6onyourside.com/news/local/women-find-missing-alpha-kamara-columbus-ohio-2-9-21</w:t>
        </w:r>
      </w:hyperlink>
      <w:r>
        <w:t>.</w:t>
      </w:r>
    </w:p>
  </w:footnote>
  <w:footnote w:id="8">
    <w:p w:rsidR="009B6017" w:rsidP="009B6017" w14:paraId="34339DC6" w14:textId="77777777">
      <w:pPr>
        <w:pStyle w:val="FootnoteText"/>
      </w:pPr>
      <w:r>
        <w:rPr>
          <w:rStyle w:val="FootnoteReference"/>
        </w:rPr>
        <w:footnoteRef/>
      </w:r>
      <w:r>
        <w:t xml:space="preserve"> </w:t>
      </w:r>
      <w:r w:rsidRPr="00F07764">
        <w:rPr>
          <w:i/>
          <w:iCs/>
        </w:rPr>
        <w:t>See</w:t>
      </w:r>
      <w:r w:rsidRPr="00F07764">
        <w:t xml:space="preserve"> Warning, Alert, and Response Network Act, Pub. L. No. 109-347, 120 Stat. 1884, Title VI, §§ 601-06 (2006) (codified at 47 U.S.C. §§ 1201-05); William M. (Mac) Thornberry National Defense Authorization Act for Fiscal Year 2021, Pub. L. No. 116-283, 135 Stat. 3388, § 9201 (2021) (codified at 47 U.S.C. §§ 1201, 1206)</w:t>
      </w:r>
      <w:r>
        <w:t xml:space="preserve">; PSHSB, </w:t>
      </w:r>
      <w:r w:rsidRPr="00967188">
        <w:rPr>
          <w:i/>
          <w:iCs/>
        </w:rPr>
        <w:t>New Cell Phone Weather Alerts Already Protective Lives</w:t>
      </w:r>
      <w:r>
        <w:t xml:space="preserve"> (Aug. 30, 2012), </w:t>
      </w:r>
      <w:hyperlink r:id="rId9" w:history="1">
        <w:r w:rsidRPr="00A46289">
          <w:rPr>
            <w:rStyle w:val="Hyperlink"/>
          </w:rPr>
          <w:t>https://www.fcc.gov/news-events/blog/2012/08/30/new-cell-phone-weather-alerts-already-protecting-lives</w:t>
        </w:r>
      </w:hyperlink>
      <w:r>
        <w:t xml:space="preserve">.  </w:t>
      </w:r>
    </w:p>
  </w:footnote>
  <w:footnote w:id="9">
    <w:p w:rsidR="009B6017" w:rsidP="009B6017" w14:paraId="3B388BC6" w14:textId="77777777">
      <w:pPr>
        <w:pStyle w:val="FootnoteText"/>
      </w:pPr>
      <w:r>
        <w:rPr>
          <w:rStyle w:val="FootnoteReference"/>
        </w:rPr>
        <w:footnoteRef/>
      </w:r>
      <w:r>
        <w:t xml:space="preserve"> </w:t>
      </w:r>
      <w:r>
        <w:t xml:space="preserve">WEA test results reported to the Commission since 2018 demonstrate that WEA fails to deliver emergency alerts to at least 1 in 10 people.  </w:t>
      </w:r>
      <w:r>
        <w:rPr>
          <w:i/>
          <w:iCs/>
        </w:rPr>
        <w:t xml:space="preserve">See, e.g., </w:t>
      </w:r>
      <w:r>
        <w:t>PSHSB, Report: August 11, 2021</w:t>
      </w:r>
      <w:r>
        <w:rPr>
          <w:i/>
          <w:iCs/>
        </w:rPr>
        <w:t xml:space="preserve"> </w:t>
      </w:r>
      <w:r>
        <w:t xml:space="preserve">Nationwide WEA Test at 3 (2021), </w:t>
      </w:r>
      <w:hyperlink r:id="rId10" w:history="1">
        <w:r>
          <w:rPr>
            <w:rStyle w:val="Hyperlink"/>
          </w:rPr>
          <w:t>https://docs.fcc.gov/public/attachments/DOC-378907A1.pdf</w:t>
        </w:r>
      </w:hyperlink>
      <w:r>
        <w:rPr>
          <w:rStyle w:val="Hyperlink"/>
        </w:rPr>
        <w:t xml:space="preserve"> </w:t>
      </w:r>
      <w:r w:rsidRPr="00967188">
        <w:rPr>
          <w:rStyle w:val="Hyperlink"/>
          <w:color w:val="auto"/>
          <w:u w:val="none"/>
        </w:rPr>
        <w:t>(</w:t>
      </w:r>
      <w:r w:rsidRPr="00967188">
        <w:rPr>
          <w:rStyle w:val="Hyperlink"/>
          <w:i/>
          <w:iCs/>
          <w:color w:val="auto"/>
          <w:u w:val="none"/>
        </w:rPr>
        <w:t>2021 Nationwide WEA Test Report</w:t>
      </w:r>
      <w:r w:rsidRPr="00967188">
        <w:rPr>
          <w:rStyle w:val="Hyperlink"/>
          <w:color w:val="auto"/>
          <w:u w:val="none"/>
        </w:rPr>
        <w:t>).</w:t>
      </w:r>
    </w:p>
  </w:footnote>
  <w:footnote w:id="10">
    <w:p w:rsidR="009B6017" w:rsidP="009B6017" w14:paraId="0356F26A" w14:textId="77777777">
      <w:pPr>
        <w:pStyle w:val="FootnoteText"/>
      </w:pPr>
      <w:r>
        <w:rPr>
          <w:rStyle w:val="FootnoteReference"/>
        </w:rPr>
        <w:footnoteRef/>
      </w:r>
      <w:r>
        <w:t xml:space="preserve"> </w:t>
      </w:r>
      <w:r>
        <w:rPr>
          <w:i/>
          <w:iCs/>
        </w:rPr>
        <w:t xml:space="preserve">See </w:t>
      </w:r>
      <w:r>
        <w:t>ShakeAlert</w:t>
      </w:r>
      <w:r>
        <w:t xml:space="preserve">, </w:t>
      </w:r>
      <w:r w:rsidRPr="00967188">
        <w:rPr>
          <w:i/>
          <w:iCs/>
        </w:rPr>
        <w:t>Wireless Emergency Alert System</w:t>
      </w:r>
      <w:r>
        <w:t xml:space="preserve">, </w:t>
      </w:r>
      <w:hyperlink r:id="rId11" w:history="1">
        <w:r>
          <w:rPr>
            <w:rStyle w:val="Hyperlink"/>
          </w:rPr>
          <w:t>https://www.shakealert.org/implementation/wea/</w:t>
        </w:r>
      </w:hyperlink>
      <w:r>
        <w:t xml:space="preserve"> (last visited Jan. 26, 2022) (“For people near the epicenter [of an earthquake,] alerts will usually arrive after the shaking has been felt.”).</w:t>
      </w:r>
    </w:p>
  </w:footnote>
  <w:footnote w:id="11">
    <w:p w:rsidR="009B6017" w:rsidP="009B6017" w14:paraId="399E8AEC" w14:textId="77777777">
      <w:pPr>
        <w:pStyle w:val="FootnoteText"/>
      </w:pPr>
      <w:r>
        <w:rPr>
          <w:rStyle w:val="FootnoteReference"/>
        </w:rPr>
        <w:footnoteRef/>
      </w:r>
      <w:r>
        <w:t xml:space="preserve"> </w:t>
      </w:r>
      <w:r>
        <w:t xml:space="preserve">PSHSB has received several reports that emergency management agencies have not used WEA or have stopped using WEA because of their concerns about its inaccuracy.  </w:t>
      </w:r>
      <w:r>
        <w:rPr>
          <w:i/>
          <w:iCs/>
        </w:rPr>
        <w:t>See</w:t>
      </w:r>
      <w:r>
        <w:t xml:space="preserve">, </w:t>
      </w:r>
      <w:r>
        <w:rPr>
          <w:i/>
          <w:iCs/>
        </w:rPr>
        <w:t>e.g.,</w:t>
      </w:r>
      <w:r>
        <w:t xml:space="preserve"> Shannon Najmabadi, </w:t>
      </w:r>
      <w:r w:rsidRPr="0065764D">
        <w:rPr>
          <w:i/>
        </w:rPr>
        <w:t xml:space="preserve">First </w:t>
      </w:r>
      <w:r w:rsidRPr="1C3245C2">
        <w:rPr>
          <w:i/>
          <w:iCs/>
        </w:rPr>
        <w:t>P</w:t>
      </w:r>
      <w:r w:rsidRPr="0065764D">
        <w:rPr>
          <w:i/>
          <w:iCs/>
        </w:rPr>
        <w:t xml:space="preserve">hone </w:t>
      </w:r>
      <w:r w:rsidRPr="1C3245C2">
        <w:rPr>
          <w:i/>
          <w:iCs/>
        </w:rPr>
        <w:t>A</w:t>
      </w:r>
      <w:r w:rsidRPr="0065764D">
        <w:rPr>
          <w:i/>
          <w:iCs/>
        </w:rPr>
        <w:t xml:space="preserve">lert </w:t>
      </w:r>
      <w:r>
        <w:rPr>
          <w:i/>
          <w:iCs/>
        </w:rPr>
        <w:t>f</w:t>
      </w:r>
      <w:r w:rsidRPr="0065764D">
        <w:rPr>
          <w:i/>
        </w:rPr>
        <w:t xml:space="preserve">or the Marshall Fire </w:t>
      </w:r>
      <w:r w:rsidRPr="1C3245C2">
        <w:rPr>
          <w:i/>
          <w:iCs/>
        </w:rPr>
        <w:t>S</w:t>
      </w:r>
      <w:r w:rsidRPr="0065764D">
        <w:rPr>
          <w:i/>
        </w:rPr>
        <w:t xml:space="preserve">ent 42 </w:t>
      </w:r>
      <w:r w:rsidRPr="1C3245C2">
        <w:rPr>
          <w:i/>
          <w:iCs/>
        </w:rPr>
        <w:t>M</w:t>
      </w:r>
      <w:r w:rsidRPr="0065764D">
        <w:rPr>
          <w:i/>
          <w:iCs/>
        </w:rPr>
        <w:t xml:space="preserve">inutes </w:t>
      </w:r>
      <w:r w:rsidRPr="1C3245C2">
        <w:rPr>
          <w:i/>
          <w:iCs/>
        </w:rPr>
        <w:t>A</w:t>
      </w:r>
      <w:r w:rsidRPr="0065764D">
        <w:rPr>
          <w:i/>
          <w:iCs/>
        </w:rPr>
        <w:t xml:space="preserve">fter </w:t>
      </w:r>
      <w:r w:rsidRPr="1C3245C2">
        <w:rPr>
          <w:i/>
          <w:iCs/>
        </w:rPr>
        <w:t>I</w:t>
      </w:r>
      <w:r w:rsidRPr="0065764D">
        <w:rPr>
          <w:i/>
          <w:iCs/>
        </w:rPr>
        <w:t xml:space="preserve"> </w:t>
      </w:r>
      <w:r w:rsidRPr="1C3245C2">
        <w:rPr>
          <w:i/>
          <w:iCs/>
        </w:rPr>
        <w:t>S</w:t>
      </w:r>
      <w:r w:rsidRPr="0065764D">
        <w:rPr>
          <w:i/>
          <w:iCs/>
        </w:rPr>
        <w:t>tarted</w:t>
      </w:r>
      <w:r w:rsidRPr="1C3245C2">
        <w:rPr>
          <w:i/>
          <w:iCs/>
        </w:rPr>
        <w:t>—A</w:t>
      </w:r>
      <w:r w:rsidRPr="0065764D">
        <w:rPr>
          <w:i/>
          <w:iCs/>
        </w:rPr>
        <w:t xml:space="preserve">nd </w:t>
      </w:r>
      <w:r w:rsidRPr="1C3245C2">
        <w:rPr>
          <w:i/>
          <w:iCs/>
        </w:rPr>
        <w:t>O</w:t>
      </w:r>
      <w:r w:rsidRPr="0065764D">
        <w:rPr>
          <w:i/>
        </w:rPr>
        <w:t xml:space="preserve">nly to 215 </w:t>
      </w:r>
      <w:r w:rsidRPr="1C3245C2">
        <w:rPr>
          <w:i/>
          <w:iCs/>
        </w:rPr>
        <w:t>C</w:t>
      </w:r>
      <w:r w:rsidRPr="0065764D">
        <w:rPr>
          <w:i/>
        </w:rPr>
        <w:t>ontacts</w:t>
      </w:r>
      <w:r>
        <w:t xml:space="preserve">, Colorado Sun (Jan. 6, 2022), </w:t>
      </w:r>
      <w:hyperlink r:id="rId12" w:history="1">
        <w:r>
          <w:rPr>
            <w:rStyle w:val="Hyperlink"/>
          </w:rPr>
          <w:t>https://coloradosun.com/2022/01/06/marshall-fire-evacuation-911/</w:t>
        </w:r>
      </w:hyperlink>
      <w:r>
        <w:rPr>
          <w:rStyle w:val="Hyperlink"/>
        </w:rPr>
        <w:t xml:space="preserve"> </w:t>
      </w:r>
      <w:r w:rsidRPr="00666055">
        <w:rPr>
          <w:rStyle w:val="Hyperlink"/>
          <w:color w:val="auto"/>
          <w:u w:val="none"/>
        </w:rPr>
        <w:t xml:space="preserve">(stating that </w:t>
      </w:r>
      <w:r w:rsidRPr="00666055">
        <w:t>Boulder County’s Office of Emergency Management had not completed their authorizations to use WEA in part because of concerns about the accuracy of WEA geotargeting)</w:t>
      </w:r>
      <w:r>
        <w:t xml:space="preserve">; </w:t>
      </w:r>
      <w:r w:rsidRPr="0065764D">
        <w:rPr>
          <w:i/>
        </w:rPr>
        <w:t>Utah Discontinues Wireless Emergency Alerts at State Lines</w:t>
      </w:r>
      <w:r>
        <w:t xml:space="preserve"> (Apr. 13, 2020),</w:t>
      </w:r>
      <w:r>
        <w:rPr>
          <w:i/>
          <w:iCs/>
        </w:rPr>
        <w:t xml:space="preserve"> </w:t>
      </w:r>
      <w:hyperlink r:id="rId13" w:history="1">
        <w:r>
          <w:rPr>
            <w:rStyle w:val="Hyperlink"/>
          </w:rPr>
          <w:t>https://coronavirus.utah.gov/utah-discontinues-wireless-emergency-alerts-at-state-lines/</w:t>
        </w:r>
      </w:hyperlink>
      <w:r>
        <w:rPr>
          <w:rStyle w:val="Hyperlink"/>
        </w:rPr>
        <w:t xml:space="preserve"> </w:t>
      </w:r>
      <w:r w:rsidRPr="00666055">
        <w:rPr>
          <w:rStyle w:val="Hyperlink"/>
          <w:color w:val="auto"/>
          <w:u w:val="none"/>
        </w:rPr>
        <w:t>(stating that the Utah Division of Emergency Management discontinued the use of WEA for COVID-19 messaging near state lines because of geographic overshoot)</w:t>
      </w:r>
      <w:r>
        <w:t xml:space="preserve">; E-mail from Simone Ramel McKay, Program Manager, Spokane County Emergency Management, to Nicole McGinnis, Deputy Chief, Public Safety and Homeland Security Bureau, FCC (Aug. 9, 2021) (on file with author) (expressing concern about the accuracy of WEA geo-targeting); </w:t>
      </w:r>
      <w:r>
        <w:rPr>
          <w:i/>
          <w:iCs/>
        </w:rPr>
        <w:t>see also</w:t>
      </w:r>
      <w:r>
        <w:t xml:space="preserve"> 47 CFR 10.450(a) (“</w:t>
      </w:r>
      <w:r w:rsidRPr="009E5587">
        <w:t>A Participating CMS Provider must deliver any Alert Message that is specified by a circle or polygon to an area that matches the specified circle or polygon. A Participating CMS Provider is considered to have matched the target area when they deliver an Alert Message to 100 percent of the target area with no more than 0.1 of a mile overshoot. If some or all of a Participating CMS Provider's network infrastructure is technically incapable of matching the specified target area, then that Participating CMS Provider must deliver the Alert Message to an area that best approximates the specified target area on and only on those aspects of its network infrastructure that are incapable of matching the target area.</w:t>
      </w:r>
      <w:r>
        <w:t>”).</w:t>
      </w:r>
    </w:p>
  </w:footnote>
  <w:footnote w:id="12">
    <w:p w:rsidR="009B6017" w:rsidP="009B6017" w14:paraId="12446557" w14:textId="77777777">
      <w:pPr>
        <w:pStyle w:val="FootnoteText"/>
      </w:pPr>
      <w:r>
        <w:rPr>
          <w:rStyle w:val="FootnoteReference"/>
        </w:rPr>
        <w:footnoteRef/>
      </w:r>
      <w:r>
        <w:t xml:space="preserve"> </w:t>
      </w:r>
      <w:r>
        <w:t xml:space="preserve">Over 1,600 emergency management agencies are authorized to use WEA but only 619 have ever done so. Consumer groups, the National Center for Missing and Exploited Children, and emergency management agencies state that performance requirements and reporting are necessary to give them enough confidence to use WEA and to enable them to use WEA more adeptly.  </w:t>
      </w:r>
      <w:r>
        <w:rPr>
          <w:i/>
          <w:iCs/>
        </w:rPr>
        <w:t xml:space="preserve">See </w:t>
      </w:r>
      <w:r>
        <w:t xml:space="preserve">APCO International, Comments, PS Docket No. 15-91, at 5 (Dec. 8, 2016); </w:t>
      </w:r>
      <w:r>
        <w:rPr>
          <w:color w:val="000000"/>
        </w:rPr>
        <w:t xml:space="preserve">Nassau County Office of Emergency Management, Comments, PS Docket No. 15-91, at 2 (Dec. 8, 2016); </w:t>
      </w:r>
      <w:r>
        <w:t xml:space="preserve">Harris County, Texas Homeland Security and Emergency Management, Comment, PS Docket No. 15-91, at 1 (Sept. 7, 2018); </w:t>
      </w:r>
      <w:r>
        <w:rPr>
          <w:color w:val="000000"/>
        </w:rPr>
        <w:t xml:space="preserve">New York City Emergency Management Department, Comments, PS Docket No. 15-91, at 15 (Dec. 8, 2016); </w:t>
      </w:r>
      <w:r>
        <w:t xml:space="preserve">Wireless RERC &amp; CACP, Comments, PS Docket No. 15-91, at 14 (Dec. 8, 2016).  </w:t>
      </w:r>
    </w:p>
  </w:footnote>
  <w:footnote w:id="13">
    <w:p w:rsidR="009B6017" w:rsidP="009B6017" w14:paraId="64F079C5" w14:textId="77777777">
      <w:pPr>
        <w:pStyle w:val="FootnoteText"/>
      </w:pPr>
      <w:r>
        <w:rPr>
          <w:rStyle w:val="FootnoteReference"/>
        </w:rPr>
        <w:footnoteRef/>
      </w:r>
      <w:r>
        <w:t xml:space="preserve"> </w:t>
      </w:r>
      <w:r w:rsidRPr="00F77E06">
        <w:rPr>
          <w:i/>
          <w:iCs/>
        </w:rPr>
        <w:t>See</w:t>
      </w:r>
      <w:r w:rsidRPr="00F77E06">
        <w:t xml:space="preserve"> National Academies of Sciences, Engineering, and Medicine, Emergency Alert and Warning Systems: Current Knowledge and Future Research Directions at 50 (2018); </w:t>
      </w:r>
      <w:r w:rsidRPr="00F77E06">
        <w:rPr>
          <w:i/>
          <w:iCs/>
        </w:rPr>
        <w:t xml:space="preserve">see also </w:t>
      </w:r>
      <w:r w:rsidRPr="00F77E06">
        <w:t>California Governor’s Office of Emergency Services, Comments, PS Docket No. 15-91 at 7 (Dec. 8, 2016) (“[T]he elements of geo-targeting accuracy, alert latency, and availability and reliability cover the main concerns of state and local alert originators.”)</w:t>
      </w:r>
      <w:r>
        <w:t xml:space="preserve">; </w:t>
      </w:r>
      <w:r w:rsidRPr="001F0F7D">
        <w:rPr>
          <w:i/>
          <w:iCs/>
        </w:rPr>
        <w:t xml:space="preserve">Wireless Emergency Alerts, Amendments to Part 11 of the Commission’s Rules Regarding the Emergency Alert </w:t>
      </w:r>
      <w:r w:rsidRPr="00967188">
        <w:rPr>
          <w:i/>
          <w:iCs/>
        </w:rPr>
        <w:t>System</w:t>
      </w:r>
      <w:r w:rsidRPr="001F0F7D">
        <w:t xml:space="preserve">, PS Docket No. 15-91, PS Docket No. 15-94, Report and Order and Further Notice of Proposed Rulemaking, 13 FCC </w:t>
      </w:r>
      <w:r w:rsidRPr="001F0F7D">
        <w:t>Rcd</w:t>
      </w:r>
      <w:r w:rsidRPr="001F0F7D">
        <w:t xml:space="preserve"> 11112 (2016) (</w:t>
      </w:r>
      <w:r w:rsidRPr="001F0F7D">
        <w:rPr>
          <w:i/>
          <w:iCs/>
        </w:rPr>
        <w:t>2016 WEA R&amp;O and FNPRM</w:t>
      </w:r>
      <w:r w:rsidRPr="001F0F7D">
        <w:t>).</w:t>
      </w:r>
    </w:p>
  </w:footnote>
  <w:footnote w:id="14">
    <w:p w:rsidR="009B6017" w:rsidRPr="00AA4BB4" w:rsidP="009B6017" w14:paraId="787C591F" w14:textId="77777777">
      <w:pPr>
        <w:pStyle w:val="FootnoteText"/>
      </w:pPr>
      <w:r w:rsidRPr="00B92468">
        <w:rPr>
          <w:rStyle w:val="FootnoteReference"/>
        </w:rPr>
        <w:footnoteRef/>
      </w:r>
      <w:r w:rsidRPr="00B92468">
        <w:t xml:space="preserve"> </w:t>
      </w:r>
      <w:r>
        <w:t xml:space="preserve">Warning, Alert and Response Network (WARN) Act, Title VI of the Security and Accountability for Every Port Act of 2006, 120 Stat. 1884, </w:t>
      </w:r>
      <w:r w:rsidRPr="00B92468">
        <w:t>§</w:t>
      </w:r>
      <w:r>
        <w:t xml:space="preserve"> </w:t>
      </w:r>
      <w:r w:rsidRPr="00B92468">
        <w:t>602(a)</w:t>
      </w:r>
      <w:r>
        <w:t xml:space="preserve">, codified at 47 U.S.C. § 1201, et seq., </w:t>
      </w:r>
      <w:r w:rsidRPr="003925CA">
        <w:t xml:space="preserve">§ </w:t>
      </w:r>
      <w:r w:rsidRPr="00764B8E">
        <w:t xml:space="preserve">1202(a) </w:t>
      </w:r>
      <w:r>
        <w:t xml:space="preserve">(2006) (WARN Act); </w:t>
      </w:r>
      <w:r>
        <w:rPr>
          <w:i/>
          <w:iCs/>
        </w:rPr>
        <w:t>see also</w:t>
      </w:r>
      <w:r>
        <w:t xml:space="preserve"> 47 U.S.C. § 1201(b)(2)(d) (instructing the Commission to establish a procedure for mobile service providers to withdraw their election to participate in WEA without penalty or forfeiture)</w:t>
      </w:r>
    </w:p>
  </w:footnote>
  <w:footnote w:id="15">
    <w:p w:rsidR="009B6017" w:rsidP="009B6017" w14:paraId="5574034E" w14:textId="77777777">
      <w:pPr>
        <w:pStyle w:val="FootnoteText"/>
      </w:pPr>
      <w:r>
        <w:rPr>
          <w:rStyle w:val="FootnoteReference"/>
        </w:rPr>
        <w:footnoteRef/>
      </w:r>
      <w:r>
        <w:t xml:space="preserve"> </w:t>
      </w:r>
      <w:r>
        <w:rPr>
          <w:i/>
        </w:rPr>
        <w:t>See</w:t>
      </w:r>
      <w:r>
        <w:t xml:space="preserve">, </w:t>
      </w:r>
      <w:r>
        <w:rPr>
          <w:i/>
        </w:rPr>
        <w:t>e.g.</w:t>
      </w:r>
      <w:r>
        <w:t>,</w:t>
      </w:r>
      <w:r w:rsidRPr="00AA378D">
        <w:rPr>
          <w:i/>
        </w:rPr>
        <w:t xml:space="preserve"> </w:t>
      </w:r>
      <w:r w:rsidRPr="0065764D">
        <w:rPr>
          <w:i/>
        </w:rPr>
        <w:t>The Commercial Mobile Alert System</w:t>
      </w:r>
      <w:r w:rsidRPr="00C33098">
        <w:t xml:space="preserve">, PS Docket No. 07-287, </w:t>
      </w:r>
      <w:r w:rsidRPr="0065764D">
        <w:t>First Report and Order</w:t>
      </w:r>
      <w:r w:rsidRPr="00C33098">
        <w:t xml:space="preserve">, 23 FCC </w:t>
      </w:r>
      <w:r w:rsidRPr="00C33098">
        <w:t>Rcd</w:t>
      </w:r>
      <w:r w:rsidRPr="00C33098">
        <w:t xml:space="preserve"> 6144 (2008); </w:t>
      </w:r>
      <w:r w:rsidRPr="0065764D">
        <w:rPr>
          <w:i/>
        </w:rPr>
        <w:t>The Commercial Mobile Alert System</w:t>
      </w:r>
      <w:r>
        <w:t xml:space="preserve">, PS Docket No. 07-287, </w:t>
      </w:r>
      <w:r w:rsidRPr="0065764D">
        <w:t>Second Report and Order and Further Notice of Proposed Rulemaking</w:t>
      </w:r>
      <w:r>
        <w:t xml:space="preserve">, 23 FCC </w:t>
      </w:r>
      <w:r>
        <w:t>Rcd</w:t>
      </w:r>
      <w:r>
        <w:t xml:space="preserve"> 10765 (2008); </w:t>
      </w:r>
      <w:r w:rsidRPr="0065764D">
        <w:rPr>
          <w:i/>
        </w:rPr>
        <w:t>The Commercial Mobile Alert System</w:t>
      </w:r>
      <w:r>
        <w:t xml:space="preserve">, PS Docket 07-287, </w:t>
      </w:r>
      <w:r w:rsidRPr="0065764D">
        <w:t>Third Report and Order</w:t>
      </w:r>
      <w:r>
        <w:t xml:space="preserve">, 23 FCC </w:t>
      </w:r>
      <w:r>
        <w:t>Rcd</w:t>
      </w:r>
      <w:r>
        <w:t xml:space="preserve"> 12561 (2008) revised by Erratum (Sep. 5, 2008).</w:t>
      </w:r>
    </w:p>
  </w:footnote>
  <w:footnote w:id="16">
    <w:p w:rsidR="009B6017" w:rsidP="009B6017" w14:paraId="5EAFA9B7" w14:textId="77777777">
      <w:pPr>
        <w:pStyle w:val="FootnoteText"/>
      </w:pPr>
      <w:r>
        <w:rPr>
          <w:rStyle w:val="FootnoteReference"/>
        </w:rPr>
        <w:footnoteRef/>
      </w:r>
      <w:r>
        <w:t xml:space="preserve"> </w:t>
      </w:r>
      <w:r w:rsidRPr="00746169">
        <w:t xml:space="preserve">The term “alert originator” refers to a </w:t>
      </w:r>
      <w:r w:rsidRPr="00746169">
        <w:rPr>
          <w:lang w:val="en"/>
        </w:rPr>
        <w:t xml:space="preserve">federal, state, territorial, tribal, or local entity authorized by FEMA to use the Integrated Public Alert and Warning System (IPAWS) to issue critical public alerts and warnings in emergency situations.  </w:t>
      </w:r>
      <w:r w:rsidRPr="00746169">
        <w:rPr>
          <w:i/>
          <w:lang w:val="en"/>
        </w:rPr>
        <w:t>See</w:t>
      </w:r>
      <w:r w:rsidRPr="00746169">
        <w:rPr>
          <w:lang w:val="en"/>
        </w:rPr>
        <w:t xml:space="preserve"> FEMA, </w:t>
      </w:r>
      <w:r w:rsidRPr="00746169">
        <w:rPr>
          <w:i/>
          <w:lang w:val="en"/>
        </w:rPr>
        <w:t>Alerting Authorities</w:t>
      </w:r>
      <w:r w:rsidRPr="00746169">
        <w:rPr>
          <w:lang w:val="en"/>
        </w:rPr>
        <w:t xml:space="preserve">, </w:t>
      </w:r>
      <w:hyperlink r:id="rId14" w:history="1">
        <w:r w:rsidRPr="00446E3F">
          <w:rPr>
            <w:rStyle w:val="Hyperlink"/>
          </w:rPr>
          <w:t>https://www.fema.gov/alerting-authorities</w:t>
        </w:r>
      </w:hyperlink>
      <w:r>
        <w:t xml:space="preserve"> </w:t>
      </w:r>
      <w:r w:rsidRPr="00746169">
        <w:rPr>
          <w:lang w:val="en"/>
        </w:rPr>
        <w:t xml:space="preserve">(last visited </w:t>
      </w:r>
      <w:r>
        <w:rPr>
          <w:lang w:val="en"/>
        </w:rPr>
        <w:t>Oct. 26, 2017</w:t>
      </w:r>
      <w:r w:rsidRPr="00746169">
        <w:rPr>
          <w:lang w:val="en"/>
        </w:rPr>
        <w:t>).  For the purposes of this proceeding</w:t>
      </w:r>
      <w:r>
        <w:rPr>
          <w:lang w:val="en"/>
        </w:rPr>
        <w:t>,</w:t>
      </w:r>
      <w:r w:rsidRPr="00746169">
        <w:rPr>
          <w:lang w:val="en"/>
        </w:rPr>
        <w:t xml:space="preserve"> the term </w:t>
      </w:r>
      <w:r>
        <w:rPr>
          <w:lang w:val="en"/>
        </w:rPr>
        <w:t xml:space="preserve">“alert originator” </w:t>
      </w:r>
      <w:r w:rsidRPr="00746169">
        <w:rPr>
          <w:lang w:val="en"/>
        </w:rPr>
        <w:t>is coextensive with the terms “emergency manager” and “emergency management agency” unless otherwise specified.</w:t>
      </w:r>
      <w:r>
        <w:rPr>
          <w:lang w:val="en"/>
        </w:rPr>
        <w:t xml:space="preserve">  </w:t>
      </w:r>
    </w:p>
  </w:footnote>
  <w:footnote w:id="17">
    <w:p w:rsidR="009B6017" w:rsidP="009B6017" w14:paraId="140EBE48" w14:textId="77777777">
      <w:pPr>
        <w:pStyle w:val="FootnoteText"/>
      </w:pPr>
      <w:r>
        <w:rPr>
          <w:rStyle w:val="FootnoteReference"/>
        </w:rPr>
        <w:footnoteRef/>
      </w:r>
      <w:r>
        <w:t xml:space="preserve"> </w:t>
      </w:r>
      <w:r>
        <w:rPr>
          <w:i/>
        </w:rPr>
        <w:t>See</w:t>
      </w:r>
      <w:r>
        <w:t xml:space="preserve"> 47 CFR </w:t>
      </w:r>
      <w:r w:rsidRPr="00980268">
        <w:rPr>
          <w:bCs/>
        </w:rPr>
        <w:t>§</w:t>
      </w:r>
      <w:r>
        <w:rPr>
          <w:bCs/>
        </w:rPr>
        <w:t xml:space="preserve"> 10.10(a) (defining an “Alert Message” as “a </w:t>
      </w:r>
      <w:r w:rsidRPr="00980268">
        <w:rPr>
          <w:bCs/>
        </w:rPr>
        <w:t>message that is intended to provide the recipient information regarding an emergency, and that meets the requirements for transmission by a Participating Commercial Mobile Service Provider under this part</w:t>
      </w:r>
      <w:r>
        <w:rPr>
          <w:bCs/>
        </w:rPr>
        <w:t xml:space="preserve">”).  </w:t>
      </w:r>
    </w:p>
  </w:footnote>
  <w:footnote w:id="18">
    <w:p w:rsidR="009B6017" w:rsidRPr="009C1977" w:rsidP="009B6017" w14:paraId="14A679BF" w14:textId="77777777">
      <w:pPr>
        <w:pStyle w:val="FootnoteText"/>
      </w:pPr>
      <w:r w:rsidRPr="00AA4BB4">
        <w:rPr>
          <w:rStyle w:val="FootnoteReference"/>
        </w:rPr>
        <w:footnoteRef/>
      </w:r>
      <w:r w:rsidRPr="00AA4BB4">
        <w:t xml:space="preserve"> </w:t>
      </w:r>
      <w:r w:rsidRPr="009C1977">
        <w:t>CAP is an open, interoperable, XML-based standard that can include multimedia such as streaming audio or video.</w:t>
      </w:r>
      <w:r w:rsidRPr="009C1977">
        <w:rPr>
          <w:snapToGrid w:val="0"/>
          <w:kern w:val="28"/>
        </w:rPr>
        <w:t xml:space="preserve">  </w:t>
      </w:r>
      <w:r w:rsidRPr="009C1977">
        <w:rPr>
          <w:i/>
          <w:snapToGrid w:val="0"/>
          <w:kern w:val="28"/>
        </w:rPr>
        <w:t xml:space="preserve">See </w:t>
      </w:r>
      <w:r w:rsidRPr="009C1977">
        <w:t>OASIS CAP v1.2 (IPAWS Profile for the OASIS Common Alerting Protocol IPAWS USA)</w:t>
      </w:r>
      <w:r>
        <w:t xml:space="preserve">.  </w:t>
      </w:r>
      <w:r w:rsidRPr="009C1977">
        <w:t>CAP messages contain</w:t>
      </w:r>
      <w:r w:rsidRPr="009C1977">
        <w:rPr>
          <w:szCs w:val="22"/>
        </w:rPr>
        <w:t xml:space="preserve"> standardized fields that facilitate interoperability between and among devices.  </w:t>
      </w:r>
      <w:r>
        <w:rPr>
          <w:i/>
          <w:szCs w:val="22"/>
        </w:rPr>
        <w:t>See id.</w:t>
      </w:r>
    </w:p>
  </w:footnote>
  <w:footnote w:id="19">
    <w:p w:rsidR="009B6017" w:rsidRPr="00AA4BB4" w:rsidP="009B6017" w14:paraId="51994098" w14:textId="77777777">
      <w:pPr>
        <w:pStyle w:val="FootnoteText"/>
      </w:pPr>
      <w:r w:rsidRPr="00AA4BB4">
        <w:rPr>
          <w:rStyle w:val="FootnoteReference"/>
        </w:rPr>
        <w:footnoteRef/>
      </w:r>
      <w:r w:rsidRPr="46BB033C">
        <w:rPr>
          <w:rStyle w:val="FootnoteReference"/>
        </w:rPr>
        <w:t xml:space="preserve"> </w:t>
      </w:r>
      <w:r>
        <w:t xml:space="preserve">. The </w:t>
      </w:r>
      <w:r w:rsidRPr="00AA4BB4">
        <w:t>WEA system, as it is deployed currently, is based on standards created by the Alliance for Telecommunications Industry Solutions (ATIS), the Telecommunications Industry Association (TIA) (jointly, ATIS/TIA), and the 3rd Generation Partnership Project (3GPP).</w:t>
      </w:r>
      <w:r w:rsidRPr="7778891E">
        <w:rPr>
          <w:i/>
          <w:iCs/>
        </w:rPr>
        <w:t xml:space="preserve">  </w:t>
      </w:r>
      <w:r w:rsidRPr="46BB033C">
        <w:rPr>
          <w:i/>
          <w:iCs/>
        </w:rPr>
        <w:t>See CSRIC IV WEA Messaging Report</w:t>
      </w:r>
      <w:r>
        <w:t xml:space="preserve"> at 7.  </w:t>
      </w:r>
    </w:p>
  </w:footnote>
  <w:footnote w:id="20">
    <w:p w:rsidR="009B6017" w:rsidRPr="000C4B3A" w:rsidP="009B6017" w14:paraId="7F4FE780" w14:textId="77777777">
      <w:pPr>
        <w:pStyle w:val="FootnoteText"/>
      </w:pPr>
      <w:r>
        <w:rPr>
          <w:rStyle w:val="FootnoteReference"/>
        </w:rPr>
        <w:footnoteRef/>
      </w:r>
      <w:r>
        <w:t xml:space="preserve"> </w:t>
      </w:r>
      <w:r>
        <w:t>Target area coordinates are only transmitted to mobile devices for Alert Messages with a target area specified by a circle or polygon, not a code describing an entire state or county.</w:t>
      </w:r>
    </w:p>
  </w:footnote>
  <w:footnote w:id="21">
    <w:p w:rsidR="009B6017" w:rsidRPr="00D202F1" w:rsidP="009B6017" w14:paraId="37710300" w14:textId="77777777">
      <w:pPr>
        <w:pStyle w:val="FootnoteText"/>
      </w:pPr>
      <w:r>
        <w:rPr>
          <w:rStyle w:val="FootnoteReference"/>
        </w:rPr>
        <w:footnoteRef/>
      </w:r>
      <w:r>
        <w:t xml:space="preserve"> </w:t>
      </w:r>
      <w:r>
        <w:rPr>
          <w:i/>
          <w:iCs/>
        </w:rPr>
        <w:t>See</w:t>
      </w:r>
      <w:r>
        <w:t xml:space="preserve"> 47 CFR 10.320(g) (requiring Participating CMS Providers to provide this information to emergency management agencies only </w:t>
      </w:r>
      <w:r w:rsidRPr="00D202F1">
        <w:t>insofar as those logs pertain to alerts initiated by that emergency management agency</w:t>
      </w:r>
      <w:r>
        <w:t xml:space="preserve">); </w:t>
      </w:r>
      <w:r w:rsidRPr="00D202F1">
        <w:rPr>
          <w:i/>
          <w:iCs/>
        </w:rPr>
        <w:t xml:space="preserve">See </w:t>
      </w:r>
      <w:r w:rsidRPr="00D202F1">
        <w:t>5 USC § 552 (2006), amended by OPEN Government Act of 2007, Pub. L. No. 110-175, 121 Stat. 2524</w:t>
      </w:r>
      <w:r>
        <w:t>.</w:t>
      </w:r>
    </w:p>
  </w:footnote>
  <w:footnote w:id="22">
    <w:p w:rsidR="009B6017" w:rsidRPr="00666055" w:rsidP="009B6017" w14:paraId="058CE741" w14:textId="77777777">
      <w:pPr>
        <w:pStyle w:val="FootnoteText"/>
      </w:pPr>
      <w:r w:rsidRPr="003A3673">
        <w:rPr>
          <w:rStyle w:val="FootnoteReference"/>
        </w:rPr>
        <w:footnoteRef/>
      </w:r>
      <w:r w:rsidRPr="003A3673">
        <w:t xml:space="preserve"> </w:t>
      </w:r>
      <w:r>
        <w:rPr>
          <w:i/>
          <w:iCs/>
        </w:rPr>
        <w:t>See</w:t>
      </w:r>
      <w:r>
        <w:t xml:space="preserve"> CTIA, Letter from Scott Bergmann, Senior Vice President, Regulatory Affairs, to Marlene Dortch, Secretary, Federal Communications Commission, PS Docket Nos. 15-91, 15-94, at 4 (Apr. 13, 2022) (CTIA </w:t>
      </w:r>
      <w:r>
        <w:rPr>
          <w:i/>
          <w:iCs/>
        </w:rPr>
        <w:t xml:space="preserve">Ex </w:t>
      </w:r>
      <w:r>
        <w:rPr>
          <w:i/>
          <w:iCs/>
        </w:rPr>
        <w:t>Parte</w:t>
      </w:r>
      <w:r>
        <w:t xml:space="preserve">) (recommending that the draft WEA FNPRM add a detailed discussion of the cell broadcast architecture of the current WEA system); </w:t>
      </w:r>
      <w:r>
        <w:rPr>
          <w:i/>
        </w:rPr>
        <w:t>s</w:t>
      </w:r>
      <w:r w:rsidRPr="003A3673">
        <w:rPr>
          <w:i/>
        </w:rPr>
        <w:t xml:space="preserve">ee </w:t>
      </w:r>
      <w:r>
        <w:rPr>
          <w:i/>
        </w:rPr>
        <w:t xml:space="preserve">also </w:t>
      </w:r>
      <w:r w:rsidRPr="003A3673">
        <w:t>CSRIC V, Working Group Two, Wireless Emergency Alerts – Recommendations to Improve Geo-targeting and Offer Many-to-One Capabilities, Final Report and Recommendations</w:t>
      </w:r>
      <w:r>
        <w:t xml:space="preserve"> at</w:t>
      </w:r>
      <w:r w:rsidRPr="003A3673">
        <w:t xml:space="preserve"> 8 (2016); </w:t>
      </w:r>
      <w:r w:rsidRPr="003A3673">
        <w:rPr>
          <w:i/>
        </w:rPr>
        <w:t>but see</w:t>
      </w:r>
      <w:r w:rsidRPr="003A3673">
        <w:t xml:space="preserve"> </w:t>
      </w:r>
      <w:r>
        <w:t>Letter from Rebecca Murphy Thompson, EVP and General Counsel, Competitive Carriers Association, to Marlene Dortch, Secretary, Federal Communications Commission, PS Docket No. 15-91, at 2 (Oct. 6, 2017</w:t>
      </w:r>
      <w:r w:rsidRPr="00666055">
        <w:t>) (stating that some carriers offer WEA using a software application, rather than cell broadcast).</w:t>
      </w:r>
    </w:p>
  </w:footnote>
  <w:footnote w:id="23">
    <w:p w:rsidR="009B6017" w:rsidRPr="00503F1B" w:rsidP="009B6017" w14:paraId="09904A56" w14:textId="77777777">
      <w:pPr>
        <w:pStyle w:val="FootnoteText"/>
        <w:rPr>
          <w:b/>
        </w:rPr>
      </w:pPr>
      <w:r w:rsidRPr="00666055">
        <w:rPr>
          <w:rStyle w:val="FootnoteReference"/>
        </w:rPr>
        <w:footnoteRef/>
      </w:r>
      <w:r w:rsidRPr="00666055">
        <w:t xml:space="preserve"> </w:t>
      </w:r>
      <w:r w:rsidRPr="00666055">
        <w:rPr>
          <w:i/>
          <w:iCs/>
        </w:rPr>
        <w:t>See</w:t>
      </w:r>
      <w:r w:rsidRPr="00666055">
        <w:t xml:space="preserve"> </w:t>
      </w:r>
      <w:r>
        <w:t>ATIS, Enhanced Wireless Emergency Alert (</w:t>
      </w:r>
      <w:r>
        <w:t>eWEA</w:t>
      </w:r>
      <w:r>
        <w:t xml:space="preserve">) Mobile Device Behavior (MDB) Specification (A Revised Version of J-STD-100) at 18-19 (2018); </w:t>
      </w:r>
      <w:r w:rsidRPr="00666055">
        <w:t>ATIS, Joint ATIS/TIA CMAS Mobile Device Behavior Specification (ATIS-TIA-J-STD-100) (</w:t>
      </w:r>
      <w:r>
        <w:t>2009</w:t>
      </w:r>
      <w:r w:rsidRPr="00666055">
        <w:t>).  Subscribers’ right to opt out of WEA Alert Message receipt extends to all but the Presidential Alert</w:t>
      </w:r>
      <w:r>
        <w:t xml:space="preserve">.  </w:t>
      </w:r>
      <w:r>
        <w:rPr>
          <w:i/>
        </w:rPr>
        <w:t>See</w:t>
      </w:r>
      <w:r>
        <w:t xml:space="preserve"> 47 CFR </w:t>
      </w:r>
      <w:r w:rsidRPr="005B55C2">
        <w:rPr>
          <w:bCs/>
        </w:rPr>
        <w:t>§</w:t>
      </w:r>
      <w:r w:rsidRPr="00AA378D">
        <w:t xml:space="preserve"> </w:t>
      </w:r>
      <w:r>
        <w:t xml:space="preserve">10.280.  We note that nothing in the WARN Act </w:t>
      </w:r>
      <w:r w:rsidRPr="00AA4BB4">
        <w:t xml:space="preserve">or the Commission’s rules </w:t>
      </w:r>
      <w:r>
        <w:t>requires WEA to be a cell</w:t>
      </w:r>
      <w:r w:rsidRPr="00AA4BB4">
        <w:t xml:space="preserve"> </w:t>
      </w:r>
      <w:r>
        <w:t>broadcast-based service.</w:t>
      </w:r>
    </w:p>
  </w:footnote>
  <w:footnote w:id="24">
    <w:p w:rsidR="009B6017" w:rsidP="009B6017" w14:paraId="7F806EAD" w14:textId="77777777">
      <w:pPr>
        <w:pStyle w:val="FootnoteText"/>
      </w:pPr>
      <w:r>
        <w:rPr>
          <w:rStyle w:val="FootnoteReference"/>
        </w:rPr>
        <w:footnoteRef/>
      </w:r>
      <w:r>
        <w:t xml:space="preserve"> </w:t>
      </w:r>
      <w:r w:rsidRPr="00E2591C">
        <w:rPr>
          <w:i/>
          <w:iCs/>
        </w:rPr>
        <w:t>See</w:t>
      </w:r>
      <w:r w:rsidRPr="00E2591C">
        <w:t xml:space="preserve"> 47 CFR 10.</w:t>
      </w:r>
      <w:r>
        <w:t>500</w:t>
      </w:r>
      <w:r w:rsidRPr="00E2591C">
        <w:t>(</w:t>
      </w:r>
      <w:r>
        <w:t>h</w:t>
      </w:r>
      <w:r w:rsidRPr="00E2591C">
        <w:t>)</w:t>
      </w:r>
      <w:r>
        <w:t>.</w:t>
      </w:r>
    </w:p>
  </w:footnote>
  <w:footnote w:id="25">
    <w:p w:rsidR="009B6017" w:rsidP="009B6017" w14:paraId="7D22CDD8" w14:textId="77777777">
      <w:pPr>
        <w:pStyle w:val="FootnoteText"/>
      </w:pPr>
      <w:r>
        <w:rPr>
          <w:rStyle w:val="FootnoteReference"/>
        </w:rPr>
        <w:footnoteRef/>
      </w:r>
      <w:r>
        <w:t xml:space="preserve"> </w:t>
      </w:r>
      <w:r>
        <w:rPr>
          <w:i/>
          <w:iCs/>
        </w:rPr>
        <w:t>See</w:t>
      </w:r>
      <w:r>
        <w:t xml:space="preserve"> </w:t>
      </w:r>
      <w:r>
        <w:rPr>
          <w:i/>
          <w:iCs/>
        </w:rPr>
        <w:t>WEA First R&amp;O and FNPRM</w:t>
      </w:r>
      <w:r>
        <w:t xml:space="preserve">, 31 FCC </w:t>
      </w:r>
      <w:r>
        <w:t>Rcd</w:t>
      </w:r>
      <w:r>
        <w:t xml:space="preserve"> at 1120916, paras. 15974 (proposing to amend Section 10.350 to require Participating CMS Providers to submit annual reports to the Commission that demonstrate reliability and availability, latency, and geotargeting for their nationwide WEA deployment and proposing “to require that Participating CMS Providers grant emergency management agencies’ requests for locality-specific versions of these performance metrics if and only if the requesting entity agrees to provide confidentiality protection at least equal to that provided by FOIA”) (seeking comment on whether annual is the right frequency for reporting; the specific data elements that Participating CMS Providers would need to collect to measure reliability and availability, latency, and geotargeting; and the methodology that Participating CMS Providers would use to compile performance reports, including through State/Local WEA Tests conducted in a “representative sample of the different real-world environments in which the WEA system would be used (</w:t>
      </w:r>
      <w:r>
        <w:rPr>
          <w:i/>
          <w:iCs/>
        </w:rPr>
        <w:t>e.g.</w:t>
      </w:r>
      <w:r>
        <w:t>, the dense urban, urban, suburban and rural morphologies defined by the ATIS-0500011 standard)”).</w:t>
      </w:r>
    </w:p>
  </w:footnote>
  <w:footnote w:id="26">
    <w:p w:rsidR="009B6017" w:rsidP="009B6017" w14:paraId="3B3FBFFF" w14:textId="77777777">
      <w:pPr>
        <w:pStyle w:val="FootnoteText"/>
      </w:pPr>
      <w:r>
        <w:rPr>
          <w:rStyle w:val="FootnoteReference"/>
        </w:rPr>
        <w:footnoteRef/>
      </w:r>
      <w:r>
        <w:t xml:space="preserve"> </w:t>
      </w:r>
      <w:r>
        <w:rPr>
          <w:i/>
          <w:iCs/>
        </w:rPr>
        <w:t>See</w:t>
      </w:r>
      <w:r>
        <w:t xml:space="preserve"> </w:t>
      </w:r>
      <w:r>
        <w:rPr>
          <w:i/>
          <w:iCs/>
        </w:rPr>
        <w:t xml:space="preserve">id. </w:t>
      </w:r>
      <w:r>
        <w:t>at 11215, paras. 173-74 (seeking comment on “whether the logging requirements . . . should extend beyond the CMS Provider Alert Gateway to the [Radio Access Network (RAN)] . . .  and to WEA-capable mobile devices, . . . whether requiring Participating CMS Providers to log data relevant to the accuracy of geo-targeting, the extent of alert delivery latency, and the system availability and reliability could contribute to the collection of data for Annual WEA Performance Reports,” and whether the Commission should standardize the presentation of WEA performance logs for the benefit of emergency management agencies).</w:t>
      </w:r>
    </w:p>
  </w:footnote>
  <w:footnote w:id="27">
    <w:p w:rsidR="009B6017" w:rsidP="009B6017" w14:paraId="17B55C1A" w14:textId="77777777">
      <w:pPr>
        <w:pStyle w:val="FootnoteText"/>
      </w:pPr>
      <w:r>
        <w:rPr>
          <w:rStyle w:val="FootnoteReference"/>
        </w:rPr>
        <w:footnoteRef/>
      </w:r>
      <w:r>
        <w:t xml:space="preserve"> </w:t>
      </w:r>
      <w:r>
        <w:rPr>
          <w:i/>
          <w:iCs/>
        </w:rPr>
        <w:t>See</w:t>
      </w:r>
      <w:r>
        <w:t xml:space="preserve"> </w:t>
      </w:r>
      <w:r>
        <w:rPr>
          <w:i/>
          <w:iCs/>
        </w:rPr>
        <w:t>Amendment of Part 11 of the Commission’s Rules Regarding the Emergency Alert System; Wireless Emergency Alerts</w:t>
      </w:r>
      <w:r>
        <w:t xml:space="preserve">, PS Docket Nos. 15-91, 15-94, Report and Order and Further Notice of Proposed Rulemaking, 33 FCC </w:t>
      </w:r>
      <w:r>
        <w:t>Rcd</w:t>
      </w:r>
      <w:r>
        <w:t xml:space="preserve"> 7086, 7105-06, paras. 46-49 (2018) (</w:t>
      </w:r>
      <w:r>
        <w:rPr>
          <w:i/>
          <w:iCs/>
        </w:rPr>
        <w:t>Alerting Reliability FNPRM</w:t>
      </w:r>
      <w:r>
        <w:t xml:space="preserve">).  The </w:t>
      </w:r>
      <w:r>
        <w:rPr>
          <w:i/>
          <w:iCs/>
        </w:rPr>
        <w:t>Alerting Reliability FNPRM</w:t>
      </w:r>
      <w:r>
        <w:t xml:space="preserve"> did not specifically reference the </w:t>
      </w:r>
      <w:r w:rsidRPr="002A4EAC">
        <w:rPr>
          <w:i/>
          <w:iCs/>
        </w:rPr>
        <w:t>2016 WEA R&amp;O and FNPRM</w:t>
      </w:r>
      <w:r>
        <w:t xml:space="preserve"> although it sought comment on the same issues of performance reporting and measurement. </w:t>
      </w:r>
    </w:p>
  </w:footnote>
  <w:footnote w:id="28">
    <w:p w:rsidR="009B6017" w:rsidP="009B6017" w14:paraId="239B0958" w14:textId="77777777">
      <w:pPr>
        <w:spacing w:after="120"/>
        <w:rPr>
          <w:sz w:val="20"/>
        </w:rPr>
      </w:pPr>
      <w:r>
        <w:rPr>
          <w:rStyle w:val="FootnoteReference"/>
        </w:rPr>
        <w:footnoteRef/>
      </w:r>
      <w:r>
        <w:rPr>
          <w:sz w:val="20"/>
        </w:rPr>
        <w:t xml:space="preserve"> </w:t>
      </w:r>
      <w:r>
        <w:rPr>
          <w:sz w:val="20"/>
        </w:rPr>
        <w:t xml:space="preserve">AT&amp;T Services, Inc., Comments, PS Docket No. 15-91, at 19-21 (Dec. 8, 2016) (AT&amp;T 2016 Comments); T-Mobile USA, Inc., Comments, PS Docket No. 15-91, at 12 (Dec. 9, 2016) (T-Mobile 2016 Comments); CTIA, Comments, PS Docket No. 15-91, at 2 (Sep. 10, 2018) (CTIA 2018 Comments); </w:t>
      </w:r>
      <w:r>
        <w:rPr>
          <w:i/>
          <w:iCs/>
          <w:sz w:val="20"/>
        </w:rPr>
        <w:t xml:space="preserve">see </w:t>
      </w:r>
      <w:r w:rsidRPr="00CD0EEA">
        <w:rPr>
          <w:i/>
          <w:iCs/>
          <w:sz w:val="20"/>
        </w:rPr>
        <w:t>Alerting Reliability FNPRM</w:t>
      </w:r>
      <w:r>
        <w:rPr>
          <w:sz w:val="20"/>
        </w:rPr>
        <w:t xml:space="preserve">, 33 FCC </w:t>
      </w:r>
      <w:r>
        <w:rPr>
          <w:sz w:val="20"/>
        </w:rPr>
        <w:t>Rcd</w:t>
      </w:r>
      <w:r>
        <w:rPr>
          <w:sz w:val="20"/>
        </w:rPr>
        <w:t xml:space="preserve"> 7086.</w:t>
      </w:r>
    </w:p>
  </w:footnote>
  <w:footnote w:id="29">
    <w:p w:rsidR="009B6017" w:rsidP="009B6017" w14:paraId="0DC23BC8" w14:textId="77777777">
      <w:pPr>
        <w:spacing w:after="120"/>
        <w:rPr>
          <w:sz w:val="20"/>
        </w:rPr>
      </w:pPr>
      <w:r>
        <w:rPr>
          <w:rStyle w:val="FootnoteReference"/>
        </w:rPr>
        <w:footnoteRef/>
      </w:r>
      <w:r>
        <w:rPr>
          <w:sz w:val="20"/>
        </w:rPr>
        <w:t xml:space="preserve"> </w:t>
      </w:r>
      <w:r>
        <w:rPr>
          <w:sz w:val="20"/>
        </w:rPr>
        <w:t xml:space="preserve">AT&amp;T Services, Inc., Comments, PS Docket No. 15-91, at 3 (Sep. 10, 2018) (AT&amp;T 2018 Comments); </w:t>
      </w:r>
      <w:r w:rsidRPr="0065764D">
        <w:rPr>
          <w:i/>
          <w:sz w:val="20"/>
        </w:rPr>
        <w:t>CTIA 2018 Comments</w:t>
      </w:r>
      <w:r>
        <w:rPr>
          <w:sz w:val="20"/>
        </w:rPr>
        <w:t xml:space="preserve"> at 9.</w:t>
      </w:r>
    </w:p>
  </w:footnote>
  <w:footnote w:id="30">
    <w:p w:rsidR="009B6017" w:rsidP="009B6017" w14:paraId="6F7C0DB8" w14:textId="77777777">
      <w:pPr>
        <w:pStyle w:val="FootnoteText"/>
      </w:pPr>
      <w:r>
        <w:rPr>
          <w:rStyle w:val="FootnoteReference"/>
        </w:rPr>
        <w:footnoteRef/>
      </w:r>
      <w:r>
        <w:t xml:space="preserve"> </w:t>
      </w:r>
      <w:r>
        <w:t xml:space="preserve">APCO International, Comments, PS Docket No. 15-91, at 5 (Dec. 8, 2016); </w:t>
      </w:r>
      <w:r>
        <w:rPr>
          <w:color w:val="000000"/>
        </w:rPr>
        <w:t xml:space="preserve">Nassau County Office of Emergency Management, Comments, PS Docket No. 15-91, at 2 (Dec. 8, 2016); </w:t>
      </w:r>
      <w:r>
        <w:t xml:space="preserve">Harris County, Texas Homeland Security and Emergency Management, Comment, PS Docket No. 15-91, at 1 (Sep. 7, 2018); </w:t>
      </w:r>
      <w:r>
        <w:rPr>
          <w:color w:val="000000"/>
        </w:rPr>
        <w:t xml:space="preserve">New York City Emergency Management Department, Comments, PS Docket No. 15-91, at 15 (Dec. 8, 2016); </w:t>
      </w:r>
      <w:r>
        <w:t>Wireless RERC &amp; CACP, Comments, PS Docket No. 15-91, at 14 (Dec. 8, 2016).</w:t>
      </w:r>
    </w:p>
  </w:footnote>
  <w:footnote w:id="31">
    <w:p w:rsidR="009B6017" w:rsidP="009B6017" w14:paraId="0527302D" w14:textId="77777777">
      <w:pPr>
        <w:pStyle w:val="FootnoteText"/>
      </w:pPr>
      <w:r>
        <w:rPr>
          <w:rStyle w:val="FootnoteReference"/>
        </w:rPr>
        <w:footnoteRef/>
      </w:r>
      <w:r>
        <w:t xml:space="preserve"> </w:t>
      </w:r>
      <w:r>
        <w:t>California Governor’s OES Comments, PS Docket No. 15-91 at 7 (Dec. 8, 2016).</w:t>
      </w:r>
    </w:p>
  </w:footnote>
  <w:footnote w:id="32">
    <w:p w:rsidR="009B6017" w:rsidP="009B6017" w14:paraId="4B6FEA37" w14:textId="77777777">
      <w:pPr>
        <w:pStyle w:val="FootnoteText"/>
      </w:pPr>
      <w:r>
        <w:rPr>
          <w:rStyle w:val="FootnoteReference"/>
        </w:rPr>
        <w:footnoteRef/>
      </w:r>
      <w:r>
        <w:t xml:space="preserve"> </w:t>
      </w:r>
      <w:r>
        <w:t>APCO International, Comments, at 5 (Dec. 8, 2016) (APCO Comments).</w:t>
      </w:r>
    </w:p>
  </w:footnote>
  <w:footnote w:id="33">
    <w:p w:rsidR="009B6017" w:rsidP="009B6017" w14:paraId="1F791ED8" w14:textId="77777777">
      <w:pPr>
        <w:pStyle w:val="FootnoteText"/>
      </w:pPr>
      <w:r>
        <w:rPr>
          <w:rStyle w:val="FootnoteReference"/>
        </w:rPr>
        <w:footnoteRef/>
      </w:r>
      <w:r>
        <w:t xml:space="preserve"> </w:t>
      </w:r>
      <w:r>
        <w:rPr>
          <w:color w:val="000000"/>
        </w:rPr>
        <w:t xml:space="preserve">Nassau County Office of Emergency Management, Comments, at 2 (Dec. 8, 2016) (Nassau County Comments). </w:t>
      </w:r>
    </w:p>
  </w:footnote>
  <w:footnote w:id="34">
    <w:p w:rsidR="009B6017" w:rsidP="009B6017" w14:paraId="04A0F64D" w14:textId="77777777">
      <w:pPr>
        <w:pStyle w:val="FootnoteText"/>
      </w:pPr>
      <w:r>
        <w:rPr>
          <w:rStyle w:val="FootnoteReference"/>
        </w:rPr>
        <w:footnoteRef/>
      </w:r>
      <w:r>
        <w:t xml:space="preserve"> </w:t>
      </w:r>
      <w:r>
        <w:t xml:space="preserve">Harris County, Texas Homeland Security and Emergency Management, Comment, at 1 (Sep. 7, 2018) (Harris County Comments); </w:t>
      </w:r>
      <w:r>
        <w:rPr>
          <w:color w:val="000000"/>
        </w:rPr>
        <w:t xml:space="preserve">New York City Emergency Management Department, Comments, at 15 (Dec. 8, 2016) (“NYCEM strongly supports the need for regular, CMSP-by-CMSP, reporting on WEA capability, including the elements proposed by the Commission.”).  </w:t>
      </w:r>
    </w:p>
  </w:footnote>
  <w:footnote w:id="35">
    <w:p w:rsidR="009B6017" w:rsidP="009B6017" w14:paraId="2E15936F" w14:textId="77777777">
      <w:pPr>
        <w:pStyle w:val="FootnoteText"/>
      </w:pPr>
      <w:r>
        <w:rPr>
          <w:rStyle w:val="FootnoteReference"/>
        </w:rPr>
        <w:footnoteRef/>
      </w:r>
      <w:r>
        <w:t xml:space="preserve"> </w:t>
      </w:r>
      <w:r>
        <w:t>Wireless RERC &amp; CACP, Comments, at 14 (Dec. 8, 2016) (Wireless RERC Comments).</w:t>
      </w:r>
    </w:p>
  </w:footnote>
  <w:footnote w:id="36">
    <w:p w:rsidR="009B6017" w:rsidP="009B6017" w14:paraId="0CC5CA4A" w14:textId="77777777">
      <w:pPr>
        <w:pStyle w:val="FootnoteText"/>
      </w:pPr>
      <w:r>
        <w:rPr>
          <w:rStyle w:val="FootnoteReference"/>
        </w:rPr>
        <w:footnoteRef/>
      </w:r>
      <w:r>
        <w:t xml:space="preserve"> </w:t>
      </w:r>
      <w:r>
        <w:t xml:space="preserve">Government Accountability Office, Emergency Alerting: Agencies Need to Address Pending Applications and Monitor Industry Progress on System Improvements at 25-27 (2020), </w:t>
      </w:r>
      <w:hyperlink r:id="rId15" w:history="1">
        <w:r w:rsidRPr="00C153A4">
          <w:rPr>
            <w:rStyle w:val="Hyperlink"/>
          </w:rPr>
          <w:t>https://www.gao.gov/assets/gao-20-294.pdf</w:t>
        </w:r>
      </w:hyperlink>
      <w:r>
        <w:t xml:space="preserve">. </w:t>
      </w:r>
    </w:p>
  </w:footnote>
  <w:footnote w:id="37">
    <w:p w:rsidR="009B6017" w:rsidP="009B6017" w14:paraId="1AEE3EDE" w14:textId="77777777">
      <w:pPr>
        <w:pStyle w:val="FootnoteText"/>
      </w:pPr>
      <w:r>
        <w:rPr>
          <w:rStyle w:val="FootnoteReference"/>
        </w:rPr>
        <w:footnoteRef/>
      </w:r>
      <w:r>
        <w:t xml:space="preserve"> </w:t>
      </w:r>
      <w:r>
        <w:t xml:space="preserve">FCC, Emergency Alerting (103277) Corrective Action Plan at 2 (2020), </w:t>
      </w:r>
      <w:hyperlink r:id="rId16" w:history="1">
        <w:r w:rsidRPr="00C153A4">
          <w:rPr>
            <w:rStyle w:val="Hyperlink"/>
          </w:rPr>
          <w:t>https://www.gao.gov/products/gao-20-294</w:t>
        </w:r>
      </w:hyperlink>
      <w:r>
        <w:t xml:space="preserve">. </w:t>
      </w:r>
    </w:p>
  </w:footnote>
  <w:footnote w:id="38">
    <w:p w:rsidR="009B6017" w:rsidP="009B6017" w14:paraId="40EE9727" w14:textId="77777777">
      <w:pPr>
        <w:pStyle w:val="FootnoteText"/>
      </w:pPr>
      <w:r>
        <w:rPr>
          <w:rStyle w:val="FootnoteReference"/>
        </w:rPr>
        <w:footnoteRef/>
      </w:r>
      <w:r>
        <w:t xml:space="preserve"> </w:t>
      </w:r>
      <w:r w:rsidRPr="0065764D">
        <w:rPr>
          <w:i/>
          <w:iCs/>
        </w:rPr>
        <w:t xml:space="preserve">See </w:t>
      </w:r>
      <w:r w:rsidRPr="000F5774">
        <w:t>News Release</w:t>
      </w:r>
      <w:r>
        <w:t xml:space="preserve">, FCC Acting Chairwoman </w:t>
      </w:r>
      <w:r>
        <w:t>Rosenworcel</w:t>
      </w:r>
      <w:r>
        <w:t xml:space="preserve"> Announces Federal, State, and Local Partnerships to Assess Wireless Emergency Alert Test Performance (July 20, 2021), </w:t>
      </w:r>
      <w:hyperlink r:id="rId17" w:history="1">
        <w:r w:rsidRPr="00C83398">
          <w:rPr>
            <w:rStyle w:val="Hyperlink"/>
          </w:rPr>
          <w:t>https://www.fcc.gov/document/fcc-announces-survey-partnerships-wireless-emergency-alert-test</w:t>
        </w:r>
      </w:hyperlink>
      <w:r>
        <w:t xml:space="preserve">. </w:t>
      </w:r>
    </w:p>
  </w:footnote>
  <w:footnote w:id="39">
    <w:p w:rsidR="009B6017" w:rsidP="009B6017" w14:paraId="1C29781B" w14:textId="77777777">
      <w:pPr>
        <w:pStyle w:val="FootnoteText"/>
      </w:pPr>
      <w:r>
        <w:rPr>
          <w:rStyle w:val="FootnoteReference"/>
        </w:rPr>
        <w:footnoteRef/>
      </w:r>
      <w:r>
        <w:t xml:space="preserve"> </w:t>
      </w:r>
      <w:r>
        <w:rPr>
          <w:i/>
          <w:iCs/>
        </w:rPr>
        <w:t>See</w:t>
      </w:r>
      <w:r>
        <w:t xml:space="preserve"> </w:t>
      </w:r>
      <w:r w:rsidRPr="0032120D">
        <w:rPr>
          <w:i/>
        </w:rPr>
        <w:t>2021 Nationwide WEA Test Report</w:t>
      </w:r>
      <w:r>
        <w:t xml:space="preserve"> at 3.</w:t>
      </w:r>
    </w:p>
  </w:footnote>
  <w:footnote w:id="40">
    <w:p w:rsidR="009B6017" w:rsidP="009B6017" w14:paraId="7DF15B7A" w14:textId="77777777">
      <w:pPr>
        <w:pStyle w:val="FootnoteText"/>
      </w:pPr>
      <w:r>
        <w:rPr>
          <w:rStyle w:val="FootnoteReference"/>
        </w:rPr>
        <w:footnoteRef/>
      </w:r>
      <w:r>
        <w:t xml:space="preserve"> </w:t>
      </w:r>
      <w:r>
        <w:rPr>
          <w:i/>
          <w:iCs/>
        </w:rPr>
        <w:t>See</w:t>
      </w:r>
      <w:r>
        <w:t xml:space="preserve"> </w:t>
      </w:r>
      <w:r>
        <w:rPr>
          <w:i/>
          <w:iCs/>
        </w:rPr>
        <w:t>id</w:t>
      </w:r>
      <w:r>
        <w:t>.</w:t>
      </w:r>
    </w:p>
  </w:footnote>
  <w:footnote w:id="41">
    <w:p w:rsidR="009B6017" w:rsidRPr="00916FC5" w:rsidP="009B6017" w14:paraId="2F4F55F3" w14:textId="77777777">
      <w:pPr>
        <w:pStyle w:val="FootnoteText"/>
        <w:rPr>
          <w:i/>
          <w:iCs/>
        </w:rPr>
      </w:pPr>
      <w:r>
        <w:rPr>
          <w:rStyle w:val="FootnoteReference"/>
        </w:rPr>
        <w:footnoteRef/>
      </w:r>
      <w:r>
        <w:t xml:space="preserve"> </w:t>
      </w:r>
      <w:r>
        <w:rPr>
          <w:i/>
          <w:iCs/>
        </w:rPr>
        <w:t xml:space="preserve">See id. </w:t>
      </w:r>
    </w:p>
  </w:footnote>
  <w:footnote w:id="42">
    <w:p w:rsidR="009B6017" w:rsidP="009B6017" w14:paraId="11A12438" w14:textId="77777777">
      <w:pPr>
        <w:pStyle w:val="FootnoteText"/>
      </w:pPr>
      <w:r>
        <w:rPr>
          <w:rStyle w:val="FootnoteReference"/>
        </w:rPr>
        <w:footnoteRef/>
      </w:r>
      <w:r>
        <w:t xml:space="preserve"> </w:t>
      </w:r>
      <w:r>
        <w:rPr>
          <w:i/>
          <w:iCs/>
        </w:rPr>
        <w:t>See id.</w:t>
      </w:r>
      <w:r>
        <w:t xml:space="preserve">; </w:t>
      </w:r>
      <w:r>
        <w:rPr>
          <w:i/>
          <w:iCs/>
        </w:rPr>
        <w:t xml:space="preserve">see also </w:t>
      </w:r>
      <w:r>
        <w:t xml:space="preserve">PSHSB, Report: October 3, 2018 Nationwide WEA and EAS Test at 6 n.24 (2019), </w:t>
      </w:r>
      <w:hyperlink r:id="rId18" w:history="1">
        <w:r>
          <w:rPr>
            <w:rStyle w:val="Hyperlink"/>
          </w:rPr>
          <w:t>https://docs.fcc.gov/public/attachments/DOC-356902A1.pdf</w:t>
        </w:r>
      </w:hyperlink>
      <w:r>
        <w:t xml:space="preserve"> (identifying survey respondents as receiving the nationwide WEA test on MVNO networks in 2018).</w:t>
      </w:r>
    </w:p>
  </w:footnote>
  <w:footnote w:id="43">
    <w:p w:rsidR="009B6017" w:rsidRPr="005A39BE" w:rsidP="009B6017" w14:paraId="6DF7431F" w14:textId="77777777">
      <w:pPr>
        <w:pStyle w:val="FootnoteText"/>
      </w:pPr>
      <w:r>
        <w:rPr>
          <w:rStyle w:val="FootnoteReference"/>
        </w:rPr>
        <w:footnoteRef/>
      </w:r>
      <w:r>
        <w:t xml:space="preserve"> </w:t>
      </w:r>
      <w:r>
        <w:rPr>
          <w:i/>
          <w:iCs/>
        </w:rPr>
        <w:t xml:space="preserve">Supra </w:t>
      </w:r>
      <w:r>
        <w:t xml:space="preserve">at para. 5. </w:t>
      </w:r>
    </w:p>
  </w:footnote>
  <w:footnote w:id="44">
    <w:p w:rsidR="009B6017" w:rsidRPr="0065764D" w:rsidP="009B6017" w14:paraId="41D6E0BE" w14:textId="77777777">
      <w:pPr>
        <w:pStyle w:val="FootnoteText"/>
        <w:rPr>
          <w:i/>
          <w:iCs/>
        </w:rPr>
      </w:pPr>
      <w:r>
        <w:rPr>
          <w:rStyle w:val="FootnoteReference"/>
        </w:rPr>
        <w:footnoteRef/>
      </w:r>
      <w:r>
        <w:t xml:space="preserve"> </w:t>
      </w:r>
      <w:r>
        <w:rPr>
          <w:i/>
          <w:iCs/>
        </w:rPr>
        <w:t>See id.</w:t>
      </w:r>
    </w:p>
  </w:footnote>
  <w:footnote w:id="45">
    <w:p w:rsidR="009B6017" w:rsidP="009B6017" w14:paraId="6B78A2D3" w14:textId="77777777">
      <w:pPr>
        <w:pStyle w:val="FootnoteText"/>
      </w:pPr>
      <w:r>
        <w:rPr>
          <w:rStyle w:val="FootnoteReference"/>
        </w:rPr>
        <w:footnoteRef/>
      </w:r>
      <w:r>
        <w:t xml:space="preserve"> </w:t>
      </w:r>
      <w:r w:rsidRPr="00EE3A41">
        <w:rPr>
          <w:i/>
          <w:iCs/>
        </w:rPr>
        <w:t xml:space="preserve">Wireless Emergency Alerts, Amendments to Part 11 of the Commission’s Rules Regarding the Emergency Alert </w:t>
      </w:r>
      <w:r w:rsidRPr="0065764D">
        <w:rPr>
          <w:i/>
        </w:rPr>
        <w:t>System</w:t>
      </w:r>
      <w:r w:rsidRPr="00EE3A41">
        <w:t xml:space="preserve">, PS Docket No. 15-91, PS Docket No. 15-94, Report and Order and Further Notice of Proposed Rulemaking, 13 FCC </w:t>
      </w:r>
      <w:r w:rsidRPr="00EE3A41">
        <w:t>Rcd</w:t>
      </w:r>
      <w:r w:rsidRPr="00EE3A41">
        <w:t xml:space="preserve"> 11112, </w:t>
      </w:r>
      <w:r>
        <w:t>11210</w:t>
      </w:r>
      <w:r w:rsidRPr="00EE3A41">
        <w:t xml:space="preserve">, para. </w:t>
      </w:r>
      <w:r>
        <w:t>162</w:t>
      </w:r>
      <w:r w:rsidRPr="00EE3A41">
        <w:t xml:space="preserve"> (2016) (</w:t>
      </w:r>
      <w:r w:rsidRPr="00EE3A41">
        <w:rPr>
          <w:i/>
          <w:iCs/>
        </w:rPr>
        <w:t>2016 WEA R&amp;O and FNPRM</w:t>
      </w:r>
      <w:r w:rsidRPr="00EE3A41">
        <w:t>).</w:t>
      </w:r>
    </w:p>
  </w:footnote>
  <w:footnote w:id="46">
    <w:p w:rsidR="009B6017" w:rsidRPr="00EE3A41" w:rsidP="009B6017" w14:paraId="0E0B75A3" w14:textId="77777777">
      <w:pPr>
        <w:pStyle w:val="FootnoteText"/>
        <w:rPr>
          <w:i/>
          <w:iCs/>
        </w:rPr>
      </w:pPr>
      <w:r>
        <w:rPr>
          <w:rStyle w:val="FootnoteReference"/>
        </w:rPr>
        <w:footnoteRef/>
      </w:r>
      <w:r>
        <w:t xml:space="preserve"> </w:t>
      </w:r>
      <w:r>
        <w:rPr>
          <w:i/>
          <w:iCs/>
        </w:rPr>
        <w:t>Id.</w:t>
      </w:r>
    </w:p>
  </w:footnote>
  <w:footnote w:id="47">
    <w:p w:rsidR="009B6017" w:rsidRPr="00EE3A41" w:rsidP="009B6017" w14:paraId="68ACA0CA" w14:textId="77777777">
      <w:pPr>
        <w:pStyle w:val="FootnoteText"/>
        <w:rPr>
          <w:i/>
          <w:iCs/>
        </w:rPr>
      </w:pPr>
      <w:r>
        <w:rPr>
          <w:rStyle w:val="FootnoteReference"/>
        </w:rPr>
        <w:footnoteRef/>
      </w:r>
      <w:r>
        <w:t xml:space="preserve"> </w:t>
      </w:r>
      <w:r>
        <w:rPr>
          <w:i/>
          <w:iCs/>
        </w:rPr>
        <w:t>Id.</w:t>
      </w:r>
    </w:p>
  </w:footnote>
  <w:footnote w:id="48">
    <w:p w:rsidR="009B6017" w:rsidP="009B6017" w14:paraId="41A15686" w14:textId="77777777">
      <w:pPr>
        <w:pStyle w:val="FootnoteText"/>
      </w:pPr>
      <w:r>
        <w:rPr>
          <w:rStyle w:val="FootnoteReference"/>
        </w:rPr>
        <w:footnoteRef/>
      </w:r>
      <w:r>
        <w:t xml:space="preserve"> </w:t>
      </w:r>
      <w:r>
        <w:t>California Governor’s OES Comments, PS Docket No. 15-91 at 7 (Dec. 8, 2016).</w:t>
      </w:r>
    </w:p>
  </w:footnote>
  <w:footnote w:id="49">
    <w:p w:rsidR="009B6017" w:rsidRPr="0065764D" w:rsidP="009B6017" w14:paraId="65813728" w14:textId="77777777">
      <w:pPr>
        <w:pStyle w:val="FootnoteText"/>
        <w:rPr>
          <w:i/>
          <w:iCs/>
        </w:rPr>
      </w:pPr>
      <w:r>
        <w:rPr>
          <w:rStyle w:val="FootnoteReference"/>
        </w:rPr>
        <w:footnoteRef/>
      </w:r>
      <w:r>
        <w:t xml:space="preserve"> </w:t>
      </w:r>
      <w:r>
        <w:t xml:space="preserve">We do not seek comment on the potential issues that alert originators may have with rapidly issuing WEA alerts during emergencies due to issues such as lack of direct access to IPAWS or insufficient training because the Commission’s WEA authority does not extend to the federal, state, local, tribal, and territorial emergency management agencies that initiate WEA alerts.  </w:t>
      </w:r>
      <w:r>
        <w:rPr>
          <w:i/>
          <w:iCs/>
        </w:rPr>
        <w:t xml:space="preserve">Cf. </w:t>
      </w:r>
      <w:r>
        <w:t xml:space="preserve">Government Accountability Office, Emergency Alerting: Agencies Need to Address Pending Applications and Monitor Industry Progress on System Improvements, GAO-20-294 at 9 (2020), </w:t>
      </w:r>
      <w:hyperlink r:id="rId15" w:history="1">
        <w:r w:rsidRPr="00C153A4">
          <w:rPr>
            <w:rStyle w:val="Hyperlink"/>
          </w:rPr>
          <w:t>https://www.gao.gov/assets/gao-20-294.pdf</w:t>
        </w:r>
      </w:hyperlink>
      <w:r>
        <w:t>.</w:t>
      </w:r>
    </w:p>
  </w:footnote>
  <w:footnote w:id="50">
    <w:p w:rsidR="009B6017" w:rsidRPr="004C7DE7" w:rsidP="009B6017" w14:paraId="292DE9A0" w14:textId="77777777">
      <w:pPr>
        <w:pStyle w:val="FootnoteText"/>
      </w:pPr>
      <w:r>
        <w:rPr>
          <w:rStyle w:val="FootnoteReference"/>
        </w:rPr>
        <w:footnoteRef/>
      </w:r>
      <w:r>
        <w:t xml:space="preserve"> </w:t>
      </w:r>
      <w:r>
        <w:rPr>
          <w:i/>
          <w:iCs/>
        </w:rPr>
        <w:t>See</w:t>
      </w:r>
      <w:r>
        <w:t xml:space="preserve"> </w:t>
      </w:r>
      <w:r>
        <w:rPr>
          <w:i/>
          <w:iCs/>
        </w:rPr>
        <w:t>WEA R&amp;O and FNPRM</w:t>
      </w:r>
      <w:r>
        <w:t xml:space="preserve">, 31 FCC </w:t>
      </w:r>
      <w:r>
        <w:t>Rcd</w:t>
      </w:r>
      <w:r>
        <w:t xml:space="preserve"> at 11210 at paras 161-63.</w:t>
      </w:r>
    </w:p>
  </w:footnote>
  <w:footnote w:id="51">
    <w:p w:rsidR="009B6017" w:rsidRPr="004C7DE7" w:rsidP="009B6017" w14:paraId="61686EC6" w14:textId="77777777">
      <w:pPr>
        <w:pStyle w:val="FootnoteText"/>
      </w:pPr>
      <w:r>
        <w:rPr>
          <w:rStyle w:val="FootnoteReference"/>
        </w:rPr>
        <w:footnoteRef/>
      </w:r>
      <w:r>
        <w:t xml:space="preserve"> </w:t>
      </w:r>
      <w:r>
        <w:rPr>
          <w:i/>
          <w:iCs/>
        </w:rPr>
        <w:t>See</w:t>
      </w:r>
      <w:r>
        <w:t xml:space="preserve"> </w:t>
      </w:r>
      <w:r>
        <w:rPr>
          <w:i/>
          <w:iCs/>
        </w:rPr>
        <w:t>id.</w:t>
      </w:r>
    </w:p>
  </w:footnote>
  <w:footnote w:id="52">
    <w:p w:rsidR="009B6017" w:rsidRPr="003A0293" w:rsidP="009B6017" w14:paraId="7E6E7EFD" w14:textId="77777777">
      <w:pPr>
        <w:pStyle w:val="FootnoteText"/>
        <w:rPr>
          <w:color w:val="000000"/>
        </w:rPr>
      </w:pPr>
      <w:r>
        <w:rPr>
          <w:rStyle w:val="FootnoteReference"/>
        </w:rPr>
        <w:footnoteRef/>
      </w:r>
      <w:r>
        <w:t xml:space="preserve"> </w:t>
      </w:r>
      <w:r w:rsidRPr="003A0293">
        <w:rPr>
          <w:color w:val="000000"/>
        </w:rPr>
        <w:t xml:space="preserve">NYCEM 2016 Comments at 15.  </w:t>
      </w:r>
    </w:p>
  </w:footnote>
  <w:footnote w:id="53">
    <w:p w:rsidR="009B6017" w:rsidP="009B6017" w14:paraId="700AA0AD" w14:textId="77777777">
      <w:pPr>
        <w:pStyle w:val="FootnoteText"/>
      </w:pPr>
      <w:r>
        <w:rPr>
          <w:rStyle w:val="FootnoteReference"/>
        </w:rPr>
        <w:footnoteRef/>
      </w:r>
      <w:r>
        <w:t xml:space="preserve"> </w:t>
      </w:r>
      <w:r>
        <w:rPr>
          <w:i/>
          <w:iCs/>
        </w:rPr>
        <w:t>See</w:t>
      </w:r>
      <w:r>
        <w:t xml:space="preserve"> ATIS, Location Technology Performance Data - Define Topologies &amp; Data Collection Methodology, </w:t>
      </w:r>
      <w:r w:rsidRPr="00B20910">
        <w:t xml:space="preserve">ATIS-0500011 </w:t>
      </w:r>
      <w:r>
        <w:t xml:space="preserve">(2007), </w:t>
      </w:r>
      <w:hyperlink r:id="rId19" w:history="1">
        <w:r w:rsidRPr="00C83398">
          <w:rPr>
            <w:rStyle w:val="Hyperlink"/>
          </w:rPr>
          <w:t>https://webstore.ansi.org/Standards/ATIS/ATIS0500011</w:t>
        </w:r>
      </w:hyperlink>
      <w:r>
        <w:t xml:space="preserve">. </w:t>
      </w:r>
    </w:p>
  </w:footnote>
  <w:footnote w:id="54">
    <w:p w:rsidR="009B6017" w:rsidP="009B6017" w14:paraId="62C2F4EC" w14:textId="77777777">
      <w:pPr>
        <w:pStyle w:val="FootnoteText"/>
      </w:pPr>
      <w:r>
        <w:rPr>
          <w:rStyle w:val="FootnoteReference"/>
        </w:rPr>
        <w:footnoteRef/>
      </w:r>
      <w:r>
        <w:t xml:space="preserve"> </w:t>
      </w:r>
      <w:r>
        <w:rPr>
          <w:i/>
          <w:iCs/>
        </w:rPr>
        <w:t>WEA R&amp;O and FNPRM</w:t>
      </w:r>
      <w:r>
        <w:t xml:space="preserve">, 31 FCC </w:t>
      </w:r>
      <w:r>
        <w:t>Rcd</w:t>
      </w:r>
      <w:r>
        <w:t xml:space="preserve"> at 11210 at paras 161-63.</w:t>
      </w:r>
    </w:p>
  </w:footnote>
  <w:footnote w:id="55">
    <w:p w:rsidR="009B6017" w:rsidP="009B6017" w14:paraId="6C3AE71C" w14:textId="77777777">
      <w:pPr>
        <w:pStyle w:val="FootnoteText"/>
      </w:pPr>
      <w:r>
        <w:rPr>
          <w:rStyle w:val="FootnoteReference"/>
        </w:rPr>
        <w:footnoteRef/>
      </w:r>
      <w:r>
        <w:t xml:space="preserve"> </w:t>
      </w:r>
      <w:r>
        <w:t xml:space="preserve">California Governor’s OES Comments, PS Docket No. 15-91 at 7 (Dec. 8, 2016); </w:t>
      </w:r>
      <w:r w:rsidRPr="003A0293">
        <w:rPr>
          <w:color w:val="000000"/>
        </w:rPr>
        <w:t>NYCEM 2016 Comments at 15.  We note that no other commenters have addressed the frequency of reporting in their comments.</w:t>
      </w:r>
    </w:p>
  </w:footnote>
  <w:footnote w:id="56">
    <w:p w:rsidR="009B6017" w:rsidP="009B6017" w14:paraId="2AC11429" w14:textId="77777777">
      <w:pPr>
        <w:pStyle w:val="FootnoteText"/>
      </w:pPr>
      <w:r>
        <w:rPr>
          <w:rStyle w:val="FootnoteReference"/>
        </w:rPr>
        <w:footnoteRef/>
      </w:r>
      <w:r>
        <w:t xml:space="preserve"> </w:t>
      </w:r>
      <w:r>
        <w:t>47 C.F.R. § 11.61(a)(3).</w:t>
      </w:r>
    </w:p>
  </w:footnote>
  <w:footnote w:id="57">
    <w:p w:rsidR="009B6017" w:rsidRPr="004063D8" w:rsidP="009B6017" w14:paraId="4C2F2D74" w14:textId="77777777">
      <w:pPr>
        <w:pStyle w:val="FootnoteText"/>
      </w:pPr>
      <w:r>
        <w:rPr>
          <w:rStyle w:val="FootnoteReference"/>
        </w:rPr>
        <w:footnoteRef/>
      </w:r>
      <w:r>
        <w:t xml:space="preserve"> </w:t>
      </w:r>
      <w:r>
        <w:rPr>
          <w:i/>
          <w:iCs/>
        </w:rPr>
        <w:t>See WEA R&amp;O and FNPRM</w:t>
      </w:r>
      <w:r>
        <w:t xml:space="preserve">, 31 FCC </w:t>
      </w:r>
      <w:r>
        <w:t>Rcd</w:t>
      </w:r>
      <w:r>
        <w:t xml:space="preserve"> at 11213-14, para. 171; </w:t>
      </w:r>
      <w:r>
        <w:rPr>
          <w:i/>
          <w:iCs/>
        </w:rPr>
        <w:t>see also</w:t>
      </w:r>
      <w:r>
        <w:t xml:space="preserve"> 47 CFR </w:t>
      </w:r>
      <w:r w:rsidRPr="00483050">
        <w:t>§</w:t>
      </w:r>
      <w:r>
        <w:t xml:space="preserve"> 10.320(g)(3) (“</w:t>
      </w:r>
      <w:r w:rsidRPr="004063D8">
        <w:t>Participating CMS Providers are also required to make alert logs available to emergency management agencies that offer confidentiality protection at least equal to that provided by the federal Freedom of Information Act (FOIA) upon request, but only insofar as those logs pertain to Alert Messages initiated by that emergency management agency.</w:t>
      </w:r>
      <w:r>
        <w:t>”).</w:t>
      </w:r>
    </w:p>
  </w:footnote>
  <w:footnote w:id="58">
    <w:p w:rsidR="009B6017" w:rsidP="009B6017" w14:paraId="48EF9CB2" w14:textId="77777777">
      <w:pPr>
        <w:pStyle w:val="FootnoteText"/>
      </w:pPr>
      <w:r>
        <w:rPr>
          <w:rStyle w:val="FootnoteReference"/>
        </w:rPr>
        <w:footnoteRef/>
      </w:r>
      <w:r>
        <w:t xml:space="preserve"> </w:t>
      </w:r>
      <w:r w:rsidRPr="00B70B77">
        <w:rPr>
          <w:i/>
          <w:iCs/>
        </w:rPr>
        <w:t xml:space="preserve">See </w:t>
      </w:r>
      <w:r w:rsidRPr="00B70B77">
        <w:t>ATIS, Wireless Emergency Alert (WEA) 3.0 Federal Alert Gateway to CMSP Gateway Interface Specification, ATIS-0600037.v002, at 16 (2019)</w:t>
      </w:r>
      <w:r>
        <w:t xml:space="preserve">; 47 CFR </w:t>
      </w:r>
      <w:r w:rsidRPr="00483050">
        <w:t>§</w:t>
      </w:r>
      <w:r>
        <w:t xml:space="preserve"> 10.320(g).  </w:t>
      </w:r>
      <w:r w:rsidRPr="00076484">
        <w:t>We</w:t>
      </w:r>
      <w:r>
        <w:t xml:space="preserve"> anticipate that FEMA may need to share with Participating CMS Providers the time that an Alert Message was originated in order for Participating CMS Providers to measure the WEA’s speed end to end.  </w:t>
      </w:r>
    </w:p>
  </w:footnote>
  <w:footnote w:id="59">
    <w:p w:rsidR="009B6017" w:rsidRPr="003E6D6A" w:rsidP="009B6017" w14:paraId="2B5B4589" w14:textId="77777777">
      <w:pPr>
        <w:pStyle w:val="FootnoteText"/>
      </w:pPr>
      <w:r>
        <w:rPr>
          <w:rStyle w:val="FootnoteReference"/>
        </w:rPr>
        <w:footnoteRef/>
      </w:r>
      <w:r>
        <w:t xml:space="preserve"> </w:t>
      </w:r>
      <w:r>
        <w:rPr>
          <w:i/>
          <w:iCs/>
        </w:rPr>
        <w:t>See</w:t>
      </w:r>
      <w:r>
        <w:t xml:space="preserve"> CTIA </w:t>
      </w:r>
      <w:r>
        <w:rPr>
          <w:i/>
          <w:iCs/>
        </w:rPr>
        <w:t xml:space="preserve">Ex </w:t>
      </w:r>
      <w:r>
        <w:rPr>
          <w:i/>
          <w:iCs/>
        </w:rPr>
        <w:t>Parte</w:t>
      </w:r>
      <w:r>
        <w:t xml:space="preserve"> at 4 (recommending that the Commission “seek comment on . . . whether the Commission’s proposals are technically feasible”).</w:t>
      </w:r>
    </w:p>
  </w:footnote>
  <w:footnote w:id="60">
    <w:p w:rsidR="009B6017" w:rsidP="009B6017" w14:paraId="67876FAF" w14:textId="77777777">
      <w:pPr>
        <w:pStyle w:val="FootnoteText"/>
      </w:pPr>
      <w:r>
        <w:rPr>
          <w:rStyle w:val="FootnoteReference"/>
        </w:rPr>
        <w:footnoteRef/>
      </w:r>
      <w:r>
        <w:t xml:space="preserve"> </w:t>
      </w:r>
      <w:r>
        <w:rPr>
          <w:i/>
          <w:iCs/>
        </w:rPr>
        <w:t>See</w:t>
      </w:r>
      <w:r>
        <w:t xml:space="preserve"> </w:t>
      </w:r>
      <w:r>
        <w:rPr>
          <w:i/>
          <w:iCs/>
        </w:rPr>
        <w:t>id.</w:t>
      </w:r>
      <w:r>
        <w:t xml:space="preserve"> (recommending that the Commission “</w:t>
      </w:r>
      <w:r w:rsidRPr="007003DA">
        <w:t>seek comment on how the proposed performance measurements and reporting would affect the system</w:t>
      </w:r>
      <w:r>
        <w:t>”).</w:t>
      </w:r>
    </w:p>
  </w:footnote>
  <w:footnote w:id="61">
    <w:p w:rsidR="009B6017" w:rsidP="009B6017" w14:paraId="51D48163" w14:textId="77777777">
      <w:pPr>
        <w:pStyle w:val="FootnoteText"/>
      </w:pPr>
      <w:r>
        <w:rPr>
          <w:rStyle w:val="FootnoteReference"/>
        </w:rPr>
        <w:footnoteRef/>
      </w:r>
      <w:r>
        <w:t xml:space="preserve"> </w:t>
      </w:r>
      <w:r>
        <w:t xml:space="preserve">FCC, Communications Security, Reliability, and Interoperability Council VIII Working Groups (2021), </w:t>
      </w:r>
      <w:hyperlink r:id="rId20" w:history="1">
        <w:r w:rsidRPr="00057A4B">
          <w:rPr>
            <w:rStyle w:val="Hyperlink"/>
          </w:rPr>
          <w:t>https://www.fcc.gov/file/21891/download</w:t>
        </w:r>
      </w:hyperlink>
      <w:r>
        <w:t xml:space="preserve">.  The roman numerals following the name of the federal advisory committee, “CSRIC,” enumerate the successive years during which the Commission has chartered CSRIC to provide recommendations on selected topics.  </w:t>
      </w:r>
    </w:p>
  </w:footnote>
  <w:footnote w:id="62">
    <w:p w:rsidR="009B6017" w:rsidP="009B6017" w14:paraId="6074939F" w14:textId="77777777">
      <w:pPr>
        <w:pStyle w:val="FootnoteText"/>
      </w:pPr>
      <w:r>
        <w:rPr>
          <w:rStyle w:val="FootnoteReference"/>
        </w:rPr>
        <w:footnoteRef/>
      </w:r>
      <w:r>
        <w:t xml:space="preserve"> </w:t>
      </w:r>
      <w:r>
        <w:rPr>
          <w:i/>
          <w:iCs/>
        </w:rPr>
        <w:t xml:space="preserve">See </w:t>
      </w:r>
      <w:r>
        <w:t xml:space="preserve">CTIA </w:t>
      </w:r>
      <w:r>
        <w:rPr>
          <w:i/>
          <w:iCs/>
        </w:rPr>
        <w:t xml:space="preserve">Ex </w:t>
      </w:r>
      <w:r>
        <w:rPr>
          <w:i/>
          <w:iCs/>
        </w:rPr>
        <w:t>Parte</w:t>
      </w:r>
      <w:r>
        <w:rPr>
          <w:i/>
          <w:iCs/>
        </w:rPr>
        <w:t xml:space="preserve"> </w:t>
      </w:r>
      <w:r>
        <w:t xml:space="preserve">at 4 (recommending “that the Commission seek comment on how Participating CMSPs </w:t>
      </w:r>
      <w:r>
        <w:rPr>
          <w:i/>
          <w:iCs/>
        </w:rPr>
        <w:t xml:space="preserve">would </w:t>
      </w:r>
      <w:r>
        <w:t>measure the performance of WEA service including whether the Commission’s proposals are technically feasible”) (emphasis in original).</w:t>
      </w:r>
    </w:p>
  </w:footnote>
  <w:footnote w:id="63">
    <w:p w:rsidR="009B6017" w:rsidP="009B6017" w14:paraId="735020BC" w14:textId="77777777">
      <w:pPr>
        <w:pStyle w:val="FootnoteText"/>
      </w:pPr>
      <w:r>
        <w:rPr>
          <w:rStyle w:val="FootnoteReference"/>
        </w:rPr>
        <w:footnoteRef/>
      </w:r>
      <w:r>
        <w:t xml:space="preserve"> </w:t>
      </w:r>
      <w:r w:rsidRPr="00EC2BD5">
        <w:rPr>
          <w:i/>
          <w:iCs/>
        </w:rPr>
        <w:t>See</w:t>
      </w:r>
      <w:r>
        <w:t xml:space="preserve">, </w:t>
      </w:r>
      <w:r w:rsidRPr="00EC2BD5">
        <w:rPr>
          <w:i/>
          <w:iCs/>
        </w:rPr>
        <w:t>e.g</w:t>
      </w:r>
      <w:r>
        <w:t xml:space="preserve">., 5 U.S.C. § 552a; 18 U.S.C. § 2701, </w:t>
      </w:r>
      <w:r w:rsidRPr="00EC2BD5">
        <w:rPr>
          <w:i/>
          <w:iCs/>
        </w:rPr>
        <w:t>et seq.</w:t>
      </w:r>
    </w:p>
  </w:footnote>
  <w:footnote w:id="64">
    <w:p w:rsidR="009B6017" w:rsidP="009B6017" w14:paraId="6404D4AA" w14:textId="77777777">
      <w:pPr>
        <w:pStyle w:val="FootnoteText"/>
      </w:pPr>
      <w:r>
        <w:rPr>
          <w:rStyle w:val="FootnoteReference"/>
        </w:rPr>
        <w:footnoteRef/>
      </w:r>
      <w:r>
        <w:t xml:space="preserve"> </w:t>
      </w:r>
      <w:r>
        <w:rPr>
          <w:i/>
          <w:iCs/>
        </w:rPr>
        <w:t>See WEA R&amp;O and FNPRM</w:t>
      </w:r>
      <w:r>
        <w:t xml:space="preserve">, 31 FCC </w:t>
      </w:r>
      <w:r>
        <w:t>Rcd</w:t>
      </w:r>
      <w:r w:rsidRPr="00633720">
        <w:t xml:space="preserve"> at 11221-24, paras. 187-90 (seeking comment on whether WEA performance reporting would require changes to WEA standards</w:t>
      </w:r>
      <w:r>
        <w:t xml:space="preserve"> and</w:t>
      </w:r>
      <w:r w:rsidRPr="00633720">
        <w:t xml:space="preserve"> software</w:t>
      </w:r>
      <w:r>
        <w:t>;</w:t>
      </w:r>
      <w:r w:rsidRPr="00633720">
        <w:t xml:space="preserve"> how the Commission should quantify the paperwork burden of producing performance reports</w:t>
      </w:r>
      <w:r>
        <w:t>;</w:t>
      </w:r>
      <w:r w:rsidRPr="00633720">
        <w:t xml:space="preserve"> and whether the cost of measuring WEA’s performance through discrete tests would be comparable to the costs of establishing, analyzing, and reporting on the results of 911 location accuracy test beds</w:t>
      </w:r>
      <w:r>
        <w:t>).</w:t>
      </w:r>
    </w:p>
  </w:footnote>
  <w:footnote w:id="65">
    <w:p w:rsidR="009B6017" w:rsidRPr="00E11F05" w:rsidP="009B6017" w14:paraId="285F6E14" w14:textId="77777777">
      <w:pPr>
        <w:pStyle w:val="FootnoteText"/>
      </w:pPr>
      <w:r>
        <w:rPr>
          <w:rStyle w:val="FootnoteReference"/>
        </w:rPr>
        <w:footnoteRef/>
      </w:r>
      <w:r>
        <w:t xml:space="preserve"> </w:t>
      </w:r>
      <w:r w:rsidRPr="005E5A71">
        <w:rPr>
          <w:i/>
          <w:iCs/>
        </w:rPr>
        <w:t>See</w:t>
      </w:r>
      <w:r w:rsidRPr="005E5A71">
        <w:t xml:space="preserve"> Election Whether to Participate in the Wireless Emergency Alert System 3060-1113, Supporting Statement </w:t>
      </w:r>
      <w:r w:rsidRPr="00E11F05">
        <w:t>(Apr</w:t>
      </w:r>
      <w:r>
        <w:t>.</w:t>
      </w:r>
      <w:r w:rsidRPr="00E11F05">
        <w:t xml:space="preserve"> 2021).</w:t>
      </w:r>
    </w:p>
  </w:footnote>
  <w:footnote w:id="66">
    <w:p w:rsidR="009B6017" w:rsidRPr="00E3329D" w:rsidP="009B6017" w14:paraId="700EB374" w14:textId="77777777">
      <w:pPr>
        <w:pStyle w:val="FootnoteText"/>
      </w:pPr>
      <w:r>
        <w:rPr>
          <w:rStyle w:val="FootnoteReference"/>
        </w:rPr>
        <w:footnoteRef/>
      </w:r>
      <w:r>
        <w:t xml:space="preserve"> </w:t>
      </w:r>
      <w:r w:rsidRPr="00E3329D">
        <w:rPr>
          <w:i/>
          <w:iCs/>
        </w:rPr>
        <w:t xml:space="preserve">See </w:t>
      </w:r>
      <w:r w:rsidRPr="00E3329D">
        <w:t>E911 Location Accuracy Requirements, OMB 3060-1210, 80 FR 30235 (2015)</w:t>
      </w:r>
      <w:r>
        <w:t xml:space="preserve">; </w:t>
      </w:r>
      <w:r>
        <w:rPr>
          <w:i/>
          <w:iCs/>
        </w:rPr>
        <w:t>see also</w:t>
      </w:r>
      <w:r>
        <w:t xml:space="preserve"> </w:t>
      </w:r>
      <w:r>
        <w:rPr>
          <w:i/>
          <w:iCs/>
        </w:rPr>
        <w:t>Wireless E911 Location Accuracy Requirements</w:t>
      </w:r>
      <w:r>
        <w:t xml:space="preserve">, PS Docket No. 07-114, Fourth Report and Order, 30 FCC </w:t>
      </w:r>
      <w:r>
        <w:t>Rcd</w:t>
      </w:r>
      <w:r>
        <w:t xml:space="preserve"> 1259, para. 170 (2015) (quantifying the cost of compliance with wireless location accuracy requirements without specific reference to the costs of the test bed process).</w:t>
      </w:r>
    </w:p>
  </w:footnote>
  <w:footnote w:id="67">
    <w:p w:rsidR="009B6017" w:rsidRPr="00E11F05" w:rsidP="009B6017" w14:paraId="7F076033" w14:textId="77777777">
      <w:pPr>
        <w:pStyle w:val="FootnoteText"/>
      </w:pPr>
      <w:r w:rsidRPr="00E11F05">
        <w:rPr>
          <w:rStyle w:val="FootnoteReference"/>
        </w:rPr>
        <w:footnoteRef/>
      </w:r>
      <w:r w:rsidRPr="00E11F05">
        <w:t xml:space="preserve"> </w:t>
      </w:r>
      <w:r>
        <w:rPr>
          <w:i/>
          <w:iCs/>
        </w:rPr>
        <w:t>See 2016 WEA R&amp;O and FNPRM</w:t>
      </w:r>
      <w:r>
        <w:t>,</w:t>
      </w:r>
      <w:r>
        <w:rPr>
          <w:i/>
          <w:iCs/>
        </w:rPr>
        <w:t xml:space="preserve"> </w:t>
      </w:r>
      <w:r>
        <w:t>31</w:t>
      </w:r>
      <w:r w:rsidRPr="00E11F05">
        <w:t xml:space="preserve"> FCC </w:t>
      </w:r>
      <w:r w:rsidRPr="00E11F05">
        <w:t>Rcd</w:t>
      </w:r>
      <w:r w:rsidRPr="00E11F05">
        <w:t xml:space="preserve"> </w:t>
      </w:r>
      <w:r>
        <w:t>at</w:t>
      </w:r>
      <w:r w:rsidRPr="00E11F05">
        <w:t xml:space="preserve"> 11175-79, paras. 98-</w:t>
      </w:r>
      <w:r>
        <w:t>1</w:t>
      </w:r>
      <w:r w:rsidRPr="00E11F05">
        <w:t>10.</w:t>
      </w:r>
    </w:p>
  </w:footnote>
  <w:footnote w:id="68">
    <w:p w:rsidR="009B6017" w:rsidRPr="00E11F05" w:rsidP="009B6017" w14:paraId="5902767E" w14:textId="77777777">
      <w:pPr>
        <w:pStyle w:val="FootnoteText"/>
      </w:pPr>
      <w:r w:rsidRPr="00E11F05">
        <w:rPr>
          <w:rStyle w:val="FootnoteReference"/>
        </w:rPr>
        <w:footnoteRef/>
      </w:r>
      <w:r w:rsidRPr="00E11F05">
        <w:t xml:space="preserve"> </w:t>
      </w:r>
      <w:r w:rsidRPr="00E11F05">
        <w:t xml:space="preserve">No commenter addressed whether the Commission’s cost analysis from the </w:t>
      </w:r>
      <w:r w:rsidRPr="00E11F05">
        <w:rPr>
          <w:i/>
          <w:iCs/>
        </w:rPr>
        <w:t>2016 WEA Order</w:t>
      </w:r>
      <w:r w:rsidRPr="00E11F05">
        <w:t xml:space="preserve"> could be reasonably applied to the performance reporting requirement on which the Commission sought comment in the accompanying Further Notice of Proposed Rulemaking.</w:t>
      </w:r>
    </w:p>
  </w:footnote>
  <w:footnote w:id="69">
    <w:p w:rsidR="009B6017" w:rsidRPr="007003DA" w:rsidP="009B6017" w14:paraId="4E88A440" w14:textId="77777777">
      <w:pPr>
        <w:pStyle w:val="FootnoteText"/>
      </w:pPr>
      <w:r>
        <w:rPr>
          <w:rStyle w:val="FootnoteReference"/>
        </w:rPr>
        <w:footnoteRef/>
      </w:r>
      <w:r>
        <w:t xml:space="preserve"> </w:t>
      </w:r>
      <w:r>
        <w:rPr>
          <w:i/>
          <w:iCs/>
        </w:rPr>
        <w:t>See</w:t>
      </w:r>
      <w:r>
        <w:t xml:space="preserve"> CTIA </w:t>
      </w:r>
      <w:r>
        <w:rPr>
          <w:i/>
          <w:iCs/>
        </w:rPr>
        <w:t xml:space="preserve">Ex </w:t>
      </w:r>
      <w:r>
        <w:rPr>
          <w:i/>
          <w:iCs/>
        </w:rPr>
        <w:t>Parte</w:t>
      </w:r>
      <w:r>
        <w:t xml:space="preserve"> at 5 (recommending “</w:t>
      </w:r>
      <w:r w:rsidRPr="007003DA">
        <w:t>that the Commission also seek comment on whether the benefit of adding performance measurement reporting would outweigh the time and costs associated with potentially significant technical modifications and/or operational changes that would be necessary to meet the proposed methods of reporting”</w:t>
      </w:r>
      <w:r>
        <w:t>).</w:t>
      </w:r>
    </w:p>
  </w:footnote>
  <w:footnote w:id="70">
    <w:p w:rsidR="009B6017" w:rsidP="009B6017" w14:paraId="6B121B57" w14:textId="77777777">
      <w:pPr>
        <w:pStyle w:val="FootnoteText"/>
      </w:pPr>
      <w:r>
        <w:rPr>
          <w:rStyle w:val="FootnoteReference"/>
        </w:rPr>
        <w:footnoteRef/>
      </w:r>
      <w:r>
        <w:t xml:space="preserve"> </w:t>
      </w:r>
      <w:r>
        <w:rPr>
          <w:i/>
          <w:iCs/>
        </w:rPr>
        <w:t>See</w:t>
      </w:r>
      <w:r w:rsidRPr="0032120D">
        <w:rPr>
          <w:i/>
        </w:rPr>
        <w:t xml:space="preserve"> 2021 Nationwide WEA Test Report</w:t>
      </w:r>
      <w:r>
        <w:t xml:space="preserve"> at 3.</w:t>
      </w:r>
    </w:p>
  </w:footnote>
  <w:footnote w:id="71">
    <w:p w:rsidR="009B6017" w:rsidP="009B6017" w14:paraId="30AFCE9E" w14:textId="77777777">
      <w:pPr>
        <w:pStyle w:val="FootnoteText"/>
      </w:pPr>
      <w:r>
        <w:rPr>
          <w:rStyle w:val="FootnoteReference"/>
        </w:rPr>
        <w:footnoteRef/>
      </w:r>
      <w:r>
        <w:t xml:space="preserve"> </w:t>
      </w:r>
      <w:r>
        <w:rPr>
          <w:i/>
          <w:iCs/>
        </w:rPr>
        <w:t>See</w:t>
      </w:r>
      <w:r>
        <w:t xml:space="preserve"> </w:t>
      </w:r>
      <w:r>
        <w:rPr>
          <w:i/>
          <w:iCs/>
        </w:rPr>
        <w:t>id.</w:t>
      </w:r>
      <w:r>
        <w:t xml:space="preserve"> at 9.</w:t>
      </w:r>
    </w:p>
  </w:footnote>
  <w:footnote w:id="72">
    <w:p w:rsidR="009B6017" w:rsidP="009B6017" w14:paraId="63966088" w14:textId="77777777">
      <w:pPr>
        <w:pStyle w:val="FootnoteText"/>
      </w:pPr>
      <w:r>
        <w:rPr>
          <w:rStyle w:val="FootnoteReference"/>
        </w:rPr>
        <w:footnoteRef/>
      </w:r>
      <w:r>
        <w:t xml:space="preserve"> </w:t>
      </w:r>
      <w:r w:rsidRPr="009572CD">
        <w:rPr>
          <w:i/>
          <w:iCs/>
        </w:rPr>
        <w:t>See</w:t>
      </w:r>
      <w:r w:rsidRPr="009572CD">
        <w:t xml:space="preserve"> Letter from Robert Morse, Associate General Counsel, Verizon, to Lisa Fowlkes, Chief, Public Safety and Homeland Security Bureau, Federal Communications Commission, PS Docket Nos. 15-91, 15-94 (Oct. 27, 2021); Letter from Jaime (Mike) Tan, Director, Federal Regulatory, AT&amp;T, to Lisa Fowlkes, Chief, Public Safety and Homeland Security Bureau, Federal Communications Commission, PS Docket Nos. 15-91, 15-94 (Oct. 29, 2021); Letter from Shellie Blakeney, Director, Federal Regulatory Affairs, T-Mobile, to Lisa Fowlkes, Chief, Public Safety and Homeland Security Bureau, Federal Communications Commission, PS Docket Nos. 15-91, 15-94 (Nov. 8, 2021)</w:t>
      </w:r>
      <w:r>
        <w:t>.</w:t>
      </w:r>
    </w:p>
  </w:footnote>
  <w:footnote w:id="73">
    <w:p w:rsidR="009B6017" w:rsidP="009B6017" w14:paraId="1B023925" w14:textId="77777777">
      <w:pPr>
        <w:pStyle w:val="FootnoteText"/>
      </w:pPr>
      <w:r>
        <w:rPr>
          <w:rStyle w:val="FootnoteReference"/>
        </w:rPr>
        <w:footnoteRef/>
      </w:r>
      <w:r>
        <w:t xml:space="preserve"> </w:t>
      </w:r>
      <w:r>
        <w:rPr>
          <w:i/>
          <w:iCs/>
        </w:rPr>
        <w:t>See</w:t>
      </w:r>
      <w:r w:rsidRPr="0032120D">
        <w:rPr>
          <w:i/>
        </w:rPr>
        <w:t xml:space="preserve"> 2021 Nationwide WEA Test Report</w:t>
      </w:r>
      <w:r>
        <w:t xml:space="preserve"> at 19-20 (stating that </w:t>
      </w:r>
      <w:r>
        <w:rPr>
          <w:snapToGrid w:val="0"/>
        </w:rPr>
        <w:t>at least 25% of these devices received the nationwide WEA test in less than one minute).</w:t>
      </w:r>
    </w:p>
  </w:footnote>
  <w:footnote w:id="74">
    <w:p w:rsidR="009B6017" w:rsidP="009B6017" w14:paraId="3F56FDF5" w14:textId="77777777">
      <w:pPr>
        <w:spacing w:before="120" w:after="120"/>
        <w:rPr>
          <w:sz w:val="20"/>
        </w:rPr>
      </w:pPr>
      <w:r>
        <w:rPr>
          <w:rStyle w:val="FootnoteReference"/>
        </w:rPr>
        <w:footnoteRef/>
      </w:r>
      <w:r>
        <w:rPr>
          <w:sz w:val="20"/>
        </w:rPr>
        <w:t xml:space="preserve"> </w:t>
      </w:r>
      <w:r>
        <w:rPr>
          <w:sz w:val="20"/>
        </w:rPr>
        <w:t xml:space="preserve">The only explanation offered in the record that could explain the non-receipt observed by the nationwide WEA test is that mobile devices “served by a network extender, repeater, or in-building microcell that is not identified by the Participating CMS Provider’s network as part of an alert area” would not receive alerts.  </w:t>
      </w:r>
      <w:r>
        <w:rPr>
          <w:i/>
          <w:iCs/>
          <w:sz w:val="20"/>
        </w:rPr>
        <w:t xml:space="preserve">See </w:t>
      </w:r>
      <w:r>
        <w:rPr>
          <w:sz w:val="20"/>
        </w:rPr>
        <w:t xml:space="preserve">CTIA 2018 Comments at 2.  </w:t>
      </w:r>
    </w:p>
  </w:footnote>
  <w:footnote w:id="75">
    <w:p w:rsidR="009B6017" w:rsidP="009B6017" w14:paraId="07597EB8" w14:textId="77777777">
      <w:pPr>
        <w:spacing w:before="120" w:after="120"/>
        <w:rPr>
          <w:sz w:val="20"/>
        </w:rPr>
      </w:pPr>
      <w:r>
        <w:rPr>
          <w:rStyle w:val="FootnoteReference"/>
        </w:rPr>
        <w:footnoteRef/>
      </w:r>
      <w:r>
        <w:rPr>
          <w:sz w:val="20"/>
        </w:rPr>
        <w:t xml:space="preserve"> </w:t>
      </w:r>
      <w:r>
        <w:rPr>
          <w:sz w:val="20"/>
        </w:rPr>
        <w:t>NYCEM 2018 Comments at 5 (“To mitigate such propagation issues, NYCEM advises the Commission to adopt rules requiring CMS providers re-broadcast WEA messages every three (3) to five (5) minutes for the entirety of the broadcast duration as specified by the alert originator or until cancelled.”).</w:t>
      </w:r>
    </w:p>
  </w:footnote>
  <w:footnote w:id="76">
    <w:p w:rsidR="009B6017" w:rsidRPr="00DF2201" w:rsidP="009B6017" w14:paraId="0F5EFCBD" w14:textId="77777777">
      <w:pPr>
        <w:pStyle w:val="FootnoteText"/>
      </w:pPr>
      <w:r>
        <w:rPr>
          <w:rStyle w:val="FootnoteReference"/>
        </w:rPr>
        <w:footnoteRef/>
      </w:r>
      <w:r>
        <w:t xml:space="preserve"> </w:t>
      </w:r>
      <w:r>
        <w:rPr>
          <w:i/>
          <w:iCs/>
        </w:rPr>
        <w:t>See</w:t>
      </w:r>
      <w:r>
        <w:t xml:space="preserve">, </w:t>
      </w:r>
      <w:r>
        <w:rPr>
          <w:i/>
          <w:iCs/>
        </w:rPr>
        <w:t>e.g.</w:t>
      </w:r>
      <w:r>
        <w:t xml:space="preserve">, FCC, </w:t>
      </w:r>
      <w:r>
        <w:rPr>
          <w:snapToGrid w:val="0"/>
        </w:rPr>
        <w:t xml:space="preserve">CSRIC Best Practices, </w:t>
      </w:r>
      <w:hyperlink r:id="rId21" w:history="1">
        <w:r>
          <w:rPr>
            <w:rStyle w:val="Hyperlink"/>
            <w:snapToGrid w:val="0"/>
          </w:rPr>
          <w:t>https://opendata.fcc.gov/Public-Safety/CSRIC-Best-Practices/qb45-rw2t/data</w:t>
        </w:r>
      </w:hyperlink>
      <w:r>
        <w:rPr>
          <w:snapToGrid w:val="0"/>
        </w:rPr>
        <w:t xml:space="preserve"> (last visited Oct. 15, 2021).  </w:t>
      </w:r>
      <w:r w:rsidRPr="00724611">
        <w:rPr>
          <w:snapToGrid w:val="0"/>
        </w:rPr>
        <w:t xml:space="preserve">For example, CSRIC network reliability best practice #12-10-0559 states that Network Operators, Service Providers, and Public Safety should consider validating upgrades, new procedures and commands in a lab or other test environment that simulates the target network and load prior to the first application in the field.  </w:t>
      </w:r>
    </w:p>
  </w:footnote>
  <w:footnote w:id="77">
    <w:p w:rsidR="009B6017" w:rsidP="009B6017" w14:paraId="4A12925C" w14:textId="77777777">
      <w:pPr>
        <w:pStyle w:val="FootnoteText"/>
      </w:pPr>
      <w:r>
        <w:rPr>
          <w:rStyle w:val="FootnoteReference"/>
        </w:rPr>
        <w:footnoteRef/>
      </w:r>
      <w:r>
        <w:t xml:space="preserve"> </w:t>
      </w:r>
      <w:r>
        <w:rPr>
          <w:i/>
          <w:iCs/>
        </w:rPr>
        <w:t>See</w:t>
      </w:r>
      <w:r w:rsidRPr="0032120D">
        <w:rPr>
          <w:i/>
        </w:rPr>
        <w:t xml:space="preserve"> 2021 Nationwide WEA Test Report</w:t>
      </w:r>
      <w:r>
        <w:t xml:space="preserve"> at 22-23.</w:t>
      </w:r>
    </w:p>
  </w:footnote>
  <w:footnote w:id="78">
    <w:p w:rsidR="009B6017" w:rsidRPr="004712A8" w:rsidP="009B6017" w14:paraId="4585BA00" w14:textId="77777777">
      <w:pPr>
        <w:pStyle w:val="FootnoteText"/>
      </w:pPr>
      <w:r>
        <w:rPr>
          <w:rStyle w:val="FootnoteReference"/>
        </w:rPr>
        <w:footnoteRef/>
      </w:r>
      <w:r>
        <w:t xml:space="preserve"> </w:t>
      </w:r>
      <w:r>
        <w:rPr>
          <w:i/>
          <w:iCs/>
        </w:rPr>
        <w:t>See</w:t>
      </w:r>
      <w:r>
        <w:t xml:space="preserve"> 47 CFR 10.500 (requiring mobile devices to suppress duplicate alerts). </w:t>
      </w:r>
    </w:p>
  </w:footnote>
  <w:footnote w:id="79">
    <w:p w:rsidR="009B6017" w:rsidRPr="00156F9A" w:rsidP="009B6017" w14:paraId="363D5F07" w14:textId="77777777">
      <w:pPr>
        <w:pStyle w:val="FootnoteText"/>
      </w:pPr>
      <w:r w:rsidRPr="00156F9A">
        <w:rPr>
          <w:rStyle w:val="FootnoteReference"/>
        </w:rPr>
        <w:footnoteRef/>
      </w:r>
      <w:r w:rsidRPr="00156F9A">
        <w:t xml:space="preserve"> </w:t>
      </w:r>
      <w:r w:rsidRPr="00156F9A">
        <w:t>Section 1 of the Communications Act of 1934 as amended provides that the FCC “</w:t>
      </w:r>
      <w:r w:rsidRPr="00156F9A">
        <w:t>regulat</w:t>
      </w:r>
      <w:r w:rsidRPr="00156F9A">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80">
    <w:p w:rsidR="009B6017" w:rsidRPr="00156F9A" w:rsidP="009B6017" w14:paraId="6B735EE4" w14:textId="77777777">
      <w:pPr>
        <w:pStyle w:val="FootnoteText"/>
      </w:pPr>
      <w:r w:rsidRPr="00156F9A">
        <w:rPr>
          <w:rStyle w:val="FootnoteReference"/>
        </w:rPr>
        <w:footnoteRef/>
      </w:r>
      <w:r w:rsidRPr="00156F9A">
        <w:t xml:space="preserve"> </w:t>
      </w:r>
      <w:r w:rsidRPr="00156F9A">
        <w:t xml:space="preserve">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156F9A">
        <w:rPr>
          <w:i/>
        </w:rPr>
        <w:t>See</w:t>
      </w:r>
      <w:r w:rsidRPr="00156F9A">
        <w:t xml:space="preserve"> Exec. Order No. 13985, 86 Fed. Reg. 7009, Executive Order on Advancing Racial Equity and Support for Underserved Communities Through the Federal Government (Jan</w:t>
      </w:r>
      <w:r>
        <w:t>.</w:t>
      </w:r>
      <w:r w:rsidRPr="00156F9A">
        <w:t xml:space="preserve"> 20, 2021).</w:t>
      </w:r>
    </w:p>
  </w:footnote>
  <w:footnote w:id="81">
    <w:p w:rsidR="009B6017" w:rsidRPr="00284672" w:rsidP="009B6017" w14:paraId="440C3861" w14:textId="77777777">
      <w:pPr>
        <w:pStyle w:val="FootnoteText"/>
        <w:rPr>
          <w:i/>
          <w:iCs/>
        </w:rPr>
      </w:pPr>
      <w:r w:rsidRPr="00284672">
        <w:rPr>
          <w:rStyle w:val="FootnoteReference"/>
        </w:rPr>
        <w:footnoteRef/>
      </w:r>
      <w:r w:rsidRPr="00284672">
        <w:t xml:space="preserve"> </w:t>
      </w:r>
      <w:r w:rsidRPr="00284672">
        <w:t xml:space="preserve">47 C.F.R. §§ 1.1200 </w:t>
      </w:r>
      <w:r w:rsidRPr="00284672">
        <w:rPr>
          <w:i/>
          <w:iCs/>
        </w:rPr>
        <w:t>et seq.</w:t>
      </w:r>
    </w:p>
  </w:footnote>
  <w:footnote w:id="82">
    <w:p w:rsidR="009B6017" w:rsidP="009B6017" w14:paraId="23DBBC47" w14:textId="77777777">
      <w:pPr>
        <w:pStyle w:val="FootnoteText"/>
      </w:pPr>
      <w:r>
        <w:rPr>
          <w:rStyle w:val="FootnoteReference"/>
        </w:rPr>
        <w:footnoteRef/>
      </w:r>
      <w:r>
        <w:t xml:space="preserve"> </w:t>
      </w:r>
      <w:bookmarkStart w:id="299" w:name="_Hlk60672754"/>
      <w:r w:rsidRPr="0068065B">
        <w:rPr>
          <w:i/>
        </w:rPr>
        <w:t>See</w:t>
      </w:r>
      <w:r w:rsidRPr="0068065B">
        <w:t xml:space="preserve"> 5 U.S.C. § 603.  The RFA, 5 U.S.C. §§ 601–612, was amended by the Small Business Regulatory Enforcement Fairness Act of 1996 (SBREFA), Pub. L. No. 104-121, Title II, 110 Stat. 857 (1996)</w:t>
      </w:r>
      <w:r w:rsidRPr="00363480">
        <w:t>.</w:t>
      </w:r>
      <w:bookmarkEnd w:id="299"/>
    </w:p>
  </w:footnote>
  <w:footnote w:id="83">
    <w:p w:rsidR="009B6017" w:rsidP="009B6017" w14:paraId="3FD2BDDE" w14:textId="77777777">
      <w:pPr>
        <w:pStyle w:val="FootnoteText"/>
      </w:pPr>
      <w:r>
        <w:rPr>
          <w:rStyle w:val="FootnoteReference"/>
        </w:rPr>
        <w:footnoteRef/>
      </w:r>
      <w:r>
        <w:t xml:space="preserve"> </w:t>
      </w:r>
      <w:r w:rsidRPr="00870DE7">
        <w:rPr>
          <w:i/>
          <w:iCs/>
        </w:rPr>
        <w:t>Id.</w:t>
      </w:r>
      <w:r>
        <w:t xml:space="preserve"> </w:t>
      </w:r>
      <w:r w:rsidRPr="004818A8">
        <w:t>§ 60</w:t>
      </w:r>
      <w:r>
        <w:t>5(b)</w:t>
      </w:r>
      <w:r w:rsidRPr="004818A8">
        <w:t>.</w:t>
      </w:r>
    </w:p>
  </w:footnote>
  <w:footnote w:id="84">
    <w:p w:rsidR="009B6017" w:rsidP="009B6017" w14:paraId="12CAD1D5" w14:textId="77777777">
      <w:pPr>
        <w:pStyle w:val="FootnoteText"/>
      </w:pPr>
      <w:r>
        <w:rPr>
          <w:rStyle w:val="FootnoteReference"/>
        </w:rPr>
        <w:footnoteRef/>
      </w:r>
      <w:r>
        <w:t xml:space="preserve"> </w:t>
      </w:r>
      <w:r>
        <w:rPr>
          <w:i/>
        </w:rPr>
        <w:t xml:space="preserve">See </w:t>
      </w:r>
      <w:r>
        <w:t>5 U.S.C. § 603.  The RFA, 5 U.S.C. §§ 601-612, has been amended by the Small Business Regulatory Enforcement Fairness Act of 1996 (SBREFA), Pub. L. No. 104-121, Title II, 110 Stat. 857 (1996).</w:t>
      </w:r>
    </w:p>
  </w:footnote>
  <w:footnote w:id="85">
    <w:p w:rsidR="009B6017" w:rsidP="009B6017" w14:paraId="09E0863D" w14:textId="77777777">
      <w:pPr>
        <w:pStyle w:val="FootnoteText"/>
      </w:pPr>
      <w:r>
        <w:rPr>
          <w:rStyle w:val="FootnoteReference"/>
        </w:rPr>
        <w:footnoteRef/>
      </w:r>
      <w:r>
        <w:t xml:space="preserve"> </w:t>
      </w:r>
      <w:r>
        <w:rPr>
          <w:i/>
        </w:rPr>
        <w:t>See</w:t>
      </w:r>
      <w:r>
        <w:t xml:space="preserve"> 5 U.S.C. § 603(a).</w:t>
      </w:r>
    </w:p>
  </w:footnote>
  <w:footnote w:id="86">
    <w:p w:rsidR="009B6017" w:rsidP="009B6017" w14:paraId="058A8BEF" w14:textId="77777777">
      <w:pPr>
        <w:pStyle w:val="FootnoteText"/>
      </w:pPr>
      <w:r>
        <w:rPr>
          <w:rStyle w:val="FootnoteReference"/>
        </w:rPr>
        <w:footnoteRef/>
      </w:r>
      <w:r>
        <w:t xml:space="preserve"> </w:t>
      </w:r>
      <w:r>
        <w:rPr>
          <w:i/>
        </w:rPr>
        <w:t>See id.</w:t>
      </w:r>
    </w:p>
  </w:footnote>
  <w:footnote w:id="87">
    <w:p w:rsidR="009B6017" w:rsidRPr="0064163C" w:rsidP="009B6017" w14:paraId="2F270506" w14:textId="77777777">
      <w:pPr>
        <w:pStyle w:val="FootnoteText"/>
      </w:pPr>
      <w:r>
        <w:rPr>
          <w:rStyle w:val="FootnoteReference"/>
        </w:rPr>
        <w:footnoteRef/>
      </w:r>
      <w:r>
        <w:t xml:space="preserve"> </w:t>
      </w:r>
      <w:r>
        <w:t xml:space="preserve">To date, 76 Commercial Mobile Service (CMS) providers have voluntarily elected to participate in WEA.  </w:t>
      </w:r>
      <w:r>
        <w:rPr>
          <w:i/>
          <w:iCs/>
        </w:rPr>
        <w:t>See</w:t>
      </w:r>
      <w:r>
        <w:t xml:space="preserve"> FCC, </w:t>
      </w:r>
      <w:r>
        <w:rPr>
          <w:i/>
          <w:iCs/>
        </w:rPr>
        <w:t>Master WEA Registry</w:t>
      </w:r>
      <w:r>
        <w:t xml:space="preserve">, </w:t>
      </w:r>
      <w:hyperlink r:id="rId1" w:history="1">
        <w:r w:rsidRPr="004A510F">
          <w:rPr>
            <w:rStyle w:val="Hyperlink"/>
          </w:rPr>
          <w:t>https://www.fcc.gov/files/weamasterregistry112019xls</w:t>
        </w:r>
      </w:hyperlink>
      <w:r>
        <w:t xml:space="preserve"> (last visited Mar. 25, 2022).</w:t>
      </w:r>
    </w:p>
  </w:footnote>
  <w:footnote w:id="88">
    <w:p w:rsidR="009B6017" w:rsidP="009B6017" w14:paraId="06F88FAC" w14:textId="77777777">
      <w:pPr>
        <w:pStyle w:val="FootnoteText"/>
      </w:pPr>
      <w:r>
        <w:rPr>
          <w:rStyle w:val="FootnoteReference"/>
        </w:rPr>
        <w:footnoteRef/>
      </w:r>
      <w:r>
        <w:t xml:space="preserve"> </w:t>
      </w:r>
      <w:r w:rsidRPr="009B6145">
        <w:rPr>
          <w:i/>
          <w:iCs/>
        </w:rPr>
        <w:t>See Wireless Emergency Alerts, Amendments to Part 11 of the Commission’s Rules Regarding the Emergency Alert System</w:t>
      </w:r>
      <w:r w:rsidRPr="009B6145">
        <w:t xml:space="preserve">, PS Docket No. 15-91, PS Docket No. 15-94, Report and Order and Further Notice of Proposed Rulemaking, 13 FCC </w:t>
      </w:r>
      <w:r w:rsidRPr="009B6145">
        <w:t>Rcd</w:t>
      </w:r>
      <w:r w:rsidRPr="009B6145">
        <w:t xml:space="preserve"> 11112 (2016) (</w:t>
      </w:r>
      <w:r w:rsidRPr="009B6145">
        <w:rPr>
          <w:i/>
          <w:iCs/>
        </w:rPr>
        <w:t>2016 WEA R&amp;O and FNPRM</w:t>
      </w:r>
      <w:r w:rsidRPr="009B6145">
        <w:t xml:space="preserve">); </w:t>
      </w:r>
      <w:r w:rsidRPr="009B6145">
        <w:rPr>
          <w:i/>
          <w:iCs/>
        </w:rPr>
        <w:t>see also</w:t>
      </w:r>
      <w:r w:rsidRPr="009B6145">
        <w:t xml:space="preserve"> </w:t>
      </w:r>
      <w:r w:rsidRPr="009B6145">
        <w:rPr>
          <w:i/>
          <w:iCs/>
        </w:rPr>
        <w:t>Amendment of Part 11 of the Commission’s Rules Regarding the Emergency Alert System; Wireless Emergency Alerts</w:t>
      </w:r>
      <w:r w:rsidRPr="009B6145">
        <w:t xml:space="preserve">, PS Docket Nos. 15-91, 15-94, Report and Order and Further Notice of Proposed Rulemaking, 33 FCC </w:t>
      </w:r>
      <w:r w:rsidRPr="009B6145">
        <w:t>Rcd</w:t>
      </w:r>
      <w:r w:rsidRPr="009B6145">
        <w:t xml:space="preserve"> 7086, 7105-06, paras. 46-49 (2018) (</w:t>
      </w:r>
      <w:r w:rsidRPr="009B6145">
        <w:rPr>
          <w:i/>
          <w:iCs/>
        </w:rPr>
        <w:t>Alerting Reliability FNPRM</w:t>
      </w:r>
      <w:r>
        <w:t>).</w:t>
      </w:r>
    </w:p>
  </w:footnote>
  <w:footnote w:id="89">
    <w:p w:rsidR="009B6017" w:rsidP="009B6017" w14:paraId="08AC80D2" w14:textId="77777777">
      <w:pPr>
        <w:pStyle w:val="FootnoteText"/>
      </w:pPr>
      <w:r>
        <w:rPr>
          <w:rStyle w:val="FootnoteReference"/>
        </w:rPr>
        <w:footnoteRef/>
      </w:r>
      <w:r>
        <w:t xml:space="preserve"> </w:t>
      </w:r>
      <w:r>
        <w:t>5 U.S.C. § 603(b)(3).</w:t>
      </w:r>
    </w:p>
  </w:footnote>
  <w:footnote w:id="90">
    <w:p w:rsidR="009B6017" w:rsidP="009B6017" w14:paraId="5CD6A8C4" w14:textId="77777777">
      <w:pPr>
        <w:pStyle w:val="FootnoteText"/>
      </w:pPr>
      <w:r>
        <w:rPr>
          <w:rStyle w:val="FootnoteReference"/>
        </w:rPr>
        <w:footnoteRef/>
      </w:r>
      <w:r>
        <w:t xml:space="preserve"> </w:t>
      </w:r>
      <w:r>
        <w:t>5 U.S.C. § 601(6).</w:t>
      </w:r>
    </w:p>
  </w:footnote>
  <w:footnote w:id="91">
    <w:p w:rsidR="009B6017" w:rsidP="009B6017" w14:paraId="3215550D" w14:textId="77777777">
      <w:pPr>
        <w:pStyle w:val="FootnoteText"/>
      </w:pPr>
      <w:r>
        <w:rPr>
          <w:rStyle w:val="FootnoteReference"/>
        </w:rPr>
        <w:footnoteRef/>
      </w:r>
      <w:r>
        <w:t xml:space="preserve"> </w:t>
      </w:r>
      <w: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92">
    <w:p w:rsidR="009B6017" w:rsidP="009B6017" w14:paraId="776C9223" w14:textId="77777777">
      <w:pPr>
        <w:pStyle w:val="FootnoteText"/>
      </w:pPr>
      <w:r>
        <w:rPr>
          <w:rStyle w:val="FootnoteReference"/>
        </w:rPr>
        <w:footnoteRef/>
      </w:r>
      <w:r>
        <w:t xml:space="preserve"> </w:t>
      </w:r>
      <w:r>
        <w:t>15 U.S.C. § 632.</w:t>
      </w:r>
    </w:p>
  </w:footnote>
  <w:footnote w:id="93">
    <w:p w:rsidR="009B6017" w:rsidP="009B6017" w14:paraId="1B2F2E52"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94">
    <w:p w:rsidR="009B6017" w:rsidP="009B6017" w14:paraId="7C10BEF3" w14:textId="77777777">
      <w:pPr>
        <w:pStyle w:val="FootnoteText"/>
      </w:pPr>
      <w:r w:rsidRPr="00363480">
        <w:rPr>
          <w:rStyle w:val="FootnoteReference"/>
          <w:rFonts w:eastAsia="Calibri"/>
        </w:rPr>
        <w:footnoteRef/>
      </w:r>
      <w:r>
        <w:t xml:space="preserve"> </w:t>
      </w:r>
      <w:r w:rsidRPr="00FC697E">
        <w:rPr>
          <w:i/>
          <w:iCs/>
        </w:rPr>
        <w:t>See</w:t>
      </w:r>
      <w:r>
        <w:t xml:space="preserve"> SBA, Office of Advocacy, </w:t>
      </w:r>
      <w:r w:rsidRPr="000C5AB4">
        <w:t>Frequently Asked Questions</w:t>
      </w:r>
      <w:r>
        <w:t xml:space="preserve">, “What is a small business?,” </w:t>
      </w:r>
      <w:hyperlink r:id="rId22" w:history="1">
        <w:r w:rsidRPr="00FE1A85">
          <w:rPr>
            <w:rStyle w:val="Hyperlink"/>
          </w:rPr>
          <w:t>https://cdn.advocacy.sba.gov/wp-content/uploads/2021/11/03093005/Small-Business-FAQ-2021.pdf</w:t>
        </w:r>
      </w:hyperlink>
      <w:r>
        <w:rPr>
          <w:rStyle w:val="Hyperlink"/>
        </w:rPr>
        <w:t>.</w:t>
      </w:r>
      <w:r>
        <w:t xml:space="preserve">  (Nov 2021).</w:t>
      </w:r>
    </w:p>
  </w:footnote>
  <w:footnote w:id="95">
    <w:p w:rsidR="009B6017" w:rsidP="009B6017" w14:paraId="297A7534" w14:textId="77777777">
      <w:pPr>
        <w:pStyle w:val="FootnoteText"/>
      </w:pPr>
      <w:r>
        <w:rPr>
          <w:rStyle w:val="FootnoteReference"/>
        </w:rPr>
        <w:footnoteRef/>
      </w:r>
      <w:r>
        <w:t xml:space="preserve"> </w:t>
      </w:r>
      <w:r w:rsidRPr="0011527D">
        <w:rPr>
          <w:i/>
          <w:iCs/>
        </w:rPr>
        <w:t>Id</w:t>
      </w:r>
      <w:r>
        <w:t xml:space="preserve">. </w:t>
      </w:r>
    </w:p>
  </w:footnote>
  <w:footnote w:id="96">
    <w:p w:rsidR="009B6017" w:rsidRPr="00363480" w:rsidP="009B6017" w14:paraId="59EF085B" w14:textId="77777777">
      <w:pPr>
        <w:pStyle w:val="FootnoteText"/>
      </w:pPr>
      <w:r w:rsidRPr="00363480">
        <w:rPr>
          <w:rStyle w:val="FootnoteReference"/>
          <w:rFonts w:eastAsia="Calibri"/>
        </w:rPr>
        <w:footnoteRef/>
      </w:r>
      <w:r w:rsidRPr="00363480">
        <w:t xml:space="preserve"> </w:t>
      </w:r>
      <w:r w:rsidRPr="00FE0680">
        <w:rPr>
          <w:i/>
        </w:rPr>
        <w:t>See</w:t>
      </w:r>
      <w:r>
        <w:t xml:space="preserve"> </w:t>
      </w:r>
      <w:r w:rsidRPr="00363480">
        <w:rPr>
          <w:spacing w:val="-2"/>
        </w:rPr>
        <w:t>5 U.S.C.</w:t>
      </w:r>
      <w:r w:rsidRPr="00363480">
        <w:t xml:space="preserve"> § 601(4).</w:t>
      </w:r>
    </w:p>
  </w:footnote>
  <w:footnote w:id="97">
    <w:p w:rsidR="009B6017" w:rsidP="009B6017" w14:paraId="42207B4D"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9B6017" w:rsidP="009B6017" w14:paraId="7327168E" w14:textId="77777777">
      <w:pPr>
        <w:pStyle w:val="FootnoteText"/>
      </w:pPr>
      <w:hyperlink r:id="rId23"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98">
    <w:p w:rsidR="009B6017" w:rsidRPr="007B60A8" w:rsidP="009B6017" w14:paraId="3D9940C5"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24"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which includes the continental U.S., Alaska, and Hawaii.  This data does not include information for Puerto Rico.</w:t>
      </w:r>
      <w:r>
        <w:rPr>
          <w:color w:val="000000"/>
        </w:rPr>
        <w:t xml:space="preserve">  </w:t>
      </w:r>
    </w:p>
  </w:footnote>
  <w:footnote w:id="99">
    <w:p w:rsidR="009B6017" w:rsidRPr="00363480" w:rsidP="009B6017" w14:paraId="3B5690B8" w14:textId="77777777">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5 U.S.C. § 601(5).</w:t>
      </w:r>
    </w:p>
  </w:footnote>
  <w:footnote w:id="100">
    <w:p w:rsidR="009B6017" w:rsidRPr="00363480" w:rsidP="009B6017" w14:paraId="02FAC3CE"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25" w:history="1">
        <w:r>
          <w:rPr>
            <w:rStyle w:val="Hyperlink"/>
          </w:rPr>
          <w:t>https://www.census.gov/programs-surveys/cog/about.html</w:t>
        </w:r>
      </w:hyperlink>
      <w:r>
        <w:t xml:space="preserve">. </w:t>
      </w:r>
    </w:p>
  </w:footnote>
  <w:footnote w:id="101">
    <w:p w:rsidR="009B6017" w:rsidRPr="0059359B" w:rsidP="009B6017" w14:paraId="69366AF5"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26"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Notes_Local</w:t>
      </w:r>
      <w:r w:rsidRPr="007B60A8">
        <w:t xml:space="preserve"> Governments by Type and State_2017</w:t>
      </w:r>
      <w:r>
        <w:t>.</w:t>
      </w:r>
      <w:r w:rsidRPr="007917BC">
        <w:rPr>
          <w:i/>
        </w:rPr>
        <w:t xml:space="preserve"> </w:t>
      </w:r>
    </w:p>
  </w:footnote>
  <w:footnote w:id="102">
    <w:p w:rsidR="009B6017" w:rsidRPr="0059359B" w:rsidP="009B6017" w14:paraId="67B230E4"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w:t>
      </w:r>
      <w:r>
        <w:t>tbl.</w:t>
      </w:r>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26"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103">
    <w:p w:rsidR="009B6017" w:rsidRPr="0059359B" w:rsidP="009B6017" w14:paraId="3A0A7D49"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at</w:t>
      </w:r>
      <w:r w:rsidRPr="0059359B">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26"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104">
    <w:p w:rsidR="009B6017" w:rsidRPr="00236169" w:rsidP="009B6017" w14:paraId="3F7526EC"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26" w:history="1">
        <w:r w:rsidRPr="00416DBD">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Notes_Special Purpose Local Governments by </w:t>
      </w:r>
      <w:r w:rsidRPr="00236169">
        <w:t>State_Census</w:t>
      </w:r>
      <w:r w:rsidRPr="00236169">
        <w:t xml:space="preserve"> Years 1942 to 2017</w:t>
      </w:r>
      <w:r>
        <w:t>.</w:t>
      </w:r>
    </w:p>
  </w:footnote>
  <w:footnote w:id="105">
    <w:p w:rsidR="009B6017" w:rsidP="009B6017" w14:paraId="0C62F791" w14:textId="77777777">
      <w:pPr>
        <w:pStyle w:val="FootnoteText"/>
      </w:pPr>
      <w:r>
        <w:rPr>
          <w:rStyle w:val="FootnoteReference"/>
        </w:rPr>
        <w:footnoteRef/>
      </w:r>
      <w:r>
        <w:t xml:space="preserve"> </w:t>
      </w:r>
      <w:r>
        <w:t xml:space="preserve">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06">
    <w:p w:rsidR="009B6017" w:rsidRPr="007B60A8" w:rsidP="009B6017" w14:paraId="4BC02242"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t>t</w:t>
      </w:r>
      <w:r w:rsidRPr="007B60A8">
        <w:t>bl</w:t>
      </w:r>
      <w:r>
        <w:t>s.</w:t>
      </w:r>
      <w:r w:rsidRPr="007B60A8">
        <w:t>5, 6</w:t>
      </w:r>
      <w:r>
        <w:t xml:space="preserve"> &amp; </w:t>
      </w:r>
      <w:r w:rsidRPr="007B60A8">
        <w:t>10.</w:t>
      </w:r>
    </w:p>
  </w:footnote>
  <w:footnote w:id="107">
    <w:p w:rsidR="009B6017" w:rsidP="009B6017" w14:paraId="24EF1ABD"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498" w:name="_Hlk38031331"/>
      <w:r w:rsidRPr="005F1A3C">
        <w:rPr>
          <w:i/>
          <w:iCs/>
        </w:rPr>
        <w:t>“</w:t>
      </w:r>
      <w:r w:rsidRPr="005F1A3C">
        <w:rPr>
          <w:bCs/>
          <w:i/>
          <w:iCs/>
        </w:rPr>
        <w:t xml:space="preserve">517312 </w:t>
      </w:r>
      <w:bookmarkEnd w:id="498"/>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27" w:history="1">
        <w:r w:rsidRPr="00240E60">
          <w:rPr>
            <w:rStyle w:val="Hyperlink"/>
          </w:rPr>
          <w:t>https://www.census.gov/naics/?input=517312&amp;year=2017&amp;details=517312</w:t>
        </w:r>
      </w:hyperlink>
      <w:r>
        <w:rPr>
          <w:iCs/>
        </w:rPr>
        <w:t>.</w:t>
      </w:r>
    </w:p>
  </w:footnote>
  <w:footnote w:id="108">
    <w:p w:rsidR="009B6017" w:rsidRPr="00E362B7" w:rsidP="009B6017" w14:paraId="03E1998F" w14:textId="77777777">
      <w:pPr>
        <w:pStyle w:val="FootnoteText"/>
        <w:rPr>
          <w:i/>
          <w:iCs/>
        </w:rPr>
      </w:pPr>
      <w:r>
        <w:rPr>
          <w:rStyle w:val="FootnoteReference"/>
        </w:rPr>
        <w:footnoteRef/>
      </w:r>
      <w:r>
        <w:t xml:space="preserve"> </w:t>
      </w:r>
      <w:r>
        <w:rPr>
          <w:i/>
          <w:iCs/>
        </w:rPr>
        <w:t>Id.</w:t>
      </w:r>
    </w:p>
  </w:footnote>
  <w:footnote w:id="109">
    <w:p w:rsidR="009B6017" w:rsidRPr="006B076E" w:rsidP="009B6017" w14:paraId="00CCAEB6"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w:t>
      </w:r>
      <w:bookmarkStart w:id="499" w:name="_Hlk31782287"/>
      <w:r w:rsidRPr="006B076E">
        <w:rPr>
          <w:lang w:val="fr-FR"/>
        </w:rPr>
        <w:t xml:space="preserve">NAICS </w:t>
      </w:r>
      <w:r>
        <w:rPr>
          <w:lang w:val="fr-FR"/>
        </w:rPr>
        <w:t>C</w:t>
      </w:r>
      <w:r w:rsidRPr="006B076E">
        <w:rPr>
          <w:lang w:val="fr-FR"/>
        </w:rPr>
        <w:t>ode 517</w:t>
      </w:r>
      <w:r>
        <w:rPr>
          <w:lang w:val="fr-FR"/>
        </w:rPr>
        <w:t>312</w:t>
      </w:r>
      <w:bookmarkEnd w:id="499"/>
      <w:r w:rsidRPr="006B076E">
        <w:rPr>
          <w:lang w:val="fr-FR"/>
        </w:rPr>
        <w:t>.</w:t>
      </w:r>
    </w:p>
  </w:footnote>
  <w:footnote w:id="110">
    <w:p w:rsidR="009B6017" w:rsidRPr="006B076E" w:rsidP="009B6017" w14:paraId="47573297"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bookmarkStart w:id="500" w:name="_Hlk31782410"/>
      <w:bookmarkStart w:id="501" w:name="_Hlk38032068"/>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bookmarkEnd w:id="500"/>
      <w:r>
        <w:t xml:space="preserve">312,  </w:t>
      </w:r>
      <w:bookmarkEnd w:id="501"/>
      <w:hyperlink r:id="rId28" w:history="1">
        <w:r w:rsidRPr="00A211CF">
          <w:rPr>
            <w:rStyle w:val="Hyperlink"/>
          </w:rPr>
          <w:t>https://data.census.gov/cedsci/table?y=2017&amp;n=517312&amp;tid=ECNSIZE2017.EC1700SIZEEMPFIRM&amp;hidePreview=false</w:t>
        </w:r>
      </w:hyperlink>
      <w:r>
        <w:t xml:space="preserve">.  </w:t>
      </w:r>
    </w:p>
  </w:footnote>
  <w:footnote w:id="111">
    <w:p w:rsidR="009B6017" w:rsidRPr="006B076E" w:rsidP="009B6017" w14:paraId="773CA6B7" w14:textId="77777777">
      <w:pPr>
        <w:pStyle w:val="FootnoteText"/>
      </w:pPr>
      <w:r w:rsidRPr="006B076E">
        <w:rPr>
          <w:rStyle w:val="FootnoteReference"/>
        </w:rPr>
        <w:footnoteRef/>
      </w:r>
      <w:r w:rsidRPr="006B076E">
        <w:t xml:space="preserve"> </w:t>
      </w:r>
      <w:r w:rsidRPr="006B076E">
        <w:rPr>
          <w:i/>
        </w:rPr>
        <w:t>Id</w:t>
      </w:r>
      <w:r w:rsidRPr="006B076E">
        <w:t xml:space="preserve">.  </w:t>
      </w:r>
      <w:bookmarkStart w:id="502" w:name="_Hlk69914582"/>
      <w:r w:rsidRPr="00686D2E">
        <w:t>The available U.S. Census Bureau data does not provide a more precise estimate of the number of firms that meet the SBA size standard.</w:t>
      </w:r>
      <w:r>
        <w:t xml:space="preserve"> </w:t>
      </w:r>
      <w:bookmarkEnd w:id="502"/>
    </w:p>
  </w:footnote>
  <w:footnote w:id="112">
    <w:p w:rsidR="009B6017" w:rsidRPr="00341BB8" w:rsidP="009B6017" w14:paraId="6CD4BA4E"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9B6017" w:rsidRPr="00341BB8" w:rsidP="009B6017" w14:paraId="37FC3E0B" w14:textId="77777777">
      <w:pPr>
        <w:pStyle w:val="FootnoteText"/>
        <w:rPr>
          <w:iCs/>
        </w:rPr>
      </w:pPr>
      <w:hyperlink r:id="rId29"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113">
    <w:p w:rsidR="009B6017" w:rsidRPr="00AF3757" w:rsidP="009B6017" w14:paraId="62E501A3" w14:textId="77777777">
      <w:pPr>
        <w:pStyle w:val="FootnoteText"/>
        <w:rPr>
          <w:i/>
          <w:iCs/>
        </w:rPr>
      </w:pPr>
      <w:r>
        <w:rPr>
          <w:rStyle w:val="FootnoteReference"/>
        </w:rPr>
        <w:footnoteRef/>
      </w:r>
      <w:r>
        <w:t xml:space="preserve"> </w:t>
      </w:r>
      <w:r>
        <w:rPr>
          <w:i/>
          <w:iCs/>
        </w:rPr>
        <w:t>Id.</w:t>
      </w:r>
    </w:p>
  </w:footnote>
  <w:footnote w:id="114">
    <w:p w:rsidR="009B6017" w:rsidP="009B6017" w14:paraId="067CBBA9" w14:textId="77777777">
      <w:pPr>
        <w:pStyle w:val="FootnoteText"/>
      </w:pPr>
      <w:r>
        <w:rPr>
          <w:rStyle w:val="FootnoteReference"/>
        </w:rPr>
        <w:footnoteRef/>
      </w:r>
      <w:r>
        <w:t xml:space="preserve"> </w:t>
      </w:r>
      <w:r w:rsidRPr="00820C82">
        <w:rPr>
          <w:i/>
          <w:iCs/>
        </w:rPr>
        <w:t>See</w:t>
      </w:r>
      <w:r>
        <w:t xml:space="preserve"> 47 CFR </w:t>
      </w:r>
      <w:r w:rsidRPr="003E72BD">
        <w:rPr>
          <w:rStyle w:val="Footnote"/>
        </w:rPr>
        <w:t>§</w:t>
      </w:r>
      <w:r>
        <w:rPr>
          <w:rStyle w:val="Footnote"/>
        </w:rPr>
        <w:t xml:space="preserve"> </w:t>
      </w:r>
      <w:r>
        <w:t>24.200.</w:t>
      </w:r>
    </w:p>
  </w:footnote>
  <w:footnote w:id="115">
    <w:p w:rsidR="009B6017" w:rsidRPr="002A645E" w:rsidP="009B6017" w14:paraId="7A37F604" w14:textId="77777777">
      <w:pPr>
        <w:pStyle w:val="FootnoteText"/>
        <w:rPr>
          <w:color w:val="0563C1"/>
          <w:u w:val="single"/>
        </w:rPr>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Pr>
          <w:bCs/>
          <w:i/>
          <w:iCs/>
        </w:rPr>
        <w:t>e</w:t>
      </w:r>
      <w:r w:rsidRPr="000B36A6">
        <w:rPr>
          <w:bCs/>
          <w:i/>
          <w:iCs/>
        </w:rPr>
        <w:t>xcept Satellite</w:t>
      </w:r>
      <w:r>
        <w:rPr>
          <w:bCs/>
        </w:rPr>
        <w:t xml:space="preserve">),” </w:t>
      </w:r>
      <w:hyperlink r:id="rId27" w:history="1">
        <w:r w:rsidRPr="00EA113B">
          <w:rPr>
            <w:rStyle w:val="Hyperlink"/>
          </w:rPr>
          <w:t>https://www.census.gov/naics/?input=517312&amp;year=2017&amp;details=517312</w:t>
        </w:r>
      </w:hyperlink>
      <w:r w:rsidRPr="00F01D69">
        <w:rPr>
          <w:rStyle w:val="Hyperlink"/>
        </w:rPr>
        <w:t>.</w:t>
      </w:r>
    </w:p>
  </w:footnote>
  <w:footnote w:id="116">
    <w:p w:rsidR="009B6017" w:rsidP="009B6017" w14:paraId="4FE5FD6D"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117">
    <w:p w:rsidR="009B6017" w:rsidRPr="006B076E" w:rsidP="009B6017" w14:paraId="45380FBF"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28" w:history="1">
        <w:r w:rsidRPr="00A211CF">
          <w:rPr>
            <w:rStyle w:val="Hyperlink"/>
          </w:rPr>
          <w:t>https://data.census.gov/cedsci/table?y=2017&amp;n=517312&amp;tid=ECNSIZE2017.EC1700SIZEEMPFIRM&amp;hidePreview=false</w:t>
        </w:r>
      </w:hyperlink>
      <w:r>
        <w:t xml:space="preserve">.  </w:t>
      </w:r>
    </w:p>
  </w:footnote>
  <w:footnote w:id="118">
    <w:p w:rsidR="009B6017" w:rsidRPr="006B076E" w:rsidP="009B6017" w14:paraId="12C0E15D"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119">
    <w:p w:rsidR="009B6017" w:rsidP="009B6017" w14:paraId="0C92717F" w14:textId="77777777">
      <w:pPr>
        <w:pStyle w:val="FootnoteText"/>
      </w:pPr>
      <w:r>
        <w:rPr>
          <w:rStyle w:val="FootnoteReference"/>
        </w:rPr>
        <w:footnoteRef/>
      </w:r>
      <w:r>
        <w:t xml:space="preserve"> </w:t>
      </w:r>
      <w:r w:rsidRPr="00241A6D">
        <w:t xml:space="preserve">Based on a FCC Universal Licensing System search on </w:t>
      </w:r>
      <w:r>
        <w:t>November 16</w:t>
      </w:r>
      <w:r w:rsidRPr="00241A6D">
        <w:t>, 2021</w:t>
      </w:r>
      <w:r>
        <w:t>,</w:t>
      </w:r>
      <w:r w:rsidRPr="00241A6D">
        <w:t xml:space="preserve">  </w:t>
      </w:r>
      <w:hyperlink r:id="rId30" w:history="1">
        <w:r w:rsidRPr="00241A6D">
          <w:rPr>
            <w:rStyle w:val="Hyperlink"/>
          </w:rPr>
          <w:t>https://wireless2.fcc.gov/UlsApp/UlsSearch/searchAdvanced.jsp</w:t>
        </w:r>
      </w:hyperlink>
      <w:r w:rsidRPr="00241A6D">
        <w:t xml:space="preserve">.  Search parameters: Service Group = All, “Match only the following radio service(s)”, Radio Service = </w:t>
      </w:r>
      <w:r>
        <w:t>CW</w:t>
      </w:r>
      <w:r w:rsidRPr="00241A6D">
        <w:t>; Authorization Type = All; Status = Active.  We note that the number of active licenses does not equate to the number</w:t>
      </w:r>
      <w:r>
        <w:t xml:space="preserve"> of licensees.  A licensee can have one or more licenses.</w:t>
      </w:r>
    </w:p>
  </w:footnote>
  <w:footnote w:id="120">
    <w:p w:rsidR="009B6017" w:rsidP="009B6017" w14:paraId="6918DE44" w14:textId="77777777">
      <w:pPr>
        <w:pStyle w:val="FootnoteText"/>
      </w:pPr>
      <w:r>
        <w:rPr>
          <w:rStyle w:val="FootnoteReference"/>
        </w:rPr>
        <w:footnoteRef/>
      </w:r>
      <w:r>
        <w:rPr>
          <w:i/>
        </w:rPr>
        <w:t xml:space="preserve"> </w:t>
      </w:r>
      <w:r>
        <w:rPr>
          <w:i/>
        </w:rPr>
        <w:t xml:space="preserve">See </w:t>
      </w:r>
      <w:r w:rsidRPr="007524FD">
        <w:rPr>
          <w:iCs/>
        </w:rPr>
        <w:t xml:space="preserve">47 CFR </w:t>
      </w:r>
      <w:r w:rsidRPr="000A048A">
        <w:t>§</w:t>
      </w:r>
      <w:r>
        <w:t xml:space="preserve"> </w:t>
      </w:r>
      <w:r w:rsidRPr="007524FD">
        <w:rPr>
          <w:iCs/>
        </w:rPr>
        <w:t>2</w:t>
      </w:r>
      <w:r>
        <w:rPr>
          <w:iCs/>
        </w:rPr>
        <w:t>4.720(b)</w:t>
      </w:r>
      <w:r>
        <w:t>.</w:t>
      </w:r>
    </w:p>
  </w:footnote>
  <w:footnote w:id="121">
    <w:p w:rsidR="009B6017" w:rsidP="009B6017" w14:paraId="7A13BB54" w14:textId="77777777">
      <w:pPr>
        <w:pStyle w:val="FootnoteText"/>
      </w:pPr>
      <w:r>
        <w:rPr>
          <w:rStyle w:val="FootnoteReference"/>
        </w:rPr>
        <w:footnoteRef/>
      </w:r>
      <w:r>
        <w:t xml:space="preserve"> </w:t>
      </w:r>
      <w:r>
        <w:rPr>
          <w:i/>
          <w:iCs/>
        </w:rPr>
        <w:t xml:space="preserve">See </w:t>
      </w:r>
      <w:r w:rsidRPr="00E31892">
        <w:t>Federal Communications Commission, Office of Economics and Analytics, Auctions</w:t>
      </w:r>
      <w:r>
        <w:t xml:space="preserve">, Auctions </w:t>
      </w:r>
      <w:r w:rsidRPr="00AF72D8">
        <w:t>4, 5, 10, 11, 22, 35, 58, 71</w:t>
      </w:r>
      <w:r>
        <w:t xml:space="preserve"> and </w:t>
      </w:r>
      <w:r w:rsidRPr="00AF72D8">
        <w:t>78</w:t>
      </w:r>
      <w:r>
        <w:t xml:space="preserve">, </w:t>
      </w:r>
      <w:hyperlink r:id="rId31" w:history="1">
        <w:r w:rsidRPr="00193198">
          <w:rPr>
            <w:rStyle w:val="Hyperlink"/>
          </w:rPr>
          <w:t>https://www.fcc.gov/auctions</w:t>
        </w:r>
      </w:hyperlink>
      <w:r>
        <w:t xml:space="preserve">. </w:t>
      </w:r>
    </w:p>
    <w:p w:rsidR="009B6017" w:rsidRPr="00E31892" w:rsidP="009B6017" w14:paraId="6206838B" w14:textId="77777777">
      <w:pPr>
        <w:pStyle w:val="FootnoteText"/>
      </w:pPr>
    </w:p>
  </w:footnote>
  <w:footnote w:id="122">
    <w:p w:rsidR="009B6017" w:rsidP="009B6017" w14:paraId="2EF1596B" w14:textId="77777777">
      <w:pPr>
        <w:pStyle w:val="FootnoteText"/>
      </w:pPr>
      <w:r>
        <w:rPr>
          <w:rStyle w:val="FootnoteReference"/>
        </w:rPr>
        <w:footnoteRef/>
      </w:r>
      <w:r>
        <w:t xml:space="preserve"> </w:t>
      </w:r>
      <w:r w:rsidRPr="005756B3">
        <w:rPr>
          <w:i/>
          <w:iCs/>
        </w:rPr>
        <w:t>See</w:t>
      </w:r>
      <w:r>
        <w:t xml:space="preserve"> 47 CFR </w:t>
      </w:r>
      <w:r w:rsidRPr="00911E15">
        <w:t>§</w:t>
      </w:r>
      <w:r>
        <w:t xml:space="preserve"> 24.5.</w:t>
      </w:r>
    </w:p>
  </w:footnote>
  <w:footnote w:id="123">
    <w:p w:rsidR="009B6017" w:rsidP="009B6017" w14:paraId="7C002340" w14:textId="77777777">
      <w:pPr>
        <w:pStyle w:val="FootnoteText"/>
      </w:pPr>
      <w:r>
        <w:rPr>
          <w:rStyle w:val="FootnoteReference"/>
        </w:rPr>
        <w:footnoteRef/>
      </w:r>
      <w:r>
        <w:t xml:space="preserve"> </w:t>
      </w:r>
      <w:r w:rsidRPr="00911E15">
        <w:rPr>
          <w:i/>
        </w:rPr>
        <w:t>Id</w:t>
      </w:r>
      <w:r w:rsidRPr="00911E15">
        <w:t>.</w:t>
      </w:r>
    </w:p>
  </w:footnote>
  <w:footnote w:id="124">
    <w:p w:rsidR="009B6017" w:rsidRPr="00911E15" w:rsidP="009B6017" w14:paraId="2C555619" w14:textId="77777777">
      <w:pPr>
        <w:pStyle w:val="FootnoteText"/>
        <w:rPr>
          <w:color w:val="0563C1"/>
          <w:u w:val="single"/>
        </w:rPr>
      </w:pPr>
      <w:r w:rsidRPr="00911E15">
        <w:rPr>
          <w:rStyle w:val="FootnoteReference"/>
        </w:rPr>
        <w:footnoteRef/>
      </w:r>
      <w:r w:rsidRPr="00911E15">
        <w:t xml:space="preserve"> </w:t>
      </w:r>
      <w:r w:rsidRPr="00911E15">
        <w:rPr>
          <w:bCs/>
          <w:i/>
          <w:iCs/>
          <w:color w:val="010101"/>
        </w:rPr>
        <w:t>See</w:t>
      </w:r>
      <w:r w:rsidRPr="00911E15">
        <w:t xml:space="preserve"> U.S. Census Bureau, </w:t>
      </w:r>
      <w:r w:rsidRPr="00911E15">
        <w:rPr>
          <w:i/>
          <w:iCs/>
        </w:rPr>
        <w:t>2017 NAICS Definition, “</w:t>
      </w:r>
      <w:r w:rsidRPr="00911E15">
        <w:rPr>
          <w:bCs/>
          <w:i/>
          <w:iCs/>
        </w:rPr>
        <w:t>517312 Wireless Telecommunications Carriers</w:t>
      </w:r>
      <w:r w:rsidRPr="00911E15">
        <w:rPr>
          <w:bCs/>
        </w:rPr>
        <w:t xml:space="preserve"> (</w:t>
      </w:r>
      <w:r w:rsidRPr="00911E15">
        <w:rPr>
          <w:bCs/>
          <w:i/>
          <w:iCs/>
        </w:rPr>
        <w:t>except Satellite</w:t>
      </w:r>
      <w:r w:rsidRPr="00911E15">
        <w:rPr>
          <w:bCs/>
        </w:rPr>
        <w:t xml:space="preserve">),” </w:t>
      </w:r>
      <w:hyperlink r:id="rId27" w:history="1">
        <w:r w:rsidRPr="00911E15">
          <w:rPr>
            <w:rStyle w:val="Hyperlink"/>
          </w:rPr>
          <w:t>https://www.census.gov/naics/?input=517312&amp;year=2017&amp;details=517312</w:t>
        </w:r>
      </w:hyperlink>
      <w:r w:rsidRPr="00835B1C">
        <w:rPr>
          <w:rStyle w:val="Hyperlink"/>
        </w:rPr>
        <w:t>.</w:t>
      </w:r>
    </w:p>
  </w:footnote>
  <w:footnote w:id="125">
    <w:p w:rsidR="009B6017" w:rsidRPr="00911E15" w:rsidP="009B6017" w14:paraId="60D4BCB2" w14:textId="77777777">
      <w:pPr>
        <w:pStyle w:val="FootnoteText"/>
      </w:pPr>
      <w:r w:rsidRPr="00911E15">
        <w:rPr>
          <w:rStyle w:val="FootnoteReference"/>
        </w:rPr>
        <w:footnoteRef/>
      </w:r>
      <w:r w:rsidRPr="00911E15">
        <w:t xml:space="preserve"> </w:t>
      </w:r>
      <w:r w:rsidRPr="00911E15">
        <w:rPr>
          <w:i/>
          <w:iCs/>
        </w:rPr>
        <w:t>See</w:t>
      </w:r>
      <w:r w:rsidRPr="00911E15">
        <w:t xml:space="preserve"> 13 CFR § 121.201, NAICS Code 517312.</w:t>
      </w:r>
    </w:p>
  </w:footnote>
  <w:footnote w:id="126">
    <w:p w:rsidR="009B6017" w:rsidRPr="00911E15" w:rsidP="009B6017" w14:paraId="5C57DAAB" w14:textId="77777777">
      <w:pPr>
        <w:pStyle w:val="FootnoteText"/>
      </w:pPr>
      <w:r w:rsidRPr="00911E15">
        <w:rPr>
          <w:rStyle w:val="FootnoteReference"/>
        </w:rPr>
        <w:footnoteRef/>
      </w:r>
      <w:r w:rsidRPr="00911E15">
        <w:t xml:space="preserve"> </w:t>
      </w:r>
      <w:r w:rsidRPr="00911E15">
        <w:rPr>
          <w:bCs/>
          <w:i/>
          <w:iCs/>
          <w:color w:val="010101"/>
        </w:rPr>
        <w:t>See</w:t>
      </w:r>
      <w:r w:rsidRPr="00911E15">
        <w:t xml:space="preserve"> U.S. Census Bureau, </w:t>
      </w:r>
      <w:r w:rsidRPr="00911E15">
        <w:rPr>
          <w:i/>
          <w:iCs/>
        </w:rPr>
        <w:t xml:space="preserve">2017 </w:t>
      </w:r>
      <w:r w:rsidRPr="00911E15">
        <w:rPr>
          <w:i/>
        </w:rPr>
        <w:t>Economic Census</w:t>
      </w:r>
      <w:r w:rsidRPr="00911E15">
        <w:rPr>
          <w:bCs/>
          <w:i/>
        </w:rPr>
        <w:t xml:space="preserve"> of the United States</w:t>
      </w:r>
      <w:r w:rsidRPr="00911E15">
        <w:t xml:space="preserve">, </w:t>
      </w:r>
      <w:r w:rsidRPr="00911E15">
        <w:rPr>
          <w:i/>
          <w:iCs/>
        </w:rPr>
        <w:t xml:space="preserve">Employment Size of Firms for the U.S.: 2017, </w:t>
      </w:r>
      <w:r w:rsidRPr="00911E15">
        <w:t xml:space="preserve">Table ID: EC1700SIZEEMPFIRM, NAICS Code 517312,  </w:t>
      </w:r>
      <w:hyperlink r:id="rId28" w:history="1">
        <w:r w:rsidRPr="00911E15">
          <w:rPr>
            <w:rStyle w:val="Hyperlink"/>
          </w:rPr>
          <w:t>https://data.census.gov/cedsci/table?y=2017&amp;n=517312&amp;tid=ECNSIZE2017.EC1700SIZEEMPFIRM&amp;hidePreview=false</w:t>
        </w:r>
      </w:hyperlink>
      <w:r w:rsidRPr="00911E15">
        <w:t xml:space="preserve">.  </w:t>
      </w:r>
    </w:p>
  </w:footnote>
  <w:footnote w:id="127">
    <w:p w:rsidR="009B6017" w:rsidRPr="00911E15" w:rsidP="009B6017" w14:paraId="316CC271" w14:textId="77777777">
      <w:pPr>
        <w:pStyle w:val="FootnoteText"/>
      </w:pPr>
      <w:r w:rsidRPr="00911E15">
        <w:rPr>
          <w:rStyle w:val="FootnoteReference"/>
        </w:rPr>
        <w:footnoteRef/>
      </w:r>
      <w:r w:rsidRPr="00911E15">
        <w:t xml:space="preserve"> </w:t>
      </w:r>
      <w:r w:rsidRPr="00911E15">
        <w:rPr>
          <w:i/>
        </w:rPr>
        <w:t>Id</w:t>
      </w:r>
      <w:r w:rsidRPr="00911E15">
        <w:t>.  The available U.S. Census Bureau data does not provide a more precise estimate of the number of firms that meet the SBA size standard.</w:t>
      </w:r>
    </w:p>
  </w:footnote>
  <w:footnote w:id="128">
    <w:p w:rsidR="009B6017" w:rsidRPr="00911E15" w:rsidP="009B6017" w14:paraId="346C273E" w14:textId="77777777">
      <w:pPr>
        <w:pStyle w:val="FootnoteText"/>
      </w:pPr>
      <w:r w:rsidRPr="00911E15">
        <w:rPr>
          <w:rStyle w:val="FootnoteReference"/>
        </w:rPr>
        <w:footnoteRef/>
      </w:r>
      <w:r w:rsidRPr="00911E15">
        <w:t xml:space="preserve"> </w:t>
      </w:r>
      <w:r w:rsidRPr="00911E15">
        <w:t xml:space="preserve">Based on a FCC Universal Licensing System search on </w:t>
      </w:r>
      <w:r>
        <w:t>December 10</w:t>
      </w:r>
      <w:r w:rsidRPr="00911E15">
        <w:t>, 2021</w:t>
      </w:r>
      <w:r>
        <w:t xml:space="preserve">, </w:t>
      </w:r>
      <w:hyperlink r:id="rId30" w:history="1">
        <w:r w:rsidRPr="000A3BFB">
          <w:rPr>
            <w:rStyle w:val="Hyperlink"/>
          </w:rPr>
          <w:t>https://wireless2.fcc.gov/UlsApp/UlsSearch/searchAdvanced.jsp</w:t>
        </w:r>
      </w:hyperlink>
      <w:r w:rsidRPr="00911E15">
        <w:t xml:space="preserve">.  Search parameters: Service Group = All, “Match only the following radio service(s)”, Radio Service = </w:t>
      </w:r>
      <w:r>
        <w:t>CN</w:t>
      </w:r>
      <w:r w:rsidRPr="00911E15">
        <w:t xml:space="preserve">; Authorization Type = </w:t>
      </w:r>
      <w:r>
        <w:t>All</w:t>
      </w:r>
      <w:r w:rsidRPr="00911E15">
        <w:t>; Status = Active.  We note that the number of active licenses does not equate to the number of licensees.  A licensee can have one or more licenses.</w:t>
      </w:r>
    </w:p>
  </w:footnote>
  <w:footnote w:id="129">
    <w:p w:rsidR="009B6017" w:rsidRPr="00D51D00" w:rsidP="009B6017" w14:paraId="342A4639" w14:textId="77777777">
      <w:pPr>
        <w:pStyle w:val="FootnoteText"/>
        <w:spacing w:line="120" w:lineRule="atLeast"/>
      </w:pPr>
      <w:r w:rsidRPr="00D51D00">
        <w:rPr>
          <w:rStyle w:val="FootnoteReference"/>
        </w:rPr>
        <w:footnoteRef/>
      </w:r>
      <w:r>
        <w:t xml:space="preserve"> </w:t>
      </w:r>
      <w:r w:rsidRPr="00A17966">
        <w:rPr>
          <w:i/>
          <w:iCs/>
        </w:rPr>
        <w:t>See</w:t>
      </w:r>
      <w:r>
        <w:t xml:space="preserve"> 47 CFR § 24.321(a)(1)-(2)</w:t>
      </w:r>
      <w:r w:rsidRPr="00D51D00">
        <w:t>.</w:t>
      </w:r>
    </w:p>
  </w:footnote>
  <w:footnote w:id="130">
    <w:p w:rsidR="009B6017" w:rsidRPr="00D51D00" w:rsidP="009B6017" w14:paraId="54D4C43C" w14:textId="77777777">
      <w:pPr>
        <w:pStyle w:val="FootnoteText"/>
        <w:spacing w:line="120" w:lineRule="atLeast"/>
      </w:pPr>
      <w:r w:rsidRPr="00D51D00">
        <w:rPr>
          <w:rStyle w:val="FootnoteReference"/>
        </w:rPr>
        <w:footnoteRef/>
      </w:r>
      <w:r>
        <w:rPr>
          <w:i/>
          <w:iCs/>
        </w:rPr>
        <w:t xml:space="preserve"> </w:t>
      </w:r>
      <w:r>
        <w:rPr>
          <w:i/>
          <w:iCs/>
        </w:rPr>
        <w:t>Id.</w:t>
      </w:r>
    </w:p>
  </w:footnote>
  <w:footnote w:id="131">
    <w:p w:rsidR="009B6017" w:rsidRPr="00CE326F" w:rsidP="009B6017" w14:paraId="01790F3D" w14:textId="77777777">
      <w:pPr>
        <w:rPr>
          <w:sz w:val="20"/>
        </w:rPr>
      </w:pPr>
      <w:r w:rsidRPr="00911E15">
        <w:rPr>
          <w:rStyle w:val="FootnoteReference"/>
        </w:rPr>
        <w:footnoteRef/>
      </w:r>
      <w:r w:rsidRPr="00911E15">
        <w:t xml:space="preserve"> </w:t>
      </w:r>
      <w:r w:rsidRPr="00CE326F">
        <w:rPr>
          <w:i/>
          <w:iCs/>
          <w:sz w:val="20"/>
        </w:rPr>
        <w:t>See</w:t>
      </w:r>
      <w:r w:rsidRPr="00CE326F">
        <w:rPr>
          <w:sz w:val="20"/>
        </w:rPr>
        <w:t xml:space="preserve"> Federal Communications Commission, Economics and Analytics, Auctions, Auction 41: Narrowband PCS, Summary, Closing Charts, License By Bidder,</w:t>
      </w:r>
    </w:p>
    <w:p w:rsidR="009B6017" w:rsidRPr="00852834" w:rsidP="009B6017" w14:paraId="1C4A37AE" w14:textId="77777777">
      <w:pPr>
        <w:spacing w:after="120"/>
      </w:pPr>
      <w:hyperlink r:id="rId32" w:history="1">
        <w:r w:rsidRPr="00CE326F">
          <w:rPr>
            <w:rStyle w:val="Hyperlink"/>
            <w:sz w:val="20"/>
          </w:rPr>
          <w:t>https://www.fcc.gov/sites/default/files/wireless/auctions/41/charts/41cls2.pdf</w:t>
        </w:r>
      </w:hyperlink>
      <w:r>
        <w:rPr>
          <w:sz w:val="20"/>
        </w:rPr>
        <w:t>;</w:t>
      </w:r>
      <w:r w:rsidRPr="00CE326F">
        <w:rPr>
          <w:sz w:val="20"/>
        </w:rPr>
        <w:t xml:space="preserve"> Auction 50: Narrowband PCS, Summary, Closing Charts, License By Bidder, </w:t>
      </w:r>
      <w:hyperlink r:id="rId33" w:history="1">
        <w:r w:rsidRPr="00CE326F">
          <w:rPr>
            <w:rStyle w:val="Hyperlink"/>
            <w:sz w:val="20"/>
          </w:rPr>
          <w:t>https://www.fcc.gov/sites/default/files/wireless/auctions/50/charts/50cls2.pdf</w:t>
        </w:r>
      </w:hyperlink>
      <w:r w:rsidRPr="00CE326F">
        <w:rPr>
          <w:sz w:val="20"/>
        </w:rPr>
        <w:t>.</w:t>
      </w:r>
      <w:r>
        <w:rPr>
          <w:sz w:val="20"/>
        </w:rPr>
        <w:t xml:space="preserve"> </w:t>
      </w:r>
    </w:p>
  </w:footnote>
  <w:footnote w:id="132">
    <w:p w:rsidR="009B6017" w:rsidP="009B6017" w14:paraId="6646E19B" w14:textId="77777777">
      <w:pPr>
        <w:pStyle w:val="FootnoteText"/>
      </w:pPr>
      <w:r>
        <w:rPr>
          <w:rStyle w:val="FootnoteReference"/>
        </w:rPr>
        <w:footnoteRef/>
      </w:r>
      <w:r>
        <w:t xml:space="preserve"> </w:t>
      </w:r>
      <w:r w:rsidRPr="004C3C60">
        <w:t xml:space="preserve">Based on a FCC Universal Licensing System search on </w:t>
      </w:r>
      <w:r>
        <w:t>December 10</w:t>
      </w:r>
      <w:r w:rsidRPr="00911E15">
        <w:t>, 2021</w:t>
      </w:r>
      <w:r>
        <w:t xml:space="preserve">, </w:t>
      </w:r>
      <w:hyperlink r:id="rId30" w:history="1">
        <w:r w:rsidRPr="004C3C60">
          <w:rPr>
            <w:rStyle w:val="Hyperlink"/>
          </w:rPr>
          <w:t>https://wireless2.fcc.gov/UlsApp/UlsSearch/searchAdvanced.jsp</w:t>
        </w:r>
      </w:hyperlink>
      <w:r w:rsidRPr="004C3C60">
        <w:t>.  Search parameters: Service Group = All, “Match only the following radio service(s)”, Radio Service =</w:t>
      </w:r>
      <w:r>
        <w:t xml:space="preserve"> CN</w:t>
      </w:r>
      <w:r w:rsidRPr="004C3C60">
        <w:t xml:space="preserve">; Authorization Type = </w:t>
      </w:r>
      <w:r>
        <w:t>All</w:t>
      </w:r>
      <w:r w:rsidRPr="004C3C60">
        <w:t>; Status = Active.  We note that the number of active licenses does not equate to the number of licensees.  A licensee can have one or more licenses.</w:t>
      </w:r>
    </w:p>
  </w:footnote>
  <w:footnote w:id="133">
    <w:p w:rsidR="009B6017" w:rsidRPr="00D96BC3" w:rsidP="009B6017" w14:paraId="4849E305" w14:textId="77777777">
      <w:pPr>
        <w:pStyle w:val="FootnoteText"/>
      </w:pPr>
      <w:r w:rsidRPr="00D96BC3">
        <w:rPr>
          <w:rStyle w:val="FootnoteReference"/>
        </w:rPr>
        <w:footnoteRef/>
      </w:r>
      <w:r w:rsidRPr="00D96BC3">
        <w:t xml:space="preserve"> </w:t>
      </w:r>
      <w:r w:rsidRPr="00D96BC3">
        <w:rPr>
          <w:i/>
          <w:iCs/>
        </w:rPr>
        <w:t xml:space="preserve">See </w:t>
      </w:r>
      <w:r w:rsidRPr="00D96BC3">
        <w:t>47 CFR §§ 27.1 – 27.1607.</w:t>
      </w:r>
    </w:p>
  </w:footnote>
  <w:footnote w:id="134">
    <w:p w:rsidR="009B6017" w:rsidRPr="00D96BC3" w:rsidP="009B6017" w14:paraId="55970198" w14:textId="77777777">
      <w:pPr>
        <w:pStyle w:val="FootnoteText"/>
        <w:rPr>
          <w:color w:val="0563C1"/>
          <w:u w:val="single"/>
        </w:rPr>
      </w:pPr>
      <w:r w:rsidRPr="00D96BC3">
        <w:rPr>
          <w:rStyle w:val="FootnoteReference"/>
        </w:rPr>
        <w:footnoteRef/>
      </w:r>
      <w:r w:rsidRPr="00D96BC3">
        <w:t xml:space="preserve"> </w:t>
      </w:r>
      <w:r w:rsidRPr="00D96BC3">
        <w:rPr>
          <w:bCs/>
          <w:i/>
          <w:iCs/>
          <w:color w:val="010101"/>
        </w:rPr>
        <w:t>See</w:t>
      </w:r>
      <w:r w:rsidRPr="00D96BC3">
        <w:t xml:space="preserve"> U.S. Census Bureau, </w:t>
      </w:r>
      <w:r w:rsidRPr="00D96BC3">
        <w:rPr>
          <w:i/>
          <w:iCs/>
        </w:rPr>
        <w:t>2017 NAICS Definition, “</w:t>
      </w:r>
      <w:r w:rsidRPr="00D96BC3">
        <w:rPr>
          <w:bCs/>
          <w:i/>
          <w:iCs/>
        </w:rPr>
        <w:t>517312 Wireless Telecommunications Carriers</w:t>
      </w:r>
      <w:r w:rsidRPr="00D96BC3">
        <w:rPr>
          <w:bCs/>
        </w:rPr>
        <w:t xml:space="preserve"> (</w:t>
      </w:r>
      <w:r w:rsidRPr="00D96BC3">
        <w:rPr>
          <w:bCs/>
          <w:i/>
          <w:iCs/>
        </w:rPr>
        <w:t>except Satellite</w:t>
      </w:r>
      <w:r w:rsidRPr="00D96BC3">
        <w:rPr>
          <w:bCs/>
        </w:rPr>
        <w:t xml:space="preserve">),” </w:t>
      </w:r>
      <w:hyperlink r:id="rId27" w:history="1">
        <w:r w:rsidRPr="00D96BC3">
          <w:rPr>
            <w:rStyle w:val="Hyperlink"/>
          </w:rPr>
          <w:t>https://www.census.gov/naics/?input=517312&amp;year=2017&amp;details=517312</w:t>
        </w:r>
      </w:hyperlink>
      <w:r w:rsidRPr="00D96BC3">
        <w:rPr>
          <w:rStyle w:val="Hyperlink"/>
        </w:rPr>
        <w:t>.</w:t>
      </w:r>
    </w:p>
  </w:footnote>
  <w:footnote w:id="135">
    <w:p w:rsidR="009B6017" w:rsidRPr="00D96BC3" w:rsidP="009B6017" w14:paraId="1D2508B3" w14:textId="77777777">
      <w:pPr>
        <w:pStyle w:val="FootnoteText"/>
      </w:pPr>
      <w:r w:rsidRPr="00D96BC3">
        <w:rPr>
          <w:rStyle w:val="FootnoteReference"/>
        </w:rPr>
        <w:footnoteRef/>
      </w:r>
      <w:r w:rsidRPr="00D96BC3">
        <w:t xml:space="preserve"> </w:t>
      </w:r>
      <w:r w:rsidRPr="00D96BC3">
        <w:rPr>
          <w:i/>
          <w:iCs/>
        </w:rPr>
        <w:t>See</w:t>
      </w:r>
      <w:r w:rsidRPr="00D96BC3">
        <w:t xml:space="preserve"> 13 CFR § 121.201, NAICS Code 517312.</w:t>
      </w:r>
    </w:p>
  </w:footnote>
  <w:footnote w:id="136">
    <w:p w:rsidR="009B6017" w:rsidRPr="00D96BC3" w:rsidP="009B6017" w14:paraId="30CB84C2" w14:textId="77777777">
      <w:pPr>
        <w:pStyle w:val="FootnoteText"/>
      </w:pPr>
      <w:r w:rsidRPr="00D96BC3">
        <w:rPr>
          <w:rStyle w:val="FootnoteReference"/>
        </w:rPr>
        <w:footnoteRef/>
      </w:r>
      <w:r w:rsidRPr="00D96BC3">
        <w:t xml:space="preserve"> </w:t>
      </w:r>
      <w:r w:rsidRPr="00D96BC3">
        <w:rPr>
          <w:bCs/>
          <w:i/>
          <w:iCs/>
          <w:color w:val="010101"/>
        </w:rPr>
        <w:t>See</w:t>
      </w:r>
      <w:r w:rsidRPr="00D96BC3">
        <w:t xml:space="preserve"> U.S. Census Bureau, </w:t>
      </w:r>
      <w:r w:rsidRPr="00D96BC3">
        <w:rPr>
          <w:i/>
          <w:iCs/>
        </w:rPr>
        <w:t xml:space="preserve">2017 </w:t>
      </w:r>
      <w:r w:rsidRPr="00D96BC3">
        <w:rPr>
          <w:i/>
        </w:rPr>
        <w:t>Economic Census</w:t>
      </w:r>
      <w:r w:rsidRPr="00D96BC3">
        <w:rPr>
          <w:bCs/>
          <w:i/>
        </w:rPr>
        <w:t xml:space="preserve"> of the United States</w:t>
      </w:r>
      <w:r w:rsidRPr="00D96BC3">
        <w:t xml:space="preserve">, </w:t>
      </w:r>
      <w:r w:rsidRPr="00D96BC3">
        <w:rPr>
          <w:i/>
          <w:iCs/>
        </w:rPr>
        <w:t xml:space="preserve">Employment Size of Firms for the U.S.: 2017, </w:t>
      </w:r>
      <w:r w:rsidRPr="00D96BC3">
        <w:t xml:space="preserve">Table ID: EC1700SIZEEMPFIRM, NAICS Code 517312,  </w:t>
      </w:r>
      <w:hyperlink r:id="rId28" w:history="1">
        <w:r w:rsidRPr="00D96BC3">
          <w:rPr>
            <w:rStyle w:val="Hyperlink"/>
          </w:rPr>
          <w:t>https://data.census.gov/cedsci/table?y=2017&amp;n=517312&amp;tid=ECNSIZE2017.EC1700SIZEEMPFIRM&amp;hidePreview=false</w:t>
        </w:r>
      </w:hyperlink>
      <w:r w:rsidRPr="00D96BC3">
        <w:t xml:space="preserve">.  </w:t>
      </w:r>
    </w:p>
  </w:footnote>
  <w:footnote w:id="137">
    <w:p w:rsidR="009B6017" w:rsidRPr="00D96BC3" w:rsidP="009B6017" w14:paraId="0AB0D621" w14:textId="77777777">
      <w:pPr>
        <w:pStyle w:val="FootnoteText"/>
      </w:pPr>
      <w:r w:rsidRPr="00D96BC3">
        <w:rPr>
          <w:rStyle w:val="FootnoteReference"/>
        </w:rPr>
        <w:footnoteRef/>
      </w:r>
      <w:r w:rsidRPr="00D96BC3">
        <w:t xml:space="preserve"> </w:t>
      </w:r>
      <w:r w:rsidRPr="00D96BC3">
        <w:rPr>
          <w:i/>
        </w:rPr>
        <w:t>Id</w:t>
      </w:r>
      <w:r w:rsidRPr="00D96BC3">
        <w:t>.  The available U.S. Census Bureau data does not provide a more precise estimate of the number of firms that meet the SBA size standard.</w:t>
      </w:r>
    </w:p>
  </w:footnote>
  <w:footnote w:id="138">
    <w:p w:rsidR="009B6017" w:rsidP="009B6017" w14:paraId="3D1366B0" w14:textId="77777777">
      <w:pPr>
        <w:pStyle w:val="FootnoteText"/>
      </w:pPr>
      <w:r>
        <w:rPr>
          <w:rStyle w:val="FootnoteReference"/>
        </w:rPr>
        <w:footnoteRef/>
      </w:r>
      <w:r>
        <w:t xml:space="preserve"> </w:t>
      </w:r>
      <w:r w:rsidRPr="00D96BC3">
        <w:rPr>
          <w:i/>
          <w:iCs/>
        </w:rPr>
        <w:t xml:space="preserve">See </w:t>
      </w:r>
      <w:r w:rsidRPr="00D96BC3">
        <w:t xml:space="preserve">47 CFR §§ 27.201 – 27.1601. </w:t>
      </w:r>
      <w:r>
        <w:t>T</w:t>
      </w:r>
      <w:r w:rsidRPr="00D96BC3">
        <w:t xml:space="preserve">he Designated </w:t>
      </w:r>
      <w:r>
        <w:t>e</w:t>
      </w:r>
      <w:r w:rsidRPr="00D96BC3">
        <w:t>ntities sections in Subparts D – Q each contain the small business size standard</w:t>
      </w:r>
      <w:r>
        <w:t>s</w:t>
      </w:r>
      <w:r w:rsidRPr="00D96BC3">
        <w:t xml:space="preserve"> adopted for the auction of the frequency band covered by that subpart. </w:t>
      </w:r>
    </w:p>
  </w:footnote>
  <w:footnote w:id="139">
    <w:p w:rsidR="009B6017" w:rsidRPr="002A645E" w:rsidP="009B6017" w14:paraId="2C573858"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27" w:history="1">
        <w:r w:rsidRPr="006F6BD4">
          <w:rPr>
            <w:rStyle w:val="Hyperlink"/>
          </w:rPr>
          <w:t>https://www.census.gov/naics/?input=517312&amp;year=2017&amp;details=517312</w:t>
        </w:r>
      </w:hyperlink>
      <w:r w:rsidRPr="001E0CCE">
        <w:rPr>
          <w:rStyle w:val="Hyperlink"/>
        </w:rPr>
        <w:t>.</w:t>
      </w:r>
    </w:p>
  </w:footnote>
  <w:footnote w:id="140">
    <w:p w:rsidR="009B6017" w:rsidP="009B6017" w14:paraId="2919499C"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141">
    <w:p w:rsidR="009B6017" w:rsidRPr="006B076E" w:rsidP="009B6017" w14:paraId="4A299DA5"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28" w:history="1">
        <w:r w:rsidRPr="00A211CF">
          <w:rPr>
            <w:rStyle w:val="Hyperlink"/>
          </w:rPr>
          <w:t>https://data.census.gov/cedsci/table?y=2017&amp;n=517312&amp;tid=ECNSIZE2017.EC1700SIZEEMPFIRM&amp;hidePreview=false</w:t>
        </w:r>
      </w:hyperlink>
      <w:r>
        <w:t xml:space="preserve">.  </w:t>
      </w:r>
    </w:p>
  </w:footnote>
  <w:footnote w:id="142">
    <w:p w:rsidR="009B6017" w:rsidRPr="006B076E" w:rsidP="009B6017" w14:paraId="399190B8"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143">
    <w:p w:rsidR="009B6017" w:rsidRPr="00911E15" w:rsidP="009B6017" w14:paraId="2069AB27" w14:textId="77777777">
      <w:pPr>
        <w:pStyle w:val="FootnoteText"/>
      </w:pPr>
      <w:r w:rsidRPr="00911E15">
        <w:rPr>
          <w:rStyle w:val="FootnoteReference"/>
        </w:rPr>
        <w:footnoteRef/>
      </w:r>
      <w:r w:rsidRPr="00911E15">
        <w:t xml:space="preserve"> </w:t>
      </w:r>
      <w:r w:rsidRPr="00911E15">
        <w:t xml:space="preserve">Based on a FCC Universal Licensing System search on </w:t>
      </w:r>
      <w:r>
        <w:t>December 14</w:t>
      </w:r>
      <w:r w:rsidRPr="00911E15">
        <w:t>, 2021</w:t>
      </w:r>
      <w:r>
        <w:t xml:space="preserve">, </w:t>
      </w:r>
      <w:hyperlink r:id="rId30" w:history="1">
        <w:r w:rsidRPr="000A3BFB">
          <w:rPr>
            <w:rStyle w:val="Hyperlink"/>
          </w:rPr>
          <w:t>https://wireless2.fcc.gov/UlsApp/UlsSearch/searchAdvanced.jsp</w:t>
        </w:r>
      </w:hyperlink>
      <w:r w:rsidRPr="00911E15">
        <w:t xml:space="preserve">.  Search parameters: Service Group = All, “Match only the following radio service(s)”, Radio Service = </w:t>
      </w:r>
      <w:r>
        <w:t>WX</w:t>
      </w:r>
      <w:r w:rsidRPr="00911E15">
        <w:t xml:space="preserve">; Authorization Type = </w:t>
      </w:r>
      <w:r>
        <w:t>All</w:t>
      </w:r>
      <w:r w:rsidRPr="00911E15">
        <w:t>; Status = Active.  We note that the number of active licenses does not equate to the number of licensees.  A licensee can have one or more licenses.</w:t>
      </w:r>
    </w:p>
  </w:footnote>
  <w:footnote w:id="144">
    <w:p w:rsidR="009B6017" w:rsidRPr="002C21D5" w:rsidP="009B6017" w14:paraId="10D7B583" w14:textId="77777777">
      <w:pPr>
        <w:pStyle w:val="FootnoteText"/>
      </w:pPr>
      <w:r w:rsidRPr="002C21D5">
        <w:rPr>
          <w:rStyle w:val="Footnote"/>
          <w:vertAlign w:val="superscript"/>
        </w:rPr>
        <w:footnoteRef/>
      </w:r>
      <w:r>
        <w:rPr>
          <w:rStyle w:val="Footnote"/>
          <w:i/>
        </w:rPr>
        <w:t xml:space="preserve"> </w:t>
      </w:r>
      <w:r>
        <w:rPr>
          <w:rStyle w:val="Footnote"/>
          <w:i/>
        </w:rPr>
        <w:t xml:space="preserve">See </w:t>
      </w:r>
      <w:r w:rsidRPr="00924F09">
        <w:rPr>
          <w:rStyle w:val="Footnote"/>
          <w:iCs/>
        </w:rPr>
        <w:t xml:space="preserve">47 CFR </w:t>
      </w:r>
      <w:bookmarkStart w:id="505" w:name="Bidding_Credits"/>
      <w:r w:rsidRPr="00924F09">
        <w:rPr>
          <w:iCs/>
        </w:rPr>
        <w:t>§ 27.502</w:t>
      </w:r>
      <w:bookmarkEnd w:id="505"/>
      <w:r>
        <w:rPr>
          <w:iCs/>
        </w:rPr>
        <w:t>(a)</w:t>
      </w:r>
      <w:r w:rsidRPr="00924F09">
        <w:rPr>
          <w:rStyle w:val="Footnote"/>
          <w:iCs/>
        </w:rPr>
        <w:t>.</w:t>
      </w:r>
    </w:p>
  </w:footnote>
  <w:footnote w:id="145">
    <w:p w:rsidR="009B6017" w:rsidRPr="00372853" w:rsidP="009B6017" w14:paraId="3E5B1ADD" w14:textId="77777777">
      <w:pPr>
        <w:rPr>
          <w:sz w:val="20"/>
        </w:rPr>
      </w:pPr>
      <w:r w:rsidRPr="00911E15">
        <w:rPr>
          <w:rStyle w:val="FootnoteReference"/>
        </w:rPr>
        <w:footnoteRef/>
      </w:r>
      <w:r w:rsidRPr="00911E15">
        <w:t xml:space="preserve"> </w:t>
      </w:r>
      <w:r w:rsidRPr="00CE326F">
        <w:rPr>
          <w:i/>
          <w:iCs/>
          <w:sz w:val="20"/>
        </w:rPr>
        <w:t>See</w:t>
      </w:r>
      <w:r w:rsidRPr="00CE326F">
        <w:rPr>
          <w:sz w:val="20"/>
        </w:rPr>
        <w:t xml:space="preserve"> Federal Communications Commission, Economics and Analytics, Auctions, Auction </w:t>
      </w:r>
      <w:r>
        <w:rPr>
          <w:sz w:val="20"/>
        </w:rPr>
        <w:t>33</w:t>
      </w:r>
      <w:r w:rsidRPr="00CE326F">
        <w:rPr>
          <w:sz w:val="20"/>
        </w:rPr>
        <w:t xml:space="preserve">: </w:t>
      </w:r>
      <w:r>
        <w:rPr>
          <w:sz w:val="20"/>
        </w:rPr>
        <w:t xml:space="preserve">Upper 700 MHz Guard Bands, Summary, Closing Charts, Licenses by Bidder, </w:t>
      </w:r>
      <w:hyperlink r:id="rId34" w:history="1">
        <w:r w:rsidRPr="00B03D08">
          <w:rPr>
            <w:rStyle w:val="Hyperlink"/>
            <w:sz w:val="20"/>
          </w:rPr>
          <w:t>https://www.fcc.gov/sites/default/files/wireless/auctions/33/charts/33cls2.pdf</w:t>
        </w:r>
      </w:hyperlink>
      <w:r>
        <w:rPr>
          <w:sz w:val="20"/>
        </w:rPr>
        <w:t xml:space="preserve">, </w:t>
      </w:r>
      <w:r w:rsidRPr="00CE326F">
        <w:rPr>
          <w:sz w:val="20"/>
        </w:rPr>
        <w:t xml:space="preserve">Auction </w:t>
      </w:r>
      <w:r>
        <w:rPr>
          <w:sz w:val="20"/>
        </w:rPr>
        <w:t>38</w:t>
      </w:r>
      <w:r w:rsidRPr="00CE326F">
        <w:rPr>
          <w:sz w:val="20"/>
        </w:rPr>
        <w:t xml:space="preserve">: </w:t>
      </w:r>
      <w:r>
        <w:rPr>
          <w:sz w:val="20"/>
        </w:rPr>
        <w:t>Upper 700 MHz Guard Bands,</w:t>
      </w:r>
      <w:r w:rsidRPr="00CE326F">
        <w:rPr>
          <w:sz w:val="20"/>
        </w:rPr>
        <w:t xml:space="preserve"> Summary, Closing Charts, License</w:t>
      </w:r>
      <w:r>
        <w:rPr>
          <w:sz w:val="20"/>
        </w:rPr>
        <w:t>s</w:t>
      </w:r>
      <w:r w:rsidRPr="00CE326F">
        <w:rPr>
          <w:sz w:val="20"/>
        </w:rPr>
        <w:t xml:space="preserve"> </w:t>
      </w:r>
      <w:r>
        <w:rPr>
          <w:sz w:val="20"/>
        </w:rPr>
        <w:t>b</w:t>
      </w:r>
      <w:r w:rsidRPr="00CE326F">
        <w:rPr>
          <w:sz w:val="20"/>
        </w:rPr>
        <w:t xml:space="preserve">y Bidder, </w:t>
      </w:r>
      <w:hyperlink r:id="rId35" w:history="1">
        <w:r w:rsidRPr="00B03D08">
          <w:rPr>
            <w:rStyle w:val="Hyperlink"/>
            <w:sz w:val="20"/>
          </w:rPr>
          <w:t>https://www.fcc.gov/sites/default/files/wireless/auctions/38/charts/38cls2.pdf</w:t>
        </w:r>
      </w:hyperlink>
      <w:r>
        <w:rPr>
          <w:sz w:val="20"/>
        </w:rPr>
        <w:t xml:space="preserve">. </w:t>
      </w:r>
    </w:p>
  </w:footnote>
  <w:footnote w:id="146">
    <w:p w:rsidR="009B6017" w:rsidP="009B6017" w14:paraId="48225392" w14:textId="77777777">
      <w:pPr>
        <w:pStyle w:val="FootnoteText"/>
      </w:pPr>
      <w:r>
        <w:rPr>
          <w:rStyle w:val="FootnoteReference"/>
        </w:rPr>
        <w:footnoteRef/>
      </w:r>
      <w:r>
        <w:t xml:space="preserve"> </w:t>
      </w:r>
      <w:r w:rsidRPr="004C3C60">
        <w:t xml:space="preserve">Based on a FCC Universal Licensing System search on </w:t>
      </w:r>
      <w:r>
        <w:t>December 14</w:t>
      </w:r>
      <w:r w:rsidRPr="00911E15">
        <w:t>, 2021</w:t>
      </w:r>
      <w:r>
        <w:t xml:space="preserve">, </w:t>
      </w:r>
      <w:hyperlink r:id="rId30" w:history="1">
        <w:r w:rsidRPr="004C3C60">
          <w:rPr>
            <w:rStyle w:val="Hyperlink"/>
          </w:rPr>
          <w:t>https://wireless2.fcc.gov/UlsApp/UlsSearch/searchAdvanced.jsp</w:t>
        </w:r>
      </w:hyperlink>
      <w:r w:rsidRPr="004C3C60">
        <w:t>.  Search parameters: Service Group = All, “Match only the following radio service(s)”, Radio Service =</w:t>
      </w:r>
      <w:r>
        <w:t xml:space="preserve"> WX</w:t>
      </w:r>
      <w:r w:rsidRPr="004C3C60">
        <w:t xml:space="preserve">; Authorization Type = </w:t>
      </w:r>
      <w:r>
        <w:t>All</w:t>
      </w:r>
      <w:r w:rsidRPr="004C3C60">
        <w:t>; Status = Active.  We note that the number of active licenses does not equate to the number of licensees.  A licensee can have one or more licenses.</w:t>
      </w:r>
    </w:p>
  </w:footnote>
  <w:footnote w:id="147">
    <w:p w:rsidR="009B6017" w:rsidP="009B6017" w14:paraId="67ECE639" w14:textId="77777777">
      <w:pPr>
        <w:pStyle w:val="FootnoteText"/>
      </w:pPr>
      <w:r>
        <w:rPr>
          <w:rStyle w:val="FootnoteReference"/>
        </w:rPr>
        <w:footnoteRef/>
      </w:r>
      <w:r>
        <w:t xml:space="preserve"> </w:t>
      </w:r>
      <w:r w:rsidRPr="00CE326F">
        <w:rPr>
          <w:i/>
          <w:iCs/>
        </w:rPr>
        <w:t>See</w:t>
      </w:r>
      <w:r w:rsidRPr="00CE326F">
        <w:t xml:space="preserve"> Federal Communications Commission, Economics and Analytics, Auctions, Auction</w:t>
      </w:r>
      <w:r>
        <w:t xml:space="preserve">s 44, 49, 60: Lower 700 MHz Band, Fact Sheet, Permissible Operations, </w:t>
      </w:r>
      <w:hyperlink r:id="rId36" w:history="1">
        <w:r w:rsidRPr="00B03D08">
          <w:rPr>
            <w:rStyle w:val="Hyperlink"/>
          </w:rPr>
          <w:t>https://www.fcc.gov/auction/44/factsheet</w:t>
        </w:r>
      </w:hyperlink>
      <w:r>
        <w:t xml:space="preserve">, </w:t>
      </w:r>
      <w:hyperlink r:id="rId37" w:history="1">
        <w:r w:rsidRPr="00B03D08">
          <w:rPr>
            <w:rStyle w:val="Hyperlink"/>
          </w:rPr>
          <w:t>https://www.fcc.gov/auction/49/factsheet</w:t>
        </w:r>
      </w:hyperlink>
      <w:r>
        <w:t xml:space="preserve">, </w:t>
      </w:r>
      <w:hyperlink r:id="rId38" w:history="1">
        <w:r w:rsidRPr="00B03D08">
          <w:rPr>
            <w:rStyle w:val="Hyperlink"/>
          </w:rPr>
          <w:t>https://www.fcc.gov/auction/60/factsheet</w:t>
        </w:r>
      </w:hyperlink>
      <w:r>
        <w:t xml:space="preserve">. </w:t>
      </w:r>
    </w:p>
  </w:footnote>
  <w:footnote w:id="148">
    <w:p w:rsidR="009B6017" w:rsidRPr="002A645E" w:rsidP="009B6017" w14:paraId="0648FEEA"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27" w:history="1">
        <w:r w:rsidRPr="006F6BD4">
          <w:rPr>
            <w:rStyle w:val="Hyperlink"/>
          </w:rPr>
          <w:t>https://www.census.gov/naics/?input=517312&amp;year=2017&amp;details=517312</w:t>
        </w:r>
      </w:hyperlink>
      <w:r w:rsidRPr="001E0CCE">
        <w:rPr>
          <w:rStyle w:val="Hyperlink"/>
        </w:rPr>
        <w:t>.</w:t>
      </w:r>
    </w:p>
  </w:footnote>
  <w:footnote w:id="149">
    <w:p w:rsidR="009B6017" w:rsidP="009B6017" w14:paraId="39680131"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150">
    <w:p w:rsidR="009B6017" w:rsidRPr="006B076E" w:rsidP="009B6017" w14:paraId="660298C1"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28" w:history="1">
        <w:r w:rsidRPr="00A211CF">
          <w:rPr>
            <w:rStyle w:val="Hyperlink"/>
          </w:rPr>
          <w:t>https://data.census.gov/cedsci/table?y=2017&amp;n=517312&amp;tid=ECNSIZE2017.EC1700SIZEEMPFIRM&amp;hidePreview=false</w:t>
        </w:r>
      </w:hyperlink>
      <w:r>
        <w:t xml:space="preserve">.  </w:t>
      </w:r>
    </w:p>
  </w:footnote>
  <w:footnote w:id="151">
    <w:p w:rsidR="009B6017" w:rsidRPr="006B076E" w:rsidP="009B6017" w14:paraId="0CAB09CB"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152">
    <w:p w:rsidR="009B6017" w:rsidRPr="00911E15" w:rsidP="009B6017" w14:paraId="18A376E2" w14:textId="77777777">
      <w:pPr>
        <w:pStyle w:val="FootnoteText"/>
      </w:pPr>
      <w:r w:rsidRPr="00911E15">
        <w:rPr>
          <w:rStyle w:val="FootnoteReference"/>
        </w:rPr>
        <w:footnoteRef/>
      </w:r>
      <w:r w:rsidRPr="00911E15">
        <w:t xml:space="preserve"> </w:t>
      </w:r>
      <w:r w:rsidRPr="00911E15">
        <w:t xml:space="preserve">Based on a FCC Universal Licensing System search on </w:t>
      </w:r>
      <w:r>
        <w:t>December 14</w:t>
      </w:r>
      <w:r w:rsidRPr="00911E15">
        <w:t>, 2021</w:t>
      </w:r>
      <w:r>
        <w:t xml:space="preserve">, </w:t>
      </w:r>
      <w:hyperlink r:id="rId30" w:history="1">
        <w:r w:rsidRPr="000A3BFB">
          <w:rPr>
            <w:rStyle w:val="Hyperlink"/>
          </w:rPr>
          <w:t>https://wireless2.fcc.gov/UlsApp/UlsSearch/searchAdvanced.jsp</w:t>
        </w:r>
      </w:hyperlink>
      <w:r w:rsidRPr="00911E15">
        <w:t xml:space="preserve">.  Search parameters: Service Group = All, “Match only the following radio service(s)”, Radio Service = </w:t>
      </w:r>
      <w:r>
        <w:t>WY, WZ</w:t>
      </w:r>
      <w:r w:rsidRPr="00911E15">
        <w:t xml:space="preserve">; Authorization Type = </w:t>
      </w:r>
      <w:r>
        <w:t>All</w:t>
      </w:r>
      <w:r w:rsidRPr="00911E15">
        <w:t>; Status = Active.  We note that the number of active licenses does not equate to the number of licensees.  A licensee can have one or more licenses.</w:t>
      </w:r>
    </w:p>
  </w:footnote>
  <w:footnote w:id="153">
    <w:p w:rsidR="009B6017" w:rsidP="009B6017" w14:paraId="5214702D" w14:textId="77777777">
      <w:pPr>
        <w:pStyle w:val="FootnoteText"/>
      </w:pPr>
      <w:r>
        <w:rPr>
          <w:rStyle w:val="FootnoteReference"/>
        </w:rPr>
        <w:footnoteRef/>
      </w:r>
      <w:r>
        <w:t xml:space="preserve"> </w:t>
      </w:r>
      <w:r w:rsidRPr="006D1AF0">
        <w:rPr>
          <w:i/>
          <w:iCs/>
        </w:rPr>
        <w:t>See</w:t>
      </w:r>
      <w:r w:rsidRPr="006D1AF0">
        <w:t xml:space="preserve"> 47 CFR § </w:t>
      </w:r>
      <w:r>
        <w:t>27.702</w:t>
      </w:r>
      <w:r w:rsidRPr="006D1AF0">
        <w:t>(a)(1)-(3).</w:t>
      </w:r>
      <w:r w:rsidRPr="0040574C">
        <w:rPr>
          <w:sz w:val="22"/>
          <w:szCs w:val="22"/>
        </w:rPr>
        <w:t xml:space="preserve"> </w:t>
      </w:r>
    </w:p>
  </w:footnote>
  <w:footnote w:id="154">
    <w:p w:rsidR="009B6017" w:rsidP="009B6017" w14:paraId="75205166" w14:textId="77777777">
      <w:pPr>
        <w:pStyle w:val="FootnoteText"/>
      </w:pPr>
      <w:r>
        <w:rPr>
          <w:vertAlign w:val="superscript"/>
        </w:rPr>
        <w:footnoteRef/>
      </w:r>
      <w:r>
        <w:rPr>
          <w:i/>
        </w:rPr>
        <w:t xml:space="preserve"> </w:t>
      </w:r>
      <w:r w:rsidRPr="00CE326F">
        <w:rPr>
          <w:i/>
          <w:iCs/>
        </w:rPr>
        <w:t>See</w:t>
      </w:r>
      <w:r w:rsidRPr="00CE326F">
        <w:t xml:space="preserve"> Federal Communications Commission, Economics and Analytics, Auctions, Auction </w:t>
      </w:r>
      <w:r>
        <w:t>44</w:t>
      </w:r>
      <w:r w:rsidRPr="00CE326F">
        <w:t xml:space="preserve">: </w:t>
      </w:r>
      <w:r>
        <w:t xml:space="preserve">Lower 700 MHz Guard Bands, Summary, Closing Charts, Licenses by Bidder, </w:t>
      </w:r>
      <w:hyperlink r:id="rId39" w:history="1">
        <w:r w:rsidRPr="00B03D08">
          <w:rPr>
            <w:rStyle w:val="Hyperlink"/>
          </w:rPr>
          <w:t>https://www.fcc.gov/sites/default/files/wireless/auctions/44/charts/44cls2.pdf</w:t>
        </w:r>
      </w:hyperlink>
      <w:r>
        <w:t xml:space="preserve">. </w:t>
      </w:r>
    </w:p>
  </w:footnote>
  <w:footnote w:id="155">
    <w:p w:rsidR="009B6017" w:rsidP="009B6017" w14:paraId="73DFBB33" w14:textId="77777777">
      <w:pPr>
        <w:pStyle w:val="FootnoteText"/>
      </w:pPr>
      <w:r>
        <w:rPr>
          <w:vertAlign w:val="superscript"/>
        </w:rPr>
        <w:footnoteRef/>
      </w:r>
      <w:r>
        <w:t xml:space="preserve"> </w:t>
      </w:r>
      <w:r w:rsidRPr="00CE326F">
        <w:rPr>
          <w:i/>
          <w:iCs/>
        </w:rPr>
        <w:t>See</w:t>
      </w:r>
      <w:r w:rsidRPr="00CE326F">
        <w:t xml:space="preserve"> Federal Communications Commission, Economics and Analytics, Auctions, Auction </w:t>
      </w:r>
      <w:r>
        <w:t>49</w:t>
      </w:r>
      <w:r w:rsidRPr="00CE326F">
        <w:t xml:space="preserve">: </w:t>
      </w:r>
      <w:r>
        <w:t xml:space="preserve">Lower 700 MHz Guard Bands, Summary, Closing Charts, Licenses by Bidder, </w:t>
      </w:r>
      <w:hyperlink r:id="rId40" w:history="1">
        <w:r w:rsidRPr="00B03D08">
          <w:rPr>
            <w:rStyle w:val="Hyperlink"/>
          </w:rPr>
          <w:t>https://www.fcc.gov/sites/default/files/wireless/auctions/49/charts/49cls2.pdf</w:t>
        </w:r>
      </w:hyperlink>
      <w:r>
        <w:t xml:space="preserve">. </w:t>
      </w:r>
    </w:p>
  </w:footnote>
  <w:footnote w:id="156">
    <w:p w:rsidR="009B6017" w:rsidP="009B6017" w14:paraId="691D8B30" w14:textId="77777777">
      <w:pPr>
        <w:pStyle w:val="FootnoteText"/>
      </w:pPr>
      <w:r>
        <w:rPr>
          <w:rStyle w:val="FootnoteReference"/>
        </w:rPr>
        <w:footnoteRef/>
      </w:r>
      <w:r>
        <w:t xml:space="preserve"> </w:t>
      </w:r>
      <w:r w:rsidRPr="00CE326F">
        <w:rPr>
          <w:i/>
          <w:iCs/>
        </w:rPr>
        <w:t>See</w:t>
      </w:r>
      <w:r w:rsidRPr="00CE326F">
        <w:t xml:space="preserve"> Federal Communications Commission, Economics and Analytics, Auctions, Auction </w:t>
      </w:r>
      <w:r>
        <w:t>60</w:t>
      </w:r>
      <w:r w:rsidRPr="00CE326F">
        <w:t xml:space="preserve">: </w:t>
      </w:r>
      <w:r>
        <w:t xml:space="preserve">Lower 700 MHz Guard Bands, Summary, Closing Charts, Licenses by Bidder, </w:t>
      </w:r>
      <w:hyperlink r:id="rId41" w:history="1">
        <w:r w:rsidRPr="00B03D08">
          <w:rPr>
            <w:rStyle w:val="Hyperlink"/>
          </w:rPr>
          <w:t>https://www.fcc.gov/sites/default/files/wireless/auctions/60/charts/60cls2.pdf</w:t>
        </w:r>
      </w:hyperlink>
      <w:r>
        <w:t xml:space="preserve">. </w:t>
      </w:r>
    </w:p>
  </w:footnote>
  <w:footnote w:id="157">
    <w:p w:rsidR="009B6017" w:rsidP="009B6017" w14:paraId="2D718D6D" w14:textId="77777777">
      <w:pPr>
        <w:pStyle w:val="FootnoteText"/>
      </w:pPr>
      <w:r>
        <w:rPr>
          <w:rStyle w:val="FootnoteReference"/>
        </w:rPr>
        <w:footnoteRef/>
      </w:r>
      <w:r>
        <w:t xml:space="preserve"> </w:t>
      </w:r>
      <w:r w:rsidRPr="00412DEE">
        <w:rPr>
          <w:i/>
          <w:iCs/>
        </w:rPr>
        <w:t>See</w:t>
      </w:r>
      <w:r>
        <w:t xml:space="preserve"> 47 CFR </w:t>
      </w:r>
      <w:r w:rsidRPr="000A048A">
        <w:t xml:space="preserve">§ </w:t>
      </w:r>
      <w:r>
        <w:t>27.4.</w:t>
      </w:r>
    </w:p>
  </w:footnote>
  <w:footnote w:id="158">
    <w:p w:rsidR="009B6017" w:rsidP="009B6017" w14:paraId="784B5208" w14:textId="77777777">
      <w:pPr>
        <w:pStyle w:val="FootnoteText"/>
      </w:pPr>
      <w:r>
        <w:rPr>
          <w:rStyle w:val="FootnoteReference"/>
        </w:rPr>
        <w:footnoteRef/>
      </w:r>
      <w:r>
        <w:t xml:space="preserve"> </w:t>
      </w:r>
      <w:r w:rsidRPr="00CE326F">
        <w:rPr>
          <w:i/>
          <w:iCs/>
        </w:rPr>
        <w:t>See</w:t>
      </w:r>
      <w:r w:rsidRPr="00CE326F">
        <w:t xml:space="preserve"> Federal Communications Commission, Economics and Analytics, Auctions, Auction</w:t>
      </w:r>
      <w:r>
        <w:t xml:space="preserve"> 73: 700 MHz Band, Fact Sheet, Permissible Operations, </w:t>
      </w:r>
      <w:hyperlink r:id="rId42" w:history="1">
        <w:r w:rsidRPr="00B03D08">
          <w:rPr>
            <w:rStyle w:val="Hyperlink"/>
          </w:rPr>
          <w:t>https://www.fcc.gov/auction/73/factsheet</w:t>
        </w:r>
      </w:hyperlink>
      <w:r>
        <w:t xml:space="preserve">. We note that in Auction 73, </w:t>
      </w:r>
      <w:r w:rsidRPr="00C8224B">
        <w:t>Upper 700 MHz Band C and D Blocks as well as Lower 700 MHz Band A, B, and E Blocks were auctioned.</w:t>
      </w:r>
    </w:p>
  </w:footnote>
  <w:footnote w:id="159">
    <w:p w:rsidR="009B6017" w:rsidRPr="002A645E" w:rsidP="009B6017" w14:paraId="7C96E906"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27" w:history="1">
        <w:r w:rsidRPr="006F6BD4">
          <w:rPr>
            <w:rStyle w:val="Hyperlink"/>
          </w:rPr>
          <w:t>https://www.census.gov/naics/?input=517312&amp;year=2017&amp;details=517312</w:t>
        </w:r>
      </w:hyperlink>
      <w:r w:rsidRPr="001E0CCE">
        <w:rPr>
          <w:rStyle w:val="Hyperlink"/>
        </w:rPr>
        <w:t>.</w:t>
      </w:r>
    </w:p>
  </w:footnote>
  <w:footnote w:id="160">
    <w:p w:rsidR="009B6017" w:rsidP="009B6017" w14:paraId="44768F94"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161">
    <w:p w:rsidR="009B6017" w:rsidRPr="006B076E" w:rsidP="009B6017" w14:paraId="136EF91C"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28" w:history="1">
        <w:r w:rsidRPr="00A211CF">
          <w:rPr>
            <w:rStyle w:val="Hyperlink"/>
          </w:rPr>
          <w:t>https://data.census.gov/cedsci/table?y=2017&amp;n=517312&amp;tid=ECNSIZE2017.EC1700SIZEEMPFIRM&amp;hidePreview=false</w:t>
        </w:r>
      </w:hyperlink>
      <w:r>
        <w:t xml:space="preserve">.  </w:t>
      </w:r>
    </w:p>
  </w:footnote>
  <w:footnote w:id="162">
    <w:p w:rsidR="009B6017" w:rsidRPr="006B076E" w:rsidP="009B6017" w14:paraId="23576092"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163">
    <w:p w:rsidR="009B6017" w:rsidRPr="00911E15" w:rsidP="009B6017" w14:paraId="6A2079C2" w14:textId="77777777">
      <w:pPr>
        <w:pStyle w:val="FootnoteText"/>
      </w:pPr>
      <w:r w:rsidRPr="00911E15">
        <w:rPr>
          <w:rStyle w:val="FootnoteReference"/>
        </w:rPr>
        <w:footnoteRef/>
      </w:r>
      <w:r w:rsidRPr="00911E15">
        <w:t xml:space="preserve"> </w:t>
      </w:r>
      <w:r w:rsidRPr="00911E15">
        <w:t xml:space="preserve">Based on a FCC Universal Licensing System search on </w:t>
      </w:r>
      <w:r>
        <w:t>December 14</w:t>
      </w:r>
      <w:r w:rsidRPr="00911E15">
        <w:t>, 2021</w:t>
      </w:r>
      <w:r>
        <w:t xml:space="preserve">, </w:t>
      </w:r>
      <w:hyperlink r:id="rId30" w:history="1">
        <w:r w:rsidRPr="000A3BFB">
          <w:rPr>
            <w:rStyle w:val="Hyperlink"/>
          </w:rPr>
          <w:t>https://wireless2.fcc.gov/UlsApp/UlsSearch/searchAdvanced.jsp</w:t>
        </w:r>
      </w:hyperlink>
      <w:r w:rsidRPr="00911E15">
        <w:t xml:space="preserve">.  Search parameters: Service Group = All, “Match only the following radio service(s)”, Radio Service = </w:t>
      </w:r>
      <w:r>
        <w:t>WP, WU</w:t>
      </w:r>
      <w:r w:rsidRPr="00911E15">
        <w:t xml:space="preserve">; Authorization Type = </w:t>
      </w:r>
      <w:r>
        <w:t>All</w:t>
      </w:r>
      <w:r w:rsidRPr="00911E15">
        <w:t>; Status = Active.  We note that the number of active licenses does not equate to the number of licensees.  A licensee can have one or more licenses.</w:t>
      </w:r>
    </w:p>
  </w:footnote>
  <w:footnote w:id="164">
    <w:p w:rsidR="009B6017" w:rsidRPr="002C21D5" w:rsidP="009B6017" w14:paraId="7AEBF492" w14:textId="77777777">
      <w:pPr>
        <w:pStyle w:val="FootnoteText"/>
      </w:pPr>
      <w:r w:rsidRPr="002C21D5">
        <w:rPr>
          <w:rStyle w:val="Footnote"/>
          <w:vertAlign w:val="superscript"/>
        </w:rPr>
        <w:footnoteRef/>
      </w:r>
      <w:r>
        <w:rPr>
          <w:rStyle w:val="Footnote"/>
          <w:i/>
        </w:rPr>
        <w:t xml:space="preserve"> </w:t>
      </w:r>
      <w:r>
        <w:rPr>
          <w:rStyle w:val="Footnote"/>
          <w:i/>
        </w:rPr>
        <w:t xml:space="preserve">See </w:t>
      </w:r>
      <w:r w:rsidRPr="00924F09">
        <w:rPr>
          <w:rStyle w:val="Footnote"/>
          <w:iCs/>
        </w:rPr>
        <w:t xml:space="preserve">47 CFR </w:t>
      </w:r>
      <w:r w:rsidRPr="00924F09">
        <w:rPr>
          <w:iCs/>
        </w:rPr>
        <w:t>§ 27.502</w:t>
      </w:r>
      <w:r>
        <w:rPr>
          <w:iCs/>
        </w:rPr>
        <w:t>(a)</w:t>
      </w:r>
      <w:r w:rsidRPr="00924F09">
        <w:rPr>
          <w:rStyle w:val="Footnote"/>
          <w:iCs/>
        </w:rPr>
        <w:t>.</w:t>
      </w:r>
    </w:p>
  </w:footnote>
  <w:footnote w:id="165">
    <w:p w:rsidR="009B6017" w:rsidP="009B6017" w14:paraId="491270DC" w14:textId="77777777">
      <w:pPr>
        <w:pStyle w:val="FootnoteText"/>
      </w:pPr>
      <w:r>
        <w:rPr>
          <w:rStyle w:val="FootnoteReference"/>
        </w:rPr>
        <w:footnoteRef/>
      </w:r>
      <w:r>
        <w:t xml:space="preserve"> </w:t>
      </w:r>
      <w:r w:rsidRPr="008C0E28">
        <w:rPr>
          <w:i/>
          <w:iCs/>
        </w:rPr>
        <w:t>See Auction of 700 MHz Band Licenses Closes; Winning Bidders Announced for Auction 73</w:t>
      </w:r>
      <w:r w:rsidRPr="00BE4934">
        <w:t>, Public Notice, DA-08-595, A</w:t>
      </w:r>
      <w:r>
        <w:t>tta</w:t>
      </w:r>
      <w:r w:rsidRPr="00BE4934">
        <w:t>chment A, Report No. AUC-08-73-I (Auction 73)</w:t>
      </w:r>
      <w:r>
        <w:t xml:space="preserve"> </w:t>
      </w:r>
      <w:r w:rsidRPr="00BE4934">
        <w:t>(March 20, 2008)</w:t>
      </w:r>
      <w:r>
        <w:t xml:space="preserve">.  The results for </w:t>
      </w:r>
      <w:r w:rsidRPr="00C8224B">
        <w:t>Upper 700 MHz Band C</w:t>
      </w:r>
      <w:r>
        <w:t xml:space="preserve"> Block can be found on pp. 62-63.</w:t>
      </w:r>
    </w:p>
  </w:footnote>
  <w:footnote w:id="166">
    <w:p w:rsidR="009B6017" w:rsidRPr="00910B82" w:rsidP="009B6017" w14:paraId="63809072" w14:textId="77777777">
      <w:pPr>
        <w:rPr>
          <w:sz w:val="20"/>
        </w:rPr>
      </w:pPr>
      <w:r w:rsidRPr="00910B82">
        <w:rPr>
          <w:rStyle w:val="FootnoteReference"/>
        </w:rPr>
        <w:footnoteRef/>
      </w:r>
      <w:r w:rsidRPr="00910B82">
        <w:rPr>
          <w:sz w:val="20"/>
        </w:rPr>
        <w:t xml:space="preserve"> </w:t>
      </w:r>
      <w:r w:rsidRPr="00910B82">
        <w:rPr>
          <w:i/>
          <w:iCs/>
          <w:sz w:val="20"/>
        </w:rPr>
        <w:t>See</w:t>
      </w:r>
      <w:r w:rsidRPr="00910B82">
        <w:rPr>
          <w:sz w:val="20"/>
        </w:rPr>
        <w:t xml:space="preserve"> 47 CFR § 27.1(b).</w:t>
      </w:r>
    </w:p>
  </w:footnote>
  <w:footnote w:id="167">
    <w:p w:rsidR="009B6017" w:rsidRPr="002A645E" w:rsidP="009B6017" w14:paraId="56324E2A"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27" w:history="1">
        <w:r w:rsidRPr="006F6BD4">
          <w:rPr>
            <w:rStyle w:val="Hyperlink"/>
          </w:rPr>
          <w:t>https://www.census.gov/naics/?input=517312&amp;year=2017&amp;details=517312</w:t>
        </w:r>
      </w:hyperlink>
      <w:r w:rsidRPr="009436CA">
        <w:rPr>
          <w:rStyle w:val="Hyperlink"/>
        </w:rPr>
        <w:t>.</w:t>
      </w:r>
    </w:p>
  </w:footnote>
  <w:footnote w:id="168">
    <w:p w:rsidR="009B6017" w:rsidP="009B6017" w14:paraId="62ED788C"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169">
    <w:p w:rsidR="009B6017" w:rsidRPr="006B076E" w:rsidP="009B6017" w14:paraId="4B368427"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28" w:history="1">
        <w:r w:rsidRPr="00A211CF">
          <w:rPr>
            <w:rStyle w:val="Hyperlink"/>
          </w:rPr>
          <w:t>https://data.census.gov/cedsci/table?y=2017&amp;n=517312&amp;tid=ECNSIZE2017.EC1700SIZEEMPFIRM&amp;hidePreview=false</w:t>
        </w:r>
      </w:hyperlink>
      <w:r>
        <w:t xml:space="preserve">.  </w:t>
      </w:r>
    </w:p>
  </w:footnote>
  <w:footnote w:id="170">
    <w:p w:rsidR="009B6017" w:rsidRPr="006B076E" w:rsidP="009B6017" w14:paraId="05789839"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171">
    <w:p w:rsidR="009B6017" w:rsidRPr="00C51F11" w:rsidP="009B6017" w14:paraId="7E748431" w14:textId="77777777">
      <w:pPr>
        <w:pStyle w:val="FootnoteText"/>
      </w:pPr>
      <w:r w:rsidRPr="00C51F11">
        <w:rPr>
          <w:rStyle w:val="FootnoteReference"/>
        </w:rPr>
        <w:footnoteRef/>
      </w:r>
      <w:r w:rsidRPr="00C51F11">
        <w:t xml:space="preserve"> </w:t>
      </w:r>
      <w:r w:rsidRPr="004C3C60">
        <w:t>Based on a FCC Universal Licensing System search on Dec</w:t>
      </w:r>
      <w:r>
        <w:t>ember</w:t>
      </w:r>
      <w:r w:rsidRPr="004C3C60">
        <w:t xml:space="preserve"> </w:t>
      </w:r>
      <w:r>
        <w:t>10</w:t>
      </w:r>
      <w:r w:rsidRPr="004C3C60">
        <w:t>, 2021</w:t>
      </w:r>
      <w:r>
        <w:t>,</w:t>
      </w:r>
      <w:r w:rsidRPr="004C3C60">
        <w:t xml:space="preserve"> </w:t>
      </w:r>
      <w:hyperlink r:id="rId30" w:history="1">
        <w:r w:rsidRPr="004C3C60">
          <w:rPr>
            <w:rStyle w:val="Hyperlink"/>
          </w:rPr>
          <w:t>https://wireless2.fcc.gov/UlsApp/UlsSearch/searchAdvanced.jsp</w:t>
        </w:r>
      </w:hyperlink>
      <w:r w:rsidRPr="004C3C60">
        <w:t xml:space="preserve">.  Search parameters: Service Group = All, “Match only the following radio service(s)”, Radio Service = </w:t>
      </w:r>
      <w:r>
        <w:t>AD, AH, AT, AW</w:t>
      </w:r>
      <w:r w:rsidRPr="004C3C60">
        <w:t xml:space="preserve">; Authorization Type = </w:t>
      </w:r>
      <w:r>
        <w:t>All</w:t>
      </w:r>
      <w:r w:rsidRPr="004C3C60">
        <w:t>; Status = Active.  We note that the number of active licenses does not equate to the number of licensees.  A licensee can have one or more licenses.</w:t>
      </w:r>
    </w:p>
  </w:footnote>
  <w:footnote w:id="172">
    <w:p w:rsidR="009B6017" w:rsidRPr="00E01755" w:rsidP="009B6017" w14:paraId="57004290" w14:textId="77777777">
      <w:pPr>
        <w:rPr>
          <w:sz w:val="20"/>
        </w:rPr>
      </w:pPr>
      <w:r w:rsidRPr="00E01755">
        <w:rPr>
          <w:rStyle w:val="FootnoteReference"/>
        </w:rPr>
        <w:footnoteRef/>
      </w:r>
      <w:r w:rsidRPr="00E01755">
        <w:rPr>
          <w:i/>
          <w:iCs/>
          <w:sz w:val="20"/>
        </w:rPr>
        <w:t xml:space="preserve"> </w:t>
      </w:r>
      <w:r w:rsidRPr="00E01755">
        <w:rPr>
          <w:i/>
          <w:iCs/>
          <w:sz w:val="20"/>
        </w:rPr>
        <w:t>See</w:t>
      </w:r>
      <w:r w:rsidRPr="00E01755">
        <w:rPr>
          <w:sz w:val="20"/>
        </w:rPr>
        <w:t xml:space="preserve"> 47 CFR §§ 27.1002, 27.1102, 27.1104, 27.1106.</w:t>
      </w:r>
    </w:p>
  </w:footnote>
  <w:footnote w:id="173">
    <w:p w:rsidR="009B6017" w:rsidRPr="005D430A" w:rsidP="009B6017" w14:paraId="40066468" w14:textId="77777777">
      <w:pPr>
        <w:pStyle w:val="FootnoteText"/>
      </w:pPr>
      <w:r w:rsidRPr="005D430A">
        <w:rPr>
          <w:rStyle w:val="FootnoteReference"/>
        </w:rPr>
        <w:footnoteRef/>
      </w:r>
      <w:r w:rsidRPr="005D430A">
        <w:t xml:space="preserve"> </w:t>
      </w:r>
      <w:r w:rsidRPr="005D430A">
        <w:rPr>
          <w:i/>
          <w:iCs/>
        </w:rPr>
        <w:t>See</w:t>
      </w:r>
      <w:r w:rsidRPr="005D430A">
        <w:t xml:space="preserve"> Federal Communications Commission, Economics and Analytics, Auctions, Auction </w:t>
      </w:r>
      <w:r>
        <w:t>66</w:t>
      </w:r>
      <w:r w:rsidRPr="005D430A">
        <w:t>:</w:t>
      </w:r>
      <w:r w:rsidRPr="006C2851">
        <w:t xml:space="preserve"> Advanced Wireless Services (AWS-1)</w:t>
      </w:r>
      <w:r>
        <w:t>, Summary, Spreadsheets,</w:t>
      </w:r>
      <w:r w:rsidRPr="006C2851">
        <w:t xml:space="preserve"> </w:t>
      </w:r>
      <w:hyperlink r:id="rId43" w:history="1">
        <w:r w:rsidRPr="004D1D9B">
          <w:rPr>
            <w:rStyle w:val="Hyperlink"/>
          </w:rPr>
          <w:t>https://www.fcc.gov/sites/default/files/wireless/auctions/66/charts/66cls2.pdf</w:t>
        </w:r>
      </w:hyperlink>
      <w:r>
        <w:t xml:space="preserve">. </w:t>
      </w:r>
    </w:p>
  </w:footnote>
  <w:footnote w:id="174">
    <w:p w:rsidR="009B6017" w:rsidRPr="000664D1" w:rsidP="009B6017" w14:paraId="5046B84E" w14:textId="77777777">
      <w:pPr>
        <w:pStyle w:val="ParaNum"/>
        <w:widowControl/>
        <w:numPr>
          <w:ilvl w:val="0"/>
          <w:numId w:val="0"/>
        </w:numPr>
        <w:rPr>
          <w:snapToGrid/>
          <w:color w:val="000000"/>
          <w:sz w:val="20"/>
        </w:rPr>
      </w:pPr>
      <w:r w:rsidRPr="005D430A">
        <w:rPr>
          <w:rStyle w:val="FootnoteReference"/>
        </w:rPr>
        <w:footnoteRef/>
      </w:r>
      <w:r w:rsidRPr="005D430A">
        <w:rPr>
          <w:sz w:val="20"/>
        </w:rPr>
        <w:t xml:space="preserve"> </w:t>
      </w:r>
      <w:r w:rsidRPr="00A420CD">
        <w:rPr>
          <w:i/>
          <w:iCs/>
          <w:sz w:val="20"/>
        </w:rPr>
        <w:t>See</w:t>
      </w:r>
      <w:r w:rsidRPr="00A420CD">
        <w:rPr>
          <w:sz w:val="20"/>
        </w:rPr>
        <w:t xml:space="preserve"> </w:t>
      </w:r>
      <w:r w:rsidRPr="00CC6606">
        <w:rPr>
          <w:i/>
          <w:iCs/>
          <w:sz w:val="20"/>
        </w:rPr>
        <w:t>Auction of Advanced Wireless Services (AWS-3) Licenses Closes; Winning Bidders Announced for Auction 97</w:t>
      </w:r>
      <w:r w:rsidRPr="00A420CD">
        <w:rPr>
          <w:sz w:val="20"/>
        </w:rPr>
        <w:t>, Public Notice, DA-15-131, Attachments A-B, (Auction No. 97) (January 30, 2015).</w:t>
      </w:r>
    </w:p>
  </w:footnote>
  <w:footnote w:id="175">
    <w:p w:rsidR="009B6017" w:rsidP="009B6017" w14:paraId="44196FF6" w14:textId="77777777">
      <w:pPr>
        <w:pStyle w:val="FootnoteText"/>
      </w:pPr>
      <w:r>
        <w:rPr>
          <w:rStyle w:val="FootnoteReference"/>
        </w:rPr>
        <w:footnoteRef/>
      </w:r>
      <w:r>
        <w:t xml:space="preserve"> </w:t>
      </w:r>
      <w:r>
        <w:t>The</w:t>
      </w:r>
      <w:r w:rsidRPr="00CD0C6A">
        <w:t xml:space="preserve"> use of the term "wireless cable" does not imply that it constitutes cable television for statutory or regulatory purposes.</w:t>
      </w:r>
    </w:p>
  </w:footnote>
  <w:footnote w:id="176">
    <w:p w:rsidR="009B6017" w:rsidRPr="00C11AD7" w:rsidP="009B6017" w14:paraId="1EE9123A" w14:textId="77777777">
      <w:pPr>
        <w:pStyle w:val="ParaNum"/>
        <w:widowControl/>
        <w:numPr>
          <w:ilvl w:val="0"/>
          <w:numId w:val="0"/>
        </w:numPr>
        <w:rPr>
          <w:sz w:val="20"/>
        </w:rPr>
      </w:pPr>
      <w:r w:rsidRPr="00D727B2">
        <w:rPr>
          <w:rStyle w:val="FootnoteReference"/>
        </w:rPr>
        <w:footnoteRef/>
      </w:r>
      <w:r w:rsidRPr="00D727B2">
        <w:rPr>
          <w:sz w:val="20"/>
        </w:rPr>
        <w:t xml:space="preserve"> </w:t>
      </w:r>
      <w:r w:rsidRPr="00C11AD7">
        <w:rPr>
          <w:i/>
          <w:iCs/>
          <w:sz w:val="20"/>
        </w:rPr>
        <w:t>See</w:t>
      </w:r>
      <w:r w:rsidRPr="00C11AD7">
        <w:rPr>
          <w:sz w:val="20"/>
        </w:rPr>
        <w:t xml:space="preserve"> 47 CFR § 27.4; </w:t>
      </w:r>
      <w:r w:rsidRPr="00C11AD7">
        <w:rPr>
          <w:i/>
          <w:iCs/>
          <w:sz w:val="20"/>
        </w:rPr>
        <w:t xml:space="preserve">see also </w:t>
      </w:r>
      <w:r w:rsidRPr="00C11AD7">
        <w:rPr>
          <w:i/>
          <w:sz w:val="20"/>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C11AD7">
        <w:rPr>
          <w:sz w:val="20"/>
        </w:rPr>
        <w:t xml:space="preserve">, Report and Order, 10 FCC </w:t>
      </w:r>
      <w:r w:rsidRPr="00C11AD7">
        <w:rPr>
          <w:sz w:val="20"/>
        </w:rPr>
        <w:t>Rcd</w:t>
      </w:r>
      <w:r w:rsidRPr="00C11AD7">
        <w:rPr>
          <w:sz w:val="20"/>
        </w:rPr>
        <w:t xml:space="preserve"> 9589, 9593, para. 7 (1995).</w:t>
      </w:r>
    </w:p>
  </w:footnote>
  <w:footnote w:id="177">
    <w:p w:rsidR="009B6017" w:rsidP="009B6017" w14:paraId="6E6CF716" w14:textId="77777777">
      <w:pPr>
        <w:pStyle w:val="ParaNum"/>
        <w:widowControl/>
        <w:numPr>
          <w:ilvl w:val="0"/>
          <w:numId w:val="0"/>
        </w:numPr>
      </w:pPr>
      <w:r w:rsidRPr="006B4066">
        <w:rPr>
          <w:rStyle w:val="FootnoteReference"/>
        </w:rPr>
        <w:footnoteRef/>
      </w:r>
      <w:r w:rsidRPr="006B4066">
        <w:rPr>
          <w:sz w:val="20"/>
        </w:rPr>
        <w:t xml:space="preserve"> </w:t>
      </w:r>
      <w:r w:rsidRPr="006B4066">
        <w:rPr>
          <w:sz w:val="20"/>
        </w:rPr>
        <w:t>Generally, a wireless cable system may be described as a microwave station transmitting on a combination of BRS and EBS channels to numerous receivers with antennas, such as single-family residences, apartment complexes, hotels, educational institutions, business entities and governmental offices. The range of the transmission depends upon the transmitter power, the type of receiving antenna and the existence of a line-of-sight path between the transmitter or signal booster and the receiving antenna.</w:t>
      </w:r>
      <w:r>
        <w:rPr>
          <w:sz w:val="20"/>
        </w:rPr>
        <w:t xml:space="preserve"> </w:t>
      </w:r>
    </w:p>
  </w:footnote>
  <w:footnote w:id="178">
    <w:p w:rsidR="009B6017" w:rsidRPr="002A645E" w:rsidP="009B6017" w14:paraId="654FF3C9"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27" w:history="1">
        <w:r w:rsidRPr="006F6BD4">
          <w:rPr>
            <w:rStyle w:val="Hyperlink"/>
          </w:rPr>
          <w:t>https://www.census.gov/naics/?input=517312&amp;year=2017&amp;details=517312</w:t>
        </w:r>
      </w:hyperlink>
      <w:r w:rsidRPr="004151B5">
        <w:rPr>
          <w:rStyle w:val="Hyperlink"/>
        </w:rPr>
        <w:t>.</w:t>
      </w:r>
    </w:p>
  </w:footnote>
  <w:footnote w:id="179">
    <w:p w:rsidR="009B6017" w:rsidP="009B6017" w14:paraId="47485C55"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180">
    <w:p w:rsidR="009B6017" w:rsidRPr="006B076E" w:rsidP="009B6017" w14:paraId="3E0AFB73"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28" w:history="1">
        <w:r w:rsidRPr="00A211CF">
          <w:rPr>
            <w:rStyle w:val="Hyperlink"/>
          </w:rPr>
          <w:t>https://data.census.gov/cedsci/table?y=2017&amp;n=517312&amp;tid=ECNSIZE2017.EC1700SIZEEMPFIRM&amp;hidePreview=false</w:t>
        </w:r>
      </w:hyperlink>
      <w:r>
        <w:t xml:space="preserve">.  </w:t>
      </w:r>
    </w:p>
  </w:footnote>
  <w:footnote w:id="181">
    <w:p w:rsidR="009B6017" w:rsidRPr="006B076E" w:rsidP="009B6017" w14:paraId="465D4B0F"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182">
    <w:p w:rsidR="009B6017" w:rsidRPr="00C51F11" w:rsidP="009B6017" w14:paraId="041567F4" w14:textId="77777777">
      <w:pPr>
        <w:pStyle w:val="FootnoteText"/>
      </w:pPr>
      <w:r w:rsidRPr="00C51F11">
        <w:rPr>
          <w:rStyle w:val="FootnoteReference"/>
        </w:rPr>
        <w:footnoteRef/>
      </w:r>
      <w:r w:rsidRPr="00C51F11">
        <w:t xml:space="preserve"> </w:t>
      </w:r>
      <w:r w:rsidRPr="004C3C60">
        <w:t>Based on a FCC Universal Licensing System search on Dec</w:t>
      </w:r>
      <w:r>
        <w:t>ember</w:t>
      </w:r>
      <w:r w:rsidRPr="004C3C60">
        <w:t xml:space="preserve"> </w:t>
      </w:r>
      <w:r>
        <w:t>10</w:t>
      </w:r>
      <w:r w:rsidRPr="004C3C60">
        <w:t>, 2021</w:t>
      </w:r>
      <w:r>
        <w:t>,</w:t>
      </w:r>
      <w:r w:rsidRPr="004C3C60">
        <w:t xml:space="preserve">  </w:t>
      </w:r>
      <w:hyperlink r:id="rId30" w:history="1">
        <w:r w:rsidRPr="004C3C60">
          <w:rPr>
            <w:rStyle w:val="Hyperlink"/>
          </w:rPr>
          <w:t>https://wireless2.fcc.gov/UlsApp/UlsSearch/searchAdvanced.jsp</w:t>
        </w:r>
      </w:hyperlink>
      <w:r w:rsidRPr="004C3C60">
        <w:t>.  Search parameters: Service Group = All, “Match only the following radio service(s)”, Radio Service =</w:t>
      </w:r>
      <w:r>
        <w:t>BR, ED</w:t>
      </w:r>
      <w:r w:rsidRPr="004C3C60">
        <w:t xml:space="preserve">; Authorization Type = </w:t>
      </w:r>
      <w:r>
        <w:t>All</w:t>
      </w:r>
      <w:r w:rsidRPr="004C3C60">
        <w:t>; Status = Active.  We note that the number of active licenses does not equate to the number of licensees.  A licensee can have one or more licenses.</w:t>
      </w:r>
    </w:p>
  </w:footnote>
  <w:footnote w:id="183">
    <w:p w:rsidR="009B6017" w:rsidRPr="00FD008E" w:rsidP="009B6017" w14:paraId="4441A587" w14:textId="77777777">
      <w:pPr>
        <w:pStyle w:val="FootnoteText"/>
      </w:pPr>
      <w:r w:rsidRPr="00FD008E">
        <w:rPr>
          <w:rStyle w:val="FootnoteReference"/>
        </w:rPr>
        <w:footnoteRef/>
      </w:r>
      <w:r w:rsidRPr="00FD008E">
        <w:rPr>
          <w:i/>
          <w:iCs/>
        </w:rPr>
        <w:t xml:space="preserve"> </w:t>
      </w:r>
      <w:r w:rsidRPr="00FD008E">
        <w:rPr>
          <w:i/>
          <w:iCs/>
        </w:rPr>
        <w:t xml:space="preserve">See </w:t>
      </w:r>
      <w:r w:rsidRPr="00FD008E">
        <w:t xml:space="preserve">47 CFR </w:t>
      </w:r>
      <w:r w:rsidRPr="00FD008E">
        <w:rPr>
          <w:color w:val="201F1E"/>
          <w:shd w:val="clear" w:color="auto" w:fill="FFFFFF"/>
        </w:rPr>
        <w:t>§ 27.1218</w:t>
      </w:r>
      <w:r>
        <w:rPr>
          <w:color w:val="201F1E"/>
          <w:shd w:val="clear" w:color="auto" w:fill="FFFFFF"/>
        </w:rPr>
        <w:t>(a)</w:t>
      </w:r>
      <w:r w:rsidRPr="00FD008E">
        <w:rPr>
          <w:color w:val="201F1E"/>
          <w:shd w:val="clear" w:color="auto" w:fill="FFFFFF"/>
        </w:rPr>
        <w:t>. </w:t>
      </w:r>
    </w:p>
  </w:footnote>
  <w:footnote w:id="184">
    <w:p w:rsidR="009B6017" w:rsidRPr="00FD008E" w:rsidP="009B6017" w14:paraId="2577F420" w14:textId="77777777">
      <w:pPr>
        <w:pStyle w:val="FootnoteText"/>
        <w:rPr>
          <w:iCs/>
        </w:rPr>
      </w:pPr>
      <w:r w:rsidRPr="00FD008E">
        <w:rPr>
          <w:rStyle w:val="FootnoteReference"/>
        </w:rPr>
        <w:footnoteRef/>
      </w:r>
      <w:r w:rsidRPr="00FD008E">
        <w:rPr>
          <w:i/>
        </w:rPr>
        <w:t xml:space="preserve"> </w:t>
      </w:r>
      <w:r w:rsidRPr="00FD008E">
        <w:rPr>
          <w:i/>
        </w:rPr>
        <w:t>See</w:t>
      </w:r>
      <w:r w:rsidRPr="00FD008E">
        <w:rPr>
          <w:i/>
          <w:iCs/>
        </w:rPr>
        <w:t xml:space="preserve"> </w:t>
      </w:r>
      <w:r w:rsidRPr="00FD008E">
        <w:t xml:space="preserve">Federal Communications Commission, Economics and Analytics, Auctions, Auction 86: Broadband Radio Service, Summary, Reports, All Bidders, </w:t>
      </w:r>
      <w:hyperlink r:id="rId44" w:history="1">
        <w:r w:rsidRPr="00FD008E">
          <w:rPr>
            <w:rStyle w:val="Hyperlink"/>
            <w:iCs/>
          </w:rPr>
          <w:t>https://www.fcc.gov/sites/default/files/wireless/auctions/86/charts/86bidder.xls</w:t>
        </w:r>
      </w:hyperlink>
      <w:r w:rsidRPr="00FD008E">
        <w:rPr>
          <w:iCs/>
        </w:rPr>
        <w:t xml:space="preserve">. </w:t>
      </w:r>
    </w:p>
  </w:footnote>
  <w:footnote w:id="185">
    <w:p w:rsidR="009B6017" w:rsidRPr="00FD008E" w:rsidP="009B6017" w14:paraId="05DD3F6D" w14:textId="77777777">
      <w:pPr>
        <w:pStyle w:val="FootnoteText"/>
      </w:pPr>
      <w:r w:rsidRPr="00FD008E">
        <w:rPr>
          <w:rStyle w:val="FootnoteReference"/>
        </w:rPr>
        <w:footnoteRef/>
      </w:r>
      <w:r w:rsidRPr="00FD008E">
        <w:t xml:space="preserve"> </w:t>
      </w:r>
      <w:r w:rsidRPr="00FD008E">
        <w:t xml:space="preserve">Based on a FCC Universal Licensing System search on December 10, 2021,  </w:t>
      </w:r>
      <w:hyperlink r:id="rId30" w:history="1">
        <w:r w:rsidRPr="00FD008E">
          <w:rPr>
            <w:rStyle w:val="Hyperlink"/>
          </w:rPr>
          <w:t>https://wireless2.fcc.gov/UlsApp/UlsSearch/searchAdvanced.jsp</w:t>
        </w:r>
      </w:hyperlink>
      <w:r w:rsidRPr="00FD008E">
        <w:t>.  Search parameters: Service Group = All, “Match only the following radio service(s)”, Radio Service =BR; Authorization Type = All; Status = Active.  We note that the number of active licenses does not equate to the number of licensees.  A licensee can have one or more licenses.</w:t>
      </w:r>
    </w:p>
  </w:footnote>
  <w:footnote w:id="186">
    <w:p w:rsidR="009B6017" w:rsidRPr="00FD008E" w:rsidP="009B6017" w14:paraId="13D6FD3C" w14:textId="77777777">
      <w:pPr>
        <w:pStyle w:val="FootnoteText"/>
      </w:pPr>
      <w:r w:rsidRPr="00FD008E">
        <w:rPr>
          <w:rStyle w:val="FootnoteReference"/>
        </w:rPr>
        <w:footnoteRef/>
      </w:r>
      <w:r w:rsidRPr="00FD008E">
        <w:t xml:space="preserve"> </w:t>
      </w:r>
      <w:r w:rsidRPr="00FD008E">
        <w:rPr>
          <w:i/>
          <w:iCs/>
        </w:rPr>
        <w:t>See</w:t>
      </w:r>
      <w:r w:rsidRPr="00FD008E">
        <w:t xml:space="preserve"> 47 CFR </w:t>
      </w:r>
      <w:r w:rsidRPr="00FD008E">
        <w:rPr>
          <w:color w:val="201F1E"/>
          <w:shd w:val="clear" w:color="auto" w:fill="FFFFFF"/>
        </w:rPr>
        <w:t>§ 27.1219</w:t>
      </w:r>
      <w:r>
        <w:rPr>
          <w:color w:val="201F1E"/>
          <w:shd w:val="clear" w:color="auto" w:fill="FFFFFF"/>
        </w:rPr>
        <w:t>(a)</w:t>
      </w:r>
      <w:r w:rsidRPr="00FD008E">
        <w:rPr>
          <w:color w:val="201F1E"/>
          <w:shd w:val="clear" w:color="auto" w:fill="FFFFFF"/>
        </w:rPr>
        <w:t>. </w:t>
      </w:r>
    </w:p>
  </w:footnote>
  <w:footnote w:id="187">
    <w:p w:rsidR="009B6017" w:rsidRPr="001F233F" w:rsidP="009B6017" w14:paraId="39BDA8F6" w14:textId="77777777">
      <w:pPr>
        <w:pStyle w:val="FootnoteText"/>
        <w:rPr>
          <w:b/>
          <w:bCs/>
          <w:sz w:val="24"/>
          <w:szCs w:val="24"/>
        </w:rPr>
      </w:pPr>
      <w:r w:rsidRPr="003B1F31">
        <w:rPr>
          <w:rStyle w:val="FootnoteReference"/>
        </w:rPr>
        <w:footnoteRef/>
      </w:r>
      <w:r w:rsidRPr="003B1F31">
        <w:t xml:space="preserve"> </w:t>
      </w:r>
      <w:r w:rsidRPr="002A4C00">
        <w:rPr>
          <w:i/>
          <w:iCs/>
        </w:rPr>
        <w:t>See</w:t>
      </w:r>
      <w:r>
        <w:t xml:space="preserve"> </w:t>
      </w:r>
      <w:r w:rsidRPr="003B1F31">
        <w:t xml:space="preserve">U.S. Census Bureau, </w:t>
      </w:r>
      <w:r w:rsidRPr="003B1F31">
        <w:rPr>
          <w:i/>
        </w:rPr>
        <w:t>201</w:t>
      </w:r>
      <w:r>
        <w:rPr>
          <w:i/>
        </w:rPr>
        <w:t>7</w:t>
      </w:r>
      <w:r w:rsidRPr="003B1F31">
        <w:rPr>
          <w:i/>
        </w:rPr>
        <w:t xml:space="preserve"> NAICS Definition</w:t>
      </w:r>
      <w:r>
        <w:rPr>
          <w:i/>
        </w:rPr>
        <w:t>, “</w:t>
      </w:r>
      <w:r>
        <w:rPr>
          <w:bCs/>
          <w:i/>
        </w:rPr>
        <w:t>517311</w:t>
      </w:r>
      <w:r w:rsidRPr="003B1F31">
        <w:rPr>
          <w:bCs/>
          <w:i/>
        </w:rPr>
        <w:t xml:space="preserve"> Wired Telecommunications Carriers</w:t>
      </w:r>
      <w:r>
        <w:rPr>
          <w:bCs/>
          <w:i/>
        </w:rPr>
        <w:t>,”</w:t>
      </w:r>
      <w:r w:rsidRPr="001F233F">
        <w:t xml:space="preserve"> </w:t>
      </w:r>
      <w:hyperlink r:id="rId45" w:history="1">
        <w:r w:rsidRPr="00240E60">
          <w:rPr>
            <w:rStyle w:val="Hyperlink"/>
          </w:rPr>
          <w:t>https://www.census.gov/naics/?input=517311&amp;year=2017&amp;details=517311</w:t>
        </w:r>
      </w:hyperlink>
      <w:r w:rsidRPr="00F66029">
        <w:rPr>
          <w:rStyle w:val="Hyperlink"/>
        </w:rPr>
        <w:t>.</w:t>
      </w:r>
      <w:r>
        <w:rPr>
          <w:rStyle w:val="Hyperlink"/>
        </w:rPr>
        <w:t xml:space="preserve"> </w:t>
      </w:r>
      <w:r w:rsidRPr="00F66029">
        <w:rPr>
          <w:bCs/>
        </w:rPr>
        <w:t xml:space="preserve"> </w:t>
      </w:r>
      <w:r w:rsidRPr="003B1F31">
        <w:rPr>
          <w:bCs/>
        </w:rPr>
        <w:t>Examples of this category are:  broadband Internet service providers (e.g</w:t>
      </w:r>
      <w:r w:rsidRPr="003B1F31">
        <w:rPr>
          <w:bCs/>
          <w:i/>
        </w:rPr>
        <w:t>.</w:t>
      </w:r>
      <w:r w:rsidRPr="003B1F31">
        <w:rPr>
          <w:bCs/>
        </w:rPr>
        <w:t>, cable, DSL); local telephone carriers (wired); cable television distribution services; long-distance telephone carriers (wired); closed circuit television (CCTV) services; VoIP service providers, using owner operated wired telecommunications infrastructure; direct-to-home satellite system (DTH) services; telecommunications carriers (wired); satellite television distribution systems; and multichannel multipoint distribution services (MMDS).</w:t>
      </w:r>
    </w:p>
  </w:footnote>
  <w:footnote w:id="188">
    <w:p w:rsidR="009B6017" w:rsidP="009B6017" w14:paraId="3C07A7C1" w14:textId="77777777">
      <w:pPr>
        <w:pStyle w:val="FootnoteText"/>
      </w:pPr>
      <w:r>
        <w:rPr>
          <w:rStyle w:val="FootnoteReference"/>
        </w:rPr>
        <w:footnoteRef/>
      </w:r>
      <w:r>
        <w:t xml:space="preserve"> </w:t>
      </w:r>
      <w:r w:rsidRPr="006C31D1">
        <w:rPr>
          <w:i/>
          <w:iCs/>
        </w:rPr>
        <w:t>Id.</w:t>
      </w:r>
    </w:p>
  </w:footnote>
  <w:footnote w:id="189">
    <w:p w:rsidR="009B6017" w:rsidP="009B6017" w14:paraId="0CBB6E68" w14:textId="77777777">
      <w:pPr>
        <w:pStyle w:val="FootnoteText"/>
      </w:pPr>
      <w:r>
        <w:rPr>
          <w:rStyle w:val="FootnoteReference"/>
        </w:rPr>
        <w:footnoteRef/>
      </w:r>
      <w:r>
        <w:t xml:space="preserve"> </w:t>
      </w:r>
      <w:r w:rsidRPr="006C31D1">
        <w:rPr>
          <w:i/>
          <w:iCs/>
        </w:rPr>
        <w:t>Id.</w:t>
      </w:r>
    </w:p>
  </w:footnote>
  <w:footnote w:id="190">
    <w:p w:rsidR="009B6017" w:rsidP="009B6017" w14:paraId="0D8756B7" w14:textId="77777777">
      <w:pPr>
        <w:pStyle w:val="FootnoteText"/>
      </w:pPr>
      <w:r>
        <w:rPr>
          <w:rStyle w:val="FootnoteReference"/>
        </w:rPr>
        <w:footnoteRef/>
      </w:r>
      <w:r>
        <w:t xml:space="preserve"> </w:t>
      </w:r>
      <w:r w:rsidRPr="006C31D1">
        <w:rPr>
          <w:i/>
          <w:iCs/>
        </w:rPr>
        <w:t>Id.</w:t>
      </w:r>
    </w:p>
  </w:footnote>
  <w:footnote w:id="191">
    <w:p w:rsidR="009B6017" w:rsidRPr="003B1F31" w:rsidP="009B6017" w14:paraId="1C16502C" w14:textId="77777777">
      <w:pPr>
        <w:pStyle w:val="FootnoteText"/>
        <w:rPr>
          <w:lang w:val="fr-FR"/>
        </w:rPr>
      </w:pPr>
      <w:r w:rsidRPr="003B1F31">
        <w:rPr>
          <w:rStyle w:val="FootnoteReference"/>
        </w:rPr>
        <w:footnoteRef/>
      </w:r>
      <w:r>
        <w:rPr>
          <w:lang w:val="fr-FR"/>
        </w:rPr>
        <w:t xml:space="preserve"> </w:t>
      </w:r>
      <w:r w:rsidRPr="002A4C00">
        <w:rPr>
          <w:i/>
          <w:iCs/>
          <w:lang w:val="fr-FR"/>
        </w:rPr>
        <w:t>See</w:t>
      </w:r>
      <w:r>
        <w:rPr>
          <w:lang w:val="fr-FR"/>
        </w:rPr>
        <w:t xml:space="preserve"> 13 CFR § 121.201, </w:t>
      </w:r>
      <w:r>
        <w:t>NAICS Code 517311.</w:t>
      </w:r>
    </w:p>
  </w:footnote>
  <w:footnote w:id="192">
    <w:p w:rsidR="009B6017" w:rsidP="009B6017" w14:paraId="1F0E6979" w14:textId="77777777">
      <w:pPr>
        <w:pStyle w:val="FootnoteText"/>
      </w:pPr>
      <w:r>
        <w:rPr>
          <w:rStyle w:val="FootnoteReference"/>
        </w:rPr>
        <w:footnoteRef/>
      </w:r>
      <w:r>
        <w:t xml:space="preserve"> </w:t>
      </w:r>
      <w:bookmarkStart w:id="509" w:name="_Hlk12430771"/>
      <w:r w:rsidRPr="00AF368C">
        <w:rPr>
          <w:i/>
        </w:rPr>
        <w:t>See</w:t>
      </w:r>
      <w:r>
        <w:t xml:space="preserve"> </w:t>
      </w:r>
      <w:bookmarkStart w:id="510" w:name="_Hlk12516593"/>
      <w:r>
        <w:t xml:space="preserve">U.S. Census Bureau, </w:t>
      </w:r>
      <w:bookmarkStart w:id="511" w:name="_Hlk12430666"/>
      <w:r w:rsidRPr="001B5DD6">
        <w:rPr>
          <w:bCs/>
          <w:i/>
        </w:rPr>
        <w:t>201</w:t>
      </w:r>
      <w:r>
        <w:rPr>
          <w:bCs/>
          <w:i/>
        </w:rPr>
        <w:t>7</w:t>
      </w:r>
      <w:r w:rsidRPr="00C43F7F">
        <w:rPr>
          <w:i/>
        </w:rPr>
        <w:t xml:space="preserve"> Economic Census</w:t>
      </w:r>
      <w:r w:rsidRPr="001B5DD6">
        <w:rPr>
          <w:bCs/>
          <w:i/>
        </w:rPr>
        <w:t xml:space="preserve"> of the United States</w:t>
      </w:r>
      <w:r>
        <w:rPr>
          <w:bCs/>
          <w:i/>
        </w:rPr>
        <w:t>,</w:t>
      </w:r>
      <w:bookmarkEnd w:id="510"/>
      <w:bookmarkEnd w:id="511"/>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46" w:history="1">
        <w:r w:rsidRPr="00E47313">
          <w:rPr>
            <w:rStyle w:val="Hyperlink"/>
          </w:rPr>
          <w:t>https://data.census.gov/cedsci/table?y=2017&amp;n=517311&amp;tid=ECNSIZE2017.EC1700SIZEEMPFIRM&amp;hidePreview=false</w:t>
        </w:r>
      </w:hyperlink>
      <w:r>
        <w:t xml:space="preserve">. </w:t>
      </w:r>
    </w:p>
    <w:bookmarkEnd w:id="509"/>
  </w:footnote>
  <w:footnote w:id="193">
    <w:p w:rsidR="009B6017" w:rsidP="009B6017" w14:paraId="06F1175C" w14:textId="77777777">
      <w:pPr>
        <w:pStyle w:val="FootnoteText"/>
      </w:pPr>
      <w:r>
        <w:rPr>
          <w:rStyle w:val="FootnoteReference"/>
        </w:rPr>
        <w:footnoteRef/>
      </w:r>
      <w:r>
        <w:t xml:space="preserve"> </w:t>
      </w:r>
      <w:bookmarkStart w:id="512" w:name="_Hlk45282014"/>
      <w:bookmarkStart w:id="513" w:name="_Hlk45282015"/>
      <w:r w:rsidRPr="00AF368C">
        <w:rPr>
          <w:i/>
        </w:rPr>
        <w:t>Id</w:t>
      </w:r>
      <w:bookmarkStart w:id="514" w:name="_Hlk31785432"/>
      <w:r w:rsidRPr="00AF368C">
        <w:rPr>
          <w:i/>
        </w:rPr>
        <w:t>.</w:t>
      </w:r>
      <w:r>
        <w:rPr>
          <w:i/>
        </w:rPr>
        <w:t xml:space="preserve">  </w:t>
      </w:r>
      <w:bookmarkStart w:id="515" w:name="_Hlk46754187"/>
      <w:bookmarkEnd w:id="514"/>
      <w:r w:rsidRPr="00F23895">
        <w:rPr>
          <w:iCs/>
        </w:rPr>
        <w:t>The available U.S. Census Bureau data does not provide a more precise estimate of the number of firms that meet the SBA size standard</w:t>
      </w:r>
      <w:bookmarkEnd w:id="512"/>
      <w:bookmarkEnd w:id="513"/>
      <w:bookmarkEnd w:id="515"/>
      <w:r>
        <w:rPr>
          <w:iCs/>
        </w:rPr>
        <w:t>.</w:t>
      </w:r>
    </w:p>
  </w:footnote>
  <w:footnote w:id="194">
    <w:p w:rsidR="009B6017" w:rsidRPr="003B1F31" w:rsidP="009B6017" w14:paraId="6A19D413" w14:textId="77777777">
      <w:pPr>
        <w:pStyle w:val="FootnoteText"/>
      </w:pPr>
      <w:r w:rsidRPr="003B1F31">
        <w:rPr>
          <w:rStyle w:val="FootnoteReference"/>
        </w:rPr>
        <w:footnoteRef/>
      </w:r>
      <w:r w:rsidRPr="003B1F31">
        <w:t xml:space="preserve"> </w:t>
      </w:r>
      <w:r w:rsidRPr="004C3C60">
        <w:t>Based on a FCC Universal Licensing System search on Dec</w:t>
      </w:r>
      <w:r>
        <w:t>ember 17</w:t>
      </w:r>
      <w:r w:rsidRPr="004C3C60">
        <w:t xml:space="preserve">, 2021.  </w:t>
      </w:r>
      <w:hyperlink r:id="rId30" w:history="1">
        <w:r w:rsidRPr="004C3C60">
          <w:rPr>
            <w:rStyle w:val="Hyperlink"/>
          </w:rPr>
          <w:t>https://wireless2.fcc.gov/UlsApp/UlsSearch/searchAdvanced.jsp</w:t>
        </w:r>
      </w:hyperlink>
      <w:r w:rsidRPr="004C3C60">
        <w:t>.  Search parameters: Service Group = All, “Match only the following radio service(s)”, Radio Service =</w:t>
      </w:r>
      <w:r>
        <w:t>ED</w:t>
      </w:r>
      <w:r w:rsidRPr="004C3C60">
        <w:t xml:space="preserve">; Authorization Type = </w:t>
      </w:r>
      <w:r>
        <w:t>All</w:t>
      </w:r>
      <w:r w:rsidRPr="004C3C60">
        <w:t>; Status = Active.  We note that the number of active licenses does not equate to the number of licensees.  A licensee can have one or more licenses.</w:t>
      </w:r>
    </w:p>
  </w:footnote>
  <w:footnote w:id="195">
    <w:p w:rsidR="009B6017" w:rsidRPr="00ED5CF2" w:rsidP="009B6017" w14:paraId="7BE9CAD2" w14:textId="77777777">
      <w:pPr>
        <w:pStyle w:val="FootnoteText"/>
        <w:rPr>
          <w:b/>
          <w:bCs/>
          <w:sz w:val="24"/>
          <w:szCs w:val="24"/>
        </w:rPr>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Pr>
          <w:bCs/>
          <w:i/>
          <w:iCs/>
        </w:rPr>
        <w:t>,</w:t>
      </w:r>
      <w:r w:rsidRPr="00231DAF">
        <w:rPr>
          <w:bCs/>
        </w:rPr>
        <w:t>”</w:t>
      </w:r>
      <w:r w:rsidRPr="00ED5CF2">
        <w:t xml:space="preserve"> </w:t>
      </w:r>
      <w:hyperlink r:id="rId47" w:history="1">
        <w:r w:rsidRPr="00240E60">
          <w:rPr>
            <w:rStyle w:val="Hyperlink"/>
          </w:rPr>
          <w:t>https://www.census.gov/naics/?input=334220&amp;year=2017&amp;details=334220</w:t>
        </w:r>
      </w:hyperlink>
      <w:r>
        <w:rPr>
          <w:i/>
        </w:rPr>
        <w:t xml:space="preserve">. </w:t>
      </w:r>
    </w:p>
  </w:footnote>
  <w:footnote w:id="196">
    <w:p w:rsidR="009B6017" w:rsidP="009B6017" w14:paraId="5316C609" w14:textId="77777777">
      <w:pPr>
        <w:pStyle w:val="FootnoteText"/>
      </w:pPr>
      <w:r>
        <w:rPr>
          <w:rStyle w:val="FootnoteReference"/>
        </w:rPr>
        <w:footnoteRef/>
      </w:r>
      <w:r>
        <w:t xml:space="preserve"> </w:t>
      </w:r>
      <w:r w:rsidRPr="008259FA">
        <w:rPr>
          <w:i/>
        </w:rPr>
        <w:t>Id</w:t>
      </w:r>
      <w:r>
        <w:t>.</w:t>
      </w:r>
    </w:p>
  </w:footnote>
  <w:footnote w:id="197">
    <w:p w:rsidR="009B6017" w:rsidP="009B6017" w14:paraId="2BB828E7"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198">
    <w:p w:rsidR="009B6017" w:rsidP="009B6017" w14:paraId="5305F365" w14:textId="77777777">
      <w:pPr>
        <w:pStyle w:val="FootnoteText"/>
      </w:pPr>
      <w:r>
        <w:rPr>
          <w:rStyle w:val="FootnoteReference"/>
        </w:rPr>
        <w:footnoteRef/>
      </w:r>
      <w:r>
        <w:t xml:space="preserve"> </w:t>
      </w:r>
      <w:r>
        <w:rPr>
          <w:i/>
          <w:iCs/>
        </w:rPr>
        <w:t>See</w:t>
      </w:r>
      <w:r w:rsidRPr="00C43F7F">
        <w:t xml:space="preserve"> 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 xml:space="preserve">NAICS Code </w:t>
      </w:r>
      <w:r>
        <w:t xml:space="preserve">334220, </w:t>
      </w:r>
      <w:hyperlink r:id="rId48" w:history="1">
        <w:r w:rsidRPr="00D92342">
          <w:rPr>
            <w:rStyle w:val="Hyperlink"/>
          </w:rPr>
          <w:t>https://data.census.gov/cedsci/table?y=2017&amp;n=334220&amp;tid=ECNSIZE2017.EC1700SIZEEMPFIRM&amp;hidePreview=false</w:t>
        </w:r>
      </w:hyperlink>
      <w:r>
        <w:t xml:space="preserve">. </w:t>
      </w:r>
      <w:r w:rsidRPr="00BF598B">
        <w:t xml:space="preserve"> </w:t>
      </w:r>
    </w:p>
  </w:footnote>
  <w:footnote w:id="199">
    <w:p w:rsidR="009B6017" w:rsidRPr="00BA4C31" w:rsidP="009B6017" w14:paraId="26573C7D" w14:textId="77777777">
      <w:pPr>
        <w:pStyle w:val="FootnoteText"/>
      </w:pPr>
      <w:r>
        <w:rPr>
          <w:rStyle w:val="FootnoteReference"/>
        </w:rPr>
        <w:footnoteRef/>
      </w:r>
      <w:r>
        <w:rPr>
          <w:rStyle w:val="Hyperlink"/>
        </w:rPr>
        <w:t xml:space="preserve"> </w:t>
      </w:r>
      <w:r w:rsidRPr="003D51E9">
        <w:rPr>
          <w:i/>
        </w:rPr>
        <w:t>Id</w:t>
      </w:r>
      <w:r>
        <w:t xml:space="preserve">.  </w:t>
      </w:r>
      <w:r w:rsidRPr="00686D2E">
        <w:t>The available U.S. Census Bureau data does not provide a more precise estimate of the number of firms that meet the SBA size standard.</w:t>
      </w:r>
      <w:r>
        <w:t xml:space="preserve">  </w:t>
      </w:r>
    </w:p>
  </w:footnote>
  <w:footnote w:id="200">
    <w:p w:rsidR="009B6017" w:rsidP="009B6017" w14:paraId="7BB8563B" w14:textId="77777777">
      <w:pPr>
        <w:pStyle w:val="FootnoteText"/>
      </w:pPr>
      <w:r>
        <w:rPr>
          <w:rStyle w:val="FootnoteReference"/>
        </w:rPr>
        <w:footnoteRef/>
      </w:r>
      <w:r>
        <w:t xml:space="preserve"> </w:t>
      </w:r>
      <w:r w:rsidRPr="009655B9">
        <w:rPr>
          <w:i/>
        </w:rPr>
        <w:t xml:space="preserve">See </w:t>
      </w:r>
      <w:r>
        <w:t xml:space="preserve">U.S. Census Bureau, </w:t>
      </w:r>
      <w:r w:rsidRPr="00E677D8">
        <w:rPr>
          <w:i/>
          <w:iCs/>
        </w:rPr>
        <w:t>2017 NAICS Definition, “511210 Software Publishers</w:t>
      </w:r>
      <w:r>
        <w:rPr>
          <w:i/>
          <w:iCs/>
        </w:rPr>
        <w:t>,</w:t>
      </w:r>
      <w:r w:rsidRPr="00E677D8">
        <w:rPr>
          <w:bCs/>
          <w:i/>
          <w:iCs/>
        </w:rPr>
        <w:t>”</w:t>
      </w:r>
      <w:r>
        <w:rPr>
          <w:bCs/>
        </w:rPr>
        <w:t xml:space="preserve"> </w:t>
      </w:r>
      <w:bookmarkStart w:id="516" w:name="_Hlk68605129"/>
      <w:hyperlink r:id="rId49" w:history="1">
        <w:r w:rsidRPr="00467DAF">
          <w:rPr>
            <w:rStyle w:val="Hyperlink"/>
          </w:rPr>
          <w:t>https://www.census.gov/naics/?input=511210&amp;year=2017&amp;details=511210</w:t>
        </w:r>
      </w:hyperlink>
      <w:bookmarkEnd w:id="516"/>
      <w:r>
        <w:t>.</w:t>
      </w:r>
    </w:p>
  </w:footnote>
  <w:footnote w:id="201">
    <w:p w:rsidR="009B6017" w:rsidRPr="00B711C5" w:rsidP="009B6017" w14:paraId="69D118EE" w14:textId="77777777">
      <w:pPr>
        <w:pStyle w:val="FootnoteText"/>
        <w:rPr>
          <w:i/>
          <w:iCs/>
        </w:rPr>
      </w:pPr>
      <w:r>
        <w:rPr>
          <w:rStyle w:val="FootnoteReference"/>
        </w:rPr>
        <w:footnoteRef/>
      </w:r>
      <w:r>
        <w:t xml:space="preserve"> </w:t>
      </w:r>
      <w:r>
        <w:rPr>
          <w:i/>
          <w:iCs/>
        </w:rPr>
        <w:t>Id.</w:t>
      </w:r>
    </w:p>
  </w:footnote>
  <w:footnote w:id="202">
    <w:p w:rsidR="009B6017" w:rsidRPr="00D46CFA" w:rsidP="009B6017" w14:paraId="15B65A46" w14:textId="77777777">
      <w:pPr>
        <w:pStyle w:val="FootnoteText"/>
        <w:rPr>
          <w:highlight w:val="yellow"/>
        </w:rPr>
      </w:pPr>
      <w:r>
        <w:rPr>
          <w:rStyle w:val="FootnoteReference"/>
        </w:rPr>
        <w:footnoteRef/>
      </w:r>
      <w:r w:rsidRPr="00D46CFA">
        <w:rPr>
          <w:rStyle w:val="Hyperlink"/>
          <w:i/>
        </w:rPr>
        <w:t xml:space="preserve"> </w:t>
      </w:r>
      <w:r w:rsidRPr="00D46CFA">
        <w:rPr>
          <w:rStyle w:val="Hyperlink"/>
          <w:i/>
        </w:rPr>
        <w:t>Id.</w:t>
      </w:r>
    </w:p>
  </w:footnote>
  <w:footnote w:id="203">
    <w:p w:rsidR="009B6017" w:rsidP="009B6017" w14:paraId="0FB1F3EB" w14:textId="77777777">
      <w:pPr>
        <w:pStyle w:val="FootnoteText"/>
      </w:pPr>
      <w:r w:rsidRPr="00D46CFA">
        <w:rPr>
          <w:rStyle w:val="FootnoteReference"/>
        </w:rPr>
        <w:footnoteRef/>
      </w:r>
      <w:r w:rsidRPr="00D46CFA">
        <w:t xml:space="preserve"> </w:t>
      </w:r>
      <w:r w:rsidRPr="009655B9">
        <w:rPr>
          <w:i/>
        </w:rPr>
        <w:t>See</w:t>
      </w:r>
      <w:r w:rsidRPr="00D46CFA">
        <w:t xml:space="preserve"> 13 CFR § 121.201, </w:t>
      </w:r>
      <w:r>
        <w:t xml:space="preserve">NAICS Code </w:t>
      </w:r>
      <w:r w:rsidRPr="00D46CFA">
        <w:t>511210.</w:t>
      </w:r>
      <w:r>
        <w:t xml:space="preserve">  </w:t>
      </w:r>
    </w:p>
  </w:footnote>
  <w:footnote w:id="204">
    <w:p w:rsidR="009B6017" w:rsidP="009B6017" w14:paraId="38E73299" w14:textId="77777777">
      <w:pPr>
        <w:pStyle w:val="FootnoteText"/>
      </w:pPr>
      <w:r>
        <w:rPr>
          <w:rStyle w:val="FootnoteReference"/>
        </w:rPr>
        <w:footnoteRef/>
      </w:r>
      <w:r>
        <w:t xml:space="preserve"> </w:t>
      </w:r>
      <w:r w:rsidRPr="00FE530A">
        <w:rPr>
          <w:i/>
        </w:rPr>
        <w:t xml:space="preserve">See </w:t>
      </w:r>
      <w:r w:rsidRPr="00C43F7F">
        <w:t>U.S. Census Bureau,</w:t>
      </w:r>
      <w:r>
        <w:rPr>
          <w:bCs/>
          <w:i/>
        </w:rPr>
        <w:t xml:space="preserve"> </w:t>
      </w:r>
      <w:bookmarkStart w:id="517" w:name="_Hlk68605478"/>
      <w:bookmarkStart w:id="518" w:name="_Hlk68608127"/>
      <w:bookmarkStart w:id="519" w:name="_Hlk68607012"/>
      <w:r w:rsidRPr="00E52104">
        <w:rPr>
          <w:i/>
          <w:iCs/>
        </w:rPr>
        <w:t xml:space="preserve">2017 </w:t>
      </w:r>
      <w:r w:rsidRPr="00E52104">
        <w:rPr>
          <w:i/>
        </w:rPr>
        <w:t>Economic Census</w:t>
      </w:r>
      <w:r w:rsidRPr="00E52104">
        <w:rPr>
          <w:bCs/>
          <w:i/>
        </w:rPr>
        <w:t xml:space="preserve"> of the United States</w:t>
      </w:r>
      <w:r w:rsidRPr="00E52104">
        <w:t xml:space="preserve">, </w:t>
      </w:r>
      <w:bookmarkStart w:id="520" w:name="_Hlk69140771"/>
      <w:r w:rsidRPr="00E52104">
        <w:rPr>
          <w:i/>
          <w:iCs/>
        </w:rPr>
        <w:t xml:space="preserve">Selected Sectors: Sales, Value of Shipments, or Revenue Size of Firms for the U.S.: 2017, </w:t>
      </w:r>
      <w:r w:rsidRPr="00E52104">
        <w:t>Table ID: EC1700SIZEREVFIRM, NAICS Code 5</w:t>
      </w:r>
      <w:r>
        <w:t>11210</w:t>
      </w:r>
      <w:r w:rsidRPr="00E52104">
        <w:t xml:space="preserve">, </w:t>
      </w:r>
      <w:hyperlink r:id="rId50" w:history="1">
        <w:r w:rsidRPr="00467DAF">
          <w:rPr>
            <w:rStyle w:val="Hyperlink"/>
          </w:rPr>
          <w:t>https://data.census.gov/cedsci/table?y=2017&amp;n=511210&amp;tid=ECNSIZE2017.EC1700SIZEREVFIRM&amp;hidePreview=false</w:t>
        </w:r>
      </w:hyperlink>
      <w:bookmarkEnd w:id="517"/>
      <w:bookmarkEnd w:id="520"/>
      <w:r w:rsidRPr="00E52104">
        <w:t xml:space="preserve">. </w:t>
      </w:r>
      <w:bookmarkEnd w:id="518"/>
      <w:r w:rsidRPr="00E52104">
        <w:t xml:space="preserve"> </w:t>
      </w:r>
      <w:bookmarkEnd w:id="519"/>
      <w:r>
        <w:t xml:space="preserve"> </w:t>
      </w:r>
    </w:p>
  </w:footnote>
  <w:footnote w:id="205">
    <w:p w:rsidR="009B6017" w:rsidRPr="008F088A" w:rsidP="009B6017" w14:paraId="188CE237" w14:textId="77777777">
      <w:pPr>
        <w:spacing w:after="120"/>
      </w:pPr>
      <w:r w:rsidRPr="008F088A">
        <w:rPr>
          <w:rStyle w:val="FootnoteReference"/>
        </w:rPr>
        <w:footnoteRef/>
      </w:r>
      <w:r w:rsidRPr="008F088A">
        <w:rPr>
          <w:sz w:val="20"/>
        </w:rPr>
        <w:t xml:space="preserve"> </w:t>
      </w:r>
      <w:r w:rsidRPr="008F088A">
        <w:rPr>
          <w:i/>
          <w:sz w:val="20"/>
        </w:rPr>
        <w:t xml:space="preserve">Id.  </w:t>
      </w:r>
      <w:bookmarkStart w:id="521" w:name="_Hlk48654583"/>
      <w:bookmarkStart w:id="522" w:name="_Hlk48653616"/>
      <w:r w:rsidRPr="008F088A">
        <w:rPr>
          <w:sz w:val="20"/>
        </w:rPr>
        <w:t>The available U.S. Census Bureau data does not provide a more precise estimate of the number of firms that meet the SBA size standard.</w:t>
      </w:r>
      <w:bookmarkEnd w:id="521"/>
      <w:bookmarkEnd w:id="522"/>
      <w:r w:rsidRPr="008F088A">
        <w:rPr>
          <w:sz w:val="20"/>
        </w:rPr>
        <w:t xml:space="preserve">  We also note that according to the U.S. Census Bureau glossary, the terms receipts and revenues are used interchangeably, </w:t>
      </w:r>
      <w:r w:rsidRPr="008F088A">
        <w:rPr>
          <w:i/>
          <w:iCs/>
          <w:sz w:val="20"/>
        </w:rPr>
        <w:t>see</w:t>
      </w:r>
      <w:r w:rsidRPr="008F088A">
        <w:rPr>
          <w:sz w:val="20"/>
        </w:rPr>
        <w:t xml:space="preserve"> </w:t>
      </w:r>
      <w:hyperlink r:id="rId51" w:anchor="term_ReceiptsRevenueServices" w:history="1">
        <w:r w:rsidRPr="008F088A">
          <w:rPr>
            <w:rStyle w:val="Hyperlink"/>
          </w:rPr>
          <w:t>https://www.census.gov/glossary/#term_ReceiptsRevenueServices</w:t>
        </w:r>
      </w:hyperlink>
      <w:r w:rsidRPr="008F088A">
        <w:rPr>
          <w:sz w:val="20"/>
        </w:rPr>
        <w:t>.</w:t>
      </w:r>
    </w:p>
  </w:footnote>
  <w:footnote w:id="206">
    <w:p w:rsidR="009B6017" w:rsidP="009B6017" w14:paraId="6FCF0828" w14:textId="77777777">
      <w:pPr>
        <w:pStyle w:val="FootnoteText"/>
      </w:pPr>
      <w:r>
        <w:rPr>
          <w:rStyle w:val="FootnoteReference"/>
        </w:rPr>
        <w:footnoteRef/>
      </w:r>
      <w:r>
        <w:t xml:space="preserve"> </w:t>
      </w:r>
      <w:r w:rsidRPr="005C53FF">
        <w:rPr>
          <w:i/>
          <w:iCs/>
        </w:rPr>
        <w:t>See</w:t>
      </w:r>
      <w:r>
        <w:t xml:space="preserve"> U.S. Census Bureau, </w:t>
      </w:r>
      <w:r w:rsidRPr="00D05EC7">
        <w:rPr>
          <w:i/>
          <w:iCs/>
        </w:rPr>
        <w:t>2017 NAICS Definition, “515112 Radio Stations</w:t>
      </w:r>
      <w:r>
        <w:t xml:space="preserve">,” </w:t>
      </w:r>
      <w:hyperlink r:id="rId52" w:history="1">
        <w:r w:rsidRPr="00240E60">
          <w:rPr>
            <w:rStyle w:val="Hyperlink"/>
          </w:rPr>
          <w:t>https://www.census.gov/naics/?input=515112&amp;year=2017&amp;details=515112</w:t>
        </w:r>
      </w:hyperlink>
      <w:r w:rsidRPr="00A2335A">
        <w:rPr>
          <w:rStyle w:val="Hyperlink"/>
        </w:rPr>
        <w:t>.</w:t>
      </w:r>
    </w:p>
  </w:footnote>
  <w:footnote w:id="207">
    <w:p w:rsidR="009B6017" w:rsidRPr="005962E0" w:rsidP="009B6017" w14:paraId="7478DEDD" w14:textId="77777777">
      <w:pPr>
        <w:pStyle w:val="FootnoteText"/>
        <w:rPr>
          <w:b/>
          <w:bCs/>
          <w:sz w:val="24"/>
          <w:szCs w:val="24"/>
        </w:rPr>
      </w:pPr>
      <w:r>
        <w:rPr>
          <w:rStyle w:val="FootnoteReference"/>
        </w:rPr>
        <w:footnoteRef/>
      </w:r>
      <w:r>
        <w:t xml:space="preserve"> </w:t>
      </w:r>
      <w:r w:rsidRPr="0082595B">
        <w:rPr>
          <w:i/>
          <w:iCs/>
        </w:rPr>
        <w:t>See</w:t>
      </w:r>
      <w:r>
        <w:t xml:space="preserve"> </w:t>
      </w:r>
      <w:r w:rsidRPr="005B69AD">
        <w:t xml:space="preserve">U.S. Census Bureau, </w:t>
      </w:r>
      <w:r w:rsidRPr="00DF1E20">
        <w:rPr>
          <w:i/>
          <w:iCs/>
        </w:rPr>
        <w:t>2017 NAICS Definition, “515120 Television Broadcasting</w:t>
      </w:r>
      <w:r>
        <w:rPr>
          <w:i/>
          <w:iCs/>
        </w:rPr>
        <w:t>,</w:t>
      </w:r>
      <w:r w:rsidRPr="005B69AD">
        <w:t xml:space="preserve">” </w:t>
      </w:r>
      <w:hyperlink r:id="rId53" w:history="1">
        <w:r w:rsidRPr="005E2DA9">
          <w:rPr>
            <w:rStyle w:val="Hyperlink"/>
          </w:rPr>
          <w:t>https://www.census.gov/naics/?input=515120&amp;year=2017&amp;details=515120</w:t>
        </w:r>
      </w:hyperlink>
      <w:r w:rsidRPr="00A2335A">
        <w:rPr>
          <w:rStyle w:val="Hyperlink"/>
        </w:rPr>
        <w:t>.</w:t>
      </w:r>
    </w:p>
  </w:footnote>
  <w:footnote w:id="208">
    <w:p w:rsidR="009B6017" w:rsidRPr="00AD538C" w:rsidP="009B6017" w14:paraId="5C0AB9B2" w14:textId="77777777">
      <w:pPr>
        <w:pStyle w:val="FootnoteText"/>
      </w:pPr>
      <w:r w:rsidRPr="00AD538C">
        <w:rPr>
          <w:rStyle w:val="FootnoteReference"/>
        </w:rPr>
        <w:footnoteRef/>
      </w:r>
      <w:r>
        <w:t xml:space="preserve"> </w:t>
      </w:r>
      <w:r w:rsidRPr="005C53FF">
        <w:rPr>
          <w:i/>
          <w:iCs/>
        </w:rPr>
        <w:t>See</w:t>
      </w:r>
      <w:r>
        <w:t xml:space="preserve"> 13 CFR</w:t>
      </w:r>
      <w:r w:rsidRPr="00AD538C">
        <w:t xml:space="preserve"> § 121.201</w:t>
      </w:r>
      <w:r>
        <w:t xml:space="preserve">, </w:t>
      </w:r>
      <w:r w:rsidRPr="00AD538C">
        <w:t xml:space="preserve">NAICS </w:t>
      </w:r>
      <w:r>
        <w:t>C</w:t>
      </w:r>
      <w:r w:rsidRPr="00AD538C">
        <w:t xml:space="preserve">ode </w:t>
      </w:r>
      <w:r w:rsidRPr="00AD538C">
        <w:rPr>
          <w:bCs/>
        </w:rPr>
        <w:t>5151</w:t>
      </w:r>
      <w:r>
        <w:rPr>
          <w:bCs/>
        </w:rPr>
        <w:t>1</w:t>
      </w:r>
      <w:r w:rsidRPr="00AD538C">
        <w:rPr>
          <w:bCs/>
        </w:rPr>
        <w:t>2</w:t>
      </w:r>
      <w:r>
        <w:rPr>
          <w:bCs/>
        </w:rPr>
        <w:t xml:space="preserve"> (Radio Stations); </w:t>
      </w:r>
      <w:r w:rsidRPr="00AD538C">
        <w:t xml:space="preserve">NAICS </w:t>
      </w:r>
      <w:r>
        <w:t>C</w:t>
      </w:r>
      <w:r w:rsidRPr="00AD538C">
        <w:t xml:space="preserve">ode </w:t>
      </w:r>
      <w:r w:rsidRPr="00AD538C">
        <w:rPr>
          <w:bCs/>
        </w:rPr>
        <w:t>5151</w:t>
      </w:r>
      <w:r>
        <w:rPr>
          <w:bCs/>
        </w:rPr>
        <w:t>20 (Television Broadcasting)</w:t>
      </w:r>
      <w:r w:rsidRPr="00AD538C">
        <w:t>.</w:t>
      </w:r>
      <w:r>
        <w:t xml:space="preserve">  </w:t>
      </w:r>
    </w:p>
  </w:footnote>
  <w:footnote w:id="209">
    <w:p w:rsidR="009B6017" w:rsidRPr="00A2335A" w:rsidP="009B6017" w14:paraId="2282D3C8" w14:textId="77777777">
      <w:pPr>
        <w:pStyle w:val="FootnoteText"/>
        <w:spacing w:after="0"/>
      </w:pPr>
      <w:r w:rsidRPr="00550DD9">
        <w:rPr>
          <w:rStyle w:val="FootnoteReference"/>
        </w:rPr>
        <w:footnoteRef/>
      </w:r>
      <w:r w:rsidRPr="00550DD9">
        <w:t xml:space="preserve"> </w:t>
      </w:r>
      <w:r w:rsidRPr="00A2335A">
        <w:rPr>
          <w:i/>
          <w:iCs/>
        </w:rPr>
        <w:t>See</w:t>
      </w:r>
      <w:r w:rsidRPr="00A2335A">
        <w:t xml:space="preserve"> U.S. Census Bureau, </w:t>
      </w:r>
      <w:r w:rsidRPr="00A2335A">
        <w:rPr>
          <w:bCs/>
          <w:i/>
        </w:rPr>
        <w:t>2017</w:t>
      </w:r>
      <w:r w:rsidRPr="00A2335A">
        <w:rPr>
          <w:i/>
        </w:rPr>
        <w:t xml:space="preserve"> Economic Census</w:t>
      </w:r>
      <w:r w:rsidRPr="00A2335A">
        <w:rPr>
          <w:bCs/>
          <w:i/>
        </w:rPr>
        <w:t xml:space="preserve"> of the United States</w:t>
      </w:r>
      <w:r w:rsidRPr="00A2335A">
        <w:t xml:space="preserve">, </w:t>
      </w:r>
      <w:r w:rsidRPr="00A2335A">
        <w:rPr>
          <w:i/>
          <w:iCs/>
        </w:rPr>
        <w:t xml:space="preserve">Selected Sectors: Sales, Value of Shipments, or Revenue Size of Firms for the U.S.: 2017, </w:t>
      </w:r>
      <w:r w:rsidRPr="00A2335A">
        <w:t>Table ID: EC1700SIZEREVFIRM, NAICS Code 515112,</w:t>
      </w:r>
    </w:p>
    <w:p w:rsidR="009B6017" w:rsidRPr="00A2335A" w:rsidP="009B6017" w14:paraId="10036BA3" w14:textId="77777777">
      <w:pPr>
        <w:rPr>
          <w:sz w:val="20"/>
        </w:rPr>
      </w:pPr>
      <w:hyperlink r:id="rId54" w:history="1">
        <w:r w:rsidRPr="00A2335A">
          <w:rPr>
            <w:rStyle w:val="Hyperlink"/>
          </w:rPr>
          <w:t>https://data.census.gov/cedsci/table?y=2017&amp;n=515112&amp;tid=ECNSIZE2017.EC1700SIZEREVFIRM&amp;hidePreview=false</w:t>
        </w:r>
      </w:hyperlink>
      <w:r w:rsidRPr="00A2335A">
        <w:rPr>
          <w:sz w:val="20"/>
        </w:rPr>
        <w:t>.  The available U.S. Census Bureau data does not provide a more precise estimate of the number of firms that meet the SBA size standard.  We note that the U</w:t>
      </w:r>
      <w:r>
        <w:rPr>
          <w:sz w:val="20"/>
        </w:rPr>
        <w:t>.</w:t>
      </w:r>
      <w:r w:rsidRPr="00A2335A">
        <w:rPr>
          <w:sz w:val="20"/>
        </w:rPr>
        <w:t>S</w:t>
      </w:r>
      <w:r>
        <w:rPr>
          <w:sz w:val="20"/>
        </w:rPr>
        <w:t>.</w:t>
      </w:r>
      <w:r w:rsidRPr="00A2335A">
        <w:rPr>
          <w:sz w:val="20"/>
        </w:rPr>
        <w:t xml:space="preserve"> Census Bureau withheld publication of the number of firms that operated for the entire year.  We also note that the U.S. Census Bureau withheld publication of the number of firms that operated with sales/value of shipments/revenue in the individual categories for less than $100,000, and $100,000 to $249,999 to avoid disclosing data for individual companies (see Cell Notes for the sales/value of shipments/revenue in these categories).  Therefore, the number of firms with revenue that meet the SBA size standard would be higher that noted herein.  We further note that according to the U.S. Census Bureau glossary, the terms receipts and revenues are used interchangeably, </w:t>
      </w:r>
      <w:r w:rsidRPr="00A2335A">
        <w:rPr>
          <w:i/>
          <w:iCs/>
          <w:sz w:val="20"/>
        </w:rPr>
        <w:t>see</w:t>
      </w:r>
      <w:r w:rsidRPr="00A2335A">
        <w:rPr>
          <w:sz w:val="20"/>
        </w:rPr>
        <w:t xml:space="preserve"> </w:t>
      </w:r>
      <w:hyperlink r:id="rId51" w:anchor="term_ReceiptsRevenueServices" w:history="1">
        <w:r w:rsidRPr="00A2335A">
          <w:rPr>
            <w:rStyle w:val="Hyperlink"/>
          </w:rPr>
          <w:t>https://www.census.gov/glossary/#term_ReceiptsRevenueServices</w:t>
        </w:r>
      </w:hyperlink>
      <w:r w:rsidRPr="00A2335A">
        <w:rPr>
          <w:sz w:val="20"/>
        </w:rPr>
        <w:t>.</w:t>
      </w:r>
    </w:p>
  </w:footnote>
  <w:footnote w:id="210">
    <w:p w:rsidR="009B6017" w:rsidRPr="00A2335A" w:rsidP="009B6017" w14:paraId="6E4506BB" w14:textId="77777777">
      <w:pPr>
        <w:rPr>
          <w:sz w:val="20"/>
        </w:rPr>
      </w:pPr>
      <w:r w:rsidRPr="00A2335A">
        <w:rPr>
          <w:rStyle w:val="FootnoteReference"/>
        </w:rPr>
        <w:footnoteRef/>
      </w:r>
      <w:r w:rsidRPr="00A2335A">
        <w:rPr>
          <w:sz w:val="20"/>
        </w:rPr>
        <w:t xml:space="preserve"> </w:t>
      </w:r>
      <w:r w:rsidRPr="00A2335A">
        <w:rPr>
          <w:i/>
          <w:iCs/>
          <w:sz w:val="20"/>
        </w:rPr>
        <w:t>See</w:t>
      </w:r>
      <w:r w:rsidRPr="00A2335A">
        <w:rPr>
          <w:sz w:val="20"/>
        </w:rPr>
        <w:t xml:space="preserve"> U.S. Census Bureau, </w:t>
      </w:r>
      <w:r w:rsidRPr="00A2335A">
        <w:rPr>
          <w:bCs/>
          <w:i/>
          <w:sz w:val="20"/>
        </w:rPr>
        <w:t>2017</w:t>
      </w:r>
      <w:r w:rsidRPr="00A2335A">
        <w:rPr>
          <w:i/>
          <w:sz w:val="20"/>
        </w:rPr>
        <w:t xml:space="preserve"> Economic Census</w:t>
      </w:r>
      <w:r w:rsidRPr="00A2335A">
        <w:rPr>
          <w:bCs/>
          <w:i/>
          <w:sz w:val="20"/>
        </w:rPr>
        <w:t xml:space="preserve"> of the United States</w:t>
      </w:r>
      <w:r w:rsidRPr="00A2335A">
        <w:rPr>
          <w:sz w:val="20"/>
        </w:rPr>
        <w:t xml:space="preserve">, </w:t>
      </w:r>
      <w:r w:rsidRPr="00A2335A">
        <w:rPr>
          <w:i/>
          <w:iCs/>
          <w:sz w:val="20"/>
        </w:rPr>
        <w:t xml:space="preserve">Selected Sectors: Sales, Value of Shipments, or Revenue Size of Firms for the U.S.: 2017, </w:t>
      </w:r>
      <w:r w:rsidRPr="00A2335A">
        <w:rPr>
          <w:sz w:val="20"/>
        </w:rPr>
        <w:t>Table ID: EC1700SIZEREVFIRM, NAICS Code 515120,</w:t>
      </w:r>
      <w:r w:rsidRPr="00A2335A">
        <w:rPr>
          <w:rStyle w:val="Hyperlink"/>
        </w:rPr>
        <w:t xml:space="preserve"> </w:t>
      </w:r>
      <w:hyperlink r:id="rId55" w:history="1">
        <w:r w:rsidRPr="00A2335A">
          <w:rPr>
            <w:rStyle w:val="Hyperlink"/>
          </w:rPr>
          <w:t>https://data.census.gov/cedsci/table?y=2017&amp;n=515120&amp;tid=ECNSIZE2017.EC1700SIZEREVFIRM&amp;hidePreview=false</w:t>
        </w:r>
      </w:hyperlink>
      <w:r w:rsidRPr="00A2335A">
        <w:rPr>
          <w:rStyle w:val="Hyperlink"/>
        </w:rPr>
        <w:t xml:space="preserve">.  </w:t>
      </w:r>
      <w:r w:rsidRPr="00A2335A">
        <w:rPr>
          <w:sz w:val="20"/>
        </w:rPr>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A2335A">
        <w:rPr>
          <w:i/>
          <w:iCs/>
          <w:sz w:val="20"/>
        </w:rPr>
        <w:t>see</w:t>
      </w:r>
      <w:r w:rsidRPr="00A2335A">
        <w:rPr>
          <w:sz w:val="20"/>
        </w:rPr>
        <w:t xml:space="preserve"> </w:t>
      </w:r>
      <w:hyperlink r:id="rId51" w:anchor="term_ReceiptsRevenueServices" w:history="1">
        <w:r w:rsidRPr="00A2335A">
          <w:rPr>
            <w:rStyle w:val="Hyperlink"/>
          </w:rPr>
          <w:t>https://www.census.gov/glossary/#term_ReceiptsRevenueServices</w:t>
        </w:r>
      </w:hyperlink>
      <w:r w:rsidRPr="00A2335A">
        <w:rPr>
          <w:sz w:val="20"/>
        </w:rPr>
        <w:t>.</w:t>
      </w:r>
    </w:p>
  </w:footnote>
  <w:footnote w:id="211">
    <w:p w:rsidR="009B6017" w:rsidRPr="005B69AD" w:rsidP="009B6017" w14:paraId="69202ED0" w14:textId="77777777">
      <w:pPr>
        <w:pStyle w:val="FootnoteText"/>
      </w:pPr>
      <w:r w:rsidRPr="00A2335A">
        <w:rPr>
          <w:rStyle w:val="FootnoteReference"/>
        </w:rPr>
        <w:footnoteRef/>
      </w:r>
      <w:r w:rsidRPr="00A2335A">
        <w:t xml:space="preserve"> </w:t>
      </w:r>
      <w:r w:rsidRPr="00A2335A">
        <w:t>Broadcast Station Totals as of September 30, 2021 Press Release (MB Oct. 4, 2021</w:t>
      </w:r>
      <w:r w:rsidRPr="00C16C08">
        <w:t>) (September 30, 2021 Broadcast Station Totals),</w:t>
      </w:r>
      <w:r>
        <w:t xml:space="preserve"> </w:t>
      </w:r>
      <w:hyperlink r:id="rId56" w:history="1">
        <w:r w:rsidRPr="000A7D61">
          <w:rPr>
            <w:rStyle w:val="Hyperlink"/>
          </w:rPr>
          <w:t>https://docs.fcc.gov/public/attachments/DOC-376230A1.pdf</w:t>
        </w:r>
      </w:hyperlink>
      <w:r w:rsidRPr="00A2335A">
        <w:rPr>
          <w:rStyle w:val="Hyperlink"/>
        </w:rPr>
        <w:t>.</w:t>
      </w:r>
    </w:p>
  </w:footnote>
  <w:footnote w:id="212">
    <w:p w:rsidR="009B6017" w:rsidRPr="005B69AD" w:rsidP="009B6017" w14:paraId="12B0DD92" w14:textId="77777777">
      <w:pPr>
        <w:pStyle w:val="FootnoteText"/>
      </w:pPr>
      <w:r w:rsidRPr="005B69AD">
        <w:rPr>
          <w:rStyle w:val="FootnoteReference"/>
        </w:rPr>
        <w:footnoteRef/>
      </w:r>
      <w:r w:rsidRPr="005B69AD">
        <w:t xml:space="preserve"> </w:t>
      </w:r>
      <w:r w:rsidRPr="005B69AD">
        <w:rPr>
          <w:i/>
        </w:rPr>
        <w:t>Id.</w:t>
      </w:r>
    </w:p>
  </w:footnote>
  <w:footnote w:id="213">
    <w:p w:rsidR="009B6017" w:rsidRPr="00732335" w:rsidP="009B6017" w14:paraId="2630F51E" w14:textId="77777777">
      <w:pPr>
        <w:pStyle w:val="FootnoteText"/>
      </w:pPr>
      <w:r w:rsidRPr="00732335">
        <w:rPr>
          <w:rStyle w:val="FootnoteReference"/>
        </w:rPr>
        <w:footnoteRef/>
      </w:r>
      <w:r w:rsidRPr="00732335">
        <w:t xml:space="preserve"> </w:t>
      </w:r>
      <w:r w:rsidRPr="00732335">
        <w:rPr>
          <w:i/>
          <w:iCs/>
        </w:rPr>
        <w:t>See</w:t>
      </w:r>
      <w:r w:rsidRPr="00732335">
        <w:t xml:space="preserve"> Election Whether to Participate in the Wireless Emergency Alert System 3060-1113, Supporting Statement (April 2021).</w:t>
      </w:r>
    </w:p>
  </w:footnote>
  <w:footnote w:id="214">
    <w:p w:rsidR="009B6017" w:rsidRPr="00EE70EB" w:rsidP="009B6017" w14:paraId="3F3859E3" w14:textId="77777777">
      <w:pPr>
        <w:pStyle w:val="FootnoteText"/>
      </w:pPr>
      <w:r w:rsidRPr="00EE70EB">
        <w:rPr>
          <w:rStyle w:val="FootnoteReference"/>
        </w:rPr>
        <w:footnoteRef/>
      </w:r>
      <w:r w:rsidRPr="00EE70EB">
        <w:t xml:space="preserve"> </w:t>
      </w:r>
      <w:r w:rsidRPr="00EE70EB">
        <w:rPr>
          <w:i/>
          <w:iCs/>
        </w:rPr>
        <w:t xml:space="preserve">See </w:t>
      </w:r>
      <w:r w:rsidRPr="00EE70EB">
        <w:t xml:space="preserve">E911 Location Accuracy Requirements, OMB 3060-1210, 80 FR 30235 (2015); </w:t>
      </w:r>
      <w:r w:rsidRPr="00EE70EB">
        <w:rPr>
          <w:i/>
          <w:iCs/>
        </w:rPr>
        <w:t>see also</w:t>
      </w:r>
      <w:r w:rsidRPr="00EE70EB">
        <w:t xml:space="preserve"> </w:t>
      </w:r>
      <w:r w:rsidRPr="00EE70EB">
        <w:rPr>
          <w:i/>
          <w:iCs/>
        </w:rPr>
        <w:t>Wireless E911 Location Accuracy Requirements</w:t>
      </w:r>
      <w:r w:rsidRPr="00EE70EB">
        <w:t xml:space="preserve">, PS Docket No. 07-114, Fourth Report and Order, 30 FCC </w:t>
      </w:r>
      <w:r w:rsidRPr="00EE70EB">
        <w:t>Rcd</w:t>
      </w:r>
      <w:r w:rsidRPr="00EE70EB">
        <w:t xml:space="preserve"> 1259, para. 170 (2015) (quantifying the cost of compliance with wireless location accuracy requirements without specific reference to the costs of the test bed process).</w:t>
      </w:r>
    </w:p>
  </w:footnote>
  <w:footnote w:id="215">
    <w:p w:rsidR="009B6017" w:rsidRPr="0073330A" w:rsidP="009B6017" w14:paraId="6FDD3912" w14:textId="77777777">
      <w:pPr>
        <w:pStyle w:val="FootnoteText"/>
      </w:pPr>
      <w:r w:rsidRPr="0073330A">
        <w:rPr>
          <w:rStyle w:val="FootnoteReference"/>
        </w:rPr>
        <w:footnoteRef/>
      </w:r>
      <w:r w:rsidRPr="0073330A">
        <w:t xml:space="preserve"> </w:t>
      </w:r>
      <w:r w:rsidRPr="0073330A">
        <w:t xml:space="preserve">5 U.S.C. §§ 603(c)(1)-(4). </w:t>
      </w:r>
    </w:p>
  </w:footnote>
  <w:footnote w:id="216">
    <w:p w:rsidR="009B6017" w:rsidRPr="00EE70EB" w:rsidP="009B6017" w14:paraId="14E35F0D" w14:textId="77777777">
      <w:pPr>
        <w:pStyle w:val="FootnoteText"/>
      </w:pPr>
      <w:r w:rsidRPr="00EE70EB">
        <w:rPr>
          <w:rStyle w:val="FootnoteReference"/>
        </w:rPr>
        <w:footnoteRef/>
      </w:r>
      <w:r w:rsidRPr="00EE70EB">
        <w:t xml:space="preserve"> </w:t>
      </w:r>
      <w:r w:rsidRPr="00EE70EB">
        <w:rPr>
          <w:i/>
          <w:iCs/>
        </w:rPr>
        <w:t>See</w:t>
      </w:r>
      <w:r w:rsidRPr="00EE70EB">
        <w:t xml:space="preserve"> </w:t>
      </w:r>
      <w:r w:rsidRPr="00EE70EB">
        <w:rPr>
          <w:i/>
          <w:iCs/>
        </w:rPr>
        <w:t>2016 WEA R&amp;O and FNPRM</w:t>
      </w:r>
      <w:r w:rsidRPr="00EE70EB">
        <w:t xml:space="preserve">, 31 FCC </w:t>
      </w:r>
      <w:r w:rsidRPr="00EE70EB">
        <w:t>Rcd</w:t>
      </w:r>
      <w:r w:rsidRPr="00EE70EB">
        <w:t xml:space="preserve"> at 11210 at paras 161-63.</w:t>
      </w:r>
    </w:p>
  </w:footnote>
  <w:footnote w:id="217">
    <w:p w:rsidR="009B6017" w:rsidRPr="00EE70EB" w:rsidP="009B6017" w14:paraId="71C244C5" w14:textId="77777777">
      <w:pPr>
        <w:pStyle w:val="FootnoteText"/>
      </w:pPr>
      <w:r w:rsidRPr="00EE70EB">
        <w:rPr>
          <w:rStyle w:val="FootnoteReference"/>
        </w:rPr>
        <w:footnoteRef/>
      </w:r>
      <w:r w:rsidRPr="00EE70EB">
        <w:t xml:space="preserve"> </w:t>
      </w:r>
      <w:r w:rsidRPr="00EE70EB">
        <w:rPr>
          <w:i/>
          <w:iCs/>
        </w:rPr>
        <w:t>See</w:t>
      </w:r>
      <w:r w:rsidRPr="00EE70EB">
        <w:t xml:space="preserve"> ATIS, Location Technology Performance Data - Define Topologies &amp; Data Collection Methodology, ATIS-0500011 (2007), </w:t>
      </w:r>
      <w:hyperlink r:id="rId19" w:history="1">
        <w:r w:rsidRPr="00EE70EB">
          <w:rPr>
            <w:rStyle w:val="Hyperlink"/>
          </w:rPr>
          <w:t>https://webstore.ansi.org/Standards/ATIS/ATIS0500011</w:t>
        </w:r>
      </w:hyperlink>
      <w:r w:rsidRPr="00EE70EB">
        <w:t xml:space="preserve">. </w:t>
      </w:r>
    </w:p>
  </w:footnote>
  <w:footnote w:id="218">
    <w:p w:rsidR="009B6017" w:rsidRPr="00EE70EB" w:rsidP="009B6017" w14:paraId="44D52B9B" w14:textId="77777777">
      <w:pPr>
        <w:pStyle w:val="FootnoteText"/>
      </w:pPr>
      <w:r w:rsidRPr="00EE70EB">
        <w:rPr>
          <w:rStyle w:val="FootnoteReference"/>
        </w:rPr>
        <w:footnoteRef/>
      </w:r>
      <w:r w:rsidRPr="00EE70EB">
        <w:t xml:space="preserve"> </w:t>
      </w:r>
      <w:r w:rsidRPr="00EE70EB">
        <w:rPr>
          <w:i/>
          <w:iCs/>
        </w:rPr>
        <w:t>See</w:t>
      </w:r>
      <w:r w:rsidRPr="00EE70EB">
        <w:t xml:space="preserve"> </w:t>
      </w:r>
      <w:r w:rsidRPr="00EE70EB">
        <w:rPr>
          <w:i/>
          <w:iCs/>
        </w:rPr>
        <w:t>2016 WEA R&amp;O and FNPRM</w:t>
      </w:r>
      <w:r w:rsidRPr="00EE70EB">
        <w:t xml:space="preserve">, 31 FCC </w:t>
      </w:r>
      <w:r w:rsidRPr="00EE70EB">
        <w:t>Rcd</w:t>
      </w:r>
      <w:r w:rsidRPr="00EE70EB">
        <w:t xml:space="preserve"> at 11210 at paras 161-63.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017" w14:paraId="40F6C4D5" w14:textId="77777777">
    <w:pPr>
      <w:pStyle w:val="Header"/>
    </w:pPr>
  </w:p>
  <w:p w:rsidR="009B6017" w:rsidP="004960AD" w14:paraId="55E9EBF4"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017" w:rsidP="00810B6F" w14:paraId="51A05B32" w14:textId="77777777">
    <w:pPr>
      <w:pStyle w:val="Header"/>
      <w:rPr>
        <w:b w:val="0"/>
      </w:rPr>
    </w:pPr>
    <w:r>
      <w:tab/>
    </w:r>
    <w:r>
      <w:t>Federal Communications Commission</w:t>
    </w:r>
    <w:r>
      <w:tab/>
      <w:t>FCC 22-31</w:t>
    </w:r>
  </w:p>
  <w:p w:rsidR="009B6017" w:rsidRPr="00A04F65" w:rsidP="004960AD" w14:paraId="0FD765CF" w14:textId="5961E066">
    <w:pPr>
      <w:tabs>
        <w:tab w:val="left" w:pos="-720"/>
      </w:tabs>
      <w:suppressAutoHyphens/>
      <w:spacing w:line="19" w:lineRule="exact"/>
      <w:rPr>
        <w:spacing w:val="-2"/>
      </w:rPr>
    </w:pPr>
    <w:r>
      <w:rPr>
        <w:noProof/>
      </w:rPr>
      <w:pict>
        <v:rect id="Rectangle 8"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017" w:rsidP="00F81B8F" w14:paraId="66C8DA72" w14:textId="5DD9FE19">
    <w:pPr>
      <w:pStyle w:val="Header"/>
      <w:rPr>
        <w:b w:val="0"/>
      </w:rPr>
    </w:pPr>
    <w:r>
      <w:rPr>
        <w:noProof/>
      </w:rPr>
      <w:pict>
        <v:rect id="Rectangle 7"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r>
      <w:tab/>
    </w:r>
    <w:r>
      <w:rPr>
        <w:noProof/>
      </w:rPr>
      <w:pict>
        <v:rect id="Rectangle 5"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Federal Communications Commission</w:t>
    </w:r>
    <w:r>
      <w:tab/>
    </w:r>
    <w:r>
      <w:rPr>
        <w:spacing w:val="-2"/>
      </w:rPr>
      <w:t>FCC 22-31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A15B3A" w14:textId="77777777">
    <w:pPr>
      <w:pStyle w:val="Header"/>
      <w:rPr>
        <w:b w:val="0"/>
      </w:rPr>
    </w:pPr>
    <w:r>
      <w:tab/>
    </w:r>
    <w:r>
      <w:t>Federal Communications Commission</w:t>
    </w:r>
    <w:r>
      <w:tab/>
    </w:r>
    <w:r w:rsidR="0028301F">
      <w:fldChar w:fldCharType="begin"/>
    </w:r>
    <w:r w:rsidR="0028301F">
      <w:instrText xml:space="preserve"> MACROBUTTON  AcceptAllChangesShown "FCC  XX-XXX" </w:instrText>
    </w:r>
    <w:r w:rsidR="0028301F">
      <w:fldChar w:fldCharType="end"/>
    </w:r>
  </w:p>
  <w:p w:rsidR="003660ED" w:rsidRPr="009B6017" w:rsidP="009B6017" w14:paraId="2100C604" w14:textId="4E56B1A2">
    <w:pPr>
      <w:tabs>
        <w:tab w:val="left" w:pos="-720"/>
      </w:tabs>
      <w:suppressAutoHyphens/>
      <w:spacing w:line="19" w:lineRule="exact"/>
      <w:rPr>
        <w:spacing w:val="-2"/>
      </w:rPr>
    </w:pPr>
    <w:r>
      <w:rPr>
        <w:noProof/>
      </w:rPr>
      <w:pict>
        <v:rect id="Rectangle 1" o:spid="_x0000_s2052" style="width:468pt;height:0.95pt;margin-top:0;margin-left:0;mso-position-horizontal-relative:margin;position:absolute;visibility:visible;z-index:-251658240" o:allowincell="f" fillcolor="black" stroked="f" strokeweight="0.05pt">
          <w10:wrap anchorx="margin"/>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E7D0F2C" w14:textId="77777777">
    <w:pPr>
      <w:pStyle w:val="Header"/>
      <w:rPr>
        <w:b w:val="0"/>
      </w:rPr>
    </w:pPr>
    <w:r>
      <w:rPr>
        <w:noProof/>
      </w:rPr>
      <w:pict>
        <v:rect id="Rectangle 3" o:spid="_x0000_s2053"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
    <w:nsid w:val="6A5F0760"/>
    <w:multiLevelType w:val="hybridMultilevel"/>
    <w:tmpl w:val="48CA05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17"/>
    <w:rsid w:val="00036039"/>
    <w:rsid w:val="00037F90"/>
    <w:rsid w:val="00057A4B"/>
    <w:rsid w:val="000664D1"/>
    <w:rsid w:val="00076484"/>
    <w:rsid w:val="000875BF"/>
    <w:rsid w:val="00096D8C"/>
    <w:rsid w:val="000A048A"/>
    <w:rsid w:val="000A3BFB"/>
    <w:rsid w:val="000A7D61"/>
    <w:rsid w:val="000B25D0"/>
    <w:rsid w:val="000B36A6"/>
    <w:rsid w:val="000C0B65"/>
    <w:rsid w:val="000C4B3A"/>
    <w:rsid w:val="000C5AB4"/>
    <w:rsid w:val="000D5460"/>
    <w:rsid w:val="000E05FE"/>
    <w:rsid w:val="000E3D42"/>
    <w:rsid w:val="000F5774"/>
    <w:rsid w:val="0011527D"/>
    <w:rsid w:val="00122BD5"/>
    <w:rsid w:val="00133F79"/>
    <w:rsid w:val="00156F9A"/>
    <w:rsid w:val="00193198"/>
    <w:rsid w:val="00194A66"/>
    <w:rsid w:val="001A678D"/>
    <w:rsid w:val="001B5C77"/>
    <w:rsid w:val="001B5DD6"/>
    <w:rsid w:val="001C25C5"/>
    <w:rsid w:val="001D6BCF"/>
    <w:rsid w:val="001E01CA"/>
    <w:rsid w:val="001E0CCE"/>
    <w:rsid w:val="001F0F7D"/>
    <w:rsid w:val="001F233F"/>
    <w:rsid w:val="002154CA"/>
    <w:rsid w:val="00231DAF"/>
    <w:rsid w:val="00236169"/>
    <w:rsid w:val="00240E60"/>
    <w:rsid w:val="00241A6D"/>
    <w:rsid w:val="002539F6"/>
    <w:rsid w:val="00275CF5"/>
    <w:rsid w:val="0028301F"/>
    <w:rsid w:val="00284672"/>
    <w:rsid w:val="00285017"/>
    <w:rsid w:val="002A2D2E"/>
    <w:rsid w:val="002A4C00"/>
    <w:rsid w:val="002A4EAC"/>
    <w:rsid w:val="002A645E"/>
    <w:rsid w:val="002C00E8"/>
    <w:rsid w:val="002C21D5"/>
    <w:rsid w:val="003062A9"/>
    <w:rsid w:val="0032120D"/>
    <w:rsid w:val="00341BB8"/>
    <w:rsid w:val="00343749"/>
    <w:rsid w:val="00363480"/>
    <w:rsid w:val="003660ED"/>
    <w:rsid w:val="00372853"/>
    <w:rsid w:val="003925CA"/>
    <w:rsid w:val="003A0293"/>
    <w:rsid w:val="003A3673"/>
    <w:rsid w:val="003B0550"/>
    <w:rsid w:val="003B1F31"/>
    <w:rsid w:val="003B694F"/>
    <w:rsid w:val="003D27C3"/>
    <w:rsid w:val="003D51E9"/>
    <w:rsid w:val="003E6D6A"/>
    <w:rsid w:val="003E72BD"/>
    <w:rsid w:val="003F171C"/>
    <w:rsid w:val="0040574C"/>
    <w:rsid w:val="004063D8"/>
    <w:rsid w:val="00411336"/>
    <w:rsid w:val="00412DEE"/>
    <w:rsid w:val="00412FC5"/>
    <w:rsid w:val="004151B5"/>
    <w:rsid w:val="00416DBD"/>
    <w:rsid w:val="00422276"/>
    <w:rsid w:val="004242F1"/>
    <w:rsid w:val="00432B9A"/>
    <w:rsid w:val="00445A00"/>
    <w:rsid w:val="00446E3F"/>
    <w:rsid w:val="00451B0F"/>
    <w:rsid w:val="00467DAF"/>
    <w:rsid w:val="004712A8"/>
    <w:rsid w:val="004818A8"/>
    <w:rsid w:val="00483050"/>
    <w:rsid w:val="00495F27"/>
    <w:rsid w:val="004960AD"/>
    <w:rsid w:val="004A510F"/>
    <w:rsid w:val="004A79C5"/>
    <w:rsid w:val="004C2EE3"/>
    <w:rsid w:val="004C3C60"/>
    <w:rsid w:val="004C7DE7"/>
    <w:rsid w:val="004D1D9B"/>
    <w:rsid w:val="004E4A22"/>
    <w:rsid w:val="004E6AF7"/>
    <w:rsid w:val="00503F1B"/>
    <w:rsid w:val="00511968"/>
    <w:rsid w:val="00550DD9"/>
    <w:rsid w:val="0055614C"/>
    <w:rsid w:val="00566D06"/>
    <w:rsid w:val="005756B3"/>
    <w:rsid w:val="00582599"/>
    <w:rsid w:val="0059359B"/>
    <w:rsid w:val="005962E0"/>
    <w:rsid w:val="005A39BE"/>
    <w:rsid w:val="005B55C2"/>
    <w:rsid w:val="005B69AD"/>
    <w:rsid w:val="005C53FF"/>
    <w:rsid w:val="005D430A"/>
    <w:rsid w:val="005E14C2"/>
    <w:rsid w:val="005E2DA9"/>
    <w:rsid w:val="005E5A71"/>
    <w:rsid w:val="005F1A3C"/>
    <w:rsid w:val="00607BA5"/>
    <w:rsid w:val="0061180A"/>
    <w:rsid w:val="00626EB6"/>
    <w:rsid w:val="00630461"/>
    <w:rsid w:val="00633720"/>
    <w:rsid w:val="0064163C"/>
    <w:rsid w:val="00654DE8"/>
    <w:rsid w:val="00655D03"/>
    <w:rsid w:val="0065764D"/>
    <w:rsid w:val="006623E2"/>
    <w:rsid w:val="00666055"/>
    <w:rsid w:val="0068065B"/>
    <w:rsid w:val="00683388"/>
    <w:rsid w:val="00683A3F"/>
    <w:rsid w:val="00683F84"/>
    <w:rsid w:val="00686D2E"/>
    <w:rsid w:val="006A6A81"/>
    <w:rsid w:val="006B076E"/>
    <w:rsid w:val="006B4066"/>
    <w:rsid w:val="006C2851"/>
    <w:rsid w:val="006C31D1"/>
    <w:rsid w:val="006D1AF0"/>
    <w:rsid w:val="006F6BD4"/>
    <w:rsid w:val="006F7393"/>
    <w:rsid w:val="007003DA"/>
    <w:rsid w:val="0070224F"/>
    <w:rsid w:val="007115F7"/>
    <w:rsid w:val="00724611"/>
    <w:rsid w:val="00732335"/>
    <w:rsid w:val="0073330A"/>
    <w:rsid w:val="00746169"/>
    <w:rsid w:val="00746B1B"/>
    <w:rsid w:val="007524FD"/>
    <w:rsid w:val="00764B8E"/>
    <w:rsid w:val="00785689"/>
    <w:rsid w:val="007917BC"/>
    <w:rsid w:val="0079754B"/>
    <w:rsid w:val="007A1E6D"/>
    <w:rsid w:val="007B0EB2"/>
    <w:rsid w:val="007B60A8"/>
    <w:rsid w:val="007E2E67"/>
    <w:rsid w:val="007F0195"/>
    <w:rsid w:val="00810B6F"/>
    <w:rsid w:val="00820C82"/>
    <w:rsid w:val="00822CE0"/>
    <w:rsid w:val="0082595B"/>
    <w:rsid w:val="008259FA"/>
    <w:rsid w:val="00835B1C"/>
    <w:rsid w:val="00841AB1"/>
    <w:rsid w:val="00845DD6"/>
    <w:rsid w:val="00846777"/>
    <w:rsid w:val="00852834"/>
    <w:rsid w:val="00870DE7"/>
    <w:rsid w:val="008741A6"/>
    <w:rsid w:val="008C0E28"/>
    <w:rsid w:val="008C583E"/>
    <w:rsid w:val="008C68F1"/>
    <w:rsid w:val="008F088A"/>
    <w:rsid w:val="00910B82"/>
    <w:rsid w:val="00911E15"/>
    <w:rsid w:val="00916FC5"/>
    <w:rsid w:val="00921803"/>
    <w:rsid w:val="00923ACE"/>
    <w:rsid w:val="00924F09"/>
    <w:rsid w:val="00926503"/>
    <w:rsid w:val="009275F4"/>
    <w:rsid w:val="009436CA"/>
    <w:rsid w:val="009572CD"/>
    <w:rsid w:val="009655B9"/>
    <w:rsid w:val="00967188"/>
    <w:rsid w:val="009726D8"/>
    <w:rsid w:val="00980268"/>
    <w:rsid w:val="009837A4"/>
    <w:rsid w:val="009B6017"/>
    <w:rsid w:val="009B6145"/>
    <w:rsid w:val="009C1977"/>
    <w:rsid w:val="009D319C"/>
    <w:rsid w:val="009D7308"/>
    <w:rsid w:val="009E5587"/>
    <w:rsid w:val="009F76DB"/>
    <w:rsid w:val="00A04F65"/>
    <w:rsid w:val="00A17966"/>
    <w:rsid w:val="00A211CF"/>
    <w:rsid w:val="00A2335A"/>
    <w:rsid w:val="00A31868"/>
    <w:rsid w:val="00A32C3B"/>
    <w:rsid w:val="00A33DB0"/>
    <w:rsid w:val="00A420CD"/>
    <w:rsid w:val="00A45F4F"/>
    <w:rsid w:val="00A46289"/>
    <w:rsid w:val="00A600A9"/>
    <w:rsid w:val="00AA378D"/>
    <w:rsid w:val="00AA4BB4"/>
    <w:rsid w:val="00AA55B7"/>
    <w:rsid w:val="00AA5B9E"/>
    <w:rsid w:val="00AB2407"/>
    <w:rsid w:val="00AB53DF"/>
    <w:rsid w:val="00AD538C"/>
    <w:rsid w:val="00AF368C"/>
    <w:rsid w:val="00AF3757"/>
    <w:rsid w:val="00AF72D8"/>
    <w:rsid w:val="00B02E99"/>
    <w:rsid w:val="00B03D08"/>
    <w:rsid w:val="00B07E5C"/>
    <w:rsid w:val="00B20910"/>
    <w:rsid w:val="00B26C9E"/>
    <w:rsid w:val="00B70B77"/>
    <w:rsid w:val="00B711C5"/>
    <w:rsid w:val="00B73146"/>
    <w:rsid w:val="00B811F7"/>
    <w:rsid w:val="00B92468"/>
    <w:rsid w:val="00BA4C31"/>
    <w:rsid w:val="00BA5DC6"/>
    <w:rsid w:val="00BA6196"/>
    <w:rsid w:val="00BC6D8C"/>
    <w:rsid w:val="00BE4934"/>
    <w:rsid w:val="00BE6D4C"/>
    <w:rsid w:val="00BF598B"/>
    <w:rsid w:val="00C11AD7"/>
    <w:rsid w:val="00C153A4"/>
    <w:rsid w:val="00C16C08"/>
    <w:rsid w:val="00C22374"/>
    <w:rsid w:val="00C33098"/>
    <w:rsid w:val="00C34006"/>
    <w:rsid w:val="00C36B4C"/>
    <w:rsid w:val="00C426B1"/>
    <w:rsid w:val="00C43F7F"/>
    <w:rsid w:val="00C51F11"/>
    <w:rsid w:val="00C541D2"/>
    <w:rsid w:val="00C645C8"/>
    <w:rsid w:val="00C66160"/>
    <w:rsid w:val="00C721AC"/>
    <w:rsid w:val="00C8224B"/>
    <w:rsid w:val="00C83398"/>
    <w:rsid w:val="00C90D6A"/>
    <w:rsid w:val="00CA07E6"/>
    <w:rsid w:val="00CA247E"/>
    <w:rsid w:val="00CA6D21"/>
    <w:rsid w:val="00CB4C92"/>
    <w:rsid w:val="00CC6606"/>
    <w:rsid w:val="00CC72B6"/>
    <w:rsid w:val="00CD0C6A"/>
    <w:rsid w:val="00CD0EEA"/>
    <w:rsid w:val="00CE326F"/>
    <w:rsid w:val="00D0218D"/>
    <w:rsid w:val="00D05EC7"/>
    <w:rsid w:val="00D202F1"/>
    <w:rsid w:val="00D25FB5"/>
    <w:rsid w:val="00D44223"/>
    <w:rsid w:val="00D46CFA"/>
    <w:rsid w:val="00D51D00"/>
    <w:rsid w:val="00D727B2"/>
    <w:rsid w:val="00D92342"/>
    <w:rsid w:val="00D96BC3"/>
    <w:rsid w:val="00DA2529"/>
    <w:rsid w:val="00DB130A"/>
    <w:rsid w:val="00DB2EBB"/>
    <w:rsid w:val="00DC10A1"/>
    <w:rsid w:val="00DC655F"/>
    <w:rsid w:val="00DD0B59"/>
    <w:rsid w:val="00DD7EBD"/>
    <w:rsid w:val="00DF1E20"/>
    <w:rsid w:val="00DF2201"/>
    <w:rsid w:val="00DF62B6"/>
    <w:rsid w:val="00E01755"/>
    <w:rsid w:val="00E07225"/>
    <w:rsid w:val="00E11F05"/>
    <w:rsid w:val="00E2591C"/>
    <w:rsid w:val="00E31892"/>
    <w:rsid w:val="00E3329D"/>
    <w:rsid w:val="00E362B7"/>
    <w:rsid w:val="00E47313"/>
    <w:rsid w:val="00E52104"/>
    <w:rsid w:val="00E5409F"/>
    <w:rsid w:val="00E677D8"/>
    <w:rsid w:val="00EA113B"/>
    <w:rsid w:val="00EC2BD5"/>
    <w:rsid w:val="00ED5CF2"/>
    <w:rsid w:val="00EE3A41"/>
    <w:rsid w:val="00EE6488"/>
    <w:rsid w:val="00EE70EB"/>
    <w:rsid w:val="00F01D69"/>
    <w:rsid w:val="00F021FA"/>
    <w:rsid w:val="00F07764"/>
    <w:rsid w:val="00F119E5"/>
    <w:rsid w:val="00F23895"/>
    <w:rsid w:val="00F62E97"/>
    <w:rsid w:val="00F64209"/>
    <w:rsid w:val="00F66029"/>
    <w:rsid w:val="00F66E19"/>
    <w:rsid w:val="00F77E06"/>
    <w:rsid w:val="00F81B8F"/>
    <w:rsid w:val="00F93BF5"/>
    <w:rsid w:val="00FA3F3C"/>
    <w:rsid w:val="00FC697E"/>
    <w:rsid w:val="00FD008E"/>
    <w:rsid w:val="00FE0680"/>
    <w:rsid w:val="00FE1A85"/>
    <w:rsid w:val="00FE530A"/>
    <w:rsid w:val="00FE5344"/>
    <w:rsid w:val="1C3245C2"/>
    <w:rsid w:val="46BB033C"/>
    <w:rsid w:val="51B2F8E3"/>
    <w:rsid w:val="5759B4B5"/>
    <w:rsid w:val="777889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190241"/>
  <w15:chartTrackingRefBased/>
  <w15:docId w15:val="{23C1EEBC-9A28-4B24-B81B-AB623C6E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B6017"/>
    <w:pPr>
      <w:widowControl w:val="0"/>
    </w:pPr>
    <w:rPr>
      <w:snapToGrid w:val="0"/>
      <w:kern w:val="28"/>
      <w:sz w:val="22"/>
    </w:rPr>
  </w:style>
  <w:style w:type="paragraph" w:styleId="Heading1">
    <w:name w:val="heading 1"/>
    <w:basedOn w:val="Normal"/>
    <w:next w:val="ParaNum"/>
    <w:link w:val="Heading1Char"/>
    <w:qFormat/>
    <w:rsid w:val="009B601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1"/>
    <w:autoRedefine/>
    <w:qFormat/>
    <w:rsid w:val="009B6017"/>
    <w:pPr>
      <w:keepNext/>
      <w:numPr>
        <w:ilvl w:val="1"/>
        <w:numId w:val="2"/>
      </w:numPr>
      <w:spacing w:after="120"/>
      <w:outlineLvl w:val="1"/>
    </w:pPr>
    <w:rPr>
      <w:b/>
    </w:rPr>
  </w:style>
  <w:style w:type="paragraph" w:styleId="Heading3">
    <w:name w:val="heading 3"/>
    <w:basedOn w:val="Normal"/>
    <w:next w:val="ParaNum"/>
    <w:qFormat/>
    <w:rsid w:val="009B6017"/>
    <w:pPr>
      <w:keepNext/>
      <w:numPr>
        <w:ilvl w:val="2"/>
        <w:numId w:val="2"/>
      </w:numPr>
      <w:tabs>
        <w:tab w:val="left" w:pos="2160"/>
      </w:tabs>
      <w:spacing w:after="120"/>
      <w:outlineLvl w:val="2"/>
    </w:pPr>
    <w:rPr>
      <w:b/>
    </w:rPr>
  </w:style>
  <w:style w:type="paragraph" w:styleId="Heading4">
    <w:name w:val="heading 4"/>
    <w:basedOn w:val="Normal"/>
    <w:next w:val="ParaNum"/>
    <w:qFormat/>
    <w:rsid w:val="009B6017"/>
    <w:pPr>
      <w:keepNext/>
      <w:numPr>
        <w:ilvl w:val="3"/>
        <w:numId w:val="2"/>
      </w:numPr>
      <w:tabs>
        <w:tab w:val="left" w:pos="2880"/>
      </w:tabs>
      <w:spacing w:after="120"/>
      <w:outlineLvl w:val="3"/>
    </w:pPr>
    <w:rPr>
      <w:b/>
    </w:rPr>
  </w:style>
  <w:style w:type="paragraph" w:styleId="Heading5">
    <w:name w:val="heading 5"/>
    <w:basedOn w:val="Normal"/>
    <w:next w:val="ParaNum"/>
    <w:qFormat/>
    <w:rsid w:val="009B6017"/>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9B6017"/>
    <w:pPr>
      <w:numPr>
        <w:ilvl w:val="5"/>
        <w:numId w:val="2"/>
      </w:numPr>
      <w:tabs>
        <w:tab w:val="left" w:pos="4320"/>
      </w:tabs>
      <w:spacing w:after="120"/>
      <w:outlineLvl w:val="5"/>
    </w:pPr>
    <w:rPr>
      <w:b/>
    </w:rPr>
  </w:style>
  <w:style w:type="paragraph" w:styleId="Heading7">
    <w:name w:val="heading 7"/>
    <w:basedOn w:val="Normal"/>
    <w:next w:val="ParaNum"/>
    <w:qFormat/>
    <w:rsid w:val="009B6017"/>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9B601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9B601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B60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6017"/>
  </w:style>
  <w:style w:type="paragraph" w:customStyle="1" w:styleId="ParaNum">
    <w:name w:val="ParaNum"/>
    <w:basedOn w:val="Normal"/>
    <w:link w:val="ParaNumChar"/>
    <w:rsid w:val="009B6017"/>
    <w:pPr>
      <w:numPr>
        <w:numId w:val="1"/>
      </w:numPr>
      <w:spacing w:after="120"/>
    </w:pPr>
  </w:style>
  <w:style w:type="paragraph" w:styleId="EndnoteText">
    <w:name w:val="endnote text"/>
    <w:basedOn w:val="Normal"/>
    <w:semiHidden/>
    <w:rsid w:val="009B6017"/>
    <w:rPr>
      <w:sz w:val="20"/>
    </w:rPr>
  </w:style>
  <w:style w:type="character" w:styleId="EndnoteReference">
    <w:name w:val="endnote reference"/>
    <w:semiHidden/>
    <w:rsid w:val="009B6017"/>
    <w:rPr>
      <w:vertAlign w:val="superscript"/>
    </w:rPr>
  </w:style>
  <w:style w:type="paragraph" w:styleId="FootnoteText">
    <w:name w:val="footnote text"/>
    <w:link w:val="FootnoteTextChar"/>
    <w:rsid w:val="009B6017"/>
    <w:pPr>
      <w:spacing w:after="120"/>
    </w:pPr>
  </w:style>
  <w:style w:type="character" w:styleId="FootnoteReference">
    <w:name w:val="footnote reference"/>
    <w:rsid w:val="009B6017"/>
    <w:rPr>
      <w:rFonts w:ascii="Times New Roman" w:hAnsi="Times New Roman"/>
      <w:dstrike w:val="0"/>
      <w:color w:val="auto"/>
      <w:sz w:val="20"/>
      <w:vertAlign w:val="superscript"/>
    </w:rPr>
  </w:style>
  <w:style w:type="paragraph" w:styleId="TOC1">
    <w:name w:val="toc 1"/>
    <w:basedOn w:val="Normal"/>
    <w:next w:val="Normal"/>
    <w:rsid w:val="009B6017"/>
    <w:pPr>
      <w:tabs>
        <w:tab w:val="left" w:pos="360"/>
        <w:tab w:val="right" w:leader="dot" w:pos="9360"/>
      </w:tabs>
      <w:suppressAutoHyphens/>
      <w:ind w:left="360" w:right="720" w:hanging="360"/>
    </w:pPr>
    <w:rPr>
      <w:caps/>
      <w:noProof/>
    </w:rPr>
  </w:style>
  <w:style w:type="paragraph" w:styleId="TOC2">
    <w:name w:val="toc 2"/>
    <w:basedOn w:val="Normal"/>
    <w:next w:val="Normal"/>
    <w:rsid w:val="009B6017"/>
    <w:pPr>
      <w:tabs>
        <w:tab w:val="left" w:pos="720"/>
        <w:tab w:val="right" w:leader="dot" w:pos="9360"/>
      </w:tabs>
      <w:suppressAutoHyphens/>
      <w:ind w:left="720" w:right="720" w:hanging="360"/>
    </w:pPr>
    <w:rPr>
      <w:noProof/>
    </w:rPr>
  </w:style>
  <w:style w:type="paragraph" w:styleId="TOC3">
    <w:name w:val="toc 3"/>
    <w:basedOn w:val="Normal"/>
    <w:next w:val="Normal"/>
    <w:semiHidden/>
    <w:rsid w:val="009B601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B601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B601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B601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B601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B601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B601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B6017"/>
    <w:pPr>
      <w:tabs>
        <w:tab w:val="right" w:pos="9360"/>
      </w:tabs>
      <w:suppressAutoHyphens/>
    </w:pPr>
  </w:style>
  <w:style w:type="character" w:customStyle="1" w:styleId="EquationCaption">
    <w:name w:val="_Equation Caption"/>
    <w:rsid w:val="009B6017"/>
  </w:style>
  <w:style w:type="paragraph" w:styleId="Header">
    <w:name w:val="header"/>
    <w:basedOn w:val="Normal"/>
    <w:link w:val="HeaderChar"/>
    <w:autoRedefine/>
    <w:rsid w:val="009B6017"/>
    <w:pPr>
      <w:tabs>
        <w:tab w:val="center" w:pos="4680"/>
        <w:tab w:val="right" w:pos="9360"/>
      </w:tabs>
    </w:pPr>
    <w:rPr>
      <w:b/>
    </w:rPr>
  </w:style>
  <w:style w:type="paragraph" w:styleId="Footer">
    <w:name w:val="footer"/>
    <w:basedOn w:val="Normal"/>
    <w:link w:val="FooterChar"/>
    <w:uiPriority w:val="99"/>
    <w:rsid w:val="009B6017"/>
    <w:pPr>
      <w:tabs>
        <w:tab w:val="center" w:pos="4320"/>
        <w:tab w:val="right" w:pos="8640"/>
      </w:tabs>
    </w:pPr>
  </w:style>
  <w:style w:type="character" w:styleId="PageNumber">
    <w:name w:val="page number"/>
    <w:basedOn w:val="DefaultParagraphFont"/>
    <w:rsid w:val="009B6017"/>
  </w:style>
  <w:style w:type="paragraph" w:styleId="BlockText">
    <w:name w:val="Block Text"/>
    <w:basedOn w:val="Normal"/>
    <w:rsid w:val="009B6017"/>
    <w:pPr>
      <w:spacing w:after="240"/>
      <w:ind w:left="1440" w:right="1440"/>
    </w:pPr>
  </w:style>
  <w:style w:type="paragraph" w:customStyle="1" w:styleId="Paratitle">
    <w:name w:val="Para title"/>
    <w:basedOn w:val="Normal"/>
    <w:rsid w:val="009B6017"/>
    <w:pPr>
      <w:tabs>
        <w:tab w:val="center" w:pos="9270"/>
      </w:tabs>
      <w:spacing w:after="240"/>
    </w:pPr>
    <w:rPr>
      <w:spacing w:val="-2"/>
    </w:rPr>
  </w:style>
  <w:style w:type="paragraph" w:customStyle="1" w:styleId="Bullet">
    <w:name w:val="Bullet"/>
    <w:basedOn w:val="Normal"/>
    <w:rsid w:val="009B6017"/>
    <w:pPr>
      <w:tabs>
        <w:tab w:val="left" w:pos="2160"/>
      </w:tabs>
      <w:spacing w:after="220"/>
      <w:ind w:left="2160" w:hanging="720"/>
    </w:pPr>
  </w:style>
  <w:style w:type="paragraph" w:customStyle="1" w:styleId="TableFormat">
    <w:name w:val="TableFormat"/>
    <w:basedOn w:val="Bullet"/>
    <w:rsid w:val="009B6017"/>
    <w:pPr>
      <w:tabs>
        <w:tab w:val="clear" w:pos="2160"/>
        <w:tab w:val="left" w:pos="5040"/>
      </w:tabs>
      <w:ind w:left="5040" w:hanging="3600"/>
    </w:pPr>
  </w:style>
  <w:style w:type="paragraph" w:customStyle="1" w:styleId="TOCTitle">
    <w:name w:val="TOC Title"/>
    <w:basedOn w:val="Normal"/>
    <w:rsid w:val="009B601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B6017"/>
    <w:pPr>
      <w:jc w:val="center"/>
    </w:pPr>
    <w:rPr>
      <w:rFonts w:ascii="Times New Roman Bold" w:hAnsi="Times New Roman Bold"/>
      <w:b/>
      <w:bCs/>
      <w:caps/>
      <w:szCs w:val="22"/>
    </w:rPr>
  </w:style>
  <w:style w:type="character" w:styleId="Hyperlink">
    <w:name w:val="Hyperlink"/>
    <w:rsid w:val="009B6017"/>
    <w:rPr>
      <w:color w:val="0000FF"/>
      <w:u w:val="single"/>
    </w:rPr>
  </w:style>
  <w:style w:type="character" w:customStyle="1" w:styleId="FooterChar">
    <w:name w:val="Footer Char"/>
    <w:link w:val="Footer"/>
    <w:uiPriority w:val="99"/>
    <w:rsid w:val="009B6017"/>
    <w:rPr>
      <w:snapToGrid w:val="0"/>
      <w:kern w:val="28"/>
      <w:sz w:val="22"/>
    </w:rPr>
  </w:style>
  <w:style w:type="character" w:customStyle="1" w:styleId="FootnoteTextChar">
    <w:name w:val="Footnote Text Char"/>
    <w:aliases w:val="ALTS FOOTNOTE Char Char,Footnote Text Char Char Char1,Footnote Text Char Char Char1 Char Char Char,Footnote Text Char Char Char2 Char Char,Footnote Text Char1 Char,Footnote Text Char1 Char1 Char Char Char,Footnote Text Char3 Char Char"/>
    <w:link w:val="FootnoteText"/>
    <w:rsid w:val="009B6017"/>
  </w:style>
  <w:style w:type="character" w:styleId="CommentReference">
    <w:name w:val="annotation reference"/>
    <w:uiPriority w:val="99"/>
    <w:unhideWhenUsed/>
    <w:rsid w:val="009B6017"/>
    <w:rPr>
      <w:sz w:val="16"/>
      <w:szCs w:val="16"/>
    </w:rPr>
  </w:style>
  <w:style w:type="paragraph" w:styleId="CommentText">
    <w:name w:val="annotation text"/>
    <w:basedOn w:val="Normal"/>
    <w:link w:val="CommentTextChar"/>
    <w:uiPriority w:val="99"/>
    <w:unhideWhenUsed/>
    <w:rsid w:val="009B6017"/>
    <w:rPr>
      <w:sz w:val="20"/>
    </w:rPr>
  </w:style>
  <w:style w:type="character" w:customStyle="1" w:styleId="CommentTextChar">
    <w:name w:val="Comment Text Char"/>
    <w:link w:val="CommentText"/>
    <w:uiPriority w:val="99"/>
    <w:rsid w:val="009B6017"/>
    <w:rPr>
      <w:snapToGrid w:val="0"/>
      <w:kern w:val="28"/>
    </w:rPr>
  </w:style>
  <w:style w:type="paragraph" w:styleId="CommentSubject">
    <w:name w:val="annotation subject"/>
    <w:basedOn w:val="CommentText"/>
    <w:next w:val="CommentText"/>
    <w:link w:val="CommentSubjectChar"/>
    <w:rsid w:val="009B6017"/>
    <w:rPr>
      <w:b/>
      <w:bCs/>
    </w:rPr>
  </w:style>
  <w:style w:type="character" w:customStyle="1" w:styleId="CommentSubjectChar">
    <w:name w:val="Comment Subject Char"/>
    <w:link w:val="CommentSubject"/>
    <w:rsid w:val="009B6017"/>
    <w:rPr>
      <w:b/>
      <w:bCs/>
      <w:snapToGrid w:val="0"/>
      <w:kern w:val="28"/>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9B6017"/>
    <w:rPr>
      <w:rFonts w:ascii="Times New Roman Bold" w:hAnsi="Times New Roman Bold"/>
      <w:b/>
      <w:caps/>
      <w:snapToGrid w:val="0"/>
      <w:kern w:val="28"/>
      <w:sz w:val="22"/>
    </w:rPr>
  </w:style>
  <w:style w:type="character" w:customStyle="1" w:styleId="ParaNumChar">
    <w:name w:val="ParaNum Char"/>
    <w:link w:val="ParaNum"/>
    <w:locked/>
    <w:rsid w:val="009B6017"/>
    <w:rPr>
      <w:snapToGrid w:val="0"/>
      <w:kern w:val="28"/>
      <w:sz w:val="22"/>
    </w:rPr>
  </w:style>
  <w:style w:type="character" w:customStyle="1" w:styleId="Heading2Char1">
    <w:name w:val="Heading 2 Char1"/>
    <w:aliases w:val="Char Char2,Heading 2 Char Char1 Char Char Char Char Char Char2,Heading 2 Char Char1 Char Char Char Char2,Heading 2 Char Char3 Char Char2,Heading 2 Char1 Char Char Char Char2,Heading 2 Char1 Char Char2,h2 Cha Char2,h2 Char Char"/>
    <w:link w:val="Heading2"/>
    <w:rsid w:val="009B6017"/>
    <w:rPr>
      <w:b/>
      <w:snapToGrid w:val="0"/>
      <w:kern w:val="28"/>
      <w:sz w:val="22"/>
    </w:rPr>
  </w:style>
  <w:style w:type="character" w:customStyle="1" w:styleId="Heading2Char">
    <w:name w:val="Heading 2 Char"/>
    <w:aliases w:val="Char Char1,Heading 2 Char Char1 Char Char Char Char Char Char,Heading 2 Char Char1 Char Char Char Char1,Heading 2 Char Char3 Char Char1,Heading 2 Char1 Char Char Char Char1,Heading 2 Char1 Char Char1,Heading 2 Char1 Char2,h2 Cha Char"/>
    <w:rsid w:val="009B6017"/>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9B6017"/>
    <w:rPr>
      <w:b/>
      <w:snapToGrid w:val="0"/>
      <w:kern w:val="28"/>
      <w:sz w:val="22"/>
    </w:rPr>
  </w:style>
  <w:style w:type="paragraph" w:styleId="ListParagraph">
    <w:name w:val="List Paragraph"/>
    <w:basedOn w:val="Normal"/>
    <w:uiPriority w:val="34"/>
    <w:qFormat/>
    <w:rsid w:val="009B6017"/>
    <w:pPr>
      <w:ind w:left="720"/>
      <w:contextualSpacing/>
    </w:pPr>
  </w:style>
  <w:style w:type="character" w:customStyle="1" w:styleId="HeaderChar">
    <w:name w:val="Header Char"/>
    <w:link w:val="Header"/>
    <w:rsid w:val="009B6017"/>
    <w:rPr>
      <w:b/>
      <w:snapToGrid w:val="0"/>
      <w:kern w:val="28"/>
      <w:sz w:val="22"/>
    </w:rPr>
  </w:style>
  <w:style w:type="character" w:customStyle="1" w:styleId="UnresolvedMention1">
    <w:name w:val="Unresolved Mention1"/>
    <w:uiPriority w:val="99"/>
    <w:unhideWhenUsed/>
    <w:rsid w:val="009B6017"/>
    <w:rPr>
      <w:color w:val="605E5C"/>
      <w:shd w:val="clear" w:color="auto" w:fill="E1DFDD"/>
    </w:rPr>
  </w:style>
  <w:style w:type="character" w:customStyle="1" w:styleId="StyleParaNumCharCharBold1Char">
    <w:name w:val="Style ParaNum Char Char + Bold1 Char"/>
    <w:link w:val="StyleParaNumCharCharBold1"/>
    <w:locked/>
    <w:rsid w:val="009B6017"/>
    <w:rPr>
      <w:b/>
      <w:bCs/>
      <w:kern w:val="28"/>
      <w:sz w:val="22"/>
    </w:rPr>
  </w:style>
  <w:style w:type="paragraph" w:customStyle="1" w:styleId="StyleParaNumCharCharBold1">
    <w:name w:val="Style ParaNum Char Char + Bold1"/>
    <w:basedOn w:val="Normal"/>
    <w:next w:val="Normal"/>
    <w:link w:val="StyleParaNumCharCharBold1Char"/>
    <w:rsid w:val="009B6017"/>
    <w:pPr>
      <w:snapToGrid w:val="0"/>
    </w:pPr>
    <w:rPr>
      <w:b/>
      <w:bCs/>
      <w:snapToGrid/>
    </w:rPr>
  </w:style>
  <w:style w:type="character" w:customStyle="1" w:styleId="Footnote">
    <w:name w:val="Footnote"/>
    <w:rsid w:val="009B6017"/>
    <w:rPr>
      <w:rFonts w:ascii="Times New Roman" w:hAnsi="Times New Roman" w:cs="Times New Roman" w:hint="default"/>
    </w:rPr>
  </w:style>
  <w:style w:type="character" w:customStyle="1" w:styleId="FootnoteTextCharCharCharChar3CharCharChar1">
    <w:name w:val="Footnote Text Char Char Char Char3 Char Char Char1"/>
    <w:aliases w:val="Footnote Text Char Char Char Char3 Char,Footnote Text Char Char3 Char,Footnote Text Char1 Char Char3 Char"/>
    <w:rsid w:val="009B6017"/>
    <w:rPr>
      <w:rFonts w:ascii="Times New Roman" w:hAnsi="Times New Roman"/>
    </w:rPr>
  </w:style>
  <w:style w:type="character" w:customStyle="1" w:styleId="StyleFootnoteReferenceStyle13Style12NECGFootnoteReferenc">
    <w:name w:val="Style Footnote ReferenceStyle 13Style 12(NECG) Footnote Referenc..."/>
    <w:rsid w:val="009B6017"/>
    <w:rPr>
      <w:rFonts w:ascii="Times New Roman" w:hAnsi="Times New Roman" w:cs="Times New Roman" w:hint="default"/>
      <w:color w:val="auto"/>
      <w:sz w:val="20"/>
      <w:vertAlign w:val="superscript"/>
    </w:rPr>
  </w:style>
  <w:style w:type="character" w:styleId="Emphasis">
    <w:name w:val="Emphasis"/>
    <w:qFormat/>
    <w:rsid w:val="009B6017"/>
    <w:rPr>
      <w:i/>
      <w:iCs/>
    </w:rPr>
  </w:style>
  <w:style w:type="character" w:customStyle="1" w:styleId="Mention1">
    <w:name w:val="Mention1"/>
    <w:uiPriority w:val="99"/>
    <w:unhideWhenUsed/>
    <w:rsid w:val="009B6017"/>
    <w:rPr>
      <w:color w:val="2B579A"/>
      <w:shd w:val="clear" w:color="auto" w:fill="E1DFDD"/>
    </w:rPr>
  </w:style>
  <w:style w:type="character" w:styleId="FollowedHyperlink">
    <w:name w:val="FollowedHyperlink"/>
    <w:rsid w:val="009B6017"/>
    <w:rPr>
      <w:color w:val="954F72"/>
      <w:u w:val="single"/>
    </w:rPr>
  </w:style>
  <w:style w:type="paragraph" w:styleId="Revision">
    <w:name w:val="Revision"/>
    <w:hidden/>
    <w:uiPriority w:val="99"/>
    <w:semiHidden/>
    <w:rsid w:val="009B6017"/>
    <w:rPr>
      <w:snapToGrid w:val="0"/>
      <w:kern w:val="28"/>
      <w:sz w:val="22"/>
    </w:rPr>
  </w:style>
  <w:style w:type="character" w:customStyle="1" w:styleId="FootnoteTextChar2Char">
    <w:name w:val="Footnote Text Char2 Char"/>
    <w:aliases w:val="Footnote Text Char Char Char,Footnote Text Char Char3 Char Char Char Char Char,Footnote Text Char3 Char1 Char Char Char Char,Footnote Text Char4 Char Char Char Char,f Char"/>
    <w:uiPriority w:val="99"/>
    <w:rsid w:val="009B6017"/>
    <w:rPr>
      <w:sz w:val="20"/>
      <w:szCs w:val="20"/>
    </w:rPr>
  </w:style>
  <w:style w:type="character" w:customStyle="1" w:styleId="ParaNumCharChar1">
    <w:name w:val="ParaNum Char Char1"/>
    <w:locked/>
    <w:rsid w:val="009B6017"/>
    <w:rPr>
      <w:rFonts w:eastAsia="Times New Roman" w:cs="Times New Roman"/>
      <w:snapToGrid w:val="0"/>
      <w:kern w:val="28"/>
      <w:sz w:val="22"/>
      <w:szCs w:val="20"/>
    </w:rPr>
  </w:style>
  <w:style w:type="character" w:customStyle="1" w:styleId="ParaNumChar1">
    <w:name w:val="ParaNum Char1"/>
    <w:locked/>
    <w:rsid w:val="009B6017"/>
    <w:rPr>
      <w:snapToGrid w:val="0"/>
      <w:kern w:val="28"/>
      <w:sz w:val="22"/>
      <w:lang w:val="en-US" w:eastAsia="en-US" w:bidi="ar-SA"/>
    </w:rPr>
  </w:style>
  <w:style w:type="character" w:customStyle="1" w:styleId="Heading2Char2">
    <w:name w:val="Heading 2 Char2"/>
    <w:aliases w:val="Char Char,Heading 2 Char Char1 Char Char Char Char,Heading 2 Char Char1 Char Char Char Char Char Char1,Heading 2 Char Char3 Char Char,Heading 2 Char1 Char Char,Heading 2 Char1 Char Char Char Char,Heading 2 Char1 Char1,h2 Cha Char1"/>
    <w:rsid w:val="009B6017"/>
    <w:rPr>
      <w:b/>
      <w:bC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header" Target="header5.xml" /><Relationship Id="rId18" Type="http://schemas.openxmlformats.org/officeDocument/2006/relationships/footer" Target="footer5.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fcc-closes-headquarters-open-window-and-changes-hand-delivery-policy" TargetMode="External" /><Relationship Id="rId6" Type="http://schemas.openxmlformats.org/officeDocument/2006/relationships/hyperlink" Target="mailto:fcc504@fcc.gov" TargetMode="External" /><Relationship Id="rId7" Type="http://schemas.openxmlformats.org/officeDocument/2006/relationships/hyperlink" Target="mailto:james.wiley@fcc.gov" TargetMode="External" /><Relationship Id="rId8" Type="http://schemas.openxmlformats.org/officeDocument/2006/relationships/hyperlink" Target="mailto:david.kirschner@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files/weamasterregistry112019xls" TargetMode="External" /><Relationship Id="rId10" Type="http://schemas.openxmlformats.org/officeDocument/2006/relationships/hyperlink" Target="https://docs.fcc.gov/public/attachments/DOC-378907A1.pdf" TargetMode="External" /><Relationship Id="rId11" Type="http://schemas.openxmlformats.org/officeDocument/2006/relationships/hyperlink" Target="https://www.shakealert.org/implementation/wea/" TargetMode="External" /><Relationship Id="rId12" Type="http://schemas.openxmlformats.org/officeDocument/2006/relationships/hyperlink" Target="https://coloradosun.com/2022/01/06/marshall-fire-evacuation-911/" TargetMode="External" /><Relationship Id="rId13" Type="http://schemas.openxmlformats.org/officeDocument/2006/relationships/hyperlink" Target="https://coronavirus.utah.gov/utah-discontinues-wireless-emergency-alerts-at-state-lines/" TargetMode="External" /><Relationship Id="rId14" Type="http://schemas.openxmlformats.org/officeDocument/2006/relationships/hyperlink" Target="https://www.fema.gov/alerting-authorities" TargetMode="External" /><Relationship Id="rId15" Type="http://schemas.openxmlformats.org/officeDocument/2006/relationships/hyperlink" Target="https://www.gao.gov/assets/gao-20-294.pdf" TargetMode="External" /><Relationship Id="rId16" Type="http://schemas.openxmlformats.org/officeDocument/2006/relationships/hyperlink" Target="https://www.gao.gov/products/gao-20-294" TargetMode="External" /><Relationship Id="rId17" Type="http://schemas.openxmlformats.org/officeDocument/2006/relationships/hyperlink" Target="https://www.fcc.gov/document/fcc-announces-survey-partnerships-wireless-emergency-alert-test" TargetMode="External" /><Relationship Id="rId18" Type="http://schemas.openxmlformats.org/officeDocument/2006/relationships/hyperlink" Target="https://docs.fcc.gov/public/attachments/DOC-356902A1.pdf" TargetMode="External" /><Relationship Id="rId19" Type="http://schemas.openxmlformats.org/officeDocument/2006/relationships/hyperlink" Target="https://webstore.ansi.org/Standards/ATIS/ATIS0500011" TargetMode="External" /><Relationship Id="rId2" Type="http://schemas.openxmlformats.org/officeDocument/2006/relationships/hyperlink" Target="https://www.missingkids.org/gethelpnow/amber" TargetMode="External" /><Relationship Id="rId20" Type="http://schemas.openxmlformats.org/officeDocument/2006/relationships/hyperlink" Target="https://www.fcc.gov/file/21891/download" TargetMode="External" /><Relationship Id="rId21" Type="http://schemas.openxmlformats.org/officeDocument/2006/relationships/hyperlink" Target="https://opendata.fcc.gov/Public-Safety/CSRIC-Best-Practices/qb45-rw2t/data" TargetMode="External" /><Relationship Id="rId22" Type="http://schemas.openxmlformats.org/officeDocument/2006/relationships/hyperlink" Target="https://cdn.advocacy.sba.gov/wp-content/uploads/2021/11/03093005/Small-Business-FAQ-2021.pdf" TargetMode="External" /><Relationship Id="rId23" Type="http://schemas.openxmlformats.org/officeDocument/2006/relationships/hyperlink" Target="https://www.irs.gov/charities-non-profits/annual-electronic-filing-requirement-for-small-exempt-organizations-form-990-n-e-postcard" TargetMode="External" /><Relationship Id="rId24" Type="http://schemas.openxmlformats.org/officeDocument/2006/relationships/hyperlink" Target="https://www.irs.gov/charities-non-profits/exempt-organizations-business-master-file-extract-eo-bmf" TargetMode="External" /><Relationship Id="rId25" Type="http://schemas.openxmlformats.org/officeDocument/2006/relationships/hyperlink" Target="https://www.census.gov/programs-surveys/cog/about.html" TargetMode="External" /><Relationship Id="rId26" Type="http://schemas.openxmlformats.org/officeDocument/2006/relationships/hyperlink" Target="https://www.census.gov/data/tables/2017/econ/gus/2017-governments.html" TargetMode="External" /><Relationship Id="rId27" Type="http://schemas.openxmlformats.org/officeDocument/2006/relationships/hyperlink" Target="https://www.census.gov/naics/?input=517312&amp;year=2017&amp;details=517312" TargetMode="External" /><Relationship Id="rId28" Type="http://schemas.openxmlformats.org/officeDocument/2006/relationships/hyperlink" Target="https://data.census.gov/cedsci/table?y=2017&amp;n=517312&amp;tid=ECNSIZE2017.EC1700SIZEEMPFIRM&amp;hidePreview=false" TargetMode="External" /><Relationship Id="rId29" Type="http://schemas.openxmlformats.org/officeDocument/2006/relationships/hyperlink" Target="https://docs.fcc.gov/public/attachments/DOC-379181A1.pdf" TargetMode="External" /><Relationship Id="rId3" Type="http://schemas.openxmlformats.org/officeDocument/2006/relationships/hyperlink" Target="https://www.cnn.com/2019/05/29/us/weather-alert-tech-saved-lives-trnd/index.html" TargetMode="External" /><Relationship Id="rId30" Type="http://schemas.openxmlformats.org/officeDocument/2006/relationships/hyperlink" Target="https://wireless2.fcc.gov/UlsApp/UlsSearch/searchAdvanced.jsp" TargetMode="External" /><Relationship Id="rId31" Type="http://schemas.openxmlformats.org/officeDocument/2006/relationships/hyperlink" Target="https://www.fcc.gov/auctions" TargetMode="External" /><Relationship Id="rId32" Type="http://schemas.openxmlformats.org/officeDocument/2006/relationships/hyperlink" Target="https://www.fcc.gov/sites/default/files/wireless/auctions/41/charts/41cls2.pdf" TargetMode="External" /><Relationship Id="rId33" Type="http://schemas.openxmlformats.org/officeDocument/2006/relationships/hyperlink" Target="https://www.fcc.gov/sites/default/files/wireless/auctions/50/charts/50cls2.pdf" TargetMode="External" /><Relationship Id="rId34" Type="http://schemas.openxmlformats.org/officeDocument/2006/relationships/hyperlink" Target="https://www.fcc.gov/sites/default/files/wireless/auctions/33/charts/33cls2.pdf" TargetMode="External" /><Relationship Id="rId35" Type="http://schemas.openxmlformats.org/officeDocument/2006/relationships/hyperlink" Target="https://www.fcc.gov/sites/default/files/wireless/auctions/38/charts/38cls2.pdf" TargetMode="External" /><Relationship Id="rId36" Type="http://schemas.openxmlformats.org/officeDocument/2006/relationships/hyperlink" Target="https://www.fcc.gov/auction/44/factsheet" TargetMode="External" /><Relationship Id="rId37" Type="http://schemas.openxmlformats.org/officeDocument/2006/relationships/hyperlink" Target="https://www.fcc.gov/auction/49/factsheet" TargetMode="External" /><Relationship Id="rId38" Type="http://schemas.openxmlformats.org/officeDocument/2006/relationships/hyperlink" Target="https://www.fcc.gov/auction/60/factsheet" TargetMode="External" /><Relationship Id="rId39" Type="http://schemas.openxmlformats.org/officeDocument/2006/relationships/hyperlink" Target="https://www.fcc.gov/sites/default/files/wireless/auctions/44/charts/44cls2.pdf" TargetMode="External" /><Relationship Id="rId4" Type="http://schemas.openxmlformats.org/officeDocument/2006/relationships/hyperlink" Target="https://www.weather.gov/chs/JohnsIslandTornado-Sep2015" TargetMode="External" /><Relationship Id="rId40" Type="http://schemas.openxmlformats.org/officeDocument/2006/relationships/hyperlink" Target="https://www.fcc.gov/sites/default/files/wireless/auctions/49/charts/49cls2.pdf" TargetMode="External" /><Relationship Id="rId41" Type="http://schemas.openxmlformats.org/officeDocument/2006/relationships/hyperlink" Target="https://www.fcc.gov/sites/default/files/wireless/auctions/60/charts/60cls2.pdf" TargetMode="External" /><Relationship Id="rId42" Type="http://schemas.openxmlformats.org/officeDocument/2006/relationships/hyperlink" Target="https://www.fcc.gov/auction/73/factsheet" TargetMode="External" /><Relationship Id="rId43" Type="http://schemas.openxmlformats.org/officeDocument/2006/relationships/hyperlink" Target="https://www.fcc.gov/sites/default/files/wireless/auctions/66/charts/66cls2.pdf" TargetMode="External" /><Relationship Id="rId44" Type="http://schemas.openxmlformats.org/officeDocument/2006/relationships/hyperlink" Target="https://www.fcc.gov/sites/default/files/wireless/auctions/86/charts/86bidder.xls" TargetMode="External" /><Relationship Id="rId45" Type="http://schemas.openxmlformats.org/officeDocument/2006/relationships/hyperlink" Target="https://www.census.gov/naics/?input=517311&amp;year=2017&amp;details=517311" TargetMode="External" /><Relationship Id="rId46" Type="http://schemas.openxmlformats.org/officeDocument/2006/relationships/hyperlink" Target="https://data.census.gov/cedsci/table?y=2017&amp;n=517311&amp;tid=ECNSIZE2017.EC1700SIZEEMPFIRM&amp;hidePreview=false" TargetMode="External" /><Relationship Id="rId47" Type="http://schemas.openxmlformats.org/officeDocument/2006/relationships/hyperlink" Target="https://www.census.gov/naics/?input=334220&amp;year=2017&amp;details=334220" TargetMode="External" /><Relationship Id="rId48" Type="http://schemas.openxmlformats.org/officeDocument/2006/relationships/hyperlink" Target="https://data.census.gov/cedsci/table?y=2017&amp;n=334220&amp;tid=ECNSIZE2017.EC1700SIZEEMPFIRM&amp;hidePreview=false" TargetMode="External" /><Relationship Id="rId49" Type="http://schemas.openxmlformats.org/officeDocument/2006/relationships/hyperlink" Target="https://www.census.gov/naics/?input=511210&amp;year=2017&amp;details=511210" TargetMode="External" /><Relationship Id="rId5" Type="http://schemas.openxmlformats.org/officeDocument/2006/relationships/hyperlink" Target="https://www.wcvb.com/article/wireless-emergency-alert-saved-lives-prevented-injuries/8066962" TargetMode="External" /><Relationship Id="rId50" Type="http://schemas.openxmlformats.org/officeDocument/2006/relationships/hyperlink" Target="https://data.census.gov/cedsci/table?y=2017&amp;n=511210&amp;tid=ECNSIZE2017.EC1700SIZEREVFIRM&amp;hidePreview=false" TargetMode="External" /><Relationship Id="rId51" Type="http://schemas.openxmlformats.org/officeDocument/2006/relationships/hyperlink" Target="https://www.census.gov/glossary/" TargetMode="External" /><Relationship Id="rId52" Type="http://schemas.openxmlformats.org/officeDocument/2006/relationships/hyperlink" Target="https://www.census.gov/naics/?input=515112&amp;year=2017&amp;details=515112" TargetMode="External" /><Relationship Id="rId53" Type="http://schemas.openxmlformats.org/officeDocument/2006/relationships/hyperlink" Target="https://www.census.gov/naics/?input=515120&amp;year=2017&amp;details=515120" TargetMode="External" /><Relationship Id="rId54" Type="http://schemas.openxmlformats.org/officeDocument/2006/relationships/hyperlink" Target="https://data.census.gov/cedsci/table?y=2017&amp;n=515112&amp;tid=ECNSIZE2017.EC1700SIZEREVFIRM&amp;hidePreview=false" TargetMode="External" /><Relationship Id="rId55" Type="http://schemas.openxmlformats.org/officeDocument/2006/relationships/hyperlink" Target="https://data.census.gov/cedsci/table?y=2017&amp;n=515120&amp;tid=ECNSIZE2017.EC1700SIZEREVFIRM&amp;hidePreview=false" TargetMode="External" /><Relationship Id="rId56" Type="http://schemas.openxmlformats.org/officeDocument/2006/relationships/hyperlink" Target="https://docs.fcc.gov/public/attachments/DOC-376230A1.pdf" TargetMode="External" /><Relationship Id="rId6" Type="http://schemas.openxmlformats.org/officeDocument/2006/relationships/hyperlink" Target="https://abcnews.go.com/US/15-year-hero-cellphone-helps-rescues-kidnapped-infant/story?id=26604395" TargetMode="External" /><Relationship Id="rId7" Type="http://schemas.openxmlformats.org/officeDocument/2006/relationships/hyperlink" Target="https://www.fdle.state.fl.us/Amber-Plan/Documents/2016SuccessStory.aspx" TargetMode="External" /><Relationship Id="rId8" Type="http://schemas.openxmlformats.org/officeDocument/2006/relationships/hyperlink" Target="https://abc6onyourside.com/news/local/women-find-missing-alpha-kamara-columbus-ohio-2-9-21" TargetMode="External" /><Relationship Id="rId9" Type="http://schemas.openxmlformats.org/officeDocument/2006/relationships/hyperlink" Target="https://www.fcc.gov/news-events/blog/2012/08/30/new-cell-phone-weather-alerts-already-protecting-live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