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F86787" w14:paraId="24914A32" w14:textId="166FFBB2">
      <w:pPr>
        <w:jc w:val="center"/>
        <w:rPr>
          <w:b/>
        </w:rPr>
      </w:pPr>
      <w:r w:rsidRPr="0070224F">
        <w:rPr>
          <w:rFonts w:ascii="Times New Roman Bold" w:hAnsi="Times New Roman Bold"/>
          <w:b/>
          <w:kern w:val="0"/>
          <w:szCs w:val="22"/>
        </w:rPr>
        <w:t>Before</w:t>
      </w:r>
      <w:r>
        <w:rPr>
          <w:b/>
        </w:rPr>
        <w:t xml:space="preserve"> the</w:t>
      </w:r>
    </w:p>
    <w:p w:rsidR="00921803" w:rsidP="00921803" w14:paraId="74D81EA7" w14:textId="77777777">
      <w:pPr>
        <w:pStyle w:val="StyleBoldCentered"/>
      </w:pPr>
      <w:r>
        <w:t>F</w:t>
      </w:r>
      <w:r>
        <w:rPr>
          <w:caps w:val="0"/>
        </w:rPr>
        <w:t>ederal Communications Commission</w:t>
      </w:r>
    </w:p>
    <w:p w:rsidR="004C2EE3" w:rsidP="00096D8C" w14:paraId="221CD93E" w14:textId="77777777">
      <w:pPr>
        <w:pStyle w:val="StyleBoldCentered"/>
      </w:pPr>
      <w:r>
        <w:rPr>
          <w:caps w:val="0"/>
        </w:rPr>
        <w:t>Washington, D.C. 20554</w:t>
      </w:r>
    </w:p>
    <w:p w:rsidR="004C2EE3" w:rsidP="0070224F" w14:paraId="47C6DAA4" w14:textId="77777777"/>
    <w:p w:rsidR="004C2EE3" w:rsidP="0070224F" w14:paraId="32BEAB7B" w14:textId="77777777"/>
    <w:tbl>
      <w:tblPr>
        <w:tblW w:w="0" w:type="auto"/>
        <w:tblLayout w:type="fixed"/>
        <w:tblLook w:val="0000"/>
      </w:tblPr>
      <w:tblGrid>
        <w:gridCol w:w="4698"/>
        <w:gridCol w:w="630"/>
        <w:gridCol w:w="4248"/>
      </w:tblGrid>
      <w:tr w14:paraId="7AF48AAB" w14:textId="77777777">
        <w:tblPrEx>
          <w:tblW w:w="0" w:type="auto"/>
          <w:tblLayout w:type="fixed"/>
          <w:tblLook w:val="0000"/>
        </w:tblPrEx>
        <w:tc>
          <w:tcPr>
            <w:tcW w:w="4698" w:type="dxa"/>
          </w:tcPr>
          <w:p w:rsidR="004C2EE3" w14:paraId="57C568B8" w14:textId="77777777">
            <w:pPr>
              <w:tabs>
                <w:tab w:val="center" w:pos="4680"/>
              </w:tabs>
              <w:suppressAutoHyphens/>
              <w:rPr>
                <w:spacing w:val="-2"/>
              </w:rPr>
            </w:pPr>
            <w:r>
              <w:rPr>
                <w:spacing w:val="-2"/>
              </w:rPr>
              <w:t>In the Matter of</w:t>
            </w:r>
          </w:p>
          <w:p w:rsidR="004C2EE3" w14:paraId="4B4F4F48" w14:textId="77777777">
            <w:pPr>
              <w:tabs>
                <w:tab w:val="center" w:pos="4680"/>
              </w:tabs>
              <w:suppressAutoHyphens/>
              <w:rPr>
                <w:spacing w:val="-2"/>
              </w:rPr>
            </w:pPr>
          </w:p>
          <w:p w:rsidR="004C2EE3" w:rsidP="007115F7" w14:paraId="335C79E1" w14:textId="77777777">
            <w:pPr>
              <w:tabs>
                <w:tab w:val="center" w:pos="4680"/>
              </w:tabs>
              <w:suppressAutoHyphens/>
              <w:rPr>
                <w:spacing w:val="-2"/>
              </w:rPr>
            </w:pPr>
            <w:r>
              <w:rPr>
                <w:spacing w:val="-2"/>
              </w:rPr>
              <w:t>Chinese Voice of Golden City</w:t>
            </w:r>
          </w:p>
          <w:p w:rsidR="00121F72" w:rsidRPr="007115F7" w:rsidP="007115F7" w14:paraId="3CA16156" w14:textId="25B1627A">
            <w:pPr>
              <w:tabs>
                <w:tab w:val="center" w:pos="4680"/>
              </w:tabs>
              <w:suppressAutoHyphens/>
              <w:rPr>
                <w:spacing w:val="-2"/>
              </w:rPr>
            </w:pPr>
            <w:r>
              <w:rPr>
                <w:spacing w:val="-2"/>
              </w:rPr>
              <w:t>DKQLS-LP, Las Vegas, Nevada, Facility ID No. 194198</w:t>
            </w:r>
          </w:p>
        </w:tc>
        <w:tc>
          <w:tcPr>
            <w:tcW w:w="630" w:type="dxa"/>
          </w:tcPr>
          <w:p w:rsidR="004C2EE3" w14:paraId="161FF477" w14:textId="77777777">
            <w:pPr>
              <w:tabs>
                <w:tab w:val="center" w:pos="4680"/>
              </w:tabs>
              <w:suppressAutoHyphens/>
              <w:rPr>
                <w:b/>
                <w:spacing w:val="-2"/>
              </w:rPr>
            </w:pPr>
            <w:r>
              <w:rPr>
                <w:b/>
                <w:spacing w:val="-2"/>
              </w:rPr>
              <w:t>)</w:t>
            </w:r>
          </w:p>
          <w:p w:rsidR="004C2EE3" w14:paraId="62F23300" w14:textId="77777777">
            <w:pPr>
              <w:tabs>
                <w:tab w:val="center" w:pos="4680"/>
              </w:tabs>
              <w:suppressAutoHyphens/>
              <w:rPr>
                <w:b/>
                <w:spacing w:val="-2"/>
              </w:rPr>
            </w:pPr>
            <w:r>
              <w:rPr>
                <w:b/>
                <w:spacing w:val="-2"/>
              </w:rPr>
              <w:t>)</w:t>
            </w:r>
          </w:p>
          <w:p w:rsidR="004C2EE3" w14:paraId="009B6291" w14:textId="77777777">
            <w:pPr>
              <w:tabs>
                <w:tab w:val="center" w:pos="4680"/>
              </w:tabs>
              <w:suppressAutoHyphens/>
              <w:rPr>
                <w:b/>
                <w:spacing w:val="-2"/>
              </w:rPr>
            </w:pPr>
            <w:r>
              <w:rPr>
                <w:b/>
                <w:spacing w:val="-2"/>
              </w:rPr>
              <w:t>)</w:t>
            </w:r>
          </w:p>
          <w:p w:rsidR="004C2EE3" w14:paraId="642106CD" w14:textId="77777777">
            <w:pPr>
              <w:tabs>
                <w:tab w:val="center" w:pos="4680"/>
              </w:tabs>
              <w:suppressAutoHyphens/>
              <w:rPr>
                <w:b/>
                <w:spacing w:val="-2"/>
              </w:rPr>
            </w:pPr>
            <w:r>
              <w:rPr>
                <w:b/>
                <w:spacing w:val="-2"/>
              </w:rPr>
              <w:t>)</w:t>
            </w:r>
          </w:p>
          <w:p w:rsidR="004C2EE3" w14:paraId="620ED42B" w14:textId="77777777">
            <w:pPr>
              <w:tabs>
                <w:tab w:val="center" w:pos="4680"/>
              </w:tabs>
              <w:suppressAutoHyphens/>
              <w:rPr>
                <w:b/>
                <w:spacing w:val="-2"/>
              </w:rPr>
            </w:pPr>
            <w:r>
              <w:rPr>
                <w:b/>
                <w:spacing w:val="-2"/>
              </w:rPr>
              <w:t>)</w:t>
            </w:r>
          </w:p>
          <w:p w:rsidR="004C2EE3" w:rsidRPr="00430887" w14:paraId="24DD3FC4" w14:textId="7206FB87">
            <w:pPr>
              <w:tabs>
                <w:tab w:val="center" w:pos="4680"/>
              </w:tabs>
              <w:suppressAutoHyphens/>
              <w:rPr>
                <w:b/>
                <w:spacing w:val="-2"/>
              </w:rPr>
            </w:pPr>
            <w:r>
              <w:rPr>
                <w:b/>
                <w:spacing w:val="-2"/>
              </w:rPr>
              <w:t>)</w:t>
            </w:r>
          </w:p>
        </w:tc>
        <w:tc>
          <w:tcPr>
            <w:tcW w:w="4248" w:type="dxa"/>
          </w:tcPr>
          <w:p w:rsidR="004C2EE3" w14:paraId="56E4027E" w14:textId="77777777">
            <w:pPr>
              <w:tabs>
                <w:tab w:val="center" w:pos="4680"/>
              </w:tabs>
              <w:suppressAutoHyphens/>
              <w:rPr>
                <w:spacing w:val="-2"/>
              </w:rPr>
            </w:pPr>
          </w:p>
          <w:p w:rsidR="004C2EE3" w14:paraId="04406FC6" w14:textId="77777777">
            <w:pPr>
              <w:pStyle w:val="TOAHeading"/>
              <w:tabs>
                <w:tab w:val="center" w:pos="4680"/>
                <w:tab w:val="clear" w:pos="9360"/>
              </w:tabs>
              <w:rPr>
                <w:spacing w:val="-2"/>
              </w:rPr>
            </w:pPr>
          </w:p>
          <w:p w:rsidR="004C2EE3" w14:paraId="6D650A73" w14:textId="549A0435">
            <w:pPr>
              <w:tabs>
                <w:tab w:val="center" w:pos="4680"/>
              </w:tabs>
              <w:suppressAutoHyphens/>
              <w:rPr>
                <w:spacing w:val="-2"/>
              </w:rPr>
            </w:pPr>
            <w:r>
              <w:rPr>
                <w:spacing w:val="-2"/>
              </w:rPr>
              <w:t>File No.</w:t>
            </w:r>
            <w:r w:rsidR="00430887">
              <w:rPr>
                <w:spacing w:val="-2"/>
              </w:rPr>
              <w:t xml:space="preserve">: </w:t>
            </w:r>
            <w:r>
              <w:rPr>
                <w:spacing w:val="-2"/>
              </w:rPr>
              <w:t>EB-FIELDWR-21-00031760</w:t>
            </w:r>
          </w:p>
          <w:p w:rsidR="00121F72" w14:paraId="370CA3CC" w14:textId="73F62161">
            <w:pPr>
              <w:tabs>
                <w:tab w:val="center" w:pos="4680"/>
              </w:tabs>
              <w:suppressAutoHyphens/>
              <w:rPr>
                <w:spacing w:val="-2"/>
              </w:rPr>
            </w:pPr>
            <w:r>
              <w:rPr>
                <w:spacing w:val="-2"/>
              </w:rPr>
              <w:t>FRN:</w:t>
            </w:r>
            <w:r w:rsidR="00430887">
              <w:rPr>
                <w:spacing w:val="-2"/>
              </w:rPr>
              <w:t xml:space="preserve"> 0023130925</w:t>
            </w:r>
          </w:p>
        </w:tc>
      </w:tr>
    </w:tbl>
    <w:p w:rsidR="004C2EE3" w:rsidP="0070224F" w14:paraId="1278BFDB" w14:textId="1C5A76F3"/>
    <w:p w:rsidR="00841AB1" w:rsidRPr="00245EB9" w:rsidP="00F021FA" w14:paraId="3D64E03E" w14:textId="2B9B62D7">
      <w:pPr>
        <w:pStyle w:val="StyleBoldCentered"/>
      </w:pPr>
      <w:r w:rsidRPr="00245EB9">
        <w:t>Order on Review</w:t>
      </w:r>
    </w:p>
    <w:p w:rsidR="004C2EE3" w:rsidRPr="00245EB9" w14:paraId="61FB8064" w14:textId="77777777">
      <w:pPr>
        <w:tabs>
          <w:tab w:val="left" w:pos="-720"/>
        </w:tabs>
        <w:suppressAutoHyphens/>
        <w:spacing w:line="227" w:lineRule="auto"/>
        <w:rPr>
          <w:spacing w:val="-2"/>
        </w:rPr>
      </w:pPr>
    </w:p>
    <w:p w:rsidR="004C2EE3" w:rsidRPr="00245EB9" w:rsidP="00133F79" w14:paraId="08795C51" w14:textId="7A813168">
      <w:pPr>
        <w:tabs>
          <w:tab w:val="left" w:pos="720"/>
          <w:tab w:val="right" w:pos="9360"/>
        </w:tabs>
        <w:suppressAutoHyphens/>
        <w:spacing w:line="227" w:lineRule="auto"/>
        <w:rPr>
          <w:spacing w:val="-2"/>
        </w:rPr>
      </w:pPr>
      <w:r w:rsidRPr="00245EB9">
        <w:rPr>
          <w:b/>
          <w:spacing w:val="-2"/>
        </w:rPr>
        <w:t xml:space="preserve">Adopted:  </w:t>
      </w:r>
      <w:r w:rsidRPr="00245EB9" w:rsidR="00735A43">
        <w:rPr>
          <w:b/>
          <w:spacing w:val="-2"/>
        </w:rPr>
        <w:t>May 1</w:t>
      </w:r>
      <w:r w:rsidRPr="00245EB9" w:rsidR="00245EB9">
        <w:rPr>
          <w:b/>
          <w:spacing w:val="-2"/>
        </w:rPr>
        <w:t>7</w:t>
      </w:r>
      <w:r w:rsidRPr="00245EB9" w:rsidR="00735A43">
        <w:rPr>
          <w:b/>
          <w:spacing w:val="-2"/>
        </w:rPr>
        <w:t>, 2022</w:t>
      </w:r>
      <w:r w:rsidRPr="00245EB9">
        <w:rPr>
          <w:b/>
          <w:spacing w:val="-2"/>
        </w:rPr>
        <w:tab/>
      </w:r>
      <w:r w:rsidRPr="00245EB9" w:rsidR="00822CE0">
        <w:rPr>
          <w:b/>
          <w:spacing w:val="-2"/>
        </w:rPr>
        <w:t>Released</w:t>
      </w:r>
      <w:r w:rsidRPr="00245EB9">
        <w:rPr>
          <w:b/>
          <w:spacing w:val="-2"/>
        </w:rPr>
        <w:t>:</w:t>
      </w:r>
      <w:r w:rsidRPr="00245EB9" w:rsidR="00822CE0">
        <w:rPr>
          <w:b/>
          <w:spacing w:val="-2"/>
        </w:rPr>
        <w:t xml:space="preserve"> </w:t>
      </w:r>
      <w:r w:rsidRPr="00245EB9">
        <w:rPr>
          <w:b/>
          <w:spacing w:val="-2"/>
        </w:rPr>
        <w:t xml:space="preserve"> </w:t>
      </w:r>
      <w:r w:rsidRPr="00245EB9" w:rsidR="00735A43">
        <w:rPr>
          <w:b/>
          <w:spacing w:val="-2"/>
        </w:rPr>
        <w:t>May 1</w:t>
      </w:r>
      <w:r w:rsidRPr="00245EB9" w:rsidR="00245EB9">
        <w:rPr>
          <w:b/>
          <w:spacing w:val="-2"/>
        </w:rPr>
        <w:t>7</w:t>
      </w:r>
      <w:r w:rsidRPr="00245EB9" w:rsidR="00735A43">
        <w:rPr>
          <w:b/>
          <w:spacing w:val="-2"/>
        </w:rPr>
        <w:t>, 2022</w:t>
      </w:r>
    </w:p>
    <w:p w:rsidR="00822CE0" w:rsidRPr="00245EB9" w14:paraId="32D736B0" w14:textId="77777777"/>
    <w:p w:rsidR="004C2EE3" w:rsidRPr="00245EB9" w14:paraId="0559DEAD" w14:textId="1AEB5DAA">
      <w:pPr>
        <w:rPr>
          <w:spacing w:val="-2"/>
        </w:rPr>
      </w:pPr>
      <w:r w:rsidRPr="00245EB9">
        <w:t xml:space="preserve">By </w:t>
      </w:r>
      <w:r w:rsidRPr="00245EB9" w:rsidR="004E4A22">
        <w:t>the</w:t>
      </w:r>
      <w:r w:rsidRPr="00245EB9" w:rsidR="002A2D2E">
        <w:t xml:space="preserve"> </w:t>
      </w:r>
      <w:r w:rsidRPr="00245EB9" w:rsidR="00232886">
        <w:rPr>
          <w:spacing w:val="-2"/>
        </w:rPr>
        <w:t>Commission</w:t>
      </w:r>
      <w:r w:rsidRPr="00245EB9">
        <w:rPr>
          <w:spacing w:val="-2"/>
        </w:rPr>
        <w:t>:</w:t>
      </w:r>
    </w:p>
    <w:p w:rsidR="00822CE0" w:rsidRPr="00245EB9" w14:paraId="63C03311" w14:textId="77777777">
      <w:pPr>
        <w:rPr>
          <w:spacing w:val="-2"/>
        </w:rPr>
      </w:pPr>
    </w:p>
    <w:p w:rsidR="002559E8" w:rsidRPr="00245EB9" w:rsidP="005052CD" w14:paraId="6CCE9E3F" w14:textId="0F9EED78">
      <w:pPr>
        <w:pStyle w:val="Heading1"/>
        <w:widowControl/>
      </w:pPr>
      <w:r w:rsidRPr="00245EB9">
        <w:t>INTRODUCTION</w:t>
      </w:r>
    </w:p>
    <w:p w:rsidR="009F7AC6" w:rsidP="00735A43" w14:paraId="6F63EC3E" w14:textId="5AA66384">
      <w:pPr>
        <w:pStyle w:val="ParaNum"/>
        <w:widowControl/>
      </w:pPr>
      <w:r>
        <w:t xml:space="preserve">This </w:t>
      </w:r>
      <w:r w:rsidR="00D14A7D">
        <w:t>Order</w:t>
      </w:r>
      <w:r w:rsidR="005B2CE2">
        <w:t xml:space="preserve"> on Review</w:t>
      </w:r>
      <w:r w:rsidR="00D14A7D">
        <w:t xml:space="preserve"> </w:t>
      </w:r>
      <w:r w:rsidR="00914E2E">
        <w:t>reflects</w:t>
      </w:r>
      <w:r w:rsidR="00D14A7D">
        <w:t xml:space="preserve"> </w:t>
      </w:r>
      <w:r w:rsidR="00394434">
        <w:t xml:space="preserve">the Commission’s </w:t>
      </w:r>
      <w:r w:rsidR="00D36CB2">
        <w:t xml:space="preserve">latest </w:t>
      </w:r>
      <w:r w:rsidR="00394434">
        <w:t xml:space="preserve">consideration </w:t>
      </w:r>
      <w:r w:rsidR="004761A5">
        <w:t xml:space="preserve">of a former radio </w:t>
      </w:r>
      <w:r w:rsidR="007819B5">
        <w:t>broadcaster’s</w:t>
      </w:r>
      <w:r w:rsidR="004761A5">
        <w:t xml:space="preserve"> </w:t>
      </w:r>
      <w:r w:rsidR="00A46397">
        <w:t xml:space="preserve">arguments concerning </w:t>
      </w:r>
      <w:r w:rsidR="00DF2CCB">
        <w:t xml:space="preserve">its defunct </w:t>
      </w:r>
      <w:r w:rsidR="007819B5">
        <w:t>station license</w:t>
      </w:r>
      <w:r>
        <w:t xml:space="preserve"> and its attempts to thwart investigation by the Commission’s Enforcement Bureau. </w:t>
      </w:r>
      <w:r w:rsidR="0035784E">
        <w:t xml:space="preserve"> </w:t>
      </w:r>
      <w:r w:rsidR="00071DB9">
        <w:t>T</w:t>
      </w:r>
      <w:r>
        <w:t xml:space="preserve">he Commission </w:t>
      </w:r>
      <w:r w:rsidR="00071DB9">
        <w:t xml:space="preserve">hereby </w:t>
      </w:r>
      <w:r>
        <w:t xml:space="preserve">rejects the application for review and associated stay request filed by Chinese Voice of Golden City (CVGC) and directs CVGC to respond </w:t>
      </w:r>
      <w:r w:rsidR="00071DB9">
        <w:t xml:space="preserve">in full </w:t>
      </w:r>
      <w:r>
        <w:t>to the Enforcement Bureau’s April 23, 2021, Letter of Inquiry (LOI) within 14 calendar days of the date hereof.</w:t>
      </w:r>
      <w:r>
        <w:rPr>
          <w:rStyle w:val="FootnoteReference"/>
        </w:rPr>
        <w:footnoteReference w:id="3"/>
      </w:r>
    </w:p>
    <w:p w:rsidR="00ED3592" w:rsidP="00735A43" w14:paraId="79A77F75" w14:textId="798BCB76">
      <w:pPr>
        <w:pStyle w:val="ParaNum"/>
        <w:widowControl/>
      </w:pPr>
      <w:r w:rsidRPr="00C24219">
        <w:t xml:space="preserve">On November 19, 2019, the Media Bureau notified CVGC that its license for station DKQLS-LP, Las Vegas, Nevada, Facility ID No. 194198 (Station) had </w:t>
      </w:r>
      <w:bookmarkStart w:id="0" w:name="_Hlk78829041"/>
      <w:r w:rsidRPr="00C24219">
        <w:t xml:space="preserve">expired </w:t>
      </w:r>
      <w:r w:rsidR="00940F39">
        <w:t xml:space="preserve">as a matter of law </w:t>
      </w:r>
      <w:r w:rsidR="00D61D31">
        <w:t>on December 13, 2018</w:t>
      </w:r>
      <w:bookmarkEnd w:id="0"/>
      <w:r w:rsidRPr="00C24219">
        <w:t>.</w:t>
      </w:r>
      <w:r>
        <w:rPr>
          <w:rStyle w:val="FootnoteReference"/>
        </w:rPr>
        <w:footnoteReference w:id="4"/>
      </w:r>
      <w:r w:rsidRPr="00C24219">
        <w:t xml:space="preserve">  On April 23, 2021, the Enforcement Bureau (Bureau) sent </w:t>
      </w:r>
      <w:r w:rsidR="00095A83">
        <w:t>the</w:t>
      </w:r>
      <w:r w:rsidRPr="00C24219">
        <w:t xml:space="preserve"> LOI to </w:t>
      </w:r>
      <w:r w:rsidR="00D80674">
        <w:t xml:space="preserve">determine whether CVGC </w:t>
      </w:r>
      <w:r w:rsidRPr="00C24219">
        <w:t xml:space="preserve">continued to operate the Station after </w:t>
      </w:r>
      <w:r w:rsidR="00D61D31">
        <w:t xml:space="preserve">being informed that </w:t>
      </w:r>
      <w:r w:rsidRPr="00C24219">
        <w:t>its license expired.</w:t>
      </w:r>
      <w:r>
        <w:rPr>
          <w:rStyle w:val="FootnoteReference"/>
        </w:rPr>
        <w:footnoteReference w:id="5"/>
      </w:r>
      <w:r w:rsidRPr="00C24219">
        <w:t xml:space="preserve">  On May 10, 2021, CVGC filed with the Commission both a Motion to Quash the LOI</w:t>
      </w:r>
      <w:r>
        <w:rPr>
          <w:rStyle w:val="FootnoteReference"/>
        </w:rPr>
        <w:footnoteReference w:id="6"/>
      </w:r>
      <w:r w:rsidRPr="00C24219">
        <w:t xml:space="preserve"> and </w:t>
      </w:r>
      <w:r w:rsidR="00BB396B">
        <w:t xml:space="preserve">its </w:t>
      </w:r>
      <w:r w:rsidR="00DA43FD">
        <w:t>F</w:t>
      </w:r>
      <w:r w:rsidR="00BB396B">
        <w:t xml:space="preserve">irst </w:t>
      </w:r>
      <w:r w:rsidRPr="00C24219">
        <w:t xml:space="preserve">Motion for </w:t>
      </w:r>
      <w:r w:rsidR="00DA43FD">
        <w:t xml:space="preserve">Investigative </w:t>
      </w:r>
      <w:r w:rsidRPr="00C24219">
        <w:t>Stay</w:t>
      </w:r>
      <w:r>
        <w:rPr>
          <w:rStyle w:val="FootnoteReference"/>
        </w:rPr>
        <w:footnoteReference w:id="7"/>
      </w:r>
      <w:r w:rsidRPr="00C24219">
        <w:t xml:space="preserve"> of the Bureau’s investigation into whether CVGC violated the Communications Act of 1934, as amended (Act),</w:t>
      </w:r>
      <w:r>
        <w:rPr>
          <w:rStyle w:val="FootnoteReference"/>
        </w:rPr>
        <w:footnoteReference w:id="8"/>
      </w:r>
      <w:r w:rsidRPr="00C24219">
        <w:t xml:space="preserve"> and the Commission’s rules by continuing to operate the Station.</w:t>
      </w:r>
      <w:r w:rsidR="00F31716">
        <w:t xml:space="preserve">  </w:t>
      </w:r>
      <w:r w:rsidR="00B97E32">
        <w:t>The Bureau denied CVGC’s motions in its June 21, 2021</w:t>
      </w:r>
      <w:r w:rsidR="009B5248">
        <w:t>,</w:t>
      </w:r>
      <w:r w:rsidR="00B97E32">
        <w:t xml:space="preserve"> </w:t>
      </w:r>
      <w:r w:rsidRPr="00B255DB" w:rsidR="00B97E32">
        <w:rPr>
          <w:i/>
          <w:iCs/>
        </w:rPr>
        <w:t>Order</w:t>
      </w:r>
      <w:r w:rsidR="009B5248">
        <w:t>,</w:t>
      </w:r>
      <w:r>
        <w:rPr>
          <w:rStyle w:val="FootnoteReference"/>
        </w:rPr>
        <w:footnoteReference w:id="9"/>
      </w:r>
      <w:r w:rsidR="009B5248">
        <w:t xml:space="preserve"> </w:t>
      </w:r>
      <w:r w:rsidR="00CE08D9">
        <w:t xml:space="preserve">after which CVGC filed an Application for Review and </w:t>
      </w:r>
      <w:r w:rsidR="00754A4A">
        <w:t>its Second Motion for Investigative Stay</w:t>
      </w:r>
      <w:r w:rsidR="00CE08D9">
        <w:t>.</w:t>
      </w:r>
      <w:r>
        <w:rPr>
          <w:rStyle w:val="FootnoteReference"/>
        </w:rPr>
        <w:footnoteReference w:id="10"/>
      </w:r>
      <w:r w:rsidR="00CE08D9">
        <w:t xml:space="preserve">  </w:t>
      </w:r>
      <w:r w:rsidR="00B255DB">
        <w:t xml:space="preserve">For the reasons set forth below, we </w:t>
      </w:r>
      <w:r w:rsidR="00335399">
        <w:t xml:space="preserve">(a) </w:t>
      </w:r>
      <w:r w:rsidR="00B906AB">
        <w:t xml:space="preserve">dismiss and otherwise </w:t>
      </w:r>
      <w:r w:rsidR="00335399">
        <w:t xml:space="preserve">deny the Application and affirm the </w:t>
      </w:r>
      <w:r w:rsidR="00335399">
        <w:rPr>
          <w:i/>
          <w:iCs/>
        </w:rPr>
        <w:t>Order</w:t>
      </w:r>
      <w:r w:rsidR="00335399">
        <w:t xml:space="preserve">, and (b) deny the </w:t>
      </w:r>
      <w:r w:rsidR="008570F3">
        <w:t xml:space="preserve">Second </w:t>
      </w:r>
      <w:r w:rsidR="00335399">
        <w:t xml:space="preserve">Motion for </w:t>
      </w:r>
      <w:r w:rsidR="008570F3">
        <w:t xml:space="preserve">Investigative </w:t>
      </w:r>
      <w:r w:rsidR="00335399">
        <w:t>Stay.</w:t>
      </w:r>
    </w:p>
    <w:p w:rsidR="00811341" w:rsidP="00735A43" w14:paraId="521BF771" w14:textId="04C37F8D">
      <w:pPr>
        <w:pStyle w:val="Heading1"/>
        <w:widowControl/>
      </w:pPr>
      <w:r>
        <w:t>Application for Review</w:t>
      </w:r>
    </w:p>
    <w:p w:rsidR="00D51795" w:rsidP="00735A43" w14:paraId="37601794" w14:textId="03DFE14F">
      <w:pPr>
        <w:pStyle w:val="Heading2"/>
        <w:widowControl/>
      </w:pPr>
      <w:r>
        <w:t xml:space="preserve">The Bureau’s </w:t>
      </w:r>
      <w:r w:rsidRPr="00864329">
        <w:rPr>
          <w:i/>
          <w:iCs/>
        </w:rPr>
        <w:t>Order</w:t>
      </w:r>
      <w:r>
        <w:t xml:space="preserve"> is a Valid Exercise of Delegated Authority</w:t>
      </w:r>
    </w:p>
    <w:p w:rsidR="006B566E" w:rsidP="00735A43" w14:paraId="46167BBB" w14:textId="34DA101C">
      <w:pPr>
        <w:pStyle w:val="ParaNum"/>
        <w:widowControl/>
      </w:pPr>
      <w:r>
        <w:t xml:space="preserve">In </w:t>
      </w:r>
      <w:r w:rsidR="001628EF">
        <w:t xml:space="preserve">its Application, CVGC argues that the Bureau exceeded its authority under section 0.311 of the Commission’s rules by responding to the Motion to Quash and the </w:t>
      </w:r>
      <w:r w:rsidR="00754A4A">
        <w:t>F</w:t>
      </w:r>
      <w:r w:rsidR="001628EF">
        <w:t xml:space="preserve">irst Motion for </w:t>
      </w:r>
      <w:r w:rsidR="00754A4A">
        <w:t xml:space="preserve">Investigative </w:t>
      </w:r>
      <w:r w:rsidR="001628EF">
        <w:t xml:space="preserve">Stay </w:t>
      </w:r>
      <w:r w:rsidR="00F55A61">
        <w:t xml:space="preserve">under delegated authority, </w:t>
      </w:r>
      <w:r w:rsidR="009B500E">
        <w:t xml:space="preserve">despite CVGC addressing both </w:t>
      </w:r>
      <w:r w:rsidR="00F55A61">
        <w:t>to the Commission</w:t>
      </w:r>
      <w:r w:rsidR="009B500E">
        <w:t xml:space="preserve"> rather than the Bureau</w:t>
      </w:r>
      <w:r w:rsidR="00F55A61">
        <w:t>.</w:t>
      </w:r>
      <w:r>
        <w:rPr>
          <w:rStyle w:val="FootnoteReference"/>
        </w:rPr>
        <w:footnoteReference w:id="11"/>
      </w:r>
      <w:r w:rsidR="00F55A61">
        <w:t xml:space="preserve">  </w:t>
      </w:r>
      <w:r w:rsidR="00811606">
        <w:t>This is a misreading of</w:t>
      </w:r>
      <w:r w:rsidR="00303B92">
        <w:t xml:space="preserve"> </w:t>
      </w:r>
      <w:r w:rsidR="003322FE">
        <w:t xml:space="preserve">the Commission’s </w:t>
      </w:r>
      <w:r w:rsidR="00303B92">
        <w:t xml:space="preserve">rules.  </w:t>
      </w:r>
      <w:r w:rsidR="00E34C87">
        <w:t xml:space="preserve">The introductory </w:t>
      </w:r>
      <w:r w:rsidR="004D470F">
        <w:t>sentence of s</w:t>
      </w:r>
      <w:r w:rsidR="00303B92">
        <w:t xml:space="preserve">ection 0.311 </w:t>
      </w:r>
      <w:r w:rsidR="004D470F">
        <w:t xml:space="preserve">authorizes the Bureau to perform its duties outlined in section 0.111 of the Commission’s rules, subject to specific </w:t>
      </w:r>
      <w:r w:rsidR="00CA341C">
        <w:t>exceptions that do not apply here.</w:t>
      </w:r>
      <w:r>
        <w:rPr>
          <w:rStyle w:val="FootnoteReference"/>
        </w:rPr>
        <w:footnoteReference w:id="12"/>
      </w:r>
      <w:r w:rsidR="00CA341C">
        <w:t xml:space="preserve">  </w:t>
      </w:r>
      <w:r w:rsidR="00586634">
        <w:t>Section 0.111</w:t>
      </w:r>
      <w:r w:rsidR="00B507F0">
        <w:t>(a)(18), grants the Bureau express authority to “[</w:t>
      </w:r>
      <w:r w:rsidR="00B507F0">
        <w:t>i</w:t>
      </w:r>
      <w:r w:rsidR="00B507F0">
        <w:t>]</w:t>
      </w:r>
      <w:r w:rsidR="00B507F0">
        <w:t>ssue</w:t>
      </w:r>
      <w:r w:rsidR="00B507F0">
        <w:t xml:space="preserve"> or draft appropr</w:t>
      </w:r>
      <w:r w:rsidR="00171C16">
        <w:t>iate interlocutory orders . . . in the exercise of its responsibilities.”</w:t>
      </w:r>
      <w:r>
        <w:rPr>
          <w:rStyle w:val="FootnoteReference"/>
        </w:rPr>
        <w:footnoteReference w:id="13"/>
      </w:r>
      <w:r w:rsidR="00677572">
        <w:t xml:space="preserve">  </w:t>
      </w:r>
    </w:p>
    <w:p w:rsidR="00B135A7" w:rsidP="00735A43" w14:paraId="5C17D0E4" w14:textId="1C1901D9">
      <w:pPr>
        <w:pStyle w:val="ParaNum"/>
        <w:widowControl/>
      </w:pPr>
      <w:r>
        <w:t xml:space="preserve">Inasmuch as the </w:t>
      </w:r>
      <w:r>
        <w:rPr>
          <w:i/>
          <w:iCs/>
        </w:rPr>
        <w:t xml:space="preserve">Order </w:t>
      </w:r>
      <w:r>
        <w:t xml:space="preserve">pertained to motions meant to </w:t>
      </w:r>
      <w:r w:rsidR="00050461">
        <w:t>bloc</w:t>
      </w:r>
      <w:r w:rsidR="000277DC">
        <w:t xml:space="preserve">k the Bureau </w:t>
      </w:r>
      <w:r w:rsidR="00A2699C">
        <w:t>in the early stages of its investigation</w:t>
      </w:r>
      <w:r w:rsidR="00BD7924">
        <w:t xml:space="preserve">, the Motion to Quash and First </w:t>
      </w:r>
      <w:r w:rsidR="00576201">
        <w:t xml:space="preserve">Motion for Investigative Stay were interlocutory in nature and therefore appropriately handled by the Bureau. </w:t>
      </w:r>
      <w:r>
        <w:t xml:space="preserve"> </w:t>
      </w:r>
      <w:r w:rsidR="00C15F84">
        <w:t>Moreover, t</w:t>
      </w:r>
      <w:r w:rsidR="007C42C9">
        <w:t xml:space="preserve">he Bureau’s </w:t>
      </w:r>
      <w:r w:rsidR="006E2D35">
        <w:t>omission of a reference</w:t>
      </w:r>
      <w:r w:rsidR="007C42C9">
        <w:t xml:space="preserve"> </w:t>
      </w:r>
      <w:r w:rsidR="00A20FE9">
        <w:t xml:space="preserve">in the ordering clauses of the </w:t>
      </w:r>
      <w:r w:rsidRPr="00611360" w:rsidR="00A20FE9">
        <w:rPr>
          <w:i/>
          <w:iCs/>
        </w:rPr>
        <w:t>Order</w:t>
      </w:r>
      <w:r w:rsidR="001E3111">
        <w:t xml:space="preserve"> </w:t>
      </w:r>
      <w:r w:rsidR="007C42C9">
        <w:t>to section 0.111</w:t>
      </w:r>
      <w:r w:rsidR="00576201">
        <w:t>(a)(18)</w:t>
      </w:r>
      <w:r w:rsidR="007C42C9">
        <w:t xml:space="preserve"> of the Commission’s rules </w:t>
      </w:r>
      <w:r w:rsidR="00AE1F8F">
        <w:t xml:space="preserve">as the basis of its authority </w:t>
      </w:r>
      <w:r w:rsidR="00387774">
        <w:t xml:space="preserve">does not </w:t>
      </w:r>
      <w:r w:rsidR="001E3111">
        <w:t xml:space="preserve">mean the Bureau lacked </w:t>
      </w:r>
      <w:r w:rsidR="00127878">
        <w:t xml:space="preserve">such authority.  </w:t>
      </w:r>
      <w:r w:rsidRPr="00F246B6" w:rsidR="004155EC">
        <w:t xml:space="preserve">In any event, our </w:t>
      </w:r>
      <w:r w:rsidR="009F7179">
        <w:t>decision herein</w:t>
      </w:r>
      <w:r w:rsidR="00611360">
        <w:t xml:space="preserve"> </w:t>
      </w:r>
      <w:r w:rsidRPr="00F246B6" w:rsidR="004155EC">
        <w:t>affirming</w:t>
      </w:r>
      <w:r w:rsidR="00611360">
        <w:t xml:space="preserve"> </w:t>
      </w:r>
      <w:r w:rsidRPr="00F246B6" w:rsidR="004155EC">
        <w:t>the merits of the</w:t>
      </w:r>
      <w:r w:rsidR="00611360">
        <w:t xml:space="preserve"> </w:t>
      </w:r>
      <w:r w:rsidRPr="00F246B6" w:rsidR="004155EC">
        <w:t xml:space="preserve">Bureau’s </w:t>
      </w:r>
      <w:r w:rsidRPr="00F246B6" w:rsidR="004155EC">
        <w:rPr>
          <w:i/>
          <w:iCs/>
        </w:rPr>
        <w:t>Order</w:t>
      </w:r>
      <w:r w:rsidRPr="00F246B6" w:rsidR="004155EC">
        <w:t xml:space="preserve"> for the reasons discussed renders</w:t>
      </w:r>
      <w:r w:rsidR="00611360">
        <w:t xml:space="preserve"> </w:t>
      </w:r>
      <w:r w:rsidRPr="00F246B6" w:rsidR="004155EC">
        <w:t>moot</w:t>
      </w:r>
      <w:r w:rsidR="00611360">
        <w:t xml:space="preserve"> </w:t>
      </w:r>
      <w:r w:rsidRPr="00F246B6" w:rsidR="004155EC">
        <w:t>any claim that the Bureau lacked delegated</w:t>
      </w:r>
      <w:r w:rsidR="00611360">
        <w:t xml:space="preserve"> </w:t>
      </w:r>
      <w:r w:rsidRPr="00F246B6" w:rsidR="004155EC">
        <w:t>authority.</w:t>
      </w:r>
      <w:r>
        <w:rPr>
          <w:rStyle w:val="FootnoteReference"/>
        </w:rPr>
        <w:footnoteReference w:id="14"/>
      </w:r>
    </w:p>
    <w:p w:rsidR="00D355D8" w:rsidP="00735A43" w14:paraId="2149CA1C" w14:textId="07ACEA9F">
      <w:pPr>
        <w:pStyle w:val="Heading2"/>
        <w:widowControl/>
      </w:pPr>
      <w:r>
        <w:t>The Bureau Correctly Dismissed the Motion to Quash as Procedurally Flawed</w:t>
      </w:r>
    </w:p>
    <w:p w:rsidR="00AF1C7E" w:rsidP="00735A43" w14:paraId="127F5B86" w14:textId="1FC99A9D">
      <w:pPr>
        <w:pStyle w:val="ParaNum"/>
        <w:widowControl/>
      </w:pPr>
      <w:r w:rsidRPr="00FB7209">
        <w:t xml:space="preserve">The Bureau’s </w:t>
      </w:r>
      <w:r w:rsidRPr="0009177D">
        <w:rPr>
          <w:i/>
          <w:iCs/>
        </w:rPr>
        <w:t>Order</w:t>
      </w:r>
      <w:r w:rsidRPr="00FB7209">
        <w:t xml:space="preserve"> dismissed CVGC’s Motion to Quash because it was brought under section 1.334 of the Commission’s rules, which pertains to subpoenas</w:t>
      </w:r>
      <w:r>
        <w:t>, whereas the Bureau issued a letter of inquiry.</w:t>
      </w:r>
      <w:r>
        <w:rPr>
          <w:rStyle w:val="FootnoteReference"/>
        </w:rPr>
        <w:footnoteReference w:id="15"/>
      </w:r>
      <w:r>
        <w:t xml:space="preserve">  </w:t>
      </w:r>
      <w:r w:rsidR="00161A0A">
        <w:t xml:space="preserve">In a footnote to the Application, </w:t>
      </w:r>
      <w:r w:rsidR="00016D12">
        <w:t xml:space="preserve">CVGC </w:t>
      </w:r>
      <w:r>
        <w:t xml:space="preserve">responds by </w:t>
      </w:r>
      <w:r w:rsidR="00016D12">
        <w:t>attempt</w:t>
      </w:r>
      <w:r>
        <w:t>ing</w:t>
      </w:r>
      <w:r w:rsidR="00016D12">
        <w:t xml:space="preserve"> to </w:t>
      </w:r>
      <w:r w:rsidR="009C4955">
        <w:t xml:space="preserve">semantically equate </w:t>
      </w:r>
      <w:r w:rsidR="00016D12">
        <w:t xml:space="preserve">letters of inquiry </w:t>
      </w:r>
      <w:r w:rsidR="009C4955">
        <w:t>and</w:t>
      </w:r>
      <w:r w:rsidR="00016D12">
        <w:t xml:space="preserve"> subpoenas issued by the Commission.</w:t>
      </w:r>
      <w:r>
        <w:rPr>
          <w:rStyle w:val="FootnoteReference"/>
        </w:rPr>
        <w:footnoteReference w:id="16"/>
      </w:r>
      <w:r w:rsidR="00016D12">
        <w:t xml:space="preserve">  </w:t>
      </w:r>
      <w:r w:rsidR="00770151">
        <w:t xml:space="preserve">As the Bureau correctly </w:t>
      </w:r>
      <w:r w:rsidR="00E77DF3">
        <w:t xml:space="preserve">stated </w:t>
      </w:r>
      <w:r w:rsidR="00770151">
        <w:t xml:space="preserve">in the </w:t>
      </w:r>
      <w:r w:rsidR="00770151">
        <w:rPr>
          <w:i/>
          <w:iCs/>
        </w:rPr>
        <w:t>Order</w:t>
      </w:r>
      <w:r w:rsidR="00770151">
        <w:t xml:space="preserve">, letters of inquiry and subpoenas </w:t>
      </w:r>
      <w:r w:rsidR="00CB55C9">
        <w:t>have different statutory underpinnings and are therefore not equivalent</w:t>
      </w:r>
      <w:r w:rsidR="00C8142F">
        <w:t xml:space="preserve"> </w:t>
      </w:r>
      <w:r w:rsidR="00C8142F">
        <w:t>for purposes of the Commission’s procedural rules governing motions to quash</w:t>
      </w:r>
      <w:r w:rsidR="00CB55C9">
        <w:t>.</w:t>
      </w:r>
      <w:r>
        <w:rPr>
          <w:rStyle w:val="FootnoteReference"/>
        </w:rPr>
        <w:footnoteReference w:id="17"/>
      </w:r>
      <w:r w:rsidR="003F5C5D">
        <w:t xml:space="preserve"> </w:t>
      </w:r>
      <w:r w:rsidR="00CB55C9">
        <w:t xml:space="preserve"> </w:t>
      </w:r>
      <w:r w:rsidR="00E84E56">
        <w:t xml:space="preserve">Accordingly, we affirm the Bureau’s dismissal of the Motion to Quash on procedural grounds. </w:t>
      </w:r>
    </w:p>
    <w:p w:rsidR="00F11E96" w:rsidP="00735A43" w14:paraId="7C6E4213" w14:textId="4A976DC9">
      <w:pPr>
        <w:pStyle w:val="Heading2"/>
        <w:widowControl/>
      </w:pPr>
      <w:r>
        <w:t>The Bureau Correctly Denied the Motion to Quash on Substantive Grounds</w:t>
      </w:r>
    </w:p>
    <w:p w:rsidR="00AB61E7" w:rsidP="00735A43" w14:paraId="211D6616" w14:textId="030960E3">
      <w:pPr>
        <w:pStyle w:val="ParaNum"/>
        <w:widowControl/>
      </w:pPr>
      <w:r>
        <w:t xml:space="preserve">In the </w:t>
      </w:r>
      <w:r w:rsidRPr="00470ACE">
        <w:rPr>
          <w:i/>
          <w:iCs/>
        </w:rPr>
        <w:t>Order</w:t>
      </w:r>
      <w:r>
        <w:t>, the Bureau</w:t>
      </w:r>
      <w:r w:rsidR="007936CA">
        <w:t>,</w:t>
      </w:r>
      <w:r>
        <w:t xml:space="preserve"> </w:t>
      </w:r>
      <w:r w:rsidR="000F2A9D">
        <w:t xml:space="preserve">on alternative and </w:t>
      </w:r>
      <w:r>
        <w:t xml:space="preserve">independent </w:t>
      </w:r>
      <w:r w:rsidR="000F2A9D">
        <w:t>grounds</w:t>
      </w:r>
      <w:r w:rsidR="007936CA">
        <w:t>,</w:t>
      </w:r>
      <w:r w:rsidR="000F2A9D">
        <w:t xml:space="preserve"> </w:t>
      </w:r>
      <w:r>
        <w:t xml:space="preserve">addressed and </w:t>
      </w:r>
      <w:r w:rsidR="003F356F">
        <w:t>rejected</w:t>
      </w:r>
      <w:r>
        <w:t xml:space="preserve"> CVGC’s substantive arguments </w:t>
      </w:r>
      <w:r w:rsidR="003F356F">
        <w:t xml:space="preserve">in support of its Motion to Quash.  After considering the arguments set forth in the </w:t>
      </w:r>
      <w:r w:rsidR="00A01DA6">
        <w:t xml:space="preserve">Application and the record in this matter, we </w:t>
      </w:r>
      <w:r w:rsidR="008E7550">
        <w:t xml:space="preserve">affirm the </w:t>
      </w:r>
      <w:r w:rsidRPr="00470ACE" w:rsidR="008E7550">
        <w:rPr>
          <w:i/>
          <w:iCs/>
        </w:rPr>
        <w:t>Order</w:t>
      </w:r>
      <w:r w:rsidR="003B779F">
        <w:t xml:space="preserve">.  </w:t>
      </w:r>
    </w:p>
    <w:p w:rsidR="00796A9A" w:rsidP="00735A43" w14:paraId="150A960C" w14:textId="5787561F">
      <w:pPr>
        <w:pStyle w:val="Heading3"/>
        <w:widowControl/>
      </w:pPr>
      <w:r>
        <w:t xml:space="preserve">The Bureau’s Investigation </w:t>
      </w:r>
      <w:r w:rsidR="009A242E">
        <w:t xml:space="preserve">was </w:t>
      </w:r>
      <w:r>
        <w:t>Distinct from</w:t>
      </w:r>
      <w:r w:rsidR="00D71597">
        <w:t xml:space="preserve">, and </w:t>
      </w:r>
      <w:r w:rsidR="009A242E">
        <w:t>D</w:t>
      </w:r>
      <w:r w:rsidR="00634606">
        <w:t>id</w:t>
      </w:r>
      <w:r w:rsidR="009A242E">
        <w:t xml:space="preserve"> </w:t>
      </w:r>
      <w:r w:rsidR="00D71597">
        <w:t xml:space="preserve">Not Conflict with, </w:t>
      </w:r>
      <w:r>
        <w:t xml:space="preserve">the </w:t>
      </w:r>
      <w:r>
        <w:t>Matter on Appeal</w:t>
      </w:r>
    </w:p>
    <w:p w:rsidR="00CB2A75" w:rsidP="00735A43" w14:paraId="432F9190" w14:textId="7AEBE802">
      <w:pPr>
        <w:pStyle w:val="ParaNum"/>
        <w:widowControl/>
      </w:pPr>
      <w:r>
        <w:t xml:space="preserve">In both the Motion to Quash and in the Application, CVGC challenges the Bureau’s jurisdiction to issue the LOI on the basis of its </w:t>
      </w:r>
      <w:r w:rsidR="00082BBC">
        <w:t>then-</w:t>
      </w:r>
      <w:r w:rsidR="003B779F">
        <w:t xml:space="preserve">pending appeal </w:t>
      </w:r>
      <w:r w:rsidR="00631B75">
        <w:t>to the U.S. Court of Appeals for the District of Columbia Circuit</w:t>
      </w:r>
      <w:r w:rsidR="001071AD">
        <w:t xml:space="preserve"> of the Commission’s decision </w:t>
      </w:r>
      <w:r w:rsidR="00793C96">
        <w:t>that the Station’s license expired</w:t>
      </w:r>
      <w:r w:rsidR="00AC496C">
        <w:t xml:space="preserve">.  </w:t>
      </w:r>
      <w:r w:rsidR="00F67BE6">
        <w:t>That appeal is no longer pending, and we therefore dismiss as moot</w:t>
      </w:r>
      <w:r w:rsidR="00740A4C">
        <w:t xml:space="preserve"> those portions of the Application challenging the </w:t>
      </w:r>
      <w:r w:rsidR="00953053">
        <w:t>Bureau’s jurisdiction to investigate the Station during the pendency of an unrelated appellate action.</w:t>
      </w:r>
      <w:r w:rsidR="00F31E39">
        <w:t xml:space="preserve">  </w:t>
      </w:r>
      <w:r w:rsidRPr="0035784E" w:rsidR="007907BC">
        <w:t>O</w:t>
      </w:r>
      <w:r w:rsidRPr="00664E6D" w:rsidR="00347279">
        <w:t xml:space="preserve">n alternative and independent grounds, </w:t>
      </w:r>
      <w:r w:rsidRPr="0035784E" w:rsidR="007907BC">
        <w:t>we deny</w:t>
      </w:r>
      <w:r w:rsidR="007907BC">
        <w:t xml:space="preserve"> </w:t>
      </w:r>
      <w:r w:rsidR="00347279">
        <w:t xml:space="preserve">the Application </w:t>
      </w:r>
      <w:r w:rsidR="00950EF0">
        <w:t xml:space="preserve">with respect to CVGC’s </w:t>
      </w:r>
      <w:r w:rsidR="00A156F2">
        <w:t>jurisdictional arguments.</w:t>
      </w:r>
      <w:r>
        <w:t xml:space="preserve"> </w:t>
      </w:r>
    </w:p>
    <w:p w:rsidR="003A61A3" w:rsidP="00735A43" w14:paraId="1251BBF7" w14:textId="769B699D">
      <w:pPr>
        <w:pStyle w:val="ParaNum"/>
        <w:widowControl/>
      </w:pPr>
      <w:r>
        <w:t xml:space="preserve">According to CVGC, </w:t>
      </w:r>
      <w:r w:rsidR="00970F12">
        <w:t xml:space="preserve">its </w:t>
      </w:r>
      <w:r>
        <w:t xml:space="preserve">pending appeal entirely </w:t>
      </w:r>
      <w:r w:rsidR="009B6365">
        <w:t>divest</w:t>
      </w:r>
      <w:r>
        <w:t>s</w:t>
      </w:r>
      <w:r w:rsidR="009B6365">
        <w:t xml:space="preserve"> the Commission </w:t>
      </w:r>
      <w:r>
        <w:t>and</w:t>
      </w:r>
      <w:r w:rsidR="009B6365">
        <w:t xml:space="preserve"> the Bureau of jurisdiction to investigate allegations that CVGC violated the Commission’s rules or the Act</w:t>
      </w:r>
      <w:r w:rsidR="00793C96">
        <w:t xml:space="preserve"> by continuing to operate after its license expired</w:t>
      </w:r>
      <w:r w:rsidR="00670B6C">
        <w:t>.</w:t>
      </w:r>
      <w:r>
        <w:rPr>
          <w:rStyle w:val="FootnoteReference"/>
        </w:rPr>
        <w:footnoteReference w:id="18"/>
      </w:r>
      <w:r w:rsidR="00670B6C">
        <w:t xml:space="preserve">  </w:t>
      </w:r>
      <w:r>
        <w:t xml:space="preserve">In support of its view, </w:t>
      </w:r>
      <w:r w:rsidR="006B0109">
        <w:t xml:space="preserve">CVGC cites a number of authorities, including </w:t>
      </w:r>
      <w:r w:rsidRPr="00F31E39" w:rsidR="00ED6052">
        <w:rPr>
          <w:i/>
          <w:iCs/>
        </w:rPr>
        <w:t>Winchester v. U.S. Attorney for the Southern District of Texas</w:t>
      </w:r>
      <w:r w:rsidR="00601152">
        <w:t xml:space="preserve">, for </w:t>
      </w:r>
      <w:r w:rsidR="00F171C3">
        <w:t>the proposition that</w:t>
      </w:r>
      <w:r w:rsidR="00B75930">
        <w:t xml:space="preserve"> “</w:t>
      </w:r>
      <w:r w:rsidRPr="000012F1" w:rsidR="00B75930">
        <w:t xml:space="preserve">under the usual rule, the </w:t>
      </w:r>
      <w:bookmarkStart w:id="3" w:name="_Hlk80023105"/>
      <w:r w:rsidRPr="000012F1" w:rsidR="00B75930">
        <w:t xml:space="preserve">district court loses all jurisdiction over matters brought to </w:t>
      </w:r>
      <w:r w:rsidR="00644B72">
        <w:t>[the court of appeals]</w:t>
      </w:r>
      <w:r w:rsidRPr="000012F1" w:rsidR="00B75930">
        <w:t xml:space="preserve"> upon the filing of the notice of appeal</w:t>
      </w:r>
      <w:bookmarkEnd w:id="3"/>
      <w:r w:rsidRPr="000012F1" w:rsidR="00B75930">
        <w:t>.</w:t>
      </w:r>
      <w:r w:rsidR="00B75930">
        <w:t>”</w:t>
      </w:r>
      <w:r>
        <w:rPr>
          <w:rStyle w:val="FootnoteReference"/>
        </w:rPr>
        <w:footnoteReference w:id="19"/>
      </w:r>
      <w:r w:rsidR="00F171C3">
        <w:t xml:space="preserve"> </w:t>
      </w:r>
      <w:r w:rsidR="00DB7CBF">
        <w:t xml:space="preserve"> </w:t>
      </w:r>
    </w:p>
    <w:p w:rsidR="00AF1C7E" w:rsidP="00735A43" w14:paraId="77FCC3F1" w14:textId="1F402A79">
      <w:pPr>
        <w:pStyle w:val="ParaNum"/>
        <w:widowControl/>
      </w:pPr>
      <w:r>
        <w:t xml:space="preserve">CVGC’s reliance on </w:t>
      </w:r>
      <w:r w:rsidRPr="003A61A3" w:rsidR="003A61A3">
        <w:rPr>
          <w:i/>
          <w:iCs/>
        </w:rPr>
        <w:t>Winchester</w:t>
      </w:r>
      <w:r w:rsidR="003A61A3">
        <w:t xml:space="preserve"> and its kin</w:t>
      </w:r>
      <w:r>
        <w:t xml:space="preserve"> is misplaced</w:t>
      </w:r>
      <w:r w:rsidR="003A61A3">
        <w:t>.</w:t>
      </w:r>
      <w:r>
        <w:rPr>
          <w:rStyle w:val="FootnoteReference"/>
        </w:rPr>
        <w:footnoteReference w:id="20"/>
      </w:r>
      <w:r w:rsidR="003A61A3">
        <w:t xml:space="preserve">  </w:t>
      </w:r>
      <w:r w:rsidR="00F2367A">
        <w:t xml:space="preserve">Collectively, the authorities cited in the Application establish the primacy of an appellate court’s jurisdiction over the </w:t>
      </w:r>
      <w:r w:rsidRPr="000D707E" w:rsidR="00F2367A">
        <w:rPr>
          <w:i/>
          <w:iCs/>
        </w:rPr>
        <w:t>specific</w:t>
      </w:r>
      <w:r w:rsidR="00F2367A">
        <w:t xml:space="preserve"> matters before it.</w:t>
      </w:r>
      <w:r>
        <w:rPr>
          <w:rStyle w:val="FootnoteReference"/>
        </w:rPr>
        <w:footnoteReference w:id="21"/>
      </w:r>
      <w:r w:rsidR="00F2367A">
        <w:t xml:space="preserve">  However, a</w:t>
      </w:r>
      <w:r w:rsidR="00EC646E">
        <w:t xml:space="preserve">s the Bureau correctly determined, </w:t>
      </w:r>
      <w:r w:rsidR="00AD3725">
        <w:t xml:space="preserve">the D.C. Circuit’s review of the </w:t>
      </w:r>
      <w:r w:rsidR="007E3E6A">
        <w:t>Commission</w:t>
      </w:r>
      <w:r w:rsidR="001D5FDD">
        <w:t xml:space="preserve">’s decision </w:t>
      </w:r>
      <w:r w:rsidR="007E3E6A">
        <w:t xml:space="preserve">that </w:t>
      </w:r>
      <w:r w:rsidR="00B950B5">
        <w:t>the Station’s license</w:t>
      </w:r>
      <w:r w:rsidR="007243D4">
        <w:t xml:space="preserve"> </w:t>
      </w:r>
      <w:r w:rsidR="00B950B5">
        <w:t>expired on December 13, 2018</w:t>
      </w:r>
      <w:r w:rsidR="007936CA">
        <w:t>,</w:t>
      </w:r>
      <w:r w:rsidR="00325C39">
        <w:t xml:space="preserve"> is separate from the enforcement investigation of CVGC’s conduct occurring </w:t>
      </w:r>
      <w:r w:rsidRPr="00495A6E" w:rsidR="00325C39">
        <w:rPr>
          <w:i/>
          <w:iCs/>
        </w:rPr>
        <w:t>after</w:t>
      </w:r>
      <w:r w:rsidR="00325C39">
        <w:t xml:space="preserve"> </w:t>
      </w:r>
      <w:r w:rsidR="00C15A9B">
        <w:t xml:space="preserve">being informed that </w:t>
      </w:r>
      <w:r w:rsidRPr="00C24219" w:rsidR="00C15A9B">
        <w:t>its license expired</w:t>
      </w:r>
      <w:r w:rsidR="00B950B5">
        <w:t>.</w:t>
      </w:r>
      <w:r>
        <w:rPr>
          <w:rStyle w:val="FootnoteReference"/>
        </w:rPr>
        <w:footnoteReference w:id="22"/>
      </w:r>
      <w:r w:rsidR="00B950B5">
        <w:t xml:space="preserve">  </w:t>
      </w:r>
      <w:r w:rsidR="000B3740">
        <w:t xml:space="preserve">In this regard, the </w:t>
      </w:r>
      <w:r w:rsidR="00C34D96">
        <w:t xml:space="preserve">Bureau’s actions are consistent </w:t>
      </w:r>
      <w:r w:rsidR="00487FBD">
        <w:t xml:space="preserve">with precedents in which the “usual rule” </w:t>
      </w:r>
      <w:r w:rsidR="0046336C">
        <w:t xml:space="preserve">referenced in </w:t>
      </w:r>
      <w:r w:rsidR="0046336C">
        <w:rPr>
          <w:i/>
          <w:iCs/>
        </w:rPr>
        <w:t xml:space="preserve">Winchester </w:t>
      </w:r>
      <w:r w:rsidR="00487FBD">
        <w:t>has been found not to apply</w:t>
      </w:r>
      <w:r w:rsidR="00402F02">
        <w:t xml:space="preserve"> to issues that are collateral to the subject of a pending appeal</w:t>
      </w:r>
      <w:r w:rsidR="00487FBD">
        <w:t>.</w:t>
      </w:r>
      <w:r>
        <w:rPr>
          <w:rStyle w:val="FootnoteReference"/>
        </w:rPr>
        <w:footnoteReference w:id="23"/>
      </w:r>
      <w:r w:rsidR="00487FBD">
        <w:t xml:space="preserve">  </w:t>
      </w:r>
      <w:r w:rsidR="00402F02">
        <w:t xml:space="preserve">Accordingly, </w:t>
      </w:r>
      <w:r w:rsidR="00F3609D">
        <w:t xml:space="preserve">we </w:t>
      </w:r>
      <w:r w:rsidR="00F3609D">
        <w:t xml:space="preserve">reject CVGC’s argument that its pending appeal of its license expiration stripped the Commission of </w:t>
      </w:r>
      <w:r w:rsidR="0046336C">
        <w:t xml:space="preserve">its </w:t>
      </w:r>
      <w:r w:rsidR="00F3609D">
        <w:t xml:space="preserve">jurisdiction </w:t>
      </w:r>
      <w:r w:rsidR="000F4C7B">
        <w:t>in this enforcement matter</w:t>
      </w:r>
      <w:r w:rsidR="00793C96">
        <w:t xml:space="preserve"> regarding post-expiration conduct</w:t>
      </w:r>
      <w:r w:rsidR="000F4C7B">
        <w:t xml:space="preserve">. </w:t>
      </w:r>
    </w:p>
    <w:p w:rsidR="00796A9A" w:rsidP="00735A43" w14:paraId="4BE89055" w14:textId="4F3316A9">
      <w:pPr>
        <w:pStyle w:val="Heading3"/>
        <w:widowControl/>
      </w:pPr>
      <w:r>
        <w:t xml:space="preserve">The </w:t>
      </w:r>
      <w:r w:rsidRPr="00CF127C">
        <w:rPr>
          <w:i/>
          <w:iCs/>
        </w:rPr>
        <w:t>Order</w:t>
      </w:r>
      <w:r>
        <w:t xml:space="preserve"> and LOI Correctly Apply Section 511 of the Act</w:t>
      </w:r>
    </w:p>
    <w:p w:rsidR="003A1925" w:rsidP="00735A43" w14:paraId="58849FB1" w14:textId="721B951C">
      <w:pPr>
        <w:pStyle w:val="ParaNum"/>
        <w:widowControl/>
      </w:pPr>
      <w:r>
        <w:t xml:space="preserve">We also agree with the Bureau that the LOI’s invocation of section 511 of the Act </w:t>
      </w:r>
      <w:r w:rsidR="00EB5CBF">
        <w:t xml:space="preserve">is </w:t>
      </w:r>
      <w:r w:rsidR="006B58EE">
        <w:t xml:space="preserve">not a </w:t>
      </w:r>
      <w:r w:rsidR="00174F46">
        <w:t>“tortured misinterpretation of the term ‘pirate radio’</w:t>
      </w:r>
      <w:r w:rsidR="006B58EE">
        <w:t>”</w:t>
      </w:r>
      <w:r>
        <w:rPr>
          <w:rStyle w:val="FootnoteReference"/>
        </w:rPr>
        <w:footnoteReference w:id="24"/>
      </w:r>
      <w:r w:rsidR="006B58EE">
        <w:t xml:space="preserve"> </w:t>
      </w:r>
      <w:r w:rsidR="00072B11">
        <w:t xml:space="preserve">that threatened or attempted to </w:t>
      </w:r>
      <w:r w:rsidR="006B58EE">
        <w:t>coerce CVGC and its principals.</w:t>
      </w:r>
      <w:r>
        <w:rPr>
          <w:rStyle w:val="FootnoteReference"/>
        </w:rPr>
        <w:footnoteReference w:id="25"/>
      </w:r>
      <w:r w:rsidR="006B58EE">
        <w:t xml:space="preserve">  As the LOI plainly states (and as directly quoted in the Application), </w:t>
      </w:r>
      <w:r w:rsidR="00170ECB">
        <w:t>“section 511 of the Act establishes penalties for any individual who engages in or permits acts of pirate radio broadcasting, which is defined as ‘the transmission of communications on spectrum frequencies between 535 and 1705 kilohertz, inclusive, or 87.7 and 10</w:t>
      </w:r>
      <w:r w:rsidR="007A2DAA">
        <w:t>8</w:t>
      </w:r>
      <w:r w:rsidR="00170ECB">
        <w:t xml:space="preserve"> megahertz, inclusive, without a license issued by the Commission.</w:t>
      </w:r>
      <w:r w:rsidR="00EB5CBF">
        <w:t>’</w:t>
      </w:r>
      <w:r w:rsidR="00170ECB">
        <w:t>”</w:t>
      </w:r>
      <w:r>
        <w:rPr>
          <w:rStyle w:val="FootnoteReference"/>
        </w:rPr>
        <w:footnoteReference w:id="26"/>
      </w:r>
      <w:r w:rsidR="00436D8F">
        <w:t xml:space="preserve">  </w:t>
      </w:r>
      <w:r w:rsidR="00367D36">
        <w:t>Th</w:t>
      </w:r>
      <w:r w:rsidR="0014139A">
        <w:t>rough the LOI, the Bureau is attempting to investigate</w:t>
      </w:r>
      <w:r w:rsidR="00B847FE">
        <w:t xml:space="preserve">, </w:t>
      </w:r>
      <w:r w:rsidR="00B847FE">
        <w:rPr>
          <w:i/>
          <w:iCs/>
        </w:rPr>
        <w:t>inter alia</w:t>
      </w:r>
      <w:r w:rsidRPr="00753C44" w:rsidR="00B847FE">
        <w:t>,</w:t>
      </w:r>
      <w:r w:rsidR="00B847FE">
        <w:rPr>
          <w:i/>
          <w:iCs/>
        </w:rPr>
        <w:t xml:space="preserve"> </w:t>
      </w:r>
      <w:r w:rsidR="00B847FE">
        <w:t xml:space="preserve">whether the </w:t>
      </w:r>
      <w:r w:rsidR="00367D36">
        <w:t xml:space="preserve">Station continued to operate as a broadcast </w:t>
      </w:r>
      <w:r w:rsidR="00EB5CBF">
        <w:t xml:space="preserve">station </w:t>
      </w:r>
      <w:r w:rsidR="00367D36">
        <w:t>after the expiration of its license</w:t>
      </w:r>
      <w:r w:rsidR="00BF779E">
        <w:t>, and</w:t>
      </w:r>
      <w:r w:rsidR="00B847FE">
        <w:t xml:space="preserve">, if so, </w:t>
      </w:r>
      <w:r w:rsidR="00D4371C">
        <w:t>the frequency on which the Station operated.  The LOI also p</w:t>
      </w:r>
      <w:r w:rsidR="002F138D">
        <w:t>rovided</w:t>
      </w:r>
      <w:r w:rsidR="00D4371C">
        <w:t xml:space="preserve"> CVGC with an opportunity to explain its legal basis for continuing to operate.</w:t>
      </w:r>
      <w:r>
        <w:rPr>
          <w:rStyle w:val="FootnoteReference"/>
        </w:rPr>
        <w:footnoteReference w:id="27"/>
      </w:r>
      <w:r w:rsidR="00D4371C">
        <w:t xml:space="preserve">  Thus, with respect to section 511 of the Act, the LOI plainly seeks information </w:t>
      </w:r>
      <w:r w:rsidR="00764BD9">
        <w:t xml:space="preserve">to determine whether Station has operated without a license from the Commission on </w:t>
      </w:r>
      <w:r w:rsidR="008757D1">
        <w:t xml:space="preserve">a frequency identified in section 511(h) of the Act.  </w:t>
      </w:r>
      <w:r w:rsidR="00241903">
        <w:t xml:space="preserve">In amending the Act to include section 511(h), Congress did not draw a distinction between a station that has </w:t>
      </w:r>
      <w:r w:rsidRPr="003F5634" w:rsidR="00241903">
        <w:rPr>
          <w:i/>
          <w:iCs/>
        </w:rPr>
        <w:t>never</w:t>
      </w:r>
      <w:r w:rsidR="00241903">
        <w:t xml:space="preserve"> held a Commission license and one that </w:t>
      </w:r>
      <w:r w:rsidR="009D5EF9">
        <w:rPr>
          <w:i/>
          <w:iCs/>
        </w:rPr>
        <w:t>previously</w:t>
      </w:r>
      <w:r w:rsidR="00241903">
        <w:rPr>
          <w:i/>
          <w:iCs/>
        </w:rPr>
        <w:t xml:space="preserve"> </w:t>
      </w:r>
      <w:r w:rsidR="009D5EF9">
        <w:t>held</w:t>
      </w:r>
      <w:r w:rsidR="00241903">
        <w:t xml:space="preserve"> a Commission license,</w:t>
      </w:r>
      <w:r>
        <w:rPr>
          <w:rStyle w:val="FootnoteReference"/>
        </w:rPr>
        <w:footnoteReference w:id="28"/>
      </w:r>
      <w:r w:rsidR="00241903">
        <w:t xml:space="preserve"> and we decline to do so here.  </w:t>
      </w:r>
      <w:r w:rsidR="003B479A">
        <w:t xml:space="preserve">Accordingly, we find that the Bureau’s invocation of section 511 was appropriate </w:t>
      </w:r>
      <w:r w:rsidR="00F2680C">
        <w:t xml:space="preserve">in a preliminary inquiry whether the conduct of CVGC and its principals </w:t>
      </w:r>
      <w:r w:rsidR="00F56579">
        <w:t xml:space="preserve">met the statutory threshold for liability under section 511 of the Act.  </w:t>
      </w:r>
    </w:p>
    <w:p w:rsidR="00D915A0" w:rsidP="00735A43" w14:paraId="1B20E7B2" w14:textId="7BAA3028">
      <w:pPr>
        <w:pStyle w:val="Heading3"/>
        <w:widowControl/>
      </w:pPr>
      <w:r>
        <w:t xml:space="preserve">CVGC </w:t>
      </w:r>
      <w:r w:rsidR="00897FB4">
        <w:t xml:space="preserve">Has Lacked Authority to Operate the Station Since </w:t>
      </w:r>
      <w:r w:rsidR="005A7F09">
        <w:t>December 13, 2018</w:t>
      </w:r>
      <w:r>
        <w:t xml:space="preserve"> </w:t>
      </w:r>
    </w:p>
    <w:p w:rsidR="004E7FCE" w:rsidP="00735A43" w14:paraId="62C39C73" w14:textId="4B066451">
      <w:pPr>
        <w:pStyle w:val="ParaNum"/>
        <w:widowControl/>
      </w:pPr>
      <w:r>
        <w:t xml:space="preserve">We depart, somewhat, from the Bureau’s analysis of </w:t>
      </w:r>
      <w:r w:rsidR="000079B0">
        <w:t xml:space="preserve">CVGC’s argument that it </w:t>
      </w:r>
      <w:r w:rsidR="00B24A4C">
        <w:t xml:space="preserve">was permitted to </w:t>
      </w:r>
      <w:r w:rsidR="000079B0">
        <w:t xml:space="preserve">continue to operate the Station </w:t>
      </w:r>
      <w:r w:rsidR="005214B9">
        <w:t xml:space="preserve">following the expiration of its license pursuant to section 312(g) of the Act.  </w:t>
      </w:r>
      <w:r w:rsidR="003D63E9">
        <w:t xml:space="preserve">In the </w:t>
      </w:r>
      <w:r w:rsidRPr="003F5634" w:rsidR="003D63E9">
        <w:rPr>
          <w:i/>
          <w:iCs/>
        </w:rPr>
        <w:t>Order</w:t>
      </w:r>
      <w:r w:rsidR="003D63E9">
        <w:t xml:space="preserve">, the Bureau took no position on whether CVGC </w:t>
      </w:r>
      <w:r w:rsidR="0078060D">
        <w:t xml:space="preserve">possesses authority to operate the </w:t>
      </w:r>
      <w:r w:rsidR="009072FF">
        <w:t>S</w:t>
      </w:r>
      <w:r w:rsidR="0078060D">
        <w:t xml:space="preserve">tation, </w:t>
      </w:r>
      <w:r w:rsidR="00486159">
        <w:t>stating</w:t>
      </w:r>
      <w:r w:rsidR="0078060D">
        <w:t xml:space="preserve"> that it </w:t>
      </w:r>
      <w:r w:rsidR="002B746A">
        <w:t>did not want to prejudge the outcome of its own investigation.</w:t>
      </w:r>
      <w:r>
        <w:rPr>
          <w:rStyle w:val="FootnoteReference"/>
        </w:rPr>
        <w:footnoteReference w:id="29"/>
      </w:r>
      <w:r w:rsidR="002B746A">
        <w:t xml:space="preserve">  </w:t>
      </w:r>
      <w:r w:rsidR="00486159">
        <w:t xml:space="preserve">Given that CVGC has </w:t>
      </w:r>
      <w:r w:rsidR="000F2A9D">
        <w:t xml:space="preserve">challenged the LOI but has </w:t>
      </w:r>
      <w:r w:rsidR="00486159">
        <w:t xml:space="preserve">not advanced a plausible theory </w:t>
      </w:r>
      <w:r w:rsidR="00837492">
        <w:t>under which it could continue to operate the Statio</w:t>
      </w:r>
      <w:r w:rsidR="00B52026">
        <w:t>n after its license expired by operation of section 312(g)</w:t>
      </w:r>
      <w:r w:rsidR="00DF4AF0">
        <w:t>,</w:t>
      </w:r>
      <w:r w:rsidR="00C008B6">
        <w:t xml:space="preserve"> </w:t>
      </w:r>
      <w:r w:rsidR="00860023">
        <w:t>we address CVGC’s claims on the merits</w:t>
      </w:r>
      <w:r w:rsidR="00B52026">
        <w:t>.</w:t>
      </w:r>
      <w:r>
        <w:rPr>
          <w:rStyle w:val="FootnoteReference"/>
        </w:rPr>
        <w:footnoteReference w:id="30"/>
      </w:r>
      <w:r w:rsidR="00B52026">
        <w:t xml:space="preserve">  </w:t>
      </w:r>
    </w:p>
    <w:p w:rsidR="0068656E" w:rsidRPr="00561956" w:rsidP="00735A43" w14:paraId="3F13AAFC" w14:textId="623AC482">
      <w:pPr>
        <w:pStyle w:val="ParaNum"/>
        <w:widowControl/>
      </w:pPr>
      <w:r>
        <w:t>CVGC</w:t>
      </w:r>
      <w:r w:rsidR="00860023">
        <w:t xml:space="preserve"> asserts </w:t>
      </w:r>
      <w:r>
        <w:t>that “[t]he Bureau interprets Section 1.102(b) as giving it the authority to prevent a licensee from broadcasting unless and until the Bureau’s decision is overturned by the Commission or a reviewing court”</w:t>
      </w:r>
      <w:r>
        <w:rPr>
          <w:rStyle w:val="FootnoteReference"/>
        </w:rPr>
        <w:footnoteReference w:id="31"/>
      </w:r>
      <w:r>
        <w:t xml:space="preserve"> </w:t>
      </w:r>
      <w:r w:rsidR="006A7CFE">
        <w:t>and that such an interpretation conflicts with section 558 of the Administrative Procedure Act</w:t>
      </w:r>
      <w:r w:rsidR="00E77DF3">
        <w:t xml:space="preserve"> (APA)</w:t>
      </w:r>
      <w:r w:rsidR="006A7CFE">
        <w:t>.</w:t>
      </w:r>
      <w:r>
        <w:rPr>
          <w:rStyle w:val="FootnoteReference"/>
        </w:rPr>
        <w:footnoteReference w:id="32"/>
      </w:r>
      <w:r w:rsidR="006A7CFE">
        <w:t xml:space="preserve"> </w:t>
      </w:r>
      <w:r>
        <w:t xml:space="preserve"> </w:t>
      </w:r>
      <w:r w:rsidR="00860023">
        <w:t xml:space="preserve">As an initial matter, </w:t>
      </w:r>
      <w:r w:rsidR="00192E46">
        <w:t xml:space="preserve">the LOI </w:t>
      </w:r>
      <w:r w:rsidR="0064774D">
        <w:t xml:space="preserve">seeks information from CVGC </w:t>
      </w:r>
      <w:r w:rsidR="008960B3">
        <w:t xml:space="preserve">but </w:t>
      </w:r>
      <w:r w:rsidR="0064774D">
        <w:t>neither</w:t>
      </w:r>
      <w:r w:rsidR="00D6093E">
        <w:t xml:space="preserve"> </w:t>
      </w:r>
      <w:r w:rsidR="00644B72">
        <w:t>directs</w:t>
      </w:r>
      <w:r w:rsidR="00D6093E">
        <w:t xml:space="preserve"> the company to </w:t>
      </w:r>
      <w:r w:rsidR="00644B72">
        <w:t>take any action regarding possible continued operation of</w:t>
      </w:r>
      <w:r w:rsidR="00D6093E">
        <w:t xml:space="preserve"> the Station nor </w:t>
      </w:r>
      <w:r w:rsidR="00D6093E">
        <w:t>imposes any san</w:t>
      </w:r>
      <w:r w:rsidR="00AA529B">
        <w:t xml:space="preserve">ction on the company.  </w:t>
      </w:r>
      <w:r w:rsidR="00860023">
        <w:t xml:space="preserve">In any event, </w:t>
      </w:r>
      <w:r w:rsidR="008960B3">
        <w:t>we reject CVGC</w:t>
      </w:r>
      <w:r w:rsidR="00325C39">
        <w:t>’s</w:t>
      </w:r>
      <w:r w:rsidR="008960B3">
        <w:t xml:space="preserve"> argument that </w:t>
      </w:r>
      <w:r w:rsidRPr="00B11FE3" w:rsidR="008960B3">
        <w:t xml:space="preserve">prohibition of operations unless and until the </w:t>
      </w:r>
      <w:r w:rsidR="008960B3">
        <w:t xml:space="preserve">Media </w:t>
      </w:r>
      <w:r w:rsidRPr="00B11FE3" w:rsidR="008960B3">
        <w:t xml:space="preserve">Bureau’s </w:t>
      </w:r>
      <w:r w:rsidR="00335FA0">
        <w:t xml:space="preserve">licensing </w:t>
      </w:r>
      <w:r w:rsidRPr="00B11FE3" w:rsidR="008960B3">
        <w:t>decision</w:t>
      </w:r>
      <w:r w:rsidR="00325C39">
        <w:t xml:space="preserve"> </w:t>
      </w:r>
      <w:r w:rsidRPr="00B11FE3" w:rsidR="008960B3">
        <w:t xml:space="preserve">is overturned by </w:t>
      </w:r>
      <w:r w:rsidR="008960B3">
        <w:t xml:space="preserve">a </w:t>
      </w:r>
      <w:r w:rsidRPr="00B11FE3" w:rsidR="008960B3">
        <w:t>reviewing court amounts to a sanction without reasonable notice or opportunity to achieve compliance in violation of section 558 of the APA.</w:t>
      </w:r>
      <w:r>
        <w:rPr>
          <w:rStyle w:val="FootnoteReference"/>
        </w:rPr>
        <w:footnoteReference w:id="33"/>
      </w:r>
      <w:r w:rsidRPr="00B11FE3" w:rsidR="008960B3">
        <w:t xml:space="preserve">  </w:t>
      </w:r>
      <w:r w:rsidRPr="00773E7D" w:rsidR="008960B3">
        <w:t>As the D.C. Circuit has explained, “[a] license that expires on its own terms is not protected by” 5 U.S.C. § 558.</w:t>
      </w:r>
      <w:r>
        <w:rPr>
          <w:rStyle w:val="FootnoteReference"/>
        </w:rPr>
        <w:footnoteReference w:id="34"/>
      </w:r>
      <w:r w:rsidRPr="00773E7D" w:rsidR="008960B3">
        <w:t xml:space="preserve">  Here, through operation of section 312(g)</w:t>
      </w:r>
      <w:r w:rsidR="00E77DF3">
        <w:t xml:space="preserve"> of the Act</w:t>
      </w:r>
      <w:r w:rsidRPr="00773E7D" w:rsidR="008960B3">
        <w:t>,</w:t>
      </w:r>
      <w:r>
        <w:rPr>
          <w:rStyle w:val="FootnoteReference"/>
        </w:rPr>
        <w:footnoteReference w:id="35"/>
      </w:r>
      <w:r w:rsidRPr="00773E7D" w:rsidR="008960B3">
        <w:t xml:space="preserve"> </w:t>
      </w:r>
      <w:r w:rsidR="00602829">
        <w:t>CVGC</w:t>
      </w:r>
      <w:r w:rsidRPr="00773E7D" w:rsidR="008960B3">
        <w:t xml:space="preserve">’s license expired on its own terms </w:t>
      </w:r>
      <w:r w:rsidR="008960B3">
        <w:t>on December 13, 2018</w:t>
      </w:r>
      <w:r w:rsidR="00E77DF3">
        <w:t>,</w:t>
      </w:r>
      <w:r w:rsidR="008960B3">
        <w:t xml:space="preserve"> </w:t>
      </w:r>
      <w:r w:rsidRPr="00773E7D" w:rsidR="008960B3">
        <w:t>when it failed to “transmit broadcast signals” (i.e., as authorized in its license) for a consecutive 12-month period</w:t>
      </w:r>
      <w:r w:rsidR="008960B3">
        <w:t>.</w:t>
      </w:r>
    </w:p>
    <w:p w:rsidR="0086204D" w:rsidP="00735A43" w14:paraId="45808389" w14:textId="36206284">
      <w:pPr>
        <w:pStyle w:val="ParaNum"/>
        <w:widowControl/>
      </w:pPr>
      <w:r>
        <w:t>Next, w</w:t>
      </w:r>
      <w:r w:rsidR="00136DDA">
        <w:t xml:space="preserve">e reject CVGC’s argument that the Station’s license </w:t>
      </w:r>
      <w:r w:rsidR="000670CC">
        <w:t>was</w:t>
      </w:r>
      <w:r w:rsidR="00136DDA">
        <w:t xml:space="preserve"> somehow preserved</w:t>
      </w:r>
      <w:r w:rsidR="000670CC">
        <w:t xml:space="preserve"> </w:t>
      </w:r>
      <w:r w:rsidRPr="0035784E" w:rsidR="000670CC">
        <w:t xml:space="preserve">during the pendency of </w:t>
      </w:r>
      <w:r w:rsidRPr="0035784E" w:rsidR="007907BC">
        <w:t xml:space="preserve">Commission </w:t>
      </w:r>
      <w:r w:rsidRPr="0035784E" w:rsidR="000670CC">
        <w:t>review of the Media Bureau’s decision</w:t>
      </w:r>
      <w:r w:rsidRPr="0035784E" w:rsidR="00136DDA">
        <w:t xml:space="preserve"> </w:t>
      </w:r>
      <w:r w:rsidRPr="0035784E" w:rsidR="007907BC">
        <w:t xml:space="preserve">and judicial review of the Commission’s decision </w:t>
      </w:r>
      <w:r w:rsidRPr="0035784E" w:rsidR="00136DDA">
        <w:t>by</w:t>
      </w:r>
      <w:r w:rsidR="00136DDA">
        <w:t xml:space="preserve"> operation of section 307(c)(3) of the Act</w:t>
      </w:r>
      <w:r w:rsidR="00356178">
        <w:t>.</w:t>
      </w:r>
      <w:r>
        <w:rPr>
          <w:rStyle w:val="FootnoteReference"/>
        </w:rPr>
        <w:footnoteReference w:id="36"/>
      </w:r>
      <w:r w:rsidR="00356178">
        <w:t xml:space="preserve">  Section 307(c)(3)</w:t>
      </w:r>
      <w:r w:rsidR="00136DDA">
        <w:t xml:space="preserve"> provides that the “license” of a station that has filed an application for renewal shall continue in effect pending administrative or judicial review of a decision on the renewal application.</w:t>
      </w:r>
      <w:r>
        <w:rPr>
          <w:rStyle w:val="FootnoteReference"/>
        </w:rPr>
        <w:footnoteReference w:id="37"/>
      </w:r>
      <w:r w:rsidR="00136DDA">
        <w:t xml:space="preserve">  Section 307(c)(3) does not apply here because </w:t>
      </w:r>
      <w:r w:rsidR="00602829">
        <w:t>CVGC</w:t>
      </w:r>
      <w:r w:rsidR="00136DDA">
        <w:t xml:space="preserve"> never filed a renewal application. </w:t>
      </w:r>
      <w:r w:rsidR="006E0BE6">
        <w:t xml:space="preserve"> </w:t>
      </w:r>
      <w:r w:rsidR="00136DDA">
        <w:t>In addition, section 307(c)(3) has no application to section 312(g), which provides, without qualification, that the license of a station “expires” if the station fails to “transmit broadcast signals” for a consecutive 12-month period.</w:t>
      </w:r>
      <w:r>
        <w:rPr>
          <w:rStyle w:val="FootnoteReference"/>
        </w:rPr>
        <w:footnoteReference w:id="38"/>
      </w:r>
      <w:r w:rsidR="00136DDA">
        <w:t xml:space="preserve">  Indeed, </w:t>
      </w:r>
      <w:r w:rsidR="004D4059">
        <w:t xml:space="preserve">section </w:t>
      </w:r>
      <w:r w:rsidR="00136DDA">
        <w:t>312(g) provides that the Commission may “extend or reinstate” the expired license if, among other things, the holder of the station license “prevails” in an administrative or judicial appeal.</w:t>
      </w:r>
      <w:r>
        <w:rPr>
          <w:rStyle w:val="FootnoteReference"/>
        </w:rPr>
        <w:footnoteReference w:id="39"/>
      </w:r>
      <w:r w:rsidR="00136DDA">
        <w:t xml:space="preserve">  In other words, </w:t>
      </w:r>
      <w:r w:rsidR="00015A80">
        <w:t xml:space="preserve">merely filing </w:t>
      </w:r>
      <w:r w:rsidR="00136DDA">
        <w:t>an administrative or judicial appeal of a decision finding that a license expired pursuant to section 312(g) does not work</w:t>
      </w:r>
      <w:r w:rsidR="00CE2432">
        <w:t xml:space="preserve"> automatically</w:t>
      </w:r>
      <w:r w:rsidR="00136DDA">
        <w:t xml:space="preserve"> to extend or reinstate the license.  </w:t>
      </w:r>
    </w:p>
    <w:p w:rsidR="00136DDA" w:rsidP="00735A43" w14:paraId="48DEE735" w14:textId="1821D618">
      <w:pPr>
        <w:pStyle w:val="ParaNum"/>
        <w:widowControl/>
      </w:pPr>
      <w:r>
        <w:t xml:space="preserve">CVGC also argues that section 307(c)(3) </w:t>
      </w:r>
      <w:r w:rsidR="004D4059">
        <w:t xml:space="preserve">of the Act </w:t>
      </w:r>
      <w:r>
        <w:t>“provides guidance” that the Commission “should give great consideration and review before ordering a station off the air.”</w:t>
      </w:r>
      <w:r>
        <w:rPr>
          <w:rStyle w:val="FootnoteReference"/>
        </w:rPr>
        <w:footnoteReference w:id="40"/>
      </w:r>
      <w:r>
        <w:t xml:space="preserve">  We do not agree.  Section 307(c)(3) expressly refers to “</w:t>
      </w:r>
      <w:r>
        <w:t>contin</w:t>
      </w:r>
      <w:r>
        <w:t>[</w:t>
      </w:r>
      <w:r>
        <w:t>uing</w:t>
      </w:r>
      <w:r>
        <w:t xml:space="preserve">] such </w:t>
      </w:r>
      <w:r w:rsidRPr="007A2E81">
        <w:rPr>
          <w:i/>
          <w:iCs/>
        </w:rPr>
        <w:t>license</w:t>
      </w:r>
      <w:r>
        <w:t xml:space="preserve"> in effect”</w:t>
      </w:r>
      <w:r>
        <w:rPr>
          <w:rStyle w:val="FootnoteReference"/>
        </w:rPr>
        <w:footnoteReference w:id="41"/>
      </w:r>
      <w:r>
        <w:t xml:space="preserve"> while a renewal application is pending</w:t>
      </w:r>
      <w:r w:rsidR="000272CE">
        <w:t xml:space="preserve">.  No renewal was pending. Rather, </w:t>
      </w:r>
      <w:r>
        <w:t>CVGC’s license expired on December 13, 2018</w:t>
      </w:r>
      <w:r w:rsidR="00A20495">
        <w:t>,</w:t>
      </w:r>
      <w:r>
        <w:t xml:space="preserve"> pursuant to section 312(g).  After that date, there was no license </w:t>
      </w:r>
      <w:r w:rsidR="00BE56BC">
        <w:t xml:space="preserve">that could </w:t>
      </w:r>
      <w:r>
        <w:t xml:space="preserve">continue in effect.  To the extent Congress wanted to permit operations pursuant to an expired license while an appeal is pending, it would have addressed that subject in section 312(g).  But </w:t>
      </w:r>
      <w:r w:rsidR="00A20495">
        <w:t xml:space="preserve">section </w:t>
      </w:r>
      <w:r>
        <w:t xml:space="preserve">312(g) contains no language similar to </w:t>
      </w:r>
      <w:r w:rsidR="00E46299">
        <w:t xml:space="preserve">that which lawmakers </w:t>
      </w:r>
      <w:r w:rsidR="002E313B">
        <w:t xml:space="preserve">expressly included in </w:t>
      </w:r>
      <w:r w:rsidR="00A20495">
        <w:t xml:space="preserve">section </w:t>
      </w:r>
      <w:r>
        <w:t>307(c)(3).</w:t>
      </w:r>
      <w:r>
        <w:rPr>
          <w:rStyle w:val="FootnoteReference"/>
        </w:rPr>
        <w:footnoteReference w:id="42"/>
      </w:r>
      <w:r>
        <w:t xml:space="preserve">  </w:t>
      </w:r>
    </w:p>
    <w:p w:rsidR="00E76DE1" w:rsidRPr="00AE7581" w:rsidP="00735A43" w14:paraId="401BD29F" w14:textId="3C0D6A5F">
      <w:pPr>
        <w:pStyle w:val="ParaNum"/>
        <w:widowControl/>
      </w:pPr>
      <w:r>
        <w:t xml:space="preserve">In addition, </w:t>
      </w:r>
      <w:r w:rsidR="00136DDA">
        <w:t xml:space="preserve">CVGC </w:t>
      </w:r>
      <w:r>
        <w:t>contends</w:t>
      </w:r>
      <w:r w:rsidR="00136DDA">
        <w:t xml:space="preserve"> </w:t>
      </w:r>
      <w:r w:rsidRPr="00AE7581" w:rsidR="00136DDA">
        <w:t>that</w:t>
      </w:r>
      <w:r w:rsidRPr="00AE7581" w:rsidR="00387C6C">
        <w:t xml:space="preserve">, </w:t>
      </w:r>
      <w:r w:rsidRPr="00AE7581" w:rsidR="0017151C">
        <w:t xml:space="preserve">in certain cases, </w:t>
      </w:r>
      <w:r w:rsidRPr="00AE7581" w:rsidR="00387C6C">
        <w:t xml:space="preserve">until </w:t>
      </w:r>
      <w:r w:rsidRPr="00AE7581" w:rsidR="00DF3E7E">
        <w:t>a</w:t>
      </w:r>
      <w:r w:rsidRPr="00AE7581" w:rsidR="00387C6C">
        <w:t xml:space="preserve"> Station has exhausted its administrative</w:t>
      </w:r>
      <w:r w:rsidRPr="00AE7581" w:rsidR="00DF3E7E">
        <w:t xml:space="preserve"> and judicial remedies,</w:t>
      </w:r>
      <w:r w:rsidRPr="00AE7581" w:rsidR="00136DDA">
        <w:t xml:space="preserve"> the Commission protects from use by other parties the frequency of a station that has had its call sign deleted</w:t>
      </w:r>
      <w:r w:rsidRPr="00AE7581">
        <w:t>.</w:t>
      </w:r>
      <w:r>
        <w:rPr>
          <w:rStyle w:val="FootnoteReference"/>
        </w:rPr>
        <w:footnoteReference w:id="43"/>
      </w:r>
      <w:r w:rsidRPr="00AE7581" w:rsidR="00136DDA">
        <w:t xml:space="preserve"> </w:t>
      </w:r>
      <w:r w:rsidRPr="00AE7581" w:rsidR="00B50D4A">
        <w:t xml:space="preserve"> </w:t>
      </w:r>
      <w:r w:rsidR="00AE7581">
        <w:t>However, i</w:t>
      </w:r>
      <w:r w:rsidRPr="00AE7581" w:rsidR="0017151C">
        <w:t xml:space="preserve">n those </w:t>
      </w:r>
      <w:r w:rsidRPr="00AE7581" w:rsidR="009F1E70">
        <w:t xml:space="preserve">instances where the Commission </w:t>
      </w:r>
      <w:r w:rsidR="00AE7581">
        <w:t xml:space="preserve">takes </w:t>
      </w:r>
      <w:r w:rsidR="00AE7581">
        <w:t>such steps</w:t>
      </w:r>
      <w:r w:rsidRPr="00AE7581" w:rsidR="009F1E70">
        <w:t xml:space="preserve">, </w:t>
      </w:r>
      <w:r w:rsidR="00AE7581">
        <w:t>it does not permit the</w:t>
      </w:r>
      <w:r w:rsidRPr="00AE7581" w:rsidR="00136DDA">
        <w:t xml:space="preserve"> station </w:t>
      </w:r>
      <w:r w:rsidR="006353A3">
        <w:t xml:space="preserve">that has had its call sign deleted to continue </w:t>
      </w:r>
      <w:r w:rsidRPr="00AE7581" w:rsidR="00136DDA">
        <w:t xml:space="preserve">to broadcast without a license. </w:t>
      </w:r>
      <w:r w:rsidRPr="00AE7581" w:rsidR="004277D3">
        <w:t xml:space="preserve"> </w:t>
      </w:r>
    </w:p>
    <w:p w:rsidR="00136DDA" w:rsidP="00735A43" w14:paraId="2FF4C372" w14:textId="10E8F78E">
      <w:pPr>
        <w:pStyle w:val="Heading3"/>
        <w:widowControl/>
      </w:pPr>
      <w:r>
        <w:t xml:space="preserve">A </w:t>
      </w:r>
      <w:r w:rsidR="000D5F02">
        <w:t xml:space="preserve">Grant </w:t>
      </w:r>
      <w:r w:rsidR="00B70EAA">
        <w:t xml:space="preserve">of </w:t>
      </w:r>
      <w:r w:rsidR="000D5F02">
        <w:t xml:space="preserve">the Application </w:t>
      </w:r>
      <w:r>
        <w:t xml:space="preserve">Would </w:t>
      </w:r>
      <w:r w:rsidR="000D5F02">
        <w:t>Harm the Public Interest.</w:t>
      </w:r>
    </w:p>
    <w:p w:rsidR="00013E4D" w:rsidP="00735A43" w14:paraId="3354B5FE" w14:textId="1B5059C5">
      <w:pPr>
        <w:pStyle w:val="ParaNum"/>
        <w:widowControl/>
      </w:pPr>
      <w:r>
        <w:t xml:space="preserve">In the Application, CVGC asserts that </w:t>
      </w:r>
      <w:r w:rsidR="00705A27">
        <w:t>quashing</w:t>
      </w:r>
      <w:r>
        <w:t xml:space="preserve"> the LOI would serve the public interest.</w:t>
      </w:r>
      <w:r>
        <w:rPr>
          <w:rStyle w:val="FootnoteReference"/>
        </w:rPr>
        <w:footnoteReference w:id="44"/>
      </w:r>
      <w:r>
        <w:t xml:space="preserve">  </w:t>
      </w:r>
      <w:r w:rsidR="00196408">
        <w:t>We disagree</w:t>
      </w:r>
      <w:r>
        <w:t>.  As the Bureau correctly stated, Congress has tasked the Commission with manag</w:t>
      </w:r>
      <w:r w:rsidR="00196408">
        <w:t xml:space="preserve">ing </w:t>
      </w:r>
      <w:r>
        <w:t xml:space="preserve">radio spectrum and has authorized it to enforce its rules.  Were we to grant </w:t>
      </w:r>
      <w:r w:rsidR="00F445B4">
        <w:t xml:space="preserve">the Application and suspend the LOI, it would set a precedent that would enable </w:t>
      </w:r>
      <w:r w:rsidR="002A65F6">
        <w:t>an</w:t>
      </w:r>
      <w:r w:rsidR="00F445B4">
        <w:t xml:space="preserve"> appellant in </w:t>
      </w:r>
      <w:r w:rsidR="002A65F6">
        <w:t xml:space="preserve">a </w:t>
      </w:r>
      <w:r w:rsidR="00F445B4">
        <w:t xml:space="preserve">licensing matter to avoid any scrutiny of </w:t>
      </w:r>
      <w:r w:rsidR="006276B2">
        <w:t xml:space="preserve">its </w:t>
      </w:r>
      <w:r w:rsidR="00F445B4">
        <w:t xml:space="preserve">conduct </w:t>
      </w:r>
      <w:r w:rsidR="00954FF6">
        <w:t xml:space="preserve">(including conduct occurring after </w:t>
      </w:r>
      <w:r w:rsidR="00BD5400">
        <w:t>a</w:t>
      </w:r>
      <w:r w:rsidR="00302C22">
        <w:t xml:space="preserve"> license has expired</w:t>
      </w:r>
      <w:r w:rsidR="00954FF6">
        <w:t xml:space="preserve">) </w:t>
      </w:r>
      <w:r w:rsidR="00F445B4">
        <w:t xml:space="preserve">pending the outcome of </w:t>
      </w:r>
      <w:r w:rsidR="00C4169F">
        <w:t xml:space="preserve">an </w:t>
      </w:r>
      <w:r w:rsidR="00F445B4">
        <w:t xml:space="preserve">appeal. </w:t>
      </w:r>
      <w:r w:rsidR="00BE574F">
        <w:t xml:space="preserve"> We will not do so.</w:t>
      </w:r>
    </w:p>
    <w:p w:rsidR="00FD50C2" w:rsidP="00735A43" w14:paraId="230F6D64" w14:textId="15702735">
      <w:pPr>
        <w:pStyle w:val="Heading1"/>
        <w:widowControl/>
      </w:pPr>
      <w:r>
        <w:t>Second Motion for investigative Stay</w:t>
      </w:r>
    </w:p>
    <w:p w:rsidR="00C229E7" w:rsidP="00735A43" w14:paraId="48845AFF" w14:textId="24B2D578">
      <w:pPr>
        <w:pStyle w:val="ParaNum"/>
        <w:widowControl/>
      </w:pPr>
      <w:r>
        <w:t xml:space="preserve">Turning to the </w:t>
      </w:r>
      <w:r w:rsidR="00CC3F37">
        <w:t xml:space="preserve">Second </w:t>
      </w:r>
      <w:r>
        <w:t xml:space="preserve">Motion for </w:t>
      </w:r>
      <w:r w:rsidR="00CC3F37">
        <w:t xml:space="preserve">Investigative </w:t>
      </w:r>
      <w:r>
        <w:t>Stay, CVGC once again bases its motion</w:t>
      </w:r>
      <w:r w:rsidR="00D34F0F">
        <w:t xml:space="preserve">, </w:t>
      </w:r>
      <w:r w:rsidRPr="007C4381" w:rsidR="00D34F0F">
        <w:rPr>
          <w:i/>
          <w:iCs/>
        </w:rPr>
        <w:t>inter alia</w:t>
      </w:r>
      <w:r w:rsidR="00D34F0F">
        <w:t>,</w:t>
      </w:r>
      <w:r>
        <w:t xml:space="preserve"> on </w:t>
      </w:r>
      <w:r w:rsidR="00575F3A">
        <w:t>a</w:t>
      </w:r>
      <w:r>
        <w:t xml:space="preserve"> </w:t>
      </w:r>
      <w:r w:rsidR="00C666E1">
        <w:t xml:space="preserve">claimed </w:t>
      </w:r>
      <w:r>
        <w:t xml:space="preserve">likelihood to prevail in </w:t>
      </w:r>
      <w:r w:rsidR="0069765B">
        <w:t>the</w:t>
      </w:r>
      <w:r>
        <w:t xml:space="preserve"> Application</w:t>
      </w:r>
      <w:r w:rsidR="00367687">
        <w:t>.</w:t>
      </w:r>
      <w:r>
        <w:rPr>
          <w:rStyle w:val="FootnoteReference"/>
        </w:rPr>
        <w:footnoteReference w:id="45"/>
      </w:r>
      <w:r w:rsidR="00C96D7C">
        <w:t xml:space="preserve">  </w:t>
      </w:r>
      <w:r w:rsidR="00852094">
        <w:t>In light of the</w:t>
      </w:r>
      <w:r w:rsidR="00095A83">
        <w:t xml:space="preserve"> dismissal and</w:t>
      </w:r>
      <w:r w:rsidR="00852094">
        <w:t xml:space="preserve"> denial of the Application</w:t>
      </w:r>
      <w:r w:rsidR="004D1CFF">
        <w:t xml:space="preserve">, CVGC’s arguments regarding its likelihood of prevailing before the Commission are moot.  </w:t>
      </w:r>
      <w:r w:rsidR="00356075">
        <w:t xml:space="preserve">CVGC is thus unable to satisfy the requirements for an administrative stay of the Bureau’s </w:t>
      </w:r>
      <w:r w:rsidR="00356075">
        <w:rPr>
          <w:i/>
          <w:iCs/>
        </w:rPr>
        <w:t>Order</w:t>
      </w:r>
      <w:r w:rsidR="008E2C04">
        <w:rPr>
          <w:i/>
          <w:iCs/>
        </w:rPr>
        <w:t>.</w:t>
      </w:r>
      <w:r>
        <w:rPr>
          <w:rStyle w:val="FootnoteReference"/>
        </w:rPr>
        <w:footnoteReference w:id="46"/>
      </w:r>
      <w:r w:rsidR="00356075">
        <w:t xml:space="preserve"> </w:t>
      </w:r>
      <w:r w:rsidR="008E2C04">
        <w:t xml:space="preserve"> </w:t>
      </w:r>
      <w:r w:rsidR="008A2AAE">
        <w:t xml:space="preserve">Accordingly, we deny the </w:t>
      </w:r>
      <w:r w:rsidR="00CC3F37">
        <w:t xml:space="preserve">Second </w:t>
      </w:r>
      <w:r w:rsidR="008A2AAE">
        <w:t xml:space="preserve">Motion for </w:t>
      </w:r>
      <w:r w:rsidR="00CC3F37">
        <w:t xml:space="preserve">Investigative </w:t>
      </w:r>
      <w:r w:rsidR="008A2AAE">
        <w:t xml:space="preserve">Stay.  </w:t>
      </w:r>
    </w:p>
    <w:p w:rsidR="00606903" w:rsidP="00735A43" w14:paraId="47D2D584" w14:textId="3A2F4D85">
      <w:pPr>
        <w:pStyle w:val="Heading1"/>
        <w:widowControl/>
      </w:pPr>
      <w:r>
        <w:t>Ordering Clauses</w:t>
      </w:r>
    </w:p>
    <w:p w:rsidR="008A2AAE" w:rsidP="00735A43" w14:paraId="6C35C610" w14:textId="5952BC84">
      <w:pPr>
        <w:pStyle w:val="ParaNum"/>
        <w:widowControl/>
      </w:pPr>
      <w:r>
        <w:t xml:space="preserve">Accordingly, </w:t>
      </w:r>
      <w:r w:rsidRPr="004B3D8A">
        <w:rPr>
          <w:b/>
          <w:bCs/>
        </w:rPr>
        <w:t>IT IS ORDERED</w:t>
      </w:r>
      <w:r>
        <w:t xml:space="preserve"> that, pursuant to section</w:t>
      </w:r>
      <w:r w:rsidR="00D14588">
        <w:t xml:space="preserve"> </w:t>
      </w:r>
      <w:r w:rsidR="00D65917">
        <w:t>5(c)(4)</w:t>
      </w:r>
      <w:r>
        <w:t xml:space="preserve"> of the Act,</w:t>
      </w:r>
      <w:r>
        <w:rPr>
          <w:rStyle w:val="FootnoteReference"/>
        </w:rPr>
        <w:footnoteReference w:id="47"/>
      </w:r>
      <w:r>
        <w:t xml:space="preserve"> the</w:t>
      </w:r>
      <w:r w:rsidR="00D66668">
        <w:t xml:space="preserve"> Application for Review filed by Chinese Voice of Golden City is hereby </w:t>
      </w:r>
      <w:r w:rsidRPr="00C4169F" w:rsidR="00095A83">
        <w:rPr>
          <w:b/>
          <w:bCs/>
        </w:rPr>
        <w:t>DISMISSED</w:t>
      </w:r>
      <w:r w:rsidR="00095A83">
        <w:t xml:space="preserve">, in part, and otherwise </w:t>
      </w:r>
      <w:r w:rsidRPr="004B3D8A" w:rsidR="00D66668">
        <w:rPr>
          <w:b/>
          <w:bCs/>
        </w:rPr>
        <w:t>DENIED</w:t>
      </w:r>
      <w:r w:rsidRPr="00C4169F" w:rsidR="00095A83">
        <w:t>,</w:t>
      </w:r>
      <w:r w:rsidR="00D66668">
        <w:t xml:space="preserve"> and the </w:t>
      </w:r>
      <w:r w:rsidRPr="00D66668" w:rsidR="00D66668">
        <w:rPr>
          <w:i/>
          <w:iCs/>
        </w:rPr>
        <w:t>Order</w:t>
      </w:r>
      <w:r w:rsidR="00D66668">
        <w:t xml:space="preserve"> is </w:t>
      </w:r>
      <w:r w:rsidRPr="004B3D8A" w:rsidR="00D66668">
        <w:rPr>
          <w:b/>
          <w:bCs/>
        </w:rPr>
        <w:t>AFFIRMED</w:t>
      </w:r>
      <w:r w:rsidR="00D66668">
        <w:t>.</w:t>
      </w:r>
    </w:p>
    <w:p w:rsidR="00D66668" w:rsidP="00735A43" w14:paraId="317FD0C7" w14:textId="643F77C0">
      <w:pPr>
        <w:pStyle w:val="ParaNum"/>
        <w:widowControl/>
      </w:pPr>
      <w:r w:rsidRPr="003F5634">
        <w:t>IT</w:t>
      </w:r>
      <w:r w:rsidRPr="004B3D8A">
        <w:rPr>
          <w:b/>
          <w:bCs/>
        </w:rPr>
        <w:t xml:space="preserve"> IS FURTHER ORDERED</w:t>
      </w:r>
      <w:r>
        <w:t xml:space="preserve"> that, pursuant to sections 4(</w:t>
      </w:r>
      <w:r>
        <w:t>i</w:t>
      </w:r>
      <w:r>
        <w:t>), 4(j), and 403 of the Act,</w:t>
      </w:r>
      <w:r>
        <w:rPr>
          <w:rStyle w:val="FootnoteReference"/>
        </w:rPr>
        <w:footnoteReference w:id="48"/>
      </w:r>
      <w:r>
        <w:t xml:space="preserve"> the </w:t>
      </w:r>
      <w:r w:rsidR="00CC3F37">
        <w:t xml:space="preserve">Second </w:t>
      </w:r>
      <w:r>
        <w:t xml:space="preserve">Motion for </w:t>
      </w:r>
      <w:r w:rsidR="00CC3F37">
        <w:t xml:space="preserve">Investigative </w:t>
      </w:r>
      <w:r>
        <w:t xml:space="preserve">Stay filed by Chinese Voice of Golden City is </w:t>
      </w:r>
      <w:r w:rsidR="00C12273">
        <w:t xml:space="preserve">hereby </w:t>
      </w:r>
      <w:r w:rsidRPr="004B3D8A" w:rsidR="00C12273">
        <w:rPr>
          <w:b/>
          <w:bCs/>
        </w:rPr>
        <w:t>DENIED</w:t>
      </w:r>
      <w:r w:rsidR="00C12273">
        <w:t>.</w:t>
      </w:r>
    </w:p>
    <w:p w:rsidR="00C12273" w:rsidP="00735A43" w14:paraId="2712A51E" w14:textId="55A063D7">
      <w:pPr>
        <w:pStyle w:val="ParaNum"/>
        <w:widowControl/>
      </w:pPr>
      <w:r w:rsidRPr="003F5634">
        <w:t>IT</w:t>
      </w:r>
      <w:r w:rsidRPr="004B3D8A">
        <w:rPr>
          <w:b/>
          <w:bCs/>
        </w:rPr>
        <w:t xml:space="preserve"> IS FURTHER ORDERED</w:t>
      </w:r>
      <w:r>
        <w:t xml:space="preserve"> that, p</w:t>
      </w:r>
      <w:r w:rsidR="00C639D5">
        <w:t>u</w:t>
      </w:r>
      <w:r>
        <w:t>rs</w:t>
      </w:r>
      <w:r w:rsidR="00C639D5">
        <w:t>u</w:t>
      </w:r>
      <w:r>
        <w:t>ant to sections 4(</w:t>
      </w:r>
      <w:r>
        <w:t>i</w:t>
      </w:r>
      <w:r>
        <w:t>), 4(j), and 403 of the Act,</w:t>
      </w:r>
      <w:r>
        <w:rPr>
          <w:rStyle w:val="FootnoteReference"/>
        </w:rPr>
        <w:footnoteReference w:id="49"/>
      </w:r>
      <w:r>
        <w:t xml:space="preserve"> Chinese Voice of Golden City </w:t>
      </w:r>
      <w:r w:rsidRPr="004B3D8A">
        <w:rPr>
          <w:b/>
          <w:bCs/>
        </w:rPr>
        <w:t>SHALL SUBMIT</w:t>
      </w:r>
      <w:r>
        <w:t xml:space="preserve"> its response to the Bureau’s Letter of Inquiry </w:t>
      </w:r>
      <w:r w:rsidR="00E51000">
        <w:t xml:space="preserve">within fourteen (14) </w:t>
      </w:r>
      <w:r w:rsidR="00095A83">
        <w:t xml:space="preserve">calendar </w:t>
      </w:r>
      <w:r w:rsidR="00E51000">
        <w:t xml:space="preserve">days of the date hereof.  </w:t>
      </w:r>
    </w:p>
    <w:p w:rsidR="004E678E" w:rsidP="00735A43" w14:paraId="68B52CEC" w14:textId="77777777">
      <w:pPr>
        <w:pStyle w:val="ParaNum"/>
        <w:keepNext/>
        <w:widowControl/>
      </w:pPr>
      <w:r w:rsidRPr="003F5634">
        <w:t>IT</w:t>
      </w:r>
      <w:r w:rsidRPr="004B3D8A">
        <w:rPr>
          <w:b/>
          <w:bCs/>
        </w:rPr>
        <w:t xml:space="preserve"> IS FURTHER ORDERED</w:t>
      </w:r>
      <w:r>
        <w:t xml:space="preserve"> that a copy of this Order on Review shall be sent by first class mail and certified mail, return receipt requested, to Bo Tian, President, Chinese Voice of Golden City, 2801 South Valley View Boulevard, Suite 5E, Las Vegas, Nevada 89102, and to James L. Winston, </w:t>
      </w:r>
      <w:r>
        <w:t xml:space="preserve">Esq., Rubin, Winston, </w:t>
      </w:r>
      <w:r>
        <w:t>Diercks</w:t>
      </w:r>
      <w:r>
        <w:t>, Harris &amp; Cook, LLP, 1250 Connecticut Avenue, NW, Suite 700, Washing</w:t>
      </w:r>
      <w:r w:rsidR="004B3D8A">
        <w:t>t</w:t>
      </w:r>
      <w:r>
        <w:t>on, DC 20036.</w:t>
      </w:r>
    </w:p>
    <w:p w:rsidR="00240EEB" w:rsidP="00C4169F" w14:paraId="74073E60" w14:textId="77777777">
      <w:pPr>
        <w:keepNext/>
        <w:keepLines/>
        <w:widowControl/>
      </w:pPr>
    </w:p>
    <w:p w:rsidR="00240EEB" w:rsidP="00C4169F" w14:paraId="579347FB" w14:textId="53941C1C">
      <w:pPr>
        <w:keepNext/>
        <w:keepLines/>
        <w:widowControl/>
      </w:pPr>
      <w:r>
        <w:tab/>
      </w:r>
      <w:r>
        <w:tab/>
      </w:r>
      <w:r>
        <w:tab/>
      </w:r>
      <w:r>
        <w:tab/>
      </w:r>
      <w:r>
        <w:tab/>
      </w:r>
      <w:r>
        <w:tab/>
        <w:t>FEDERAL COMMUNICATIONS COMMISSION</w:t>
      </w:r>
    </w:p>
    <w:p w:rsidR="00240EEB" w:rsidP="00C4169F" w14:paraId="483D5C8C" w14:textId="77777777">
      <w:pPr>
        <w:keepNext/>
        <w:keepLines/>
        <w:widowControl/>
      </w:pPr>
    </w:p>
    <w:p w:rsidR="00240EEB" w:rsidP="00C4169F" w14:paraId="75144411" w14:textId="77777777">
      <w:pPr>
        <w:keepNext/>
        <w:keepLines/>
        <w:widowControl/>
      </w:pPr>
    </w:p>
    <w:p w:rsidR="00240EEB" w:rsidP="00C4169F" w14:paraId="25843EE2" w14:textId="77777777">
      <w:pPr>
        <w:keepNext/>
        <w:keepLines/>
        <w:widowControl/>
      </w:pPr>
    </w:p>
    <w:p w:rsidR="00240EEB" w:rsidP="00C4169F" w14:paraId="5D6D1D92" w14:textId="77777777">
      <w:pPr>
        <w:keepNext/>
        <w:keepLines/>
        <w:widowControl/>
      </w:pPr>
    </w:p>
    <w:p w:rsidR="00240EEB" w:rsidP="00C4169F" w14:paraId="3E145018" w14:textId="77777777">
      <w:pPr>
        <w:keepNext/>
        <w:keepLines/>
        <w:widowControl/>
      </w:pPr>
      <w:r>
        <w:tab/>
      </w:r>
      <w:r>
        <w:tab/>
      </w:r>
      <w:r>
        <w:tab/>
      </w:r>
      <w:r>
        <w:tab/>
      </w:r>
      <w:r>
        <w:tab/>
      </w:r>
      <w:r>
        <w:tab/>
        <w:t>Marlene H. Dortch</w:t>
      </w:r>
    </w:p>
    <w:p w:rsidR="00240EEB" w:rsidP="00C4169F" w14:paraId="2C516B55" w14:textId="77777777">
      <w:pPr>
        <w:keepNext/>
        <w:keepLines/>
        <w:widowControl/>
      </w:pPr>
      <w:r>
        <w:tab/>
      </w:r>
      <w:r>
        <w:tab/>
      </w:r>
      <w:r>
        <w:tab/>
      </w:r>
      <w:r>
        <w:tab/>
      </w:r>
      <w:r>
        <w:tab/>
      </w:r>
      <w:r>
        <w:tab/>
        <w:t>Secretary</w:t>
      </w:r>
    </w:p>
    <w:p w:rsidR="00C639D5" w:rsidRPr="00232886" w:rsidP="004E678E" w14:paraId="11A826B7" w14:textId="09893FF1">
      <w:pPr>
        <w:pStyle w:val="ParaNum"/>
        <w:numPr>
          <w:ilvl w:val="0"/>
          <w:numId w:val="0"/>
        </w:numPr>
        <w:ind w:left="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13DA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ABBF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D2A3B" w14:paraId="37241D72" w14:textId="559FC1F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3483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4988" w14:paraId="1ACB93D3" w14:textId="77777777">
      <w:r>
        <w:separator/>
      </w:r>
    </w:p>
  </w:footnote>
  <w:footnote w:type="continuationSeparator" w:id="1">
    <w:p w:rsidR="00494988" w:rsidP="00C721AC" w14:paraId="141071FF" w14:textId="77777777">
      <w:pPr>
        <w:spacing w:before="120"/>
        <w:rPr>
          <w:sz w:val="20"/>
        </w:rPr>
      </w:pPr>
      <w:r>
        <w:rPr>
          <w:sz w:val="20"/>
        </w:rPr>
        <w:t xml:space="preserve">(Continued from previous page)  </w:t>
      </w:r>
      <w:r>
        <w:rPr>
          <w:sz w:val="20"/>
        </w:rPr>
        <w:separator/>
      </w:r>
    </w:p>
  </w:footnote>
  <w:footnote w:type="continuationNotice" w:id="2">
    <w:p w:rsidR="00494988" w:rsidP="00C721AC" w14:paraId="3DE14DDF" w14:textId="77777777">
      <w:pPr>
        <w:jc w:val="right"/>
        <w:rPr>
          <w:sz w:val="20"/>
        </w:rPr>
      </w:pPr>
      <w:r>
        <w:rPr>
          <w:sz w:val="20"/>
        </w:rPr>
        <w:t>(continued….)</w:t>
      </w:r>
    </w:p>
  </w:footnote>
  <w:footnote w:id="3">
    <w:p w:rsidR="009F7AC6" w:rsidRPr="00747F80" w14:paraId="2D10688F" w14:textId="3B4705D5">
      <w:pPr>
        <w:pStyle w:val="FootnoteText"/>
      </w:pPr>
      <w:r>
        <w:rPr>
          <w:rStyle w:val="FootnoteReference"/>
        </w:rPr>
        <w:footnoteRef/>
      </w:r>
      <w:r>
        <w:t xml:space="preserve"> </w:t>
      </w:r>
      <w:r w:rsidR="00AF20F4">
        <w:t>Letter of Inquiry from Axel Rodriguez, Field Director, Office of the Field Director, FCC Enforcement Bureau, to Chinese Voice of Golden City (April 23, 2021) (on file in EB-FIELDWR-21-00031760)</w:t>
      </w:r>
      <w:r w:rsidR="004C484D">
        <w:t>.  CVGC should note that the inquiries and document requests contained in the LOI are continuing in natur</w:t>
      </w:r>
      <w:r w:rsidR="00747F80">
        <w:t xml:space="preserve">e and that it must provide responsive information and documents from November 19, 2019, to the present.  </w:t>
      </w:r>
      <w:r w:rsidR="00747F80">
        <w:rPr>
          <w:i/>
          <w:iCs/>
        </w:rPr>
        <w:t>See</w:t>
      </w:r>
      <w:r w:rsidR="00747F80">
        <w:t xml:space="preserve"> LOI at 10.</w:t>
      </w:r>
    </w:p>
  </w:footnote>
  <w:footnote w:id="4">
    <w:p w:rsidR="00F31716" w:rsidRPr="005C4076" w14:paraId="2F780BDA" w14:textId="3BB4766A">
      <w:pPr>
        <w:pStyle w:val="FootnoteText"/>
      </w:pPr>
      <w:r>
        <w:rPr>
          <w:rStyle w:val="FootnoteReference"/>
        </w:rPr>
        <w:footnoteRef/>
      </w:r>
      <w:r>
        <w:t xml:space="preserve"> </w:t>
      </w:r>
      <w:r w:rsidR="00D53E17">
        <w:t xml:space="preserve">47 U.S.C. § 312(g); </w:t>
      </w:r>
      <w:r w:rsidR="00131B41">
        <w:rPr>
          <w:i/>
          <w:iCs/>
        </w:rPr>
        <w:t>s</w:t>
      </w:r>
      <w:r w:rsidR="00D53E17">
        <w:rPr>
          <w:i/>
          <w:iCs/>
        </w:rPr>
        <w:t>ee</w:t>
      </w:r>
      <w:r w:rsidR="00D53E17">
        <w:t xml:space="preserve"> Letter from Albert Shuldiner, Chief, Audio Division, FCC Media Bureau, to Chinese Voice of Golden City (Nov. </w:t>
      </w:r>
      <w:r w:rsidR="00A302EC">
        <w:t xml:space="preserve">19, 2019), </w:t>
      </w:r>
      <w:hyperlink r:id="rId1" w:history="1">
        <w:r w:rsidRPr="00BC1049" w:rsidR="00A62947">
          <w:rPr>
            <w:rStyle w:val="Hyperlink"/>
          </w:rPr>
          <w:t>http://licensing.fcc.gov/cgi-bin/prod/cdbs/forms/prod/getimportletter_exh.cgi?import_letter_id=93164</w:t>
        </w:r>
      </w:hyperlink>
      <w:r w:rsidR="00A62947">
        <w:t xml:space="preserve"> </w:t>
      </w:r>
      <w:r w:rsidR="00A302EC">
        <w:t xml:space="preserve">(Notification Letter).  </w:t>
      </w:r>
      <w:r w:rsidR="0010674A">
        <w:t xml:space="preserve">CVGC filed a petition for reconsideration of the Notification Letter and sought a stay of its effectiveness.  On January 15, 2020, the Media Bureau denied CVGC’s petition and dismissed the stay request as moot.  </w:t>
      </w:r>
      <w:r w:rsidR="0010674A">
        <w:rPr>
          <w:i/>
          <w:iCs/>
        </w:rPr>
        <w:t>Chinese Voice of Golden City, DKQLS-LP, Las Vegas, Nevada</w:t>
      </w:r>
      <w:r w:rsidR="0010674A">
        <w:t>, Memorandum Opinion and Order</w:t>
      </w:r>
      <w:r w:rsidR="005C4076">
        <w:t xml:space="preserve">, 35 FCC </w:t>
      </w:r>
      <w:r w:rsidR="005C4076">
        <w:t>Rcd</w:t>
      </w:r>
      <w:r w:rsidR="005C4076">
        <w:t xml:space="preserve"> 567 (MB 2020).  CVGC then sought review by the Commission and again requested a stay of the license expiration.  On November 25, 2020, the Commission denied CVGC’s application for review and also dismissed the stay </w:t>
      </w:r>
      <w:r w:rsidR="008A4FD3">
        <w:t xml:space="preserve">request </w:t>
      </w:r>
      <w:r w:rsidR="005C4076">
        <w:t xml:space="preserve">as moot.  </w:t>
      </w:r>
      <w:r w:rsidRPr="0035784E" w:rsidR="007907BC">
        <w:rPr>
          <w:snapToGrid w:val="0"/>
        </w:rPr>
        <w:t>The Commission’s decision was subsequently affirmed by the U.S. Court of Appeals for the District of Columbia Circuit</w:t>
      </w:r>
      <w:r w:rsidRPr="00071DB9" w:rsidR="007907BC">
        <w:rPr>
          <w:snapToGrid w:val="0"/>
        </w:rPr>
        <w:t>.</w:t>
      </w:r>
      <w:r w:rsidR="007907BC">
        <w:rPr>
          <w:snapToGrid w:val="0"/>
        </w:rPr>
        <w:t xml:space="preserve">  </w:t>
      </w:r>
      <w:r w:rsidR="005C4076">
        <w:rPr>
          <w:i/>
          <w:iCs/>
        </w:rPr>
        <w:t>Chinese Voice of Golden City, DKQLS-LP, Las Vegas, Nevada</w:t>
      </w:r>
      <w:r w:rsidR="005C4076">
        <w:t xml:space="preserve">, Memorandum Opinion and Order, 35 FCC </w:t>
      </w:r>
      <w:r w:rsidR="005C4076">
        <w:t>Rcd</w:t>
      </w:r>
      <w:r w:rsidR="005C4076">
        <w:t xml:space="preserve"> 13638 (2020) (</w:t>
      </w:r>
      <w:r w:rsidR="005C4076">
        <w:rPr>
          <w:i/>
          <w:iCs/>
        </w:rPr>
        <w:t>Review Order</w:t>
      </w:r>
      <w:r w:rsidR="005C4076">
        <w:t>)</w:t>
      </w:r>
      <w:r w:rsidR="00B8310D">
        <w:t>,</w:t>
      </w:r>
      <w:r w:rsidRPr="00B8310D" w:rsidR="00B8310D">
        <w:rPr>
          <w:i/>
          <w:iCs/>
        </w:rPr>
        <w:t xml:space="preserve"> </w:t>
      </w:r>
      <w:r w:rsidR="009E387B">
        <w:rPr>
          <w:i/>
          <w:iCs/>
        </w:rPr>
        <w:t xml:space="preserve">aff’d </w:t>
      </w:r>
      <w:r w:rsidRPr="00C632DD" w:rsidR="00B8310D">
        <w:rPr>
          <w:i/>
          <w:iCs/>
        </w:rPr>
        <w:t>sub nom. Chinese Voice of Golden City v. FCC</w:t>
      </w:r>
      <w:r w:rsidRPr="00C632DD" w:rsidR="00B8310D">
        <w:t xml:space="preserve">, No. </w:t>
      </w:r>
      <w:bookmarkStart w:id="1" w:name="CaseNo"/>
      <w:r w:rsidRPr="00C632DD" w:rsidR="00B8310D">
        <w:t>20-1514</w:t>
      </w:r>
      <w:bookmarkEnd w:id="1"/>
      <w:r w:rsidRPr="00C632DD" w:rsidR="00B8310D">
        <w:t xml:space="preserve"> </w:t>
      </w:r>
      <w:r w:rsidR="0079576E">
        <w:t xml:space="preserve">2021 WL6102191 </w:t>
      </w:r>
      <w:r w:rsidRPr="00C632DD" w:rsidR="00B8310D">
        <w:t>(D.C. Cir.</w:t>
      </w:r>
      <w:r w:rsidR="0079576E">
        <w:t xml:space="preserve"> Nov. 30, 2021) (per </w:t>
      </w:r>
      <w:r w:rsidR="0079576E">
        <w:t>curiam</w:t>
      </w:r>
      <w:r w:rsidR="0079576E">
        <w:t>)</w:t>
      </w:r>
      <w:r w:rsidR="005C4076">
        <w:t>.</w:t>
      </w:r>
    </w:p>
  </w:footnote>
  <w:footnote w:id="5">
    <w:p w:rsidR="00F31716" w:rsidRPr="00940F39" w14:paraId="2EBAB112" w14:textId="0F97F509">
      <w:pPr>
        <w:pStyle w:val="FootnoteText"/>
      </w:pPr>
      <w:r>
        <w:rPr>
          <w:rStyle w:val="FootnoteReference"/>
        </w:rPr>
        <w:footnoteRef/>
      </w:r>
      <w:r>
        <w:t xml:space="preserve"> </w:t>
      </w:r>
      <w:r w:rsidR="00940F39">
        <w:rPr>
          <w:i/>
          <w:iCs/>
        </w:rPr>
        <w:t xml:space="preserve">See </w:t>
      </w:r>
      <w:r w:rsidR="00940F39">
        <w:t>LOI.</w:t>
      </w:r>
    </w:p>
  </w:footnote>
  <w:footnote w:id="6">
    <w:p w:rsidR="00D80674" w14:paraId="309C6CF3" w14:textId="5CD8475A">
      <w:pPr>
        <w:pStyle w:val="FootnoteText"/>
      </w:pPr>
      <w:r>
        <w:rPr>
          <w:rStyle w:val="FootnoteReference"/>
        </w:rPr>
        <w:footnoteRef/>
      </w:r>
      <w:r>
        <w:t xml:space="preserve"> Motion of Chinese Voice of Golden City to Quash Letter of Inquiry (filed May 10, 2021) (on file in EB-FIELDWR-21-00031760) (Motion to Quash).</w:t>
      </w:r>
    </w:p>
  </w:footnote>
  <w:footnote w:id="7">
    <w:p w:rsidR="00F31716" w14:paraId="45675681" w14:textId="56A233D4">
      <w:pPr>
        <w:pStyle w:val="FootnoteText"/>
      </w:pPr>
      <w:r>
        <w:rPr>
          <w:rStyle w:val="FootnoteReference"/>
        </w:rPr>
        <w:footnoteRef/>
      </w:r>
      <w:r>
        <w:t xml:space="preserve"> </w:t>
      </w:r>
      <w:r w:rsidR="00740A1D">
        <w:t>Motion of Chinese Voice of Golden City for Stay of Enforcement Proceedings (filed May 10, 2021) (on file in EB-FIELDWR-21-00031760) (First Motion for Investigative Stay).</w:t>
      </w:r>
    </w:p>
  </w:footnote>
  <w:footnote w:id="8">
    <w:p w:rsidR="00F31716" w:rsidRPr="00740A1D" w14:paraId="52475DBA" w14:textId="7A8406E6">
      <w:pPr>
        <w:pStyle w:val="FootnoteText"/>
      </w:pPr>
      <w:r>
        <w:rPr>
          <w:rStyle w:val="FootnoteReference"/>
        </w:rPr>
        <w:footnoteRef/>
      </w:r>
      <w:r>
        <w:t xml:space="preserve"> </w:t>
      </w:r>
      <w:r w:rsidR="00740A1D">
        <w:t xml:space="preserve">47 U.S.C. § 151 </w:t>
      </w:r>
      <w:r w:rsidR="00740A1D">
        <w:rPr>
          <w:i/>
          <w:iCs/>
        </w:rPr>
        <w:t>et seq</w:t>
      </w:r>
      <w:r w:rsidR="00740A1D">
        <w:t>.</w:t>
      </w:r>
    </w:p>
  </w:footnote>
  <w:footnote w:id="9">
    <w:p w:rsidR="009B5248" w:rsidRPr="003C77C8" w14:paraId="087D2530" w14:textId="25437667">
      <w:pPr>
        <w:pStyle w:val="FootnoteText"/>
        <w:rPr>
          <w:i/>
          <w:iCs/>
        </w:rPr>
      </w:pPr>
      <w:r>
        <w:rPr>
          <w:rStyle w:val="FootnoteReference"/>
        </w:rPr>
        <w:footnoteRef/>
      </w:r>
      <w:r>
        <w:t xml:space="preserve"> </w:t>
      </w:r>
      <w:r w:rsidR="003C77C8">
        <w:rPr>
          <w:i/>
          <w:iCs/>
        </w:rPr>
        <w:t>Chinese Voice of Golden City, DKQLS-LP, Las Vegas, Nevada, Facility ID No</w:t>
      </w:r>
      <w:r w:rsidR="00426BD7">
        <w:rPr>
          <w:i/>
          <w:iCs/>
        </w:rPr>
        <w:t>. 194198</w:t>
      </w:r>
      <w:r w:rsidR="00426BD7">
        <w:t xml:space="preserve">, Order, </w:t>
      </w:r>
      <w:r w:rsidRPr="0004502F" w:rsidR="00E06CA5">
        <w:t xml:space="preserve">36 FCC </w:t>
      </w:r>
      <w:r w:rsidRPr="0004502F" w:rsidR="00E06CA5">
        <w:t>Rcd</w:t>
      </w:r>
      <w:r w:rsidRPr="0004502F" w:rsidR="00E06CA5">
        <w:t xml:space="preserve"> 9927</w:t>
      </w:r>
      <w:r w:rsidR="00426BD7">
        <w:t xml:space="preserve"> (EB 2021)</w:t>
      </w:r>
      <w:r w:rsidR="00110CFD">
        <w:t xml:space="preserve">, </w:t>
      </w:r>
      <w:hyperlink r:id="rId2" w:history="1">
        <w:r w:rsidRPr="00516FEE" w:rsidR="00516FEE">
          <w:rPr>
            <w:rStyle w:val="Hyperlink"/>
          </w:rPr>
          <w:t>https://docs.fcc.gov/public/attachments/DA-21-719A1.pdf</w:t>
        </w:r>
      </w:hyperlink>
      <w:r w:rsidR="00110CFD">
        <w:t xml:space="preserve"> (</w:t>
      </w:r>
      <w:r w:rsidRPr="00110CFD" w:rsidR="00110CFD">
        <w:rPr>
          <w:i/>
          <w:iCs/>
        </w:rPr>
        <w:t>Order</w:t>
      </w:r>
      <w:r w:rsidR="00110CFD">
        <w:t>).</w:t>
      </w:r>
      <w:r w:rsidR="003C77C8">
        <w:rPr>
          <w:i/>
          <w:iCs/>
        </w:rPr>
        <w:t xml:space="preserve"> </w:t>
      </w:r>
    </w:p>
  </w:footnote>
  <w:footnote w:id="10">
    <w:p w:rsidR="00CE08D9" w14:paraId="6FD7F1A8" w14:textId="5C7C9734">
      <w:pPr>
        <w:pStyle w:val="FootnoteText"/>
      </w:pPr>
      <w:r>
        <w:rPr>
          <w:rStyle w:val="FootnoteReference"/>
        </w:rPr>
        <w:footnoteRef/>
      </w:r>
      <w:r>
        <w:t xml:space="preserve"> </w:t>
      </w:r>
      <w:r w:rsidR="00110CFD">
        <w:t xml:space="preserve">Application for Review of Chinese Voice of Golden City (filed </w:t>
      </w:r>
      <w:r w:rsidR="0017234A">
        <w:t xml:space="preserve">July 2, 2021) (on file in EB-FIELDWR-21-00031760) (Application); Motion </w:t>
      </w:r>
      <w:r w:rsidR="00780842">
        <w:t xml:space="preserve">of Chinese Voice of Golden City for Stay (filed July 2, 2021) (on file in EB-FIELDWR-21-00031760) (Second Motion for Investigative Stay).  </w:t>
      </w:r>
    </w:p>
  </w:footnote>
  <w:footnote w:id="11">
    <w:p w:rsidR="003B7D3A" w:rsidRPr="003B7D3A" w14:paraId="04F208BA" w14:textId="381E4FE9">
      <w:pPr>
        <w:pStyle w:val="FootnoteText"/>
      </w:pPr>
      <w:r>
        <w:rPr>
          <w:rStyle w:val="FootnoteReference"/>
        </w:rPr>
        <w:footnoteRef/>
      </w:r>
      <w:r>
        <w:t xml:space="preserve"> </w:t>
      </w:r>
      <w:r>
        <w:rPr>
          <w:i/>
          <w:iCs/>
        </w:rPr>
        <w:t xml:space="preserve">See </w:t>
      </w:r>
      <w:r>
        <w:t>Application at 2</w:t>
      </w:r>
      <w:r w:rsidR="00455276">
        <w:t xml:space="preserve"> – 3.</w:t>
      </w:r>
    </w:p>
  </w:footnote>
  <w:footnote w:id="12">
    <w:p w:rsidR="00754A4A" w14:paraId="663373E2" w14:textId="39718B92">
      <w:pPr>
        <w:pStyle w:val="FootnoteText"/>
      </w:pPr>
      <w:r>
        <w:rPr>
          <w:rStyle w:val="FootnoteReference"/>
        </w:rPr>
        <w:footnoteRef/>
      </w:r>
      <w:r>
        <w:t xml:space="preserve"> 47 </w:t>
      </w:r>
      <w:r w:rsidR="002A65BC">
        <w:t>CFR</w:t>
      </w:r>
      <w:r>
        <w:t xml:space="preserve"> </w:t>
      </w:r>
      <w:r w:rsidR="002A65BC">
        <w:t>§§ 0.111</w:t>
      </w:r>
      <w:r w:rsidR="004063A7">
        <w:t>,</w:t>
      </w:r>
      <w:r w:rsidR="002A65BC">
        <w:t xml:space="preserve"> 0.311</w:t>
      </w:r>
      <w:r>
        <w:t>.</w:t>
      </w:r>
    </w:p>
  </w:footnote>
  <w:footnote w:id="13">
    <w:p w:rsidR="00CC5839" w14:paraId="02A5D4B1" w14:textId="14A4E6C4">
      <w:pPr>
        <w:pStyle w:val="FootnoteText"/>
      </w:pPr>
      <w:r>
        <w:rPr>
          <w:rStyle w:val="FootnoteReference"/>
        </w:rPr>
        <w:footnoteRef/>
      </w:r>
      <w:r>
        <w:t xml:space="preserve"> </w:t>
      </w:r>
      <w:r w:rsidR="002A65BC">
        <w:t>47 CFR § 0.111(j).</w:t>
      </w:r>
    </w:p>
  </w:footnote>
  <w:footnote w:id="14">
    <w:p w:rsidR="004155EC" w:rsidRPr="00F246B6" w:rsidP="004155EC" w14:paraId="11C008B8" w14:textId="52685AC2">
      <w:pPr>
        <w:pStyle w:val="FootnoteText"/>
      </w:pPr>
      <w:r w:rsidRPr="00F246B6">
        <w:rPr>
          <w:rStyle w:val="FootnoteReference"/>
        </w:rPr>
        <w:footnoteRef/>
      </w:r>
      <w:r w:rsidRPr="00F246B6">
        <w:t xml:space="preserve"> </w:t>
      </w:r>
      <w:r w:rsidRPr="00F246B6">
        <w:rPr>
          <w:i/>
          <w:iCs/>
        </w:rPr>
        <w:t>See Murray Energy Corp. v. FERC</w:t>
      </w:r>
      <w:r w:rsidRPr="00F246B6">
        <w:t>, 629 F.3d 231, 236 (D.C. Cir. 2011) (agency</w:t>
      </w:r>
      <w:r w:rsidR="009F7179">
        <w:t>’</w:t>
      </w:r>
      <w:r w:rsidRPr="00F246B6">
        <w:t>s ratification of staff decision resolved any potential problems with staff</w:t>
      </w:r>
      <w:r w:rsidR="009F7179">
        <w:t>’</w:t>
      </w:r>
      <w:r w:rsidRPr="00F246B6">
        <w:t>s exercise of delegated authority); </w:t>
      </w:r>
      <w:r w:rsidRPr="00F246B6">
        <w:rPr>
          <w:i/>
          <w:iCs/>
        </w:rPr>
        <w:t>PMCM TV, LLC v. RCN Telecom Services, LLC, Memorandum Opinion and Order</w:t>
      </w:r>
      <w:r w:rsidRPr="00F246B6">
        <w:t xml:space="preserve">, 32 FCC </w:t>
      </w:r>
      <w:r w:rsidRPr="00F246B6">
        <w:t>Rcd</w:t>
      </w:r>
      <w:r w:rsidRPr="00F246B6">
        <w:t xml:space="preserve"> 7200, 7217, para. 26 (2017), </w:t>
      </w:r>
      <w:r w:rsidRPr="00F246B6">
        <w:rPr>
          <w:i/>
          <w:iCs/>
        </w:rPr>
        <w:t>petitions for review denied, PMCM, LLC v. FCC</w:t>
      </w:r>
      <w:r w:rsidRPr="00F246B6">
        <w:t>, Nos. 17-1209 &amp; 1210 (D.C. Cir. June 20, 2018).</w:t>
      </w:r>
    </w:p>
  </w:footnote>
  <w:footnote w:id="15">
    <w:p w:rsidR="0009177D" w:rsidP="0009177D" w14:paraId="716413E4" w14:textId="06ACB6F5">
      <w:pPr>
        <w:pStyle w:val="FootnoteText"/>
      </w:pPr>
      <w:r>
        <w:rPr>
          <w:rStyle w:val="FootnoteReference"/>
        </w:rPr>
        <w:footnoteRef/>
      </w:r>
      <w:r>
        <w:t xml:space="preserve"> </w:t>
      </w:r>
      <w:r>
        <w:rPr>
          <w:i/>
          <w:iCs/>
        </w:rPr>
        <w:t>See Order</w:t>
      </w:r>
      <w:r w:rsidRPr="00E06CA5" w:rsidR="0063666D">
        <w:t xml:space="preserve">, 36 FCC </w:t>
      </w:r>
      <w:r w:rsidRPr="00E06CA5" w:rsidR="0063666D">
        <w:t>Rcd</w:t>
      </w:r>
      <w:r w:rsidRPr="006A511D">
        <w:t xml:space="preserve"> </w:t>
      </w:r>
      <w:r>
        <w:t xml:space="preserve">at </w:t>
      </w:r>
      <w:r w:rsidR="00B55F6D">
        <w:t xml:space="preserve">9927, </w:t>
      </w:r>
      <w:r>
        <w:t>para. 2.</w:t>
      </w:r>
    </w:p>
  </w:footnote>
  <w:footnote w:id="16">
    <w:p w:rsidR="0057363F" w14:paraId="562A9C50" w14:textId="4F9B20C6">
      <w:pPr>
        <w:pStyle w:val="FootnoteText"/>
      </w:pPr>
      <w:r>
        <w:rPr>
          <w:rStyle w:val="FootnoteReference"/>
        </w:rPr>
        <w:footnoteRef/>
      </w:r>
      <w:r>
        <w:t xml:space="preserve"> </w:t>
      </w:r>
      <w:bookmarkStart w:id="2" w:name="_Hlk78828488"/>
      <w:r>
        <w:t xml:space="preserve">Application at </w:t>
      </w:r>
      <w:r w:rsidR="003B7D3A">
        <w:t>2</w:t>
      </w:r>
      <w:r>
        <w:t>, n.</w:t>
      </w:r>
      <w:r w:rsidR="003B7D3A">
        <w:t>5</w:t>
      </w:r>
      <w:bookmarkEnd w:id="2"/>
      <w:r>
        <w:t xml:space="preserve">. </w:t>
      </w:r>
    </w:p>
  </w:footnote>
  <w:footnote w:id="17">
    <w:p w:rsidR="00643D2D" w:rsidRPr="00F778D1" w14:paraId="5B3428E7" w14:textId="78B1401C">
      <w:pPr>
        <w:pStyle w:val="FootnoteText"/>
      </w:pPr>
      <w:r>
        <w:rPr>
          <w:rStyle w:val="FootnoteReference"/>
        </w:rPr>
        <w:footnoteRef/>
      </w:r>
      <w:r>
        <w:t xml:space="preserve"> </w:t>
      </w:r>
      <w:r w:rsidR="006E254F">
        <w:rPr>
          <w:i/>
          <w:iCs/>
        </w:rPr>
        <w:t>See Order</w:t>
      </w:r>
      <w:r w:rsidRPr="004C5893" w:rsidR="00EA5E56">
        <w:t xml:space="preserve">, 36 FCC </w:t>
      </w:r>
      <w:r w:rsidRPr="004C5893" w:rsidR="00EA5E56">
        <w:t>Rcd</w:t>
      </w:r>
      <w:r w:rsidRPr="006A511D" w:rsidR="00EA5E56">
        <w:t xml:space="preserve"> </w:t>
      </w:r>
      <w:r w:rsidR="00EA5E56">
        <w:t>at 9927</w:t>
      </w:r>
      <w:r w:rsidR="001570EF">
        <w:t xml:space="preserve">; </w:t>
      </w:r>
      <w:r w:rsidR="001570EF">
        <w:rPr>
          <w:i/>
          <w:iCs/>
        </w:rPr>
        <w:t xml:space="preserve">compare </w:t>
      </w:r>
      <w:r w:rsidR="001570EF">
        <w:t>47 U.S.C. §§ 154(</w:t>
      </w:r>
      <w:r w:rsidR="001570EF">
        <w:t>i</w:t>
      </w:r>
      <w:r w:rsidR="001570EF">
        <w:t>), 154(j)</w:t>
      </w:r>
      <w:r w:rsidR="00DC32F7">
        <w:t xml:space="preserve">, 403 (authorities cited in LOI), </w:t>
      </w:r>
      <w:r w:rsidR="00DC32F7">
        <w:rPr>
          <w:i/>
          <w:iCs/>
        </w:rPr>
        <w:t xml:space="preserve">with </w:t>
      </w:r>
      <w:r w:rsidR="00DC32F7">
        <w:t xml:space="preserve">47 U.S.C. § 409(e) (subpoena authority). </w:t>
      </w:r>
    </w:p>
  </w:footnote>
  <w:footnote w:id="18">
    <w:p w:rsidR="00AC496C" w14:paraId="4B011F7F" w14:textId="64262D39">
      <w:pPr>
        <w:pStyle w:val="FootnoteText"/>
      </w:pPr>
      <w:r>
        <w:rPr>
          <w:rStyle w:val="FootnoteReference"/>
        </w:rPr>
        <w:footnoteRef/>
      </w:r>
      <w:r>
        <w:t xml:space="preserve"> </w:t>
      </w:r>
      <w:r w:rsidR="0014085A">
        <w:t xml:space="preserve">Application at </w:t>
      </w:r>
      <w:r w:rsidR="004E2912">
        <w:t>12 – 16.</w:t>
      </w:r>
      <w:r w:rsidR="0014085A">
        <w:t xml:space="preserve"> </w:t>
      </w:r>
    </w:p>
  </w:footnote>
  <w:footnote w:id="19">
    <w:p w:rsidR="001B6265" w:rsidRPr="00DB7CBF" w14:paraId="73F0E435" w14:textId="01F3EAE5">
      <w:pPr>
        <w:pStyle w:val="FootnoteText"/>
      </w:pPr>
      <w:r>
        <w:rPr>
          <w:rStyle w:val="FootnoteReference"/>
        </w:rPr>
        <w:footnoteRef/>
      </w:r>
      <w:r>
        <w:t xml:space="preserve"> </w:t>
      </w:r>
      <w:r w:rsidRPr="00753C44">
        <w:rPr>
          <w:i/>
          <w:iCs/>
        </w:rPr>
        <w:t>Winchester v. U.S. Attorney for the Southern District of Texas</w:t>
      </w:r>
      <w:r>
        <w:t>, 68 F.3d 947, 949 (5th Circ. 1995)</w:t>
      </w:r>
      <w:r w:rsidR="0037474F">
        <w:t xml:space="preserve">.  </w:t>
      </w:r>
      <w:r w:rsidRPr="00753C44" w:rsidR="0037474F">
        <w:rPr>
          <w:i/>
          <w:iCs/>
        </w:rPr>
        <w:t>S</w:t>
      </w:r>
      <w:r w:rsidR="00DB7CBF">
        <w:rPr>
          <w:i/>
          <w:iCs/>
        </w:rPr>
        <w:t>ee</w:t>
      </w:r>
      <w:r w:rsidR="006E1B2C">
        <w:rPr>
          <w:i/>
          <w:iCs/>
        </w:rPr>
        <w:t xml:space="preserve"> </w:t>
      </w:r>
      <w:r w:rsidR="006E1B2C">
        <w:rPr>
          <w:i/>
          <w:iCs/>
        </w:rPr>
        <w:t>Princz</w:t>
      </w:r>
      <w:r w:rsidR="006E1B2C">
        <w:rPr>
          <w:i/>
          <w:iCs/>
        </w:rPr>
        <w:t xml:space="preserve"> </w:t>
      </w:r>
      <w:r w:rsidR="00602D0C">
        <w:rPr>
          <w:i/>
          <w:iCs/>
        </w:rPr>
        <w:t>v. Federal Republic of Germany</w:t>
      </w:r>
      <w:r w:rsidR="00602D0C">
        <w:t>, 998 F.2d 1 (D.C. Cir. 1993) (</w:t>
      </w:r>
      <w:r w:rsidR="00255CD9">
        <w:t>“</w:t>
      </w:r>
      <w:r w:rsidR="00260820">
        <w:t>an appeal properly pursued from the district court’s order divests the district court of control over those aspects of the case on appeal”)</w:t>
      </w:r>
      <w:r w:rsidR="00475DFB">
        <w:t xml:space="preserve">, </w:t>
      </w:r>
      <w:r w:rsidR="00475DFB">
        <w:rPr>
          <w:i/>
          <w:iCs/>
        </w:rPr>
        <w:t xml:space="preserve">citing Griggs </w:t>
      </w:r>
      <w:r w:rsidR="00367D36">
        <w:rPr>
          <w:i/>
          <w:iCs/>
        </w:rPr>
        <w:t>v</w:t>
      </w:r>
      <w:r w:rsidR="00475DFB">
        <w:rPr>
          <w:i/>
          <w:iCs/>
        </w:rPr>
        <w:t>. Provident Consumer Discount Co.</w:t>
      </w:r>
      <w:r w:rsidRPr="00753C44" w:rsidR="00851E1B">
        <w:t>,</w:t>
      </w:r>
      <w:r w:rsidRPr="00753C44" w:rsidR="00475DFB">
        <w:t xml:space="preserve"> 459 U.S. 56, 58 (1982)</w:t>
      </w:r>
      <w:r w:rsidR="00DB7CBF">
        <w:t xml:space="preserve">. </w:t>
      </w:r>
    </w:p>
  </w:footnote>
  <w:footnote w:id="20">
    <w:p w:rsidR="004225A0" w14:paraId="7313514E" w14:textId="15408B03">
      <w:pPr>
        <w:pStyle w:val="FootnoteText"/>
      </w:pPr>
      <w:r>
        <w:rPr>
          <w:rStyle w:val="FootnoteReference"/>
        </w:rPr>
        <w:footnoteRef/>
      </w:r>
      <w:r>
        <w:t xml:space="preserve"> </w:t>
      </w:r>
      <w:r w:rsidRPr="007440FE" w:rsidR="001071AD">
        <w:t xml:space="preserve">We also note that the D.C. Circuit has questioned whether the general principle that a district court loses jurisdiction over matters brought to a court of appeals should also extend to administrative agencies.  </w:t>
      </w:r>
      <w:r w:rsidRPr="007440FE" w:rsidR="001071AD">
        <w:rPr>
          <w:i/>
          <w:iCs/>
        </w:rPr>
        <w:t>See Chamber of Commerce of U.S. v. SEC</w:t>
      </w:r>
      <w:r w:rsidRPr="007440FE" w:rsidR="001071AD">
        <w:t>, 443 F.3d 890, 897-98 (D.C. Cir. 2006)</w:t>
      </w:r>
      <w:r w:rsidR="001071AD">
        <w:t>.</w:t>
      </w:r>
    </w:p>
  </w:footnote>
  <w:footnote w:id="21">
    <w:p w:rsidR="00F2367A" w14:paraId="03D0D59A" w14:textId="7C10A094">
      <w:pPr>
        <w:pStyle w:val="FootnoteText"/>
      </w:pPr>
      <w:r>
        <w:rPr>
          <w:rStyle w:val="FootnoteReference"/>
        </w:rPr>
        <w:footnoteRef/>
      </w:r>
      <w:r>
        <w:t xml:space="preserve"> </w:t>
      </w:r>
      <w:r w:rsidR="0014085A">
        <w:t xml:space="preserve">Application at </w:t>
      </w:r>
      <w:r w:rsidR="00C9424A">
        <w:t>12 – 16</w:t>
      </w:r>
      <w:r w:rsidR="0014085A">
        <w:t xml:space="preserve">. </w:t>
      </w:r>
    </w:p>
  </w:footnote>
  <w:footnote w:id="22">
    <w:p w:rsidR="009731C3" w:rsidRPr="009731C3" w14:paraId="2D4814CB" w14:textId="234EE1CE">
      <w:pPr>
        <w:pStyle w:val="FootnoteText"/>
      </w:pPr>
      <w:r>
        <w:rPr>
          <w:rStyle w:val="FootnoteReference"/>
        </w:rPr>
        <w:footnoteRef/>
      </w:r>
      <w:r>
        <w:t xml:space="preserve"> </w:t>
      </w:r>
      <w:r>
        <w:rPr>
          <w:i/>
          <w:iCs/>
        </w:rPr>
        <w:t>Order</w:t>
      </w:r>
      <w:r>
        <w:t>,</w:t>
      </w:r>
      <w:r w:rsidR="00941E7D">
        <w:t xml:space="preserve"> </w:t>
      </w:r>
      <w:r w:rsidRPr="004C5893" w:rsidR="00941E7D">
        <w:t xml:space="preserve">36 FCC </w:t>
      </w:r>
      <w:r w:rsidRPr="004C5893" w:rsidR="00941E7D">
        <w:t>Rcd</w:t>
      </w:r>
      <w:r w:rsidRPr="006A511D" w:rsidR="00941E7D">
        <w:t xml:space="preserve"> </w:t>
      </w:r>
      <w:r w:rsidR="00941E7D">
        <w:t>at 9928,</w:t>
      </w:r>
      <w:r>
        <w:t xml:space="preserve"> para. </w:t>
      </w:r>
      <w:r w:rsidR="00F27D66">
        <w:t>3.</w:t>
      </w:r>
    </w:p>
  </w:footnote>
  <w:footnote w:id="23">
    <w:p w:rsidR="00402F02" w:rsidRPr="00C32C3B" w14:paraId="692E2C68" w14:textId="736F2E9D">
      <w:pPr>
        <w:pStyle w:val="FootnoteText"/>
      </w:pPr>
      <w:r>
        <w:rPr>
          <w:rStyle w:val="FootnoteReference"/>
        </w:rPr>
        <w:footnoteRef/>
      </w:r>
      <w:r>
        <w:t xml:space="preserve"> </w:t>
      </w:r>
      <w:r w:rsidR="000A13AD">
        <w:rPr>
          <w:i/>
          <w:iCs/>
        </w:rPr>
        <w:t>See</w:t>
      </w:r>
      <w:r w:rsidR="000A13AD">
        <w:t xml:space="preserve">, </w:t>
      </w:r>
      <w:r w:rsidR="000A13AD">
        <w:rPr>
          <w:i/>
          <w:iCs/>
        </w:rPr>
        <w:t>e.g.</w:t>
      </w:r>
      <w:r w:rsidR="000A13AD">
        <w:t xml:space="preserve">, </w:t>
      </w:r>
      <w:r w:rsidR="00DD60FC">
        <w:rPr>
          <w:i/>
          <w:iCs/>
        </w:rPr>
        <w:t>Hyde v. Irish</w:t>
      </w:r>
      <w:r w:rsidR="00DD60FC">
        <w:t xml:space="preserve">, 962 F.3d 1306, 1309 (11th Cir. 2020) (acknowledging </w:t>
      </w:r>
      <w:r w:rsidR="008C79ED">
        <w:t xml:space="preserve">the </w:t>
      </w:r>
      <w:r w:rsidR="00DD60FC">
        <w:t>general divestiture rule but determining that Rule 11 sanctions</w:t>
      </w:r>
      <w:r w:rsidR="00F41DD0">
        <w:t xml:space="preserve"> do not reach the merits of the matter on appeal </w:t>
      </w:r>
      <w:r w:rsidR="004E307C">
        <w:t xml:space="preserve">and </w:t>
      </w:r>
      <w:r w:rsidR="00DD60FC">
        <w:t>are collateral issues that remain within the district court’s jurisdiction)</w:t>
      </w:r>
      <w:r w:rsidR="009524E2">
        <w:t xml:space="preserve">; </w:t>
      </w:r>
      <w:r w:rsidR="00E92FAC">
        <w:rPr>
          <w:i/>
          <w:iCs/>
        </w:rPr>
        <w:t>Weingarten Realty Investors v. Miller</w:t>
      </w:r>
      <w:r w:rsidR="00E92FAC">
        <w:t>, 661 F.3d 904, 908 (5th Cir. 2011) (“</w:t>
      </w:r>
      <w:r w:rsidR="00F867A2">
        <w:t>Although appeals transfer jurisdiction from the district court to the appellate court concerning ‘those aspects of the cases involved in the appeal,’</w:t>
      </w:r>
      <w:r w:rsidR="00C32C3B">
        <w:t xml:space="preserve"> </w:t>
      </w:r>
      <w:r w:rsidR="003F65DE">
        <w:t xml:space="preserve">. . . </w:t>
      </w:r>
      <w:r w:rsidR="00C32C3B">
        <w:t xml:space="preserve">the district court is nonetheless free to adjudicate matters that are not involved in that appeal”), </w:t>
      </w:r>
      <w:r w:rsidR="00C32C3B">
        <w:rPr>
          <w:i/>
          <w:iCs/>
        </w:rPr>
        <w:t>quoting</w:t>
      </w:r>
      <w:r w:rsidR="00C32C3B">
        <w:t xml:space="preserve"> </w:t>
      </w:r>
      <w:r w:rsidR="00C32C3B">
        <w:rPr>
          <w:i/>
          <w:iCs/>
        </w:rPr>
        <w:t>Griggs</w:t>
      </w:r>
      <w:r w:rsidR="00C32C3B">
        <w:t>, 459 U</w:t>
      </w:r>
      <w:r w:rsidR="003F65DE">
        <w:t>.</w:t>
      </w:r>
      <w:r w:rsidR="00C32C3B">
        <w:t>S</w:t>
      </w:r>
      <w:r w:rsidR="003F65DE">
        <w:t>.</w:t>
      </w:r>
      <w:r w:rsidR="00C32C3B">
        <w:t xml:space="preserve"> at 58</w:t>
      </w:r>
      <w:r w:rsidR="00A4478E">
        <w:t>.</w:t>
      </w:r>
    </w:p>
  </w:footnote>
  <w:footnote w:id="24">
    <w:p w:rsidR="006B58EE" w14:paraId="7ACABCAF" w14:textId="7B79040F">
      <w:pPr>
        <w:pStyle w:val="FootnoteText"/>
      </w:pPr>
      <w:r>
        <w:rPr>
          <w:rStyle w:val="FootnoteReference"/>
        </w:rPr>
        <w:footnoteRef/>
      </w:r>
      <w:r>
        <w:t xml:space="preserve"> Application at </w:t>
      </w:r>
      <w:r w:rsidR="00026AC1">
        <w:t>17</w:t>
      </w:r>
      <w:r>
        <w:t xml:space="preserve">.  </w:t>
      </w:r>
    </w:p>
  </w:footnote>
  <w:footnote w:id="25">
    <w:p w:rsidR="006B58EE" w14:paraId="4DA05936" w14:textId="689AEB32">
      <w:pPr>
        <w:pStyle w:val="FootnoteText"/>
      </w:pPr>
      <w:r>
        <w:rPr>
          <w:rStyle w:val="FootnoteReference"/>
        </w:rPr>
        <w:footnoteRef/>
      </w:r>
      <w:r>
        <w:t xml:space="preserve"> </w:t>
      </w:r>
      <w:r w:rsidRPr="00753C44">
        <w:rPr>
          <w:i/>
          <w:iCs/>
        </w:rPr>
        <w:t>Order</w:t>
      </w:r>
      <w:r w:rsidR="00941E7D">
        <w:t xml:space="preserve"> </w:t>
      </w:r>
      <w:r w:rsidRPr="004C5893" w:rsidR="00941E7D">
        <w:t xml:space="preserve">36 FCC </w:t>
      </w:r>
      <w:r w:rsidRPr="004C5893" w:rsidR="00941E7D">
        <w:t>Rcd</w:t>
      </w:r>
      <w:r w:rsidRPr="006A511D" w:rsidR="00941E7D">
        <w:t xml:space="preserve"> </w:t>
      </w:r>
      <w:r w:rsidR="00941E7D">
        <w:t>at 9928,</w:t>
      </w:r>
      <w:r w:rsidR="00835319">
        <w:t xml:space="preserve"> para. 4.</w:t>
      </w:r>
      <w:r>
        <w:t xml:space="preserve"> </w:t>
      </w:r>
    </w:p>
  </w:footnote>
  <w:footnote w:id="26">
    <w:p w:rsidR="00170ECB" w:rsidRPr="00436D8F" w14:paraId="3D690372" w14:textId="0798B223">
      <w:pPr>
        <w:pStyle w:val="FootnoteText"/>
      </w:pPr>
      <w:r>
        <w:rPr>
          <w:rStyle w:val="FootnoteReference"/>
        </w:rPr>
        <w:footnoteRef/>
      </w:r>
      <w:r>
        <w:t xml:space="preserve"> Application at </w:t>
      </w:r>
      <w:r w:rsidR="00C059A0">
        <w:t>17</w:t>
      </w:r>
      <w:r w:rsidR="00436D8F">
        <w:t xml:space="preserve"> (emphasis omitted), </w:t>
      </w:r>
      <w:r w:rsidR="00436D8F">
        <w:rPr>
          <w:i/>
          <w:iCs/>
        </w:rPr>
        <w:t xml:space="preserve">quoting </w:t>
      </w:r>
      <w:r w:rsidR="00436D8F">
        <w:t xml:space="preserve">LOI at </w:t>
      </w:r>
      <w:r w:rsidR="00630A8D">
        <w:t>2</w:t>
      </w:r>
      <w:r w:rsidR="00D76DAA">
        <w:t xml:space="preserve">; </w:t>
      </w:r>
      <w:r w:rsidR="00D76DAA">
        <w:rPr>
          <w:i/>
          <w:iCs/>
        </w:rPr>
        <w:t>see</w:t>
      </w:r>
      <w:r w:rsidR="00D76DAA">
        <w:t xml:space="preserve"> 47 U.S.C. § 511(h)</w:t>
      </w:r>
      <w:r w:rsidR="00436D8F">
        <w:t xml:space="preserve">. </w:t>
      </w:r>
    </w:p>
  </w:footnote>
  <w:footnote w:id="27">
    <w:p w:rsidR="00DA2CCD" w14:paraId="5283AE20" w14:textId="44E4CDFA">
      <w:pPr>
        <w:pStyle w:val="FootnoteText"/>
      </w:pPr>
      <w:r>
        <w:rPr>
          <w:rStyle w:val="FootnoteReference"/>
        </w:rPr>
        <w:footnoteRef/>
      </w:r>
      <w:r>
        <w:t xml:space="preserve"> </w:t>
      </w:r>
      <w:r w:rsidR="00640A70">
        <w:t>LOI at 5 (</w:t>
      </w:r>
      <w:r w:rsidR="00B745D4">
        <w:t>instructing CVGC to identify “[t]he Commission authorization pursuant to which the Station was operated”).</w:t>
      </w:r>
    </w:p>
  </w:footnote>
  <w:footnote w:id="28">
    <w:p w:rsidR="00687690" w:rsidRPr="009B5725" w14:paraId="5B5B6321" w14:textId="42F57047">
      <w:pPr>
        <w:pStyle w:val="FootnoteText"/>
      </w:pPr>
      <w:r>
        <w:rPr>
          <w:rStyle w:val="FootnoteReference"/>
        </w:rPr>
        <w:footnoteRef/>
      </w:r>
      <w:r>
        <w:t xml:space="preserve"> </w:t>
      </w:r>
      <w:r w:rsidR="005C13C8">
        <w:rPr>
          <w:i/>
          <w:iCs/>
        </w:rPr>
        <w:t>See</w:t>
      </w:r>
      <w:r w:rsidR="009B5725">
        <w:rPr>
          <w:i/>
          <w:iCs/>
        </w:rPr>
        <w:t xml:space="preserve"> </w:t>
      </w:r>
      <w:r w:rsidR="009B5725">
        <w:t>text accompanying n.</w:t>
      </w:r>
      <w:r w:rsidR="00A156F2">
        <w:t>24</w:t>
      </w:r>
      <w:r w:rsidR="009B5725">
        <w:t xml:space="preserve">, </w:t>
      </w:r>
      <w:r w:rsidR="009B5725">
        <w:rPr>
          <w:i/>
          <w:iCs/>
        </w:rPr>
        <w:t>supra</w:t>
      </w:r>
      <w:r w:rsidR="009B5725">
        <w:t>.</w:t>
      </w:r>
    </w:p>
  </w:footnote>
  <w:footnote w:id="29">
    <w:p w:rsidR="002B746A" w:rsidRPr="002559E8" w14:paraId="54F2B833" w14:textId="6E1E3464">
      <w:pPr>
        <w:pStyle w:val="FootnoteText"/>
      </w:pPr>
      <w:r>
        <w:rPr>
          <w:rStyle w:val="FootnoteReference"/>
        </w:rPr>
        <w:footnoteRef/>
      </w:r>
      <w:r>
        <w:t xml:space="preserve"> </w:t>
      </w:r>
      <w:r w:rsidR="00427BDC">
        <w:rPr>
          <w:i/>
          <w:iCs/>
        </w:rPr>
        <w:t>Order</w:t>
      </w:r>
      <w:r w:rsidR="00427BDC">
        <w:t xml:space="preserve"> </w:t>
      </w:r>
      <w:r w:rsidR="00095D17">
        <w:t xml:space="preserve">at </w:t>
      </w:r>
      <w:r w:rsidR="008370D0">
        <w:t>2, para. 4.</w:t>
      </w:r>
      <w:r w:rsidR="00095D17">
        <w:t xml:space="preserve"> </w:t>
      </w:r>
    </w:p>
  </w:footnote>
  <w:footnote w:id="30">
    <w:p w:rsidR="00DF4AF0" w:rsidRPr="00F2367A" w14:paraId="08A6963C" w14:textId="2CC77066">
      <w:pPr>
        <w:pStyle w:val="FootnoteText"/>
      </w:pPr>
      <w:r>
        <w:rPr>
          <w:rStyle w:val="FootnoteReference"/>
        </w:rPr>
        <w:footnoteRef/>
      </w:r>
      <w:r>
        <w:t xml:space="preserve"> We observe, moreover, that </w:t>
      </w:r>
      <w:r w:rsidR="003046DD">
        <w:t>since the Bureau</w:t>
      </w:r>
      <w:r w:rsidR="00DA2CCD">
        <w:t xml:space="preserve"> released</w:t>
      </w:r>
      <w:r w:rsidR="003046DD">
        <w:t xml:space="preserve"> the </w:t>
      </w:r>
      <w:r w:rsidR="003046DD">
        <w:rPr>
          <w:i/>
          <w:iCs/>
        </w:rPr>
        <w:t>Order</w:t>
      </w:r>
      <w:r w:rsidR="003046DD">
        <w:t xml:space="preserve">, the D.C. Circuit denied CVGC’s request for a judicial stay of the </w:t>
      </w:r>
      <w:r w:rsidR="003046DD">
        <w:rPr>
          <w:i/>
          <w:iCs/>
        </w:rPr>
        <w:t>Review Order</w:t>
      </w:r>
      <w:r w:rsidR="003046DD">
        <w:t xml:space="preserve"> (and, by implication, a request to stay the expiration of the Station’s license) in the separate licensing proceeding.  </w:t>
      </w:r>
      <w:r w:rsidR="003046DD">
        <w:rPr>
          <w:i/>
          <w:iCs/>
        </w:rPr>
        <w:t>Chinese Voice of Golden City v. FCC</w:t>
      </w:r>
      <w:r w:rsidR="003046DD">
        <w:t>, No. 20-1514, slip op. (D.C. Cir. July 9, 2021) (</w:t>
      </w:r>
      <w:r w:rsidRPr="000012F1" w:rsidR="003046DD">
        <w:rPr>
          <w:i/>
          <w:iCs/>
        </w:rPr>
        <w:t xml:space="preserve">per </w:t>
      </w:r>
      <w:r w:rsidRPr="008370D0" w:rsidR="008370D0">
        <w:rPr>
          <w:i/>
          <w:iCs/>
        </w:rPr>
        <w:t>curi</w:t>
      </w:r>
      <w:r w:rsidR="006615A9">
        <w:rPr>
          <w:i/>
          <w:iCs/>
        </w:rPr>
        <w:t>a</w:t>
      </w:r>
      <w:r w:rsidRPr="008370D0" w:rsidR="008370D0">
        <w:rPr>
          <w:i/>
          <w:iCs/>
        </w:rPr>
        <w:t>m</w:t>
      </w:r>
      <w:r w:rsidR="003046DD">
        <w:t>)</w:t>
      </w:r>
      <w:r w:rsidR="0086204D">
        <w:t>.</w:t>
      </w:r>
    </w:p>
  </w:footnote>
  <w:footnote w:id="31">
    <w:p w:rsidR="003D63E9" w14:paraId="2C762341" w14:textId="628EDD54">
      <w:pPr>
        <w:pStyle w:val="FootnoteText"/>
      </w:pPr>
      <w:r>
        <w:rPr>
          <w:rStyle w:val="FootnoteReference"/>
        </w:rPr>
        <w:footnoteRef/>
      </w:r>
      <w:r>
        <w:t xml:space="preserve"> </w:t>
      </w:r>
      <w:r w:rsidR="006A7CFE">
        <w:t xml:space="preserve">Application at </w:t>
      </w:r>
      <w:r w:rsidR="00E3186B">
        <w:t>24</w:t>
      </w:r>
      <w:r w:rsidR="006A7CFE">
        <w:t>.</w:t>
      </w:r>
    </w:p>
  </w:footnote>
  <w:footnote w:id="32">
    <w:p w:rsidR="006A7CFE" w:rsidRPr="006A7CFE" w14:paraId="75014B6F" w14:textId="7B5E3B60">
      <w:pPr>
        <w:pStyle w:val="FootnoteText"/>
      </w:pPr>
      <w:r>
        <w:rPr>
          <w:rStyle w:val="FootnoteReference"/>
        </w:rPr>
        <w:footnoteRef/>
      </w:r>
      <w:r>
        <w:t xml:space="preserve"> </w:t>
      </w:r>
      <w:r>
        <w:rPr>
          <w:i/>
          <w:iCs/>
        </w:rPr>
        <w:t>Id</w:t>
      </w:r>
      <w:r>
        <w:t>.</w:t>
      </w:r>
      <w:r w:rsidR="00192E46">
        <w:t xml:space="preserve">; 5 U.S.C. § 558. </w:t>
      </w:r>
    </w:p>
  </w:footnote>
  <w:footnote w:id="33">
    <w:p w:rsidR="008960B3" w:rsidP="008960B3" w14:paraId="478271E3" w14:textId="77777777">
      <w:pPr>
        <w:pStyle w:val="FootnoteText"/>
      </w:pPr>
      <w:r>
        <w:rPr>
          <w:rStyle w:val="FootnoteReference"/>
        </w:rPr>
        <w:footnoteRef/>
      </w:r>
      <w:r>
        <w:t xml:space="preserve"> </w:t>
      </w:r>
      <w:r w:rsidRPr="00B11FE3">
        <w:t xml:space="preserve">Application at 24.  </w:t>
      </w:r>
      <w:r w:rsidRPr="00773E7D">
        <w:rPr>
          <w:i/>
          <w:iCs/>
        </w:rPr>
        <w:t>See</w:t>
      </w:r>
      <w:r w:rsidRPr="00B11FE3">
        <w:t xml:space="preserve"> 5 U.S.C. § 558(c) (“withdrawal, suspension, revocation, or annulment of a</w:t>
      </w:r>
      <w:r>
        <w:t xml:space="preserve"> </w:t>
      </w:r>
      <w:r w:rsidRPr="00B11FE3">
        <w:t>license</w:t>
      </w:r>
      <w:r>
        <w:t xml:space="preserve"> </w:t>
      </w:r>
      <w:r w:rsidRPr="00B11FE3">
        <w:t>is lawful only if, before the institution of</w:t>
      </w:r>
      <w:r>
        <w:t xml:space="preserve"> </w:t>
      </w:r>
      <w:r w:rsidRPr="00B11FE3">
        <w:t>agency proceedings</w:t>
      </w:r>
      <w:r>
        <w:t xml:space="preserve"> </w:t>
      </w:r>
      <w:r w:rsidRPr="00B11FE3">
        <w:t>therefor, the</w:t>
      </w:r>
      <w:r>
        <w:t xml:space="preserve"> </w:t>
      </w:r>
      <w:r w:rsidRPr="00B11FE3">
        <w:t>licensee</w:t>
      </w:r>
      <w:r>
        <w:t xml:space="preserve"> </w:t>
      </w:r>
      <w:r w:rsidRPr="00B11FE3">
        <w:t>has been given—</w:t>
      </w:r>
      <w:bookmarkStart w:id="4" w:name="c_1"/>
      <w:bookmarkEnd w:id="4"/>
      <w:r>
        <w:t xml:space="preserve"> </w:t>
      </w:r>
      <w:r w:rsidRPr="00B11FE3">
        <w:t>(1)</w:t>
      </w:r>
      <w:r>
        <w:t xml:space="preserve"> </w:t>
      </w:r>
      <w:r w:rsidRPr="00B11FE3">
        <w:t>notice by the</w:t>
      </w:r>
      <w:r>
        <w:t xml:space="preserve"> </w:t>
      </w:r>
      <w:r w:rsidRPr="00B11FE3">
        <w:t>agency</w:t>
      </w:r>
      <w:r>
        <w:t xml:space="preserve"> </w:t>
      </w:r>
      <w:r w:rsidRPr="00B11FE3">
        <w:t>in writing of the facts or conduct which may warrant the action; and</w:t>
      </w:r>
      <w:bookmarkStart w:id="5" w:name="c_2"/>
      <w:bookmarkEnd w:id="5"/>
      <w:r>
        <w:t xml:space="preserve"> </w:t>
      </w:r>
      <w:r w:rsidRPr="00B11FE3">
        <w:t>(2)</w:t>
      </w:r>
      <w:r>
        <w:t xml:space="preserve"> </w:t>
      </w:r>
      <w:r w:rsidRPr="00B11FE3">
        <w:t>opportunity to demonstrate or achieve compliance with all lawful requirements</w:t>
      </w:r>
      <w:r w:rsidRPr="00773E7D">
        <w:t xml:space="preserve">.”).  </w:t>
      </w:r>
    </w:p>
  </w:footnote>
  <w:footnote w:id="34">
    <w:p w:rsidR="008960B3" w:rsidP="008960B3" w14:paraId="7257DB57" w14:textId="7A5B3FE4">
      <w:pPr>
        <w:pStyle w:val="FootnoteText"/>
      </w:pPr>
      <w:r>
        <w:rPr>
          <w:rStyle w:val="FootnoteReference"/>
        </w:rPr>
        <w:footnoteRef/>
      </w:r>
      <w:r>
        <w:t xml:space="preserve"> </w:t>
      </w:r>
      <w:r w:rsidRPr="00820E9C">
        <w:rPr>
          <w:i/>
          <w:iCs/>
        </w:rPr>
        <w:t>Atlantic Richfield Co. v. United States</w:t>
      </w:r>
      <w:r w:rsidRPr="00773E7D">
        <w:t>, 774 F.2d 1193, 120</w:t>
      </w:r>
      <w:r w:rsidR="00DB0645">
        <w:t>0</w:t>
      </w:r>
      <w:r w:rsidRPr="00773E7D">
        <w:t xml:space="preserve"> (D.C.</w:t>
      </w:r>
      <w:r>
        <w:t xml:space="preserve"> </w:t>
      </w:r>
      <w:r w:rsidRPr="00773E7D">
        <w:t>Cir.</w:t>
      </w:r>
      <w:r>
        <w:t xml:space="preserve"> </w:t>
      </w:r>
      <w:r w:rsidRPr="00773E7D">
        <w:t xml:space="preserve">1985).  </w:t>
      </w:r>
    </w:p>
  </w:footnote>
  <w:footnote w:id="35">
    <w:p w:rsidR="00E77DF3" w14:paraId="4021757C" w14:textId="22CAF1C6">
      <w:pPr>
        <w:pStyle w:val="FootnoteText"/>
      </w:pPr>
      <w:r>
        <w:rPr>
          <w:rStyle w:val="FootnoteReference"/>
        </w:rPr>
        <w:footnoteRef/>
      </w:r>
      <w:r>
        <w:t xml:space="preserve"> 47 U.S.C. § 312(g).</w:t>
      </w:r>
    </w:p>
  </w:footnote>
  <w:footnote w:id="36">
    <w:p w:rsidR="00356178" w14:paraId="035BED12" w14:textId="53D953EA">
      <w:pPr>
        <w:pStyle w:val="FootnoteText"/>
      </w:pPr>
      <w:r>
        <w:rPr>
          <w:rStyle w:val="FootnoteReference"/>
        </w:rPr>
        <w:footnoteRef/>
      </w:r>
      <w:r>
        <w:t xml:space="preserve"> 47 U.S.C. §</w:t>
      </w:r>
      <w:r w:rsidR="003469B3">
        <w:t xml:space="preserve"> 307(c)(3).</w:t>
      </w:r>
    </w:p>
  </w:footnote>
  <w:footnote w:id="37">
    <w:p w:rsidR="00136DDA" w14:paraId="52D251AA" w14:textId="5CE1223E">
      <w:pPr>
        <w:pStyle w:val="FootnoteText"/>
      </w:pPr>
      <w:r>
        <w:rPr>
          <w:rStyle w:val="FootnoteReference"/>
        </w:rPr>
        <w:footnoteRef/>
      </w:r>
      <w:r>
        <w:t xml:space="preserve"> </w:t>
      </w:r>
      <w:r w:rsidR="003469B3">
        <w:rPr>
          <w:i/>
          <w:iCs/>
        </w:rPr>
        <w:t>Id.</w:t>
      </w:r>
      <w:r>
        <w:t xml:space="preserve">; Application at 23 – 24. </w:t>
      </w:r>
    </w:p>
  </w:footnote>
  <w:footnote w:id="38">
    <w:p w:rsidR="006E0BE6" w14:paraId="34F9D1A7" w14:textId="09166677">
      <w:pPr>
        <w:pStyle w:val="FootnoteText"/>
      </w:pPr>
      <w:r>
        <w:rPr>
          <w:rStyle w:val="FootnoteReference"/>
        </w:rPr>
        <w:footnoteRef/>
      </w:r>
      <w:r>
        <w:t xml:space="preserve"> 47 U.S.C. § 312(g).</w:t>
      </w:r>
    </w:p>
  </w:footnote>
  <w:footnote w:id="39">
    <w:p w:rsidR="006E0BE6" w:rsidRPr="006E0BE6" w14:paraId="5F2C9957" w14:textId="4E935ADD">
      <w:pPr>
        <w:pStyle w:val="FootnoteText"/>
      </w:pPr>
      <w:r>
        <w:rPr>
          <w:rStyle w:val="FootnoteReference"/>
        </w:rPr>
        <w:footnoteRef/>
      </w:r>
      <w:r>
        <w:t xml:space="preserve"> </w:t>
      </w:r>
      <w:r>
        <w:rPr>
          <w:i/>
          <w:iCs/>
        </w:rPr>
        <w:t>Id.</w:t>
      </w:r>
    </w:p>
  </w:footnote>
  <w:footnote w:id="40">
    <w:p w:rsidR="006E0BE6" w14:paraId="4BA5E49C" w14:textId="0BF1E210">
      <w:pPr>
        <w:pStyle w:val="FootnoteText"/>
      </w:pPr>
      <w:r>
        <w:rPr>
          <w:rStyle w:val="FootnoteReference"/>
        </w:rPr>
        <w:footnoteRef/>
      </w:r>
      <w:r>
        <w:t xml:space="preserve"> Application at 23.</w:t>
      </w:r>
    </w:p>
  </w:footnote>
  <w:footnote w:id="41">
    <w:p w:rsidR="00D63DA9" w14:paraId="058490B1" w14:textId="1A484304">
      <w:pPr>
        <w:pStyle w:val="FootnoteText"/>
      </w:pPr>
      <w:r>
        <w:rPr>
          <w:rStyle w:val="FootnoteReference"/>
        </w:rPr>
        <w:footnoteRef/>
      </w:r>
      <w:r>
        <w:t xml:space="preserve"> 47 U.S.C. § 307(c)(3) (emphasis added).</w:t>
      </w:r>
    </w:p>
  </w:footnote>
  <w:footnote w:id="42">
    <w:p w:rsidR="0030462E" w14:paraId="0DF17EF9" w14:textId="6821B838">
      <w:pPr>
        <w:pStyle w:val="FootnoteText"/>
      </w:pPr>
      <w:r>
        <w:rPr>
          <w:rStyle w:val="FootnoteReference"/>
        </w:rPr>
        <w:footnoteRef/>
      </w:r>
      <w:r>
        <w:t xml:space="preserve"> </w:t>
      </w:r>
      <w:r w:rsidRPr="00B8436E" w:rsidR="00302C22">
        <w:rPr>
          <w:i/>
          <w:iCs/>
          <w:color w:val="000000" w:themeColor="text1"/>
        </w:rPr>
        <w:t xml:space="preserve">See </w:t>
      </w:r>
      <w:r w:rsidRPr="00B8436E" w:rsidR="00302C22">
        <w:rPr>
          <w:i/>
          <w:iCs/>
          <w:color w:val="000000" w:themeColor="text1"/>
        </w:rPr>
        <w:t>Russello</w:t>
      </w:r>
      <w:r w:rsidRPr="00B8436E" w:rsidR="00302C22">
        <w:rPr>
          <w:i/>
          <w:iCs/>
          <w:color w:val="000000" w:themeColor="text1"/>
        </w:rPr>
        <w:t xml:space="preserve"> v. United States</w:t>
      </w:r>
      <w:r w:rsidRPr="00B8436E" w:rsidR="00302C22">
        <w:rPr>
          <w:color w:val="000000" w:themeColor="text1"/>
        </w:rPr>
        <w:t>, 464 U.S. 16, 23 (1983) (“‘[W]here Congress includes particular language in one section of a statute but omits it in another section of the same Act, it is generally presumed that Congress acts intentionally and purposely in the disparate inclusion or exclusion’”) (citations omitted)</w:t>
      </w:r>
      <w:r>
        <w:t>.</w:t>
      </w:r>
    </w:p>
  </w:footnote>
  <w:footnote w:id="43">
    <w:p w:rsidR="00907C0D" w14:paraId="15CDB0EE" w14:textId="79D4FC5A">
      <w:pPr>
        <w:pStyle w:val="FootnoteText"/>
      </w:pPr>
      <w:r>
        <w:rPr>
          <w:rStyle w:val="FootnoteReference"/>
        </w:rPr>
        <w:footnoteRef/>
      </w:r>
      <w:r>
        <w:t xml:space="preserve"> </w:t>
      </w:r>
      <w:r w:rsidR="000E0DF1">
        <w:t xml:space="preserve">Application at 23 – 24. </w:t>
      </w:r>
    </w:p>
  </w:footnote>
  <w:footnote w:id="44">
    <w:p w:rsidR="007B4F13" w14:paraId="78B55C47" w14:textId="7A2B8D30">
      <w:pPr>
        <w:pStyle w:val="FootnoteText"/>
      </w:pPr>
      <w:r>
        <w:rPr>
          <w:rStyle w:val="FootnoteReference"/>
        </w:rPr>
        <w:footnoteRef/>
      </w:r>
      <w:r>
        <w:t xml:space="preserve"> </w:t>
      </w:r>
      <w:r w:rsidR="001D2A65">
        <w:t xml:space="preserve">Application at 24 – 25. </w:t>
      </w:r>
    </w:p>
  </w:footnote>
  <w:footnote w:id="45">
    <w:p w:rsidR="009116FB" w:rsidRPr="00060E60" w14:paraId="613D5C29" w14:textId="3B173D8B">
      <w:pPr>
        <w:pStyle w:val="FootnoteText"/>
      </w:pPr>
      <w:r>
        <w:rPr>
          <w:rStyle w:val="FootnoteReference"/>
        </w:rPr>
        <w:footnoteRef/>
      </w:r>
      <w:r>
        <w:t xml:space="preserve"> </w:t>
      </w:r>
      <w:r w:rsidR="00060E60">
        <w:rPr>
          <w:i/>
          <w:iCs/>
        </w:rPr>
        <w:t>See</w:t>
      </w:r>
      <w:r w:rsidR="00060E60">
        <w:t xml:space="preserve"> Second Motion for Investigative Stay at </w:t>
      </w:r>
      <w:r w:rsidR="007C4381">
        <w:t>4 -5.</w:t>
      </w:r>
    </w:p>
  </w:footnote>
  <w:footnote w:id="46">
    <w:p w:rsidR="00DA05F7" w:rsidRPr="00A25BA4" w14:paraId="0771249C" w14:textId="2992781C">
      <w:pPr>
        <w:pStyle w:val="FootnoteText"/>
      </w:pPr>
      <w:r>
        <w:rPr>
          <w:rStyle w:val="FootnoteReference"/>
        </w:rPr>
        <w:footnoteRef/>
      </w:r>
      <w:r>
        <w:t xml:space="preserve"> </w:t>
      </w:r>
      <w:r w:rsidR="00A25BA4">
        <w:rPr>
          <w:i/>
          <w:iCs/>
        </w:rPr>
        <w:t>See</w:t>
      </w:r>
      <w:r w:rsidR="00A25BA4">
        <w:t xml:space="preserve"> </w:t>
      </w:r>
      <w:r w:rsidR="00A25BA4">
        <w:rPr>
          <w:i/>
          <w:iCs/>
        </w:rPr>
        <w:t>Nken</w:t>
      </w:r>
      <w:r w:rsidR="00A25BA4">
        <w:rPr>
          <w:i/>
          <w:iCs/>
        </w:rPr>
        <w:t xml:space="preserve"> v. Holder</w:t>
      </w:r>
      <w:r w:rsidR="00A25BA4">
        <w:t>, 556 U.S. 418, 434 (</w:t>
      </w:r>
      <w:r w:rsidR="00CD67E2">
        <w:t>2009) (</w:t>
      </w:r>
      <w:r w:rsidR="00075F22">
        <w:t xml:space="preserve">stating that the four factors </w:t>
      </w:r>
      <w:r w:rsidR="008C0DCF">
        <w:t>considered in a request for a stay are “</w:t>
      </w:r>
      <w:r w:rsidRPr="008C0DCF" w:rsidR="008C0DCF">
        <w:t>(1) whether the stay applicant has made a strong showing that he is likely to succeed on the merits; (2) whether the applicant will be irreparably injured absent a stay; (3) whether issuance of the stay will substantially injure the other parties interested in the proceeding; and (4) where the public interest lies”</w:t>
      </w:r>
      <w:r w:rsidR="008C0DCF">
        <w:t>).</w:t>
      </w:r>
    </w:p>
  </w:footnote>
  <w:footnote w:id="47">
    <w:p w:rsidR="009F1604" w14:paraId="7C9ABD94" w14:textId="5EF0DCF3">
      <w:pPr>
        <w:pStyle w:val="FootnoteText"/>
      </w:pPr>
      <w:r>
        <w:rPr>
          <w:rStyle w:val="FootnoteReference"/>
        </w:rPr>
        <w:footnoteRef/>
      </w:r>
      <w:r>
        <w:t xml:space="preserve"> </w:t>
      </w:r>
      <w:r w:rsidR="00D65917">
        <w:t xml:space="preserve">47 U.S.C. § 155(c)(4). </w:t>
      </w:r>
    </w:p>
  </w:footnote>
  <w:footnote w:id="48">
    <w:p w:rsidR="009F1604" w:rsidRPr="000E67D1" w14:paraId="62E1EBDB" w14:textId="6F3E206E">
      <w:pPr>
        <w:pStyle w:val="FootnoteText"/>
        <w:rPr>
          <w:i/>
          <w:iCs/>
        </w:rPr>
      </w:pPr>
      <w:r>
        <w:rPr>
          <w:rStyle w:val="FootnoteReference"/>
        </w:rPr>
        <w:footnoteRef/>
      </w:r>
      <w:r>
        <w:t xml:space="preserve"> </w:t>
      </w:r>
      <w:r w:rsidR="002D20F9">
        <w:t>47 U.S.C. §§ 154(</w:t>
      </w:r>
      <w:r w:rsidR="002D20F9">
        <w:t>i</w:t>
      </w:r>
      <w:r w:rsidR="002D20F9">
        <w:t>), 154(j), 403.</w:t>
      </w:r>
    </w:p>
  </w:footnote>
  <w:footnote w:id="49">
    <w:p w:rsidR="009F1604" w:rsidRPr="0069765B" w14:paraId="6C798011" w14:textId="04A6C488">
      <w:pPr>
        <w:pStyle w:val="FootnoteText"/>
      </w:pPr>
      <w:r>
        <w:rPr>
          <w:rStyle w:val="FootnoteReference"/>
        </w:rPr>
        <w:footnoteRef/>
      </w:r>
      <w:r>
        <w:t xml:space="preserve"> </w:t>
      </w:r>
      <w:r w:rsidR="0069765B">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A43" w:rsidP="00245EB9" w14:paraId="2806E6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45EB9" w14:paraId="20DB5C35" w14:textId="7BCD6A0A">
    <w:pPr>
      <w:pStyle w:val="Header"/>
    </w:pPr>
    <w:r>
      <w:tab/>
      <w:t>Federal Communications Commission</w:t>
    </w:r>
    <w:r>
      <w:tab/>
    </w:r>
    <w:r w:rsidRPr="00245EB9" w:rsidR="00245EB9">
      <w:t>FCC  22-34</w:t>
    </w:r>
  </w:p>
  <w:p w:rsidR="00D25FB5" w:rsidP="005052CD" w14:paraId="6718F13B" w14:textId="126A0283">
    <w:pPr>
      <w:tabs>
        <w:tab w:val="left" w:pos="-720"/>
      </w:tabs>
      <w:suppressAutoHyphens/>
      <w:spacing w:line="19" w:lineRule="exact"/>
      <w:rPr>
        <w:sz w:val="1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45EB9" w14:paraId="7A20B63A" w14:textId="6B0CC278">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Pr="00245EB9" w:rsidR="00F86787">
      <w:t>FCC</w:t>
    </w:r>
    <w:r w:rsidRPr="005052CD" w:rsidR="00245EB9">
      <w:t xml:space="preserve"> </w:t>
    </w:r>
    <w:r w:rsidRPr="00245EB9" w:rsidR="00F86787">
      <w:t xml:space="preserve"> </w:t>
    </w:r>
    <w:r w:rsidRPr="00245EB9" w:rsidR="00245EB9">
      <w:t>22-34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CDF7E48"/>
    <w:multiLevelType w:val="hybridMultilevel"/>
    <w:tmpl w:val="D8108732"/>
    <w:lvl w:ilvl="0">
      <w:start w:val="1"/>
      <w:numFmt w:val="bullet"/>
      <w:lvlText w:val=""/>
      <w:lvlJc w:val="left"/>
      <w:pPr>
        <w:ind w:left="648"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55"/>
    <w:rsid w:val="00000673"/>
    <w:rsid w:val="000010CE"/>
    <w:rsid w:val="000012F1"/>
    <w:rsid w:val="00002B70"/>
    <w:rsid w:val="000079B0"/>
    <w:rsid w:val="00011381"/>
    <w:rsid w:val="000119A9"/>
    <w:rsid w:val="00013E4D"/>
    <w:rsid w:val="00015A80"/>
    <w:rsid w:val="00016D12"/>
    <w:rsid w:val="00017E76"/>
    <w:rsid w:val="00026AC1"/>
    <w:rsid w:val="000272CE"/>
    <w:rsid w:val="000277DC"/>
    <w:rsid w:val="00031EAA"/>
    <w:rsid w:val="00034DB5"/>
    <w:rsid w:val="00036039"/>
    <w:rsid w:val="00037F90"/>
    <w:rsid w:val="00043525"/>
    <w:rsid w:val="0004502F"/>
    <w:rsid w:val="00045F27"/>
    <w:rsid w:val="00050461"/>
    <w:rsid w:val="0005165E"/>
    <w:rsid w:val="00054415"/>
    <w:rsid w:val="00055DEF"/>
    <w:rsid w:val="00057086"/>
    <w:rsid w:val="00057ECA"/>
    <w:rsid w:val="000607E3"/>
    <w:rsid w:val="00060DB8"/>
    <w:rsid w:val="00060E60"/>
    <w:rsid w:val="00062460"/>
    <w:rsid w:val="00062A1F"/>
    <w:rsid w:val="000670CC"/>
    <w:rsid w:val="00067D0F"/>
    <w:rsid w:val="00067E63"/>
    <w:rsid w:val="00071DB9"/>
    <w:rsid w:val="00072B11"/>
    <w:rsid w:val="00075F22"/>
    <w:rsid w:val="00082BBC"/>
    <w:rsid w:val="000875BF"/>
    <w:rsid w:val="0009177D"/>
    <w:rsid w:val="00095A83"/>
    <w:rsid w:val="00095D17"/>
    <w:rsid w:val="00096D8C"/>
    <w:rsid w:val="000A13AD"/>
    <w:rsid w:val="000A2FFC"/>
    <w:rsid w:val="000B1F65"/>
    <w:rsid w:val="000B3740"/>
    <w:rsid w:val="000B67CC"/>
    <w:rsid w:val="000B74EB"/>
    <w:rsid w:val="000C0B65"/>
    <w:rsid w:val="000C13B5"/>
    <w:rsid w:val="000C5571"/>
    <w:rsid w:val="000D40EB"/>
    <w:rsid w:val="000D5F02"/>
    <w:rsid w:val="000D707E"/>
    <w:rsid w:val="000E05FE"/>
    <w:rsid w:val="000E0DF1"/>
    <w:rsid w:val="000E164A"/>
    <w:rsid w:val="000E364A"/>
    <w:rsid w:val="000E3D42"/>
    <w:rsid w:val="000E67D1"/>
    <w:rsid w:val="000F2077"/>
    <w:rsid w:val="000F2A9D"/>
    <w:rsid w:val="000F4C7B"/>
    <w:rsid w:val="001014E7"/>
    <w:rsid w:val="0010674A"/>
    <w:rsid w:val="001067DF"/>
    <w:rsid w:val="001071AD"/>
    <w:rsid w:val="00110CFD"/>
    <w:rsid w:val="00113C44"/>
    <w:rsid w:val="00114F23"/>
    <w:rsid w:val="0012009C"/>
    <w:rsid w:val="00121F72"/>
    <w:rsid w:val="0012284D"/>
    <w:rsid w:val="00122BD5"/>
    <w:rsid w:val="00127878"/>
    <w:rsid w:val="00131AF3"/>
    <w:rsid w:val="00131B41"/>
    <w:rsid w:val="00133F79"/>
    <w:rsid w:val="00136DDA"/>
    <w:rsid w:val="0014085A"/>
    <w:rsid w:val="00140D68"/>
    <w:rsid w:val="0014139A"/>
    <w:rsid w:val="0014282C"/>
    <w:rsid w:val="00144631"/>
    <w:rsid w:val="00147D87"/>
    <w:rsid w:val="001570EF"/>
    <w:rsid w:val="001572C0"/>
    <w:rsid w:val="00161A0A"/>
    <w:rsid w:val="001628EF"/>
    <w:rsid w:val="001644E8"/>
    <w:rsid w:val="00170ECB"/>
    <w:rsid w:val="0017151C"/>
    <w:rsid w:val="00171C16"/>
    <w:rsid w:val="0017234A"/>
    <w:rsid w:val="001744EA"/>
    <w:rsid w:val="00174F46"/>
    <w:rsid w:val="0017512E"/>
    <w:rsid w:val="001769DA"/>
    <w:rsid w:val="00192E46"/>
    <w:rsid w:val="00193D7F"/>
    <w:rsid w:val="00194A66"/>
    <w:rsid w:val="00196408"/>
    <w:rsid w:val="00196AF8"/>
    <w:rsid w:val="001B3138"/>
    <w:rsid w:val="001B3573"/>
    <w:rsid w:val="001B6265"/>
    <w:rsid w:val="001B6EDF"/>
    <w:rsid w:val="001C322E"/>
    <w:rsid w:val="001C3FE8"/>
    <w:rsid w:val="001C5AB7"/>
    <w:rsid w:val="001C7557"/>
    <w:rsid w:val="001D2A65"/>
    <w:rsid w:val="001D5FDD"/>
    <w:rsid w:val="001D6BCF"/>
    <w:rsid w:val="001E01CA"/>
    <w:rsid w:val="001E3111"/>
    <w:rsid w:val="001E3C42"/>
    <w:rsid w:val="001F078B"/>
    <w:rsid w:val="001F4259"/>
    <w:rsid w:val="001F6012"/>
    <w:rsid w:val="00204ADC"/>
    <w:rsid w:val="00207B12"/>
    <w:rsid w:val="00212042"/>
    <w:rsid w:val="00212A9F"/>
    <w:rsid w:val="0021607C"/>
    <w:rsid w:val="00216521"/>
    <w:rsid w:val="00216AA6"/>
    <w:rsid w:val="00224572"/>
    <w:rsid w:val="00224EBF"/>
    <w:rsid w:val="00226EE1"/>
    <w:rsid w:val="00232886"/>
    <w:rsid w:val="00237B37"/>
    <w:rsid w:val="00240EEB"/>
    <w:rsid w:val="00241903"/>
    <w:rsid w:val="00241B23"/>
    <w:rsid w:val="00245EB9"/>
    <w:rsid w:val="00246C06"/>
    <w:rsid w:val="002559E8"/>
    <w:rsid w:val="00255CD9"/>
    <w:rsid w:val="00257259"/>
    <w:rsid w:val="00257BA9"/>
    <w:rsid w:val="00260820"/>
    <w:rsid w:val="002742E1"/>
    <w:rsid w:val="00275CF5"/>
    <w:rsid w:val="002810F5"/>
    <w:rsid w:val="0028301F"/>
    <w:rsid w:val="00285017"/>
    <w:rsid w:val="00290350"/>
    <w:rsid w:val="002A2D2E"/>
    <w:rsid w:val="002A65BC"/>
    <w:rsid w:val="002A65F6"/>
    <w:rsid w:val="002A6F37"/>
    <w:rsid w:val="002B0E4E"/>
    <w:rsid w:val="002B6B3E"/>
    <w:rsid w:val="002B6C24"/>
    <w:rsid w:val="002B746A"/>
    <w:rsid w:val="002C00E8"/>
    <w:rsid w:val="002C508B"/>
    <w:rsid w:val="002C6248"/>
    <w:rsid w:val="002D20F9"/>
    <w:rsid w:val="002E1EFB"/>
    <w:rsid w:val="002E313B"/>
    <w:rsid w:val="002F138D"/>
    <w:rsid w:val="002F2ABD"/>
    <w:rsid w:val="002F4C6A"/>
    <w:rsid w:val="00302C22"/>
    <w:rsid w:val="00303B92"/>
    <w:rsid w:val="0030462E"/>
    <w:rsid w:val="003046DD"/>
    <w:rsid w:val="003067B7"/>
    <w:rsid w:val="003103F0"/>
    <w:rsid w:val="00311C9D"/>
    <w:rsid w:val="003149E3"/>
    <w:rsid w:val="00315CB2"/>
    <w:rsid w:val="00325C39"/>
    <w:rsid w:val="003322FE"/>
    <w:rsid w:val="00335399"/>
    <w:rsid w:val="00335FA0"/>
    <w:rsid w:val="00337980"/>
    <w:rsid w:val="00343749"/>
    <w:rsid w:val="003459D3"/>
    <w:rsid w:val="00346689"/>
    <w:rsid w:val="003469B3"/>
    <w:rsid w:val="00347279"/>
    <w:rsid w:val="00356075"/>
    <w:rsid w:val="00356178"/>
    <w:rsid w:val="0035784E"/>
    <w:rsid w:val="00362747"/>
    <w:rsid w:val="003660ED"/>
    <w:rsid w:val="00367687"/>
    <w:rsid w:val="003679CB"/>
    <w:rsid w:val="00367D36"/>
    <w:rsid w:val="0037474F"/>
    <w:rsid w:val="003750BF"/>
    <w:rsid w:val="00387774"/>
    <w:rsid w:val="00387C6C"/>
    <w:rsid w:val="00393967"/>
    <w:rsid w:val="00394434"/>
    <w:rsid w:val="003A00FF"/>
    <w:rsid w:val="003A1925"/>
    <w:rsid w:val="003A45C5"/>
    <w:rsid w:val="003A61A3"/>
    <w:rsid w:val="003B0550"/>
    <w:rsid w:val="003B1D55"/>
    <w:rsid w:val="003B479A"/>
    <w:rsid w:val="003B4F0C"/>
    <w:rsid w:val="003B4F70"/>
    <w:rsid w:val="003B694F"/>
    <w:rsid w:val="003B6B33"/>
    <w:rsid w:val="003B779F"/>
    <w:rsid w:val="003B7D3A"/>
    <w:rsid w:val="003C401C"/>
    <w:rsid w:val="003C77C8"/>
    <w:rsid w:val="003D25E2"/>
    <w:rsid w:val="003D2630"/>
    <w:rsid w:val="003D35D6"/>
    <w:rsid w:val="003D5374"/>
    <w:rsid w:val="003D63E9"/>
    <w:rsid w:val="003D7A03"/>
    <w:rsid w:val="003E42E5"/>
    <w:rsid w:val="003E4FCF"/>
    <w:rsid w:val="003E75AB"/>
    <w:rsid w:val="003F171C"/>
    <w:rsid w:val="003F356F"/>
    <w:rsid w:val="003F46D1"/>
    <w:rsid w:val="003F5634"/>
    <w:rsid w:val="003F57BD"/>
    <w:rsid w:val="003F5C5D"/>
    <w:rsid w:val="003F63E3"/>
    <w:rsid w:val="003F65DE"/>
    <w:rsid w:val="00402F02"/>
    <w:rsid w:val="0040333B"/>
    <w:rsid w:val="004063A7"/>
    <w:rsid w:val="00412FC5"/>
    <w:rsid w:val="0041375E"/>
    <w:rsid w:val="00413C8E"/>
    <w:rsid w:val="004143B8"/>
    <w:rsid w:val="004155EC"/>
    <w:rsid w:val="00417AD3"/>
    <w:rsid w:val="00417BAE"/>
    <w:rsid w:val="00422276"/>
    <w:rsid w:val="004225A0"/>
    <w:rsid w:val="004242F1"/>
    <w:rsid w:val="00426BD7"/>
    <w:rsid w:val="004277D3"/>
    <w:rsid w:val="00427BDC"/>
    <w:rsid w:val="004300C7"/>
    <w:rsid w:val="00430107"/>
    <w:rsid w:val="00430887"/>
    <w:rsid w:val="004331A7"/>
    <w:rsid w:val="00436D8F"/>
    <w:rsid w:val="00441A8C"/>
    <w:rsid w:val="004432A1"/>
    <w:rsid w:val="00445A00"/>
    <w:rsid w:val="00451B0F"/>
    <w:rsid w:val="00455276"/>
    <w:rsid w:val="0045641E"/>
    <w:rsid w:val="004567F6"/>
    <w:rsid w:val="0045769F"/>
    <w:rsid w:val="0046201D"/>
    <w:rsid w:val="0046336C"/>
    <w:rsid w:val="004675FA"/>
    <w:rsid w:val="00470ACE"/>
    <w:rsid w:val="00470B5C"/>
    <w:rsid w:val="00471D8F"/>
    <w:rsid w:val="00475DFB"/>
    <w:rsid w:val="004761A5"/>
    <w:rsid w:val="00477A3F"/>
    <w:rsid w:val="004847EC"/>
    <w:rsid w:val="00484AF8"/>
    <w:rsid w:val="00485B98"/>
    <w:rsid w:val="00486159"/>
    <w:rsid w:val="00487FBD"/>
    <w:rsid w:val="00494988"/>
    <w:rsid w:val="00495A6E"/>
    <w:rsid w:val="004B3D8A"/>
    <w:rsid w:val="004C165C"/>
    <w:rsid w:val="004C2EE3"/>
    <w:rsid w:val="004C484D"/>
    <w:rsid w:val="004C5893"/>
    <w:rsid w:val="004D1CFF"/>
    <w:rsid w:val="004D4059"/>
    <w:rsid w:val="004D470F"/>
    <w:rsid w:val="004D4E84"/>
    <w:rsid w:val="004D7A73"/>
    <w:rsid w:val="004E2912"/>
    <w:rsid w:val="004E307C"/>
    <w:rsid w:val="004E3533"/>
    <w:rsid w:val="004E4A22"/>
    <w:rsid w:val="004E678E"/>
    <w:rsid w:val="004E7973"/>
    <w:rsid w:val="004E7FCE"/>
    <w:rsid w:val="004F5086"/>
    <w:rsid w:val="00502230"/>
    <w:rsid w:val="005052CD"/>
    <w:rsid w:val="00506CC0"/>
    <w:rsid w:val="00507541"/>
    <w:rsid w:val="00511968"/>
    <w:rsid w:val="00515321"/>
    <w:rsid w:val="00516FEE"/>
    <w:rsid w:val="005214B9"/>
    <w:rsid w:val="0052519A"/>
    <w:rsid w:val="00536BA6"/>
    <w:rsid w:val="0054076D"/>
    <w:rsid w:val="00543A9A"/>
    <w:rsid w:val="00555533"/>
    <w:rsid w:val="0055614C"/>
    <w:rsid w:val="00561956"/>
    <w:rsid w:val="00566D06"/>
    <w:rsid w:val="00570D8E"/>
    <w:rsid w:val="00573107"/>
    <w:rsid w:val="0057363F"/>
    <w:rsid w:val="00575F3A"/>
    <w:rsid w:val="00576201"/>
    <w:rsid w:val="00582C33"/>
    <w:rsid w:val="00586634"/>
    <w:rsid w:val="00594A52"/>
    <w:rsid w:val="005968AB"/>
    <w:rsid w:val="005A3BB0"/>
    <w:rsid w:val="005A72A2"/>
    <w:rsid w:val="005A7F09"/>
    <w:rsid w:val="005B2CE2"/>
    <w:rsid w:val="005B35F4"/>
    <w:rsid w:val="005B5A9A"/>
    <w:rsid w:val="005B5CA5"/>
    <w:rsid w:val="005C13C8"/>
    <w:rsid w:val="005C2E48"/>
    <w:rsid w:val="005C4076"/>
    <w:rsid w:val="005C6F94"/>
    <w:rsid w:val="005C78F1"/>
    <w:rsid w:val="005D4245"/>
    <w:rsid w:val="005E0F7D"/>
    <w:rsid w:val="005E14C2"/>
    <w:rsid w:val="005F236C"/>
    <w:rsid w:val="00601152"/>
    <w:rsid w:val="00602829"/>
    <w:rsid w:val="00602D0C"/>
    <w:rsid w:val="00606903"/>
    <w:rsid w:val="00607BA5"/>
    <w:rsid w:val="00607BF2"/>
    <w:rsid w:val="00611360"/>
    <w:rsid w:val="0061180A"/>
    <w:rsid w:val="00614160"/>
    <w:rsid w:val="00617EAF"/>
    <w:rsid w:val="00625422"/>
    <w:rsid w:val="00626EB6"/>
    <w:rsid w:val="006276B2"/>
    <w:rsid w:val="00630A8D"/>
    <w:rsid w:val="00631B75"/>
    <w:rsid w:val="00634606"/>
    <w:rsid w:val="006353A3"/>
    <w:rsid w:val="0063666D"/>
    <w:rsid w:val="00640A70"/>
    <w:rsid w:val="00643D2D"/>
    <w:rsid w:val="00644B72"/>
    <w:rsid w:val="00645741"/>
    <w:rsid w:val="00646C7F"/>
    <w:rsid w:val="0064774D"/>
    <w:rsid w:val="00652C23"/>
    <w:rsid w:val="0065448C"/>
    <w:rsid w:val="0065459C"/>
    <w:rsid w:val="00655D03"/>
    <w:rsid w:val="006608D9"/>
    <w:rsid w:val="006615A9"/>
    <w:rsid w:val="00663C40"/>
    <w:rsid w:val="00664E6D"/>
    <w:rsid w:val="006670DB"/>
    <w:rsid w:val="00670B6C"/>
    <w:rsid w:val="00674437"/>
    <w:rsid w:val="00677572"/>
    <w:rsid w:val="00680FDD"/>
    <w:rsid w:val="0068108F"/>
    <w:rsid w:val="006823D4"/>
    <w:rsid w:val="00683388"/>
    <w:rsid w:val="00683681"/>
    <w:rsid w:val="00683F84"/>
    <w:rsid w:val="0068656E"/>
    <w:rsid w:val="00687690"/>
    <w:rsid w:val="00696067"/>
    <w:rsid w:val="0069765B"/>
    <w:rsid w:val="00697CCA"/>
    <w:rsid w:val="006A511D"/>
    <w:rsid w:val="006A6A81"/>
    <w:rsid w:val="006A7CFE"/>
    <w:rsid w:val="006B0109"/>
    <w:rsid w:val="006B1827"/>
    <w:rsid w:val="006B244F"/>
    <w:rsid w:val="006B2B8F"/>
    <w:rsid w:val="006B4E6A"/>
    <w:rsid w:val="006B566E"/>
    <w:rsid w:val="006B58EE"/>
    <w:rsid w:val="006C178F"/>
    <w:rsid w:val="006C1D4F"/>
    <w:rsid w:val="006C75DA"/>
    <w:rsid w:val="006C7D95"/>
    <w:rsid w:val="006D6C26"/>
    <w:rsid w:val="006E0BE6"/>
    <w:rsid w:val="006E1B2C"/>
    <w:rsid w:val="006E254F"/>
    <w:rsid w:val="006E2D35"/>
    <w:rsid w:val="006E41C1"/>
    <w:rsid w:val="006E697B"/>
    <w:rsid w:val="006F50CA"/>
    <w:rsid w:val="006F52D1"/>
    <w:rsid w:val="006F5EE9"/>
    <w:rsid w:val="006F7393"/>
    <w:rsid w:val="0070224F"/>
    <w:rsid w:val="00705A27"/>
    <w:rsid w:val="007115F7"/>
    <w:rsid w:val="00712EA4"/>
    <w:rsid w:val="00714728"/>
    <w:rsid w:val="007211F3"/>
    <w:rsid w:val="0072419C"/>
    <w:rsid w:val="007243D4"/>
    <w:rsid w:val="00727F02"/>
    <w:rsid w:val="00733257"/>
    <w:rsid w:val="007354C7"/>
    <w:rsid w:val="00735A43"/>
    <w:rsid w:val="00740A1D"/>
    <w:rsid w:val="00740A4C"/>
    <w:rsid w:val="007440FE"/>
    <w:rsid w:val="00747F80"/>
    <w:rsid w:val="00753840"/>
    <w:rsid w:val="00753C44"/>
    <w:rsid w:val="00754A4A"/>
    <w:rsid w:val="0076360B"/>
    <w:rsid w:val="00764BD9"/>
    <w:rsid w:val="00767EA6"/>
    <w:rsid w:val="00770151"/>
    <w:rsid w:val="00773E7D"/>
    <w:rsid w:val="0078060D"/>
    <w:rsid w:val="00780842"/>
    <w:rsid w:val="007819B5"/>
    <w:rsid w:val="00785689"/>
    <w:rsid w:val="00785848"/>
    <w:rsid w:val="007907BC"/>
    <w:rsid w:val="007936CA"/>
    <w:rsid w:val="00793C96"/>
    <w:rsid w:val="0079576E"/>
    <w:rsid w:val="00796A9A"/>
    <w:rsid w:val="0079754B"/>
    <w:rsid w:val="00797D73"/>
    <w:rsid w:val="007A1E6D"/>
    <w:rsid w:val="007A2DAA"/>
    <w:rsid w:val="007A2E81"/>
    <w:rsid w:val="007A5A4D"/>
    <w:rsid w:val="007B0EB2"/>
    <w:rsid w:val="007B1400"/>
    <w:rsid w:val="007B2085"/>
    <w:rsid w:val="007B47F5"/>
    <w:rsid w:val="007B4F13"/>
    <w:rsid w:val="007B54F6"/>
    <w:rsid w:val="007C42C9"/>
    <w:rsid w:val="007C4381"/>
    <w:rsid w:val="007C4745"/>
    <w:rsid w:val="007C6EB3"/>
    <w:rsid w:val="007D207D"/>
    <w:rsid w:val="007D3327"/>
    <w:rsid w:val="007D580A"/>
    <w:rsid w:val="007D77ED"/>
    <w:rsid w:val="007E0763"/>
    <w:rsid w:val="007E0EC6"/>
    <w:rsid w:val="007E0FDA"/>
    <w:rsid w:val="007E313E"/>
    <w:rsid w:val="007E3E6A"/>
    <w:rsid w:val="007E436A"/>
    <w:rsid w:val="007F11BF"/>
    <w:rsid w:val="007F467D"/>
    <w:rsid w:val="007F7161"/>
    <w:rsid w:val="00810B6F"/>
    <w:rsid w:val="00810E97"/>
    <w:rsid w:val="00811341"/>
    <w:rsid w:val="00811606"/>
    <w:rsid w:val="00811C29"/>
    <w:rsid w:val="00820E9C"/>
    <w:rsid w:val="00822CE0"/>
    <w:rsid w:val="00835319"/>
    <w:rsid w:val="008370D0"/>
    <w:rsid w:val="00837492"/>
    <w:rsid w:val="00837723"/>
    <w:rsid w:val="00841AB1"/>
    <w:rsid w:val="0084703B"/>
    <w:rsid w:val="00851E1B"/>
    <w:rsid w:val="00852094"/>
    <w:rsid w:val="00854722"/>
    <w:rsid w:val="008569DA"/>
    <w:rsid w:val="008570F3"/>
    <w:rsid w:val="00860023"/>
    <w:rsid w:val="0086204D"/>
    <w:rsid w:val="00864329"/>
    <w:rsid w:val="008719B3"/>
    <w:rsid w:val="0087290C"/>
    <w:rsid w:val="008757D1"/>
    <w:rsid w:val="008833EC"/>
    <w:rsid w:val="00886D12"/>
    <w:rsid w:val="00886F4B"/>
    <w:rsid w:val="008956CD"/>
    <w:rsid w:val="008960B3"/>
    <w:rsid w:val="00897FB4"/>
    <w:rsid w:val="008A2AAE"/>
    <w:rsid w:val="008A4F44"/>
    <w:rsid w:val="008A4FD3"/>
    <w:rsid w:val="008B139E"/>
    <w:rsid w:val="008B3CC4"/>
    <w:rsid w:val="008B68CC"/>
    <w:rsid w:val="008C0DCF"/>
    <w:rsid w:val="008C68F1"/>
    <w:rsid w:val="008C7504"/>
    <w:rsid w:val="008C79ED"/>
    <w:rsid w:val="008D189A"/>
    <w:rsid w:val="008D1DBD"/>
    <w:rsid w:val="008D6822"/>
    <w:rsid w:val="008E03B6"/>
    <w:rsid w:val="008E0A46"/>
    <w:rsid w:val="008E179E"/>
    <w:rsid w:val="008E2C04"/>
    <w:rsid w:val="008E391E"/>
    <w:rsid w:val="008E3CC7"/>
    <w:rsid w:val="008E4A26"/>
    <w:rsid w:val="008E54EA"/>
    <w:rsid w:val="008E7550"/>
    <w:rsid w:val="008F688E"/>
    <w:rsid w:val="008F6D1C"/>
    <w:rsid w:val="008F7B7C"/>
    <w:rsid w:val="008F7DB9"/>
    <w:rsid w:val="009037F3"/>
    <w:rsid w:val="009072FF"/>
    <w:rsid w:val="0090791D"/>
    <w:rsid w:val="00907C0D"/>
    <w:rsid w:val="009103BA"/>
    <w:rsid w:val="009116FB"/>
    <w:rsid w:val="00913241"/>
    <w:rsid w:val="00914E2E"/>
    <w:rsid w:val="00915916"/>
    <w:rsid w:val="0092008A"/>
    <w:rsid w:val="00921803"/>
    <w:rsid w:val="00921FC2"/>
    <w:rsid w:val="00926503"/>
    <w:rsid w:val="00926943"/>
    <w:rsid w:val="00926F3A"/>
    <w:rsid w:val="009349A1"/>
    <w:rsid w:val="00940F39"/>
    <w:rsid w:val="00941E7D"/>
    <w:rsid w:val="00946707"/>
    <w:rsid w:val="00946CC3"/>
    <w:rsid w:val="00950EF0"/>
    <w:rsid w:val="009519C2"/>
    <w:rsid w:val="009524E2"/>
    <w:rsid w:val="00953053"/>
    <w:rsid w:val="00953F39"/>
    <w:rsid w:val="00954FF6"/>
    <w:rsid w:val="00956256"/>
    <w:rsid w:val="009577F6"/>
    <w:rsid w:val="00961375"/>
    <w:rsid w:val="00965155"/>
    <w:rsid w:val="00970F12"/>
    <w:rsid w:val="009720FC"/>
    <w:rsid w:val="009726D8"/>
    <w:rsid w:val="009731C3"/>
    <w:rsid w:val="00974714"/>
    <w:rsid w:val="00975AE9"/>
    <w:rsid w:val="00996291"/>
    <w:rsid w:val="00997232"/>
    <w:rsid w:val="009A242E"/>
    <w:rsid w:val="009A2B95"/>
    <w:rsid w:val="009B0C2A"/>
    <w:rsid w:val="009B500E"/>
    <w:rsid w:val="009B5248"/>
    <w:rsid w:val="009B5725"/>
    <w:rsid w:val="009B6365"/>
    <w:rsid w:val="009C176D"/>
    <w:rsid w:val="009C29A8"/>
    <w:rsid w:val="009C47E1"/>
    <w:rsid w:val="009C489C"/>
    <w:rsid w:val="009C4955"/>
    <w:rsid w:val="009D4CAB"/>
    <w:rsid w:val="009D5EF9"/>
    <w:rsid w:val="009D7308"/>
    <w:rsid w:val="009E387B"/>
    <w:rsid w:val="009E3D2A"/>
    <w:rsid w:val="009E4211"/>
    <w:rsid w:val="009E522C"/>
    <w:rsid w:val="009F1604"/>
    <w:rsid w:val="009F1E70"/>
    <w:rsid w:val="009F274B"/>
    <w:rsid w:val="009F5655"/>
    <w:rsid w:val="009F6385"/>
    <w:rsid w:val="009F7179"/>
    <w:rsid w:val="009F76DB"/>
    <w:rsid w:val="009F7AC6"/>
    <w:rsid w:val="00A00FF4"/>
    <w:rsid w:val="00A01DA6"/>
    <w:rsid w:val="00A07F99"/>
    <w:rsid w:val="00A12284"/>
    <w:rsid w:val="00A14E60"/>
    <w:rsid w:val="00A156F2"/>
    <w:rsid w:val="00A20495"/>
    <w:rsid w:val="00A20FE9"/>
    <w:rsid w:val="00A25BA4"/>
    <w:rsid w:val="00A2699C"/>
    <w:rsid w:val="00A3019B"/>
    <w:rsid w:val="00A302EC"/>
    <w:rsid w:val="00A32C3B"/>
    <w:rsid w:val="00A36E4A"/>
    <w:rsid w:val="00A43183"/>
    <w:rsid w:val="00A4478E"/>
    <w:rsid w:val="00A45F4F"/>
    <w:rsid w:val="00A46397"/>
    <w:rsid w:val="00A50316"/>
    <w:rsid w:val="00A52D62"/>
    <w:rsid w:val="00A5778C"/>
    <w:rsid w:val="00A600A9"/>
    <w:rsid w:val="00A62947"/>
    <w:rsid w:val="00A65058"/>
    <w:rsid w:val="00A664C3"/>
    <w:rsid w:val="00A70F72"/>
    <w:rsid w:val="00A71D4D"/>
    <w:rsid w:val="00A7255B"/>
    <w:rsid w:val="00A74FBF"/>
    <w:rsid w:val="00A82621"/>
    <w:rsid w:val="00A8543D"/>
    <w:rsid w:val="00AA1225"/>
    <w:rsid w:val="00AA29D5"/>
    <w:rsid w:val="00AA529B"/>
    <w:rsid w:val="00AA55B7"/>
    <w:rsid w:val="00AA5B9E"/>
    <w:rsid w:val="00AB2407"/>
    <w:rsid w:val="00AB53DF"/>
    <w:rsid w:val="00AB61E7"/>
    <w:rsid w:val="00AB6ABE"/>
    <w:rsid w:val="00AC496C"/>
    <w:rsid w:val="00AD3725"/>
    <w:rsid w:val="00AD5B4D"/>
    <w:rsid w:val="00AD7DC5"/>
    <w:rsid w:val="00AE1F8F"/>
    <w:rsid w:val="00AE7581"/>
    <w:rsid w:val="00AF1C7E"/>
    <w:rsid w:val="00AF20F4"/>
    <w:rsid w:val="00AF2532"/>
    <w:rsid w:val="00AF6795"/>
    <w:rsid w:val="00B06C80"/>
    <w:rsid w:val="00B07E5C"/>
    <w:rsid w:val="00B11FE3"/>
    <w:rsid w:val="00B13543"/>
    <w:rsid w:val="00B135A7"/>
    <w:rsid w:val="00B15143"/>
    <w:rsid w:val="00B15D8B"/>
    <w:rsid w:val="00B24A4C"/>
    <w:rsid w:val="00B255DB"/>
    <w:rsid w:val="00B330A6"/>
    <w:rsid w:val="00B335FF"/>
    <w:rsid w:val="00B36A4D"/>
    <w:rsid w:val="00B507F0"/>
    <w:rsid w:val="00B509C2"/>
    <w:rsid w:val="00B50D4A"/>
    <w:rsid w:val="00B51863"/>
    <w:rsid w:val="00B52026"/>
    <w:rsid w:val="00B52412"/>
    <w:rsid w:val="00B55976"/>
    <w:rsid w:val="00B55F6D"/>
    <w:rsid w:val="00B63254"/>
    <w:rsid w:val="00B66AD7"/>
    <w:rsid w:val="00B66BEA"/>
    <w:rsid w:val="00B6783A"/>
    <w:rsid w:val="00B70EAA"/>
    <w:rsid w:val="00B72C03"/>
    <w:rsid w:val="00B745D4"/>
    <w:rsid w:val="00B75930"/>
    <w:rsid w:val="00B811F7"/>
    <w:rsid w:val="00B8310D"/>
    <w:rsid w:val="00B8436E"/>
    <w:rsid w:val="00B847FE"/>
    <w:rsid w:val="00B906AB"/>
    <w:rsid w:val="00B950B5"/>
    <w:rsid w:val="00B9780F"/>
    <w:rsid w:val="00B97E32"/>
    <w:rsid w:val="00BA5DC6"/>
    <w:rsid w:val="00BA6196"/>
    <w:rsid w:val="00BB396B"/>
    <w:rsid w:val="00BC1049"/>
    <w:rsid w:val="00BC6D8C"/>
    <w:rsid w:val="00BC73B6"/>
    <w:rsid w:val="00BC7C21"/>
    <w:rsid w:val="00BD2A3B"/>
    <w:rsid w:val="00BD42B3"/>
    <w:rsid w:val="00BD5400"/>
    <w:rsid w:val="00BD7924"/>
    <w:rsid w:val="00BE100E"/>
    <w:rsid w:val="00BE56BC"/>
    <w:rsid w:val="00BE574F"/>
    <w:rsid w:val="00BE683B"/>
    <w:rsid w:val="00BF3CF5"/>
    <w:rsid w:val="00BF779E"/>
    <w:rsid w:val="00BF7FE5"/>
    <w:rsid w:val="00C008B6"/>
    <w:rsid w:val="00C03129"/>
    <w:rsid w:val="00C04338"/>
    <w:rsid w:val="00C059A0"/>
    <w:rsid w:val="00C12273"/>
    <w:rsid w:val="00C15A9B"/>
    <w:rsid w:val="00C15F84"/>
    <w:rsid w:val="00C229E7"/>
    <w:rsid w:val="00C23DE0"/>
    <w:rsid w:val="00C24219"/>
    <w:rsid w:val="00C249C4"/>
    <w:rsid w:val="00C264DD"/>
    <w:rsid w:val="00C32C3B"/>
    <w:rsid w:val="00C34006"/>
    <w:rsid w:val="00C34B65"/>
    <w:rsid w:val="00C34D96"/>
    <w:rsid w:val="00C36B4C"/>
    <w:rsid w:val="00C3750B"/>
    <w:rsid w:val="00C4169F"/>
    <w:rsid w:val="00C426B1"/>
    <w:rsid w:val="00C57085"/>
    <w:rsid w:val="00C632DD"/>
    <w:rsid w:val="00C639D5"/>
    <w:rsid w:val="00C66160"/>
    <w:rsid w:val="00C666E1"/>
    <w:rsid w:val="00C66801"/>
    <w:rsid w:val="00C71B41"/>
    <w:rsid w:val="00C721AC"/>
    <w:rsid w:val="00C76CE3"/>
    <w:rsid w:val="00C8142F"/>
    <w:rsid w:val="00C852A2"/>
    <w:rsid w:val="00C86CEE"/>
    <w:rsid w:val="00C90D6A"/>
    <w:rsid w:val="00C9424A"/>
    <w:rsid w:val="00C96D7C"/>
    <w:rsid w:val="00CA247E"/>
    <w:rsid w:val="00CA341C"/>
    <w:rsid w:val="00CA6D21"/>
    <w:rsid w:val="00CB2A75"/>
    <w:rsid w:val="00CB55C9"/>
    <w:rsid w:val="00CB74FB"/>
    <w:rsid w:val="00CC0E09"/>
    <w:rsid w:val="00CC268F"/>
    <w:rsid w:val="00CC3F37"/>
    <w:rsid w:val="00CC5839"/>
    <w:rsid w:val="00CC72B6"/>
    <w:rsid w:val="00CD1BC5"/>
    <w:rsid w:val="00CD606B"/>
    <w:rsid w:val="00CD67E2"/>
    <w:rsid w:val="00CE08D9"/>
    <w:rsid w:val="00CE2432"/>
    <w:rsid w:val="00CF127C"/>
    <w:rsid w:val="00CF16C0"/>
    <w:rsid w:val="00CF24DE"/>
    <w:rsid w:val="00CF27EA"/>
    <w:rsid w:val="00CF5DC7"/>
    <w:rsid w:val="00CF73BF"/>
    <w:rsid w:val="00D0218D"/>
    <w:rsid w:val="00D055BA"/>
    <w:rsid w:val="00D1356E"/>
    <w:rsid w:val="00D14588"/>
    <w:rsid w:val="00D14A7D"/>
    <w:rsid w:val="00D15366"/>
    <w:rsid w:val="00D16B71"/>
    <w:rsid w:val="00D21EA8"/>
    <w:rsid w:val="00D238BF"/>
    <w:rsid w:val="00D25B3B"/>
    <w:rsid w:val="00D25FB5"/>
    <w:rsid w:val="00D307D3"/>
    <w:rsid w:val="00D30F6E"/>
    <w:rsid w:val="00D31C94"/>
    <w:rsid w:val="00D34F0F"/>
    <w:rsid w:val="00D355D8"/>
    <w:rsid w:val="00D3666D"/>
    <w:rsid w:val="00D36CB2"/>
    <w:rsid w:val="00D417C3"/>
    <w:rsid w:val="00D41FA1"/>
    <w:rsid w:val="00D42DC5"/>
    <w:rsid w:val="00D4371C"/>
    <w:rsid w:val="00D44223"/>
    <w:rsid w:val="00D51795"/>
    <w:rsid w:val="00D527BC"/>
    <w:rsid w:val="00D53E17"/>
    <w:rsid w:val="00D541FE"/>
    <w:rsid w:val="00D57152"/>
    <w:rsid w:val="00D6093E"/>
    <w:rsid w:val="00D61D31"/>
    <w:rsid w:val="00D6306F"/>
    <w:rsid w:val="00D63DA9"/>
    <w:rsid w:val="00D64ADC"/>
    <w:rsid w:val="00D65452"/>
    <w:rsid w:val="00D65917"/>
    <w:rsid w:val="00D66668"/>
    <w:rsid w:val="00D673E0"/>
    <w:rsid w:val="00D71597"/>
    <w:rsid w:val="00D719CB"/>
    <w:rsid w:val="00D7301A"/>
    <w:rsid w:val="00D73F4B"/>
    <w:rsid w:val="00D755BD"/>
    <w:rsid w:val="00D76DAA"/>
    <w:rsid w:val="00D80674"/>
    <w:rsid w:val="00D832F4"/>
    <w:rsid w:val="00D8636D"/>
    <w:rsid w:val="00D915A0"/>
    <w:rsid w:val="00DA05F7"/>
    <w:rsid w:val="00DA2529"/>
    <w:rsid w:val="00DA2A09"/>
    <w:rsid w:val="00DA2CCD"/>
    <w:rsid w:val="00DA3D56"/>
    <w:rsid w:val="00DA43FD"/>
    <w:rsid w:val="00DA4884"/>
    <w:rsid w:val="00DA4AFD"/>
    <w:rsid w:val="00DA5978"/>
    <w:rsid w:val="00DB0645"/>
    <w:rsid w:val="00DB0817"/>
    <w:rsid w:val="00DB130A"/>
    <w:rsid w:val="00DB2EBB"/>
    <w:rsid w:val="00DB39C8"/>
    <w:rsid w:val="00DB757E"/>
    <w:rsid w:val="00DB7CBF"/>
    <w:rsid w:val="00DC10A1"/>
    <w:rsid w:val="00DC2D01"/>
    <w:rsid w:val="00DC32F7"/>
    <w:rsid w:val="00DC655F"/>
    <w:rsid w:val="00DD0B59"/>
    <w:rsid w:val="00DD60FC"/>
    <w:rsid w:val="00DD7EBD"/>
    <w:rsid w:val="00DF1A33"/>
    <w:rsid w:val="00DF2CCB"/>
    <w:rsid w:val="00DF3E7E"/>
    <w:rsid w:val="00DF4AF0"/>
    <w:rsid w:val="00DF62B6"/>
    <w:rsid w:val="00E05B99"/>
    <w:rsid w:val="00E06CA5"/>
    <w:rsid w:val="00E07225"/>
    <w:rsid w:val="00E12EE0"/>
    <w:rsid w:val="00E1644A"/>
    <w:rsid w:val="00E26B80"/>
    <w:rsid w:val="00E30A74"/>
    <w:rsid w:val="00E3186B"/>
    <w:rsid w:val="00E32502"/>
    <w:rsid w:val="00E34C87"/>
    <w:rsid w:val="00E366CC"/>
    <w:rsid w:val="00E41BA3"/>
    <w:rsid w:val="00E42AF6"/>
    <w:rsid w:val="00E46299"/>
    <w:rsid w:val="00E47800"/>
    <w:rsid w:val="00E51000"/>
    <w:rsid w:val="00E5335B"/>
    <w:rsid w:val="00E53664"/>
    <w:rsid w:val="00E5409F"/>
    <w:rsid w:val="00E54281"/>
    <w:rsid w:val="00E54F3D"/>
    <w:rsid w:val="00E57D0A"/>
    <w:rsid w:val="00E60A09"/>
    <w:rsid w:val="00E64AC1"/>
    <w:rsid w:val="00E6676A"/>
    <w:rsid w:val="00E76DE1"/>
    <w:rsid w:val="00E77DF3"/>
    <w:rsid w:val="00E84E56"/>
    <w:rsid w:val="00E851E4"/>
    <w:rsid w:val="00E8748D"/>
    <w:rsid w:val="00E9218A"/>
    <w:rsid w:val="00E92217"/>
    <w:rsid w:val="00E92264"/>
    <w:rsid w:val="00E92FAC"/>
    <w:rsid w:val="00E95794"/>
    <w:rsid w:val="00EA5E56"/>
    <w:rsid w:val="00EB5CBF"/>
    <w:rsid w:val="00EB637A"/>
    <w:rsid w:val="00EC646E"/>
    <w:rsid w:val="00EC7733"/>
    <w:rsid w:val="00ED29DD"/>
    <w:rsid w:val="00ED3592"/>
    <w:rsid w:val="00ED6052"/>
    <w:rsid w:val="00ED6420"/>
    <w:rsid w:val="00EE6488"/>
    <w:rsid w:val="00EE7861"/>
    <w:rsid w:val="00F021FA"/>
    <w:rsid w:val="00F02DED"/>
    <w:rsid w:val="00F04BC5"/>
    <w:rsid w:val="00F0732A"/>
    <w:rsid w:val="00F11E96"/>
    <w:rsid w:val="00F13A14"/>
    <w:rsid w:val="00F171C3"/>
    <w:rsid w:val="00F207D1"/>
    <w:rsid w:val="00F21F9E"/>
    <w:rsid w:val="00F2367A"/>
    <w:rsid w:val="00F246B6"/>
    <w:rsid w:val="00F25817"/>
    <w:rsid w:val="00F2680C"/>
    <w:rsid w:val="00F27D66"/>
    <w:rsid w:val="00F30500"/>
    <w:rsid w:val="00F31716"/>
    <w:rsid w:val="00F31E39"/>
    <w:rsid w:val="00F3609D"/>
    <w:rsid w:val="00F41DD0"/>
    <w:rsid w:val="00F42A21"/>
    <w:rsid w:val="00F439EA"/>
    <w:rsid w:val="00F445B4"/>
    <w:rsid w:val="00F51C7F"/>
    <w:rsid w:val="00F55A61"/>
    <w:rsid w:val="00F56579"/>
    <w:rsid w:val="00F62E97"/>
    <w:rsid w:val="00F63CA5"/>
    <w:rsid w:val="00F64209"/>
    <w:rsid w:val="00F667CB"/>
    <w:rsid w:val="00F67BE6"/>
    <w:rsid w:val="00F72534"/>
    <w:rsid w:val="00F75165"/>
    <w:rsid w:val="00F751BD"/>
    <w:rsid w:val="00F778D1"/>
    <w:rsid w:val="00F86787"/>
    <w:rsid w:val="00F867A2"/>
    <w:rsid w:val="00F91837"/>
    <w:rsid w:val="00F9287B"/>
    <w:rsid w:val="00F92A74"/>
    <w:rsid w:val="00F93BF5"/>
    <w:rsid w:val="00F97305"/>
    <w:rsid w:val="00FB23AD"/>
    <w:rsid w:val="00FB2412"/>
    <w:rsid w:val="00FB6825"/>
    <w:rsid w:val="00FB7209"/>
    <w:rsid w:val="00FD1709"/>
    <w:rsid w:val="00FD2538"/>
    <w:rsid w:val="00FD50C2"/>
    <w:rsid w:val="00FE0E20"/>
    <w:rsid w:val="00FE578B"/>
    <w:rsid w:val="00FF1B8D"/>
    <w:rsid w:val="00FF4439"/>
    <w:rsid w:val="00FF73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6AAF86"/>
  <w15:chartTrackingRefBased/>
  <w15:docId w15:val="{536E7B2A-B3A7-2C4B-BBAF-3B665353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45EB9"/>
    <w:pPr>
      <w:widowControl w:val="0"/>
    </w:pPr>
    <w:rPr>
      <w:snapToGrid w:val="0"/>
      <w:kern w:val="28"/>
      <w:sz w:val="22"/>
    </w:rPr>
  </w:style>
  <w:style w:type="paragraph" w:styleId="Heading1">
    <w:name w:val="heading 1"/>
    <w:basedOn w:val="Normal"/>
    <w:next w:val="ParaNum"/>
    <w:qFormat/>
    <w:rsid w:val="00245E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45EB9"/>
    <w:pPr>
      <w:keepNext/>
      <w:numPr>
        <w:ilvl w:val="1"/>
        <w:numId w:val="3"/>
      </w:numPr>
      <w:spacing w:after="120"/>
      <w:outlineLvl w:val="1"/>
    </w:pPr>
    <w:rPr>
      <w:b/>
    </w:rPr>
  </w:style>
  <w:style w:type="paragraph" w:styleId="Heading3">
    <w:name w:val="heading 3"/>
    <w:basedOn w:val="Normal"/>
    <w:next w:val="ParaNum"/>
    <w:qFormat/>
    <w:rsid w:val="00245EB9"/>
    <w:pPr>
      <w:keepNext/>
      <w:numPr>
        <w:ilvl w:val="2"/>
        <w:numId w:val="3"/>
      </w:numPr>
      <w:tabs>
        <w:tab w:val="left" w:pos="2160"/>
      </w:tabs>
      <w:spacing w:after="120"/>
      <w:outlineLvl w:val="2"/>
    </w:pPr>
    <w:rPr>
      <w:b/>
    </w:rPr>
  </w:style>
  <w:style w:type="paragraph" w:styleId="Heading4">
    <w:name w:val="heading 4"/>
    <w:basedOn w:val="Normal"/>
    <w:next w:val="ParaNum"/>
    <w:qFormat/>
    <w:rsid w:val="00245EB9"/>
    <w:pPr>
      <w:keepNext/>
      <w:numPr>
        <w:ilvl w:val="3"/>
        <w:numId w:val="3"/>
      </w:numPr>
      <w:tabs>
        <w:tab w:val="left" w:pos="2880"/>
      </w:tabs>
      <w:spacing w:after="120"/>
      <w:outlineLvl w:val="3"/>
    </w:pPr>
    <w:rPr>
      <w:b/>
    </w:rPr>
  </w:style>
  <w:style w:type="paragraph" w:styleId="Heading5">
    <w:name w:val="heading 5"/>
    <w:basedOn w:val="Normal"/>
    <w:next w:val="ParaNum"/>
    <w:qFormat/>
    <w:rsid w:val="00245EB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45EB9"/>
    <w:pPr>
      <w:numPr>
        <w:ilvl w:val="5"/>
        <w:numId w:val="3"/>
      </w:numPr>
      <w:tabs>
        <w:tab w:val="left" w:pos="4320"/>
      </w:tabs>
      <w:spacing w:after="120"/>
      <w:outlineLvl w:val="5"/>
    </w:pPr>
    <w:rPr>
      <w:b/>
    </w:rPr>
  </w:style>
  <w:style w:type="paragraph" w:styleId="Heading7">
    <w:name w:val="heading 7"/>
    <w:basedOn w:val="Normal"/>
    <w:next w:val="ParaNum"/>
    <w:qFormat/>
    <w:rsid w:val="00245EB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45EB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45E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45E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5EB9"/>
  </w:style>
  <w:style w:type="paragraph" w:customStyle="1" w:styleId="ParaNum">
    <w:name w:val="ParaNum"/>
    <w:basedOn w:val="Normal"/>
    <w:rsid w:val="00245EB9"/>
    <w:pPr>
      <w:numPr>
        <w:numId w:val="2"/>
      </w:numPr>
      <w:tabs>
        <w:tab w:val="clear" w:pos="1080"/>
        <w:tab w:val="num" w:pos="1440"/>
      </w:tabs>
      <w:spacing w:after="120"/>
    </w:pPr>
  </w:style>
  <w:style w:type="paragraph" w:styleId="EndnoteText">
    <w:name w:val="endnote text"/>
    <w:basedOn w:val="Normal"/>
    <w:semiHidden/>
    <w:rsid w:val="00245EB9"/>
    <w:rPr>
      <w:sz w:val="20"/>
    </w:rPr>
  </w:style>
  <w:style w:type="character" w:styleId="EndnoteReference">
    <w:name w:val="endnote reference"/>
    <w:semiHidden/>
    <w:rsid w:val="00245EB9"/>
    <w:rPr>
      <w:vertAlign w:val="superscript"/>
    </w:rPr>
  </w:style>
  <w:style w:type="paragraph" w:styleId="FootnoteText">
    <w:name w:val="footnote text"/>
    <w:link w:val="FootnoteTextChar"/>
    <w:rsid w:val="00245EB9"/>
    <w:pPr>
      <w:spacing w:after="120"/>
    </w:pPr>
  </w:style>
  <w:style w:type="character" w:styleId="FootnoteReference">
    <w:name w:val="footnote reference"/>
    <w:rsid w:val="00245EB9"/>
    <w:rPr>
      <w:rFonts w:ascii="Times New Roman" w:hAnsi="Times New Roman"/>
      <w:dstrike w:val="0"/>
      <w:color w:val="auto"/>
      <w:sz w:val="20"/>
      <w:vertAlign w:val="superscript"/>
    </w:rPr>
  </w:style>
  <w:style w:type="paragraph" w:styleId="TOC1">
    <w:name w:val="toc 1"/>
    <w:basedOn w:val="Normal"/>
    <w:next w:val="Normal"/>
    <w:semiHidden/>
    <w:rsid w:val="00245E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45EB9"/>
    <w:pPr>
      <w:tabs>
        <w:tab w:val="left" w:pos="720"/>
        <w:tab w:val="right" w:leader="dot" w:pos="9360"/>
      </w:tabs>
      <w:suppressAutoHyphens/>
      <w:ind w:left="720" w:right="720" w:hanging="360"/>
    </w:pPr>
    <w:rPr>
      <w:noProof/>
    </w:rPr>
  </w:style>
  <w:style w:type="paragraph" w:styleId="TOC3">
    <w:name w:val="toc 3"/>
    <w:basedOn w:val="Normal"/>
    <w:next w:val="Normal"/>
    <w:semiHidden/>
    <w:rsid w:val="00245E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45E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45E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45E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45E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45E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45E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45EB9"/>
    <w:pPr>
      <w:tabs>
        <w:tab w:val="right" w:pos="9360"/>
      </w:tabs>
      <w:suppressAutoHyphens/>
    </w:pPr>
  </w:style>
  <w:style w:type="character" w:customStyle="1" w:styleId="EquationCaption">
    <w:name w:val="_Equation Caption"/>
    <w:rsid w:val="00245EB9"/>
  </w:style>
  <w:style w:type="paragraph" w:styleId="Header">
    <w:name w:val="header"/>
    <w:basedOn w:val="Normal"/>
    <w:autoRedefine/>
    <w:rsid w:val="00245EB9"/>
    <w:pPr>
      <w:tabs>
        <w:tab w:val="center" w:pos="4680"/>
        <w:tab w:val="right" w:pos="9360"/>
      </w:tabs>
    </w:pPr>
    <w:rPr>
      <w:b/>
    </w:rPr>
  </w:style>
  <w:style w:type="paragraph" w:styleId="Footer">
    <w:name w:val="footer"/>
    <w:basedOn w:val="Normal"/>
    <w:link w:val="FooterChar"/>
    <w:uiPriority w:val="99"/>
    <w:rsid w:val="00245EB9"/>
    <w:pPr>
      <w:tabs>
        <w:tab w:val="center" w:pos="4320"/>
        <w:tab w:val="right" w:pos="8640"/>
      </w:tabs>
    </w:pPr>
  </w:style>
  <w:style w:type="character" w:styleId="PageNumber">
    <w:name w:val="page number"/>
    <w:basedOn w:val="DefaultParagraphFont"/>
    <w:rsid w:val="00245EB9"/>
  </w:style>
  <w:style w:type="paragraph" w:styleId="BlockText">
    <w:name w:val="Block Text"/>
    <w:basedOn w:val="Normal"/>
    <w:rsid w:val="00245EB9"/>
    <w:pPr>
      <w:spacing w:after="240"/>
      <w:ind w:left="1440" w:right="1440"/>
    </w:pPr>
  </w:style>
  <w:style w:type="paragraph" w:customStyle="1" w:styleId="Paratitle">
    <w:name w:val="Para title"/>
    <w:basedOn w:val="Normal"/>
    <w:rsid w:val="00245EB9"/>
    <w:pPr>
      <w:tabs>
        <w:tab w:val="center" w:pos="9270"/>
      </w:tabs>
      <w:spacing w:after="240"/>
    </w:pPr>
    <w:rPr>
      <w:spacing w:val="-2"/>
    </w:rPr>
  </w:style>
  <w:style w:type="paragraph" w:customStyle="1" w:styleId="Bullet">
    <w:name w:val="Bullet"/>
    <w:basedOn w:val="Normal"/>
    <w:rsid w:val="00245EB9"/>
    <w:pPr>
      <w:tabs>
        <w:tab w:val="left" w:pos="2160"/>
      </w:tabs>
      <w:spacing w:after="220"/>
      <w:ind w:left="2160" w:hanging="720"/>
    </w:pPr>
  </w:style>
  <w:style w:type="paragraph" w:customStyle="1" w:styleId="TableFormat">
    <w:name w:val="TableFormat"/>
    <w:basedOn w:val="Bullet"/>
    <w:rsid w:val="00245EB9"/>
    <w:pPr>
      <w:tabs>
        <w:tab w:val="clear" w:pos="2160"/>
        <w:tab w:val="left" w:pos="5040"/>
      </w:tabs>
      <w:ind w:left="5040" w:hanging="3600"/>
    </w:pPr>
  </w:style>
  <w:style w:type="paragraph" w:customStyle="1" w:styleId="TOCTitle">
    <w:name w:val="TOC Title"/>
    <w:basedOn w:val="Normal"/>
    <w:rsid w:val="00245E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45EB9"/>
    <w:pPr>
      <w:jc w:val="center"/>
    </w:pPr>
    <w:rPr>
      <w:rFonts w:ascii="Times New Roman Bold" w:hAnsi="Times New Roman Bold"/>
      <w:b/>
      <w:bCs/>
      <w:caps/>
      <w:szCs w:val="22"/>
    </w:rPr>
  </w:style>
  <w:style w:type="character" w:styleId="Hyperlink">
    <w:name w:val="Hyperlink"/>
    <w:rsid w:val="00245EB9"/>
    <w:rPr>
      <w:color w:val="0000FF"/>
      <w:u w:val="single"/>
    </w:rPr>
  </w:style>
  <w:style w:type="character" w:customStyle="1" w:styleId="FooterChar">
    <w:name w:val="Footer Char"/>
    <w:link w:val="Footer"/>
    <w:uiPriority w:val="99"/>
    <w:rsid w:val="00245EB9"/>
    <w:rPr>
      <w:snapToGrid w:val="0"/>
      <w:kern w:val="28"/>
      <w:sz w:val="22"/>
    </w:rPr>
  </w:style>
  <w:style w:type="character" w:styleId="CommentReference">
    <w:name w:val="annotation reference"/>
    <w:rsid w:val="00C12273"/>
    <w:rPr>
      <w:sz w:val="16"/>
      <w:szCs w:val="16"/>
    </w:rPr>
  </w:style>
  <w:style w:type="paragraph" w:styleId="CommentText">
    <w:name w:val="annotation text"/>
    <w:basedOn w:val="Normal"/>
    <w:link w:val="CommentTextChar"/>
    <w:rsid w:val="00C12273"/>
    <w:rPr>
      <w:sz w:val="20"/>
    </w:rPr>
  </w:style>
  <w:style w:type="character" w:customStyle="1" w:styleId="CommentTextChar">
    <w:name w:val="Comment Text Char"/>
    <w:link w:val="CommentText"/>
    <w:rsid w:val="00C12273"/>
    <w:rPr>
      <w:snapToGrid w:val="0"/>
      <w:kern w:val="28"/>
    </w:rPr>
  </w:style>
  <w:style w:type="paragraph" w:styleId="CommentSubject">
    <w:name w:val="annotation subject"/>
    <w:basedOn w:val="CommentText"/>
    <w:next w:val="CommentText"/>
    <w:link w:val="CommentSubjectChar"/>
    <w:rsid w:val="00C12273"/>
    <w:rPr>
      <w:b/>
      <w:bCs/>
    </w:rPr>
  </w:style>
  <w:style w:type="character" w:customStyle="1" w:styleId="CommentSubjectChar">
    <w:name w:val="Comment Subject Char"/>
    <w:link w:val="CommentSubject"/>
    <w:rsid w:val="00C12273"/>
    <w:rPr>
      <w:b/>
      <w:bCs/>
      <w:snapToGrid w:val="0"/>
      <w:kern w:val="28"/>
    </w:rPr>
  </w:style>
  <w:style w:type="character" w:customStyle="1" w:styleId="UnresolvedMention">
    <w:name w:val="Unresolved Mention"/>
    <w:basedOn w:val="DefaultParagraphFont"/>
    <w:uiPriority w:val="99"/>
    <w:semiHidden/>
    <w:unhideWhenUsed/>
    <w:rsid w:val="00A302EC"/>
    <w:rPr>
      <w:color w:val="605E5C"/>
      <w:shd w:val="clear" w:color="auto" w:fill="E1DFDD"/>
    </w:rPr>
  </w:style>
  <w:style w:type="character" w:styleId="FollowedHyperlink">
    <w:name w:val="FollowedHyperlink"/>
    <w:rsid w:val="00A302EC"/>
    <w:rPr>
      <w:color w:val="954F72"/>
      <w:u w:val="single"/>
    </w:rPr>
  </w:style>
  <w:style w:type="paragraph" w:styleId="BalloonText">
    <w:name w:val="Balloon Text"/>
    <w:basedOn w:val="Normal"/>
    <w:link w:val="BalloonTextChar"/>
    <w:rsid w:val="008833EC"/>
    <w:rPr>
      <w:rFonts w:ascii="Segoe UI" w:hAnsi="Segoe UI" w:cs="Segoe UI"/>
      <w:sz w:val="18"/>
      <w:szCs w:val="18"/>
    </w:rPr>
  </w:style>
  <w:style w:type="character" w:customStyle="1" w:styleId="BalloonTextChar">
    <w:name w:val="Balloon Text Char"/>
    <w:basedOn w:val="DefaultParagraphFont"/>
    <w:link w:val="BalloonText"/>
    <w:rsid w:val="008833EC"/>
    <w:rPr>
      <w:rFonts w:ascii="Segoe UI" w:hAnsi="Segoe UI" w:cs="Segoe UI"/>
      <w:snapToGrid w:val="0"/>
      <w:kern w:val="28"/>
      <w:sz w:val="18"/>
      <w:szCs w:val="18"/>
    </w:rPr>
  </w:style>
  <w:style w:type="paragraph" w:styleId="ListParagraph">
    <w:name w:val="List Paragraph"/>
    <w:basedOn w:val="Normal"/>
    <w:uiPriority w:val="34"/>
    <w:qFormat/>
    <w:rsid w:val="00017E76"/>
    <w:pPr>
      <w:widowControl/>
      <w:ind w:left="720"/>
      <w:contextualSpacing/>
    </w:pPr>
    <w:rPr>
      <w:rFonts w:asciiTheme="minorHAnsi" w:eastAsiaTheme="minorHAnsi" w:hAnsiTheme="minorHAnsi" w:cstheme="minorBidi"/>
      <w:snapToGrid/>
      <w:kern w:val="0"/>
      <w:szCs w:val="22"/>
    </w:rPr>
  </w:style>
  <w:style w:type="paragraph" w:styleId="Revision">
    <w:name w:val="Revision"/>
    <w:hidden/>
    <w:uiPriority w:val="99"/>
    <w:semiHidden/>
    <w:rsid w:val="00237B37"/>
    <w:rPr>
      <w:snapToGrid w:val="0"/>
      <w:kern w:val="28"/>
      <w:sz w:val="22"/>
    </w:rPr>
  </w:style>
  <w:style w:type="character" w:customStyle="1" w:styleId="FootnoteTextChar">
    <w:name w:val="Footnote Text Char"/>
    <w:basedOn w:val="DefaultParagraphFont"/>
    <w:link w:val="FootnoteText"/>
    <w:rsid w:val="0041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licensing.fcc.gov/cgi-bin/prod/cdbs/forms/prod/getimportletter_exh.cgi?import_letter_id=93164" TargetMode="External" /><Relationship Id="rId2" Type="http://schemas.openxmlformats.org/officeDocument/2006/relationships/hyperlink" Target="https://docs.fcc.gov/public/attachments/DA-21-719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