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4C76D7AC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063CD22E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6657E961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55A110B1" w14:textId="77777777"/>
    <w:p w:rsidR="004C2EE3" w:rsidP="0070224F" w14:paraId="1F0A4A11" w14:textId="77777777"/>
    <w:tbl>
      <w:tblPr>
        <w:tblW w:w="13824" w:type="dxa"/>
        <w:tblLayout w:type="fixed"/>
        <w:tblLook w:val="0000"/>
      </w:tblPr>
      <w:tblGrid>
        <w:gridCol w:w="4698"/>
        <w:gridCol w:w="630"/>
        <w:gridCol w:w="4248"/>
        <w:gridCol w:w="4248"/>
      </w:tblGrid>
      <w:tr w14:paraId="486F4619" w14:textId="77777777" w:rsidTr="00AB3096">
        <w:tblPrEx>
          <w:tblW w:w="13824" w:type="dxa"/>
          <w:tblLayout w:type="fixed"/>
          <w:tblLook w:val="0000"/>
        </w:tblPrEx>
        <w:tc>
          <w:tcPr>
            <w:tcW w:w="4698" w:type="dxa"/>
          </w:tcPr>
          <w:p w:rsidR="00AB3096" w:rsidP="00AB3096" w14:paraId="68C83A0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AB3096" w:rsidP="00AB3096" w14:paraId="64660B4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AB3096" w:rsidRPr="003031DC" w:rsidP="00AB3096" w14:paraId="4370855B" w14:textId="77777777">
            <w:r w:rsidRPr="003031DC">
              <w:t xml:space="preserve">BellSouth Telecommunications, LLC </w:t>
            </w:r>
          </w:p>
          <w:p w:rsidR="00AB3096" w:rsidRPr="003031DC" w:rsidP="00AB3096" w14:paraId="4EB8CCFF" w14:textId="77777777">
            <w:r w:rsidRPr="003031DC">
              <w:t>d/b/a AT&amp;T Florida,</w:t>
            </w:r>
          </w:p>
          <w:p w:rsidR="00AB3096" w:rsidRPr="003031DC" w:rsidP="00AB3096" w14:paraId="229D43C8" w14:textId="77777777"/>
          <w:p w:rsidR="00AB3096" w:rsidRPr="003031DC" w:rsidP="00AB3096" w14:paraId="063E0DC7" w14:textId="77777777">
            <w:r w:rsidRPr="003031DC">
              <w:t xml:space="preserve">                         Complainant,</w:t>
            </w:r>
          </w:p>
          <w:p w:rsidR="00AB3096" w:rsidRPr="003031DC" w:rsidP="00AB3096" w14:paraId="15A32EA9" w14:textId="77777777"/>
          <w:p w:rsidR="00AB3096" w:rsidRPr="003031DC" w:rsidP="00AB3096" w14:paraId="3041D90B" w14:textId="77777777">
            <w:r w:rsidRPr="003031DC">
              <w:t xml:space="preserve">       v.</w:t>
            </w:r>
          </w:p>
          <w:p w:rsidR="00AB3096" w:rsidRPr="003031DC" w:rsidP="00AB3096" w14:paraId="6930580E" w14:textId="77777777"/>
          <w:p w:rsidR="00AB3096" w:rsidRPr="003031DC" w:rsidP="00AB3096" w14:paraId="7EAF01D9" w14:textId="77777777">
            <w:r w:rsidRPr="003031DC">
              <w:t>Florida Power &amp; Light Company,</w:t>
            </w:r>
          </w:p>
          <w:p w:rsidR="00AB3096" w:rsidRPr="003031DC" w:rsidP="00AB3096" w14:paraId="1AE6F033" w14:textId="77777777">
            <w:pPr>
              <w:tabs>
                <w:tab w:val="center" w:pos="4680"/>
              </w:tabs>
              <w:suppressAutoHyphens/>
            </w:pPr>
          </w:p>
          <w:p w:rsidR="00AB3096" w:rsidRPr="007115F7" w:rsidP="00AB3096" w14:paraId="39CCB276" w14:textId="28998C8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3031DC">
              <w:t xml:space="preserve">                         Defendant.</w:t>
            </w:r>
          </w:p>
        </w:tc>
        <w:tc>
          <w:tcPr>
            <w:tcW w:w="630" w:type="dxa"/>
          </w:tcPr>
          <w:p w:rsidR="00AB3096" w:rsidP="00AB3096" w14:paraId="7CE72DC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4BD363F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07AEB13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53D0F3C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1224011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0A4B92C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104981B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6F029C5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31B738A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3EF395C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2FBC258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B3096" w:rsidP="00AB3096" w14:paraId="52342199" w14:textId="5FF84DA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AB3096" w:rsidRPr="003031DC" w:rsidP="00AB3096" w14:paraId="7D749E36" w14:textId="77777777">
            <w:r w:rsidRPr="003031DC">
              <w:t>Proceeding No. 20-214</w:t>
            </w:r>
          </w:p>
          <w:p w:rsidR="00AB3096" w:rsidP="00AB3096" w14:paraId="7DE6811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3031DC">
              <w:t>Bureau ID No. EB-20-MD-002</w:t>
            </w:r>
          </w:p>
          <w:p w:rsidR="00AB3096" w:rsidP="00AB3096" w14:paraId="0EF42D59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AB3096" w:rsidP="00AB3096" w14:paraId="5201103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AB3096" w:rsidP="00AB3096" w14:paraId="34F9D7C1" w14:textId="1C71BA3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AB3096" w:rsidP="00AB3096" w14:paraId="6FD6D38A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AB3096" w:rsidP="00AB3096" w14:paraId="1F7E3977" w14:textId="03B94B0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P="0070224F" w14:paraId="6FE10BF0" w14:textId="77777777"/>
    <w:p w:rsidR="00AB3096" w:rsidRPr="003031DC" w:rsidP="00AB3096" w14:paraId="0E98437A" w14:textId="4512561D">
      <w:pPr>
        <w:pStyle w:val="StyleBoldCentered"/>
        <w:rPr>
          <w:rFonts w:ascii="Times New Roman" w:hAnsi="Times New Roman"/>
        </w:rPr>
      </w:pPr>
      <w:r w:rsidRPr="003031DC">
        <w:rPr>
          <w:rFonts w:ascii="Times New Roman" w:hAnsi="Times New Roman"/>
        </w:rPr>
        <w:t>order</w:t>
      </w:r>
      <w:r w:rsidR="00AD16FF">
        <w:rPr>
          <w:rFonts w:ascii="Times New Roman" w:hAnsi="Times New Roman"/>
        </w:rPr>
        <w:t xml:space="preserve"> on Review</w:t>
      </w:r>
    </w:p>
    <w:p w:rsidR="004C2EE3" w14:paraId="7220EEEB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747A9BAA" w14:textId="7F94EFC0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D25360">
        <w:rPr>
          <w:b/>
          <w:spacing w:val="-2"/>
        </w:rPr>
        <w:t>June 7, 2022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D25360">
        <w:rPr>
          <w:b/>
          <w:spacing w:val="-2"/>
        </w:rPr>
        <w:t>June 8, 2022</w:t>
      </w:r>
    </w:p>
    <w:p w:rsidR="00822CE0" w14:paraId="1EB2B0FC" w14:textId="77777777"/>
    <w:p w:rsidR="004C2EE3" w14:paraId="483C8080" w14:textId="15F4DEF1">
      <w:pPr>
        <w:rPr>
          <w:spacing w:val="-2"/>
        </w:rPr>
      </w:pPr>
      <w:r>
        <w:t xml:space="preserve">By </w:t>
      </w:r>
      <w:r w:rsidR="004E4A22">
        <w:t>the</w:t>
      </w:r>
      <w:r w:rsidR="00AB3096">
        <w:t xml:space="preserve"> </w:t>
      </w:r>
      <w:r w:rsidR="00AB3096">
        <w:rPr>
          <w:spacing w:val="-2"/>
        </w:rPr>
        <w:t>C</w:t>
      </w:r>
      <w:r w:rsidR="00AD16FF">
        <w:rPr>
          <w:spacing w:val="-2"/>
        </w:rPr>
        <w:t>ommission</w:t>
      </w:r>
      <w:r w:rsidR="00AB3096">
        <w:rPr>
          <w:spacing w:val="-2"/>
        </w:rPr>
        <w:t>:</w:t>
      </w:r>
    </w:p>
    <w:p w:rsidR="00822CE0" w14:paraId="541A76E1" w14:textId="77777777">
      <w:pPr>
        <w:rPr>
          <w:spacing w:val="-2"/>
        </w:rPr>
      </w:pPr>
    </w:p>
    <w:p w:rsidR="00AB3096" w:rsidP="00AB3096" w14:paraId="00AE15B0" w14:textId="77777777">
      <w:pPr>
        <w:pStyle w:val="Heading1"/>
      </w:pPr>
      <w:r>
        <w:t>introduction</w:t>
      </w:r>
    </w:p>
    <w:p w:rsidR="00A713BA" w:rsidRPr="00D46A1C" w:rsidP="008E2213" w14:paraId="257E9699" w14:textId="1DAAD77F">
      <w:pPr>
        <w:pStyle w:val="ParaNum"/>
      </w:pPr>
      <w:bookmarkStart w:id="0" w:name="_Hlk57881003"/>
      <w:r>
        <w:t>Pursuant to section 5(c)(4) of the Communications Act of 1934, as amended (Act), w</w:t>
      </w:r>
      <w:r>
        <w:t>e deny an Application for Review</w:t>
      </w:r>
      <w:r>
        <w:rPr>
          <w:rStyle w:val="FootnoteReference"/>
        </w:rPr>
        <w:footnoteReference w:id="3"/>
      </w:r>
      <w:r>
        <w:t xml:space="preserve"> filed by </w:t>
      </w:r>
      <w:r w:rsidRPr="1D1DEB0C">
        <w:t>BellSouth Telecommunications, LLC d/b/a AT&amp;T Florida</w:t>
      </w:r>
      <w:r>
        <w:t xml:space="preserve"> (AT&amp;T)</w:t>
      </w:r>
      <w:r>
        <w:t>.</w:t>
      </w:r>
      <w:r>
        <w:rPr>
          <w:rStyle w:val="FootnoteReference"/>
        </w:rPr>
        <w:footnoteReference w:id="4"/>
      </w:r>
      <w:r>
        <w:t xml:space="preserve">  AT&amp;T</w:t>
      </w:r>
      <w:r w:rsidR="00A55873">
        <w:t>, an incumbent local exchange carrier (LEC) in Florida,</w:t>
      </w:r>
      <w:r>
        <w:t xml:space="preserve"> requests review of </w:t>
      </w:r>
      <w:r w:rsidR="00D75F05">
        <w:t>that</w:t>
      </w:r>
      <w:r w:rsidR="00D970C6">
        <w:t xml:space="preserve"> part of </w:t>
      </w:r>
      <w:r>
        <w:t>an Enforcement Bureau</w:t>
      </w:r>
      <w:r w:rsidR="001660CA">
        <w:t xml:space="preserve"> (Bureau)</w:t>
      </w:r>
      <w:r>
        <w:t xml:space="preserve"> order (</w:t>
      </w:r>
      <w:r w:rsidRPr="00F83733">
        <w:rPr>
          <w:i/>
          <w:iCs/>
        </w:rPr>
        <w:t>Order</w:t>
      </w:r>
      <w:r>
        <w:t>)</w:t>
      </w:r>
      <w:r>
        <w:rPr>
          <w:rStyle w:val="FootnoteReference"/>
        </w:rPr>
        <w:footnoteReference w:id="5"/>
      </w:r>
      <w:r>
        <w:t xml:space="preserve"> that dismissed with prejudice </w:t>
      </w:r>
      <w:r w:rsidR="008B08B5">
        <w:t>the first count</w:t>
      </w:r>
      <w:r>
        <w:t xml:space="preserve"> of a complaint filed by AT&amp;T against </w:t>
      </w:r>
      <w:r w:rsidRPr="1D1DEB0C">
        <w:t xml:space="preserve">Florida Power </w:t>
      </w:r>
      <w:r>
        <w:t>&amp;</w:t>
      </w:r>
      <w:r w:rsidRPr="1D1DEB0C">
        <w:t xml:space="preserve"> Light Company</w:t>
      </w:r>
      <w:r>
        <w:t xml:space="preserve"> (FPL) in the captioned proceeding.</w:t>
      </w:r>
      <w:r>
        <w:rPr>
          <w:rStyle w:val="FootnoteReference"/>
        </w:rPr>
        <w:footnoteReference w:id="6"/>
      </w:r>
      <w:r>
        <w:t xml:space="preserve">  </w:t>
      </w:r>
      <w:r w:rsidR="008B08B5">
        <w:t>In Count I,</w:t>
      </w:r>
      <w:r>
        <w:t xml:space="preserve"> AT&amp;T alleged that a Payment Default Clause in the parties’ agreement for the joint use of each other’s utility poles (JUA), and FPL’s practices in implementing that clause, were unjust and </w:t>
      </w:r>
      <w:r>
        <w:t>unreasonable within the meaning of section 224(b)(1) of the Act.</w:t>
      </w:r>
      <w:r>
        <w:rPr>
          <w:rStyle w:val="FootnoteReference"/>
        </w:rPr>
        <w:footnoteReference w:id="7"/>
      </w:r>
      <w:r>
        <w:t xml:space="preserve">  </w:t>
      </w:r>
      <w:r w:rsidR="00CD72B3">
        <w:t xml:space="preserve">After reviewing the record and </w:t>
      </w:r>
      <w:r w:rsidR="003F4385">
        <w:t>the arguments raised in connection with the Application</w:t>
      </w:r>
      <w:r w:rsidR="00CD72B3">
        <w:t>, w</w:t>
      </w:r>
      <w:r w:rsidR="00F2445A">
        <w:t xml:space="preserve">e </w:t>
      </w:r>
      <w:r w:rsidR="00CD72B3">
        <w:t>conclude</w:t>
      </w:r>
      <w:r w:rsidR="00F2445A">
        <w:t xml:space="preserve"> that the Bureau correctly </w:t>
      </w:r>
      <w:r w:rsidR="00F2445A">
        <w:rPr>
          <w:snapToGrid/>
          <w:szCs w:val="22"/>
        </w:rPr>
        <w:t>dismiss</w:t>
      </w:r>
      <w:r w:rsidR="00CD72B3">
        <w:rPr>
          <w:snapToGrid/>
          <w:szCs w:val="22"/>
        </w:rPr>
        <w:t>ed</w:t>
      </w:r>
      <w:r w:rsidR="00F2445A">
        <w:rPr>
          <w:snapToGrid/>
          <w:szCs w:val="22"/>
        </w:rPr>
        <w:t xml:space="preserve"> Count I with prejudice</w:t>
      </w:r>
      <w:r w:rsidR="003F4385">
        <w:rPr>
          <w:snapToGrid/>
          <w:szCs w:val="22"/>
        </w:rPr>
        <w:t xml:space="preserve">.  Specifically, </w:t>
      </w:r>
      <w:r w:rsidR="009F60BD">
        <w:rPr>
          <w:snapToGrid/>
          <w:szCs w:val="22"/>
        </w:rPr>
        <w:t xml:space="preserve">we concur with the Bureau that </w:t>
      </w:r>
      <w:r>
        <w:rPr>
          <w:snapToGrid/>
          <w:szCs w:val="22"/>
        </w:rPr>
        <w:t xml:space="preserve">AT&amp;T violated the Commission’s procedural rules governing complaints filed under </w:t>
      </w:r>
      <w:r w:rsidR="001660CA">
        <w:rPr>
          <w:snapToGrid/>
          <w:szCs w:val="22"/>
        </w:rPr>
        <w:t>s</w:t>
      </w:r>
      <w:r>
        <w:rPr>
          <w:snapToGrid/>
          <w:szCs w:val="22"/>
        </w:rPr>
        <w:t>ection 224(b)(1) by failing to include Count I in</w:t>
      </w:r>
      <w:r w:rsidR="00761B8E">
        <w:rPr>
          <w:snapToGrid/>
          <w:szCs w:val="22"/>
        </w:rPr>
        <w:t xml:space="preserve"> </w:t>
      </w:r>
      <w:r w:rsidR="001F191A">
        <w:rPr>
          <w:snapToGrid/>
          <w:szCs w:val="22"/>
        </w:rPr>
        <w:t>its</w:t>
      </w:r>
      <w:r w:rsidR="009F60BD">
        <w:rPr>
          <w:snapToGrid/>
          <w:szCs w:val="22"/>
        </w:rPr>
        <w:t xml:space="preserve"> earlier-filed complaint against FPL</w:t>
      </w:r>
      <w:r w:rsidR="00761B8E">
        <w:rPr>
          <w:snapToGrid/>
          <w:szCs w:val="22"/>
        </w:rPr>
        <w:t>.</w:t>
      </w:r>
    </w:p>
    <w:p w:rsidR="00761B8E" w:rsidRPr="009A5A43" w:rsidP="00D46A1C" w14:paraId="7461336B" w14:textId="67AD7FA1">
      <w:pPr>
        <w:pStyle w:val="Heading1"/>
        <w:rPr>
          <w:szCs w:val="22"/>
        </w:rPr>
      </w:pPr>
      <w:r>
        <w:rPr>
          <w:szCs w:val="22"/>
        </w:rPr>
        <w:t>BACKGROUND</w:t>
      </w:r>
      <w:r>
        <w:rPr>
          <w:rStyle w:val="FootnoteReference"/>
          <w:b w:val="0"/>
          <w:bCs/>
        </w:rPr>
        <w:footnoteReference w:id="8"/>
      </w:r>
    </w:p>
    <w:p w:rsidR="008C01E2" w:rsidRPr="008C01E2" w:rsidP="00330540" w14:paraId="2F141BFE" w14:textId="1DB515C6">
      <w:pPr>
        <w:pStyle w:val="ParaNum"/>
        <w:tabs>
          <w:tab w:val="num" w:pos="990"/>
          <w:tab w:val="clear" w:pos="1440"/>
        </w:tabs>
        <w:ind w:left="-90"/>
        <w:rPr>
          <w:szCs w:val="22"/>
        </w:rPr>
      </w:pPr>
      <w:r>
        <w:t>Section 224(b)(1) of the Act states that</w:t>
      </w:r>
      <w:r w:rsidRPr="1D1DEB0C">
        <w:t xml:space="preserve"> the </w:t>
      </w:r>
      <w:r w:rsidRPr="006F6E32">
        <w:rPr>
          <w:snapToGrid/>
        </w:rPr>
        <w:t>Commission</w:t>
      </w:r>
      <w:r w:rsidRPr="1D1DEB0C">
        <w:t xml:space="preserve"> </w:t>
      </w:r>
      <w:r>
        <w:t xml:space="preserve">“shall </w:t>
      </w:r>
      <w:r w:rsidRPr="1D1DEB0C">
        <w:t>regulate the rates, terms, and conditions for pole attachments to provide that such rates, terms, and conditions are just and reasonable</w:t>
      </w:r>
      <w:r w:rsidR="005E3508">
        <w:t>.”</w:t>
      </w:r>
      <w:r>
        <w:rPr>
          <w:rStyle w:val="FootnoteReference"/>
        </w:rPr>
        <w:footnoteReference w:id="9"/>
      </w:r>
      <w:r w:rsidR="005E3508">
        <w:t xml:space="preserve">  The statute further provides that the Commission “</w:t>
      </w:r>
      <w:r>
        <w:t>shall adopt procedures necessary and appropriate to hear and resolve complaints concerning such rates, terms and conditions.</w:t>
      </w:r>
      <w:r w:rsidRPr="1D1DEB0C">
        <w:t>”</w:t>
      </w:r>
      <w:r>
        <w:rPr>
          <w:rStyle w:val="FootnoteReference"/>
        </w:rPr>
        <w:footnoteReference w:id="10"/>
      </w:r>
      <w:r>
        <w:t xml:space="preserve">  </w:t>
      </w:r>
      <w:r w:rsidRPr="41E6FD29" w:rsidR="009E5761">
        <w:rPr>
          <w:snapToGrid/>
          <w:color w:val="000000"/>
          <w:kern w:val="0"/>
        </w:rPr>
        <w:t xml:space="preserve">  </w:t>
      </w:r>
    </w:p>
    <w:p w:rsidR="00330540" w:rsidRPr="00330540" w:rsidP="00330540" w14:paraId="17411F62" w14:textId="583F0A1D">
      <w:pPr>
        <w:pStyle w:val="ParaNum"/>
        <w:tabs>
          <w:tab w:val="num" w:pos="990"/>
          <w:tab w:val="clear" w:pos="1440"/>
        </w:tabs>
        <w:ind w:left="-90"/>
        <w:rPr>
          <w:szCs w:val="22"/>
        </w:rPr>
      </w:pPr>
      <w:r w:rsidRPr="00330540">
        <w:rPr>
          <w:szCs w:val="22"/>
        </w:rPr>
        <w:t xml:space="preserve">In March 2018, FPL submitted an invoice </w:t>
      </w:r>
      <w:r>
        <w:rPr>
          <w:szCs w:val="22"/>
        </w:rPr>
        <w:t>to AT&amp;T</w:t>
      </w:r>
      <w:r w:rsidR="00403753">
        <w:rPr>
          <w:szCs w:val="22"/>
        </w:rPr>
        <w:t xml:space="preserve"> </w:t>
      </w:r>
      <w:r w:rsidRPr="00330540">
        <w:rPr>
          <w:szCs w:val="22"/>
        </w:rPr>
        <w:t>for the 2017 pole rental year</w:t>
      </w:r>
      <w:r w:rsidR="008E7C63">
        <w:rPr>
          <w:szCs w:val="22"/>
        </w:rPr>
        <w:t xml:space="preserve"> under the </w:t>
      </w:r>
      <w:r w:rsidR="00D63A5B">
        <w:rPr>
          <w:szCs w:val="22"/>
        </w:rPr>
        <w:t>JUA</w:t>
      </w:r>
      <w:r w:rsidRPr="00330540">
        <w:rPr>
          <w:szCs w:val="22"/>
        </w:rPr>
        <w:t>.</w:t>
      </w:r>
      <w:r>
        <w:rPr>
          <w:rStyle w:val="FootnoteReference"/>
          <w:szCs w:val="22"/>
        </w:rPr>
        <w:footnoteReference w:id="11"/>
      </w:r>
      <w:r w:rsidRPr="00330540">
        <w:rPr>
          <w:szCs w:val="22"/>
        </w:rPr>
        <w:t xml:space="preserve">  AT&amp;T refused to pay, arguing that </w:t>
      </w:r>
      <w:r w:rsidR="0098766B">
        <w:rPr>
          <w:szCs w:val="22"/>
        </w:rPr>
        <w:t>the</w:t>
      </w:r>
      <w:r w:rsidR="00126C3E">
        <w:rPr>
          <w:szCs w:val="22"/>
        </w:rPr>
        <w:t xml:space="preserve"> Commission’s</w:t>
      </w:r>
      <w:r w:rsidRPr="0098766B" w:rsidR="0098766B">
        <w:rPr>
          <w:i/>
          <w:iCs/>
          <w:szCs w:val="22"/>
        </w:rPr>
        <w:t xml:space="preserve"> 2011</w:t>
      </w:r>
      <w:r w:rsidR="0098766B">
        <w:rPr>
          <w:szCs w:val="22"/>
        </w:rPr>
        <w:t xml:space="preserve"> and </w:t>
      </w:r>
      <w:r w:rsidRPr="0098766B" w:rsidR="0098766B">
        <w:rPr>
          <w:i/>
          <w:iCs/>
          <w:szCs w:val="22"/>
        </w:rPr>
        <w:t>2018 Pole Attachment O</w:t>
      </w:r>
      <w:r w:rsidRPr="0098766B" w:rsidR="009E5761">
        <w:rPr>
          <w:i/>
          <w:iCs/>
          <w:szCs w:val="22"/>
        </w:rPr>
        <w:t>rders</w:t>
      </w:r>
      <w:r w:rsidR="00B279BA">
        <w:rPr>
          <w:szCs w:val="22"/>
        </w:rPr>
        <w:t xml:space="preserve"> entitled it to a lower rate.</w:t>
      </w:r>
      <w:r>
        <w:rPr>
          <w:rStyle w:val="FootnoteReference"/>
          <w:szCs w:val="22"/>
        </w:rPr>
        <w:footnoteReference w:id="12"/>
      </w:r>
      <w:r w:rsidRPr="00330540">
        <w:rPr>
          <w:szCs w:val="22"/>
        </w:rPr>
        <w:t xml:space="preserve">  </w:t>
      </w:r>
      <w:r w:rsidR="00403753">
        <w:rPr>
          <w:szCs w:val="22"/>
        </w:rPr>
        <w:t xml:space="preserve">A year later, </w:t>
      </w:r>
      <w:r w:rsidR="000565C5">
        <w:rPr>
          <w:szCs w:val="22"/>
        </w:rPr>
        <w:t>on</w:t>
      </w:r>
      <w:r w:rsidRPr="00330540">
        <w:rPr>
          <w:szCs w:val="22"/>
        </w:rPr>
        <w:t xml:space="preserve"> March </w:t>
      </w:r>
      <w:r w:rsidR="000565C5">
        <w:rPr>
          <w:szCs w:val="22"/>
        </w:rPr>
        <w:t xml:space="preserve">25, </w:t>
      </w:r>
      <w:r w:rsidRPr="00330540">
        <w:rPr>
          <w:szCs w:val="22"/>
        </w:rPr>
        <w:t xml:space="preserve">2019, FPL sent AT&amp;T a Notice of Termination </w:t>
      </w:r>
      <w:r w:rsidR="00ED0981">
        <w:rPr>
          <w:szCs w:val="22"/>
        </w:rPr>
        <w:t xml:space="preserve">stating </w:t>
      </w:r>
      <w:r w:rsidRPr="00330540">
        <w:rPr>
          <w:szCs w:val="22"/>
        </w:rPr>
        <w:t xml:space="preserve">that, </w:t>
      </w:r>
      <w:r w:rsidR="00403753">
        <w:rPr>
          <w:szCs w:val="22"/>
        </w:rPr>
        <w:t xml:space="preserve">because AT&amp;T had not paid the invoice, </w:t>
      </w:r>
      <w:r w:rsidRPr="00330540" w:rsidR="00B634AD">
        <w:rPr>
          <w:szCs w:val="22"/>
        </w:rPr>
        <w:t xml:space="preserve">pursuant to </w:t>
      </w:r>
      <w:r w:rsidR="00B634AD">
        <w:rPr>
          <w:szCs w:val="22"/>
        </w:rPr>
        <w:t>the</w:t>
      </w:r>
      <w:r w:rsidRPr="00330540" w:rsidR="00B634AD">
        <w:rPr>
          <w:szCs w:val="22"/>
        </w:rPr>
        <w:t xml:space="preserve"> </w:t>
      </w:r>
      <w:r w:rsidR="00696F35">
        <w:rPr>
          <w:szCs w:val="22"/>
        </w:rPr>
        <w:t xml:space="preserve">JUA’s </w:t>
      </w:r>
      <w:r w:rsidR="00B634AD">
        <w:rPr>
          <w:szCs w:val="22"/>
        </w:rPr>
        <w:t>P</w:t>
      </w:r>
      <w:r w:rsidRPr="00330540" w:rsidR="00B634AD">
        <w:rPr>
          <w:szCs w:val="22"/>
        </w:rPr>
        <w:t xml:space="preserve">ayment </w:t>
      </w:r>
      <w:r w:rsidR="00B634AD">
        <w:rPr>
          <w:szCs w:val="22"/>
        </w:rPr>
        <w:t>D</w:t>
      </w:r>
      <w:r w:rsidRPr="00330540" w:rsidR="00B634AD">
        <w:rPr>
          <w:szCs w:val="22"/>
        </w:rPr>
        <w:t xml:space="preserve">efault </w:t>
      </w:r>
      <w:r w:rsidR="00B634AD">
        <w:rPr>
          <w:szCs w:val="22"/>
        </w:rPr>
        <w:t>C</w:t>
      </w:r>
      <w:r w:rsidRPr="00330540" w:rsidR="00B634AD">
        <w:rPr>
          <w:szCs w:val="22"/>
        </w:rPr>
        <w:t>lause</w:t>
      </w:r>
      <w:r w:rsidR="00B634AD">
        <w:rPr>
          <w:szCs w:val="22"/>
        </w:rPr>
        <w:t xml:space="preserve">, </w:t>
      </w:r>
      <w:r w:rsidR="00403753">
        <w:rPr>
          <w:szCs w:val="22"/>
        </w:rPr>
        <w:t>FPL was</w:t>
      </w:r>
      <w:r w:rsidRPr="00330540">
        <w:rPr>
          <w:szCs w:val="22"/>
        </w:rPr>
        <w:t xml:space="preserve"> terminating AT&amp;T’s right to attach to FPL’s poles</w:t>
      </w:r>
      <w:r w:rsidR="00403753">
        <w:rPr>
          <w:szCs w:val="22"/>
        </w:rPr>
        <w:t xml:space="preserve"> “effective immediately</w:t>
      </w:r>
      <w:r w:rsidR="002A0B74">
        <w:rPr>
          <w:szCs w:val="22"/>
        </w:rPr>
        <w:t>.</w:t>
      </w:r>
      <w:r w:rsidR="00403753">
        <w:rPr>
          <w:szCs w:val="22"/>
        </w:rPr>
        <w:t>”</w:t>
      </w:r>
      <w:r>
        <w:rPr>
          <w:rStyle w:val="FootnoteReference"/>
          <w:sz w:val="22"/>
          <w:szCs w:val="22"/>
        </w:rPr>
        <w:footnoteReference w:id="13"/>
      </w:r>
    </w:p>
    <w:p w:rsidR="00330540" w:rsidRPr="00A26176" w:rsidP="00330540" w14:paraId="385DC3AD" w14:textId="434609B5">
      <w:pPr>
        <w:pStyle w:val="ParaNum"/>
        <w:tabs>
          <w:tab w:val="num" w:pos="990"/>
          <w:tab w:val="clear" w:pos="1440"/>
        </w:tabs>
        <w:ind w:left="-90"/>
        <w:rPr>
          <w:snapToGrid/>
          <w:szCs w:val="22"/>
        </w:rPr>
      </w:pPr>
      <w:r w:rsidRPr="00A26176">
        <w:rPr>
          <w:snapToGrid/>
          <w:szCs w:val="22"/>
        </w:rPr>
        <w:t xml:space="preserve">On July 1, 2019, AT&amp;T filed </w:t>
      </w:r>
      <w:r w:rsidR="001F6E4E">
        <w:rPr>
          <w:snapToGrid/>
          <w:szCs w:val="22"/>
        </w:rPr>
        <w:t xml:space="preserve">a complaint </w:t>
      </w:r>
      <w:r w:rsidR="00883549">
        <w:rPr>
          <w:snapToGrid/>
          <w:szCs w:val="22"/>
        </w:rPr>
        <w:t>with</w:t>
      </w:r>
      <w:r w:rsidR="001B5D18">
        <w:rPr>
          <w:snapToGrid/>
          <w:szCs w:val="22"/>
        </w:rPr>
        <w:t xml:space="preserve"> the Commission </w:t>
      </w:r>
      <w:r>
        <w:rPr>
          <w:snapToGrid/>
          <w:szCs w:val="22"/>
        </w:rPr>
        <w:t xml:space="preserve">seeking a reduced </w:t>
      </w:r>
      <w:r w:rsidR="003573F5">
        <w:rPr>
          <w:snapToGrid/>
          <w:szCs w:val="22"/>
        </w:rPr>
        <w:t xml:space="preserve">pole attachment </w:t>
      </w:r>
      <w:r>
        <w:rPr>
          <w:snapToGrid/>
          <w:szCs w:val="22"/>
        </w:rPr>
        <w:t xml:space="preserve">rate under </w:t>
      </w:r>
      <w:r w:rsidR="0098766B">
        <w:rPr>
          <w:snapToGrid/>
          <w:szCs w:val="22"/>
        </w:rPr>
        <w:t>the</w:t>
      </w:r>
      <w:r w:rsidR="00883549">
        <w:rPr>
          <w:snapToGrid/>
          <w:szCs w:val="22"/>
        </w:rPr>
        <w:t xml:space="preserve"> Commission’s</w:t>
      </w:r>
      <w:r w:rsidR="0098766B">
        <w:rPr>
          <w:snapToGrid/>
          <w:szCs w:val="22"/>
        </w:rPr>
        <w:t xml:space="preserve"> </w:t>
      </w:r>
      <w:r w:rsidRPr="0098766B" w:rsidR="0098766B">
        <w:rPr>
          <w:i/>
          <w:iCs/>
          <w:snapToGrid/>
          <w:szCs w:val="22"/>
        </w:rPr>
        <w:t>2011</w:t>
      </w:r>
      <w:r w:rsidR="0098766B">
        <w:rPr>
          <w:snapToGrid/>
          <w:szCs w:val="22"/>
        </w:rPr>
        <w:t xml:space="preserve"> and </w:t>
      </w:r>
      <w:r w:rsidRPr="0098766B" w:rsidR="0098766B">
        <w:rPr>
          <w:i/>
          <w:iCs/>
          <w:snapToGrid/>
          <w:szCs w:val="22"/>
        </w:rPr>
        <w:t>2018 Pole Attachment Orders</w:t>
      </w:r>
      <w:r w:rsidRPr="00A26176">
        <w:rPr>
          <w:snapToGrid/>
          <w:szCs w:val="22"/>
        </w:rPr>
        <w:t>.</w:t>
      </w:r>
      <w:r>
        <w:rPr>
          <w:rStyle w:val="FootnoteReference"/>
          <w:snapToGrid/>
          <w:szCs w:val="22"/>
        </w:rPr>
        <w:footnoteReference w:id="14"/>
      </w:r>
      <w:r>
        <w:rPr>
          <w:snapToGrid/>
          <w:szCs w:val="22"/>
        </w:rPr>
        <w:t xml:space="preserve">  On the same day, it paid the principal amount of the 2017 invoice.</w:t>
      </w:r>
      <w:r>
        <w:rPr>
          <w:rStyle w:val="FootnoteReference"/>
          <w:snapToGrid/>
          <w:szCs w:val="22"/>
        </w:rPr>
        <w:footnoteReference w:id="15"/>
      </w:r>
      <w:r>
        <w:rPr>
          <w:snapToGrid/>
          <w:szCs w:val="22"/>
        </w:rPr>
        <w:t xml:space="preserve">  Also on the same day, </w:t>
      </w:r>
      <w:r w:rsidRPr="00A26176">
        <w:rPr>
          <w:snapToGrid/>
          <w:szCs w:val="22"/>
        </w:rPr>
        <w:t>FPL filed a complaint</w:t>
      </w:r>
      <w:r w:rsidR="00FC0694">
        <w:rPr>
          <w:snapToGrid/>
          <w:szCs w:val="22"/>
        </w:rPr>
        <w:t xml:space="preserve">, </w:t>
      </w:r>
      <w:r w:rsidR="00120B86">
        <w:rPr>
          <w:snapToGrid/>
          <w:szCs w:val="22"/>
        </w:rPr>
        <w:t xml:space="preserve">now </w:t>
      </w:r>
      <w:r w:rsidR="005365FB">
        <w:rPr>
          <w:snapToGrid/>
          <w:szCs w:val="22"/>
        </w:rPr>
        <w:t xml:space="preserve">pending </w:t>
      </w:r>
      <w:r w:rsidR="00120B86">
        <w:rPr>
          <w:snapToGrid/>
          <w:szCs w:val="22"/>
        </w:rPr>
        <w:t>before</w:t>
      </w:r>
      <w:r w:rsidR="00FC0694">
        <w:rPr>
          <w:snapToGrid/>
          <w:szCs w:val="22"/>
        </w:rPr>
        <w:t xml:space="preserve"> </w:t>
      </w:r>
      <w:r w:rsidR="001660CA">
        <w:rPr>
          <w:snapToGrid/>
          <w:szCs w:val="22"/>
        </w:rPr>
        <w:t xml:space="preserve">the U.S. </w:t>
      </w:r>
      <w:r w:rsidR="0066335A">
        <w:rPr>
          <w:snapToGrid/>
          <w:szCs w:val="22"/>
        </w:rPr>
        <w:t>D</w:t>
      </w:r>
      <w:r w:rsidR="001660CA">
        <w:rPr>
          <w:snapToGrid/>
          <w:szCs w:val="22"/>
        </w:rPr>
        <w:t xml:space="preserve">istrict </w:t>
      </w:r>
      <w:r w:rsidR="0066335A">
        <w:rPr>
          <w:snapToGrid/>
          <w:szCs w:val="22"/>
        </w:rPr>
        <w:t>C</w:t>
      </w:r>
      <w:r w:rsidR="001660CA">
        <w:rPr>
          <w:snapToGrid/>
          <w:szCs w:val="22"/>
        </w:rPr>
        <w:t>ourt for the Southern District of Florida</w:t>
      </w:r>
      <w:r w:rsidR="00FC0694">
        <w:rPr>
          <w:snapToGrid/>
          <w:szCs w:val="22"/>
        </w:rPr>
        <w:t>,</w:t>
      </w:r>
      <w:r w:rsidRPr="00A26176">
        <w:rPr>
          <w:snapToGrid/>
          <w:szCs w:val="22"/>
        </w:rPr>
        <w:t xml:space="preserve"> </w:t>
      </w:r>
      <w:r>
        <w:rPr>
          <w:snapToGrid/>
          <w:szCs w:val="22"/>
        </w:rPr>
        <w:t xml:space="preserve">asserting </w:t>
      </w:r>
      <w:r w:rsidRPr="00A26176">
        <w:rPr>
          <w:snapToGrid/>
          <w:szCs w:val="22"/>
        </w:rPr>
        <w:t xml:space="preserve">that </w:t>
      </w:r>
      <w:r w:rsidR="00390E0D">
        <w:rPr>
          <w:snapToGrid/>
          <w:szCs w:val="22"/>
        </w:rPr>
        <w:t>the</w:t>
      </w:r>
      <w:r w:rsidRPr="00A26176">
        <w:rPr>
          <w:snapToGrid/>
          <w:szCs w:val="22"/>
        </w:rPr>
        <w:t xml:space="preserve"> Notice of Termination </w:t>
      </w:r>
      <w:r w:rsidR="00390E0D">
        <w:rPr>
          <w:snapToGrid/>
          <w:szCs w:val="22"/>
        </w:rPr>
        <w:t>is</w:t>
      </w:r>
      <w:r w:rsidRPr="00A26176">
        <w:rPr>
          <w:snapToGrid/>
          <w:szCs w:val="22"/>
        </w:rPr>
        <w:t xml:space="preserve"> valid and asking the court to declare AT&amp;T a trespasser on FPL’s poles.</w:t>
      </w:r>
      <w:r>
        <w:rPr>
          <w:rStyle w:val="FootnoteReference"/>
          <w:snapToGrid/>
          <w:szCs w:val="22"/>
        </w:rPr>
        <w:footnoteReference w:id="16"/>
      </w:r>
    </w:p>
    <w:p w:rsidR="00330540" w:rsidRPr="00A26176" w:rsidP="00330540" w14:paraId="00288BDC" w14:textId="333A5AD1">
      <w:pPr>
        <w:pStyle w:val="ParaNum"/>
        <w:tabs>
          <w:tab w:val="num" w:pos="990"/>
          <w:tab w:val="clear" w:pos="1440"/>
        </w:tabs>
        <w:ind w:left="-90"/>
        <w:rPr>
          <w:snapToGrid/>
          <w:szCs w:val="22"/>
        </w:rPr>
      </w:pPr>
      <w:r>
        <w:rPr>
          <w:snapToGrid/>
          <w:szCs w:val="22"/>
        </w:rPr>
        <w:t xml:space="preserve">On May 20, 2020, </w:t>
      </w:r>
      <w:r w:rsidR="00390E0D">
        <w:rPr>
          <w:snapToGrid/>
          <w:szCs w:val="22"/>
        </w:rPr>
        <w:t xml:space="preserve">the </w:t>
      </w:r>
      <w:r w:rsidR="00CE54F2">
        <w:rPr>
          <w:snapToGrid/>
          <w:szCs w:val="22"/>
        </w:rPr>
        <w:t>Bureau</w:t>
      </w:r>
      <w:r>
        <w:rPr>
          <w:snapToGrid/>
          <w:szCs w:val="22"/>
        </w:rPr>
        <w:t xml:space="preserve"> issued </w:t>
      </w:r>
      <w:r w:rsidR="008E154D">
        <w:rPr>
          <w:snapToGrid/>
          <w:szCs w:val="22"/>
        </w:rPr>
        <w:t>an order</w:t>
      </w:r>
      <w:r w:rsidR="00120B86">
        <w:rPr>
          <w:i/>
          <w:iCs/>
          <w:snapToGrid/>
          <w:szCs w:val="22"/>
        </w:rPr>
        <w:t xml:space="preserve"> </w:t>
      </w:r>
      <w:r w:rsidR="00120B86">
        <w:rPr>
          <w:snapToGrid/>
          <w:szCs w:val="22"/>
        </w:rPr>
        <w:t xml:space="preserve">in the </w:t>
      </w:r>
      <w:r w:rsidR="003D14CA">
        <w:rPr>
          <w:snapToGrid/>
          <w:szCs w:val="22"/>
        </w:rPr>
        <w:t>Rate</w:t>
      </w:r>
      <w:r w:rsidR="00120B86">
        <w:rPr>
          <w:snapToGrid/>
          <w:szCs w:val="22"/>
        </w:rPr>
        <w:t xml:space="preserve"> Complaint proceeding</w:t>
      </w:r>
      <w:r w:rsidRPr="00A26176">
        <w:rPr>
          <w:snapToGrid/>
          <w:szCs w:val="22"/>
        </w:rPr>
        <w:t>,</w:t>
      </w:r>
      <w:r w:rsidR="00390E0D">
        <w:rPr>
          <w:snapToGrid/>
          <w:szCs w:val="22"/>
        </w:rPr>
        <w:t xml:space="preserve"> </w:t>
      </w:r>
      <w:r w:rsidRPr="00A26176">
        <w:rPr>
          <w:snapToGrid/>
          <w:szCs w:val="22"/>
        </w:rPr>
        <w:t>f</w:t>
      </w:r>
      <w:r w:rsidR="00390E0D">
        <w:rPr>
          <w:snapToGrid/>
          <w:szCs w:val="22"/>
        </w:rPr>
        <w:t>i</w:t>
      </w:r>
      <w:r w:rsidRPr="00A26176">
        <w:rPr>
          <w:snapToGrid/>
          <w:szCs w:val="22"/>
        </w:rPr>
        <w:t>nd</w:t>
      </w:r>
      <w:r w:rsidR="00390E0D">
        <w:rPr>
          <w:snapToGrid/>
          <w:szCs w:val="22"/>
        </w:rPr>
        <w:t>ing</w:t>
      </w:r>
      <w:r w:rsidRPr="00A26176">
        <w:rPr>
          <w:snapToGrid/>
          <w:szCs w:val="22"/>
        </w:rPr>
        <w:t xml:space="preserve"> that AT&amp;T was entitled to </w:t>
      </w:r>
      <w:r>
        <w:rPr>
          <w:snapToGrid/>
          <w:szCs w:val="22"/>
        </w:rPr>
        <w:t xml:space="preserve">a lower </w:t>
      </w:r>
      <w:r w:rsidR="00AB23E9">
        <w:rPr>
          <w:snapToGrid/>
          <w:szCs w:val="22"/>
        </w:rPr>
        <w:t xml:space="preserve">attachment </w:t>
      </w:r>
      <w:r>
        <w:rPr>
          <w:snapToGrid/>
          <w:szCs w:val="22"/>
        </w:rPr>
        <w:t>rate</w:t>
      </w:r>
      <w:r w:rsidRPr="00A26176">
        <w:rPr>
          <w:snapToGrid/>
          <w:szCs w:val="22"/>
        </w:rPr>
        <w:t xml:space="preserve"> under the </w:t>
      </w:r>
      <w:r w:rsidRPr="00A26176">
        <w:rPr>
          <w:i/>
          <w:iCs/>
          <w:snapToGrid/>
          <w:szCs w:val="22"/>
        </w:rPr>
        <w:t>2011 Pole Attachment Order</w:t>
      </w:r>
      <w:r w:rsidRPr="00A26176">
        <w:rPr>
          <w:snapToGrid/>
          <w:szCs w:val="22"/>
        </w:rPr>
        <w:t>.</w:t>
      </w:r>
      <w:r>
        <w:rPr>
          <w:rStyle w:val="FootnoteReference"/>
        </w:rPr>
        <w:footnoteReference w:id="17"/>
      </w:r>
      <w:r w:rsidRPr="00A26176">
        <w:rPr>
          <w:snapToGrid/>
          <w:szCs w:val="22"/>
        </w:rPr>
        <w:t xml:space="preserve">  </w:t>
      </w:r>
      <w:bookmarkStart w:id="2" w:name="_Hlk61336048"/>
      <w:r w:rsidRPr="00A26176">
        <w:rPr>
          <w:snapToGrid/>
          <w:szCs w:val="22"/>
        </w:rPr>
        <w:t xml:space="preserve">The </w:t>
      </w:r>
      <w:r w:rsidR="003D14CA">
        <w:rPr>
          <w:i/>
          <w:iCs/>
          <w:snapToGrid/>
          <w:szCs w:val="22"/>
        </w:rPr>
        <w:t>Rate</w:t>
      </w:r>
      <w:r w:rsidRPr="00A26176">
        <w:rPr>
          <w:i/>
          <w:iCs/>
          <w:snapToGrid/>
          <w:szCs w:val="22"/>
        </w:rPr>
        <w:t xml:space="preserve"> Order</w:t>
      </w:r>
      <w:r w:rsidRPr="00A26176">
        <w:rPr>
          <w:snapToGrid/>
          <w:szCs w:val="22"/>
        </w:rPr>
        <w:t xml:space="preserve"> </w:t>
      </w:r>
      <w:r w:rsidR="00830A63">
        <w:rPr>
          <w:snapToGrid/>
          <w:szCs w:val="22"/>
        </w:rPr>
        <w:t xml:space="preserve">did not address AT&amp;T’s request for a reduced rate for </w:t>
      </w:r>
      <w:r w:rsidRPr="00A26176">
        <w:rPr>
          <w:snapToGrid/>
          <w:szCs w:val="22"/>
        </w:rPr>
        <w:t>the period after December 31, 201</w:t>
      </w:r>
      <w:r w:rsidR="00571ECE">
        <w:rPr>
          <w:snapToGrid/>
          <w:szCs w:val="22"/>
        </w:rPr>
        <w:t>8,</w:t>
      </w:r>
      <w:r>
        <w:rPr>
          <w:snapToGrid/>
          <w:szCs w:val="22"/>
        </w:rPr>
        <w:t xml:space="preserve"> because,</w:t>
      </w:r>
      <w:r w:rsidR="00571ECE">
        <w:rPr>
          <w:snapToGrid/>
          <w:szCs w:val="22"/>
        </w:rPr>
        <w:t xml:space="preserve"> among other things</w:t>
      </w:r>
      <w:r>
        <w:rPr>
          <w:snapToGrid/>
          <w:szCs w:val="22"/>
        </w:rPr>
        <w:t xml:space="preserve">, </w:t>
      </w:r>
      <w:r w:rsidRPr="00A26176">
        <w:rPr>
          <w:snapToGrid/>
          <w:szCs w:val="22"/>
        </w:rPr>
        <w:t>FPL</w:t>
      </w:r>
      <w:r w:rsidR="00CE54F2">
        <w:rPr>
          <w:snapToGrid/>
          <w:szCs w:val="22"/>
        </w:rPr>
        <w:t xml:space="preserve"> argued </w:t>
      </w:r>
      <w:r w:rsidR="00CD72B3">
        <w:rPr>
          <w:snapToGrid/>
          <w:szCs w:val="22"/>
        </w:rPr>
        <w:t xml:space="preserve">in its answer to the Rate Complaint </w:t>
      </w:r>
      <w:r w:rsidR="00CE54F2">
        <w:rPr>
          <w:snapToGrid/>
          <w:szCs w:val="22"/>
        </w:rPr>
        <w:t>that its</w:t>
      </w:r>
      <w:r w:rsidRPr="00A26176">
        <w:rPr>
          <w:snapToGrid/>
          <w:szCs w:val="22"/>
        </w:rPr>
        <w:t xml:space="preserve"> Notice of Termination end</w:t>
      </w:r>
      <w:r w:rsidR="00CE54F2">
        <w:rPr>
          <w:snapToGrid/>
          <w:szCs w:val="22"/>
        </w:rPr>
        <w:t>ed</w:t>
      </w:r>
      <w:r w:rsidRPr="00A26176">
        <w:rPr>
          <w:snapToGrid/>
          <w:szCs w:val="22"/>
        </w:rPr>
        <w:t xml:space="preserve"> AT&amp;T’s </w:t>
      </w:r>
      <w:r w:rsidRPr="00A26176">
        <w:rPr>
          <w:snapToGrid/>
          <w:szCs w:val="22"/>
        </w:rPr>
        <w:t xml:space="preserve">right to attach to </w:t>
      </w:r>
      <w:r w:rsidR="00CE54F2">
        <w:rPr>
          <w:snapToGrid/>
          <w:szCs w:val="22"/>
        </w:rPr>
        <w:t>its</w:t>
      </w:r>
      <w:r>
        <w:rPr>
          <w:snapToGrid/>
          <w:szCs w:val="22"/>
        </w:rPr>
        <w:t xml:space="preserve"> </w:t>
      </w:r>
      <w:r w:rsidRPr="00A26176">
        <w:rPr>
          <w:snapToGrid/>
          <w:szCs w:val="22"/>
        </w:rPr>
        <w:t xml:space="preserve">poles </w:t>
      </w:r>
      <w:r w:rsidR="00CD72B3">
        <w:rPr>
          <w:szCs w:val="22"/>
        </w:rPr>
        <w:t>on</w:t>
      </w:r>
      <w:r w:rsidRPr="00A26176">
        <w:rPr>
          <w:szCs w:val="22"/>
        </w:rPr>
        <w:t xml:space="preserve"> </w:t>
      </w:r>
      <w:r>
        <w:rPr>
          <w:szCs w:val="22"/>
        </w:rPr>
        <w:t xml:space="preserve">March </w:t>
      </w:r>
      <w:r w:rsidR="00CD72B3">
        <w:rPr>
          <w:szCs w:val="22"/>
        </w:rPr>
        <w:t xml:space="preserve">25, </w:t>
      </w:r>
      <w:r w:rsidRPr="00A26176">
        <w:rPr>
          <w:szCs w:val="22"/>
        </w:rPr>
        <w:t>2019</w:t>
      </w:r>
      <w:r w:rsidR="00AB23E9">
        <w:rPr>
          <w:szCs w:val="22"/>
        </w:rPr>
        <w:t>, so that the question of AT&amp;T’s right to a lower</w:t>
      </w:r>
      <w:r w:rsidR="00ED0E82">
        <w:rPr>
          <w:szCs w:val="22"/>
        </w:rPr>
        <w:t xml:space="preserve"> rate after that </w:t>
      </w:r>
      <w:r w:rsidR="00CC71CA">
        <w:rPr>
          <w:szCs w:val="22"/>
        </w:rPr>
        <w:t xml:space="preserve">date </w:t>
      </w:r>
      <w:r w:rsidR="00ED0E82">
        <w:rPr>
          <w:szCs w:val="22"/>
        </w:rPr>
        <w:t>was moot</w:t>
      </w:r>
      <w:r w:rsidRPr="00A26176">
        <w:rPr>
          <w:snapToGrid/>
          <w:szCs w:val="22"/>
        </w:rPr>
        <w:t xml:space="preserve">.  </w:t>
      </w:r>
      <w:r w:rsidR="00CE54F2">
        <w:rPr>
          <w:snapToGrid/>
          <w:szCs w:val="22"/>
        </w:rPr>
        <w:t xml:space="preserve">The </w:t>
      </w:r>
      <w:r w:rsidRPr="00CE54F2" w:rsidR="00CE54F2">
        <w:rPr>
          <w:i/>
          <w:iCs/>
          <w:snapToGrid/>
          <w:szCs w:val="22"/>
        </w:rPr>
        <w:t>Order</w:t>
      </w:r>
      <w:r w:rsidR="00CE54F2">
        <w:rPr>
          <w:snapToGrid/>
          <w:szCs w:val="22"/>
        </w:rPr>
        <w:t xml:space="preserve"> explained</w:t>
      </w:r>
      <w:r w:rsidR="009A5A43">
        <w:rPr>
          <w:snapToGrid/>
          <w:szCs w:val="22"/>
        </w:rPr>
        <w:t xml:space="preserve"> that the </w:t>
      </w:r>
      <w:r w:rsidRPr="00A26176">
        <w:rPr>
          <w:snapToGrid/>
          <w:szCs w:val="22"/>
        </w:rPr>
        <w:t>“validity of the Notice of Termination</w:t>
      </w:r>
      <w:r w:rsidR="00FC0694">
        <w:rPr>
          <w:snapToGrid/>
          <w:szCs w:val="22"/>
        </w:rPr>
        <w:t xml:space="preserve"> </w:t>
      </w:r>
      <w:r w:rsidR="002B4044">
        <w:rPr>
          <w:snapToGrid/>
          <w:szCs w:val="22"/>
        </w:rPr>
        <w:t>. . .</w:t>
      </w:r>
      <w:r w:rsidR="00FC0694">
        <w:rPr>
          <w:snapToGrid/>
          <w:szCs w:val="22"/>
        </w:rPr>
        <w:t xml:space="preserve"> </w:t>
      </w:r>
      <w:r>
        <w:rPr>
          <w:snapToGrid/>
          <w:szCs w:val="22"/>
        </w:rPr>
        <w:t xml:space="preserve">is </w:t>
      </w:r>
      <w:r w:rsidRPr="00A26176">
        <w:rPr>
          <w:snapToGrid/>
          <w:szCs w:val="22"/>
        </w:rPr>
        <w:t>squarely before th</w:t>
      </w:r>
      <w:r>
        <w:rPr>
          <w:snapToGrid/>
          <w:szCs w:val="22"/>
        </w:rPr>
        <w:t xml:space="preserve">e </w:t>
      </w:r>
      <w:r w:rsidR="00830A63">
        <w:rPr>
          <w:snapToGrid/>
          <w:szCs w:val="22"/>
        </w:rPr>
        <w:t xml:space="preserve">[Florida] </w:t>
      </w:r>
      <w:r w:rsidRPr="00A26176">
        <w:rPr>
          <w:snapToGrid/>
          <w:szCs w:val="22"/>
        </w:rPr>
        <w:t>district court and is purely a matter of state contract law</w:t>
      </w:r>
      <w:r w:rsidR="005E2D29">
        <w:rPr>
          <w:snapToGrid/>
          <w:szCs w:val="22"/>
        </w:rPr>
        <w:t>, as AT&amp;T does not argue that the provision under which FPL gave</w:t>
      </w:r>
      <w:r w:rsidR="009A5A43">
        <w:rPr>
          <w:snapToGrid/>
          <w:szCs w:val="22"/>
        </w:rPr>
        <w:t xml:space="preserve"> notice</w:t>
      </w:r>
      <w:r w:rsidR="005E2D29">
        <w:rPr>
          <w:snapToGrid/>
          <w:szCs w:val="22"/>
        </w:rPr>
        <w:t xml:space="preserve"> [i.e., the Payment Default Clause] is unjust or unreasonable under section 224 of the Act</w:t>
      </w:r>
      <w:r w:rsidRPr="00A26176">
        <w:rPr>
          <w:snapToGrid/>
          <w:szCs w:val="22"/>
        </w:rPr>
        <w:t>.”</w:t>
      </w:r>
      <w:r>
        <w:rPr>
          <w:rStyle w:val="FootnoteReference"/>
          <w:sz w:val="22"/>
          <w:szCs w:val="22"/>
        </w:rPr>
        <w:footnoteReference w:id="18"/>
      </w:r>
      <w:bookmarkEnd w:id="2"/>
    </w:p>
    <w:p w:rsidR="00FC0694" w:rsidRPr="00830A63" w:rsidP="008E7C63" w14:paraId="61D76BF9" w14:textId="50659CDA">
      <w:pPr>
        <w:pStyle w:val="ParaNum"/>
        <w:tabs>
          <w:tab w:val="num" w:pos="990"/>
          <w:tab w:val="clear" w:pos="1440"/>
        </w:tabs>
        <w:ind w:left="-90"/>
        <w:rPr>
          <w:rStyle w:val="Hyperlink"/>
          <w:color w:val="auto"/>
          <w:szCs w:val="22"/>
          <w:u w:val="none"/>
        </w:rPr>
      </w:pPr>
      <w:r w:rsidRPr="00830A63">
        <w:rPr>
          <w:snapToGrid/>
          <w:kern w:val="0"/>
        </w:rPr>
        <w:t xml:space="preserve">On July 6, 2020, </w:t>
      </w:r>
      <w:r w:rsidRPr="00830A63">
        <w:rPr>
          <w:snapToGrid/>
          <w:color w:val="000000"/>
          <w:kern w:val="0"/>
        </w:rPr>
        <w:t xml:space="preserve">AT&amp;T filed the </w:t>
      </w:r>
      <w:r w:rsidRPr="00830A63" w:rsidR="005365FB">
        <w:rPr>
          <w:snapToGrid/>
          <w:color w:val="000000"/>
          <w:kern w:val="0"/>
        </w:rPr>
        <w:t>C</w:t>
      </w:r>
      <w:r w:rsidRPr="00830A63">
        <w:rPr>
          <w:snapToGrid/>
          <w:color w:val="000000"/>
          <w:kern w:val="0"/>
        </w:rPr>
        <w:t>omplaint</w:t>
      </w:r>
      <w:r w:rsidRPr="00830A63" w:rsidR="00120B86">
        <w:rPr>
          <w:snapToGrid/>
          <w:color w:val="000000"/>
          <w:kern w:val="0"/>
        </w:rPr>
        <w:t xml:space="preserve"> in</w:t>
      </w:r>
      <w:r w:rsidR="00B634AD">
        <w:rPr>
          <w:snapToGrid/>
          <w:color w:val="000000"/>
          <w:kern w:val="0"/>
        </w:rPr>
        <w:t>stituting</w:t>
      </w:r>
      <w:r w:rsidRPr="00830A63" w:rsidR="00120B86">
        <w:rPr>
          <w:snapToGrid/>
          <w:color w:val="000000"/>
          <w:kern w:val="0"/>
        </w:rPr>
        <w:t xml:space="preserve"> this proceeding.  </w:t>
      </w:r>
      <w:r w:rsidRPr="00830A63" w:rsidR="005020CB">
        <w:rPr>
          <w:snapToGrid/>
          <w:color w:val="000000"/>
          <w:kern w:val="0"/>
        </w:rPr>
        <w:t>Count I of the</w:t>
      </w:r>
      <w:r w:rsidRPr="00830A63" w:rsidR="00120B86">
        <w:rPr>
          <w:snapToGrid/>
          <w:color w:val="000000"/>
          <w:kern w:val="0"/>
        </w:rPr>
        <w:t xml:space="preserve"> Complaint </w:t>
      </w:r>
      <w:r w:rsidRPr="00830A63" w:rsidR="009E112D">
        <w:rPr>
          <w:snapToGrid/>
          <w:color w:val="000000"/>
          <w:kern w:val="0"/>
        </w:rPr>
        <w:t xml:space="preserve">alleges </w:t>
      </w:r>
      <w:r w:rsidRPr="00830A63" w:rsidR="00120B86">
        <w:rPr>
          <w:snapToGrid/>
          <w:color w:val="000000"/>
          <w:kern w:val="0"/>
        </w:rPr>
        <w:t xml:space="preserve">that </w:t>
      </w:r>
      <w:r w:rsidRPr="00830A63">
        <w:rPr>
          <w:snapToGrid/>
          <w:szCs w:val="22"/>
        </w:rPr>
        <w:t>the Payment Default Clause</w:t>
      </w:r>
      <w:r w:rsidR="00CA3B66">
        <w:rPr>
          <w:snapToGrid/>
          <w:szCs w:val="22"/>
        </w:rPr>
        <w:t xml:space="preserve">—that </w:t>
      </w:r>
      <w:r w:rsidRPr="00830A63">
        <w:rPr>
          <w:snapToGrid/>
          <w:szCs w:val="22"/>
        </w:rPr>
        <w:t xml:space="preserve">is, the provision </w:t>
      </w:r>
      <w:r w:rsidR="00CA3B66">
        <w:rPr>
          <w:snapToGrid/>
          <w:szCs w:val="22"/>
        </w:rPr>
        <w:t xml:space="preserve">FPL </w:t>
      </w:r>
      <w:r w:rsidRPr="00830A63">
        <w:rPr>
          <w:snapToGrid/>
          <w:szCs w:val="22"/>
        </w:rPr>
        <w:t>invoked in its Notice of Termination</w:t>
      </w:r>
      <w:r w:rsidR="00CA3B66">
        <w:rPr>
          <w:snapToGrid/>
          <w:szCs w:val="22"/>
        </w:rPr>
        <w:t xml:space="preserve">—is </w:t>
      </w:r>
      <w:r w:rsidRPr="00830A63" w:rsidR="00DF19E5">
        <w:rPr>
          <w:snapToGrid/>
          <w:szCs w:val="22"/>
        </w:rPr>
        <w:t xml:space="preserve">an </w:t>
      </w:r>
      <w:r w:rsidRPr="00830A63">
        <w:rPr>
          <w:snapToGrid/>
          <w:szCs w:val="22"/>
        </w:rPr>
        <w:t>unjust and unreasonable</w:t>
      </w:r>
      <w:r w:rsidRPr="00830A63" w:rsidR="00120B86">
        <w:rPr>
          <w:snapToGrid/>
          <w:szCs w:val="22"/>
        </w:rPr>
        <w:t xml:space="preserve"> </w:t>
      </w:r>
      <w:r w:rsidR="00A14C2D">
        <w:rPr>
          <w:snapToGrid/>
          <w:szCs w:val="22"/>
        </w:rPr>
        <w:t>term</w:t>
      </w:r>
      <w:r w:rsidRPr="00830A63" w:rsidR="00DF19E5">
        <w:rPr>
          <w:snapToGrid/>
          <w:szCs w:val="22"/>
        </w:rPr>
        <w:t xml:space="preserve">, and </w:t>
      </w:r>
      <w:r w:rsidR="00B634AD">
        <w:rPr>
          <w:snapToGrid/>
          <w:szCs w:val="22"/>
        </w:rPr>
        <w:t xml:space="preserve">that </w:t>
      </w:r>
      <w:r w:rsidRPr="00830A63" w:rsidR="00DF19E5">
        <w:rPr>
          <w:snapToGrid/>
          <w:szCs w:val="22"/>
        </w:rPr>
        <w:t xml:space="preserve">the Notice of Termination </w:t>
      </w:r>
      <w:r w:rsidR="00840852">
        <w:rPr>
          <w:snapToGrid/>
          <w:szCs w:val="22"/>
        </w:rPr>
        <w:t xml:space="preserve">is </w:t>
      </w:r>
      <w:r w:rsidRPr="00830A63" w:rsidR="00DF19E5">
        <w:rPr>
          <w:snapToGrid/>
          <w:szCs w:val="22"/>
        </w:rPr>
        <w:t xml:space="preserve">an </w:t>
      </w:r>
      <w:r w:rsidR="001B1E7D">
        <w:rPr>
          <w:snapToGrid/>
          <w:szCs w:val="22"/>
        </w:rPr>
        <w:t xml:space="preserve">unjust and </w:t>
      </w:r>
      <w:r w:rsidRPr="00830A63" w:rsidR="00DF19E5">
        <w:rPr>
          <w:snapToGrid/>
          <w:szCs w:val="22"/>
        </w:rPr>
        <w:t xml:space="preserve">unreasonable </w:t>
      </w:r>
      <w:r w:rsidR="00A14C2D">
        <w:rPr>
          <w:snapToGrid/>
          <w:szCs w:val="22"/>
        </w:rPr>
        <w:t>practice</w:t>
      </w:r>
      <w:r w:rsidRPr="00830A63" w:rsidR="00DF19E5">
        <w:rPr>
          <w:snapToGrid/>
          <w:szCs w:val="22"/>
        </w:rPr>
        <w:t xml:space="preserve">, </w:t>
      </w:r>
      <w:r w:rsidRPr="00830A63" w:rsidR="00120B86">
        <w:rPr>
          <w:snapToGrid/>
          <w:szCs w:val="22"/>
        </w:rPr>
        <w:t xml:space="preserve">within the meaning of </w:t>
      </w:r>
      <w:r w:rsidR="0066335A">
        <w:rPr>
          <w:snapToGrid/>
          <w:szCs w:val="22"/>
        </w:rPr>
        <w:t>s</w:t>
      </w:r>
      <w:r w:rsidRPr="00830A63" w:rsidR="00120B86">
        <w:rPr>
          <w:snapToGrid/>
          <w:szCs w:val="22"/>
        </w:rPr>
        <w:t>ection 224(</w:t>
      </w:r>
      <w:r w:rsidRPr="00830A63" w:rsidR="00120B86">
        <w:rPr>
          <w:rFonts w:eastAsia="Segoe UI Emoji"/>
          <w:snapToGrid/>
          <w:szCs w:val="22"/>
        </w:rPr>
        <w:t>b)(1)</w:t>
      </w:r>
      <w:r w:rsidR="00840852">
        <w:rPr>
          <w:rFonts w:eastAsia="Segoe UI Emoji"/>
          <w:snapToGrid/>
          <w:szCs w:val="22"/>
        </w:rPr>
        <w:t xml:space="preserve"> of the Act</w:t>
      </w:r>
      <w:r w:rsidRPr="00830A63" w:rsidR="00DF19E5">
        <w:rPr>
          <w:rFonts w:eastAsia="Segoe UI Emoji"/>
          <w:snapToGrid/>
          <w:szCs w:val="22"/>
        </w:rPr>
        <w:t>.  AT&amp;T</w:t>
      </w:r>
      <w:r w:rsidRPr="00830A63" w:rsidR="009E112D">
        <w:rPr>
          <w:rFonts w:eastAsia="Segoe UI Emoji"/>
          <w:snapToGrid/>
          <w:szCs w:val="22"/>
        </w:rPr>
        <w:t xml:space="preserve"> </w:t>
      </w:r>
      <w:r w:rsidRPr="00830A63" w:rsidR="009E112D">
        <w:rPr>
          <w:snapToGrid/>
          <w:szCs w:val="22"/>
        </w:rPr>
        <w:t xml:space="preserve">asks the Commission to order FPL to “cease and desist” from enforcing the </w:t>
      </w:r>
      <w:r w:rsidR="00A14C2D">
        <w:rPr>
          <w:snapToGrid/>
          <w:szCs w:val="22"/>
        </w:rPr>
        <w:t>Notice of Termination</w:t>
      </w:r>
      <w:r w:rsidRPr="00830A63" w:rsidR="009E112D">
        <w:rPr>
          <w:snapToGrid/>
          <w:szCs w:val="22"/>
        </w:rPr>
        <w:t>.</w:t>
      </w:r>
      <w:r>
        <w:rPr>
          <w:rStyle w:val="FootnoteReference"/>
          <w:snapToGrid/>
          <w:szCs w:val="22"/>
        </w:rPr>
        <w:footnoteReference w:id="19"/>
      </w:r>
      <w:r w:rsidRPr="00830A63">
        <w:rPr>
          <w:snapToGrid/>
          <w:szCs w:val="22"/>
        </w:rPr>
        <w:t xml:space="preserve"> </w:t>
      </w:r>
    </w:p>
    <w:p w:rsidR="00330540" w:rsidRPr="00C6547E" w:rsidP="00B34026" w14:paraId="1A207F39" w14:textId="083A6CF8">
      <w:pPr>
        <w:pStyle w:val="Heading1"/>
        <w:rPr>
          <w:szCs w:val="22"/>
        </w:rPr>
      </w:pPr>
      <w:r>
        <w:rPr>
          <w:szCs w:val="22"/>
        </w:rPr>
        <w:t>DISCUSSION</w:t>
      </w:r>
    </w:p>
    <w:p w:rsidR="003D4A81" w:rsidRPr="003D4A81" w:rsidP="004D68D2" w14:paraId="5D01EF88" w14:textId="2F4CA143">
      <w:pPr>
        <w:pStyle w:val="ParaNum"/>
        <w:widowControl/>
        <w:autoSpaceDE w:val="0"/>
        <w:autoSpaceDN w:val="0"/>
        <w:adjustRightInd w:val="0"/>
      </w:pPr>
      <w:r>
        <w:t xml:space="preserve">We deny the Application.  </w:t>
      </w:r>
      <w:r w:rsidRPr="00D2023E" w:rsidR="00EE6031">
        <w:rPr>
          <w:snapToGrid/>
          <w:szCs w:val="22"/>
        </w:rPr>
        <w:t>As the</w:t>
      </w:r>
      <w:r w:rsidR="00EE6031">
        <w:t xml:space="preserve"> </w:t>
      </w:r>
      <w:r w:rsidRPr="00D2023E" w:rsidR="00EE6031">
        <w:rPr>
          <w:i/>
          <w:iCs/>
        </w:rPr>
        <w:t>Order</w:t>
      </w:r>
      <w:r w:rsidR="00EE6031">
        <w:t xml:space="preserve"> explains, Count I would have served as a defense</w:t>
      </w:r>
      <w:r w:rsidR="00A80D32">
        <w:t>, if</w:t>
      </w:r>
      <w:r w:rsidR="004D68D2">
        <w:t xml:space="preserve"> </w:t>
      </w:r>
      <w:r w:rsidR="00A80D32">
        <w:t xml:space="preserve">it </w:t>
      </w:r>
      <w:r w:rsidR="00D75F05">
        <w:t>had been</w:t>
      </w:r>
      <w:r w:rsidR="00A80D32">
        <w:t xml:space="preserve"> timely raised,</w:t>
      </w:r>
      <w:r w:rsidR="00EE6031">
        <w:t xml:space="preserve"> to FPL’s assertion in the Rate Complaint proceeding that</w:t>
      </w:r>
      <w:r w:rsidR="0083096A">
        <w:t xml:space="preserve"> AT&amp;T’s request for a reduced attachment rate was moot after March 25, 2019</w:t>
      </w:r>
      <w:r w:rsidR="00A80D32">
        <w:t>.</w:t>
      </w:r>
      <w:r>
        <w:rPr>
          <w:rStyle w:val="FootnoteReference"/>
        </w:rPr>
        <w:footnoteReference w:id="20"/>
      </w:r>
      <w:r w:rsidRPr="00D2023E" w:rsidR="00EE6031">
        <w:rPr>
          <w:snapToGrid/>
          <w:color w:val="000000"/>
          <w:kern w:val="0"/>
        </w:rPr>
        <w:t xml:space="preserve">  </w:t>
      </w:r>
      <w:r w:rsidRPr="00D2023E" w:rsidR="00E52722">
        <w:rPr>
          <w:snapToGrid/>
          <w:color w:val="000000"/>
          <w:kern w:val="0"/>
        </w:rPr>
        <w:t>Yet</w:t>
      </w:r>
      <w:r w:rsidRPr="00D2023E" w:rsidR="000A2CF0">
        <w:rPr>
          <w:snapToGrid/>
          <w:color w:val="000000"/>
          <w:kern w:val="0"/>
        </w:rPr>
        <w:t>, in contravention of the Commission’s rules,</w:t>
      </w:r>
      <w:r w:rsidRPr="00D2023E" w:rsidR="00E52722">
        <w:rPr>
          <w:snapToGrid/>
          <w:color w:val="000000"/>
          <w:kern w:val="0"/>
        </w:rPr>
        <w:t xml:space="preserve"> </w:t>
      </w:r>
      <w:r w:rsidRPr="00D2023E" w:rsidR="00C61138">
        <w:rPr>
          <w:snapToGrid/>
          <w:color w:val="000000"/>
          <w:kern w:val="0"/>
        </w:rPr>
        <w:t xml:space="preserve">AT&amp;T waited more than </w:t>
      </w:r>
      <w:r w:rsidRPr="00D2023E" w:rsidR="00D6141B">
        <w:rPr>
          <w:snapToGrid/>
          <w:color w:val="000000"/>
          <w:kern w:val="0"/>
        </w:rPr>
        <w:t>one</w:t>
      </w:r>
      <w:r w:rsidRPr="00D2023E" w:rsidR="00C61138">
        <w:rPr>
          <w:snapToGrid/>
          <w:color w:val="000000"/>
          <w:kern w:val="0"/>
        </w:rPr>
        <w:t xml:space="preserve"> year to file Count</w:t>
      </w:r>
      <w:r w:rsidRPr="00D2023E" w:rsidR="000A2CF0">
        <w:rPr>
          <w:snapToGrid/>
          <w:color w:val="000000"/>
          <w:kern w:val="0"/>
        </w:rPr>
        <w:t> </w:t>
      </w:r>
      <w:r w:rsidRPr="00D2023E" w:rsidR="00C61138">
        <w:rPr>
          <w:snapToGrid/>
          <w:color w:val="000000"/>
          <w:kern w:val="0"/>
        </w:rPr>
        <w:t>I</w:t>
      </w:r>
      <w:r w:rsidRPr="00D2023E" w:rsidR="006C13C9">
        <w:rPr>
          <w:snapToGrid/>
          <w:color w:val="000000"/>
          <w:kern w:val="0"/>
        </w:rPr>
        <w:t>.</w:t>
      </w:r>
      <w:r>
        <w:rPr>
          <w:rStyle w:val="FootnoteReference"/>
          <w:snapToGrid/>
          <w:kern w:val="0"/>
        </w:rPr>
        <w:footnoteReference w:id="21"/>
      </w:r>
      <w:r w:rsidRPr="00D2023E" w:rsidR="006C13C9">
        <w:rPr>
          <w:snapToGrid/>
          <w:color w:val="000000"/>
          <w:kern w:val="0"/>
        </w:rPr>
        <w:t xml:space="preserve">  By then, the Bureau already had released the</w:t>
      </w:r>
      <w:r w:rsidRPr="00D2023E" w:rsidR="00C61138">
        <w:rPr>
          <w:snapToGrid/>
          <w:color w:val="000000"/>
          <w:kern w:val="0"/>
        </w:rPr>
        <w:t xml:space="preserve"> </w:t>
      </w:r>
      <w:r w:rsidRPr="00D2023E" w:rsidR="00C61138">
        <w:rPr>
          <w:i/>
          <w:iCs/>
          <w:snapToGrid/>
          <w:color w:val="000000"/>
          <w:kern w:val="0"/>
        </w:rPr>
        <w:t>Rate Order</w:t>
      </w:r>
      <w:r w:rsidRPr="00D2023E" w:rsidR="00C61138">
        <w:rPr>
          <w:snapToGrid/>
          <w:color w:val="000000"/>
          <w:kern w:val="0"/>
        </w:rPr>
        <w:t>, which</w:t>
      </w:r>
      <w:r w:rsidR="009F7DA2">
        <w:rPr>
          <w:snapToGrid/>
          <w:color w:val="000000"/>
          <w:kern w:val="0"/>
        </w:rPr>
        <w:t xml:space="preserve">—in </w:t>
      </w:r>
      <w:r w:rsidRPr="00D2023E" w:rsidR="00886CCD">
        <w:rPr>
          <w:snapToGrid/>
          <w:color w:val="000000"/>
          <w:kern w:val="0"/>
        </w:rPr>
        <w:t xml:space="preserve">the absence of any claim that the </w:t>
      </w:r>
      <w:r w:rsidRPr="00D2023E" w:rsidR="00D75F05">
        <w:rPr>
          <w:snapToGrid/>
          <w:color w:val="000000"/>
          <w:kern w:val="0"/>
        </w:rPr>
        <w:t xml:space="preserve">JUA provision under which the </w:t>
      </w:r>
      <w:r w:rsidRPr="00D2023E" w:rsidR="00886CCD">
        <w:rPr>
          <w:snapToGrid/>
          <w:color w:val="000000"/>
          <w:kern w:val="0"/>
        </w:rPr>
        <w:t>Notice of Termination</w:t>
      </w:r>
      <w:r w:rsidRPr="00D2023E" w:rsidR="009065DB">
        <w:rPr>
          <w:snapToGrid/>
          <w:color w:val="000000"/>
          <w:kern w:val="0"/>
        </w:rPr>
        <w:t xml:space="preserve"> was issued </w:t>
      </w:r>
      <w:r w:rsidRPr="00D2023E" w:rsidR="00886CCD">
        <w:rPr>
          <w:snapToGrid/>
          <w:color w:val="000000"/>
          <w:kern w:val="0"/>
        </w:rPr>
        <w:t>violated the Act or the Commission’s rules</w:t>
      </w:r>
      <w:r w:rsidR="009F7DA2">
        <w:rPr>
          <w:snapToGrid/>
          <w:color w:val="000000"/>
          <w:kern w:val="0"/>
        </w:rPr>
        <w:t xml:space="preserve">—found </w:t>
      </w:r>
      <w:r w:rsidRPr="00D2023E" w:rsidR="00C61138">
        <w:rPr>
          <w:snapToGrid/>
          <w:color w:val="000000"/>
          <w:kern w:val="0"/>
        </w:rPr>
        <w:t xml:space="preserve">that </w:t>
      </w:r>
      <w:r w:rsidRPr="00D2023E" w:rsidR="006C13C9">
        <w:rPr>
          <w:snapToGrid/>
          <w:color w:val="000000"/>
          <w:kern w:val="0"/>
        </w:rPr>
        <w:t xml:space="preserve">the </w:t>
      </w:r>
      <w:r w:rsidRPr="00D2023E" w:rsidR="001C0EDC">
        <w:rPr>
          <w:snapToGrid/>
          <w:color w:val="000000"/>
          <w:kern w:val="0"/>
        </w:rPr>
        <w:t>U.S.</w:t>
      </w:r>
      <w:r w:rsidRPr="00D2023E" w:rsidR="006C13C9">
        <w:rPr>
          <w:snapToGrid/>
          <w:color w:val="000000"/>
          <w:kern w:val="0"/>
        </w:rPr>
        <w:t xml:space="preserve"> District Court should decide </w:t>
      </w:r>
      <w:r w:rsidRPr="00D2023E" w:rsidR="00C61138">
        <w:rPr>
          <w:snapToGrid/>
          <w:color w:val="000000"/>
          <w:kern w:val="0"/>
        </w:rPr>
        <w:t>the effect of the Notice of Termination</w:t>
      </w:r>
      <w:r w:rsidRPr="00D2023E" w:rsidR="00886CCD">
        <w:rPr>
          <w:snapToGrid/>
          <w:color w:val="000000"/>
          <w:kern w:val="0"/>
        </w:rPr>
        <w:t xml:space="preserve"> by resolving the parties’ dispute </w:t>
      </w:r>
      <w:r w:rsidRPr="00D2023E" w:rsidR="00D75F05">
        <w:rPr>
          <w:snapToGrid/>
          <w:color w:val="000000"/>
          <w:kern w:val="0"/>
        </w:rPr>
        <w:t>under</w:t>
      </w:r>
      <w:r w:rsidRPr="00D2023E" w:rsidR="00886CCD">
        <w:rPr>
          <w:snapToGrid/>
          <w:color w:val="000000"/>
          <w:kern w:val="0"/>
        </w:rPr>
        <w:t xml:space="preserve"> state contract law</w:t>
      </w:r>
      <w:r w:rsidRPr="00D2023E" w:rsidR="00C61138">
        <w:rPr>
          <w:snapToGrid/>
          <w:color w:val="000000"/>
          <w:kern w:val="0"/>
        </w:rPr>
        <w:t>.</w:t>
      </w:r>
      <w:r>
        <w:rPr>
          <w:rStyle w:val="FootnoteReference"/>
          <w:snapToGrid/>
          <w:kern w:val="0"/>
        </w:rPr>
        <w:footnoteReference w:id="22"/>
      </w:r>
      <w:r w:rsidRPr="00D2023E" w:rsidR="00C61138">
        <w:rPr>
          <w:snapToGrid/>
          <w:color w:val="000000"/>
          <w:kern w:val="0"/>
        </w:rPr>
        <w:t xml:space="preserve">  </w:t>
      </w:r>
      <w:r w:rsidRPr="00D2023E" w:rsidR="00ED2F81">
        <w:rPr>
          <w:snapToGrid/>
          <w:color w:val="000000"/>
          <w:kern w:val="0"/>
        </w:rPr>
        <w:t>A</w:t>
      </w:r>
      <w:r w:rsidRPr="00D2023E" w:rsidR="00EE6031">
        <w:rPr>
          <w:snapToGrid/>
          <w:color w:val="000000"/>
          <w:kern w:val="0"/>
        </w:rPr>
        <w:t xml:space="preserve">llowing AT&amp;T’s Count I to proceed would </w:t>
      </w:r>
      <w:r w:rsidRPr="00D2023E" w:rsidR="00ED2F81">
        <w:rPr>
          <w:snapToGrid/>
          <w:color w:val="000000"/>
          <w:kern w:val="0"/>
        </w:rPr>
        <w:t xml:space="preserve">have </w:t>
      </w:r>
      <w:r w:rsidRPr="00D2023E" w:rsidR="00EE6031">
        <w:rPr>
          <w:snapToGrid/>
          <w:color w:val="000000"/>
          <w:kern w:val="0"/>
        </w:rPr>
        <w:t>prejudice</w:t>
      </w:r>
      <w:r w:rsidRPr="00D2023E" w:rsidR="00ED2F81">
        <w:rPr>
          <w:snapToGrid/>
          <w:color w:val="000000"/>
          <w:kern w:val="0"/>
        </w:rPr>
        <w:t>d</w:t>
      </w:r>
      <w:r w:rsidRPr="00D2023E" w:rsidR="00EE6031">
        <w:rPr>
          <w:snapToGrid/>
          <w:color w:val="000000"/>
          <w:kern w:val="0"/>
        </w:rPr>
        <w:t xml:space="preserve"> FPL and waste</w:t>
      </w:r>
      <w:r w:rsidRPr="00D2023E" w:rsidR="00ED2F81">
        <w:rPr>
          <w:snapToGrid/>
          <w:color w:val="000000"/>
          <w:kern w:val="0"/>
        </w:rPr>
        <w:t>d</w:t>
      </w:r>
      <w:r w:rsidRPr="00D2023E" w:rsidR="00EE6031">
        <w:rPr>
          <w:snapToGrid/>
          <w:color w:val="000000"/>
          <w:kern w:val="0"/>
        </w:rPr>
        <w:t xml:space="preserve"> the</w:t>
      </w:r>
      <w:r w:rsidRPr="00D2023E" w:rsidR="00ED2F81">
        <w:rPr>
          <w:snapToGrid/>
          <w:color w:val="000000"/>
          <w:kern w:val="0"/>
        </w:rPr>
        <w:t xml:space="preserve"> Commission’s</w:t>
      </w:r>
      <w:r w:rsidRPr="00D2023E" w:rsidR="00EE6031">
        <w:rPr>
          <w:snapToGrid/>
          <w:color w:val="000000"/>
          <w:kern w:val="0"/>
        </w:rPr>
        <w:t xml:space="preserve"> resources</w:t>
      </w:r>
      <w:r w:rsidRPr="00D2023E" w:rsidR="00004F20">
        <w:rPr>
          <w:snapToGrid/>
          <w:color w:val="000000"/>
          <w:kern w:val="0"/>
        </w:rPr>
        <w:t xml:space="preserve">.  </w:t>
      </w:r>
      <w:r w:rsidRPr="00D2023E" w:rsidR="001B4E3A">
        <w:rPr>
          <w:snapToGrid/>
          <w:color w:val="000000"/>
          <w:kern w:val="0"/>
        </w:rPr>
        <w:t>T</w:t>
      </w:r>
      <w:r w:rsidRPr="00D2023E" w:rsidR="00ED2F81">
        <w:rPr>
          <w:snapToGrid/>
          <w:color w:val="000000"/>
          <w:kern w:val="0"/>
        </w:rPr>
        <w:t xml:space="preserve">he </w:t>
      </w:r>
      <w:r w:rsidRPr="00D2023E" w:rsidR="00EE6031">
        <w:rPr>
          <w:i/>
          <w:iCs/>
          <w:snapToGrid/>
          <w:color w:val="000000"/>
          <w:kern w:val="0"/>
        </w:rPr>
        <w:t>Order</w:t>
      </w:r>
      <w:r w:rsidRPr="00D2023E" w:rsidR="00EE6031">
        <w:rPr>
          <w:snapToGrid/>
          <w:color w:val="000000"/>
          <w:kern w:val="0"/>
        </w:rPr>
        <w:t xml:space="preserve"> properly dismissed </w:t>
      </w:r>
      <w:r w:rsidRPr="00D2023E" w:rsidR="00C77D14">
        <w:rPr>
          <w:snapToGrid/>
          <w:color w:val="000000"/>
          <w:kern w:val="0"/>
        </w:rPr>
        <w:t xml:space="preserve">Count I </w:t>
      </w:r>
      <w:r w:rsidRPr="00D2023E" w:rsidR="00EE6031">
        <w:rPr>
          <w:snapToGrid/>
          <w:color w:val="000000"/>
          <w:kern w:val="0"/>
        </w:rPr>
        <w:t>with prejudice.</w:t>
      </w:r>
    </w:p>
    <w:p w:rsidR="003573F5" w:rsidP="003D4A81" w14:paraId="60CF0554" w14:textId="5CD2DD1C">
      <w:pPr>
        <w:pStyle w:val="ParaNum"/>
        <w:widowControl/>
        <w:autoSpaceDE w:val="0"/>
        <w:autoSpaceDN w:val="0"/>
        <w:adjustRightInd w:val="0"/>
      </w:pPr>
      <w:r>
        <w:t>A</w:t>
      </w:r>
      <w:r w:rsidR="001A5972">
        <w:t xml:space="preserve">T&amp;T makes </w:t>
      </w:r>
      <w:r w:rsidR="00830A63">
        <w:t xml:space="preserve">many of </w:t>
      </w:r>
      <w:r w:rsidR="001A5972">
        <w:t xml:space="preserve">the same arguments </w:t>
      </w:r>
      <w:r w:rsidR="008B08B5">
        <w:t xml:space="preserve">in its Application that </w:t>
      </w:r>
      <w:r w:rsidR="001A5972">
        <w:t>it made before the Bureau.  The</w:t>
      </w:r>
      <w:r w:rsidR="0070657D">
        <w:t xml:space="preserve"> </w:t>
      </w:r>
      <w:r w:rsidRPr="00D2023E" w:rsidR="0070657D">
        <w:rPr>
          <w:i/>
          <w:iCs/>
        </w:rPr>
        <w:t xml:space="preserve">Order </w:t>
      </w:r>
      <w:r w:rsidR="0070657D">
        <w:t xml:space="preserve">thoroughly </w:t>
      </w:r>
      <w:r w:rsidR="001A5972">
        <w:t xml:space="preserve">addressed </w:t>
      </w:r>
      <w:r w:rsidR="0070657D">
        <w:t>these arguments</w:t>
      </w:r>
      <w:r w:rsidR="001A5972">
        <w:t xml:space="preserve">, and our review </w:t>
      </w:r>
      <w:r w:rsidR="00004F20">
        <w:t xml:space="preserve">of the record and relevant law </w:t>
      </w:r>
      <w:r w:rsidR="001A5972">
        <w:t>establishes that the Bureau’s conclusions were correct.</w:t>
      </w:r>
      <w:r w:rsidR="00C44D65">
        <w:t xml:space="preserve">  </w:t>
      </w:r>
      <w:r w:rsidR="00D15D21">
        <w:t xml:space="preserve">Accordingly, </w:t>
      </w:r>
      <w:r w:rsidR="000565C5">
        <w:t xml:space="preserve">our discussion here </w:t>
      </w:r>
      <w:r w:rsidR="00835B1C">
        <w:t>is brief</w:t>
      </w:r>
      <w:r w:rsidR="00C44D65">
        <w:t>.</w:t>
      </w:r>
      <w:r w:rsidR="008654B6">
        <w:t xml:space="preserve">  </w:t>
      </w:r>
      <w:r w:rsidR="008B08B5">
        <w:t xml:space="preserve">First, </w:t>
      </w:r>
      <w:r>
        <w:t xml:space="preserve">AT&amp;T </w:t>
      </w:r>
      <w:r w:rsidR="000F3FB0">
        <w:t>asserts</w:t>
      </w:r>
      <w:r>
        <w:t xml:space="preserve"> </w:t>
      </w:r>
      <w:r w:rsidR="000565C5">
        <w:t xml:space="preserve">that </w:t>
      </w:r>
      <w:r w:rsidR="00CA7985">
        <w:t xml:space="preserve">the </w:t>
      </w:r>
      <w:r w:rsidRPr="00D2023E" w:rsidR="00CA7985">
        <w:rPr>
          <w:i/>
          <w:iCs/>
        </w:rPr>
        <w:t>Order</w:t>
      </w:r>
      <w:r w:rsidR="00CA7985">
        <w:t xml:space="preserve"> </w:t>
      </w:r>
      <w:r w:rsidR="000565C5">
        <w:t>“</w:t>
      </w:r>
      <w:r w:rsidRPr="00D2023E" w:rsidR="000565C5">
        <w:rPr>
          <w:i/>
          <w:iCs/>
        </w:rPr>
        <w:t>must</w:t>
      </w:r>
      <w:r w:rsidR="000565C5">
        <w:t xml:space="preserve"> be consistent with the governing statute” and that </w:t>
      </w:r>
      <w:r w:rsidR="009F7DA2">
        <w:t>s</w:t>
      </w:r>
      <w:r w:rsidR="000565C5">
        <w:t xml:space="preserve">ection </w:t>
      </w:r>
      <w:r>
        <w:t>224</w:t>
      </w:r>
      <w:r w:rsidR="00390E0D">
        <w:t>(b)(1)</w:t>
      </w:r>
      <w:r>
        <w:t xml:space="preserve"> </w:t>
      </w:r>
      <w:r w:rsidR="009E0024">
        <w:t xml:space="preserve">of the Act </w:t>
      </w:r>
      <w:r w:rsidR="000565C5">
        <w:t>“requires a decision</w:t>
      </w:r>
      <w:r w:rsidR="004D68D2">
        <w:t xml:space="preserve"> [because it states]</w:t>
      </w:r>
      <w:r w:rsidR="00896685">
        <w:t xml:space="preserve"> that the Commission</w:t>
      </w:r>
      <w:r w:rsidR="000565C5">
        <w:t xml:space="preserve"> </w:t>
      </w:r>
      <w:r w:rsidR="00896685">
        <w:t>‘</w:t>
      </w:r>
      <w:r w:rsidRPr="00D2023E" w:rsidR="00896685">
        <w:rPr>
          <w:i/>
          <w:iCs/>
          <w:snapToGrid/>
          <w:kern w:val="0"/>
          <w:szCs w:val="22"/>
        </w:rPr>
        <w:t xml:space="preserve">shall hear and resolve </w:t>
      </w:r>
      <w:r w:rsidRPr="00D2023E" w:rsidR="00896685">
        <w:rPr>
          <w:snapToGrid/>
          <w:kern w:val="0"/>
          <w:szCs w:val="22"/>
        </w:rPr>
        <w:t>complaints concerning [pole attachment] rates, terms, and conditions’ to ‘provide that such rates, terms, and conditions are just and reasonable</w:t>
      </w:r>
      <w:r w:rsidR="00D15D21">
        <w:t>.</w:t>
      </w:r>
      <w:r w:rsidR="00A15C0F">
        <w:t>’</w:t>
      </w:r>
      <w:r w:rsidR="00D15D21">
        <w:t>”</w:t>
      </w:r>
      <w:r>
        <w:rPr>
          <w:rStyle w:val="FootnoteReference"/>
        </w:rPr>
        <w:footnoteReference w:id="23"/>
      </w:r>
      <w:r w:rsidR="009E0024">
        <w:t xml:space="preserve">  </w:t>
      </w:r>
      <w:r>
        <w:t xml:space="preserve">However, </w:t>
      </w:r>
      <w:r w:rsidR="00C52B07">
        <w:t>s</w:t>
      </w:r>
      <w:r>
        <w:t>ection 224(b)(1)</w:t>
      </w:r>
      <w:r w:rsidR="009E0024">
        <w:t xml:space="preserve"> </w:t>
      </w:r>
      <w:r w:rsidR="00A14C2D">
        <w:t>obligate</w:t>
      </w:r>
      <w:r w:rsidR="009E0024">
        <w:t xml:space="preserve">s the </w:t>
      </w:r>
      <w:r>
        <w:t xml:space="preserve">Commission to </w:t>
      </w:r>
      <w:r w:rsidRPr="004D213C" w:rsidR="004D213C">
        <w:t>“</w:t>
      </w:r>
      <w:r w:rsidRPr="004D213C">
        <w:t xml:space="preserve">adopt procedures necessary and appropriate to hear and resolve </w:t>
      </w:r>
      <w:r w:rsidRPr="004D213C" w:rsidR="00A14C2D">
        <w:t xml:space="preserve">[pole attachment] </w:t>
      </w:r>
      <w:r w:rsidRPr="004D213C">
        <w:t>complaints</w:t>
      </w:r>
      <w:r w:rsidRPr="004D213C" w:rsidR="00835B1C">
        <w:t>,</w:t>
      </w:r>
      <w:r w:rsidRPr="004D213C" w:rsidR="008B08B5">
        <w:t>”</w:t>
      </w:r>
      <w:r w:rsidRPr="004D213C" w:rsidR="00835B1C">
        <w:t xml:space="preserve"> </w:t>
      </w:r>
      <w:r w:rsidRPr="004D213C" w:rsidR="000B0723">
        <w:t>and</w:t>
      </w:r>
      <w:r w:rsidR="000B0723">
        <w:t xml:space="preserve"> procedural rules </w:t>
      </w:r>
      <w:r w:rsidRPr="00D2023E" w:rsidR="00C01209">
        <w:rPr>
          <w:color w:val="000000"/>
          <w:szCs w:val="22"/>
        </w:rPr>
        <w:t xml:space="preserve">aimed at preventing prejudice </w:t>
      </w:r>
      <w:r w:rsidRPr="00D2023E" w:rsidR="00004F20">
        <w:rPr>
          <w:color w:val="000000"/>
          <w:szCs w:val="22"/>
        </w:rPr>
        <w:t xml:space="preserve">to the parties or the tribunal can </w:t>
      </w:r>
      <w:r w:rsidRPr="00D2023E" w:rsidR="00C01209">
        <w:rPr>
          <w:color w:val="000000"/>
          <w:szCs w:val="22"/>
        </w:rPr>
        <w:t>mean that the</w:t>
      </w:r>
      <w:r w:rsidRPr="00D2023E" w:rsidR="00654E11">
        <w:rPr>
          <w:color w:val="000000"/>
          <w:szCs w:val="22"/>
        </w:rPr>
        <w:t xml:space="preserve"> Commission does not address the</w:t>
      </w:r>
      <w:r w:rsidRPr="00D2023E" w:rsidR="00C01209">
        <w:rPr>
          <w:color w:val="000000"/>
          <w:szCs w:val="22"/>
        </w:rPr>
        <w:t xml:space="preserve"> merits of a claim.</w:t>
      </w:r>
      <w:r>
        <w:rPr>
          <w:rStyle w:val="FootnoteReference"/>
          <w:szCs w:val="22"/>
        </w:rPr>
        <w:footnoteReference w:id="24"/>
      </w:r>
      <w:r w:rsidR="00835B1C">
        <w:t xml:space="preserve"> </w:t>
      </w:r>
      <w:r w:rsidR="00004F20">
        <w:t xml:space="preserve"> </w:t>
      </w:r>
      <w:r w:rsidR="00835B1C">
        <w:t>Moreover,</w:t>
      </w:r>
      <w:r w:rsidR="00A14C2D">
        <w:t xml:space="preserve"> </w:t>
      </w:r>
      <w:r w:rsidR="00C52B07">
        <w:t>s</w:t>
      </w:r>
      <w:r w:rsidR="00F62946">
        <w:t xml:space="preserve">ection 4(j) of the Act and Commission rule 1.735 confer </w:t>
      </w:r>
      <w:r>
        <w:t xml:space="preserve">broad discretion on the Commission </w:t>
      </w:r>
      <w:r w:rsidR="001A5972">
        <w:t>in the conduct of its proceedings</w:t>
      </w:r>
      <w:r>
        <w:t>.</w:t>
      </w:r>
      <w:r>
        <w:rPr>
          <w:rStyle w:val="FootnoteReference"/>
        </w:rPr>
        <w:footnoteReference w:id="25"/>
      </w:r>
    </w:p>
    <w:p w:rsidR="003573F5" w:rsidP="00D25360" w14:paraId="1FBB0EE9" w14:textId="0F111F9D">
      <w:pPr>
        <w:pStyle w:val="ParaNum"/>
        <w:widowControl/>
      </w:pPr>
      <w:r>
        <w:t xml:space="preserve">AT&amp;T </w:t>
      </w:r>
      <w:r w:rsidR="003E0BC6">
        <w:t>contends</w:t>
      </w:r>
      <w:r>
        <w:t xml:space="preserve"> that the </w:t>
      </w:r>
      <w:r w:rsidRPr="0056209D" w:rsidR="0056209D">
        <w:rPr>
          <w:i/>
          <w:iCs/>
        </w:rPr>
        <w:t>Order</w:t>
      </w:r>
      <w:r w:rsidRPr="00DE4D9A" w:rsidR="0013435C">
        <w:t>, in applying the claim splitting doctrine,</w:t>
      </w:r>
      <w:r w:rsidR="0056209D">
        <w:t xml:space="preserve"> adopts a new </w:t>
      </w:r>
      <w:r w:rsidR="0013435C">
        <w:t xml:space="preserve">rule </w:t>
      </w:r>
      <w:r>
        <w:t xml:space="preserve"> </w:t>
      </w:r>
      <w:r w:rsidR="0056209D">
        <w:t xml:space="preserve">that </w:t>
      </w:r>
      <w:r>
        <w:t>has never before applied in a pole attachment complaint proceeding.</w:t>
      </w:r>
      <w:r>
        <w:rPr>
          <w:rStyle w:val="FootnoteReference"/>
        </w:rPr>
        <w:footnoteReference w:id="26"/>
      </w:r>
      <w:r>
        <w:t xml:space="preserve">  </w:t>
      </w:r>
      <w:r w:rsidR="00E464C2">
        <w:t xml:space="preserve">Yet, as </w:t>
      </w:r>
      <w:r>
        <w:t xml:space="preserve">the </w:t>
      </w:r>
      <w:r w:rsidRPr="003C2E9A">
        <w:rPr>
          <w:i/>
          <w:iCs/>
        </w:rPr>
        <w:t>Order</w:t>
      </w:r>
      <w:r>
        <w:t xml:space="preserve"> explains, </w:t>
      </w:r>
      <w:r w:rsidR="00E64155">
        <w:t xml:space="preserve">under </w:t>
      </w:r>
      <w:r>
        <w:t>the Commission’s rules</w:t>
      </w:r>
      <w:r w:rsidR="00E64155">
        <w:t>,</w:t>
      </w:r>
      <w:r>
        <w:t xml:space="preserve"> AT&amp;T should have filed </w:t>
      </w:r>
      <w:r w:rsidR="00CA7985">
        <w:t>Count I</w:t>
      </w:r>
      <w:r>
        <w:t xml:space="preserve"> in the </w:t>
      </w:r>
      <w:r w:rsidR="00E656D4">
        <w:t xml:space="preserve">earlier </w:t>
      </w:r>
      <w:r w:rsidR="0056209D">
        <w:t>Rate</w:t>
      </w:r>
      <w:r>
        <w:t xml:space="preserve"> Complaint proceeding.</w:t>
      </w:r>
      <w:r>
        <w:rPr>
          <w:rStyle w:val="FootnoteReference"/>
        </w:rPr>
        <w:footnoteReference w:id="27"/>
      </w:r>
      <w:r>
        <w:t xml:space="preserve">  AT&amp;T </w:t>
      </w:r>
      <w:r w:rsidR="0056209D">
        <w:t>maintains</w:t>
      </w:r>
      <w:r>
        <w:t xml:space="preserve"> that </w:t>
      </w:r>
      <w:r w:rsidR="00CA7985">
        <w:t>the Commission’s rules do not bar a plaintiff from filing a second complaint against the same defendant</w:t>
      </w:r>
      <w:r>
        <w:t>.</w:t>
      </w:r>
      <w:r>
        <w:rPr>
          <w:rStyle w:val="FootnoteReference"/>
        </w:rPr>
        <w:footnoteReference w:id="28"/>
      </w:r>
      <w:r>
        <w:t xml:space="preserve">  </w:t>
      </w:r>
      <w:r w:rsidR="005A1CA8">
        <w:t>A</w:t>
      </w:r>
      <w:r>
        <w:t xml:space="preserve">s </w:t>
      </w:r>
      <w:r w:rsidR="00081388">
        <w:t xml:space="preserve">discussed in the </w:t>
      </w:r>
      <w:r w:rsidRPr="00081388" w:rsidR="00081388">
        <w:rPr>
          <w:i/>
          <w:iCs/>
        </w:rPr>
        <w:t>Order</w:t>
      </w:r>
      <w:r>
        <w:t>,</w:t>
      </w:r>
      <w:r w:rsidR="005A1CA8">
        <w:t xml:space="preserve"> however,</w:t>
      </w:r>
      <w:r>
        <w:t xml:space="preserve"> AT&amp;T waited far too long to file </w:t>
      </w:r>
      <w:r w:rsidR="00081388">
        <w:t>Count I</w:t>
      </w:r>
      <w:r>
        <w:t xml:space="preserve"> because </w:t>
      </w:r>
      <w:r w:rsidR="00081388">
        <w:t>it was</w:t>
      </w:r>
      <w:r w:rsidR="00747564">
        <w:t xml:space="preserve"> directly relevant to FPL’s </w:t>
      </w:r>
      <w:r w:rsidR="009B624E">
        <w:t>arguments regarding</w:t>
      </w:r>
      <w:r w:rsidR="00747564">
        <w:t xml:space="preserve"> the Notice of Termination</w:t>
      </w:r>
      <w:r>
        <w:t>.</w:t>
      </w:r>
      <w:r>
        <w:rPr>
          <w:rStyle w:val="FootnoteReference"/>
        </w:rPr>
        <w:footnoteReference w:id="29"/>
      </w:r>
      <w:r w:rsidR="00EB1576">
        <w:t xml:space="preserve">  </w:t>
      </w:r>
      <w:r w:rsidR="00004F20">
        <w:t>AT&amp;T</w:t>
      </w:r>
      <w:r w:rsidR="000F3FB0">
        <w:t xml:space="preserve"> posits</w:t>
      </w:r>
      <w:r w:rsidR="00EB1576">
        <w:t xml:space="preserve"> that </w:t>
      </w:r>
      <w:r w:rsidR="00D86827">
        <w:t xml:space="preserve">the </w:t>
      </w:r>
      <w:r w:rsidRPr="00AD3707" w:rsidR="00D86827">
        <w:rPr>
          <w:i/>
          <w:iCs/>
        </w:rPr>
        <w:t>Order</w:t>
      </w:r>
      <w:r w:rsidR="00D86827">
        <w:t xml:space="preserve"> </w:t>
      </w:r>
      <w:r w:rsidR="00AD3707">
        <w:t xml:space="preserve">discourages settlement by </w:t>
      </w:r>
      <w:r w:rsidR="00D86827">
        <w:t>“</w:t>
      </w:r>
      <w:r w:rsidR="00D86827">
        <w:t>forc</w:t>
      </w:r>
      <w:r w:rsidR="00AD3707">
        <w:t>[</w:t>
      </w:r>
      <w:r w:rsidR="00AD3707">
        <w:t>ing</w:t>
      </w:r>
      <w:r w:rsidR="00AD3707">
        <w:t>]</w:t>
      </w:r>
      <w:r w:rsidR="00D86827">
        <w:t xml:space="preserve"> parties to </w:t>
      </w:r>
      <w:r w:rsidR="00EB1576">
        <w:t xml:space="preserve">bundle all </w:t>
      </w:r>
      <w:r w:rsidR="00D86827">
        <w:t xml:space="preserve">potential </w:t>
      </w:r>
      <w:r w:rsidR="00EB1576">
        <w:t>claims</w:t>
      </w:r>
      <w:r w:rsidR="00D86827">
        <w:t xml:space="preserve"> to avoid losing any</w:t>
      </w:r>
      <w:r w:rsidR="00AD3707">
        <w:t>.</w:t>
      </w:r>
      <w:r w:rsidR="00D86827">
        <w:t>”</w:t>
      </w:r>
      <w:r>
        <w:rPr>
          <w:rStyle w:val="FootnoteReference"/>
        </w:rPr>
        <w:footnoteReference w:id="30"/>
      </w:r>
      <w:r w:rsidR="00EB1576">
        <w:t xml:space="preserve">  </w:t>
      </w:r>
      <w:r w:rsidR="005A1CA8">
        <w:t>But, where</w:t>
      </w:r>
      <w:r w:rsidR="00AD3707">
        <w:t>, as here,</w:t>
      </w:r>
      <w:r w:rsidR="005A1CA8">
        <w:t xml:space="preserve"> </w:t>
      </w:r>
      <w:r w:rsidR="00AD3707">
        <w:t>the facts</w:t>
      </w:r>
      <w:r w:rsidR="00081388">
        <w:t xml:space="preserve"> in both claims </w:t>
      </w:r>
      <w:r w:rsidR="00AD3707">
        <w:t>are virtually</w:t>
      </w:r>
      <w:r w:rsidR="00EB1576">
        <w:t xml:space="preserve"> </w:t>
      </w:r>
      <w:r w:rsidR="00AD3707">
        <w:t xml:space="preserve">identical and </w:t>
      </w:r>
      <w:r w:rsidR="00081388">
        <w:t>one</w:t>
      </w:r>
      <w:r w:rsidR="00AD3707">
        <w:t xml:space="preserve"> claim is a </w:t>
      </w:r>
      <w:r w:rsidR="00081388">
        <w:t>respon</w:t>
      </w:r>
      <w:r w:rsidR="00AD3707">
        <w:t xml:space="preserve">se to the other party’s </w:t>
      </w:r>
      <w:r w:rsidR="001F6AF8">
        <w:t>defense</w:t>
      </w:r>
      <w:r w:rsidR="00AD3707">
        <w:t xml:space="preserve">, </w:t>
      </w:r>
      <w:r w:rsidR="004443B6">
        <w:t>“</w:t>
      </w:r>
      <w:r w:rsidR="001F6AF8">
        <w:t>bundling</w:t>
      </w:r>
      <w:r w:rsidR="004443B6">
        <w:t>”</w:t>
      </w:r>
      <w:r w:rsidR="001F6AF8">
        <w:t xml:space="preserve"> the two claims is likely to advance </w:t>
      </w:r>
      <w:r w:rsidR="00AD3707">
        <w:t>settlement</w:t>
      </w:r>
      <w:r w:rsidR="001F6AF8">
        <w:t xml:space="preserve"> rather than hinder it</w:t>
      </w:r>
      <w:r w:rsidR="00EB1576">
        <w:t>.</w:t>
      </w:r>
      <w:r>
        <w:rPr>
          <w:rStyle w:val="FootnoteReference"/>
        </w:rPr>
        <w:footnoteReference w:id="31"/>
      </w:r>
      <w:r w:rsidR="00EB1576">
        <w:t xml:space="preserve">  </w:t>
      </w:r>
    </w:p>
    <w:p w:rsidR="00DC0B13" w:rsidRPr="00DC0B13" w:rsidP="0057729E" w14:paraId="744BAC70" w14:textId="1200074B">
      <w:pPr>
        <w:pStyle w:val="ParaNum"/>
      </w:pPr>
      <w:bookmarkStart w:id="3" w:name="_Hlk89708735"/>
      <w:bookmarkStart w:id="4" w:name="_Hlk90553338"/>
      <w:bookmarkStart w:id="5" w:name="_Hlk87214117"/>
      <w:r>
        <w:t xml:space="preserve">AT&amp;T </w:t>
      </w:r>
      <w:r w:rsidR="00BC7DB1">
        <w:t>protest</w:t>
      </w:r>
      <w:r w:rsidR="00BF1CA0">
        <w:t>s</w:t>
      </w:r>
      <w:r w:rsidR="00C01EB1">
        <w:t xml:space="preserve"> </w:t>
      </w:r>
      <w:r>
        <w:t>that it could not have included Count I in the Rate Complaint proceeding  because it arises out of facts that took place after AT&amp;T filed the Rate Complaint</w:t>
      </w:r>
      <w:r w:rsidR="00D2023E">
        <w:t xml:space="preserve">, </w:t>
      </w:r>
      <w:r w:rsidR="00DF1D4E">
        <w:t xml:space="preserve">namely, </w:t>
      </w:r>
      <w:r>
        <w:t xml:space="preserve">FPL’s continued efforts to enforce the Notice of Termination even after AT&amp;T paid the invoice and the </w:t>
      </w:r>
      <w:r w:rsidRPr="00AD3707">
        <w:rPr>
          <w:i/>
          <w:iCs/>
        </w:rPr>
        <w:t>Rate Order</w:t>
      </w:r>
      <w:r>
        <w:t xml:space="preserve"> found that the JUA rate was excessive.</w:t>
      </w:r>
      <w:r>
        <w:rPr>
          <w:rStyle w:val="FootnoteReference"/>
        </w:rPr>
        <w:footnoteReference w:id="32"/>
      </w:r>
      <w:r>
        <w:t xml:space="preserve">  </w:t>
      </w:r>
      <w:r w:rsidRPr="000B017C" w:rsidR="00BD5A6A">
        <w:rPr>
          <w:szCs w:val="22"/>
        </w:rPr>
        <w:t xml:space="preserve">AT&amp;T mischaracterizes Count I.  AT&amp;T argued at length in Count I that </w:t>
      </w:r>
      <w:r w:rsidR="004A0A56">
        <w:rPr>
          <w:szCs w:val="22"/>
        </w:rPr>
        <w:t xml:space="preserve">FPL engaged in </w:t>
      </w:r>
      <w:r w:rsidRPr="000B017C" w:rsidR="00BD5A6A">
        <w:rPr>
          <w:szCs w:val="22"/>
        </w:rPr>
        <w:t>an unjust and unreasonable practice b</w:t>
      </w:r>
      <w:r w:rsidR="004A0A56">
        <w:rPr>
          <w:szCs w:val="22"/>
        </w:rPr>
        <w:t xml:space="preserve">y sending the Notice, which </w:t>
      </w:r>
      <w:r w:rsidR="00D20A51">
        <w:rPr>
          <w:szCs w:val="22"/>
        </w:rPr>
        <w:t xml:space="preserve">stated it </w:t>
      </w:r>
      <w:r w:rsidR="004A0A56">
        <w:rPr>
          <w:szCs w:val="22"/>
        </w:rPr>
        <w:t>was “effective immediately,”</w:t>
      </w:r>
      <w:r w:rsidRPr="000B017C" w:rsidR="00BD5A6A">
        <w:rPr>
          <w:szCs w:val="22"/>
        </w:rPr>
        <w:t xml:space="preserve"> before the parties had completed the JUA’s mandatory dispute resolution process.  Therefore, the facts out of which Count I arises took place the day FPL sent the Notice of Termination, which was three months before AT&amp;T filed the Rate Complaint.</w:t>
      </w:r>
      <w:r>
        <w:rPr>
          <w:rStyle w:val="FootnoteReference"/>
          <w:sz w:val="22"/>
          <w:szCs w:val="22"/>
        </w:rPr>
        <w:footnoteReference w:id="33"/>
      </w:r>
      <w:r w:rsidRPr="000B017C" w:rsidR="00BD5A6A">
        <w:rPr>
          <w:szCs w:val="22"/>
        </w:rPr>
        <w:t xml:space="preserve">  </w:t>
      </w:r>
      <w:bookmarkStart w:id="7" w:name="_Hlk89793551"/>
      <w:bookmarkStart w:id="8" w:name="_Hlk89795183"/>
      <w:bookmarkStart w:id="9" w:name="_Hlk90538645"/>
      <w:bookmarkStart w:id="10" w:name="_Hlk90542954"/>
      <w:bookmarkStart w:id="11" w:name="_Hlk90543595"/>
      <w:bookmarkStart w:id="12" w:name="_Hlk90550295"/>
    </w:p>
    <w:p w:rsidR="0024756F" w:rsidRPr="0024756F" w:rsidP="00DC0B13" w14:paraId="0CF4746B" w14:textId="3561C25A">
      <w:pPr>
        <w:pStyle w:val="ParaNum"/>
        <w:rPr>
          <w:szCs w:val="22"/>
        </w:rPr>
      </w:pPr>
      <w:r w:rsidRPr="000B017C">
        <w:rPr>
          <w:szCs w:val="22"/>
        </w:rPr>
        <w:t xml:space="preserve">AT&amp;T </w:t>
      </w:r>
      <w:r w:rsidR="00DC0B13">
        <w:rPr>
          <w:szCs w:val="22"/>
        </w:rPr>
        <w:t xml:space="preserve">further </w:t>
      </w:r>
      <w:r w:rsidR="000B017C">
        <w:rPr>
          <w:szCs w:val="22"/>
        </w:rPr>
        <w:t>argues that</w:t>
      </w:r>
      <w:r w:rsidR="00DC0B13">
        <w:rPr>
          <w:szCs w:val="22"/>
        </w:rPr>
        <w:t xml:space="preserve">, before filing the Rate Complaint, </w:t>
      </w:r>
      <w:r w:rsidRPr="00DC0B13" w:rsidR="00DC0B13">
        <w:rPr>
          <w:szCs w:val="22"/>
        </w:rPr>
        <w:t xml:space="preserve">FPL had </w:t>
      </w:r>
      <w:r w:rsidR="00DC0B13">
        <w:rPr>
          <w:szCs w:val="22"/>
        </w:rPr>
        <w:t>“</w:t>
      </w:r>
      <w:r w:rsidRPr="00DC0B13" w:rsidR="00DC0B13">
        <w:rPr>
          <w:szCs w:val="22"/>
        </w:rPr>
        <w:t>threatened to eject</w:t>
      </w:r>
      <w:r w:rsidR="00DC0B13">
        <w:rPr>
          <w:szCs w:val="22"/>
        </w:rPr>
        <w:t xml:space="preserve"> </w:t>
      </w:r>
      <w:r w:rsidRPr="00DC0B13" w:rsidR="00DC0B13">
        <w:rPr>
          <w:szCs w:val="22"/>
        </w:rPr>
        <w:t xml:space="preserve">AT&amp;T from FPL’s poles </w:t>
      </w:r>
      <w:r w:rsidRPr="00DC0B13" w:rsidR="00DC0B13">
        <w:rPr>
          <w:i/>
          <w:iCs/>
          <w:szCs w:val="22"/>
        </w:rPr>
        <w:t>if and only if</w:t>
      </w:r>
      <w:r w:rsidRPr="00DC0B13" w:rsidR="00DC0B13">
        <w:rPr>
          <w:szCs w:val="22"/>
        </w:rPr>
        <w:t xml:space="preserve"> AT&amp;T did not pay over $20 million in disputed pole</w:t>
      </w:r>
      <w:r w:rsidR="00DC0B13">
        <w:rPr>
          <w:szCs w:val="22"/>
        </w:rPr>
        <w:t xml:space="preserve"> </w:t>
      </w:r>
      <w:r w:rsidRPr="00DC0B13" w:rsidR="00DC0B13">
        <w:rPr>
          <w:szCs w:val="22"/>
        </w:rPr>
        <w:t>attachment rental invoices by the end</w:t>
      </w:r>
      <w:r w:rsidR="00DC0B13">
        <w:rPr>
          <w:szCs w:val="22"/>
        </w:rPr>
        <w:t xml:space="preserve"> of [the JUA’s] mediation process.”</w:t>
      </w:r>
      <w:r>
        <w:rPr>
          <w:rStyle w:val="FootnoteReference"/>
          <w:szCs w:val="22"/>
        </w:rPr>
        <w:footnoteReference w:id="34"/>
      </w:r>
      <w:r w:rsidR="00DC0B13">
        <w:rPr>
          <w:szCs w:val="22"/>
        </w:rPr>
        <w:t xml:space="preserve">  According to AT&amp;T, FPL’s statement led AT&amp;T </w:t>
      </w:r>
      <w:r w:rsidRPr="00DC0B13" w:rsidR="000B017C">
        <w:rPr>
          <w:szCs w:val="22"/>
        </w:rPr>
        <w:t>to believe that</w:t>
      </w:r>
      <w:r w:rsidRPr="00DC0B13">
        <w:rPr>
          <w:szCs w:val="22"/>
        </w:rPr>
        <w:t xml:space="preserve">, </w:t>
      </w:r>
      <w:r w:rsidRPr="00DC0B13" w:rsidR="00BB0CDF">
        <w:rPr>
          <w:szCs w:val="22"/>
        </w:rPr>
        <w:t>because it paid</w:t>
      </w:r>
      <w:r w:rsidRPr="00DC0B13">
        <w:rPr>
          <w:szCs w:val="22"/>
        </w:rPr>
        <w:t xml:space="preserve"> the 2017 invoice</w:t>
      </w:r>
      <w:r w:rsidRPr="00DC0B13" w:rsidR="0057729E">
        <w:rPr>
          <w:szCs w:val="22"/>
        </w:rPr>
        <w:t xml:space="preserve"> </w:t>
      </w:r>
      <w:r w:rsidR="002B36A1">
        <w:rPr>
          <w:szCs w:val="22"/>
        </w:rPr>
        <w:t>“within the time period demanded,”</w:t>
      </w:r>
      <w:r w:rsidRPr="00DC0B13">
        <w:rPr>
          <w:szCs w:val="22"/>
        </w:rPr>
        <w:t xml:space="preserve"> the Notice </w:t>
      </w:r>
      <w:r w:rsidR="00DC0B13">
        <w:rPr>
          <w:szCs w:val="22"/>
        </w:rPr>
        <w:t xml:space="preserve">had become </w:t>
      </w:r>
      <w:r w:rsidRPr="00DC0B13">
        <w:rPr>
          <w:szCs w:val="22"/>
        </w:rPr>
        <w:t>“moot.</w:t>
      </w:r>
      <w:r w:rsidRPr="00DC0B13" w:rsidR="000B017C">
        <w:rPr>
          <w:szCs w:val="22"/>
        </w:rPr>
        <w:t>”</w:t>
      </w:r>
      <w:r>
        <w:rPr>
          <w:rStyle w:val="FootnoteReference"/>
          <w:sz w:val="22"/>
          <w:szCs w:val="22"/>
        </w:rPr>
        <w:footnoteReference w:id="35"/>
      </w:r>
      <w:bookmarkEnd w:id="7"/>
      <w:r w:rsidRPr="00DC0B13">
        <w:rPr>
          <w:szCs w:val="22"/>
        </w:rPr>
        <w:t xml:space="preserve">  </w:t>
      </w:r>
      <w:bookmarkStart w:id="13" w:name="_Hlk89793487"/>
      <w:r w:rsidRPr="00DC0B13" w:rsidR="004A0A56">
        <w:rPr>
          <w:szCs w:val="22"/>
        </w:rPr>
        <w:t>AT&amp;T’s argument is not convincing</w:t>
      </w:r>
      <w:r w:rsidRPr="00DC0B13" w:rsidR="00F71CF1">
        <w:rPr>
          <w:szCs w:val="22"/>
        </w:rPr>
        <w:t xml:space="preserve">. </w:t>
      </w:r>
      <w:r w:rsidR="008A14AB">
        <w:rPr>
          <w:szCs w:val="22"/>
        </w:rPr>
        <w:t xml:space="preserve"> </w:t>
      </w:r>
      <w:r w:rsidRPr="00DC0B13">
        <w:rPr>
          <w:szCs w:val="22"/>
        </w:rPr>
        <w:t xml:space="preserve">AT&amp;T knew </w:t>
      </w:r>
      <w:r w:rsidRPr="00DC0B13" w:rsidR="00A935CF">
        <w:rPr>
          <w:szCs w:val="22"/>
        </w:rPr>
        <w:t>when</w:t>
      </w:r>
      <w:r w:rsidRPr="00DC0B13" w:rsidR="007A3058">
        <w:rPr>
          <w:szCs w:val="22"/>
        </w:rPr>
        <w:t xml:space="preserve"> it filed the Rate Complaint that FPL </w:t>
      </w:r>
      <w:r w:rsidRPr="00DC0B13" w:rsidR="008E1E06">
        <w:rPr>
          <w:szCs w:val="22"/>
        </w:rPr>
        <w:t>intended to</w:t>
      </w:r>
      <w:r w:rsidRPr="00DC0B13" w:rsidR="007A3058">
        <w:rPr>
          <w:szCs w:val="22"/>
        </w:rPr>
        <w:t xml:space="preserve"> enforc</w:t>
      </w:r>
      <w:r w:rsidRPr="00DC0B13" w:rsidR="008E1E06">
        <w:rPr>
          <w:szCs w:val="22"/>
        </w:rPr>
        <w:t>e</w:t>
      </w:r>
      <w:r w:rsidRPr="00DC0B13" w:rsidR="007A3058">
        <w:rPr>
          <w:szCs w:val="22"/>
        </w:rPr>
        <w:t xml:space="preserve"> the Notice because</w:t>
      </w:r>
      <w:r w:rsidR="005F698D">
        <w:t xml:space="preserve"> </w:t>
      </w:r>
      <w:r w:rsidRPr="00DC0B13" w:rsidR="005F698D">
        <w:rPr>
          <w:szCs w:val="22"/>
        </w:rPr>
        <w:t>FPL informed AT&amp;T</w:t>
      </w:r>
      <w:r w:rsidR="00A35D4E">
        <w:rPr>
          <w:szCs w:val="22"/>
        </w:rPr>
        <w:t xml:space="preserve"> a week earlier</w:t>
      </w:r>
      <w:r w:rsidRPr="00DC0B13" w:rsidR="005F698D">
        <w:rPr>
          <w:szCs w:val="22"/>
        </w:rPr>
        <w:t xml:space="preserve"> that </w:t>
      </w:r>
      <w:r w:rsidRPr="00DC0B13">
        <w:rPr>
          <w:szCs w:val="22"/>
        </w:rPr>
        <w:t xml:space="preserve">the </w:t>
      </w:r>
      <w:r w:rsidRPr="00DC0B13">
        <w:rPr>
          <w:szCs w:val="22"/>
        </w:rPr>
        <w:t xml:space="preserve">mediation </w:t>
      </w:r>
      <w:r w:rsidRPr="00DC0B13" w:rsidR="00DA4C9A">
        <w:rPr>
          <w:szCs w:val="22"/>
        </w:rPr>
        <w:t xml:space="preserve">was </w:t>
      </w:r>
      <w:r w:rsidRPr="00DC0B13">
        <w:rPr>
          <w:szCs w:val="22"/>
        </w:rPr>
        <w:t>“at an impasse” and demanded, pursuant to the Notice, that AT&amp;T begin removing its attachments.</w:t>
      </w:r>
      <w:r>
        <w:rPr>
          <w:rStyle w:val="FootnoteReference"/>
          <w:sz w:val="22"/>
          <w:szCs w:val="22"/>
        </w:rPr>
        <w:footnoteReference w:id="36"/>
      </w:r>
      <w:bookmarkEnd w:id="13"/>
      <w:r w:rsidRPr="000B017C" w:rsidR="00270E01">
        <w:t xml:space="preserve"> </w:t>
      </w:r>
      <w:bookmarkEnd w:id="3"/>
      <w:bookmarkEnd w:id="8"/>
      <w:r w:rsidR="00A3131F">
        <w:t xml:space="preserve"> </w:t>
      </w:r>
      <w:r w:rsidR="007A3058">
        <w:t>Further, AT&amp;T</w:t>
      </w:r>
      <w:r w:rsidR="00E05B16">
        <w:t xml:space="preserve"> </w:t>
      </w:r>
      <w:r w:rsidR="00F71A28">
        <w:t>knew that it had not satisfied all of FPL’s demands because it</w:t>
      </w:r>
      <w:r w:rsidR="00E12C12">
        <w:t xml:space="preserve"> </w:t>
      </w:r>
      <w:r w:rsidR="007A3058">
        <w:t>paid only the principal amount of the 2017 invoice</w:t>
      </w:r>
      <w:r>
        <w:t xml:space="preserve">; yet </w:t>
      </w:r>
      <w:r w:rsidR="00F71A28">
        <w:t xml:space="preserve">FPL demanded in </w:t>
      </w:r>
      <w:r w:rsidR="003C27EE">
        <w:t xml:space="preserve">the </w:t>
      </w:r>
      <w:r w:rsidR="007A3058">
        <w:t xml:space="preserve">Notice that AT&amp;T </w:t>
      </w:r>
      <w:r w:rsidR="003C27EE">
        <w:t xml:space="preserve">also </w:t>
      </w:r>
      <w:r w:rsidR="007A3058">
        <w:t>pay interest</w:t>
      </w:r>
      <w:r w:rsidR="0082200E">
        <w:t xml:space="preserve"> on the invoice</w:t>
      </w:r>
      <w:r w:rsidR="007A3058">
        <w:t>.</w:t>
      </w:r>
      <w:bookmarkEnd w:id="9"/>
      <w:bookmarkEnd w:id="10"/>
      <w:r>
        <w:rPr>
          <w:rStyle w:val="FootnoteReference"/>
        </w:rPr>
        <w:footnoteReference w:id="37"/>
      </w:r>
      <w:bookmarkEnd w:id="4"/>
      <w:bookmarkEnd w:id="11"/>
      <w:r w:rsidR="007A3058">
        <w:t xml:space="preserve"> </w:t>
      </w:r>
      <w:bookmarkEnd w:id="12"/>
      <w:r w:rsidRPr="002A451A" w:rsidR="002A451A">
        <w:t xml:space="preserve"> In any event, AT&amp;T </w:t>
      </w:r>
      <w:r>
        <w:t>was aware</w:t>
      </w:r>
      <w:r w:rsidRPr="002A451A" w:rsidR="002A451A">
        <w:t xml:space="preserve"> immediately </w:t>
      </w:r>
      <w:r w:rsidR="00105FBE">
        <w:t>up</w:t>
      </w:r>
      <w:r w:rsidRPr="002A451A" w:rsidR="002A451A">
        <w:t xml:space="preserve">on filing the Rate Complaint that FPL would seek to enforce the Notice of Termination because FPL filed suit </w:t>
      </w:r>
      <w:r w:rsidR="00105FBE">
        <w:t xml:space="preserve">on the same day </w:t>
      </w:r>
      <w:r w:rsidRPr="002A451A" w:rsidR="002A451A">
        <w:t>in Florida asking that AT&amp;T be ordered to remove its attachments.  In addition, FPL argued in its Answer to the Rate Complaint that AT&amp;T’s request for a lower rate after the date of the Notice was moot because the Notice ended AT&amp;T’s right to attach to FPL’s poles.</w:t>
      </w:r>
      <w:r>
        <w:rPr>
          <w:rStyle w:val="FootnoteReference"/>
        </w:rPr>
        <w:footnoteReference w:id="38"/>
      </w:r>
      <w:r w:rsidRPr="002A451A" w:rsidR="002A451A">
        <w:t xml:space="preserve">  Therefore, AT&amp;T should have, at a minimum, included Count I in its Reply or immediately filed Count I as a separate complaint</w:t>
      </w:r>
      <w:r w:rsidRPr="000B017C" w:rsidR="002A451A">
        <w:t>.</w:t>
      </w:r>
    </w:p>
    <w:p w:rsidR="0024756F" w:rsidRPr="0024756F" w:rsidP="00DC0B13" w14:paraId="6FBF1205" w14:textId="7D753101">
      <w:pPr>
        <w:pStyle w:val="ParaNum"/>
        <w:rPr>
          <w:szCs w:val="22"/>
        </w:rPr>
      </w:pPr>
      <w:r>
        <w:t>Thus</w:t>
      </w:r>
      <w:r>
        <w:t xml:space="preserve">, we deny the Application.  AT&amp;T should have filed Count I in the First Complaint proceeding or filed a separate complaint </w:t>
      </w:r>
      <w:r>
        <w:t>within a reasonable time</w:t>
      </w:r>
      <w:r>
        <w:t xml:space="preserve">.  AT&amp;T’s failure to file Count I in a timely manner means that it </w:t>
      </w:r>
      <w:r>
        <w:t xml:space="preserve">must </w:t>
      </w:r>
      <w:r>
        <w:t>be dismissed in order to avoid prejudice to FPL</w:t>
      </w:r>
      <w:r>
        <w:t xml:space="preserve"> and</w:t>
      </w:r>
      <w:r>
        <w:t xml:space="preserve"> the Commission</w:t>
      </w:r>
      <w:r>
        <w:t>,</w:t>
      </w:r>
      <w:r>
        <w:t xml:space="preserve"> and to </w:t>
      </w:r>
      <w:r>
        <w:t>ensure that future litigants are diligent in asserting their claims.</w:t>
      </w:r>
    </w:p>
    <w:p w:rsidR="0057729E" w:rsidRPr="00FE56C3" w:rsidP="008E2FE9" w14:paraId="5F29F522" w14:textId="232E1C6C">
      <w:pPr>
        <w:pStyle w:val="Heading1"/>
        <w:rPr>
          <w:szCs w:val="22"/>
        </w:rPr>
      </w:pPr>
      <w:r>
        <w:t xml:space="preserve"> </w:t>
      </w:r>
      <w:r w:rsidRPr="00FE56C3">
        <w:rPr>
          <w:szCs w:val="22"/>
        </w:rPr>
        <w:t>ORDERING CLAUSE</w:t>
      </w:r>
    </w:p>
    <w:bookmarkEnd w:id="5"/>
    <w:p w:rsidR="00AB3096" w:rsidRPr="00F9562D" w:rsidP="00AB3096" w14:paraId="43089738" w14:textId="710E934D">
      <w:pPr>
        <w:pStyle w:val="ParaNum"/>
      </w:pPr>
      <w:r w:rsidRPr="00F9562D">
        <w:t xml:space="preserve">Accordingly, </w:t>
      </w:r>
      <w:r w:rsidRPr="00C0700D">
        <w:rPr>
          <w:b/>
          <w:bCs/>
        </w:rPr>
        <w:t>IT IS HEREBY ORDERED</w:t>
      </w:r>
      <w:r>
        <w:t>,</w:t>
      </w:r>
      <w:r w:rsidRPr="00F9562D">
        <w:t xml:space="preserve"> </w:t>
      </w:r>
      <w:r w:rsidRPr="00C0700D">
        <w:rPr>
          <w:szCs w:val="22"/>
        </w:rPr>
        <w:t>pursuant</w:t>
      </w:r>
      <w:r w:rsidRPr="00F9562D">
        <w:t xml:space="preserve"> to sections 4(</w:t>
      </w:r>
      <w:r w:rsidRPr="00F9562D">
        <w:t>i</w:t>
      </w:r>
      <w:r w:rsidRPr="00F9562D">
        <w:t>), 4(j)</w:t>
      </w:r>
      <w:r w:rsidR="007A1871">
        <w:t>, 5(c)</w:t>
      </w:r>
      <w:r w:rsidRPr="00F9562D">
        <w:t xml:space="preserve"> and 224</w:t>
      </w:r>
      <w:r w:rsidR="001C0FC7">
        <w:t>(b)</w:t>
      </w:r>
      <w:r w:rsidRPr="00F9562D">
        <w:t xml:space="preserve"> of the </w:t>
      </w:r>
      <w:r w:rsidRPr="00C0700D">
        <w:rPr>
          <w:snapToGrid/>
        </w:rPr>
        <w:t>Communications</w:t>
      </w:r>
      <w:r w:rsidRPr="00F9562D">
        <w:t xml:space="preserve"> Act, 47 U.S.C. §§ 154(</w:t>
      </w:r>
      <w:r w:rsidRPr="00F9562D">
        <w:t>i</w:t>
      </w:r>
      <w:r w:rsidRPr="00F9562D">
        <w:t xml:space="preserve">), 154(j), </w:t>
      </w:r>
      <w:r w:rsidR="007A1871">
        <w:t xml:space="preserve">155(c), </w:t>
      </w:r>
      <w:r w:rsidRPr="00F9562D">
        <w:t>and 224</w:t>
      </w:r>
      <w:r w:rsidR="001C0FC7">
        <w:t>(b)</w:t>
      </w:r>
      <w:r w:rsidRPr="00F9562D">
        <w:t xml:space="preserve">, and sections </w:t>
      </w:r>
      <w:r w:rsidR="00D55D95">
        <w:t>1.115,</w:t>
      </w:r>
      <w:r w:rsidR="00E75EEF">
        <w:t xml:space="preserve"> </w:t>
      </w:r>
      <w:r w:rsidRPr="00F9562D">
        <w:t xml:space="preserve">1.720-1.740, 1.1401, </w:t>
      </w:r>
      <w:r w:rsidRPr="00F9562D" w:rsidR="0063458A">
        <w:t>1.140</w:t>
      </w:r>
      <w:r w:rsidR="0063458A">
        <w:t xml:space="preserve">4, </w:t>
      </w:r>
      <w:r w:rsidR="00EA651F">
        <w:t xml:space="preserve">1.1406, </w:t>
      </w:r>
      <w:r w:rsidRPr="00F9562D">
        <w:t xml:space="preserve">1.1407,  and 1.1413 of the Commission’s rules, 47 CFR §§ </w:t>
      </w:r>
      <w:r w:rsidR="00D55D95">
        <w:t xml:space="preserve">1.115, </w:t>
      </w:r>
      <w:r w:rsidRPr="00F9562D">
        <w:t xml:space="preserve">1.720-1.740, 1.1401, </w:t>
      </w:r>
      <w:r w:rsidRPr="00F9562D" w:rsidR="0063458A">
        <w:t>1.140</w:t>
      </w:r>
      <w:r w:rsidR="0063458A">
        <w:t xml:space="preserve">4, </w:t>
      </w:r>
      <w:r w:rsidR="00E75EEF">
        <w:t xml:space="preserve">1.1406, </w:t>
      </w:r>
      <w:r w:rsidRPr="00F9562D">
        <w:t>1.1407 and 1.1413,</w:t>
      </w:r>
      <w:r>
        <w:t xml:space="preserve"> that</w:t>
      </w:r>
      <w:r w:rsidRPr="00F9562D">
        <w:t xml:space="preserve"> th</w:t>
      </w:r>
      <w:r w:rsidR="00E75EEF">
        <w:t xml:space="preserve">e Application for Review is </w:t>
      </w:r>
      <w:r w:rsidRPr="00C0700D">
        <w:rPr>
          <w:b/>
          <w:bCs/>
        </w:rPr>
        <w:t>DENIED</w:t>
      </w:r>
      <w:r w:rsidRPr="00E75EEF" w:rsidR="00E75EEF">
        <w:t>,</w:t>
      </w:r>
      <w:r w:rsidRPr="00C0700D">
        <w:rPr>
          <w:b/>
          <w:bCs/>
        </w:rPr>
        <w:t xml:space="preserve"> </w:t>
      </w:r>
      <w:r w:rsidRPr="00F9562D">
        <w:t xml:space="preserve">and </w:t>
      </w:r>
      <w:r w:rsidR="00F526A4">
        <w:t xml:space="preserve">that </w:t>
      </w:r>
      <w:r w:rsidRPr="00F9562D">
        <w:t xml:space="preserve">this proceeding is </w:t>
      </w:r>
      <w:r w:rsidRPr="00C0700D">
        <w:rPr>
          <w:b/>
          <w:bCs/>
        </w:rPr>
        <w:t>TERMINATED</w:t>
      </w:r>
      <w:r w:rsidRPr="00F9562D">
        <w:t>.</w:t>
      </w:r>
    </w:p>
    <w:p w:rsidR="00AB3096" w:rsidP="00AB3096" w14:paraId="3B9E295E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96" w:rsidRPr="00F9562D" w:rsidP="00AB3096" w14:paraId="3DA5D5D0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562D">
        <w:t>FEDERAL COMMUNICATIONS COMMISSION</w:t>
      </w:r>
    </w:p>
    <w:p w:rsidR="00AB3096" w:rsidRPr="00F9562D" w:rsidP="00AB3096" w14:paraId="1E085E29" w14:textId="77777777"/>
    <w:p w:rsidR="00AB3096" w:rsidP="00AB3096" w14:paraId="42111D51" w14:textId="217109BD"/>
    <w:p w:rsidR="00765CF1" w:rsidP="00AB3096" w14:paraId="088F6E95" w14:textId="0191F238"/>
    <w:p w:rsidR="00765CF1" w:rsidRPr="00F9562D" w:rsidP="00AB3096" w14:paraId="570608A3" w14:textId="77777777"/>
    <w:p w:rsidR="00E75EEF" w:rsidP="00E75EEF" w14:paraId="186125B7" w14:textId="07FE53B8">
      <w:pPr>
        <w:ind w:left="3600" w:firstLine="720"/>
      </w:pPr>
      <w:r>
        <w:t>Marlene H. Dortch</w:t>
      </w:r>
      <w:r w:rsidRPr="00F9562D" w:rsidR="00AB3096">
        <w:tab/>
      </w:r>
      <w:r w:rsidRPr="00F9562D" w:rsidR="00AB3096">
        <w:tab/>
      </w:r>
      <w:r w:rsidRPr="00F9562D" w:rsidR="00AB3096">
        <w:tab/>
      </w:r>
      <w:r w:rsidRPr="00F9562D" w:rsidR="00AB3096">
        <w:tab/>
      </w:r>
      <w:bookmarkEnd w:id="0"/>
    </w:p>
    <w:p w:rsidR="00AB3096" w:rsidRPr="005A2552" w:rsidP="00E75EEF" w14:paraId="7B67A6A6" w14:textId="3A097884">
      <w:pPr>
        <w:ind w:left="3600" w:firstLine="720"/>
      </w:pPr>
      <w:r>
        <w:t>Secretary</w:t>
      </w:r>
    </w:p>
    <w:p w:rsidR="00412FC5" w:rsidP="00AB3096" w14:paraId="164F816A" w14:textId="77777777">
      <w:pPr>
        <w:pStyle w:val="Heading1"/>
        <w:numPr>
          <w:ilvl w:val="0"/>
          <w:numId w:val="0"/>
        </w:numPr>
        <w:ind w:left="720"/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93EA87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43D21A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791278E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54B59C06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26306D1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90D03" w14:paraId="5CB82890" w14:textId="77777777">
      <w:r>
        <w:separator/>
      </w:r>
    </w:p>
  </w:footnote>
  <w:footnote w:type="continuationSeparator" w:id="1">
    <w:p w:rsidR="00790D03" w:rsidP="00C721AC" w14:paraId="310D198B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90D03" w:rsidP="00C721AC" w14:paraId="4935AAF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A713BA" w:rsidP="00B75F66" w14:paraId="33D5D572" w14:textId="37BE7633">
      <w:pPr>
        <w:pStyle w:val="FootnoteText"/>
      </w:pPr>
      <w:r>
        <w:rPr>
          <w:rStyle w:val="FootnoteReference"/>
        </w:rPr>
        <w:footnoteRef/>
      </w:r>
      <w:r>
        <w:t xml:space="preserve"> Application for Review</w:t>
      </w:r>
      <w:r w:rsidRPr="009D3162">
        <w:t xml:space="preserve"> </w:t>
      </w:r>
      <w:r>
        <w:t xml:space="preserve">of </w:t>
      </w:r>
      <w:r w:rsidRPr="1D1DEB0C">
        <w:t>BellSouth Telecommunications, LLC d/b/a AT&amp;T Florida</w:t>
      </w:r>
      <w:r>
        <w:t>,</w:t>
      </w:r>
      <w:r w:rsidRPr="006C2E67">
        <w:rPr>
          <w:i/>
          <w:iCs/>
        </w:rPr>
        <w:t xml:space="preserve"> </w:t>
      </w:r>
      <w:r>
        <w:t>Proceeding Nos. 19-187 and 20-214, Bureau I</w:t>
      </w:r>
      <w:r w:rsidR="00060E4E">
        <w:t>D</w:t>
      </w:r>
      <w:r>
        <w:t xml:space="preserve"> Nos. EB-19-MD-006 and EB-20-MD-002 (filed Sept.15, 2021) (Application)</w:t>
      </w:r>
      <w:r w:rsidR="00060E4E">
        <w:t xml:space="preserve">.  FPL opposes the Application.  </w:t>
      </w:r>
      <w:r w:rsidRPr="00A73CD2" w:rsidR="00060E4E">
        <w:rPr>
          <w:i/>
          <w:iCs/>
        </w:rPr>
        <w:t>See</w:t>
      </w:r>
      <w:r w:rsidR="00060E4E">
        <w:t xml:space="preserve"> Respondent Florida Power &amp; Light Company’s Opposition to the Application for Review of BellSouth Telecommunications, LLC, d/b/a AT&amp;T Florida, Proceeding Nos. 19-187 and 20-214, Bureau ID Nos. EB-19-MD-006 and EB-20-MD-002 (filed Oct. 29, 2021).</w:t>
      </w:r>
      <w:r w:rsidR="00B75F66">
        <w:t xml:space="preserve">  </w:t>
      </w:r>
      <w:r w:rsidR="00B75F66">
        <w:rPr>
          <w:i/>
          <w:iCs/>
        </w:rPr>
        <w:t xml:space="preserve">See also </w:t>
      </w:r>
      <w:r w:rsidR="00B75F66">
        <w:t>BellSouth Telecommunications, LLC d/b/a AT&amp;T Florida’s Reply in Further Support of the Application for Review of Four Bureau Orders, Proceeding Nos. 19-187 and 20-214, Bureau ID Nos. EB-19-MD-006 and EB-20-MD-002 (filed Nov. 18, 2021).</w:t>
      </w:r>
    </w:p>
  </w:footnote>
  <w:footnote w:id="4">
    <w:p w:rsidR="00A713BA" w:rsidP="00A713BA" w14:paraId="2D6A477D" w14:textId="73EBFFB6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1D1DEB0C">
        <w:t>§</w:t>
      </w:r>
      <w:r>
        <w:t xml:space="preserve"> </w:t>
      </w:r>
      <w:r w:rsidR="00A55873">
        <w:t>15</w:t>
      </w:r>
      <w:r>
        <w:t>5(c)(4).</w:t>
      </w:r>
    </w:p>
  </w:footnote>
  <w:footnote w:id="5">
    <w:p w:rsidR="00A713BA" w:rsidP="00A713BA" w14:paraId="61454E6A" w14:textId="0668CA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078E">
        <w:rPr>
          <w:i/>
          <w:iCs/>
        </w:rPr>
        <w:t>See</w:t>
      </w:r>
      <w:r>
        <w:t xml:space="preserve"> </w:t>
      </w:r>
      <w:r w:rsidRPr="006F5B49">
        <w:rPr>
          <w:i/>
          <w:iCs/>
        </w:rPr>
        <w:t xml:space="preserve">BellSouth </w:t>
      </w:r>
      <w:r w:rsidRPr="006F5B49">
        <w:rPr>
          <w:i/>
          <w:iCs/>
        </w:rPr>
        <w:t>Telecomm</w:t>
      </w:r>
      <w:r>
        <w:rPr>
          <w:i/>
          <w:iCs/>
        </w:rPr>
        <w:t>’n</w:t>
      </w:r>
      <w:r w:rsidRPr="006F5B49">
        <w:rPr>
          <w:i/>
          <w:iCs/>
        </w:rPr>
        <w:t>s</w:t>
      </w:r>
      <w:r w:rsidRPr="006F5B49">
        <w:rPr>
          <w:i/>
          <w:iCs/>
        </w:rPr>
        <w:t>, LLC</w:t>
      </w:r>
      <w:r w:rsidR="00572252">
        <w:rPr>
          <w:i/>
          <w:iCs/>
        </w:rPr>
        <w:t xml:space="preserve"> d/b/a AT&amp;T Florida</w:t>
      </w:r>
      <w:r w:rsidRPr="006F5B49">
        <w:rPr>
          <w:i/>
          <w:iCs/>
        </w:rPr>
        <w:t xml:space="preserve"> v. Florida Power &amp; Light</w:t>
      </w:r>
      <w:r>
        <w:rPr>
          <w:i/>
          <w:iCs/>
        </w:rPr>
        <w:t xml:space="preserve"> Co.</w:t>
      </w:r>
      <w:r>
        <w:t xml:space="preserve">, Memorandum Opinion and Order, </w:t>
      </w:r>
      <w:r w:rsidR="00AD68BE">
        <w:t xml:space="preserve">(DA 21-1002) </w:t>
      </w:r>
      <w:r w:rsidR="00522D55">
        <w:t xml:space="preserve">2021 WL 3674254 </w:t>
      </w:r>
      <w:r>
        <w:t>(</w:t>
      </w:r>
      <w:r>
        <w:t>Enf</w:t>
      </w:r>
      <w:r>
        <w:t xml:space="preserve">. Bur. </w:t>
      </w:r>
      <w:r w:rsidR="00522D55">
        <w:t xml:space="preserve">Aug. 16, </w:t>
      </w:r>
      <w:r>
        <w:t>2021) (</w:t>
      </w:r>
      <w:r w:rsidRPr="006B4476">
        <w:rPr>
          <w:i/>
          <w:iCs/>
        </w:rPr>
        <w:t>Order</w:t>
      </w:r>
      <w:r>
        <w:t xml:space="preserve">).  AT&amp;T’s Application seeks review not only of the </w:t>
      </w:r>
      <w:r w:rsidRPr="00F83733">
        <w:rPr>
          <w:i/>
          <w:iCs/>
        </w:rPr>
        <w:t>Order</w:t>
      </w:r>
      <w:r>
        <w:t xml:space="preserve">, but also of </w:t>
      </w:r>
      <w:r w:rsidR="00850099">
        <w:t xml:space="preserve">three </w:t>
      </w:r>
      <w:r>
        <w:t xml:space="preserve">Enforcement Bureau orders released in a </w:t>
      </w:r>
      <w:r w:rsidR="00DA30A3">
        <w:t>related</w:t>
      </w:r>
      <w:r w:rsidR="00850099">
        <w:t>, earlier-filed,</w:t>
      </w:r>
      <w:r>
        <w:t xml:space="preserve"> complaint proceeding</w:t>
      </w:r>
      <w:r w:rsidR="002E450B">
        <w:t xml:space="preserve"> </w:t>
      </w:r>
      <w:r w:rsidR="00DA30A3">
        <w:t xml:space="preserve">that </w:t>
      </w:r>
      <w:r>
        <w:t xml:space="preserve">AT&amp;T </w:t>
      </w:r>
      <w:r w:rsidR="00DA30A3">
        <w:t xml:space="preserve">brought </w:t>
      </w:r>
      <w:r>
        <w:t>against F</w:t>
      </w:r>
      <w:r w:rsidR="00C76F6C">
        <w:t>PL</w:t>
      </w:r>
      <w:r w:rsidR="00DA30A3">
        <w:t xml:space="preserve">.  </w:t>
      </w:r>
      <w:r w:rsidR="00DA30A3">
        <w:rPr>
          <w:i/>
          <w:iCs/>
        </w:rPr>
        <w:t>See</w:t>
      </w:r>
      <w:r w:rsidR="00DA30A3">
        <w:t xml:space="preserve"> Application at 2</w:t>
      </w:r>
      <w:r w:rsidR="00A507B2">
        <w:t>-18</w:t>
      </w:r>
      <w:r w:rsidR="00DA30A3">
        <w:t xml:space="preserve"> (challenging aspects of</w:t>
      </w:r>
      <w:r w:rsidR="00A507B2">
        <w:t xml:space="preserve"> </w:t>
      </w:r>
      <w:r w:rsidR="00850099">
        <w:t xml:space="preserve">the </w:t>
      </w:r>
      <w:r w:rsidR="002F32C6">
        <w:t>“</w:t>
      </w:r>
      <w:r w:rsidR="00A507B2">
        <w:t>rate</w:t>
      </w:r>
      <w:r w:rsidR="00DA30A3">
        <w:t xml:space="preserve"> </w:t>
      </w:r>
      <w:r w:rsidR="00A507B2">
        <w:t>orders</w:t>
      </w:r>
      <w:r w:rsidR="002F32C6">
        <w:t>”</w:t>
      </w:r>
      <w:r w:rsidR="00A507B2">
        <w:t xml:space="preserve"> </w:t>
      </w:r>
      <w:r w:rsidR="00DA30A3">
        <w:t>released in Proceeding N</w:t>
      </w:r>
      <w:r w:rsidR="00971C36">
        <w:t>o.</w:t>
      </w:r>
      <w:r w:rsidR="00DA30A3">
        <w:t xml:space="preserve"> 19-187). </w:t>
      </w:r>
      <w:r w:rsidR="00971C36">
        <w:t xml:space="preserve"> We resolve in a separate order the Application insofar as it pertains to Proceeding No. 19-187.</w:t>
      </w:r>
      <w:r w:rsidR="00DA30A3">
        <w:t xml:space="preserve"> </w:t>
      </w:r>
    </w:p>
  </w:footnote>
  <w:footnote w:id="6">
    <w:p w:rsidR="00217DBF" w:rsidP="00217DBF" w14:paraId="40CC93CD" w14:textId="3543F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FD3">
        <w:t>Pole Attachment Complaint, Proceeding No. 20-214</w:t>
      </w:r>
      <w:r>
        <w:t>,</w:t>
      </w:r>
      <w:r w:rsidRPr="009862E7">
        <w:t xml:space="preserve"> </w:t>
      </w:r>
      <w:r>
        <w:t>Bureau I</w:t>
      </w:r>
      <w:r w:rsidR="00306FE0">
        <w:t>D</w:t>
      </w:r>
      <w:r>
        <w:t xml:space="preserve"> No. EB-20-MD-002</w:t>
      </w:r>
      <w:r w:rsidRPr="00512FD3">
        <w:t xml:space="preserve"> (filed July 6, 2020)</w:t>
      </w:r>
      <w:r w:rsidR="00614D05">
        <w:t xml:space="preserve"> (Complaint)</w:t>
      </w:r>
      <w:r>
        <w:t>.</w:t>
      </w:r>
      <w:r>
        <w:t xml:space="preserve">  </w:t>
      </w:r>
      <w:r w:rsidRPr="009D3162">
        <w:rPr>
          <w:i/>
          <w:iCs/>
        </w:rPr>
        <w:t>See</w:t>
      </w:r>
      <w:r>
        <w:t xml:space="preserve"> Application at 18-25.  AT&amp;T does not challenge the </w:t>
      </w:r>
      <w:r w:rsidRPr="00ED4BC6">
        <w:rPr>
          <w:i/>
          <w:iCs/>
        </w:rPr>
        <w:t>Order</w:t>
      </w:r>
      <w:r>
        <w:t xml:space="preserve"> insofar as it </w:t>
      </w:r>
      <w:bookmarkStart w:id="1" w:name="_Hlk89781367"/>
      <w:r w:rsidR="007B6EED">
        <w:t>resolved the re</w:t>
      </w:r>
      <w:r w:rsidR="00EF73AC">
        <w:t>st</w:t>
      </w:r>
      <w:r w:rsidR="007B6EED">
        <w:t xml:space="preserve"> of AT&amp;T’s Complaint, which allege</w:t>
      </w:r>
      <w:r w:rsidR="00021A22">
        <w:t>s</w:t>
      </w:r>
      <w:r w:rsidR="007B6EED">
        <w:t xml:space="preserve"> at Count II that the JUA’s pole abandonment clause </w:t>
      </w:r>
      <w:r w:rsidR="00021A22">
        <w:t>i</w:t>
      </w:r>
      <w:r w:rsidR="007B6EED">
        <w:t>s unjust and unreasonable.</w:t>
      </w:r>
      <w:bookmarkEnd w:id="1"/>
      <w:r>
        <w:t xml:space="preserve">  </w:t>
      </w:r>
      <w:r>
        <w:rPr>
          <w:i/>
          <w:iCs/>
        </w:rPr>
        <w:t xml:space="preserve">See </w:t>
      </w:r>
      <w:r>
        <w:t xml:space="preserve">Application at 19.    </w:t>
      </w:r>
    </w:p>
    <w:p w:rsidR="00A713BA" w:rsidP="00A713BA" w14:paraId="3ADE27B4" w14:textId="034EF6B2">
      <w:pPr>
        <w:pStyle w:val="FootnoteText"/>
      </w:pPr>
    </w:p>
  </w:footnote>
  <w:footnote w:id="7">
    <w:p w:rsidR="00A713BA" w:rsidP="00A713BA" w14:paraId="77A5ED25" w14:textId="5E043C5F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1D1DEB0C">
        <w:t>§</w:t>
      </w:r>
      <w:r>
        <w:t xml:space="preserve"> 224(b). </w:t>
      </w:r>
      <w:r w:rsidR="00A00FC8">
        <w:t xml:space="preserve"> </w:t>
      </w:r>
      <w:r w:rsidRPr="009D3162">
        <w:rPr>
          <w:i/>
          <w:iCs/>
        </w:rPr>
        <w:t>See</w:t>
      </w:r>
      <w:r>
        <w:t xml:space="preserve"> </w:t>
      </w:r>
      <w:r w:rsidR="009752CE">
        <w:t>Complaint at 4-15, paras. 8-25, 30-31, paras. 48-51.</w:t>
      </w:r>
      <w:r>
        <w:t xml:space="preserve">    </w:t>
      </w:r>
    </w:p>
  </w:footnote>
  <w:footnote w:id="8">
    <w:p w:rsidR="00761B8E" w:rsidP="00761B8E" w14:paraId="0DCA63A5" w14:textId="50EED91B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>
        <w:rPr>
          <w:i/>
          <w:iCs/>
        </w:rPr>
        <w:t>Order</w:t>
      </w:r>
      <w:r>
        <w:t xml:space="preserve"> details more fully the background of this proceeding</w:t>
      </w:r>
      <w:r>
        <w:rPr>
          <w:i/>
          <w:iCs/>
        </w:rPr>
        <w:t xml:space="preserve">.  </w:t>
      </w:r>
      <w:r w:rsidRPr="00736949">
        <w:rPr>
          <w:i/>
          <w:iCs/>
        </w:rPr>
        <w:t>See Order</w:t>
      </w:r>
      <w:r>
        <w:t xml:space="preserve">, 2021 WL 3674254 at *1-3, paras. 2-12.  </w:t>
      </w:r>
    </w:p>
  </w:footnote>
  <w:footnote w:id="9">
    <w:p w:rsidR="005E3508" w:rsidP="005E3508" w14:paraId="69F7B5F4" w14:textId="77777777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1D1DEB0C">
        <w:t>§</w:t>
      </w:r>
      <w:r>
        <w:t xml:space="preserve"> 224(b)(1).</w:t>
      </w:r>
    </w:p>
  </w:footnote>
  <w:footnote w:id="10">
    <w:p w:rsidR="005E3508" w14:paraId="2C922568" w14:textId="54D92EFA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1D1DEB0C">
        <w:t>§</w:t>
      </w:r>
      <w:r>
        <w:t xml:space="preserve"> 224(b)(1).</w:t>
      </w:r>
    </w:p>
  </w:footnote>
  <w:footnote w:id="11">
    <w:p w:rsidR="00330540" w:rsidP="00330540" w14:paraId="77F1928D" w14:textId="7CF4A2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06B0">
        <w:rPr>
          <w:i/>
          <w:iCs/>
        </w:rPr>
        <w:t>See</w:t>
      </w:r>
      <w:r>
        <w:t xml:space="preserve"> Complaint </w:t>
      </w:r>
      <w:r>
        <w:t>Ex</w:t>
      </w:r>
      <w:r w:rsidR="00C76F6C">
        <w:t>h</w:t>
      </w:r>
      <w:r>
        <w:t>. 2.</w:t>
      </w:r>
    </w:p>
  </w:footnote>
  <w:footnote w:id="12">
    <w:p w:rsidR="00330540" w:rsidP="00330540" w14:paraId="09902E5A" w14:textId="500213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06B0">
        <w:rPr>
          <w:i/>
          <w:iCs/>
        </w:rPr>
        <w:t>See</w:t>
      </w:r>
      <w:r>
        <w:t xml:space="preserve"> Complaint </w:t>
      </w:r>
      <w:r>
        <w:t>Ex</w:t>
      </w:r>
      <w:r w:rsidR="00C76F6C">
        <w:t>h</w:t>
      </w:r>
      <w:r>
        <w:t>. 5</w:t>
      </w:r>
      <w:r w:rsidR="00B279BA">
        <w:t xml:space="preserve">.  </w:t>
      </w:r>
      <w:r w:rsidR="00B279BA">
        <w:rPr>
          <w:i/>
          <w:iCs/>
        </w:rPr>
        <w:t>See also</w:t>
      </w:r>
      <w:r w:rsidR="00126C3E">
        <w:t xml:space="preserve"> </w:t>
      </w:r>
      <w:r w:rsidRPr="00346095" w:rsidR="00126C3E">
        <w:rPr>
          <w:i/>
          <w:iCs/>
        </w:rPr>
        <w:t>Implementation of Section 224 of the Act</w:t>
      </w:r>
      <w:r w:rsidRPr="00346095" w:rsidR="00126C3E">
        <w:t xml:space="preserve">, Report and Order and Order on Reconsideration, 26 FCC </w:t>
      </w:r>
      <w:r w:rsidRPr="00346095" w:rsidR="00126C3E">
        <w:t>Rcd</w:t>
      </w:r>
      <w:r w:rsidRPr="00346095" w:rsidR="00126C3E">
        <w:t xml:space="preserve"> 5240 (2011) (</w:t>
      </w:r>
      <w:r w:rsidR="00126C3E">
        <w:rPr>
          <w:i/>
          <w:iCs/>
        </w:rPr>
        <w:t xml:space="preserve">2011 </w:t>
      </w:r>
      <w:r w:rsidRPr="00346095" w:rsidR="00126C3E">
        <w:rPr>
          <w:i/>
          <w:iCs/>
        </w:rPr>
        <w:t xml:space="preserve">Pole Attachment </w:t>
      </w:r>
      <w:r w:rsidRPr="00765BB5" w:rsidR="00126C3E">
        <w:rPr>
          <w:i/>
          <w:iCs/>
        </w:rPr>
        <w:t>Order</w:t>
      </w:r>
      <w:r w:rsidRPr="00765BB5" w:rsidR="00126C3E">
        <w:t xml:space="preserve">), </w:t>
      </w:r>
      <w:r w:rsidRPr="00765BB5" w:rsidR="00126C3E">
        <w:rPr>
          <w:i/>
          <w:iCs/>
        </w:rPr>
        <w:t>aff’d, Am. Elec. Power Serv. Corp. v. FCC</w:t>
      </w:r>
      <w:r w:rsidRPr="00765BB5" w:rsidR="00126C3E">
        <w:t xml:space="preserve">, 708 F.3d 183 (D.C. Cir. 2013), </w:t>
      </w:r>
      <w:r w:rsidRPr="00765BB5" w:rsidR="00126C3E">
        <w:rPr>
          <w:i/>
          <w:iCs/>
        </w:rPr>
        <w:t>cert. denied</w:t>
      </w:r>
      <w:r w:rsidRPr="00765BB5" w:rsidR="00126C3E">
        <w:t>, 571 U.S. 940 (2013)</w:t>
      </w:r>
      <w:r w:rsidR="00126C3E">
        <w:t xml:space="preserve">; </w:t>
      </w:r>
      <w:r w:rsidRPr="007E746A" w:rsidR="00126C3E">
        <w:rPr>
          <w:i/>
          <w:iCs/>
        </w:rPr>
        <w:t xml:space="preserve">Accelerating Wireline Broadband Deployment by Removing Barriers to Infrastructure </w:t>
      </w:r>
      <w:r w:rsidR="00126C3E">
        <w:rPr>
          <w:i/>
          <w:iCs/>
        </w:rPr>
        <w:t>Investment</w:t>
      </w:r>
      <w:r w:rsidRPr="007E746A" w:rsidR="00126C3E">
        <w:t>, Third Report and Order</w:t>
      </w:r>
      <w:r w:rsidR="00126C3E">
        <w:t xml:space="preserve"> and Declaratory Ruling</w:t>
      </w:r>
      <w:r w:rsidRPr="007E746A" w:rsidR="00126C3E">
        <w:t xml:space="preserve">, 33 FCC </w:t>
      </w:r>
      <w:r w:rsidRPr="007E746A" w:rsidR="00126C3E">
        <w:t>Rcd</w:t>
      </w:r>
      <w:r w:rsidRPr="007E746A" w:rsidR="00126C3E">
        <w:t xml:space="preserve"> 7705 (2018) (</w:t>
      </w:r>
      <w:r w:rsidR="00126C3E">
        <w:rPr>
          <w:i/>
          <w:iCs/>
        </w:rPr>
        <w:t>2018 Pole Attachment Order</w:t>
      </w:r>
      <w:r w:rsidRPr="007E746A" w:rsidR="00126C3E">
        <w:t>)</w:t>
      </w:r>
      <w:r w:rsidR="00126C3E">
        <w:t>.</w:t>
      </w:r>
    </w:p>
  </w:footnote>
  <w:footnote w:id="13">
    <w:p w:rsidR="00330540" w:rsidP="00330540" w14:paraId="7B4EE15F" w14:textId="72766A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4294">
        <w:rPr>
          <w:i/>
          <w:iCs/>
        </w:rPr>
        <w:t>See</w:t>
      </w:r>
      <w:r>
        <w:t xml:space="preserve"> </w:t>
      </w:r>
      <w:r w:rsidRPr="00F8469B">
        <w:t xml:space="preserve">Complaint </w:t>
      </w:r>
      <w:r>
        <w:t>Ex</w:t>
      </w:r>
      <w:r w:rsidR="00C76F6C">
        <w:t>h</w:t>
      </w:r>
      <w:r>
        <w:t xml:space="preserve">. A (Miller </w:t>
      </w:r>
      <w:r>
        <w:t>Aff</w:t>
      </w:r>
      <w:r>
        <w:t xml:space="preserve">.) at 3, para. 8, </w:t>
      </w:r>
      <w:r>
        <w:t>Ex</w:t>
      </w:r>
      <w:r w:rsidR="00C76F6C">
        <w:t>h</w:t>
      </w:r>
      <w:r>
        <w:t xml:space="preserve">. 1 (JUA) at Section 12.3 (Payment Default Clause), and </w:t>
      </w:r>
      <w:r>
        <w:t>Ex</w:t>
      </w:r>
      <w:r w:rsidR="00C76F6C">
        <w:t>h</w:t>
      </w:r>
      <w:r>
        <w:t>. 23 (Notice of Termination).</w:t>
      </w:r>
    </w:p>
  </w:footnote>
  <w:footnote w:id="14">
    <w:p w:rsidR="001F6E4E" w14:paraId="6D2B95B2" w14:textId="7336BD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6A1C">
        <w:rPr>
          <w:i/>
          <w:iCs/>
        </w:rPr>
        <w:t>See</w:t>
      </w:r>
      <w:r w:rsidRPr="001F6E4E">
        <w:t xml:space="preserve"> Pole Attachment Complaint, Proceeding No. 19-187, Bureau ID No. EB-19-MD-006 (filed July 1, 2019); Amended Pole Attachment Complaint, Proceeding No. 19-187, Bureau ID No. EB-19-MD-006 (filed July 12, 2019) (</w:t>
      </w:r>
      <w:r w:rsidR="00ED61E0">
        <w:t xml:space="preserve">Rate </w:t>
      </w:r>
      <w:r w:rsidRPr="001F6E4E">
        <w:t xml:space="preserve">Complaint).  </w:t>
      </w:r>
    </w:p>
  </w:footnote>
  <w:footnote w:id="15">
    <w:p w:rsidR="00330540" w:rsidP="00330540" w14:paraId="1C28FFF0" w14:textId="43D08E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4294">
        <w:rPr>
          <w:i/>
          <w:iCs/>
        </w:rPr>
        <w:t>See</w:t>
      </w:r>
      <w:r>
        <w:t xml:space="preserve"> </w:t>
      </w:r>
      <w:r w:rsidRPr="00F8469B">
        <w:t xml:space="preserve">Complaint </w:t>
      </w:r>
      <w:r>
        <w:t>Ex</w:t>
      </w:r>
      <w:r w:rsidR="00C76F6C">
        <w:t>h</w:t>
      </w:r>
      <w:r>
        <w:t xml:space="preserve">. A (Miller </w:t>
      </w:r>
      <w:r>
        <w:t>Aff</w:t>
      </w:r>
      <w:r>
        <w:t>.) at 3, para. 19.</w:t>
      </w:r>
    </w:p>
  </w:footnote>
  <w:footnote w:id="16">
    <w:p w:rsidR="008E7C63" w:rsidRPr="00BC511A" w:rsidP="00D46A1C" w14:paraId="564E485E" w14:textId="4081F53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32F14" w:rsidR="00AB23E9">
        <w:rPr>
          <w:i/>
          <w:iCs/>
        </w:rPr>
        <w:t xml:space="preserve">See </w:t>
      </w:r>
      <w:r w:rsidRPr="00BC511A" w:rsidR="00BC511A">
        <w:rPr>
          <w:i/>
          <w:iCs/>
        </w:rPr>
        <w:t xml:space="preserve">Florida Power  &amp; Light Co. v. BellSouth Telecommunications, LLC d/b/a AT&amp;T Florida, </w:t>
      </w:r>
      <w:r w:rsidRPr="00D46A1C" w:rsidR="00BC511A">
        <w:t>No. 9:19-cv-81043-RLR  (S.D. Fla. 2019), removed from</w:t>
      </w:r>
      <w:r w:rsidR="00522452">
        <w:t xml:space="preserve"> </w:t>
      </w:r>
      <w:r w:rsidRPr="00D46A1C" w:rsidR="00BC511A">
        <w:t>Case.</w:t>
      </w:r>
      <w:r w:rsidR="00522452">
        <w:t xml:space="preserve"> </w:t>
      </w:r>
      <w:r w:rsidRPr="00D46A1C" w:rsidR="00BC511A">
        <w:t>No.</w:t>
      </w:r>
      <w:r w:rsidR="00522452">
        <w:t xml:space="preserve"> </w:t>
      </w:r>
      <w:r w:rsidRPr="00D46A1C" w:rsidR="00BC511A">
        <w:t>502019</w:t>
      </w:r>
      <w:r w:rsidR="00522452">
        <w:t xml:space="preserve"> </w:t>
      </w:r>
      <w:r w:rsidRPr="00D46A1C" w:rsidR="00BC511A">
        <w:t>CA 008515XXXXMB  (Fla.</w:t>
      </w:r>
      <w:r w:rsidR="00522452">
        <w:t xml:space="preserve"> </w:t>
      </w:r>
      <w:r w:rsidRPr="00D46A1C" w:rsidR="00BC511A">
        <w:t>15th Cir. Ct.).</w:t>
      </w:r>
      <w:r w:rsidRPr="00D46A1C" w:rsidR="00BC511A">
        <w:t xml:space="preserve"> </w:t>
      </w:r>
    </w:p>
  </w:footnote>
  <w:footnote w:id="17">
    <w:p w:rsidR="00330540" w:rsidP="00330540" w14:paraId="55BFCD39" w14:textId="720770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078E" w:rsidR="00ED2237">
        <w:rPr>
          <w:i/>
          <w:iCs/>
        </w:rPr>
        <w:t>See</w:t>
      </w:r>
      <w:r w:rsidR="00ED2237">
        <w:t xml:space="preserve"> </w:t>
      </w:r>
      <w:r w:rsidRPr="006F5B49" w:rsidR="00ED2237">
        <w:rPr>
          <w:i/>
          <w:iCs/>
        </w:rPr>
        <w:t xml:space="preserve">BellSouth </w:t>
      </w:r>
      <w:r w:rsidRPr="006F5B49" w:rsidR="00ED2237">
        <w:rPr>
          <w:i/>
          <w:iCs/>
        </w:rPr>
        <w:t>Telecomm</w:t>
      </w:r>
      <w:r w:rsidR="00ED2237">
        <w:rPr>
          <w:i/>
          <w:iCs/>
        </w:rPr>
        <w:t>’n</w:t>
      </w:r>
      <w:r w:rsidRPr="006F5B49" w:rsidR="00ED2237">
        <w:rPr>
          <w:i/>
          <w:iCs/>
        </w:rPr>
        <w:t>s</w:t>
      </w:r>
      <w:r w:rsidRPr="006F5B49" w:rsidR="00ED2237">
        <w:rPr>
          <w:i/>
          <w:iCs/>
        </w:rPr>
        <w:t>, LLC</w:t>
      </w:r>
      <w:r w:rsidR="00ED2237">
        <w:rPr>
          <w:i/>
          <w:iCs/>
        </w:rPr>
        <w:t xml:space="preserve"> d/b/a AT&amp;T Florida</w:t>
      </w:r>
      <w:r w:rsidRPr="006F5B49" w:rsidR="00ED2237">
        <w:rPr>
          <w:i/>
          <w:iCs/>
        </w:rPr>
        <w:t xml:space="preserve"> v. Florida Power &amp; Light</w:t>
      </w:r>
      <w:r w:rsidR="00ED2237">
        <w:rPr>
          <w:i/>
          <w:iCs/>
        </w:rPr>
        <w:t xml:space="preserve"> Co.</w:t>
      </w:r>
      <w:r w:rsidR="00ED2237">
        <w:t xml:space="preserve">, Memorandum Opinion and Order, 35 FCC </w:t>
      </w:r>
      <w:r w:rsidR="00ED2237">
        <w:t>Rcd</w:t>
      </w:r>
      <w:r w:rsidR="00ED2237">
        <w:t xml:space="preserve"> 5321 (</w:t>
      </w:r>
      <w:r w:rsidR="00ED2237">
        <w:t>Enf</w:t>
      </w:r>
      <w:r w:rsidR="00ED2237">
        <w:t xml:space="preserve">. Bur. 2020) </w:t>
      </w:r>
      <w:r w:rsidRPr="00F11A7E">
        <w:t>(</w:t>
      </w:r>
      <w:r w:rsidR="00BE4C87">
        <w:rPr>
          <w:i/>
          <w:iCs/>
        </w:rPr>
        <w:t>Rate</w:t>
      </w:r>
      <w:r w:rsidRPr="006B4476">
        <w:rPr>
          <w:i/>
          <w:iCs/>
        </w:rPr>
        <w:t xml:space="preserve"> Order</w:t>
      </w:r>
      <w:r>
        <w:t xml:space="preserve">). </w:t>
      </w:r>
    </w:p>
  </w:footnote>
  <w:footnote w:id="18">
    <w:p w:rsidR="00330540" w:rsidP="00330540" w14:paraId="3A30E8F0" w14:textId="22615F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D57F4">
        <w:rPr>
          <w:i/>
          <w:iCs/>
        </w:rPr>
        <w:t>Rate</w:t>
      </w:r>
      <w:r w:rsidRPr="1D1DEB0C">
        <w:rPr>
          <w:i/>
          <w:iCs/>
        </w:rPr>
        <w:t xml:space="preserve"> Order</w:t>
      </w:r>
      <w:r>
        <w:t xml:space="preserve">, 35 FCC </w:t>
      </w:r>
      <w:r>
        <w:t>Rcd</w:t>
      </w:r>
      <w:r>
        <w:t xml:space="preserve"> at 5326, </w:t>
      </w:r>
      <w:r w:rsidRPr="1D1DEB0C">
        <w:t>para. 10 n.32.</w:t>
      </w:r>
      <w:r>
        <w:t xml:space="preserve">  </w:t>
      </w:r>
      <w:r w:rsidRPr="1D1DEB0C">
        <w:t xml:space="preserve">  </w:t>
      </w:r>
    </w:p>
  </w:footnote>
  <w:footnote w:id="19">
    <w:p w:rsidR="00330540" w:rsidP="00330540" w14:paraId="45EA8E28" w14:textId="0C923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4AD0">
        <w:rPr>
          <w:i/>
          <w:iCs/>
        </w:rPr>
        <w:t>See</w:t>
      </w:r>
      <w:r>
        <w:t xml:space="preserve"> Complaint at 32, para. 5</w:t>
      </w:r>
      <w:r w:rsidR="00E344CA">
        <w:t>7</w:t>
      </w:r>
      <w:r>
        <w:t>.</w:t>
      </w:r>
    </w:p>
  </w:footnote>
  <w:footnote w:id="20">
    <w:p w:rsidR="00A63C50" w:rsidRPr="004B301C" w14:paraId="57BD3B6E" w14:textId="0A41D8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Order</w:t>
      </w:r>
      <w:r>
        <w:t>, 2021 WL 3674254 at *4, para. 15.</w:t>
      </w:r>
    </w:p>
  </w:footnote>
  <w:footnote w:id="21">
    <w:p w:rsidR="000A2CF0" w:rsidP="000A2CF0" w14:paraId="74FC9C49" w14:textId="068E3E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 xml:space="preserve">47 CFR </w:t>
      </w:r>
      <w:r w:rsidRPr="1D1DEB0C">
        <w:t>§</w:t>
      </w:r>
      <w:r>
        <w:t xml:space="preserve"> 1.721(b) (“All matters concerning a claim, defense or requested remedy, including damages, should be pleaded fully and with specificity.”); 47 CFR</w:t>
      </w:r>
      <w:r>
        <w:rPr>
          <w:color w:val="000000"/>
        </w:rPr>
        <w:t xml:space="preserve"> </w:t>
      </w:r>
      <w:r w:rsidRPr="1D1DEB0C">
        <w:t>§</w:t>
      </w:r>
      <w:r>
        <w:rPr>
          <w:color w:val="000000"/>
        </w:rPr>
        <w:t xml:space="preserve"> 1.721(</w:t>
      </w:r>
      <w:r>
        <w:rPr>
          <w:color w:val="000000"/>
        </w:rPr>
        <w:t>i</w:t>
      </w:r>
      <w:r>
        <w:rPr>
          <w:color w:val="000000"/>
        </w:rPr>
        <w:t>) (“[s]</w:t>
      </w:r>
      <w:r w:rsidRPr="002E2D79">
        <w:rPr>
          <w:color w:val="333333"/>
          <w:shd w:val="clear" w:color="auto" w:fill="FFFFFF"/>
        </w:rPr>
        <w:t>pecific</w:t>
      </w:r>
      <w:r w:rsidRPr="002E2D79">
        <w:rPr>
          <w:color w:val="333333"/>
          <w:shd w:val="clear" w:color="auto" w:fill="FFFFFF"/>
        </w:rPr>
        <w:t xml:space="preserve"> reference shall be made to any </w:t>
      </w:r>
      <w:r w:rsidR="008E2FE9">
        <w:rPr>
          <w:color w:val="333333"/>
          <w:shd w:val="clear" w:color="auto" w:fill="FFFFFF"/>
        </w:rPr>
        <w:t>. . .</w:t>
      </w:r>
      <w:r>
        <w:rPr>
          <w:color w:val="333333"/>
          <w:shd w:val="clear" w:color="auto" w:fill="FFFFFF"/>
        </w:rPr>
        <w:t xml:space="preserve"> c</w:t>
      </w:r>
      <w:r w:rsidRPr="002E2D79">
        <w:rPr>
          <w:color w:val="333333"/>
          <w:shd w:val="clear" w:color="auto" w:fill="FFFFFF"/>
        </w:rPr>
        <w:t>ontract provision relied on in support of a claim or defense</w:t>
      </w:r>
      <w:r>
        <w:rPr>
          <w:color w:val="333333"/>
          <w:shd w:val="clear" w:color="auto" w:fill="FFFFFF"/>
        </w:rPr>
        <w:t>”).</w:t>
      </w:r>
      <w:r>
        <w:t xml:space="preserve">   </w:t>
      </w:r>
    </w:p>
  </w:footnote>
  <w:footnote w:id="22">
    <w:p w:rsidR="00BD403C" w:rsidRPr="004B301C" w14:paraId="0846A3F4" w14:textId="471CB1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 w:rsidR="002B4044">
        <w:rPr>
          <w:i/>
          <w:iCs/>
        </w:rPr>
        <w:t xml:space="preserve"> supra</w:t>
      </w:r>
      <w:r w:rsidR="002B4044">
        <w:t xml:space="preserve"> note</w:t>
      </w:r>
      <w:r w:rsidR="00EE58C4">
        <w:t>16</w:t>
      </w:r>
      <w:r>
        <w:t>.</w:t>
      </w:r>
    </w:p>
  </w:footnote>
  <w:footnote w:id="23">
    <w:p w:rsidR="005365FB" w14:paraId="4C6097B6" w14:textId="38D9B071">
      <w:pPr>
        <w:pStyle w:val="FootnoteText"/>
      </w:pPr>
      <w:r>
        <w:rPr>
          <w:rStyle w:val="FootnoteReference"/>
        </w:rPr>
        <w:footnoteRef/>
      </w:r>
      <w:r>
        <w:t xml:space="preserve"> Application at </w:t>
      </w:r>
      <w:r w:rsidR="00D15D21">
        <w:t xml:space="preserve">20 </w:t>
      </w:r>
      <w:r w:rsidR="00CA7985">
        <w:t xml:space="preserve">(citing </w:t>
      </w:r>
      <w:r w:rsidRPr="00D15D21" w:rsidR="00D15D21">
        <w:rPr>
          <w:i/>
          <w:iCs/>
        </w:rPr>
        <w:t xml:space="preserve">FCC v. </w:t>
      </w:r>
      <w:r w:rsidRPr="00D15D21" w:rsidR="00CA7985">
        <w:rPr>
          <w:i/>
          <w:iCs/>
        </w:rPr>
        <w:t>Schr</w:t>
      </w:r>
      <w:r w:rsidR="00D15D21">
        <w:rPr>
          <w:i/>
          <w:iCs/>
        </w:rPr>
        <w:t>ei</w:t>
      </w:r>
      <w:r w:rsidRPr="00D15D21" w:rsidR="00CA7985">
        <w:rPr>
          <w:i/>
          <w:iCs/>
        </w:rPr>
        <w:t>ber</w:t>
      </w:r>
      <w:r w:rsidR="00D15D21">
        <w:t>, 381 U.S. 279, 291 (1965)</w:t>
      </w:r>
      <w:r w:rsidR="00004F20">
        <w:t xml:space="preserve"> and adding emphasis).</w:t>
      </w:r>
    </w:p>
  </w:footnote>
  <w:footnote w:id="24">
    <w:p w:rsidR="00C01209" w14:paraId="06AF5A3E" w14:textId="52567D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7F60">
        <w:rPr>
          <w:i/>
          <w:iCs/>
        </w:rPr>
        <w:t>See</w:t>
      </w:r>
      <w:r w:rsidR="00415BBA">
        <w:rPr>
          <w:i/>
          <w:iCs/>
        </w:rPr>
        <w:t>,</w:t>
      </w:r>
      <w:r w:rsidRPr="00A57F60">
        <w:rPr>
          <w:i/>
          <w:iCs/>
        </w:rPr>
        <w:t xml:space="preserve"> e.g.</w:t>
      </w:r>
      <w:r w:rsidRPr="00D46A1C">
        <w:t>,</w:t>
      </w:r>
      <w:r w:rsidRPr="00A57F60">
        <w:rPr>
          <w:i/>
          <w:iCs/>
        </w:rPr>
        <w:t xml:space="preserve"> MAW</w:t>
      </w:r>
      <w:r w:rsidRPr="00A57F60" w:rsidR="00A57F60">
        <w:rPr>
          <w:i/>
          <w:iCs/>
        </w:rPr>
        <w:t xml:space="preserve"> </w:t>
      </w:r>
      <w:r w:rsidRPr="00A57F60" w:rsidR="00A57F60">
        <w:rPr>
          <w:i/>
          <w:iCs/>
        </w:rPr>
        <w:t>Commun’s</w:t>
      </w:r>
      <w:r w:rsidR="00272193">
        <w:rPr>
          <w:i/>
          <w:iCs/>
        </w:rPr>
        <w:t xml:space="preserve">, Inc. </w:t>
      </w:r>
      <w:r w:rsidRPr="00A57F60" w:rsidR="00A57F60">
        <w:rPr>
          <w:i/>
          <w:iCs/>
        </w:rPr>
        <w:t xml:space="preserve">v. PPL Electric </w:t>
      </w:r>
      <w:r w:rsidR="00272193">
        <w:rPr>
          <w:i/>
          <w:iCs/>
        </w:rPr>
        <w:t xml:space="preserve">Utilities </w:t>
      </w:r>
      <w:r w:rsidRPr="00A57F60" w:rsidR="00A57F60">
        <w:rPr>
          <w:i/>
          <w:iCs/>
        </w:rPr>
        <w:t>Co</w:t>
      </w:r>
      <w:r w:rsidR="00272193">
        <w:rPr>
          <w:i/>
          <w:iCs/>
        </w:rPr>
        <w:t>rp</w:t>
      </w:r>
      <w:r w:rsidRPr="00A57F60" w:rsidR="00A57F60">
        <w:rPr>
          <w:i/>
          <w:iCs/>
        </w:rPr>
        <w:t>.</w:t>
      </w:r>
      <w:r w:rsidR="00A57F60">
        <w:t xml:space="preserve">, </w:t>
      </w:r>
      <w:r w:rsidR="00272193">
        <w:t xml:space="preserve">Memorandum Opinion and Order, </w:t>
      </w:r>
      <w:r w:rsidR="00A57F60">
        <w:t xml:space="preserve">34 FCC </w:t>
      </w:r>
      <w:r w:rsidR="00A57F60">
        <w:t>Rcd</w:t>
      </w:r>
      <w:r w:rsidR="00A57F60">
        <w:t xml:space="preserve"> 7145, 7154-</w:t>
      </w:r>
      <w:r w:rsidR="00272193">
        <w:t>5</w:t>
      </w:r>
      <w:r w:rsidR="00A57F60">
        <w:t>5</w:t>
      </w:r>
      <w:r w:rsidR="004F26DD">
        <w:t>,</w:t>
      </w:r>
      <w:r w:rsidR="00A57F60">
        <w:t xml:space="preserve"> para. 22 </w:t>
      </w:r>
      <w:r w:rsidR="00C76F6C">
        <w:t>(</w:t>
      </w:r>
      <w:r w:rsidR="005D4A96">
        <w:t>Enf</w:t>
      </w:r>
      <w:r w:rsidR="005D4A96">
        <w:t xml:space="preserve">. Bur. </w:t>
      </w:r>
      <w:r w:rsidR="00C76F6C">
        <w:t xml:space="preserve">2019) </w:t>
      </w:r>
      <w:r w:rsidR="00A57F60">
        <w:t>(</w:t>
      </w:r>
      <w:r w:rsidR="00F2445A">
        <w:t>refusing to ad</w:t>
      </w:r>
      <w:r w:rsidR="009337BF">
        <w:t>d</w:t>
      </w:r>
      <w:r w:rsidR="00F2445A">
        <w:t>ress</w:t>
      </w:r>
      <w:r w:rsidR="00A57F60">
        <w:t xml:space="preserve"> claims in a pole attachment complaint </w:t>
      </w:r>
      <w:r w:rsidR="00C139BE">
        <w:t>that certain terms of a</w:t>
      </w:r>
      <w:r w:rsidR="009337BF">
        <w:t>n</w:t>
      </w:r>
      <w:r w:rsidR="00C139BE">
        <w:t xml:space="preserve"> attachment agreement </w:t>
      </w:r>
      <w:r w:rsidR="00F2445A">
        <w:t>were</w:t>
      </w:r>
      <w:r w:rsidR="00C139BE">
        <w:t xml:space="preserve"> </w:t>
      </w:r>
      <w:r w:rsidR="00A57F60">
        <w:t>unjust and unreasonable</w:t>
      </w:r>
      <w:r w:rsidR="00F2445A">
        <w:t xml:space="preserve"> because</w:t>
      </w:r>
      <w:r w:rsidR="008C5233">
        <w:t xml:space="preserve"> claims were</w:t>
      </w:r>
      <w:r w:rsidR="00F2445A">
        <w:t xml:space="preserve"> </w:t>
      </w:r>
      <w:r w:rsidR="009337BF">
        <w:t>im</w:t>
      </w:r>
      <w:r w:rsidR="00F2445A">
        <w:t>properly pled</w:t>
      </w:r>
      <w:r w:rsidR="00A57F60">
        <w:t>).</w:t>
      </w:r>
      <w:r w:rsidR="00D52158">
        <w:t xml:space="preserve">  Thus, AT&amp;T’s argument (Application at 23-24) </w:t>
      </w:r>
      <w:r w:rsidR="00D95CB8">
        <w:t xml:space="preserve">that the Commission’s failure to address its claim on the merits </w:t>
      </w:r>
      <w:r w:rsidR="00D20720">
        <w:t>will cause it prejudice cannot succeed because AT&amp;T should have filed its cla</w:t>
      </w:r>
      <w:r w:rsidR="001A6C36">
        <w:t>i</w:t>
      </w:r>
      <w:r w:rsidR="00D20720">
        <w:t>m</w:t>
      </w:r>
      <w:r w:rsidR="00D52158">
        <w:t xml:space="preserve"> on a timely basis.  </w:t>
      </w:r>
    </w:p>
  </w:footnote>
  <w:footnote w:id="25">
    <w:p w:rsidR="009E0024" w14:paraId="2B442271" w14:textId="29E0A6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0FFF">
        <w:rPr>
          <w:i/>
          <w:iCs/>
        </w:rPr>
        <w:t>See Order</w:t>
      </w:r>
      <w:r w:rsidR="00026F6D">
        <w:t xml:space="preserve">, 2021 WL 3674254 </w:t>
      </w:r>
      <w:r>
        <w:t xml:space="preserve">at </w:t>
      </w:r>
      <w:r w:rsidR="00026F6D">
        <w:t xml:space="preserve">*3, para. 13 </w:t>
      </w:r>
      <w:r>
        <w:t>(citing</w:t>
      </w:r>
      <w:r w:rsidR="00026F6D">
        <w:t xml:space="preserve"> 47 U.S.C. </w:t>
      </w:r>
      <w:r w:rsidRPr="1D1DEB0C" w:rsidR="00026F6D">
        <w:t>§</w:t>
      </w:r>
      <w:r w:rsidR="00026F6D">
        <w:t xml:space="preserve"> 154(j) and 47 CFR </w:t>
      </w:r>
      <w:r w:rsidRPr="1D1DEB0C" w:rsidR="00026F6D">
        <w:t>§</w:t>
      </w:r>
      <w:r w:rsidR="00026F6D">
        <w:t xml:space="preserve"> 1.735</w:t>
      </w:r>
      <w:r>
        <w:t>).</w:t>
      </w:r>
    </w:p>
  </w:footnote>
  <w:footnote w:id="26">
    <w:p w:rsidR="00B7044F" w14:paraId="3245C2A4" w14:textId="5740CF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0A8F" w:rsidR="001D0A8F">
        <w:rPr>
          <w:i/>
          <w:iCs/>
        </w:rPr>
        <w:t>See</w:t>
      </w:r>
      <w:r w:rsidR="001D0A8F">
        <w:t xml:space="preserve"> </w:t>
      </w:r>
      <w:r>
        <w:t>Application at 19</w:t>
      </w:r>
      <w:r w:rsidR="001D0A8F">
        <w:t>, 20</w:t>
      </w:r>
      <w:r>
        <w:t>.</w:t>
      </w:r>
    </w:p>
  </w:footnote>
  <w:footnote w:id="27">
    <w:p w:rsidR="003E0BC6" w14:paraId="5E9A2517" w14:textId="21BC55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0A8F">
        <w:rPr>
          <w:i/>
          <w:iCs/>
        </w:rPr>
        <w:t>See</w:t>
      </w:r>
      <w:r>
        <w:t xml:space="preserve"> </w:t>
      </w:r>
      <w:r w:rsidRPr="001D0A8F">
        <w:rPr>
          <w:i/>
          <w:iCs/>
        </w:rPr>
        <w:t>Order</w:t>
      </w:r>
      <w:r w:rsidR="003B19E5">
        <w:t>,</w:t>
      </w:r>
      <w:r>
        <w:t xml:space="preserve"> </w:t>
      </w:r>
      <w:r w:rsidR="003B19E5">
        <w:t xml:space="preserve">2021 WL 3674254 </w:t>
      </w:r>
      <w:r>
        <w:t>at</w:t>
      </w:r>
      <w:r w:rsidR="003B19E5">
        <w:t xml:space="preserve"> *4</w:t>
      </w:r>
      <w:r w:rsidR="00261EB9">
        <w:t xml:space="preserve">, </w:t>
      </w:r>
      <w:r>
        <w:t>para. 17</w:t>
      </w:r>
      <w:r w:rsidR="00E64155">
        <w:t xml:space="preserve"> (“</w:t>
      </w:r>
      <w:r w:rsidRPr="00E64155" w:rsidR="00E64155">
        <w:t>AT&amp;T</w:t>
      </w:r>
      <w:r w:rsidR="00E64155">
        <w:t>’</w:t>
      </w:r>
      <w:r w:rsidRPr="00E64155" w:rsidR="00E64155">
        <w:t>s decision not to bring its challenge to the Payment Default Clause earlier contravenes the Commission</w:t>
      </w:r>
      <w:r w:rsidR="00E64155">
        <w:t>’</w:t>
      </w:r>
      <w:r w:rsidRPr="00E64155" w:rsidR="00E64155">
        <w:t>s rules governing complaints filed under Section 224.</w:t>
      </w:r>
      <w:r w:rsidR="00E64155">
        <w:t>”)</w:t>
      </w:r>
      <w:r>
        <w:t xml:space="preserve"> (citing </w:t>
      </w:r>
      <w:r w:rsidRPr="006770F3">
        <w:rPr>
          <w:i/>
          <w:iCs/>
        </w:rPr>
        <w:t>Implementation of the Telecommunications Act of 1996</w:t>
      </w:r>
      <w:r>
        <w:t xml:space="preserve">, Order on Reconsideration, 16 FCC </w:t>
      </w:r>
      <w:r>
        <w:t>Rcd</w:t>
      </w:r>
      <w:r>
        <w:t xml:space="preserve"> 5681, 5695 (heading) &amp; para. 32 (2001)</w:t>
      </w:r>
      <w:r w:rsidR="001D0A8F">
        <w:t xml:space="preserve"> and</w:t>
      </w:r>
      <w:r>
        <w:t xml:space="preserve"> 47 CFR </w:t>
      </w:r>
      <w:r w:rsidRPr="1D1DEB0C">
        <w:t>§</w:t>
      </w:r>
      <w:r w:rsidRPr="1D1DEB0C" w:rsidR="001D0A8F">
        <w:t>§</w:t>
      </w:r>
      <w:r>
        <w:t xml:space="preserve"> 1.721(b)</w:t>
      </w:r>
      <w:r w:rsidR="001D0A8F">
        <w:t>, (</w:t>
      </w:r>
      <w:r w:rsidR="001D0A8F">
        <w:t>i</w:t>
      </w:r>
      <w:r w:rsidR="001D0A8F">
        <w:t>) and (p) and 1.722(d)</w:t>
      </w:r>
      <w:r>
        <w:t xml:space="preserve">). </w:t>
      </w:r>
    </w:p>
  </w:footnote>
  <w:footnote w:id="28">
    <w:p w:rsidR="00CA7985" w14:paraId="192276AD" w14:textId="397E09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08B9">
        <w:t xml:space="preserve">Application at 22 </w:t>
      </w:r>
      <w:r w:rsidR="009B7A68">
        <w:t>(</w:t>
      </w:r>
      <w:r w:rsidR="005E08B9">
        <w:t xml:space="preserve">citing </w:t>
      </w:r>
      <w:r w:rsidRPr="0047651B" w:rsidR="00E52722">
        <w:rPr>
          <w:i/>
          <w:iCs/>
        </w:rPr>
        <w:t>RCN Telecom</w:t>
      </w:r>
      <w:r w:rsidR="00696A6D">
        <w:rPr>
          <w:i/>
          <w:iCs/>
        </w:rPr>
        <w:t xml:space="preserve"> Servs. of Philadelphia, Inc.</w:t>
      </w:r>
      <w:r w:rsidRPr="0047651B" w:rsidR="00E52722">
        <w:rPr>
          <w:i/>
          <w:iCs/>
        </w:rPr>
        <w:t xml:space="preserve"> v. PECO</w:t>
      </w:r>
      <w:r w:rsidR="00696A6D">
        <w:rPr>
          <w:i/>
          <w:iCs/>
        </w:rPr>
        <w:t xml:space="preserve"> Energy Co. and </w:t>
      </w:r>
      <w:r w:rsidR="00696A6D">
        <w:rPr>
          <w:i/>
          <w:iCs/>
        </w:rPr>
        <w:t>Excelon</w:t>
      </w:r>
      <w:r w:rsidR="00696A6D">
        <w:rPr>
          <w:i/>
          <w:iCs/>
        </w:rPr>
        <w:t xml:space="preserve"> Infrastructure Servs. Inc.</w:t>
      </w:r>
      <w:r w:rsidR="00E52722">
        <w:t xml:space="preserve">, </w:t>
      </w:r>
      <w:r w:rsidR="00696A6D">
        <w:t xml:space="preserve">Order, </w:t>
      </w:r>
      <w:r w:rsidR="00E52722">
        <w:t xml:space="preserve">16 FCC </w:t>
      </w:r>
      <w:r w:rsidR="00E52722">
        <w:t>Rcd</w:t>
      </w:r>
      <w:r w:rsidR="00E52722">
        <w:t xml:space="preserve"> 11857</w:t>
      </w:r>
      <w:r w:rsidR="00696A6D">
        <w:t>, 11858,</w:t>
      </w:r>
      <w:r w:rsidR="00E52722">
        <w:t xml:space="preserve"> para. 4 (“If a complainant wishes to introduce new issues in a pole attachment proceeding</w:t>
      </w:r>
      <w:r w:rsidR="005D6F1A">
        <w:t xml:space="preserve"> </w:t>
      </w:r>
      <w:r w:rsidR="008E2FE9">
        <w:t>. . .</w:t>
      </w:r>
      <w:r w:rsidR="00E52722">
        <w:t xml:space="preserve"> it may file a separate complaint, which will receive its own file number and start the normal pleading cycle”); 47 CFR </w:t>
      </w:r>
      <w:r w:rsidRPr="1D1DEB0C" w:rsidR="00E52722">
        <w:t>§</w:t>
      </w:r>
      <w:r w:rsidRPr="1D1DEB0C" w:rsidR="00631D3C">
        <w:t>§</w:t>
      </w:r>
      <w:r w:rsidR="00E52722">
        <w:t xml:space="preserve"> 1.72</w:t>
      </w:r>
      <w:r w:rsidR="00631D3C">
        <w:t>5</w:t>
      </w:r>
      <w:r w:rsidR="00E52722">
        <w:t>(b)</w:t>
      </w:r>
      <w:r w:rsidR="00631D3C">
        <w:t xml:space="preserve"> and 1.727)</w:t>
      </w:r>
      <w:r w:rsidR="00E52722">
        <w:t xml:space="preserve">. </w:t>
      </w:r>
    </w:p>
  </w:footnote>
  <w:footnote w:id="29">
    <w:p w:rsidR="009B700E" w14:paraId="6F81FDFC" w14:textId="1697A9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6A1C">
        <w:rPr>
          <w:i/>
          <w:iCs/>
        </w:rPr>
        <w:t>See</w:t>
      </w:r>
      <w:r>
        <w:t xml:space="preserve"> </w:t>
      </w:r>
      <w:r w:rsidRPr="008D049E">
        <w:rPr>
          <w:i/>
          <w:iCs/>
        </w:rPr>
        <w:t>Order</w:t>
      </w:r>
      <w:r w:rsidR="00D27F4E">
        <w:t xml:space="preserve">, 2021 WL 3674254 at *4-5, </w:t>
      </w:r>
      <w:r>
        <w:t>para</w:t>
      </w:r>
      <w:r w:rsidR="008D049E">
        <w:t>s</w:t>
      </w:r>
      <w:r>
        <w:t>.</w:t>
      </w:r>
      <w:r w:rsidRPr="003B08C2" w:rsidR="003B08C2">
        <w:t xml:space="preserve"> </w:t>
      </w:r>
      <w:r w:rsidR="008D049E">
        <w:t>17-19</w:t>
      </w:r>
      <w:r w:rsidRPr="00D46A1C" w:rsidR="008D049E">
        <w:rPr>
          <w:i/>
          <w:iCs/>
        </w:rPr>
        <w:t>;</w:t>
      </w:r>
      <w:r w:rsidR="008D049E">
        <w:t xml:space="preserve"> </w:t>
      </w:r>
      <w:r w:rsidR="00742073">
        <w:rPr>
          <w:i/>
          <w:iCs/>
        </w:rPr>
        <w:t>Id.</w:t>
      </w:r>
      <w:r w:rsidR="003B08C2">
        <w:t xml:space="preserve"> </w:t>
      </w:r>
      <w:r w:rsidR="00742073">
        <w:t>a</w:t>
      </w:r>
      <w:r w:rsidR="003B08C2">
        <w:t>t</w:t>
      </w:r>
      <w:r w:rsidR="00742073">
        <w:t xml:space="preserve"> *5,</w:t>
      </w:r>
      <w:r w:rsidR="003B08C2">
        <w:t xml:space="preserve"> para. 21 (“[This is not] an instance where</w:t>
      </w:r>
      <w:r w:rsidR="00B54663">
        <w:t xml:space="preserve">—in </w:t>
      </w:r>
      <w:r w:rsidR="003B08C2">
        <w:t xml:space="preserve"> consultation with Division staff</w:t>
      </w:r>
      <w:r w:rsidR="00B54663">
        <w:t xml:space="preserve">—a </w:t>
      </w:r>
      <w:r w:rsidR="003B08C2">
        <w:t>party brings a formal complaint and holds related claims in abeyance in a separate complaint case</w:t>
      </w:r>
      <w:r w:rsidR="00B54663">
        <w:t>.</w:t>
      </w:r>
      <w:r w:rsidR="003B08C2">
        <w:t>”).</w:t>
      </w:r>
      <w:r w:rsidRPr="00A10BD1" w:rsidR="003B08C2">
        <w:rPr>
          <w:i/>
          <w:iCs/>
        </w:rPr>
        <w:t xml:space="preserve"> </w:t>
      </w:r>
    </w:p>
  </w:footnote>
  <w:footnote w:id="30">
    <w:p w:rsidR="00630FFF" w14:paraId="1D8702CF" w14:textId="0336DFD9">
      <w:pPr>
        <w:pStyle w:val="FootnoteText"/>
      </w:pPr>
      <w:r>
        <w:rPr>
          <w:rStyle w:val="FootnoteReference"/>
        </w:rPr>
        <w:footnoteRef/>
      </w:r>
      <w:r>
        <w:t xml:space="preserve"> Application at 23.</w:t>
      </w:r>
    </w:p>
  </w:footnote>
  <w:footnote w:id="31">
    <w:p w:rsidR="001B1E7D" w:rsidP="001B1E7D" w14:paraId="48D46387" w14:textId="4C0120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6093">
        <w:rPr>
          <w:i/>
          <w:iCs/>
        </w:rPr>
        <w:t>See</w:t>
      </w:r>
      <w:r>
        <w:t xml:space="preserve"> </w:t>
      </w:r>
      <w:r w:rsidRPr="001D0A8F">
        <w:rPr>
          <w:i/>
          <w:iCs/>
        </w:rPr>
        <w:t>Order</w:t>
      </w:r>
      <w:r>
        <w:t xml:space="preserve">, 2021 WL 3674254 at *5, para. 18 n.44 (comparing </w:t>
      </w:r>
      <w:r w:rsidR="008D7F5B">
        <w:t xml:space="preserve">the </w:t>
      </w:r>
      <w:r>
        <w:t>facts in Rate Complaint with those in the Complaint).</w:t>
      </w:r>
    </w:p>
  </w:footnote>
  <w:footnote w:id="32">
    <w:p w:rsidR="00567AC4" w:rsidP="00567AC4" w14:paraId="42642FCB" w14:textId="676F61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6EED" w:rsidR="007412BF">
        <w:rPr>
          <w:i/>
          <w:iCs/>
        </w:rPr>
        <w:t>See</w:t>
      </w:r>
      <w:r w:rsidR="007412BF">
        <w:t xml:space="preserve"> </w:t>
      </w:r>
      <w:r>
        <w:t>Application at 21.</w:t>
      </w:r>
      <w:r w:rsidR="00BC6265">
        <w:t xml:space="preserve">  </w:t>
      </w:r>
    </w:p>
  </w:footnote>
  <w:footnote w:id="33">
    <w:p w:rsidR="002C1E0B" w:rsidRPr="000B017C" w:rsidP="002C1E0B" w14:paraId="156C6B09" w14:textId="5558A90B">
      <w:pPr>
        <w:pStyle w:val="FootnoteText"/>
      </w:pPr>
      <w:r w:rsidRPr="00E05B16">
        <w:rPr>
          <w:rStyle w:val="FootnoteReference"/>
        </w:rPr>
        <w:footnoteRef/>
      </w:r>
      <w:r w:rsidRPr="000B017C">
        <w:t xml:space="preserve"> </w:t>
      </w:r>
      <w:r w:rsidRPr="000B017C">
        <w:rPr>
          <w:i/>
          <w:iCs/>
        </w:rPr>
        <w:t xml:space="preserve">See </w:t>
      </w:r>
      <w:r w:rsidR="0061122C">
        <w:t xml:space="preserve">Rate </w:t>
      </w:r>
      <w:r w:rsidRPr="000B017C">
        <w:t xml:space="preserve">Complaint at 5-8, paras. 9-14, 32, para. 58.  </w:t>
      </w:r>
      <w:bookmarkStart w:id="6" w:name="_Hlk103861956"/>
      <w:r w:rsidRPr="00660A93" w:rsidR="00A53CD0">
        <w:t>Stated differently</w:t>
      </w:r>
      <w:r w:rsidRPr="00316688" w:rsidR="00A53CD0">
        <w:t xml:space="preserve">, we do not believe it is AT&amp;T’s position in the </w:t>
      </w:r>
      <w:r w:rsidR="0061122C">
        <w:t xml:space="preserve">Rate </w:t>
      </w:r>
      <w:r w:rsidRPr="00316688" w:rsidR="00A53CD0">
        <w:t>Complaint that the Notice of Termination was just and reasonable at the time it was sent.  Yet if, as AT&amp;T argues</w:t>
      </w:r>
      <w:r w:rsidR="00A53CD0">
        <w:t xml:space="preserve"> here</w:t>
      </w:r>
      <w:r w:rsidRPr="00316688" w:rsidR="00A53CD0">
        <w:t xml:space="preserve">, the </w:t>
      </w:r>
      <w:r w:rsidR="0061122C">
        <w:t xml:space="preserve">Rate </w:t>
      </w:r>
      <w:r w:rsidRPr="00316688" w:rsidR="00A53CD0">
        <w:t xml:space="preserve">Complaint alleges that the Notice </w:t>
      </w:r>
      <w:r w:rsidR="00A53CD0">
        <w:t>only became</w:t>
      </w:r>
      <w:r w:rsidRPr="00316688" w:rsidR="00A53CD0">
        <w:t xml:space="preserve"> unjust and</w:t>
      </w:r>
      <w:r w:rsidRPr="0027677D" w:rsidR="00A53CD0">
        <w:t xml:space="preserve"> unreasonable months </w:t>
      </w:r>
      <w:r w:rsidR="00A53CD0">
        <w:t>later</w:t>
      </w:r>
      <w:r w:rsidR="0028621D">
        <w:t xml:space="preserve">—i.e., </w:t>
      </w:r>
      <w:r w:rsidR="00A53CD0">
        <w:t xml:space="preserve">after </w:t>
      </w:r>
      <w:r w:rsidRPr="0027677D" w:rsidR="00A53CD0">
        <w:t xml:space="preserve">AT&amp;T paid the invoice and the Commission released the </w:t>
      </w:r>
      <w:r w:rsidRPr="0027677D" w:rsidR="00A53CD0">
        <w:rPr>
          <w:i/>
          <w:iCs/>
        </w:rPr>
        <w:t>Rate Order</w:t>
      </w:r>
      <w:r w:rsidRPr="00C94288" w:rsidR="00C94288">
        <w:t>—then</w:t>
      </w:r>
      <w:r w:rsidR="00C94288">
        <w:rPr>
          <w:i/>
          <w:iCs/>
        </w:rPr>
        <w:t xml:space="preserve"> </w:t>
      </w:r>
      <w:r w:rsidRPr="0027677D" w:rsidR="00A53CD0">
        <w:t>AT&amp;T effectively admit</w:t>
      </w:r>
      <w:r w:rsidR="00A53CD0">
        <w:t>s that the Notice was just and reasonable at the time it was sent</w:t>
      </w:r>
      <w:r w:rsidRPr="0027677D" w:rsidR="00A53CD0">
        <w:t>.</w:t>
      </w:r>
      <w:bookmarkEnd w:id="6"/>
      <w:r w:rsidRPr="000B017C">
        <w:t xml:space="preserve"> </w:t>
      </w:r>
    </w:p>
  </w:footnote>
  <w:footnote w:id="34">
    <w:p w:rsidR="00DC0B13" w14:paraId="19589A01" w14:textId="08EF9A28">
      <w:pPr>
        <w:pStyle w:val="FootnoteText"/>
      </w:pPr>
      <w:r>
        <w:rPr>
          <w:rStyle w:val="FootnoteReference"/>
        </w:rPr>
        <w:footnoteRef/>
      </w:r>
      <w:r>
        <w:t xml:space="preserve"> Application at </w:t>
      </w:r>
      <w:r w:rsidR="004B66E1">
        <w:t>21</w:t>
      </w:r>
      <w:r w:rsidR="008A14AB">
        <w:t xml:space="preserve"> </w:t>
      </w:r>
      <w:r w:rsidRPr="005E5CAB" w:rsidR="008A14AB">
        <w:t>(</w:t>
      </w:r>
      <w:r w:rsidR="006D57A3">
        <w:t>emphasis in original</w:t>
      </w:r>
      <w:r w:rsidR="008A14AB">
        <w:t>).</w:t>
      </w:r>
    </w:p>
  </w:footnote>
  <w:footnote w:id="35">
    <w:p w:rsidR="00BD5A6A" w:rsidRPr="007B6EED" w:rsidP="00BD5A6A" w14:paraId="50F72BEC" w14:textId="6567B0B5">
      <w:pPr>
        <w:pStyle w:val="FootnoteText"/>
      </w:pPr>
      <w:r w:rsidRPr="000B017C">
        <w:rPr>
          <w:rStyle w:val="FootnoteReference"/>
        </w:rPr>
        <w:footnoteRef/>
      </w:r>
      <w:r w:rsidRPr="000B017C">
        <w:t xml:space="preserve"> </w:t>
      </w:r>
      <w:r w:rsidRPr="005E5CAB" w:rsidR="000B017C">
        <w:t xml:space="preserve">Application at 21 (citing Complaint </w:t>
      </w:r>
      <w:r w:rsidRPr="005E5CAB" w:rsidR="000B017C">
        <w:t>Ex</w:t>
      </w:r>
      <w:r w:rsidR="00EF6087">
        <w:t>h</w:t>
      </w:r>
      <w:r w:rsidRPr="005E5CAB" w:rsidR="000B017C">
        <w:t>. 23 (Notice of Termination)</w:t>
      </w:r>
      <w:r w:rsidR="00E26484">
        <w:t>)</w:t>
      </w:r>
      <w:r w:rsidR="00227C01">
        <w:t>.</w:t>
      </w:r>
      <w:r w:rsidRPr="007B6EED" w:rsidR="00ED6782">
        <w:t xml:space="preserve">   </w:t>
      </w:r>
      <w:r w:rsidRPr="007B6EED">
        <w:t xml:space="preserve">  </w:t>
      </w:r>
    </w:p>
  </w:footnote>
  <w:footnote w:id="36">
    <w:p w:rsidR="00BD5A6A" w:rsidRPr="000B017C" w:rsidP="00BD5A6A" w14:paraId="355CEDE1" w14:textId="689BEBF0">
      <w:pPr>
        <w:pStyle w:val="FootnoteText"/>
      </w:pPr>
      <w:r w:rsidRPr="007B6EED">
        <w:rPr>
          <w:rStyle w:val="FootnoteReference"/>
        </w:rPr>
        <w:footnoteRef/>
      </w:r>
      <w:r w:rsidRPr="007B6EED">
        <w:rPr>
          <w:i/>
          <w:iCs/>
        </w:rPr>
        <w:t xml:space="preserve"> See</w:t>
      </w:r>
      <w:r w:rsidRPr="007B6EED">
        <w:t xml:space="preserve"> Complaint  </w:t>
      </w:r>
      <w:r w:rsidRPr="007B6EED">
        <w:t>Ex</w:t>
      </w:r>
      <w:r w:rsidR="004443B6">
        <w:t>h</w:t>
      </w:r>
      <w:r w:rsidRPr="007B6EED">
        <w:t>s</w:t>
      </w:r>
      <w:r w:rsidRPr="007B6EED">
        <w:t xml:space="preserve">. </w:t>
      </w:r>
      <w:r w:rsidR="00B90A43">
        <w:t>2</w:t>
      </w:r>
      <w:r w:rsidR="00F53B54">
        <w:t>8</w:t>
      </w:r>
      <w:r w:rsidRPr="007B6EED" w:rsidR="00B90A43">
        <w:t xml:space="preserve"> </w:t>
      </w:r>
      <w:r w:rsidRPr="007B6EED">
        <w:t xml:space="preserve">(Letter from Dianne Miller, AT&amp;T, to Michael </w:t>
      </w:r>
      <w:r w:rsidRPr="007B6EED">
        <w:t>Jarro</w:t>
      </w:r>
      <w:r w:rsidRPr="007B6EED">
        <w:t xml:space="preserve">, FPL, dated May 30, 2019 (noting that FPL declared the mediation </w:t>
      </w:r>
      <w:r w:rsidR="00E12C12">
        <w:t>“</w:t>
      </w:r>
      <w:r w:rsidRPr="007B6EED">
        <w:t>at an impasse</w:t>
      </w:r>
      <w:r w:rsidR="00E12C12">
        <w:t>”</w:t>
      </w:r>
      <w:r w:rsidRPr="007B6EED">
        <w:t xml:space="preserve"> on May 23, 2019)</w:t>
      </w:r>
      <w:r w:rsidR="001819EB">
        <w:t>)</w:t>
      </w:r>
      <w:r w:rsidRPr="007B6EED">
        <w:t xml:space="preserve">; </w:t>
      </w:r>
      <w:r w:rsidRPr="007B6EED" w:rsidR="00F53B54">
        <w:t>2</w:t>
      </w:r>
      <w:r w:rsidR="00F53B54">
        <w:t>7</w:t>
      </w:r>
      <w:r w:rsidRPr="007B6EED" w:rsidR="00F53B54">
        <w:t xml:space="preserve"> </w:t>
      </w:r>
      <w:r w:rsidRPr="007B6EED">
        <w:t xml:space="preserve">(Letter from Michael </w:t>
      </w:r>
      <w:r w:rsidRPr="007B6EED">
        <w:t>Jarro</w:t>
      </w:r>
      <w:r w:rsidRPr="007B6EED">
        <w:t>, FPL, to Dianne Miller, AT&amp;T, dated May 23, 2019) (AT&amp;T must remove its attachments)</w:t>
      </w:r>
      <w:r w:rsidR="001819EB">
        <w:t>)</w:t>
      </w:r>
      <w:r w:rsidRPr="007B6EED">
        <w:t xml:space="preserve">.  </w:t>
      </w:r>
    </w:p>
  </w:footnote>
  <w:footnote w:id="37">
    <w:p w:rsidR="00BB0CDF" w14:paraId="72C88CC9" w14:textId="7D25CF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1A28">
        <w:rPr>
          <w:i/>
          <w:iCs/>
        </w:rPr>
        <w:t>See</w:t>
      </w:r>
      <w:r>
        <w:t xml:space="preserve"> Compla</w:t>
      </w:r>
      <w:r w:rsidR="000C7A4C">
        <w:t>i</w:t>
      </w:r>
      <w:r>
        <w:t xml:space="preserve">nt </w:t>
      </w:r>
      <w:r>
        <w:t>Exh</w:t>
      </w:r>
      <w:r>
        <w:t>. 23 (Notice of Termination)</w:t>
      </w:r>
      <w:r w:rsidR="00A935CF">
        <w:t xml:space="preserve"> at 1</w:t>
      </w:r>
      <w:r>
        <w:t xml:space="preserve">.  </w:t>
      </w:r>
      <w:r w:rsidRPr="00F71A28">
        <w:rPr>
          <w:i/>
          <w:iCs/>
        </w:rPr>
        <w:t>See also</w:t>
      </w:r>
      <w:r>
        <w:t xml:space="preserve"> </w:t>
      </w:r>
      <w:r w:rsidRPr="000B017C">
        <w:rPr>
          <w:i/>
          <w:iCs/>
        </w:rPr>
        <w:t>Order</w:t>
      </w:r>
      <w:r w:rsidRPr="000B017C">
        <w:t>, 2021 WL 3674254 at *</w:t>
      </w:r>
      <w:r>
        <w:t>6</w:t>
      </w:r>
      <w:r w:rsidRPr="000B017C">
        <w:t xml:space="preserve">, para. </w:t>
      </w:r>
      <w:r>
        <w:t xml:space="preserve">23 (“settlement is never a certainty”).  </w:t>
      </w:r>
    </w:p>
  </w:footnote>
  <w:footnote w:id="38">
    <w:p w:rsidR="0047156B" w14:paraId="3631F5E1" w14:textId="0EB366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451A">
        <w:rPr>
          <w:i/>
          <w:iCs/>
        </w:rPr>
        <w:t>See id.</w:t>
      </w:r>
      <w:r w:rsidRPr="002A451A">
        <w:t xml:space="preserve"> at *4, para. 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38BFE48" w14:textId="48D524D2">
    <w:pPr>
      <w:pStyle w:val="Header"/>
      <w:rPr>
        <w:b w:val="0"/>
      </w:rPr>
    </w:pPr>
    <w:r>
      <w:tab/>
      <w:t>Federal Communications Commission</w:t>
    </w:r>
    <w:r>
      <w:tab/>
    </w:r>
    <w:r w:rsidR="00D25360">
      <w:t>FCC 22-46</w:t>
    </w:r>
  </w:p>
  <w:p w:rsidR="00D25FB5" w14:paraId="0CA6FCCE" w14:textId="2F3A04E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D25FB5" w14:paraId="7D3D2CD8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3475962" w14:textId="24B2EF0B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D25360">
      <w:t>FCC 22-46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6"/>
    <w:rsid w:val="000004C9"/>
    <w:rsid w:val="00004F20"/>
    <w:rsid w:val="00010D8C"/>
    <w:rsid w:val="00021A22"/>
    <w:rsid w:val="00026F6D"/>
    <w:rsid w:val="0003042C"/>
    <w:rsid w:val="00030D7B"/>
    <w:rsid w:val="00036039"/>
    <w:rsid w:val="00037F90"/>
    <w:rsid w:val="00044C62"/>
    <w:rsid w:val="00046545"/>
    <w:rsid w:val="000565C5"/>
    <w:rsid w:val="00060E4E"/>
    <w:rsid w:val="0006285C"/>
    <w:rsid w:val="00064600"/>
    <w:rsid w:val="0008042D"/>
    <w:rsid w:val="00081388"/>
    <w:rsid w:val="00082365"/>
    <w:rsid w:val="00085167"/>
    <w:rsid w:val="000875BF"/>
    <w:rsid w:val="00094BA8"/>
    <w:rsid w:val="0009694F"/>
    <w:rsid w:val="00096D8C"/>
    <w:rsid w:val="00097822"/>
    <w:rsid w:val="000A2CF0"/>
    <w:rsid w:val="000B017C"/>
    <w:rsid w:val="000B0723"/>
    <w:rsid w:val="000C0B65"/>
    <w:rsid w:val="000C7A4C"/>
    <w:rsid w:val="000E05FE"/>
    <w:rsid w:val="000E19DB"/>
    <w:rsid w:val="000E3D42"/>
    <w:rsid w:val="000F3FB0"/>
    <w:rsid w:val="00105B6A"/>
    <w:rsid w:val="00105FBE"/>
    <w:rsid w:val="0010717A"/>
    <w:rsid w:val="00107D8A"/>
    <w:rsid w:val="00120B86"/>
    <w:rsid w:val="00122BD5"/>
    <w:rsid w:val="00122CF5"/>
    <w:rsid w:val="00126C3E"/>
    <w:rsid w:val="00127B26"/>
    <w:rsid w:val="00127EFB"/>
    <w:rsid w:val="00133F79"/>
    <w:rsid w:val="0013435C"/>
    <w:rsid w:val="001361DB"/>
    <w:rsid w:val="00142464"/>
    <w:rsid w:val="0015343A"/>
    <w:rsid w:val="001660CA"/>
    <w:rsid w:val="00171800"/>
    <w:rsid w:val="001819EB"/>
    <w:rsid w:val="001922F2"/>
    <w:rsid w:val="001945D2"/>
    <w:rsid w:val="00194A66"/>
    <w:rsid w:val="001958C5"/>
    <w:rsid w:val="001A5972"/>
    <w:rsid w:val="001A6C36"/>
    <w:rsid w:val="001A7928"/>
    <w:rsid w:val="001B1E7D"/>
    <w:rsid w:val="001B4E3A"/>
    <w:rsid w:val="001B5D18"/>
    <w:rsid w:val="001B6BFC"/>
    <w:rsid w:val="001B768D"/>
    <w:rsid w:val="001C0EDC"/>
    <w:rsid w:val="001C0FC7"/>
    <w:rsid w:val="001C5BE9"/>
    <w:rsid w:val="001D0A8F"/>
    <w:rsid w:val="001D4AD0"/>
    <w:rsid w:val="001D57F4"/>
    <w:rsid w:val="001D6BCF"/>
    <w:rsid w:val="001E01CA"/>
    <w:rsid w:val="001F191A"/>
    <w:rsid w:val="001F4FC4"/>
    <w:rsid w:val="001F544B"/>
    <w:rsid w:val="001F6AF8"/>
    <w:rsid w:val="001F6E4E"/>
    <w:rsid w:val="00201CE9"/>
    <w:rsid w:val="00206E3F"/>
    <w:rsid w:val="0021592F"/>
    <w:rsid w:val="0021593B"/>
    <w:rsid w:val="00217DBF"/>
    <w:rsid w:val="00225793"/>
    <w:rsid w:val="00227C01"/>
    <w:rsid w:val="00230F51"/>
    <w:rsid w:val="002444E7"/>
    <w:rsid w:val="0024756F"/>
    <w:rsid w:val="00261EB9"/>
    <w:rsid w:val="00270E01"/>
    <w:rsid w:val="00272193"/>
    <w:rsid w:val="00272C84"/>
    <w:rsid w:val="00275B68"/>
    <w:rsid w:val="00275CF5"/>
    <w:rsid w:val="0027677D"/>
    <w:rsid w:val="0027716D"/>
    <w:rsid w:val="0028301F"/>
    <w:rsid w:val="00285017"/>
    <w:rsid w:val="0028621D"/>
    <w:rsid w:val="00286F18"/>
    <w:rsid w:val="002874DD"/>
    <w:rsid w:val="002A0B74"/>
    <w:rsid w:val="002A2D2E"/>
    <w:rsid w:val="002A451A"/>
    <w:rsid w:val="002B36A1"/>
    <w:rsid w:val="002B4044"/>
    <w:rsid w:val="002C00E8"/>
    <w:rsid w:val="002C1E0B"/>
    <w:rsid w:val="002D0247"/>
    <w:rsid w:val="002D0AA5"/>
    <w:rsid w:val="002D40DE"/>
    <w:rsid w:val="002D7854"/>
    <w:rsid w:val="002E2D79"/>
    <w:rsid w:val="002E450B"/>
    <w:rsid w:val="002F1683"/>
    <w:rsid w:val="002F3253"/>
    <w:rsid w:val="002F32C6"/>
    <w:rsid w:val="002F749E"/>
    <w:rsid w:val="003031DC"/>
    <w:rsid w:val="00306FE0"/>
    <w:rsid w:val="00316492"/>
    <w:rsid w:val="00316688"/>
    <w:rsid w:val="00330540"/>
    <w:rsid w:val="00336FA0"/>
    <w:rsid w:val="003435EA"/>
    <w:rsid w:val="00343749"/>
    <w:rsid w:val="00344B85"/>
    <w:rsid w:val="00346095"/>
    <w:rsid w:val="0034636E"/>
    <w:rsid w:val="003506A1"/>
    <w:rsid w:val="00350DC9"/>
    <w:rsid w:val="00354F3D"/>
    <w:rsid w:val="003568D7"/>
    <w:rsid w:val="003573F5"/>
    <w:rsid w:val="003660ED"/>
    <w:rsid w:val="00374CA6"/>
    <w:rsid w:val="00390E0D"/>
    <w:rsid w:val="003A0A27"/>
    <w:rsid w:val="003A121A"/>
    <w:rsid w:val="003A28E5"/>
    <w:rsid w:val="003B0550"/>
    <w:rsid w:val="003B08C2"/>
    <w:rsid w:val="003B19E5"/>
    <w:rsid w:val="003B694F"/>
    <w:rsid w:val="003C27EE"/>
    <w:rsid w:val="003C2E9A"/>
    <w:rsid w:val="003D14CA"/>
    <w:rsid w:val="003D1AC1"/>
    <w:rsid w:val="003D4A81"/>
    <w:rsid w:val="003D6DDB"/>
    <w:rsid w:val="003E081D"/>
    <w:rsid w:val="003E0BC6"/>
    <w:rsid w:val="003E1462"/>
    <w:rsid w:val="003F171C"/>
    <w:rsid w:val="003F338E"/>
    <w:rsid w:val="003F4385"/>
    <w:rsid w:val="00403753"/>
    <w:rsid w:val="0040397B"/>
    <w:rsid w:val="00412FC5"/>
    <w:rsid w:val="00414BA7"/>
    <w:rsid w:val="00415BBA"/>
    <w:rsid w:val="00422276"/>
    <w:rsid w:val="004242F1"/>
    <w:rsid w:val="00427904"/>
    <w:rsid w:val="00430895"/>
    <w:rsid w:val="00432FCA"/>
    <w:rsid w:val="004426AF"/>
    <w:rsid w:val="004443B6"/>
    <w:rsid w:val="00445A00"/>
    <w:rsid w:val="00451B0F"/>
    <w:rsid w:val="0047156B"/>
    <w:rsid w:val="0047320A"/>
    <w:rsid w:val="0047347F"/>
    <w:rsid w:val="0047651B"/>
    <w:rsid w:val="0048379A"/>
    <w:rsid w:val="00484F14"/>
    <w:rsid w:val="00494732"/>
    <w:rsid w:val="004A0A56"/>
    <w:rsid w:val="004B301C"/>
    <w:rsid w:val="004B3349"/>
    <w:rsid w:val="004B66E1"/>
    <w:rsid w:val="004C2EE3"/>
    <w:rsid w:val="004C3355"/>
    <w:rsid w:val="004C43B5"/>
    <w:rsid w:val="004D213C"/>
    <w:rsid w:val="004D68D2"/>
    <w:rsid w:val="004E2DC3"/>
    <w:rsid w:val="004E4A22"/>
    <w:rsid w:val="004E6C23"/>
    <w:rsid w:val="004E7B43"/>
    <w:rsid w:val="004F0143"/>
    <w:rsid w:val="004F26DD"/>
    <w:rsid w:val="004F4D2D"/>
    <w:rsid w:val="005020CB"/>
    <w:rsid w:val="0050231F"/>
    <w:rsid w:val="00511968"/>
    <w:rsid w:val="00512FD3"/>
    <w:rsid w:val="00522452"/>
    <w:rsid w:val="00522D55"/>
    <w:rsid w:val="005365FB"/>
    <w:rsid w:val="00551B20"/>
    <w:rsid w:val="00553D82"/>
    <w:rsid w:val="0055614C"/>
    <w:rsid w:val="00561D93"/>
    <w:rsid w:val="0056209D"/>
    <w:rsid w:val="0056593B"/>
    <w:rsid w:val="00566D06"/>
    <w:rsid w:val="00567AC4"/>
    <w:rsid w:val="00570ABF"/>
    <w:rsid w:val="00571ECE"/>
    <w:rsid w:val="00572252"/>
    <w:rsid w:val="0057729E"/>
    <w:rsid w:val="005823ED"/>
    <w:rsid w:val="005843CB"/>
    <w:rsid w:val="005851E3"/>
    <w:rsid w:val="00586C13"/>
    <w:rsid w:val="00592C4B"/>
    <w:rsid w:val="00595E20"/>
    <w:rsid w:val="00597DF5"/>
    <w:rsid w:val="005A1CA8"/>
    <w:rsid w:val="005A2552"/>
    <w:rsid w:val="005A36C2"/>
    <w:rsid w:val="005A61A2"/>
    <w:rsid w:val="005A6F4B"/>
    <w:rsid w:val="005B4A41"/>
    <w:rsid w:val="005B58BB"/>
    <w:rsid w:val="005C7107"/>
    <w:rsid w:val="005D38B2"/>
    <w:rsid w:val="005D4A96"/>
    <w:rsid w:val="005D6F1A"/>
    <w:rsid w:val="005E08B9"/>
    <w:rsid w:val="005E11D7"/>
    <w:rsid w:val="005E14C2"/>
    <w:rsid w:val="005E2D29"/>
    <w:rsid w:val="005E3508"/>
    <w:rsid w:val="005E5CAB"/>
    <w:rsid w:val="005E6792"/>
    <w:rsid w:val="005F5EC0"/>
    <w:rsid w:val="005F698D"/>
    <w:rsid w:val="00607BA5"/>
    <w:rsid w:val="0061122C"/>
    <w:rsid w:val="0061180A"/>
    <w:rsid w:val="00614D05"/>
    <w:rsid w:val="00620B52"/>
    <w:rsid w:val="00622A67"/>
    <w:rsid w:val="006243DD"/>
    <w:rsid w:val="00626144"/>
    <w:rsid w:val="00626EB6"/>
    <w:rsid w:val="00630C86"/>
    <w:rsid w:val="00630FFF"/>
    <w:rsid w:val="006312D4"/>
    <w:rsid w:val="00631D3C"/>
    <w:rsid w:val="0063458A"/>
    <w:rsid w:val="00643D1F"/>
    <w:rsid w:val="00643F7E"/>
    <w:rsid w:val="00654E11"/>
    <w:rsid w:val="00655D03"/>
    <w:rsid w:val="0065665B"/>
    <w:rsid w:val="00660A93"/>
    <w:rsid w:val="0066335A"/>
    <w:rsid w:val="006770F3"/>
    <w:rsid w:val="00683388"/>
    <w:rsid w:val="00683F84"/>
    <w:rsid w:val="0068610D"/>
    <w:rsid w:val="00696A6D"/>
    <w:rsid w:val="00696F35"/>
    <w:rsid w:val="006A0C50"/>
    <w:rsid w:val="006A2B27"/>
    <w:rsid w:val="006A3963"/>
    <w:rsid w:val="006A6A81"/>
    <w:rsid w:val="006A773B"/>
    <w:rsid w:val="006B4476"/>
    <w:rsid w:val="006C0F17"/>
    <w:rsid w:val="006C13C9"/>
    <w:rsid w:val="006C1778"/>
    <w:rsid w:val="006C2E67"/>
    <w:rsid w:val="006D01ED"/>
    <w:rsid w:val="006D0DAC"/>
    <w:rsid w:val="006D57A3"/>
    <w:rsid w:val="006E08B2"/>
    <w:rsid w:val="006E3765"/>
    <w:rsid w:val="006E784B"/>
    <w:rsid w:val="006F20C9"/>
    <w:rsid w:val="006F4380"/>
    <w:rsid w:val="006F5B49"/>
    <w:rsid w:val="006F6E32"/>
    <w:rsid w:val="006F7393"/>
    <w:rsid w:val="0070224F"/>
    <w:rsid w:val="007023EB"/>
    <w:rsid w:val="0070657D"/>
    <w:rsid w:val="007115F7"/>
    <w:rsid w:val="00736949"/>
    <w:rsid w:val="007412BF"/>
    <w:rsid w:val="00742073"/>
    <w:rsid w:val="007428C2"/>
    <w:rsid w:val="00742F55"/>
    <w:rsid w:val="00747564"/>
    <w:rsid w:val="00761B8E"/>
    <w:rsid w:val="00764F74"/>
    <w:rsid w:val="00765BB5"/>
    <w:rsid w:val="00765CF1"/>
    <w:rsid w:val="00770BA3"/>
    <w:rsid w:val="0078262E"/>
    <w:rsid w:val="00785689"/>
    <w:rsid w:val="00790D03"/>
    <w:rsid w:val="00795A68"/>
    <w:rsid w:val="0079754B"/>
    <w:rsid w:val="007A1871"/>
    <w:rsid w:val="007A1E6D"/>
    <w:rsid w:val="007A3058"/>
    <w:rsid w:val="007A3E01"/>
    <w:rsid w:val="007B0D73"/>
    <w:rsid w:val="007B0EB2"/>
    <w:rsid w:val="007B2B24"/>
    <w:rsid w:val="007B6EED"/>
    <w:rsid w:val="007E2D34"/>
    <w:rsid w:val="007E4206"/>
    <w:rsid w:val="007E746A"/>
    <w:rsid w:val="008069F9"/>
    <w:rsid w:val="00810B6F"/>
    <w:rsid w:val="00812F7D"/>
    <w:rsid w:val="00814A5A"/>
    <w:rsid w:val="0082200E"/>
    <w:rsid w:val="008220AF"/>
    <w:rsid w:val="00822CE0"/>
    <w:rsid w:val="0082598D"/>
    <w:rsid w:val="008265FA"/>
    <w:rsid w:val="0083096A"/>
    <w:rsid w:val="00830A63"/>
    <w:rsid w:val="00835B1C"/>
    <w:rsid w:val="00840852"/>
    <w:rsid w:val="00841AB1"/>
    <w:rsid w:val="00845DE2"/>
    <w:rsid w:val="008478D1"/>
    <w:rsid w:val="00850099"/>
    <w:rsid w:val="00856E7E"/>
    <w:rsid w:val="00857929"/>
    <w:rsid w:val="008654B6"/>
    <w:rsid w:val="00871E3A"/>
    <w:rsid w:val="008723DE"/>
    <w:rsid w:val="00883549"/>
    <w:rsid w:val="00886CCD"/>
    <w:rsid w:val="00886DED"/>
    <w:rsid w:val="0088783E"/>
    <w:rsid w:val="00890773"/>
    <w:rsid w:val="0089078E"/>
    <w:rsid w:val="0089167D"/>
    <w:rsid w:val="0089261F"/>
    <w:rsid w:val="00896685"/>
    <w:rsid w:val="008A14AB"/>
    <w:rsid w:val="008A3C9F"/>
    <w:rsid w:val="008B0804"/>
    <w:rsid w:val="008B08B5"/>
    <w:rsid w:val="008B1ED5"/>
    <w:rsid w:val="008B7487"/>
    <w:rsid w:val="008C01E2"/>
    <w:rsid w:val="008C5233"/>
    <w:rsid w:val="008C68F1"/>
    <w:rsid w:val="008D049E"/>
    <w:rsid w:val="008D7F5B"/>
    <w:rsid w:val="008E154D"/>
    <w:rsid w:val="008E1E06"/>
    <w:rsid w:val="008E2213"/>
    <w:rsid w:val="008E2FE9"/>
    <w:rsid w:val="008E7C63"/>
    <w:rsid w:val="008F163C"/>
    <w:rsid w:val="009065DB"/>
    <w:rsid w:val="0090720C"/>
    <w:rsid w:val="00912019"/>
    <w:rsid w:val="009156FF"/>
    <w:rsid w:val="00921803"/>
    <w:rsid w:val="00926503"/>
    <w:rsid w:val="009337BF"/>
    <w:rsid w:val="00934EA4"/>
    <w:rsid w:val="0095581A"/>
    <w:rsid w:val="00962F4B"/>
    <w:rsid w:val="009647CE"/>
    <w:rsid w:val="00970A6F"/>
    <w:rsid w:val="00971C36"/>
    <w:rsid w:val="009726D8"/>
    <w:rsid w:val="009752CE"/>
    <w:rsid w:val="009862E7"/>
    <w:rsid w:val="0098764F"/>
    <w:rsid w:val="0098766B"/>
    <w:rsid w:val="009A51C2"/>
    <w:rsid w:val="009A5A43"/>
    <w:rsid w:val="009A708B"/>
    <w:rsid w:val="009B1A72"/>
    <w:rsid w:val="009B624E"/>
    <w:rsid w:val="009B700E"/>
    <w:rsid w:val="009B7A68"/>
    <w:rsid w:val="009C15F2"/>
    <w:rsid w:val="009C17B0"/>
    <w:rsid w:val="009D0F9E"/>
    <w:rsid w:val="009D3162"/>
    <w:rsid w:val="009D7308"/>
    <w:rsid w:val="009E0024"/>
    <w:rsid w:val="009E0FD1"/>
    <w:rsid w:val="009E112D"/>
    <w:rsid w:val="009E2200"/>
    <w:rsid w:val="009E5761"/>
    <w:rsid w:val="009F42FC"/>
    <w:rsid w:val="009F478B"/>
    <w:rsid w:val="009F60BD"/>
    <w:rsid w:val="009F76DB"/>
    <w:rsid w:val="009F795A"/>
    <w:rsid w:val="009F7DA2"/>
    <w:rsid w:val="00A00FC8"/>
    <w:rsid w:val="00A02C0E"/>
    <w:rsid w:val="00A04642"/>
    <w:rsid w:val="00A10BD1"/>
    <w:rsid w:val="00A14C2D"/>
    <w:rsid w:val="00A15C0F"/>
    <w:rsid w:val="00A17B04"/>
    <w:rsid w:val="00A26176"/>
    <w:rsid w:val="00A3131F"/>
    <w:rsid w:val="00A32C3B"/>
    <w:rsid w:val="00A351F9"/>
    <w:rsid w:val="00A35D4E"/>
    <w:rsid w:val="00A45F4F"/>
    <w:rsid w:val="00A507B2"/>
    <w:rsid w:val="00A53CD0"/>
    <w:rsid w:val="00A55873"/>
    <w:rsid w:val="00A57F60"/>
    <w:rsid w:val="00A600A9"/>
    <w:rsid w:val="00A63C50"/>
    <w:rsid w:val="00A67E10"/>
    <w:rsid w:val="00A70355"/>
    <w:rsid w:val="00A713BA"/>
    <w:rsid w:val="00A73CD2"/>
    <w:rsid w:val="00A76A17"/>
    <w:rsid w:val="00A80D32"/>
    <w:rsid w:val="00A923AD"/>
    <w:rsid w:val="00A935CF"/>
    <w:rsid w:val="00AA4A6D"/>
    <w:rsid w:val="00AA55B7"/>
    <w:rsid w:val="00AA5B9E"/>
    <w:rsid w:val="00AA6425"/>
    <w:rsid w:val="00AB1976"/>
    <w:rsid w:val="00AB23E9"/>
    <w:rsid w:val="00AB2407"/>
    <w:rsid w:val="00AB3096"/>
    <w:rsid w:val="00AB53DF"/>
    <w:rsid w:val="00AC5A8C"/>
    <w:rsid w:val="00AD0A3C"/>
    <w:rsid w:val="00AD16FF"/>
    <w:rsid w:val="00AD3707"/>
    <w:rsid w:val="00AD40D2"/>
    <w:rsid w:val="00AD68BE"/>
    <w:rsid w:val="00AE06B0"/>
    <w:rsid w:val="00AE1A14"/>
    <w:rsid w:val="00AE5F2D"/>
    <w:rsid w:val="00AE5F8D"/>
    <w:rsid w:val="00AF22AA"/>
    <w:rsid w:val="00B04978"/>
    <w:rsid w:val="00B07E5C"/>
    <w:rsid w:val="00B154D9"/>
    <w:rsid w:val="00B16D8F"/>
    <w:rsid w:val="00B20913"/>
    <w:rsid w:val="00B235A6"/>
    <w:rsid w:val="00B25E45"/>
    <w:rsid w:val="00B279BA"/>
    <w:rsid w:val="00B34026"/>
    <w:rsid w:val="00B36705"/>
    <w:rsid w:val="00B36941"/>
    <w:rsid w:val="00B4121B"/>
    <w:rsid w:val="00B42491"/>
    <w:rsid w:val="00B54663"/>
    <w:rsid w:val="00B54D00"/>
    <w:rsid w:val="00B55D6C"/>
    <w:rsid w:val="00B56DCB"/>
    <w:rsid w:val="00B625F9"/>
    <w:rsid w:val="00B634AD"/>
    <w:rsid w:val="00B7044F"/>
    <w:rsid w:val="00B75F66"/>
    <w:rsid w:val="00B811F7"/>
    <w:rsid w:val="00B90A43"/>
    <w:rsid w:val="00B92E36"/>
    <w:rsid w:val="00BA2DB2"/>
    <w:rsid w:val="00BA5DC6"/>
    <w:rsid w:val="00BA6196"/>
    <w:rsid w:val="00BB07FC"/>
    <w:rsid w:val="00BB0CDF"/>
    <w:rsid w:val="00BB38FE"/>
    <w:rsid w:val="00BB5BC7"/>
    <w:rsid w:val="00BB7250"/>
    <w:rsid w:val="00BC511A"/>
    <w:rsid w:val="00BC6265"/>
    <w:rsid w:val="00BC6D8C"/>
    <w:rsid w:val="00BC7DB1"/>
    <w:rsid w:val="00BD403C"/>
    <w:rsid w:val="00BD5A6A"/>
    <w:rsid w:val="00BE4C87"/>
    <w:rsid w:val="00BF1CA0"/>
    <w:rsid w:val="00C01209"/>
    <w:rsid w:val="00C014B4"/>
    <w:rsid w:val="00C01D42"/>
    <w:rsid w:val="00C01EB1"/>
    <w:rsid w:val="00C0577B"/>
    <w:rsid w:val="00C06E0D"/>
    <w:rsid w:val="00C0700D"/>
    <w:rsid w:val="00C10466"/>
    <w:rsid w:val="00C139BE"/>
    <w:rsid w:val="00C15FF9"/>
    <w:rsid w:val="00C232A9"/>
    <w:rsid w:val="00C233EA"/>
    <w:rsid w:val="00C24772"/>
    <w:rsid w:val="00C27EAA"/>
    <w:rsid w:val="00C300A1"/>
    <w:rsid w:val="00C34006"/>
    <w:rsid w:val="00C36B4C"/>
    <w:rsid w:val="00C426B1"/>
    <w:rsid w:val="00C44D65"/>
    <w:rsid w:val="00C4758D"/>
    <w:rsid w:val="00C52A43"/>
    <w:rsid w:val="00C52B07"/>
    <w:rsid w:val="00C61138"/>
    <w:rsid w:val="00C64C1A"/>
    <w:rsid w:val="00C6547E"/>
    <w:rsid w:val="00C66160"/>
    <w:rsid w:val="00C721AC"/>
    <w:rsid w:val="00C76F6C"/>
    <w:rsid w:val="00C77D14"/>
    <w:rsid w:val="00C90D6A"/>
    <w:rsid w:val="00C93F13"/>
    <w:rsid w:val="00C94288"/>
    <w:rsid w:val="00CA247E"/>
    <w:rsid w:val="00CA3B66"/>
    <w:rsid w:val="00CA5BC3"/>
    <w:rsid w:val="00CA6D21"/>
    <w:rsid w:val="00CA7985"/>
    <w:rsid w:val="00CB1136"/>
    <w:rsid w:val="00CB192B"/>
    <w:rsid w:val="00CC71CA"/>
    <w:rsid w:val="00CC72B6"/>
    <w:rsid w:val="00CD4E94"/>
    <w:rsid w:val="00CD72B3"/>
    <w:rsid w:val="00CE54F2"/>
    <w:rsid w:val="00CF0E0E"/>
    <w:rsid w:val="00CF6093"/>
    <w:rsid w:val="00CF70EE"/>
    <w:rsid w:val="00D0218D"/>
    <w:rsid w:val="00D04D28"/>
    <w:rsid w:val="00D15D21"/>
    <w:rsid w:val="00D2023E"/>
    <w:rsid w:val="00D20720"/>
    <w:rsid w:val="00D20A51"/>
    <w:rsid w:val="00D25360"/>
    <w:rsid w:val="00D25FB5"/>
    <w:rsid w:val="00D27F4E"/>
    <w:rsid w:val="00D352F5"/>
    <w:rsid w:val="00D43EF8"/>
    <w:rsid w:val="00D44223"/>
    <w:rsid w:val="00D46A1C"/>
    <w:rsid w:val="00D52158"/>
    <w:rsid w:val="00D55D95"/>
    <w:rsid w:val="00D6141B"/>
    <w:rsid w:val="00D63A5B"/>
    <w:rsid w:val="00D63DE3"/>
    <w:rsid w:val="00D67AEA"/>
    <w:rsid w:val="00D75F05"/>
    <w:rsid w:val="00D86827"/>
    <w:rsid w:val="00D91BD0"/>
    <w:rsid w:val="00D95CB8"/>
    <w:rsid w:val="00D970C6"/>
    <w:rsid w:val="00DA2529"/>
    <w:rsid w:val="00DA30A3"/>
    <w:rsid w:val="00DA4C9A"/>
    <w:rsid w:val="00DA74C8"/>
    <w:rsid w:val="00DB130A"/>
    <w:rsid w:val="00DB27EA"/>
    <w:rsid w:val="00DB2EBB"/>
    <w:rsid w:val="00DB3168"/>
    <w:rsid w:val="00DC0B13"/>
    <w:rsid w:val="00DC10A1"/>
    <w:rsid w:val="00DC264C"/>
    <w:rsid w:val="00DC34CD"/>
    <w:rsid w:val="00DC4591"/>
    <w:rsid w:val="00DC655F"/>
    <w:rsid w:val="00DD0B59"/>
    <w:rsid w:val="00DD7EBD"/>
    <w:rsid w:val="00DE11E6"/>
    <w:rsid w:val="00DE4D9A"/>
    <w:rsid w:val="00DE6205"/>
    <w:rsid w:val="00DF19E5"/>
    <w:rsid w:val="00DF1D4E"/>
    <w:rsid w:val="00DF62B6"/>
    <w:rsid w:val="00E0312A"/>
    <w:rsid w:val="00E05B16"/>
    <w:rsid w:val="00E07225"/>
    <w:rsid w:val="00E12C12"/>
    <w:rsid w:val="00E137B2"/>
    <w:rsid w:val="00E26484"/>
    <w:rsid w:val="00E27C92"/>
    <w:rsid w:val="00E27F10"/>
    <w:rsid w:val="00E32F14"/>
    <w:rsid w:val="00E344CA"/>
    <w:rsid w:val="00E36CEE"/>
    <w:rsid w:val="00E4266F"/>
    <w:rsid w:val="00E464C2"/>
    <w:rsid w:val="00E4797F"/>
    <w:rsid w:val="00E52722"/>
    <w:rsid w:val="00E5409F"/>
    <w:rsid w:val="00E56AC9"/>
    <w:rsid w:val="00E62A81"/>
    <w:rsid w:val="00E64155"/>
    <w:rsid w:val="00E64D07"/>
    <w:rsid w:val="00E656D4"/>
    <w:rsid w:val="00E75EEF"/>
    <w:rsid w:val="00E75FB8"/>
    <w:rsid w:val="00E87D94"/>
    <w:rsid w:val="00E929AB"/>
    <w:rsid w:val="00E92A52"/>
    <w:rsid w:val="00E92A90"/>
    <w:rsid w:val="00E956E4"/>
    <w:rsid w:val="00EA0906"/>
    <w:rsid w:val="00EA651F"/>
    <w:rsid w:val="00EB1576"/>
    <w:rsid w:val="00EB70D2"/>
    <w:rsid w:val="00EC12EB"/>
    <w:rsid w:val="00EC4294"/>
    <w:rsid w:val="00ED0981"/>
    <w:rsid w:val="00ED0E82"/>
    <w:rsid w:val="00ED1ACB"/>
    <w:rsid w:val="00ED2237"/>
    <w:rsid w:val="00ED2F81"/>
    <w:rsid w:val="00ED4BC6"/>
    <w:rsid w:val="00ED61E0"/>
    <w:rsid w:val="00ED6782"/>
    <w:rsid w:val="00EE47F5"/>
    <w:rsid w:val="00EE58C4"/>
    <w:rsid w:val="00EE6031"/>
    <w:rsid w:val="00EE6488"/>
    <w:rsid w:val="00EE67C6"/>
    <w:rsid w:val="00EF38C9"/>
    <w:rsid w:val="00EF6087"/>
    <w:rsid w:val="00EF73AC"/>
    <w:rsid w:val="00F021FA"/>
    <w:rsid w:val="00F11A7E"/>
    <w:rsid w:val="00F17FA1"/>
    <w:rsid w:val="00F23E3F"/>
    <w:rsid w:val="00F24035"/>
    <w:rsid w:val="00F2445A"/>
    <w:rsid w:val="00F3020A"/>
    <w:rsid w:val="00F33D51"/>
    <w:rsid w:val="00F43A46"/>
    <w:rsid w:val="00F526A4"/>
    <w:rsid w:val="00F53B54"/>
    <w:rsid w:val="00F61D8B"/>
    <w:rsid w:val="00F62946"/>
    <w:rsid w:val="00F62E97"/>
    <w:rsid w:val="00F64209"/>
    <w:rsid w:val="00F71A28"/>
    <w:rsid w:val="00F71CF1"/>
    <w:rsid w:val="00F740D6"/>
    <w:rsid w:val="00F74EDF"/>
    <w:rsid w:val="00F751C9"/>
    <w:rsid w:val="00F83733"/>
    <w:rsid w:val="00F8469B"/>
    <w:rsid w:val="00F86233"/>
    <w:rsid w:val="00F919DE"/>
    <w:rsid w:val="00F93BF5"/>
    <w:rsid w:val="00F948DA"/>
    <w:rsid w:val="00F9562D"/>
    <w:rsid w:val="00FA1CDA"/>
    <w:rsid w:val="00FA5699"/>
    <w:rsid w:val="00FB4516"/>
    <w:rsid w:val="00FB746C"/>
    <w:rsid w:val="00FC0694"/>
    <w:rsid w:val="00FC51AB"/>
    <w:rsid w:val="00FE56C3"/>
    <w:rsid w:val="00FF1B6F"/>
    <w:rsid w:val="00FF739D"/>
    <w:rsid w:val="1D1DEB0C"/>
    <w:rsid w:val="41E6FD2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775AFF"/>
  <w15:docId w15:val="{A6132B02-1041-4F30-9B55-0A4CBDC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1122C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61122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1122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1122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1122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1122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1122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1122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1122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1122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112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122C"/>
  </w:style>
  <w:style w:type="paragraph" w:customStyle="1" w:styleId="ParaNum">
    <w:name w:val="ParaNum"/>
    <w:basedOn w:val="Normal"/>
    <w:link w:val="ParaNumChar"/>
    <w:rsid w:val="0061122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61122C"/>
    <w:rPr>
      <w:sz w:val="20"/>
    </w:rPr>
  </w:style>
  <w:style w:type="character" w:styleId="EndnoteReference">
    <w:name w:val="endnote reference"/>
    <w:semiHidden/>
    <w:rsid w:val="0061122C"/>
    <w:rPr>
      <w:vertAlign w:val="superscript"/>
    </w:rPr>
  </w:style>
  <w:style w:type="paragraph" w:styleId="FootnoteText">
    <w:name w:val="footnote text"/>
    <w:aliases w:val="ALTS FOOTNOTE,ALTS FOOTNOTE Char,FOOTNOTE,Footnote Text 2,Footnote Text Char Char Char Char,Footnote Text Char1,Footnote Text Char1 Char2 Char,Footnote Text Char2 Char,Footnote Text Char2 Char Char1 Char Char,Footnote text,fn,fn Char Char"/>
    <w:link w:val="FootnoteTextChar"/>
    <w:rsid w:val="0061122C"/>
    <w:pPr>
      <w:spacing w:after="120"/>
    </w:pPr>
  </w:style>
  <w:style w:type="character" w:styleId="FootnoteReference">
    <w:name w:val="footnote reference"/>
    <w:aliases w:val="(NECG) Footnote Reference,-E Funotenzeichen,-E Fußnotenzeichen,Appel note de bas de p,FR,Footnote Reference/,Ref,Style 1,Style 12,Style 124,Style 13,Style 17,Style 20,Style 3,Style 30,Style 4,Style 6,callout,de nota al pie,fr,o"/>
    <w:rsid w:val="0061122C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61122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1122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1122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1122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1122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1122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1122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1122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1122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1122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1122C"/>
  </w:style>
  <w:style w:type="paragraph" w:styleId="Header">
    <w:name w:val="header"/>
    <w:basedOn w:val="Normal"/>
    <w:autoRedefine/>
    <w:rsid w:val="0061122C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611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22C"/>
  </w:style>
  <w:style w:type="paragraph" w:styleId="BlockText">
    <w:name w:val="Block Text"/>
    <w:basedOn w:val="Normal"/>
    <w:rsid w:val="0061122C"/>
    <w:pPr>
      <w:spacing w:after="240"/>
      <w:ind w:left="1440" w:right="1440"/>
    </w:pPr>
  </w:style>
  <w:style w:type="paragraph" w:customStyle="1" w:styleId="Paratitle">
    <w:name w:val="Para title"/>
    <w:basedOn w:val="Normal"/>
    <w:rsid w:val="0061122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1122C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1122C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1122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1122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1122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1122C"/>
    <w:rPr>
      <w:snapToGrid w:val="0"/>
      <w:kern w:val="28"/>
      <w:sz w:val="22"/>
    </w:rPr>
  </w:style>
  <w:style w:type="character" w:customStyle="1" w:styleId="ParaNumChar">
    <w:name w:val="ParaNum Char"/>
    <w:link w:val="ParaNum"/>
    <w:locked/>
    <w:rsid w:val="00AB3096"/>
    <w:rPr>
      <w:snapToGrid w:val="0"/>
      <w:kern w:val="28"/>
      <w:sz w:val="22"/>
    </w:rPr>
  </w:style>
  <w:style w:type="character" w:customStyle="1" w:styleId="FootnoteTextChar">
    <w:name w:val="Footnote Text Char"/>
    <w:aliases w:val="ALTS FOOTNOTE Char1,FOOTNOTE Char,Footnote Text 2 Char,Footnote Text Char Char Char Char Char,Footnote Text Char1 Char2 Char Char,Footnote Text Char2 Char Char,Footnote Text Char2 Char Char1 Char Char Char,Footnote text Char,fn Char"/>
    <w:link w:val="FootnoteText"/>
    <w:rsid w:val="00AB3096"/>
  </w:style>
  <w:style w:type="character" w:customStyle="1" w:styleId="apple-converted-space">
    <w:name w:val="apple-converted-space"/>
    <w:rsid w:val="00AB3096"/>
  </w:style>
  <w:style w:type="character" w:customStyle="1" w:styleId="xapple-converted-space">
    <w:name w:val="xapple-converted-space"/>
    <w:rsid w:val="00AB3096"/>
  </w:style>
  <w:style w:type="character" w:styleId="CommentReference">
    <w:name w:val="annotation reference"/>
    <w:basedOn w:val="DefaultParagraphFont"/>
    <w:rsid w:val="00592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2C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2C4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9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2C4B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592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2C4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61B8E"/>
    <w:rPr>
      <w:rFonts w:ascii="Times New Roman Bold" w:hAnsi="Times New Roman Bold"/>
      <w:b/>
      <w:caps/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430895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