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34012" w:rsidRPr="002766E0" w:rsidP="00934012" w14:paraId="1096C80D" w14:textId="77777777">
      <w:pPr>
        <w:jc w:val="center"/>
        <w:rPr>
          <w:b/>
          <w:bCs/>
          <w:caps/>
          <w:szCs w:val="22"/>
        </w:rPr>
      </w:pPr>
      <w:r w:rsidRPr="002766E0">
        <w:rPr>
          <w:b/>
          <w:bCs/>
          <w:caps/>
          <w:szCs w:val="22"/>
        </w:rPr>
        <w:t>Statement of</w:t>
      </w:r>
    </w:p>
    <w:p w:rsidR="00934012" w:rsidRPr="002766E0" w:rsidP="00934012" w14:paraId="03855399" w14:textId="039BD730">
      <w:pPr>
        <w:jc w:val="center"/>
        <w:rPr>
          <w:b/>
          <w:bCs/>
          <w:caps/>
          <w:szCs w:val="22"/>
        </w:rPr>
      </w:pPr>
      <w:r w:rsidRPr="002766E0">
        <w:rPr>
          <w:b/>
          <w:bCs/>
          <w:caps/>
          <w:szCs w:val="22"/>
        </w:rPr>
        <w:t>COmmissioner Geoffrey Starks</w:t>
      </w:r>
    </w:p>
    <w:p w:rsidR="00934012" w:rsidRPr="002766E0" w:rsidP="00934012" w14:paraId="2CE4C2E4" w14:textId="77777777">
      <w:pPr>
        <w:jc w:val="center"/>
        <w:rPr>
          <w:b/>
          <w:bCs/>
          <w:caps/>
          <w:szCs w:val="22"/>
        </w:rPr>
      </w:pPr>
    </w:p>
    <w:p w:rsidR="00934012" w:rsidRPr="002766E0" w:rsidP="00FA632E" w14:paraId="5F15620B" w14:textId="689930C3">
      <w:pPr>
        <w:ind w:left="720"/>
        <w:rPr>
          <w:i/>
          <w:iCs/>
          <w:szCs w:val="22"/>
        </w:rPr>
      </w:pPr>
      <w:r w:rsidRPr="002766E0">
        <w:rPr>
          <w:iCs/>
          <w:szCs w:val="22"/>
        </w:rPr>
        <w:t>Re:</w:t>
      </w:r>
      <w:r w:rsidRPr="002766E0">
        <w:rPr>
          <w:szCs w:val="22"/>
        </w:rPr>
        <w:t xml:space="preserve"> </w:t>
      </w:r>
      <w:r w:rsidRPr="002766E0">
        <w:rPr>
          <w:szCs w:val="22"/>
        </w:rPr>
        <w:tab/>
      </w:r>
      <w:r w:rsidRPr="002766E0" w:rsidR="00BD1347">
        <w:rPr>
          <w:i/>
          <w:iCs/>
          <w:szCs w:val="22"/>
        </w:rPr>
        <w:t xml:space="preserve">In the Matter of </w:t>
      </w:r>
      <w:r w:rsidRPr="002766E0" w:rsidR="00FA632E">
        <w:rPr>
          <w:rFonts w:eastAsia="Calibri"/>
          <w:i/>
          <w:iCs/>
          <w:szCs w:val="22"/>
        </w:rPr>
        <w:t xml:space="preserve">73 </w:t>
      </w:r>
      <w:r w:rsidRPr="002766E0" w:rsidR="00FA632E">
        <w:rPr>
          <w:rFonts w:eastAsia="Calibri"/>
          <w:i/>
          <w:iCs/>
          <w:spacing w:val="-2"/>
          <w:szCs w:val="22"/>
        </w:rPr>
        <w:t>Applicants for Rural Digital Opportunity Fund in Default</w:t>
      </w:r>
    </w:p>
    <w:p w:rsidR="00934012" w:rsidRPr="002766E0" w:rsidP="00934012" w14:paraId="525F2932" w14:textId="77777777">
      <w:pPr>
        <w:ind w:firstLine="720"/>
        <w:rPr>
          <w:szCs w:val="22"/>
        </w:rPr>
      </w:pPr>
    </w:p>
    <w:p w:rsidR="005563EB" w:rsidRPr="002766E0" w:rsidP="00934012" w14:paraId="476041C5" w14:textId="2FEB3623">
      <w:pPr>
        <w:spacing w:after="120"/>
        <w:ind w:firstLine="720"/>
        <w:rPr>
          <w:szCs w:val="22"/>
        </w:rPr>
      </w:pPr>
      <w:r w:rsidRPr="002766E0">
        <w:rPr>
          <w:szCs w:val="22"/>
        </w:rPr>
        <w:t>In my statement</w:t>
      </w:r>
      <w:r w:rsidRPr="002766E0" w:rsidR="00595DAE">
        <w:rPr>
          <w:szCs w:val="22"/>
        </w:rPr>
        <w:t xml:space="preserve"> in 2020</w:t>
      </w:r>
      <w:r w:rsidRPr="002766E0">
        <w:rPr>
          <w:szCs w:val="22"/>
        </w:rPr>
        <w:t>,</w:t>
      </w:r>
      <w:r w:rsidRPr="002766E0">
        <w:rPr>
          <w:szCs w:val="22"/>
        </w:rPr>
        <w:t xml:space="preserve"> </w:t>
      </w:r>
      <w:r w:rsidRPr="002766E0" w:rsidR="00E363C6">
        <w:rPr>
          <w:szCs w:val="22"/>
        </w:rPr>
        <w:t xml:space="preserve">Approving in Part and Dissenting in Part, I </w:t>
      </w:r>
      <w:r w:rsidRPr="002766E0" w:rsidR="00E31E57">
        <w:rPr>
          <w:szCs w:val="22"/>
        </w:rPr>
        <w:t xml:space="preserve">cautioned </w:t>
      </w:r>
      <w:r w:rsidRPr="002766E0" w:rsidR="00E363C6">
        <w:rPr>
          <w:szCs w:val="22"/>
        </w:rPr>
        <w:t>that there “are no do-overs with this money and previous time,” and that the Commission must “hold auction winners accountable.”</w:t>
      </w:r>
      <w:r>
        <w:rPr>
          <w:rStyle w:val="FootnoteReference"/>
          <w:sz w:val="22"/>
          <w:szCs w:val="22"/>
        </w:rPr>
        <w:footnoteReference w:id="3"/>
      </w:r>
      <w:r w:rsidRPr="002766E0" w:rsidR="00E363C6">
        <w:rPr>
          <w:szCs w:val="22"/>
        </w:rPr>
        <w:t xml:space="preserve">  I was worried that there were “warning signs that we should not ignore” regarding our track record of winners in CAF II defaulting and missing milestones.</w:t>
      </w:r>
      <w:r>
        <w:rPr>
          <w:rStyle w:val="FootnoteReference"/>
          <w:sz w:val="22"/>
          <w:szCs w:val="22"/>
        </w:rPr>
        <w:footnoteReference w:id="4"/>
      </w:r>
      <w:r w:rsidRPr="002766E0" w:rsidR="004B02B8">
        <w:rPr>
          <w:szCs w:val="22"/>
        </w:rPr>
        <w:t xml:space="preserve">  And, given the size </w:t>
      </w:r>
      <w:r w:rsidRPr="002766E0" w:rsidR="00FE23D0">
        <w:rPr>
          <w:szCs w:val="22"/>
        </w:rPr>
        <w:t xml:space="preserve">and scope </w:t>
      </w:r>
      <w:r w:rsidRPr="002766E0" w:rsidR="004B02B8">
        <w:rPr>
          <w:szCs w:val="22"/>
        </w:rPr>
        <w:t xml:space="preserve">of RDOF, the </w:t>
      </w:r>
      <w:r w:rsidRPr="002766E0" w:rsidR="00FE23D0">
        <w:rPr>
          <w:szCs w:val="22"/>
        </w:rPr>
        <w:t xml:space="preserve">stakes </w:t>
      </w:r>
      <w:r w:rsidRPr="002766E0" w:rsidR="004B02B8">
        <w:rPr>
          <w:szCs w:val="22"/>
        </w:rPr>
        <w:t>were far greater.</w:t>
      </w:r>
      <w:r>
        <w:rPr>
          <w:rStyle w:val="FootnoteReference"/>
          <w:sz w:val="22"/>
          <w:szCs w:val="22"/>
        </w:rPr>
        <w:footnoteReference w:id="5"/>
      </w:r>
      <w:r w:rsidRPr="002766E0" w:rsidR="00B16813">
        <w:rPr>
          <w:szCs w:val="22"/>
        </w:rPr>
        <w:t xml:space="preserve">  </w:t>
      </w:r>
      <w:r w:rsidRPr="002766E0" w:rsidR="007F38A5">
        <w:rPr>
          <w:szCs w:val="22"/>
        </w:rPr>
        <w:t xml:space="preserve">That brings us to today’s action.  In this item, we adopt a Notice of Apparent Liability for 73 winning bidders in the RDOF auction that have </w:t>
      </w:r>
      <w:r w:rsidRPr="002766E0" w:rsidR="00635CFC">
        <w:rPr>
          <w:szCs w:val="22"/>
        </w:rPr>
        <w:t xml:space="preserve">since </w:t>
      </w:r>
      <w:r w:rsidRPr="002766E0" w:rsidR="007F38A5">
        <w:rPr>
          <w:szCs w:val="22"/>
        </w:rPr>
        <w:t>defaulted.  I support the Commission’s efforts to hold the</w:t>
      </w:r>
      <w:r w:rsidRPr="002766E0" w:rsidR="00635CFC">
        <w:rPr>
          <w:szCs w:val="22"/>
        </w:rPr>
        <w:t>m</w:t>
      </w:r>
      <w:r w:rsidRPr="002766E0" w:rsidR="007F38A5">
        <w:rPr>
          <w:szCs w:val="22"/>
        </w:rPr>
        <w:t xml:space="preserve"> accountable, to the </w:t>
      </w:r>
      <w:r w:rsidRPr="002766E0" w:rsidR="00FE23D0">
        <w:rPr>
          <w:szCs w:val="22"/>
        </w:rPr>
        <w:t>amount</w:t>
      </w:r>
      <w:r w:rsidRPr="002766E0" w:rsidR="007F38A5">
        <w:rPr>
          <w:szCs w:val="22"/>
        </w:rPr>
        <w:t xml:space="preserve"> of $4.3 million in fines.  I fervently hope that the</w:t>
      </w:r>
      <w:r w:rsidRPr="002766E0" w:rsidR="00844C88">
        <w:rPr>
          <w:szCs w:val="22"/>
        </w:rPr>
        <w:t xml:space="preserve">se service areas, and the households in these </w:t>
      </w:r>
      <w:r w:rsidRPr="002766E0" w:rsidR="007F38A5">
        <w:rPr>
          <w:szCs w:val="22"/>
        </w:rPr>
        <w:t>communities</w:t>
      </w:r>
      <w:r w:rsidRPr="002766E0" w:rsidR="00844C88">
        <w:rPr>
          <w:szCs w:val="22"/>
        </w:rPr>
        <w:t xml:space="preserve">, get connected through the </w:t>
      </w:r>
      <w:r w:rsidRPr="002766E0" w:rsidR="008E2A92">
        <w:rPr>
          <w:szCs w:val="22"/>
        </w:rPr>
        <w:t xml:space="preserve">other currently available broadband deployment programs, including the </w:t>
      </w:r>
      <w:r w:rsidRPr="002766E0" w:rsidR="00FE23D0">
        <w:rPr>
          <w:szCs w:val="22"/>
        </w:rPr>
        <w:t>Broadband Equity Access and Deployment (BEAD)</w:t>
      </w:r>
      <w:r w:rsidRPr="002766E0" w:rsidR="00844C88">
        <w:rPr>
          <w:szCs w:val="22"/>
        </w:rPr>
        <w:t xml:space="preserve"> program.  </w:t>
      </w:r>
    </w:p>
    <w:p w:rsidR="00934012" w:rsidRPr="002766E0" w:rsidP="00934012" w14:paraId="7B9F9F7B" w14:textId="77777777">
      <w:pPr>
        <w:widowControl/>
        <w:ind w:firstLine="720"/>
        <w:rPr>
          <w:szCs w:val="22"/>
        </w:rPr>
      </w:pPr>
    </w:p>
    <w:p w:rsidR="00934012" w:rsidRPr="002766E0" w:rsidP="00934012" w14:paraId="35B62659" w14:textId="77777777">
      <w:pPr>
        <w:rPr>
          <w:szCs w:val="22"/>
        </w:rPr>
      </w:pPr>
    </w:p>
    <w:p w:rsidR="002C00E8" w:rsidRPr="002766E0" w:rsidP="00934012" w14:paraId="27E9F721" w14:textId="77777777">
      <w:pPr>
        <w:rPr>
          <w:szCs w:val="2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06CC74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826AA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C7F608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7DA6F9F9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EAF321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B5802" w14:paraId="55BA7BD0" w14:textId="77777777">
      <w:r>
        <w:separator/>
      </w:r>
    </w:p>
  </w:footnote>
  <w:footnote w:type="continuationSeparator" w:id="1">
    <w:p w:rsidR="009B5802" w:rsidP="00C721AC" w14:paraId="44901F66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B5802" w:rsidP="00C721AC" w14:paraId="0005C24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363C6" w14:paraId="4C002956" w14:textId="5CB036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07BE" w:rsidR="009C3C27">
        <w:rPr>
          <w:i/>
          <w:iCs/>
        </w:rPr>
        <w:t>Rural Digital Opportunity Fund; Connect America Fund</w:t>
      </w:r>
      <w:r w:rsidRPr="00A807BE" w:rsidR="009C3C27">
        <w:t xml:space="preserve">, WC Docket Nos. 19-126 and 10-90, Report and Order, 35 FCC </w:t>
      </w:r>
      <w:r w:rsidRPr="00A807BE" w:rsidR="009C3C27">
        <w:t>Rcd</w:t>
      </w:r>
      <w:r w:rsidRPr="00A807BE" w:rsidR="009C3C27">
        <w:t xml:space="preserve"> 686,</w:t>
      </w:r>
      <w:r w:rsidR="009C3C27">
        <w:t xml:space="preserve"> Statement of Commissioner Geoffrey Starks </w:t>
      </w:r>
      <w:r w:rsidRPr="00A807BE" w:rsidR="009C3C27">
        <w:t>(2020)</w:t>
      </w:r>
      <w:r w:rsidR="009C3C27">
        <w:t>.</w:t>
      </w:r>
    </w:p>
  </w:footnote>
  <w:footnote w:id="4">
    <w:p w:rsidR="00595DAE" w14:paraId="59C5F757" w14:textId="68D2C9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3C27">
        <w:rPr>
          <w:i/>
          <w:iCs/>
        </w:rPr>
        <w:t>Id.</w:t>
      </w:r>
    </w:p>
  </w:footnote>
  <w:footnote w:id="5">
    <w:p w:rsidR="008072DE" w:rsidRPr="008072DE" w14:paraId="74A6BFEB" w14:textId="0537AB54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A66221D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B379D4F" w14:textId="71B9818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2F9AB35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A07CD09" w14:textId="0684BA88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025CE4">
      <w:rPr>
        <w:spacing w:val="-2"/>
      </w:rPr>
      <w:t>FCC 22-59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2"/>
    <w:rsid w:val="00025CE4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56120"/>
    <w:rsid w:val="00194A66"/>
    <w:rsid w:val="001D2924"/>
    <w:rsid w:val="001D6BCF"/>
    <w:rsid w:val="001E01CA"/>
    <w:rsid w:val="00275CF5"/>
    <w:rsid w:val="002766E0"/>
    <w:rsid w:val="0028301F"/>
    <w:rsid w:val="00285017"/>
    <w:rsid w:val="002A2D2E"/>
    <w:rsid w:val="002B7EDD"/>
    <w:rsid w:val="002C00E8"/>
    <w:rsid w:val="00343749"/>
    <w:rsid w:val="003660ED"/>
    <w:rsid w:val="00372AB5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B02B8"/>
    <w:rsid w:val="004C2EE3"/>
    <w:rsid w:val="004E4A22"/>
    <w:rsid w:val="00511968"/>
    <w:rsid w:val="0055614C"/>
    <w:rsid w:val="005563EB"/>
    <w:rsid w:val="00595DAE"/>
    <w:rsid w:val="005E14C2"/>
    <w:rsid w:val="00607BA5"/>
    <w:rsid w:val="0061180A"/>
    <w:rsid w:val="00626EB6"/>
    <w:rsid w:val="00635CFC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F38A5"/>
    <w:rsid w:val="00804B19"/>
    <w:rsid w:val="008064F0"/>
    <w:rsid w:val="008072DE"/>
    <w:rsid w:val="00810817"/>
    <w:rsid w:val="00810B6F"/>
    <w:rsid w:val="00822CE0"/>
    <w:rsid w:val="00841AB1"/>
    <w:rsid w:val="00844C88"/>
    <w:rsid w:val="008C68F1"/>
    <w:rsid w:val="008E2A92"/>
    <w:rsid w:val="00921803"/>
    <w:rsid w:val="00926503"/>
    <w:rsid w:val="00934012"/>
    <w:rsid w:val="009726D8"/>
    <w:rsid w:val="009B5802"/>
    <w:rsid w:val="009C3C27"/>
    <w:rsid w:val="009F76DB"/>
    <w:rsid w:val="00A32C3B"/>
    <w:rsid w:val="00A45F4F"/>
    <w:rsid w:val="00A600A9"/>
    <w:rsid w:val="00A807BE"/>
    <w:rsid w:val="00A927F8"/>
    <w:rsid w:val="00AA55B7"/>
    <w:rsid w:val="00AA5B9E"/>
    <w:rsid w:val="00AB2407"/>
    <w:rsid w:val="00AB53DF"/>
    <w:rsid w:val="00B07E5C"/>
    <w:rsid w:val="00B16813"/>
    <w:rsid w:val="00B811F7"/>
    <w:rsid w:val="00BA5DC6"/>
    <w:rsid w:val="00BA6196"/>
    <w:rsid w:val="00BC6D8C"/>
    <w:rsid w:val="00BD1347"/>
    <w:rsid w:val="00C34006"/>
    <w:rsid w:val="00C426B1"/>
    <w:rsid w:val="00C66160"/>
    <w:rsid w:val="00C721AC"/>
    <w:rsid w:val="00C90D6A"/>
    <w:rsid w:val="00C91C1C"/>
    <w:rsid w:val="00CA247E"/>
    <w:rsid w:val="00CC72B6"/>
    <w:rsid w:val="00CF3B73"/>
    <w:rsid w:val="00D0218D"/>
    <w:rsid w:val="00D17F43"/>
    <w:rsid w:val="00D25FB5"/>
    <w:rsid w:val="00D44223"/>
    <w:rsid w:val="00DA2529"/>
    <w:rsid w:val="00DA32DE"/>
    <w:rsid w:val="00DB130A"/>
    <w:rsid w:val="00DB2EBB"/>
    <w:rsid w:val="00DC10A1"/>
    <w:rsid w:val="00DC655F"/>
    <w:rsid w:val="00DD0B59"/>
    <w:rsid w:val="00DD7EBD"/>
    <w:rsid w:val="00DF62B6"/>
    <w:rsid w:val="00E07225"/>
    <w:rsid w:val="00E31E57"/>
    <w:rsid w:val="00E363C6"/>
    <w:rsid w:val="00E5409F"/>
    <w:rsid w:val="00EE6488"/>
    <w:rsid w:val="00F021FA"/>
    <w:rsid w:val="00F62E97"/>
    <w:rsid w:val="00F64209"/>
    <w:rsid w:val="00F915C3"/>
    <w:rsid w:val="00F93BF5"/>
    <w:rsid w:val="00FA632E"/>
    <w:rsid w:val="00FE23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1DB18B"/>
  <w15:chartTrackingRefBased/>
  <w15:docId w15:val="{FD955A35-D2EF-41FC-97CA-748AA98D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FA6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632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A6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2E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7F38A5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