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273E3" w:rsidRPr="00790B4B" w:rsidP="002659F3" w14:paraId="1CAF99CD" w14:textId="77777777">
      <w:pPr>
        <w:jc w:val="center"/>
        <w:rPr>
          <w:b/>
        </w:rPr>
      </w:pPr>
      <w:r w:rsidRPr="00790B4B">
        <w:rPr>
          <w:b/>
        </w:rPr>
        <w:t>Before the</w:t>
      </w:r>
    </w:p>
    <w:p w:rsidR="00E273E3" w:rsidRPr="00790B4B" w:rsidP="002659F3" w14:paraId="17AC0E10" w14:textId="77777777">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E273E3" w:rsidRPr="00790B4B" w:rsidP="002659F3" w14:paraId="3EA44551" w14:textId="20FFCC96">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w:t>
      </w:r>
      <w:r w:rsidR="00D83A98">
        <w:rPr>
          <w:rFonts w:ascii="Times New Roman" w:hAnsi="Times New Roman"/>
        </w:rPr>
        <w:t>.</w:t>
      </w:r>
      <w:r w:rsidRPr="00790B4B">
        <w:rPr>
          <w:rFonts w:ascii="Times New Roman" w:hAnsi="Times New Roman"/>
        </w:rPr>
        <w:t>C</w:t>
      </w:r>
      <w:r w:rsidR="00D83A98">
        <w:rPr>
          <w:rFonts w:ascii="Times New Roman" w:hAnsi="Times New Roman"/>
        </w:rPr>
        <w:t>.</w:t>
      </w:r>
      <w:r w:rsidRPr="00790B4B">
        <w:rPr>
          <w:rFonts w:ascii="Times New Roman" w:hAnsi="Times New Roman"/>
        </w:rPr>
        <w:t xml:space="preserve"> 20554</w:t>
      </w:r>
    </w:p>
    <w:p w:rsidR="00E273E3" w:rsidRPr="00790B4B" w:rsidP="002659F3" w14:paraId="3F041589" w14:textId="77777777"/>
    <w:tbl>
      <w:tblPr>
        <w:tblW w:w="0" w:type="auto"/>
        <w:tblLayout w:type="fixed"/>
        <w:tblLook w:val="0000"/>
      </w:tblPr>
      <w:tblGrid>
        <w:gridCol w:w="4698"/>
        <w:gridCol w:w="630"/>
        <w:gridCol w:w="4248"/>
      </w:tblGrid>
      <w:tr w14:paraId="6BF90657" w14:textId="77777777">
        <w:tblPrEx>
          <w:tblW w:w="0" w:type="auto"/>
          <w:tblLayout w:type="fixed"/>
          <w:tblLook w:val="0000"/>
        </w:tblPrEx>
        <w:tc>
          <w:tcPr>
            <w:tcW w:w="4698" w:type="dxa"/>
          </w:tcPr>
          <w:p w:rsidR="00E273E3" w:rsidRPr="00790B4B" w:rsidP="002659F3" w14:paraId="1ABAEBD5" w14:textId="77777777">
            <w:pPr>
              <w:suppressAutoHyphens/>
              <w:rPr>
                <w:spacing w:val="-2"/>
              </w:rPr>
            </w:pPr>
            <w:r w:rsidRPr="00790B4B">
              <w:rPr>
                <w:spacing w:val="-2"/>
              </w:rPr>
              <w:t>In the Matter of</w:t>
            </w:r>
          </w:p>
          <w:p w:rsidR="00E273E3" w:rsidRPr="00790B4B" w:rsidP="002659F3" w14:paraId="0FF613A9" w14:textId="77777777">
            <w:pPr>
              <w:suppressAutoHyphens/>
              <w:rPr>
                <w:spacing w:val="-2"/>
              </w:rPr>
            </w:pPr>
          </w:p>
          <w:p w:rsidR="00E273E3" w:rsidRPr="00344C0B" w:rsidP="002659F3" w14:paraId="6E5D0698" w14:textId="06B77B15">
            <w:pPr>
              <w:suppressAutoHyphens/>
              <w:rPr>
                <w:spacing w:val="-2"/>
              </w:rPr>
            </w:pPr>
            <w:r w:rsidRPr="00ED051C">
              <w:rPr>
                <w:color w:val="000000"/>
                <w:spacing w:val="-2"/>
              </w:rPr>
              <w:t>Sound Around, Inc.</w:t>
            </w:r>
            <w:r w:rsidRPr="00790B4B">
              <w:rPr>
                <w:spacing w:val="-2"/>
              </w:rPr>
              <w:t xml:space="preserve"> </w:t>
            </w:r>
          </w:p>
        </w:tc>
        <w:tc>
          <w:tcPr>
            <w:tcW w:w="630" w:type="dxa"/>
          </w:tcPr>
          <w:p w:rsidR="00E273E3" w:rsidRPr="00344C0B" w:rsidP="002659F3" w14:paraId="01D2EB03" w14:textId="77777777">
            <w:pPr>
              <w:suppressAutoHyphens/>
              <w:rPr>
                <w:spacing w:val="-2"/>
              </w:rPr>
            </w:pPr>
            <w:r w:rsidRPr="00344C0B">
              <w:rPr>
                <w:spacing w:val="-2"/>
              </w:rPr>
              <w:t>)</w:t>
            </w:r>
          </w:p>
          <w:p w:rsidR="00E273E3" w:rsidRPr="00344C0B" w:rsidP="002659F3" w14:paraId="138E73E3" w14:textId="77777777">
            <w:pPr>
              <w:suppressAutoHyphens/>
              <w:rPr>
                <w:spacing w:val="-2"/>
              </w:rPr>
            </w:pPr>
            <w:r w:rsidRPr="00344C0B">
              <w:rPr>
                <w:spacing w:val="-2"/>
              </w:rPr>
              <w:t>)</w:t>
            </w:r>
          </w:p>
          <w:p w:rsidR="00E273E3" w:rsidRPr="00344C0B" w:rsidP="002659F3" w14:paraId="5B007BDF" w14:textId="77777777">
            <w:pPr>
              <w:suppressAutoHyphens/>
              <w:rPr>
                <w:spacing w:val="-2"/>
              </w:rPr>
            </w:pPr>
            <w:r w:rsidRPr="00344C0B">
              <w:rPr>
                <w:spacing w:val="-2"/>
              </w:rPr>
              <w:t>)</w:t>
            </w:r>
          </w:p>
          <w:p w:rsidR="00E273E3" w:rsidRPr="00344C0B" w:rsidP="002659F3" w14:paraId="3C9CF187" w14:textId="77777777">
            <w:pPr>
              <w:suppressAutoHyphens/>
              <w:rPr>
                <w:spacing w:val="-2"/>
              </w:rPr>
            </w:pPr>
            <w:r w:rsidRPr="00344C0B">
              <w:rPr>
                <w:spacing w:val="-2"/>
              </w:rPr>
              <w:t>)</w:t>
            </w:r>
          </w:p>
          <w:p w:rsidR="00E273E3" w:rsidRPr="00344C0B" w:rsidP="002659F3" w14:paraId="6BEAA7E0" w14:textId="77777777">
            <w:pPr>
              <w:suppressAutoHyphens/>
              <w:rPr>
                <w:spacing w:val="-2"/>
              </w:rPr>
            </w:pPr>
            <w:r w:rsidRPr="00344C0B">
              <w:rPr>
                <w:spacing w:val="-2"/>
              </w:rPr>
              <w:t>)</w:t>
            </w:r>
          </w:p>
        </w:tc>
        <w:tc>
          <w:tcPr>
            <w:tcW w:w="4248" w:type="dxa"/>
          </w:tcPr>
          <w:p w:rsidR="00CD7E46" w:rsidRPr="0007571D" w:rsidP="00CD7E46" w14:paraId="3597726A" w14:textId="77777777">
            <w:pPr>
              <w:suppressAutoHyphens/>
              <w:ind w:left="432"/>
              <w:rPr>
                <w:spacing w:val="-2"/>
              </w:rPr>
            </w:pPr>
            <w:r w:rsidRPr="00344C0B">
              <w:rPr>
                <w:spacing w:val="-2"/>
              </w:rPr>
              <w:t>File No.:  EB-</w:t>
            </w:r>
            <w:r>
              <w:rPr>
                <w:spacing w:val="-2"/>
              </w:rPr>
              <w:t>SED</w:t>
            </w:r>
            <w:r w:rsidRPr="00344C0B">
              <w:rPr>
                <w:spacing w:val="-2"/>
              </w:rPr>
              <w:t>-</w:t>
            </w:r>
            <w:r w:rsidRPr="00ED051C">
              <w:rPr>
                <w:color w:val="000000"/>
                <w:spacing w:val="-2"/>
              </w:rPr>
              <w:t>17-00024010</w:t>
            </w:r>
          </w:p>
          <w:p w:rsidR="00CD7E46" w:rsidRPr="0007571D" w:rsidP="00CD7E46" w14:paraId="3582E650" w14:textId="77777777">
            <w:pPr>
              <w:suppressAutoHyphens/>
              <w:ind w:left="432"/>
              <w:rPr>
                <w:spacing w:val="-2"/>
              </w:rPr>
            </w:pPr>
            <w:r w:rsidRPr="00344C0B">
              <w:rPr>
                <w:spacing w:val="-2"/>
              </w:rPr>
              <w:t>NAL/Acct. No.:</w:t>
            </w:r>
            <w:r>
              <w:rPr>
                <w:color w:val="000000"/>
                <w:spacing w:val="-2"/>
              </w:rPr>
              <w:t xml:space="preserve"> 202032100006</w:t>
            </w:r>
            <w:r w:rsidRPr="00344C0B">
              <w:rPr>
                <w:spacing w:val="-2"/>
              </w:rPr>
              <w:t xml:space="preserve"> </w:t>
            </w:r>
          </w:p>
          <w:p w:rsidR="00E273E3" w:rsidRPr="00344C0B" w:rsidP="00CD7E46" w14:paraId="2437226E" w14:textId="2C2AE1C3">
            <w:pPr>
              <w:suppressAutoHyphens/>
              <w:ind w:left="432"/>
              <w:rPr>
                <w:spacing w:val="-2"/>
              </w:rPr>
            </w:pPr>
            <w:r w:rsidRPr="00344C0B">
              <w:rPr>
                <w:spacing w:val="-2"/>
              </w:rPr>
              <w:t>FRN:</w:t>
            </w:r>
            <w:r>
              <w:t xml:space="preserve"> 0028317733</w:t>
            </w:r>
          </w:p>
          <w:p w:rsidR="00E273E3" w:rsidRPr="00344C0B" w:rsidP="002659F3" w14:paraId="723098B8" w14:textId="77777777">
            <w:pPr>
              <w:suppressAutoHyphens/>
              <w:rPr>
                <w:spacing w:val="-2"/>
              </w:rPr>
            </w:pPr>
          </w:p>
          <w:p w:rsidR="00E273E3" w:rsidRPr="0007571D" w:rsidP="00153904" w14:paraId="24A513E5" w14:textId="613AE9DE">
            <w:pPr>
              <w:suppressAutoHyphens/>
              <w:ind w:left="432"/>
              <w:rPr>
                <w:spacing w:val="-2"/>
              </w:rPr>
            </w:pPr>
          </w:p>
        </w:tc>
      </w:tr>
    </w:tbl>
    <w:p w:rsidR="00E273E3" w:rsidRPr="00344C0B" w:rsidP="002659F3" w14:paraId="4B7522C1" w14:textId="77777777"/>
    <w:p w:rsidR="00E273E3" w:rsidRPr="00344C0B" w:rsidP="002659F3" w14:paraId="67C3165C" w14:textId="77777777">
      <w:pPr>
        <w:pStyle w:val="StyleBoldCentered"/>
        <w:widowControl/>
        <w:spacing w:after="220"/>
      </w:pPr>
      <w:r w:rsidRPr="00344C0B">
        <w:t>forfeiture ORDER</w:t>
      </w:r>
    </w:p>
    <w:p w:rsidR="00E273E3" w:rsidRPr="0007571D" w:rsidP="00226191" w14:paraId="423DB5DE" w14:textId="49325811">
      <w:pPr>
        <w:tabs>
          <w:tab w:val="right" w:pos="9360"/>
        </w:tabs>
        <w:suppressAutoHyphens/>
        <w:rPr>
          <w:spacing w:val="-2"/>
        </w:rPr>
      </w:pPr>
      <w:r w:rsidRPr="00667EE1">
        <w:rPr>
          <w:b/>
          <w:spacing w:val="-2"/>
        </w:rPr>
        <w:t xml:space="preserve">Adopted:  </w:t>
      </w:r>
      <w:r w:rsidR="00023805">
        <w:rPr>
          <w:b/>
          <w:spacing w:val="-2"/>
        </w:rPr>
        <w:t>August 1, 2022</w:t>
      </w:r>
      <w:r w:rsidRPr="00667EE1" w:rsidR="006D2212">
        <w:rPr>
          <w:b/>
          <w:spacing w:val="-2"/>
        </w:rPr>
        <w:tab/>
        <w:t xml:space="preserve">Released:  </w:t>
      </w:r>
      <w:r w:rsidR="00023805">
        <w:rPr>
          <w:b/>
          <w:spacing w:val="-2"/>
        </w:rPr>
        <w:t>August 1, 2022</w:t>
      </w:r>
    </w:p>
    <w:p w:rsidR="00E273E3" w:rsidRPr="00344C0B" w:rsidP="00EE05DB" w14:paraId="5476D572" w14:textId="77777777">
      <w:pPr>
        <w:jc w:val="center"/>
      </w:pPr>
    </w:p>
    <w:p w:rsidR="00E273E3" w:rsidRPr="00344C0B" w:rsidP="002659F3" w14:paraId="6DE76169" w14:textId="4B36F2C4">
      <w:pPr>
        <w:rPr>
          <w:spacing w:val="-2"/>
        </w:rPr>
      </w:pPr>
      <w:r w:rsidRPr="00344C0B">
        <w:t xml:space="preserve">By the </w:t>
      </w:r>
      <w:r w:rsidRPr="00344C0B" w:rsidR="003343CA">
        <w:t>Commission</w:t>
      </w:r>
      <w:r w:rsidRPr="0007571D">
        <w:rPr>
          <w:spacing w:val="-2"/>
        </w:rPr>
        <w:t>:</w:t>
      </w:r>
      <w:r w:rsidR="00430CA0">
        <w:rPr>
          <w:spacing w:val="-2"/>
        </w:rPr>
        <w:t xml:space="preserve"> </w:t>
      </w:r>
    </w:p>
    <w:p w:rsidR="003508A5" w:rsidP="003508A5" w14:paraId="009C48E4" w14:textId="01AB0A23">
      <w:pPr>
        <w:pStyle w:val="TOCTitle"/>
      </w:pPr>
      <w:bookmarkStart w:id="0" w:name="TOChere"/>
      <w:r>
        <w:t>Table of Contents</w:t>
      </w:r>
    </w:p>
    <w:p w:rsidR="003508A5" w:rsidP="000F1FFC" w14:paraId="19B093B4" w14:textId="10C2146E">
      <w:pPr>
        <w:pStyle w:val="Paratitle"/>
      </w:pPr>
      <w:r>
        <w:t>Heading</w:t>
      </w:r>
      <w:r>
        <w:tab/>
        <w:t>Paragraph #</w:t>
      </w:r>
      <w:bookmarkStart w:id="1" w:name="start_here"/>
      <w:bookmarkEnd w:id="1"/>
    </w:p>
    <w:p w:rsidR="003508A5" w:rsidP="003508A5" w14:paraId="4D06D26C" w14:textId="15976741">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508A5" w:rsidP="003508A5" w14:paraId="19C34C1C" w14:textId="7E969E08">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3508A5" w:rsidP="003508A5" w14:paraId="744B7D99" w14:textId="3C03EB16">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11</w:t>
      </w:r>
    </w:p>
    <w:p w:rsidR="003508A5" w:rsidP="000F1FFC" w14:paraId="0F1E55F7" w14:textId="01F8C16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Sound Around Marketed Wireless Microphones That Were Noncompliant or Not Authorized</w:t>
      </w:r>
      <w:r>
        <w:tab/>
        <w:t>12</w:t>
      </w:r>
    </w:p>
    <w:p w:rsidR="003508A5" w:rsidP="000F1FFC" w14:paraId="19D4901E" w14:textId="117FC04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Proposed Forfeiture Amount Is Appropriate</w:t>
      </w:r>
      <w:r>
        <w:tab/>
        <w:t>22</w:t>
      </w:r>
    </w:p>
    <w:p w:rsidR="003508A5" w:rsidP="000F1FFC" w14:paraId="0AA988E6" w14:textId="158E1C6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 xml:space="preserve">The </w:t>
      </w:r>
      <w:r w:rsidRPr="00735E4A">
        <w:rPr>
          <w:i/>
          <w:iCs/>
        </w:rPr>
        <w:t>Marketing Citation</w:t>
      </w:r>
      <w:r>
        <w:t xml:space="preserve"> Makes Sound Around Subject to the Monetary Penalty in the </w:t>
      </w:r>
      <w:r w:rsidRPr="00735E4A">
        <w:rPr>
          <w:i/>
          <w:iCs/>
        </w:rPr>
        <w:t>NAL</w:t>
      </w:r>
      <w:r>
        <w:tab/>
        <w:t>24</w:t>
      </w:r>
    </w:p>
    <w:p w:rsidR="003508A5" w:rsidP="000F1FFC" w14:paraId="24F5834C" w14:textId="2AD4D8A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The Forfeiture is Properly Based on 32 Noncompliant Equipment Models</w:t>
      </w:r>
      <w:r>
        <w:tab/>
        <w:t>30</w:t>
      </w:r>
    </w:p>
    <w:p w:rsidR="003508A5" w:rsidP="000F1FFC" w14:paraId="79BAC6BC" w14:textId="5361788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The Facts Support Upward Forfeiture Adjustments.</w:t>
      </w:r>
      <w:r>
        <w:tab/>
        <w:t>38</w:t>
      </w:r>
    </w:p>
    <w:p w:rsidR="003508A5" w:rsidP="003508A5" w14:paraId="0D67091F" w14:textId="7F4BE0EF">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w:t>
      </w:r>
      <w:r>
        <w:tab/>
        <w:t>43</w:t>
      </w:r>
    </w:p>
    <w:p w:rsidR="003508A5" w:rsidP="003508A5" w14:paraId="44D59040" w14:textId="22D5D77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44</w:t>
      </w:r>
    </w:p>
    <w:bookmarkEnd w:id="0"/>
    <w:p w:rsidR="00D01458" w:rsidRPr="00344C0B" w:rsidP="002659F3" w14:paraId="689A229C" w14:textId="77777777">
      <w:pPr>
        <w:rPr>
          <w:spacing w:val="-2"/>
        </w:rPr>
      </w:pPr>
    </w:p>
    <w:p w:rsidR="00E273E3" w:rsidRPr="00344C0B" w:rsidP="009B3BA1" w14:paraId="312E45F2" w14:textId="77777777">
      <w:pPr>
        <w:pStyle w:val="Heading1"/>
        <w:widowControl/>
      </w:pPr>
      <w:bookmarkStart w:id="2" w:name="_Toc379288998"/>
      <w:bookmarkStart w:id="3" w:name="_Toc379365499"/>
      <w:bookmarkStart w:id="4" w:name="_Toc70939609"/>
      <w:bookmarkStart w:id="5" w:name="_Toc77338928"/>
      <w:bookmarkStart w:id="6" w:name="_Toc94265523"/>
      <w:bookmarkStart w:id="7" w:name="_Toc96075113"/>
      <w:bookmarkStart w:id="8" w:name="_Toc96084559"/>
      <w:bookmarkStart w:id="9" w:name="_Toc96515687"/>
      <w:bookmarkStart w:id="10" w:name="_Toc97719529"/>
      <w:bookmarkStart w:id="11" w:name="_Toc101260706"/>
      <w:bookmarkStart w:id="12" w:name="_Toc101960143"/>
      <w:bookmarkStart w:id="13" w:name="_Toc102041176"/>
      <w:bookmarkStart w:id="14" w:name="_Toc103873735"/>
      <w:bookmarkStart w:id="15" w:name="_Toc103875029"/>
      <w:bookmarkStart w:id="16" w:name="_Toc103875086"/>
      <w:bookmarkStart w:id="17" w:name="_Toc103875169"/>
      <w:r w:rsidRPr="00344C0B">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DE545B" w:rsidRPr="007E32D5" w:rsidP="009B3BA1" w14:paraId="0D093B2F" w14:textId="2EC15078">
      <w:pPr>
        <w:pStyle w:val="ParaNum"/>
        <w:widowControl/>
        <w:rPr>
          <w:szCs w:val="22"/>
        </w:rPr>
      </w:pPr>
      <w:r>
        <w:rPr>
          <w:spacing w:val="-2"/>
        </w:rPr>
        <w:t xml:space="preserve">We impose a penalty of $685,338 </w:t>
      </w:r>
      <w:r w:rsidR="00475907">
        <w:rPr>
          <w:spacing w:val="-2"/>
        </w:rPr>
        <w:t>against Sound Around, Inc.</w:t>
      </w:r>
      <w:r w:rsidR="00FE38BB">
        <w:rPr>
          <w:spacing w:val="-2"/>
        </w:rPr>
        <w:t xml:space="preserve"> </w:t>
      </w:r>
      <w:r w:rsidRPr="00AE2519" w:rsidR="009F0739">
        <w:t>(Sound Around or Company)</w:t>
      </w:r>
      <w:r w:rsidR="009F0739">
        <w:rPr>
          <w:kern w:val="0"/>
          <w:szCs w:val="22"/>
        </w:rPr>
        <w:t xml:space="preserve"> </w:t>
      </w:r>
      <w:r w:rsidR="00FE38BB">
        <w:rPr>
          <w:spacing w:val="-2"/>
        </w:rPr>
        <w:t xml:space="preserve">for marketing 32 models of </w:t>
      </w:r>
      <w:r w:rsidR="00CB14DC">
        <w:rPr>
          <w:spacing w:val="-2"/>
        </w:rPr>
        <w:t>wireless microphones that failed to comply with the</w:t>
      </w:r>
      <w:r w:rsidRPr="00E340BE" w:rsidR="00E340BE">
        <w:t xml:space="preserve"> </w:t>
      </w:r>
      <w:r w:rsidRPr="006932FE" w:rsidR="00E340BE">
        <w:t>Communications Act of 1934, as amended</w:t>
      </w:r>
      <w:r w:rsidR="00E340BE">
        <w:t xml:space="preserve"> (the Act)</w:t>
      </w:r>
      <w:r w:rsidR="006E3348">
        <w:t>,</w:t>
      </w:r>
      <w:r>
        <w:rPr>
          <w:rStyle w:val="FootnoteReference"/>
        </w:rPr>
        <w:footnoteReference w:id="3"/>
      </w:r>
      <w:r w:rsidR="00F41510">
        <w:rPr>
          <w:spacing w:val="-2"/>
        </w:rPr>
        <w:t xml:space="preserve"> and </w:t>
      </w:r>
      <w:r w:rsidR="006E3348">
        <w:rPr>
          <w:spacing w:val="-2"/>
        </w:rPr>
        <w:t xml:space="preserve">the </w:t>
      </w:r>
      <w:r w:rsidR="00CB14DC">
        <w:rPr>
          <w:spacing w:val="-2"/>
        </w:rPr>
        <w:t>Federal Communications Commission</w:t>
      </w:r>
      <w:r w:rsidR="00F41510">
        <w:rPr>
          <w:spacing w:val="-2"/>
        </w:rPr>
        <w:t>’s</w:t>
      </w:r>
      <w:r w:rsidR="00407043">
        <w:rPr>
          <w:spacing w:val="-2"/>
        </w:rPr>
        <w:t xml:space="preserve"> (FCC or Commission)</w:t>
      </w:r>
      <w:r w:rsidR="00F41510">
        <w:rPr>
          <w:spacing w:val="-2"/>
        </w:rPr>
        <w:t xml:space="preserve"> equipment marketing rules</w:t>
      </w:r>
      <w:r w:rsidR="003434BC">
        <w:rPr>
          <w:spacing w:val="-2"/>
        </w:rPr>
        <w:t>.</w:t>
      </w:r>
      <w:r>
        <w:rPr>
          <w:rStyle w:val="FootnoteReference"/>
          <w:spacing w:val="-2"/>
        </w:rPr>
        <w:footnoteReference w:id="4"/>
      </w:r>
      <w:r w:rsidR="003434BC">
        <w:rPr>
          <w:spacing w:val="-2"/>
        </w:rPr>
        <w:t xml:space="preserve">  </w:t>
      </w:r>
      <w:r w:rsidR="00010C6E">
        <w:rPr>
          <w:spacing w:val="-2"/>
        </w:rPr>
        <w:t xml:space="preserve">These requirements </w:t>
      </w:r>
      <w:r w:rsidR="006F4549">
        <w:rPr>
          <w:spacing w:val="-2"/>
        </w:rPr>
        <w:t xml:space="preserve">are designed to </w:t>
      </w:r>
      <w:r w:rsidR="00E330B3">
        <w:rPr>
          <w:spacing w:val="-2"/>
        </w:rPr>
        <w:t>ensure that radio frequency equipment, including wireless microphones</w:t>
      </w:r>
      <w:r w:rsidR="0036471E">
        <w:rPr>
          <w:spacing w:val="-2"/>
        </w:rPr>
        <w:t>,</w:t>
      </w:r>
      <w:r w:rsidR="00E330B3">
        <w:rPr>
          <w:spacing w:val="-2"/>
        </w:rPr>
        <w:t xml:space="preserve"> do </w:t>
      </w:r>
      <w:r w:rsidR="00735F2C">
        <w:rPr>
          <w:spacing w:val="-2"/>
        </w:rPr>
        <w:t xml:space="preserve">not cause harmful interference to </w:t>
      </w:r>
      <w:r w:rsidR="00C97A81">
        <w:rPr>
          <w:spacing w:val="-2"/>
        </w:rPr>
        <w:t>authorized communications</w:t>
      </w:r>
      <w:r w:rsidR="006E3348">
        <w:rPr>
          <w:spacing w:val="-2"/>
        </w:rPr>
        <w:t>,</w:t>
      </w:r>
      <w:r w:rsidR="00C97A81">
        <w:rPr>
          <w:spacing w:val="-2"/>
        </w:rPr>
        <w:t xml:space="preserve"> </w:t>
      </w:r>
      <w:r w:rsidR="008B470C">
        <w:rPr>
          <w:spacing w:val="-2"/>
        </w:rPr>
        <w:t xml:space="preserve">and that </w:t>
      </w:r>
      <w:r w:rsidR="00F65224">
        <w:rPr>
          <w:spacing w:val="-2"/>
        </w:rPr>
        <w:t xml:space="preserve">equipment users can be confident that </w:t>
      </w:r>
      <w:r w:rsidR="00CD55D6">
        <w:rPr>
          <w:spacing w:val="-2"/>
        </w:rPr>
        <w:t xml:space="preserve">the equipment they use </w:t>
      </w:r>
      <w:r w:rsidR="009B0198">
        <w:rPr>
          <w:spacing w:val="-2"/>
        </w:rPr>
        <w:t>complies with appropriate regulations</w:t>
      </w:r>
      <w:r w:rsidR="00CD55D6">
        <w:rPr>
          <w:spacing w:val="-2"/>
        </w:rPr>
        <w:t>.</w:t>
      </w:r>
      <w:r w:rsidR="00F41510">
        <w:rPr>
          <w:spacing w:val="-2"/>
        </w:rPr>
        <w:t xml:space="preserve"> </w:t>
      </w:r>
      <w:r w:rsidR="00872322">
        <w:rPr>
          <w:spacing w:val="-2"/>
        </w:rPr>
        <w:t xml:space="preserve"> </w:t>
      </w:r>
      <w:r w:rsidR="00643165">
        <w:rPr>
          <w:spacing w:val="-2"/>
        </w:rPr>
        <w:t>The marketing of n</w:t>
      </w:r>
      <w:r w:rsidR="006B71BB">
        <w:rPr>
          <w:spacing w:val="-2"/>
        </w:rPr>
        <w:t xml:space="preserve">oncompliant equipment </w:t>
      </w:r>
      <w:r w:rsidR="00C7767B">
        <w:rPr>
          <w:spacing w:val="-2"/>
        </w:rPr>
        <w:t xml:space="preserve">increases the possibility of causing </w:t>
      </w:r>
      <w:r w:rsidR="00C7767B">
        <w:t>interfere</w:t>
      </w:r>
      <w:r w:rsidR="007E32D5">
        <w:t>nce</w:t>
      </w:r>
      <w:r w:rsidR="00C7767B">
        <w:t xml:space="preserve"> with other electronic devices, authorized wireless services, and public safety services</w:t>
      </w:r>
      <w:r>
        <w:rPr>
          <w:spacing w:val="-2"/>
        </w:rPr>
        <w:t>.</w:t>
      </w:r>
      <w:r w:rsidR="007D0D1B">
        <w:rPr>
          <w:spacing w:val="-2"/>
        </w:rPr>
        <w:t xml:space="preserve">  </w:t>
      </w:r>
    </w:p>
    <w:p w:rsidR="00CD7E46" w:rsidRPr="00DB357F" w:rsidP="009B3BA1" w14:paraId="14DE70AC" w14:textId="523974E7">
      <w:pPr>
        <w:pStyle w:val="ParaNum"/>
        <w:widowControl/>
        <w:rPr>
          <w:szCs w:val="22"/>
        </w:rPr>
      </w:pPr>
      <w:r>
        <w:rPr>
          <w:spacing w:val="-2"/>
        </w:rPr>
        <w:t>On April 3, 2020, the Commission issued a</w:t>
      </w:r>
      <w:r w:rsidRPr="00E01460">
        <w:rPr>
          <w:kern w:val="0"/>
          <w:szCs w:val="22"/>
        </w:rPr>
        <w:t xml:space="preserve"> </w:t>
      </w:r>
      <w:r>
        <w:rPr>
          <w:kern w:val="0"/>
          <w:szCs w:val="22"/>
        </w:rPr>
        <w:t>Notice of Apparent Liability for Forfeiture (</w:t>
      </w:r>
      <w:r w:rsidRPr="002C0124" w:rsidR="00D652C4">
        <w:rPr>
          <w:i/>
          <w:iCs/>
          <w:kern w:val="0"/>
          <w:szCs w:val="22"/>
        </w:rPr>
        <w:t>NAL</w:t>
      </w:r>
      <w:r w:rsidRPr="004F401D" w:rsidR="00D652C4">
        <w:rPr>
          <w:kern w:val="0"/>
          <w:szCs w:val="22"/>
        </w:rPr>
        <w:t>)</w:t>
      </w:r>
      <w:r>
        <w:rPr>
          <w:kern w:val="0"/>
          <w:szCs w:val="22"/>
        </w:rPr>
        <w:t xml:space="preserve"> proposing to fine </w:t>
      </w:r>
      <w:r w:rsidRPr="00AE2519" w:rsidR="00E40166">
        <w:t xml:space="preserve">Sound Around </w:t>
      </w:r>
      <w:r>
        <w:rPr>
          <w:kern w:val="0"/>
          <w:szCs w:val="22"/>
        </w:rPr>
        <w:t>$</w:t>
      </w:r>
      <w:r w:rsidR="009B3F94">
        <w:rPr>
          <w:kern w:val="0"/>
          <w:szCs w:val="22"/>
        </w:rPr>
        <w:t>685,338</w:t>
      </w:r>
      <w:r>
        <w:rPr>
          <w:kern w:val="0"/>
          <w:szCs w:val="22"/>
        </w:rPr>
        <w:t xml:space="preserve"> for </w:t>
      </w:r>
      <w:r w:rsidRPr="00AE2519" w:rsidR="00E40166">
        <w:t>market</w:t>
      </w:r>
      <w:r w:rsidR="00E40166">
        <w:t>ing</w:t>
      </w:r>
      <w:r w:rsidRPr="00AE2519" w:rsidR="00E40166">
        <w:t xml:space="preserve"> </w:t>
      </w:r>
      <w:r w:rsidR="00E40166">
        <w:t xml:space="preserve">32 </w:t>
      </w:r>
      <w:r w:rsidR="0034145C">
        <w:t xml:space="preserve">apparently </w:t>
      </w:r>
      <w:r w:rsidR="00E40166">
        <w:t>noncompliant m</w:t>
      </w:r>
      <w:r w:rsidRPr="00AE2519" w:rsidR="00E40166">
        <w:t>odels of wireless microphones</w:t>
      </w:r>
      <w:r>
        <w:rPr>
          <w:kern w:val="0"/>
          <w:szCs w:val="22"/>
        </w:rPr>
        <w:t>.</w:t>
      </w:r>
      <w:r>
        <w:rPr>
          <w:rStyle w:val="FootnoteReference"/>
          <w:kern w:val="0"/>
          <w:szCs w:val="22"/>
        </w:rPr>
        <w:footnoteReference w:id="5"/>
      </w:r>
      <w:r>
        <w:rPr>
          <w:kern w:val="0"/>
          <w:szCs w:val="22"/>
        </w:rPr>
        <w:t xml:space="preserve">  </w:t>
      </w:r>
      <w:r w:rsidR="00B858E8">
        <w:rPr>
          <w:kern w:val="0"/>
          <w:szCs w:val="22"/>
        </w:rPr>
        <w:t>Sound Around received</w:t>
      </w:r>
      <w:r w:rsidR="00433C08">
        <w:t xml:space="preserve"> </w:t>
      </w:r>
      <w:r w:rsidR="008722E4">
        <w:t>directives</w:t>
      </w:r>
      <w:r w:rsidR="00433C08">
        <w:t xml:space="preserve"> for years from the </w:t>
      </w:r>
      <w:r w:rsidR="00407043">
        <w:t>FCC</w:t>
      </w:r>
      <w:r w:rsidR="00433C08">
        <w:t xml:space="preserve"> warning the Company to ensure its devices were properly authorized under the Commission’s rule</w:t>
      </w:r>
      <w:r w:rsidR="007A2957">
        <w:t>s;</w:t>
      </w:r>
      <w:r w:rsidR="00433C08">
        <w:t xml:space="preserve"> Sound Around did not do </w:t>
      </w:r>
      <w:r w:rsidR="00433C08">
        <w:t xml:space="preserve">so.  </w:t>
      </w:r>
      <w:r w:rsidRPr="00E01460">
        <w:rPr>
          <w:kern w:val="0"/>
          <w:szCs w:val="22"/>
        </w:rPr>
        <w:t xml:space="preserve">After reviewing </w:t>
      </w:r>
      <w:r>
        <w:rPr>
          <w:color w:val="000000"/>
          <w:kern w:val="0"/>
        </w:rPr>
        <w:t>the Company</w:t>
      </w:r>
      <w:r w:rsidRPr="00E01460">
        <w:rPr>
          <w:color w:val="000000"/>
          <w:kern w:val="0"/>
        </w:rPr>
        <w:t>’s</w:t>
      </w:r>
      <w:r w:rsidRPr="00E01460">
        <w:rPr>
          <w:kern w:val="0"/>
          <w:szCs w:val="22"/>
        </w:rPr>
        <w:t xml:space="preserve"> response to the</w:t>
      </w:r>
      <w:r>
        <w:rPr>
          <w:kern w:val="0"/>
          <w:szCs w:val="22"/>
        </w:rPr>
        <w:t xml:space="preserve"> </w:t>
      </w:r>
      <w:r>
        <w:rPr>
          <w:i/>
          <w:iCs/>
          <w:kern w:val="0"/>
          <w:szCs w:val="22"/>
        </w:rPr>
        <w:t>N</w:t>
      </w:r>
      <w:r w:rsidR="007E32D5">
        <w:rPr>
          <w:i/>
          <w:iCs/>
          <w:kern w:val="0"/>
          <w:szCs w:val="22"/>
        </w:rPr>
        <w:t>AL</w:t>
      </w:r>
      <w:r w:rsidRPr="00E01460">
        <w:rPr>
          <w:kern w:val="0"/>
          <w:szCs w:val="22"/>
        </w:rPr>
        <w:t>,</w:t>
      </w:r>
      <w:r>
        <w:rPr>
          <w:rStyle w:val="FootnoteReference"/>
          <w:kern w:val="0"/>
          <w:szCs w:val="22"/>
        </w:rPr>
        <w:footnoteReference w:id="6"/>
      </w:r>
      <w:r w:rsidRPr="00E01460">
        <w:rPr>
          <w:kern w:val="0"/>
          <w:szCs w:val="22"/>
        </w:rPr>
        <w:t xml:space="preserve"> we find no reason to cancel, withdraw, or reduce the proposed penalty</w:t>
      </w:r>
      <w:r>
        <w:rPr>
          <w:kern w:val="0"/>
          <w:szCs w:val="22"/>
        </w:rPr>
        <w:t xml:space="preserve">, </w:t>
      </w:r>
      <w:r w:rsidRPr="00344C0B">
        <w:rPr>
          <w:szCs w:val="22"/>
        </w:rPr>
        <w:t>and we therefore assess the $</w:t>
      </w:r>
      <w:r w:rsidR="009B3F94">
        <w:rPr>
          <w:szCs w:val="22"/>
        </w:rPr>
        <w:t>685</w:t>
      </w:r>
      <w:r>
        <w:rPr>
          <w:szCs w:val="22"/>
        </w:rPr>
        <w:t>,</w:t>
      </w:r>
      <w:r w:rsidR="009B3F94">
        <w:rPr>
          <w:szCs w:val="22"/>
        </w:rPr>
        <w:t>338</w:t>
      </w:r>
      <w:r w:rsidRPr="0007571D">
        <w:rPr>
          <w:szCs w:val="22"/>
        </w:rPr>
        <w:t xml:space="preserve"> forfeiture </w:t>
      </w:r>
      <w:r w:rsidRPr="00344C0B">
        <w:rPr>
          <w:szCs w:val="22"/>
        </w:rPr>
        <w:t xml:space="preserve">the Commission </w:t>
      </w:r>
      <w:r w:rsidRPr="0007571D">
        <w:rPr>
          <w:szCs w:val="22"/>
        </w:rPr>
        <w:t>previously proposed</w:t>
      </w:r>
      <w:r w:rsidRPr="00AE2519">
        <w:t>.</w:t>
      </w:r>
      <w:r>
        <w:t xml:space="preserve"> </w:t>
      </w:r>
    </w:p>
    <w:p w:rsidR="00E273E3" w:rsidRPr="00344C0B" w:rsidP="009B3BA1" w14:paraId="3699C409" w14:textId="41614403">
      <w:pPr>
        <w:pStyle w:val="Heading1"/>
        <w:widowControl/>
      </w:pPr>
      <w:bookmarkStart w:id="18" w:name="_Toc379288999"/>
      <w:bookmarkStart w:id="19" w:name="_Toc379365500"/>
      <w:bookmarkStart w:id="20" w:name="_Toc70939610"/>
      <w:bookmarkStart w:id="21" w:name="_Toc77338929"/>
      <w:bookmarkStart w:id="22" w:name="_Toc94265524"/>
      <w:bookmarkStart w:id="23" w:name="_Toc96075114"/>
      <w:bookmarkStart w:id="24" w:name="_Toc96084560"/>
      <w:bookmarkStart w:id="25" w:name="_Toc96515688"/>
      <w:bookmarkStart w:id="26" w:name="_Toc97719530"/>
      <w:bookmarkStart w:id="27" w:name="_Toc101260707"/>
      <w:bookmarkStart w:id="28" w:name="_Toc101960144"/>
      <w:bookmarkStart w:id="29" w:name="_Toc102041177"/>
      <w:bookmarkStart w:id="30" w:name="_Toc103873736"/>
      <w:bookmarkStart w:id="31" w:name="_Toc103875030"/>
      <w:bookmarkStart w:id="32" w:name="_Toc103875087"/>
      <w:bookmarkStart w:id="33" w:name="_Toc103875170"/>
      <w:r w:rsidRPr="00344C0B">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C268A4" w:rsidRPr="00C268A4" w:rsidP="009B3BA1" w14:paraId="2C46E977" w14:textId="1F780A22">
      <w:pPr>
        <w:pStyle w:val="ParaNum"/>
        <w:widowControl/>
        <w:rPr>
          <w:color w:val="000000"/>
        </w:rPr>
      </w:pPr>
      <w:r w:rsidRPr="00C268A4">
        <w:rPr>
          <w:i/>
          <w:iCs/>
        </w:rPr>
        <w:t xml:space="preserve">Legal Background.  </w:t>
      </w:r>
      <w:r w:rsidR="00901CD9">
        <w:t xml:space="preserve">The Act </w:t>
      </w:r>
      <w:r>
        <w:t xml:space="preserve">and the Commission’s equipment marketing rules collectively require marketers of radio frequency devices </w:t>
      </w:r>
      <w:r w:rsidR="00407043">
        <w:t xml:space="preserve">to </w:t>
      </w:r>
      <w:r>
        <w:t>ensure, prior to advertising or selling such devices, that they will not cause harmful interference to authorized radio communications.</w:t>
      </w:r>
      <w:r>
        <w:rPr>
          <w:rStyle w:val="FootnoteReference"/>
        </w:rPr>
        <w:footnoteReference w:id="7"/>
      </w:r>
      <w:r>
        <w:t xml:space="preserve">  Specifically, section 302(b) of the Act provides that “[n]o person shall manufacture, import, sell, offer for sale, or ship devices or home electronic equipment and systems, or use devices, which fail to comply with regulations promulgated pursuant to this section.”</w:t>
      </w:r>
      <w:r>
        <w:rPr>
          <w:rStyle w:val="FootnoteReference"/>
        </w:rPr>
        <w:footnoteReference w:id="8"/>
      </w:r>
      <w:r>
        <w:t xml:space="preserve">  The Commission has long-standing regulations, including technical</w:t>
      </w:r>
      <w:r w:rsidR="00DC767D">
        <w:t xml:space="preserve"> and</w:t>
      </w:r>
      <w:r>
        <w:t xml:space="preserve"> authorization requirements, designed to prevent interference from devices that emit radio frequency energy</w:t>
      </w:r>
      <w:r w:rsidR="00C9492D">
        <w:t xml:space="preserve"> and to </w:t>
      </w:r>
      <w:r w:rsidR="00930739">
        <w:t xml:space="preserve">inform users that the equipment has been properly </w:t>
      </w:r>
      <w:r w:rsidR="00274EA2">
        <w:t>authorized</w:t>
      </w:r>
      <w:r>
        <w:t xml:space="preserve">.  </w:t>
      </w:r>
    </w:p>
    <w:p w:rsidR="00B30060" w:rsidRPr="00032D3E" w:rsidP="009B3BA1" w14:paraId="0A77FBAF" w14:textId="0229474F">
      <w:pPr>
        <w:pStyle w:val="ParaNum"/>
        <w:widowControl/>
        <w:rPr>
          <w:color w:val="000000"/>
        </w:rPr>
      </w:pPr>
      <w:r>
        <w:t xml:space="preserve">Section 2.803(b)(1) of the Commission’s rules prohibits the marketing of </w:t>
      </w:r>
      <w:r w:rsidR="002E3098">
        <w:t xml:space="preserve">a </w:t>
      </w:r>
      <w:r>
        <w:t>radio frequency device unless the device has first been properly authorized, identified, and labeled in accordance with the Commission’s rules.</w:t>
      </w:r>
      <w:r>
        <w:rPr>
          <w:rStyle w:val="FootnoteReference"/>
        </w:rPr>
        <w:footnoteReference w:id="9"/>
      </w:r>
      <w:r>
        <w:t xml:space="preserve">  </w:t>
      </w:r>
      <w:r w:rsidRPr="001426F4" w:rsidR="0057235E">
        <w:t>The term “marketing” means the “sale or lease, or offering for sale or lease, including advertising for sale or lease, or importation, shipment, or distribution for the purpose of selling or leasing or offering for sale or lease.”</w:t>
      </w:r>
      <w:r>
        <w:rPr>
          <w:rStyle w:val="FootnoteReference"/>
        </w:rPr>
        <w:footnoteReference w:id="10"/>
      </w:r>
      <w:r w:rsidRPr="001426F4" w:rsidR="0057235E">
        <w:t xml:space="preserve">  </w:t>
      </w:r>
      <w:r>
        <w:t xml:space="preserve">Similarly, pursuant to section 74.851(f) of the Commission’s rules, transmitters </w:t>
      </w:r>
      <w:r w:rsidR="00F748F2">
        <w:t>such as</w:t>
      </w:r>
      <w:r>
        <w:t xml:space="preserve"> certain wireless microphones to which the part 74 rules apply must be authorized in accordance with the certification procedures before they may be marketed in the United States.</w:t>
      </w:r>
      <w:r>
        <w:rPr>
          <w:rStyle w:val="FootnoteReference"/>
        </w:rPr>
        <w:footnoteReference w:id="11"/>
      </w:r>
      <w:r>
        <w:t xml:space="preserve">  </w:t>
      </w:r>
      <w:bookmarkStart w:id="34" w:name="_Hlk66024825"/>
      <w:r w:rsidR="00E117C7">
        <w:rPr>
          <w:szCs w:val="22"/>
        </w:rPr>
        <w:t>In short, a wireless microphone must be authorized prior to marketing.</w:t>
      </w:r>
      <w:r w:rsidR="00AB50BF">
        <w:rPr>
          <w:szCs w:val="22"/>
        </w:rPr>
        <w:t xml:space="preserve">  </w:t>
      </w:r>
    </w:p>
    <w:bookmarkEnd w:id="34"/>
    <w:p w:rsidR="007817AA" w:rsidRPr="000B305A" w:rsidP="009B3BA1" w14:paraId="3121AF6F" w14:textId="39A55F11">
      <w:pPr>
        <w:pStyle w:val="ParaNum"/>
        <w:widowControl/>
      </w:pPr>
      <w:r w:rsidRPr="000B305A">
        <w:rPr>
          <w:szCs w:val="22"/>
          <w:shd w:val="clear" w:color="auto" w:fill="FFFFFF"/>
        </w:rPr>
        <w:t xml:space="preserve">The </w:t>
      </w:r>
      <w:r w:rsidRPr="000B305A">
        <w:rPr>
          <w:shd w:val="clear" w:color="auto" w:fill="FFFFFF"/>
        </w:rPr>
        <w:t xml:space="preserve">Commission </w:t>
      </w:r>
      <w:r w:rsidRPr="000B305A">
        <w:rPr>
          <w:szCs w:val="22"/>
          <w:shd w:val="clear" w:color="auto" w:fill="FFFFFF"/>
        </w:rPr>
        <w:t>allows the use of wireless microphones on a licensed and unlicensed basis, depending on the spectrum band</w:t>
      </w:r>
      <w:r>
        <w:rPr>
          <w:szCs w:val="22"/>
          <w:shd w:val="clear" w:color="auto" w:fill="FFFFFF"/>
        </w:rPr>
        <w:t xml:space="preserve"> used</w:t>
      </w:r>
      <w:r w:rsidRPr="000B305A">
        <w:rPr>
          <w:szCs w:val="22"/>
          <w:shd w:val="clear" w:color="auto" w:fill="FFFFFF"/>
        </w:rPr>
        <w:t>, technical characteristics</w:t>
      </w:r>
      <w:r>
        <w:rPr>
          <w:szCs w:val="22"/>
          <w:shd w:val="clear" w:color="auto" w:fill="FFFFFF"/>
        </w:rPr>
        <w:t xml:space="preserve"> of the devices</w:t>
      </w:r>
      <w:r w:rsidRPr="000B305A">
        <w:rPr>
          <w:szCs w:val="22"/>
          <w:shd w:val="clear" w:color="auto" w:fill="FFFFFF"/>
        </w:rPr>
        <w:t>, and user eligibility.</w:t>
      </w:r>
      <w:r>
        <w:rPr>
          <w:rStyle w:val="FootnoteReference"/>
        </w:rPr>
        <w:footnoteReference w:id="12"/>
      </w:r>
      <w:r>
        <w:t xml:space="preserve"> </w:t>
      </w:r>
      <w:r w:rsidRPr="000B305A">
        <w:rPr>
          <w:shd w:val="clear" w:color="auto" w:fill="FFFFFF"/>
        </w:rPr>
        <w:t xml:space="preserve"> </w:t>
      </w:r>
      <w:r w:rsidRPr="000B305A">
        <w:rPr>
          <w:szCs w:val="22"/>
          <w:shd w:val="clear" w:color="auto" w:fill="FFFFFF"/>
        </w:rPr>
        <w:t xml:space="preserve">The technical rules </w:t>
      </w:r>
      <w:r w:rsidR="005060BB">
        <w:rPr>
          <w:szCs w:val="22"/>
          <w:shd w:val="clear" w:color="auto" w:fill="FFFFFF"/>
        </w:rPr>
        <w:t>applicable to</w:t>
      </w:r>
      <w:r w:rsidRPr="000B305A">
        <w:rPr>
          <w:szCs w:val="22"/>
          <w:shd w:val="clear" w:color="auto" w:fill="FFFFFF"/>
        </w:rPr>
        <w:t xml:space="preserve"> wireless microphones will differ depending on the spectrum band in which they operate.</w:t>
      </w:r>
      <w:r>
        <w:rPr>
          <w:szCs w:val="22"/>
          <w:shd w:val="clear" w:color="auto" w:fill="FFFFFF"/>
        </w:rPr>
        <w:t xml:space="preserve"> </w:t>
      </w:r>
      <w:r w:rsidRPr="000B305A">
        <w:rPr>
          <w:szCs w:val="22"/>
          <w:shd w:val="clear" w:color="auto" w:fill="FFFFFF"/>
        </w:rPr>
        <w:t xml:space="preserve"> </w:t>
      </w:r>
      <w:r w:rsidRPr="00870756">
        <w:rPr>
          <w:szCs w:val="22"/>
        </w:rPr>
        <w:t>Wireless microphones are not authorized to operate in the aviation bands</w:t>
      </w:r>
      <w:r>
        <w:rPr>
          <w:szCs w:val="22"/>
        </w:rPr>
        <w:t xml:space="preserve"> for public safety reasons, as these bands are set aside for instrument landing systems and radio navigation, among other important services.</w:t>
      </w:r>
      <w:bookmarkStart w:id="35" w:name="_Ref33004518"/>
      <w:r>
        <w:rPr>
          <w:rStyle w:val="FootnoteReference"/>
          <w:szCs w:val="22"/>
        </w:rPr>
        <w:footnoteReference w:id="13"/>
      </w:r>
      <w:bookmarkEnd w:id="35"/>
      <w:r w:rsidRPr="00870756">
        <w:rPr>
          <w:szCs w:val="22"/>
        </w:rPr>
        <w:t xml:space="preserve">  </w:t>
      </w:r>
      <w:bookmarkStart w:id="36" w:name="_Hlk101871691"/>
      <w:bookmarkStart w:id="37" w:name="_Hlk101177983"/>
      <w:bookmarkStart w:id="38" w:name="_Hlk101778194"/>
      <w:r w:rsidR="00DC07B1">
        <w:rPr>
          <w:szCs w:val="22"/>
        </w:rPr>
        <w:t>W</w:t>
      </w:r>
      <w:r w:rsidRPr="00870756">
        <w:rPr>
          <w:szCs w:val="22"/>
        </w:rPr>
        <w:t xml:space="preserve">ireless microphones are permitted to operate </w:t>
      </w:r>
      <w:r w:rsidR="00DC07B1">
        <w:rPr>
          <w:szCs w:val="22"/>
        </w:rPr>
        <w:t>in</w:t>
      </w:r>
      <w:r w:rsidRPr="00870756">
        <w:rPr>
          <w:szCs w:val="22"/>
        </w:rPr>
        <w:t xml:space="preserve"> </w:t>
      </w:r>
      <w:r w:rsidR="0044195A">
        <w:rPr>
          <w:szCs w:val="22"/>
        </w:rPr>
        <w:t xml:space="preserve">certain </w:t>
      </w:r>
      <w:r>
        <w:rPr>
          <w:szCs w:val="22"/>
        </w:rPr>
        <w:t>b</w:t>
      </w:r>
      <w:r w:rsidRPr="00870756">
        <w:rPr>
          <w:szCs w:val="22"/>
        </w:rPr>
        <w:t xml:space="preserve">roadcast </w:t>
      </w:r>
      <w:r>
        <w:rPr>
          <w:szCs w:val="22"/>
        </w:rPr>
        <w:t xml:space="preserve">television (TV) </w:t>
      </w:r>
      <w:r w:rsidRPr="00870756">
        <w:rPr>
          <w:szCs w:val="22"/>
        </w:rPr>
        <w:t>bands</w:t>
      </w:r>
      <w:r w:rsidR="006E5303">
        <w:rPr>
          <w:szCs w:val="22"/>
        </w:rPr>
        <w:t>, but they must do so</w:t>
      </w:r>
      <w:r>
        <w:rPr>
          <w:szCs w:val="22"/>
        </w:rPr>
        <w:t xml:space="preserve"> pursuant to specified rules, including </w:t>
      </w:r>
      <w:bookmarkStart w:id="39" w:name="_Hlk101778411"/>
      <w:r w:rsidR="002A5DCF">
        <w:rPr>
          <w:szCs w:val="22"/>
        </w:rPr>
        <w:t xml:space="preserve">operation and </w:t>
      </w:r>
      <w:bookmarkEnd w:id="39"/>
      <w:r w:rsidR="00E85288">
        <w:rPr>
          <w:szCs w:val="22"/>
        </w:rPr>
        <w:t xml:space="preserve">equipment </w:t>
      </w:r>
      <w:r>
        <w:rPr>
          <w:szCs w:val="22"/>
        </w:rPr>
        <w:t xml:space="preserve">marketing rules.  </w:t>
      </w:r>
      <w:r w:rsidRPr="00870756">
        <w:rPr>
          <w:szCs w:val="22"/>
        </w:rPr>
        <w:t>The</w:t>
      </w:r>
      <w:r w:rsidR="003F261B">
        <w:rPr>
          <w:szCs w:val="22"/>
        </w:rPr>
        <w:t xml:space="preserve"> broadcast </w:t>
      </w:r>
      <w:r w:rsidR="00D31B18">
        <w:rPr>
          <w:szCs w:val="22"/>
        </w:rPr>
        <w:t>TV</w:t>
      </w:r>
      <w:r w:rsidR="004C5541">
        <w:rPr>
          <w:szCs w:val="22"/>
        </w:rPr>
        <w:t xml:space="preserve"> </w:t>
      </w:r>
      <w:r>
        <w:rPr>
          <w:szCs w:val="22"/>
        </w:rPr>
        <w:t xml:space="preserve">frequencies applicable in this case include </w:t>
      </w:r>
      <w:bookmarkStart w:id="40" w:name="_Hlk99531096"/>
      <w:r w:rsidRPr="00870756">
        <w:rPr>
          <w:szCs w:val="22"/>
        </w:rPr>
        <w:t>54 to 72 MHz</w:t>
      </w:r>
      <w:r w:rsidR="003F261B">
        <w:rPr>
          <w:szCs w:val="22"/>
        </w:rPr>
        <w:t xml:space="preserve"> (VHF channels 2</w:t>
      </w:r>
      <w:r w:rsidR="004747DE">
        <w:rPr>
          <w:szCs w:val="22"/>
        </w:rPr>
        <w:t>-</w:t>
      </w:r>
      <w:r w:rsidR="003F261B">
        <w:rPr>
          <w:szCs w:val="22"/>
        </w:rPr>
        <w:t>4)</w:t>
      </w:r>
      <w:r w:rsidRPr="00870756">
        <w:rPr>
          <w:szCs w:val="22"/>
        </w:rPr>
        <w:t>, 174 to 216 MHz</w:t>
      </w:r>
      <w:r w:rsidR="003F261B">
        <w:rPr>
          <w:szCs w:val="22"/>
        </w:rPr>
        <w:t xml:space="preserve"> (VHF channels 7</w:t>
      </w:r>
      <w:r w:rsidR="004747DE">
        <w:rPr>
          <w:szCs w:val="22"/>
        </w:rPr>
        <w:t>-</w:t>
      </w:r>
      <w:r w:rsidR="003F261B">
        <w:rPr>
          <w:szCs w:val="22"/>
        </w:rPr>
        <w:t>13)</w:t>
      </w:r>
      <w:r w:rsidRPr="00870756">
        <w:rPr>
          <w:szCs w:val="22"/>
        </w:rPr>
        <w:t xml:space="preserve">, 470 to 608 </w:t>
      </w:r>
      <w:r>
        <w:rPr>
          <w:szCs w:val="22"/>
        </w:rPr>
        <w:t>MHz</w:t>
      </w:r>
      <w:bookmarkEnd w:id="40"/>
      <w:r w:rsidR="004C5541">
        <w:rPr>
          <w:szCs w:val="22"/>
        </w:rPr>
        <w:t xml:space="preserve"> </w:t>
      </w:r>
      <w:r w:rsidR="003F261B">
        <w:rPr>
          <w:szCs w:val="22"/>
        </w:rPr>
        <w:t>(UHF channels 14</w:t>
      </w:r>
      <w:r w:rsidR="004747DE">
        <w:rPr>
          <w:szCs w:val="22"/>
        </w:rPr>
        <w:t>-</w:t>
      </w:r>
      <w:r w:rsidR="003F261B">
        <w:rPr>
          <w:szCs w:val="22"/>
        </w:rPr>
        <w:t>3</w:t>
      </w:r>
      <w:r w:rsidR="005B195D">
        <w:rPr>
          <w:szCs w:val="22"/>
        </w:rPr>
        <w:t>6</w:t>
      </w:r>
      <w:r w:rsidR="003F261B">
        <w:rPr>
          <w:szCs w:val="22"/>
        </w:rPr>
        <w:t>)</w:t>
      </w:r>
      <w:r w:rsidR="005B195D">
        <w:rPr>
          <w:szCs w:val="22"/>
        </w:rPr>
        <w:t xml:space="preserve">, </w:t>
      </w:r>
      <w:r w:rsidRPr="007D7804" w:rsidR="007D7804">
        <w:rPr>
          <w:szCs w:val="22"/>
        </w:rPr>
        <w:t>614</w:t>
      </w:r>
      <w:r w:rsidR="007D7804">
        <w:rPr>
          <w:szCs w:val="22"/>
        </w:rPr>
        <w:t xml:space="preserve"> to </w:t>
      </w:r>
      <w:r w:rsidRPr="007D7804" w:rsidR="007D7804">
        <w:rPr>
          <w:szCs w:val="22"/>
        </w:rPr>
        <w:t>616 MHz</w:t>
      </w:r>
      <w:r w:rsidR="007D7804">
        <w:rPr>
          <w:szCs w:val="22"/>
        </w:rPr>
        <w:t xml:space="preserve"> (</w:t>
      </w:r>
      <w:r w:rsidRPr="007D7804" w:rsidR="007D7804">
        <w:rPr>
          <w:szCs w:val="22"/>
        </w:rPr>
        <w:t>guard band</w:t>
      </w:r>
      <w:r w:rsidR="007D7804">
        <w:rPr>
          <w:szCs w:val="22"/>
        </w:rPr>
        <w:t>),</w:t>
      </w:r>
      <w:r w:rsidRPr="007D7804" w:rsidR="007D7804">
        <w:rPr>
          <w:szCs w:val="22"/>
        </w:rPr>
        <w:t xml:space="preserve"> 653</w:t>
      </w:r>
      <w:r w:rsidR="007D7804">
        <w:rPr>
          <w:szCs w:val="22"/>
        </w:rPr>
        <w:t xml:space="preserve"> to </w:t>
      </w:r>
      <w:r w:rsidRPr="007D7804" w:rsidR="007D7804">
        <w:rPr>
          <w:szCs w:val="22"/>
        </w:rPr>
        <w:t>657 MHz (</w:t>
      </w:r>
      <w:r w:rsidRPr="00D651A2" w:rsidR="00D651A2">
        <w:rPr>
          <w:szCs w:val="22"/>
        </w:rPr>
        <w:t>licensed use duplex gap</w:t>
      </w:r>
      <w:r w:rsidRPr="007D7804" w:rsidR="007D7804">
        <w:rPr>
          <w:szCs w:val="22"/>
        </w:rPr>
        <w:t>)</w:t>
      </w:r>
      <w:r w:rsidR="007D7804">
        <w:rPr>
          <w:szCs w:val="22"/>
        </w:rPr>
        <w:t>,</w:t>
      </w:r>
      <w:r w:rsidRPr="007D7804" w:rsidR="007D7804">
        <w:rPr>
          <w:szCs w:val="22"/>
        </w:rPr>
        <w:t xml:space="preserve"> and 657</w:t>
      </w:r>
      <w:r w:rsidR="007D7804">
        <w:rPr>
          <w:szCs w:val="22"/>
        </w:rPr>
        <w:t xml:space="preserve"> to </w:t>
      </w:r>
      <w:r w:rsidRPr="007D7804" w:rsidR="007D7804">
        <w:rPr>
          <w:szCs w:val="22"/>
        </w:rPr>
        <w:t>663 MHz</w:t>
      </w:r>
      <w:bookmarkEnd w:id="36"/>
      <w:r w:rsidR="00D651A2">
        <w:rPr>
          <w:szCs w:val="22"/>
        </w:rPr>
        <w:t xml:space="preserve"> (</w:t>
      </w:r>
      <w:r w:rsidRPr="00D651A2" w:rsidR="00D651A2">
        <w:rPr>
          <w:szCs w:val="22"/>
        </w:rPr>
        <w:t>unlicensed duplex gap</w:t>
      </w:r>
      <w:r w:rsidR="00D651A2">
        <w:rPr>
          <w:szCs w:val="22"/>
        </w:rPr>
        <w:t>)</w:t>
      </w:r>
      <w:r w:rsidR="007D7804">
        <w:rPr>
          <w:szCs w:val="22"/>
        </w:rPr>
        <w:t>.</w:t>
      </w:r>
      <w:r>
        <w:rPr>
          <w:rStyle w:val="FootnoteReference"/>
          <w:szCs w:val="22"/>
        </w:rPr>
        <w:footnoteReference w:id="14"/>
      </w:r>
      <w:bookmarkEnd w:id="37"/>
      <w:r w:rsidR="004F401D">
        <w:rPr>
          <w:szCs w:val="22"/>
        </w:rPr>
        <w:t xml:space="preserve">  </w:t>
      </w:r>
      <w:bookmarkEnd w:id="38"/>
    </w:p>
    <w:p w:rsidR="007817AA" w:rsidP="009B3BA1" w14:paraId="1B4BC3D0" w14:textId="6DAA6672">
      <w:pPr>
        <w:pStyle w:val="ParaNum"/>
        <w:widowControl/>
        <w:rPr>
          <w:spacing w:val="-2"/>
        </w:rPr>
      </w:pPr>
      <w:r w:rsidRPr="003A0CDD">
        <w:rPr>
          <w:i/>
          <w:iCs/>
        </w:rPr>
        <w:t>Factual Background.</w:t>
      </w:r>
      <w:r>
        <w:t xml:space="preserve">  </w:t>
      </w:r>
      <w:r w:rsidRPr="00AE2519">
        <w:t xml:space="preserve">Sound Around </w:t>
      </w:r>
      <w:r w:rsidR="009D31F5">
        <w:t>is a</w:t>
      </w:r>
      <w:r w:rsidR="006B7717">
        <w:t xml:space="preserve"> </w:t>
      </w:r>
      <w:r w:rsidR="00070F0F">
        <w:t>privately</w:t>
      </w:r>
      <w:r w:rsidR="00D25773">
        <w:t xml:space="preserve"> </w:t>
      </w:r>
      <w:r w:rsidR="00070F0F">
        <w:t>held company located in Brooklyn, New York</w:t>
      </w:r>
      <w:r w:rsidR="009813E6">
        <w:t xml:space="preserve">, that sells </w:t>
      </w:r>
      <w:r w:rsidR="00BE31F0">
        <w:t xml:space="preserve">audio and video electronics and </w:t>
      </w:r>
      <w:r w:rsidR="00D652C4">
        <w:t>accessories</w:t>
      </w:r>
      <w:r w:rsidR="00B50770">
        <w:t>.</w:t>
      </w:r>
      <w:r>
        <w:rPr>
          <w:rStyle w:val="FootnoteReference"/>
        </w:rPr>
        <w:footnoteReference w:id="15"/>
      </w:r>
      <w:r w:rsidR="00B50770">
        <w:t xml:space="preserve">  </w:t>
      </w:r>
      <w:r w:rsidR="00DF4AD8">
        <w:t xml:space="preserve">The Company </w:t>
      </w:r>
      <w:r>
        <w:t>has long marketed wireless microphones</w:t>
      </w:r>
      <w:r w:rsidR="00DF4AD8">
        <w:t xml:space="preserve"> in the United States</w:t>
      </w:r>
      <w:r w:rsidR="00F83770">
        <w:t>.</w:t>
      </w:r>
      <w:r w:rsidR="000C2377">
        <w:t xml:space="preserve">  I</w:t>
      </w:r>
      <w:r w:rsidR="00E117C7">
        <w:t xml:space="preserve">n 2011, the </w:t>
      </w:r>
      <w:r w:rsidR="00D633D6">
        <w:t>Spectrum Enforcem</w:t>
      </w:r>
      <w:r w:rsidR="00AD62C8">
        <w:t>ent Division (Division) of the Enforcement Bureau</w:t>
      </w:r>
      <w:r w:rsidR="004B5179">
        <w:t xml:space="preserve"> </w:t>
      </w:r>
      <w:r w:rsidR="00BF75FF">
        <w:t xml:space="preserve">(Bureau) </w:t>
      </w:r>
      <w:r w:rsidR="004B5179">
        <w:t>cited the Company for marketing wireless</w:t>
      </w:r>
      <w:r w:rsidR="005C5FD6">
        <w:t xml:space="preserve"> microphones that wer</w:t>
      </w:r>
      <w:r w:rsidR="000A4845">
        <w:t>e out of compliance with the Commission’s equipment marketing rules and</w:t>
      </w:r>
      <w:r w:rsidR="00E117C7">
        <w:t xml:space="preserve"> warned the Company to ensure its wireless microphones complied with the Commission’s rules</w:t>
      </w:r>
      <w:r w:rsidR="00A35796">
        <w:t xml:space="preserve"> going forward</w:t>
      </w:r>
      <w:r>
        <w:t>.</w:t>
      </w:r>
      <w:r>
        <w:rPr>
          <w:rStyle w:val="FootnoteReference"/>
        </w:rPr>
        <w:footnoteReference w:id="16"/>
      </w:r>
      <w:r w:rsidR="00D2260B">
        <w:t xml:space="preserve">  </w:t>
      </w:r>
      <w:r w:rsidR="006F37D5">
        <w:t xml:space="preserve">The </w:t>
      </w:r>
      <w:r w:rsidRPr="000D741D" w:rsidR="000D741D">
        <w:rPr>
          <w:i/>
          <w:iCs/>
        </w:rPr>
        <w:t xml:space="preserve">Marketing </w:t>
      </w:r>
      <w:r w:rsidRPr="000D741D" w:rsidR="006F37D5">
        <w:rPr>
          <w:i/>
          <w:iCs/>
        </w:rPr>
        <w:t>Citation</w:t>
      </w:r>
      <w:r w:rsidR="006F37D5">
        <w:t xml:space="preserve"> warned that s</w:t>
      </w:r>
      <w:r w:rsidR="00A93B38">
        <w:t>ection 2.803(a)(1) of the Commission’s rules state</w:t>
      </w:r>
      <w:r w:rsidR="00EB1F2E">
        <w:t>d</w:t>
      </w:r>
      <w:r w:rsidR="00A93B38">
        <w:t xml:space="preserve"> that “no person shall sell or lease, or offer for sale or lease (including advertising for sale or lease), or import, ship or distribute for the purpose of selling or leasing or offering for sale or lease, any radio frequency device unless: (1) In the case of a device subject to certification, such device has been authorized </w:t>
      </w:r>
      <w:r w:rsidR="00843EF5">
        <w:t>by the Commission in accordance with the rules in this chapter and is properly identified and labeled as required by section 2.925 and other relevant sections in this chapter</w:t>
      </w:r>
      <w:r w:rsidR="007B389F">
        <w:t xml:space="preserve"> . . . </w:t>
      </w:r>
      <w:r w:rsidR="00843EF5">
        <w:t>.</w:t>
      </w:r>
      <w:r w:rsidR="00EB1F2E">
        <w:t>”</w:t>
      </w:r>
      <w:r>
        <w:rPr>
          <w:rStyle w:val="FootnoteReference"/>
        </w:rPr>
        <w:footnoteReference w:id="17"/>
      </w:r>
      <w:r w:rsidR="00843EF5">
        <w:t xml:space="preserve"> </w:t>
      </w:r>
      <w:r w:rsidR="00A93B38">
        <w:t xml:space="preserve"> </w:t>
      </w:r>
      <w:r w:rsidR="003A3A26">
        <w:t xml:space="preserve">The </w:t>
      </w:r>
      <w:r w:rsidR="003A3A26">
        <w:rPr>
          <w:i/>
          <w:iCs/>
        </w:rPr>
        <w:t xml:space="preserve">Marketing Citation </w:t>
      </w:r>
      <w:r w:rsidR="003A3A26">
        <w:t xml:space="preserve">found that Sound Around marketed five models of wireless microphones, two of which </w:t>
      </w:r>
      <w:r w:rsidR="00AD35CF">
        <w:t xml:space="preserve">(PDWM94 and PDWM96) </w:t>
      </w:r>
      <w:r w:rsidR="003A3A26">
        <w:t>were also</w:t>
      </w:r>
      <w:r w:rsidR="00DD1FEC">
        <w:t xml:space="preserve"> subsequently</w:t>
      </w:r>
      <w:r w:rsidR="003A3A26">
        <w:t xml:space="preserve"> implicated in the </w:t>
      </w:r>
      <w:r w:rsidR="007E32D5">
        <w:rPr>
          <w:i/>
          <w:iCs/>
        </w:rPr>
        <w:t>NAL</w:t>
      </w:r>
      <w:r w:rsidR="003A3A26">
        <w:rPr>
          <w:i/>
          <w:iCs/>
        </w:rPr>
        <w:t xml:space="preserve">, </w:t>
      </w:r>
      <w:r w:rsidR="003A3A26">
        <w:t>through its website pyleaudio.com.</w:t>
      </w:r>
      <w:r>
        <w:rPr>
          <w:rStyle w:val="FootnoteReference"/>
        </w:rPr>
        <w:footnoteReference w:id="18"/>
      </w:r>
      <w:r w:rsidR="003A3A26">
        <w:t xml:space="preserve"> </w:t>
      </w:r>
      <w:r w:rsidR="00A93B38">
        <w:t xml:space="preserve"> </w:t>
      </w:r>
      <w:r w:rsidR="00881FA9">
        <w:t xml:space="preserve">The </w:t>
      </w:r>
      <w:r w:rsidR="00881FA9">
        <w:rPr>
          <w:i/>
          <w:iCs/>
        </w:rPr>
        <w:t xml:space="preserve">Marketing Citation </w:t>
      </w:r>
      <w:r w:rsidR="00BB52A5">
        <w:t>also warned Sound Around that</w:t>
      </w:r>
      <w:r w:rsidR="00CB13E4">
        <w:t>,</w:t>
      </w:r>
      <w:r w:rsidR="00BB52A5">
        <w:t xml:space="preserve"> i</w:t>
      </w:r>
      <w:r w:rsidR="00AE1550">
        <w:t xml:space="preserve">f the Company “violates the Communications Act or the Commission’s </w:t>
      </w:r>
      <w:r w:rsidR="00976C43">
        <w:t>[r]</w:t>
      </w:r>
      <w:r w:rsidR="00035E47">
        <w:t xml:space="preserve">ules by </w:t>
      </w:r>
      <w:r w:rsidR="00976C43">
        <w:t xml:space="preserve">engaging in conduct </w:t>
      </w:r>
      <w:r w:rsidR="00976C43">
        <w:rPr>
          <w:i/>
          <w:iCs/>
        </w:rPr>
        <w:t xml:space="preserve">of the type </w:t>
      </w:r>
      <w:r w:rsidR="00EC594B">
        <w:t xml:space="preserve">described [in the </w:t>
      </w:r>
      <w:r w:rsidR="00EC594B">
        <w:rPr>
          <w:i/>
          <w:iCs/>
        </w:rPr>
        <w:t>Marketing Citation</w:t>
      </w:r>
      <w:r w:rsidR="00EC594B">
        <w:t>]</w:t>
      </w:r>
      <w:r w:rsidR="00D260C8">
        <w:t xml:space="preserve">,” </w:t>
      </w:r>
      <w:r w:rsidR="001B1121">
        <w:t xml:space="preserve">the Company may be subject to significant monetary </w:t>
      </w:r>
      <w:r w:rsidR="003549DF">
        <w:t>forfeitures or other sanctions.</w:t>
      </w:r>
      <w:r>
        <w:rPr>
          <w:rStyle w:val="FootnoteReference"/>
        </w:rPr>
        <w:footnoteReference w:id="19"/>
      </w:r>
      <w:r w:rsidR="002C0124">
        <w:t xml:space="preserve"> </w:t>
      </w:r>
      <w:r w:rsidRPr="00754DD2" w:rsidR="00EC594B">
        <w:t xml:space="preserve"> </w:t>
      </w:r>
      <w:r w:rsidR="000D741D">
        <w:t xml:space="preserve">Sound Around never responded to the </w:t>
      </w:r>
      <w:r w:rsidRPr="00480A56" w:rsidR="000D741D">
        <w:rPr>
          <w:i/>
          <w:iCs/>
        </w:rPr>
        <w:t>Marketing Citation</w:t>
      </w:r>
      <w:r w:rsidR="000D741D">
        <w:t>, and d</w:t>
      </w:r>
      <w:r w:rsidR="00AD35CF">
        <w:t>espite being warned</w:t>
      </w:r>
      <w:r w:rsidR="00D2260B">
        <w:t>, Sound Arou</w:t>
      </w:r>
      <w:r w:rsidR="002C0124">
        <w:t>n</w:t>
      </w:r>
      <w:r w:rsidR="00D2260B">
        <w:t>d continued to market noncompliant wireless microphones.</w:t>
      </w:r>
      <w:r>
        <w:rPr>
          <w:rStyle w:val="FootnoteReference"/>
        </w:rPr>
        <w:footnoteReference w:id="20"/>
      </w:r>
      <w:r w:rsidR="00D2260B">
        <w:t xml:space="preserve">  </w:t>
      </w:r>
    </w:p>
    <w:p w:rsidR="009B0B94" w:rsidRPr="009B0B94" w:rsidP="009B3BA1" w14:paraId="5AE1233A" w14:textId="50CC8533">
      <w:pPr>
        <w:pStyle w:val="ParaNum"/>
        <w:widowControl/>
      </w:pPr>
      <w:r w:rsidRPr="004620D2">
        <w:rPr>
          <w:spacing w:val="-2"/>
        </w:rPr>
        <w:t>After receiving a complaint in 2016 that S</w:t>
      </w:r>
      <w:r>
        <w:t>ound Around was continuing to market noncompliant wireless microphones, the Division again began investigating the Company</w:t>
      </w:r>
      <w:r w:rsidR="00F840E0">
        <w:t xml:space="preserve"> by sending a letter of inquiry (2017 LOI)</w:t>
      </w:r>
      <w:r w:rsidR="00BA5575">
        <w:t>.</w:t>
      </w:r>
      <w:bookmarkStart w:id="42" w:name="_Ref104287130"/>
      <w:r>
        <w:rPr>
          <w:rStyle w:val="FootnoteReference"/>
        </w:rPr>
        <w:footnoteReference w:id="21"/>
      </w:r>
      <w:bookmarkEnd w:id="42"/>
      <w:r w:rsidR="00BA5575">
        <w:t xml:space="preserve">  Throughout this</w:t>
      </w:r>
      <w:r w:rsidR="00580FD6">
        <w:t xml:space="preserve"> second investigation, which occurred over several years, the Company </w:t>
      </w:r>
      <w:r>
        <w:t xml:space="preserve">never </w:t>
      </w:r>
      <w:r w:rsidR="00580FD6">
        <w:t>provided</w:t>
      </w:r>
      <w:r>
        <w:t xml:space="preserve"> complete answer</w:t>
      </w:r>
      <w:r w:rsidR="00480A56">
        <w:t>s</w:t>
      </w:r>
      <w:r>
        <w:t xml:space="preserve"> about whether the wireless microphones it was </w:t>
      </w:r>
      <w:r w:rsidR="007466ED">
        <w:t>marketing</w:t>
      </w:r>
      <w:r>
        <w:t xml:space="preserve"> were authorized</w:t>
      </w:r>
      <w:r w:rsidRPr="00AE2519">
        <w:t>.</w:t>
      </w:r>
      <w:r>
        <w:rPr>
          <w:rStyle w:val="FootnoteReference"/>
          <w:spacing w:val="-2"/>
          <w:sz w:val="22"/>
        </w:rPr>
        <w:footnoteReference w:id="22"/>
      </w:r>
      <w:r>
        <w:t xml:space="preserve">  </w:t>
      </w:r>
      <w:r w:rsidR="00467A16">
        <w:t>T</w:t>
      </w:r>
      <w:r w:rsidRPr="001426F4" w:rsidR="00467A16">
        <w:t xml:space="preserve">he Division </w:t>
      </w:r>
      <w:r w:rsidR="00050854">
        <w:t xml:space="preserve">initially </w:t>
      </w:r>
      <w:r w:rsidRPr="001426F4" w:rsidR="00467A16">
        <w:t>was unable to determine the operating parameters or authorization status of the wireless microphones</w:t>
      </w:r>
      <w:r w:rsidR="0005784A">
        <w:t xml:space="preserve"> that were the subject of the investigation</w:t>
      </w:r>
      <w:r w:rsidRPr="001426F4" w:rsidR="00467A16">
        <w:t xml:space="preserve"> because in numerous instances the FCC </w:t>
      </w:r>
      <w:r w:rsidR="007F2FE2">
        <w:t>identification numbers (</w:t>
      </w:r>
      <w:r w:rsidRPr="001426F4" w:rsidR="00467A16">
        <w:t>IDs</w:t>
      </w:r>
      <w:r w:rsidR="007F2FE2">
        <w:t>)</w:t>
      </w:r>
      <w:r w:rsidRPr="001426F4" w:rsidR="00467A16">
        <w:t xml:space="preserve"> previously submitted by Sound Around were not consistent with the microphones’ advertised descriptions and/or claimed operating frequencies.</w:t>
      </w:r>
      <w:r>
        <w:rPr>
          <w:rStyle w:val="FootnoteReference"/>
        </w:rPr>
        <w:footnoteReference w:id="23"/>
      </w:r>
      <w:r w:rsidRPr="001426F4" w:rsidR="00467A16">
        <w:t xml:space="preserve"> </w:t>
      </w:r>
      <w:r w:rsidR="00467A16">
        <w:t xml:space="preserve"> </w:t>
      </w:r>
      <w:r w:rsidRPr="001426F4" w:rsidR="00467A16">
        <w:t xml:space="preserve">For instance, on September 19, 2017, Sound Around submitted a chart that showed model PDWM4400 </w:t>
      </w:r>
      <w:r w:rsidRPr="001426F4" w:rsidR="00467A16">
        <w:t>operating in the 174.2-215.8 MHz frequency range.</w:t>
      </w:r>
      <w:r>
        <w:rPr>
          <w:rStyle w:val="FootnoteReference"/>
        </w:rPr>
        <w:footnoteReference w:id="24"/>
      </w:r>
      <w:r w:rsidRPr="001426F4" w:rsidR="00467A16">
        <w:t xml:space="preserve"> </w:t>
      </w:r>
      <w:r w:rsidR="00467A16">
        <w:t xml:space="preserve"> </w:t>
      </w:r>
      <w:r w:rsidRPr="001426F4" w:rsidR="00467A16">
        <w:rPr>
          <w:color w:val="000000"/>
        </w:rPr>
        <w:t xml:space="preserve">However, on December 19, 2017, Sound Around provided a declaration that the same model operated on frequencies 224.9-268.6 </w:t>
      </w:r>
      <w:r w:rsidRPr="001426F4" w:rsidR="00467A16">
        <w:rPr>
          <w:color w:val="000000"/>
        </w:rPr>
        <w:t>MHz.</w:t>
      </w:r>
      <w:r>
        <w:rPr>
          <w:rStyle w:val="FootnoteReference"/>
        </w:rPr>
        <w:footnoteReference w:id="25"/>
      </w:r>
      <w:r w:rsidRPr="001426F4" w:rsidR="00467A16">
        <w:rPr>
          <w:color w:val="000000"/>
        </w:rPr>
        <w:t xml:space="preserve">  </w:t>
      </w:r>
    </w:p>
    <w:p w:rsidR="004620D2" w:rsidP="009B3BA1" w14:paraId="6E2B9498" w14:textId="3786A55F">
      <w:pPr>
        <w:pStyle w:val="ParaNum"/>
        <w:widowControl/>
      </w:pPr>
      <w:r>
        <w:rPr>
          <w:color w:val="000000"/>
        </w:rPr>
        <w:t>To resolve th</w:t>
      </w:r>
      <w:r w:rsidR="00CE4360">
        <w:rPr>
          <w:color w:val="000000"/>
        </w:rPr>
        <w:t>ese inconsistent responses</w:t>
      </w:r>
      <w:r w:rsidR="00467A16">
        <w:rPr>
          <w:color w:val="000000"/>
        </w:rPr>
        <w:t xml:space="preserve">, </w:t>
      </w:r>
      <w:r w:rsidR="00467A16">
        <w:t>t</w:t>
      </w:r>
      <w:r>
        <w:t xml:space="preserve">he </w:t>
      </w:r>
      <w:r w:rsidR="00323337">
        <w:t>Division</w:t>
      </w:r>
      <w:r>
        <w:t xml:space="preserve"> </w:t>
      </w:r>
      <w:r w:rsidR="007C1C70">
        <w:t xml:space="preserve">sent another </w:t>
      </w:r>
      <w:r w:rsidR="007E2A7E">
        <w:t xml:space="preserve">LOI </w:t>
      </w:r>
      <w:r w:rsidR="007C1C70">
        <w:t>to the Company</w:t>
      </w:r>
      <w:r w:rsidR="00625442">
        <w:t xml:space="preserve"> in 2019</w:t>
      </w:r>
      <w:r w:rsidR="00181501">
        <w:t xml:space="preserve"> (2019 LOI)</w:t>
      </w:r>
      <w:r w:rsidR="007C1C70">
        <w:t>.</w:t>
      </w:r>
      <w:r>
        <w:rPr>
          <w:rStyle w:val="FootnoteReference"/>
        </w:rPr>
        <w:footnoteReference w:id="26"/>
      </w:r>
      <w:r w:rsidR="007C1C70">
        <w:t xml:space="preserve">  In th</w:t>
      </w:r>
      <w:r w:rsidR="00181501">
        <w:t>e 2019</w:t>
      </w:r>
      <w:r w:rsidR="007C1C70">
        <w:t xml:space="preserve"> LOI, the </w:t>
      </w:r>
      <w:r w:rsidR="00323337">
        <w:t xml:space="preserve">Division </w:t>
      </w:r>
      <w:r w:rsidR="007C1C70">
        <w:t xml:space="preserve">notified the Company </w:t>
      </w:r>
      <w:r w:rsidR="007E2A7E">
        <w:t>that</w:t>
      </w:r>
      <w:r w:rsidR="00323337">
        <w:t>,</w:t>
      </w:r>
      <w:r w:rsidR="007E2A7E">
        <w:t xml:space="preserve"> given the information contained in </w:t>
      </w:r>
      <w:r w:rsidR="007C1C70">
        <w:t>its</w:t>
      </w:r>
      <w:r w:rsidR="007E2A7E">
        <w:t xml:space="preserve"> previous LOI responses</w:t>
      </w:r>
      <w:r w:rsidR="00EA765D">
        <w:t>,</w:t>
      </w:r>
      <w:r w:rsidR="007E2A7E">
        <w:t xml:space="preserve"> a determination could not be made regarding the actual operating frequencies of the devices in question or whether the devices were authorized.</w:t>
      </w:r>
      <w:r>
        <w:rPr>
          <w:rStyle w:val="FootnoteReference"/>
        </w:rPr>
        <w:footnoteReference w:id="27"/>
      </w:r>
      <w:r w:rsidR="007E2A7E">
        <w:t xml:space="preserve">  The</w:t>
      </w:r>
      <w:r w:rsidR="00181501">
        <w:t xml:space="preserve"> 2019</w:t>
      </w:r>
      <w:r w:rsidR="007E2A7E">
        <w:t xml:space="preserve"> LOI </w:t>
      </w:r>
      <w:r>
        <w:t>provided the Company an</w:t>
      </w:r>
      <w:r w:rsidR="00BB54A8">
        <w:t>other</w:t>
      </w:r>
      <w:r>
        <w:t xml:space="preserve"> opportunity to </w:t>
      </w:r>
      <w:r w:rsidR="00C77E75">
        <w:t>explain</w:t>
      </w:r>
      <w:r w:rsidR="00DC767D">
        <w:t>, correct, or clarify</w:t>
      </w:r>
      <w:r>
        <w:t xml:space="preserve"> its </w:t>
      </w:r>
      <w:r w:rsidR="00DC767D">
        <w:t xml:space="preserve">prior </w:t>
      </w:r>
      <w:r>
        <w:t>responses,</w:t>
      </w:r>
      <w:r w:rsidR="00D02A40">
        <w:t xml:space="preserve"> directing the Company </w:t>
      </w:r>
      <w:r w:rsidRPr="00696AF6" w:rsidR="00D02A40">
        <w:t xml:space="preserve">to provide </w:t>
      </w:r>
      <w:r w:rsidR="00D025F2">
        <w:t>(</w:t>
      </w:r>
      <w:r w:rsidR="00D025F2">
        <w:t>i</w:t>
      </w:r>
      <w:r w:rsidR="00D025F2">
        <w:t xml:space="preserve">) </w:t>
      </w:r>
      <w:r w:rsidRPr="00696AF6" w:rsidR="000F6B04">
        <w:t xml:space="preserve">the </w:t>
      </w:r>
      <w:r w:rsidRPr="00696AF6" w:rsidR="00D02A40">
        <w:t>actual operating frequencies</w:t>
      </w:r>
      <w:r w:rsidR="00D02A40">
        <w:t>,</w:t>
      </w:r>
      <w:r w:rsidRPr="00696AF6" w:rsidR="00D02A40">
        <w:t xml:space="preserve"> </w:t>
      </w:r>
      <w:r w:rsidR="00D025F2">
        <w:t>(</w:t>
      </w:r>
      <w:r w:rsidR="007F0F90">
        <w:t>ii</w:t>
      </w:r>
      <w:r w:rsidR="00D025F2">
        <w:t xml:space="preserve">) </w:t>
      </w:r>
      <w:r w:rsidR="00D02A40">
        <w:t>the</w:t>
      </w:r>
      <w:r w:rsidRPr="00696AF6" w:rsidR="00D02A40">
        <w:t xml:space="preserve"> FCC </w:t>
      </w:r>
      <w:r w:rsidR="00E43B13">
        <w:t>IDs</w:t>
      </w:r>
      <w:r w:rsidR="00D02A40">
        <w:t xml:space="preserve">, and </w:t>
      </w:r>
      <w:r w:rsidR="00D025F2">
        <w:t xml:space="preserve">(iii) </w:t>
      </w:r>
      <w:r w:rsidR="00D02A40">
        <w:t>the authorized frequencies</w:t>
      </w:r>
      <w:r w:rsidR="000F6B04">
        <w:t>,</w:t>
      </w:r>
      <w:r w:rsidRPr="00696AF6" w:rsidR="00D02A40">
        <w:t xml:space="preserve"> for </w:t>
      </w:r>
      <w:r w:rsidR="00EB678C">
        <w:t xml:space="preserve">each of </w:t>
      </w:r>
      <w:r w:rsidR="00D025F2">
        <w:t xml:space="preserve">the </w:t>
      </w:r>
      <w:r w:rsidRPr="00696AF6" w:rsidR="00D02A40">
        <w:t>82 wireless microphone</w:t>
      </w:r>
      <w:r w:rsidR="00D02A40">
        <w:t xml:space="preserve"> model</w:t>
      </w:r>
      <w:r w:rsidRPr="00696AF6" w:rsidR="00D02A40">
        <w:t xml:space="preserve">s that were </w:t>
      </w:r>
      <w:r w:rsidR="001609F8">
        <w:t xml:space="preserve">shown in a </w:t>
      </w:r>
      <w:r w:rsidRPr="00696AF6" w:rsidR="001609F8">
        <w:t xml:space="preserve">screenshot </w:t>
      </w:r>
      <w:r w:rsidR="001609F8">
        <w:t>taken by the Division of Sound Around’s website</w:t>
      </w:r>
      <w:r w:rsidRPr="00696AF6" w:rsidR="001609F8">
        <w:t>, pyleusa.com</w:t>
      </w:r>
      <w:r w:rsidR="001609F8">
        <w:t>, which showed all of the</w:t>
      </w:r>
      <w:r w:rsidRPr="00696AF6" w:rsidR="001609F8">
        <w:t xml:space="preserve"> wireless microphone models</w:t>
      </w:r>
      <w:r w:rsidR="001609F8">
        <w:t xml:space="preserve"> available for purchase </w:t>
      </w:r>
      <w:r w:rsidR="00D02A40">
        <w:t>as of April 9, 2019</w:t>
      </w:r>
      <w:r w:rsidRPr="00864ED4" w:rsidR="00D02A40">
        <w:t>.</w:t>
      </w:r>
      <w:r>
        <w:rPr>
          <w:rStyle w:val="FootnoteReference"/>
        </w:rPr>
        <w:footnoteReference w:id="28"/>
      </w:r>
      <w:r w:rsidRPr="00864ED4">
        <w:t xml:space="preserve">  </w:t>
      </w:r>
      <w:r w:rsidRPr="00923AB9" w:rsidR="00417B45">
        <w:t>The 2019 LOI only asked the Company for data on t</w:t>
      </w:r>
      <w:r w:rsidRPr="00223C8A" w:rsidR="00417B45">
        <w:t xml:space="preserve">he devices that were listed as available for purchase and did not ask about models that </w:t>
      </w:r>
      <w:r w:rsidR="00BF635E">
        <w:t>were described</w:t>
      </w:r>
      <w:r w:rsidRPr="00223C8A" w:rsidR="00417B45">
        <w:t xml:space="preserve"> as out of stock or not </w:t>
      </w:r>
      <w:r w:rsidRPr="004A7076" w:rsidR="00417B45">
        <w:t>currently for sale.</w:t>
      </w:r>
      <w:r w:rsidR="00417B45">
        <w:t xml:space="preserve">  </w:t>
      </w:r>
      <w:r w:rsidR="00503612">
        <w:t xml:space="preserve">The Company </w:t>
      </w:r>
      <w:r w:rsidR="00BF635E">
        <w:t>submitted</w:t>
      </w:r>
      <w:r w:rsidR="00503612">
        <w:t xml:space="preserve"> a sworn response that </w:t>
      </w:r>
      <w:r w:rsidRPr="002C1E53" w:rsidR="002C1E53">
        <w:t xml:space="preserve">provided the FCC </w:t>
      </w:r>
      <w:r w:rsidR="00E43B13">
        <w:t>IDs</w:t>
      </w:r>
      <w:r w:rsidRPr="002C1E53" w:rsidR="002C1E53">
        <w:t xml:space="preserve"> and actual operating frequencies for some, but not all, of the 82 models in question</w:t>
      </w:r>
      <w:r w:rsidR="002C1E53">
        <w:t xml:space="preserve"> and </w:t>
      </w:r>
      <w:r w:rsidR="00DC44BC">
        <w:t xml:space="preserve">specified </w:t>
      </w:r>
      <w:r w:rsidR="002C1E53">
        <w:t>that some models had not been sold after 2017</w:t>
      </w:r>
      <w:r w:rsidR="009B0B94">
        <w:t xml:space="preserve"> (</w:t>
      </w:r>
      <w:r w:rsidRPr="001426F4" w:rsidR="009B0B94">
        <w:t>2019 LOI Response</w:t>
      </w:r>
      <w:r w:rsidR="009B0B94">
        <w:t>)</w:t>
      </w:r>
      <w:r w:rsidRPr="002C1E53" w:rsidR="002C1E53">
        <w:t>.</w:t>
      </w:r>
      <w:r>
        <w:rPr>
          <w:rStyle w:val="FootnoteReference"/>
        </w:rPr>
        <w:footnoteReference w:id="29"/>
      </w:r>
      <w:r w:rsidR="00E33B05">
        <w:t xml:space="preserve">  A</w:t>
      </w:r>
      <w:r w:rsidR="00D4786F">
        <w:t xml:space="preserve">s explained in detail in the </w:t>
      </w:r>
      <w:r w:rsidR="00D4786F">
        <w:rPr>
          <w:i/>
          <w:iCs/>
        </w:rPr>
        <w:t>NAL</w:t>
      </w:r>
      <w:r w:rsidR="00D4786F">
        <w:t xml:space="preserve">, </w:t>
      </w:r>
      <w:r w:rsidR="00735A8A">
        <w:t xml:space="preserve">the </w:t>
      </w:r>
      <w:r w:rsidR="001609F8">
        <w:t>D</w:t>
      </w:r>
      <w:r w:rsidR="00735A8A">
        <w:t>ivision</w:t>
      </w:r>
      <w:r w:rsidR="00E3305E">
        <w:t xml:space="preserve"> compared the FCC IDs and actual operating frequencies of the microphones that were provided in</w:t>
      </w:r>
      <w:r w:rsidR="00E33B05">
        <w:t xml:space="preserve"> the </w:t>
      </w:r>
      <w:r w:rsidR="001609F8">
        <w:t xml:space="preserve">Company’s </w:t>
      </w:r>
      <w:r w:rsidRPr="00923AB9" w:rsidR="00E33B05">
        <w:t>sworn</w:t>
      </w:r>
      <w:r w:rsidRPr="00223C8A" w:rsidR="00D025F2">
        <w:t xml:space="preserve"> </w:t>
      </w:r>
      <w:r w:rsidRPr="00223C8A" w:rsidR="000C3860">
        <w:t xml:space="preserve">2019 </w:t>
      </w:r>
      <w:r w:rsidRPr="00223C8A" w:rsidR="00D025F2">
        <w:t>LOI</w:t>
      </w:r>
      <w:r w:rsidR="00E33B05">
        <w:t xml:space="preserve"> respons</w:t>
      </w:r>
      <w:r w:rsidR="00CE4BE5">
        <w:t>e</w:t>
      </w:r>
      <w:r w:rsidR="00476439">
        <w:t>.  Based on this</w:t>
      </w:r>
      <w:r w:rsidR="00DB5DDE">
        <w:t xml:space="preserve"> comparison</w:t>
      </w:r>
      <w:r w:rsidR="00353437">
        <w:t>, the Commission</w:t>
      </w:r>
      <w:r w:rsidR="00E3305E">
        <w:t xml:space="preserve"> determined</w:t>
      </w:r>
      <w:r w:rsidR="00CE4BE5">
        <w:t xml:space="preserve"> that</w:t>
      </w:r>
      <w:r w:rsidR="00353437">
        <w:t>,</w:t>
      </w:r>
      <w:r w:rsidR="00CE4BE5">
        <w:t xml:space="preserve"> for </w:t>
      </w:r>
      <w:r w:rsidR="00553EFD">
        <w:t>32</w:t>
      </w:r>
      <w:r w:rsidR="00CE4BE5">
        <w:t xml:space="preserve"> </w:t>
      </w:r>
      <w:r w:rsidR="000D214C">
        <w:t>microphone</w:t>
      </w:r>
      <w:r w:rsidR="00553EFD">
        <w:t xml:space="preserve"> model</w:t>
      </w:r>
      <w:r w:rsidR="00CE4BE5">
        <w:t>s advertised for sale on Sound Around’s website identified in the 2019 LOI,</w:t>
      </w:r>
      <w:r w:rsidR="000F1438">
        <w:t xml:space="preserve"> either</w:t>
      </w:r>
      <w:r w:rsidR="00CE4BE5">
        <w:t xml:space="preserve"> the </w:t>
      </w:r>
      <w:r w:rsidR="00E3305E">
        <w:t xml:space="preserve">actual </w:t>
      </w:r>
      <w:r w:rsidR="00CE4BE5">
        <w:t>operating frequencies provided by the Company did not match the</w:t>
      </w:r>
      <w:r w:rsidR="00940E2F">
        <w:t xml:space="preserve"> frequencies</w:t>
      </w:r>
      <w:r w:rsidR="00CE4BE5">
        <w:t xml:space="preserve"> authorized </w:t>
      </w:r>
      <w:r w:rsidR="00940E2F">
        <w:t xml:space="preserve">for that model </w:t>
      </w:r>
      <w:r w:rsidR="00CE4BE5">
        <w:t xml:space="preserve">or </w:t>
      </w:r>
      <w:r w:rsidR="00037A96">
        <w:t xml:space="preserve">the model had not been certified, as evidenced by the lack of an </w:t>
      </w:r>
      <w:r w:rsidR="00CE4BE5">
        <w:t xml:space="preserve">FCC ID </w:t>
      </w:r>
      <w:r w:rsidR="00037A96">
        <w:t>number</w:t>
      </w:r>
      <w:r w:rsidR="00CE4BE5">
        <w:t>.</w:t>
      </w:r>
      <w:r>
        <w:rPr>
          <w:rStyle w:val="FootnoteReference"/>
        </w:rPr>
        <w:footnoteReference w:id="30"/>
      </w:r>
      <w:r w:rsidR="00CE4BE5">
        <w:t xml:space="preserve"> </w:t>
      </w:r>
    </w:p>
    <w:p w:rsidR="009B3F94" w:rsidRPr="009B3F94" w:rsidP="009B3BA1" w14:paraId="2F7D4F53" w14:textId="4CE5314F">
      <w:pPr>
        <w:pStyle w:val="ParaNum"/>
        <w:widowControl/>
      </w:pPr>
      <w:r>
        <w:t>Based on the Company’s</w:t>
      </w:r>
      <w:r w:rsidR="0080222C">
        <w:t xml:space="preserve"> sworn</w:t>
      </w:r>
      <w:r>
        <w:t xml:space="preserve"> response,</w:t>
      </w:r>
      <w:r>
        <w:rPr>
          <w:rStyle w:val="FootnoteReference"/>
        </w:rPr>
        <w:footnoteReference w:id="31"/>
      </w:r>
      <w:r>
        <w:t xml:space="preserve"> </w:t>
      </w:r>
      <w:r w:rsidRPr="009B3F94">
        <w:t>the Commission</w:t>
      </w:r>
      <w:r>
        <w:t>, on April 3, 2020,</w:t>
      </w:r>
      <w:r w:rsidRPr="009B3F94">
        <w:t xml:space="preserve"> issued the </w:t>
      </w:r>
      <w:r w:rsidRPr="004620D2" w:rsidR="004F401D">
        <w:rPr>
          <w:i/>
        </w:rPr>
        <w:t>N</w:t>
      </w:r>
      <w:r w:rsidR="007E32D5">
        <w:rPr>
          <w:i/>
        </w:rPr>
        <w:t>AL</w:t>
      </w:r>
      <w:r w:rsidRPr="004620D2">
        <w:rPr>
          <w:i/>
        </w:rPr>
        <w:t xml:space="preserve"> </w:t>
      </w:r>
      <w:r w:rsidRPr="009B3F94">
        <w:t>proposing a $</w:t>
      </w:r>
      <w:r>
        <w:t>685,338</w:t>
      </w:r>
      <w:r w:rsidRPr="009B3F94">
        <w:t xml:space="preserve"> forfeiture </w:t>
      </w:r>
      <w:r w:rsidRPr="004620D2">
        <w:rPr>
          <w:kern w:val="0"/>
          <w:szCs w:val="22"/>
        </w:rPr>
        <w:t>against Sound Around</w:t>
      </w:r>
      <w:r w:rsidR="00DB5DDE">
        <w:rPr>
          <w:kern w:val="0"/>
          <w:szCs w:val="22"/>
        </w:rPr>
        <w:t xml:space="preserve"> and found</w:t>
      </w:r>
      <w:r w:rsidRPr="004620D2">
        <w:rPr>
          <w:kern w:val="0"/>
          <w:szCs w:val="22"/>
        </w:rPr>
        <w:t xml:space="preserve"> that the Company </w:t>
      </w:r>
      <w:r w:rsidRPr="00AE2519">
        <w:t xml:space="preserve">marketed </w:t>
      </w:r>
      <w:r>
        <w:t>32 noncompliant m</w:t>
      </w:r>
      <w:r w:rsidRPr="00AE2519">
        <w:t xml:space="preserve">odels of wireless microphones </w:t>
      </w:r>
      <w:r w:rsidR="000F32FE">
        <w:t>with</w:t>
      </w:r>
      <w:r>
        <w:t xml:space="preserve">in the </w:t>
      </w:r>
      <w:r w:rsidR="000F32FE">
        <w:t>previous</w:t>
      </w:r>
      <w:r>
        <w:t xml:space="preserve"> year that d</w:t>
      </w:r>
      <w:r w:rsidR="000F32FE">
        <w:t>id</w:t>
      </w:r>
      <w:r>
        <w:t xml:space="preserve"> not appear to have been authorized in accordance with the Commission’s rules.</w:t>
      </w:r>
      <w:r w:rsidRPr="004620D2">
        <w:rPr>
          <w:kern w:val="0"/>
          <w:szCs w:val="22"/>
        </w:rPr>
        <w:t xml:space="preserve"> </w:t>
      </w:r>
      <w:r w:rsidR="0022484F">
        <w:rPr>
          <w:kern w:val="0"/>
          <w:szCs w:val="22"/>
        </w:rPr>
        <w:t xml:space="preserve"> </w:t>
      </w:r>
      <w:r w:rsidR="005F4687">
        <w:rPr>
          <w:kern w:val="0"/>
          <w:szCs w:val="22"/>
        </w:rPr>
        <w:t>In t</w:t>
      </w:r>
      <w:r w:rsidRPr="004620D2">
        <w:rPr>
          <w:kern w:val="0"/>
          <w:szCs w:val="22"/>
        </w:rPr>
        <w:t xml:space="preserve">he </w:t>
      </w:r>
      <w:r w:rsidRPr="004620D2" w:rsidR="004F401D">
        <w:rPr>
          <w:i/>
          <w:iCs/>
          <w:kern w:val="0"/>
          <w:szCs w:val="22"/>
        </w:rPr>
        <w:t>N</w:t>
      </w:r>
      <w:r w:rsidR="007E32D5">
        <w:rPr>
          <w:i/>
          <w:iCs/>
          <w:kern w:val="0"/>
          <w:szCs w:val="22"/>
        </w:rPr>
        <w:t>AL</w:t>
      </w:r>
      <w:r w:rsidR="005F4687">
        <w:rPr>
          <w:kern w:val="0"/>
          <w:szCs w:val="22"/>
        </w:rPr>
        <w:t>, the Commission</w:t>
      </w:r>
      <w:r w:rsidRPr="004620D2" w:rsidR="000F32FE">
        <w:rPr>
          <w:i/>
          <w:iCs/>
          <w:kern w:val="0"/>
          <w:szCs w:val="22"/>
        </w:rPr>
        <w:t xml:space="preserve"> </w:t>
      </w:r>
      <w:r w:rsidRPr="004620D2">
        <w:rPr>
          <w:kern w:val="0"/>
          <w:szCs w:val="22"/>
        </w:rPr>
        <w:t xml:space="preserve">found </w:t>
      </w:r>
      <w:r w:rsidRPr="004620D2" w:rsidR="000F32FE">
        <w:rPr>
          <w:kern w:val="0"/>
          <w:szCs w:val="22"/>
        </w:rPr>
        <w:t xml:space="preserve">that </w:t>
      </w:r>
      <w:r w:rsidRPr="004620D2" w:rsidR="000F32FE">
        <w:rPr>
          <w:spacing w:val="-2"/>
        </w:rPr>
        <w:t xml:space="preserve">Sound Around </w:t>
      </w:r>
      <w:r w:rsidRPr="003D5AFE" w:rsidR="000F32FE">
        <w:t xml:space="preserve">apparently willfully and repeatedly violated </w:t>
      </w:r>
      <w:r w:rsidR="000F32FE">
        <w:t>section 302 of the Act and sections</w:t>
      </w:r>
      <w:r w:rsidRPr="003A0D15" w:rsidR="000F32FE">
        <w:t xml:space="preserve"> 2.803</w:t>
      </w:r>
      <w:r w:rsidR="000F32FE">
        <w:t xml:space="preserve"> and 74.851 </w:t>
      </w:r>
      <w:r w:rsidRPr="003A0D15" w:rsidR="000F32FE">
        <w:t>of the Commission’s rules</w:t>
      </w:r>
      <w:r w:rsidR="000F32FE">
        <w:t xml:space="preserve"> when it marketed 32 models of wireless microphones that were noncompliant or not authorized,</w:t>
      </w:r>
      <w:r>
        <w:rPr>
          <w:rStyle w:val="FootnoteReference"/>
          <w:szCs w:val="22"/>
        </w:rPr>
        <w:footnoteReference w:id="32"/>
      </w:r>
      <w:r w:rsidR="000F32FE">
        <w:t xml:space="preserve"> notwithstanding the previously issued </w:t>
      </w:r>
      <w:r w:rsidRPr="004620D2" w:rsidR="000F32FE">
        <w:rPr>
          <w:i/>
          <w:iCs/>
        </w:rPr>
        <w:t>Marketing Citation</w:t>
      </w:r>
      <w:r w:rsidR="000F32FE">
        <w:t xml:space="preserve"> that alerted the Company to its earlier marketing of radio frequency devices in violation of the Act and of the Commission’s equipment marketing rules.  </w:t>
      </w:r>
      <w:r w:rsidR="00924BBB">
        <w:rPr>
          <w:kern w:val="0"/>
          <w:szCs w:val="22"/>
        </w:rPr>
        <w:t>In t</w:t>
      </w:r>
      <w:r w:rsidRPr="004620D2" w:rsidR="00924BBB">
        <w:rPr>
          <w:kern w:val="0"/>
          <w:szCs w:val="22"/>
        </w:rPr>
        <w:t xml:space="preserve">he </w:t>
      </w:r>
      <w:r w:rsidRPr="004620D2" w:rsidR="00924BBB">
        <w:rPr>
          <w:i/>
          <w:iCs/>
          <w:kern w:val="0"/>
          <w:szCs w:val="22"/>
        </w:rPr>
        <w:t>N</w:t>
      </w:r>
      <w:r w:rsidR="00924BBB">
        <w:rPr>
          <w:i/>
          <w:iCs/>
          <w:kern w:val="0"/>
          <w:szCs w:val="22"/>
        </w:rPr>
        <w:t>AL</w:t>
      </w:r>
      <w:r w:rsidR="00924BBB">
        <w:rPr>
          <w:kern w:val="0"/>
          <w:szCs w:val="22"/>
        </w:rPr>
        <w:t xml:space="preserve">, the </w:t>
      </w:r>
      <w:r w:rsidR="005F4687">
        <w:t>Commission</w:t>
      </w:r>
      <w:r w:rsidRPr="004620D2" w:rsidR="000F32FE">
        <w:rPr>
          <w:i/>
          <w:iCs/>
        </w:rPr>
        <w:t xml:space="preserve"> </w:t>
      </w:r>
      <w:r w:rsidRPr="009B3F94">
        <w:t>also proposed a significant upward adjustment o</w:t>
      </w:r>
      <w:r w:rsidR="000F32FE">
        <w:t>f</w:t>
      </w:r>
      <w:r w:rsidRPr="009B3F94">
        <w:t xml:space="preserve"> the total base forfeiture</w:t>
      </w:r>
      <w:r w:rsidR="007840FA">
        <w:t>,</w:t>
      </w:r>
      <w:r w:rsidRPr="009B3F94">
        <w:t xml:space="preserve"> </w:t>
      </w:r>
      <w:r w:rsidR="00591720">
        <w:t>given</w:t>
      </w:r>
      <w:r w:rsidRPr="009B3F94">
        <w:t xml:space="preserve"> the Company’s long record of repeated and continuous </w:t>
      </w:r>
      <w:r w:rsidR="000F32FE">
        <w:t xml:space="preserve">marketing </w:t>
      </w:r>
      <w:r w:rsidRPr="009B3F94">
        <w:t xml:space="preserve">violations and </w:t>
      </w:r>
      <w:r w:rsidR="00EB1908">
        <w:t xml:space="preserve">the egregious nature of the violations, </w:t>
      </w:r>
      <w:r w:rsidR="00ED4437">
        <w:t>because</w:t>
      </w:r>
      <w:r w:rsidR="00EB1908">
        <w:t xml:space="preserve"> the Company marketed two microphone </w:t>
      </w:r>
      <w:r w:rsidR="00EB1908">
        <w:t xml:space="preserve">models that apparently operated in the aviation band and thus had the potential </w:t>
      </w:r>
      <w:r w:rsidR="00591720">
        <w:t>to cause</w:t>
      </w:r>
      <w:r w:rsidR="00EB1908">
        <w:t xml:space="preserve"> harmful interference to a critical public safety radio service</w:t>
      </w:r>
      <w:r w:rsidRPr="009B3F94">
        <w:t>.</w:t>
      </w:r>
      <w:r>
        <w:rPr>
          <w:sz w:val="20"/>
          <w:vertAlign w:val="superscript"/>
        </w:rPr>
        <w:footnoteReference w:id="33"/>
      </w:r>
      <w:r>
        <w:t xml:space="preserve">  </w:t>
      </w:r>
    </w:p>
    <w:p w:rsidR="00EB1908" w:rsidRPr="00EB1908" w:rsidP="009B3BA1" w14:paraId="263D0960" w14:textId="08985F2B">
      <w:pPr>
        <w:pStyle w:val="ParaNum"/>
        <w:widowControl/>
      </w:pPr>
      <w:bookmarkStart w:id="43" w:name="_Ref50103284"/>
      <w:r w:rsidRPr="00EB1908">
        <w:t xml:space="preserve">On </w:t>
      </w:r>
      <w:r>
        <w:t xml:space="preserve">July 10, 2020, Sound Around </w:t>
      </w:r>
      <w:r w:rsidRPr="00EB1908">
        <w:t xml:space="preserve">filed a response to the </w:t>
      </w:r>
      <w:r w:rsidRPr="004620D2" w:rsidR="004620D2">
        <w:rPr>
          <w:i/>
          <w:iCs/>
        </w:rPr>
        <w:t>N</w:t>
      </w:r>
      <w:r w:rsidR="007E32D5">
        <w:rPr>
          <w:i/>
          <w:iCs/>
        </w:rPr>
        <w:t>AL</w:t>
      </w:r>
      <w:r w:rsidR="00F45D4F">
        <w:t>.</w:t>
      </w:r>
      <w:r>
        <w:rPr>
          <w:rStyle w:val="FootnoteReference"/>
        </w:rPr>
        <w:footnoteReference w:id="34"/>
      </w:r>
      <w:r w:rsidR="00F45D4F">
        <w:t xml:space="preserve">  First, Sound Around argues the </w:t>
      </w:r>
      <w:r w:rsidRPr="004620D2" w:rsidR="004620D2">
        <w:rPr>
          <w:i/>
          <w:iCs/>
        </w:rPr>
        <w:t>N</w:t>
      </w:r>
      <w:r w:rsidR="007E32D5">
        <w:rPr>
          <w:i/>
          <w:iCs/>
        </w:rPr>
        <w:t>AL</w:t>
      </w:r>
      <w:r w:rsidRPr="004620D2" w:rsidR="004620D2">
        <w:rPr>
          <w:i/>
          <w:iCs/>
        </w:rPr>
        <w:t xml:space="preserve"> </w:t>
      </w:r>
      <w:r w:rsidR="00F45D4F">
        <w:t xml:space="preserve">should be cancelled because </w:t>
      </w:r>
      <w:r w:rsidR="000C3A15">
        <w:t>it does not prove a violation occurred, including</w:t>
      </w:r>
      <w:r w:rsidR="00D32ECE">
        <w:t xml:space="preserve"> claiming</w:t>
      </w:r>
      <w:r w:rsidR="000C3A15">
        <w:t xml:space="preserve"> that </w:t>
      </w:r>
      <w:r w:rsidR="00446024">
        <w:t>the screenshots of the Sound Around websites showing the microphones with prices and a shopping cart do not prove that a person could have actually purchased a microphone listed for sale</w:t>
      </w:r>
      <w:r w:rsidR="00F45D4F">
        <w:t>.</w:t>
      </w:r>
      <w:r>
        <w:rPr>
          <w:rStyle w:val="FootnoteReference"/>
        </w:rPr>
        <w:footnoteReference w:id="35"/>
      </w:r>
      <w:r w:rsidR="00F45D4F">
        <w:t xml:space="preserve">  Second, Sound Around</w:t>
      </w:r>
      <w:r w:rsidR="00446024">
        <w:t xml:space="preserve"> </w:t>
      </w:r>
      <w:r w:rsidR="004C495B">
        <w:t xml:space="preserve">claims the </w:t>
      </w:r>
      <w:r w:rsidR="004C495B">
        <w:rPr>
          <w:i/>
          <w:iCs/>
        </w:rPr>
        <w:t>Marketing Citation</w:t>
      </w:r>
      <w:r w:rsidR="004C495B">
        <w:t xml:space="preserve"> </w:t>
      </w:r>
      <w:r w:rsidR="00E36C1B">
        <w:t xml:space="preserve">provided insufficient and </w:t>
      </w:r>
      <w:r w:rsidR="00EF54C7">
        <w:t>stale notice to</w:t>
      </w:r>
      <w:r w:rsidR="004C495B">
        <w:t xml:space="preserve"> </w:t>
      </w:r>
      <w:r w:rsidR="0080222C">
        <w:t xml:space="preserve">support </w:t>
      </w:r>
      <w:r w:rsidR="000C3A15">
        <w:t xml:space="preserve">the </w:t>
      </w:r>
      <w:r w:rsidR="000C3A15">
        <w:rPr>
          <w:i/>
          <w:iCs/>
        </w:rPr>
        <w:t>N</w:t>
      </w:r>
      <w:r w:rsidR="007E32D5">
        <w:rPr>
          <w:i/>
          <w:iCs/>
        </w:rPr>
        <w:t>AL</w:t>
      </w:r>
      <w:r w:rsidR="00F45D4F">
        <w:t>.</w:t>
      </w:r>
      <w:r>
        <w:rPr>
          <w:rStyle w:val="FootnoteReference"/>
        </w:rPr>
        <w:footnoteReference w:id="36"/>
      </w:r>
      <w:r w:rsidR="00F45D4F">
        <w:t xml:space="preserve">  </w:t>
      </w:r>
      <w:r w:rsidR="003A1A5E">
        <w:t>Third</w:t>
      </w:r>
      <w:r w:rsidR="00F45D4F">
        <w:t>, Sound Around argues that the</w:t>
      </w:r>
      <w:r w:rsidR="00C457BE">
        <w:t xml:space="preserve"> proposed forfeiture </w:t>
      </w:r>
      <w:r w:rsidR="000C3A15">
        <w:t>should be lowered because some microphones were authorized or should be grouped together</w:t>
      </w:r>
      <w:r w:rsidR="003A1A5E">
        <w:t xml:space="preserve"> for </w:t>
      </w:r>
      <w:r w:rsidR="00184EC3">
        <w:t xml:space="preserve">the </w:t>
      </w:r>
      <w:r w:rsidR="003A1A5E">
        <w:t>purpose of any forfeiture calculation</w:t>
      </w:r>
      <w:r w:rsidR="00C457BE">
        <w:t>.</w:t>
      </w:r>
      <w:r>
        <w:rPr>
          <w:rStyle w:val="FootnoteReference"/>
        </w:rPr>
        <w:footnoteReference w:id="37"/>
      </w:r>
      <w:r w:rsidR="00F45D4F">
        <w:t xml:space="preserve">  </w:t>
      </w:r>
      <w:r w:rsidR="00C457BE">
        <w:t>Finally, the Company claims that the upward adjustments are excessive and unwarranted.</w:t>
      </w:r>
      <w:r>
        <w:rPr>
          <w:rStyle w:val="FootnoteReference"/>
        </w:rPr>
        <w:footnoteReference w:id="38"/>
      </w:r>
      <w:r w:rsidR="00F45D4F">
        <w:t xml:space="preserve"> </w:t>
      </w:r>
      <w:r w:rsidRPr="00EB1908">
        <w:t xml:space="preserve"> </w:t>
      </w:r>
      <w:bookmarkEnd w:id="43"/>
    </w:p>
    <w:p w:rsidR="00E273E3" w:rsidRPr="00344C0B" w:rsidP="009B3BA1" w14:paraId="1B6FD647" w14:textId="65D84BA7">
      <w:pPr>
        <w:pStyle w:val="Heading1"/>
        <w:widowControl/>
      </w:pPr>
      <w:bookmarkStart w:id="44" w:name="_Toc379289000"/>
      <w:bookmarkStart w:id="45" w:name="_Toc379365501"/>
      <w:bookmarkStart w:id="46" w:name="_Toc70939611"/>
      <w:bookmarkStart w:id="47" w:name="_Toc77338930"/>
      <w:bookmarkStart w:id="48" w:name="_Toc94265525"/>
      <w:bookmarkStart w:id="49" w:name="_Toc96075115"/>
      <w:bookmarkStart w:id="50" w:name="_Toc96084561"/>
      <w:bookmarkStart w:id="51" w:name="_Toc96515689"/>
      <w:bookmarkStart w:id="52" w:name="_Toc97719531"/>
      <w:bookmarkStart w:id="53" w:name="_Toc101260708"/>
      <w:bookmarkStart w:id="54" w:name="_Toc101960145"/>
      <w:bookmarkStart w:id="55" w:name="_Toc102041178"/>
      <w:bookmarkStart w:id="56" w:name="_Toc103873737"/>
      <w:bookmarkStart w:id="57" w:name="_Toc103875031"/>
      <w:bookmarkStart w:id="58" w:name="_Toc103875088"/>
      <w:bookmarkStart w:id="59" w:name="_Toc103875171"/>
      <w:r w:rsidRPr="00344C0B">
        <w:t>DISCUSSION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6009E" w:rsidRPr="00344C0B" w:rsidP="009B3BA1" w14:paraId="2C7C10A0" w14:textId="5EC36530">
      <w:pPr>
        <w:pStyle w:val="ParaNum"/>
        <w:widowControl/>
      </w:pPr>
      <w:r>
        <w:t xml:space="preserve">In this Forfeiture Order, we find that </w:t>
      </w:r>
      <w:r w:rsidR="00141B92">
        <w:t xml:space="preserve">Sound Around violated the Act and the Commission’s rules by </w:t>
      </w:r>
      <w:r w:rsidRPr="00AE2519" w:rsidR="00141B92">
        <w:t>market</w:t>
      </w:r>
      <w:r w:rsidR="00141B92">
        <w:t>ing</w:t>
      </w:r>
      <w:r w:rsidRPr="00AE2519" w:rsidR="00141B92">
        <w:t xml:space="preserve"> </w:t>
      </w:r>
      <w:r w:rsidR="00141B92">
        <w:t>32 m</w:t>
      </w:r>
      <w:r w:rsidRPr="00AE2519" w:rsidR="00141B92">
        <w:t xml:space="preserve">odels of wireless microphones </w:t>
      </w:r>
      <w:r w:rsidR="00141B92">
        <w:t>that were noncompliant or not authorized in accordance with the Commission’s rules.</w:t>
      </w:r>
      <w:r w:rsidR="00141B92">
        <w:rPr>
          <w:kern w:val="0"/>
          <w:szCs w:val="22"/>
        </w:rPr>
        <w:t xml:space="preserve">  </w:t>
      </w:r>
      <w:r w:rsidR="00A856F3">
        <w:t xml:space="preserve">In the </w:t>
      </w:r>
      <w:r w:rsidRPr="00A856F3" w:rsidR="00A856F3">
        <w:rPr>
          <w:i/>
          <w:iCs/>
        </w:rPr>
        <w:t>NAL</w:t>
      </w:r>
      <w:r w:rsidR="00A856F3">
        <w:t>, t</w:t>
      </w:r>
      <w:r w:rsidRPr="00344C0B">
        <w:t xml:space="preserve">he </w:t>
      </w:r>
      <w:r w:rsidR="00F6606C">
        <w:t>C</w:t>
      </w:r>
      <w:r w:rsidRPr="00344C0B">
        <w:t>ommission</w:t>
      </w:r>
      <w:r w:rsidRPr="00344C0B" w:rsidR="008D1BE7">
        <w:t xml:space="preserve"> </w:t>
      </w:r>
      <w:r w:rsidR="00F6606C">
        <w:t>p</w:t>
      </w:r>
      <w:r w:rsidRPr="00344C0B" w:rsidR="00E273E3">
        <w:t xml:space="preserve">roposed </w:t>
      </w:r>
      <w:r w:rsidRPr="00344C0B">
        <w:t xml:space="preserve">a </w:t>
      </w:r>
      <w:r w:rsidRPr="00344C0B" w:rsidR="00E273E3">
        <w:t xml:space="preserve">forfeiture in accordance with </w:t>
      </w:r>
      <w:r w:rsidR="002722DC">
        <w:t>s</w:t>
      </w:r>
      <w:r w:rsidRPr="00344C0B" w:rsidR="00E273E3">
        <w:t>ection 503(b) of the Act,</w:t>
      </w:r>
      <w:r>
        <w:rPr>
          <w:rStyle w:val="FootnoteReference"/>
        </w:rPr>
        <w:footnoteReference w:id="39"/>
      </w:r>
      <w:r w:rsidRPr="0007571D" w:rsidR="00E273E3">
        <w:t xml:space="preserve"> </w:t>
      </w:r>
      <w:r w:rsidR="002722DC">
        <w:t>s</w:t>
      </w:r>
      <w:r w:rsidRPr="0007571D" w:rsidR="00E273E3">
        <w:t xml:space="preserve">ection 1.80 of the </w:t>
      </w:r>
      <w:r w:rsidR="00C339C4">
        <w:t>Commission’s r</w:t>
      </w:r>
      <w:r w:rsidRPr="0007571D" w:rsidR="00E273E3">
        <w:t>ules,</w:t>
      </w:r>
      <w:r>
        <w:rPr>
          <w:vertAlign w:val="superscript"/>
        </w:rPr>
        <w:footnoteReference w:id="40"/>
      </w:r>
      <w:r w:rsidRPr="0007571D" w:rsidR="00E273E3">
        <w:t xml:space="preserve"> and the Commissi</w:t>
      </w:r>
      <w:r w:rsidRPr="00344C0B" w:rsidR="00E273E3">
        <w:t xml:space="preserve">on’s </w:t>
      </w:r>
      <w:r w:rsidRPr="00344C0B" w:rsidR="00E273E3">
        <w:rPr>
          <w:i/>
        </w:rPr>
        <w:t xml:space="preserve">Forfeiture Policy </w:t>
      </w:r>
      <w:r w:rsidRPr="00344C0B" w:rsidR="00E273E3">
        <w:rPr>
          <w:rFonts w:eastAsia="MS Mincho"/>
          <w:i/>
          <w:szCs w:val="22"/>
        </w:rPr>
        <w:t>Statement</w:t>
      </w:r>
      <w:r w:rsidRPr="00344C0B" w:rsidR="00E273E3">
        <w:t>.</w:t>
      </w:r>
      <w:r>
        <w:rPr>
          <w:rStyle w:val="FootnoteReference"/>
          <w:szCs w:val="22"/>
        </w:rPr>
        <w:footnoteReference w:id="41"/>
      </w:r>
      <w:r w:rsidRPr="0007571D" w:rsidR="00E273E3">
        <w:t xml:space="preserve">  </w:t>
      </w:r>
      <w:r w:rsidRPr="00344C0B" w:rsidR="00FF4A6D">
        <w:t xml:space="preserve">When we assess forfeitures, </w:t>
      </w:r>
      <w:r w:rsidR="00FF4A6D">
        <w:t>s</w:t>
      </w:r>
      <w:r w:rsidRPr="00344C0B" w:rsidR="00FF4A6D">
        <w:t>ection 503(b)(2)(E)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42"/>
      </w:r>
      <w:r w:rsidRPr="0007571D" w:rsidR="00FF4A6D">
        <w:t xml:space="preserve">  </w:t>
      </w:r>
      <w:r w:rsidR="00AB203D">
        <w:rPr>
          <w:szCs w:val="22"/>
        </w:rPr>
        <w:t>W</w:t>
      </w:r>
      <w:r w:rsidRPr="00344C0B" w:rsidR="006B685D">
        <w:rPr>
          <w:szCs w:val="22"/>
        </w:rPr>
        <w:t>e</w:t>
      </w:r>
      <w:r w:rsidRPr="00344C0B">
        <w:rPr>
          <w:szCs w:val="22"/>
        </w:rPr>
        <w:t xml:space="preserve"> have </w:t>
      </w:r>
      <w:r w:rsidRPr="00344C0B" w:rsidR="006B685D">
        <w:rPr>
          <w:szCs w:val="22"/>
        </w:rPr>
        <w:t xml:space="preserve">fully </w:t>
      </w:r>
      <w:r w:rsidRPr="00344C0B">
        <w:rPr>
          <w:szCs w:val="22"/>
        </w:rPr>
        <w:t xml:space="preserve">considered </w:t>
      </w:r>
      <w:r w:rsidR="00F6606C">
        <w:rPr>
          <w:szCs w:val="22"/>
        </w:rPr>
        <w:t>Sound Around’s</w:t>
      </w:r>
      <w:r w:rsidRPr="0007571D">
        <w:t xml:space="preserve"> </w:t>
      </w:r>
      <w:r w:rsidRPr="00344C0B">
        <w:rPr>
          <w:szCs w:val="22"/>
        </w:rPr>
        <w:t xml:space="preserve">response to the </w:t>
      </w:r>
      <w:r w:rsidRPr="00344C0B">
        <w:rPr>
          <w:i/>
          <w:szCs w:val="22"/>
        </w:rPr>
        <w:t>N</w:t>
      </w:r>
      <w:r w:rsidR="007E32D5">
        <w:rPr>
          <w:i/>
          <w:szCs w:val="22"/>
        </w:rPr>
        <w:t>AL</w:t>
      </w:r>
      <w:r w:rsidRPr="00344C0B">
        <w:rPr>
          <w:szCs w:val="22"/>
        </w:rPr>
        <w:t xml:space="preserve"> </w:t>
      </w:r>
      <w:r w:rsidR="00665DDD">
        <w:rPr>
          <w:szCs w:val="22"/>
        </w:rPr>
        <w:t xml:space="preserve">and </w:t>
      </w:r>
      <w:r w:rsidRPr="00344C0B">
        <w:rPr>
          <w:szCs w:val="22"/>
        </w:rPr>
        <w:t xml:space="preserve">find </w:t>
      </w:r>
      <w:r w:rsidR="005E7EDA">
        <w:rPr>
          <w:szCs w:val="22"/>
        </w:rPr>
        <w:t>none</w:t>
      </w:r>
      <w:r w:rsidR="00A22204">
        <w:rPr>
          <w:szCs w:val="22"/>
        </w:rPr>
        <w:t xml:space="preserve"> of</w:t>
      </w:r>
      <w:r w:rsidRPr="00344C0B">
        <w:rPr>
          <w:szCs w:val="22"/>
        </w:rPr>
        <w:t xml:space="preserve"> </w:t>
      </w:r>
      <w:r w:rsidR="00CE1A91">
        <w:rPr>
          <w:szCs w:val="22"/>
        </w:rPr>
        <w:t xml:space="preserve">its arguments </w:t>
      </w:r>
      <w:r w:rsidRPr="00344C0B">
        <w:rPr>
          <w:szCs w:val="22"/>
        </w:rPr>
        <w:t>persuasive.</w:t>
      </w:r>
      <w:r w:rsidR="00CE1A91">
        <w:rPr>
          <w:szCs w:val="22"/>
        </w:rPr>
        <w:t xml:space="preserve">  </w:t>
      </w:r>
      <w:r w:rsidRPr="00344C0B">
        <w:rPr>
          <w:szCs w:val="22"/>
        </w:rPr>
        <w:t>We therefore affirm the $</w:t>
      </w:r>
      <w:r w:rsidR="00F6606C">
        <w:rPr>
          <w:szCs w:val="22"/>
        </w:rPr>
        <w:t>685,338</w:t>
      </w:r>
      <w:r w:rsidRPr="0007571D">
        <w:rPr>
          <w:szCs w:val="22"/>
        </w:rPr>
        <w:t xml:space="preserve"> forfeiture proposed in the </w:t>
      </w:r>
      <w:r w:rsidRPr="0007571D">
        <w:rPr>
          <w:i/>
          <w:szCs w:val="22"/>
        </w:rPr>
        <w:t>N</w:t>
      </w:r>
      <w:r w:rsidR="007E32D5">
        <w:rPr>
          <w:i/>
          <w:szCs w:val="22"/>
        </w:rPr>
        <w:t>AL</w:t>
      </w:r>
      <w:r w:rsidRPr="00CE1A91">
        <w:rPr>
          <w:iCs/>
          <w:szCs w:val="22"/>
        </w:rPr>
        <w:t>.</w:t>
      </w:r>
      <w:r w:rsidR="00CE1A91">
        <w:rPr>
          <w:iCs/>
          <w:szCs w:val="22"/>
        </w:rPr>
        <w:t xml:space="preserve">  </w:t>
      </w:r>
    </w:p>
    <w:p w:rsidR="003C5EF1" w:rsidP="009B3BA1" w14:paraId="4C6255D5" w14:textId="23C2F4E4">
      <w:pPr>
        <w:pStyle w:val="Heading2"/>
        <w:widowControl/>
      </w:pPr>
      <w:bookmarkStart w:id="60" w:name="_Toc70939612"/>
      <w:bookmarkStart w:id="61" w:name="_Toc77338931"/>
      <w:bookmarkStart w:id="62" w:name="_Toc94265526"/>
      <w:bookmarkStart w:id="63" w:name="_Toc96075116"/>
      <w:bookmarkStart w:id="64" w:name="_Toc96084562"/>
      <w:bookmarkStart w:id="65" w:name="_Toc96515690"/>
      <w:bookmarkStart w:id="66" w:name="_Toc97719532"/>
      <w:bookmarkStart w:id="67" w:name="_Toc101260709"/>
      <w:bookmarkStart w:id="68" w:name="_Toc101960146"/>
      <w:bookmarkStart w:id="69" w:name="_Toc102041179"/>
      <w:bookmarkStart w:id="70" w:name="_Toc103873738"/>
      <w:bookmarkStart w:id="71" w:name="_Toc103875032"/>
      <w:bookmarkStart w:id="72" w:name="_Toc103875089"/>
      <w:bookmarkStart w:id="73" w:name="_Toc103875172"/>
      <w:r>
        <w:t xml:space="preserve">Sound Around Marketed </w:t>
      </w:r>
      <w:r w:rsidR="0057784F">
        <w:t>Wireless Microphones</w:t>
      </w:r>
      <w:r w:rsidR="00D4510F">
        <w:t xml:space="preserve"> That W</w:t>
      </w:r>
      <w:r w:rsidR="0057784F">
        <w:t>ere</w:t>
      </w:r>
      <w:r w:rsidR="00D4510F">
        <w:t xml:space="preserve"> Noncompliant or Not Authorized</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4510F" w:rsidP="009B3BA1" w14:paraId="403D49B2" w14:textId="6C6CFF10">
      <w:pPr>
        <w:pStyle w:val="ParaNum"/>
        <w:widowControl/>
      </w:pPr>
      <w:bookmarkStart w:id="74" w:name="_Ref99366087"/>
      <w:r>
        <w:t>All devices that intentionally emit radio frequency energy and are marketed in the United States, such as the subject wireless microphones marketed by Sound Around, must be properly authorized and identified in accordance with a Commission authorization.</w:t>
      </w:r>
      <w:r>
        <w:rPr>
          <w:rStyle w:val="FootnoteReference"/>
        </w:rPr>
        <w:footnoteReference w:id="43"/>
      </w:r>
      <w:r>
        <w:t xml:space="preserve">  Based on the FCC </w:t>
      </w:r>
      <w:r w:rsidR="00A14219">
        <w:t>IDs</w:t>
      </w:r>
      <w:r>
        <w:t xml:space="preserve"> </w:t>
      </w:r>
      <w:r w:rsidR="00777CE2">
        <w:t>and</w:t>
      </w:r>
      <w:r w:rsidR="00E5728F">
        <w:t>/or</w:t>
      </w:r>
      <w:r w:rsidR="00777CE2">
        <w:t xml:space="preserve"> the operating parameters (including the frequencies of operation) </w:t>
      </w:r>
      <w:r w:rsidR="00DD3CAD">
        <w:t xml:space="preserve">provided </w:t>
      </w:r>
      <w:r>
        <w:t>by Sound Around during the investigation,</w:t>
      </w:r>
      <w:r>
        <w:rPr>
          <w:rStyle w:val="FootnoteReference"/>
        </w:rPr>
        <w:footnoteReference w:id="44"/>
      </w:r>
      <w:r w:rsidR="00924BBB">
        <w:t xml:space="preserve"> </w:t>
      </w:r>
      <w:r w:rsidR="006371F6">
        <w:t xml:space="preserve">and </w:t>
      </w:r>
      <w:r w:rsidRPr="00ED074F" w:rsidR="00ED074F">
        <w:t xml:space="preserve">pursuant to sections </w:t>
      </w:r>
      <w:r w:rsidR="00ED074F">
        <w:t xml:space="preserve">2.803, </w:t>
      </w:r>
      <w:r w:rsidRPr="00ED074F" w:rsidR="00ED074F">
        <w:t xml:space="preserve">74.801, 74.802, and 74.851(f) of the Commission’s rules, all of the wireless microphones at issue here </w:t>
      </w:r>
      <w:r w:rsidR="00962D0B">
        <w:t>were required to</w:t>
      </w:r>
      <w:r w:rsidRPr="00ED074F" w:rsidR="00962D0B">
        <w:t xml:space="preserve"> </w:t>
      </w:r>
      <w:r w:rsidRPr="00ED074F" w:rsidR="00ED074F">
        <w:t>have been authorized in accordance with the Commission’s certification procedure</w:t>
      </w:r>
      <w:r w:rsidR="00DC44BC">
        <w:t>s</w:t>
      </w:r>
      <w:r w:rsidRPr="00ED074F" w:rsidR="00ED074F">
        <w:t xml:space="preserve"> before they could have been marketed in the United States</w:t>
      </w:r>
      <w:r w:rsidRPr="00ED074F">
        <w:t>.</w:t>
      </w:r>
      <w:r>
        <w:rPr>
          <w:rStyle w:val="FootnoteReference"/>
        </w:rPr>
        <w:footnoteReference w:id="45"/>
      </w:r>
      <w:r>
        <w:t xml:space="preserve">  The </w:t>
      </w:r>
      <w:r>
        <w:t xml:space="preserve">32 wireless microphone models at issue here </w:t>
      </w:r>
      <w:r w:rsidR="009D585B">
        <w:t>we</w:t>
      </w:r>
      <w:r>
        <w:t xml:space="preserve">re noncompliant because they </w:t>
      </w:r>
      <w:r w:rsidR="009D585B">
        <w:t>we</w:t>
      </w:r>
      <w:r>
        <w:t>re either (</w:t>
      </w:r>
      <w:r>
        <w:t>i</w:t>
      </w:r>
      <w:r>
        <w:t>)</w:t>
      </w:r>
      <w:r w:rsidR="00173B9A">
        <w:t> </w:t>
      </w:r>
      <w:r>
        <w:t xml:space="preserve">authorized and operating contrary to their authorizations </w:t>
      </w:r>
      <w:r w:rsidR="00C41633">
        <w:t>(</w:t>
      </w:r>
      <w:r w:rsidR="009F4E44">
        <w:t>twenty-three</w:t>
      </w:r>
      <w:r w:rsidR="00C41633">
        <w:t xml:space="preserve"> models) </w:t>
      </w:r>
      <w:r>
        <w:t>or (ii) not authorized at all</w:t>
      </w:r>
      <w:r w:rsidR="00C41633">
        <w:t xml:space="preserve"> (</w:t>
      </w:r>
      <w:r w:rsidR="00356228">
        <w:t>nine</w:t>
      </w:r>
      <w:r w:rsidR="00C41633">
        <w:t xml:space="preserve"> models)</w:t>
      </w:r>
      <w:r>
        <w:t>.</w:t>
      </w:r>
      <w:bookmarkEnd w:id="74"/>
      <w:r>
        <w:t xml:space="preserve">  </w:t>
      </w:r>
      <w:r w:rsidR="00D64E25">
        <w:t xml:space="preserve"> </w:t>
      </w:r>
    </w:p>
    <w:p w:rsidR="009E257B" w:rsidRPr="006F682E" w:rsidP="009B3BA1" w14:paraId="1744A373" w14:textId="7E888792">
      <w:pPr>
        <w:pStyle w:val="ParaNum"/>
        <w:widowControl/>
        <w:rPr>
          <w:color w:val="000000"/>
        </w:rPr>
      </w:pPr>
      <w:bookmarkStart w:id="75" w:name="_Ref101944761"/>
      <w:bookmarkStart w:id="76" w:name="_Ref77337915"/>
      <w:bookmarkStart w:id="77" w:name="_Toc70939615"/>
      <w:r>
        <w:t xml:space="preserve">In its NAL </w:t>
      </w:r>
      <w:r w:rsidR="00EF063E">
        <w:t>R</w:t>
      </w:r>
      <w:r>
        <w:t xml:space="preserve">esponse, </w:t>
      </w:r>
      <w:r w:rsidRPr="006C67AA" w:rsidR="002E2158">
        <w:t>Sound Around never asse</w:t>
      </w:r>
      <w:r w:rsidRPr="006C67AA" w:rsidR="00435414">
        <w:t>rts that</w:t>
      </w:r>
      <w:r w:rsidRPr="006C67AA" w:rsidR="00B855D1">
        <w:t xml:space="preserve"> the Company</w:t>
      </w:r>
      <w:r w:rsidRPr="006C67AA" w:rsidR="00435414">
        <w:t xml:space="preserve"> was not marketing these 32 models of wireless microphones </w:t>
      </w:r>
      <w:r w:rsidRPr="006C67AA" w:rsidR="00675EBE">
        <w:t xml:space="preserve">during the NAL period (from April </w:t>
      </w:r>
      <w:r w:rsidR="00A657AA">
        <w:t>3</w:t>
      </w:r>
      <w:r w:rsidRPr="006C67AA" w:rsidR="00675EBE">
        <w:t>, 2019</w:t>
      </w:r>
      <w:r w:rsidRPr="006C67AA" w:rsidR="00F067FB">
        <w:t xml:space="preserve">, to April </w:t>
      </w:r>
      <w:r w:rsidRPr="006C67AA" w:rsidR="00E33AF5">
        <w:t>3</w:t>
      </w:r>
      <w:r w:rsidRPr="006C67AA" w:rsidR="00F067FB">
        <w:t>, 2020)</w:t>
      </w:r>
      <w:r w:rsidRPr="006C67AA" w:rsidR="00BA42E8">
        <w:t>.</w:t>
      </w:r>
      <w:r>
        <w:rPr>
          <w:rStyle w:val="FootnoteReference"/>
        </w:rPr>
        <w:footnoteReference w:id="46"/>
      </w:r>
      <w:r w:rsidRPr="006C67AA" w:rsidR="00BA42E8">
        <w:t xml:space="preserve">  Rather</w:t>
      </w:r>
      <w:r w:rsidRPr="006C67AA" w:rsidR="00E56069">
        <w:t>, it takes issue with the</w:t>
      </w:r>
      <w:r w:rsidRPr="006C67AA" w:rsidR="001E6786">
        <w:t xml:space="preserve"> Commission’s evidence</w:t>
      </w:r>
      <w:r w:rsidRPr="006C67AA" w:rsidR="00C451CE">
        <w:t>,</w:t>
      </w:r>
      <w:r w:rsidRPr="006C67AA" w:rsidR="009E3897">
        <w:t xml:space="preserve"> makes convoluted and unsupported assertions regar</w:t>
      </w:r>
      <w:r w:rsidRPr="006C67AA" w:rsidR="00C05DF7">
        <w:t xml:space="preserve">ding the Company’s purported inability to have sold products </w:t>
      </w:r>
      <w:r w:rsidR="00AD6A60">
        <w:t xml:space="preserve">promoted </w:t>
      </w:r>
      <w:r w:rsidRPr="006C67AA" w:rsidR="00C05DF7">
        <w:t>on its websites</w:t>
      </w:r>
      <w:r w:rsidRPr="006C67AA" w:rsidR="00C451CE">
        <w:t>, and</w:t>
      </w:r>
      <w:r w:rsidRPr="006C67AA" w:rsidR="000E7823">
        <w:t xml:space="preserve"> sets for</w:t>
      </w:r>
      <w:r w:rsidRPr="006C67AA" w:rsidR="006C67AA">
        <w:t>th</w:t>
      </w:r>
      <w:r w:rsidRPr="006C67AA" w:rsidR="000E7823">
        <w:t xml:space="preserve"> an incorrect legal standard for what constitutes </w:t>
      </w:r>
      <w:r w:rsidRPr="006C67AA" w:rsidR="00481FDA">
        <w:t>equipment marketing</w:t>
      </w:r>
      <w:r w:rsidR="005D6FE2">
        <w:t>.</w:t>
      </w:r>
      <w:r>
        <w:rPr>
          <w:rStyle w:val="FootnoteReference"/>
        </w:rPr>
        <w:footnoteReference w:id="47"/>
      </w:r>
      <w:r w:rsidR="000570E9">
        <w:t xml:space="preserve">  </w:t>
      </w:r>
      <w:r w:rsidRPr="00295161" w:rsidR="005F6FF7">
        <w:t xml:space="preserve">Sound Around argues that although the Commission identified in the </w:t>
      </w:r>
      <w:r w:rsidRPr="00295161" w:rsidR="005F6FF7">
        <w:rPr>
          <w:i/>
          <w:iCs/>
        </w:rPr>
        <w:t>NAL</w:t>
      </w:r>
      <w:r w:rsidRPr="00295161" w:rsidR="005F6FF7">
        <w:t xml:space="preserve"> two screenshots</w:t>
      </w:r>
      <w:r w:rsidR="00FC0FF2">
        <w:t xml:space="preserve"> (April 9, 2019 screenshot of pyleusa.com; January 20, 2020 screenshot of pyleaudio.com)</w:t>
      </w:r>
      <w:r w:rsidRPr="00295161" w:rsidR="005F6FF7">
        <w:t xml:space="preserve"> </w:t>
      </w:r>
      <w:r w:rsidR="006371F6">
        <w:t>demonstrating</w:t>
      </w:r>
      <w:r w:rsidRPr="00295161" w:rsidR="005F6FF7">
        <w:t xml:space="preserve"> marketing</w:t>
      </w:r>
      <w:r w:rsidR="006371F6">
        <w:t xml:space="preserve"> efforts</w:t>
      </w:r>
      <w:r w:rsidRPr="00295161" w:rsidR="005F6FF7">
        <w:t xml:space="preserve">, those websites did not actually allow anyone to purchase anything, and it was only in March 2020 that Sound Around’s </w:t>
      </w:r>
      <w:r w:rsidR="00295161">
        <w:t>pyleusa.com</w:t>
      </w:r>
      <w:r w:rsidRPr="00295161" w:rsidR="005F6FF7">
        <w:t xml:space="preserve"> </w:t>
      </w:r>
      <w:r w:rsidR="00050FEF">
        <w:t>website</w:t>
      </w:r>
      <w:r w:rsidR="00783416">
        <w:t xml:space="preserve"> began to</w:t>
      </w:r>
      <w:r w:rsidR="00050FEF">
        <w:t xml:space="preserve"> </w:t>
      </w:r>
      <w:r w:rsidRPr="00295161" w:rsidR="005F6FF7">
        <w:t>process sales.</w:t>
      </w:r>
      <w:r>
        <w:rPr>
          <w:rStyle w:val="FootnoteReference"/>
        </w:rPr>
        <w:footnoteReference w:id="48"/>
      </w:r>
      <w:r w:rsidRPr="00295161" w:rsidR="005F6FF7">
        <w:t xml:space="preserve">  </w:t>
      </w:r>
      <w:r w:rsidRPr="00295161" w:rsidR="000570E9">
        <w:t xml:space="preserve">Sound Around </w:t>
      </w:r>
      <w:r w:rsidRPr="00295161" w:rsidR="004447BF">
        <w:t>further</w:t>
      </w:r>
      <w:r w:rsidRPr="00295161" w:rsidR="000570E9">
        <w:t xml:space="preserve"> claims that to prove a violation of the equipment marketing rules, the Commission must show that the</w:t>
      </w:r>
      <w:r w:rsidR="000570E9">
        <w:t xml:space="preserve"> Company had the “the intention or ability to sell or lease” the wireless microphones at issue</w:t>
      </w:r>
      <w:r w:rsidR="00FC0FF2">
        <w:t>,</w:t>
      </w:r>
      <w:r w:rsidR="000570E9">
        <w:t xml:space="preserve"> and that screenshots of its websites with the wireless microphones with prices, a shopping cart, and purchase information do not prove that a person could have actually bought one of the microphones.</w:t>
      </w:r>
      <w:r>
        <w:rPr>
          <w:rStyle w:val="FootnoteReference"/>
        </w:rPr>
        <w:footnoteReference w:id="49"/>
      </w:r>
      <w:r w:rsidR="00DD3CAD">
        <w:t xml:space="preserve">  </w:t>
      </w:r>
      <w:r w:rsidR="000570E9">
        <w:t xml:space="preserve">Sound Around essentially argues it had no intention or ability to sell these microphones on either of its websites </w:t>
      </w:r>
      <w:r w:rsidR="00760032">
        <w:t xml:space="preserve">during the </w:t>
      </w:r>
      <w:r w:rsidRPr="005E7107" w:rsidR="00760032">
        <w:t>NAL</w:t>
      </w:r>
      <w:r w:rsidR="00760032">
        <w:t xml:space="preserve"> period</w:t>
      </w:r>
      <w:r w:rsidR="000570E9">
        <w:t>.</w:t>
      </w:r>
      <w:bookmarkEnd w:id="75"/>
      <w:r w:rsidR="000570E9">
        <w:t xml:space="preserve">  </w:t>
      </w:r>
    </w:p>
    <w:p w:rsidR="009700BF" w:rsidRPr="009E1B23" w:rsidP="009B3BA1" w14:paraId="007BAA28" w14:textId="7BB59B54">
      <w:pPr>
        <w:pStyle w:val="ParaNum"/>
        <w:widowControl/>
        <w:rPr>
          <w:color w:val="000000"/>
        </w:rPr>
      </w:pPr>
      <w:bookmarkStart w:id="78" w:name="_Ref99365777"/>
      <w:r>
        <w:t xml:space="preserve">We disagree.  </w:t>
      </w:r>
      <w:bookmarkEnd w:id="76"/>
      <w:r w:rsidRPr="00A657AA" w:rsidR="00B60160">
        <w:t>Notwithstanding Sound Around’s protests to the contrary, the Commission established that the Company marketed 32 models of noncompliant wireless microphones that were not authorized or were operating contrary to their authorizations.</w:t>
      </w:r>
      <w:r>
        <w:rPr>
          <w:rStyle w:val="FootnoteReference"/>
        </w:rPr>
        <w:footnoteReference w:id="50"/>
      </w:r>
      <w:r w:rsidR="00B60160">
        <w:t xml:space="preserve">  </w:t>
      </w:r>
      <w:r w:rsidR="007D4039">
        <w:t>W</w:t>
      </w:r>
      <w:r w:rsidR="009E257B">
        <w:t xml:space="preserve">e find as a factual matter that Sound Around was marketing the subject wireless microphones during the period covered by the </w:t>
      </w:r>
      <w:r w:rsidRPr="009E1B23" w:rsidR="009E257B">
        <w:rPr>
          <w:i/>
          <w:iCs/>
        </w:rPr>
        <w:t>NAL</w:t>
      </w:r>
      <w:r w:rsidR="00440C3B">
        <w:t xml:space="preserve">, </w:t>
      </w:r>
      <w:r w:rsidR="00223C8A">
        <w:t>based upon the April 2019 screenshot</w:t>
      </w:r>
      <w:r>
        <w:t>, the January 2020 screenshot,</w:t>
      </w:r>
      <w:r w:rsidR="00223C8A">
        <w:t xml:space="preserve"> and the Company’s admissions in its sworn responses to the Commission</w:t>
      </w:r>
      <w:r w:rsidR="009E257B">
        <w:t xml:space="preserve">.  Nothing presented by Sound Around </w:t>
      </w:r>
      <w:r w:rsidR="00342A5A">
        <w:t xml:space="preserve">in its NAL Response </w:t>
      </w:r>
      <w:r w:rsidR="009E257B">
        <w:t xml:space="preserve">convinces us that a consumer could not buy one of the subject microphones from Sound Around during </w:t>
      </w:r>
      <w:r w:rsidRPr="002B6F1F" w:rsidR="009E257B">
        <w:t xml:space="preserve">the NAL </w:t>
      </w:r>
      <w:r w:rsidR="009E257B">
        <w:t>period.</w:t>
      </w:r>
      <w:r>
        <w:rPr>
          <w:rStyle w:val="FootnoteReference"/>
        </w:rPr>
        <w:footnoteReference w:id="51"/>
      </w:r>
      <w:r w:rsidR="00066DD7">
        <w:t xml:space="preserve">  Notably, Sound Around never states the wireless microphones could not be purchased from the Company</w:t>
      </w:r>
      <w:r w:rsidR="001B7DEA">
        <w:t xml:space="preserve">.  Rather, </w:t>
      </w:r>
      <w:r w:rsidR="00631DF5">
        <w:t>it merely claims, without supporting evidence</w:t>
      </w:r>
      <w:r w:rsidR="00821861">
        <w:t xml:space="preserve">, </w:t>
      </w:r>
      <w:r w:rsidR="00631DF5">
        <w:t xml:space="preserve">that </w:t>
      </w:r>
      <w:r w:rsidR="00821861">
        <w:t xml:space="preserve">the Company’s websites did not </w:t>
      </w:r>
      <w:r w:rsidR="009330FC">
        <w:t>allow purchases</w:t>
      </w:r>
      <w:r w:rsidR="00066DD7">
        <w:t>.</w:t>
      </w:r>
      <w:r w:rsidR="009E257B">
        <w:t xml:space="preserve">  </w:t>
      </w:r>
      <w:r w:rsidR="00F40553">
        <w:t xml:space="preserve">Yet, </w:t>
      </w:r>
      <w:r w:rsidR="00FB56B2">
        <w:t>t</w:t>
      </w:r>
      <w:r w:rsidR="000570E9">
        <w:t>he Company</w:t>
      </w:r>
      <w:r w:rsidR="00F40553">
        <w:t>,</w:t>
      </w:r>
      <w:r w:rsidR="00295FF6">
        <w:t xml:space="preserve"> in its</w:t>
      </w:r>
      <w:r w:rsidR="000570E9">
        <w:t xml:space="preserve"> LOI responses</w:t>
      </w:r>
      <w:r w:rsidR="00F40553">
        <w:t>,</w:t>
      </w:r>
      <w:r w:rsidR="000570E9">
        <w:t xml:space="preserve"> admitted </w:t>
      </w:r>
      <w:r w:rsidR="00573054">
        <w:t xml:space="preserve">that </w:t>
      </w:r>
      <w:r w:rsidR="000570E9">
        <w:t>marketing</w:t>
      </w:r>
      <w:r w:rsidR="00B02B0B">
        <w:t xml:space="preserve"> </w:t>
      </w:r>
      <w:r w:rsidR="00F40553">
        <w:t>occurred</w:t>
      </w:r>
      <w:r w:rsidR="000570E9">
        <w:t xml:space="preserve"> on the websites and never </w:t>
      </w:r>
      <w:r w:rsidR="007076D4">
        <w:t>stated</w:t>
      </w:r>
      <w:r w:rsidR="000570E9">
        <w:t xml:space="preserve"> that any of </w:t>
      </w:r>
      <w:r w:rsidR="00180D5A">
        <w:t>its</w:t>
      </w:r>
      <w:r w:rsidR="000570E9">
        <w:t xml:space="preserve"> websites </w:t>
      </w:r>
      <w:r w:rsidR="009330FC">
        <w:t xml:space="preserve">did not </w:t>
      </w:r>
      <w:r w:rsidR="00594319">
        <w:t>facilitate</w:t>
      </w:r>
      <w:r w:rsidR="009330FC">
        <w:t xml:space="preserve"> purchases</w:t>
      </w:r>
      <w:r w:rsidR="000570E9">
        <w:t>.</w:t>
      </w:r>
      <w:bookmarkStart w:id="79" w:name="_Ref101260170"/>
      <w:r>
        <w:rPr>
          <w:rStyle w:val="FootnoteReference"/>
        </w:rPr>
        <w:footnoteReference w:id="52"/>
      </w:r>
      <w:bookmarkStart w:id="80" w:name="_Ref70335252"/>
      <w:bookmarkEnd w:id="79"/>
      <w:r w:rsidR="00821861">
        <w:t xml:space="preserve">  </w:t>
      </w:r>
      <w:r w:rsidR="006730EB">
        <w:t>In particular, i</w:t>
      </w:r>
      <w:r w:rsidR="000570E9">
        <w:t xml:space="preserve">n Sound </w:t>
      </w:r>
      <w:r w:rsidR="000570E9">
        <w:t xml:space="preserve">Around’s </w:t>
      </w:r>
      <w:r w:rsidRPr="003E3EC9" w:rsidR="003E3EC9">
        <w:t>September 1st 2017 Response</w:t>
      </w:r>
      <w:r w:rsidR="000570E9">
        <w:t xml:space="preserve">, </w:t>
      </w:r>
      <w:r w:rsidR="00563DE8">
        <w:t>the Company</w:t>
      </w:r>
      <w:r w:rsidR="000570E9">
        <w:t xml:space="preserve"> state</w:t>
      </w:r>
      <w:r w:rsidR="000F24DD">
        <w:t>d</w:t>
      </w:r>
      <w:r w:rsidR="000570E9">
        <w:t xml:space="preserve"> it own</w:t>
      </w:r>
      <w:r w:rsidR="000F24DD">
        <w:t>ed</w:t>
      </w:r>
      <w:r w:rsidR="000570E9">
        <w:t xml:space="preserve"> </w:t>
      </w:r>
      <w:r w:rsidR="00A0564F">
        <w:t>and</w:t>
      </w:r>
      <w:r w:rsidR="000570E9">
        <w:t xml:space="preserve"> use</w:t>
      </w:r>
      <w:r w:rsidR="000F24DD">
        <w:t>d</w:t>
      </w:r>
      <w:r w:rsidR="000570E9">
        <w:t xml:space="preserve"> two websites:  pyleaudio.com and pyleusa.com.</w:t>
      </w:r>
      <w:r>
        <w:rPr>
          <w:rStyle w:val="FootnoteReference"/>
        </w:rPr>
        <w:footnoteReference w:id="53"/>
      </w:r>
      <w:r w:rsidR="000570E9">
        <w:t xml:space="preserve">  When asked to provide copies of marketing materials, including “offers for sale,” the Company responded</w:t>
      </w:r>
      <w:r w:rsidR="003617C6">
        <w:t>,</w:t>
      </w:r>
      <w:r w:rsidR="000570E9">
        <w:t xml:space="preserve"> “See </w:t>
      </w:r>
      <w:r w:rsidR="00E1247F">
        <w:t xml:space="preserve">company </w:t>
      </w:r>
      <w:r w:rsidR="000570E9">
        <w:t>website</w:t>
      </w:r>
      <w:r w:rsidR="00E83504">
        <w:t>,</w:t>
      </w:r>
      <w:r w:rsidR="000570E9">
        <w:t>”</w:t>
      </w:r>
      <w:r w:rsidR="00A0564F">
        <w:t xml:space="preserve"> after identifying pyleusa.com and pyleaudio.com a</w:t>
      </w:r>
      <w:r w:rsidR="0001696B">
        <w:t>s</w:t>
      </w:r>
      <w:r w:rsidR="00A0564F">
        <w:t xml:space="preserve"> the Company’s websites.</w:t>
      </w:r>
      <w:r>
        <w:rPr>
          <w:rStyle w:val="FootnoteReference"/>
        </w:rPr>
        <w:footnoteReference w:id="54"/>
      </w:r>
      <w:r w:rsidR="000570E9">
        <w:t xml:space="preserve">  </w:t>
      </w:r>
      <w:r w:rsidR="00AB72C3">
        <w:t>Despite</w:t>
      </w:r>
      <w:r w:rsidR="005A404E">
        <w:t xml:space="preserve"> providing </w:t>
      </w:r>
      <w:r w:rsidR="004C42BE">
        <w:t xml:space="preserve">three </w:t>
      </w:r>
      <w:r w:rsidR="005A404E">
        <w:t>LOI responses</w:t>
      </w:r>
      <w:r w:rsidR="004C42BE">
        <w:t xml:space="preserve"> and two additional submissions</w:t>
      </w:r>
      <w:r w:rsidR="005A404E">
        <w:t xml:space="preserve">, </w:t>
      </w:r>
      <w:r w:rsidR="000570E9">
        <w:t xml:space="preserve">Sound Around never </w:t>
      </w:r>
      <w:r w:rsidR="004C42BE">
        <w:t>indicated</w:t>
      </w:r>
      <w:r w:rsidR="000570E9">
        <w:t xml:space="preserve"> that pyleusa.com </w:t>
      </w:r>
      <w:r w:rsidR="00A657AA">
        <w:t xml:space="preserve">or pyleaudio.com </w:t>
      </w:r>
      <w:r w:rsidR="000570E9">
        <w:t>w</w:t>
      </w:r>
      <w:r w:rsidR="00A657AA">
        <w:t>ere</w:t>
      </w:r>
      <w:r w:rsidR="000570E9">
        <w:t xml:space="preserve"> not</w:t>
      </w:r>
      <w:r w:rsidR="00A87314">
        <w:t xml:space="preserve"> capable of processing sales</w:t>
      </w:r>
      <w:r w:rsidR="000570E9">
        <w:t>.</w:t>
      </w:r>
      <w:bookmarkEnd w:id="80"/>
      <w:r w:rsidR="004C42BE">
        <w:t xml:space="preserve">  To the contrary, in his declaration accompanying the 2019 LOI Response, Company officer Jerry Brach state</w:t>
      </w:r>
      <w:r w:rsidR="003617C6">
        <w:t>d</w:t>
      </w:r>
      <w:r w:rsidR="004C42BE">
        <w:t xml:space="preserve"> that Exhibit A of the response provide</w:t>
      </w:r>
      <w:r w:rsidR="002D37FC">
        <w:t>d</w:t>
      </w:r>
      <w:r w:rsidR="004C42BE">
        <w:t xml:space="preserve"> frequencies</w:t>
      </w:r>
      <w:r w:rsidR="00A0564F">
        <w:t xml:space="preserve"> for wireless microphones</w:t>
      </w:r>
      <w:r w:rsidR="004C42BE">
        <w:t xml:space="preserve"> “advertised</w:t>
      </w:r>
      <w:r w:rsidR="0041501F">
        <w:t>” on pyleusa.com as of April 29, 2019.</w:t>
      </w:r>
      <w:r>
        <w:rPr>
          <w:rStyle w:val="FootnoteReference"/>
        </w:rPr>
        <w:footnoteReference w:id="55"/>
      </w:r>
      <w:bookmarkEnd w:id="78"/>
      <w:r w:rsidR="00821861">
        <w:t xml:space="preserve">  </w:t>
      </w:r>
    </w:p>
    <w:p w:rsidR="009E1B23" w:rsidRPr="009E1B23" w:rsidP="009B3BA1" w14:paraId="1BFA2E2B" w14:textId="3C536F3E">
      <w:pPr>
        <w:pStyle w:val="ParaNum"/>
        <w:widowControl/>
        <w:rPr>
          <w:color w:val="000000"/>
        </w:rPr>
      </w:pPr>
      <w:bookmarkStart w:id="82" w:name="_Ref101954836"/>
      <w:r>
        <w:t xml:space="preserve">During the </w:t>
      </w:r>
      <w:r w:rsidR="000F1FFC">
        <w:t>NAL period,</w:t>
      </w:r>
      <w:r w:rsidR="006746A7">
        <w:t xml:space="preserve"> </w:t>
      </w:r>
      <w:r w:rsidR="009E257B">
        <w:t>Sound Around’s websites contained far more than a mere depiction of a product and a shopping cart</w:t>
      </w:r>
      <w:r w:rsidR="009700BF">
        <w:t xml:space="preserve">, undermining </w:t>
      </w:r>
      <w:r w:rsidR="00184EC3">
        <w:t>its</w:t>
      </w:r>
      <w:r w:rsidR="009700BF">
        <w:t xml:space="preserve"> claim that sales were not possible on plyeusa.com or pyleaudio.com</w:t>
      </w:r>
      <w:r w:rsidR="009E257B">
        <w:t xml:space="preserve">.  </w:t>
      </w:r>
      <w:r w:rsidR="000570E9">
        <w:t>The April 9, 2019</w:t>
      </w:r>
      <w:r w:rsidR="006F262A">
        <w:t xml:space="preserve"> and January 28, 2020</w:t>
      </w:r>
      <w:r w:rsidR="000570E9">
        <w:t xml:space="preserve"> screenshot</w:t>
      </w:r>
      <w:r w:rsidR="003513D6">
        <w:t>s</w:t>
      </w:r>
      <w:r w:rsidR="000570E9">
        <w:t xml:space="preserve"> evidence marketing by Sound Around of the subject wireless microphones</w:t>
      </w:r>
      <w:r w:rsidR="0007316C">
        <w:t>,</w:t>
      </w:r>
      <w:r w:rsidR="000570E9">
        <w:t xml:space="preserve"> and Sound Around’s claims to the contrary are specious</w:t>
      </w:r>
      <w:r w:rsidR="00492076">
        <w:t xml:space="preserve">.  </w:t>
      </w:r>
      <w:r w:rsidR="000570E9">
        <w:t xml:space="preserve">As described in the </w:t>
      </w:r>
      <w:r w:rsidRPr="000B0640" w:rsidR="000570E9">
        <w:rPr>
          <w:i/>
          <w:iCs/>
        </w:rPr>
        <w:t>N</w:t>
      </w:r>
      <w:r w:rsidR="007E32D5">
        <w:rPr>
          <w:i/>
          <w:iCs/>
        </w:rPr>
        <w:t>AL</w:t>
      </w:r>
      <w:r w:rsidR="000570E9">
        <w:t>, on April 9, 2019, the</w:t>
      </w:r>
      <w:r w:rsidRPr="00696AF6" w:rsidR="000570E9">
        <w:t xml:space="preserve"> Division </w:t>
      </w:r>
      <w:r w:rsidR="000570E9">
        <w:t xml:space="preserve">took a </w:t>
      </w:r>
      <w:r w:rsidRPr="00696AF6" w:rsidR="000570E9">
        <w:t xml:space="preserve">screenshot </w:t>
      </w:r>
      <w:r w:rsidR="000570E9">
        <w:t>of one of Sound Around’s websites</w:t>
      </w:r>
      <w:r w:rsidRPr="00696AF6" w:rsidR="000570E9">
        <w:t>, pyleusa.com</w:t>
      </w:r>
      <w:r w:rsidR="000570E9">
        <w:t>, which showed all of the</w:t>
      </w:r>
      <w:r w:rsidRPr="00696AF6" w:rsidR="000570E9">
        <w:t xml:space="preserve"> wireless microphone models</w:t>
      </w:r>
      <w:r w:rsidR="000570E9">
        <w:t xml:space="preserve"> that were being marketed by the Company at that time</w:t>
      </w:r>
      <w:r w:rsidR="00FD483C">
        <w:t xml:space="preserve"> and</w:t>
      </w:r>
      <w:r w:rsidR="000570E9">
        <w:t xml:space="preserve"> amounted to 82 microphone</w:t>
      </w:r>
      <w:r w:rsidR="005902D3">
        <w:t xml:space="preserve"> models</w:t>
      </w:r>
      <w:r w:rsidR="000570E9">
        <w:t>.</w:t>
      </w:r>
      <w:bookmarkStart w:id="83" w:name="_Ref30495564"/>
      <w:r>
        <w:rPr>
          <w:rStyle w:val="FootnoteReference"/>
        </w:rPr>
        <w:footnoteReference w:id="56"/>
      </w:r>
      <w:bookmarkEnd w:id="83"/>
      <w:r w:rsidR="000570E9">
        <w:t xml:space="preserve">  </w:t>
      </w:r>
      <w:r w:rsidR="001A6476">
        <w:t>T</w:t>
      </w:r>
      <w:r w:rsidR="000570E9">
        <w:t xml:space="preserve">he website </w:t>
      </w:r>
      <w:r w:rsidR="001A6476">
        <w:t xml:space="preserve">contained no </w:t>
      </w:r>
      <w:r w:rsidR="000570E9">
        <w:t>indicat</w:t>
      </w:r>
      <w:r w:rsidR="001A6476">
        <w:t>ion</w:t>
      </w:r>
      <w:r w:rsidR="000570E9">
        <w:t xml:space="preserve"> that the models being advertised could not actually be purchased at the time</w:t>
      </w:r>
      <w:r w:rsidR="002D37FC">
        <w:t>,</w:t>
      </w:r>
      <w:r w:rsidR="000570E9">
        <w:t xml:space="preserve"> and a company officer under penalty of perjury provided a list of advertised frequencies for</w:t>
      </w:r>
      <w:r w:rsidR="006B3ECA">
        <w:t xml:space="preserve"> each of</w:t>
      </w:r>
      <w:r w:rsidR="000570E9">
        <w:t xml:space="preserve"> the</w:t>
      </w:r>
      <w:r w:rsidR="006B3ECA">
        <w:t>se</w:t>
      </w:r>
      <w:r w:rsidR="000570E9">
        <w:t xml:space="preserve"> devices.</w:t>
      </w:r>
      <w:r>
        <w:rPr>
          <w:rStyle w:val="FootnoteReference"/>
        </w:rPr>
        <w:footnoteReference w:id="57"/>
      </w:r>
      <w:r w:rsidR="000570E9">
        <w:t xml:space="preserve">  The screenshot show</w:t>
      </w:r>
      <w:r w:rsidR="003274C9">
        <w:t>ed</w:t>
      </w:r>
      <w:r w:rsidR="000570E9">
        <w:t xml:space="preserve"> the website contain</w:t>
      </w:r>
      <w:r w:rsidR="003274C9">
        <w:t>ed</w:t>
      </w:r>
      <w:r w:rsidR="000570E9">
        <w:t xml:space="preserve"> images, descriptions, and prices of the wireless microphones.  The web address of the website shown in the screenshot include</w:t>
      </w:r>
      <w:r w:rsidR="003274C9">
        <w:t>d</w:t>
      </w:r>
      <w:r w:rsidR="000570E9">
        <w:t xml:space="preserve"> the word “shop.”  The screenshot include</w:t>
      </w:r>
      <w:r w:rsidR="003274C9">
        <w:t>d</w:t>
      </w:r>
      <w:r w:rsidR="000570E9">
        <w:t xml:space="preserve"> a banner from the website that includes the menu option “SHOP.”  The screenshot </w:t>
      </w:r>
      <w:r w:rsidR="002D37FC">
        <w:t xml:space="preserve">also </w:t>
      </w:r>
      <w:r w:rsidR="000570E9">
        <w:t>include</w:t>
      </w:r>
      <w:r w:rsidR="003274C9">
        <w:t>d</w:t>
      </w:r>
      <w:r w:rsidR="000570E9">
        <w:t xml:space="preserve"> text from the website</w:t>
      </w:r>
      <w:r w:rsidR="00FC59DA">
        <w:t xml:space="preserve"> stating</w:t>
      </w:r>
      <w:r w:rsidR="000570E9">
        <w:t xml:space="preserve"> to “Become a Dealer.”  The screenshot show</w:t>
      </w:r>
      <w:r w:rsidR="00FC59DA">
        <w:t>ed</w:t>
      </w:r>
      <w:r w:rsidR="000570E9">
        <w:t xml:space="preserve"> a shopping cart in the upper righthand corner.  The screenshot </w:t>
      </w:r>
      <w:r w:rsidR="00FC59DA">
        <w:t xml:space="preserve">also </w:t>
      </w:r>
      <w:r w:rsidR="000570E9">
        <w:t>show</w:t>
      </w:r>
      <w:r w:rsidR="00FC59DA">
        <w:t>ed</w:t>
      </w:r>
      <w:r w:rsidR="000570E9">
        <w:t xml:space="preserve"> if each model </w:t>
      </w:r>
      <w:r w:rsidR="00FC59DA">
        <w:t>wa</w:t>
      </w:r>
      <w:r w:rsidR="000570E9">
        <w:t>s “out of stock” or available to “ADD TO CART.”</w:t>
      </w:r>
      <w:r>
        <w:rPr>
          <w:rStyle w:val="FootnoteReference"/>
        </w:rPr>
        <w:footnoteReference w:id="58"/>
      </w:r>
      <w:r w:rsidR="000570E9">
        <w:t xml:space="preserve">  A filter option was displayed on the left-hand side of the website that allowed a viewer to “SHOP BY” categories </w:t>
      </w:r>
      <w:r w:rsidR="00FC59DA">
        <w:t>such as</w:t>
      </w:r>
      <w:r w:rsidR="000570E9">
        <w:t xml:space="preserve"> price, stock status (discontinued or out of stock), or product condition (discontinued or refurbished), among others.  Several of the models displayed star ratings based on reviews, indicating a purchaser </w:t>
      </w:r>
      <w:r w:rsidR="00A05EB7">
        <w:t xml:space="preserve">had </w:t>
      </w:r>
      <w:r w:rsidR="000570E9">
        <w:t xml:space="preserve">left a review of the model.  </w:t>
      </w:r>
      <w:r w:rsidR="0001696B">
        <w:rPr>
          <w:color w:val="000000"/>
        </w:rPr>
        <w:t>Likewise, t</w:t>
      </w:r>
      <w:r>
        <w:rPr>
          <w:color w:val="000000"/>
        </w:rPr>
        <w:t>he January 28, 2020 screenshot include</w:t>
      </w:r>
      <w:r w:rsidR="00FC59DA">
        <w:rPr>
          <w:color w:val="000000"/>
        </w:rPr>
        <w:t>d</w:t>
      </w:r>
      <w:r>
        <w:rPr>
          <w:color w:val="000000"/>
        </w:rPr>
        <w:t xml:space="preserve"> many of the same indications of marketing, including menu options to “Become a Dealer” and Manufacturer Suggested Retail Prices (MSRPs) for many wireless microphone models, including</w:t>
      </w:r>
      <w:r w:rsidR="00F7577F">
        <w:rPr>
          <w:color w:val="000000"/>
        </w:rPr>
        <w:t xml:space="preserve"> each of</w:t>
      </w:r>
      <w:r>
        <w:rPr>
          <w:color w:val="000000"/>
        </w:rPr>
        <w:t xml:space="preserve"> the ones identified in the </w:t>
      </w:r>
      <w:r>
        <w:rPr>
          <w:i/>
          <w:iCs/>
          <w:color w:val="000000"/>
        </w:rPr>
        <w:t>NAL</w:t>
      </w:r>
      <w:r>
        <w:rPr>
          <w:color w:val="000000"/>
        </w:rPr>
        <w:t>.</w:t>
      </w:r>
      <w:bookmarkStart w:id="84" w:name="_Ref99378858"/>
      <w:r>
        <w:rPr>
          <w:rStyle w:val="FootnoteReference"/>
        </w:rPr>
        <w:footnoteReference w:id="59"/>
      </w:r>
      <w:bookmarkEnd w:id="82"/>
      <w:bookmarkEnd w:id="84"/>
    </w:p>
    <w:p w:rsidR="009700BF" w:rsidP="009B3BA1" w14:paraId="4FE4EBD3" w14:textId="7442395C">
      <w:pPr>
        <w:pStyle w:val="ParaNum"/>
        <w:widowControl/>
        <w:rPr>
          <w:color w:val="000000"/>
        </w:rPr>
      </w:pPr>
      <w:r w:rsidRPr="00851E96">
        <w:rPr>
          <w:color w:val="000000"/>
        </w:rPr>
        <w:t xml:space="preserve">Sound Around </w:t>
      </w:r>
      <w:r>
        <w:rPr>
          <w:color w:val="000000"/>
        </w:rPr>
        <w:t>also argues</w:t>
      </w:r>
      <w:r w:rsidRPr="001B3A5B">
        <w:rPr>
          <w:color w:val="000000"/>
        </w:rPr>
        <w:t xml:space="preserve"> that</w:t>
      </w:r>
      <w:r w:rsidR="004D260E">
        <w:rPr>
          <w:color w:val="000000"/>
        </w:rPr>
        <w:t xml:space="preserve"> </w:t>
      </w:r>
      <w:r w:rsidRPr="00851E96" w:rsidR="004D260E">
        <w:rPr>
          <w:color w:val="000000"/>
        </w:rPr>
        <w:t xml:space="preserve">its 2019 LOI Response </w:t>
      </w:r>
      <w:r w:rsidR="0028220C">
        <w:rPr>
          <w:color w:val="000000"/>
        </w:rPr>
        <w:t xml:space="preserve">indicated </w:t>
      </w:r>
      <w:r w:rsidRPr="00851E96">
        <w:rPr>
          <w:color w:val="000000"/>
        </w:rPr>
        <w:t xml:space="preserve">that </w:t>
      </w:r>
      <w:r w:rsidRPr="001B3A5B">
        <w:rPr>
          <w:color w:val="000000"/>
        </w:rPr>
        <w:t xml:space="preserve">none of the </w:t>
      </w:r>
      <w:r w:rsidR="00812005">
        <w:rPr>
          <w:color w:val="000000"/>
        </w:rPr>
        <w:t>32</w:t>
      </w:r>
      <w:r w:rsidRPr="001B3A5B">
        <w:rPr>
          <w:color w:val="000000"/>
        </w:rPr>
        <w:t xml:space="preserve"> micr</w:t>
      </w:r>
      <w:r w:rsidRPr="00851E96">
        <w:rPr>
          <w:color w:val="000000"/>
        </w:rPr>
        <w:t xml:space="preserve">ophone models </w:t>
      </w:r>
      <w:r w:rsidR="00812005">
        <w:rPr>
          <w:color w:val="000000"/>
        </w:rPr>
        <w:t>at issue</w:t>
      </w:r>
      <w:r w:rsidRPr="00851E96">
        <w:rPr>
          <w:color w:val="000000"/>
        </w:rPr>
        <w:t xml:space="preserve"> were </w:t>
      </w:r>
      <w:r w:rsidR="0026181E">
        <w:rPr>
          <w:color w:val="000000"/>
        </w:rPr>
        <w:t>“</w:t>
      </w:r>
      <w:r w:rsidRPr="001B3A5B">
        <w:rPr>
          <w:color w:val="000000"/>
        </w:rPr>
        <w:t>for sale on pyleusa.com</w:t>
      </w:r>
      <w:r w:rsidR="0026181E">
        <w:rPr>
          <w:color w:val="000000"/>
        </w:rPr>
        <w:t xml:space="preserve">” </w:t>
      </w:r>
      <w:r w:rsidRPr="001B3A5B">
        <w:rPr>
          <w:color w:val="000000"/>
        </w:rPr>
        <w:t>as of June 7, 2019, the date of</w:t>
      </w:r>
      <w:r w:rsidRPr="00851E96">
        <w:rPr>
          <w:color w:val="000000"/>
        </w:rPr>
        <w:t xml:space="preserve"> its 2019 LOI Response.</w:t>
      </w:r>
      <w:r>
        <w:rPr>
          <w:rStyle w:val="FootnoteReference"/>
        </w:rPr>
        <w:footnoteReference w:id="60"/>
      </w:r>
      <w:r w:rsidRPr="00851E96">
        <w:rPr>
          <w:color w:val="000000"/>
        </w:rPr>
        <w:t xml:space="preserve"> </w:t>
      </w:r>
      <w:r w:rsidRPr="001B3A5B">
        <w:rPr>
          <w:color w:val="000000"/>
        </w:rPr>
        <w:t xml:space="preserve"> The Comp</w:t>
      </w:r>
      <w:r w:rsidRPr="00851E96">
        <w:rPr>
          <w:color w:val="000000"/>
        </w:rPr>
        <w:t>any argues that this “calls into question” whether the devices shown on the pyleusa.com website and identified in the Division’s 2019 LOI “were actually being marketed at that time.”</w:t>
      </w:r>
      <w:r>
        <w:rPr>
          <w:rStyle w:val="FootnoteReference"/>
        </w:rPr>
        <w:footnoteReference w:id="61"/>
      </w:r>
      <w:r w:rsidR="00747DD8">
        <w:rPr>
          <w:color w:val="000000"/>
        </w:rPr>
        <w:t xml:space="preserve"> </w:t>
      </w:r>
      <w:r w:rsidR="00812005">
        <w:rPr>
          <w:color w:val="000000"/>
        </w:rPr>
        <w:t xml:space="preserve"> </w:t>
      </w:r>
      <w:r w:rsidR="00747DD8">
        <w:t xml:space="preserve">  </w:t>
      </w:r>
    </w:p>
    <w:p w:rsidR="009700BF" w:rsidRPr="009700BF" w:rsidP="009B3BA1" w14:paraId="78CB5865" w14:textId="6D963E95">
      <w:pPr>
        <w:pStyle w:val="ParaNum"/>
        <w:widowControl/>
        <w:rPr>
          <w:color w:val="000000"/>
        </w:rPr>
      </w:pPr>
      <w:r>
        <w:rPr>
          <w:color w:val="000000"/>
        </w:rPr>
        <w:t xml:space="preserve">We are unpersuaded.  </w:t>
      </w:r>
      <w:r w:rsidR="00310EC1">
        <w:rPr>
          <w:color w:val="000000"/>
        </w:rPr>
        <w:t xml:space="preserve">First, </w:t>
      </w:r>
      <w:r w:rsidRPr="00F840E0" w:rsidR="00310EC1">
        <w:rPr>
          <w:color w:val="000000"/>
        </w:rPr>
        <w:t>t</w:t>
      </w:r>
      <w:r w:rsidRPr="00F840E0" w:rsidR="00310EC1">
        <w:t xml:space="preserve">he Company does not </w:t>
      </w:r>
      <w:r w:rsidR="00310EC1">
        <w:t>affirmatively state</w:t>
      </w:r>
      <w:r w:rsidRPr="00F840E0" w:rsidR="00310EC1">
        <w:t xml:space="preserve"> the microphones were not marketed during th</w:t>
      </w:r>
      <w:r w:rsidR="00EF3BC4">
        <w:t>at</w:t>
      </w:r>
      <w:r w:rsidRPr="00F840E0" w:rsidR="00310EC1">
        <w:t xml:space="preserve"> period.</w:t>
      </w:r>
      <w:r w:rsidR="00310EC1">
        <w:t xml:space="preserve">  </w:t>
      </w:r>
      <w:r w:rsidRPr="00F840E0" w:rsidR="00310EC1">
        <w:t>Aside from raising questions in the NAL Response</w:t>
      </w:r>
      <w:r>
        <w:rPr>
          <w:rStyle w:val="FootnoteReference"/>
        </w:rPr>
        <w:footnoteReference w:id="62"/>
      </w:r>
      <w:r w:rsidR="00DD56BB">
        <w:t xml:space="preserve"> – questions designed to undermine the Company’s own LOI responses</w:t>
      </w:r>
      <w:r w:rsidR="00E83C48">
        <w:t>, including its sworn declaration</w:t>
      </w:r>
      <w:r w:rsidR="00DD56BB">
        <w:t xml:space="preserve"> – </w:t>
      </w:r>
      <w:r w:rsidRPr="00F840E0" w:rsidR="00310EC1">
        <w:t xml:space="preserve">no further explanation or evidence was provided </w:t>
      </w:r>
      <w:r w:rsidR="00DD56BB">
        <w:t xml:space="preserve">by the Company </w:t>
      </w:r>
      <w:r w:rsidRPr="00F840E0" w:rsidR="00310EC1">
        <w:t>regarding the period during which the subject microphones were marketed.</w:t>
      </w:r>
      <w:r w:rsidR="00310EC1">
        <w:t xml:space="preserve">  </w:t>
      </w:r>
      <w:r w:rsidR="00DD56BB">
        <w:rPr>
          <w:color w:val="000000"/>
        </w:rPr>
        <w:t>Second, the evidence previously provided by the Company supports a finding that the Company was marketing noncompliant devices</w:t>
      </w:r>
      <w:r w:rsidR="00D63C2B">
        <w:rPr>
          <w:color w:val="000000"/>
        </w:rPr>
        <w:t xml:space="preserve"> during the NAL period</w:t>
      </w:r>
      <w:r w:rsidR="00DD56BB">
        <w:rPr>
          <w:color w:val="000000"/>
        </w:rPr>
        <w:t>.  T</w:t>
      </w:r>
      <w:r w:rsidRPr="00851E96">
        <w:rPr>
          <w:color w:val="000000"/>
        </w:rPr>
        <w:t>he Company’s 2019 LOI Response consist</w:t>
      </w:r>
      <w:r w:rsidR="00CD0D57">
        <w:rPr>
          <w:color w:val="000000"/>
        </w:rPr>
        <w:t>ed</w:t>
      </w:r>
      <w:r w:rsidRPr="00851E96">
        <w:rPr>
          <w:color w:val="000000"/>
        </w:rPr>
        <w:t xml:space="preserve"> of a cover letter from its attorney,</w:t>
      </w:r>
      <w:r>
        <w:rPr>
          <w:rStyle w:val="FootnoteReference"/>
        </w:rPr>
        <w:footnoteReference w:id="63"/>
      </w:r>
      <w:r w:rsidRPr="00851E96">
        <w:rPr>
          <w:color w:val="000000"/>
        </w:rPr>
        <w:t xml:space="preserve"> </w:t>
      </w:r>
      <w:r w:rsidRPr="001B3A5B">
        <w:rPr>
          <w:color w:val="000000"/>
        </w:rPr>
        <w:t>a declaration from a Company officer,</w:t>
      </w:r>
      <w:r>
        <w:rPr>
          <w:rStyle w:val="FootnoteReference"/>
        </w:rPr>
        <w:footnoteReference w:id="64"/>
      </w:r>
      <w:r w:rsidRPr="00851E96">
        <w:rPr>
          <w:color w:val="000000"/>
        </w:rPr>
        <w:t xml:space="preserve"> </w:t>
      </w:r>
      <w:r w:rsidRPr="001B3A5B">
        <w:rPr>
          <w:color w:val="000000"/>
        </w:rPr>
        <w:t xml:space="preserve">and an </w:t>
      </w:r>
      <w:r w:rsidR="00FC0A03">
        <w:rPr>
          <w:color w:val="000000"/>
        </w:rPr>
        <w:t>E</w:t>
      </w:r>
      <w:r w:rsidRPr="001B3A5B">
        <w:rPr>
          <w:color w:val="000000"/>
        </w:rPr>
        <w:t xml:space="preserve">xcel spreadsheet identified as </w:t>
      </w:r>
      <w:r w:rsidRPr="00851E96">
        <w:rPr>
          <w:color w:val="000000"/>
        </w:rPr>
        <w:t>Exhibit A.</w:t>
      </w:r>
      <w:r w:rsidR="00A011D5">
        <w:rPr>
          <w:color w:val="000000"/>
        </w:rPr>
        <w:t xml:space="preserve">  </w:t>
      </w:r>
      <w:r w:rsidR="00CD0D57">
        <w:rPr>
          <w:color w:val="000000"/>
        </w:rPr>
        <w:t>I</w:t>
      </w:r>
      <w:r>
        <w:t xml:space="preserve">n </w:t>
      </w:r>
      <w:r w:rsidR="0044682A">
        <w:t>the</w:t>
      </w:r>
      <w:r>
        <w:t xml:space="preserve"> declaration, Company officer</w:t>
      </w:r>
      <w:r w:rsidR="007076D4">
        <w:t>,</w:t>
      </w:r>
      <w:r>
        <w:t xml:space="preserve"> Jerry Brach</w:t>
      </w:r>
      <w:r w:rsidR="007076D4">
        <w:t>,</w:t>
      </w:r>
      <w:r>
        <w:t xml:space="preserve"> state</w:t>
      </w:r>
      <w:r w:rsidR="000B5823">
        <w:t>d</w:t>
      </w:r>
      <w:r>
        <w:t xml:space="preserve"> that Exhibit A of the response provide</w:t>
      </w:r>
      <w:r w:rsidR="000B5823">
        <w:t>d</w:t>
      </w:r>
      <w:r>
        <w:t xml:space="preserve"> frequencies “advertised” on pyleusa.com </w:t>
      </w:r>
      <w:r w:rsidR="00812005">
        <w:t xml:space="preserve">or in the Company’s database for devices on pyleusa.com </w:t>
      </w:r>
      <w:r>
        <w:t>as of April 29, 2019.</w:t>
      </w:r>
      <w:r>
        <w:rPr>
          <w:rStyle w:val="FootnoteReference"/>
        </w:rPr>
        <w:footnoteReference w:id="65"/>
      </w:r>
      <w:r>
        <w:t xml:space="preserve">  Further, the Company officer state</w:t>
      </w:r>
      <w:r w:rsidR="000B5823">
        <w:t>d</w:t>
      </w:r>
      <w:r>
        <w:t xml:space="preserve"> that Exhibit A show</w:t>
      </w:r>
      <w:r w:rsidR="000B5823">
        <w:t>ed</w:t>
      </w:r>
      <w:r>
        <w:t xml:space="preserve"> any model “currently being sold or which was sold at any time since January 1, 2017</w:t>
      </w:r>
      <w:r w:rsidR="00131970">
        <w:t>,</w:t>
      </w:r>
      <w:r>
        <w:t>”</w:t>
      </w:r>
      <w:r w:rsidR="00131970">
        <w:t xml:space="preserve"> indicating the</w:t>
      </w:r>
      <w:r w:rsidR="00354062">
        <w:t xml:space="preserve"> </w:t>
      </w:r>
      <w:r w:rsidR="00131970">
        <w:t xml:space="preserve">microphones </w:t>
      </w:r>
      <w:r w:rsidR="00310EC1">
        <w:t>were</w:t>
      </w:r>
      <w:r w:rsidR="00131970">
        <w:t xml:space="preserve"> marketed after January 1, 2017</w:t>
      </w:r>
      <w:r w:rsidR="00E54078">
        <w:t>.</w:t>
      </w:r>
      <w:r>
        <w:rPr>
          <w:rStyle w:val="FootnoteReference"/>
        </w:rPr>
        <w:footnoteReference w:id="66"/>
      </w:r>
      <w:r>
        <w:t xml:space="preserve">  </w:t>
      </w:r>
      <w:r w:rsidR="000170F6">
        <w:rPr>
          <w:color w:val="000000"/>
        </w:rPr>
        <w:t>E</w:t>
      </w:r>
      <w:r w:rsidRPr="00F840E0" w:rsidR="00DD56BB">
        <w:rPr>
          <w:color w:val="000000"/>
        </w:rPr>
        <w:t xml:space="preserve">ven if we accept the Company’s claim that the </w:t>
      </w:r>
      <w:r w:rsidR="000170F6">
        <w:rPr>
          <w:color w:val="000000"/>
        </w:rPr>
        <w:t xml:space="preserve">2019 LOI Response indicates that </w:t>
      </w:r>
      <w:r w:rsidRPr="00F840E0" w:rsidR="00DD56BB">
        <w:rPr>
          <w:color w:val="000000"/>
        </w:rPr>
        <w:t>devices were not being marketed on the one day, June 7, 2019, when the 2019 LOI Response was submi</w:t>
      </w:r>
      <w:r w:rsidR="00DD56BB">
        <w:rPr>
          <w:color w:val="000000"/>
        </w:rPr>
        <w:t>t</w:t>
      </w:r>
      <w:r w:rsidRPr="00F840E0" w:rsidR="00DD56BB">
        <w:rPr>
          <w:color w:val="000000"/>
        </w:rPr>
        <w:t>ted</w:t>
      </w:r>
      <w:r w:rsidR="000170F6">
        <w:rPr>
          <w:color w:val="000000"/>
        </w:rPr>
        <w:t>, this does not contradict evidence showing marketing occurr</w:t>
      </w:r>
      <w:r w:rsidR="000B5823">
        <w:rPr>
          <w:color w:val="000000"/>
        </w:rPr>
        <w:t>ed</w:t>
      </w:r>
      <w:r w:rsidR="000170F6">
        <w:rPr>
          <w:color w:val="000000"/>
        </w:rPr>
        <w:t xml:space="preserve">, including the </w:t>
      </w:r>
      <w:r w:rsidRPr="00C572DE" w:rsidR="000170F6">
        <w:rPr>
          <w:color w:val="000000"/>
        </w:rPr>
        <w:t xml:space="preserve">April </w:t>
      </w:r>
      <w:r w:rsidRPr="00C572DE" w:rsidR="00C572DE">
        <w:rPr>
          <w:color w:val="000000"/>
        </w:rPr>
        <w:t xml:space="preserve">9, 2019 </w:t>
      </w:r>
      <w:r w:rsidR="000170F6">
        <w:rPr>
          <w:color w:val="000000"/>
        </w:rPr>
        <w:t>screenshot and the admission that the 32 models were being marketed as of at least April 29, 2019</w:t>
      </w:r>
      <w:r w:rsidRPr="00F840E0" w:rsidR="00DD56BB">
        <w:rPr>
          <w:color w:val="000000"/>
        </w:rPr>
        <w:t>.</w:t>
      </w:r>
      <w:r w:rsidR="00DD56BB">
        <w:rPr>
          <w:color w:val="000000"/>
        </w:rPr>
        <w:t xml:space="preserve">  </w:t>
      </w:r>
      <w:r>
        <w:rPr>
          <w:color w:val="000000"/>
        </w:rPr>
        <w:t xml:space="preserve">Further undermining the Company’s credibility, </w:t>
      </w:r>
      <w:r w:rsidRPr="00F11F0F">
        <w:t xml:space="preserve">the </w:t>
      </w:r>
      <w:r>
        <w:t>pyleusa</w:t>
      </w:r>
      <w:r w:rsidRPr="00F11F0F">
        <w:t xml:space="preserve">.com website </w:t>
      </w:r>
      <w:r>
        <w:t>continue</w:t>
      </w:r>
      <w:r w:rsidR="000B5823">
        <w:t>d</w:t>
      </w:r>
      <w:r>
        <w:t xml:space="preserve"> to show </w:t>
      </w:r>
      <w:r w:rsidRPr="00F11F0F">
        <w:t xml:space="preserve">that </w:t>
      </w:r>
      <w:r w:rsidR="00B6580B">
        <w:t>19</w:t>
      </w:r>
      <w:r w:rsidRPr="00F11F0F">
        <w:t xml:space="preserve"> of the </w:t>
      </w:r>
      <w:r>
        <w:t xml:space="preserve">32 </w:t>
      </w:r>
      <w:r w:rsidRPr="00F11F0F">
        <w:t xml:space="preserve">models were still being marketed by </w:t>
      </w:r>
      <w:r w:rsidR="00087EDE">
        <w:t xml:space="preserve">Sound Around </w:t>
      </w:r>
      <w:r w:rsidRPr="00F11F0F">
        <w:t xml:space="preserve">on </w:t>
      </w:r>
      <w:r w:rsidRPr="00087EDE">
        <w:t>January 27, 2022</w:t>
      </w:r>
      <w:r w:rsidR="00087EDE">
        <w:t>,</w:t>
      </w:r>
      <w:bookmarkStart w:id="85" w:name="_Ref99378886"/>
      <w:r>
        <w:rPr>
          <w:rStyle w:val="FootnoteReference"/>
        </w:rPr>
        <w:footnoteReference w:id="67"/>
      </w:r>
      <w:bookmarkEnd w:id="85"/>
      <w:r w:rsidR="00087EDE">
        <w:t xml:space="preserve"> </w:t>
      </w:r>
      <w:r w:rsidR="00A57F17">
        <w:t>17</w:t>
      </w:r>
      <w:r w:rsidR="00087EDE">
        <w:t xml:space="preserve"> of the models were still being marketed on</w:t>
      </w:r>
      <w:r w:rsidR="000B5DAD">
        <w:t xml:space="preserve"> both</w:t>
      </w:r>
      <w:r w:rsidR="00087EDE">
        <w:t xml:space="preserve"> April 4, 2022</w:t>
      </w:r>
      <w:r w:rsidR="0042564E">
        <w:t>,</w:t>
      </w:r>
      <w:r w:rsidR="00087EDE">
        <w:t xml:space="preserve"> and April 15</w:t>
      </w:r>
      <w:r w:rsidRPr="00C1106C" w:rsidR="00087EDE">
        <w:t xml:space="preserve">, </w:t>
      </w:r>
      <w:r w:rsidRPr="00C1106C" w:rsidR="00087EDE">
        <w:t>2022</w:t>
      </w:r>
      <w:r w:rsidR="00087EDE">
        <w:t>,</w:t>
      </w:r>
      <w:bookmarkStart w:id="87" w:name="_Ref101258972"/>
      <w:r>
        <w:rPr>
          <w:rStyle w:val="FootnoteReference"/>
        </w:rPr>
        <w:footnoteReference w:id="68"/>
      </w:r>
      <w:bookmarkEnd w:id="87"/>
      <w:r w:rsidR="00087EDE">
        <w:t xml:space="preserve"> </w:t>
      </w:r>
      <w:r w:rsidR="00AF1C81">
        <w:t xml:space="preserve">and </w:t>
      </w:r>
      <w:r w:rsidR="004316C9">
        <w:t xml:space="preserve">14 of the models were still being marketed on </w:t>
      </w:r>
      <w:r w:rsidR="00AF1C81">
        <w:t>June 9, 2022,</w:t>
      </w:r>
      <w:r>
        <w:rPr>
          <w:rStyle w:val="FootnoteReference"/>
        </w:rPr>
        <w:footnoteReference w:id="69"/>
      </w:r>
      <w:r w:rsidR="00AF1C81">
        <w:t xml:space="preserve"> </w:t>
      </w:r>
      <w:r>
        <w:t xml:space="preserve">despite the Company’s claim that none of the models implicated in the </w:t>
      </w:r>
      <w:r>
        <w:rPr>
          <w:i/>
          <w:iCs/>
        </w:rPr>
        <w:t xml:space="preserve">NAL </w:t>
      </w:r>
      <w:r>
        <w:t>were currently offered for sale “on the pyleusa.com website or otherwise</w:t>
      </w:r>
      <w:r w:rsidRPr="00F11F0F">
        <w:t>.</w:t>
      </w:r>
      <w:r>
        <w:t>”</w:t>
      </w:r>
      <w:r>
        <w:rPr>
          <w:rStyle w:val="FootnoteReference"/>
        </w:rPr>
        <w:footnoteReference w:id="70"/>
      </w:r>
      <w:r w:rsidR="00CC4028">
        <w:t xml:space="preserve">  </w:t>
      </w:r>
    </w:p>
    <w:p w:rsidR="004D260E" w:rsidP="009B3BA1" w14:paraId="2DB8A54B" w14:textId="5A2316DB">
      <w:pPr>
        <w:pStyle w:val="ParaNum"/>
        <w:widowControl/>
        <w:rPr>
          <w:color w:val="000000"/>
        </w:rPr>
      </w:pPr>
      <w:bookmarkStart w:id="88" w:name="_Ref101771750"/>
      <w:r>
        <w:t>Further,</w:t>
      </w:r>
      <w:r w:rsidR="00356F70">
        <w:t xml:space="preserve"> </w:t>
      </w:r>
      <w:r>
        <w:t>Sound Around’s claim that pyleusa.com could not process purchases until March 2020 is simply not credible.</w:t>
      </w:r>
      <w:r>
        <w:rPr>
          <w:rStyle w:val="FootnoteReference"/>
        </w:rPr>
        <w:footnoteReference w:id="71"/>
      </w:r>
      <w:r>
        <w:t xml:space="preserve">  </w:t>
      </w:r>
      <w:r w:rsidR="002116B5">
        <w:t xml:space="preserve">For instance, </w:t>
      </w:r>
      <w:r>
        <w:rPr>
          <w:color w:val="000000"/>
        </w:rPr>
        <w:t>The Internet Archive captured a record of the pyleusa.com/shop.html website on April 17, 2017, that show</w:t>
      </w:r>
      <w:r w:rsidR="003D52AB">
        <w:rPr>
          <w:color w:val="000000"/>
        </w:rPr>
        <w:t>ed</w:t>
      </w:r>
      <w:r>
        <w:rPr>
          <w:color w:val="000000"/>
        </w:rPr>
        <w:t xml:space="preserve"> prices for devices, “Deals of the Day,” “Best Sellers,” “ADD TO CART” for listed products, and a shopping cart, among other indicia of marketing.</w:t>
      </w:r>
      <w:r>
        <w:rPr>
          <w:rStyle w:val="FootnoteReference"/>
        </w:rPr>
        <w:footnoteReference w:id="72"/>
      </w:r>
      <w:bookmarkEnd w:id="88"/>
      <w:r w:rsidR="007A4074">
        <w:rPr>
          <w:color w:val="000000"/>
        </w:rPr>
        <w:t xml:space="preserve">  </w:t>
      </w:r>
    </w:p>
    <w:p w:rsidR="00AE0132" w:rsidRPr="009E1B23" w:rsidP="009B3BA1" w14:paraId="12B8B2E6" w14:textId="03F67172">
      <w:pPr>
        <w:pStyle w:val="ParaNum"/>
        <w:widowControl/>
        <w:rPr>
          <w:color w:val="000000"/>
        </w:rPr>
      </w:pPr>
      <w:bookmarkStart w:id="89" w:name="_Ref99365791"/>
      <w:r w:rsidRPr="009E1B23">
        <w:rPr>
          <w:color w:val="000000"/>
        </w:rPr>
        <w:t>E</w:t>
      </w:r>
      <w:r>
        <w:t>ven if the website</w:t>
      </w:r>
      <w:r w:rsidR="009700BF">
        <w:t>s</w:t>
      </w:r>
      <w:r>
        <w:t xml:space="preserve"> w</w:t>
      </w:r>
      <w:r w:rsidR="009700BF">
        <w:t>ere</w:t>
      </w:r>
      <w:r>
        <w:t xml:space="preserve"> no</w:t>
      </w:r>
      <w:r w:rsidR="00D44BA0">
        <w:t>t capable of processing sales</w:t>
      </w:r>
      <w:r>
        <w:t>,</w:t>
      </w:r>
      <w:r w:rsidR="004D260E">
        <w:t xml:space="preserve"> which we do not find credible,</w:t>
      </w:r>
      <w:r>
        <w:t xml:space="preserve"> the depictions of the subject wireless microphones</w:t>
      </w:r>
      <w:r w:rsidR="004C407B">
        <w:t xml:space="preserve"> on the website</w:t>
      </w:r>
      <w:r w:rsidR="002E0898">
        <w:t>s</w:t>
      </w:r>
      <w:r>
        <w:t xml:space="preserve"> along with their descriptions and prices </w:t>
      </w:r>
      <w:r w:rsidR="000B17DA">
        <w:t>demonstrates that the Company wa</w:t>
      </w:r>
      <w:r w:rsidR="00495B19">
        <w:t xml:space="preserve">s </w:t>
      </w:r>
      <w:r w:rsidRPr="009F21A6" w:rsidR="00495B19">
        <w:rPr>
          <w:i/>
          <w:iCs/>
        </w:rPr>
        <w:t>marketing</w:t>
      </w:r>
      <w:r w:rsidR="00495B19">
        <w:t xml:space="preserve"> these products</w:t>
      </w:r>
      <w:r w:rsidR="0042564E">
        <w:t xml:space="preserve"> as a legal matter</w:t>
      </w:r>
      <w:r w:rsidR="00495B19">
        <w:t>.</w:t>
      </w:r>
      <w:r>
        <w:rPr>
          <w:rStyle w:val="FootnoteReference"/>
        </w:rPr>
        <w:footnoteReference w:id="73"/>
      </w:r>
      <w:r w:rsidR="00D44BA0">
        <w:t xml:space="preserve">  </w:t>
      </w:r>
      <w:r w:rsidR="00E43203">
        <w:t>U</w:t>
      </w:r>
      <w:r w:rsidR="00D44BA0">
        <w:t xml:space="preserve">nder the </w:t>
      </w:r>
      <w:r w:rsidR="0042564E">
        <w:t xml:space="preserve">Commission’s </w:t>
      </w:r>
      <w:r w:rsidR="00D44BA0">
        <w:t xml:space="preserve">equipment marketing rules, the marketing of a device prior to its authorization </w:t>
      </w:r>
      <w:r w:rsidR="00E1247F">
        <w:t xml:space="preserve">or without an authorization </w:t>
      </w:r>
      <w:r w:rsidR="00D44BA0">
        <w:t>constitutes a violation of the rules.</w:t>
      </w:r>
      <w:r>
        <w:rPr>
          <w:rStyle w:val="FootnoteReference"/>
        </w:rPr>
        <w:footnoteReference w:id="74"/>
      </w:r>
      <w:r w:rsidR="00D44BA0">
        <w:t xml:space="preserve">  </w:t>
      </w:r>
      <w:r w:rsidR="00F508CE">
        <w:t>The Commission’s rules define marketing</w:t>
      </w:r>
      <w:r w:rsidR="00155C41">
        <w:t xml:space="preserve"> to include the </w:t>
      </w:r>
      <w:r w:rsidR="002674AF">
        <w:t>“</w:t>
      </w:r>
      <w:r w:rsidRPr="00181501" w:rsidR="00181501">
        <w:t>sale or lease, or offering for sale or lease, including advertising for sale or lease, or importation, shipment, or distribution for the purpose of selling or leasing or offering for sale or lease</w:t>
      </w:r>
      <w:r w:rsidR="00091BC4">
        <w:t>.</w:t>
      </w:r>
      <w:r w:rsidR="002674AF">
        <w:t>”</w:t>
      </w:r>
      <w:r>
        <w:rPr>
          <w:rStyle w:val="FootnoteReference"/>
        </w:rPr>
        <w:footnoteReference w:id="75"/>
      </w:r>
      <w:r w:rsidR="00091BC4">
        <w:t xml:space="preserve">  </w:t>
      </w:r>
      <w:r w:rsidR="0042564E">
        <w:t>The actual sale of an unauthorized device is not necessary to prove a marketing violation.</w:t>
      </w:r>
      <w:r>
        <w:rPr>
          <w:rStyle w:val="FootnoteReference"/>
        </w:rPr>
        <w:footnoteReference w:id="76"/>
      </w:r>
      <w:r w:rsidR="0042564E">
        <w:t xml:space="preserve">  Nor is the Commission required to purchase every suspect product on a website to show that a company is </w:t>
      </w:r>
      <w:r w:rsidR="0042564E">
        <w:t>marketing such a product when every indicia on such a website indicates advertising for sale.</w:t>
      </w:r>
      <w:r>
        <w:rPr>
          <w:rStyle w:val="FootnoteReference"/>
        </w:rPr>
        <w:footnoteReference w:id="77"/>
      </w:r>
      <w:r w:rsidR="0042564E">
        <w:t xml:space="preserve">  </w:t>
      </w:r>
      <w:r>
        <w:t xml:space="preserve">We </w:t>
      </w:r>
      <w:r w:rsidR="003D7BDB">
        <w:t xml:space="preserve">therefore </w:t>
      </w:r>
      <w:r>
        <w:t>reject the Company’s legal argument that “[d]</w:t>
      </w:r>
      <w:r>
        <w:t>epiction</w:t>
      </w:r>
      <w:r>
        <w:t xml:space="preserve"> of a product on a website, even with the depiction of a cart, is not, in and of itself, evidence that the product is offered for purchase or lease, and thus does not provide evidence of a violation.”</w:t>
      </w:r>
      <w:r>
        <w:rPr>
          <w:rStyle w:val="FootnoteReference"/>
        </w:rPr>
        <w:footnoteReference w:id="78"/>
      </w:r>
      <w:r>
        <w:t xml:space="preserve">    </w:t>
      </w:r>
      <w:bookmarkEnd w:id="89"/>
      <w:r w:rsidR="00575B4D">
        <w:t xml:space="preserve">  </w:t>
      </w:r>
      <w:r w:rsidR="001A5900">
        <w:t xml:space="preserve">  </w:t>
      </w:r>
    </w:p>
    <w:p w:rsidR="00ED6D00" w:rsidRPr="00966929" w:rsidP="009B3BA1" w14:paraId="3252C496" w14:textId="1A52505B">
      <w:pPr>
        <w:pStyle w:val="ParaNum"/>
        <w:widowControl/>
        <w:rPr>
          <w:color w:val="000000"/>
        </w:rPr>
      </w:pPr>
      <w:r>
        <w:t xml:space="preserve">Finally, </w:t>
      </w:r>
      <w:r w:rsidR="00056225">
        <w:t xml:space="preserve">Sound Around’s repeated claims that it did not understand the equipment marketing </w:t>
      </w:r>
      <w:r w:rsidR="00550583">
        <w:t>rules</w:t>
      </w:r>
      <w:r w:rsidR="00056225">
        <w:t xml:space="preserve"> do not </w:t>
      </w:r>
      <w:r w:rsidRPr="00E11E29" w:rsidR="00056225">
        <w:t xml:space="preserve">exonerate, excuse, or mitigate </w:t>
      </w:r>
      <w:r w:rsidR="00056225">
        <w:t>its violations.</w:t>
      </w:r>
      <w:r>
        <w:rPr>
          <w:rStyle w:val="FootnoteReference"/>
        </w:rPr>
        <w:footnoteReference w:id="79"/>
      </w:r>
      <w:r w:rsidR="00056225">
        <w:t xml:space="preserve">  </w:t>
      </w:r>
      <w:r w:rsidR="00AD543F">
        <w:t>I</w:t>
      </w:r>
      <w:r>
        <w:rPr>
          <w:color w:val="000000"/>
        </w:rPr>
        <w:t>gnorance of the law does not excuse or release companies from their legal obligations.</w:t>
      </w:r>
      <w:r>
        <w:rPr>
          <w:rStyle w:val="FootnoteReference"/>
        </w:rPr>
        <w:footnoteReference w:id="80"/>
      </w:r>
      <w:r>
        <w:rPr>
          <w:color w:val="000000"/>
        </w:rPr>
        <w:t xml:space="preserve">  </w:t>
      </w:r>
      <w:r w:rsidR="003831D6">
        <w:t>T</w:t>
      </w:r>
      <w:r>
        <w:t xml:space="preserve">he </w:t>
      </w:r>
      <w:r>
        <w:rPr>
          <w:i/>
          <w:iCs/>
        </w:rPr>
        <w:t>Marketing Citation</w:t>
      </w:r>
      <w:r>
        <w:t xml:space="preserve"> in 2011</w:t>
      </w:r>
      <w:r w:rsidR="003831D6">
        <w:t>, which</w:t>
      </w:r>
      <w:r w:rsidR="009E1B23">
        <w:t xml:space="preserve"> warned the Company to stop marketing noncompliant devices</w:t>
      </w:r>
      <w:r w:rsidR="007A64AC">
        <w:t>, provided notice of those legal obligations</w:t>
      </w:r>
      <w:r>
        <w:t>.</w:t>
      </w:r>
      <w:r>
        <w:rPr>
          <w:rStyle w:val="FootnoteReference"/>
        </w:rPr>
        <w:footnoteReference w:id="81"/>
      </w:r>
      <w:r>
        <w:t xml:space="preserve">  </w:t>
      </w:r>
      <w:r w:rsidRPr="008B43D2" w:rsidR="001F557E">
        <w:t>Additional letters of inquiry in 2017 alert</w:t>
      </w:r>
      <w:r w:rsidRPr="008B43D2" w:rsidR="006A34B7">
        <w:t>ed</w:t>
      </w:r>
      <w:r w:rsidRPr="008B43D2" w:rsidR="001F557E">
        <w:t xml:space="preserve"> the </w:t>
      </w:r>
      <w:r w:rsidR="002B5E2F">
        <w:t>C</w:t>
      </w:r>
      <w:r w:rsidRPr="008B43D2" w:rsidR="001F557E">
        <w:t>ompany that marketing noncompliant devices was unlawful.</w:t>
      </w:r>
      <w:r>
        <w:rPr>
          <w:rStyle w:val="FootnoteReference"/>
        </w:rPr>
        <w:footnoteReference w:id="82"/>
      </w:r>
      <w:r w:rsidR="001F557E">
        <w:t xml:space="preserve">  </w:t>
      </w:r>
      <w:r>
        <w:t>Similarly, the Commission will not accept the excuse that a marketer relied on a manufacturer’s representations about compliance</w:t>
      </w:r>
      <w:r w:rsidRPr="002B5E2F" w:rsidR="002B5E2F">
        <w:t xml:space="preserve"> </w:t>
      </w:r>
      <w:r w:rsidR="002B5E2F">
        <w:t>to its detriment</w:t>
      </w:r>
      <w:r w:rsidR="00E73DB4">
        <w:t xml:space="preserve">.  </w:t>
      </w:r>
      <w:r w:rsidR="003F0693">
        <w:t xml:space="preserve">Section </w:t>
      </w:r>
      <w:r>
        <w:t>2.803(b)</w:t>
      </w:r>
      <w:r w:rsidR="003F0693">
        <w:t xml:space="preserve"> of the Commission’s rules states that </w:t>
      </w:r>
      <w:r>
        <w:t>“no person” may market a noncompliant radio frequency device to consumers.</w:t>
      </w:r>
      <w:r>
        <w:rPr>
          <w:rStyle w:val="FootnoteReference"/>
        </w:rPr>
        <w:footnoteReference w:id="83"/>
      </w:r>
      <w:r w:rsidR="008857C8">
        <w:t xml:space="preserve">  </w:t>
      </w:r>
      <w:r w:rsidR="002F3420">
        <w:t xml:space="preserve">This rule is not limited </w:t>
      </w:r>
      <w:r w:rsidR="00481504">
        <w:t>to manufacturers.</w:t>
      </w:r>
      <w:r>
        <w:rPr>
          <w:rStyle w:val="FootnoteReference"/>
        </w:rPr>
        <w:footnoteReference w:id="84"/>
      </w:r>
    </w:p>
    <w:p w:rsidR="000570E9" w:rsidRPr="009C3168" w:rsidP="009B3BA1" w14:paraId="319FA65B" w14:textId="62ED2B2F">
      <w:pPr>
        <w:pStyle w:val="ParaNum"/>
        <w:widowControl/>
        <w:rPr>
          <w:color w:val="000000"/>
        </w:rPr>
      </w:pPr>
      <w:bookmarkStart w:id="90" w:name="_Ref77337946"/>
      <w:bookmarkStart w:id="91" w:name="_Ref70335262"/>
      <w:r>
        <w:t>Accordingly, w</w:t>
      </w:r>
      <w:r>
        <w:t xml:space="preserve">e find no merit in Sound Around’s contention that the websites were being offered only for informational purposes and were not intended as advertisements or offers for sale during the period of the </w:t>
      </w:r>
      <w:r w:rsidRPr="002C7D55">
        <w:rPr>
          <w:i/>
          <w:iCs/>
        </w:rPr>
        <w:t>N</w:t>
      </w:r>
      <w:r w:rsidR="007E32D5">
        <w:rPr>
          <w:i/>
          <w:iCs/>
        </w:rPr>
        <w:t>AL</w:t>
      </w:r>
      <w:r>
        <w:t>.</w:t>
      </w:r>
      <w:bookmarkEnd w:id="90"/>
      <w:bookmarkEnd w:id="91"/>
      <w:r>
        <w:t xml:space="preserve">  </w:t>
      </w:r>
      <w:r w:rsidR="003142A3">
        <w:t xml:space="preserve">Rather, </w:t>
      </w:r>
      <w:r w:rsidR="00843655">
        <w:t xml:space="preserve">Sound Around marketed the noncompliant wireless microphones in violation of the Act and the Commission’s rules.  </w:t>
      </w:r>
      <w:r w:rsidR="009D657C">
        <w:t xml:space="preserve">Further, </w:t>
      </w:r>
      <w:r w:rsidR="0051167E">
        <w:t>as noted above,</w:t>
      </w:r>
      <w:r>
        <w:rPr>
          <w:rStyle w:val="FootnoteReference"/>
        </w:rPr>
        <w:footnoteReference w:id="85"/>
      </w:r>
      <w:r w:rsidR="0051167E">
        <w:t xml:space="preserve"> the Company appears to be continuing to market </w:t>
      </w:r>
      <w:r w:rsidR="00B8479F">
        <w:t xml:space="preserve">some of the same </w:t>
      </w:r>
      <w:r w:rsidR="0051167E">
        <w:t xml:space="preserve">noncompliant </w:t>
      </w:r>
      <w:r w:rsidR="0015487D">
        <w:t>radio frequency</w:t>
      </w:r>
      <w:r w:rsidR="0051167E">
        <w:t xml:space="preserve"> devices</w:t>
      </w:r>
      <w:r w:rsidR="00B8479F">
        <w:t xml:space="preserve"> addressed in this Forfeiture Order</w:t>
      </w:r>
      <w:r w:rsidR="0051167E">
        <w:t xml:space="preserve">.  </w:t>
      </w:r>
      <w:r w:rsidR="00B8479F">
        <w:t>We direct the</w:t>
      </w:r>
      <w:r w:rsidR="00BF75FF">
        <w:t xml:space="preserve"> Bureau to</w:t>
      </w:r>
      <w:r w:rsidR="00B8479F">
        <w:t xml:space="preserve"> investigate the Company</w:t>
      </w:r>
      <w:r w:rsidR="00BF75FF">
        <w:t>’s</w:t>
      </w:r>
      <w:r w:rsidR="0020236F">
        <w:t xml:space="preserve"> </w:t>
      </w:r>
      <w:r w:rsidR="009C29D9">
        <w:t xml:space="preserve">ongoing </w:t>
      </w:r>
      <w:r w:rsidR="0020236F">
        <w:t xml:space="preserve">marketing of these and any other </w:t>
      </w:r>
      <w:r w:rsidR="00274512">
        <w:t xml:space="preserve">noncompliant </w:t>
      </w:r>
      <w:r w:rsidR="0083180D">
        <w:t xml:space="preserve">radio frequency </w:t>
      </w:r>
      <w:r w:rsidR="00274512">
        <w:t>device</w:t>
      </w:r>
      <w:r w:rsidR="00C572DE">
        <w:t>s</w:t>
      </w:r>
      <w:r w:rsidR="00B8479F">
        <w:t>.</w:t>
      </w:r>
    </w:p>
    <w:p w:rsidR="00C74763" w:rsidRPr="0007571D" w:rsidP="009B3BA1" w14:paraId="7D31B400" w14:textId="16413B5A">
      <w:pPr>
        <w:pStyle w:val="Heading2"/>
        <w:widowControl/>
      </w:pPr>
      <w:bookmarkStart w:id="92" w:name="_Toc7603264"/>
      <w:bookmarkStart w:id="93" w:name="_Toc13488320"/>
      <w:bookmarkStart w:id="94" w:name="_Toc19605236"/>
      <w:bookmarkStart w:id="95" w:name="_Toc19628691"/>
      <w:bookmarkStart w:id="96" w:name="_Toc19628718"/>
      <w:bookmarkStart w:id="97" w:name="_Toc22904519"/>
      <w:bookmarkStart w:id="98" w:name="_Toc23239880"/>
      <w:bookmarkStart w:id="99" w:name="_Toc30682631"/>
      <w:bookmarkStart w:id="100" w:name="_Toc30682692"/>
      <w:bookmarkStart w:id="101" w:name="_Toc40101071"/>
      <w:bookmarkStart w:id="102" w:name="_Toc40101719"/>
      <w:bookmarkStart w:id="103" w:name="_Toc70939616"/>
      <w:bookmarkStart w:id="104" w:name="_Toc77338935"/>
      <w:bookmarkStart w:id="105" w:name="_Toc94265530"/>
      <w:bookmarkStart w:id="106" w:name="_Toc96075120"/>
      <w:bookmarkStart w:id="107" w:name="_Toc96084563"/>
      <w:bookmarkStart w:id="108" w:name="_Toc96515691"/>
      <w:bookmarkStart w:id="109" w:name="_Toc97719533"/>
      <w:bookmarkStart w:id="110" w:name="_Toc101260710"/>
      <w:bookmarkStart w:id="111" w:name="_Toc101960147"/>
      <w:bookmarkStart w:id="112" w:name="_Toc102041180"/>
      <w:bookmarkStart w:id="113" w:name="_Toc103873739"/>
      <w:bookmarkStart w:id="114" w:name="_Toc103875033"/>
      <w:bookmarkStart w:id="115" w:name="_Toc103875090"/>
      <w:bookmarkStart w:id="116" w:name="_Toc103875173"/>
      <w:bookmarkEnd w:id="77"/>
      <w:r>
        <w:t>The Proposed Forfeiture Amount Is Appropriate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AB312A" w:rsidP="009B3BA1" w14:paraId="4D8073EF" w14:textId="61BC411A">
      <w:pPr>
        <w:pStyle w:val="ParaNum"/>
        <w:widowControl/>
      </w:pPr>
      <w:r>
        <w:t xml:space="preserve">After considering the relevant statutory factors and the Commission’s </w:t>
      </w:r>
      <w:r w:rsidRPr="003B0CDF">
        <w:rPr>
          <w:i/>
          <w:iCs/>
        </w:rPr>
        <w:t>Forfeiture Policy Statement</w:t>
      </w:r>
      <w:r>
        <w:t>, we</w:t>
      </w:r>
      <w:r w:rsidR="0015487D">
        <w:t xml:space="preserve"> affirm the </w:t>
      </w:r>
      <w:r w:rsidRPr="00683C84" w:rsidR="0015487D">
        <w:rPr>
          <w:i/>
          <w:iCs/>
        </w:rPr>
        <w:t>NAL</w:t>
      </w:r>
      <w:r w:rsidR="0015487D">
        <w:t xml:space="preserve"> and</w:t>
      </w:r>
      <w:r>
        <w:t xml:space="preserve"> find that </w:t>
      </w:r>
      <w:r w:rsidR="009442C5">
        <w:t xml:space="preserve">Sound Around </w:t>
      </w:r>
      <w:r>
        <w:t xml:space="preserve">is liable for a total forfeiture of </w:t>
      </w:r>
      <w:r w:rsidR="009868D6">
        <w:t>$</w:t>
      </w:r>
      <w:r w:rsidRPr="00ED1A36" w:rsidR="009442C5">
        <w:t>685</w:t>
      </w:r>
      <w:r w:rsidR="009442C5">
        <w:t>,</w:t>
      </w:r>
      <w:r w:rsidRPr="00ED1A36" w:rsidR="009442C5">
        <w:t>338</w:t>
      </w:r>
      <w:r w:rsidR="009442C5">
        <w:t>.</w:t>
      </w:r>
      <w:r>
        <w:t xml:space="preserve">  As explained in the </w:t>
      </w:r>
      <w:r w:rsidR="006A5E8F">
        <w:rPr>
          <w:i/>
          <w:iCs/>
        </w:rPr>
        <w:t>N</w:t>
      </w:r>
      <w:r w:rsidR="007E32D5">
        <w:rPr>
          <w:i/>
          <w:iCs/>
        </w:rPr>
        <w:t>AL</w:t>
      </w:r>
      <w:r>
        <w:t>, this total result</w:t>
      </w:r>
      <w:r w:rsidR="00236137">
        <w:t>ed</w:t>
      </w:r>
      <w:r>
        <w:t xml:space="preserve"> from </w:t>
      </w:r>
      <w:r w:rsidR="00E06F06">
        <w:t xml:space="preserve">first </w:t>
      </w:r>
      <w:r>
        <w:t xml:space="preserve">applying a $7,000 base forfeiture for </w:t>
      </w:r>
      <w:r w:rsidR="005B6BBD">
        <w:t xml:space="preserve">each </w:t>
      </w:r>
      <w:r>
        <w:t xml:space="preserve">the </w:t>
      </w:r>
      <w:r w:rsidR="009442C5">
        <w:t>32</w:t>
      </w:r>
      <w:r>
        <w:t xml:space="preserve"> models of noncompliant equipment marketed by </w:t>
      </w:r>
      <w:r w:rsidR="009442C5">
        <w:t>Sound Around</w:t>
      </w:r>
      <w:r w:rsidR="00462D30">
        <w:t>.  This base forfeiture amount is set forth in the Comm</w:t>
      </w:r>
      <w:r w:rsidR="006A7629">
        <w:t xml:space="preserve">ission’s rules for </w:t>
      </w:r>
      <w:r w:rsidR="00024BAA">
        <w:t>“marketing of unauthorized equipment”</w:t>
      </w:r>
      <w:r w:rsidR="00A6529D">
        <w:t xml:space="preserve"> and</w:t>
      </w:r>
      <w:r w:rsidR="009868D6">
        <w:t xml:space="preserve"> has long </w:t>
      </w:r>
      <w:r w:rsidR="00A6529D">
        <w:t xml:space="preserve">been applied in this </w:t>
      </w:r>
      <w:r w:rsidR="00A6529D">
        <w:t>manner in</w:t>
      </w:r>
      <w:r w:rsidR="009868D6">
        <w:t xml:space="preserve"> equipment marketing cases.</w:t>
      </w:r>
      <w:r>
        <w:rPr>
          <w:rStyle w:val="FootnoteReference"/>
        </w:rPr>
        <w:footnoteReference w:id="86"/>
      </w:r>
      <w:r w:rsidR="009868D6">
        <w:t xml:space="preserve">  Next, the Commission evaluated whether any upward or downward adjustment factors were applicable, as it is obligated to do by the Act and the Commission’s rules,</w:t>
      </w:r>
      <w:r>
        <w:rPr>
          <w:rStyle w:val="FootnoteReference"/>
        </w:rPr>
        <w:footnoteReference w:id="87"/>
      </w:r>
      <w:r w:rsidR="009868D6">
        <w:t xml:space="preserve"> and found that certain upward adjustment factors were present.</w:t>
      </w:r>
      <w:r>
        <w:rPr>
          <w:rStyle w:val="FootnoteReference"/>
        </w:rPr>
        <w:footnoteReference w:id="88"/>
      </w:r>
      <w:r w:rsidR="009868D6">
        <w:t xml:space="preserve">  </w:t>
      </w:r>
      <w:r w:rsidR="00435842">
        <w:t>The Commission</w:t>
      </w:r>
      <w:r w:rsidR="009442C5">
        <w:t xml:space="preserve"> upwardly adjusted th</w:t>
      </w:r>
      <w:r w:rsidR="00B41FAB">
        <w:t>e</w:t>
      </w:r>
      <w:r w:rsidR="003E7EDA">
        <w:t xml:space="preserve"> </w:t>
      </w:r>
      <w:r w:rsidR="009442C5">
        <w:t xml:space="preserve">base forfeiture </w:t>
      </w:r>
      <w:r w:rsidRPr="003B0CDF" w:rsidR="009442C5">
        <w:rPr>
          <w:color w:val="000000"/>
        </w:rPr>
        <w:t xml:space="preserve">for the marketing violations because Sound Around apparently had marketed noncompliant devices </w:t>
      </w:r>
      <w:r w:rsidRPr="00336477" w:rsidR="003B0CDF">
        <w:t>since at least 2009.</w:t>
      </w:r>
      <w:r>
        <w:rPr>
          <w:vertAlign w:val="superscript"/>
        </w:rPr>
        <w:footnoteReference w:id="89"/>
      </w:r>
      <w:r w:rsidRPr="00336477" w:rsidR="003B0CDF">
        <w:t xml:space="preserve">  </w:t>
      </w:r>
      <w:r w:rsidRPr="00336477" w:rsidR="009442C5">
        <w:t xml:space="preserve">This long history of repeated and continuous marketing </w:t>
      </w:r>
      <w:r w:rsidR="009442C5">
        <w:t xml:space="preserve">of </w:t>
      </w:r>
      <w:r w:rsidRPr="00336477" w:rsidR="009442C5">
        <w:t>non-compliant wireless microphones warrant</w:t>
      </w:r>
      <w:r w:rsidR="00CD3AC6">
        <w:t>ed</w:t>
      </w:r>
      <w:r w:rsidRPr="00336477" w:rsidR="009442C5">
        <w:t xml:space="preserve"> a significant upward adjustment.</w:t>
      </w:r>
      <w:r>
        <w:rPr>
          <w:vertAlign w:val="superscript"/>
        </w:rPr>
        <w:footnoteReference w:id="90"/>
      </w:r>
      <w:r w:rsidR="003B0CDF">
        <w:t xml:space="preserve">  </w:t>
      </w:r>
      <w:r>
        <w:t xml:space="preserve">For </w:t>
      </w:r>
      <w:r w:rsidR="009442C5">
        <w:t>two</w:t>
      </w:r>
      <w:r>
        <w:t xml:space="preserve"> of these models, </w:t>
      </w:r>
      <w:r w:rsidR="00435842">
        <w:t>the Commission</w:t>
      </w:r>
      <w:r w:rsidRPr="003B0CDF" w:rsidR="009442C5">
        <w:rPr>
          <w:color w:val="000000"/>
        </w:rPr>
        <w:t xml:space="preserve"> further upwardly adjusted the forfeiture </w:t>
      </w:r>
      <w:r w:rsidR="003B0CDF">
        <w:rPr>
          <w:color w:val="000000"/>
        </w:rPr>
        <w:t xml:space="preserve">to the statutory maximum </w:t>
      </w:r>
      <w:r w:rsidRPr="003B0CDF" w:rsidR="009442C5">
        <w:rPr>
          <w:color w:val="000000"/>
        </w:rPr>
        <w:t xml:space="preserve">because </w:t>
      </w:r>
      <w:r w:rsidR="003B0CDF">
        <w:rPr>
          <w:color w:val="000000"/>
        </w:rPr>
        <w:t>th</w:t>
      </w:r>
      <w:r w:rsidRPr="003B0CDF" w:rsidR="009442C5">
        <w:rPr>
          <w:color w:val="000000"/>
        </w:rPr>
        <w:t>ose models presented an egregious threat to public safety.</w:t>
      </w:r>
      <w:r>
        <w:rPr>
          <w:rStyle w:val="FootnoteReference"/>
        </w:rPr>
        <w:footnoteReference w:id="91"/>
      </w:r>
      <w:r w:rsidRPr="003B0CDF" w:rsidR="009442C5">
        <w:rPr>
          <w:color w:val="000000"/>
        </w:rPr>
        <w:t xml:space="preserve">  </w:t>
      </w:r>
      <w:r w:rsidR="003B0CDF">
        <w:rPr>
          <w:color w:val="000000"/>
        </w:rPr>
        <w:t xml:space="preserve">Specifically, </w:t>
      </w:r>
      <w:r w:rsidR="003B0CDF">
        <w:t xml:space="preserve">the marketing of the two microphone models </w:t>
      </w:r>
      <w:r w:rsidR="00236137">
        <w:t>was</w:t>
      </w:r>
      <w:r w:rsidR="003B0CDF">
        <w:t xml:space="preserve"> egregious because </w:t>
      </w:r>
      <w:r w:rsidR="00E42B1C">
        <w:t>the</w:t>
      </w:r>
      <w:r w:rsidR="00705131">
        <w:t>se models</w:t>
      </w:r>
      <w:r w:rsidR="00E42B1C">
        <w:t xml:space="preserve"> operated in the aviation band and therefore had </w:t>
      </w:r>
      <w:r w:rsidR="003B0CDF">
        <w:t>potential for causing harmful interference to a critical public safety radio service.</w:t>
      </w:r>
      <w:r>
        <w:rPr>
          <w:rStyle w:val="FootnoteReference"/>
        </w:rPr>
        <w:footnoteReference w:id="92"/>
      </w:r>
      <w:r w:rsidR="003B0CDF">
        <w:t xml:space="preserve"> </w:t>
      </w:r>
      <w:r w:rsidR="009868D6">
        <w:t xml:space="preserve"> </w:t>
      </w:r>
    </w:p>
    <w:p w:rsidR="00C74763" w:rsidP="009B3BA1" w14:paraId="6B09F1FD" w14:textId="305AD590">
      <w:pPr>
        <w:pStyle w:val="ParaNum"/>
        <w:widowControl/>
      </w:pPr>
      <w:r>
        <w:t xml:space="preserve">We reject Sound Around’s arguments that the proposed forfeiture </w:t>
      </w:r>
      <w:r w:rsidR="00AB312A">
        <w:t xml:space="preserve">calculation </w:t>
      </w:r>
      <w:r>
        <w:t>is factually flawed, arbitrary, and excessive.</w:t>
      </w:r>
      <w:r>
        <w:rPr>
          <w:rStyle w:val="FootnoteReference"/>
        </w:rPr>
        <w:footnoteReference w:id="93"/>
      </w:r>
      <w:r>
        <w:t xml:space="preserve">  </w:t>
      </w:r>
      <w:r w:rsidRPr="009A2403" w:rsidR="00564B5E">
        <w:t>The Commission carefully considered each of t</w:t>
      </w:r>
      <w:r w:rsidR="00A11467">
        <w:t xml:space="preserve">he </w:t>
      </w:r>
      <w:r w:rsidR="00DC4B01">
        <w:t xml:space="preserve">relevant </w:t>
      </w:r>
      <w:r w:rsidR="00E618A9">
        <w:t xml:space="preserve">requirements </w:t>
      </w:r>
      <w:r w:rsidRPr="009A2403" w:rsidR="00564B5E">
        <w:t xml:space="preserve">in the </w:t>
      </w:r>
      <w:r w:rsidRPr="00A020A9" w:rsidR="00564B5E">
        <w:rPr>
          <w:i/>
        </w:rPr>
        <w:t>NAL</w:t>
      </w:r>
      <w:r w:rsidRPr="00A020A9" w:rsidR="00564B5E">
        <w:t>,</w:t>
      </w:r>
      <w:r>
        <w:rPr>
          <w:rStyle w:val="FootnoteReference"/>
        </w:rPr>
        <w:footnoteReference w:id="94"/>
      </w:r>
      <w:r w:rsidRPr="00A020A9" w:rsidR="00564B5E">
        <w:t xml:space="preserve"> and we do so again here.  The proposed forfeiture amount</w:t>
      </w:r>
      <w:r w:rsidR="00DE6DD2">
        <w:t>, including the base forfeiture and upward</w:t>
      </w:r>
      <w:r w:rsidRPr="00344C0B" w:rsidR="00564B5E">
        <w:t xml:space="preserve"> adjustments</w:t>
      </w:r>
      <w:r w:rsidR="00DE6DD2">
        <w:t>,</w:t>
      </w:r>
      <w:r w:rsidRPr="0007571D" w:rsidR="00564B5E">
        <w:t xml:space="preserve"> </w:t>
      </w:r>
      <w:r w:rsidR="00AE525A">
        <w:t>is</w:t>
      </w:r>
      <w:r w:rsidRPr="0007571D" w:rsidR="00564B5E">
        <w:t xml:space="preserve"> consistent with our </w:t>
      </w:r>
      <w:r w:rsidR="00564B5E">
        <w:t>r</w:t>
      </w:r>
      <w:r w:rsidRPr="0007571D" w:rsidR="00564B5E">
        <w:t xml:space="preserve">ules and precedent.  </w:t>
      </w:r>
      <w:r w:rsidR="00D8494B">
        <w:t>Having reviewed Sound Around’s arguments, w</w:t>
      </w:r>
      <w:r w:rsidRPr="0007571D" w:rsidR="00564B5E">
        <w:t xml:space="preserve">e find no basis to </w:t>
      </w:r>
      <w:r w:rsidR="00D8494B">
        <w:t>cancel or reduce</w:t>
      </w:r>
      <w:r w:rsidRPr="0007571D" w:rsidR="00564B5E">
        <w:t xml:space="preserve"> the forfeiture.</w:t>
      </w:r>
    </w:p>
    <w:p w:rsidR="00991B82" w:rsidRPr="005769E1" w:rsidP="009B3BA1" w14:paraId="32B76F7D" w14:textId="77777777">
      <w:pPr>
        <w:pStyle w:val="Heading3"/>
        <w:widowControl/>
      </w:pPr>
      <w:bookmarkStart w:id="117" w:name="_Toc77338932"/>
      <w:bookmarkStart w:id="118" w:name="_Toc94265527"/>
      <w:bookmarkStart w:id="119" w:name="_Toc96075117"/>
      <w:bookmarkStart w:id="120" w:name="_Toc96084564"/>
      <w:bookmarkStart w:id="121" w:name="_Toc96515692"/>
      <w:bookmarkStart w:id="122" w:name="_Toc97719534"/>
      <w:bookmarkStart w:id="123" w:name="_Toc101260711"/>
      <w:bookmarkStart w:id="124" w:name="_Toc101960148"/>
      <w:bookmarkStart w:id="125" w:name="_Toc102041181"/>
      <w:bookmarkStart w:id="126" w:name="_Toc103873740"/>
      <w:bookmarkStart w:id="127" w:name="_Toc103875034"/>
      <w:bookmarkStart w:id="128" w:name="_Toc103875091"/>
      <w:bookmarkStart w:id="129" w:name="_Toc103875174"/>
      <w:bookmarkStart w:id="130" w:name="_Toc70939613"/>
      <w:r>
        <w:t xml:space="preserve">The </w:t>
      </w:r>
      <w:r w:rsidRPr="00234769">
        <w:rPr>
          <w:i/>
          <w:iCs/>
        </w:rPr>
        <w:t>Marketing Citation</w:t>
      </w:r>
      <w:r>
        <w:t xml:space="preserve"> Makes Sound Around Subject to the Monetary Penalty in the </w:t>
      </w:r>
      <w:r>
        <w:rPr>
          <w:i/>
          <w:iCs/>
        </w:rPr>
        <w:t>NAL</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BE7EE6" w:rsidP="009B3BA1" w14:paraId="10E8F533" w14:textId="7DAF9F6B">
      <w:pPr>
        <w:pStyle w:val="ParaNum"/>
        <w:widowControl/>
        <w:rPr>
          <w:color w:val="000000"/>
        </w:rPr>
      </w:pPr>
      <w:bookmarkStart w:id="131" w:name="_Ref103095120"/>
      <w:r>
        <w:rPr>
          <w:color w:val="000000"/>
        </w:rPr>
        <w:t xml:space="preserve">Where </w:t>
      </w:r>
      <w:r w:rsidR="00B30759">
        <w:rPr>
          <w:color w:val="000000"/>
        </w:rPr>
        <w:t xml:space="preserve">an </w:t>
      </w:r>
      <w:r w:rsidR="00991B82">
        <w:rPr>
          <w:color w:val="000000"/>
        </w:rPr>
        <w:t xml:space="preserve">entity that has violated a statutory provision or rule does not hold an FCC license or authorization, the </w:t>
      </w:r>
      <w:r w:rsidRPr="003845E5" w:rsidR="00991B82">
        <w:rPr>
          <w:color w:val="000000"/>
        </w:rPr>
        <w:t xml:space="preserve">Commission </w:t>
      </w:r>
      <w:r w:rsidR="00991B82">
        <w:rPr>
          <w:color w:val="000000"/>
        </w:rPr>
        <w:t xml:space="preserve">must </w:t>
      </w:r>
      <w:r w:rsidRPr="003845E5" w:rsidR="00991B82">
        <w:rPr>
          <w:color w:val="000000"/>
        </w:rPr>
        <w:t xml:space="preserve">issue </w:t>
      </w:r>
      <w:r w:rsidR="00991B82">
        <w:rPr>
          <w:color w:val="000000"/>
        </w:rPr>
        <w:t xml:space="preserve">a </w:t>
      </w:r>
      <w:r w:rsidRPr="003845E5" w:rsidR="00991B82">
        <w:rPr>
          <w:color w:val="000000"/>
        </w:rPr>
        <w:t xml:space="preserve">non-monetary citation to </w:t>
      </w:r>
      <w:r w:rsidR="00991B82">
        <w:rPr>
          <w:color w:val="000000"/>
        </w:rPr>
        <w:t xml:space="preserve">the </w:t>
      </w:r>
      <w:r w:rsidRPr="003845E5" w:rsidR="00991B82">
        <w:rPr>
          <w:color w:val="000000"/>
        </w:rPr>
        <w:t>entit</w:t>
      </w:r>
      <w:r w:rsidR="00991B82">
        <w:rPr>
          <w:color w:val="000000"/>
        </w:rPr>
        <w:t>y</w:t>
      </w:r>
      <w:r w:rsidR="00A10D03">
        <w:rPr>
          <w:color w:val="000000"/>
        </w:rPr>
        <w:t xml:space="preserve"> before issuing to it a notice of apparent liability</w:t>
      </w:r>
      <w:r w:rsidRPr="003845E5" w:rsidR="00991B82">
        <w:rPr>
          <w:color w:val="000000"/>
        </w:rPr>
        <w:t>.</w:t>
      </w:r>
      <w:r>
        <w:rPr>
          <w:rStyle w:val="FootnoteReference"/>
        </w:rPr>
        <w:footnoteReference w:id="95"/>
      </w:r>
      <w:r w:rsidRPr="003845E5" w:rsidR="00991B82">
        <w:rPr>
          <w:color w:val="000000"/>
        </w:rPr>
        <w:t xml:space="preserve"> </w:t>
      </w:r>
      <w:r w:rsidR="00991B82">
        <w:rPr>
          <w:color w:val="000000"/>
        </w:rPr>
        <w:t xml:space="preserve"> </w:t>
      </w:r>
      <w:r w:rsidR="00135AAE">
        <w:rPr>
          <w:color w:val="000000"/>
        </w:rPr>
        <w:t>If</w:t>
      </w:r>
      <w:r w:rsidRPr="003845E5" w:rsidR="00991B82">
        <w:rPr>
          <w:color w:val="000000"/>
        </w:rPr>
        <w:t xml:space="preserve"> the entity</w:t>
      </w:r>
      <w:r w:rsidR="00135AAE">
        <w:rPr>
          <w:color w:val="000000"/>
        </w:rPr>
        <w:t xml:space="preserve"> persists in the conduct after receiving a </w:t>
      </w:r>
      <w:r w:rsidRPr="003845E5" w:rsidR="00991B82">
        <w:rPr>
          <w:color w:val="000000"/>
        </w:rPr>
        <w:t>warning</w:t>
      </w:r>
      <w:r w:rsidR="00991B82">
        <w:rPr>
          <w:color w:val="000000"/>
        </w:rPr>
        <w:t>,</w:t>
      </w:r>
      <w:r w:rsidRPr="003845E5" w:rsidR="00991B82">
        <w:rPr>
          <w:color w:val="000000"/>
        </w:rPr>
        <w:t xml:space="preserve"> the Commission </w:t>
      </w:r>
      <w:r w:rsidR="00991B82">
        <w:rPr>
          <w:color w:val="000000"/>
        </w:rPr>
        <w:t xml:space="preserve">can </w:t>
      </w:r>
      <w:r w:rsidRPr="003845E5" w:rsidR="00991B82">
        <w:rPr>
          <w:color w:val="000000"/>
        </w:rPr>
        <w:t>pursue a monetary penalty.</w:t>
      </w:r>
      <w:r>
        <w:rPr>
          <w:rStyle w:val="FootnoteReference"/>
        </w:rPr>
        <w:footnoteReference w:id="96"/>
      </w:r>
      <w:r w:rsidR="00991B82">
        <w:rPr>
          <w:color w:val="000000"/>
        </w:rPr>
        <w:t xml:space="preserve">  </w:t>
      </w:r>
    </w:p>
    <w:p w:rsidR="00991B82" w:rsidRPr="003845E5" w:rsidP="009B3BA1" w14:paraId="423CE5DA" w14:textId="29B49C9D">
      <w:pPr>
        <w:pStyle w:val="ParaNum"/>
        <w:widowControl/>
        <w:rPr>
          <w:color w:val="000000"/>
        </w:rPr>
      </w:pPr>
      <w:r>
        <w:rPr>
          <w:color w:val="000000"/>
        </w:rPr>
        <w:t>The Commission issued Sound Around a citation in 2011 for equipment marketing violations involving wireless microphones.</w:t>
      </w:r>
      <w:r>
        <w:rPr>
          <w:rStyle w:val="FootnoteReference"/>
        </w:rPr>
        <w:footnoteReference w:id="97"/>
      </w:r>
      <w:r>
        <w:rPr>
          <w:color w:val="000000"/>
        </w:rPr>
        <w:t xml:space="preserve"> </w:t>
      </w:r>
      <w:r w:rsidRPr="003845E5">
        <w:rPr>
          <w:color w:val="000000"/>
        </w:rPr>
        <w:t xml:space="preserve"> </w:t>
      </w:r>
      <w:r>
        <w:rPr>
          <w:color w:val="000000"/>
        </w:rPr>
        <w:t xml:space="preserve">Sound Around claims that this citation cannot be relied upon in issuing the </w:t>
      </w:r>
      <w:r w:rsidRPr="006E6A63">
        <w:rPr>
          <w:i/>
          <w:iCs/>
          <w:color w:val="000000"/>
        </w:rPr>
        <w:t>N</w:t>
      </w:r>
      <w:r>
        <w:rPr>
          <w:i/>
          <w:iCs/>
          <w:color w:val="000000"/>
        </w:rPr>
        <w:t>AL</w:t>
      </w:r>
      <w:r>
        <w:rPr>
          <w:color w:val="000000"/>
        </w:rPr>
        <w:t xml:space="preserve"> because the citation is old (from 2011) and does not cite Sound Around for the same violations alleged in the </w:t>
      </w:r>
      <w:r>
        <w:rPr>
          <w:i/>
          <w:iCs/>
          <w:color w:val="000000"/>
        </w:rPr>
        <w:t>NAL</w:t>
      </w:r>
      <w:r>
        <w:rPr>
          <w:color w:val="000000"/>
        </w:rPr>
        <w:t>.</w:t>
      </w:r>
      <w:r>
        <w:rPr>
          <w:rStyle w:val="FootnoteReference"/>
        </w:rPr>
        <w:footnoteReference w:id="98"/>
      </w:r>
      <w:r>
        <w:rPr>
          <w:color w:val="000000"/>
        </w:rPr>
        <w:t xml:space="preserve">  Sound Around states that the </w:t>
      </w:r>
      <w:r>
        <w:rPr>
          <w:i/>
          <w:iCs/>
          <w:color w:val="000000"/>
        </w:rPr>
        <w:t>Marketing Citation</w:t>
      </w:r>
      <w:r>
        <w:rPr>
          <w:color w:val="000000"/>
        </w:rPr>
        <w:t xml:space="preserve"> “never mentions </w:t>
      </w:r>
      <w:r>
        <w:rPr>
          <w:color w:val="000000"/>
        </w:rPr>
        <w:t>[s]</w:t>
      </w:r>
      <w:r>
        <w:rPr>
          <w:color w:val="000000"/>
        </w:rPr>
        <w:t>ection</w:t>
      </w:r>
      <w:r>
        <w:rPr>
          <w:color w:val="000000"/>
        </w:rPr>
        <w:t xml:space="preserve"> 2.803(b)(1), on which the [</w:t>
      </w:r>
      <w:r w:rsidRPr="003D1830">
        <w:rPr>
          <w:i/>
          <w:iCs/>
          <w:color w:val="000000"/>
        </w:rPr>
        <w:t>N</w:t>
      </w:r>
      <w:r>
        <w:rPr>
          <w:i/>
          <w:iCs/>
          <w:color w:val="000000"/>
        </w:rPr>
        <w:t>AL</w:t>
      </w:r>
      <w:r>
        <w:rPr>
          <w:color w:val="000000"/>
        </w:rPr>
        <w:t>] is premised.”</w:t>
      </w:r>
      <w:r>
        <w:rPr>
          <w:rStyle w:val="FootnoteReference"/>
        </w:rPr>
        <w:footnoteReference w:id="99"/>
      </w:r>
      <w:r>
        <w:rPr>
          <w:color w:val="000000"/>
        </w:rPr>
        <w:t xml:space="preserve">  Sound Around also claims different subsections of section 74.851 were at issue in the </w:t>
      </w:r>
      <w:r>
        <w:rPr>
          <w:i/>
          <w:iCs/>
          <w:color w:val="000000"/>
        </w:rPr>
        <w:t>NAL</w:t>
      </w:r>
      <w:r>
        <w:rPr>
          <w:color w:val="000000"/>
        </w:rPr>
        <w:t xml:space="preserve"> and the </w:t>
      </w:r>
      <w:r>
        <w:rPr>
          <w:i/>
          <w:iCs/>
          <w:color w:val="000000"/>
        </w:rPr>
        <w:t>Marketing Citation</w:t>
      </w:r>
      <w:r>
        <w:rPr>
          <w:color w:val="000000"/>
        </w:rPr>
        <w:t>.</w:t>
      </w:r>
      <w:r>
        <w:rPr>
          <w:rStyle w:val="FootnoteReference"/>
        </w:rPr>
        <w:footnoteReference w:id="100"/>
      </w:r>
      <w:bookmarkEnd w:id="131"/>
      <w:r>
        <w:rPr>
          <w:color w:val="000000"/>
        </w:rPr>
        <w:t xml:space="preserve">  </w:t>
      </w:r>
    </w:p>
    <w:p w:rsidR="00991B82" w:rsidRPr="00A57019" w:rsidP="009B3BA1" w14:paraId="354AB510" w14:textId="1975FBE3">
      <w:pPr>
        <w:pStyle w:val="ParaNum"/>
        <w:widowControl/>
      </w:pPr>
      <w:bookmarkStart w:id="132" w:name="_Ref103095128"/>
      <w:r>
        <w:t>Sound Around is wrong</w:t>
      </w:r>
      <w:r w:rsidR="005D1271">
        <w:t xml:space="preserve"> as a matter of law and </w:t>
      </w:r>
      <w:r w:rsidR="00C24AED">
        <w:t xml:space="preserve">fact.  </w:t>
      </w:r>
      <w:r w:rsidR="0031221E">
        <w:t xml:space="preserve">Section 503(b)(5) of the Act </w:t>
      </w:r>
      <w:r w:rsidR="007F33E5">
        <w:t>specifically states that a “person shall not be entitled to receive any additional citation of the violation charged</w:t>
      </w:r>
      <w:r w:rsidR="006D5291">
        <w:t>, with respect to any conduct of the type described in the citation sent under this paragraph.”</w:t>
      </w:r>
      <w:r>
        <w:rPr>
          <w:rStyle w:val="FootnoteReference"/>
        </w:rPr>
        <w:footnoteReference w:id="101"/>
      </w:r>
      <w:r w:rsidR="000356DA">
        <w:t xml:space="preserve">  </w:t>
      </w:r>
      <w:r w:rsidR="00B077BB">
        <w:t xml:space="preserve">Section 1.80(d) </w:t>
      </w:r>
      <w:r w:rsidR="00E460C7">
        <w:t xml:space="preserve">of the Commission’s rules </w:t>
      </w:r>
      <w:r w:rsidR="00385609">
        <w:t>says the same thing.</w:t>
      </w:r>
      <w:r>
        <w:rPr>
          <w:rStyle w:val="FootnoteReference"/>
        </w:rPr>
        <w:footnoteReference w:id="102"/>
      </w:r>
      <w:r w:rsidR="00385609">
        <w:t xml:space="preserve">  </w:t>
      </w:r>
      <w:r>
        <w:t xml:space="preserve">In the </w:t>
      </w:r>
      <w:r>
        <w:rPr>
          <w:i/>
          <w:iCs/>
        </w:rPr>
        <w:t>Marketing Citation</w:t>
      </w:r>
      <w:r>
        <w:t>,</w:t>
      </w:r>
      <w:r>
        <w:rPr>
          <w:i/>
          <w:iCs/>
        </w:rPr>
        <w:t xml:space="preserve"> </w:t>
      </w:r>
      <w:r>
        <w:t xml:space="preserve">Sound Around was cited </w:t>
      </w:r>
      <w:r w:rsidRPr="00A57019">
        <w:t xml:space="preserve">for marketing </w:t>
      </w:r>
      <w:r>
        <w:t xml:space="preserve">wireless microphones </w:t>
      </w:r>
      <w:r w:rsidRPr="00A57019">
        <w:t xml:space="preserve">that operate on restricted frequencies in violation of section 302(b) of the Act and sections 2.803 and 15.205(a) of the </w:t>
      </w:r>
      <w:r>
        <w:t xml:space="preserve">Commission’s </w:t>
      </w:r>
      <w:r w:rsidRPr="00A57019">
        <w:t>rules,</w:t>
      </w:r>
      <w:r>
        <w:rPr>
          <w:rStyle w:val="FootnoteReference"/>
        </w:rPr>
        <w:footnoteReference w:id="103"/>
      </w:r>
      <w:r w:rsidRPr="00A57019">
        <w:t xml:space="preserve"> and for marketing wireless microphones that are capable of operating in the 700 MHz band (698-806 MHz) in violation of section 74.851(g) of the </w:t>
      </w:r>
      <w:r>
        <w:t>Commission’s r</w:t>
      </w:r>
      <w:r w:rsidRPr="00A57019">
        <w:t>ules.</w:t>
      </w:r>
      <w:r>
        <w:rPr>
          <w:rStyle w:val="FootnoteReference"/>
        </w:rPr>
        <w:footnoteReference w:id="104"/>
      </w:r>
      <w:r>
        <w:t xml:space="preserve">  In the </w:t>
      </w:r>
      <w:r w:rsidRPr="006E0984">
        <w:rPr>
          <w:i/>
          <w:iCs/>
        </w:rPr>
        <w:t>N</w:t>
      </w:r>
      <w:r>
        <w:rPr>
          <w:i/>
          <w:iCs/>
        </w:rPr>
        <w:t>AL</w:t>
      </w:r>
      <w:r>
        <w:t>, t</w:t>
      </w:r>
      <w:r w:rsidRPr="006E0984">
        <w:rPr>
          <w:spacing w:val="-2"/>
        </w:rPr>
        <w:t xml:space="preserve">he Commission found that Sound Around </w:t>
      </w:r>
      <w:r w:rsidRPr="003D5AFE">
        <w:t xml:space="preserve">apparently </w:t>
      </w:r>
      <w:r>
        <w:t>violated section 302(b) of the Act</w:t>
      </w:r>
      <w:r>
        <w:rPr>
          <w:rStyle w:val="FootnoteReference"/>
        </w:rPr>
        <w:footnoteReference w:id="105"/>
      </w:r>
      <w:r>
        <w:t xml:space="preserve"> and sections</w:t>
      </w:r>
      <w:r w:rsidRPr="003A0D15">
        <w:t xml:space="preserve"> 2.803</w:t>
      </w:r>
      <w:r>
        <w:t xml:space="preserve"> and 74.851 </w:t>
      </w:r>
      <w:r w:rsidRPr="003A0D15">
        <w:t>of the Commission’s rules</w:t>
      </w:r>
      <w:r>
        <w:rPr>
          <w:rStyle w:val="FootnoteReference"/>
        </w:rPr>
        <w:footnoteReference w:id="106"/>
      </w:r>
      <w:r>
        <w:t xml:space="preserve"> when it marketed 32 models of wireless microphones that were noncompliant or not authorized.</w:t>
      </w:r>
      <w:r>
        <w:rPr>
          <w:rStyle w:val="FootnoteReference"/>
        </w:rPr>
        <w:footnoteReference w:id="107"/>
      </w:r>
      <w:r>
        <w:t xml:space="preserve">  In violating the equipment marketing requirements in both instances, Sound Around subsequently (in this proceeding) engaged in </w:t>
      </w:r>
      <w:r w:rsidR="00C37681">
        <w:t>“</w:t>
      </w:r>
      <w:r>
        <w:t>conduct of the type described</w:t>
      </w:r>
      <w:r w:rsidR="00C37681">
        <w:t>”</w:t>
      </w:r>
      <w:r>
        <w:t xml:space="preserve"> in the earlier proceeding (for the </w:t>
      </w:r>
      <w:r>
        <w:rPr>
          <w:i/>
          <w:iCs/>
        </w:rPr>
        <w:t>Marketing Citation</w:t>
      </w:r>
      <w:r>
        <w:t xml:space="preserve">).  In both instances, Sound Around marketed noncompliant wireless microphones, </w:t>
      </w:r>
      <w:r w:rsidR="00D16E80">
        <w:t>including</w:t>
      </w:r>
      <w:r>
        <w:t xml:space="preserve"> some of the same models.</w:t>
      </w:r>
      <w:r w:rsidR="00F27364">
        <w:t xml:space="preserve"> </w:t>
      </w:r>
      <w:r>
        <w:t xml:space="preserve"> Thus, the </w:t>
      </w:r>
      <w:r>
        <w:rPr>
          <w:i/>
          <w:iCs/>
        </w:rPr>
        <w:t>NAL</w:t>
      </w:r>
      <w:r>
        <w:t xml:space="preserve"> appropriately proposed a forfeiture for </w:t>
      </w:r>
      <w:r w:rsidR="00D16E80">
        <w:t>the</w:t>
      </w:r>
      <w:r>
        <w:t xml:space="preserve"> subsequent conduct.</w:t>
      </w:r>
      <w:r>
        <w:rPr>
          <w:rStyle w:val="FootnoteReference"/>
        </w:rPr>
        <w:footnoteReference w:id="108"/>
      </w:r>
      <w:r>
        <w:t xml:space="preserve">  </w:t>
      </w:r>
      <w:r w:rsidR="004702BE">
        <w:t xml:space="preserve">Accordingly, the Commission, having issued the </w:t>
      </w:r>
      <w:r w:rsidR="004702BE">
        <w:rPr>
          <w:i/>
          <w:iCs/>
        </w:rPr>
        <w:t xml:space="preserve">Marketing Citation </w:t>
      </w:r>
      <w:r w:rsidR="004702BE">
        <w:t xml:space="preserve">in 2011, was correct to proceed to the </w:t>
      </w:r>
      <w:r w:rsidR="004702BE">
        <w:rPr>
          <w:i/>
          <w:iCs/>
        </w:rPr>
        <w:t xml:space="preserve">NAL </w:t>
      </w:r>
      <w:r w:rsidR="004702BE">
        <w:t>in 2020 and may now proceed to assess a monetary forfeiture for conduct of the type described in that citation.</w:t>
      </w:r>
      <w:bookmarkEnd w:id="132"/>
      <w:r w:rsidR="004702BE">
        <w:t xml:space="preserve">  </w:t>
      </w:r>
    </w:p>
    <w:p w:rsidR="00991B82" w:rsidP="009B3BA1" w14:paraId="0E10EAA0" w14:textId="54871E0D">
      <w:pPr>
        <w:pStyle w:val="ParaNum"/>
        <w:widowControl/>
        <w:rPr>
          <w:color w:val="000000"/>
        </w:rPr>
      </w:pPr>
      <w:r>
        <w:rPr>
          <w:color w:val="000000"/>
        </w:rPr>
        <w:t xml:space="preserve">For this same reason, we reject Sound Around’s argument about different rule subsections being cited in the </w:t>
      </w:r>
      <w:r w:rsidRPr="008941D2">
        <w:rPr>
          <w:i/>
          <w:iCs/>
          <w:color w:val="000000"/>
        </w:rPr>
        <w:t>Marketing Citation</w:t>
      </w:r>
      <w:r>
        <w:rPr>
          <w:color w:val="000000"/>
        </w:rPr>
        <w:t xml:space="preserve"> and </w:t>
      </w:r>
      <w:r w:rsidRPr="008941D2">
        <w:rPr>
          <w:i/>
          <w:iCs/>
          <w:color w:val="000000"/>
        </w:rPr>
        <w:t>N</w:t>
      </w:r>
      <w:r>
        <w:rPr>
          <w:i/>
          <w:iCs/>
          <w:color w:val="000000"/>
        </w:rPr>
        <w:t>AL</w:t>
      </w:r>
      <w:r>
        <w:rPr>
          <w:color w:val="000000"/>
        </w:rPr>
        <w:t>.  Neither the statute nor the rules are so myopic</w:t>
      </w:r>
      <w:r w:rsidR="006E1814">
        <w:rPr>
          <w:color w:val="000000"/>
        </w:rPr>
        <w:t xml:space="preserve"> as to permit evasion of a citation simply because some of the models have changed</w:t>
      </w:r>
      <w:r w:rsidR="005639BF">
        <w:rPr>
          <w:color w:val="000000"/>
        </w:rPr>
        <w:t xml:space="preserve"> or the devices are designed to operate on different frequencies</w:t>
      </w:r>
      <w:r>
        <w:rPr>
          <w:color w:val="000000"/>
        </w:rPr>
        <w:t>.</w:t>
      </w:r>
      <w:r>
        <w:rPr>
          <w:rStyle w:val="FootnoteReference"/>
        </w:rPr>
        <w:footnoteReference w:id="109"/>
      </w:r>
      <w:r>
        <w:rPr>
          <w:color w:val="000000"/>
        </w:rPr>
        <w:t xml:space="preserve">  Rather, both</w:t>
      </w:r>
      <w:r w:rsidR="001E4835">
        <w:rPr>
          <w:color w:val="000000"/>
        </w:rPr>
        <w:t xml:space="preserve"> the </w:t>
      </w:r>
      <w:r w:rsidRPr="008941D2" w:rsidR="001E4835">
        <w:rPr>
          <w:i/>
          <w:iCs/>
          <w:color w:val="000000"/>
        </w:rPr>
        <w:t>Marketing Citation</w:t>
      </w:r>
      <w:r w:rsidR="001E4835">
        <w:rPr>
          <w:color w:val="000000"/>
        </w:rPr>
        <w:t xml:space="preserve"> and </w:t>
      </w:r>
      <w:r w:rsidRPr="008941D2" w:rsidR="001E4835">
        <w:rPr>
          <w:i/>
          <w:iCs/>
          <w:color w:val="000000"/>
        </w:rPr>
        <w:t>N</w:t>
      </w:r>
      <w:r w:rsidR="001E4835">
        <w:rPr>
          <w:i/>
          <w:iCs/>
          <w:color w:val="000000"/>
        </w:rPr>
        <w:t>AL</w:t>
      </w:r>
      <w:r>
        <w:rPr>
          <w:color w:val="000000"/>
        </w:rPr>
        <w:t xml:space="preserve"> reference “conduct of the type” engaged in previously.</w:t>
      </w:r>
      <w:r>
        <w:rPr>
          <w:rStyle w:val="FootnoteReference"/>
        </w:rPr>
        <w:footnoteReference w:id="110"/>
      </w:r>
      <w:r>
        <w:rPr>
          <w:color w:val="000000"/>
        </w:rPr>
        <w:t xml:space="preserve">  </w:t>
      </w:r>
      <w:r w:rsidR="00D95F27">
        <w:rPr>
          <w:color w:val="000000"/>
        </w:rPr>
        <w:t xml:space="preserve">The conduct here, which was targeted both in </w:t>
      </w:r>
      <w:r w:rsidR="00D95F27">
        <w:rPr>
          <w:color w:val="000000"/>
        </w:rPr>
        <w:t xml:space="preserve">the </w:t>
      </w:r>
      <w:r w:rsidRPr="008941D2" w:rsidR="00D95F27">
        <w:rPr>
          <w:i/>
          <w:iCs/>
          <w:color w:val="000000"/>
        </w:rPr>
        <w:t>Marketing Citation</w:t>
      </w:r>
      <w:r w:rsidR="00D95F27">
        <w:rPr>
          <w:color w:val="000000"/>
        </w:rPr>
        <w:t xml:space="preserve"> and </w:t>
      </w:r>
      <w:r w:rsidRPr="008941D2" w:rsidR="00D95F27">
        <w:rPr>
          <w:i/>
          <w:iCs/>
          <w:color w:val="000000"/>
        </w:rPr>
        <w:t>N</w:t>
      </w:r>
      <w:r w:rsidR="00D95F27">
        <w:rPr>
          <w:i/>
          <w:iCs/>
          <w:color w:val="000000"/>
        </w:rPr>
        <w:t>AL</w:t>
      </w:r>
      <w:r w:rsidR="00D95F27">
        <w:rPr>
          <w:color w:val="000000"/>
        </w:rPr>
        <w:t>, is marketing noncompliant or unauthorized wireless microphones.</w:t>
      </w:r>
      <w:r>
        <w:rPr>
          <w:rStyle w:val="FootnoteReference"/>
        </w:rPr>
        <w:footnoteReference w:id="111"/>
      </w:r>
      <w:r w:rsidR="001E4835">
        <w:rPr>
          <w:color w:val="000000"/>
        </w:rPr>
        <w:t xml:space="preserve"> </w:t>
      </w:r>
      <w:r w:rsidR="00D95F27">
        <w:rPr>
          <w:color w:val="000000"/>
        </w:rPr>
        <w:t xml:space="preserve"> </w:t>
      </w:r>
      <w:r w:rsidR="006F4D1F">
        <w:t xml:space="preserve">In fact, the </w:t>
      </w:r>
      <w:r w:rsidR="006F4D1F">
        <w:rPr>
          <w:i/>
          <w:iCs/>
        </w:rPr>
        <w:t>Marketing Citation</w:t>
      </w:r>
      <w:r w:rsidR="006F4D1F">
        <w:t xml:space="preserve"> warned Sound Around to review the Commission’s rules for all wireless microphones that it marketed.</w:t>
      </w:r>
      <w:r>
        <w:rPr>
          <w:rStyle w:val="FootnoteReference"/>
        </w:rPr>
        <w:footnoteReference w:id="112"/>
      </w:r>
      <w:r w:rsidR="006F4D1F">
        <w:t xml:space="preserve"> </w:t>
      </w:r>
      <w:r w:rsidRPr="006C19F7" w:rsidR="006F4D1F">
        <w:t xml:space="preserve"> </w:t>
      </w:r>
      <w:r>
        <w:rPr>
          <w:color w:val="000000"/>
        </w:rPr>
        <w:t>Thus, the relevant requirements are the radio frequency equipment marketing rules, not the narrow subsections cited by Sound Around.</w:t>
      </w:r>
      <w:r>
        <w:rPr>
          <w:rStyle w:val="FootnoteReference"/>
        </w:rPr>
        <w:footnoteReference w:id="113"/>
      </w:r>
      <w:r>
        <w:rPr>
          <w:color w:val="000000"/>
        </w:rPr>
        <w:t xml:space="preserve">  </w:t>
      </w:r>
    </w:p>
    <w:p w:rsidR="00991B82" w:rsidP="009B3BA1" w14:paraId="3A05BE5D" w14:textId="5E289C9F">
      <w:pPr>
        <w:pStyle w:val="ParaNum"/>
        <w:widowControl/>
        <w:rPr>
          <w:color w:val="000000"/>
        </w:rPr>
      </w:pPr>
      <w:r>
        <w:rPr>
          <w:color w:val="000000"/>
        </w:rPr>
        <w:t xml:space="preserve">Moreover, even were we to accept the Company’s reading, which we do not, its argument would still fail.  </w:t>
      </w:r>
      <w:r w:rsidR="00B720C4">
        <w:rPr>
          <w:color w:val="000000"/>
        </w:rPr>
        <w:t>The</w:t>
      </w:r>
      <w:r>
        <w:rPr>
          <w:color w:val="000000"/>
        </w:rPr>
        <w:t xml:space="preserve"> numbering difference for section 2.803 subsections</w:t>
      </w:r>
      <w:r w:rsidR="00B720C4">
        <w:rPr>
          <w:color w:val="000000"/>
        </w:rPr>
        <w:t xml:space="preserve"> that Sound Around points to</w:t>
      </w:r>
      <w:r>
        <w:rPr>
          <w:color w:val="000000"/>
        </w:rPr>
        <w:t xml:space="preserve"> </w:t>
      </w:r>
      <w:r w:rsidR="00BF7875">
        <w:rPr>
          <w:color w:val="000000"/>
        </w:rPr>
        <w:t xml:space="preserve">is </w:t>
      </w:r>
      <w:r>
        <w:rPr>
          <w:color w:val="000000"/>
        </w:rPr>
        <w:t>merely the result of that rule section being reordered in 2013,</w:t>
      </w:r>
      <w:r>
        <w:rPr>
          <w:rStyle w:val="FootnoteReference"/>
        </w:rPr>
        <w:footnoteReference w:id="114"/>
      </w:r>
      <w:r>
        <w:rPr>
          <w:color w:val="000000"/>
        </w:rPr>
        <w:t xml:space="preserve"> which resulted in the relevant language for this proceeding being moved from section 2.803(a)(1) (as cited in the </w:t>
      </w:r>
      <w:r w:rsidRPr="008941D2">
        <w:rPr>
          <w:i/>
          <w:iCs/>
          <w:color w:val="000000"/>
        </w:rPr>
        <w:t>Marketing Citation</w:t>
      </w:r>
      <w:r>
        <w:rPr>
          <w:color w:val="000000"/>
        </w:rPr>
        <w:t>)</w:t>
      </w:r>
      <w:r>
        <w:rPr>
          <w:rStyle w:val="FootnoteReference"/>
        </w:rPr>
        <w:footnoteReference w:id="115"/>
      </w:r>
      <w:r>
        <w:rPr>
          <w:color w:val="000000"/>
        </w:rPr>
        <w:t xml:space="preserve"> to section 2.803(b)(1) (as cited in the </w:t>
      </w:r>
      <w:r>
        <w:rPr>
          <w:i/>
          <w:iCs/>
          <w:color w:val="000000"/>
        </w:rPr>
        <w:t>NAL</w:t>
      </w:r>
      <w:r>
        <w:rPr>
          <w:rStyle w:val="FootnoteReference"/>
        </w:rPr>
        <w:footnoteReference w:id="116"/>
      </w:r>
      <w:r>
        <w:rPr>
          <w:color w:val="000000"/>
        </w:rPr>
        <w:t>).</w:t>
      </w:r>
      <w:r>
        <w:rPr>
          <w:rStyle w:val="FootnoteReference"/>
        </w:rPr>
        <w:footnoteReference w:id="117"/>
      </w:r>
      <w:r>
        <w:rPr>
          <w:color w:val="000000"/>
        </w:rPr>
        <w:t xml:space="preserve">  Similarly, </w:t>
      </w:r>
      <w:r w:rsidRPr="00412FC0">
        <w:rPr>
          <w:color w:val="000000"/>
        </w:rPr>
        <w:t xml:space="preserve">Sound Around appears to be focused on the fact that the </w:t>
      </w:r>
      <w:r w:rsidRPr="009E09E5">
        <w:rPr>
          <w:i/>
          <w:iCs/>
          <w:color w:val="000000"/>
        </w:rPr>
        <w:t>Marketing Citation</w:t>
      </w:r>
      <w:r w:rsidRPr="00412FC0">
        <w:rPr>
          <w:color w:val="000000"/>
        </w:rPr>
        <w:t xml:space="preserve"> found violations of section 74.851(g), while the </w:t>
      </w:r>
      <w:r w:rsidRPr="00412FC0">
        <w:rPr>
          <w:i/>
          <w:iCs/>
          <w:color w:val="000000"/>
        </w:rPr>
        <w:t>N</w:t>
      </w:r>
      <w:r>
        <w:rPr>
          <w:i/>
          <w:iCs/>
          <w:color w:val="000000"/>
        </w:rPr>
        <w:t xml:space="preserve">AL </w:t>
      </w:r>
      <w:r w:rsidRPr="00412FC0">
        <w:rPr>
          <w:color w:val="000000"/>
        </w:rPr>
        <w:t xml:space="preserve">found </w:t>
      </w:r>
      <w:r w:rsidR="001A0688">
        <w:rPr>
          <w:color w:val="000000"/>
        </w:rPr>
        <w:t>apparent</w:t>
      </w:r>
      <w:r w:rsidRPr="00412FC0" w:rsidR="002F03C4">
        <w:rPr>
          <w:color w:val="000000"/>
        </w:rPr>
        <w:t xml:space="preserve"> </w:t>
      </w:r>
      <w:r w:rsidRPr="00412FC0">
        <w:rPr>
          <w:color w:val="000000"/>
        </w:rPr>
        <w:t>violations of section 74.851</w:t>
      </w:r>
      <w:r w:rsidRPr="00881025">
        <w:rPr>
          <w:color w:val="000000"/>
        </w:rPr>
        <w:t xml:space="preserve">(f).  Putting aside </w:t>
      </w:r>
      <w:r>
        <w:rPr>
          <w:color w:val="000000"/>
        </w:rPr>
        <w:t xml:space="preserve">the fact </w:t>
      </w:r>
      <w:r w:rsidRPr="00881025">
        <w:rPr>
          <w:color w:val="000000"/>
        </w:rPr>
        <w:t xml:space="preserve">that </w:t>
      </w:r>
      <w:r w:rsidRPr="00412FC0">
        <w:rPr>
          <w:color w:val="000000"/>
        </w:rPr>
        <w:t xml:space="preserve">Sound Around </w:t>
      </w:r>
      <w:r>
        <w:rPr>
          <w:color w:val="000000"/>
        </w:rPr>
        <w:t>miss</w:t>
      </w:r>
      <w:r w:rsidRPr="00412FC0">
        <w:rPr>
          <w:color w:val="000000"/>
        </w:rPr>
        <w:t>tates</w:t>
      </w:r>
      <w:r>
        <w:rPr>
          <w:color w:val="000000"/>
        </w:rPr>
        <w:t xml:space="preserve"> which subsection of 74.851 was cited in which document,</w:t>
      </w:r>
      <w:r>
        <w:rPr>
          <w:rStyle w:val="FootnoteReference"/>
        </w:rPr>
        <w:footnoteReference w:id="118"/>
      </w:r>
      <w:r>
        <w:rPr>
          <w:color w:val="000000"/>
        </w:rPr>
        <w:t xml:space="preserve"> </w:t>
      </w:r>
      <w:r>
        <w:t xml:space="preserve">we find no merit in this argument because both sections pertain to the regulations for the marketing of low power auxiliary stations, which include wireless microphones.  Thus, when it received the </w:t>
      </w:r>
      <w:r w:rsidRPr="0021794D">
        <w:rPr>
          <w:i/>
          <w:iCs/>
        </w:rPr>
        <w:t>Marketing Citation</w:t>
      </w:r>
      <w:r>
        <w:t xml:space="preserve"> in 2011, Sound Around </w:t>
      </w:r>
      <w:r w:rsidR="00384FD0">
        <w:t>received</w:t>
      </w:r>
      <w:r>
        <w:t xml:space="preserve"> notice of the Commission’s long-standing equipment authorization regulations and was </w:t>
      </w:r>
      <w:r w:rsidR="00384FD0">
        <w:t>informed</w:t>
      </w:r>
      <w:r>
        <w:t xml:space="preserve"> that they apply to wireless microphones.</w:t>
      </w:r>
      <w:r>
        <w:rPr>
          <w:rStyle w:val="FootnoteReference"/>
        </w:rPr>
        <w:footnoteReference w:id="119"/>
      </w:r>
      <w:r>
        <w:t xml:space="preserve">  </w:t>
      </w:r>
    </w:p>
    <w:p w:rsidR="00991B82" w:rsidP="009B3BA1" w14:paraId="0964BF25" w14:textId="5BF73A8C">
      <w:pPr>
        <w:pStyle w:val="ParaNum"/>
        <w:widowControl/>
        <w:rPr>
          <w:color w:val="000000"/>
        </w:rPr>
      </w:pPr>
      <w:r>
        <w:t xml:space="preserve">Finally, there is no expiration date for a citation set forth in the Act or the Commission’s rules.  The Commission did not “unearth” </w:t>
      </w:r>
      <w:r w:rsidR="00B15569">
        <w:t>a stale</w:t>
      </w:r>
      <w:r>
        <w:t xml:space="preserve"> document, as Sound Around implies in its </w:t>
      </w:r>
      <w:r w:rsidRPr="001516D5">
        <w:t>NAL Response</w:t>
      </w:r>
      <w:r w:rsidRPr="003F725D">
        <w:t>.</w:t>
      </w:r>
      <w:r>
        <w:rPr>
          <w:rStyle w:val="FootnoteReference"/>
        </w:rPr>
        <w:footnoteReference w:id="120"/>
      </w:r>
      <w:r>
        <w:t xml:space="preserve">  Rather,</w:t>
      </w:r>
      <w:r w:rsidR="0076660E">
        <w:t xml:space="preserve"> in 2011</w:t>
      </w:r>
      <w:r>
        <w:t xml:space="preserve"> the Bureau put </w:t>
      </w:r>
      <w:r w:rsidR="00BC10C6">
        <w:t>Sound Around</w:t>
      </w:r>
      <w:r>
        <w:t xml:space="preserve"> on notice that it needed to comply with the equipment marketing rules, </w:t>
      </w:r>
      <w:r w:rsidR="0076660E">
        <w:t xml:space="preserve">and </w:t>
      </w:r>
      <w:r>
        <w:t xml:space="preserve">six years later the </w:t>
      </w:r>
      <w:r w:rsidR="00D34859">
        <w:t xml:space="preserve">Company </w:t>
      </w:r>
      <w:r w:rsidRPr="00F840E0" w:rsidR="001D0BF2">
        <w:t xml:space="preserve">received </w:t>
      </w:r>
      <w:r w:rsidR="00F840E0">
        <w:t>the 2017 LOI</w:t>
      </w:r>
      <w:r w:rsidRPr="00F840E0" w:rsidR="00BC10C6">
        <w:t xml:space="preserve"> </w:t>
      </w:r>
      <w:r w:rsidRPr="00F840E0" w:rsidR="008453EB">
        <w:t>indicating</w:t>
      </w:r>
      <w:r w:rsidR="008453EB">
        <w:t xml:space="preserve"> that </w:t>
      </w:r>
      <w:r w:rsidR="00584860">
        <w:t xml:space="preserve">the </w:t>
      </w:r>
      <w:r>
        <w:t>Bureau had begun to investigate the Company</w:t>
      </w:r>
      <w:r w:rsidR="00F840E0">
        <w:t xml:space="preserve"> </w:t>
      </w:r>
      <w:r>
        <w:t xml:space="preserve">for additional violations of the same type as identified in the </w:t>
      </w:r>
      <w:r>
        <w:rPr>
          <w:i/>
          <w:iCs/>
        </w:rPr>
        <w:t>Marketing Citation</w:t>
      </w:r>
      <w:r>
        <w:t>.</w:t>
      </w:r>
      <w:r>
        <w:rPr>
          <w:rStyle w:val="FootnoteReference"/>
        </w:rPr>
        <w:footnoteReference w:id="121"/>
      </w:r>
      <w:r>
        <w:t xml:space="preserve">  And, in 2020, this investigation led to the issuance of the </w:t>
      </w:r>
      <w:r>
        <w:rPr>
          <w:i/>
          <w:iCs/>
        </w:rPr>
        <w:t>NAL</w:t>
      </w:r>
      <w:r>
        <w:t>.  While</w:t>
      </w:r>
      <w:r w:rsidR="00950569">
        <w:t xml:space="preserve"> there are circumstances under which</w:t>
      </w:r>
      <w:r w:rsidR="004B3399">
        <w:t xml:space="preserve"> an excessive</w:t>
      </w:r>
      <w:r>
        <w:t xml:space="preserve"> passage of time </w:t>
      </w:r>
      <w:r w:rsidRPr="0021794D">
        <w:rPr>
          <w:i/>
          <w:iCs/>
        </w:rPr>
        <w:t>may</w:t>
      </w:r>
      <w:r>
        <w:t xml:space="preserve"> suggest a second citation could be appropriate</w:t>
      </w:r>
      <w:r w:rsidR="004B3399">
        <w:t xml:space="preserve"> (even if not required)</w:t>
      </w:r>
      <w:r>
        <w:t xml:space="preserve">, the period here is consistent with precedent in moving directly from a citation to a forfeiture proceeding.  For example, </w:t>
      </w:r>
      <w:r w:rsidR="00746253">
        <w:t>a</w:t>
      </w:r>
      <w:r>
        <w:t xml:space="preserve"> Commission Notice of Apparent Liability for Forfeiture </w:t>
      </w:r>
      <w:r w:rsidR="007D7188">
        <w:t xml:space="preserve">has been upheld as </w:t>
      </w:r>
      <w:r>
        <w:t>appropriate in a case where the Commission issued the accompanying citation ten years prior to its issuance of the Notice of Apparent Liability for Forfeiture.</w:t>
      </w:r>
      <w:r>
        <w:rPr>
          <w:rStyle w:val="FootnoteReference"/>
        </w:rPr>
        <w:footnoteReference w:id="122"/>
      </w:r>
      <w:r>
        <w:t xml:space="preserve">  </w:t>
      </w:r>
      <w:r w:rsidR="007E50A2">
        <w:t xml:space="preserve">Here, </w:t>
      </w:r>
      <w:r w:rsidR="00BE0B95">
        <w:t xml:space="preserve">the </w:t>
      </w:r>
      <w:r w:rsidR="00BE0B95">
        <w:rPr>
          <w:i/>
          <w:iCs/>
        </w:rPr>
        <w:t>NAL</w:t>
      </w:r>
      <w:r w:rsidR="00BE0B95">
        <w:t xml:space="preserve"> was issued nine years after the </w:t>
      </w:r>
      <w:r w:rsidR="00BE0B95">
        <w:rPr>
          <w:i/>
          <w:iCs/>
        </w:rPr>
        <w:t>Marketing Citation</w:t>
      </w:r>
      <w:r w:rsidR="004703BB">
        <w:t>,</w:t>
      </w:r>
      <w:r w:rsidR="00C410B9">
        <w:t xml:space="preserve"> and the Company was aware of the second investigation </w:t>
      </w:r>
      <w:r w:rsidR="00C740FE">
        <w:t>a mere six years after receiving that citation.</w:t>
      </w:r>
    </w:p>
    <w:p w:rsidR="00C479C5" w:rsidRPr="00630D55" w:rsidP="009B3BA1" w14:paraId="79C7235D" w14:textId="5F8BC473">
      <w:pPr>
        <w:pStyle w:val="Heading3"/>
        <w:widowControl/>
      </w:pPr>
      <w:bookmarkStart w:id="133" w:name="_Toc70939617"/>
      <w:bookmarkStart w:id="134" w:name="_Toc77338936"/>
      <w:bookmarkStart w:id="135" w:name="_Toc94265531"/>
      <w:bookmarkStart w:id="136" w:name="_Toc96075121"/>
      <w:bookmarkStart w:id="137" w:name="_Toc96084565"/>
      <w:bookmarkStart w:id="138" w:name="_Toc96515693"/>
      <w:bookmarkStart w:id="139" w:name="_Toc97719535"/>
      <w:bookmarkStart w:id="140" w:name="_Toc101260712"/>
      <w:bookmarkStart w:id="141" w:name="_Toc101960149"/>
      <w:bookmarkStart w:id="142" w:name="_Toc102041182"/>
      <w:bookmarkStart w:id="143" w:name="_Toc103873741"/>
      <w:bookmarkStart w:id="144" w:name="_Toc103875035"/>
      <w:bookmarkStart w:id="145" w:name="_Toc103875092"/>
      <w:bookmarkStart w:id="146" w:name="_Toc103875175"/>
      <w:bookmarkEnd w:id="130"/>
      <w:r>
        <w:t>T</w:t>
      </w:r>
      <w:r>
        <w:t xml:space="preserve">he Forfeiture </w:t>
      </w:r>
      <w:r w:rsidR="00742694">
        <w:t xml:space="preserve">is Properly </w:t>
      </w:r>
      <w:r>
        <w:t xml:space="preserve">Based on 32 </w:t>
      </w:r>
      <w:r w:rsidR="00742694">
        <w:t xml:space="preserve">Noncompliant Equipment </w:t>
      </w:r>
      <w:r>
        <w:t>Models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A9483C" w:rsidP="009B3BA1" w14:paraId="508608A7" w14:textId="108FB8D3">
      <w:pPr>
        <w:pStyle w:val="ParaNum"/>
        <w:widowControl/>
        <w:rPr>
          <w:color w:val="000000"/>
        </w:rPr>
      </w:pPr>
      <w:r>
        <w:rPr>
          <w:color w:val="000000"/>
        </w:rPr>
        <w:t xml:space="preserve">The evidence establishes that </w:t>
      </w:r>
      <w:r>
        <w:rPr>
          <w:color w:val="000000"/>
        </w:rPr>
        <w:t xml:space="preserve">Sound Around marketed 32 noncompliant </w:t>
      </w:r>
      <w:r w:rsidR="004441BD">
        <w:rPr>
          <w:color w:val="000000"/>
        </w:rPr>
        <w:t xml:space="preserve">wireless microphone </w:t>
      </w:r>
      <w:r>
        <w:rPr>
          <w:color w:val="000000"/>
        </w:rPr>
        <w:t xml:space="preserve">models.  </w:t>
      </w:r>
      <w:r w:rsidR="003124E5">
        <w:rPr>
          <w:color w:val="000000"/>
        </w:rPr>
        <w:t xml:space="preserve">We find no merit in </w:t>
      </w:r>
      <w:r w:rsidRPr="00EB3B12" w:rsidR="00301645">
        <w:rPr>
          <w:color w:val="000000"/>
        </w:rPr>
        <w:t>Sound Around</w:t>
      </w:r>
      <w:r w:rsidR="004816DA">
        <w:rPr>
          <w:color w:val="000000"/>
        </w:rPr>
        <w:t>’s</w:t>
      </w:r>
      <w:r w:rsidRPr="00EB3B12" w:rsidR="00301645">
        <w:rPr>
          <w:color w:val="000000"/>
        </w:rPr>
        <w:t xml:space="preserve"> claims that</w:t>
      </w:r>
      <w:r w:rsidR="00E960F2">
        <w:rPr>
          <w:color w:val="000000"/>
        </w:rPr>
        <w:t xml:space="preserve"> some of the models are identical and </w:t>
      </w:r>
      <w:r w:rsidR="00301645">
        <w:rPr>
          <w:color w:val="000000"/>
        </w:rPr>
        <w:t>the Commission overcounted the alleged violations by treating each product number as an independent model of wireless microphone.</w:t>
      </w:r>
      <w:r>
        <w:rPr>
          <w:rStyle w:val="FootnoteReference"/>
        </w:rPr>
        <w:footnoteReference w:id="123"/>
      </w:r>
      <w:r w:rsidR="00301645">
        <w:rPr>
          <w:color w:val="000000"/>
        </w:rPr>
        <w:t xml:space="preserve">  </w:t>
      </w:r>
      <w:r w:rsidR="00306338">
        <w:rPr>
          <w:color w:val="000000"/>
        </w:rPr>
        <w:t xml:space="preserve">The Company states that 21 of the 32 models identified in the </w:t>
      </w:r>
      <w:r w:rsidR="006A5E8F">
        <w:rPr>
          <w:i/>
          <w:iCs/>
          <w:color w:val="000000"/>
        </w:rPr>
        <w:t>N</w:t>
      </w:r>
      <w:r w:rsidR="00087FD3">
        <w:rPr>
          <w:i/>
          <w:iCs/>
          <w:color w:val="000000"/>
        </w:rPr>
        <w:t>AL</w:t>
      </w:r>
      <w:r w:rsidR="00306338">
        <w:rPr>
          <w:color w:val="000000"/>
        </w:rPr>
        <w:t>’</w:t>
      </w:r>
      <w:r w:rsidRPr="00306338" w:rsidR="00306338">
        <w:rPr>
          <w:i/>
          <w:iCs/>
          <w:color w:val="000000"/>
        </w:rPr>
        <w:t>s</w:t>
      </w:r>
      <w:r w:rsidR="00306338">
        <w:rPr>
          <w:color w:val="000000"/>
        </w:rPr>
        <w:t xml:space="preserve"> Appendix can be grouped into four different categories of </w:t>
      </w:r>
      <w:r w:rsidR="000F575C">
        <w:rPr>
          <w:color w:val="000000"/>
        </w:rPr>
        <w:t>models because their transmitters have the same technical characteristics</w:t>
      </w:r>
      <w:r w:rsidR="00306338">
        <w:rPr>
          <w:color w:val="000000"/>
        </w:rPr>
        <w:t xml:space="preserve"> and </w:t>
      </w:r>
      <w:r w:rsidR="000F575C">
        <w:rPr>
          <w:color w:val="000000"/>
        </w:rPr>
        <w:t xml:space="preserve">should therefore be counted as four violations instead of </w:t>
      </w:r>
      <w:r w:rsidR="00963107">
        <w:rPr>
          <w:color w:val="000000"/>
        </w:rPr>
        <w:t>twenty-one</w:t>
      </w:r>
      <w:r w:rsidR="00014747">
        <w:rPr>
          <w:color w:val="000000"/>
        </w:rPr>
        <w:t xml:space="preserve"> violations</w:t>
      </w:r>
      <w:r w:rsidR="000F575C">
        <w:rPr>
          <w:color w:val="000000"/>
        </w:rPr>
        <w:t xml:space="preserve">.  In making its claim, </w:t>
      </w:r>
      <w:r w:rsidR="0049430F">
        <w:rPr>
          <w:color w:val="000000"/>
        </w:rPr>
        <w:t>Sound Around</w:t>
      </w:r>
      <w:r w:rsidR="000F575C">
        <w:rPr>
          <w:color w:val="000000"/>
        </w:rPr>
        <w:t xml:space="preserve"> provided model numbers for the 21 models and descriptions of each category</w:t>
      </w:r>
      <w:r w:rsidR="00C773AC">
        <w:rPr>
          <w:color w:val="000000"/>
        </w:rPr>
        <w:t xml:space="preserve"> based solely on the phys</w:t>
      </w:r>
      <w:r w:rsidR="003E6E0D">
        <w:rPr>
          <w:color w:val="000000"/>
        </w:rPr>
        <w:t>i</w:t>
      </w:r>
      <w:r w:rsidR="00C773AC">
        <w:rPr>
          <w:color w:val="000000"/>
        </w:rPr>
        <w:t>cal appearance of the microphones</w:t>
      </w:r>
      <w:r w:rsidR="000F575C">
        <w:rPr>
          <w:color w:val="000000"/>
        </w:rPr>
        <w:t>.</w:t>
      </w:r>
      <w:r>
        <w:rPr>
          <w:rStyle w:val="FootnoteReference"/>
        </w:rPr>
        <w:footnoteReference w:id="124"/>
      </w:r>
      <w:r w:rsidR="000F575C">
        <w:rPr>
          <w:color w:val="000000"/>
        </w:rPr>
        <w:t xml:space="preserve">  </w:t>
      </w:r>
    </w:p>
    <w:p w:rsidR="004F2444" w:rsidP="009B3BA1" w14:paraId="41F2DF03" w14:textId="4F05428C">
      <w:pPr>
        <w:pStyle w:val="ParaNum"/>
        <w:widowControl/>
        <w:rPr>
          <w:color w:val="000000"/>
        </w:rPr>
      </w:pPr>
      <w:r>
        <w:t>Sound Around</w:t>
      </w:r>
      <w:r w:rsidR="00D75AF1">
        <w:t xml:space="preserve">’s </w:t>
      </w:r>
      <w:r w:rsidR="00E95D42">
        <w:t xml:space="preserve">wireless microphone </w:t>
      </w:r>
      <w:r w:rsidR="00D75AF1">
        <w:t>models</w:t>
      </w:r>
      <w:r>
        <w:t xml:space="preserve"> </w:t>
      </w:r>
      <w:r w:rsidR="003A4BEB">
        <w:t xml:space="preserve">each </w:t>
      </w:r>
      <w:r>
        <w:t xml:space="preserve">required </w:t>
      </w:r>
      <w:r w:rsidR="003A4BEB">
        <w:t xml:space="preserve">an </w:t>
      </w:r>
      <w:r w:rsidR="00B2763C">
        <w:t>equipment</w:t>
      </w:r>
      <w:r>
        <w:t xml:space="preserve"> authorization and compliant labeling, pursuant to sections 2.803(b)(1) and 74.851(f) of the Commission’s rules, prior to </w:t>
      </w:r>
      <w:r w:rsidR="003104C0">
        <w:t xml:space="preserve">Sound Around </w:t>
      </w:r>
      <w:r>
        <w:t xml:space="preserve">marketing </w:t>
      </w:r>
      <w:r w:rsidR="000C7710">
        <w:t>them</w:t>
      </w:r>
      <w:r w:rsidR="00C24694">
        <w:t>.</w:t>
      </w:r>
      <w:r>
        <w:rPr>
          <w:rStyle w:val="FootnoteReference"/>
        </w:rPr>
        <w:footnoteReference w:id="125"/>
      </w:r>
      <w:r w:rsidR="00A9483C">
        <w:t xml:space="preserve">  </w:t>
      </w:r>
      <w:r w:rsidR="00B41567">
        <w:t xml:space="preserve">In cases where a </w:t>
      </w:r>
      <w:r w:rsidR="00F151E7">
        <w:t>subsequent</w:t>
      </w:r>
      <w:r w:rsidR="0099176F">
        <w:t xml:space="preserve"> </w:t>
      </w:r>
      <w:r w:rsidR="001516D5">
        <w:t>model</w:t>
      </w:r>
      <w:r w:rsidR="00B41567">
        <w:t xml:space="preserve"> is electrically identical to </w:t>
      </w:r>
      <w:r w:rsidR="00F151E7">
        <w:t>a</w:t>
      </w:r>
      <w:r w:rsidR="00B41567">
        <w:t xml:space="preserve"> model that was originally tested</w:t>
      </w:r>
      <w:r w:rsidR="0099176F">
        <w:t xml:space="preserve"> and marketed</w:t>
      </w:r>
      <w:r w:rsidR="00B41567">
        <w:t>,</w:t>
      </w:r>
      <w:r w:rsidR="00A9483C">
        <w:t xml:space="preserve"> </w:t>
      </w:r>
      <w:r w:rsidR="0099176F">
        <w:t xml:space="preserve">the original model’s </w:t>
      </w:r>
      <w:r w:rsidR="00A9483C">
        <w:t xml:space="preserve">authorization may attach to </w:t>
      </w:r>
      <w:r w:rsidR="0099176F">
        <w:t xml:space="preserve">the </w:t>
      </w:r>
      <w:r w:rsidR="00F151E7">
        <w:t>subsequent</w:t>
      </w:r>
      <w:r w:rsidR="00A9483C">
        <w:t xml:space="preserve"> </w:t>
      </w:r>
      <w:r w:rsidR="00F151E7">
        <w:t>model</w:t>
      </w:r>
      <w:r w:rsidR="00A9483C">
        <w:t>.</w:t>
      </w:r>
      <w:r>
        <w:rPr>
          <w:rStyle w:val="FootnoteReference"/>
        </w:rPr>
        <w:footnoteReference w:id="126"/>
      </w:r>
      <w:r w:rsidR="00A9483C">
        <w:t xml:space="preserve">  </w:t>
      </w:r>
      <w:r w:rsidRPr="003D659E" w:rsidR="00A9483C">
        <w:t xml:space="preserve">Generally, to be considered electrically identical, devices must have the same </w:t>
      </w:r>
      <w:r w:rsidRPr="0004745B" w:rsidR="00A9483C">
        <w:t>basic frequency determining and stabilizing circuitry (including clock and data rates), frequency multiplication stages, basic modulator circuit</w:t>
      </w:r>
      <w:r w:rsidR="00A9483C">
        <w:t xml:space="preserve">, </w:t>
      </w:r>
      <w:r w:rsidRPr="0004745B" w:rsidR="00A9483C">
        <w:t>maximum power</w:t>
      </w:r>
      <w:r w:rsidR="00A9483C">
        <w:t>, and</w:t>
      </w:r>
      <w:r w:rsidRPr="0004745B" w:rsidR="00A9483C">
        <w:t xml:space="preserve"> field strength ratings</w:t>
      </w:r>
      <w:r w:rsidR="00A9483C">
        <w:t>.</w:t>
      </w:r>
      <w:r>
        <w:rPr>
          <w:rStyle w:val="FootnoteReference"/>
        </w:rPr>
        <w:footnoteReference w:id="127"/>
      </w:r>
      <w:r w:rsidR="00A9483C">
        <w:t xml:space="preserve">  </w:t>
      </w:r>
      <w:r w:rsidRPr="00F46703" w:rsidR="002F2BAC">
        <w:rPr>
          <w:color w:val="000000"/>
        </w:rPr>
        <w:t>The Company</w:t>
      </w:r>
      <w:r w:rsidRPr="00F46703" w:rsidR="0049430F">
        <w:rPr>
          <w:color w:val="000000"/>
        </w:rPr>
        <w:t>, however, did not provide any technical documentation, such as diagrams of circuit layouts</w:t>
      </w:r>
      <w:r w:rsidRPr="00F46703" w:rsidR="0045658A">
        <w:rPr>
          <w:color w:val="000000"/>
        </w:rPr>
        <w:t xml:space="preserve"> or testing</w:t>
      </w:r>
      <w:r w:rsidRPr="00F46703" w:rsidR="0049430F">
        <w:rPr>
          <w:color w:val="000000"/>
        </w:rPr>
        <w:t>, to support its claim that the devices are identical.</w:t>
      </w:r>
      <w:r w:rsidRPr="00F46703" w:rsidR="00C773AC">
        <w:rPr>
          <w:color w:val="000000"/>
        </w:rPr>
        <w:t xml:space="preserve">  </w:t>
      </w:r>
      <w:r w:rsidR="00FF35BA">
        <w:rPr>
          <w:color w:val="000000"/>
        </w:rPr>
        <w:t xml:space="preserve">Without such information, </w:t>
      </w:r>
      <w:r w:rsidR="00E071CD">
        <w:rPr>
          <w:color w:val="000000"/>
        </w:rPr>
        <w:t xml:space="preserve">Sound Around has failed to provide </w:t>
      </w:r>
      <w:r w:rsidR="009157B5">
        <w:rPr>
          <w:color w:val="000000"/>
        </w:rPr>
        <w:t>any</w:t>
      </w:r>
      <w:r w:rsidRPr="00F46703" w:rsidR="009157B5">
        <w:rPr>
          <w:color w:val="000000"/>
        </w:rPr>
        <w:t xml:space="preserve"> </w:t>
      </w:r>
      <w:r w:rsidRPr="00F46703" w:rsidR="00FF35BA">
        <w:rPr>
          <w:color w:val="000000"/>
        </w:rPr>
        <w:t xml:space="preserve">evidence to support </w:t>
      </w:r>
      <w:r w:rsidR="00BF122E">
        <w:rPr>
          <w:color w:val="000000"/>
        </w:rPr>
        <w:t>its claim</w:t>
      </w:r>
      <w:r w:rsidRPr="00F46703" w:rsidR="00FF35BA">
        <w:rPr>
          <w:color w:val="000000"/>
        </w:rPr>
        <w:t>.</w:t>
      </w:r>
      <w:bookmarkStart w:id="149" w:name="_Ref101258861"/>
      <w:r>
        <w:rPr>
          <w:rStyle w:val="FootnoteReference"/>
        </w:rPr>
        <w:footnoteReference w:id="128"/>
      </w:r>
      <w:bookmarkEnd w:id="149"/>
      <w:r w:rsidRPr="00F46703" w:rsidR="00FF35BA">
        <w:rPr>
          <w:color w:val="000000"/>
        </w:rPr>
        <w:t xml:space="preserve">  </w:t>
      </w:r>
      <w:r w:rsidRPr="00F46703" w:rsidR="0049430F">
        <w:rPr>
          <w:color w:val="000000"/>
        </w:rPr>
        <w:t xml:space="preserve">Accordingly, </w:t>
      </w:r>
      <w:r w:rsidRPr="00F46703" w:rsidR="00EB3B12">
        <w:rPr>
          <w:color w:val="000000"/>
        </w:rPr>
        <w:t xml:space="preserve">we reject </w:t>
      </w:r>
      <w:r w:rsidR="00E70C19">
        <w:rPr>
          <w:color w:val="000000"/>
        </w:rPr>
        <w:t>the Company’s</w:t>
      </w:r>
      <w:r w:rsidRPr="00F46703" w:rsidR="00EB3B12">
        <w:rPr>
          <w:color w:val="000000"/>
        </w:rPr>
        <w:t xml:space="preserve"> claim that certain models are identical.</w:t>
      </w:r>
      <w:r>
        <w:rPr>
          <w:rStyle w:val="FootnoteReference"/>
        </w:rPr>
        <w:footnoteReference w:id="129"/>
      </w:r>
      <w:r w:rsidR="00905B80">
        <w:rPr>
          <w:color w:val="000000"/>
        </w:rPr>
        <w:t xml:space="preserve">  </w:t>
      </w:r>
    </w:p>
    <w:p w:rsidR="0049430F" w:rsidRPr="00F46703" w:rsidP="009B3BA1" w14:paraId="5CDC2CFA" w14:textId="5B0E52A3">
      <w:pPr>
        <w:pStyle w:val="ParaNum"/>
        <w:widowControl/>
        <w:rPr>
          <w:color w:val="000000"/>
        </w:rPr>
      </w:pPr>
      <w:bookmarkStart w:id="150" w:name="_Ref101884164"/>
      <w:r>
        <w:rPr>
          <w:color w:val="000000"/>
        </w:rPr>
        <w:t xml:space="preserve">Sound Around </w:t>
      </w:r>
      <w:r w:rsidR="008B2C83">
        <w:rPr>
          <w:color w:val="000000"/>
        </w:rPr>
        <w:t xml:space="preserve">also </w:t>
      </w:r>
      <w:r>
        <w:rPr>
          <w:color w:val="000000"/>
        </w:rPr>
        <w:t xml:space="preserve">claims that five of the subject microphones </w:t>
      </w:r>
      <w:r w:rsidR="001514C1">
        <w:rPr>
          <w:color w:val="000000"/>
        </w:rPr>
        <w:t xml:space="preserve">had </w:t>
      </w:r>
      <w:r>
        <w:rPr>
          <w:color w:val="000000"/>
        </w:rPr>
        <w:t xml:space="preserve">not been sold for more than a year prior to the release of the </w:t>
      </w:r>
      <w:r>
        <w:rPr>
          <w:i/>
          <w:iCs/>
          <w:color w:val="000000"/>
        </w:rPr>
        <w:t>NAL</w:t>
      </w:r>
      <w:r>
        <w:rPr>
          <w:color w:val="000000"/>
        </w:rPr>
        <w:t xml:space="preserve"> and therefore should not be counted as violations</w:t>
      </w:r>
      <w:r w:rsidR="00363615">
        <w:rPr>
          <w:color w:val="000000"/>
        </w:rPr>
        <w:t xml:space="preserve"> in accordance with the statute of limitations.</w:t>
      </w:r>
      <w:r>
        <w:rPr>
          <w:rStyle w:val="FootnoteReference"/>
        </w:rPr>
        <w:footnoteReference w:id="130"/>
      </w:r>
      <w:r w:rsidR="005A2EF9">
        <w:rPr>
          <w:color w:val="000000"/>
        </w:rPr>
        <w:t xml:space="preserve">  However, because the Company has not presented any evidence in support of its claim</w:t>
      </w:r>
      <w:r w:rsidR="008B2C83">
        <w:rPr>
          <w:color w:val="000000"/>
        </w:rPr>
        <w:t>,</w:t>
      </w:r>
      <w:r w:rsidR="00042F13">
        <w:rPr>
          <w:color w:val="000000"/>
        </w:rPr>
        <w:t xml:space="preserve"> aside from its </w:t>
      </w:r>
      <w:r w:rsidR="001E2463">
        <w:rPr>
          <w:color w:val="000000"/>
        </w:rPr>
        <w:t xml:space="preserve">unsupported </w:t>
      </w:r>
      <w:r w:rsidR="00D949A9">
        <w:rPr>
          <w:color w:val="000000"/>
        </w:rPr>
        <w:t xml:space="preserve">statement in the </w:t>
      </w:r>
      <w:r w:rsidR="00042F13">
        <w:rPr>
          <w:color w:val="000000"/>
        </w:rPr>
        <w:t>NAL Response</w:t>
      </w:r>
      <w:r w:rsidR="00F03955">
        <w:rPr>
          <w:color w:val="000000"/>
        </w:rPr>
        <w:t xml:space="preserve">, and </w:t>
      </w:r>
      <w:r w:rsidR="00C84D91">
        <w:rPr>
          <w:color w:val="000000"/>
        </w:rPr>
        <w:t>because a company does not have to sell a model to be in violat</w:t>
      </w:r>
      <w:r w:rsidR="00D20E61">
        <w:rPr>
          <w:color w:val="000000"/>
        </w:rPr>
        <w:t>i</w:t>
      </w:r>
      <w:r w:rsidR="00C84D91">
        <w:rPr>
          <w:color w:val="000000"/>
        </w:rPr>
        <w:t xml:space="preserve">on </w:t>
      </w:r>
      <w:r w:rsidR="00D20E61">
        <w:rPr>
          <w:color w:val="000000"/>
        </w:rPr>
        <w:t>for</w:t>
      </w:r>
      <w:r w:rsidR="00C84D91">
        <w:rPr>
          <w:color w:val="000000"/>
        </w:rPr>
        <w:t xml:space="preserve"> marketing the model</w:t>
      </w:r>
      <w:r w:rsidR="005A2EF9">
        <w:rPr>
          <w:color w:val="000000"/>
        </w:rPr>
        <w:t>,</w:t>
      </w:r>
      <w:r>
        <w:rPr>
          <w:rStyle w:val="FootnoteReference"/>
        </w:rPr>
        <w:footnoteReference w:id="131"/>
      </w:r>
      <w:r w:rsidR="005A2EF9">
        <w:rPr>
          <w:color w:val="000000"/>
        </w:rPr>
        <w:t xml:space="preserve"> we conclude that </w:t>
      </w:r>
      <w:r w:rsidR="00D20E61">
        <w:rPr>
          <w:color w:val="000000"/>
        </w:rPr>
        <w:t>Sound Around</w:t>
      </w:r>
      <w:r w:rsidR="005A2EF9">
        <w:rPr>
          <w:color w:val="000000"/>
        </w:rPr>
        <w:t xml:space="preserve"> was marketing the five </w:t>
      </w:r>
      <w:r w:rsidR="006B43F9">
        <w:rPr>
          <w:color w:val="000000"/>
        </w:rPr>
        <w:t>m</w:t>
      </w:r>
      <w:r w:rsidR="005A2EF9">
        <w:rPr>
          <w:color w:val="000000"/>
        </w:rPr>
        <w:t xml:space="preserve">icrophones during the applicable period and </w:t>
      </w:r>
      <w:r w:rsidR="006B43F9">
        <w:rPr>
          <w:color w:val="000000"/>
        </w:rPr>
        <w:t>they were appropriately counted as violations.</w:t>
      </w:r>
      <w:r>
        <w:rPr>
          <w:rStyle w:val="FootnoteReference"/>
        </w:rPr>
        <w:footnoteReference w:id="132"/>
      </w:r>
      <w:r w:rsidR="00042F13">
        <w:rPr>
          <w:color w:val="000000"/>
        </w:rPr>
        <w:t xml:space="preserve">  There is ample evidence Sound Around marketed the five wireless microphones during the</w:t>
      </w:r>
      <w:r w:rsidR="002D5CEC">
        <w:rPr>
          <w:color w:val="000000"/>
        </w:rPr>
        <w:t xml:space="preserve"> relevant</w:t>
      </w:r>
      <w:r w:rsidR="00042F13">
        <w:rPr>
          <w:color w:val="000000"/>
        </w:rPr>
        <w:t xml:space="preserve"> time</w:t>
      </w:r>
      <w:r w:rsidR="00EF3BC4">
        <w:rPr>
          <w:color w:val="000000"/>
        </w:rPr>
        <w:t>frame</w:t>
      </w:r>
      <w:r w:rsidR="00042F13">
        <w:rPr>
          <w:color w:val="000000"/>
        </w:rPr>
        <w:t xml:space="preserve"> of the </w:t>
      </w:r>
      <w:r w:rsidR="00042F13">
        <w:rPr>
          <w:i/>
          <w:iCs/>
          <w:color w:val="000000"/>
        </w:rPr>
        <w:t>NAL</w:t>
      </w:r>
      <w:r w:rsidR="00042F13">
        <w:rPr>
          <w:color w:val="000000"/>
        </w:rPr>
        <w:t>.</w:t>
      </w:r>
      <w:r>
        <w:rPr>
          <w:rStyle w:val="FootnoteReference"/>
        </w:rPr>
        <w:footnoteReference w:id="133"/>
      </w:r>
      <w:bookmarkEnd w:id="150"/>
      <w:r>
        <w:rPr>
          <w:color w:val="000000"/>
        </w:rPr>
        <w:t xml:space="preserve"> </w:t>
      </w:r>
      <w:r w:rsidRPr="00F46703" w:rsidR="00410CD1">
        <w:rPr>
          <w:color w:val="000000"/>
        </w:rPr>
        <w:t xml:space="preserve">    </w:t>
      </w:r>
    </w:p>
    <w:p w:rsidR="001B3598" w:rsidRPr="001B3598" w:rsidP="009B3BA1" w14:paraId="21C943B9" w14:textId="08A16113">
      <w:pPr>
        <w:pStyle w:val="ParaNum"/>
        <w:widowControl/>
        <w:rPr>
          <w:color w:val="000000"/>
        </w:rPr>
      </w:pPr>
      <w:bookmarkStart w:id="151" w:name="_Ref101884171"/>
      <w:bookmarkStart w:id="152" w:name="_Hlk70335818"/>
      <w:r w:rsidRPr="0067564C">
        <w:t xml:space="preserve">Next, Sound Around contends that seven of the </w:t>
      </w:r>
      <w:r w:rsidR="00014747">
        <w:t>thirty-two</w:t>
      </w:r>
      <w:r w:rsidRPr="0067564C">
        <w:t xml:space="preserve"> models of wireless microphones should not be counted as violations because they were authorized and labeled in accordance with the equipment marketing rules</w:t>
      </w:r>
      <w:r>
        <w:t>.</w:t>
      </w:r>
      <w:r>
        <w:rPr>
          <w:rStyle w:val="FootnoteReference"/>
        </w:rPr>
        <w:footnoteReference w:id="134"/>
      </w:r>
      <w:r>
        <w:t xml:space="preserve"> </w:t>
      </w:r>
      <w:r w:rsidR="003863D9">
        <w:t xml:space="preserve"> </w:t>
      </w:r>
      <w:r w:rsidR="00FC1C34">
        <w:t xml:space="preserve">Yet, </w:t>
      </w:r>
      <w:r w:rsidR="00427EDF">
        <w:t>the</w:t>
      </w:r>
      <w:r w:rsidR="000B0654">
        <w:t xml:space="preserve"> operating</w:t>
      </w:r>
      <w:r w:rsidR="00427EDF">
        <w:t xml:space="preserve"> frequencies </w:t>
      </w:r>
      <w:r w:rsidR="00646A97">
        <w:t xml:space="preserve">shown </w:t>
      </w:r>
      <w:r w:rsidR="002D5CEC">
        <w:t>i</w:t>
      </w:r>
      <w:r w:rsidR="00646A97">
        <w:t xml:space="preserve">n the photographs provided </w:t>
      </w:r>
      <w:r w:rsidR="00427EDF">
        <w:t xml:space="preserve">by Sound Around in its NAL Response for </w:t>
      </w:r>
      <w:r w:rsidR="000A2EB1">
        <w:t>f</w:t>
      </w:r>
      <w:r w:rsidR="00390E6A">
        <w:t>our</w:t>
      </w:r>
      <w:r w:rsidR="000A2EB1">
        <w:t xml:space="preserve"> of the seven models are</w:t>
      </w:r>
      <w:r w:rsidR="0045658A">
        <w:t xml:space="preserve"> </w:t>
      </w:r>
      <w:r w:rsidR="00BA7010">
        <w:t xml:space="preserve">for frequencies </w:t>
      </w:r>
      <w:r w:rsidR="000A2EB1">
        <w:t>other than those authorized</w:t>
      </w:r>
      <w:r>
        <w:t xml:space="preserve"> </w:t>
      </w:r>
      <w:r w:rsidR="00C21E16">
        <w:t>based on the FCC IDs provided</w:t>
      </w:r>
      <w:r w:rsidR="000A2EB1">
        <w:t xml:space="preserve">.  </w:t>
      </w:r>
      <w:r w:rsidR="0067564C">
        <w:t xml:space="preserve">The following chart indicates </w:t>
      </w:r>
      <w:r w:rsidR="00C21E16">
        <w:t xml:space="preserve">the discrepancies between the alleged FCC ID and the operating frequencies </w:t>
      </w:r>
      <w:r w:rsidR="001B4385">
        <w:t xml:space="preserve">of four </w:t>
      </w:r>
      <w:r w:rsidR="00C21E16">
        <w:t>of the seven wireless microphones</w:t>
      </w:r>
      <w:r w:rsidR="00395C7A">
        <w:t xml:space="preserve"> newly claimed in the Company’s 2020 </w:t>
      </w:r>
      <w:r w:rsidR="00FF7964">
        <w:t xml:space="preserve">NAL </w:t>
      </w:r>
      <w:r w:rsidR="00395C7A">
        <w:t>Response</w:t>
      </w:r>
      <w:r w:rsidR="00C21E16">
        <w:t>.</w:t>
      </w:r>
      <w:bookmarkEnd w:id="151"/>
      <w:r w:rsidR="00C21E16">
        <w:t xml:space="preserve">  </w:t>
      </w:r>
    </w:p>
    <w:tbl>
      <w:tblPr>
        <w:tblW w:w="8861" w:type="dxa"/>
        <w:tblCellMar>
          <w:left w:w="0" w:type="dxa"/>
          <w:right w:w="0" w:type="dxa"/>
        </w:tblCellMar>
        <w:tblLook w:val="04A0"/>
      </w:tblPr>
      <w:tblGrid>
        <w:gridCol w:w="2215"/>
        <w:gridCol w:w="1748"/>
        <w:gridCol w:w="2449"/>
        <w:gridCol w:w="2449"/>
      </w:tblGrid>
      <w:tr w14:paraId="7672E11A" w14:textId="77777777" w:rsidTr="00486476">
        <w:tblPrEx>
          <w:tblW w:w="8861" w:type="dxa"/>
          <w:tblCellMar>
            <w:left w:w="0" w:type="dxa"/>
            <w:right w:w="0" w:type="dxa"/>
          </w:tblCellMar>
          <w:tblLook w:val="04A0"/>
        </w:tblPrEx>
        <w:tc>
          <w:tcPr>
            <w:tcW w:w="2215" w:type="dxa"/>
            <w:tcBorders>
              <w:top w:val="single" w:sz="8" w:space="0" w:color="auto"/>
              <w:left w:val="single" w:sz="8" w:space="0" w:color="auto"/>
              <w:bottom w:val="single" w:sz="8" w:space="0" w:color="auto"/>
              <w:right w:val="single" w:sz="8" w:space="0" w:color="auto"/>
            </w:tcBorders>
            <w:tcMar>
              <w:top w:w="58" w:type="dxa"/>
              <w:left w:w="58" w:type="dxa"/>
              <w:bottom w:w="58" w:type="dxa"/>
              <w:right w:w="58" w:type="dxa"/>
            </w:tcMar>
            <w:hideMark/>
          </w:tcPr>
          <w:p w:rsidR="001B3598" w:rsidRPr="00486476" w:rsidP="009B3BA1" w14:paraId="057BCE34" w14:textId="77777777">
            <w:pPr>
              <w:widowControl/>
            </w:pPr>
            <w:r w:rsidRPr="00486476">
              <w:t>Model</w:t>
            </w:r>
          </w:p>
        </w:tc>
        <w:tc>
          <w:tcPr>
            <w:tcW w:w="1748" w:type="dxa"/>
            <w:tcBorders>
              <w:top w:val="single" w:sz="8" w:space="0" w:color="auto"/>
              <w:left w:val="nil"/>
              <w:bottom w:val="single" w:sz="8" w:space="0" w:color="auto"/>
              <w:right w:val="single" w:sz="8" w:space="0" w:color="auto"/>
            </w:tcBorders>
            <w:tcMar>
              <w:top w:w="58" w:type="dxa"/>
              <w:left w:w="58" w:type="dxa"/>
              <w:bottom w:w="58" w:type="dxa"/>
              <w:right w:w="58" w:type="dxa"/>
            </w:tcMar>
            <w:hideMark/>
          </w:tcPr>
          <w:p w:rsidR="001B3598" w:rsidRPr="00B52D11" w:rsidP="009B3BA1" w14:paraId="79A2544A" w14:textId="03429BE1">
            <w:pPr>
              <w:widowControl/>
            </w:pPr>
            <w:r w:rsidRPr="00B52D11">
              <w:t>FCC ID</w:t>
            </w:r>
            <w:r>
              <w:t xml:space="preserve"> provided by Sound Around in 2020 </w:t>
            </w:r>
            <w:r w:rsidR="00FF7964">
              <w:t xml:space="preserve">NAL </w:t>
            </w:r>
            <w:r>
              <w:t>Response</w:t>
            </w:r>
          </w:p>
        </w:tc>
        <w:tc>
          <w:tcPr>
            <w:tcW w:w="2449" w:type="dxa"/>
            <w:tcBorders>
              <w:top w:val="single" w:sz="8" w:space="0" w:color="auto"/>
              <w:left w:val="nil"/>
              <w:bottom w:val="single" w:sz="8" w:space="0" w:color="auto"/>
              <w:right w:val="single" w:sz="8" w:space="0" w:color="auto"/>
            </w:tcBorders>
            <w:tcMar>
              <w:top w:w="58" w:type="dxa"/>
              <w:left w:w="58" w:type="dxa"/>
              <w:bottom w:w="58" w:type="dxa"/>
              <w:right w:w="58" w:type="dxa"/>
            </w:tcMar>
          </w:tcPr>
          <w:p w:rsidR="001B3598" w:rsidRPr="00B52D11" w:rsidP="009B3BA1" w14:paraId="63888BF3" w14:textId="41888AE5">
            <w:pPr>
              <w:widowControl/>
            </w:pPr>
            <w:r w:rsidRPr="00B52D11">
              <w:t xml:space="preserve">Frequencies authorized by </w:t>
            </w:r>
            <w:r>
              <w:t xml:space="preserve">FCC ID provided in </w:t>
            </w:r>
            <w:r w:rsidRPr="00B52D11">
              <w:t xml:space="preserve">2020 </w:t>
            </w:r>
            <w:r w:rsidR="00FF7964">
              <w:t>NAL</w:t>
            </w:r>
            <w:r w:rsidRPr="00B52D11" w:rsidR="00FF7964">
              <w:t xml:space="preserve"> </w:t>
            </w:r>
            <w:r w:rsidRPr="00B52D11">
              <w:t>Resp</w:t>
            </w:r>
            <w:r>
              <w:t>onse</w:t>
            </w:r>
          </w:p>
        </w:tc>
        <w:tc>
          <w:tcPr>
            <w:tcW w:w="2449" w:type="dxa"/>
            <w:tcBorders>
              <w:top w:val="single" w:sz="8" w:space="0" w:color="auto"/>
              <w:left w:val="nil"/>
              <w:bottom w:val="single" w:sz="8" w:space="0" w:color="auto"/>
              <w:right w:val="single" w:sz="8" w:space="0" w:color="auto"/>
            </w:tcBorders>
            <w:tcMar>
              <w:top w:w="58" w:type="dxa"/>
              <w:left w:w="58" w:type="dxa"/>
              <w:bottom w:w="58" w:type="dxa"/>
              <w:right w:w="58" w:type="dxa"/>
            </w:tcMar>
          </w:tcPr>
          <w:p w:rsidR="001B3598" w:rsidRPr="00B52D11" w:rsidP="009B3BA1" w14:paraId="086DC6DE" w14:textId="2E4540D2">
            <w:pPr>
              <w:keepNext/>
              <w:keepLines/>
              <w:widowControl/>
            </w:pPr>
            <w:r w:rsidRPr="00B52D11">
              <w:t xml:space="preserve">Frequencies </w:t>
            </w:r>
            <w:r>
              <w:t>indicated on photo</w:t>
            </w:r>
            <w:r w:rsidR="00C21E16">
              <w:t>graphs</w:t>
            </w:r>
            <w:r>
              <w:t xml:space="preserve"> provided by Sound Around in 2020 </w:t>
            </w:r>
            <w:r w:rsidR="00FF7964">
              <w:t xml:space="preserve">NAL </w:t>
            </w:r>
            <w:r>
              <w:t>Response</w:t>
            </w:r>
          </w:p>
        </w:tc>
      </w:tr>
      <w:tr w14:paraId="317C5B83" w14:textId="77777777" w:rsidTr="00486476">
        <w:tblPrEx>
          <w:tblW w:w="8861" w:type="dxa"/>
          <w:tblCellMar>
            <w:left w:w="0" w:type="dxa"/>
            <w:right w:w="0" w:type="dxa"/>
          </w:tblCellMar>
          <w:tblLook w:val="04A0"/>
        </w:tblPrEx>
        <w:tc>
          <w:tcPr>
            <w:tcW w:w="2215" w:type="dxa"/>
            <w:tcBorders>
              <w:top w:val="nil"/>
              <w:left w:val="single" w:sz="8" w:space="0" w:color="auto"/>
              <w:bottom w:val="single" w:sz="8" w:space="0" w:color="auto"/>
              <w:right w:val="single" w:sz="8" w:space="0" w:color="auto"/>
            </w:tcBorders>
            <w:tcMar>
              <w:top w:w="58" w:type="dxa"/>
              <w:left w:w="58" w:type="dxa"/>
              <w:bottom w:w="58" w:type="dxa"/>
              <w:right w:w="58" w:type="dxa"/>
            </w:tcMar>
          </w:tcPr>
          <w:p w:rsidR="001B3598" w:rsidRPr="00486476" w:rsidP="009B3BA1" w14:paraId="76D80E63" w14:textId="77777777">
            <w:pPr>
              <w:widowControl/>
            </w:pPr>
            <w:r w:rsidRPr="00486476">
              <w:t>PDWM2135</w:t>
            </w:r>
          </w:p>
        </w:tc>
        <w:tc>
          <w:tcPr>
            <w:tcW w:w="1748" w:type="dxa"/>
            <w:tcBorders>
              <w:top w:val="nil"/>
              <w:left w:val="nil"/>
              <w:bottom w:val="single" w:sz="8" w:space="0" w:color="auto"/>
              <w:right w:val="single" w:sz="8" w:space="0" w:color="auto"/>
            </w:tcBorders>
            <w:tcMar>
              <w:top w:w="58" w:type="dxa"/>
              <w:left w:w="58" w:type="dxa"/>
              <w:bottom w:w="58" w:type="dxa"/>
              <w:right w:w="58" w:type="dxa"/>
            </w:tcMar>
          </w:tcPr>
          <w:p w:rsidR="001B3598" w:rsidRPr="00B52D11" w:rsidP="009B3BA1" w14:paraId="59ACEF17" w14:textId="77777777">
            <w:pPr>
              <w:widowControl/>
            </w:pPr>
            <w:r w:rsidRPr="00B52D11">
              <w:t>QSRHT-</w:t>
            </w:r>
            <w:r>
              <w:t>3</w:t>
            </w:r>
            <w:r w:rsidRPr="00B52D11">
              <w:t>5</w:t>
            </w:r>
            <w:r>
              <w:t>A</w:t>
            </w:r>
          </w:p>
        </w:tc>
        <w:tc>
          <w:tcPr>
            <w:tcW w:w="2449" w:type="dxa"/>
            <w:tcBorders>
              <w:top w:val="nil"/>
              <w:left w:val="nil"/>
              <w:bottom w:val="single" w:sz="8" w:space="0" w:color="auto"/>
              <w:right w:val="single" w:sz="8" w:space="0" w:color="auto"/>
            </w:tcBorders>
            <w:tcMar>
              <w:top w:w="58" w:type="dxa"/>
              <w:left w:w="58" w:type="dxa"/>
              <w:bottom w:w="58" w:type="dxa"/>
              <w:right w:w="58" w:type="dxa"/>
            </w:tcMar>
          </w:tcPr>
          <w:p w:rsidR="001B3598" w:rsidRPr="00B52D11" w:rsidP="009B3BA1" w14:paraId="5A5D25C9" w14:textId="77777777">
            <w:pPr>
              <w:widowControl/>
            </w:pPr>
            <w:r>
              <w:t>614.2-697.8 MHz</w:t>
            </w:r>
          </w:p>
        </w:tc>
        <w:tc>
          <w:tcPr>
            <w:tcW w:w="2449" w:type="dxa"/>
            <w:tcBorders>
              <w:top w:val="nil"/>
              <w:left w:val="nil"/>
              <w:bottom w:val="single" w:sz="8" w:space="0" w:color="auto"/>
              <w:right w:val="single" w:sz="8" w:space="0" w:color="auto"/>
            </w:tcBorders>
            <w:tcMar>
              <w:top w:w="58" w:type="dxa"/>
              <w:left w:w="58" w:type="dxa"/>
              <w:bottom w:w="58" w:type="dxa"/>
              <w:right w:w="58" w:type="dxa"/>
            </w:tcMar>
          </w:tcPr>
          <w:p w:rsidR="001B3598" w:rsidP="009B3BA1" w14:paraId="427F8775" w14:textId="77777777">
            <w:pPr>
              <w:widowControl/>
            </w:pPr>
            <w:r w:rsidRPr="00B52D11">
              <w:t>209.15 MHz &amp; 183.57 MHz</w:t>
            </w:r>
          </w:p>
        </w:tc>
      </w:tr>
      <w:tr w14:paraId="1B3E9115" w14:textId="77777777" w:rsidTr="001C07B3">
        <w:tblPrEx>
          <w:tblW w:w="8861" w:type="dxa"/>
          <w:tblCellMar>
            <w:left w:w="0" w:type="dxa"/>
            <w:right w:w="0" w:type="dxa"/>
          </w:tblCellMar>
          <w:tblLook w:val="04A0"/>
        </w:tblPrEx>
        <w:trPr>
          <w:cantSplit/>
        </w:trPr>
        <w:tc>
          <w:tcPr>
            <w:tcW w:w="2215" w:type="dxa"/>
            <w:tcBorders>
              <w:top w:val="nil"/>
              <w:left w:val="single" w:sz="8" w:space="0" w:color="auto"/>
              <w:bottom w:val="single" w:sz="8" w:space="0" w:color="auto"/>
              <w:right w:val="single" w:sz="8" w:space="0" w:color="auto"/>
            </w:tcBorders>
            <w:tcMar>
              <w:top w:w="58" w:type="dxa"/>
              <w:left w:w="58" w:type="dxa"/>
              <w:bottom w:w="58" w:type="dxa"/>
              <w:right w:w="58" w:type="dxa"/>
            </w:tcMar>
          </w:tcPr>
          <w:p w:rsidR="001B3598" w:rsidRPr="00486476" w:rsidP="009B3BA1" w14:paraId="0ACF796C" w14:textId="77777777">
            <w:pPr>
              <w:widowControl/>
            </w:pPr>
            <w:r w:rsidRPr="00486476">
              <w:t>PDWM2140</w:t>
            </w:r>
          </w:p>
          <w:p w:rsidR="001B3598" w:rsidRPr="00486476" w:rsidP="009B3BA1" w14:paraId="5471ECFD" w14:textId="0021B30E">
            <w:pPr>
              <w:widowControl/>
            </w:pPr>
          </w:p>
        </w:tc>
        <w:tc>
          <w:tcPr>
            <w:tcW w:w="1748" w:type="dxa"/>
            <w:tcBorders>
              <w:top w:val="nil"/>
              <w:left w:val="nil"/>
              <w:bottom w:val="single" w:sz="8" w:space="0" w:color="auto"/>
              <w:right w:val="single" w:sz="8" w:space="0" w:color="auto"/>
            </w:tcBorders>
            <w:tcMar>
              <w:top w:w="58" w:type="dxa"/>
              <w:left w:w="58" w:type="dxa"/>
              <w:bottom w:w="58" w:type="dxa"/>
              <w:right w:w="58" w:type="dxa"/>
            </w:tcMar>
          </w:tcPr>
          <w:p w:rsidR="001B3598" w:rsidP="009B3BA1" w14:paraId="0C899524" w14:textId="77777777">
            <w:pPr>
              <w:widowControl/>
            </w:pPr>
            <w:r>
              <w:t>QSRPT-15</w:t>
            </w:r>
          </w:p>
          <w:p w:rsidR="00486476" w:rsidRPr="00B52D11" w:rsidP="009B3BA1" w14:paraId="319D8E10" w14:textId="152B4EC3">
            <w:pPr>
              <w:widowControl/>
            </w:pPr>
            <w:r>
              <w:t>QSRHT-35A</w:t>
            </w:r>
          </w:p>
        </w:tc>
        <w:tc>
          <w:tcPr>
            <w:tcW w:w="2449" w:type="dxa"/>
            <w:tcBorders>
              <w:top w:val="nil"/>
              <w:left w:val="nil"/>
              <w:bottom w:val="single" w:sz="8" w:space="0" w:color="auto"/>
              <w:right w:val="single" w:sz="8" w:space="0" w:color="auto"/>
            </w:tcBorders>
            <w:tcMar>
              <w:top w:w="58" w:type="dxa"/>
              <w:left w:w="58" w:type="dxa"/>
              <w:bottom w:w="58" w:type="dxa"/>
              <w:right w:w="58" w:type="dxa"/>
            </w:tcMar>
          </w:tcPr>
          <w:p w:rsidR="001B3598" w:rsidP="009B3BA1" w14:paraId="6A375BDB" w14:textId="77777777">
            <w:pPr>
              <w:widowControl/>
            </w:pPr>
            <w:r>
              <w:t>614.2-697.8 MHz</w:t>
            </w:r>
          </w:p>
          <w:p w:rsidR="00486476" w:rsidRPr="00B52D11" w:rsidP="009B3BA1" w14:paraId="045FC1B9" w14:textId="68CBDCB6">
            <w:pPr>
              <w:widowControl/>
            </w:pPr>
            <w:r>
              <w:t>614.2-697.8 MHz</w:t>
            </w:r>
          </w:p>
        </w:tc>
        <w:tc>
          <w:tcPr>
            <w:tcW w:w="2449" w:type="dxa"/>
            <w:tcBorders>
              <w:top w:val="nil"/>
              <w:left w:val="nil"/>
              <w:bottom w:val="single" w:sz="8" w:space="0" w:color="auto"/>
              <w:right w:val="single" w:sz="8" w:space="0" w:color="auto"/>
            </w:tcBorders>
            <w:tcMar>
              <w:top w:w="58" w:type="dxa"/>
              <w:left w:w="58" w:type="dxa"/>
              <w:bottom w:w="58" w:type="dxa"/>
              <w:right w:w="58" w:type="dxa"/>
            </w:tcMar>
          </w:tcPr>
          <w:p w:rsidR="001B3598" w:rsidP="009B3BA1" w14:paraId="607AA6E2" w14:textId="77777777">
            <w:pPr>
              <w:widowControl/>
            </w:pPr>
            <w:r>
              <w:t>197.15 MHz</w:t>
            </w:r>
          </w:p>
          <w:p w:rsidR="00486476" w:rsidP="009B3BA1" w14:paraId="68979BBD" w14:textId="44953327">
            <w:pPr>
              <w:widowControl/>
            </w:pPr>
            <w:r>
              <w:t>175.50 MHz</w:t>
            </w:r>
          </w:p>
        </w:tc>
      </w:tr>
      <w:tr w14:paraId="4914F0E5" w14:textId="77777777" w:rsidTr="00486476">
        <w:tblPrEx>
          <w:tblW w:w="8861" w:type="dxa"/>
          <w:tblCellMar>
            <w:left w:w="0" w:type="dxa"/>
            <w:right w:w="0" w:type="dxa"/>
          </w:tblCellMar>
          <w:tblLook w:val="04A0"/>
        </w:tblPrEx>
        <w:tc>
          <w:tcPr>
            <w:tcW w:w="2215" w:type="dxa"/>
            <w:tcBorders>
              <w:top w:val="nil"/>
              <w:left w:val="single" w:sz="8" w:space="0" w:color="auto"/>
              <w:bottom w:val="single" w:sz="8" w:space="0" w:color="auto"/>
              <w:right w:val="single" w:sz="8" w:space="0" w:color="auto"/>
            </w:tcBorders>
            <w:tcMar>
              <w:top w:w="58" w:type="dxa"/>
              <w:left w:w="58" w:type="dxa"/>
              <w:bottom w:w="58" w:type="dxa"/>
              <w:right w:w="58" w:type="dxa"/>
            </w:tcMar>
          </w:tcPr>
          <w:p w:rsidR="001B3598" w:rsidRPr="00486476" w:rsidP="009B3BA1" w14:paraId="2F9A796F" w14:textId="5B6B9DA6">
            <w:pPr>
              <w:widowControl/>
            </w:pPr>
            <w:r w:rsidRPr="00486476">
              <w:t xml:space="preserve">PDWM3378 </w:t>
            </w:r>
          </w:p>
        </w:tc>
        <w:tc>
          <w:tcPr>
            <w:tcW w:w="1748" w:type="dxa"/>
            <w:tcBorders>
              <w:top w:val="nil"/>
              <w:left w:val="nil"/>
              <w:bottom w:val="single" w:sz="8" w:space="0" w:color="auto"/>
              <w:right w:val="single" w:sz="8" w:space="0" w:color="auto"/>
            </w:tcBorders>
            <w:tcMar>
              <w:top w:w="58" w:type="dxa"/>
              <w:left w:w="58" w:type="dxa"/>
              <w:bottom w:w="58" w:type="dxa"/>
              <w:right w:w="58" w:type="dxa"/>
            </w:tcMar>
          </w:tcPr>
          <w:p w:rsidR="001B3598" w:rsidP="009B3BA1" w14:paraId="5D885020" w14:textId="77777777">
            <w:pPr>
              <w:widowControl/>
            </w:pPr>
            <w:r>
              <w:t>QSRHT-25</w:t>
            </w:r>
          </w:p>
          <w:p w:rsidR="00F93D9E" w:rsidP="009B3BA1" w14:paraId="5431724A" w14:textId="510735E5">
            <w:pPr>
              <w:widowControl/>
            </w:pPr>
            <w:r>
              <w:t>QSRPT-25</w:t>
            </w:r>
          </w:p>
        </w:tc>
        <w:tc>
          <w:tcPr>
            <w:tcW w:w="2449" w:type="dxa"/>
            <w:tcBorders>
              <w:top w:val="nil"/>
              <w:left w:val="nil"/>
              <w:bottom w:val="single" w:sz="8" w:space="0" w:color="auto"/>
              <w:right w:val="single" w:sz="8" w:space="0" w:color="auto"/>
            </w:tcBorders>
            <w:tcMar>
              <w:top w:w="58" w:type="dxa"/>
              <w:left w:w="58" w:type="dxa"/>
              <w:bottom w:w="58" w:type="dxa"/>
              <w:right w:w="58" w:type="dxa"/>
            </w:tcMar>
          </w:tcPr>
          <w:p w:rsidR="001B3598" w:rsidP="009B3BA1" w14:paraId="773CA1FF" w14:textId="77777777">
            <w:pPr>
              <w:widowControl/>
            </w:pPr>
            <w:r>
              <w:t>614.2-697.8 MHz</w:t>
            </w:r>
          </w:p>
          <w:p w:rsidR="00F93D9E" w:rsidRPr="00B52D11" w:rsidP="009B3BA1" w14:paraId="07FA5EFF" w14:textId="299AFCBD">
            <w:pPr>
              <w:widowControl/>
            </w:pPr>
            <w:r>
              <w:t>614.2-697.8 MHz</w:t>
            </w:r>
          </w:p>
        </w:tc>
        <w:tc>
          <w:tcPr>
            <w:tcW w:w="2449" w:type="dxa"/>
            <w:tcBorders>
              <w:top w:val="nil"/>
              <w:left w:val="nil"/>
              <w:bottom w:val="single" w:sz="8" w:space="0" w:color="auto"/>
              <w:right w:val="single" w:sz="8" w:space="0" w:color="auto"/>
            </w:tcBorders>
            <w:tcMar>
              <w:top w:w="58" w:type="dxa"/>
              <w:left w:w="58" w:type="dxa"/>
              <w:bottom w:w="58" w:type="dxa"/>
              <w:right w:w="58" w:type="dxa"/>
            </w:tcMar>
          </w:tcPr>
          <w:p w:rsidR="00F93D9E" w:rsidP="009B3BA1" w14:paraId="0B73AE68" w14:textId="77777777">
            <w:pPr>
              <w:widowControl/>
            </w:pPr>
            <w:r>
              <w:t>573-597.8 MHz</w:t>
            </w:r>
          </w:p>
          <w:p w:rsidR="001B3598" w:rsidP="009B3BA1" w14:paraId="2B1B1582" w14:textId="1836DAC6">
            <w:pPr>
              <w:widowControl/>
            </w:pPr>
            <w:r>
              <w:t>573-597.8 MHz</w:t>
            </w:r>
          </w:p>
        </w:tc>
      </w:tr>
      <w:tr w14:paraId="7C66AD31" w14:textId="77777777" w:rsidTr="00486476">
        <w:tblPrEx>
          <w:tblW w:w="8861" w:type="dxa"/>
          <w:tblCellMar>
            <w:left w:w="0" w:type="dxa"/>
            <w:right w:w="0" w:type="dxa"/>
          </w:tblCellMar>
          <w:tblLook w:val="04A0"/>
        </w:tblPrEx>
        <w:tc>
          <w:tcPr>
            <w:tcW w:w="2215" w:type="dxa"/>
            <w:tcBorders>
              <w:top w:val="nil"/>
              <w:left w:val="single" w:sz="8" w:space="0" w:color="auto"/>
              <w:bottom w:val="single" w:sz="8" w:space="0" w:color="auto"/>
              <w:right w:val="single" w:sz="8" w:space="0" w:color="auto"/>
            </w:tcBorders>
            <w:tcMar>
              <w:top w:w="58" w:type="dxa"/>
              <w:left w:w="58" w:type="dxa"/>
              <w:bottom w:w="58" w:type="dxa"/>
              <w:right w:w="58" w:type="dxa"/>
            </w:tcMar>
          </w:tcPr>
          <w:p w:rsidR="001B3598" w:rsidRPr="00486476" w:rsidP="009B3BA1" w14:paraId="4BD10EA3" w14:textId="77777777">
            <w:pPr>
              <w:widowControl/>
            </w:pPr>
            <w:r w:rsidRPr="00486476">
              <w:t>PDWM4560</w:t>
            </w:r>
          </w:p>
        </w:tc>
        <w:tc>
          <w:tcPr>
            <w:tcW w:w="1748" w:type="dxa"/>
            <w:tcBorders>
              <w:top w:val="nil"/>
              <w:left w:val="nil"/>
              <w:bottom w:val="single" w:sz="8" w:space="0" w:color="auto"/>
              <w:right w:val="single" w:sz="8" w:space="0" w:color="auto"/>
            </w:tcBorders>
            <w:tcMar>
              <w:top w:w="58" w:type="dxa"/>
              <w:left w:w="58" w:type="dxa"/>
              <w:bottom w:w="58" w:type="dxa"/>
              <w:right w:w="58" w:type="dxa"/>
            </w:tcMar>
          </w:tcPr>
          <w:p w:rsidR="001B3598" w:rsidP="009B3BA1" w14:paraId="2E2B6DB0" w14:textId="77777777">
            <w:pPr>
              <w:widowControl/>
            </w:pPr>
            <w:r>
              <w:t>QSRPT-15</w:t>
            </w:r>
          </w:p>
        </w:tc>
        <w:tc>
          <w:tcPr>
            <w:tcW w:w="2449" w:type="dxa"/>
            <w:tcBorders>
              <w:top w:val="nil"/>
              <w:left w:val="nil"/>
              <w:bottom w:val="single" w:sz="8" w:space="0" w:color="auto"/>
              <w:right w:val="single" w:sz="8" w:space="0" w:color="auto"/>
            </w:tcBorders>
            <w:tcMar>
              <w:top w:w="58" w:type="dxa"/>
              <w:left w:w="58" w:type="dxa"/>
              <w:bottom w:w="58" w:type="dxa"/>
              <w:right w:w="58" w:type="dxa"/>
            </w:tcMar>
          </w:tcPr>
          <w:p w:rsidR="001B3598" w:rsidRPr="00B52D11" w:rsidP="009B3BA1" w14:paraId="531BD70C" w14:textId="77777777">
            <w:pPr>
              <w:widowControl/>
            </w:pPr>
            <w:r>
              <w:t>614.2-697.8 MHz</w:t>
            </w:r>
          </w:p>
        </w:tc>
        <w:tc>
          <w:tcPr>
            <w:tcW w:w="2449" w:type="dxa"/>
            <w:tcBorders>
              <w:top w:val="nil"/>
              <w:left w:val="nil"/>
              <w:bottom w:val="single" w:sz="8" w:space="0" w:color="auto"/>
              <w:right w:val="single" w:sz="8" w:space="0" w:color="auto"/>
            </w:tcBorders>
            <w:tcMar>
              <w:top w:w="58" w:type="dxa"/>
              <w:left w:w="58" w:type="dxa"/>
              <w:bottom w:w="58" w:type="dxa"/>
              <w:right w:w="58" w:type="dxa"/>
            </w:tcMar>
          </w:tcPr>
          <w:p w:rsidR="001B3598" w:rsidP="009B3BA1" w14:paraId="6E15C697" w14:textId="77777777">
            <w:pPr>
              <w:widowControl/>
            </w:pPr>
            <w:r>
              <w:t>596.20 MHz</w:t>
            </w:r>
          </w:p>
          <w:p w:rsidR="001B3598" w:rsidP="009B3BA1" w14:paraId="547089E3" w14:textId="77777777">
            <w:pPr>
              <w:widowControl/>
            </w:pPr>
            <w:r>
              <w:t>572.10 MHz</w:t>
            </w:r>
          </w:p>
        </w:tc>
      </w:tr>
    </w:tbl>
    <w:p w:rsidR="001B3598" w:rsidRPr="001B3598" w:rsidP="009B3BA1" w14:paraId="02FBFB74" w14:textId="77777777">
      <w:pPr>
        <w:widowControl/>
      </w:pPr>
    </w:p>
    <w:p w:rsidR="00C21E16" w:rsidP="009B3BA1" w14:paraId="3492AB80" w14:textId="1A2C757E">
      <w:pPr>
        <w:pStyle w:val="ParaNum"/>
        <w:widowControl/>
        <w:rPr>
          <w:color w:val="000000"/>
        </w:rPr>
      </w:pPr>
      <w:bookmarkStart w:id="153" w:name="_Hlk95999675"/>
      <w:r>
        <w:rPr>
          <w:color w:val="000000"/>
        </w:rPr>
        <w:t xml:space="preserve">Sound Around even acknowledges that these models have </w:t>
      </w:r>
      <w:r w:rsidR="009D585B">
        <w:rPr>
          <w:color w:val="000000"/>
        </w:rPr>
        <w:t xml:space="preserve">operating </w:t>
      </w:r>
      <w:r>
        <w:rPr>
          <w:color w:val="000000"/>
        </w:rPr>
        <w:t>frequencies</w:t>
      </w:r>
      <w:r w:rsidR="008A1BB3">
        <w:rPr>
          <w:color w:val="000000"/>
        </w:rPr>
        <w:t xml:space="preserve"> </w:t>
      </w:r>
      <w:r w:rsidR="00213295">
        <w:rPr>
          <w:color w:val="000000"/>
        </w:rPr>
        <w:t xml:space="preserve">displayed </w:t>
      </w:r>
      <w:r w:rsidR="00D75AF1">
        <w:rPr>
          <w:color w:val="000000"/>
        </w:rPr>
        <w:t>i</w:t>
      </w:r>
      <w:r w:rsidR="00213295">
        <w:rPr>
          <w:color w:val="000000"/>
        </w:rPr>
        <w:t>n the photographs</w:t>
      </w:r>
      <w:r>
        <w:rPr>
          <w:color w:val="000000"/>
        </w:rPr>
        <w:t xml:space="preserve"> that are inconsistent with the supposed authorized frequencies but claims the Commission’s rules do not prohibit labeling with inconsistent frequencies</w:t>
      </w:r>
      <w:bookmarkEnd w:id="153"/>
      <w:r>
        <w:rPr>
          <w:color w:val="000000"/>
        </w:rPr>
        <w:t>.</w:t>
      </w:r>
      <w:r>
        <w:rPr>
          <w:rStyle w:val="FootnoteReference"/>
        </w:rPr>
        <w:footnoteReference w:id="135"/>
      </w:r>
      <w:r w:rsidR="00166DC9">
        <w:rPr>
          <w:color w:val="000000"/>
        </w:rPr>
        <w:t xml:space="preserve">  </w:t>
      </w:r>
      <w:r w:rsidR="003267BC">
        <w:rPr>
          <w:color w:val="000000"/>
        </w:rPr>
        <w:t>The Company asks the Commission to find that the FCC ID displayed is accurate</w:t>
      </w:r>
      <w:r w:rsidR="002D5CEC">
        <w:rPr>
          <w:color w:val="000000"/>
        </w:rPr>
        <w:t xml:space="preserve"> even though</w:t>
      </w:r>
      <w:r w:rsidR="003267BC">
        <w:rPr>
          <w:color w:val="000000"/>
        </w:rPr>
        <w:t xml:space="preserve"> the frequencies displayed are not.  The Company again provides no technical or other </w:t>
      </w:r>
      <w:r w:rsidR="002D5CEC">
        <w:rPr>
          <w:color w:val="000000"/>
        </w:rPr>
        <w:t xml:space="preserve">relevant </w:t>
      </w:r>
      <w:r w:rsidR="003267BC">
        <w:rPr>
          <w:color w:val="000000"/>
        </w:rPr>
        <w:t xml:space="preserve">information that would allow </w:t>
      </w:r>
      <w:r w:rsidR="002D5CEC">
        <w:rPr>
          <w:color w:val="000000"/>
        </w:rPr>
        <w:t>the Commission</w:t>
      </w:r>
      <w:r w:rsidR="003267BC">
        <w:rPr>
          <w:color w:val="000000"/>
        </w:rPr>
        <w:t xml:space="preserve"> to evaluate its claims</w:t>
      </w:r>
      <w:r w:rsidR="000B5022">
        <w:rPr>
          <w:color w:val="000000"/>
        </w:rPr>
        <w:t>, and we do not find the Company’s new claims credible in light of the previously submitted information</w:t>
      </w:r>
      <w:r w:rsidR="003267BC">
        <w:rPr>
          <w:color w:val="000000"/>
        </w:rPr>
        <w:t xml:space="preserve">.  </w:t>
      </w:r>
      <w:r w:rsidR="009B1E23">
        <w:rPr>
          <w:color w:val="000000"/>
        </w:rPr>
        <w:t>Ac</w:t>
      </w:r>
      <w:r w:rsidR="00F46703">
        <w:rPr>
          <w:color w:val="000000"/>
        </w:rPr>
        <w:t>c</w:t>
      </w:r>
      <w:r w:rsidR="009B1E23">
        <w:rPr>
          <w:color w:val="000000"/>
        </w:rPr>
        <w:t>ordingly, w</w:t>
      </w:r>
      <w:r w:rsidR="00166DC9">
        <w:rPr>
          <w:color w:val="000000"/>
        </w:rPr>
        <w:t xml:space="preserve">e </w:t>
      </w:r>
      <w:r w:rsidR="00E6472F">
        <w:rPr>
          <w:color w:val="000000"/>
        </w:rPr>
        <w:t xml:space="preserve">continue to </w:t>
      </w:r>
      <w:r w:rsidR="00166DC9">
        <w:rPr>
          <w:color w:val="000000"/>
        </w:rPr>
        <w:t>find that the four models were noncompliant with the Act and the Commission’s rules</w:t>
      </w:r>
      <w:r>
        <w:rPr>
          <w:color w:val="000000"/>
        </w:rPr>
        <w:t>.</w:t>
      </w:r>
    </w:p>
    <w:p w:rsidR="00486476" w:rsidRPr="00486476" w:rsidP="009B3BA1" w14:paraId="16C7A7A4" w14:textId="4EE7ED34">
      <w:pPr>
        <w:pStyle w:val="ParaNum"/>
        <w:widowControl/>
        <w:rPr>
          <w:color w:val="000000"/>
        </w:rPr>
      </w:pPr>
      <w:r w:rsidRPr="00213295">
        <w:t>For the other three models</w:t>
      </w:r>
      <w:r>
        <w:t xml:space="preserve">, </w:t>
      </w:r>
      <w:r w:rsidR="00166DC9">
        <w:t>the</w:t>
      </w:r>
      <w:r w:rsidR="00213295">
        <w:t xml:space="preserve"> </w:t>
      </w:r>
      <w:r w:rsidR="00E6472F">
        <w:t xml:space="preserve">Company provides </w:t>
      </w:r>
      <w:r w:rsidR="00213295">
        <w:t>new</w:t>
      </w:r>
      <w:r w:rsidR="00166DC9">
        <w:t xml:space="preserve"> frequencies </w:t>
      </w:r>
      <w:r w:rsidR="00BF7DB0">
        <w:t xml:space="preserve">in the </w:t>
      </w:r>
      <w:r w:rsidR="00FF7964">
        <w:t xml:space="preserve">NAL </w:t>
      </w:r>
      <w:r w:rsidR="00BF7DB0">
        <w:t>Response</w:t>
      </w:r>
      <w:r w:rsidR="00166DC9">
        <w:t xml:space="preserve"> on the affixed </w:t>
      </w:r>
      <w:r w:rsidR="00213295">
        <w:t>labels</w:t>
      </w:r>
      <w:r w:rsidR="00166DC9">
        <w:t xml:space="preserve"> </w:t>
      </w:r>
      <w:r w:rsidR="00E6472F">
        <w:t xml:space="preserve">that now </w:t>
      </w:r>
      <w:r w:rsidR="00166DC9">
        <w:t>match the frequencies authorized under the</w:t>
      </w:r>
      <w:r w:rsidR="00213295">
        <w:t xml:space="preserve"> claimed</w:t>
      </w:r>
      <w:r w:rsidR="00166DC9">
        <w:t xml:space="preserve"> FCC IDs</w:t>
      </w:r>
      <w:r>
        <w:t>.</w:t>
      </w:r>
      <w:r>
        <w:rPr>
          <w:rStyle w:val="FootnoteReference"/>
        </w:rPr>
        <w:footnoteReference w:id="136"/>
      </w:r>
      <w:r>
        <w:t xml:space="preserve">  </w:t>
      </w:r>
      <w:r w:rsidR="00166DC9">
        <w:t xml:space="preserve">However, </w:t>
      </w:r>
      <w:r w:rsidR="008C4671">
        <w:t xml:space="preserve">this new information does not </w:t>
      </w:r>
      <w:r w:rsidR="002D5CEC">
        <w:t>demonstrate</w:t>
      </w:r>
      <w:r w:rsidR="008C4671">
        <w:t xml:space="preserve"> that the models were compliant during the period covered by the </w:t>
      </w:r>
      <w:r w:rsidRPr="00D20E61" w:rsidR="008C4671">
        <w:rPr>
          <w:i/>
          <w:iCs/>
        </w:rPr>
        <w:t>NAL</w:t>
      </w:r>
      <w:r w:rsidR="008C4671">
        <w:t>.</w:t>
      </w:r>
      <w:r>
        <w:rPr>
          <w:rStyle w:val="FootnoteReference"/>
        </w:rPr>
        <w:footnoteReference w:id="137"/>
      </w:r>
      <w:r w:rsidR="008C4671">
        <w:t xml:space="preserve"> </w:t>
      </w:r>
      <w:r w:rsidR="00F46703">
        <w:t xml:space="preserve"> </w:t>
      </w:r>
      <w:r w:rsidR="00642544">
        <w:t>I</w:t>
      </w:r>
      <w:r w:rsidR="00166DC9">
        <w:t>n light of the fact that the Company provided</w:t>
      </w:r>
      <w:r w:rsidR="00F46703">
        <w:t xml:space="preserve"> contemporaneous</w:t>
      </w:r>
      <w:r w:rsidR="00166DC9">
        <w:t xml:space="preserve"> evidence in its </w:t>
      </w:r>
      <w:r w:rsidR="00213295">
        <w:t xml:space="preserve">sworn </w:t>
      </w:r>
      <w:r w:rsidR="00166DC9">
        <w:t xml:space="preserve">2019 LOI Response showing that these three models </w:t>
      </w:r>
      <w:r w:rsidR="00213295">
        <w:t xml:space="preserve">had </w:t>
      </w:r>
      <w:r w:rsidR="00166DC9">
        <w:t>the capability to operate on unauthorized frequencies</w:t>
      </w:r>
      <w:r w:rsidR="00F11F0F">
        <w:t xml:space="preserve"> in 2019</w:t>
      </w:r>
      <w:r w:rsidR="00166DC9">
        <w:t>,</w:t>
      </w:r>
      <w:r>
        <w:rPr>
          <w:rStyle w:val="FootnoteReference"/>
        </w:rPr>
        <w:footnoteReference w:id="138"/>
      </w:r>
      <w:r w:rsidR="00166DC9">
        <w:t xml:space="preserve"> we do not agree that the photos</w:t>
      </w:r>
      <w:r w:rsidR="002E71D4">
        <w:t xml:space="preserve"> submitted later</w:t>
      </w:r>
      <w:r w:rsidR="009E7A09">
        <w:t>,</w:t>
      </w:r>
      <w:r w:rsidR="00166DC9">
        <w:t xml:space="preserve"> </w:t>
      </w:r>
      <w:r w:rsidR="00C165D5">
        <w:t xml:space="preserve">without proof </w:t>
      </w:r>
      <w:r w:rsidR="007D09BE">
        <w:t xml:space="preserve">that </w:t>
      </w:r>
      <w:r w:rsidR="00C165D5">
        <w:t xml:space="preserve">the </w:t>
      </w:r>
      <w:r w:rsidR="007D09BE">
        <w:t>photos depict the microphones</w:t>
      </w:r>
      <w:r w:rsidR="00C165D5">
        <w:t xml:space="preserve"> from the investigation timeframe</w:t>
      </w:r>
      <w:r w:rsidR="009E7A09">
        <w:t>,</w:t>
      </w:r>
      <w:r w:rsidR="00C165D5">
        <w:t xml:space="preserve"> </w:t>
      </w:r>
      <w:r w:rsidR="00166DC9">
        <w:t xml:space="preserve">negate our earlier finding that the three models were marketed in violation of the equipment marketing rules during the period covered by the </w:t>
      </w:r>
      <w:r w:rsidR="00166DC9">
        <w:rPr>
          <w:i/>
          <w:iCs/>
        </w:rPr>
        <w:t>N</w:t>
      </w:r>
      <w:r w:rsidR="00087FD3">
        <w:rPr>
          <w:i/>
          <w:iCs/>
        </w:rPr>
        <w:t>AL</w:t>
      </w:r>
      <w:r w:rsidR="00166DC9">
        <w:t>.</w:t>
      </w:r>
      <w:r>
        <w:rPr>
          <w:rStyle w:val="FootnoteReference"/>
        </w:rPr>
        <w:footnoteReference w:id="139"/>
      </w:r>
      <w:r w:rsidR="00213295">
        <w:t xml:space="preserve">  </w:t>
      </w:r>
      <w:r w:rsidR="00BF7DB0">
        <w:t>If these microphones were authorized, labeled, and operated compliant with the</w:t>
      </w:r>
      <w:r w:rsidR="008C4671">
        <w:t>ir</w:t>
      </w:r>
      <w:r w:rsidR="00BF7DB0">
        <w:t xml:space="preserve"> authorization</w:t>
      </w:r>
      <w:r w:rsidR="008C4671">
        <w:t>s</w:t>
      </w:r>
      <w:r w:rsidR="00BF7DB0">
        <w:t xml:space="preserve"> during the time</w:t>
      </w:r>
      <w:r w:rsidR="00EF3BC4">
        <w:t>frame</w:t>
      </w:r>
      <w:r w:rsidR="00BF7DB0">
        <w:t xml:space="preserve"> </w:t>
      </w:r>
      <w:r w:rsidR="008C4671">
        <w:t>covered by</w:t>
      </w:r>
      <w:r w:rsidR="00BF7DB0">
        <w:t xml:space="preserve"> the </w:t>
      </w:r>
      <w:r w:rsidR="00BF7DB0">
        <w:rPr>
          <w:i/>
          <w:iCs/>
        </w:rPr>
        <w:t>N</w:t>
      </w:r>
      <w:r w:rsidR="00087FD3">
        <w:rPr>
          <w:i/>
          <w:iCs/>
        </w:rPr>
        <w:t>AL</w:t>
      </w:r>
      <w:r w:rsidR="00BF7DB0">
        <w:t xml:space="preserve">, the Company </w:t>
      </w:r>
      <w:r w:rsidR="00F05339">
        <w:t>sh</w:t>
      </w:r>
      <w:r w:rsidR="00BF7DB0">
        <w:t xml:space="preserve">ould have responded as such in the 2019 LOI Response.  </w:t>
      </w:r>
      <w:r w:rsidR="0045658A">
        <w:t>Instead, the Company provided information that such devices operated contrary to their claimed authorization</w:t>
      </w:r>
      <w:r w:rsidR="002649A5">
        <w:t>s</w:t>
      </w:r>
      <w:r w:rsidR="003D00CB">
        <w:t xml:space="preserve"> at that time</w:t>
      </w:r>
      <w:r w:rsidR="0045658A">
        <w:t xml:space="preserve">.  </w:t>
      </w:r>
    </w:p>
    <w:bookmarkEnd w:id="152"/>
    <w:p w:rsidR="00DA0071" w:rsidRPr="00C21E16" w:rsidP="009B3BA1" w14:paraId="491B36C5" w14:textId="4FBDD5DF">
      <w:pPr>
        <w:pStyle w:val="ParaNum"/>
        <w:widowControl/>
        <w:rPr>
          <w:color w:val="000000"/>
        </w:rPr>
      </w:pPr>
      <w:r>
        <w:rPr>
          <w:color w:val="000000"/>
        </w:rPr>
        <w:t xml:space="preserve">Finally, </w:t>
      </w:r>
      <w:r w:rsidR="000F3454">
        <w:rPr>
          <w:color w:val="000000"/>
        </w:rPr>
        <w:t xml:space="preserve">we reject </w:t>
      </w:r>
      <w:r w:rsidRPr="00FF69EA">
        <w:rPr>
          <w:color w:val="000000"/>
        </w:rPr>
        <w:t>Sound Around</w:t>
      </w:r>
      <w:r w:rsidR="000F3454">
        <w:rPr>
          <w:color w:val="000000"/>
        </w:rPr>
        <w:t>’s</w:t>
      </w:r>
      <w:r>
        <w:rPr>
          <w:color w:val="000000"/>
        </w:rPr>
        <w:t xml:space="preserve"> general </w:t>
      </w:r>
      <w:r w:rsidRPr="00FF69EA">
        <w:rPr>
          <w:color w:val="000000"/>
        </w:rPr>
        <w:t>complain</w:t>
      </w:r>
      <w:r w:rsidR="000F3454">
        <w:rPr>
          <w:color w:val="000000"/>
        </w:rPr>
        <w:t>t</w:t>
      </w:r>
      <w:r w:rsidRPr="00FF69EA">
        <w:rPr>
          <w:color w:val="000000"/>
        </w:rPr>
        <w:t xml:space="preserve"> that the Commission should have better attempted to understand the discrepancies </w:t>
      </w:r>
      <w:r>
        <w:rPr>
          <w:color w:val="000000"/>
        </w:rPr>
        <w:t>contained in</w:t>
      </w:r>
      <w:r w:rsidRPr="00FF69EA">
        <w:rPr>
          <w:color w:val="000000"/>
        </w:rPr>
        <w:t xml:space="preserve"> </w:t>
      </w:r>
      <w:r>
        <w:rPr>
          <w:color w:val="000000"/>
        </w:rPr>
        <w:t>its</w:t>
      </w:r>
      <w:r w:rsidRPr="00FF69EA">
        <w:rPr>
          <w:color w:val="000000"/>
        </w:rPr>
        <w:t xml:space="preserve"> various LOI Responses.</w:t>
      </w:r>
      <w:r>
        <w:rPr>
          <w:rStyle w:val="FootnoteReference"/>
        </w:rPr>
        <w:footnoteReference w:id="140"/>
      </w:r>
      <w:r w:rsidRPr="00FF69EA">
        <w:rPr>
          <w:color w:val="000000"/>
        </w:rPr>
        <w:t xml:space="preserve">  </w:t>
      </w:r>
      <w:r>
        <w:t>C</w:t>
      </w:r>
      <w:r w:rsidRPr="007043A4">
        <w:t>ompanies that receive LOIs must timely file complete and accurate responses to the Bureau’s questions</w:t>
      </w:r>
      <w:bookmarkStart w:id="154" w:name="_Ref498698482"/>
      <w:r>
        <w:t>.</w:t>
      </w:r>
      <w:r>
        <w:rPr>
          <w:rStyle w:val="FootnoteReference"/>
        </w:rPr>
        <w:footnoteReference w:id="141"/>
      </w:r>
      <w:bookmarkEnd w:id="154"/>
      <w:r>
        <w:rPr>
          <w:color w:val="000000"/>
        </w:rPr>
        <w:t xml:space="preserve">  </w:t>
      </w:r>
      <w:r w:rsidR="00423B62">
        <w:rPr>
          <w:color w:val="000000"/>
        </w:rPr>
        <w:t>Here, Sound Around provided three LOI responses and two additional submissions</w:t>
      </w:r>
      <w:r w:rsidR="003565D6">
        <w:rPr>
          <w:color w:val="000000"/>
        </w:rPr>
        <w:t xml:space="preserve"> over a period of approximately two years</w:t>
      </w:r>
      <w:r w:rsidR="00423B62">
        <w:rPr>
          <w:color w:val="000000"/>
        </w:rPr>
        <w:t xml:space="preserve">, </w:t>
      </w:r>
      <w:r w:rsidR="003565D6">
        <w:rPr>
          <w:color w:val="000000"/>
        </w:rPr>
        <w:t xml:space="preserve">which is ample </w:t>
      </w:r>
      <w:r w:rsidRPr="00FF69EA">
        <w:rPr>
          <w:color w:val="000000"/>
        </w:rPr>
        <w:t>opportunit</w:t>
      </w:r>
      <w:r w:rsidR="003565D6">
        <w:rPr>
          <w:color w:val="000000"/>
        </w:rPr>
        <w:t>y</w:t>
      </w:r>
      <w:r w:rsidRPr="00FF69EA">
        <w:rPr>
          <w:color w:val="000000"/>
        </w:rPr>
        <w:t xml:space="preserve"> to provide accurate information</w:t>
      </w:r>
      <w:r>
        <w:rPr>
          <w:color w:val="000000"/>
        </w:rPr>
        <w:t>.</w:t>
      </w:r>
      <w:r>
        <w:rPr>
          <w:rStyle w:val="FootnoteReference"/>
        </w:rPr>
        <w:footnoteReference w:id="142"/>
      </w:r>
      <w:r w:rsidRPr="00FF69EA">
        <w:rPr>
          <w:color w:val="000000"/>
        </w:rPr>
        <w:t xml:space="preserve"> </w:t>
      </w:r>
      <w:r>
        <w:rPr>
          <w:color w:val="000000"/>
        </w:rPr>
        <w:t xml:space="preserve"> T</w:t>
      </w:r>
      <w:r w:rsidRPr="00FF69EA">
        <w:rPr>
          <w:color w:val="000000"/>
        </w:rPr>
        <w:t xml:space="preserve">his culminated </w:t>
      </w:r>
      <w:r w:rsidRPr="00FF69EA">
        <w:rPr>
          <w:color w:val="000000"/>
        </w:rPr>
        <w:t xml:space="preserve">with </w:t>
      </w:r>
      <w:r>
        <w:rPr>
          <w:color w:val="000000"/>
        </w:rPr>
        <w:t>the 2019</w:t>
      </w:r>
      <w:r w:rsidRPr="00FF69EA">
        <w:rPr>
          <w:color w:val="000000"/>
        </w:rPr>
        <w:t xml:space="preserve"> LOI asking the Company to fill out a </w:t>
      </w:r>
      <w:r>
        <w:rPr>
          <w:color w:val="000000"/>
        </w:rPr>
        <w:t xml:space="preserve">simple </w:t>
      </w:r>
      <w:r w:rsidRPr="00FF69EA">
        <w:rPr>
          <w:color w:val="000000"/>
        </w:rPr>
        <w:t>chart.</w:t>
      </w:r>
      <w:r>
        <w:rPr>
          <w:rStyle w:val="FootnoteReference"/>
        </w:rPr>
        <w:footnoteReference w:id="143"/>
      </w:r>
      <w:r w:rsidRPr="00FF69EA">
        <w:rPr>
          <w:color w:val="000000"/>
        </w:rPr>
        <w:t xml:space="preserve">  </w:t>
      </w:r>
      <w:r>
        <w:rPr>
          <w:color w:val="000000"/>
        </w:rPr>
        <w:t>Thus, contrary to Sound Around’s claim, the Commission’s investigation was thorough</w:t>
      </w:r>
      <w:r w:rsidR="003947EA">
        <w:rPr>
          <w:color w:val="000000"/>
        </w:rPr>
        <w:t xml:space="preserve">; it was </w:t>
      </w:r>
      <w:r w:rsidR="00C70AA0">
        <w:rPr>
          <w:color w:val="000000"/>
        </w:rPr>
        <w:t>the Company’s</w:t>
      </w:r>
      <w:r w:rsidR="003947EA">
        <w:rPr>
          <w:color w:val="000000"/>
        </w:rPr>
        <w:t xml:space="preserve"> responses that were lacking</w:t>
      </w:r>
      <w:r>
        <w:rPr>
          <w:color w:val="000000"/>
        </w:rPr>
        <w:t>.</w:t>
      </w:r>
      <w:r>
        <w:rPr>
          <w:rStyle w:val="FootnoteReference"/>
        </w:rPr>
        <w:footnoteReference w:id="144"/>
      </w:r>
      <w:r>
        <w:rPr>
          <w:color w:val="000000"/>
        </w:rPr>
        <w:t xml:space="preserve">  </w:t>
      </w:r>
      <w:r w:rsidR="004B54D1">
        <w:rPr>
          <w:color w:val="000000"/>
        </w:rPr>
        <w:t xml:space="preserve">Moreover, </w:t>
      </w:r>
      <w:r w:rsidRPr="00FF69EA">
        <w:rPr>
          <w:color w:val="000000"/>
        </w:rPr>
        <w:t xml:space="preserve">Sound Around provided a declaration claiming its </w:t>
      </w:r>
      <w:r w:rsidR="00817360">
        <w:rPr>
          <w:color w:val="000000"/>
        </w:rPr>
        <w:t>2019 LOI R</w:t>
      </w:r>
      <w:r w:rsidRPr="00FF69EA">
        <w:rPr>
          <w:color w:val="000000"/>
        </w:rPr>
        <w:t>esponse was factually accurate.</w:t>
      </w:r>
      <w:r>
        <w:rPr>
          <w:rStyle w:val="FootnoteReference"/>
        </w:rPr>
        <w:footnoteReference w:id="145"/>
      </w:r>
      <w:r w:rsidRPr="00FF69EA">
        <w:rPr>
          <w:color w:val="000000"/>
        </w:rPr>
        <w:t xml:space="preserve">  </w:t>
      </w:r>
      <w:r w:rsidRPr="00A13299" w:rsidR="004B54D1">
        <w:t>The 2019 LOI required the Company to update its LOI response “</w:t>
      </w:r>
      <w:r w:rsidRPr="00A13299" w:rsidR="004B54D1">
        <w:rPr>
          <w:rFonts w:eastAsia="ヒラギノ角ゴ Pro W3"/>
        </w:rPr>
        <w:t xml:space="preserve">(a) if the Company learns that, in some material respect, the </w:t>
      </w:r>
      <w:r w:rsidRPr="00A13299" w:rsidR="004B54D1">
        <w:t xml:space="preserve">documents and </w:t>
      </w:r>
      <w:r w:rsidRPr="00A13299" w:rsidR="004B54D1">
        <w:rPr>
          <w:rFonts w:eastAsia="ヒラギノ角ゴ Pro W3"/>
        </w:rPr>
        <w:t xml:space="preserve">information initially disclosed were incomplete or incorrect or (b) if additional responsive </w:t>
      </w:r>
      <w:r w:rsidRPr="00A13299" w:rsidR="004B54D1">
        <w:t xml:space="preserve">documents or </w:t>
      </w:r>
      <w:r w:rsidRPr="00A13299" w:rsidR="004B54D1">
        <w:rPr>
          <w:rFonts w:eastAsia="ヒラギノ角ゴ Pro W3"/>
        </w:rPr>
        <w:t>information are acquired by or become known to the Company after the initial production.”</w:t>
      </w:r>
      <w:r>
        <w:rPr>
          <w:rStyle w:val="FootnoteReference"/>
        </w:rPr>
        <w:footnoteReference w:id="146"/>
      </w:r>
      <w:r w:rsidR="004B54D1">
        <w:rPr>
          <w:rFonts w:eastAsia="ヒラギノ角ゴ Pro W3"/>
        </w:rPr>
        <w:t xml:space="preserve">  The Company never provided an update to any of its LOI responses.</w:t>
      </w:r>
      <w:r w:rsidRPr="006C19F7" w:rsidR="006F4D1F">
        <w:rPr>
          <w:rFonts w:eastAsia="ヒラギノ角ゴ Pro W3"/>
        </w:rPr>
        <w:t xml:space="preserve"> </w:t>
      </w:r>
      <w:r w:rsidR="006F4D1F">
        <w:rPr>
          <w:rFonts w:eastAsia="ヒラギノ角ゴ Pro W3"/>
        </w:rPr>
        <w:t xml:space="preserve"> </w:t>
      </w:r>
      <w:r w:rsidR="005544B4">
        <w:rPr>
          <w:color w:val="000000"/>
        </w:rPr>
        <w:t xml:space="preserve">Nothing </w:t>
      </w:r>
      <w:r w:rsidR="00967AD4">
        <w:rPr>
          <w:color w:val="000000"/>
        </w:rPr>
        <w:t>contained in</w:t>
      </w:r>
      <w:r w:rsidR="009431CD">
        <w:rPr>
          <w:color w:val="000000"/>
        </w:rPr>
        <w:t xml:space="preserve"> Sound Around’s </w:t>
      </w:r>
      <w:r w:rsidR="004B54D1">
        <w:rPr>
          <w:color w:val="000000"/>
        </w:rPr>
        <w:t xml:space="preserve">subsequent </w:t>
      </w:r>
      <w:r w:rsidR="009431CD">
        <w:rPr>
          <w:color w:val="000000"/>
        </w:rPr>
        <w:t xml:space="preserve">NAL Response </w:t>
      </w:r>
      <w:r w:rsidR="00E9029F">
        <w:rPr>
          <w:color w:val="000000"/>
        </w:rPr>
        <w:t xml:space="preserve">provides </w:t>
      </w:r>
      <w:r w:rsidR="007F6632">
        <w:rPr>
          <w:color w:val="000000"/>
        </w:rPr>
        <w:t xml:space="preserve">specific </w:t>
      </w:r>
      <w:r w:rsidR="00E9029F">
        <w:rPr>
          <w:color w:val="000000"/>
        </w:rPr>
        <w:t xml:space="preserve">countervailing factual information for the </w:t>
      </w:r>
      <w:r w:rsidR="0047378C">
        <w:rPr>
          <w:color w:val="000000"/>
        </w:rPr>
        <w:t xml:space="preserve">NAL period.  </w:t>
      </w:r>
      <w:r>
        <w:rPr>
          <w:color w:val="000000"/>
        </w:rPr>
        <w:t>Therefore, t</w:t>
      </w:r>
      <w:r w:rsidRPr="00FF69EA">
        <w:rPr>
          <w:color w:val="000000"/>
        </w:rPr>
        <w:t xml:space="preserve">he Commission appropriately relied on </w:t>
      </w:r>
      <w:r>
        <w:rPr>
          <w:color w:val="000000"/>
        </w:rPr>
        <w:t xml:space="preserve">Sound Around’s </w:t>
      </w:r>
      <w:r w:rsidRPr="00FF69EA">
        <w:rPr>
          <w:color w:val="000000"/>
        </w:rPr>
        <w:t xml:space="preserve">representations in the </w:t>
      </w:r>
      <w:r w:rsidRPr="00FF69EA">
        <w:rPr>
          <w:i/>
          <w:iCs/>
          <w:color w:val="000000"/>
        </w:rPr>
        <w:t>N</w:t>
      </w:r>
      <w:r>
        <w:rPr>
          <w:i/>
          <w:iCs/>
          <w:color w:val="000000"/>
        </w:rPr>
        <w:t>AL</w:t>
      </w:r>
      <w:r w:rsidRPr="00FF69EA">
        <w:rPr>
          <w:color w:val="000000"/>
        </w:rPr>
        <w:t>.</w:t>
      </w:r>
      <w:r>
        <w:rPr>
          <w:rStyle w:val="FootnoteReference"/>
        </w:rPr>
        <w:footnoteReference w:id="147"/>
      </w:r>
      <w:r w:rsidRPr="00FF69EA">
        <w:rPr>
          <w:color w:val="000000"/>
        </w:rPr>
        <w:t xml:space="preserve">  </w:t>
      </w:r>
    </w:p>
    <w:p w:rsidR="008A1BB3" w:rsidP="009B3BA1" w14:paraId="71DD677D" w14:textId="4C0A8E56">
      <w:pPr>
        <w:pStyle w:val="ParaNum"/>
        <w:widowControl/>
      </w:pPr>
      <w:r>
        <w:t>For the foregoing reasons, w</w:t>
      </w:r>
      <w:r>
        <w:t>e continue to assess the forfeiture amount based on 32 models.</w:t>
      </w:r>
    </w:p>
    <w:p w:rsidR="003863D9" w:rsidP="009B3BA1" w14:paraId="08D239F3" w14:textId="0D83CF52">
      <w:pPr>
        <w:pStyle w:val="Heading3"/>
        <w:widowControl/>
      </w:pPr>
      <w:bookmarkStart w:id="155" w:name="_Toc70939618"/>
      <w:bookmarkStart w:id="156" w:name="_Toc77338937"/>
      <w:bookmarkStart w:id="157" w:name="_Toc94265532"/>
      <w:bookmarkStart w:id="158" w:name="_Toc96075122"/>
      <w:bookmarkStart w:id="159" w:name="_Toc96084566"/>
      <w:bookmarkStart w:id="160" w:name="_Toc96515694"/>
      <w:bookmarkStart w:id="161" w:name="_Toc97719536"/>
      <w:bookmarkStart w:id="162" w:name="_Toc101260713"/>
      <w:bookmarkStart w:id="163" w:name="_Toc101960150"/>
      <w:bookmarkStart w:id="164" w:name="_Toc102041183"/>
      <w:bookmarkStart w:id="165" w:name="_Toc103873742"/>
      <w:bookmarkStart w:id="166" w:name="_Toc103875036"/>
      <w:bookmarkStart w:id="167" w:name="_Toc103875093"/>
      <w:bookmarkStart w:id="168" w:name="_Toc103875176"/>
      <w:r>
        <w:t>T</w:t>
      </w:r>
      <w:r>
        <w:t xml:space="preserve">he </w:t>
      </w:r>
      <w:r w:rsidR="00EF0CD3">
        <w:t xml:space="preserve">Facts Support </w:t>
      </w:r>
      <w:r>
        <w:t xml:space="preserve">Upward </w:t>
      </w:r>
      <w:r w:rsidR="00EF0CD3">
        <w:t xml:space="preserve">Forfeiture </w:t>
      </w:r>
      <w:r>
        <w:t>Adjustments.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8A757D" w:rsidP="009B3BA1" w14:paraId="5CF73D71" w14:textId="0CED4F09">
      <w:pPr>
        <w:pStyle w:val="ParaNum"/>
        <w:widowControl/>
      </w:pPr>
      <w:r>
        <w:t xml:space="preserve">Sound Around was assessed upward adjustments </w:t>
      </w:r>
      <w:r>
        <w:t xml:space="preserve">on all models </w:t>
      </w:r>
      <w:r>
        <w:t xml:space="preserve">for its </w:t>
      </w:r>
      <w:r>
        <w:t>long history of marketing noncompliant radio frequency devices and</w:t>
      </w:r>
      <w:r w:rsidR="00EF0CD3">
        <w:t>,</w:t>
      </w:r>
      <w:r>
        <w:t xml:space="preserve"> </w:t>
      </w:r>
      <w:r w:rsidR="00B871F1">
        <w:t>regarding</w:t>
      </w:r>
      <w:r>
        <w:t xml:space="preserve"> two models</w:t>
      </w:r>
      <w:r w:rsidR="00EF0CD3">
        <w:t>,</w:t>
      </w:r>
      <w:r>
        <w:t xml:space="preserve"> for egregious threats to public safety.</w:t>
      </w:r>
      <w:r>
        <w:rPr>
          <w:rStyle w:val="FootnoteReference"/>
        </w:rPr>
        <w:footnoteReference w:id="148"/>
      </w:r>
      <w:r>
        <w:t xml:space="preserve">  </w:t>
      </w:r>
      <w:r w:rsidR="00CD6C13">
        <w:t>Sound Around argues that the upward adjustments are unwarranted.</w:t>
      </w:r>
      <w:r>
        <w:rPr>
          <w:rStyle w:val="FootnoteReference"/>
        </w:rPr>
        <w:footnoteReference w:id="149"/>
      </w:r>
      <w:r w:rsidR="00CD6C13">
        <w:t xml:space="preserve">  </w:t>
      </w:r>
    </w:p>
    <w:p w:rsidR="00F11F0F" w:rsidP="009B3BA1" w14:paraId="32A23132" w14:textId="23584A87">
      <w:pPr>
        <w:pStyle w:val="ParaNum"/>
        <w:widowControl/>
      </w:pPr>
      <w:r>
        <w:t xml:space="preserve">First, Sound Around argues that the </w:t>
      </w:r>
      <w:r w:rsidR="00A3431C">
        <w:t xml:space="preserve">Commission should rescind or reduce the </w:t>
      </w:r>
      <w:r>
        <w:t xml:space="preserve">upward adjustment for egregiousness, which is based on the Company’s marketing of two </w:t>
      </w:r>
      <w:r w:rsidR="00A3431C">
        <w:t xml:space="preserve">wireless microphones (PDWM94 and PDWM96) that </w:t>
      </w:r>
      <w:r w:rsidR="00A24B6B">
        <w:t xml:space="preserve">were capable of </w:t>
      </w:r>
      <w:r w:rsidR="00A3431C">
        <w:t>operat</w:t>
      </w:r>
      <w:r w:rsidR="00A24B6B">
        <w:t>ions</w:t>
      </w:r>
      <w:r w:rsidR="00A3431C">
        <w:t xml:space="preserve"> in the aviation band, because no evidence was provided to prove that the models operate in the aviation band.</w:t>
      </w:r>
      <w:r>
        <w:rPr>
          <w:rStyle w:val="FootnoteReference"/>
        </w:rPr>
        <w:footnoteReference w:id="150"/>
      </w:r>
      <w:r w:rsidR="00A3431C">
        <w:t xml:space="preserve">  We disagree</w:t>
      </w:r>
      <w:r w:rsidR="00BE09AC">
        <w:t>.</w:t>
      </w:r>
      <w:r w:rsidR="002B0CB6">
        <w:t xml:space="preserve">  </w:t>
      </w:r>
      <w:r w:rsidR="007472BF">
        <w:t xml:space="preserve">As an </w:t>
      </w:r>
      <w:r w:rsidR="007D2321">
        <w:t>initial matter</w:t>
      </w:r>
      <w:r w:rsidR="003F7DA9">
        <w:t xml:space="preserve">, the Company never actually states that these two models </w:t>
      </w:r>
      <w:r w:rsidR="00C203F7">
        <w:t>were not capable of operating in the aviation band.</w:t>
      </w:r>
      <w:r w:rsidR="008F44E5">
        <w:t xml:space="preserve">  Indeed, </w:t>
      </w:r>
      <w:r w:rsidR="0037420E">
        <w:t xml:space="preserve">in the investigation leading to the </w:t>
      </w:r>
      <w:r w:rsidRPr="008F44E5" w:rsidR="0037420E">
        <w:rPr>
          <w:i/>
          <w:iCs/>
        </w:rPr>
        <w:t>Marketing Citation</w:t>
      </w:r>
      <w:r w:rsidR="0037420E">
        <w:t xml:space="preserve">, </w:t>
      </w:r>
      <w:r w:rsidR="008F44E5">
        <w:t xml:space="preserve">the Company had previously provided advertising that </w:t>
      </w:r>
      <w:r w:rsidR="00A07305">
        <w:t xml:space="preserve">indicated </w:t>
      </w:r>
      <w:r w:rsidR="008F44E5">
        <w:t>those wireless microphones operated in the aviation band.</w:t>
      </w:r>
      <w:r>
        <w:rPr>
          <w:rStyle w:val="FootnoteReference"/>
        </w:rPr>
        <w:footnoteReference w:id="151"/>
      </w:r>
      <w:r w:rsidR="00C203F7">
        <w:t xml:space="preserve">  Rather, it argues th</w:t>
      </w:r>
      <w:r w:rsidR="005F7FCA">
        <w:t xml:space="preserve">at the Commission didn’t prove this basis </w:t>
      </w:r>
      <w:r w:rsidR="007472BF">
        <w:t xml:space="preserve">to support the upward adjustment.  </w:t>
      </w:r>
      <w:r w:rsidR="00A01B9D">
        <w:t xml:space="preserve">Contrary to this assertion, the Commission relied on information provided by the Company under penalty of perjury to support this upward adjustment.  </w:t>
      </w:r>
      <w:r w:rsidR="002B0CB6">
        <w:t>T</w:t>
      </w:r>
      <w:r w:rsidR="00A3431C">
        <w:t xml:space="preserve">he Company, in </w:t>
      </w:r>
      <w:r w:rsidR="002B0CB6">
        <w:t>its</w:t>
      </w:r>
      <w:r w:rsidR="00A3431C">
        <w:t xml:space="preserve"> 2019 LOI Response, </w:t>
      </w:r>
      <w:r w:rsidR="00443187">
        <w:t xml:space="preserve">provided the operating frequencies for </w:t>
      </w:r>
      <w:r w:rsidR="00443187">
        <w:t>models PDWM94 and PDWM96, which indicate that the models operate in the aviation band.</w:t>
      </w:r>
      <w:r>
        <w:rPr>
          <w:rStyle w:val="FootnoteReference"/>
        </w:rPr>
        <w:footnoteReference w:id="152"/>
      </w:r>
      <w:r w:rsidR="00443187">
        <w:t xml:space="preserve">  This response</w:t>
      </w:r>
      <w:r w:rsidR="00A3431C">
        <w:t xml:space="preserve"> was supported by a sworn declaration of </w:t>
      </w:r>
      <w:r w:rsidR="003D25D1">
        <w:t>a Company officer.</w:t>
      </w:r>
      <w:r>
        <w:rPr>
          <w:rStyle w:val="FootnoteReference"/>
        </w:rPr>
        <w:footnoteReference w:id="153"/>
      </w:r>
      <w:r w:rsidR="00A3431C">
        <w:t xml:space="preserve"> </w:t>
      </w:r>
      <w:r w:rsidR="003D25D1">
        <w:t xml:space="preserve"> </w:t>
      </w:r>
      <w:r w:rsidR="00A93BCB">
        <w:t>T</w:t>
      </w:r>
      <w:r w:rsidR="003D25D1">
        <w:t>he Company</w:t>
      </w:r>
      <w:r w:rsidR="00A93BCB">
        <w:t>, however,</w:t>
      </w:r>
      <w:r w:rsidR="000B1AED">
        <w:t xml:space="preserve"> now claims that the manner in which information was presented</w:t>
      </w:r>
      <w:r w:rsidR="006B143F">
        <w:t xml:space="preserve"> in this response was unreliable and “should have alerted the Commission that something was amis</w:t>
      </w:r>
      <w:r w:rsidR="00793DA6">
        <w:t>s” and that “the Commission should have dug deeper</w:t>
      </w:r>
      <w:r w:rsidR="00724F95">
        <w:t>.</w:t>
      </w:r>
      <w:r w:rsidR="00793DA6">
        <w:t>”</w:t>
      </w:r>
      <w:r>
        <w:rPr>
          <w:rStyle w:val="FootnoteReference"/>
        </w:rPr>
        <w:footnoteReference w:id="154"/>
      </w:r>
      <w:r w:rsidR="00CA2ACF">
        <w:t xml:space="preserve">  </w:t>
      </w:r>
    </w:p>
    <w:p w:rsidR="005338A0" w:rsidP="009B3BA1" w14:paraId="46B293BD" w14:textId="25E4E1D2">
      <w:pPr>
        <w:pStyle w:val="ParaNum"/>
        <w:widowControl/>
      </w:pPr>
      <w:r>
        <w:t>We find no merit in the Company’s argument that the Division should have “dug deeper</w:t>
      </w:r>
      <w:r w:rsidR="00FB3430">
        <w:t>.</w:t>
      </w:r>
      <w:r>
        <w:t xml:space="preserve">”  In fact, as noted in the </w:t>
      </w:r>
      <w:r w:rsidRPr="008A757D" w:rsidR="006A5E8F">
        <w:rPr>
          <w:i/>
          <w:iCs/>
        </w:rPr>
        <w:t>N</w:t>
      </w:r>
      <w:r w:rsidR="00087FD3">
        <w:rPr>
          <w:i/>
          <w:iCs/>
        </w:rPr>
        <w:t>AL</w:t>
      </w:r>
      <w:r>
        <w:t>, the reason for the Division’s 2019 LOI was to resolve the inconsistencies in the Company’s earlier responses.</w:t>
      </w:r>
      <w:r>
        <w:rPr>
          <w:rStyle w:val="FootnoteReference"/>
        </w:rPr>
        <w:footnoteReference w:id="155"/>
      </w:r>
      <w:r>
        <w:t xml:space="preserve">  </w:t>
      </w:r>
      <w:r w:rsidR="00315AC9">
        <w:t xml:space="preserve">The 2019 LOI was a direct and simple attempt to </w:t>
      </w:r>
      <w:r w:rsidR="00B871F1">
        <w:t>address</w:t>
      </w:r>
      <w:r w:rsidR="00315AC9">
        <w:t xml:space="preserve"> conflicting information provided by the Company in its earlier responses.</w:t>
      </w:r>
      <w:r w:rsidR="000C03FC">
        <w:t xml:space="preserve">  </w:t>
      </w:r>
      <w:r w:rsidR="001A08D3">
        <w:t xml:space="preserve">Commission staff asked for </w:t>
      </w:r>
      <w:r w:rsidR="0056370B">
        <w:t xml:space="preserve">FCC IDs and frequencies for </w:t>
      </w:r>
      <w:r w:rsidR="00B871F1">
        <w:t xml:space="preserve">the </w:t>
      </w:r>
      <w:r w:rsidR="0056370B">
        <w:t xml:space="preserve">wireless microphone models </w:t>
      </w:r>
      <w:r w:rsidR="00604BCE">
        <w:t xml:space="preserve">and received </w:t>
      </w:r>
      <w:r w:rsidR="001073D2">
        <w:t>FCC IDs and frequencies for the same wireless microphone models</w:t>
      </w:r>
      <w:r w:rsidR="00604BCE">
        <w:t xml:space="preserve">.  </w:t>
      </w:r>
      <w:r w:rsidR="00876C11">
        <w:t>Staff reasonably rel</w:t>
      </w:r>
      <w:r w:rsidR="00BA1765">
        <w:t>ied</w:t>
      </w:r>
      <w:r w:rsidR="00876C11">
        <w:t xml:space="preserve"> on that information.  The </w:t>
      </w:r>
      <w:r w:rsidR="006D00F2">
        <w:t>only thing “amiss” now is the Company’s stateme</w:t>
      </w:r>
      <w:r w:rsidR="00B82B84">
        <w:t>nt that something was wrong with the 2019 LOI Response</w:t>
      </w:r>
      <w:r w:rsidR="00137A5F">
        <w:t xml:space="preserve">, </w:t>
      </w:r>
      <w:r w:rsidR="00B871F1">
        <w:t>which is devoid of any information to support</w:t>
      </w:r>
      <w:r w:rsidR="00137A5F">
        <w:t xml:space="preserve"> that the device models could not operate in the aviation band</w:t>
      </w:r>
      <w:r w:rsidR="00D11E24">
        <w:t xml:space="preserve"> </w:t>
      </w:r>
      <w:r w:rsidR="00D16FFD">
        <w:t>or</w:t>
      </w:r>
      <w:r w:rsidR="00D11E24">
        <w:t xml:space="preserve"> any</w:t>
      </w:r>
      <w:r w:rsidR="000C03FC">
        <w:t xml:space="preserve"> technical</w:t>
      </w:r>
      <w:r w:rsidR="00F11F0F">
        <w:t>, testing,</w:t>
      </w:r>
      <w:r w:rsidR="000C03FC">
        <w:t xml:space="preserve"> or other information that would allow us to conclude that the frequencies the microphones actually operate on </w:t>
      </w:r>
      <w:r w:rsidR="002649A5">
        <w:t xml:space="preserve">are not </w:t>
      </w:r>
      <w:r w:rsidR="000C03FC">
        <w:t>in the aviation band.</w:t>
      </w:r>
      <w:r>
        <w:rPr>
          <w:rStyle w:val="FootnoteReference"/>
        </w:rPr>
        <w:footnoteReference w:id="156"/>
      </w:r>
      <w:r w:rsidR="00085B30">
        <w:t xml:space="preserve">  In fact,</w:t>
      </w:r>
      <w:r w:rsidR="00D16FFD">
        <w:t xml:space="preserve"> after the Commission issued the </w:t>
      </w:r>
      <w:r w:rsidRPr="00F748F2" w:rsidR="00D16FFD">
        <w:rPr>
          <w:i/>
          <w:iCs/>
        </w:rPr>
        <w:t>NAL</w:t>
      </w:r>
      <w:r w:rsidR="00D16FFD">
        <w:t>,</w:t>
      </w:r>
      <w:r w:rsidR="00085B30">
        <w:t xml:space="preserve"> the </w:t>
      </w:r>
      <w:r w:rsidR="00D46897">
        <w:t>C</w:t>
      </w:r>
      <w:r w:rsidR="00085B30">
        <w:t>ompany state</w:t>
      </w:r>
      <w:r w:rsidR="00C37FBA">
        <w:t>d</w:t>
      </w:r>
      <w:r w:rsidR="00085B30">
        <w:t xml:space="preserve"> on April 17, 2020</w:t>
      </w:r>
      <w:r w:rsidR="00636967">
        <w:t xml:space="preserve">, </w:t>
      </w:r>
      <w:r w:rsidR="00085B30">
        <w:t>in response to a question on Amazon.com</w:t>
      </w:r>
      <w:r w:rsidR="00D16FFD">
        <w:t>,</w:t>
      </w:r>
      <w:r w:rsidR="00085B30">
        <w:t xml:space="preserve"> that the microphone </w:t>
      </w:r>
      <w:r w:rsidRPr="000624A1" w:rsidR="000624A1">
        <w:t xml:space="preserve">PDWM94 </w:t>
      </w:r>
      <w:r w:rsidR="00085B30">
        <w:t>operates</w:t>
      </w:r>
      <w:r w:rsidR="005F0663">
        <w:t xml:space="preserve"> on frequencies</w:t>
      </w:r>
      <w:r w:rsidR="00085B30">
        <w:t xml:space="preserve"> in the aviation band.</w:t>
      </w:r>
      <w:r>
        <w:rPr>
          <w:rStyle w:val="FootnoteReference"/>
        </w:rPr>
        <w:footnoteReference w:id="157"/>
      </w:r>
      <w:r w:rsidR="00315AC9">
        <w:t xml:space="preserve">  We </w:t>
      </w:r>
      <w:r w:rsidR="00D12F62">
        <w:t xml:space="preserve">therefore reject </w:t>
      </w:r>
      <w:r w:rsidR="00315AC9">
        <w:t xml:space="preserve">Sound Around’s </w:t>
      </w:r>
      <w:r w:rsidR="00D12F62">
        <w:t>argument that the upward adjustment for egregiousness should be rescinded or reduced</w:t>
      </w:r>
      <w:r>
        <w:t>.</w:t>
      </w:r>
    </w:p>
    <w:p w:rsidR="004A0010" w:rsidP="009B3BA1" w14:paraId="7284F4A7" w14:textId="4FF3E5FE">
      <w:pPr>
        <w:pStyle w:val="ParaNum"/>
        <w:widowControl/>
      </w:pPr>
      <w:r>
        <w:t xml:space="preserve">Second, </w:t>
      </w:r>
      <w:r>
        <w:t>Sound Around claims that the Commission has not provided evidence of a continuing violation that is sufficient to support the upward adjustment.</w:t>
      </w:r>
      <w:r>
        <w:rPr>
          <w:rStyle w:val="FootnoteReference"/>
        </w:rPr>
        <w:footnoteReference w:id="158"/>
      </w:r>
      <w:r>
        <w:t xml:space="preserve">  </w:t>
      </w:r>
      <w:bookmarkStart w:id="169" w:name="_Hlk99366466"/>
      <w:r w:rsidR="005461DC">
        <w:t xml:space="preserve">As outlined in the </w:t>
      </w:r>
      <w:r w:rsidR="005461DC">
        <w:rPr>
          <w:i/>
          <w:iCs/>
        </w:rPr>
        <w:t>NAL</w:t>
      </w:r>
      <w:r w:rsidR="005461DC">
        <w:t>,</w:t>
      </w:r>
      <w:r>
        <w:rPr>
          <w:rStyle w:val="FootnoteReference"/>
        </w:rPr>
        <w:footnoteReference w:id="159"/>
      </w:r>
      <w:r w:rsidR="005461DC">
        <w:t xml:space="preserve"> the Company </w:t>
      </w:r>
      <w:r w:rsidR="004928A7">
        <w:t xml:space="preserve">does not deny it </w:t>
      </w:r>
      <w:r w:rsidR="005461DC">
        <w:t>has been continuously marketing noncompliant radio frequency devices since at least 2009 (when the Bureau began its first investigation of Sound Around</w:t>
      </w:r>
      <w:r w:rsidR="00D9558C">
        <w:t>)</w:t>
      </w:r>
      <w:r w:rsidR="005461DC">
        <w:t>.</w:t>
      </w:r>
      <w:r>
        <w:rPr>
          <w:rStyle w:val="FootnoteReference"/>
        </w:rPr>
        <w:footnoteReference w:id="160"/>
      </w:r>
      <w:r w:rsidR="005461DC">
        <w:t xml:space="preserve">  </w:t>
      </w:r>
      <w:r w:rsidR="004E2DB3">
        <w:t>The</w:t>
      </w:r>
      <w:r w:rsidRPr="004E2DB3" w:rsidR="00F13372">
        <w:t xml:space="preserve"> Division</w:t>
      </w:r>
      <w:r w:rsidRPr="004E2DB3" w:rsidR="00EA7BA4">
        <w:t xml:space="preserve"> observed noncompliant wireless microphones being marketed</w:t>
      </w:r>
      <w:r w:rsidRPr="004E2DB3" w:rsidR="00BA0A99">
        <w:t xml:space="preserve"> on the pyleusa.com</w:t>
      </w:r>
      <w:r w:rsidR="004E2DB3">
        <w:t xml:space="preserve"> and pyleaudio.com</w:t>
      </w:r>
      <w:r w:rsidRPr="004E2DB3" w:rsidR="00BA0A99">
        <w:t xml:space="preserve"> website</w:t>
      </w:r>
      <w:r w:rsidR="004E2DB3">
        <w:t>s</w:t>
      </w:r>
      <w:r w:rsidRPr="004E2DB3" w:rsidR="00BA0A99">
        <w:t xml:space="preserve"> over a period of </w:t>
      </w:r>
      <w:r w:rsidR="004E2DB3">
        <w:t>several</w:t>
      </w:r>
      <w:r w:rsidRPr="004E2DB3" w:rsidR="00BA0A99">
        <w:t xml:space="preserve"> years</w:t>
      </w:r>
      <w:r w:rsidR="009226B2">
        <w:t>,</w:t>
      </w:r>
      <w:r w:rsidR="004E2DB3">
        <w:t xml:space="preserve"> leading </w:t>
      </w:r>
      <w:r w:rsidR="00720EB6">
        <w:t xml:space="preserve">first to the </w:t>
      </w:r>
      <w:r w:rsidR="00720EB6">
        <w:rPr>
          <w:i/>
          <w:iCs/>
        </w:rPr>
        <w:t xml:space="preserve">Marketing Citation </w:t>
      </w:r>
      <w:r w:rsidR="00720EB6">
        <w:t xml:space="preserve">in 2011 and </w:t>
      </w:r>
      <w:r w:rsidR="00CE125A">
        <w:t xml:space="preserve">then </w:t>
      </w:r>
      <w:r w:rsidR="004E2DB3">
        <w:t xml:space="preserve">to the </w:t>
      </w:r>
      <w:r w:rsidR="004E2DB3">
        <w:rPr>
          <w:i/>
          <w:iCs/>
        </w:rPr>
        <w:t>NAL</w:t>
      </w:r>
      <w:r w:rsidR="00CE125A">
        <w:t xml:space="preserve"> in 2020</w:t>
      </w:r>
      <w:r w:rsidRPr="004E2DB3" w:rsidR="00EA7BA4">
        <w:t>.</w:t>
      </w:r>
      <w:r>
        <w:rPr>
          <w:rStyle w:val="FootnoteReference"/>
        </w:rPr>
        <w:footnoteReference w:id="161"/>
      </w:r>
      <w:r w:rsidRPr="00D9558C" w:rsidR="00EA7BA4">
        <w:t xml:space="preserve">  </w:t>
      </w:r>
      <w:bookmarkEnd w:id="169"/>
      <w:r w:rsidR="006D63C9">
        <w:t>Moreover, i</w:t>
      </w:r>
      <w:r>
        <w:t xml:space="preserve">n making this argument, Sound Around focuses on models PDWM94 and PDWM96, which are the two models that were marketed as being capable of operating </w:t>
      </w:r>
      <w:r w:rsidR="00111E28">
        <w:t xml:space="preserve">in </w:t>
      </w:r>
      <w:r>
        <w:t xml:space="preserve">the aviation bands.  However, the upward adjustment for the continuing </w:t>
      </w:r>
      <w:r w:rsidR="009868D6">
        <w:t xml:space="preserve">and repeated </w:t>
      </w:r>
      <w:r>
        <w:t>nature of the violations is based on the marketing</w:t>
      </w:r>
      <w:r w:rsidR="001F3599">
        <w:t xml:space="preserve"> of </w:t>
      </w:r>
      <w:r w:rsidR="00673742">
        <w:t>the</w:t>
      </w:r>
      <w:r w:rsidR="0000429F">
        <w:t xml:space="preserve"> other 30</w:t>
      </w:r>
      <w:r w:rsidR="00673742">
        <w:t xml:space="preserve"> </w:t>
      </w:r>
      <w:r w:rsidR="001F3599">
        <w:t>noncompliant radio frequency device</w:t>
      </w:r>
      <w:r w:rsidR="0000429F">
        <w:t xml:space="preserve"> model</w:t>
      </w:r>
      <w:r w:rsidR="001F3599">
        <w:t xml:space="preserve">s </w:t>
      </w:r>
      <w:r w:rsidR="00867671">
        <w:t xml:space="preserve">and </w:t>
      </w:r>
      <w:r w:rsidR="001F3599">
        <w:t xml:space="preserve">not limited to models </w:t>
      </w:r>
      <w:bookmarkStart w:id="170" w:name="_Hlk99366938"/>
      <w:r w:rsidR="001F3599">
        <w:t>PDWM94 and PDWM96</w:t>
      </w:r>
      <w:bookmarkEnd w:id="170"/>
      <w:r w:rsidR="00E175DE">
        <w:t>.</w:t>
      </w:r>
      <w:r>
        <w:rPr>
          <w:rStyle w:val="FootnoteReference"/>
        </w:rPr>
        <w:footnoteReference w:id="162"/>
      </w:r>
      <w:r w:rsidR="00E175DE">
        <w:t xml:space="preserve">  </w:t>
      </w:r>
      <w:r w:rsidR="006D63C9">
        <w:t>And, ir</w:t>
      </w:r>
      <w:r w:rsidR="00DB0338">
        <w:t xml:space="preserve">onically for the Company, </w:t>
      </w:r>
      <w:r w:rsidR="00021358">
        <w:t xml:space="preserve">PDWM94 and PDWM96 were two of the models for which the </w:t>
      </w:r>
      <w:r w:rsidRPr="0054621E" w:rsidR="0054621E">
        <w:rPr>
          <w:i/>
          <w:iCs/>
        </w:rPr>
        <w:t>Marketing Citation</w:t>
      </w:r>
      <w:r w:rsidR="00021358">
        <w:t xml:space="preserve"> was issued</w:t>
      </w:r>
      <w:r w:rsidR="00D22A7B">
        <w:t>; thus</w:t>
      </w:r>
      <w:r w:rsidR="0000429F">
        <w:t xml:space="preserve"> demonstrating the</w:t>
      </w:r>
      <w:r w:rsidR="00D22A7B">
        <w:t xml:space="preserve"> Company’s</w:t>
      </w:r>
      <w:r w:rsidR="0000429F">
        <w:t xml:space="preserve"> long history of marketing these two models</w:t>
      </w:r>
      <w:r w:rsidR="00021358">
        <w:t>.</w:t>
      </w:r>
      <w:r>
        <w:rPr>
          <w:rStyle w:val="FootnoteReference"/>
        </w:rPr>
        <w:footnoteReference w:id="163"/>
      </w:r>
      <w:r w:rsidR="00D63401">
        <w:t xml:space="preserve">  </w:t>
      </w:r>
      <w:r w:rsidR="004F1678">
        <w:t xml:space="preserve">Given these facts, we find no merit in the Company’s argument that we have not provided evidence of a continuing violation.  </w:t>
      </w:r>
    </w:p>
    <w:p w:rsidR="00DA7C96" w:rsidP="009B3BA1" w14:paraId="61CF0C3D" w14:textId="6639B3AB">
      <w:pPr>
        <w:pStyle w:val="ParaNum"/>
        <w:widowControl/>
      </w:pPr>
      <w:r>
        <w:t xml:space="preserve">Finally, Sound Around argues that it is not engaged in the communications business and did not fully understand the Division’s inquiries, </w:t>
      </w:r>
      <w:r w:rsidR="00783785">
        <w:t xml:space="preserve">and </w:t>
      </w:r>
      <w:r>
        <w:t>therefore the forfeiture amount should be cancelled or reduced.</w:t>
      </w:r>
      <w:r>
        <w:rPr>
          <w:rStyle w:val="FootnoteReference"/>
        </w:rPr>
        <w:footnoteReference w:id="164"/>
      </w:r>
      <w:r>
        <w:t xml:space="preserve">  </w:t>
      </w:r>
      <w:r w:rsidR="006C19F7">
        <w:t>But t</w:t>
      </w:r>
      <w:r w:rsidR="00F54382">
        <w:t xml:space="preserve">he </w:t>
      </w:r>
      <w:r w:rsidR="003C0F22">
        <w:t xml:space="preserve">Act recognizes that </w:t>
      </w:r>
      <w:r w:rsidR="00091D9E">
        <w:t xml:space="preserve">an entity </w:t>
      </w:r>
      <w:r w:rsidR="0096140B">
        <w:t xml:space="preserve">that </w:t>
      </w:r>
      <w:r w:rsidRPr="0096140B" w:rsidR="0096140B">
        <w:t>does not hold a license, permit, certificate, or other authorization issued by the Commission</w:t>
      </w:r>
      <w:r w:rsidR="0096140B">
        <w:t xml:space="preserve"> </w:t>
      </w:r>
      <w:r w:rsidR="006542AF">
        <w:t>may be less likely to be aware of its statutory obligations</w:t>
      </w:r>
      <w:r w:rsidR="00D22A7B">
        <w:t>,</w:t>
      </w:r>
      <w:r w:rsidR="006542AF">
        <w:t xml:space="preserve"> and </w:t>
      </w:r>
      <w:r w:rsidR="006E1F0D">
        <w:t xml:space="preserve">therefore </w:t>
      </w:r>
      <w:r w:rsidR="009D71E3">
        <w:t xml:space="preserve">provides that it must be served with </w:t>
      </w:r>
      <w:r w:rsidR="00AF4335">
        <w:t>a non-monetary citation for a first infraction</w:t>
      </w:r>
      <w:r w:rsidR="00ED5CBF">
        <w:t xml:space="preserve"> and may be assessed a forfeiture only if it </w:t>
      </w:r>
      <w:r w:rsidR="00C223B0">
        <w:t>“</w:t>
      </w:r>
      <w:r w:rsidRPr="00C223B0" w:rsidR="00C223B0">
        <w:t>subsequently engages in conduct of the type described in such citation</w:t>
      </w:r>
      <w:r w:rsidR="00C223B0">
        <w:t>”</w:t>
      </w:r>
      <w:r>
        <w:rPr>
          <w:rStyle w:val="FootnoteReference"/>
        </w:rPr>
        <w:footnoteReference w:id="165"/>
      </w:r>
      <w:r w:rsidR="00633DB9">
        <w:t>—a process the Division followed here.</w:t>
      </w:r>
      <w:r>
        <w:rPr>
          <w:rStyle w:val="FootnoteReference"/>
        </w:rPr>
        <w:footnoteReference w:id="166"/>
      </w:r>
      <w:r w:rsidR="003F7519">
        <w:t xml:space="preserve">  Having received a citation for</w:t>
      </w:r>
      <w:r w:rsidR="00C47C9E">
        <w:t xml:space="preserve"> engaging in unlawful marketing of radio frequency devices, </w:t>
      </w:r>
      <w:r w:rsidR="0099643D">
        <w:t>continued i</w:t>
      </w:r>
      <w:r w:rsidR="00471591">
        <w:t xml:space="preserve">gnorance of the law does not excuse or mitigate </w:t>
      </w:r>
      <w:r w:rsidR="003B1CAB">
        <w:t>the</w:t>
      </w:r>
      <w:r w:rsidR="00471591">
        <w:t xml:space="preserve"> violation</w:t>
      </w:r>
      <w:r w:rsidR="003B1CAB">
        <w:t>s here</w:t>
      </w:r>
      <w:r w:rsidR="00471591">
        <w:t>.</w:t>
      </w:r>
      <w:r>
        <w:rPr>
          <w:rStyle w:val="FootnoteReference"/>
        </w:rPr>
        <w:footnoteReference w:id="167"/>
      </w:r>
      <w:r>
        <w:t xml:space="preserve">  </w:t>
      </w:r>
      <w:r w:rsidR="005D60E7">
        <w:t>In addition, Sound Around state</w:t>
      </w:r>
      <w:r w:rsidR="0041403A">
        <w:t>d</w:t>
      </w:r>
      <w:r w:rsidR="005D60E7">
        <w:t xml:space="preserve"> that </w:t>
      </w:r>
      <w:r w:rsidR="003316C2">
        <w:t xml:space="preserve">it </w:t>
      </w:r>
      <w:r w:rsidR="001B4B42">
        <w:t>was</w:t>
      </w:r>
      <w:r w:rsidR="003316C2">
        <w:t xml:space="preserve"> working to put procedures in place to ensure compliance with the equipment marketing rules</w:t>
      </w:r>
      <w:r w:rsidR="00926620">
        <w:t>,</w:t>
      </w:r>
      <w:r w:rsidR="003316C2">
        <w:t xml:space="preserve"> </w:t>
      </w:r>
      <w:r w:rsidR="00DD5F5B">
        <w:t xml:space="preserve">and that </w:t>
      </w:r>
      <w:r w:rsidR="005D60E7">
        <w:t xml:space="preserve">none of the models listed in the Appendix of the </w:t>
      </w:r>
      <w:r w:rsidR="006A5E8F">
        <w:rPr>
          <w:i/>
          <w:iCs/>
        </w:rPr>
        <w:t>N</w:t>
      </w:r>
      <w:r w:rsidR="00087FD3">
        <w:rPr>
          <w:i/>
          <w:iCs/>
        </w:rPr>
        <w:t>AL</w:t>
      </w:r>
      <w:r w:rsidR="005D60E7">
        <w:t xml:space="preserve"> are currently being sold </w:t>
      </w:r>
      <w:r w:rsidR="004C50C8">
        <w:t>by</w:t>
      </w:r>
      <w:r w:rsidR="005D60E7">
        <w:t xml:space="preserve"> the Company on the </w:t>
      </w:r>
      <w:bookmarkStart w:id="171" w:name="_Hlk68261004"/>
      <w:r w:rsidR="002649A5">
        <w:t>pyleusa</w:t>
      </w:r>
      <w:r w:rsidR="005D60E7">
        <w:t xml:space="preserve">.com </w:t>
      </w:r>
      <w:bookmarkEnd w:id="171"/>
      <w:r w:rsidR="005D60E7">
        <w:t>website or otherwise.</w:t>
      </w:r>
      <w:r>
        <w:rPr>
          <w:rStyle w:val="FootnoteReference"/>
        </w:rPr>
        <w:footnoteReference w:id="168"/>
      </w:r>
      <w:r w:rsidR="005D60E7">
        <w:t xml:space="preserve">  </w:t>
      </w:r>
      <w:r w:rsidR="00190207">
        <w:t xml:space="preserve">As noted earlier, however, </w:t>
      </w:r>
      <w:r w:rsidRPr="00F11F0F" w:rsidR="004C50C8">
        <w:t xml:space="preserve">the </w:t>
      </w:r>
      <w:r w:rsidR="002649A5">
        <w:t>pyleusa</w:t>
      </w:r>
      <w:r w:rsidRPr="00F11F0F" w:rsidR="004C50C8">
        <w:t>.com</w:t>
      </w:r>
      <w:r w:rsidRPr="00F11F0F" w:rsidR="005D60E7">
        <w:t xml:space="preserve"> </w:t>
      </w:r>
      <w:r w:rsidRPr="00F11F0F" w:rsidR="004C50C8">
        <w:t xml:space="preserve">website </w:t>
      </w:r>
      <w:r w:rsidR="00F9083C">
        <w:t xml:space="preserve">continues to show </w:t>
      </w:r>
      <w:r w:rsidRPr="00F11F0F" w:rsidR="004C50C8">
        <w:t xml:space="preserve">that </w:t>
      </w:r>
      <w:r w:rsidR="00155397">
        <w:t>many of the models</w:t>
      </w:r>
      <w:r w:rsidRPr="00F11F0F" w:rsidR="004C50C8">
        <w:t xml:space="preserve"> </w:t>
      </w:r>
      <w:r w:rsidR="001804EA">
        <w:t>are</w:t>
      </w:r>
      <w:r w:rsidRPr="00F11F0F" w:rsidR="004C50C8">
        <w:t xml:space="preserve"> </w:t>
      </w:r>
      <w:r w:rsidRPr="00F11F0F" w:rsidR="00471591">
        <w:t xml:space="preserve">still </w:t>
      </w:r>
      <w:r w:rsidRPr="00F11F0F" w:rsidR="004C50C8">
        <w:t>being marketed by the Company.</w:t>
      </w:r>
      <w:bookmarkStart w:id="172" w:name="_Ref97203028"/>
      <w:r>
        <w:rPr>
          <w:rStyle w:val="FootnoteReference"/>
        </w:rPr>
        <w:footnoteReference w:id="169"/>
      </w:r>
      <w:bookmarkEnd w:id="172"/>
      <w:r w:rsidRPr="00F11F0F" w:rsidR="004C50C8">
        <w:t xml:space="preserve">  </w:t>
      </w:r>
      <w:r w:rsidR="00DF1A29">
        <w:t xml:space="preserve">Thus, the Company evidences no </w:t>
      </w:r>
      <w:r w:rsidR="004F3D57">
        <w:t xml:space="preserve">intent to comply with the Commission’s </w:t>
      </w:r>
      <w:r w:rsidR="00D467ED">
        <w:t>equipment marketing rules.</w:t>
      </w:r>
      <w:r w:rsidR="001C6AFC">
        <w:t xml:space="preserve">  </w:t>
      </w:r>
    </w:p>
    <w:p w:rsidR="004240B0" w:rsidP="009B3BA1" w14:paraId="0E9A82BD" w14:textId="47D1C1AA">
      <w:pPr>
        <w:pStyle w:val="Heading1"/>
        <w:widowControl/>
      </w:pPr>
      <w:bookmarkStart w:id="174" w:name="_Toc97719537"/>
      <w:bookmarkStart w:id="175" w:name="_Toc101260714"/>
      <w:bookmarkStart w:id="176" w:name="_Toc101960151"/>
      <w:bookmarkStart w:id="177" w:name="_Toc102041184"/>
      <w:bookmarkStart w:id="178" w:name="_Toc103873743"/>
      <w:bookmarkStart w:id="179" w:name="_Toc103875037"/>
      <w:bookmarkStart w:id="180" w:name="_Toc103875094"/>
      <w:bookmarkStart w:id="181" w:name="_Toc103875177"/>
      <w:r>
        <w:t>Conclusion</w:t>
      </w:r>
      <w:bookmarkEnd w:id="174"/>
      <w:bookmarkEnd w:id="175"/>
      <w:bookmarkEnd w:id="176"/>
      <w:bookmarkEnd w:id="177"/>
      <w:bookmarkEnd w:id="178"/>
      <w:bookmarkEnd w:id="179"/>
      <w:bookmarkEnd w:id="180"/>
      <w:bookmarkEnd w:id="181"/>
    </w:p>
    <w:p w:rsidR="005B4CEA" w:rsidRPr="00A020A9" w:rsidP="009B3BA1" w14:paraId="6596AA4B" w14:textId="7E2E0E45">
      <w:pPr>
        <w:pStyle w:val="ParaNum"/>
        <w:widowControl/>
      </w:pPr>
      <w:bookmarkStart w:id="182" w:name="SR;716"/>
      <w:bookmarkStart w:id="183" w:name="SR;717"/>
      <w:bookmarkEnd w:id="182"/>
      <w:bookmarkEnd w:id="183"/>
      <w:r w:rsidRPr="00344C0B">
        <w:t xml:space="preserve">Based on the record before us and in light of the applicable statutory factors, we </w:t>
      </w:r>
      <w:r w:rsidR="000145C6">
        <w:t>conclude</w:t>
      </w:r>
      <w:r w:rsidRPr="00344C0B">
        <w:t xml:space="preserve"> that S</w:t>
      </w:r>
      <w:r w:rsidR="005D7C00">
        <w:t xml:space="preserve">ound Around </w:t>
      </w:r>
      <w:r w:rsidRPr="0007571D">
        <w:t xml:space="preserve">willfully and repeatedly violated </w:t>
      </w:r>
      <w:r w:rsidR="005D7C00">
        <w:t xml:space="preserve">section 302(b) of the Act </w:t>
      </w:r>
      <w:r w:rsidRPr="003A0D15" w:rsidR="005D7C00">
        <w:t xml:space="preserve">and </w:t>
      </w:r>
      <w:r w:rsidR="005D7C00">
        <w:t>s</w:t>
      </w:r>
      <w:r w:rsidRPr="003A0D15" w:rsidR="005D7C00">
        <w:t>ection</w:t>
      </w:r>
      <w:r w:rsidR="005D7C00">
        <w:t>s</w:t>
      </w:r>
      <w:r w:rsidRPr="003A0D15" w:rsidR="005D7C00">
        <w:t xml:space="preserve"> 2.803(b)(1) </w:t>
      </w:r>
      <w:r w:rsidR="005D7C00">
        <w:t xml:space="preserve">and 74.851(f) </w:t>
      </w:r>
      <w:r w:rsidRPr="003A0D15" w:rsidR="005D7C00">
        <w:t>of the Commission’s rules</w:t>
      </w:r>
      <w:r w:rsidR="005D7C00">
        <w:t xml:space="preserve"> </w:t>
      </w:r>
      <w:r w:rsidRPr="0007571D">
        <w:t xml:space="preserve">by </w:t>
      </w:r>
      <w:r w:rsidRPr="00AE2519" w:rsidR="005D7C00">
        <w:t>market</w:t>
      </w:r>
      <w:r w:rsidR="005D7C00">
        <w:t>ing</w:t>
      </w:r>
      <w:r w:rsidRPr="00AE2519" w:rsidR="005D7C00">
        <w:t xml:space="preserve"> </w:t>
      </w:r>
      <w:r w:rsidR="005D7C00">
        <w:t>32 noncompliant m</w:t>
      </w:r>
      <w:r w:rsidRPr="00AE2519" w:rsidR="005D7C00">
        <w:t xml:space="preserve">odels of wireless microphones </w:t>
      </w:r>
      <w:r w:rsidR="005D7C00">
        <w:t xml:space="preserve">that </w:t>
      </w:r>
      <w:r w:rsidR="00351D72">
        <w:t xml:space="preserve">were not </w:t>
      </w:r>
      <w:r w:rsidR="005D7C00">
        <w:t>authorized in accordance with the Commission’s rules</w:t>
      </w:r>
      <w:r w:rsidRPr="0007571D">
        <w:t>.  We decline to cancel or reduce the</w:t>
      </w:r>
      <w:r w:rsidR="00932FF9">
        <w:t xml:space="preserve"> </w:t>
      </w:r>
      <w:r w:rsidRPr="0007571D">
        <w:t>$</w:t>
      </w:r>
      <w:r w:rsidRPr="00ED1A36" w:rsidR="005D7C00">
        <w:t>685</w:t>
      </w:r>
      <w:r w:rsidR="005D7C00">
        <w:t>,</w:t>
      </w:r>
      <w:r w:rsidRPr="00ED1A36" w:rsidR="005D7C00">
        <w:t>338</w:t>
      </w:r>
      <w:r w:rsidRPr="00344C0B" w:rsidR="005D7C00">
        <w:t xml:space="preserve"> </w:t>
      </w:r>
      <w:r w:rsidR="00932FF9">
        <w:t xml:space="preserve">forfeiture </w:t>
      </w:r>
      <w:r w:rsidRPr="00A020A9">
        <w:t xml:space="preserve">proposed in the </w:t>
      </w:r>
      <w:r w:rsidR="006A5E8F">
        <w:rPr>
          <w:i/>
          <w:iCs/>
        </w:rPr>
        <w:t>N</w:t>
      </w:r>
      <w:r w:rsidR="00087FD3">
        <w:rPr>
          <w:i/>
          <w:iCs/>
        </w:rPr>
        <w:t>AL</w:t>
      </w:r>
      <w:r w:rsidRPr="00A020A9">
        <w:t>.</w:t>
      </w:r>
      <w:r w:rsidRPr="008E72F9" w:rsidR="008E72F9">
        <w:rPr>
          <w:rStyle w:val="FootnoteReference"/>
        </w:rPr>
        <w:t xml:space="preserve"> </w:t>
      </w:r>
      <w:r>
        <w:rPr>
          <w:rStyle w:val="FootnoteReference"/>
        </w:rPr>
        <w:footnoteReference w:id="170"/>
      </w:r>
      <w:r w:rsidRPr="00A020A9">
        <w:t xml:space="preserve">  </w:t>
      </w:r>
      <w:r w:rsidRPr="00A020A9" w:rsidR="003343CA">
        <w:t xml:space="preserve"> </w:t>
      </w:r>
    </w:p>
    <w:p w:rsidR="003343CA" w:rsidRPr="00344C0B" w:rsidP="009B3BA1" w14:paraId="600FF076" w14:textId="77777777">
      <w:pPr>
        <w:pStyle w:val="Heading1"/>
        <w:widowControl/>
      </w:pPr>
      <w:bookmarkStart w:id="184" w:name="_Toc70939619"/>
      <w:bookmarkStart w:id="185" w:name="_Toc77338938"/>
      <w:bookmarkStart w:id="186" w:name="_Toc94265533"/>
      <w:bookmarkStart w:id="187" w:name="_Toc96075123"/>
      <w:bookmarkStart w:id="188" w:name="_Toc96084567"/>
      <w:bookmarkStart w:id="189" w:name="_Toc96515695"/>
      <w:bookmarkStart w:id="190" w:name="_Toc97719538"/>
      <w:bookmarkStart w:id="191" w:name="_Toc101260715"/>
      <w:bookmarkStart w:id="192" w:name="_Toc101960152"/>
      <w:bookmarkStart w:id="193" w:name="_Toc102041185"/>
      <w:bookmarkStart w:id="194" w:name="_Toc103873744"/>
      <w:bookmarkStart w:id="195" w:name="_Toc103875038"/>
      <w:bookmarkStart w:id="196" w:name="_Toc103875095"/>
      <w:bookmarkStart w:id="197" w:name="_Toc103875178"/>
      <w:r w:rsidRPr="00344C0B">
        <w:t>ORDERING CLAUSES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3343CA" w:rsidRPr="009A2403" w:rsidP="009B3BA1" w14:paraId="5E88CA50" w14:textId="3F810861">
      <w:pPr>
        <w:pStyle w:val="ParaNum"/>
        <w:widowControl/>
      </w:pPr>
      <w:r w:rsidRPr="00344C0B">
        <w:t xml:space="preserve">Accordingly, </w:t>
      </w:r>
      <w:r w:rsidRPr="00344C0B">
        <w:rPr>
          <w:b/>
        </w:rPr>
        <w:t>IT IS ORDERED</w:t>
      </w:r>
      <w:r w:rsidR="00F23F1E">
        <w:rPr>
          <w:b/>
        </w:rPr>
        <w:t xml:space="preserve"> </w:t>
      </w:r>
      <w:r w:rsidR="00F23F1E">
        <w:t>that</w:t>
      </w:r>
      <w:r w:rsidRPr="00344C0B">
        <w:t xml:space="preserve">, pursuant to </w:t>
      </w:r>
      <w:r w:rsidR="002722DC">
        <w:t>s</w:t>
      </w:r>
      <w:r w:rsidRPr="00344C0B">
        <w:t>ection 503(b) of the</w:t>
      </w:r>
      <w:r w:rsidR="00F23F1E">
        <w:t xml:space="preserve"> Act</w:t>
      </w:r>
      <w:r>
        <w:rPr>
          <w:rStyle w:val="FootnoteReference"/>
        </w:rPr>
        <w:footnoteReference w:id="171"/>
      </w:r>
      <w:r w:rsidRPr="0007571D">
        <w:t xml:space="preserve"> and </w:t>
      </w:r>
      <w:r w:rsidR="002722DC">
        <w:t>s</w:t>
      </w:r>
      <w:r w:rsidRPr="0007571D">
        <w:t xml:space="preserve">ection 1.80 of the </w:t>
      </w:r>
      <w:r w:rsidR="002722DC">
        <w:t>Commission’s r</w:t>
      </w:r>
      <w:r w:rsidRPr="0007571D">
        <w:t>ules,</w:t>
      </w:r>
      <w:r>
        <w:rPr>
          <w:rStyle w:val="FootnoteReference"/>
        </w:rPr>
        <w:footnoteReference w:id="172"/>
      </w:r>
      <w:r w:rsidRPr="0007571D">
        <w:t xml:space="preserve"> </w:t>
      </w:r>
      <w:r w:rsidR="005D7C00">
        <w:t xml:space="preserve">Sound Around, Inc. </w:t>
      </w:r>
      <w:r w:rsidRPr="0007571D">
        <w:rPr>
          <w:b/>
        </w:rPr>
        <w:t>IS LIABLE FOR A MONETARY FORFEITURE</w:t>
      </w:r>
      <w:r w:rsidRPr="009A2403">
        <w:t xml:space="preserve"> in the amount of </w:t>
      </w:r>
      <w:r w:rsidRPr="00ED1A36" w:rsidR="005D7C00">
        <w:t>six hundred and eighty-five thousand three hundred and thirty-eight dollars ($685,338)</w:t>
      </w:r>
      <w:r w:rsidRPr="003D5AFE" w:rsidR="005D7C00">
        <w:t xml:space="preserve"> </w:t>
      </w:r>
      <w:r w:rsidRPr="0007571D">
        <w:t xml:space="preserve">for willfully </w:t>
      </w:r>
      <w:r w:rsidR="00200B9A">
        <w:t>and repeatedly violating section 302(b) of the Act</w:t>
      </w:r>
      <w:r>
        <w:rPr>
          <w:rStyle w:val="FootnoteReference"/>
        </w:rPr>
        <w:footnoteReference w:id="173"/>
      </w:r>
      <w:r w:rsidR="00200B9A">
        <w:t xml:space="preserve"> </w:t>
      </w:r>
      <w:r w:rsidRPr="003A0D15" w:rsidR="00200B9A">
        <w:t xml:space="preserve">and </w:t>
      </w:r>
      <w:r w:rsidR="00200B9A">
        <w:t>s</w:t>
      </w:r>
      <w:r w:rsidRPr="003A0D15" w:rsidR="00200B9A">
        <w:t>ection</w:t>
      </w:r>
      <w:r w:rsidR="00200B9A">
        <w:t>s</w:t>
      </w:r>
      <w:r w:rsidR="001426F4">
        <w:t> </w:t>
      </w:r>
      <w:r w:rsidRPr="003A0D15" w:rsidR="00200B9A">
        <w:t xml:space="preserve">2.803(b)(1) </w:t>
      </w:r>
      <w:r w:rsidR="00200B9A">
        <w:t xml:space="preserve">and 74.851(f) </w:t>
      </w:r>
      <w:r w:rsidRPr="003A0D15" w:rsidR="00200B9A">
        <w:t>of the Commission’s rules</w:t>
      </w:r>
      <w:r w:rsidR="00200B9A">
        <w:t>.</w:t>
      </w:r>
      <w:r>
        <w:rPr>
          <w:rStyle w:val="FootnoteReference"/>
          <w:szCs w:val="22"/>
        </w:rPr>
        <w:footnoteReference w:id="174"/>
      </w:r>
    </w:p>
    <w:p w:rsidR="003343CA" w:rsidRPr="00344C0B" w:rsidP="009B3BA1" w14:paraId="40C64B09" w14:textId="7BF13CB4">
      <w:pPr>
        <w:pStyle w:val="ParaNum"/>
        <w:keepNext/>
        <w:widowControl/>
      </w:pPr>
      <w:r w:rsidRPr="00344C0B">
        <w:t xml:space="preserve">Payment of the forfeiture shall be made in the manner provided for in </w:t>
      </w:r>
      <w:r w:rsidR="002722DC">
        <w:t>s</w:t>
      </w:r>
      <w:r w:rsidRPr="00344C0B">
        <w:t xml:space="preserve">ection 1.80 of the </w:t>
      </w:r>
      <w:r w:rsidR="002722DC">
        <w:t>Commission’s r</w:t>
      </w:r>
      <w:r w:rsidRPr="00344C0B">
        <w:t xml:space="preserve">ules within </w:t>
      </w:r>
      <w:r w:rsidR="00225854">
        <w:t>thirty (30</w:t>
      </w:r>
      <w:r w:rsidRPr="00344C0B">
        <w:t>) calendar days after the release of this Forfeiture Order.</w:t>
      </w:r>
      <w:r>
        <w:rPr>
          <w:rStyle w:val="FootnoteReference"/>
        </w:rPr>
        <w:footnoteReference w:id="175"/>
      </w:r>
      <w:r w:rsidRPr="0007571D">
        <w:t xml:space="preserve">  </w:t>
      </w:r>
      <w:bookmarkStart w:id="198" w:name="_Hlk10631341"/>
      <w:r w:rsidR="009868D6">
        <w:t xml:space="preserve">Sound Around, Inc. </w:t>
      </w:r>
      <w:r w:rsidR="008D115E">
        <w:t xml:space="preserve">shall send electronic notification of payment to </w:t>
      </w:r>
      <w:hyperlink r:id="rId5" w:history="1">
        <w:r w:rsidRPr="00FB2555" w:rsidR="009B22FD">
          <w:rPr>
            <w:rStyle w:val="Hyperlink"/>
          </w:rPr>
          <w:t>EB-SED-Response@fcc.gov</w:t>
        </w:r>
      </w:hyperlink>
      <w:r w:rsidR="009868D6">
        <w:t xml:space="preserve"> </w:t>
      </w:r>
      <w:r w:rsidR="008D115E">
        <w:t xml:space="preserve">on the date said payment is made.  </w:t>
      </w:r>
      <w:bookmarkEnd w:id="198"/>
      <w:r w:rsidRPr="0007571D">
        <w:t xml:space="preserve">If the forfeiture is not paid within the period specified, the case may be referred to the U.S. Department of Justice for enforcement of the forfeiture pursuant to </w:t>
      </w:r>
      <w:r w:rsidR="002722DC">
        <w:t>s</w:t>
      </w:r>
      <w:r w:rsidRPr="0007571D">
        <w:t>ection 504(a) of the Act.</w:t>
      </w:r>
      <w:r>
        <w:rPr>
          <w:rStyle w:val="FootnoteReference"/>
        </w:rPr>
        <w:footnoteReference w:id="176"/>
      </w:r>
      <w:r w:rsidRPr="0007571D">
        <w:t xml:space="preserve">  </w:t>
      </w:r>
    </w:p>
    <w:p w:rsidR="003B46A9" w:rsidRPr="009716F7" w:rsidP="009B3BA1" w14:paraId="1E0AEB6E" w14:textId="04A71F39">
      <w:pPr>
        <w:pStyle w:val="ParaNum"/>
        <w:widowControl/>
      </w:pPr>
      <w:r w:rsidRPr="00AD0726">
        <w:t xml:space="preserve">Payment of the </w:t>
      </w:r>
      <w:r>
        <w:t>forfeiture</w:t>
      </w:r>
      <w:r w:rsidRPr="00AD0726">
        <w:t xml:space="preserve"> must be made by credit card</w:t>
      </w:r>
      <w:r w:rsidRPr="0004603F" w:rsidR="0004603F">
        <w:t xml:space="preserve"> using the Commission’s Registration System (CORES) at </w:t>
      </w:r>
      <w:hyperlink r:id="rId6" w:history="1">
        <w:r w:rsidRPr="00BC6214" w:rsidR="0004603F">
          <w:rPr>
            <w:rStyle w:val="Hyperlink"/>
          </w:rPr>
          <w:t>https://apps.fcc.gov/cores/userLogin.do</w:t>
        </w:r>
      </w:hyperlink>
      <w:r w:rsidRPr="00AD0726">
        <w:t>, ACH (Automated Clearing House) debit from a bank account</w:t>
      </w:r>
      <w:r w:rsidRPr="009716F7">
        <w:t>, or by wire transfer using the Commission’s Registration System (the Commission’s FRN Management and Financial system)</w:t>
      </w:r>
      <w:r w:rsidR="00775DCE">
        <w:t>.</w:t>
      </w:r>
      <w:r>
        <w:rPr>
          <w:rStyle w:val="FootnoteReference"/>
        </w:rPr>
        <w:footnoteReference w:id="177"/>
      </w:r>
      <w:r w:rsidRPr="009716F7">
        <w:t xml:space="preserve">  The Commission no longer accepts </w:t>
      </w:r>
      <w:r>
        <w:t>Civil Penalty</w:t>
      </w:r>
      <w:r w:rsidRPr="009716F7">
        <w:t xml:space="preserve"> payments by check or money order.  Below are instructions that payors should follow based on the form of payment selected:</w:t>
      </w:r>
      <w:r>
        <w:rPr>
          <w:rStyle w:val="FootnoteReference"/>
        </w:rPr>
        <w:footnoteReference w:id="178"/>
      </w:r>
    </w:p>
    <w:p w:rsidR="00CB3962" w:rsidRPr="009716F7" w:rsidP="009B3BA1" w14:paraId="7DF278E6" w14:textId="561DA5BA">
      <w:pPr>
        <w:widowControl/>
        <w:numPr>
          <w:ilvl w:val="0"/>
          <w:numId w:val="19"/>
        </w:numPr>
        <w:snapToGrid w:val="0"/>
        <w:spacing w:after="120"/>
        <w:ind w:left="720"/>
      </w:pPr>
      <w:r w:rsidRPr="0004603F">
        <w:t xml:space="preserve">Payment by wire transfer must be made to ABA Number 021030004, receiving bank TREAS/NYC, and Account Number 27000001.  In the OBI field, enter the FRN(s) captioned above and the letters “FORF”.  In addition, a completed Form 159  or printed CORES form  must be faxed to the Federal Communications Commission at 202-418-2843 or e-mailed to RROGWireFaxes@fcc.gov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   For additional detail and wire transfer instructions, go to </w:t>
      </w:r>
      <w:hyperlink r:id="rId7" w:history="1">
        <w:r w:rsidRPr="00EB5654" w:rsidR="00437FD7">
          <w:rPr>
            <w:rStyle w:val="Hyperlink"/>
          </w:rPr>
          <w:t>https://www.fcc.gov/licensing-databases/fees/wire-transfer</w:t>
        </w:r>
      </w:hyperlink>
      <w:r w:rsidR="00437FD7">
        <w:t xml:space="preserve">. </w:t>
      </w:r>
    </w:p>
    <w:p w:rsidR="00CB3962" w:rsidRPr="009716F7" w:rsidP="009B3BA1" w14:paraId="5A1518BF" w14:textId="534C48E5">
      <w:pPr>
        <w:widowControl/>
        <w:numPr>
          <w:ilvl w:val="0"/>
          <w:numId w:val="19"/>
        </w:numPr>
        <w:snapToGrid w:val="0"/>
        <w:spacing w:after="120"/>
        <w:ind w:left="720"/>
      </w:pPr>
      <w:r w:rsidRPr="0004603F">
        <w:t xml:space="preserve">Payment by credit card must be made by using CORES at https://apps.fcc.gov/cores/userLogin.do.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 Acct. No.  The bill number is the  NAL Acct. No. with the first two digits excluded (e.g., NAL 1912345678 would be associated with FCC Bill Number 12345678).  After selecting the bill for payment, </w:t>
      </w:r>
      <w:r w:rsidRPr="0004603F">
        <w:t>choose the “Pay by Credit Card” option.  Please note that there is a $24,999.99 limit on credit card transactions.</w:t>
      </w:r>
    </w:p>
    <w:p w:rsidR="00CB3962" w:rsidP="009B3BA1" w14:paraId="766347B4" w14:textId="7654085C">
      <w:pPr>
        <w:widowControl/>
        <w:numPr>
          <w:ilvl w:val="0"/>
          <w:numId w:val="19"/>
        </w:numPr>
        <w:snapToGrid w:val="0"/>
        <w:spacing w:after="120"/>
        <w:ind w:left="720"/>
      </w:pPr>
      <w:r w:rsidRPr="0004603F">
        <w:t xml:space="preserve">Payment by ACH must be made by using CORES at </w:t>
      </w:r>
      <w:hyperlink r:id="rId6" w:history="1">
        <w:r w:rsidRPr="00EB5654" w:rsidR="006956AE">
          <w:rPr>
            <w:rStyle w:val="Hyperlink"/>
          </w:rPr>
          <w:t>https://apps.fcc.gov/cores/userLogin.do</w:t>
        </w:r>
      </w:hyperlink>
      <w:r w:rsidR="006956AE">
        <w:t xml:space="preserve">. </w:t>
      </w:r>
      <w:r w:rsidRPr="0004603F">
        <w:t xml:space="preserve">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 Acct. No.  The bill number is the NAL Acct. No. with the first two digits excluded (e.g., NAL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B7D6C" w:rsidRPr="006B7D6C" w:rsidP="009B3BA1" w14:paraId="19AB942C" w14:textId="1B0E5FE6">
      <w:pPr>
        <w:pStyle w:val="ParaNum"/>
        <w:widowControl/>
      </w:pPr>
      <w:r w:rsidRPr="006B7D6C">
        <w:rPr>
          <w:b/>
          <w:bCs/>
        </w:rPr>
        <w:t>IT IS FURTHER ORDERED</w:t>
      </w:r>
      <w:r w:rsidRPr="006B7D6C">
        <w:t xml:space="preserve"> that the </w:t>
      </w:r>
      <w:r>
        <w:t>Enforcement</w:t>
      </w:r>
      <w:r w:rsidRPr="006B7D6C">
        <w:t xml:space="preserve"> Bureau shall commence </w:t>
      </w:r>
      <w:r>
        <w:t xml:space="preserve">a </w:t>
      </w:r>
      <w:r w:rsidRPr="006B7D6C">
        <w:t xml:space="preserve">further investigative and enforcement proceeding of </w:t>
      </w:r>
      <w:r>
        <w:t>Sound Around, Inc.’s</w:t>
      </w:r>
      <w:r w:rsidRPr="006B7D6C">
        <w:t xml:space="preserve"> apparent</w:t>
      </w:r>
      <w:r w:rsidR="004548FE">
        <w:t xml:space="preserve"> continued</w:t>
      </w:r>
      <w:r w:rsidRPr="006B7D6C">
        <w:t xml:space="preserve"> violation</w:t>
      </w:r>
      <w:r w:rsidR="004548FE">
        <w:t>s</w:t>
      </w:r>
      <w:r w:rsidRPr="006B7D6C">
        <w:t xml:space="preserve"> of</w:t>
      </w:r>
      <w:r w:rsidR="004548FE">
        <w:t xml:space="preserve"> section 302 of the Act and</w:t>
      </w:r>
      <w:r w:rsidRPr="006B7D6C">
        <w:t xml:space="preserve"> </w:t>
      </w:r>
      <w:r>
        <w:t>s</w:t>
      </w:r>
      <w:r w:rsidRPr="006B7D6C">
        <w:t xml:space="preserve">ection </w:t>
      </w:r>
      <w:r>
        <w:t>2.803</w:t>
      </w:r>
      <w:r w:rsidRPr="006B7D6C">
        <w:t xml:space="preserve"> of the Commission</w:t>
      </w:r>
      <w:r>
        <w:t>’</w:t>
      </w:r>
      <w:r w:rsidRPr="006B7D6C">
        <w:t>s rules.</w:t>
      </w:r>
      <w:r>
        <w:t xml:space="preserve">  </w:t>
      </w:r>
    </w:p>
    <w:p w:rsidR="003343CA" w:rsidRPr="0007571D" w:rsidP="009B3BA1" w14:paraId="0B0AEC30" w14:textId="613388D8">
      <w:pPr>
        <w:pStyle w:val="ParaNum"/>
        <w:keepNext/>
        <w:keepLines/>
        <w:widowControl/>
      </w:pPr>
      <w:r w:rsidRPr="00344C0B">
        <w:rPr>
          <w:b/>
        </w:rPr>
        <w:t>IT IS FURTHER ORDERED</w:t>
      </w:r>
      <w:r w:rsidRPr="00344C0B">
        <w:t xml:space="preserve"> that a copy of this Forfeiture Order </w:t>
      </w:r>
      <w:r w:rsidRPr="004749BE" w:rsidR="00F23F1E">
        <w:t xml:space="preserve">shall be sent by first class mail and certified mail, return receipt requested, to </w:t>
      </w:r>
      <w:r w:rsidR="003316C2">
        <w:t>Zigmond</w:t>
      </w:r>
      <w:r w:rsidR="003316C2">
        <w:t xml:space="preserve"> Brach, Chief Executive Officer</w:t>
      </w:r>
      <w:r w:rsidRPr="003D5AFE" w:rsidR="003316C2">
        <w:t xml:space="preserve">, </w:t>
      </w:r>
      <w:r w:rsidR="003316C2">
        <w:t>Sound Around, Inc.</w:t>
      </w:r>
      <w:r w:rsidRPr="003D5AFE" w:rsidR="003316C2">
        <w:t xml:space="preserve">, </w:t>
      </w:r>
      <w:r w:rsidR="003316C2">
        <w:t>1600 63</w:t>
      </w:r>
      <w:r w:rsidRPr="007A423B" w:rsidR="003316C2">
        <w:rPr>
          <w:vertAlign w:val="superscript"/>
        </w:rPr>
        <w:t>rd</w:t>
      </w:r>
      <w:r w:rsidR="003316C2">
        <w:t xml:space="preserve"> Street, Brooklyn, New York 11204</w:t>
      </w:r>
      <w:r w:rsidRPr="003D5AFE" w:rsidR="003316C2">
        <w:t xml:space="preserve">, and </w:t>
      </w:r>
      <w:r w:rsidR="003316C2">
        <w:t>to Timothy J. Cooney, Esq., Wilkinson Barker Knauer, LLP, 1800 M Street, NW</w:t>
      </w:r>
      <w:r w:rsidR="00F23F1E">
        <w:t>,</w:t>
      </w:r>
      <w:r w:rsidRPr="004749BE" w:rsidR="00F23F1E">
        <w:t xml:space="preserve"> </w:t>
      </w:r>
      <w:r w:rsidR="003316C2">
        <w:t>Suite 800N, Washington, D.C. 20036.</w:t>
      </w:r>
    </w:p>
    <w:p w:rsidR="003343CA" w:rsidRPr="00344C0B" w:rsidP="006C19F7" w14:paraId="3D1398BF" w14:textId="77777777">
      <w:pPr>
        <w:keepNext/>
        <w:keepLines/>
        <w:widowControl/>
      </w:pPr>
    </w:p>
    <w:p w:rsidR="003343CA" w:rsidRPr="00344C0B" w:rsidP="006C19F7" w14:paraId="33D7B0C7" w14:textId="77777777">
      <w:pPr>
        <w:keepNext/>
        <w:keepLines/>
        <w:widowControl/>
      </w:pPr>
    </w:p>
    <w:p w:rsidR="003343CA" w:rsidRPr="00344C0B" w:rsidP="006C19F7" w14:paraId="74A59084" w14:textId="77777777">
      <w:pPr>
        <w:keepNext/>
        <w:keepLines/>
        <w:widowControl/>
        <w:ind w:left="4406"/>
      </w:pPr>
      <w:r w:rsidRPr="00344C0B">
        <w:t>FEDERAL COMMUNICATIONS COMMISSION</w:t>
      </w:r>
    </w:p>
    <w:p w:rsidR="003343CA" w:rsidRPr="00344C0B" w:rsidP="006C19F7" w14:paraId="0EA60A12" w14:textId="77777777">
      <w:pPr>
        <w:keepNext/>
        <w:keepLines/>
        <w:widowControl/>
        <w:ind w:left="4406"/>
      </w:pPr>
    </w:p>
    <w:p w:rsidR="003343CA" w:rsidRPr="00344C0B" w:rsidP="006C19F7" w14:paraId="12DD2098" w14:textId="77777777">
      <w:pPr>
        <w:keepNext/>
        <w:keepLines/>
        <w:ind w:left="4406"/>
      </w:pPr>
    </w:p>
    <w:p w:rsidR="003343CA" w:rsidRPr="00344C0B" w:rsidP="006C19F7" w14:paraId="483828B5" w14:textId="77777777">
      <w:pPr>
        <w:keepNext/>
        <w:keepLines/>
        <w:ind w:left="4406"/>
      </w:pPr>
    </w:p>
    <w:p w:rsidR="003343CA" w:rsidRPr="00344C0B" w:rsidP="006C19F7" w14:paraId="2D7E7827" w14:textId="77777777">
      <w:pPr>
        <w:keepNext/>
        <w:keepLines/>
        <w:ind w:left="4406"/>
      </w:pPr>
    </w:p>
    <w:p w:rsidR="009B0223" w:rsidRPr="006D73F2" w:rsidP="006C19F7" w14:paraId="67D4462F" w14:textId="506F470E">
      <w:pPr>
        <w:keepNext/>
        <w:keepLines/>
        <w:ind w:left="4406"/>
      </w:pPr>
      <w:r w:rsidRPr="006D73F2">
        <w:t>Marlene H. Dortch</w:t>
      </w:r>
    </w:p>
    <w:p w:rsidR="009B0223" w:rsidRPr="006D73F2" w:rsidP="006C19F7" w14:paraId="559566FE" w14:textId="77777777">
      <w:pPr>
        <w:keepNext/>
        <w:keepLines/>
        <w:ind w:left="4406"/>
      </w:pPr>
      <w:r w:rsidRPr="006D73F2">
        <w:t>Secretary</w:t>
      </w:r>
    </w:p>
    <w:sectPr w:rsidSect="00D417DA">
      <w:headerReference w:type="default" r:id="rId8"/>
      <w:footerReference w:type="even"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DD7" w14:paraId="3C2D31C3" w14:textId="77777777">
    <w:pPr>
      <w:pStyle w:val="Footer"/>
      <w:framePr w:wrap="around" w:vAnchor="text" w:hAnchor="margin" w:xAlign="center" w:y="1"/>
    </w:pPr>
    <w:r>
      <w:fldChar w:fldCharType="begin"/>
    </w:r>
    <w:r>
      <w:instrText xml:space="preserve">PAGE  </w:instrText>
    </w:r>
    <w:r>
      <w:fldChar w:fldCharType="separate"/>
    </w:r>
    <w:r>
      <w:fldChar w:fldCharType="end"/>
    </w:r>
  </w:p>
  <w:p w:rsidR="00066DD7" w14:paraId="2CDADC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DD7" w14:paraId="56164315" w14:textId="77777777">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066DD7" w14:paraId="2F18617C"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2E02" w14:paraId="3AEF3601" w14:textId="77777777">
      <w:r>
        <w:separator/>
      </w:r>
    </w:p>
  </w:footnote>
  <w:footnote w:type="continuationSeparator" w:id="1">
    <w:p w:rsidR="00EC2E02" w14:paraId="04AE62E6" w14:textId="77777777">
      <w:pPr>
        <w:rPr>
          <w:sz w:val="20"/>
        </w:rPr>
      </w:pPr>
      <w:r>
        <w:rPr>
          <w:sz w:val="20"/>
        </w:rPr>
        <w:t xml:space="preserve">(Continued from previous page)  </w:t>
      </w:r>
      <w:r>
        <w:rPr>
          <w:sz w:val="20"/>
        </w:rPr>
        <w:separator/>
      </w:r>
    </w:p>
  </w:footnote>
  <w:footnote w:type="continuationNotice" w:id="2">
    <w:p w:rsidR="00EC2E02" w14:paraId="03F19FEE" w14:textId="77777777">
      <w:pPr>
        <w:rPr>
          <w:sz w:val="20"/>
        </w:rPr>
      </w:pPr>
      <w:r>
        <w:rPr>
          <w:sz w:val="20"/>
        </w:rPr>
        <w:t>(continued….)</w:t>
      </w:r>
    </w:p>
  </w:footnote>
  <w:footnote w:id="3">
    <w:p w:rsidR="004C5541" w:rsidRPr="007A04BF" w:rsidP="004C5541" w14:paraId="193E5483" w14:textId="77777777">
      <w:pPr>
        <w:pStyle w:val="FootnoteText"/>
      </w:pPr>
      <w:r w:rsidRPr="007A04BF">
        <w:rPr>
          <w:rStyle w:val="FootnoteReference"/>
        </w:rPr>
        <w:footnoteRef/>
      </w:r>
      <w:r w:rsidRPr="007A04BF">
        <w:t xml:space="preserve"> 47 U.S.C. § 151 </w:t>
      </w:r>
      <w:r w:rsidRPr="007A04BF">
        <w:rPr>
          <w:i/>
        </w:rPr>
        <w:t>et seq.</w:t>
      </w:r>
    </w:p>
  </w:footnote>
  <w:footnote w:id="4">
    <w:p w:rsidR="00066DD7" w:rsidRPr="007A04BF" w:rsidP="00213CF9" w14:paraId="270A75F8" w14:textId="5291A6D1">
      <w:pPr>
        <w:pStyle w:val="FootnoteText"/>
      </w:pPr>
      <w:r w:rsidRPr="007A04BF">
        <w:rPr>
          <w:rStyle w:val="FootnoteReference"/>
        </w:rPr>
        <w:footnoteRef/>
      </w:r>
      <w:r w:rsidRPr="007A04BF">
        <w:t xml:space="preserve"> 47 U.S.C. § 302a(b); 47 CFR </w:t>
      </w:r>
      <w:r w:rsidRPr="007A04BF" w:rsidR="008863EC">
        <w:t xml:space="preserve">§§ </w:t>
      </w:r>
      <w:r w:rsidRPr="007A04BF">
        <w:t>2.803, 74.851(f).</w:t>
      </w:r>
    </w:p>
  </w:footnote>
  <w:footnote w:id="5">
    <w:p w:rsidR="00066DD7" w:rsidRPr="007A04BF" w:rsidP="00D751D3" w14:paraId="7E42B000" w14:textId="38FF4152">
      <w:pPr>
        <w:pStyle w:val="FootnoteText"/>
      </w:pPr>
      <w:r w:rsidRPr="007A04BF">
        <w:rPr>
          <w:rStyle w:val="FootnoteReference"/>
        </w:rPr>
        <w:footnoteRef/>
      </w:r>
      <w:r w:rsidRPr="007A04BF">
        <w:t xml:space="preserve"> </w:t>
      </w:r>
      <w:r w:rsidRPr="007A04BF">
        <w:rPr>
          <w:iCs/>
        </w:rPr>
        <w:t xml:space="preserve">The </w:t>
      </w:r>
      <w:r w:rsidRPr="007A04BF">
        <w:rPr>
          <w:i/>
        </w:rPr>
        <w:t>NAL</w:t>
      </w:r>
      <w:r w:rsidRPr="007A04BF">
        <w:rPr>
          <w:iCs/>
        </w:rPr>
        <w:t xml:space="preserve"> includes a more complete discussion of the facts and history of this case and is incorporated herein by this reference.</w:t>
      </w:r>
      <w:r w:rsidRPr="007A04BF">
        <w:t xml:space="preserve">  </w:t>
      </w:r>
      <w:r w:rsidRPr="007A04BF">
        <w:rPr>
          <w:i/>
          <w:iCs/>
        </w:rPr>
        <w:t xml:space="preserve">Sound Around, Inc., </w:t>
      </w:r>
      <w:r w:rsidRPr="007A04BF">
        <w:t xml:space="preserve">Notice of Apparent Liability for Forfeiture, </w:t>
      </w:r>
      <w:r w:rsidRPr="007A04BF">
        <w:rPr>
          <w:rStyle w:val="item-value"/>
        </w:rPr>
        <w:t xml:space="preserve">35 FCC </w:t>
      </w:r>
      <w:r w:rsidRPr="007A04BF">
        <w:rPr>
          <w:rStyle w:val="item-value"/>
        </w:rPr>
        <w:t>Rcd</w:t>
      </w:r>
      <w:r w:rsidRPr="007A04BF">
        <w:rPr>
          <w:rStyle w:val="item-value"/>
        </w:rPr>
        <w:t xml:space="preserve"> 3478</w:t>
      </w:r>
      <w:r w:rsidRPr="007A04BF">
        <w:t xml:space="preserve"> (2020).  </w:t>
      </w:r>
    </w:p>
  </w:footnote>
  <w:footnote w:id="6">
    <w:p w:rsidR="00066DD7" w:rsidRPr="007A04BF" w:rsidP="00D751D3" w14:paraId="5F66F35A" w14:textId="42E33EB7">
      <w:pPr>
        <w:pStyle w:val="FootnoteText"/>
      </w:pPr>
      <w:r w:rsidRPr="007A04BF">
        <w:rPr>
          <w:rStyle w:val="FootnoteReference"/>
        </w:rPr>
        <w:footnoteRef/>
      </w:r>
      <w:r w:rsidRPr="007A04BF">
        <w:t xml:space="preserve"> </w:t>
      </w:r>
      <w:r w:rsidRPr="007A04BF">
        <w:rPr>
          <w:i/>
          <w:iCs/>
        </w:rPr>
        <w:t>Sound Around, Inc.</w:t>
      </w:r>
      <w:r w:rsidRPr="007A04BF">
        <w:t>, Response to Notice of Apparent Liability (filed Jul</w:t>
      </w:r>
      <w:r w:rsidR="000230AC">
        <w:t>y</w:t>
      </w:r>
      <w:r w:rsidRPr="007A04BF">
        <w:t xml:space="preserve"> 10, 2020) (on file in EB-SED-17-00024010) (NAL Response).</w:t>
      </w:r>
    </w:p>
  </w:footnote>
  <w:footnote w:id="7">
    <w:p w:rsidR="00066DD7" w:rsidRPr="007A04BF" w:rsidP="00C268A4" w14:paraId="3A70ECCD" w14:textId="795EF5C5">
      <w:pPr>
        <w:pStyle w:val="FootnoteText"/>
      </w:pPr>
      <w:r w:rsidRPr="007A04BF">
        <w:rPr>
          <w:rStyle w:val="FootnoteReference"/>
        </w:rPr>
        <w:footnoteRef/>
      </w:r>
      <w:r w:rsidRPr="007A04BF">
        <w:t xml:space="preserve"> 47 U.S.C. § 302a(b); 47 CFR § 2.803(b)-(c).  </w:t>
      </w:r>
    </w:p>
  </w:footnote>
  <w:footnote w:id="8">
    <w:p w:rsidR="00066DD7" w:rsidRPr="007A04BF" w:rsidP="00C268A4" w14:paraId="19395535" w14:textId="77777777">
      <w:pPr>
        <w:pStyle w:val="FootnoteText"/>
      </w:pPr>
      <w:r w:rsidRPr="007A04BF">
        <w:rPr>
          <w:rStyle w:val="FootnoteReference"/>
        </w:rPr>
        <w:footnoteRef/>
      </w:r>
      <w:r w:rsidRPr="007A04BF">
        <w:t xml:space="preserve"> 47 U.S.C. § 302a(b).</w:t>
      </w:r>
    </w:p>
  </w:footnote>
  <w:footnote w:id="9">
    <w:p w:rsidR="00066DD7" w:rsidRPr="007A04BF" w:rsidP="00032D3E" w14:paraId="2DD8B8C6" w14:textId="736CAB28">
      <w:pPr>
        <w:pStyle w:val="FootnoteText"/>
      </w:pPr>
      <w:r w:rsidRPr="007A04BF">
        <w:rPr>
          <w:rStyle w:val="FootnoteReference"/>
        </w:rPr>
        <w:footnoteRef/>
      </w:r>
      <w:r w:rsidRPr="007A04BF">
        <w:t xml:space="preserve"> </w:t>
      </w:r>
      <w:r w:rsidRPr="007A04BF">
        <w:rPr>
          <w:i/>
        </w:rPr>
        <w:t xml:space="preserve">See </w:t>
      </w:r>
      <w:r w:rsidRPr="007A04BF">
        <w:t>47 CFR</w:t>
      </w:r>
      <w:r w:rsidRPr="007A04BF">
        <w:rPr>
          <w:i/>
        </w:rPr>
        <w:t xml:space="preserve"> </w:t>
      </w:r>
      <w:r w:rsidRPr="007A04BF">
        <w:t>§ 2.803(b)(1).</w:t>
      </w:r>
    </w:p>
  </w:footnote>
  <w:footnote w:id="10">
    <w:p w:rsidR="00066DD7" w:rsidRPr="007A04BF" w14:paraId="6194A825" w14:textId="21D97EE5">
      <w:pPr>
        <w:pStyle w:val="FootnoteText"/>
      </w:pPr>
      <w:r w:rsidRPr="007A04BF">
        <w:rPr>
          <w:rStyle w:val="FootnoteReference"/>
        </w:rPr>
        <w:footnoteRef/>
      </w:r>
      <w:r w:rsidRPr="007A04BF">
        <w:t xml:space="preserve"> </w:t>
      </w:r>
      <w:r w:rsidRPr="007A04BF">
        <w:rPr>
          <w:i/>
        </w:rPr>
        <w:t>See</w:t>
      </w:r>
      <w:r w:rsidRPr="007A04BF">
        <w:t xml:space="preserve"> </w:t>
      </w:r>
      <w:r w:rsidRPr="007A04BF">
        <w:rPr>
          <w:i/>
          <w:iCs/>
        </w:rPr>
        <w:t>id</w:t>
      </w:r>
      <w:r w:rsidRPr="007A04BF">
        <w:t>. § 2.803(a).</w:t>
      </w:r>
    </w:p>
  </w:footnote>
  <w:footnote w:id="11">
    <w:p w:rsidR="00066DD7" w:rsidRPr="007A04BF" w:rsidP="00B30060" w14:paraId="422DED4B" w14:textId="77777777">
      <w:pPr>
        <w:pStyle w:val="FootnoteText"/>
      </w:pPr>
      <w:r w:rsidRPr="007A04BF">
        <w:rPr>
          <w:rStyle w:val="FootnoteReference"/>
        </w:rPr>
        <w:footnoteRef/>
      </w:r>
      <w:r w:rsidRPr="007A04BF">
        <w:t xml:space="preserve"> </w:t>
      </w:r>
      <w:r w:rsidRPr="007A04BF">
        <w:rPr>
          <w:i/>
          <w:iCs/>
        </w:rPr>
        <w:t>Id</w:t>
      </w:r>
      <w:r w:rsidRPr="007A04BF">
        <w:t>. § 74.851(f).  The Commission’s certification procedures are described in sections 2.1031-2.1060 of the Commission’s rules.</w:t>
      </w:r>
    </w:p>
  </w:footnote>
  <w:footnote w:id="12">
    <w:p w:rsidR="00066DD7" w:rsidRPr="007A04BF" w:rsidP="007817AA" w14:paraId="0B080887" w14:textId="74B1B493">
      <w:pPr>
        <w:pStyle w:val="FootnoteText"/>
      </w:pPr>
      <w:r w:rsidRPr="007A04BF">
        <w:rPr>
          <w:rStyle w:val="FootnoteReference"/>
        </w:rPr>
        <w:footnoteRef/>
      </w:r>
      <w:r w:rsidRPr="007A04BF">
        <w:t xml:space="preserve"> </w:t>
      </w:r>
      <w:r w:rsidRPr="007A04BF">
        <w:rPr>
          <w:i/>
        </w:rPr>
        <w:t>See generally Promoting Spectrum Access for Wireless Microphone Operations, Expanding the Economic and Innovation Opportunities of Spectrum Through Incentive Auctions</w:t>
      </w:r>
      <w:r w:rsidRPr="007A04BF">
        <w:t xml:space="preserve">, Report and Order, 30 FCC </w:t>
      </w:r>
      <w:r w:rsidRPr="007A04BF">
        <w:t>Rcd</w:t>
      </w:r>
      <w:r w:rsidRPr="007A04BF">
        <w:t xml:space="preserve"> 8739, 8741-43, paras. 4-8 (2015) (general discussion of wireless microphones).  </w:t>
      </w:r>
    </w:p>
  </w:footnote>
  <w:footnote w:id="13">
    <w:p w:rsidR="00066DD7" w:rsidRPr="007A04BF" w:rsidP="001B4385" w14:paraId="575AF57D" w14:textId="19F899F9">
      <w:pPr>
        <w:spacing w:before="120" w:after="120"/>
        <w:rPr>
          <w:sz w:val="20"/>
        </w:rPr>
      </w:pPr>
      <w:r w:rsidRPr="007A04BF">
        <w:rPr>
          <w:rStyle w:val="FootnoteReference"/>
        </w:rPr>
        <w:footnoteRef/>
      </w:r>
      <w:r w:rsidRPr="007A04BF">
        <w:rPr>
          <w:sz w:val="20"/>
        </w:rPr>
        <w:t xml:space="preserve"> </w:t>
      </w:r>
      <w:r w:rsidRPr="007A04BF">
        <w:rPr>
          <w:i/>
          <w:iCs/>
          <w:sz w:val="20"/>
        </w:rPr>
        <w:t>See, e.g.</w:t>
      </w:r>
      <w:r w:rsidRPr="007A04BF">
        <w:rPr>
          <w:sz w:val="20"/>
        </w:rPr>
        <w:t xml:space="preserve">, Federal Aviation Administration, Radio Frequency Interference (RFI) Radio Spectrum Planning, Order 6050.19E, </w:t>
      </w:r>
      <w:hyperlink r:id="rId1" w:history="1">
        <w:r w:rsidRPr="007A04BF">
          <w:rPr>
            <w:rStyle w:val="Hyperlink"/>
            <w:sz w:val="20"/>
          </w:rPr>
          <w:t>https://www.faa.gov/general/radio-frequency-interference-rfi-radio-spectrum-planning</w:t>
        </w:r>
      </w:hyperlink>
      <w:r w:rsidRPr="007A04BF">
        <w:rPr>
          <w:sz w:val="20"/>
        </w:rPr>
        <w:t xml:space="preserve"> (last visited Jan. 28, 2022).</w:t>
      </w:r>
    </w:p>
  </w:footnote>
  <w:footnote w:id="14">
    <w:p w:rsidR="00066DD7" w:rsidRPr="007A04BF" w:rsidP="007817AA" w14:paraId="5788ADA0" w14:textId="77777777">
      <w:pPr>
        <w:pStyle w:val="FootnoteText"/>
      </w:pPr>
      <w:r w:rsidRPr="007A04BF">
        <w:rPr>
          <w:rStyle w:val="FootnoteReference"/>
        </w:rPr>
        <w:footnoteRef/>
      </w:r>
      <w:r w:rsidRPr="007A04BF">
        <w:t xml:space="preserve"> </w:t>
      </w:r>
      <w:bookmarkStart w:id="41" w:name="_Hlk101178018"/>
      <w:r w:rsidRPr="007A04BF">
        <w:t>47 CFR § 74.802(a) (licensed wireless microphones); § 15.236 (unlicensed wireless microphones).</w:t>
      </w:r>
      <w:bookmarkEnd w:id="41"/>
      <w:r w:rsidRPr="007A04BF">
        <w:t xml:space="preserve"> </w:t>
      </w:r>
    </w:p>
  </w:footnote>
  <w:footnote w:id="15">
    <w:p w:rsidR="00066DD7" w:rsidRPr="007A04BF" w14:paraId="262F3C7C" w14:textId="6F2837A5">
      <w:pPr>
        <w:pStyle w:val="FootnoteText"/>
      </w:pPr>
      <w:r w:rsidRPr="007A04BF">
        <w:rPr>
          <w:rStyle w:val="FootnoteReference"/>
        </w:rPr>
        <w:footnoteRef/>
      </w:r>
      <w:r w:rsidRPr="007A04BF">
        <w:t xml:space="preserve"> </w:t>
      </w:r>
      <w:r w:rsidRPr="007A04BF">
        <w:rPr>
          <w:i/>
          <w:iCs/>
        </w:rPr>
        <w:t>See NAL</w:t>
      </w:r>
      <w:r w:rsidRPr="007A04BF">
        <w:t xml:space="preserve">, 35 FCC </w:t>
      </w:r>
      <w:r w:rsidRPr="007A04BF">
        <w:t>Rcd</w:t>
      </w:r>
      <w:r w:rsidRPr="007A04BF">
        <w:t xml:space="preserve"> at 3480, para. 6.</w:t>
      </w:r>
    </w:p>
  </w:footnote>
  <w:footnote w:id="16">
    <w:p w:rsidR="00066DD7" w:rsidRPr="007A04BF" w:rsidP="007817AA" w14:paraId="26E16F53" w14:textId="2D08457B">
      <w:pPr>
        <w:pStyle w:val="FootnoteText"/>
      </w:pPr>
      <w:r w:rsidRPr="007A04BF">
        <w:rPr>
          <w:rStyle w:val="FootnoteReference"/>
        </w:rPr>
        <w:footnoteRef/>
      </w:r>
      <w:r w:rsidRPr="007A04BF">
        <w:t xml:space="preserve"> </w:t>
      </w:r>
      <w:r w:rsidRPr="007A04BF">
        <w:rPr>
          <w:i/>
        </w:rPr>
        <w:t>See Sound Around Inc.</w:t>
      </w:r>
      <w:r w:rsidRPr="007A04BF">
        <w:t xml:space="preserve">, Citation, 26 FCC </w:t>
      </w:r>
      <w:r w:rsidRPr="007A04BF">
        <w:t>Rcd</w:t>
      </w:r>
      <w:r w:rsidRPr="007A04BF">
        <w:t xml:space="preserve"> 9474, 9477, para. 10 (EB 2011) (</w:t>
      </w:r>
      <w:r w:rsidRPr="007A04BF">
        <w:rPr>
          <w:i/>
          <w:iCs/>
        </w:rPr>
        <w:t>Marketing Citation</w:t>
      </w:r>
      <w:r w:rsidRPr="007A04BF">
        <w:t xml:space="preserve">) (“Sound Around should take immediate steps to ensure that it does not continue to violate the Commission’s Rules, including removing from display (including online display) all wireless microphones that are capable of operating in the 700 MHz frequency band.  To the extent that Sound Around markets wireless microphones that operate outside the 700 MHz frequency band, such as in the core TV bands (channels 2-51, excluding channel 37), it should review the Commission Rules that apply to such devices.”) (footnote omitted).  The </w:t>
      </w:r>
      <w:r w:rsidRPr="007A04BF">
        <w:rPr>
          <w:i/>
          <w:iCs/>
        </w:rPr>
        <w:t>Marketing Citation</w:t>
      </w:r>
      <w:r w:rsidRPr="007A04BF">
        <w:t xml:space="preserve"> noted that Sound Around engaged in unlawful marketing in 2009, 2010, and 2011.  </w:t>
      </w:r>
      <w:r w:rsidRPr="007A04BF">
        <w:rPr>
          <w:i/>
          <w:iCs/>
        </w:rPr>
        <w:t>Id.</w:t>
      </w:r>
      <w:r w:rsidRPr="007A04BF">
        <w:t xml:space="preserve"> at 9475-76, paras. 4-6.  </w:t>
      </w:r>
    </w:p>
  </w:footnote>
  <w:footnote w:id="17">
    <w:p w:rsidR="00066DD7" w:rsidRPr="007A04BF" w14:paraId="63870DD8" w14:textId="5128F4E5">
      <w:pPr>
        <w:pStyle w:val="FootnoteText"/>
      </w:pPr>
      <w:r w:rsidRPr="007A04BF">
        <w:rPr>
          <w:rStyle w:val="FootnoteReference"/>
        </w:rPr>
        <w:footnoteRef/>
      </w:r>
      <w:r w:rsidRPr="007A04BF">
        <w:t xml:space="preserve"> </w:t>
      </w:r>
      <w:r w:rsidRPr="007A04BF">
        <w:rPr>
          <w:i/>
          <w:iCs/>
        </w:rPr>
        <w:t>Marketing Citation</w:t>
      </w:r>
      <w:r w:rsidRPr="007A04BF">
        <w:t xml:space="preserve">, 26 FCC </w:t>
      </w:r>
      <w:r w:rsidRPr="007A04BF">
        <w:t>Rcd</w:t>
      </w:r>
      <w:r w:rsidRPr="007A04BF">
        <w:t xml:space="preserve"> at 9476, para. 7 (citing 47 CFR § 2.803(a)(1) (2011)).</w:t>
      </w:r>
    </w:p>
  </w:footnote>
  <w:footnote w:id="18">
    <w:p w:rsidR="00066DD7" w:rsidRPr="007A04BF" w14:paraId="17561EB6" w14:textId="489C9D05">
      <w:pPr>
        <w:pStyle w:val="FootnoteText"/>
      </w:pPr>
      <w:r w:rsidRPr="007A04BF">
        <w:rPr>
          <w:rStyle w:val="FootnoteReference"/>
        </w:rPr>
        <w:footnoteRef/>
      </w:r>
      <w:r w:rsidRPr="007A04BF">
        <w:t xml:space="preserve"> </w:t>
      </w:r>
      <w:r w:rsidRPr="007A04BF">
        <w:rPr>
          <w:i/>
          <w:iCs/>
        </w:rPr>
        <w:t xml:space="preserve">Id. </w:t>
      </w:r>
      <w:r w:rsidRPr="007A04BF">
        <w:t>at paras. 3-9.</w:t>
      </w:r>
    </w:p>
  </w:footnote>
  <w:footnote w:id="19">
    <w:p w:rsidR="00066DD7" w:rsidRPr="007A04BF" w14:paraId="70439135" w14:textId="3B752C12">
      <w:pPr>
        <w:pStyle w:val="FootnoteText"/>
      </w:pPr>
      <w:r w:rsidRPr="007A04BF">
        <w:rPr>
          <w:rStyle w:val="FootnoteReference"/>
        </w:rPr>
        <w:footnoteRef/>
      </w:r>
      <w:r w:rsidRPr="007A04BF">
        <w:t xml:space="preserve"> </w:t>
      </w:r>
      <w:r w:rsidRPr="007A04BF">
        <w:rPr>
          <w:i/>
          <w:iCs/>
        </w:rPr>
        <w:t>Id.</w:t>
      </w:r>
      <w:r w:rsidRPr="007A04BF">
        <w:t xml:space="preserve"> at para. 11.</w:t>
      </w:r>
    </w:p>
  </w:footnote>
  <w:footnote w:id="20">
    <w:p w:rsidR="00066DD7" w:rsidRPr="007A04BF" w14:paraId="3E1AF3B3" w14:textId="01FC8697">
      <w:pPr>
        <w:pStyle w:val="FootnoteText"/>
      </w:pPr>
      <w:r w:rsidRPr="007A04BF">
        <w:rPr>
          <w:rStyle w:val="FootnoteReference"/>
        </w:rPr>
        <w:footnoteRef/>
      </w:r>
      <w:r w:rsidRPr="007A04BF">
        <w:t xml:space="preserve"> </w:t>
      </w:r>
      <w:r w:rsidRPr="007A04BF">
        <w:rPr>
          <w:i/>
          <w:iCs/>
        </w:rPr>
        <w:t>See</w:t>
      </w:r>
      <w:r w:rsidRPr="007A04BF">
        <w:rPr>
          <w:i/>
        </w:rPr>
        <w:t xml:space="preserve"> NAL</w:t>
      </w:r>
      <w:r w:rsidRPr="007A04BF">
        <w:t xml:space="preserve">, 35 FCC </w:t>
      </w:r>
      <w:r w:rsidRPr="007A04BF">
        <w:t>Rcd</w:t>
      </w:r>
      <w:r w:rsidRPr="007A04BF">
        <w:t xml:space="preserve"> at 3482, para. 13, note 38.</w:t>
      </w:r>
    </w:p>
  </w:footnote>
  <w:footnote w:id="21">
    <w:p w:rsidR="00F840E0" w:rsidRPr="007A04BF" w14:paraId="27C15DBA" w14:textId="231CEA38">
      <w:pPr>
        <w:pStyle w:val="FootnoteText"/>
      </w:pPr>
      <w:r w:rsidRPr="007A04BF">
        <w:rPr>
          <w:rStyle w:val="FootnoteReference"/>
        </w:rPr>
        <w:footnoteRef/>
      </w:r>
      <w:r w:rsidRPr="007A04BF">
        <w:t xml:space="preserve"> </w:t>
      </w:r>
      <w:r w:rsidRPr="007A04BF">
        <w:rPr>
          <w:i/>
          <w:iCs/>
        </w:rPr>
        <w:t xml:space="preserve">See </w:t>
      </w:r>
      <w:r w:rsidRPr="007A04BF">
        <w:t xml:space="preserve">Letter of Inquiry from Aspasia </w:t>
      </w:r>
      <w:r w:rsidRPr="007A04BF">
        <w:rPr>
          <w:color w:val="000000"/>
        </w:rPr>
        <w:t xml:space="preserve">A. Paroutsas, </w:t>
      </w:r>
      <w:r w:rsidRPr="007A04BF">
        <w:t>Chief, Spectrum Enforcement Division, FCC Enforcement Bureau, to Abraham Brach, Sound Around, Inc. (June 6, 2017) (on file in EB-SED-17-00024010) (2017 LOI).</w:t>
      </w:r>
    </w:p>
  </w:footnote>
  <w:footnote w:id="22">
    <w:p w:rsidR="00066DD7" w:rsidRPr="007A04BF" w:rsidP="004620D2" w14:paraId="45565926" w14:textId="04B5120C">
      <w:pPr>
        <w:pStyle w:val="FootnoteText"/>
        <w:tabs>
          <w:tab w:val="left" w:pos="0"/>
        </w:tabs>
      </w:pPr>
      <w:r w:rsidRPr="007A04BF">
        <w:rPr>
          <w:rStyle w:val="FootnoteReference"/>
        </w:rPr>
        <w:footnoteRef/>
      </w:r>
      <w:r w:rsidRPr="007A04BF">
        <w:t xml:space="preserve"> </w:t>
      </w:r>
      <w:r w:rsidRPr="007A04BF">
        <w:rPr>
          <w:i/>
          <w:iCs/>
        </w:rPr>
        <w:t>See</w:t>
      </w:r>
      <w:r w:rsidRPr="007A04BF">
        <w:rPr>
          <w:i/>
        </w:rPr>
        <w:t xml:space="preserve"> NAL</w:t>
      </w:r>
      <w:r w:rsidRPr="007A04BF">
        <w:t xml:space="preserve">, 35 FCC </w:t>
      </w:r>
      <w:r w:rsidRPr="007A04BF">
        <w:t>Rcd</w:t>
      </w:r>
      <w:r w:rsidRPr="007A04BF">
        <w:t xml:space="preserve"> at 3480-81, paras. 8-9.  Sound Around admits its various responses contained contradictory and differing information regarding the radio frequency devices it marketed.  </w:t>
      </w:r>
      <w:r w:rsidRPr="007A04BF">
        <w:rPr>
          <w:i/>
          <w:iCs/>
        </w:rPr>
        <w:t xml:space="preserve">See </w:t>
      </w:r>
      <w:r w:rsidRPr="007A04BF">
        <w:t>NAL Response at 18-19.</w:t>
      </w:r>
    </w:p>
  </w:footnote>
  <w:footnote w:id="23">
    <w:p w:rsidR="00066DD7" w:rsidRPr="007A04BF" w14:paraId="0B4A7806" w14:textId="64E2F759">
      <w:pPr>
        <w:pStyle w:val="FootnoteText"/>
        <w:rPr>
          <w:i/>
          <w:iCs/>
        </w:rPr>
      </w:pPr>
      <w:r w:rsidRPr="007A04BF">
        <w:rPr>
          <w:rStyle w:val="FootnoteReference"/>
        </w:rPr>
        <w:footnoteRef/>
      </w:r>
      <w:r w:rsidRPr="007A04BF">
        <w:t xml:space="preserve"> </w:t>
      </w:r>
      <w:r w:rsidRPr="007A04BF">
        <w:rPr>
          <w:i/>
          <w:iCs/>
        </w:rPr>
        <w:t xml:space="preserve">See </w:t>
      </w:r>
      <w:r w:rsidRPr="007A04BF">
        <w:t>Letter of Inquiry from JoAnn Lucanik, Acting Chief, Spectrum Enforcement Division, FCC Enforcement Bureau, to Sound Around, Inc. at 3 (Apr</w:t>
      </w:r>
      <w:r w:rsidR="000230AC">
        <w:t>.</w:t>
      </w:r>
      <w:r w:rsidRPr="007A04BF">
        <w:t xml:space="preserve"> 30, 2019) (on file in EB-SED-17-00024010) (2019 LOI).</w:t>
      </w:r>
      <w:r w:rsidRPr="007A04BF">
        <w:rPr>
          <w:i/>
          <w:iCs/>
        </w:rPr>
        <w:t xml:space="preserve"> </w:t>
      </w:r>
    </w:p>
  </w:footnote>
  <w:footnote w:id="24">
    <w:p w:rsidR="00066DD7" w:rsidRPr="007A04BF" w14:paraId="31FFD7D1" w14:textId="005028D1">
      <w:pPr>
        <w:pStyle w:val="FootnoteText"/>
      </w:pPr>
      <w:r w:rsidRPr="007A04BF">
        <w:rPr>
          <w:rStyle w:val="FootnoteReference"/>
        </w:rPr>
        <w:footnoteRef/>
      </w:r>
      <w:r w:rsidRPr="007A04BF">
        <w:t xml:space="preserve"> </w:t>
      </w:r>
      <w:r w:rsidRPr="007A04BF">
        <w:rPr>
          <w:i/>
          <w:iCs/>
        </w:rPr>
        <w:t>See</w:t>
      </w:r>
      <w:r w:rsidRPr="007A04BF">
        <w:t xml:space="preserve"> </w:t>
      </w:r>
      <w:r w:rsidRPr="007A04BF">
        <w:rPr>
          <w:color w:val="000000"/>
        </w:rPr>
        <w:t xml:space="preserve">E-mail from Max Moskowitz, Esq., Counsel to Sound Around, Inc, </w:t>
      </w:r>
      <w:r w:rsidRPr="007A04BF">
        <w:rPr>
          <w:color w:val="000000"/>
        </w:rPr>
        <w:t>Ostrolenk</w:t>
      </w:r>
      <w:r w:rsidRPr="007A04BF">
        <w:rPr>
          <w:color w:val="000000"/>
        </w:rPr>
        <w:t xml:space="preserve"> Faber LLP, to Aspasia A. Paroutsas, </w:t>
      </w:r>
      <w:r w:rsidRPr="007A04BF">
        <w:t>Chief, Spectrum Enforcement Division, FCC Enforcement Bureau (Sept. 19, 2017</w:t>
      </w:r>
      <w:r w:rsidRPr="007A04BF">
        <w:rPr>
          <w:color w:val="000000"/>
        </w:rPr>
        <w:t>, 8:46 ET) (on file in EB-SED-</w:t>
      </w:r>
      <w:r w:rsidRPr="007A04BF">
        <w:t>17-00024010</w:t>
      </w:r>
      <w:r w:rsidRPr="007A04BF">
        <w:rPr>
          <w:color w:val="000000"/>
        </w:rPr>
        <w:t xml:space="preserve">) (September 19 LOI Response).  </w:t>
      </w:r>
    </w:p>
  </w:footnote>
  <w:footnote w:id="25">
    <w:p w:rsidR="00066DD7" w:rsidRPr="007A04BF" w14:paraId="2D679F13" w14:textId="3B7307A4">
      <w:pPr>
        <w:pStyle w:val="FootnoteText"/>
      </w:pPr>
      <w:r w:rsidRPr="007A04BF">
        <w:rPr>
          <w:rStyle w:val="FootnoteReference"/>
        </w:rPr>
        <w:footnoteRef/>
      </w:r>
      <w:r w:rsidRPr="007A04BF">
        <w:t xml:space="preserve"> </w:t>
      </w:r>
      <w:r w:rsidRPr="007A04BF">
        <w:rPr>
          <w:i/>
          <w:iCs/>
          <w:color w:val="000000"/>
        </w:rPr>
        <w:t xml:space="preserve">See </w:t>
      </w:r>
      <w:r w:rsidRPr="007A04BF">
        <w:t xml:space="preserve">E-mail and attachments from Steve Coran, Esq., </w:t>
      </w:r>
      <w:r w:rsidRPr="007A04BF">
        <w:t>Lerman</w:t>
      </w:r>
      <w:r w:rsidRPr="007A04BF">
        <w:t xml:space="preserve"> </w:t>
      </w:r>
      <w:r w:rsidRPr="007A04BF">
        <w:t>Senter</w:t>
      </w:r>
      <w:r w:rsidRPr="007A04BF">
        <w:t xml:space="preserve"> PLLC (Counsel to Sound Around), to Aspasia Paroutsas, Chief, Spectrum Enforcement Division, FCC Enforcement Bureau (Dec. 19, 2017, 17:56 ET) (on file in EB-SED-17-00024010).</w:t>
      </w:r>
    </w:p>
  </w:footnote>
  <w:footnote w:id="26">
    <w:p w:rsidR="00066DD7" w:rsidRPr="007A04BF" w14:paraId="7B5E94BA" w14:textId="0F483ECD">
      <w:pPr>
        <w:pStyle w:val="FootnoteText"/>
      </w:pPr>
      <w:r w:rsidRPr="007A04BF">
        <w:rPr>
          <w:rStyle w:val="FootnoteReference"/>
        </w:rPr>
        <w:footnoteRef/>
      </w:r>
      <w:r w:rsidRPr="007A04BF">
        <w:t xml:space="preserve"> 2019 LOI at 1.</w:t>
      </w:r>
    </w:p>
  </w:footnote>
  <w:footnote w:id="27">
    <w:p w:rsidR="00066DD7" w:rsidRPr="007A04BF" w14:paraId="66B458B2" w14:textId="20D05168">
      <w:pPr>
        <w:pStyle w:val="FootnoteText"/>
      </w:pPr>
      <w:r w:rsidRPr="007A04BF">
        <w:rPr>
          <w:rStyle w:val="FootnoteReference"/>
        </w:rPr>
        <w:footnoteRef/>
      </w:r>
      <w:r w:rsidRPr="007A04BF">
        <w:t xml:space="preserve"> </w:t>
      </w:r>
      <w:r w:rsidRPr="007A04BF">
        <w:rPr>
          <w:i/>
          <w:iCs/>
        </w:rPr>
        <w:t>Id.</w:t>
      </w:r>
      <w:r w:rsidRPr="007A04BF">
        <w:t xml:space="preserve"> </w:t>
      </w:r>
    </w:p>
  </w:footnote>
  <w:footnote w:id="28">
    <w:p w:rsidR="00066DD7" w:rsidRPr="007A04BF" w:rsidP="00D02A40" w14:paraId="7405590D" w14:textId="128BF9F7">
      <w:pPr>
        <w:pStyle w:val="FootnoteText"/>
      </w:pPr>
      <w:r w:rsidRPr="007A04BF">
        <w:rPr>
          <w:rStyle w:val="FootnoteReference"/>
        </w:rPr>
        <w:footnoteRef/>
      </w:r>
      <w:r w:rsidRPr="007A04BF">
        <w:t xml:space="preserve"> </w:t>
      </w:r>
      <w:r w:rsidRPr="007A04BF">
        <w:rPr>
          <w:i/>
          <w:iCs/>
        </w:rPr>
        <w:t xml:space="preserve">See </w:t>
      </w:r>
      <w:r w:rsidRPr="007A04BF">
        <w:rPr>
          <w:i/>
        </w:rPr>
        <w:t>NAL</w:t>
      </w:r>
      <w:r w:rsidRPr="007A04BF">
        <w:t xml:space="preserve">, 35 FCC </w:t>
      </w:r>
      <w:r w:rsidRPr="007A04BF">
        <w:t>Rcd</w:t>
      </w:r>
      <w:r w:rsidRPr="007A04BF">
        <w:t xml:space="preserve"> at 3481, para. 9; </w:t>
      </w:r>
      <w:r w:rsidRPr="007A04BF">
        <w:rPr>
          <w:i/>
          <w:iCs/>
        </w:rPr>
        <w:t>see</w:t>
      </w:r>
      <w:r w:rsidRPr="007A04BF">
        <w:rPr>
          <w:i/>
        </w:rPr>
        <w:t xml:space="preserve"> also </w:t>
      </w:r>
      <w:r w:rsidRPr="007A04BF">
        <w:t xml:space="preserve">2019 LOI.  </w:t>
      </w:r>
    </w:p>
  </w:footnote>
  <w:footnote w:id="29">
    <w:p w:rsidR="00066DD7" w:rsidRPr="007A04BF" w14:paraId="71442C8D" w14:textId="47F24388">
      <w:pPr>
        <w:pStyle w:val="FootnoteText"/>
      </w:pPr>
      <w:r w:rsidRPr="007A04BF">
        <w:rPr>
          <w:rStyle w:val="FootnoteReference"/>
        </w:rPr>
        <w:footnoteRef/>
      </w:r>
      <w:r w:rsidRPr="007A04BF">
        <w:t xml:space="preserve"> </w:t>
      </w:r>
      <w:r w:rsidRPr="007A04BF" w:rsidR="009B0B94">
        <w:t xml:space="preserve">Letter and attachments from Max Moskowitz, Esq., Counsel to Sound Around, Inc, </w:t>
      </w:r>
      <w:r w:rsidRPr="007A04BF" w:rsidR="009B0B94">
        <w:t>Ostrolenk</w:t>
      </w:r>
      <w:r w:rsidRPr="007A04BF" w:rsidR="009B0B94">
        <w:t xml:space="preserve"> Faber LLP, to JoAnn Lucanik, Acting Chief, Spectrum Enforcement Division, FCC Enforcement Bureau (June 7, 2019) (on file in EB-SED-17-00024010) (2019 LOI Response); </w:t>
      </w:r>
      <w:r w:rsidRPr="007A04BF" w:rsidR="009B0B94">
        <w:rPr>
          <w:i/>
          <w:iCs/>
        </w:rPr>
        <w:t xml:space="preserve">see also </w:t>
      </w:r>
      <w:r w:rsidRPr="007A04BF">
        <w:rPr>
          <w:i/>
        </w:rPr>
        <w:t>NAL</w:t>
      </w:r>
      <w:r w:rsidRPr="007A04BF">
        <w:t xml:space="preserve">, 35 FCC </w:t>
      </w:r>
      <w:r w:rsidRPr="007A04BF">
        <w:t>Rcd</w:t>
      </w:r>
      <w:r w:rsidRPr="007A04BF">
        <w:t xml:space="preserve"> at 3481, para. 10.</w:t>
      </w:r>
    </w:p>
  </w:footnote>
  <w:footnote w:id="30">
    <w:p w:rsidR="00066DD7" w:rsidRPr="007A04BF" w14:paraId="4F74451A" w14:textId="341598FD">
      <w:pPr>
        <w:pStyle w:val="FootnoteText"/>
      </w:pPr>
      <w:r w:rsidRPr="007A04BF">
        <w:rPr>
          <w:rStyle w:val="FootnoteReference"/>
        </w:rPr>
        <w:footnoteRef/>
      </w:r>
      <w:r w:rsidRPr="007A04BF">
        <w:t xml:space="preserve"> </w:t>
      </w:r>
      <w:r w:rsidRPr="007A04BF" w:rsidR="00D02F48">
        <w:rPr>
          <w:i/>
        </w:rPr>
        <w:t>NAL</w:t>
      </w:r>
      <w:r w:rsidRPr="007A04BF" w:rsidR="00D02F48">
        <w:t xml:space="preserve">, 35 FCC </w:t>
      </w:r>
      <w:r w:rsidRPr="007A04BF" w:rsidR="00D02F48">
        <w:t>Rcd</w:t>
      </w:r>
      <w:r w:rsidRPr="007A04BF" w:rsidR="00D02F48">
        <w:t xml:space="preserve"> at 3481, para. </w:t>
      </w:r>
      <w:r w:rsidRPr="007A04BF">
        <w:t>11.</w:t>
      </w:r>
    </w:p>
  </w:footnote>
  <w:footnote w:id="31">
    <w:p w:rsidR="00066DD7" w:rsidRPr="007A04BF" w14:paraId="15ED9458" w14:textId="3B9B00EB">
      <w:pPr>
        <w:pStyle w:val="FootnoteText"/>
      </w:pPr>
      <w:r w:rsidRPr="007A04BF">
        <w:rPr>
          <w:rStyle w:val="FootnoteReference"/>
        </w:rPr>
        <w:footnoteRef/>
      </w:r>
      <w:r w:rsidRPr="007A04BF">
        <w:t xml:space="preserve"> </w:t>
      </w:r>
      <w:r w:rsidRPr="007A04BF" w:rsidR="009B0B94">
        <w:t>2019 LOI Response.</w:t>
      </w:r>
    </w:p>
  </w:footnote>
  <w:footnote w:id="32">
    <w:p w:rsidR="00066DD7" w:rsidRPr="007A04BF" w:rsidP="000F32FE" w14:paraId="14B183B3" w14:textId="77777777">
      <w:pPr>
        <w:pStyle w:val="FootnoteText"/>
      </w:pPr>
      <w:r w:rsidRPr="007A04BF">
        <w:rPr>
          <w:rStyle w:val="FootnoteReference"/>
        </w:rPr>
        <w:footnoteRef/>
      </w:r>
      <w:r w:rsidRPr="007A04BF">
        <w:t xml:space="preserve"> 47 U.S.C. § 302a(b); 47 CFR §§ 2.803, 74.851.  </w:t>
      </w:r>
    </w:p>
  </w:footnote>
  <w:footnote w:id="33">
    <w:p w:rsidR="00066DD7" w:rsidRPr="007A04BF" w:rsidP="009B3F94" w14:paraId="13F05C61" w14:textId="166DC788">
      <w:pPr>
        <w:pStyle w:val="FootnoteText"/>
      </w:pPr>
      <w:r w:rsidRPr="007A04BF">
        <w:rPr>
          <w:rStyle w:val="FootnoteReference"/>
        </w:rPr>
        <w:footnoteRef/>
      </w:r>
      <w:r w:rsidRPr="007A04BF">
        <w:t xml:space="preserve"> </w:t>
      </w:r>
      <w:r w:rsidRPr="007A04BF">
        <w:rPr>
          <w:i/>
        </w:rPr>
        <w:t>NAL</w:t>
      </w:r>
      <w:r w:rsidRPr="007A04BF">
        <w:t xml:space="preserve">, 35 FCC </w:t>
      </w:r>
      <w:r w:rsidRPr="007A04BF">
        <w:t>Rcd</w:t>
      </w:r>
      <w:r w:rsidRPr="007A04BF">
        <w:t xml:space="preserve"> at 3485-86, paras. 21-23. </w:t>
      </w:r>
    </w:p>
  </w:footnote>
  <w:footnote w:id="34">
    <w:p w:rsidR="00066DD7" w:rsidRPr="007A04BF" w14:paraId="277CABF9" w14:textId="79765595">
      <w:pPr>
        <w:pStyle w:val="FootnoteText"/>
      </w:pPr>
      <w:r w:rsidRPr="007A04BF">
        <w:rPr>
          <w:rStyle w:val="FootnoteReference"/>
        </w:rPr>
        <w:footnoteRef/>
      </w:r>
      <w:r w:rsidRPr="007A04BF">
        <w:t xml:space="preserve"> </w:t>
      </w:r>
      <w:r w:rsidRPr="007A04BF">
        <w:rPr>
          <w:i/>
          <w:iCs/>
        </w:rPr>
        <w:t xml:space="preserve">See </w:t>
      </w:r>
      <w:r w:rsidRPr="007A04BF">
        <w:t>NAL Response.</w:t>
      </w:r>
    </w:p>
  </w:footnote>
  <w:footnote w:id="35">
    <w:p w:rsidR="00066DD7" w:rsidRPr="007A04BF" w14:paraId="5E0D13C2" w14:textId="72942FDB">
      <w:pPr>
        <w:pStyle w:val="FootnoteText"/>
      </w:pPr>
      <w:r w:rsidRPr="007A04BF">
        <w:rPr>
          <w:rStyle w:val="FootnoteReference"/>
        </w:rPr>
        <w:footnoteRef/>
      </w:r>
      <w:r w:rsidRPr="007A04BF">
        <w:t xml:space="preserve"> </w:t>
      </w:r>
      <w:r w:rsidRPr="007A04BF">
        <w:rPr>
          <w:i/>
          <w:iCs/>
        </w:rPr>
        <w:t xml:space="preserve">See </w:t>
      </w:r>
      <w:r w:rsidRPr="007A04BF">
        <w:t xml:space="preserve">NAL </w:t>
      </w:r>
      <w:r w:rsidRPr="007A04BF">
        <w:rPr>
          <w:iCs/>
        </w:rPr>
        <w:t>Response</w:t>
      </w:r>
      <w:r w:rsidRPr="007A04BF">
        <w:rPr>
          <w:i/>
          <w:iCs/>
        </w:rPr>
        <w:t xml:space="preserve"> </w:t>
      </w:r>
      <w:r w:rsidRPr="007A04BF">
        <w:t>at 4-7.</w:t>
      </w:r>
    </w:p>
  </w:footnote>
  <w:footnote w:id="36">
    <w:p w:rsidR="00066DD7" w:rsidRPr="007A04BF" w14:paraId="4E354C8D" w14:textId="0C1518AE">
      <w:pPr>
        <w:pStyle w:val="FootnoteText"/>
      </w:pPr>
      <w:r w:rsidRPr="007A04BF">
        <w:rPr>
          <w:rStyle w:val="FootnoteReference"/>
        </w:rPr>
        <w:footnoteRef/>
      </w:r>
      <w:r w:rsidRPr="007A04BF">
        <w:t xml:space="preserve"> </w:t>
      </w:r>
      <w:r w:rsidRPr="007A04BF">
        <w:rPr>
          <w:i/>
          <w:iCs/>
        </w:rPr>
        <w:t xml:space="preserve">See id. </w:t>
      </w:r>
      <w:r w:rsidRPr="007A04BF">
        <w:t>at 7-12.</w:t>
      </w:r>
    </w:p>
  </w:footnote>
  <w:footnote w:id="37">
    <w:p w:rsidR="00066DD7" w:rsidRPr="007A04BF" w14:paraId="64589203" w14:textId="4F9CB486">
      <w:pPr>
        <w:pStyle w:val="FootnoteText"/>
      </w:pPr>
      <w:r w:rsidRPr="007A04BF">
        <w:rPr>
          <w:rStyle w:val="FootnoteReference"/>
        </w:rPr>
        <w:footnoteRef/>
      </w:r>
      <w:r w:rsidRPr="007A04BF">
        <w:t xml:space="preserve"> </w:t>
      </w:r>
      <w:r w:rsidRPr="007A04BF">
        <w:rPr>
          <w:i/>
          <w:iCs/>
        </w:rPr>
        <w:t>See id.</w:t>
      </w:r>
      <w:r w:rsidRPr="007A04BF">
        <w:t xml:space="preserve"> at 12-17.</w:t>
      </w:r>
    </w:p>
  </w:footnote>
  <w:footnote w:id="38">
    <w:p w:rsidR="00066DD7" w:rsidRPr="007A04BF" w14:paraId="06BEE599" w14:textId="79EC2B17">
      <w:pPr>
        <w:pStyle w:val="FootnoteText"/>
      </w:pPr>
      <w:r w:rsidRPr="007A04BF">
        <w:rPr>
          <w:rStyle w:val="FootnoteReference"/>
        </w:rPr>
        <w:footnoteRef/>
      </w:r>
      <w:r w:rsidRPr="007A04BF">
        <w:t xml:space="preserve"> </w:t>
      </w:r>
      <w:r w:rsidRPr="007A04BF">
        <w:rPr>
          <w:i/>
          <w:iCs/>
        </w:rPr>
        <w:t>See id.</w:t>
      </w:r>
      <w:r w:rsidRPr="007A04BF">
        <w:t xml:space="preserve"> at 17-22.</w:t>
      </w:r>
    </w:p>
  </w:footnote>
  <w:footnote w:id="39">
    <w:p w:rsidR="00066DD7" w:rsidRPr="007A04BF" w:rsidP="006168A4" w14:paraId="603D79BD" w14:textId="77777777">
      <w:pPr>
        <w:pStyle w:val="FootnoteText"/>
      </w:pPr>
      <w:r w:rsidRPr="007A04BF">
        <w:rPr>
          <w:rStyle w:val="FootnoteReference"/>
        </w:rPr>
        <w:footnoteRef/>
      </w:r>
      <w:r w:rsidRPr="007A04BF">
        <w:t xml:space="preserve"> 47 U.S.C. § 503(b).</w:t>
      </w:r>
    </w:p>
  </w:footnote>
  <w:footnote w:id="40">
    <w:p w:rsidR="00066DD7" w:rsidRPr="007A04BF" w:rsidP="006168A4" w14:paraId="31742A1E" w14:textId="77777777">
      <w:pPr>
        <w:pStyle w:val="FootnoteText"/>
      </w:pPr>
      <w:r w:rsidRPr="007A04BF">
        <w:rPr>
          <w:rStyle w:val="FootnoteReference"/>
        </w:rPr>
        <w:footnoteRef/>
      </w:r>
      <w:r w:rsidRPr="007A04BF">
        <w:t xml:space="preserve"> 47 CFR § 1.80.</w:t>
      </w:r>
    </w:p>
  </w:footnote>
  <w:footnote w:id="41">
    <w:p w:rsidR="00066DD7" w:rsidRPr="007A04BF" w:rsidP="006168A4" w14:paraId="50808E4C" w14:textId="77777777">
      <w:pPr>
        <w:pStyle w:val="FootnoteText"/>
      </w:pPr>
      <w:r w:rsidRPr="007A04BF">
        <w:rPr>
          <w:rStyle w:val="FootnoteReference"/>
        </w:rPr>
        <w:footnoteRef/>
      </w:r>
      <w:r w:rsidRPr="007A04BF">
        <w:rPr>
          <w:i/>
        </w:rPr>
        <w:t xml:space="preserve"> The Commission’s Forfeiture Policy Statement and Amendment of Section 1.80 of the Rules to Incorporate the Forfeiture Guidelines</w:t>
      </w:r>
      <w:r w:rsidRPr="007A04BF">
        <w:t xml:space="preserve">, Report and Order, 12 FCC </w:t>
      </w:r>
      <w:r w:rsidRPr="007A04BF">
        <w:t>Rcd</w:t>
      </w:r>
      <w:r w:rsidRPr="007A04BF">
        <w:t xml:space="preserve"> 17087 (1997) (</w:t>
      </w:r>
      <w:r w:rsidRPr="007A04BF">
        <w:rPr>
          <w:i/>
        </w:rPr>
        <w:t>Forfeiture Policy Statement</w:t>
      </w:r>
      <w:r w:rsidRPr="007A04BF">
        <w:t xml:space="preserve">), </w:t>
      </w:r>
      <w:r w:rsidRPr="007A04BF">
        <w:rPr>
          <w:i/>
        </w:rPr>
        <w:t>recons. denied</w:t>
      </w:r>
      <w:r w:rsidRPr="007A04BF">
        <w:t xml:space="preserve">, Memorandum Opinion and Order, 15 FCC </w:t>
      </w:r>
      <w:r w:rsidRPr="007A04BF">
        <w:t>Rcd</w:t>
      </w:r>
      <w:r w:rsidRPr="007A04BF">
        <w:t xml:space="preserve"> 303 (1999). </w:t>
      </w:r>
    </w:p>
  </w:footnote>
  <w:footnote w:id="42">
    <w:p w:rsidR="00066DD7" w:rsidRPr="007A04BF" w:rsidP="00FF4A6D" w14:paraId="097D4DDE" w14:textId="77777777">
      <w:pPr>
        <w:pStyle w:val="FootnoteText"/>
      </w:pPr>
      <w:r w:rsidRPr="007A04BF">
        <w:rPr>
          <w:rStyle w:val="FootnoteReference"/>
        </w:rPr>
        <w:footnoteRef/>
      </w:r>
      <w:r w:rsidRPr="007A04BF">
        <w:t xml:space="preserve"> 47 U.S.C. § 503(b)(2)(E).</w:t>
      </w:r>
    </w:p>
  </w:footnote>
  <w:footnote w:id="43">
    <w:p w:rsidR="00066DD7" w:rsidRPr="007A04BF" w:rsidP="00D4510F" w14:paraId="7E854CF6" w14:textId="7FB68980">
      <w:pPr>
        <w:pStyle w:val="FootnoteText"/>
      </w:pPr>
      <w:r w:rsidRPr="007A04BF">
        <w:rPr>
          <w:rStyle w:val="FootnoteReference"/>
        </w:rPr>
        <w:footnoteRef/>
      </w:r>
      <w:r w:rsidRPr="007A04BF">
        <w:t xml:space="preserve"> </w:t>
      </w:r>
      <w:r w:rsidRPr="007A04BF">
        <w:rPr>
          <w:i/>
        </w:rPr>
        <w:t xml:space="preserve">See </w:t>
      </w:r>
      <w:r w:rsidRPr="007A04BF">
        <w:t xml:space="preserve">47 CFR pt. 2, Subpart I; </w:t>
      </w:r>
      <w:r w:rsidRPr="007A04BF">
        <w:rPr>
          <w:i/>
          <w:iCs/>
        </w:rPr>
        <w:t>see also</w:t>
      </w:r>
      <w:r w:rsidRPr="007A04BF">
        <w:t xml:space="preserve"> 47 CFR § 2.926.  There are limited exceptions to the authorization requirement; however, none of them apply here.  </w:t>
      </w:r>
      <w:r w:rsidRPr="007A04BF">
        <w:rPr>
          <w:i/>
          <w:iCs/>
        </w:rPr>
        <w:t xml:space="preserve">See </w:t>
      </w:r>
      <w:r w:rsidRPr="007A04BF">
        <w:t xml:space="preserve">47 CFR § 2.803(c).    </w:t>
      </w:r>
    </w:p>
  </w:footnote>
  <w:footnote w:id="44">
    <w:p w:rsidR="00066DD7" w:rsidRPr="007A04BF" w:rsidP="00D4510F" w14:paraId="5AE66962" w14:textId="77777777">
      <w:pPr>
        <w:pStyle w:val="FootnoteText"/>
      </w:pPr>
      <w:r w:rsidRPr="007A04BF">
        <w:rPr>
          <w:rStyle w:val="FootnoteReference"/>
        </w:rPr>
        <w:footnoteRef/>
      </w:r>
      <w:r w:rsidRPr="007A04BF">
        <w:t xml:space="preserve"> 2019 LOI Response at </w:t>
      </w:r>
      <w:r w:rsidRPr="007A04BF">
        <w:t>Exh</w:t>
      </w:r>
      <w:r w:rsidRPr="007A04BF">
        <w:t>. A.</w:t>
      </w:r>
    </w:p>
  </w:footnote>
  <w:footnote w:id="45">
    <w:p w:rsidR="00066DD7" w:rsidRPr="007A04BF" w:rsidP="00D4510F" w14:paraId="5465C3B8" w14:textId="323633E7">
      <w:pPr>
        <w:pStyle w:val="FootnoteText"/>
      </w:pPr>
      <w:r w:rsidRPr="007A04BF">
        <w:rPr>
          <w:rStyle w:val="FootnoteReference"/>
        </w:rPr>
        <w:footnoteRef/>
      </w:r>
      <w:r w:rsidRPr="007A04BF">
        <w:rPr>
          <w:i/>
        </w:rPr>
        <w:t xml:space="preserve"> </w:t>
      </w:r>
      <w:r w:rsidRPr="007A04BF">
        <w:t xml:space="preserve">47 CFR §§ </w:t>
      </w:r>
      <w:r w:rsidRPr="007A04BF" w:rsidR="00ED074F">
        <w:t>2.803, 74.801, 74.802, 74.851(f)</w:t>
      </w:r>
      <w:r w:rsidRPr="007A04BF">
        <w:t>.</w:t>
      </w:r>
    </w:p>
  </w:footnote>
  <w:footnote w:id="46">
    <w:p w:rsidR="00FE33E5" w:rsidRPr="007A04BF" w14:paraId="2B2FC8C0" w14:textId="3AD04586">
      <w:pPr>
        <w:pStyle w:val="FootnoteText"/>
      </w:pPr>
      <w:r w:rsidRPr="007A04BF">
        <w:rPr>
          <w:rStyle w:val="FootnoteReference"/>
        </w:rPr>
        <w:footnoteRef/>
      </w:r>
      <w:r w:rsidRPr="007A04BF">
        <w:t xml:space="preserve"> </w:t>
      </w:r>
      <w:r w:rsidRPr="007A04BF">
        <w:rPr>
          <w:i/>
          <w:iCs/>
        </w:rPr>
        <w:t xml:space="preserve">See generally </w:t>
      </w:r>
      <w:r w:rsidRPr="007A04BF">
        <w:t>NAL Response</w:t>
      </w:r>
      <w:r w:rsidRPr="007A04BF" w:rsidR="001725F2">
        <w:t>.  The Company does raise</w:t>
      </w:r>
      <w:r w:rsidRPr="007A04BF" w:rsidR="00B12CFA">
        <w:t xml:space="preserve"> issues with how the Commission determined the number</w:t>
      </w:r>
      <w:r w:rsidRPr="007A04BF" w:rsidR="004701E6">
        <w:t xml:space="preserve"> of wireless microphone models at issue and with five models that it alleges had been previously discontinued. </w:t>
      </w:r>
      <w:r w:rsidRPr="007A04BF" w:rsidR="00BC2DEF">
        <w:t xml:space="preserve"> </w:t>
      </w:r>
      <w:r w:rsidRPr="007A04BF" w:rsidR="00BC2DEF">
        <w:rPr>
          <w:i/>
          <w:iCs/>
        </w:rPr>
        <w:t xml:space="preserve">See </w:t>
      </w:r>
      <w:r w:rsidRPr="007A04BF" w:rsidR="00BC2DEF">
        <w:t xml:space="preserve">NAL Response at </w:t>
      </w:r>
      <w:r w:rsidRPr="007A04BF" w:rsidR="00A87314">
        <w:t>15-17</w:t>
      </w:r>
      <w:r w:rsidRPr="007A04BF" w:rsidR="00BC2DEF">
        <w:t xml:space="preserve">. </w:t>
      </w:r>
      <w:r w:rsidRPr="007A04BF" w:rsidR="004701E6">
        <w:t xml:space="preserve"> We address those claims below</w:t>
      </w:r>
      <w:r w:rsidRPr="007A04BF" w:rsidR="00A34E13">
        <w:t xml:space="preserve">, </w:t>
      </w:r>
      <w:r w:rsidRPr="007A04BF" w:rsidR="00A34E13">
        <w:rPr>
          <w:i/>
          <w:iCs/>
        </w:rPr>
        <w:t>infra</w:t>
      </w:r>
      <w:r w:rsidRPr="007A04BF" w:rsidR="00A34E13">
        <w:t>, at paras.</w:t>
      </w:r>
      <w:r w:rsidRPr="007A04BF" w:rsidR="00A87314">
        <w:t xml:space="preserve"> </w:t>
      </w:r>
      <w:r w:rsidRPr="007A04BF" w:rsidR="00A87314">
        <w:fldChar w:fldCharType="begin"/>
      </w:r>
      <w:r w:rsidRPr="007A04BF" w:rsidR="00A87314">
        <w:instrText xml:space="preserve"> REF _Ref101884164 \r \h </w:instrText>
      </w:r>
      <w:r w:rsidR="007A04BF">
        <w:instrText xml:space="preserve"> \* MERGEFORMAT </w:instrText>
      </w:r>
      <w:r w:rsidRPr="007A04BF" w:rsidR="00A87314">
        <w:fldChar w:fldCharType="separate"/>
      </w:r>
      <w:r w:rsidR="001A0982">
        <w:t>32</w:t>
      </w:r>
      <w:r w:rsidRPr="007A04BF" w:rsidR="00A87314">
        <w:fldChar w:fldCharType="end"/>
      </w:r>
      <w:r w:rsidRPr="007A04BF" w:rsidR="00A87314">
        <w:t xml:space="preserve"> and </w:t>
      </w:r>
      <w:r w:rsidRPr="007A04BF" w:rsidR="00A87314">
        <w:fldChar w:fldCharType="begin"/>
      </w:r>
      <w:r w:rsidRPr="007A04BF" w:rsidR="00A87314">
        <w:instrText xml:space="preserve"> REF _Ref101884171 \r \h </w:instrText>
      </w:r>
      <w:r w:rsidR="007A04BF">
        <w:instrText xml:space="preserve"> \* MERGEFORMAT </w:instrText>
      </w:r>
      <w:r w:rsidRPr="007A04BF" w:rsidR="00A87314">
        <w:fldChar w:fldCharType="separate"/>
      </w:r>
      <w:r w:rsidR="001A0982">
        <w:t>33</w:t>
      </w:r>
      <w:r w:rsidRPr="007A04BF" w:rsidR="00A87314">
        <w:fldChar w:fldCharType="end"/>
      </w:r>
      <w:r w:rsidRPr="007A04BF" w:rsidR="00A34E13">
        <w:t>.</w:t>
      </w:r>
      <w:r w:rsidRPr="007A04BF" w:rsidR="00A87314">
        <w:t xml:space="preserve">  </w:t>
      </w:r>
    </w:p>
  </w:footnote>
  <w:footnote w:id="47">
    <w:p w:rsidR="00066DD7" w:rsidRPr="007A04BF" w:rsidP="000570E9" w14:paraId="04A64A6D" w14:textId="3CC80E4D">
      <w:pPr>
        <w:pStyle w:val="FootnoteText"/>
      </w:pPr>
      <w:r w:rsidRPr="007A04BF">
        <w:rPr>
          <w:rStyle w:val="FootnoteReference"/>
        </w:rPr>
        <w:footnoteRef/>
      </w:r>
      <w:r w:rsidRPr="007A04BF">
        <w:t xml:space="preserve"> </w:t>
      </w:r>
      <w:r w:rsidRPr="007A04BF">
        <w:rPr>
          <w:i/>
          <w:iCs/>
        </w:rPr>
        <w:t xml:space="preserve">See </w:t>
      </w:r>
      <w:r w:rsidRPr="007A04BF">
        <w:t>NAL Response at 4-7.</w:t>
      </w:r>
    </w:p>
  </w:footnote>
  <w:footnote w:id="48">
    <w:p w:rsidR="005F6FF7" w:rsidRPr="007A04BF" w:rsidP="00295161" w14:paraId="754F59BD" w14:textId="61D968A7">
      <w:pPr>
        <w:pStyle w:val="FootnoteText"/>
      </w:pPr>
      <w:r w:rsidRPr="007A04BF">
        <w:rPr>
          <w:rStyle w:val="FootnoteReference"/>
        </w:rPr>
        <w:footnoteRef/>
      </w:r>
      <w:r w:rsidRPr="007A04BF">
        <w:t xml:space="preserve"> NAL Response at 5 (“In April 2019 … nothing could in fact be purchased via [pyleusa.com]</w:t>
      </w:r>
      <w:r w:rsidRPr="007A04BF" w:rsidR="00295161">
        <w:t>…. it was not until March 2020 that [Sound Around] updated its technology systems to enable sales via PyleUSA.com.</w:t>
      </w:r>
      <w:r w:rsidRPr="007A04BF">
        <w:t xml:space="preserve">”); </w:t>
      </w:r>
      <w:r w:rsidRPr="007A04BF">
        <w:rPr>
          <w:i/>
          <w:iCs/>
        </w:rPr>
        <w:t>id</w:t>
      </w:r>
      <w:r w:rsidRPr="007A04BF">
        <w:t>. at 6 (“PyleAudio.com is a legacy [Sound Around] website that is made available only for informational purposes, including to provide information (user manuals, warranty information) about products no longer being sold.”).</w:t>
      </w:r>
    </w:p>
  </w:footnote>
  <w:footnote w:id="49">
    <w:p w:rsidR="00066DD7" w:rsidRPr="007A04BF" w:rsidP="000570E9" w14:paraId="7A81EFA4" w14:textId="77777777">
      <w:pPr>
        <w:pStyle w:val="FootnoteText"/>
      </w:pPr>
      <w:r w:rsidRPr="007A04BF">
        <w:rPr>
          <w:rStyle w:val="FootnoteReference"/>
        </w:rPr>
        <w:footnoteRef/>
      </w:r>
      <w:r w:rsidRPr="007A04BF">
        <w:t xml:space="preserve"> </w:t>
      </w:r>
      <w:r w:rsidRPr="007A04BF">
        <w:rPr>
          <w:i/>
          <w:iCs/>
        </w:rPr>
        <w:t>See id.</w:t>
      </w:r>
      <w:r w:rsidRPr="007A04BF">
        <w:t xml:space="preserve"> at 4-5.    </w:t>
      </w:r>
    </w:p>
  </w:footnote>
  <w:footnote w:id="50">
    <w:p w:rsidR="00B60160" w:rsidRPr="007A04BF" w:rsidP="00B60160" w14:paraId="52C215E4" w14:textId="77777777">
      <w:pPr>
        <w:pStyle w:val="FootnoteText"/>
      </w:pPr>
      <w:r w:rsidRPr="007A04BF">
        <w:rPr>
          <w:rStyle w:val="FootnoteReference"/>
        </w:rPr>
        <w:footnoteRef/>
      </w:r>
      <w:r w:rsidRPr="007A04BF">
        <w:t xml:space="preserve"> </w:t>
      </w:r>
      <w:r w:rsidRPr="007A04BF">
        <w:rPr>
          <w:i/>
          <w:iCs/>
        </w:rPr>
        <w:t>See</w:t>
      </w:r>
      <w:r w:rsidRPr="007A04BF">
        <w:rPr>
          <w:i/>
        </w:rPr>
        <w:t xml:space="preserve"> NAL</w:t>
      </w:r>
      <w:r w:rsidRPr="007A04BF">
        <w:t xml:space="preserve">, 35 FCC </w:t>
      </w:r>
      <w:r w:rsidRPr="007A04BF">
        <w:t>Rcd</w:t>
      </w:r>
      <w:r w:rsidRPr="007A04BF">
        <w:t xml:space="preserve"> at 3484, para. 17.</w:t>
      </w:r>
    </w:p>
  </w:footnote>
  <w:footnote w:id="51">
    <w:p w:rsidR="00066DD7" w:rsidRPr="007A04BF" w:rsidP="009E257B" w14:paraId="547951DD" w14:textId="77777777">
      <w:pPr>
        <w:pStyle w:val="FootnoteText"/>
      </w:pPr>
      <w:r w:rsidRPr="007A04BF">
        <w:rPr>
          <w:rStyle w:val="FootnoteReference"/>
        </w:rPr>
        <w:footnoteRef/>
      </w:r>
      <w:r w:rsidRPr="007A04BF">
        <w:t xml:space="preserve"> Sound Around never states the subject microphones were unavailable on its other websites, Amazon.com, or otherwise.  </w:t>
      </w:r>
    </w:p>
  </w:footnote>
  <w:footnote w:id="52">
    <w:p w:rsidR="00066DD7" w:rsidRPr="007A04BF" w14:paraId="14A38331" w14:textId="5C750D9E">
      <w:pPr>
        <w:pStyle w:val="FootnoteText"/>
      </w:pPr>
      <w:r w:rsidRPr="007A04BF">
        <w:rPr>
          <w:rStyle w:val="FootnoteReference"/>
        </w:rPr>
        <w:footnoteRef/>
      </w:r>
      <w:r w:rsidRPr="007A04BF">
        <w:t xml:space="preserve"> In a response submitted in September 2017, Sound Around reported that it sold large volumes of products and that its primary sales channels were through Amazon and the Company’s own websites, pyleusa.com and pyleaudio.com.  </w:t>
      </w:r>
      <w:r w:rsidRPr="007A04BF">
        <w:rPr>
          <w:i/>
        </w:rPr>
        <w:t xml:space="preserve">See </w:t>
      </w:r>
      <w:r w:rsidRPr="007A04BF">
        <w:rPr>
          <w:iCs/>
        </w:rPr>
        <w:t>Declaration of Abraham Brach, Attach. to</w:t>
      </w:r>
      <w:r w:rsidRPr="007A04BF">
        <w:t xml:space="preserve"> Letter from Max Moskowitz, Esq., Counsel to Sound Around, Inc, </w:t>
      </w:r>
      <w:r w:rsidRPr="007A04BF">
        <w:t>Ostrolenk</w:t>
      </w:r>
      <w:r w:rsidRPr="007A04BF">
        <w:t xml:space="preserve"> Faber LLP, at 3-4 (A. Brach Decl.), to Aspasia A. Paroutsas, Chief, Spectrum Enforcement Division, FCC Enforcement Bureau, (Sept. 1, 2017) (on file in EB-SED-17-00024010) (September 1st 2017 Response).  In another instance, the Company explained that due to its “massive sales,” it retains only about a year’s worth of electronic records on the wireless microphones that it sells.  </w:t>
      </w:r>
      <w:r w:rsidRPr="007A04BF">
        <w:rPr>
          <w:i/>
          <w:iCs/>
        </w:rPr>
        <w:t xml:space="preserve">See </w:t>
      </w:r>
      <w:r w:rsidRPr="007A04BF">
        <w:t xml:space="preserve">A. Brach Decl. at 9.  Finally, in June 2019 a Company officer stated that Sound Around “routinely markets thousands” of different products in the United States, and never mentions that pyleusa.com is not a fully functioning website.  </w:t>
      </w:r>
      <w:r w:rsidRPr="007A04BF">
        <w:rPr>
          <w:i/>
          <w:iCs/>
        </w:rPr>
        <w:t xml:space="preserve">See </w:t>
      </w:r>
      <w:r w:rsidRPr="007A04BF">
        <w:t xml:space="preserve">Declaration of Jerry Brach, Attach. to 2019 LOI Response at 2-3 (J. Brach Decl.).   </w:t>
      </w:r>
    </w:p>
  </w:footnote>
  <w:footnote w:id="53">
    <w:p w:rsidR="00066DD7" w:rsidRPr="007A04BF" w:rsidP="000570E9" w14:paraId="207399C3" w14:textId="38C8005E">
      <w:pPr>
        <w:pStyle w:val="FootnoteText"/>
      </w:pPr>
      <w:r w:rsidRPr="007A04BF">
        <w:rPr>
          <w:rStyle w:val="FootnoteReference"/>
        </w:rPr>
        <w:footnoteRef/>
      </w:r>
      <w:r w:rsidRPr="007A04BF">
        <w:t xml:space="preserve"> </w:t>
      </w:r>
      <w:r w:rsidRPr="007A04BF">
        <w:rPr>
          <w:i/>
        </w:rPr>
        <w:t xml:space="preserve">See </w:t>
      </w:r>
      <w:r w:rsidRPr="007A04BF">
        <w:t>A. Brach Decl. at 3;</w:t>
      </w:r>
      <w:r w:rsidRPr="007A04BF" w:rsidR="00E51BF8">
        <w:t xml:space="preserve"> </w:t>
      </w:r>
      <w:r w:rsidRPr="007A04BF">
        <w:rPr>
          <w:i/>
          <w:iCs/>
        </w:rPr>
        <w:t>see also id</w:t>
      </w:r>
      <w:r w:rsidRPr="007A04BF">
        <w:t xml:space="preserve">. at 3-4 (providing sales figures and sale dates for wireless microphone models PDWM94 and PDWM96 that were implicated in the </w:t>
      </w:r>
      <w:r w:rsidRPr="007A04BF">
        <w:rPr>
          <w:i/>
          <w:iCs/>
        </w:rPr>
        <w:t>NAL</w:t>
      </w:r>
      <w:r w:rsidRPr="007A04BF">
        <w:t xml:space="preserve">); </w:t>
      </w:r>
      <w:r w:rsidRPr="007A04BF">
        <w:rPr>
          <w:i/>
          <w:iCs/>
        </w:rPr>
        <w:t>id</w:t>
      </w:r>
      <w:r w:rsidRPr="007A04BF">
        <w:t>. at 9 (the Company responded to a request for copies of advertisements of the wireless microphones, including PDWM94 and PDWM96, by pointing to its website); September 19 LOI Response at 4, attach. SA035 (providing sales figures and sales dates for additional wireless microphones).</w:t>
      </w:r>
    </w:p>
  </w:footnote>
  <w:footnote w:id="54">
    <w:p w:rsidR="00066DD7" w:rsidRPr="007A04BF" w:rsidP="000570E9" w14:paraId="0DDE8AD6" w14:textId="77777777">
      <w:pPr>
        <w:pStyle w:val="FootnoteText"/>
      </w:pPr>
      <w:r w:rsidRPr="007A04BF">
        <w:rPr>
          <w:rStyle w:val="FootnoteReference"/>
        </w:rPr>
        <w:footnoteRef/>
      </w:r>
      <w:r w:rsidRPr="007A04BF">
        <w:t xml:space="preserve"> </w:t>
      </w:r>
      <w:r w:rsidRPr="007A04BF">
        <w:rPr>
          <w:i/>
          <w:iCs/>
        </w:rPr>
        <w:t>See id.</w:t>
      </w:r>
      <w:r w:rsidRPr="007A04BF">
        <w:rPr>
          <w:i/>
        </w:rPr>
        <w:t xml:space="preserve"> </w:t>
      </w:r>
      <w:r w:rsidRPr="007A04BF">
        <w:t>at 9.</w:t>
      </w:r>
    </w:p>
  </w:footnote>
  <w:footnote w:id="55">
    <w:p w:rsidR="00066DD7" w:rsidRPr="007A04BF" w14:paraId="15FF8D48" w14:textId="30835360">
      <w:pPr>
        <w:pStyle w:val="FootnoteText"/>
      </w:pPr>
      <w:r w:rsidRPr="007A04BF">
        <w:rPr>
          <w:rStyle w:val="FootnoteReference"/>
        </w:rPr>
        <w:footnoteRef/>
      </w:r>
      <w:r w:rsidRPr="007A04BF">
        <w:t xml:space="preserve"> </w:t>
      </w:r>
      <w:bookmarkStart w:id="81" w:name="_Hlk103332777"/>
      <w:r w:rsidRPr="007A04BF">
        <w:t>J. Brach Decl. at 3, para. 10.</w:t>
      </w:r>
      <w:bookmarkEnd w:id="81"/>
    </w:p>
  </w:footnote>
  <w:footnote w:id="56">
    <w:p w:rsidR="00066DD7" w:rsidRPr="007A04BF" w:rsidP="000570E9" w14:paraId="2D80E1AD" w14:textId="02BBD261">
      <w:pPr>
        <w:pStyle w:val="FootnoteText"/>
      </w:pPr>
      <w:r w:rsidRPr="007A04BF">
        <w:rPr>
          <w:rStyle w:val="FootnoteReference"/>
        </w:rPr>
        <w:footnoteRef/>
      </w:r>
      <w:r w:rsidRPr="007A04BF">
        <w:t xml:space="preserve"> </w:t>
      </w:r>
      <w:r w:rsidRPr="007A04BF">
        <w:rPr>
          <w:i/>
        </w:rPr>
        <w:t>NAL</w:t>
      </w:r>
      <w:r w:rsidRPr="007A04BF">
        <w:t xml:space="preserve">, 35 FCC </w:t>
      </w:r>
      <w:r w:rsidRPr="007A04BF">
        <w:t>Rcd</w:t>
      </w:r>
      <w:r w:rsidRPr="007A04BF">
        <w:t xml:space="preserve"> at 3481-82, paras. 11-12.  </w:t>
      </w:r>
      <w:r w:rsidRPr="007A04BF">
        <w:rPr>
          <w:i/>
        </w:rPr>
        <w:t xml:space="preserve">See also </w:t>
      </w:r>
      <w:r w:rsidRPr="007A04BF">
        <w:t xml:space="preserve">Sound Around, </w:t>
      </w:r>
      <w:r w:rsidRPr="007A04BF">
        <w:rPr>
          <w:i/>
        </w:rPr>
        <w:t>Microphone Systems – Musical Instruments – Products</w:t>
      </w:r>
      <w:r w:rsidRPr="007A04BF">
        <w:t xml:space="preserve">, </w:t>
      </w:r>
      <w:hyperlink r:id="rId2" w:history="1">
        <w:r w:rsidRPr="007A04BF">
          <w:rPr>
            <w:rStyle w:val="Hyperlink"/>
          </w:rPr>
          <w:t>https://www.pyleusa.com/shop/musical-instruments/microphone-systems.html</w:t>
        </w:r>
      </w:hyperlink>
      <w:r w:rsidRPr="007A04BF">
        <w:t xml:space="preserve"> (screenshot taken Apr. 9, 2019) (on file in EB-SED-17-00024010).  </w:t>
      </w:r>
    </w:p>
  </w:footnote>
  <w:footnote w:id="57">
    <w:p w:rsidR="00066DD7" w:rsidRPr="00721CBC" w:rsidP="000570E9" w14:paraId="445E6A96" w14:textId="34AAC69A">
      <w:pPr>
        <w:pStyle w:val="FootnoteText"/>
      </w:pPr>
      <w:r w:rsidRPr="007A04BF">
        <w:rPr>
          <w:rStyle w:val="FootnoteReference"/>
        </w:rPr>
        <w:footnoteRef/>
      </w:r>
      <w:r w:rsidRPr="007A04BF">
        <w:t xml:space="preserve"> </w:t>
      </w:r>
      <w:r w:rsidRPr="007A04BF" w:rsidR="00C13695">
        <w:t xml:space="preserve">J. Brach Decl. at 3, paras. 10,11.  </w:t>
      </w:r>
      <w:r w:rsidRPr="007A04BF">
        <w:t>Even accepting Sound Around’s claim that pyleusa.com could not actually process any purchases, notably, Sound Around does not deny that the subject wireless microphones were available for purchase from Sound Around on April 9, 2019 by some other means.</w:t>
      </w:r>
      <w:r w:rsidRPr="007A04BF" w:rsidR="00D63C2B">
        <w:t xml:space="preserve">  </w:t>
      </w:r>
      <w:r w:rsidRPr="007A04BF">
        <w:t xml:space="preserve">Additionally, Sound Around provides no explanation as to what would happen if a viewer added a product to the cart. </w:t>
      </w:r>
      <w:r w:rsidR="00E36237">
        <w:t xml:space="preserve"> </w:t>
      </w:r>
      <w:r w:rsidRPr="00721CBC" w:rsidR="00E36237">
        <w:rPr>
          <w:i/>
          <w:iCs/>
        </w:rPr>
        <w:t xml:space="preserve">See </w:t>
      </w:r>
      <w:r w:rsidRPr="00721CBC">
        <w:t xml:space="preserve">NAL Response at 5.  </w:t>
      </w:r>
    </w:p>
  </w:footnote>
  <w:footnote w:id="58">
    <w:p w:rsidR="00066DD7" w:rsidRPr="007A04BF" w:rsidP="000570E9" w14:paraId="752BD3EE" w14:textId="3385B44C">
      <w:pPr>
        <w:pStyle w:val="FootnoteText"/>
      </w:pPr>
      <w:r w:rsidRPr="00721CBC">
        <w:rPr>
          <w:rStyle w:val="FootnoteReference"/>
        </w:rPr>
        <w:footnoteRef/>
      </w:r>
      <w:r w:rsidRPr="00721CBC">
        <w:t xml:space="preserve"> The </w:t>
      </w:r>
      <w:r w:rsidRPr="00721CBC">
        <w:rPr>
          <w:i/>
          <w:iCs/>
        </w:rPr>
        <w:t>NAL</w:t>
      </w:r>
      <w:r w:rsidRPr="00721CBC">
        <w:t xml:space="preserve"> did not find </w:t>
      </w:r>
      <w:r w:rsidRPr="00721CBC" w:rsidR="00E36237">
        <w:t xml:space="preserve">apparent </w:t>
      </w:r>
      <w:r w:rsidRPr="00721CBC">
        <w:t>violations for models that were “out of stock</w:t>
      </w:r>
      <w:r w:rsidRPr="00721CBC" w:rsidR="00E36237">
        <w:t>.</w:t>
      </w:r>
      <w:r w:rsidRPr="00721CBC">
        <w:t>”</w:t>
      </w:r>
      <w:r w:rsidRPr="007A04BF">
        <w:t xml:space="preserve">.  </w:t>
      </w:r>
    </w:p>
  </w:footnote>
  <w:footnote w:id="59">
    <w:p w:rsidR="00066DD7" w:rsidRPr="007A04BF" w:rsidP="009E1B23" w14:paraId="5EADC581" w14:textId="5CC3A221">
      <w:pPr>
        <w:pStyle w:val="FootnoteText"/>
      </w:pPr>
      <w:r w:rsidRPr="007A04BF">
        <w:rPr>
          <w:rStyle w:val="FootnoteReference"/>
        </w:rPr>
        <w:footnoteRef/>
      </w:r>
      <w:r w:rsidRPr="007A04BF">
        <w:t xml:space="preserve"> </w:t>
      </w:r>
      <w:r w:rsidRPr="007A04BF">
        <w:rPr>
          <w:i/>
          <w:iCs/>
        </w:rPr>
        <w:t>See NAL</w:t>
      </w:r>
      <w:r w:rsidRPr="007A04BF">
        <w:t xml:space="preserve">, 35 FCC </w:t>
      </w:r>
      <w:r w:rsidRPr="007A04BF">
        <w:t>Rcd</w:t>
      </w:r>
      <w:r w:rsidRPr="007A04BF">
        <w:t xml:space="preserve"> at 3482, para 11.  </w:t>
      </w:r>
      <w:r w:rsidRPr="007A04BF">
        <w:rPr>
          <w:i/>
          <w:iCs/>
        </w:rPr>
        <w:t xml:space="preserve">See also </w:t>
      </w:r>
      <w:r w:rsidRPr="007A04BF">
        <w:t xml:space="preserve">Sound Around, Pyle - Musical Instruments - Microphone Systems, </w:t>
      </w:r>
      <w:hyperlink r:id="rId3" w:history="1">
        <w:r w:rsidRPr="007A04BF">
          <w:rPr>
            <w:rStyle w:val="Hyperlink"/>
          </w:rPr>
          <w:t>http://www.pyleaudio.com/products/Musical-Instruments/Microphone-Systems</w:t>
        </w:r>
      </w:hyperlink>
      <w:r w:rsidRPr="007A04BF">
        <w:t xml:space="preserve"> (screenshot taken Jan. 28, 2020) (on file in EB-SED-17-00024010).</w:t>
      </w:r>
    </w:p>
  </w:footnote>
  <w:footnote w:id="60">
    <w:p w:rsidR="00066DD7" w:rsidRPr="007A04BF" w:rsidP="009700BF" w14:paraId="12915557" w14:textId="6C90AFD9">
      <w:pPr>
        <w:pStyle w:val="FootnoteText"/>
      </w:pPr>
      <w:r w:rsidRPr="007A04BF">
        <w:rPr>
          <w:rStyle w:val="FootnoteReference"/>
        </w:rPr>
        <w:footnoteRef/>
      </w:r>
      <w:r w:rsidRPr="007A04BF">
        <w:t xml:space="preserve"> </w:t>
      </w:r>
      <w:r w:rsidRPr="007A04BF">
        <w:rPr>
          <w:i/>
          <w:iCs/>
        </w:rPr>
        <w:t xml:space="preserve">See </w:t>
      </w:r>
      <w:r w:rsidRPr="007A04BF">
        <w:t>NAL Response at 5-6</w:t>
      </w:r>
      <w:r w:rsidRPr="007A04BF" w:rsidR="0026181E">
        <w:t>; 2019 LOI Response, Exhibit A</w:t>
      </w:r>
      <w:r w:rsidRPr="007A04BF">
        <w:t>.  Even in claiming that the pyleaudio.com</w:t>
      </w:r>
      <w:r w:rsidRPr="007A04BF" w:rsidR="0026181E">
        <w:t xml:space="preserve"> and</w:t>
      </w:r>
      <w:r w:rsidRPr="007A04BF">
        <w:t xml:space="preserve"> pyleusa.com websites were not capable of processing sales during the period April to June 2019, the Company admits that the websites contain product information for models previously marketed thereon.  </w:t>
      </w:r>
      <w:r w:rsidRPr="007A04BF">
        <w:rPr>
          <w:i/>
          <w:iCs/>
        </w:rPr>
        <w:t xml:space="preserve">See </w:t>
      </w:r>
      <w:r w:rsidRPr="007A04BF">
        <w:t>NAL Response at 6-7.</w:t>
      </w:r>
    </w:p>
  </w:footnote>
  <w:footnote w:id="61">
    <w:p w:rsidR="00066DD7" w:rsidRPr="007A04BF" w:rsidP="009700BF" w14:paraId="6C83AE43" w14:textId="77777777">
      <w:pPr>
        <w:pStyle w:val="FootnoteText"/>
        <w:rPr>
          <w:i/>
          <w:iCs/>
        </w:rPr>
      </w:pPr>
      <w:r w:rsidRPr="007A04BF">
        <w:rPr>
          <w:rStyle w:val="FootnoteReference"/>
        </w:rPr>
        <w:footnoteRef/>
      </w:r>
      <w:r w:rsidRPr="007A04BF">
        <w:t xml:space="preserve"> </w:t>
      </w:r>
      <w:r w:rsidRPr="007A04BF">
        <w:rPr>
          <w:i/>
          <w:iCs/>
        </w:rPr>
        <w:t>See id.</w:t>
      </w:r>
    </w:p>
  </w:footnote>
  <w:footnote w:id="62">
    <w:p w:rsidR="00310EC1" w:rsidRPr="007A04BF" w:rsidP="00310EC1" w14:paraId="734AFDB1" w14:textId="4119AE92">
      <w:pPr>
        <w:pStyle w:val="FootnoteText"/>
      </w:pPr>
      <w:r w:rsidRPr="007A04BF">
        <w:rPr>
          <w:rStyle w:val="FootnoteReference"/>
        </w:rPr>
        <w:footnoteRef/>
      </w:r>
      <w:r w:rsidRPr="007A04BF">
        <w:t xml:space="preserve"> </w:t>
      </w:r>
      <w:r w:rsidRPr="007A04BF">
        <w:rPr>
          <w:i/>
          <w:iCs/>
        </w:rPr>
        <w:t>See supra</w:t>
      </w:r>
      <w:r w:rsidRPr="007A04BF">
        <w:t xml:space="preserve"> para. </w:t>
      </w:r>
      <w:r w:rsidRPr="007A04BF">
        <w:fldChar w:fldCharType="begin"/>
      </w:r>
      <w:r w:rsidRPr="007A04BF">
        <w:instrText xml:space="preserve"> REF _Ref101944761 \r \h </w:instrText>
      </w:r>
      <w:r w:rsidR="007A04BF">
        <w:instrText xml:space="preserve"> \* MERGEFORMAT </w:instrText>
      </w:r>
      <w:r w:rsidRPr="007A04BF">
        <w:fldChar w:fldCharType="separate"/>
      </w:r>
      <w:r w:rsidR="001A0982">
        <w:t>13</w:t>
      </w:r>
      <w:r w:rsidRPr="007A04BF">
        <w:fldChar w:fldCharType="end"/>
      </w:r>
      <w:r w:rsidRPr="007A04BF">
        <w:t>.</w:t>
      </w:r>
    </w:p>
  </w:footnote>
  <w:footnote w:id="63">
    <w:p w:rsidR="00066DD7" w:rsidRPr="007A04BF" w:rsidP="009700BF" w14:paraId="12C1415F" w14:textId="70483966">
      <w:pPr>
        <w:pStyle w:val="FootnoteText"/>
      </w:pPr>
      <w:r w:rsidRPr="007A04BF">
        <w:rPr>
          <w:rStyle w:val="FootnoteReference"/>
        </w:rPr>
        <w:footnoteRef/>
      </w:r>
      <w:r w:rsidRPr="007A04BF">
        <w:t xml:space="preserve"> </w:t>
      </w:r>
      <w:r w:rsidRPr="007A04BF">
        <w:rPr>
          <w:i/>
          <w:iCs/>
        </w:rPr>
        <w:t xml:space="preserve">See </w:t>
      </w:r>
      <w:r w:rsidRPr="007A04BF">
        <w:t>2019 LOI Response.</w:t>
      </w:r>
    </w:p>
  </w:footnote>
  <w:footnote w:id="64">
    <w:p w:rsidR="00066DD7" w:rsidRPr="007A04BF" w:rsidP="009700BF" w14:paraId="1AF584E6" w14:textId="041E8CDF">
      <w:pPr>
        <w:pStyle w:val="FootnoteText"/>
        <w:rPr>
          <w:i/>
          <w:iCs/>
        </w:rPr>
      </w:pPr>
      <w:r w:rsidRPr="007A04BF">
        <w:rPr>
          <w:rStyle w:val="FootnoteReference"/>
        </w:rPr>
        <w:footnoteRef/>
      </w:r>
      <w:r w:rsidRPr="007A04BF">
        <w:t xml:space="preserve"> J. Brach Decl.</w:t>
      </w:r>
      <w:r w:rsidRPr="007A04BF" w:rsidR="00507F8B">
        <w:t>;</w:t>
      </w:r>
      <w:r w:rsidRPr="007A04BF">
        <w:t xml:space="preserve"> </w:t>
      </w:r>
      <w:r w:rsidRPr="007A04BF" w:rsidR="00507F8B">
        <w:rPr>
          <w:i/>
          <w:iCs/>
        </w:rPr>
        <w:t>s</w:t>
      </w:r>
      <w:r w:rsidRPr="007A04BF">
        <w:rPr>
          <w:i/>
          <w:iCs/>
        </w:rPr>
        <w:t xml:space="preserve">ee </w:t>
      </w:r>
      <w:r w:rsidRPr="007A04BF" w:rsidR="007A22E1">
        <w:rPr>
          <w:i/>
          <w:iCs/>
        </w:rPr>
        <w:t>supra</w:t>
      </w:r>
      <w:r w:rsidRPr="007A04BF" w:rsidR="007A22E1">
        <w:t xml:space="preserve"> </w:t>
      </w:r>
      <w:r w:rsidRPr="007A04BF">
        <w:t xml:space="preserve">note </w:t>
      </w:r>
      <w:r w:rsidRPr="007A04BF" w:rsidR="00507F8B">
        <w:rPr>
          <w:highlight w:val="yellow"/>
        </w:rPr>
        <w:fldChar w:fldCharType="begin"/>
      </w:r>
      <w:r w:rsidRPr="007A04BF" w:rsidR="00507F8B">
        <w:instrText xml:space="preserve"> NOTEREF _Ref101260170 \h </w:instrText>
      </w:r>
      <w:r w:rsidR="007A04BF">
        <w:rPr>
          <w:highlight w:val="yellow"/>
        </w:rPr>
        <w:instrText xml:space="preserve"> \* MERGEFORMAT </w:instrText>
      </w:r>
      <w:r w:rsidRPr="007A04BF" w:rsidR="00507F8B">
        <w:rPr>
          <w:highlight w:val="yellow"/>
        </w:rPr>
        <w:fldChar w:fldCharType="separate"/>
      </w:r>
      <w:r w:rsidR="001A0982">
        <w:t>50</w:t>
      </w:r>
      <w:r w:rsidRPr="007A04BF" w:rsidR="00507F8B">
        <w:rPr>
          <w:highlight w:val="yellow"/>
        </w:rPr>
        <w:fldChar w:fldCharType="end"/>
      </w:r>
      <w:r w:rsidRPr="007A04BF">
        <w:rPr>
          <w:i/>
          <w:iCs/>
        </w:rPr>
        <w:t>.</w:t>
      </w:r>
    </w:p>
  </w:footnote>
  <w:footnote w:id="65">
    <w:p w:rsidR="00066DD7" w:rsidRPr="007A04BF" w:rsidP="009700BF" w14:paraId="57F8258C" w14:textId="6651A7FF">
      <w:pPr>
        <w:pStyle w:val="FootnoteText"/>
      </w:pPr>
      <w:r w:rsidRPr="007A04BF">
        <w:rPr>
          <w:rStyle w:val="FootnoteReference"/>
        </w:rPr>
        <w:footnoteRef/>
      </w:r>
      <w:r w:rsidRPr="007A04BF">
        <w:t xml:space="preserve"> J. Brach Decl. at 3, para. 10.  </w:t>
      </w:r>
    </w:p>
  </w:footnote>
  <w:footnote w:id="66">
    <w:p w:rsidR="00066DD7" w:rsidRPr="007A04BF" w:rsidP="009700BF" w14:paraId="65C55C53" w14:textId="32437A48">
      <w:pPr>
        <w:pStyle w:val="FootnoteText"/>
      </w:pPr>
      <w:r w:rsidRPr="007A04BF">
        <w:rPr>
          <w:rStyle w:val="FootnoteReference"/>
        </w:rPr>
        <w:footnoteRef/>
      </w:r>
      <w:r w:rsidRPr="007A04BF">
        <w:t xml:space="preserve"> </w:t>
      </w:r>
      <w:r w:rsidRPr="007A04BF">
        <w:rPr>
          <w:i/>
          <w:iCs/>
        </w:rPr>
        <w:t xml:space="preserve">Id. </w:t>
      </w:r>
      <w:r w:rsidRPr="007A04BF">
        <w:t xml:space="preserve">at 3, para. 11.  </w:t>
      </w:r>
      <w:r w:rsidRPr="007A04BF" w:rsidR="00131970">
        <w:t>No microphones models which were identified as not marketed after January 1, 2017</w:t>
      </w:r>
      <w:r w:rsidR="007076D4">
        <w:t>,</w:t>
      </w:r>
      <w:r w:rsidRPr="007A04BF" w:rsidR="00131970">
        <w:t xml:space="preserve"> were included in the </w:t>
      </w:r>
      <w:r w:rsidRPr="007A04BF" w:rsidR="00131970">
        <w:rPr>
          <w:i/>
          <w:iCs/>
        </w:rPr>
        <w:t>NAL</w:t>
      </w:r>
      <w:r w:rsidRPr="007A04BF" w:rsidR="00131970">
        <w:t xml:space="preserve">.  </w:t>
      </w:r>
    </w:p>
  </w:footnote>
  <w:footnote w:id="67">
    <w:p w:rsidR="00087EDE" w:rsidRPr="007A04BF" w:rsidP="00087EDE" w14:paraId="726395B3" w14:textId="4698056F">
      <w:pPr>
        <w:pStyle w:val="FootnoteText"/>
      </w:pPr>
      <w:r w:rsidRPr="007A04BF">
        <w:rPr>
          <w:rStyle w:val="FootnoteReference"/>
        </w:rPr>
        <w:footnoteRef/>
      </w:r>
      <w:r w:rsidRPr="007A04BF">
        <w:t xml:space="preserve"> The </w:t>
      </w:r>
      <w:r w:rsidRPr="007A04BF" w:rsidR="00B6580B">
        <w:t>19</w:t>
      </w:r>
      <w:r w:rsidRPr="007A04BF">
        <w:t xml:space="preserve"> models being marketed as of January 2022, as shown in screenshots, are PDWM1800, PDWM2115, PDWM2135, PDWM2140, PDWM2145, PDWM2560, PDWM3365, PDWM3375, PDWM3378, PDWM3400, PDWM4350U, PDWM4540, PDWM4560,</w:t>
      </w:r>
      <w:r w:rsidRPr="007A04BF" w:rsidR="000B5DAD">
        <w:t xml:space="preserve"> </w:t>
      </w:r>
      <w:r w:rsidRPr="007A04BF">
        <w:t xml:space="preserve">PDWM4700, PDWM8225, PDWM8250, PDWM8275, PDWM8900, PSUFM1280B.  </w:t>
      </w:r>
      <w:r w:rsidRPr="007A04BF">
        <w:rPr>
          <w:i/>
          <w:iCs/>
        </w:rPr>
        <w:t>See</w:t>
      </w:r>
      <w:r w:rsidRPr="007A04BF">
        <w:t xml:space="preserve"> Sound Around, </w:t>
      </w:r>
      <w:r w:rsidRPr="007A04BF">
        <w:rPr>
          <w:i/>
          <w:iCs/>
        </w:rPr>
        <w:t>Microphone Systems – Products</w:t>
      </w:r>
      <w:r w:rsidRPr="007A04BF">
        <w:t>,</w:t>
      </w:r>
      <w:r w:rsidRPr="009B22FD" w:rsidR="009B22FD">
        <w:t xml:space="preserve"> </w:t>
      </w:r>
      <w:hyperlink r:id="rId4" w:history="1">
        <w:r w:rsidRPr="007A04BF" w:rsidR="009B22FD">
          <w:rPr>
            <w:rStyle w:val="Hyperlink"/>
          </w:rPr>
          <w:t>https://pyleusa.com/collections/microphone-systems</w:t>
        </w:r>
      </w:hyperlink>
      <w:r w:rsidRPr="007A04BF" w:rsidR="009B22FD">
        <w:t xml:space="preserve"> </w:t>
      </w:r>
      <w:r w:rsidRPr="007A04BF">
        <w:t>(screenshot</w:t>
      </w:r>
      <w:r w:rsidRPr="007A04BF" w:rsidR="000B5DAD">
        <w:t>s</w:t>
      </w:r>
      <w:r w:rsidRPr="007A04BF">
        <w:t xml:space="preserve"> taken Jan. 27, 2022) (on file in EB-SED-17-00024010).  </w:t>
      </w:r>
      <w:bookmarkStart w:id="86" w:name="_Hlk101265320"/>
      <w:r w:rsidRPr="007A04BF">
        <w:t xml:space="preserve">Moreover, a recent review of the user manual of PDWM2140, available online, contains none of the required FCC information and is not the same user manual for the alleged FCC ID that is included in the OET database.  Sound Around, </w:t>
      </w:r>
      <w:r w:rsidRPr="007A04BF">
        <w:rPr>
          <w:i/>
          <w:iCs/>
        </w:rPr>
        <w:t>PDWM2140 User Manual</w:t>
      </w:r>
      <w:r w:rsidRPr="007A04BF">
        <w:t xml:space="preserve">, </w:t>
      </w:r>
      <w:hyperlink r:id="rId5" w:history="1">
        <w:r w:rsidRPr="007A04BF">
          <w:rPr>
            <w:rStyle w:val="Hyperlink"/>
          </w:rPr>
          <w:t>http://manuals.pyleusa.com/PDF/PDWM2140.pdf</w:t>
        </w:r>
      </w:hyperlink>
      <w:r w:rsidRPr="007A04BF">
        <w:t xml:space="preserve"> (saved Jan. 31, 2022) (on file in EB-SED-17-00024010); </w:t>
      </w:r>
      <w:r w:rsidRPr="007A04BF">
        <w:rPr>
          <w:i/>
          <w:iCs/>
        </w:rPr>
        <w:t xml:space="preserve">see also </w:t>
      </w:r>
      <w:r w:rsidRPr="007A04BF">
        <w:t xml:space="preserve">Sound Around, </w:t>
      </w:r>
      <w:r w:rsidRPr="007A04BF">
        <w:rPr>
          <w:i/>
          <w:iCs/>
        </w:rPr>
        <w:t>PDWM2140</w:t>
      </w:r>
      <w:r w:rsidRPr="007A04BF">
        <w:t xml:space="preserve">, </w:t>
      </w:r>
      <w:hyperlink r:id="rId6" w:history="1">
        <w:r w:rsidRPr="007A04BF">
          <w:rPr>
            <w:rStyle w:val="Hyperlink"/>
          </w:rPr>
          <w:t>https://pyleusa.com/products/pdwm2140</w:t>
        </w:r>
      </w:hyperlink>
      <w:r w:rsidRPr="007A04BF">
        <w:t xml:space="preserve"> (screenshot taken Jan. 31, 2022) (on file in EB-SED-17-00024010).</w:t>
      </w:r>
      <w:bookmarkEnd w:id="86"/>
    </w:p>
  </w:footnote>
  <w:footnote w:id="68">
    <w:p w:rsidR="00087EDE" w:rsidRPr="007A04BF" w:rsidP="00087EDE" w14:paraId="7172E53E" w14:textId="0B6292F7">
      <w:pPr>
        <w:pStyle w:val="FootnoteText"/>
      </w:pPr>
      <w:r w:rsidRPr="007A04BF">
        <w:rPr>
          <w:rStyle w:val="FootnoteReference"/>
        </w:rPr>
        <w:footnoteRef/>
      </w:r>
      <w:r w:rsidRPr="007A04BF">
        <w:t xml:space="preserve"> The </w:t>
      </w:r>
      <w:r w:rsidRPr="007A04BF" w:rsidR="00A57F17">
        <w:t>17</w:t>
      </w:r>
      <w:r w:rsidRPr="007A04BF">
        <w:t xml:space="preserve"> models being marketed on</w:t>
      </w:r>
      <w:r w:rsidRPr="007A04BF" w:rsidR="000B5DAD">
        <w:t xml:space="preserve"> both</w:t>
      </w:r>
      <w:r w:rsidRPr="007A04BF">
        <w:t xml:space="preserve"> April 4, 2022 and April 15, 2022, as shown in screenshots, are PDWM1800, PDWM2115, PDWM2135, PDWM2140, PDWM2145, PDWM2560, PDWM3365, PDWM3375, PDWM3378, PDWM3400, PDWM4350U, PDWM4540, PDWM4560, PDWM4700, PDWM8225, PDWM8900, PSUFM1280B.  </w:t>
      </w:r>
      <w:r w:rsidRPr="007A04BF">
        <w:rPr>
          <w:i/>
          <w:iCs/>
        </w:rPr>
        <w:t>See</w:t>
      </w:r>
      <w:r w:rsidRPr="007A04BF">
        <w:t xml:space="preserve"> Sound Around, </w:t>
      </w:r>
      <w:r w:rsidRPr="007A04BF">
        <w:rPr>
          <w:i/>
          <w:iCs/>
        </w:rPr>
        <w:t>Microphone Systems – Products</w:t>
      </w:r>
      <w:r w:rsidRPr="007A04BF">
        <w:t xml:space="preserve">, </w:t>
      </w:r>
      <w:hyperlink r:id="rId4" w:history="1">
        <w:r w:rsidRPr="007A04BF">
          <w:rPr>
            <w:rStyle w:val="Hyperlink"/>
          </w:rPr>
          <w:t>https://pyleusa.com/collections/microphone-systems</w:t>
        </w:r>
      </w:hyperlink>
      <w:r w:rsidRPr="007A04BF">
        <w:t xml:space="preserve"> (screenshots taken Apr. 4, 2022 and Apr. 15, 2022) (on file in EB-SED-17-00024010).</w:t>
      </w:r>
    </w:p>
  </w:footnote>
  <w:footnote w:id="69">
    <w:p w:rsidR="00AF1C81" w14:paraId="0942BAA2" w14:textId="58857877">
      <w:pPr>
        <w:pStyle w:val="FootnoteText"/>
      </w:pPr>
      <w:r>
        <w:rPr>
          <w:rStyle w:val="FootnoteReference"/>
        </w:rPr>
        <w:footnoteRef/>
      </w:r>
      <w:r>
        <w:t xml:space="preserve"> The 1</w:t>
      </w:r>
      <w:r w:rsidR="003A706A">
        <w:t>4</w:t>
      </w:r>
      <w:r>
        <w:t xml:space="preserve"> models being marketed on June 9, 2022, as shown in screenshots, are PDWM</w:t>
      </w:r>
      <w:r w:rsidR="0077682A">
        <w:t>1</w:t>
      </w:r>
      <w:r w:rsidRPr="007A04BF" w:rsidR="0077682A">
        <w:t>800, PDWM2135</w:t>
      </w:r>
      <w:r w:rsidR="0077682A">
        <w:t xml:space="preserve">, </w:t>
      </w:r>
      <w:r w:rsidRPr="007A04BF" w:rsidR="0077682A">
        <w:t>PDWM2140, PDWM2145, PDWM2560</w:t>
      </w:r>
      <w:r w:rsidR="0077682A">
        <w:t xml:space="preserve">, </w:t>
      </w:r>
      <w:r w:rsidRPr="007A04BF" w:rsidR="0077682A">
        <w:t>PDWM3365, PDWM3375,</w:t>
      </w:r>
      <w:r w:rsidRPr="0077682A" w:rsidR="0077682A">
        <w:t xml:space="preserve"> </w:t>
      </w:r>
      <w:r w:rsidRPr="007A04BF" w:rsidR="0077682A">
        <w:t>PDWM3378, PDWM3400,</w:t>
      </w:r>
      <w:r w:rsidR="003A706A">
        <w:t xml:space="preserve"> </w:t>
      </w:r>
      <w:r w:rsidR="0077682A">
        <w:t xml:space="preserve">PDWM4350U, </w:t>
      </w:r>
      <w:r w:rsidRPr="007A04BF" w:rsidR="00EB0F43">
        <w:t>PDWM4540,</w:t>
      </w:r>
      <w:r w:rsidR="00EB0F43">
        <w:t xml:space="preserve"> PDWM4700, PDWM8225, PSUFM1280B</w:t>
      </w:r>
      <w:r w:rsidR="004316C9">
        <w:t xml:space="preserve">.  </w:t>
      </w:r>
      <w:r w:rsidR="004316C9">
        <w:rPr>
          <w:i/>
          <w:iCs/>
        </w:rPr>
        <w:t xml:space="preserve">See </w:t>
      </w:r>
      <w:r w:rsidR="004316C9">
        <w:t xml:space="preserve">Sound Around, </w:t>
      </w:r>
      <w:r w:rsidR="004316C9">
        <w:rPr>
          <w:i/>
          <w:iCs/>
        </w:rPr>
        <w:t xml:space="preserve">Microphone Systems </w:t>
      </w:r>
      <w:r w:rsidRPr="007A04BF" w:rsidR="004316C9">
        <w:rPr>
          <w:i/>
          <w:iCs/>
        </w:rPr>
        <w:t>– Products</w:t>
      </w:r>
      <w:r w:rsidRPr="007A04BF" w:rsidR="004316C9">
        <w:t xml:space="preserve">, </w:t>
      </w:r>
      <w:hyperlink r:id="rId4" w:history="1">
        <w:r w:rsidRPr="007A04BF" w:rsidR="004316C9">
          <w:rPr>
            <w:rStyle w:val="Hyperlink"/>
          </w:rPr>
          <w:t>https://pyleusa.com/collections/microphone-systems</w:t>
        </w:r>
      </w:hyperlink>
      <w:r w:rsidRPr="007A04BF" w:rsidR="004316C9">
        <w:t xml:space="preserve"> (screenshots taken </w:t>
      </w:r>
      <w:r w:rsidR="004316C9">
        <w:t>June 9</w:t>
      </w:r>
      <w:r w:rsidRPr="007A04BF" w:rsidR="004316C9">
        <w:t>, 2022) (on file in EB-SED-17-00024010).</w:t>
      </w:r>
      <w:r w:rsidR="004316C9">
        <w:rPr>
          <w:i/>
          <w:iCs/>
        </w:rPr>
        <w:t xml:space="preserve"> </w:t>
      </w:r>
      <w:r w:rsidRPr="007A04BF" w:rsidR="0077682A">
        <w:t xml:space="preserve"> </w:t>
      </w:r>
      <w:r w:rsidR="0077682A">
        <w:t xml:space="preserve"> </w:t>
      </w:r>
    </w:p>
  </w:footnote>
  <w:footnote w:id="70">
    <w:p w:rsidR="00066DD7" w:rsidRPr="007A04BF" w:rsidP="009700BF" w14:paraId="2A9A29A2" w14:textId="32BB557D">
      <w:pPr>
        <w:pStyle w:val="FootnoteText"/>
      </w:pPr>
      <w:r w:rsidRPr="007A04BF">
        <w:rPr>
          <w:rStyle w:val="FootnoteReference"/>
        </w:rPr>
        <w:footnoteRef/>
      </w:r>
      <w:r w:rsidRPr="007A04BF">
        <w:t xml:space="preserve"> NAL Response at 21.  </w:t>
      </w:r>
    </w:p>
  </w:footnote>
  <w:footnote w:id="71">
    <w:p w:rsidR="00066DD7" w:rsidRPr="007A04BF" w14:paraId="598EE662" w14:textId="740AABF0">
      <w:pPr>
        <w:pStyle w:val="FootnoteText"/>
      </w:pPr>
      <w:r w:rsidRPr="007A04BF">
        <w:rPr>
          <w:rStyle w:val="FootnoteReference"/>
        </w:rPr>
        <w:footnoteRef/>
      </w:r>
      <w:r w:rsidRPr="007A04BF">
        <w:t xml:space="preserve"> NAL Response at 5.</w:t>
      </w:r>
    </w:p>
  </w:footnote>
  <w:footnote w:id="72">
    <w:p w:rsidR="00066DD7" w:rsidRPr="007A04BF" w:rsidP="004D260E" w14:paraId="57335A9D" w14:textId="7BF9D0F1">
      <w:pPr>
        <w:pStyle w:val="FootnoteText"/>
      </w:pPr>
      <w:r w:rsidRPr="007A04BF">
        <w:rPr>
          <w:rStyle w:val="FootnoteReference"/>
        </w:rPr>
        <w:footnoteRef/>
      </w:r>
      <w:r w:rsidRPr="007A04BF">
        <w:t xml:space="preserve"> </w:t>
      </w:r>
      <w:r w:rsidRPr="007A04BF">
        <w:rPr>
          <w:i/>
          <w:iCs/>
        </w:rPr>
        <w:t xml:space="preserve">See </w:t>
      </w:r>
      <w:r w:rsidRPr="007A04BF">
        <w:t xml:space="preserve">Sound Around, Pyle – Musical Instruments - Microphone Systems, </w:t>
      </w:r>
      <w:hyperlink r:id="rId7" w:history="1">
        <w:r w:rsidRPr="007A04BF">
          <w:rPr>
            <w:rStyle w:val="Hyperlink"/>
          </w:rPr>
          <w:t>https://web.archive.org/web/20170412224214/https://www.pyleusa.com/shop.html</w:t>
        </w:r>
      </w:hyperlink>
      <w:r w:rsidRPr="007A04BF">
        <w:t xml:space="preserve"> (Apr. 17, 2017) (screenshot on file in EB-SED-17-00024010).  </w:t>
      </w:r>
    </w:p>
  </w:footnote>
  <w:footnote w:id="73">
    <w:p w:rsidR="00066DD7" w:rsidRPr="007A04BF" w14:paraId="4CB70EBC" w14:textId="408B4113">
      <w:pPr>
        <w:pStyle w:val="FootnoteText"/>
      </w:pPr>
      <w:r w:rsidRPr="007A04BF">
        <w:rPr>
          <w:rStyle w:val="FootnoteReference"/>
        </w:rPr>
        <w:footnoteRef/>
      </w:r>
      <w:r w:rsidRPr="007A04BF">
        <w:t xml:space="preserve"> </w:t>
      </w:r>
      <w:r w:rsidRPr="007A04BF">
        <w:rPr>
          <w:i/>
          <w:iCs/>
        </w:rPr>
        <w:t xml:space="preserve">See </w:t>
      </w:r>
      <w:r w:rsidRPr="007A04BF">
        <w:t>47 CFR §§ 2.803(a), 74.851(f).</w:t>
      </w:r>
    </w:p>
  </w:footnote>
  <w:footnote w:id="74">
    <w:p w:rsidR="00066DD7" w:rsidRPr="007A04BF" w14:paraId="6DFBCF96" w14:textId="49638323">
      <w:pPr>
        <w:pStyle w:val="FootnoteText"/>
      </w:pPr>
      <w:r w:rsidRPr="007A04BF">
        <w:rPr>
          <w:rStyle w:val="FootnoteReference"/>
        </w:rPr>
        <w:footnoteRef/>
      </w:r>
      <w:r w:rsidRPr="007A04BF">
        <w:t xml:space="preserve"> </w:t>
      </w:r>
      <w:r w:rsidRPr="007A04BF">
        <w:rPr>
          <w:i/>
          <w:iCs/>
        </w:rPr>
        <w:t xml:space="preserve">See </w:t>
      </w:r>
      <w:r w:rsidRPr="007A04BF">
        <w:t>47 CFR § 2.803(b)</w:t>
      </w:r>
      <w:r w:rsidRPr="007A04BF" w:rsidR="00A72D3F">
        <w:t xml:space="preserve">; </w:t>
      </w:r>
      <w:r w:rsidRPr="007A04BF" w:rsidR="00A72D3F">
        <w:rPr>
          <w:i/>
          <w:iCs/>
        </w:rPr>
        <w:t xml:space="preserve">see </w:t>
      </w:r>
      <w:r w:rsidR="00B02EAB">
        <w:rPr>
          <w:i/>
          <w:iCs/>
        </w:rPr>
        <w:t xml:space="preserve">also </w:t>
      </w:r>
      <w:r w:rsidRPr="007A04BF" w:rsidR="00A72D3F">
        <w:t>47 U.S.C. § 302a(</w:t>
      </w:r>
      <w:r w:rsidRPr="007A04BF" w:rsidR="00FA54F3">
        <w:t>b) (</w:t>
      </w:r>
      <w:r w:rsidRPr="007A04BF" w:rsidR="00046A77">
        <w:t xml:space="preserve">providing that the Commission’s equipment-authorization rules </w:t>
      </w:r>
      <w:r w:rsidRPr="007A04BF" w:rsidR="00CF6D94">
        <w:t xml:space="preserve">apply </w:t>
      </w:r>
      <w:r w:rsidRPr="007A04BF" w:rsidR="00046A77">
        <w:t xml:space="preserve">not </w:t>
      </w:r>
      <w:r w:rsidRPr="007A04BF" w:rsidR="006F6B8D">
        <w:t xml:space="preserve">to </w:t>
      </w:r>
      <w:r w:rsidRPr="007A04BF" w:rsidR="00046A77">
        <w:t xml:space="preserve">only the sale but also </w:t>
      </w:r>
      <w:r w:rsidRPr="007A04BF" w:rsidR="006F6B8D">
        <w:t xml:space="preserve">to </w:t>
      </w:r>
      <w:r w:rsidRPr="007A04BF" w:rsidR="00046A77">
        <w:t xml:space="preserve">the manufacture, import, </w:t>
      </w:r>
      <w:r w:rsidRPr="007A04BF" w:rsidR="00CF6D94">
        <w:t>offering for sale, and shipping of devices)</w:t>
      </w:r>
      <w:r w:rsidRPr="000F1FFC">
        <w:rPr>
          <w:rFonts w:eastAsia="Segoe UI Emoji"/>
        </w:rPr>
        <w:t>.</w:t>
      </w:r>
    </w:p>
  </w:footnote>
  <w:footnote w:id="75">
    <w:p w:rsidR="00091BC4" w:rsidRPr="000F1FFC" w:rsidP="00091BC4" w14:paraId="0A11D7CF" w14:textId="3959EB8E">
      <w:pPr>
        <w:pStyle w:val="FootnoteText"/>
      </w:pPr>
      <w:r w:rsidRPr="007A04BF">
        <w:rPr>
          <w:rStyle w:val="FootnoteReference"/>
        </w:rPr>
        <w:footnoteRef/>
      </w:r>
      <w:r w:rsidRPr="007A04BF">
        <w:t xml:space="preserve"> </w:t>
      </w:r>
      <w:r w:rsidRPr="007A04BF" w:rsidR="0019058A">
        <w:rPr>
          <w:i/>
          <w:iCs/>
        </w:rPr>
        <w:t xml:space="preserve">See </w:t>
      </w:r>
      <w:r w:rsidRPr="007A04BF" w:rsidR="0019058A">
        <w:t>47 CFR § 2.803(b)</w:t>
      </w:r>
      <w:r w:rsidRPr="007A04BF">
        <w:rPr>
          <w:i/>
          <w:iCs/>
        </w:rPr>
        <w:t>.</w:t>
      </w:r>
    </w:p>
  </w:footnote>
  <w:footnote w:id="76">
    <w:p w:rsidR="000D0954" w:rsidRPr="007A04BF" w14:paraId="3D74FAEE" w14:textId="11FFC654">
      <w:pPr>
        <w:pStyle w:val="FootnoteText"/>
      </w:pPr>
      <w:r w:rsidRPr="007A04BF">
        <w:rPr>
          <w:rStyle w:val="FootnoteReference"/>
        </w:rPr>
        <w:footnoteRef/>
      </w:r>
      <w:r w:rsidRPr="007A04BF">
        <w:t xml:space="preserve"> </w:t>
      </w:r>
      <w:r w:rsidRPr="007A04BF" w:rsidR="003359A2">
        <w:rPr>
          <w:i/>
          <w:iCs/>
        </w:rPr>
        <w:t>S</w:t>
      </w:r>
      <w:r w:rsidRPr="007A04BF">
        <w:rPr>
          <w:i/>
          <w:iCs/>
        </w:rPr>
        <w:t>ee</w:t>
      </w:r>
      <w:r w:rsidRPr="007A04BF">
        <w:t xml:space="preserve"> </w:t>
      </w:r>
      <w:r w:rsidRPr="007A04BF">
        <w:rPr>
          <w:i/>
        </w:rPr>
        <w:t>Behringer USA, Inc.</w:t>
      </w:r>
      <w:r w:rsidRPr="007A04BF">
        <w:t xml:space="preserve">, Notice of Apparent Liability for Forfeiture and Order, 21 FCC </w:t>
      </w:r>
      <w:r w:rsidRPr="007A04BF">
        <w:t>Rcd</w:t>
      </w:r>
      <w:r w:rsidRPr="007A04BF">
        <w:t xml:space="preserve"> 1820 (2006), </w:t>
      </w:r>
      <w:r w:rsidRPr="007A04BF">
        <w:rPr>
          <w:i/>
        </w:rPr>
        <w:t>forfeiture ordered</w:t>
      </w:r>
      <w:r w:rsidRPr="007A04BF">
        <w:t xml:space="preserve">, 22 FCC </w:t>
      </w:r>
      <w:r w:rsidRPr="007A04BF">
        <w:t>Rcd</w:t>
      </w:r>
      <w:r w:rsidRPr="007A04BF">
        <w:t xml:space="preserve"> 10451, 10454 para. 9 (2007) (forfeiture paid) (</w:t>
      </w:r>
      <w:r w:rsidRPr="007A04BF">
        <w:rPr>
          <w:i/>
        </w:rPr>
        <w:t>Behringer</w:t>
      </w:r>
      <w:r w:rsidRPr="007A04BF">
        <w:t xml:space="preserve">) (“Section 2.803(a)’s prohibition explicitly covers the offering (including the advertising) for sale or lease of unauthorized equipment. The record established, and Behringer does not dispute, that both the SRC2000 and BLM420 were advertised on its website and included in its price lists. Consistent with precedent, we find that the inclusion of the SRC2000 and BLM420 on Behringer's website and its price lists constituted marketing and as such were prohibited under Section 2.803(a).”) (footnote omitted); </w:t>
      </w:r>
      <w:r w:rsidRPr="007A04BF">
        <w:rPr>
          <w:i/>
          <w:iCs/>
        </w:rPr>
        <w:t>ACR Electronics, Inc.,</w:t>
      </w:r>
      <w:r w:rsidRPr="007A04BF">
        <w:t> Notice of Apparent Liability for Forfeiture, </w:t>
      </w:r>
      <w:r w:rsidRPr="00721CBC">
        <w:t xml:space="preserve">19 FCC </w:t>
      </w:r>
      <w:r w:rsidRPr="00721CBC">
        <w:t>Rcd</w:t>
      </w:r>
      <w:r w:rsidRPr="00721CBC">
        <w:t xml:space="preserve"> 22293, 22299 para. 15 (2004)</w:t>
      </w:r>
      <w:r w:rsidRPr="007A04BF">
        <w:t>, </w:t>
      </w:r>
      <w:r w:rsidRPr="00721CBC">
        <w:rPr>
          <w:i/>
          <w:iCs/>
        </w:rPr>
        <w:t>forfeiture ordered,</w:t>
      </w:r>
      <w:r w:rsidRPr="00721CBC">
        <w:t xml:space="preserve"> 21 FCC </w:t>
      </w:r>
      <w:r w:rsidRPr="00721CBC">
        <w:t>Rcd</w:t>
      </w:r>
      <w:r w:rsidRPr="00721CBC">
        <w:t xml:space="preserve"> 3698 (2006)</w:t>
      </w:r>
      <w:r w:rsidRPr="007A04BF">
        <w:t xml:space="preserve"> (forfeiture paid) (finding that the manufacturer violated </w:t>
      </w:r>
      <w:r w:rsidRPr="00721CBC">
        <w:t>section 2.803(a)</w:t>
      </w:r>
      <w:r w:rsidRPr="007A04BF">
        <w:t xml:space="preserve"> by distributing promotional materials and price lists for unauthorized devices).  </w:t>
      </w:r>
    </w:p>
  </w:footnote>
  <w:footnote w:id="77">
    <w:p w:rsidR="0042564E" w:rsidRPr="007A04BF" w:rsidP="0042564E" w14:paraId="13249EAB" w14:textId="77777777">
      <w:pPr>
        <w:pStyle w:val="FootnoteText"/>
      </w:pPr>
      <w:r w:rsidRPr="007A04BF">
        <w:rPr>
          <w:rStyle w:val="FootnoteReference"/>
        </w:rPr>
        <w:footnoteRef/>
      </w:r>
      <w:r w:rsidRPr="007A04BF">
        <w:t xml:space="preserve"> </w:t>
      </w:r>
      <w:r w:rsidRPr="007A04BF">
        <w:rPr>
          <w:i/>
          <w:iCs/>
        </w:rPr>
        <w:t xml:space="preserve">See ABC Fulfillment Servs. LLC d/b/a </w:t>
      </w:r>
      <w:r w:rsidRPr="007A04BF">
        <w:rPr>
          <w:i/>
          <w:iCs/>
        </w:rPr>
        <w:t>Hobbyking</w:t>
      </w:r>
      <w:r w:rsidRPr="007A04BF">
        <w:rPr>
          <w:i/>
          <w:iCs/>
        </w:rPr>
        <w:t xml:space="preserve"> USA LLC &amp; Hobbyking.com; &amp; Indubitably, Inc. d/b/a </w:t>
      </w:r>
      <w:r w:rsidRPr="007A04BF">
        <w:rPr>
          <w:i/>
          <w:iCs/>
        </w:rPr>
        <w:t>Hobbyking</w:t>
      </w:r>
      <w:r w:rsidRPr="007A04BF">
        <w:rPr>
          <w:i/>
          <w:iCs/>
        </w:rPr>
        <w:t xml:space="preserve"> Corp., </w:t>
      </w:r>
      <w:r w:rsidRPr="007A04BF">
        <w:rPr>
          <w:i/>
          <w:iCs/>
        </w:rPr>
        <w:t>Hobbyking</w:t>
      </w:r>
      <w:r w:rsidRPr="007A04BF">
        <w:rPr>
          <w:i/>
          <w:iCs/>
        </w:rPr>
        <w:t xml:space="preserve"> USA LLC, </w:t>
      </w:r>
      <w:r w:rsidRPr="007A04BF">
        <w:rPr>
          <w:i/>
          <w:iCs/>
        </w:rPr>
        <w:t>Hobbyking</w:t>
      </w:r>
      <w:r w:rsidRPr="007A04BF">
        <w:rPr>
          <w:i/>
          <w:iCs/>
        </w:rPr>
        <w:t>, &amp; Hobbyking.com</w:t>
      </w:r>
      <w:r w:rsidRPr="007A04BF">
        <w:t xml:space="preserve">, Notice of Apparent Liability for Forfeiture, 33 FCC </w:t>
      </w:r>
      <w:r w:rsidRPr="007A04BF">
        <w:t>Rcd</w:t>
      </w:r>
      <w:r w:rsidRPr="007A04BF">
        <w:t xml:space="preserve"> 5530, 5541 para. 12 (2018) (</w:t>
      </w:r>
      <w:r w:rsidRPr="007A04BF">
        <w:rPr>
          <w:i/>
          <w:iCs/>
        </w:rPr>
        <w:t>Hobbyking</w:t>
      </w:r>
      <w:r w:rsidRPr="007A04BF">
        <w:rPr>
          <w:i/>
          <w:iCs/>
        </w:rPr>
        <w:t>)</w:t>
      </w:r>
      <w:r w:rsidRPr="007A04BF">
        <w:t xml:space="preserve"> (online marketing of noncompliant drone accessories), Forfeiture Order, 35 FCC </w:t>
      </w:r>
      <w:r w:rsidRPr="007A04BF">
        <w:t>Rcd</w:t>
      </w:r>
      <w:r w:rsidRPr="007A04BF">
        <w:t xml:space="preserve"> 7441 (2020), Memorandum Opinion and Order, 36 FCC </w:t>
      </w:r>
      <w:r w:rsidRPr="007A04BF">
        <w:t>Rcd</w:t>
      </w:r>
      <w:r w:rsidRPr="007A04BF">
        <w:t xml:space="preserve"> 10688 (2021); </w:t>
      </w:r>
      <w:r w:rsidRPr="007A04BF">
        <w:rPr>
          <w:i/>
          <w:iCs/>
        </w:rPr>
        <w:t>Bear Down Brands, LLC DBA Pure Enrichment</w:t>
      </w:r>
      <w:r w:rsidRPr="007A04BF">
        <w:t xml:space="preserve">, Notice of Apparent Liability for Forfeiture, 33 FCC </w:t>
      </w:r>
      <w:r w:rsidRPr="007A04BF">
        <w:t>Rcd</w:t>
      </w:r>
      <w:r w:rsidRPr="007A04BF">
        <w:t xml:space="preserve"> 5449, 5452, para. 7, note 21 (May 30, 2018) (noncompliant models marketed online) (forfeiture paid).</w:t>
      </w:r>
    </w:p>
  </w:footnote>
  <w:footnote w:id="78">
    <w:p w:rsidR="00066DD7" w:rsidRPr="007A04BF" w:rsidP="00AE0132" w14:paraId="57F4E618" w14:textId="77777777">
      <w:pPr>
        <w:pStyle w:val="FootnoteText"/>
      </w:pPr>
      <w:r w:rsidRPr="007A04BF">
        <w:rPr>
          <w:rStyle w:val="FootnoteReference"/>
        </w:rPr>
        <w:footnoteRef/>
      </w:r>
      <w:r w:rsidRPr="007A04BF">
        <w:t xml:space="preserve"> NAL Response at 7.</w:t>
      </w:r>
    </w:p>
  </w:footnote>
  <w:footnote w:id="79">
    <w:p w:rsidR="00066DD7" w:rsidRPr="007A04BF" w:rsidP="009E1B23" w14:paraId="059D56DC" w14:textId="77777777">
      <w:pPr>
        <w:pStyle w:val="FootnoteText"/>
      </w:pPr>
      <w:r w:rsidRPr="007A04BF">
        <w:rPr>
          <w:rStyle w:val="FootnoteReference"/>
        </w:rPr>
        <w:footnoteRef/>
      </w:r>
      <w:r w:rsidRPr="007A04BF">
        <w:t xml:space="preserve"> NAL Response at 21-22.</w:t>
      </w:r>
    </w:p>
  </w:footnote>
  <w:footnote w:id="80">
    <w:p w:rsidR="00066DD7" w:rsidRPr="007A04BF" w:rsidP="009E1B23" w14:paraId="064DF113" w14:textId="77777777">
      <w:pPr>
        <w:pStyle w:val="FootnoteText"/>
      </w:pPr>
      <w:r w:rsidRPr="007A04BF">
        <w:rPr>
          <w:rStyle w:val="FootnoteReference"/>
        </w:rPr>
        <w:footnoteRef/>
      </w:r>
      <w:r w:rsidRPr="007A04BF">
        <w:t xml:space="preserve"> </w:t>
      </w:r>
      <w:r w:rsidRPr="007A04BF">
        <w:rPr>
          <w:i/>
          <w:iCs/>
        </w:rPr>
        <w:t>Presidential Who’s Who, Inc.</w:t>
      </w:r>
      <w:r w:rsidRPr="007A04BF">
        <w:t xml:space="preserve">, Forfeiture Order, 29 FCC </w:t>
      </w:r>
      <w:r w:rsidRPr="007A04BF">
        <w:t>Rcd</w:t>
      </w:r>
      <w:r w:rsidRPr="007A04BF">
        <w:t xml:space="preserve"> 3451, 3454, para. 10 (2014) (“ignorance of the law does not exonerate, excuse, or mitigate violations”) (citing</w:t>
      </w:r>
      <w:r w:rsidRPr="007A04BF">
        <w:rPr>
          <w:i/>
          <w:iCs/>
        </w:rPr>
        <w:t xml:space="preserve"> Start Wireless Group, Inc. D/B/A Page Plus Cellular</w:t>
      </w:r>
      <w:r w:rsidRPr="007A04BF">
        <w:t xml:space="preserve">, Notice of Apparent Liability for Forfeiture, 27 FCC </w:t>
      </w:r>
      <w:r w:rsidRPr="007A04BF">
        <w:t>Rcd</w:t>
      </w:r>
      <w:r w:rsidRPr="007A04BF">
        <w:t xml:space="preserve"> 350, 354 (EB 2012); </w:t>
      </w:r>
      <w:r w:rsidRPr="007A04BF">
        <w:rPr>
          <w:i/>
          <w:iCs/>
        </w:rPr>
        <w:t>Dynasty Mortgage, LLC</w:t>
      </w:r>
      <w:r w:rsidRPr="007A04BF">
        <w:t xml:space="preserve">, Notice of Apparent Liability for Forfeiture, 20 FCC </w:t>
      </w:r>
      <w:r w:rsidRPr="007A04BF">
        <w:t>Rcd</w:t>
      </w:r>
      <w:r w:rsidRPr="007A04BF">
        <w:t xml:space="preserve"> 4921, 4929 (2005); </w:t>
      </w:r>
      <w:r w:rsidRPr="007A04BF">
        <w:rPr>
          <w:i/>
          <w:iCs/>
        </w:rPr>
        <w:t>Southern California Broadcasting Co.</w:t>
      </w:r>
      <w:r w:rsidRPr="007A04BF">
        <w:t xml:space="preserve">, Memorandum Opinion and Order, 6 FCC </w:t>
      </w:r>
      <w:r w:rsidRPr="007A04BF">
        <w:t>Rcd</w:t>
      </w:r>
      <w:r w:rsidRPr="007A04BF">
        <w:t xml:space="preserve"> 4387, 4388 (1991), </w:t>
      </w:r>
      <w:r w:rsidRPr="007A04BF">
        <w:rPr>
          <w:i/>
          <w:iCs/>
        </w:rPr>
        <w:t>recon. denied</w:t>
      </w:r>
      <w:r w:rsidRPr="007A04BF">
        <w:t xml:space="preserve">, 7 FCC </w:t>
      </w:r>
      <w:r w:rsidRPr="007A04BF">
        <w:t>Rcd</w:t>
      </w:r>
      <w:r w:rsidRPr="007A04BF">
        <w:t xml:space="preserve"> 3454 (1992)).</w:t>
      </w:r>
    </w:p>
  </w:footnote>
  <w:footnote w:id="81">
    <w:p w:rsidR="007A64AC" w:rsidRPr="007A04BF" w14:paraId="19BF9457" w14:textId="314F8B3B">
      <w:pPr>
        <w:pStyle w:val="FootnoteText"/>
      </w:pPr>
      <w:r w:rsidRPr="007A04BF">
        <w:rPr>
          <w:rStyle w:val="FootnoteReference"/>
        </w:rPr>
        <w:footnoteRef/>
      </w:r>
      <w:r w:rsidRPr="007A04BF">
        <w:t xml:space="preserve"> </w:t>
      </w:r>
      <w:r w:rsidRPr="007A04BF">
        <w:rPr>
          <w:i/>
          <w:iCs/>
        </w:rPr>
        <w:t>See</w:t>
      </w:r>
      <w:r w:rsidRPr="007A04BF">
        <w:t xml:space="preserve"> 47 U.S.C. § 503</w:t>
      </w:r>
      <w:r w:rsidRPr="007A04BF" w:rsidR="00A00B7E">
        <w:t xml:space="preserve">(b)(5) </w:t>
      </w:r>
      <w:r w:rsidRPr="007A04BF" w:rsidR="00727AF6">
        <w:t xml:space="preserve">(providing for citations before </w:t>
      </w:r>
      <w:r w:rsidRPr="007A04BF" w:rsidR="00470533">
        <w:t>issuance of a notice of apparent liability</w:t>
      </w:r>
      <w:r w:rsidRPr="007A04BF" w:rsidR="00D509B7">
        <w:t>)</w:t>
      </w:r>
      <w:r w:rsidRPr="007A04BF" w:rsidR="00913FEF">
        <w:t xml:space="preserve">; </w:t>
      </w:r>
      <w:r w:rsidRPr="007A04BF" w:rsidR="00913FEF">
        <w:rPr>
          <w:i/>
          <w:iCs/>
        </w:rPr>
        <w:t>see infra</w:t>
      </w:r>
      <w:r w:rsidRPr="007A04BF" w:rsidR="00913FEF">
        <w:t xml:space="preserve"> para</w:t>
      </w:r>
      <w:r w:rsidRPr="007A04BF" w:rsidR="00CF5385">
        <w:t xml:space="preserve">s. </w:t>
      </w:r>
      <w:r w:rsidRPr="007A04BF" w:rsidR="00CF5385">
        <w:fldChar w:fldCharType="begin"/>
      </w:r>
      <w:r w:rsidRPr="007A04BF" w:rsidR="00CF5385">
        <w:instrText xml:space="preserve"> REF _Ref103095120 \r \h </w:instrText>
      </w:r>
      <w:r w:rsidR="007A04BF">
        <w:instrText xml:space="preserve"> \* MERGEFORMAT </w:instrText>
      </w:r>
      <w:r w:rsidRPr="007A04BF" w:rsidR="00CF5385">
        <w:fldChar w:fldCharType="separate"/>
      </w:r>
      <w:r w:rsidR="001A0982">
        <w:t>24</w:t>
      </w:r>
      <w:r w:rsidRPr="007A04BF" w:rsidR="00CF5385">
        <w:fldChar w:fldCharType="end"/>
      </w:r>
      <w:r w:rsidRPr="007A04BF" w:rsidR="00E123B9">
        <w:t>-</w:t>
      </w:r>
      <w:r w:rsidRPr="007A04BF" w:rsidR="00CF5385">
        <w:fldChar w:fldCharType="begin"/>
      </w:r>
      <w:r w:rsidRPr="007A04BF" w:rsidR="00CF5385">
        <w:instrText xml:space="preserve"> REF _Ref103095128 \r \h </w:instrText>
      </w:r>
      <w:r w:rsidR="007A04BF">
        <w:instrText xml:space="preserve"> \* MERGEFORMAT </w:instrText>
      </w:r>
      <w:r w:rsidRPr="007A04BF" w:rsidR="00CF5385">
        <w:fldChar w:fldCharType="separate"/>
      </w:r>
      <w:r w:rsidR="001A0982">
        <w:t>26</w:t>
      </w:r>
      <w:r w:rsidRPr="007A04BF" w:rsidR="00CF5385">
        <w:fldChar w:fldCharType="end"/>
      </w:r>
      <w:r w:rsidRPr="007A04BF" w:rsidR="00D509B7">
        <w:t>.</w:t>
      </w:r>
      <w:r w:rsidRPr="007A04BF" w:rsidR="00786D45">
        <w:t xml:space="preserve">  The company also received an LOI in 2009 preceding the </w:t>
      </w:r>
      <w:r w:rsidRPr="007A04BF" w:rsidR="00786D45">
        <w:rPr>
          <w:i/>
          <w:iCs/>
        </w:rPr>
        <w:t>Marketing Citation</w:t>
      </w:r>
      <w:r w:rsidRPr="007A04BF" w:rsidR="00786D45">
        <w:t xml:space="preserve"> indicating marketing noncompliant devices was prohibited.  </w:t>
      </w:r>
      <w:r w:rsidRPr="007A04BF" w:rsidR="00786D45">
        <w:rPr>
          <w:i/>
          <w:iCs/>
        </w:rPr>
        <w:t>Marketing Citation</w:t>
      </w:r>
      <w:r w:rsidRPr="007A04BF" w:rsidR="00786D45">
        <w:t xml:space="preserve">, 26 FCC </w:t>
      </w:r>
      <w:r w:rsidRPr="007A04BF" w:rsidR="00786D45">
        <w:t>Rcd</w:t>
      </w:r>
      <w:r w:rsidRPr="007A04BF" w:rsidR="00786D45">
        <w:t xml:space="preserve"> at 9475, para. 3.  </w:t>
      </w:r>
    </w:p>
  </w:footnote>
  <w:footnote w:id="82">
    <w:p w:rsidR="001F557E" w:rsidRPr="001F557E" w14:paraId="22079826" w14:textId="4FDBE467">
      <w:pPr>
        <w:pStyle w:val="FootnoteText"/>
      </w:pPr>
      <w:r>
        <w:rPr>
          <w:rStyle w:val="FootnoteReference"/>
        </w:rPr>
        <w:footnoteRef/>
      </w:r>
      <w:r>
        <w:t xml:space="preserve"> </w:t>
      </w:r>
      <w:r>
        <w:rPr>
          <w:i/>
          <w:iCs/>
        </w:rPr>
        <w:t>See</w:t>
      </w:r>
      <w:r w:rsidR="006A34B7">
        <w:rPr>
          <w:i/>
          <w:iCs/>
        </w:rPr>
        <w:t xml:space="preserve"> e.g.</w:t>
      </w:r>
      <w:r w:rsidR="006A34B7">
        <w:t>,</w:t>
      </w:r>
      <w:r>
        <w:rPr>
          <w:i/>
          <w:iCs/>
        </w:rPr>
        <w:t xml:space="preserve"> supra</w:t>
      </w:r>
      <w:r>
        <w:t xml:space="preserve"> note </w:t>
      </w:r>
      <w:r>
        <w:fldChar w:fldCharType="begin"/>
      </w:r>
      <w:r>
        <w:instrText xml:space="preserve"> NOTEREF _Ref104287130 \h </w:instrText>
      </w:r>
      <w:r>
        <w:fldChar w:fldCharType="separate"/>
      </w:r>
      <w:r w:rsidR="001A0982">
        <w:t>19</w:t>
      </w:r>
      <w:r>
        <w:fldChar w:fldCharType="end"/>
      </w:r>
      <w:r>
        <w:t>.</w:t>
      </w:r>
    </w:p>
  </w:footnote>
  <w:footnote w:id="83">
    <w:p w:rsidR="00066DD7" w:rsidRPr="007A04BF" w:rsidP="00ED6D00" w14:paraId="5FF3860E" w14:textId="008A265A">
      <w:pPr>
        <w:pStyle w:val="FootnoteText"/>
      </w:pPr>
      <w:r w:rsidRPr="007A04BF">
        <w:rPr>
          <w:rStyle w:val="FootnoteReference"/>
        </w:rPr>
        <w:footnoteRef/>
      </w:r>
      <w:r w:rsidRPr="007A04BF">
        <w:t xml:space="preserve"> </w:t>
      </w:r>
      <w:r w:rsidRPr="007A04BF" w:rsidR="00233311">
        <w:t>47 CFR § 2.803(b)</w:t>
      </w:r>
      <w:r w:rsidRPr="007A04BF">
        <w:rPr>
          <w:i/>
          <w:iCs/>
        </w:rPr>
        <w:t>.</w:t>
      </w:r>
      <w:r w:rsidRPr="007A04BF">
        <w:t xml:space="preserve">  </w:t>
      </w:r>
    </w:p>
  </w:footnote>
  <w:footnote w:id="84">
    <w:p w:rsidR="00066DD7" w:rsidRPr="007A04BF" w14:paraId="0AB8BFF9" w14:textId="6B332C65">
      <w:pPr>
        <w:pStyle w:val="FootnoteText"/>
      </w:pPr>
      <w:r w:rsidRPr="007A04BF">
        <w:rPr>
          <w:rStyle w:val="FootnoteReference"/>
        </w:rPr>
        <w:footnoteRef/>
      </w:r>
      <w:r w:rsidRPr="007A04BF">
        <w:t xml:space="preserve"> Any disagreement a marketer has with a manufacturer is a private matter between those two entities.</w:t>
      </w:r>
    </w:p>
  </w:footnote>
  <w:footnote w:id="85">
    <w:p w:rsidR="0051167E" w:rsidRPr="007A04BF" w14:paraId="470377BC" w14:textId="328856A5">
      <w:pPr>
        <w:pStyle w:val="FootnoteText"/>
      </w:pPr>
      <w:r w:rsidRPr="007A04BF">
        <w:rPr>
          <w:rStyle w:val="FootnoteReference"/>
        </w:rPr>
        <w:footnoteRef/>
      </w:r>
      <w:r w:rsidRPr="007A04BF">
        <w:t xml:space="preserve"> </w:t>
      </w:r>
      <w:r w:rsidRPr="007A04BF">
        <w:rPr>
          <w:i/>
          <w:iCs/>
        </w:rPr>
        <w:t xml:space="preserve">See </w:t>
      </w:r>
      <w:r w:rsidRPr="007A04BF" w:rsidR="00545C04">
        <w:rPr>
          <w:i/>
          <w:iCs/>
        </w:rPr>
        <w:t xml:space="preserve">supra </w:t>
      </w:r>
      <w:r w:rsidR="0015487D">
        <w:t>para. 17</w:t>
      </w:r>
      <w:r w:rsidR="00135AAE">
        <w:t xml:space="preserve">, </w:t>
      </w:r>
      <w:r w:rsidRPr="007A04BF" w:rsidR="00545C04">
        <w:t>notes</w:t>
      </w:r>
      <w:r w:rsidRPr="007A04BF" w:rsidR="00181501">
        <w:t xml:space="preserve"> </w:t>
      </w:r>
      <w:r w:rsidRPr="007A04BF" w:rsidR="00181501">
        <w:fldChar w:fldCharType="begin"/>
      </w:r>
      <w:r w:rsidRPr="007A04BF" w:rsidR="00181501">
        <w:instrText xml:space="preserve"> NOTEREF _Ref99378886 \h </w:instrText>
      </w:r>
      <w:r w:rsidR="007A04BF">
        <w:instrText xml:space="preserve"> \* MERGEFORMAT </w:instrText>
      </w:r>
      <w:r w:rsidRPr="007A04BF" w:rsidR="00181501">
        <w:fldChar w:fldCharType="separate"/>
      </w:r>
      <w:r w:rsidR="001A0982">
        <w:t>65</w:t>
      </w:r>
      <w:r w:rsidRPr="007A04BF" w:rsidR="00181501">
        <w:fldChar w:fldCharType="end"/>
      </w:r>
      <w:r w:rsidRPr="007A04BF" w:rsidR="00181501">
        <w:t xml:space="preserve"> and </w:t>
      </w:r>
      <w:r w:rsidRPr="007A04BF" w:rsidR="00181501">
        <w:fldChar w:fldCharType="begin"/>
      </w:r>
      <w:r w:rsidRPr="007A04BF" w:rsidR="00181501">
        <w:instrText xml:space="preserve"> NOTEREF _Ref101258972 \h </w:instrText>
      </w:r>
      <w:r w:rsidR="007A04BF">
        <w:instrText xml:space="preserve"> \* MERGEFORMAT </w:instrText>
      </w:r>
      <w:r w:rsidRPr="007A04BF" w:rsidR="00181501">
        <w:fldChar w:fldCharType="separate"/>
      </w:r>
      <w:r w:rsidR="001A0982">
        <w:t>66</w:t>
      </w:r>
      <w:r w:rsidRPr="007A04BF" w:rsidR="00181501">
        <w:fldChar w:fldCharType="end"/>
      </w:r>
      <w:r w:rsidRPr="007A04BF" w:rsidR="00545C04">
        <w:t>.</w:t>
      </w:r>
    </w:p>
  </w:footnote>
  <w:footnote w:id="86">
    <w:p w:rsidR="00066DD7" w:rsidRPr="007A04BF" w:rsidP="009868D6" w14:paraId="3700E47B" w14:textId="0D156C61">
      <w:pPr>
        <w:pStyle w:val="FootnoteText"/>
      </w:pPr>
      <w:r w:rsidRPr="007A04BF">
        <w:rPr>
          <w:rStyle w:val="FootnoteReference"/>
        </w:rPr>
        <w:footnoteRef/>
      </w:r>
      <w:r w:rsidRPr="007A04BF">
        <w:t xml:space="preserve"> 47 CFR § 1.80(b); </w:t>
      </w:r>
      <w:r w:rsidRPr="007A04BF">
        <w:rPr>
          <w:i/>
        </w:rPr>
        <w:t>see, e.g.</w:t>
      </w:r>
      <w:r w:rsidRPr="007A04BF">
        <w:t xml:space="preserve">, </w:t>
      </w:r>
      <w:r w:rsidRPr="007A04BF">
        <w:rPr>
          <w:i/>
        </w:rPr>
        <w:t>Behringer</w:t>
      </w:r>
      <w:r w:rsidRPr="007A04BF">
        <w:t xml:space="preserve">, 21 FCC </w:t>
      </w:r>
      <w:r w:rsidRPr="007A04BF">
        <w:t>Rcd</w:t>
      </w:r>
      <w:r w:rsidRPr="007A04BF">
        <w:t xml:space="preserve"> </w:t>
      </w:r>
      <w:r w:rsidR="007F7744">
        <w:t xml:space="preserve">at </w:t>
      </w:r>
      <w:r w:rsidR="009D2667">
        <w:t>1826, para. 19</w:t>
      </w:r>
      <w:r w:rsidRPr="007A04BF">
        <w:t>.</w:t>
      </w:r>
    </w:p>
  </w:footnote>
  <w:footnote w:id="87">
    <w:p w:rsidR="00066DD7" w:rsidRPr="007A04BF" w:rsidP="009868D6" w14:paraId="435C075A" w14:textId="36E77CF2">
      <w:pPr>
        <w:pStyle w:val="FootnoteText"/>
      </w:pPr>
      <w:r w:rsidRPr="007A04BF">
        <w:rPr>
          <w:rStyle w:val="FootnoteReference"/>
        </w:rPr>
        <w:footnoteRef/>
      </w:r>
      <w:r w:rsidRPr="007A04BF">
        <w:t xml:space="preserve"> </w:t>
      </w:r>
      <w:r w:rsidRPr="007A04BF">
        <w:rPr>
          <w:lang w:val="es-ES"/>
        </w:rPr>
        <w:t xml:space="preserve">47 U.S.C. § 503(b)(2)(E); </w:t>
      </w:r>
      <w:r w:rsidRPr="007A04BF">
        <w:t>47 CFR § 1.80(b)(</w:t>
      </w:r>
      <w:r w:rsidR="00F27364">
        <w:t>10</w:t>
      </w:r>
      <w:r w:rsidRPr="007A04BF">
        <w:t>), Note to paragraph (b)(</w:t>
      </w:r>
      <w:r w:rsidR="00F27364">
        <w:t>10</w:t>
      </w:r>
      <w:r w:rsidRPr="007A04BF">
        <w:t xml:space="preserve">); </w:t>
      </w:r>
      <w:r w:rsidRPr="007A04BF">
        <w:rPr>
          <w:i/>
        </w:rPr>
        <w:t>see also</w:t>
      </w:r>
      <w:r w:rsidRPr="007A04BF">
        <w:t xml:space="preserve"> </w:t>
      </w:r>
      <w:r w:rsidRPr="007A04BF">
        <w:rPr>
          <w:i/>
        </w:rPr>
        <w:t>Forfeiture Policy Statement</w:t>
      </w:r>
      <w:r w:rsidRPr="007A04BF">
        <w:rPr>
          <w:iCs/>
        </w:rPr>
        <w:t xml:space="preserve">, 12 FCC </w:t>
      </w:r>
      <w:r w:rsidRPr="007A04BF">
        <w:rPr>
          <w:iCs/>
        </w:rPr>
        <w:t>Rcd</w:t>
      </w:r>
      <w:r w:rsidRPr="007A04BF">
        <w:rPr>
          <w:iCs/>
        </w:rPr>
        <w:t xml:space="preserve"> at 17100, para. 27</w:t>
      </w:r>
      <w:r w:rsidRPr="007A04BF">
        <w:t xml:space="preserve">.  </w:t>
      </w:r>
    </w:p>
  </w:footnote>
  <w:footnote w:id="88">
    <w:p w:rsidR="00066DD7" w:rsidRPr="007A04BF" w:rsidP="009868D6" w14:paraId="3C92CDFB" w14:textId="0D349511">
      <w:pPr>
        <w:pStyle w:val="FootnoteText"/>
      </w:pPr>
      <w:r w:rsidRPr="007A04BF">
        <w:rPr>
          <w:rStyle w:val="FootnoteReference"/>
        </w:rPr>
        <w:footnoteRef/>
      </w:r>
      <w:r w:rsidRPr="007A04BF">
        <w:t xml:space="preserve"> </w:t>
      </w:r>
      <w:r w:rsidRPr="007A04BF">
        <w:rPr>
          <w:i/>
          <w:iCs/>
        </w:rPr>
        <w:t xml:space="preserve">See </w:t>
      </w:r>
      <w:r w:rsidRPr="007A04BF">
        <w:rPr>
          <w:i/>
        </w:rPr>
        <w:t>NAL</w:t>
      </w:r>
      <w:r w:rsidRPr="007A04BF">
        <w:t xml:space="preserve">, 35 FCC </w:t>
      </w:r>
      <w:r w:rsidRPr="007A04BF">
        <w:t>Rcd</w:t>
      </w:r>
      <w:r w:rsidRPr="007A04BF">
        <w:t xml:space="preserve"> at 3485, para. 21. </w:t>
      </w:r>
    </w:p>
  </w:footnote>
  <w:footnote w:id="89">
    <w:p w:rsidR="00066DD7" w:rsidRPr="007A04BF" w:rsidP="003B0CDF" w14:paraId="472DD9BF" w14:textId="77777777">
      <w:pPr>
        <w:pStyle w:val="FootnoteText"/>
      </w:pPr>
      <w:r w:rsidRPr="007A04BF">
        <w:rPr>
          <w:rStyle w:val="FootnoteReference"/>
        </w:rPr>
        <w:footnoteRef/>
      </w:r>
      <w:r w:rsidRPr="007A04BF">
        <w:t xml:space="preserve"> </w:t>
      </w:r>
      <w:r w:rsidRPr="007A04BF">
        <w:rPr>
          <w:i/>
        </w:rPr>
        <w:t xml:space="preserve">See </w:t>
      </w:r>
      <w:r w:rsidRPr="007A04BF">
        <w:rPr>
          <w:i/>
          <w:iCs/>
        </w:rPr>
        <w:t>Marketing Citation</w:t>
      </w:r>
      <w:r w:rsidRPr="007A04BF">
        <w:t xml:space="preserve">, 26 FCC </w:t>
      </w:r>
      <w:r w:rsidRPr="007A04BF">
        <w:t>Rcd</w:t>
      </w:r>
      <w:r w:rsidRPr="007A04BF">
        <w:t xml:space="preserve"> at 9475-76, paras. 3-6 (Sound Around’s noncompliant marketing goes back to at least 2009).  </w:t>
      </w:r>
    </w:p>
  </w:footnote>
  <w:footnote w:id="90">
    <w:p w:rsidR="00066DD7" w:rsidRPr="007A04BF" w:rsidP="009442C5" w14:paraId="67889F87" w14:textId="7E1B2846">
      <w:pPr>
        <w:pStyle w:val="FootnoteText"/>
      </w:pPr>
      <w:r w:rsidRPr="007A04BF">
        <w:rPr>
          <w:rStyle w:val="FootnoteReference"/>
        </w:rPr>
        <w:footnoteRef/>
      </w:r>
      <w:r w:rsidRPr="007A04BF">
        <w:t xml:space="preserve"> </w:t>
      </w:r>
      <w:r w:rsidRPr="007A04BF">
        <w:rPr>
          <w:i/>
          <w:iCs/>
        </w:rPr>
        <w:t>NAL</w:t>
      </w:r>
      <w:r w:rsidRPr="007A04BF">
        <w:t xml:space="preserve">, 35 FCC </w:t>
      </w:r>
      <w:r w:rsidRPr="007A04BF">
        <w:t>Rcd</w:t>
      </w:r>
      <w:r w:rsidRPr="007A04BF">
        <w:t xml:space="preserve"> at 3485-85, para. 22. </w:t>
      </w:r>
      <w:r w:rsidRPr="007A04BF">
        <w:rPr>
          <w:i/>
          <w:iCs/>
        </w:rPr>
        <w:t xml:space="preserve"> </w:t>
      </w:r>
    </w:p>
  </w:footnote>
  <w:footnote w:id="91">
    <w:p w:rsidR="00066DD7" w:rsidRPr="007A04BF" w:rsidP="009442C5" w14:paraId="33B77FAA" w14:textId="35477422">
      <w:pPr>
        <w:pStyle w:val="FootnoteText"/>
      </w:pPr>
      <w:r w:rsidRPr="007A04BF">
        <w:rPr>
          <w:rStyle w:val="FootnoteReference"/>
        </w:rPr>
        <w:footnoteRef/>
      </w:r>
      <w:r w:rsidRPr="007A04BF">
        <w:t xml:space="preserve"> </w:t>
      </w:r>
      <w:r w:rsidRPr="007A04BF">
        <w:rPr>
          <w:i/>
        </w:rPr>
        <w:t>NAL</w:t>
      </w:r>
      <w:r w:rsidRPr="007A04BF">
        <w:t xml:space="preserve">, 35 FCC </w:t>
      </w:r>
      <w:r w:rsidRPr="007A04BF">
        <w:t>Rcd</w:t>
      </w:r>
      <w:r w:rsidRPr="007A04BF">
        <w:t xml:space="preserve"> at 3486, para. 23.  </w:t>
      </w:r>
    </w:p>
  </w:footnote>
  <w:footnote w:id="92">
    <w:p w:rsidR="00066DD7" w:rsidRPr="007A04BF" w14:paraId="21BF5429" w14:textId="432035ED">
      <w:pPr>
        <w:pStyle w:val="FootnoteText"/>
        <w:rPr>
          <w:i/>
          <w:iCs/>
        </w:rPr>
      </w:pPr>
      <w:r w:rsidRPr="007A04BF">
        <w:rPr>
          <w:rStyle w:val="FootnoteReference"/>
        </w:rPr>
        <w:footnoteRef/>
      </w:r>
      <w:r w:rsidRPr="007A04BF">
        <w:t xml:space="preserve"> </w:t>
      </w:r>
      <w:r w:rsidRPr="007A04BF">
        <w:rPr>
          <w:i/>
          <w:iCs/>
        </w:rPr>
        <w:t>See id.</w:t>
      </w:r>
      <w:r w:rsidRPr="007A04BF">
        <w:t xml:space="preserve">; </w:t>
      </w:r>
      <w:r w:rsidRPr="007A04BF">
        <w:rPr>
          <w:i/>
          <w:iCs/>
        </w:rPr>
        <w:t xml:space="preserve">see also </w:t>
      </w:r>
      <w:r w:rsidRPr="007A04BF">
        <w:t>2019 LOI Response at Exh</w:t>
      </w:r>
      <w:r w:rsidRPr="007A04BF" w:rsidR="003B3A06">
        <w:t>ibit</w:t>
      </w:r>
      <w:r w:rsidRPr="007A04BF">
        <w:t xml:space="preserve"> A (Sound Around states that microphone models PDWM94 and PDWM96 operate on the frequencies 117.5/114.5 MHz); 47 CFR §§ 2.106, 87.173 (frequencies 108-117.975 MHz are set aside for aviation-related uses). </w:t>
      </w:r>
    </w:p>
  </w:footnote>
  <w:footnote w:id="93">
    <w:p w:rsidR="00066DD7" w:rsidRPr="007A04BF" w:rsidP="00EA7046" w14:paraId="2A80E1C1" w14:textId="27FED960">
      <w:pPr>
        <w:pStyle w:val="FootnoteText"/>
        <w:rPr>
          <w:i/>
          <w:iCs/>
        </w:rPr>
      </w:pPr>
      <w:r w:rsidRPr="007A04BF">
        <w:rPr>
          <w:rStyle w:val="FootnoteReference"/>
        </w:rPr>
        <w:footnoteRef/>
      </w:r>
      <w:r w:rsidRPr="007A04BF">
        <w:t xml:space="preserve"> </w:t>
      </w:r>
      <w:r w:rsidRPr="007A04BF">
        <w:rPr>
          <w:i/>
          <w:iCs/>
        </w:rPr>
        <w:t xml:space="preserve">See </w:t>
      </w:r>
      <w:r w:rsidRPr="007A04BF">
        <w:t>NAL Response at 12.</w:t>
      </w:r>
    </w:p>
  </w:footnote>
  <w:footnote w:id="94">
    <w:p w:rsidR="00066DD7" w:rsidRPr="007A04BF" w:rsidP="00564B5E" w14:paraId="78081DC9" w14:textId="7269A0F2">
      <w:pPr>
        <w:pStyle w:val="FootnoteText"/>
      </w:pPr>
      <w:r w:rsidRPr="007A04BF">
        <w:rPr>
          <w:rStyle w:val="FootnoteReference"/>
        </w:rPr>
        <w:footnoteRef/>
      </w:r>
      <w:r w:rsidRPr="007A04BF">
        <w:t xml:space="preserve"> </w:t>
      </w:r>
      <w:r w:rsidRPr="007A04BF">
        <w:rPr>
          <w:i/>
          <w:iCs/>
        </w:rPr>
        <w:t>See</w:t>
      </w:r>
      <w:r w:rsidRPr="007A04BF">
        <w:rPr>
          <w:i/>
        </w:rPr>
        <w:t xml:space="preserve"> NAL</w:t>
      </w:r>
      <w:r w:rsidRPr="007A04BF">
        <w:t xml:space="preserve">, 35 FCC </w:t>
      </w:r>
      <w:r w:rsidRPr="007A04BF">
        <w:t>Rcd</w:t>
      </w:r>
      <w:r w:rsidRPr="007A04BF">
        <w:t xml:space="preserve"> at 3485-87, paras. 20-24</w:t>
      </w:r>
      <w:r w:rsidRPr="007A04BF">
        <w:rPr>
          <w:iCs/>
        </w:rPr>
        <w:t>.</w:t>
      </w:r>
    </w:p>
  </w:footnote>
  <w:footnote w:id="95">
    <w:p w:rsidR="00066DD7" w:rsidRPr="007A04BF" w14:paraId="1990A076" w14:textId="1011D2BC">
      <w:pPr>
        <w:pStyle w:val="FootnoteText"/>
      </w:pPr>
      <w:r w:rsidRPr="007A04BF">
        <w:rPr>
          <w:rStyle w:val="FootnoteReference"/>
        </w:rPr>
        <w:footnoteRef/>
      </w:r>
      <w:r w:rsidRPr="007A04BF">
        <w:t xml:space="preserve"> 47 U.S.C. § 503(b)(5).  A citation is not required where the entity is engaging in activities for which a Commission authorization is required and certain other scenarios, which are not applicable here.  </w:t>
      </w:r>
      <w:r w:rsidRPr="007A04BF">
        <w:rPr>
          <w:i/>
          <w:iCs/>
        </w:rPr>
        <w:t>See id.</w:t>
      </w:r>
    </w:p>
  </w:footnote>
  <w:footnote w:id="96">
    <w:p w:rsidR="00066DD7" w:rsidRPr="007A04BF" w:rsidP="00991B82" w14:paraId="0D4E969B" w14:textId="77777777">
      <w:pPr>
        <w:pStyle w:val="FootnoteText"/>
      </w:pPr>
      <w:r w:rsidRPr="007A04BF">
        <w:rPr>
          <w:rStyle w:val="FootnoteReference"/>
        </w:rPr>
        <w:footnoteRef/>
      </w:r>
      <w:r w:rsidRPr="007A04BF">
        <w:t xml:space="preserve"> </w:t>
      </w:r>
      <w:r w:rsidRPr="007A04BF">
        <w:rPr>
          <w:i/>
          <w:iCs/>
        </w:rPr>
        <w:t>See</w:t>
      </w:r>
      <w:r w:rsidRPr="007A04BF">
        <w:t xml:space="preserve"> 47 U.S.C. § 503(b)(5).  </w:t>
      </w:r>
    </w:p>
  </w:footnote>
  <w:footnote w:id="97">
    <w:p w:rsidR="00066DD7" w:rsidRPr="007A04BF" w:rsidP="00991B82" w14:paraId="1AF47D2C" w14:textId="77777777">
      <w:pPr>
        <w:pStyle w:val="FootnoteText"/>
      </w:pPr>
      <w:r w:rsidRPr="007A04BF">
        <w:rPr>
          <w:rStyle w:val="FootnoteReference"/>
        </w:rPr>
        <w:footnoteRef/>
      </w:r>
      <w:r w:rsidRPr="007A04BF">
        <w:t xml:space="preserve"> </w:t>
      </w:r>
      <w:r w:rsidRPr="007A04BF">
        <w:rPr>
          <w:i/>
          <w:iCs/>
        </w:rPr>
        <w:t>See Marketing Citation</w:t>
      </w:r>
      <w:r w:rsidRPr="007A04BF">
        <w:t xml:space="preserve">.  </w:t>
      </w:r>
    </w:p>
  </w:footnote>
  <w:footnote w:id="98">
    <w:p w:rsidR="00066DD7" w:rsidRPr="007A04BF" w:rsidP="00991B82" w14:paraId="3072B1B0" w14:textId="77777777">
      <w:pPr>
        <w:pStyle w:val="FootnoteText"/>
      </w:pPr>
      <w:r w:rsidRPr="007A04BF">
        <w:rPr>
          <w:rStyle w:val="FootnoteReference"/>
        </w:rPr>
        <w:footnoteRef/>
      </w:r>
      <w:r w:rsidRPr="007A04BF">
        <w:t xml:space="preserve"> </w:t>
      </w:r>
      <w:r w:rsidRPr="007A04BF">
        <w:rPr>
          <w:i/>
          <w:iCs/>
        </w:rPr>
        <w:t>See</w:t>
      </w:r>
      <w:r w:rsidRPr="007A04BF">
        <w:t xml:space="preserve"> NAL Response at 11.</w:t>
      </w:r>
    </w:p>
  </w:footnote>
  <w:footnote w:id="99">
    <w:p w:rsidR="00066DD7" w:rsidRPr="007A04BF" w:rsidP="00991B82" w14:paraId="3B178953" w14:textId="77777777">
      <w:pPr>
        <w:pStyle w:val="FootnoteText"/>
        <w:rPr>
          <w:i/>
          <w:iCs/>
        </w:rPr>
      </w:pPr>
      <w:r w:rsidRPr="007A04BF">
        <w:rPr>
          <w:rStyle w:val="FootnoteReference"/>
        </w:rPr>
        <w:footnoteRef/>
      </w:r>
      <w:r w:rsidRPr="007A04BF">
        <w:t xml:space="preserve"> </w:t>
      </w:r>
      <w:r w:rsidRPr="007A04BF">
        <w:rPr>
          <w:i/>
          <w:iCs/>
        </w:rPr>
        <w:t>See id.</w:t>
      </w:r>
    </w:p>
  </w:footnote>
  <w:footnote w:id="100">
    <w:p w:rsidR="00066DD7" w:rsidRPr="007A04BF" w:rsidP="00991B82" w14:paraId="10FC0D92" w14:textId="77777777">
      <w:pPr>
        <w:pStyle w:val="FootnoteText"/>
      </w:pPr>
      <w:r w:rsidRPr="007A04BF">
        <w:rPr>
          <w:rStyle w:val="FootnoteReference"/>
        </w:rPr>
        <w:footnoteRef/>
      </w:r>
      <w:r w:rsidRPr="007A04BF">
        <w:t xml:space="preserve"> </w:t>
      </w:r>
      <w:r w:rsidRPr="007A04BF">
        <w:rPr>
          <w:i/>
          <w:iCs/>
        </w:rPr>
        <w:t>See id</w:t>
      </w:r>
      <w:r w:rsidRPr="007A04BF">
        <w:t>.</w:t>
      </w:r>
    </w:p>
  </w:footnote>
  <w:footnote w:id="101">
    <w:p w:rsidR="00066DD7" w:rsidRPr="007A04BF" w14:paraId="005AD231" w14:textId="5474D23E">
      <w:pPr>
        <w:pStyle w:val="FootnoteText"/>
      </w:pPr>
      <w:r w:rsidRPr="007A04BF">
        <w:rPr>
          <w:rStyle w:val="FootnoteReference"/>
        </w:rPr>
        <w:footnoteRef/>
      </w:r>
      <w:r w:rsidRPr="007A04BF">
        <w:t xml:space="preserve"> 47 U.S.C. § 503(b)(5).</w:t>
      </w:r>
    </w:p>
  </w:footnote>
  <w:footnote w:id="102">
    <w:p w:rsidR="00066DD7" w:rsidRPr="007A04BF" w14:paraId="7CFF7C75" w14:textId="3D8D4898">
      <w:pPr>
        <w:pStyle w:val="FootnoteText"/>
      </w:pPr>
      <w:r w:rsidRPr="007A04BF">
        <w:rPr>
          <w:rStyle w:val="FootnoteReference"/>
        </w:rPr>
        <w:footnoteRef/>
      </w:r>
      <w:r w:rsidRPr="007A04BF">
        <w:t xml:space="preserve"> </w:t>
      </w:r>
      <w:r w:rsidRPr="007A04BF">
        <w:rPr>
          <w:i/>
          <w:iCs/>
        </w:rPr>
        <w:t>See</w:t>
      </w:r>
      <w:r w:rsidRPr="007A04BF">
        <w:t xml:space="preserve"> 47 CFR 1.80(d) (second citation not required where the violator “[s]</w:t>
      </w:r>
      <w:r w:rsidRPr="007A04BF">
        <w:t>ubsequently</w:t>
      </w:r>
      <w:r w:rsidRPr="007A04BF">
        <w:t xml:space="preserve"> engages in conduct of the type described in the [prior] citation”).</w:t>
      </w:r>
    </w:p>
  </w:footnote>
  <w:footnote w:id="103">
    <w:p w:rsidR="00066DD7" w:rsidRPr="007A04BF" w:rsidP="00991B82" w14:paraId="3915FC62" w14:textId="5E35339D">
      <w:pPr>
        <w:pStyle w:val="FootnoteText"/>
      </w:pPr>
      <w:r w:rsidRPr="007A04BF">
        <w:rPr>
          <w:rStyle w:val="FootnoteReference"/>
        </w:rPr>
        <w:footnoteRef/>
      </w:r>
      <w:r w:rsidRPr="007A04BF">
        <w:t xml:space="preserve"> 47 U.S.C. § 302</w:t>
      </w:r>
      <w:r w:rsidR="00BF2DB8">
        <w:t>a</w:t>
      </w:r>
      <w:r w:rsidRPr="007A04BF">
        <w:t>(b); 47 CFR §§ 2.803, 15.205(a).</w:t>
      </w:r>
    </w:p>
  </w:footnote>
  <w:footnote w:id="104">
    <w:p w:rsidR="00066DD7" w:rsidRPr="007A04BF" w:rsidP="00991B82" w14:paraId="1B8002B6" w14:textId="77777777">
      <w:pPr>
        <w:pStyle w:val="FootnoteText"/>
      </w:pPr>
      <w:r w:rsidRPr="007A04BF">
        <w:rPr>
          <w:rStyle w:val="FootnoteReference"/>
        </w:rPr>
        <w:footnoteRef/>
      </w:r>
      <w:r w:rsidRPr="007A04BF">
        <w:t xml:space="preserve"> 47 CFR § 74.851(g).</w:t>
      </w:r>
    </w:p>
  </w:footnote>
  <w:footnote w:id="105">
    <w:p w:rsidR="00066DD7" w:rsidRPr="007A04BF" w:rsidP="00991B82" w14:paraId="18F4C20F" w14:textId="2F5E5E49">
      <w:pPr>
        <w:pStyle w:val="FootnoteText"/>
      </w:pPr>
      <w:r w:rsidRPr="007A04BF">
        <w:rPr>
          <w:rStyle w:val="FootnoteReference"/>
        </w:rPr>
        <w:footnoteRef/>
      </w:r>
      <w:r w:rsidRPr="007A04BF">
        <w:t xml:space="preserve"> 47 U.S.C. § 302</w:t>
      </w:r>
      <w:r w:rsidRPr="007A04BF" w:rsidR="00851921">
        <w:t>a</w:t>
      </w:r>
      <w:r w:rsidRPr="007A04BF">
        <w:t>.</w:t>
      </w:r>
    </w:p>
  </w:footnote>
  <w:footnote w:id="106">
    <w:p w:rsidR="00066DD7" w:rsidRPr="007A04BF" w:rsidP="00991B82" w14:paraId="00C566EF" w14:textId="77777777">
      <w:pPr>
        <w:pStyle w:val="FootnoteText"/>
      </w:pPr>
      <w:r w:rsidRPr="007A04BF">
        <w:rPr>
          <w:rStyle w:val="FootnoteReference"/>
        </w:rPr>
        <w:footnoteRef/>
      </w:r>
      <w:r w:rsidRPr="007A04BF">
        <w:t xml:space="preserve"> 47 CFR §§ 2.803, 74.851.</w:t>
      </w:r>
    </w:p>
  </w:footnote>
  <w:footnote w:id="107">
    <w:p w:rsidR="00066DD7" w:rsidRPr="007A04BF" w:rsidP="00991B82" w14:paraId="300A9C1E" w14:textId="76BBD3BA">
      <w:pPr>
        <w:pStyle w:val="FootnoteText"/>
      </w:pPr>
      <w:r w:rsidRPr="007A04BF">
        <w:rPr>
          <w:rStyle w:val="FootnoteReference"/>
        </w:rPr>
        <w:footnoteRef/>
      </w:r>
      <w:r w:rsidRPr="007A04BF">
        <w:rPr>
          <w:i/>
        </w:rPr>
        <w:t xml:space="preserve"> NAL</w:t>
      </w:r>
      <w:r w:rsidRPr="007A04BF">
        <w:t xml:space="preserve">, 35 FCC </w:t>
      </w:r>
      <w:r w:rsidRPr="007A04BF">
        <w:t>Rcd</w:t>
      </w:r>
      <w:r w:rsidRPr="007A04BF">
        <w:t xml:space="preserve"> at 3482, para. 13. </w:t>
      </w:r>
    </w:p>
  </w:footnote>
  <w:footnote w:id="108">
    <w:p w:rsidR="00066DD7" w:rsidRPr="007A04BF" w:rsidP="00991B82" w14:paraId="2213F4B5" w14:textId="1F7C54BE">
      <w:pPr>
        <w:pStyle w:val="FootnoteText"/>
      </w:pPr>
      <w:r w:rsidRPr="007A04BF">
        <w:rPr>
          <w:rStyle w:val="FootnoteReference"/>
        </w:rPr>
        <w:footnoteRef/>
      </w:r>
      <w:r w:rsidRPr="007A04BF">
        <w:t xml:space="preserve"> </w:t>
      </w:r>
      <w:r w:rsidRPr="007A04BF">
        <w:rPr>
          <w:i/>
          <w:iCs/>
        </w:rPr>
        <w:t>See Radar Sols., Ltd. v. FCC</w:t>
      </w:r>
      <w:r w:rsidRPr="007A04BF">
        <w:t xml:space="preserve">, 628 F. Supp. 2d 714, 730-31 (W.D. Tex. 2009), </w:t>
      </w:r>
      <w:r w:rsidRPr="007A04BF">
        <w:rPr>
          <w:i/>
          <w:iCs/>
        </w:rPr>
        <w:t xml:space="preserve">aff'd sub nom. </w:t>
      </w:r>
      <w:r w:rsidRPr="007A04BF">
        <w:t xml:space="preserve">368 F. </w:t>
      </w:r>
      <w:r w:rsidRPr="007A04BF">
        <w:t>App’x</w:t>
      </w:r>
      <w:r w:rsidRPr="007A04BF">
        <w:t xml:space="preserve"> 480 (5th Cir. 2010) (</w:t>
      </w:r>
      <w:r w:rsidRPr="007A04BF">
        <w:rPr>
          <w:i/>
          <w:iCs/>
        </w:rPr>
        <w:t>Radar Sols</w:t>
      </w:r>
      <w:r w:rsidRPr="007A04BF">
        <w:t>) (The court rejected an argument that the FCC should have issued a new citation prior to issuing the challenged Notice of Apparent Liability for Forfeiture (NAL) where the FCC had already sent a citation for marketing an “allegedly similar device” and the citation had broadly warned that the device in the citation “ ‘and any other similar device’ acting as an ‘intentional radiator’ was in violation of FCC rules and regulations.”  Because the target was previously warned about marketing a device, the subsequent marketing of a similar device was “conduct of the type in the citation,” and the NAL was allowed under section 503(b)(5) of the Communications Act.  The court found that, “[t]he principle animating these rules, as Plaintiff itself argues, is that the FCC must provide notice of potentially unlawful behavior before it may issue an NAL.”).</w:t>
      </w:r>
    </w:p>
  </w:footnote>
  <w:footnote w:id="109">
    <w:p w:rsidR="001E4835" w:rsidRPr="007A04BF" w14:paraId="6CCCF29D" w14:textId="3E609624">
      <w:pPr>
        <w:pStyle w:val="FootnoteText"/>
      </w:pPr>
      <w:r w:rsidRPr="007A04BF">
        <w:rPr>
          <w:rStyle w:val="FootnoteReference"/>
        </w:rPr>
        <w:footnoteRef/>
      </w:r>
      <w:r w:rsidRPr="007A04BF">
        <w:t xml:space="preserve"> </w:t>
      </w:r>
      <w:r w:rsidRPr="007A04BF">
        <w:rPr>
          <w:i/>
          <w:iCs/>
        </w:rPr>
        <w:t>See id</w:t>
      </w:r>
      <w:r w:rsidRPr="007A04BF">
        <w:t>.</w:t>
      </w:r>
      <w:r w:rsidRPr="007A04BF" w:rsidR="0040151C">
        <w:t xml:space="preserve">; </w:t>
      </w:r>
      <w:r w:rsidRPr="007A04BF" w:rsidR="0040151C">
        <w:rPr>
          <w:i/>
          <w:iCs/>
        </w:rPr>
        <w:t xml:space="preserve">see also </w:t>
      </w:r>
      <w:r w:rsidRPr="007A04BF" w:rsidR="0040151C">
        <w:rPr>
          <w:rStyle w:val="Emphasis"/>
          <w:bdr w:val="none" w:sz="0" w:space="0" w:color="auto" w:frame="1"/>
          <w:shd w:val="clear" w:color="auto" w:fill="FFFFFF"/>
        </w:rPr>
        <w:t>HobbyKing</w:t>
      </w:r>
      <w:r w:rsidRPr="007A04BF" w:rsidR="0040151C">
        <w:rPr>
          <w:bdr w:val="none" w:sz="0" w:space="0" w:color="auto" w:frame="1"/>
          <w:shd w:val="clear" w:color="auto" w:fill="FFFFFF"/>
        </w:rPr>
        <w:t xml:space="preserve">, Forfeiture Order, 35 FCC </w:t>
      </w:r>
      <w:r w:rsidRPr="007A04BF" w:rsidR="0040151C">
        <w:rPr>
          <w:bdr w:val="none" w:sz="0" w:space="0" w:color="auto" w:frame="1"/>
          <w:shd w:val="clear" w:color="auto" w:fill="FFFFFF"/>
        </w:rPr>
        <w:t>Rcd</w:t>
      </w:r>
      <w:r w:rsidRPr="007A04BF" w:rsidR="0040151C">
        <w:rPr>
          <w:bdr w:val="none" w:sz="0" w:space="0" w:color="auto" w:frame="1"/>
          <w:shd w:val="clear" w:color="auto" w:fill="FFFFFF"/>
        </w:rPr>
        <w:t xml:space="preserve"> </w:t>
      </w:r>
      <w:r w:rsidR="009D2667">
        <w:rPr>
          <w:bdr w:val="none" w:sz="0" w:space="0" w:color="auto" w:frame="1"/>
          <w:shd w:val="clear" w:color="auto" w:fill="FFFFFF"/>
        </w:rPr>
        <w:t>at</w:t>
      </w:r>
      <w:r w:rsidRPr="007A04BF" w:rsidR="0040151C">
        <w:rPr>
          <w:bdr w:val="none" w:sz="0" w:space="0" w:color="auto" w:frame="1"/>
          <w:shd w:val="clear" w:color="auto" w:fill="FFFFFF"/>
        </w:rPr>
        <w:t xml:space="preserve"> 7447-49, paras. 17-21 (prior citation for marketing drone accessories supported subsequent Notice of Apparent Liability for marketing other, similar drone</w:t>
      </w:r>
      <w:r w:rsidRPr="007A04BF" w:rsidR="0040151C">
        <w:t xml:space="preserve"> accessories).</w:t>
      </w:r>
    </w:p>
  </w:footnote>
  <w:footnote w:id="110">
    <w:p w:rsidR="00047840" w:rsidRPr="007A04BF" w14:paraId="15E935A4" w14:textId="0C1ED2F3">
      <w:pPr>
        <w:pStyle w:val="FootnoteText"/>
      </w:pPr>
      <w:r w:rsidRPr="007A04BF">
        <w:rPr>
          <w:rStyle w:val="FootnoteReference"/>
        </w:rPr>
        <w:footnoteRef/>
      </w:r>
      <w:r w:rsidRPr="007A04BF">
        <w:t xml:space="preserve"> </w:t>
      </w:r>
      <w:r w:rsidRPr="007A04BF" w:rsidR="00D61C4A">
        <w:t>47 U.S.C. § 503(b)(5)</w:t>
      </w:r>
      <w:r w:rsidRPr="007A04BF" w:rsidR="00C30C85">
        <w:t xml:space="preserve"> (providing that a notice of apparent liability may be </w:t>
      </w:r>
      <w:r w:rsidRPr="007A04BF" w:rsidR="006402F2">
        <w:t xml:space="preserve">issued </w:t>
      </w:r>
      <w:r w:rsidRPr="007A04BF" w:rsidR="00244E55">
        <w:t>if the person served with a citation “subsequently engages in conduct of the type described in such citation”)</w:t>
      </w:r>
      <w:r w:rsidR="00BD69EB">
        <w:t xml:space="preserve">; </w:t>
      </w:r>
      <w:r w:rsidRPr="00BD69EB" w:rsidR="00BD69EB">
        <w:t>47 CFR 1.80(d)</w:t>
      </w:r>
      <w:r w:rsidR="00BD69EB">
        <w:t xml:space="preserve"> (same).</w:t>
      </w:r>
    </w:p>
  </w:footnote>
  <w:footnote w:id="111">
    <w:p w:rsidR="001E4835" w:rsidRPr="007A04BF" w14:paraId="30DC69B8" w14:textId="59988979">
      <w:pPr>
        <w:pStyle w:val="FootnoteText"/>
      </w:pPr>
      <w:r w:rsidRPr="007A04BF">
        <w:rPr>
          <w:rStyle w:val="FootnoteReference"/>
        </w:rPr>
        <w:footnoteRef/>
      </w:r>
      <w:r w:rsidRPr="007A04BF">
        <w:t xml:space="preserve"> </w:t>
      </w:r>
      <w:r w:rsidRPr="007A04BF">
        <w:rPr>
          <w:i/>
          <w:iCs/>
        </w:rPr>
        <w:t>Compare</w:t>
      </w:r>
      <w:r w:rsidRPr="007A04BF">
        <w:t xml:space="preserve"> </w:t>
      </w:r>
      <w:r w:rsidRPr="007A04BF">
        <w:rPr>
          <w:i/>
          <w:iCs/>
        </w:rPr>
        <w:t>Marketing Citation</w:t>
      </w:r>
      <w:r w:rsidRPr="007A04BF">
        <w:t xml:space="preserve">, 26 FCC </w:t>
      </w:r>
      <w:r w:rsidRPr="007A04BF">
        <w:t>Rcd</w:t>
      </w:r>
      <w:r w:rsidRPr="007A04BF">
        <w:t xml:space="preserve"> at 9476</w:t>
      </w:r>
      <w:r w:rsidRPr="007A04BF" w:rsidR="0040151C">
        <w:t>-77</w:t>
      </w:r>
      <w:r w:rsidRPr="007A04BF">
        <w:t xml:space="preserve">, para. </w:t>
      </w:r>
      <w:r w:rsidRPr="007A04BF" w:rsidR="00FA3409">
        <w:t>7</w:t>
      </w:r>
      <w:r w:rsidRPr="007A04BF" w:rsidR="0040151C">
        <w:t>-10</w:t>
      </w:r>
      <w:r w:rsidRPr="007A04BF">
        <w:t xml:space="preserve"> (</w:t>
      </w:r>
      <w:r w:rsidRPr="007A04BF" w:rsidR="0040151C">
        <w:t>outlining equipment marketing rules and requirement for an authorization for wireless microphones</w:t>
      </w:r>
      <w:r w:rsidRPr="007A04BF">
        <w:t>)</w:t>
      </w:r>
      <w:r w:rsidRPr="007A04BF" w:rsidR="00FA3409">
        <w:t xml:space="preserve"> (footnotes omitted)</w:t>
      </w:r>
      <w:r w:rsidR="007A22E1">
        <w:t>,</w:t>
      </w:r>
      <w:r w:rsidRPr="007A04BF">
        <w:t xml:space="preserve"> </w:t>
      </w:r>
      <w:r w:rsidRPr="000F1FFC">
        <w:rPr>
          <w:i/>
          <w:iCs/>
        </w:rPr>
        <w:t>with</w:t>
      </w:r>
      <w:r w:rsidRPr="007A04BF">
        <w:t xml:space="preserve"> </w:t>
      </w:r>
      <w:r w:rsidRPr="007A04BF">
        <w:rPr>
          <w:i/>
        </w:rPr>
        <w:t>NAL</w:t>
      </w:r>
      <w:r w:rsidRPr="007A04BF">
        <w:t xml:space="preserve">, 35 FCC </w:t>
      </w:r>
      <w:r w:rsidRPr="007A04BF">
        <w:t>Rcd</w:t>
      </w:r>
      <w:r w:rsidRPr="007A04BF">
        <w:t xml:space="preserve"> at 34</w:t>
      </w:r>
      <w:r w:rsidRPr="007A04BF" w:rsidR="0040151C">
        <w:t>79</w:t>
      </w:r>
      <w:r w:rsidRPr="007A04BF">
        <w:t>, para. 3</w:t>
      </w:r>
      <w:r w:rsidRPr="007A04BF" w:rsidR="0040151C">
        <w:t xml:space="preserve"> (same).  </w:t>
      </w:r>
    </w:p>
  </w:footnote>
  <w:footnote w:id="112">
    <w:p w:rsidR="006F4D1F" w:rsidRPr="008B43D2" w:rsidP="006F4D1F" w14:paraId="1B504418" w14:textId="09C7E41F">
      <w:pPr>
        <w:pStyle w:val="FootnoteText"/>
      </w:pPr>
      <w:r w:rsidRPr="007A04BF">
        <w:rPr>
          <w:rStyle w:val="FootnoteReference"/>
        </w:rPr>
        <w:footnoteRef/>
      </w:r>
      <w:r w:rsidRPr="007A04BF">
        <w:t xml:space="preserve"> </w:t>
      </w:r>
      <w:r w:rsidRPr="007A04BF">
        <w:rPr>
          <w:i/>
          <w:iCs/>
        </w:rPr>
        <w:t>See Marketing Citation</w:t>
      </w:r>
      <w:r w:rsidRPr="007A04BF">
        <w:t xml:space="preserve">, 26 FCC </w:t>
      </w:r>
      <w:r w:rsidRPr="007A04BF">
        <w:t>Rcd</w:t>
      </w:r>
      <w:r w:rsidRPr="007A04BF">
        <w:t xml:space="preserve"> at 9477, para. 10 (“To the extent that Sound Around markets wireless microphones that operate outside the 700 MHz frequency band, such as in the core TV bands (channels 2-51, excluding channel 37), it should review the Commission Rules that apply to such devices.”) (footnote </w:t>
      </w:r>
      <w:r w:rsidRPr="008B43D2">
        <w:t>omitted).</w:t>
      </w:r>
      <w:r w:rsidRPr="008B43D2" w:rsidR="00E73647">
        <w:t xml:space="preserve">  The Enforcement Bureau warning to Sound Around about its other wireless microphones identified sections 15.216 and 74.802(e) of the Commission’s rules as example</w:t>
      </w:r>
      <w:r w:rsidRPr="008B43D2" w:rsidR="00CB0B06">
        <w:t>s</w:t>
      </w:r>
      <w:r w:rsidRPr="008B43D2" w:rsidR="00E73647">
        <w:t xml:space="preserve"> of the rules that Sound Around should review.  </w:t>
      </w:r>
      <w:r w:rsidRPr="008B43D2" w:rsidR="00E73647">
        <w:rPr>
          <w:i/>
          <w:iCs/>
        </w:rPr>
        <w:t>Id</w:t>
      </w:r>
      <w:r w:rsidRPr="008B43D2" w:rsidR="00E73647">
        <w:t xml:space="preserve">. at </w:t>
      </w:r>
      <w:r w:rsidRPr="008B43D2" w:rsidR="005B1945">
        <w:t>n.28.</w:t>
      </w:r>
      <w:r w:rsidRPr="008B43D2" w:rsidR="00E73647">
        <w:t xml:space="preserve">  The Enforcement Bureau also provided a</w:t>
      </w:r>
      <w:r w:rsidRPr="008B43D2" w:rsidR="005B1945">
        <w:t xml:space="preserve">n internet </w:t>
      </w:r>
      <w:r w:rsidRPr="008B43D2" w:rsidR="00E73647">
        <w:t xml:space="preserve">link to the rules.  </w:t>
      </w:r>
      <w:r w:rsidRPr="008B43D2" w:rsidR="005B1945">
        <w:rPr>
          <w:i/>
          <w:iCs/>
        </w:rPr>
        <w:t>Id</w:t>
      </w:r>
      <w:r w:rsidRPr="008B43D2" w:rsidR="005B1945">
        <w:t>.</w:t>
      </w:r>
    </w:p>
  </w:footnote>
  <w:footnote w:id="113">
    <w:p w:rsidR="00CB0B06" w:rsidRPr="00CB0B06" w14:paraId="5E98B9AE" w14:textId="5A082E43">
      <w:pPr>
        <w:pStyle w:val="FootnoteText"/>
      </w:pPr>
      <w:r w:rsidRPr="008B43D2">
        <w:rPr>
          <w:rStyle w:val="FootnoteReference"/>
        </w:rPr>
        <w:footnoteRef/>
      </w:r>
      <w:r w:rsidRPr="008B43D2">
        <w:t xml:space="preserve"> </w:t>
      </w:r>
      <w:r w:rsidRPr="008B43D2">
        <w:rPr>
          <w:i/>
          <w:iCs/>
        </w:rPr>
        <w:t>See</w:t>
      </w:r>
      <w:r w:rsidRPr="008B43D2">
        <w:t xml:space="preserve"> </w:t>
      </w:r>
      <w:r w:rsidRPr="008B43D2">
        <w:rPr>
          <w:i/>
          <w:iCs/>
        </w:rPr>
        <w:t>Radar Sols</w:t>
      </w:r>
      <w:r w:rsidRPr="008B43D2">
        <w:t>, 628 F. Supp. 2d at 730-31 (new citation was not necessary because earlier citation for a similar device provided notice).</w:t>
      </w:r>
      <w:r>
        <w:t xml:space="preserve">  </w:t>
      </w:r>
    </w:p>
  </w:footnote>
  <w:footnote w:id="114">
    <w:p w:rsidR="00066DD7" w:rsidRPr="007A04BF" w:rsidP="00991B82" w14:paraId="729F7F82" w14:textId="77777777">
      <w:pPr>
        <w:pStyle w:val="FootnoteText"/>
      </w:pPr>
      <w:r w:rsidRPr="007A04BF">
        <w:rPr>
          <w:rStyle w:val="FootnoteReference"/>
        </w:rPr>
        <w:footnoteRef/>
      </w:r>
      <w:r w:rsidRPr="007A04BF">
        <w:t xml:space="preserve"> </w:t>
      </w:r>
      <w:r w:rsidRPr="007A04BF">
        <w:rPr>
          <w:i/>
        </w:rPr>
        <w:t>See Promoting Expanded Opportunities For Radio Experimentation and Market Trials Under Part 5 of the Commission’s Rules and Streamlining Other Related Rules</w:t>
      </w:r>
      <w:r w:rsidRPr="007A04BF">
        <w:t>,</w:t>
      </w:r>
      <w:r w:rsidRPr="007A04BF">
        <w:rPr>
          <w:i/>
        </w:rPr>
        <w:t xml:space="preserve"> </w:t>
      </w:r>
      <w:r w:rsidRPr="007A04BF">
        <w:t xml:space="preserve">Report and Order, 28 FCC </w:t>
      </w:r>
      <w:r w:rsidRPr="007A04BF">
        <w:t>Rcd</w:t>
      </w:r>
      <w:r w:rsidRPr="007A04BF">
        <w:t xml:space="preserve"> 758 (2013).  </w:t>
      </w:r>
    </w:p>
  </w:footnote>
  <w:footnote w:id="115">
    <w:p w:rsidR="00066DD7" w:rsidRPr="007A04BF" w:rsidP="00991B82" w14:paraId="6BEB85D0" w14:textId="77777777">
      <w:pPr>
        <w:pStyle w:val="FootnoteText"/>
      </w:pPr>
      <w:r w:rsidRPr="007A04BF">
        <w:rPr>
          <w:rStyle w:val="FootnoteReference"/>
        </w:rPr>
        <w:footnoteRef/>
      </w:r>
      <w:r w:rsidRPr="007A04BF">
        <w:t xml:space="preserve"> </w:t>
      </w:r>
      <w:r w:rsidRPr="007A04BF">
        <w:rPr>
          <w:i/>
          <w:iCs/>
        </w:rPr>
        <w:t>See Marketing Citation</w:t>
      </w:r>
      <w:r w:rsidRPr="007A04BF">
        <w:t xml:space="preserve">, 26 FCC </w:t>
      </w:r>
      <w:r w:rsidRPr="007A04BF">
        <w:t>Rcd</w:t>
      </w:r>
      <w:r w:rsidRPr="007A04BF">
        <w:t xml:space="preserve"> at 9476, para. 7.</w:t>
      </w:r>
    </w:p>
  </w:footnote>
  <w:footnote w:id="116">
    <w:p w:rsidR="00066DD7" w:rsidRPr="007A04BF" w:rsidP="00991B82" w14:paraId="45796E3B" w14:textId="7FCBBD02">
      <w:pPr>
        <w:pStyle w:val="FootnoteText"/>
      </w:pPr>
      <w:r w:rsidRPr="007A04BF">
        <w:rPr>
          <w:rStyle w:val="FootnoteReference"/>
        </w:rPr>
        <w:footnoteRef/>
      </w:r>
      <w:r w:rsidRPr="007A04BF">
        <w:rPr>
          <w:i/>
        </w:rPr>
        <w:t xml:space="preserve"> NAL</w:t>
      </w:r>
      <w:r w:rsidRPr="007A04BF">
        <w:t xml:space="preserve">, 35 FCC </w:t>
      </w:r>
      <w:r w:rsidRPr="007A04BF">
        <w:t>Rcd</w:t>
      </w:r>
      <w:r w:rsidRPr="007A04BF">
        <w:t xml:space="preserve"> at 3479, para. 3. </w:t>
      </w:r>
    </w:p>
  </w:footnote>
  <w:footnote w:id="117">
    <w:p w:rsidR="00066DD7" w:rsidRPr="007A04BF" w:rsidP="00991B82" w14:paraId="5E86960A" w14:textId="77777777">
      <w:pPr>
        <w:pStyle w:val="FootnoteText"/>
      </w:pPr>
      <w:r w:rsidRPr="007A04BF">
        <w:rPr>
          <w:rStyle w:val="FootnoteReference"/>
        </w:rPr>
        <w:footnoteRef/>
      </w:r>
      <w:r w:rsidRPr="007A04BF">
        <w:t xml:space="preserve"> The textual differences in the language are non-substantive.  </w:t>
      </w:r>
      <w:r w:rsidRPr="007A04BF">
        <w:rPr>
          <w:i/>
          <w:iCs/>
        </w:rPr>
        <w:t xml:space="preserve">Compare </w:t>
      </w:r>
      <w:r w:rsidRPr="007A04BF">
        <w:t xml:space="preserve">47 CFR § 2.803(a)(1) (2011) (“[N]o person shall sell or lease, or offer for sale or lease (including advertising for sale or lease), or import, ship, or distribute for the purpose of selling or leasing or offering for sale or lease, any radio frequency device unless: (1) In the case of a device subject to certification, such device has been authorized by the Commission in accordance with the rules in this chapter and is properly identified and labelled as required by § 2.925 and other relevant sections in this chapter . . . .”), </w:t>
      </w:r>
      <w:r w:rsidRPr="007A04BF">
        <w:rPr>
          <w:i/>
          <w:iCs/>
        </w:rPr>
        <w:t>with</w:t>
      </w:r>
      <w:r w:rsidRPr="007A04BF">
        <w:t xml:space="preserve"> 47 CFR § 2.803(b)(1) (2020) (“(b) General rule. No person may market a radio frequency device unless:  (1) For devices subject to authorization under certification, the device has been authorized in accordance with the rules in subpart J of this chapter and is properly identified and labeled as required by § 2.925 and other relevant sections in this chapter . . . .”).</w:t>
      </w:r>
    </w:p>
  </w:footnote>
  <w:footnote w:id="118">
    <w:p w:rsidR="00066DD7" w:rsidRPr="007A04BF" w:rsidP="00991B82" w14:paraId="6C36D7D8" w14:textId="461EFA93">
      <w:pPr>
        <w:pStyle w:val="FootnoteText"/>
      </w:pPr>
      <w:r w:rsidRPr="007A04BF">
        <w:rPr>
          <w:rStyle w:val="FootnoteReference"/>
        </w:rPr>
        <w:footnoteRef/>
      </w:r>
      <w:r w:rsidRPr="007A04BF">
        <w:t xml:space="preserve"> </w:t>
      </w:r>
      <w:r w:rsidRPr="007A04BF">
        <w:rPr>
          <w:i/>
          <w:iCs/>
        </w:rPr>
        <w:t xml:space="preserve">See </w:t>
      </w:r>
      <w:r w:rsidRPr="007A04BF">
        <w:t xml:space="preserve">NAL Response at 11 (incorrectly stating that the </w:t>
      </w:r>
      <w:r w:rsidRPr="007A04BF">
        <w:rPr>
          <w:i/>
          <w:iCs/>
        </w:rPr>
        <w:t xml:space="preserve">Marketing Citation </w:t>
      </w:r>
      <w:r w:rsidRPr="007A04BF">
        <w:t xml:space="preserve">found a violation of section 74.851(f) and the </w:t>
      </w:r>
      <w:r w:rsidRPr="007A04BF">
        <w:rPr>
          <w:i/>
          <w:iCs/>
        </w:rPr>
        <w:t xml:space="preserve">NAL </w:t>
      </w:r>
      <w:r w:rsidRPr="007A04BF">
        <w:t>stated a violation of section 74.851(g)).</w:t>
      </w:r>
    </w:p>
  </w:footnote>
  <w:footnote w:id="119">
    <w:p w:rsidR="00066DD7" w:rsidRPr="007A04BF" w:rsidP="00991B82" w14:paraId="0F036DFC" w14:textId="77777777">
      <w:pPr>
        <w:spacing w:after="120"/>
        <w:rPr>
          <w:kern w:val="0"/>
          <w:sz w:val="20"/>
        </w:rPr>
      </w:pPr>
      <w:r w:rsidRPr="007A04BF">
        <w:rPr>
          <w:rStyle w:val="FootnoteReference"/>
          <w:kern w:val="0"/>
        </w:rPr>
        <w:footnoteRef/>
      </w:r>
      <w:r w:rsidRPr="007A04BF">
        <w:rPr>
          <w:kern w:val="0"/>
          <w:sz w:val="20"/>
        </w:rPr>
        <w:t xml:space="preserve"> </w:t>
      </w:r>
      <w:r w:rsidRPr="007A04BF">
        <w:rPr>
          <w:i/>
          <w:iCs/>
          <w:kern w:val="0"/>
          <w:sz w:val="20"/>
        </w:rPr>
        <w:t xml:space="preserve">See </w:t>
      </w:r>
      <w:r w:rsidRPr="007A04BF">
        <w:rPr>
          <w:kern w:val="0"/>
          <w:sz w:val="20"/>
        </w:rPr>
        <w:t xml:space="preserve">47 U.S.C. § 503(B)(5).  </w:t>
      </w:r>
    </w:p>
  </w:footnote>
  <w:footnote w:id="120">
    <w:p w:rsidR="00066DD7" w:rsidRPr="007A04BF" w:rsidP="00991B82" w14:paraId="1CD68639" w14:textId="77777777">
      <w:pPr>
        <w:pStyle w:val="FootnoteText"/>
      </w:pPr>
      <w:r w:rsidRPr="007A04BF">
        <w:rPr>
          <w:rStyle w:val="FootnoteReference"/>
        </w:rPr>
        <w:footnoteRef/>
      </w:r>
      <w:r w:rsidRPr="007A04BF">
        <w:t xml:space="preserve"> </w:t>
      </w:r>
      <w:r w:rsidRPr="007A04BF">
        <w:rPr>
          <w:i/>
          <w:iCs/>
        </w:rPr>
        <w:t xml:space="preserve">See </w:t>
      </w:r>
      <w:r w:rsidRPr="00F748F2">
        <w:t>NAL Response</w:t>
      </w:r>
      <w:r w:rsidRPr="007A04BF">
        <w:t xml:space="preserve"> at 11 (“the Commission unearthed a nine-year-old citation against [the Company]”).</w:t>
      </w:r>
    </w:p>
  </w:footnote>
  <w:footnote w:id="121">
    <w:p w:rsidR="00066DD7" w:rsidRPr="007A04BF" w14:paraId="4BC7BB96" w14:textId="2D765EBC">
      <w:pPr>
        <w:pStyle w:val="FootnoteText"/>
      </w:pPr>
      <w:r w:rsidRPr="007A04BF">
        <w:rPr>
          <w:rStyle w:val="FootnoteReference"/>
        </w:rPr>
        <w:footnoteRef/>
      </w:r>
      <w:r w:rsidRPr="007A04BF">
        <w:t xml:space="preserve"> </w:t>
      </w:r>
      <w:r w:rsidRPr="007A04BF">
        <w:rPr>
          <w:i/>
          <w:iCs/>
        </w:rPr>
        <w:t xml:space="preserve">See </w:t>
      </w:r>
      <w:r w:rsidRPr="007A04BF" w:rsidR="00F840E0">
        <w:t>2017 LOI</w:t>
      </w:r>
      <w:r w:rsidRPr="007A04BF">
        <w:t>.</w:t>
      </w:r>
    </w:p>
  </w:footnote>
  <w:footnote w:id="122">
    <w:p w:rsidR="00066DD7" w:rsidRPr="007A04BF" w:rsidP="00991B82" w14:paraId="6CE7EAC2" w14:textId="77777777">
      <w:pPr>
        <w:pStyle w:val="FootnoteText"/>
        <w:rPr>
          <w:i/>
          <w:iCs/>
        </w:rPr>
      </w:pPr>
      <w:r w:rsidRPr="007A04BF">
        <w:rPr>
          <w:rStyle w:val="FootnoteReference"/>
        </w:rPr>
        <w:footnoteRef/>
      </w:r>
      <w:r w:rsidRPr="007A04BF">
        <w:t xml:space="preserve"> </w:t>
      </w:r>
      <w:r w:rsidRPr="007A04BF">
        <w:rPr>
          <w:i/>
          <w:iCs/>
        </w:rPr>
        <w:t>See Radar Sols.,</w:t>
      </w:r>
      <w:r w:rsidRPr="007A04BF">
        <w:t xml:space="preserve"> 628 F. Supp. 2d at 720-22, 730-31 (Citation issued February 12, 1997 and Notice of Apparent Liability for Forfeiture issued January 31, 2007).</w:t>
      </w:r>
    </w:p>
  </w:footnote>
  <w:footnote w:id="123">
    <w:p w:rsidR="00066DD7" w:rsidRPr="007A04BF" w14:paraId="2D40CD5E" w14:textId="595059ED">
      <w:pPr>
        <w:pStyle w:val="FootnoteText"/>
      </w:pPr>
      <w:r w:rsidRPr="007A04BF">
        <w:rPr>
          <w:rStyle w:val="FootnoteReference"/>
        </w:rPr>
        <w:footnoteRef/>
      </w:r>
      <w:r w:rsidRPr="007A04BF">
        <w:t xml:space="preserve"> </w:t>
      </w:r>
      <w:r w:rsidRPr="007A04BF">
        <w:rPr>
          <w:i/>
          <w:iCs/>
        </w:rPr>
        <w:t xml:space="preserve">See </w:t>
      </w:r>
      <w:r w:rsidRPr="007A04BF">
        <w:t>NAL Response at 12-14.</w:t>
      </w:r>
    </w:p>
  </w:footnote>
  <w:footnote w:id="124">
    <w:p w:rsidR="00066DD7" w:rsidRPr="007A04BF" w14:paraId="319D6DD6" w14:textId="765EFBA8">
      <w:pPr>
        <w:pStyle w:val="FootnoteText"/>
      </w:pPr>
      <w:r w:rsidRPr="007A04BF">
        <w:rPr>
          <w:rStyle w:val="FootnoteReference"/>
        </w:rPr>
        <w:footnoteRef/>
      </w:r>
      <w:r w:rsidRPr="007A04BF">
        <w:t xml:space="preserve"> </w:t>
      </w:r>
      <w:r w:rsidRPr="007A04BF">
        <w:rPr>
          <w:i/>
          <w:iCs/>
        </w:rPr>
        <w:t>See id.</w:t>
      </w:r>
      <w:r w:rsidRPr="007A04BF">
        <w:t xml:space="preserve">  The groupings proposed by Sound Around are as follows:  (1) Handheld </w:t>
      </w:r>
      <w:bookmarkStart w:id="147" w:name="_Hlk68184487"/>
      <w:r w:rsidRPr="007A04BF">
        <w:t>Wireless Microphones with Black Wind Screen Tops: PDWM8325, PFSUM1280B, PDWM2130</w:t>
      </w:r>
      <w:bookmarkEnd w:id="147"/>
      <w:r w:rsidRPr="007A04BF">
        <w:t xml:space="preserve">; (2) </w:t>
      </w:r>
      <w:bookmarkStart w:id="148" w:name="_Hlk68187626"/>
      <w:r w:rsidRPr="007A04BF">
        <w:t>Handheld Wireless Microphones with Silver Wind Screen Tops</w:t>
      </w:r>
      <w:bookmarkEnd w:id="148"/>
      <w:r w:rsidRPr="007A04BF">
        <w:t>: PDWM2560, PDWM8250, PDWM8225, PDWM13UH, PDWM4360U, PDWM3360; (3) Desk Set Wireless Microphones: PDWM4650, PDWM4700, PDWM8350; (4) Belt-pack Wireless Microphones with Lavalier/Headset Microphones: PDWM4350U, PDWM3400, PDWM8275, PDWM4540, PDWM1904, PDWM12UH, PDWM2145, PDWM2115, PDWM8374.</w:t>
      </w:r>
    </w:p>
  </w:footnote>
  <w:footnote w:id="125">
    <w:p w:rsidR="00066DD7" w:rsidRPr="007A04BF" w14:paraId="1C3378B2" w14:textId="0B380B4E">
      <w:pPr>
        <w:pStyle w:val="FootnoteText"/>
      </w:pPr>
      <w:r w:rsidRPr="007A04BF">
        <w:rPr>
          <w:rStyle w:val="FootnoteReference"/>
        </w:rPr>
        <w:footnoteRef/>
      </w:r>
      <w:r w:rsidRPr="007A04BF">
        <w:t xml:space="preserve"> 47 CFR § 2.803(b)(1); </w:t>
      </w:r>
      <w:r w:rsidRPr="007A04BF">
        <w:rPr>
          <w:i/>
          <w:iCs/>
        </w:rPr>
        <w:t>see also supra</w:t>
      </w:r>
      <w:r w:rsidRPr="007A04BF">
        <w:t xml:space="preserve"> para. </w:t>
      </w:r>
      <w:r w:rsidRPr="007A04BF">
        <w:fldChar w:fldCharType="begin"/>
      </w:r>
      <w:r w:rsidRPr="007A04BF">
        <w:instrText xml:space="preserve"> REF _Ref99366087 \r \h  \* MERGEFORMAT </w:instrText>
      </w:r>
      <w:r w:rsidRPr="007A04BF">
        <w:fldChar w:fldCharType="separate"/>
      </w:r>
      <w:r w:rsidR="001A0982">
        <w:t>12</w:t>
      </w:r>
      <w:r w:rsidRPr="007A04BF">
        <w:fldChar w:fldCharType="end"/>
      </w:r>
      <w:r w:rsidRPr="007A04BF">
        <w:t>.</w:t>
      </w:r>
    </w:p>
  </w:footnote>
  <w:footnote w:id="126">
    <w:p w:rsidR="00066DD7" w:rsidRPr="007A04BF" w:rsidP="00A9483C" w14:paraId="64B21D74" w14:textId="77777777">
      <w:pPr>
        <w:pStyle w:val="FootnoteText"/>
      </w:pPr>
      <w:r w:rsidRPr="007A04BF">
        <w:rPr>
          <w:rStyle w:val="FootnoteReference"/>
        </w:rPr>
        <w:footnoteRef/>
      </w:r>
      <w:r w:rsidRPr="007A04BF">
        <w:t xml:space="preserve"> </w:t>
      </w:r>
      <w:r w:rsidRPr="007A04BF">
        <w:rPr>
          <w:i/>
          <w:iCs/>
        </w:rPr>
        <w:t>See</w:t>
      </w:r>
      <w:r w:rsidRPr="007A04BF">
        <w:t xml:space="preserve"> 47 CFR §§ 2.907(b), 2.908. </w:t>
      </w:r>
    </w:p>
  </w:footnote>
  <w:footnote w:id="127">
    <w:p w:rsidR="00066DD7" w:rsidRPr="007A04BF" w:rsidP="00A9483C" w14:paraId="2020CD39" w14:textId="06584593">
      <w:pPr>
        <w:pStyle w:val="FootnoteText"/>
      </w:pPr>
      <w:r w:rsidRPr="007A04BF">
        <w:rPr>
          <w:rStyle w:val="FootnoteReference"/>
        </w:rPr>
        <w:footnoteRef/>
      </w:r>
      <w:r w:rsidRPr="007A04BF">
        <w:t xml:space="preserve"> </w:t>
      </w:r>
      <w:r w:rsidRPr="007A04BF">
        <w:rPr>
          <w:i/>
          <w:iCs/>
        </w:rPr>
        <w:t xml:space="preserve">See </w:t>
      </w:r>
      <w:r w:rsidRPr="007A04BF">
        <w:t xml:space="preserve">178919 D01 Permissive Change Policy v05r03, Federal Communications Commission, Office of Engineering and Technology, Laboratory Division Public Draft Review, </w:t>
      </w:r>
      <w:r w:rsidRPr="007A04BF">
        <w:rPr>
          <w:i/>
          <w:iCs/>
        </w:rPr>
        <w:t xml:space="preserve">available at </w:t>
      </w:r>
      <w:hyperlink r:id="rId8" w:history="1">
        <w:r w:rsidRPr="007A04BF">
          <w:rPr>
            <w:rStyle w:val="Hyperlink"/>
          </w:rPr>
          <w:t>https://apps.fcc.gov/kdb/GetAttachment.html?id=N0FeGuIZalHwpzYoaFJpjA%3D%3D</w:t>
        </w:r>
      </w:hyperlink>
      <w:r w:rsidRPr="007A04BF">
        <w:t xml:space="preserve"> (Oct. 16, 2015). </w:t>
      </w:r>
    </w:p>
  </w:footnote>
  <w:footnote w:id="128">
    <w:p w:rsidR="00066DD7" w:rsidRPr="007A04BF" w:rsidP="00FF35BA" w14:paraId="7E1A277F" w14:textId="77777777">
      <w:pPr>
        <w:pStyle w:val="FootnoteText"/>
      </w:pPr>
      <w:r w:rsidRPr="007A04BF">
        <w:rPr>
          <w:rStyle w:val="FootnoteReference"/>
        </w:rPr>
        <w:footnoteRef/>
      </w:r>
      <w:r w:rsidRPr="007A04BF">
        <w:t xml:space="preserve"> </w:t>
      </w:r>
      <w:r w:rsidRPr="007A04BF">
        <w:rPr>
          <w:i/>
          <w:iCs/>
        </w:rPr>
        <w:t>See, e.g.</w:t>
      </w:r>
      <w:r w:rsidRPr="007A04BF">
        <w:t xml:space="preserve">, </w:t>
      </w:r>
      <w:r w:rsidRPr="007A04BF">
        <w:rPr>
          <w:i/>
          <w:iCs/>
        </w:rPr>
        <w:t xml:space="preserve">Behringer, </w:t>
      </w:r>
      <w:r w:rsidRPr="007A04BF">
        <w:t xml:space="preserve">22 FCC </w:t>
      </w:r>
      <w:r w:rsidRPr="007A04BF">
        <w:t>Rcd</w:t>
      </w:r>
      <w:r w:rsidRPr="007A04BF">
        <w:t xml:space="preserve"> at 10454-56, paras. 10-13 (rejecting claim that certain models were identical because Behringer failed to provide sufficient documentation to support the claim); </w:t>
      </w:r>
      <w:r w:rsidRPr="007A04BF">
        <w:rPr>
          <w:i/>
          <w:iCs/>
        </w:rPr>
        <w:t>Amer-I-Net Services Corp.</w:t>
      </w:r>
      <w:r w:rsidRPr="007A04BF">
        <w:t xml:space="preserve">, Order of Forfeiture, 15 FCC </w:t>
      </w:r>
      <w:r w:rsidRPr="007A04BF">
        <w:t>Rcd</w:t>
      </w:r>
      <w:r w:rsidRPr="007A04BF">
        <w:t xml:space="preserve"> 3118, 3123, para. 16 (2000) (rejecting carrier’s unsubstantiated factual claims about its compliance plan).  </w:t>
      </w:r>
    </w:p>
  </w:footnote>
  <w:footnote w:id="129">
    <w:p w:rsidR="00066DD7" w:rsidRPr="007A04BF" w14:paraId="283E239F" w14:textId="2E6607D7">
      <w:pPr>
        <w:pStyle w:val="FootnoteText"/>
      </w:pPr>
      <w:r w:rsidRPr="007A04BF">
        <w:rPr>
          <w:rStyle w:val="FootnoteReference"/>
        </w:rPr>
        <w:footnoteRef/>
      </w:r>
      <w:r w:rsidRPr="007A04BF">
        <w:t xml:space="preserve"> Additionally, in claiming that some of the models are identical, the Company claims that models with different FCC IDs are supposedly identical.  </w:t>
      </w:r>
      <w:r w:rsidRPr="007A04BF">
        <w:rPr>
          <w:i/>
          <w:iCs/>
        </w:rPr>
        <w:t xml:space="preserve">See </w:t>
      </w:r>
      <w:r w:rsidRPr="007A04BF">
        <w:t xml:space="preserve">NAL Response at 12-14.  For example, the proposed grouping “Handheld Wireless Microphones with Black Wind Screen Tops,” includes wireless microphone models with different FCC IDs and involves different types of microphones: QSRHT-35A (licensed broadcast transmitter held to face) and QSRPT-25 (licensed broadcast transmitter worn on body).  This proposed grouping also includes a device for which Sound Around has not provided an FCC ID, PDWM13UH.  Sound Around provides no explanation for why these FCC IDs are different for purported identical devices or why an FCC ID was not previously provided in its 2019 LOI Response for a purported identical device.    </w:t>
      </w:r>
    </w:p>
  </w:footnote>
  <w:footnote w:id="130">
    <w:p w:rsidR="00066DD7" w:rsidRPr="007A04BF" w14:paraId="53AD03C9" w14:textId="7485D3FE">
      <w:pPr>
        <w:pStyle w:val="FootnoteText"/>
      </w:pPr>
      <w:r w:rsidRPr="007A04BF">
        <w:rPr>
          <w:rStyle w:val="FootnoteReference"/>
        </w:rPr>
        <w:footnoteRef/>
      </w:r>
      <w:r w:rsidRPr="007A04BF">
        <w:t xml:space="preserve"> </w:t>
      </w:r>
      <w:r w:rsidRPr="007A04BF">
        <w:rPr>
          <w:i/>
          <w:iCs/>
        </w:rPr>
        <w:t xml:space="preserve">See </w:t>
      </w:r>
      <w:r w:rsidRPr="007A04BF">
        <w:t xml:space="preserve">NAL Response at 15.  </w:t>
      </w:r>
      <w:r w:rsidRPr="007A04BF">
        <w:rPr>
          <w:i/>
          <w:iCs/>
        </w:rPr>
        <w:t>See also</w:t>
      </w:r>
      <w:r w:rsidRPr="007A04BF">
        <w:t xml:space="preserve"> 47 U.S.C. § 503(b)(6).</w:t>
      </w:r>
    </w:p>
  </w:footnote>
  <w:footnote w:id="131">
    <w:p w:rsidR="00066DD7" w:rsidRPr="007A04BF" w14:paraId="1499229F" w14:textId="01F36740">
      <w:pPr>
        <w:pStyle w:val="FootnoteText"/>
      </w:pPr>
      <w:r w:rsidRPr="007A04BF">
        <w:rPr>
          <w:rStyle w:val="FootnoteReference"/>
        </w:rPr>
        <w:footnoteRef/>
      </w:r>
      <w:r w:rsidRPr="007A04BF">
        <w:t xml:space="preserve"> </w:t>
      </w:r>
      <w:r w:rsidRPr="007A04BF">
        <w:rPr>
          <w:i/>
          <w:iCs/>
        </w:rPr>
        <w:t>See supra</w:t>
      </w:r>
      <w:r w:rsidRPr="007A04BF">
        <w:t xml:space="preserve"> paras. </w:t>
      </w:r>
      <w:r w:rsidRPr="007A04BF">
        <w:fldChar w:fldCharType="begin"/>
      </w:r>
      <w:r w:rsidRPr="007A04BF">
        <w:instrText xml:space="preserve"> REF _Ref99365777 \r \h </w:instrText>
      </w:r>
      <w:r w:rsidR="007A04BF">
        <w:instrText xml:space="preserve"> \* MERGEFORMAT </w:instrText>
      </w:r>
      <w:r w:rsidRPr="007A04BF">
        <w:fldChar w:fldCharType="separate"/>
      </w:r>
      <w:r w:rsidR="001A0982">
        <w:t>14</w:t>
      </w:r>
      <w:r w:rsidRPr="007A04BF">
        <w:fldChar w:fldCharType="end"/>
      </w:r>
      <w:r w:rsidRPr="007A04BF">
        <w:t>-</w:t>
      </w:r>
      <w:r w:rsidRPr="007A04BF">
        <w:fldChar w:fldCharType="begin"/>
      </w:r>
      <w:r w:rsidRPr="007A04BF">
        <w:instrText xml:space="preserve"> REF _Ref99365791 \r \h </w:instrText>
      </w:r>
      <w:r w:rsidR="007A04BF">
        <w:instrText xml:space="preserve"> \* MERGEFORMAT </w:instrText>
      </w:r>
      <w:r w:rsidRPr="007A04BF">
        <w:fldChar w:fldCharType="separate"/>
      </w:r>
      <w:r w:rsidR="001A0982">
        <w:t>19</w:t>
      </w:r>
      <w:r w:rsidRPr="007A04BF">
        <w:fldChar w:fldCharType="end"/>
      </w:r>
      <w:r w:rsidRPr="007A04BF">
        <w:t>.</w:t>
      </w:r>
    </w:p>
  </w:footnote>
  <w:footnote w:id="132">
    <w:p w:rsidR="00066DD7" w:rsidRPr="007A04BF" w14:paraId="13E2622C" w14:textId="543FFB67">
      <w:pPr>
        <w:pStyle w:val="FootnoteText"/>
      </w:pPr>
      <w:r w:rsidRPr="007A04BF">
        <w:rPr>
          <w:rStyle w:val="FootnoteReference"/>
        </w:rPr>
        <w:footnoteRef/>
      </w:r>
      <w:r w:rsidRPr="007A04BF">
        <w:t xml:space="preserve"> The five microphone models are PDWM2130, PDWM4360U, PDWM3360, PDWM8374, and PDWM94.</w:t>
      </w:r>
      <w:r w:rsidRPr="007A04BF">
        <w:rPr>
          <w:i/>
          <w:iCs/>
        </w:rPr>
        <w:t xml:space="preserve">  See </w:t>
      </w:r>
      <w:r w:rsidRPr="007A04BF">
        <w:t xml:space="preserve">NAL Response at 15. </w:t>
      </w:r>
    </w:p>
  </w:footnote>
  <w:footnote w:id="133">
    <w:p w:rsidR="00D46897" w:rsidRPr="007A04BF" w14:paraId="07FF8E20" w14:textId="78420FBC">
      <w:pPr>
        <w:pStyle w:val="FootnoteText"/>
      </w:pPr>
      <w:r w:rsidRPr="007A04BF">
        <w:rPr>
          <w:rStyle w:val="FootnoteReference"/>
        </w:rPr>
        <w:footnoteRef/>
      </w:r>
      <w:r w:rsidRPr="007A04BF">
        <w:t xml:space="preserve"> </w:t>
      </w:r>
      <w:r w:rsidRPr="000F1FFC">
        <w:rPr>
          <w:i/>
          <w:iCs/>
        </w:rPr>
        <w:t xml:space="preserve">See </w:t>
      </w:r>
      <w:r w:rsidRPr="007A04BF">
        <w:rPr>
          <w:i/>
          <w:iCs/>
        </w:rPr>
        <w:t>supra</w:t>
      </w:r>
      <w:r w:rsidRPr="007A04BF">
        <w:t xml:space="preserve"> paras. </w:t>
      </w:r>
      <w:r w:rsidRPr="007A04BF">
        <w:fldChar w:fldCharType="begin"/>
      </w:r>
      <w:r w:rsidRPr="007A04BF">
        <w:instrText xml:space="preserve"> REF _Ref99365777 \r \h </w:instrText>
      </w:r>
      <w:r w:rsidR="007A04BF">
        <w:instrText xml:space="preserve"> \* MERGEFORMAT </w:instrText>
      </w:r>
      <w:r w:rsidRPr="007A04BF">
        <w:fldChar w:fldCharType="separate"/>
      </w:r>
      <w:r w:rsidR="001A0982">
        <w:t>14</w:t>
      </w:r>
      <w:r w:rsidRPr="007A04BF">
        <w:fldChar w:fldCharType="end"/>
      </w:r>
      <w:r w:rsidRPr="007A04BF">
        <w:t>-</w:t>
      </w:r>
      <w:r w:rsidRPr="007A04BF">
        <w:fldChar w:fldCharType="begin"/>
      </w:r>
      <w:r w:rsidRPr="007A04BF">
        <w:instrText xml:space="preserve"> REF _Ref101771750 \r \h </w:instrText>
      </w:r>
      <w:r w:rsidR="007A04BF">
        <w:instrText xml:space="preserve"> \* MERGEFORMAT </w:instrText>
      </w:r>
      <w:r w:rsidRPr="007A04BF">
        <w:fldChar w:fldCharType="separate"/>
      </w:r>
      <w:r w:rsidR="001A0982">
        <w:t>18</w:t>
      </w:r>
      <w:r w:rsidRPr="007A04BF">
        <w:fldChar w:fldCharType="end"/>
      </w:r>
      <w:r w:rsidRPr="007A04BF">
        <w:t xml:space="preserve">.  </w:t>
      </w:r>
    </w:p>
  </w:footnote>
  <w:footnote w:id="134">
    <w:p w:rsidR="00066DD7" w:rsidRPr="007A04BF" w14:paraId="2B6E1CBA" w14:textId="6BF283D0">
      <w:pPr>
        <w:pStyle w:val="FootnoteText"/>
        <w:rPr>
          <w:i/>
          <w:iCs/>
        </w:rPr>
      </w:pPr>
      <w:r w:rsidRPr="007A04BF">
        <w:rPr>
          <w:rStyle w:val="FootnoteReference"/>
        </w:rPr>
        <w:footnoteRef/>
      </w:r>
      <w:r w:rsidRPr="007A04BF">
        <w:t xml:space="preserve"> </w:t>
      </w:r>
      <w:r w:rsidRPr="007A04BF">
        <w:rPr>
          <w:i/>
          <w:iCs/>
        </w:rPr>
        <w:t xml:space="preserve">See </w:t>
      </w:r>
      <w:r w:rsidRPr="007A04BF">
        <w:t xml:space="preserve">NAL Response at 15-17.  The seven models are PDWM1800, PDWM4520, PDWM3375, PDWM3378, PDWM2135, PDWM2140, and PDWM4560.  Sound Around included an exhibit in its response which contains a table showing the FCC ID for each of the seven model numbers, and photos of each model which show the FCC ID’s affixed to each device, along with frequencies on which each device operates.  </w:t>
      </w:r>
      <w:r w:rsidRPr="007A04BF">
        <w:rPr>
          <w:i/>
          <w:iCs/>
        </w:rPr>
        <w:t>See</w:t>
      </w:r>
      <w:r w:rsidRPr="007A04BF">
        <w:t xml:space="preserve"> NAL Response at Exhibit.  Previously, Sound Around claimed it did not know the FCC ID of model PDWM2140, see 2019 LOI Response at </w:t>
      </w:r>
      <w:r w:rsidRPr="007A04BF">
        <w:t>Exh</w:t>
      </w:r>
      <w:r w:rsidRPr="007A04BF">
        <w:t xml:space="preserve">. A, which is curious if such microphones were labeled as claimed in the NAL Response.  </w:t>
      </w:r>
    </w:p>
  </w:footnote>
  <w:footnote w:id="135">
    <w:p w:rsidR="00066DD7" w:rsidRPr="007A04BF" w14:paraId="60661FA2" w14:textId="51B7B281">
      <w:pPr>
        <w:pStyle w:val="FootnoteText"/>
      </w:pPr>
      <w:r w:rsidRPr="007A04BF">
        <w:rPr>
          <w:rStyle w:val="FootnoteReference"/>
        </w:rPr>
        <w:footnoteRef/>
      </w:r>
      <w:r w:rsidRPr="007A04BF">
        <w:t xml:space="preserve"> </w:t>
      </w:r>
      <w:r w:rsidRPr="007A04BF">
        <w:rPr>
          <w:i/>
          <w:iCs/>
        </w:rPr>
        <w:t xml:space="preserve">See </w:t>
      </w:r>
      <w:r w:rsidRPr="007A04BF">
        <w:t>NAL Response at 17, note 41.</w:t>
      </w:r>
    </w:p>
  </w:footnote>
  <w:footnote w:id="136">
    <w:p w:rsidR="00066DD7" w:rsidRPr="007A04BF" w14:paraId="2DF28F20" w14:textId="0C3CA461">
      <w:pPr>
        <w:pStyle w:val="FootnoteText"/>
      </w:pPr>
      <w:r w:rsidRPr="007A04BF">
        <w:rPr>
          <w:rStyle w:val="FootnoteReference"/>
        </w:rPr>
        <w:footnoteRef/>
      </w:r>
      <w:r w:rsidRPr="007A04BF">
        <w:t xml:space="preserve"> These are models PDWM1800, </w:t>
      </w:r>
      <w:r w:rsidRPr="007A04BF">
        <w:rPr>
          <w:snapToGrid w:val="0"/>
        </w:rPr>
        <w:t>PDWM3375, and PDWM4520.</w:t>
      </w:r>
    </w:p>
  </w:footnote>
  <w:footnote w:id="137">
    <w:p w:rsidR="00066DD7" w:rsidRPr="007A04BF" w14:paraId="713DE896" w14:textId="28499535">
      <w:pPr>
        <w:pStyle w:val="FootnoteText"/>
      </w:pPr>
      <w:r w:rsidRPr="007A04BF">
        <w:rPr>
          <w:rStyle w:val="FootnoteReference"/>
        </w:rPr>
        <w:footnoteRef/>
      </w:r>
      <w:r w:rsidRPr="007A04BF">
        <w:t xml:space="preserve"> </w:t>
      </w:r>
      <w:r w:rsidRPr="007A04BF">
        <w:rPr>
          <w:i/>
          <w:iCs/>
        </w:rPr>
        <w:t xml:space="preserve">See </w:t>
      </w:r>
      <w:r w:rsidRPr="007A04BF">
        <w:t xml:space="preserve">47 U.S.C. § 503(b)(6)(B).  The applicable period is April 3, 2019 – April 3, 2020.  </w:t>
      </w:r>
    </w:p>
  </w:footnote>
  <w:footnote w:id="138">
    <w:p w:rsidR="00066DD7" w:rsidRPr="007A04BF" w:rsidP="00166DC9" w14:paraId="1EA1F40D" w14:textId="5E419BEA">
      <w:pPr>
        <w:pStyle w:val="FootnoteText"/>
      </w:pPr>
      <w:r w:rsidRPr="007A04BF">
        <w:rPr>
          <w:rStyle w:val="FootnoteReference"/>
        </w:rPr>
        <w:footnoteRef/>
      </w:r>
      <w:r w:rsidRPr="007A04BF">
        <w:t xml:space="preserve"> </w:t>
      </w:r>
      <w:r w:rsidRPr="007A04BF">
        <w:rPr>
          <w:i/>
          <w:iCs/>
        </w:rPr>
        <w:t xml:space="preserve">See </w:t>
      </w:r>
      <w:r w:rsidRPr="007A04BF">
        <w:t xml:space="preserve">2019 LOI Response at </w:t>
      </w:r>
      <w:r w:rsidRPr="007A04BF">
        <w:t>Exh</w:t>
      </w:r>
      <w:r w:rsidRPr="007A04BF">
        <w:t xml:space="preserve">. A.  </w:t>
      </w:r>
    </w:p>
  </w:footnote>
  <w:footnote w:id="139">
    <w:p w:rsidR="00066DD7" w:rsidRPr="007A04BF" w14:paraId="643E2B0C" w14:textId="47804ADC">
      <w:pPr>
        <w:pStyle w:val="FootnoteText"/>
      </w:pPr>
      <w:r w:rsidRPr="007A04BF">
        <w:rPr>
          <w:rStyle w:val="FootnoteReference"/>
        </w:rPr>
        <w:footnoteRef/>
      </w:r>
      <w:r w:rsidRPr="007A04BF">
        <w:t xml:space="preserve"> The NAL Response contains no information on when the photos were taken or any other authenticating information.  </w:t>
      </w:r>
      <w:r w:rsidRPr="007A04BF">
        <w:rPr>
          <w:i/>
          <w:iCs/>
        </w:rPr>
        <w:t xml:space="preserve">See generally </w:t>
      </w:r>
      <w:r w:rsidRPr="007A04BF">
        <w:t>NAL Response</w:t>
      </w:r>
    </w:p>
  </w:footnote>
  <w:footnote w:id="140">
    <w:p w:rsidR="00066DD7" w:rsidRPr="007A04BF" w:rsidP="00DA0071" w14:paraId="3410F5EA" w14:textId="77777777">
      <w:pPr>
        <w:pStyle w:val="FootnoteText"/>
      </w:pPr>
      <w:r w:rsidRPr="007A04BF">
        <w:rPr>
          <w:rStyle w:val="FootnoteReference"/>
        </w:rPr>
        <w:footnoteRef/>
      </w:r>
      <w:r w:rsidRPr="007A04BF">
        <w:t xml:space="preserve"> NAL Response at 9.  </w:t>
      </w:r>
    </w:p>
  </w:footnote>
  <w:footnote w:id="141">
    <w:p w:rsidR="00066DD7" w:rsidRPr="007A04BF" w:rsidP="00DA0071" w14:paraId="09B6DD64" w14:textId="77777777">
      <w:pPr>
        <w:pStyle w:val="FootnoteText"/>
        <w:spacing w:before="120"/>
      </w:pPr>
      <w:r w:rsidRPr="007A04BF">
        <w:rPr>
          <w:rStyle w:val="FootnoteReference"/>
        </w:rPr>
        <w:footnoteRef/>
      </w:r>
      <w:r w:rsidRPr="007A04BF">
        <w:t xml:space="preserve"> </w:t>
      </w:r>
      <w:r w:rsidRPr="007A04BF">
        <w:rPr>
          <w:i/>
        </w:rPr>
        <w:t xml:space="preserve">See </w:t>
      </w:r>
      <w:r w:rsidRPr="007A04BF">
        <w:t>47 U.S.C. §§ 154(</w:t>
      </w:r>
      <w:r w:rsidRPr="007A04BF">
        <w:t>i</w:t>
      </w:r>
      <w:r w:rsidRPr="007A04BF">
        <w:t xml:space="preserve">), 154(j), 403, 503(b)(1)(B); 47 CFR § 1.17; </w:t>
      </w:r>
      <w:r w:rsidRPr="007A04BF">
        <w:rPr>
          <w:i/>
        </w:rPr>
        <w:t>SBC Commc’ns, Inc.</w:t>
      </w:r>
      <w:r w:rsidRPr="007A04BF">
        <w:t xml:space="preserve">, Forfeiture Order, 17 FCC </w:t>
      </w:r>
      <w:r w:rsidRPr="007A04BF">
        <w:t>Rcd</w:t>
      </w:r>
      <w:r w:rsidRPr="007A04BF">
        <w:t xml:space="preserve"> 7589, 7599-7600, paras. 23-28 (2002); </w:t>
      </w:r>
      <w:r w:rsidRPr="007A04BF">
        <w:rPr>
          <w:i/>
        </w:rPr>
        <w:t>Message Commc’ns, Inc.</w:t>
      </w:r>
      <w:r w:rsidRPr="007A04BF">
        <w:t xml:space="preserve">, Notice of Apparent Liability for Forfeiture, 29 FCC </w:t>
      </w:r>
      <w:r w:rsidRPr="007A04BF">
        <w:t>Rcd</w:t>
      </w:r>
      <w:r w:rsidRPr="007A04BF">
        <w:t xml:space="preserve"> 8214, 8216-17, paras. 9-12 (EB 2014); </w:t>
      </w:r>
      <w:r w:rsidRPr="007A04BF">
        <w:rPr>
          <w:i/>
        </w:rPr>
        <w:t>Calling Post Commc’ns, Inc.</w:t>
      </w:r>
      <w:r w:rsidRPr="007A04BF">
        <w:t xml:space="preserve">, Notice of Apparent Liability for Forfeiture, 29 FCC </w:t>
      </w:r>
      <w:r w:rsidRPr="007A04BF">
        <w:t>Rcd</w:t>
      </w:r>
      <w:r w:rsidRPr="007A04BF">
        <w:t xml:space="preserve"> 8208, 8210-11, paras. 8-11 (EB 2014); </w:t>
      </w:r>
      <w:r w:rsidRPr="007A04BF">
        <w:rPr>
          <w:i/>
        </w:rPr>
        <w:t>Digital Antenna, Inc.</w:t>
      </w:r>
      <w:r w:rsidRPr="007A04BF">
        <w:t>,</w:t>
      </w:r>
      <w:r w:rsidRPr="007A04BF">
        <w:rPr>
          <w:i/>
        </w:rPr>
        <w:t xml:space="preserve"> </w:t>
      </w:r>
      <w:r w:rsidRPr="007A04BF">
        <w:t xml:space="preserve">Notice of Apparent Liability for Forfeiture and Order, 23 FCC </w:t>
      </w:r>
      <w:r w:rsidRPr="007A04BF">
        <w:t>Rcd</w:t>
      </w:r>
      <w:r w:rsidRPr="007A04BF">
        <w:t xml:space="preserve"> 7600, 7601-02, paras. 6-8 (EB 2008), </w:t>
      </w:r>
      <w:r w:rsidRPr="007A04BF">
        <w:rPr>
          <w:i/>
          <w:snapToGrid w:val="0"/>
        </w:rPr>
        <w:t>consent decree ordered</w:t>
      </w:r>
      <w:r w:rsidRPr="007A04BF">
        <w:rPr>
          <w:snapToGrid w:val="0"/>
        </w:rPr>
        <w:t xml:space="preserve">, Order and Consent Decree, 28 FCC </w:t>
      </w:r>
      <w:r w:rsidRPr="007A04BF">
        <w:rPr>
          <w:snapToGrid w:val="0"/>
        </w:rPr>
        <w:t>Rcd</w:t>
      </w:r>
      <w:r w:rsidRPr="007A04BF">
        <w:rPr>
          <w:snapToGrid w:val="0"/>
        </w:rPr>
        <w:t xml:space="preserve"> 12587 (EB 2013))</w:t>
      </w:r>
      <w:r w:rsidRPr="007A04BF">
        <w:t>.</w:t>
      </w:r>
    </w:p>
  </w:footnote>
  <w:footnote w:id="142">
    <w:p w:rsidR="00066DD7" w:rsidRPr="007A04BF" w:rsidP="00DA0071" w14:paraId="4757EE77" w14:textId="77777777">
      <w:pPr>
        <w:pStyle w:val="FootnoteText"/>
      </w:pPr>
      <w:r w:rsidRPr="007A04BF">
        <w:rPr>
          <w:rStyle w:val="FootnoteReference"/>
        </w:rPr>
        <w:footnoteRef/>
      </w:r>
      <w:r w:rsidRPr="007A04BF">
        <w:t xml:space="preserve"> </w:t>
      </w:r>
      <w:r w:rsidRPr="007A04BF">
        <w:rPr>
          <w:i/>
          <w:iCs/>
        </w:rPr>
        <w:t xml:space="preserve">See NAL, </w:t>
      </w:r>
      <w:r w:rsidRPr="007A04BF">
        <w:t xml:space="preserve">35 FCC </w:t>
      </w:r>
      <w:r w:rsidRPr="007A04BF">
        <w:t>Rcd</w:t>
      </w:r>
      <w:r w:rsidRPr="007A04BF">
        <w:t xml:space="preserve"> at 3480-81, paras. 8-9.</w:t>
      </w:r>
    </w:p>
  </w:footnote>
  <w:footnote w:id="143">
    <w:p w:rsidR="00066DD7" w:rsidRPr="007A04BF" w:rsidP="00DA0071" w14:paraId="13641A5C" w14:textId="77777777">
      <w:pPr>
        <w:pStyle w:val="FootnoteText"/>
      </w:pPr>
      <w:r w:rsidRPr="007A04BF">
        <w:rPr>
          <w:rStyle w:val="FootnoteReference"/>
        </w:rPr>
        <w:footnoteRef/>
      </w:r>
      <w:r w:rsidRPr="007A04BF">
        <w:t xml:space="preserve"> 2019 LOI.</w:t>
      </w:r>
    </w:p>
  </w:footnote>
  <w:footnote w:id="144">
    <w:p w:rsidR="00066DD7" w:rsidRPr="007A04BF" w:rsidP="00DA0071" w14:paraId="0253E7B5" w14:textId="77777777">
      <w:pPr>
        <w:pStyle w:val="FootnoteText"/>
      </w:pPr>
      <w:r w:rsidRPr="007A04BF">
        <w:rPr>
          <w:rStyle w:val="FootnoteReference"/>
        </w:rPr>
        <w:footnoteRef/>
      </w:r>
      <w:r w:rsidRPr="007A04BF">
        <w:t xml:space="preserve"> NAL Response at 9.  </w:t>
      </w:r>
    </w:p>
  </w:footnote>
  <w:footnote w:id="145">
    <w:p w:rsidR="00066DD7" w:rsidRPr="007A04BF" w:rsidP="00DA0071" w14:paraId="024D37F6" w14:textId="04C734AD">
      <w:pPr>
        <w:pStyle w:val="FootnoteText"/>
      </w:pPr>
      <w:r w:rsidRPr="007A04BF">
        <w:rPr>
          <w:rStyle w:val="FootnoteReference"/>
        </w:rPr>
        <w:footnoteRef/>
      </w:r>
      <w:r w:rsidRPr="007A04BF">
        <w:t xml:space="preserve"> </w:t>
      </w:r>
      <w:r w:rsidRPr="007A04BF">
        <w:rPr>
          <w:i/>
          <w:iCs/>
        </w:rPr>
        <w:t>See</w:t>
      </w:r>
      <w:r w:rsidRPr="007A04BF">
        <w:t xml:space="preserve"> J. Brach Decl.</w:t>
      </w:r>
    </w:p>
  </w:footnote>
  <w:footnote w:id="146">
    <w:p w:rsidR="004B54D1" w:rsidRPr="007A04BF" w:rsidP="004B54D1" w14:paraId="1AEA1C81" w14:textId="77777777">
      <w:pPr>
        <w:pStyle w:val="FootnoteText"/>
      </w:pPr>
      <w:r w:rsidRPr="007A04BF">
        <w:rPr>
          <w:rStyle w:val="FootnoteReference"/>
        </w:rPr>
        <w:footnoteRef/>
      </w:r>
      <w:r w:rsidRPr="007A04BF">
        <w:t xml:space="preserve"> 2019 LOI at 8.  </w:t>
      </w:r>
    </w:p>
  </w:footnote>
  <w:footnote w:id="147">
    <w:p w:rsidR="00066DD7" w:rsidRPr="007A04BF" w:rsidP="00DA0071" w14:paraId="676899A1" w14:textId="6D1FCBA8">
      <w:pPr>
        <w:pStyle w:val="FootnoteText"/>
      </w:pPr>
      <w:r w:rsidRPr="007A04BF">
        <w:rPr>
          <w:rStyle w:val="FootnoteReference"/>
        </w:rPr>
        <w:footnoteRef/>
      </w:r>
      <w:r w:rsidRPr="007A04BF">
        <w:t xml:space="preserve"> </w:t>
      </w:r>
      <w:r w:rsidRPr="007A04BF">
        <w:rPr>
          <w:i/>
          <w:iCs/>
        </w:rPr>
        <w:t>See Application of WorldCom, Inc., and MCI Communications Corporation for Transfer of Control of MCI Communications Corporation to World</w:t>
      </w:r>
      <w:r w:rsidRPr="007A04BF" w:rsidR="001A68CB">
        <w:rPr>
          <w:i/>
          <w:iCs/>
        </w:rPr>
        <w:t>C</w:t>
      </w:r>
      <w:r w:rsidRPr="007A04BF">
        <w:rPr>
          <w:i/>
          <w:iCs/>
        </w:rPr>
        <w:t>om, Inc.</w:t>
      </w:r>
      <w:r w:rsidRPr="007A04BF">
        <w:t xml:space="preserve">, Memorandum Opinion and Order, 13 FCC </w:t>
      </w:r>
      <w:r w:rsidRPr="007A04BF">
        <w:t>Rcd</w:t>
      </w:r>
      <w:r w:rsidRPr="007A04BF">
        <w:t xml:space="preserve"> 18025, 18134, para. 193 (1998) (citing 47 CFR § 1.17 for proposition that, in light of the duty to be truthful and accurate in representations to the Commission, statements provided to the Commission are awarded substantial weight in the absence of persuasive evidence to the contrary).</w:t>
      </w:r>
    </w:p>
  </w:footnote>
  <w:footnote w:id="148">
    <w:p w:rsidR="00D20E61" w:rsidRPr="007A04BF" w14:paraId="299367E0" w14:textId="12F96F29">
      <w:pPr>
        <w:pStyle w:val="FootnoteText"/>
      </w:pPr>
      <w:r w:rsidRPr="007A04BF">
        <w:rPr>
          <w:rStyle w:val="FootnoteReference"/>
        </w:rPr>
        <w:footnoteRef/>
      </w:r>
      <w:r w:rsidRPr="007A04BF">
        <w:t xml:space="preserve"> </w:t>
      </w:r>
      <w:r w:rsidRPr="007A04BF">
        <w:rPr>
          <w:i/>
          <w:iCs/>
        </w:rPr>
        <w:t>See, e.g.</w:t>
      </w:r>
      <w:r w:rsidRPr="007A04BF">
        <w:t xml:space="preserve">, </w:t>
      </w:r>
      <w:r w:rsidRPr="007A04BF">
        <w:rPr>
          <w:i/>
          <w:iCs/>
        </w:rPr>
        <w:t>Midessa</w:t>
      </w:r>
      <w:r w:rsidRPr="007A04BF">
        <w:rPr>
          <w:i/>
          <w:iCs/>
        </w:rPr>
        <w:t xml:space="preserve"> Television Ltd. </w:t>
      </w:r>
      <w:r w:rsidRPr="007A04BF">
        <w:rPr>
          <w:i/>
          <w:iCs/>
        </w:rPr>
        <w:t>P’ship</w:t>
      </w:r>
      <w:r w:rsidRPr="007A04BF">
        <w:t xml:space="preserve">, Notice of Apparent Liability for Forfeiture, 29 FCC </w:t>
      </w:r>
      <w:r w:rsidRPr="007A04BF">
        <w:t>Rcd</w:t>
      </w:r>
      <w:r w:rsidRPr="007A04BF">
        <w:t xml:space="preserve"> 13247, 13250-51, para. 11 (2014) (upward adjustment for the base forfeiture because of extended duration of the violation) (</w:t>
      </w:r>
      <w:r w:rsidRPr="007A04BF" w:rsidR="00B65E57">
        <w:t xml:space="preserve">forfeiture </w:t>
      </w:r>
      <w:r w:rsidRPr="007A04BF">
        <w:t xml:space="preserve">paid); </w:t>
      </w:r>
      <w:r w:rsidRPr="007A04BF">
        <w:rPr>
          <w:i/>
          <w:iCs/>
        </w:rPr>
        <w:t>Union Oil Co. of Cal.</w:t>
      </w:r>
      <w:r w:rsidRPr="007A04BF">
        <w:t xml:space="preserve">, Notice of Apparent Liability for Forfeiture, 27 FCC </w:t>
      </w:r>
      <w:r w:rsidRPr="007A04BF">
        <w:t>Rcd</w:t>
      </w:r>
      <w:r w:rsidRPr="007A04BF">
        <w:t xml:space="preserve"> 13806, 13810-11, paras. 10-11 (2012) (upward adjustment of the base forfeiture because of extended duration of the violation) (forfeiture paid)</w:t>
      </w:r>
      <w:r w:rsidRPr="007A04BF" w:rsidR="005F0663">
        <w:t>.</w:t>
      </w:r>
    </w:p>
  </w:footnote>
  <w:footnote w:id="149">
    <w:p w:rsidR="00066DD7" w:rsidRPr="007A04BF" w14:paraId="1B659A4D" w14:textId="38FF7F21">
      <w:pPr>
        <w:pStyle w:val="FootnoteText"/>
      </w:pPr>
      <w:r w:rsidRPr="007A04BF">
        <w:rPr>
          <w:rStyle w:val="FootnoteReference"/>
        </w:rPr>
        <w:footnoteRef/>
      </w:r>
      <w:r w:rsidRPr="007A04BF">
        <w:t xml:space="preserve"> </w:t>
      </w:r>
      <w:r w:rsidRPr="007A04BF">
        <w:rPr>
          <w:i/>
          <w:iCs/>
        </w:rPr>
        <w:t xml:space="preserve">See </w:t>
      </w:r>
      <w:r w:rsidRPr="007A04BF">
        <w:t>NAL Response at 17-20.</w:t>
      </w:r>
    </w:p>
  </w:footnote>
  <w:footnote w:id="150">
    <w:p w:rsidR="00066DD7" w:rsidRPr="007A04BF" w14:paraId="54B0B322" w14:textId="280BC303">
      <w:pPr>
        <w:pStyle w:val="FootnoteText"/>
      </w:pPr>
      <w:r w:rsidRPr="007A04BF">
        <w:rPr>
          <w:rStyle w:val="FootnoteReference"/>
        </w:rPr>
        <w:footnoteRef/>
      </w:r>
      <w:r w:rsidRPr="007A04BF">
        <w:t xml:space="preserve"> </w:t>
      </w:r>
      <w:r w:rsidRPr="007A04BF">
        <w:rPr>
          <w:i/>
          <w:iCs/>
        </w:rPr>
        <w:t xml:space="preserve">See id. </w:t>
      </w:r>
      <w:r w:rsidRPr="007A04BF">
        <w:t>at 18.</w:t>
      </w:r>
    </w:p>
  </w:footnote>
  <w:footnote w:id="151">
    <w:p w:rsidR="00066DD7" w:rsidRPr="007A04BF" w:rsidP="00F32868" w14:paraId="64A9BA4A" w14:textId="4A03FC65">
      <w:pPr>
        <w:widowControl/>
        <w:autoSpaceDE w:val="0"/>
        <w:autoSpaceDN w:val="0"/>
        <w:adjustRightInd w:val="0"/>
        <w:spacing w:after="120"/>
      </w:pPr>
      <w:r w:rsidRPr="007A04BF">
        <w:rPr>
          <w:rStyle w:val="FootnoteReference"/>
        </w:rPr>
        <w:footnoteRef/>
      </w:r>
      <w:r w:rsidRPr="007A04BF">
        <w:rPr>
          <w:sz w:val="20"/>
        </w:rPr>
        <w:t xml:space="preserve"> </w:t>
      </w:r>
      <w:r w:rsidRPr="007A04BF">
        <w:rPr>
          <w:i/>
          <w:iCs/>
          <w:sz w:val="20"/>
        </w:rPr>
        <w:t>See Marketing Citation</w:t>
      </w:r>
      <w:r w:rsidRPr="007A04BF">
        <w:rPr>
          <w:sz w:val="20"/>
        </w:rPr>
        <w:t xml:space="preserve">, 26 FCC </w:t>
      </w:r>
      <w:r w:rsidRPr="007A04BF">
        <w:rPr>
          <w:sz w:val="20"/>
        </w:rPr>
        <w:t>Rcd</w:t>
      </w:r>
      <w:r w:rsidRPr="007A04BF">
        <w:rPr>
          <w:sz w:val="20"/>
        </w:rPr>
        <w:t xml:space="preserve"> at 9475-76, para. 4 (“In its December 6, 2009 response to the LOI, Sound Around</w:t>
      </w:r>
      <w:r w:rsidRPr="007A04BF" w:rsidR="00AF2901">
        <w:rPr>
          <w:sz w:val="20"/>
        </w:rPr>
        <w:t xml:space="preserve"> . . . </w:t>
      </w:r>
      <w:r w:rsidRPr="007A04BF">
        <w:rPr>
          <w:sz w:val="20"/>
        </w:rPr>
        <w:t>provides a marketing flyer that confirms that two of the wireless microphones, Models PDWM94 and PDWM96, operate on frequencies 114-116 MHz</w:t>
      </w:r>
      <w:r w:rsidRPr="007A04BF" w:rsidR="0011461E">
        <w:rPr>
          <w:sz w:val="20"/>
        </w:rPr>
        <w:t xml:space="preserve">, </w:t>
      </w:r>
      <w:r w:rsidRPr="000F1FFC" w:rsidR="0011461E">
        <w:rPr>
          <w:color w:val="010101"/>
          <w:kern w:val="0"/>
          <w:sz w:val="20"/>
        </w:rPr>
        <w:t>which are within the 108-121.94 MHz restricted frequency band</w:t>
      </w:r>
      <w:r w:rsidRPr="000F1FFC" w:rsidR="0011461E">
        <w:rPr>
          <w:color w:val="010101"/>
          <w:sz w:val="20"/>
        </w:rPr>
        <w:t>.</w:t>
      </w:r>
      <w:r w:rsidRPr="007A04BF">
        <w:rPr>
          <w:sz w:val="20"/>
        </w:rPr>
        <w:t>”).</w:t>
      </w:r>
    </w:p>
  </w:footnote>
  <w:footnote w:id="152">
    <w:p w:rsidR="00066DD7" w:rsidRPr="007A04BF" w:rsidP="00443187" w14:paraId="0E73808F" w14:textId="4CA2CD39">
      <w:pPr>
        <w:pStyle w:val="FootnoteText"/>
      </w:pPr>
      <w:r w:rsidRPr="007A04BF">
        <w:rPr>
          <w:rStyle w:val="FootnoteReference"/>
        </w:rPr>
        <w:footnoteRef/>
      </w:r>
      <w:r w:rsidRPr="007A04BF">
        <w:t xml:space="preserve"> 2019 LOI Response at Exh</w:t>
      </w:r>
      <w:r w:rsidRPr="007A04BF" w:rsidR="00817360">
        <w:t>ibit</w:t>
      </w:r>
      <w:r w:rsidRPr="007A04BF">
        <w:t xml:space="preserve"> A.  </w:t>
      </w:r>
    </w:p>
  </w:footnote>
  <w:footnote w:id="153">
    <w:p w:rsidR="00066DD7" w:rsidRPr="007A04BF" w14:paraId="362B42AC" w14:textId="58623555">
      <w:pPr>
        <w:pStyle w:val="FootnoteText"/>
      </w:pPr>
      <w:r w:rsidRPr="007A04BF">
        <w:rPr>
          <w:rStyle w:val="FootnoteReference"/>
        </w:rPr>
        <w:footnoteRef/>
      </w:r>
      <w:r w:rsidRPr="007A04BF">
        <w:t xml:space="preserve"> </w:t>
      </w:r>
      <w:r w:rsidRPr="007A04BF">
        <w:rPr>
          <w:i/>
          <w:iCs/>
        </w:rPr>
        <w:t>See</w:t>
      </w:r>
      <w:r w:rsidRPr="007A04BF">
        <w:t xml:space="preserve"> J. Brach Decl.  </w:t>
      </w:r>
    </w:p>
  </w:footnote>
  <w:footnote w:id="154">
    <w:p w:rsidR="00066DD7" w:rsidRPr="007A04BF" w14:paraId="2E949D33" w14:textId="3CBCD667">
      <w:pPr>
        <w:pStyle w:val="FootnoteText"/>
      </w:pPr>
      <w:r w:rsidRPr="007A04BF">
        <w:rPr>
          <w:rStyle w:val="FootnoteReference"/>
        </w:rPr>
        <w:footnoteRef/>
      </w:r>
      <w:r w:rsidRPr="007A04BF">
        <w:t xml:space="preserve"> </w:t>
      </w:r>
      <w:r w:rsidRPr="007A04BF">
        <w:rPr>
          <w:i/>
          <w:iCs/>
        </w:rPr>
        <w:t xml:space="preserve">See </w:t>
      </w:r>
      <w:r w:rsidRPr="007A04BF">
        <w:t>NAL Response at 18.</w:t>
      </w:r>
    </w:p>
  </w:footnote>
  <w:footnote w:id="155">
    <w:p w:rsidR="00817360" w:rsidRPr="007A04BF" w14:paraId="41C6410B" w14:textId="2FB19176">
      <w:pPr>
        <w:pStyle w:val="FootnoteText"/>
      </w:pPr>
      <w:r w:rsidRPr="007A04BF">
        <w:rPr>
          <w:rStyle w:val="FootnoteReference"/>
        </w:rPr>
        <w:footnoteRef/>
      </w:r>
      <w:r w:rsidRPr="007A04BF">
        <w:t xml:space="preserve"> </w:t>
      </w:r>
      <w:r w:rsidRPr="007A04BF" w:rsidR="001804EA">
        <w:rPr>
          <w:i/>
          <w:iCs/>
        </w:rPr>
        <w:t xml:space="preserve">See </w:t>
      </w:r>
      <w:r w:rsidRPr="007A04BF" w:rsidR="001804EA">
        <w:rPr>
          <w:i/>
        </w:rPr>
        <w:t>NAL</w:t>
      </w:r>
      <w:r w:rsidRPr="007A04BF" w:rsidR="001804EA">
        <w:t xml:space="preserve">, 35 FCC </w:t>
      </w:r>
      <w:r w:rsidRPr="007A04BF" w:rsidR="001804EA">
        <w:t>Rcd</w:t>
      </w:r>
      <w:r w:rsidRPr="007A04BF" w:rsidR="001804EA">
        <w:t xml:space="preserve"> at 3481, para. 9.</w:t>
      </w:r>
    </w:p>
  </w:footnote>
  <w:footnote w:id="156">
    <w:p w:rsidR="00066DD7" w:rsidRPr="007A04BF" w14:paraId="67C805B5" w14:textId="49842B62">
      <w:pPr>
        <w:pStyle w:val="FootnoteText"/>
      </w:pPr>
      <w:r w:rsidRPr="007A04BF">
        <w:rPr>
          <w:rStyle w:val="FootnoteReference"/>
        </w:rPr>
        <w:footnoteRef/>
      </w:r>
      <w:r w:rsidRPr="007A04BF">
        <w:t xml:space="preserve"> </w:t>
      </w:r>
      <w:r w:rsidRPr="007A04BF">
        <w:rPr>
          <w:i/>
          <w:iCs/>
        </w:rPr>
        <w:t>See supra</w:t>
      </w:r>
      <w:r w:rsidRPr="007A04BF">
        <w:t xml:space="preserve"> note </w:t>
      </w:r>
      <w:r w:rsidRPr="007A04BF" w:rsidR="00155397">
        <w:fldChar w:fldCharType="begin"/>
      </w:r>
      <w:r w:rsidRPr="007A04BF" w:rsidR="00155397">
        <w:instrText xml:space="preserve"> NOTEREF _Ref101258861 \h </w:instrText>
      </w:r>
      <w:r w:rsidR="007A04BF">
        <w:instrText xml:space="preserve"> \* MERGEFORMAT </w:instrText>
      </w:r>
      <w:r w:rsidRPr="007A04BF" w:rsidR="00155397">
        <w:fldChar w:fldCharType="separate"/>
      </w:r>
      <w:r w:rsidR="001A0982">
        <w:t>126</w:t>
      </w:r>
      <w:r w:rsidRPr="007A04BF" w:rsidR="00155397">
        <w:fldChar w:fldCharType="end"/>
      </w:r>
      <w:r w:rsidRPr="007A04BF">
        <w:t xml:space="preserve">.  </w:t>
      </w:r>
    </w:p>
  </w:footnote>
  <w:footnote w:id="157">
    <w:p w:rsidR="00066DD7" w:rsidRPr="007A04BF" w:rsidP="00085B30" w14:paraId="72755F06" w14:textId="695C954E">
      <w:pPr>
        <w:pStyle w:val="FootnoteText"/>
      </w:pPr>
      <w:r w:rsidRPr="007A04BF">
        <w:rPr>
          <w:rStyle w:val="FootnoteReference"/>
        </w:rPr>
        <w:footnoteRef/>
      </w:r>
      <w:r w:rsidRPr="007A04BF">
        <w:t xml:space="preserve"> </w:t>
      </w:r>
      <w:r w:rsidRPr="007A04BF">
        <w:rPr>
          <w:i/>
          <w:iCs/>
        </w:rPr>
        <w:t>Amazon.com</w:t>
      </w:r>
      <w:r w:rsidRPr="007A04BF">
        <w:t xml:space="preserve">, Pyle UHF Professional Mic with Adapter Receiver - Dual Function Wired/Wireless Mic System, Karaoke Mic Control w/ Portable Vocal Audio, for Stage Performances or In-Studio Use - </w:t>
      </w:r>
      <w:r w:rsidRPr="007A04BF">
        <w:t>SereneLife</w:t>
      </w:r>
      <w:r w:rsidRPr="007A04BF">
        <w:t xml:space="preserve"> PDWM94, </w:t>
      </w:r>
      <w:hyperlink r:id="rId9" w:history="1">
        <w:r w:rsidRPr="007A04BF">
          <w:rPr>
            <w:rStyle w:val="Hyperlink"/>
          </w:rPr>
          <w:t>https://www.amazon.com/UHF-Professional-Adapter-Receiver-Studio/dp/B0007LCMFS</w:t>
        </w:r>
      </w:hyperlink>
      <w:r w:rsidRPr="007A04BF">
        <w:t xml:space="preserve"> (last visited Mar. 25, 2022) (screenshot on file in EB-SED-17-00024010) (“Question: Is this one of the microphones you are getting an </w:t>
      </w:r>
      <w:r w:rsidRPr="007A04BF">
        <w:t>fcc</w:t>
      </w:r>
      <w:r w:rsidRPr="007A04BF">
        <w:t xml:space="preserve"> fine? one of the earlier posts noted it was transmitting in the us aircraft band.  Answer: Hi, </w:t>
      </w:r>
      <w:r w:rsidRPr="007A04BF">
        <w:rPr>
          <w:i/>
          <w:iCs/>
        </w:rPr>
        <w:t>the product operates between 114MHz to 116MHz</w:t>
      </w:r>
      <w:r w:rsidRPr="007A04BF">
        <w:t xml:space="preserve">, so it is not affected by the FCC ban on the 700MHz band. You may check other details of the unit by visiting our website pyleaudio.com. Type the model number on the search box PDWM94 for more details. Thank you. </w:t>
      </w:r>
      <w:r w:rsidRPr="007A04BF">
        <w:rPr>
          <w:i/>
          <w:iCs/>
        </w:rPr>
        <w:t>By Pyle S. MANUFACTURER  on April 17, 2020</w:t>
      </w:r>
      <w:r w:rsidRPr="007A04BF">
        <w:t>”)</w:t>
      </w:r>
      <w:r w:rsidRPr="007A04BF" w:rsidR="00B63707">
        <w:t xml:space="preserve"> (emphasis added)</w:t>
      </w:r>
      <w:r w:rsidRPr="007A04BF" w:rsidR="00CA59BB">
        <w:t xml:space="preserve">; </w:t>
      </w:r>
      <w:r w:rsidRPr="007A04BF" w:rsidR="00CA59BB">
        <w:rPr>
          <w:i/>
          <w:iCs/>
        </w:rPr>
        <w:t>s</w:t>
      </w:r>
      <w:r w:rsidRPr="007A04BF" w:rsidR="00B63707">
        <w:rPr>
          <w:i/>
          <w:iCs/>
        </w:rPr>
        <w:t>ee</w:t>
      </w:r>
      <w:r w:rsidRPr="007A04BF" w:rsidR="00B63707">
        <w:t xml:space="preserve"> 47 CFR § 2.106 (108-117.975 MHz set aside for aviation and Aeronautical Radionavigation); </w:t>
      </w:r>
      <w:r w:rsidRPr="007A04BF" w:rsidR="00B63707">
        <w:rPr>
          <w:i/>
          <w:iCs/>
        </w:rPr>
        <w:t>s</w:t>
      </w:r>
      <w:r w:rsidRPr="007A04BF" w:rsidR="004F2444">
        <w:rPr>
          <w:i/>
          <w:iCs/>
        </w:rPr>
        <w:t>ee</w:t>
      </w:r>
      <w:r w:rsidRPr="007A04BF" w:rsidR="00B63707">
        <w:rPr>
          <w:i/>
          <w:iCs/>
        </w:rPr>
        <w:t xml:space="preserve"> also</w:t>
      </w:r>
      <w:r w:rsidRPr="007A04BF" w:rsidR="004F2444">
        <w:rPr>
          <w:i/>
          <w:iCs/>
        </w:rPr>
        <w:t xml:space="preserve"> supra </w:t>
      </w:r>
      <w:r w:rsidRPr="007A04BF" w:rsidR="004F2444">
        <w:t xml:space="preserve">note </w:t>
      </w:r>
      <w:r w:rsidRPr="007A04BF" w:rsidR="004F2444">
        <w:fldChar w:fldCharType="begin"/>
      </w:r>
      <w:r w:rsidRPr="007A04BF" w:rsidR="004F2444">
        <w:instrText xml:space="preserve"> NOTEREF _Ref33004518 \h </w:instrText>
      </w:r>
      <w:r w:rsidRPr="007A04BF" w:rsidR="00155397">
        <w:instrText xml:space="preserve"> \* MERGEFORMAT </w:instrText>
      </w:r>
      <w:r w:rsidRPr="007A04BF" w:rsidR="004F2444">
        <w:fldChar w:fldCharType="separate"/>
      </w:r>
      <w:r w:rsidR="001A0982">
        <w:t>11</w:t>
      </w:r>
      <w:r w:rsidRPr="007A04BF" w:rsidR="004F2444">
        <w:fldChar w:fldCharType="end"/>
      </w:r>
      <w:r w:rsidRPr="007A04BF" w:rsidR="004F2444">
        <w:t xml:space="preserve"> (</w:t>
      </w:r>
      <w:r w:rsidRPr="007A04BF" w:rsidR="00B63707">
        <w:t>same</w:t>
      </w:r>
      <w:r w:rsidRPr="007A04BF" w:rsidR="004F2444">
        <w:t>).</w:t>
      </w:r>
    </w:p>
  </w:footnote>
  <w:footnote w:id="158">
    <w:p w:rsidR="00066DD7" w:rsidRPr="007A04BF" w14:paraId="633D24BB" w14:textId="3379F6D9">
      <w:pPr>
        <w:pStyle w:val="FootnoteText"/>
      </w:pPr>
      <w:r w:rsidRPr="007A04BF">
        <w:rPr>
          <w:rStyle w:val="FootnoteReference"/>
        </w:rPr>
        <w:footnoteRef/>
      </w:r>
      <w:r w:rsidRPr="007A04BF">
        <w:t xml:space="preserve"> </w:t>
      </w:r>
      <w:r w:rsidRPr="007A04BF">
        <w:rPr>
          <w:i/>
          <w:iCs/>
        </w:rPr>
        <w:t>See</w:t>
      </w:r>
      <w:r w:rsidRPr="007A04BF">
        <w:t xml:space="preserve"> NAL</w:t>
      </w:r>
      <w:r w:rsidRPr="007A04BF">
        <w:rPr>
          <w:i/>
          <w:iCs/>
        </w:rPr>
        <w:t xml:space="preserve"> </w:t>
      </w:r>
      <w:r w:rsidRPr="007A04BF">
        <w:t>Response at 20.</w:t>
      </w:r>
    </w:p>
  </w:footnote>
  <w:footnote w:id="159">
    <w:p w:rsidR="00066DD7" w:rsidRPr="007A04BF" w:rsidP="005461DC" w14:paraId="1DC969E9" w14:textId="77777777">
      <w:pPr>
        <w:pStyle w:val="FootnoteText"/>
      </w:pPr>
      <w:r w:rsidRPr="007A04BF">
        <w:rPr>
          <w:rStyle w:val="FootnoteReference"/>
        </w:rPr>
        <w:footnoteRef/>
      </w:r>
      <w:r w:rsidRPr="007A04BF">
        <w:t xml:space="preserve"> </w:t>
      </w:r>
      <w:r w:rsidRPr="007A04BF">
        <w:rPr>
          <w:i/>
          <w:iCs/>
        </w:rPr>
        <w:t xml:space="preserve">NAL, </w:t>
      </w:r>
      <w:r w:rsidRPr="007A04BF">
        <w:t xml:space="preserve">35 FCC </w:t>
      </w:r>
      <w:r w:rsidRPr="007A04BF">
        <w:t>Rcd</w:t>
      </w:r>
      <w:r w:rsidRPr="007A04BF">
        <w:t xml:space="preserve"> at 3485-86, para. 22.</w:t>
      </w:r>
    </w:p>
  </w:footnote>
  <w:footnote w:id="160">
    <w:p w:rsidR="00066DD7" w:rsidRPr="007A04BF" w:rsidP="005461DC" w14:paraId="52F0C60B" w14:textId="1F309DCA">
      <w:pPr>
        <w:pStyle w:val="FootnoteText"/>
      </w:pPr>
      <w:r w:rsidRPr="007A04BF">
        <w:rPr>
          <w:rStyle w:val="FootnoteReference"/>
        </w:rPr>
        <w:footnoteRef/>
      </w:r>
      <w:r w:rsidRPr="007A04BF">
        <w:t xml:space="preserve"> </w:t>
      </w:r>
      <w:r w:rsidRPr="007A04BF">
        <w:rPr>
          <w:i/>
          <w:iCs/>
        </w:rPr>
        <w:t>See Marketing Citation</w:t>
      </w:r>
      <w:r w:rsidRPr="007A04BF">
        <w:t xml:space="preserve">, 26 FCC </w:t>
      </w:r>
      <w:r w:rsidRPr="007A04BF">
        <w:t>Rcd</w:t>
      </w:r>
      <w:r w:rsidRPr="007A04BF">
        <w:t xml:space="preserve"> at 9475-76, para. 3 (“In its December 6, 2009 response to the LOI, Sound Around admits to importing and marketing the wireless microphones in the United States…”) (footnote omitted).  </w:t>
      </w:r>
    </w:p>
  </w:footnote>
  <w:footnote w:id="161">
    <w:p w:rsidR="00C711C9" w:rsidRPr="007A04BF" w14:paraId="13112314" w14:textId="3E35BDB0">
      <w:pPr>
        <w:pStyle w:val="FootnoteText"/>
      </w:pPr>
      <w:r w:rsidRPr="007A04BF">
        <w:rPr>
          <w:rStyle w:val="FootnoteReference"/>
        </w:rPr>
        <w:footnoteRef/>
      </w:r>
      <w:r w:rsidRPr="007A04BF">
        <w:t xml:space="preserve"> The </w:t>
      </w:r>
      <w:r w:rsidRPr="007A04BF">
        <w:rPr>
          <w:i/>
          <w:iCs/>
        </w:rPr>
        <w:t xml:space="preserve">Marketing Citation </w:t>
      </w:r>
      <w:r w:rsidRPr="007A04BF">
        <w:t xml:space="preserve">noted Division staff observed noncompliant marketing on September 29, 2009, November 18, 2009, July 21, 2010, September 17, 2010, September 29, 2010, June 8, 2011, and June 9, 2011.  </w:t>
      </w:r>
      <w:r w:rsidRPr="007A04BF">
        <w:rPr>
          <w:i/>
          <w:iCs/>
        </w:rPr>
        <w:t>See Marketing Citation</w:t>
      </w:r>
      <w:r w:rsidRPr="007A04BF">
        <w:t xml:space="preserve">, 26 FCC </w:t>
      </w:r>
      <w:r w:rsidRPr="007A04BF">
        <w:t>Rcd</w:t>
      </w:r>
      <w:r w:rsidRPr="007A04BF">
        <w:t xml:space="preserve"> at 9475-76, para. 3, n.4; </w:t>
      </w:r>
      <w:r w:rsidRPr="007A04BF">
        <w:rPr>
          <w:i/>
          <w:iCs/>
        </w:rPr>
        <w:t>id</w:t>
      </w:r>
      <w:r w:rsidRPr="007A04BF">
        <w:t>. at 9476, para. 6, n.16.  Following the complaint in 2016, Division staff observed noncompliant marketing on</w:t>
      </w:r>
      <w:r w:rsidRPr="007A04BF" w:rsidR="001804EA">
        <w:t xml:space="preserve"> at least</w:t>
      </w:r>
      <w:r w:rsidRPr="007A04BF">
        <w:t xml:space="preserve"> October 11, 2017, June 22, 2018, April 9, 2019, and January 28, 2020.</w:t>
      </w:r>
      <w:r w:rsidRPr="007A04BF">
        <w:t xml:space="preserve">  </w:t>
      </w:r>
    </w:p>
  </w:footnote>
  <w:footnote w:id="162">
    <w:p w:rsidR="00066DD7" w:rsidRPr="007A04BF" w14:paraId="3911A601" w14:textId="7435F444">
      <w:pPr>
        <w:pStyle w:val="FootnoteText"/>
      </w:pPr>
      <w:r w:rsidRPr="007A04BF">
        <w:rPr>
          <w:rStyle w:val="FootnoteReference"/>
        </w:rPr>
        <w:footnoteRef/>
      </w:r>
      <w:r w:rsidRPr="007A04BF">
        <w:t xml:space="preserve"> </w:t>
      </w:r>
      <w:r w:rsidRPr="007A04BF">
        <w:rPr>
          <w:i/>
          <w:iCs/>
        </w:rPr>
        <w:t xml:space="preserve">See </w:t>
      </w:r>
      <w:r w:rsidRPr="007A04BF">
        <w:rPr>
          <w:i/>
        </w:rPr>
        <w:t>NAL</w:t>
      </w:r>
      <w:r w:rsidRPr="007A04BF">
        <w:t xml:space="preserve">, 35 FCC </w:t>
      </w:r>
      <w:r w:rsidRPr="007A04BF">
        <w:t>Rcd</w:t>
      </w:r>
      <w:r w:rsidRPr="007A04BF">
        <w:t xml:space="preserve"> at 3485, para. 21.  </w:t>
      </w:r>
    </w:p>
  </w:footnote>
  <w:footnote w:id="163">
    <w:p w:rsidR="00066DD7" w:rsidRPr="007A04BF" w14:paraId="04C0D854" w14:textId="5CCAE57C">
      <w:pPr>
        <w:pStyle w:val="FootnoteText"/>
      </w:pPr>
      <w:r w:rsidRPr="007A04BF">
        <w:rPr>
          <w:rStyle w:val="FootnoteReference"/>
        </w:rPr>
        <w:footnoteRef/>
      </w:r>
      <w:r w:rsidRPr="007A04BF">
        <w:t xml:space="preserve"> </w:t>
      </w:r>
      <w:r w:rsidRPr="007A04BF">
        <w:rPr>
          <w:i/>
          <w:iCs/>
        </w:rPr>
        <w:t>See Marketing Citation</w:t>
      </w:r>
      <w:r w:rsidRPr="007A04BF">
        <w:t xml:space="preserve">, 26 FCC </w:t>
      </w:r>
      <w:r w:rsidRPr="007A04BF">
        <w:t>Rcd</w:t>
      </w:r>
      <w:r w:rsidRPr="007A04BF">
        <w:t xml:space="preserve"> at 9475-76, paras. 3-6.  </w:t>
      </w:r>
    </w:p>
  </w:footnote>
  <w:footnote w:id="164">
    <w:p w:rsidR="00066DD7" w:rsidRPr="007A04BF" w14:paraId="044FA9AA" w14:textId="124F5E8C">
      <w:pPr>
        <w:pStyle w:val="FootnoteText"/>
      </w:pPr>
      <w:r w:rsidRPr="007A04BF">
        <w:rPr>
          <w:rStyle w:val="FootnoteReference"/>
        </w:rPr>
        <w:footnoteRef/>
      </w:r>
      <w:r w:rsidRPr="007A04BF">
        <w:t xml:space="preserve"> </w:t>
      </w:r>
      <w:r w:rsidRPr="007A04BF">
        <w:rPr>
          <w:i/>
          <w:iCs/>
        </w:rPr>
        <w:t xml:space="preserve">See </w:t>
      </w:r>
      <w:r w:rsidRPr="007A04BF">
        <w:t>NAL Response at 21.</w:t>
      </w:r>
    </w:p>
  </w:footnote>
  <w:footnote w:id="165">
    <w:p w:rsidR="00C223B0" w:rsidRPr="007A04BF" w14:paraId="235CEAC9" w14:textId="2D701DC5">
      <w:pPr>
        <w:pStyle w:val="FootnoteText"/>
      </w:pPr>
      <w:r w:rsidRPr="007A04BF">
        <w:rPr>
          <w:rStyle w:val="FootnoteReference"/>
        </w:rPr>
        <w:footnoteRef/>
      </w:r>
      <w:r w:rsidRPr="007A04BF">
        <w:t xml:space="preserve"> 47 U.S.C.</w:t>
      </w:r>
      <w:r w:rsidRPr="007A04BF" w:rsidR="006F355C">
        <w:t xml:space="preserve"> §</w:t>
      </w:r>
      <w:r w:rsidRPr="007A04BF" w:rsidR="00633DB9">
        <w:t xml:space="preserve"> 503(b)(5)(C).</w:t>
      </w:r>
    </w:p>
  </w:footnote>
  <w:footnote w:id="166">
    <w:p w:rsidR="00066DD7" w:rsidRPr="007A04BF" w14:paraId="6A35928E" w14:textId="3855A73A">
      <w:pPr>
        <w:pStyle w:val="FootnoteText"/>
      </w:pPr>
      <w:r w:rsidRPr="007A04BF">
        <w:rPr>
          <w:rStyle w:val="FootnoteReference"/>
        </w:rPr>
        <w:footnoteRef/>
      </w:r>
      <w:r w:rsidRPr="007A04BF">
        <w:t xml:space="preserve"> </w:t>
      </w:r>
      <w:r w:rsidRPr="007A04BF">
        <w:rPr>
          <w:i/>
          <w:iCs/>
        </w:rPr>
        <w:t>See Marketing Citation</w:t>
      </w:r>
      <w:r w:rsidRPr="007A04BF">
        <w:t>.</w:t>
      </w:r>
    </w:p>
  </w:footnote>
  <w:footnote w:id="167">
    <w:p w:rsidR="00066DD7" w:rsidRPr="007A04BF" w14:paraId="52A98FE2" w14:textId="65BFEB1F">
      <w:pPr>
        <w:pStyle w:val="FootnoteText"/>
      </w:pPr>
      <w:r w:rsidRPr="007A04BF">
        <w:rPr>
          <w:rStyle w:val="FootnoteReference"/>
        </w:rPr>
        <w:footnoteRef/>
      </w:r>
      <w:r w:rsidRPr="007A04BF">
        <w:t xml:space="preserve"> </w:t>
      </w:r>
      <w:r w:rsidRPr="007A04BF">
        <w:rPr>
          <w:i/>
          <w:iCs/>
        </w:rPr>
        <w:t>See Lakewood Broad. Serv., Inc.</w:t>
      </w:r>
      <w:r w:rsidRPr="007A04BF">
        <w:t>, Memorandum Opinion and Order, 37 FCC 2d 437, 438, para. 6 (1972) (denying a mitigation claim based on a licensee's assertion of unfamiliarity with station identification requirements, reasoning that “[</w:t>
      </w:r>
      <w:r w:rsidRPr="007A04BF">
        <w:t>i</w:t>
      </w:r>
      <w:r w:rsidRPr="007A04BF">
        <w:t xml:space="preserve">]f ignorance of [the Rules] were accepted as an excuse, we would be encouraging licensees to know as little as possible”).  </w:t>
      </w:r>
    </w:p>
  </w:footnote>
  <w:footnote w:id="168">
    <w:p w:rsidR="00066DD7" w:rsidRPr="007A04BF" w14:paraId="3D5E417A" w14:textId="0AE6068F">
      <w:pPr>
        <w:pStyle w:val="FootnoteText"/>
      </w:pPr>
      <w:r w:rsidRPr="007A04BF">
        <w:rPr>
          <w:rStyle w:val="FootnoteReference"/>
        </w:rPr>
        <w:footnoteRef/>
      </w:r>
      <w:r w:rsidRPr="007A04BF">
        <w:t xml:space="preserve"> </w:t>
      </w:r>
      <w:r w:rsidRPr="007A04BF">
        <w:rPr>
          <w:i/>
          <w:iCs/>
        </w:rPr>
        <w:t>See id.</w:t>
      </w:r>
    </w:p>
  </w:footnote>
  <w:footnote w:id="169">
    <w:p w:rsidR="00066DD7" w:rsidRPr="007A04BF" w14:paraId="0FB84535" w14:textId="32624C6D">
      <w:pPr>
        <w:pStyle w:val="FootnoteText"/>
      </w:pPr>
      <w:r w:rsidRPr="007A04BF">
        <w:rPr>
          <w:rStyle w:val="FootnoteReference"/>
        </w:rPr>
        <w:footnoteRef/>
      </w:r>
      <w:r w:rsidRPr="007A04BF">
        <w:t xml:space="preserve"> </w:t>
      </w:r>
      <w:bookmarkStart w:id="173" w:name="_Hlk70507903"/>
      <w:r w:rsidRPr="007A04BF">
        <w:rPr>
          <w:i/>
          <w:iCs/>
        </w:rPr>
        <w:t xml:space="preserve">See supra </w:t>
      </w:r>
      <w:r w:rsidRPr="007A04BF">
        <w:t>note</w:t>
      </w:r>
      <w:r w:rsidRPr="007A04BF" w:rsidR="00155397">
        <w:t>s</w:t>
      </w:r>
      <w:r w:rsidRPr="007A04BF">
        <w:t xml:space="preserve"> </w:t>
      </w:r>
      <w:r w:rsidRPr="007A04BF" w:rsidR="00155397">
        <w:fldChar w:fldCharType="begin"/>
      </w:r>
      <w:r w:rsidRPr="007A04BF" w:rsidR="00155397">
        <w:instrText xml:space="preserve"> NOTEREF _Ref99378886 \h  \* MERGEFORMAT </w:instrText>
      </w:r>
      <w:r w:rsidRPr="007A04BF" w:rsidR="00155397">
        <w:fldChar w:fldCharType="separate"/>
      </w:r>
      <w:r w:rsidR="001A0982">
        <w:t>65</w:t>
      </w:r>
      <w:r w:rsidRPr="007A04BF" w:rsidR="00155397">
        <w:fldChar w:fldCharType="end"/>
      </w:r>
      <w:r w:rsidRPr="007A04BF" w:rsidR="00155397">
        <w:t xml:space="preserve"> and </w:t>
      </w:r>
      <w:r w:rsidRPr="007A04BF" w:rsidR="00155397">
        <w:fldChar w:fldCharType="begin"/>
      </w:r>
      <w:r w:rsidRPr="007A04BF" w:rsidR="00155397">
        <w:instrText xml:space="preserve"> NOTEREF _Ref101258972 \h  \* MERGEFORMAT </w:instrText>
      </w:r>
      <w:r w:rsidRPr="007A04BF" w:rsidR="00155397">
        <w:fldChar w:fldCharType="separate"/>
      </w:r>
      <w:r w:rsidR="001A0982">
        <w:t>66</w:t>
      </w:r>
      <w:r w:rsidRPr="007A04BF" w:rsidR="00155397">
        <w:fldChar w:fldCharType="end"/>
      </w:r>
      <w:r w:rsidRPr="007A04BF">
        <w:t>.</w:t>
      </w:r>
      <w:bookmarkEnd w:id="173"/>
    </w:p>
  </w:footnote>
  <w:footnote w:id="170">
    <w:p w:rsidR="008E72F9" w:rsidRPr="007A04BF" w:rsidP="008E72F9" w14:paraId="0204689D" w14:textId="77777777">
      <w:pPr>
        <w:pStyle w:val="FootnoteText"/>
      </w:pPr>
      <w:r w:rsidRPr="007A04BF">
        <w:rPr>
          <w:rStyle w:val="FootnoteReference"/>
        </w:rPr>
        <w:footnoteRef/>
      </w:r>
      <w:r w:rsidRPr="007A04BF">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171">
    <w:p w:rsidR="00066DD7" w:rsidRPr="007A04BF" w:rsidP="003343CA" w14:paraId="3C59CDC1" w14:textId="77777777">
      <w:pPr>
        <w:pStyle w:val="FootnoteText"/>
      </w:pPr>
      <w:r w:rsidRPr="007A04BF">
        <w:rPr>
          <w:rStyle w:val="FootnoteReference"/>
        </w:rPr>
        <w:footnoteRef/>
      </w:r>
      <w:r w:rsidRPr="007A04BF">
        <w:t xml:space="preserve"> 47 U.S.C. § 503(b).</w:t>
      </w:r>
    </w:p>
  </w:footnote>
  <w:footnote w:id="172">
    <w:p w:rsidR="00066DD7" w:rsidRPr="007A04BF" w:rsidP="003343CA" w14:paraId="5C374432" w14:textId="77777777">
      <w:pPr>
        <w:pStyle w:val="FootnoteText"/>
      </w:pPr>
      <w:r w:rsidRPr="007A04BF">
        <w:rPr>
          <w:rStyle w:val="FootnoteReference"/>
        </w:rPr>
        <w:footnoteRef/>
      </w:r>
      <w:r w:rsidRPr="007A04BF">
        <w:t xml:space="preserve"> 47 CFR § 1.80.</w:t>
      </w:r>
    </w:p>
  </w:footnote>
  <w:footnote w:id="173">
    <w:p w:rsidR="00066DD7" w:rsidRPr="007A04BF" w:rsidP="00200B9A" w14:paraId="7018A9DD" w14:textId="77777777">
      <w:pPr>
        <w:pStyle w:val="FootnoteText"/>
      </w:pPr>
      <w:r w:rsidRPr="007A04BF">
        <w:rPr>
          <w:rStyle w:val="FootnoteReference"/>
        </w:rPr>
        <w:footnoteRef/>
      </w:r>
      <w:r w:rsidRPr="007A04BF">
        <w:t xml:space="preserve"> 47 U.S.C. § 302a(b).   </w:t>
      </w:r>
    </w:p>
  </w:footnote>
  <w:footnote w:id="174">
    <w:p w:rsidR="00066DD7" w:rsidRPr="007A04BF" w:rsidP="00200B9A" w14:paraId="7D398369" w14:textId="30034E4B">
      <w:pPr>
        <w:pStyle w:val="FootnoteText"/>
      </w:pPr>
      <w:r w:rsidRPr="007A04BF">
        <w:rPr>
          <w:rStyle w:val="FootnoteReference"/>
        </w:rPr>
        <w:footnoteRef/>
      </w:r>
      <w:r w:rsidRPr="007A04BF">
        <w:t xml:space="preserve"> 47 CFR §§ 2.803(b)(1), 74.851(f).  </w:t>
      </w:r>
    </w:p>
  </w:footnote>
  <w:footnote w:id="175">
    <w:p w:rsidR="00066DD7" w:rsidRPr="007A04BF" w:rsidP="003343CA" w14:paraId="4F401F42" w14:textId="77777777">
      <w:pPr>
        <w:pStyle w:val="FootnoteText"/>
      </w:pPr>
      <w:r w:rsidRPr="007A04BF">
        <w:rPr>
          <w:rStyle w:val="FootnoteReference"/>
        </w:rPr>
        <w:footnoteRef/>
      </w:r>
      <w:r w:rsidRPr="007A04BF">
        <w:t xml:space="preserve"> </w:t>
      </w:r>
      <w:r w:rsidRPr="007A04BF">
        <w:rPr>
          <w:i/>
        </w:rPr>
        <w:t>Id.</w:t>
      </w:r>
    </w:p>
  </w:footnote>
  <w:footnote w:id="176">
    <w:p w:rsidR="00066DD7" w:rsidRPr="007A04BF" w:rsidP="003343CA" w14:paraId="69FC12CC" w14:textId="77777777">
      <w:pPr>
        <w:pStyle w:val="FootnoteText"/>
      </w:pPr>
      <w:r w:rsidRPr="007A04BF">
        <w:rPr>
          <w:rStyle w:val="FootnoteReference"/>
        </w:rPr>
        <w:footnoteRef/>
      </w:r>
      <w:r w:rsidRPr="007A04BF">
        <w:t xml:space="preserve"> 47 U.S.C. § 504(a).</w:t>
      </w:r>
    </w:p>
  </w:footnote>
  <w:footnote w:id="177">
    <w:p w:rsidR="00066DD7" w:rsidRPr="007A04BF" w:rsidP="003B46A9" w14:paraId="23F68AC4" w14:textId="77777777">
      <w:pPr>
        <w:pStyle w:val="FootnoteText"/>
      </w:pPr>
      <w:r w:rsidRPr="007A04BF">
        <w:rPr>
          <w:rStyle w:val="FootnoteReference"/>
        </w:rPr>
        <w:footnoteRef/>
      </w:r>
      <w:r w:rsidRPr="007A04BF">
        <w:t xml:space="preserve"> Payments made using CORES do not require the submission of an FCC Form 159.</w:t>
      </w:r>
    </w:p>
  </w:footnote>
  <w:footnote w:id="178">
    <w:p w:rsidR="00066DD7" w:rsidRPr="007A04BF" w:rsidP="003B46A9" w14:paraId="443656B2" w14:textId="7D596969">
      <w:pPr>
        <w:pStyle w:val="FootnoteText"/>
      </w:pPr>
      <w:r w:rsidRPr="007A04BF">
        <w:rPr>
          <w:rStyle w:val="FootnoteReference"/>
        </w:rPr>
        <w:footnoteRef/>
      </w:r>
      <w:r w:rsidRPr="007A04BF">
        <w:t xml:space="preserve"> For questions regarding payment procedures, please contact the Financial Operations Group Help Desk by phone at 1-877-480-3201 </w:t>
      </w:r>
      <w:r w:rsidRPr="003433FA" w:rsidR="00BE57E8">
        <w:t>(option #</w:t>
      </w:r>
      <w:r w:rsidR="00BE57E8">
        <w:t>1</w:t>
      </w:r>
      <w:r w:rsidRPr="003433FA" w:rsidR="00BE57E8">
        <w:t>)</w:t>
      </w:r>
      <w:r w:rsidRPr="007A04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DD7" w:rsidP="00D83A98" w14:paraId="12C78DD0" w14:textId="62A89637">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Pr="00023805" w:rsidR="00023805">
      <w:rPr>
        <w:b/>
        <w:spacing w:val="-2"/>
      </w:rPr>
      <w:t>FCC  22-62</w:t>
    </w:r>
  </w:p>
  <w:p w:rsidR="00066DD7" w:rsidP="00D83A98" w14:paraId="0C98132C" w14:textId="0FDDF9DC">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066DD7" w:rsidP="00D83A98"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066DD7" w:rsidP="00D83A98" w14:paraId="1497B764" w14:textId="77777777"/>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DD7" w:rsidP="00D83A98" w14:paraId="5156313B" w14:textId="087A7971">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bookmarkStart w:id="199" w:name="_Hlk110257011"/>
    <w:r>
      <w:rPr>
        <w:b/>
        <w:spacing w:val="-2"/>
      </w:rPr>
      <w:t>FCC</w:t>
    </w:r>
    <w:r w:rsidR="00023805">
      <w:rPr>
        <w:b/>
        <w:spacing w:val="-2"/>
      </w:rPr>
      <w:t xml:space="preserve"> </w:t>
    </w:r>
    <w:r>
      <w:rPr>
        <w:b/>
        <w:spacing w:val="-2"/>
      </w:rPr>
      <w:t xml:space="preserve"> </w:t>
    </w:r>
    <w:r w:rsidR="00090255">
      <w:rPr>
        <w:b/>
        <w:spacing w:val="-2"/>
      </w:rPr>
      <w:t>22-62</w:t>
    </w:r>
    <w:bookmarkEnd w:id="199"/>
  </w:p>
  <w:p w:rsidR="00066DD7" w:rsidP="00D83A98" w14:paraId="72AB80F8" w14:textId="5764678F">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066DD7" w:rsidP="00D83A98"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066DD7" w:rsidP="00D83A98" w14:paraId="54915293" w14:textId="77777777"/>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C4D2619"/>
    <w:multiLevelType w:val="hybridMultilevel"/>
    <w:tmpl w:val="A9743E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9584D56"/>
    <w:multiLevelType w:val="hybridMultilevel"/>
    <w:tmpl w:val="AAE235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2">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6">
    <w:nsid w:val="6EC83453"/>
    <w:multiLevelType w:val="hybridMultilevel"/>
    <w:tmpl w:val="D974B2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9"/>
  </w:num>
  <w:num w:numId="5">
    <w:abstractNumId w:val="0"/>
    <w:lvlOverride w:ilvl="0">
      <w:lvl w:ilvl="0">
        <w:start w:val="0"/>
        <w:numFmt w:val="bullet"/>
        <w:pStyle w:val="par1"/>
        <w:lvlText w:val=""/>
        <w:legacy w:legacy="1" w:legacySpace="0" w:legacyIndent="360"/>
        <w:lvlJc w:val="left"/>
        <w:rPr>
          <w:rFonts w:ascii="Symbol" w:hAnsi="Symbol" w:hint="default"/>
        </w:rPr>
      </w:lvl>
    </w:lvlOverride>
  </w:num>
  <w:num w:numId="6">
    <w:abstractNumId w:val="11"/>
  </w:num>
  <w:num w:numId="7">
    <w:abstractNumId w:val="13"/>
  </w:num>
  <w:num w:numId="8">
    <w:abstractNumId w:val="12"/>
  </w:num>
  <w:num w:numId="9">
    <w:abstractNumId w:val="5"/>
  </w:num>
  <w:num w:numId="10">
    <w:abstractNumId w:val="10"/>
  </w:num>
  <w:num w:numId="11">
    <w:abstractNumId w:val="6"/>
  </w:num>
  <w:num w:numId="12">
    <w:abstractNumId w:val="2"/>
  </w:num>
  <w:num w:numId="13">
    <w:abstractNumId w:val="15"/>
  </w:num>
  <w:num w:numId="14">
    <w:abstractNumId w:val="3"/>
  </w:num>
  <w:num w:numId="15">
    <w:abstractNumId w:val="14"/>
  </w:num>
  <w:num w:numId="16">
    <w:abstractNumId w:val="7"/>
  </w:num>
  <w:num w:numId="17">
    <w:abstractNumId w:val="14"/>
  </w:num>
  <w:num w:numId="18">
    <w:abstractNumId w:val="14"/>
  </w:num>
  <w:num w:numId="19">
    <w:abstractNumId w:val="4"/>
  </w:num>
  <w:num w:numId="20">
    <w:abstractNumId w:val="7"/>
  </w:num>
  <w:num w:numId="21">
    <w:abstractNumId w:val="8"/>
  </w:num>
  <w:num w:numId="22">
    <w:abstractNumId w:val="14"/>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301C"/>
    <w:rsid w:val="0000366D"/>
    <w:rsid w:val="0000429F"/>
    <w:rsid w:val="00004867"/>
    <w:rsid w:val="0000508B"/>
    <w:rsid w:val="00005148"/>
    <w:rsid w:val="000054D7"/>
    <w:rsid w:val="00005954"/>
    <w:rsid w:val="00005C58"/>
    <w:rsid w:val="0000624E"/>
    <w:rsid w:val="00007A88"/>
    <w:rsid w:val="00010619"/>
    <w:rsid w:val="00010B69"/>
    <w:rsid w:val="00010C6E"/>
    <w:rsid w:val="00013A3B"/>
    <w:rsid w:val="00014462"/>
    <w:rsid w:val="000145C6"/>
    <w:rsid w:val="00014747"/>
    <w:rsid w:val="00014A45"/>
    <w:rsid w:val="0001696B"/>
    <w:rsid w:val="00016B15"/>
    <w:rsid w:val="000170F6"/>
    <w:rsid w:val="000171C5"/>
    <w:rsid w:val="000174F9"/>
    <w:rsid w:val="00017DBB"/>
    <w:rsid w:val="00017FE4"/>
    <w:rsid w:val="00021358"/>
    <w:rsid w:val="000218CE"/>
    <w:rsid w:val="0002208B"/>
    <w:rsid w:val="00022FF5"/>
    <w:rsid w:val="000230AC"/>
    <w:rsid w:val="0002325A"/>
    <w:rsid w:val="00023805"/>
    <w:rsid w:val="00023CDF"/>
    <w:rsid w:val="000249FF"/>
    <w:rsid w:val="00024BAA"/>
    <w:rsid w:val="000264B4"/>
    <w:rsid w:val="000271E8"/>
    <w:rsid w:val="00031AE8"/>
    <w:rsid w:val="00032D3E"/>
    <w:rsid w:val="000356DA"/>
    <w:rsid w:val="00035809"/>
    <w:rsid w:val="00035E47"/>
    <w:rsid w:val="00036D58"/>
    <w:rsid w:val="0003735F"/>
    <w:rsid w:val="00037589"/>
    <w:rsid w:val="00037751"/>
    <w:rsid w:val="00037A96"/>
    <w:rsid w:val="00037AC9"/>
    <w:rsid w:val="0004005A"/>
    <w:rsid w:val="000406F8"/>
    <w:rsid w:val="000409C0"/>
    <w:rsid w:val="00042F13"/>
    <w:rsid w:val="00043979"/>
    <w:rsid w:val="00043C9B"/>
    <w:rsid w:val="00043DE2"/>
    <w:rsid w:val="00045B2B"/>
    <w:rsid w:val="0004603F"/>
    <w:rsid w:val="00046801"/>
    <w:rsid w:val="00046A77"/>
    <w:rsid w:val="00046D49"/>
    <w:rsid w:val="0004745B"/>
    <w:rsid w:val="00047840"/>
    <w:rsid w:val="00050854"/>
    <w:rsid w:val="00050FEF"/>
    <w:rsid w:val="000512BF"/>
    <w:rsid w:val="00053EB6"/>
    <w:rsid w:val="000547F1"/>
    <w:rsid w:val="0005586C"/>
    <w:rsid w:val="000560EC"/>
    <w:rsid w:val="000561F7"/>
    <w:rsid w:val="00056225"/>
    <w:rsid w:val="000567EB"/>
    <w:rsid w:val="000570E9"/>
    <w:rsid w:val="0005784A"/>
    <w:rsid w:val="00057E35"/>
    <w:rsid w:val="000603CA"/>
    <w:rsid w:val="000604EB"/>
    <w:rsid w:val="00061514"/>
    <w:rsid w:val="00061CE8"/>
    <w:rsid w:val="000624A1"/>
    <w:rsid w:val="00062C44"/>
    <w:rsid w:val="00062DD3"/>
    <w:rsid w:val="0006369D"/>
    <w:rsid w:val="0006447D"/>
    <w:rsid w:val="000649FE"/>
    <w:rsid w:val="00064CC0"/>
    <w:rsid w:val="00065969"/>
    <w:rsid w:val="00066DD7"/>
    <w:rsid w:val="00070068"/>
    <w:rsid w:val="00070F0F"/>
    <w:rsid w:val="00071E3F"/>
    <w:rsid w:val="00072D7D"/>
    <w:rsid w:val="0007316C"/>
    <w:rsid w:val="00074717"/>
    <w:rsid w:val="000748E1"/>
    <w:rsid w:val="0007571D"/>
    <w:rsid w:val="00076B06"/>
    <w:rsid w:val="000775BC"/>
    <w:rsid w:val="00080535"/>
    <w:rsid w:val="00080A44"/>
    <w:rsid w:val="00081044"/>
    <w:rsid w:val="000816B4"/>
    <w:rsid w:val="000817DE"/>
    <w:rsid w:val="00083DFE"/>
    <w:rsid w:val="00084E87"/>
    <w:rsid w:val="00085114"/>
    <w:rsid w:val="0008523E"/>
    <w:rsid w:val="000852BD"/>
    <w:rsid w:val="000853AD"/>
    <w:rsid w:val="0008554B"/>
    <w:rsid w:val="00085B30"/>
    <w:rsid w:val="00086824"/>
    <w:rsid w:val="00087956"/>
    <w:rsid w:val="00087A3F"/>
    <w:rsid w:val="00087C40"/>
    <w:rsid w:val="00087EDE"/>
    <w:rsid w:val="00087F2A"/>
    <w:rsid w:val="00087FD3"/>
    <w:rsid w:val="00090255"/>
    <w:rsid w:val="00091AE4"/>
    <w:rsid w:val="00091BC4"/>
    <w:rsid w:val="00091D9E"/>
    <w:rsid w:val="00092506"/>
    <w:rsid w:val="00093FE3"/>
    <w:rsid w:val="00094630"/>
    <w:rsid w:val="00094930"/>
    <w:rsid w:val="00094986"/>
    <w:rsid w:val="0009526C"/>
    <w:rsid w:val="000959F5"/>
    <w:rsid w:val="0009610D"/>
    <w:rsid w:val="0009610F"/>
    <w:rsid w:val="000962DF"/>
    <w:rsid w:val="00097F82"/>
    <w:rsid w:val="000A25D2"/>
    <w:rsid w:val="000A2EB1"/>
    <w:rsid w:val="000A31D9"/>
    <w:rsid w:val="000A3744"/>
    <w:rsid w:val="000A37D1"/>
    <w:rsid w:val="000A3E68"/>
    <w:rsid w:val="000A41A2"/>
    <w:rsid w:val="000A41F9"/>
    <w:rsid w:val="000A4776"/>
    <w:rsid w:val="000A4845"/>
    <w:rsid w:val="000B0640"/>
    <w:rsid w:val="000B0654"/>
    <w:rsid w:val="000B14C3"/>
    <w:rsid w:val="000B17DA"/>
    <w:rsid w:val="000B1AED"/>
    <w:rsid w:val="000B1C2B"/>
    <w:rsid w:val="000B29ED"/>
    <w:rsid w:val="000B305A"/>
    <w:rsid w:val="000B4132"/>
    <w:rsid w:val="000B5022"/>
    <w:rsid w:val="000B5823"/>
    <w:rsid w:val="000B58A3"/>
    <w:rsid w:val="000B5DAD"/>
    <w:rsid w:val="000B7657"/>
    <w:rsid w:val="000C03FC"/>
    <w:rsid w:val="000C092B"/>
    <w:rsid w:val="000C1F21"/>
    <w:rsid w:val="000C2377"/>
    <w:rsid w:val="000C3745"/>
    <w:rsid w:val="000C3860"/>
    <w:rsid w:val="000C3A15"/>
    <w:rsid w:val="000C443E"/>
    <w:rsid w:val="000C4A8E"/>
    <w:rsid w:val="000C57B1"/>
    <w:rsid w:val="000C6050"/>
    <w:rsid w:val="000C6242"/>
    <w:rsid w:val="000C7710"/>
    <w:rsid w:val="000D03AE"/>
    <w:rsid w:val="000D0954"/>
    <w:rsid w:val="000D1391"/>
    <w:rsid w:val="000D1D54"/>
    <w:rsid w:val="000D1DEC"/>
    <w:rsid w:val="000D214C"/>
    <w:rsid w:val="000D3380"/>
    <w:rsid w:val="000D60DB"/>
    <w:rsid w:val="000D741D"/>
    <w:rsid w:val="000E1951"/>
    <w:rsid w:val="000E23C8"/>
    <w:rsid w:val="000E2707"/>
    <w:rsid w:val="000E397E"/>
    <w:rsid w:val="000E3D8C"/>
    <w:rsid w:val="000E77A8"/>
    <w:rsid w:val="000E7823"/>
    <w:rsid w:val="000F029B"/>
    <w:rsid w:val="000F0C3B"/>
    <w:rsid w:val="000F1155"/>
    <w:rsid w:val="000F12EE"/>
    <w:rsid w:val="000F1438"/>
    <w:rsid w:val="000F1ED6"/>
    <w:rsid w:val="000F1FFC"/>
    <w:rsid w:val="000F24DD"/>
    <w:rsid w:val="000F32FE"/>
    <w:rsid w:val="000F3454"/>
    <w:rsid w:val="000F3686"/>
    <w:rsid w:val="000F575C"/>
    <w:rsid w:val="000F6B04"/>
    <w:rsid w:val="00100646"/>
    <w:rsid w:val="00100781"/>
    <w:rsid w:val="001034F9"/>
    <w:rsid w:val="0010444C"/>
    <w:rsid w:val="00105903"/>
    <w:rsid w:val="00105A35"/>
    <w:rsid w:val="001064FB"/>
    <w:rsid w:val="001065E1"/>
    <w:rsid w:val="001067B6"/>
    <w:rsid w:val="001073D2"/>
    <w:rsid w:val="001108B2"/>
    <w:rsid w:val="00111101"/>
    <w:rsid w:val="00111E28"/>
    <w:rsid w:val="00113133"/>
    <w:rsid w:val="00113297"/>
    <w:rsid w:val="0011337B"/>
    <w:rsid w:val="00113700"/>
    <w:rsid w:val="00113938"/>
    <w:rsid w:val="0011461E"/>
    <w:rsid w:val="00116513"/>
    <w:rsid w:val="00116783"/>
    <w:rsid w:val="0011687C"/>
    <w:rsid w:val="00117D98"/>
    <w:rsid w:val="001205FE"/>
    <w:rsid w:val="00121145"/>
    <w:rsid w:val="001217A3"/>
    <w:rsid w:val="00122CA9"/>
    <w:rsid w:val="00123150"/>
    <w:rsid w:val="0012325D"/>
    <w:rsid w:val="0012427E"/>
    <w:rsid w:val="00126C88"/>
    <w:rsid w:val="0012703A"/>
    <w:rsid w:val="00130CF9"/>
    <w:rsid w:val="001314C4"/>
    <w:rsid w:val="00131970"/>
    <w:rsid w:val="00132FB7"/>
    <w:rsid w:val="00135AAE"/>
    <w:rsid w:val="00135DC7"/>
    <w:rsid w:val="00135F7F"/>
    <w:rsid w:val="00136476"/>
    <w:rsid w:val="001375FE"/>
    <w:rsid w:val="00137A5F"/>
    <w:rsid w:val="00140ABB"/>
    <w:rsid w:val="00141B92"/>
    <w:rsid w:val="00141E38"/>
    <w:rsid w:val="001426F0"/>
    <w:rsid w:val="001426F4"/>
    <w:rsid w:val="00142F01"/>
    <w:rsid w:val="00144CF6"/>
    <w:rsid w:val="00144FC9"/>
    <w:rsid w:val="00145E08"/>
    <w:rsid w:val="0014673D"/>
    <w:rsid w:val="00147544"/>
    <w:rsid w:val="001501BE"/>
    <w:rsid w:val="001514C1"/>
    <w:rsid w:val="001516D5"/>
    <w:rsid w:val="0015269C"/>
    <w:rsid w:val="00152D39"/>
    <w:rsid w:val="001532B1"/>
    <w:rsid w:val="00153904"/>
    <w:rsid w:val="00153CE0"/>
    <w:rsid w:val="0015487D"/>
    <w:rsid w:val="00154A5C"/>
    <w:rsid w:val="00155397"/>
    <w:rsid w:val="00155C41"/>
    <w:rsid w:val="00156E5D"/>
    <w:rsid w:val="00157839"/>
    <w:rsid w:val="00160372"/>
    <w:rsid w:val="001609F8"/>
    <w:rsid w:val="00160A4D"/>
    <w:rsid w:val="001616C5"/>
    <w:rsid w:val="00162161"/>
    <w:rsid w:val="0016227B"/>
    <w:rsid w:val="001649D5"/>
    <w:rsid w:val="00164D9B"/>
    <w:rsid w:val="00166DC9"/>
    <w:rsid w:val="001715BD"/>
    <w:rsid w:val="00172581"/>
    <w:rsid w:val="001725F2"/>
    <w:rsid w:val="00173B9A"/>
    <w:rsid w:val="001740BB"/>
    <w:rsid w:val="00175B96"/>
    <w:rsid w:val="00180026"/>
    <w:rsid w:val="001804EA"/>
    <w:rsid w:val="00180D37"/>
    <w:rsid w:val="00180D5A"/>
    <w:rsid w:val="00181501"/>
    <w:rsid w:val="00181678"/>
    <w:rsid w:val="001819AF"/>
    <w:rsid w:val="00184EC3"/>
    <w:rsid w:val="00185075"/>
    <w:rsid w:val="00187EA3"/>
    <w:rsid w:val="00190207"/>
    <w:rsid w:val="001902E8"/>
    <w:rsid w:val="0019058A"/>
    <w:rsid w:val="0019084F"/>
    <w:rsid w:val="00191888"/>
    <w:rsid w:val="00193872"/>
    <w:rsid w:val="00195BD7"/>
    <w:rsid w:val="00195EFD"/>
    <w:rsid w:val="00196E93"/>
    <w:rsid w:val="00197501"/>
    <w:rsid w:val="001A0688"/>
    <w:rsid w:val="001A08D3"/>
    <w:rsid w:val="001A0982"/>
    <w:rsid w:val="001A29EF"/>
    <w:rsid w:val="001A2F40"/>
    <w:rsid w:val="001A5900"/>
    <w:rsid w:val="001A609D"/>
    <w:rsid w:val="001A6192"/>
    <w:rsid w:val="001A6476"/>
    <w:rsid w:val="001A68CB"/>
    <w:rsid w:val="001A69BA"/>
    <w:rsid w:val="001A6D33"/>
    <w:rsid w:val="001A75AA"/>
    <w:rsid w:val="001A79FB"/>
    <w:rsid w:val="001B048F"/>
    <w:rsid w:val="001B0F08"/>
    <w:rsid w:val="001B1121"/>
    <w:rsid w:val="001B3598"/>
    <w:rsid w:val="001B3935"/>
    <w:rsid w:val="001B3A5B"/>
    <w:rsid w:val="001B3FD1"/>
    <w:rsid w:val="001B4262"/>
    <w:rsid w:val="001B4385"/>
    <w:rsid w:val="001B4B42"/>
    <w:rsid w:val="001B7533"/>
    <w:rsid w:val="001B7DEA"/>
    <w:rsid w:val="001C07B3"/>
    <w:rsid w:val="001C124D"/>
    <w:rsid w:val="001C13E2"/>
    <w:rsid w:val="001C2D5D"/>
    <w:rsid w:val="001C3156"/>
    <w:rsid w:val="001C3B35"/>
    <w:rsid w:val="001C42B3"/>
    <w:rsid w:val="001C483E"/>
    <w:rsid w:val="001C4BEE"/>
    <w:rsid w:val="001C658D"/>
    <w:rsid w:val="001C6AFC"/>
    <w:rsid w:val="001D0BF2"/>
    <w:rsid w:val="001D1CEF"/>
    <w:rsid w:val="001D3C47"/>
    <w:rsid w:val="001D7001"/>
    <w:rsid w:val="001E07C6"/>
    <w:rsid w:val="001E135C"/>
    <w:rsid w:val="001E1906"/>
    <w:rsid w:val="001E1E61"/>
    <w:rsid w:val="001E2463"/>
    <w:rsid w:val="001E316B"/>
    <w:rsid w:val="001E401B"/>
    <w:rsid w:val="001E4835"/>
    <w:rsid w:val="001E5C58"/>
    <w:rsid w:val="001E6786"/>
    <w:rsid w:val="001F0459"/>
    <w:rsid w:val="001F1A88"/>
    <w:rsid w:val="001F2B76"/>
    <w:rsid w:val="001F326F"/>
    <w:rsid w:val="001F3599"/>
    <w:rsid w:val="001F3946"/>
    <w:rsid w:val="001F3BD1"/>
    <w:rsid w:val="001F4853"/>
    <w:rsid w:val="001F497B"/>
    <w:rsid w:val="001F557E"/>
    <w:rsid w:val="001F5AA4"/>
    <w:rsid w:val="001F686A"/>
    <w:rsid w:val="001F7EE0"/>
    <w:rsid w:val="002001A7"/>
    <w:rsid w:val="00200986"/>
    <w:rsid w:val="00200B9A"/>
    <w:rsid w:val="00200F3C"/>
    <w:rsid w:val="00201990"/>
    <w:rsid w:val="0020236F"/>
    <w:rsid w:val="00202F78"/>
    <w:rsid w:val="002037C2"/>
    <w:rsid w:val="00203C5B"/>
    <w:rsid w:val="0020471F"/>
    <w:rsid w:val="00206D27"/>
    <w:rsid w:val="0020705F"/>
    <w:rsid w:val="002111DD"/>
    <w:rsid w:val="002116B5"/>
    <w:rsid w:val="0021315C"/>
    <w:rsid w:val="00213295"/>
    <w:rsid w:val="00213394"/>
    <w:rsid w:val="00213CF9"/>
    <w:rsid w:val="002146E2"/>
    <w:rsid w:val="0021510F"/>
    <w:rsid w:val="00215BC2"/>
    <w:rsid w:val="002168F9"/>
    <w:rsid w:val="00216999"/>
    <w:rsid w:val="00216F8C"/>
    <w:rsid w:val="0021794D"/>
    <w:rsid w:val="00221ABD"/>
    <w:rsid w:val="00222001"/>
    <w:rsid w:val="00222115"/>
    <w:rsid w:val="00223173"/>
    <w:rsid w:val="00223C8A"/>
    <w:rsid w:val="00223D18"/>
    <w:rsid w:val="00223DA2"/>
    <w:rsid w:val="002247B5"/>
    <w:rsid w:val="0022484F"/>
    <w:rsid w:val="00225854"/>
    <w:rsid w:val="00226191"/>
    <w:rsid w:val="0022665A"/>
    <w:rsid w:val="0022679C"/>
    <w:rsid w:val="00231821"/>
    <w:rsid w:val="00233311"/>
    <w:rsid w:val="00234769"/>
    <w:rsid w:val="00236137"/>
    <w:rsid w:val="00236454"/>
    <w:rsid w:val="00236820"/>
    <w:rsid w:val="00236E91"/>
    <w:rsid w:val="00240852"/>
    <w:rsid w:val="002442B4"/>
    <w:rsid w:val="00244E55"/>
    <w:rsid w:val="00245B5D"/>
    <w:rsid w:val="00245BBE"/>
    <w:rsid w:val="00246222"/>
    <w:rsid w:val="00246363"/>
    <w:rsid w:val="002474C2"/>
    <w:rsid w:val="002476D2"/>
    <w:rsid w:val="002504FB"/>
    <w:rsid w:val="00250D01"/>
    <w:rsid w:val="00250EDF"/>
    <w:rsid w:val="00252055"/>
    <w:rsid w:val="002523B2"/>
    <w:rsid w:val="00252799"/>
    <w:rsid w:val="00252CE6"/>
    <w:rsid w:val="002556B7"/>
    <w:rsid w:val="00256904"/>
    <w:rsid w:val="00256B42"/>
    <w:rsid w:val="002612D6"/>
    <w:rsid w:val="0026181E"/>
    <w:rsid w:val="0026338C"/>
    <w:rsid w:val="002635E6"/>
    <w:rsid w:val="00263BC5"/>
    <w:rsid w:val="002647F1"/>
    <w:rsid w:val="002649A5"/>
    <w:rsid w:val="002659F3"/>
    <w:rsid w:val="00265FC9"/>
    <w:rsid w:val="00266433"/>
    <w:rsid w:val="00267413"/>
    <w:rsid w:val="002674AF"/>
    <w:rsid w:val="00270CD1"/>
    <w:rsid w:val="002710C5"/>
    <w:rsid w:val="002718D7"/>
    <w:rsid w:val="002722DC"/>
    <w:rsid w:val="00274512"/>
    <w:rsid w:val="0027477E"/>
    <w:rsid w:val="00274EA2"/>
    <w:rsid w:val="0027606B"/>
    <w:rsid w:val="00281C3C"/>
    <w:rsid w:val="0028220C"/>
    <w:rsid w:val="00282B23"/>
    <w:rsid w:val="00283151"/>
    <w:rsid w:val="00283E59"/>
    <w:rsid w:val="002861D5"/>
    <w:rsid w:val="00287564"/>
    <w:rsid w:val="002879D3"/>
    <w:rsid w:val="00290450"/>
    <w:rsid w:val="00290C0E"/>
    <w:rsid w:val="00292532"/>
    <w:rsid w:val="0029274E"/>
    <w:rsid w:val="002930E1"/>
    <w:rsid w:val="0029329E"/>
    <w:rsid w:val="00293ACC"/>
    <w:rsid w:val="002942BA"/>
    <w:rsid w:val="00295161"/>
    <w:rsid w:val="00295FF6"/>
    <w:rsid w:val="002966A1"/>
    <w:rsid w:val="00297424"/>
    <w:rsid w:val="002A0043"/>
    <w:rsid w:val="002A0D5A"/>
    <w:rsid w:val="002A1963"/>
    <w:rsid w:val="002A199B"/>
    <w:rsid w:val="002A1B07"/>
    <w:rsid w:val="002A2760"/>
    <w:rsid w:val="002A511C"/>
    <w:rsid w:val="002A5DCF"/>
    <w:rsid w:val="002A68A6"/>
    <w:rsid w:val="002A7637"/>
    <w:rsid w:val="002A7AE3"/>
    <w:rsid w:val="002B0CB6"/>
    <w:rsid w:val="002B17AA"/>
    <w:rsid w:val="002B17E2"/>
    <w:rsid w:val="002B2787"/>
    <w:rsid w:val="002B3084"/>
    <w:rsid w:val="002B4C42"/>
    <w:rsid w:val="002B55EA"/>
    <w:rsid w:val="002B5E2F"/>
    <w:rsid w:val="002B6F1F"/>
    <w:rsid w:val="002B7493"/>
    <w:rsid w:val="002C0124"/>
    <w:rsid w:val="002C079C"/>
    <w:rsid w:val="002C0B30"/>
    <w:rsid w:val="002C0F76"/>
    <w:rsid w:val="002C12AD"/>
    <w:rsid w:val="002C1E53"/>
    <w:rsid w:val="002C2C38"/>
    <w:rsid w:val="002C3692"/>
    <w:rsid w:val="002C4174"/>
    <w:rsid w:val="002C4AC2"/>
    <w:rsid w:val="002C66A2"/>
    <w:rsid w:val="002C7D55"/>
    <w:rsid w:val="002D0C1E"/>
    <w:rsid w:val="002D138E"/>
    <w:rsid w:val="002D2AF9"/>
    <w:rsid w:val="002D3686"/>
    <w:rsid w:val="002D37FC"/>
    <w:rsid w:val="002D3A88"/>
    <w:rsid w:val="002D47E1"/>
    <w:rsid w:val="002D49D0"/>
    <w:rsid w:val="002D4CD9"/>
    <w:rsid w:val="002D58F4"/>
    <w:rsid w:val="002D5C66"/>
    <w:rsid w:val="002D5CEC"/>
    <w:rsid w:val="002D6A81"/>
    <w:rsid w:val="002D6C6B"/>
    <w:rsid w:val="002D73EF"/>
    <w:rsid w:val="002D74C4"/>
    <w:rsid w:val="002D76B5"/>
    <w:rsid w:val="002E046E"/>
    <w:rsid w:val="002E088F"/>
    <w:rsid w:val="002E0898"/>
    <w:rsid w:val="002E0F03"/>
    <w:rsid w:val="002E1671"/>
    <w:rsid w:val="002E2158"/>
    <w:rsid w:val="002E234F"/>
    <w:rsid w:val="002E2545"/>
    <w:rsid w:val="002E3098"/>
    <w:rsid w:val="002E3AD3"/>
    <w:rsid w:val="002E43B6"/>
    <w:rsid w:val="002E4BC4"/>
    <w:rsid w:val="002E6027"/>
    <w:rsid w:val="002E71D4"/>
    <w:rsid w:val="002E7DCC"/>
    <w:rsid w:val="002F03C4"/>
    <w:rsid w:val="002F1BBF"/>
    <w:rsid w:val="002F1EC2"/>
    <w:rsid w:val="002F2ACB"/>
    <w:rsid w:val="002F2BAC"/>
    <w:rsid w:val="002F3116"/>
    <w:rsid w:val="002F3420"/>
    <w:rsid w:val="002F34D9"/>
    <w:rsid w:val="002F42B2"/>
    <w:rsid w:val="002F4EE5"/>
    <w:rsid w:val="002F59AD"/>
    <w:rsid w:val="00300093"/>
    <w:rsid w:val="00301645"/>
    <w:rsid w:val="00302773"/>
    <w:rsid w:val="003054E8"/>
    <w:rsid w:val="0030593E"/>
    <w:rsid w:val="00306338"/>
    <w:rsid w:val="00306C34"/>
    <w:rsid w:val="00306C50"/>
    <w:rsid w:val="003104C0"/>
    <w:rsid w:val="00310EC1"/>
    <w:rsid w:val="0031221E"/>
    <w:rsid w:val="003124E5"/>
    <w:rsid w:val="00313755"/>
    <w:rsid w:val="00313BBF"/>
    <w:rsid w:val="00313EEC"/>
    <w:rsid w:val="00314265"/>
    <w:rsid w:val="003142A3"/>
    <w:rsid w:val="00315AC9"/>
    <w:rsid w:val="003161D9"/>
    <w:rsid w:val="00316526"/>
    <w:rsid w:val="00316F0A"/>
    <w:rsid w:val="00317F70"/>
    <w:rsid w:val="0032053D"/>
    <w:rsid w:val="0032081B"/>
    <w:rsid w:val="00320EC8"/>
    <w:rsid w:val="00321E52"/>
    <w:rsid w:val="0032244D"/>
    <w:rsid w:val="00323337"/>
    <w:rsid w:val="00323D28"/>
    <w:rsid w:val="00325463"/>
    <w:rsid w:val="003267BC"/>
    <w:rsid w:val="003274C9"/>
    <w:rsid w:val="00327565"/>
    <w:rsid w:val="00327C59"/>
    <w:rsid w:val="003300DF"/>
    <w:rsid w:val="003316C2"/>
    <w:rsid w:val="00331791"/>
    <w:rsid w:val="00331B47"/>
    <w:rsid w:val="00331D4E"/>
    <w:rsid w:val="00331FBB"/>
    <w:rsid w:val="0033219C"/>
    <w:rsid w:val="00332331"/>
    <w:rsid w:val="0033309A"/>
    <w:rsid w:val="00333A90"/>
    <w:rsid w:val="00333DB5"/>
    <w:rsid w:val="0033402A"/>
    <w:rsid w:val="003343CA"/>
    <w:rsid w:val="00334634"/>
    <w:rsid w:val="00334EB6"/>
    <w:rsid w:val="003351A1"/>
    <w:rsid w:val="00335218"/>
    <w:rsid w:val="00335814"/>
    <w:rsid w:val="003359A2"/>
    <w:rsid w:val="00335C5F"/>
    <w:rsid w:val="00336477"/>
    <w:rsid w:val="003368A3"/>
    <w:rsid w:val="003368E2"/>
    <w:rsid w:val="00337C4D"/>
    <w:rsid w:val="00337E8C"/>
    <w:rsid w:val="00337F90"/>
    <w:rsid w:val="003400E9"/>
    <w:rsid w:val="00340246"/>
    <w:rsid w:val="00340E50"/>
    <w:rsid w:val="0034145C"/>
    <w:rsid w:val="00342A5A"/>
    <w:rsid w:val="003433FA"/>
    <w:rsid w:val="003434BC"/>
    <w:rsid w:val="003444B4"/>
    <w:rsid w:val="0034480C"/>
    <w:rsid w:val="00344871"/>
    <w:rsid w:val="00344C0B"/>
    <w:rsid w:val="00345398"/>
    <w:rsid w:val="00345F40"/>
    <w:rsid w:val="00346DCB"/>
    <w:rsid w:val="003472A7"/>
    <w:rsid w:val="00347397"/>
    <w:rsid w:val="0034787B"/>
    <w:rsid w:val="003508A5"/>
    <w:rsid w:val="003513D6"/>
    <w:rsid w:val="0035175B"/>
    <w:rsid w:val="00351D72"/>
    <w:rsid w:val="003533E5"/>
    <w:rsid w:val="00353437"/>
    <w:rsid w:val="00353E9D"/>
    <w:rsid w:val="00354062"/>
    <w:rsid w:val="00354577"/>
    <w:rsid w:val="003549DF"/>
    <w:rsid w:val="00356228"/>
    <w:rsid w:val="003563C1"/>
    <w:rsid w:val="003565D6"/>
    <w:rsid w:val="00356F70"/>
    <w:rsid w:val="003577FF"/>
    <w:rsid w:val="00357C6B"/>
    <w:rsid w:val="00360098"/>
    <w:rsid w:val="003607B1"/>
    <w:rsid w:val="003617C6"/>
    <w:rsid w:val="00361B43"/>
    <w:rsid w:val="003623B1"/>
    <w:rsid w:val="00363615"/>
    <w:rsid w:val="003636FF"/>
    <w:rsid w:val="00363BD3"/>
    <w:rsid w:val="0036471E"/>
    <w:rsid w:val="003663E3"/>
    <w:rsid w:val="00367785"/>
    <w:rsid w:val="00370E77"/>
    <w:rsid w:val="00371A89"/>
    <w:rsid w:val="0037291E"/>
    <w:rsid w:val="003732B7"/>
    <w:rsid w:val="0037420E"/>
    <w:rsid w:val="00376979"/>
    <w:rsid w:val="003809B0"/>
    <w:rsid w:val="00380D44"/>
    <w:rsid w:val="0038136A"/>
    <w:rsid w:val="003831D6"/>
    <w:rsid w:val="00383908"/>
    <w:rsid w:val="003845E5"/>
    <w:rsid w:val="00384FD0"/>
    <w:rsid w:val="00385609"/>
    <w:rsid w:val="00385670"/>
    <w:rsid w:val="003863D9"/>
    <w:rsid w:val="00386B04"/>
    <w:rsid w:val="00387315"/>
    <w:rsid w:val="00390E6A"/>
    <w:rsid w:val="003924D5"/>
    <w:rsid w:val="003947EA"/>
    <w:rsid w:val="00394B78"/>
    <w:rsid w:val="00395B08"/>
    <w:rsid w:val="00395C7A"/>
    <w:rsid w:val="0039766C"/>
    <w:rsid w:val="0039768C"/>
    <w:rsid w:val="003A003B"/>
    <w:rsid w:val="003A0042"/>
    <w:rsid w:val="003A0750"/>
    <w:rsid w:val="003A07BF"/>
    <w:rsid w:val="003A0CDD"/>
    <w:rsid w:val="003A0D15"/>
    <w:rsid w:val="003A0EEF"/>
    <w:rsid w:val="003A1329"/>
    <w:rsid w:val="003A1A5E"/>
    <w:rsid w:val="003A28FC"/>
    <w:rsid w:val="003A2B2E"/>
    <w:rsid w:val="003A3866"/>
    <w:rsid w:val="003A3A26"/>
    <w:rsid w:val="003A4346"/>
    <w:rsid w:val="003A4767"/>
    <w:rsid w:val="003A4BEB"/>
    <w:rsid w:val="003A5530"/>
    <w:rsid w:val="003A55FA"/>
    <w:rsid w:val="003A6F0A"/>
    <w:rsid w:val="003A7067"/>
    <w:rsid w:val="003A706A"/>
    <w:rsid w:val="003B0179"/>
    <w:rsid w:val="003B03C2"/>
    <w:rsid w:val="003B0CDF"/>
    <w:rsid w:val="003B1CAB"/>
    <w:rsid w:val="003B36A9"/>
    <w:rsid w:val="003B3A06"/>
    <w:rsid w:val="003B4544"/>
    <w:rsid w:val="003B46A9"/>
    <w:rsid w:val="003B5341"/>
    <w:rsid w:val="003B5EF6"/>
    <w:rsid w:val="003B6421"/>
    <w:rsid w:val="003B6F75"/>
    <w:rsid w:val="003B7C33"/>
    <w:rsid w:val="003C0BCF"/>
    <w:rsid w:val="003C0C3C"/>
    <w:rsid w:val="003C0F22"/>
    <w:rsid w:val="003C2CB0"/>
    <w:rsid w:val="003C2DBC"/>
    <w:rsid w:val="003C3D23"/>
    <w:rsid w:val="003C5779"/>
    <w:rsid w:val="003C5EF1"/>
    <w:rsid w:val="003C6559"/>
    <w:rsid w:val="003C69CF"/>
    <w:rsid w:val="003C6B41"/>
    <w:rsid w:val="003C79C2"/>
    <w:rsid w:val="003C7C24"/>
    <w:rsid w:val="003D00CB"/>
    <w:rsid w:val="003D02BC"/>
    <w:rsid w:val="003D0A6C"/>
    <w:rsid w:val="003D1830"/>
    <w:rsid w:val="003D25D1"/>
    <w:rsid w:val="003D2E62"/>
    <w:rsid w:val="003D3B25"/>
    <w:rsid w:val="003D51C7"/>
    <w:rsid w:val="003D52AB"/>
    <w:rsid w:val="003D59DA"/>
    <w:rsid w:val="003D5AFE"/>
    <w:rsid w:val="003D5B63"/>
    <w:rsid w:val="003D5BD6"/>
    <w:rsid w:val="003D659E"/>
    <w:rsid w:val="003D7BD0"/>
    <w:rsid w:val="003D7BDB"/>
    <w:rsid w:val="003E36EC"/>
    <w:rsid w:val="003E3A9B"/>
    <w:rsid w:val="003E3D08"/>
    <w:rsid w:val="003E3EC9"/>
    <w:rsid w:val="003E4BA1"/>
    <w:rsid w:val="003E5771"/>
    <w:rsid w:val="003E5CB1"/>
    <w:rsid w:val="003E6E0D"/>
    <w:rsid w:val="003E7003"/>
    <w:rsid w:val="003E7EDA"/>
    <w:rsid w:val="003F0693"/>
    <w:rsid w:val="003F1A6F"/>
    <w:rsid w:val="003F261B"/>
    <w:rsid w:val="003F2D44"/>
    <w:rsid w:val="003F2F66"/>
    <w:rsid w:val="003F6346"/>
    <w:rsid w:val="003F725D"/>
    <w:rsid w:val="003F7519"/>
    <w:rsid w:val="003F7619"/>
    <w:rsid w:val="003F7DA9"/>
    <w:rsid w:val="00400A75"/>
    <w:rsid w:val="0040151C"/>
    <w:rsid w:val="004016AD"/>
    <w:rsid w:val="00403291"/>
    <w:rsid w:val="00403B86"/>
    <w:rsid w:val="0040417D"/>
    <w:rsid w:val="00404AA8"/>
    <w:rsid w:val="00404F6F"/>
    <w:rsid w:val="00406722"/>
    <w:rsid w:val="00407043"/>
    <w:rsid w:val="004078A5"/>
    <w:rsid w:val="00410CD1"/>
    <w:rsid w:val="00410E48"/>
    <w:rsid w:val="00412FC0"/>
    <w:rsid w:val="0041403A"/>
    <w:rsid w:val="0041501F"/>
    <w:rsid w:val="00415570"/>
    <w:rsid w:val="00416437"/>
    <w:rsid w:val="00416F51"/>
    <w:rsid w:val="00417B45"/>
    <w:rsid w:val="004200CE"/>
    <w:rsid w:val="0042056B"/>
    <w:rsid w:val="00422436"/>
    <w:rsid w:val="00422F4E"/>
    <w:rsid w:val="00423B62"/>
    <w:rsid w:val="004240B0"/>
    <w:rsid w:val="0042459A"/>
    <w:rsid w:val="0042564E"/>
    <w:rsid w:val="00426F19"/>
    <w:rsid w:val="00427EDF"/>
    <w:rsid w:val="00430CA0"/>
    <w:rsid w:val="00431572"/>
    <w:rsid w:val="004316C9"/>
    <w:rsid w:val="00431D79"/>
    <w:rsid w:val="00432B8D"/>
    <w:rsid w:val="00433BCA"/>
    <w:rsid w:val="00433C08"/>
    <w:rsid w:val="00434DDC"/>
    <w:rsid w:val="00435414"/>
    <w:rsid w:val="00435842"/>
    <w:rsid w:val="00436748"/>
    <w:rsid w:val="00436A52"/>
    <w:rsid w:val="00436A9E"/>
    <w:rsid w:val="004370AC"/>
    <w:rsid w:val="00437FD7"/>
    <w:rsid w:val="00440C3B"/>
    <w:rsid w:val="00441263"/>
    <w:rsid w:val="0044195A"/>
    <w:rsid w:val="00441CED"/>
    <w:rsid w:val="00441F91"/>
    <w:rsid w:val="0044279E"/>
    <w:rsid w:val="00442C11"/>
    <w:rsid w:val="00443187"/>
    <w:rsid w:val="004441BD"/>
    <w:rsid w:val="00444461"/>
    <w:rsid w:val="004447BF"/>
    <w:rsid w:val="00445F70"/>
    <w:rsid w:val="00446024"/>
    <w:rsid w:val="0044682A"/>
    <w:rsid w:val="00447510"/>
    <w:rsid w:val="004517B3"/>
    <w:rsid w:val="00451800"/>
    <w:rsid w:val="00452C14"/>
    <w:rsid w:val="00452FCF"/>
    <w:rsid w:val="004548FE"/>
    <w:rsid w:val="00454EFD"/>
    <w:rsid w:val="0045658A"/>
    <w:rsid w:val="00457AE7"/>
    <w:rsid w:val="00460429"/>
    <w:rsid w:val="004613F9"/>
    <w:rsid w:val="00461D60"/>
    <w:rsid w:val="004620D2"/>
    <w:rsid w:val="004623A9"/>
    <w:rsid w:val="004626E6"/>
    <w:rsid w:val="00462D30"/>
    <w:rsid w:val="004636A0"/>
    <w:rsid w:val="004640FC"/>
    <w:rsid w:val="00465BB1"/>
    <w:rsid w:val="00465BD7"/>
    <w:rsid w:val="00466CC6"/>
    <w:rsid w:val="00466E2C"/>
    <w:rsid w:val="004678E9"/>
    <w:rsid w:val="00467A16"/>
    <w:rsid w:val="004701E6"/>
    <w:rsid w:val="004702BE"/>
    <w:rsid w:val="004703BB"/>
    <w:rsid w:val="00470533"/>
    <w:rsid w:val="00471591"/>
    <w:rsid w:val="00472F31"/>
    <w:rsid w:val="004736A1"/>
    <w:rsid w:val="0047378C"/>
    <w:rsid w:val="004747DE"/>
    <w:rsid w:val="00474867"/>
    <w:rsid w:val="004749BE"/>
    <w:rsid w:val="00475907"/>
    <w:rsid w:val="004759F7"/>
    <w:rsid w:val="00476439"/>
    <w:rsid w:val="004777F9"/>
    <w:rsid w:val="00480794"/>
    <w:rsid w:val="00480A56"/>
    <w:rsid w:val="00481504"/>
    <w:rsid w:val="004816DA"/>
    <w:rsid w:val="00481FDA"/>
    <w:rsid w:val="0048387C"/>
    <w:rsid w:val="0048404A"/>
    <w:rsid w:val="0048420A"/>
    <w:rsid w:val="00486476"/>
    <w:rsid w:val="00486F43"/>
    <w:rsid w:val="004872C7"/>
    <w:rsid w:val="0048759B"/>
    <w:rsid w:val="00490A5A"/>
    <w:rsid w:val="00492076"/>
    <w:rsid w:val="004928A7"/>
    <w:rsid w:val="00493044"/>
    <w:rsid w:val="00493B9B"/>
    <w:rsid w:val="00493EB0"/>
    <w:rsid w:val="0049405C"/>
    <w:rsid w:val="0049430F"/>
    <w:rsid w:val="00495B19"/>
    <w:rsid w:val="00496084"/>
    <w:rsid w:val="00497573"/>
    <w:rsid w:val="004A0010"/>
    <w:rsid w:val="004A1D00"/>
    <w:rsid w:val="004A6E38"/>
    <w:rsid w:val="004A7076"/>
    <w:rsid w:val="004B0A25"/>
    <w:rsid w:val="004B3399"/>
    <w:rsid w:val="004B3B66"/>
    <w:rsid w:val="004B442C"/>
    <w:rsid w:val="004B4C8D"/>
    <w:rsid w:val="004B5179"/>
    <w:rsid w:val="004B54D1"/>
    <w:rsid w:val="004B5B7F"/>
    <w:rsid w:val="004B66CA"/>
    <w:rsid w:val="004C03C0"/>
    <w:rsid w:val="004C0831"/>
    <w:rsid w:val="004C1903"/>
    <w:rsid w:val="004C23A1"/>
    <w:rsid w:val="004C2BBF"/>
    <w:rsid w:val="004C3EDB"/>
    <w:rsid w:val="004C407B"/>
    <w:rsid w:val="004C42BE"/>
    <w:rsid w:val="004C4782"/>
    <w:rsid w:val="004C4957"/>
    <w:rsid w:val="004C495B"/>
    <w:rsid w:val="004C50C8"/>
    <w:rsid w:val="004C5541"/>
    <w:rsid w:val="004C6294"/>
    <w:rsid w:val="004C7C5C"/>
    <w:rsid w:val="004D0FD4"/>
    <w:rsid w:val="004D1B7E"/>
    <w:rsid w:val="004D260E"/>
    <w:rsid w:val="004D7063"/>
    <w:rsid w:val="004E0049"/>
    <w:rsid w:val="004E0B26"/>
    <w:rsid w:val="004E20B4"/>
    <w:rsid w:val="004E218D"/>
    <w:rsid w:val="004E2DB3"/>
    <w:rsid w:val="004E393A"/>
    <w:rsid w:val="004E4FD9"/>
    <w:rsid w:val="004E5D01"/>
    <w:rsid w:val="004F02A4"/>
    <w:rsid w:val="004F0990"/>
    <w:rsid w:val="004F1678"/>
    <w:rsid w:val="004F1BF5"/>
    <w:rsid w:val="004F2444"/>
    <w:rsid w:val="004F3148"/>
    <w:rsid w:val="004F3D57"/>
    <w:rsid w:val="004F401D"/>
    <w:rsid w:val="004F490B"/>
    <w:rsid w:val="004F54E0"/>
    <w:rsid w:val="00503612"/>
    <w:rsid w:val="005037AE"/>
    <w:rsid w:val="005039A3"/>
    <w:rsid w:val="005044DB"/>
    <w:rsid w:val="00505616"/>
    <w:rsid w:val="00505A87"/>
    <w:rsid w:val="00505C11"/>
    <w:rsid w:val="005060BB"/>
    <w:rsid w:val="00506806"/>
    <w:rsid w:val="00507F8B"/>
    <w:rsid w:val="0051080B"/>
    <w:rsid w:val="0051167E"/>
    <w:rsid w:val="005122D2"/>
    <w:rsid w:val="00512A5C"/>
    <w:rsid w:val="0051325F"/>
    <w:rsid w:val="00514260"/>
    <w:rsid w:val="00514466"/>
    <w:rsid w:val="00514B5F"/>
    <w:rsid w:val="00514C15"/>
    <w:rsid w:val="00515116"/>
    <w:rsid w:val="00515C08"/>
    <w:rsid w:val="005214C9"/>
    <w:rsid w:val="00521D22"/>
    <w:rsid w:val="00521E64"/>
    <w:rsid w:val="005220BD"/>
    <w:rsid w:val="005222A0"/>
    <w:rsid w:val="0052239A"/>
    <w:rsid w:val="00522727"/>
    <w:rsid w:val="005228DC"/>
    <w:rsid w:val="005228F0"/>
    <w:rsid w:val="00525DD0"/>
    <w:rsid w:val="00526086"/>
    <w:rsid w:val="00526174"/>
    <w:rsid w:val="0052687D"/>
    <w:rsid w:val="005272E1"/>
    <w:rsid w:val="005279CA"/>
    <w:rsid w:val="00531A30"/>
    <w:rsid w:val="00532BA7"/>
    <w:rsid w:val="005338A0"/>
    <w:rsid w:val="00533EA1"/>
    <w:rsid w:val="0053517B"/>
    <w:rsid w:val="00535D18"/>
    <w:rsid w:val="00535FC5"/>
    <w:rsid w:val="005364CA"/>
    <w:rsid w:val="005376F1"/>
    <w:rsid w:val="00537B12"/>
    <w:rsid w:val="00537EE6"/>
    <w:rsid w:val="005415C8"/>
    <w:rsid w:val="0054220C"/>
    <w:rsid w:val="00543FFA"/>
    <w:rsid w:val="005440C1"/>
    <w:rsid w:val="00544FB3"/>
    <w:rsid w:val="00545C04"/>
    <w:rsid w:val="00545EF8"/>
    <w:rsid w:val="005461DC"/>
    <w:rsid w:val="0054621E"/>
    <w:rsid w:val="00547654"/>
    <w:rsid w:val="00550583"/>
    <w:rsid w:val="00550816"/>
    <w:rsid w:val="00552471"/>
    <w:rsid w:val="00552923"/>
    <w:rsid w:val="00552D17"/>
    <w:rsid w:val="00553B08"/>
    <w:rsid w:val="00553EFD"/>
    <w:rsid w:val="005544B4"/>
    <w:rsid w:val="00555D66"/>
    <w:rsid w:val="00556249"/>
    <w:rsid w:val="00557BF1"/>
    <w:rsid w:val="00560703"/>
    <w:rsid w:val="0056370B"/>
    <w:rsid w:val="005639BF"/>
    <w:rsid w:val="00563DE8"/>
    <w:rsid w:val="00563FD7"/>
    <w:rsid w:val="00564B5E"/>
    <w:rsid w:val="005664B6"/>
    <w:rsid w:val="0056704D"/>
    <w:rsid w:val="00567487"/>
    <w:rsid w:val="00567C95"/>
    <w:rsid w:val="00567D8D"/>
    <w:rsid w:val="00571795"/>
    <w:rsid w:val="0057235E"/>
    <w:rsid w:val="00573054"/>
    <w:rsid w:val="00574177"/>
    <w:rsid w:val="00574D41"/>
    <w:rsid w:val="00575B4D"/>
    <w:rsid w:val="005769E1"/>
    <w:rsid w:val="0057784F"/>
    <w:rsid w:val="0057788B"/>
    <w:rsid w:val="00580FD6"/>
    <w:rsid w:val="005827CE"/>
    <w:rsid w:val="00582AF8"/>
    <w:rsid w:val="0058357A"/>
    <w:rsid w:val="00584124"/>
    <w:rsid w:val="00584860"/>
    <w:rsid w:val="00587EE8"/>
    <w:rsid w:val="005902D3"/>
    <w:rsid w:val="005908D7"/>
    <w:rsid w:val="00590F79"/>
    <w:rsid w:val="00591720"/>
    <w:rsid w:val="00591F82"/>
    <w:rsid w:val="00594131"/>
    <w:rsid w:val="00594319"/>
    <w:rsid w:val="00596BEF"/>
    <w:rsid w:val="0059732E"/>
    <w:rsid w:val="00597919"/>
    <w:rsid w:val="005A1DC6"/>
    <w:rsid w:val="005A1EFF"/>
    <w:rsid w:val="005A2EF9"/>
    <w:rsid w:val="005A404E"/>
    <w:rsid w:val="005A4970"/>
    <w:rsid w:val="005A700C"/>
    <w:rsid w:val="005A70A1"/>
    <w:rsid w:val="005A7118"/>
    <w:rsid w:val="005A72DD"/>
    <w:rsid w:val="005B1945"/>
    <w:rsid w:val="005B195D"/>
    <w:rsid w:val="005B2916"/>
    <w:rsid w:val="005B3158"/>
    <w:rsid w:val="005B3A41"/>
    <w:rsid w:val="005B4CEA"/>
    <w:rsid w:val="005B6139"/>
    <w:rsid w:val="005B67ED"/>
    <w:rsid w:val="005B6BBD"/>
    <w:rsid w:val="005B7B65"/>
    <w:rsid w:val="005C05B8"/>
    <w:rsid w:val="005C10FE"/>
    <w:rsid w:val="005C1336"/>
    <w:rsid w:val="005C1C02"/>
    <w:rsid w:val="005C1F8E"/>
    <w:rsid w:val="005C2A5A"/>
    <w:rsid w:val="005C30D4"/>
    <w:rsid w:val="005C5FD6"/>
    <w:rsid w:val="005C7261"/>
    <w:rsid w:val="005C79E6"/>
    <w:rsid w:val="005C7E97"/>
    <w:rsid w:val="005D0634"/>
    <w:rsid w:val="005D0753"/>
    <w:rsid w:val="005D1271"/>
    <w:rsid w:val="005D20A3"/>
    <w:rsid w:val="005D250F"/>
    <w:rsid w:val="005D27EE"/>
    <w:rsid w:val="005D364B"/>
    <w:rsid w:val="005D4DE9"/>
    <w:rsid w:val="005D4F7D"/>
    <w:rsid w:val="005D5657"/>
    <w:rsid w:val="005D60E7"/>
    <w:rsid w:val="005D6FE2"/>
    <w:rsid w:val="005D7C00"/>
    <w:rsid w:val="005E0A28"/>
    <w:rsid w:val="005E1972"/>
    <w:rsid w:val="005E1A2D"/>
    <w:rsid w:val="005E3D9F"/>
    <w:rsid w:val="005E491F"/>
    <w:rsid w:val="005E5CC8"/>
    <w:rsid w:val="005E7107"/>
    <w:rsid w:val="005E743B"/>
    <w:rsid w:val="005E7EDA"/>
    <w:rsid w:val="005E7F09"/>
    <w:rsid w:val="005F034A"/>
    <w:rsid w:val="005F0663"/>
    <w:rsid w:val="005F4687"/>
    <w:rsid w:val="005F6A52"/>
    <w:rsid w:val="005F6FF7"/>
    <w:rsid w:val="005F7FCA"/>
    <w:rsid w:val="00600139"/>
    <w:rsid w:val="00600A5C"/>
    <w:rsid w:val="00601EA0"/>
    <w:rsid w:val="006020E8"/>
    <w:rsid w:val="00603106"/>
    <w:rsid w:val="0060337F"/>
    <w:rsid w:val="00604BCE"/>
    <w:rsid w:val="00606B3E"/>
    <w:rsid w:val="00610A02"/>
    <w:rsid w:val="00611213"/>
    <w:rsid w:val="00612E73"/>
    <w:rsid w:val="00613EA5"/>
    <w:rsid w:val="006140F2"/>
    <w:rsid w:val="006143A1"/>
    <w:rsid w:val="00615051"/>
    <w:rsid w:val="0061606E"/>
    <w:rsid w:val="006168A4"/>
    <w:rsid w:val="00616B1B"/>
    <w:rsid w:val="00622377"/>
    <w:rsid w:val="00622396"/>
    <w:rsid w:val="006238A3"/>
    <w:rsid w:val="00623BDB"/>
    <w:rsid w:val="006245F7"/>
    <w:rsid w:val="00624894"/>
    <w:rsid w:val="00624942"/>
    <w:rsid w:val="00624EEA"/>
    <w:rsid w:val="00625442"/>
    <w:rsid w:val="006266DC"/>
    <w:rsid w:val="00626D04"/>
    <w:rsid w:val="0062754C"/>
    <w:rsid w:val="0063038A"/>
    <w:rsid w:val="00630D1A"/>
    <w:rsid w:val="00630D55"/>
    <w:rsid w:val="00631245"/>
    <w:rsid w:val="00631DF5"/>
    <w:rsid w:val="006322AD"/>
    <w:rsid w:val="00633DB9"/>
    <w:rsid w:val="00633E4C"/>
    <w:rsid w:val="0063424C"/>
    <w:rsid w:val="00634F84"/>
    <w:rsid w:val="006366F4"/>
    <w:rsid w:val="00636967"/>
    <w:rsid w:val="006371F6"/>
    <w:rsid w:val="00637D3F"/>
    <w:rsid w:val="006402F2"/>
    <w:rsid w:val="00640EAA"/>
    <w:rsid w:val="00642544"/>
    <w:rsid w:val="00643165"/>
    <w:rsid w:val="00643BB6"/>
    <w:rsid w:val="00644933"/>
    <w:rsid w:val="00644983"/>
    <w:rsid w:val="0064498D"/>
    <w:rsid w:val="00646A97"/>
    <w:rsid w:val="006472F4"/>
    <w:rsid w:val="00647EED"/>
    <w:rsid w:val="00650C92"/>
    <w:rsid w:val="0065203B"/>
    <w:rsid w:val="006526E4"/>
    <w:rsid w:val="00653922"/>
    <w:rsid w:val="00653DFB"/>
    <w:rsid w:val="006542AF"/>
    <w:rsid w:val="006546D4"/>
    <w:rsid w:val="00654872"/>
    <w:rsid w:val="006557D7"/>
    <w:rsid w:val="00655B5D"/>
    <w:rsid w:val="0065677C"/>
    <w:rsid w:val="00657DC9"/>
    <w:rsid w:val="006606A3"/>
    <w:rsid w:val="006607B4"/>
    <w:rsid w:val="00660A7C"/>
    <w:rsid w:val="00660B70"/>
    <w:rsid w:val="00661DE5"/>
    <w:rsid w:val="0066279E"/>
    <w:rsid w:val="00662F47"/>
    <w:rsid w:val="00663826"/>
    <w:rsid w:val="006638FB"/>
    <w:rsid w:val="0066537F"/>
    <w:rsid w:val="0066594B"/>
    <w:rsid w:val="00665DDD"/>
    <w:rsid w:val="006663EE"/>
    <w:rsid w:val="00667EE1"/>
    <w:rsid w:val="00670620"/>
    <w:rsid w:val="006708ED"/>
    <w:rsid w:val="00670F60"/>
    <w:rsid w:val="00671666"/>
    <w:rsid w:val="0067171C"/>
    <w:rsid w:val="006717F7"/>
    <w:rsid w:val="00672014"/>
    <w:rsid w:val="006730EB"/>
    <w:rsid w:val="006733A8"/>
    <w:rsid w:val="00673674"/>
    <w:rsid w:val="00673742"/>
    <w:rsid w:val="006746A7"/>
    <w:rsid w:val="00674B18"/>
    <w:rsid w:val="0067564C"/>
    <w:rsid w:val="00675EBE"/>
    <w:rsid w:val="00676723"/>
    <w:rsid w:val="00683C84"/>
    <w:rsid w:val="00683C9D"/>
    <w:rsid w:val="00683E53"/>
    <w:rsid w:val="00684B4B"/>
    <w:rsid w:val="00685D3A"/>
    <w:rsid w:val="00686968"/>
    <w:rsid w:val="006869CB"/>
    <w:rsid w:val="006877E7"/>
    <w:rsid w:val="00690EF9"/>
    <w:rsid w:val="0069233A"/>
    <w:rsid w:val="006932FE"/>
    <w:rsid w:val="006956AE"/>
    <w:rsid w:val="00696223"/>
    <w:rsid w:val="0069687B"/>
    <w:rsid w:val="00696AF6"/>
    <w:rsid w:val="00696DD4"/>
    <w:rsid w:val="00697A6B"/>
    <w:rsid w:val="006A34B7"/>
    <w:rsid w:val="006A5E8F"/>
    <w:rsid w:val="006A6FD0"/>
    <w:rsid w:val="006A7629"/>
    <w:rsid w:val="006A7761"/>
    <w:rsid w:val="006A7E1F"/>
    <w:rsid w:val="006B080E"/>
    <w:rsid w:val="006B143F"/>
    <w:rsid w:val="006B349F"/>
    <w:rsid w:val="006B3ECA"/>
    <w:rsid w:val="006B3EED"/>
    <w:rsid w:val="006B43F9"/>
    <w:rsid w:val="006B6551"/>
    <w:rsid w:val="006B685D"/>
    <w:rsid w:val="006B71BB"/>
    <w:rsid w:val="006B7717"/>
    <w:rsid w:val="006B7D6C"/>
    <w:rsid w:val="006C0777"/>
    <w:rsid w:val="006C19F7"/>
    <w:rsid w:val="006C301E"/>
    <w:rsid w:val="006C402E"/>
    <w:rsid w:val="006C5587"/>
    <w:rsid w:val="006C5D86"/>
    <w:rsid w:val="006C6739"/>
    <w:rsid w:val="006C67AA"/>
    <w:rsid w:val="006C76AE"/>
    <w:rsid w:val="006C790E"/>
    <w:rsid w:val="006D00F2"/>
    <w:rsid w:val="006D0DE0"/>
    <w:rsid w:val="006D2212"/>
    <w:rsid w:val="006D22CD"/>
    <w:rsid w:val="006D253E"/>
    <w:rsid w:val="006D2889"/>
    <w:rsid w:val="006D39A8"/>
    <w:rsid w:val="006D3AF5"/>
    <w:rsid w:val="006D5291"/>
    <w:rsid w:val="006D53DE"/>
    <w:rsid w:val="006D550A"/>
    <w:rsid w:val="006D5727"/>
    <w:rsid w:val="006D5AD9"/>
    <w:rsid w:val="006D63C9"/>
    <w:rsid w:val="006D73F2"/>
    <w:rsid w:val="006D7FF3"/>
    <w:rsid w:val="006E000E"/>
    <w:rsid w:val="006E05A8"/>
    <w:rsid w:val="006E0984"/>
    <w:rsid w:val="006E1814"/>
    <w:rsid w:val="006E1F0D"/>
    <w:rsid w:val="006E2B57"/>
    <w:rsid w:val="006E3348"/>
    <w:rsid w:val="006E3B0D"/>
    <w:rsid w:val="006E4F69"/>
    <w:rsid w:val="006E5303"/>
    <w:rsid w:val="006E60E8"/>
    <w:rsid w:val="006E6868"/>
    <w:rsid w:val="006E6A63"/>
    <w:rsid w:val="006E728E"/>
    <w:rsid w:val="006F262A"/>
    <w:rsid w:val="006F355C"/>
    <w:rsid w:val="006F37D5"/>
    <w:rsid w:val="006F3848"/>
    <w:rsid w:val="006F3EFA"/>
    <w:rsid w:val="006F421D"/>
    <w:rsid w:val="006F4549"/>
    <w:rsid w:val="006F4783"/>
    <w:rsid w:val="006F4A05"/>
    <w:rsid w:val="006F4D1F"/>
    <w:rsid w:val="006F682E"/>
    <w:rsid w:val="006F6B8D"/>
    <w:rsid w:val="006F70D4"/>
    <w:rsid w:val="00702319"/>
    <w:rsid w:val="007043A4"/>
    <w:rsid w:val="00704843"/>
    <w:rsid w:val="00705131"/>
    <w:rsid w:val="007076D4"/>
    <w:rsid w:val="00710011"/>
    <w:rsid w:val="007112FE"/>
    <w:rsid w:val="007115F7"/>
    <w:rsid w:val="00711DA3"/>
    <w:rsid w:val="00711E7F"/>
    <w:rsid w:val="00712F96"/>
    <w:rsid w:val="007143BA"/>
    <w:rsid w:val="00714FD7"/>
    <w:rsid w:val="00715666"/>
    <w:rsid w:val="007167C6"/>
    <w:rsid w:val="007167D2"/>
    <w:rsid w:val="007168BA"/>
    <w:rsid w:val="00716AB2"/>
    <w:rsid w:val="00720EB6"/>
    <w:rsid w:val="00721CBC"/>
    <w:rsid w:val="0072240E"/>
    <w:rsid w:val="00723871"/>
    <w:rsid w:val="00724F95"/>
    <w:rsid w:val="0072776E"/>
    <w:rsid w:val="00727AF6"/>
    <w:rsid w:val="0073001F"/>
    <w:rsid w:val="00731211"/>
    <w:rsid w:val="007325C3"/>
    <w:rsid w:val="0073326F"/>
    <w:rsid w:val="007351E0"/>
    <w:rsid w:val="00735A8A"/>
    <w:rsid w:val="00735E4A"/>
    <w:rsid w:val="00735F2C"/>
    <w:rsid w:val="007362F6"/>
    <w:rsid w:val="00736550"/>
    <w:rsid w:val="00742694"/>
    <w:rsid w:val="00743885"/>
    <w:rsid w:val="00743CDB"/>
    <w:rsid w:val="00745AB4"/>
    <w:rsid w:val="00746253"/>
    <w:rsid w:val="007466ED"/>
    <w:rsid w:val="007470E1"/>
    <w:rsid w:val="007472BF"/>
    <w:rsid w:val="007479D6"/>
    <w:rsid w:val="00747DD8"/>
    <w:rsid w:val="00751BFF"/>
    <w:rsid w:val="00751EAC"/>
    <w:rsid w:val="00752D0E"/>
    <w:rsid w:val="0075464C"/>
    <w:rsid w:val="00754DD2"/>
    <w:rsid w:val="00755564"/>
    <w:rsid w:val="007564B8"/>
    <w:rsid w:val="00756585"/>
    <w:rsid w:val="00757E0A"/>
    <w:rsid w:val="00757E63"/>
    <w:rsid w:val="00760032"/>
    <w:rsid w:val="00761342"/>
    <w:rsid w:val="007615B1"/>
    <w:rsid w:val="0076165D"/>
    <w:rsid w:val="007623A6"/>
    <w:rsid w:val="00762B27"/>
    <w:rsid w:val="00765619"/>
    <w:rsid w:val="00766507"/>
    <w:rsid w:val="00766548"/>
    <w:rsid w:val="0076660E"/>
    <w:rsid w:val="007678FA"/>
    <w:rsid w:val="00770594"/>
    <w:rsid w:val="0077103F"/>
    <w:rsid w:val="007716CE"/>
    <w:rsid w:val="00771BF4"/>
    <w:rsid w:val="00771D16"/>
    <w:rsid w:val="00775A2B"/>
    <w:rsid w:val="00775DCE"/>
    <w:rsid w:val="0077682A"/>
    <w:rsid w:val="00776FD0"/>
    <w:rsid w:val="00777995"/>
    <w:rsid w:val="00777CE2"/>
    <w:rsid w:val="0078008D"/>
    <w:rsid w:val="007817AA"/>
    <w:rsid w:val="007818B2"/>
    <w:rsid w:val="00781BFC"/>
    <w:rsid w:val="00782257"/>
    <w:rsid w:val="00783416"/>
    <w:rsid w:val="00783785"/>
    <w:rsid w:val="007840FA"/>
    <w:rsid w:val="00785432"/>
    <w:rsid w:val="00785772"/>
    <w:rsid w:val="0078649E"/>
    <w:rsid w:val="00786D45"/>
    <w:rsid w:val="00786E16"/>
    <w:rsid w:val="00787DBC"/>
    <w:rsid w:val="00790B4B"/>
    <w:rsid w:val="00791577"/>
    <w:rsid w:val="00791C66"/>
    <w:rsid w:val="00792AD9"/>
    <w:rsid w:val="00793DA6"/>
    <w:rsid w:val="00794B79"/>
    <w:rsid w:val="0079594C"/>
    <w:rsid w:val="0079791E"/>
    <w:rsid w:val="007A04BF"/>
    <w:rsid w:val="007A0D45"/>
    <w:rsid w:val="007A2244"/>
    <w:rsid w:val="007A22E1"/>
    <w:rsid w:val="007A2957"/>
    <w:rsid w:val="007A2AF2"/>
    <w:rsid w:val="007A2D31"/>
    <w:rsid w:val="007A400F"/>
    <w:rsid w:val="007A4074"/>
    <w:rsid w:val="007A423B"/>
    <w:rsid w:val="007A4D1F"/>
    <w:rsid w:val="007A64AC"/>
    <w:rsid w:val="007A6A63"/>
    <w:rsid w:val="007A6EF6"/>
    <w:rsid w:val="007B14BA"/>
    <w:rsid w:val="007B1B20"/>
    <w:rsid w:val="007B25BE"/>
    <w:rsid w:val="007B389F"/>
    <w:rsid w:val="007B4722"/>
    <w:rsid w:val="007B4F67"/>
    <w:rsid w:val="007B6CF8"/>
    <w:rsid w:val="007B6ED1"/>
    <w:rsid w:val="007B7E0D"/>
    <w:rsid w:val="007C0888"/>
    <w:rsid w:val="007C1334"/>
    <w:rsid w:val="007C197B"/>
    <w:rsid w:val="007C1C70"/>
    <w:rsid w:val="007C2B0E"/>
    <w:rsid w:val="007C3802"/>
    <w:rsid w:val="007C3FB4"/>
    <w:rsid w:val="007C416C"/>
    <w:rsid w:val="007C466A"/>
    <w:rsid w:val="007C7E7F"/>
    <w:rsid w:val="007D052D"/>
    <w:rsid w:val="007D09BE"/>
    <w:rsid w:val="007D0D1B"/>
    <w:rsid w:val="007D1A64"/>
    <w:rsid w:val="007D2321"/>
    <w:rsid w:val="007D4039"/>
    <w:rsid w:val="007D5BA0"/>
    <w:rsid w:val="007D7188"/>
    <w:rsid w:val="007D772D"/>
    <w:rsid w:val="007D7804"/>
    <w:rsid w:val="007D79E6"/>
    <w:rsid w:val="007D7F96"/>
    <w:rsid w:val="007E00E5"/>
    <w:rsid w:val="007E10B6"/>
    <w:rsid w:val="007E1B71"/>
    <w:rsid w:val="007E2404"/>
    <w:rsid w:val="007E2A7E"/>
    <w:rsid w:val="007E32D5"/>
    <w:rsid w:val="007E33C6"/>
    <w:rsid w:val="007E39BB"/>
    <w:rsid w:val="007E50A2"/>
    <w:rsid w:val="007E52CB"/>
    <w:rsid w:val="007F0EC1"/>
    <w:rsid w:val="007F0F90"/>
    <w:rsid w:val="007F29BF"/>
    <w:rsid w:val="007F2C9F"/>
    <w:rsid w:val="007F2FE2"/>
    <w:rsid w:val="007F3320"/>
    <w:rsid w:val="007F33E5"/>
    <w:rsid w:val="007F36BB"/>
    <w:rsid w:val="007F3C22"/>
    <w:rsid w:val="007F48B3"/>
    <w:rsid w:val="007F5A46"/>
    <w:rsid w:val="007F6632"/>
    <w:rsid w:val="007F680E"/>
    <w:rsid w:val="007F7744"/>
    <w:rsid w:val="0080079F"/>
    <w:rsid w:val="0080144D"/>
    <w:rsid w:val="0080222C"/>
    <w:rsid w:val="00802C92"/>
    <w:rsid w:val="00803137"/>
    <w:rsid w:val="00803A36"/>
    <w:rsid w:val="008043B1"/>
    <w:rsid w:val="00804AA7"/>
    <w:rsid w:val="00806AEF"/>
    <w:rsid w:val="0080778D"/>
    <w:rsid w:val="00810974"/>
    <w:rsid w:val="008109C2"/>
    <w:rsid w:val="00812005"/>
    <w:rsid w:val="00813F43"/>
    <w:rsid w:val="00814D3B"/>
    <w:rsid w:val="008154FC"/>
    <w:rsid w:val="00817123"/>
    <w:rsid w:val="00817360"/>
    <w:rsid w:val="00817DFD"/>
    <w:rsid w:val="00821861"/>
    <w:rsid w:val="008218CC"/>
    <w:rsid w:val="00822220"/>
    <w:rsid w:val="00823115"/>
    <w:rsid w:val="00823395"/>
    <w:rsid w:val="008233AF"/>
    <w:rsid w:val="00823793"/>
    <w:rsid w:val="00825A36"/>
    <w:rsid w:val="00826796"/>
    <w:rsid w:val="00827076"/>
    <w:rsid w:val="00827330"/>
    <w:rsid w:val="00827942"/>
    <w:rsid w:val="00827C8A"/>
    <w:rsid w:val="00830FD6"/>
    <w:rsid w:val="0083180D"/>
    <w:rsid w:val="008324F0"/>
    <w:rsid w:val="00832DD0"/>
    <w:rsid w:val="00833175"/>
    <w:rsid w:val="00834B8E"/>
    <w:rsid w:val="00836DF6"/>
    <w:rsid w:val="00837743"/>
    <w:rsid w:val="00837D05"/>
    <w:rsid w:val="00837F95"/>
    <w:rsid w:val="0084016F"/>
    <w:rsid w:val="00841570"/>
    <w:rsid w:val="00843655"/>
    <w:rsid w:val="00843EF5"/>
    <w:rsid w:val="008453EB"/>
    <w:rsid w:val="008462CF"/>
    <w:rsid w:val="00846D53"/>
    <w:rsid w:val="008475CF"/>
    <w:rsid w:val="00850EC7"/>
    <w:rsid w:val="008515E9"/>
    <w:rsid w:val="00851921"/>
    <w:rsid w:val="00851E96"/>
    <w:rsid w:val="008532A4"/>
    <w:rsid w:val="00853ECE"/>
    <w:rsid w:val="00853EF4"/>
    <w:rsid w:val="00854197"/>
    <w:rsid w:val="008554FA"/>
    <w:rsid w:val="008565D1"/>
    <w:rsid w:val="00857D85"/>
    <w:rsid w:val="0086021C"/>
    <w:rsid w:val="00860C69"/>
    <w:rsid w:val="00861E39"/>
    <w:rsid w:val="00862738"/>
    <w:rsid w:val="00862B6D"/>
    <w:rsid w:val="008633E5"/>
    <w:rsid w:val="008635E6"/>
    <w:rsid w:val="008639B0"/>
    <w:rsid w:val="00863EBD"/>
    <w:rsid w:val="008648EC"/>
    <w:rsid w:val="00864ED4"/>
    <w:rsid w:val="008666BC"/>
    <w:rsid w:val="00867671"/>
    <w:rsid w:val="00867A33"/>
    <w:rsid w:val="00870756"/>
    <w:rsid w:val="00871C9D"/>
    <w:rsid w:val="008722E4"/>
    <w:rsid w:val="00872322"/>
    <w:rsid w:val="0087330E"/>
    <w:rsid w:val="00873ED7"/>
    <w:rsid w:val="0087421F"/>
    <w:rsid w:val="008742A5"/>
    <w:rsid w:val="008743F4"/>
    <w:rsid w:val="00874CFC"/>
    <w:rsid w:val="008762BB"/>
    <w:rsid w:val="00876C11"/>
    <w:rsid w:val="0088006A"/>
    <w:rsid w:val="00881025"/>
    <w:rsid w:val="0088192C"/>
    <w:rsid w:val="00881FA9"/>
    <w:rsid w:val="008857C8"/>
    <w:rsid w:val="008863EC"/>
    <w:rsid w:val="00886CD1"/>
    <w:rsid w:val="00890DC3"/>
    <w:rsid w:val="00891291"/>
    <w:rsid w:val="0089196D"/>
    <w:rsid w:val="00891D65"/>
    <w:rsid w:val="00892103"/>
    <w:rsid w:val="00892D58"/>
    <w:rsid w:val="0089367F"/>
    <w:rsid w:val="008941D2"/>
    <w:rsid w:val="00894E8C"/>
    <w:rsid w:val="00897808"/>
    <w:rsid w:val="008A089B"/>
    <w:rsid w:val="008A0B16"/>
    <w:rsid w:val="008A1A2C"/>
    <w:rsid w:val="008A1B06"/>
    <w:rsid w:val="008A1BB3"/>
    <w:rsid w:val="008A1DE1"/>
    <w:rsid w:val="008A36BF"/>
    <w:rsid w:val="008A4E7F"/>
    <w:rsid w:val="008A59A3"/>
    <w:rsid w:val="008A65D6"/>
    <w:rsid w:val="008A688C"/>
    <w:rsid w:val="008A757D"/>
    <w:rsid w:val="008B1964"/>
    <w:rsid w:val="008B1C47"/>
    <w:rsid w:val="008B1D1F"/>
    <w:rsid w:val="008B2AD5"/>
    <w:rsid w:val="008B2C83"/>
    <w:rsid w:val="008B2FCC"/>
    <w:rsid w:val="008B3EFF"/>
    <w:rsid w:val="008B43D2"/>
    <w:rsid w:val="008B470C"/>
    <w:rsid w:val="008B5486"/>
    <w:rsid w:val="008B66BB"/>
    <w:rsid w:val="008B795E"/>
    <w:rsid w:val="008C0772"/>
    <w:rsid w:val="008C260B"/>
    <w:rsid w:val="008C3394"/>
    <w:rsid w:val="008C422E"/>
    <w:rsid w:val="008C4671"/>
    <w:rsid w:val="008C6683"/>
    <w:rsid w:val="008C6EC1"/>
    <w:rsid w:val="008D0291"/>
    <w:rsid w:val="008D045E"/>
    <w:rsid w:val="008D115E"/>
    <w:rsid w:val="008D1180"/>
    <w:rsid w:val="008D1BE7"/>
    <w:rsid w:val="008D290D"/>
    <w:rsid w:val="008D2E0F"/>
    <w:rsid w:val="008D35BD"/>
    <w:rsid w:val="008D39FE"/>
    <w:rsid w:val="008D5FF3"/>
    <w:rsid w:val="008D6AFE"/>
    <w:rsid w:val="008D6D15"/>
    <w:rsid w:val="008D76EE"/>
    <w:rsid w:val="008D7AA9"/>
    <w:rsid w:val="008E0D87"/>
    <w:rsid w:val="008E1E31"/>
    <w:rsid w:val="008E4556"/>
    <w:rsid w:val="008E72F9"/>
    <w:rsid w:val="008E7511"/>
    <w:rsid w:val="008F0B78"/>
    <w:rsid w:val="008F0F79"/>
    <w:rsid w:val="008F2290"/>
    <w:rsid w:val="008F338E"/>
    <w:rsid w:val="008F44E5"/>
    <w:rsid w:val="008F5B86"/>
    <w:rsid w:val="008F7BA7"/>
    <w:rsid w:val="008F7F30"/>
    <w:rsid w:val="009012DC"/>
    <w:rsid w:val="00901506"/>
    <w:rsid w:val="00901CD9"/>
    <w:rsid w:val="00901EA9"/>
    <w:rsid w:val="00902D5E"/>
    <w:rsid w:val="00905B80"/>
    <w:rsid w:val="009078FC"/>
    <w:rsid w:val="00907C8D"/>
    <w:rsid w:val="00910008"/>
    <w:rsid w:val="009104B9"/>
    <w:rsid w:val="00910738"/>
    <w:rsid w:val="00913674"/>
    <w:rsid w:val="00913FEF"/>
    <w:rsid w:val="00914493"/>
    <w:rsid w:val="009147BB"/>
    <w:rsid w:val="00914A7C"/>
    <w:rsid w:val="009150E9"/>
    <w:rsid w:val="009152D5"/>
    <w:rsid w:val="00915550"/>
    <w:rsid w:val="009157B5"/>
    <w:rsid w:val="0091639B"/>
    <w:rsid w:val="009207CD"/>
    <w:rsid w:val="009209F3"/>
    <w:rsid w:val="00920FB9"/>
    <w:rsid w:val="009213E1"/>
    <w:rsid w:val="009226B2"/>
    <w:rsid w:val="0092289F"/>
    <w:rsid w:val="00922BC7"/>
    <w:rsid w:val="0092327E"/>
    <w:rsid w:val="00923AB9"/>
    <w:rsid w:val="00924198"/>
    <w:rsid w:val="009244F0"/>
    <w:rsid w:val="00924BBB"/>
    <w:rsid w:val="009257B6"/>
    <w:rsid w:val="00926620"/>
    <w:rsid w:val="00926EBF"/>
    <w:rsid w:val="009279E2"/>
    <w:rsid w:val="00930296"/>
    <w:rsid w:val="009306F9"/>
    <w:rsid w:val="00930739"/>
    <w:rsid w:val="00930DCE"/>
    <w:rsid w:val="00931F6F"/>
    <w:rsid w:val="009325AB"/>
    <w:rsid w:val="00932FA9"/>
    <w:rsid w:val="00932FF9"/>
    <w:rsid w:val="009330FC"/>
    <w:rsid w:val="00935D8C"/>
    <w:rsid w:val="0093638C"/>
    <w:rsid w:val="00937A4E"/>
    <w:rsid w:val="00940E2F"/>
    <w:rsid w:val="009411F0"/>
    <w:rsid w:val="009431CD"/>
    <w:rsid w:val="00943AA0"/>
    <w:rsid w:val="009442C5"/>
    <w:rsid w:val="00950569"/>
    <w:rsid w:val="00950B8D"/>
    <w:rsid w:val="0095352D"/>
    <w:rsid w:val="00955661"/>
    <w:rsid w:val="00957948"/>
    <w:rsid w:val="0096140B"/>
    <w:rsid w:val="00961976"/>
    <w:rsid w:val="00961AE7"/>
    <w:rsid w:val="00962610"/>
    <w:rsid w:val="00962A03"/>
    <w:rsid w:val="00962D0B"/>
    <w:rsid w:val="00963107"/>
    <w:rsid w:val="00963F2C"/>
    <w:rsid w:val="00964867"/>
    <w:rsid w:val="00966034"/>
    <w:rsid w:val="00966093"/>
    <w:rsid w:val="009661F9"/>
    <w:rsid w:val="00966929"/>
    <w:rsid w:val="00967AD4"/>
    <w:rsid w:val="00967DA6"/>
    <w:rsid w:val="009700BF"/>
    <w:rsid w:val="009708B5"/>
    <w:rsid w:val="009714F0"/>
    <w:rsid w:val="0097151A"/>
    <w:rsid w:val="009716F7"/>
    <w:rsid w:val="00971D75"/>
    <w:rsid w:val="0097344D"/>
    <w:rsid w:val="00974210"/>
    <w:rsid w:val="00974A8A"/>
    <w:rsid w:val="00974C9F"/>
    <w:rsid w:val="00975804"/>
    <w:rsid w:val="00975B37"/>
    <w:rsid w:val="0097606D"/>
    <w:rsid w:val="0097633D"/>
    <w:rsid w:val="00976C43"/>
    <w:rsid w:val="00980683"/>
    <w:rsid w:val="00980AA0"/>
    <w:rsid w:val="00981033"/>
    <w:rsid w:val="009813E6"/>
    <w:rsid w:val="009814B6"/>
    <w:rsid w:val="00981A39"/>
    <w:rsid w:val="00982211"/>
    <w:rsid w:val="00982239"/>
    <w:rsid w:val="009847FB"/>
    <w:rsid w:val="00984A5B"/>
    <w:rsid w:val="00984C62"/>
    <w:rsid w:val="00985084"/>
    <w:rsid w:val="0098682C"/>
    <w:rsid w:val="009868D6"/>
    <w:rsid w:val="0098760F"/>
    <w:rsid w:val="00990196"/>
    <w:rsid w:val="009901D6"/>
    <w:rsid w:val="009916D0"/>
    <w:rsid w:val="0099176F"/>
    <w:rsid w:val="00991B82"/>
    <w:rsid w:val="00992732"/>
    <w:rsid w:val="00992A29"/>
    <w:rsid w:val="009960C9"/>
    <w:rsid w:val="0099643D"/>
    <w:rsid w:val="00996E1D"/>
    <w:rsid w:val="009A0970"/>
    <w:rsid w:val="009A09C6"/>
    <w:rsid w:val="009A2403"/>
    <w:rsid w:val="009A25DA"/>
    <w:rsid w:val="009A323D"/>
    <w:rsid w:val="009A3AE5"/>
    <w:rsid w:val="009A3DCF"/>
    <w:rsid w:val="009A4AE3"/>
    <w:rsid w:val="009A4C09"/>
    <w:rsid w:val="009A6167"/>
    <w:rsid w:val="009A66A6"/>
    <w:rsid w:val="009A73CE"/>
    <w:rsid w:val="009B0198"/>
    <w:rsid w:val="009B0223"/>
    <w:rsid w:val="009B0837"/>
    <w:rsid w:val="009B0B94"/>
    <w:rsid w:val="009B1061"/>
    <w:rsid w:val="009B1E23"/>
    <w:rsid w:val="009B22FD"/>
    <w:rsid w:val="009B253B"/>
    <w:rsid w:val="009B2C59"/>
    <w:rsid w:val="009B3BA1"/>
    <w:rsid w:val="009B3E58"/>
    <w:rsid w:val="009B3F94"/>
    <w:rsid w:val="009B4B19"/>
    <w:rsid w:val="009B6F55"/>
    <w:rsid w:val="009C027C"/>
    <w:rsid w:val="009C2411"/>
    <w:rsid w:val="009C28B0"/>
    <w:rsid w:val="009C28BC"/>
    <w:rsid w:val="009C29D9"/>
    <w:rsid w:val="009C311F"/>
    <w:rsid w:val="009C3168"/>
    <w:rsid w:val="009C3321"/>
    <w:rsid w:val="009C423E"/>
    <w:rsid w:val="009C46AB"/>
    <w:rsid w:val="009C53B4"/>
    <w:rsid w:val="009C5454"/>
    <w:rsid w:val="009C5A96"/>
    <w:rsid w:val="009C65B4"/>
    <w:rsid w:val="009C6AD9"/>
    <w:rsid w:val="009D034B"/>
    <w:rsid w:val="009D0C63"/>
    <w:rsid w:val="009D1063"/>
    <w:rsid w:val="009D2667"/>
    <w:rsid w:val="009D2904"/>
    <w:rsid w:val="009D31F5"/>
    <w:rsid w:val="009D4BAD"/>
    <w:rsid w:val="009D5355"/>
    <w:rsid w:val="009D585B"/>
    <w:rsid w:val="009D5883"/>
    <w:rsid w:val="009D653A"/>
    <w:rsid w:val="009D657C"/>
    <w:rsid w:val="009D71E3"/>
    <w:rsid w:val="009D7324"/>
    <w:rsid w:val="009E09E5"/>
    <w:rsid w:val="009E1143"/>
    <w:rsid w:val="009E1B23"/>
    <w:rsid w:val="009E257B"/>
    <w:rsid w:val="009E2D62"/>
    <w:rsid w:val="009E3897"/>
    <w:rsid w:val="009E44EE"/>
    <w:rsid w:val="009E6FA3"/>
    <w:rsid w:val="009E708F"/>
    <w:rsid w:val="009E727E"/>
    <w:rsid w:val="009E78F3"/>
    <w:rsid w:val="009E7A09"/>
    <w:rsid w:val="009F0739"/>
    <w:rsid w:val="009F21A6"/>
    <w:rsid w:val="009F2C28"/>
    <w:rsid w:val="009F2C5E"/>
    <w:rsid w:val="009F3D80"/>
    <w:rsid w:val="009F4453"/>
    <w:rsid w:val="009F4E44"/>
    <w:rsid w:val="009F5B0A"/>
    <w:rsid w:val="009F7C70"/>
    <w:rsid w:val="00A002F4"/>
    <w:rsid w:val="00A00AE0"/>
    <w:rsid w:val="00A00B7E"/>
    <w:rsid w:val="00A011D5"/>
    <w:rsid w:val="00A01B9D"/>
    <w:rsid w:val="00A01D1A"/>
    <w:rsid w:val="00A020A9"/>
    <w:rsid w:val="00A02148"/>
    <w:rsid w:val="00A028AB"/>
    <w:rsid w:val="00A03F05"/>
    <w:rsid w:val="00A047AF"/>
    <w:rsid w:val="00A04AAA"/>
    <w:rsid w:val="00A0564F"/>
    <w:rsid w:val="00A0567A"/>
    <w:rsid w:val="00A05EB7"/>
    <w:rsid w:val="00A05F2B"/>
    <w:rsid w:val="00A06A8B"/>
    <w:rsid w:val="00A07305"/>
    <w:rsid w:val="00A10460"/>
    <w:rsid w:val="00A10D03"/>
    <w:rsid w:val="00A11467"/>
    <w:rsid w:val="00A11D2B"/>
    <w:rsid w:val="00A13299"/>
    <w:rsid w:val="00A1416D"/>
    <w:rsid w:val="00A14219"/>
    <w:rsid w:val="00A14E35"/>
    <w:rsid w:val="00A15263"/>
    <w:rsid w:val="00A174D4"/>
    <w:rsid w:val="00A179E3"/>
    <w:rsid w:val="00A204BA"/>
    <w:rsid w:val="00A20570"/>
    <w:rsid w:val="00A20587"/>
    <w:rsid w:val="00A22204"/>
    <w:rsid w:val="00A223C9"/>
    <w:rsid w:val="00A230E1"/>
    <w:rsid w:val="00A24336"/>
    <w:rsid w:val="00A24B6B"/>
    <w:rsid w:val="00A24CD1"/>
    <w:rsid w:val="00A24FC5"/>
    <w:rsid w:val="00A257A5"/>
    <w:rsid w:val="00A266B6"/>
    <w:rsid w:val="00A26888"/>
    <w:rsid w:val="00A26C54"/>
    <w:rsid w:val="00A308C5"/>
    <w:rsid w:val="00A30C37"/>
    <w:rsid w:val="00A31625"/>
    <w:rsid w:val="00A3232A"/>
    <w:rsid w:val="00A3431C"/>
    <w:rsid w:val="00A34E13"/>
    <w:rsid w:val="00A35796"/>
    <w:rsid w:val="00A3796D"/>
    <w:rsid w:val="00A37BBC"/>
    <w:rsid w:val="00A402BF"/>
    <w:rsid w:val="00A409AB"/>
    <w:rsid w:val="00A41565"/>
    <w:rsid w:val="00A42341"/>
    <w:rsid w:val="00A43E47"/>
    <w:rsid w:val="00A4466C"/>
    <w:rsid w:val="00A45420"/>
    <w:rsid w:val="00A4612A"/>
    <w:rsid w:val="00A501B1"/>
    <w:rsid w:val="00A50765"/>
    <w:rsid w:val="00A51791"/>
    <w:rsid w:val="00A52CEE"/>
    <w:rsid w:val="00A53816"/>
    <w:rsid w:val="00A53B4F"/>
    <w:rsid w:val="00A54762"/>
    <w:rsid w:val="00A54825"/>
    <w:rsid w:val="00A54E3C"/>
    <w:rsid w:val="00A55530"/>
    <w:rsid w:val="00A57019"/>
    <w:rsid w:val="00A57F17"/>
    <w:rsid w:val="00A60A6B"/>
    <w:rsid w:val="00A6266D"/>
    <w:rsid w:val="00A6529D"/>
    <w:rsid w:val="00A657AA"/>
    <w:rsid w:val="00A675AA"/>
    <w:rsid w:val="00A70201"/>
    <w:rsid w:val="00A72D3F"/>
    <w:rsid w:val="00A72DBF"/>
    <w:rsid w:val="00A73EE3"/>
    <w:rsid w:val="00A76FB3"/>
    <w:rsid w:val="00A77A5F"/>
    <w:rsid w:val="00A83E33"/>
    <w:rsid w:val="00A856F3"/>
    <w:rsid w:val="00A85D6A"/>
    <w:rsid w:val="00A871BD"/>
    <w:rsid w:val="00A87314"/>
    <w:rsid w:val="00A87726"/>
    <w:rsid w:val="00A93B38"/>
    <w:rsid w:val="00A93BCB"/>
    <w:rsid w:val="00A9483C"/>
    <w:rsid w:val="00A95983"/>
    <w:rsid w:val="00A96AC1"/>
    <w:rsid w:val="00AA12DB"/>
    <w:rsid w:val="00AA19E7"/>
    <w:rsid w:val="00AA1C42"/>
    <w:rsid w:val="00AA3341"/>
    <w:rsid w:val="00AA5CCE"/>
    <w:rsid w:val="00AA614F"/>
    <w:rsid w:val="00AA69AB"/>
    <w:rsid w:val="00AB203D"/>
    <w:rsid w:val="00AB26C3"/>
    <w:rsid w:val="00AB2A81"/>
    <w:rsid w:val="00AB312A"/>
    <w:rsid w:val="00AB3F2C"/>
    <w:rsid w:val="00AB3FF0"/>
    <w:rsid w:val="00AB479A"/>
    <w:rsid w:val="00AB50BF"/>
    <w:rsid w:val="00AB72C3"/>
    <w:rsid w:val="00AC03AB"/>
    <w:rsid w:val="00AC08EF"/>
    <w:rsid w:val="00AC0A30"/>
    <w:rsid w:val="00AC72D1"/>
    <w:rsid w:val="00AC7682"/>
    <w:rsid w:val="00AC7905"/>
    <w:rsid w:val="00AD0726"/>
    <w:rsid w:val="00AD090A"/>
    <w:rsid w:val="00AD136E"/>
    <w:rsid w:val="00AD1994"/>
    <w:rsid w:val="00AD3256"/>
    <w:rsid w:val="00AD35CF"/>
    <w:rsid w:val="00AD35D3"/>
    <w:rsid w:val="00AD525D"/>
    <w:rsid w:val="00AD52D1"/>
    <w:rsid w:val="00AD543F"/>
    <w:rsid w:val="00AD62C8"/>
    <w:rsid w:val="00AD6A60"/>
    <w:rsid w:val="00AE0132"/>
    <w:rsid w:val="00AE0306"/>
    <w:rsid w:val="00AE09C7"/>
    <w:rsid w:val="00AE1550"/>
    <w:rsid w:val="00AE2519"/>
    <w:rsid w:val="00AE3EDF"/>
    <w:rsid w:val="00AE4E71"/>
    <w:rsid w:val="00AE525A"/>
    <w:rsid w:val="00AE6C7B"/>
    <w:rsid w:val="00AE6CDF"/>
    <w:rsid w:val="00AF132D"/>
    <w:rsid w:val="00AF1C81"/>
    <w:rsid w:val="00AF2483"/>
    <w:rsid w:val="00AF2901"/>
    <w:rsid w:val="00AF2AB2"/>
    <w:rsid w:val="00AF3574"/>
    <w:rsid w:val="00AF4335"/>
    <w:rsid w:val="00AF6122"/>
    <w:rsid w:val="00AF72E9"/>
    <w:rsid w:val="00AF7D02"/>
    <w:rsid w:val="00B007B2"/>
    <w:rsid w:val="00B0144F"/>
    <w:rsid w:val="00B019DC"/>
    <w:rsid w:val="00B02B0B"/>
    <w:rsid w:val="00B02EAB"/>
    <w:rsid w:val="00B02FD3"/>
    <w:rsid w:val="00B0436C"/>
    <w:rsid w:val="00B04563"/>
    <w:rsid w:val="00B046DF"/>
    <w:rsid w:val="00B05118"/>
    <w:rsid w:val="00B05144"/>
    <w:rsid w:val="00B0601B"/>
    <w:rsid w:val="00B06E60"/>
    <w:rsid w:val="00B077BB"/>
    <w:rsid w:val="00B0792B"/>
    <w:rsid w:val="00B07DA2"/>
    <w:rsid w:val="00B102D9"/>
    <w:rsid w:val="00B106C6"/>
    <w:rsid w:val="00B10DC2"/>
    <w:rsid w:val="00B11882"/>
    <w:rsid w:val="00B12111"/>
    <w:rsid w:val="00B12CFA"/>
    <w:rsid w:val="00B13C64"/>
    <w:rsid w:val="00B14AFA"/>
    <w:rsid w:val="00B15569"/>
    <w:rsid w:val="00B20205"/>
    <w:rsid w:val="00B20386"/>
    <w:rsid w:val="00B20811"/>
    <w:rsid w:val="00B20AB9"/>
    <w:rsid w:val="00B21692"/>
    <w:rsid w:val="00B21753"/>
    <w:rsid w:val="00B2268C"/>
    <w:rsid w:val="00B246DD"/>
    <w:rsid w:val="00B2566B"/>
    <w:rsid w:val="00B25BC1"/>
    <w:rsid w:val="00B26212"/>
    <w:rsid w:val="00B262E8"/>
    <w:rsid w:val="00B26489"/>
    <w:rsid w:val="00B26603"/>
    <w:rsid w:val="00B26C17"/>
    <w:rsid w:val="00B26CA2"/>
    <w:rsid w:val="00B2763C"/>
    <w:rsid w:val="00B30060"/>
    <w:rsid w:val="00B301D7"/>
    <w:rsid w:val="00B30465"/>
    <w:rsid w:val="00B30759"/>
    <w:rsid w:val="00B307A4"/>
    <w:rsid w:val="00B32830"/>
    <w:rsid w:val="00B34E44"/>
    <w:rsid w:val="00B35BB3"/>
    <w:rsid w:val="00B364FA"/>
    <w:rsid w:val="00B37D79"/>
    <w:rsid w:val="00B41567"/>
    <w:rsid w:val="00B41FAB"/>
    <w:rsid w:val="00B42982"/>
    <w:rsid w:val="00B43D08"/>
    <w:rsid w:val="00B4409E"/>
    <w:rsid w:val="00B44E30"/>
    <w:rsid w:val="00B46823"/>
    <w:rsid w:val="00B47C05"/>
    <w:rsid w:val="00B50770"/>
    <w:rsid w:val="00B509B2"/>
    <w:rsid w:val="00B50C1D"/>
    <w:rsid w:val="00B51490"/>
    <w:rsid w:val="00B5182F"/>
    <w:rsid w:val="00B52D11"/>
    <w:rsid w:val="00B52F5E"/>
    <w:rsid w:val="00B539CC"/>
    <w:rsid w:val="00B54266"/>
    <w:rsid w:val="00B60160"/>
    <w:rsid w:val="00B60C6D"/>
    <w:rsid w:val="00B63166"/>
    <w:rsid w:val="00B63450"/>
    <w:rsid w:val="00B63707"/>
    <w:rsid w:val="00B63927"/>
    <w:rsid w:val="00B640CC"/>
    <w:rsid w:val="00B6580B"/>
    <w:rsid w:val="00B65A12"/>
    <w:rsid w:val="00B65E57"/>
    <w:rsid w:val="00B661C1"/>
    <w:rsid w:val="00B70A0B"/>
    <w:rsid w:val="00B70DD6"/>
    <w:rsid w:val="00B720C4"/>
    <w:rsid w:val="00B7385F"/>
    <w:rsid w:val="00B73867"/>
    <w:rsid w:val="00B75796"/>
    <w:rsid w:val="00B76EC4"/>
    <w:rsid w:val="00B82225"/>
    <w:rsid w:val="00B82B84"/>
    <w:rsid w:val="00B82D9A"/>
    <w:rsid w:val="00B8479F"/>
    <w:rsid w:val="00B84DAA"/>
    <w:rsid w:val="00B855D1"/>
    <w:rsid w:val="00B858E8"/>
    <w:rsid w:val="00B85C14"/>
    <w:rsid w:val="00B8632A"/>
    <w:rsid w:val="00B86B94"/>
    <w:rsid w:val="00B871F1"/>
    <w:rsid w:val="00B87DFE"/>
    <w:rsid w:val="00B90BD9"/>
    <w:rsid w:val="00B91FD9"/>
    <w:rsid w:val="00B9233D"/>
    <w:rsid w:val="00B92607"/>
    <w:rsid w:val="00B95D10"/>
    <w:rsid w:val="00B969AD"/>
    <w:rsid w:val="00BA0A99"/>
    <w:rsid w:val="00BA0DEA"/>
    <w:rsid w:val="00BA1765"/>
    <w:rsid w:val="00BA1931"/>
    <w:rsid w:val="00BA214F"/>
    <w:rsid w:val="00BA42E8"/>
    <w:rsid w:val="00BA4DD8"/>
    <w:rsid w:val="00BA5575"/>
    <w:rsid w:val="00BA5765"/>
    <w:rsid w:val="00BA6277"/>
    <w:rsid w:val="00BA67CB"/>
    <w:rsid w:val="00BA7010"/>
    <w:rsid w:val="00BA7711"/>
    <w:rsid w:val="00BA79B8"/>
    <w:rsid w:val="00BB18C9"/>
    <w:rsid w:val="00BB2B10"/>
    <w:rsid w:val="00BB4888"/>
    <w:rsid w:val="00BB52A5"/>
    <w:rsid w:val="00BB54A8"/>
    <w:rsid w:val="00BB6653"/>
    <w:rsid w:val="00BB6D6F"/>
    <w:rsid w:val="00BC086E"/>
    <w:rsid w:val="00BC0C64"/>
    <w:rsid w:val="00BC10C6"/>
    <w:rsid w:val="00BC2DEF"/>
    <w:rsid w:val="00BC3548"/>
    <w:rsid w:val="00BC3C88"/>
    <w:rsid w:val="00BC3FB6"/>
    <w:rsid w:val="00BC47C5"/>
    <w:rsid w:val="00BC5AB1"/>
    <w:rsid w:val="00BC6214"/>
    <w:rsid w:val="00BD251E"/>
    <w:rsid w:val="00BD31BC"/>
    <w:rsid w:val="00BD411E"/>
    <w:rsid w:val="00BD53DB"/>
    <w:rsid w:val="00BD5C10"/>
    <w:rsid w:val="00BD69EB"/>
    <w:rsid w:val="00BD747D"/>
    <w:rsid w:val="00BE09AC"/>
    <w:rsid w:val="00BE0B95"/>
    <w:rsid w:val="00BE0E6C"/>
    <w:rsid w:val="00BE31F0"/>
    <w:rsid w:val="00BE39BF"/>
    <w:rsid w:val="00BE3A30"/>
    <w:rsid w:val="00BE3B5B"/>
    <w:rsid w:val="00BE3B65"/>
    <w:rsid w:val="00BE5203"/>
    <w:rsid w:val="00BE57E8"/>
    <w:rsid w:val="00BE593F"/>
    <w:rsid w:val="00BE7EE6"/>
    <w:rsid w:val="00BF058B"/>
    <w:rsid w:val="00BF0CB5"/>
    <w:rsid w:val="00BF122E"/>
    <w:rsid w:val="00BF1D27"/>
    <w:rsid w:val="00BF289C"/>
    <w:rsid w:val="00BF2C75"/>
    <w:rsid w:val="00BF2DB8"/>
    <w:rsid w:val="00BF4F6A"/>
    <w:rsid w:val="00BF588D"/>
    <w:rsid w:val="00BF5C97"/>
    <w:rsid w:val="00BF635E"/>
    <w:rsid w:val="00BF689C"/>
    <w:rsid w:val="00BF75FF"/>
    <w:rsid w:val="00BF7875"/>
    <w:rsid w:val="00BF7DB0"/>
    <w:rsid w:val="00BF7FDB"/>
    <w:rsid w:val="00C00A57"/>
    <w:rsid w:val="00C02572"/>
    <w:rsid w:val="00C03F47"/>
    <w:rsid w:val="00C05122"/>
    <w:rsid w:val="00C05DF7"/>
    <w:rsid w:val="00C05F03"/>
    <w:rsid w:val="00C06201"/>
    <w:rsid w:val="00C063BE"/>
    <w:rsid w:val="00C0726D"/>
    <w:rsid w:val="00C0729B"/>
    <w:rsid w:val="00C07714"/>
    <w:rsid w:val="00C1106C"/>
    <w:rsid w:val="00C11CF4"/>
    <w:rsid w:val="00C135FF"/>
    <w:rsid w:val="00C13695"/>
    <w:rsid w:val="00C138D9"/>
    <w:rsid w:val="00C13E96"/>
    <w:rsid w:val="00C14EBB"/>
    <w:rsid w:val="00C15447"/>
    <w:rsid w:val="00C15E4E"/>
    <w:rsid w:val="00C16208"/>
    <w:rsid w:val="00C164E9"/>
    <w:rsid w:val="00C165D5"/>
    <w:rsid w:val="00C16C03"/>
    <w:rsid w:val="00C16DDC"/>
    <w:rsid w:val="00C203F7"/>
    <w:rsid w:val="00C211BD"/>
    <w:rsid w:val="00C21E16"/>
    <w:rsid w:val="00C21F47"/>
    <w:rsid w:val="00C223B0"/>
    <w:rsid w:val="00C23262"/>
    <w:rsid w:val="00C23391"/>
    <w:rsid w:val="00C2400C"/>
    <w:rsid w:val="00C24694"/>
    <w:rsid w:val="00C2483C"/>
    <w:rsid w:val="00C24AED"/>
    <w:rsid w:val="00C25075"/>
    <w:rsid w:val="00C254D6"/>
    <w:rsid w:val="00C25EAE"/>
    <w:rsid w:val="00C26770"/>
    <w:rsid w:val="00C26850"/>
    <w:rsid w:val="00C268A4"/>
    <w:rsid w:val="00C30B5C"/>
    <w:rsid w:val="00C30C85"/>
    <w:rsid w:val="00C32B5E"/>
    <w:rsid w:val="00C32CAA"/>
    <w:rsid w:val="00C32E0F"/>
    <w:rsid w:val="00C339C4"/>
    <w:rsid w:val="00C34811"/>
    <w:rsid w:val="00C37681"/>
    <w:rsid w:val="00C37B94"/>
    <w:rsid w:val="00C37DEA"/>
    <w:rsid w:val="00C37FBA"/>
    <w:rsid w:val="00C410B9"/>
    <w:rsid w:val="00C41633"/>
    <w:rsid w:val="00C43501"/>
    <w:rsid w:val="00C43CE2"/>
    <w:rsid w:val="00C44276"/>
    <w:rsid w:val="00C451CE"/>
    <w:rsid w:val="00C457BE"/>
    <w:rsid w:val="00C469CF"/>
    <w:rsid w:val="00C47134"/>
    <w:rsid w:val="00C4759C"/>
    <w:rsid w:val="00C479C5"/>
    <w:rsid w:val="00C47C9E"/>
    <w:rsid w:val="00C5042E"/>
    <w:rsid w:val="00C51350"/>
    <w:rsid w:val="00C543E8"/>
    <w:rsid w:val="00C5575E"/>
    <w:rsid w:val="00C56075"/>
    <w:rsid w:val="00C5697B"/>
    <w:rsid w:val="00C56B45"/>
    <w:rsid w:val="00C56B5C"/>
    <w:rsid w:val="00C572DE"/>
    <w:rsid w:val="00C57FE3"/>
    <w:rsid w:val="00C6057D"/>
    <w:rsid w:val="00C61A61"/>
    <w:rsid w:val="00C621B7"/>
    <w:rsid w:val="00C62A47"/>
    <w:rsid w:val="00C6598A"/>
    <w:rsid w:val="00C659E4"/>
    <w:rsid w:val="00C67BD2"/>
    <w:rsid w:val="00C70AA0"/>
    <w:rsid w:val="00C70D45"/>
    <w:rsid w:val="00C710A4"/>
    <w:rsid w:val="00C711C9"/>
    <w:rsid w:val="00C71B95"/>
    <w:rsid w:val="00C72CB3"/>
    <w:rsid w:val="00C740FE"/>
    <w:rsid w:val="00C74763"/>
    <w:rsid w:val="00C7583B"/>
    <w:rsid w:val="00C7593B"/>
    <w:rsid w:val="00C76F97"/>
    <w:rsid w:val="00C771F0"/>
    <w:rsid w:val="00C773AC"/>
    <w:rsid w:val="00C7767B"/>
    <w:rsid w:val="00C778CA"/>
    <w:rsid w:val="00C77975"/>
    <w:rsid w:val="00C77E75"/>
    <w:rsid w:val="00C77EAA"/>
    <w:rsid w:val="00C807D7"/>
    <w:rsid w:val="00C80AB7"/>
    <w:rsid w:val="00C81248"/>
    <w:rsid w:val="00C81698"/>
    <w:rsid w:val="00C81DFC"/>
    <w:rsid w:val="00C82A24"/>
    <w:rsid w:val="00C835A2"/>
    <w:rsid w:val="00C83BEB"/>
    <w:rsid w:val="00C84D91"/>
    <w:rsid w:val="00C85126"/>
    <w:rsid w:val="00C8522B"/>
    <w:rsid w:val="00C855E5"/>
    <w:rsid w:val="00C87514"/>
    <w:rsid w:val="00C90207"/>
    <w:rsid w:val="00C91D7D"/>
    <w:rsid w:val="00C92F8D"/>
    <w:rsid w:val="00C9492D"/>
    <w:rsid w:val="00C9559E"/>
    <w:rsid w:val="00C95B56"/>
    <w:rsid w:val="00C9673A"/>
    <w:rsid w:val="00C973D6"/>
    <w:rsid w:val="00C97A81"/>
    <w:rsid w:val="00C97F25"/>
    <w:rsid w:val="00CA0B73"/>
    <w:rsid w:val="00CA1BDA"/>
    <w:rsid w:val="00CA1EF9"/>
    <w:rsid w:val="00CA2ACF"/>
    <w:rsid w:val="00CA2CB8"/>
    <w:rsid w:val="00CA3664"/>
    <w:rsid w:val="00CA55D9"/>
    <w:rsid w:val="00CA59BB"/>
    <w:rsid w:val="00CA5D54"/>
    <w:rsid w:val="00CA5F03"/>
    <w:rsid w:val="00CA60E2"/>
    <w:rsid w:val="00CA6BC5"/>
    <w:rsid w:val="00CA74A0"/>
    <w:rsid w:val="00CB0865"/>
    <w:rsid w:val="00CB0B06"/>
    <w:rsid w:val="00CB0F5C"/>
    <w:rsid w:val="00CB13E4"/>
    <w:rsid w:val="00CB14DC"/>
    <w:rsid w:val="00CB3962"/>
    <w:rsid w:val="00CB3C79"/>
    <w:rsid w:val="00CB5106"/>
    <w:rsid w:val="00CB5290"/>
    <w:rsid w:val="00CB5BF6"/>
    <w:rsid w:val="00CB6E37"/>
    <w:rsid w:val="00CB7C8C"/>
    <w:rsid w:val="00CC073C"/>
    <w:rsid w:val="00CC0A7D"/>
    <w:rsid w:val="00CC3E7E"/>
    <w:rsid w:val="00CC4028"/>
    <w:rsid w:val="00CC48B6"/>
    <w:rsid w:val="00CC4BC8"/>
    <w:rsid w:val="00CC4C03"/>
    <w:rsid w:val="00CC660D"/>
    <w:rsid w:val="00CC6B2D"/>
    <w:rsid w:val="00CC76B2"/>
    <w:rsid w:val="00CC78FB"/>
    <w:rsid w:val="00CD01AA"/>
    <w:rsid w:val="00CD01C1"/>
    <w:rsid w:val="00CD0D57"/>
    <w:rsid w:val="00CD316F"/>
    <w:rsid w:val="00CD3AC6"/>
    <w:rsid w:val="00CD3F92"/>
    <w:rsid w:val="00CD4738"/>
    <w:rsid w:val="00CD55D6"/>
    <w:rsid w:val="00CD6822"/>
    <w:rsid w:val="00CD6C13"/>
    <w:rsid w:val="00CD79EA"/>
    <w:rsid w:val="00CD79F9"/>
    <w:rsid w:val="00CD7A1B"/>
    <w:rsid w:val="00CD7E46"/>
    <w:rsid w:val="00CE0276"/>
    <w:rsid w:val="00CE125A"/>
    <w:rsid w:val="00CE1A91"/>
    <w:rsid w:val="00CE2424"/>
    <w:rsid w:val="00CE2B99"/>
    <w:rsid w:val="00CE4360"/>
    <w:rsid w:val="00CE4BE5"/>
    <w:rsid w:val="00CE57A9"/>
    <w:rsid w:val="00CE7BF1"/>
    <w:rsid w:val="00CF0BCD"/>
    <w:rsid w:val="00CF2340"/>
    <w:rsid w:val="00CF3020"/>
    <w:rsid w:val="00CF4F77"/>
    <w:rsid w:val="00CF537E"/>
    <w:rsid w:val="00CF5385"/>
    <w:rsid w:val="00CF61D4"/>
    <w:rsid w:val="00CF6665"/>
    <w:rsid w:val="00CF6994"/>
    <w:rsid w:val="00CF6B67"/>
    <w:rsid w:val="00CF6D94"/>
    <w:rsid w:val="00CF7116"/>
    <w:rsid w:val="00CF7A3E"/>
    <w:rsid w:val="00D00A91"/>
    <w:rsid w:val="00D01458"/>
    <w:rsid w:val="00D025F2"/>
    <w:rsid w:val="00D02A40"/>
    <w:rsid w:val="00D02F48"/>
    <w:rsid w:val="00D04B2A"/>
    <w:rsid w:val="00D057F9"/>
    <w:rsid w:val="00D05C01"/>
    <w:rsid w:val="00D11A3C"/>
    <w:rsid w:val="00D11D90"/>
    <w:rsid w:val="00D11E24"/>
    <w:rsid w:val="00D12F62"/>
    <w:rsid w:val="00D13413"/>
    <w:rsid w:val="00D137D5"/>
    <w:rsid w:val="00D1389D"/>
    <w:rsid w:val="00D14632"/>
    <w:rsid w:val="00D1528C"/>
    <w:rsid w:val="00D15C2F"/>
    <w:rsid w:val="00D161ED"/>
    <w:rsid w:val="00D16E80"/>
    <w:rsid w:val="00D16FFD"/>
    <w:rsid w:val="00D17766"/>
    <w:rsid w:val="00D20E61"/>
    <w:rsid w:val="00D20F2E"/>
    <w:rsid w:val="00D217A7"/>
    <w:rsid w:val="00D2260B"/>
    <w:rsid w:val="00D22A7B"/>
    <w:rsid w:val="00D231CD"/>
    <w:rsid w:val="00D23943"/>
    <w:rsid w:val="00D24458"/>
    <w:rsid w:val="00D24493"/>
    <w:rsid w:val="00D249F3"/>
    <w:rsid w:val="00D25773"/>
    <w:rsid w:val="00D260C8"/>
    <w:rsid w:val="00D26FA3"/>
    <w:rsid w:val="00D272DE"/>
    <w:rsid w:val="00D30B7E"/>
    <w:rsid w:val="00D31B18"/>
    <w:rsid w:val="00D32ECE"/>
    <w:rsid w:val="00D34859"/>
    <w:rsid w:val="00D3493F"/>
    <w:rsid w:val="00D35BDC"/>
    <w:rsid w:val="00D367D4"/>
    <w:rsid w:val="00D37359"/>
    <w:rsid w:val="00D417DA"/>
    <w:rsid w:val="00D4215F"/>
    <w:rsid w:val="00D44027"/>
    <w:rsid w:val="00D44BA0"/>
    <w:rsid w:val="00D4510F"/>
    <w:rsid w:val="00D467ED"/>
    <w:rsid w:val="00D46897"/>
    <w:rsid w:val="00D4786F"/>
    <w:rsid w:val="00D47D2B"/>
    <w:rsid w:val="00D509B7"/>
    <w:rsid w:val="00D5354B"/>
    <w:rsid w:val="00D53DB2"/>
    <w:rsid w:val="00D55192"/>
    <w:rsid w:val="00D5694D"/>
    <w:rsid w:val="00D5797B"/>
    <w:rsid w:val="00D6069F"/>
    <w:rsid w:val="00D60E0C"/>
    <w:rsid w:val="00D6191F"/>
    <w:rsid w:val="00D61C4A"/>
    <w:rsid w:val="00D633D6"/>
    <w:rsid w:val="00D63401"/>
    <w:rsid w:val="00D63A6E"/>
    <w:rsid w:val="00D63C2B"/>
    <w:rsid w:val="00D64E25"/>
    <w:rsid w:val="00D651A2"/>
    <w:rsid w:val="00D652C4"/>
    <w:rsid w:val="00D65822"/>
    <w:rsid w:val="00D65903"/>
    <w:rsid w:val="00D664EC"/>
    <w:rsid w:val="00D66D1B"/>
    <w:rsid w:val="00D6706A"/>
    <w:rsid w:val="00D67253"/>
    <w:rsid w:val="00D706B9"/>
    <w:rsid w:val="00D70FC6"/>
    <w:rsid w:val="00D73B3C"/>
    <w:rsid w:val="00D74C30"/>
    <w:rsid w:val="00D7506C"/>
    <w:rsid w:val="00D751D3"/>
    <w:rsid w:val="00D75AF1"/>
    <w:rsid w:val="00D75D1C"/>
    <w:rsid w:val="00D76970"/>
    <w:rsid w:val="00D77066"/>
    <w:rsid w:val="00D77881"/>
    <w:rsid w:val="00D779F9"/>
    <w:rsid w:val="00D77C03"/>
    <w:rsid w:val="00D80244"/>
    <w:rsid w:val="00D821EA"/>
    <w:rsid w:val="00D83A98"/>
    <w:rsid w:val="00D8468A"/>
    <w:rsid w:val="00D8494B"/>
    <w:rsid w:val="00D8503E"/>
    <w:rsid w:val="00D8520A"/>
    <w:rsid w:val="00D8601A"/>
    <w:rsid w:val="00D9029C"/>
    <w:rsid w:val="00D903DB"/>
    <w:rsid w:val="00D90810"/>
    <w:rsid w:val="00D9130C"/>
    <w:rsid w:val="00D91EFD"/>
    <w:rsid w:val="00D92A70"/>
    <w:rsid w:val="00D93589"/>
    <w:rsid w:val="00D949A9"/>
    <w:rsid w:val="00D95343"/>
    <w:rsid w:val="00D95471"/>
    <w:rsid w:val="00D9558C"/>
    <w:rsid w:val="00D959C2"/>
    <w:rsid w:val="00D95E87"/>
    <w:rsid w:val="00D95F27"/>
    <w:rsid w:val="00DA0071"/>
    <w:rsid w:val="00DA16F6"/>
    <w:rsid w:val="00DA3D07"/>
    <w:rsid w:val="00DA4A80"/>
    <w:rsid w:val="00DA67BE"/>
    <w:rsid w:val="00DA7A00"/>
    <w:rsid w:val="00DA7C96"/>
    <w:rsid w:val="00DB024E"/>
    <w:rsid w:val="00DB0338"/>
    <w:rsid w:val="00DB04B0"/>
    <w:rsid w:val="00DB110F"/>
    <w:rsid w:val="00DB209B"/>
    <w:rsid w:val="00DB2AC3"/>
    <w:rsid w:val="00DB357F"/>
    <w:rsid w:val="00DB5DDE"/>
    <w:rsid w:val="00DB6B44"/>
    <w:rsid w:val="00DB775F"/>
    <w:rsid w:val="00DB7EFD"/>
    <w:rsid w:val="00DC07B1"/>
    <w:rsid w:val="00DC44BC"/>
    <w:rsid w:val="00DC4B01"/>
    <w:rsid w:val="00DC50B4"/>
    <w:rsid w:val="00DC68F5"/>
    <w:rsid w:val="00DC767D"/>
    <w:rsid w:val="00DC76F3"/>
    <w:rsid w:val="00DC7799"/>
    <w:rsid w:val="00DC7C1A"/>
    <w:rsid w:val="00DD066D"/>
    <w:rsid w:val="00DD09FC"/>
    <w:rsid w:val="00DD17B4"/>
    <w:rsid w:val="00DD1FEC"/>
    <w:rsid w:val="00DD355E"/>
    <w:rsid w:val="00DD3CAD"/>
    <w:rsid w:val="00DD3F02"/>
    <w:rsid w:val="00DD45B7"/>
    <w:rsid w:val="00DD4B85"/>
    <w:rsid w:val="00DD56BB"/>
    <w:rsid w:val="00DD5F5B"/>
    <w:rsid w:val="00DD6EE8"/>
    <w:rsid w:val="00DD7845"/>
    <w:rsid w:val="00DD7B34"/>
    <w:rsid w:val="00DE0116"/>
    <w:rsid w:val="00DE013F"/>
    <w:rsid w:val="00DE3C27"/>
    <w:rsid w:val="00DE545B"/>
    <w:rsid w:val="00DE5741"/>
    <w:rsid w:val="00DE6DD2"/>
    <w:rsid w:val="00DF1A29"/>
    <w:rsid w:val="00DF2FC3"/>
    <w:rsid w:val="00DF316A"/>
    <w:rsid w:val="00DF3333"/>
    <w:rsid w:val="00DF49C5"/>
    <w:rsid w:val="00DF4AD8"/>
    <w:rsid w:val="00E01460"/>
    <w:rsid w:val="00E015E7"/>
    <w:rsid w:val="00E01BE4"/>
    <w:rsid w:val="00E02C15"/>
    <w:rsid w:val="00E02C17"/>
    <w:rsid w:val="00E03C5E"/>
    <w:rsid w:val="00E03D76"/>
    <w:rsid w:val="00E0401A"/>
    <w:rsid w:val="00E06513"/>
    <w:rsid w:val="00E06F06"/>
    <w:rsid w:val="00E071CD"/>
    <w:rsid w:val="00E07767"/>
    <w:rsid w:val="00E11391"/>
    <w:rsid w:val="00E117C7"/>
    <w:rsid w:val="00E11E29"/>
    <w:rsid w:val="00E11F42"/>
    <w:rsid w:val="00E123B9"/>
    <w:rsid w:val="00E1247F"/>
    <w:rsid w:val="00E12F59"/>
    <w:rsid w:val="00E136B4"/>
    <w:rsid w:val="00E15A56"/>
    <w:rsid w:val="00E1732C"/>
    <w:rsid w:val="00E175DE"/>
    <w:rsid w:val="00E20614"/>
    <w:rsid w:val="00E21425"/>
    <w:rsid w:val="00E216B3"/>
    <w:rsid w:val="00E25A52"/>
    <w:rsid w:val="00E25C7F"/>
    <w:rsid w:val="00E263FA"/>
    <w:rsid w:val="00E273E3"/>
    <w:rsid w:val="00E304E2"/>
    <w:rsid w:val="00E31F1D"/>
    <w:rsid w:val="00E32B89"/>
    <w:rsid w:val="00E3305E"/>
    <w:rsid w:val="00E330B3"/>
    <w:rsid w:val="00E33390"/>
    <w:rsid w:val="00E338A3"/>
    <w:rsid w:val="00E33AF5"/>
    <w:rsid w:val="00E33B05"/>
    <w:rsid w:val="00E33B5E"/>
    <w:rsid w:val="00E340BE"/>
    <w:rsid w:val="00E35266"/>
    <w:rsid w:val="00E36237"/>
    <w:rsid w:val="00E36AFE"/>
    <w:rsid w:val="00E36C1B"/>
    <w:rsid w:val="00E37D04"/>
    <w:rsid w:val="00E40166"/>
    <w:rsid w:val="00E40344"/>
    <w:rsid w:val="00E403F7"/>
    <w:rsid w:val="00E41348"/>
    <w:rsid w:val="00E42783"/>
    <w:rsid w:val="00E42B1C"/>
    <w:rsid w:val="00E42B8F"/>
    <w:rsid w:val="00E42D1B"/>
    <w:rsid w:val="00E42F32"/>
    <w:rsid w:val="00E43203"/>
    <w:rsid w:val="00E43B13"/>
    <w:rsid w:val="00E44BA5"/>
    <w:rsid w:val="00E460C7"/>
    <w:rsid w:val="00E47B6D"/>
    <w:rsid w:val="00E5042D"/>
    <w:rsid w:val="00E50A0F"/>
    <w:rsid w:val="00E51553"/>
    <w:rsid w:val="00E51BA8"/>
    <w:rsid w:val="00E51BF8"/>
    <w:rsid w:val="00E51F9F"/>
    <w:rsid w:val="00E53DB0"/>
    <w:rsid w:val="00E54078"/>
    <w:rsid w:val="00E540FC"/>
    <w:rsid w:val="00E54F2B"/>
    <w:rsid w:val="00E55040"/>
    <w:rsid w:val="00E56069"/>
    <w:rsid w:val="00E5728F"/>
    <w:rsid w:val="00E574C9"/>
    <w:rsid w:val="00E57ED1"/>
    <w:rsid w:val="00E6009E"/>
    <w:rsid w:val="00E61780"/>
    <w:rsid w:val="00E618A9"/>
    <w:rsid w:val="00E61E93"/>
    <w:rsid w:val="00E638BF"/>
    <w:rsid w:val="00E63974"/>
    <w:rsid w:val="00E6472F"/>
    <w:rsid w:val="00E64981"/>
    <w:rsid w:val="00E650AE"/>
    <w:rsid w:val="00E6792A"/>
    <w:rsid w:val="00E70AB9"/>
    <w:rsid w:val="00E70C0B"/>
    <w:rsid w:val="00E70C19"/>
    <w:rsid w:val="00E71A1F"/>
    <w:rsid w:val="00E73647"/>
    <w:rsid w:val="00E73DB4"/>
    <w:rsid w:val="00E74600"/>
    <w:rsid w:val="00E746A5"/>
    <w:rsid w:val="00E763D8"/>
    <w:rsid w:val="00E81354"/>
    <w:rsid w:val="00E81F50"/>
    <w:rsid w:val="00E83504"/>
    <w:rsid w:val="00E83C48"/>
    <w:rsid w:val="00E84B85"/>
    <w:rsid w:val="00E85288"/>
    <w:rsid w:val="00E85E97"/>
    <w:rsid w:val="00E8761A"/>
    <w:rsid w:val="00E9029F"/>
    <w:rsid w:val="00E90898"/>
    <w:rsid w:val="00E91FA4"/>
    <w:rsid w:val="00E9402D"/>
    <w:rsid w:val="00E94374"/>
    <w:rsid w:val="00E951A9"/>
    <w:rsid w:val="00E95342"/>
    <w:rsid w:val="00E95A81"/>
    <w:rsid w:val="00E95D42"/>
    <w:rsid w:val="00E9607D"/>
    <w:rsid w:val="00E960F2"/>
    <w:rsid w:val="00E96A1E"/>
    <w:rsid w:val="00E97CC4"/>
    <w:rsid w:val="00EA0451"/>
    <w:rsid w:val="00EA08DB"/>
    <w:rsid w:val="00EA16FE"/>
    <w:rsid w:val="00EA2D14"/>
    <w:rsid w:val="00EA7046"/>
    <w:rsid w:val="00EA765D"/>
    <w:rsid w:val="00EA7BA4"/>
    <w:rsid w:val="00EA7BC5"/>
    <w:rsid w:val="00EB0F43"/>
    <w:rsid w:val="00EB1908"/>
    <w:rsid w:val="00EB1F2E"/>
    <w:rsid w:val="00EB2684"/>
    <w:rsid w:val="00EB340C"/>
    <w:rsid w:val="00EB3B12"/>
    <w:rsid w:val="00EB4A3F"/>
    <w:rsid w:val="00EB4E34"/>
    <w:rsid w:val="00EB511F"/>
    <w:rsid w:val="00EB5654"/>
    <w:rsid w:val="00EB5C8E"/>
    <w:rsid w:val="00EB6223"/>
    <w:rsid w:val="00EB6611"/>
    <w:rsid w:val="00EB678C"/>
    <w:rsid w:val="00EC01C8"/>
    <w:rsid w:val="00EC2E02"/>
    <w:rsid w:val="00EC389E"/>
    <w:rsid w:val="00EC3DF1"/>
    <w:rsid w:val="00EC5260"/>
    <w:rsid w:val="00EC594B"/>
    <w:rsid w:val="00EC59F7"/>
    <w:rsid w:val="00EC5E7C"/>
    <w:rsid w:val="00EC6192"/>
    <w:rsid w:val="00EC6FF0"/>
    <w:rsid w:val="00EC73E9"/>
    <w:rsid w:val="00EC74A7"/>
    <w:rsid w:val="00ED001A"/>
    <w:rsid w:val="00ED0157"/>
    <w:rsid w:val="00ED051C"/>
    <w:rsid w:val="00ED074F"/>
    <w:rsid w:val="00ED1A36"/>
    <w:rsid w:val="00ED4437"/>
    <w:rsid w:val="00ED50F4"/>
    <w:rsid w:val="00ED5CBF"/>
    <w:rsid w:val="00ED6468"/>
    <w:rsid w:val="00ED6D00"/>
    <w:rsid w:val="00ED7F11"/>
    <w:rsid w:val="00EE05DB"/>
    <w:rsid w:val="00EE194C"/>
    <w:rsid w:val="00EE66AB"/>
    <w:rsid w:val="00EE70A6"/>
    <w:rsid w:val="00EE7218"/>
    <w:rsid w:val="00EF063E"/>
    <w:rsid w:val="00EF0CD3"/>
    <w:rsid w:val="00EF1301"/>
    <w:rsid w:val="00EF1745"/>
    <w:rsid w:val="00EF200C"/>
    <w:rsid w:val="00EF23E9"/>
    <w:rsid w:val="00EF2D22"/>
    <w:rsid w:val="00EF3412"/>
    <w:rsid w:val="00EF3BC4"/>
    <w:rsid w:val="00EF49F0"/>
    <w:rsid w:val="00EF52F5"/>
    <w:rsid w:val="00EF54C7"/>
    <w:rsid w:val="00EF5B91"/>
    <w:rsid w:val="00EF5EBA"/>
    <w:rsid w:val="00EF7067"/>
    <w:rsid w:val="00F0129C"/>
    <w:rsid w:val="00F02223"/>
    <w:rsid w:val="00F0262C"/>
    <w:rsid w:val="00F0355F"/>
    <w:rsid w:val="00F035D4"/>
    <w:rsid w:val="00F03955"/>
    <w:rsid w:val="00F03DF9"/>
    <w:rsid w:val="00F0476A"/>
    <w:rsid w:val="00F04BB4"/>
    <w:rsid w:val="00F04C63"/>
    <w:rsid w:val="00F05339"/>
    <w:rsid w:val="00F067FB"/>
    <w:rsid w:val="00F06D26"/>
    <w:rsid w:val="00F07818"/>
    <w:rsid w:val="00F07C8E"/>
    <w:rsid w:val="00F10559"/>
    <w:rsid w:val="00F11F0F"/>
    <w:rsid w:val="00F122FD"/>
    <w:rsid w:val="00F13372"/>
    <w:rsid w:val="00F13D99"/>
    <w:rsid w:val="00F151E7"/>
    <w:rsid w:val="00F15618"/>
    <w:rsid w:val="00F156C3"/>
    <w:rsid w:val="00F15E74"/>
    <w:rsid w:val="00F16485"/>
    <w:rsid w:val="00F20991"/>
    <w:rsid w:val="00F20BA9"/>
    <w:rsid w:val="00F210F9"/>
    <w:rsid w:val="00F2193B"/>
    <w:rsid w:val="00F21DEF"/>
    <w:rsid w:val="00F22DD0"/>
    <w:rsid w:val="00F2334C"/>
    <w:rsid w:val="00F23F1E"/>
    <w:rsid w:val="00F242B3"/>
    <w:rsid w:val="00F26663"/>
    <w:rsid w:val="00F27364"/>
    <w:rsid w:val="00F27B91"/>
    <w:rsid w:val="00F27D7C"/>
    <w:rsid w:val="00F312F2"/>
    <w:rsid w:val="00F32868"/>
    <w:rsid w:val="00F35991"/>
    <w:rsid w:val="00F368C8"/>
    <w:rsid w:val="00F36A5D"/>
    <w:rsid w:val="00F4012F"/>
    <w:rsid w:val="00F40553"/>
    <w:rsid w:val="00F410B3"/>
    <w:rsid w:val="00F41510"/>
    <w:rsid w:val="00F43182"/>
    <w:rsid w:val="00F440CC"/>
    <w:rsid w:val="00F45D4F"/>
    <w:rsid w:val="00F4602A"/>
    <w:rsid w:val="00F46703"/>
    <w:rsid w:val="00F46E00"/>
    <w:rsid w:val="00F508CE"/>
    <w:rsid w:val="00F51AF3"/>
    <w:rsid w:val="00F54382"/>
    <w:rsid w:val="00F54D30"/>
    <w:rsid w:val="00F56C94"/>
    <w:rsid w:val="00F605B3"/>
    <w:rsid w:val="00F60FFD"/>
    <w:rsid w:val="00F61710"/>
    <w:rsid w:val="00F634B3"/>
    <w:rsid w:val="00F63F0E"/>
    <w:rsid w:val="00F65224"/>
    <w:rsid w:val="00F6537B"/>
    <w:rsid w:val="00F65EDF"/>
    <w:rsid w:val="00F6606C"/>
    <w:rsid w:val="00F66C21"/>
    <w:rsid w:val="00F67151"/>
    <w:rsid w:val="00F71D3C"/>
    <w:rsid w:val="00F72C19"/>
    <w:rsid w:val="00F748F2"/>
    <w:rsid w:val="00F74D2F"/>
    <w:rsid w:val="00F7577F"/>
    <w:rsid w:val="00F779F3"/>
    <w:rsid w:val="00F802C3"/>
    <w:rsid w:val="00F80BCB"/>
    <w:rsid w:val="00F81A8C"/>
    <w:rsid w:val="00F836AC"/>
    <w:rsid w:val="00F83770"/>
    <w:rsid w:val="00F83951"/>
    <w:rsid w:val="00F83AB9"/>
    <w:rsid w:val="00F840E0"/>
    <w:rsid w:val="00F84343"/>
    <w:rsid w:val="00F8613C"/>
    <w:rsid w:val="00F875BB"/>
    <w:rsid w:val="00F879F6"/>
    <w:rsid w:val="00F90362"/>
    <w:rsid w:val="00F9083C"/>
    <w:rsid w:val="00F91696"/>
    <w:rsid w:val="00F92A69"/>
    <w:rsid w:val="00F93126"/>
    <w:rsid w:val="00F9326A"/>
    <w:rsid w:val="00F93D9E"/>
    <w:rsid w:val="00F968BB"/>
    <w:rsid w:val="00FA077B"/>
    <w:rsid w:val="00FA09A9"/>
    <w:rsid w:val="00FA163A"/>
    <w:rsid w:val="00FA2025"/>
    <w:rsid w:val="00FA27FE"/>
    <w:rsid w:val="00FA2BC9"/>
    <w:rsid w:val="00FA3409"/>
    <w:rsid w:val="00FA3463"/>
    <w:rsid w:val="00FA4DDD"/>
    <w:rsid w:val="00FA54F3"/>
    <w:rsid w:val="00FA581C"/>
    <w:rsid w:val="00FA7200"/>
    <w:rsid w:val="00FA76F3"/>
    <w:rsid w:val="00FB07EC"/>
    <w:rsid w:val="00FB0897"/>
    <w:rsid w:val="00FB2555"/>
    <w:rsid w:val="00FB2948"/>
    <w:rsid w:val="00FB2E6A"/>
    <w:rsid w:val="00FB3430"/>
    <w:rsid w:val="00FB4458"/>
    <w:rsid w:val="00FB450C"/>
    <w:rsid w:val="00FB4D87"/>
    <w:rsid w:val="00FB56B2"/>
    <w:rsid w:val="00FB5BDB"/>
    <w:rsid w:val="00FB7A06"/>
    <w:rsid w:val="00FC09DD"/>
    <w:rsid w:val="00FC0A03"/>
    <w:rsid w:val="00FC0FF2"/>
    <w:rsid w:val="00FC14D0"/>
    <w:rsid w:val="00FC1C34"/>
    <w:rsid w:val="00FC1C58"/>
    <w:rsid w:val="00FC27EA"/>
    <w:rsid w:val="00FC3402"/>
    <w:rsid w:val="00FC3CA0"/>
    <w:rsid w:val="00FC59DA"/>
    <w:rsid w:val="00FD04BF"/>
    <w:rsid w:val="00FD2585"/>
    <w:rsid w:val="00FD3887"/>
    <w:rsid w:val="00FD40D3"/>
    <w:rsid w:val="00FD483C"/>
    <w:rsid w:val="00FD4F17"/>
    <w:rsid w:val="00FD696F"/>
    <w:rsid w:val="00FE00C9"/>
    <w:rsid w:val="00FE2C91"/>
    <w:rsid w:val="00FE33E5"/>
    <w:rsid w:val="00FE352B"/>
    <w:rsid w:val="00FE38BB"/>
    <w:rsid w:val="00FE5C4C"/>
    <w:rsid w:val="00FE652A"/>
    <w:rsid w:val="00FE74AF"/>
    <w:rsid w:val="00FE7A6E"/>
    <w:rsid w:val="00FF0865"/>
    <w:rsid w:val="00FF0E7E"/>
    <w:rsid w:val="00FF10F5"/>
    <w:rsid w:val="00FF35BA"/>
    <w:rsid w:val="00FF4A6D"/>
    <w:rsid w:val="00FF5854"/>
    <w:rsid w:val="00FF69EA"/>
    <w:rsid w:val="00FF6DA8"/>
    <w:rsid w:val="00FF7964"/>
    <w:rsid w:val="00FF7C6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22211BA"/>
  <w15:docId w15:val="{CECD0C82-AB72-4167-B9A2-67746434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90255"/>
    <w:pPr>
      <w:widowControl w:val="0"/>
    </w:pPr>
    <w:rPr>
      <w:snapToGrid w:val="0"/>
      <w:kern w:val="28"/>
      <w:szCs w:val="20"/>
    </w:rPr>
  </w:style>
  <w:style w:type="paragraph" w:styleId="Heading1">
    <w:name w:val="heading 1"/>
    <w:basedOn w:val="Normal"/>
    <w:next w:val="ParaNum"/>
    <w:link w:val="Heading1Char"/>
    <w:qFormat/>
    <w:rsid w:val="0009025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90255"/>
    <w:pPr>
      <w:keepNext/>
      <w:numPr>
        <w:ilvl w:val="1"/>
        <w:numId w:val="2"/>
      </w:numPr>
      <w:spacing w:after="120"/>
      <w:outlineLvl w:val="1"/>
    </w:pPr>
    <w:rPr>
      <w:b/>
    </w:rPr>
  </w:style>
  <w:style w:type="paragraph" w:styleId="Heading3">
    <w:name w:val="heading 3"/>
    <w:basedOn w:val="Normal"/>
    <w:next w:val="ParaNum"/>
    <w:link w:val="Heading3Char"/>
    <w:qFormat/>
    <w:rsid w:val="0009025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9025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9025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9025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9025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9025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9025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02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0255"/>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napToGrid/>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090255"/>
    <w:pPr>
      <w:numPr>
        <w:numId w:val="1"/>
      </w:numPr>
      <w:tabs>
        <w:tab w:val="clear" w:pos="1080"/>
        <w:tab w:val="num" w:pos="1440"/>
      </w:tabs>
      <w:spacing w:after="120"/>
    </w:pPr>
  </w:style>
  <w:style w:type="paragraph" w:styleId="EndnoteText">
    <w:name w:val="endnote text"/>
    <w:basedOn w:val="Normal"/>
    <w:link w:val="EndnoteTextChar"/>
    <w:semiHidden/>
    <w:rsid w:val="00090255"/>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090255"/>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090255"/>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90255"/>
    <w:rPr>
      <w:rFonts w:ascii="Times New Roman" w:hAnsi="Times New Roman"/>
      <w:dstrike w:val="0"/>
      <w:color w:val="auto"/>
      <w:sz w:val="20"/>
      <w:vertAlign w:val="superscript"/>
    </w:rPr>
  </w:style>
  <w:style w:type="paragraph" w:styleId="TOC1">
    <w:name w:val="toc 1"/>
    <w:basedOn w:val="Normal"/>
    <w:next w:val="Normal"/>
    <w:rsid w:val="00090255"/>
    <w:pPr>
      <w:tabs>
        <w:tab w:val="left" w:pos="360"/>
        <w:tab w:val="right" w:leader="dot" w:pos="9360"/>
      </w:tabs>
      <w:suppressAutoHyphens/>
      <w:ind w:left="360" w:right="720" w:hanging="360"/>
    </w:pPr>
    <w:rPr>
      <w:caps/>
      <w:noProof/>
    </w:rPr>
  </w:style>
  <w:style w:type="paragraph" w:styleId="TOC2">
    <w:name w:val="toc 2"/>
    <w:basedOn w:val="Normal"/>
    <w:next w:val="Normal"/>
    <w:rsid w:val="00090255"/>
    <w:pPr>
      <w:tabs>
        <w:tab w:val="left" w:pos="720"/>
        <w:tab w:val="right" w:leader="dot" w:pos="9360"/>
      </w:tabs>
      <w:suppressAutoHyphens/>
      <w:ind w:left="720" w:right="720" w:hanging="360"/>
    </w:pPr>
    <w:rPr>
      <w:noProof/>
    </w:rPr>
  </w:style>
  <w:style w:type="paragraph" w:styleId="TOC3">
    <w:name w:val="toc 3"/>
    <w:basedOn w:val="Normal"/>
    <w:next w:val="Normal"/>
    <w:rsid w:val="0009025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025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025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025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025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025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025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0255"/>
    <w:pPr>
      <w:tabs>
        <w:tab w:val="right" w:pos="9360"/>
      </w:tabs>
      <w:suppressAutoHyphens/>
    </w:pPr>
  </w:style>
  <w:style w:type="character" w:customStyle="1" w:styleId="EquationCaption">
    <w:name w:val="_Equation Caption"/>
    <w:rsid w:val="00090255"/>
  </w:style>
  <w:style w:type="paragraph" w:styleId="Header">
    <w:name w:val="header"/>
    <w:basedOn w:val="Normal"/>
    <w:link w:val="HeaderChar"/>
    <w:autoRedefine/>
    <w:rsid w:val="00090255"/>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090255"/>
    <w:pPr>
      <w:tabs>
        <w:tab w:val="center" w:pos="4320"/>
        <w:tab w:val="right" w:pos="8640"/>
      </w:tabs>
    </w:pPr>
  </w:style>
  <w:style w:type="character" w:customStyle="1" w:styleId="FooterChar">
    <w:name w:val="Footer Char"/>
    <w:link w:val="Footer"/>
    <w:uiPriority w:val="99"/>
    <w:locked/>
    <w:rsid w:val="00090255"/>
    <w:rPr>
      <w:snapToGrid w:val="0"/>
      <w:kern w:val="28"/>
      <w:szCs w:val="20"/>
    </w:rPr>
  </w:style>
  <w:style w:type="character" w:styleId="PageNumber">
    <w:name w:val="page number"/>
    <w:basedOn w:val="DefaultParagraphFont"/>
    <w:rsid w:val="00090255"/>
  </w:style>
  <w:style w:type="paragraph" w:styleId="BlockText">
    <w:name w:val="Block Text"/>
    <w:basedOn w:val="Normal"/>
    <w:rsid w:val="00090255"/>
    <w:pPr>
      <w:spacing w:after="240"/>
      <w:ind w:left="1440" w:right="1440"/>
    </w:pPr>
  </w:style>
  <w:style w:type="paragraph" w:customStyle="1" w:styleId="Paratitle">
    <w:name w:val="Para title"/>
    <w:basedOn w:val="Normal"/>
    <w:rsid w:val="00090255"/>
    <w:pPr>
      <w:tabs>
        <w:tab w:val="center" w:pos="9270"/>
      </w:tabs>
      <w:spacing w:after="240"/>
    </w:pPr>
    <w:rPr>
      <w:spacing w:val="-2"/>
    </w:rPr>
  </w:style>
  <w:style w:type="paragraph" w:customStyle="1" w:styleId="Bullet">
    <w:name w:val="Bullet"/>
    <w:basedOn w:val="Normal"/>
    <w:rsid w:val="00090255"/>
    <w:pPr>
      <w:tabs>
        <w:tab w:val="left" w:pos="2160"/>
      </w:tabs>
      <w:spacing w:after="220"/>
      <w:ind w:left="2160" w:hanging="720"/>
    </w:pPr>
  </w:style>
  <w:style w:type="paragraph" w:customStyle="1" w:styleId="TableFormat">
    <w:name w:val="TableFormat"/>
    <w:basedOn w:val="Bullet"/>
    <w:rsid w:val="00090255"/>
    <w:pPr>
      <w:tabs>
        <w:tab w:val="clear" w:pos="2160"/>
        <w:tab w:val="left" w:pos="5040"/>
      </w:tabs>
      <w:ind w:left="5040" w:hanging="3600"/>
    </w:pPr>
  </w:style>
  <w:style w:type="paragraph" w:customStyle="1" w:styleId="TOCTitle">
    <w:name w:val="TOC Title"/>
    <w:basedOn w:val="Normal"/>
    <w:rsid w:val="000902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0255"/>
    <w:pPr>
      <w:jc w:val="center"/>
    </w:pPr>
    <w:rPr>
      <w:rFonts w:ascii="Times New Roman Bold" w:hAnsi="Times New Roman Bold"/>
      <w:b/>
      <w:bCs/>
      <w:caps/>
      <w:szCs w:val="22"/>
    </w:rPr>
  </w:style>
  <w:style w:type="character" w:styleId="Hyperlink">
    <w:name w:val="Hyperlink"/>
    <w:rsid w:val="00090255"/>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style>
  <w:style w:type="paragraph" w:customStyle="1" w:styleId="par1">
    <w:name w:val="par1"/>
    <w:basedOn w:val="Normal"/>
    <w:link w:val="par1Char"/>
    <w:uiPriority w:val="99"/>
    <w:rsid w:val="003343CA"/>
    <w:pPr>
      <w:numPr>
        <w:numId w:val="5"/>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customStyle="1" w:styleId="UnresolvedMention">
    <w:name w:val="Unresolved Mention"/>
    <w:basedOn w:val="DefaultParagraphFont"/>
    <w:uiPriority w:val="99"/>
    <w:unhideWhenUsed/>
    <w:rsid w:val="00930DCE"/>
    <w:rPr>
      <w:color w:val="605E5C"/>
      <w:shd w:val="clear" w:color="auto" w:fill="E1DFDD"/>
    </w:rPr>
  </w:style>
  <w:style w:type="paragraph" w:customStyle="1" w:styleId="Paranum0">
    <w:name w:val="Paranum"/>
    <w:uiPriority w:val="99"/>
    <w:rsid w:val="00D4510F"/>
    <w:pPr>
      <w:numPr>
        <w:numId w:val="13"/>
      </w:numPr>
      <w:tabs>
        <w:tab w:val="left" w:pos="1440"/>
      </w:tabs>
      <w:spacing w:after="240"/>
      <w:jc w:val="both"/>
    </w:pPr>
    <w:rPr>
      <w:szCs w:val="20"/>
    </w:rPr>
  </w:style>
  <w:style w:type="character" w:styleId="Emphasis">
    <w:name w:val="Emphasis"/>
    <w:basedOn w:val="DefaultParagraphFont"/>
    <w:uiPriority w:val="20"/>
    <w:qFormat/>
    <w:locked/>
    <w:rsid w:val="004613F9"/>
    <w:rPr>
      <w:i/>
      <w:iCs/>
    </w:rPr>
  </w:style>
  <w:style w:type="character" w:customStyle="1" w:styleId="item-value">
    <w:name w:val="item-value"/>
    <w:basedOn w:val="DefaultParagraphFont"/>
    <w:rsid w:val="00D24493"/>
  </w:style>
  <w:style w:type="character" w:customStyle="1" w:styleId="FootnoteTextChar2Char">
    <w:name w:val="Footnote Text Char2 Char"/>
    <w:aliases w:val="Footnote Text Char Char Char Char Char2 Char Char,Footnote Text Char1 Char1 Char,Footnote Text Char1 Char1 Char Char Char,Footnote Text Char2 Char Char Char1 Char Char,fn Char"/>
    <w:basedOn w:val="DefaultParagraphFont"/>
    <w:uiPriority w:val="99"/>
    <w:locked/>
    <w:rsid w:val="004C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SED-Response@fcc.gov" TargetMode="External" /><Relationship Id="rId6" Type="http://schemas.openxmlformats.org/officeDocument/2006/relationships/hyperlink" Target="https://apps.fcc.gov/cores/userLogin.do" TargetMode="External" /><Relationship Id="rId7" Type="http://schemas.openxmlformats.org/officeDocument/2006/relationships/hyperlink" Target="https://www.fcc.gov/licensing-databases/fees/wire-transfer"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aa.gov/general/radio-frequency-interference-rfi-radio-spectrum-planning" TargetMode="External" /><Relationship Id="rId2" Type="http://schemas.openxmlformats.org/officeDocument/2006/relationships/hyperlink" Target="https://www.pyleusa.com/shop/musical-instruments/microphone-systems.html" TargetMode="External" /><Relationship Id="rId3" Type="http://schemas.openxmlformats.org/officeDocument/2006/relationships/hyperlink" Target="http://www.pyleaudio.com/products/Musical-Instruments/Microphone-Systems" TargetMode="External" /><Relationship Id="rId4" Type="http://schemas.openxmlformats.org/officeDocument/2006/relationships/hyperlink" Target="https://pyleusa.com/collections/microphone-systems" TargetMode="External" /><Relationship Id="rId5" Type="http://schemas.openxmlformats.org/officeDocument/2006/relationships/hyperlink" Target="http://manuals.pyleusa.com/PDF/PDWM2140.pdf" TargetMode="External" /><Relationship Id="rId6" Type="http://schemas.openxmlformats.org/officeDocument/2006/relationships/hyperlink" Target="https://pyleusa.com/products/pdwm2140" TargetMode="External" /><Relationship Id="rId7" Type="http://schemas.openxmlformats.org/officeDocument/2006/relationships/hyperlink" Target="https://web.archive.org/web/20170412224214/https://www.pyleusa.com/shop.html" TargetMode="External" /><Relationship Id="rId8" Type="http://schemas.openxmlformats.org/officeDocument/2006/relationships/hyperlink" Target="https://apps.fcc.gov/kdb/GetAttachment.html?id=N0FeGuIZalHwpzYoaFJpjA%3D%3D" TargetMode="External" /><Relationship Id="rId9" Type="http://schemas.openxmlformats.org/officeDocument/2006/relationships/hyperlink" Target="https://www.amazon.com/UHF-Professional-Adapter-Receiver-Studio/dp/B0007LCMF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