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C108D" w:rsidRPr="00DE457E" w:rsidP="003C108D" w14:paraId="25C674D6" w14:textId="77777777">
      <w:pPr>
        <w:jc w:val="center"/>
        <w:rPr>
          <w:b/>
        </w:rPr>
      </w:pPr>
      <w:r w:rsidRPr="00DE457E">
        <w:rPr>
          <w:b/>
        </w:rPr>
        <w:t>Before the</w:t>
      </w:r>
    </w:p>
    <w:p w:rsidR="003C108D" w:rsidRPr="00DE457E" w:rsidP="003C108D" w14:paraId="497CEB2A" w14:textId="77777777">
      <w:pPr>
        <w:pStyle w:val="StyleBoldCentered"/>
        <w:rPr>
          <w:rFonts w:ascii="Times New Roman" w:hAnsi="Times New Roman"/>
        </w:rPr>
      </w:pPr>
      <w:r w:rsidRPr="00DE457E">
        <w:rPr>
          <w:rFonts w:ascii="Times New Roman" w:hAnsi="Times New Roman"/>
        </w:rPr>
        <w:t>F</w:t>
      </w:r>
      <w:r w:rsidRPr="00DE457E">
        <w:rPr>
          <w:rFonts w:ascii="Times New Roman" w:hAnsi="Times New Roman"/>
          <w:caps w:val="0"/>
        </w:rPr>
        <w:t>ederal Communications Commission</w:t>
      </w:r>
    </w:p>
    <w:p w:rsidR="003C108D" w:rsidRPr="00DE457E" w:rsidP="003C108D" w14:paraId="585697A7" w14:textId="77777777">
      <w:pPr>
        <w:pStyle w:val="StyleBoldCentered"/>
        <w:rPr>
          <w:rFonts w:ascii="Times New Roman" w:hAnsi="Times New Roman"/>
        </w:rPr>
      </w:pPr>
      <w:r w:rsidRPr="00DE457E">
        <w:rPr>
          <w:rFonts w:ascii="Times New Roman" w:hAnsi="Times New Roman"/>
          <w:caps w:val="0"/>
        </w:rPr>
        <w:t>Washington, D.C. 20554</w:t>
      </w:r>
    </w:p>
    <w:p w:rsidR="003C108D" w:rsidRPr="00DE457E" w:rsidP="003C108D" w14:paraId="0D04C301" w14:textId="77777777"/>
    <w:p w:rsidR="003C108D" w:rsidRPr="00DE457E" w:rsidP="003C108D" w14:paraId="0AB9AEF8" w14:textId="77777777"/>
    <w:tbl>
      <w:tblPr>
        <w:tblW w:w="9508" w:type="dxa"/>
        <w:tblInd w:w="-90" w:type="dxa"/>
        <w:tblLayout w:type="fixed"/>
        <w:tblLook w:val="0000"/>
      </w:tblPr>
      <w:tblGrid>
        <w:gridCol w:w="4665"/>
        <w:gridCol w:w="625"/>
        <w:gridCol w:w="4218"/>
      </w:tblGrid>
      <w:tr w14:paraId="44A57123" w14:textId="77777777" w:rsidTr="42F69B4D">
        <w:tblPrEx>
          <w:tblW w:w="9508" w:type="dxa"/>
          <w:tblInd w:w="-90" w:type="dxa"/>
          <w:tblLayout w:type="fixed"/>
          <w:tblLook w:val="0000"/>
        </w:tblPrEx>
        <w:trPr>
          <w:trHeight w:val="1378"/>
        </w:trPr>
        <w:tc>
          <w:tcPr>
            <w:tcW w:w="4665" w:type="dxa"/>
          </w:tcPr>
          <w:p w:rsidR="003C108D" w:rsidRPr="00DE457E" w:rsidP="00064071" w14:paraId="107A1D04" w14:textId="77777777">
            <w:pPr>
              <w:tabs>
                <w:tab w:val="center" w:pos="4680"/>
              </w:tabs>
              <w:suppressAutoHyphens/>
              <w:rPr>
                <w:spacing w:val="-2"/>
              </w:rPr>
            </w:pPr>
            <w:r w:rsidRPr="00DE457E">
              <w:rPr>
                <w:spacing w:val="-2"/>
              </w:rPr>
              <w:t>In the Matter of</w:t>
            </w:r>
          </w:p>
          <w:p w:rsidR="003C108D" w:rsidRPr="00DE457E" w:rsidP="00064071" w14:paraId="37B7C96B" w14:textId="77777777">
            <w:pPr>
              <w:tabs>
                <w:tab w:val="center" w:pos="4680"/>
              </w:tabs>
              <w:suppressAutoHyphens/>
              <w:rPr>
                <w:spacing w:val="-2"/>
              </w:rPr>
            </w:pPr>
          </w:p>
          <w:p w:rsidR="009C61A3" w:rsidRPr="00DE457E" w:rsidP="00064071" w14:paraId="4C8A664D" w14:textId="74837987">
            <w:pPr>
              <w:tabs>
                <w:tab w:val="center" w:pos="4680"/>
              </w:tabs>
              <w:suppressAutoHyphens/>
              <w:rPr>
                <w:spacing w:val="-2"/>
              </w:rPr>
            </w:pPr>
          </w:p>
          <w:p w:rsidR="009C61A3" w:rsidRPr="00DE457E" w:rsidP="00064071" w14:paraId="72DA1CE9" w14:textId="1CE9A925">
            <w:pPr>
              <w:tabs>
                <w:tab w:val="center" w:pos="4680"/>
              </w:tabs>
              <w:suppressAutoHyphens/>
            </w:pPr>
            <w:bookmarkStart w:id="0" w:name="_Hlk92273658"/>
            <w:r w:rsidRPr="45B6C250">
              <w:t xml:space="preserve">Empowering </w:t>
            </w:r>
            <w:r w:rsidRPr="45B6C250" w:rsidR="0054535D">
              <w:t xml:space="preserve">Broadband </w:t>
            </w:r>
            <w:r w:rsidRPr="45B6C250">
              <w:t xml:space="preserve">Consumers Through </w:t>
            </w:r>
            <w:r w:rsidRPr="45B6C250" w:rsidR="00BE751A">
              <w:t>Transparency</w:t>
            </w:r>
          </w:p>
          <w:bookmarkEnd w:id="0"/>
          <w:p w:rsidR="003C108D" w:rsidRPr="00DE457E" w:rsidP="00064071" w14:paraId="20BF2701" w14:textId="77777777">
            <w:pPr>
              <w:tabs>
                <w:tab w:val="center" w:pos="4680"/>
              </w:tabs>
              <w:suppressAutoHyphens/>
              <w:rPr>
                <w:spacing w:val="-2"/>
              </w:rPr>
            </w:pPr>
          </w:p>
        </w:tc>
        <w:tc>
          <w:tcPr>
            <w:tcW w:w="625" w:type="dxa"/>
          </w:tcPr>
          <w:p w:rsidR="003C108D" w:rsidRPr="00DE457E" w:rsidP="00064071" w14:paraId="60480763" w14:textId="77777777">
            <w:pPr>
              <w:tabs>
                <w:tab w:val="center" w:pos="4680"/>
              </w:tabs>
              <w:suppressAutoHyphens/>
              <w:rPr>
                <w:b/>
                <w:spacing w:val="-2"/>
              </w:rPr>
            </w:pPr>
            <w:r w:rsidRPr="00DE457E">
              <w:rPr>
                <w:b/>
                <w:spacing w:val="-2"/>
              </w:rPr>
              <w:t>)</w:t>
            </w:r>
          </w:p>
          <w:p w:rsidR="003C108D" w:rsidRPr="00DE457E" w:rsidP="00064071" w14:paraId="46503961" w14:textId="77777777">
            <w:pPr>
              <w:tabs>
                <w:tab w:val="center" w:pos="4680"/>
              </w:tabs>
              <w:suppressAutoHyphens/>
              <w:rPr>
                <w:b/>
                <w:spacing w:val="-2"/>
              </w:rPr>
            </w:pPr>
            <w:r w:rsidRPr="00DE457E">
              <w:rPr>
                <w:b/>
                <w:spacing w:val="-2"/>
              </w:rPr>
              <w:t>)</w:t>
            </w:r>
          </w:p>
          <w:p w:rsidR="003C108D" w:rsidRPr="00DE457E" w:rsidP="00064071" w14:paraId="0EB624F8" w14:textId="77777777">
            <w:pPr>
              <w:tabs>
                <w:tab w:val="center" w:pos="4680"/>
              </w:tabs>
              <w:suppressAutoHyphens/>
              <w:rPr>
                <w:b/>
                <w:spacing w:val="-2"/>
              </w:rPr>
            </w:pPr>
            <w:r w:rsidRPr="00DE457E">
              <w:rPr>
                <w:b/>
                <w:spacing w:val="-2"/>
              </w:rPr>
              <w:t>)</w:t>
            </w:r>
          </w:p>
          <w:p w:rsidR="003C108D" w:rsidRPr="00DE457E" w:rsidP="00064071" w14:paraId="7CB4F2B1" w14:textId="4ECF7AE0">
            <w:pPr>
              <w:tabs>
                <w:tab w:val="center" w:pos="4680"/>
              </w:tabs>
              <w:suppressAutoHyphens/>
              <w:rPr>
                <w:b/>
                <w:spacing w:val="-2"/>
              </w:rPr>
            </w:pPr>
            <w:r w:rsidRPr="00DE457E">
              <w:rPr>
                <w:b/>
                <w:spacing w:val="-2"/>
              </w:rPr>
              <w:t>)</w:t>
            </w:r>
          </w:p>
          <w:p w:rsidR="00816ACF" w:rsidRPr="00DE457E" w:rsidP="00064071" w14:paraId="756DA272" w14:textId="1AFEE27F">
            <w:pPr>
              <w:tabs>
                <w:tab w:val="center" w:pos="4680"/>
              </w:tabs>
              <w:suppressAutoHyphens/>
              <w:rPr>
                <w:b/>
                <w:spacing w:val="-2"/>
              </w:rPr>
            </w:pPr>
            <w:r w:rsidRPr="00DE457E">
              <w:rPr>
                <w:b/>
                <w:spacing w:val="-2"/>
              </w:rPr>
              <w:t>)</w:t>
            </w:r>
          </w:p>
          <w:p w:rsidR="003C108D" w:rsidRPr="00DE457E" w:rsidP="00064071" w14:paraId="44CF5DC5" w14:textId="77777777">
            <w:pPr>
              <w:tabs>
                <w:tab w:val="center" w:pos="4680"/>
              </w:tabs>
              <w:suppressAutoHyphens/>
              <w:rPr>
                <w:b/>
                <w:spacing w:val="-2"/>
              </w:rPr>
            </w:pPr>
          </w:p>
        </w:tc>
        <w:tc>
          <w:tcPr>
            <w:tcW w:w="4218" w:type="dxa"/>
          </w:tcPr>
          <w:p w:rsidR="003C108D" w:rsidRPr="00DE457E" w:rsidP="00064071" w14:paraId="624D36F1" w14:textId="77777777">
            <w:pPr>
              <w:tabs>
                <w:tab w:val="center" w:pos="4680"/>
              </w:tabs>
              <w:suppressAutoHyphens/>
              <w:rPr>
                <w:spacing w:val="-2"/>
              </w:rPr>
            </w:pPr>
          </w:p>
          <w:p w:rsidR="003C108D" w:rsidRPr="00DE457E" w:rsidP="00064071" w14:paraId="4741965D" w14:textId="77777777">
            <w:pPr>
              <w:pStyle w:val="TOAHeading"/>
              <w:tabs>
                <w:tab w:val="center" w:pos="4680"/>
                <w:tab w:val="clear" w:pos="9360"/>
              </w:tabs>
              <w:rPr>
                <w:spacing w:val="-2"/>
              </w:rPr>
            </w:pPr>
          </w:p>
          <w:p w:rsidR="003C108D" w:rsidRPr="00DE457E" w:rsidP="00064071" w14:paraId="36CD0CF8" w14:textId="77777777">
            <w:pPr>
              <w:tabs>
                <w:tab w:val="center" w:pos="4680"/>
              </w:tabs>
              <w:suppressAutoHyphens/>
              <w:rPr>
                <w:spacing w:val="-2"/>
              </w:rPr>
            </w:pPr>
          </w:p>
          <w:p w:rsidR="003C108D" w:rsidRPr="00DE457E" w:rsidP="00064071" w14:paraId="73775930" w14:textId="64533A7C">
            <w:pPr>
              <w:tabs>
                <w:tab w:val="center" w:pos="4680"/>
              </w:tabs>
              <w:suppressAutoHyphens/>
              <w:rPr>
                <w:highlight w:val="yellow"/>
              </w:rPr>
            </w:pPr>
            <w:r w:rsidRPr="00DE457E">
              <w:rPr>
                <w:spacing w:val="-2"/>
              </w:rPr>
              <w:t>CG Docket No. 2</w:t>
            </w:r>
            <w:r w:rsidR="00EA1005">
              <w:t>2</w:t>
            </w:r>
            <w:r w:rsidRPr="00275EE9">
              <w:rPr>
                <w:spacing w:val="-2"/>
              </w:rPr>
              <w:t>-</w:t>
            </w:r>
            <w:r w:rsidRPr="00275EE9" w:rsidR="00275EE9">
              <w:rPr>
                <w:spacing w:val="-2"/>
              </w:rPr>
              <w:t>2</w:t>
            </w:r>
          </w:p>
        </w:tc>
      </w:tr>
    </w:tbl>
    <w:p w:rsidR="003C108D" w:rsidRPr="00DE457E" w:rsidP="00A1290E" w14:paraId="19F2185E" w14:textId="5CD9A639">
      <w:pPr>
        <w:pStyle w:val="StyleBoldCentered"/>
        <w:jc w:val="left"/>
        <w:rPr>
          <w:rFonts w:ascii="Times New Roman" w:hAnsi="Times New Roman"/>
        </w:rPr>
      </w:pPr>
    </w:p>
    <w:p w:rsidR="003C108D" w:rsidRPr="00DE457E" w:rsidP="00A1290E" w14:paraId="779DA104" w14:textId="77777777">
      <w:pPr>
        <w:pStyle w:val="StyleBoldCentered"/>
        <w:rPr>
          <w:rFonts w:ascii="Times New Roman" w:hAnsi="Times New Roman"/>
        </w:rPr>
      </w:pPr>
      <w:r w:rsidRPr="00DE457E">
        <w:rPr>
          <w:rFonts w:ascii="Times New Roman" w:hAnsi="Times New Roman"/>
        </w:rPr>
        <w:t>Notice of proposed rulemaking</w:t>
      </w:r>
    </w:p>
    <w:p w:rsidR="003C108D" w:rsidRPr="00DE457E" w:rsidP="003C108D" w14:paraId="7537129B" w14:textId="77777777">
      <w:pPr>
        <w:tabs>
          <w:tab w:val="left" w:pos="-720"/>
        </w:tabs>
        <w:suppressAutoHyphens/>
        <w:spacing w:line="227" w:lineRule="auto"/>
        <w:rPr>
          <w:spacing w:val="-2"/>
        </w:rPr>
      </w:pPr>
    </w:p>
    <w:p w:rsidR="003C108D" w:rsidRPr="00DE457E" w:rsidP="003C108D" w14:paraId="5CD1C3C3" w14:textId="54001D02">
      <w:pPr>
        <w:tabs>
          <w:tab w:val="left" w:pos="720"/>
          <w:tab w:val="right" w:pos="9360"/>
        </w:tabs>
        <w:suppressAutoHyphens/>
        <w:spacing w:line="227" w:lineRule="auto"/>
        <w:rPr>
          <w:spacing w:val="-2"/>
        </w:rPr>
      </w:pPr>
      <w:r w:rsidRPr="00DE457E">
        <w:rPr>
          <w:b/>
          <w:spacing w:val="-2"/>
        </w:rPr>
        <w:t xml:space="preserve">Adopted:  </w:t>
      </w:r>
      <w:r w:rsidR="00655301">
        <w:rPr>
          <w:b/>
          <w:spacing w:val="-2"/>
        </w:rPr>
        <w:t>January 27</w:t>
      </w:r>
      <w:r w:rsidRPr="00DE457E">
        <w:rPr>
          <w:b/>
          <w:spacing w:val="-2"/>
        </w:rPr>
        <w:t xml:space="preserve">, </w:t>
      </w:r>
      <w:r w:rsidRPr="00DE457E" w:rsidR="009C61A3">
        <w:rPr>
          <w:b/>
          <w:spacing w:val="-2"/>
        </w:rPr>
        <w:t>202</w:t>
      </w:r>
      <w:r w:rsidR="00EA1005">
        <w:rPr>
          <w:b/>
          <w:spacing w:val="-2"/>
        </w:rPr>
        <w:t>2</w:t>
      </w:r>
      <w:r w:rsidRPr="00DE457E">
        <w:rPr>
          <w:b/>
          <w:spacing w:val="-2"/>
        </w:rPr>
        <w:tab/>
        <w:t xml:space="preserve">Released:  </w:t>
      </w:r>
      <w:r w:rsidR="00655301">
        <w:rPr>
          <w:b/>
          <w:spacing w:val="-2"/>
        </w:rPr>
        <w:t>January 27</w:t>
      </w:r>
      <w:r w:rsidRPr="00DE457E">
        <w:rPr>
          <w:b/>
          <w:spacing w:val="-2"/>
        </w:rPr>
        <w:t>, 202</w:t>
      </w:r>
      <w:r w:rsidR="00EA1005">
        <w:rPr>
          <w:b/>
          <w:spacing w:val="-2"/>
        </w:rPr>
        <w:t>2</w:t>
      </w:r>
    </w:p>
    <w:p w:rsidR="003C108D" w:rsidRPr="00DE457E" w:rsidP="003C108D" w14:paraId="764FE8A0" w14:textId="77777777"/>
    <w:p w:rsidR="003C108D" w:rsidRPr="00DE457E" w:rsidP="003C108D" w14:paraId="729C4BB1" w14:textId="5A575415">
      <w:pPr>
        <w:rPr>
          <w:b/>
        </w:rPr>
      </w:pPr>
      <w:r w:rsidRPr="00DE457E">
        <w:rPr>
          <w:b/>
        </w:rPr>
        <w:t>Comment Date:  (</w:t>
      </w:r>
      <w:r w:rsidRPr="00DE457E" w:rsidR="00687FCD">
        <w:rPr>
          <w:b/>
        </w:rPr>
        <w:t>30</w:t>
      </w:r>
      <w:r w:rsidRPr="00DE457E">
        <w:rPr>
          <w:b/>
        </w:rPr>
        <w:t xml:space="preserve"> days after date of publication in the Federal Register)</w:t>
      </w:r>
    </w:p>
    <w:p w:rsidR="003C108D" w:rsidRPr="00DE457E" w:rsidP="003C108D" w14:paraId="7110B205" w14:textId="169A6EFE">
      <w:pPr>
        <w:rPr>
          <w:b/>
        </w:rPr>
      </w:pPr>
      <w:r w:rsidRPr="00DE457E">
        <w:rPr>
          <w:b/>
        </w:rPr>
        <w:t>Reply Comment Date:  (</w:t>
      </w:r>
      <w:r w:rsidRPr="00DE457E" w:rsidR="00687FCD">
        <w:rPr>
          <w:b/>
        </w:rPr>
        <w:t>45</w:t>
      </w:r>
      <w:r w:rsidRPr="00DE457E">
        <w:rPr>
          <w:b/>
        </w:rPr>
        <w:t xml:space="preserve"> days after date of publication in the Federal Register)</w:t>
      </w:r>
    </w:p>
    <w:p w:rsidR="003C108D" w:rsidRPr="00DE457E" w:rsidP="003C108D" w14:paraId="288A593D" w14:textId="77777777">
      <w:pPr>
        <w:rPr>
          <w:b/>
        </w:rPr>
      </w:pPr>
    </w:p>
    <w:p w:rsidR="003C108D" w:rsidRPr="00DE457E" w:rsidP="003C108D" w14:paraId="5E8E3088" w14:textId="2D4E3C46">
      <w:pPr>
        <w:rPr>
          <w:spacing w:val="-2"/>
        </w:rPr>
      </w:pPr>
      <w:r w:rsidRPr="00DE457E">
        <w:t xml:space="preserve">By the </w:t>
      </w:r>
      <w:r w:rsidRPr="00DE457E">
        <w:rPr>
          <w:spacing w:val="-2"/>
        </w:rPr>
        <w:t xml:space="preserve">Commission: </w:t>
      </w:r>
      <w:r w:rsidRPr="00661BB1" w:rsidR="00661BB1">
        <w:rPr>
          <w:spacing w:val="-2"/>
        </w:rPr>
        <w:t xml:space="preserve">Chairwoman </w:t>
      </w:r>
      <w:r w:rsidRPr="00661BB1" w:rsidR="00661BB1">
        <w:rPr>
          <w:spacing w:val="-2"/>
        </w:rPr>
        <w:t>Rosenworcel</w:t>
      </w:r>
      <w:r w:rsidRPr="00661BB1" w:rsidR="00661BB1">
        <w:rPr>
          <w:spacing w:val="-2"/>
        </w:rPr>
        <w:t xml:space="preserve"> and Commissioners Carr and Starks issuing separate statements.</w:t>
      </w:r>
    </w:p>
    <w:p w:rsidR="003C108D" w:rsidRPr="00DE457E" w:rsidP="003C108D" w14:paraId="0FE8B42A" w14:textId="77777777">
      <w:pPr>
        <w:rPr>
          <w:spacing w:val="-2"/>
        </w:rPr>
      </w:pPr>
    </w:p>
    <w:p w:rsidR="003C108D" w:rsidRPr="00DE457E" w:rsidP="004903AF" w14:paraId="6D54722B" w14:textId="77777777">
      <w:pPr>
        <w:pStyle w:val="Heading1"/>
      </w:pPr>
      <w:bookmarkStart w:id="1" w:name="_Toc40348073"/>
      <w:bookmarkStart w:id="2" w:name="_Toc40348314"/>
      <w:bookmarkStart w:id="3" w:name="_Toc41931902"/>
      <w:bookmarkStart w:id="4" w:name="_Toc43637488"/>
      <w:bookmarkStart w:id="5" w:name="_Toc43820726"/>
      <w:bookmarkStart w:id="6" w:name="_Toc45638034"/>
      <w:bookmarkStart w:id="7" w:name="_Toc45638223"/>
      <w:bookmarkStart w:id="8" w:name="_Toc45638283"/>
      <w:bookmarkStart w:id="9" w:name="_Toc45710394"/>
      <w:bookmarkStart w:id="10" w:name="_Toc45713526"/>
      <w:bookmarkStart w:id="11" w:name="_Toc45716350"/>
      <w:bookmarkStart w:id="12" w:name="_Toc45723342"/>
      <w:bookmarkStart w:id="13" w:name="_Toc45728488"/>
      <w:r w:rsidRPr="00DE457E">
        <w:t>introduction</w:t>
      </w:r>
      <w:bookmarkEnd w:id="1"/>
      <w:bookmarkEnd w:id="2"/>
      <w:bookmarkEnd w:id="3"/>
      <w:bookmarkEnd w:id="4"/>
      <w:bookmarkEnd w:id="5"/>
      <w:bookmarkEnd w:id="6"/>
      <w:bookmarkEnd w:id="7"/>
      <w:bookmarkEnd w:id="8"/>
      <w:bookmarkEnd w:id="9"/>
      <w:bookmarkEnd w:id="10"/>
      <w:bookmarkEnd w:id="11"/>
      <w:bookmarkEnd w:id="12"/>
      <w:bookmarkEnd w:id="13"/>
    </w:p>
    <w:p w:rsidR="00BB2FCE" w:rsidP="004903AF" w14:paraId="055A190F" w14:textId="12993AD4">
      <w:pPr>
        <w:pStyle w:val="ParaNum"/>
      </w:pPr>
      <w:r w:rsidRPr="1C14CCCF">
        <w:t>A</w:t>
      </w:r>
      <w:r w:rsidRPr="1C14CCCF" w:rsidR="006843C9">
        <w:t xml:space="preserve">ccess to </w:t>
      </w:r>
      <w:r w:rsidR="009C33E7">
        <w:t xml:space="preserve">accurate, </w:t>
      </w:r>
      <w:r w:rsidR="00A552A3">
        <w:t>simple</w:t>
      </w:r>
      <w:r w:rsidR="00BA4DA5">
        <w:t xml:space="preserve">-to-understand </w:t>
      </w:r>
      <w:r w:rsidRPr="1C14CCCF" w:rsidR="006843C9">
        <w:t xml:space="preserve">information </w:t>
      </w:r>
      <w:r w:rsidR="00F946D8">
        <w:t>a</w:t>
      </w:r>
      <w:r w:rsidR="00CE6E4F">
        <w:t xml:space="preserve">bout broadband </w:t>
      </w:r>
      <w:r w:rsidR="005E6322">
        <w:t xml:space="preserve">Internet access </w:t>
      </w:r>
      <w:r w:rsidR="00CE6E4F">
        <w:t xml:space="preserve">services </w:t>
      </w:r>
      <w:r w:rsidR="00621356">
        <w:t xml:space="preserve">helps consumers make </w:t>
      </w:r>
      <w:r w:rsidR="00935E64">
        <w:t xml:space="preserve">informed </w:t>
      </w:r>
      <w:r w:rsidR="00CD3478">
        <w:t xml:space="preserve">choices and </w:t>
      </w:r>
      <w:r w:rsidR="00A4703A">
        <w:t xml:space="preserve">is </w:t>
      </w:r>
      <w:r w:rsidRPr="1C14CCCF" w:rsidR="006843C9">
        <w:t>c</w:t>
      </w:r>
      <w:r w:rsidRPr="1C14CCCF" w:rsidR="00841EF5">
        <w:t>entral</w:t>
      </w:r>
      <w:r w:rsidRPr="1C14CCCF" w:rsidR="006843C9">
        <w:t xml:space="preserve"> </w:t>
      </w:r>
      <w:r w:rsidR="00A4703A">
        <w:t xml:space="preserve">to </w:t>
      </w:r>
      <w:r w:rsidRPr="1C14CCCF" w:rsidR="006843C9">
        <w:t>a well-functioning marketplace that encourages competition, innovation, low prices, and high-quality service</w:t>
      </w:r>
      <w:r w:rsidRPr="002C3B36" w:rsidR="006843C9">
        <w:t>.</w:t>
      </w:r>
      <w:r>
        <w:rPr>
          <w:rStyle w:val="FootnoteReference"/>
        </w:rPr>
        <w:footnoteReference w:id="3"/>
      </w:r>
      <w:r w:rsidRPr="002C3B36" w:rsidR="006843C9">
        <w:t xml:space="preserve">  </w:t>
      </w:r>
      <w:r w:rsidR="00F01070">
        <w:t xml:space="preserve">It does so by enabling consumers to </w:t>
      </w:r>
      <w:r w:rsidRPr="1C14CCCF" w:rsidR="006843C9">
        <w:t>c</w:t>
      </w:r>
      <w:r w:rsidR="4DAAA511">
        <w:t xml:space="preserve">omparison shop </w:t>
      </w:r>
      <w:r w:rsidR="009B0186">
        <w:t>when choosing</w:t>
      </w:r>
      <w:r w:rsidRPr="1C14CCCF" w:rsidR="006843C9">
        <w:t xml:space="preserve"> </w:t>
      </w:r>
      <w:r w:rsidRPr="1C14CCCF" w:rsidR="002D2D05">
        <w:t xml:space="preserve">broadband </w:t>
      </w:r>
      <w:r w:rsidRPr="1C14CCCF" w:rsidR="006843C9">
        <w:t xml:space="preserve">services </w:t>
      </w:r>
      <w:r w:rsidR="10FA0CED">
        <w:t xml:space="preserve">and providers </w:t>
      </w:r>
      <w:r w:rsidRPr="1C14CCCF" w:rsidR="006843C9">
        <w:t xml:space="preserve">that best meet their needs and match their budgets.  </w:t>
      </w:r>
    </w:p>
    <w:p w:rsidR="00687FCD" w:rsidRPr="00DE457E" w:rsidP="004903AF" w14:paraId="2ECBFF40" w14:textId="3801750F">
      <w:pPr>
        <w:pStyle w:val="ParaNum"/>
      </w:pPr>
      <w:r w:rsidRPr="1C14CCCF">
        <w:t xml:space="preserve">On </w:t>
      </w:r>
      <w:r w:rsidRPr="1C14CCCF" w:rsidR="00A14E56">
        <w:t xml:space="preserve">November </w:t>
      </w:r>
      <w:r w:rsidR="00757BB0">
        <w:t>1</w:t>
      </w:r>
      <w:r w:rsidRPr="1C14CCCF" w:rsidR="00A14E56">
        <w:t>5, 2021</w:t>
      </w:r>
      <w:r w:rsidRPr="1C14CCCF">
        <w:t xml:space="preserve">, </w:t>
      </w:r>
      <w:r w:rsidR="006E7982">
        <w:t xml:space="preserve">the President signed into law </w:t>
      </w:r>
      <w:r w:rsidRPr="1C14CCCF">
        <w:t>the Infrastructure Investment and Jobs Act</w:t>
      </w:r>
      <w:r w:rsidR="006843C9">
        <w:t>.</w:t>
      </w:r>
      <w:r>
        <w:rPr>
          <w:rStyle w:val="FootnoteReference"/>
        </w:rPr>
        <w:footnoteReference w:id="4"/>
      </w:r>
      <w:r w:rsidRPr="1C14CCCF" w:rsidR="006843C9">
        <w:t xml:space="preserve">  </w:t>
      </w:r>
      <w:r w:rsidR="00DF2391">
        <w:t xml:space="preserve">The law </w:t>
      </w:r>
      <w:r w:rsidRPr="1C14CCCF">
        <w:t>direct</w:t>
      </w:r>
      <w:r w:rsidR="00DF2391">
        <w:t>s</w:t>
      </w:r>
      <w:r w:rsidRPr="1C14CCCF">
        <w:t xml:space="preserve"> the Commission </w:t>
      </w:r>
      <w:r w:rsidR="00344A57">
        <w:t>“</w:t>
      </w:r>
      <w:r w:rsidRPr="1C14CCCF">
        <w:t xml:space="preserve">to promulgate regulations to require the display of broadband consumer labels, as described in the Public Notice of the Commission issued on April 4, 2016 (DA 16–357), to disclose to consumers information regarding broadband </w:t>
      </w:r>
      <w:r w:rsidR="000F4509">
        <w:t>I</w:t>
      </w:r>
      <w:r w:rsidRPr="1C14CCCF">
        <w:t>nternet access service plans.”</w:t>
      </w:r>
      <w:r>
        <w:rPr>
          <w:rStyle w:val="FootnoteReference"/>
        </w:rPr>
        <w:footnoteReference w:id="5"/>
      </w:r>
      <w:r w:rsidRPr="1C14CCCF">
        <w:t xml:space="preserve">  </w:t>
      </w:r>
      <w:r w:rsidR="004C0B74">
        <w:t>It further provides</w:t>
      </w:r>
      <w:r w:rsidR="00D5449A">
        <w:t xml:space="preserve"> that labels</w:t>
      </w:r>
      <w:r w:rsidRPr="1C14CCCF">
        <w:t xml:space="preserve"> “shall include information regarding whether the offered price is an introductory rate and, if so, the price the consumer will be required to pay following the introductory period.”</w:t>
      </w:r>
      <w:r>
        <w:rPr>
          <w:rStyle w:val="FootnoteReference"/>
        </w:rPr>
        <w:footnoteReference w:id="6"/>
      </w:r>
    </w:p>
    <w:p w:rsidR="009739DA" w:rsidP="004903AF" w14:paraId="32BD103D" w14:textId="70D2AFAD">
      <w:pPr>
        <w:pStyle w:val="ParaNum"/>
      </w:pPr>
      <w:r w:rsidRPr="1C14CCCF">
        <w:t xml:space="preserve">In this Notice of Proposed Rulemaking (NPRM), we </w:t>
      </w:r>
      <w:r w:rsidRPr="1C14CCCF" w:rsidR="00FB5184">
        <w:t xml:space="preserve">propose measures </w:t>
      </w:r>
      <w:r w:rsidRPr="1C14CCCF">
        <w:t xml:space="preserve">to implement </w:t>
      </w:r>
      <w:r w:rsidR="00FB5184">
        <w:t xml:space="preserve">these provisions of </w:t>
      </w:r>
      <w:r w:rsidRPr="1C14CCCF">
        <w:t xml:space="preserve">the Infrastructure Act.  Specifically, we propose </w:t>
      </w:r>
      <w:r w:rsidR="00593B7D">
        <w:t xml:space="preserve">to require </w:t>
      </w:r>
      <w:r w:rsidRPr="1C14CCCF" w:rsidR="00344A57">
        <w:t xml:space="preserve">that </w:t>
      </w:r>
      <w:r w:rsidR="00297256">
        <w:t>broadband</w:t>
      </w:r>
      <w:r w:rsidRPr="1C14CCCF" w:rsidR="00344A57">
        <w:t xml:space="preserve"> </w:t>
      </w:r>
      <w:r w:rsidR="00E7092A">
        <w:t xml:space="preserve">Internet </w:t>
      </w:r>
      <w:r w:rsidR="00F32963">
        <w:t xml:space="preserve">access </w:t>
      </w:r>
      <w:r w:rsidR="00E7092A">
        <w:t>service providers (ISPs)</w:t>
      </w:r>
      <w:r w:rsidRPr="1C14CCCF">
        <w:t xml:space="preserve"> </w:t>
      </w:r>
      <w:r w:rsidRPr="1C14CCCF" w:rsidR="00776005">
        <w:t>display</w:t>
      </w:r>
      <w:r w:rsidR="00E03B67">
        <w:t>,</w:t>
      </w:r>
      <w:r w:rsidRPr="00DE457E">
        <w:t xml:space="preserve"> </w:t>
      </w:r>
      <w:r w:rsidRPr="1C14CCCF" w:rsidR="005D0481">
        <w:t>at the point of sale</w:t>
      </w:r>
      <w:r w:rsidR="00E03B67">
        <w:t>,</w:t>
      </w:r>
      <w:r w:rsidRPr="1C14CCCF" w:rsidR="005D0481">
        <w:t xml:space="preserve"> </w:t>
      </w:r>
      <w:r w:rsidR="00593B7D">
        <w:t xml:space="preserve">labels </w:t>
      </w:r>
      <w:r w:rsidRPr="1C14CCCF">
        <w:t>to disclose to consumers</w:t>
      </w:r>
      <w:r w:rsidR="00AD13EA">
        <w:t xml:space="preserve"> </w:t>
      </w:r>
      <w:r w:rsidRPr="1C14CCCF" w:rsidR="004927C2">
        <w:t>c</w:t>
      </w:r>
      <w:r w:rsidRPr="1C14CCCF" w:rsidR="00344A57">
        <w:t>ertain</w:t>
      </w:r>
      <w:r w:rsidRPr="1C14CCCF" w:rsidR="004927C2">
        <w:t xml:space="preserve"> information </w:t>
      </w:r>
      <w:r w:rsidRPr="1C14CCCF" w:rsidR="00344A57">
        <w:t>abou</w:t>
      </w:r>
      <w:r w:rsidRPr="1C14CCCF" w:rsidR="00C822D7">
        <w:t xml:space="preserve">t </w:t>
      </w:r>
      <w:r w:rsidRPr="1C14CCCF" w:rsidR="004927C2">
        <w:t>price</w:t>
      </w:r>
      <w:r w:rsidRPr="1C14CCCF" w:rsidR="002C6B80">
        <w:t>s</w:t>
      </w:r>
      <w:r w:rsidRPr="00DE457E" w:rsidR="004927C2">
        <w:t xml:space="preserve">, </w:t>
      </w:r>
      <w:r w:rsidRPr="1C14CCCF" w:rsidR="00D57B16">
        <w:t xml:space="preserve">introductory rates, </w:t>
      </w:r>
      <w:r w:rsidRPr="1C14CCCF" w:rsidR="004927C2">
        <w:t xml:space="preserve">data allowances, </w:t>
      </w:r>
      <w:r w:rsidRPr="1C14CCCF" w:rsidR="00DA3604">
        <w:t xml:space="preserve">broadband </w:t>
      </w:r>
      <w:r w:rsidRPr="1C14CCCF" w:rsidR="004927C2">
        <w:t>speeds, and management practices, among other things.</w:t>
      </w:r>
      <w:r w:rsidRPr="00DE457E" w:rsidR="004927C2">
        <w:t xml:space="preserve">  </w:t>
      </w:r>
    </w:p>
    <w:p w:rsidR="00441E0E" w:rsidRPr="00441E0E" w:rsidP="004903AF" w14:paraId="3578A524" w14:textId="5B87ADA5">
      <w:pPr>
        <w:pStyle w:val="ParaNum"/>
      </w:pPr>
      <w:r>
        <w:t>Consistent with the Infrastructure Act, t</w:t>
      </w:r>
      <w:r w:rsidRPr="0A7CB91D" w:rsidR="004B1157">
        <w:t>he labels w</w:t>
      </w:r>
      <w:r w:rsidRPr="0A7CB91D" w:rsidR="009739DA">
        <w:t>e propose</w:t>
      </w:r>
      <w:r w:rsidRPr="1C14CCCF" w:rsidR="009739DA">
        <w:t xml:space="preserve"> </w:t>
      </w:r>
      <w:r w:rsidRPr="1C14CCCF" w:rsidR="004B1157">
        <w:t>are</w:t>
      </w:r>
      <w:r>
        <w:t xml:space="preserve"> those</w:t>
      </w:r>
      <w:r w:rsidR="00BE54F6">
        <w:t xml:space="preserve"> </w:t>
      </w:r>
      <w:r>
        <w:t>t</w:t>
      </w:r>
      <w:r w:rsidR="00834ACA">
        <w:t>hat</w:t>
      </w:r>
      <w:r w:rsidRPr="1C14CCCF" w:rsidR="00A378EF">
        <w:t xml:space="preserve"> </w:t>
      </w:r>
      <w:r w:rsidRPr="1C14CCCF" w:rsidR="00DB7891">
        <w:t>the Commission</w:t>
      </w:r>
      <w:r w:rsidRPr="1C14CCCF" w:rsidR="00A378EF">
        <w:t xml:space="preserve"> </w:t>
      </w:r>
      <w:r w:rsidR="00C157BE">
        <w:t xml:space="preserve">allowed </w:t>
      </w:r>
      <w:r w:rsidR="00E7092A">
        <w:t>ISPs</w:t>
      </w:r>
      <w:r w:rsidR="00C157BE">
        <w:t xml:space="preserve"> to </w:t>
      </w:r>
      <w:r w:rsidR="00CF749D">
        <w:t xml:space="preserve">use </w:t>
      </w:r>
      <w:r w:rsidR="00A851D0">
        <w:t>as a safe harbor</w:t>
      </w:r>
      <w:r w:rsidR="00CF749D">
        <w:t xml:space="preserve"> to </w:t>
      </w:r>
      <w:r w:rsidR="00C157BE">
        <w:t xml:space="preserve">comply with broadband </w:t>
      </w:r>
      <w:r w:rsidRPr="1C14CCCF" w:rsidR="00A378EF">
        <w:t>transparency</w:t>
      </w:r>
      <w:r w:rsidRPr="1C14CCCF" w:rsidR="00D00F9C">
        <w:t xml:space="preserve"> </w:t>
      </w:r>
      <w:r w:rsidRPr="1C14CCCF" w:rsidR="00A378EF">
        <w:t>requirements in 2016</w:t>
      </w:r>
      <w:r>
        <w:t xml:space="preserve">, which were informed by </w:t>
      </w:r>
      <w:r w:rsidR="00785397">
        <w:t xml:space="preserve">the </w:t>
      </w:r>
      <w:r>
        <w:t>work of the Consumer Advisory Committee</w:t>
      </w:r>
      <w:r w:rsidR="00E03B67">
        <w:t xml:space="preserve"> (CAC)</w:t>
      </w:r>
      <w:r w:rsidRPr="1C14CCCF" w:rsidR="00A378EF">
        <w:t>.</w:t>
      </w:r>
      <w:r>
        <w:rPr>
          <w:rStyle w:val="FootnoteReference"/>
        </w:rPr>
        <w:footnoteReference w:id="7"/>
      </w:r>
      <w:r w:rsidRPr="1C14CCCF" w:rsidR="00A378EF">
        <w:t xml:space="preserve">  We </w:t>
      </w:r>
      <w:r w:rsidRPr="1C14CCCF" w:rsidR="009739DA">
        <w:t xml:space="preserve">seek comment on </w:t>
      </w:r>
      <w:r w:rsidRPr="0A7CB91D" w:rsidR="005205BF">
        <w:t xml:space="preserve">whether </w:t>
      </w:r>
      <w:r w:rsidR="00E7092A">
        <w:t xml:space="preserve">broadband </w:t>
      </w:r>
      <w:r w:rsidRPr="0A7CB91D" w:rsidR="005205BF">
        <w:t>service offerings</w:t>
      </w:r>
      <w:r w:rsidR="005205BF">
        <w:t xml:space="preserve"> </w:t>
      </w:r>
      <w:r w:rsidR="007B5FAD">
        <w:t>and consumers</w:t>
      </w:r>
      <w:r w:rsidR="00D90422">
        <w:t>’</w:t>
      </w:r>
      <w:r w:rsidR="007B5FAD">
        <w:t xml:space="preserve"> </w:t>
      </w:r>
      <w:r w:rsidR="00090856">
        <w:t>use of</w:t>
      </w:r>
      <w:r w:rsidR="00C26C6A">
        <w:t xml:space="preserve"> </w:t>
      </w:r>
      <w:r w:rsidR="00E7092A">
        <w:t xml:space="preserve">broadband services </w:t>
      </w:r>
      <w:r w:rsidRPr="0A7CB91D" w:rsidR="005205BF">
        <w:t>have changed sufficiently</w:t>
      </w:r>
      <w:r w:rsidR="005205BF">
        <w:t xml:space="preserve"> </w:t>
      </w:r>
      <w:r w:rsidRPr="0A7CB91D" w:rsidR="00D00F9C">
        <w:t>since 201</w:t>
      </w:r>
      <w:r w:rsidRPr="0A7CB91D" w:rsidR="00B37E69">
        <w:t>6</w:t>
      </w:r>
      <w:r w:rsidR="00650162">
        <w:t xml:space="preserve"> to necessitate </w:t>
      </w:r>
      <w:r w:rsidR="009E0AEA">
        <w:t xml:space="preserve">modifications </w:t>
      </w:r>
      <w:r w:rsidR="00650162">
        <w:t>to the</w:t>
      </w:r>
      <w:r w:rsidR="00180811">
        <w:t xml:space="preserve"> labels’</w:t>
      </w:r>
      <w:r w:rsidR="00650162">
        <w:t xml:space="preserve"> content </w:t>
      </w:r>
      <w:r w:rsidR="009D1CD2">
        <w:t>and/</w:t>
      </w:r>
      <w:r w:rsidR="00650162">
        <w:t>or format</w:t>
      </w:r>
      <w:r w:rsidR="00E00CF0">
        <w:t xml:space="preserve">, </w:t>
      </w:r>
      <w:r w:rsidR="00A62119">
        <w:t xml:space="preserve">or whether </w:t>
      </w:r>
      <w:r w:rsidR="00DC4023">
        <w:t xml:space="preserve">there are any other reasons to change the content or format of the labels.  We also seek comment </w:t>
      </w:r>
      <w:r w:rsidR="00387237">
        <w:t xml:space="preserve">on </w:t>
      </w:r>
      <w:r w:rsidR="00E00CF0">
        <w:t>where the</w:t>
      </w:r>
      <w:r w:rsidR="00387237">
        <w:t xml:space="preserve"> labels </w:t>
      </w:r>
      <w:r w:rsidRPr="0A7CB91D" w:rsidR="003A4A27">
        <w:t>should</w:t>
      </w:r>
      <w:r w:rsidRPr="0A7CB91D" w:rsidR="00DB7891">
        <w:t xml:space="preserve"> be</w:t>
      </w:r>
      <w:r w:rsidRPr="0A7CB91D" w:rsidR="001E73C5">
        <w:t xml:space="preserve"> displayed</w:t>
      </w:r>
      <w:r w:rsidR="00E51272">
        <w:t xml:space="preserve"> to best inform consumers</w:t>
      </w:r>
      <w:r w:rsidRPr="1C14CCCF" w:rsidR="005205BF">
        <w:t>.</w:t>
      </w:r>
      <w:r w:rsidR="00FF07E8">
        <w:t xml:space="preserve"> </w:t>
      </w:r>
      <w:r w:rsidR="009739DA">
        <w:t xml:space="preserve"> </w:t>
      </w:r>
    </w:p>
    <w:p w:rsidR="001D167D" w:rsidRPr="009739DA" w:rsidP="004903AF" w14:paraId="01C8EF1F" w14:textId="7F1D7445">
      <w:pPr>
        <w:pStyle w:val="ParaNum"/>
      </w:pPr>
      <w:r>
        <w:t xml:space="preserve">In addition to complying with the requirements of </w:t>
      </w:r>
      <w:r w:rsidR="001D5146">
        <w:t xml:space="preserve">the Infrastructure Act, </w:t>
      </w:r>
      <w:r w:rsidR="00C02778">
        <w:t xml:space="preserve">we expect </w:t>
      </w:r>
      <w:r w:rsidR="002C6B80">
        <w:t>th</w:t>
      </w:r>
      <w:r w:rsidR="00441E0E">
        <w:t xml:space="preserve">ese </w:t>
      </w:r>
      <w:r w:rsidR="00C02778">
        <w:t>labels</w:t>
      </w:r>
      <w:r w:rsidR="00441E0E">
        <w:t xml:space="preserve"> </w:t>
      </w:r>
      <w:r w:rsidR="00A802D4">
        <w:t xml:space="preserve">will provide the </w:t>
      </w:r>
      <w:r w:rsidR="000D1E8F">
        <w:t xml:space="preserve">information necessary for consumers to make informed decisions about </w:t>
      </w:r>
      <w:r w:rsidR="0046331D">
        <w:t>available broadband</w:t>
      </w:r>
      <w:r w:rsidR="00F83E84">
        <w:t xml:space="preserve"> </w:t>
      </w:r>
      <w:r w:rsidR="0046331D">
        <w:t>services</w:t>
      </w:r>
      <w:r w:rsidR="00856DA0">
        <w:t xml:space="preserve"> and will</w:t>
      </w:r>
      <w:r w:rsidR="00BA5965">
        <w:t xml:space="preserve"> promote</w:t>
      </w:r>
      <w:r w:rsidR="00064071">
        <w:t xml:space="preserve"> </w:t>
      </w:r>
      <w:r w:rsidR="003A3E52">
        <w:t>the economic, social, and civic benefits of</w:t>
      </w:r>
      <w:r w:rsidR="001B2C9D">
        <w:t xml:space="preserve"> </w:t>
      </w:r>
      <w:r w:rsidR="003D0FE4">
        <w:t>such</w:t>
      </w:r>
      <w:r w:rsidR="001B2C9D">
        <w:t xml:space="preserve"> service</w:t>
      </w:r>
      <w:r w:rsidR="0066449A">
        <w:t>s</w:t>
      </w:r>
      <w:r w:rsidR="001B2C9D">
        <w:t xml:space="preserve"> </w:t>
      </w:r>
      <w:r w:rsidR="00B37E69">
        <w:t xml:space="preserve">so they </w:t>
      </w:r>
      <w:r w:rsidR="001B2C9D">
        <w:t>are available and accessible to all Americans</w:t>
      </w:r>
      <w:r w:rsidR="00064071">
        <w:t>.</w:t>
      </w:r>
      <w:r>
        <w:t xml:space="preserve">   </w:t>
      </w:r>
    </w:p>
    <w:p w:rsidR="003C108D" w:rsidRPr="00DE457E" w:rsidP="004903AF" w14:paraId="00DFDC33" w14:textId="3F1D0401">
      <w:pPr>
        <w:pStyle w:val="Heading1"/>
      </w:pPr>
      <w:bookmarkStart w:id="14" w:name="_Toc40348074"/>
      <w:bookmarkStart w:id="15" w:name="_Toc40348315"/>
      <w:bookmarkStart w:id="16" w:name="_Toc41931903"/>
      <w:bookmarkStart w:id="17" w:name="_Toc43637489"/>
      <w:bookmarkStart w:id="18" w:name="_Toc43820727"/>
      <w:bookmarkStart w:id="19" w:name="_Toc45638035"/>
      <w:bookmarkStart w:id="20" w:name="_Toc45638224"/>
      <w:bookmarkStart w:id="21" w:name="_Toc45638284"/>
      <w:bookmarkStart w:id="22" w:name="_Toc45710395"/>
      <w:bookmarkStart w:id="23" w:name="_Toc45713527"/>
      <w:bookmarkStart w:id="24" w:name="_Toc45716351"/>
      <w:bookmarkStart w:id="25" w:name="_Toc45723343"/>
      <w:bookmarkStart w:id="26" w:name="_Toc45728489"/>
      <w:r w:rsidRPr="00DE457E">
        <w:t>Background</w:t>
      </w:r>
      <w:bookmarkEnd w:id="14"/>
      <w:bookmarkEnd w:id="15"/>
      <w:bookmarkEnd w:id="16"/>
      <w:bookmarkEnd w:id="17"/>
      <w:bookmarkEnd w:id="18"/>
      <w:bookmarkEnd w:id="19"/>
      <w:bookmarkEnd w:id="20"/>
      <w:bookmarkEnd w:id="21"/>
      <w:bookmarkEnd w:id="22"/>
      <w:bookmarkEnd w:id="23"/>
      <w:bookmarkEnd w:id="24"/>
      <w:bookmarkEnd w:id="25"/>
      <w:bookmarkEnd w:id="26"/>
    </w:p>
    <w:p w:rsidR="003D5C49" w:rsidP="004903AF" w14:paraId="50765E1E" w14:textId="6F27265D">
      <w:pPr>
        <w:pStyle w:val="Heading2"/>
      </w:pPr>
      <w:r>
        <w:t>Regulatory History</w:t>
      </w:r>
      <w:bookmarkStart w:id="27" w:name="_Hlk46815690"/>
    </w:p>
    <w:p w:rsidR="003D5C49" w:rsidP="004903AF" w14:paraId="3951B91A" w14:textId="1E1B6BBD">
      <w:pPr>
        <w:pStyle w:val="ParaNum"/>
        <w:widowControl/>
      </w:pPr>
      <w:r w:rsidRPr="00A64633">
        <w:t xml:space="preserve">In </w:t>
      </w:r>
      <w:r w:rsidR="00BD2310">
        <w:t>the</w:t>
      </w:r>
      <w:r w:rsidRPr="00A64633">
        <w:t xml:space="preserve"> </w:t>
      </w:r>
      <w:r w:rsidRPr="00AD24DD">
        <w:rPr>
          <w:i/>
        </w:rPr>
        <w:t>2016 Public Notice</w:t>
      </w:r>
      <w:r w:rsidRPr="00A64633">
        <w:t>, the Consumer and Governmental Affairs, Wireline Competition, and Wireless Telecommunications Bureaus (Bureaus) approved, with modifications, consumer broadband labels proposed by the CAC,</w:t>
      </w:r>
      <w:r>
        <w:rPr>
          <w:vertAlign w:val="superscript"/>
        </w:rPr>
        <w:footnoteReference w:id="8"/>
      </w:r>
      <w:r w:rsidRPr="00A64633">
        <w:t xml:space="preserve"> which is composed of both industry and consumer interest representatives, including those representing persons with disabilities</w:t>
      </w:r>
      <w:r w:rsidR="00D866AC">
        <w:t>.</w:t>
      </w:r>
      <w:r>
        <w:rPr>
          <w:rStyle w:val="FootnoteReference"/>
        </w:rPr>
        <w:footnoteReference w:id="9"/>
      </w:r>
      <w:r w:rsidRPr="00A64633">
        <w:t xml:space="preserve">  There were two versions of </w:t>
      </w:r>
      <w:r>
        <w:t>the label</w:t>
      </w:r>
      <w:r w:rsidRPr="00A64633">
        <w:t xml:space="preserve">—one for providers of fixed broadband service and one for providers of mobile broadband </w:t>
      </w:r>
      <w:r w:rsidRPr="00A64633">
        <w:t>service</w:t>
      </w:r>
      <w:r w:rsidR="001C090A">
        <w:t>.</w:t>
      </w:r>
      <w:r>
        <w:rPr>
          <w:rStyle w:val="FootnoteReference"/>
        </w:rPr>
        <w:footnoteReference w:id="10"/>
      </w:r>
      <w:r w:rsidRPr="00A64633">
        <w:t xml:space="preserve">  The labels were to operate as a safe harbor format for broadband providers after enhanced transparency requirements adopted by the Commission took effect.</w:t>
      </w:r>
      <w:r>
        <w:rPr>
          <w:rStyle w:val="FootnoteReference"/>
        </w:rPr>
        <w:footnoteReference w:id="11"/>
      </w:r>
    </w:p>
    <w:p w:rsidR="003D5C49" w:rsidRPr="004F2709" w:rsidP="004903AF" w14:paraId="69A50B00" w14:textId="1621883F">
      <w:pPr>
        <w:pStyle w:val="ParaNum"/>
      </w:pPr>
      <w:r>
        <w:t xml:space="preserve">The Bureaus </w:t>
      </w:r>
      <w:r w:rsidRPr="1C14CCCF" w:rsidR="006D4007">
        <w:t xml:space="preserve">found that the CAC’s proposed labels substantially fulfilled the </w:t>
      </w:r>
      <w:r w:rsidR="00D85986">
        <w:t>Comm</w:t>
      </w:r>
      <w:r w:rsidR="006149D0">
        <w:t xml:space="preserve">ission’s </w:t>
      </w:r>
      <w:r w:rsidRPr="1C14CCCF" w:rsidR="006D4007">
        <w:t>goals by providing a simple-to-understand format describing the key factors consumers need</w:t>
      </w:r>
      <w:r w:rsidR="003C6C0B">
        <w:t>ed</w:t>
      </w:r>
      <w:r w:rsidRPr="1C14CCCF" w:rsidR="006D4007">
        <w:t xml:space="preserve"> to know when considering broadband service, including price, data allowances, speeds, and management practices.</w:t>
      </w:r>
      <w:r>
        <w:rPr>
          <w:rStyle w:val="FootnoteReference"/>
        </w:rPr>
        <w:footnoteReference w:id="12"/>
      </w:r>
      <w:r w:rsidRPr="00DE457E" w:rsidR="006D4007">
        <w:t xml:space="preserve">  </w:t>
      </w:r>
      <w:r w:rsidRPr="1C14CCCF" w:rsidR="006D4007">
        <w:t xml:space="preserve">The Bureaus further found that the </w:t>
      </w:r>
      <w:r w:rsidR="00E967E9">
        <w:t xml:space="preserve">labels </w:t>
      </w:r>
      <w:r w:rsidRPr="1C14CCCF" w:rsidR="006D4007">
        <w:t>display</w:t>
      </w:r>
      <w:r w:rsidRPr="1C14CCCF" w:rsidR="00051319">
        <w:t>ed</w:t>
      </w:r>
      <w:r w:rsidRPr="00F71FCE" w:rsidR="006D4007">
        <w:t xml:space="preserve"> </w:t>
      </w:r>
      <w:r w:rsidRPr="1C14CCCF" w:rsidR="006D4007">
        <w:t xml:space="preserve">terms in plain language that </w:t>
      </w:r>
      <w:r w:rsidRPr="1C14CCCF" w:rsidR="00051319">
        <w:t>was</w:t>
      </w:r>
      <w:r w:rsidRPr="1C14CCCF" w:rsidR="006D4007">
        <w:t xml:space="preserve"> easy to understand without overwhelming consumers with too much information. </w:t>
      </w:r>
      <w:r w:rsidRPr="00F71FCE" w:rsidR="00344D67">
        <w:t xml:space="preserve"> </w:t>
      </w:r>
      <w:r w:rsidRPr="1C14CCCF" w:rsidR="00464AD3">
        <w:t>The Bureaus</w:t>
      </w:r>
      <w:r w:rsidR="009C49DE">
        <w:t>, however,</w:t>
      </w:r>
      <w:r w:rsidRPr="1C14CCCF" w:rsidR="00464AD3">
        <w:t xml:space="preserve"> modified the safe harbor disclosures per the Commission’s directive that the labels be similar to a nutrition label</w:t>
      </w:r>
      <w:r>
        <w:rPr>
          <w:rStyle w:val="FootnoteReference"/>
        </w:rPr>
        <w:footnoteReference w:id="13"/>
      </w:r>
      <w:r w:rsidRPr="1C14CCCF" w:rsidR="00464AD3">
        <w:t xml:space="preserve"> and the CAC’s recommendation that the Commission use design expertise to make the labels consumer-friendly.</w:t>
      </w:r>
      <w:r>
        <w:rPr>
          <w:rStyle w:val="FootnoteReference"/>
        </w:rPr>
        <w:footnoteReference w:id="14"/>
      </w:r>
      <w:r w:rsidR="00464AD3">
        <w:t xml:space="preserve">  </w:t>
      </w:r>
      <w:r w:rsidRPr="1C14CCCF" w:rsidR="00344D67">
        <w:t>The</w:t>
      </w:r>
      <w:r w:rsidRPr="00F71FCE" w:rsidR="006D4007">
        <w:t xml:space="preserve"> </w:t>
      </w:r>
      <w:r w:rsidRPr="1C14CCCF" w:rsidR="00344D67">
        <w:t>Bureaus</w:t>
      </w:r>
      <w:r w:rsidR="0001678E">
        <w:t xml:space="preserve"> </w:t>
      </w:r>
      <w:r w:rsidRPr="1C14CCCF" w:rsidR="00344D67">
        <w:t>reiterate</w:t>
      </w:r>
      <w:r w:rsidRPr="1C14CCCF" w:rsidR="00F71FCE">
        <w:t>d</w:t>
      </w:r>
      <w:r w:rsidRPr="1C14CCCF" w:rsidR="00344D67">
        <w:t xml:space="preserve"> that the labels </w:t>
      </w:r>
      <w:r w:rsidRPr="1C14CCCF" w:rsidR="00F71FCE">
        <w:t>should</w:t>
      </w:r>
      <w:r w:rsidRPr="1C14CCCF" w:rsidR="00344D67">
        <w:t xml:space="preserve"> be provided in accessible formats.</w:t>
      </w:r>
      <w:r>
        <w:rPr>
          <w:rStyle w:val="FootnoteReference"/>
        </w:rPr>
        <w:footnoteReference w:id="15"/>
      </w:r>
      <w:r w:rsidR="00344D67">
        <w:t xml:space="preserve">  </w:t>
      </w:r>
      <w:r w:rsidRPr="1C14CCCF" w:rsidR="00C41124">
        <w:t xml:space="preserve">Accordingly, a </w:t>
      </w:r>
      <w:r w:rsidR="003233B5">
        <w:t>broadband</w:t>
      </w:r>
      <w:r w:rsidRPr="1C14CCCF" w:rsidR="00C41124">
        <w:t xml:space="preserve"> provider that </w:t>
      </w:r>
      <w:r w:rsidRPr="1C14CCCF" w:rsidR="00C41124">
        <w:rPr>
          <w:rFonts w:eastAsia="TimesNewRoman"/>
          <w:color w:val="010101"/>
        </w:rPr>
        <w:t>wished</w:t>
      </w:r>
      <w:r w:rsidRPr="1C14CCCF" w:rsidR="00C41124">
        <w:t xml:space="preserve"> to qualify for the safe harbor </w:t>
      </w:r>
      <w:r w:rsidRPr="1C14CCCF" w:rsidR="004F2709">
        <w:t xml:space="preserve">needed to use the label format and terms as they appeared in the </w:t>
      </w:r>
      <w:r w:rsidRPr="00AD24DD" w:rsidR="004F2709">
        <w:rPr>
          <w:i/>
        </w:rPr>
        <w:t>2016 Public Notice</w:t>
      </w:r>
      <w:r w:rsidRPr="000D6BF9" w:rsidR="00F1024B">
        <w:t>.</w:t>
      </w:r>
      <w:r w:rsidRPr="004F2709" w:rsidR="00C41124">
        <w:t xml:space="preserve">  </w:t>
      </w:r>
      <w:r w:rsidRPr="004F2709" w:rsidR="006D4007">
        <w:t xml:space="preserve">  </w:t>
      </w:r>
    </w:p>
    <w:p w:rsidR="0053704F" w:rsidP="004903AF" w14:paraId="68C925AA" w14:textId="6E5211BB">
      <w:pPr>
        <w:pStyle w:val="ParaNum"/>
      </w:pPr>
      <w:r w:rsidRPr="6484784A">
        <w:t>In 201</w:t>
      </w:r>
      <w:r w:rsidR="001C7002">
        <w:t>7</w:t>
      </w:r>
      <w:r w:rsidRPr="6484784A">
        <w:t>, the Commission revised the transparency rule to require providers to disclose information about their service in one of two ways—by providing the disclosure on a publicly available website or by submitting it to the FCC</w:t>
      </w:r>
      <w:r w:rsidR="00820417">
        <w:t>’s Electronic Comment Filing System</w:t>
      </w:r>
      <w:r w:rsidRPr="6484784A">
        <w:t>.</w:t>
      </w:r>
      <w:r>
        <w:rPr>
          <w:rStyle w:val="FootnoteReference"/>
        </w:rPr>
        <w:footnoteReference w:id="16"/>
      </w:r>
      <w:r w:rsidRPr="00EF6DC8">
        <w:t xml:space="preserve">  </w:t>
      </w:r>
      <w:r w:rsidRPr="6484784A" w:rsidR="00552485">
        <w:t>It also eliminated the broadband label safe harbor, suggesting such safe harbor was no longer necessary</w:t>
      </w:r>
      <w:r w:rsidR="00195D3F">
        <w:t>;</w:t>
      </w:r>
      <w:r>
        <w:rPr>
          <w:rStyle w:val="FootnoteReference"/>
        </w:rPr>
        <w:footnoteReference w:id="17"/>
      </w:r>
      <w:r w:rsidR="00195D3F">
        <w:t xml:space="preserve"> </w:t>
      </w:r>
      <w:r w:rsidRPr="6484784A" w:rsidR="00FE0EEE">
        <w:t xml:space="preserve">eliminated </w:t>
      </w:r>
      <w:r w:rsidRPr="6484784A" w:rsidR="00195D3F">
        <w:t>certain reporting obligations for providers;</w:t>
      </w:r>
      <w:r>
        <w:rPr>
          <w:rStyle w:val="FootnoteReference"/>
        </w:rPr>
        <w:footnoteReference w:id="18"/>
      </w:r>
      <w:r w:rsidRPr="6484784A" w:rsidR="00195D3F">
        <w:t xml:space="preserve"> and </w:t>
      </w:r>
      <w:r w:rsidRPr="6484784A" w:rsidR="00FE0EEE">
        <w:t xml:space="preserve">eliminated </w:t>
      </w:r>
      <w:r w:rsidRPr="6484784A" w:rsidR="008E5267">
        <w:t>the exemption for small</w:t>
      </w:r>
      <w:r w:rsidRPr="6484784A" w:rsidR="00D2082B">
        <w:t>er</w:t>
      </w:r>
      <w:r w:rsidRPr="6484784A" w:rsidR="008E5267">
        <w:t xml:space="preserve"> broadband providers</w:t>
      </w:r>
      <w:r w:rsidR="00C67D28">
        <w:t>.</w:t>
      </w:r>
      <w:r>
        <w:rPr>
          <w:rStyle w:val="FootnoteReference"/>
        </w:rPr>
        <w:footnoteReference w:id="19"/>
      </w:r>
      <w:r w:rsidRPr="6484784A" w:rsidR="00481525">
        <w:t xml:space="preserve">  Finally, the</w:t>
      </w:r>
      <w:r w:rsidR="0014762D">
        <w:t xml:space="preserve"> Commission also</w:t>
      </w:r>
      <w:r w:rsidR="00481525">
        <w:t xml:space="preserve"> </w:t>
      </w:r>
      <w:r w:rsidRPr="6484784A" w:rsidR="00FE0EEE">
        <w:t>withdrew</w:t>
      </w:r>
      <w:r w:rsidRPr="6484784A" w:rsidR="00481525">
        <w:t xml:space="preserve"> the direct notification requirement </w:t>
      </w:r>
      <w:r w:rsidRPr="6484784A" w:rsidR="002E4D2B">
        <w:t>adopted in</w:t>
      </w:r>
      <w:r w:rsidR="0014762D">
        <w:t xml:space="preserve"> 2015.</w:t>
      </w:r>
      <w:r>
        <w:rPr>
          <w:rStyle w:val="FootnoteReference"/>
        </w:rPr>
        <w:footnoteReference w:id="20"/>
      </w:r>
      <w:r w:rsidRPr="00F811AC" w:rsidR="002E4D2B">
        <w:t xml:space="preserve">  </w:t>
      </w:r>
    </w:p>
    <w:p w:rsidR="006D4007" w:rsidRPr="00DE457E" w:rsidP="004903AF" w14:paraId="119B36D5" w14:textId="5D7F1B88">
      <w:pPr>
        <w:pStyle w:val="Heading2"/>
      </w:pPr>
      <w:r>
        <w:t>T</w:t>
      </w:r>
      <w:r w:rsidR="008675C9">
        <w:t xml:space="preserve">he </w:t>
      </w:r>
      <w:r w:rsidR="000D20D5">
        <w:t xml:space="preserve">2021 </w:t>
      </w:r>
      <w:r w:rsidR="00C40EE8">
        <w:t>Infrastructure Investment and Jobs Act</w:t>
      </w:r>
    </w:p>
    <w:p w:rsidR="00300302" w:rsidP="004903AF" w14:paraId="0031D22F" w14:textId="1BFBEB21">
      <w:pPr>
        <w:pStyle w:val="ParaNum"/>
      </w:pPr>
      <w:r>
        <w:t>In 2021,</w:t>
      </w:r>
      <w:r w:rsidR="00861C6E">
        <w:t xml:space="preserve"> Congress enacted and the President signed the</w:t>
      </w:r>
      <w:r w:rsidRPr="1C14CCCF" w:rsidR="007723D5">
        <w:t xml:space="preserve"> </w:t>
      </w:r>
      <w:r w:rsidRPr="1C14CCCF" w:rsidR="00F33B4C">
        <w:t>Infrastructure Act</w:t>
      </w:r>
      <w:r w:rsidR="008675C9">
        <w:t>,</w:t>
      </w:r>
      <w:r w:rsidR="00861C6E">
        <w:t xml:space="preserve"> which</w:t>
      </w:r>
      <w:r w:rsidRPr="1C14CCCF" w:rsidR="00C07A5D">
        <w:t>, in relevant part,</w:t>
      </w:r>
      <w:r w:rsidRPr="1C14CCCF" w:rsidR="00F33B4C">
        <w:t xml:space="preserve"> directs the Commission “[n]</w:t>
      </w:r>
      <w:r w:rsidRPr="1C14CCCF" w:rsidR="00F33B4C">
        <w:t>ot</w:t>
      </w:r>
      <w:r w:rsidRPr="1C14CCCF" w:rsidR="00F33B4C">
        <w:t xml:space="preserve"> later than 1 year after the date of enactment of </w:t>
      </w:r>
      <w:r w:rsidRPr="1C14CCCF" w:rsidR="00F33B4C">
        <w:t>th</w:t>
      </w:r>
      <w:r w:rsidRPr="1C14CCCF" w:rsidR="00F33B4C">
        <w:t xml:space="preserve">[e] Act, to promulgate regulations to require the display of broadband consumer labels, as described in the Public </w:t>
      </w:r>
      <w:r w:rsidRPr="1C14CCCF" w:rsidR="00F33B4C">
        <w:t xml:space="preserve">Notice of the Commission issued on April 4, 2016 (DA 16–357), to disclose to consumers information regarding broadband </w:t>
      </w:r>
      <w:r w:rsidR="00DA106B">
        <w:t>i</w:t>
      </w:r>
      <w:r w:rsidRPr="1C14CCCF" w:rsidR="00F33B4C">
        <w:t>nternet access service plans.”</w:t>
      </w:r>
      <w:r>
        <w:rPr>
          <w:rStyle w:val="FootnoteReference"/>
        </w:rPr>
        <w:footnoteReference w:id="21"/>
      </w:r>
      <w:r w:rsidRPr="1C14CCCF" w:rsidR="00F33B4C">
        <w:t xml:space="preserve">  Further, the Infrastructure</w:t>
      </w:r>
      <w:r w:rsidR="00067E72">
        <w:t xml:space="preserve"> </w:t>
      </w:r>
      <w:r w:rsidRPr="1C14CCCF" w:rsidR="00F33B4C">
        <w:t>Act requires that any broadband consumer label adopted by the Commission “shall include information regarding whether the offered price is an introductory rate and, if so, the price the consumer will be required to pay following the introductory period.”</w:t>
      </w:r>
      <w:r>
        <w:rPr>
          <w:rStyle w:val="FootnoteReference"/>
        </w:rPr>
        <w:footnoteReference w:id="22"/>
      </w:r>
      <w:r w:rsidR="007723D5">
        <w:t xml:space="preserve">  </w:t>
      </w:r>
    </w:p>
    <w:p w:rsidR="006D4007" w:rsidRPr="007723D5" w:rsidP="004903AF" w14:paraId="2ED57A01" w14:textId="59E248B1">
      <w:pPr>
        <w:pStyle w:val="ParaNum"/>
      </w:pPr>
      <w:r w:rsidRPr="1C14CCCF">
        <w:t>The Infrastructure Act also directs the Commission to conduct a series of public hearings to assess</w:t>
      </w:r>
      <w:r w:rsidRPr="1C14CCCF" w:rsidR="0026606F">
        <w:t>: 1)</w:t>
      </w:r>
      <w:r w:rsidRPr="1C14CCCF">
        <w:t xml:space="preserve"> how consumers evaluate broadband </w:t>
      </w:r>
      <w:r w:rsidR="00083865">
        <w:t>I</w:t>
      </w:r>
      <w:r w:rsidRPr="1C14CCCF">
        <w:t xml:space="preserve">nternet </w:t>
      </w:r>
      <w:r w:rsidR="00605079">
        <w:t xml:space="preserve">access </w:t>
      </w:r>
      <w:r w:rsidRPr="1C14CCCF">
        <w:t>service plans</w:t>
      </w:r>
      <w:r w:rsidRPr="1C14CCCF" w:rsidR="0026606F">
        <w:t>;</w:t>
      </w:r>
      <w:r w:rsidRPr="1C14CCCF">
        <w:t xml:space="preserve"> and </w:t>
      </w:r>
      <w:r w:rsidRPr="1C14CCCF" w:rsidR="0026606F">
        <w:t xml:space="preserve">2) </w:t>
      </w:r>
      <w:r w:rsidRPr="1C14CCCF">
        <w:t>whether disclosure</w:t>
      </w:r>
      <w:r w:rsidRPr="1C14CCCF" w:rsidR="00063B55">
        <w:t>s</w:t>
      </w:r>
      <w:r w:rsidRPr="1C14CCCF" w:rsidR="0026606F">
        <w:t xml:space="preserve"> to consumers of information regarding broadband </w:t>
      </w:r>
      <w:r w:rsidR="00DF5F41">
        <w:t>I</w:t>
      </w:r>
      <w:r w:rsidRPr="1C14CCCF" w:rsidR="0026606F">
        <w:t>nternet access service plans</w:t>
      </w:r>
      <w:r w:rsidRPr="1C14CCCF">
        <w:t xml:space="preserve">, including the disclosures </w:t>
      </w:r>
      <w:r w:rsidRPr="1C14CCCF" w:rsidR="0026606F">
        <w:t xml:space="preserve">required </w:t>
      </w:r>
      <w:r w:rsidRPr="1C14CCCF">
        <w:t>under 47 CFR § 8.1</w:t>
      </w:r>
      <w:r w:rsidR="00A95F34">
        <w:t>,</w:t>
      </w:r>
      <w:r w:rsidRPr="1C14CCCF">
        <w:t xml:space="preserve"> are available, effective, and sufficient.</w:t>
      </w:r>
      <w:r>
        <w:rPr>
          <w:rStyle w:val="FootnoteReference"/>
        </w:rPr>
        <w:footnoteReference w:id="23"/>
      </w:r>
    </w:p>
    <w:bookmarkEnd w:id="27"/>
    <w:p w:rsidR="003C108D" w:rsidRPr="00DE457E" w:rsidP="004903AF" w14:paraId="172D6446" w14:textId="77777777">
      <w:pPr>
        <w:pStyle w:val="Heading1"/>
      </w:pPr>
      <w:r w:rsidRPr="00DE457E">
        <w:t>DISCUSSION</w:t>
      </w:r>
    </w:p>
    <w:p w:rsidR="00413C4D" w:rsidP="004903AF" w14:paraId="54223E4C" w14:textId="2C164BDF">
      <w:pPr>
        <w:pStyle w:val="ParaNum"/>
      </w:pPr>
      <w:bookmarkStart w:id="28" w:name="_Hlk48558276"/>
      <w:r w:rsidRPr="1C14CCCF">
        <w:t>We initiate this proceeding to implement section 6</w:t>
      </w:r>
      <w:r w:rsidRPr="1C14CCCF" w:rsidR="00B459C6">
        <w:t>0</w:t>
      </w:r>
      <w:r w:rsidRPr="1C14CCCF">
        <w:t>504 of the Infrastructure Act</w:t>
      </w:r>
      <w:r w:rsidR="007D5AE4">
        <w:t>,</w:t>
      </w:r>
      <w:r w:rsidR="009C7F6F">
        <w:t xml:space="preserve"> and </w:t>
      </w:r>
      <w:r w:rsidR="007D5AE4">
        <w:t>propos</w:t>
      </w:r>
      <w:r w:rsidR="009C7F6F">
        <w:t>e</w:t>
      </w:r>
      <w:r w:rsidR="007D5AE4">
        <w:t xml:space="preserve"> to require </w:t>
      </w:r>
      <w:r w:rsidR="004108E1">
        <w:t>ISPs</w:t>
      </w:r>
      <w:r>
        <w:t xml:space="preserve"> to display </w:t>
      </w:r>
      <w:r w:rsidR="007D5AE4">
        <w:t xml:space="preserve">the 2016 </w:t>
      </w:r>
      <w:r>
        <w:t>labels, with any necessary modifications</w:t>
      </w:r>
      <w:r w:rsidRPr="1C14CCCF">
        <w:t xml:space="preserve">. </w:t>
      </w:r>
      <w:r w:rsidRPr="002C3B36" w:rsidR="002C3B36">
        <w:t xml:space="preserve"> </w:t>
      </w:r>
    </w:p>
    <w:p w:rsidR="009F29C5" w:rsidP="004903AF" w14:paraId="0A58A974" w14:textId="03EF31A8">
      <w:pPr>
        <w:pStyle w:val="ParaNum"/>
      </w:pPr>
      <w:r w:rsidRPr="1C14CCCF">
        <w:t xml:space="preserve">As a preliminary matter, </w:t>
      </w:r>
      <w:r w:rsidR="009244B2">
        <w:t xml:space="preserve">we seek comment on the extent to which the Infrastructure Act requires or permits the Commission to depart from the labels described in the </w:t>
      </w:r>
      <w:r w:rsidRPr="00AD24DD" w:rsidR="009244B2">
        <w:rPr>
          <w:i/>
        </w:rPr>
        <w:t>2016 Public Notice</w:t>
      </w:r>
      <w:r w:rsidR="009244B2">
        <w:t xml:space="preserve">.  </w:t>
      </w:r>
      <w:r w:rsidR="009277F3">
        <w:t>For example, s</w:t>
      </w:r>
      <w:r w:rsidR="0085713F">
        <w:t xml:space="preserve">ection 60504(a) </w:t>
      </w:r>
      <w:r w:rsidR="00AE0EE8">
        <w:t xml:space="preserve">directs the Commission to </w:t>
      </w:r>
      <w:r w:rsidR="009D43C8">
        <w:t>adopt broadband consumer labels</w:t>
      </w:r>
      <w:r w:rsidR="00101971">
        <w:t xml:space="preserve"> </w:t>
      </w:r>
      <w:r w:rsidR="00705A98">
        <w:t>“</w:t>
      </w:r>
      <w:r w:rsidR="00101971">
        <w:t>as described</w:t>
      </w:r>
      <w:r w:rsidR="00705A98">
        <w:t>”</w:t>
      </w:r>
      <w:r w:rsidR="00101971">
        <w:t xml:space="preserve"> </w:t>
      </w:r>
      <w:r w:rsidR="00605079">
        <w:t>in the notice</w:t>
      </w:r>
      <w:r w:rsidR="00101971">
        <w:t>.</w:t>
      </w:r>
      <w:r>
        <w:rPr>
          <w:rStyle w:val="FootnoteReference"/>
        </w:rPr>
        <w:footnoteReference w:id="24"/>
      </w:r>
      <w:r w:rsidR="00101971">
        <w:t xml:space="preserve">  </w:t>
      </w:r>
      <w:r w:rsidR="00520609">
        <w:t xml:space="preserve">Meanwhile, </w:t>
      </w:r>
      <w:r w:rsidR="007F785C">
        <w:t>t</w:t>
      </w:r>
      <w:r w:rsidRPr="1C14CCCF">
        <w:t xml:space="preserve">he law </w:t>
      </w:r>
      <w:r w:rsidR="009277F3">
        <w:t xml:space="preserve">also </w:t>
      </w:r>
      <w:r w:rsidRPr="1C14CCCF">
        <w:t xml:space="preserve">directs the Commission to ensure that </w:t>
      </w:r>
      <w:r w:rsidRPr="1C14CCCF" w:rsidR="0056372C">
        <w:t xml:space="preserve">the broadband </w:t>
      </w:r>
      <w:r w:rsidRPr="1C14CCCF">
        <w:t>labels we adopt include information regarding whether the offered price is an introductory rate</w:t>
      </w:r>
      <w:r w:rsidR="00286FA7">
        <w:t xml:space="preserve">, </w:t>
      </w:r>
      <w:r w:rsidR="008675C9">
        <w:t xml:space="preserve">which is </w:t>
      </w:r>
      <w:r w:rsidR="00A049E0">
        <w:t xml:space="preserve">information that </w:t>
      </w:r>
      <w:r w:rsidR="00815AA9">
        <w:t>may</w:t>
      </w:r>
      <w:r w:rsidR="00A049E0">
        <w:t xml:space="preserve"> not </w:t>
      </w:r>
      <w:r w:rsidR="00815AA9">
        <w:t xml:space="preserve">be </w:t>
      </w:r>
      <w:r w:rsidR="00A049E0">
        <w:t xml:space="preserve">included </w:t>
      </w:r>
      <w:r w:rsidR="00815AA9">
        <w:t xml:space="preserve">with sufficient specificity </w:t>
      </w:r>
      <w:r w:rsidR="00A049E0">
        <w:t>in the labels approved in 2016</w:t>
      </w:r>
      <w:r w:rsidRPr="004178B5" w:rsidR="007C7AF6">
        <w:t>.</w:t>
      </w:r>
      <w:r>
        <w:rPr>
          <w:rStyle w:val="FootnoteReference"/>
        </w:rPr>
        <w:footnoteReference w:id="25"/>
      </w:r>
      <w:r w:rsidRPr="1C14CCCF" w:rsidR="007C7AF6">
        <w:t xml:space="preserve">  </w:t>
      </w:r>
    </w:p>
    <w:p w:rsidR="00737FD4" w:rsidRPr="004178B5" w:rsidP="0040325F" w14:paraId="40D6FF5A" w14:textId="4C028FFB">
      <w:pPr>
        <w:pStyle w:val="ParaNum"/>
      </w:pPr>
      <w:r>
        <w:t xml:space="preserve">Further, </w:t>
      </w:r>
      <w:r w:rsidR="003D2C79">
        <w:t>the law</w:t>
      </w:r>
      <w:r w:rsidRPr="1C14CCCF" w:rsidR="007C7AF6">
        <w:t xml:space="preserve"> also requires the Commission to conduct a series of public hearings to assess, </w:t>
      </w:r>
      <w:r w:rsidRPr="19DA17CD" w:rsidR="007C7AF6">
        <w:rPr>
          <w:i/>
          <w:iCs/>
        </w:rPr>
        <w:t>at the time of the proceeding</w:t>
      </w:r>
      <w:r w:rsidRPr="00525EE8" w:rsidR="001B464A">
        <w:rPr>
          <w:iCs/>
        </w:rPr>
        <w:t>,</w:t>
      </w:r>
      <w:r w:rsidRPr="1C14CCCF" w:rsidR="007C7AF6">
        <w:t xml:space="preserve"> how consumers evaluate broadband </w:t>
      </w:r>
      <w:r w:rsidR="00DA106B">
        <w:t>I</w:t>
      </w:r>
      <w:r w:rsidRPr="1C14CCCF" w:rsidR="007C7AF6">
        <w:t xml:space="preserve">nternet </w:t>
      </w:r>
      <w:r w:rsidR="009C7F6F">
        <w:t xml:space="preserve">access </w:t>
      </w:r>
      <w:r w:rsidRPr="1C14CCCF" w:rsidR="007C7AF6">
        <w:t>service plans</w:t>
      </w:r>
      <w:r w:rsidRPr="1C14CCCF" w:rsidR="00C35940">
        <w:t xml:space="preserve"> and </w:t>
      </w:r>
      <w:r w:rsidRPr="1C14CCCF" w:rsidR="007C7AF6">
        <w:t xml:space="preserve">whether disclosures to consumers, including the disclosures required </w:t>
      </w:r>
      <w:r w:rsidRPr="1C14CCCF" w:rsidR="00C35940">
        <w:t xml:space="preserve">by the transparency rule, </w:t>
      </w:r>
      <w:r w:rsidRPr="1C14CCCF" w:rsidR="007C7AF6">
        <w:t>are sufficient.</w:t>
      </w:r>
      <w:r>
        <w:rPr>
          <w:rStyle w:val="FootnoteReference"/>
        </w:rPr>
        <w:footnoteReference w:id="26"/>
      </w:r>
      <w:r w:rsidRPr="004178B5" w:rsidR="000768C0">
        <w:t xml:space="preserve">  </w:t>
      </w:r>
      <w:r w:rsidR="00EB3043">
        <w:t xml:space="preserve"> </w:t>
      </w:r>
    </w:p>
    <w:p w:rsidR="00471641" w:rsidRPr="00130DB7" w:rsidP="004903AF" w14:paraId="2112D7E5" w14:textId="73FF4045">
      <w:pPr>
        <w:pStyle w:val="Heading2"/>
      </w:pPr>
      <w:r>
        <w:t xml:space="preserve">Proposed Broadband </w:t>
      </w:r>
      <w:r w:rsidR="00747BEF">
        <w:t xml:space="preserve">Consumer </w:t>
      </w:r>
      <w:r>
        <w:t>Labels</w:t>
      </w:r>
      <w:r>
        <w:t xml:space="preserve"> </w:t>
      </w:r>
    </w:p>
    <w:p w:rsidR="008128E1" w:rsidRPr="008128E1" w:rsidP="004903AF" w14:paraId="0A7FCCCE" w14:textId="614B2B55">
      <w:pPr>
        <w:pStyle w:val="ParaNum"/>
      </w:pPr>
      <w:r w:rsidRPr="1C14CCCF">
        <w:t xml:space="preserve">The Infrastructure Act directs the Commission to </w:t>
      </w:r>
      <w:r w:rsidRPr="1C14CCCF" w:rsidR="00736E49">
        <w:t xml:space="preserve">adopt rules </w:t>
      </w:r>
      <w:r w:rsidRPr="1C14CCCF">
        <w:t>requir</w:t>
      </w:r>
      <w:r w:rsidRPr="1C14CCCF" w:rsidR="00736E49">
        <w:t>ing</w:t>
      </w:r>
      <w:r w:rsidRPr="1C14CCCF">
        <w:t xml:space="preserve"> the </w:t>
      </w:r>
      <w:r w:rsidRPr="1C14CCCF" w:rsidR="00736E49">
        <w:t>display</w:t>
      </w:r>
      <w:r w:rsidRPr="1C14CCCF">
        <w:t xml:space="preserve"> of broadband </w:t>
      </w:r>
      <w:r w:rsidRPr="1C14CCCF" w:rsidR="006568D6">
        <w:t xml:space="preserve">consumer </w:t>
      </w:r>
      <w:r w:rsidRPr="1C14CCCF">
        <w:t xml:space="preserve">labels, as described in the Commission’s </w:t>
      </w:r>
      <w:r w:rsidRPr="00AD24DD">
        <w:rPr>
          <w:i/>
        </w:rPr>
        <w:t>2016 Public Notice</w:t>
      </w:r>
      <w:r w:rsidRPr="1C14CCCF">
        <w:t>.</w:t>
      </w:r>
      <w:r>
        <w:rPr>
          <w:rStyle w:val="FootnoteReference"/>
        </w:rPr>
        <w:footnoteReference w:id="27"/>
      </w:r>
      <w:r w:rsidRPr="1C14CCCF">
        <w:t xml:space="preserve">  We therefore propose to adopt the </w:t>
      </w:r>
      <w:r w:rsidR="62AA9868">
        <w:t xml:space="preserve">2016 </w:t>
      </w:r>
      <w:r w:rsidRPr="1C14CCCF" w:rsidR="001D0C9F">
        <w:t>labels</w:t>
      </w:r>
      <w:r w:rsidR="00317716">
        <w:t xml:space="preserve"> </w:t>
      </w:r>
      <w:r w:rsidR="006464E0">
        <w:t xml:space="preserve">subject to </w:t>
      </w:r>
      <w:r w:rsidR="00244A8B">
        <w:t>appropriate modifications</w:t>
      </w:r>
      <w:r w:rsidR="00317716">
        <w:t xml:space="preserve"> </w:t>
      </w:r>
      <w:r w:rsidR="00CC27FD">
        <w:t>as described below</w:t>
      </w:r>
      <w:r w:rsidR="00795BDC">
        <w:t>,</w:t>
      </w:r>
      <w:r w:rsidRPr="1C14CCCF" w:rsidR="001D0C9F">
        <w:t xml:space="preserve"> </w:t>
      </w:r>
      <w:r w:rsidR="00317716">
        <w:t xml:space="preserve">which </w:t>
      </w:r>
      <w:r w:rsidR="00270F2F">
        <w:t xml:space="preserve">we tentatively conclude </w:t>
      </w:r>
      <w:r w:rsidRPr="1C14CCCF" w:rsidR="00045A3E">
        <w:t>includ</w:t>
      </w:r>
      <w:r w:rsidR="00317716">
        <w:t>e</w:t>
      </w:r>
      <w:r w:rsidRPr="1C14CCCF" w:rsidR="00045A3E">
        <w:t xml:space="preserve"> </w:t>
      </w:r>
      <w:r w:rsidRPr="1C14CCCF">
        <w:t>critical information</w:t>
      </w:r>
      <w:r w:rsidRPr="1C14CCCF" w:rsidR="00045A3E">
        <w:t xml:space="preserve"> consumers need </w:t>
      </w:r>
      <w:r w:rsidRPr="1C14CCCF" w:rsidR="00C46A95">
        <w:t xml:space="preserve">today </w:t>
      </w:r>
      <w:r w:rsidRPr="1C14CCCF" w:rsidR="00045A3E">
        <w:t xml:space="preserve">to make informed decisions in the broadband marketplace.  We seek comment on this determination and further ask whether anything has changed since the CAC developed the labels that suggests we should consider </w:t>
      </w:r>
      <w:r w:rsidRPr="1C14CCCF" w:rsidR="00AF1F20">
        <w:t>updating the labels in terms of</w:t>
      </w:r>
      <w:r w:rsidRPr="1C14CCCF" w:rsidR="00045A3E">
        <w:t xml:space="preserve"> content</w:t>
      </w:r>
      <w:r w:rsidRPr="1C14CCCF" w:rsidR="00B13C5D">
        <w:t xml:space="preserve"> and </w:t>
      </w:r>
      <w:r w:rsidRPr="1C14CCCF" w:rsidR="00CB3A67">
        <w:t>format</w:t>
      </w:r>
      <w:r w:rsidR="003B5D59">
        <w:t>,</w:t>
      </w:r>
      <w:r w:rsidRPr="1C14CCCF" w:rsidR="00B13C5D">
        <w:t xml:space="preserve"> and</w:t>
      </w:r>
      <w:r w:rsidR="00C00F74">
        <w:t xml:space="preserve"> </w:t>
      </w:r>
      <w:r w:rsidRPr="1C14CCCF" w:rsidR="00CC1639">
        <w:t xml:space="preserve">providing new guidance about </w:t>
      </w:r>
      <w:r w:rsidRPr="1C14CCCF" w:rsidR="00CB3A67">
        <w:t xml:space="preserve">where </w:t>
      </w:r>
      <w:r w:rsidR="00CD2BAF">
        <w:t>ISPs</w:t>
      </w:r>
      <w:r w:rsidRPr="1C14CCCF" w:rsidR="00AF1F20">
        <w:t xml:space="preserve"> </w:t>
      </w:r>
      <w:r w:rsidRPr="1C14CCCF" w:rsidR="00CC1639">
        <w:t xml:space="preserve">must </w:t>
      </w:r>
      <w:r w:rsidRPr="1C14CCCF" w:rsidR="00AF1F20">
        <w:t xml:space="preserve">display </w:t>
      </w:r>
      <w:r w:rsidRPr="1C14CCCF" w:rsidR="00CB3A67">
        <w:t>such labels</w:t>
      </w:r>
      <w:r w:rsidR="00045A3E">
        <w:t xml:space="preserve">. </w:t>
      </w:r>
    </w:p>
    <w:p w:rsidR="00045A3E" w:rsidRPr="00460411" w:rsidP="004903AF" w14:paraId="6B4EA099" w14:textId="2F2C03A6">
      <w:pPr>
        <w:pStyle w:val="ParaNum"/>
      </w:pPr>
      <w:r>
        <w:t xml:space="preserve">We </w:t>
      </w:r>
      <w:r w:rsidR="0023076B">
        <w:t>also s</w:t>
      </w:r>
      <w:r>
        <w:t xml:space="preserve">eek comment on how consumers evaluate broadband service plans and </w:t>
      </w:r>
      <w:r w:rsidR="00496DDC">
        <w:t>whether</w:t>
      </w:r>
      <w:r>
        <w:t xml:space="preserve"> the </w:t>
      </w:r>
      <w:r w:rsidR="00B12B25">
        <w:t xml:space="preserve">2016 </w:t>
      </w:r>
      <w:r>
        <w:t xml:space="preserve">labels </w:t>
      </w:r>
      <w:r w:rsidR="00B13C5D">
        <w:t xml:space="preserve">will </w:t>
      </w:r>
      <w:r>
        <w:t>assist consumers with th</w:t>
      </w:r>
      <w:r w:rsidR="00C23E3E">
        <w:t>e</w:t>
      </w:r>
      <w:r>
        <w:t xml:space="preserve"> purchase process.</w:t>
      </w:r>
      <w:r w:rsidR="00B13C5D">
        <w:t xml:space="preserve">  </w:t>
      </w:r>
      <w:r w:rsidR="00AF1AD3">
        <w:t>Should we consider</w:t>
      </w:r>
      <w:r w:rsidR="008128E1">
        <w:t xml:space="preserve"> updat</w:t>
      </w:r>
      <w:r w:rsidR="00AF1AD3">
        <w:t>ing</w:t>
      </w:r>
      <w:r w:rsidR="008128E1">
        <w:t xml:space="preserve"> the labels </w:t>
      </w:r>
      <w:r w:rsidR="008128E1">
        <w:t>to assist consumers with: 1) selecting a broadband provider; 2) selecting a broadband service plan; 3) managing use of a broadband service plan; and 4) deciding whether and when to switch an existing broadband provider or plan</w:t>
      </w:r>
      <w:r w:rsidR="00AF1AD3">
        <w:t>?</w:t>
      </w:r>
      <w:r w:rsidR="008128E1">
        <w:t xml:space="preserve">  </w:t>
      </w:r>
      <w:r w:rsidR="00C07C95">
        <w:t>W</w:t>
      </w:r>
      <w:r w:rsidR="00AF1AD3">
        <w:t>e also</w:t>
      </w:r>
      <w:r w:rsidR="00C07C95">
        <w:t xml:space="preserve"> seek comment on h</w:t>
      </w:r>
      <w:r w:rsidR="00B13C5D">
        <w:t xml:space="preserve">ow </w:t>
      </w:r>
      <w:r w:rsidR="00F449E6">
        <w:t>ISPs</w:t>
      </w:r>
      <w:r w:rsidR="00B13C5D">
        <w:t xml:space="preserve"> currently </w:t>
      </w:r>
      <w:r w:rsidR="001E3910">
        <w:t>disclose</w:t>
      </w:r>
      <w:r w:rsidR="00B13C5D">
        <w:t xml:space="preserve"> information about their broadband services</w:t>
      </w:r>
      <w:r w:rsidR="001E3910">
        <w:t>.</w:t>
      </w:r>
      <w:r>
        <w:rPr>
          <w:rStyle w:val="FootnoteReference"/>
        </w:rPr>
        <w:footnoteReference w:id="28"/>
      </w:r>
      <w:r w:rsidR="00776FA3">
        <w:t xml:space="preserve">  </w:t>
      </w:r>
      <w:r w:rsidR="00640209">
        <w:t>H</w:t>
      </w:r>
      <w:r w:rsidR="00776FA3">
        <w:t xml:space="preserve">ow should </w:t>
      </w:r>
      <w:r w:rsidR="004A262E">
        <w:t xml:space="preserve">their </w:t>
      </w:r>
      <w:r w:rsidR="00776FA3">
        <w:t>current practices inform our decisions about the labels we adopt going forward?</w:t>
      </w:r>
      <w:r w:rsidR="00B13C5D">
        <w:t xml:space="preserve"> </w:t>
      </w:r>
      <w:r>
        <w:t xml:space="preserve"> </w:t>
      </w:r>
      <w:r w:rsidRPr="006D1E49" w:rsidR="00294855">
        <w:rPr>
          <w:snapToGrid/>
          <w:kern w:val="0"/>
          <w:szCs w:val="22"/>
        </w:rPr>
        <w:t xml:space="preserve">Additionally, we seek comment on the scope of broadband service plans to which the labels requirement should apply. </w:t>
      </w:r>
      <w:r w:rsidR="00294855">
        <w:rPr>
          <w:szCs w:val="22"/>
        </w:rPr>
        <w:t xml:space="preserve"> </w:t>
      </w:r>
      <w:r w:rsidRPr="006D1E49" w:rsidR="00294855">
        <w:rPr>
          <w:snapToGrid/>
          <w:kern w:val="0"/>
          <w:szCs w:val="22"/>
        </w:rPr>
        <w:t>For example, how should providers treat plans that are not currently available for purchase by consumers, such as legacy or grandfathered plans?</w:t>
      </w:r>
      <w:r>
        <w:rPr>
          <w:rStyle w:val="FootnoteReference"/>
          <w:szCs w:val="22"/>
        </w:rPr>
        <w:footnoteReference w:id="29"/>
      </w:r>
    </w:p>
    <w:p w:rsidR="00576623" w:rsidRPr="000A315A" w:rsidP="004903AF" w14:paraId="1CFC0E77" w14:textId="2863DD7F">
      <w:pPr>
        <w:pStyle w:val="Heading3"/>
      </w:pPr>
      <w:r w:rsidRPr="000A315A">
        <w:t>Content</w:t>
      </w:r>
      <w:r w:rsidRPr="000A315A" w:rsidR="00C46A95">
        <w:t xml:space="preserve"> </w:t>
      </w:r>
    </w:p>
    <w:p w:rsidR="00AB5733" w:rsidRPr="00AB5733" w:rsidP="004903AF" w14:paraId="2777424D" w14:textId="094D93D4">
      <w:pPr>
        <w:pStyle w:val="ParaNum"/>
        <w:rPr>
          <w:rFonts w:eastAsiaTheme="minorEastAsia"/>
        </w:rPr>
      </w:pPr>
      <w:r>
        <w:t>W</w:t>
      </w:r>
      <w:r w:rsidR="00CB3A67">
        <w:t xml:space="preserve">e propose </w:t>
      </w:r>
      <w:r w:rsidR="00DF1E67">
        <w:t>to</w:t>
      </w:r>
      <w:r w:rsidR="00CB3A67">
        <w:t xml:space="preserve"> adopt the </w:t>
      </w:r>
      <w:r w:rsidR="00077A93">
        <w:t xml:space="preserve">content of the 2016 </w:t>
      </w:r>
      <w:r w:rsidR="00CB3A67">
        <w:t>labels</w:t>
      </w:r>
      <w:r w:rsidR="00676BEA">
        <w:t>, both for fixed and mobile broadband services,</w:t>
      </w:r>
      <w:r w:rsidR="00CB3A67">
        <w:t xml:space="preserve"> </w:t>
      </w:r>
      <w:r w:rsidR="004C2CFA">
        <w:t>with appropriate modifications</w:t>
      </w:r>
      <w:r w:rsidR="00CB3A67">
        <w:t xml:space="preserve">.  </w:t>
      </w:r>
      <w:r w:rsidR="00776F2F">
        <w:t>As reflected in Appendix B, the</w:t>
      </w:r>
      <w:r w:rsidR="0028228B">
        <w:t xml:space="preserve"> 2016</w:t>
      </w:r>
      <w:r w:rsidR="00CB3A67">
        <w:t xml:space="preserve"> labels</w:t>
      </w:r>
      <w:r w:rsidR="00C76E95">
        <w:t xml:space="preserve"> for fixed broadband service</w:t>
      </w:r>
      <w:r w:rsidR="00CB3A67">
        <w:t xml:space="preserve"> include the following content: 1) pricing; 2) monthly data allowance; 3) overage charges; 4) equipment fees; 5) other monthly fees; 6) </w:t>
      </w:r>
      <w:r w:rsidR="00706B16">
        <w:t>one-</w:t>
      </w:r>
      <w:r w:rsidR="00CB3A67">
        <w:t xml:space="preserve">time fees; and 7) early termination fees.  </w:t>
      </w:r>
      <w:r w:rsidR="001D6191">
        <w:t xml:space="preserve">The </w:t>
      </w:r>
      <w:r w:rsidR="0028228B">
        <w:t xml:space="preserve">2016 </w:t>
      </w:r>
      <w:r w:rsidR="001D6191">
        <w:t xml:space="preserve">labels also include information on performance (speed, latency, and packet loss) and on network management practices.  </w:t>
      </w:r>
      <w:r w:rsidR="00776F2F">
        <w:t xml:space="preserve">As reflected in Appendix C, the </w:t>
      </w:r>
      <w:r w:rsidR="0028228B">
        <w:t>2016 l</w:t>
      </w:r>
      <w:r w:rsidR="001D6191">
        <w:t xml:space="preserve">abels for mobile broadband service </w:t>
      </w:r>
      <w:r w:rsidR="00633FEA">
        <w:t xml:space="preserve">include </w:t>
      </w:r>
      <w:r w:rsidR="001D6191">
        <w:t xml:space="preserve">information on: 1) pricing; 2) when you exceed data allowance; 3) other included services/features; 4) other monthly fees; 5) </w:t>
      </w:r>
      <w:r w:rsidR="00C04B4E">
        <w:t>one-</w:t>
      </w:r>
      <w:r w:rsidR="001D6191">
        <w:t xml:space="preserve">time fees; 6) service contract terms; 7) early termination fees; </w:t>
      </w:r>
      <w:r w:rsidR="00633FEA">
        <w:t xml:space="preserve">and </w:t>
      </w:r>
      <w:r w:rsidR="001D6191">
        <w:t xml:space="preserve">8) </w:t>
      </w:r>
      <w:r w:rsidR="00633FEA">
        <w:t>“</w:t>
      </w:r>
      <w:r w:rsidR="001D6191">
        <w:t>bring your own device</w:t>
      </w:r>
      <w:r w:rsidR="00633FEA">
        <w:t>”</w:t>
      </w:r>
      <w:r w:rsidR="001D6191">
        <w:t xml:space="preserve"> information.  The mobile broadband labels also include performance information (speed, latency, </w:t>
      </w:r>
      <w:r w:rsidR="00E85014">
        <w:t xml:space="preserve">and </w:t>
      </w:r>
      <w:r w:rsidR="001D6191">
        <w:t>other services on</w:t>
      </w:r>
      <w:r w:rsidR="00484A98">
        <w:t xml:space="preserve"> the</w:t>
      </w:r>
      <w:r w:rsidR="001D6191">
        <w:t xml:space="preserve"> network) and network management practices.  </w:t>
      </w:r>
      <w:r w:rsidR="005D22D6">
        <w:t xml:space="preserve">Both </w:t>
      </w:r>
      <w:r w:rsidR="006D5A49">
        <w:t xml:space="preserve">the </w:t>
      </w:r>
      <w:r w:rsidR="005D22D6">
        <w:t>fixed and mobile broadband labels include a link to the provider’s privacy policy and a link to how to file complaints</w:t>
      </w:r>
      <w:r w:rsidR="00633FEA">
        <w:t xml:space="preserve"> and </w:t>
      </w:r>
      <w:r w:rsidR="005D22D6">
        <w:t>inquiries.</w:t>
      </w:r>
    </w:p>
    <w:p w:rsidR="00F3017E" w:rsidRPr="00DD5AFB" w:rsidP="004903AF" w14:paraId="46046A07" w14:textId="54F119A6">
      <w:pPr>
        <w:pStyle w:val="ParaNum"/>
      </w:pPr>
      <w:r>
        <w:t xml:space="preserve">We </w:t>
      </w:r>
      <w:r w:rsidR="00E955FA">
        <w:t xml:space="preserve">propose </w:t>
      </w:r>
      <w:r w:rsidR="0078180D">
        <w:t>to</w:t>
      </w:r>
      <w:r w:rsidR="001F5F05">
        <w:t xml:space="preserve"> adopt</w:t>
      </w:r>
      <w:r w:rsidR="00E955FA">
        <w:t xml:space="preserve"> the 2016 labels because </w:t>
      </w:r>
      <w:r w:rsidR="6677E72E">
        <w:t xml:space="preserve">section 60504 of the Infrastructure Act </w:t>
      </w:r>
      <w:r w:rsidR="778D0590">
        <w:t>directs</w:t>
      </w:r>
      <w:r w:rsidR="00E955FA">
        <w:t xml:space="preserve"> us to</w:t>
      </w:r>
      <w:r w:rsidR="778D0590">
        <w:t xml:space="preserve"> </w:t>
      </w:r>
      <w:r w:rsidR="00823A16">
        <w:t>begin our inquiry</w:t>
      </w:r>
      <w:r w:rsidR="778D0590">
        <w:t xml:space="preserve"> there</w:t>
      </w:r>
      <w:r w:rsidR="05120A78">
        <w:t>.</w:t>
      </w:r>
      <w:r>
        <w:rPr>
          <w:rStyle w:val="FootnoteReference"/>
        </w:rPr>
        <w:footnoteReference w:id="30"/>
      </w:r>
      <w:r w:rsidR="00E955FA">
        <w:t xml:space="preserve">  We also</w:t>
      </w:r>
      <w:r>
        <w:t xml:space="preserve"> </w:t>
      </w:r>
      <w:r w:rsidR="000F4A86">
        <w:t>believe</w:t>
      </w:r>
      <w:r>
        <w:t xml:space="preserve"> </w:t>
      </w:r>
      <w:r w:rsidR="008529FE">
        <w:t xml:space="preserve">that the content of the 2016 labels, </w:t>
      </w:r>
      <w:r w:rsidR="00937FF5">
        <w:t xml:space="preserve">which appear to include </w:t>
      </w:r>
      <w:r w:rsidR="004C0924">
        <w:t xml:space="preserve">information </w:t>
      </w:r>
      <w:r w:rsidR="00937FF5">
        <w:t xml:space="preserve">consumers continue to need to know to make informed decisions and </w:t>
      </w:r>
      <w:r w:rsidR="00DF397A">
        <w:t xml:space="preserve">are </w:t>
      </w:r>
      <w:r w:rsidR="00937FF5">
        <w:t>a product of a considered</w:t>
      </w:r>
      <w:r w:rsidR="00E95102">
        <w:t>, deliberative</w:t>
      </w:r>
      <w:r w:rsidR="00937FF5">
        <w:t xml:space="preserve"> </w:t>
      </w:r>
      <w:r w:rsidR="00FB37B0">
        <w:t>process</w:t>
      </w:r>
      <w:r w:rsidR="005018AC">
        <w:t xml:space="preserve">, continue to </w:t>
      </w:r>
      <w:r w:rsidR="003F5F61">
        <w:t>be relevant</w:t>
      </w:r>
      <w:r w:rsidR="72D5909D">
        <w:t xml:space="preserve">.  We </w:t>
      </w:r>
      <w:r w:rsidR="5B2D03C4">
        <w:t>seek</w:t>
      </w:r>
      <w:r>
        <w:t xml:space="preserve"> comment</w:t>
      </w:r>
      <w:r w:rsidR="00633FEA">
        <w:t xml:space="preserve"> </w:t>
      </w:r>
      <w:r>
        <w:t xml:space="preserve">on whether </w:t>
      </w:r>
      <w:r w:rsidR="5B2D03C4">
        <w:t>th</w:t>
      </w:r>
      <w:r w:rsidR="1920CD00">
        <w:t xml:space="preserve">e 2016 labels’ </w:t>
      </w:r>
      <w:r w:rsidR="008329DB">
        <w:t>content</w:t>
      </w:r>
      <w:r w:rsidR="00633FEA">
        <w:t xml:space="preserve"> </w:t>
      </w:r>
      <w:r>
        <w:t>sufficiently include</w:t>
      </w:r>
      <w:r w:rsidR="008329DB">
        <w:t>s</w:t>
      </w:r>
      <w:r>
        <w:t xml:space="preserve"> all the information consumers need to make informed decisions</w:t>
      </w:r>
      <w:r w:rsidR="00633FEA">
        <w:t>.</w:t>
      </w:r>
      <w:r>
        <w:t xml:space="preserve">  </w:t>
      </w:r>
      <w:r w:rsidR="00B10BCE">
        <w:t>Conversely</w:t>
      </w:r>
      <w:r w:rsidR="00633FEA">
        <w:t xml:space="preserve">, </w:t>
      </w:r>
      <w:r>
        <w:t xml:space="preserve">is there information contained in the </w:t>
      </w:r>
      <w:r w:rsidR="00B10BCE">
        <w:t xml:space="preserve">2016 </w:t>
      </w:r>
      <w:r>
        <w:t xml:space="preserve">labels that is </w:t>
      </w:r>
      <w:r w:rsidR="00D7713B">
        <w:t xml:space="preserve">no longer necessary </w:t>
      </w:r>
      <w:r w:rsidR="007C7F61">
        <w:t xml:space="preserve">to serve the </w:t>
      </w:r>
      <w:r w:rsidR="00FE5D98">
        <w:t>goals of the Infrastructure Act or the Commission,</w:t>
      </w:r>
      <w:r>
        <w:t xml:space="preserve"> or might overwhelm consumers with too much information?</w:t>
      </w:r>
      <w:r>
        <w:rPr>
          <w:rStyle w:val="FootnoteReference"/>
        </w:rPr>
        <w:footnoteReference w:id="31"/>
      </w:r>
      <w:r w:rsidR="008B7F38">
        <w:t xml:space="preserve">  </w:t>
      </w:r>
    </w:p>
    <w:p w:rsidR="00753FE9" w:rsidRPr="00E848A3" w:rsidP="004903AF" w14:paraId="79AB7032" w14:textId="491424C0">
      <w:pPr>
        <w:pStyle w:val="ParaNum"/>
        <w:rPr>
          <w:rFonts w:eastAsiaTheme="minorEastAsia"/>
        </w:rPr>
      </w:pPr>
      <w:r w:rsidRPr="19DA17CD">
        <w:rPr>
          <w:i/>
          <w:iCs/>
        </w:rPr>
        <w:t>Introductory Rates</w:t>
      </w:r>
      <w:r>
        <w:t xml:space="preserve">.  </w:t>
      </w:r>
      <w:r w:rsidR="00DA54F6">
        <w:t>T</w:t>
      </w:r>
      <w:r w:rsidRPr="58068477" w:rsidR="00C46A95">
        <w:t xml:space="preserve">he Infrastructure Act </w:t>
      </w:r>
      <w:r w:rsidR="009B0529">
        <w:t xml:space="preserve">states </w:t>
      </w:r>
      <w:r w:rsidRPr="58068477" w:rsidR="00C46A95">
        <w:t xml:space="preserve">that </w:t>
      </w:r>
      <w:r w:rsidR="00635DE0">
        <w:t>the label</w:t>
      </w:r>
      <w:r w:rsidR="00285597">
        <w:t>s</w:t>
      </w:r>
      <w:r w:rsidR="00635DE0">
        <w:t xml:space="preserve"> we adopt </w:t>
      </w:r>
      <w:r w:rsidRPr="58068477" w:rsidR="00C46A95">
        <w:t>“shall include information regarding whether the offered price is an introductory rate and, if so, the price the consumer will be required to pay following the introductory period</w:t>
      </w:r>
      <w:r w:rsidR="00C46A95">
        <w:t>.”</w:t>
      </w:r>
      <w:r>
        <w:rPr>
          <w:rStyle w:val="FootnoteReference"/>
        </w:rPr>
        <w:footnoteReference w:id="32"/>
      </w:r>
      <w:r w:rsidRPr="58068477" w:rsidR="00C46A95">
        <w:t xml:space="preserve">  The </w:t>
      </w:r>
      <w:r w:rsidRPr="58068477" w:rsidR="055F0D43">
        <w:t xml:space="preserve">2016 </w:t>
      </w:r>
      <w:r w:rsidRPr="58068477" w:rsidR="00C46A95">
        <w:t>label</w:t>
      </w:r>
      <w:r w:rsidR="0027532F">
        <w:t xml:space="preserve"> </w:t>
      </w:r>
      <w:r w:rsidRPr="58068477" w:rsidR="00C46A95">
        <w:t>for fixed broadband</w:t>
      </w:r>
      <w:r w:rsidRPr="58068477" w:rsidR="0027532F">
        <w:t xml:space="preserve"> service</w:t>
      </w:r>
      <w:r w:rsidR="005218A8">
        <w:t>s</w:t>
      </w:r>
      <w:r w:rsidRPr="58068477" w:rsidR="00C46A95">
        <w:t xml:space="preserve"> require</w:t>
      </w:r>
      <w:r w:rsidRPr="58068477" w:rsidR="00C86716">
        <w:t>s</w:t>
      </w:r>
      <w:r w:rsidRPr="58068477" w:rsidR="00C46A95">
        <w:t xml:space="preserve"> the provider to identify the monthly charge for service</w:t>
      </w:r>
      <w:r w:rsidRPr="58068477" w:rsidR="0027532F">
        <w:t xml:space="preserve"> (or non-promotional price for a month-to-month plan)</w:t>
      </w:r>
      <w:r w:rsidR="00C46A95">
        <w:t xml:space="preserve"> </w:t>
      </w:r>
      <w:r w:rsidRPr="58068477" w:rsidR="0027532F">
        <w:t xml:space="preserve">and to identify any promotional pricing separately.  The </w:t>
      </w:r>
      <w:r w:rsidR="009858E4">
        <w:t xml:space="preserve">2016 </w:t>
      </w:r>
      <w:r w:rsidRPr="58068477" w:rsidR="0027532F">
        <w:t>label for mobile broadband service</w:t>
      </w:r>
      <w:r w:rsidR="009858E4">
        <w:t>s</w:t>
      </w:r>
      <w:r w:rsidRPr="58068477" w:rsidR="00CE37A9">
        <w:t xml:space="preserve"> similarly requires the provider to list the monthly </w:t>
      </w:r>
      <w:r w:rsidRPr="58068477" w:rsidR="00F15709">
        <w:t xml:space="preserve">charge, </w:t>
      </w:r>
      <w:r w:rsidRPr="58068477" w:rsidR="00792D35">
        <w:t>i.e.,</w:t>
      </w:r>
      <w:r w:rsidRPr="58068477" w:rsidR="00F15709">
        <w:t xml:space="preserve"> the non-promotional price for the plan, and to identify separately on the label any promotional offers</w:t>
      </w:r>
      <w:r w:rsidRPr="58068477" w:rsidR="5D1AE3E5">
        <w:t xml:space="preserve"> or discounts</w:t>
      </w:r>
      <w:r w:rsidRPr="58068477" w:rsidR="00F15709">
        <w:t>.</w:t>
      </w:r>
      <w:r w:rsidR="00CE37A9">
        <w:t xml:space="preserve"> </w:t>
      </w:r>
      <w:r w:rsidR="00F15709">
        <w:t xml:space="preserve"> </w:t>
      </w:r>
      <w:r w:rsidRPr="58068477" w:rsidR="0027532F">
        <w:t xml:space="preserve">We seek comment on </w:t>
      </w:r>
      <w:r w:rsidRPr="58068477" w:rsidR="0027532F">
        <w:t xml:space="preserve">whether the </w:t>
      </w:r>
      <w:r w:rsidRPr="58068477" w:rsidR="6D9F558D">
        <w:t xml:space="preserve">2016 </w:t>
      </w:r>
      <w:r w:rsidRPr="58068477" w:rsidR="0027532F">
        <w:t>labe</w:t>
      </w:r>
      <w:r w:rsidRPr="58068477" w:rsidR="00F15709">
        <w:t xml:space="preserve">ls satisfy the Infrastructure Act’s requirement that any label make clear whether the price offered is an introductory rate and what the price will be </w:t>
      </w:r>
      <w:r w:rsidR="00BC44AB">
        <w:t>when</w:t>
      </w:r>
      <w:r w:rsidRPr="58068477" w:rsidR="00BC44AB">
        <w:t xml:space="preserve"> </w:t>
      </w:r>
      <w:r w:rsidRPr="58068477" w:rsidR="00F15709">
        <w:t xml:space="preserve">the introductory period ends.  </w:t>
      </w:r>
      <w:r w:rsidRPr="58068477" w:rsidR="00562401">
        <w:t>Further</w:t>
      </w:r>
      <w:r w:rsidR="00792D35">
        <w:t xml:space="preserve">, </w:t>
      </w:r>
      <w:r w:rsidRPr="1C14CCCF" w:rsidR="00792D35">
        <w:t>i</w:t>
      </w:r>
      <w:r w:rsidRPr="1C14CCCF" w:rsidR="006010E5">
        <w:t xml:space="preserve">s the information </w:t>
      </w:r>
      <w:r w:rsidRPr="1C14CCCF" w:rsidR="00792D35">
        <w:t>related to</w:t>
      </w:r>
      <w:r w:rsidRPr="1C14CCCF" w:rsidR="006010E5">
        <w:t xml:space="preserve"> introductory rates and subscription rates</w:t>
      </w:r>
      <w:r w:rsidRPr="1C14CCCF" w:rsidR="00EC3319">
        <w:t xml:space="preserve"> contained in the labels</w:t>
      </w:r>
      <w:r w:rsidRPr="1C14CCCF" w:rsidR="006010E5">
        <w:t xml:space="preserve"> readily available to consumers</w:t>
      </w:r>
      <w:r w:rsidRPr="1C14CCCF" w:rsidR="00F558D4">
        <w:t xml:space="preserve"> and easy to understand</w:t>
      </w:r>
      <w:r w:rsidRPr="1C14CCCF" w:rsidR="006010E5">
        <w:t>?</w:t>
      </w:r>
    </w:p>
    <w:p w:rsidR="7B8BFF64" w:rsidP="004903AF" w14:paraId="3C927F6E" w14:textId="7017B72D">
      <w:pPr>
        <w:pStyle w:val="ParaNum"/>
      </w:pPr>
      <w:r>
        <w:rPr>
          <w:i/>
          <w:iCs/>
        </w:rPr>
        <w:t xml:space="preserve">Service </w:t>
      </w:r>
      <w:r w:rsidR="000D2D50">
        <w:rPr>
          <w:i/>
          <w:iCs/>
        </w:rPr>
        <w:t>Levels and Bundles</w:t>
      </w:r>
      <w:r>
        <w:t xml:space="preserve">.  </w:t>
      </w:r>
      <w:r w:rsidR="37EE5569">
        <w:t xml:space="preserve">We recognize broadband service offerings can </w:t>
      </w:r>
      <w:r w:rsidR="00E21C25">
        <w:t xml:space="preserve">include </w:t>
      </w:r>
      <w:r w:rsidR="37EE5569">
        <w:t>numerous</w:t>
      </w:r>
      <w:r w:rsidR="00EA714A">
        <w:t xml:space="preserve"> </w:t>
      </w:r>
      <w:r w:rsidR="008259E6">
        <w:t>characteristics</w:t>
      </w:r>
      <w:r w:rsidR="00EA714A">
        <w:t xml:space="preserve"> </w:t>
      </w:r>
      <w:r w:rsidR="37EE5569">
        <w:t>based on differing service levels, features</w:t>
      </w:r>
      <w:r w:rsidR="005C0060">
        <w:t>,</w:t>
      </w:r>
      <w:r w:rsidR="37EE5569">
        <w:t xml:space="preserve"> add-ons, </w:t>
      </w:r>
      <w:r w:rsidR="00C41A9E">
        <w:t xml:space="preserve">consumer </w:t>
      </w:r>
      <w:r w:rsidR="37EE5569">
        <w:t>location</w:t>
      </w:r>
      <w:r w:rsidR="00C41A9E">
        <w:t>, and other factors</w:t>
      </w:r>
      <w:r w:rsidR="37EE5569">
        <w:t xml:space="preserve">.  </w:t>
      </w:r>
      <w:r w:rsidR="00B12B25">
        <w:t>Is</w:t>
      </w:r>
      <w:r w:rsidR="007D345A">
        <w:t xml:space="preserve"> flexibility in the labels’ content </w:t>
      </w:r>
      <w:r w:rsidR="00B12B25">
        <w:t xml:space="preserve">necessary or wise </w:t>
      </w:r>
      <w:r w:rsidR="007D345A">
        <w:t xml:space="preserve">to avoid the </w:t>
      </w:r>
      <w:r w:rsidR="00B12B25">
        <w:t>possibility</w:t>
      </w:r>
      <w:r w:rsidR="007D345A">
        <w:t xml:space="preserve"> </w:t>
      </w:r>
      <w:r w:rsidR="00B12B25">
        <w:t>that consumers could be</w:t>
      </w:r>
      <w:r w:rsidR="007D345A">
        <w:t xml:space="preserve"> overwhelm</w:t>
      </w:r>
      <w:r w:rsidR="00B12B25">
        <w:t>ed</w:t>
      </w:r>
      <w:r w:rsidR="007D345A">
        <w:t xml:space="preserve"> with information?  </w:t>
      </w:r>
      <w:r w:rsidR="00C05A2C">
        <w:t>S</w:t>
      </w:r>
      <w:r w:rsidR="00E027EA">
        <w:t>hould label</w:t>
      </w:r>
      <w:r w:rsidR="007F72DE">
        <w:t>s</w:t>
      </w:r>
      <w:r w:rsidR="00E027EA">
        <w:t xml:space="preserve"> include services </w:t>
      </w:r>
      <w:r w:rsidR="00411652">
        <w:t xml:space="preserve">bundled with broadband such as </w:t>
      </w:r>
      <w:r w:rsidR="00E027EA">
        <w:t>video, telephony, or mobile services?  Should such information include any</w:t>
      </w:r>
      <w:r w:rsidR="001813DB">
        <w:t xml:space="preserve"> </w:t>
      </w:r>
      <w:r w:rsidR="00E027EA">
        <w:t>information ab</w:t>
      </w:r>
      <w:r w:rsidR="00B364EA">
        <w:t>o</w:t>
      </w:r>
      <w:r w:rsidR="00E027EA">
        <w:t xml:space="preserve">ut the quality of the bundled services, e.g., whether video is limited to 480i or allows 1080p or 4K quality?  </w:t>
      </w:r>
    </w:p>
    <w:p w:rsidR="00410F36" w:rsidP="004903AF" w14:paraId="0FA35E51" w14:textId="225AC299">
      <w:pPr>
        <w:pStyle w:val="ParaNum"/>
        <w:rPr>
          <w:color w:val="000000"/>
        </w:rPr>
      </w:pPr>
      <w:r>
        <w:rPr>
          <w:rFonts w:eastAsiaTheme="minorEastAsia"/>
          <w:i/>
          <w:iCs/>
        </w:rPr>
        <w:t>Additional Content.</w:t>
      </w:r>
      <w:r w:rsidR="003803B5">
        <w:rPr>
          <w:rFonts w:eastAsiaTheme="minorEastAsia"/>
        </w:rPr>
        <w:t xml:space="preserve">  </w:t>
      </w:r>
      <w:r w:rsidRPr="1C14CCCF" w:rsidR="008329DB">
        <w:rPr>
          <w:rFonts w:eastAsiaTheme="minorEastAsia"/>
        </w:rPr>
        <w:t xml:space="preserve">Is there </w:t>
      </w:r>
      <w:r w:rsidRPr="1C14CCCF" w:rsidR="008628C9">
        <w:rPr>
          <w:rFonts w:eastAsiaTheme="minorEastAsia"/>
        </w:rPr>
        <w:t xml:space="preserve">additional </w:t>
      </w:r>
      <w:r w:rsidRPr="1C14CCCF" w:rsidR="008329DB">
        <w:rPr>
          <w:rFonts w:eastAsiaTheme="minorEastAsia"/>
        </w:rPr>
        <w:t xml:space="preserve">content </w:t>
      </w:r>
      <w:r w:rsidRPr="1C14CCCF" w:rsidR="008628C9">
        <w:rPr>
          <w:rFonts w:eastAsiaTheme="minorEastAsia"/>
        </w:rPr>
        <w:t>we should consider</w:t>
      </w:r>
      <w:r w:rsidR="001F1BBA">
        <w:rPr>
          <w:rFonts w:eastAsiaTheme="minorEastAsia"/>
        </w:rPr>
        <w:t>,</w:t>
      </w:r>
      <w:r w:rsidRPr="1C14CCCF" w:rsidR="008628C9">
        <w:rPr>
          <w:rFonts w:eastAsiaTheme="minorEastAsia"/>
        </w:rPr>
        <w:t xml:space="preserve"> given changes in the broadband marketplace</w:t>
      </w:r>
      <w:r w:rsidR="001F1BBA">
        <w:rPr>
          <w:rFonts w:eastAsiaTheme="minorEastAsia"/>
        </w:rPr>
        <w:t>,</w:t>
      </w:r>
      <w:r w:rsidRPr="1C14CCCF" w:rsidR="008628C9">
        <w:rPr>
          <w:rFonts w:eastAsiaTheme="minorEastAsia"/>
        </w:rPr>
        <w:t xml:space="preserve"> </w:t>
      </w:r>
      <w:r w:rsidRPr="1C14CCCF" w:rsidR="008329DB">
        <w:rPr>
          <w:rFonts w:eastAsiaTheme="minorEastAsia"/>
        </w:rPr>
        <w:t xml:space="preserve">that </w:t>
      </w:r>
      <w:r w:rsidRPr="1C14CCCF" w:rsidR="0038446D">
        <w:rPr>
          <w:rFonts w:eastAsiaTheme="minorEastAsia"/>
        </w:rPr>
        <w:t>providers were</w:t>
      </w:r>
      <w:r w:rsidRPr="1C14CCCF" w:rsidR="008329DB">
        <w:rPr>
          <w:rFonts w:eastAsiaTheme="minorEastAsia"/>
        </w:rPr>
        <w:t xml:space="preserve"> not required </w:t>
      </w:r>
      <w:r w:rsidRPr="1C14CCCF" w:rsidR="0038446D">
        <w:rPr>
          <w:rFonts w:eastAsiaTheme="minorEastAsia"/>
        </w:rPr>
        <w:t>to include in</w:t>
      </w:r>
      <w:r w:rsidRPr="1C14CCCF" w:rsidR="008329DB">
        <w:rPr>
          <w:rFonts w:eastAsiaTheme="minorEastAsia"/>
        </w:rPr>
        <w:t xml:space="preserve"> the 201</w:t>
      </w:r>
      <w:r w:rsidRPr="1C14CCCF" w:rsidR="006B07FD">
        <w:rPr>
          <w:rFonts w:eastAsiaTheme="minorEastAsia"/>
        </w:rPr>
        <w:t>6</w:t>
      </w:r>
      <w:r w:rsidRPr="1C14CCCF" w:rsidR="008329DB">
        <w:rPr>
          <w:rFonts w:eastAsiaTheme="minorEastAsia"/>
        </w:rPr>
        <w:t xml:space="preserve"> labels?  For example, </w:t>
      </w:r>
      <w:r>
        <w:rPr>
          <w:rFonts w:eastAsiaTheme="minorEastAsia"/>
        </w:rPr>
        <w:t xml:space="preserve">in 2017, the Commission </w:t>
      </w:r>
      <w:r w:rsidRPr="58068477" w:rsidR="00DD4B5D">
        <w:t>required</w:t>
      </w:r>
      <w:r w:rsidRPr="58068477" w:rsidR="00DD4B5D">
        <w:rPr>
          <w:color w:val="000000"/>
        </w:rPr>
        <w:t xml:space="preserve"> </w:t>
      </w:r>
      <w:r w:rsidR="003233B5">
        <w:rPr>
          <w:color w:val="000000"/>
        </w:rPr>
        <w:t>broadband</w:t>
      </w:r>
      <w:r w:rsidRPr="58068477" w:rsidR="00DD4B5D">
        <w:rPr>
          <w:color w:val="000000"/>
        </w:rPr>
        <w:t xml:space="preserve"> providers to disclose whether they engage in blocking</w:t>
      </w:r>
      <w:r w:rsidR="00546900">
        <w:rPr>
          <w:color w:val="000000"/>
        </w:rPr>
        <w:t>,</w:t>
      </w:r>
      <w:r w:rsidRPr="58068477" w:rsidR="00DD4B5D">
        <w:rPr>
          <w:color w:val="000000"/>
        </w:rPr>
        <w:t xml:space="preserve"> throttling</w:t>
      </w:r>
      <w:r w:rsidR="00546900">
        <w:rPr>
          <w:color w:val="000000"/>
        </w:rPr>
        <w:t>, or paid prioritization</w:t>
      </w:r>
      <w:r w:rsidRPr="58068477" w:rsidR="00DD4B5D">
        <w:rPr>
          <w:color w:val="000000"/>
        </w:rPr>
        <w:t>.</w:t>
      </w:r>
      <w:r>
        <w:rPr>
          <w:rStyle w:val="FootnoteReference"/>
        </w:rPr>
        <w:footnoteReference w:id="33"/>
      </w:r>
      <w:r w:rsidRPr="58068477" w:rsidR="00DD4B5D">
        <w:rPr>
          <w:color w:val="000000"/>
        </w:rPr>
        <w:t xml:space="preserve">  </w:t>
      </w:r>
      <w:r w:rsidR="00924FEF">
        <w:rPr>
          <w:color w:val="000000" w:themeColor="text1"/>
        </w:rPr>
        <w:t xml:space="preserve">Should </w:t>
      </w:r>
      <w:r w:rsidRPr="02403754" w:rsidR="00924FEF">
        <w:rPr>
          <w:color w:val="000000" w:themeColor="text1"/>
        </w:rPr>
        <w:t xml:space="preserve">the </w:t>
      </w:r>
      <w:r w:rsidR="00924FEF">
        <w:t xml:space="preserve">labels </w:t>
      </w:r>
      <w:r w:rsidRPr="02403754" w:rsidR="00924FEF">
        <w:rPr>
          <w:rFonts w:eastAsiaTheme="minorEastAsia"/>
        </w:rPr>
        <w:t xml:space="preserve">include information about </w:t>
      </w:r>
      <w:r w:rsidR="00924FEF">
        <w:t xml:space="preserve">whether there are any limitations when consumers use multiple devices on the same broadband plan?  </w:t>
      </w:r>
      <w:r w:rsidR="00924FEF">
        <w:rPr>
          <w:rFonts w:eastAsiaTheme="minorEastAsia"/>
          <w:szCs w:val="22"/>
        </w:rPr>
        <w:t>S</w:t>
      </w:r>
      <w:r w:rsidRPr="00AF3E8E" w:rsidR="00924FEF">
        <w:rPr>
          <w:rFonts w:eastAsiaTheme="minorEastAsia"/>
          <w:szCs w:val="22"/>
        </w:rPr>
        <w:t>hould</w:t>
      </w:r>
      <w:r w:rsidRPr="02403754" w:rsidR="00924FEF">
        <w:rPr>
          <w:rFonts w:eastAsiaTheme="minorEastAsia"/>
        </w:rPr>
        <w:t xml:space="preserve"> the labels make clear</w:t>
      </w:r>
      <w:r w:rsidR="00924FEF">
        <w:rPr>
          <w:rFonts w:eastAsiaTheme="minorEastAsia"/>
        </w:rPr>
        <w:t xml:space="preserve"> when the offered rate is contingent on consumer consent to particular restrictions, e.g., paperless billing, electronic payment, rental of equipment, and/or enrollment in related services?  </w:t>
      </w:r>
      <w:r w:rsidRPr="58068477" w:rsidR="00DD4B5D">
        <w:rPr>
          <w:color w:val="000000"/>
        </w:rPr>
        <w:t>We seek comment on whether such information</w:t>
      </w:r>
      <w:r>
        <w:rPr>
          <w:color w:val="000000"/>
        </w:rPr>
        <w:t xml:space="preserve"> or other content</w:t>
      </w:r>
      <w:r w:rsidRPr="58068477" w:rsidR="00DD4B5D">
        <w:rPr>
          <w:color w:val="000000"/>
        </w:rPr>
        <w:t xml:space="preserve"> should be added to the broadband consumer label</w:t>
      </w:r>
      <w:r w:rsidRPr="58068477" w:rsidR="00D553B8">
        <w:rPr>
          <w:color w:val="000000"/>
        </w:rPr>
        <w:t>s</w:t>
      </w:r>
      <w:r w:rsidRPr="58068477" w:rsidR="002E07C8">
        <w:rPr>
          <w:color w:val="000000"/>
        </w:rPr>
        <w:t xml:space="preserve"> and</w:t>
      </w:r>
      <w:r w:rsidR="001F1BBA">
        <w:rPr>
          <w:color w:val="000000"/>
        </w:rPr>
        <w:t>,</w:t>
      </w:r>
      <w:r w:rsidRPr="58068477" w:rsidR="002E07C8">
        <w:rPr>
          <w:color w:val="000000"/>
        </w:rPr>
        <w:t xml:space="preserve"> if so, how and where it should be presented</w:t>
      </w:r>
      <w:r w:rsidR="001F1BBA">
        <w:rPr>
          <w:color w:val="000000"/>
        </w:rPr>
        <w:t>.</w:t>
      </w:r>
      <w:r w:rsidRPr="58068477" w:rsidR="001F1BBA">
        <w:rPr>
          <w:color w:val="000000"/>
        </w:rPr>
        <w:t xml:space="preserve"> </w:t>
      </w:r>
    </w:p>
    <w:p w:rsidR="00AD57BC" w:rsidRPr="00785BFA" w:rsidP="004903AF" w14:paraId="452F74B0" w14:textId="72C2A3C8">
      <w:pPr>
        <w:pStyle w:val="ParaNum"/>
        <w:rPr>
          <w:color w:val="000000"/>
        </w:rPr>
      </w:pPr>
      <w:r>
        <w:rPr>
          <w:i/>
          <w:iCs/>
        </w:rPr>
        <w:t xml:space="preserve">Affordable </w:t>
      </w:r>
      <w:r w:rsidR="008D2F46">
        <w:rPr>
          <w:i/>
          <w:iCs/>
        </w:rPr>
        <w:t xml:space="preserve">Connectivity Program.  </w:t>
      </w:r>
      <w:r w:rsidR="00C66DE3">
        <w:t xml:space="preserve">We seek comment on whether and how to include information about the </w:t>
      </w:r>
      <w:r>
        <w:t xml:space="preserve">Affordable </w:t>
      </w:r>
      <w:r w:rsidR="00C66DE3">
        <w:t xml:space="preserve">Connectivity Program </w:t>
      </w:r>
      <w:r w:rsidR="009961BA">
        <w:t xml:space="preserve">(ACP) </w:t>
      </w:r>
      <w:r w:rsidR="00E33C91">
        <w:t>in the broadband labels.</w:t>
      </w:r>
      <w:r>
        <w:rPr>
          <w:sz w:val="20"/>
          <w:vertAlign w:val="superscript"/>
        </w:rPr>
        <w:footnoteReference w:id="34"/>
      </w:r>
      <w:r w:rsidR="00E33C91">
        <w:t xml:space="preserve">  </w:t>
      </w:r>
      <w:r w:rsidRPr="00FD602E" w:rsidR="00AF400C">
        <w:t>The Infrastructure Act requires providers to notify consumers about the existence of the ACP and how to enroll in the program “when a customer subscribes to, or renews a subscription to, an internet service offering of a participating provider.”</w:t>
      </w:r>
      <w:r>
        <w:rPr>
          <w:sz w:val="20"/>
          <w:vertAlign w:val="superscript"/>
        </w:rPr>
        <w:footnoteReference w:id="35"/>
      </w:r>
      <w:r w:rsidRPr="00FD602E" w:rsidR="00AF400C">
        <w:t xml:space="preserve">  In the </w:t>
      </w:r>
      <w:r w:rsidR="00C1187C">
        <w:t>ACP</w:t>
      </w:r>
      <w:r w:rsidRPr="00FD602E" w:rsidR="00AF400C">
        <w:t xml:space="preserve"> Public Notice, the Wireline Competition Bureau </w:t>
      </w:r>
      <w:r w:rsidR="00BD15F1">
        <w:t>asked for</w:t>
      </w:r>
      <w:r w:rsidRPr="00FD602E" w:rsidR="00BD15F1">
        <w:t xml:space="preserve"> </w:t>
      </w:r>
      <w:r w:rsidRPr="00FD602E" w:rsidR="00AF400C">
        <w:t>comment on the type of disclosures the Commission should require providers to make regarding the ACP to consumers</w:t>
      </w:r>
      <w:r w:rsidRPr="00E97F1C" w:rsidR="00AF400C">
        <w:t>.</w:t>
      </w:r>
      <w:r>
        <w:rPr>
          <w:sz w:val="20"/>
          <w:vertAlign w:val="superscript"/>
        </w:rPr>
        <w:footnoteReference w:id="36"/>
      </w:r>
      <w:r w:rsidRPr="00E97F1C" w:rsidR="00AF400C">
        <w:t xml:space="preserve">  </w:t>
      </w:r>
      <w:r w:rsidRPr="00F56CD8" w:rsidR="00AF400C">
        <w:t>Should the Commission require</w:t>
      </w:r>
      <w:r w:rsidR="00120A0F">
        <w:t xml:space="preserve"> </w:t>
      </w:r>
      <w:r w:rsidR="00D0030F">
        <w:t xml:space="preserve">that </w:t>
      </w:r>
      <w:r w:rsidRPr="00F56CD8" w:rsidR="00AF400C">
        <w:t xml:space="preserve">the broadband labels </w:t>
      </w:r>
      <w:r w:rsidR="00A65D3D">
        <w:t xml:space="preserve">include information about the </w:t>
      </w:r>
      <w:r w:rsidR="00744B0B">
        <w:t>ACP</w:t>
      </w:r>
      <w:r w:rsidRPr="00F56CD8" w:rsidR="00AF400C">
        <w:t xml:space="preserve">? </w:t>
      </w:r>
      <w:r w:rsidR="00282D2E">
        <w:t xml:space="preserve"> </w:t>
      </w:r>
      <w:r w:rsidRPr="00F56CD8" w:rsidR="00AF400C">
        <w:t xml:space="preserve">To what extent can broadband labels be used to promote awareness of the </w:t>
      </w:r>
      <w:r w:rsidR="00744B0B">
        <w:t>ACP</w:t>
      </w:r>
      <w:r w:rsidRPr="00F56CD8" w:rsidR="00373C88">
        <w:t xml:space="preserve"> </w:t>
      </w:r>
      <w:r w:rsidRPr="00F56CD8" w:rsidR="00AF400C">
        <w:t>and how to enroll?</w:t>
      </w:r>
      <w:r w:rsidRPr="00AF400C" w:rsidR="00AF400C">
        <w:rPr>
          <w:i/>
          <w:iCs/>
        </w:rPr>
        <w:t xml:space="preserve">  </w:t>
      </w:r>
      <w:r w:rsidRPr="00F56CD8" w:rsidR="00432803">
        <w:t>How might those disclosures be presented on the labels?</w:t>
      </w:r>
      <w:r w:rsidRPr="00AD24DD" w:rsidR="00432803">
        <w:t xml:space="preserve">  </w:t>
      </w:r>
    </w:p>
    <w:p w:rsidR="00A25201" w:rsidP="004903AF" w14:paraId="02D9CE15" w14:textId="40F6F0EA">
      <w:pPr>
        <w:pStyle w:val="ParaNum"/>
      </w:pPr>
      <w:r w:rsidRPr="1C14CCCF">
        <w:rPr>
          <w:i/>
        </w:rPr>
        <w:t>Direct Notification of Term Changes.</w:t>
      </w:r>
      <w:r w:rsidRPr="1C14CCCF">
        <w:rPr>
          <w:lang w:eastAsia="ja-JP"/>
        </w:rPr>
        <w:t xml:space="preserve">  </w:t>
      </w:r>
      <w:r w:rsidR="00260683">
        <w:rPr>
          <w:lang w:eastAsia="ja-JP"/>
        </w:rPr>
        <w:t>Section 60504 of the Infrastructure Act directs the Commission to require the display of broadband consumer labels.  We seek comment on whether it also give</w:t>
      </w:r>
      <w:r w:rsidR="00542B1B">
        <w:rPr>
          <w:lang w:eastAsia="ja-JP"/>
        </w:rPr>
        <w:t>s</w:t>
      </w:r>
      <w:r w:rsidR="00260683">
        <w:rPr>
          <w:lang w:eastAsia="ja-JP"/>
        </w:rPr>
        <w:t xml:space="preserve"> the Commission the authority to adopt a direct notification requirement</w:t>
      </w:r>
      <w:r w:rsidR="006B055C">
        <w:rPr>
          <w:lang w:eastAsia="ja-JP"/>
        </w:rPr>
        <w:t xml:space="preserve"> for current customers</w:t>
      </w:r>
      <w:r w:rsidR="001B7483">
        <w:rPr>
          <w:lang w:eastAsia="ja-JP"/>
        </w:rPr>
        <w:t xml:space="preserve"> </w:t>
      </w:r>
      <w:r w:rsidR="00260683">
        <w:rPr>
          <w:lang w:eastAsia="ja-JP"/>
        </w:rPr>
        <w:t xml:space="preserve">for changes to terms in the labels after their initial display.  </w:t>
      </w:r>
      <w:r w:rsidRPr="1C14CCCF">
        <w:rPr>
          <w:lang w:eastAsia="ja-JP"/>
        </w:rPr>
        <w:t>Should</w:t>
      </w:r>
      <w:r w:rsidRPr="1C14CCCF">
        <w:t xml:space="preserve"> the Commission adopt a “direct notification</w:t>
      </w:r>
      <w:r w:rsidR="007F77A9">
        <w:t>”</w:t>
      </w:r>
      <w:r w:rsidRPr="1C14CCCF">
        <w:t xml:space="preserve"> requirement </w:t>
      </w:r>
      <w:r w:rsidR="006B055C">
        <w:t>for</w:t>
      </w:r>
      <w:r w:rsidRPr="1C14CCCF">
        <w:t xml:space="preserve"> changes to terms in the label</w:t>
      </w:r>
      <w:r w:rsidR="00FE6014">
        <w:t>s</w:t>
      </w:r>
      <w:r w:rsidRPr="1C14CCCF">
        <w:t xml:space="preserve">?  </w:t>
      </w:r>
      <w:r w:rsidR="00260683">
        <w:t>We seek comment on the costs and benefits of such a notice requirement.</w:t>
      </w:r>
      <w:r>
        <w:rPr>
          <w:rStyle w:val="FootnoteReference"/>
          <w:szCs w:val="23"/>
        </w:rPr>
        <w:footnoteReference w:id="37"/>
      </w:r>
    </w:p>
    <w:p w:rsidR="00576623" w:rsidRPr="00576623" w:rsidP="004903AF" w14:paraId="7FA86513" w14:textId="59A0BE33">
      <w:pPr>
        <w:pStyle w:val="Heading3"/>
      </w:pPr>
      <w:r w:rsidRPr="00576623">
        <w:t>Format</w:t>
      </w:r>
      <w:r w:rsidRPr="00576623" w:rsidR="004C2C0F">
        <w:t xml:space="preserve">  </w:t>
      </w:r>
    </w:p>
    <w:p w:rsidR="00C20471" w:rsidRPr="00E848A3" w:rsidP="004903AF" w14:paraId="1AFBABF5" w14:textId="53F5C688">
      <w:pPr>
        <w:pStyle w:val="ParaNum"/>
        <w:rPr>
          <w:rFonts w:eastAsiaTheme="minorEastAsia"/>
          <w:iCs/>
        </w:rPr>
      </w:pPr>
      <w:r>
        <w:t xml:space="preserve">We </w:t>
      </w:r>
      <w:r w:rsidR="004D08CE">
        <w:t xml:space="preserve">also propose to adopt the </w:t>
      </w:r>
      <w:r>
        <w:t xml:space="preserve">format of the </w:t>
      </w:r>
      <w:r w:rsidR="004D08CE">
        <w:t>2016</w:t>
      </w:r>
      <w:r>
        <w:t xml:space="preserve"> labels</w:t>
      </w:r>
      <w:r w:rsidR="00A6667B">
        <w:t>,</w:t>
      </w:r>
      <w:r>
        <w:t xml:space="preserve"> which resemble </w:t>
      </w:r>
      <w:r w:rsidR="00A62FDA">
        <w:t xml:space="preserve">the nutrition </w:t>
      </w:r>
      <w:r>
        <w:t>labels</w:t>
      </w:r>
      <w:r w:rsidR="00A62FDA">
        <w:t xml:space="preserve"> the </w:t>
      </w:r>
      <w:r w:rsidR="005C07E3">
        <w:t xml:space="preserve">United States Food </w:t>
      </w:r>
      <w:r w:rsidR="00CB73B1">
        <w:t>and</w:t>
      </w:r>
      <w:r w:rsidR="005C07E3">
        <w:t xml:space="preserve"> Drug Administration (</w:t>
      </w:r>
      <w:r w:rsidR="00A62FDA">
        <w:t>FDA</w:t>
      </w:r>
      <w:r w:rsidR="005C07E3">
        <w:t>)</w:t>
      </w:r>
      <w:r w:rsidR="00A62FDA">
        <w:t xml:space="preserve"> has prescribed for food products</w:t>
      </w:r>
      <w:r w:rsidR="00CB73B1">
        <w:t>,</w:t>
      </w:r>
      <w:r w:rsidR="00A6667B">
        <w:t xml:space="preserve"> </w:t>
      </w:r>
      <w:r w:rsidR="00ED0F3A">
        <w:t xml:space="preserve">and seek comment on whether the format </w:t>
      </w:r>
      <w:r w:rsidR="00A62FDA">
        <w:t>sufficiently display</w:t>
      </w:r>
      <w:r w:rsidR="00ED0F3A">
        <w:t>s</w:t>
      </w:r>
      <w:r w:rsidR="00A62FDA">
        <w:t xml:space="preserve"> information to consumers in an effective and helpful </w:t>
      </w:r>
      <w:r w:rsidR="00A62FDA">
        <w:t xml:space="preserve">way. </w:t>
      </w:r>
      <w:r>
        <w:t xml:space="preserve"> </w:t>
      </w:r>
      <w:r w:rsidR="00580A69">
        <w:t>When creating the recommended broadband label</w:t>
      </w:r>
      <w:r w:rsidR="009234BD">
        <w:t>s</w:t>
      </w:r>
      <w:r w:rsidR="000B6725">
        <w:t xml:space="preserve">, the </w:t>
      </w:r>
      <w:r w:rsidRPr="1C14CCCF" w:rsidR="004C2C0F">
        <w:rPr>
          <w:rFonts w:eastAsiaTheme="minorEastAsia"/>
        </w:rPr>
        <w:t xml:space="preserve">CAC consulted with representatives of the Consumer Financial Protection Bureau </w:t>
      </w:r>
      <w:r w:rsidRPr="1C14CCCF" w:rsidR="00A62FDA">
        <w:rPr>
          <w:rFonts w:eastAsiaTheme="minorEastAsia"/>
        </w:rPr>
        <w:t xml:space="preserve">(CFPB) </w:t>
      </w:r>
      <w:r w:rsidRPr="1C14CCCF" w:rsidR="004C2C0F">
        <w:rPr>
          <w:rFonts w:eastAsiaTheme="minorEastAsia"/>
        </w:rPr>
        <w:t>with expertise in consumer disclosures in the financial industry (e.g., credit cards, mortgages, prepaid cards)</w:t>
      </w:r>
      <w:r>
        <w:rPr>
          <w:rStyle w:val="FootnoteReference"/>
          <w:rFonts w:eastAsiaTheme="minorEastAsia"/>
        </w:rPr>
        <w:footnoteReference w:id="38"/>
      </w:r>
      <w:r w:rsidR="006D7B03">
        <w:rPr>
          <w:rFonts w:eastAsiaTheme="minorEastAsia"/>
        </w:rPr>
        <w:t xml:space="preserve"> and</w:t>
      </w:r>
      <w:r w:rsidRPr="1C14CCCF" w:rsidR="004C2C0F">
        <w:rPr>
          <w:rFonts w:eastAsiaTheme="minorEastAsia"/>
        </w:rPr>
        <w:t xml:space="preserve"> incorporated </w:t>
      </w:r>
      <w:r w:rsidR="006D7B03">
        <w:rPr>
          <w:rFonts w:eastAsiaTheme="minorEastAsia"/>
        </w:rPr>
        <w:t xml:space="preserve">CFPB </w:t>
      </w:r>
      <w:r w:rsidRPr="1C14CCCF" w:rsidR="004C2C0F">
        <w:rPr>
          <w:rFonts w:eastAsiaTheme="minorEastAsia"/>
        </w:rPr>
        <w:t xml:space="preserve">recommendations </w:t>
      </w:r>
      <w:r w:rsidR="006D7B03">
        <w:rPr>
          <w:rFonts w:eastAsiaTheme="minorEastAsia"/>
        </w:rPr>
        <w:t xml:space="preserve">on </w:t>
      </w:r>
      <w:r w:rsidRPr="1C14CCCF" w:rsidR="004C2C0F">
        <w:rPr>
          <w:rFonts w:eastAsiaTheme="minorEastAsia"/>
        </w:rPr>
        <w:t xml:space="preserve">typeface, font size, and ample white space. </w:t>
      </w:r>
      <w:r w:rsidRPr="1C14CCCF" w:rsidR="007C7A87">
        <w:rPr>
          <w:rFonts w:eastAsiaTheme="minorEastAsia"/>
        </w:rPr>
        <w:t xml:space="preserve"> </w:t>
      </w:r>
      <w:r w:rsidRPr="1C14CCCF" w:rsidR="004C2C0F">
        <w:rPr>
          <w:rFonts w:eastAsiaTheme="minorEastAsia"/>
        </w:rPr>
        <w:t>While</w:t>
      </w:r>
      <w:r w:rsidRPr="1C14CCCF" w:rsidR="00A6667B">
        <w:rPr>
          <w:rFonts w:eastAsiaTheme="minorEastAsia"/>
        </w:rPr>
        <w:t xml:space="preserve"> the CAC did</w:t>
      </w:r>
      <w:r w:rsidRPr="1C14CCCF" w:rsidR="004C2C0F">
        <w:rPr>
          <w:rFonts w:eastAsiaTheme="minorEastAsia"/>
        </w:rPr>
        <w:t xml:space="preserve"> not prescribe specific format requirements, </w:t>
      </w:r>
      <w:r w:rsidRPr="1C14CCCF" w:rsidR="00A6667B">
        <w:rPr>
          <w:rFonts w:eastAsiaTheme="minorEastAsia"/>
        </w:rPr>
        <w:t>it</w:t>
      </w:r>
      <w:r w:rsidRPr="1C14CCCF" w:rsidR="004C2C0F">
        <w:rPr>
          <w:rFonts w:eastAsiaTheme="minorEastAsia"/>
        </w:rPr>
        <w:t xml:space="preserve"> expect</w:t>
      </w:r>
      <w:r w:rsidRPr="1C14CCCF" w:rsidR="00A6667B">
        <w:rPr>
          <w:rFonts w:eastAsiaTheme="minorEastAsia"/>
        </w:rPr>
        <w:t>ed</w:t>
      </w:r>
      <w:r w:rsidRPr="1C14CCCF" w:rsidR="004C2C0F">
        <w:rPr>
          <w:rFonts w:eastAsiaTheme="minorEastAsia"/>
        </w:rPr>
        <w:t xml:space="preserve"> participating </w:t>
      </w:r>
      <w:r w:rsidR="008D013D">
        <w:rPr>
          <w:rFonts w:eastAsiaTheme="minorEastAsia"/>
        </w:rPr>
        <w:t>ISPs</w:t>
      </w:r>
      <w:r w:rsidRPr="1C14CCCF" w:rsidR="004C2C0F">
        <w:rPr>
          <w:rFonts w:eastAsiaTheme="minorEastAsia"/>
        </w:rPr>
        <w:t xml:space="preserve"> to follow the general principles in designing the </w:t>
      </w:r>
      <w:r w:rsidRPr="1C14CCCF" w:rsidR="00A6667B">
        <w:rPr>
          <w:rFonts w:eastAsiaTheme="minorEastAsia"/>
        </w:rPr>
        <w:t xml:space="preserve">broadband </w:t>
      </w:r>
      <w:r w:rsidRPr="1C14CCCF" w:rsidR="00D553B8">
        <w:rPr>
          <w:rFonts w:eastAsiaTheme="minorEastAsia"/>
        </w:rPr>
        <w:t xml:space="preserve">consumer </w:t>
      </w:r>
      <w:r w:rsidRPr="1C14CCCF" w:rsidR="00A6667B">
        <w:rPr>
          <w:rFonts w:eastAsiaTheme="minorEastAsia"/>
        </w:rPr>
        <w:t>labels</w:t>
      </w:r>
      <w:r w:rsidRPr="1C14CCCF" w:rsidR="004C2C0F">
        <w:rPr>
          <w:rFonts w:eastAsiaTheme="minorEastAsia"/>
        </w:rPr>
        <w:t>.</w:t>
      </w:r>
      <w:r w:rsidRPr="1C14CCCF" w:rsidR="00A6667B">
        <w:rPr>
          <w:rFonts w:eastAsiaTheme="minorEastAsia"/>
        </w:rPr>
        <w:t xml:space="preserve">  </w:t>
      </w:r>
    </w:p>
    <w:p w:rsidR="00045A3E" w:rsidP="004903AF" w14:paraId="184D8BA0" w14:textId="50D0B6CE">
      <w:pPr>
        <w:pStyle w:val="ParaNum"/>
        <w:rPr>
          <w:rFonts w:eastAsiaTheme="minorEastAsia"/>
        </w:rPr>
      </w:pPr>
      <w:r>
        <w:rPr>
          <w:rFonts w:eastAsiaTheme="minorEastAsia"/>
        </w:rPr>
        <w:t>We believe that in directing the Commission “</w:t>
      </w:r>
      <w:r w:rsidRPr="00BD576C">
        <w:rPr>
          <w:rFonts w:eastAsiaTheme="minorEastAsia"/>
        </w:rPr>
        <w:t>to require the display of broadband consumer labels,</w:t>
      </w:r>
      <w:r>
        <w:rPr>
          <w:rFonts w:eastAsiaTheme="minorEastAsia"/>
        </w:rPr>
        <w:t xml:space="preserve">” section 60504 of the Infrastructure Act gives the Commission </w:t>
      </w:r>
      <w:r w:rsidRPr="02403754">
        <w:rPr>
          <w:rFonts w:eastAsiaTheme="minorEastAsia"/>
        </w:rPr>
        <w:t xml:space="preserve">authority to mandate </w:t>
      </w:r>
      <w:r>
        <w:rPr>
          <w:rFonts w:eastAsiaTheme="minorEastAsia"/>
        </w:rPr>
        <w:t>not only what</w:t>
      </w:r>
      <w:r w:rsidRPr="02403754">
        <w:rPr>
          <w:rFonts w:eastAsiaTheme="minorEastAsia"/>
        </w:rPr>
        <w:t xml:space="preserve"> information </w:t>
      </w:r>
      <w:r>
        <w:rPr>
          <w:rFonts w:eastAsiaTheme="minorEastAsia"/>
        </w:rPr>
        <w:t>is</w:t>
      </w:r>
      <w:r w:rsidRPr="02403754">
        <w:rPr>
          <w:rFonts w:eastAsiaTheme="minorEastAsia"/>
        </w:rPr>
        <w:t xml:space="preserve"> disclosed in</w:t>
      </w:r>
      <w:r>
        <w:rPr>
          <w:rFonts w:eastAsiaTheme="minorEastAsia"/>
        </w:rPr>
        <w:t xml:space="preserve"> the labels</w:t>
      </w:r>
      <w:r w:rsidR="009636A7">
        <w:rPr>
          <w:rFonts w:eastAsiaTheme="minorEastAsia"/>
        </w:rPr>
        <w:t>,</w:t>
      </w:r>
      <w:r>
        <w:rPr>
          <w:rFonts w:eastAsiaTheme="minorEastAsia"/>
        </w:rPr>
        <w:t xml:space="preserve"> but also the</w:t>
      </w:r>
      <w:r w:rsidRPr="02403754">
        <w:rPr>
          <w:rFonts w:eastAsiaTheme="minorEastAsia"/>
        </w:rPr>
        <w:t xml:space="preserve"> specific formats</w:t>
      </w:r>
      <w:r>
        <w:rPr>
          <w:rFonts w:eastAsiaTheme="minorEastAsia"/>
        </w:rPr>
        <w:t xml:space="preserve"> for the labels.  </w:t>
      </w:r>
      <w:r w:rsidRPr="02403754" w:rsidR="00A6667B">
        <w:rPr>
          <w:rFonts w:eastAsiaTheme="minorEastAsia"/>
        </w:rPr>
        <w:t xml:space="preserve">We </w:t>
      </w:r>
      <w:r w:rsidR="00184A26">
        <w:rPr>
          <w:rFonts w:eastAsiaTheme="minorEastAsia"/>
        </w:rPr>
        <w:t>therefore</w:t>
      </w:r>
      <w:r w:rsidRPr="02403754" w:rsidR="00A6667B">
        <w:rPr>
          <w:rFonts w:eastAsiaTheme="minorEastAsia"/>
        </w:rPr>
        <w:t xml:space="preserve"> </w:t>
      </w:r>
      <w:r w:rsidRPr="02403754" w:rsidR="00BC5473">
        <w:rPr>
          <w:rFonts w:eastAsiaTheme="minorEastAsia"/>
        </w:rPr>
        <w:t xml:space="preserve">propose to adopt </w:t>
      </w:r>
      <w:r w:rsidR="000B397C">
        <w:rPr>
          <w:rFonts w:eastAsiaTheme="minorEastAsia"/>
        </w:rPr>
        <w:t xml:space="preserve">the </w:t>
      </w:r>
      <w:r w:rsidR="005A08D3">
        <w:rPr>
          <w:rFonts w:eastAsiaTheme="minorEastAsia"/>
        </w:rPr>
        <w:t>format of the 2016 labels</w:t>
      </w:r>
      <w:r w:rsidRPr="02403754" w:rsidR="00BC5473">
        <w:rPr>
          <w:rFonts w:eastAsiaTheme="minorEastAsia"/>
        </w:rPr>
        <w:t xml:space="preserve"> for </w:t>
      </w:r>
      <w:r w:rsidR="00AE1C78">
        <w:rPr>
          <w:rFonts w:eastAsiaTheme="minorEastAsia"/>
        </w:rPr>
        <w:t xml:space="preserve">the </w:t>
      </w:r>
      <w:r w:rsidRPr="02403754" w:rsidR="00BC5473">
        <w:rPr>
          <w:rFonts w:eastAsiaTheme="minorEastAsia"/>
        </w:rPr>
        <w:t xml:space="preserve">broadband labels </w:t>
      </w:r>
      <w:r w:rsidR="00AE1C78">
        <w:rPr>
          <w:rFonts w:eastAsiaTheme="minorEastAsia"/>
        </w:rPr>
        <w:t>in thi</w:t>
      </w:r>
      <w:r w:rsidR="00E95C92">
        <w:rPr>
          <w:rFonts w:eastAsiaTheme="minorEastAsia"/>
        </w:rPr>
        <w:t>s</w:t>
      </w:r>
      <w:r w:rsidR="00AE1C78">
        <w:rPr>
          <w:rFonts w:eastAsiaTheme="minorEastAsia"/>
        </w:rPr>
        <w:t xml:space="preserve"> proceeding</w:t>
      </w:r>
      <w:r w:rsidR="008675C9">
        <w:rPr>
          <w:rFonts w:eastAsiaTheme="minorEastAsia"/>
        </w:rPr>
        <w:t>,</w:t>
      </w:r>
      <w:r w:rsidR="00AE1C78">
        <w:rPr>
          <w:rFonts w:eastAsiaTheme="minorEastAsia"/>
        </w:rPr>
        <w:t xml:space="preserve"> </w:t>
      </w:r>
      <w:r w:rsidRPr="02403754" w:rsidR="00BC5473">
        <w:rPr>
          <w:rFonts w:eastAsiaTheme="minorEastAsia"/>
        </w:rPr>
        <w:t>based o</w:t>
      </w:r>
      <w:r w:rsidRPr="02403754" w:rsidR="00D242E2">
        <w:rPr>
          <w:rFonts w:eastAsiaTheme="minorEastAsia"/>
        </w:rPr>
        <w:t>n the considerable work the CAC did in adapting the format to broadband service</w:t>
      </w:r>
      <w:r w:rsidR="00E81223">
        <w:rPr>
          <w:rFonts w:eastAsiaTheme="minorEastAsia"/>
        </w:rPr>
        <w:t xml:space="preserve"> </w:t>
      </w:r>
      <w:r w:rsidR="008675C9">
        <w:rPr>
          <w:rFonts w:eastAsiaTheme="minorEastAsia"/>
        </w:rPr>
        <w:t xml:space="preserve">and relying on </w:t>
      </w:r>
      <w:r w:rsidR="00DA7AE2">
        <w:rPr>
          <w:rFonts w:eastAsiaTheme="minorEastAsia"/>
        </w:rPr>
        <w:t>the CFPB and the FDA for guidance</w:t>
      </w:r>
      <w:r w:rsidRPr="02403754" w:rsidR="00D242E2">
        <w:rPr>
          <w:rFonts w:eastAsiaTheme="minorEastAsia"/>
        </w:rPr>
        <w:t xml:space="preserve">.  </w:t>
      </w:r>
      <w:r w:rsidRPr="02403754" w:rsidR="00DB44F4">
        <w:rPr>
          <w:rFonts w:eastAsiaTheme="minorEastAsia"/>
        </w:rPr>
        <w:t xml:space="preserve">We </w:t>
      </w:r>
      <w:r w:rsidRPr="02403754" w:rsidR="00A6667B">
        <w:rPr>
          <w:rFonts w:eastAsiaTheme="minorEastAsia"/>
        </w:rPr>
        <w:t xml:space="preserve">seek comment on </w:t>
      </w:r>
      <w:r w:rsidRPr="02403754" w:rsidR="00DB44F4">
        <w:rPr>
          <w:rFonts w:eastAsiaTheme="minorEastAsia"/>
        </w:rPr>
        <w:t xml:space="preserve">this proposal.  </w:t>
      </w:r>
      <w:r w:rsidRPr="02403754" w:rsidR="007311D7">
        <w:rPr>
          <w:rFonts w:eastAsiaTheme="minorEastAsia"/>
        </w:rPr>
        <w:t xml:space="preserve">Are there any changes we should consider to the format?  </w:t>
      </w:r>
      <w:r w:rsidR="008652B9">
        <w:rPr>
          <w:rFonts w:eastAsiaTheme="minorEastAsia"/>
        </w:rPr>
        <w:t>Should we</w:t>
      </w:r>
      <w:r w:rsidRPr="02403754" w:rsidR="007311D7">
        <w:rPr>
          <w:rFonts w:eastAsiaTheme="minorEastAsia"/>
        </w:rPr>
        <w:t xml:space="preserve"> allow </w:t>
      </w:r>
      <w:r w:rsidR="008D013D">
        <w:rPr>
          <w:rFonts w:eastAsiaTheme="minorEastAsia"/>
        </w:rPr>
        <w:t>ISPs</w:t>
      </w:r>
      <w:r w:rsidRPr="02403754" w:rsidR="007311D7">
        <w:rPr>
          <w:rFonts w:eastAsiaTheme="minorEastAsia"/>
        </w:rPr>
        <w:t xml:space="preserve"> any flexibility in </w:t>
      </w:r>
      <w:r w:rsidRPr="02403754" w:rsidR="00C53E7D">
        <w:rPr>
          <w:rFonts w:eastAsiaTheme="minorEastAsia"/>
        </w:rPr>
        <w:t xml:space="preserve">displaying the label contents </w:t>
      </w:r>
      <w:r w:rsidR="00E327D0">
        <w:rPr>
          <w:rFonts w:eastAsiaTheme="minorEastAsia"/>
        </w:rPr>
        <w:t xml:space="preserve">to reflect the </w:t>
      </w:r>
      <w:r w:rsidR="00762D26">
        <w:rPr>
          <w:rFonts w:eastAsiaTheme="minorEastAsia"/>
        </w:rPr>
        <w:t xml:space="preserve">variety of formats consumers </w:t>
      </w:r>
      <w:r w:rsidR="000C588C">
        <w:rPr>
          <w:rFonts w:eastAsiaTheme="minorEastAsia"/>
        </w:rPr>
        <w:t xml:space="preserve">use to learn about and </w:t>
      </w:r>
      <w:r w:rsidR="00BA6CC5">
        <w:rPr>
          <w:rFonts w:eastAsiaTheme="minorEastAsia"/>
        </w:rPr>
        <w:t xml:space="preserve">subscribe to broadband services?  How can we provide this flexibility </w:t>
      </w:r>
      <w:r w:rsidR="00AA5FDC">
        <w:rPr>
          <w:rFonts w:eastAsiaTheme="minorEastAsia"/>
        </w:rPr>
        <w:t xml:space="preserve">without </w:t>
      </w:r>
      <w:r w:rsidR="009D08D1">
        <w:rPr>
          <w:rFonts w:eastAsiaTheme="minorEastAsia"/>
        </w:rPr>
        <w:t>weakening</w:t>
      </w:r>
      <w:r w:rsidR="00E50F03">
        <w:rPr>
          <w:rFonts w:eastAsiaTheme="minorEastAsia"/>
        </w:rPr>
        <w:t xml:space="preserve"> </w:t>
      </w:r>
      <w:r w:rsidRPr="02403754" w:rsidR="00C53E7D">
        <w:rPr>
          <w:rFonts w:eastAsiaTheme="minorEastAsia"/>
        </w:rPr>
        <w:t xml:space="preserve">the </w:t>
      </w:r>
      <w:r w:rsidR="00D74298">
        <w:rPr>
          <w:rFonts w:eastAsiaTheme="minorEastAsia"/>
        </w:rPr>
        <w:t xml:space="preserve">effectiveness of the </w:t>
      </w:r>
      <w:r w:rsidR="00E50F03">
        <w:rPr>
          <w:rFonts w:eastAsiaTheme="minorEastAsia"/>
        </w:rPr>
        <w:t xml:space="preserve">preferred </w:t>
      </w:r>
      <w:r w:rsidRPr="02403754" w:rsidR="00C53E7D">
        <w:rPr>
          <w:rFonts w:eastAsiaTheme="minorEastAsia"/>
        </w:rPr>
        <w:t>format of the 2016 labels?  How can we ensure that any such flexibility would not undermine consumers’ ability to comparison shop between services and providers?</w:t>
      </w:r>
      <w:r w:rsidRPr="02403754" w:rsidR="00A6667B">
        <w:rPr>
          <w:rFonts w:eastAsiaTheme="minorEastAsia"/>
        </w:rPr>
        <w:t xml:space="preserve">  </w:t>
      </w:r>
      <w:bookmarkStart w:id="29" w:name="_Hlk87962791"/>
      <w:r w:rsidRPr="02403754" w:rsidR="00B448B0">
        <w:rPr>
          <w:rFonts w:eastAsiaTheme="minorEastAsia"/>
        </w:rPr>
        <w:t xml:space="preserve">Should we require that the labels be provided in a </w:t>
      </w:r>
      <w:r w:rsidRPr="02403754" w:rsidR="00BF709A">
        <w:rPr>
          <w:rFonts w:eastAsiaTheme="minorEastAsia"/>
        </w:rPr>
        <w:t>machine</w:t>
      </w:r>
      <w:r w:rsidR="00BF709A">
        <w:rPr>
          <w:rFonts w:eastAsiaTheme="minorEastAsia"/>
        </w:rPr>
        <w:t>-</w:t>
      </w:r>
      <w:r w:rsidRPr="02403754" w:rsidR="00B448B0">
        <w:rPr>
          <w:rFonts w:eastAsiaTheme="minorEastAsia"/>
        </w:rPr>
        <w:t>readable format with standard</w:t>
      </w:r>
      <w:r w:rsidR="000B625B">
        <w:rPr>
          <w:rFonts w:eastAsiaTheme="minorEastAsia"/>
        </w:rPr>
        <w:t>,</w:t>
      </w:r>
      <w:r w:rsidRPr="02403754" w:rsidR="00B448B0">
        <w:rPr>
          <w:rFonts w:eastAsiaTheme="minorEastAsia"/>
        </w:rPr>
        <w:t xml:space="preserve"> labeled fields to ensure that third parties and consumers can more readily compare across multiple providers?</w:t>
      </w:r>
      <w:bookmarkEnd w:id="29"/>
      <w:r>
        <w:rPr>
          <w:rStyle w:val="FootnoteReference"/>
          <w:rFonts w:eastAsiaTheme="minorEastAsia"/>
        </w:rPr>
        <w:footnoteReference w:id="39"/>
      </w:r>
      <w:r w:rsidRPr="02403754" w:rsidR="008B1723">
        <w:rPr>
          <w:rFonts w:eastAsiaTheme="minorEastAsia"/>
        </w:rPr>
        <w:t xml:space="preserve"> </w:t>
      </w:r>
      <w:r w:rsidRPr="02403754" w:rsidR="00241BDF">
        <w:rPr>
          <w:rFonts w:eastAsiaTheme="minorEastAsia"/>
        </w:rPr>
        <w:t xml:space="preserve"> </w:t>
      </w:r>
    </w:p>
    <w:p w:rsidR="00AB6C2D" w:rsidRPr="00E848A3" w:rsidP="004903AF" w14:paraId="4C218B87" w14:textId="44EDF283">
      <w:pPr>
        <w:pStyle w:val="ParaNum"/>
        <w:rPr>
          <w:rFonts w:eastAsiaTheme="minorEastAsia"/>
        </w:rPr>
      </w:pPr>
      <w:r w:rsidRPr="00AB6C2D">
        <w:rPr>
          <w:rFonts w:eastAsiaTheme="minorEastAsia"/>
        </w:rPr>
        <w:t>The Commission will be undertaking a separate rulemaking to implement section 60502(c) of the Infrastructure Act, which requires the Commission to conduct an “annual collection . . . of data relating to the price and subscription rates of each internet service offering of a participating provider under the Affordable Connectivity Program.”</w:t>
      </w:r>
      <w:r>
        <w:rPr>
          <w:rFonts w:eastAsiaTheme="minorEastAsia"/>
          <w:vertAlign w:val="superscript"/>
        </w:rPr>
        <w:footnoteReference w:id="40"/>
      </w:r>
      <w:r w:rsidRPr="00AB6C2D">
        <w:rPr>
          <w:rFonts w:eastAsiaTheme="minorEastAsia"/>
        </w:rPr>
        <w:t xml:space="preserve">  The Infrastructure Act further requires that the Commission “shall rely on the price information displayed on the broadband consumer label . . . for any collection of data . . . under section 60502(c)”</w:t>
      </w:r>
      <w:r>
        <w:rPr>
          <w:rFonts w:eastAsiaTheme="minorEastAsia"/>
          <w:vertAlign w:val="superscript"/>
        </w:rPr>
        <w:footnoteReference w:id="41"/>
      </w:r>
      <w:r w:rsidRPr="00AB6C2D">
        <w:rPr>
          <w:rFonts w:eastAsiaTheme="minorEastAsia"/>
        </w:rPr>
        <w:t xml:space="preserve">  In order to rely on such data, the Commission will need a means by which to associate the broadband-label information with the data collected under section 60502(c).  One means of making that association would be for the Commission to collect all the </w:t>
      </w:r>
      <w:r w:rsidRPr="00AB6C2D">
        <w:rPr>
          <w:rFonts w:eastAsiaTheme="minorEastAsia"/>
        </w:rPr>
        <w:t xml:space="preserve">broadband-label data, with each plan having a unique identifier that could be referenced in the section 60502(c) data collection.  Another approach would be for the Commission to require all ISPs to make information about each plan available in a machine-readable format </w:t>
      </w:r>
      <w:r w:rsidRPr="00552E2A">
        <w:rPr>
          <w:rFonts w:eastAsiaTheme="minorEastAsia"/>
        </w:rPr>
        <w:t>via an</w:t>
      </w:r>
      <w:r w:rsidRPr="00AB6C2D">
        <w:rPr>
          <w:rFonts w:eastAsiaTheme="minorEastAsia"/>
        </w:rPr>
        <w:t xml:space="preserve"> Application Program Interface (API) so that the Commission could access the broadband-label information for any plan included in </w:t>
      </w:r>
      <w:r w:rsidRPr="00552E2A">
        <w:rPr>
          <w:rFonts w:eastAsiaTheme="minorEastAsia"/>
        </w:rPr>
        <w:t>the ISP’s submission</w:t>
      </w:r>
      <w:r w:rsidRPr="00552E2A">
        <w:rPr>
          <w:rFonts w:eastAsiaTheme="minorEastAsia"/>
          <w:b/>
          <w:bCs/>
        </w:rPr>
        <w:t xml:space="preserve"> </w:t>
      </w:r>
      <w:r w:rsidRPr="00552E2A">
        <w:rPr>
          <w:rFonts w:eastAsiaTheme="minorEastAsia"/>
        </w:rPr>
        <w:t>to</w:t>
      </w:r>
      <w:r w:rsidRPr="00AB6C2D">
        <w:rPr>
          <w:rFonts w:eastAsiaTheme="minorEastAsia"/>
        </w:rPr>
        <w:t xml:space="preserve"> the section 60502(c) collection.  We seek comment on these two alternative approaches and their relative burdens on ISPs. </w:t>
      </w:r>
      <w:r w:rsidR="00744B0B">
        <w:rPr>
          <w:rFonts w:eastAsiaTheme="minorEastAsia"/>
        </w:rPr>
        <w:t xml:space="preserve"> </w:t>
      </w:r>
      <w:r w:rsidRPr="00AB6C2D">
        <w:rPr>
          <w:rFonts w:eastAsiaTheme="minorEastAsia"/>
        </w:rPr>
        <w:t>We also seek comment on other approaches we should consider to fulfill the statutory requirements of section 60502(c).</w:t>
      </w:r>
    </w:p>
    <w:p w:rsidR="00576623" w:rsidRPr="000A315A" w:rsidP="004903AF" w14:paraId="0C1B7357" w14:textId="3D6402A6">
      <w:pPr>
        <w:pStyle w:val="Heading3"/>
      </w:pPr>
      <w:r>
        <w:t xml:space="preserve">Display </w:t>
      </w:r>
      <w:r w:rsidRPr="32B3D268" w:rsidR="5AE84A9D">
        <w:t xml:space="preserve">Location </w:t>
      </w:r>
    </w:p>
    <w:p w:rsidR="00576623" w:rsidP="004903AF" w14:paraId="01CFB6FA" w14:textId="27DD1F95">
      <w:pPr>
        <w:pStyle w:val="ParaNum"/>
      </w:pPr>
      <w:r>
        <w:t xml:space="preserve">We propose to require </w:t>
      </w:r>
      <w:r w:rsidR="00DD342A">
        <w:t>ISPs</w:t>
      </w:r>
      <w:r>
        <w:t xml:space="preserve"> to display the labels at the point of sale.  Specifically, we propose to require providers to </w:t>
      </w:r>
      <w:r w:rsidRPr="19DA17CD">
        <w:rPr>
          <w:rFonts w:eastAsiaTheme="minorEastAsia"/>
        </w:rPr>
        <w:t>prominently</w:t>
      </w:r>
      <w:r>
        <w:t xml:space="preserve"> display the labels in a manner that is easily accessible to consumers and in the format prescribed by the Commission</w:t>
      </w:r>
      <w:r w:rsidR="003A1329">
        <w:t xml:space="preserve">.  </w:t>
      </w:r>
      <w:r w:rsidR="00A30DA1">
        <w:t xml:space="preserve">We propose to </w:t>
      </w:r>
      <w:r w:rsidR="008675C9">
        <w:t xml:space="preserve">require </w:t>
      </w:r>
      <w:r w:rsidR="00A30DA1">
        <w:t>providers</w:t>
      </w:r>
      <w:r w:rsidR="003A1329">
        <w:t xml:space="preserve">, at a minimum, </w:t>
      </w:r>
      <w:r w:rsidR="008675C9">
        <w:t xml:space="preserve">to </w:t>
      </w:r>
      <w:r w:rsidR="003A1329">
        <w:t>disclos</w:t>
      </w:r>
      <w:r w:rsidR="00F23ED4">
        <w:t>e</w:t>
      </w:r>
      <w:r w:rsidR="003A1329">
        <w:t xml:space="preserve"> the labels of any broadband service presented to consumers on a</w:t>
      </w:r>
      <w:r w:rsidR="002F7E14">
        <w:t>n ISP’s</w:t>
      </w:r>
      <w:r w:rsidR="003A1329">
        <w:t xml:space="preserve"> website when a consumer </w:t>
      </w:r>
      <w:r w:rsidR="00AC7CBA">
        <w:t>browses service options</w:t>
      </w:r>
      <w:r w:rsidR="003A1329">
        <w:t>.</w:t>
      </w:r>
      <w:r>
        <w:t xml:space="preserve">  We seek comment on this proposal. </w:t>
      </w:r>
      <w:r w:rsidR="003A1329">
        <w:t xml:space="preserve"> In addition, we ask for comments on exactly how the labels should be disclosed on ISPs’ websites.  For instance, is including a link to the label sufficient</w:t>
      </w:r>
      <w:r w:rsidR="00F33E51">
        <w:t xml:space="preserve">?  If </w:t>
      </w:r>
      <w:r w:rsidR="003A1329">
        <w:t xml:space="preserve">so, how should the link be presented to consumers?  </w:t>
      </w:r>
      <w:r w:rsidR="00EA55AF">
        <w:t>W</w:t>
      </w:r>
      <w:r w:rsidR="003A1329">
        <w:t>here else on the ISP’s website should the labels be displayed and/or disclosed and how should ISPs’ website</w:t>
      </w:r>
      <w:r w:rsidR="000E3207">
        <w:t>s</w:t>
      </w:r>
      <w:r w:rsidR="003A1329">
        <w:t xml:space="preserve"> be configured for search engine optimization? </w:t>
      </w:r>
      <w:r>
        <w:t xml:space="preserve"> We also seek comment on how the labels should be displayed at other points of sale, such as </w:t>
      </w:r>
      <w:r w:rsidR="00DC00FA">
        <w:t xml:space="preserve">at </w:t>
      </w:r>
      <w:r>
        <w:t>retail locations</w:t>
      </w:r>
      <w:r w:rsidR="00F84BE6">
        <w:t>,</w:t>
      </w:r>
      <w:r w:rsidRPr="00EF0D0F" w:rsidR="00DC00FA">
        <w:rPr>
          <w:color w:val="0070C0"/>
          <w:shd w:val="clear" w:color="auto" w:fill="FFFFFF"/>
        </w:rPr>
        <w:t xml:space="preserve"> </w:t>
      </w:r>
      <w:r w:rsidRPr="008914EF" w:rsidR="00DC00FA">
        <w:rPr>
          <w:shd w:val="clear" w:color="auto" w:fill="FFFFFF"/>
        </w:rPr>
        <w:t>on</w:t>
      </w:r>
      <w:r w:rsidRPr="008914EF">
        <w:rPr>
          <w:shd w:val="clear" w:color="auto" w:fill="FFFFFF"/>
        </w:rPr>
        <w:t xml:space="preserve"> </w:t>
      </w:r>
      <w:r w:rsidRPr="008914EF" w:rsidR="00F84BE6">
        <w:rPr>
          <w:shd w:val="clear" w:color="auto" w:fill="FFFFFF"/>
        </w:rPr>
        <w:t>apps, on online platforms</w:t>
      </w:r>
      <w:r w:rsidRPr="008914EF" w:rsidR="00F84BE6">
        <w:t xml:space="preserve">, </w:t>
      </w:r>
      <w:r w:rsidRPr="008914EF" w:rsidR="00902811">
        <w:t>on</w:t>
      </w:r>
      <w:r w:rsidRPr="008914EF" w:rsidR="00F84BE6">
        <w:t xml:space="preserve"> other digital locations,</w:t>
      </w:r>
      <w:r w:rsidRPr="008914EF">
        <w:t xml:space="preserve"> </w:t>
      </w:r>
      <w:r>
        <w:t>and</w:t>
      </w:r>
      <w:r w:rsidR="00DC00FA">
        <w:t xml:space="preserve"> on</w:t>
      </w:r>
      <w:r>
        <w:t xml:space="preserve"> telemarketing calls.  Should </w:t>
      </w:r>
      <w:r w:rsidR="00DD342A">
        <w:t>ISPs</w:t>
      </w:r>
      <w:r>
        <w:t xml:space="preserve"> provide hardcopies of the labels in retail locations?  Should </w:t>
      </w:r>
      <w:r w:rsidR="00DD342A">
        <w:t xml:space="preserve">their </w:t>
      </w:r>
      <w:r>
        <w:t>telemarketing representative</w:t>
      </w:r>
      <w:r w:rsidR="009C7F6F">
        <w:t>s</w:t>
      </w:r>
      <w:r>
        <w:t xml:space="preserve"> email</w:t>
      </w:r>
      <w:r w:rsidR="003A1329">
        <w:t>, or otherwise make available to,</w:t>
      </w:r>
      <w:r>
        <w:t xml:space="preserve"> consumers labels before consumers make a purchase?  Are there other marketing channels we should consider in developing this requirement? </w:t>
      </w:r>
      <w:r w:rsidR="00744B0B">
        <w:t xml:space="preserve"> </w:t>
      </w:r>
      <w:r w:rsidR="73DC9C55">
        <w:t xml:space="preserve">Should these be included in bills or other communications about changes in service? </w:t>
      </w:r>
    </w:p>
    <w:p w:rsidR="0025336B" w:rsidRPr="00A75470" w:rsidP="004903AF" w14:paraId="0270BBA8" w14:textId="5FCA99D5">
      <w:pPr>
        <w:pStyle w:val="Heading3"/>
        <w:rPr>
          <w:lang w:eastAsia="ja-JP"/>
        </w:rPr>
      </w:pPr>
      <w:r w:rsidRPr="00A75470">
        <w:rPr>
          <w:rStyle w:val="Heading2Char"/>
          <w:b/>
        </w:rPr>
        <w:t>Accessibility</w:t>
      </w:r>
      <w:r w:rsidRPr="00A75470" w:rsidR="00513284">
        <w:rPr>
          <w:i/>
        </w:rPr>
        <w:t xml:space="preserve">  </w:t>
      </w:r>
    </w:p>
    <w:p w:rsidR="0025336B" w:rsidP="004903AF" w14:paraId="3C4157C6" w14:textId="627C0D5E">
      <w:pPr>
        <w:pStyle w:val="ParaNum"/>
        <w:rPr>
          <w:lang w:eastAsia="ja-JP"/>
        </w:rPr>
      </w:pPr>
      <w:r w:rsidRPr="58068477">
        <w:rPr>
          <w:lang w:eastAsia="ja-JP"/>
        </w:rPr>
        <w:t xml:space="preserve">We emphasize our commitment </w:t>
      </w:r>
      <w:r w:rsidRPr="58068477">
        <w:t>to ensuring that broadband networks are accessible to and usable by individuals with disabilities</w:t>
      </w:r>
      <w:r w:rsidR="00E641F2">
        <w:t>.</w:t>
      </w:r>
      <w:r w:rsidRPr="58068477">
        <w:rPr>
          <w:lang w:eastAsia="ja-JP"/>
        </w:rPr>
        <w:t xml:space="preserve"> </w:t>
      </w:r>
      <w:r w:rsidRPr="58068477" w:rsidR="00E641F2">
        <w:rPr>
          <w:lang w:eastAsia="ja-JP"/>
        </w:rPr>
        <w:t xml:space="preserve"> </w:t>
      </w:r>
      <w:r w:rsidR="00694D02">
        <w:rPr>
          <w:lang w:eastAsia="ja-JP"/>
        </w:rPr>
        <w:t>In 2015, the Commission</w:t>
      </w:r>
      <w:r w:rsidR="008914EF">
        <w:rPr>
          <w:lang w:eastAsia="ja-JP"/>
        </w:rPr>
        <w:t xml:space="preserve"> </w:t>
      </w:r>
      <w:r w:rsidRPr="58068477" w:rsidR="00481317">
        <w:rPr>
          <w:lang w:eastAsia="ja-JP"/>
        </w:rPr>
        <w:t>stipulated that</w:t>
      </w:r>
      <w:r w:rsidRPr="58068477" w:rsidR="003C7262">
        <w:rPr>
          <w:lang w:eastAsia="ja-JP"/>
        </w:rPr>
        <w:t xml:space="preserve"> </w:t>
      </w:r>
      <w:r w:rsidR="00CD2BAF">
        <w:rPr>
          <w:lang w:eastAsia="ja-JP"/>
        </w:rPr>
        <w:t>ISPs</w:t>
      </w:r>
      <w:r w:rsidRPr="58068477" w:rsidR="003C7262">
        <w:rPr>
          <w:lang w:eastAsia="ja-JP"/>
        </w:rPr>
        <w:t xml:space="preserve"> that wished to avail themselves of the transparency safe harbor needed to ensure that </w:t>
      </w:r>
      <w:r w:rsidRPr="58068477" w:rsidR="00481317">
        <w:rPr>
          <w:lang w:eastAsia="ja-JP"/>
        </w:rPr>
        <w:t xml:space="preserve">the </w:t>
      </w:r>
      <w:r w:rsidRPr="58068477" w:rsidR="00513284">
        <w:rPr>
          <w:lang w:eastAsia="ja-JP"/>
        </w:rPr>
        <w:t xml:space="preserve">broadband </w:t>
      </w:r>
      <w:r w:rsidRPr="58068477" w:rsidR="00D32CC8">
        <w:rPr>
          <w:lang w:eastAsia="ja-JP"/>
        </w:rPr>
        <w:t xml:space="preserve">consumer </w:t>
      </w:r>
      <w:r w:rsidRPr="58068477" w:rsidR="003C7262">
        <w:rPr>
          <w:lang w:eastAsia="ja-JP"/>
        </w:rPr>
        <w:t>label</w:t>
      </w:r>
      <w:r w:rsidRPr="58068477" w:rsidR="00513284">
        <w:rPr>
          <w:lang w:eastAsia="ja-JP"/>
        </w:rPr>
        <w:t xml:space="preserve"> </w:t>
      </w:r>
      <w:r w:rsidRPr="58068477" w:rsidR="00481317">
        <w:rPr>
          <w:lang w:eastAsia="ja-JP"/>
        </w:rPr>
        <w:t>was</w:t>
      </w:r>
      <w:r w:rsidRPr="58068477" w:rsidR="00513284">
        <w:rPr>
          <w:lang w:eastAsia="ja-JP"/>
        </w:rPr>
        <w:t xml:space="preserve"> accessible to pe</w:t>
      </w:r>
      <w:r w:rsidRPr="58068477" w:rsidR="00F83982">
        <w:rPr>
          <w:lang w:eastAsia="ja-JP"/>
        </w:rPr>
        <w:t>rsons</w:t>
      </w:r>
      <w:r w:rsidRPr="58068477" w:rsidR="00513284">
        <w:rPr>
          <w:lang w:eastAsia="ja-JP"/>
        </w:rPr>
        <w:t xml:space="preserve"> with disabilities.</w:t>
      </w:r>
      <w:r>
        <w:rPr>
          <w:rStyle w:val="FootnoteReference"/>
          <w:lang w:eastAsia="ja-JP"/>
        </w:rPr>
        <w:footnoteReference w:id="42"/>
      </w:r>
      <w:r w:rsidRPr="58068477" w:rsidR="00513284">
        <w:rPr>
          <w:lang w:eastAsia="ja-JP"/>
        </w:rPr>
        <w:t xml:space="preserve"> </w:t>
      </w:r>
      <w:r w:rsidRPr="58068477" w:rsidR="003C7262">
        <w:rPr>
          <w:lang w:eastAsia="ja-JP"/>
        </w:rPr>
        <w:t xml:space="preserve"> </w:t>
      </w:r>
      <w:r w:rsidRPr="58068477" w:rsidR="00513284">
        <w:rPr>
          <w:lang w:eastAsia="ja-JP"/>
        </w:rPr>
        <w:t xml:space="preserve">The CAC determined that participating </w:t>
      </w:r>
      <w:r w:rsidR="00553C36">
        <w:rPr>
          <w:lang w:eastAsia="ja-JP"/>
        </w:rPr>
        <w:t>ISPs</w:t>
      </w:r>
      <w:r w:rsidRPr="58068477" w:rsidR="00513284">
        <w:rPr>
          <w:lang w:eastAsia="ja-JP"/>
        </w:rPr>
        <w:t xml:space="preserve"> can best ensure accessibility to printed and online information by relying on well</w:t>
      </w:r>
      <w:r w:rsidR="005B4680">
        <w:rPr>
          <w:lang w:eastAsia="ja-JP"/>
        </w:rPr>
        <w:t>-</w:t>
      </w:r>
      <w:r w:rsidRPr="58068477" w:rsidR="00513284">
        <w:rPr>
          <w:lang w:eastAsia="ja-JP"/>
        </w:rPr>
        <w:t>established legal requirements included in the Americans with Disabilities Act</w:t>
      </w:r>
      <w:r>
        <w:rPr>
          <w:rStyle w:val="FootnoteReference"/>
          <w:lang w:eastAsia="ja-JP"/>
        </w:rPr>
        <w:footnoteReference w:id="43"/>
      </w:r>
      <w:r w:rsidRPr="58068477" w:rsidR="004165C3">
        <w:rPr>
          <w:lang w:eastAsia="ja-JP"/>
        </w:rPr>
        <w:t xml:space="preserve"> </w:t>
      </w:r>
      <w:r w:rsidRPr="58068477" w:rsidR="00513284">
        <w:rPr>
          <w:lang w:eastAsia="ja-JP"/>
        </w:rPr>
        <w:t>and by following the guidance developed by the Web Accessibility Initiative.</w:t>
      </w:r>
      <w:r>
        <w:rPr>
          <w:rStyle w:val="FootnoteReference"/>
          <w:lang w:eastAsia="ja-JP"/>
        </w:rPr>
        <w:footnoteReference w:id="44"/>
      </w:r>
      <w:r w:rsidRPr="58068477" w:rsidR="004165C3">
        <w:rPr>
          <w:lang w:eastAsia="ja-JP"/>
        </w:rPr>
        <w:t xml:space="preserve"> </w:t>
      </w:r>
      <w:r w:rsidRPr="58068477" w:rsidR="00513284">
        <w:rPr>
          <w:lang w:eastAsia="ja-JP"/>
        </w:rPr>
        <w:t xml:space="preserve"> </w:t>
      </w:r>
      <w:r w:rsidRPr="58068477" w:rsidR="003C7262">
        <w:rPr>
          <w:lang w:eastAsia="ja-JP"/>
        </w:rPr>
        <w:t>The CAC found that r</w:t>
      </w:r>
      <w:r w:rsidRPr="58068477" w:rsidR="00513284">
        <w:rPr>
          <w:lang w:eastAsia="ja-JP"/>
        </w:rPr>
        <w:t xml:space="preserve">elying on these </w:t>
      </w:r>
      <w:r w:rsidRPr="58068477" w:rsidR="003C7262">
        <w:rPr>
          <w:lang w:eastAsia="ja-JP"/>
        </w:rPr>
        <w:t xml:space="preserve">guidelines </w:t>
      </w:r>
      <w:r w:rsidRPr="58068477" w:rsidR="00513284">
        <w:rPr>
          <w:lang w:eastAsia="ja-JP"/>
        </w:rPr>
        <w:t xml:space="preserve">provides the best likelihood of </w:t>
      </w:r>
      <w:r w:rsidRPr="58068477" w:rsidR="00513284">
        <w:rPr>
          <w:lang w:eastAsia="ja-JP"/>
        </w:rPr>
        <w:t xml:space="preserve">ensuring that consumers with disabilities will be able to access </w:t>
      </w:r>
      <w:r w:rsidRPr="58068477" w:rsidR="00E641F2">
        <w:rPr>
          <w:lang w:eastAsia="ja-JP"/>
        </w:rPr>
        <w:t xml:space="preserve">necessary </w:t>
      </w:r>
      <w:r w:rsidRPr="58068477" w:rsidR="00513284">
        <w:rPr>
          <w:lang w:eastAsia="ja-JP"/>
        </w:rPr>
        <w:t>information about broadband services.</w:t>
      </w:r>
      <w:r w:rsidRPr="58068477" w:rsidR="00F83982">
        <w:rPr>
          <w:lang w:eastAsia="ja-JP"/>
        </w:rPr>
        <w:t xml:space="preserve">  We seek comment on whether such guidelines remain accurate today and how best to ensure that any required labels are accessible to persons with disabilities.</w:t>
      </w:r>
    </w:p>
    <w:p w:rsidR="00606DB6" w:rsidP="004903AF" w14:paraId="67ECA45B" w14:textId="76D093BC">
      <w:pPr>
        <w:pStyle w:val="Heading2"/>
      </w:pPr>
      <w:r>
        <w:t xml:space="preserve">Relationship </w:t>
      </w:r>
      <w:r w:rsidR="001B6C67">
        <w:t>to</w:t>
      </w:r>
      <w:r>
        <w:t xml:space="preserve"> Transparency R</w:t>
      </w:r>
      <w:r w:rsidR="00D84F38">
        <w:t>ule</w:t>
      </w:r>
    </w:p>
    <w:p w:rsidR="00714185" w:rsidP="004903AF" w14:paraId="3E936A71" w14:textId="5830CF9C">
      <w:pPr>
        <w:pStyle w:val="ParaNum"/>
      </w:pPr>
      <w:r>
        <w:t>We seek comment on the interplay between our existing transparency rule</w:t>
      </w:r>
      <w:r>
        <w:rPr>
          <w:rStyle w:val="FootnoteReference"/>
        </w:rPr>
        <w:footnoteReference w:id="45"/>
      </w:r>
      <w:r>
        <w:t xml:space="preserve"> and the</w:t>
      </w:r>
      <w:r w:rsidR="002109C5">
        <w:t xml:space="preserve"> proposed</w:t>
      </w:r>
      <w:r>
        <w:t xml:space="preserve"> broadband label</w:t>
      </w:r>
      <w:r w:rsidR="002109C5">
        <w:t>s</w:t>
      </w:r>
      <w:r>
        <w:t xml:space="preserve">.  </w:t>
      </w:r>
      <w:r w:rsidR="001875FC">
        <w:t xml:space="preserve">The </w:t>
      </w:r>
      <w:r w:rsidRPr="1C14CCCF" w:rsidR="006136FE">
        <w:t xml:space="preserve">Commission’s broadband transparency requirement </w:t>
      </w:r>
      <w:r w:rsidR="00C25DDB">
        <w:t>provides</w:t>
      </w:r>
      <w:r w:rsidRPr="1C14CCCF" w:rsidR="006136FE">
        <w:t xml:space="preserve"> </w:t>
      </w:r>
      <w:r w:rsidRPr="1C14CCCF" w:rsidR="00A35C0A">
        <w:t>that “</w:t>
      </w:r>
      <w:r w:rsidRPr="58068477" w:rsidR="00A35C0A">
        <w:t>[a]</w:t>
      </w:r>
      <w:r w:rsidRPr="58068477" w:rsidR="00A35C0A">
        <w:t>ny</w:t>
      </w:r>
      <w:r w:rsidRPr="58068477" w:rsidR="00A35C0A">
        <w:t xml:space="preserve"> person providing broadband internet access service</w:t>
      </w:r>
      <w:r w:rsidR="00135C5C">
        <w:t xml:space="preserve"> shall publicly</w:t>
      </w:r>
      <w:r w:rsidRPr="58068477" w:rsidR="00A35C0A">
        <w:t xml:space="preserve"> disclose accurate information regarding the network management practices, performance characteristics, and commercial terms of its broadband internet access services sufficient to enable consumers to make informed choices regarding the purchase and use of such services and entrepreneurs and other small businesses to develop, market, and maintain internet offerings.</w:t>
      </w:r>
      <w:r w:rsidR="00A35C0A">
        <w:t>”</w:t>
      </w:r>
      <w:r>
        <w:rPr>
          <w:rStyle w:val="FootnoteReference"/>
        </w:rPr>
        <w:footnoteReference w:id="46"/>
      </w:r>
      <w:r w:rsidRPr="58068477" w:rsidR="006D5D3F">
        <w:t xml:space="preserve">  </w:t>
      </w:r>
    </w:p>
    <w:p w:rsidR="00606DB6" w:rsidP="004903AF" w14:paraId="5B96A279" w14:textId="143D1401">
      <w:pPr>
        <w:pStyle w:val="ParaNum"/>
      </w:pPr>
      <w:r w:rsidRPr="1C14CCCF">
        <w:t xml:space="preserve">We </w:t>
      </w:r>
      <w:r w:rsidR="00527734">
        <w:t>observe</w:t>
      </w:r>
      <w:r w:rsidRPr="1C14CCCF">
        <w:t xml:space="preserve"> that there may be </w:t>
      </w:r>
      <w:r w:rsidRPr="1C14CCCF" w:rsidR="00686112">
        <w:t xml:space="preserve">differences </w:t>
      </w:r>
      <w:r w:rsidR="00CA7E13">
        <w:t>between</w:t>
      </w:r>
      <w:r w:rsidRPr="1C14CCCF" w:rsidR="00CA7E13">
        <w:t xml:space="preserve"> </w:t>
      </w:r>
      <w:r w:rsidRPr="1C14CCCF" w:rsidR="00686112">
        <w:t xml:space="preserve">the information required by the transparency </w:t>
      </w:r>
      <w:r w:rsidR="00351847">
        <w:t>rule</w:t>
      </w:r>
      <w:r w:rsidRPr="1C14CCCF" w:rsidR="00686112">
        <w:t xml:space="preserve"> and the </w:t>
      </w:r>
      <w:r w:rsidR="004E2D7B">
        <w:t>proposed</w:t>
      </w:r>
      <w:r w:rsidR="003D125B">
        <w:t xml:space="preserve"> </w:t>
      </w:r>
      <w:r w:rsidRPr="1C14CCCF" w:rsidR="00686112">
        <w:t>broadband label</w:t>
      </w:r>
      <w:r w:rsidR="00A428F0">
        <w:t>s</w:t>
      </w:r>
      <w:r w:rsidRPr="1C14CCCF" w:rsidR="00686112">
        <w:t xml:space="preserve">.  We therefore </w:t>
      </w:r>
      <w:r w:rsidRPr="1C14CCCF">
        <w:t xml:space="preserve">seek comment on the interplay between the two.  Should display of the </w:t>
      </w:r>
      <w:r w:rsidR="008E4605">
        <w:t xml:space="preserve">proposed </w:t>
      </w:r>
      <w:r w:rsidRPr="1C14CCCF">
        <w:t>label</w:t>
      </w:r>
      <w:r w:rsidR="003D125B">
        <w:t>s</w:t>
      </w:r>
      <w:r w:rsidRPr="1C14CCCF">
        <w:t xml:space="preserve"> </w:t>
      </w:r>
      <w:r w:rsidR="00D961D9">
        <w:t xml:space="preserve">fully </w:t>
      </w:r>
      <w:r w:rsidRPr="1C14CCCF">
        <w:t>satisfy the current transparency rule</w:t>
      </w:r>
      <w:r w:rsidR="00F7167B">
        <w:t xml:space="preserve">?  </w:t>
      </w:r>
      <w:r w:rsidR="008037EF">
        <w:t>In what ways d</w:t>
      </w:r>
      <w:r w:rsidRPr="1C14CCCF">
        <w:t xml:space="preserve">oes the transparency rule require disclosures beyond those in our proposed labels?  </w:t>
      </w:r>
      <w:r w:rsidRPr="1C14CCCF" w:rsidR="00FB2474">
        <w:t>Alternatively, do the broadband consumer label</w:t>
      </w:r>
      <w:r w:rsidR="0029615E">
        <w:t>s</w:t>
      </w:r>
      <w:r w:rsidRPr="1C14CCCF" w:rsidR="00FB2474">
        <w:t xml:space="preserve"> require disclosures beyond the scope of the existing transparency rule?  </w:t>
      </w:r>
      <w:r w:rsidR="00854859">
        <w:t>Will</w:t>
      </w:r>
      <w:r w:rsidRPr="1C14CCCF" w:rsidR="00EF42E6">
        <w:t xml:space="preserve"> </w:t>
      </w:r>
      <w:r w:rsidRPr="1C14CCCF" w:rsidR="00631D1B">
        <w:t>the broadband consumer label</w:t>
      </w:r>
      <w:r w:rsidR="001E109D">
        <w:t>s’</w:t>
      </w:r>
      <w:r w:rsidRPr="1C14CCCF" w:rsidR="00631D1B">
        <w:t xml:space="preserve"> requirement</w:t>
      </w:r>
      <w:r w:rsidR="001E109D">
        <w:t>s</w:t>
      </w:r>
      <w:r w:rsidRPr="1C14CCCF" w:rsidR="00EF42E6">
        <w:t xml:space="preserve"> necessitate further changes to the Commission’s transparency rule?  </w:t>
      </w:r>
      <w:r w:rsidRPr="1C14CCCF" w:rsidR="005218E7">
        <w:t xml:space="preserve">If so, how should we resolve potential </w:t>
      </w:r>
      <w:r w:rsidR="001D60AF">
        <w:t>inconsistencies</w:t>
      </w:r>
      <w:r w:rsidRPr="1C14CCCF" w:rsidR="005218E7">
        <w:t>?</w:t>
      </w:r>
      <w:r w:rsidR="00C53BE6">
        <w:t xml:space="preserve">  The draft proposed rule in Appendix A reflects the view that </w:t>
      </w:r>
      <w:r w:rsidR="001256C4">
        <w:t xml:space="preserve">display of </w:t>
      </w:r>
      <w:r w:rsidR="00C53BE6">
        <w:t xml:space="preserve">the </w:t>
      </w:r>
      <w:r w:rsidR="001256C4">
        <w:t>broadband</w:t>
      </w:r>
      <w:r w:rsidR="00C53BE6">
        <w:t xml:space="preserve"> labels would </w:t>
      </w:r>
      <w:r w:rsidR="001256C4">
        <w:t>be necessary for compliance with</w:t>
      </w:r>
      <w:r w:rsidR="00C53BE6">
        <w:t xml:space="preserve"> the </w:t>
      </w:r>
      <w:r w:rsidR="001256C4">
        <w:t xml:space="preserve">general </w:t>
      </w:r>
      <w:r w:rsidR="00C53BE6">
        <w:t xml:space="preserve">transparency rule.  We nevertheless seek comment on alternative rule formulations that would reflect different possible approaches to the relationship between the two and that </w:t>
      </w:r>
      <w:r w:rsidR="00C53BE6">
        <w:rPr>
          <w:rFonts w:cstheme="minorHAnsi"/>
          <w:szCs w:val="22"/>
        </w:rPr>
        <w:t>sufficiently satisfy the objectives outlined in this NPRM.</w:t>
      </w:r>
      <w:r w:rsidR="00C53BE6">
        <w:t xml:space="preserve">  </w:t>
      </w:r>
    </w:p>
    <w:p w:rsidR="003E101A" w:rsidRPr="00714185" w:rsidP="004903AF" w14:paraId="51B0CD84" w14:textId="75B16A21">
      <w:pPr>
        <w:pStyle w:val="Heading2"/>
      </w:pPr>
      <w:r>
        <w:t>Enforcement Issues</w:t>
      </w:r>
    </w:p>
    <w:p w:rsidR="00635E99" w:rsidP="004903AF" w14:paraId="79F70DD5" w14:textId="4EAD6AAA">
      <w:pPr>
        <w:pStyle w:val="ParaNum"/>
      </w:pPr>
      <w:r>
        <w:t>We</w:t>
      </w:r>
      <w:r w:rsidRPr="6484784A" w:rsidR="00606DB6">
        <w:t xml:space="preserve"> seek comment on issues related to enforcement of the </w:t>
      </w:r>
      <w:r w:rsidR="006C6D70">
        <w:t xml:space="preserve">proposed </w:t>
      </w:r>
      <w:r w:rsidRPr="6484784A" w:rsidR="00606DB6">
        <w:t>broadband labels</w:t>
      </w:r>
      <w:r w:rsidR="00606DB6">
        <w:t>.</w:t>
      </w:r>
      <w:r w:rsidR="00AB5D93">
        <w:t xml:space="preserve">  </w:t>
      </w:r>
      <w:r w:rsidR="00D267BA">
        <w:t>What is the extent of our</w:t>
      </w:r>
      <w:r w:rsidR="00F12718">
        <w:t xml:space="preserve"> authority under the Infrastructure Act to </w:t>
      </w:r>
      <w:r w:rsidR="004A6484">
        <w:t>enforce the broadband consumer label</w:t>
      </w:r>
      <w:r w:rsidR="00FC3202">
        <w:t>s</w:t>
      </w:r>
      <w:r w:rsidR="004A6484">
        <w:t xml:space="preserve"> as a</w:t>
      </w:r>
      <w:r w:rsidR="00631D1B">
        <w:t>n entirely</w:t>
      </w:r>
      <w:r w:rsidR="004A6484">
        <w:t xml:space="preserve"> separate requirement from the transparency rule</w:t>
      </w:r>
      <w:r w:rsidR="0075688C">
        <w:t>, o</w:t>
      </w:r>
      <w:r w:rsidR="004A6484">
        <w:t xml:space="preserve">r </w:t>
      </w:r>
      <w:r w:rsidR="008C7877">
        <w:t>as an adjunct of our transparency rule</w:t>
      </w:r>
      <w:r w:rsidR="00131AA3">
        <w:t>, which w</w:t>
      </w:r>
      <w:r w:rsidR="00355841">
        <w:t>as</w:t>
      </w:r>
      <w:r w:rsidR="00131AA3">
        <w:t xml:space="preserve"> promulgated pursuant to our authority </w:t>
      </w:r>
      <w:r w:rsidR="00DB5B6C">
        <w:t xml:space="preserve">under </w:t>
      </w:r>
      <w:r w:rsidR="00131AA3">
        <w:t>the Communications Act</w:t>
      </w:r>
      <w:r w:rsidR="008C7877">
        <w:t>?</w:t>
      </w:r>
      <w:r>
        <w:t xml:space="preserve">  </w:t>
      </w:r>
      <w:r w:rsidR="00892EA6">
        <w:t>W</w:t>
      </w:r>
      <w:r w:rsidRPr="6484784A" w:rsidR="00206A42">
        <w:t xml:space="preserve">e ask </w:t>
      </w:r>
      <w:r w:rsidR="008C3135">
        <w:t xml:space="preserve">that </w:t>
      </w:r>
      <w:r w:rsidRPr="6484784A" w:rsidR="00206A42">
        <w:t>commenters address the scope of our enforcement authority, particularly in light of Commission precedent in this area.</w:t>
      </w:r>
      <w:r>
        <w:rPr>
          <w:rStyle w:val="FootnoteReference"/>
        </w:rPr>
        <w:footnoteReference w:id="47"/>
      </w:r>
      <w:r w:rsidRPr="00206A42">
        <w:t xml:space="preserve">  </w:t>
      </w:r>
      <w:r w:rsidR="006C4978">
        <w:t>Should the Commission adopt</w:t>
      </w:r>
      <w:r w:rsidR="00425EB1">
        <w:t xml:space="preserve"> rules</w:t>
      </w:r>
      <w:r w:rsidR="006C4978">
        <w:t xml:space="preserve"> specifically</w:t>
      </w:r>
      <w:r w:rsidR="00425EB1">
        <w:t xml:space="preserve"> governing enforcement</w:t>
      </w:r>
      <w:r w:rsidR="006C4978">
        <w:t xml:space="preserve"> of the broadband label requirement</w:t>
      </w:r>
      <w:r w:rsidR="00425EB1">
        <w:t xml:space="preserve">, or should the Commission </w:t>
      </w:r>
      <w:r w:rsidR="006C4978">
        <w:t>employ the same enforcement rules and requirements that it relies on in other contexts?</w:t>
      </w:r>
    </w:p>
    <w:p w:rsidR="00764123" w:rsidRPr="00206A42" w:rsidP="004903AF" w14:paraId="5BE511F2" w14:textId="4F154B16">
      <w:pPr>
        <w:pStyle w:val="ParaNum"/>
      </w:pPr>
      <w:r>
        <w:t xml:space="preserve">Finally, we seek comment </w:t>
      </w:r>
      <w:r w:rsidR="00915390">
        <w:t xml:space="preserve">on how to evaluate and enforce the accuracy </w:t>
      </w:r>
      <w:r w:rsidR="00764414">
        <w:t>of the information presented in the broadband consumer label</w:t>
      </w:r>
      <w:r w:rsidR="00EA4161">
        <w:t>s</w:t>
      </w:r>
      <w:r w:rsidR="00764414">
        <w:t xml:space="preserve">.  </w:t>
      </w:r>
      <w:r w:rsidR="00C35828">
        <w:t xml:space="preserve">How can the Commission verify the accuracy of the information that </w:t>
      </w:r>
      <w:r w:rsidR="00F94D12">
        <w:t xml:space="preserve">a </w:t>
      </w:r>
      <w:r w:rsidR="003233B5">
        <w:t>broadband</w:t>
      </w:r>
      <w:r w:rsidR="00C35828">
        <w:t xml:space="preserve"> provider </w:t>
      </w:r>
      <w:r w:rsidR="006D2A9A">
        <w:t>use</w:t>
      </w:r>
      <w:r w:rsidR="00F94D12">
        <w:t>s</w:t>
      </w:r>
      <w:r w:rsidR="006D2A9A">
        <w:t xml:space="preserve"> in </w:t>
      </w:r>
      <w:r w:rsidR="00F94D12">
        <w:t xml:space="preserve">a </w:t>
      </w:r>
      <w:r w:rsidR="006D2A9A">
        <w:t xml:space="preserve">broadband consumer label?  </w:t>
      </w:r>
      <w:r w:rsidR="005F0013">
        <w:t xml:space="preserve">How best can the Commission confirm that any variance between the disclosed performance metrics and </w:t>
      </w:r>
      <w:r w:rsidR="00C347D6">
        <w:t>actual perf</w:t>
      </w:r>
      <w:r w:rsidR="006E03D7">
        <w:t xml:space="preserve">ormance as experienced by individual consumers is </w:t>
      </w:r>
      <w:r w:rsidR="00806752">
        <w:t xml:space="preserve">or is not consistent with </w:t>
      </w:r>
      <w:r w:rsidR="00F50255">
        <w:t xml:space="preserve">normal network variation? </w:t>
      </w:r>
      <w:r w:rsidR="006E03D7">
        <w:t xml:space="preserve"> </w:t>
      </w:r>
      <w:r w:rsidR="005C3BDD">
        <w:t xml:space="preserve">How should the Commission enforce </w:t>
      </w:r>
      <w:r w:rsidR="003106FD">
        <w:t xml:space="preserve">against inaccuracies in the </w:t>
      </w:r>
      <w:r w:rsidR="001A573E">
        <w:t>provided information?</w:t>
      </w:r>
      <w:r w:rsidR="00E81D5F">
        <w:t xml:space="preserve"> </w:t>
      </w:r>
    </w:p>
    <w:p w:rsidR="005159A4" w:rsidP="004903AF" w14:paraId="35D2996A" w14:textId="6FAF4F69">
      <w:pPr>
        <w:pStyle w:val="Heading2"/>
      </w:pPr>
      <w:r>
        <w:t xml:space="preserve">Implementation </w:t>
      </w:r>
      <w:r w:rsidR="00376231">
        <w:t>and Other Issues</w:t>
      </w:r>
    </w:p>
    <w:p w:rsidR="005159A4" w:rsidRPr="00E848A3" w:rsidP="004903AF" w14:paraId="6B544475" w14:textId="338671BF">
      <w:pPr>
        <w:pStyle w:val="ParaNum"/>
        <w:rPr>
          <w:rFonts w:eastAsiaTheme="minorEastAsia"/>
          <w:iCs/>
        </w:rPr>
      </w:pPr>
      <w:r>
        <w:t xml:space="preserve">We seek comment on the best ways for </w:t>
      </w:r>
      <w:r w:rsidR="00F25EC7">
        <w:t>providers</w:t>
      </w:r>
      <w:r>
        <w:t xml:space="preserve"> to implement the proposed labels, including the timelines within which they </w:t>
      </w:r>
      <w:r w:rsidR="006F32E0">
        <w:t>sh</w:t>
      </w:r>
      <w:r>
        <w:t>ould implement them.  We expect providers to develop and implement procedures reasonably designed to ensure compliance with the proposed label</w:t>
      </w:r>
      <w:r w:rsidR="00A37548">
        <w:t>s’</w:t>
      </w:r>
      <w:r>
        <w:t xml:space="preserve"> requirements and</w:t>
      </w:r>
      <w:r w:rsidR="007F4A50">
        <w:t>,</w:t>
      </w:r>
      <w:r>
        <w:t xml:space="preserve"> as part of that process, to notify employees, sub-contractors, agents or other persons acting on behalf of the provider in marketing the provider’s service</w:t>
      </w:r>
      <w:r w:rsidR="00917967">
        <w:t>s</w:t>
      </w:r>
      <w:r>
        <w:t xml:space="preserve"> of these disclosure requirements. </w:t>
      </w:r>
      <w:r w:rsidR="00685CB6">
        <w:t xml:space="preserve"> </w:t>
      </w:r>
      <w:r w:rsidR="00212DB4">
        <w:t xml:space="preserve">We propose to adopt rules in that regard, </w:t>
      </w:r>
      <w:r w:rsidR="00450627">
        <w:t>including specifying that t</w:t>
      </w:r>
      <w:r>
        <w:t>he provider will bear the burden to demonstrate that it has made all reasonable efforts to ensure compliance should a complaint arise</w:t>
      </w:r>
      <w:r w:rsidR="006A61DF">
        <w:t xml:space="preserve"> or other information is brought to the Commission’s attention</w:t>
      </w:r>
      <w:r>
        <w:t xml:space="preserve"> regarding the label disclosure practices of a third party acting on the provider’s behalf.  </w:t>
      </w:r>
      <w:r w:rsidR="00450627">
        <w:t xml:space="preserve">We seek comment on </w:t>
      </w:r>
      <w:r w:rsidR="00527501">
        <w:t>that proposal and on any alternatives.</w:t>
      </w:r>
    </w:p>
    <w:p w:rsidR="005159A4" w:rsidRPr="00166268" w:rsidP="004903AF" w14:paraId="4F43A573" w14:textId="7CDE1C4D">
      <w:pPr>
        <w:pStyle w:val="ParaNum"/>
      </w:pPr>
      <w:r>
        <w:t>In order to allow sufficient time for providers to implement the measures necessary to comply with these requirements, we propose to make these rules effective six months following publication in the Federal Register</w:t>
      </w:r>
      <w:r w:rsidR="00B86664">
        <w:t xml:space="preserve"> of the Office of Management and Budget’s </w:t>
      </w:r>
      <w:r w:rsidR="00A55D5C">
        <w:t xml:space="preserve">(OMB’s) </w:t>
      </w:r>
      <w:r w:rsidR="00B86664">
        <w:t>approval of the adopted rules</w:t>
      </w:r>
      <w:r>
        <w:t xml:space="preserve">.  Is six months sufficient for both large and smaller providers?  </w:t>
      </w:r>
      <w:r w:rsidR="009573A2">
        <w:t>S</w:t>
      </w:r>
      <w:r>
        <w:t xml:space="preserve">hould </w:t>
      </w:r>
      <w:r w:rsidR="009573A2">
        <w:t>the Commission</w:t>
      </w:r>
      <w:r>
        <w:t xml:space="preserve"> adopt a different implementation timeline or temporary exemption for smaller providers to allow them more time to come into compliance with the label</w:t>
      </w:r>
      <w:r w:rsidR="005E6E55">
        <w:t>s’</w:t>
      </w:r>
      <w:r>
        <w:t xml:space="preserve"> requirements, and do we have the discretion to do so?</w:t>
      </w:r>
      <w:r w:rsidR="002109C5">
        <w:t xml:space="preserve">  </w:t>
      </w:r>
      <w:r>
        <w:t xml:space="preserve">We seek comment on the proposed implementation period(s) generally.  </w:t>
      </w:r>
      <w:r w:rsidR="005C33AA">
        <w:t>Finally, we seek comment on whether there</w:t>
      </w:r>
      <w:r>
        <w:t xml:space="preserve"> </w:t>
      </w:r>
      <w:r w:rsidR="005C33AA">
        <w:t>are</w:t>
      </w:r>
      <w:r w:rsidRPr="58068477" w:rsidR="005C33AA">
        <w:t xml:space="preserve"> alternative ways, other than different implementation timeframes, to minimize the economic impact on smaller service providers while achieving </w:t>
      </w:r>
      <w:r w:rsidR="005C33AA">
        <w:t>the Commission’s transparency objectives</w:t>
      </w:r>
      <w:r w:rsidR="008675C9">
        <w:t>.</w:t>
      </w:r>
      <w:r w:rsidRPr="008524A7" w:rsidR="005C33AA">
        <w:t xml:space="preserve"> </w:t>
      </w:r>
      <w:r w:rsidRPr="00D55DDC" w:rsidR="005C33AA">
        <w:t xml:space="preserve"> </w:t>
      </w:r>
    </w:p>
    <w:bookmarkEnd w:id="28"/>
    <w:p w:rsidR="007F4BE0" w:rsidP="004903AF" w14:paraId="5A335FE1" w14:textId="3D1924EB">
      <w:pPr>
        <w:pStyle w:val="ParaNum"/>
      </w:pPr>
      <w:r w:rsidRPr="58068477">
        <w:t>A</w:t>
      </w:r>
      <w:r w:rsidRPr="58068477">
        <w:t xml:space="preserve">s part of </w:t>
      </w:r>
      <w:r w:rsidRPr="58068477">
        <w:t>our</w:t>
      </w:r>
      <w:r w:rsidRPr="58068477">
        <w:t xml:space="preserve"> continuing effort to advance digital equity for all,</w:t>
      </w:r>
      <w:r>
        <w:rPr>
          <w:sz w:val="20"/>
          <w:vertAlign w:val="superscript"/>
        </w:rPr>
        <w:footnoteReference w:id="48"/>
      </w:r>
      <w:r w:rsidRPr="58068477">
        <w:t xml:space="preserve"> including people of color, persons with disabilities, persons who live in rural or Tribal areas, and others who are or have been historically underserved, marginalized, or adversely affected by persistent poverty or inequality, </w:t>
      </w:r>
      <w:r w:rsidRPr="58068477">
        <w:t xml:space="preserve">we </w:t>
      </w:r>
      <w:r w:rsidRPr="58068477">
        <w:t xml:space="preserve">invite comment on </w:t>
      </w:r>
      <w:r w:rsidRPr="58068477" w:rsidR="00683673">
        <w:t>how a</w:t>
      </w:r>
      <w:r w:rsidRPr="58068477">
        <w:t>ny</w:t>
      </w:r>
      <w:r w:rsidRPr="58068477" w:rsidR="00683673">
        <w:t xml:space="preserve"> broadband consumer label</w:t>
      </w:r>
      <w:r w:rsidR="00500C0F">
        <w:t>s</w:t>
      </w:r>
      <w:r w:rsidRPr="58068477" w:rsidR="00683673">
        <w:t xml:space="preserve"> can advance </w:t>
      </w:r>
      <w:r w:rsidRPr="58068477">
        <w:t>equity</w:t>
      </w:r>
      <w:r w:rsidRPr="58068477" w:rsidR="00683673">
        <w:t xml:space="preserve"> in the provision of and access to digital communications services </w:t>
      </w:r>
      <w:r w:rsidRPr="58068477" w:rsidR="00122037">
        <w:t>and products for all people of the United States, without discrimination on the basis of race, color, religion, national origin, sex, or disability.</w:t>
      </w:r>
      <w:r>
        <w:rPr>
          <w:sz w:val="20"/>
          <w:vertAlign w:val="superscript"/>
        </w:rPr>
        <w:footnoteReference w:id="49"/>
      </w:r>
      <w:r w:rsidR="00122037">
        <w:t xml:space="preserve">  </w:t>
      </w:r>
      <w:r w:rsidRPr="58068477">
        <w:t>Specifically, we seek comment on how our proposals may promote or inhibit advances in diversity, equity, inclusion, and accessibility, as well the scope of the Commission’s relevant legal authority.</w:t>
      </w:r>
    </w:p>
    <w:p w:rsidR="008929B6" w:rsidP="004903AF" w14:paraId="68DA01CB" w14:textId="6451AFB4">
      <w:pPr>
        <w:pStyle w:val="ParaNum"/>
      </w:pPr>
      <w:r>
        <w:t xml:space="preserve">We also seek comment on </w:t>
      </w:r>
      <w:r w:rsidR="003F6D15">
        <w:t xml:space="preserve">whether and how the </w:t>
      </w:r>
      <w:r w:rsidR="001B4724">
        <w:t>broadband consumer label</w:t>
      </w:r>
      <w:r w:rsidR="008B7712">
        <w:t>s</w:t>
      </w:r>
      <w:r w:rsidR="001B4724">
        <w:t xml:space="preserve"> can be used to </w:t>
      </w:r>
      <w:r w:rsidR="00696A51">
        <w:t xml:space="preserve">facilitate equal access to broadband </w:t>
      </w:r>
      <w:r w:rsidR="00DA106B">
        <w:t>I</w:t>
      </w:r>
      <w:r w:rsidR="00696A51">
        <w:t>nternet access service</w:t>
      </w:r>
      <w:r w:rsidR="002B7C15">
        <w:t>s</w:t>
      </w:r>
      <w:r w:rsidR="0002339C">
        <w:t xml:space="preserve">.  </w:t>
      </w:r>
      <w:r w:rsidR="00544B32">
        <w:t>S</w:t>
      </w:r>
      <w:r w:rsidR="001861DE">
        <w:t>ection 60506(b) of the Infrastructure Act requires that the Commissio</w:t>
      </w:r>
      <w:r w:rsidR="005459BC">
        <w:t>n “</w:t>
      </w:r>
      <w:r w:rsidR="000811A6">
        <w:t>adopt final rules to facilitate equal access to broadband internet access service, taking into account the issues of technical and economic feasibility presented by that objective</w:t>
      </w:r>
      <w:r w:rsidR="00A7082F">
        <w:t>. . .</w:t>
      </w:r>
      <w:r w:rsidR="00001E76">
        <w:t xml:space="preserve"> </w:t>
      </w:r>
      <w:r w:rsidR="00A7082F">
        <w:t>.”</w:t>
      </w:r>
      <w:r>
        <w:rPr>
          <w:rStyle w:val="FootnoteReference"/>
        </w:rPr>
        <w:footnoteReference w:id="50"/>
      </w:r>
      <w:r w:rsidR="00A7082F">
        <w:t xml:space="preserve">  </w:t>
      </w:r>
      <w:r w:rsidR="00D53DC9">
        <w:t>Are there particular label requirements that would support Commission efforts in this regard</w:t>
      </w:r>
      <w:r w:rsidR="00837997">
        <w:t xml:space="preserve">? </w:t>
      </w:r>
    </w:p>
    <w:p w:rsidR="001D3A47" w:rsidP="004903AF" w14:paraId="2FBC1B5B" w14:textId="0A0EF09B">
      <w:pPr>
        <w:pStyle w:val="ParaNum"/>
        <w:widowControl/>
      </w:pPr>
      <w:r>
        <w:t xml:space="preserve">In implementing the </w:t>
      </w:r>
      <w:r w:rsidRPr="1C14CCCF">
        <w:t>broadband consumer labels</w:t>
      </w:r>
      <w:r>
        <w:t xml:space="preserve"> requirement, w</w:t>
      </w:r>
      <w:r w:rsidRPr="00036EAF">
        <w:t xml:space="preserve">e seek comment on the cost effectiveness of </w:t>
      </w:r>
      <w:r w:rsidR="00785BFA">
        <w:t xml:space="preserve">the </w:t>
      </w:r>
      <w:r w:rsidRPr="00036EAF">
        <w:t>proposals viewed as a whole.</w:t>
      </w:r>
      <w:r>
        <w:t xml:space="preserve"> </w:t>
      </w:r>
      <w:r w:rsidRPr="00036EAF">
        <w:t xml:space="preserve"> </w:t>
      </w:r>
      <w:r>
        <w:t>A</w:t>
      </w:r>
      <w:r w:rsidRPr="00036EAF">
        <w:t xml:space="preserve">re the costs to </w:t>
      </w:r>
      <w:r w:rsidR="007B16C2">
        <w:t>ISPs</w:t>
      </w:r>
      <w:r w:rsidRPr="00036EAF">
        <w:t xml:space="preserve"> of adding extra information </w:t>
      </w:r>
      <w:r w:rsidR="00785BFA">
        <w:t xml:space="preserve">to </w:t>
      </w:r>
      <w:r w:rsidR="00363F9D">
        <w:t xml:space="preserve">labels at the point of sale </w:t>
      </w:r>
      <w:r w:rsidRPr="00036EAF">
        <w:t xml:space="preserve">relatively small, when considered against the benefits additional labeling </w:t>
      </w:r>
      <w:r w:rsidRPr="00036EAF">
        <w:t>would provide consumers?  What are the most cost-effective ways of making labels available</w:t>
      </w:r>
      <w:r w:rsidR="00634F47">
        <w:t xml:space="preserve"> to consumers</w:t>
      </w:r>
      <w:r w:rsidRPr="00036EAF">
        <w:t>?</w:t>
      </w:r>
      <w:r w:rsidR="00837997">
        <w:t xml:space="preserve"> </w:t>
      </w:r>
    </w:p>
    <w:p w:rsidR="009E5E72" w:rsidP="004903AF" w14:paraId="326AAF95" w14:textId="2A254664">
      <w:pPr>
        <w:pStyle w:val="Heading2"/>
      </w:pPr>
      <w:r>
        <w:t>Legal Authority</w:t>
      </w:r>
    </w:p>
    <w:p w:rsidR="00276AD4" w:rsidP="004903AF" w14:paraId="04E85A24" w14:textId="77777777">
      <w:pPr>
        <w:pStyle w:val="ParaNum"/>
      </w:pPr>
      <w:r w:rsidRPr="58068477">
        <w:t>In this N</w:t>
      </w:r>
      <w:r w:rsidRPr="58068477" w:rsidR="00A27642">
        <w:t>PRM</w:t>
      </w:r>
      <w:r w:rsidRPr="58068477">
        <w:t xml:space="preserve">, we propose rules to protect consumers and promote transparency by requiring disclosure </w:t>
      </w:r>
      <w:r w:rsidR="005731F8">
        <w:t xml:space="preserve">through labels </w:t>
      </w:r>
      <w:r w:rsidRPr="58068477">
        <w:t>of the terms and prices that are relevant in consumers’ decisions to purchase and</w:t>
      </w:r>
      <w:r w:rsidRPr="58068477" w:rsidR="00594BBA">
        <w:t xml:space="preserve"> manage broadband</w:t>
      </w:r>
      <w:r w:rsidRPr="58068477">
        <w:t xml:space="preserve"> services.  </w:t>
      </w:r>
      <w:r w:rsidRPr="58068477" w:rsidR="00CD7CEC">
        <w:t xml:space="preserve">We believe </w:t>
      </w:r>
      <w:r w:rsidRPr="58068477" w:rsidR="00D0049E">
        <w:t>t</w:t>
      </w:r>
      <w:r w:rsidRPr="58068477" w:rsidR="00CD7CEC">
        <w:t>he Infrastructure Act affords the Commission legal authority to adopt the proposed label</w:t>
      </w:r>
      <w:r w:rsidR="0057450E">
        <w:t>s’</w:t>
      </w:r>
      <w:r w:rsidRPr="58068477" w:rsidR="00CD7CEC">
        <w:t xml:space="preserve"> requirements for </w:t>
      </w:r>
      <w:r w:rsidR="00E60142">
        <w:t>ISPs</w:t>
      </w:r>
      <w:r w:rsidRPr="00D0049E" w:rsidR="00CD7CEC">
        <w:t>.</w:t>
      </w:r>
      <w:r w:rsidRPr="00D0049E" w:rsidR="00D0049E">
        <w:t xml:space="preserve">  </w:t>
      </w:r>
    </w:p>
    <w:p w:rsidR="005B4E30" w:rsidRPr="00D0049E" w:rsidP="004903AF" w14:paraId="79F07486" w14:textId="312BF164">
      <w:pPr>
        <w:pStyle w:val="ParaNum"/>
      </w:pPr>
      <w:r w:rsidRPr="58068477">
        <w:t xml:space="preserve">In addition, we note that the D.C. Circuit severed and upheld the Commission’s 2010 transparency rule in </w:t>
      </w:r>
      <w:r w:rsidRPr="1C14CCCF">
        <w:rPr>
          <w:i/>
        </w:rPr>
        <w:t>Verizon v. FCC</w:t>
      </w:r>
      <w:r w:rsidRPr="00D0049E">
        <w:t>.</w:t>
      </w:r>
      <w:r>
        <w:rPr>
          <w:rStyle w:val="FootnoteReference"/>
        </w:rPr>
        <w:footnoteReference w:id="51"/>
      </w:r>
      <w:r w:rsidRPr="58068477">
        <w:t xml:space="preserve">  While the majority did not expressly opine on the legal authority for the Commission’s prior transparency rule, we </w:t>
      </w:r>
      <w:r w:rsidR="00247333">
        <w:t>believe</w:t>
      </w:r>
      <w:r w:rsidRPr="58068477">
        <w:t xml:space="preserve"> that</w:t>
      </w:r>
      <w:r w:rsidR="00AA77FF">
        <w:t>,</w:t>
      </w:r>
      <w:r w:rsidRPr="58068477">
        <w:t xml:space="preserve"> like the 2010 transparency rule, the</w:t>
      </w:r>
      <w:r w:rsidRPr="58068477" w:rsidR="00E43761">
        <w:t xml:space="preserve"> label</w:t>
      </w:r>
      <w:r w:rsidR="00DC0D4A">
        <w:t>s</w:t>
      </w:r>
      <w:r w:rsidRPr="58068477">
        <w:t xml:space="preserve"> we </w:t>
      </w:r>
      <w:r w:rsidRPr="58068477" w:rsidR="00E43761">
        <w:t xml:space="preserve">propose to </w:t>
      </w:r>
      <w:r w:rsidRPr="58068477">
        <w:t>adopt fall</w:t>
      </w:r>
      <w:r w:rsidR="00E43761">
        <w:t xml:space="preserve"> </w:t>
      </w:r>
      <w:r w:rsidRPr="58068477">
        <w:t xml:space="preserve">well within multiple, independent sources of the Commission’s authority.  </w:t>
      </w:r>
      <w:r w:rsidR="000D7DB2">
        <w:t xml:space="preserve">The D.C. Circuit also affirmed the Commission’s reliance on statutory authority </w:t>
      </w:r>
      <w:r w:rsidR="004E203B">
        <w:t>under prior section 257 of the Communications Act (now moved in part to section 13 of the Act) for the transparency rule adopted there.</w:t>
      </w:r>
      <w:r>
        <w:rPr>
          <w:rStyle w:val="FootnoteReference"/>
        </w:rPr>
        <w:footnoteReference w:id="52"/>
      </w:r>
      <w:r w:rsidR="006862D2">
        <w:t xml:space="preserve">  We also seek comment on </w:t>
      </w:r>
      <w:r w:rsidR="00BF13C8">
        <w:t>the use of Title III authority</w:t>
      </w:r>
      <w:r w:rsidR="003C179A">
        <w:t>,</w:t>
      </w:r>
      <w:r w:rsidR="00BF13C8">
        <w:t xml:space="preserve"> </w:t>
      </w:r>
      <w:r w:rsidR="00D1705F">
        <w:t>insofar as the broadband label requirements apply to wireless licensees.</w:t>
      </w:r>
      <w:r w:rsidRPr="58068477">
        <w:t xml:space="preserve"> </w:t>
      </w:r>
      <w:r w:rsidRPr="005F34D5" w:rsidR="005F34D5">
        <w:t xml:space="preserve"> </w:t>
      </w:r>
      <w:r w:rsidR="0014762D">
        <w:t xml:space="preserve">Do our </w:t>
      </w:r>
      <w:r w:rsidR="005F34D5">
        <w:t>proposed broadband labeling requirements also advance other statutory goals</w:t>
      </w:r>
      <w:r w:rsidR="0014762D">
        <w:t>? If so, what are those?</w:t>
      </w:r>
      <w:r w:rsidR="005F34D5">
        <w:t xml:space="preserve"> </w:t>
      </w:r>
    </w:p>
    <w:p w:rsidR="006853AA" w:rsidRPr="003F1237" w:rsidP="004903AF" w14:paraId="43450389" w14:textId="49A584BF">
      <w:pPr>
        <w:pStyle w:val="ParaNum"/>
      </w:pPr>
      <w:r>
        <w:t>When the Commission has adopted disclosure requirements in the past, such as the transparency rule and its truth-in-billing requirements, it has evaluated its approach to ensure it was consistent with the First Amendment.</w:t>
      </w:r>
      <w:r>
        <w:rPr>
          <w:rStyle w:val="FootnoteReference"/>
        </w:rPr>
        <w:footnoteReference w:id="53"/>
      </w:r>
      <w:r>
        <w:t xml:space="preserve">  We thus likewise seek comment on any First Amendment considerations relevant here.</w:t>
      </w:r>
    </w:p>
    <w:p w:rsidR="006C64A3" w:rsidRPr="008E6655" w:rsidP="004903AF" w14:paraId="50E4E040" w14:textId="2CE78B37">
      <w:pPr>
        <w:pStyle w:val="ParaNum"/>
      </w:pPr>
      <w:r w:rsidRPr="58068477">
        <w:t xml:space="preserve">The </w:t>
      </w:r>
      <w:r w:rsidRPr="58068477" w:rsidR="008E6655">
        <w:t>Infrastructure Act directs the Commission to promulgate rules</w:t>
      </w:r>
      <w:r w:rsidRPr="58068477" w:rsidR="00B851A6">
        <w:t xml:space="preserve"> to require the display of broadband consumer labels, and the </w:t>
      </w:r>
      <w:r w:rsidRPr="58068477">
        <w:t xml:space="preserve">Commission’s </w:t>
      </w:r>
      <w:r w:rsidRPr="58068477" w:rsidR="00B851A6">
        <w:t xml:space="preserve">other </w:t>
      </w:r>
      <w:r w:rsidRPr="58068477">
        <w:t>statutory obligations include protecting consumers from unjust or unreasonable charges and practices.</w:t>
      </w:r>
      <w:r>
        <w:rPr>
          <w:sz w:val="20"/>
          <w:vertAlign w:val="superscript"/>
        </w:rPr>
        <w:footnoteReference w:id="54"/>
      </w:r>
      <w:r w:rsidRPr="006C64A3">
        <w:t xml:space="preserve"> </w:t>
      </w:r>
      <w:r w:rsidRPr="58068477">
        <w:t xml:space="preserve"> We believe our proposed regulations are designed to </w:t>
      </w:r>
      <w:r w:rsidRPr="58068477" w:rsidR="000F6B64">
        <w:t xml:space="preserve">directly </w:t>
      </w:r>
      <w:r w:rsidRPr="58068477">
        <w:t xml:space="preserve">advance the government’s </w:t>
      </w:r>
      <w:r w:rsidRPr="58068477" w:rsidR="008E6655">
        <w:t xml:space="preserve">substantial </w:t>
      </w:r>
      <w:r w:rsidRPr="58068477">
        <w:t xml:space="preserve">interest by providing consumers with </w:t>
      </w:r>
      <w:r w:rsidRPr="58068477" w:rsidR="00587488">
        <w:t xml:space="preserve">the </w:t>
      </w:r>
      <w:r w:rsidRPr="58068477">
        <w:t xml:space="preserve">basic tools necessary to </w:t>
      </w:r>
      <w:r w:rsidRPr="58068477" w:rsidR="00B851A6">
        <w:t xml:space="preserve">understand the broadband services they are purchasing and the prices for </w:t>
      </w:r>
      <w:r w:rsidRPr="58068477" w:rsidR="00587488">
        <w:t>those</w:t>
      </w:r>
      <w:r w:rsidRPr="58068477" w:rsidR="00B851A6">
        <w:t xml:space="preserve"> services.  I</w:t>
      </w:r>
      <w:r w:rsidRPr="58068477" w:rsidR="00667075">
        <w:t>n</w:t>
      </w:r>
      <w:r w:rsidRPr="58068477" w:rsidR="00B851A6">
        <w:t xml:space="preserve"> addition, they are designed to </w:t>
      </w:r>
      <w:r w:rsidRPr="58068477">
        <w:t xml:space="preserve">protect </w:t>
      </w:r>
      <w:r w:rsidRPr="58068477" w:rsidR="00B851A6">
        <w:t>consumers</w:t>
      </w:r>
      <w:r w:rsidRPr="006C64A3">
        <w:t xml:space="preserve"> </w:t>
      </w:r>
      <w:r w:rsidRPr="58068477">
        <w:t xml:space="preserve">from </w:t>
      </w:r>
      <w:r w:rsidR="00BE4804">
        <w:t xml:space="preserve">contracting for service where the </w:t>
      </w:r>
      <w:r w:rsidRPr="58068477">
        <w:t xml:space="preserve">terms of service are either unexplained or </w:t>
      </w:r>
      <w:r w:rsidRPr="58068477" w:rsidR="00587488">
        <w:t>presented</w:t>
      </w:r>
      <w:r w:rsidRPr="58068477">
        <w:t xml:space="preserve"> in a confusing manner</w:t>
      </w:r>
      <w:r w:rsidRPr="006C64A3">
        <w:t xml:space="preserve">. </w:t>
      </w:r>
      <w:r w:rsidR="00675A92">
        <w:t xml:space="preserve"> </w:t>
      </w:r>
      <w:r w:rsidRPr="58068477" w:rsidR="003F1237">
        <w:t xml:space="preserve">We encourage parties to address First Amendment issues in their comments, particularly with respect to </w:t>
      </w:r>
      <w:r w:rsidRPr="58068477" w:rsidR="00E53B00">
        <w:t>the specific labels we propose</w:t>
      </w:r>
      <w:r w:rsidRPr="58068477" w:rsidR="003F1237">
        <w:t xml:space="preserve">.  We ask parties to address how </w:t>
      </w:r>
      <w:r w:rsidRPr="58068477" w:rsidR="00B851A6">
        <w:t>our</w:t>
      </w:r>
      <w:r w:rsidRPr="58068477" w:rsidR="003F1237">
        <w:t xml:space="preserve"> proposed regulation</w:t>
      </w:r>
      <w:r w:rsidRPr="58068477" w:rsidR="00E53B00">
        <w:t xml:space="preserve"> in the area of consumer disclosures</w:t>
      </w:r>
      <w:r w:rsidRPr="58068477" w:rsidR="003F1237">
        <w:t xml:space="preserve"> meets the requirements of </w:t>
      </w:r>
      <w:r w:rsidR="005A22E2">
        <w:rPr>
          <w:i/>
          <w:iCs/>
        </w:rPr>
        <w:t>Zauderer</w:t>
      </w:r>
      <w:r w:rsidR="005A22E2">
        <w:rPr>
          <w:i/>
          <w:iCs/>
        </w:rPr>
        <w:t xml:space="preserve"> </w:t>
      </w:r>
      <w:r w:rsidR="005A22E2">
        <w:t xml:space="preserve">and </w:t>
      </w:r>
      <w:r w:rsidRPr="58068477" w:rsidR="003F1237">
        <w:t xml:space="preserve">the three prongs of the </w:t>
      </w:r>
      <w:r w:rsidRPr="02403754" w:rsidR="003F1237">
        <w:rPr>
          <w:i/>
          <w:iCs/>
        </w:rPr>
        <w:t>Central Hudson</w:t>
      </w:r>
      <w:r w:rsidRPr="58068477" w:rsidR="003F1237">
        <w:t xml:space="preserve"> test.  Parties should address specifically how </w:t>
      </w:r>
      <w:r w:rsidRPr="58068477" w:rsidR="00E53B00">
        <w:t xml:space="preserve">our </w:t>
      </w:r>
      <w:r w:rsidRPr="58068477" w:rsidR="003F1237">
        <w:t>proposals harmonize with Commission precedent in this area and relevant case law.</w:t>
      </w:r>
    </w:p>
    <w:p w:rsidR="003C108D" w:rsidRPr="00DE457E" w:rsidP="004903AF" w14:paraId="656205E9" w14:textId="77777777">
      <w:pPr>
        <w:pStyle w:val="Heading1"/>
      </w:pPr>
      <w:r w:rsidRPr="32B3D268">
        <w:t>procedural matters</w:t>
      </w:r>
      <w:bookmarkStart w:id="32" w:name="_Hlk31009236"/>
    </w:p>
    <w:p w:rsidR="003C108D" w:rsidRPr="00DE457E" w:rsidP="004903AF" w14:paraId="7C89B5ED" w14:textId="632FC708">
      <w:pPr>
        <w:pStyle w:val="ParaNum"/>
        <w:widowControl/>
      </w:pPr>
      <w:r w:rsidRPr="02403754">
        <w:rPr>
          <w:i/>
          <w:iCs/>
        </w:rPr>
        <w:t>Initial Paperwork Reduction Act of 1995 Analysis</w:t>
      </w:r>
      <w:r w:rsidRPr="58068477">
        <w:t xml:space="preserve">.  </w:t>
      </w:r>
      <w:r w:rsidRPr="00DF1ECF" w:rsidR="009353E6">
        <w:t>This document contains proposed new information collection requirements.</w:t>
      </w:r>
      <w:r w:rsidR="00E33EF0">
        <w:t xml:space="preserve"> </w:t>
      </w:r>
      <w:r w:rsidRPr="00DF1ECF" w:rsidR="009353E6">
        <w:t xml:space="preserve">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w:t>
      </w:r>
      <w:r>
        <w:rPr>
          <w:rStyle w:val="FootnoteReference"/>
        </w:rPr>
        <w:footnoteReference w:id="55"/>
      </w:r>
      <w:r w:rsidRPr="00DF1ECF" w:rsidR="009353E6">
        <w:t xml:space="preserve"> </w:t>
      </w:r>
      <w:r w:rsidR="009353E6">
        <w:t xml:space="preserve"> </w:t>
      </w:r>
      <w:r w:rsidRPr="00DF1ECF" w:rsidR="009353E6">
        <w:t xml:space="preserve">In addition, pursuant to the Small Business Paperwork Relief Act of 2002, Public Law 107-198, </w:t>
      </w:r>
      <w:r w:rsidRPr="009B74AB" w:rsidR="009353E6">
        <w:rPr>
          <w:i/>
          <w:iCs/>
        </w:rPr>
        <w:t>see</w:t>
      </w:r>
      <w:r w:rsidRPr="00DF1ECF" w:rsidR="009353E6">
        <w:t xml:space="preserve"> 44 U.S.C. </w:t>
      </w:r>
      <w:r w:rsidR="00744B0B">
        <w:t xml:space="preserve">§ </w:t>
      </w:r>
      <w:r w:rsidRPr="00DF1ECF" w:rsidR="009353E6">
        <w:t>3506(c)(4),</w:t>
      </w:r>
      <w:r>
        <w:rPr>
          <w:rStyle w:val="FootnoteReference"/>
        </w:rPr>
        <w:footnoteReference w:id="56"/>
      </w:r>
      <w:r w:rsidRPr="00DF1ECF" w:rsidR="009353E6">
        <w:t xml:space="preserve"> we seek specific comment on how we might further reduce the information collection burden for small business concerns with fewer than 25 employees.</w:t>
      </w:r>
      <w:r>
        <w:rPr>
          <w:rStyle w:val="FootnoteReference"/>
        </w:rPr>
        <w:footnoteReference w:id="57"/>
      </w:r>
      <w:r w:rsidRPr="58068477" w:rsidR="009353E6">
        <w:t xml:space="preserve"> </w:t>
      </w:r>
    </w:p>
    <w:p w:rsidR="003C108D" w:rsidRPr="00DE457E" w:rsidP="004903AF" w14:paraId="4A152FB8" w14:textId="699FAD4D">
      <w:pPr>
        <w:pStyle w:val="ParaNum"/>
      </w:pPr>
      <w:r w:rsidRPr="02403754">
        <w:rPr>
          <w:i/>
          <w:iCs/>
        </w:rPr>
        <w:t xml:space="preserve">Initial Regulatory Flexibility </w:t>
      </w:r>
      <w:r w:rsidRPr="02403754" w:rsidR="00DD6E1B">
        <w:rPr>
          <w:i/>
          <w:iCs/>
        </w:rPr>
        <w:t>Analysis</w:t>
      </w:r>
      <w:r w:rsidRPr="58068477">
        <w:t>.  As required by the Regulatory Flexibility Act of 1980 (RFA),</w:t>
      </w:r>
      <w:r>
        <w:rPr>
          <w:rStyle w:val="FootnoteReference"/>
        </w:rPr>
        <w:footnoteReference w:id="58"/>
      </w:r>
      <w:r w:rsidRPr="58068477">
        <w:t xml:space="preserve"> the Commission has prepared an Initial Regulatory Flexibility Analysis (IRFA) relating to this Notice of Proposed Rulemaking.  The IRFA is contained in Appendix </w:t>
      </w:r>
      <w:r w:rsidR="00A14263">
        <w:t>D</w:t>
      </w:r>
      <w:r w:rsidRPr="58068477">
        <w:t>.</w:t>
      </w:r>
    </w:p>
    <w:bookmarkEnd w:id="32"/>
    <w:p w:rsidR="003C108D" w:rsidRPr="00DE457E" w:rsidP="004903AF" w14:paraId="29D491F8" w14:textId="340AD870">
      <w:pPr>
        <w:pStyle w:val="ParaNum"/>
      </w:pPr>
      <w:r w:rsidRPr="02403754">
        <w:rPr>
          <w:i/>
          <w:iCs/>
        </w:rPr>
        <w:t xml:space="preserve">Ex </w:t>
      </w:r>
      <w:r w:rsidRPr="02403754">
        <w:rPr>
          <w:i/>
          <w:iCs/>
        </w:rPr>
        <w:t>Parte</w:t>
      </w:r>
      <w:r w:rsidRPr="02403754">
        <w:rPr>
          <w:i/>
          <w:iCs/>
        </w:rPr>
        <w:t xml:space="preserve"> Presentations—Permit-But-Disclose</w:t>
      </w:r>
      <w:r w:rsidRPr="58068477">
        <w:t xml:space="preserve">.  This proceeding shall be treated as a “permit-but-disclose” proceeding in accordance with the Commission’s </w:t>
      </w:r>
      <w:r w:rsidRPr="02403754">
        <w:rPr>
          <w:i/>
          <w:iCs/>
        </w:rPr>
        <w:t xml:space="preserve">ex </w:t>
      </w:r>
      <w:r w:rsidRPr="02403754">
        <w:rPr>
          <w:i/>
          <w:iCs/>
        </w:rPr>
        <w:t>parte</w:t>
      </w:r>
      <w:r w:rsidRPr="58068477">
        <w:t xml:space="preserve"> rules.</w:t>
      </w:r>
      <w:r>
        <w:rPr>
          <w:rStyle w:val="FootnoteReference"/>
        </w:rPr>
        <w:footnoteReference w:id="59"/>
      </w:r>
      <w:r w:rsidRPr="58068477">
        <w:t xml:space="preserve">  Persons making </w:t>
      </w:r>
      <w:r w:rsidRPr="02403754">
        <w:rPr>
          <w:i/>
          <w:iCs/>
        </w:rPr>
        <w:t xml:space="preserve">ex </w:t>
      </w:r>
      <w:r w:rsidRPr="02403754">
        <w:rPr>
          <w:i/>
          <w:iCs/>
        </w:rPr>
        <w:t>parte</w:t>
      </w:r>
      <w:r w:rsidRPr="58068477">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2403754">
        <w:rPr>
          <w:i/>
          <w:iCs/>
        </w:rPr>
        <w:t xml:space="preserve">ex </w:t>
      </w:r>
      <w:r w:rsidRPr="02403754">
        <w:rPr>
          <w:i/>
          <w:iCs/>
        </w:rPr>
        <w:t>parte</w:t>
      </w:r>
      <w:r w:rsidRPr="58068477">
        <w:t xml:space="preserve"> presentations are reminded that memoranda summarizing the presentation must (1) list all persons attending or otherwise participating in the meeting at which the </w:t>
      </w:r>
      <w:r w:rsidRPr="02403754">
        <w:rPr>
          <w:i/>
          <w:iCs/>
        </w:rPr>
        <w:t xml:space="preserve">ex </w:t>
      </w:r>
      <w:r w:rsidRPr="02403754">
        <w:rPr>
          <w:i/>
          <w:iCs/>
        </w:rPr>
        <w:t>parte</w:t>
      </w:r>
      <w:r w:rsidRPr="58068477">
        <w:t xml:space="preserve"> was made, and (2) summarize all data presented and arguments made during the presentation.  If the presentation consisted in whole or in part of the presentation of data or arguments already reflected in the presenter’s written comments, memoranda, or other filing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2403754">
        <w:rPr>
          <w:i/>
          <w:iCs/>
        </w:rPr>
        <w:t xml:space="preserve">ex </w:t>
      </w:r>
      <w:r w:rsidRPr="02403754">
        <w:rPr>
          <w:i/>
          <w:iCs/>
        </w:rPr>
        <w:t>parte</w:t>
      </w:r>
      <w:r w:rsidRPr="58068477">
        <w:t xml:space="preserve"> meeting</w:t>
      </w:r>
      <w:r w:rsidRPr="58068477" w:rsidR="00571E18">
        <w:t>s</w:t>
      </w:r>
      <w:r w:rsidRPr="58068477">
        <w:t xml:space="preserve"> are deemed to </w:t>
      </w:r>
      <w:r w:rsidRPr="58068477" w:rsidR="00571E18">
        <w:t xml:space="preserve">be </w:t>
      </w:r>
      <w:r w:rsidRPr="58068477">
        <w:t xml:space="preserve">written </w:t>
      </w:r>
      <w:r w:rsidRPr="02403754">
        <w:rPr>
          <w:i/>
          <w:iCs/>
        </w:rPr>
        <w:t xml:space="preserve">ex </w:t>
      </w:r>
      <w:r w:rsidRPr="02403754">
        <w:rPr>
          <w:i/>
          <w:iCs/>
        </w:rPr>
        <w:t>parte</w:t>
      </w:r>
      <w:r w:rsidRPr="58068477">
        <w:t xml:space="preserve"> presentations and must be filed consistent with section 1.1206(b) of the Commission’s rules.  In proceeding</w:t>
      </w:r>
      <w:r w:rsidRPr="58068477" w:rsidR="00571E18">
        <w:t>s</w:t>
      </w:r>
      <w:r w:rsidRPr="58068477">
        <w:t xml:space="preserve"> governed by section 1.49(f) of the Commission’s rules or for which the Commission has made available a method of electronic filing, written </w:t>
      </w:r>
      <w:r w:rsidRPr="02403754">
        <w:rPr>
          <w:i/>
          <w:iCs/>
        </w:rPr>
        <w:t xml:space="preserve">ex </w:t>
      </w:r>
      <w:r w:rsidRPr="02403754">
        <w:rPr>
          <w:i/>
          <w:iCs/>
        </w:rPr>
        <w:t>parte</w:t>
      </w:r>
      <w:r w:rsidRPr="58068477">
        <w:t xml:space="preserve"> presentations and memoranda summarizing oral </w:t>
      </w:r>
      <w:r w:rsidRPr="02403754">
        <w:rPr>
          <w:i/>
          <w:iCs/>
        </w:rPr>
        <w:t xml:space="preserve">ex </w:t>
      </w:r>
      <w:r w:rsidRPr="02403754">
        <w:rPr>
          <w:i/>
          <w:iCs/>
        </w:rPr>
        <w:t>parte</w:t>
      </w:r>
      <w:r w:rsidRPr="58068477">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sidRPr="02403754">
        <w:rPr>
          <w:i/>
          <w:iCs/>
        </w:rPr>
        <w:t xml:space="preserve">ex </w:t>
      </w:r>
      <w:r w:rsidRPr="02403754">
        <w:rPr>
          <w:i/>
          <w:iCs/>
        </w:rPr>
        <w:t>parte</w:t>
      </w:r>
      <w:r w:rsidRPr="58068477">
        <w:t xml:space="preserve"> rules. </w:t>
      </w:r>
    </w:p>
    <w:p w:rsidR="004D6EEA" w:rsidRPr="00275EE9" w:rsidP="004903AF" w14:paraId="494BC721" w14:textId="123593BE">
      <w:pPr>
        <w:pStyle w:val="ParaNum"/>
        <w:rPr>
          <w:szCs w:val="22"/>
        </w:rPr>
      </w:pPr>
      <w:r w:rsidRPr="00744B0B">
        <w:rPr>
          <w:i/>
          <w:iCs/>
        </w:rPr>
        <w:t>Comment Filing Procedures</w:t>
      </w:r>
      <w:r w:rsidRPr="00744B0B">
        <w:rPr>
          <w:i/>
        </w:rPr>
        <w:t>.</w:t>
      </w:r>
      <w:r w:rsidRPr="00744B0B">
        <w:t xml:space="preserve">  Pursuant to sections 1.415 and 1.419 of the Commission’s rules, 47 CFR §§ 1.415, 1.419, interested parties may file comments and reply comments on or before the dates indicated on the first page of th</w:t>
      </w:r>
      <w:r w:rsidRPr="006E2EA4">
        <w:t xml:space="preserve">is document.  Comments may be filed using the Commission’s Electronic Comment Filing System (ECFS).  </w:t>
      </w:r>
      <w:r w:rsidRPr="006E2EA4">
        <w:rPr>
          <w:i/>
          <w:iCs/>
        </w:rPr>
        <w:t>See Electronic Filing of Documents in Rulemaking Proceedings</w:t>
      </w:r>
      <w:r w:rsidRPr="006E2EA4">
        <w:t>, 63 FR 24121 (1998).</w:t>
      </w:r>
      <w:r w:rsidRPr="006E2EA4">
        <w:rPr>
          <w:szCs w:val="22"/>
        </w:rPr>
        <w:t xml:space="preserve"> </w:t>
      </w:r>
    </w:p>
    <w:p w:rsidR="004D6EEA" w:rsidRPr="00F83D29" w:rsidP="004903AF" w14:paraId="7B232BF4" w14:textId="289FE3AB">
      <w:pPr>
        <w:pStyle w:val="ParaNum"/>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60"/>
      </w:r>
      <w:r>
        <w:t xml:space="preserve">  </w:t>
      </w:r>
      <w:r w:rsidRPr="00F83D29">
        <w:rPr>
          <w:rStyle w:val="Hyperlink"/>
          <w:color w:val="auto"/>
          <w:u w:val="none"/>
        </w:rPr>
        <w:t xml:space="preserve">In the event that the Commission </w:t>
      </w:r>
      <w:r w:rsidRPr="00F83D29">
        <w:rPr>
          <w:rStyle w:val="Hyperlink"/>
          <w:color w:val="auto"/>
          <w:u w:val="none"/>
        </w:rPr>
        <w:t>announces the lifting of COVID-19 restrictions, a filing window will be opened at the Commission’s office located at 9050 Junction Drive, Annapolis, MD 20701.</w:t>
      </w:r>
      <w:r>
        <w:rPr>
          <w:rStyle w:val="FootnoteReference"/>
        </w:rPr>
        <w:footnoteReference w:id="61"/>
      </w:r>
    </w:p>
    <w:p w:rsidR="003C108D" w:rsidRPr="00DE457E" w:rsidP="004903AF" w14:paraId="659679AB" w14:textId="7808E427">
      <w:pPr>
        <w:pStyle w:val="ParaNum"/>
      </w:pPr>
      <w:r>
        <w:t xml:space="preserve">Pursuant to section 1.49 of the Commission’s rules, 47 CFR § 1.49, parties to this proceeding must file any documents in this proceeding using the Commission’s Electronic Comment Filing System (ECFS): </w:t>
      </w:r>
      <w:hyperlink r:id="rId5" w:history="1">
        <w:r w:rsidRPr="7EAC10BA">
          <w:rPr>
            <w:color w:val="0000FF"/>
            <w:u w:val="single"/>
          </w:rPr>
          <w:t>http://apps.fcc.gov/ecfs/</w:t>
        </w:r>
      </w:hyperlink>
      <w:r>
        <w:t>.</w:t>
      </w:r>
    </w:p>
    <w:p w:rsidR="003C108D" w:rsidRPr="00DE457E" w:rsidP="004903AF" w14:paraId="58C6818B" w14:textId="2D0507EF">
      <w:pPr>
        <w:pStyle w:val="ParaNum"/>
      </w:pPr>
      <w:r>
        <w:rPr>
          <w:i/>
          <w:iCs/>
        </w:rPr>
        <w:t>Materials in Accessible Formats</w:t>
      </w:r>
      <w:r>
        <w:t>.  To request material</w:t>
      </w:r>
      <w:r w:rsidR="00671C27">
        <w:t>s</w:t>
      </w:r>
      <w:r>
        <w:t xml:space="preserve"> in accessible formats for people with disabilities (Braille, large print, electronic files, audio format), send an e-mail to </w:t>
      </w:r>
      <w:hyperlink r:id="rId6" w:history="1">
        <w:r w:rsidRPr="02403754">
          <w:rPr>
            <w:rStyle w:val="Hyperlink"/>
          </w:rPr>
          <w:t>fcc504@fcc.gov</w:t>
        </w:r>
      </w:hyperlink>
      <w:r>
        <w:t xml:space="preserve"> or call the Consumer and Governmental Affairs Bureau at 202-418-0530 (voice).</w:t>
      </w:r>
    </w:p>
    <w:p w:rsidR="003C108D" w:rsidRPr="008909D6" w:rsidP="004903AF" w14:paraId="526484F7" w14:textId="0825A568">
      <w:pPr>
        <w:pStyle w:val="ParaNum"/>
      </w:pPr>
      <w:r w:rsidRPr="02403754">
        <w:rPr>
          <w:i/>
          <w:iCs/>
        </w:rPr>
        <w:t>Availability of Documents.</w:t>
      </w:r>
      <w:r>
        <w:t xml:space="preserve">  Comments, reply comments, </w:t>
      </w:r>
      <w:r w:rsidRPr="02403754">
        <w:rPr>
          <w:i/>
          <w:iCs/>
        </w:rPr>
        <w:t xml:space="preserve">ex </w:t>
      </w:r>
      <w:r w:rsidRPr="02403754">
        <w:rPr>
          <w:i/>
          <w:iCs/>
        </w:rPr>
        <w:t>parte</w:t>
      </w:r>
      <w:r>
        <w:t xml:space="preserve"> submissions</w:t>
      </w:r>
      <w:r w:rsidR="00675A92">
        <w:t>,</w:t>
      </w:r>
      <w:r w:rsidR="008909D6">
        <w:t xml:space="preserve"> and this N</w:t>
      </w:r>
      <w:r w:rsidR="00675A92">
        <w:t xml:space="preserve">otice of Proposed Rulemaking </w:t>
      </w:r>
      <w:r>
        <w:t xml:space="preserve">will be available via ECFS.  Documents will be available electronically in ASCII, Microsoft Word, and/or Adobe Acrobat.  </w:t>
      </w:r>
      <w:r w:rsidR="008909D6">
        <w:t>When the FCC Headquarters reopens to the public, documents will also be available for public inspection during regular business hours in the FCC Reference Center, Federal Communications Commission, 45 L Street NE, Washington, D.C. 20554.</w:t>
      </w:r>
      <w:r>
        <w:t xml:space="preserve"> </w:t>
      </w:r>
    </w:p>
    <w:p w:rsidR="003C108D" w:rsidRPr="00DE457E" w:rsidP="004903AF" w14:paraId="754DDEE7" w14:textId="00C61A52">
      <w:pPr>
        <w:pStyle w:val="ParaNum"/>
      </w:pPr>
      <w:r w:rsidRPr="02403754">
        <w:rPr>
          <w:i/>
          <w:iCs/>
        </w:rPr>
        <w:t>Additional Information.</w:t>
      </w:r>
      <w:r>
        <w:t xml:space="preserve">  For additional information on this proceeding, contact</w:t>
      </w:r>
      <w:r w:rsidR="008909D6">
        <w:t xml:space="preserve"> Erica H. McMahon</w:t>
      </w:r>
      <w:r>
        <w:t xml:space="preserve">, </w:t>
      </w:r>
      <w:hyperlink r:id="rId7" w:history="1">
        <w:r w:rsidRPr="02403754" w:rsidR="008909D6">
          <w:rPr>
            <w:rStyle w:val="Hyperlink"/>
          </w:rPr>
          <w:t>Erica.McMahon@fcc.gov</w:t>
        </w:r>
      </w:hyperlink>
      <w:r>
        <w:t xml:space="preserve"> or (</w:t>
      </w:r>
      <w:r w:rsidR="008909D6">
        <w:t>202</w:t>
      </w:r>
      <w:r>
        <w:t xml:space="preserve">) </w:t>
      </w:r>
      <w:r w:rsidR="008909D6">
        <w:t>418-0346</w:t>
      </w:r>
      <w:r>
        <w:t>, of the Consumer and Governmental Affairs Bureau, Consumer Policy Division.</w:t>
      </w:r>
    </w:p>
    <w:p w:rsidR="003C108D" w:rsidRPr="00DE457E" w:rsidP="004903AF" w14:paraId="476D48B1" w14:textId="77777777">
      <w:pPr>
        <w:pStyle w:val="Heading1"/>
      </w:pPr>
      <w:r w:rsidRPr="32B3D268">
        <w:t>Ordering clauses</w:t>
      </w:r>
    </w:p>
    <w:p w:rsidR="003C108D" w:rsidRPr="00DE457E" w:rsidP="004903AF" w14:paraId="468A830B" w14:textId="71FD4E5F">
      <w:pPr>
        <w:pStyle w:val="ParaNum"/>
      </w:pPr>
      <w:r>
        <w:t xml:space="preserve">Accordingly, </w:t>
      </w:r>
      <w:r w:rsidRPr="02403754">
        <w:rPr>
          <w:b/>
          <w:bCs/>
        </w:rPr>
        <w:t>IT IS ORDERED</w:t>
      </w:r>
      <w:r>
        <w:t>, pursuant to sections 4(</w:t>
      </w:r>
      <w:r>
        <w:t>i</w:t>
      </w:r>
      <w:r>
        <w:t xml:space="preserve">), 4(j), </w:t>
      </w:r>
      <w:r w:rsidR="00B64A8F">
        <w:t>13</w:t>
      </w:r>
      <w:r w:rsidR="00BB15A1">
        <w:t xml:space="preserve">, </w:t>
      </w:r>
      <w:r w:rsidR="002C0F70">
        <w:t>201(b), 257</w:t>
      </w:r>
      <w:r w:rsidR="00BB15A1">
        <w:t xml:space="preserve"> </w:t>
      </w:r>
      <w:r>
        <w:t xml:space="preserve">and </w:t>
      </w:r>
      <w:r w:rsidR="002C0F70">
        <w:t>303(r)</w:t>
      </w:r>
      <w:r>
        <w:t xml:space="preserve"> of the Communications Act of 1934, as amended, 47 U.S.C. §§ 154(</w:t>
      </w:r>
      <w:r>
        <w:t>i</w:t>
      </w:r>
      <w:r>
        <w:t xml:space="preserve">), 154(j), </w:t>
      </w:r>
      <w:r w:rsidR="00BB15A1">
        <w:t xml:space="preserve">163, </w:t>
      </w:r>
      <w:r w:rsidR="00D03221">
        <w:t xml:space="preserve">201(b), </w:t>
      </w:r>
      <w:r w:rsidR="00BB15A1">
        <w:t>257</w:t>
      </w:r>
      <w:r w:rsidR="00D03221">
        <w:t>, 303(r)</w:t>
      </w:r>
      <w:r>
        <w:t xml:space="preserve">, and section </w:t>
      </w:r>
      <w:r w:rsidR="008909D6">
        <w:t>6</w:t>
      </w:r>
      <w:r w:rsidR="003B0DF0">
        <w:t>0</w:t>
      </w:r>
      <w:r w:rsidR="008909D6">
        <w:t>504</w:t>
      </w:r>
      <w:r>
        <w:t xml:space="preserve"> of the </w:t>
      </w:r>
      <w:r w:rsidR="008909D6">
        <w:t>Infrastructure Investment and Jobs Act</w:t>
      </w:r>
      <w:r>
        <w:t xml:space="preserve">, Pub. L. </w:t>
      </w:r>
      <w:r w:rsidR="007647F2">
        <w:t>117-58</w:t>
      </w:r>
      <w:r>
        <w:t xml:space="preserve">, </w:t>
      </w:r>
      <w:r w:rsidR="004D6EEA">
        <w:t>135</w:t>
      </w:r>
      <w:r>
        <w:t xml:space="preserve"> Stat. </w:t>
      </w:r>
      <w:r w:rsidR="004D6EEA">
        <w:t>429</w:t>
      </w:r>
      <w:r>
        <w:t xml:space="preserve">, that this Notice of Proposed Rulemaking is hereby </w:t>
      </w:r>
      <w:r w:rsidRPr="02403754">
        <w:rPr>
          <w:b/>
          <w:bCs/>
        </w:rPr>
        <w:t>ADOPTED</w:t>
      </w:r>
      <w:r>
        <w:t>.</w:t>
      </w:r>
    </w:p>
    <w:p w:rsidR="003C108D" w:rsidRPr="00DE457E" w:rsidP="004903AF" w14:paraId="4AD2278B" w14:textId="2AF54321">
      <w:pPr>
        <w:pStyle w:val="ParaNum"/>
      </w:pPr>
      <w:r w:rsidRPr="02403754">
        <w:rPr>
          <w:b/>
          <w:bCs/>
        </w:rPr>
        <w:t>IT IS FURTHER ORDERED</w:t>
      </w:r>
      <w:r>
        <w:t xml:space="preserve"> that</w:t>
      </w:r>
      <w:r w:rsidR="00B07D0C">
        <w:t>,</w:t>
      </w:r>
      <w:r>
        <w:t xml:space="preserve"> pursuant to applicable procedures set forth in section</w:t>
      </w:r>
      <w:r w:rsidR="00B07D0C">
        <w:t>s</w:t>
      </w:r>
      <w:r>
        <w:t xml:space="preserve"> 1.415 and 1.419 of the Commission’s Rules, 47 CFR §§ 1.415, 1.419, interested parties may file comments on the Notice of Proposed Rulemaking on or before </w:t>
      </w:r>
      <w:r w:rsidR="008909D6">
        <w:t>30</w:t>
      </w:r>
      <w:r>
        <w:t xml:space="preserve"> days after publication in the Federal Register, and reply comments on or before </w:t>
      </w:r>
      <w:r w:rsidR="008909D6">
        <w:t>45</w:t>
      </w:r>
      <w:r>
        <w:t xml:space="preserve"> days after publication in the Federal Register. </w:t>
      </w:r>
    </w:p>
    <w:p w:rsidR="003C108D" w:rsidRPr="00DE457E" w:rsidP="004903AF" w14:paraId="7B43E492" w14:textId="6E7BA606">
      <w:pPr>
        <w:pStyle w:val="ParaNum"/>
      </w:pPr>
      <w:r w:rsidRPr="02403754">
        <w:rPr>
          <w:b/>
          <w:bCs/>
        </w:rPr>
        <w:t>IT IS FURTHER ORDERED</w:t>
      </w:r>
      <w:r>
        <w:t xml:space="preserve"> that the Commission’s Consumer and Governmental Affairs Bureau, Reference Information Center, </w:t>
      </w:r>
      <w:r w:rsidRPr="02403754">
        <w:rPr>
          <w:b/>
          <w:bCs/>
        </w:rPr>
        <w:t>SHALL SEND</w:t>
      </w:r>
      <w:r>
        <w:t xml:space="preserve"> a copy of this Notice of Proposed Rulemaking, including the Initial Regulatory Flexibility </w:t>
      </w:r>
      <w:r w:rsidR="002631AF">
        <w:t>Analysis</w:t>
      </w:r>
      <w:r w:rsidR="00B07D0C">
        <w:t>,</w:t>
      </w:r>
      <w:r>
        <w:t xml:space="preserve"> to the Chief Counsel for Advocacy of the Small Business Administration.</w:t>
      </w:r>
    </w:p>
    <w:p w:rsidR="003C108D" w:rsidRPr="00DE457E" w:rsidP="003C108D" w14:paraId="76A4B683" w14:textId="77777777">
      <w:pPr>
        <w:pStyle w:val="ParaNum"/>
        <w:numPr>
          <w:ilvl w:val="0"/>
          <w:numId w:val="0"/>
        </w:numPr>
        <w:ind w:left="3600"/>
      </w:pPr>
    </w:p>
    <w:p w:rsidR="003C108D" w:rsidRPr="00DE457E" w:rsidP="003C108D" w14:paraId="27FABB00" w14:textId="77777777">
      <w:pPr>
        <w:ind w:firstLine="4320"/>
      </w:pPr>
      <w:r w:rsidRPr="00DE457E">
        <w:t>FEDERAL COMMUNICATIONS COMMISSION</w:t>
      </w:r>
    </w:p>
    <w:p w:rsidR="003C108D" w:rsidRPr="00DE457E" w:rsidP="003C108D" w14:paraId="58E4A8C5" w14:textId="77777777"/>
    <w:p w:rsidR="003C108D" w:rsidRPr="00DE457E" w:rsidP="003C108D" w14:paraId="572B6921" w14:textId="77777777"/>
    <w:p w:rsidR="003C108D" w:rsidRPr="00DE457E" w:rsidP="003C108D" w14:paraId="376CEF7B" w14:textId="77777777"/>
    <w:p w:rsidR="003C108D" w:rsidRPr="00DE457E" w:rsidP="003C108D" w14:paraId="692C0903" w14:textId="77777777"/>
    <w:p w:rsidR="003C108D" w:rsidRPr="00DE457E" w:rsidP="003C108D" w14:paraId="5962B54B" w14:textId="77777777">
      <w:r w:rsidRPr="00DE457E">
        <w:tab/>
      </w:r>
      <w:r w:rsidRPr="00DE457E">
        <w:tab/>
      </w:r>
      <w:r w:rsidRPr="00DE457E">
        <w:tab/>
      </w:r>
      <w:r w:rsidRPr="00DE457E">
        <w:tab/>
      </w:r>
      <w:r w:rsidRPr="00DE457E">
        <w:tab/>
      </w:r>
      <w:r w:rsidRPr="00DE457E">
        <w:tab/>
        <w:t>Marlene H. Dortch</w:t>
      </w:r>
    </w:p>
    <w:p w:rsidR="008441A3" w:rsidRPr="00DE457E" w:rsidP="003C108D" w14:paraId="55D6F0FD" w14:textId="210E512A">
      <w:pPr>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pPr>
      <w:r w:rsidRPr="00DE457E">
        <w:tab/>
      </w:r>
      <w:r w:rsidRPr="00DE457E">
        <w:tab/>
      </w:r>
      <w:r w:rsidRPr="00DE457E">
        <w:tab/>
      </w:r>
      <w:r w:rsidRPr="00DE457E">
        <w:tab/>
      </w:r>
      <w:r w:rsidRPr="00DE457E">
        <w:tab/>
      </w:r>
      <w:r w:rsidRPr="00DE457E">
        <w:tab/>
        <w:t>Secretar</w:t>
      </w:r>
      <w:r w:rsidR="0040325F">
        <w:t>y</w:t>
      </w:r>
    </w:p>
    <w:p w:rsidR="00B546D4" w:rsidRPr="00B546D4" w:rsidP="0040325F" w14:paraId="3633CC7A" w14:textId="77777777">
      <w:pPr>
        <w:spacing w:after="120"/>
        <w:jc w:val="center"/>
        <w:rPr>
          <w:b/>
        </w:rPr>
      </w:pPr>
      <w:r w:rsidRPr="00B546D4">
        <w:rPr>
          <w:b/>
        </w:rPr>
        <w:t>APPENDIX A</w:t>
      </w:r>
    </w:p>
    <w:p w:rsidR="00B546D4" w:rsidRPr="00B546D4" w:rsidP="00B546D4" w14:paraId="7C384067" w14:textId="56B7042A">
      <w:pPr>
        <w:jc w:val="center"/>
        <w:rPr>
          <w:b/>
        </w:rPr>
      </w:pPr>
      <w:r w:rsidRPr="00B546D4">
        <w:rPr>
          <w:b/>
        </w:rPr>
        <w:t>Proposed Rules</w:t>
      </w:r>
      <w:r w:rsidR="004B1F6E">
        <w:rPr>
          <w:b/>
        </w:rPr>
        <w:t xml:space="preserve"> for Public Comment</w:t>
      </w:r>
    </w:p>
    <w:p w:rsidR="00B546D4" w:rsidRPr="00B546D4" w:rsidP="00B546D4" w14:paraId="150BB8B1" w14:textId="77777777"/>
    <w:p w:rsidR="00B546D4" w:rsidRPr="009056CC" w:rsidP="00B546D4" w14:paraId="7DB908C8" w14:textId="0584D3E6">
      <w:r w:rsidRPr="009056CC">
        <w:t>The Federal Communications Commission proposes to amend Part 8 of Title 47 of the Code of Federal Regulations as follows:</w:t>
      </w:r>
    </w:p>
    <w:p w:rsidR="00B546D4" w:rsidRPr="009056CC" w:rsidP="00B546D4" w14:paraId="3E92E07C" w14:textId="77777777"/>
    <w:p w:rsidR="004B1F6E" w:rsidRPr="009056CC" w:rsidP="004B1F6E" w14:paraId="49E42FD3" w14:textId="581CD899">
      <w:r w:rsidRPr="009056CC">
        <w:t>PART 8 – INTERNET FREEDOM</w:t>
      </w:r>
    </w:p>
    <w:p w:rsidR="00B546D4" w:rsidRPr="009056CC" w:rsidP="00B546D4" w14:paraId="4FF333E5" w14:textId="77777777"/>
    <w:p w:rsidR="00B546D4" w:rsidRPr="009056CC" w:rsidP="00B546D4" w14:paraId="401AC2AA" w14:textId="77777777">
      <w:r w:rsidRPr="009056CC">
        <w:t xml:space="preserve">1. </w:t>
      </w:r>
      <w:r w:rsidRPr="009056CC">
        <w:tab/>
        <w:t>The Authority citation for Part 8 is amended to read as follows:</w:t>
      </w:r>
    </w:p>
    <w:p w:rsidR="00B546D4" w:rsidRPr="009056CC" w:rsidP="00B546D4" w14:paraId="5DAAD1DE" w14:textId="77777777"/>
    <w:p w:rsidR="00B546D4" w:rsidRPr="009056CC" w:rsidP="00B546D4" w14:paraId="7D4210E1" w14:textId="35E7B963">
      <w:r w:rsidRPr="009056CC">
        <w:t xml:space="preserve">AUTHORITY:  47 U.S.C. 154, 201(b), 257, </w:t>
      </w:r>
      <w:r w:rsidRPr="009056CC">
        <w:rPr>
          <w:strike/>
        </w:rPr>
        <w:t>and</w:t>
      </w:r>
      <w:r w:rsidRPr="009056CC">
        <w:t xml:space="preserve"> 303(r), </w:t>
      </w:r>
      <w:r w:rsidRPr="00C53BE6">
        <w:t xml:space="preserve">and the Infrastructure Investment and Jobs Act, Pub. L. </w:t>
      </w:r>
      <w:r w:rsidRPr="00C53BE6" w:rsidR="003B0DF0">
        <w:t>117-58</w:t>
      </w:r>
      <w:r w:rsidRPr="00C53BE6">
        <w:t xml:space="preserve"> (2021).</w:t>
      </w:r>
      <w:r w:rsidRPr="009056CC">
        <w:br/>
      </w:r>
    </w:p>
    <w:p w:rsidR="00B546D4" w:rsidRPr="009056CC" w:rsidP="00B546D4" w14:paraId="6A8E82C5" w14:textId="77777777">
      <w:r w:rsidRPr="009056CC">
        <w:t xml:space="preserve">2. </w:t>
      </w:r>
      <w:r w:rsidRPr="009056CC">
        <w:tab/>
        <w:t>Section 8.1(a) is amended to read as follows:</w:t>
      </w:r>
    </w:p>
    <w:p w:rsidR="00B546D4" w:rsidRPr="009056CC" w:rsidP="00B546D4" w14:paraId="783BA34B" w14:textId="77777777"/>
    <w:p w:rsidR="00B546D4" w:rsidRPr="009056CC" w:rsidP="007A1F4A" w14:paraId="22F46B62" w14:textId="01EA9EDA">
      <w:pPr>
        <w:numPr>
          <w:ilvl w:val="0"/>
          <w:numId w:val="11"/>
        </w:numPr>
        <w:ind w:firstLine="0"/>
      </w:pPr>
      <w:r>
        <w:t xml:space="preserve">Any person providing broadband internet access service shall </w:t>
      </w:r>
      <w:r w:rsidR="00CE562E">
        <w:t xml:space="preserve">publicly </w:t>
      </w:r>
      <w:r>
        <w:t xml:space="preserve">disclose accurate information regarding the network management practices, performance characteristics, and commercial terms of its broadband internet access services sufficient to enable consumers to make informed choices regarding the purchase and use of such services and entrepreneurs and other small businesses to develop, market, and maintain internet offerings. </w:t>
      </w:r>
      <w:r w:rsidR="00E1357B">
        <w:t xml:space="preserve"> </w:t>
      </w:r>
      <w:r>
        <w:t xml:space="preserve">Such disclosure shall be made via </w:t>
      </w:r>
      <w:r w:rsidR="10670C11">
        <w:t>a broadband consumer label that is</w:t>
      </w:r>
      <w:r w:rsidRPr="63F0DE64">
        <w:rPr>
          <w:strike/>
        </w:rPr>
        <w:t xml:space="preserve"> publicly available, easily accessible website or through transmittal to the Commission.</w:t>
      </w:r>
      <w:r w:rsidRPr="63F0DE64">
        <w:rPr>
          <w:b/>
          <w:bCs/>
        </w:rPr>
        <w:t xml:space="preserve"> prominently displayed, publicly available, and easily accessible </w:t>
      </w:r>
      <w:r w:rsidRPr="63F0DE64" w:rsidR="007F1793">
        <w:rPr>
          <w:b/>
          <w:bCs/>
        </w:rPr>
        <w:t xml:space="preserve">at </w:t>
      </w:r>
      <w:r w:rsidRPr="63F0DE64" w:rsidR="00D90752">
        <w:rPr>
          <w:b/>
          <w:bCs/>
        </w:rPr>
        <w:t xml:space="preserve">the </w:t>
      </w:r>
      <w:r w:rsidRPr="63F0DE64" w:rsidR="007F1793">
        <w:rPr>
          <w:b/>
          <w:bCs/>
        </w:rPr>
        <w:t>point</w:t>
      </w:r>
      <w:r w:rsidRPr="63F0DE64" w:rsidR="00D67FA4">
        <w:rPr>
          <w:b/>
          <w:bCs/>
        </w:rPr>
        <w:t xml:space="preserve"> </w:t>
      </w:r>
      <w:r w:rsidRPr="63F0DE64" w:rsidR="007F1793">
        <w:rPr>
          <w:b/>
          <w:bCs/>
        </w:rPr>
        <w:t>of</w:t>
      </w:r>
      <w:r w:rsidRPr="63F0DE64" w:rsidR="00D67FA4">
        <w:rPr>
          <w:b/>
          <w:bCs/>
        </w:rPr>
        <w:t xml:space="preserve"> </w:t>
      </w:r>
      <w:r w:rsidRPr="63F0DE64" w:rsidR="007F1793">
        <w:rPr>
          <w:b/>
          <w:bCs/>
        </w:rPr>
        <w:t>sale</w:t>
      </w:r>
      <w:r w:rsidRPr="63F0DE64">
        <w:rPr>
          <w:b/>
          <w:bCs/>
        </w:rPr>
        <w:t xml:space="preserve"> </w:t>
      </w:r>
      <w:r w:rsidRPr="63F0DE64" w:rsidR="008524A7">
        <w:rPr>
          <w:b/>
          <w:bCs/>
        </w:rPr>
        <w:t>in the format prescribed</w:t>
      </w:r>
      <w:r w:rsidRPr="63F0DE64">
        <w:rPr>
          <w:b/>
          <w:bCs/>
        </w:rPr>
        <w:t xml:space="preserve"> by the Commission:</w:t>
      </w:r>
      <w:r>
        <w:br/>
      </w:r>
    </w:p>
    <w:p w:rsidR="00B546D4" w:rsidRPr="009056CC" w:rsidP="00D551E3" w14:paraId="15C86140" w14:textId="20DCBADC">
      <w:pPr>
        <w:numPr>
          <w:ilvl w:val="1"/>
          <w:numId w:val="11"/>
        </w:numPr>
        <w:rPr>
          <w:b/>
        </w:rPr>
      </w:pPr>
      <w:r w:rsidRPr="009056CC">
        <w:rPr>
          <w:b/>
        </w:rPr>
        <w:t>For fixed broadband, as described in “Fixed Broadband Consumer Disclosure Label</w:t>
      </w:r>
      <w:r w:rsidR="00C00845">
        <w:rPr>
          <w:b/>
        </w:rPr>
        <w:t>”</w:t>
      </w:r>
      <w:r w:rsidRPr="009056CC">
        <w:rPr>
          <w:b/>
        </w:rPr>
        <w:t>;</w:t>
      </w:r>
    </w:p>
    <w:p w:rsidR="00E848A3" w:rsidRPr="00F15AF4" w:rsidP="00F15AF4" w14:paraId="69C8C1C8" w14:textId="6BD38C71">
      <w:pPr>
        <w:numPr>
          <w:ilvl w:val="1"/>
          <w:numId w:val="11"/>
        </w:numPr>
        <w:rPr>
          <w:b/>
        </w:rPr>
      </w:pPr>
      <w:r w:rsidRPr="4DF83CA9">
        <w:rPr>
          <w:b/>
        </w:rPr>
        <w:t>For mobile broadband, as described in “Mobile Broadband Consumer Disclosure Label.”</w:t>
      </w:r>
    </w:p>
    <w:p w:rsidR="00F15AF4" w:rsidP="00B546D4" w14:paraId="1EB0DA24" w14:textId="77777777">
      <w:pPr>
        <w:sectPr w:rsidSect="00EB0CF7">
          <w:footerReference w:type="first" r:id="rId13"/>
          <w:footnotePr>
            <w:numRestart w:val="eachSect"/>
          </w:footnotePr>
          <w:endnotePr>
            <w:numFmt w:val="decimal"/>
          </w:endnotePr>
          <w:pgSz w:w="12240" w:h="15840"/>
          <w:pgMar w:top="1440" w:right="1440" w:bottom="720" w:left="1440" w:header="720" w:footer="720" w:gutter="0"/>
          <w:cols w:space="720"/>
          <w:noEndnote/>
          <w:docGrid w:linePitch="299"/>
        </w:sectPr>
      </w:pPr>
    </w:p>
    <w:p w:rsidR="00B546D4" w:rsidRPr="00E848A3" w:rsidP="00F15AF4" w14:paraId="55BEF869" w14:textId="6A1BD972">
      <w:pPr>
        <w:jc w:val="center"/>
        <w:rPr>
          <w:b/>
        </w:rPr>
      </w:pPr>
      <w:r>
        <w:rPr>
          <w:b/>
        </w:rPr>
        <w:t>APPENDIX</w:t>
      </w:r>
      <w:r w:rsidRPr="00E848A3" w:rsidR="00A7223C">
        <w:rPr>
          <w:b/>
        </w:rPr>
        <w:t xml:space="preserve"> B</w:t>
      </w:r>
      <w:r w:rsidR="00F2296E">
        <w:rPr>
          <w:b/>
        </w:rPr>
        <w:br/>
      </w:r>
    </w:p>
    <w:p w:rsidR="00A7223C" w:rsidP="00A7223C" w14:paraId="425796A7" w14:textId="4EF93D1A">
      <w:pPr>
        <w:jc w:val="center"/>
        <w:rPr>
          <w:b/>
        </w:rPr>
      </w:pPr>
      <w:r w:rsidRPr="00A7223C">
        <w:rPr>
          <w:b/>
        </w:rPr>
        <w:t>Fixed Broadband Consumer Disclosure Label</w:t>
      </w:r>
      <w:r w:rsidR="009359EA">
        <w:rPr>
          <w:b/>
        </w:rPr>
        <w:t xml:space="preserve"> From the </w:t>
      </w:r>
      <w:r w:rsidRPr="00AD24DD" w:rsidR="009359EA">
        <w:rPr>
          <w:b/>
          <w:i/>
        </w:rPr>
        <w:t>2016 P</w:t>
      </w:r>
      <w:r w:rsidRPr="00AD24DD" w:rsidR="00DD4398">
        <w:rPr>
          <w:b/>
          <w:i/>
        </w:rPr>
        <w:t>ublic Notice</w:t>
      </w:r>
    </w:p>
    <w:p w:rsidR="00A7223C" w:rsidP="00DC5340" w14:paraId="7BDC2202" w14:textId="77777777"/>
    <w:p w:rsidR="00A7223C" w:rsidP="00B546D4" w14:paraId="09D95A3F" w14:textId="38846B45">
      <w:pPr>
        <w:jc w:val="center"/>
      </w:pPr>
    </w:p>
    <w:tbl>
      <w:tblPr>
        <w:tblStyle w:val="TableGrid"/>
        <w:tblW w:w="10950" w:type="dxa"/>
        <w:tblInd w:w="-480"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ayout w:type="fixed"/>
        <w:tblLook w:val="04A0"/>
      </w:tblPr>
      <w:tblGrid>
        <w:gridCol w:w="236"/>
        <w:gridCol w:w="3514"/>
        <w:gridCol w:w="2700"/>
        <w:gridCol w:w="1350"/>
        <w:gridCol w:w="360"/>
        <w:gridCol w:w="450"/>
        <w:gridCol w:w="360"/>
        <w:gridCol w:w="1710"/>
        <w:gridCol w:w="270"/>
      </w:tblGrid>
      <w:tr w14:paraId="409AA974" w14:textId="77777777" w:rsidTr="0023143D">
        <w:tblPrEx>
          <w:tblW w:w="10950" w:type="dxa"/>
          <w:tblInd w:w="-480"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ayout w:type="fixed"/>
          <w:tblLook w:val="04A0"/>
        </w:tblPrEx>
        <w:tc>
          <w:tcPr>
            <w:tcW w:w="236" w:type="dxa"/>
            <w:tcBorders>
              <w:top w:val="single" w:sz="24" w:space="0" w:color="auto"/>
              <w:left w:val="single" w:sz="24" w:space="0" w:color="auto"/>
              <w:bottom w:val="nil"/>
            </w:tcBorders>
          </w:tcPr>
          <w:p w:rsidR="00294855" w:rsidRPr="008A3ADE" w:rsidP="0023143D" w14:paraId="223361F2" w14:textId="77777777">
            <w:pPr>
              <w:pStyle w:val="Header"/>
              <w:rPr>
                <w:rFonts w:ascii="Arial" w:eastAsia="Meiryo UI" w:hAnsi="Arial" w:cs="Arial"/>
                <w:b w:val="0"/>
              </w:rPr>
            </w:pPr>
          </w:p>
        </w:tc>
        <w:tc>
          <w:tcPr>
            <w:tcW w:w="10444" w:type="dxa"/>
            <w:gridSpan w:val="7"/>
            <w:tcBorders>
              <w:top w:val="single" w:sz="24" w:space="0" w:color="auto"/>
              <w:bottom w:val="nil"/>
            </w:tcBorders>
          </w:tcPr>
          <w:p w:rsidR="00294855" w:rsidRPr="005325AB" w:rsidP="0023143D" w14:paraId="284151E0" w14:textId="77777777">
            <w:pPr>
              <w:pStyle w:val="Header"/>
              <w:rPr>
                <w:rFonts w:ascii="Arial Black" w:eastAsia="Meiryo UI" w:hAnsi="Arial Black" w:cs="Arial"/>
                <w:b w:val="0"/>
                <w:sz w:val="60"/>
                <w:szCs w:val="60"/>
              </w:rPr>
            </w:pPr>
            <w:r w:rsidRPr="005325AB">
              <w:rPr>
                <w:rFonts w:ascii="Arial Black" w:eastAsia="Meiryo UI" w:hAnsi="Arial Black" w:cs="Arial"/>
                <w:sz w:val="60"/>
                <w:szCs w:val="60"/>
              </w:rPr>
              <w:t>Broadband Facts</w:t>
            </w:r>
          </w:p>
          <w:p w:rsidR="00294855" w:rsidRPr="00D32832" w:rsidP="0023143D" w14:paraId="6CEECF1C" w14:textId="77777777">
            <w:pPr>
              <w:pStyle w:val="Header"/>
              <w:rPr>
                <w:rFonts w:ascii="Arial" w:eastAsia="Meiryo UI" w:hAnsi="Arial" w:cs="Arial"/>
              </w:rPr>
            </w:pPr>
            <w:r>
              <w:rPr>
                <w:rFonts w:ascii="Arial" w:eastAsia="Meiryo UI" w:hAnsi="Arial" w:cs="Arial"/>
              </w:rPr>
              <w:t>Fixed broadband consumer d</w:t>
            </w:r>
            <w:r w:rsidRPr="00631C98">
              <w:rPr>
                <w:rFonts w:ascii="Arial" w:eastAsia="Meiryo UI" w:hAnsi="Arial" w:cs="Arial"/>
              </w:rPr>
              <w:t>isclosure</w:t>
            </w:r>
            <w:r>
              <w:rPr>
                <w:rFonts w:ascii="Arial" w:eastAsia="Meiryo UI" w:hAnsi="Arial" w:cs="Arial"/>
              </w:rPr>
              <w:t xml:space="preserve"> </w:t>
            </w:r>
          </w:p>
        </w:tc>
        <w:tc>
          <w:tcPr>
            <w:tcW w:w="270" w:type="dxa"/>
            <w:tcBorders>
              <w:top w:val="single" w:sz="24" w:space="0" w:color="auto"/>
              <w:bottom w:val="nil"/>
              <w:right w:val="single" w:sz="24" w:space="0" w:color="auto"/>
            </w:tcBorders>
          </w:tcPr>
          <w:p w:rsidR="00294855" w:rsidRPr="008A3ADE" w:rsidP="0023143D" w14:paraId="208C475E" w14:textId="77777777">
            <w:pPr>
              <w:pStyle w:val="Header"/>
              <w:rPr>
                <w:rFonts w:ascii="Arial" w:eastAsia="Meiryo UI" w:hAnsi="Arial" w:cs="Arial"/>
                <w:b w:val="0"/>
              </w:rPr>
            </w:pPr>
          </w:p>
        </w:tc>
      </w:tr>
      <w:tr w14:paraId="756F74EF" w14:textId="77777777" w:rsidTr="0023143D">
        <w:tblPrEx>
          <w:tblW w:w="10950" w:type="dxa"/>
          <w:tblInd w:w="-480" w:type="dxa"/>
          <w:tblLayout w:type="fixed"/>
          <w:tblLook w:val="04A0"/>
        </w:tblPrEx>
        <w:trPr>
          <w:trHeight w:val="162"/>
        </w:trPr>
        <w:tc>
          <w:tcPr>
            <w:tcW w:w="236" w:type="dxa"/>
            <w:tcBorders>
              <w:top w:val="nil"/>
              <w:left w:val="single" w:sz="24" w:space="0" w:color="auto"/>
              <w:bottom w:val="nil"/>
            </w:tcBorders>
          </w:tcPr>
          <w:p w:rsidR="00294855" w:rsidRPr="00AA70ED" w:rsidP="0023143D" w14:paraId="0863ABD9" w14:textId="77777777">
            <w:pPr>
              <w:pStyle w:val="Header"/>
              <w:rPr>
                <w:rFonts w:ascii="Arial" w:eastAsia="Meiryo UI" w:hAnsi="Arial" w:cs="Arial"/>
                <w:b w:val="0"/>
                <w:sz w:val="20"/>
                <w:szCs w:val="20"/>
              </w:rPr>
            </w:pPr>
          </w:p>
        </w:tc>
        <w:tc>
          <w:tcPr>
            <w:tcW w:w="8734" w:type="dxa"/>
            <w:gridSpan w:val="6"/>
            <w:tcBorders>
              <w:top w:val="nil"/>
              <w:bottom w:val="nil"/>
            </w:tcBorders>
            <w:shd w:val="clear" w:color="auto" w:fill="000000" w:themeFill="text1"/>
          </w:tcPr>
          <w:p w:rsidR="00294855" w:rsidRPr="00AA70ED" w:rsidP="0023143D" w14:paraId="72C45C1A" w14:textId="77777777">
            <w:pPr>
              <w:pStyle w:val="Header"/>
              <w:rPr>
                <w:rFonts w:ascii="Arial" w:eastAsia="Meiryo UI" w:hAnsi="Arial" w:cs="Arial"/>
                <w:b w:val="0"/>
                <w:sz w:val="20"/>
                <w:szCs w:val="20"/>
              </w:rPr>
            </w:pPr>
          </w:p>
        </w:tc>
        <w:tc>
          <w:tcPr>
            <w:tcW w:w="1710" w:type="dxa"/>
            <w:tcBorders>
              <w:top w:val="nil"/>
              <w:bottom w:val="nil"/>
            </w:tcBorders>
            <w:shd w:val="clear" w:color="auto" w:fill="000000" w:themeFill="text1"/>
          </w:tcPr>
          <w:p w:rsidR="00294855" w:rsidRPr="00AA70ED" w:rsidP="0023143D" w14:paraId="720E3B17" w14:textId="77777777">
            <w:pPr>
              <w:pStyle w:val="Header"/>
              <w:rPr>
                <w:rFonts w:ascii="Arial" w:eastAsia="Meiryo UI" w:hAnsi="Arial" w:cs="Arial"/>
                <w:b w:val="0"/>
                <w:sz w:val="20"/>
                <w:szCs w:val="20"/>
              </w:rPr>
            </w:pPr>
          </w:p>
        </w:tc>
        <w:tc>
          <w:tcPr>
            <w:tcW w:w="270" w:type="dxa"/>
            <w:tcBorders>
              <w:top w:val="nil"/>
              <w:bottom w:val="nil"/>
              <w:right w:val="single" w:sz="24" w:space="0" w:color="auto"/>
            </w:tcBorders>
          </w:tcPr>
          <w:p w:rsidR="00294855" w:rsidRPr="00AA70ED" w:rsidP="0023143D" w14:paraId="26FDE60E" w14:textId="77777777">
            <w:pPr>
              <w:pStyle w:val="Header"/>
              <w:rPr>
                <w:rFonts w:ascii="Arial" w:eastAsia="Meiryo UI" w:hAnsi="Arial" w:cs="Arial"/>
                <w:b w:val="0"/>
                <w:sz w:val="20"/>
                <w:szCs w:val="20"/>
              </w:rPr>
            </w:pPr>
          </w:p>
        </w:tc>
      </w:tr>
      <w:tr w14:paraId="616223ED"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8A3ADE" w:rsidP="0023143D" w14:paraId="4FE5EA76" w14:textId="77777777">
            <w:pPr>
              <w:pStyle w:val="Header"/>
              <w:spacing w:before="60" w:after="60"/>
              <w:rPr>
                <w:rFonts w:ascii="Arial" w:eastAsia="Meiryo UI" w:hAnsi="Arial" w:cs="Arial"/>
                <w:b w:val="0"/>
              </w:rPr>
            </w:pPr>
          </w:p>
        </w:tc>
        <w:tc>
          <w:tcPr>
            <w:tcW w:w="10444" w:type="dxa"/>
            <w:gridSpan w:val="7"/>
            <w:tcBorders>
              <w:top w:val="nil"/>
              <w:bottom w:val="single" w:sz="6" w:space="0" w:color="auto"/>
            </w:tcBorders>
            <w:shd w:val="clear" w:color="auto" w:fill="auto"/>
          </w:tcPr>
          <w:p w:rsidR="00294855" w:rsidRPr="005E56A3" w:rsidP="0023143D" w14:paraId="4260919A" w14:textId="77777777">
            <w:pPr>
              <w:pStyle w:val="Header"/>
              <w:spacing w:before="60" w:after="60"/>
              <w:rPr>
                <w:rFonts w:ascii="Arial Black" w:eastAsia="Meiryo UI" w:hAnsi="Arial Black" w:cs="Arial"/>
                <w:b w:val="0"/>
                <w:szCs w:val="22"/>
              </w:rPr>
            </w:pPr>
            <w:r w:rsidRPr="005E56A3">
              <w:rPr>
                <w:rFonts w:ascii="Arial Black" w:eastAsia="Meiryo UI" w:hAnsi="Arial Black" w:cs="Arial"/>
                <w:color w:val="000000" w:themeColor="text1"/>
                <w:szCs w:val="22"/>
              </w:rPr>
              <w:t xml:space="preserve">Choose Your Service </w:t>
            </w:r>
            <w:r>
              <w:rPr>
                <w:rFonts w:ascii="Arial Black" w:eastAsia="Meiryo UI" w:hAnsi="Arial Black" w:cs="Arial"/>
                <w:color w:val="000000" w:themeColor="text1"/>
                <w:szCs w:val="22"/>
              </w:rPr>
              <w:t xml:space="preserve">Data </w:t>
            </w:r>
            <w:r w:rsidRPr="005E56A3">
              <w:rPr>
                <w:rFonts w:ascii="Arial Black" w:eastAsia="Meiryo UI" w:hAnsi="Arial Black" w:cs="Arial"/>
                <w:color w:val="000000" w:themeColor="text1"/>
                <w:szCs w:val="22"/>
              </w:rPr>
              <w:t>Plan</w:t>
            </w:r>
            <w:r>
              <w:rPr>
                <w:rFonts w:ascii="Arial Black" w:eastAsia="Meiryo UI" w:hAnsi="Arial Black" w:cs="Arial"/>
                <w:color w:val="000000" w:themeColor="text1"/>
                <w:szCs w:val="22"/>
              </w:rPr>
              <w:t xml:space="preserve"> for </w:t>
            </w:r>
            <w:r w:rsidRPr="00DE1BF4">
              <w:rPr>
                <w:rFonts w:ascii="Arial Black" w:eastAsia="Meiryo UI" w:hAnsi="Arial Black" w:cs="Arial"/>
                <w:color w:val="FF0000"/>
                <w:szCs w:val="22"/>
              </w:rPr>
              <w:t>[</w:t>
            </w:r>
            <w:r w:rsidRPr="00DE1BF4">
              <w:rPr>
                <w:rFonts w:ascii="Arial Black" w:eastAsia="Meiryo UI" w:hAnsi="Arial Black" w:cs="Arial"/>
                <w:i/>
                <w:color w:val="FF0000"/>
                <w:szCs w:val="22"/>
              </w:rPr>
              <w:t>provide name of speed tier offered</w:t>
            </w:r>
            <w:r w:rsidRPr="00DE1BF4">
              <w:rPr>
                <w:rFonts w:ascii="Arial Black" w:eastAsia="Meiryo UI" w:hAnsi="Arial Black" w:cs="Arial"/>
                <w:color w:val="FF0000"/>
                <w:szCs w:val="22"/>
              </w:rPr>
              <w:t>]</w:t>
            </w:r>
          </w:p>
        </w:tc>
        <w:tc>
          <w:tcPr>
            <w:tcW w:w="270" w:type="dxa"/>
            <w:tcBorders>
              <w:top w:val="nil"/>
              <w:bottom w:val="nil"/>
              <w:right w:val="single" w:sz="24" w:space="0" w:color="auto"/>
            </w:tcBorders>
          </w:tcPr>
          <w:p w:rsidR="00294855" w:rsidRPr="004E0F36" w:rsidP="0023143D" w14:paraId="0DBE8788" w14:textId="77777777">
            <w:pPr>
              <w:pStyle w:val="Header"/>
              <w:spacing w:before="60" w:after="60"/>
              <w:rPr>
                <w:rFonts w:ascii="Arial" w:eastAsia="Meiryo UI" w:hAnsi="Arial" w:cs="Arial"/>
                <w:b w:val="0"/>
                <w:szCs w:val="22"/>
              </w:rPr>
            </w:pPr>
          </w:p>
        </w:tc>
      </w:tr>
      <w:tr w14:paraId="071D2D88"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631C98" w:rsidP="0023143D" w14:paraId="0D092BCB" w14:textId="77777777">
            <w:pPr>
              <w:pStyle w:val="Header"/>
              <w:spacing w:before="60" w:after="60"/>
              <w:rPr>
                <w:rFonts w:ascii="Arial" w:eastAsia="Meiryo UI" w:hAnsi="Arial" w:cs="Arial"/>
                <w:b w:val="0"/>
                <w:sz w:val="20"/>
              </w:rPr>
            </w:pPr>
          </w:p>
        </w:tc>
        <w:tc>
          <w:tcPr>
            <w:tcW w:w="7924" w:type="dxa"/>
            <w:gridSpan w:val="4"/>
            <w:tcBorders>
              <w:top w:val="single" w:sz="6" w:space="0" w:color="auto"/>
              <w:bottom w:val="single" w:sz="6" w:space="0" w:color="auto"/>
            </w:tcBorders>
            <w:shd w:val="clear" w:color="auto" w:fill="auto"/>
          </w:tcPr>
          <w:p w:rsidR="00294855" w:rsidP="0023143D" w14:paraId="33E1C56A" w14:textId="77777777">
            <w:pPr>
              <w:pStyle w:val="TableParagraph"/>
              <w:tabs>
                <w:tab w:val="left" w:pos="3252"/>
              </w:tabs>
              <w:spacing w:before="60" w:after="60"/>
              <w:ind w:left="-14"/>
              <w:rPr>
                <w:rFonts w:ascii="Arial" w:eastAsia="Calibri" w:hAnsi="Arial" w:cs="Arial"/>
              </w:rPr>
            </w:pPr>
            <w:r w:rsidRPr="007516A7">
              <w:rPr>
                <w:rFonts w:ascii="Arial" w:eastAsia="Calibri" w:hAnsi="Arial" w:cs="Arial"/>
              </w:rPr>
              <w:t xml:space="preserve">Monthly charge for month-to-month plan </w:t>
            </w:r>
          </w:p>
          <w:p w:rsidR="00294855" w:rsidRPr="007516A7" w:rsidP="0023143D" w14:paraId="775F55F6" w14:textId="77777777">
            <w:pPr>
              <w:pStyle w:val="TableParagraph"/>
              <w:tabs>
                <w:tab w:val="left" w:pos="3252"/>
              </w:tabs>
              <w:spacing w:before="60" w:after="60"/>
              <w:ind w:left="-14"/>
              <w:rPr>
                <w:rFonts w:ascii="Arial" w:eastAsia="Calibri" w:hAnsi="Arial" w:cs="Arial"/>
              </w:rPr>
            </w:pPr>
            <w:r w:rsidRPr="00DE1BF4">
              <w:rPr>
                <w:rFonts w:ascii="Arial" w:hAnsi="Arial" w:cs="Arial"/>
                <w:i/>
                <w:color w:val="FF0000"/>
              </w:rPr>
              <w:t>[provide non-promotional price of stand-alone broadband service on a month-to-month basis]</w:t>
            </w:r>
          </w:p>
        </w:tc>
        <w:tc>
          <w:tcPr>
            <w:tcW w:w="2520" w:type="dxa"/>
            <w:gridSpan w:val="3"/>
            <w:tcBorders>
              <w:top w:val="single" w:sz="6" w:space="0" w:color="auto"/>
              <w:bottom w:val="single" w:sz="6" w:space="0" w:color="auto"/>
            </w:tcBorders>
            <w:shd w:val="clear" w:color="auto" w:fill="auto"/>
          </w:tcPr>
          <w:p w:rsidR="00294855" w:rsidRPr="00DE1BF4" w:rsidP="0023143D" w14:paraId="1F71B222" w14:textId="77777777">
            <w:pPr>
              <w:pStyle w:val="Header"/>
              <w:spacing w:before="60" w:after="60"/>
              <w:ind w:left="-14"/>
              <w:jc w:val="right"/>
              <w:rPr>
                <w:rFonts w:ascii="Arial Black" w:eastAsia="Meiryo UI" w:hAnsi="Arial Black" w:cs="Arial"/>
                <w:b w:val="0"/>
                <w:i/>
                <w:color w:val="FF0000"/>
                <w:szCs w:val="22"/>
              </w:rPr>
            </w:pPr>
            <w:r w:rsidRPr="00DE1BF4">
              <w:rPr>
                <w:rFonts w:ascii="Arial Black" w:eastAsia="Calibri" w:hAnsi="Arial Black" w:cs="Arial"/>
                <w:i/>
                <w:color w:val="FF0000"/>
                <w:szCs w:val="22"/>
              </w:rPr>
              <w:t>$</w:t>
            </w:r>
            <w:r w:rsidRPr="00DE1BF4">
              <w:rPr>
                <w:rFonts w:ascii="Arial" w:hAnsi="Arial" w:cs="Arial"/>
                <w:i/>
                <w:color w:val="FF0000"/>
                <w:szCs w:val="22"/>
              </w:rPr>
              <w:t>[ ]</w:t>
            </w:r>
          </w:p>
        </w:tc>
        <w:tc>
          <w:tcPr>
            <w:tcW w:w="270" w:type="dxa"/>
            <w:tcBorders>
              <w:top w:val="nil"/>
              <w:bottom w:val="nil"/>
              <w:right w:val="single" w:sz="24" w:space="0" w:color="auto"/>
            </w:tcBorders>
          </w:tcPr>
          <w:p w:rsidR="00294855" w:rsidRPr="00DE1BF4" w:rsidP="0023143D" w14:paraId="67CB8E40" w14:textId="77777777">
            <w:pPr>
              <w:pStyle w:val="Header"/>
              <w:spacing w:before="60" w:after="60"/>
              <w:rPr>
                <w:rFonts w:ascii="Arial" w:eastAsia="Meiryo UI" w:hAnsi="Arial" w:cs="Arial"/>
                <w:b w:val="0"/>
                <w:i/>
                <w:color w:val="FF0000"/>
                <w:szCs w:val="22"/>
              </w:rPr>
            </w:pPr>
          </w:p>
        </w:tc>
      </w:tr>
      <w:tr w14:paraId="1AF378CE"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631C98" w:rsidP="0023143D" w14:paraId="05686CB0" w14:textId="77777777">
            <w:pPr>
              <w:pStyle w:val="Header"/>
              <w:spacing w:before="60" w:after="60"/>
              <w:rPr>
                <w:rFonts w:ascii="Arial" w:eastAsia="Meiryo UI" w:hAnsi="Arial" w:cs="Arial"/>
                <w:b w:val="0"/>
                <w:sz w:val="20"/>
              </w:rPr>
            </w:pPr>
          </w:p>
        </w:tc>
        <w:tc>
          <w:tcPr>
            <w:tcW w:w="7924" w:type="dxa"/>
            <w:gridSpan w:val="4"/>
            <w:tcBorders>
              <w:top w:val="single" w:sz="6" w:space="0" w:color="auto"/>
              <w:bottom w:val="single" w:sz="6" w:space="0" w:color="auto"/>
            </w:tcBorders>
            <w:shd w:val="clear" w:color="auto" w:fill="auto"/>
          </w:tcPr>
          <w:p w:rsidR="00294855" w:rsidP="0023143D" w14:paraId="121E4AD9" w14:textId="77777777">
            <w:pPr>
              <w:spacing w:before="60" w:after="60"/>
              <w:ind w:left="-14"/>
              <w:rPr>
                <w:rFonts w:ascii="Arial" w:eastAsia="Calibri" w:hAnsi="Arial" w:cs="Arial"/>
                <w:szCs w:val="22"/>
              </w:rPr>
            </w:pPr>
            <w:r w:rsidRPr="007516A7">
              <w:rPr>
                <w:rFonts w:ascii="Arial" w:eastAsia="Calibri" w:hAnsi="Arial" w:cs="Arial"/>
                <w:szCs w:val="22"/>
              </w:rPr>
              <w:t xml:space="preserve">Monthly charge for </w:t>
            </w:r>
            <w:r w:rsidRPr="00FB7DB2">
              <w:rPr>
                <w:rFonts w:ascii="Arial" w:hAnsi="Arial" w:cs="Arial"/>
                <w:i/>
                <w:color w:val="FF0000"/>
                <w:szCs w:val="22"/>
              </w:rPr>
              <w:t>[ ]</w:t>
            </w:r>
            <w:r w:rsidRPr="00FB7DB2">
              <w:rPr>
                <w:rFonts w:ascii="Arial" w:hAnsi="Arial" w:cs="Arial"/>
                <w:color w:val="FF0000"/>
                <w:szCs w:val="22"/>
              </w:rPr>
              <w:t xml:space="preserve"> </w:t>
            </w:r>
            <w:r w:rsidRPr="007516A7">
              <w:rPr>
                <w:rFonts w:ascii="Arial" w:eastAsia="Calibri" w:hAnsi="Arial" w:cs="Arial"/>
                <w:szCs w:val="22"/>
              </w:rPr>
              <w:t xml:space="preserve">contract plan </w:t>
            </w:r>
          </w:p>
          <w:p w:rsidR="00294855" w:rsidRPr="007516A7" w:rsidP="0023143D" w14:paraId="2F2A0F12" w14:textId="77777777">
            <w:pPr>
              <w:spacing w:before="60" w:after="60"/>
              <w:ind w:left="-14"/>
              <w:rPr>
                <w:rFonts w:ascii="Arial" w:eastAsia="Calibri" w:hAnsi="Arial" w:cs="Arial"/>
                <w:szCs w:val="22"/>
              </w:rPr>
            </w:pPr>
            <w:r w:rsidRPr="00DE1BF4">
              <w:rPr>
                <w:rFonts w:ascii="Arial" w:hAnsi="Arial" w:cs="Arial"/>
                <w:i/>
                <w:color w:val="FF0000"/>
                <w:szCs w:val="22"/>
              </w:rPr>
              <w:t>[identify length of available long-term contracts – provide one row for each available option</w:t>
            </w:r>
            <w:r>
              <w:rPr>
                <w:rFonts w:ascii="Arial" w:hAnsi="Arial" w:cs="Arial"/>
                <w:i/>
                <w:color w:val="FF0000"/>
                <w:szCs w:val="22"/>
              </w:rPr>
              <w:t xml:space="preserve">; </w:t>
            </w:r>
            <w:r w:rsidRPr="00FB7DB2">
              <w:rPr>
                <w:rFonts w:ascii="Arial" w:hAnsi="Arial" w:cs="Arial"/>
                <w:i/>
                <w:color w:val="FF0000"/>
                <w:szCs w:val="22"/>
              </w:rPr>
              <w:t>provide price of stand-alone broadband service available under each long-term contract option</w:t>
            </w:r>
            <w:r w:rsidRPr="00DE1BF4">
              <w:rPr>
                <w:rFonts w:ascii="Arial" w:hAnsi="Arial" w:cs="Arial"/>
                <w:i/>
                <w:color w:val="FF0000"/>
                <w:szCs w:val="22"/>
              </w:rPr>
              <w:t>]</w:t>
            </w:r>
          </w:p>
        </w:tc>
        <w:tc>
          <w:tcPr>
            <w:tcW w:w="2520" w:type="dxa"/>
            <w:gridSpan w:val="3"/>
            <w:tcBorders>
              <w:top w:val="single" w:sz="6" w:space="0" w:color="auto"/>
              <w:bottom w:val="single" w:sz="6" w:space="0" w:color="auto"/>
            </w:tcBorders>
            <w:shd w:val="clear" w:color="auto" w:fill="auto"/>
          </w:tcPr>
          <w:p w:rsidR="00294855" w:rsidRPr="00FB7DB2" w:rsidP="0023143D" w14:paraId="7B90EDC4" w14:textId="77777777">
            <w:pPr>
              <w:pStyle w:val="Header"/>
              <w:spacing w:before="60" w:after="60"/>
              <w:ind w:left="-14"/>
              <w:jc w:val="right"/>
              <w:rPr>
                <w:rFonts w:ascii="Arial" w:hAnsi="Arial" w:cs="Arial"/>
                <w:i/>
                <w:color w:val="FF0000"/>
                <w:szCs w:val="22"/>
              </w:rPr>
            </w:pPr>
            <w:r w:rsidRPr="00FB7DB2">
              <w:rPr>
                <w:rFonts w:ascii="Arial Black" w:eastAsia="Calibri" w:hAnsi="Arial Black" w:cs="Arial"/>
                <w:i/>
                <w:color w:val="FF0000"/>
                <w:szCs w:val="22"/>
              </w:rPr>
              <w:t>$</w:t>
            </w:r>
            <w:r w:rsidRPr="00FB7DB2">
              <w:rPr>
                <w:rFonts w:ascii="Arial" w:hAnsi="Arial" w:cs="Arial"/>
                <w:i/>
                <w:color w:val="FF0000"/>
                <w:szCs w:val="22"/>
              </w:rPr>
              <w:t>[ ]</w:t>
            </w:r>
          </w:p>
        </w:tc>
        <w:tc>
          <w:tcPr>
            <w:tcW w:w="270" w:type="dxa"/>
            <w:tcBorders>
              <w:top w:val="nil"/>
              <w:bottom w:val="nil"/>
              <w:right w:val="single" w:sz="24" w:space="0" w:color="auto"/>
            </w:tcBorders>
          </w:tcPr>
          <w:p w:rsidR="00294855" w:rsidRPr="00FB7DB2" w:rsidP="0023143D" w14:paraId="01FE7C4E" w14:textId="77777777">
            <w:pPr>
              <w:pStyle w:val="Header"/>
              <w:spacing w:before="60" w:after="60"/>
              <w:rPr>
                <w:rFonts w:ascii="Arial" w:eastAsia="Meiryo UI" w:hAnsi="Arial" w:cs="Arial"/>
                <w:b w:val="0"/>
                <w:i/>
                <w:color w:val="FF0000"/>
                <w:szCs w:val="22"/>
              </w:rPr>
            </w:pPr>
          </w:p>
        </w:tc>
      </w:tr>
      <w:tr w14:paraId="4AAAC397"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631C98" w:rsidP="0023143D" w14:paraId="096E40B9" w14:textId="77777777">
            <w:pPr>
              <w:pStyle w:val="Header"/>
              <w:spacing w:before="60" w:after="60"/>
              <w:rPr>
                <w:rFonts w:ascii="Arial" w:eastAsia="Meiryo UI" w:hAnsi="Arial" w:cs="Arial"/>
                <w:b w:val="0"/>
                <w:sz w:val="20"/>
              </w:rPr>
            </w:pPr>
          </w:p>
        </w:tc>
        <w:tc>
          <w:tcPr>
            <w:tcW w:w="10444" w:type="dxa"/>
            <w:gridSpan w:val="7"/>
            <w:tcBorders>
              <w:top w:val="single" w:sz="6" w:space="0" w:color="auto"/>
              <w:bottom w:val="single" w:sz="36" w:space="0" w:color="auto"/>
            </w:tcBorders>
            <w:shd w:val="clear" w:color="auto" w:fill="auto"/>
          </w:tcPr>
          <w:p w:rsidR="00294855" w:rsidRPr="007516A7" w:rsidP="0023143D" w14:paraId="65B5A111" w14:textId="77777777">
            <w:pPr>
              <w:pStyle w:val="Header"/>
              <w:spacing w:before="60" w:after="60"/>
              <w:rPr>
                <w:rFonts w:ascii="Arial" w:hAnsi="Arial" w:cs="Arial"/>
                <w:szCs w:val="22"/>
              </w:rPr>
            </w:pPr>
            <w:r w:rsidRPr="007516A7">
              <w:rPr>
                <w:rFonts w:ascii="Arial" w:hAnsi="Arial" w:cs="Arial"/>
                <w:szCs w:val="22"/>
              </w:rPr>
              <w:t xml:space="preserve">Click here for other </w:t>
            </w:r>
            <w:r w:rsidRPr="007516A7">
              <w:rPr>
                <w:rFonts w:ascii="Arial" w:hAnsi="Arial" w:cs="Arial"/>
                <w:color w:val="44546A" w:themeColor="text2"/>
                <w:szCs w:val="22"/>
                <w:u w:val="single"/>
              </w:rPr>
              <w:t>pricing options</w:t>
            </w:r>
            <w:r w:rsidRPr="007516A7">
              <w:rPr>
                <w:rFonts w:ascii="Arial" w:hAnsi="Arial" w:cs="Arial"/>
                <w:color w:val="44546A" w:themeColor="text2"/>
                <w:szCs w:val="22"/>
              </w:rPr>
              <w:t xml:space="preserve"> </w:t>
            </w:r>
            <w:r w:rsidRPr="007516A7">
              <w:rPr>
                <w:rFonts w:ascii="Arial" w:hAnsi="Arial" w:cs="Arial"/>
                <w:szCs w:val="22"/>
              </w:rPr>
              <w:t xml:space="preserve">including </w:t>
            </w:r>
            <w:r w:rsidRPr="007516A7">
              <w:rPr>
                <w:rFonts w:ascii="Arial" w:hAnsi="Arial" w:cs="Arial"/>
                <w:szCs w:val="22"/>
                <w:shd w:val="clear" w:color="auto" w:fill="FFFFFF" w:themeFill="background1"/>
              </w:rPr>
              <w:t>promotions</w:t>
            </w:r>
            <w:r w:rsidRPr="007516A7">
              <w:rPr>
                <w:rFonts w:ascii="Arial" w:hAnsi="Arial" w:cs="Arial"/>
                <w:szCs w:val="22"/>
              </w:rPr>
              <w:t xml:space="preserve"> and options </w:t>
            </w:r>
          </w:p>
          <w:p w:rsidR="00294855" w:rsidRPr="007516A7" w:rsidP="0023143D" w14:paraId="03F0FB4C" w14:textId="77777777">
            <w:pPr>
              <w:pStyle w:val="Header"/>
              <w:spacing w:before="60" w:after="60"/>
              <w:ind w:left="-14"/>
              <w:rPr>
                <w:rFonts w:ascii="Arial Black" w:eastAsia="Calibri" w:hAnsi="Arial Black" w:cs="Arial"/>
                <w:b w:val="0"/>
                <w:szCs w:val="22"/>
              </w:rPr>
            </w:pPr>
            <w:r w:rsidRPr="007516A7">
              <w:rPr>
                <w:rFonts w:ascii="Arial" w:hAnsi="Arial" w:cs="Arial"/>
                <w:szCs w:val="22"/>
              </w:rPr>
              <w:t>bundled with other services, like cable television and wireless services.</w:t>
            </w:r>
          </w:p>
        </w:tc>
        <w:tc>
          <w:tcPr>
            <w:tcW w:w="270" w:type="dxa"/>
            <w:tcBorders>
              <w:top w:val="nil"/>
              <w:bottom w:val="nil"/>
              <w:right w:val="single" w:sz="24" w:space="0" w:color="auto"/>
            </w:tcBorders>
          </w:tcPr>
          <w:p w:rsidR="00294855" w:rsidRPr="004E0F36" w:rsidP="0023143D" w14:paraId="4EE53839" w14:textId="77777777">
            <w:pPr>
              <w:pStyle w:val="Header"/>
              <w:spacing w:before="60" w:after="60"/>
              <w:rPr>
                <w:rFonts w:ascii="Arial" w:eastAsia="Meiryo UI" w:hAnsi="Arial" w:cs="Arial"/>
                <w:b w:val="0"/>
                <w:szCs w:val="22"/>
              </w:rPr>
            </w:pPr>
          </w:p>
        </w:tc>
      </w:tr>
      <w:tr w14:paraId="2897E3D2" w14:textId="77777777" w:rsidTr="0023143D">
        <w:tblPrEx>
          <w:tblW w:w="10950" w:type="dxa"/>
          <w:tblInd w:w="-480" w:type="dxa"/>
          <w:tblLayout w:type="fixed"/>
          <w:tblLook w:val="04A0"/>
        </w:tblPrEx>
        <w:trPr>
          <w:trHeight w:val="129"/>
        </w:trPr>
        <w:tc>
          <w:tcPr>
            <w:tcW w:w="236" w:type="dxa"/>
            <w:tcBorders>
              <w:top w:val="nil"/>
              <w:left w:val="single" w:sz="24" w:space="0" w:color="auto"/>
              <w:bottom w:val="nil"/>
            </w:tcBorders>
          </w:tcPr>
          <w:p w:rsidR="00294855" w:rsidRPr="008A3ADE" w:rsidP="0023143D" w14:paraId="141E4C61" w14:textId="77777777">
            <w:pPr>
              <w:pStyle w:val="Header"/>
              <w:spacing w:before="60" w:after="60"/>
              <w:rPr>
                <w:rFonts w:ascii="Arial" w:eastAsia="Meiryo UI" w:hAnsi="Arial" w:cs="Arial"/>
                <w:b w:val="0"/>
              </w:rPr>
            </w:pPr>
          </w:p>
        </w:tc>
        <w:tc>
          <w:tcPr>
            <w:tcW w:w="8734" w:type="dxa"/>
            <w:gridSpan w:val="6"/>
            <w:tcBorders>
              <w:top w:val="single" w:sz="36" w:space="0" w:color="auto"/>
              <w:bottom w:val="nil"/>
            </w:tcBorders>
            <w:shd w:val="clear" w:color="auto" w:fill="auto"/>
          </w:tcPr>
          <w:p w:rsidR="00294855" w:rsidRPr="005E56A3" w:rsidP="0023143D" w14:paraId="6964D484" w14:textId="77777777">
            <w:pPr>
              <w:pStyle w:val="Header"/>
              <w:spacing w:before="60" w:after="60"/>
              <w:ind w:left="-14"/>
              <w:rPr>
                <w:rFonts w:ascii="Arial Black" w:eastAsia="Meiryo UI" w:hAnsi="Arial Black" w:cs="Arial"/>
                <w:b w:val="0"/>
                <w:color w:val="000000" w:themeColor="text1"/>
                <w:szCs w:val="22"/>
              </w:rPr>
            </w:pPr>
            <w:r w:rsidRPr="005E56A3">
              <w:rPr>
                <w:rFonts w:ascii="Arial Black" w:eastAsia="Meiryo UI" w:hAnsi="Arial Black" w:cs="Arial"/>
                <w:color w:val="000000" w:themeColor="text1"/>
                <w:szCs w:val="22"/>
              </w:rPr>
              <w:t xml:space="preserve">Other Charges and Terms </w:t>
            </w:r>
          </w:p>
        </w:tc>
        <w:tc>
          <w:tcPr>
            <w:tcW w:w="1710" w:type="dxa"/>
            <w:tcBorders>
              <w:top w:val="single" w:sz="36" w:space="0" w:color="auto"/>
              <w:bottom w:val="nil"/>
            </w:tcBorders>
            <w:shd w:val="clear" w:color="auto" w:fill="auto"/>
          </w:tcPr>
          <w:p w:rsidR="00294855" w:rsidRPr="005E56A3" w:rsidP="0023143D" w14:paraId="5C39BD65" w14:textId="77777777">
            <w:pPr>
              <w:pStyle w:val="Header"/>
              <w:spacing w:before="60" w:after="60"/>
              <w:rPr>
                <w:rFonts w:ascii="Arial" w:eastAsia="Meiryo UI" w:hAnsi="Arial" w:cs="Arial"/>
                <w:b w:val="0"/>
                <w:szCs w:val="22"/>
              </w:rPr>
            </w:pPr>
          </w:p>
        </w:tc>
        <w:tc>
          <w:tcPr>
            <w:tcW w:w="270" w:type="dxa"/>
            <w:tcBorders>
              <w:top w:val="nil"/>
              <w:bottom w:val="nil"/>
              <w:right w:val="single" w:sz="24" w:space="0" w:color="auto"/>
            </w:tcBorders>
          </w:tcPr>
          <w:p w:rsidR="00294855" w:rsidRPr="008A3ADE" w:rsidP="0023143D" w14:paraId="2E23A5AF" w14:textId="77777777">
            <w:pPr>
              <w:pStyle w:val="Header"/>
              <w:spacing w:before="60" w:after="60"/>
              <w:rPr>
                <w:rFonts w:ascii="Arial" w:eastAsia="Meiryo UI" w:hAnsi="Arial" w:cs="Arial"/>
                <w:b w:val="0"/>
              </w:rPr>
            </w:pPr>
          </w:p>
        </w:tc>
      </w:tr>
      <w:tr w14:paraId="33577D4D"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8A3ADE" w:rsidP="0023143D" w14:paraId="660BC06F" w14:textId="77777777">
            <w:pPr>
              <w:pStyle w:val="Header"/>
              <w:spacing w:before="60" w:after="60"/>
              <w:rPr>
                <w:rFonts w:ascii="Arial" w:eastAsia="Meiryo UI" w:hAnsi="Arial" w:cs="Arial"/>
                <w:b w:val="0"/>
              </w:rPr>
            </w:pPr>
          </w:p>
        </w:tc>
        <w:tc>
          <w:tcPr>
            <w:tcW w:w="7924" w:type="dxa"/>
            <w:gridSpan w:val="4"/>
            <w:tcBorders>
              <w:top w:val="single" w:sz="6" w:space="0" w:color="auto"/>
              <w:bottom w:val="nil"/>
            </w:tcBorders>
            <w:shd w:val="clear" w:color="auto" w:fill="auto"/>
          </w:tcPr>
          <w:p w:rsidR="00294855" w:rsidP="0023143D" w14:paraId="6BE257A9" w14:textId="77777777">
            <w:pPr>
              <w:spacing w:before="60" w:after="60"/>
              <w:ind w:left="-14"/>
              <w:rPr>
                <w:rFonts w:ascii="Arial" w:eastAsia="Calibri" w:hAnsi="Arial" w:cs="Arial"/>
                <w:szCs w:val="22"/>
              </w:rPr>
            </w:pPr>
            <w:r w:rsidRPr="007516A7">
              <w:rPr>
                <w:rFonts w:ascii="Arial" w:eastAsia="Calibri" w:hAnsi="Arial" w:cs="Arial"/>
                <w:szCs w:val="22"/>
              </w:rPr>
              <w:t>Data included with monthly charge</w:t>
            </w:r>
          </w:p>
          <w:p w:rsidR="00294855" w:rsidRPr="007516A7" w:rsidP="0023143D" w14:paraId="6549D977" w14:textId="77777777">
            <w:pPr>
              <w:spacing w:before="60" w:after="60"/>
              <w:ind w:left="-14"/>
              <w:rPr>
                <w:rFonts w:ascii="Arial" w:hAnsi="Arial" w:cs="Arial"/>
                <w:color w:val="000000"/>
                <w:szCs w:val="22"/>
              </w:rPr>
            </w:pPr>
            <w:r w:rsidRPr="00FB7DB2">
              <w:rPr>
                <w:rFonts w:ascii="Arial" w:eastAsia="Times New Roman" w:hAnsi="Arial" w:cs="Arial"/>
                <w:i/>
                <w:color w:val="FF0000"/>
                <w:szCs w:val="22"/>
              </w:rPr>
              <w:t>[if applicable, identify the monthly data allowance associated with this plan]</w:t>
            </w:r>
          </w:p>
        </w:tc>
        <w:tc>
          <w:tcPr>
            <w:tcW w:w="2520" w:type="dxa"/>
            <w:gridSpan w:val="3"/>
            <w:tcBorders>
              <w:top w:val="single" w:sz="6" w:space="0" w:color="auto"/>
              <w:bottom w:val="nil"/>
            </w:tcBorders>
            <w:shd w:val="clear" w:color="auto" w:fill="auto"/>
          </w:tcPr>
          <w:p w:rsidR="00294855" w:rsidRPr="00FB7DB2" w:rsidP="0023143D" w14:paraId="5D2899CC" w14:textId="77777777">
            <w:pPr>
              <w:spacing w:before="60" w:after="60"/>
              <w:ind w:left="-14"/>
              <w:jc w:val="right"/>
              <w:rPr>
                <w:rFonts w:ascii="Arial Black" w:hAnsi="Arial Black" w:cs="Arial"/>
                <w:i/>
                <w:color w:val="000000"/>
                <w:szCs w:val="22"/>
              </w:rPr>
            </w:pPr>
            <w:r w:rsidRPr="00FB7DB2">
              <w:rPr>
                <w:rFonts w:ascii="Arial" w:hAnsi="Arial" w:cs="Arial"/>
                <w:i/>
                <w:color w:val="FF0000"/>
                <w:szCs w:val="22"/>
              </w:rPr>
              <w:t>[ ]</w:t>
            </w:r>
            <w:r w:rsidRPr="00FB7DB2">
              <w:rPr>
                <w:rFonts w:ascii="Arial Black" w:eastAsia="Calibri" w:hAnsi="Arial Black" w:cs="Arial"/>
                <w:i/>
                <w:color w:val="FF0000"/>
                <w:szCs w:val="22"/>
              </w:rPr>
              <w:t>GB</w:t>
            </w:r>
          </w:p>
        </w:tc>
        <w:tc>
          <w:tcPr>
            <w:tcW w:w="270" w:type="dxa"/>
            <w:tcBorders>
              <w:top w:val="nil"/>
              <w:bottom w:val="nil"/>
              <w:right w:val="single" w:sz="24" w:space="0" w:color="auto"/>
            </w:tcBorders>
          </w:tcPr>
          <w:p w:rsidR="00294855" w:rsidRPr="008A3ADE" w:rsidP="0023143D" w14:paraId="79A112B4" w14:textId="77777777">
            <w:pPr>
              <w:pStyle w:val="Header"/>
              <w:spacing w:before="60" w:after="60"/>
              <w:rPr>
                <w:rFonts w:ascii="Arial" w:eastAsia="Meiryo UI" w:hAnsi="Arial" w:cs="Arial"/>
                <w:b w:val="0"/>
              </w:rPr>
            </w:pPr>
          </w:p>
        </w:tc>
      </w:tr>
      <w:tr w14:paraId="78674BF3"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8A3ADE" w:rsidP="0023143D" w14:paraId="3E6EBAD4" w14:textId="77777777">
            <w:pPr>
              <w:pStyle w:val="Header"/>
              <w:spacing w:before="60" w:after="60"/>
              <w:rPr>
                <w:rFonts w:ascii="Arial" w:eastAsia="Meiryo UI" w:hAnsi="Arial" w:cs="Arial"/>
                <w:b w:val="0"/>
              </w:rPr>
            </w:pPr>
          </w:p>
        </w:tc>
        <w:tc>
          <w:tcPr>
            <w:tcW w:w="8374" w:type="dxa"/>
            <w:gridSpan w:val="5"/>
            <w:tcBorders>
              <w:top w:val="single" w:sz="6" w:space="0" w:color="auto"/>
              <w:bottom w:val="nil"/>
            </w:tcBorders>
            <w:shd w:val="clear" w:color="auto" w:fill="auto"/>
          </w:tcPr>
          <w:p w:rsidR="00294855" w:rsidRPr="004D51B5" w:rsidP="0023143D" w14:paraId="39023846" w14:textId="77777777">
            <w:pPr>
              <w:spacing w:before="60" w:after="60"/>
              <w:ind w:left="-14"/>
              <w:rPr>
                <w:rFonts w:ascii="Arial" w:eastAsia="Calibri" w:hAnsi="Arial" w:cs="Arial"/>
                <w:szCs w:val="22"/>
              </w:rPr>
            </w:pPr>
            <w:r w:rsidRPr="007516A7">
              <w:rPr>
                <w:rFonts w:ascii="Arial" w:hAnsi="Arial" w:cs="Arial"/>
                <w:szCs w:val="22"/>
              </w:rPr>
              <w:t>Charges for additional</w:t>
            </w:r>
            <w:r w:rsidRPr="007516A7">
              <w:rPr>
                <w:rFonts w:ascii="Arial" w:eastAsia="Calibri" w:hAnsi="Arial" w:cs="Arial"/>
                <w:szCs w:val="22"/>
              </w:rPr>
              <w:t xml:space="preserve"> data usage</w:t>
            </w:r>
            <w:r>
              <w:rPr>
                <w:rFonts w:ascii="Arial" w:eastAsia="Calibri" w:hAnsi="Arial" w:cs="Arial"/>
                <w:szCs w:val="22"/>
              </w:rPr>
              <w:t xml:space="preserve"> –</w:t>
            </w:r>
            <w:r w:rsidRPr="00FB7DB2">
              <w:rPr>
                <w:rFonts w:ascii="Arial" w:eastAsia="Calibri" w:hAnsi="Arial" w:cs="Arial"/>
                <w:i/>
                <w:color w:val="FF0000"/>
                <w:szCs w:val="22"/>
              </w:rPr>
              <w:t xml:space="preserve"> [provide increment of additional data, e.g., “each additional 50GB”;</w:t>
            </w:r>
            <w:r w:rsidRPr="00FB7DB2">
              <w:rPr>
                <w:rFonts w:ascii="Arial" w:eastAsia="Times New Roman" w:hAnsi="Arial" w:cs="Arial"/>
                <w:i/>
                <w:color w:val="FF0000"/>
                <w:szCs w:val="22"/>
              </w:rPr>
              <w:t xml:space="preserve"> if applicable, identify additional charges if the monthly data allowance is exceeded]</w:t>
            </w:r>
            <w:r w:rsidRPr="00FB7DB2">
              <w:rPr>
                <w:rFonts w:ascii="Arial" w:eastAsia="Calibri" w:hAnsi="Arial" w:cs="Arial"/>
                <w:i/>
                <w:color w:val="FF0000"/>
                <w:szCs w:val="22"/>
              </w:rPr>
              <w:t xml:space="preserve"> </w:t>
            </w:r>
          </w:p>
        </w:tc>
        <w:tc>
          <w:tcPr>
            <w:tcW w:w="2070" w:type="dxa"/>
            <w:gridSpan w:val="2"/>
            <w:tcBorders>
              <w:top w:val="single" w:sz="6" w:space="0" w:color="auto"/>
              <w:bottom w:val="nil"/>
            </w:tcBorders>
            <w:shd w:val="clear" w:color="auto" w:fill="auto"/>
          </w:tcPr>
          <w:p w:rsidR="00294855" w:rsidRPr="00FB7DB2" w:rsidP="0023143D" w14:paraId="2535A66E" w14:textId="77777777">
            <w:pPr>
              <w:spacing w:before="60" w:after="60"/>
              <w:ind w:left="-14"/>
              <w:jc w:val="right"/>
              <w:rPr>
                <w:rFonts w:ascii="Arial Black" w:eastAsia="Calibri" w:hAnsi="Arial Black" w:cs="Arial"/>
                <w:i/>
                <w:szCs w:val="22"/>
              </w:rPr>
            </w:pPr>
            <w:r w:rsidRPr="00FB7DB2">
              <w:rPr>
                <w:rFonts w:ascii="Arial Black" w:eastAsia="Calibri" w:hAnsi="Arial Black" w:cs="Arial"/>
                <w:i/>
                <w:color w:val="FF0000"/>
                <w:szCs w:val="22"/>
              </w:rPr>
              <w:t>$</w:t>
            </w:r>
            <w:r w:rsidRPr="00FB7DB2">
              <w:rPr>
                <w:rFonts w:ascii="Arial" w:hAnsi="Arial" w:cs="Arial"/>
                <w:i/>
                <w:color w:val="FF0000"/>
                <w:szCs w:val="22"/>
              </w:rPr>
              <w:t xml:space="preserve">[ ] </w:t>
            </w:r>
            <w:r w:rsidRPr="00FB7DB2">
              <w:rPr>
                <w:rFonts w:ascii="Arial Black" w:eastAsia="Calibri" w:hAnsi="Arial Black" w:cs="Arial"/>
                <w:i/>
                <w:szCs w:val="22"/>
              </w:rPr>
              <w:t xml:space="preserve"> </w:t>
            </w:r>
          </w:p>
        </w:tc>
        <w:tc>
          <w:tcPr>
            <w:tcW w:w="270" w:type="dxa"/>
            <w:tcBorders>
              <w:top w:val="nil"/>
              <w:bottom w:val="nil"/>
              <w:right w:val="single" w:sz="24" w:space="0" w:color="auto"/>
            </w:tcBorders>
          </w:tcPr>
          <w:p w:rsidR="00294855" w:rsidRPr="008A3ADE" w:rsidP="0023143D" w14:paraId="163E8B00" w14:textId="77777777">
            <w:pPr>
              <w:pStyle w:val="Header"/>
              <w:spacing w:before="60" w:after="60"/>
              <w:rPr>
                <w:rFonts w:ascii="Arial" w:eastAsia="Meiryo UI" w:hAnsi="Arial" w:cs="Arial"/>
                <w:b w:val="0"/>
              </w:rPr>
            </w:pPr>
          </w:p>
        </w:tc>
      </w:tr>
      <w:tr w14:paraId="3D1CF96A"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8A3ADE" w:rsidP="0023143D" w14:paraId="2DD99806" w14:textId="77777777">
            <w:pPr>
              <w:pStyle w:val="Header"/>
              <w:spacing w:before="60" w:after="60"/>
              <w:rPr>
                <w:rFonts w:ascii="Arial" w:eastAsia="Meiryo UI" w:hAnsi="Arial" w:cs="Arial"/>
                <w:b w:val="0"/>
              </w:rPr>
            </w:pPr>
          </w:p>
        </w:tc>
        <w:tc>
          <w:tcPr>
            <w:tcW w:w="8374" w:type="dxa"/>
            <w:gridSpan w:val="5"/>
            <w:tcBorders>
              <w:top w:val="single" w:sz="6" w:space="0" w:color="auto"/>
              <w:bottom w:val="nil"/>
            </w:tcBorders>
            <w:shd w:val="clear" w:color="auto" w:fill="auto"/>
          </w:tcPr>
          <w:p w:rsidR="00294855" w:rsidP="0023143D" w14:paraId="0FA9E3A4" w14:textId="77777777">
            <w:pPr>
              <w:spacing w:before="60" w:after="60"/>
              <w:ind w:left="-14"/>
              <w:rPr>
                <w:rFonts w:ascii="Arial" w:hAnsi="Arial" w:cs="Arial"/>
                <w:color w:val="44546A" w:themeColor="text2"/>
                <w:szCs w:val="22"/>
                <w:u w:val="single"/>
              </w:rPr>
            </w:pPr>
            <w:r w:rsidRPr="007516A7">
              <w:rPr>
                <w:rFonts w:ascii="Arial" w:hAnsi="Arial" w:cs="Arial"/>
                <w:color w:val="000000"/>
                <w:szCs w:val="22"/>
              </w:rPr>
              <w:t xml:space="preserve">Optional modem or gateway lease – </w:t>
            </w:r>
            <w:r w:rsidRPr="007516A7">
              <w:rPr>
                <w:rFonts w:ascii="Arial" w:hAnsi="Arial" w:cs="Arial"/>
                <w:szCs w:val="22"/>
              </w:rPr>
              <w:t xml:space="preserve">Customers may use their own modem or gateway; click here for </w:t>
            </w:r>
            <w:r>
              <w:rPr>
                <w:rFonts w:ascii="Arial" w:hAnsi="Arial" w:cs="Arial"/>
                <w:color w:val="44546A" w:themeColor="text2"/>
                <w:szCs w:val="22"/>
                <w:u w:val="single"/>
              </w:rPr>
              <w:t>our policy</w:t>
            </w:r>
          </w:p>
          <w:p w:rsidR="00294855" w:rsidRPr="007516A7" w:rsidP="0023143D" w14:paraId="038ECCAB" w14:textId="77777777">
            <w:pPr>
              <w:spacing w:before="60" w:after="60"/>
              <w:ind w:left="-14"/>
              <w:rPr>
                <w:rFonts w:ascii="Arial" w:hAnsi="Arial" w:cs="Arial"/>
                <w:color w:val="000000"/>
                <w:szCs w:val="22"/>
              </w:rPr>
            </w:pPr>
            <w:r w:rsidRPr="00FB7DB2">
              <w:rPr>
                <w:rFonts w:ascii="Arial" w:eastAsia="Times New Roman" w:hAnsi="Arial" w:cs="Arial"/>
                <w:i/>
                <w:color w:val="FF0000"/>
                <w:szCs w:val="22"/>
              </w:rPr>
              <w:t>[at underlined language provide a link to the company’s policy with respect to customers using their own equipment</w:t>
            </w:r>
            <w:r>
              <w:rPr>
                <w:rFonts w:ascii="Arial" w:eastAsia="Times New Roman" w:hAnsi="Arial" w:cs="Arial"/>
                <w:i/>
                <w:color w:val="FF0000"/>
                <w:szCs w:val="22"/>
              </w:rPr>
              <w:t>; provide the monthly rental fee for any equipment available for rent</w:t>
            </w:r>
            <w:r w:rsidRPr="00FB7DB2">
              <w:rPr>
                <w:rFonts w:ascii="Arial" w:eastAsia="Times New Roman" w:hAnsi="Arial" w:cs="Arial"/>
                <w:i/>
                <w:color w:val="FF0000"/>
                <w:szCs w:val="22"/>
              </w:rPr>
              <w:t>]</w:t>
            </w:r>
          </w:p>
        </w:tc>
        <w:tc>
          <w:tcPr>
            <w:tcW w:w="2070" w:type="dxa"/>
            <w:gridSpan w:val="2"/>
            <w:tcBorders>
              <w:top w:val="single" w:sz="6" w:space="0" w:color="auto"/>
              <w:bottom w:val="nil"/>
            </w:tcBorders>
            <w:shd w:val="clear" w:color="auto" w:fill="auto"/>
          </w:tcPr>
          <w:p w:rsidR="00294855" w:rsidRPr="00FB7DB2" w:rsidP="0023143D" w14:paraId="184E778B" w14:textId="77777777">
            <w:pPr>
              <w:spacing w:before="60" w:after="60"/>
              <w:ind w:left="-14"/>
              <w:jc w:val="right"/>
              <w:rPr>
                <w:rFonts w:ascii="Arial" w:hAnsi="Arial" w:cs="Arial"/>
                <w:i/>
                <w:szCs w:val="22"/>
              </w:rPr>
            </w:pPr>
            <w:r w:rsidRPr="00FB7DB2">
              <w:rPr>
                <w:rFonts w:ascii="Arial Black" w:hAnsi="Arial Black" w:cs="Arial"/>
                <w:i/>
                <w:color w:val="FF0000"/>
                <w:szCs w:val="22"/>
              </w:rPr>
              <w:t>$</w:t>
            </w:r>
            <w:r w:rsidRPr="00FB7DB2">
              <w:rPr>
                <w:rFonts w:ascii="Arial" w:hAnsi="Arial" w:cs="Arial"/>
                <w:i/>
                <w:color w:val="FF0000"/>
                <w:szCs w:val="22"/>
              </w:rPr>
              <w:t>[ ]</w:t>
            </w:r>
            <w:r w:rsidRPr="00FB7DB2">
              <w:rPr>
                <w:rFonts w:ascii="Arial Black" w:hAnsi="Arial Black" w:cs="Arial"/>
                <w:i/>
                <w:color w:val="FF0000"/>
                <w:szCs w:val="22"/>
              </w:rPr>
              <w:t>/ month</w:t>
            </w:r>
          </w:p>
        </w:tc>
        <w:tc>
          <w:tcPr>
            <w:tcW w:w="270" w:type="dxa"/>
            <w:tcBorders>
              <w:top w:val="nil"/>
              <w:bottom w:val="nil"/>
              <w:right w:val="single" w:sz="24" w:space="0" w:color="auto"/>
            </w:tcBorders>
          </w:tcPr>
          <w:p w:rsidR="00294855" w:rsidRPr="008A3ADE" w:rsidP="0023143D" w14:paraId="154CC48C" w14:textId="77777777">
            <w:pPr>
              <w:pStyle w:val="Header"/>
              <w:spacing w:before="60" w:after="60"/>
              <w:rPr>
                <w:rFonts w:ascii="Arial" w:eastAsia="Meiryo UI" w:hAnsi="Arial" w:cs="Arial"/>
                <w:b w:val="0"/>
              </w:rPr>
            </w:pPr>
          </w:p>
        </w:tc>
      </w:tr>
      <w:tr w14:paraId="4F303237"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8A3ADE" w:rsidP="0023143D" w14:paraId="1B992716" w14:textId="77777777">
            <w:pPr>
              <w:pStyle w:val="Header"/>
              <w:spacing w:before="60" w:after="60"/>
              <w:rPr>
                <w:rFonts w:ascii="Arial" w:eastAsia="Meiryo UI" w:hAnsi="Arial" w:cs="Arial"/>
                <w:b w:val="0"/>
              </w:rPr>
            </w:pPr>
          </w:p>
        </w:tc>
        <w:tc>
          <w:tcPr>
            <w:tcW w:w="7924" w:type="dxa"/>
            <w:gridSpan w:val="4"/>
            <w:tcBorders>
              <w:top w:val="single" w:sz="6" w:space="0" w:color="auto"/>
              <w:bottom w:val="nil"/>
            </w:tcBorders>
            <w:shd w:val="clear" w:color="auto" w:fill="auto"/>
          </w:tcPr>
          <w:p w:rsidR="00294855" w:rsidP="0023143D" w14:paraId="5D7D26B8" w14:textId="77777777">
            <w:pPr>
              <w:spacing w:before="60" w:after="60"/>
              <w:ind w:left="-14"/>
              <w:rPr>
                <w:rFonts w:ascii="Arial" w:hAnsi="Arial" w:cs="Arial"/>
                <w:color w:val="000000"/>
                <w:szCs w:val="22"/>
              </w:rPr>
            </w:pPr>
            <w:r w:rsidRPr="007516A7">
              <w:rPr>
                <w:rFonts w:ascii="Arial" w:hAnsi="Arial" w:cs="Arial"/>
                <w:color w:val="000000"/>
                <w:szCs w:val="22"/>
              </w:rPr>
              <w:t>Other monthly fees</w:t>
            </w:r>
          </w:p>
          <w:p w:rsidR="00294855" w:rsidRPr="007516A7" w:rsidP="0023143D" w14:paraId="254355BC" w14:textId="77777777">
            <w:pPr>
              <w:spacing w:before="60" w:after="60"/>
              <w:ind w:left="-14"/>
              <w:rPr>
                <w:rFonts w:ascii="Arial" w:hAnsi="Arial" w:cs="Arial"/>
                <w:color w:val="000000"/>
                <w:szCs w:val="22"/>
              </w:rPr>
            </w:pPr>
            <w:r>
              <w:rPr>
                <w:rFonts w:ascii="Arial" w:eastAsia="Times New Roman" w:hAnsi="Arial" w:cs="Arial"/>
                <w:i/>
                <w:color w:val="FF0000"/>
                <w:szCs w:val="22"/>
              </w:rPr>
              <w:t>[</w:t>
            </w:r>
            <w:r w:rsidRPr="0093641E">
              <w:rPr>
                <w:rFonts w:ascii="Arial" w:eastAsia="Times New Roman" w:hAnsi="Arial" w:cs="Arial"/>
                <w:i/>
                <w:color w:val="FF0000"/>
                <w:szCs w:val="22"/>
              </w:rPr>
              <w:t>identify any monthly fees that the company chooses to impose in connection with the purchase of broadband service, e.g., regulatory recovery fees]</w:t>
            </w:r>
          </w:p>
        </w:tc>
        <w:tc>
          <w:tcPr>
            <w:tcW w:w="2520" w:type="dxa"/>
            <w:gridSpan w:val="3"/>
            <w:tcBorders>
              <w:top w:val="single" w:sz="6" w:space="0" w:color="auto"/>
              <w:bottom w:val="nil"/>
            </w:tcBorders>
            <w:shd w:val="clear" w:color="auto" w:fill="auto"/>
          </w:tcPr>
          <w:p w:rsidR="00294855" w:rsidRPr="005E56A3" w:rsidP="0023143D" w14:paraId="233CCE90" w14:textId="77777777">
            <w:pPr>
              <w:spacing w:before="60" w:after="60"/>
              <w:ind w:left="-14"/>
              <w:jc w:val="right"/>
              <w:rPr>
                <w:rFonts w:ascii="Arial Black" w:hAnsi="Arial Black" w:cs="Arial"/>
                <w:color w:val="000000"/>
                <w:szCs w:val="22"/>
              </w:rPr>
            </w:pPr>
          </w:p>
        </w:tc>
        <w:tc>
          <w:tcPr>
            <w:tcW w:w="270" w:type="dxa"/>
            <w:tcBorders>
              <w:top w:val="nil"/>
              <w:bottom w:val="nil"/>
              <w:right w:val="single" w:sz="24" w:space="0" w:color="auto"/>
            </w:tcBorders>
          </w:tcPr>
          <w:p w:rsidR="00294855" w:rsidRPr="008A3ADE" w:rsidP="0023143D" w14:paraId="6ECD25CE" w14:textId="77777777">
            <w:pPr>
              <w:pStyle w:val="Header"/>
              <w:spacing w:before="60" w:after="60"/>
              <w:rPr>
                <w:rFonts w:ascii="Arial" w:eastAsia="Meiryo UI" w:hAnsi="Arial" w:cs="Arial"/>
                <w:b w:val="0"/>
              </w:rPr>
            </w:pPr>
          </w:p>
        </w:tc>
      </w:tr>
      <w:tr w14:paraId="23E87EA8"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8A3ADE" w:rsidP="0023143D" w14:paraId="070354DB" w14:textId="77777777">
            <w:pPr>
              <w:pStyle w:val="Header"/>
              <w:spacing w:before="60" w:after="60"/>
              <w:rPr>
                <w:rFonts w:ascii="Arial" w:eastAsia="Meiryo UI" w:hAnsi="Arial" w:cs="Arial"/>
                <w:b w:val="0"/>
              </w:rPr>
            </w:pPr>
          </w:p>
        </w:tc>
        <w:tc>
          <w:tcPr>
            <w:tcW w:w="7924" w:type="dxa"/>
            <w:gridSpan w:val="4"/>
            <w:tcBorders>
              <w:top w:val="single" w:sz="6" w:space="0" w:color="auto"/>
              <w:bottom w:val="single" w:sz="6" w:space="0" w:color="auto"/>
            </w:tcBorders>
            <w:shd w:val="clear" w:color="auto" w:fill="auto"/>
          </w:tcPr>
          <w:p w:rsidR="00294855" w:rsidP="0023143D" w14:paraId="25DB061D" w14:textId="77777777">
            <w:pPr>
              <w:spacing w:before="60" w:after="60"/>
              <w:ind w:left="-14"/>
              <w:rPr>
                <w:rFonts w:ascii="Arial" w:hAnsi="Arial" w:cs="Arial"/>
                <w:color w:val="000000"/>
                <w:szCs w:val="22"/>
              </w:rPr>
            </w:pPr>
            <w:r>
              <w:rPr>
                <w:rFonts w:ascii="Arial" w:hAnsi="Arial" w:cs="Arial"/>
                <w:color w:val="000000"/>
                <w:szCs w:val="22"/>
              </w:rPr>
              <w:t>One-</w:t>
            </w:r>
            <w:r w:rsidRPr="007516A7">
              <w:rPr>
                <w:rFonts w:ascii="Arial" w:hAnsi="Arial" w:cs="Arial"/>
                <w:color w:val="000000"/>
                <w:szCs w:val="22"/>
              </w:rPr>
              <w:t>time fees</w:t>
            </w:r>
          </w:p>
          <w:p w:rsidR="00294855" w:rsidRPr="007516A7" w:rsidP="0023143D" w14:paraId="5E8654FC" w14:textId="77777777">
            <w:pPr>
              <w:spacing w:before="60" w:after="60"/>
              <w:ind w:left="-14"/>
              <w:rPr>
                <w:rFonts w:ascii="Arial" w:hAnsi="Arial" w:cs="Arial"/>
                <w:color w:val="000000"/>
                <w:szCs w:val="22"/>
              </w:rPr>
            </w:pPr>
            <w:r w:rsidRPr="0093641E">
              <w:rPr>
                <w:rFonts w:ascii="Arial" w:eastAsia="Times New Roman" w:hAnsi="Arial" w:cs="Arial"/>
                <w:i/>
                <w:color w:val="FF0000"/>
                <w:szCs w:val="22"/>
              </w:rPr>
              <w:t>[identify any one-time fees that the company chooses to impose in connection with the purchase of broadband service, e.g., installation fees and activation fees.  if applicable, identify any fees that will be imposed if the customer cancels broadband service before the end of a long-term contract and provide a link to a full explanation of when such fees would be triggered; if applicable, include a statement that a deposit may be required based on credit history or other factors]</w:t>
            </w:r>
          </w:p>
        </w:tc>
        <w:tc>
          <w:tcPr>
            <w:tcW w:w="2520" w:type="dxa"/>
            <w:gridSpan w:val="3"/>
            <w:tcBorders>
              <w:top w:val="single" w:sz="6" w:space="0" w:color="auto"/>
              <w:bottom w:val="single" w:sz="6" w:space="0" w:color="auto"/>
            </w:tcBorders>
            <w:shd w:val="clear" w:color="auto" w:fill="auto"/>
          </w:tcPr>
          <w:p w:rsidR="00294855" w:rsidRPr="005E56A3" w:rsidP="0023143D" w14:paraId="62772834" w14:textId="77777777">
            <w:pPr>
              <w:pStyle w:val="TableParagraph"/>
              <w:tabs>
                <w:tab w:val="left" w:pos="-14"/>
              </w:tabs>
              <w:spacing w:before="60" w:after="60"/>
              <w:ind w:left="-14" w:right="72"/>
              <w:jc w:val="right"/>
              <w:rPr>
                <w:rFonts w:ascii="Arial Black" w:hAnsi="Arial Black" w:cs="Arial"/>
                <w:color w:val="000000"/>
              </w:rPr>
            </w:pPr>
          </w:p>
        </w:tc>
        <w:tc>
          <w:tcPr>
            <w:tcW w:w="270" w:type="dxa"/>
            <w:tcBorders>
              <w:top w:val="nil"/>
              <w:bottom w:val="nil"/>
              <w:right w:val="single" w:sz="24" w:space="0" w:color="auto"/>
            </w:tcBorders>
          </w:tcPr>
          <w:p w:rsidR="00294855" w:rsidRPr="008A3ADE" w:rsidP="0023143D" w14:paraId="104E38DF" w14:textId="77777777">
            <w:pPr>
              <w:pStyle w:val="Header"/>
              <w:spacing w:before="60" w:after="60"/>
              <w:rPr>
                <w:rFonts w:ascii="Arial" w:eastAsia="Meiryo UI" w:hAnsi="Arial" w:cs="Arial"/>
                <w:b w:val="0"/>
              </w:rPr>
            </w:pPr>
          </w:p>
        </w:tc>
      </w:tr>
      <w:tr w14:paraId="6C18CF66"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8A3ADE" w:rsidP="0023143D" w14:paraId="294FBCFD" w14:textId="77777777">
            <w:pPr>
              <w:pStyle w:val="Header"/>
              <w:spacing w:before="60" w:after="60"/>
              <w:rPr>
                <w:rFonts w:ascii="Arial" w:eastAsia="Meiryo UI" w:hAnsi="Arial" w:cs="Arial"/>
                <w:b w:val="0"/>
              </w:rPr>
            </w:pPr>
          </w:p>
        </w:tc>
        <w:tc>
          <w:tcPr>
            <w:tcW w:w="7924" w:type="dxa"/>
            <w:gridSpan w:val="4"/>
            <w:tcBorders>
              <w:top w:val="single" w:sz="6" w:space="0" w:color="auto"/>
              <w:bottom w:val="single" w:sz="6" w:space="0" w:color="auto"/>
            </w:tcBorders>
            <w:shd w:val="clear" w:color="auto" w:fill="auto"/>
          </w:tcPr>
          <w:p w:rsidR="00294855" w:rsidRPr="007516A7" w:rsidP="0023143D" w14:paraId="7311F419" w14:textId="77777777">
            <w:pPr>
              <w:spacing w:before="60" w:after="60"/>
              <w:ind w:left="526"/>
              <w:rPr>
                <w:rFonts w:ascii="Arial" w:hAnsi="Arial" w:cs="Arial"/>
                <w:color w:val="000000"/>
                <w:szCs w:val="22"/>
              </w:rPr>
            </w:pPr>
            <w:r w:rsidRPr="0093641E">
              <w:rPr>
                <w:rFonts w:ascii="Arial" w:hAnsi="Arial" w:cs="Arial"/>
                <w:color w:val="FF0000"/>
                <w:szCs w:val="22"/>
              </w:rPr>
              <w:t>[</w:t>
            </w:r>
            <w:r w:rsidRPr="0093641E">
              <w:rPr>
                <w:rFonts w:ascii="Arial" w:hAnsi="Arial" w:cs="Arial"/>
                <w:i/>
                <w:color w:val="FF0000"/>
                <w:szCs w:val="22"/>
              </w:rPr>
              <w:t>provide name of and amount of each one-time fee on a row]</w:t>
            </w:r>
          </w:p>
        </w:tc>
        <w:tc>
          <w:tcPr>
            <w:tcW w:w="2520" w:type="dxa"/>
            <w:gridSpan w:val="3"/>
            <w:tcBorders>
              <w:top w:val="single" w:sz="6" w:space="0" w:color="auto"/>
              <w:bottom w:val="single" w:sz="6" w:space="0" w:color="auto"/>
            </w:tcBorders>
            <w:shd w:val="clear" w:color="auto" w:fill="auto"/>
          </w:tcPr>
          <w:p w:rsidR="00294855" w:rsidRPr="00FB7DB2" w:rsidP="0023143D" w14:paraId="12CE5A25" w14:textId="77777777">
            <w:pPr>
              <w:pStyle w:val="TableParagraph"/>
              <w:spacing w:before="60" w:after="60"/>
              <w:ind w:right="72"/>
              <w:jc w:val="right"/>
              <w:rPr>
                <w:rFonts w:ascii="Arial Black" w:hAnsi="Arial Black" w:cs="Arial"/>
                <w:i/>
                <w:color w:val="000000"/>
              </w:rPr>
            </w:pPr>
            <w:r w:rsidRPr="00FB7DB2">
              <w:rPr>
                <w:rFonts w:ascii="Arial Black" w:hAnsi="Arial Black" w:cs="Arial"/>
                <w:i/>
                <w:color w:val="FF0000"/>
              </w:rPr>
              <w:t>$</w:t>
            </w:r>
            <w:r w:rsidRPr="00FB7DB2">
              <w:rPr>
                <w:rFonts w:ascii="Arial" w:hAnsi="Arial" w:cs="Arial"/>
                <w:i/>
                <w:color w:val="FF0000"/>
              </w:rPr>
              <w:t xml:space="preserve">[ ] </w:t>
            </w:r>
            <w:r w:rsidRPr="00FB7DB2">
              <w:rPr>
                <w:rFonts w:ascii="Arial" w:eastAsia="Calibri" w:hAnsi="Arial" w:cs="Arial"/>
                <w:i/>
                <w:color w:val="FF0000"/>
              </w:rPr>
              <w:t xml:space="preserve"> </w:t>
            </w:r>
          </w:p>
        </w:tc>
        <w:tc>
          <w:tcPr>
            <w:tcW w:w="270" w:type="dxa"/>
            <w:tcBorders>
              <w:top w:val="nil"/>
              <w:bottom w:val="nil"/>
              <w:right w:val="single" w:sz="24" w:space="0" w:color="auto"/>
            </w:tcBorders>
          </w:tcPr>
          <w:p w:rsidR="00294855" w:rsidRPr="008A3ADE" w:rsidP="0023143D" w14:paraId="1165090C" w14:textId="77777777">
            <w:pPr>
              <w:pStyle w:val="Header"/>
              <w:spacing w:before="60" w:after="60"/>
              <w:rPr>
                <w:rFonts w:ascii="Arial" w:eastAsia="Meiryo UI" w:hAnsi="Arial" w:cs="Arial"/>
                <w:b w:val="0"/>
              </w:rPr>
            </w:pPr>
          </w:p>
        </w:tc>
      </w:tr>
      <w:tr w14:paraId="23EA8123"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8A3ADE" w:rsidP="0023143D" w14:paraId="0ED9652F" w14:textId="77777777">
            <w:pPr>
              <w:pStyle w:val="Header"/>
              <w:spacing w:before="60" w:after="60"/>
              <w:rPr>
                <w:rFonts w:ascii="Arial" w:eastAsia="Meiryo UI" w:hAnsi="Arial" w:cs="Arial"/>
                <w:b w:val="0"/>
              </w:rPr>
            </w:pPr>
          </w:p>
        </w:tc>
        <w:tc>
          <w:tcPr>
            <w:tcW w:w="10444" w:type="dxa"/>
            <w:gridSpan w:val="7"/>
            <w:tcBorders>
              <w:top w:val="single" w:sz="6" w:space="0" w:color="auto"/>
              <w:bottom w:val="single" w:sz="6" w:space="0" w:color="auto"/>
            </w:tcBorders>
            <w:shd w:val="clear" w:color="auto" w:fill="auto"/>
          </w:tcPr>
          <w:p w:rsidR="00294855" w:rsidRPr="0093641E" w:rsidP="0023143D" w14:paraId="450B698E" w14:textId="77777777">
            <w:pPr>
              <w:pStyle w:val="TableParagraph"/>
              <w:spacing w:before="60" w:after="60"/>
              <w:ind w:right="72"/>
              <w:rPr>
                <w:rFonts w:ascii="Arial" w:eastAsia="Meiryo UI" w:hAnsi="Arial" w:cs="Arial"/>
                <w:color w:val="000000" w:themeColor="text1"/>
              </w:rPr>
            </w:pPr>
            <w:r>
              <w:rPr>
                <w:rFonts w:ascii="Arial Black" w:eastAsia="Meiryo UI" w:hAnsi="Arial Black" w:cs="Arial"/>
                <w:b/>
                <w:color w:val="000000" w:themeColor="text1"/>
              </w:rPr>
              <w:t xml:space="preserve">Government Taxes </w:t>
            </w:r>
            <w:r w:rsidRPr="007516A7">
              <w:rPr>
                <w:rFonts w:ascii="Arial Black" w:eastAsia="Meiryo UI" w:hAnsi="Arial Black" w:cs="Arial"/>
                <w:b/>
                <w:color w:val="000000" w:themeColor="text1"/>
              </w:rPr>
              <w:t xml:space="preserve">and Other </w:t>
            </w:r>
            <w:r>
              <w:rPr>
                <w:rFonts w:ascii="Arial Black" w:eastAsia="Meiryo UI" w:hAnsi="Arial Black" w:cs="Arial"/>
                <w:b/>
                <w:color w:val="000000" w:themeColor="text1"/>
              </w:rPr>
              <w:t xml:space="preserve">Government-Related Fees May </w:t>
            </w:r>
            <w:r w:rsidRPr="007516A7">
              <w:rPr>
                <w:rFonts w:ascii="Arial Black" w:eastAsia="Meiryo UI" w:hAnsi="Arial Black" w:cs="Arial"/>
                <w:b/>
                <w:color w:val="000000" w:themeColor="text1"/>
              </w:rPr>
              <w:t xml:space="preserve">Apply: </w:t>
            </w:r>
            <w:r>
              <w:rPr>
                <w:rFonts w:ascii="Arial" w:eastAsia="Meiryo UI" w:hAnsi="Arial" w:cs="Arial"/>
                <w:color w:val="000000" w:themeColor="text1"/>
              </w:rPr>
              <w:t>V</w:t>
            </w:r>
            <w:r w:rsidRPr="0093641E">
              <w:rPr>
                <w:rFonts w:ascii="Arial" w:eastAsia="Meiryo UI" w:hAnsi="Arial" w:cs="Arial"/>
                <w:color w:val="000000" w:themeColor="text1"/>
              </w:rPr>
              <w:t>aries by location</w:t>
            </w:r>
          </w:p>
          <w:p w:rsidR="00294855" w:rsidRPr="007516A7" w:rsidP="0023143D" w14:paraId="61DD503D" w14:textId="77777777">
            <w:pPr>
              <w:pStyle w:val="TableParagraph"/>
              <w:spacing w:before="60" w:after="60"/>
              <w:ind w:right="72"/>
              <w:rPr>
                <w:rFonts w:ascii="Arial Black" w:hAnsi="Arial Black" w:cs="Arial"/>
                <w:color w:val="000000"/>
              </w:rPr>
            </w:pPr>
            <w:r w:rsidRPr="0093641E">
              <w:rPr>
                <w:rFonts w:ascii="Arial" w:eastAsia="Times New Roman" w:hAnsi="Arial" w:cs="Arial"/>
                <w:i/>
                <w:color w:val="FF0000"/>
              </w:rPr>
              <w:t>[provide this disclaimer using this language to notify consumers that additional taxes and fees mandated by, or attributable to, government programs will be imposed – specific taxes and fees need not be identified]</w:t>
            </w:r>
          </w:p>
        </w:tc>
        <w:tc>
          <w:tcPr>
            <w:tcW w:w="270" w:type="dxa"/>
            <w:tcBorders>
              <w:top w:val="nil"/>
              <w:bottom w:val="nil"/>
              <w:right w:val="single" w:sz="24" w:space="0" w:color="auto"/>
            </w:tcBorders>
          </w:tcPr>
          <w:p w:rsidR="00294855" w:rsidRPr="008A3ADE" w:rsidP="0023143D" w14:paraId="025C2455" w14:textId="77777777">
            <w:pPr>
              <w:pStyle w:val="Header"/>
              <w:spacing w:before="60" w:after="60"/>
              <w:rPr>
                <w:rFonts w:ascii="Arial" w:eastAsia="Meiryo UI" w:hAnsi="Arial" w:cs="Arial"/>
                <w:b w:val="0"/>
              </w:rPr>
            </w:pPr>
          </w:p>
        </w:tc>
      </w:tr>
      <w:tr w14:paraId="4A3D34FA"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8A3ADE" w:rsidP="0023143D" w14:paraId="7668CE4A" w14:textId="77777777">
            <w:pPr>
              <w:pStyle w:val="Header"/>
              <w:spacing w:before="60" w:after="60"/>
              <w:rPr>
                <w:rFonts w:ascii="Arial" w:eastAsia="Meiryo UI" w:hAnsi="Arial" w:cs="Arial"/>
                <w:b w:val="0"/>
              </w:rPr>
            </w:pPr>
          </w:p>
        </w:tc>
        <w:tc>
          <w:tcPr>
            <w:tcW w:w="7924" w:type="dxa"/>
            <w:gridSpan w:val="4"/>
            <w:tcBorders>
              <w:top w:val="single" w:sz="6" w:space="0" w:color="auto"/>
              <w:bottom w:val="single" w:sz="6" w:space="0" w:color="auto"/>
            </w:tcBorders>
            <w:shd w:val="clear" w:color="auto" w:fill="auto"/>
          </w:tcPr>
          <w:p w:rsidR="00294855" w:rsidP="0023143D" w14:paraId="2DBEF507" w14:textId="77777777">
            <w:pPr>
              <w:spacing w:before="60" w:after="60"/>
              <w:rPr>
                <w:rFonts w:ascii="Arial" w:hAnsi="Arial" w:cs="Arial"/>
                <w:color w:val="44546A" w:themeColor="text2"/>
                <w:szCs w:val="22"/>
                <w:u w:val="single"/>
              </w:rPr>
            </w:pPr>
            <w:r w:rsidRPr="007516A7">
              <w:rPr>
                <w:rFonts w:ascii="Arial" w:hAnsi="Arial" w:cs="Arial"/>
                <w:color w:val="44546A" w:themeColor="text2"/>
                <w:szCs w:val="22"/>
                <w:u w:val="single"/>
              </w:rPr>
              <w:t>Other services on network</w:t>
            </w:r>
          </w:p>
          <w:p w:rsidR="00294855" w:rsidRPr="007516A7" w:rsidP="0023143D" w14:paraId="11CAE909" w14:textId="77777777">
            <w:pPr>
              <w:spacing w:before="60" w:after="60"/>
              <w:rPr>
                <w:rFonts w:ascii="Arial" w:hAnsi="Arial" w:cs="Arial"/>
                <w:color w:val="000000"/>
                <w:szCs w:val="22"/>
                <w:u w:val="single"/>
              </w:rPr>
            </w:pPr>
            <w:r w:rsidRPr="0093641E">
              <w:rPr>
                <w:rFonts w:ascii="Arial" w:hAnsi="Arial" w:cs="Arial"/>
                <w:i/>
                <w:color w:val="FF0000"/>
                <w:szCs w:val="22"/>
                <w:shd w:val="clear" w:color="auto" w:fill="FFFFFF"/>
              </w:rPr>
              <w:t xml:space="preserve">[if applicable, </w:t>
            </w:r>
            <w:r>
              <w:rPr>
                <w:rFonts w:ascii="Arial" w:hAnsi="Arial" w:cs="Arial"/>
                <w:i/>
                <w:color w:val="FF0000"/>
                <w:szCs w:val="22"/>
                <w:shd w:val="clear" w:color="auto" w:fill="FFFFFF"/>
              </w:rPr>
              <w:t xml:space="preserve">in this section provide a brief description of </w:t>
            </w:r>
            <w:r w:rsidRPr="0093641E">
              <w:rPr>
                <w:rFonts w:ascii="Arial" w:hAnsi="Arial" w:cs="Arial"/>
                <w:i/>
                <w:color w:val="FF0000"/>
                <w:szCs w:val="22"/>
                <w:shd w:val="clear" w:color="auto" w:fill="FFFFFF"/>
              </w:rPr>
              <w:t>any non-</w:t>
            </w:r>
            <w:r w:rsidRPr="0093641E">
              <w:rPr>
                <w:rFonts w:ascii="Arial" w:eastAsia="Times New Roman" w:hAnsi="Arial" w:cs="Arial"/>
                <w:i/>
                <w:color w:val="FF0000"/>
                <w:szCs w:val="22"/>
              </w:rPr>
              <w:t>BIAS</w:t>
            </w:r>
            <w:r w:rsidRPr="0093641E">
              <w:rPr>
                <w:rFonts w:ascii="Arial" w:hAnsi="Arial" w:cs="Arial"/>
                <w:i/>
                <w:color w:val="FF0000"/>
                <w:szCs w:val="22"/>
                <w:shd w:val="clear" w:color="auto" w:fill="FFFFFF"/>
              </w:rPr>
              <w:t xml:space="preserve"> services offered by the company that might cause the customer to experience reduced performance of their broadband service</w:t>
            </w:r>
            <w:r>
              <w:rPr>
                <w:rFonts w:ascii="Arial" w:hAnsi="Arial" w:cs="Arial"/>
                <w:i/>
                <w:color w:val="FF0000"/>
                <w:szCs w:val="22"/>
                <w:shd w:val="clear" w:color="auto" w:fill="FFFFFF"/>
              </w:rPr>
              <w:t xml:space="preserve">; </w:t>
            </w:r>
            <w:r w:rsidRPr="0093641E">
              <w:rPr>
                <w:rFonts w:ascii="Arial" w:eastAsia="Times New Roman" w:hAnsi="Arial" w:cs="Arial"/>
                <w:i/>
                <w:color w:val="FF0000"/>
                <w:szCs w:val="22"/>
              </w:rPr>
              <w:t>at underlined language</w:t>
            </w:r>
            <w:r w:rsidRPr="0093641E">
              <w:rPr>
                <w:rFonts w:ascii="Arial" w:hAnsi="Arial" w:cs="Arial"/>
                <w:i/>
                <w:color w:val="FF0000"/>
                <w:szCs w:val="22"/>
                <w:shd w:val="clear" w:color="auto" w:fill="FFFFFF"/>
              </w:rPr>
              <w:t xml:space="preserve"> provide a link to a full explanation of when such a situation would occur and details regarding the anticipated effect on broadband performance]</w:t>
            </w:r>
          </w:p>
        </w:tc>
        <w:tc>
          <w:tcPr>
            <w:tcW w:w="2520" w:type="dxa"/>
            <w:gridSpan w:val="3"/>
            <w:tcBorders>
              <w:top w:val="single" w:sz="6" w:space="0" w:color="auto"/>
              <w:bottom w:val="single" w:sz="6" w:space="0" w:color="auto"/>
            </w:tcBorders>
            <w:shd w:val="clear" w:color="auto" w:fill="auto"/>
          </w:tcPr>
          <w:p w:rsidR="00294855" w:rsidRPr="005E56A3" w:rsidP="0023143D" w14:paraId="305AA96E" w14:textId="77777777">
            <w:pPr>
              <w:pStyle w:val="TableParagraph"/>
              <w:spacing w:before="60" w:after="60"/>
              <w:ind w:right="72"/>
              <w:jc w:val="right"/>
              <w:rPr>
                <w:rFonts w:ascii="Arial Black" w:hAnsi="Arial Black" w:cs="Arial"/>
                <w:color w:val="000000"/>
              </w:rPr>
            </w:pPr>
          </w:p>
        </w:tc>
        <w:tc>
          <w:tcPr>
            <w:tcW w:w="270" w:type="dxa"/>
            <w:tcBorders>
              <w:top w:val="nil"/>
              <w:bottom w:val="nil"/>
              <w:right w:val="single" w:sz="24" w:space="0" w:color="auto"/>
            </w:tcBorders>
          </w:tcPr>
          <w:p w:rsidR="00294855" w:rsidRPr="008A3ADE" w:rsidP="0023143D" w14:paraId="2122AC6A" w14:textId="77777777">
            <w:pPr>
              <w:pStyle w:val="Header"/>
              <w:spacing w:before="60" w:after="60"/>
              <w:rPr>
                <w:rFonts w:ascii="Arial" w:eastAsia="Meiryo UI" w:hAnsi="Arial" w:cs="Arial"/>
                <w:b w:val="0"/>
              </w:rPr>
            </w:pPr>
          </w:p>
        </w:tc>
      </w:tr>
      <w:tr w14:paraId="38EEB89C"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AA70ED" w:rsidP="0023143D" w14:paraId="292625D3" w14:textId="77777777">
            <w:pPr>
              <w:pStyle w:val="Header"/>
              <w:rPr>
                <w:rFonts w:ascii="Arial" w:eastAsia="Meiryo UI" w:hAnsi="Arial" w:cs="Arial"/>
                <w:b w:val="0"/>
                <w:sz w:val="20"/>
                <w:szCs w:val="20"/>
              </w:rPr>
            </w:pPr>
          </w:p>
        </w:tc>
        <w:tc>
          <w:tcPr>
            <w:tcW w:w="7924" w:type="dxa"/>
            <w:gridSpan w:val="4"/>
            <w:tcBorders>
              <w:top w:val="single" w:sz="6" w:space="0" w:color="auto"/>
              <w:bottom w:val="single" w:sz="6" w:space="0" w:color="auto"/>
            </w:tcBorders>
            <w:shd w:val="clear" w:color="auto" w:fill="000000" w:themeFill="text1"/>
          </w:tcPr>
          <w:p w:rsidR="00294855" w:rsidRPr="00AA70ED" w:rsidP="0023143D" w14:paraId="3785E2AC" w14:textId="77777777">
            <w:pPr>
              <w:pStyle w:val="Header"/>
              <w:rPr>
                <w:rFonts w:ascii="Arial" w:eastAsia="Meiryo UI" w:hAnsi="Arial" w:cs="Arial"/>
                <w:b w:val="0"/>
                <w:sz w:val="20"/>
                <w:szCs w:val="20"/>
              </w:rPr>
            </w:pPr>
          </w:p>
        </w:tc>
        <w:tc>
          <w:tcPr>
            <w:tcW w:w="2520" w:type="dxa"/>
            <w:gridSpan w:val="3"/>
            <w:tcBorders>
              <w:top w:val="single" w:sz="6" w:space="0" w:color="auto"/>
              <w:bottom w:val="single" w:sz="6" w:space="0" w:color="auto"/>
            </w:tcBorders>
            <w:shd w:val="clear" w:color="auto" w:fill="000000" w:themeFill="text1"/>
          </w:tcPr>
          <w:p w:rsidR="00294855" w:rsidRPr="00AA70ED" w:rsidP="0023143D" w14:paraId="2655C437" w14:textId="77777777">
            <w:pPr>
              <w:pStyle w:val="Header"/>
              <w:rPr>
                <w:rFonts w:ascii="Arial" w:eastAsia="Meiryo UI" w:hAnsi="Arial" w:cs="Arial"/>
                <w:b w:val="0"/>
                <w:sz w:val="20"/>
                <w:szCs w:val="20"/>
              </w:rPr>
            </w:pPr>
          </w:p>
        </w:tc>
        <w:tc>
          <w:tcPr>
            <w:tcW w:w="270" w:type="dxa"/>
            <w:tcBorders>
              <w:top w:val="nil"/>
              <w:bottom w:val="nil"/>
              <w:right w:val="single" w:sz="24" w:space="0" w:color="auto"/>
            </w:tcBorders>
          </w:tcPr>
          <w:p w:rsidR="00294855" w:rsidRPr="00AA70ED" w:rsidP="0023143D" w14:paraId="435542C1" w14:textId="77777777">
            <w:pPr>
              <w:pStyle w:val="Header"/>
              <w:rPr>
                <w:rFonts w:ascii="Arial" w:eastAsia="Meiryo UI" w:hAnsi="Arial" w:cs="Arial"/>
                <w:b w:val="0"/>
                <w:sz w:val="20"/>
                <w:szCs w:val="20"/>
              </w:rPr>
            </w:pPr>
          </w:p>
        </w:tc>
      </w:tr>
      <w:tr w14:paraId="1C0D3D11"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8A3ADE" w:rsidP="0023143D" w14:paraId="392D11FD" w14:textId="77777777">
            <w:pPr>
              <w:pStyle w:val="Header"/>
              <w:spacing w:before="60" w:after="60"/>
              <w:rPr>
                <w:rFonts w:ascii="Arial" w:eastAsia="Meiryo UI" w:hAnsi="Arial" w:cs="Arial"/>
                <w:b w:val="0"/>
              </w:rPr>
            </w:pPr>
          </w:p>
        </w:tc>
        <w:tc>
          <w:tcPr>
            <w:tcW w:w="10444" w:type="dxa"/>
            <w:gridSpan w:val="7"/>
            <w:tcBorders>
              <w:top w:val="nil"/>
              <w:bottom w:val="single" w:sz="6" w:space="0" w:color="auto"/>
            </w:tcBorders>
            <w:shd w:val="clear" w:color="auto" w:fill="auto"/>
          </w:tcPr>
          <w:p w:rsidR="00294855" w:rsidP="0023143D" w14:paraId="1117DE2C" w14:textId="77777777">
            <w:pPr>
              <w:pStyle w:val="Header"/>
              <w:spacing w:before="60" w:after="60"/>
              <w:rPr>
                <w:rFonts w:ascii="Arial" w:eastAsia="Meiryo UI" w:hAnsi="Arial" w:cs="Arial"/>
                <w:color w:val="44546A" w:themeColor="text2"/>
                <w:szCs w:val="22"/>
                <w:u w:val="single"/>
              </w:rPr>
            </w:pPr>
            <w:r w:rsidRPr="007516A7">
              <w:rPr>
                <w:rFonts w:ascii="Arial Black" w:eastAsia="Meiryo UI" w:hAnsi="Arial Black" w:cs="Arial"/>
                <w:color w:val="000000" w:themeColor="text1"/>
                <w:szCs w:val="22"/>
              </w:rPr>
              <w:t xml:space="preserve">Performance - </w:t>
            </w:r>
            <w:r w:rsidRPr="007516A7">
              <w:rPr>
                <w:rFonts w:ascii="Arial" w:eastAsia="Meiryo UI" w:hAnsi="Arial" w:cs="Arial"/>
                <w:color w:val="44546A" w:themeColor="text2"/>
                <w:szCs w:val="22"/>
                <w:u w:val="single"/>
              </w:rPr>
              <w:t>Individual experience may vary</w:t>
            </w:r>
          </w:p>
          <w:p w:rsidR="00294855" w:rsidRPr="007516A7" w:rsidP="0023143D" w14:paraId="5BB2E77E" w14:textId="77777777">
            <w:pPr>
              <w:pStyle w:val="Header"/>
              <w:spacing w:before="60" w:after="60"/>
              <w:rPr>
                <w:rFonts w:ascii="Arial Black" w:eastAsia="Meiryo UI" w:hAnsi="Arial Black" w:cs="Arial"/>
                <w:b w:val="0"/>
                <w:color w:val="000000" w:themeColor="text1"/>
                <w:szCs w:val="22"/>
              </w:rPr>
            </w:pPr>
            <w:r w:rsidRPr="0093641E">
              <w:rPr>
                <w:rFonts w:ascii="Arial" w:eastAsia="Times New Roman" w:hAnsi="Arial" w:cs="Arial"/>
                <w:i/>
                <w:color w:val="FF0000"/>
                <w:szCs w:val="22"/>
                <w:u w:val="single"/>
              </w:rPr>
              <w:t>[</w:t>
            </w:r>
            <w:r w:rsidRPr="0093641E">
              <w:rPr>
                <w:rFonts w:ascii="Arial" w:eastAsia="Times New Roman" w:hAnsi="Arial" w:cs="Arial"/>
                <w:i/>
                <w:color w:val="FF0000"/>
                <w:szCs w:val="22"/>
              </w:rPr>
              <w:t>at underlined language</w:t>
            </w:r>
            <w:r w:rsidRPr="00777148">
              <w:rPr>
                <w:rFonts w:ascii="Arial" w:eastAsia="Times New Roman" w:hAnsi="Arial" w:cs="Arial"/>
                <w:i/>
                <w:color w:val="FF0000"/>
                <w:szCs w:val="22"/>
              </w:rPr>
              <w:t xml:space="preserve"> </w:t>
            </w:r>
            <w:r w:rsidRPr="0093641E">
              <w:rPr>
                <w:rFonts w:ascii="Arial" w:eastAsia="Times New Roman" w:hAnsi="Arial" w:cs="Arial"/>
                <w:i/>
                <w:color w:val="FF0000"/>
                <w:szCs w:val="22"/>
              </w:rPr>
              <w:t>provide a link to a full discussion of network performance metrics</w:t>
            </w:r>
            <w:r w:rsidRPr="0093641E">
              <w:rPr>
                <w:rFonts w:ascii="Arial" w:eastAsia="Times New Roman" w:hAnsi="Arial" w:cs="Arial"/>
                <w:i/>
                <w:color w:val="FF0000"/>
                <w:szCs w:val="22"/>
                <w:u w:val="single"/>
              </w:rPr>
              <w:t>]</w:t>
            </w:r>
          </w:p>
        </w:tc>
        <w:tc>
          <w:tcPr>
            <w:tcW w:w="270" w:type="dxa"/>
            <w:tcBorders>
              <w:top w:val="nil"/>
              <w:bottom w:val="nil"/>
              <w:right w:val="single" w:sz="24" w:space="0" w:color="auto"/>
            </w:tcBorders>
          </w:tcPr>
          <w:p w:rsidR="00294855" w:rsidRPr="008A3ADE" w:rsidP="0023143D" w14:paraId="7967BEBC" w14:textId="77777777">
            <w:pPr>
              <w:pStyle w:val="Header"/>
              <w:spacing w:before="60" w:after="60"/>
              <w:rPr>
                <w:rFonts w:ascii="Arial" w:eastAsia="Meiryo UI" w:hAnsi="Arial" w:cs="Arial"/>
                <w:b w:val="0"/>
              </w:rPr>
            </w:pPr>
          </w:p>
        </w:tc>
      </w:tr>
      <w:tr w14:paraId="2912CC87"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8A3ADE" w:rsidP="0023143D" w14:paraId="42EC77F0" w14:textId="77777777">
            <w:pPr>
              <w:pStyle w:val="Header"/>
              <w:spacing w:before="60" w:after="60"/>
              <w:rPr>
                <w:rFonts w:ascii="Arial" w:eastAsia="Meiryo UI" w:hAnsi="Arial" w:cs="Arial"/>
                <w:b w:val="0"/>
              </w:rPr>
            </w:pPr>
          </w:p>
        </w:tc>
        <w:tc>
          <w:tcPr>
            <w:tcW w:w="7924" w:type="dxa"/>
            <w:gridSpan w:val="4"/>
            <w:tcBorders>
              <w:top w:val="single" w:sz="6" w:space="0" w:color="auto"/>
              <w:bottom w:val="single" w:sz="6" w:space="0" w:color="auto"/>
            </w:tcBorders>
            <w:shd w:val="clear" w:color="auto" w:fill="auto"/>
          </w:tcPr>
          <w:p w:rsidR="00294855" w:rsidP="0023143D" w14:paraId="04C205F6" w14:textId="77777777">
            <w:pPr>
              <w:spacing w:before="60" w:after="60"/>
              <w:rPr>
                <w:rFonts w:ascii="Arial" w:hAnsi="Arial" w:cs="Arial"/>
                <w:color w:val="000000"/>
                <w:szCs w:val="22"/>
              </w:rPr>
            </w:pPr>
            <w:r w:rsidRPr="007516A7">
              <w:rPr>
                <w:rFonts w:ascii="Arial" w:hAnsi="Arial" w:cs="Arial"/>
                <w:color w:val="000000"/>
                <w:szCs w:val="22"/>
              </w:rPr>
              <w:t>Typical speed downstream</w:t>
            </w:r>
          </w:p>
          <w:p w:rsidR="00294855" w:rsidRPr="007516A7" w:rsidP="0023143D" w14:paraId="226B64B1" w14:textId="77777777">
            <w:pPr>
              <w:spacing w:before="60" w:after="60"/>
              <w:rPr>
                <w:rFonts w:ascii="Arial" w:hAnsi="Arial" w:cs="Arial"/>
                <w:color w:val="000000"/>
                <w:szCs w:val="22"/>
              </w:rPr>
            </w:pPr>
            <w:r w:rsidRPr="0093641E">
              <w:rPr>
                <w:rFonts w:ascii="Arial" w:eastAsia="Times New Roman" w:hAnsi="Arial" w:cs="Arial"/>
                <w:i/>
                <w:color w:val="FF0000"/>
                <w:szCs w:val="22"/>
              </w:rPr>
              <w:t xml:space="preserve">[identify typical peak </w:t>
            </w:r>
            <w:r>
              <w:rPr>
                <w:rFonts w:ascii="Arial" w:eastAsia="Times New Roman" w:hAnsi="Arial" w:cs="Arial"/>
                <w:i/>
                <w:color w:val="FF0000"/>
                <w:szCs w:val="22"/>
              </w:rPr>
              <w:t xml:space="preserve">usage </w:t>
            </w:r>
            <w:r w:rsidRPr="0093641E">
              <w:rPr>
                <w:rFonts w:ascii="Arial" w:eastAsia="Times New Roman" w:hAnsi="Arial" w:cs="Arial"/>
                <w:i/>
                <w:color w:val="FF0000"/>
                <w:szCs w:val="22"/>
              </w:rPr>
              <w:t>period download speeds for this tier of service, consistent with the Open Internet Orders and FCC guidance]</w:t>
            </w:r>
          </w:p>
        </w:tc>
        <w:tc>
          <w:tcPr>
            <w:tcW w:w="2520" w:type="dxa"/>
            <w:gridSpan w:val="3"/>
            <w:tcBorders>
              <w:top w:val="single" w:sz="6" w:space="0" w:color="auto"/>
              <w:bottom w:val="single" w:sz="6" w:space="0" w:color="auto"/>
            </w:tcBorders>
            <w:shd w:val="clear" w:color="auto" w:fill="auto"/>
          </w:tcPr>
          <w:p w:rsidR="00294855" w:rsidRPr="00A24434" w:rsidP="0023143D" w14:paraId="0D02A83B" w14:textId="77777777">
            <w:pPr>
              <w:pStyle w:val="TableParagraph"/>
              <w:spacing w:before="60" w:after="60"/>
              <w:ind w:right="72"/>
              <w:jc w:val="right"/>
              <w:rPr>
                <w:rFonts w:ascii="Arial Black" w:hAnsi="Arial Black" w:cs="Arial"/>
                <w:i/>
                <w:color w:val="FF0000"/>
              </w:rPr>
            </w:pPr>
            <w:r w:rsidRPr="00A24434">
              <w:rPr>
                <w:rFonts w:ascii="Arial" w:hAnsi="Arial" w:cs="Arial"/>
                <w:i/>
                <w:color w:val="FF0000"/>
              </w:rPr>
              <w:t xml:space="preserve">[ ] </w:t>
            </w:r>
            <w:r w:rsidRPr="00A24434">
              <w:rPr>
                <w:rFonts w:ascii="Arial Black" w:hAnsi="Arial Black" w:cs="Arial"/>
                <w:i/>
                <w:color w:val="FF0000"/>
              </w:rPr>
              <w:t>Mbps</w:t>
            </w:r>
          </w:p>
        </w:tc>
        <w:tc>
          <w:tcPr>
            <w:tcW w:w="270" w:type="dxa"/>
            <w:tcBorders>
              <w:top w:val="nil"/>
              <w:bottom w:val="nil"/>
              <w:right w:val="single" w:sz="24" w:space="0" w:color="auto"/>
            </w:tcBorders>
          </w:tcPr>
          <w:p w:rsidR="00294855" w:rsidRPr="008A3ADE" w:rsidP="0023143D" w14:paraId="39FC8F50" w14:textId="77777777">
            <w:pPr>
              <w:pStyle w:val="Header"/>
              <w:spacing w:before="60" w:after="60"/>
              <w:rPr>
                <w:rFonts w:ascii="Arial" w:eastAsia="Meiryo UI" w:hAnsi="Arial" w:cs="Arial"/>
                <w:b w:val="0"/>
              </w:rPr>
            </w:pPr>
          </w:p>
        </w:tc>
      </w:tr>
      <w:tr w14:paraId="3F8DCC37"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8A3ADE" w:rsidP="0023143D" w14:paraId="513D1010" w14:textId="77777777">
            <w:pPr>
              <w:pStyle w:val="Header"/>
              <w:spacing w:before="60" w:after="60"/>
              <w:rPr>
                <w:rFonts w:ascii="Arial" w:eastAsia="Meiryo UI" w:hAnsi="Arial" w:cs="Arial"/>
                <w:b w:val="0"/>
              </w:rPr>
            </w:pPr>
          </w:p>
        </w:tc>
        <w:tc>
          <w:tcPr>
            <w:tcW w:w="7924" w:type="dxa"/>
            <w:gridSpan w:val="4"/>
            <w:tcBorders>
              <w:top w:val="single" w:sz="6" w:space="0" w:color="auto"/>
              <w:bottom w:val="single" w:sz="6" w:space="0" w:color="auto"/>
            </w:tcBorders>
            <w:shd w:val="clear" w:color="auto" w:fill="auto"/>
          </w:tcPr>
          <w:p w:rsidR="00294855" w:rsidP="0023143D" w14:paraId="2E9E186B" w14:textId="77777777">
            <w:pPr>
              <w:spacing w:before="60" w:after="60"/>
              <w:rPr>
                <w:rFonts w:ascii="Arial" w:hAnsi="Arial" w:cs="Arial"/>
                <w:color w:val="000000"/>
                <w:szCs w:val="22"/>
              </w:rPr>
            </w:pPr>
            <w:r w:rsidRPr="007516A7">
              <w:rPr>
                <w:rFonts w:ascii="Arial" w:hAnsi="Arial" w:cs="Arial"/>
                <w:color w:val="000000"/>
                <w:szCs w:val="22"/>
              </w:rPr>
              <w:t>Typical speed upstream</w:t>
            </w:r>
          </w:p>
          <w:p w:rsidR="00294855" w:rsidRPr="007516A7" w:rsidP="0023143D" w14:paraId="021B9C36" w14:textId="77777777">
            <w:pPr>
              <w:spacing w:before="60" w:after="60"/>
              <w:rPr>
                <w:rFonts w:ascii="Arial" w:hAnsi="Arial" w:cs="Arial"/>
                <w:color w:val="000000"/>
                <w:szCs w:val="22"/>
              </w:rPr>
            </w:pPr>
            <w:r w:rsidRPr="0093641E">
              <w:rPr>
                <w:rFonts w:ascii="Arial" w:eastAsia="Times New Roman" w:hAnsi="Arial" w:cs="Arial"/>
                <w:i/>
                <w:color w:val="FF0000"/>
                <w:szCs w:val="22"/>
              </w:rPr>
              <w:t xml:space="preserve">[identify typical peak </w:t>
            </w:r>
            <w:r>
              <w:rPr>
                <w:rFonts w:ascii="Arial" w:eastAsia="Times New Roman" w:hAnsi="Arial" w:cs="Arial"/>
                <w:i/>
                <w:color w:val="FF0000"/>
                <w:szCs w:val="22"/>
              </w:rPr>
              <w:t xml:space="preserve">usage </w:t>
            </w:r>
            <w:r w:rsidRPr="0093641E">
              <w:rPr>
                <w:rFonts w:ascii="Arial" w:eastAsia="Times New Roman" w:hAnsi="Arial" w:cs="Arial"/>
                <w:i/>
                <w:color w:val="FF0000"/>
                <w:szCs w:val="22"/>
              </w:rPr>
              <w:t>period upload speeds for this tier of service, consistent with the Open Internet Orders and FCC guidance]</w:t>
            </w:r>
          </w:p>
        </w:tc>
        <w:tc>
          <w:tcPr>
            <w:tcW w:w="2520" w:type="dxa"/>
            <w:gridSpan w:val="3"/>
            <w:tcBorders>
              <w:top w:val="single" w:sz="6" w:space="0" w:color="auto"/>
              <w:bottom w:val="single" w:sz="6" w:space="0" w:color="auto"/>
            </w:tcBorders>
            <w:shd w:val="clear" w:color="auto" w:fill="auto"/>
          </w:tcPr>
          <w:p w:rsidR="00294855" w:rsidRPr="00A24434" w:rsidP="0023143D" w14:paraId="78448733" w14:textId="77777777">
            <w:pPr>
              <w:pStyle w:val="TableParagraph"/>
              <w:spacing w:before="60" w:after="60"/>
              <w:ind w:right="72"/>
              <w:jc w:val="right"/>
              <w:rPr>
                <w:rFonts w:ascii="Arial Black" w:hAnsi="Arial Black" w:cs="Arial"/>
                <w:i/>
                <w:color w:val="FF0000"/>
              </w:rPr>
            </w:pPr>
            <w:r w:rsidRPr="00A24434">
              <w:rPr>
                <w:rFonts w:ascii="Arial" w:hAnsi="Arial" w:cs="Arial"/>
                <w:i/>
                <w:color w:val="FF0000"/>
              </w:rPr>
              <w:t xml:space="preserve">[ ] </w:t>
            </w:r>
            <w:r w:rsidRPr="00A24434">
              <w:rPr>
                <w:rFonts w:ascii="Arial Black" w:hAnsi="Arial Black" w:cs="Arial"/>
                <w:i/>
                <w:color w:val="FF0000"/>
              </w:rPr>
              <w:t>Mbps</w:t>
            </w:r>
          </w:p>
        </w:tc>
        <w:tc>
          <w:tcPr>
            <w:tcW w:w="270" w:type="dxa"/>
            <w:tcBorders>
              <w:top w:val="nil"/>
              <w:bottom w:val="nil"/>
              <w:right w:val="single" w:sz="24" w:space="0" w:color="auto"/>
            </w:tcBorders>
          </w:tcPr>
          <w:p w:rsidR="00294855" w:rsidRPr="008A3ADE" w:rsidP="0023143D" w14:paraId="7803A996" w14:textId="77777777">
            <w:pPr>
              <w:pStyle w:val="Header"/>
              <w:spacing w:before="60" w:after="60"/>
              <w:rPr>
                <w:rFonts w:ascii="Arial" w:eastAsia="Meiryo UI" w:hAnsi="Arial" w:cs="Arial"/>
                <w:b w:val="0"/>
              </w:rPr>
            </w:pPr>
          </w:p>
        </w:tc>
      </w:tr>
      <w:tr w14:paraId="7D3B9B5F"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8A3ADE" w:rsidP="0023143D" w14:paraId="3DE02309" w14:textId="77777777">
            <w:pPr>
              <w:pStyle w:val="Header"/>
              <w:spacing w:before="60" w:after="60"/>
              <w:rPr>
                <w:rFonts w:ascii="Arial" w:eastAsia="Meiryo UI" w:hAnsi="Arial" w:cs="Arial"/>
                <w:b w:val="0"/>
              </w:rPr>
            </w:pPr>
          </w:p>
        </w:tc>
        <w:tc>
          <w:tcPr>
            <w:tcW w:w="7564" w:type="dxa"/>
            <w:gridSpan w:val="3"/>
            <w:tcBorders>
              <w:top w:val="single" w:sz="6" w:space="0" w:color="auto"/>
              <w:bottom w:val="single" w:sz="6" w:space="0" w:color="auto"/>
            </w:tcBorders>
            <w:shd w:val="clear" w:color="auto" w:fill="auto"/>
          </w:tcPr>
          <w:p w:rsidR="00294855" w:rsidP="0023143D" w14:paraId="5AACEDEE" w14:textId="77777777">
            <w:pPr>
              <w:spacing w:before="60" w:after="60"/>
              <w:rPr>
                <w:rFonts w:ascii="Arial" w:hAnsi="Arial" w:cs="Arial"/>
                <w:color w:val="000000"/>
                <w:szCs w:val="22"/>
              </w:rPr>
            </w:pPr>
            <w:r w:rsidRPr="007516A7">
              <w:rPr>
                <w:rFonts w:ascii="Arial" w:hAnsi="Arial" w:cs="Arial"/>
                <w:color w:val="000000"/>
                <w:szCs w:val="22"/>
              </w:rPr>
              <w:t>Typical latency</w:t>
            </w:r>
          </w:p>
          <w:p w:rsidR="00294855" w:rsidRPr="007516A7" w:rsidP="0023143D" w14:paraId="37309F40" w14:textId="77777777">
            <w:pPr>
              <w:spacing w:before="60" w:after="60"/>
              <w:rPr>
                <w:rFonts w:ascii="Arial" w:hAnsi="Arial" w:cs="Arial"/>
                <w:color w:val="000000"/>
                <w:szCs w:val="22"/>
              </w:rPr>
            </w:pPr>
            <w:r w:rsidRPr="0093641E">
              <w:rPr>
                <w:rFonts w:ascii="Arial" w:eastAsia="Times New Roman" w:hAnsi="Arial" w:cs="Arial"/>
                <w:i/>
                <w:color w:val="FF0000"/>
                <w:szCs w:val="22"/>
              </w:rPr>
              <w:t xml:space="preserve">[identify typical peak </w:t>
            </w:r>
            <w:r>
              <w:rPr>
                <w:rFonts w:ascii="Arial" w:eastAsia="Times New Roman" w:hAnsi="Arial" w:cs="Arial"/>
                <w:i/>
                <w:color w:val="FF0000"/>
                <w:szCs w:val="22"/>
              </w:rPr>
              <w:t xml:space="preserve">usage </w:t>
            </w:r>
            <w:r w:rsidRPr="0093641E">
              <w:rPr>
                <w:rFonts w:ascii="Arial" w:eastAsia="Times New Roman" w:hAnsi="Arial" w:cs="Arial"/>
                <w:i/>
                <w:color w:val="FF0000"/>
                <w:szCs w:val="22"/>
              </w:rPr>
              <w:t>period latency for this tier of service, consistent with the Open Internet Orders and FCC guidance]</w:t>
            </w:r>
          </w:p>
        </w:tc>
        <w:tc>
          <w:tcPr>
            <w:tcW w:w="2880" w:type="dxa"/>
            <w:gridSpan w:val="4"/>
            <w:tcBorders>
              <w:top w:val="single" w:sz="6" w:space="0" w:color="auto"/>
              <w:bottom w:val="single" w:sz="6" w:space="0" w:color="auto"/>
            </w:tcBorders>
            <w:shd w:val="clear" w:color="auto" w:fill="auto"/>
          </w:tcPr>
          <w:p w:rsidR="00294855" w:rsidRPr="00A24434" w:rsidP="0023143D" w14:paraId="5F5A2148" w14:textId="77777777">
            <w:pPr>
              <w:pStyle w:val="TableParagraph"/>
              <w:spacing w:before="60" w:after="60"/>
              <w:ind w:right="72"/>
              <w:jc w:val="right"/>
              <w:rPr>
                <w:rFonts w:ascii="Arial Black" w:hAnsi="Arial Black" w:cs="Arial"/>
                <w:i/>
                <w:color w:val="FF0000"/>
              </w:rPr>
            </w:pPr>
            <w:r w:rsidRPr="00A24434">
              <w:rPr>
                <w:rFonts w:ascii="Arial" w:hAnsi="Arial" w:cs="Arial"/>
                <w:i/>
                <w:color w:val="FF0000"/>
              </w:rPr>
              <w:t xml:space="preserve">[ ] </w:t>
            </w:r>
            <w:r w:rsidRPr="00A24434">
              <w:rPr>
                <w:rFonts w:ascii="Arial Black" w:hAnsi="Arial Black" w:cs="Arial"/>
                <w:i/>
                <w:color w:val="FF0000"/>
              </w:rPr>
              <w:t>milliseconds</w:t>
            </w:r>
          </w:p>
        </w:tc>
        <w:tc>
          <w:tcPr>
            <w:tcW w:w="270" w:type="dxa"/>
            <w:tcBorders>
              <w:top w:val="nil"/>
              <w:bottom w:val="nil"/>
              <w:right w:val="single" w:sz="24" w:space="0" w:color="auto"/>
            </w:tcBorders>
          </w:tcPr>
          <w:p w:rsidR="00294855" w:rsidRPr="008A3ADE" w:rsidP="0023143D" w14:paraId="1FBBA87E" w14:textId="77777777">
            <w:pPr>
              <w:pStyle w:val="Header"/>
              <w:spacing w:before="60" w:after="60"/>
              <w:rPr>
                <w:rFonts w:ascii="Arial" w:eastAsia="Meiryo UI" w:hAnsi="Arial" w:cs="Arial"/>
                <w:b w:val="0"/>
              </w:rPr>
            </w:pPr>
          </w:p>
        </w:tc>
      </w:tr>
      <w:tr w14:paraId="7BD63118"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8A3ADE" w:rsidP="0023143D" w14:paraId="72C49527" w14:textId="77777777">
            <w:pPr>
              <w:pStyle w:val="Header"/>
              <w:spacing w:before="60" w:after="60"/>
              <w:rPr>
                <w:rFonts w:ascii="Arial" w:eastAsia="Meiryo UI" w:hAnsi="Arial" w:cs="Arial"/>
                <w:b w:val="0"/>
              </w:rPr>
            </w:pPr>
          </w:p>
        </w:tc>
        <w:tc>
          <w:tcPr>
            <w:tcW w:w="7924" w:type="dxa"/>
            <w:gridSpan w:val="4"/>
            <w:tcBorders>
              <w:top w:val="single" w:sz="6" w:space="0" w:color="auto"/>
              <w:bottom w:val="single" w:sz="36" w:space="0" w:color="auto"/>
            </w:tcBorders>
            <w:shd w:val="clear" w:color="auto" w:fill="auto"/>
          </w:tcPr>
          <w:p w:rsidR="00294855" w:rsidP="0023143D" w14:paraId="7A9AECEE" w14:textId="77777777">
            <w:pPr>
              <w:spacing w:before="60" w:after="60"/>
              <w:rPr>
                <w:rFonts w:ascii="Arial" w:hAnsi="Arial" w:cs="Arial"/>
                <w:color w:val="000000"/>
                <w:szCs w:val="22"/>
              </w:rPr>
            </w:pPr>
            <w:r w:rsidRPr="007516A7">
              <w:rPr>
                <w:rFonts w:ascii="Arial" w:hAnsi="Arial" w:cs="Arial"/>
                <w:color w:val="000000"/>
                <w:szCs w:val="22"/>
              </w:rPr>
              <w:t>Typical packet loss</w:t>
            </w:r>
          </w:p>
          <w:p w:rsidR="00294855" w:rsidRPr="007516A7" w:rsidP="0023143D" w14:paraId="248058BB" w14:textId="77777777">
            <w:pPr>
              <w:spacing w:before="60" w:after="60"/>
              <w:rPr>
                <w:rFonts w:ascii="Arial" w:hAnsi="Arial" w:cs="Arial"/>
                <w:color w:val="000000"/>
                <w:szCs w:val="22"/>
              </w:rPr>
            </w:pPr>
            <w:r w:rsidRPr="0093641E">
              <w:rPr>
                <w:rFonts w:ascii="Arial" w:eastAsia="Times New Roman" w:hAnsi="Arial" w:cs="Arial"/>
                <w:i/>
                <w:color w:val="FF0000"/>
                <w:szCs w:val="22"/>
              </w:rPr>
              <w:t xml:space="preserve">[identify typical peak </w:t>
            </w:r>
            <w:r>
              <w:rPr>
                <w:rFonts w:ascii="Arial" w:eastAsia="Times New Roman" w:hAnsi="Arial" w:cs="Arial"/>
                <w:i/>
                <w:color w:val="FF0000"/>
                <w:szCs w:val="22"/>
              </w:rPr>
              <w:t xml:space="preserve">usage </w:t>
            </w:r>
            <w:r w:rsidRPr="0093641E">
              <w:rPr>
                <w:rFonts w:ascii="Arial" w:eastAsia="Times New Roman" w:hAnsi="Arial" w:cs="Arial"/>
                <w:i/>
                <w:color w:val="FF0000"/>
                <w:szCs w:val="22"/>
              </w:rPr>
              <w:t>period packet loss for this tier of service, consistent with the Open Internet Orders and FCC guidance]</w:t>
            </w:r>
          </w:p>
        </w:tc>
        <w:tc>
          <w:tcPr>
            <w:tcW w:w="2520" w:type="dxa"/>
            <w:gridSpan w:val="3"/>
            <w:tcBorders>
              <w:top w:val="single" w:sz="6" w:space="0" w:color="auto"/>
              <w:bottom w:val="single" w:sz="36" w:space="0" w:color="auto"/>
            </w:tcBorders>
            <w:shd w:val="clear" w:color="auto" w:fill="auto"/>
          </w:tcPr>
          <w:p w:rsidR="00294855" w:rsidRPr="00A24434" w:rsidP="0023143D" w14:paraId="6AD8B18F" w14:textId="77777777">
            <w:pPr>
              <w:pStyle w:val="TableParagraph"/>
              <w:spacing w:before="60" w:after="60"/>
              <w:ind w:right="72"/>
              <w:jc w:val="right"/>
              <w:rPr>
                <w:rFonts w:ascii="Arial Black" w:hAnsi="Arial Black" w:cs="Arial"/>
                <w:i/>
                <w:color w:val="FF0000"/>
              </w:rPr>
            </w:pPr>
            <w:r w:rsidRPr="00A24434">
              <w:rPr>
                <w:rFonts w:ascii="Arial" w:hAnsi="Arial" w:cs="Arial"/>
                <w:i/>
                <w:color w:val="FF0000"/>
              </w:rPr>
              <w:t>[ ]</w:t>
            </w:r>
            <w:r w:rsidRPr="00A24434">
              <w:rPr>
                <w:rFonts w:ascii="Arial Black" w:hAnsi="Arial Black" w:cs="Arial"/>
                <w:i/>
                <w:color w:val="FF0000"/>
              </w:rPr>
              <w:t>%</w:t>
            </w:r>
          </w:p>
        </w:tc>
        <w:tc>
          <w:tcPr>
            <w:tcW w:w="270" w:type="dxa"/>
            <w:tcBorders>
              <w:top w:val="nil"/>
              <w:bottom w:val="nil"/>
              <w:right w:val="single" w:sz="24" w:space="0" w:color="auto"/>
            </w:tcBorders>
          </w:tcPr>
          <w:p w:rsidR="00294855" w:rsidRPr="008A3ADE" w:rsidP="0023143D" w14:paraId="16209A90" w14:textId="77777777">
            <w:pPr>
              <w:pStyle w:val="Header"/>
              <w:spacing w:before="60" w:after="60"/>
              <w:rPr>
                <w:rFonts w:ascii="Arial" w:eastAsia="Meiryo UI" w:hAnsi="Arial" w:cs="Arial"/>
                <w:b w:val="0"/>
              </w:rPr>
            </w:pPr>
          </w:p>
        </w:tc>
      </w:tr>
      <w:tr w14:paraId="1EAE1C46"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8A3ADE" w:rsidP="0023143D" w14:paraId="63265B0E" w14:textId="77777777">
            <w:pPr>
              <w:pStyle w:val="Header"/>
              <w:spacing w:before="60" w:after="60"/>
              <w:rPr>
                <w:rFonts w:ascii="Arial" w:eastAsia="Meiryo UI" w:hAnsi="Arial" w:cs="Arial"/>
                <w:b w:val="0"/>
              </w:rPr>
            </w:pPr>
          </w:p>
        </w:tc>
        <w:tc>
          <w:tcPr>
            <w:tcW w:w="7924" w:type="dxa"/>
            <w:gridSpan w:val="4"/>
            <w:tcBorders>
              <w:top w:val="single" w:sz="36" w:space="0" w:color="auto"/>
              <w:bottom w:val="single" w:sz="6" w:space="0" w:color="auto"/>
            </w:tcBorders>
            <w:shd w:val="clear" w:color="auto" w:fill="auto"/>
          </w:tcPr>
          <w:p w:rsidR="00294855" w:rsidRPr="007516A7" w:rsidP="0023143D" w14:paraId="5180134F" w14:textId="77777777">
            <w:pPr>
              <w:spacing w:before="60" w:after="60"/>
              <w:rPr>
                <w:rFonts w:ascii="Arial Black" w:hAnsi="Arial Black" w:cs="Arial"/>
                <w:color w:val="000000"/>
                <w:szCs w:val="22"/>
              </w:rPr>
            </w:pPr>
            <w:r w:rsidRPr="007516A7">
              <w:rPr>
                <w:rFonts w:ascii="Arial Black" w:hAnsi="Arial Black" w:cs="Arial"/>
                <w:color w:val="000000"/>
                <w:szCs w:val="22"/>
              </w:rPr>
              <w:t>Network Management</w:t>
            </w:r>
          </w:p>
        </w:tc>
        <w:tc>
          <w:tcPr>
            <w:tcW w:w="2520" w:type="dxa"/>
            <w:gridSpan w:val="3"/>
            <w:tcBorders>
              <w:top w:val="single" w:sz="36" w:space="0" w:color="auto"/>
              <w:bottom w:val="single" w:sz="6" w:space="0" w:color="auto"/>
            </w:tcBorders>
            <w:shd w:val="clear" w:color="auto" w:fill="auto"/>
          </w:tcPr>
          <w:p w:rsidR="00294855" w:rsidRPr="00A24434" w:rsidP="0023143D" w14:paraId="397194C4" w14:textId="77777777">
            <w:pPr>
              <w:pStyle w:val="TableParagraph"/>
              <w:spacing w:before="60" w:after="60"/>
              <w:ind w:right="72"/>
              <w:jc w:val="right"/>
              <w:rPr>
                <w:rFonts w:ascii="Arial Black" w:hAnsi="Arial Black" w:cs="Arial"/>
                <w:i/>
                <w:color w:val="000000"/>
              </w:rPr>
            </w:pPr>
          </w:p>
        </w:tc>
        <w:tc>
          <w:tcPr>
            <w:tcW w:w="270" w:type="dxa"/>
            <w:tcBorders>
              <w:top w:val="nil"/>
              <w:bottom w:val="nil"/>
              <w:right w:val="single" w:sz="24" w:space="0" w:color="auto"/>
            </w:tcBorders>
          </w:tcPr>
          <w:p w:rsidR="00294855" w:rsidRPr="008A3ADE" w:rsidP="0023143D" w14:paraId="5564FF97" w14:textId="77777777">
            <w:pPr>
              <w:pStyle w:val="Header"/>
              <w:spacing w:before="60" w:after="60"/>
              <w:rPr>
                <w:rFonts w:ascii="Arial" w:eastAsia="Meiryo UI" w:hAnsi="Arial" w:cs="Arial"/>
                <w:b w:val="0"/>
              </w:rPr>
            </w:pPr>
          </w:p>
        </w:tc>
      </w:tr>
      <w:tr w14:paraId="342AB596"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8A3ADE" w:rsidP="0023143D" w14:paraId="187F69CC" w14:textId="77777777">
            <w:pPr>
              <w:pStyle w:val="Header"/>
              <w:spacing w:before="60" w:after="60"/>
              <w:rPr>
                <w:rFonts w:ascii="Arial" w:eastAsia="Meiryo UI" w:hAnsi="Arial" w:cs="Arial"/>
                <w:b w:val="0"/>
              </w:rPr>
            </w:pPr>
          </w:p>
        </w:tc>
        <w:tc>
          <w:tcPr>
            <w:tcW w:w="8374" w:type="dxa"/>
            <w:gridSpan w:val="5"/>
            <w:tcBorders>
              <w:top w:val="single" w:sz="6" w:space="0" w:color="auto"/>
              <w:bottom w:val="single" w:sz="6" w:space="0" w:color="auto"/>
            </w:tcBorders>
            <w:shd w:val="clear" w:color="auto" w:fill="auto"/>
          </w:tcPr>
          <w:p w:rsidR="00294855" w:rsidRPr="00AA70ED" w:rsidP="0023143D" w14:paraId="6B0A6BB5" w14:textId="77777777">
            <w:pPr>
              <w:spacing w:before="60" w:after="60"/>
              <w:rPr>
                <w:rFonts w:ascii="Arial" w:eastAsia="Meiryo UI" w:hAnsi="Arial" w:cs="Arial"/>
                <w:color w:val="000000" w:themeColor="text1"/>
                <w:szCs w:val="22"/>
              </w:rPr>
            </w:pPr>
            <w:r w:rsidRPr="00AA70ED">
              <w:rPr>
                <w:rFonts w:ascii="Arial" w:eastAsia="Meiryo UI" w:hAnsi="Arial" w:cs="Arial"/>
                <w:color w:val="000000" w:themeColor="text1"/>
                <w:szCs w:val="22"/>
              </w:rPr>
              <w:t>Application-specific network management practices?</w:t>
            </w:r>
          </w:p>
          <w:p w:rsidR="00294855" w:rsidRPr="00AA70ED" w:rsidP="0023143D" w14:paraId="09D2EC3A" w14:textId="77777777">
            <w:pPr>
              <w:spacing w:before="60" w:after="60"/>
              <w:rPr>
                <w:rFonts w:ascii="Arial" w:hAnsi="Arial" w:cs="Arial"/>
                <w:color w:val="000000"/>
                <w:szCs w:val="22"/>
              </w:rPr>
            </w:pPr>
            <w:r w:rsidRPr="0093641E">
              <w:rPr>
                <w:rFonts w:ascii="Arial" w:eastAsia="Times New Roman" w:hAnsi="Arial" w:cs="Arial"/>
                <w:i/>
                <w:color w:val="FF0000"/>
                <w:szCs w:val="22"/>
              </w:rPr>
              <w:t>[answer yes or no; if yes, provide a brief description and a link to a full discussion that identifies application-specific network management practices, when such practices are triggered, and the effect such practices could have on performance]</w:t>
            </w:r>
          </w:p>
        </w:tc>
        <w:tc>
          <w:tcPr>
            <w:tcW w:w="2070" w:type="dxa"/>
            <w:gridSpan w:val="2"/>
            <w:tcBorders>
              <w:top w:val="single" w:sz="6" w:space="0" w:color="auto"/>
              <w:bottom w:val="single" w:sz="6" w:space="0" w:color="auto"/>
            </w:tcBorders>
            <w:shd w:val="clear" w:color="auto" w:fill="auto"/>
          </w:tcPr>
          <w:p w:rsidR="00294855" w:rsidRPr="00A24434" w:rsidP="0023143D" w14:paraId="7BBD2F14" w14:textId="77777777">
            <w:pPr>
              <w:pStyle w:val="TableParagraph"/>
              <w:spacing w:before="60" w:after="60"/>
              <w:ind w:right="72"/>
              <w:jc w:val="right"/>
              <w:rPr>
                <w:rFonts w:ascii="Arial Black" w:hAnsi="Arial Black" w:cs="Arial"/>
                <w:i/>
                <w:color w:val="FF0000"/>
              </w:rPr>
            </w:pPr>
            <w:r w:rsidRPr="00A24434">
              <w:rPr>
                <w:rFonts w:ascii="Arial Black" w:hAnsi="Arial Black" w:cs="Arial"/>
                <w:i/>
                <w:color w:val="FF0000"/>
              </w:rPr>
              <w:t>Yes/ No</w:t>
            </w:r>
          </w:p>
        </w:tc>
        <w:tc>
          <w:tcPr>
            <w:tcW w:w="270" w:type="dxa"/>
            <w:tcBorders>
              <w:top w:val="nil"/>
              <w:bottom w:val="nil"/>
              <w:right w:val="single" w:sz="24" w:space="0" w:color="auto"/>
            </w:tcBorders>
          </w:tcPr>
          <w:p w:rsidR="00294855" w:rsidRPr="008A3ADE" w:rsidP="0023143D" w14:paraId="23C41372" w14:textId="77777777">
            <w:pPr>
              <w:pStyle w:val="Header"/>
              <w:spacing w:before="60" w:after="60"/>
              <w:rPr>
                <w:rFonts w:ascii="Arial" w:eastAsia="Meiryo UI" w:hAnsi="Arial" w:cs="Arial"/>
                <w:b w:val="0"/>
              </w:rPr>
            </w:pPr>
          </w:p>
        </w:tc>
      </w:tr>
      <w:tr w14:paraId="0E848141"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8A3ADE" w:rsidP="0023143D" w14:paraId="658505AB" w14:textId="77777777">
            <w:pPr>
              <w:pStyle w:val="Header"/>
              <w:spacing w:before="60" w:after="60"/>
              <w:rPr>
                <w:rFonts w:ascii="Arial" w:eastAsia="Meiryo UI" w:hAnsi="Arial" w:cs="Arial"/>
                <w:b w:val="0"/>
              </w:rPr>
            </w:pPr>
          </w:p>
        </w:tc>
        <w:tc>
          <w:tcPr>
            <w:tcW w:w="8374" w:type="dxa"/>
            <w:gridSpan w:val="5"/>
            <w:tcBorders>
              <w:top w:val="single" w:sz="6" w:space="0" w:color="auto"/>
              <w:bottom w:val="single" w:sz="6" w:space="0" w:color="auto"/>
            </w:tcBorders>
            <w:shd w:val="clear" w:color="auto" w:fill="auto"/>
          </w:tcPr>
          <w:p w:rsidR="00294855" w:rsidP="0023143D" w14:paraId="3B376A95" w14:textId="77777777">
            <w:pPr>
              <w:spacing w:before="60" w:after="60"/>
              <w:rPr>
                <w:rFonts w:ascii="Arial" w:eastAsia="Meiryo UI" w:hAnsi="Arial" w:cs="Arial"/>
                <w:color w:val="000000" w:themeColor="text1"/>
                <w:szCs w:val="22"/>
              </w:rPr>
            </w:pPr>
            <w:r w:rsidRPr="00AA70ED">
              <w:rPr>
                <w:rFonts w:ascii="Arial" w:eastAsia="Meiryo UI" w:hAnsi="Arial" w:cs="Arial"/>
                <w:color w:val="000000" w:themeColor="text1"/>
                <w:szCs w:val="22"/>
              </w:rPr>
              <w:t xml:space="preserve">Subscriber-triggered network management practices? </w:t>
            </w:r>
          </w:p>
          <w:p w:rsidR="00294855" w:rsidRPr="00AA70ED" w:rsidP="0023143D" w14:paraId="58009A76" w14:textId="77777777">
            <w:pPr>
              <w:spacing w:before="60" w:after="60"/>
              <w:rPr>
                <w:rFonts w:ascii="Arial" w:eastAsia="Meiryo UI" w:hAnsi="Arial" w:cs="Arial"/>
                <w:color w:val="000000" w:themeColor="text1"/>
                <w:szCs w:val="22"/>
              </w:rPr>
            </w:pPr>
            <w:r w:rsidRPr="0093641E">
              <w:rPr>
                <w:rFonts w:ascii="Arial" w:eastAsia="Times New Roman" w:hAnsi="Arial" w:cs="Arial"/>
                <w:i/>
                <w:color w:val="FF0000"/>
                <w:szCs w:val="22"/>
              </w:rPr>
              <w:t>[answer yes or no; if yes, provide a brief description and a link to a full discussion that identifies subscriber-triggered network management practices, when such practices are triggered, and the effect such practices could have on performance]</w:t>
            </w:r>
          </w:p>
        </w:tc>
        <w:tc>
          <w:tcPr>
            <w:tcW w:w="2070" w:type="dxa"/>
            <w:gridSpan w:val="2"/>
            <w:tcBorders>
              <w:top w:val="single" w:sz="6" w:space="0" w:color="auto"/>
              <w:bottom w:val="single" w:sz="6" w:space="0" w:color="auto"/>
            </w:tcBorders>
            <w:shd w:val="clear" w:color="auto" w:fill="auto"/>
          </w:tcPr>
          <w:p w:rsidR="00294855" w:rsidRPr="00A24434" w:rsidP="0023143D" w14:paraId="2A3293E2" w14:textId="77777777">
            <w:pPr>
              <w:pStyle w:val="TableParagraph"/>
              <w:spacing w:before="60" w:after="60"/>
              <w:ind w:right="72"/>
              <w:jc w:val="right"/>
              <w:rPr>
                <w:rFonts w:ascii="Arial Black" w:hAnsi="Arial Black" w:cs="Arial"/>
                <w:i/>
                <w:color w:val="FF0000"/>
              </w:rPr>
            </w:pPr>
            <w:r w:rsidRPr="00A24434">
              <w:rPr>
                <w:rFonts w:ascii="Arial Black" w:hAnsi="Arial Black" w:cs="Arial"/>
                <w:i/>
                <w:color w:val="FF0000"/>
              </w:rPr>
              <w:t>Yes/ No</w:t>
            </w:r>
          </w:p>
        </w:tc>
        <w:tc>
          <w:tcPr>
            <w:tcW w:w="270" w:type="dxa"/>
            <w:tcBorders>
              <w:top w:val="nil"/>
              <w:bottom w:val="nil"/>
              <w:right w:val="single" w:sz="24" w:space="0" w:color="auto"/>
            </w:tcBorders>
          </w:tcPr>
          <w:p w:rsidR="00294855" w:rsidRPr="008A3ADE" w:rsidP="0023143D" w14:paraId="716017F8" w14:textId="77777777">
            <w:pPr>
              <w:pStyle w:val="Header"/>
              <w:spacing w:before="60" w:after="60"/>
              <w:rPr>
                <w:rFonts w:ascii="Arial" w:eastAsia="Meiryo UI" w:hAnsi="Arial" w:cs="Arial"/>
                <w:b w:val="0"/>
              </w:rPr>
            </w:pPr>
          </w:p>
        </w:tc>
      </w:tr>
      <w:tr w14:paraId="6593873B"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8A3ADE" w:rsidP="0023143D" w14:paraId="0C5F4D58" w14:textId="77777777">
            <w:pPr>
              <w:pStyle w:val="Header"/>
              <w:spacing w:before="60" w:after="60"/>
              <w:rPr>
                <w:rFonts w:ascii="Arial" w:eastAsia="Meiryo UI" w:hAnsi="Arial" w:cs="Arial"/>
                <w:b w:val="0"/>
              </w:rPr>
            </w:pPr>
          </w:p>
        </w:tc>
        <w:tc>
          <w:tcPr>
            <w:tcW w:w="7924" w:type="dxa"/>
            <w:gridSpan w:val="4"/>
            <w:tcBorders>
              <w:top w:val="single" w:sz="6" w:space="0" w:color="auto"/>
              <w:bottom w:val="single" w:sz="6" w:space="0" w:color="auto"/>
            </w:tcBorders>
            <w:shd w:val="clear" w:color="auto" w:fill="auto"/>
          </w:tcPr>
          <w:p w:rsidR="00294855" w:rsidP="0023143D" w14:paraId="3F26DB52" w14:textId="77777777">
            <w:pPr>
              <w:pStyle w:val="Header"/>
              <w:spacing w:before="60" w:after="60"/>
              <w:rPr>
                <w:rFonts w:ascii="Arial" w:hAnsi="Arial" w:cs="Arial"/>
                <w:color w:val="44546A" w:themeColor="text2"/>
                <w:szCs w:val="22"/>
                <w:u w:val="single"/>
              </w:rPr>
            </w:pPr>
            <w:r w:rsidRPr="00814120">
              <w:rPr>
                <w:rFonts w:ascii="Arial" w:hAnsi="Arial" w:cs="Arial"/>
                <w:szCs w:val="22"/>
              </w:rPr>
              <w:t xml:space="preserve">More </w:t>
            </w:r>
            <w:r w:rsidRPr="007516A7">
              <w:rPr>
                <w:rFonts w:ascii="Arial" w:hAnsi="Arial" w:cs="Arial"/>
                <w:color w:val="44546A" w:themeColor="text2"/>
                <w:szCs w:val="22"/>
                <w:u w:val="single"/>
              </w:rPr>
              <w:t xml:space="preserve">details on network </w:t>
            </w:r>
            <w:r>
              <w:rPr>
                <w:rFonts w:ascii="Arial" w:hAnsi="Arial" w:cs="Arial"/>
                <w:color w:val="44546A" w:themeColor="text2"/>
                <w:szCs w:val="22"/>
                <w:u w:val="single"/>
              </w:rPr>
              <w:t>management.</w:t>
            </w:r>
          </w:p>
          <w:p w:rsidR="00294855" w:rsidRPr="007516A7" w:rsidP="0023143D" w14:paraId="50B8B506" w14:textId="77777777">
            <w:pPr>
              <w:pStyle w:val="Header"/>
              <w:spacing w:before="60" w:after="60"/>
              <w:rPr>
                <w:rFonts w:ascii="Arial" w:hAnsi="Arial" w:cs="Arial"/>
                <w:color w:val="000000"/>
                <w:szCs w:val="22"/>
                <w:u w:val="single"/>
              </w:rPr>
            </w:pPr>
            <w:r w:rsidRPr="0093641E">
              <w:rPr>
                <w:rFonts w:ascii="Arial" w:eastAsia="Times New Roman" w:hAnsi="Arial" w:cs="Arial"/>
                <w:i/>
                <w:color w:val="FF0000"/>
                <w:szCs w:val="22"/>
              </w:rPr>
              <w:t>[at underlined language provide a link to the company’s full disclosure of network management practices]</w:t>
            </w:r>
          </w:p>
        </w:tc>
        <w:tc>
          <w:tcPr>
            <w:tcW w:w="2520" w:type="dxa"/>
            <w:gridSpan w:val="3"/>
            <w:tcBorders>
              <w:top w:val="single" w:sz="6" w:space="0" w:color="auto"/>
              <w:bottom w:val="single" w:sz="6" w:space="0" w:color="auto"/>
            </w:tcBorders>
            <w:shd w:val="clear" w:color="auto" w:fill="auto"/>
          </w:tcPr>
          <w:p w:rsidR="00294855" w:rsidRPr="007516A7" w:rsidP="0023143D" w14:paraId="59059805" w14:textId="77777777">
            <w:pPr>
              <w:pStyle w:val="TableParagraph"/>
              <w:spacing w:before="60" w:after="60"/>
              <w:ind w:right="72"/>
              <w:jc w:val="right"/>
              <w:rPr>
                <w:rFonts w:ascii="Arial Black" w:hAnsi="Arial Black" w:cs="Arial"/>
                <w:color w:val="000000"/>
              </w:rPr>
            </w:pPr>
          </w:p>
        </w:tc>
        <w:tc>
          <w:tcPr>
            <w:tcW w:w="270" w:type="dxa"/>
            <w:tcBorders>
              <w:top w:val="nil"/>
              <w:bottom w:val="nil"/>
              <w:right w:val="single" w:sz="24" w:space="0" w:color="auto"/>
            </w:tcBorders>
          </w:tcPr>
          <w:p w:rsidR="00294855" w:rsidRPr="008A3ADE" w:rsidP="0023143D" w14:paraId="46A5E6C9" w14:textId="77777777">
            <w:pPr>
              <w:pStyle w:val="Header"/>
              <w:spacing w:before="60" w:after="60"/>
              <w:rPr>
                <w:rFonts w:ascii="Arial" w:eastAsia="Meiryo UI" w:hAnsi="Arial" w:cs="Arial"/>
                <w:b w:val="0"/>
              </w:rPr>
            </w:pPr>
          </w:p>
        </w:tc>
      </w:tr>
      <w:tr w14:paraId="56F961F0"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8A3ADE" w:rsidP="0023143D" w14:paraId="67B7D6F2" w14:textId="77777777">
            <w:pPr>
              <w:pStyle w:val="Header"/>
              <w:spacing w:before="60" w:after="60"/>
              <w:rPr>
                <w:rFonts w:ascii="Arial" w:eastAsia="Meiryo UI" w:hAnsi="Arial" w:cs="Arial"/>
                <w:b w:val="0"/>
              </w:rPr>
            </w:pPr>
          </w:p>
        </w:tc>
        <w:tc>
          <w:tcPr>
            <w:tcW w:w="7924" w:type="dxa"/>
            <w:gridSpan w:val="4"/>
            <w:tcBorders>
              <w:top w:val="single" w:sz="6" w:space="0" w:color="auto"/>
              <w:bottom w:val="single" w:sz="6" w:space="0" w:color="auto"/>
            </w:tcBorders>
            <w:shd w:val="clear" w:color="auto" w:fill="auto"/>
          </w:tcPr>
          <w:p w:rsidR="00294855" w:rsidP="0023143D" w14:paraId="12BDED11" w14:textId="77777777">
            <w:pPr>
              <w:spacing w:before="60" w:after="60"/>
              <w:rPr>
                <w:rFonts w:ascii="Arial Black" w:eastAsia="Meiryo UI" w:hAnsi="Arial Black" w:cs="Arial"/>
                <w:color w:val="000000" w:themeColor="text1"/>
                <w:szCs w:val="22"/>
              </w:rPr>
            </w:pPr>
            <w:r w:rsidRPr="007516A7">
              <w:rPr>
                <w:rFonts w:ascii="Arial Black" w:eastAsia="Meiryo UI" w:hAnsi="Arial Black" w:cs="Arial"/>
                <w:color w:val="000000" w:themeColor="text1"/>
                <w:szCs w:val="22"/>
              </w:rPr>
              <w:t>Privacy</w:t>
            </w:r>
          </w:p>
          <w:p w:rsidR="00294855" w:rsidRPr="0093641E" w:rsidP="0023143D" w14:paraId="1B3C4EEA" w14:textId="77777777">
            <w:pPr>
              <w:spacing w:before="60" w:after="60"/>
              <w:rPr>
                <w:rFonts w:ascii="Arial Black" w:eastAsia="Meiryo UI" w:hAnsi="Arial Black" w:cs="Arial"/>
                <w:i/>
                <w:color w:val="000000" w:themeColor="text1"/>
                <w:szCs w:val="22"/>
              </w:rPr>
            </w:pPr>
            <w:r w:rsidRPr="0093641E">
              <w:rPr>
                <w:rFonts w:ascii="Arial" w:eastAsia="Meiryo UI" w:hAnsi="Arial" w:cs="Arial"/>
                <w:i/>
                <w:color w:val="FF0000"/>
                <w:szCs w:val="22"/>
              </w:rPr>
              <w:t>[</w:t>
            </w:r>
            <w:r w:rsidRPr="0093641E">
              <w:rPr>
                <w:rFonts w:ascii="Arial" w:eastAsia="Times New Roman" w:hAnsi="Arial" w:cs="Arial"/>
                <w:i/>
                <w:color w:val="FF0000"/>
                <w:szCs w:val="22"/>
              </w:rPr>
              <w:t>provide a link to the company’s privacy policy for broadband services]</w:t>
            </w:r>
          </w:p>
        </w:tc>
        <w:tc>
          <w:tcPr>
            <w:tcW w:w="2520" w:type="dxa"/>
            <w:gridSpan w:val="3"/>
            <w:tcBorders>
              <w:top w:val="single" w:sz="6" w:space="0" w:color="auto"/>
              <w:bottom w:val="single" w:sz="6" w:space="0" w:color="auto"/>
            </w:tcBorders>
            <w:shd w:val="clear" w:color="auto" w:fill="auto"/>
          </w:tcPr>
          <w:p w:rsidR="00294855" w:rsidP="0023143D" w14:paraId="73AC2126" w14:textId="77777777">
            <w:pPr>
              <w:pStyle w:val="TableParagraph"/>
              <w:spacing w:before="60" w:after="60"/>
              <w:ind w:right="72"/>
              <w:jc w:val="right"/>
              <w:rPr>
                <w:rFonts w:ascii="Arial" w:hAnsi="Arial" w:cs="Arial"/>
              </w:rPr>
            </w:pPr>
          </w:p>
          <w:p w:rsidR="00294855" w:rsidRPr="007516A7" w:rsidP="0023143D" w14:paraId="2D80AD36" w14:textId="77777777">
            <w:pPr>
              <w:pStyle w:val="TableParagraph"/>
              <w:spacing w:before="60" w:after="60"/>
              <w:ind w:right="72"/>
              <w:jc w:val="right"/>
              <w:rPr>
                <w:rFonts w:ascii="Arial" w:hAnsi="Arial" w:cs="Arial"/>
                <w:color w:val="000000"/>
              </w:rPr>
            </w:pPr>
            <w:r w:rsidRPr="00814120">
              <w:rPr>
                <w:rFonts w:ascii="Arial" w:hAnsi="Arial" w:cs="Arial"/>
              </w:rPr>
              <w:t>See our</w:t>
            </w:r>
            <w:r w:rsidRPr="00814120">
              <w:rPr>
                <w:rFonts w:ascii="Arial" w:hAnsi="Arial" w:cs="Arial"/>
                <w:u w:val="single"/>
              </w:rPr>
              <w:t xml:space="preserve"> </w:t>
            </w:r>
            <w:r w:rsidRPr="007516A7">
              <w:rPr>
                <w:rFonts w:ascii="Arial" w:hAnsi="Arial" w:cs="Arial"/>
                <w:color w:val="44546A" w:themeColor="text2"/>
                <w:u w:val="single"/>
              </w:rPr>
              <w:t>privacy policy</w:t>
            </w:r>
          </w:p>
        </w:tc>
        <w:tc>
          <w:tcPr>
            <w:tcW w:w="270" w:type="dxa"/>
            <w:tcBorders>
              <w:top w:val="nil"/>
              <w:bottom w:val="nil"/>
              <w:right w:val="single" w:sz="24" w:space="0" w:color="auto"/>
            </w:tcBorders>
          </w:tcPr>
          <w:p w:rsidR="00294855" w:rsidRPr="008A3ADE" w:rsidP="0023143D" w14:paraId="3C81B494" w14:textId="77777777">
            <w:pPr>
              <w:pStyle w:val="Header"/>
              <w:spacing w:before="60" w:after="60"/>
              <w:rPr>
                <w:rFonts w:ascii="Arial" w:eastAsia="Meiryo UI" w:hAnsi="Arial" w:cs="Arial"/>
                <w:b w:val="0"/>
              </w:rPr>
            </w:pPr>
          </w:p>
        </w:tc>
      </w:tr>
      <w:tr w14:paraId="0CDEFC70"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8A3ADE" w:rsidP="0023143D" w14:paraId="382F1BAA" w14:textId="77777777">
            <w:pPr>
              <w:pStyle w:val="Header"/>
              <w:spacing w:before="60" w:after="60"/>
              <w:rPr>
                <w:rFonts w:ascii="Arial" w:eastAsia="Meiryo UI" w:hAnsi="Arial" w:cs="Arial"/>
                <w:b w:val="0"/>
              </w:rPr>
            </w:pPr>
          </w:p>
        </w:tc>
        <w:tc>
          <w:tcPr>
            <w:tcW w:w="6214" w:type="dxa"/>
            <w:gridSpan w:val="2"/>
            <w:tcBorders>
              <w:top w:val="single" w:sz="6" w:space="0" w:color="auto"/>
              <w:bottom w:val="single" w:sz="6" w:space="0" w:color="auto"/>
            </w:tcBorders>
            <w:shd w:val="clear" w:color="auto" w:fill="auto"/>
          </w:tcPr>
          <w:p w:rsidR="00294855" w:rsidP="0023143D" w14:paraId="02451CAE" w14:textId="77777777">
            <w:pPr>
              <w:spacing w:before="60" w:after="60"/>
              <w:rPr>
                <w:rFonts w:ascii="Arial Black" w:eastAsia="Meiryo UI" w:hAnsi="Arial Black" w:cs="Arial"/>
                <w:color w:val="000000" w:themeColor="text1"/>
                <w:szCs w:val="22"/>
              </w:rPr>
            </w:pPr>
            <w:r w:rsidRPr="007516A7">
              <w:rPr>
                <w:rFonts w:ascii="Arial Black" w:eastAsia="Meiryo UI" w:hAnsi="Arial Black" w:cs="Arial"/>
                <w:color w:val="000000" w:themeColor="text1"/>
                <w:szCs w:val="22"/>
              </w:rPr>
              <w:t>Complaints or Inquiries</w:t>
            </w:r>
          </w:p>
          <w:p w:rsidR="00294855" w:rsidRPr="006035EE" w:rsidP="0023143D" w14:paraId="306A0379" w14:textId="77777777">
            <w:pPr>
              <w:spacing w:before="60" w:after="60"/>
              <w:rPr>
                <w:rFonts w:ascii="Arial" w:eastAsia="Times New Roman" w:hAnsi="Arial" w:cs="Arial"/>
                <w:i/>
                <w:color w:val="FF0000"/>
                <w:szCs w:val="22"/>
              </w:rPr>
            </w:pPr>
            <w:r w:rsidRPr="006035EE">
              <w:rPr>
                <w:rFonts w:ascii="Arial" w:eastAsia="Times New Roman" w:hAnsi="Arial" w:cs="Arial"/>
                <w:i/>
                <w:color w:val="FF0000"/>
                <w:szCs w:val="22"/>
              </w:rPr>
              <w:t>[</w:t>
            </w:r>
            <w:r>
              <w:rPr>
                <w:rFonts w:ascii="Arial" w:eastAsia="Times New Roman" w:hAnsi="Arial" w:cs="Arial"/>
                <w:i/>
                <w:color w:val="FF0000"/>
                <w:szCs w:val="22"/>
              </w:rPr>
              <w:t xml:space="preserve">at underlined language provide a </w:t>
            </w:r>
            <w:r w:rsidRPr="006035EE">
              <w:rPr>
                <w:rFonts w:ascii="Arial" w:eastAsia="Times New Roman" w:hAnsi="Arial" w:cs="Arial"/>
                <w:i/>
                <w:color w:val="FF0000"/>
                <w:szCs w:val="22"/>
              </w:rPr>
              <w:t xml:space="preserve">link to the primary </w:t>
            </w:r>
            <w:r w:rsidRPr="006035EE">
              <w:rPr>
                <w:rFonts w:ascii="Arial" w:eastAsia="Times New Roman" w:hAnsi="Arial" w:cs="Arial"/>
                <w:i/>
                <w:color w:val="FF0000"/>
                <w:szCs w:val="22"/>
              </w:rPr>
              <w:t>customer service web page</w:t>
            </w:r>
            <w:r>
              <w:rPr>
                <w:rFonts w:ascii="Arial" w:eastAsia="Times New Roman" w:hAnsi="Arial" w:cs="Arial"/>
                <w:i/>
                <w:color w:val="FF0000"/>
                <w:szCs w:val="22"/>
              </w:rPr>
              <w:t xml:space="preserve">; </w:t>
            </w:r>
            <w:r w:rsidRPr="006035EE">
              <w:rPr>
                <w:rFonts w:ascii="Arial" w:eastAsia="Times New Roman" w:hAnsi="Arial" w:cs="Arial"/>
                <w:i/>
                <w:color w:val="FF0000"/>
                <w:szCs w:val="22"/>
              </w:rPr>
              <w:t>provide a phone number for the company’s customer service center]</w:t>
            </w:r>
          </w:p>
          <w:p w:rsidR="00294855" w:rsidRPr="00BF004A" w:rsidP="0023143D" w14:paraId="6E13FEA4" w14:textId="77777777">
            <w:pPr>
              <w:spacing w:before="60" w:after="60"/>
              <w:rPr>
                <w:rFonts w:ascii="Arial Black" w:eastAsia="Meiryo UI" w:hAnsi="Arial Black" w:cs="Arial"/>
                <w:color w:val="000000" w:themeColor="text1"/>
                <w:szCs w:val="22"/>
              </w:rPr>
            </w:pPr>
            <w:r w:rsidRPr="00BF004A">
              <w:rPr>
                <w:rFonts w:ascii="Arial" w:eastAsia="Times New Roman" w:hAnsi="Arial" w:cs="Arial"/>
                <w:i/>
                <w:color w:val="FF0000"/>
                <w:szCs w:val="22"/>
              </w:rPr>
              <w:t>[at underlined language provide a link to the FCC’s complaint center; provide the phone number for the FCC’s complaint center]</w:t>
            </w:r>
          </w:p>
        </w:tc>
        <w:tc>
          <w:tcPr>
            <w:tcW w:w="4230" w:type="dxa"/>
            <w:gridSpan w:val="5"/>
            <w:tcBorders>
              <w:top w:val="single" w:sz="6" w:space="0" w:color="auto"/>
              <w:bottom w:val="single" w:sz="6" w:space="0" w:color="auto"/>
            </w:tcBorders>
            <w:shd w:val="clear" w:color="auto" w:fill="auto"/>
          </w:tcPr>
          <w:p w:rsidR="00294855" w:rsidP="0023143D" w14:paraId="101CC793" w14:textId="77777777">
            <w:pPr>
              <w:pStyle w:val="Header"/>
              <w:spacing w:before="60" w:after="60"/>
              <w:jc w:val="right"/>
              <w:rPr>
                <w:rFonts w:ascii="Arial" w:hAnsi="Arial" w:cs="Arial"/>
                <w:color w:val="000000"/>
                <w:szCs w:val="22"/>
              </w:rPr>
            </w:pPr>
          </w:p>
          <w:p w:rsidR="00294855" w:rsidRPr="007516A7" w:rsidP="0023143D" w14:paraId="3B211EC1" w14:textId="77777777">
            <w:pPr>
              <w:pStyle w:val="Header"/>
              <w:spacing w:before="60" w:after="60"/>
              <w:jc w:val="right"/>
              <w:rPr>
                <w:rFonts w:ascii="Arial" w:hAnsi="Arial" w:cs="Arial"/>
                <w:color w:val="000000"/>
                <w:szCs w:val="22"/>
              </w:rPr>
            </w:pPr>
            <w:r w:rsidRPr="007516A7">
              <w:rPr>
                <w:rFonts w:ascii="Arial" w:hAnsi="Arial" w:cs="Arial"/>
                <w:color w:val="000000"/>
                <w:szCs w:val="22"/>
              </w:rPr>
              <w:t xml:space="preserve">To contact us: </w:t>
            </w:r>
            <w:r w:rsidRPr="007516A7">
              <w:rPr>
                <w:rFonts w:ascii="Arial" w:hAnsi="Arial" w:cs="Arial"/>
                <w:color w:val="44546A" w:themeColor="text2"/>
                <w:szCs w:val="22"/>
                <w:u w:val="single"/>
              </w:rPr>
              <w:t>online</w:t>
            </w:r>
            <w:r w:rsidRPr="007516A7">
              <w:rPr>
                <w:rFonts w:ascii="Arial" w:hAnsi="Arial" w:cs="Arial"/>
                <w:color w:val="000000"/>
                <w:szCs w:val="22"/>
              </w:rPr>
              <w:t xml:space="preserve">/(123)456-7890; </w:t>
            </w:r>
          </w:p>
          <w:p w:rsidR="00294855" w:rsidP="0023143D" w14:paraId="00A5AF7A" w14:textId="77777777">
            <w:pPr>
              <w:pStyle w:val="TableParagraph"/>
              <w:spacing w:before="60" w:after="60"/>
              <w:ind w:right="72"/>
              <w:jc w:val="right"/>
              <w:rPr>
                <w:rFonts w:ascii="Arial" w:hAnsi="Arial" w:cs="Arial"/>
                <w:color w:val="000000"/>
              </w:rPr>
            </w:pPr>
          </w:p>
          <w:p w:rsidR="00294855" w:rsidRPr="007516A7" w:rsidP="0023143D" w14:paraId="6F499B3B" w14:textId="77777777">
            <w:pPr>
              <w:pStyle w:val="TableParagraph"/>
              <w:spacing w:before="60" w:after="60"/>
              <w:ind w:right="72"/>
              <w:jc w:val="right"/>
              <w:rPr>
                <w:rFonts w:ascii="Arial" w:hAnsi="Arial" w:cs="Arial"/>
                <w:color w:val="000000"/>
              </w:rPr>
            </w:pPr>
            <w:r w:rsidRPr="007516A7">
              <w:rPr>
                <w:rFonts w:ascii="Arial" w:hAnsi="Arial" w:cs="Arial"/>
                <w:color w:val="000000"/>
              </w:rPr>
              <w:t xml:space="preserve">To submit complaints to the FCC: </w:t>
            </w:r>
            <w:r w:rsidRPr="007516A7">
              <w:rPr>
                <w:rFonts w:ascii="Arial" w:hAnsi="Arial" w:cs="Arial"/>
                <w:color w:val="44546A" w:themeColor="text2"/>
                <w:u w:val="single"/>
              </w:rPr>
              <w:t>online</w:t>
            </w:r>
            <w:r>
              <w:rPr>
                <w:rFonts w:ascii="Arial" w:hAnsi="Arial" w:cs="Arial"/>
              </w:rPr>
              <w:t>/(888)225-5322</w:t>
            </w:r>
          </w:p>
        </w:tc>
        <w:tc>
          <w:tcPr>
            <w:tcW w:w="270" w:type="dxa"/>
            <w:tcBorders>
              <w:top w:val="nil"/>
              <w:bottom w:val="nil"/>
              <w:right w:val="single" w:sz="24" w:space="0" w:color="auto"/>
            </w:tcBorders>
          </w:tcPr>
          <w:p w:rsidR="00294855" w:rsidRPr="008A3ADE" w:rsidP="0023143D" w14:paraId="75D52450" w14:textId="77777777">
            <w:pPr>
              <w:pStyle w:val="Header"/>
              <w:spacing w:before="60" w:after="60"/>
              <w:rPr>
                <w:rFonts w:ascii="Arial" w:eastAsia="Meiryo UI" w:hAnsi="Arial" w:cs="Arial"/>
                <w:b w:val="0"/>
              </w:rPr>
            </w:pPr>
          </w:p>
        </w:tc>
      </w:tr>
      <w:tr w14:paraId="00591057" w14:textId="77777777" w:rsidTr="0023143D">
        <w:tblPrEx>
          <w:tblW w:w="10950" w:type="dxa"/>
          <w:tblInd w:w="-480" w:type="dxa"/>
          <w:tblLayout w:type="fixed"/>
          <w:tblLook w:val="04A0"/>
        </w:tblPrEx>
        <w:tc>
          <w:tcPr>
            <w:tcW w:w="236" w:type="dxa"/>
            <w:tcBorders>
              <w:top w:val="nil"/>
              <w:left w:val="single" w:sz="24" w:space="0" w:color="auto"/>
              <w:bottom w:val="nil"/>
            </w:tcBorders>
          </w:tcPr>
          <w:p w:rsidR="00294855" w:rsidRPr="00AA70ED" w:rsidP="0023143D" w14:paraId="61871367" w14:textId="77777777">
            <w:pPr>
              <w:pStyle w:val="Header"/>
              <w:rPr>
                <w:rFonts w:ascii="Arial" w:eastAsia="Meiryo UI" w:hAnsi="Arial" w:cs="Arial"/>
                <w:b w:val="0"/>
                <w:sz w:val="20"/>
                <w:szCs w:val="20"/>
              </w:rPr>
            </w:pPr>
          </w:p>
        </w:tc>
        <w:tc>
          <w:tcPr>
            <w:tcW w:w="3514" w:type="dxa"/>
            <w:tcBorders>
              <w:top w:val="single" w:sz="6" w:space="0" w:color="auto"/>
              <w:bottom w:val="single" w:sz="6" w:space="0" w:color="auto"/>
            </w:tcBorders>
            <w:shd w:val="clear" w:color="auto" w:fill="000000" w:themeFill="text1"/>
          </w:tcPr>
          <w:p w:rsidR="00294855" w:rsidRPr="00AA70ED" w:rsidP="0023143D" w14:paraId="16003189" w14:textId="77777777">
            <w:pPr>
              <w:pStyle w:val="Header"/>
              <w:rPr>
                <w:rFonts w:ascii="Arial" w:eastAsia="Meiryo UI" w:hAnsi="Arial" w:cs="Arial"/>
                <w:b w:val="0"/>
                <w:sz w:val="20"/>
                <w:szCs w:val="20"/>
              </w:rPr>
            </w:pPr>
          </w:p>
        </w:tc>
        <w:tc>
          <w:tcPr>
            <w:tcW w:w="6930" w:type="dxa"/>
            <w:gridSpan w:val="6"/>
            <w:tcBorders>
              <w:top w:val="single" w:sz="6" w:space="0" w:color="auto"/>
              <w:bottom w:val="single" w:sz="6" w:space="0" w:color="auto"/>
            </w:tcBorders>
            <w:shd w:val="clear" w:color="auto" w:fill="000000" w:themeFill="text1"/>
          </w:tcPr>
          <w:p w:rsidR="00294855" w:rsidRPr="00AA70ED" w:rsidP="0023143D" w14:paraId="20790374" w14:textId="77777777">
            <w:pPr>
              <w:pStyle w:val="Header"/>
              <w:rPr>
                <w:rFonts w:ascii="Arial" w:eastAsia="Meiryo UI" w:hAnsi="Arial" w:cs="Arial"/>
                <w:b w:val="0"/>
                <w:sz w:val="20"/>
                <w:szCs w:val="20"/>
              </w:rPr>
            </w:pPr>
          </w:p>
        </w:tc>
        <w:tc>
          <w:tcPr>
            <w:tcW w:w="270" w:type="dxa"/>
            <w:tcBorders>
              <w:top w:val="nil"/>
              <w:bottom w:val="nil"/>
              <w:right w:val="single" w:sz="24" w:space="0" w:color="auto"/>
            </w:tcBorders>
          </w:tcPr>
          <w:p w:rsidR="00294855" w:rsidRPr="00AA70ED" w:rsidP="0023143D" w14:paraId="5D8632D5" w14:textId="77777777">
            <w:pPr>
              <w:pStyle w:val="Header"/>
              <w:rPr>
                <w:rFonts w:ascii="Arial" w:eastAsia="Meiryo UI" w:hAnsi="Arial" w:cs="Arial"/>
                <w:b w:val="0"/>
                <w:sz w:val="20"/>
                <w:szCs w:val="20"/>
              </w:rPr>
            </w:pPr>
          </w:p>
        </w:tc>
      </w:tr>
      <w:tr w14:paraId="5D54201E" w14:textId="77777777" w:rsidTr="0023143D">
        <w:tblPrEx>
          <w:tblW w:w="10950" w:type="dxa"/>
          <w:tblInd w:w="-480" w:type="dxa"/>
          <w:tblLayout w:type="fixed"/>
          <w:tblLook w:val="04A0"/>
        </w:tblPrEx>
        <w:tc>
          <w:tcPr>
            <w:tcW w:w="236" w:type="dxa"/>
            <w:tcBorders>
              <w:top w:val="nil"/>
              <w:left w:val="single" w:sz="24" w:space="0" w:color="auto"/>
              <w:bottom w:val="single" w:sz="24" w:space="0" w:color="auto"/>
            </w:tcBorders>
          </w:tcPr>
          <w:p w:rsidR="00294855" w:rsidRPr="008A3ADE" w:rsidP="0023143D" w14:paraId="73D48FDA" w14:textId="77777777">
            <w:pPr>
              <w:pStyle w:val="Header"/>
              <w:spacing w:before="60" w:after="60"/>
              <w:rPr>
                <w:rFonts w:ascii="Arial" w:eastAsia="Meiryo UI" w:hAnsi="Arial" w:cs="Arial"/>
                <w:b w:val="0"/>
              </w:rPr>
            </w:pPr>
          </w:p>
        </w:tc>
        <w:tc>
          <w:tcPr>
            <w:tcW w:w="10444" w:type="dxa"/>
            <w:gridSpan w:val="7"/>
            <w:tcBorders>
              <w:top w:val="single" w:sz="6" w:space="0" w:color="auto"/>
              <w:bottom w:val="single" w:sz="24" w:space="0" w:color="auto"/>
            </w:tcBorders>
            <w:shd w:val="clear" w:color="auto" w:fill="auto"/>
          </w:tcPr>
          <w:p w:rsidR="00294855" w:rsidP="0023143D" w14:paraId="3C9F8B85" w14:textId="77777777">
            <w:pPr>
              <w:spacing w:before="60" w:after="60"/>
              <w:rPr>
                <w:rFonts w:ascii="Arial" w:hAnsi="Arial" w:cs="Arial"/>
                <w:szCs w:val="22"/>
              </w:rPr>
            </w:pPr>
            <w:r w:rsidRPr="00814120">
              <w:rPr>
                <w:rFonts w:ascii="Arial" w:hAnsi="Arial" w:cs="Arial"/>
                <w:szCs w:val="22"/>
              </w:rPr>
              <w:t xml:space="preserve">Learn more about the </w:t>
            </w:r>
            <w:r w:rsidRPr="00814120">
              <w:rPr>
                <w:rFonts w:ascii="Arial" w:hAnsi="Arial" w:cs="Arial"/>
                <w:color w:val="44546A" w:themeColor="text2"/>
                <w:szCs w:val="22"/>
                <w:u w:val="single"/>
              </w:rPr>
              <w:t>terms used on this form and other relevant information</w:t>
            </w:r>
            <w:r w:rsidRPr="00814120">
              <w:rPr>
                <w:rFonts w:ascii="Arial" w:hAnsi="Arial" w:cs="Arial"/>
                <w:color w:val="44546A" w:themeColor="text2"/>
                <w:szCs w:val="22"/>
              </w:rPr>
              <w:t xml:space="preserve"> </w:t>
            </w:r>
            <w:r w:rsidRPr="00814120">
              <w:rPr>
                <w:rFonts w:ascii="Arial" w:hAnsi="Arial" w:cs="Arial"/>
                <w:szCs w:val="22"/>
              </w:rPr>
              <w:t>at the FCC’s website.</w:t>
            </w:r>
          </w:p>
          <w:p w:rsidR="00294855" w:rsidRPr="00596E13" w:rsidP="0023143D" w14:paraId="4FB82FC7" w14:textId="77777777">
            <w:pPr>
              <w:widowControl/>
              <w:rPr>
                <w:rFonts w:ascii="Arial" w:eastAsia="Times New Roman" w:hAnsi="Arial" w:cs="Arial"/>
                <w:i/>
                <w:color w:val="FF0000"/>
                <w:szCs w:val="22"/>
              </w:rPr>
            </w:pPr>
            <w:r w:rsidRPr="00596E13">
              <w:rPr>
                <w:rFonts w:ascii="Arial" w:eastAsia="Times New Roman" w:hAnsi="Arial" w:cs="Arial"/>
                <w:i/>
                <w:color w:val="FF0000"/>
                <w:szCs w:val="22"/>
              </w:rPr>
              <w:t>[at underlined language provide a link to the FCC's glossary web page]</w:t>
            </w:r>
          </w:p>
          <w:p w:rsidR="00294855" w:rsidRPr="00596E13" w:rsidP="0023143D" w14:paraId="680DC38D" w14:textId="77777777">
            <w:pPr>
              <w:widowControl/>
              <w:rPr>
                <w:snapToGrid/>
                <w:kern w:val="0"/>
                <w:sz w:val="24"/>
              </w:rPr>
            </w:pPr>
          </w:p>
        </w:tc>
        <w:tc>
          <w:tcPr>
            <w:tcW w:w="270" w:type="dxa"/>
            <w:tcBorders>
              <w:top w:val="nil"/>
              <w:bottom w:val="single" w:sz="24" w:space="0" w:color="auto"/>
              <w:right w:val="single" w:sz="24" w:space="0" w:color="auto"/>
            </w:tcBorders>
          </w:tcPr>
          <w:p w:rsidR="00294855" w:rsidRPr="008A3ADE" w:rsidP="0023143D" w14:paraId="7313E564" w14:textId="77777777">
            <w:pPr>
              <w:pStyle w:val="Header"/>
              <w:spacing w:before="60" w:after="60"/>
              <w:rPr>
                <w:rFonts w:ascii="Arial" w:eastAsia="Meiryo UI" w:hAnsi="Arial" w:cs="Arial"/>
                <w:b w:val="0"/>
              </w:rPr>
            </w:pPr>
          </w:p>
        </w:tc>
      </w:tr>
    </w:tbl>
    <w:p w:rsidR="00571D16" w:rsidP="00294855" w14:paraId="359C361C" w14:textId="77777777"/>
    <w:p w:rsidR="00F15AF4" w14:paraId="1D165C29" w14:textId="77777777">
      <w:pPr>
        <w:sectPr w:rsidSect="00EB0CF7">
          <w:footnotePr>
            <w:numRestart w:val="eachSect"/>
          </w:footnotePr>
          <w:endnotePr>
            <w:numFmt w:val="decimal"/>
          </w:endnotePr>
          <w:pgSz w:w="12240" w:h="15840"/>
          <w:pgMar w:top="1440" w:right="1440" w:bottom="720" w:left="1440" w:header="720" w:footer="720" w:gutter="0"/>
          <w:cols w:space="720"/>
          <w:noEndnote/>
          <w:docGrid w:linePitch="299"/>
        </w:sectPr>
      </w:pPr>
    </w:p>
    <w:p w:rsidR="00571D16" w:rsidP="00F15AF4" w14:paraId="2165F486" w14:textId="1A0046FB">
      <w:pPr>
        <w:jc w:val="center"/>
        <w:rPr>
          <w:b/>
        </w:rPr>
      </w:pPr>
      <w:r>
        <w:rPr>
          <w:b/>
        </w:rPr>
        <w:t>APPENDIX</w:t>
      </w:r>
      <w:r w:rsidRPr="00E848A3" w:rsidR="00A62DF8">
        <w:rPr>
          <w:b/>
        </w:rPr>
        <w:t xml:space="preserve"> C</w:t>
      </w:r>
    </w:p>
    <w:p w:rsidR="00C90EE4" w:rsidRPr="00E848A3" w:rsidP="00B546D4" w14:paraId="7A3F8BA3" w14:textId="77777777">
      <w:pPr>
        <w:jc w:val="center"/>
        <w:rPr>
          <w:b/>
        </w:rPr>
      </w:pPr>
    </w:p>
    <w:p w:rsidR="00A62DF8" w:rsidRPr="00E848A3" w:rsidP="00B546D4" w14:paraId="5A9592CC" w14:textId="4AA9DB3F">
      <w:pPr>
        <w:jc w:val="center"/>
        <w:rPr>
          <w:b/>
        </w:rPr>
      </w:pPr>
      <w:r w:rsidRPr="00C90EE4">
        <w:rPr>
          <w:b/>
        </w:rPr>
        <w:t>Mobile Broadband Consumer Disclosure Labe</w:t>
      </w:r>
      <w:r w:rsidR="002916A1">
        <w:rPr>
          <w:b/>
        </w:rPr>
        <w:t>l</w:t>
      </w:r>
      <w:r w:rsidR="009359EA">
        <w:rPr>
          <w:b/>
        </w:rPr>
        <w:t xml:space="preserve"> From the </w:t>
      </w:r>
      <w:r w:rsidRPr="00AD24DD" w:rsidR="009359EA">
        <w:rPr>
          <w:b/>
          <w:i/>
        </w:rPr>
        <w:t>2016 P</w:t>
      </w:r>
      <w:r w:rsidRPr="00AD24DD" w:rsidR="00DD4398">
        <w:rPr>
          <w:b/>
          <w:i/>
        </w:rPr>
        <w:t>ublic Notice</w:t>
      </w:r>
    </w:p>
    <w:p w:rsidR="00571D16" w:rsidP="00B546D4" w14:paraId="24E8AE57" w14:textId="77777777">
      <w:pPr>
        <w:jc w:val="center"/>
      </w:pPr>
    </w:p>
    <w:tbl>
      <w:tblPr>
        <w:tblStyle w:val="TableGrid"/>
        <w:tblW w:w="10950" w:type="dxa"/>
        <w:tblInd w:w="-570"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ayout w:type="fixed"/>
        <w:tblLook w:val="04A0"/>
      </w:tblPr>
      <w:tblGrid>
        <w:gridCol w:w="236"/>
        <w:gridCol w:w="1804"/>
        <w:gridCol w:w="270"/>
        <w:gridCol w:w="1440"/>
        <w:gridCol w:w="1440"/>
        <w:gridCol w:w="270"/>
        <w:gridCol w:w="270"/>
        <w:gridCol w:w="720"/>
        <w:gridCol w:w="90"/>
        <w:gridCol w:w="450"/>
        <w:gridCol w:w="1080"/>
        <w:gridCol w:w="2610"/>
        <w:gridCol w:w="270"/>
      </w:tblGrid>
      <w:tr w14:paraId="50A74C39" w14:textId="77777777" w:rsidTr="0023143D">
        <w:tblPrEx>
          <w:tblW w:w="10950" w:type="dxa"/>
          <w:tblInd w:w="-570" w:type="dxa"/>
          <w:tblBorders>
            <w:top w:val="single" w:sz="36" w:space="0" w:color="auto"/>
            <w:left w:val="single" w:sz="36" w:space="0" w:color="auto"/>
            <w:bottom w:val="single" w:sz="36" w:space="0" w:color="auto"/>
            <w:right w:val="single" w:sz="36" w:space="0" w:color="auto"/>
            <w:insideH w:val="none" w:sz="0" w:space="0" w:color="auto"/>
            <w:insideV w:val="none" w:sz="0" w:space="0" w:color="auto"/>
          </w:tblBorders>
          <w:tblLayout w:type="fixed"/>
          <w:tblLook w:val="04A0"/>
        </w:tblPrEx>
        <w:tc>
          <w:tcPr>
            <w:tcW w:w="236" w:type="dxa"/>
            <w:tcBorders>
              <w:top w:val="single" w:sz="24" w:space="0" w:color="auto"/>
              <w:left w:val="single" w:sz="24" w:space="0" w:color="auto"/>
              <w:bottom w:val="nil"/>
            </w:tcBorders>
          </w:tcPr>
          <w:p w:rsidR="00294855" w:rsidRPr="008A3ADE" w:rsidP="0023143D" w14:paraId="77548682" w14:textId="32F6B55A">
            <w:pPr>
              <w:pStyle w:val="Header"/>
              <w:rPr>
                <w:rFonts w:ascii="Arial" w:eastAsia="Meiryo UI" w:hAnsi="Arial" w:cs="Arial"/>
                <w:b w:val="0"/>
              </w:rPr>
            </w:pPr>
          </w:p>
        </w:tc>
        <w:tc>
          <w:tcPr>
            <w:tcW w:w="10444" w:type="dxa"/>
            <w:gridSpan w:val="11"/>
            <w:tcBorders>
              <w:top w:val="single" w:sz="24" w:space="0" w:color="auto"/>
              <w:bottom w:val="nil"/>
            </w:tcBorders>
          </w:tcPr>
          <w:p w:rsidR="00294855" w:rsidRPr="005325AB" w:rsidP="0023143D" w14:paraId="00B92A42" w14:textId="77777777">
            <w:pPr>
              <w:pStyle w:val="Header"/>
              <w:rPr>
                <w:rFonts w:ascii="Arial Black" w:eastAsia="Meiryo UI" w:hAnsi="Arial Black" w:cs="Arial"/>
                <w:b w:val="0"/>
                <w:sz w:val="60"/>
                <w:szCs w:val="60"/>
              </w:rPr>
            </w:pPr>
            <w:r w:rsidRPr="005325AB">
              <w:rPr>
                <w:rFonts w:ascii="Arial Black" w:eastAsia="Meiryo UI" w:hAnsi="Arial Black" w:cs="Arial"/>
                <w:sz w:val="60"/>
                <w:szCs w:val="60"/>
              </w:rPr>
              <w:t>Broadband Facts</w:t>
            </w:r>
          </w:p>
          <w:p w:rsidR="00294855" w:rsidRPr="00D32832" w:rsidP="0023143D" w14:paraId="5A96D15C" w14:textId="77777777">
            <w:pPr>
              <w:pStyle w:val="Header"/>
              <w:rPr>
                <w:rFonts w:ascii="Arial" w:eastAsia="Meiryo UI" w:hAnsi="Arial" w:cs="Arial"/>
              </w:rPr>
            </w:pPr>
            <w:r>
              <w:rPr>
                <w:rFonts w:ascii="Arial" w:eastAsia="Meiryo UI" w:hAnsi="Arial" w:cs="Arial"/>
              </w:rPr>
              <w:t>Mobile broadband consumer d</w:t>
            </w:r>
            <w:r w:rsidRPr="00631C98">
              <w:rPr>
                <w:rFonts w:ascii="Arial" w:eastAsia="Meiryo UI" w:hAnsi="Arial" w:cs="Arial"/>
              </w:rPr>
              <w:t>isclosure</w:t>
            </w:r>
            <w:r>
              <w:rPr>
                <w:rFonts w:ascii="Arial" w:eastAsia="Meiryo UI" w:hAnsi="Arial" w:cs="Arial"/>
              </w:rPr>
              <w:t xml:space="preserve"> </w:t>
            </w:r>
          </w:p>
        </w:tc>
        <w:tc>
          <w:tcPr>
            <w:tcW w:w="270" w:type="dxa"/>
            <w:tcBorders>
              <w:top w:val="single" w:sz="24" w:space="0" w:color="auto"/>
              <w:bottom w:val="nil"/>
              <w:right w:val="single" w:sz="24" w:space="0" w:color="auto"/>
            </w:tcBorders>
          </w:tcPr>
          <w:p w:rsidR="00294855" w:rsidRPr="008A3ADE" w:rsidP="0023143D" w14:paraId="66EA96C7" w14:textId="77777777">
            <w:pPr>
              <w:pStyle w:val="Header"/>
              <w:rPr>
                <w:rFonts w:ascii="Arial" w:eastAsia="Meiryo UI" w:hAnsi="Arial" w:cs="Arial"/>
                <w:b w:val="0"/>
              </w:rPr>
            </w:pPr>
          </w:p>
        </w:tc>
      </w:tr>
      <w:tr w14:paraId="3DEBD8EA" w14:textId="77777777" w:rsidTr="0023143D">
        <w:tblPrEx>
          <w:tblW w:w="10950" w:type="dxa"/>
          <w:tblInd w:w="-570" w:type="dxa"/>
          <w:tblLayout w:type="fixed"/>
          <w:tblLook w:val="04A0"/>
        </w:tblPrEx>
        <w:trPr>
          <w:trHeight w:val="162"/>
        </w:trPr>
        <w:tc>
          <w:tcPr>
            <w:tcW w:w="236" w:type="dxa"/>
            <w:tcBorders>
              <w:top w:val="nil"/>
              <w:left w:val="single" w:sz="24" w:space="0" w:color="auto"/>
              <w:bottom w:val="nil"/>
            </w:tcBorders>
          </w:tcPr>
          <w:p w:rsidR="00294855" w:rsidRPr="00AA70ED" w:rsidP="0023143D" w14:paraId="3D24112E" w14:textId="77777777">
            <w:pPr>
              <w:pStyle w:val="Header"/>
              <w:rPr>
                <w:rFonts w:ascii="Arial" w:eastAsia="Meiryo UI" w:hAnsi="Arial" w:cs="Arial"/>
                <w:b w:val="0"/>
                <w:sz w:val="20"/>
                <w:szCs w:val="20"/>
              </w:rPr>
            </w:pPr>
          </w:p>
        </w:tc>
        <w:tc>
          <w:tcPr>
            <w:tcW w:w="6304" w:type="dxa"/>
            <w:gridSpan w:val="8"/>
            <w:tcBorders>
              <w:top w:val="nil"/>
              <w:bottom w:val="nil"/>
            </w:tcBorders>
            <w:shd w:val="clear" w:color="auto" w:fill="000000" w:themeFill="text1"/>
          </w:tcPr>
          <w:p w:rsidR="00294855" w:rsidRPr="00AA70ED" w:rsidP="0023143D" w14:paraId="2BB3EFD3" w14:textId="77777777">
            <w:pPr>
              <w:pStyle w:val="Header"/>
              <w:rPr>
                <w:rFonts w:ascii="Arial" w:eastAsia="Meiryo UI" w:hAnsi="Arial" w:cs="Arial"/>
                <w:b w:val="0"/>
                <w:sz w:val="20"/>
                <w:szCs w:val="20"/>
              </w:rPr>
            </w:pPr>
          </w:p>
        </w:tc>
        <w:tc>
          <w:tcPr>
            <w:tcW w:w="4140" w:type="dxa"/>
            <w:gridSpan w:val="3"/>
            <w:tcBorders>
              <w:top w:val="nil"/>
              <w:bottom w:val="nil"/>
            </w:tcBorders>
            <w:shd w:val="clear" w:color="auto" w:fill="000000" w:themeFill="text1"/>
          </w:tcPr>
          <w:p w:rsidR="00294855" w:rsidRPr="00AA70ED" w:rsidP="0023143D" w14:paraId="31042A86" w14:textId="77777777">
            <w:pPr>
              <w:pStyle w:val="Header"/>
              <w:rPr>
                <w:rFonts w:ascii="Arial" w:eastAsia="Meiryo UI" w:hAnsi="Arial" w:cs="Arial"/>
                <w:b w:val="0"/>
                <w:sz w:val="20"/>
                <w:szCs w:val="20"/>
              </w:rPr>
            </w:pPr>
          </w:p>
        </w:tc>
        <w:tc>
          <w:tcPr>
            <w:tcW w:w="270" w:type="dxa"/>
            <w:tcBorders>
              <w:top w:val="nil"/>
              <w:bottom w:val="nil"/>
              <w:right w:val="single" w:sz="24" w:space="0" w:color="auto"/>
            </w:tcBorders>
          </w:tcPr>
          <w:p w:rsidR="00294855" w:rsidRPr="00AA70ED" w:rsidP="0023143D" w14:paraId="07E02B5A" w14:textId="77777777">
            <w:pPr>
              <w:pStyle w:val="Header"/>
              <w:rPr>
                <w:rFonts w:ascii="Arial" w:eastAsia="Meiryo UI" w:hAnsi="Arial" w:cs="Arial"/>
                <w:b w:val="0"/>
                <w:sz w:val="20"/>
                <w:szCs w:val="20"/>
              </w:rPr>
            </w:pPr>
          </w:p>
        </w:tc>
      </w:tr>
      <w:tr w14:paraId="1CAACA52"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8A3ADE" w:rsidP="0023143D" w14:paraId="1BED4BD9" w14:textId="77777777">
            <w:pPr>
              <w:pStyle w:val="Header"/>
              <w:spacing w:after="120"/>
              <w:rPr>
                <w:rFonts w:ascii="Arial" w:eastAsia="Meiryo UI" w:hAnsi="Arial" w:cs="Arial"/>
                <w:b w:val="0"/>
              </w:rPr>
            </w:pPr>
          </w:p>
        </w:tc>
        <w:tc>
          <w:tcPr>
            <w:tcW w:w="6304" w:type="dxa"/>
            <w:gridSpan w:val="8"/>
            <w:tcBorders>
              <w:top w:val="nil"/>
              <w:bottom w:val="single" w:sz="6" w:space="0" w:color="auto"/>
            </w:tcBorders>
            <w:shd w:val="clear" w:color="auto" w:fill="auto"/>
          </w:tcPr>
          <w:p w:rsidR="00294855" w:rsidRPr="00AA70ED" w:rsidP="0023143D" w14:paraId="79837834" w14:textId="77777777">
            <w:pPr>
              <w:pStyle w:val="Header"/>
              <w:spacing w:before="60" w:after="60"/>
              <w:ind w:left="-14"/>
              <w:rPr>
                <w:rFonts w:ascii="Arial Black" w:eastAsia="Meiryo UI" w:hAnsi="Arial Black" w:cs="Arial"/>
                <w:b w:val="0"/>
                <w:szCs w:val="22"/>
              </w:rPr>
            </w:pPr>
            <w:r w:rsidRPr="00AA70ED">
              <w:rPr>
                <w:rFonts w:ascii="Arial Black" w:eastAsia="Meiryo UI" w:hAnsi="Arial Black" w:cs="Arial"/>
                <w:color w:val="000000" w:themeColor="text1"/>
                <w:szCs w:val="22"/>
              </w:rPr>
              <w:t>Device Compatibility</w:t>
            </w:r>
          </w:p>
        </w:tc>
        <w:tc>
          <w:tcPr>
            <w:tcW w:w="4140" w:type="dxa"/>
            <w:gridSpan w:val="3"/>
            <w:tcBorders>
              <w:top w:val="nil"/>
              <w:bottom w:val="single" w:sz="6" w:space="0" w:color="auto"/>
            </w:tcBorders>
            <w:shd w:val="clear" w:color="auto" w:fill="auto"/>
          </w:tcPr>
          <w:p w:rsidR="00294855" w:rsidRPr="00AA70ED" w:rsidP="0023143D" w14:paraId="43A761D2" w14:textId="77777777">
            <w:pPr>
              <w:pStyle w:val="Header"/>
              <w:spacing w:before="60" w:after="60"/>
              <w:rPr>
                <w:rFonts w:ascii="Arial Black" w:eastAsia="Meiryo UI" w:hAnsi="Arial Black" w:cs="Arial"/>
                <w:b w:val="0"/>
                <w:szCs w:val="22"/>
              </w:rPr>
            </w:pPr>
          </w:p>
        </w:tc>
        <w:tc>
          <w:tcPr>
            <w:tcW w:w="270" w:type="dxa"/>
            <w:tcBorders>
              <w:top w:val="nil"/>
              <w:bottom w:val="nil"/>
              <w:right w:val="single" w:sz="24" w:space="0" w:color="auto"/>
            </w:tcBorders>
          </w:tcPr>
          <w:p w:rsidR="00294855" w:rsidRPr="004E0F36" w:rsidP="0023143D" w14:paraId="076083BE" w14:textId="77777777">
            <w:pPr>
              <w:pStyle w:val="Header"/>
              <w:spacing w:after="120"/>
              <w:rPr>
                <w:rFonts w:ascii="Arial" w:eastAsia="Meiryo UI" w:hAnsi="Arial" w:cs="Arial"/>
                <w:b w:val="0"/>
                <w:szCs w:val="22"/>
              </w:rPr>
            </w:pPr>
          </w:p>
        </w:tc>
      </w:tr>
      <w:tr w14:paraId="6C619ADC"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631C98" w:rsidP="0023143D" w14:paraId="5F206B67" w14:textId="77777777">
            <w:pPr>
              <w:pStyle w:val="Header"/>
              <w:spacing w:after="120"/>
              <w:rPr>
                <w:rFonts w:ascii="Arial" w:eastAsia="Meiryo UI" w:hAnsi="Arial" w:cs="Arial"/>
                <w:b w:val="0"/>
                <w:sz w:val="20"/>
              </w:rPr>
            </w:pPr>
          </w:p>
        </w:tc>
        <w:tc>
          <w:tcPr>
            <w:tcW w:w="10444" w:type="dxa"/>
            <w:gridSpan w:val="11"/>
            <w:tcBorders>
              <w:top w:val="single" w:sz="6" w:space="0" w:color="auto"/>
              <w:bottom w:val="single" w:sz="6" w:space="0" w:color="auto"/>
            </w:tcBorders>
            <w:shd w:val="clear" w:color="auto" w:fill="auto"/>
          </w:tcPr>
          <w:p w:rsidR="00294855" w:rsidP="0023143D" w14:paraId="79C5306C" w14:textId="77777777">
            <w:pPr>
              <w:pStyle w:val="Header"/>
              <w:spacing w:before="60" w:after="60"/>
              <w:ind w:left="-14"/>
              <w:rPr>
                <w:rFonts w:ascii="Arial" w:eastAsia="Meiryo UI" w:hAnsi="Arial" w:cs="Arial"/>
                <w:szCs w:val="22"/>
              </w:rPr>
            </w:pPr>
            <w:r w:rsidRPr="00AA70ED">
              <w:rPr>
                <w:rFonts w:ascii="Arial" w:eastAsia="Meiryo UI" w:hAnsi="Arial" w:cs="Arial"/>
                <w:szCs w:val="22"/>
              </w:rPr>
              <w:t xml:space="preserve">If you want to use your existing device, </w:t>
            </w:r>
            <w:r>
              <w:rPr>
                <w:rFonts w:ascii="Arial" w:eastAsia="Meiryo UI" w:hAnsi="Arial" w:cs="Arial"/>
                <w:szCs w:val="22"/>
              </w:rPr>
              <w:t>learn more about</w:t>
            </w:r>
            <w:r w:rsidRPr="00AA70ED">
              <w:rPr>
                <w:rFonts w:ascii="Arial" w:eastAsia="Meiryo UI" w:hAnsi="Arial" w:cs="Arial"/>
                <w:szCs w:val="22"/>
              </w:rPr>
              <w:t xml:space="preserve"> </w:t>
            </w:r>
            <w:r w:rsidRPr="007F53A6">
              <w:rPr>
                <w:rFonts w:ascii="Arial" w:eastAsia="Meiryo UI" w:hAnsi="Arial" w:cs="Arial"/>
                <w:color w:val="44546A" w:themeColor="text2"/>
                <w:szCs w:val="22"/>
                <w:u w:val="single"/>
              </w:rPr>
              <w:t>compatibility</w:t>
            </w:r>
            <w:r w:rsidRPr="00AA70ED">
              <w:rPr>
                <w:rFonts w:ascii="Arial" w:eastAsia="Meiryo UI" w:hAnsi="Arial" w:cs="Arial"/>
                <w:szCs w:val="22"/>
              </w:rPr>
              <w:t>.</w:t>
            </w:r>
          </w:p>
          <w:p w:rsidR="00294855" w:rsidRPr="00AA70ED" w:rsidP="0023143D" w14:paraId="1CDF8F8E" w14:textId="77777777">
            <w:pPr>
              <w:pStyle w:val="Header"/>
              <w:spacing w:before="60" w:after="60"/>
              <w:ind w:left="-14"/>
              <w:rPr>
                <w:rFonts w:ascii="Arial" w:eastAsia="Meiryo UI" w:hAnsi="Arial" w:cs="Arial"/>
                <w:szCs w:val="22"/>
              </w:rPr>
            </w:pPr>
            <w:r w:rsidRPr="00106FC7">
              <w:rPr>
                <w:rFonts w:ascii="Arial" w:eastAsia="Times New Roman" w:hAnsi="Arial" w:cs="Arial"/>
                <w:i/>
                <w:color w:val="FF0000"/>
                <w:szCs w:val="22"/>
              </w:rPr>
              <w:t>[at underlined language provide a link regarding compatibility of devices if the customer brings their own device.]</w:t>
            </w:r>
          </w:p>
        </w:tc>
        <w:tc>
          <w:tcPr>
            <w:tcW w:w="270" w:type="dxa"/>
            <w:tcBorders>
              <w:top w:val="nil"/>
              <w:bottom w:val="nil"/>
              <w:right w:val="single" w:sz="24" w:space="0" w:color="auto"/>
            </w:tcBorders>
          </w:tcPr>
          <w:p w:rsidR="00294855" w:rsidRPr="004E0F36" w:rsidP="0023143D" w14:paraId="4792F8DA" w14:textId="77777777">
            <w:pPr>
              <w:pStyle w:val="Header"/>
              <w:spacing w:after="120"/>
              <w:rPr>
                <w:rFonts w:ascii="Arial" w:eastAsia="Meiryo UI" w:hAnsi="Arial" w:cs="Arial"/>
                <w:b w:val="0"/>
                <w:szCs w:val="22"/>
              </w:rPr>
            </w:pPr>
          </w:p>
        </w:tc>
      </w:tr>
      <w:tr w14:paraId="26281825"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631C98" w:rsidP="0023143D" w14:paraId="777ED7B0" w14:textId="77777777">
            <w:pPr>
              <w:pStyle w:val="Header"/>
              <w:spacing w:after="120"/>
              <w:rPr>
                <w:rFonts w:ascii="Arial" w:eastAsia="Meiryo UI" w:hAnsi="Arial" w:cs="Arial"/>
                <w:b w:val="0"/>
                <w:sz w:val="20"/>
              </w:rPr>
            </w:pPr>
          </w:p>
        </w:tc>
        <w:tc>
          <w:tcPr>
            <w:tcW w:w="10444" w:type="dxa"/>
            <w:gridSpan w:val="11"/>
            <w:tcBorders>
              <w:top w:val="single" w:sz="6" w:space="0" w:color="auto"/>
              <w:bottom w:val="single" w:sz="36" w:space="0" w:color="auto"/>
            </w:tcBorders>
            <w:shd w:val="clear" w:color="auto" w:fill="auto"/>
          </w:tcPr>
          <w:p w:rsidR="00294855" w:rsidP="0023143D" w14:paraId="58257F2F" w14:textId="77777777">
            <w:pPr>
              <w:pStyle w:val="Header"/>
              <w:spacing w:before="60" w:after="60"/>
              <w:ind w:left="-14"/>
              <w:rPr>
                <w:rFonts w:ascii="Arial" w:eastAsia="Calibri" w:hAnsi="Arial" w:cs="Arial"/>
                <w:szCs w:val="22"/>
              </w:rPr>
            </w:pPr>
            <w:r w:rsidRPr="00AA70ED">
              <w:rPr>
                <w:rFonts w:ascii="Arial" w:eastAsia="Calibri" w:hAnsi="Arial" w:cs="Arial"/>
                <w:szCs w:val="22"/>
              </w:rPr>
              <w:t xml:space="preserve">If you want to obtain a device, </w:t>
            </w:r>
            <w:r>
              <w:rPr>
                <w:rFonts w:ascii="Arial" w:eastAsia="Calibri" w:hAnsi="Arial" w:cs="Arial"/>
                <w:szCs w:val="22"/>
              </w:rPr>
              <w:t>learn more about</w:t>
            </w:r>
            <w:r w:rsidRPr="00AA70ED">
              <w:rPr>
                <w:rFonts w:ascii="Arial" w:eastAsia="Calibri" w:hAnsi="Arial" w:cs="Arial"/>
                <w:szCs w:val="22"/>
              </w:rPr>
              <w:t xml:space="preserve"> </w:t>
            </w:r>
            <w:r w:rsidRPr="007F53A6">
              <w:rPr>
                <w:rFonts w:ascii="Arial" w:eastAsia="Calibri" w:hAnsi="Arial" w:cs="Arial"/>
                <w:color w:val="44546A" w:themeColor="text2"/>
                <w:szCs w:val="22"/>
                <w:u w:val="single"/>
              </w:rPr>
              <w:t>prices and other options</w:t>
            </w:r>
            <w:r w:rsidRPr="00AA70ED">
              <w:rPr>
                <w:rFonts w:ascii="Arial" w:eastAsia="Calibri" w:hAnsi="Arial" w:cs="Arial"/>
                <w:szCs w:val="22"/>
              </w:rPr>
              <w:t>.</w:t>
            </w:r>
            <w:r>
              <w:rPr>
                <w:rFonts w:ascii="Arial" w:eastAsia="Calibri" w:hAnsi="Arial" w:cs="Arial"/>
                <w:szCs w:val="22"/>
              </w:rPr>
              <w:t xml:space="preserve"> </w:t>
            </w:r>
          </w:p>
          <w:p w:rsidR="00294855" w:rsidRPr="00AA70ED" w:rsidP="0023143D" w14:paraId="318D1ED8" w14:textId="77777777">
            <w:pPr>
              <w:pStyle w:val="Header"/>
              <w:spacing w:before="60" w:after="60"/>
              <w:ind w:left="-14"/>
              <w:rPr>
                <w:rFonts w:ascii="Arial" w:eastAsia="Calibri" w:hAnsi="Arial" w:cs="Arial"/>
                <w:szCs w:val="22"/>
              </w:rPr>
            </w:pPr>
            <w:r w:rsidRPr="006035EE">
              <w:rPr>
                <w:rFonts w:ascii="Arial" w:eastAsia="Meiryo UI" w:hAnsi="Arial" w:cs="Arial"/>
                <w:color w:val="FF0000"/>
                <w:szCs w:val="22"/>
              </w:rPr>
              <w:t>[</w:t>
            </w:r>
            <w:r w:rsidRPr="006035EE">
              <w:rPr>
                <w:rFonts w:ascii="Arial" w:eastAsia="Times New Roman" w:hAnsi="Arial" w:cs="Arial"/>
                <w:i/>
                <w:color w:val="FF0000"/>
                <w:szCs w:val="22"/>
              </w:rPr>
              <w:t>at underlined language</w:t>
            </w:r>
            <w:r w:rsidRPr="006035EE">
              <w:rPr>
                <w:rFonts w:ascii="Arial" w:eastAsia="Meiryo UI" w:hAnsi="Arial" w:cs="Arial"/>
                <w:i/>
                <w:color w:val="FF0000"/>
                <w:szCs w:val="22"/>
              </w:rPr>
              <w:t xml:space="preserve"> provide a link to prices and other options for customers who wish to obtain a device from the provider</w:t>
            </w:r>
            <w:r w:rsidRPr="006035EE">
              <w:rPr>
                <w:rFonts w:ascii="Arial" w:eastAsia="Meiryo UI" w:hAnsi="Arial" w:cs="Arial"/>
                <w:color w:val="FF0000"/>
                <w:szCs w:val="22"/>
              </w:rPr>
              <w:t>]</w:t>
            </w:r>
          </w:p>
        </w:tc>
        <w:tc>
          <w:tcPr>
            <w:tcW w:w="270" w:type="dxa"/>
            <w:tcBorders>
              <w:top w:val="nil"/>
              <w:bottom w:val="nil"/>
              <w:right w:val="single" w:sz="24" w:space="0" w:color="auto"/>
            </w:tcBorders>
          </w:tcPr>
          <w:p w:rsidR="00294855" w:rsidRPr="004E0F36" w:rsidP="0023143D" w14:paraId="0DE5061C" w14:textId="77777777">
            <w:pPr>
              <w:pStyle w:val="Header"/>
              <w:spacing w:after="120"/>
              <w:rPr>
                <w:rFonts w:ascii="Arial" w:eastAsia="Meiryo UI" w:hAnsi="Arial" w:cs="Arial"/>
                <w:b w:val="0"/>
                <w:szCs w:val="22"/>
              </w:rPr>
            </w:pPr>
          </w:p>
        </w:tc>
      </w:tr>
      <w:tr w14:paraId="4C697D3B" w14:textId="77777777" w:rsidTr="0023143D">
        <w:tblPrEx>
          <w:tblW w:w="10950" w:type="dxa"/>
          <w:tblInd w:w="-570" w:type="dxa"/>
          <w:tblLayout w:type="fixed"/>
          <w:tblLook w:val="04A0"/>
        </w:tblPrEx>
        <w:trPr>
          <w:trHeight w:val="129"/>
        </w:trPr>
        <w:tc>
          <w:tcPr>
            <w:tcW w:w="236" w:type="dxa"/>
            <w:tcBorders>
              <w:top w:val="nil"/>
              <w:left w:val="single" w:sz="24" w:space="0" w:color="auto"/>
              <w:bottom w:val="nil"/>
            </w:tcBorders>
          </w:tcPr>
          <w:p w:rsidR="00294855" w:rsidRPr="008B5C5D" w:rsidP="0023143D" w14:paraId="6B331137" w14:textId="77777777">
            <w:pPr>
              <w:pStyle w:val="Header"/>
              <w:spacing w:after="120"/>
              <w:rPr>
                <w:rFonts w:ascii="Arial" w:eastAsia="Meiryo UI" w:hAnsi="Arial" w:cs="Arial"/>
                <w:b w:val="0"/>
                <w:szCs w:val="22"/>
              </w:rPr>
            </w:pPr>
          </w:p>
        </w:tc>
        <w:tc>
          <w:tcPr>
            <w:tcW w:w="10444" w:type="dxa"/>
            <w:gridSpan w:val="11"/>
            <w:tcBorders>
              <w:top w:val="single" w:sz="36" w:space="0" w:color="auto"/>
              <w:bottom w:val="nil"/>
            </w:tcBorders>
            <w:shd w:val="clear" w:color="auto" w:fill="auto"/>
          </w:tcPr>
          <w:p w:rsidR="00294855" w:rsidRPr="008B5C5D" w:rsidP="0023143D" w14:paraId="212859A7" w14:textId="77777777">
            <w:pPr>
              <w:pStyle w:val="Header"/>
              <w:spacing w:before="60" w:after="60"/>
              <w:rPr>
                <w:rFonts w:ascii="Arial" w:eastAsia="Meiryo UI" w:hAnsi="Arial" w:cs="Arial"/>
                <w:b w:val="0"/>
                <w:szCs w:val="22"/>
              </w:rPr>
            </w:pPr>
            <w:r w:rsidRPr="008B5C5D">
              <w:rPr>
                <w:rFonts w:ascii="Arial Black" w:eastAsia="Meiryo UI" w:hAnsi="Arial Black" w:cs="Arial"/>
                <w:color w:val="000000" w:themeColor="text1"/>
                <w:szCs w:val="22"/>
              </w:rPr>
              <w:t xml:space="preserve">Choose Your Data Plan - </w:t>
            </w:r>
            <w:r w:rsidRPr="008B5C5D">
              <w:rPr>
                <w:rFonts w:ascii="Arial" w:eastAsia="Meiryo UI" w:hAnsi="Arial" w:cs="Arial"/>
                <w:color w:val="000000" w:themeColor="text1"/>
                <w:szCs w:val="22"/>
              </w:rPr>
              <w:t>These prices do not include costs for obtaining a device from us.</w:t>
            </w:r>
            <w:r w:rsidRPr="008B5C5D">
              <w:rPr>
                <w:rFonts w:ascii="Arial Black" w:eastAsia="Meiryo UI" w:hAnsi="Arial Black" w:cs="Arial"/>
                <w:color w:val="000000" w:themeColor="text1"/>
                <w:szCs w:val="22"/>
              </w:rPr>
              <w:t xml:space="preserve"> </w:t>
            </w:r>
          </w:p>
        </w:tc>
        <w:tc>
          <w:tcPr>
            <w:tcW w:w="270" w:type="dxa"/>
            <w:tcBorders>
              <w:top w:val="nil"/>
              <w:bottom w:val="nil"/>
              <w:right w:val="single" w:sz="24" w:space="0" w:color="auto"/>
            </w:tcBorders>
          </w:tcPr>
          <w:p w:rsidR="00294855" w:rsidRPr="008B5C5D" w:rsidP="0023143D" w14:paraId="24041A16" w14:textId="77777777">
            <w:pPr>
              <w:pStyle w:val="Header"/>
              <w:spacing w:after="120"/>
              <w:rPr>
                <w:rFonts w:ascii="Arial" w:eastAsia="Meiryo UI" w:hAnsi="Arial" w:cs="Arial"/>
                <w:b w:val="0"/>
                <w:szCs w:val="22"/>
              </w:rPr>
            </w:pPr>
          </w:p>
        </w:tc>
      </w:tr>
      <w:tr w14:paraId="0895296A"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8B5C5D" w:rsidP="0023143D" w14:paraId="05F625F7" w14:textId="77777777">
            <w:pPr>
              <w:pStyle w:val="Header"/>
              <w:spacing w:after="120"/>
              <w:rPr>
                <w:rFonts w:ascii="Arial" w:eastAsia="Meiryo UI" w:hAnsi="Arial" w:cs="Arial"/>
                <w:b w:val="0"/>
                <w:szCs w:val="22"/>
              </w:rPr>
            </w:pPr>
          </w:p>
        </w:tc>
        <w:tc>
          <w:tcPr>
            <w:tcW w:w="2074" w:type="dxa"/>
            <w:gridSpan w:val="2"/>
            <w:tcBorders>
              <w:top w:val="single" w:sz="6" w:space="0" w:color="auto"/>
              <w:bottom w:val="nil"/>
              <w:right w:val="single" w:sz="6" w:space="0" w:color="auto"/>
            </w:tcBorders>
            <w:shd w:val="clear" w:color="auto" w:fill="auto"/>
          </w:tcPr>
          <w:p w:rsidR="00294855" w:rsidRPr="008B5C5D" w:rsidP="0023143D" w14:paraId="4F1B2CED" w14:textId="77777777">
            <w:pPr>
              <w:spacing w:before="60" w:after="60"/>
              <w:ind w:left="-14"/>
              <w:jc w:val="right"/>
              <w:rPr>
                <w:rFonts w:ascii="Arial Black" w:eastAsia="Calibri" w:hAnsi="Arial Black" w:cs="Arial"/>
                <w:szCs w:val="22"/>
              </w:rPr>
            </w:pPr>
          </w:p>
        </w:tc>
        <w:tc>
          <w:tcPr>
            <w:tcW w:w="8370" w:type="dxa"/>
            <w:gridSpan w:val="9"/>
            <w:tcBorders>
              <w:top w:val="single" w:sz="6" w:space="0" w:color="auto"/>
              <w:left w:val="single" w:sz="6" w:space="0" w:color="auto"/>
              <w:bottom w:val="single" w:sz="6" w:space="0" w:color="auto"/>
              <w:right w:val="single" w:sz="6" w:space="0" w:color="auto"/>
            </w:tcBorders>
            <w:shd w:val="clear" w:color="auto" w:fill="auto"/>
          </w:tcPr>
          <w:p w:rsidR="00294855" w:rsidRPr="00461BF9" w:rsidP="0023143D" w14:paraId="609762C7" w14:textId="77777777">
            <w:pPr>
              <w:spacing w:before="60" w:after="60"/>
              <w:ind w:left="-14"/>
              <w:jc w:val="center"/>
              <w:rPr>
                <w:rFonts w:ascii="Arial" w:eastAsia="Calibri" w:hAnsi="Arial" w:cs="Arial"/>
                <w:szCs w:val="22"/>
              </w:rPr>
            </w:pPr>
            <w:r>
              <w:rPr>
                <w:rFonts w:ascii="Arial" w:eastAsia="Calibri" w:hAnsi="Arial" w:cs="Arial"/>
                <w:szCs w:val="22"/>
              </w:rPr>
              <w:t xml:space="preserve">High Speed </w:t>
            </w:r>
            <w:r w:rsidRPr="00461BF9">
              <w:rPr>
                <w:rFonts w:ascii="Arial" w:eastAsia="Calibri" w:hAnsi="Arial" w:cs="Arial"/>
                <w:szCs w:val="22"/>
              </w:rPr>
              <w:t>Data allowance per month</w:t>
            </w:r>
          </w:p>
        </w:tc>
        <w:tc>
          <w:tcPr>
            <w:tcW w:w="270" w:type="dxa"/>
            <w:tcBorders>
              <w:top w:val="nil"/>
              <w:left w:val="single" w:sz="6" w:space="0" w:color="auto"/>
              <w:bottom w:val="nil"/>
              <w:right w:val="single" w:sz="24" w:space="0" w:color="auto"/>
            </w:tcBorders>
          </w:tcPr>
          <w:p w:rsidR="00294855" w:rsidRPr="008B5C5D" w:rsidP="0023143D" w14:paraId="2AB54E9A" w14:textId="77777777">
            <w:pPr>
              <w:pStyle w:val="Header"/>
              <w:spacing w:after="120"/>
              <w:rPr>
                <w:rFonts w:ascii="Arial" w:eastAsia="Meiryo UI" w:hAnsi="Arial" w:cs="Arial"/>
                <w:b w:val="0"/>
                <w:szCs w:val="22"/>
              </w:rPr>
            </w:pPr>
          </w:p>
        </w:tc>
      </w:tr>
      <w:tr w14:paraId="0A871B15"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8B5C5D" w:rsidP="0023143D" w14:paraId="5D627536" w14:textId="77777777">
            <w:pPr>
              <w:pStyle w:val="Header"/>
              <w:spacing w:after="120"/>
              <w:rPr>
                <w:rFonts w:ascii="Arial" w:eastAsia="Meiryo UI" w:hAnsi="Arial" w:cs="Arial"/>
                <w:b w:val="0"/>
                <w:szCs w:val="22"/>
              </w:rPr>
            </w:pPr>
          </w:p>
        </w:tc>
        <w:tc>
          <w:tcPr>
            <w:tcW w:w="2074" w:type="dxa"/>
            <w:gridSpan w:val="2"/>
            <w:tcBorders>
              <w:top w:val="nil"/>
              <w:bottom w:val="single" w:sz="6" w:space="0" w:color="auto"/>
              <w:right w:val="single" w:sz="6" w:space="0" w:color="auto"/>
            </w:tcBorders>
            <w:shd w:val="clear" w:color="auto" w:fill="auto"/>
          </w:tcPr>
          <w:p w:rsidR="00294855" w:rsidRPr="008B5C5D" w:rsidP="0023143D" w14:paraId="2537912E" w14:textId="77777777">
            <w:pPr>
              <w:spacing w:before="60" w:after="60"/>
              <w:ind w:left="-14"/>
              <w:jc w:val="right"/>
              <w:rPr>
                <w:rFonts w:ascii="Arial Black" w:eastAsia="Calibri" w:hAnsi="Arial Black" w:cs="Arial"/>
                <w:szCs w:val="22"/>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294855" w:rsidRPr="00A24434" w:rsidP="0023143D" w14:paraId="5FC94F27" w14:textId="77777777">
            <w:pPr>
              <w:spacing w:before="60" w:after="60"/>
              <w:ind w:left="-14"/>
              <w:jc w:val="center"/>
              <w:rPr>
                <w:rFonts w:ascii="Arial" w:eastAsia="Calibri" w:hAnsi="Arial" w:cs="Arial"/>
                <w:i/>
                <w:color w:val="FF0000"/>
                <w:szCs w:val="22"/>
              </w:rPr>
            </w:pPr>
            <w:r w:rsidRPr="00A24434">
              <w:rPr>
                <w:rFonts w:ascii="Arial" w:hAnsi="Arial" w:cs="Arial"/>
                <w:i/>
                <w:color w:val="FF0000"/>
                <w:szCs w:val="22"/>
              </w:rPr>
              <w:t>[ ]</w:t>
            </w:r>
            <w:r w:rsidRPr="00A24434">
              <w:rPr>
                <w:rFonts w:ascii="Arial" w:eastAsia="Calibri" w:hAnsi="Arial" w:cs="Arial"/>
                <w:i/>
                <w:color w:val="FF0000"/>
                <w:szCs w:val="22"/>
              </w:rPr>
              <w:t>GB</w:t>
            </w:r>
          </w:p>
          <w:p w:rsidR="00294855" w:rsidRPr="00A24434" w:rsidP="0023143D" w14:paraId="48EE62E9" w14:textId="77777777">
            <w:pPr>
              <w:spacing w:before="60" w:after="60"/>
              <w:ind w:left="-14"/>
              <w:jc w:val="center"/>
              <w:rPr>
                <w:rFonts w:ascii="Arial" w:eastAsia="Calibri" w:hAnsi="Arial" w:cs="Arial"/>
                <w:i/>
                <w:color w:val="FF0000"/>
                <w:szCs w:val="22"/>
              </w:rPr>
            </w:pPr>
            <w:r w:rsidRPr="00A24434">
              <w:rPr>
                <w:rFonts w:ascii="Arial" w:hAnsi="Arial" w:cs="Arial"/>
                <w:i/>
                <w:color w:val="FF0000"/>
                <w:szCs w:val="22"/>
              </w:rPr>
              <w:t xml:space="preserve">[identify the monthly </w:t>
            </w:r>
            <w:r>
              <w:rPr>
                <w:rFonts w:ascii="Arial" w:hAnsi="Arial" w:cs="Arial"/>
                <w:i/>
                <w:color w:val="FF0000"/>
                <w:szCs w:val="22"/>
              </w:rPr>
              <w:t xml:space="preserve">high speed </w:t>
            </w:r>
            <w:r w:rsidRPr="00A24434">
              <w:rPr>
                <w:rFonts w:ascii="Arial" w:hAnsi="Arial" w:cs="Arial"/>
                <w:i/>
                <w:color w:val="FF0000"/>
                <w:szCs w:val="22"/>
              </w:rPr>
              <w:t>data allowance associated with one of your most popular plans]</w:t>
            </w:r>
          </w:p>
        </w:tc>
        <w:tc>
          <w:tcPr>
            <w:tcW w:w="2880" w:type="dxa"/>
            <w:gridSpan w:val="6"/>
            <w:tcBorders>
              <w:top w:val="single" w:sz="6" w:space="0" w:color="auto"/>
              <w:left w:val="single" w:sz="6" w:space="0" w:color="auto"/>
              <w:bottom w:val="single" w:sz="6" w:space="0" w:color="auto"/>
              <w:right w:val="single" w:sz="6" w:space="0" w:color="auto"/>
            </w:tcBorders>
            <w:shd w:val="clear" w:color="auto" w:fill="auto"/>
          </w:tcPr>
          <w:p w:rsidR="00294855" w:rsidRPr="00A24434" w:rsidP="0023143D" w14:paraId="7C555304" w14:textId="77777777">
            <w:pPr>
              <w:spacing w:before="60" w:after="60"/>
              <w:ind w:left="-14"/>
              <w:jc w:val="center"/>
              <w:rPr>
                <w:rFonts w:ascii="Arial" w:eastAsia="Calibri" w:hAnsi="Arial" w:cs="Arial"/>
                <w:i/>
                <w:color w:val="FF0000"/>
                <w:szCs w:val="22"/>
              </w:rPr>
            </w:pPr>
            <w:r w:rsidRPr="00A24434">
              <w:rPr>
                <w:rFonts w:ascii="Arial" w:hAnsi="Arial" w:cs="Arial"/>
                <w:i/>
                <w:color w:val="FF0000"/>
                <w:szCs w:val="22"/>
              </w:rPr>
              <w:t>[ ]</w:t>
            </w:r>
            <w:r w:rsidRPr="00A24434">
              <w:rPr>
                <w:rFonts w:ascii="Arial" w:eastAsia="Calibri" w:hAnsi="Arial" w:cs="Arial"/>
                <w:i/>
                <w:color w:val="FF0000"/>
                <w:szCs w:val="22"/>
              </w:rPr>
              <w:t>GB</w:t>
            </w:r>
          </w:p>
          <w:p w:rsidR="00294855" w:rsidRPr="00A24434" w:rsidP="0023143D" w14:paraId="705EC081" w14:textId="77777777">
            <w:pPr>
              <w:spacing w:before="60" w:after="60"/>
              <w:ind w:left="-14"/>
              <w:jc w:val="center"/>
              <w:rPr>
                <w:rFonts w:ascii="Arial" w:eastAsia="Calibri" w:hAnsi="Arial" w:cs="Arial"/>
                <w:i/>
                <w:color w:val="FF0000"/>
                <w:szCs w:val="22"/>
              </w:rPr>
            </w:pPr>
            <w:r w:rsidRPr="00A24434">
              <w:rPr>
                <w:rFonts w:ascii="Arial" w:hAnsi="Arial" w:cs="Arial"/>
                <w:i/>
                <w:color w:val="FF0000"/>
                <w:szCs w:val="22"/>
              </w:rPr>
              <w:t xml:space="preserve">[identify the monthly </w:t>
            </w:r>
            <w:r>
              <w:rPr>
                <w:rFonts w:ascii="Arial" w:hAnsi="Arial" w:cs="Arial"/>
                <w:i/>
                <w:color w:val="FF0000"/>
                <w:szCs w:val="22"/>
              </w:rPr>
              <w:t xml:space="preserve">high speed </w:t>
            </w:r>
            <w:r w:rsidRPr="00A24434">
              <w:rPr>
                <w:rFonts w:ascii="Arial" w:hAnsi="Arial" w:cs="Arial"/>
                <w:i/>
                <w:color w:val="FF0000"/>
                <w:szCs w:val="22"/>
              </w:rPr>
              <w:t>data allowance associated with one of your most popular plans]</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294855" w:rsidRPr="00A24434" w:rsidP="0023143D" w14:paraId="7E0BFF09" w14:textId="77777777">
            <w:pPr>
              <w:spacing w:before="60" w:after="60"/>
              <w:ind w:left="-14"/>
              <w:jc w:val="center"/>
              <w:rPr>
                <w:rFonts w:ascii="Arial" w:hAnsi="Arial" w:cs="Arial"/>
                <w:i/>
                <w:color w:val="FF0000"/>
                <w:szCs w:val="22"/>
              </w:rPr>
            </w:pPr>
            <w:r w:rsidRPr="00A24434">
              <w:rPr>
                <w:rFonts w:ascii="Arial" w:hAnsi="Arial" w:cs="Arial"/>
                <w:i/>
                <w:color w:val="FF0000"/>
                <w:szCs w:val="22"/>
              </w:rPr>
              <w:t>[ ]GB</w:t>
            </w:r>
          </w:p>
          <w:p w:rsidR="00294855" w:rsidRPr="00A24434" w:rsidP="0023143D" w14:paraId="2D43E4F2" w14:textId="77777777">
            <w:pPr>
              <w:spacing w:before="60" w:after="60"/>
              <w:ind w:left="-14"/>
              <w:jc w:val="center"/>
              <w:rPr>
                <w:rFonts w:ascii="Arial" w:eastAsia="Calibri" w:hAnsi="Arial" w:cs="Arial"/>
                <w:i/>
                <w:color w:val="FF0000"/>
                <w:szCs w:val="22"/>
              </w:rPr>
            </w:pPr>
            <w:r w:rsidRPr="00A24434">
              <w:rPr>
                <w:rFonts w:ascii="Arial" w:hAnsi="Arial" w:cs="Arial"/>
                <w:i/>
                <w:color w:val="FF0000"/>
                <w:szCs w:val="22"/>
              </w:rPr>
              <w:t xml:space="preserve">[identify the monthly </w:t>
            </w:r>
            <w:r>
              <w:rPr>
                <w:rFonts w:ascii="Arial" w:hAnsi="Arial" w:cs="Arial"/>
                <w:i/>
                <w:color w:val="FF0000"/>
                <w:szCs w:val="22"/>
              </w:rPr>
              <w:t xml:space="preserve">high speed </w:t>
            </w:r>
            <w:r w:rsidRPr="00A24434">
              <w:rPr>
                <w:rFonts w:ascii="Arial" w:hAnsi="Arial" w:cs="Arial"/>
                <w:i/>
                <w:color w:val="FF0000"/>
                <w:szCs w:val="22"/>
              </w:rPr>
              <w:t>data allowance associated with one of your most popular plans]</w:t>
            </w:r>
          </w:p>
        </w:tc>
        <w:tc>
          <w:tcPr>
            <w:tcW w:w="270" w:type="dxa"/>
            <w:tcBorders>
              <w:top w:val="nil"/>
              <w:left w:val="single" w:sz="6" w:space="0" w:color="auto"/>
              <w:bottom w:val="nil"/>
              <w:right w:val="single" w:sz="24" w:space="0" w:color="auto"/>
            </w:tcBorders>
          </w:tcPr>
          <w:p w:rsidR="00294855" w:rsidRPr="008B5C5D" w:rsidP="0023143D" w14:paraId="20B2E850" w14:textId="77777777">
            <w:pPr>
              <w:pStyle w:val="Header"/>
              <w:spacing w:after="120"/>
              <w:jc w:val="center"/>
              <w:rPr>
                <w:rFonts w:ascii="Arial" w:eastAsia="Meiryo UI" w:hAnsi="Arial" w:cs="Arial"/>
                <w:b w:val="0"/>
                <w:szCs w:val="22"/>
              </w:rPr>
            </w:pPr>
          </w:p>
        </w:tc>
      </w:tr>
      <w:tr w14:paraId="2FD1EB79"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8B5C5D" w:rsidP="0023143D" w14:paraId="7C26BC2F" w14:textId="77777777">
            <w:pPr>
              <w:pStyle w:val="Header"/>
              <w:spacing w:after="120"/>
              <w:rPr>
                <w:rFonts w:ascii="Arial" w:eastAsia="Meiryo UI" w:hAnsi="Arial" w:cs="Arial"/>
                <w:b w:val="0"/>
                <w:szCs w:val="22"/>
              </w:rPr>
            </w:pPr>
          </w:p>
        </w:tc>
        <w:tc>
          <w:tcPr>
            <w:tcW w:w="2074" w:type="dxa"/>
            <w:gridSpan w:val="2"/>
            <w:tcBorders>
              <w:top w:val="single" w:sz="6" w:space="0" w:color="auto"/>
              <w:bottom w:val="nil"/>
              <w:right w:val="single" w:sz="6" w:space="0" w:color="auto"/>
            </w:tcBorders>
            <w:shd w:val="clear" w:color="auto" w:fill="auto"/>
          </w:tcPr>
          <w:p w:rsidR="00294855" w:rsidRPr="008B5C5D" w:rsidP="0023143D" w14:paraId="750E42D1" w14:textId="77777777">
            <w:pPr>
              <w:spacing w:before="60" w:after="60"/>
              <w:ind w:left="-14"/>
              <w:rPr>
                <w:rFonts w:ascii="Arial" w:eastAsia="Calibri" w:hAnsi="Arial" w:cs="Arial"/>
                <w:szCs w:val="22"/>
              </w:rPr>
            </w:pPr>
            <w:r>
              <w:rPr>
                <w:rFonts w:ascii="Arial" w:eastAsia="Calibri" w:hAnsi="Arial" w:cs="Arial"/>
                <w:szCs w:val="22"/>
              </w:rPr>
              <w:t>Monthly c</w:t>
            </w:r>
            <w:r w:rsidRPr="008B5C5D">
              <w:rPr>
                <w:rFonts w:ascii="Arial" w:eastAsia="Calibri" w:hAnsi="Arial" w:cs="Arial"/>
                <w:szCs w:val="22"/>
              </w:rPr>
              <w:t>harge</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294855" w:rsidRPr="00A24434" w:rsidP="0023143D" w14:paraId="3F2653EC" w14:textId="77777777">
            <w:pPr>
              <w:spacing w:before="60" w:after="60"/>
              <w:ind w:left="-14"/>
              <w:jc w:val="center"/>
              <w:rPr>
                <w:rFonts w:ascii="Arial" w:hAnsi="Arial" w:cs="Arial"/>
                <w:i/>
                <w:color w:val="FF0000"/>
                <w:szCs w:val="22"/>
              </w:rPr>
            </w:pPr>
            <w:r w:rsidRPr="00A24434">
              <w:rPr>
                <w:rFonts w:ascii="Arial Black" w:eastAsia="Calibri" w:hAnsi="Arial Black" w:cs="Arial"/>
                <w:i/>
                <w:color w:val="FF0000"/>
                <w:szCs w:val="22"/>
              </w:rPr>
              <w:t>$</w:t>
            </w:r>
            <w:r w:rsidRPr="00A24434">
              <w:rPr>
                <w:rFonts w:ascii="Arial" w:hAnsi="Arial" w:cs="Arial"/>
                <w:i/>
                <w:color w:val="FF0000"/>
                <w:szCs w:val="22"/>
              </w:rPr>
              <w:t>[ ]</w:t>
            </w:r>
          </w:p>
          <w:p w:rsidR="00294855" w:rsidRPr="00A24434" w:rsidP="0023143D" w14:paraId="3C6E5249" w14:textId="77777777">
            <w:pPr>
              <w:spacing w:before="60" w:after="60"/>
              <w:ind w:left="-14"/>
              <w:jc w:val="center"/>
              <w:rPr>
                <w:rFonts w:ascii="Arial Black" w:eastAsia="Calibri" w:hAnsi="Arial Black" w:cs="Arial"/>
                <w:i/>
                <w:color w:val="FF0000"/>
                <w:szCs w:val="22"/>
              </w:rPr>
            </w:pPr>
            <w:r w:rsidRPr="00A24434">
              <w:rPr>
                <w:rFonts w:ascii="Arial" w:eastAsia="Calibri" w:hAnsi="Arial" w:cs="Arial"/>
                <w:i/>
                <w:color w:val="FF0000"/>
                <w:szCs w:val="22"/>
              </w:rPr>
              <w:t>[provide non-promotional price of the plan with this data allowance on a month-to-month basis]</w:t>
            </w:r>
          </w:p>
        </w:tc>
        <w:tc>
          <w:tcPr>
            <w:tcW w:w="2880" w:type="dxa"/>
            <w:gridSpan w:val="6"/>
            <w:tcBorders>
              <w:top w:val="single" w:sz="6" w:space="0" w:color="auto"/>
              <w:left w:val="single" w:sz="6" w:space="0" w:color="auto"/>
              <w:bottom w:val="single" w:sz="6" w:space="0" w:color="auto"/>
              <w:right w:val="single" w:sz="6" w:space="0" w:color="auto"/>
            </w:tcBorders>
            <w:shd w:val="clear" w:color="auto" w:fill="auto"/>
          </w:tcPr>
          <w:p w:rsidR="00294855" w:rsidRPr="00A24434" w:rsidP="0023143D" w14:paraId="6F579448" w14:textId="77777777">
            <w:pPr>
              <w:spacing w:before="60" w:after="60"/>
              <w:ind w:left="-14"/>
              <w:jc w:val="center"/>
              <w:rPr>
                <w:rFonts w:ascii="Arial" w:hAnsi="Arial" w:cs="Arial"/>
                <w:i/>
                <w:color w:val="FF0000"/>
                <w:szCs w:val="22"/>
              </w:rPr>
            </w:pPr>
            <w:r w:rsidRPr="00A24434">
              <w:rPr>
                <w:rFonts w:ascii="Arial Black" w:eastAsia="Calibri" w:hAnsi="Arial Black" w:cs="Arial"/>
                <w:i/>
                <w:color w:val="FF0000"/>
                <w:szCs w:val="22"/>
              </w:rPr>
              <w:t>$</w:t>
            </w:r>
            <w:r w:rsidRPr="00A24434">
              <w:rPr>
                <w:rFonts w:ascii="Arial" w:hAnsi="Arial" w:cs="Arial"/>
                <w:i/>
                <w:color w:val="FF0000"/>
                <w:szCs w:val="22"/>
              </w:rPr>
              <w:t>[ ]</w:t>
            </w:r>
          </w:p>
          <w:p w:rsidR="00294855" w:rsidRPr="00A24434" w:rsidP="0023143D" w14:paraId="0DE07F3A" w14:textId="77777777">
            <w:pPr>
              <w:spacing w:before="60" w:after="60"/>
              <w:ind w:left="-14"/>
              <w:jc w:val="center"/>
              <w:rPr>
                <w:rFonts w:ascii="Arial Black" w:eastAsia="Calibri" w:hAnsi="Arial Black" w:cs="Arial"/>
                <w:i/>
                <w:color w:val="FF0000"/>
                <w:szCs w:val="22"/>
              </w:rPr>
            </w:pPr>
            <w:r w:rsidRPr="00A24434">
              <w:rPr>
                <w:rFonts w:ascii="Arial" w:hAnsi="Arial" w:cs="Arial"/>
                <w:i/>
                <w:color w:val="FF0000"/>
                <w:szCs w:val="22"/>
              </w:rPr>
              <w:t xml:space="preserve">[provide non-promotional price of the plan </w:t>
            </w:r>
            <w:r w:rsidRPr="00A24434">
              <w:rPr>
                <w:rFonts w:ascii="Arial" w:eastAsia="Calibri" w:hAnsi="Arial" w:cs="Arial"/>
                <w:i/>
                <w:color w:val="FF0000"/>
                <w:szCs w:val="22"/>
              </w:rPr>
              <w:t xml:space="preserve">with this data allowance </w:t>
            </w:r>
            <w:r w:rsidRPr="00A24434">
              <w:rPr>
                <w:rFonts w:ascii="Arial" w:hAnsi="Arial" w:cs="Arial"/>
                <w:i/>
                <w:color w:val="FF0000"/>
                <w:szCs w:val="22"/>
              </w:rPr>
              <w:t>on a month-to-month basis]</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294855" w:rsidRPr="00A24434" w:rsidP="0023143D" w14:paraId="787D8B4A" w14:textId="77777777">
            <w:pPr>
              <w:spacing w:before="60" w:after="60"/>
              <w:ind w:left="-14"/>
              <w:jc w:val="center"/>
              <w:rPr>
                <w:rFonts w:ascii="Arial" w:hAnsi="Arial" w:cs="Arial"/>
                <w:i/>
                <w:color w:val="FF0000"/>
                <w:szCs w:val="22"/>
              </w:rPr>
            </w:pPr>
            <w:r w:rsidRPr="00A24434">
              <w:rPr>
                <w:rFonts w:ascii="Arial Black" w:eastAsia="Calibri" w:hAnsi="Arial Black" w:cs="Arial"/>
                <w:i/>
                <w:color w:val="FF0000"/>
                <w:szCs w:val="22"/>
              </w:rPr>
              <w:t>$</w:t>
            </w:r>
            <w:r w:rsidRPr="00A24434">
              <w:rPr>
                <w:rFonts w:ascii="Arial" w:hAnsi="Arial" w:cs="Arial"/>
                <w:i/>
                <w:color w:val="FF0000"/>
                <w:szCs w:val="22"/>
              </w:rPr>
              <w:t>[ ]</w:t>
            </w:r>
          </w:p>
          <w:p w:rsidR="00294855" w:rsidRPr="00A24434" w:rsidP="0023143D" w14:paraId="03559112" w14:textId="77777777">
            <w:pPr>
              <w:spacing w:before="60" w:after="60"/>
              <w:ind w:left="-14"/>
              <w:jc w:val="center"/>
              <w:rPr>
                <w:rFonts w:ascii="Arial Black" w:eastAsia="Calibri" w:hAnsi="Arial Black" w:cs="Arial"/>
                <w:i/>
                <w:color w:val="FF0000"/>
                <w:szCs w:val="22"/>
              </w:rPr>
            </w:pPr>
            <w:r w:rsidRPr="00A24434">
              <w:rPr>
                <w:rFonts w:ascii="Arial" w:hAnsi="Arial" w:cs="Arial"/>
                <w:i/>
                <w:color w:val="FF0000"/>
                <w:szCs w:val="22"/>
              </w:rPr>
              <w:t xml:space="preserve">[provide non-promotional price of the plan </w:t>
            </w:r>
            <w:r w:rsidRPr="00A24434">
              <w:rPr>
                <w:rFonts w:ascii="Arial" w:eastAsia="Calibri" w:hAnsi="Arial" w:cs="Arial"/>
                <w:i/>
                <w:color w:val="FF0000"/>
                <w:szCs w:val="22"/>
              </w:rPr>
              <w:t xml:space="preserve">with this data allowance </w:t>
            </w:r>
            <w:r w:rsidRPr="00A24434">
              <w:rPr>
                <w:rFonts w:ascii="Arial" w:hAnsi="Arial" w:cs="Arial"/>
                <w:i/>
                <w:color w:val="FF0000"/>
                <w:szCs w:val="22"/>
              </w:rPr>
              <w:t>on a month-to-month basis]</w:t>
            </w:r>
          </w:p>
        </w:tc>
        <w:tc>
          <w:tcPr>
            <w:tcW w:w="270" w:type="dxa"/>
            <w:tcBorders>
              <w:top w:val="nil"/>
              <w:left w:val="single" w:sz="6" w:space="0" w:color="auto"/>
              <w:bottom w:val="nil"/>
              <w:right w:val="single" w:sz="24" w:space="0" w:color="auto"/>
            </w:tcBorders>
          </w:tcPr>
          <w:p w:rsidR="00294855" w:rsidRPr="008B5C5D" w:rsidP="0023143D" w14:paraId="04AB0455" w14:textId="77777777">
            <w:pPr>
              <w:pStyle w:val="Header"/>
              <w:spacing w:after="120"/>
              <w:jc w:val="center"/>
              <w:rPr>
                <w:rFonts w:ascii="Arial" w:eastAsia="Meiryo UI" w:hAnsi="Arial" w:cs="Arial"/>
                <w:b w:val="0"/>
                <w:szCs w:val="22"/>
              </w:rPr>
            </w:pPr>
          </w:p>
        </w:tc>
      </w:tr>
      <w:tr w14:paraId="7BF782F6"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8B5C5D" w:rsidP="0023143D" w14:paraId="23435C72" w14:textId="77777777">
            <w:pPr>
              <w:pStyle w:val="Header"/>
              <w:spacing w:after="120"/>
              <w:rPr>
                <w:rFonts w:ascii="Arial" w:eastAsia="Meiryo UI" w:hAnsi="Arial" w:cs="Arial"/>
                <w:b w:val="0"/>
                <w:szCs w:val="22"/>
              </w:rPr>
            </w:pPr>
          </w:p>
        </w:tc>
        <w:tc>
          <w:tcPr>
            <w:tcW w:w="2074" w:type="dxa"/>
            <w:gridSpan w:val="2"/>
            <w:tcBorders>
              <w:top w:val="single" w:sz="6" w:space="0" w:color="auto"/>
              <w:bottom w:val="nil"/>
              <w:right w:val="single" w:sz="6" w:space="0" w:color="auto"/>
            </w:tcBorders>
            <w:shd w:val="clear" w:color="auto" w:fill="auto"/>
          </w:tcPr>
          <w:p w:rsidR="00294855" w:rsidRPr="008B5C5D" w:rsidP="0023143D" w14:paraId="6A3E52EF" w14:textId="77777777">
            <w:pPr>
              <w:spacing w:before="60" w:after="60"/>
              <w:ind w:left="-14"/>
              <w:rPr>
                <w:rFonts w:ascii="Arial Black" w:eastAsia="Calibri" w:hAnsi="Arial Black" w:cs="Arial"/>
                <w:szCs w:val="22"/>
              </w:rPr>
            </w:pPr>
            <w:r w:rsidRPr="00AA70ED">
              <w:rPr>
                <w:rFonts w:ascii="Arial" w:eastAsia="Calibri" w:hAnsi="Arial" w:cs="Arial"/>
                <w:szCs w:val="22"/>
              </w:rPr>
              <w:t xml:space="preserve">When you exceed </w:t>
            </w:r>
            <w:r>
              <w:rPr>
                <w:rFonts w:ascii="Arial" w:eastAsia="Calibri" w:hAnsi="Arial" w:cs="Arial"/>
                <w:szCs w:val="22"/>
              </w:rPr>
              <w:t xml:space="preserve">the </w:t>
            </w:r>
            <w:r w:rsidRPr="00AA70ED">
              <w:rPr>
                <w:rFonts w:ascii="Arial" w:eastAsia="Calibri" w:hAnsi="Arial" w:cs="Arial"/>
                <w:szCs w:val="22"/>
              </w:rPr>
              <w:t>data allowance</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tcPr>
          <w:p w:rsidR="00294855" w:rsidRPr="00A24434" w:rsidP="0023143D" w14:paraId="74008CA3" w14:textId="77777777">
            <w:pPr>
              <w:spacing w:before="60" w:after="60"/>
              <w:ind w:left="-14"/>
              <w:jc w:val="center"/>
              <w:rPr>
                <w:rFonts w:ascii="Arial" w:hAnsi="Arial" w:cs="Arial"/>
                <w:i/>
                <w:color w:val="FF0000"/>
                <w:szCs w:val="22"/>
              </w:rPr>
            </w:pPr>
            <w:r w:rsidRPr="00A24434">
              <w:rPr>
                <w:rFonts w:ascii="Arial" w:hAnsi="Arial" w:cs="Arial"/>
                <w:i/>
                <w:color w:val="FF0000"/>
                <w:szCs w:val="22"/>
              </w:rPr>
              <w:t>[ ]</w:t>
            </w:r>
          </w:p>
          <w:p w:rsidR="00294855" w:rsidRPr="00A24434" w:rsidP="0023143D" w14:paraId="5420460B" w14:textId="77777777">
            <w:pPr>
              <w:spacing w:before="60" w:after="60"/>
              <w:ind w:left="-14"/>
              <w:jc w:val="center"/>
              <w:rPr>
                <w:rFonts w:ascii="Arial Black" w:eastAsia="Calibri" w:hAnsi="Arial Black" w:cs="Arial"/>
                <w:i/>
                <w:color w:val="FF0000"/>
                <w:szCs w:val="22"/>
              </w:rPr>
            </w:pPr>
            <w:r w:rsidRPr="00A24434">
              <w:rPr>
                <w:rFonts w:ascii="Arial" w:eastAsia="Times New Roman" w:hAnsi="Arial" w:cs="Arial"/>
                <w:i/>
                <w:color w:val="FF0000"/>
                <w:szCs w:val="22"/>
              </w:rPr>
              <w:t>[if applicable, identify additional charges or other outcomes if the monthly data allowance for this plan is exceeded]</w:t>
            </w:r>
          </w:p>
        </w:tc>
        <w:tc>
          <w:tcPr>
            <w:tcW w:w="2880" w:type="dxa"/>
            <w:gridSpan w:val="6"/>
            <w:tcBorders>
              <w:top w:val="single" w:sz="6" w:space="0" w:color="auto"/>
              <w:left w:val="single" w:sz="6" w:space="0" w:color="auto"/>
              <w:bottom w:val="single" w:sz="6" w:space="0" w:color="auto"/>
              <w:right w:val="single" w:sz="6" w:space="0" w:color="auto"/>
            </w:tcBorders>
            <w:shd w:val="clear" w:color="auto" w:fill="auto"/>
          </w:tcPr>
          <w:p w:rsidR="00294855" w:rsidRPr="00A24434" w:rsidP="0023143D" w14:paraId="752C0582" w14:textId="77777777">
            <w:pPr>
              <w:spacing w:before="60" w:after="60"/>
              <w:ind w:left="-14"/>
              <w:jc w:val="center"/>
              <w:rPr>
                <w:rFonts w:ascii="Arial" w:hAnsi="Arial" w:cs="Arial"/>
                <w:i/>
                <w:color w:val="FF0000"/>
                <w:szCs w:val="22"/>
              </w:rPr>
            </w:pPr>
            <w:r w:rsidRPr="00A24434">
              <w:rPr>
                <w:rFonts w:ascii="Arial" w:hAnsi="Arial" w:cs="Arial"/>
                <w:i/>
                <w:color w:val="FF0000"/>
                <w:szCs w:val="22"/>
              </w:rPr>
              <w:t>[ ]</w:t>
            </w:r>
          </w:p>
          <w:p w:rsidR="00294855" w:rsidRPr="00A24434" w:rsidP="0023143D" w14:paraId="34DC538C" w14:textId="77777777">
            <w:pPr>
              <w:spacing w:before="60" w:after="60"/>
              <w:ind w:left="-14"/>
              <w:jc w:val="center"/>
              <w:rPr>
                <w:rFonts w:ascii="Arial Black" w:eastAsia="Calibri" w:hAnsi="Arial Black" w:cs="Arial"/>
                <w:i/>
                <w:color w:val="FF0000"/>
                <w:szCs w:val="22"/>
              </w:rPr>
            </w:pPr>
            <w:r w:rsidRPr="00A24434">
              <w:rPr>
                <w:rFonts w:ascii="Arial" w:eastAsia="Times New Roman" w:hAnsi="Arial" w:cs="Arial"/>
                <w:i/>
                <w:color w:val="FF0000"/>
                <w:szCs w:val="22"/>
              </w:rPr>
              <w:t>[if applicable, identify additional charges or other outcomes if the monthly data allowance for this plan is exceeded]</w:t>
            </w:r>
          </w:p>
        </w:tc>
        <w:tc>
          <w:tcPr>
            <w:tcW w:w="2610" w:type="dxa"/>
            <w:tcBorders>
              <w:top w:val="single" w:sz="6" w:space="0" w:color="auto"/>
              <w:left w:val="single" w:sz="6" w:space="0" w:color="auto"/>
              <w:bottom w:val="single" w:sz="6" w:space="0" w:color="auto"/>
              <w:right w:val="single" w:sz="6" w:space="0" w:color="auto"/>
            </w:tcBorders>
            <w:shd w:val="clear" w:color="auto" w:fill="auto"/>
          </w:tcPr>
          <w:p w:rsidR="00294855" w:rsidRPr="00A24434" w:rsidP="0023143D" w14:paraId="037DFD80" w14:textId="77777777">
            <w:pPr>
              <w:spacing w:before="60" w:after="60"/>
              <w:ind w:left="-14"/>
              <w:jc w:val="center"/>
              <w:rPr>
                <w:rFonts w:ascii="Arial" w:hAnsi="Arial" w:cs="Arial"/>
                <w:i/>
                <w:color w:val="FF0000"/>
                <w:szCs w:val="22"/>
              </w:rPr>
            </w:pPr>
            <w:r w:rsidRPr="00A24434">
              <w:rPr>
                <w:rFonts w:ascii="Arial" w:hAnsi="Arial" w:cs="Arial"/>
                <w:i/>
                <w:color w:val="FF0000"/>
                <w:szCs w:val="22"/>
              </w:rPr>
              <w:t>[ ]</w:t>
            </w:r>
          </w:p>
          <w:p w:rsidR="00294855" w:rsidRPr="00A24434" w:rsidP="0023143D" w14:paraId="1372D099" w14:textId="77777777">
            <w:pPr>
              <w:spacing w:before="60" w:after="60"/>
              <w:ind w:left="-14"/>
              <w:jc w:val="center"/>
              <w:rPr>
                <w:rFonts w:ascii="Arial Black" w:eastAsia="Calibri" w:hAnsi="Arial Black" w:cs="Arial"/>
                <w:i/>
                <w:color w:val="FF0000"/>
                <w:szCs w:val="22"/>
              </w:rPr>
            </w:pPr>
            <w:r w:rsidRPr="00A24434">
              <w:rPr>
                <w:rFonts w:ascii="Arial" w:eastAsia="Times New Roman" w:hAnsi="Arial" w:cs="Arial"/>
                <w:i/>
                <w:color w:val="FF0000"/>
                <w:szCs w:val="22"/>
              </w:rPr>
              <w:t>[if applicable, identify additional charges or other outcomes if the monthly data allowance for this plan is exceeded]</w:t>
            </w:r>
          </w:p>
        </w:tc>
        <w:tc>
          <w:tcPr>
            <w:tcW w:w="270" w:type="dxa"/>
            <w:tcBorders>
              <w:top w:val="nil"/>
              <w:left w:val="single" w:sz="6" w:space="0" w:color="auto"/>
              <w:bottom w:val="nil"/>
              <w:right w:val="single" w:sz="24" w:space="0" w:color="auto"/>
            </w:tcBorders>
          </w:tcPr>
          <w:p w:rsidR="00294855" w:rsidRPr="008B5C5D" w:rsidP="0023143D" w14:paraId="36B940CB" w14:textId="77777777">
            <w:pPr>
              <w:pStyle w:val="Header"/>
              <w:spacing w:after="120"/>
              <w:jc w:val="center"/>
              <w:rPr>
                <w:rFonts w:ascii="Arial" w:eastAsia="Meiryo UI" w:hAnsi="Arial" w:cs="Arial"/>
                <w:b w:val="0"/>
                <w:szCs w:val="22"/>
              </w:rPr>
            </w:pPr>
          </w:p>
        </w:tc>
      </w:tr>
      <w:tr w14:paraId="66E7B317"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8A3ADE" w:rsidP="0023143D" w14:paraId="616801B0" w14:textId="77777777">
            <w:pPr>
              <w:pStyle w:val="Header"/>
              <w:spacing w:before="60" w:after="60"/>
              <w:rPr>
                <w:rFonts w:ascii="Arial" w:eastAsia="Meiryo UI" w:hAnsi="Arial" w:cs="Arial"/>
                <w:b w:val="0"/>
              </w:rPr>
            </w:pPr>
          </w:p>
        </w:tc>
        <w:tc>
          <w:tcPr>
            <w:tcW w:w="10444" w:type="dxa"/>
            <w:gridSpan w:val="11"/>
            <w:tcBorders>
              <w:top w:val="single" w:sz="6" w:space="0" w:color="auto"/>
              <w:bottom w:val="nil"/>
            </w:tcBorders>
            <w:shd w:val="clear" w:color="auto" w:fill="auto"/>
          </w:tcPr>
          <w:p w:rsidR="00294855" w:rsidP="0023143D" w14:paraId="6E15B38C" w14:textId="77777777">
            <w:pPr>
              <w:spacing w:before="60" w:after="60"/>
              <w:ind w:left="-14"/>
              <w:rPr>
                <w:rFonts w:ascii="Arial" w:hAnsi="Arial" w:cs="Arial"/>
                <w:color w:val="44546A" w:themeColor="text2"/>
                <w:szCs w:val="22"/>
                <w:u w:val="single"/>
              </w:rPr>
            </w:pPr>
            <w:r w:rsidRPr="00461BF9">
              <w:rPr>
                <w:rFonts w:ascii="Arial" w:hAnsi="Arial" w:cs="Arial"/>
                <w:szCs w:val="22"/>
              </w:rPr>
              <w:t xml:space="preserve">Learn more about </w:t>
            </w:r>
            <w:r w:rsidRPr="00DE1BF4">
              <w:rPr>
                <w:rFonts w:ascii="Arial" w:hAnsi="Arial" w:cs="Arial"/>
                <w:color w:val="44546A" w:themeColor="text2"/>
                <w:szCs w:val="22"/>
                <w:u w:val="single"/>
              </w:rPr>
              <w:t>other included services/features.</w:t>
            </w:r>
          </w:p>
          <w:p w:rsidR="00294855" w:rsidRPr="00461BF9" w:rsidP="0023143D" w14:paraId="5195F04E" w14:textId="77777777">
            <w:pPr>
              <w:spacing w:before="60" w:after="60"/>
              <w:ind w:left="-14"/>
              <w:rPr>
                <w:rFonts w:ascii="Arial" w:hAnsi="Arial" w:cs="Arial"/>
                <w:szCs w:val="22"/>
              </w:rPr>
            </w:pPr>
            <w:r w:rsidRPr="00106FC7">
              <w:rPr>
                <w:rFonts w:ascii="Arial" w:hAnsi="Arial" w:cs="Arial"/>
                <w:i/>
                <w:color w:val="FF0000"/>
                <w:szCs w:val="22"/>
              </w:rPr>
              <w:t xml:space="preserve">[if applicable, </w:t>
            </w:r>
            <w:r w:rsidRPr="00106FC7">
              <w:rPr>
                <w:rFonts w:ascii="Arial" w:eastAsia="Times New Roman" w:hAnsi="Arial" w:cs="Arial"/>
                <w:i/>
                <w:color w:val="FF0000"/>
                <w:szCs w:val="22"/>
              </w:rPr>
              <w:t>at underlined language</w:t>
            </w:r>
            <w:r w:rsidRPr="00106FC7">
              <w:rPr>
                <w:rFonts w:ascii="Arial" w:hAnsi="Arial" w:cs="Arial"/>
                <w:i/>
                <w:color w:val="FF0000"/>
                <w:szCs w:val="22"/>
              </w:rPr>
              <w:t xml:space="preserve"> provide </w:t>
            </w:r>
            <w:r>
              <w:rPr>
                <w:rFonts w:ascii="Arial" w:hAnsi="Arial" w:cs="Arial"/>
                <w:i/>
                <w:color w:val="FF0000"/>
                <w:szCs w:val="22"/>
              </w:rPr>
              <w:t xml:space="preserve">a </w:t>
            </w:r>
            <w:r w:rsidRPr="00106FC7">
              <w:rPr>
                <w:rFonts w:ascii="Arial" w:hAnsi="Arial" w:cs="Arial"/>
                <w:i/>
                <w:color w:val="FF0000"/>
                <w:szCs w:val="22"/>
              </w:rPr>
              <w:t>link to description of other</w:t>
            </w:r>
            <w:r>
              <w:rPr>
                <w:rFonts w:ascii="Arial" w:hAnsi="Arial" w:cs="Arial"/>
                <w:i/>
                <w:color w:val="FF0000"/>
                <w:szCs w:val="22"/>
              </w:rPr>
              <w:t xml:space="preserve"> included services and features </w:t>
            </w:r>
            <w:r w:rsidRPr="00106FC7">
              <w:rPr>
                <w:rFonts w:ascii="Arial" w:hAnsi="Arial" w:cs="Arial"/>
                <w:i/>
                <w:color w:val="FF0000"/>
                <w:szCs w:val="22"/>
              </w:rPr>
              <w:t>such as voice and text or tethering and hot spots.]</w:t>
            </w:r>
          </w:p>
        </w:tc>
        <w:tc>
          <w:tcPr>
            <w:tcW w:w="270" w:type="dxa"/>
            <w:tcBorders>
              <w:top w:val="nil"/>
              <w:bottom w:val="nil"/>
              <w:right w:val="single" w:sz="24" w:space="0" w:color="auto"/>
            </w:tcBorders>
          </w:tcPr>
          <w:p w:rsidR="00294855" w:rsidRPr="00461BF9" w:rsidP="0023143D" w14:paraId="0030B04A" w14:textId="77777777">
            <w:pPr>
              <w:pStyle w:val="Header"/>
              <w:spacing w:after="120"/>
              <w:rPr>
                <w:rFonts w:ascii="Arial" w:hAnsi="Arial" w:cs="Arial"/>
                <w:szCs w:val="22"/>
              </w:rPr>
            </w:pPr>
          </w:p>
        </w:tc>
      </w:tr>
      <w:tr w14:paraId="5FC3D92E"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8A3ADE" w:rsidP="0023143D" w14:paraId="61CE59A3" w14:textId="77777777">
            <w:pPr>
              <w:pStyle w:val="Header"/>
              <w:spacing w:after="120"/>
              <w:rPr>
                <w:rFonts w:ascii="Arial" w:eastAsia="Meiryo UI" w:hAnsi="Arial" w:cs="Arial"/>
                <w:b w:val="0"/>
              </w:rPr>
            </w:pPr>
          </w:p>
        </w:tc>
        <w:tc>
          <w:tcPr>
            <w:tcW w:w="10444" w:type="dxa"/>
            <w:gridSpan w:val="11"/>
            <w:tcBorders>
              <w:top w:val="single" w:sz="6" w:space="0" w:color="auto"/>
              <w:bottom w:val="nil"/>
            </w:tcBorders>
            <w:shd w:val="clear" w:color="auto" w:fill="auto"/>
          </w:tcPr>
          <w:p w:rsidR="00294855" w:rsidP="0023143D" w14:paraId="4451BA1A" w14:textId="77777777">
            <w:pPr>
              <w:spacing w:before="60" w:after="60"/>
              <w:ind w:left="-14"/>
              <w:rPr>
                <w:rFonts w:ascii="Arial" w:hAnsi="Arial" w:cs="Arial"/>
                <w:szCs w:val="22"/>
              </w:rPr>
            </w:pPr>
            <w:r w:rsidRPr="00461BF9">
              <w:rPr>
                <w:rFonts w:ascii="Arial" w:hAnsi="Arial" w:cs="Arial"/>
                <w:szCs w:val="22"/>
              </w:rPr>
              <w:t xml:space="preserve">Additional pricing options, plans and promotions </w:t>
            </w:r>
            <w:r w:rsidRPr="00857453">
              <w:rPr>
                <w:rFonts w:ascii="Arial" w:hAnsi="Arial" w:cs="Arial"/>
                <w:color w:val="44546A" w:themeColor="text2"/>
                <w:szCs w:val="22"/>
                <w:u w:val="single"/>
              </w:rPr>
              <w:t>can be found here</w:t>
            </w:r>
            <w:r w:rsidRPr="00461BF9">
              <w:rPr>
                <w:rFonts w:ascii="Arial" w:hAnsi="Arial" w:cs="Arial"/>
                <w:szCs w:val="22"/>
              </w:rPr>
              <w:t>.</w:t>
            </w:r>
          </w:p>
          <w:p w:rsidR="00294855" w:rsidRPr="00461BF9" w:rsidP="0023143D" w14:paraId="0E5D42E7" w14:textId="77777777">
            <w:pPr>
              <w:spacing w:before="60" w:after="60"/>
              <w:ind w:left="-14"/>
              <w:rPr>
                <w:rFonts w:ascii="Arial" w:hAnsi="Arial" w:cs="Arial"/>
                <w:szCs w:val="22"/>
              </w:rPr>
            </w:pPr>
            <w:r w:rsidRPr="00106FC7">
              <w:rPr>
                <w:rFonts w:ascii="Arial" w:eastAsia="Times New Roman" w:hAnsi="Arial" w:cs="Arial"/>
                <w:i/>
                <w:color w:val="FF0000"/>
                <w:szCs w:val="22"/>
              </w:rPr>
              <w:t>[at underlined language provide a link to additional mobile broadband offerings, including promotional offers and plans that bundle broadband with other services]</w:t>
            </w:r>
          </w:p>
        </w:tc>
        <w:tc>
          <w:tcPr>
            <w:tcW w:w="270" w:type="dxa"/>
            <w:tcBorders>
              <w:top w:val="nil"/>
              <w:bottom w:val="nil"/>
              <w:right w:val="single" w:sz="24" w:space="0" w:color="auto"/>
            </w:tcBorders>
          </w:tcPr>
          <w:p w:rsidR="00294855" w:rsidRPr="00461BF9" w:rsidP="0023143D" w14:paraId="2ADC4806" w14:textId="77777777">
            <w:pPr>
              <w:pStyle w:val="Header"/>
              <w:spacing w:after="120"/>
              <w:rPr>
                <w:rFonts w:ascii="Arial" w:hAnsi="Arial" w:cs="Arial"/>
                <w:szCs w:val="22"/>
              </w:rPr>
            </w:pPr>
          </w:p>
        </w:tc>
      </w:tr>
      <w:tr w14:paraId="0A51726F"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7552FC" w:rsidP="0023143D" w14:paraId="776FB317" w14:textId="77777777">
            <w:pPr>
              <w:pStyle w:val="Header"/>
              <w:spacing w:after="120"/>
              <w:rPr>
                <w:rFonts w:ascii="Arial" w:eastAsia="Meiryo UI" w:hAnsi="Arial" w:cs="Arial"/>
                <w:b w:val="0"/>
                <w:szCs w:val="22"/>
              </w:rPr>
            </w:pPr>
          </w:p>
        </w:tc>
        <w:tc>
          <w:tcPr>
            <w:tcW w:w="6754" w:type="dxa"/>
            <w:gridSpan w:val="9"/>
            <w:tcBorders>
              <w:top w:val="single" w:sz="6" w:space="0" w:color="auto"/>
              <w:bottom w:val="nil"/>
            </w:tcBorders>
            <w:shd w:val="clear" w:color="auto" w:fill="auto"/>
          </w:tcPr>
          <w:p w:rsidR="00294855" w:rsidP="0023143D" w14:paraId="13368374" w14:textId="77777777">
            <w:pPr>
              <w:spacing w:before="60" w:after="60"/>
              <w:ind w:left="-14"/>
              <w:rPr>
                <w:rFonts w:ascii="Arial" w:hAnsi="Arial" w:cs="Arial"/>
                <w:szCs w:val="22"/>
              </w:rPr>
            </w:pPr>
            <w:r w:rsidRPr="00461BF9">
              <w:rPr>
                <w:rFonts w:ascii="Arial" w:hAnsi="Arial" w:cs="Arial"/>
                <w:color w:val="44546A" w:themeColor="text2"/>
                <w:szCs w:val="22"/>
                <w:u w:val="single"/>
              </w:rPr>
              <w:t>Coverage Map</w:t>
            </w:r>
          </w:p>
          <w:p w:rsidR="00294855" w:rsidRPr="00461BF9" w:rsidP="0023143D" w14:paraId="2D5DA3A0" w14:textId="77777777">
            <w:pPr>
              <w:spacing w:before="60" w:after="60"/>
              <w:ind w:left="-14"/>
              <w:rPr>
                <w:rFonts w:ascii="Arial" w:hAnsi="Arial" w:cs="Arial"/>
                <w:szCs w:val="22"/>
              </w:rPr>
            </w:pPr>
            <w:r w:rsidRPr="00106FC7">
              <w:rPr>
                <w:rFonts w:ascii="Arial" w:eastAsia="Times New Roman" w:hAnsi="Arial" w:cs="Arial"/>
                <w:color w:val="FF0000"/>
                <w:szCs w:val="22"/>
              </w:rPr>
              <w:t>[</w:t>
            </w:r>
            <w:r w:rsidRPr="00106FC7">
              <w:rPr>
                <w:rFonts w:ascii="Arial" w:eastAsia="Times New Roman" w:hAnsi="Arial" w:cs="Arial"/>
                <w:i/>
                <w:color w:val="FF0000"/>
                <w:szCs w:val="22"/>
              </w:rPr>
              <w:t xml:space="preserve">at underlined language provide </w:t>
            </w:r>
            <w:r>
              <w:rPr>
                <w:rFonts w:ascii="Arial" w:eastAsia="Times New Roman" w:hAnsi="Arial" w:cs="Arial"/>
                <w:i/>
                <w:color w:val="FF0000"/>
                <w:szCs w:val="22"/>
              </w:rPr>
              <w:t xml:space="preserve">a </w:t>
            </w:r>
            <w:r w:rsidRPr="00106FC7">
              <w:rPr>
                <w:rFonts w:ascii="Arial" w:eastAsia="Times New Roman" w:hAnsi="Arial" w:cs="Arial"/>
                <w:i/>
                <w:color w:val="FF0000"/>
                <w:szCs w:val="22"/>
              </w:rPr>
              <w:t>link to coverage map</w:t>
            </w:r>
            <w:r w:rsidRPr="00106FC7">
              <w:rPr>
                <w:rFonts w:ascii="Arial" w:eastAsia="Times New Roman" w:hAnsi="Arial" w:cs="Arial"/>
                <w:color w:val="FF0000"/>
                <w:szCs w:val="22"/>
              </w:rPr>
              <w:t>]</w:t>
            </w:r>
          </w:p>
        </w:tc>
        <w:tc>
          <w:tcPr>
            <w:tcW w:w="3690" w:type="dxa"/>
            <w:gridSpan w:val="2"/>
            <w:tcBorders>
              <w:top w:val="single" w:sz="6" w:space="0" w:color="auto"/>
              <w:bottom w:val="nil"/>
            </w:tcBorders>
            <w:shd w:val="clear" w:color="auto" w:fill="auto"/>
          </w:tcPr>
          <w:p w:rsidR="00294855" w:rsidRPr="007552FC" w:rsidP="0023143D" w14:paraId="7C5B0A96" w14:textId="77777777">
            <w:pPr>
              <w:spacing w:before="60" w:after="60"/>
              <w:ind w:left="-14"/>
              <w:jc w:val="right"/>
              <w:rPr>
                <w:rFonts w:ascii="Arial Black" w:hAnsi="Arial Black" w:cs="Arial"/>
                <w:color w:val="000000"/>
                <w:szCs w:val="22"/>
              </w:rPr>
            </w:pPr>
          </w:p>
        </w:tc>
        <w:tc>
          <w:tcPr>
            <w:tcW w:w="270" w:type="dxa"/>
            <w:tcBorders>
              <w:top w:val="nil"/>
              <w:bottom w:val="nil"/>
              <w:right w:val="single" w:sz="24" w:space="0" w:color="auto"/>
            </w:tcBorders>
          </w:tcPr>
          <w:p w:rsidR="00294855" w:rsidRPr="007552FC" w:rsidP="0023143D" w14:paraId="4BB2180C" w14:textId="77777777">
            <w:pPr>
              <w:pStyle w:val="Header"/>
              <w:spacing w:after="120"/>
              <w:rPr>
                <w:rFonts w:ascii="Arial" w:eastAsia="Meiryo UI" w:hAnsi="Arial" w:cs="Arial"/>
                <w:b w:val="0"/>
                <w:szCs w:val="22"/>
              </w:rPr>
            </w:pPr>
          </w:p>
        </w:tc>
      </w:tr>
      <w:tr w14:paraId="6F2EC0D5"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8A3ADE" w:rsidP="0023143D" w14:paraId="719FB947" w14:textId="77777777">
            <w:pPr>
              <w:pStyle w:val="Header"/>
              <w:spacing w:after="120"/>
              <w:rPr>
                <w:rFonts w:ascii="Arial" w:eastAsia="Meiryo UI" w:hAnsi="Arial" w:cs="Arial"/>
                <w:b w:val="0"/>
              </w:rPr>
            </w:pPr>
          </w:p>
        </w:tc>
        <w:tc>
          <w:tcPr>
            <w:tcW w:w="10444" w:type="dxa"/>
            <w:gridSpan w:val="11"/>
            <w:tcBorders>
              <w:top w:val="single" w:sz="6" w:space="0" w:color="auto"/>
              <w:bottom w:val="nil"/>
            </w:tcBorders>
            <w:shd w:val="clear" w:color="auto" w:fill="auto"/>
          </w:tcPr>
          <w:p w:rsidR="00294855" w:rsidRPr="00AA70ED" w:rsidP="0023143D" w14:paraId="1793D866" w14:textId="77777777">
            <w:pPr>
              <w:spacing w:before="60" w:after="60"/>
              <w:ind w:left="-14"/>
              <w:rPr>
                <w:rFonts w:ascii="Arial Black" w:hAnsi="Arial Black" w:cs="Arial"/>
                <w:color w:val="000000"/>
                <w:szCs w:val="22"/>
              </w:rPr>
            </w:pPr>
            <w:r w:rsidRPr="00AA70ED">
              <w:rPr>
                <w:rFonts w:ascii="Arial Black" w:eastAsia="Calibri" w:hAnsi="Arial Black" w:cs="Arial"/>
                <w:szCs w:val="22"/>
              </w:rPr>
              <w:t>Charges and Terms Common to All Plans</w:t>
            </w:r>
          </w:p>
        </w:tc>
        <w:tc>
          <w:tcPr>
            <w:tcW w:w="270" w:type="dxa"/>
            <w:tcBorders>
              <w:top w:val="nil"/>
              <w:bottom w:val="nil"/>
              <w:right w:val="single" w:sz="24" w:space="0" w:color="auto"/>
            </w:tcBorders>
          </w:tcPr>
          <w:p w:rsidR="00294855" w:rsidRPr="008A3ADE" w:rsidP="0023143D" w14:paraId="1DE1816C" w14:textId="77777777">
            <w:pPr>
              <w:pStyle w:val="Header"/>
              <w:spacing w:after="120"/>
              <w:rPr>
                <w:rFonts w:ascii="Arial" w:eastAsia="Meiryo UI" w:hAnsi="Arial" w:cs="Arial"/>
                <w:b w:val="0"/>
              </w:rPr>
            </w:pPr>
          </w:p>
        </w:tc>
      </w:tr>
      <w:tr w14:paraId="53B1BE30"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8A3ADE" w:rsidP="0023143D" w14:paraId="6FA898D9" w14:textId="77777777">
            <w:pPr>
              <w:pStyle w:val="Header"/>
              <w:spacing w:after="120"/>
              <w:rPr>
                <w:rFonts w:ascii="Arial" w:eastAsia="Meiryo UI" w:hAnsi="Arial" w:cs="Arial"/>
                <w:b w:val="0"/>
              </w:rPr>
            </w:pPr>
          </w:p>
        </w:tc>
        <w:tc>
          <w:tcPr>
            <w:tcW w:w="10444" w:type="dxa"/>
            <w:gridSpan w:val="11"/>
            <w:tcBorders>
              <w:top w:val="single" w:sz="6" w:space="0" w:color="auto"/>
              <w:bottom w:val="nil"/>
            </w:tcBorders>
            <w:shd w:val="clear" w:color="auto" w:fill="auto"/>
          </w:tcPr>
          <w:p w:rsidR="00294855" w:rsidP="0023143D" w14:paraId="31FCA535" w14:textId="77777777">
            <w:pPr>
              <w:spacing w:before="60" w:after="60"/>
              <w:ind w:left="-14"/>
              <w:rPr>
                <w:rFonts w:ascii="Arial" w:eastAsia="Calibri" w:hAnsi="Arial" w:cs="Arial"/>
                <w:szCs w:val="22"/>
              </w:rPr>
            </w:pPr>
            <w:r w:rsidRPr="00AA70ED">
              <w:rPr>
                <w:rFonts w:ascii="Arial" w:eastAsia="Calibri" w:hAnsi="Arial" w:cs="Arial"/>
                <w:szCs w:val="22"/>
              </w:rPr>
              <w:t>Monthly fees</w:t>
            </w:r>
          </w:p>
          <w:p w:rsidR="00294855" w:rsidRPr="00AA70ED" w:rsidP="0023143D" w14:paraId="445ABD24" w14:textId="77777777">
            <w:pPr>
              <w:spacing w:before="60" w:after="60"/>
              <w:ind w:left="-14"/>
              <w:rPr>
                <w:rFonts w:ascii="Arial Black" w:hAnsi="Arial Black" w:cs="Arial"/>
                <w:color w:val="000000"/>
                <w:szCs w:val="22"/>
              </w:rPr>
            </w:pPr>
            <w:r w:rsidRPr="00106FC7">
              <w:rPr>
                <w:rFonts w:ascii="Arial" w:eastAsia="Times New Roman" w:hAnsi="Arial" w:cs="Arial"/>
                <w:i/>
                <w:color w:val="FF0000"/>
                <w:szCs w:val="22"/>
              </w:rPr>
              <w:t>[identify any monthly fees that the company chooses to impose in connection with the customer’s plan (e.g., a regulatory recovery fee or administrative fee) and for which all customers are charged the same fixed amount.]</w:t>
            </w:r>
          </w:p>
        </w:tc>
        <w:tc>
          <w:tcPr>
            <w:tcW w:w="270" w:type="dxa"/>
            <w:tcBorders>
              <w:top w:val="nil"/>
              <w:bottom w:val="nil"/>
              <w:right w:val="single" w:sz="24" w:space="0" w:color="auto"/>
            </w:tcBorders>
          </w:tcPr>
          <w:p w:rsidR="00294855" w:rsidRPr="008A3ADE" w:rsidP="0023143D" w14:paraId="6816F494" w14:textId="77777777">
            <w:pPr>
              <w:pStyle w:val="Header"/>
              <w:spacing w:after="120"/>
              <w:rPr>
                <w:rFonts w:ascii="Arial" w:eastAsia="Meiryo UI" w:hAnsi="Arial" w:cs="Arial"/>
                <w:b w:val="0"/>
              </w:rPr>
            </w:pPr>
          </w:p>
        </w:tc>
      </w:tr>
      <w:tr w14:paraId="7448784C"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8A3ADE" w:rsidP="0023143D" w14:paraId="64DA0AE8" w14:textId="77777777">
            <w:pPr>
              <w:pStyle w:val="Header"/>
              <w:spacing w:after="120"/>
              <w:rPr>
                <w:rFonts w:ascii="Arial" w:eastAsia="Meiryo UI" w:hAnsi="Arial" w:cs="Arial"/>
                <w:b w:val="0"/>
              </w:rPr>
            </w:pPr>
          </w:p>
        </w:tc>
        <w:tc>
          <w:tcPr>
            <w:tcW w:w="4954" w:type="dxa"/>
            <w:gridSpan w:val="4"/>
            <w:tcBorders>
              <w:top w:val="single" w:sz="6" w:space="0" w:color="auto"/>
              <w:bottom w:val="nil"/>
            </w:tcBorders>
            <w:shd w:val="clear" w:color="auto" w:fill="auto"/>
          </w:tcPr>
          <w:p w:rsidR="00294855" w:rsidRPr="00AA70ED" w:rsidP="0023143D" w14:paraId="1BE14D76" w14:textId="77777777">
            <w:pPr>
              <w:spacing w:before="60" w:after="60"/>
              <w:ind w:left="526"/>
              <w:rPr>
                <w:rFonts w:ascii="Arial" w:eastAsia="Calibri" w:hAnsi="Arial" w:cs="Arial"/>
                <w:szCs w:val="22"/>
              </w:rPr>
            </w:pPr>
            <w:r w:rsidRPr="0061152A">
              <w:rPr>
                <w:rFonts w:ascii="Arial" w:hAnsi="Arial" w:cs="Arial"/>
                <w:color w:val="FF0000"/>
                <w:szCs w:val="22"/>
              </w:rPr>
              <w:t>[</w:t>
            </w:r>
            <w:r w:rsidRPr="0061152A">
              <w:rPr>
                <w:rFonts w:ascii="Arial" w:hAnsi="Arial" w:cs="Arial"/>
                <w:i/>
                <w:color w:val="FF0000"/>
                <w:szCs w:val="22"/>
              </w:rPr>
              <w:t>provide name of and amount of each monthly fee on a row]</w:t>
            </w:r>
          </w:p>
        </w:tc>
        <w:tc>
          <w:tcPr>
            <w:tcW w:w="5490" w:type="dxa"/>
            <w:gridSpan w:val="7"/>
            <w:tcBorders>
              <w:top w:val="single" w:sz="6" w:space="0" w:color="auto"/>
              <w:bottom w:val="nil"/>
            </w:tcBorders>
            <w:shd w:val="clear" w:color="auto" w:fill="auto"/>
          </w:tcPr>
          <w:p w:rsidR="00294855" w:rsidRPr="00A24434" w:rsidP="0023143D" w14:paraId="2D655FEA" w14:textId="77777777">
            <w:pPr>
              <w:spacing w:before="60" w:after="60"/>
              <w:ind w:left="-14"/>
              <w:jc w:val="right"/>
              <w:rPr>
                <w:rFonts w:ascii="Arial Black" w:hAnsi="Arial Black" w:cs="Arial"/>
                <w:i/>
                <w:color w:val="FF0000"/>
                <w:szCs w:val="22"/>
              </w:rPr>
            </w:pPr>
            <w:r w:rsidRPr="00A24434">
              <w:rPr>
                <w:rFonts w:ascii="Arial Black" w:hAnsi="Arial Black" w:cs="Arial"/>
                <w:i/>
                <w:color w:val="FF0000"/>
                <w:szCs w:val="22"/>
              </w:rPr>
              <w:t>$</w:t>
            </w:r>
            <w:r w:rsidRPr="00A24434">
              <w:rPr>
                <w:rFonts w:ascii="Arial" w:hAnsi="Arial" w:cs="Arial"/>
                <w:i/>
                <w:color w:val="FF0000"/>
                <w:szCs w:val="22"/>
              </w:rPr>
              <w:t>[ ]</w:t>
            </w:r>
          </w:p>
        </w:tc>
        <w:tc>
          <w:tcPr>
            <w:tcW w:w="270" w:type="dxa"/>
            <w:tcBorders>
              <w:top w:val="nil"/>
              <w:bottom w:val="nil"/>
              <w:right w:val="single" w:sz="24" w:space="0" w:color="auto"/>
            </w:tcBorders>
          </w:tcPr>
          <w:p w:rsidR="00294855" w:rsidRPr="008A3ADE" w:rsidP="0023143D" w14:paraId="251D68C1" w14:textId="77777777">
            <w:pPr>
              <w:pStyle w:val="Header"/>
              <w:spacing w:after="120"/>
              <w:jc w:val="right"/>
              <w:rPr>
                <w:rFonts w:ascii="Arial" w:eastAsia="Meiryo UI" w:hAnsi="Arial" w:cs="Arial"/>
                <w:b w:val="0"/>
              </w:rPr>
            </w:pPr>
          </w:p>
        </w:tc>
      </w:tr>
      <w:tr w14:paraId="04795824"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8A3ADE" w:rsidP="0023143D" w14:paraId="1B3BE0B1" w14:textId="77777777">
            <w:pPr>
              <w:pStyle w:val="Header"/>
              <w:spacing w:after="120"/>
              <w:rPr>
                <w:rFonts w:ascii="Arial" w:eastAsia="Meiryo UI" w:hAnsi="Arial" w:cs="Arial"/>
                <w:b w:val="0"/>
              </w:rPr>
            </w:pPr>
          </w:p>
        </w:tc>
        <w:tc>
          <w:tcPr>
            <w:tcW w:w="10444" w:type="dxa"/>
            <w:gridSpan w:val="11"/>
            <w:tcBorders>
              <w:top w:val="single" w:sz="6" w:space="0" w:color="auto"/>
              <w:bottom w:val="single" w:sz="6" w:space="0" w:color="auto"/>
            </w:tcBorders>
            <w:shd w:val="clear" w:color="auto" w:fill="auto"/>
          </w:tcPr>
          <w:p w:rsidR="00294855" w:rsidP="0023143D" w14:paraId="63279B20" w14:textId="77777777">
            <w:pPr>
              <w:spacing w:before="60" w:after="60"/>
              <w:ind w:left="-14"/>
              <w:rPr>
                <w:rFonts w:ascii="Arial" w:hAnsi="Arial" w:cs="Arial"/>
                <w:color w:val="000000"/>
                <w:szCs w:val="22"/>
              </w:rPr>
            </w:pPr>
            <w:r>
              <w:rPr>
                <w:rFonts w:ascii="Arial" w:hAnsi="Arial" w:cs="Arial"/>
                <w:color w:val="000000"/>
                <w:szCs w:val="22"/>
              </w:rPr>
              <w:t>One-</w:t>
            </w:r>
            <w:r w:rsidRPr="00AA70ED">
              <w:rPr>
                <w:rFonts w:ascii="Arial" w:hAnsi="Arial" w:cs="Arial"/>
                <w:color w:val="000000"/>
                <w:szCs w:val="22"/>
              </w:rPr>
              <w:t>time fees</w:t>
            </w:r>
          </w:p>
          <w:p w:rsidR="00294855" w:rsidRPr="0061152A" w:rsidP="0023143D" w14:paraId="0176F6A4" w14:textId="77777777">
            <w:pPr>
              <w:pStyle w:val="TableParagraph"/>
              <w:tabs>
                <w:tab w:val="left" w:pos="-14"/>
              </w:tabs>
              <w:spacing w:before="60" w:after="60"/>
              <w:ind w:left="-14" w:right="72"/>
              <w:rPr>
                <w:rFonts w:ascii="Arial Black" w:hAnsi="Arial Black" w:cs="Arial"/>
                <w:color w:val="FF0000"/>
              </w:rPr>
            </w:pPr>
            <w:r w:rsidRPr="00106FC7">
              <w:rPr>
                <w:rFonts w:ascii="Arial" w:eastAsia="Times New Roman" w:hAnsi="Arial" w:cs="Arial"/>
                <w:i/>
                <w:color w:val="FF0000"/>
              </w:rPr>
              <w:t>[identify any one-time fees that the company chooses to impose in connection with the purchase of broadband service, e.g., activation fees</w:t>
            </w:r>
            <w:r>
              <w:rPr>
                <w:rFonts w:ascii="Arial" w:eastAsia="Times New Roman" w:hAnsi="Arial" w:cs="Arial"/>
                <w:i/>
                <w:color w:val="FF0000"/>
              </w:rPr>
              <w:t xml:space="preserve">; </w:t>
            </w:r>
            <w:r w:rsidRPr="0093641E">
              <w:rPr>
                <w:rFonts w:ascii="Arial" w:eastAsia="Times New Roman" w:hAnsi="Arial" w:cs="Arial"/>
                <w:i/>
                <w:color w:val="FF0000"/>
              </w:rPr>
              <w:t>if applicable, identify any fees that will be imposed if the customer cancels broadband service before the end of a long-term contract and provide a link to a full explanation of when such fees would be triggered</w:t>
            </w:r>
            <w:r w:rsidRPr="00106FC7">
              <w:rPr>
                <w:rFonts w:ascii="Arial" w:eastAsia="Times New Roman" w:hAnsi="Arial" w:cs="Arial"/>
                <w:i/>
                <w:color w:val="FF0000"/>
              </w:rPr>
              <w:t>]</w:t>
            </w:r>
          </w:p>
        </w:tc>
        <w:tc>
          <w:tcPr>
            <w:tcW w:w="270" w:type="dxa"/>
            <w:tcBorders>
              <w:top w:val="nil"/>
              <w:bottom w:val="nil"/>
              <w:right w:val="single" w:sz="24" w:space="0" w:color="auto"/>
            </w:tcBorders>
          </w:tcPr>
          <w:p w:rsidR="00294855" w:rsidRPr="008A3ADE" w:rsidP="0023143D" w14:paraId="4BE0A727" w14:textId="77777777">
            <w:pPr>
              <w:pStyle w:val="Header"/>
              <w:spacing w:after="120"/>
              <w:jc w:val="right"/>
              <w:rPr>
                <w:rFonts w:ascii="Arial" w:eastAsia="Meiryo UI" w:hAnsi="Arial" w:cs="Arial"/>
                <w:b w:val="0"/>
              </w:rPr>
            </w:pPr>
          </w:p>
        </w:tc>
      </w:tr>
      <w:tr w14:paraId="6F8A4264"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8A3ADE" w:rsidP="0023143D" w14:paraId="3E371B45" w14:textId="77777777">
            <w:pPr>
              <w:pStyle w:val="Header"/>
              <w:spacing w:after="120"/>
              <w:rPr>
                <w:rFonts w:ascii="Arial" w:eastAsia="Meiryo UI" w:hAnsi="Arial" w:cs="Arial"/>
                <w:b w:val="0"/>
              </w:rPr>
            </w:pPr>
          </w:p>
        </w:tc>
        <w:tc>
          <w:tcPr>
            <w:tcW w:w="4954" w:type="dxa"/>
            <w:gridSpan w:val="4"/>
            <w:tcBorders>
              <w:top w:val="single" w:sz="6" w:space="0" w:color="auto"/>
              <w:bottom w:val="single" w:sz="6" w:space="0" w:color="auto"/>
            </w:tcBorders>
            <w:shd w:val="clear" w:color="auto" w:fill="auto"/>
          </w:tcPr>
          <w:p w:rsidR="00294855" w:rsidRPr="00AA70ED" w:rsidP="0023143D" w14:paraId="631DF6C3" w14:textId="77777777">
            <w:pPr>
              <w:spacing w:before="60" w:after="60"/>
              <w:ind w:left="526"/>
              <w:rPr>
                <w:rFonts w:ascii="Arial" w:hAnsi="Arial" w:cs="Arial"/>
                <w:color w:val="000000"/>
                <w:szCs w:val="22"/>
              </w:rPr>
            </w:pPr>
            <w:r w:rsidRPr="0061152A">
              <w:rPr>
                <w:rFonts w:ascii="Arial" w:hAnsi="Arial" w:cs="Arial"/>
                <w:color w:val="FF0000"/>
                <w:szCs w:val="22"/>
              </w:rPr>
              <w:t>[</w:t>
            </w:r>
            <w:r w:rsidRPr="0061152A">
              <w:rPr>
                <w:rFonts w:ascii="Arial" w:hAnsi="Arial" w:cs="Arial"/>
                <w:i/>
                <w:color w:val="FF0000"/>
                <w:szCs w:val="22"/>
              </w:rPr>
              <w:t>provide name of and amount of each one-time fee on a row]</w:t>
            </w:r>
          </w:p>
        </w:tc>
        <w:tc>
          <w:tcPr>
            <w:tcW w:w="5490" w:type="dxa"/>
            <w:gridSpan w:val="7"/>
            <w:tcBorders>
              <w:top w:val="single" w:sz="6" w:space="0" w:color="auto"/>
              <w:bottom w:val="single" w:sz="6" w:space="0" w:color="auto"/>
            </w:tcBorders>
            <w:shd w:val="clear" w:color="auto" w:fill="auto"/>
          </w:tcPr>
          <w:p w:rsidR="00294855" w:rsidRPr="00A24434" w:rsidP="0023143D" w14:paraId="0F9088BC" w14:textId="77777777">
            <w:pPr>
              <w:spacing w:before="60" w:after="60"/>
              <w:ind w:left="-14"/>
              <w:jc w:val="right"/>
              <w:rPr>
                <w:rFonts w:ascii="Arial" w:hAnsi="Arial" w:cs="Arial"/>
                <w:i/>
                <w:color w:val="FF0000"/>
                <w:szCs w:val="22"/>
              </w:rPr>
            </w:pPr>
            <w:r w:rsidRPr="00A24434">
              <w:rPr>
                <w:rFonts w:ascii="Arial Black" w:hAnsi="Arial Black" w:cs="Arial"/>
                <w:i/>
                <w:color w:val="FF0000"/>
                <w:szCs w:val="22"/>
              </w:rPr>
              <w:t>$</w:t>
            </w:r>
            <w:r w:rsidRPr="00A24434">
              <w:rPr>
                <w:rFonts w:ascii="Arial" w:hAnsi="Arial" w:cs="Arial"/>
                <w:i/>
                <w:color w:val="FF0000"/>
                <w:szCs w:val="22"/>
              </w:rPr>
              <w:t>[ ]</w:t>
            </w:r>
          </w:p>
        </w:tc>
        <w:tc>
          <w:tcPr>
            <w:tcW w:w="270" w:type="dxa"/>
            <w:tcBorders>
              <w:top w:val="nil"/>
              <w:bottom w:val="nil"/>
              <w:right w:val="single" w:sz="24" w:space="0" w:color="auto"/>
            </w:tcBorders>
          </w:tcPr>
          <w:p w:rsidR="00294855" w:rsidRPr="008A3ADE" w:rsidP="0023143D" w14:paraId="36DA4B5F" w14:textId="77777777">
            <w:pPr>
              <w:pStyle w:val="Header"/>
              <w:spacing w:after="120"/>
              <w:jc w:val="right"/>
              <w:rPr>
                <w:rFonts w:ascii="Arial" w:eastAsia="Meiryo UI" w:hAnsi="Arial" w:cs="Arial"/>
                <w:b w:val="0"/>
              </w:rPr>
            </w:pPr>
          </w:p>
        </w:tc>
      </w:tr>
      <w:tr w14:paraId="022CC4B7"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8A3ADE" w:rsidP="0023143D" w14:paraId="2621F017" w14:textId="77777777">
            <w:pPr>
              <w:pStyle w:val="Header"/>
              <w:spacing w:after="120"/>
              <w:rPr>
                <w:rFonts w:ascii="Arial" w:eastAsia="Meiryo UI" w:hAnsi="Arial" w:cs="Arial"/>
                <w:b w:val="0"/>
              </w:rPr>
            </w:pPr>
          </w:p>
        </w:tc>
        <w:tc>
          <w:tcPr>
            <w:tcW w:w="10444" w:type="dxa"/>
            <w:gridSpan w:val="11"/>
            <w:tcBorders>
              <w:top w:val="single" w:sz="6" w:space="0" w:color="auto"/>
              <w:bottom w:val="single" w:sz="6" w:space="0" w:color="auto"/>
            </w:tcBorders>
            <w:shd w:val="clear" w:color="auto" w:fill="auto"/>
          </w:tcPr>
          <w:p w:rsidR="00294855" w:rsidRPr="00AA70ED" w:rsidP="0023143D" w14:paraId="7F045C46" w14:textId="77777777">
            <w:pPr>
              <w:pStyle w:val="Header"/>
              <w:spacing w:before="60" w:after="60"/>
              <w:rPr>
                <w:rFonts w:ascii="Arial Black" w:eastAsia="Meiryo UI" w:hAnsi="Arial Black" w:cs="Arial"/>
                <w:b w:val="0"/>
                <w:color w:val="000000" w:themeColor="text1"/>
                <w:szCs w:val="22"/>
              </w:rPr>
            </w:pPr>
            <w:r w:rsidRPr="00AA70ED">
              <w:rPr>
                <w:rFonts w:ascii="Arial Black" w:eastAsia="Meiryo UI" w:hAnsi="Arial Black" w:cs="Arial"/>
                <w:color w:val="000000" w:themeColor="text1"/>
                <w:szCs w:val="22"/>
              </w:rPr>
              <w:t xml:space="preserve">Government Taxes and Fees, and Other Carrier Surcharges May Also Apply: </w:t>
            </w:r>
            <w:r w:rsidRPr="00AA70ED">
              <w:rPr>
                <w:rFonts w:ascii="Arial" w:eastAsia="Meiryo UI" w:hAnsi="Arial" w:cs="Arial"/>
                <w:color w:val="000000" w:themeColor="text1"/>
                <w:szCs w:val="22"/>
              </w:rPr>
              <w:t>Varies by location</w:t>
            </w:r>
          </w:p>
        </w:tc>
        <w:tc>
          <w:tcPr>
            <w:tcW w:w="270" w:type="dxa"/>
            <w:tcBorders>
              <w:top w:val="nil"/>
              <w:bottom w:val="nil"/>
              <w:right w:val="single" w:sz="24" w:space="0" w:color="auto"/>
            </w:tcBorders>
          </w:tcPr>
          <w:p w:rsidR="00294855" w:rsidRPr="008A3ADE" w:rsidP="0023143D" w14:paraId="6554D2ED" w14:textId="77777777">
            <w:pPr>
              <w:pStyle w:val="Header"/>
              <w:spacing w:after="120"/>
              <w:rPr>
                <w:rFonts w:ascii="Arial" w:eastAsia="Meiryo UI" w:hAnsi="Arial" w:cs="Arial"/>
                <w:b w:val="0"/>
              </w:rPr>
            </w:pPr>
          </w:p>
        </w:tc>
      </w:tr>
      <w:tr w14:paraId="0B332584"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AA70ED" w:rsidP="0023143D" w14:paraId="0A834234" w14:textId="77777777">
            <w:pPr>
              <w:pStyle w:val="Header"/>
              <w:rPr>
                <w:rFonts w:ascii="Arial" w:eastAsia="Meiryo UI" w:hAnsi="Arial" w:cs="Arial"/>
                <w:b w:val="0"/>
                <w:sz w:val="20"/>
                <w:szCs w:val="20"/>
              </w:rPr>
            </w:pPr>
          </w:p>
        </w:tc>
        <w:tc>
          <w:tcPr>
            <w:tcW w:w="1804" w:type="dxa"/>
            <w:tcBorders>
              <w:top w:val="nil"/>
              <w:bottom w:val="nil"/>
            </w:tcBorders>
            <w:shd w:val="clear" w:color="auto" w:fill="000000" w:themeFill="text1"/>
          </w:tcPr>
          <w:p w:rsidR="00294855" w:rsidRPr="00AA70ED" w:rsidP="0023143D" w14:paraId="688F6E53" w14:textId="77777777">
            <w:pPr>
              <w:pStyle w:val="Header"/>
              <w:rPr>
                <w:rFonts w:ascii="Arial" w:eastAsia="Meiryo UI" w:hAnsi="Arial" w:cs="Arial"/>
                <w:b w:val="0"/>
                <w:sz w:val="20"/>
                <w:szCs w:val="20"/>
              </w:rPr>
            </w:pPr>
          </w:p>
        </w:tc>
        <w:tc>
          <w:tcPr>
            <w:tcW w:w="8640" w:type="dxa"/>
            <w:gridSpan w:val="10"/>
            <w:tcBorders>
              <w:top w:val="nil"/>
              <w:bottom w:val="nil"/>
            </w:tcBorders>
            <w:shd w:val="clear" w:color="auto" w:fill="000000" w:themeFill="text1"/>
          </w:tcPr>
          <w:p w:rsidR="00294855" w:rsidRPr="00AA70ED" w:rsidP="0023143D" w14:paraId="61886824" w14:textId="77777777">
            <w:pPr>
              <w:pStyle w:val="Header"/>
              <w:rPr>
                <w:rFonts w:ascii="Arial" w:eastAsia="Meiryo UI" w:hAnsi="Arial" w:cs="Arial"/>
                <w:b w:val="0"/>
                <w:sz w:val="20"/>
                <w:szCs w:val="20"/>
              </w:rPr>
            </w:pPr>
          </w:p>
        </w:tc>
        <w:tc>
          <w:tcPr>
            <w:tcW w:w="270" w:type="dxa"/>
            <w:tcBorders>
              <w:top w:val="nil"/>
              <w:bottom w:val="nil"/>
              <w:right w:val="single" w:sz="24" w:space="0" w:color="auto"/>
            </w:tcBorders>
          </w:tcPr>
          <w:p w:rsidR="00294855" w:rsidRPr="00AA70ED" w:rsidP="0023143D" w14:paraId="4910239D" w14:textId="77777777">
            <w:pPr>
              <w:pStyle w:val="Header"/>
              <w:rPr>
                <w:rFonts w:ascii="Arial" w:eastAsia="Meiryo UI" w:hAnsi="Arial" w:cs="Arial"/>
                <w:b w:val="0"/>
                <w:sz w:val="20"/>
                <w:szCs w:val="20"/>
              </w:rPr>
            </w:pPr>
          </w:p>
        </w:tc>
      </w:tr>
      <w:tr w14:paraId="542AE02B"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C4501C" w:rsidP="0023143D" w14:paraId="4432E682" w14:textId="77777777">
            <w:pPr>
              <w:pStyle w:val="Header"/>
              <w:spacing w:after="120"/>
              <w:rPr>
                <w:rFonts w:ascii="Arial" w:eastAsia="Meiryo UI" w:hAnsi="Arial" w:cs="Arial"/>
                <w:b w:val="0"/>
                <w:szCs w:val="22"/>
              </w:rPr>
            </w:pPr>
          </w:p>
        </w:tc>
        <w:tc>
          <w:tcPr>
            <w:tcW w:w="10444" w:type="dxa"/>
            <w:gridSpan w:val="11"/>
            <w:tcBorders>
              <w:top w:val="nil"/>
              <w:bottom w:val="single" w:sz="6" w:space="0" w:color="auto"/>
            </w:tcBorders>
            <w:shd w:val="clear" w:color="auto" w:fill="auto"/>
          </w:tcPr>
          <w:p w:rsidR="00294855" w:rsidP="0023143D" w14:paraId="6FC1F3D9" w14:textId="77777777">
            <w:pPr>
              <w:pStyle w:val="Header"/>
              <w:spacing w:before="60" w:after="60"/>
              <w:rPr>
                <w:rFonts w:ascii="Arial" w:eastAsia="Meiryo UI" w:hAnsi="Arial" w:cs="Arial"/>
                <w:color w:val="44546A" w:themeColor="text2"/>
                <w:szCs w:val="22"/>
                <w:u w:val="single"/>
              </w:rPr>
            </w:pPr>
            <w:r w:rsidRPr="00AA70ED">
              <w:rPr>
                <w:rFonts w:ascii="Arial Black" w:eastAsia="Meiryo UI" w:hAnsi="Arial Black" w:cs="Arial"/>
                <w:color w:val="000000" w:themeColor="text1"/>
                <w:szCs w:val="22"/>
              </w:rPr>
              <w:t xml:space="preserve">Performance - </w:t>
            </w:r>
            <w:r w:rsidRPr="00AA70ED">
              <w:rPr>
                <w:rFonts w:ascii="Arial" w:eastAsia="Meiryo UI" w:hAnsi="Arial" w:cs="Arial"/>
                <w:color w:val="44546A" w:themeColor="text2"/>
                <w:szCs w:val="22"/>
                <w:u w:val="single"/>
              </w:rPr>
              <w:t>Individual experience may vary</w:t>
            </w:r>
          </w:p>
          <w:p w:rsidR="00294855" w:rsidRPr="00AA70ED" w:rsidP="0023143D" w14:paraId="7EB4B7E0" w14:textId="77777777">
            <w:pPr>
              <w:pStyle w:val="Header"/>
              <w:spacing w:before="60" w:after="60"/>
              <w:rPr>
                <w:rFonts w:ascii="Arial Black" w:eastAsia="Meiryo UI" w:hAnsi="Arial Black" w:cs="Arial"/>
                <w:b w:val="0"/>
                <w:color w:val="000000" w:themeColor="text1"/>
                <w:szCs w:val="22"/>
              </w:rPr>
            </w:pPr>
            <w:r w:rsidRPr="00106FC7">
              <w:rPr>
                <w:rFonts w:ascii="Arial" w:eastAsia="Times New Roman" w:hAnsi="Arial" w:cs="Arial"/>
                <w:i/>
                <w:color w:val="FF0000"/>
                <w:szCs w:val="22"/>
              </w:rPr>
              <w:t>[</w:t>
            </w:r>
            <w:r>
              <w:rPr>
                <w:rFonts w:ascii="Arial" w:eastAsia="Times New Roman" w:hAnsi="Arial" w:cs="Arial"/>
                <w:i/>
                <w:color w:val="FF0000"/>
                <w:szCs w:val="22"/>
              </w:rPr>
              <w:t xml:space="preserve">at underlined language </w:t>
            </w:r>
            <w:r w:rsidRPr="00106FC7">
              <w:rPr>
                <w:rFonts w:ascii="Arial" w:eastAsia="Times New Roman" w:hAnsi="Arial" w:cs="Arial"/>
                <w:i/>
                <w:color w:val="FF0000"/>
                <w:szCs w:val="22"/>
              </w:rPr>
              <w:t>provide a link to a full discussion of network performance metrics]</w:t>
            </w:r>
          </w:p>
        </w:tc>
        <w:tc>
          <w:tcPr>
            <w:tcW w:w="270" w:type="dxa"/>
            <w:tcBorders>
              <w:top w:val="nil"/>
              <w:bottom w:val="nil"/>
              <w:right w:val="single" w:sz="24" w:space="0" w:color="auto"/>
            </w:tcBorders>
          </w:tcPr>
          <w:p w:rsidR="00294855" w:rsidRPr="00C4501C" w:rsidP="0023143D" w14:paraId="75FF09E0" w14:textId="77777777">
            <w:pPr>
              <w:pStyle w:val="Header"/>
              <w:spacing w:after="120"/>
              <w:rPr>
                <w:rFonts w:ascii="Arial" w:eastAsia="Meiryo UI" w:hAnsi="Arial" w:cs="Arial"/>
                <w:b w:val="0"/>
                <w:szCs w:val="22"/>
              </w:rPr>
            </w:pPr>
          </w:p>
        </w:tc>
      </w:tr>
      <w:tr w14:paraId="6B956090"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C4501C" w:rsidP="0023143D" w14:paraId="0BE6ACF6" w14:textId="77777777">
            <w:pPr>
              <w:pStyle w:val="Header"/>
              <w:spacing w:after="120"/>
              <w:rPr>
                <w:rFonts w:ascii="Arial" w:eastAsia="Meiryo UI" w:hAnsi="Arial" w:cs="Arial"/>
                <w:b w:val="0"/>
                <w:szCs w:val="22"/>
              </w:rPr>
            </w:pPr>
          </w:p>
        </w:tc>
        <w:tc>
          <w:tcPr>
            <w:tcW w:w="5224" w:type="dxa"/>
            <w:gridSpan w:val="5"/>
            <w:tcBorders>
              <w:top w:val="nil"/>
              <w:bottom w:val="single" w:sz="6" w:space="0" w:color="auto"/>
            </w:tcBorders>
            <w:shd w:val="clear" w:color="auto" w:fill="auto"/>
          </w:tcPr>
          <w:p w:rsidR="00294855" w:rsidRPr="00A47F1C" w:rsidP="0023143D" w14:paraId="2B861CF4" w14:textId="77777777">
            <w:pPr>
              <w:pStyle w:val="Header"/>
              <w:jc w:val="center"/>
              <w:rPr>
                <w:rFonts w:ascii="Arial" w:eastAsia="Meiryo UI" w:hAnsi="Arial" w:cs="Arial"/>
                <w:b w:val="0"/>
                <w:sz w:val="4"/>
                <w:szCs w:val="20"/>
              </w:rPr>
            </w:pPr>
          </w:p>
          <w:p w:rsidR="00294855" w:rsidP="0023143D" w14:paraId="53119056" w14:textId="77777777">
            <w:pPr>
              <w:pStyle w:val="Header"/>
              <w:jc w:val="center"/>
              <w:rPr>
                <w:rFonts w:ascii="Arial" w:eastAsia="Meiryo UI" w:hAnsi="Arial" w:cs="Arial"/>
                <w:b w:val="0"/>
                <w:i/>
                <w:color w:val="FF0000"/>
                <w:sz w:val="20"/>
                <w:szCs w:val="20"/>
              </w:rPr>
            </w:pPr>
            <w:r w:rsidRPr="00A24434">
              <w:rPr>
                <w:rFonts w:ascii="Arial" w:eastAsia="Meiryo UI" w:hAnsi="Arial" w:cs="Arial"/>
                <w:i/>
                <w:color w:val="FF0000"/>
                <w:sz w:val="20"/>
                <w:szCs w:val="20"/>
              </w:rPr>
              <w:t>[ ]G</w:t>
            </w:r>
          </w:p>
          <w:p w:rsidR="00294855" w:rsidRPr="00A24434" w:rsidP="0023143D" w14:paraId="63DB08F5" w14:textId="77777777">
            <w:pPr>
              <w:pStyle w:val="Header"/>
              <w:jc w:val="center"/>
              <w:rPr>
                <w:rFonts w:ascii="Arial" w:eastAsia="Meiryo UI" w:hAnsi="Arial" w:cs="Arial"/>
                <w:b w:val="0"/>
                <w:i/>
                <w:sz w:val="20"/>
                <w:szCs w:val="20"/>
              </w:rPr>
            </w:pPr>
            <w:r w:rsidRPr="00106FC7">
              <w:rPr>
                <w:rFonts w:ascii="Arial" w:eastAsia="Times New Roman" w:hAnsi="Arial" w:cs="Arial"/>
                <w:i/>
                <w:color w:val="FF0000"/>
                <w:szCs w:val="22"/>
              </w:rPr>
              <w:t>[identify the primary network technology for the plan (e.g., 4G, 3G)]</w:t>
            </w:r>
          </w:p>
        </w:tc>
        <w:tc>
          <w:tcPr>
            <w:tcW w:w="270" w:type="dxa"/>
            <w:tcBorders>
              <w:top w:val="nil"/>
              <w:bottom w:val="single" w:sz="6" w:space="0" w:color="auto"/>
            </w:tcBorders>
            <w:shd w:val="clear" w:color="auto" w:fill="auto"/>
          </w:tcPr>
          <w:p w:rsidR="00294855" w:rsidRPr="005325AB" w:rsidP="0023143D" w14:paraId="64F39769" w14:textId="77777777">
            <w:pPr>
              <w:pStyle w:val="Header"/>
              <w:rPr>
                <w:rFonts w:ascii="Arial" w:eastAsia="Meiryo UI" w:hAnsi="Arial" w:cs="Arial"/>
                <w:b w:val="0"/>
              </w:rPr>
            </w:pPr>
          </w:p>
        </w:tc>
        <w:tc>
          <w:tcPr>
            <w:tcW w:w="4950" w:type="dxa"/>
            <w:gridSpan w:val="5"/>
            <w:tcBorders>
              <w:top w:val="nil"/>
              <w:bottom w:val="single" w:sz="6" w:space="0" w:color="auto"/>
            </w:tcBorders>
            <w:shd w:val="clear" w:color="auto" w:fill="auto"/>
          </w:tcPr>
          <w:p w:rsidR="00294855" w:rsidRPr="00A47F1C" w:rsidP="0023143D" w14:paraId="7004935F" w14:textId="77777777">
            <w:pPr>
              <w:pStyle w:val="Header"/>
              <w:jc w:val="center"/>
              <w:rPr>
                <w:rFonts w:ascii="Arial" w:eastAsia="Meiryo UI" w:hAnsi="Arial" w:cs="Arial"/>
                <w:b w:val="0"/>
                <w:sz w:val="4"/>
                <w:szCs w:val="20"/>
              </w:rPr>
            </w:pPr>
          </w:p>
          <w:p w:rsidR="00294855" w:rsidP="0023143D" w14:paraId="7A96A9DB" w14:textId="77777777">
            <w:pPr>
              <w:pStyle w:val="Header"/>
              <w:jc w:val="center"/>
              <w:rPr>
                <w:rFonts w:ascii="Arial" w:eastAsia="Meiryo UI" w:hAnsi="Arial" w:cs="Arial"/>
                <w:b w:val="0"/>
                <w:i/>
                <w:sz w:val="4"/>
                <w:szCs w:val="20"/>
              </w:rPr>
            </w:pPr>
            <w:r w:rsidRPr="00A24434">
              <w:rPr>
                <w:rFonts w:ascii="Arial" w:eastAsia="Meiryo UI" w:hAnsi="Arial" w:cs="Arial"/>
                <w:i/>
                <w:color w:val="FF0000"/>
                <w:sz w:val="20"/>
                <w:szCs w:val="20"/>
              </w:rPr>
              <w:t>[ ]G</w:t>
            </w:r>
            <w:r w:rsidRPr="00A24434">
              <w:rPr>
                <w:rFonts w:ascii="Arial" w:eastAsia="Meiryo UI" w:hAnsi="Arial" w:cs="Arial"/>
                <w:i/>
                <w:sz w:val="4"/>
                <w:szCs w:val="20"/>
              </w:rPr>
              <w:t xml:space="preserve"> </w:t>
            </w:r>
          </w:p>
          <w:p w:rsidR="00294855" w:rsidRPr="00A24434" w:rsidP="0023143D" w14:paraId="00FF2AA0" w14:textId="77777777">
            <w:pPr>
              <w:pStyle w:val="Header"/>
              <w:jc w:val="center"/>
              <w:rPr>
                <w:rFonts w:ascii="Arial" w:eastAsia="Meiryo UI" w:hAnsi="Arial" w:cs="Arial"/>
                <w:b w:val="0"/>
                <w:i/>
                <w:sz w:val="4"/>
                <w:szCs w:val="20"/>
              </w:rPr>
            </w:pPr>
            <w:r w:rsidRPr="00106FC7">
              <w:rPr>
                <w:rFonts w:ascii="Arial" w:eastAsia="Times New Roman" w:hAnsi="Arial" w:cs="Arial"/>
                <w:i/>
                <w:color w:val="FF0000"/>
                <w:szCs w:val="22"/>
              </w:rPr>
              <w:t>[identify other network technologies for the plan (e.g., 4G, 3G)]</w:t>
            </w:r>
          </w:p>
        </w:tc>
        <w:tc>
          <w:tcPr>
            <w:tcW w:w="270" w:type="dxa"/>
            <w:tcBorders>
              <w:top w:val="nil"/>
              <w:bottom w:val="nil"/>
              <w:right w:val="single" w:sz="24" w:space="0" w:color="auto"/>
            </w:tcBorders>
          </w:tcPr>
          <w:p w:rsidR="00294855" w:rsidRPr="00C4501C" w:rsidP="0023143D" w14:paraId="5812FD89" w14:textId="77777777">
            <w:pPr>
              <w:pStyle w:val="Header"/>
              <w:spacing w:after="120"/>
              <w:rPr>
                <w:rFonts w:ascii="Arial" w:eastAsia="Meiryo UI" w:hAnsi="Arial" w:cs="Arial"/>
                <w:b w:val="0"/>
                <w:szCs w:val="22"/>
              </w:rPr>
            </w:pPr>
          </w:p>
        </w:tc>
      </w:tr>
      <w:tr w14:paraId="06CC290E"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C4501C" w:rsidP="0023143D" w14:paraId="5CA659EA" w14:textId="77777777">
            <w:pPr>
              <w:pStyle w:val="Header"/>
              <w:spacing w:after="120"/>
              <w:rPr>
                <w:rFonts w:ascii="Arial" w:eastAsia="Meiryo UI" w:hAnsi="Arial" w:cs="Arial"/>
                <w:b w:val="0"/>
                <w:szCs w:val="22"/>
              </w:rPr>
            </w:pPr>
          </w:p>
        </w:tc>
        <w:tc>
          <w:tcPr>
            <w:tcW w:w="5224" w:type="dxa"/>
            <w:gridSpan w:val="5"/>
            <w:tcBorders>
              <w:top w:val="nil"/>
              <w:bottom w:val="single" w:sz="6" w:space="0" w:color="auto"/>
            </w:tcBorders>
            <w:shd w:val="clear" w:color="auto" w:fill="auto"/>
          </w:tcPr>
          <w:p w:rsidR="00294855" w:rsidRPr="006E350B" w:rsidP="0023143D" w14:paraId="74D44B88" w14:textId="77777777">
            <w:pPr>
              <w:pStyle w:val="Header"/>
              <w:spacing w:before="60" w:after="60"/>
              <w:jc w:val="center"/>
              <w:rPr>
                <w:rFonts w:ascii="Arial Black" w:hAnsi="Arial Black" w:cs="Arial"/>
                <w:color w:val="000000"/>
                <w:szCs w:val="22"/>
              </w:rPr>
            </w:pPr>
            <w:r w:rsidRPr="006E350B">
              <w:rPr>
                <w:rFonts w:ascii="Arial Black" w:hAnsi="Arial Black" w:cs="Arial"/>
                <w:color w:val="000000"/>
                <w:szCs w:val="22"/>
              </w:rPr>
              <w:t>Typical</w:t>
            </w:r>
            <w:r>
              <w:rPr>
                <w:rFonts w:ascii="Arial Black" w:hAnsi="Arial Black" w:cs="Arial"/>
                <w:color w:val="000000"/>
                <w:szCs w:val="22"/>
              </w:rPr>
              <w:t xml:space="preserve"> s</w:t>
            </w:r>
            <w:r w:rsidRPr="006E350B">
              <w:rPr>
                <w:rFonts w:ascii="Arial Black" w:hAnsi="Arial Black" w:cs="Arial"/>
                <w:color w:val="000000"/>
                <w:szCs w:val="22"/>
              </w:rPr>
              <w:t>peed</w:t>
            </w:r>
          </w:p>
          <w:p w:rsidR="00294855" w:rsidRPr="00A24434" w:rsidP="0023143D" w14:paraId="0F62A555" w14:textId="77777777">
            <w:pPr>
              <w:pStyle w:val="Header"/>
              <w:spacing w:before="60" w:after="60"/>
              <w:jc w:val="center"/>
              <w:rPr>
                <w:rFonts w:ascii="Arial" w:hAnsi="Arial" w:cs="Arial"/>
                <w:i/>
                <w:color w:val="FF0000"/>
                <w:szCs w:val="22"/>
              </w:rPr>
            </w:pPr>
            <w:r w:rsidRPr="00A24434">
              <w:rPr>
                <w:rFonts w:ascii="Arial" w:hAnsi="Arial" w:cs="Arial"/>
                <w:i/>
                <w:color w:val="FF0000"/>
                <w:szCs w:val="22"/>
              </w:rPr>
              <w:t>[ ] Mbps downstream /</w:t>
            </w:r>
          </w:p>
          <w:p w:rsidR="00294855" w:rsidP="0023143D" w14:paraId="566D6A58" w14:textId="77777777">
            <w:pPr>
              <w:pStyle w:val="Header"/>
              <w:spacing w:before="60" w:after="60"/>
              <w:jc w:val="center"/>
              <w:rPr>
                <w:rFonts w:ascii="Arial" w:hAnsi="Arial" w:cs="Arial"/>
                <w:i/>
                <w:color w:val="FF0000"/>
                <w:szCs w:val="22"/>
              </w:rPr>
            </w:pPr>
            <w:r w:rsidRPr="00A24434">
              <w:rPr>
                <w:rFonts w:ascii="Arial" w:hAnsi="Arial" w:cs="Arial"/>
                <w:i/>
                <w:color w:val="FF0000"/>
                <w:szCs w:val="22"/>
              </w:rPr>
              <w:t xml:space="preserve">[ ] </w:t>
            </w:r>
            <w:r>
              <w:rPr>
                <w:rFonts w:ascii="Arial" w:hAnsi="Arial" w:cs="Arial"/>
                <w:i/>
                <w:color w:val="FF0000"/>
                <w:szCs w:val="22"/>
              </w:rPr>
              <w:t>M</w:t>
            </w:r>
            <w:r w:rsidRPr="00A24434">
              <w:rPr>
                <w:rFonts w:ascii="Arial" w:hAnsi="Arial" w:cs="Arial"/>
                <w:i/>
                <w:color w:val="FF0000"/>
                <w:szCs w:val="22"/>
              </w:rPr>
              <w:t>b</w:t>
            </w:r>
            <w:r>
              <w:rPr>
                <w:rFonts w:ascii="Arial" w:hAnsi="Arial" w:cs="Arial"/>
                <w:i/>
                <w:color w:val="FF0000"/>
                <w:szCs w:val="22"/>
              </w:rPr>
              <w:t>p</w:t>
            </w:r>
            <w:r w:rsidRPr="00A24434">
              <w:rPr>
                <w:rFonts w:ascii="Arial" w:hAnsi="Arial" w:cs="Arial"/>
                <w:i/>
                <w:color w:val="FF0000"/>
                <w:szCs w:val="22"/>
              </w:rPr>
              <w:t>s upstream</w:t>
            </w:r>
          </w:p>
          <w:p w:rsidR="00294855" w:rsidRPr="006E350B" w:rsidP="0023143D" w14:paraId="3E95A236" w14:textId="77777777">
            <w:pPr>
              <w:pStyle w:val="Header"/>
              <w:spacing w:before="60" w:after="60"/>
              <w:jc w:val="center"/>
              <w:rPr>
                <w:rFonts w:ascii="Arial Black" w:hAnsi="Arial Black" w:cs="Arial"/>
                <w:color w:val="000000"/>
                <w:szCs w:val="22"/>
              </w:rPr>
            </w:pPr>
            <w:r w:rsidRPr="00106FC7">
              <w:rPr>
                <w:rFonts w:ascii="Arial" w:eastAsia="Times New Roman" w:hAnsi="Arial" w:cs="Arial"/>
                <w:i/>
                <w:color w:val="FF0000"/>
                <w:szCs w:val="22"/>
              </w:rPr>
              <w:t xml:space="preserve">[identify typical peak </w:t>
            </w:r>
            <w:r>
              <w:rPr>
                <w:rFonts w:ascii="Arial" w:eastAsia="Times New Roman" w:hAnsi="Arial" w:cs="Arial"/>
                <w:i/>
                <w:color w:val="FF0000"/>
                <w:szCs w:val="22"/>
              </w:rPr>
              <w:t xml:space="preserve">usage </w:t>
            </w:r>
            <w:r w:rsidRPr="00106FC7">
              <w:rPr>
                <w:rFonts w:ascii="Arial" w:eastAsia="Times New Roman" w:hAnsi="Arial" w:cs="Arial"/>
                <w:i/>
                <w:color w:val="FF0000"/>
                <w:szCs w:val="22"/>
              </w:rPr>
              <w:t>period download and upload speeds for this network technology, consistent with the Open Internet Orders and FCC guidance]</w:t>
            </w:r>
          </w:p>
        </w:tc>
        <w:tc>
          <w:tcPr>
            <w:tcW w:w="270" w:type="dxa"/>
            <w:tcBorders>
              <w:top w:val="nil"/>
              <w:bottom w:val="single" w:sz="6" w:space="0" w:color="auto"/>
            </w:tcBorders>
            <w:shd w:val="clear" w:color="auto" w:fill="auto"/>
          </w:tcPr>
          <w:p w:rsidR="00294855" w:rsidP="0023143D" w14:paraId="0D7CCF35" w14:textId="77777777">
            <w:pPr>
              <w:pStyle w:val="Header"/>
              <w:spacing w:before="60" w:after="60"/>
              <w:rPr>
                <w:rFonts w:ascii="Arial" w:eastAsia="Meiryo UI" w:hAnsi="Arial" w:cs="Arial"/>
                <w:b w:val="0"/>
              </w:rPr>
            </w:pPr>
          </w:p>
          <w:p w:rsidR="00294855" w:rsidRPr="003E684F" w:rsidP="0023143D" w14:paraId="0825D2B7" w14:textId="77777777">
            <w:pPr>
              <w:pStyle w:val="Header"/>
              <w:spacing w:before="60" w:after="60"/>
              <w:rPr>
                <w:rFonts w:ascii="Arial" w:eastAsia="Meiryo UI" w:hAnsi="Arial" w:cs="Arial"/>
                <w:b w:val="0"/>
              </w:rPr>
            </w:pPr>
            <w:r w:rsidRPr="003E684F">
              <w:rPr>
                <w:rFonts w:ascii="Arial" w:eastAsia="Meiryo UI" w:hAnsi="Arial" w:cs="Arial"/>
              </w:rPr>
              <w:t>●</w:t>
            </w:r>
          </w:p>
        </w:tc>
        <w:tc>
          <w:tcPr>
            <w:tcW w:w="4950" w:type="dxa"/>
            <w:gridSpan w:val="5"/>
            <w:tcBorders>
              <w:top w:val="nil"/>
              <w:bottom w:val="single" w:sz="6" w:space="0" w:color="auto"/>
            </w:tcBorders>
            <w:shd w:val="clear" w:color="auto" w:fill="auto"/>
          </w:tcPr>
          <w:p w:rsidR="00294855" w:rsidRPr="006E350B" w:rsidP="0023143D" w14:paraId="2E115B46" w14:textId="77777777">
            <w:pPr>
              <w:pStyle w:val="Header"/>
              <w:spacing w:before="60" w:after="60"/>
              <w:jc w:val="center"/>
              <w:rPr>
                <w:rFonts w:ascii="Arial Black" w:hAnsi="Arial Black" w:cs="Arial"/>
                <w:color w:val="000000"/>
                <w:szCs w:val="22"/>
              </w:rPr>
            </w:pPr>
            <w:r w:rsidRPr="006E350B">
              <w:rPr>
                <w:rFonts w:ascii="Arial Black" w:hAnsi="Arial Black" w:cs="Arial"/>
                <w:color w:val="000000"/>
                <w:szCs w:val="22"/>
              </w:rPr>
              <w:t>Typical Speed</w:t>
            </w:r>
          </w:p>
          <w:p w:rsidR="00294855" w:rsidRPr="00A24434" w:rsidP="0023143D" w14:paraId="6AE74705" w14:textId="77777777">
            <w:pPr>
              <w:pStyle w:val="Header"/>
              <w:spacing w:before="60" w:after="60"/>
              <w:jc w:val="center"/>
              <w:rPr>
                <w:rFonts w:ascii="Arial" w:hAnsi="Arial" w:cs="Arial"/>
                <w:i/>
                <w:color w:val="FF0000"/>
                <w:szCs w:val="22"/>
              </w:rPr>
            </w:pPr>
            <w:r w:rsidRPr="00A24434">
              <w:rPr>
                <w:rFonts w:ascii="Arial" w:hAnsi="Arial" w:cs="Arial"/>
                <w:i/>
                <w:color w:val="FF0000"/>
                <w:szCs w:val="22"/>
              </w:rPr>
              <w:t xml:space="preserve">[ ] Mbps downstream / </w:t>
            </w:r>
          </w:p>
          <w:p w:rsidR="00294855" w:rsidP="0023143D" w14:paraId="459C8CAB" w14:textId="77777777">
            <w:pPr>
              <w:pStyle w:val="Header"/>
              <w:spacing w:before="60" w:after="60"/>
              <w:jc w:val="center"/>
              <w:rPr>
                <w:rFonts w:ascii="Arial" w:hAnsi="Arial" w:cs="Arial"/>
                <w:i/>
                <w:color w:val="FF0000"/>
                <w:szCs w:val="22"/>
              </w:rPr>
            </w:pPr>
            <w:r w:rsidRPr="00A24434">
              <w:rPr>
                <w:rFonts w:ascii="Arial" w:hAnsi="Arial" w:cs="Arial"/>
                <w:i/>
                <w:color w:val="FF0000"/>
                <w:szCs w:val="22"/>
              </w:rPr>
              <w:t>[ ] Mbps upstream</w:t>
            </w:r>
          </w:p>
          <w:p w:rsidR="00294855" w:rsidRPr="00A47F1C" w:rsidP="0023143D" w14:paraId="21CD4DB8" w14:textId="77777777">
            <w:pPr>
              <w:pStyle w:val="Header"/>
              <w:spacing w:before="60" w:after="60"/>
              <w:jc w:val="center"/>
              <w:rPr>
                <w:rFonts w:ascii="Arial Black" w:eastAsia="Meiryo UI" w:hAnsi="Arial Black" w:cs="Arial"/>
                <w:b w:val="0"/>
                <w:sz w:val="20"/>
                <w:szCs w:val="20"/>
              </w:rPr>
            </w:pPr>
            <w:r w:rsidRPr="00106FC7">
              <w:rPr>
                <w:rFonts w:ascii="Arial" w:eastAsia="Times New Roman" w:hAnsi="Arial" w:cs="Arial"/>
                <w:i/>
                <w:color w:val="FF0000"/>
                <w:szCs w:val="22"/>
              </w:rPr>
              <w:t xml:space="preserve">[identify typical peak </w:t>
            </w:r>
            <w:r>
              <w:rPr>
                <w:rFonts w:ascii="Arial" w:eastAsia="Times New Roman" w:hAnsi="Arial" w:cs="Arial"/>
                <w:i/>
                <w:color w:val="FF0000"/>
                <w:szCs w:val="22"/>
              </w:rPr>
              <w:t xml:space="preserve">usage </w:t>
            </w:r>
            <w:r w:rsidRPr="00106FC7">
              <w:rPr>
                <w:rFonts w:ascii="Arial" w:eastAsia="Times New Roman" w:hAnsi="Arial" w:cs="Arial"/>
                <w:i/>
                <w:color w:val="FF0000"/>
                <w:szCs w:val="22"/>
              </w:rPr>
              <w:t>period download and upload speeds for this network technology, consistent with the Open Internet Orders and FCC guidance]</w:t>
            </w:r>
          </w:p>
        </w:tc>
        <w:tc>
          <w:tcPr>
            <w:tcW w:w="270" w:type="dxa"/>
            <w:tcBorders>
              <w:top w:val="nil"/>
              <w:bottom w:val="nil"/>
              <w:right w:val="single" w:sz="24" w:space="0" w:color="auto"/>
            </w:tcBorders>
          </w:tcPr>
          <w:p w:rsidR="00294855" w:rsidRPr="00C4501C" w:rsidP="0023143D" w14:paraId="5C2B5E43" w14:textId="77777777">
            <w:pPr>
              <w:pStyle w:val="Header"/>
              <w:spacing w:after="120"/>
              <w:rPr>
                <w:rFonts w:ascii="Arial" w:eastAsia="Meiryo UI" w:hAnsi="Arial" w:cs="Arial"/>
                <w:b w:val="0"/>
                <w:szCs w:val="22"/>
              </w:rPr>
            </w:pPr>
          </w:p>
        </w:tc>
      </w:tr>
      <w:tr w14:paraId="57F0603C"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C4501C" w:rsidP="0023143D" w14:paraId="614FA319" w14:textId="77777777">
            <w:pPr>
              <w:pStyle w:val="Header"/>
              <w:spacing w:after="120"/>
              <w:rPr>
                <w:rFonts w:ascii="Arial" w:eastAsia="Meiryo UI" w:hAnsi="Arial" w:cs="Arial"/>
                <w:b w:val="0"/>
                <w:szCs w:val="22"/>
              </w:rPr>
            </w:pPr>
          </w:p>
        </w:tc>
        <w:tc>
          <w:tcPr>
            <w:tcW w:w="5224" w:type="dxa"/>
            <w:gridSpan w:val="5"/>
            <w:tcBorders>
              <w:top w:val="nil"/>
              <w:bottom w:val="single" w:sz="6" w:space="0" w:color="auto"/>
            </w:tcBorders>
            <w:shd w:val="clear" w:color="auto" w:fill="auto"/>
          </w:tcPr>
          <w:p w:rsidR="00294855" w:rsidRPr="006035EE" w:rsidP="0023143D" w14:paraId="4730EBF2" w14:textId="77777777">
            <w:pPr>
              <w:pStyle w:val="Header"/>
              <w:spacing w:before="60" w:after="60"/>
              <w:jc w:val="center"/>
              <w:rPr>
                <w:rFonts w:ascii="Arial Black" w:eastAsia="Meiryo UI" w:hAnsi="Arial Black" w:cs="Arial"/>
                <w:b w:val="0"/>
                <w:szCs w:val="22"/>
              </w:rPr>
            </w:pPr>
            <w:r w:rsidRPr="006035EE">
              <w:rPr>
                <w:rFonts w:ascii="Arial Black" w:eastAsia="Meiryo UI" w:hAnsi="Arial Black" w:cs="Arial"/>
                <w:szCs w:val="22"/>
              </w:rPr>
              <w:t>Typical latency</w:t>
            </w:r>
          </w:p>
          <w:p w:rsidR="00294855" w:rsidP="0023143D" w14:paraId="3AD8720A" w14:textId="77777777">
            <w:pPr>
              <w:pStyle w:val="Header"/>
              <w:spacing w:before="60" w:after="60"/>
              <w:jc w:val="center"/>
              <w:rPr>
                <w:rFonts w:ascii="Arial" w:hAnsi="Arial" w:cs="Arial"/>
                <w:i/>
                <w:color w:val="FF0000"/>
                <w:szCs w:val="22"/>
              </w:rPr>
            </w:pPr>
            <w:r w:rsidRPr="00A24434">
              <w:rPr>
                <w:rFonts w:ascii="Arial" w:hAnsi="Arial" w:cs="Arial"/>
                <w:i/>
                <w:color w:val="FF0000"/>
                <w:szCs w:val="22"/>
              </w:rPr>
              <w:t>Less than [ ] milliseconds</w:t>
            </w:r>
          </w:p>
          <w:p w:rsidR="00294855" w:rsidRPr="00A24434" w:rsidP="0023143D" w14:paraId="1C9BBC48" w14:textId="77777777">
            <w:pPr>
              <w:pStyle w:val="Header"/>
              <w:spacing w:before="60" w:after="60"/>
              <w:jc w:val="center"/>
              <w:rPr>
                <w:rFonts w:ascii="Arial Black" w:hAnsi="Arial Black" w:cs="Arial"/>
                <w:i/>
                <w:color w:val="000000"/>
                <w:szCs w:val="22"/>
              </w:rPr>
            </w:pPr>
            <w:r w:rsidRPr="00106FC7">
              <w:rPr>
                <w:rFonts w:ascii="Arial" w:eastAsia="Times New Roman" w:hAnsi="Arial" w:cs="Arial"/>
                <w:i/>
                <w:color w:val="FF0000"/>
                <w:szCs w:val="22"/>
              </w:rPr>
              <w:t xml:space="preserve">[identify typical peak </w:t>
            </w:r>
            <w:r>
              <w:rPr>
                <w:rFonts w:ascii="Arial" w:eastAsia="Times New Roman" w:hAnsi="Arial" w:cs="Arial"/>
                <w:i/>
                <w:color w:val="FF0000"/>
                <w:szCs w:val="22"/>
              </w:rPr>
              <w:t xml:space="preserve">usage </w:t>
            </w:r>
            <w:r w:rsidRPr="00106FC7">
              <w:rPr>
                <w:rFonts w:ascii="Arial" w:eastAsia="Times New Roman" w:hAnsi="Arial" w:cs="Arial"/>
                <w:i/>
                <w:color w:val="FF0000"/>
                <w:szCs w:val="22"/>
              </w:rPr>
              <w:t>period latency for this network technology, consistent with the Open Internet Orders and FCC guidance]</w:t>
            </w:r>
          </w:p>
        </w:tc>
        <w:tc>
          <w:tcPr>
            <w:tcW w:w="270" w:type="dxa"/>
            <w:tcBorders>
              <w:top w:val="nil"/>
              <w:bottom w:val="single" w:sz="6" w:space="0" w:color="auto"/>
            </w:tcBorders>
            <w:shd w:val="clear" w:color="auto" w:fill="auto"/>
          </w:tcPr>
          <w:p w:rsidR="00294855" w:rsidP="0023143D" w14:paraId="1D92D70C" w14:textId="77777777">
            <w:pPr>
              <w:pStyle w:val="Header"/>
              <w:spacing w:before="60" w:after="60"/>
              <w:rPr>
                <w:rFonts w:ascii="Arial" w:eastAsia="Meiryo UI" w:hAnsi="Arial" w:cs="Arial"/>
                <w:b w:val="0"/>
              </w:rPr>
            </w:pPr>
            <w:r w:rsidRPr="003E684F">
              <w:rPr>
                <w:rFonts w:ascii="Arial" w:eastAsia="Meiryo UI" w:hAnsi="Arial" w:cs="Arial"/>
              </w:rPr>
              <w:t>●</w:t>
            </w:r>
          </w:p>
        </w:tc>
        <w:tc>
          <w:tcPr>
            <w:tcW w:w="4950" w:type="dxa"/>
            <w:gridSpan w:val="5"/>
            <w:tcBorders>
              <w:top w:val="nil"/>
              <w:bottom w:val="single" w:sz="6" w:space="0" w:color="auto"/>
            </w:tcBorders>
            <w:shd w:val="clear" w:color="auto" w:fill="auto"/>
          </w:tcPr>
          <w:p w:rsidR="00294855" w:rsidRPr="006035EE" w:rsidP="0023143D" w14:paraId="2550A660" w14:textId="77777777">
            <w:pPr>
              <w:pStyle w:val="Header"/>
              <w:spacing w:before="60" w:after="60"/>
              <w:jc w:val="center"/>
              <w:rPr>
                <w:rFonts w:ascii="Arial Black" w:eastAsia="Meiryo UI" w:hAnsi="Arial Black" w:cs="Arial"/>
                <w:b w:val="0"/>
                <w:szCs w:val="22"/>
              </w:rPr>
            </w:pPr>
            <w:r w:rsidRPr="006035EE">
              <w:rPr>
                <w:rFonts w:ascii="Arial Black" w:eastAsia="Meiryo UI" w:hAnsi="Arial Black" w:cs="Arial"/>
                <w:szCs w:val="22"/>
              </w:rPr>
              <w:t>Typical latency</w:t>
            </w:r>
          </w:p>
          <w:p w:rsidR="00294855" w:rsidP="0023143D" w14:paraId="220B8180" w14:textId="77777777">
            <w:pPr>
              <w:pStyle w:val="Header"/>
              <w:spacing w:before="60" w:after="60"/>
              <w:jc w:val="center"/>
              <w:rPr>
                <w:rFonts w:ascii="Arial" w:hAnsi="Arial" w:cs="Arial"/>
                <w:i/>
                <w:color w:val="FF0000"/>
                <w:szCs w:val="22"/>
              </w:rPr>
            </w:pPr>
            <w:r w:rsidRPr="00A24434">
              <w:rPr>
                <w:rFonts w:ascii="Arial" w:hAnsi="Arial" w:cs="Arial"/>
                <w:i/>
                <w:color w:val="FF0000"/>
                <w:szCs w:val="22"/>
              </w:rPr>
              <w:t>Less than [ ] milliseconds</w:t>
            </w:r>
          </w:p>
          <w:p w:rsidR="00294855" w:rsidRPr="00A24434" w:rsidP="0023143D" w14:paraId="2E73D010" w14:textId="77777777">
            <w:pPr>
              <w:pStyle w:val="Header"/>
              <w:spacing w:before="60" w:after="60"/>
              <w:jc w:val="center"/>
              <w:rPr>
                <w:rFonts w:ascii="Arial Black" w:hAnsi="Arial Black" w:cs="Arial"/>
                <w:i/>
                <w:color w:val="000000"/>
                <w:szCs w:val="22"/>
              </w:rPr>
            </w:pPr>
            <w:r w:rsidRPr="00106FC7">
              <w:rPr>
                <w:rFonts w:ascii="Arial" w:eastAsia="Times New Roman" w:hAnsi="Arial" w:cs="Arial"/>
                <w:i/>
                <w:color w:val="FF0000"/>
                <w:szCs w:val="22"/>
              </w:rPr>
              <w:t xml:space="preserve">[identify typical peak </w:t>
            </w:r>
            <w:r>
              <w:rPr>
                <w:rFonts w:ascii="Arial" w:eastAsia="Times New Roman" w:hAnsi="Arial" w:cs="Arial"/>
                <w:i/>
                <w:color w:val="FF0000"/>
                <w:szCs w:val="22"/>
              </w:rPr>
              <w:t xml:space="preserve">usage </w:t>
            </w:r>
            <w:r w:rsidRPr="00106FC7">
              <w:rPr>
                <w:rFonts w:ascii="Arial" w:eastAsia="Times New Roman" w:hAnsi="Arial" w:cs="Arial"/>
                <w:i/>
                <w:color w:val="FF0000"/>
                <w:szCs w:val="22"/>
              </w:rPr>
              <w:t>period latency for this network technology, consistent with the Open Internet Orders and FCC guidance]</w:t>
            </w:r>
          </w:p>
        </w:tc>
        <w:tc>
          <w:tcPr>
            <w:tcW w:w="270" w:type="dxa"/>
            <w:tcBorders>
              <w:top w:val="nil"/>
              <w:bottom w:val="nil"/>
              <w:right w:val="single" w:sz="24" w:space="0" w:color="auto"/>
            </w:tcBorders>
          </w:tcPr>
          <w:p w:rsidR="00294855" w:rsidRPr="00C4501C" w:rsidP="0023143D" w14:paraId="2C01B102" w14:textId="77777777">
            <w:pPr>
              <w:pStyle w:val="Header"/>
              <w:spacing w:after="120"/>
              <w:rPr>
                <w:rFonts w:ascii="Arial" w:eastAsia="Meiryo UI" w:hAnsi="Arial" w:cs="Arial"/>
                <w:b w:val="0"/>
                <w:szCs w:val="22"/>
              </w:rPr>
            </w:pPr>
          </w:p>
        </w:tc>
      </w:tr>
      <w:tr w14:paraId="6F4DA0B9"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C4501C" w:rsidP="0023143D" w14:paraId="3BA8B4B7" w14:textId="77777777">
            <w:pPr>
              <w:pStyle w:val="Header"/>
              <w:spacing w:after="120"/>
              <w:rPr>
                <w:rFonts w:ascii="Arial" w:eastAsia="Meiryo UI" w:hAnsi="Arial" w:cs="Arial"/>
                <w:b w:val="0"/>
                <w:szCs w:val="22"/>
              </w:rPr>
            </w:pPr>
          </w:p>
        </w:tc>
        <w:tc>
          <w:tcPr>
            <w:tcW w:w="5224" w:type="dxa"/>
            <w:gridSpan w:val="5"/>
            <w:tcBorders>
              <w:top w:val="nil"/>
              <w:bottom w:val="single" w:sz="6" w:space="0" w:color="auto"/>
            </w:tcBorders>
            <w:shd w:val="clear" w:color="auto" w:fill="auto"/>
          </w:tcPr>
          <w:p w:rsidR="00294855" w:rsidRPr="006E350B" w:rsidP="0023143D" w14:paraId="52299EEE" w14:textId="77777777">
            <w:pPr>
              <w:pStyle w:val="Header"/>
              <w:spacing w:before="60" w:after="60"/>
              <w:jc w:val="center"/>
              <w:rPr>
                <w:rFonts w:ascii="Arial Black" w:eastAsia="Meiryo UI" w:hAnsi="Arial Black" w:cs="Arial"/>
                <w:b w:val="0"/>
                <w:szCs w:val="22"/>
              </w:rPr>
            </w:pPr>
            <w:r w:rsidRPr="006E350B">
              <w:rPr>
                <w:rFonts w:ascii="Arial Black" w:eastAsia="Meiryo UI" w:hAnsi="Arial Black" w:cs="Arial"/>
                <w:szCs w:val="22"/>
              </w:rPr>
              <w:t>Typical Packet Loss</w:t>
            </w:r>
          </w:p>
          <w:p w:rsidR="00294855" w:rsidP="0023143D" w14:paraId="21C2F11F" w14:textId="77777777">
            <w:pPr>
              <w:pStyle w:val="Header"/>
              <w:spacing w:before="60" w:after="60"/>
              <w:jc w:val="center"/>
              <w:rPr>
                <w:rFonts w:ascii="Arial" w:hAnsi="Arial" w:cs="Arial"/>
                <w:i/>
                <w:color w:val="FF0000"/>
                <w:szCs w:val="22"/>
              </w:rPr>
            </w:pPr>
            <w:r w:rsidRPr="00A24434">
              <w:rPr>
                <w:rFonts w:ascii="Arial" w:hAnsi="Arial" w:cs="Arial"/>
                <w:i/>
                <w:color w:val="FF0000"/>
                <w:szCs w:val="22"/>
              </w:rPr>
              <w:t>[ ] %</w:t>
            </w:r>
          </w:p>
          <w:p w:rsidR="00294855" w:rsidRPr="00A24434" w:rsidP="0023143D" w14:paraId="4EA8F1E0" w14:textId="77777777">
            <w:pPr>
              <w:pStyle w:val="Header"/>
              <w:spacing w:before="60" w:after="60"/>
              <w:jc w:val="center"/>
              <w:rPr>
                <w:rFonts w:ascii="Arial Black" w:eastAsia="Meiryo UI" w:hAnsi="Arial Black" w:cs="Arial"/>
                <w:b w:val="0"/>
                <w:i/>
                <w:szCs w:val="22"/>
              </w:rPr>
            </w:pPr>
            <w:r w:rsidRPr="00106FC7">
              <w:rPr>
                <w:rFonts w:ascii="Arial" w:eastAsia="Times New Roman" w:hAnsi="Arial" w:cs="Arial"/>
                <w:i/>
                <w:color w:val="FF0000"/>
                <w:szCs w:val="22"/>
              </w:rPr>
              <w:t xml:space="preserve">[identify typical peak </w:t>
            </w:r>
            <w:r>
              <w:rPr>
                <w:rFonts w:ascii="Arial" w:eastAsia="Times New Roman" w:hAnsi="Arial" w:cs="Arial"/>
                <w:i/>
                <w:color w:val="FF0000"/>
                <w:szCs w:val="22"/>
              </w:rPr>
              <w:t xml:space="preserve">usage </w:t>
            </w:r>
            <w:r w:rsidRPr="00106FC7">
              <w:rPr>
                <w:rFonts w:ascii="Arial" w:eastAsia="Times New Roman" w:hAnsi="Arial" w:cs="Arial"/>
                <w:i/>
                <w:color w:val="FF0000"/>
                <w:szCs w:val="22"/>
              </w:rPr>
              <w:t>period packet loss for this network technology consistent with the Open Internet Orders and FCC guidance]</w:t>
            </w:r>
          </w:p>
        </w:tc>
        <w:tc>
          <w:tcPr>
            <w:tcW w:w="270" w:type="dxa"/>
            <w:tcBorders>
              <w:top w:val="nil"/>
              <w:bottom w:val="single" w:sz="6" w:space="0" w:color="auto"/>
            </w:tcBorders>
            <w:shd w:val="clear" w:color="auto" w:fill="auto"/>
          </w:tcPr>
          <w:p w:rsidR="00294855" w:rsidRPr="003E684F" w:rsidP="0023143D" w14:paraId="42540062" w14:textId="77777777">
            <w:pPr>
              <w:pStyle w:val="Header"/>
              <w:spacing w:before="60" w:after="60"/>
              <w:rPr>
                <w:rFonts w:ascii="Arial" w:eastAsia="Meiryo UI" w:hAnsi="Arial" w:cs="Arial"/>
                <w:b w:val="0"/>
              </w:rPr>
            </w:pPr>
            <w:r w:rsidRPr="003E684F">
              <w:rPr>
                <w:rFonts w:ascii="Arial" w:eastAsia="Meiryo UI" w:hAnsi="Arial" w:cs="Arial"/>
              </w:rPr>
              <w:t>●</w:t>
            </w:r>
          </w:p>
        </w:tc>
        <w:tc>
          <w:tcPr>
            <w:tcW w:w="4950" w:type="dxa"/>
            <w:gridSpan w:val="5"/>
            <w:tcBorders>
              <w:top w:val="nil"/>
              <w:bottom w:val="single" w:sz="6" w:space="0" w:color="auto"/>
            </w:tcBorders>
            <w:shd w:val="clear" w:color="auto" w:fill="auto"/>
          </w:tcPr>
          <w:p w:rsidR="00294855" w:rsidRPr="006E350B" w:rsidP="0023143D" w14:paraId="2B9F798F" w14:textId="77777777">
            <w:pPr>
              <w:pStyle w:val="Header"/>
              <w:spacing w:before="60" w:after="60"/>
              <w:jc w:val="center"/>
              <w:rPr>
                <w:rFonts w:ascii="Arial Black" w:eastAsia="Meiryo UI" w:hAnsi="Arial Black" w:cs="Arial"/>
                <w:b w:val="0"/>
                <w:szCs w:val="22"/>
              </w:rPr>
            </w:pPr>
            <w:r w:rsidRPr="006E350B">
              <w:rPr>
                <w:rFonts w:ascii="Arial Black" w:eastAsia="Meiryo UI" w:hAnsi="Arial Black" w:cs="Arial"/>
                <w:szCs w:val="22"/>
              </w:rPr>
              <w:t>Typical Packet Loss</w:t>
            </w:r>
          </w:p>
          <w:p w:rsidR="00294855" w:rsidP="0023143D" w14:paraId="20072124" w14:textId="77777777">
            <w:pPr>
              <w:pStyle w:val="Header"/>
              <w:spacing w:before="60" w:after="60"/>
              <w:jc w:val="center"/>
              <w:rPr>
                <w:rFonts w:ascii="Arial" w:hAnsi="Arial" w:cs="Arial"/>
                <w:i/>
                <w:color w:val="FF0000"/>
                <w:szCs w:val="22"/>
              </w:rPr>
            </w:pPr>
            <w:r w:rsidRPr="00A24434">
              <w:rPr>
                <w:rFonts w:ascii="Arial" w:hAnsi="Arial" w:cs="Arial"/>
                <w:i/>
                <w:color w:val="FF0000"/>
                <w:szCs w:val="22"/>
              </w:rPr>
              <w:t>[ ] %</w:t>
            </w:r>
          </w:p>
          <w:p w:rsidR="00294855" w:rsidRPr="00A24434" w:rsidP="0023143D" w14:paraId="4C8F32C7" w14:textId="77777777">
            <w:pPr>
              <w:pStyle w:val="Header"/>
              <w:spacing w:before="60" w:after="60"/>
              <w:jc w:val="center"/>
              <w:rPr>
                <w:rFonts w:ascii="Arial Black" w:eastAsia="Meiryo UI" w:hAnsi="Arial Black" w:cs="Arial"/>
                <w:b w:val="0"/>
                <w:i/>
                <w:szCs w:val="22"/>
              </w:rPr>
            </w:pPr>
            <w:r w:rsidRPr="00106FC7">
              <w:rPr>
                <w:rFonts w:ascii="Arial" w:eastAsia="Times New Roman" w:hAnsi="Arial" w:cs="Arial"/>
                <w:i/>
                <w:color w:val="FF0000"/>
                <w:szCs w:val="22"/>
              </w:rPr>
              <w:t xml:space="preserve">[identify typical peak </w:t>
            </w:r>
            <w:r>
              <w:rPr>
                <w:rFonts w:ascii="Arial" w:eastAsia="Times New Roman" w:hAnsi="Arial" w:cs="Arial"/>
                <w:i/>
                <w:color w:val="FF0000"/>
                <w:szCs w:val="22"/>
              </w:rPr>
              <w:t xml:space="preserve">usage </w:t>
            </w:r>
            <w:r w:rsidRPr="00106FC7">
              <w:rPr>
                <w:rFonts w:ascii="Arial" w:eastAsia="Times New Roman" w:hAnsi="Arial" w:cs="Arial"/>
                <w:i/>
                <w:color w:val="FF0000"/>
                <w:szCs w:val="22"/>
              </w:rPr>
              <w:t>period packet loss for this network technology consistent with the Open Internet Orders and FCC guidance]</w:t>
            </w:r>
          </w:p>
        </w:tc>
        <w:tc>
          <w:tcPr>
            <w:tcW w:w="270" w:type="dxa"/>
            <w:tcBorders>
              <w:top w:val="nil"/>
              <w:bottom w:val="nil"/>
              <w:right w:val="single" w:sz="24" w:space="0" w:color="auto"/>
            </w:tcBorders>
          </w:tcPr>
          <w:p w:rsidR="00294855" w:rsidRPr="00C4501C" w:rsidP="0023143D" w14:paraId="2C9BC7D2" w14:textId="77777777">
            <w:pPr>
              <w:pStyle w:val="Header"/>
              <w:spacing w:after="120"/>
              <w:rPr>
                <w:rFonts w:ascii="Arial" w:eastAsia="Meiryo UI" w:hAnsi="Arial" w:cs="Arial"/>
                <w:b w:val="0"/>
                <w:szCs w:val="22"/>
              </w:rPr>
            </w:pPr>
          </w:p>
        </w:tc>
      </w:tr>
      <w:tr w14:paraId="2ECDD479"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C4501C" w:rsidP="0023143D" w14:paraId="101BC675" w14:textId="77777777">
            <w:pPr>
              <w:pStyle w:val="Header"/>
              <w:spacing w:after="120"/>
              <w:rPr>
                <w:rFonts w:ascii="Arial" w:eastAsia="Meiryo UI" w:hAnsi="Arial" w:cs="Arial"/>
                <w:b w:val="0"/>
                <w:szCs w:val="22"/>
              </w:rPr>
            </w:pPr>
          </w:p>
        </w:tc>
        <w:tc>
          <w:tcPr>
            <w:tcW w:w="4954" w:type="dxa"/>
            <w:gridSpan w:val="4"/>
            <w:tcBorders>
              <w:top w:val="single" w:sz="36" w:space="0" w:color="auto"/>
              <w:bottom w:val="single" w:sz="6" w:space="0" w:color="auto"/>
            </w:tcBorders>
            <w:shd w:val="clear" w:color="auto" w:fill="auto"/>
          </w:tcPr>
          <w:p w:rsidR="00294855" w:rsidRPr="00AA70ED" w:rsidP="0023143D" w14:paraId="149923B0" w14:textId="77777777">
            <w:pPr>
              <w:spacing w:before="60" w:after="60"/>
              <w:rPr>
                <w:rFonts w:ascii="Arial Black" w:hAnsi="Arial Black" w:cs="Arial"/>
                <w:color w:val="000000"/>
                <w:szCs w:val="22"/>
              </w:rPr>
            </w:pPr>
            <w:r w:rsidRPr="00AA70ED">
              <w:rPr>
                <w:rFonts w:ascii="Arial Black" w:hAnsi="Arial Black" w:cs="Arial"/>
                <w:color w:val="000000"/>
                <w:szCs w:val="22"/>
              </w:rPr>
              <w:t>Network Management</w:t>
            </w:r>
          </w:p>
        </w:tc>
        <w:tc>
          <w:tcPr>
            <w:tcW w:w="5490" w:type="dxa"/>
            <w:gridSpan w:val="7"/>
            <w:tcBorders>
              <w:top w:val="single" w:sz="36" w:space="0" w:color="auto"/>
              <w:bottom w:val="single" w:sz="6" w:space="0" w:color="auto"/>
            </w:tcBorders>
            <w:shd w:val="clear" w:color="auto" w:fill="auto"/>
          </w:tcPr>
          <w:p w:rsidR="00294855" w:rsidRPr="00AA70ED" w:rsidP="0023143D" w14:paraId="51FADEB8" w14:textId="77777777">
            <w:pPr>
              <w:pStyle w:val="TableParagraph"/>
              <w:spacing w:before="60" w:after="60"/>
              <w:ind w:right="72"/>
              <w:jc w:val="right"/>
              <w:rPr>
                <w:rFonts w:ascii="Arial Black" w:hAnsi="Arial Black" w:cs="Arial"/>
                <w:color w:val="000000"/>
              </w:rPr>
            </w:pPr>
          </w:p>
        </w:tc>
        <w:tc>
          <w:tcPr>
            <w:tcW w:w="270" w:type="dxa"/>
            <w:tcBorders>
              <w:top w:val="nil"/>
              <w:bottom w:val="nil"/>
              <w:right w:val="single" w:sz="24" w:space="0" w:color="auto"/>
            </w:tcBorders>
          </w:tcPr>
          <w:p w:rsidR="00294855" w:rsidRPr="00C4501C" w:rsidP="0023143D" w14:paraId="203F1322" w14:textId="77777777">
            <w:pPr>
              <w:pStyle w:val="Header"/>
              <w:spacing w:after="120"/>
              <w:rPr>
                <w:rFonts w:ascii="Arial" w:eastAsia="Meiryo UI" w:hAnsi="Arial" w:cs="Arial"/>
                <w:b w:val="0"/>
                <w:szCs w:val="22"/>
              </w:rPr>
            </w:pPr>
          </w:p>
        </w:tc>
      </w:tr>
      <w:tr w14:paraId="05052E32"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C4501C" w:rsidP="0023143D" w14:paraId="295CE69F" w14:textId="77777777">
            <w:pPr>
              <w:pStyle w:val="Header"/>
              <w:spacing w:after="120"/>
              <w:rPr>
                <w:rFonts w:ascii="Arial" w:eastAsia="Meiryo UI" w:hAnsi="Arial" w:cs="Arial"/>
                <w:b w:val="0"/>
                <w:szCs w:val="22"/>
              </w:rPr>
            </w:pPr>
          </w:p>
        </w:tc>
        <w:tc>
          <w:tcPr>
            <w:tcW w:w="6754" w:type="dxa"/>
            <w:gridSpan w:val="9"/>
            <w:tcBorders>
              <w:top w:val="single" w:sz="6" w:space="0" w:color="auto"/>
              <w:bottom w:val="single" w:sz="6" w:space="0" w:color="auto"/>
            </w:tcBorders>
            <w:shd w:val="clear" w:color="auto" w:fill="auto"/>
          </w:tcPr>
          <w:p w:rsidR="00294855" w:rsidRPr="00AA70ED" w:rsidP="0023143D" w14:paraId="6C08323B" w14:textId="77777777">
            <w:pPr>
              <w:spacing w:before="60" w:after="60"/>
              <w:rPr>
                <w:rFonts w:ascii="Arial" w:eastAsia="Meiryo UI" w:hAnsi="Arial" w:cs="Arial"/>
                <w:color w:val="000000" w:themeColor="text1"/>
                <w:szCs w:val="22"/>
              </w:rPr>
            </w:pPr>
            <w:r w:rsidRPr="00AA70ED">
              <w:rPr>
                <w:rFonts w:ascii="Arial" w:eastAsia="Meiryo UI" w:hAnsi="Arial" w:cs="Arial"/>
                <w:color w:val="000000" w:themeColor="text1"/>
                <w:szCs w:val="22"/>
              </w:rPr>
              <w:t>Application-specific network management practices?</w:t>
            </w:r>
          </w:p>
          <w:p w:rsidR="00294855" w:rsidRPr="00AA70ED" w:rsidP="0023143D" w14:paraId="117C04C9" w14:textId="77777777">
            <w:pPr>
              <w:spacing w:before="60" w:after="60"/>
              <w:rPr>
                <w:rFonts w:ascii="Arial" w:hAnsi="Arial" w:cs="Arial"/>
                <w:color w:val="000000"/>
                <w:szCs w:val="22"/>
              </w:rPr>
            </w:pPr>
            <w:r w:rsidRPr="00106FC7">
              <w:rPr>
                <w:rFonts w:ascii="Arial" w:eastAsia="Times New Roman" w:hAnsi="Arial" w:cs="Arial"/>
                <w:i/>
                <w:color w:val="FF0000"/>
                <w:szCs w:val="22"/>
              </w:rPr>
              <w:t>[answer yes or no; if yes, provide a brief description and a link to a full discussion that identifies application-specific network management practices, when such practices are triggered, and the effect such practices could have on performance]</w:t>
            </w:r>
          </w:p>
        </w:tc>
        <w:tc>
          <w:tcPr>
            <w:tcW w:w="3690" w:type="dxa"/>
            <w:gridSpan w:val="2"/>
            <w:tcBorders>
              <w:top w:val="single" w:sz="6" w:space="0" w:color="auto"/>
              <w:bottom w:val="single" w:sz="6" w:space="0" w:color="auto"/>
            </w:tcBorders>
            <w:shd w:val="clear" w:color="auto" w:fill="auto"/>
          </w:tcPr>
          <w:p w:rsidR="00294855" w:rsidRPr="00777148" w:rsidP="0023143D" w14:paraId="5DD05687" w14:textId="77777777">
            <w:pPr>
              <w:pStyle w:val="TableParagraph"/>
              <w:spacing w:before="60" w:after="60"/>
              <w:ind w:right="72"/>
              <w:jc w:val="right"/>
              <w:rPr>
                <w:rFonts w:ascii="Arial Black" w:hAnsi="Arial Black" w:cs="Arial"/>
                <w:i/>
                <w:color w:val="FF0000"/>
              </w:rPr>
            </w:pPr>
            <w:r w:rsidRPr="00777148">
              <w:rPr>
                <w:rFonts w:ascii="Arial Black" w:hAnsi="Arial Black" w:cs="Arial"/>
                <w:i/>
                <w:color w:val="FF0000"/>
              </w:rPr>
              <w:t>Yes/No</w:t>
            </w:r>
          </w:p>
        </w:tc>
        <w:tc>
          <w:tcPr>
            <w:tcW w:w="270" w:type="dxa"/>
            <w:tcBorders>
              <w:top w:val="nil"/>
              <w:bottom w:val="nil"/>
              <w:right w:val="single" w:sz="24" w:space="0" w:color="auto"/>
            </w:tcBorders>
          </w:tcPr>
          <w:p w:rsidR="00294855" w:rsidRPr="00C4501C" w:rsidP="0023143D" w14:paraId="1C946C23" w14:textId="77777777">
            <w:pPr>
              <w:pStyle w:val="Header"/>
              <w:spacing w:after="120"/>
              <w:rPr>
                <w:rFonts w:ascii="Arial" w:eastAsia="Meiryo UI" w:hAnsi="Arial" w:cs="Arial"/>
                <w:b w:val="0"/>
                <w:szCs w:val="22"/>
              </w:rPr>
            </w:pPr>
          </w:p>
        </w:tc>
      </w:tr>
      <w:tr w14:paraId="6A515B07"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C4501C" w:rsidP="0023143D" w14:paraId="32C9DF79" w14:textId="77777777">
            <w:pPr>
              <w:pStyle w:val="Header"/>
              <w:spacing w:after="120"/>
              <w:rPr>
                <w:rFonts w:ascii="Arial" w:eastAsia="Meiryo UI" w:hAnsi="Arial" w:cs="Arial"/>
                <w:b w:val="0"/>
                <w:szCs w:val="22"/>
              </w:rPr>
            </w:pPr>
          </w:p>
        </w:tc>
        <w:tc>
          <w:tcPr>
            <w:tcW w:w="6754" w:type="dxa"/>
            <w:gridSpan w:val="9"/>
            <w:tcBorders>
              <w:top w:val="single" w:sz="6" w:space="0" w:color="auto"/>
              <w:bottom w:val="single" w:sz="6" w:space="0" w:color="auto"/>
            </w:tcBorders>
            <w:shd w:val="clear" w:color="auto" w:fill="auto"/>
          </w:tcPr>
          <w:p w:rsidR="00294855" w:rsidP="0023143D" w14:paraId="058EFE5A" w14:textId="77777777">
            <w:pPr>
              <w:spacing w:before="60" w:after="60"/>
              <w:rPr>
                <w:rFonts w:ascii="Arial" w:eastAsia="Meiryo UI" w:hAnsi="Arial" w:cs="Arial"/>
                <w:color w:val="000000" w:themeColor="text1"/>
                <w:szCs w:val="22"/>
              </w:rPr>
            </w:pPr>
            <w:r w:rsidRPr="00AA70ED">
              <w:rPr>
                <w:rFonts w:ascii="Arial" w:eastAsia="Meiryo UI" w:hAnsi="Arial" w:cs="Arial"/>
                <w:color w:val="000000" w:themeColor="text1"/>
                <w:szCs w:val="22"/>
              </w:rPr>
              <w:t xml:space="preserve">Subscriber-triggered network management practices? </w:t>
            </w:r>
          </w:p>
          <w:p w:rsidR="00294855" w:rsidRPr="00AA70ED" w:rsidP="0023143D" w14:paraId="59C06A8E" w14:textId="77777777">
            <w:pPr>
              <w:spacing w:before="60" w:after="60"/>
              <w:rPr>
                <w:rFonts w:ascii="Arial" w:eastAsia="Meiryo UI" w:hAnsi="Arial" w:cs="Arial"/>
                <w:color w:val="000000" w:themeColor="text1"/>
                <w:szCs w:val="22"/>
              </w:rPr>
            </w:pPr>
            <w:r w:rsidRPr="00106FC7">
              <w:rPr>
                <w:rFonts w:ascii="Arial" w:eastAsia="Times New Roman" w:hAnsi="Arial" w:cs="Arial"/>
                <w:i/>
                <w:color w:val="FF0000"/>
                <w:szCs w:val="22"/>
              </w:rPr>
              <w:t>[answer yes or no; if yes, provide a brief description and a link to a full discussion that identifies subscriber-triggered network management practices, when such practices are triggered, and the effect such practices could have on performance]</w:t>
            </w:r>
          </w:p>
        </w:tc>
        <w:tc>
          <w:tcPr>
            <w:tcW w:w="3690" w:type="dxa"/>
            <w:gridSpan w:val="2"/>
            <w:tcBorders>
              <w:top w:val="single" w:sz="6" w:space="0" w:color="auto"/>
              <w:bottom w:val="single" w:sz="6" w:space="0" w:color="auto"/>
            </w:tcBorders>
            <w:shd w:val="clear" w:color="auto" w:fill="auto"/>
          </w:tcPr>
          <w:p w:rsidR="00294855" w:rsidRPr="00777148" w:rsidP="0023143D" w14:paraId="45C4BBB4" w14:textId="77777777">
            <w:pPr>
              <w:pStyle w:val="TableParagraph"/>
              <w:spacing w:before="60" w:after="60"/>
              <w:ind w:right="72"/>
              <w:jc w:val="right"/>
              <w:rPr>
                <w:rFonts w:ascii="Arial Black" w:hAnsi="Arial Black" w:cs="Arial"/>
                <w:i/>
                <w:color w:val="FF0000"/>
              </w:rPr>
            </w:pPr>
            <w:r w:rsidRPr="00777148">
              <w:rPr>
                <w:rFonts w:ascii="Arial Black" w:hAnsi="Arial Black" w:cs="Arial"/>
                <w:i/>
                <w:color w:val="FF0000"/>
              </w:rPr>
              <w:t>Yes/No</w:t>
            </w:r>
          </w:p>
        </w:tc>
        <w:tc>
          <w:tcPr>
            <w:tcW w:w="270" w:type="dxa"/>
            <w:tcBorders>
              <w:top w:val="nil"/>
              <w:bottom w:val="nil"/>
              <w:right w:val="single" w:sz="24" w:space="0" w:color="auto"/>
            </w:tcBorders>
          </w:tcPr>
          <w:p w:rsidR="00294855" w:rsidRPr="00C4501C" w:rsidP="0023143D" w14:paraId="2761B45F" w14:textId="77777777">
            <w:pPr>
              <w:pStyle w:val="Header"/>
              <w:spacing w:after="120"/>
              <w:rPr>
                <w:rFonts w:ascii="Arial" w:eastAsia="Meiryo UI" w:hAnsi="Arial" w:cs="Arial"/>
                <w:b w:val="0"/>
                <w:szCs w:val="22"/>
              </w:rPr>
            </w:pPr>
          </w:p>
        </w:tc>
      </w:tr>
      <w:tr w14:paraId="6CDCD32C"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C4501C" w:rsidP="0023143D" w14:paraId="4E1E166D" w14:textId="77777777">
            <w:pPr>
              <w:pStyle w:val="Header"/>
              <w:spacing w:after="120"/>
              <w:rPr>
                <w:rFonts w:ascii="Arial" w:eastAsia="Meiryo UI" w:hAnsi="Arial" w:cs="Arial"/>
                <w:b w:val="0"/>
                <w:szCs w:val="22"/>
              </w:rPr>
            </w:pPr>
          </w:p>
        </w:tc>
        <w:tc>
          <w:tcPr>
            <w:tcW w:w="10444" w:type="dxa"/>
            <w:gridSpan w:val="11"/>
            <w:tcBorders>
              <w:top w:val="single" w:sz="6" w:space="0" w:color="auto"/>
              <w:bottom w:val="single" w:sz="6" w:space="0" w:color="auto"/>
            </w:tcBorders>
            <w:shd w:val="clear" w:color="auto" w:fill="auto"/>
          </w:tcPr>
          <w:p w:rsidR="00294855" w:rsidP="0023143D" w14:paraId="734F293D" w14:textId="77777777">
            <w:pPr>
              <w:pStyle w:val="Header"/>
              <w:spacing w:before="60" w:after="60"/>
              <w:rPr>
                <w:rFonts w:ascii="Arial" w:hAnsi="Arial" w:cs="Arial"/>
                <w:color w:val="44546A" w:themeColor="text2"/>
                <w:szCs w:val="22"/>
                <w:u w:val="single"/>
              </w:rPr>
            </w:pPr>
            <w:r w:rsidRPr="00814120">
              <w:rPr>
                <w:rFonts w:ascii="Arial" w:hAnsi="Arial" w:cs="Arial"/>
                <w:szCs w:val="22"/>
              </w:rPr>
              <w:t xml:space="preserve">More </w:t>
            </w:r>
            <w:r w:rsidRPr="00AA70ED">
              <w:rPr>
                <w:rFonts w:ascii="Arial" w:hAnsi="Arial" w:cs="Arial"/>
                <w:color w:val="44546A" w:themeColor="text2"/>
                <w:szCs w:val="22"/>
                <w:u w:val="single"/>
              </w:rPr>
              <w:t xml:space="preserve">details on network </w:t>
            </w:r>
            <w:r>
              <w:rPr>
                <w:rFonts w:ascii="Arial" w:hAnsi="Arial" w:cs="Arial"/>
                <w:color w:val="44546A" w:themeColor="text2"/>
                <w:szCs w:val="22"/>
                <w:u w:val="single"/>
              </w:rPr>
              <w:t>management</w:t>
            </w:r>
          </w:p>
          <w:p w:rsidR="00294855" w:rsidRPr="00FB5B85" w:rsidP="0023143D" w14:paraId="3EEDFA9A" w14:textId="77777777">
            <w:pPr>
              <w:pStyle w:val="TableParagraph"/>
              <w:spacing w:before="60" w:after="60"/>
              <w:ind w:right="72"/>
              <w:rPr>
                <w:rFonts w:ascii="Arial" w:eastAsia="Times New Roman" w:hAnsi="Arial" w:cs="Arial"/>
                <w:i/>
                <w:color w:val="FF0000"/>
              </w:rPr>
            </w:pPr>
            <w:r w:rsidRPr="00106FC7">
              <w:rPr>
                <w:rFonts w:ascii="Arial" w:eastAsia="Times New Roman" w:hAnsi="Arial" w:cs="Arial"/>
                <w:i/>
                <w:color w:val="FF0000"/>
              </w:rPr>
              <w:t>[at underlined language provide a link to the company’s full disclosure of network management practices]</w:t>
            </w:r>
          </w:p>
        </w:tc>
        <w:tc>
          <w:tcPr>
            <w:tcW w:w="270" w:type="dxa"/>
            <w:tcBorders>
              <w:top w:val="nil"/>
              <w:bottom w:val="nil"/>
              <w:right w:val="single" w:sz="24" w:space="0" w:color="auto"/>
            </w:tcBorders>
          </w:tcPr>
          <w:p w:rsidR="00294855" w:rsidRPr="00C4501C" w:rsidP="0023143D" w14:paraId="4AB3C015" w14:textId="77777777">
            <w:pPr>
              <w:pStyle w:val="Header"/>
              <w:spacing w:after="120"/>
              <w:rPr>
                <w:rFonts w:ascii="Arial" w:eastAsia="Meiryo UI" w:hAnsi="Arial" w:cs="Arial"/>
                <w:b w:val="0"/>
                <w:szCs w:val="22"/>
              </w:rPr>
            </w:pPr>
          </w:p>
        </w:tc>
      </w:tr>
      <w:tr w14:paraId="47468B2C"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C4501C" w:rsidP="0023143D" w14:paraId="6E9E2E40" w14:textId="77777777">
            <w:pPr>
              <w:pStyle w:val="Header"/>
              <w:spacing w:after="120"/>
              <w:rPr>
                <w:rFonts w:ascii="Arial" w:eastAsia="Meiryo UI" w:hAnsi="Arial" w:cs="Arial"/>
                <w:b w:val="0"/>
                <w:szCs w:val="22"/>
              </w:rPr>
            </w:pPr>
          </w:p>
        </w:tc>
        <w:tc>
          <w:tcPr>
            <w:tcW w:w="4954" w:type="dxa"/>
            <w:gridSpan w:val="4"/>
            <w:tcBorders>
              <w:top w:val="single" w:sz="6" w:space="0" w:color="auto"/>
              <w:bottom w:val="single" w:sz="6" w:space="0" w:color="auto"/>
            </w:tcBorders>
            <w:shd w:val="clear" w:color="auto" w:fill="auto"/>
          </w:tcPr>
          <w:p w:rsidR="00294855" w:rsidP="0023143D" w14:paraId="45614369" w14:textId="77777777">
            <w:pPr>
              <w:spacing w:before="60" w:after="60"/>
              <w:rPr>
                <w:rFonts w:ascii="Arial Black" w:eastAsia="Meiryo UI" w:hAnsi="Arial Black" w:cs="Arial"/>
                <w:color w:val="000000" w:themeColor="text1"/>
                <w:szCs w:val="22"/>
              </w:rPr>
            </w:pPr>
            <w:r w:rsidRPr="00AA70ED">
              <w:rPr>
                <w:rFonts w:ascii="Arial Black" w:eastAsia="Meiryo UI" w:hAnsi="Arial Black" w:cs="Arial"/>
                <w:color w:val="000000" w:themeColor="text1"/>
                <w:szCs w:val="22"/>
              </w:rPr>
              <w:t>Privacy</w:t>
            </w:r>
          </w:p>
          <w:p w:rsidR="00294855" w:rsidRPr="00BF004A" w:rsidP="0023143D" w14:paraId="3F63FE38" w14:textId="77777777">
            <w:pPr>
              <w:spacing w:before="60" w:after="60"/>
              <w:rPr>
                <w:rFonts w:ascii="Arial Black" w:eastAsia="Meiryo UI" w:hAnsi="Arial Black" w:cs="Arial"/>
                <w:color w:val="000000" w:themeColor="text1"/>
                <w:szCs w:val="22"/>
              </w:rPr>
            </w:pPr>
            <w:r w:rsidRPr="00BF004A">
              <w:rPr>
                <w:rFonts w:ascii="Arial" w:eastAsia="Times New Roman" w:hAnsi="Arial" w:cs="Arial"/>
                <w:i/>
                <w:color w:val="FF0000"/>
                <w:szCs w:val="22"/>
                <w:u w:val="single"/>
              </w:rPr>
              <w:t>[</w:t>
            </w:r>
            <w:r w:rsidRPr="00BF004A">
              <w:rPr>
                <w:rFonts w:ascii="Arial" w:eastAsia="Times New Roman" w:hAnsi="Arial" w:cs="Arial"/>
                <w:i/>
                <w:color w:val="FF0000"/>
                <w:szCs w:val="22"/>
              </w:rPr>
              <w:t>at underlined language provide a link to the company’s privacy policy for broadband services]</w:t>
            </w:r>
          </w:p>
        </w:tc>
        <w:tc>
          <w:tcPr>
            <w:tcW w:w="5490" w:type="dxa"/>
            <w:gridSpan w:val="7"/>
            <w:tcBorders>
              <w:top w:val="single" w:sz="6" w:space="0" w:color="auto"/>
              <w:bottom w:val="single" w:sz="6" w:space="0" w:color="auto"/>
            </w:tcBorders>
            <w:shd w:val="clear" w:color="auto" w:fill="auto"/>
          </w:tcPr>
          <w:p w:rsidR="00294855" w:rsidP="0023143D" w14:paraId="7A1C7378" w14:textId="77777777">
            <w:pPr>
              <w:pStyle w:val="TableParagraph"/>
              <w:spacing w:before="60" w:after="60"/>
              <w:ind w:right="72"/>
              <w:jc w:val="right"/>
              <w:rPr>
                <w:rFonts w:ascii="Arial" w:hAnsi="Arial" w:cs="Arial"/>
              </w:rPr>
            </w:pPr>
          </w:p>
          <w:p w:rsidR="00294855" w:rsidRPr="00AA70ED" w:rsidP="0023143D" w14:paraId="3086CD96" w14:textId="77777777">
            <w:pPr>
              <w:pStyle w:val="TableParagraph"/>
              <w:spacing w:before="60" w:after="60"/>
              <w:ind w:right="72"/>
              <w:jc w:val="right"/>
              <w:rPr>
                <w:rFonts w:ascii="Arial" w:hAnsi="Arial" w:cs="Arial"/>
                <w:color w:val="000000"/>
              </w:rPr>
            </w:pPr>
            <w:r w:rsidRPr="00814120">
              <w:rPr>
                <w:rFonts w:ascii="Arial" w:hAnsi="Arial" w:cs="Arial"/>
              </w:rPr>
              <w:t xml:space="preserve">See our </w:t>
            </w:r>
            <w:r w:rsidRPr="00AA70ED">
              <w:rPr>
                <w:rFonts w:ascii="Arial" w:hAnsi="Arial" w:cs="Arial"/>
                <w:color w:val="44546A" w:themeColor="text2"/>
                <w:u w:val="single"/>
              </w:rPr>
              <w:t>privacy policy</w:t>
            </w:r>
          </w:p>
        </w:tc>
        <w:tc>
          <w:tcPr>
            <w:tcW w:w="270" w:type="dxa"/>
            <w:tcBorders>
              <w:top w:val="nil"/>
              <w:bottom w:val="nil"/>
              <w:right w:val="single" w:sz="24" w:space="0" w:color="auto"/>
            </w:tcBorders>
          </w:tcPr>
          <w:p w:rsidR="00294855" w:rsidRPr="00C4501C" w:rsidP="0023143D" w14:paraId="3E89CB3C" w14:textId="77777777">
            <w:pPr>
              <w:pStyle w:val="Header"/>
              <w:spacing w:after="120"/>
              <w:rPr>
                <w:rFonts w:ascii="Arial" w:eastAsia="Meiryo UI" w:hAnsi="Arial" w:cs="Arial"/>
                <w:b w:val="0"/>
                <w:szCs w:val="22"/>
              </w:rPr>
            </w:pPr>
          </w:p>
        </w:tc>
      </w:tr>
      <w:tr w14:paraId="21AB9AC1"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C4501C" w:rsidP="0023143D" w14:paraId="7855F0AC" w14:textId="77777777">
            <w:pPr>
              <w:pStyle w:val="Header"/>
              <w:spacing w:after="120"/>
              <w:rPr>
                <w:rFonts w:ascii="Arial" w:eastAsia="Meiryo UI" w:hAnsi="Arial" w:cs="Arial"/>
                <w:b w:val="0"/>
                <w:szCs w:val="22"/>
              </w:rPr>
            </w:pPr>
          </w:p>
        </w:tc>
        <w:tc>
          <w:tcPr>
            <w:tcW w:w="6214" w:type="dxa"/>
            <w:gridSpan w:val="7"/>
            <w:tcBorders>
              <w:top w:val="single" w:sz="6" w:space="0" w:color="auto"/>
              <w:bottom w:val="single" w:sz="6" w:space="0" w:color="auto"/>
            </w:tcBorders>
            <w:shd w:val="clear" w:color="auto" w:fill="auto"/>
          </w:tcPr>
          <w:p w:rsidR="00294855" w:rsidP="0023143D" w14:paraId="13FEE096" w14:textId="77777777">
            <w:pPr>
              <w:spacing w:before="60" w:after="60"/>
              <w:rPr>
                <w:rFonts w:ascii="Arial Black" w:eastAsia="Meiryo UI" w:hAnsi="Arial Black" w:cs="Arial"/>
                <w:color w:val="000000" w:themeColor="text1"/>
                <w:szCs w:val="22"/>
              </w:rPr>
            </w:pPr>
            <w:r w:rsidRPr="00AA70ED">
              <w:rPr>
                <w:rFonts w:ascii="Arial Black" w:eastAsia="Meiryo UI" w:hAnsi="Arial Black" w:cs="Arial"/>
                <w:color w:val="000000" w:themeColor="text1"/>
                <w:szCs w:val="22"/>
              </w:rPr>
              <w:t>Complaints or Inquiries</w:t>
            </w:r>
          </w:p>
          <w:p w:rsidR="00294855" w:rsidRPr="00BF004A" w:rsidP="0023143D" w14:paraId="33FA95C3" w14:textId="77777777">
            <w:pPr>
              <w:spacing w:before="60" w:after="60"/>
              <w:rPr>
                <w:rFonts w:ascii="Arial" w:eastAsia="Times New Roman" w:hAnsi="Arial" w:cs="Arial"/>
                <w:i/>
                <w:color w:val="FF0000"/>
                <w:szCs w:val="22"/>
                <w:u w:val="single"/>
              </w:rPr>
            </w:pPr>
            <w:r w:rsidRPr="00BF004A">
              <w:rPr>
                <w:rFonts w:ascii="Arial" w:eastAsia="Times New Roman" w:hAnsi="Arial" w:cs="Arial"/>
                <w:i/>
                <w:color w:val="FF0000"/>
                <w:szCs w:val="22"/>
                <w:u w:val="single"/>
              </w:rPr>
              <w:t>[</w:t>
            </w:r>
            <w:r w:rsidRPr="00BF004A">
              <w:rPr>
                <w:rFonts w:ascii="Arial" w:eastAsia="Times New Roman" w:hAnsi="Arial" w:cs="Arial"/>
                <w:i/>
                <w:color w:val="FF0000"/>
                <w:szCs w:val="22"/>
              </w:rPr>
              <w:t>at underlined language provide a link to the primary customer service web page</w:t>
            </w:r>
            <w:r>
              <w:rPr>
                <w:rFonts w:ascii="Arial" w:eastAsia="Times New Roman" w:hAnsi="Arial" w:cs="Arial"/>
                <w:i/>
                <w:color w:val="FF0000"/>
                <w:szCs w:val="22"/>
              </w:rPr>
              <w:t xml:space="preserve">; provide the </w:t>
            </w:r>
            <w:r w:rsidRPr="00BF004A">
              <w:rPr>
                <w:rFonts w:ascii="Arial" w:eastAsia="Times New Roman" w:hAnsi="Arial" w:cs="Arial"/>
                <w:i/>
                <w:color w:val="FF0000"/>
                <w:szCs w:val="22"/>
              </w:rPr>
              <w:t>phone number for the company’s customer service center and</w:t>
            </w:r>
            <w:r w:rsidRPr="00BF004A">
              <w:rPr>
                <w:rFonts w:ascii="Arial" w:eastAsia="Times New Roman" w:hAnsi="Arial" w:cs="Arial"/>
                <w:i/>
                <w:color w:val="FF0000"/>
                <w:szCs w:val="22"/>
                <w:u w:val="single"/>
              </w:rPr>
              <w:t>]</w:t>
            </w:r>
          </w:p>
          <w:p w:rsidR="00294855" w:rsidRPr="00BF004A" w:rsidP="0023143D" w14:paraId="2F502751" w14:textId="77777777">
            <w:pPr>
              <w:spacing w:before="60" w:after="60"/>
              <w:rPr>
                <w:rFonts w:ascii="Arial Black" w:eastAsia="Meiryo UI" w:hAnsi="Arial Black" w:cs="Arial"/>
                <w:color w:val="000000" w:themeColor="text1"/>
              </w:rPr>
            </w:pPr>
            <w:r w:rsidRPr="00BF004A">
              <w:rPr>
                <w:rFonts w:ascii="Arial" w:eastAsia="Times New Roman" w:hAnsi="Arial" w:cs="Arial"/>
                <w:i/>
                <w:color w:val="FF0000"/>
                <w:szCs w:val="22"/>
              </w:rPr>
              <w:t>[at underlined language provide a link to the FCC’s complaint center; provide the phone number for the FCC’s complaint center]</w:t>
            </w:r>
          </w:p>
        </w:tc>
        <w:tc>
          <w:tcPr>
            <w:tcW w:w="4230" w:type="dxa"/>
            <w:gridSpan w:val="4"/>
            <w:tcBorders>
              <w:top w:val="single" w:sz="6" w:space="0" w:color="auto"/>
              <w:bottom w:val="single" w:sz="6" w:space="0" w:color="auto"/>
            </w:tcBorders>
            <w:shd w:val="clear" w:color="auto" w:fill="auto"/>
          </w:tcPr>
          <w:p w:rsidR="00294855" w:rsidP="0023143D" w14:paraId="31012139" w14:textId="77777777">
            <w:pPr>
              <w:pStyle w:val="Header"/>
              <w:spacing w:before="60" w:after="60"/>
              <w:jc w:val="right"/>
              <w:rPr>
                <w:rFonts w:ascii="Arial" w:hAnsi="Arial" w:cs="Arial"/>
                <w:color w:val="000000"/>
                <w:szCs w:val="22"/>
              </w:rPr>
            </w:pPr>
          </w:p>
          <w:p w:rsidR="00294855" w:rsidRPr="00AA70ED" w:rsidP="0023143D" w14:paraId="13645689" w14:textId="77777777">
            <w:pPr>
              <w:pStyle w:val="Header"/>
              <w:spacing w:before="60" w:after="60"/>
              <w:jc w:val="right"/>
              <w:rPr>
                <w:rFonts w:ascii="Arial" w:hAnsi="Arial" w:cs="Arial"/>
                <w:color w:val="000000"/>
                <w:szCs w:val="22"/>
              </w:rPr>
            </w:pPr>
            <w:r>
              <w:rPr>
                <w:rFonts w:ascii="Arial" w:hAnsi="Arial" w:cs="Arial"/>
                <w:color w:val="000000"/>
                <w:szCs w:val="22"/>
              </w:rPr>
              <w:t>To c</w:t>
            </w:r>
            <w:r w:rsidRPr="00AA70ED">
              <w:rPr>
                <w:rFonts w:ascii="Arial" w:hAnsi="Arial" w:cs="Arial"/>
                <w:color w:val="000000"/>
                <w:szCs w:val="22"/>
              </w:rPr>
              <w:t xml:space="preserve">ontact us: </w:t>
            </w:r>
            <w:r w:rsidRPr="00AA70ED">
              <w:rPr>
                <w:rFonts w:ascii="Arial" w:hAnsi="Arial" w:cs="Arial"/>
                <w:color w:val="44546A" w:themeColor="text2"/>
                <w:szCs w:val="22"/>
                <w:u w:val="single"/>
              </w:rPr>
              <w:t>online</w:t>
            </w:r>
            <w:r w:rsidRPr="00AA70ED">
              <w:rPr>
                <w:rFonts w:ascii="Arial" w:hAnsi="Arial" w:cs="Arial"/>
                <w:color w:val="000000"/>
                <w:szCs w:val="22"/>
              </w:rPr>
              <w:t xml:space="preserve">/(123)456-7890; </w:t>
            </w:r>
          </w:p>
          <w:p w:rsidR="00294855" w:rsidP="0023143D" w14:paraId="0B587C8C" w14:textId="77777777">
            <w:pPr>
              <w:pStyle w:val="TableParagraph"/>
              <w:spacing w:before="60" w:after="60"/>
              <w:ind w:right="72"/>
              <w:jc w:val="right"/>
              <w:rPr>
                <w:rFonts w:ascii="Arial" w:hAnsi="Arial" w:cs="Arial"/>
                <w:color w:val="000000"/>
              </w:rPr>
            </w:pPr>
          </w:p>
          <w:p w:rsidR="00294855" w:rsidRPr="00AA70ED" w:rsidP="0023143D" w14:paraId="5CAEB1DE" w14:textId="77777777">
            <w:pPr>
              <w:pStyle w:val="TableParagraph"/>
              <w:spacing w:before="60" w:after="60"/>
              <w:ind w:right="72"/>
              <w:jc w:val="right"/>
              <w:rPr>
                <w:rFonts w:ascii="Arial" w:hAnsi="Arial" w:cs="Arial"/>
                <w:color w:val="000000"/>
              </w:rPr>
            </w:pPr>
            <w:r w:rsidRPr="00AA70ED">
              <w:rPr>
                <w:rFonts w:ascii="Arial" w:hAnsi="Arial" w:cs="Arial"/>
                <w:color w:val="000000"/>
              </w:rPr>
              <w:t xml:space="preserve">To submit complaints </w:t>
            </w:r>
            <w:r>
              <w:rPr>
                <w:rFonts w:ascii="Arial" w:hAnsi="Arial" w:cs="Arial"/>
                <w:color w:val="000000"/>
              </w:rPr>
              <w:t xml:space="preserve">to the FCC: </w:t>
            </w:r>
            <w:r w:rsidRPr="00AA70ED">
              <w:rPr>
                <w:rFonts w:ascii="Arial" w:hAnsi="Arial" w:cs="Arial"/>
                <w:color w:val="44546A" w:themeColor="text2"/>
                <w:u w:val="single"/>
              </w:rPr>
              <w:t>online</w:t>
            </w:r>
            <w:r>
              <w:rPr>
                <w:rFonts w:ascii="Arial" w:hAnsi="Arial" w:cs="Arial"/>
              </w:rPr>
              <w:t>/(888)225-5322</w:t>
            </w:r>
          </w:p>
        </w:tc>
        <w:tc>
          <w:tcPr>
            <w:tcW w:w="270" w:type="dxa"/>
            <w:tcBorders>
              <w:top w:val="nil"/>
              <w:bottom w:val="nil"/>
              <w:right w:val="single" w:sz="24" w:space="0" w:color="auto"/>
            </w:tcBorders>
          </w:tcPr>
          <w:p w:rsidR="00294855" w:rsidRPr="00C4501C" w:rsidP="0023143D" w14:paraId="34EA7587" w14:textId="77777777">
            <w:pPr>
              <w:pStyle w:val="Header"/>
              <w:spacing w:after="120"/>
              <w:rPr>
                <w:rFonts w:ascii="Arial" w:eastAsia="Meiryo UI" w:hAnsi="Arial" w:cs="Arial"/>
                <w:b w:val="0"/>
                <w:szCs w:val="22"/>
              </w:rPr>
            </w:pPr>
          </w:p>
        </w:tc>
      </w:tr>
      <w:tr w14:paraId="2EDAAC27" w14:textId="77777777" w:rsidTr="0023143D">
        <w:tblPrEx>
          <w:tblW w:w="10950" w:type="dxa"/>
          <w:tblInd w:w="-570" w:type="dxa"/>
          <w:tblLayout w:type="fixed"/>
          <w:tblLook w:val="04A0"/>
        </w:tblPrEx>
        <w:tc>
          <w:tcPr>
            <w:tcW w:w="236" w:type="dxa"/>
            <w:tcBorders>
              <w:top w:val="nil"/>
              <w:left w:val="single" w:sz="24" w:space="0" w:color="auto"/>
              <w:bottom w:val="nil"/>
            </w:tcBorders>
          </w:tcPr>
          <w:p w:rsidR="00294855" w:rsidRPr="00AA70ED" w:rsidP="0023143D" w14:paraId="4F5CA85E" w14:textId="77777777">
            <w:pPr>
              <w:pStyle w:val="Header"/>
              <w:rPr>
                <w:rFonts w:ascii="Arial" w:eastAsia="Meiryo UI" w:hAnsi="Arial" w:cs="Arial"/>
                <w:b w:val="0"/>
                <w:sz w:val="20"/>
                <w:szCs w:val="20"/>
              </w:rPr>
            </w:pPr>
          </w:p>
        </w:tc>
        <w:tc>
          <w:tcPr>
            <w:tcW w:w="3514" w:type="dxa"/>
            <w:gridSpan w:val="3"/>
            <w:tcBorders>
              <w:top w:val="single" w:sz="6" w:space="0" w:color="auto"/>
              <w:bottom w:val="single" w:sz="6" w:space="0" w:color="auto"/>
            </w:tcBorders>
            <w:shd w:val="clear" w:color="auto" w:fill="000000" w:themeFill="text1"/>
          </w:tcPr>
          <w:p w:rsidR="00294855" w:rsidRPr="00AA70ED" w:rsidP="0023143D" w14:paraId="30B3F837" w14:textId="77777777">
            <w:pPr>
              <w:pStyle w:val="Header"/>
              <w:rPr>
                <w:rFonts w:ascii="Arial" w:eastAsia="Meiryo UI" w:hAnsi="Arial" w:cs="Arial"/>
                <w:b w:val="0"/>
                <w:sz w:val="20"/>
                <w:szCs w:val="20"/>
              </w:rPr>
            </w:pPr>
          </w:p>
        </w:tc>
        <w:tc>
          <w:tcPr>
            <w:tcW w:w="6930" w:type="dxa"/>
            <w:gridSpan w:val="8"/>
            <w:tcBorders>
              <w:top w:val="single" w:sz="6" w:space="0" w:color="auto"/>
              <w:bottom w:val="single" w:sz="6" w:space="0" w:color="auto"/>
            </w:tcBorders>
            <w:shd w:val="clear" w:color="auto" w:fill="000000" w:themeFill="text1"/>
          </w:tcPr>
          <w:p w:rsidR="00294855" w:rsidRPr="00AA70ED" w:rsidP="0023143D" w14:paraId="03461633" w14:textId="77777777">
            <w:pPr>
              <w:pStyle w:val="Header"/>
              <w:rPr>
                <w:rFonts w:ascii="Arial" w:eastAsia="Meiryo UI" w:hAnsi="Arial" w:cs="Arial"/>
                <w:b w:val="0"/>
                <w:sz w:val="20"/>
                <w:szCs w:val="20"/>
              </w:rPr>
            </w:pPr>
          </w:p>
        </w:tc>
        <w:tc>
          <w:tcPr>
            <w:tcW w:w="270" w:type="dxa"/>
            <w:tcBorders>
              <w:top w:val="nil"/>
              <w:bottom w:val="nil"/>
              <w:right w:val="single" w:sz="24" w:space="0" w:color="auto"/>
            </w:tcBorders>
          </w:tcPr>
          <w:p w:rsidR="00294855" w:rsidRPr="00AA70ED" w:rsidP="0023143D" w14:paraId="32CE4931" w14:textId="77777777">
            <w:pPr>
              <w:pStyle w:val="Header"/>
              <w:rPr>
                <w:rFonts w:ascii="Arial" w:eastAsia="Meiryo UI" w:hAnsi="Arial" w:cs="Arial"/>
                <w:b w:val="0"/>
                <w:sz w:val="20"/>
                <w:szCs w:val="20"/>
              </w:rPr>
            </w:pPr>
          </w:p>
        </w:tc>
      </w:tr>
      <w:tr w14:paraId="0A1144EB" w14:textId="77777777" w:rsidTr="0023143D">
        <w:tblPrEx>
          <w:tblW w:w="10950" w:type="dxa"/>
          <w:tblInd w:w="-570" w:type="dxa"/>
          <w:tblLayout w:type="fixed"/>
          <w:tblLook w:val="04A0"/>
        </w:tblPrEx>
        <w:tc>
          <w:tcPr>
            <w:tcW w:w="236" w:type="dxa"/>
            <w:tcBorders>
              <w:top w:val="nil"/>
              <w:left w:val="single" w:sz="24" w:space="0" w:color="auto"/>
              <w:bottom w:val="single" w:sz="24" w:space="0" w:color="auto"/>
            </w:tcBorders>
          </w:tcPr>
          <w:p w:rsidR="00294855" w:rsidRPr="008A3ADE" w:rsidP="0023143D" w14:paraId="160B2C5D" w14:textId="77777777">
            <w:pPr>
              <w:pStyle w:val="Header"/>
              <w:spacing w:after="120"/>
              <w:rPr>
                <w:rFonts w:ascii="Arial" w:eastAsia="Meiryo UI" w:hAnsi="Arial" w:cs="Arial"/>
                <w:b w:val="0"/>
              </w:rPr>
            </w:pPr>
          </w:p>
        </w:tc>
        <w:tc>
          <w:tcPr>
            <w:tcW w:w="10444" w:type="dxa"/>
            <w:gridSpan w:val="11"/>
            <w:tcBorders>
              <w:top w:val="single" w:sz="6" w:space="0" w:color="auto"/>
              <w:bottom w:val="single" w:sz="24" w:space="0" w:color="auto"/>
            </w:tcBorders>
            <w:shd w:val="clear" w:color="auto" w:fill="auto"/>
          </w:tcPr>
          <w:p w:rsidR="00294855" w:rsidP="0023143D" w14:paraId="45B1973E" w14:textId="77777777">
            <w:pPr>
              <w:spacing w:before="60" w:after="60"/>
              <w:rPr>
                <w:rFonts w:ascii="Arial" w:hAnsi="Arial" w:cs="Arial"/>
                <w:szCs w:val="22"/>
              </w:rPr>
            </w:pPr>
            <w:r w:rsidRPr="00814120">
              <w:rPr>
                <w:rFonts w:ascii="Arial" w:hAnsi="Arial" w:cs="Arial"/>
                <w:szCs w:val="22"/>
              </w:rPr>
              <w:t xml:space="preserve">Learn more about the </w:t>
            </w:r>
            <w:r w:rsidRPr="00814120">
              <w:rPr>
                <w:rFonts w:ascii="Arial" w:hAnsi="Arial" w:cs="Arial"/>
                <w:color w:val="44546A" w:themeColor="text2"/>
                <w:szCs w:val="22"/>
                <w:u w:val="single"/>
              </w:rPr>
              <w:t>terms used on this form and other relevant information</w:t>
            </w:r>
            <w:r w:rsidRPr="00814120">
              <w:rPr>
                <w:rFonts w:ascii="Arial" w:hAnsi="Arial" w:cs="Arial"/>
                <w:color w:val="44546A" w:themeColor="text2"/>
                <w:szCs w:val="22"/>
              </w:rPr>
              <w:t xml:space="preserve"> </w:t>
            </w:r>
            <w:r w:rsidRPr="00814120">
              <w:rPr>
                <w:rFonts w:ascii="Arial" w:hAnsi="Arial" w:cs="Arial"/>
                <w:szCs w:val="22"/>
              </w:rPr>
              <w:t>at the FCC’s website.</w:t>
            </w:r>
          </w:p>
          <w:p w:rsidR="00294855" w:rsidRPr="00596E13" w:rsidP="0023143D" w14:paraId="49040CD9" w14:textId="77777777">
            <w:pPr>
              <w:widowControl/>
              <w:rPr>
                <w:rFonts w:ascii="Arial" w:eastAsia="Times New Roman" w:hAnsi="Arial" w:cs="Arial"/>
                <w:i/>
                <w:color w:val="FF0000"/>
                <w:szCs w:val="22"/>
              </w:rPr>
            </w:pPr>
            <w:r w:rsidRPr="00596E13">
              <w:rPr>
                <w:rFonts w:ascii="Arial" w:eastAsia="Times New Roman" w:hAnsi="Arial" w:cs="Arial"/>
                <w:i/>
                <w:color w:val="FF0000"/>
                <w:szCs w:val="22"/>
              </w:rPr>
              <w:t>[at underlined language provide a link to the FCC's glossary web page]</w:t>
            </w:r>
          </w:p>
          <w:p w:rsidR="00294855" w:rsidRPr="00814120" w:rsidP="0023143D" w14:paraId="3B6DCD2E" w14:textId="77777777">
            <w:pPr>
              <w:spacing w:before="60" w:after="60"/>
              <w:rPr>
                <w:rFonts w:ascii="Arial" w:hAnsi="Arial" w:cs="Arial"/>
                <w:szCs w:val="22"/>
              </w:rPr>
            </w:pPr>
          </w:p>
        </w:tc>
        <w:tc>
          <w:tcPr>
            <w:tcW w:w="270" w:type="dxa"/>
            <w:tcBorders>
              <w:top w:val="nil"/>
              <w:bottom w:val="single" w:sz="24" w:space="0" w:color="auto"/>
              <w:right w:val="single" w:sz="24" w:space="0" w:color="auto"/>
            </w:tcBorders>
          </w:tcPr>
          <w:p w:rsidR="00294855" w:rsidRPr="008A3ADE" w:rsidP="0023143D" w14:paraId="7E652A36" w14:textId="77777777">
            <w:pPr>
              <w:pStyle w:val="Header"/>
              <w:spacing w:after="120"/>
              <w:rPr>
                <w:rFonts w:ascii="Arial" w:eastAsia="Meiryo UI" w:hAnsi="Arial" w:cs="Arial"/>
                <w:b w:val="0"/>
              </w:rPr>
            </w:pPr>
          </w:p>
        </w:tc>
      </w:tr>
    </w:tbl>
    <w:p w:rsidR="001A032C" w:rsidP="00F15AF4" w14:paraId="7A58C8A3" w14:textId="063F5CE8">
      <w:pPr>
        <w:rPr>
          <w:b/>
        </w:rPr>
      </w:pPr>
    </w:p>
    <w:p w:rsidR="003C108D" w:rsidP="00B546D4" w14:paraId="7B0BE18B" w14:textId="4E8DE014">
      <w:pPr>
        <w:jc w:val="center"/>
        <w:rPr>
          <w:b/>
        </w:rPr>
      </w:pPr>
    </w:p>
    <w:p w:rsidR="000E309A" w:rsidP="00E848A3" w14:paraId="4AD28C2A" w14:textId="77777777">
      <w:pPr>
        <w:rPr>
          <w:b/>
        </w:rPr>
        <w:sectPr w:rsidSect="00EB0CF7">
          <w:footnotePr>
            <w:numRestart w:val="eachSect"/>
          </w:footnotePr>
          <w:endnotePr>
            <w:numFmt w:val="decimal"/>
          </w:endnotePr>
          <w:pgSz w:w="12240" w:h="15840"/>
          <w:pgMar w:top="1440" w:right="1440" w:bottom="720" w:left="1440" w:header="720" w:footer="720" w:gutter="0"/>
          <w:cols w:space="720"/>
          <w:noEndnote/>
          <w:docGrid w:linePitch="299"/>
        </w:sectPr>
      </w:pPr>
    </w:p>
    <w:p w:rsidR="007C6686" w:rsidRPr="00DE457E" w:rsidP="00F15AF4" w14:paraId="2DEE3FC2" w14:textId="77777777">
      <w:pPr>
        <w:jc w:val="center"/>
        <w:rPr>
          <w:b/>
        </w:rPr>
      </w:pPr>
      <w:r w:rsidRPr="00DE457E">
        <w:rPr>
          <w:b/>
        </w:rPr>
        <w:t xml:space="preserve">APPENDIX </w:t>
      </w:r>
      <w:r>
        <w:rPr>
          <w:b/>
        </w:rPr>
        <w:t>D</w:t>
      </w:r>
    </w:p>
    <w:p w:rsidR="007C6686" w:rsidRPr="00DE457E" w:rsidP="007C6686" w14:paraId="2810B34B" w14:textId="77777777">
      <w:pPr>
        <w:jc w:val="center"/>
      </w:pPr>
    </w:p>
    <w:p w:rsidR="007C6686" w:rsidRPr="00DE457E" w:rsidP="007C6686" w14:paraId="23BB1878" w14:textId="38B069C8">
      <w:pPr>
        <w:spacing w:after="120"/>
        <w:jc w:val="center"/>
        <w:rPr>
          <w:b/>
        </w:rPr>
      </w:pPr>
      <w:r w:rsidRPr="00DE457E">
        <w:rPr>
          <w:b/>
        </w:rPr>
        <w:t>Initial Regulatory Flexibility Analysis</w:t>
      </w:r>
    </w:p>
    <w:p w:rsidR="007C6686" w:rsidP="000E309A" w14:paraId="5BA66D5D" w14:textId="77777777">
      <w:pPr>
        <w:pStyle w:val="ParaNum"/>
        <w:numPr>
          <w:ilvl w:val="0"/>
          <w:numId w:val="42"/>
        </w:numPr>
      </w:pPr>
      <w:r w:rsidRPr="58068477">
        <w:t>As required by the Regulatory Flexibility Act of 1980, as amended (RFA),</w:t>
      </w:r>
      <w:r>
        <w:rPr>
          <w:sz w:val="20"/>
          <w:vertAlign w:val="superscript"/>
        </w:rPr>
        <w:footnoteReference w:id="62"/>
      </w:r>
      <w:r w:rsidRPr="58068477">
        <w:t xml:space="preserve"> the Commission has prepared this Initial Regulatory Flexibility Analysis (IRFA) of the possible significant economic impact on a substantial number of small entities by the policies and rules proposed in this Notice of Proposed Rulemaking</w:t>
      </w:r>
      <w:r w:rsidRPr="000E309A">
        <w:rPr>
          <w:i/>
          <w:iCs/>
        </w:rPr>
        <w:t xml:space="preserve"> </w:t>
      </w:r>
      <w:r w:rsidRPr="00DE457E">
        <w:t>(</w:t>
      </w:r>
      <w:r w:rsidRPr="58068477">
        <w:t>NPRM).  Written public comments are requested on this IRFA.  Comments must be identified as responses to the IRFA and must be filed by the deadlines for comments on the NPRM provided on the first page of this document.  The Commission will send a copy of the NPRM, including this IRFA, to the Chief Counsel for Advocacy of the Small Business Administration.</w:t>
      </w:r>
      <w:r>
        <w:rPr>
          <w:sz w:val="20"/>
          <w:vertAlign w:val="superscript"/>
        </w:rPr>
        <w:footnoteReference w:id="63"/>
      </w:r>
      <w:r w:rsidRPr="000E309A">
        <w:rPr>
          <w:szCs w:val="22"/>
        </w:rPr>
        <w:t xml:space="preserve"> </w:t>
      </w:r>
      <w:r w:rsidRPr="58068477">
        <w:t xml:space="preserve"> In addition, the NPRM and IRFA (or summaries thereof) will be published in the Federal Register.</w:t>
      </w:r>
      <w:r>
        <w:rPr>
          <w:sz w:val="20"/>
          <w:vertAlign w:val="superscript"/>
        </w:rPr>
        <w:footnoteReference w:id="64"/>
      </w:r>
      <w:bookmarkStart w:id="33" w:name="_Toc10643951"/>
      <w:bookmarkStart w:id="34" w:name="_Toc10725992"/>
    </w:p>
    <w:p w:rsidR="007C6686" w:rsidRPr="00A36129" w:rsidP="000E309A" w14:paraId="1ABE645A" w14:textId="77777777">
      <w:pPr>
        <w:pStyle w:val="Heading2"/>
      </w:pPr>
      <w:r w:rsidRPr="00A36129">
        <w:t>Need for, and Objectives of, the Proposed Rules</w:t>
      </w:r>
      <w:bookmarkEnd w:id="33"/>
      <w:bookmarkEnd w:id="34"/>
    </w:p>
    <w:p w:rsidR="007C6686" w:rsidRPr="00DE457E" w:rsidP="000E309A" w14:paraId="151C82D3" w14:textId="30FAA46C">
      <w:pPr>
        <w:pStyle w:val="ParaNum"/>
      </w:pPr>
      <w:r w:rsidRPr="58068477">
        <w:t xml:space="preserve">The NPRM </w:t>
      </w:r>
      <w:r>
        <w:t>proposes rules</w:t>
      </w:r>
      <w:r w:rsidRPr="58068477">
        <w:t xml:space="preserve"> to implement section 60504 of the Infrastructure Investment and Jobs Act (Infrastructure Act),</w:t>
      </w:r>
      <w:r>
        <w:rPr>
          <w:rStyle w:val="FootnoteReference"/>
        </w:rPr>
        <w:footnoteReference w:id="65"/>
      </w:r>
      <w:r w:rsidRPr="00DE457E">
        <w:t xml:space="preserve"> </w:t>
      </w:r>
      <w:r w:rsidRPr="58068477">
        <w:t xml:space="preserve">to ensure that consumers have an easy way to understand broadband Internet access service providers’ </w:t>
      </w:r>
      <w:r>
        <w:t xml:space="preserve">(ISPs’) </w:t>
      </w:r>
      <w:r w:rsidRPr="58068477">
        <w:t>prices, performance, and network practices</w:t>
      </w:r>
      <w:r>
        <w:t xml:space="preserve"> </w:t>
      </w:r>
      <w:r w:rsidRPr="58068477">
        <w:t>in a simple-to-understand format that does not overwhelm consumers with too much information.</w:t>
      </w:r>
      <w:r>
        <w:t xml:space="preserve">  </w:t>
      </w:r>
    </w:p>
    <w:p w:rsidR="007C6686" w:rsidRPr="0060690D" w:rsidP="000E309A" w14:paraId="01D39FFD" w14:textId="77777777">
      <w:pPr>
        <w:pStyle w:val="ParaNum"/>
      </w:pPr>
      <w:r w:rsidRPr="58068477">
        <w:t xml:space="preserve">The Infrastructure Act directs the Commission “to promulgate regulations to require the display of broadband consumer labels, as described in the Public Notice of the Commission issued on April 4, 2016 (DA 16–357), to disclose to consumers information regarding broadband </w:t>
      </w:r>
      <w:r>
        <w:t>I</w:t>
      </w:r>
      <w:r w:rsidRPr="58068477">
        <w:t>nternet access service plans.”</w:t>
      </w:r>
      <w:r>
        <w:rPr>
          <w:rStyle w:val="FootnoteReference"/>
        </w:rPr>
        <w:footnoteReference w:id="66"/>
      </w:r>
      <w:r w:rsidRPr="58068477">
        <w:t xml:space="preserve">  Further, the Infrastructure Act requires that any broadband consumer label adopted by the Commission “shall include information regarding whether the offered price is an introductory rate and, if so, the price the consumer will be required to pay following the introductory period.”</w:t>
      </w:r>
      <w:r>
        <w:rPr>
          <w:rStyle w:val="FootnoteReference"/>
        </w:rPr>
        <w:footnoteReference w:id="67"/>
      </w:r>
    </w:p>
    <w:p w:rsidR="007C6686" w:rsidP="000E309A" w14:paraId="2EAD5D64" w14:textId="55E722CA">
      <w:pPr>
        <w:pStyle w:val="ParaNum"/>
      </w:pPr>
      <w:r w:rsidRPr="58068477">
        <w:t>The NPRM proposes</w:t>
      </w:r>
      <w:r>
        <w:t xml:space="preserve"> rules</w:t>
      </w:r>
      <w:r w:rsidRPr="58068477">
        <w:t xml:space="preserve"> to meet its statutory obligations under section 60504 of the Infrastructure Act</w:t>
      </w:r>
      <w:r>
        <w:t xml:space="preserve">.  </w:t>
      </w:r>
      <w:r w:rsidRPr="58068477">
        <w:t xml:space="preserve">Specifically, the NPRM proposes </w:t>
      </w:r>
      <w:r>
        <w:t>to amend section 8.1(a) of the Commission’s rules to require ISPs to</w:t>
      </w:r>
      <w:r w:rsidRPr="58068477">
        <w:t xml:space="preserve"> </w:t>
      </w:r>
      <w:r>
        <w:t>display</w:t>
      </w:r>
      <w:r w:rsidRPr="58068477">
        <w:t xml:space="preserve"> </w:t>
      </w:r>
      <w:r>
        <w:t xml:space="preserve">labels </w:t>
      </w:r>
      <w:r w:rsidRPr="58068477">
        <w:t>at the point of sale to disclose to consumers certain information about prices, introductory rates, data allowances, broadband speeds, and management practices, among other things.</w:t>
      </w:r>
      <w:r>
        <w:rPr>
          <w:rStyle w:val="FootnoteReference"/>
        </w:rPr>
        <w:footnoteReference w:id="68"/>
      </w:r>
      <w:r w:rsidRPr="00820030">
        <w:t xml:space="preserve">  </w:t>
      </w:r>
      <w:r w:rsidRPr="58068477">
        <w:t xml:space="preserve">The labels proposed </w:t>
      </w:r>
      <w:r w:rsidRPr="1C14CCCF">
        <w:t xml:space="preserve">are </w:t>
      </w:r>
      <w:r>
        <w:t xml:space="preserve">modified versions of those </w:t>
      </w:r>
      <w:r w:rsidRPr="1C14CCCF">
        <w:t>recommended by the Commission’s Consumer Advisory Committee (CAC) in 2015, which are similar to the nutrition labels required by the U</w:t>
      </w:r>
      <w:r w:rsidR="00744B0B">
        <w:t>nited States</w:t>
      </w:r>
      <w:r w:rsidRPr="1C14CCCF">
        <w:t xml:space="preserve"> Food </w:t>
      </w:r>
      <w:r w:rsidR="00744B0B">
        <w:t>and</w:t>
      </w:r>
      <w:r w:rsidRPr="1C14CCCF" w:rsidR="00744B0B">
        <w:t xml:space="preserve"> </w:t>
      </w:r>
      <w:r w:rsidRPr="1C14CCCF">
        <w:t>Drug Administration (FDA) on food products, and which the Commission incorporated as part of a safe harbor from the transparency requirements in 2016.</w:t>
      </w:r>
      <w:r>
        <w:rPr>
          <w:rStyle w:val="FootnoteReference"/>
        </w:rPr>
        <w:footnoteReference w:id="69"/>
      </w:r>
      <w:r w:rsidRPr="1C14CCCF">
        <w:t xml:space="preserve">  </w:t>
      </w:r>
    </w:p>
    <w:p w:rsidR="00C555D4" w:rsidRPr="001A747C" w:rsidP="000E309A" w14:paraId="0F4513AE" w14:textId="6D690F7C">
      <w:pPr>
        <w:pStyle w:val="ParaNum"/>
        <w:rPr>
          <w:rFonts w:eastAsiaTheme="minorEastAsia"/>
        </w:rPr>
      </w:pPr>
      <w:r>
        <w:t xml:space="preserve">The NPRM proposes broadband consumer labels that contain, at a minimum, the same content contained in the 2016 labels, both for fixed and mobile broadband services.  To ensure that broadband consumers have the information they need to make informed decisions, the NPRM </w:t>
      </w:r>
      <w:r w:rsidR="00444422">
        <w:t xml:space="preserve">proposes  </w:t>
      </w:r>
      <w:r w:rsidR="00444422">
        <w:t xml:space="preserve">to adopt the content of the 2016 labels, both for fixed and mobile broadband services, with appropriate modifications.  </w:t>
      </w:r>
      <w:r w:rsidR="0045213F">
        <w:t>T</w:t>
      </w:r>
      <w:r w:rsidR="00444422">
        <w:t xml:space="preserve">he 2016 labels for fixed broadband service include the following content: 1) pricing; 2) monthly data allowance; 3) overage charges; 4) equipment fees; 5) other monthly fees; 6) one-time fees; and 7) early termination fees.  </w:t>
      </w:r>
      <w:r w:rsidR="00C47D44">
        <w:t>In addition, the</w:t>
      </w:r>
      <w:r w:rsidR="00444422">
        <w:t xml:space="preserve"> 2016 labels also include information on performance (speed, latency, and packet loss) and on network management practices.  </w:t>
      </w:r>
      <w:r w:rsidR="00C47D44">
        <w:t>T</w:t>
      </w:r>
      <w:r w:rsidR="00444422">
        <w:t>he 2016 labels for mobile broadband service include information on: 1) pricing; 2) when you exceed data allowance; 3) other included services/features; 4) other monthly fees; 5) one-time fees; 6) service contract terms; 7) early termination fees; and 8) “bring your own device” information.  The mobile broadband labels also include performance information (speed, latency, and other services on the network) and network management practices.  Both the fixed and mobile broadband labels include a link to the provider’s privacy policy and a link to how to file complaints and inquiries.</w:t>
      </w:r>
      <w:r w:rsidRPr="00EB2DDE" w:rsidR="00EB2DDE">
        <w:rPr>
          <w:color w:val="000000" w:themeColor="text1"/>
        </w:rPr>
        <w:t xml:space="preserve"> </w:t>
      </w:r>
      <w:r w:rsidR="00EB2DDE">
        <w:rPr>
          <w:color w:val="000000" w:themeColor="text1"/>
        </w:rPr>
        <w:t xml:space="preserve"> </w:t>
      </w:r>
    </w:p>
    <w:p w:rsidR="00444422" w:rsidRPr="00AB5733" w:rsidP="000E309A" w14:paraId="04F76164" w14:textId="295E03D1">
      <w:pPr>
        <w:pStyle w:val="ParaNum"/>
        <w:rPr>
          <w:rFonts w:eastAsiaTheme="minorEastAsia"/>
        </w:rPr>
      </w:pPr>
      <w:r>
        <w:rPr>
          <w:color w:val="000000" w:themeColor="text1"/>
        </w:rPr>
        <w:t xml:space="preserve">The NPRM seeks comment on whether there is other content beyond what is in the 2016 labels that should </w:t>
      </w:r>
      <w:r w:rsidR="00C34282">
        <w:rPr>
          <w:color w:val="000000" w:themeColor="text1"/>
        </w:rPr>
        <w:t xml:space="preserve">be </w:t>
      </w:r>
      <w:r>
        <w:rPr>
          <w:color w:val="000000" w:themeColor="text1"/>
        </w:rPr>
        <w:t>consider</w:t>
      </w:r>
      <w:r w:rsidR="00C34282">
        <w:rPr>
          <w:color w:val="000000" w:themeColor="text1"/>
        </w:rPr>
        <w:t>ed</w:t>
      </w:r>
      <w:r>
        <w:rPr>
          <w:color w:val="000000" w:themeColor="text1"/>
        </w:rPr>
        <w:t xml:space="preserve">.  For example, should </w:t>
      </w:r>
      <w:r w:rsidRPr="02403754">
        <w:rPr>
          <w:color w:val="000000" w:themeColor="text1"/>
        </w:rPr>
        <w:t xml:space="preserve">the </w:t>
      </w:r>
      <w:r>
        <w:t xml:space="preserve">labels </w:t>
      </w:r>
      <w:r w:rsidRPr="02403754">
        <w:rPr>
          <w:rFonts w:eastAsiaTheme="minorEastAsia"/>
        </w:rPr>
        <w:t xml:space="preserve">include information about </w:t>
      </w:r>
      <w:r>
        <w:t xml:space="preserve">whether there are any limitations when consumers use multiple devices on the same broadband plan?  </w:t>
      </w:r>
      <w:r>
        <w:rPr>
          <w:rFonts w:eastAsiaTheme="minorEastAsia"/>
          <w:szCs w:val="22"/>
        </w:rPr>
        <w:t>S</w:t>
      </w:r>
      <w:r w:rsidRPr="00AF3E8E">
        <w:rPr>
          <w:rFonts w:eastAsiaTheme="minorEastAsia"/>
          <w:szCs w:val="22"/>
        </w:rPr>
        <w:t>hould</w:t>
      </w:r>
      <w:r w:rsidRPr="02403754">
        <w:rPr>
          <w:rFonts w:eastAsiaTheme="minorEastAsia"/>
        </w:rPr>
        <w:t xml:space="preserve"> the labels make clear</w:t>
      </w:r>
      <w:r>
        <w:rPr>
          <w:rFonts w:eastAsiaTheme="minorEastAsia"/>
        </w:rPr>
        <w:t xml:space="preserve"> when the offered rate is contingent on consumer consent to particular restrictions, e.g., paperless billing, electronic payment, rental of equipment, and/or enrollment in related services?</w:t>
      </w:r>
    </w:p>
    <w:p w:rsidR="007C6686" w:rsidP="000E309A" w14:paraId="19FADCFC" w14:textId="77777777">
      <w:pPr>
        <w:pStyle w:val="ParaNum"/>
      </w:pPr>
      <w:r>
        <w:rPr>
          <w:rFonts w:eastAsiaTheme="minorEastAsia"/>
        </w:rPr>
        <w:t>The NPRM</w:t>
      </w:r>
      <w:r w:rsidRPr="02403754">
        <w:rPr>
          <w:rFonts w:eastAsiaTheme="minorEastAsia"/>
        </w:rPr>
        <w:t xml:space="preserve"> propose</w:t>
      </w:r>
      <w:r>
        <w:rPr>
          <w:rFonts w:eastAsiaTheme="minorEastAsia"/>
        </w:rPr>
        <w:t>s</w:t>
      </w:r>
      <w:r w:rsidRPr="02403754">
        <w:rPr>
          <w:rFonts w:eastAsiaTheme="minorEastAsia"/>
        </w:rPr>
        <w:t xml:space="preserve"> to adopt </w:t>
      </w:r>
      <w:r>
        <w:rPr>
          <w:rFonts w:eastAsiaTheme="minorEastAsia"/>
        </w:rPr>
        <w:t>the format of the 2016 labels</w:t>
      </w:r>
      <w:r w:rsidRPr="02403754">
        <w:rPr>
          <w:rFonts w:eastAsiaTheme="minorEastAsia"/>
        </w:rPr>
        <w:t xml:space="preserve"> and require it for broadband </w:t>
      </w:r>
      <w:r>
        <w:rPr>
          <w:rFonts w:eastAsiaTheme="minorEastAsia"/>
        </w:rPr>
        <w:t xml:space="preserve">consumer </w:t>
      </w:r>
      <w:r w:rsidRPr="02403754">
        <w:rPr>
          <w:rFonts w:eastAsiaTheme="minorEastAsia"/>
        </w:rPr>
        <w:t>labels based on its success as a nutrition label format and the considerable work the CAC did in adapting the format to broadband service.</w:t>
      </w:r>
      <w:r>
        <w:rPr>
          <w:rStyle w:val="FootnoteReference"/>
          <w:rFonts w:eastAsiaTheme="minorEastAsia"/>
        </w:rPr>
        <w:footnoteReference w:id="70"/>
      </w:r>
      <w:r>
        <w:rPr>
          <w:rFonts w:eastAsiaTheme="minorEastAsia"/>
        </w:rPr>
        <w:t xml:space="preserve">  </w:t>
      </w:r>
      <w:r>
        <w:t>In addition, the NPRM proposes to require ISPs to display the labels at the point of sale.</w:t>
      </w:r>
      <w:r>
        <w:rPr>
          <w:rStyle w:val="FootnoteReference"/>
        </w:rPr>
        <w:footnoteReference w:id="71"/>
      </w:r>
      <w:r>
        <w:t xml:space="preserve">  This means disclosing the labels of any broadband service presented to consumers on an ISP’s website when a consumer browses service options.  Finally, </w:t>
      </w:r>
      <w:r w:rsidRPr="58068477">
        <w:t xml:space="preserve">the NPRM </w:t>
      </w:r>
      <w:r>
        <w:t xml:space="preserve">proposes </w:t>
      </w:r>
      <w:r w:rsidRPr="58068477">
        <w:rPr>
          <w:lang w:eastAsia="ja-JP"/>
        </w:rPr>
        <w:t xml:space="preserve">to ensure that any required labels are accessible to persons with disabilities and that </w:t>
      </w:r>
      <w:r w:rsidRPr="58068477">
        <w:t>any broadband consumer label advances equity in the provision of and access to digital communications services and products for all people of the United States, without discrimination on the basis of race, color, religion, national origin, sex, or disability.</w:t>
      </w:r>
      <w:r>
        <w:rPr>
          <w:rStyle w:val="FootnoteReference"/>
        </w:rPr>
        <w:footnoteReference w:id="72"/>
      </w:r>
      <w:r w:rsidRPr="001F45FF">
        <w:t xml:space="preserve"> </w:t>
      </w:r>
    </w:p>
    <w:p w:rsidR="007C6686" w:rsidRPr="0051742C" w:rsidP="000E309A" w14:paraId="47FC65B8" w14:textId="77777777">
      <w:pPr>
        <w:pStyle w:val="Heading2"/>
      </w:pPr>
      <w:bookmarkStart w:id="35" w:name="_Toc10643952"/>
      <w:bookmarkStart w:id="36" w:name="_Toc10725993"/>
      <w:r w:rsidRPr="0051742C">
        <w:t>Legal Basis</w:t>
      </w:r>
      <w:bookmarkEnd w:id="35"/>
      <w:bookmarkEnd w:id="36"/>
    </w:p>
    <w:p w:rsidR="007C6686" w:rsidP="000E309A" w14:paraId="38D72A32" w14:textId="1B031D30">
      <w:pPr>
        <w:pStyle w:val="ParaNum"/>
      </w:pPr>
      <w:r>
        <w:t>The proposed rules are authorized under sections 4(</w:t>
      </w:r>
      <w:r>
        <w:t>i</w:t>
      </w:r>
      <w:r>
        <w:t>), 4(j), 13, 201(b), 257, and 303(r) of the Communications Act of 1934, as amended, 47 U.S.C. §§ 154(</w:t>
      </w:r>
      <w:r>
        <w:t>i</w:t>
      </w:r>
      <w:r>
        <w:t>), 154(j), 163, 201(b), 257, 303(r), and section 60504 of the Infrastructure Investment and Jobs Act, Pub. L. 117-58, 135 Stat. 429</w:t>
      </w:r>
      <w:r w:rsidRPr="00AD24DD">
        <w:t>.</w:t>
      </w:r>
    </w:p>
    <w:p w:rsidR="007C6686" w:rsidRPr="00275EE9" w:rsidP="000E309A" w14:paraId="317A9EA6" w14:textId="77777777">
      <w:pPr>
        <w:pStyle w:val="Heading2"/>
      </w:pPr>
      <w:bookmarkStart w:id="37" w:name="_Toc10643953"/>
      <w:bookmarkStart w:id="38" w:name="_Toc10725994"/>
      <w:r w:rsidRPr="006E2EA4">
        <w:t>Description</w:t>
      </w:r>
      <w:r w:rsidRPr="000E309A">
        <w:t xml:space="preserve"> and Estimate of the Number of Small Entities to Which the Proposed Rules</w:t>
      </w:r>
      <w:r w:rsidRPr="00275EE9">
        <w:t xml:space="preserve"> Will Apply</w:t>
      </w:r>
      <w:bookmarkEnd w:id="37"/>
      <w:bookmarkEnd w:id="38"/>
    </w:p>
    <w:p w:rsidR="007C6686" w:rsidRPr="000E309A" w:rsidP="003A7215" w14:paraId="48252204" w14:textId="618378A0">
      <w:pPr>
        <w:pStyle w:val="ParaNum"/>
        <w:widowControl/>
        <w:rPr>
          <w:szCs w:val="22"/>
        </w:rPr>
      </w:pPr>
      <w:r w:rsidRPr="000E309A">
        <w:rPr>
          <w:szCs w:val="22"/>
        </w:rPr>
        <w:t>The RFA directs agencies to provide a description of and, where feasible, an estimate of the number of small entities that may be affected by the rules adopted herein.</w:t>
      </w:r>
      <w:r>
        <w:rPr>
          <w:szCs w:val="22"/>
          <w:vertAlign w:val="superscript"/>
        </w:rPr>
        <w:footnoteReference w:id="73"/>
      </w:r>
      <w:r w:rsidRPr="000E309A">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74"/>
      </w:r>
      <w:r w:rsidRPr="000E309A">
        <w:rPr>
          <w:szCs w:val="22"/>
        </w:rPr>
        <w:t xml:space="preserve">  In addition, the term “small business” has the same meaning as the term “small-business concern” under the Small Business Act.</w:t>
      </w:r>
      <w:r>
        <w:rPr>
          <w:szCs w:val="22"/>
          <w:vertAlign w:val="superscript"/>
        </w:rPr>
        <w:footnoteReference w:id="75"/>
      </w:r>
      <w:r w:rsidRPr="000E309A">
        <w:rPr>
          <w:szCs w:val="22"/>
        </w:rPr>
        <w:t xml:space="preserve">  A “small-business </w:t>
      </w:r>
      <w:r w:rsidRPr="000E309A">
        <w:rPr>
          <w:szCs w:val="22"/>
        </w:rPr>
        <w:t>concern” is one which: (1) is independently owned and operated; (2) is not dominant in its field of operation; and (3) satisfies any additional criteria established by the SBA.</w:t>
      </w:r>
      <w:r>
        <w:rPr>
          <w:szCs w:val="22"/>
          <w:vertAlign w:val="superscript"/>
        </w:rPr>
        <w:footnoteReference w:id="76"/>
      </w:r>
    </w:p>
    <w:p w:rsidR="007C6686" w:rsidRPr="00FF683F" w:rsidP="000E309A" w14:paraId="5396D9E1" w14:textId="77777777">
      <w:pPr>
        <w:pStyle w:val="Heading3"/>
      </w:pPr>
      <w:r w:rsidRPr="00FF683F">
        <w:t>Total Small Entities</w:t>
      </w:r>
    </w:p>
    <w:p w:rsidR="007C6686" w:rsidRPr="00DE457E" w:rsidP="000E309A" w14:paraId="5D317231" w14:textId="77777777">
      <w:pPr>
        <w:pStyle w:val="ParaNum"/>
      </w:pPr>
      <w:r w:rsidRPr="00A80FDD">
        <w:rPr>
          <w:i/>
          <w:iCs/>
        </w:rPr>
        <w:t xml:space="preserve">Small Businesses, Small Organizations, Small Governmental Jurisdictions. </w:t>
      </w:r>
      <w:r w:rsidRPr="58068477">
        <w:t xml:space="preserve"> Our actions, over time, may affect small entities that are not easily categorized at present.  We therefore describe here, at the outset, three broad groups of small entities that could be directly affected herein.</w:t>
      </w:r>
      <w:r>
        <w:rPr>
          <w:rStyle w:val="FootnoteReference"/>
        </w:rPr>
        <w:footnoteReference w:id="77"/>
      </w:r>
      <w:r w:rsidRPr="58068477">
        <w:t xml:space="preserve">  First, there are industry-specific size standards for small businesses that are used in the regulatory context.  These types of small businesses represent 99.9% of all businesses in the United States, which translates to flexibility analysis, according to data from the Small Business Administration’s (SBA) Office of Advocacy.  In general, a small business is an independent business having fewer than 500 employees.</w:t>
      </w:r>
      <w:r>
        <w:rPr>
          <w:rStyle w:val="FootnoteReference"/>
        </w:rPr>
        <w:footnoteReference w:id="78"/>
      </w:r>
      <w:r w:rsidRPr="58068477">
        <w:t xml:space="preserve">  There are 30.7 million such businesses.</w:t>
      </w:r>
      <w:r>
        <w:rPr>
          <w:rStyle w:val="FootnoteReference"/>
        </w:rPr>
        <w:footnoteReference w:id="79"/>
      </w:r>
    </w:p>
    <w:p w:rsidR="007C6686" w:rsidRPr="00DE457E" w:rsidP="000E309A" w14:paraId="4CF69964" w14:textId="77777777">
      <w:pPr>
        <w:pStyle w:val="ParaNum"/>
      </w:pPr>
      <w:r w:rsidRPr="58068477">
        <w:t>Next, the type of small entity described as a “small organization” is generally “any not-for-profit enterprise which is independently owned and operated and is not dominant in its field.”</w:t>
      </w:r>
      <w:r>
        <w:rPr>
          <w:rStyle w:val="FootnoteReference"/>
        </w:rPr>
        <w:footnoteReference w:id="80"/>
      </w:r>
      <w:r w:rsidRPr="58068477">
        <w:t xml:space="preserve">  The Internal Revenue Service (IRS) uses a revenue benchmark of $50,000 or less to delineate its annual electronic filing requirements for small exempt organizations.</w:t>
      </w:r>
      <w:r>
        <w:rPr>
          <w:rStyle w:val="FootnoteReference"/>
        </w:rPr>
        <w:footnoteReference w:id="81"/>
      </w:r>
      <w:r w:rsidRPr="58068477">
        <w:t xml:space="preserve">  Nationwide, for tax year 2018, there were approximately 571,709 small exempt organizations in the U.S. reporting revenues of $50,000 or less according to the registration and tax data for exempt organizations available from the IRS.</w:t>
      </w:r>
      <w:r>
        <w:rPr>
          <w:rStyle w:val="FootnoteReference"/>
        </w:rPr>
        <w:footnoteReference w:id="82"/>
      </w:r>
      <w:r w:rsidRPr="00DE457E">
        <w:t xml:space="preserve"> </w:t>
      </w:r>
    </w:p>
    <w:p w:rsidR="007C6686" w:rsidRPr="00DE457E" w:rsidP="000E309A" w14:paraId="2B677822" w14:textId="77777777">
      <w:pPr>
        <w:pStyle w:val="ParaNum"/>
      </w:pPr>
      <w:r w:rsidRPr="58068477">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83"/>
      </w:r>
      <w:r w:rsidRPr="58068477">
        <w:t xml:space="preserve">  U.S. Census Bureau data from the 2017 Census of Governments</w:t>
      </w:r>
      <w:r>
        <w:rPr>
          <w:rStyle w:val="FootnoteReference"/>
        </w:rPr>
        <w:footnoteReference w:id="84"/>
      </w:r>
      <w:r w:rsidRPr="58068477">
        <w:t xml:space="preserve"> indicate that there were </w:t>
      </w:r>
      <w:r w:rsidRPr="58068477">
        <w:rPr>
          <w:color w:val="000000"/>
        </w:rPr>
        <w:t>90,075 l</w:t>
      </w:r>
      <w:r w:rsidRPr="58068477">
        <w:t xml:space="preserve">ocal governmental jurisdictions consisting of general </w:t>
      </w:r>
      <w:r w:rsidRPr="58068477">
        <w:t>purpose governments and special purpose governments in the United States.</w:t>
      </w:r>
      <w:r>
        <w:rPr>
          <w:rStyle w:val="FootnoteReference"/>
        </w:rPr>
        <w:footnoteReference w:id="85"/>
      </w:r>
      <w:r w:rsidRPr="58068477">
        <w:t xml:space="preserve">  Of this number there were 36,931 general purpose governments (county,</w:t>
      </w:r>
      <w:r>
        <w:rPr>
          <w:rStyle w:val="FootnoteReference"/>
        </w:rPr>
        <w:footnoteReference w:id="86"/>
      </w:r>
      <w:r w:rsidRPr="58068477">
        <w:t xml:space="preserve"> municipal</w:t>
      </w:r>
      <w:r>
        <w:t>,</w:t>
      </w:r>
      <w:r w:rsidRPr="58068477">
        <w:t xml:space="preserve"> and town or township</w:t>
      </w:r>
      <w:r>
        <w:rPr>
          <w:rStyle w:val="FootnoteReference"/>
        </w:rPr>
        <w:footnoteReference w:id="87"/>
      </w:r>
      <w:r w:rsidRPr="58068477">
        <w:t>) with populations of less than 50,000 and 12,040 special purpose governments - independent school districts</w:t>
      </w:r>
      <w:r>
        <w:rPr>
          <w:rStyle w:val="FootnoteReference"/>
        </w:rPr>
        <w:footnoteReference w:id="88"/>
      </w:r>
      <w:r w:rsidRPr="58068477">
        <w:t xml:space="preserve"> with enrollment populations of less than 50,000.</w:t>
      </w:r>
      <w:r>
        <w:rPr>
          <w:rStyle w:val="FootnoteReference"/>
        </w:rPr>
        <w:footnoteReference w:id="89"/>
      </w:r>
      <w:r w:rsidRPr="58068477">
        <w:t xml:space="preserve">  Accordingly, based on the 2017 U.S. Census of Governments data, we estimate that at least 48,971 entities fall into the category of “small governmental jurisdictions.”</w:t>
      </w:r>
      <w:r>
        <w:rPr>
          <w:rStyle w:val="FootnoteReference"/>
        </w:rPr>
        <w:footnoteReference w:id="90"/>
      </w:r>
    </w:p>
    <w:p w:rsidR="007C6686" w:rsidRPr="007D7E34" w:rsidP="000E309A" w14:paraId="3B786BEC" w14:textId="77777777">
      <w:pPr>
        <w:pStyle w:val="Heading3"/>
      </w:pPr>
      <w:bookmarkStart w:id="39" w:name="_Toc446686233"/>
      <w:bookmarkStart w:id="40" w:name="_Toc447040947"/>
      <w:bookmarkStart w:id="41" w:name="_Toc443470471"/>
      <w:bookmarkStart w:id="42" w:name="_Toc444259472"/>
      <w:bookmarkStart w:id="43" w:name="_Toc445132830"/>
      <w:bookmarkStart w:id="44" w:name="_Toc445202698"/>
      <w:bookmarkStart w:id="45" w:name="_Toc447274012"/>
      <w:bookmarkStart w:id="46" w:name="_Toc449425325"/>
      <w:bookmarkStart w:id="47" w:name="_Toc478730590"/>
      <w:bookmarkStart w:id="48" w:name="_Toc478731148"/>
      <w:bookmarkStart w:id="49" w:name="_Toc479003619"/>
      <w:bookmarkStart w:id="50" w:name="_Toc496627731"/>
      <w:bookmarkStart w:id="51" w:name="_Toc496691384"/>
      <w:bookmarkStart w:id="52" w:name="_Toc498446828"/>
      <w:bookmarkStart w:id="53" w:name="_Toc498524685"/>
      <w:bookmarkStart w:id="54" w:name="_Toc536723120"/>
      <w:bookmarkStart w:id="55" w:name="_Toc188948"/>
      <w:bookmarkStart w:id="56" w:name="_Toc530237"/>
      <w:bookmarkStart w:id="57" w:name="_Toc11420414"/>
      <w:bookmarkStart w:id="58" w:name="_Toc15053043"/>
      <w:bookmarkStart w:id="59" w:name="_Toc15901512"/>
      <w:bookmarkStart w:id="60" w:name="_Toc15901573"/>
      <w:bookmarkStart w:id="61" w:name="_Toc15901948"/>
      <w:bookmarkStart w:id="62" w:name="_Toc16858219"/>
      <w:bookmarkStart w:id="63" w:name="_Toc16858755"/>
      <w:bookmarkStart w:id="64" w:name="_Toc30502709"/>
      <w:bookmarkStart w:id="65" w:name="_Toc30761601"/>
      <w:bookmarkStart w:id="66" w:name="_Toc31183221"/>
      <w:bookmarkStart w:id="67" w:name="_Toc33436535"/>
      <w:bookmarkStart w:id="68" w:name="_Toc33436679"/>
      <w:bookmarkStart w:id="69" w:name="_Toc33437072"/>
      <w:bookmarkStart w:id="70" w:name="_Toc42691793"/>
      <w:bookmarkStart w:id="71" w:name="_Toc49934505"/>
      <w:bookmarkStart w:id="72" w:name="_Toc51075603"/>
      <w:bookmarkStart w:id="73" w:name="_Toc52778896"/>
      <w:bookmarkStart w:id="74" w:name="_Toc54357145"/>
      <w:bookmarkStart w:id="75" w:name="_Toc33436533"/>
      <w:bookmarkStart w:id="76" w:name="_Toc33436677"/>
      <w:bookmarkStart w:id="77" w:name="_Toc33437070"/>
      <w:bookmarkStart w:id="78" w:name="_Toc42691791"/>
      <w:bookmarkStart w:id="79" w:name="_Toc49934503"/>
      <w:bookmarkStart w:id="80" w:name="_Toc51075601"/>
      <w:bookmarkStart w:id="81" w:name="_Toc52778894"/>
      <w:bookmarkStart w:id="82" w:name="_Toc54357143"/>
      <w:r w:rsidRPr="007D7E34">
        <w:t>Broadband Internet Access Service Providers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7C6686" w:rsidRPr="00E52C19" w:rsidP="000E309A" w14:paraId="15D0FFB9" w14:textId="2A06E469">
      <w:pPr>
        <w:pStyle w:val="ParaNum"/>
      </w:pPr>
      <w:r w:rsidRPr="58068477">
        <w:t>Broadband Internet access service providers</w:t>
      </w:r>
      <w:r>
        <w:t>,</w:t>
      </w:r>
      <w:r w:rsidRPr="58068477">
        <w:t xml:space="preserve"> includ</w:t>
      </w:r>
      <w:r>
        <w:t>ing</w:t>
      </w:r>
      <w:r w:rsidRPr="58068477">
        <w:t xml:space="preserve"> wired (e.g., cable, DSL) and VoIP service providers using their own operated wired telecommunications infrastructure</w:t>
      </w:r>
      <w:r>
        <w:t>,</w:t>
      </w:r>
      <w:r w:rsidRPr="58068477">
        <w:t xml:space="preserve"> fall in the category of Wired Telecommunication Carriers.</w:t>
      </w:r>
      <w:r>
        <w:rPr>
          <w:sz w:val="20"/>
          <w:vertAlign w:val="superscript"/>
        </w:rPr>
        <w:footnoteReference w:id="91"/>
      </w:r>
      <w:r w:rsidRPr="58068477">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w:t>
      </w:r>
      <w:r>
        <w:t xml:space="preserve"> </w:t>
      </w:r>
      <w:r w:rsidRPr="58068477">
        <w:t>Transmission facilities may be based on a single technology or a combination of technologies.</w:t>
      </w:r>
      <w:r>
        <w:rPr>
          <w:sz w:val="20"/>
          <w:vertAlign w:val="superscript"/>
        </w:rPr>
        <w:footnoteReference w:id="92"/>
      </w:r>
      <w:r w:rsidRPr="58068477">
        <w:t xml:space="preserve">  The SBA size standard for this category classifies a business as small if it has 1,500 or fewer employees.</w:t>
      </w:r>
      <w:r>
        <w:rPr>
          <w:sz w:val="20"/>
          <w:vertAlign w:val="superscript"/>
        </w:rPr>
        <w:footnoteReference w:id="93"/>
      </w:r>
      <w:r w:rsidRPr="58068477">
        <w:t xml:space="preserve">  U.S. Census Bureau data for 2012 show that there were 3,117 firms that </w:t>
      </w:r>
      <w:r w:rsidRPr="58068477">
        <w:t>operated that year.</w:t>
      </w:r>
      <w:r>
        <w:rPr>
          <w:sz w:val="20"/>
          <w:vertAlign w:val="superscript"/>
        </w:rPr>
        <w:footnoteReference w:id="94"/>
      </w:r>
      <w:r w:rsidRPr="58068477">
        <w:t xml:space="preserve">  Of this total, 3,083 operated with fewer than 1,000 employees.</w:t>
      </w:r>
      <w:r>
        <w:rPr>
          <w:sz w:val="20"/>
          <w:vertAlign w:val="superscript"/>
        </w:rPr>
        <w:footnoteReference w:id="95"/>
      </w:r>
      <w:r w:rsidRPr="58068477">
        <w:t xml:space="preserve">  Consequently, under this size standard the majority of firms in this industry can be considered small</w:t>
      </w:r>
      <w:r w:rsidR="000E309A">
        <w:t>.</w:t>
      </w:r>
    </w:p>
    <w:p w:rsidR="007C6686" w:rsidRPr="00573650" w:rsidP="000E309A" w14:paraId="0DEF1E86" w14:textId="77777777">
      <w:pPr>
        <w:pStyle w:val="Heading3"/>
      </w:pPr>
      <w:r w:rsidRPr="00573650">
        <w:t>Wireline Providers</w:t>
      </w:r>
      <w:bookmarkEnd w:id="75"/>
      <w:bookmarkEnd w:id="76"/>
      <w:bookmarkEnd w:id="77"/>
      <w:bookmarkEnd w:id="78"/>
      <w:bookmarkEnd w:id="79"/>
      <w:bookmarkEnd w:id="80"/>
      <w:bookmarkEnd w:id="81"/>
      <w:bookmarkEnd w:id="82"/>
    </w:p>
    <w:p w:rsidR="007C6686" w:rsidRPr="00573650" w:rsidP="000E309A" w14:paraId="2972A4A4" w14:textId="77777777">
      <w:pPr>
        <w:pStyle w:val="ParaNum"/>
      </w:pPr>
      <w:r w:rsidRPr="02403754">
        <w:rPr>
          <w:i/>
          <w:iCs/>
        </w:rPr>
        <w:t>Incumbent Local Exchange Carriers (Incumbent LECs)</w:t>
      </w:r>
      <w:r w:rsidRPr="58068477">
        <w:t>.  Neither the Commission nor the SBA has developed a small business size standard specifically for incumbent local exchange services.  The closest applicable NAICS Code category is Wired Telecommunications Carriers.</w:t>
      </w:r>
      <w:r>
        <w:rPr>
          <w:rStyle w:val="FootnoteReference"/>
        </w:rPr>
        <w:footnoteReference w:id="96"/>
      </w:r>
      <w:r w:rsidRPr="58068477">
        <w:t xml:space="preserve">  Under the applicable SBA size standard, such a business is small if it has 1,500 or fewer employees.</w:t>
      </w:r>
      <w:r>
        <w:rPr>
          <w:rStyle w:val="FootnoteReference"/>
        </w:rPr>
        <w:footnoteReference w:id="97"/>
      </w:r>
      <w:r w:rsidRPr="58068477">
        <w:t xml:space="preserve">  U.S. Census Bureau data for 2012 indicate that 3,117 firms operated the entire year.</w:t>
      </w:r>
      <w:r>
        <w:rPr>
          <w:rStyle w:val="FootnoteReference"/>
        </w:rPr>
        <w:footnoteReference w:id="98"/>
      </w:r>
      <w:r w:rsidRPr="58068477">
        <w:t xml:space="preserve">  Of this total, 3,083 operated with fewer than 1,000 employees.</w:t>
      </w:r>
      <w:r>
        <w:rPr>
          <w:rStyle w:val="FootnoteReference"/>
        </w:rPr>
        <w:footnoteReference w:id="99"/>
      </w:r>
      <w:r w:rsidRPr="58068477">
        <w:t xml:space="preserve">  Consequently, the Commission estimates that most providers of incumbent local exchange service are small businesses that may be affected by our actions.  According to Commission data, 1,307 Incumbent Local Exchange Carriers reported that they were incumbent local exchange service providers.</w:t>
      </w:r>
      <w:r>
        <w:rPr>
          <w:spacing w:val="-2"/>
          <w:sz w:val="20"/>
          <w:vertAlign w:val="superscript"/>
        </w:rPr>
        <w:footnoteReference w:id="100"/>
      </w:r>
      <w:r w:rsidRPr="58068477">
        <w:t xml:space="preserve">  Of this total, an estimated 1,006 have 1,500 or fewer employees.</w:t>
      </w:r>
      <w:r>
        <w:rPr>
          <w:spacing w:val="-2"/>
          <w:sz w:val="20"/>
          <w:vertAlign w:val="superscript"/>
        </w:rPr>
        <w:footnoteReference w:id="101"/>
      </w:r>
      <w:r w:rsidRPr="58068477">
        <w:t xml:space="preserve">  Thus, using the SBA’s size standard the majority of incumbent LECs can be considered small entiti</w:t>
      </w:r>
      <w:r>
        <w:t>es.</w:t>
      </w:r>
    </w:p>
    <w:p w:rsidR="007C6686" w:rsidRPr="00573650" w:rsidP="000E309A" w14:paraId="2E22F6A1" w14:textId="77777777">
      <w:pPr>
        <w:pStyle w:val="ParaNum"/>
      </w:pPr>
      <w:r w:rsidRPr="02403754">
        <w:rPr>
          <w:i/>
          <w:iCs/>
        </w:rPr>
        <w:t>Competitive Local Exchange Carriers (Competitive LECs), Competitive Access Providers (CAPs), Shared-Tenant Service Providers, and Other Local Service Providers</w:t>
      </w:r>
      <w:r w:rsidRPr="58068477">
        <w:t>.  Neither the Commission nor the SBA has developed a small business size standard specifically for these service providers.  The appropriate NAICS Code category is Wired Telecommunications Carriers</w:t>
      </w:r>
      <w:r>
        <w:rPr>
          <w:sz w:val="20"/>
          <w:vertAlign w:val="superscript"/>
        </w:rPr>
        <w:footnoteReference w:id="102"/>
      </w:r>
      <w:r w:rsidRPr="58068477">
        <w:t xml:space="preserve"> and under that size standard, such a business is small if it has 1,500 or fewer employees.</w:t>
      </w:r>
      <w:r>
        <w:rPr>
          <w:sz w:val="20"/>
          <w:vertAlign w:val="superscript"/>
        </w:rPr>
        <w:footnoteReference w:id="103"/>
      </w:r>
      <w:r w:rsidRPr="58068477">
        <w:t xml:space="preserve">  U.S. Census Bureau data for 2012 indicate that 3,117 firms operated during that year.</w:t>
      </w:r>
      <w:r>
        <w:rPr>
          <w:sz w:val="20"/>
          <w:vertAlign w:val="superscript"/>
        </w:rPr>
        <w:footnoteReference w:id="104"/>
      </w:r>
      <w:r w:rsidRPr="58068477">
        <w:t xml:space="preserve">  Of that number, 3,083 operated with fewer than 1,000 employees.</w:t>
      </w:r>
      <w:r>
        <w:rPr>
          <w:sz w:val="20"/>
          <w:vertAlign w:val="superscript"/>
        </w:rPr>
        <w:footnoteReference w:id="105"/>
      </w:r>
      <w:r w:rsidRPr="58068477">
        <w:t xml:space="preserve">  Based on these data, the Commission concludes that the majority of Competitive LECS, CAPs, Shared-Tenant Service Providers, and Other Local Service Providers, are small entities.  </w:t>
      </w:r>
      <w:r w:rsidRPr="58068477">
        <w:t>According to Commission data, 1,442 carriers reported that they were engaged in the provision of either competitive local exchange services or competitive access provider services.</w:t>
      </w:r>
      <w:r>
        <w:rPr>
          <w:sz w:val="20"/>
          <w:vertAlign w:val="superscript"/>
        </w:rPr>
        <w:footnoteReference w:id="106"/>
      </w:r>
      <w:r w:rsidRPr="58068477">
        <w:t xml:space="preserve">  Of these 1,442 carriers, an estimated 1,256 have 1,500 or fewer employees.</w:t>
      </w:r>
      <w:r>
        <w:rPr>
          <w:sz w:val="20"/>
          <w:vertAlign w:val="superscript"/>
        </w:rPr>
        <w:footnoteReference w:id="107"/>
      </w:r>
      <w:r w:rsidRPr="58068477">
        <w:t xml:space="preserve">  In addition, 17 carriers have reported that they are Shared-Tenant Service Providers, and all 17 are estimated to have 1,500 or fewer employees.</w:t>
      </w:r>
      <w:r>
        <w:rPr>
          <w:sz w:val="20"/>
          <w:vertAlign w:val="superscript"/>
        </w:rPr>
        <w:footnoteReference w:id="108"/>
      </w:r>
      <w:r w:rsidRPr="58068477">
        <w:t xml:space="preserve">  Also, 72 carriers have reported that they are Other Local Service Providers.</w:t>
      </w:r>
      <w:r>
        <w:rPr>
          <w:sz w:val="20"/>
          <w:vertAlign w:val="superscript"/>
        </w:rPr>
        <w:footnoteReference w:id="109"/>
      </w:r>
      <w:r w:rsidRPr="58068477">
        <w:t xml:space="preserve">  Of this total, 70 have 1,500 or fewer employees.</w:t>
      </w:r>
      <w:r>
        <w:rPr>
          <w:sz w:val="20"/>
          <w:vertAlign w:val="superscript"/>
        </w:rPr>
        <w:footnoteReference w:id="110"/>
      </w:r>
      <w:r w:rsidRPr="58068477">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rsidR="007C6686" w:rsidRPr="00573650" w:rsidP="000E309A" w14:paraId="0E5C4A2B" w14:textId="77777777">
      <w:pPr>
        <w:pStyle w:val="ParaNum"/>
      </w:pPr>
      <w:r w:rsidRPr="02403754">
        <w:rPr>
          <w:i/>
          <w:iCs/>
        </w:rPr>
        <w:t>Interexchange Carriers (IXCs)</w:t>
      </w:r>
      <w:r w:rsidRPr="58068477">
        <w:t>.  Neither the Commission nor the SBA has developed a small business size standard specifically for Interexchange Carriers.  The closest applicable NAICS Code category is Wired Telecommunications Carriers.</w:t>
      </w:r>
      <w:r>
        <w:rPr>
          <w:sz w:val="20"/>
          <w:vertAlign w:val="superscript"/>
        </w:rPr>
        <w:footnoteReference w:id="111"/>
      </w:r>
      <w:r w:rsidRPr="58068477">
        <w:t xml:space="preserve">  The applicable size standard under SBA rules </w:t>
      </w:r>
      <w:bookmarkStart w:id="88" w:name="_Hlk23924288"/>
      <w:r w:rsidRPr="58068477">
        <w:t>is that such a business is small if it has 1,500 or fewer employees.</w:t>
      </w:r>
      <w:r>
        <w:rPr>
          <w:sz w:val="20"/>
          <w:vertAlign w:val="superscript"/>
        </w:rPr>
        <w:footnoteReference w:id="112"/>
      </w:r>
      <w:r w:rsidRPr="00573650">
        <w:t xml:space="preserve">  </w:t>
      </w:r>
      <w:bookmarkStart w:id="89" w:name="_Hlk23924389"/>
      <w:bookmarkStart w:id="90" w:name="_Hlk23924351"/>
      <w:bookmarkEnd w:id="88"/>
      <w:r w:rsidRPr="58068477">
        <w:t>U.S. Census Bureau data for 2012 indicate that 3,117 firms operated for the entire year.</w:t>
      </w:r>
      <w:r>
        <w:rPr>
          <w:sz w:val="20"/>
          <w:vertAlign w:val="superscript"/>
        </w:rPr>
        <w:footnoteReference w:id="113"/>
      </w:r>
      <w:r w:rsidRPr="58068477">
        <w:t xml:space="preserve">  Of that number, 3,083 operated with fewer than 1,000 employees.</w:t>
      </w:r>
      <w:r>
        <w:rPr>
          <w:sz w:val="20"/>
          <w:vertAlign w:val="superscript"/>
        </w:rPr>
        <w:footnoteReference w:id="114"/>
      </w:r>
      <w:r w:rsidRPr="58068477">
        <w:t xml:space="preserve">  According to internally developed Commission data, 359 companies reported that their primary telecommunications service activity was the provision of interexchange services.</w:t>
      </w:r>
      <w:r>
        <w:rPr>
          <w:sz w:val="20"/>
          <w:vertAlign w:val="superscript"/>
        </w:rPr>
        <w:footnoteReference w:id="115"/>
      </w:r>
      <w:r w:rsidRPr="58068477">
        <w:t xml:space="preserve">  Of this total, an estimated 317 have 1,500 or fewer employees.</w:t>
      </w:r>
      <w:r>
        <w:rPr>
          <w:sz w:val="20"/>
          <w:vertAlign w:val="superscript"/>
        </w:rPr>
        <w:footnoteReference w:id="116"/>
      </w:r>
      <w:r w:rsidRPr="58068477">
        <w:t xml:space="preserve">  Consequently, the Commission estimates that the majority of interexchange service providers are small entities</w:t>
      </w:r>
      <w:bookmarkEnd w:id="89"/>
      <w:r w:rsidRPr="00573650">
        <w:t>.</w:t>
      </w:r>
      <w:bookmarkEnd w:id="90"/>
    </w:p>
    <w:p w:rsidR="007C6686" w:rsidRPr="005A3EE0" w:rsidP="000E309A" w14:paraId="059618A2" w14:textId="77777777">
      <w:pPr>
        <w:pStyle w:val="ParaNum"/>
        <w:rPr>
          <w:szCs w:val="22"/>
        </w:rPr>
      </w:pPr>
      <w:r w:rsidRPr="02403754">
        <w:rPr>
          <w:i/>
          <w:iCs/>
        </w:rPr>
        <w:t>Operator Service Providers (OSPs)</w:t>
      </w:r>
      <w:r w:rsidRPr="58068477">
        <w:t xml:space="preserve">.  </w:t>
      </w:r>
      <w:r w:rsidRPr="005A3EE0">
        <w:rPr>
          <w:szCs w:val="22"/>
        </w:rPr>
        <w:t>Neither the Commission nor the SBA has developed a small business size standard specifically for OSPs.  The closest applicable NAICS Code category is Wired Telecommunications Carriers.</w:t>
      </w:r>
      <w:r>
        <w:rPr>
          <w:sz w:val="20"/>
          <w:vertAlign w:val="superscript"/>
        </w:rPr>
        <w:footnoteReference w:id="117"/>
      </w:r>
      <w:r w:rsidRPr="005A3EE0">
        <w:rPr>
          <w:szCs w:val="22"/>
        </w:rPr>
        <w:t xml:space="preserve">  The applicable size standard under SBA rules is that such a business is small if it has 1,500 or fewer employees.</w:t>
      </w:r>
      <w:r>
        <w:rPr>
          <w:sz w:val="20"/>
          <w:vertAlign w:val="superscript"/>
        </w:rPr>
        <w:footnoteReference w:id="118"/>
      </w:r>
      <w:r w:rsidRPr="005A3EE0">
        <w:rPr>
          <w:sz w:val="20"/>
        </w:rPr>
        <w:t xml:space="preserve"> </w:t>
      </w:r>
      <w:r w:rsidRPr="005A3EE0">
        <w:rPr>
          <w:szCs w:val="22"/>
        </w:rPr>
        <w:t xml:space="preserve"> U.S. Census Bureau data for 2012 indicate that 3,117 firms operated for the entire year.</w:t>
      </w:r>
      <w:r>
        <w:rPr>
          <w:sz w:val="20"/>
          <w:vertAlign w:val="superscript"/>
        </w:rPr>
        <w:footnoteReference w:id="119"/>
      </w:r>
      <w:r w:rsidRPr="005A3EE0">
        <w:rPr>
          <w:szCs w:val="22"/>
        </w:rPr>
        <w:t xml:space="preserve">  Of that number, 3,083 operated with fewer than 1,000 </w:t>
      </w:r>
      <w:r w:rsidRPr="005A3EE0">
        <w:rPr>
          <w:szCs w:val="22"/>
        </w:rPr>
        <w:t>employees.</w:t>
      </w:r>
      <w:r>
        <w:rPr>
          <w:sz w:val="20"/>
          <w:vertAlign w:val="superscript"/>
        </w:rPr>
        <w:footnoteReference w:id="120"/>
      </w:r>
      <w:r w:rsidRPr="005A3EE0">
        <w:rPr>
          <w:sz w:val="20"/>
        </w:rPr>
        <w:t xml:space="preserve"> </w:t>
      </w:r>
      <w:r w:rsidRPr="005A3EE0">
        <w:rPr>
          <w:szCs w:val="22"/>
        </w:rPr>
        <w:t xml:space="preserve"> According to internally developed Commission data, 359 companies reported that their primary telecommunications service activity was the provision of interexchange services.</w:t>
      </w:r>
      <w:r>
        <w:rPr>
          <w:sz w:val="20"/>
          <w:vertAlign w:val="superscript"/>
        </w:rPr>
        <w:footnoteReference w:id="121"/>
      </w:r>
      <w:r w:rsidRPr="005A3EE0">
        <w:rPr>
          <w:sz w:val="20"/>
        </w:rPr>
        <w:t xml:space="preserve"> </w:t>
      </w:r>
      <w:r w:rsidRPr="005A3EE0">
        <w:rPr>
          <w:szCs w:val="22"/>
        </w:rPr>
        <w:t xml:space="preserve"> Of this total, an estimated 317 have 1,500 or fewer employees.</w:t>
      </w:r>
      <w:r>
        <w:rPr>
          <w:sz w:val="20"/>
          <w:vertAlign w:val="superscript"/>
        </w:rPr>
        <w:footnoteReference w:id="122"/>
      </w:r>
      <w:r w:rsidRPr="005A3EE0">
        <w:rPr>
          <w:szCs w:val="22"/>
        </w:rPr>
        <w:t xml:space="preserve">  Consequently, the Commission estimates that the majority of OSPs are small entities.</w:t>
      </w:r>
    </w:p>
    <w:p w:rsidR="007C6686" w:rsidRPr="00573650" w:rsidP="000E309A" w14:paraId="6A3BBD7D" w14:textId="77777777">
      <w:pPr>
        <w:pStyle w:val="ParaNum"/>
      </w:pPr>
      <w:r w:rsidRPr="02403754">
        <w:rPr>
          <w:i/>
          <w:iCs/>
        </w:rPr>
        <w:t>Local Resellers</w:t>
      </w:r>
      <w:r w:rsidRPr="58068477">
        <w:t>.  The SBA has not developed a small business size standard specifically for Local Resellers.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Pr>
          <w:sz w:val="20"/>
          <w:vertAlign w:val="superscript"/>
        </w:rPr>
        <w:footnoteReference w:id="123"/>
      </w:r>
      <w:r w:rsidRPr="58068477">
        <w:t xml:space="preserve">  Under the SBA’s size standard, such a business is small if it has 1,500 or fewer employees.</w:t>
      </w:r>
      <w:r>
        <w:rPr>
          <w:sz w:val="20"/>
          <w:vertAlign w:val="superscript"/>
        </w:rPr>
        <w:footnoteReference w:id="124"/>
      </w:r>
      <w:r w:rsidRPr="58068477">
        <w:t xml:space="preserve">  2012 Census Bureau data shows that 1,341 firms provided resale services during that year.  Of that number, all operated with fewer than 1,000 employees.</w:t>
      </w:r>
      <w:r>
        <w:rPr>
          <w:sz w:val="20"/>
          <w:vertAlign w:val="superscript"/>
        </w:rPr>
        <w:footnoteReference w:id="125"/>
      </w:r>
      <w:r w:rsidRPr="58068477">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sz w:val="20"/>
          <w:vertAlign w:val="superscript"/>
        </w:rPr>
        <w:footnoteReference w:id="126"/>
      </w:r>
      <w:r w:rsidRPr="58068477">
        <w:t xml:space="preserve">  Of these, an estimated 211 have 1,500 or fewer employees and two have more than 1,500 employees.</w:t>
      </w:r>
      <w:r>
        <w:rPr>
          <w:sz w:val="20"/>
          <w:vertAlign w:val="superscript"/>
        </w:rPr>
        <w:footnoteReference w:id="127"/>
      </w:r>
      <w:r w:rsidRPr="58068477">
        <w:t xml:space="preserve">  Consequently, the Commission estimates that the majority of local resellers are small entities that may be affected by the rules adopted.</w:t>
      </w:r>
    </w:p>
    <w:p w:rsidR="007C6686" w:rsidRPr="00573650" w:rsidP="000E309A" w14:paraId="10E15EEC" w14:textId="77777777">
      <w:pPr>
        <w:pStyle w:val="ParaNum"/>
      </w:pPr>
      <w:r w:rsidRPr="02403754">
        <w:rPr>
          <w:i/>
          <w:iCs/>
        </w:rPr>
        <w:t>Toll Resellers</w:t>
      </w:r>
      <w:r w:rsidRPr="58068477">
        <w:t>.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Pr>
          <w:sz w:val="20"/>
          <w:vertAlign w:val="superscript"/>
        </w:rPr>
        <w:footnoteReference w:id="128"/>
      </w:r>
      <w:r w:rsidRPr="58068477">
        <w:t xml:space="preserve">  The SBA has developed a small business size standard for the category of Telecommunications Resellers.</w:t>
      </w:r>
      <w:r>
        <w:rPr>
          <w:sz w:val="20"/>
          <w:vertAlign w:val="superscript"/>
        </w:rPr>
        <w:footnoteReference w:id="129"/>
      </w:r>
      <w:r w:rsidRPr="58068477">
        <w:t xml:space="preserve">  Under that size standard, such a business is small if it has 1,500 or fewer employees.</w:t>
      </w:r>
      <w:r>
        <w:rPr>
          <w:sz w:val="20"/>
          <w:vertAlign w:val="superscript"/>
        </w:rPr>
        <w:footnoteReference w:id="130"/>
      </w:r>
      <w:r w:rsidRPr="58068477">
        <w:t xml:space="preserve">  2012 U.S. Census Bureau data show that 1,341 firms provided resale services during </w:t>
      </w:r>
      <w:r w:rsidRPr="58068477">
        <w:t>that year.</w:t>
      </w:r>
      <w:r>
        <w:rPr>
          <w:rStyle w:val="FootnoteReference"/>
        </w:rPr>
        <w:footnoteReference w:id="131"/>
      </w:r>
      <w:r w:rsidRPr="58068477">
        <w:t xml:space="preserve">  Of that number, 1,341 operated with fewer than 1,000 employees.</w:t>
      </w:r>
      <w:r>
        <w:rPr>
          <w:sz w:val="20"/>
          <w:vertAlign w:val="superscript"/>
        </w:rPr>
        <w:footnoteReference w:id="132"/>
      </w:r>
      <w:r w:rsidRPr="58068477">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Pr>
          <w:sz w:val="20"/>
          <w:vertAlign w:val="superscript"/>
        </w:rPr>
        <w:footnoteReference w:id="133"/>
      </w:r>
      <w:r w:rsidRPr="58068477">
        <w:t xml:space="preserve">  Of this total, an estimated 857 have 1,500 or fewer employees.</w:t>
      </w:r>
      <w:r>
        <w:rPr>
          <w:sz w:val="20"/>
          <w:vertAlign w:val="superscript"/>
        </w:rPr>
        <w:footnoteReference w:id="134"/>
      </w:r>
      <w:r w:rsidRPr="58068477">
        <w:t xml:space="preserve">  Consequently, the Commission estimates that the majority of toll resellers are small entities.</w:t>
      </w:r>
    </w:p>
    <w:p w:rsidR="007C6686" w:rsidRPr="00573650" w:rsidP="000E309A" w14:paraId="31033689" w14:textId="77777777">
      <w:pPr>
        <w:pStyle w:val="Heading3"/>
      </w:pPr>
      <w:bookmarkStart w:id="101" w:name="_Toc496627730"/>
      <w:bookmarkStart w:id="102" w:name="_Toc496691383"/>
      <w:bookmarkStart w:id="103" w:name="_Toc498446827"/>
      <w:bookmarkStart w:id="104" w:name="_Toc498524684"/>
      <w:bookmarkStart w:id="105" w:name="_Toc536723119"/>
      <w:bookmarkStart w:id="106" w:name="_Toc188947"/>
      <w:bookmarkStart w:id="107" w:name="_Toc530236"/>
      <w:bookmarkStart w:id="108" w:name="_Toc11420413"/>
      <w:bookmarkStart w:id="109" w:name="_Toc15053042"/>
      <w:bookmarkStart w:id="110" w:name="_Toc15901511"/>
      <w:bookmarkStart w:id="111" w:name="_Toc15901572"/>
      <w:bookmarkStart w:id="112" w:name="_Toc15901947"/>
      <w:bookmarkStart w:id="113" w:name="_Toc16858218"/>
      <w:bookmarkStart w:id="114" w:name="_Toc16858754"/>
      <w:bookmarkStart w:id="115" w:name="_Toc30502708"/>
      <w:bookmarkStart w:id="116" w:name="_Toc30761600"/>
      <w:bookmarkStart w:id="117" w:name="_Toc31183220"/>
      <w:bookmarkStart w:id="118" w:name="_Toc33436534"/>
      <w:bookmarkStart w:id="119" w:name="_Toc33436678"/>
      <w:bookmarkStart w:id="120" w:name="_Toc33437071"/>
      <w:bookmarkStart w:id="121" w:name="_Toc42691792"/>
      <w:bookmarkStart w:id="122" w:name="_Toc49934504"/>
      <w:bookmarkStart w:id="123" w:name="_Toc51075602"/>
      <w:bookmarkStart w:id="124" w:name="_Toc52778895"/>
      <w:bookmarkStart w:id="125" w:name="_Toc54357144"/>
      <w:r w:rsidRPr="00573650">
        <w:t>Wireless Carriers and Service Providers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7C6686" w:rsidRPr="00573650" w:rsidP="000E309A" w14:paraId="63500573" w14:textId="77777777">
      <w:pPr>
        <w:pStyle w:val="ParaNum"/>
      </w:pPr>
      <w:r w:rsidRPr="02403754">
        <w:rPr>
          <w:i/>
          <w:iCs/>
        </w:rPr>
        <w:t>Wireless Telecommunications Carriers (except Satellite)</w:t>
      </w:r>
      <w:r w:rsidRPr="58068477">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w:t>
      </w:r>
      <w:r>
        <w:t>I</w:t>
      </w:r>
      <w:r w:rsidRPr="58068477">
        <w:t>nternet access, and wireless video services.</w:t>
      </w:r>
      <w:r>
        <w:rPr>
          <w:sz w:val="20"/>
          <w:vertAlign w:val="superscript"/>
        </w:rPr>
        <w:footnoteReference w:id="135"/>
      </w:r>
      <w:r w:rsidRPr="58068477">
        <w:t xml:space="preserve">  The appropriate size standard under SBA rules is that such a business is small if it has 1,500 or fewer employees.</w:t>
      </w:r>
      <w:r>
        <w:rPr>
          <w:sz w:val="20"/>
          <w:vertAlign w:val="superscript"/>
        </w:rPr>
        <w:footnoteReference w:id="136"/>
      </w:r>
      <w:r w:rsidRPr="58068477">
        <w:t xml:space="preserve">  For this industry, U.S. Census Bureau data for 2012 show that there were 967 firms that operated for the entire year.</w:t>
      </w:r>
      <w:r>
        <w:rPr>
          <w:sz w:val="20"/>
          <w:vertAlign w:val="superscript"/>
        </w:rPr>
        <w:footnoteReference w:id="137"/>
      </w:r>
      <w:r w:rsidRPr="58068477">
        <w:t xml:space="preserve">  Of this total, 955 firms employed fewer than 1,000 employees and 12 firms employed of 1000 employees or more.</w:t>
      </w:r>
      <w:r>
        <w:rPr>
          <w:sz w:val="20"/>
          <w:vertAlign w:val="superscript"/>
        </w:rPr>
        <w:footnoteReference w:id="138"/>
      </w:r>
      <w:r w:rsidRPr="58068477">
        <w:t xml:space="preserve">  Thus under this category and the associated size standard, the Commission estimates that the majority of Wireless Telecommunications Carriers (except Satellite) are small entities.</w:t>
      </w:r>
      <w:r>
        <w:t xml:space="preserve">  </w:t>
      </w:r>
      <w:r w:rsidRPr="58068477">
        <w:t>The Commission’s own data—available in its Universal Licensing System—indicate that, as of August 31, 2018</w:t>
      </w:r>
      <w:r>
        <w:t>,</w:t>
      </w:r>
      <w:r w:rsidRPr="58068477">
        <w:t xml:space="preserve"> there are 265 </w:t>
      </w:r>
      <w:r>
        <w:t>c</w:t>
      </w:r>
      <w:r w:rsidRPr="58068477">
        <w:t>ellular licensees that will be affected by our actions.</w:t>
      </w:r>
      <w:r>
        <w:rPr>
          <w:sz w:val="20"/>
          <w:vertAlign w:val="superscript"/>
        </w:rPr>
        <w:footnoteReference w:id="139"/>
      </w:r>
      <w:r w:rsidRPr="58068477">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sz w:val="20"/>
          <w:vertAlign w:val="superscript"/>
        </w:rPr>
        <w:footnoteReference w:id="140"/>
      </w:r>
      <w:r w:rsidRPr="58068477">
        <w:t xml:space="preserve">  Of this total, an estimated 261 have 1,500 or fewer employees, and 152 have more than 1,500 employees.</w:t>
      </w:r>
      <w:r>
        <w:rPr>
          <w:sz w:val="20"/>
          <w:vertAlign w:val="superscript"/>
        </w:rPr>
        <w:footnoteReference w:id="141"/>
      </w:r>
      <w:r w:rsidRPr="58068477">
        <w:t xml:space="preserve">  Thus, using available data, we estimate that the majority of wireless firms can be considered small.</w:t>
      </w:r>
    </w:p>
    <w:p w:rsidR="007C6686" w:rsidRPr="00573650" w:rsidP="000E309A" w14:paraId="0FEE0B42" w14:textId="77777777">
      <w:pPr>
        <w:pStyle w:val="ParaNum"/>
        <w:widowControl/>
      </w:pPr>
      <w:r w:rsidRPr="02403754">
        <w:rPr>
          <w:i/>
          <w:iCs/>
        </w:rPr>
        <w:t>Satellite Telecommunications Providers</w:t>
      </w:r>
      <w:r w:rsidRPr="58068477">
        <w:t>.  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sz w:val="20"/>
          <w:vertAlign w:val="superscript"/>
        </w:rPr>
        <w:footnoteReference w:id="142"/>
      </w:r>
      <w:r w:rsidRPr="58068477">
        <w:t xml:space="preserve">  Satellite telecommunications service providers include satellite and earth station operators.  The category has a small business size standard of $35 million or less in average annual receipts, under SBA rules.</w:t>
      </w:r>
      <w:r>
        <w:rPr>
          <w:sz w:val="20"/>
          <w:vertAlign w:val="superscript"/>
        </w:rPr>
        <w:footnoteReference w:id="143"/>
      </w:r>
      <w:r w:rsidRPr="58068477">
        <w:t xml:space="preserve">  For this category, U.S. Census Bureau data for 2012 show that there were a total of 333 firms that operated for the entire year.</w:t>
      </w:r>
      <w:r>
        <w:rPr>
          <w:sz w:val="20"/>
          <w:vertAlign w:val="superscript"/>
        </w:rPr>
        <w:footnoteReference w:id="144"/>
      </w:r>
      <w:r w:rsidRPr="58068477">
        <w:t xml:space="preserve">  Of this total, 299 firms had annual receipts of less than $25 million.</w:t>
      </w:r>
      <w:r>
        <w:rPr>
          <w:sz w:val="20"/>
          <w:vertAlign w:val="superscript"/>
        </w:rPr>
        <w:footnoteReference w:id="145"/>
      </w:r>
      <w:r w:rsidRPr="58068477">
        <w:t xml:space="preserve">  Consequently, we estimate that the majority of satellite telecommunications providers are small entities</w:t>
      </w:r>
      <w:r>
        <w:t>.</w:t>
      </w:r>
    </w:p>
    <w:p w:rsidR="007C6686" w:rsidRPr="00573650" w:rsidP="000E309A" w14:paraId="3A32ADD5" w14:textId="77777777">
      <w:pPr>
        <w:pStyle w:val="ParaNum"/>
      </w:pPr>
      <w:r w:rsidRPr="02403754">
        <w:rPr>
          <w:i/>
          <w:iCs/>
        </w:rPr>
        <w:t>Common Carrier Paging.</w:t>
      </w:r>
      <w:r w:rsidRPr="58068477">
        <w:t xml:space="preserve">  As noted, since 2007</w:t>
      </w:r>
      <w:r>
        <w:t>,</w:t>
      </w:r>
      <w:r w:rsidRPr="58068477">
        <w:t xml:space="preserve"> the Census Bureau has placed paging providers within the broad economic census category of Wireless Telecommunications Carriers (except Satellite).</w:t>
      </w:r>
      <w:r>
        <w:rPr>
          <w:sz w:val="20"/>
          <w:vertAlign w:val="superscript"/>
        </w:rPr>
        <w:footnoteReference w:id="146"/>
      </w:r>
      <w:r w:rsidRPr="00573650">
        <w:t xml:space="preserve">  </w:t>
      </w:r>
    </w:p>
    <w:p w:rsidR="007C6686" w:rsidRPr="00573650" w:rsidP="000E309A" w14:paraId="45438976" w14:textId="77777777">
      <w:pPr>
        <w:pStyle w:val="ParaNum"/>
        <w:widowControl/>
      </w:pPr>
      <w:r w:rsidRPr="58068477">
        <w:t xml:space="preserve">In addition, in the </w:t>
      </w:r>
      <w:r w:rsidRPr="02403754">
        <w:rPr>
          <w:i/>
          <w:iCs/>
        </w:rPr>
        <w:t>Paging Second Report and Order</w:t>
      </w:r>
      <w:r w:rsidRPr="58068477">
        <w:t>, the Commission adopted a size standard for “small businesses” for purposes of determining their eligibility for special provisions such as bidding credits and installment payments.</w:t>
      </w:r>
      <w:r>
        <w:rPr>
          <w:sz w:val="20"/>
          <w:vertAlign w:val="superscript"/>
        </w:rPr>
        <w:footnoteReference w:id="147"/>
      </w:r>
      <w:r w:rsidRPr="58068477">
        <w:t xml:space="preserve">  A small business is an entity that, together with its affiliates and controlling principals, has average gross revenues not exceeding $15 million for the preceding three years.</w:t>
      </w:r>
      <w:r>
        <w:rPr>
          <w:sz w:val="20"/>
          <w:vertAlign w:val="superscript"/>
        </w:rPr>
        <w:footnoteReference w:id="148"/>
      </w:r>
      <w:r w:rsidRPr="58068477">
        <w:t xml:space="preserve">  The SBA has approved this definition.</w:t>
      </w:r>
      <w:r>
        <w:rPr>
          <w:sz w:val="20"/>
          <w:vertAlign w:val="superscript"/>
        </w:rPr>
        <w:footnoteReference w:id="149"/>
      </w:r>
      <w:r w:rsidRPr="58068477">
        <w:t xml:space="preserve">  An initial auction of Metropolitan Economic Area (“MEA”) licenses was conducted in the year 2000.  Of the 2,499 licenses auctioned, 985 were sold.</w:t>
      </w:r>
      <w:r>
        <w:rPr>
          <w:sz w:val="20"/>
          <w:vertAlign w:val="superscript"/>
        </w:rPr>
        <w:footnoteReference w:id="150"/>
      </w:r>
      <w:r w:rsidRPr="58068477">
        <w:t xml:space="preserve">  Fifty-seven companies claiming small business status won 440 licenses.</w:t>
      </w:r>
      <w:r>
        <w:rPr>
          <w:sz w:val="20"/>
          <w:vertAlign w:val="superscript"/>
        </w:rPr>
        <w:footnoteReference w:id="151"/>
      </w:r>
      <w:r w:rsidRPr="58068477">
        <w:t xml:space="preserve">  A subsequent auction of MEA and Economic Area (“EA”) licenses was held in the year 2001.  Of the 15,514 licenses auctioned, 5,323 were sold.</w:t>
      </w:r>
      <w:r>
        <w:rPr>
          <w:sz w:val="20"/>
          <w:vertAlign w:val="superscript"/>
        </w:rPr>
        <w:footnoteReference w:id="152"/>
      </w:r>
      <w:r w:rsidRPr="58068477">
        <w:t xml:space="preserve">  One hundred thirty-two companies claiming small business status purchased 3,724 licenses.  A third auction, consisting of 8,874 licenses in each of 175 EAs and 1,328 licenses in all but three of the </w:t>
      </w:r>
      <w:r w:rsidRPr="58068477">
        <w:t>51 MEAs, was held in 2003.  Seventy-seven bidders claiming small or very small business status won 2,093 licenses.</w:t>
      </w:r>
      <w:r>
        <w:rPr>
          <w:sz w:val="20"/>
          <w:vertAlign w:val="superscript"/>
        </w:rPr>
        <w:footnoteReference w:id="153"/>
      </w:r>
    </w:p>
    <w:p w:rsidR="007C6686" w:rsidP="000E309A" w14:paraId="4AFD5FD7" w14:textId="77777777">
      <w:pPr>
        <w:pStyle w:val="ParaNum"/>
      </w:pPr>
      <w:r w:rsidRPr="58068477">
        <w:t>Currently, there are approximately 74,000 Common Carrier Paging licenses.  According to the most recent Trends in Telephone Service, 291 carriers reported that they were engaged in the provision of “paging and messaging” services.</w:t>
      </w:r>
      <w:r>
        <w:rPr>
          <w:sz w:val="20"/>
          <w:vertAlign w:val="superscript"/>
        </w:rPr>
        <w:footnoteReference w:id="154"/>
      </w:r>
      <w:r w:rsidRPr="58068477">
        <w:t xml:space="preserve">  Of these, an estimated 289 have 1,500 or fewer employees and two have more than 1,500 employees.</w:t>
      </w:r>
      <w:r>
        <w:rPr>
          <w:sz w:val="20"/>
          <w:vertAlign w:val="superscript"/>
        </w:rPr>
        <w:footnoteReference w:id="155"/>
      </w:r>
      <w:r w:rsidRPr="58068477">
        <w:t xml:space="preserve">  We estimate that the majority of common carrier paging providers would qualify as small entities under the SBA definition.</w:t>
      </w:r>
    </w:p>
    <w:p w:rsidR="007C6686" w:rsidRPr="00573650" w:rsidP="000E309A" w14:paraId="75528B20" w14:textId="4D1AE5F0">
      <w:pPr>
        <w:pStyle w:val="ParaNum"/>
      </w:pPr>
      <w:r w:rsidRPr="02403754">
        <w:rPr>
          <w:i/>
          <w:iCs/>
        </w:rPr>
        <w:t>Wireless Telephony</w:t>
      </w:r>
      <w:r w:rsidRPr="58068477">
        <w:t>.  Wireless telephony includes cellular, personal communications services, and specialized mobile radio telephony carriers.  The closest applicable SBA category is Wireless Telecommunications Carriers (except Satellite).</w:t>
      </w:r>
      <w:r>
        <w:rPr>
          <w:sz w:val="20"/>
          <w:vertAlign w:val="superscript"/>
        </w:rPr>
        <w:footnoteReference w:id="156"/>
      </w:r>
      <w:r w:rsidRPr="58068477">
        <w:t xml:space="preserve"> </w:t>
      </w:r>
      <w:r>
        <w:t xml:space="preserve"> </w:t>
      </w:r>
      <w:r w:rsidRPr="58068477">
        <w:t>Under the SBA small business size standard, a business is small if it has 1,500 or fewer employees.</w:t>
      </w:r>
      <w:r>
        <w:rPr>
          <w:sz w:val="20"/>
          <w:vertAlign w:val="superscript"/>
        </w:rPr>
        <w:footnoteReference w:id="157"/>
      </w:r>
      <w:r w:rsidRPr="58068477">
        <w:t xml:space="preserve">  For this industry, U.S. Census Bureau data for 2012 show that there were 967 firms that operated for the entire year.</w:t>
      </w:r>
      <w:r>
        <w:rPr>
          <w:sz w:val="20"/>
          <w:vertAlign w:val="superscript"/>
        </w:rPr>
        <w:footnoteReference w:id="158"/>
      </w:r>
      <w:r w:rsidRPr="58068477">
        <w:t xml:space="preserve">  Of this total, 955 firms had fewer than 1,000 employees and 12 firms had 1000 employees or more.</w:t>
      </w:r>
      <w:r>
        <w:rPr>
          <w:sz w:val="20"/>
          <w:vertAlign w:val="superscript"/>
        </w:rPr>
        <w:footnoteReference w:id="159"/>
      </w:r>
      <w:r w:rsidRPr="58068477">
        <w:t xml:space="preserve">  Thus under this category and the associated size standard, the Commission estimates that a majority of these entities can be considered small.  According to Commission data, 413 carriers reported that they were engaged in wireless telephony.</w:t>
      </w:r>
      <w:r>
        <w:rPr>
          <w:sz w:val="20"/>
          <w:vertAlign w:val="superscript"/>
        </w:rPr>
        <w:footnoteReference w:id="160"/>
      </w:r>
      <w:r w:rsidRPr="58068477">
        <w:t xml:space="preserve">  Of these, an estimated 261 have 1,500 or fewer employees and 152 have more than 1,500 employees.</w:t>
      </w:r>
      <w:r>
        <w:rPr>
          <w:sz w:val="20"/>
          <w:vertAlign w:val="superscript"/>
        </w:rPr>
        <w:footnoteReference w:id="161"/>
      </w:r>
      <w:r w:rsidRPr="58068477">
        <w:t xml:space="preserve">  Therefore, more than half of these entities can be considered small.</w:t>
      </w:r>
    </w:p>
    <w:p w:rsidR="007C6686" w:rsidRPr="0058428A" w:rsidP="000E309A" w14:paraId="7AB04A86" w14:textId="77777777">
      <w:pPr>
        <w:pStyle w:val="Heading3"/>
      </w:pPr>
      <w:r w:rsidRPr="0058428A">
        <w:t xml:space="preserve">All Other Telecommunications </w:t>
      </w:r>
    </w:p>
    <w:p w:rsidR="007C6686" w:rsidP="000E309A" w14:paraId="5827F947" w14:textId="77777777">
      <w:pPr>
        <w:pStyle w:val="ParaNum"/>
      </w:pPr>
      <w:r w:rsidRPr="58068477">
        <w:t xml:space="preserve">The </w:t>
      </w:r>
      <w:r w:rsidRPr="00AD24DD">
        <w:t>“</w:t>
      </w:r>
      <w:r w:rsidRPr="58068477">
        <w:t>All Other Telecommunications” category is comprised of establishments primarily engaged in providing specialized telecommunications services, such as satellite tracking, communications telemetry, and radar station operation.</w:t>
      </w:r>
      <w:r>
        <w:rPr>
          <w:sz w:val="20"/>
          <w:vertAlign w:val="superscript"/>
        </w:rPr>
        <w:footnoteReference w:id="162"/>
      </w:r>
      <w:r w:rsidRPr="58068477">
        <w:t xml:space="preserve">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w:t>
      </w:r>
      <w:r>
        <w:rPr>
          <w:sz w:val="20"/>
          <w:vertAlign w:val="superscript"/>
        </w:rPr>
        <w:footnoteReference w:id="163"/>
      </w:r>
      <w:r w:rsidRPr="58068477">
        <w:t xml:space="preserve">  Establishments providing Internet services or voice over Internet protocol (VoIP) </w:t>
      </w:r>
      <w:r w:rsidRPr="58068477">
        <w:t>services via client-supplied telecommunications connections are also included in this industry.</w:t>
      </w:r>
      <w:r>
        <w:rPr>
          <w:sz w:val="20"/>
          <w:vertAlign w:val="superscript"/>
        </w:rPr>
        <w:footnoteReference w:id="164"/>
      </w:r>
      <w:r w:rsidRPr="58068477">
        <w:t xml:space="preserve">  The SBA has developed a small business size standard for “All Other Telecommunications</w:t>
      </w:r>
      <w:r>
        <w:t>,</w:t>
      </w:r>
      <w:r w:rsidRPr="58068477">
        <w:t>” which consists of all such firms with annual receipts of $35 million or less.</w:t>
      </w:r>
      <w:r>
        <w:rPr>
          <w:sz w:val="20"/>
          <w:vertAlign w:val="superscript"/>
        </w:rPr>
        <w:footnoteReference w:id="165"/>
      </w:r>
      <w:r w:rsidRPr="58068477">
        <w:t xml:space="preserve">  For this category, U.S. Census Bureau data for 2012 show that there were 1,442 firms that operated for the entire year.</w:t>
      </w:r>
      <w:r>
        <w:rPr>
          <w:sz w:val="20"/>
          <w:vertAlign w:val="superscript"/>
        </w:rPr>
        <w:footnoteReference w:id="166"/>
      </w:r>
      <w:r w:rsidRPr="58068477">
        <w:t xml:space="preserve">  Of those firms, a total of 1,400 had annual receipts less than $25 million and 15 firms had annual receipts of $25 million to $49, 999,999.</w:t>
      </w:r>
      <w:r>
        <w:rPr>
          <w:sz w:val="20"/>
          <w:vertAlign w:val="superscript"/>
        </w:rPr>
        <w:footnoteReference w:id="167"/>
      </w:r>
      <w:r w:rsidRPr="58068477">
        <w:t xml:space="preserve">  Thus, the Commission estimates that the majority of “All Other Telecommunications” firms potentially affected by our action can be considered small.</w:t>
      </w:r>
    </w:p>
    <w:p w:rsidR="007C6686" w:rsidRPr="00A36129" w:rsidP="000E309A" w14:paraId="109309B7" w14:textId="77777777">
      <w:pPr>
        <w:pStyle w:val="Heading2"/>
      </w:pPr>
      <w:bookmarkStart w:id="136" w:name="_Toc10643957"/>
      <w:bookmarkStart w:id="137" w:name="_Toc10725995"/>
      <w:r w:rsidRPr="00A36129">
        <w:t>Description of Projected Reporting, Recordkeeping, and Other Compliance Requirements</w:t>
      </w:r>
      <w:bookmarkEnd w:id="136"/>
      <w:bookmarkEnd w:id="137"/>
    </w:p>
    <w:p w:rsidR="007C6686" w:rsidP="000E309A" w14:paraId="73E85AB0" w14:textId="12200D10">
      <w:pPr>
        <w:pStyle w:val="ParaNum"/>
      </w:pPr>
      <w:r>
        <w:t>The NPRM proposes to require ISPs to disclose, through a label similar in format to the required FDA-approved nutrition labels, certain information about the provider’s performance characteristics, network practices, and commercial terms.</w:t>
      </w:r>
    </w:p>
    <w:p w:rsidR="007C6686" w:rsidP="000E309A" w14:paraId="33EC0E65" w14:textId="72A1E372">
      <w:pPr>
        <w:pStyle w:val="ParaNum"/>
      </w:pPr>
      <w:r>
        <w:t>T</w:t>
      </w:r>
      <w:r w:rsidRPr="00C667B2">
        <w:t>he proposed consumer broadband labels for fixed broadband service include the following content: 1) pricing</w:t>
      </w:r>
      <w:r>
        <w:t>; 2) monthly data allowance; 3) overage charges; 4) equipment fees; 5) other monthly fees; 6) one time fees; and 7) early termination fees.  The labels also include information on performance (speed, latency, and packet loss) and on network management practices.  Labels for mobile broadband service include information on: 1) pricing; 2) when you exceed data allowance; 3) other included services/features; 4) other monthly fees; 5) one-time fees; 6) service contract terms; 7) early termination fees; and 8) “bring your own device” information.  The proposed mobile broadband labels also include performance information (speed, latency, other services on network) and network management practices.  Both fixed and mobile broadband labels include a link to the provider’s privacy policy and a link to how to file complaints and inquiries.</w:t>
      </w:r>
    </w:p>
    <w:p w:rsidR="007C6686" w:rsidP="000E309A" w14:paraId="01F1074C" w14:textId="77777777">
      <w:pPr>
        <w:pStyle w:val="ParaNum"/>
      </w:pPr>
      <w:r>
        <w:t>The NPRM proposes to adopt the content of the Commission’s 2016 safe harbor labels, both for fixed and mobile broadband services, and to make any appropriate modifications to the labels so that they</w:t>
      </w:r>
      <w:r w:rsidRPr="1C14CCCF">
        <w:t xml:space="preserve"> “include information regarding whether the offered price is an introductory rate and, if so, the price the consumer will be required to pay following the introductory period</w:t>
      </w:r>
      <w:r>
        <w:t>,” as required by the Infrastructure Act.</w:t>
      </w:r>
      <w:r>
        <w:rPr>
          <w:rStyle w:val="FootnoteReference"/>
        </w:rPr>
        <w:footnoteReference w:id="168"/>
      </w:r>
      <w:r>
        <w:t xml:space="preserve"> </w:t>
      </w:r>
    </w:p>
    <w:p w:rsidR="007C6686" w:rsidRPr="00E61298" w:rsidP="000E309A" w14:paraId="16B1907B" w14:textId="5FD7E02D">
      <w:pPr>
        <w:pStyle w:val="ParaNum"/>
        <w:widowControl/>
        <w:rPr>
          <w:rFonts w:eastAsiaTheme="minorEastAsia"/>
        </w:rPr>
      </w:pPr>
      <w:r w:rsidRPr="58068477">
        <w:t xml:space="preserve">The Commission proposes that the </w:t>
      </w:r>
      <w:r>
        <w:t xml:space="preserve">labels </w:t>
      </w:r>
      <w:r w:rsidRPr="58068477">
        <w:t xml:space="preserve">be provided at the point of sale </w:t>
      </w:r>
      <w:r>
        <w:t>and that, at a minimum, the ISPs should disclose the label on any website an ISP uses to market broadband Internet access services.  The NPRM also seeks comment on how the labels should be displayed at other points of sale, such as retail locations</w:t>
      </w:r>
      <w:r w:rsidRPr="0069094C" w:rsidR="00902811">
        <w:t>,</w:t>
      </w:r>
      <w:r w:rsidRPr="0069094C" w:rsidR="00902811">
        <w:rPr>
          <w:shd w:val="clear" w:color="auto" w:fill="FFFFFF"/>
        </w:rPr>
        <w:t xml:space="preserve"> on apps, on online platforms</w:t>
      </w:r>
      <w:r w:rsidRPr="0069094C" w:rsidR="00902811">
        <w:t>, on other digital locations,</w:t>
      </w:r>
      <w:r w:rsidRPr="0069094C">
        <w:t xml:space="preserve"> a</w:t>
      </w:r>
      <w:r>
        <w:t xml:space="preserve">nd on telemarketing calls and asks whether providers should provide hardcopies of the labels in retail locations.  In addition, the NPRM considers whether a provider’s telemarketing representative should email, or otherwise make available to, consumers labels before consumers make a purchase and whether there are other marketing channels to consider in developing this point-of-sale requirement. </w:t>
      </w:r>
      <w:r w:rsidRPr="58068477">
        <w:t xml:space="preserve"> </w:t>
      </w:r>
      <w:r>
        <w:rPr>
          <w:rFonts w:eastAsiaTheme="minorEastAsia"/>
        </w:rPr>
        <w:t xml:space="preserve">The Commission also considers whether the </w:t>
      </w:r>
      <w:r w:rsidRPr="02403754">
        <w:rPr>
          <w:rFonts w:eastAsiaTheme="minorEastAsia"/>
        </w:rPr>
        <w:t xml:space="preserve">labels </w:t>
      </w:r>
      <w:r>
        <w:rPr>
          <w:rFonts w:eastAsiaTheme="minorEastAsia"/>
        </w:rPr>
        <w:t xml:space="preserve">should </w:t>
      </w:r>
      <w:r w:rsidRPr="02403754">
        <w:rPr>
          <w:rFonts w:eastAsiaTheme="minorEastAsia"/>
        </w:rPr>
        <w:t>be provided in a machine</w:t>
      </w:r>
      <w:r>
        <w:rPr>
          <w:rFonts w:eastAsiaTheme="minorEastAsia"/>
        </w:rPr>
        <w:t>-</w:t>
      </w:r>
      <w:r w:rsidRPr="02403754">
        <w:rPr>
          <w:rFonts w:eastAsiaTheme="minorEastAsia"/>
        </w:rPr>
        <w:t>readable format with standard</w:t>
      </w:r>
      <w:r>
        <w:rPr>
          <w:rFonts w:eastAsiaTheme="minorEastAsia"/>
        </w:rPr>
        <w:t>,</w:t>
      </w:r>
      <w:r w:rsidRPr="02403754">
        <w:rPr>
          <w:rFonts w:eastAsiaTheme="minorEastAsia"/>
        </w:rPr>
        <w:t xml:space="preserve"> labeled fields to ensure that third parties and consumers can more readily compare across multiple providers</w:t>
      </w:r>
      <w:r>
        <w:rPr>
          <w:rFonts w:eastAsiaTheme="minorEastAsia"/>
        </w:rPr>
        <w:t>.</w:t>
      </w:r>
      <w:r>
        <w:rPr>
          <w:rStyle w:val="FootnoteReference"/>
          <w:rFonts w:eastAsiaTheme="minorEastAsia"/>
        </w:rPr>
        <w:footnoteReference w:id="169"/>
      </w:r>
      <w:r>
        <w:rPr>
          <w:rFonts w:eastAsiaTheme="minorEastAsia"/>
        </w:rPr>
        <w:t xml:space="preserve"> </w:t>
      </w:r>
      <w:r w:rsidRPr="58068477">
        <w:t xml:space="preserve"> Further, </w:t>
      </w:r>
      <w:r w:rsidRPr="58068477">
        <w:t xml:space="preserve">the NPRM seeks comment on whether </w:t>
      </w:r>
      <w:r>
        <w:t>ISPs</w:t>
      </w:r>
      <w:r w:rsidRPr="58068477">
        <w:t xml:space="preserve"> should be required to make direct notifications to consumers if any terms of service change </w:t>
      </w:r>
      <w:r>
        <w:t>after</w:t>
      </w:r>
      <w:r w:rsidRPr="58068477">
        <w:t xml:space="preserve"> the labels </w:t>
      </w:r>
      <w:r>
        <w:t>are</w:t>
      </w:r>
      <w:r w:rsidRPr="58068477">
        <w:t xml:space="preserve"> provided to consumers at the time of purchase.</w:t>
      </w:r>
      <w:r>
        <w:rPr>
          <w:rStyle w:val="FootnoteReference"/>
        </w:rPr>
        <w:footnoteReference w:id="170"/>
      </w:r>
    </w:p>
    <w:p w:rsidR="007C6686" w:rsidRPr="00DE457E" w:rsidP="000E309A" w14:paraId="3500760F" w14:textId="77777777">
      <w:pPr>
        <w:pStyle w:val="Heading2"/>
      </w:pPr>
      <w:bookmarkStart w:id="138" w:name="_Toc10643958"/>
      <w:bookmarkStart w:id="139" w:name="_Toc10725996"/>
      <w:r w:rsidRPr="00DE457E">
        <w:t>Steps Taken to Minimize Significant Economic Impact on Small Entities, and Significant Alternatives Considered</w:t>
      </w:r>
      <w:bookmarkEnd w:id="138"/>
      <w:bookmarkEnd w:id="139"/>
    </w:p>
    <w:p w:rsidR="007C6686" w:rsidP="000E309A" w14:paraId="6DBDF0D8" w14:textId="77777777">
      <w:pPr>
        <w:pStyle w:val="ParaNum"/>
      </w:pPr>
      <w:r w:rsidRPr="58068477">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 w:val="20"/>
          <w:vertAlign w:val="superscript"/>
        </w:rPr>
        <w:footnoteReference w:id="171"/>
      </w:r>
      <w:r>
        <w:t xml:space="preserve">  </w:t>
      </w:r>
    </w:p>
    <w:p w:rsidR="007C6686" w:rsidRPr="008524A7" w:rsidP="000E309A" w14:paraId="2ACD6EAE" w14:textId="07DAF427">
      <w:pPr>
        <w:pStyle w:val="ParaNum"/>
      </w:pPr>
      <w:r w:rsidRPr="58068477">
        <w:t>The NPRM s</w:t>
      </w:r>
      <w:r>
        <w:t xml:space="preserve">pecifically considers </w:t>
      </w:r>
      <w:r w:rsidRPr="58068477">
        <w:t>the impact of the proposed label requirements on smaller broadband service providers.</w:t>
      </w:r>
      <w:r>
        <w:rPr>
          <w:rStyle w:val="FootnoteReference"/>
        </w:rPr>
        <w:footnoteReference w:id="172"/>
      </w:r>
      <w:r w:rsidRPr="58068477">
        <w:t xml:space="preserve">  To address any concerns about compliance with the proposed rules by smaller broadband providers, the NPRM </w:t>
      </w:r>
      <w:r>
        <w:t>seeks comment on</w:t>
      </w:r>
      <w:r w:rsidRPr="58068477">
        <w:t xml:space="preserve"> appropriate timeframes for smaller providers to implement the new requirements and asks whether there are</w:t>
      </w:r>
      <w:r w:rsidRPr="008524A7">
        <w:t xml:space="preserve"> </w:t>
      </w:r>
      <w:r w:rsidRPr="58068477">
        <w:t>any alternative ways, other than different implementation timeframes, to minimize the economic impact on smaller service providers while achieving the objectives set forth in the NPRM</w:t>
      </w:r>
      <w:r>
        <w:t>.</w:t>
      </w:r>
      <w:r w:rsidRPr="008524A7">
        <w:t xml:space="preserve">  </w:t>
      </w:r>
    </w:p>
    <w:p w:rsidR="007C6686" w:rsidP="000E309A" w14:paraId="126FEE9C" w14:textId="77CB17D4">
      <w:pPr>
        <w:pStyle w:val="ParaNum"/>
      </w:pPr>
      <w:r>
        <w:t>The Commission will evaluate the economic impact on small entities, as identified in comments filed in response to the NPRM and this IRFA, in reaching its final conclusions and taking action in this proceeding.</w:t>
      </w:r>
    </w:p>
    <w:p w:rsidR="007C6686" w:rsidRPr="00DE457E" w:rsidP="000E309A" w14:paraId="6B219E60" w14:textId="77777777">
      <w:pPr>
        <w:pStyle w:val="Heading2"/>
      </w:pPr>
      <w:bookmarkStart w:id="140" w:name="_Toc10643959"/>
      <w:bookmarkStart w:id="141" w:name="_Toc10725997"/>
      <w:r w:rsidRPr="00DE457E">
        <w:t>Federal Rules that May Duplicate, Overlap, or Conflict with the Proposed Rules</w:t>
      </w:r>
      <w:bookmarkEnd w:id="140"/>
      <w:bookmarkEnd w:id="141"/>
    </w:p>
    <w:p w:rsidR="003C108D" w:rsidP="000E309A" w14:paraId="0B718366" w14:textId="5F13E385">
      <w:pPr>
        <w:pStyle w:val="ParaNum"/>
      </w:pPr>
      <w:r>
        <w:t>None.</w:t>
      </w:r>
    </w:p>
    <w:p w:rsidR="00661BB1" w:rsidP="00661BB1" w14:paraId="190C5CE8" w14:textId="0A54DFDD">
      <w:pPr>
        <w:pStyle w:val="ParaNum"/>
        <w:numPr>
          <w:ilvl w:val="0"/>
          <w:numId w:val="0"/>
        </w:numPr>
        <w:ind w:firstLine="720"/>
      </w:pPr>
    </w:p>
    <w:p w:rsidR="00DC48AC" w14:paraId="751CE1DF" w14:textId="4FE4EB6A">
      <w:pPr>
        <w:widowControl/>
      </w:pPr>
      <w:r>
        <w:br w:type="page"/>
      </w:r>
    </w:p>
    <w:p w:rsidR="00DC48AC" w:rsidRPr="008160F9" w:rsidP="00DC48AC" w14:paraId="4455ACCC" w14:textId="77777777">
      <w:pPr>
        <w:spacing w:after="120"/>
        <w:contextualSpacing/>
        <w:jc w:val="center"/>
        <w:rPr>
          <w:b/>
          <w:bCs/>
          <w:caps/>
          <w:szCs w:val="22"/>
        </w:rPr>
      </w:pPr>
      <w:bookmarkStart w:id="142" w:name="_Hlk42605072"/>
      <w:r w:rsidRPr="008160F9">
        <w:rPr>
          <w:b/>
          <w:bCs/>
          <w:caps/>
          <w:szCs w:val="22"/>
        </w:rPr>
        <w:t>STATEMENT OF</w:t>
      </w:r>
    </w:p>
    <w:p w:rsidR="00DC48AC" w:rsidRPr="008160F9" w:rsidP="00DC48AC" w14:paraId="25D2E9AC" w14:textId="77777777">
      <w:pPr>
        <w:spacing w:after="120"/>
        <w:contextualSpacing/>
        <w:jc w:val="center"/>
        <w:rPr>
          <w:b/>
          <w:bCs/>
          <w:caps/>
          <w:szCs w:val="22"/>
        </w:rPr>
      </w:pPr>
      <w:r w:rsidRPr="008160F9">
        <w:rPr>
          <w:b/>
          <w:bCs/>
          <w:caps/>
          <w:szCs w:val="22"/>
        </w:rPr>
        <w:t>CHAIRWOMAN JESSICA ROSENWORCEL</w:t>
      </w:r>
    </w:p>
    <w:p w:rsidR="00DC48AC" w:rsidRPr="008160F9" w:rsidP="00DC48AC" w14:paraId="275B43FA" w14:textId="77777777">
      <w:pPr>
        <w:spacing w:after="120"/>
        <w:contextualSpacing/>
        <w:jc w:val="center"/>
        <w:rPr>
          <w:b/>
          <w:bCs/>
          <w:caps/>
          <w:szCs w:val="22"/>
        </w:rPr>
      </w:pPr>
    </w:p>
    <w:p w:rsidR="00DC48AC" w:rsidP="00DC48AC" w14:paraId="734B9526" w14:textId="20CFEC79">
      <w:pPr>
        <w:spacing w:after="120"/>
        <w:ind w:left="720" w:hanging="720"/>
        <w:contextualSpacing/>
        <w:rPr>
          <w:szCs w:val="22"/>
        </w:rPr>
      </w:pPr>
      <w:bookmarkStart w:id="143" w:name="_Hlk42603447"/>
      <w:r w:rsidRPr="008160F9">
        <w:rPr>
          <w:bCs/>
          <w:szCs w:val="22"/>
        </w:rPr>
        <w:t>Re:</w:t>
      </w:r>
      <w:r w:rsidRPr="008160F9">
        <w:rPr>
          <w:bCs/>
          <w:szCs w:val="22"/>
        </w:rPr>
        <w:tab/>
      </w:r>
      <w:r w:rsidRPr="008160F9">
        <w:rPr>
          <w:bCs/>
          <w:i/>
          <w:iCs/>
          <w:szCs w:val="22"/>
        </w:rPr>
        <w:t xml:space="preserve">Empowering Broadband Consumers Through Transparency, </w:t>
      </w:r>
      <w:r w:rsidRPr="008160F9">
        <w:rPr>
          <w:bCs/>
          <w:szCs w:val="22"/>
        </w:rPr>
        <w:t>CG Docket No. 22-2, Notice of Proposed Rulemaking</w:t>
      </w:r>
      <w:r w:rsidRPr="008160F9">
        <w:rPr>
          <w:bCs/>
          <w:i/>
          <w:iCs/>
          <w:szCs w:val="22"/>
        </w:rPr>
        <w:t xml:space="preserve"> </w:t>
      </w:r>
      <w:r w:rsidRPr="008160F9">
        <w:rPr>
          <w:szCs w:val="22"/>
        </w:rPr>
        <w:t>(January 27, 2022)</w:t>
      </w:r>
      <w:bookmarkEnd w:id="142"/>
      <w:bookmarkEnd w:id="143"/>
      <w:r>
        <w:rPr>
          <w:szCs w:val="22"/>
        </w:rPr>
        <w:t>.</w:t>
      </w:r>
    </w:p>
    <w:p w:rsidR="00CE0FCB" w:rsidRPr="00D771CB" w:rsidP="00CE0FCB" w14:paraId="63AF92EE" w14:textId="77777777">
      <w:pPr>
        <w:ind w:left="720" w:hanging="720"/>
        <w:contextualSpacing/>
        <w:rPr>
          <w:bCs/>
          <w:i/>
          <w:iCs/>
          <w:szCs w:val="22"/>
        </w:rPr>
      </w:pPr>
    </w:p>
    <w:p w:rsidR="00DC48AC" w:rsidP="00DC48AC" w14:paraId="35A5D003" w14:textId="77777777">
      <w:pPr>
        <w:pStyle w:val="NormalWeb"/>
        <w:spacing w:before="0" w:beforeAutospacing="0" w:after="120" w:afterAutospacing="0"/>
        <w:rPr>
          <w:szCs w:val="22"/>
        </w:rPr>
      </w:pPr>
      <w:r w:rsidRPr="008160F9">
        <w:rPr>
          <w:szCs w:val="22"/>
        </w:rPr>
        <w:tab/>
        <w:t xml:space="preserve">If you walk into any grocery store and pull boxes of cereal from the shelves, you can easily compare calories and carbohydrates.  That’s because they have a common nutrition label.  It’s black and white, simple to read, and easy to understand.  It helps consumers make good choices.  </w:t>
      </w:r>
    </w:p>
    <w:p w:rsidR="00DC48AC" w:rsidRPr="008160F9" w:rsidP="00DC48AC" w14:paraId="3529CAA6" w14:textId="77777777">
      <w:pPr>
        <w:pStyle w:val="NormalWeb"/>
        <w:spacing w:before="0" w:beforeAutospacing="0" w:after="120" w:afterAutospacing="0"/>
        <w:ind w:firstLine="720"/>
        <w:rPr>
          <w:szCs w:val="22"/>
        </w:rPr>
      </w:pPr>
      <w:r w:rsidRPr="008160F9">
        <w:rPr>
          <w:szCs w:val="22"/>
        </w:rPr>
        <w:t xml:space="preserve">I think the Federal Communications Commission needs to do the same with broadband.  That’s because it is now an essential service—for everyone, everywhere.  So we want to make it easier for consumers to compare their options and understand just what they’re signing up for.  We want to develop a consistent and straightforward way of providing accurate information about price, speed, data allowances, and other aspects of high-speed service.  We want to end efforts to bury facts in the fine print and we want to stop unexpected costs and fees.  </w:t>
      </w:r>
    </w:p>
    <w:p w:rsidR="00DC48AC" w:rsidRPr="008160F9" w:rsidP="00DC48AC" w14:paraId="1F5007B1" w14:textId="77777777">
      <w:pPr>
        <w:pStyle w:val="NormalWeb"/>
        <w:spacing w:before="0" w:beforeAutospacing="0" w:after="120" w:afterAutospacing="0"/>
        <w:rPr>
          <w:szCs w:val="22"/>
        </w:rPr>
      </w:pPr>
      <w:r w:rsidRPr="008160F9">
        <w:rPr>
          <w:szCs w:val="22"/>
        </w:rPr>
        <w:tab/>
        <w:t>The FCC’s last effort to put labels like this in place never got that far.  It was also just voluntary.  But this is different.  The broadband nutrition labels we are proposing today are mandatory.  That’s because in the Infrastructure Investment and Jobs Act Congress gave us the support we need to require this kind of simple, common labeling for all consumer broadband service—both wireless and wireline.  With these broadband nutrition labels we can compare service providers and plans, hold broadband providers to their promises, and foster more competition—which means better service and better prices.</w:t>
      </w:r>
    </w:p>
    <w:p w:rsidR="00DC48AC" w:rsidRPr="008160F9" w:rsidP="00DC48AC" w14:paraId="5C43CC6B" w14:textId="77777777">
      <w:pPr>
        <w:spacing w:after="120"/>
        <w:rPr>
          <w:szCs w:val="22"/>
        </w:rPr>
      </w:pPr>
      <w:r w:rsidRPr="008160F9">
        <w:rPr>
          <w:szCs w:val="22"/>
        </w:rPr>
        <w:tab/>
        <w:t>Thank you to the agency staff who worked on this effort, including Robert Aldrich, Ed Bartholme, Jerusha Burnett, Zac Champ, Darryl Cooper, Aaron Garza, Erica McMahon, Mik</w:t>
      </w:r>
      <w:r>
        <w:rPr>
          <w:szCs w:val="22"/>
        </w:rPr>
        <w:t>a</w:t>
      </w:r>
      <w:r w:rsidRPr="008160F9">
        <w:rPr>
          <w:szCs w:val="22"/>
        </w:rPr>
        <w:t xml:space="preserve"> Savir, Suzy Rosen Singleton, Mark Stone, Kristi Thornton, and Patrick Webre from the Consumer and Governmental Affairs Bureau; Marcus Maher, Richard Mallen, William Richardson, and Royce Sherlock from the Office of General Counsel; Allison Baker, Jessica Campbell, Melissa Kirkel, Hayley Steffen, and Eric Wu from the Wireline Competition Bureau; Christina Clearwater, Garnet Hanly, Kari Hicks, Susannah Larson, and Charles Mathias from the Wireless Telecommunications Bureau; Jeffrey Gee, Lisa Gelb, Daniel Stepanicich, Kristi Thompson, and Lisa Zaina from the Enforcement Bureau; Belford Lawson and Joy Ragsdale from the Office of Communications Business Opportunities; Patrick Brogan, Rachel Kazan, Kenneth Lynch, Catherine </w:t>
      </w:r>
      <w:r w:rsidRPr="008160F9">
        <w:rPr>
          <w:szCs w:val="22"/>
        </w:rPr>
        <w:t>Matraves</w:t>
      </w:r>
      <w:r w:rsidRPr="008160F9">
        <w:rPr>
          <w:szCs w:val="22"/>
        </w:rPr>
        <w:t>, Virginia Metallo, Mark Montano, Eric Ralph, Steve Rosenberg, Michelle Schaefer, Deena Shetler, and Emily Talaga from the Office of Economics and Analytics; and Justin Cain, Shawn Cochran, John Evanoff, David Furth, Deb Jordan, Lauren Kravetz, and Erica Olsen from the Public Safety and Homeland Security Bureau.</w:t>
      </w:r>
    </w:p>
    <w:p w:rsidR="00DC48AC" w14:paraId="1C282CBC" w14:textId="6007FB27">
      <w:pPr>
        <w:widowControl/>
      </w:pPr>
      <w:r>
        <w:br w:type="page"/>
      </w:r>
    </w:p>
    <w:p w:rsidR="00DC48AC" w:rsidRPr="008F38F8" w:rsidP="00DC48AC" w14:paraId="7D50B02E" w14:textId="77777777">
      <w:pPr>
        <w:jc w:val="center"/>
        <w:rPr>
          <w:b/>
          <w:bCs/>
          <w:caps/>
          <w:szCs w:val="22"/>
        </w:rPr>
      </w:pPr>
      <w:r w:rsidRPr="008F38F8">
        <w:rPr>
          <w:b/>
          <w:bCs/>
          <w:caps/>
          <w:szCs w:val="22"/>
        </w:rPr>
        <w:t>Statement of</w:t>
      </w:r>
    </w:p>
    <w:p w:rsidR="00DC48AC" w:rsidRPr="008F38F8" w:rsidP="00DC48AC" w14:paraId="1B83C4BB" w14:textId="77777777">
      <w:pPr>
        <w:jc w:val="center"/>
        <w:rPr>
          <w:b/>
          <w:bCs/>
          <w:caps/>
          <w:szCs w:val="22"/>
        </w:rPr>
      </w:pPr>
      <w:r w:rsidRPr="008F38F8">
        <w:rPr>
          <w:b/>
          <w:bCs/>
          <w:caps/>
          <w:szCs w:val="22"/>
        </w:rPr>
        <w:t>commissioner brendan carr</w:t>
      </w:r>
    </w:p>
    <w:p w:rsidR="00DC48AC" w:rsidRPr="008F38F8" w:rsidP="00DC48AC" w14:paraId="291F02B1" w14:textId="77777777">
      <w:pPr>
        <w:rPr>
          <w:b/>
          <w:bCs/>
          <w:caps/>
          <w:szCs w:val="22"/>
        </w:rPr>
      </w:pPr>
    </w:p>
    <w:p w:rsidR="00DC48AC" w:rsidRPr="00D771CB" w:rsidP="00DC48AC" w14:paraId="25B70217" w14:textId="77777777">
      <w:pPr>
        <w:spacing w:after="120"/>
        <w:ind w:left="720" w:hanging="720"/>
        <w:contextualSpacing/>
        <w:rPr>
          <w:bCs/>
          <w:i/>
          <w:iCs/>
          <w:szCs w:val="22"/>
        </w:rPr>
      </w:pPr>
      <w:r w:rsidRPr="008160F9">
        <w:rPr>
          <w:bCs/>
          <w:szCs w:val="22"/>
        </w:rPr>
        <w:t>Re:</w:t>
      </w:r>
      <w:r w:rsidRPr="008160F9">
        <w:rPr>
          <w:bCs/>
          <w:szCs w:val="22"/>
        </w:rPr>
        <w:tab/>
      </w:r>
      <w:r w:rsidRPr="008160F9">
        <w:rPr>
          <w:bCs/>
          <w:i/>
          <w:iCs/>
          <w:szCs w:val="22"/>
        </w:rPr>
        <w:t xml:space="preserve">Empowering Broadband Consumers Through Transparency, </w:t>
      </w:r>
      <w:r w:rsidRPr="008160F9">
        <w:rPr>
          <w:bCs/>
          <w:szCs w:val="22"/>
        </w:rPr>
        <w:t>CG Docket No. 22-2, Notice of Proposed Rulemaking</w:t>
      </w:r>
      <w:r w:rsidRPr="008160F9">
        <w:rPr>
          <w:bCs/>
          <w:i/>
          <w:iCs/>
          <w:szCs w:val="22"/>
        </w:rPr>
        <w:t xml:space="preserve"> </w:t>
      </w:r>
      <w:r w:rsidRPr="008160F9">
        <w:rPr>
          <w:szCs w:val="22"/>
        </w:rPr>
        <w:t>(January 27, 2022)</w:t>
      </w:r>
      <w:r>
        <w:rPr>
          <w:szCs w:val="22"/>
        </w:rPr>
        <w:t>.</w:t>
      </w:r>
    </w:p>
    <w:p w:rsidR="00DC48AC" w:rsidRPr="008F38F8" w:rsidP="00DC48AC" w14:paraId="78D7F243" w14:textId="77777777">
      <w:pPr>
        <w:rPr>
          <w:bCs/>
          <w:szCs w:val="22"/>
        </w:rPr>
      </w:pPr>
    </w:p>
    <w:p w:rsidR="00DC48AC" w:rsidRPr="008F38F8" w:rsidP="00DC48AC" w14:paraId="0F75E03D" w14:textId="77777777">
      <w:pPr>
        <w:ind w:firstLine="720"/>
        <w:rPr>
          <w:bCs/>
          <w:szCs w:val="22"/>
        </w:rPr>
      </w:pPr>
      <w:r w:rsidRPr="008F38F8">
        <w:rPr>
          <w:bCs/>
          <w:szCs w:val="22"/>
        </w:rPr>
        <w:t>Americans today are benefiting from more choice, and they are seeing more competition for their broadband dollars than ever before.  As a result, Internet speeds are up while prices are down.  New infrastructure builds have accelerated too due to the FCC’s reforms over the past few years.  We also have $24 billion in new affordability programs that the agency stood up over the past year to make additional progress in addressing all aspects of the digital divide.</w:t>
      </w:r>
    </w:p>
    <w:p w:rsidR="00DC48AC" w:rsidRPr="008F38F8" w:rsidP="00DC48AC" w14:paraId="38284D37" w14:textId="77777777">
      <w:pPr>
        <w:ind w:firstLine="720"/>
        <w:rPr>
          <w:bCs/>
          <w:szCs w:val="22"/>
        </w:rPr>
      </w:pPr>
    </w:p>
    <w:p w:rsidR="00DC48AC" w:rsidRPr="008F38F8" w:rsidP="00DC48AC" w14:paraId="7D2714A3" w14:textId="77777777">
      <w:pPr>
        <w:ind w:firstLine="720"/>
        <w:rPr>
          <w:bCs/>
          <w:szCs w:val="22"/>
        </w:rPr>
      </w:pPr>
      <w:r w:rsidRPr="008F38F8">
        <w:rPr>
          <w:bCs/>
          <w:szCs w:val="22"/>
        </w:rPr>
        <w:t>In all of this, it is important that consumers are empowered to make informed choices among broadband providers and service plans.  That is why the FCC has long worked to promote transparency, including through specific rules.  Right now, we have rules on the books, for instance, that require broadband providers to publicly disclose accurate information regarding their network management practices, performance characteristics, and commercial terms sufficient to enable consumers, businesses, and entrepreneurs to make informed choices.</w:t>
      </w:r>
    </w:p>
    <w:p w:rsidR="00DC48AC" w:rsidRPr="008F38F8" w:rsidP="00DC48AC" w14:paraId="5F4FB35D" w14:textId="77777777">
      <w:pPr>
        <w:ind w:firstLine="720"/>
        <w:rPr>
          <w:bCs/>
          <w:szCs w:val="22"/>
        </w:rPr>
      </w:pPr>
    </w:p>
    <w:p w:rsidR="00DC48AC" w:rsidRPr="008F38F8" w:rsidP="00DC48AC" w14:paraId="0FA0E442" w14:textId="77777777">
      <w:pPr>
        <w:ind w:firstLine="720"/>
        <w:rPr>
          <w:bCs/>
          <w:szCs w:val="22"/>
        </w:rPr>
      </w:pPr>
      <w:r w:rsidRPr="008F38F8">
        <w:rPr>
          <w:bCs/>
          <w:szCs w:val="22"/>
        </w:rPr>
        <w:t>Last year, Congress directed the Commission to promulgate new rules that require the display of broadband consumer labels, as described in the FCC’s 2016 Public Notice.  Today’s vote kicks off that process.  As the agency completes this rulemaking, it is important that we do so in a manner that will promote clarity not confusion.  After all, linking a 2022 broadband disclosure to the FCC’s 2016 assessment of consumers’ information needs could artificially constrain the agency’s ability to make decisions that reflect today’s market for connectivity.  So as we stay true to the decisions Congress made in the statute, I hope we find ways to ensure that our decision makes sense to consumers that are making their purchasing decisions in 2022 and beyond.</w:t>
      </w:r>
    </w:p>
    <w:p w:rsidR="00DC48AC" w:rsidRPr="008F38F8" w:rsidP="00DC48AC" w14:paraId="2A6179EA" w14:textId="77777777">
      <w:pPr>
        <w:ind w:firstLine="720"/>
        <w:rPr>
          <w:bCs/>
          <w:szCs w:val="22"/>
        </w:rPr>
      </w:pPr>
    </w:p>
    <w:p w:rsidR="00DC48AC" w:rsidRPr="008F38F8" w:rsidP="00DC48AC" w14:paraId="788ED9D9" w14:textId="77777777">
      <w:pPr>
        <w:ind w:firstLine="720"/>
        <w:rPr>
          <w:bCs/>
          <w:szCs w:val="22"/>
        </w:rPr>
      </w:pPr>
      <w:r w:rsidRPr="008F38F8">
        <w:rPr>
          <w:bCs/>
          <w:szCs w:val="22"/>
        </w:rPr>
        <w:t xml:space="preserve">And while I am open to ways we can improve the transparency and disclosure rules that apply to broadband providers, I continue to believe that the real black box is in a different portion of the Internet ecosystem—Big Tech.  Big Tech companies provide far less transparency than broadband providers regarding their practices and commercial terms.  In fact, just this week, four state AGs sued Google for misleading consumers about when Google was tracking their location information.  I have been clear that I favor—and consumers deserve—greater transparency from these companies.  And I have </w:t>
      </w:r>
      <w:hyperlink r:id="rId14" w:history="1">
        <w:r w:rsidRPr="008F38F8">
          <w:rPr>
            <w:rStyle w:val="Hyperlink"/>
            <w:bCs/>
            <w:szCs w:val="22"/>
          </w:rPr>
          <w:t>previously called</w:t>
        </w:r>
      </w:hyperlink>
      <w:r w:rsidRPr="008F38F8">
        <w:rPr>
          <w:bCs/>
          <w:szCs w:val="22"/>
        </w:rPr>
        <w:t xml:space="preserve"> for the FCC and FTC to take action here.  The transparency rule that currently applies to broadband providers or even the nutrition label approach we propose here would be a good place to start when it comes to bringing much needed and long-overdue transparency to Big Tech.  This would ensure that all Internet users, from entrepreneurs to small businesses, have the information they need to make informed choices.  I remain open to working with my FCC colleagues—and any other government officials—that are ready to shine some light on Big Tech’s abusive practices and put power back in the hands of consumers.</w:t>
      </w:r>
    </w:p>
    <w:p w:rsidR="00DC48AC" w:rsidRPr="008F38F8" w:rsidP="00DC48AC" w14:paraId="1B4863DA" w14:textId="77777777">
      <w:pPr>
        <w:ind w:firstLine="720"/>
        <w:rPr>
          <w:bCs/>
          <w:szCs w:val="22"/>
        </w:rPr>
      </w:pPr>
    </w:p>
    <w:p w:rsidR="00DC48AC" w:rsidRPr="008F38F8" w:rsidP="00DC48AC" w14:paraId="432B6C26" w14:textId="77777777">
      <w:pPr>
        <w:ind w:firstLine="720"/>
        <w:rPr>
          <w:bCs/>
          <w:szCs w:val="22"/>
        </w:rPr>
      </w:pPr>
      <w:r w:rsidRPr="008F38F8">
        <w:rPr>
          <w:szCs w:val="22"/>
        </w:rPr>
        <w:t>Finally, I want to recognize the staff of the Consumer and Governmental Affairs Bureau for their hard work on this item.  You have my thanks.  And I will be voting to approve.</w:t>
      </w:r>
    </w:p>
    <w:p w:rsidR="00661BB1" w:rsidP="00661BB1" w14:paraId="2D3B0353" w14:textId="0B2644DE">
      <w:pPr>
        <w:pStyle w:val="ParaNum"/>
        <w:numPr>
          <w:ilvl w:val="0"/>
          <w:numId w:val="0"/>
        </w:numPr>
        <w:ind w:firstLine="720"/>
      </w:pPr>
    </w:p>
    <w:p w:rsidR="00DC48AC" w14:paraId="562CB6B0" w14:textId="0C696711">
      <w:pPr>
        <w:widowControl/>
      </w:pPr>
      <w:r>
        <w:br w:type="page"/>
      </w:r>
    </w:p>
    <w:p w:rsidR="00DC48AC" w:rsidRPr="00116E8D" w:rsidP="00DC48AC" w14:paraId="4D38EA4F" w14:textId="77777777">
      <w:pPr>
        <w:jc w:val="center"/>
        <w:rPr>
          <w:b/>
          <w:bCs/>
          <w:caps/>
          <w:szCs w:val="22"/>
        </w:rPr>
      </w:pPr>
      <w:r w:rsidRPr="00116E8D">
        <w:rPr>
          <w:b/>
          <w:bCs/>
          <w:caps/>
          <w:szCs w:val="22"/>
        </w:rPr>
        <w:t>STATEMENT OF</w:t>
      </w:r>
    </w:p>
    <w:p w:rsidR="00DC48AC" w:rsidRPr="00116E8D" w:rsidP="00DC48AC" w14:paraId="1B81AC53" w14:textId="77777777">
      <w:pPr>
        <w:jc w:val="center"/>
        <w:rPr>
          <w:b/>
          <w:bCs/>
          <w:caps/>
          <w:szCs w:val="22"/>
        </w:rPr>
      </w:pPr>
      <w:r w:rsidRPr="00116E8D">
        <w:rPr>
          <w:b/>
          <w:bCs/>
          <w:caps/>
          <w:szCs w:val="22"/>
        </w:rPr>
        <w:t>COMMISSIONER GEOFFREY STARKS</w:t>
      </w:r>
    </w:p>
    <w:p w:rsidR="00DC48AC" w:rsidRPr="00116E8D" w:rsidP="00DC48AC" w14:paraId="58BCAB8A" w14:textId="77777777">
      <w:pPr>
        <w:jc w:val="center"/>
        <w:rPr>
          <w:b/>
          <w:bCs/>
          <w:caps/>
          <w:szCs w:val="22"/>
        </w:rPr>
      </w:pPr>
    </w:p>
    <w:p w:rsidR="00DC48AC" w:rsidRPr="00D771CB" w:rsidP="00DC48AC" w14:paraId="590DC099" w14:textId="77777777">
      <w:pPr>
        <w:spacing w:after="120"/>
        <w:ind w:left="720" w:hanging="720"/>
        <w:contextualSpacing/>
        <w:rPr>
          <w:bCs/>
          <w:i/>
          <w:iCs/>
          <w:szCs w:val="22"/>
        </w:rPr>
      </w:pPr>
      <w:r w:rsidRPr="008160F9">
        <w:rPr>
          <w:bCs/>
          <w:szCs w:val="22"/>
        </w:rPr>
        <w:t>Re:</w:t>
      </w:r>
      <w:r w:rsidRPr="008160F9">
        <w:rPr>
          <w:bCs/>
          <w:szCs w:val="22"/>
        </w:rPr>
        <w:tab/>
      </w:r>
      <w:r w:rsidRPr="008160F9">
        <w:rPr>
          <w:bCs/>
          <w:i/>
          <w:iCs/>
          <w:szCs w:val="22"/>
        </w:rPr>
        <w:t xml:space="preserve">Empowering Broadband Consumers Through Transparency, </w:t>
      </w:r>
      <w:r w:rsidRPr="008160F9">
        <w:rPr>
          <w:bCs/>
          <w:szCs w:val="22"/>
        </w:rPr>
        <w:t>CG Docket No. 22-2, Notice of Proposed Rulemaking</w:t>
      </w:r>
      <w:r w:rsidRPr="008160F9">
        <w:rPr>
          <w:bCs/>
          <w:i/>
          <w:iCs/>
          <w:szCs w:val="22"/>
        </w:rPr>
        <w:t xml:space="preserve"> </w:t>
      </w:r>
      <w:r w:rsidRPr="008160F9">
        <w:rPr>
          <w:szCs w:val="22"/>
        </w:rPr>
        <w:t>(January 27, 2022)</w:t>
      </w:r>
      <w:r>
        <w:rPr>
          <w:szCs w:val="22"/>
        </w:rPr>
        <w:t>.</w:t>
      </w:r>
    </w:p>
    <w:p w:rsidR="00DC48AC" w:rsidRPr="00116E8D" w:rsidP="00DC48AC" w14:paraId="7FA283E5" w14:textId="77777777">
      <w:pPr>
        <w:tabs>
          <w:tab w:val="center" w:pos="4680"/>
        </w:tabs>
        <w:suppressAutoHyphens/>
        <w:ind w:left="720" w:hanging="720"/>
        <w:rPr>
          <w:spacing w:val="-2"/>
          <w:szCs w:val="22"/>
        </w:rPr>
      </w:pPr>
    </w:p>
    <w:p w:rsidR="00DC48AC" w:rsidRPr="00116E8D" w:rsidP="00DC48AC" w14:paraId="18AAF1FD" w14:textId="77777777">
      <w:pPr>
        <w:rPr>
          <w:color w:val="000000"/>
          <w:szCs w:val="22"/>
        </w:rPr>
      </w:pPr>
      <w:r w:rsidRPr="00116E8D">
        <w:rPr>
          <w:szCs w:val="22"/>
        </w:rPr>
        <w:tab/>
      </w:r>
      <w:r w:rsidRPr="00116E8D">
        <w:rPr>
          <w:color w:val="000000"/>
          <w:szCs w:val="22"/>
        </w:rPr>
        <w:t xml:space="preserve">I am pleased to support today’s Notice of Proposed Rulemaking, which begins the process of expanding public access to better information about broadband offerings—an important requirement from </w:t>
      </w:r>
      <w:r w:rsidRPr="00116E8D">
        <w:rPr>
          <w:szCs w:val="22"/>
        </w:rPr>
        <w:t>the Infrastructure Investment and Jobs Act</w:t>
      </w:r>
      <w:r w:rsidRPr="00116E8D">
        <w:rPr>
          <w:color w:val="000000"/>
          <w:szCs w:val="22"/>
        </w:rPr>
        <w:t xml:space="preserve">. Shopping around for the best broadband plan can be a lot of work. The “nutrition labels” we seek comment on today will help households compare prices and service offerings, making it easier for them to find the right package and the best deal. Arming consumers with better information will also promote greater innovation, more competition, and lower prices for broadband—wins for the entire broadband ecosystem. I thank the Commission’s staff for their hard work on this item, and I look forward to robust comments on how we can best implement broadband nutrition labels.  </w:t>
      </w:r>
    </w:p>
    <w:p w:rsidR="00DC48AC" w:rsidRPr="000310F1" w:rsidP="00DC48AC" w14:paraId="71122BE2" w14:textId="77777777">
      <w:pPr>
        <w:rPr>
          <w:color w:val="000000"/>
          <w:sz w:val="24"/>
          <w:szCs w:val="24"/>
        </w:rPr>
      </w:pPr>
    </w:p>
    <w:p w:rsidR="00DC48AC" w:rsidRPr="00DE457E" w:rsidP="00661BB1" w14:paraId="42A3A495" w14:textId="77777777">
      <w:pPr>
        <w:pStyle w:val="ParaNum"/>
        <w:numPr>
          <w:ilvl w:val="0"/>
          <w:numId w:val="0"/>
        </w:numPr>
        <w:ind w:firstLine="720"/>
      </w:pPr>
    </w:p>
    <w:sectPr w:rsidSect="00EB0CF7">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Meiryo UI">
    <w:charset w:val="80"/>
    <w:family w:val="swiss"/>
    <w:pitch w:val="variable"/>
    <w:sig w:usb0="E00002FF" w:usb1="6AC7FFFF"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B0B" w:rsidP="0055614C" w14:paraId="47F2C6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744B0B" w14:paraId="47C8DB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B0B" w:rsidP="00A864D8" w14:paraId="46BEC661" w14:textId="144BFA9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B0B" w14:paraId="09661CF6" w14:textId="49661828">
    <w:pPr>
      <w:pStyle w:val="Footer"/>
      <w:jc w:val="center"/>
    </w:pPr>
  </w:p>
  <w:p w:rsidR="00744B0B" w14:paraId="1B4B7850"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B0B" w14:paraId="6BA28CA9" w14:textId="77777777">
    <w:pPr>
      <w:pStyle w:val="Footer"/>
      <w:jc w:val="center"/>
    </w:pPr>
  </w:p>
  <w:p w:rsidR="00744B0B" w14:paraId="55FB1D6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53E32" w14:paraId="4717202C" w14:textId="77777777">
      <w:r>
        <w:separator/>
      </w:r>
    </w:p>
  </w:footnote>
  <w:footnote w:type="continuationSeparator" w:id="1">
    <w:p w:rsidR="00953E32" w:rsidP="00C721AC" w14:paraId="17746135" w14:textId="77777777">
      <w:pPr>
        <w:spacing w:before="120"/>
      </w:pPr>
      <w:r>
        <w:t xml:space="preserve">(Continued from previous page)  </w:t>
      </w:r>
      <w:r>
        <w:separator/>
      </w:r>
    </w:p>
  </w:footnote>
  <w:footnote w:type="continuationNotice" w:id="2">
    <w:p w:rsidR="00953E32" w:rsidP="00C721AC" w14:paraId="383406A4" w14:textId="77777777">
      <w:pPr>
        <w:jc w:val="right"/>
      </w:pPr>
      <w:r>
        <w:t>(continued….)</w:t>
      </w:r>
    </w:p>
  </w:footnote>
  <w:footnote w:id="3">
    <w:p w:rsidR="00744B0B" w:rsidRPr="003A6B81" w:rsidP="00845604" w14:paraId="455892F4" w14:textId="0FEEA6BC">
      <w:pPr>
        <w:pStyle w:val="FootnoteText"/>
      </w:pPr>
      <w:r>
        <w:rPr>
          <w:rStyle w:val="FootnoteReference"/>
        </w:rPr>
        <w:footnoteRef/>
      </w:r>
      <w:r>
        <w:t xml:space="preserve"> </w:t>
      </w:r>
      <w:r w:rsidRPr="00026E22">
        <w:t xml:space="preserve">Broadband </w:t>
      </w:r>
      <w:r>
        <w:t>I</w:t>
      </w:r>
      <w:r w:rsidRPr="00026E22">
        <w:t>nternet access service is defined as</w:t>
      </w:r>
      <w:r>
        <w:t xml:space="preserve"> </w:t>
      </w:r>
      <w:r>
        <w:rPr>
          <w:bCs/>
        </w:rPr>
        <w:t>“</w:t>
      </w:r>
      <w:r w:rsidRPr="00245BCB">
        <w:rPr>
          <w:bCs/>
        </w:rPr>
        <w:t>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w:t>
      </w:r>
      <w:r w:rsidRPr="00C822D7">
        <w:t xml:space="preserve">.  </w:t>
      </w:r>
      <w:r w:rsidRPr="00C822D7">
        <w:rPr>
          <w:shd w:val="clear" w:color="auto" w:fill="FFFFFF"/>
        </w:rPr>
        <w:t>This term also encompasses any service that the Commission finds to be providing a functional equivalent of the service described in the previous sentence or that is used to evade the protections set forth in this part.</w:t>
      </w:r>
      <w:r w:rsidRPr="00C822D7">
        <w:t xml:space="preserve">”  </w:t>
      </w:r>
      <w:r w:rsidRPr="00C822D7">
        <w:rPr>
          <w:i/>
          <w:iCs/>
        </w:rPr>
        <w:t>See</w:t>
      </w:r>
      <w:r w:rsidRPr="00C822D7">
        <w:t xml:space="preserve"> 47 CFR § 8.1(b).</w:t>
      </w:r>
    </w:p>
  </w:footnote>
  <w:footnote w:id="4">
    <w:p w:rsidR="00744B0B" w14:paraId="4446AD88" w14:textId="5522E87F">
      <w:pPr>
        <w:pStyle w:val="FootnoteText"/>
      </w:pPr>
      <w:r>
        <w:rPr>
          <w:rStyle w:val="FootnoteReference"/>
        </w:rPr>
        <w:footnoteRef/>
      </w:r>
      <w:r>
        <w:t xml:space="preserve"> The Infrastructure Investment and Jobs Act, Pub. L. No. </w:t>
      </w:r>
      <w:r w:rsidRPr="00DA106B">
        <w:t xml:space="preserve">117-58, </w:t>
      </w:r>
      <w:r w:rsidRPr="004D6EEA">
        <w:t>135</w:t>
      </w:r>
      <w:r w:rsidRPr="00AD24DD">
        <w:t xml:space="preserve"> Stat. </w:t>
      </w:r>
      <w:r w:rsidRPr="004D6EEA">
        <w:t>429</w:t>
      </w:r>
      <w:r>
        <w:t>, § 60504(a) (2021) (Infrastructure Act</w:t>
      </w:r>
      <w:r w:rsidRPr="005466D4">
        <w:t>).</w:t>
      </w:r>
    </w:p>
  </w:footnote>
  <w:footnote w:id="5">
    <w:p w:rsidR="00744B0B" w:rsidP="00687FCD" w14:paraId="10C65782" w14:textId="4522CD65">
      <w:pPr>
        <w:pStyle w:val="FootnoteText"/>
      </w:pPr>
      <w:r>
        <w:rPr>
          <w:rStyle w:val="FootnoteReference"/>
        </w:rPr>
        <w:footnoteRef/>
      </w:r>
      <w:r>
        <w:t xml:space="preserve"> </w:t>
      </w:r>
      <w:r w:rsidRPr="00DB7891">
        <w:rPr>
          <w:i/>
          <w:iCs/>
        </w:rPr>
        <w:t>Id</w:t>
      </w:r>
      <w:r w:rsidRPr="005466D4">
        <w:t>.</w:t>
      </w:r>
      <w:r w:rsidRPr="002D2DB5">
        <w:rPr>
          <w:i/>
          <w:iCs/>
        </w:rPr>
        <w:t xml:space="preserve">  See also Consumer and Governmental Affairs, Wireline Competition, and Wireless Telecommunications Bureaus Approve Open Internet Broadband Consumer Labels</w:t>
      </w:r>
      <w:r>
        <w:t xml:space="preserve">, GN Docket No. 14-28, Public Notice, 31 FCC </w:t>
      </w:r>
      <w:r>
        <w:t>Rcd</w:t>
      </w:r>
      <w:r>
        <w:t xml:space="preserve"> 3358 (CGB/WCB/WTB 2016) (</w:t>
      </w:r>
      <w:r w:rsidRPr="00AD24DD">
        <w:rPr>
          <w:i/>
        </w:rPr>
        <w:t>2016 Public Notice</w:t>
      </w:r>
      <w:r>
        <w:t>).</w:t>
      </w:r>
    </w:p>
  </w:footnote>
  <w:footnote w:id="6">
    <w:p w:rsidR="00744B0B" w:rsidRPr="00E7092A" w:rsidP="00687FCD" w14:paraId="2417C908" w14:textId="766E17E9">
      <w:pPr>
        <w:pStyle w:val="FootnoteText"/>
      </w:pPr>
      <w:r>
        <w:rPr>
          <w:rStyle w:val="FootnoteReference"/>
        </w:rPr>
        <w:footnoteRef/>
      </w:r>
      <w:r>
        <w:t xml:space="preserve"> Infrastructure Act</w:t>
      </w:r>
      <w:r w:rsidRPr="00BB0F45">
        <w:rPr>
          <w:rFonts w:cstheme="minorHAnsi"/>
        </w:rPr>
        <w:t xml:space="preserve"> </w:t>
      </w:r>
      <w:r>
        <w:rPr>
          <w:rFonts w:cstheme="minorHAnsi"/>
        </w:rPr>
        <w:t>§ 60504(b)(1).</w:t>
      </w:r>
      <w:r>
        <w:rPr>
          <w:i/>
          <w:iCs/>
        </w:rPr>
        <w:t xml:space="preserve">  </w:t>
      </w:r>
      <w:r>
        <w:t xml:space="preserve">The Infrastructure Act also directs the Commission to </w:t>
      </w:r>
      <w:r>
        <w:rPr>
          <w:rFonts w:cstheme="minorHAnsi"/>
        </w:rPr>
        <w:t>conduct a series of public hearings to assess how consumers evaluate broadband Internet service plans and whether required transparency disclosures, including the disclosures under 47 CFR § 8.1, are available, effective, and sufficient.</w:t>
      </w:r>
      <w:r>
        <w:t xml:space="preserve">  </w:t>
      </w:r>
      <w:r w:rsidRPr="00BB0F45">
        <w:rPr>
          <w:i/>
          <w:iCs/>
        </w:rPr>
        <w:t>See</w:t>
      </w:r>
      <w:r>
        <w:t xml:space="preserve"> </w:t>
      </w:r>
      <w:r w:rsidRPr="00277B12">
        <w:rPr>
          <w:i/>
          <w:iCs/>
        </w:rPr>
        <w:t>id.</w:t>
      </w:r>
      <w:r>
        <w:t xml:space="preserve"> § 60504(c). </w:t>
      </w:r>
    </w:p>
  </w:footnote>
  <w:footnote w:id="7">
    <w:p w:rsidR="00744B0B" w14:paraId="1E324D06" w14:textId="01F05102">
      <w:pPr>
        <w:pStyle w:val="FootnoteText"/>
      </w:pPr>
      <w:r>
        <w:rPr>
          <w:rStyle w:val="FootnoteReference"/>
        </w:rPr>
        <w:footnoteRef/>
      </w:r>
      <w:r>
        <w:t xml:space="preserve"> </w:t>
      </w:r>
      <w:r w:rsidRPr="00DB7891">
        <w:rPr>
          <w:i/>
          <w:iCs/>
        </w:rPr>
        <w:t>See</w:t>
      </w:r>
      <w:r>
        <w:t xml:space="preserve"> </w:t>
      </w:r>
      <w:r w:rsidRPr="00751A84">
        <w:rPr>
          <w:i/>
          <w:iCs/>
        </w:rPr>
        <w:t>2016 Public Notice</w:t>
      </w:r>
      <w:r>
        <w:t xml:space="preserve">.  As discussed below, we seek comment in this </w:t>
      </w:r>
      <w:r w:rsidRPr="00AD6E65">
        <w:rPr>
          <w:i/>
          <w:iCs/>
        </w:rPr>
        <w:t>Notice of Proposed Rulemaking</w:t>
      </w:r>
      <w:r>
        <w:t xml:space="preserve"> on whether and how to modify the 2016 labels to better address consumer needs.</w:t>
      </w:r>
    </w:p>
  </w:footnote>
  <w:footnote w:id="8">
    <w:p w:rsidR="00744B0B" w:rsidP="00A64633" w14:paraId="60EFD999" w14:textId="59F124B2">
      <w:pPr>
        <w:pStyle w:val="FootnoteText"/>
      </w:pPr>
      <w:r>
        <w:rPr>
          <w:rStyle w:val="FootnoteReference"/>
        </w:rPr>
        <w:footnoteRef/>
      </w:r>
      <w:r>
        <w:t xml:space="preserve"> </w:t>
      </w:r>
      <w:r w:rsidRPr="009C4CC5">
        <w:rPr>
          <w:i/>
          <w:iCs/>
        </w:rPr>
        <w:t>See</w:t>
      </w:r>
      <w:r>
        <w:t xml:space="preserve"> </w:t>
      </w:r>
      <w:r w:rsidRPr="004B2ECE">
        <w:rPr>
          <w:i/>
        </w:rPr>
        <w:t>2016 Public Notice</w:t>
      </w:r>
      <w:r w:rsidRPr="009D733C">
        <w:t>.</w:t>
      </w:r>
      <w:r>
        <w:t xml:space="preserve">  Attached to this </w:t>
      </w:r>
      <w:r w:rsidRPr="00A253D3">
        <w:rPr>
          <w:i/>
          <w:iCs/>
        </w:rPr>
        <w:t>Notice of Proposed Rulemaking</w:t>
      </w:r>
      <w:r>
        <w:t xml:space="preserve"> in Appendices B and C are the labels approved by the Bureaus and announced in the </w:t>
      </w:r>
      <w:r w:rsidRPr="004B2ECE">
        <w:rPr>
          <w:i/>
        </w:rPr>
        <w:t>2016 Public Notice</w:t>
      </w:r>
      <w:r>
        <w:t xml:space="preserve">.  The </w:t>
      </w:r>
      <w:r>
        <w:rPr>
          <w:i/>
          <w:iCs/>
        </w:rPr>
        <w:t xml:space="preserve">2016 Public Notice </w:t>
      </w:r>
      <w:r>
        <w:t xml:space="preserve">was an outgrowth of the enhanced transparency requirements resulting from the </w:t>
      </w:r>
      <w:r>
        <w:rPr>
          <w:i/>
          <w:iCs/>
        </w:rPr>
        <w:t xml:space="preserve">2015 Open Internet Order.  </w:t>
      </w:r>
      <w:r w:rsidRPr="00655C13">
        <w:rPr>
          <w:i/>
        </w:rPr>
        <w:t>See</w:t>
      </w:r>
      <w:r w:rsidRPr="00655C13">
        <w:t xml:space="preserve"> </w:t>
      </w:r>
      <w:r w:rsidRPr="000D6BF9">
        <w:rPr>
          <w:i/>
        </w:rPr>
        <w:t>Protecting and Promoting the Open Internet</w:t>
      </w:r>
      <w:r w:rsidRPr="000D6BF9">
        <w:t xml:space="preserve">, GN Docket No. 14-28, Report and Order on Remand, Declaratory Ruling, and Order, 30 FCC </w:t>
      </w:r>
      <w:r w:rsidRPr="000D6BF9">
        <w:t>Rcd</w:t>
      </w:r>
      <w:r w:rsidRPr="000D6BF9">
        <w:t xml:space="preserve"> 5601</w:t>
      </w:r>
      <w:r>
        <w:t>,</w:t>
      </w:r>
      <w:r w:rsidRPr="000D6BF9">
        <w:t xml:space="preserve"> </w:t>
      </w:r>
      <w:r>
        <w:t xml:space="preserve">5666-5681, </w:t>
      </w:r>
      <w:r w:rsidRPr="00655C13">
        <w:t>paras. 154-181</w:t>
      </w:r>
      <w:r w:rsidRPr="000D6BF9">
        <w:t xml:space="preserve"> (2015) (</w:t>
      </w:r>
      <w:r w:rsidRPr="000D6BF9">
        <w:rPr>
          <w:i/>
        </w:rPr>
        <w:t>2015 Open Internet Order</w:t>
      </w:r>
      <w:r w:rsidRPr="000D6BF9">
        <w:t>)</w:t>
      </w:r>
      <w:r>
        <w:t xml:space="preserve">.  Among other things, the transparency rule required that broadband providers disclose information “sufficient to allow consumers to make informed choices,” which could include the information expressly required by the enhancements, </w:t>
      </w:r>
      <w:r>
        <w:rPr>
          <w:i/>
        </w:rPr>
        <w:t xml:space="preserve">id. </w:t>
      </w:r>
      <w:r>
        <w:t xml:space="preserve">at 5681, para. 182, yet </w:t>
      </w:r>
      <w:r w:rsidRPr="005971A5">
        <w:rPr>
          <w:szCs w:val="22"/>
        </w:rPr>
        <w:t>the Commission</w:t>
      </w:r>
      <w:r>
        <w:rPr>
          <w:szCs w:val="22"/>
        </w:rPr>
        <w:t xml:space="preserve"> declined to mandate the exact format for transparency disclosures, but instead established a voluntary safe harbor for the format and nature of the required disclosures.</w:t>
      </w:r>
      <w:r>
        <w:t xml:space="preserve">  </w:t>
      </w:r>
      <w:r w:rsidRPr="007C3F83">
        <w:rPr>
          <w:i/>
          <w:iCs/>
        </w:rPr>
        <w:t xml:space="preserve">See </w:t>
      </w:r>
      <w:r>
        <w:rPr>
          <w:i/>
        </w:rPr>
        <w:t>id.</w:t>
      </w:r>
      <w:r>
        <w:rPr>
          <w:iCs/>
        </w:rPr>
        <w:t xml:space="preserve"> at </w:t>
      </w:r>
      <w:r w:rsidRPr="000D6BF9">
        <w:t>5</w:t>
      </w:r>
      <w:r>
        <w:t>680</w:t>
      </w:r>
      <w:r w:rsidRPr="000D6BF9">
        <w:t xml:space="preserve">, para. </w:t>
      </w:r>
      <w:r>
        <w:t xml:space="preserve">179; </w:t>
      </w:r>
      <w:r w:rsidRPr="00655C13">
        <w:rPr>
          <w:i/>
        </w:rPr>
        <w:t>see also</w:t>
      </w:r>
      <w:r w:rsidRPr="00655C13">
        <w:t xml:space="preserve"> 47 </w:t>
      </w:r>
      <w:r>
        <w:t>CFR</w:t>
      </w:r>
      <w:r w:rsidRPr="00655C13">
        <w:t xml:space="preserve"> § 8.3</w:t>
      </w:r>
      <w:r>
        <w:t xml:space="preserve"> (2015)</w:t>
      </w:r>
      <w:r w:rsidRPr="000D6BF9">
        <w:t>.</w:t>
      </w:r>
      <w:r>
        <w:t xml:space="preserve">  The enhanced transparency rule was upheld in 2016 by the D.C. Circuit in </w:t>
      </w:r>
      <w:r w:rsidRPr="005E5741">
        <w:rPr>
          <w:i/>
          <w:iCs/>
        </w:rPr>
        <w:t>United States Telecom Association v. FCC</w:t>
      </w:r>
      <w:r w:rsidRPr="00AB0E44">
        <w:t>, 825 F.3d 674</w:t>
      </w:r>
      <w:r w:rsidRPr="005E5741">
        <w:rPr>
          <w:i/>
          <w:iCs/>
        </w:rPr>
        <w:t xml:space="preserve"> </w:t>
      </w:r>
      <w:r w:rsidRPr="004B2ECE">
        <w:t>(D.C. Cir. 2016</w:t>
      </w:r>
      <w:r w:rsidRPr="005E5741">
        <w:t>)</w:t>
      </w:r>
      <w:r w:rsidRPr="00556D6F">
        <w:t>.</w:t>
      </w:r>
    </w:p>
  </w:footnote>
  <w:footnote w:id="9">
    <w:p w:rsidR="00744B0B" w14:paraId="5B00F46F" w14:textId="7E1A12CF">
      <w:pPr>
        <w:pStyle w:val="FootnoteText"/>
      </w:pPr>
      <w:r>
        <w:rPr>
          <w:rStyle w:val="FootnoteReference"/>
        </w:rPr>
        <w:footnoteRef/>
      </w:r>
      <w:r>
        <w:t xml:space="preserve"> </w:t>
      </w:r>
      <w:r>
        <w:rPr>
          <w:i/>
          <w:snapToGrid w:val="0"/>
        </w:rPr>
        <w:t>2015 Open Internet Order</w:t>
      </w:r>
      <w:r>
        <w:rPr>
          <w:iCs/>
          <w:snapToGrid w:val="0"/>
        </w:rPr>
        <w:t xml:space="preserve">, 30 FCC </w:t>
      </w:r>
      <w:r>
        <w:rPr>
          <w:iCs/>
          <w:snapToGrid w:val="0"/>
        </w:rPr>
        <w:t>Rcd</w:t>
      </w:r>
      <w:r>
        <w:rPr>
          <w:iCs/>
          <w:snapToGrid w:val="0"/>
        </w:rPr>
        <w:t xml:space="preserve"> at </w:t>
      </w:r>
      <w:r w:rsidRPr="00B75348">
        <w:t>5680-81, paras. 179-180 (</w:t>
      </w:r>
      <w:r w:rsidRPr="00B75348">
        <w:rPr>
          <w:color w:val="000000"/>
        </w:rPr>
        <w:t>find</w:t>
      </w:r>
      <w:r>
        <w:rPr>
          <w:color w:val="000000"/>
        </w:rPr>
        <w:t>ing</w:t>
      </w:r>
      <w:r w:rsidRPr="00B75348">
        <w:rPr>
          <w:color w:val="000000"/>
        </w:rPr>
        <w:t xml:space="preserve"> that the </w:t>
      </w:r>
      <w:r>
        <w:rPr>
          <w:color w:val="000000"/>
        </w:rPr>
        <w:t>CAC’s</w:t>
      </w:r>
      <w:r w:rsidRPr="00B75348">
        <w:rPr>
          <w:color w:val="000000"/>
        </w:rPr>
        <w:t xml:space="preserve"> experience with consumer disclosure issues makes it an ideal body to recommend a disclosure format that should be clear and easy to read—similar to a nutrition label—to allow consumers to easily compare the services of different providers</w:t>
      </w:r>
      <w:r>
        <w:rPr>
          <w:color w:val="000000"/>
        </w:rPr>
        <w:t xml:space="preserve"> and noting that</w:t>
      </w:r>
      <w:r w:rsidRPr="00B75348">
        <w:rPr>
          <w:color w:val="000000"/>
        </w:rPr>
        <w:t xml:space="preserve"> the CAC is uniquely able to recommend a disclosure format that both anticipates and addresses provider compliance burdens while ensuring the utility of the disclosures for consumers</w:t>
      </w:r>
      <w:r>
        <w:rPr>
          <w:color w:val="000000"/>
        </w:rPr>
        <w:t xml:space="preserve">).  </w:t>
      </w:r>
      <w:r w:rsidRPr="00D17DFC">
        <w:rPr>
          <w:color w:val="000000"/>
        </w:rPr>
        <w:t>The disclosure format</w:t>
      </w:r>
      <w:r>
        <w:rPr>
          <w:color w:val="000000"/>
        </w:rPr>
        <w:t xml:space="preserve"> was to be</w:t>
      </w:r>
      <w:r w:rsidRPr="00D17DFC">
        <w:rPr>
          <w:color w:val="000000"/>
        </w:rPr>
        <w:t xml:space="preserve"> accessible to persons with disabilities</w:t>
      </w:r>
      <w:r>
        <w:rPr>
          <w:color w:val="000000"/>
        </w:rPr>
        <w:t>, and</w:t>
      </w:r>
      <w:r w:rsidRPr="00D17DFC">
        <w:rPr>
          <w:color w:val="000000"/>
        </w:rPr>
        <w:t xml:space="preserve"> the CAC was to consider whether to propose the same or different formats for fixed and mobile broadband p</w:t>
      </w:r>
      <w:r>
        <w:rPr>
          <w:color w:val="000000"/>
        </w:rPr>
        <w:t>roviders</w:t>
      </w:r>
      <w:r w:rsidRPr="00D17DFC">
        <w:rPr>
          <w:color w:val="000000"/>
        </w:rPr>
        <w:t>.</w:t>
      </w:r>
    </w:p>
  </w:footnote>
  <w:footnote w:id="10">
    <w:p w:rsidR="00744B0B" w14:paraId="13672918" w14:textId="08088892">
      <w:pPr>
        <w:pStyle w:val="FootnoteText"/>
      </w:pPr>
      <w:r>
        <w:rPr>
          <w:rStyle w:val="FootnoteReference"/>
        </w:rPr>
        <w:footnoteRef/>
      </w:r>
      <w:r>
        <w:t xml:space="preserve"> </w:t>
      </w:r>
      <w:r w:rsidRPr="00791AFC">
        <w:rPr>
          <w:i/>
        </w:rPr>
        <w:t>See</w:t>
      </w:r>
      <w:r w:rsidRPr="00791AFC">
        <w:t xml:space="preserve"> FCC Consumer Advisory Committee Recommendation, Broadband Consumer Disclosures (Oct. 26, 2015)</w:t>
      </w:r>
      <w:r>
        <w:t xml:space="preserve"> (</w:t>
      </w:r>
      <w:r w:rsidRPr="00C34568">
        <w:t>CAC Broadband Label Recommendation</w:t>
      </w:r>
      <w:r>
        <w:t>)</w:t>
      </w:r>
      <w:r w:rsidRPr="00791AFC">
        <w:t xml:space="preserve">; </w:t>
      </w:r>
      <w:hyperlink r:id="rId1" w:history="1">
        <w:r w:rsidRPr="00BD2310">
          <w:rPr>
            <w:rStyle w:val="Hyperlink"/>
          </w:rPr>
          <w:t>https://docs.fcc.gov/public/attachments/DOC-336136A1.pdf</w:t>
        </w:r>
      </w:hyperlink>
      <w:r>
        <w:t>.</w:t>
      </w:r>
    </w:p>
  </w:footnote>
  <w:footnote w:id="11">
    <w:p w:rsidR="00744B0B" w14:paraId="40CD72F7" w14:textId="63AAA471">
      <w:pPr>
        <w:pStyle w:val="FootnoteText"/>
      </w:pPr>
      <w:r>
        <w:rPr>
          <w:rStyle w:val="FootnoteReference"/>
        </w:rPr>
        <w:footnoteRef/>
      </w:r>
      <w:r>
        <w:t xml:space="preserve"> </w:t>
      </w:r>
      <w:r>
        <w:rPr>
          <w:i/>
        </w:rPr>
        <w:t>See 2015 Open Internet Order</w:t>
      </w:r>
      <w:r w:rsidRPr="000D6BF9">
        <w:t xml:space="preserve">, 30 FCC </w:t>
      </w:r>
      <w:r w:rsidRPr="000D6BF9">
        <w:t>Rcd</w:t>
      </w:r>
      <w:r w:rsidRPr="000D6BF9">
        <w:t xml:space="preserve"> </w:t>
      </w:r>
      <w:r>
        <w:t xml:space="preserve">at </w:t>
      </w:r>
      <w:r w:rsidRPr="000D6BF9">
        <w:t>5881, para. 58</w:t>
      </w:r>
      <w:r>
        <w:t>5</w:t>
      </w:r>
      <w:r w:rsidRPr="000D6BF9">
        <w:t>.</w:t>
      </w:r>
    </w:p>
  </w:footnote>
  <w:footnote w:id="12">
    <w:p w:rsidR="00744B0B" w14:paraId="53EF131C" w14:textId="5E777EE1">
      <w:pPr>
        <w:pStyle w:val="FootnoteText"/>
      </w:pPr>
      <w:r>
        <w:rPr>
          <w:rStyle w:val="FootnoteReference"/>
        </w:rPr>
        <w:footnoteRef/>
      </w:r>
      <w:r>
        <w:t xml:space="preserve"> </w:t>
      </w:r>
      <w:r w:rsidRPr="00AD24DD">
        <w:rPr>
          <w:i/>
        </w:rPr>
        <w:t>2016 Public Notice</w:t>
      </w:r>
      <w:r>
        <w:t xml:space="preserve"> at 2.</w:t>
      </w:r>
    </w:p>
  </w:footnote>
  <w:footnote w:id="13">
    <w:p w:rsidR="00744B0B" w:rsidRPr="00037418" w:rsidP="00464AD3" w14:paraId="1D95D440" w14:textId="07731443">
      <w:pPr>
        <w:pStyle w:val="FootnoteText"/>
      </w:pPr>
      <w:r>
        <w:rPr>
          <w:rStyle w:val="FootnoteReference"/>
        </w:rPr>
        <w:footnoteRef/>
      </w:r>
      <w:r>
        <w:t xml:space="preserve"> </w:t>
      </w:r>
      <w:r w:rsidRPr="00CE77E2">
        <w:rPr>
          <w:i/>
        </w:rPr>
        <w:t>See</w:t>
      </w:r>
      <w:r>
        <w:t xml:space="preserve"> </w:t>
      </w:r>
      <w:r w:rsidRPr="000D6BF9">
        <w:rPr>
          <w:i/>
        </w:rPr>
        <w:t>2015 Open Internet Order</w:t>
      </w:r>
      <w:r w:rsidRPr="000D6BF9">
        <w:t xml:space="preserve">, 30 FCC </w:t>
      </w:r>
      <w:r w:rsidRPr="000D6BF9">
        <w:t>Rcd</w:t>
      </w:r>
      <w:r w:rsidRPr="000D6BF9">
        <w:t xml:space="preserve"> at 5680, para</w:t>
      </w:r>
      <w:r>
        <w:t>.</w:t>
      </w:r>
      <w:r w:rsidRPr="000D6BF9">
        <w:t xml:space="preserve"> 179.</w:t>
      </w:r>
    </w:p>
  </w:footnote>
  <w:footnote w:id="14">
    <w:p w:rsidR="00744B0B" w:rsidRPr="00037418" w:rsidP="00464AD3" w14:paraId="17FC4BBB" w14:textId="77777777">
      <w:pPr>
        <w:pStyle w:val="FootnoteText"/>
      </w:pPr>
      <w:r w:rsidRPr="00037418">
        <w:rPr>
          <w:rStyle w:val="FootnoteReference"/>
        </w:rPr>
        <w:footnoteRef/>
      </w:r>
      <w:r w:rsidRPr="00037418">
        <w:t xml:space="preserve"> </w:t>
      </w:r>
      <w:r w:rsidRPr="00037418">
        <w:rPr>
          <w:i/>
        </w:rPr>
        <w:t xml:space="preserve">See </w:t>
      </w:r>
      <w:r w:rsidRPr="00037418">
        <w:t xml:space="preserve">CAC Broadband Label Recommendation at 8, </w:t>
      </w:r>
      <w:hyperlink r:id="rId2" w:history="1">
        <w:r w:rsidRPr="00037418">
          <w:rPr>
            <w:rStyle w:val="Hyperlink"/>
          </w:rPr>
          <w:t>https://apps.fcc.gov/edocs_public/attachmatch/DOC-336136A1.pdf</w:t>
        </w:r>
      </w:hyperlink>
      <w:r w:rsidRPr="00037418">
        <w:t>.</w:t>
      </w:r>
    </w:p>
  </w:footnote>
  <w:footnote w:id="15">
    <w:p w:rsidR="00744B0B" w:rsidRPr="000D6BF9" w:rsidP="00344D67" w14:paraId="0B95D488" w14:textId="06FD1960">
      <w:pPr>
        <w:pStyle w:val="FootnoteText"/>
      </w:pPr>
      <w:r w:rsidRPr="000D6BF9">
        <w:rPr>
          <w:rStyle w:val="FootnoteReference"/>
        </w:rPr>
        <w:footnoteRef/>
      </w:r>
      <w:r w:rsidRPr="000D6BF9">
        <w:t xml:space="preserve"> </w:t>
      </w:r>
      <w:r w:rsidRPr="00CE77E2">
        <w:rPr>
          <w:i/>
        </w:rPr>
        <w:t>See</w:t>
      </w:r>
      <w:r>
        <w:t xml:space="preserve"> </w:t>
      </w:r>
      <w:r w:rsidRPr="000D6BF9">
        <w:rPr>
          <w:i/>
        </w:rPr>
        <w:t>2015 Open Internet Order</w:t>
      </w:r>
      <w:r>
        <w:rPr>
          <w:i/>
        </w:rPr>
        <w:t xml:space="preserve">, </w:t>
      </w:r>
      <w:r>
        <w:rPr>
          <w:iCs/>
        </w:rPr>
        <w:t xml:space="preserve">30 FCC </w:t>
      </w:r>
      <w:r>
        <w:rPr>
          <w:iCs/>
        </w:rPr>
        <w:t>Rcd</w:t>
      </w:r>
      <w:r>
        <w:t xml:space="preserve"> at </w:t>
      </w:r>
      <w:r w:rsidRPr="000D6BF9">
        <w:t xml:space="preserve">5680, para. 180.  As part of its recommendation, the CAC also suggested approaches for accessibility.  </w:t>
      </w:r>
      <w:r w:rsidRPr="000D6BF9">
        <w:rPr>
          <w:i/>
        </w:rPr>
        <w:t xml:space="preserve">See </w:t>
      </w:r>
      <w:r w:rsidRPr="000D6BF9">
        <w:t xml:space="preserve">Consumer Advisory Committee Recommendation, Broadband Consumer Disclosures, Section V, Disability Access </w:t>
      </w:r>
      <w:r>
        <w:rPr>
          <w:i/>
        </w:rPr>
        <w:t xml:space="preserve">available at </w:t>
      </w:r>
      <w:hyperlink r:id="rId2" w:history="1">
        <w:r w:rsidRPr="000D6BF9">
          <w:rPr>
            <w:rStyle w:val="Hyperlink"/>
          </w:rPr>
          <w:t>https://apps.fcc.gov/edocs_public/attachmatch/DOC-336136A1.pdf</w:t>
        </w:r>
      </w:hyperlink>
      <w:r w:rsidRPr="000D6BF9">
        <w:t>.</w:t>
      </w:r>
    </w:p>
  </w:footnote>
  <w:footnote w:id="16">
    <w:p w:rsidR="00744B0B" w14:paraId="1CEB5679" w14:textId="03C71EBE">
      <w:pPr>
        <w:pStyle w:val="FootnoteText"/>
      </w:pPr>
      <w:r>
        <w:rPr>
          <w:rStyle w:val="FootnoteReference"/>
        </w:rPr>
        <w:footnoteRef/>
      </w:r>
      <w:r>
        <w:t xml:space="preserve"> </w:t>
      </w:r>
      <w:r w:rsidRPr="00275EE9">
        <w:rPr>
          <w:i/>
          <w:iCs/>
        </w:rPr>
        <w:t>Restoring Internet Freedom</w:t>
      </w:r>
      <w:r w:rsidRPr="00744B0B">
        <w:t xml:space="preserve">, WC Docket No. 17-108, Declaratory Ruling, Report and Order, and Order, 33 FCC </w:t>
      </w:r>
      <w:r w:rsidRPr="00744B0B">
        <w:t>Rcd</w:t>
      </w:r>
      <w:r w:rsidRPr="00744B0B">
        <w:t xml:space="preserve"> 311, 444, paras. 228-29 (2017) (</w:t>
      </w:r>
      <w:r w:rsidRPr="00275EE9">
        <w:rPr>
          <w:i/>
          <w:iCs/>
        </w:rPr>
        <w:t>Restoring Internet Freedom Order</w:t>
      </w:r>
      <w:r w:rsidRPr="00744B0B">
        <w:t>)</w:t>
      </w:r>
      <w:r>
        <w:t xml:space="preserve">; </w:t>
      </w:r>
      <w:r>
        <w:rPr>
          <w:i/>
        </w:rPr>
        <w:t>s</w:t>
      </w:r>
      <w:r w:rsidRPr="00820C18">
        <w:rPr>
          <w:i/>
        </w:rPr>
        <w:t>ee</w:t>
      </w:r>
      <w:r>
        <w:rPr>
          <w:i/>
        </w:rPr>
        <w:t xml:space="preserve"> also</w:t>
      </w:r>
      <w:r w:rsidRPr="00820C18">
        <w:t xml:space="preserve"> </w:t>
      </w:r>
      <w:r>
        <w:t xml:space="preserve">amended transparency rule at </w:t>
      </w:r>
      <w:r w:rsidRPr="00820C18">
        <w:t>47 CFR §</w:t>
      </w:r>
      <w:r>
        <w:t xml:space="preserve"> </w:t>
      </w:r>
      <w:r w:rsidRPr="00820C18">
        <w:t xml:space="preserve">8.1(a) (“Any person providing broadband internet access service shall publicly disclose accurate information regarding the network management practices, performance characteristics, and commercial terms of its broadband internet access services sufficient to enable consumers to make informed choices regarding the purchase and use of such services and entrepreneurs and other small businesses to develop, market, and maintain internet offerings. </w:t>
      </w:r>
      <w:r>
        <w:t xml:space="preserve"> </w:t>
      </w:r>
      <w:r w:rsidRPr="00820C18">
        <w:t>Such disclosure shall be made via a publicly available, easily accessible website or through transmittal to the Commission.”).</w:t>
      </w:r>
    </w:p>
  </w:footnote>
  <w:footnote w:id="17">
    <w:p w:rsidR="00744B0B" w14:paraId="57A0A883" w14:textId="2611806A">
      <w:pPr>
        <w:pStyle w:val="FootnoteText"/>
      </w:pPr>
      <w:r>
        <w:rPr>
          <w:rStyle w:val="FootnoteReference"/>
        </w:rPr>
        <w:footnoteRef/>
      </w:r>
      <w:r>
        <w:t xml:space="preserve"> </w:t>
      </w:r>
      <w:r>
        <w:rPr>
          <w:i/>
          <w:iCs/>
        </w:rPr>
        <w:t xml:space="preserve">Restoring Internet Freedom </w:t>
      </w:r>
      <w:r w:rsidRPr="00632399">
        <w:rPr>
          <w:i/>
          <w:iCs/>
        </w:rPr>
        <w:t>Order</w:t>
      </w:r>
      <w:r>
        <w:t xml:space="preserve">, 33 FCC </w:t>
      </w:r>
      <w:r>
        <w:t>Rcd</w:t>
      </w:r>
      <w:r>
        <w:t xml:space="preserve"> at 445, para. 231.</w:t>
      </w:r>
    </w:p>
  </w:footnote>
  <w:footnote w:id="18">
    <w:p w:rsidR="00744B0B" w14:paraId="0A5C1C16" w14:textId="0813D267">
      <w:pPr>
        <w:pStyle w:val="FootnoteText"/>
      </w:pPr>
      <w:r>
        <w:rPr>
          <w:rStyle w:val="FootnoteReference"/>
        </w:rPr>
        <w:footnoteRef/>
      </w:r>
      <w:r>
        <w:t xml:space="preserve"> </w:t>
      </w:r>
      <w:r>
        <w:rPr>
          <w:i/>
          <w:iCs/>
        </w:rPr>
        <w:t>Id.</w:t>
      </w:r>
      <w:r>
        <w:t xml:space="preserve"> at 442, paras. 225-26.</w:t>
      </w:r>
    </w:p>
  </w:footnote>
  <w:footnote w:id="19">
    <w:p w:rsidR="00744B0B" w14:paraId="05EFC6DF" w14:textId="2A59C2BC">
      <w:pPr>
        <w:pStyle w:val="FootnoteText"/>
      </w:pPr>
      <w:r>
        <w:rPr>
          <w:rStyle w:val="FootnoteReference"/>
        </w:rPr>
        <w:footnoteRef/>
      </w:r>
      <w:r>
        <w:t xml:space="preserve"> </w:t>
      </w:r>
      <w:r>
        <w:rPr>
          <w:i/>
          <w:iCs/>
        </w:rPr>
        <w:t>Id.</w:t>
      </w:r>
      <w:r>
        <w:t xml:space="preserve"> at 443, para. 227.</w:t>
      </w:r>
    </w:p>
  </w:footnote>
  <w:footnote w:id="20">
    <w:p w:rsidR="00744B0B" w14:paraId="4EC3E34F" w14:textId="0878365B">
      <w:pPr>
        <w:pStyle w:val="FootnoteText"/>
      </w:pPr>
      <w:r>
        <w:rPr>
          <w:rStyle w:val="FootnoteReference"/>
        </w:rPr>
        <w:footnoteRef/>
      </w:r>
      <w:r>
        <w:t xml:space="preserve"> </w:t>
      </w:r>
      <w:r w:rsidRPr="0066298F">
        <w:rPr>
          <w:i/>
        </w:rPr>
        <w:t xml:space="preserve">See </w:t>
      </w:r>
      <w:r>
        <w:rPr>
          <w:i/>
        </w:rPr>
        <w:t>2015 Open Internet Order</w:t>
      </w:r>
      <w:r w:rsidRPr="0066298F">
        <w:t xml:space="preserve">, 30 FCC </w:t>
      </w:r>
      <w:r w:rsidRPr="0066298F">
        <w:t>Rcd</w:t>
      </w:r>
      <w:r w:rsidRPr="0066298F">
        <w:t xml:space="preserve"> at 5677, para. 171 (adding a requirement to directly notify end users “if their individual use of a network will trigger a network practice, based on their demand prior to a period of congestion, that is likely to have a significant impact on the end user’s use of the service”).</w:t>
      </w:r>
    </w:p>
  </w:footnote>
  <w:footnote w:id="21">
    <w:p w:rsidR="00744B0B" w:rsidRPr="00F14089" w:rsidP="00F33B4C" w14:paraId="766C5F9B" w14:textId="7C41C657">
      <w:pPr>
        <w:pStyle w:val="FootnoteText"/>
      </w:pPr>
      <w:r>
        <w:rPr>
          <w:rStyle w:val="FootnoteReference"/>
        </w:rPr>
        <w:footnoteRef/>
      </w:r>
      <w:r>
        <w:t xml:space="preserve"> Infrastructure Act § 60504(a).  On July 9, 2021, the President issued </w:t>
      </w:r>
      <w:r w:rsidRPr="00594498">
        <w:t>Executive Order 14036</w:t>
      </w:r>
      <w:r>
        <w:t>, which, in relevant part, encourages the Commission to consider “initiating a rulemaking that requires broadband service providers to display a broadband consumer label, such as that described in the [</w:t>
      </w:r>
      <w:r>
        <w:rPr>
          <w:i/>
          <w:iCs/>
        </w:rPr>
        <w:t xml:space="preserve">2016 </w:t>
      </w:r>
      <w:r w:rsidRPr="00240B7E">
        <w:rPr>
          <w:i/>
          <w:iCs/>
        </w:rPr>
        <w:t>Public Notice</w:t>
      </w:r>
      <w:r>
        <w:t xml:space="preserve">] so as to give consumers clear, concise, and accurate information regarding provider prices and fees, performance, and network practices.”  </w:t>
      </w:r>
      <w:r w:rsidRPr="00EA1005">
        <w:rPr>
          <w:i/>
          <w:iCs/>
        </w:rPr>
        <w:t>See</w:t>
      </w:r>
      <w:r>
        <w:t xml:space="preserve"> Executive Order No. 14036, Promoting Competition in the American Economy, 86 FR 36987 (Jul. 9, 2021).   </w:t>
      </w:r>
    </w:p>
  </w:footnote>
  <w:footnote w:id="22">
    <w:p w:rsidR="00744B0B" w:rsidRPr="002C2F63" w:rsidP="00F33B4C" w14:paraId="369CA409" w14:textId="2A8E982E">
      <w:pPr>
        <w:pStyle w:val="FootnoteText"/>
      </w:pPr>
      <w:r>
        <w:rPr>
          <w:rStyle w:val="FootnoteReference"/>
        </w:rPr>
        <w:footnoteRef/>
      </w:r>
      <w:r>
        <w:t xml:space="preserve"> Infrastructure Act</w:t>
      </w:r>
      <w:r w:rsidRPr="00BB0F45">
        <w:rPr>
          <w:rFonts w:cstheme="minorHAnsi"/>
        </w:rPr>
        <w:t xml:space="preserve"> </w:t>
      </w:r>
      <w:r>
        <w:rPr>
          <w:rFonts w:cstheme="minorHAnsi"/>
        </w:rPr>
        <w:t>§ 60504(b)(1).</w:t>
      </w:r>
      <w:r>
        <w:t xml:space="preserve"> </w:t>
      </w:r>
    </w:p>
  </w:footnote>
  <w:footnote w:id="23">
    <w:p w:rsidR="00744B0B" w:rsidRPr="00525EE8" w:rsidP="002C3B36" w14:paraId="52872D14" w14:textId="1282F365">
      <w:pPr>
        <w:pStyle w:val="ParaNum"/>
        <w:numPr>
          <w:ilvl w:val="0"/>
          <w:numId w:val="0"/>
        </w:numPr>
        <w:rPr>
          <w:sz w:val="20"/>
        </w:rPr>
      </w:pPr>
      <w:r w:rsidRPr="007723D5">
        <w:rPr>
          <w:rStyle w:val="FootnoteReference"/>
        </w:rPr>
        <w:footnoteRef/>
      </w:r>
      <w:r w:rsidRPr="007723D5">
        <w:t xml:space="preserve"> </w:t>
      </w:r>
      <w:r w:rsidRPr="00525EE8">
        <w:rPr>
          <w:i/>
          <w:iCs/>
          <w:sz w:val="20"/>
        </w:rPr>
        <w:t>See</w:t>
      </w:r>
      <w:r w:rsidRPr="00525EE8">
        <w:rPr>
          <w:sz w:val="20"/>
        </w:rPr>
        <w:t xml:space="preserve"> </w:t>
      </w:r>
      <w:r w:rsidRPr="00525EE8">
        <w:rPr>
          <w:i/>
          <w:iCs/>
          <w:sz w:val="20"/>
        </w:rPr>
        <w:t>id.</w:t>
      </w:r>
      <w:r w:rsidRPr="00525EE8">
        <w:rPr>
          <w:sz w:val="20"/>
        </w:rPr>
        <w:t xml:space="preserve"> § 60504(c).  The Commission will announce the dates of such hearings, which we expect will inform our conclusions in this proceeding, in a forthcoming Public Notice</w:t>
      </w:r>
      <w:r>
        <w:rPr>
          <w:sz w:val="20"/>
        </w:rPr>
        <w:t xml:space="preserve"> and will provide notice of the hearings separately in the Federal Register as soon as such dates are determined</w:t>
      </w:r>
      <w:r w:rsidRPr="00525EE8">
        <w:rPr>
          <w:sz w:val="20"/>
        </w:rPr>
        <w:t>.</w:t>
      </w:r>
      <w:r>
        <w:rPr>
          <w:sz w:val="20"/>
        </w:rPr>
        <w:t xml:space="preserve">  </w:t>
      </w:r>
    </w:p>
  </w:footnote>
  <w:footnote w:id="24">
    <w:p w:rsidR="00744B0B" w14:paraId="55F94D2D" w14:textId="61BFB906">
      <w:pPr>
        <w:pStyle w:val="FootnoteText"/>
      </w:pPr>
      <w:r>
        <w:rPr>
          <w:rStyle w:val="FootnoteReference"/>
        </w:rPr>
        <w:footnoteRef/>
      </w:r>
      <w:r>
        <w:t xml:space="preserve"> Infrastructure Act § 6504(a).</w:t>
      </w:r>
    </w:p>
  </w:footnote>
  <w:footnote w:id="25">
    <w:p w:rsidR="00744B0B" w14:paraId="44110CEB" w14:textId="5E3FBC17">
      <w:pPr>
        <w:pStyle w:val="FootnoteText"/>
      </w:pPr>
      <w:r>
        <w:rPr>
          <w:rStyle w:val="FootnoteReference"/>
        </w:rPr>
        <w:footnoteRef/>
      </w:r>
      <w:r>
        <w:t xml:space="preserve"> </w:t>
      </w:r>
      <w:r w:rsidRPr="007723D5">
        <w:rPr>
          <w:i/>
          <w:iCs/>
        </w:rPr>
        <w:t>See</w:t>
      </w:r>
      <w:r w:rsidRPr="007723D5">
        <w:t xml:space="preserve"> </w:t>
      </w:r>
      <w:r w:rsidRPr="007723D5">
        <w:rPr>
          <w:i/>
          <w:iCs/>
        </w:rPr>
        <w:t>id.</w:t>
      </w:r>
      <w:r w:rsidRPr="007723D5">
        <w:t xml:space="preserve"> § 60504(</w:t>
      </w:r>
      <w:r>
        <w:t>b</w:t>
      </w:r>
      <w:r w:rsidRPr="007723D5">
        <w:t>)</w:t>
      </w:r>
      <w:r>
        <w:t>(1)</w:t>
      </w:r>
      <w:r w:rsidRPr="007723D5">
        <w:t xml:space="preserve">.  </w:t>
      </w:r>
    </w:p>
  </w:footnote>
  <w:footnote w:id="26">
    <w:p w:rsidR="0040325F" w14:paraId="195A66CE" w14:textId="14E68500">
      <w:pPr>
        <w:pStyle w:val="FootnoteText"/>
      </w:pPr>
      <w:r>
        <w:rPr>
          <w:rStyle w:val="FootnoteReference"/>
        </w:rPr>
        <w:footnoteRef/>
      </w:r>
      <w:r>
        <w:t xml:space="preserve"> </w:t>
      </w:r>
      <w:r w:rsidRPr="00E848A3">
        <w:rPr>
          <w:i/>
          <w:iCs/>
        </w:rPr>
        <w:t>See</w:t>
      </w:r>
      <w:r w:rsidRPr="00E848A3">
        <w:t xml:space="preserve"> </w:t>
      </w:r>
      <w:r w:rsidRPr="00E848A3">
        <w:rPr>
          <w:i/>
          <w:iCs/>
        </w:rPr>
        <w:t>id.</w:t>
      </w:r>
      <w:r w:rsidRPr="00E848A3">
        <w:t xml:space="preserve"> § 60504(c) (emphasis added).</w:t>
      </w:r>
    </w:p>
  </w:footnote>
  <w:footnote w:id="27">
    <w:p w:rsidR="00744B0B" w14:paraId="5873001A" w14:textId="1329FFE3">
      <w:pPr>
        <w:pStyle w:val="FootnoteText"/>
      </w:pPr>
      <w:r>
        <w:rPr>
          <w:rStyle w:val="FootnoteReference"/>
        </w:rPr>
        <w:footnoteRef/>
      </w:r>
      <w:r>
        <w:t xml:space="preserve"> Infrastructure Act § 60504(a). </w:t>
      </w:r>
    </w:p>
  </w:footnote>
  <w:footnote w:id="28">
    <w:p w:rsidR="00744B0B" w14:paraId="7D2BD320" w14:textId="6F9E7B65">
      <w:pPr>
        <w:pStyle w:val="FootnoteText"/>
      </w:pPr>
      <w:r>
        <w:rPr>
          <w:rStyle w:val="FootnoteReference"/>
        </w:rPr>
        <w:footnoteRef/>
      </w:r>
      <w:r>
        <w:t xml:space="preserve"> </w:t>
      </w:r>
      <w:r w:rsidRPr="00B719D7">
        <w:rPr>
          <w:i/>
          <w:iCs/>
        </w:rPr>
        <w:t>See</w:t>
      </w:r>
      <w:r>
        <w:t xml:space="preserve"> transparency rule at </w:t>
      </w:r>
      <w:r w:rsidRPr="00820C18">
        <w:t>47 CFR §</w:t>
      </w:r>
      <w:r>
        <w:t xml:space="preserve"> </w:t>
      </w:r>
      <w:r w:rsidRPr="00820C18">
        <w:t>8.1(a)</w:t>
      </w:r>
      <w:r>
        <w:t>.</w:t>
      </w:r>
    </w:p>
  </w:footnote>
  <w:footnote w:id="29">
    <w:p w:rsidR="00294855" w:rsidP="00294855" w14:paraId="37155782" w14:textId="1B9C4B4B">
      <w:pPr>
        <w:pStyle w:val="FootnoteText"/>
      </w:pPr>
      <w:r>
        <w:rPr>
          <w:rStyle w:val="FootnoteReference"/>
        </w:rPr>
        <w:footnoteRef/>
      </w:r>
      <w:r>
        <w:t xml:space="preserve"> </w:t>
      </w:r>
      <w:r w:rsidRPr="00652E3E">
        <w:rPr>
          <w:i/>
          <w:iCs/>
        </w:rPr>
        <w:t>See</w:t>
      </w:r>
      <w:r>
        <w:t xml:space="preserve"> Letter from Steven F. Morris, Vice President and Deputy General Counsel, NCTA – The Internet and Television Association, to Marlene Dortch, Secretary, FCC, CG Docket No. 22-2, at 1 (filed Jan. </w:t>
      </w:r>
      <w:r w:rsidR="003B2DCF">
        <w:t>21</w:t>
      </w:r>
      <w:r>
        <w:t xml:space="preserve">, 2022) (NCTA </w:t>
      </w:r>
      <w:r w:rsidRPr="00652E3E">
        <w:rPr>
          <w:i/>
          <w:iCs/>
        </w:rPr>
        <w:t xml:space="preserve">Ex </w:t>
      </w:r>
      <w:r w:rsidRPr="00652E3E">
        <w:rPr>
          <w:i/>
          <w:iCs/>
        </w:rPr>
        <w:t>Parte</w:t>
      </w:r>
      <w:r>
        <w:t>).</w:t>
      </w:r>
    </w:p>
  </w:footnote>
  <w:footnote w:id="30">
    <w:p w:rsidR="00D301CE" w14:paraId="095EE5C8" w14:textId="496D40B7">
      <w:pPr>
        <w:pStyle w:val="FootnoteText"/>
      </w:pPr>
      <w:r>
        <w:rPr>
          <w:rStyle w:val="FootnoteReference"/>
        </w:rPr>
        <w:footnoteRef/>
      </w:r>
      <w:r>
        <w:t xml:space="preserve"> </w:t>
      </w:r>
      <w:r w:rsidRPr="00D509B6">
        <w:rPr>
          <w:i/>
          <w:iCs/>
        </w:rPr>
        <w:t>See</w:t>
      </w:r>
      <w:r w:rsidRPr="00D509B6">
        <w:t xml:space="preserve"> Infrastructure Act § 6</w:t>
      </w:r>
      <w:r>
        <w:t>0</w:t>
      </w:r>
      <w:r w:rsidRPr="00D509B6">
        <w:t>504(a) (directing the Commission to require the display of broadband consumer labels “as described in the Public Notice of the Commission issued on April 4, 2016 (DA 16-357)</w:t>
      </w:r>
      <w:r>
        <w:t>. . .</w:t>
      </w:r>
      <w:r w:rsidRPr="00D509B6">
        <w:t>”)</w:t>
      </w:r>
      <w:r>
        <w:t>.</w:t>
      </w:r>
    </w:p>
  </w:footnote>
  <w:footnote w:id="31">
    <w:p w:rsidR="00480AC1" w14:paraId="4071EB51" w14:textId="51CFFBA3">
      <w:pPr>
        <w:pStyle w:val="FootnoteText"/>
      </w:pPr>
      <w:r>
        <w:rPr>
          <w:rStyle w:val="FootnoteReference"/>
        </w:rPr>
        <w:footnoteRef/>
      </w:r>
      <w:r>
        <w:t xml:space="preserve"> </w:t>
      </w:r>
      <w:r w:rsidRPr="002777CF">
        <w:rPr>
          <w:i/>
          <w:iCs/>
        </w:rPr>
        <w:t>See</w:t>
      </w:r>
      <w:r w:rsidRPr="002777CF">
        <w:t xml:space="preserve"> Notice of Office of Management and Budget Action, OMB Control No. 3060-1220 (approved Dec. 15, 2016), </w:t>
      </w:r>
      <w:r w:rsidRPr="002777CF">
        <w:rPr>
          <w:i/>
          <w:iCs/>
        </w:rPr>
        <w:t>available at</w:t>
      </w:r>
      <w:r w:rsidRPr="002777CF">
        <w:t xml:space="preserve"> </w:t>
      </w:r>
      <w:hyperlink r:id="rId3" w:history="1">
        <w:r w:rsidRPr="002777CF">
          <w:rPr>
            <w:rStyle w:val="Hyperlink"/>
          </w:rPr>
          <w:t>https://www.reginfo.gov/public/do/PRAViewICR?ref_nbr=201612-3060-012</w:t>
        </w:r>
      </w:hyperlink>
      <w:r w:rsidRPr="002777CF">
        <w:t xml:space="preserve">; </w:t>
      </w:r>
      <w:r w:rsidRPr="002777CF">
        <w:rPr>
          <w:color w:val="000000"/>
          <w:bdr w:val="none" w:sz="0" w:space="0" w:color="auto" w:frame="1"/>
          <w:shd w:val="clear" w:color="auto" w:fill="FFFFFF"/>
        </w:rPr>
        <w:t>Notice of Office of Management and Budget Action, OMB Control No. 3060-1158 (approved Dec. 15, 2016), </w:t>
      </w:r>
      <w:r w:rsidRPr="002777CF">
        <w:rPr>
          <w:i/>
          <w:iCs/>
          <w:color w:val="000000"/>
          <w:bdr w:val="none" w:sz="0" w:space="0" w:color="auto" w:frame="1"/>
          <w:shd w:val="clear" w:color="auto" w:fill="FFFFFF"/>
        </w:rPr>
        <w:t>available at </w:t>
      </w:r>
      <w:hyperlink r:id="rId4" w:tgtFrame="_blank" w:history="1">
        <w:r w:rsidRPr="002777CF">
          <w:rPr>
            <w:rStyle w:val="Hyperlink"/>
            <w:bdr w:val="none" w:sz="0" w:space="0" w:color="auto" w:frame="1"/>
            <w:shd w:val="clear" w:color="auto" w:fill="FFFFFF"/>
          </w:rPr>
          <w:t>https://www.reginfo.gov/public/do/PRAViewICR?ref_nbr=201608-3060-005</w:t>
        </w:r>
      </w:hyperlink>
      <w:r w:rsidRPr="002777CF">
        <w:rPr>
          <w:color w:val="000000"/>
          <w:bdr w:val="none" w:sz="0" w:space="0" w:color="auto" w:frame="1"/>
          <w:shd w:val="clear" w:color="auto" w:fill="FFFFFF"/>
        </w:rPr>
        <w:t xml:space="preserve"> </w:t>
      </w:r>
      <w:r w:rsidRPr="002777CF">
        <w:t>(approving reporting obligations for fixed and mobile broadband but noting that packet loss will not be a required performance metric for mobile disclosure).</w:t>
      </w:r>
      <w:r>
        <w:t xml:space="preserve">  </w:t>
      </w:r>
    </w:p>
  </w:footnote>
  <w:footnote w:id="32">
    <w:p w:rsidR="00744B0B" w:rsidP="002777CF" w14:paraId="45E5A639" w14:textId="0364574A">
      <w:pPr>
        <w:pStyle w:val="FootnoteText"/>
      </w:pPr>
      <w:r>
        <w:rPr>
          <w:rStyle w:val="FootnoteReference"/>
        </w:rPr>
        <w:footnoteRef/>
      </w:r>
      <w:r>
        <w:t xml:space="preserve"> </w:t>
      </w:r>
      <w:r w:rsidRPr="00CB098E">
        <w:rPr>
          <w:i/>
          <w:iCs/>
        </w:rPr>
        <w:t>Id.</w:t>
      </w:r>
      <w:r>
        <w:t xml:space="preserve"> § 6504(b)(1).</w:t>
      </w:r>
    </w:p>
  </w:footnote>
  <w:footnote w:id="33">
    <w:p w:rsidR="00744B0B" w14:paraId="66E5A05A" w14:textId="512DE11E">
      <w:pPr>
        <w:pStyle w:val="FootnoteText"/>
      </w:pPr>
      <w:r>
        <w:rPr>
          <w:rStyle w:val="FootnoteReference"/>
        </w:rPr>
        <w:footnoteRef/>
      </w:r>
      <w:r>
        <w:t xml:space="preserve"> </w:t>
      </w:r>
      <w:r w:rsidRPr="00237242">
        <w:rPr>
          <w:i/>
          <w:iCs/>
        </w:rPr>
        <w:t>Restoring Internet Freedom Order</w:t>
      </w:r>
      <w:r>
        <w:t xml:space="preserve">, 33 FCC </w:t>
      </w:r>
      <w:r>
        <w:t>Rcd</w:t>
      </w:r>
      <w:r>
        <w:t xml:space="preserve"> at 440, para. 220.</w:t>
      </w:r>
    </w:p>
  </w:footnote>
  <w:footnote w:id="34">
    <w:p w:rsidR="00744B0B" w:rsidP="0025468F" w14:paraId="6F25F2C1" w14:textId="12AA1B38">
      <w:pPr>
        <w:pStyle w:val="FootnoteText"/>
      </w:pPr>
      <w:r>
        <w:rPr>
          <w:rStyle w:val="FootnoteReference"/>
        </w:rPr>
        <w:footnoteRef/>
      </w:r>
      <w:r>
        <w:t xml:space="preserve"> </w:t>
      </w:r>
      <w:r w:rsidRPr="00FD602E">
        <w:rPr>
          <w:color w:val="000000" w:themeColor="text1"/>
        </w:rPr>
        <w:t xml:space="preserve">The Infrastructure </w:t>
      </w:r>
      <w:r w:rsidRPr="006540E4">
        <w:rPr>
          <w:color w:val="000000" w:themeColor="text1"/>
        </w:rPr>
        <w:t xml:space="preserve">Act extends and modifies the Commission’s </w:t>
      </w:r>
      <w:r>
        <w:rPr>
          <w:color w:val="000000" w:themeColor="text1"/>
        </w:rPr>
        <w:t xml:space="preserve">existing </w:t>
      </w:r>
      <w:r w:rsidRPr="006540E4">
        <w:rPr>
          <w:color w:val="000000" w:themeColor="text1"/>
        </w:rPr>
        <w:t>Emergency Broadband Benefit Program to a longer-term broadband affordability program called the Affordable Connectivity Program (ACP).</w:t>
      </w:r>
      <w:r>
        <w:rPr>
          <w:color w:val="000000" w:themeColor="text1"/>
        </w:rPr>
        <w:t xml:space="preserve">  </w:t>
      </w:r>
      <w:r w:rsidRPr="000F3A9D">
        <w:rPr>
          <w:i/>
          <w:iCs/>
          <w:color w:val="000000" w:themeColor="text1"/>
        </w:rPr>
        <w:t>See</w:t>
      </w:r>
      <w:r>
        <w:rPr>
          <w:color w:val="000000" w:themeColor="text1"/>
        </w:rPr>
        <w:t xml:space="preserve"> </w:t>
      </w:r>
      <w:r>
        <w:t xml:space="preserve">Infrastructure Act, div. F, tit. V, secs. 60501, 60502(a)-(b); </w:t>
      </w:r>
      <w:r w:rsidRPr="00804700">
        <w:rPr>
          <w:i/>
          <w:iCs/>
        </w:rPr>
        <w:t>FCC Seeks Comment on the New Affordable Connectivity Program</w:t>
      </w:r>
      <w:r>
        <w:t>, WC Docket No. 21-450, Public Notice, DA 21-1453 (WCB 2021) (</w:t>
      </w:r>
      <w:r w:rsidRPr="00804700">
        <w:rPr>
          <w:i/>
          <w:iCs/>
        </w:rPr>
        <w:t>Affordable Connectivity Program Public Notice</w:t>
      </w:r>
      <w:r>
        <w:t>).</w:t>
      </w:r>
    </w:p>
  </w:footnote>
  <w:footnote w:id="35">
    <w:p w:rsidR="00744B0B" w:rsidP="00AF400C" w14:paraId="5954E97C" w14:textId="77777777">
      <w:pPr>
        <w:pStyle w:val="FootnoteText"/>
      </w:pPr>
      <w:r>
        <w:rPr>
          <w:rStyle w:val="FootnoteReference"/>
        </w:rPr>
        <w:footnoteRef/>
      </w:r>
      <w:r>
        <w:t xml:space="preserve"> </w:t>
      </w:r>
      <w:r w:rsidRPr="002E35C8">
        <w:t>Infrastructure Act, div. F, tit. V, sec. 60502(a)(3)(B),</w:t>
      </w:r>
      <w:r w:rsidRPr="004A3A3F">
        <w:t xml:space="preserve"> </w:t>
      </w:r>
      <w:r w:rsidRPr="002E35C8">
        <w:rPr>
          <w:color w:val="212121"/>
        </w:rPr>
        <w:t>§ 904(b)(10)(A)</w:t>
      </w:r>
      <w:r>
        <w:rPr>
          <w:color w:val="212121"/>
        </w:rPr>
        <w:t xml:space="preserve"> (2021).</w:t>
      </w:r>
    </w:p>
  </w:footnote>
  <w:footnote w:id="36">
    <w:p w:rsidR="00744B0B" w:rsidRPr="009103B4" w:rsidP="00AF400C" w14:paraId="298E0F51" w14:textId="2C6D9381">
      <w:pPr>
        <w:pStyle w:val="FootnoteText"/>
      </w:pPr>
      <w:r>
        <w:rPr>
          <w:rStyle w:val="FootnoteReference"/>
        </w:rPr>
        <w:footnoteRef/>
      </w:r>
      <w:r>
        <w:t xml:space="preserve"> </w:t>
      </w:r>
      <w:r w:rsidRPr="005032A1">
        <w:rPr>
          <w:i/>
          <w:iCs/>
        </w:rPr>
        <w:t>Affordable Connectivity Program Public Notice</w:t>
      </w:r>
      <w:r w:rsidRPr="005032A1">
        <w:t xml:space="preserve"> at paras. 99-105.</w:t>
      </w:r>
    </w:p>
  </w:footnote>
  <w:footnote w:id="37">
    <w:p w:rsidR="00294855" w:rsidP="00294855" w14:paraId="529D1E7A" w14:textId="77777777">
      <w:pPr>
        <w:pStyle w:val="FootnoteText"/>
      </w:pPr>
      <w:r>
        <w:rPr>
          <w:rStyle w:val="FootnoteReference"/>
        </w:rPr>
        <w:footnoteRef/>
      </w:r>
      <w:r>
        <w:t xml:space="preserve"> </w:t>
      </w:r>
      <w:r w:rsidRPr="00652E3E">
        <w:rPr>
          <w:i/>
          <w:iCs/>
        </w:rPr>
        <w:t>See</w:t>
      </w:r>
      <w:r>
        <w:t xml:space="preserve"> NCTA </w:t>
      </w:r>
      <w:r w:rsidRPr="00652E3E">
        <w:rPr>
          <w:i/>
          <w:iCs/>
        </w:rPr>
        <w:t xml:space="preserve">Ex </w:t>
      </w:r>
      <w:r w:rsidRPr="00652E3E">
        <w:rPr>
          <w:i/>
          <w:iCs/>
        </w:rPr>
        <w:t>Parte</w:t>
      </w:r>
      <w:r>
        <w:t xml:space="preserve"> at 1.</w:t>
      </w:r>
    </w:p>
  </w:footnote>
  <w:footnote w:id="38">
    <w:p w:rsidR="00E9418A" w14:paraId="16CE3709" w14:textId="2A33E725">
      <w:pPr>
        <w:pStyle w:val="FootnoteText"/>
      </w:pPr>
      <w:r>
        <w:rPr>
          <w:rStyle w:val="FootnoteReference"/>
        </w:rPr>
        <w:footnoteRef/>
      </w:r>
      <w:r>
        <w:t xml:space="preserve"> </w:t>
      </w:r>
      <w:r w:rsidRPr="00D509B6">
        <w:rPr>
          <w:szCs w:val="16"/>
        </w:rPr>
        <w:t xml:space="preserve">For example, pursuant to the 1988 Fair Credit and Credit Card Disclosure Act amending the 1968 Truth-in-Lending Act, credit card companies must list, on all solicitations, long-term interest rates in at least 18-point type and all other rates, terms and conditions in at least 12-point type.  All credit card companies use the same format, making it easier for consumers to compare rates offered by various companies.  </w:t>
      </w:r>
      <w:r w:rsidRPr="00D509B6">
        <w:rPr>
          <w:i/>
          <w:szCs w:val="16"/>
        </w:rPr>
        <w:t>See</w:t>
      </w:r>
      <w:r w:rsidRPr="00D509B6">
        <w:rPr>
          <w:szCs w:val="16"/>
        </w:rPr>
        <w:t xml:space="preserve"> Fair Credit and Credit Card Disclosure Act, Pub. L. 100-583, 102 Stat. 2960, amending the 1968 Truth-in-Lending Act, 15 U.S.C. § 1601-1677(f).  Congress also amended the Truth-in-Lending Act to require enhanced consumer disclosures on credit card billing statements.  </w:t>
      </w:r>
      <w:r w:rsidRPr="00D509B6">
        <w:rPr>
          <w:i/>
          <w:szCs w:val="16"/>
        </w:rPr>
        <w:t>See</w:t>
      </w:r>
      <w:r w:rsidRPr="00D509B6">
        <w:rPr>
          <w:szCs w:val="16"/>
        </w:rPr>
        <w:t xml:space="preserve"> Credit Card Accountability Responsibility and Disclosure Act of 2009, Pub.</w:t>
      </w:r>
      <w:r>
        <w:rPr>
          <w:szCs w:val="16"/>
        </w:rPr>
        <w:t xml:space="preserve"> </w:t>
      </w:r>
      <w:r w:rsidRPr="00D509B6">
        <w:rPr>
          <w:szCs w:val="16"/>
        </w:rPr>
        <w:t>L. 111-24, 123 Stat. 1743-47.  Similarly, the Automobile Information Disclosure Act requires automobile manufacturers to disclose on a label affixed to the car safety ratings information, including “information describing the nature and meaning of the crash test data presented” as well as a “graphic depiction” of the safety rating.  The information must be presented in a “legible, visible, and prominent fashion” constituting at least 8</w:t>
      </w:r>
      <w:r>
        <w:rPr>
          <w:szCs w:val="16"/>
        </w:rPr>
        <w:t>%</w:t>
      </w:r>
      <w:r w:rsidRPr="00D509B6">
        <w:rPr>
          <w:szCs w:val="16"/>
        </w:rPr>
        <w:t xml:space="preserve"> of the total area of the label, or other specified dimensions.  </w:t>
      </w:r>
      <w:r w:rsidRPr="00D509B6">
        <w:rPr>
          <w:i/>
          <w:szCs w:val="16"/>
        </w:rPr>
        <w:t>See</w:t>
      </w:r>
      <w:r w:rsidRPr="00D509B6">
        <w:rPr>
          <w:szCs w:val="16"/>
        </w:rPr>
        <w:t xml:space="preserve"> Automobile Information Disclosure Act, 15 U.S.C. § 1232(g); Safe, Accountable, Flexible, Efficient Transportation Equity Act: A Legacy for Users, Pub. L. 109-59, 119 Stat. 1941-42.</w:t>
      </w:r>
    </w:p>
  </w:footnote>
  <w:footnote w:id="39">
    <w:p w:rsidR="00744B0B" w:rsidRPr="00D12124" w14:paraId="27BDC9C2" w14:textId="3B70E431">
      <w:pPr>
        <w:pStyle w:val="FootnoteText"/>
      </w:pPr>
      <w:r>
        <w:rPr>
          <w:rStyle w:val="FootnoteReference"/>
        </w:rPr>
        <w:footnoteRef/>
      </w:r>
      <w:r>
        <w:t xml:space="preserve"> </w:t>
      </w:r>
      <w:r w:rsidRPr="00744B0B">
        <w:t xml:space="preserve">The OPEN Government Data Act, of 2018, Pub. L. No. 115-435 (2019) §§ 201-202, Title II of the Foundations for Evidence-Based Policymaking Act, requires </w:t>
      </w:r>
      <w:r w:rsidRPr="006E2EA4">
        <w:t xml:space="preserve">agencies to use a machine-readable format when making data publicly available.  </w:t>
      </w:r>
      <w:r w:rsidRPr="006E2EA4">
        <w:rPr>
          <w:i/>
          <w:iCs/>
        </w:rPr>
        <w:t>See</w:t>
      </w:r>
      <w:r w:rsidRPr="00744B0B">
        <w:t xml:space="preserve"> 44 U.S.C. § 3506(b)(6); </w:t>
      </w:r>
      <w:r w:rsidRPr="00275EE9">
        <w:rPr>
          <w:i/>
          <w:iCs/>
        </w:rPr>
        <w:t>id.</w:t>
      </w:r>
      <w:r w:rsidRPr="00744B0B">
        <w:t xml:space="preserve"> §§ 3502(17), (20), (22) (defining “data asset,” “open Governmen</w:t>
      </w:r>
      <w:r w:rsidRPr="006E2EA4">
        <w:t xml:space="preserve">t data asset,” and “public data asset”). The term “machine-readable,” when used with respect to data, means “data in a format that can be easily processed by a computer without human intervention while ensuring no semantic meaning is lost.”  </w:t>
      </w:r>
      <w:r w:rsidRPr="00275EE9">
        <w:rPr>
          <w:i/>
          <w:iCs/>
        </w:rPr>
        <w:t>Id.</w:t>
      </w:r>
      <w:r w:rsidRPr="00744B0B">
        <w:t xml:space="preserve"> § 3502(18).  </w:t>
      </w:r>
      <w:r w:rsidRPr="00275EE9">
        <w:rPr>
          <w:i/>
        </w:rPr>
        <w:t xml:space="preserve">See also </w:t>
      </w:r>
      <w:r w:rsidRPr="00275EE9">
        <w:t xml:space="preserve">Infrastructure Act § 60504(b)(2) (FCC “shall rely on the price information displayed on the broadband consumer label . . . for any collection of data relating to the price and subscription rates . . . under section 60502(c)”); </w:t>
      </w:r>
      <w:r w:rsidRPr="00275EE9">
        <w:rPr>
          <w:i/>
        </w:rPr>
        <w:t>id.</w:t>
      </w:r>
      <w:r w:rsidRPr="00275EE9">
        <w:t xml:space="preserve"> §§ 60502(c)(4) (data collected under subsection (c)(1) must be made publicly available “in a commonly used electronic format.”). </w:t>
      </w:r>
    </w:p>
  </w:footnote>
  <w:footnote w:id="40">
    <w:p w:rsidR="00744B0B" w:rsidRPr="00F50CB9" w:rsidP="00AB6C2D" w14:paraId="47253028" w14:textId="641C77AE">
      <w:pPr>
        <w:pStyle w:val="FootnoteText"/>
      </w:pPr>
      <w:r>
        <w:rPr>
          <w:rStyle w:val="FootnoteReference"/>
        </w:rPr>
        <w:footnoteRef/>
      </w:r>
      <w:r>
        <w:t xml:space="preserve"> Infrastructure Act § 60502(c)(1).</w:t>
      </w:r>
    </w:p>
  </w:footnote>
  <w:footnote w:id="41">
    <w:p w:rsidR="00744B0B" w:rsidP="00AB6C2D" w14:paraId="78B53C4E" w14:textId="74EF1094">
      <w:pPr>
        <w:pStyle w:val="FootnoteText"/>
      </w:pPr>
      <w:r>
        <w:rPr>
          <w:rStyle w:val="FootnoteReference"/>
        </w:rPr>
        <w:footnoteRef/>
      </w:r>
      <w:r>
        <w:t xml:space="preserve"> </w:t>
      </w:r>
      <w:r w:rsidRPr="00275EE9">
        <w:rPr>
          <w:i/>
          <w:iCs/>
        </w:rPr>
        <w:t>Id.</w:t>
      </w:r>
      <w:r>
        <w:t xml:space="preserve"> § 60504(b)(2). </w:t>
      </w:r>
    </w:p>
  </w:footnote>
  <w:footnote w:id="42">
    <w:p w:rsidR="00744B0B" w14:paraId="4955F2EF" w14:textId="78853D40">
      <w:pPr>
        <w:pStyle w:val="FootnoteText"/>
      </w:pPr>
      <w:r>
        <w:rPr>
          <w:rStyle w:val="FootnoteReference"/>
        </w:rPr>
        <w:footnoteRef/>
      </w:r>
      <w:r>
        <w:t xml:space="preserve"> </w:t>
      </w:r>
      <w:r w:rsidRPr="00481317">
        <w:rPr>
          <w:i/>
          <w:iCs/>
        </w:rPr>
        <w:t>2015 Open Internet Order</w:t>
      </w:r>
      <w:r>
        <w:t xml:space="preserve">, 30 FCC </w:t>
      </w:r>
      <w:r>
        <w:t>Rcd</w:t>
      </w:r>
      <w:r>
        <w:t xml:space="preserve"> at 5680, para. 180. </w:t>
      </w:r>
    </w:p>
  </w:footnote>
  <w:footnote w:id="43">
    <w:p w:rsidR="00A15132" w14:paraId="4C19B7F9" w14:textId="16D8D919">
      <w:pPr>
        <w:pStyle w:val="FootnoteText"/>
      </w:pPr>
      <w:r>
        <w:rPr>
          <w:rStyle w:val="FootnoteReference"/>
        </w:rPr>
        <w:footnoteRef/>
      </w:r>
      <w:r>
        <w:t xml:space="preserve"> </w:t>
      </w:r>
      <w:r w:rsidRPr="00D509B6">
        <w:t>For information distributed in print, the CAC stated, “</w:t>
      </w:r>
      <w:r w:rsidRPr="00D509B6">
        <w:rPr>
          <w:lang w:eastAsia="ja-JP"/>
        </w:rPr>
        <w:t xml:space="preserve">[w]hen providing the Broadband Consumer Disclosure in print form at retail locations, participating broadband providers are expected to follow the ADA and associated guidance provided by the Department of Justice, including giving primary consideration to the individual’s choice of alternate format, including </w:t>
      </w:r>
      <w:r>
        <w:rPr>
          <w:lang w:eastAsia="ja-JP"/>
        </w:rPr>
        <w:t>‘[</w:t>
      </w:r>
      <w:r w:rsidRPr="00D509B6">
        <w:rPr>
          <w:lang w:eastAsia="ja-JP"/>
        </w:rPr>
        <w:t>q</w:t>
      </w:r>
      <w:r>
        <w:rPr>
          <w:lang w:eastAsia="ja-JP"/>
        </w:rPr>
        <w:t>]</w:t>
      </w:r>
      <w:r w:rsidRPr="00D509B6">
        <w:rPr>
          <w:lang w:eastAsia="ja-JP"/>
        </w:rPr>
        <w:t>ualified</w:t>
      </w:r>
      <w:r w:rsidRPr="00D509B6">
        <w:rPr>
          <w:lang w:eastAsia="ja-JP"/>
        </w:rPr>
        <w:t xml:space="preserve"> readers, taped texts, audio recordings, </w:t>
      </w:r>
      <w:r w:rsidRPr="00D509B6">
        <w:rPr>
          <w:lang w:eastAsia="ja-JP"/>
        </w:rPr>
        <w:t>Brailled</w:t>
      </w:r>
      <w:r w:rsidRPr="00D509B6">
        <w:rPr>
          <w:lang w:eastAsia="ja-JP"/>
        </w:rPr>
        <w:t xml:space="preserve"> materials, large print materials, or other effective methods of making visually delivered materials available to individuals with visual impairments</w:t>
      </w:r>
      <w:r>
        <w:rPr>
          <w:lang w:eastAsia="ja-JP"/>
        </w:rPr>
        <w:t>’</w:t>
      </w:r>
      <w:r w:rsidRPr="00D509B6">
        <w:rPr>
          <w:lang w:eastAsia="ja-JP"/>
        </w:rPr>
        <w:t xml:space="preserve">” </w:t>
      </w:r>
      <w:r>
        <w:rPr>
          <w:lang w:eastAsia="ja-JP"/>
        </w:rPr>
        <w:t xml:space="preserve">(citing </w:t>
      </w:r>
      <w:r w:rsidRPr="00D509B6">
        <w:rPr>
          <w:lang w:eastAsia="ja-JP"/>
        </w:rPr>
        <w:t xml:space="preserve">28 CFR </w:t>
      </w:r>
      <w:r>
        <w:rPr>
          <w:lang w:eastAsia="ja-JP"/>
        </w:rPr>
        <w:t>§</w:t>
      </w:r>
      <w:r w:rsidRPr="00D509B6">
        <w:rPr>
          <w:lang w:eastAsia="ja-JP"/>
        </w:rPr>
        <w:t xml:space="preserve">. 36.303, at </w:t>
      </w:r>
      <w:r w:rsidRPr="00904395">
        <w:rPr>
          <w:lang w:eastAsia="ja-JP"/>
        </w:rPr>
        <w:t>https://www.ada.gov/reg3a.html#Anchor-97857</w:t>
      </w:r>
      <w:r>
        <w:rPr>
          <w:color w:val="0B4CB4"/>
          <w:lang w:eastAsia="ja-JP"/>
        </w:rPr>
        <w:t>)</w:t>
      </w:r>
      <w:r w:rsidRPr="00D509B6">
        <w:rPr>
          <w:lang w:eastAsia="ja-JP"/>
        </w:rPr>
        <w:t xml:space="preserve">.  A provider may deliver printed materials to a consumer by e-mail if such an approach is acceptable to the consumer.  The CAC also referenced The American Printing House for the Blind’s (APH) print guidelines as the most concise and relevant set of recommendations for readable design: </w:t>
      </w:r>
      <w:hyperlink r:id="rId5" w:history="1">
        <w:r w:rsidRPr="009A39C0">
          <w:rPr>
            <w:rStyle w:val="Hyperlink"/>
            <w:lang w:eastAsia="ja-JP"/>
          </w:rPr>
          <w:t>http://www.aph.org/research/desig</w:t>
        </w:r>
        <w:bookmarkStart w:id="30" w:name="_Hlt88133110"/>
        <w:bookmarkEnd w:id="30"/>
        <w:r w:rsidRPr="009A39C0">
          <w:rPr>
            <w:rStyle w:val="Hyperlink"/>
            <w:lang w:eastAsia="ja-JP"/>
          </w:rPr>
          <w:t>n-guidelines</w:t>
        </w:r>
      </w:hyperlink>
      <w:r w:rsidRPr="00D509B6">
        <w:rPr>
          <w:color w:val="0B4CB4"/>
          <w:lang w:eastAsia="ja-JP"/>
        </w:rPr>
        <w:t xml:space="preserve"> </w:t>
      </w:r>
      <w:r w:rsidRPr="00D509B6">
        <w:rPr>
          <w:lang w:eastAsia="ja-JP"/>
        </w:rPr>
        <w:t xml:space="preserve">(noting the APH Guidelines cover the effective usage of whitespace, heading elements, tables, and more), along with The National Federation of the Blind, which has helpful information about preparing documents in </w:t>
      </w:r>
      <w:r>
        <w:rPr>
          <w:lang w:eastAsia="ja-JP"/>
        </w:rPr>
        <w:t>B</w:t>
      </w:r>
      <w:r w:rsidRPr="00D509B6">
        <w:rPr>
          <w:lang w:eastAsia="ja-JP"/>
        </w:rPr>
        <w:t xml:space="preserve">raille at </w:t>
      </w:r>
      <w:hyperlink r:id="rId6" w:history="1">
        <w:r w:rsidRPr="00275EE9">
          <w:rPr>
            <w:rStyle w:val="Hyperlink"/>
          </w:rPr>
          <w:t>https://nf</w:t>
        </w:r>
        <w:bookmarkStart w:id="31" w:name="_Hlt88133159"/>
        <w:bookmarkEnd w:id="31"/>
        <w:r w:rsidRPr="00275EE9">
          <w:rPr>
            <w:rStyle w:val="Hyperlink"/>
          </w:rPr>
          <w:t>b.org/braille-resources</w:t>
        </w:r>
      </w:hyperlink>
      <w:r w:rsidRPr="00882E40">
        <w:rPr>
          <w:lang w:eastAsia="ja-JP"/>
        </w:rPr>
        <w:t>.</w:t>
      </w:r>
    </w:p>
  </w:footnote>
  <w:footnote w:id="44">
    <w:p w:rsidR="00744B0B" w:rsidP="00A836F8" w14:paraId="01548492" w14:textId="195FCA69">
      <w:pPr>
        <w:pStyle w:val="FootnoteText"/>
      </w:pPr>
      <w:r>
        <w:rPr>
          <w:rStyle w:val="FootnoteReference"/>
        </w:rPr>
        <w:footnoteRef/>
      </w:r>
      <w:r>
        <w:t xml:space="preserve"> </w:t>
      </w:r>
      <w:r w:rsidRPr="00D509B6">
        <w:t xml:space="preserve">The CAC cited </w:t>
      </w:r>
      <w:r w:rsidRPr="00D509B6">
        <w:rPr>
          <w:lang w:eastAsia="ja-JP"/>
        </w:rPr>
        <w:t>The World Wide Web Consortium (W3C) as having established the Web Content Accessibility Guidelines (WCAG) and stated that “[t]</w:t>
      </w:r>
      <w:r w:rsidRPr="00D509B6">
        <w:rPr>
          <w:lang w:eastAsia="ja-JP"/>
        </w:rPr>
        <w:t>hese</w:t>
      </w:r>
      <w:r w:rsidRPr="00D509B6">
        <w:rPr>
          <w:lang w:eastAsia="ja-JP"/>
        </w:rPr>
        <w:t xml:space="preserve"> guidelines are intended to serve as a standard for web content accessibility that meets the needs of individuals, organizations, and governments internationally. </w:t>
      </w:r>
      <w:r>
        <w:rPr>
          <w:lang w:eastAsia="ja-JP"/>
        </w:rPr>
        <w:t xml:space="preserve"> </w:t>
      </w:r>
      <w:r w:rsidRPr="00D509B6">
        <w:rPr>
          <w:lang w:eastAsia="ja-JP"/>
        </w:rPr>
        <w:t>Participating providers are strongly encouraged to consult WCAG 2.0 for guidance on presentation of the Broadband Consumer Disclosure on their web sites.”</w:t>
      </w:r>
      <w:r>
        <w:rPr>
          <w:lang w:eastAsia="ja-JP"/>
        </w:rPr>
        <w:t xml:space="preserve">  </w:t>
      </w:r>
      <w:r w:rsidRPr="00037418">
        <w:rPr>
          <w:i/>
        </w:rPr>
        <w:t xml:space="preserve">See </w:t>
      </w:r>
      <w:r w:rsidRPr="00037418">
        <w:t xml:space="preserve">CAC Broadband Label Recommendation at </w:t>
      </w:r>
      <w:r>
        <w:t>7</w:t>
      </w:r>
      <w:r w:rsidRPr="00037418">
        <w:t xml:space="preserve">, </w:t>
      </w:r>
      <w:hyperlink r:id="rId2" w:history="1">
        <w:r w:rsidRPr="00037418">
          <w:rPr>
            <w:rStyle w:val="Hyperlink"/>
          </w:rPr>
          <w:t>https://apps.fcc.gov/edocs_public/attachmatch/DOC-336136A1.pdf</w:t>
        </w:r>
      </w:hyperlink>
      <w:r w:rsidRPr="00037418">
        <w:t>.</w:t>
      </w:r>
      <w:r>
        <w:t xml:space="preserve">  </w:t>
      </w:r>
      <w:r w:rsidRPr="007A26B9">
        <w:t xml:space="preserve">We note that </w:t>
      </w:r>
      <w:r>
        <w:t>the WCAG</w:t>
      </w:r>
      <w:r w:rsidRPr="007A26B9">
        <w:t xml:space="preserve"> guideline</w:t>
      </w:r>
      <w:r>
        <w:t>s</w:t>
      </w:r>
      <w:r w:rsidRPr="007A26B9">
        <w:t xml:space="preserve"> evolve over time</w:t>
      </w:r>
      <w:r>
        <w:t xml:space="preserve">.  </w:t>
      </w:r>
      <w:r>
        <w:rPr>
          <w:i/>
          <w:iCs/>
        </w:rPr>
        <w:t xml:space="preserve">See </w:t>
      </w:r>
      <w:r>
        <w:t xml:space="preserve">WC3 Web Accessibility Initiative, </w:t>
      </w:r>
      <w:r w:rsidRPr="007B0681">
        <w:t>Web Content Accessibility Guidelines (WCAG) Overview</w:t>
      </w:r>
      <w:r>
        <w:t xml:space="preserve">, </w:t>
      </w:r>
      <w:hyperlink r:id="rId7" w:history="1">
        <w:r w:rsidRPr="00E67331">
          <w:rPr>
            <w:rStyle w:val="Hyperlink"/>
            <w:i/>
            <w:iCs/>
          </w:rPr>
          <w:t>https://www.w3.org/WAI/standards-guidelines/wcag/</w:t>
        </w:r>
      </w:hyperlink>
      <w:r>
        <w:rPr>
          <w:i/>
          <w:iCs/>
        </w:rPr>
        <w:t xml:space="preserve"> </w:t>
      </w:r>
      <w:r>
        <w:t>(explaining that WCAG 2.0 was published in Dec. 2008, WCAG 2.1 in June 2018, and WCAG 2.2 scheduled for release in 2021) (last visited Nov. 17, 2021).</w:t>
      </w:r>
    </w:p>
  </w:footnote>
  <w:footnote w:id="45">
    <w:p w:rsidR="00744B0B" w14:paraId="4DE19BC9" w14:textId="284E768A">
      <w:pPr>
        <w:pStyle w:val="FootnoteText"/>
      </w:pPr>
      <w:r>
        <w:rPr>
          <w:rStyle w:val="FootnoteReference"/>
        </w:rPr>
        <w:footnoteRef/>
      </w:r>
      <w:r>
        <w:t xml:space="preserve"> 47 CFR § 8.1.</w:t>
      </w:r>
    </w:p>
  </w:footnote>
  <w:footnote w:id="46">
    <w:p w:rsidR="00744B0B" w14:paraId="0E1F41D5" w14:textId="5AF4BA5B">
      <w:pPr>
        <w:pStyle w:val="FootnoteText"/>
      </w:pPr>
      <w:r>
        <w:rPr>
          <w:rStyle w:val="FootnoteReference"/>
        </w:rPr>
        <w:footnoteRef/>
      </w:r>
      <w:r>
        <w:t xml:space="preserve"> </w:t>
      </w:r>
      <w:r w:rsidRPr="00AB5D93">
        <w:rPr>
          <w:i/>
          <w:iCs/>
        </w:rPr>
        <w:t>Id.</w:t>
      </w:r>
      <w:r>
        <w:t xml:space="preserve"> § 8.1(a).</w:t>
      </w:r>
    </w:p>
  </w:footnote>
  <w:footnote w:id="47">
    <w:p w:rsidR="00744B0B" w:rsidP="00635E99" w14:paraId="7EFFE46C" w14:textId="19D23661">
      <w:pPr>
        <w:pStyle w:val="FootnoteText"/>
      </w:pPr>
      <w:r>
        <w:rPr>
          <w:rStyle w:val="FootnoteReference"/>
        </w:rPr>
        <w:footnoteRef/>
      </w:r>
      <w:r>
        <w:t xml:space="preserve"> </w:t>
      </w:r>
      <w:r w:rsidRPr="00206A42">
        <w:rPr>
          <w:i/>
          <w:iCs/>
        </w:rPr>
        <w:t>See 2015 Open Internet Order</w:t>
      </w:r>
      <w:r w:rsidRPr="00206A42">
        <w:t xml:space="preserve">, </w:t>
      </w:r>
      <w:r>
        <w:t>30</w:t>
      </w:r>
      <w:r w:rsidRPr="00206A42">
        <w:t xml:space="preserve"> FCC </w:t>
      </w:r>
      <w:r w:rsidRPr="00206A42">
        <w:t>Rcd</w:t>
      </w:r>
      <w:r w:rsidRPr="00206A42">
        <w:t xml:space="preserve"> at </w:t>
      </w:r>
      <w:r>
        <w:t>5705-5720</w:t>
      </w:r>
      <w:r w:rsidRPr="00206A42">
        <w:t xml:space="preserve">, paras. </w:t>
      </w:r>
      <w:r>
        <w:t>228-272</w:t>
      </w:r>
      <w:r w:rsidRPr="00206A42">
        <w:t xml:space="preserve"> (</w:t>
      </w:r>
      <w:r>
        <w:t>designing an enforcement process for the open Internet rules);</w:t>
      </w:r>
      <w:r w:rsidRPr="00206A42">
        <w:t xml:space="preserve"> </w:t>
      </w:r>
      <w:r>
        <w:rPr>
          <w:i/>
          <w:iCs/>
        </w:rPr>
        <w:t>s</w:t>
      </w:r>
      <w:r w:rsidRPr="00206A42">
        <w:rPr>
          <w:i/>
          <w:iCs/>
        </w:rPr>
        <w:t>ee</w:t>
      </w:r>
      <w:r>
        <w:rPr>
          <w:i/>
          <w:iCs/>
        </w:rPr>
        <w:t xml:space="preserve"> also</w:t>
      </w:r>
      <w:r w:rsidRPr="00206A42">
        <w:rPr>
          <w:i/>
          <w:iCs/>
        </w:rPr>
        <w:t xml:space="preserve"> </w:t>
      </w:r>
      <w:r w:rsidRPr="00237242">
        <w:rPr>
          <w:i/>
          <w:iCs/>
        </w:rPr>
        <w:t>Restoring Internet Freedom Order</w:t>
      </w:r>
      <w:r w:rsidRPr="00A253D3">
        <w:t>,</w:t>
      </w:r>
      <w:r w:rsidRPr="00AD24DD">
        <w:rPr>
          <w:i/>
        </w:rPr>
        <w:t xml:space="preserve"> </w:t>
      </w:r>
      <w:r w:rsidRPr="00206A42">
        <w:t xml:space="preserve">33 FCC </w:t>
      </w:r>
      <w:r w:rsidRPr="00206A42">
        <w:t>Rcd</w:t>
      </w:r>
      <w:r w:rsidRPr="00206A42">
        <w:t xml:space="preserve"> at </w:t>
      </w:r>
      <w:r>
        <w:t>488-90</w:t>
      </w:r>
      <w:r w:rsidRPr="00206A42">
        <w:t>, para</w:t>
      </w:r>
      <w:r>
        <w:t>s. 297-303</w:t>
      </w:r>
      <w:r w:rsidRPr="00206A42">
        <w:t xml:space="preserve"> (re</w:t>
      </w:r>
      <w:r>
        <w:t xml:space="preserve">vising the Commission’s enforcement practices adopted in the </w:t>
      </w:r>
      <w:r w:rsidRPr="00337D99">
        <w:rPr>
          <w:i/>
          <w:iCs/>
        </w:rPr>
        <w:t>2015 Open Internet Order</w:t>
      </w:r>
      <w:r>
        <w:t>)</w:t>
      </w:r>
      <w:r w:rsidRPr="00206A42">
        <w:rPr>
          <w:i/>
        </w:rPr>
        <w:t>.</w:t>
      </w:r>
    </w:p>
  </w:footnote>
  <w:footnote w:id="48">
    <w:p w:rsidR="00744B0B" w:rsidP="007F4BE0" w14:paraId="24136327" w14:textId="77777777">
      <w:pPr>
        <w:pStyle w:val="FootnoteText"/>
      </w:pPr>
      <w:r>
        <w:rPr>
          <w:rStyle w:val="FootnoteReference"/>
        </w:rPr>
        <w:footnoteRef/>
      </w:r>
      <w:r>
        <w:t xml:space="preserve"> </w:t>
      </w:r>
      <w:r w:rsidRPr="005411E7">
        <w:t>Section 1 of the Communications Act of 1934</w:t>
      </w:r>
      <w:r>
        <w:t>,</w:t>
      </w:r>
      <w:r w:rsidRPr="005411E7">
        <w:t xml:space="preserve"> as amended</w:t>
      </w:r>
      <w:r>
        <w:t>,</w:t>
      </w:r>
      <w:r w:rsidRPr="005411E7">
        <w:t xml:space="preserve"> provides that the FCC “</w:t>
      </w:r>
      <w:r w:rsidRPr="005411E7">
        <w:t>regulat</w:t>
      </w:r>
      <w:r>
        <w:t>[</w:t>
      </w:r>
      <w:r w:rsidRPr="005411E7">
        <w:t>e</w:t>
      </w:r>
      <w:r>
        <w:t>s]</w:t>
      </w:r>
      <w:r w:rsidRPr="005411E7">
        <w:t xml:space="preserve"> interstate and foreign commerce in communication by wire and radio so as to make </w:t>
      </w:r>
      <w:r>
        <w:t xml:space="preserve">[such service] </w:t>
      </w:r>
      <w:r w:rsidRPr="005411E7">
        <w:t xml:space="preserve">available, so far as possible, to all the people of the United States, without discrimination on the basis of race, color, religion, national origin, or sex.”  </w:t>
      </w:r>
      <w:r>
        <w:t>47 U.S.C. § 151.</w:t>
      </w:r>
    </w:p>
  </w:footnote>
  <w:footnote w:id="49">
    <w:p w:rsidR="00744B0B" w:rsidRPr="005411E7" w:rsidP="007F4BE0" w14:paraId="16CFA184" w14:textId="77777777">
      <w:pPr>
        <w:pStyle w:val="FootnoteText"/>
      </w:pPr>
      <w:r>
        <w:rPr>
          <w:rStyle w:val="FootnoteReference"/>
        </w:rPr>
        <w:footnoteRef/>
      </w:r>
      <w:r>
        <w:t xml:space="preserve"> T</w:t>
      </w:r>
      <w:r w:rsidRPr="005411E7">
        <w:t xml:space="preserve">he term “equity” </w:t>
      </w:r>
      <w:r>
        <w:t xml:space="preserve">is used here </w:t>
      </w:r>
      <w:r w:rsidRPr="005411E7">
        <w:t xml:space="preserve">consistent with Executive Order 13985 as the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 </w:t>
      </w:r>
      <w:r>
        <w:t xml:space="preserve"> </w:t>
      </w:r>
      <w:r>
        <w:rPr>
          <w:i/>
          <w:iCs/>
        </w:rPr>
        <w:t>See</w:t>
      </w:r>
      <w:r>
        <w:t xml:space="preserve"> Exec. Order No. 13985, 86 Fed. Reg. 7009, Executive Order on Advancing Racial Equity and Support for Underserved Communities Through the Federal Government (January 20, 2021).</w:t>
      </w:r>
    </w:p>
  </w:footnote>
  <w:footnote w:id="50">
    <w:p w:rsidR="00744B0B" w14:paraId="17DD7268" w14:textId="77777777">
      <w:pPr>
        <w:pStyle w:val="FootnoteText"/>
      </w:pPr>
      <w:r>
        <w:rPr>
          <w:rStyle w:val="FootnoteReference"/>
        </w:rPr>
        <w:footnoteRef/>
      </w:r>
      <w:r>
        <w:t xml:space="preserve"> Infrastructure Act § 60506(b).</w:t>
      </w:r>
    </w:p>
  </w:footnote>
  <w:footnote w:id="51">
    <w:p w:rsidR="00744B0B" w14:paraId="63C3413F" w14:textId="1EA8D516">
      <w:pPr>
        <w:pStyle w:val="FootnoteText"/>
      </w:pPr>
      <w:r>
        <w:rPr>
          <w:rStyle w:val="FootnoteReference"/>
        </w:rPr>
        <w:footnoteRef/>
      </w:r>
      <w:r>
        <w:t xml:space="preserve"> </w:t>
      </w:r>
      <w:r w:rsidRPr="00556D6F">
        <w:rPr>
          <w:i/>
          <w:iCs/>
        </w:rPr>
        <w:t>Verizon v. FCC</w:t>
      </w:r>
      <w:r w:rsidRPr="00556D6F">
        <w:t>, 740 F.3d 623</w:t>
      </w:r>
      <w:r>
        <w:t xml:space="preserve"> </w:t>
      </w:r>
      <w:r w:rsidRPr="00F01612">
        <w:t>(D.C. Cir. 2014)</w:t>
      </w:r>
      <w:r w:rsidRPr="00556D6F">
        <w:t>.</w:t>
      </w:r>
      <w:r>
        <w:t xml:space="preserve">  The D.C. Circuit also upheld the Commission’s broadband transparency rules in 2019.  </w:t>
      </w:r>
      <w:r w:rsidRPr="0080209D">
        <w:rPr>
          <w:i/>
        </w:rPr>
        <w:t>See</w:t>
      </w:r>
      <w:r>
        <w:t xml:space="preserve"> </w:t>
      </w:r>
      <w:r w:rsidRPr="00B66076">
        <w:rPr>
          <w:i/>
          <w:iCs/>
        </w:rPr>
        <w:t xml:space="preserve">Mozilla v. </w:t>
      </w:r>
      <w:r w:rsidRPr="0096620C">
        <w:rPr>
          <w:i/>
          <w:iCs/>
        </w:rPr>
        <w:t>FCC</w:t>
      </w:r>
      <w:r>
        <w:t>, 940</w:t>
      </w:r>
      <w:r w:rsidRPr="00FB315C">
        <w:t xml:space="preserve"> F.3d 1</w:t>
      </w:r>
      <w:r>
        <w:t xml:space="preserve"> (D.C. Cir. 2019).</w:t>
      </w:r>
    </w:p>
  </w:footnote>
  <w:footnote w:id="52">
    <w:p w:rsidR="00744B0B" w:rsidRPr="00EA0508" w14:paraId="6AEAD4AD" w14:textId="69428E7F">
      <w:pPr>
        <w:pStyle w:val="FootnoteText"/>
      </w:pPr>
      <w:r>
        <w:rPr>
          <w:rStyle w:val="FootnoteReference"/>
        </w:rPr>
        <w:footnoteRef/>
      </w:r>
      <w:r>
        <w:t xml:space="preserve"> </w:t>
      </w:r>
      <w:r>
        <w:rPr>
          <w:i/>
        </w:rPr>
        <w:t>Mozilla v FCC</w:t>
      </w:r>
      <w:r>
        <w:t>, 940 F.3d 1, 46-49 (D.C. Cir. 2019).</w:t>
      </w:r>
    </w:p>
  </w:footnote>
  <w:footnote w:id="53">
    <w:p w:rsidR="00744B0B" w:rsidRPr="00EA00A4" w:rsidP="00EA00A4" w14:paraId="23BE6DA6" w14:textId="5D2CFFBB">
      <w:pPr>
        <w:pStyle w:val="FootnoteText"/>
      </w:pPr>
      <w:r>
        <w:rPr>
          <w:rStyle w:val="FootnoteReference"/>
        </w:rPr>
        <w:footnoteRef/>
      </w:r>
      <w:r>
        <w:t xml:space="preserve"> </w:t>
      </w:r>
      <w:r>
        <w:rPr>
          <w:i/>
          <w:iCs/>
        </w:rPr>
        <w:t>See, e.g.</w:t>
      </w:r>
      <w:r>
        <w:t xml:space="preserve">, </w:t>
      </w:r>
      <w:r w:rsidR="00EA00A4">
        <w:rPr>
          <w:i/>
          <w:iCs/>
          <w:snapToGrid w:val="0"/>
        </w:rPr>
        <w:t>Truth-in-Billing and Billing Format</w:t>
      </w:r>
      <w:r w:rsidR="00EA00A4">
        <w:rPr>
          <w:snapToGrid w:val="0"/>
        </w:rPr>
        <w:t xml:space="preserve">, CC Docket No. 98-170, Report and Order and Further Notice of Proposed Rulemaking, 14 FCC </w:t>
      </w:r>
      <w:r w:rsidR="00EA00A4">
        <w:rPr>
          <w:snapToGrid w:val="0"/>
        </w:rPr>
        <w:t>Rcd</w:t>
      </w:r>
      <w:r w:rsidR="00EA00A4">
        <w:rPr>
          <w:snapToGrid w:val="0"/>
        </w:rPr>
        <w:t xml:space="preserve"> 7492, 7530-33, paras. 60-64 (1999)</w:t>
      </w:r>
      <w:r w:rsidR="00294855">
        <w:rPr>
          <w:snapToGrid w:val="0"/>
        </w:rPr>
        <w:t xml:space="preserve"> </w:t>
      </w:r>
      <w:r w:rsidR="00294855">
        <w:t>(rejecting the suggestion that standardized labels would violate the First Amendment)</w:t>
      </w:r>
      <w:r w:rsidR="00EA00A4">
        <w:rPr>
          <w:snapToGrid w:val="0"/>
        </w:rPr>
        <w:t xml:space="preserve">; </w:t>
      </w:r>
      <w:r w:rsidR="00EA00A4">
        <w:rPr>
          <w:i/>
          <w:iCs/>
          <w:snapToGrid w:val="0"/>
        </w:rPr>
        <w:t xml:space="preserve">Empowering Consumers to Prevent and Detect Billing for Unauthorized Charges (“Cramming”), </w:t>
      </w:r>
      <w:r w:rsidR="00EA00A4">
        <w:rPr>
          <w:i/>
          <w:iCs/>
        </w:rPr>
        <w:t>Consumer Information and Disclosure, Truth-in-Billing, and Billing Format</w:t>
      </w:r>
      <w:r w:rsidR="00EA00A4">
        <w:t xml:space="preserve">, CG Docket Nos. 11-116, 09-158, CC Docket No. 98-170, Report and Order and Further Notice of Proposed Rulemaking, 27 FCC </w:t>
      </w:r>
      <w:r w:rsidR="00EA00A4">
        <w:t>Rcd</w:t>
      </w:r>
      <w:r w:rsidR="00EA00A4">
        <w:t xml:space="preserve"> 4436, 4482-84, paras. 129-35 (2012) </w:t>
      </w:r>
      <w:r w:rsidRPr="00C17DC1">
        <w:t xml:space="preserve">(applying </w:t>
      </w:r>
      <w:r w:rsidRPr="0018179A">
        <w:rPr>
          <w:i/>
        </w:rPr>
        <w:t>Zauderer</w:t>
      </w:r>
      <w:r w:rsidRPr="0018179A">
        <w:rPr>
          <w:i/>
        </w:rPr>
        <w:t xml:space="preserve"> v. Office of Disciplinary Counsel, </w:t>
      </w:r>
      <w:r w:rsidRPr="0018179A">
        <w:t>471 U.S. 626 (1985</w:t>
      </w:r>
      <w:r w:rsidR="00294855">
        <w:t>)</w:t>
      </w:r>
      <w:r>
        <w:t xml:space="preserve"> (</w:t>
      </w:r>
      <w:r w:rsidRPr="009F7635">
        <w:rPr>
          <w:i/>
          <w:iCs/>
        </w:rPr>
        <w:t>Zauderer</w:t>
      </w:r>
      <w:r>
        <w:t xml:space="preserve">) </w:t>
      </w:r>
      <w:r w:rsidRPr="00C17DC1">
        <w:t xml:space="preserve">to cramming rules adopted there before going on to find that the rules also satisfy </w:t>
      </w:r>
      <w:r>
        <w:rPr>
          <w:i/>
        </w:rPr>
        <w:t>Cent.</w:t>
      </w:r>
      <w:r w:rsidRPr="00C17DC1">
        <w:rPr>
          <w:i/>
        </w:rPr>
        <w:t xml:space="preserve"> Hudson Gas &amp; </w:t>
      </w:r>
      <w:r>
        <w:rPr>
          <w:i/>
        </w:rPr>
        <w:t>Elec.</w:t>
      </w:r>
      <w:r w:rsidRPr="00C17DC1">
        <w:rPr>
          <w:i/>
        </w:rPr>
        <w:t xml:space="preserve"> Corp. v. </w:t>
      </w:r>
      <w:r>
        <w:rPr>
          <w:i/>
        </w:rPr>
        <w:t>Pub.</w:t>
      </w:r>
      <w:r w:rsidRPr="00C17DC1">
        <w:rPr>
          <w:i/>
        </w:rPr>
        <w:t xml:space="preserve"> </w:t>
      </w:r>
      <w:r>
        <w:rPr>
          <w:i/>
        </w:rPr>
        <w:t>Serv.</w:t>
      </w:r>
      <w:r w:rsidRPr="00C17DC1">
        <w:rPr>
          <w:i/>
        </w:rPr>
        <w:t xml:space="preserve"> </w:t>
      </w:r>
      <w:r>
        <w:rPr>
          <w:i/>
        </w:rPr>
        <w:t>Comm’n</w:t>
      </w:r>
      <w:r w:rsidRPr="00C17DC1">
        <w:rPr>
          <w:i/>
        </w:rPr>
        <w:t xml:space="preserve"> of New York</w:t>
      </w:r>
      <w:r w:rsidRPr="00C17DC1">
        <w:t>, 447 U.S. 557 (1980)</w:t>
      </w:r>
      <w:r>
        <w:t xml:space="preserve"> (</w:t>
      </w:r>
      <w:r w:rsidRPr="009F7635">
        <w:rPr>
          <w:i/>
          <w:iCs/>
        </w:rPr>
        <w:t>Central Hudson</w:t>
      </w:r>
      <w:r>
        <w:t>)</w:t>
      </w:r>
      <w:r w:rsidRPr="00C17DC1">
        <w:t xml:space="preserve"> to the extent that standard applied)</w:t>
      </w:r>
      <w:r>
        <w:t xml:space="preserve">; </w:t>
      </w:r>
      <w:r w:rsidRPr="00237242">
        <w:rPr>
          <w:i/>
          <w:iCs/>
        </w:rPr>
        <w:t>Restoring Internet Freedom Order</w:t>
      </w:r>
      <w:r>
        <w:t xml:space="preserve">, 33 FCC </w:t>
      </w:r>
      <w:r>
        <w:t>Rcd</w:t>
      </w:r>
      <w:r>
        <w:t xml:space="preserve"> at 448-50, paras. 235-38 (concluding that the Commission need not resolve whether </w:t>
      </w:r>
      <w:r>
        <w:rPr>
          <w:i/>
          <w:iCs/>
        </w:rPr>
        <w:t>Zauderer</w:t>
      </w:r>
      <w:r>
        <w:rPr>
          <w:i/>
          <w:iCs/>
        </w:rPr>
        <w:t xml:space="preserve"> </w:t>
      </w:r>
      <w:r>
        <w:t xml:space="preserve">or </w:t>
      </w:r>
      <w:r>
        <w:rPr>
          <w:i/>
          <w:iCs/>
        </w:rPr>
        <w:t>Central Hudson</w:t>
      </w:r>
      <w:r>
        <w:t xml:space="preserve"> applied because the transparency rule satisfied even the </w:t>
      </w:r>
      <w:r>
        <w:rPr>
          <w:i/>
          <w:iCs/>
        </w:rPr>
        <w:t>Central Hudson</w:t>
      </w:r>
      <w:r>
        <w:t xml:space="preserve"> standard</w:t>
      </w:r>
      <w:r w:rsidRPr="00C17DC1">
        <w:t>).</w:t>
      </w:r>
    </w:p>
  </w:footnote>
  <w:footnote w:id="54">
    <w:p w:rsidR="00744B0B" w:rsidRPr="00C17DC1" w:rsidP="006C64A3" w14:paraId="615FABD5" w14:textId="77777777">
      <w:pPr>
        <w:pStyle w:val="FootnoteText"/>
      </w:pPr>
      <w:r w:rsidRPr="00C17DC1">
        <w:rPr>
          <w:rStyle w:val="FootnoteReference"/>
        </w:rPr>
        <w:footnoteRef/>
      </w:r>
      <w:r w:rsidRPr="00C17DC1">
        <w:t xml:space="preserve"> 47 U.S.C. § 201(b).</w:t>
      </w:r>
    </w:p>
  </w:footnote>
  <w:footnote w:id="55">
    <w:p w:rsidR="00744B0B" w:rsidP="009353E6" w14:paraId="5976E6D9" w14:textId="77777777">
      <w:pPr>
        <w:pStyle w:val="FootnoteText"/>
      </w:pPr>
      <w:r>
        <w:rPr>
          <w:rStyle w:val="FootnoteReference"/>
        </w:rPr>
        <w:footnoteRef/>
      </w:r>
      <w:r>
        <w:t xml:space="preserve"> Public Law 104-13.</w:t>
      </w:r>
    </w:p>
  </w:footnote>
  <w:footnote w:id="56">
    <w:p w:rsidR="00744B0B" w:rsidP="009353E6" w14:paraId="564591E2" w14:textId="77777777">
      <w:pPr>
        <w:pStyle w:val="FootnoteText"/>
      </w:pPr>
      <w:r>
        <w:rPr>
          <w:rStyle w:val="FootnoteReference"/>
        </w:rPr>
        <w:footnoteRef/>
      </w:r>
      <w:r>
        <w:t xml:space="preserve"> Public Law 107-198.</w:t>
      </w:r>
    </w:p>
  </w:footnote>
  <w:footnote w:id="57">
    <w:p w:rsidR="00744B0B" w:rsidP="009353E6" w14:paraId="42301169" w14:textId="77777777">
      <w:pPr>
        <w:pStyle w:val="FootnoteText"/>
      </w:pPr>
      <w:r>
        <w:rPr>
          <w:rStyle w:val="FootnoteReference"/>
        </w:rPr>
        <w:footnoteRef/>
      </w:r>
      <w:r>
        <w:t xml:space="preserve"> </w:t>
      </w:r>
      <w:r w:rsidRPr="00DC0864">
        <w:t>44</w:t>
      </w:r>
      <w:r>
        <w:t xml:space="preserve"> U.S.C. § 3506(c)(4).</w:t>
      </w:r>
    </w:p>
  </w:footnote>
  <w:footnote w:id="58">
    <w:p w:rsidR="00744B0B" w:rsidP="003C108D" w14:paraId="3F591501" w14:textId="77777777">
      <w:pPr>
        <w:pStyle w:val="FootnoteText"/>
      </w:pPr>
      <w:r>
        <w:rPr>
          <w:rStyle w:val="FootnoteReference"/>
        </w:rPr>
        <w:footnoteRef/>
      </w:r>
      <w:r>
        <w:t xml:space="preserve"> 5 U.S.C. § 603.</w:t>
      </w:r>
    </w:p>
  </w:footnote>
  <w:footnote w:id="59">
    <w:p w:rsidR="00744B0B" w:rsidRPr="00505929" w:rsidP="003C108D" w14:paraId="5787949D" w14:textId="77777777">
      <w:pPr>
        <w:pStyle w:val="FootnoteText"/>
      </w:pPr>
      <w:r>
        <w:rPr>
          <w:rStyle w:val="FootnoteReference"/>
        </w:rPr>
        <w:footnoteRef/>
      </w:r>
      <w:r>
        <w:t xml:space="preserve"> 47 CFR §§ 1.1200 </w:t>
      </w:r>
      <w:r>
        <w:rPr>
          <w:i/>
          <w:iCs/>
        </w:rPr>
        <w:t>et seq.</w:t>
      </w:r>
    </w:p>
  </w:footnote>
  <w:footnote w:id="60">
    <w:p w:rsidR="00744B0B" w:rsidP="004D6EEA" w14:paraId="11F8A27F" w14:textId="77777777">
      <w:pPr>
        <w:pStyle w:val="FootnoteText"/>
      </w:pPr>
      <w:r>
        <w:rPr>
          <w:rStyle w:val="FootnoteReference"/>
        </w:rPr>
        <w:footnoteRef/>
      </w:r>
      <w:r>
        <w:t xml:space="preserve"> </w:t>
      </w:r>
      <w:r w:rsidRPr="7EAC10BA">
        <w:rPr>
          <w:i/>
          <w:iCs/>
        </w:rPr>
        <w:t>See</w:t>
      </w:r>
      <w:r>
        <w:t xml:space="preserve"> </w:t>
      </w:r>
      <w:r w:rsidRPr="7EAC10BA">
        <w:rPr>
          <w:i/>
          <w:iCs/>
        </w:rPr>
        <w:t>FCC Announces Closure of FCC Headquarters Open Window and Change in Hand-Delivery Policy</w:t>
      </w:r>
      <w:r>
        <w:t xml:space="preserve">, Public Notice, 35 FCC </w:t>
      </w:r>
      <w:r>
        <w:t>Rcd</w:t>
      </w:r>
      <w:r>
        <w:t xml:space="preserve"> 2788 (OMD 2020), </w:t>
      </w:r>
      <w:hyperlink r:id="rId8" w:history="1">
        <w:r w:rsidRPr="7EAC10BA">
          <w:rPr>
            <w:rStyle w:val="Hyperlink"/>
          </w:rPr>
          <w:t>https://www.fcc.gov/document/fcc-closes-headquarters-open-window-and-changes-hand-delivery-policy.</w:t>
        </w:r>
      </w:hyperlink>
      <w:r>
        <w:rPr>
          <w:rStyle w:val="Hyperlink"/>
        </w:rPr>
        <w:t xml:space="preserve">  </w:t>
      </w:r>
    </w:p>
  </w:footnote>
  <w:footnote w:id="61">
    <w:p w:rsidR="00744B0B" w:rsidP="004D6EEA" w14:paraId="0A7EA6ED" w14:textId="77777777">
      <w:pPr>
        <w:pStyle w:val="FootnoteText"/>
      </w:pPr>
      <w:r>
        <w:rPr>
          <w:rStyle w:val="FootnoteReference"/>
        </w:rPr>
        <w:footnoteRef/>
      </w:r>
      <w:r>
        <w:t xml:space="preserve"> </w:t>
      </w:r>
      <w:r w:rsidRPr="00C0513C">
        <w:rPr>
          <w:i/>
          <w:iCs/>
        </w:rPr>
        <w:t>See Amendment of the Commission’s Rules of Practice and Procedure</w:t>
      </w:r>
      <w:r>
        <w:t xml:space="preserve">, Order, 35 FCC </w:t>
      </w:r>
      <w:r>
        <w:t>Rcd</w:t>
      </w:r>
      <w:r>
        <w:t xml:space="preserve"> 5450 (OMD 2020).</w:t>
      </w:r>
    </w:p>
  </w:footnote>
  <w:footnote w:id="62">
    <w:p w:rsidR="00744B0B" w:rsidP="007C6686" w14:paraId="54C5C130" w14:textId="77777777">
      <w:pPr>
        <w:pStyle w:val="FootnoteText"/>
      </w:pPr>
      <w:r>
        <w:rPr>
          <w:rStyle w:val="FootnoteReference"/>
        </w:rPr>
        <w:footnoteRef/>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63">
    <w:p w:rsidR="00744B0B" w:rsidP="007C6686" w14:paraId="41913517" w14:textId="77777777">
      <w:pPr>
        <w:pStyle w:val="FootnoteText"/>
      </w:pPr>
      <w:r>
        <w:rPr>
          <w:rStyle w:val="FootnoteReference"/>
        </w:rPr>
        <w:footnoteRef/>
      </w:r>
      <w:r>
        <w:t xml:space="preserve"> 5 U.S.C. § 603(a).</w:t>
      </w:r>
    </w:p>
  </w:footnote>
  <w:footnote w:id="64">
    <w:p w:rsidR="00744B0B" w:rsidP="007C6686" w14:paraId="7AAE8759" w14:textId="77777777">
      <w:pPr>
        <w:pStyle w:val="FootnoteText"/>
      </w:pPr>
      <w:r>
        <w:rPr>
          <w:rStyle w:val="FootnoteReference"/>
        </w:rPr>
        <w:footnoteRef/>
      </w:r>
      <w:r>
        <w:t xml:space="preserve"> </w:t>
      </w:r>
      <w:r>
        <w:rPr>
          <w:i/>
        </w:rPr>
        <w:t>Id.</w:t>
      </w:r>
    </w:p>
  </w:footnote>
  <w:footnote w:id="65">
    <w:p w:rsidR="00744B0B" w:rsidP="007C6686" w14:paraId="148B52ED" w14:textId="5AF2DB42">
      <w:pPr>
        <w:pStyle w:val="FootnoteText"/>
      </w:pPr>
      <w:r>
        <w:rPr>
          <w:rStyle w:val="FootnoteReference"/>
        </w:rPr>
        <w:footnoteRef/>
      </w:r>
      <w:r>
        <w:t xml:space="preserve"> The Infrastructure Investment and Jobs Act, Pub. L. No. </w:t>
      </w:r>
      <w:r w:rsidRPr="005752E7">
        <w:t xml:space="preserve">117-58, </w:t>
      </w:r>
      <w:r w:rsidRPr="00D84D2A">
        <w:t>135</w:t>
      </w:r>
      <w:r w:rsidRPr="00AD24DD">
        <w:t xml:space="preserve"> Stat. </w:t>
      </w:r>
      <w:r>
        <w:t>429, § 60504(a) (2021) (Infrastructure Act</w:t>
      </w:r>
      <w:r w:rsidRPr="005466D4">
        <w:t>).</w:t>
      </w:r>
    </w:p>
  </w:footnote>
  <w:footnote w:id="66">
    <w:p w:rsidR="00744B0B" w:rsidP="007C6686" w14:paraId="3FF90FA9" w14:textId="77777777">
      <w:pPr>
        <w:pStyle w:val="FootnoteText"/>
      </w:pPr>
      <w:r>
        <w:rPr>
          <w:rStyle w:val="FootnoteReference"/>
        </w:rPr>
        <w:footnoteRef/>
      </w:r>
      <w:r>
        <w:t xml:space="preserve"> </w:t>
      </w:r>
      <w:r w:rsidRPr="00DB7891">
        <w:rPr>
          <w:i/>
          <w:iCs/>
        </w:rPr>
        <w:t>Id.</w:t>
      </w:r>
      <w:r>
        <w:t xml:space="preserve"> § 60504(a)</w:t>
      </w:r>
      <w:r w:rsidRPr="005466D4">
        <w:t>.</w:t>
      </w:r>
      <w:r w:rsidRPr="002D2DB5">
        <w:rPr>
          <w:i/>
          <w:iCs/>
        </w:rPr>
        <w:t xml:space="preserve">  See also Consumer and Governmental Affairs, Wireline Competition, and Wireless Telecommunications Bureaus Approve Open Internet Broadband Consumer Labels</w:t>
      </w:r>
      <w:r>
        <w:t xml:space="preserve">, Public Notice, DA 16-357, GN Docket No. 14-28, 31 FCC </w:t>
      </w:r>
      <w:r>
        <w:t>Rcd</w:t>
      </w:r>
      <w:r>
        <w:t xml:space="preserve"> 3358 (CGB/WCB/WTB 2016) (</w:t>
      </w:r>
      <w:r w:rsidRPr="00AD24DD">
        <w:rPr>
          <w:i/>
        </w:rPr>
        <w:t>2016 Public Notice</w:t>
      </w:r>
      <w:r>
        <w:t>).</w:t>
      </w:r>
    </w:p>
  </w:footnote>
  <w:footnote w:id="67">
    <w:p w:rsidR="00744B0B" w:rsidRPr="002C2F63" w:rsidP="007C6686" w14:paraId="50DA9DC3" w14:textId="77777777">
      <w:pPr>
        <w:pStyle w:val="FootnoteText"/>
      </w:pPr>
      <w:r>
        <w:rPr>
          <w:rStyle w:val="FootnoteReference"/>
        </w:rPr>
        <w:footnoteRef/>
      </w:r>
      <w:r>
        <w:t xml:space="preserve"> Infrastructure Act</w:t>
      </w:r>
      <w:r w:rsidRPr="00FF32B9">
        <w:rPr>
          <w:rFonts w:cs="Calibri"/>
        </w:rPr>
        <w:t xml:space="preserve"> § 60504(b)(1).</w:t>
      </w:r>
      <w:r>
        <w:rPr>
          <w:i/>
          <w:iCs/>
        </w:rPr>
        <w:t xml:space="preserve"> </w:t>
      </w:r>
    </w:p>
  </w:footnote>
  <w:footnote w:id="68">
    <w:p w:rsidR="00744B0B" w:rsidRPr="00C822D7" w:rsidP="007C6686" w14:paraId="6DE313BC" w14:textId="6A2E72AD">
      <w:pPr>
        <w:pStyle w:val="FootnoteText"/>
      </w:pPr>
      <w:r>
        <w:rPr>
          <w:rStyle w:val="FootnoteReference"/>
        </w:rPr>
        <w:footnoteRef/>
      </w:r>
      <w:r>
        <w:t xml:space="preserve"> NPRM, para</w:t>
      </w:r>
      <w:r w:rsidRPr="00275EE9">
        <w:t>. 3,</w:t>
      </w:r>
      <w:r>
        <w:t xml:space="preserve"> Appx. A; </w:t>
      </w:r>
      <w:r w:rsidRPr="00CE549C">
        <w:rPr>
          <w:i/>
          <w:iCs/>
        </w:rPr>
        <w:t>see also</w:t>
      </w:r>
      <w:r>
        <w:t xml:space="preserve"> 47 CFR </w:t>
      </w:r>
      <w:r w:rsidRPr="00FF32B9">
        <w:rPr>
          <w:rFonts w:cs="Calibri"/>
        </w:rPr>
        <w:t>§</w:t>
      </w:r>
      <w:r>
        <w:rPr>
          <w:rFonts w:cs="Calibri"/>
        </w:rPr>
        <w:t xml:space="preserve"> 8.1(a).</w:t>
      </w:r>
      <w:r>
        <w:t xml:space="preserve">  </w:t>
      </w:r>
    </w:p>
  </w:footnote>
  <w:footnote w:id="69">
    <w:p w:rsidR="00744B0B" w:rsidP="007C6686" w14:paraId="3B790198" w14:textId="77777777">
      <w:pPr>
        <w:pStyle w:val="FootnoteText"/>
      </w:pPr>
      <w:r>
        <w:rPr>
          <w:rStyle w:val="FootnoteReference"/>
        </w:rPr>
        <w:footnoteRef/>
      </w:r>
      <w:r>
        <w:t xml:space="preserve"> </w:t>
      </w:r>
      <w:r w:rsidRPr="00DB7891">
        <w:rPr>
          <w:i/>
          <w:iCs/>
        </w:rPr>
        <w:t>See</w:t>
      </w:r>
      <w:r>
        <w:t xml:space="preserve"> </w:t>
      </w:r>
      <w:r w:rsidRPr="0082115E">
        <w:rPr>
          <w:i/>
          <w:iCs/>
        </w:rPr>
        <w:t>2016 Public Notice</w:t>
      </w:r>
      <w:r>
        <w:t xml:space="preserve"> (Bureaus approving the CAC labels as part of a transparency safe harbor); </w:t>
      </w:r>
      <w:r w:rsidRPr="0054581F">
        <w:rPr>
          <w:i/>
          <w:iCs/>
        </w:rPr>
        <w:t>see also</w:t>
      </w:r>
      <w:r>
        <w:t xml:space="preserve"> NPRM, Appx. B and C.</w:t>
      </w:r>
    </w:p>
  </w:footnote>
  <w:footnote w:id="70">
    <w:p w:rsidR="00744B0B" w:rsidP="007C6686" w14:paraId="040D8082" w14:textId="12F23569">
      <w:pPr>
        <w:pStyle w:val="FootnoteText"/>
      </w:pPr>
      <w:r>
        <w:rPr>
          <w:rStyle w:val="FootnoteReference"/>
        </w:rPr>
        <w:footnoteRef/>
      </w:r>
      <w:r>
        <w:t xml:space="preserve"> NPRM, para. </w:t>
      </w:r>
      <w:r w:rsidR="006E2EA4">
        <w:t>23-24</w:t>
      </w:r>
      <w:r>
        <w:t>.</w:t>
      </w:r>
    </w:p>
  </w:footnote>
  <w:footnote w:id="71">
    <w:p w:rsidR="00744B0B" w:rsidP="007C6686" w14:paraId="1507BCA4" w14:textId="70F7B976">
      <w:pPr>
        <w:pStyle w:val="FootnoteText"/>
      </w:pPr>
      <w:r>
        <w:rPr>
          <w:rStyle w:val="FootnoteReference"/>
        </w:rPr>
        <w:footnoteRef/>
      </w:r>
      <w:r>
        <w:t xml:space="preserve"> NPRM, para</w:t>
      </w:r>
      <w:r w:rsidRPr="00275EE9">
        <w:t xml:space="preserve">. </w:t>
      </w:r>
      <w:r w:rsidRPr="00275EE9" w:rsidR="006E2EA4">
        <w:t>26</w:t>
      </w:r>
      <w:r w:rsidRPr="00275EE9">
        <w:t>.</w:t>
      </w:r>
    </w:p>
  </w:footnote>
  <w:footnote w:id="72">
    <w:p w:rsidR="00744B0B" w:rsidP="007C6686" w14:paraId="64DCA902" w14:textId="6A92C62C">
      <w:pPr>
        <w:pStyle w:val="FootnoteText"/>
      </w:pPr>
      <w:r>
        <w:rPr>
          <w:rStyle w:val="FootnoteReference"/>
        </w:rPr>
        <w:footnoteRef/>
      </w:r>
      <w:r>
        <w:t xml:space="preserve"> NPRM, paras. </w:t>
      </w:r>
      <w:r w:rsidR="006E2EA4">
        <w:t>27</w:t>
      </w:r>
      <w:r w:rsidRPr="00275EE9" w:rsidR="006E2EA4">
        <w:t xml:space="preserve">, </w:t>
      </w:r>
      <w:r w:rsidRPr="00275EE9">
        <w:t>34</w:t>
      </w:r>
      <w:r>
        <w:t>, Appx. A.</w:t>
      </w:r>
    </w:p>
  </w:footnote>
  <w:footnote w:id="73">
    <w:p w:rsidR="00744B0B" w:rsidP="007C6686" w14:paraId="004C8BDF" w14:textId="77777777">
      <w:pPr>
        <w:pStyle w:val="FootnoteText"/>
      </w:pPr>
      <w:r>
        <w:rPr>
          <w:rStyle w:val="FootnoteReference"/>
        </w:rPr>
        <w:footnoteRef/>
      </w:r>
      <w:r>
        <w:t xml:space="preserve"> </w:t>
      </w:r>
      <w:r>
        <w:rPr>
          <w:i/>
        </w:rPr>
        <w:t>See</w:t>
      </w:r>
      <w:r>
        <w:t xml:space="preserve"> 5 U.S.C. § 603(b)(3).</w:t>
      </w:r>
    </w:p>
  </w:footnote>
  <w:footnote w:id="74">
    <w:p w:rsidR="00744B0B" w:rsidP="007C6686" w14:paraId="139E8AD5" w14:textId="77777777">
      <w:pPr>
        <w:pStyle w:val="FootnoteText"/>
      </w:pPr>
      <w:r>
        <w:rPr>
          <w:rStyle w:val="FootnoteReference"/>
        </w:rPr>
        <w:footnoteRef/>
      </w:r>
      <w:r>
        <w:t xml:space="preserve"> </w:t>
      </w:r>
      <w:r>
        <w:rPr>
          <w:i/>
        </w:rPr>
        <w:t>See</w:t>
      </w:r>
      <w:r>
        <w:t xml:space="preserve"> </w:t>
      </w:r>
      <w:r>
        <w:rPr>
          <w:i/>
          <w:iCs/>
        </w:rPr>
        <w:t>id</w:t>
      </w:r>
      <w:r>
        <w:t>. § 601(6).</w:t>
      </w:r>
    </w:p>
  </w:footnote>
  <w:footnote w:id="75">
    <w:p w:rsidR="00744B0B" w:rsidP="007C6686" w14:paraId="4440D649" w14:textId="77777777">
      <w:pPr>
        <w:pStyle w:val="FootnoteText"/>
      </w:pPr>
      <w:r>
        <w:rPr>
          <w:rStyle w:val="FootnoteReference"/>
        </w:rPr>
        <w:footnoteRef/>
      </w:r>
      <w:r>
        <w:t xml:space="preserve"> </w:t>
      </w:r>
      <w:r>
        <w:rPr>
          <w:i/>
        </w:rPr>
        <w:t>See</w:t>
      </w:r>
      <w:r>
        <w:t xml:space="preserve"> </w:t>
      </w:r>
      <w:r>
        <w:rPr>
          <w:i/>
          <w:iCs/>
        </w:rPr>
        <w:t>id</w:t>
      </w:r>
      <w:r>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76">
    <w:p w:rsidR="00744B0B" w:rsidP="007C6686" w14:paraId="06698C9D" w14:textId="77777777">
      <w:pPr>
        <w:pStyle w:val="FootnoteText"/>
      </w:pPr>
      <w:r>
        <w:rPr>
          <w:rStyle w:val="FootnoteReference"/>
        </w:rPr>
        <w:footnoteRef/>
      </w:r>
      <w:r>
        <w:t xml:space="preserve"> </w:t>
      </w:r>
      <w:r>
        <w:rPr>
          <w:i/>
        </w:rPr>
        <w:t>See</w:t>
      </w:r>
      <w:r>
        <w:t xml:space="preserve"> 15 U.S.C. § 632.</w:t>
      </w:r>
    </w:p>
  </w:footnote>
  <w:footnote w:id="77">
    <w:p w:rsidR="00744B0B" w:rsidP="007C6686" w14:paraId="1A4423C7" w14:textId="77777777">
      <w:pPr>
        <w:pStyle w:val="FootnoteText"/>
      </w:pPr>
      <w:r>
        <w:rPr>
          <w:rStyle w:val="FootnoteReference"/>
          <w:rFonts w:eastAsia="Calibri"/>
        </w:rPr>
        <w:footnoteRef/>
      </w:r>
      <w:r>
        <w:t xml:space="preserve"> </w:t>
      </w:r>
      <w:r>
        <w:rPr>
          <w:i/>
        </w:rPr>
        <w:t>See</w:t>
      </w:r>
      <w:r>
        <w:t xml:space="preserve"> 5 U.S.C. § 601(3)-(6).</w:t>
      </w:r>
    </w:p>
  </w:footnote>
  <w:footnote w:id="78">
    <w:p w:rsidR="00744B0B" w:rsidP="007C6686" w14:paraId="431D3A5F" w14:textId="77777777">
      <w:pPr>
        <w:pStyle w:val="FootnoteText"/>
      </w:pPr>
      <w:r>
        <w:rPr>
          <w:rStyle w:val="FootnoteReference"/>
          <w:rFonts w:eastAsia="Calibri"/>
        </w:rPr>
        <w:footnoteRef/>
      </w:r>
      <w:r>
        <w:t xml:space="preserve"> </w:t>
      </w:r>
      <w:r>
        <w:rPr>
          <w:i/>
        </w:rPr>
        <w:t>See</w:t>
      </w:r>
      <w:r>
        <w:t xml:space="preserve"> SBA, Office of Advocacy, “What’s New With Small Business?”, </w:t>
      </w:r>
      <w:hyperlink r:id="rId9" w:history="1">
        <w:r>
          <w:rPr>
            <w:rStyle w:val="Hyperlink"/>
          </w:rPr>
          <w:t>https://cdn.advocacy.sba.gov/wp-content/uploads/2019/09/23172859/Whats-New-With-Small-Business-2019.pdf</w:t>
        </w:r>
      </w:hyperlink>
      <w:r>
        <w:t xml:space="preserve"> (Sept 2019).</w:t>
      </w:r>
    </w:p>
  </w:footnote>
  <w:footnote w:id="79">
    <w:p w:rsidR="00744B0B" w:rsidP="007C6686" w14:paraId="53552760" w14:textId="77777777">
      <w:pPr>
        <w:pStyle w:val="FootnoteText"/>
      </w:pPr>
      <w:r>
        <w:rPr>
          <w:rStyle w:val="FootnoteReference"/>
          <w:rFonts w:eastAsia="Calibri"/>
        </w:rPr>
        <w:footnoteRef/>
      </w:r>
      <w:r>
        <w:t xml:space="preserve"> </w:t>
      </w:r>
      <w:r>
        <w:rPr>
          <w:i/>
        </w:rPr>
        <w:t>Id</w:t>
      </w:r>
      <w:r>
        <w:t>.</w:t>
      </w:r>
    </w:p>
  </w:footnote>
  <w:footnote w:id="80">
    <w:p w:rsidR="00744B0B" w:rsidP="007C6686" w14:paraId="04D4780D" w14:textId="77777777">
      <w:pPr>
        <w:pStyle w:val="FootnoteText"/>
      </w:pPr>
      <w:r>
        <w:rPr>
          <w:rStyle w:val="FootnoteReference"/>
          <w:rFonts w:eastAsia="Calibri"/>
        </w:rPr>
        <w:footnoteRef/>
      </w:r>
      <w:r>
        <w:t xml:space="preserve"> </w:t>
      </w:r>
      <w:r>
        <w:rPr>
          <w:spacing w:val="-2"/>
        </w:rPr>
        <w:t>5 U.S.C.</w:t>
      </w:r>
      <w:r>
        <w:t xml:space="preserve"> § 601(4).</w:t>
      </w:r>
    </w:p>
  </w:footnote>
  <w:footnote w:id="81">
    <w:p w:rsidR="00744B0B" w:rsidP="007C6686" w14:paraId="660E4CF5" w14:textId="77777777">
      <w:pPr>
        <w:pStyle w:val="FootnoteText"/>
      </w:pPr>
      <w:r>
        <w:rPr>
          <w:rStyle w:val="FootnoteReference"/>
        </w:rPr>
        <w:footnoteRef/>
      </w:r>
      <w:r>
        <w:t xml:space="preserve"> The IRS benchmark is similar to the population of less than 50,000 benchmark in 5 U.S.C § 601(5) that is used to define a small governmental jurisdiction.  Therefore, the IRS benchmark has been used to estimate the number of small organizations in this small entity description.  S</w:t>
      </w:r>
      <w:r>
        <w:rPr>
          <w:i/>
        </w:rPr>
        <w:t>ee</w:t>
      </w:r>
      <w:r>
        <w:t xml:space="preserve"> Annual Electronic Filing Requirement for Small Exempt Organizations — Form 990-N (e-Postcard), “Who must file,” </w:t>
      </w:r>
      <w:hyperlink r:id="rId10" w:history="1">
        <w:r>
          <w:rPr>
            <w:rStyle w:val="Hyperlink"/>
          </w:rPr>
          <w:t>https://www.irs.gov/charities-non-profits/annual-electronic-filing-requirement-for-small-exempt-organizations-form-990-n-e-postcard</w:t>
        </w:r>
      </w:hyperlink>
      <w:r>
        <w:t>.  We note that the IRS data does not provide information on whether a small exempt organization is independently owned and operated or dominant in its field.</w:t>
      </w:r>
    </w:p>
  </w:footnote>
  <w:footnote w:id="82">
    <w:p w:rsidR="00744B0B" w:rsidP="007C6686" w14:paraId="4DAB42B9" w14:textId="77777777">
      <w:pPr>
        <w:pStyle w:val="FootnoteText"/>
        <w:rPr>
          <w:color w:val="000000"/>
        </w:rPr>
      </w:pPr>
      <w:r>
        <w:rPr>
          <w:rStyle w:val="FootnoteReference"/>
          <w:rFonts w:eastAsia="Calibri"/>
        </w:rPr>
        <w:footnoteRef/>
      </w:r>
      <w:r>
        <w:rPr>
          <w:color w:val="000000"/>
        </w:rPr>
        <w:t xml:space="preserve"> </w:t>
      </w:r>
      <w:r>
        <w:rPr>
          <w:i/>
          <w:color w:val="000000"/>
        </w:rPr>
        <w:t>See</w:t>
      </w:r>
      <w:r>
        <w:rPr>
          <w:color w:val="000000"/>
        </w:rPr>
        <w:t xml:space="preserve"> Exempt Organizations Business Master File Extract (EO BMF), “CSV Files by Region,” </w:t>
      </w:r>
      <w:hyperlink r:id="rId11" w:history="1">
        <w:r>
          <w:rPr>
            <w:rStyle w:val="Hyperlink"/>
          </w:rPr>
          <w:t>https://www.irs.gov/charities-non-profits/exempt-organizations-business-master-file-extract-eo-bmf</w:t>
        </w:r>
      </w:hyperlink>
      <w:r>
        <w:rPr>
          <w:color w:val="000000"/>
        </w:rPr>
        <w:t xml:space="preserve">.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83">
    <w:p w:rsidR="00744B0B" w:rsidP="007C6686" w14:paraId="3E2B8661" w14:textId="77777777">
      <w:pPr>
        <w:pStyle w:val="FootnoteText"/>
      </w:pPr>
      <w:r>
        <w:rPr>
          <w:rStyle w:val="FootnoteReference"/>
          <w:rFonts w:eastAsia="Calibri"/>
          <w:spacing w:val="-2"/>
        </w:rPr>
        <w:footnoteRef/>
      </w:r>
      <w:r>
        <w:t xml:space="preserve"> 5 U.S.C. § 601(5).</w:t>
      </w:r>
    </w:p>
  </w:footnote>
  <w:footnote w:id="84">
    <w:p w:rsidR="00744B0B" w:rsidP="007C6686" w14:paraId="26CF028B" w14:textId="77777777">
      <w:pPr>
        <w:pStyle w:val="FootnoteText"/>
      </w:pPr>
      <w:r>
        <w:rPr>
          <w:rStyle w:val="FootnoteReference"/>
          <w:rFonts w:eastAsia="Calibri"/>
        </w:rPr>
        <w:footnoteRef/>
      </w:r>
      <w:r>
        <w:t xml:space="preserve"> </w:t>
      </w:r>
      <w:r>
        <w:rPr>
          <w:i/>
        </w:rPr>
        <w:t>See</w:t>
      </w:r>
      <w:r>
        <w:t xml:space="preserve"> 13 U.S.C. § 161.  The Census of Governments survey is conducted every five years, compiling data for years ending with “2” and “7.”  </w:t>
      </w:r>
      <w:r>
        <w:rPr>
          <w:i/>
        </w:rPr>
        <w:t xml:space="preserve">See also </w:t>
      </w:r>
      <w:r>
        <w:t xml:space="preserve">Census of Governments, </w:t>
      </w:r>
      <w:hyperlink r:id="rId12" w:history="1">
        <w:r>
          <w:rPr>
            <w:rStyle w:val="Hyperlink"/>
          </w:rPr>
          <w:t>https://www.census.gov/programs-surveys/cog/about.html</w:t>
        </w:r>
      </w:hyperlink>
      <w:r>
        <w:t xml:space="preserve">. </w:t>
      </w:r>
    </w:p>
  </w:footnote>
  <w:footnote w:id="85">
    <w:p w:rsidR="00744B0B" w:rsidP="007C6686" w14:paraId="6EA15706" w14:textId="77777777">
      <w:pPr>
        <w:pStyle w:val="FootnoteText"/>
      </w:pPr>
      <w:r>
        <w:rPr>
          <w:rStyle w:val="FootnoteReference"/>
          <w:rFonts w:eastAsia="Calibri"/>
          <w:spacing w:val="-2"/>
        </w:rPr>
        <w:footnoteRef/>
      </w:r>
      <w:r>
        <w:t xml:space="preserve"> </w:t>
      </w:r>
      <w:r>
        <w:rPr>
          <w:i/>
        </w:rPr>
        <w:t>See</w:t>
      </w:r>
      <w:r>
        <w:t xml:space="preserve"> U.S. Census Bureau, 2017 Census of Governments – Organization Table 2. Local Governments by Type and State: 2017 </w:t>
      </w:r>
      <w:r>
        <w:rPr>
          <w:bCs/>
        </w:rPr>
        <w:t>[CG1700ORG02]</w:t>
      </w:r>
      <w:r>
        <w:t xml:space="preserve">.  </w:t>
      </w:r>
      <w:hyperlink r:id="rId13" w:history="1">
        <w:r>
          <w:rPr>
            <w:rStyle w:val="Hyperlink"/>
          </w:rPr>
          <w:t>https://www.census.gov/data/tables/2017/econ/gus/2017-governments.html</w:t>
        </w:r>
      </w:hyperlink>
      <w:r>
        <w:t xml:space="preserve">.  Local governmental jurisdictions are made up of general purpose governments (county, municipal, and town or township) and special purpose governments (special districts and independent school districts).  </w:t>
      </w:r>
      <w:r>
        <w:rPr>
          <w:i/>
        </w:rPr>
        <w:t xml:space="preserve">See also </w:t>
      </w:r>
      <w:r>
        <w:t>Table 2.</w:t>
      </w:r>
      <w:r>
        <w:rPr>
          <w:i/>
        </w:rPr>
        <w:t xml:space="preserve"> </w:t>
      </w:r>
      <w:r>
        <w:t>CG1700ORG02 Table Notes Local Governments by Type and State_2017.</w:t>
      </w:r>
      <w:r>
        <w:rPr>
          <w:i/>
        </w:rPr>
        <w:t xml:space="preserve"> </w:t>
      </w:r>
    </w:p>
  </w:footnote>
  <w:footnote w:id="86">
    <w:p w:rsidR="00744B0B" w:rsidP="007C6686" w14:paraId="3E947ACA" w14:textId="77777777">
      <w:pPr>
        <w:pStyle w:val="FootnoteText"/>
      </w:pPr>
      <w:r>
        <w:rPr>
          <w:rStyle w:val="FootnoteReference"/>
        </w:rPr>
        <w:footnoteRef/>
      </w:r>
      <w:r>
        <w:t xml:space="preserve"> </w:t>
      </w:r>
      <w:r>
        <w:rPr>
          <w:i/>
        </w:rPr>
        <w:t>See</w:t>
      </w:r>
      <w:r>
        <w:rPr>
          <w:i/>
          <w:color w:val="000000"/>
        </w:rPr>
        <w:t xml:space="preserve"> id.</w:t>
      </w:r>
      <w:r>
        <w:rPr>
          <w:color w:val="000000"/>
        </w:rPr>
        <w:t xml:space="preserve"> at</w:t>
      </w:r>
      <w:r>
        <w:t xml:space="preserve"> Table 5.  </w:t>
      </w:r>
      <w:r>
        <w:rPr>
          <w:bCs/>
          <w:color w:val="000000"/>
        </w:rPr>
        <w:t>County Governments by Population-Size Group and State: 2017</w:t>
      </w:r>
      <w:r>
        <w:rPr>
          <w:bCs/>
        </w:rPr>
        <w:t xml:space="preserve"> [CG1700ORG05]</w:t>
      </w:r>
      <w:r>
        <w:t xml:space="preserve">.  </w:t>
      </w:r>
      <w:hyperlink r:id="rId13"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87">
    <w:p w:rsidR="00744B0B" w:rsidP="007C6686" w14:paraId="613769BA" w14:textId="77777777">
      <w:pPr>
        <w:pStyle w:val="FootnoteText"/>
      </w:pPr>
      <w:r>
        <w:rPr>
          <w:rStyle w:val="FootnoteReference"/>
          <w:rFonts w:eastAsia="Calibri"/>
        </w:rPr>
        <w:footnoteRef/>
      </w:r>
      <w:r>
        <w:t xml:space="preserve"> </w:t>
      </w:r>
      <w:r>
        <w:rPr>
          <w:i/>
        </w:rPr>
        <w:t>See</w:t>
      </w:r>
      <w:r>
        <w:t xml:space="preserve"> </w:t>
      </w:r>
      <w:r>
        <w:rPr>
          <w:i/>
          <w:color w:val="000000"/>
        </w:rPr>
        <w:t>id. at</w:t>
      </w:r>
      <w:r>
        <w:t xml:space="preserve"> Table 6.  </w:t>
      </w:r>
      <w:r>
        <w:rPr>
          <w:bCs/>
        </w:rPr>
        <w:t xml:space="preserve">Subcounty General-Purpose Governments by Population-Size Group and State: 2017 [CG1700ORG06]. </w:t>
      </w:r>
      <w:hyperlink r:id="rId13" w:history="1">
        <w:r>
          <w:rPr>
            <w:rStyle w:val="Hyperlink"/>
            <w:bCs/>
          </w:rPr>
          <w:t>https://www.census.gov/data/tables/2017/econ/gus/2017-governments.html</w:t>
        </w:r>
      </w:hyperlink>
      <w:r>
        <w:rPr>
          <w:bCs/>
        </w:rPr>
        <w:t xml:space="preserve">.  </w:t>
      </w:r>
      <w:r>
        <w:t xml:space="preserve">There were 18,729 municipal and 16,097 town and township governments with populations less than 50,000. </w:t>
      </w:r>
    </w:p>
  </w:footnote>
  <w:footnote w:id="88">
    <w:p w:rsidR="00744B0B" w:rsidP="007C6686" w14:paraId="25DFF650" w14:textId="77777777">
      <w:pPr>
        <w:pStyle w:val="FootnoteText"/>
      </w:pPr>
      <w:r>
        <w:rPr>
          <w:rStyle w:val="FootnoteReference"/>
        </w:rPr>
        <w:footnoteRef/>
      </w:r>
      <w:r>
        <w:t xml:space="preserve"> </w:t>
      </w:r>
      <w:r>
        <w:rPr>
          <w:i/>
        </w:rPr>
        <w:t>See</w:t>
      </w:r>
      <w:r>
        <w:t xml:space="preserve"> </w:t>
      </w:r>
      <w:r>
        <w:rPr>
          <w:i/>
          <w:iCs/>
        </w:rPr>
        <w:t>id.</w:t>
      </w:r>
      <w:r>
        <w:t xml:space="preserve"> at Table 10.  Elementary and Secondary School Systems by Enrollment-Size Group and State: 2017 [CG1700ORG10].  </w:t>
      </w:r>
      <w:hyperlink r:id="rId13" w:history="1">
        <w:r w:rsidRPr="001F0015">
          <w:rPr>
            <w:rStyle w:val="Hyperlink"/>
          </w:rPr>
          <w:t>https://www.census.gov/data/tables/2017/econ/gus/2017-governments.html</w:t>
        </w:r>
      </w:hyperlink>
      <w:r>
        <w:rPr>
          <w:bCs/>
          <w:color w:val="4E4B47"/>
        </w:rPr>
        <w:t xml:space="preserve">.  </w:t>
      </w:r>
      <w:r>
        <w:t xml:space="preserve">There were 12,040 independent school districts with enrollment populations less than 50,000.  </w:t>
      </w:r>
      <w:r>
        <w:rPr>
          <w:i/>
        </w:rPr>
        <w:t xml:space="preserve">See also </w:t>
      </w:r>
      <w:r>
        <w:t>Table 4. Special-Purpose Local Governments by State Census Years 1942 to 2017 [CG1700ORG04], CG1700ORG04 Table Notes Special Purpose Local Governments by State Census Years 1942 to 2017.</w:t>
      </w:r>
    </w:p>
  </w:footnote>
  <w:footnote w:id="89">
    <w:p w:rsidR="00744B0B" w:rsidP="007C6686" w14:paraId="1BF92A90" w14:textId="77777777">
      <w:pPr>
        <w:pStyle w:val="FootnoteText"/>
      </w:pPr>
      <w:r>
        <w:rPr>
          <w:rStyle w:val="FootnoteReference"/>
        </w:rPr>
        <w:footnoteRef/>
      </w:r>
      <w:r>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90">
    <w:p w:rsidR="00744B0B" w:rsidP="007C6686" w14:paraId="40E2A570" w14:textId="77777777">
      <w:pPr>
        <w:pStyle w:val="FootnoteText"/>
      </w:pPr>
      <w:r>
        <w:rPr>
          <w:rStyle w:val="FootnoteReference"/>
          <w:rFonts w:eastAsia="Calibri"/>
        </w:rPr>
        <w:footnoteRef/>
      </w:r>
      <w:r>
        <w:rPr>
          <w:i/>
        </w:rPr>
        <w:t xml:space="preserve"> </w:t>
      </w:r>
      <w: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91">
    <w:p w:rsidR="00744B0B" w:rsidRPr="00DA03AD" w:rsidP="007C6686" w14:paraId="51F18C55" w14:textId="77777777">
      <w:pPr>
        <w:pStyle w:val="FootnoteText"/>
      </w:pPr>
      <w:r w:rsidRPr="00DA03AD">
        <w:rPr>
          <w:rStyle w:val="FootnoteReference"/>
        </w:rPr>
        <w:footnoteRef/>
      </w:r>
      <w:r w:rsidRPr="00DA03AD">
        <w:t xml:space="preserve"> </w:t>
      </w:r>
      <w:r w:rsidRPr="00DA03AD">
        <w:rPr>
          <w:i/>
        </w:rPr>
        <w:t xml:space="preserve">See </w:t>
      </w:r>
      <w:r w:rsidRPr="00DA03AD">
        <w:t xml:space="preserve">U.S. Census Bureau, </w:t>
      </w:r>
      <w:r w:rsidRPr="00DA03AD">
        <w:rPr>
          <w:i/>
        </w:rPr>
        <w:t>2017 NAICS Definition, “517311 Wired Telecommunications Carriers</w:t>
      </w:r>
      <w:r>
        <w:rPr>
          <w:i/>
        </w:rPr>
        <w:t>,</w:t>
      </w:r>
      <w:r w:rsidRPr="00DA03AD">
        <w:rPr>
          <w:i/>
        </w:rPr>
        <w:t>”</w:t>
      </w:r>
      <w:r w:rsidRPr="00DA03AD">
        <w:t xml:space="preserve"> </w:t>
      </w:r>
      <w:r w:rsidRPr="000F3A9D">
        <w:rPr>
          <w:rStyle w:val="Hyperlink"/>
        </w:rPr>
        <w:t>https://www.census.gov/naics/?input=517311&amp;year=2017&amp;details=517311</w:t>
      </w:r>
      <w:r w:rsidRPr="00DA03AD">
        <w:t>.</w:t>
      </w:r>
    </w:p>
  </w:footnote>
  <w:footnote w:id="92">
    <w:p w:rsidR="00744B0B" w:rsidRPr="00DA03AD" w:rsidP="007C6686" w14:paraId="3AA18021" w14:textId="77777777">
      <w:pPr>
        <w:pStyle w:val="FootnoteText"/>
      </w:pPr>
      <w:r w:rsidRPr="00DA03AD">
        <w:rPr>
          <w:rStyle w:val="FootnoteReference"/>
        </w:rPr>
        <w:footnoteRef/>
      </w:r>
      <w:r w:rsidRPr="00DA03AD">
        <w:t xml:space="preserve"> </w:t>
      </w:r>
      <w:r w:rsidRPr="00DA03AD">
        <w:rPr>
          <w:i/>
        </w:rPr>
        <w:t>Id.</w:t>
      </w:r>
    </w:p>
  </w:footnote>
  <w:footnote w:id="93">
    <w:p w:rsidR="00744B0B" w:rsidRPr="00DA03AD" w:rsidP="007C6686" w14:paraId="60BD575D" w14:textId="77777777">
      <w:pPr>
        <w:pStyle w:val="FootnoteText"/>
      </w:pPr>
      <w:r w:rsidRPr="00DA03AD">
        <w:rPr>
          <w:rStyle w:val="FootnoteReference"/>
        </w:rPr>
        <w:footnoteRef/>
      </w:r>
      <w:r w:rsidRPr="00DA03AD">
        <w:t xml:space="preserve"> </w:t>
      </w:r>
      <w:r w:rsidRPr="00DA03AD">
        <w:rPr>
          <w:i/>
          <w:snapToGrid w:val="0"/>
        </w:rPr>
        <w:t>See</w:t>
      </w:r>
      <w:r w:rsidRPr="00DA03AD">
        <w:rPr>
          <w:snapToGrid w:val="0"/>
        </w:rPr>
        <w:t xml:space="preserve"> 13 CFR </w:t>
      </w:r>
      <w:r w:rsidRPr="00DA03AD">
        <w:rPr>
          <w:rStyle w:val="Footnote"/>
          <w:snapToGrid w:val="0"/>
        </w:rPr>
        <w:t>§</w:t>
      </w:r>
      <w:r w:rsidRPr="00DA03AD">
        <w:rPr>
          <w:snapToGrid w:val="0"/>
        </w:rPr>
        <w:t xml:space="preserve"> 121.201, NAICS Code 517311 (previously 517110)</w:t>
      </w:r>
      <w:r w:rsidRPr="00DA03AD">
        <w:t>.</w:t>
      </w:r>
    </w:p>
  </w:footnote>
  <w:footnote w:id="94">
    <w:p w:rsidR="00744B0B" w:rsidRPr="00DA03AD" w:rsidP="007C6686" w14:paraId="5ACD81C5" w14:textId="77777777">
      <w:pPr>
        <w:pStyle w:val="FootnoteText"/>
      </w:pPr>
      <w:r w:rsidRPr="00DA03AD">
        <w:rPr>
          <w:rStyle w:val="FootnoteReference"/>
        </w:rPr>
        <w:footnoteRef/>
      </w:r>
      <w:r w:rsidRPr="00DA03AD">
        <w:t xml:space="preserve"> </w:t>
      </w:r>
      <w:r w:rsidRPr="00DA03AD">
        <w:rPr>
          <w:i/>
        </w:rPr>
        <w:t>See</w:t>
      </w:r>
      <w:r w:rsidRPr="00DA03AD">
        <w:t xml:space="preserve"> U.S. Census Bureau, </w:t>
      </w:r>
      <w:r w:rsidRPr="00DA03AD">
        <w:rPr>
          <w:bCs/>
          <w:i/>
        </w:rPr>
        <w:t>2012</w:t>
      </w:r>
      <w:r w:rsidRPr="00DA03AD">
        <w:rPr>
          <w:i/>
        </w:rPr>
        <w:t xml:space="preserve"> Economic Census</w:t>
      </w:r>
      <w:r w:rsidRPr="00DA03AD">
        <w:rPr>
          <w:bCs/>
          <w:i/>
        </w:rPr>
        <w:t xml:space="preserve"> of the United States,</w:t>
      </w:r>
      <w:r w:rsidRPr="00DA03AD">
        <w:t xml:space="preserve"> Table ID: EC1251SSSZ5, </w:t>
      </w:r>
      <w:r w:rsidRPr="00DA03AD">
        <w:rPr>
          <w:i/>
          <w:iCs/>
        </w:rPr>
        <w:t xml:space="preserve">Information: Subject Series - </w:t>
      </w:r>
      <w:r w:rsidRPr="00DA03AD">
        <w:rPr>
          <w:i/>
          <w:iCs/>
        </w:rPr>
        <w:t>Estab</w:t>
      </w:r>
      <w:r w:rsidRPr="00DA03AD">
        <w:rPr>
          <w:i/>
          <w:iCs/>
        </w:rPr>
        <w:t xml:space="preserve"> &amp; Firm Size: Employment Size of Firms for the U.S</w:t>
      </w:r>
      <w:r w:rsidRPr="00DA03AD">
        <w:t xml:space="preserve">.: </w:t>
      </w:r>
      <w:r w:rsidRPr="00DA03AD">
        <w:rPr>
          <w:i/>
          <w:iCs/>
        </w:rPr>
        <w:t>2012</w:t>
      </w:r>
      <w:r w:rsidRPr="00DA03AD">
        <w:rPr>
          <w:iCs/>
        </w:rPr>
        <w:t>,</w:t>
      </w:r>
      <w:r w:rsidRPr="00DA03AD">
        <w:t xml:space="preserve"> NAICS Code 517110, </w:t>
      </w:r>
      <w:hyperlink r:id="rId14" w:history="1">
        <w:r w:rsidRPr="00723806">
          <w:rPr>
            <w:rStyle w:val="Hyperlink"/>
          </w:rPr>
          <w:t>https://data.census.gov/cedsci/table?text=EC1251SSSZ5&amp;n=517110&amp;tid=ECNSIZE2012.EC1251SSSZ5&amp;hidePreview=false</w:t>
        </w:r>
      </w:hyperlink>
      <w:r w:rsidRPr="00DA03AD">
        <w:t>.</w:t>
      </w:r>
    </w:p>
  </w:footnote>
  <w:footnote w:id="95">
    <w:p w:rsidR="00744B0B" w:rsidRPr="00DA03AD" w:rsidP="007C6686" w14:paraId="18F84D7E" w14:textId="77777777">
      <w:pPr>
        <w:pStyle w:val="FootnoteText"/>
      </w:pPr>
      <w:r w:rsidRPr="00DA03AD">
        <w:rPr>
          <w:rStyle w:val="FootnoteReference"/>
        </w:rPr>
        <w:footnoteRef/>
      </w:r>
      <w:r w:rsidRPr="00DA03AD">
        <w:t xml:space="preserve"> </w:t>
      </w:r>
      <w:r w:rsidRPr="00DA03AD">
        <w:rPr>
          <w:i/>
        </w:rPr>
        <w:t xml:space="preserve">Id.  </w:t>
      </w:r>
      <w:r w:rsidRPr="00F23895">
        <w:rPr>
          <w:iCs/>
        </w:rPr>
        <w:t>The available U.S. Census Bureau data does not provide a more precise estimate of the number of firms that meet the SBA size standard</w:t>
      </w:r>
      <w:r>
        <w:rPr>
          <w:iCs/>
        </w:rPr>
        <w:t>.</w:t>
      </w:r>
      <w:r w:rsidRPr="00DA03AD">
        <w:t xml:space="preserve"> </w:t>
      </w:r>
    </w:p>
  </w:footnote>
  <w:footnote w:id="96">
    <w:p w:rsidR="00744B0B" w:rsidRPr="00DA03AD" w:rsidP="007C6686" w14:paraId="08C195F8" w14:textId="77777777">
      <w:pPr>
        <w:pStyle w:val="FootnoteText"/>
      </w:pPr>
      <w:r w:rsidRPr="00DA03AD">
        <w:rPr>
          <w:rStyle w:val="FootnoteReference"/>
        </w:rPr>
        <w:footnoteRef/>
      </w:r>
      <w:r w:rsidRPr="00DA03AD">
        <w:t xml:space="preserve"> </w:t>
      </w:r>
      <w:r w:rsidRPr="00DA03AD">
        <w:rPr>
          <w:i/>
        </w:rPr>
        <w:t>See</w:t>
      </w:r>
      <w:r w:rsidRPr="00DA03AD">
        <w:t xml:space="preserve"> U.S. Census Bureau, </w:t>
      </w:r>
      <w:r w:rsidRPr="00DA03AD">
        <w:rPr>
          <w:i/>
        </w:rPr>
        <w:t>2017 NAICS Definition, “517311 Wired Telecommunications Carriers</w:t>
      </w:r>
      <w:r>
        <w:rPr>
          <w:i/>
        </w:rPr>
        <w:t>,</w:t>
      </w:r>
      <w:r w:rsidRPr="00DA03AD">
        <w:rPr>
          <w:i/>
        </w:rPr>
        <w:t>”</w:t>
      </w:r>
      <w:r w:rsidRPr="00DA03AD">
        <w:t xml:space="preserve"> </w:t>
      </w:r>
      <w:hyperlink r:id="rId15" w:history="1">
        <w:r w:rsidRPr="001F1B82">
          <w:rPr>
            <w:rStyle w:val="Hyperlink"/>
          </w:rPr>
          <w:t>https://www.census.gov/naics/?input=517311&amp;year=2017&amp;details=517311</w:t>
        </w:r>
      </w:hyperlink>
      <w:r w:rsidRPr="00DA03AD">
        <w:rPr>
          <w:rStyle w:val="Hyperlink"/>
          <w:color w:val="auto"/>
        </w:rPr>
        <w:t>.</w:t>
      </w:r>
    </w:p>
  </w:footnote>
  <w:footnote w:id="97">
    <w:p w:rsidR="00744B0B" w:rsidRPr="00DA03AD" w:rsidP="007C6686" w14:paraId="05A3119B" w14:textId="77777777">
      <w:pPr>
        <w:pStyle w:val="FootnoteText"/>
      </w:pPr>
      <w:r w:rsidRPr="00DA03AD">
        <w:rPr>
          <w:rStyle w:val="FootnoteReference"/>
        </w:rPr>
        <w:footnoteRef/>
      </w:r>
      <w:r w:rsidRPr="00DA03AD">
        <w:rPr>
          <w:rStyle w:val="Hyperlink"/>
          <w:iCs/>
          <w:color w:val="auto"/>
          <w:u w:val="none"/>
        </w:rPr>
        <w:t xml:space="preserve"> </w:t>
      </w:r>
      <w:r w:rsidRPr="00DA03AD">
        <w:rPr>
          <w:rStyle w:val="Hyperlink"/>
          <w:i/>
          <w:color w:val="auto"/>
          <w:u w:val="none"/>
        </w:rPr>
        <w:t>See</w:t>
      </w:r>
      <w:r w:rsidRPr="00DA03AD">
        <w:rPr>
          <w:rStyle w:val="Hyperlink"/>
          <w:iCs/>
          <w:color w:val="auto"/>
          <w:u w:val="none"/>
        </w:rPr>
        <w:t xml:space="preserve"> </w:t>
      </w:r>
      <w:r w:rsidRPr="00DA03AD">
        <w:t>13 CFR § 121.201, NAICS Code 517311 (previously 517110).</w:t>
      </w:r>
    </w:p>
  </w:footnote>
  <w:footnote w:id="98">
    <w:p w:rsidR="00744B0B" w:rsidRPr="00DA03AD" w:rsidP="007C6686" w14:paraId="5BE717DC" w14:textId="77777777">
      <w:pPr>
        <w:pStyle w:val="FootnoteText"/>
      </w:pPr>
      <w:r w:rsidRPr="00DA03AD">
        <w:rPr>
          <w:rStyle w:val="FootnoteReference"/>
        </w:rPr>
        <w:footnoteRef/>
      </w:r>
      <w:r w:rsidRPr="00DA03AD">
        <w:t xml:space="preserve"> </w:t>
      </w:r>
      <w:r w:rsidRPr="00DA03AD">
        <w:rPr>
          <w:i/>
        </w:rPr>
        <w:t>See</w:t>
      </w:r>
      <w:r w:rsidRPr="00DA03AD">
        <w:t xml:space="preserve"> U.S. Census Bureau, </w:t>
      </w:r>
      <w:r w:rsidRPr="00DA03AD">
        <w:rPr>
          <w:bCs/>
          <w:i/>
        </w:rPr>
        <w:t>2012</w:t>
      </w:r>
      <w:r w:rsidRPr="00DA03AD">
        <w:rPr>
          <w:i/>
        </w:rPr>
        <w:t xml:space="preserve"> Economic Census</w:t>
      </w:r>
      <w:r w:rsidRPr="00DA03AD">
        <w:rPr>
          <w:bCs/>
          <w:i/>
        </w:rPr>
        <w:t xml:space="preserve"> of the United States,</w:t>
      </w:r>
      <w:r w:rsidRPr="00DA03AD">
        <w:t xml:space="preserve"> Table ID: EC1251SSSZ5, </w:t>
      </w:r>
      <w:r w:rsidRPr="00DA03AD">
        <w:rPr>
          <w:i/>
          <w:iCs/>
        </w:rPr>
        <w:t xml:space="preserve">Information: Subject Series - </w:t>
      </w:r>
      <w:r w:rsidRPr="00DA03AD">
        <w:rPr>
          <w:i/>
          <w:iCs/>
        </w:rPr>
        <w:t>Estab</w:t>
      </w:r>
      <w:r w:rsidRPr="00DA03AD">
        <w:rPr>
          <w:i/>
          <w:iCs/>
        </w:rPr>
        <w:t xml:space="preserve"> &amp; Firm Size: Employment Size of Firms for the U.S.: 2012,</w:t>
      </w:r>
      <w:r w:rsidRPr="00DA03AD">
        <w:t xml:space="preserve"> NAICS Code 517110, </w:t>
      </w:r>
      <w:bookmarkStart w:id="83" w:name="_Hlk43796829"/>
      <w:hyperlink r:id="rId14" w:history="1">
        <w:r w:rsidRPr="00723806">
          <w:rPr>
            <w:rStyle w:val="Hyperlink"/>
          </w:rPr>
          <w:t>https://data.census.gov/cedsci/table?text=EC1251SSSZ5&amp;n=517110&amp;tid=ECNSIZE2012.EC1251SSSZ5&amp;hidePreview=false</w:t>
        </w:r>
      </w:hyperlink>
      <w:bookmarkEnd w:id="83"/>
      <w:r w:rsidRPr="00DA03AD">
        <w:t xml:space="preserve">. </w:t>
      </w:r>
    </w:p>
  </w:footnote>
  <w:footnote w:id="99">
    <w:p w:rsidR="00744B0B" w:rsidRPr="00DA03AD" w:rsidP="007C6686" w14:paraId="4B8B47BC" w14:textId="77777777">
      <w:pPr>
        <w:pStyle w:val="FootnoteText"/>
        <w:contextualSpacing/>
        <w:rPr>
          <w:i/>
        </w:rPr>
      </w:pPr>
      <w:r w:rsidRPr="00DA03AD">
        <w:rPr>
          <w:rStyle w:val="FootnoteReference"/>
        </w:rPr>
        <w:footnoteRef/>
      </w:r>
      <w:r w:rsidRPr="00DA03AD">
        <w:t xml:space="preserve"> </w:t>
      </w:r>
      <w:r w:rsidRPr="00DA03AD">
        <w:rPr>
          <w:i/>
        </w:rPr>
        <w:t xml:space="preserve">Id. </w:t>
      </w:r>
    </w:p>
    <w:p w:rsidR="00744B0B" w:rsidRPr="00DA03AD" w:rsidP="007C6686" w14:paraId="394BD7F5" w14:textId="77777777">
      <w:pPr>
        <w:pStyle w:val="FootnoteText"/>
        <w:contextualSpacing/>
        <w:rPr>
          <w:i/>
          <w:sz w:val="10"/>
          <w:szCs w:val="10"/>
        </w:rPr>
      </w:pPr>
    </w:p>
  </w:footnote>
  <w:footnote w:id="100">
    <w:p w:rsidR="00744B0B" w:rsidRPr="00DA03AD" w:rsidP="007C6686" w14:paraId="2DA8919F" w14:textId="77777777">
      <w:pPr>
        <w:pStyle w:val="FootnoteText"/>
        <w:spacing w:before="120"/>
      </w:pPr>
      <w:r w:rsidRPr="00DA03AD">
        <w:rPr>
          <w:rStyle w:val="FootnoteReference"/>
        </w:rPr>
        <w:footnoteRef/>
      </w:r>
      <w:r w:rsidRPr="00DA03AD">
        <w:t xml:space="preserve"> </w:t>
      </w:r>
      <w:r w:rsidRPr="00DA03AD">
        <w:rPr>
          <w:i/>
        </w:rPr>
        <w:t>See Trends in Telephone Service</w:t>
      </w:r>
      <w:r w:rsidRPr="00DA03AD">
        <w:t>, Federal Communications Commission, Wireline Competition Bureau, Industry Analysis and Technology Division at Table 5.3 (Sept. 2010) (</w:t>
      </w:r>
      <w:r w:rsidRPr="00DA03AD">
        <w:rPr>
          <w:i/>
        </w:rPr>
        <w:t>Trends in Telephone Service</w:t>
      </w:r>
      <w:r w:rsidRPr="00DA03AD">
        <w:t>).</w:t>
      </w:r>
    </w:p>
  </w:footnote>
  <w:footnote w:id="101">
    <w:p w:rsidR="00744B0B" w:rsidRPr="00DA03AD" w:rsidP="007C6686" w14:paraId="36E73C68" w14:textId="77777777">
      <w:pPr>
        <w:pStyle w:val="FootnoteText"/>
      </w:pPr>
      <w:r w:rsidRPr="00DA03AD">
        <w:rPr>
          <w:rStyle w:val="FootnoteReference"/>
        </w:rPr>
        <w:footnoteRef/>
      </w:r>
      <w:r w:rsidRPr="00DA03AD">
        <w:t xml:space="preserve"> </w:t>
      </w:r>
      <w:r w:rsidRPr="00DA03AD">
        <w:rPr>
          <w:i/>
        </w:rPr>
        <w:t>Id</w:t>
      </w:r>
      <w:r w:rsidRPr="00DA03AD">
        <w:t>.</w:t>
      </w:r>
    </w:p>
  </w:footnote>
  <w:footnote w:id="102">
    <w:p w:rsidR="00744B0B" w:rsidRPr="00DA03AD" w:rsidP="007C6686" w14:paraId="60052BBC" w14:textId="77777777">
      <w:pPr>
        <w:pStyle w:val="FootnoteText"/>
      </w:pPr>
      <w:r w:rsidRPr="00DA03AD">
        <w:rPr>
          <w:rStyle w:val="FootnoteReference"/>
        </w:rPr>
        <w:footnoteRef/>
      </w:r>
      <w:r w:rsidRPr="00DA03AD">
        <w:t xml:space="preserve"> </w:t>
      </w:r>
      <w:bookmarkStart w:id="84" w:name="_Hlk516057508"/>
      <w:r w:rsidRPr="00DA03AD">
        <w:rPr>
          <w:i/>
        </w:rPr>
        <w:t>See</w:t>
      </w:r>
      <w:r w:rsidRPr="00DA03AD">
        <w:t xml:space="preserve"> U.S. Census Bureau, </w:t>
      </w:r>
      <w:r w:rsidRPr="00DA03AD">
        <w:rPr>
          <w:i/>
        </w:rPr>
        <w:t>2017 NAICS Definition, “517311 Wired Telecommunications Carriers</w:t>
      </w:r>
      <w:r>
        <w:rPr>
          <w:i/>
        </w:rPr>
        <w:t>,</w:t>
      </w:r>
      <w:r w:rsidRPr="00DA03AD">
        <w:rPr>
          <w:i/>
        </w:rPr>
        <w:t>”</w:t>
      </w:r>
      <w:r w:rsidRPr="00DA03AD">
        <w:t xml:space="preserve"> </w:t>
      </w:r>
      <w:hyperlink r:id="rId15" w:history="1">
        <w:r w:rsidRPr="001F1B82">
          <w:rPr>
            <w:rStyle w:val="Hyperlink"/>
          </w:rPr>
          <w:t>https://www.census.gov/naics/?input=517311&amp;year=2017&amp;details=517311</w:t>
        </w:r>
      </w:hyperlink>
      <w:r w:rsidRPr="00DA03AD">
        <w:t>.</w:t>
      </w:r>
      <w:bookmarkEnd w:id="84"/>
    </w:p>
  </w:footnote>
  <w:footnote w:id="103">
    <w:p w:rsidR="00744B0B" w:rsidRPr="00DA03AD" w:rsidP="007C6686" w14:paraId="416BAFDA" w14:textId="77777777">
      <w:pPr>
        <w:pStyle w:val="FootnoteText"/>
      </w:pPr>
      <w:r w:rsidRPr="00DA03AD">
        <w:rPr>
          <w:rStyle w:val="FootnoteReference"/>
        </w:rPr>
        <w:footnoteRef/>
      </w:r>
      <w:r w:rsidRPr="00DA03AD">
        <w:t xml:space="preserve"> </w:t>
      </w:r>
      <w:r w:rsidRPr="00DA03AD">
        <w:rPr>
          <w:i/>
          <w:snapToGrid w:val="0"/>
        </w:rPr>
        <w:t>See</w:t>
      </w:r>
      <w:r w:rsidRPr="00DA03AD">
        <w:rPr>
          <w:snapToGrid w:val="0"/>
        </w:rPr>
        <w:t xml:space="preserve"> 13 CFR </w:t>
      </w:r>
      <w:r w:rsidRPr="00DA03AD">
        <w:rPr>
          <w:rStyle w:val="Footnote"/>
          <w:snapToGrid w:val="0"/>
        </w:rPr>
        <w:t>§</w:t>
      </w:r>
      <w:r w:rsidRPr="00DA03AD">
        <w:rPr>
          <w:snapToGrid w:val="0"/>
        </w:rPr>
        <w:t xml:space="preserve"> 121.201, NAICS Code 517311 (previously 517110)</w:t>
      </w:r>
      <w:r w:rsidRPr="00DA03AD">
        <w:t>.</w:t>
      </w:r>
    </w:p>
  </w:footnote>
  <w:footnote w:id="104">
    <w:p w:rsidR="00744B0B" w:rsidRPr="00DA03AD" w:rsidP="007C6686" w14:paraId="5B460EE4" w14:textId="77777777">
      <w:pPr>
        <w:pStyle w:val="FootnoteText"/>
      </w:pPr>
      <w:r w:rsidRPr="00DA03AD">
        <w:rPr>
          <w:rStyle w:val="FootnoteReference"/>
        </w:rPr>
        <w:footnoteRef/>
      </w:r>
      <w:r w:rsidRPr="00DA03AD">
        <w:t xml:space="preserve"> </w:t>
      </w:r>
      <w:r w:rsidRPr="00DA03AD">
        <w:rPr>
          <w:i/>
        </w:rPr>
        <w:t>See</w:t>
      </w:r>
      <w:r w:rsidRPr="00DA03AD">
        <w:t xml:space="preserve"> U.S. Census Bureau, </w:t>
      </w:r>
      <w:r w:rsidRPr="00DA03AD">
        <w:rPr>
          <w:bCs/>
          <w:i/>
        </w:rPr>
        <w:t>2012</w:t>
      </w:r>
      <w:r w:rsidRPr="00DA03AD">
        <w:rPr>
          <w:i/>
        </w:rPr>
        <w:t xml:space="preserve"> Economic Census</w:t>
      </w:r>
      <w:r w:rsidRPr="00DA03AD">
        <w:rPr>
          <w:bCs/>
          <w:i/>
        </w:rPr>
        <w:t xml:space="preserve"> of the United States,</w:t>
      </w:r>
      <w:r w:rsidRPr="00DA03AD">
        <w:t xml:space="preserve"> Table ID: EC1251SSSZ5, </w:t>
      </w:r>
      <w:r w:rsidRPr="00DA03AD">
        <w:rPr>
          <w:i/>
          <w:iCs/>
        </w:rPr>
        <w:t xml:space="preserve">Information: Subject Series - </w:t>
      </w:r>
      <w:r w:rsidRPr="00DA03AD">
        <w:rPr>
          <w:i/>
          <w:iCs/>
        </w:rPr>
        <w:t>Estab</w:t>
      </w:r>
      <w:r w:rsidRPr="00DA03AD">
        <w:rPr>
          <w:i/>
          <w:iCs/>
        </w:rPr>
        <w:t xml:space="preserve"> &amp; Firm Size: Employment Size of Firms for the U.S.: 2012</w:t>
      </w:r>
      <w:r w:rsidRPr="00DA03AD">
        <w:t xml:space="preserve">, NAICS Code 517110, </w:t>
      </w:r>
      <w:hyperlink r:id="rId14" w:history="1">
        <w:r w:rsidRPr="00723806">
          <w:rPr>
            <w:rStyle w:val="Hyperlink"/>
          </w:rPr>
          <w:t>https://data.census.gov/cedsci/table?text=EC1251SSSZ5&amp;n=517110&amp;tid=ECNSIZE2012.EC1251SSSZ5&amp;hidePreview=false</w:t>
        </w:r>
      </w:hyperlink>
      <w:r w:rsidRPr="00DA03AD">
        <w:t xml:space="preserve">. </w:t>
      </w:r>
    </w:p>
  </w:footnote>
  <w:footnote w:id="105">
    <w:p w:rsidR="00744B0B" w:rsidRPr="00DA03AD" w:rsidP="007C6686" w14:paraId="29B632B9" w14:textId="77777777">
      <w:pPr>
        <w:pStyle w:val="FootnoteText"/>
      </w:pPr>
      <w:r w:rsidRPr="00DA03AD">
        <w:rPr>
          <w:rStyle w:val="FootnoteReference"/>
        </w:rPr>
        <w:footnoteRef/>
      </w:r>
      <w:r w:rsidRPr="00DA03AD">
        <w:t xml:space="preserve"> </w:t>
      </w:r>
      <w:r w:rsidRPr="00DA03AD">
        <w:rPr>
          <w:i/>
        </w:rPr>
        <w:t xml:space="preserve">Id.  </w:t>
      </w:r>
      <w:bookmarkStart w:id="85" w:name="_Hlk46754187"/>
      <w:r w:rsidRPr="00F23895">
        <w:rPr>
          <w:iCs/>
        </w:rPr>
        <w:t>The available U.S. Census Bureau data does not provide a more precise estimate of the number of firms that meet the SBA size standard</w:t>
      </w:r>
      <w:bookmarkEnd w:id="85"/>
      <w:r>
        <w:rPr>
          <w:iCs/>
        </w:rPr>
        <w:t>.</w:t>
      </w:r>
    </w:p>
  </w:footnote>
  <w:footnote w:id="106">
    <w:p w:rsidR="00744B0B" w:rsidRPr="00DA03AD" w:rsidP="007C6686" w14:paraId="4DC49A47" w14:textId="77777777">
      <w:pPr>
        <w:pStyle w:val="FootnoteText"/>
      </w:pPr>
      <w:r w:rsidRPr="00DA03AD">
        <w:rPr>
          <w:rStyle w:val="FootnoteReference"/>
        </w:rPr>
        <w:footnoteRef/>
      </w:r>
      <w:r w:rsidRPr="00DA03AD">
        <w:t xml:space="preserve"> </w:t>
      </w:r>
      <w:bookmarkStart w:id="86" w:name="_Hlk516057589"/>
      <w:r w:rsidRPr="00DA03AD">
        <w:rPr>
          <w:i/>
        </w:rPr>
        <w:t xml:space="preserve">See </w:t>
      </w:r>
      <w:r w:rsidRPr="000306A0">
        <w:rPr>
          <w:i/>
        </w:rPr>
        <w:t>Trends in Telephone Service</w:t>
      </w:r>
      <w:r w:rsidRPr="00DA03AD">
        <w:t xml:space="preserve"> at Table 5.3, </w:t>
      </w:r>
      <w:hyperlink r:id="rId16" w:history="1">
        <w:r w:rsidRPr="000F3A9D">
          <w:rPr>
            <w:rStyle w:val="Hyperlink"/>
          </w:rPr>
          <w:t>https://apps.fcc.gov/edocs_public/attachmatch/DOC-301823A1.pdf</w:t>
        </w:r>
      </w:hyperlink>
      <w:bookmarkEnd w:id="86"/>
      <w:r w:rsidRPr="00DA03AD">
        <w:t>.</w:t>
      </w:r>
    </w:p>
  </w:footnote>
  <w:footnote w:id="107">
    <w:p w:rsidR="00744B0B" w:rsidRPr="00DA03AD" w:rsidP="007C6686" w14:paraId="0A5F830B" w14:textId="77777777">
      <w:pPr>
        <w:pStyle w:val="FootnoteText"/>
      </w:pPr>
      <w:r w:rsidRPr="00DA03AD">
        <w:rPr>
          <w:rStyle w:val="FootnoteReference"/>
        </w:rPr>
        <w:footnoteRef/>
      </w:r>
      <w:r w:rsidRPr="00DA03AD">
        <w:t xml:space="preserve"> </w:t>
      </w:r>
      <w:r w:rsidRPr="00DA03AD">
        <w:rPr>
          <w:i/>
        </w:rPr>
        <w:t>Id</w:t>
      </w:r>
      <w:r w:rsidRPr="00DA03AD">
        <w:t>.</w:t>
      </w:r>
    </w:p>
  </w:footnote>
  <w:footnote w:id="108">
    <w:p w:rsidR="00744B0B" w:rsidRPr="00DA03AD" w:rsidP="007C6686" w14:paraId="0D32EA08" w14:textId="77777777">
      <w:pPr>
        <w:pStyle w:val="FootnoteText"/>
      </w:pPr>
      <w:r w:rsidRPr="00DA03AD">
        <w:rPr>
          <w:rStyle w:val="FootnoteReference"/>
        </w:rPr>
        <w:footnoteRef/>
      </w:r>
      <w:r w:rsidRPr="00DA03AD">
        <w:t xml:space="preserve"> </w:t>
      </w:r>
      <w:r w:rsidRPr="00DA03AD">
        <w:rPr>
          <w:i/>
        </w:rPr>
        <w:t>Id</w:t>
      </w:r>
      <w:r w:rsidRPr="00DA03AD">
        <w:t>.</w:t>
      </w:r>
    </w:p>
  </w:footnote>
  <w:footnote w:id="109">
    <w:p w:rsidR="00744B0B" w:rsidRPr="00DA03AD" w:rsidP="007C6686" w14:paraId="7548EEBF" w14:textId="77777777">
      <w:pPr>
        <w:pStyle w:val="FootnoteText"/>
      </w:pPr>
      <w:r w:rsidRPr="00DA03AD">
        <w:rPr>
          <w:rStyle w:val="FootnoteReference"/>
        </w:rPr>
        <w:footnoteRef/>
      </w:r>
      <w:r w:rsidRPr="00DA03AD">
        <w:t xml:space="preserve"> </w:t>
      </w:r>
      <w:r w:rsidRPr="00DA03AD">
        <w:rPr>
          <w:i/>
        </w:rPr>
        <w:t>Id</w:t>
      </w:r>
      <w:r w:rsidRPr="00DA03AD">
        <w:t>.</w:t>
      </w:r>
    </w:p>
  </w:footnote>
  <w:footnote w:id="110">
    <w:p w:rsidR="00744B0B" w:rsidRPr="00DA03AD" w:rsidP="007C6686" w14:paraId="09FC1E49" w14:textId="77777777">
      <w:pPr>
        <w:pStyle w:val="FootnoteText"/>
      </w:pPr>
      <w:r w:rsidRPr="00DA03AD">
        <w:rPr>
          <w:rStyle w:val="FootnoteReference"/>
        </w:rPr>
        <w:footnoteRef/>
      </w:r>
      <w:r w:rsidRPr="00DA03AD">
        <w:t xml:space="preserve"> </w:t>
      </w:r>
      <w:r w:rsidRPr="00DA03AD">
        <w:rPr>
          <w:i/>
        </w:rPr>
        <w:t>Id</w:t>
      </w:r>
      <w:r w:rsidRPr="00DA03AD">
        <w:t>.</w:t>
      </w:r>
    </w:p>
  </w:footnote>
  <w:footnote w:id="111">
    <w:p w:rsidR="00744B0B" w:rsidRPr="00DA03AD" w:rsidP="007C6686" w14:paraId="2822849A" w14:textId="77777777">
      <w:pPr>
        <w:pStyle w:val="FootnoteText"/>
      </w:pPr>
      <w:r w:rsidRPr="00DA03AD">
        <w:rPr>
          <w:rStyle w:val="FootnoteReference"/>
        </w:rPr>
        <w:footnoteRef/>
      </w:r>
      <w:r w:rsidRPr="00DA03AD">
        <w:rPr>
          <w:i/>
        </w:rPr>
        <w:t xml:space="preserve"> See </w:t>
      </w:r>
      <w:r w:rsidRPr="00DA03AD">
        <w:t xml:space="preserve">U.S. Census Bureau, </w:t>
      </w:r>
      <w:bookmarkStart w:id="87" w:name="_Hlk31780017"/>
      <w:r w:rsidRPr="00DA03AD">
        <w:rPr>
          <w:i/>
        </w:rPr>
        <w:t>2017 NAICS Definition, “517311 Wired Telecommunications Carriers</w:t>
      </w:r>
      <w:r>
        <w:rPr>
          <w:i/>
        </w:rPr>
        <w:t>,</w:t>
      </w:r>
      <w:r w:rsidRPr="00DA03AD">
        <w:rPr>
          <w:i/>
        </w:rPr>
        <w:t>”</w:t>
      </w:r>
      <w:bookmarkEnd w:id="87"/>
      <w:r w:rsidRPr="00DA03AD">
        <w:t xml:space="preserve"> </w:t>
      </w:r>
      <w:r w:rsidRPr="000F3A9D">
        <w:rPr>
          <w:rStyle w:val="Hyperlink"/>
        </w:rPr>
        <w:t>https://www.census.gov/naics/?input=517311&amp;year=2017&amp;details=517311</w:t>
      </w:r>
      <w:r w:rsidRPr="00DA03AD">
        <w:t xml:space="preserve">. </w:t>
      </w:r>
    </w:p>
  </w:footnote>
  <w:footnote w:id="112">
    <w:p w:rsidR="00744B0B" w:rsidRPr="00DA03AD" w:rsidP="007C6686" w14:paraId="4F45D69F" w14:textId="77777777">
      <w:pPr>
        <w:pStyle w:val="FootnoteText"/>
      </w:pPr>
      <w:r w:rsidRPr="00DA03AD">
        <w:rPr>
          <w:rStyle w:val="FootnoteReference"/>
        </w:rPr>
        <w:footnoteRef/>
      </w:r>
      <w:r w:rsidRPr="00DA03AD">
        <w:t xml:space="preserve"> </w:t>
      </w:r>
      <w:r w:rsidRPr="00DA03AD">
        <w:rPr>
          <w:i/>
          <w:snapToGrid w:val="0"/>
        </w:rPr>
        <w:t>See</w:t>
      </w:r>
      <w:r w:rsidRPr="00DA03AD">
        <w:rPr>
          <w:snapToGrid w:val="0"/>
        </w:rPr>
        <w:t xml:space="preserve"> 13 CFR </w:t>
      </w:r>
      <w:r w:rsidRPr="00DA03AD">
        <w:rPr>
          <w:rStyle w:val="Footnote"/>
        </w:rPr>
        <w:t>§</w:t>
      </w:r>
      <w:r w:rsidRPr="00DA03AD">
        <w:rPr>
          <w:snapToGrid w:val="0"/>
        </w:rPr>
        <w:t xml:space="preserve"> 121.201, NAICS Code 517311 (previously 517110).</w:t>
      </w:r>
      <w:r w:rsidRPr="00DA03AD">
        <w:t xml:space="preserve"> </w:t>
      </w:r>
    </w:p>
  </w:footnote>
  <w:footnote w:id="113">
    <w:p w:rsidR="00744B0B" w:rsidRPr="00DA03AD" w:rsidP="007C6686" w14:paraId="454760F6" w14:textId="77777777">
      <w:pPr>
        <w:pStyle w:val="FootnoteText"/>
      </w:pPr>
      <w:r w:rsidRPr="00DA03AD">
        <w:rPr>
          <w:rStyle w:val="FootnoteReference"/>
        </w:rPr>
        <w:footnoteRef/>
      </w:r>
      <w:r w:rsidRPr="00DA03AD">
        <w:t xml:space="preserve"> </w:t>
      </w:r>
      <w:r w:rsidRPr="00DA03AD">
        <w:rPr>
          <w:i/>
        </w:rPr>
        <w:t>See</w:t>
      </w:r>
      <w:r w:rsidRPr="00DA03AD">
        <w:t xml:space="preserve"> U.S. Census Bureau, </w:t>
      </w:r>
      <w:r w:rsidRPr="00DA03AD">
        <w:rPr>
          <w:bCs/>
          <w:i/>
        </w:rPr>
        <w:t>2012</w:t>
      </w:r>
      <w:r w:rsidRPr="00DA03AD">
        <w:rPr>
          <w:i/>
        </w:rPr>
        <w:t xml:space="preserve"> Economic Census</w:t>
      </w:r>
      <w:r w:rsidRPr="00DA03AD">
        <w:rPr>
          <w:bCs/>
          <w:i/>
        </w:rPr>
        <w:t xml:space="preserve"> of the United States,</w:t>
      </w:r>
      <w:r w:rsidRPr="00DA03AD">
        <w:t xml:space="preserve"> Table ID: EC1251SSSZ5, </w:t>
      </w:r>
      <w:r w:rsidRPr="00DA03AD">
        <w:rPr>
          <w:i/>
          <w:iCs/>
        </w:rPr>
        <w:t xml:space="preserve">Information:  Subject Series - </w:t>
      </w:r>
      <w:r w:rsidRPr="00DA03AD">
        <w:rPr>
          <w:i/>
          <w:iCs/>
        </w:rPr>
        <w:t>Estab</w:t>
      </w:r>
      <w:r w:rsidRPr="00DA03AD">
        <w:rPr>
          <w:i/>
          <w:iCs/>
        </w:rPr>
        <w:t xml:space="preserve"> &amp; Firm Size: Employment Size of Firms for the U.S.: 2012,</w:t>
      </w:r>
      <w:r w:rsidRPr="00DA03AD">
        <w:t xml:space="preserve"> </w:t>
      </w:r>
      <w:bookmarkStart w:id="91" w:name="_Hlk35600243"/>
      <w:r w:rsidRPr="00DA03AD">
        <w:t>NAICS Code 517110</w:t>
      </w:r>
      <w:bookmarkEnd w:id="91"/>
      <w:r w:rsidRPr="00DA03AD">
        <w:t xml:space="preserve">, </w:t>
      </w:r>
      <w:hyperlink r:id="rId14" w:history="1">
        <w:r w:rsidRPr="00723806">
          <w:rPr>
            <w:rStyle w:val="Hyperlink"/>
          </w:rPr>
          <w:t>https://data.census.gov/cedsci/table?text=EC1251SSSZ5&amp;n=517110&amp;tid=ECNSIZE2012.EC1251SSSZ5&amp;hidePreview=false</w:t>
        </w:r>
      </w:hyperlink>
      <w:r>
        <w:rPr>
          <w:rStyle w:val="Hyperlink"/>
        </w:rPr>
        <w:t>.</w:t>
      </w:r>
    </w:p>
  </w:footnote>
  <w:footnote w:id="114">
    <w:p w:rsidR="00744B0B" w:rsidRPr="00DA03AD" w:rsidP="007C6686" w14:paraId="5E5F96FB" w14:textId="77777777">
      <w:pPr>
        <w:pStyle w:val="FootnoteText"/>
        <w:contextualSpacing/>
      </w:pPr>
      <w:r w:rsidRPr="00DA03AD">
        <w:rPr>
          <w:rStyle w:val="FootnoteReference"/>
        </w:rPr>
        <w:footnoteRef/>
      </w:r>
      <w:r w:rsidRPr="00DA03AD">
        <w:t xml:space="preserve"> </w:t>
      </w:r>
      <w:r w:rsidRPr="00DA03AD">
        <w:rPr>
          <w:i/>
        </w:rPr>
        <w:t>Id</w:t>
      </w:r>
      <w:r w:rsidRPr="00DA03AD">
        <w:t xml:space="preserve">.  </w:t>
      </w:r>
      <w:bookmarkStart w:id="92" w:name="_Hlk35600286"/>
      <w:r w:rsidRPr="00F23895">
        <w:rPr>
          <w:iCs/>
        </w:rPr>
        <w:t>The available U.S. Census Bureau data does not provide a more precise estimate of the number of firms that meet the SBA size standard</w:t>
      </w:r>
      <w:r>
        <w:rPr>
          <w:iCs/>
        </w:rPr>
        <w:t>.</w:t>
      </w:r>
      <w:bookmarkEnd w:id="92"/>
    </w:p>
    <w:p w:rsidR="00744B0B" w:rsidRPr="00DA03AD" w:rsidP="007C6686" w14:paraId="142FFE51" w14:textId="77777777">
      <w:pPr>
        <w:pStyle w:val="FootnoteText"/>
        <w:contextualSpacing/>
        <w:rPr>
          <w:sz w:val="10"/>
          <w:szCs w:val="10"/>
        </w:rPr>
      </w:pPr>
    </w:p>
  </w:footnote>
  <w:footnote w:id="115">
    <w:p w:rsidR="00744B0B" w:rsidRPr="00DA03AD" w:rsidP="007C6686" w14:paraId="103C28D2" w14:textId="77777777">
      <w:pPr>
        <w:pStyle w:val="FootnoteText"/>
      </w:pPr>
      <w:r w:rsidRPr="00DA03AD">
        <w:rPr>
          <w:rStyle w:val="FootnoteReference"/>
        </w:rPr>
        <w:footnoteRef/>
      </w:r>
      <w:r w:rsidRPr="00DA03AD">
        <w:t xml:space="preserve"> </w:t>
      </w:r>
      <w:r w:rsidRPr="00DA03AD">
        <w:rPr>
          <w:i/>
        </w:rPr>
        <w:t>See Trends in Telephone Service</w:t>
      </w:r>
      <w:r w:rsidRPr="00DA03AD">
        <w:t xml:space="preserve"> at Table 5.3</w:t>
      </w:r>
      <w:r>
        <w:t>,</w:t>
      </w:r>
      <w:r w:rsidRPr="00DA03AD">
        <w:t xml:space="preserve"> </w:t>
      </w:r>
      <w:hyperlink r:id="rId16" w:history="1">
        <w:r w:rsidRPr="000F3A9D">
          <w:rPr>
            <w:rStyle w:val="Hyperlink"/>
          </w:rPr>
          <w:t>https://apps.fcc.gov/edocs_public/attachmatch/DOC-301823A1.pdf</w:t>
        </w:r>
      </w:hyperlink>
      <w:r w:rsidRPr="00DA03AD">
        <w:t>.</w:t>
      </w:r>
    </w:p>
  </w:footnote>
  <w:footnote w:id="116">
    <w:p w:rsidR="00744B0B" w:rsidRPr="00DA03AD" w:rsidP="007C6686" w14:paraId="6EF6A706" w14:textId="77777777">
      <w:pPr>
        <w:pStyle w:val="FootnoteText"/>
      </w:pPr>
      <w:r w:rsidRPr="00DA03AD">
        <w:rPr>
          <w:rStyle w:val="FootnoteReference"/>
        </w:rPr>
        <w:footnoteRef/>
      </w:r>
      <w:r w:rsidRPr="00DA03AD">
        <w:t xml:space="preserve"> </w:t>
      </w:r>
      <w:r w:rsidRPr="00DA03AD">
        <w:rPr>
          <w:i/>
        </w:rPr>
        <w:t>Id</w:t>
      </w:r>
      <w:r w:rsidRPr="00DA03AD">
        <w:t>.</w:t>
      </w:r>
    </w:p>
  </w:footnote>
  <w:footnote w:id="117">
    <w:p w:rsidR="00744B0B" w:rsidRPr="00DA03AD" w:rsidP="007C6686" w14:paraId="07728DDD" w14:textId="77777777">
      <w:pPr>
        <w:pStyle w:val="FootnoteText"/>
      </w:pPr>
      <w:r w:rsidRPr="00DA03AD">
        <w:rPr>
          <w:rStyle w:val="FootnoteReference"/>
        </w:rPr>
        <w:footnoteRef/>
      </w:r>
      <w:r w:rsidRPr="00DA03AD">
        <w:rPr>
          <w:i/>
        </w:rPr>
        <w:t xml:space="preserve"> See </w:t>
      </w:r>
      <w:r w:rsidRPr="00DA03AD">
        <w:t xml:space="preserve">U.S. Census Bureau, </w:t>
      </w:r>
      <w:r w:rsidRPr="00DA03AD">
        <w:rPr>
          <w:i/>
        </w:rPr>
        <w:t>2017 NAICS Definition, “517311 Wired Telecommunications Carriers</w:t>
      </w:r>
      <w:r>
        <w:rPr>
          <w:i/>
        </w:rPr>
        <w:t>,</w:t>
      </w:r>
      <w:r w:rsidRPr="00DA03AD">
        <w:rPr>
          <w:i/>
        </w:rPr>
        <w:t>”</w:t>
      </w:r>
      <w:r w:rsidRPr="00DA03AD">
        <w:t xml:space="preserve"> </w:t>
      </w:r>
      <w:hyperlink r:id="rId15" w:history="1">
        <w:r w:rsidRPr="001F1B82">
          <w:rPr>
            <w:rStyle w:val="Hyperlink"/>
          </w:rPr>
          <w:t>https://www.census.gov/naics/?input=517311&amp;year=2017&amp;details=517311</w:t>
        </w:r>
      </w:hyperlink>
      <w:r w:rsidRPr="00DA03AD">
        <w:t xml:space="preserve">. </w:t>
      </w:r>
    </w:p>
  </w:footnote>
  <w:footnote w:id="118">
    <w:p w:rsidR="00744B0B" w:rsidRPr="00DA03AD" w:rsidP="007C6686" w14:paraId="50B9145A" w14:textId="77777777">
      <w:pPr>
        <w:pStyle w:val="FootnoteText"/>
      </w:pPr>
      <w:r w:rsidRPr="00DA03AD">
        <w:rPr>
          <w:rStyle w:val="FootnoteReference"/>
        </w:rPr>
        <w:footnoteRef/>
      </w:r>
      <w:r w:rsidRPr="00DA03AD">
        <w:t xml:space="preserve"> </w:t>
      </w:r>
      <w:r w:rsidRPr="00DA03AD">
        <w:rPr>
          <w:i/>
          <w:snapToGrid w:val="0"/>
        </w:rPr>
        <w:t>See</w:t>
      </w:r>
      <w:r w:rsidRPr="00DA03AD">
        <w:rPr>
          <w:snapToGrid w:val="0"/>
        </w:rPr>
        <w:t xml:space="preserve"> 13 CFR </w:t>
      </w:r>
      <w:r w:rsidRPr="00DA03AD">
        <w:rPr>
          <w:rStyle w:val="Footnote"/>
        </w:rPr>
        <w:t>§</w:t>
      </w:r>
      <w:r w:rsidRPr="00DA03AD">
        <w:rPr>
          <w:snapToGrid w:val="0"/>
        </w:rPr>
        <w:t xml:space="preserve"> 121.201, NAICS Code 517311 (previously 517110).</w:t>
      </w:r>
      <w:r w:rsidRPr="00DA03AD">
        <w:t xml:space="preserve"> </w:t>
      </w:r>
    </w:p>
  </w:footnote>
  <w:footnote w:id="119">
    <w:p w:rsidR="00744B0B" w:rsidRPr="00DA03AD" w:rsidP="007C6686" w14:paraId="674E9BF5" w14:textId="77777777">
      <w:pPr>
        <w:pStyle w:val="FootnoteText"/>
      </w:pPr>
      <w:r w:rsidRPr="00DA03AD">
        <w:rPr>
          <w:rStyle w:val="FootnoteReference"/>
        </w:rPr>
        <w:footnoteRef/>
      </w:r>
      <w:r w:rsidRPr="00DA03AD">
        <w:t xml:space="preserve"> </w:t>
      </w:r>
      <w:r w:rsidRPr="00DA03AD">
        <w:rPr>
          <w:i/>
        </w:rPr>
        <w:t>See</w:t>
      </w:r>
      <w:r w:rsidRPr="00DA03AD">
        <w:t xml:space="preserve"> U.S. Census Bureau, </w:t>
      </w:r>
      <w:r w:rsidRPr="00DA03AD">
        <w:rPr>
          <w:bCs/>
          <w:i/>
        </w:rPr>
        <w:t>2012</w:t>
      </w:r>
      <w:r w:rsidRPr="00DA03AD">
        <w:rPr>
          <w:i/>
        </w:rPr>
        <w:t xml:space="preserve"> Economic Census</w:t>
      </w:r>
      <w:r w:rsidRPr="00DA03AD">
        <w:rPr>
          <w:bCs/>
          <w:i/>
        </w:rPr>
        <w:t xml:space="preserve"> of the United States,</w:t>
      </w:r>
      <w:r w:rsidRPr="00DA03AD">
        <w:t xml:space="preserve"> Table ID: EC1251SSSZ5, </w:t>
      </w:r>
      <w:r w:rsidRPr="00DA03AD">
        <w:rPr>
          <w:i/>
          <w:iCs/>
        </w:rPr>
        <w:t xml:space="preserve">Information: Subject Series - </w:t>
      </w:r>
      <w:r w:rsidRPr="00DA03AD">
        <w:rPr>
          <w:i/>
          <w:iCs/>
        </w:rPr>
        <w:t>Estab</w:t>
      </w:r>
      <w:r w:rsidRPr="00DA03AD">
        <w:rPr>
          <w:i/>
          <w:iCs/>
        </w:rPr>
        <w:t xml:space="preserve"> &amp; Firm Size: Employment Size of Firms for the U.S.: 2012,</w:t>
      </w:r>
      <w:r w:rsidRPr="00DA03AD">
        <w:t xml:space="preserve"> NAICS Code 517110, </w:t>
      </w:r>
      <w:hyperlink r:id="rId14" w:history="1">
        <w:r w:rsidRPr="00723806">
          <w:rPr>
            <w:rStyle w:val="Hyperlink"/>
          </w:rPr>
          <w:t>https://data.census.gov/cedsci/table?text=EC1251SSSZ5&amp;n=517110&amp;tid=ECNSIZE2012.EC1251SSSZ5&amp;hidePreview=false</w:t>
        </w:r>
      </w:hyperlink>
      <w:r>
        <w:rPr>
          <w:rStyle w:val="Hyperlink"/>
        </w:rPr>
        <w:t>.</w:t>
      </w:r>
    </w:p>
  </w:footnote>
  <w:footnote w:id="120">
    <w:p w:rsidR="00744B0B" w:rsidRPr="00DA03AD" w:rsidP="007C6686" w14:paraId="4DC1E8FC" w14:textId="77777777">
      <w:pPr>
        <w:pStyle w:val="FootnoteText"/>
        <w:contextualSpacing/>
      </w:pPr>
      <w:r w:rsidRPr="00DA03AD">
        <w:rPr>
          <w:rStyle w:val="FootnoteReference"/>
        </w:rPr>
        <w:footnoteRef/>
      </w:r>
      <w:r w:rsidRPr="00DA03AD">
        <w:t xml:space="preserve"> </w:t>
      </w:r>
      <w:r w:rsidRPr="00DA03AD">
        <w:rPr>
          <w:i/>
        </w:rPr>
        <w:t>Id</w:t>
      </w:r>
      <w:r w:rsidRPr="00DA03AD">
        <w:t xml:space="preserve">.  </w:t>
      </w:r>
      <w:r w:rsidRPr="00F23895">
        <w:rPr>
          <w:iCs/>
        </w:rPr>
        <w:t>The available U.S. Census Bureau data does not provide a more precise estimate of the number of firms that meet the SBA size standard</w:t>
      </w:r>
      <w:r>
        <w:rPr>
          <w:iCs/>
        </w:rPr>
        <w:t>.</w:t>
      </w:r>
      <w:r w:rsidRPr="00DA03AD">
        <w:t xml:space="preserve"> </w:t>
      </w:r>
    </w:p>
    <w:p w:rsidR="00744B0B" w:rsidRPr="00DA03AD" w:rsidP="007C6686" w14:paraId="2313E35D" w14:textId="77777777">
      <w:pPr>
        <w:pStyle w:val="FootnoteText"/>
        <w:contextualSpacing/>
        <w:rPr>
          <w:sz w:val="10"/>
          <w:szCs w:val="10"/>
        </w:rPr>
      </w:pPr>
    </w:p>
  </w:footnote>
  <w:footnote w:id="121">
    <w:p w:rsidR="00744B0B" w:rsidRPr="00DA03AD" w:rsidP="007C6686" w14:paraId="4D063C21" w14:textId="77777777">
      <w:pPr>
        <w:pStyle w:val="FootnoteText"/>
      </w:pPr>
      <w:r w:rsidRPr="00DA03AD">
        <w:rPr>
          <w:rStyle w:val="FootnoteReference"/>
        </w:rPr>
        <w:footnoteRef/>
      </w:r>
      <w:r w:rsidRPr="00DA03AD">
        <w:t xml:space="preserve"> </w:t>
      </w:r>
      <w:r w:rsidRPr="00DA03AD">
        <w:rPr>
          <w:i/>
        </w:rPr>
        <w:t>See Trends in Telephone Service</w:t>
      </w:r>
      <w:r w:rsidRPr="00DA03AD">
        <w:t xml:space="preserve"> at Table 5.3</w:t>
      </w:r>
      <w:r>
        <w:t>,</w:t>
      </w:r>
      <w:r w:rsidRPr="00DA03AD">
        <w:t xml:space="preserve"> </w:t>
      </w:r>
      <w:hyperlink r:id="rId16" w:history="1">
        <w:r w:rsidRPr="000306A0">
          <w:rPr>
            <w:rStyle w:val="Hyperlink"/>
          </w:rPr>
          <w:t>https://apps.fcc.gov/edocs_public/attachmatch/DOC-301823A1.pdf</w:t>
        </w:r>
      </w:hyperlink>
      <w:r w:rsidRPr="00DA03AD">
        <w:t>.</w:t>
      </w:r>
    </w:p>
  </w:footnote>
  <w:footnote w:id="122">
    <w:p w:rsidR="00744B0B" w:rsidRPr="00DA03AD" w:rsidP="007C6686" w14:paraId="033D938F" w14:textId="77777777">
      <w:pPr>
        <w:pStyle w:val="FootnoteText"/>
      </w:pPr>
      <w:r w:rsidRPr="00DA03AD">
        <w:rPr>
          <w:rStyle w:val="FootnoteReference"/>
        </w:rPr>
        <w:footnoteRef/>
      </w:r>
      <w:r w:rsidRPr="00DA03AD">
        <w:t xml:space="preserve"> </w:t>
      </w:r>
      <w:r w:rsidRPr="00DA03AD">
        <w:rPr>
          <w:i/>
        </w:rPr>
        <w:t>Id</w:t>
      </w:r>
      <w:r w:rsidRPr="00DA03AD">
        <w:t>.</w:t>
      </w:r>
    </w:p>
  </w:footnote>
  <w:footnote w:id="123">
    <w:p w:rsidR="00744B0B" w:rsidRPr="00DA03AD" w:rsidP="007C6686" w14:paraId="6C52990F" w14:textId="77777777">
      <w:pPr>
        <w:pStyle w:val="FootnoteText"/>
      </w:pPr>
      <w:r w:rsidRPr="00DA03AD">
        <w:rPr>
          <w:rStyle w:val="FootnoteReference"/>
        </w:rPr>
        <w:footnoteRef/>
      </w:r>
      <w:r w:rsidRPr="00DA03AD">
        <w:t xml:space="preserve"> U.S. Census Bureau, </w:t>
      </w:r>
      <w:r w:rsidRPr="00DA03AD">
        <w:rPr>
          <w:i/>
        </w:rPr>
        <w:t xml:space="preserve">517911 Telecommunications Resellers, </w:t>
      </w:r>
      <w:hyperlink r:id="rId17" w:history="1">
        <w:r w:rsidRPr="00D15965">
          <w:rPr>
            <w:rStyle w:val="Hyperlink"/>
            <w:iCs/>
          </w:rPr>
          <w:t>https://www.census.gov/naics/?input=517911&amp;year=2017&amp;details=517911</w:t>
        </w:r>
      </w:hyperlink>
      <w:r>
        <w:rPr>
          <w:iCs/>
        </w:rPr>
        <w:t>.</w:t>
      </w:r>
    </w:p>
  </w:footnote>
  <w:footnote w:id="124">
    <w:p w:rsidR="00744B0B" w:rsidRPr="00DA03AD" w:rsidP="007C6686" w14:paraId="37C6B290" w14:textId="77777777">
      <w:pPr>
        <w:pStyle w:val="FootnoteText"/>
      </w:pPr>
      <w:r w:rsidRPr="00DA03AD">
        <w:rPr>
          <w:rStyle w:val="FootnoteReference"/>
        </w:rPr>
        <w:footnoteRef/>
      </w:r>
      <w:r w:rsidRPr="00DA03AD">
        <w:t xml:space="preserve"> 13 CFR § 121.201, NAICS code 517911.</w:t>
      </w:r>
    </w:p>
  </w:footnote>
  <w:footnote w:id="125">
    <w:p w:rsidR="00744B0B" w:rsidRPr="00DA03AD" w:rsidP="007C6686" w14:paraId="5CBD0E42" w14:textId="77777777">
      <w:pPr>
        <w:pStyle w:val="FootnoteText"/>
      </w:pPr>
      <w:r w:rsidRPr="00DA03AD">
        <w:rPr>
          <w:rStyle w:val="FootnoteReference"/>
        </w:rPr>
        <w:footnoteRef/>
      </w:r>
      <w:r w:rsidRPr="00DA03AD">
        <w:t xml:space="preserve"> U.S. Census Bureau, 2012 Economic Census, Subject Series: Information, “Establishment and Firm Size,” NAICS code 517911.</w:t>
      </w:r>
    </w:p>
  </w:footnote>
  <w:footnote w:id="126">
    <w:p w:rsidR="00744B0B" w:rsidRPr="00DA03AD" w:rsidP="007C6686" w14:paraId="5BD8F2E9" w14:textId="77777777">
      <w:pPr>
        <w:pStyle w:val="FootnoteText"/>
      </w:pPr>
      <w:r w:rsidRPr="00DA03AD">
        <w:rPr>
          <w:rStyle w:val="FootnoteReference"/>
        </w:rPr>
        <w:footnoteRef/>
      </w:r>
      <w:r w:rsidRPr="00DA03AD">
        <w:t xml:space="preserve"> </w:t>
      </w:r>
      <w:r w:rsidRPr="00DA03AD">
        <w:rPr>
          <w:i/>
        </w:rPr>
        <w:t>See Trends in Telephone Service</w:t>
      </w:r>
      <w:r w:rsidRPr="00DA03AD">
        <w:t xml:space="preserve"> at Table 5.3.  </w:t>
      </w:r>
    </w:p>
  </w:footnote>
  <w:footnote w:id="127">
    <w:p w:rsidR="00744B0B" w:rsidRPr="00DA03AD" w:rsidP="007C6686" w14:paraId="2CEBB4EE" w14:textId="77777777">
      <w:pPr>
        <w:pStyle w:val="FootnoteText"/>
      </w:pPr>
      <w:r w:rsidRPr="00DA03AD">
        <w:rPr>
          <w:rStyle w:val="FootnoteReference"/>
        </w:rPr>
        <w:footnoteRef/>
      </w:r>
      <w:r w:rsidRPr="00DA03AD">
        <w:t xml:space="preserve"> </w:t>
      </w:r>
      <w:r w:rsidRPr="00DA03AD">
        <w:rPr>
          <w:i/>
        </w:rPr>
        <w:t>See id</w:t>
      </w:r>
      <w:r w:rsidRPr="00DA03AD">
        <w:t>.</w:t>
      </w:r>
    </w:p>
  </w:footnote>
  <w:footnote w:id="128">
    <w:p w:rsidR="00744B0B" w:rsidRPr="00DA03AD" w:rsidP="007C6686" w14:paraId="6988D198" w14:textId="77777777">
      <w:pPr>
        <w:pStyle w:val="FootnoteText"/>
      </w:pPr>
      <w:r w:rsidRPr="00DA03AD">
        <w:rPr>
          <w:rStyle w:val="FootnoteReference"/>
        </w:rPr>
        <w:footnoteRef/>
      </w:r>
      <w:r w:rsidRPr="00DA03AD">
        <w:rPr>
          <w:i/>
          <w:iCs/>
        </w:rPr>
        <w:t xml:space="preserve"> See</w:t>
      </w:r>
      <w:r w:rsidRPr="00DA03AD">
        <w:t xml:space="preserve"> U.S. Census Bureau, </w:t>
      </w:r>
      <w:r w:rsidRPr="00DA03AD">
        <w:rPr>
          <w:i/>
        </w:rPr>
        <w:t>2017 NAICS Definition</w:t>
      </w:r>
      <w:r w:rsidRPr="00DA03AD">
        <w:t>, “</w:t>
      </w:r>
      <w:r w:rsidRPr="00DA03AD">
        <w:rPr>
          <w:i/>
          <w:iCs/>
        </w:rPr>
        <w:t>517911 Telecommunications Resellers</w:t>
      </w:r>
      <w:r>
        <w:rPr>
          <w:i/>
          <w:iCs/>
        </w:rPr>
        <w:t>,</w:t>
      </w:r>
      <w:r w:rsidRPr="00DA03AD">
        <w:t xml:space="preserve">” </w:t>
      </w:r>
      <w:r w:rsidRPr="000F3A9D">
        <w:rPr>
          <w:rStyle w:val="Hyperlink"/>
        </w:rPr>
        <w:t>https://www.census.gov/naics/?input=517911&amp;year=2017&amp;details=517911</w:t>
      </w:r>
      <w:r>
        <w:t>.</w:t>
      </w:r>
    </w:p>
  </w:footnote>
  <w:footnote w:id="129">
    <w:p w:rsidR="00744B0B" w:rsidRPr="00DA03AD" w:rsidP="007C6686" w14:paraId="40DDAAD5" w14:textId="77777777">
      <w:pPr>
        <w:pStyle w:val="FootnoteText"/>
      </w:pPr>
      <w:r w:rsidRPr="00DA03AD">
        <w:rPr>
          <w:rStyle w:val="FootnoteReference"/>
        </w:rPr>
        <w:footnoteRef/>
      </w:r>
      <w:r w:rsidRPr="00DA03AD">
        <w:t xml:space="preserve"> </w:t>
      </w:r>
      <w:r w:rsidRPr="00DA03AD">
        <w:rPr>
          <w:i/>
          <w:iCs/>
        </w:rPr>
        <w:t xml:space="preserve">See </w:t>
      </w:r>
      <w:r w:rsidRPr="00DA03AD">
        <w:rPr>
          <w:color w:val="000000"/>
        </w:rPr>
        <w:t>13 CFR § 121.201, NAICS Code 517911.</w:t>
      </w:r>
    </w:p>
  </w:footnote>
  <w:footnote w:id="130">
    <w:p w:rsidR="00744B0B" w:rsidRPr="000306A0" w:rsidP="007C6686" w14:paraId="12EF7577" w14:textId="77777777">
      <w:pPr>
        <w:pStyle w:val="FootnoteText"/>
        <w:rPr>
          <w:color w:val="0000FF"/>
        </w:rPr>
      </w:pPr>
      <w:r w:rsidRPr="00DA03AD">
        <w:rPr>
          <w:rStyle w:val="FootnoteReference"/>
        </w:rPr>
        <w:footnoteRef/>
      </w:r>
      <w:r w:rsidRPr="00DA03AD">
        <w:t xml:space="preserve"> </w:t>
      </w:r>
      <w:r w:rsidRPr="00DA03AD">
        <w:rPr>
          <w:i/>
        </w:rPr>
        <w:t>Id.</w:t>
      </w:r>
    </w:p>
  </w:footnote>
  <w:footnote w:id="131">
    <w:p w:rsidR="00744B0B" w:rsidRPr="00DA03AD" w:rsidP="007C6686" w14:paraId="0779FFAB" w14:textId="77777777">
      <w:pPr>
        <w:pStyle w:val="FootnoteText"/>
      </w:pPr>
      <w:r w:rsidRPr="00DA03AD">
        <w:rPr>
          <w:rStyle w:val="FootnoteReference"/>
        </w:rPr>
        <w:footnoteRef/>
      </w:r>
      <w:r w:rsidRPr="00DA03AD">
        <w:rPr>
          <w:i/>
        </w:rPr>
        <w:t xml:space="preserve"> </w:t>
      </w:r>
      <w:bookmarkStart w:id="93" w:name="_Hlk22861329"/>
      <w:r w:rsidRPr="00DA03AD">
        <w:rPr>
          <w:i/>
        </w:rPr>
        <w:t>See</w:t>
      </w:r>
      <w:r w:rsidRPr="00DA03AD">
        <w:t xml:space="preserve"> U.S. Census Bureau, </w:t>
      </w:r>
      <w:r w:rsidRPr="00DA03AD">
        <w:rPr>
          <w:bCs/>
          <w:i/>
        </w:rPr>
        <w:t>2012</w:t>
      </w:r>
      <w:r w:rsidRPr="00DA03AD">
        <w:rPr>
          <w:i/>
        </w:rPr>
        <w:t xml:space="preserve"> Economic Census</w:t>
      </w:r>
      <w:r w:rsidRPr="00DA03AD">
        <w:rPr>
          <w:bCs/>
          <w:i/>
        </w:rPr>
        <w:t xml:space="preserve"> of the United States,</w:t>
      </w:r>
      <w:r w:rsidRPr="00DA03AD">
        <w:t xml:space="preserve"> Table ID: EC1251SSSZ5, </w:t>
      </w:r>
      <w:r w:rsidRPr="00DA03AD">
        <w:rPr>
          <w:i/>
          <w:iCs/>
        </w:rPr>
        <w:t xml:space="preserve">Information: Subject Series - </w:t>
      </w:r>
      <w:r w:rsidRPr="00DA03AD">
        <w:rPr>
          <w:i/>
          <w:iCs/>
        </w:rPr>
        <w:t>Estab</w:t>
      </w:r>
      <w:r w:rsidRPr="00DA03AD">
        <w:rPr>
          <w:i/>
          <w:iCs/>
        </w:rPr>
        <w:t xml:space="preserve"> &amp; Firm Size: Employment Size of Firms for the U.S.: 2012,</w:t>
      </w:r>
      <w:r w:rsidRPr="00DA03AD">
        <w:t xml:space="preserve"> NAICS Code 517911, </w:t>
      </w:r>
      <w:hyperlink r:id="rId18" w:history="1">
        <w:r w:rsidRPr="00DA03AD">
          <w:rPr>
            <w:rStyle w:val="Hyperlink"/>
          </w:rPr>
          <w:t>https://data.census.gov/cedsci/table?text=EC1251SSSZ5&amp;n=517911&amp;tid=ECNSIZE2012.EC1251SSSZ5&amp;hidePreview=false</w:t>
        </w:r>
      </w:hyperlink>
      <w:r w:rsidRPr="00DA03AD">
        <w:t>.</w:t>
      </w:r>
      <w:bookmarkEnd w:id="93"/>
    </w:p>
  </w:footnote>
  <w:footnote w:id="132">
    <w:p w:rsidR="00744B0B" w:rsidRPr="00DA03AD" w:rsidP="007C6686" w14:paraId="6E5207C1" w14:textId="77777777">
      <w:pPr>
        <w:pStyle w:val="FootnoteText"/>
      </w:pPr>
      <w:r w:rsidRPr="00DA03AD">
        <w:rPr>
          <w:rStyle w:val="FootnoteReference"/>
        </w:rPr>
        <w:footnoteRef/>
      </w:r>
      <w:r w:rsidRPr="00DA03AD">
        <w:rPr>
          <w:i/>
        </w:rPr>
        <w:t xml:space="preserve"> Id.  </w:t>
      </w:r>
      <w:bookmarkStart w:id="94" w:name="_Hlk22861398"/>
      <w:bookmarkStart w:id="95" w:name="_Hlk35413325"/>
      <w:bookmarkStart w:id="96" w:name="_Hlk35413326"/>
      <w:bookmarkStart w:id="97" w:name="_Hlk35413335"/>
      <w:bookmarkStart w:id="98" w:name="_Hlk35413336"/>
      <w:bookmarkStart w:id="99" w:name="_Hlk35413374"/>
      <w:bookmarkStart w:id="100" w:name="_Hlk35413375"/>
      <w:r w:rsidRPr="00F23895">
        <w:rPr>
          <w:iCs/>
        </w:rPr>
        <w:t>The available U.S. Census Bureau data does not provide a more precise estimate of the number of firms that meet the SBA size standard</w:t>
      </w:r>
      <w:r>
        <w:rPr>
          <w:iCs/>
        </w:rPr>
        <w:t>.</w:t>
      </w:r>
      <w:r w:rsidRPr="00DA03AD">
        <w:t xml:space="preserve"> </w:t>
      </w:r>
      <w:bookmarkEnd w:id="94"/>
      <w:bookmarkEnd w:id="95"/>
      <w:bookmarkEnd w:id="96"/>
      <w:bookmarkEnd w:id="97"/>
      <w:bookmarkEnd w:id="98"/>
      <w:bookmarkEnd w:id="99"/>
      <w:bookmarkEnd w:id="100"/>
    </w:p>
  </w:footnote>
  <w:footnote w:id="133">
    <w:p w:rsidR="00744B0B" w:rsidRPr="00DA03AD" w:rsidP="007C6686" w14:paraId="5C005FA3" w14:textId="77777777">
      <w:pPr>
        <w:pStyle w:val="FootnoteText"/>
      </w:pPr>
      <w:r w:rsidRPr="00DA03AD">
        <w:rPr>
          <w:rStyle w:val="FootnoteReference"/>
        </w:rPr>
        <w:footnoteRef/>
      </w:r>
      <w:r w:rsidRPr="00DA03AD">
        <w:rPr>
          <w:i/>
        </w:rPr>
        <w:t xml:space="preserve"> See Trends in Telephone Service</w:t>
      </w:r>
      <w:r w:rsidRPr="00DA03AD">
        <w:t xml:space="preserve"> at Table 5.3</w:t>
      </w:r>
      <w:r w:rsidRPr="00DA03AD">
        <w:rPr>
          <w:color w:val="000000"/>
        </w:rPr>
        <w:t>.</w:t>
      </w:r>
    </w:p>
  </w:footnote>
  <w:footnote w:id="134">
    <w:p w:rsidR="00744B0B" w:rsidRPr="00DA03AD" w:rsidP="007C6686" w14:paraId="1561D90B" w14:textId="77777777">
      <w:pPr>
        <w:pStyle w:val="FootnoteText"/>
      </w:pPr>
      <w:r w:rsidRPr="00DA03AD">
        <w:rPr>
          <w:rStyle w:val="FootnoteReference"/>
        </w:rPr>
        <w:footnoteRef/>
      </w:r>
      <w:r w:rsidRPr="00DA03AD">
        <w:t xml:space="preserve"> </w:t>
      </w:r>
      <w:r w:rsidRPr="00DA03AD">
        <w:rPr>
          <w:i/>
        </w:rPr>
        <w:t>See id.</w:t>
      </w:r>
    </w:p>
  </w:footnote>
  <w:footnote w:id="135">
    <w:p w:rsidR="00744B0B" w:rsidRPr="00DA03AD" w:rsidP="007C6686" w14:paraId="65D032E4" w14:textId="77777777">
      <w:pPr>
        <w:pStyle w:val="FootnoteText"/>
      </w:pPr>
      <w:r w:rsidRPr="00DA03AD">
        <w:rPr>
          <w:rStyle w:val="FootnoteReference"/>
        </w:rPr>
        <w:footnoteRef/>
      </w:r>
      <w:r w:rsidRPr="00DA03AD">
        <w:t xml:space="preserve"> </w:t>
      </w:r>
      <w:r w:rsidRPr="00DA03AD">
        <w:rPr>
          <w:bCs/>
          <w:i/>
          <w:iCs/>
        </w:rPr>
        <w:t>See</w:t>
      </w:r>
      <w:r w:rsidRPr="00DA03AD">
        <w:t xml:space="preserve"> U.S. Census Bureau, </w:t>
      </w:r>
      <w:r w:rsidRPr="00DA03AD">
        <w:rPr>
          <w:i/>
          <w:iCs/>
        </w:rPr>
        <w:t>2017 NAICS Definition, “</w:t>
      </w:r>
      <w:r w:rsidRPr="00DA03AD">
        <w:rPr>
          <w:bCs/>
          <w:i/>
          <w:iCs/>
        </w:rPr>
        <w:t>517312 Wireless Telecommunications Carriers</w:t>
      </w:r>
      <w:r w:rsidRPr="00DA03AD">
        <w:rPr>
          <w:bCs/>
        </w:rPr>
        <w:t xml:space="preserve"> </w:t>
      </w:r>
      <w:r w:rsidRPr="00DA03AD">
        <w:rPr>
          <w:bCs/>
          <w:i/>
          <w:iCs/>
        </w:rPr>
        <w:t>(except Satellite)</w:t>
      </w:r>
      <w:r>
        <w:rPr>
          <w:bCs/>
          <w:i/>
          <w:iCs/>
        </w:rPr>
        <w:t>,</w:t>
      </w:r>
      <w:r w:rsidRPr="00DA03AD">
        <w:rPr>
          <w:bCs/>
          <w:i/>
          <w:iCs/>
        </w:rPr>
        <w:t>”</w:t>
      </w:r>
      <w:r w:rsidRPr="00DA03AD">
        <w:t xml:space="preserve"> </w:t>
      </w:r>
      <w:bookmarkStart w:id="126" w:name="_Hlk38031927"/>
      <w:hyperlink r:id="rId19" w:history="1">
        <w:r w:rsidRPr="001F1B82">
          <w:rPr>
            <w:rStyle w:val="Hyperlink"/>
          </w:rPr>
          <w:t>https://www.census.gov/naics/?input=517312&amp;year=2017&amp;details=517312</w:t>
        </w:r>
      </w:hyperlink>
      <w:r>
        <w:rPr>
          <w:rStyle w:val="Hyperlink"/>
        </w:rPr>
        <w:t>.</w:t>
      </w:r>
      <w:bookmarkEnd w:id="126"/>
      <w:r w:rsidRPr="00DA03AD">
        <w:rPr>
          <w:iCs/>
        </w:rPr>
        <w:t xml:space="preserve"> </w:t>
      </w:r>
    </w:p>
  </w:footnote>
  <w:footnote w:id="136">
    <w:p w:rsidR="00744B0B" w:rsidRPr="00DA03AD" w:rsidP="007C6686" w14:paraId="7F3D41FF" w14:textId="76C3E769">
      <w:pPr>
        <w:pStyle w:val="FootnoteText"/>
      </w:pPr>
      <w:r w:rsidRPr="00DA03AD">
        <w:rPr>
          <w:rStyle w:val="FootnoteReference"/>
        </w:rPr>
        <w:footnoteRef/>
      </w:r>
      <w:r w:rsidRPr="00DA03AD">
        <w:rPr>
          <w:lang w:val="fr-FR"/>
        </w:rPr>
        <w:t xml:space="preserve"> </w:t>
      </w:r>
      <w:r w:rsidRPr="00DA03AD">
        <w:rPr>
          <w:bCs/>
          <w:i/>
          <w:iCs/>
        </w:rPr>
        <w:t>See</w:t>
      </w:r>
      <w:r w:rsidRPr="00DA03AD">
        <w:rPr>
          <w:lang w:val="fr-FR"/>
        </w:rPr>
        <w:t xml:space="preserve"> 13 CFR § 121.201, NAICS Code 517312 (</w:t>
      </w:r>
      <w:r w:rsidRPr="00DA03AD">
        <w:rPr>
          <w:lang w:val="fr-FR"/>
        </w:rPr>
        <w:t>previously</w:t>
      </w:r>
      <w:r w:rsidRPr="00DA03AD">
        <w:rPr>
          <w:lang w:val="fr-FR"/>
        </w:rPr>
        <w:t xml:space="preserve"> 517210).  </w:t>
      </w:r>
    </w:p>
  </w:footnote>
  <w:footnote w:id="137">
    <w:p w:rsidR="00744B0B" w:rsidRPr="00DA03AD" w:rsidP="007C6686" w14:paraId="6C19C66D" w14:textId="77777777">
      <w:pPr>
        <w:pStyle w:val="FootnoteText"/>
      </w:pPr>
      <w:r w:rsidRPr="00DA03AD">
        <w:rPr>
          <w:rStyle w:val="FootnoteReference"/>
        </w:rPr>
        <w:footnoteRef/>
      </w:r>
      <w:r w:rsidRPr="00DA03AD">
        <w:t xml:space="preserve"> </w:t>
      </w:r>
      <w:r w:rsidRPr="00DA03AD">
        <w:rPr>
          <w:bCs/>
          <w:i/>
          <w:iCs/>
        </w:rPr>
        <w:t>See</w:t>
      </w:r>
      <w:r w:rsidRPr="00DA03AD">
        <w:t xml:space="preserve"> U.S. Census Bureau, </w:t>
      </w:r>
      <w:r w:rsidRPr="00DA03AD">
        <w:rPr>
          <w:bCs/>
          <w:i/>
        </w:rPr>
        <w:t>2012</w:t>
      </w:r>
      <w:r w:rsidRPr="00DA03AD">
        <w:rPr>
          <w:i/>
        </w:rPr>
        <w:t xml:space="preserve"> Economic Census</w:t>
      </w:r>
      <w:r w:rsidRPr="00DA03AD">
        <w:rPr>
          <w:bCs/>
          <w:i/>
        </w:rPr>
        <w:t xml:space="preserve"> of the United States</w:t>
      </w:r>
      <w:r w:rsidRPr="00DA03AD">
        <w:t xml:space="preserve">, Table ID: EC1251SSSZ5, </w:t>
      </w:r>
      <w:r w:rsidRPr="00DA03AD">
        <w:rPr>
          <w:i/>
          <w:iCs/>
        </w:rPr>
        <w:t xml:space="preserve">Information: Subject Series: </w:t>
      </w:r>
      <w:r w:rsidRPr="00DA03AD">
        <w:rPr>
          <w:i/>
          <w:iCs/>
        </w:rPr>
        <w:t>Estab</w:t>
      </w:r>
      <w:r w:rsidRPr="00DA03AD">
        <w:rPr>
          <w:i/>
          <w:iCs/>
        </w:rPr>
        <w:t xml:space="preserve"> and Firm Size: Employment Size of Firms for the U.S.: 2012</w:t>
      </w:r>
      <w:r w:rsidRPr="00DA03AD">
        <w:t xml:space="preserve">, NAICS Code 517210, </w:t>
      </w:r>
      <w:hyperlink r:id="rId20" w:history="1">
        <w:r w:rsidRPr="000306A0">
          <w:rPr>
            <w:rStyle w:val="Hyperlink"/>
          </w:rPr>
          <w:t>https://data.census.gov/cedsci/table?text=EC1251SSSZ5&amp;n=517210&amp;tid=ECNSIZE2012.EC1251SSSZ5&amp;hidePreview=false&amp;vintage=2012</w:t>
        </w:r>
      </w:hyperlink>
      <w:r w:rsidRPr="00DA03AD">
        <w:t xml:space="preserve">. </w:t>
      </w:r>
    </w:p>
  </w:footnote>
  <w:footnote w:id="138">
    <w:p w:rsidR="00744B0B" w:rsidRPr="00DA03AD" w:rsidP="007C6686" w14:paraId="33DE27ED" w14:textId="77777777">
      <w:pPr>
        <w:pStyle w:val="FootnoteText"/>
      </w:pPr>
      <w:r w:rsidRPr="00DA03AD">
        <w:rPr>
          <w:rStyle w:val="FootnoteReference"/>
        </w:rPr>
        <w:footnoteRef/>
      </w:r>
      <w:r w:rsidRPr="00DA03AD">
        <w:t xml:space="preserve"> </w:t>
      </w:r>
      <w:r w:rsidRPr="00DA03AD">
        <w:rPr>
          <w:i/>
        </w:rPr>
        <w:t>Id</w:t>
      </w:r>
      <w:r w:rsidRPr="00DA03AD">
        <w:t xml:space="preserve">.  </w:t>
      </w:r>
      <w:r w:rsidRPr="00F23895">
        <w:rPr>
          <w:iCs/>
        </w:rPr>
        <w:t>The available U.S. Census Bureau data does not provide a more precise estimate of the number of firms that meet the SBA size standard</w:t>
      </w:r>
      <w:r>
        <w:rPr>
          <w:iCs/>
        </w:rPr>
        <w:t>.</w:t>
      </w:r>
      <w:r w:rsidRPr="00DA03AD">
        <w:t xml:space="preserve"> </w:t>
      </w:r>
    </w:p>
  </w:footnote>
  <w:footnote w:id="139">
    <w:p w:rsidR="00744B0B" w:rsidRPr="00DA03AD" w:rsidP="007C6686" w14:paraId="6CAE9154" w14:textId="77777777">
      <w:pPr>
        <w:pStyle w:val="FootnoteText"/>
        <w:rPr>
          <w:b/>
        </w:rPr>
      </w:pPr>
      <w:r w:rsidRPr="00DA03AD">
        <w:rPr>
          <w:rStyle w:val="FootnoteReference"/>
        </w:rPr>
        <w:footnoteRef/>
      </w:r>
      <w:r w:rsidRPr="00DA03AD">
        <w:t xml:space="preserve"> </w:t>
      </w:r>
      <w:r w:rsidRPr="00DA03AD">
        <w:rPr>
          <w:bCs/>
          <w:i/>
          <w:iCs/>
        </w:rPr>
        <w:t xml:space="preserve">See </w:t>
      </w:r>
      <w:r w:rsidRPr="00DA03AD">
        <w:t>http://wireless.fcc.gov/uls</w:t>
      </w:r>
      <w:r w:rsidRPr="00DA03AD">
        <w:rPr>
          <w:bCs/>
        </w:rPr>
        <w:t>.</w:t>
      </w:r>
      <w:r w:rsidRPr="00DA03AD">
        <w:t xml:space="preserve">  For the purposes of this Supplemental FRFA consistent with Commission practice for wireless services, the Commission estimates the number of licensees based on the number of unique FCC Registration Numbers.  </w:t>
      </w:r>
    </w:p>
  </w:footnote>
  <w:footnote w:id="140">
    <w:p w:rsidR="00744B0B" w:rsidRPr="00DA03AD" w:rsidP="007C6686" w14:paraId="000A2261" w14:textId="77777777">
      <w:pPr>
        <w:pStyle w:val="FootnoteText"/>
      </w:pPr>
      <w:r w:rsidRPr="00DA03AD">
        <w:rPr>
          <w:rStyle w:val="FootnoteReference"/>
        </w:rPr>
        <w:footnoteRef/>
      </w:r>
      <w:r w:rsidRPr="00DA03AD">
        <w:t xml:space="preserve"> </w:t>
      </w:r>
      <w:r w:rsidRPr="00DA03AD">
        <w:rPr>
          <w:i/>
        </w:rPr>
        <w:t xml:space="preserve">See </w:t>
      </w:r>
      <w:r w:rsidRPr="000306A0">
        <w:rPr>
          <w:i/>
        </w:rPr>
        <w:t>Trends in Telephone Service</w:t>
      </w:r>
      <w:r w:rsidRPr="00DA03AD">
        <w:t xml:space="preserve"> at Table 5.3, </w:t>
      </w:r>
      <w:hyperlink r:id="rId16" w:history="1">
        <w:r w:rsidRPr="000F3A9D">
          <w:rPr>
            <w:rStyle w:val="Hyperlink"/>
          </w:rPr>
          <w:t>https://apps.fcc.gov/edocs_public/attachmatch/DOC-301823A1.pdf</w:t>
        </w:r>
      </w:hyperlink>
      <w:r w:rsidRPr="00DA03AD">
        <w:t xml:space="preserve">. </w:t>
      </w:r>
    </w:p>
  </w:footnote>
  <w:footnote w:id="141">
    <w:p w:rsidR="00744B0B" w:rsidRPr="00DA03AD" w:rsidP="007C6686" w14:paraId="1FD59538" w14:textId="77777777">
      <w:pPr>
        <w:pStyle w:val="FootnoteText"/>
      </w:pPr>
      <w:r w:rsidRPr="00DA03AD">
        <w:rPr>
          <w:rStyle w:val="FootnoteReference"/>
        </w:rPr>
        <w:footnoteRef/>
      </w:r>
      <w:r w:rsidRPr="00DA03AD">
        <w:t xml:space="preserve"> </w:t>
      </w:r>
      <w:r w:rsidRPr="00DA03AD">
        <w:rPr>
          <w:i/>
        </w:rPr>
        <w:t>See id</w:t>
      </w:r>
      <w:r w:rsidRPr="00DA03AD">
        <w:t>.</w:t>
      </w:r>
    </w:p>
  </w:footnote>
  <w:footnote w:id="142">
    <w:p w:rsidR="00744B0B" w:rsidRPr="00DA03AD" w:rsidP="007C6686" w14:paraId="5FCA3EBD" w14:textId="77777777">
      <w:pPr>
        <w:pStyle w:val="FootnoteText"/>
      </w:pPr>
      <w:r w:rsidRPr="00DA03AD">
        <w:rPr>
          <w:rStyle w:val="FootnoteReference"/>
        </w:rPr>
        <w:footnoteRef/>
      </w:r>
      <w:r w:rsidRPr="00DA03AD">
        <w:t xml:space="preserve"> </w:t>
      </w:r>
      <w:r w:rsidRPr="00DA03AD">
        <w:rPr>
          <w:i/>
          <w:iCs/>
        </w:rPr>
        <w:t>See</w:t>
      </w:r>
      <w:r w:rsidRPr="00DA03AD">
        <w:t xml:space="preserve"> U.S. Census Bureau, </w:t>
      </w:r>
      <w:r w:rsidRPr="00DA03AD">
        <w:rPr>
          <w:i/>
          <w:iCs/>
        </w:rPr>
        <w:t>2017 NAICS Definition, “517410 Satellite Telecommunications</w:t>
      </w:r>
      <w:r>
        <w:rPr>
          <w:i/>
          <w:iCs/>
        </w:rPr>
        <w:t>,</w:t>
      </w:r>
      <w:r w:rsidRPr="00DA03AD">
        <w:rPr>
          <w:i/>
          <w:iCs/>
        </w:rPr>
        <w:t xml:space="preserve">” </w:t>
      </w:r>
      <w:bookmarkStart w:id="127" w:name="_Hlk31797228"/>
      <w:bookmarkStart w:id="128" w:name="_Hlk31797223"/>
      <w:hyperlink r:id="rId21" w:history="1">
        <w:r w:rsidRPr="000F3A9D">
          <w:rPr>
            <w:rStyle w:val="Hyperlink"/>
          </w:rPr>
          <w:t>https://www.census.gov/cgi-bin/sssd/naics/naicsrch?input=517410&amp;search=2017+NAICS+Search&amp;search=2017</w:t>
        </w:r>
      </w:hyperlink>
      <w:r w:rsidRPr="00DA03AD">
        <w:t>.</w:t>
      </w:r>
      <w:bookmarkEnd w:id="127"/>
      <w:r w:rsidRPr="00DA03AD">
        <w:t xml:space="preserve">    </w:t>
      </w:r>
      <w:bookmarkEnd w:id="128"/>
    </w:p>
  </w:footnote>
  <w:footnote w:id="143">
    <w:p w:rsidR="00744B0B" w:rsidRPr="00DA03AD" w:rsidP="007C6686" w14:paraId="6CD5C561" w14:textId="77777777">
      <w:pPr>
        <w:pStyle w:val="FootnoteText"/>
      </w:pPr>
      <w:r w:rsidRPr="00DA03AD">
        <w:rPr>
          <w:rStyle w:val="FootnoteReference"/>
        </w:rPr>
        <w:footnoteRef/>
      </w:r>
      <w:r w:rsidRPr="00DA03AD">
        <w:t xml:space="preserve"> </w:t>
      </w:r>
      <w:r w:rsidRPr="00DA03AD">
        <w:rPr>
          <w:i/>
          <w:iCs/>
        </w:rPr>
        <w:t xml:space="preserve">See </w:t>
      </w:r>
      <w:r w:rsidRPr="00DA03AD">
        <w:t>13 CFR § 121.201, NAICS Code 517410.</w:t>
      </w:r>
    </w:p>
  </w:footnote>
  <w:footnote w:id="144">
    <w:p w:rsidR="00744B0B" w:rsidRPr="00DA03AD" w:rsidP="007C6686" w14:paraId="60020995" w14:textId="77777777">
      <w:pPr>
        <w:pStyle w:val="FootnoteText"/>
      </w:pPr>
      <w:r w:rsidRPr="00DA03AD">
        <w:rPr>
          <w:rStyle w:val="FootnoteReference"/>
        </w:rPr>
        <w:footnoteRef/>
      </w:r>
      <w:r w:rsidRPr="00DA03AD">
        <w:t xml:space="preserve"> </w:t>
      </w:r>
      <w:r w:rsidRPr="00DA03AD">
        <w:rPr>
          <w:i/>
          <w:iCs/>
        </w:rPr>
        <w:t xml:space="preserve">See </w:t>
      </w:r>
      <w:r w:rsidRPr="00DA03AD">
        <w:t xml:space="preserve">U.S. Census Bureau, </w:t>
      </w:r>
      <w:r w:rsidRPr="00DA03AD">
        <w:rPr>
          <w:bCs/>
          <w:i/>
        </w:rPr>
        <w:t>2012</w:t>
      </w:r>
      <w:r w:rsidRPr="00DA03AD">
        <w:rPr>
          <w:i/>
        </w:rPr>
        <w:t xml:space="preserve"> Economic Census</w:t>
      </w:r>
      <w:r w:rsidRPr="00DA03AD">
        <w:rPr>
          <w:bCs/>
          <w:i/>
        </w:rPr>
        <w:t xml:space="preserve"> of the United States</w:t>
      </w:r>
      <w:r w:rsidRPr="00DA03AD">
        <w:t xml:space="preserve">, Table ID: EC1251SSSZ4, </w:t>
      </w:r>
      <w:r w:rsidRPr="00DA03AD">
        <w:rPr>
          <w:i/>
          <w:iCs/>
        </w:rPr>
        <w:t xml:space="preserve">Information: Subject Series - </w:t>
      </w:r>
      <w:r w:rsidRPr="00DA03AD">
        <w:rPr>
          <w:i/>
          <w:iCs/>
        </w:rPr>
        <w:t>Estab</w:t>
      </w:r>
      <w:r w:rsidRPr="00DA03AD">
        <w:rPr>
          <w:i/>
          <w:iCs/>
        </w:rPr>
        <w:t xml:space="preserve"> and Firm Size: </w:t>
      </w:r>
      <w:r w:rsidRPr="00DA03AD">
        <w:rPr>
          <w:bCs/>
          <w:i/>
          <w:iCs/>
        </w:rPr>
        <w:t>Receipts Size of Firms for the U.S.: 2012</w:t>
      </w:r>
      <w:r w:rsidRPr="00DA03AD">
        <w:t xml:space="preserve">, NAICS Code 517410, </w:t>
      </w:r>
      <w:hyperlink r:id="rId22" w:history="1">
        <w:r w:rsidRPr="000F3A9D">
          <w:rPr>
            <w:rStyle w:val="Hyperlink"/>
          </w:rPr>
          <w:t>https://data.census.gov/cedsci/table?text=EC1251SSSZ4&amp;n=517410&amp;tid=ECNSIZE2012.EC1251SSSZ4&amp;hidePreview=false&amp;vintage=2012</w:t>
        </w:r>
      </w:hyperlink>
      <w:r w:rsidRPr="00DA03AD">
        <w:t xml:space="preserve">.    </w:t>
      </w:r>
    </w:p>
  </w:footnote>
  <w:footnote w:id="145">
    <w:p w:rsidR="00744B0B" w:rsidRPr="00DA03AD" w:rsidP="007C6686" w14:paraId="49366FF8" w14:textId="77777777">
      <w:pPr>
        <w:pStyle w:val="FootnoteText"/>
      </w:pPr>
      <w:r w:rsidRPr="00DA03AD">
        <w:rPr>
          <w:rStyle w:val="FootnoteReference"/>
        </w:rPr>
        <w:footnoteRef/>
      </w:r>
      <w:r w:rsidRPr="00DA03AD">
        <w:t xml:space="preserve"> </w:t>
      </w:r>
      <w:r w:rsidRPr="00DA03AD">
        <w:rPr>
          <w:i/>
        </w:rPr>
        <w:t>Id</w:t>
      </w:r>
      <w:r w:rsidRPr="00DA03AD">
        <w:t xml:space="preserve">.  </w:t>
      </w:r>
      <w:bookmarkStart w:id="129" w:name="_Hlk22822293"/>
      <w:bookmarkStart w:id="130" w:name="_Hlk31797305"/>
      <w:bookmarkStart w:id="131" w:name="_Hlk31797306"/>
      <w:r w:rsidRPr="00DA03AD">
        <w:t>The available U.S. Census Bureau data does not provide a more precise estimate of the number of firms that meet the SBA size standard of annual receipts of $35 million or less</w:t>
      </w:r>
      <w:bookmarkEnd w:id="129"/>
      <w:r w:rsidRPr="00DA03AD">
        <w:t>.</w:t>
      </w:r>
      <w:bookmarkEnd w:id="130"/>
      <w:bookmarkEnd w:id="131"/>
    </w:p>
  </w:footnote>
  <w:footnote w:id="146">
    <w:p w:rsidR="00744B0B" w:rsidRPr="00DA03AD" w:rsidP="007C6686" w14:paraId="48726AF0" w14:textId="77777777">
      <w:pPr>
        <w:pStyle w:val="FootnoteText"/>
      </w:pPr>
      <w:r w:rsidRPr="00DA03AD">
        <w:rPr>
          <w:rStyle w:val="FootnoteReference"/>
        </w:rPr>
        <w:footnoteRef/>
      </w:r>
      <w:r w:rsidRPr="00DA03AD">
        <w:t xml:space="preserve"> </w:t>
      </w:r>
      <w:r w:rsidRPr="00DA03AD">
        <w:rPr>
          <w:i/>
          <w:iCs/>
        </w:rPr>
        <w:t xml:space="preserve">See </w:t>
      </w:r>
      <w:r w:rsidRPr="00DA03AD">
        <w:t>U.S. Census Bureau, 2007 NAICS Definitions, “517</w:t>
      </w:r>
      <w:r>
        <w:t>312</w:t>
      </w:r>
      <w:r w:rsidRPr="00DA03AD">
        <w:t xml:space="preserve"> Wireless Telecommunications Categories (Except Satellite)</w:t>
      </w:r>
      <w:r>
        <w:t>,</w:t>
      </w:r>
      <w:r w:rsidRPr="00DA03AD">
        <w:t xml:space="preserve">” </w:t>
      </w:r>
      <w:r w:rsidRPr="000F3A9D">
        <w:rPr>
          <w:rStyle w:val="Hyperlink"/>
        </w:rPr>
        <w:t>https://www.census.gov/naics/?input=517312&amp;year=2017&amp;details=517312</w:t>
      </w:r>
      <w:r>
        <w:t>.</w:t>
      </w:r>
      <w:r w:rsidRPr="00DA03AD">
        <w:t xml:space="preserve"> </w:t>
      </w:r>
    </w:p>
  </w:footnote>
  <w:footnote w:id="147">
    <w:p w:rsidR="00744B0B" w:rsidRPr="00DA03AD" w:rsidP="007C6686" w14:paraId="687D5DF7" w14:textId="77777777">
      <w:pPr>
        <w:pStyle w:val="FootnoteText"/>
      </w:pPr>
      <w:r w:rsidRPr="00DA03AD">
        <w:rPr>
          <w:vertAlign w:val="superscript"/>
        </w:rPr>
        <w:footnoteRef/>
      </w:r>
      <w:r w:rsidRPr="00DA03AD">
        <w:t xml:space="preserve"> </w:t>
      </w:r>
      <w:r w:rsidRPr="00DA03AD">
        <w:rPr>
          <w:i/>
          <w:iCs/>
        </w:rPr>
        <w:t>Revision of Part 22 and Part 90 of the Commission’s Rules to Facilitate Future Development of Paging Systems et al.</w:t>
      </w:r>
      <w:r w:rsidRPr="00DA03AD">
        <w:t xml:space="preserve">, WT Docket No. 96-18 et al., Second Report and Order and Further Notice of Proposed Rulemaking, 12 FCC </w:t>
      </w:r>
      <w:r w:rsidRPr="00DA03AD">
        <w:t>Rcd</w:t>
      </w:r>
      <w:r w:rsidRPr="00DA03AD">
        <w:t xml:space="preserve"> 2732, 2811-12, paras. 178-81 (1997) (</w:t>
      </w:r>
      <w:r w:rsidRPr="00DA03AD">
        <w:rPr>
          <w:i/>
          <w:iCs/>
        </w:rPr>
        <w:t>Paging Second Report and Order</w:t>
      </w:r>
      <w:r w:rsidRPr="00DA03AD">
        <w:t xml:space="preserve">); </w:t>
      </w:r>
      <w:r w:rsidRPr="00DA03AD">
        <w:rPr>
          <w:i/>
          <w:iCs/>
        </w:rPr>
        <w:t>Revision of Part 22 and Part 90 of the Commission’s Rules to Facilitate Future Development of Paging Systems et al.</w:t>
      </w:r>
      <w:r w:rsidRPr="00DA03AD">
        <w:t xml:space="preserve">, Memorandum Opinion and Order on Reconsideration and Third Report and Order, 14 FCC </w:t>
      </w:r>
      <w:r w:rsidRPr="00DA03AD">
        <w:t>Rcd</w:t>
      </w:r>
      <w:r w:rsidRPr="00DA03AD">
        <w:t xml:space="preserve"> 10030, 10085-88, paras. 98-107 (1999).</w:t>
      </w:r>
    </w:p>
  </w:footnote>
  <w:footnote w:id="148">
    <w:p w:rsidR="00744B0B" w:rsidRPr="00DA03AD" w:rsidP="007C6686" w14:paraId="2C8AB256" w14:textId="77777777">
      <w:pPr>
        <w:pStyle w:val="FootnoteText"/>
      </w:pPr>
      <w:r w:rsidRPr="00DA03AD">
        <w:rPr>
          <w:vertAlign w:val="superscript"/>
        </w:rPr>
        <w:footnoteRef/>
      </w:r>
      <w:r w:rsidRPr="00DA03AD">
        <w:rPr>
          <w:vertAlign w:val="superscript"/>
        </w:rPr>
        <w:t xml:space="preserve"> </w:t>
      </w:r>
      <w:r w:rsidRPr="00DA03AD">
        <w:rPr>
          <w:i/>
          <w:iCs/>
        </w:rPr>
        <w:t>Paging Second Report and Order</w:t>
      </w:r>
      <w:r w:rsidRPr="00DA03AD">
        <w:t xml:space="preserve">, 12 FCC </w:t>
      </w:r>
      <w:r w:rsidRPr="00DA03AD">
        <w:t>Rcd</w:t>
      </w:r>
      <w:r w:rsidRPr="00DA03AD">
        <w:t xml:space="preserve"> at 2811, para. 179.</w:t>
      </w:r>
    </w:p>
  </w:footnote>
  <w:footnote w:id="149">
    <w:p w:rsidR="00744B0B" w:rsidRPr="00DA03AD" w:rsidP="007C6686" w14:paraId="5FE84C68" w14:textId="77777777">
      <w:pPr>
        <w:pStyle w:val="FootnoteText"/>
      </w:pPr>
      <w:r w:rsidRPr="00DA03AD">
        <w:rPr>
          <w:vertAlign w:val="superscript"/>
        </w:rPr>
        <w:footnoteRef/>
      </w:r>
      <w:r w:rsidRPr="00DA03AD">
        <w:t xml:space="preserve"> </w:t>
      </w:r>
      <w:r w:rsidRPr="00DA03AD">
        <w:rPr>
          <w:i/>
          <w:iCs/>
        </w:rPr>
        <w:t xml:space="preserve">See </w:t>
      </w:r>
      <w:r w:rsidRPr="00DA03AD">
        <w:t xml:space="preserve">Letter from Aida Alvarez, Administrator, SBA, to Amy </w:t>
      </w:r>
      <w:r w:rsidRPr="00DA03AD">
        <w:t>Zoslov</w:t>
      </w:r>
      <w:r w:rsidRPr="00DA03AD">
        <w:t>, Chief, Auctions and Industry Analysis Division, Wireless Telecommunications Bureau, FCC (dated Dec. 2, 1998).</w:t>
      </w:r>
    </w:p>
  </w:footnote>
  <w:footnote w:id="150">
    <w:p w:rsidR="00744B0B" w:rsidRPr="00DA03AD" w:rsidP="007C6686" w14:paraId="6DC81057" w14:textId="77777777">
      <w:pPr>
        <w:pStyle w:val="FootnoteText"/>
      </w:pPr>
      <w:r w:rsidRPr="00DA03AD">
        <w:rPr>
          <w:vertAlign w:val="superscript"/>
        </w:rPr>
        <w:footnoteRef/>
      </w:r>
      <w:r w:rsidRPr="00DA03AD">
        <w:rPr>
          <w:vertAlign w:val="superscript"/>
        </w:rPr>
        <w:t xml:space="preserve"> </w:t>
      </w:r>
      <w:r w:rsidRPr="00DA03AD">
        <w:rPr>
          <w:i/>
          <w:iCs/>
        </w:rPr>
        <w:t>See</w:t>
      </w:r>
      <w:r w:rsidRPr="00DA03AD">
        <w:t xml:space="preserve"> </w:t>
      </w:r>
      <w:r w:rsidRPr="00DA03AD">
        <w:rPr>
          <w:i/>
          <w:iCs/>
        </w:rPr>
        <w:t>929 and 931 MHz Paging Auction Closes</w:t>
      </w:r>
      <w:r w:rsidRPr="00DA03AD">
        <w:t xml:space="preserve">, Public Notice, 15 FCC </w:t>
      </w:r>
      <w:r w:rsidRPr="00DA03AD">
        <w:t>Rcd</w:t>
      </w:r>
      <w:r w:rsidRPr="00DA03AD">
        <w:t xml:space="preserve"> 4858 (WTB 2000).</w:t>
      </w:r>
    </w:p>
  </w:footnote>
  <w:footnote w:id="151">
    <w:p w:rsidR="00744B0B" w:rsidRPr="00DA03AD" w:rsidP="007C6686" w14:paraId="2F27BC4A" w14:textId="77777777">
      <w:pPr>
        <w:pStyle w:val="FootnoteText"/>
      </w:pPr>
      <w:r w:rsidRPr="00DA03AD">
        <w:rPr>
          <w:vertAlign w:val="superscript"/>
        </w:rPr>
        <w:footnoteRef/>
      </w:r>
      <w:r w:rsidRPr="00DA03AD">
        <w:rPr>
          <w:vertAlign w:val="superscript"/>
        </w:rPr>
        <w:t xml:space="preserve"> </w:t>
      </w:r>
      <w:r w:rsidRPr="00DA03AD">
        <w:rPr>
          <w:i/>
          <w:iCs/>
        </w:rPr>
        <w:t>See</w:t>
      </w:r>
      <w:r w:rsidRPr="00DA03AD">
        <w:t xml:space="preserve"> </w:t>
      </w:r>
      <w:r w:rsidRPr="00DA03AD">
        <w:rPr>
          <w:i/>
          <w:iCs/>
        </w:rPr>
        <w:t>id.</w:t>
      </w:r>
    </w:p>
  </w:footnote>
  <w:footnote w:id="152">
    <w:p w:rsidR="00744B0B" w:rsidRPr="00DA03AD" w:rsidP="007C6686" w14:paraId="226F1EE7" w14:textId="77777777">
      <w:pPr>
        <w:pStyle w:val="FootnoteText"/>
      </w:pPr>
      <w:r w:rsidRPr="00DA03AD">
        <w:rPr>
          <w:vertAlign w:val="superscript"/>
        </w:rPr>
        <w:footnoteRef/>
      </w:r>
      <w:r w:rsidRPr="00DA03AD">
        <w:t xml:space="preserve"> </w:t>
      </w:r>
      <w:r w:rsidRPr="00DA03AD">
        <w:rPr>
          <w:i/>
          <w:iCs/>
        </w:rPr>
        <w:t>See</w:t>
      </w:r>
      <w:r w:rsidRPr="00DA03AD">
        <w:t xml:space="preserve"> </w:t>
      </w:r>
      <w:r w:rsidRPr="00DA03AD">
        <w:rPr>
          <w:i/>
          <w:iCs/>
        </w:rPr>
        <w:t>Lower and Upper Paging Bands Auction Closes</w:t>
      </w:r>
      <w:r w:rsidRPr="00DA03AD">
        <w:t xml:space="preserve">, Public Notice, 16 FCC </w:t>
      </w:r>
      <w:r w:rsidRPr="00DA03AD">
        <w:t>Rcd</w:t>
      </w:r>
      <w:r w:rsidRPr="00DA03AD">
        <w:t xml:space="preserve"> 21821 (WTB 2001).</w:t>
      </w:r>
    </w:p>
  </w:footnote>
  <w:footnote w:id="153">
    <w:p w:rsidR="00744B0B" w:rsidRPr="00DA03AD" w:rsidP="007C6686" w14:paraId="1C014A5A" w14:textId="77777777">
      <w:pPr>
        <w:pStyle w:val="FootnoteText"/>
      </w:pPr>
      <w:r w:rsidRPr="00DA03AD">
        <w:rPr>
          <w:vertAlign w:val="superscript"/>
        </w:rPr>
        <w:footnoteRef/>
      </w:r>
      <w:r w:rsidRPr="00DA03AD">
        <w:rPr>
          <w:vertAlign w:val="superscript"/>
        </w:rPr>
        <w:t xml:space="preserve"> </w:t>
      </w:r>
      <w:r w:rsidRPr="00DA03AD">
        <w:rPr>
          <w:i/>
          <w:iCs/>
        </w:rPr>
        <w:t>See</w:t>
      </w:r>
      <w:r w:rsidRPr="00DA03AD">
        <w:t xml:space="preserve"> </w:t>
      </w:r>
      <w:r w:rsidRPr="00DA03AD">
        <w:rPr>
          <w:i/>
          <w:iCs/>
        </w:rPr>
        <w:t>Lower and Upper Paging Bands Auction Closes</w:t>
      </w:r>
      <w:r w:rsidRPr="00DA03AD">
        <w:t xml:space="preserve">, Public Notice, 18 FCC </w:t>
      </w:r>
      <w:r w:rsidRPr="00DA03AD">
        <w:t>Rcd</w:t>
      </w:r>
      <w:r w:rsidRPr="00DA03AD">
        <w:t xml:space="preserve"> 11154 (WTB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154">
    <w:p w:rsidR="00744B0B" w:rsidRPr="00DA03AD" w:rsidP="007C6686" w14:paraId="788E2EA4" w14:textId="77777777">
      <w:pPr>
        <w:pStyle w:val="FootnoteText"/>
      </w:pPr>
      <w:r w:rsidRPr="00DA03AD">
        <w:rPr>
          <w:vertAlign w:val="superscript"/>
        </w:rPr>
        <w:footnoteRef/>
      </w:r>
      <w:r w:rsidRPr="00DA03AD">
        <w:rPr>
          <w:vertAlign w:val="superscript"/>
        </w:rPr>
        <w:t xml:space="preserve"> </w:t>
      </w:r>
      <w:r w:rsidRPr="00DA03AD">
        <w:rPr>
          <w:i/>
          <w:iCs/>
          <w:snapToGrid w:val="0"/>
        </w:rPr>
        <w:t>2010 Trends Report</w:t>
      </w:r>
      <w:r w:rsidRPr="00DA03AD">
        <w:rPr>
          <w:i/>
          <w:iCs/>
        </w:rPr>
        <w:t xml:space="preserve"> </w:t>
      </w:r>
      <w:r w:rsidRPr="00DA03AD">
        <w:t>at Table 5.3, page 5-5.</w:t>
      </w:r>
    </w:p>
  </w:footnote>
  <w:footnote w:id="155">
    <w:p w:rsidR="00744B0B" w:rsidRPr="00DA03AD" w:rsidP="007C6686" w14:paraId="01A04284" w14:textId="77777777">
      <w:pPr>
        <w:pStyle w:val="FootnoteText"/>
      </w:pPr>
      <w:r w:rsidRPr="00DA03AD">
        <w:rPr>
          <w:vertAlign w:val="superscript"/>
        </w:rPr>
        <w:footnoteRef/>
      </w:r>
      <w:r w:rsidRPr="00DA03AD">
        <w:t xml:space="preserve"> </w:t>
      </w:r>
      <w:r w:rsidRPr="00DA03AD">
        <w:rPr>
          <w:i/>
          <w:iCs/>
        </w:rPr>
        <w:t>Id</w:t>
      </w:r>
      <w:r w:rsidRPr="00DA03AD">
        <w:t>.</w:t>
      </w:r>
    </w:p>
  </w:footnote>
  <w:footnote w:id="156">
    <w:p w:rsidR="00744B0B" w:rsidRPr="00DA03AD" w:rsidP="007C6686" w14:paraId="7C247C05" w14:textId="77777777">
      <w:pPr>
        <w:pStyle w:val="FootnoteText"/>
      </w:pPr>
      <w:r w:rsidRPr="00DA03AD">
        <w:rPr>
          <w:rStyle w:val="Footnote"/>
          <w:vertAlign w:val="superscript"/>
        </w:rPr>
        <w:footnoteRef/>
      </w:r>
      <w:r w:rsidRPr="00DA03AD">
        <w:rPr>
          <w:rStyle w:val="Footnote"/>
        </w:rPr>
        <w:t xml:space="preserve"> </w:t>
      </w:r>
      <w:r w:rsidRPr="00DA03AD">
        <w:rPr>
          <w:rStyle w:val="Footnote"/>
          <w:i/>
          <w:iCs/>
        </w:rPr>
        <w:t>See</w:t>
      </w:r>
      <w:r w:rsidRPr="00DA03AD">
        <w:rPr>
          <w:rStyle w:val="Footnote"/>
        </w:rPr>
        <w:t xml:space="preserve"> </w:t>
      </w:r>
      <w:r w:rsidRPr="00DA03AD">
        <w:t xml:space="preserve">U.S. Census Bureau, </w:t>
      </w:r>
      <w:r w:rsidRPr="00DA03AD">
        <w:rPr>
          <w:i/>
          <w:iCs/>
        </w:rPr>
        <w:t>2017 NAICS Definition, “</w:t>
      </w:r>
      <w:r w:rsidRPr="00DA03AD">
        <w:rPr>
          <w:bCs/>
          <w:i/>
          <w:iCs/>
        </w:rPr>
        <w:t>517</w:t>
      </w:r>
      <w:r>
        <w:rPr>
          <w:bCs/>
          <w:i/>
          <w:iCs/>
        </w:rPr>
        <w:t>312</w:t>
      </w:r>
      <w:r w:rsidRPr="00DA03AD">
        <w:rPr>
          <w:bCs/>
          <w:i/>
          <w:iCs/>
        </w:rPr>
        <w:t xml:space="preserve"> Wireless Telecommunications Carriers (except Satellite)</w:t>
      </w:r>
      <w:r>
        <w:rPr>
          <w:bCs/>
          <w:i/>
          <w:iCs/>
        </w:rPr>
        <w:t>,</w:t>
      </w:r>
      <w:r w:rsidRPr="00DA03AD">
        <w:rPr>
          <w:bCs/>
        </w:rPr>
        <w:t>”</w:t>
      </w:r>
      <w:r w:rsidRPr="00DA03AD">
        <w:t xml:space="preserve"> </w:t>
      </w:r>
      <w:hyperlink r:id="rId19" w:history="1">
        <w:r w:rsidRPr="00CE68F9">
          <w:rPr>
            <w:rStyle w:val="Hyperlink"/>
          </w:rPr>
          <w:t>https://www.census.gov/naics/?input=517312&amp;year=2017&amp;details=517312</w:t>
        </w:r>
      </w:hyperlink>
      <w:r>
        <w:t xml:space="preserve">. </w:t>
      </w:r>
      <w:r w:rsidRPr="00DA03AD">
        <w:rPr>
          <w:rStyle w:val="Hyperlink"/>
          <w:color w:val="auto"/>
        </w:rPr>
        <w:t xml:space="preserve"> </w:t>
      </w:r>
    </w:p>
  </w:footnote>
  <w:footnote w:id="157">
    <w:p w:rsidR="00744B0B" w:rsidRPr="00DA03AD" w:rsidP="007C6686" w14:paraId="1EB6C341" w14:textId="77777777">
      <w:pPr>
        <w:pStyle w:val="FootnoteText"/>
      </w:pPr>
      <w:r w:rsidRPr="00DA03AD">
        <w:rPr>
          <w:rStyle w:val="Footnote"/>
          <w:vertAlign w:val="superscript"/>
        </w:rPr>
        <w:footnoteRef/>
      </w:r>
      <w:r w:rsidRPr="00DA03AD">
        <w:rPr>
          <w:lang w:val="fr-FR"/>
        </w:rPr>
        <w:t xml:space="preserve"> </w:t>
      </w:r>
      <w:r w:rsidRPr="00DA03AD">
        <w:rPr>
          <w:i/>
          <w:iCs/>
          <w:lang w:val="fr-FR"/>
        </w:rPr>
        <w:t>See</w:t>
      </w:r>
      <w:r w:rsidRPr="00DA03AD">
        <w:rPr>
          <w:lang w:val="fr-FR"/>
        </w:rPr>
        <w:t xml:space="preserve"> 13 CFR § 121.201, NAICS Code 517312 (</w:t>
      </w:r>
      <w:r w:rsidRPr="00DA03AD">
        <w:rPr>
          <w:lang w:val="fr-FR"/>
        </w:rPr>
        <w:t>previously</w:t>
      </w:r>
      <w:r w:rsidRPr="00DA03AD">
        <w:rPr>
          <w:lang w:val="fr-FR"/>
        </w:rPr>
        <w:t xml:space="preserve"> 517210)</w:t>
      </w:r>
      <w:r w:rsidRPr="00DA03AD">
        <w:rPr>
          <w:rStyle w:val="Footnote"/>
        </w:rPr>
        <w:t>.</w:t>
      </w:r>
    </w:p>
  </w:footnote>
  <w:footnote w:id="158">
    <w:p w:rsidR="00744B0B" w:rsidRPr="00DA03AD" w:rsidP="007C6686" w14:paraId="646D6828" w14:textId="77777777">
      <w:pPr>
        <w:pStyle w:val="FootnoteText"/>
      </w:pPr>
      <w:r w:rsidRPr="00DA03AD">
        <w:rPr>
          <w:rStyle w:val="FootnoteReference"/>
        </w:rPr>
        <w:footnoteRef/>
      </w:r>
      <w:r w:rsidRPr="00DA03AD">
        <w:t xml:space="preserve"> </w:t>
      </w:r>
      <w:bookmarkStart w:id="132" w:name="_Hlk12438780"/>
      <w:r w:rsidRPr="00DA03AD">
        <w:rPr>
          <w:i/>
          <w:iCs/>
        </w:rPr>
        <w:t>See</w:t>
      </w:r>
      <w:r w:rsidRPr="00DA03AD">
        <w:t xml:space="preserve"> U.S. Census Bureau, </w:t>
      </w:r>
      <w:r w:rsidRPr="00DA03AD">
        <w:rPr>
          <w:bCs/>
          <w:i/>
        </w:rPr>
        <w:t>2012</w:t>
      </w:r>
      <w:r w:rsidRPr="00DA03AD">
        <w:rPr>
          <w:i/>
        </w:rPr>
        <w:t xml:space="preserve"> Economic Census</w:t>
      </w:r>
      <w:r w:rsidRPr="00DA03AD">
        <w:rPr>
          <w:bCs/>
          <w:i/>
        </w:rPr>
        <w:t xml:space="preserve"> of the United States</w:t>
      </w:r>
      <w:r w:rsidRPr="00DA03AD">
        <w:t xml:space="preserve">, Table ID: EC1251SSSZ5, </w:t>
      </w:r>
      <w:r w:rsidRPr="00DA03AD">
        <w:rPr>
          <w:i/>
          <w:iCs/>
        </w:rPr>
        <w:t xml:space="preserve">Information: Subject Series: </w:t>
      </w:r>
      <w:r w:rsidRPr="00DA03AD">
        <w:rPr>
          <w:i/>
          <w:iCs/>
        </w:rPr>
        <w:t>Estab</w:t>
      </w:r>
      <w:r w:rsidRPr="00DA03AD">
        <w:rPr>
          <w:i/>
          <w:iCs/>
        </w:rPr>
        <w:t xml:space="preserve"> and Firm Size: Employment Size of Firms for the U.S.: 2012</w:t>
      </w:r>
      <w:r w:rsidRPr="00DA03AD">
        <w:t xml:space="preserve">, NAICS Code 517210, </w:t>
      </w:r>
      <w:hyperlink r:id="rId20" w:history="1">
        <w:r w:rsidRPr="000306A0">
          <w:rPr>
            <w:rStyle w:val="Hyperlink"/>
          </w:rPr>
          <w:t>https://data.census.gov/cedsci/table?text=EC1251SSSZ5&amp;n=517210&amp;tid=ECNSIZE2012.EC1251SSSZ5&amp;hidePreview=false&amp;vintage=2012</w:t>
        </w:r>
      </w:hyperlink>
      <w:r w:rsidRPr="00DA03AD">
        <w:rPr>
          <w:rStyle w:val="Hyperlink"/>
          <w:color w:val="auto"/>
        </w:rPr>
        <w:t>.</w:t>
      </w:r>
    </w:p>
    <w:bookmarkEnd w:id="132"/>
  </w:footnote>
  <w:footnote w:id="159">
    <w:p w:rsidR="00744B0B" w:rsidRPr="00DA03AD" w:rsidP="007C6686" w14:paraId="5441B4AD" w14:textId="77777777">
      <w:pPr>
        <w:pStyle w:val="FootnoteText"/>
      </w:pPr>
      <w:r w:rsidRPr="00DA03AD">
        <w:rPr>
          <w:rStyle w:val="FootnoteReference"/>
        </w:rPr>
        <w:footnoteRef/>
      </w:r>
      <w:r w:rsidRPr="00DA03AD">
        <w:t xml:space="preserve"> </w:t>
      </w:r>
      <w:r w:rsidRPr="00DA03AD">
        <w:rPr>
          <w:i/>
        </w:rPr>
        <w:t>Id</w:t>
      </w:r>
      <w:r w:rsidRPr="00DA03AD">
        <w:t xml:space="preserve">.  </w:t>
      </w:r>
      <w:r w:rsidRPr="00F23895">
        <w:rPr>
          <w:iCs/>
        </w:rPr>
        <w:t>The available U.S. Census Bureau data does not provide a more precise estimate of the number of firms that meet the SBA size standard</w:t>
      </w:r>
      <w:r>
        <w:rPr>
          <w:iCs/>
        </w:rPr>
        <w:t>.</w:t>
      </w:r>
      <w:r w:rsidRPr="00DA03AD">
        <w:t xml:space="preserve"> </w:t>
      </w:r>
    </w:p>
  </w:footnote>
  <w:footnote w:id="160">
    <w:p w:rsidR="00744B0B" w:rsidRPr="00DA03AD" w:rsidP="007C6686" w14:paraId="77BD2B22" w14:textId="77777777">
      <w:pPr>
        <w:pStyle w:val="FootnoteText"/>
      </w:pPr>
      <w:r w:rsidRPr="00DA03AD">
        <w:rPr>
          <w:rStyle w:val="Footnote"/>
          <w:vertAlign w:val="superscript"/>
        </w:rPr>
        <w:footnoteRef/>
      </w:r>
      <w:r w:rsidRPr="00DA03AD">
        <w:rPr>
          <w:rStyle w:val="Footnote"/>
        </w:rPr>
        <w:t xml:space="preserve"> </w:t>
      </w:r>
      <w:r w:rsidRPr="00DA03AD">
        <w:rPr>
          <w:i/>
        </w:rPr>
        <w:t xml:space="preserve">See </w:t>
      </w:r>
      <w:r w:rsidRPr="00DA03AD">
        <w:t xml:space="preserve">Trends in Telephone Service at Table 5.3, </w:t>
      </w:r>
      <w:hyperlink r:id="rId16" w:history="1">
        <w:r w:rsidRPr="000F3A9D">
          <w:rPr>
            <w:rStyle w:val="Hyperlink"/>
          </w:rPr>
          <w:t>https://apps.fcc.gov/edocs_public/attachmatch/DOC-301823A1.pdf</w:t>
        </w:r>
      </w:hyperlink>
      <w:r w:rsidRPr="00DA03AD">
        <w:rPr>
          <w:rStyle w:val="Footnote"/>
        </w:rPr>
        <w:t>.</w:t>
      </w:r>
    </w:p>
  </w:footnote>
  <w:footnote w:id="161">
    <w:p w:rsidR="00744B0B" w:rsidRPr="00DA03AD" w:rsidP="007C6686" w14:paraId="2F2CB2D6" w14:textId="77777777">
      <w:pPr>
        <w:pStyle w:val="FootnoteText"/>
      </w:pPr>
      <w:r w:rsidRPr="00DA03AD">
        <w:rPr>
          <w:rStyle w:val="Footnote"/>
          <w:vertAlign w:val="superscript"/>
        </w:rPr>
        <w:footnoteRef/>
      </w:r>
      <w:r w:rsidRPr="00DA03AD">
        <w:rPr>
          <w:rStyle w:val="Footnote"/>
        </w:rPr>
        <w:t xml:space="preserve"> </w:t>
      </w:r>
      <w:r w:rsidRPr="00DA03AD">
        <w:rPr>
          <w:rStyle w:val="Footnote"/>
          <w:i/>
        </w:rPr>
        <w:t>Id</w:t>
      </w:r>
      <w:r w:rsidRPr="00DA03AD">
        <w:rPr>
          <w:rStyle w:val="Footnote"/>
        </w:rPr>
        <w:t>.</w:t>
      </w:r>
    </w:p>
  </w:footnote>
  <w:footnote w:id="162">
    <w:p w:rsidR="00744B0B" w:rsidRPr="00DA03AD" w:rsidP="007C6686" w14:paraId="60D57C67" w14:textId="77777777">
      <w:pPr>
        <w:pStyle w:val="FootnoteText"/>
      </w:pPr>
      <w:r w:rsidRPr="00DA03AD">
        <w:rPr>
          <w:rStyle w:val="FootnoteReference"/>
        </w:rPr>
        <w:footnoteRef/>
      </w:r>
      <w:r w:rsidRPr="00DA03AD">
        <w:t xml:space="preserve"> </w:t>
      </w:r>
      <w:r w:rsidRPr="00DA03AD">
        <w:rPr>
          <w:i/>
        </w:rPr>
        <w:t>See</w:t>
      </w:r>
      <w:r w:rsidRPr="00DA03AD">
        <w:t xml:space="preserve"> U.S. Census Bureau, </w:t>
      </w:r>
      <w:r w:rsidRPr="00DA03AD">
        <w:rPr>
          <w:i/>
          <w:iCs/>
        </w:rPr>
        <w:t>2017 NAICS Definition</w:t>
      </w:r>
      <w:r w:rsidRPr="00DA03AD">
        <w:t>, “</w:t>
      </w:r>
      <w:r w:rsidRPr="00DA03AD">
        <w:rPr>
          <w:i/>
          <w:iCs/>
        </w:rPr>
        <w:t>517919 All Other Telecommunications</w:t>
      </w:r>
      <w:r>
        <w:rPr>
          <w:i/>
          <w:iCs/>
        </w:rPr>
        <w:t>,</w:t>
      </w:r>
      <w:r w:rsidRPr="00DA03AD">
        <w:t xml:space="preserve">” </w:t>
      </w:r>
      <w:bookmarkStart w:id="133" w:name="_Hlk35950517"/>
      <w:r w:rsidRPr="000F3A9D">
        <w:rPr>
          <w:rStyle w:val="Hyperlink"/>
        </w:rPr>
        <w:t>https://www.census.gov/naics/?input=517919&amp;year=2017&amp;details=517919</w:t>
      </w:r>
      <w:r>
        <w:rPr>
          <w:rStyle w:val="Hyperlink"/>
          <w:color w:val="auto"/>
        </w:rPr>
        <w:t>.</w:t>
      </w:r>
    </w:p>
    <w:bookmarkEnd w:id="133"/>
  </w:footnote>
  <w:footnote w:id="163">
    <w:p w:rsidR="00744B0B" w:rsidRPr="00DA03AD" w:rsidP="007C6686" w14:paraId="79127240" w14:textId="77777777">
      <w:pPr>
        <w:pStyle w:val="FootnoteText"/>
        <w:rPr>
          <w:i/>
        </w:rPr>
      </w:pPr>
      <w:r w:rsidRPr="00DA03AD">
        <w:rPr>
          <w:rStyle w:val="FootnoteReference"/>
        </w:rPr>
        <w:footnoteRef/>
      </w:r>
      <w:r w:rsidRPr="00DA03AD">
        <w:t xml:space="preserve"> </w:t>
      </w:r>
      <w:r w:rsidRPr="00DA03AD">
        <w:rPr>
          <w:i/>
        </w:rPr>
        <w:t>Id.</w:t>
      </w:r>
    </w:p>
  </w:footnote>
  <w:footnote w:id="164">
    <w:p w:rsidR="00744B0B" w:rsidRPr="00DA03AD" w:rsidP="007C6686" w14:paraId="53B60499" w14:textId="77777777">
      <w:pPr>
        <w:pStyle w:val="FootnoteText"/>
      </w:pPr>
      <w:r w:rsidRPr="00DA03AD">
        <w:rPr>
          <w:rStyle w:val="FootnoteReference"/>
        </w:rPr>
        <w:footnoteRef/>
      </w:r>
      <w:r w:rsidRPr="00DA03AD">
        <w:rPr>
          <w:i/>
        </w:rPr>
        <w:t xml:space="preserve"> Id</w:t>
      </w:r>
      <w:r w:rsidRPr="00DA03AD">
        <w:t>.</w:t>
      </w:r>
    </w:p>
  </w:footnote>
  <w:footnote w:id="165">
    <w:p w:rsidR="00744B0B" w:rsidRPr="009E35CA" w:rsidP="007C6686" w14:paraId="08DB4B76" w14:textId="77777777">
      <w:pPr>
        <w:pStyle w:val="FootnoteText"/>
      </w:pPr>
      <w:r w:rsidRPr="0017159C">
        <w:rPr>
          <w:rStyle w:val="FootnoteReference"/>
          <w:szCs w:val="22"/>
        </w:rPr>
        <w:footnoteRef/>
      </w:r>
      <w:r w:rsidRPr="009E35CA">
        <w:rPr>
          <w:sz w:val="22"/>
          <w:szCs w:val="22"/>
        </w:rPr>
        <w:t xml:space="preserve"> </w:t>
      </w:r>
      <w:r w:rsidRPr="009E35CA">
        <w:rPr>
          <w:i/>
        </w:rPr>
        <w:t>See</w:t>
      </w:r>
      <w:r w:rsidRPr="009E35CA">
        <w:t xml:space="preserve"> 13 CFR § 121.201, NAICS Code 517919.</w:t>
      </w:r>
    </w:p>
  </w:footnote>
  <w:footnote w:id="166">
    <w:p w:rsidR="00744B0B" w:rsidRPr="00DA03AD" w:rsidP="007C6686" w14:paraId="5FEA943B" w14:textId="77777777">
      <w:pPr>
        <w:pStyle w:val="FootnoteText"/>
      </w:pPr>
      <w:r w:rsidRPr="00DA03AD">
        <w:rPr>
          <w:rStyle w:val="FootnoteReference"/>
        </w:rPr>
        <w:footnoteRef/>
      </w:r>
      <w:r w:rsidRPr="00DA03AD">
        <w:t xml:space="preserve"> </w:t>
      </w:r>
      <w:r w:rsidRPr="00DA03AD">
        <w:rPr>
          <w:bCs/>
          <w:i/>
          <w:iCs/>
        </w:rPr>
        <w:t>See</w:t>
      </w:r>
      <w:r w:rsidRPr="00DA03AD">
        <w:t xml:space="preserve"> U.S. Census Bureau, </w:t>
      </w:r>
      <w:bookmarkStart w:id="134" w:name="_Hlk35602756"/>
      <w:r w:rsidRPr="00DA03AD">
        <w:rPr>
          <w:bCs/>
          <w:i/>
        </w:rPr>
        <w:t>2012</w:t>
      </w:r>
      <w:r w:rsidRPr="00DA03AD">
        <w:rPr>
          <w:i/>
        </w:rPr>
        <w:t xml:space="preserve"> Economic Census</w:t>
      </w:r>
      <w:r w:rsidRPr="00DA03AD">
        <w:rPr>
          <w:bCs/>
          <w:i/>
        </w:rPr>
        <w:t xml:space="preserve"> of the United States</w:t>
      </w:r>
      <w:r w:rsidRPr="00DA03AD">
        <w:t xml:space="preserve">, Table ID: EC1251SSSZ4, </w:t>
      </w:r>
      <w:bookmarkEnd w:id="134"/>
      <w:r w:rsidRPr="00DA03AD">
        <w:rPr>
          <w:i/>
          <w:iCs/>
        </w:rPr>
        <w:t xml:space="preserve">Information: Subject Series - </w:t>
      </w:r>
      <w:r w:rsidRPr="00DA03AD">
        <w:rPr>
          <w:i/>
          <w:iCs/>
        </w:rPr>
        <w:t>Estab</w:t>
      </w:r>
      <w:r w:rsidRPr="00DA03AD">
        <w:rPr>
          <w:i/>
          <w:iCs/>
        </w:rPr>
        <w:t xml:space="preserve"> and Firm Size: </w:t>
      </w:r>
      <w:r w:rsidRPr="00DA03AD">
        <w:rPr>
          <w:bCs/>
          <w:i/>
          <w:iCs/>
        </w:rPr>
        <w:t>Receipts Size of Firms for the U.S.: 2012</w:t>
      </w:r>
      <w:r w:rsidRPr="00DA03AD">
        <w:t xml:space="preserve">, </w:t>
      </w:r>
      <w:bookmarkStart w:id="135" w:name="_Hlk35602821"/>
      <w:r w:rsidRPr="00DA03AD">
        <w:t>NAICS Code 517919</w:t>
      </w:r>
      <w:bookmarkEnd w:id="135"/>
      <w:r w:rsidRPr="00DA03AD">
        <w:t xml:space="preserve">, </w:t>
      </w:r>
      <w:hyperlink r:id="rId23" w:history="1">
        <w:r w:rsidRPr="000F3A9D">
          <w:rPr>
            <w:rStyle w:val="Hyperlink"/>
          </w:rPr>
          <w:t>https://data.census.gov/cedsci/table?text=EC1251SSSZ4&amp;n=517919&amp;tid=ECNSIZE2012.EC1251SSSZ4&amp;hidePreview=false</w:t>
        </w:r>
      </w:hyperlink>
      <w:r w:rsidRPr="00DA03AD">
        <w:t>.</w:t>
      </w:r>
    </w:p>
  </w:footnote>
  <w:footnote w:id="167">
    <w:p w:rsidR="00744B0B" w:rsidRPr="00DA03AD" w:rsidP="007C6686" w14:paraId="45457546" w14:textId="77777777">
      <w:pPr>
        <w:pStyle w:val="FootnoteText"/>
      </w:pPr>
      <w:r w:rsidRPr="00DA03AD">
        <w:rPr>
          <w:rStyle w:val="FootnoteReference"/>
        </w:rPr>
        <w:footnoteRef/>
      </w:r>
      <w:r w:rsidRPr="00DA03AD">
        <w:t xml:space="preserve"> </w:t>
      </w:r>
      <w:r w:rsidRPr="00DA03AD">
        <w:rPr>
          <w:i/>
        </w:rPr>
        <w:t>Id.</w:t>
      </w:r>
    </w:p>
  </w:footnote>
  <w:footnote w:id="168">
    <w:p w:rsidR="00744B0B" w:rsidP="007C6686" w14:paraId="14B0D01B" w14:textId="1939DEA2">
      <w:pPr>
        <w:pStyle w:val="FootnoteText"/>
      </w:pPr>
      <w:r>
        <w:rPr>
          <w:rStyle w:val="FootnoteReference"/>
        </w:rPr>
        <w:footnoteRef/>
      </w:r>
      <w:r>
        <w:t xml:space="preserve"> NPRM, para. </w:t>
      </w:r>
      <w:r w:rsidR="006E2EA4">
        <w:t>16</w:t>
      </w:r>
      <w:r>
        <w:t xml:space="preserve">; </w:t>
      </w:r>
      <w:r w:rsidRPr="00E61298">
        <w:rPr>
          <w:i/>
          <w:iCs/>
        </w:rPr>
        <w:t>see also</w:t>
      </w:r>
      <w:r>
        <w:t xml:space="preserve"> Infrastructure Act </w:t>
      </w:r>
      <w:r>
        <w:rPr>
          <w:rFonts w:cstheme="minorHAnsi"/>
        </w:rPr>
        <w:t>§ 60504(b)(1).</w:t>
      </w:r>
    </w:p>
  </w:footnote>
  <w:footnote w:id="169">
    <w:p w:rsidR="00744B0B" w:rsidP="007C6686" w14:paraId="5E2C4ED5" w14:textId="5C1EBF0C">
      <w:pPr>
        <w:pStyle w:val="FootnoteText"/>
      </w:pPr>
      <w:r>
        <w:rPr>
          <w:rStyle w:val="FootnoteReference"/>
        </w:rPr>
        <w:footnoteRef/>
      </w:r>
      <w:r>
        <w:t xml:space="preserve"> NPRM, para</w:t>
      </w:r>
      <w:r w:rsidR="006E2EA4">
        <w:t>s</w:t>
      </w:r>
      <w:r>
        <w:t xml:space="preserve">. </w:t>
      </w:r>
      <w:r w:rsidR="006E2EA4">
        <w:t>24, 26</w:t>
      </w:r>
      <w:r>
        <w:t>.</w:t>
      </w:r>
    </w:p>
  </w:footnote>
  <w:footnote w:id="170">
    <w:p w:rsidR="00744B0B" w:rsidP="007C6686" w14:paraId="64D935F7" w14:textId="25B00A00">
      <w:pPr>
        <w:pStyle w:val="FootnoteText"/>
      </w:pPr>
      <w:r>
        <w:rPr>
          <w:rStyle w:val="FootnoteReference"/>
        </w:rPr>
        <w:footnoteRef/>
      </w:r>
      <w:r>
        <w:t xml:space="preserve"> NPRM, para</w:t>
      </w:r>
      <w:r w:rsidRPr="00275EE9">
        <w:t xml:space="preserve">. </w:t>
      </w:r>
      <w:r w:rsidRPr="00275EE9" w:rsidR="006E2EA4">
        <w:t>22</w:t>
      </w:r>
      <w:r w:rsidRPr="00275EE9">
        <w:t>.</w:t>
      </w:r>
    </w:p>
  </w:footnote>
  <w:footnote w:id="171">
    <w:p w:rsidR="00744B0B" w:rsidP="007C6686" w14:paraId="7BF836D8" w14:textId="77777777">
      <w:pPr>
        <w:pStyle w:val="FootnoteText"/>
      </w:pPr>
      <w:r>
        <w:rPr>
          <w:rStyle w:val="FootnoteReference"/>
        </w:rPr>
        <w:footnoteRef/>
      </w:r>
      <w:r>
        <w:rPr>
          <w:lang w:val="es-ES"/>
        </w:rPr>
        <w:t xml:space="preserve"> 5 U.S.C. § 603(c).</w:t>
      </w:r>
    </w:p>
  </w:footnote>
  <w:footnote w:id="172">
    <w:p w:rsidR="00744B0B" w:rsidP="007C6686" w14:paraId="7C5CEECE" w14:textId="6D7C705F">
      <w:pPr>
        <w:pStyle w:val="FootnoteText"/>
      </w:pPr>
      <w:r>
        <w:rPr>
          <w:rStyle w:val="FootnoteReference"/>
        </w:rPr>
        <w:footnoteRef/>
      </w:r>
      <w:r>
        <w:t xml:space="preserve"> NPRM, paras. </w:t>
      </w:r>
      <w:r w:rsidR="006E2EA4">
        <w:t>32-33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B0B" w:rsidP="000437C6" w14:paraId="5675AC32" w14:textId="113EA3EB">
    <w:pPr>
      <w:pStyle w:val="Header"/>
    </w:pPr>
    <w:r>
      <w:tab/>
      <w:t>Federal Communications Commission</w:t>
    </w:r>
    <w:r>
      <w:tab/>
      <w:t>FCC 22-</w:t>
    </w:r>
    <w:r w:rsidR="000207FC">
      <w:t>7</w:t>
    </w:r>
  </w:p>
  <w:p w:rsidR="00744B0B" w14:paraId="7B5BDFB0" w14:textId="693BD8D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744B0B" w14:paraId="0EA167D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4B0B" w:rsidRPr="00F65B0B" w:rsidP="000437C6" w14:paraId="23F6CF11" w14:textId="4C36092A">
    <w:pPr>
      <w:pStyle w:val="Header"/>
    </w:pPr>
    <w:r w:rsidRPr="00F65B0B">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F65B0B">
      <w:tab/>
      <w:t>Federal Communications Commission</w:t>
    </w:r>
    <w:r w:rsidRPr="00F65B0B">
      <w:tab/>
    </w:r>
    <w:r w:rsidRPr="00F65B0B">
      <w:rPr>
        <w:spacing w:val="-2"/>
      </w:rPr>
      <w:t>FCC 2</w:t>
    </w:r>
    <w:r>
      <w:rPr>
        <w:spacing w:val="-2"/>
      </w:rPr>
      <w:t>2</w:t>
    </w:r>
    <w:r w:rsidRPr="00F65B0B">
      <w:rPr>
        <w:spacing w:val="-2"/>
      </w:rPr>
      <w:t>-</w:t>
    </w:r>
    <w:r w:rsidR="000207FC">
      <w:rPr>
        <w:spacing w:val="-2"/>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2"/>
    <w:multiLevelType w:val="singleLevel"/>
    <w:tmpl w:val="B852C80A"/>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0313207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BAA3BA7"/>
    <w:multiLevelType w:val="hybridMultilevel"/>
    <w:tmpl w:val="527A87A4"/>
    <w:lvl w:ilvl="0">
      <w:start w:val="5"/>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nsid w:val="10E54CC6"/>
    <w:multiLevelType w:val="hybridMultilevel"/>
    <w:tmpl w:val="21BCB3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12207DD"/>
    <w:multiLevelType w:val="hybridMultilevel"/>
    <w:tmpl w:val="417C8C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1EFB3E64"/>
    <w:multiLevelType w:val="hybridMultilevel"/>
    <w:tmpl w:val="3B546E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F2745E5"/>
    <w:multiLevelType w:val="hybridMultilevel"/>
    <w:tmpl w:val="51DE32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3A22F5"/>
    <w:multiLevelType w:val="multilevel"/>
    <w:tmpl w:val="7472B25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1">
    <w:nsid w:val="248246F3"/>
    <w:multiLevelType w:val="singleLevel"/>
    <w:tmpl w:val="B1F45678"/>
    <w:lvl w:ilvl="0">
      <w:start w:val="1"/>
      <w:numFmt w:val="decimal"/>
      <w:lvlText w:val="%1."/>
      <w:lvlJc w:val="left"/>
      <w:pPr>
        <w:tabs>
          <w:tab w:val="num" w:pos="1080"/>
        </w:tabs>
        <w:ind w:left="0" w:firstLine="720"/>
      </w:pPr>
    </w:lvl>
  </w:abstractNum>
  <w:abstractNum w:abstractNumId="12">
    <w:nsid w:val="25526978"/>
    <w:multiLevelType w:val="hybridMultilevel"/>
    <w:tmpl w:val="F434F3A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4">
    <w:nsid w:val="2AAD7092"/>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F97653A"/>
    <w:multiLevelType w:val="hybridMultilevel"/>
    <w:tmpl w:val="3B546E5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4F386152"/>
    <w:multiLevelType w:val="hybridMultilevel"/>
    <w:tmpl w:val="85E421A6"/>
    <w:lvl w:ilvl="0">
      <w:start w:val="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5341241F"/>
    <w:multiLevelType w:val="singleLevel"/>
    <w:tmpl w:val="20E0BBF2"/>
    <w:lvl w:ilvl="0">
      <w:start w:val="1"/>
      <w:numFmt w:val="decimal"/>
      <w:pStyle w:val="NumberedList"/>
      <w:lvlText w:val="%1."/>
      <w:lvlJc w:val="left"/>
      <w:pPr>
        <w:tabs>
          <w:tab w:val="num" w:pos="1080"/>
        </w:tabs>
        <w:ind w:left="0" w:firstLine="720"/>
      </w:pPr>
      <w:rPr>
        <w:rFonts w:ascii="Times New Roman" w:hAnsi="Times New Roman" w:cs="Times New Roman" w:hint="default"/>
        <w:b w:val="0"/>
        <w:i w:val="0"/>
        <w:strike w:val="0"/>
        <w:dstrike w:val="0"/>
        <w:sz w:val="22"/>
        <w:u w:val="none"/>
        <w:effect w:val="none"/>
      </w:rPr>
    </w:lvl>
  </w:abstractNum>
  <w:abstractNum w:abstractNumId="20">
    <w:nsid w:val="5F87110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2">
    <w:nsid w:val="6E7258AE"/>
    <w:multiLevelType w:val="hybridMultilevel"/>
    <w:tmpl w:val="C8DC5452"/>
    <w:lvl w:ilvl="0">
      <w:start w:val="1"/>
      <w:numFmt w:val="decimal"/>
      <w:lvlText w:val="(%1)"/>
      <w:lvlJc w:val="left"/>
      <w:pPr>
        <w:ind w:left="14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28F2B5C"/>
    <w:multiLevelType w:val="hybridMultilevel"/>
    <w:tmpl w:val="DAA68E86"/>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5"/>
  </w:num>
  <w:num w:numId="2">
    <w:abstractNumId w:val="21"/>
  </w:num>
  <w:num w:numId="3">
    <w:abstractNumId w:val="13"/>
  </w:num>
  <w:num w:numId="4">
    <w:abstractNumId w:val="2"/>
  </w:num>
  <w:num w:numId="5">
    <w:abstractNumId w:val="24"/>
  </w:num>
  <w:num w:numId="6">
    <w:abstractNumId w:val="16"/>
  </w:num>
  <w:num w:numId="7">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9"/>
    <w:lvlOverride w:ilvl="0">
      <w:startOverride w:val="1"/>
    </w:lvlOverride>
  </w:num>
  <w:num w:numId="10">
    <w:abstractNumId w:val="21"/>
  </w:num>
  <w:num w:numId="11">
    <w:abstractNumId w:val="12"/>
  </w:num>
  <w:num w:numId="12">
    <w:abstractNumId w:val="6"/>
  </w:num>
  <w:num w:numId="13">
    <w:abstractNumId w:val="21"/>
  </w:num>
  <w:num w:numId="14">
    <w:abstractNumId w:val="21"/>
  </w:num>
  <w:num w:numId="15">
    <w:abstractNumId w:val="10"/>
  </w:num>
  <w:num w:numId="16">
    <w:abstractNumId w:val="21"/>
  </w:num>
  <w:num w:numId="17">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2"/>
  </w:num>
  <w:num w:numId="20">
    <w:abstractNumId w:val="1"/>
  </w:num>
  <w:num w:numId="21">
    <w:abstractNumId w:val="17"/>
  </w:num>
  <w:num w:numId="22">
    <w:abstractNumId w:val="11"/>
  </w:num>
  <w:num w:numId="23">
    <w:abstractNumId w:val="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num>
  <w:num w:numId="26">
    <w:abstractNumId w:val="8"/>
  </w:num>
  <w:num w:numId="27">
    <w:abstractNumId w:val="20"/>
  </w:num>
  <w:num w:numId="28">
    <w:abstractNumId w:val="13"/>
  </w:num>
  <w:num w:numId="29">
    <w:abstractNumId w:val="21"/>
    <w:lvlOverride w:ilvl="0">
      <w:startOverride w:val="1"/>
    </w:lvlOverride>
  </w:num>
  <w:num w:numId="30">
    <w:abstractNumId w:val="23"/>
  </w:num>
  <w:num w:numId="31">
    <w:abstractNumId w:val="14"/>
  </w:num>
  <w:num w:numId="32">
    <w:abstractNumId w:val="7"/>
  </w:num>
  <w:num w:numId="33">
    <w:abstractNumId w:val="21"/>
  </w:num>
  <w:num w:numId="34">
    <w:abstractNumId w:val="21"/>
  </w:num>
  <w:num w:numId="35">
    <w:abstractNumId w:val="21"/>
  </w:num>
  <w:num w:numId="36">
    <w:abstractNumId w:val="21"/>
  </w:num>
  <w:num w:numId="37">
    <w:abstractNumId w:val="21"/>
  </w:num>
  <w:num w:numId="38">
    <w:abstractNumId w:val="15"/>
  </w:num>
  <w:num w:numId="39">
    <w:abstractNumId w:val="18"/>
  </w:num>
  <w:num w:numId="40">
    <w:abstractNumId w:val="4"/>
  </w:num>
  <w:num w:numId="41">
    <w:abstractNumId w:val="21"/>
    <w:lvlOverride w:ilvl="0">
      <w:startOverride w:val="1"/>
    </w:lvlOverride>
  </w:num>
  <w:num w:numId="42">
    <w:abstractNumId w:val="21"/>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8D"/>
    <w:rsid w:val="00000380"/>
    <w:rsid w:val="000003B2"/>
    <w:rsid w:val="000006BC"/>
    <w:rsid w:val="000009CD"/>
    <w:rsid w:val="00000FBC"/>
    <w:rsid w:val="00001E76"/>
    <w:rsid w:val="00002EC4"/>
    <w:rsid w:val="00003E13"/>
    <w:rsid w:val="000043E7"/>
    <w:rsid w:val="00005DA5"/>
    <w:rsid w:val="00005EB9"/>
    <w:rsid w:val="0000608F"/>
    <w:rsid w:val="0000798C"/>
    <w:rsid w:val="00007BC1"/>
    <w:rsid w:val="00007F87"/>
    <w:rsid w:val="0001011C"/>
    <w:rsid w:val="00010BF1"/>
    <w:rsid w:val="00010C72"/>
    <w:rsid w:val="00011685"/>
    <w:rsid w:val="00011859"/>
    <w:rsid w:val="00011FC5"/>
    <w:rsid w:val="000127AA"/>
    <w:rsid w:val="000127E4"/>
    <w:rsid w:val="000131AD"/>
    <w:rsid w:val="00013536"/>
    <w:rsid w:val="0001378D"/>
    <w:rsid w:val="00013A57"/>
    <w:rsid w:val="00013EE3"/>
    <w:rsid w:val="00015026"/>
    <w:rsid w:val="000159C9"/>
    <w:rsid w:val="00015AAC"/>
    <w:rsid w:val="000164E4"/>
    <w:rsid w:val="0001678E"/>
    <w:rsid w:val="00016B4E"/>
    <w:rsid w:val="00017671"/>
    <w:rsid w:val="00020340"/>
    <w:rsid w:val="00020377"/>
    <w:rsid w:val="000204A8"/>
    <w:rsid w:val="0002053D"/>
    <w:rsid w:val="00020574"/>
    <w:rsid w:val="000207FC"/>
    <w:rsid w:val="000213A8"/>
    <w:rsid w:val="00021E31"/>
    <w:rsid w:val="00022723"/>
    <w:rsid w:val="00022D95"/>
    <w:rsid w:val="0002339C"/>
    <w:rsid w:val="000241DC"/>
    <w:rsid w:val="000255F9"/>
    <w:rsid w:val="000258AB"/>
    <w:rsid w:val="00025A17"/>
    <w:rsid w:val="00025A84"/>
    <w:rsid w:val="00025B26"/>
    <w:rsid w:val="00025ED7"/>
    <w:rsid w:val="00026652"/>
    <w:rsid w:val="00026E22"/>
    <w:rsid w:val="000277C9"/>
    <w:rsid w:val="0002C87C"/>
    <w:rsid w:val="0003011B"/>
    <w:rsid w:val="000306A0"/>
    <w:rsid w:val="00030DF8"/>
    <w:rsid w:val="000310F1"/>
    <w:rsid w:val="00032A53"/>
    <w:rsid w:val="00033A4B"/>
    <w:rsid w:val="000340C9"/>
    <w:rsid w:val="00034570"/>
    <w:rsid w:val="000351A1"/>
    <w:rsid w:val="0003599E"/>
    <w:rsid w:val="00035DA0"/>
    <w:rsid w:val="00036039"/>
    <w:rsid w:val="00036342"/>
    <w:rsid w:val="000363E4"/>
    <w:rsid w:val="00036EAF"/>
    <w:rsid w:val="000371AE"/>
    <w:rsid w:val="00037418"/>
    <w:rsid w:val="00037F90"/>
    <w:rsid w:val="0004037C"/>
    <w:rsid w:val="00040548"/>
    <w:rsid w:val="00040CB6"/>
    <w:rsid w:val="0004103A"/>
    <w:rsid w:val="00041A5A"/>
    <w:rsid w:val="00041B2F"/>
    <w:rsid w:val="00041E37"/>
    <w:rsid w:val="0004240D"/>
    <w:rsid w:val="00042545"/>
    <w:rsid w:val="000427D0"/>
    <w:rsid w:val="000427E7"/>
    <w:rsid w:val="000432E4"/>
    <w:rsid w:val="000434DD"/>
    <w:rsid w:val="00043512"/>
    <w:rsid w:val="000437C6"/>
    <w:rsid w:val="00043B41"/>
    <w:rsid w:val="000442EC"/>
    <w:rsid w:val="00044DD0"/>
    <w:rsid w:val="00044FE7"/>
    <w:rsid w:val="000450AB"/>
    <w:rsid w:val="00045100"/>
    <w:rsid w:val="00045297"/>
    <w:rsid w:val="00045A3E"/>
    <w:rsid w:val="00046042"/>
    <w:rsid w:val="000467FB"/>
    <w:rsid w:val="00046FD3"/>
    <w:rsid w:val="0004777F"/>
    <w:rsid w:val="00050F95"/>
    <w:rsid w:val="00051319"/>
    <w:rsid w:val="00051804"/>
    <w:rsid w:val="00051BF4"/>
    <w:rsid w:val="00051F7A"/>
    <w:rsid w:val="00052569"/>
    <w:rsid w:val="000537BF"/>
    <w:rsid w:val="000538D9"/>
    <w:rsid w:val="00053909"/>
    <w:rsid w:val="00054397"/>
    <w:rsid w:val="000546C0"/>
    <w:rsid w:val="00054825"/>
    <w:rsid w:val="00054E54"/>
    <w:rsid w:val="00055A0B"/>
    <w:rsid w:val="00055A80"/>
    <w:rsid w:val="00055E57"/>
    <w:rsid w:val="00055F68"/>
    <w:rsid w:val="00055F73"/>
    <w:rsid w:val="0005643E"/>
    <w:rsid w:val="00057045"/>
    <w:rsid w:val="00057100"/>
    <w:rsid w:val="00057121"/>
    <w:rsid w:val="00057210"/>
    <w:rsid w:val="00057AF2"/>
    <w:rsid w:val="00057BAD"/>
    <w:rsid w:val="00060574"/>
    <w:rsid w:val="00060ED6"/>
    <w:rsid w:val="00061115"/>
    <w:rsid w:val="00061571"/>
    <w:rsid w:val="00061D5A"/>
    <w:rsid w:val="000622A6"/>
    <w:rsid w:val="0006258D"/>
    <w:rsid w:val="00062590"/>
    <w:rsid w:val="0006339F"/>
    <w:rsid w:val="00063B55"/>
    <w:rsid w:val="00064071"/>
    <w:rsid w:val="0006457B"/>
    <w:rsid w:val="000646E6"/>
    <w:rsid w:val="000652C0"/>
    <w:rsid w:val="000666D5"/>
    <w:rsid w:val="00067CCA"/>
    <w:rsid w:val="00067E72"/>
    <w:rsid w:val="00070903"/>
    <w:rsid w:val="00070B58"/>
    <w:rsid w:val="00070CCC"/>
    <w:rsid w:val="00071628"/>
    <w:rsid w:val="000716D1"/>
    <w:rsid w:val="00071A70"/>
    <w:rsid w:val="00071CBC"/>
    <w:rsid w:val="0007342C"/>
    <w:rsid w:val="00074C19"/>
    <w:rsid w:val="00076454"/>
    <w:rsid w:val="000765D8"/>
    <w:rsid w:val="00076736"/>
    <w:rsid w:val="000767FB"/>
    <w:rsid w:val="000768C0"/>
    <w:rsid w:val="00076974"/>
    <w:rsid w:val="00076B74"/>
    <w:rsid w:val="00076C7B"/>
    <w:rsid w:val="000777F0"/>
    <w:rsid w:val="00077A93"/>
    <w:rsid w:val="00077EE0"/>
    <w:rsid w:val="00080BD6"/>
    <w:rsid w:val="000811A6"/>
    <w:rsid w:val="000812EB"/>
    <w:rsid w:val="00082B02"/>
    <w:rsid w:val="00082DD1"/>
    <w:rsid w:val="00083521"/>
    <w:rsid w:val="00083865"/>
    <w:rsid w:val="00084431"/>
    <w:rsid w:val="00084F72"/>
    <w:rsid w:val="0008562D"/>
    <w:rsid w:val="000856F5"/>
    <w:rsid w:val="000858D1"/>
    <w:rsid w:val="00085A25"/>
    <w:rsid w:val="00085C32"/>
    <w:rsid w:val="00085D04"/>
    <w:rsid w:val="00085DAB"/>
    <w:rsid w:val="000866B7"/>
    <w:rsid w:val="000868B7"/>
    <w:rsid w:val="00086903"/>
    <w:rsid w:val="00086FB1"/>
    <w:rsid w:val="000875BF"/>
    <w:rsid w:val="00090856"/>
    <w:rsid w:val="0009123F"/>
    <w:rsid w:val="00092158"/>
    <w:rsid w:val="00092239"/>
    <w:rsid w:val="000924B3"/>
    <w:rsid w:val="00093224"/>
    <w:rsid w:val="0009398D"/>
    <w:rsid w:val="000941E5"/>
    <w:rsid w:val="00094859"/>
    <w:rsid w:val="00095B51"/>
    <w:rsid w:val="00096B69"/>
    <w:rsid w:val="00096D8C"/>
    <w:rsid w:val="000A07F4"/>
    <w:rsid w:val="000A111A"/>
    <w:rsid w:val="000A2939"/>
    <w:rsid w:val="000A2A9C"/>
    <w:rsid w:val="000A315A"/>
    <w:rsid w:val="000A3405"/>
    <w:rsid w:val="000A3508"/>
    <w:rsid w:val="000A41E3"/>
    <w:rsid w:val="000A436E"/>
    <w:rsid w:val="000A5422"/>
    <w:rsid w:val="000A5EF9"/>
    <w:rsid w:val="000A64AF"/>
    <w:rsid w:val="000A7D8F"/>
    <w:rsid w:val="000A7F25"/>
    <w:rsid w:val="000B04DC"/>
    <w:rsid w:val="000B08F1"/>
    <w:rsid w:val="000B0984"/>
    <w:rsid w:val="000B0CB1"/>
    <w:rsid w:val="000B15B6"/>
    <w:rsid w:val="000B23FB"/>
    <w:rsid w:val="000B2D17"/>
    <w:rsid w:val="000B32F2"/>
    <w:rsid w:val="000B3394"/>
    <w:rsid w:val="000B34FA"/>
    <w:rsid w:val="000B38DF"/>
    <w:rsid w:val="000B397C"/>
    <w:rsid w:val="000B3BC8"/>
    <w:rsid w:val="000B3DD8"/>
    <w:rsid w:val="000B4126"/>
    <w:rsid w:val="000B5213"/>
    <w:rsid w:val="000B61BA"/>
    <w:rsid w:val="000B625B"/>
    <w:rsid w:val="000B6725"/>
    <w:rsid w:val="000B6B58"/>
    <w:rsid w:val="000B6F35"/>
    <w:rsid w:val="000B73BA"/>
    <w:rsid w:val="000B765B"/>
    <w:rsid w:val="000B78E0"/>
    <w:rsid w:val="000B7C15"/>
    <w:rsid w:val="000C07EB"/>
    <w:rsid w:val="000C0B65"/>
    <w:rsid w:val="000C0D95"/>
    <w:rsid w:val="000C1483"/>
    <w:rsid w:val="000C1C71"/>
    <w:rsid w:val="000C2272"/>
    <w:rsid w:val="000C29E2"/>
    <w:rsid w:val="000C29FB"/>
    <w:rsid w:val="000C304A"/>
    <w:rsid w:val="000C382C"/>
    <w:rsid w:val="000C404B"/>
    <w:rsid w:val="000C407C"/>
    <w:rsid w:val="000C43A2"/>
    <w:rsid w:val="000C44D3"/>
    <w:rsid w:val="000C4965"/>
    <w:rsid w:val="000C540E"/>
    <w:rsid w:val="000C588C"/>
    <w:rsid w:val="000C5A52"/>
    <w:rsid w:val="000C5EA7"/>
    <w:rsid w:val="000C5F41"/>
    <w:rsid w:val="000C643F"/>
    <w:rsid w:val="000C6A4F"/>
    <w:rsid w:val="000C6F62"/>
    <w:rsid w:val="000C74FE"/>
    <w:rsid w:val="000C7FFA"/>
    <w:rsid w:val="000D02A5"/>
    <w:rsid w:val="000D0FF1"/>
    <w:rsid w:val="000D1486"/>
    <w:rsid w:val="000D16E6"/>
    <w:rsid w:val="000D1E8F"/>
    <w:rsid w:val="000D2019"/>
    <w:rsid w:val="000D20D5"/>
    <w:rsid w:val="000D212E"/>
    <w:rsid w:val="000D2201"/>
    <w:rsid w:val="000D2754"/>
    <w:rsid w:val="000D27E3"/>
    <w:rsid w:val="000D2A4C"/>
    <w:rsid w:val="000D2D50"/>
    <w:rsid w:val="000D3D4F"/>
    <w:rsid w:val="000D46CF"/>
    <w:rsid w:val="000D4999"/>
    <w:rsid w:val="000D6A74"/>
    <w:rsid w:val="000D6BA8"/>
    <w:rsid w:val="000D6BF9"/>
    <w:rsid w:val="000D7582"/>
    <w:rsid w:val="000D7DB2"/>
    <w:rsid w:val="000E05FE"/>
    <w:rsid w:val="000E0F48"/>
    <w:rsid w:val="000E173B"/>
    <w:rsid w:val="000E1D8A"/>
    <w:rsid w:val="000E2006"/>
    <w:rsid w:val="000E2EBB"/>
    <w:rsid w:val="000E309A"/>
    <w:rsid w:val="000E3207"/>
    <w:rsid w:val="000E3878"/>
    <w:rsid w:val="000E3D42"/>
    <w:rsid w:val="000E41EC"/>
    <w:rsid w:val="000E587B"/>
    <w:rsid w:val="000E6357"/>
    <w:rsid w:val="000E64F5"/>
    <w:rsid w:val="000E69D9"/>
    <w:rsid w:val="000E6AD4"/>
    <w:rsid w:val="000E6F3D"/>
    <w:rsid w:val="000F0305"/>
    <w:rsid w:val="000F11D9"/>
    <w:rsid w:val="000F223B"/>
    <w:rsid w:val="000F253C"/>
    <w:rsid w:val="000F3A9D"/>
    <w:rsid w:val="000F4052"/>
    <w:rsid w:val="000F4509"/>
    <w:rsid w:val="000F4A86"/>
    <w:rsid w:val="000F4F9F"/>
    <w:rsid w:val="000F5374"/>
    <w:rsid w:val="000F5F51"/>
    <w:rsid w:val="000F5FA8"/>
    <w:rsid w:val="000F66BB"/>
    <w:rsid w:val="000F6A22"/>
    <w:rsid w:val="000F6B64"/>
    <w:rsid w:val="000F7156"/>
    <w:rsid w:val="000F72A5"/>
    <w:rsid w:val="000F796F"/>
    <w:rsid w:val="00100B2F"/>
    <w:rsid w:val="00101971"/>
    <w:rsid w:val="00101CE4"/>
    <w:rsid w:val="001023B2"/>
    <w:rsid w:val="00102B78"/>
    <w:rsid w:val="001030F3"/>
    <w:rsid w:val="00103A51"/>
    <w:rsid w:val="00103A6A"/>
    <w:rsid w:val="00104176"/>
    <w:rsid w:val="00104182"/>
    <w:rsid w:val="001045FB"/>
    <w:rsid w:val="00104A46"/>
    <w:rsid w:val="00105274"/>
    <w:rsid w:val="00105C38"/>
    <w:rsid w:val="00105D38"/>
    <w:rsid w:val="00106350"/>
    <w:rsid w:val="001063BF"/>
    <w:rsid w:val="00106FC7"/>
    <w:rsid w:val="0010736A"/>
    <w:rsid w:val="00107662"/>
    <w:rsid w:val="00107C57"/>
    <w:rsid w:val="00107E7C"/>
    <w:rsid w:val="00111174"/>
    <w:rsid w:val="001117E1"/>
    <w:rsid w:val="001125C9"/>
    <w:rsid w:val="00112F8D"/>
    <w:rsid w:val="0011302D"/>
    <w:rsid w:val="001131EE"/>
    <w:rsid w:val="0011350A"/>
    <w:rsid w:val="00114FA2"/>
    <w:rsid w:val="001154AB"/>
    <w:rsid w:val="00115E36"/>
    <w:rsid w:val="00116352"/>
    <w:rsid w:val="0011696D"/>
    <w:rsid w:val="00116E8D"/>
    <w:rsid w:val="00117043"/>
    <w:rsid w:val="00117068"/>
    <w:rsid w:val="0011750C"/>
    <w:rsid w:val="00117532"/>
    <w:rsid w:val="001207CA"/>
    <w:rsid w:val="00120A0F"/>
    <w:rsid w:val="00121126"/>
    <w:rsid w:val="001211A8"/>
    <w:rsid w:val="001212E6"/>
    <w:rsid w:val="00122037"/>
    <w:rsid w:val="001222D2"/>
    <w:rsid w:val="001229C4"/>
    <w:rsid w:val="00122BD5"/>
    <w:rsid w:val="00123515"/>
    <w:rsid w:val="00123C1A"/>
    <w:rsid w:val="00123E63"/>
    <w:rsid w:val="0012409A"/>
    <w:rsid w:val="00124639"/>
    <w:rsid w:val="00125391"/>
    <w:rsid w:val="001256C4"/>
    <w:rsid w:val="00126ACF"/>
    <w:rsid w:val="001272F0"/>
    <w:rsid w:val="00127455"/>
    <w:rsid w:val="00127869"/>
    <w:rsid w:val="0013051D"/>
    <w:rsid w:val="00130DB7"/>
    <w:rsid w:val="00131AA3"/>
    <w:rsid w:val="00132CF3"/>
    <w:rsid w:val="00132D6B"/>
    <w:rsid w:val="001330E7"/>
    <w:rsid w:val="00133F79"/>
    <w:rsid w:val="001349E3"/>
    <w:rsid w:val="00134A2C"/>
    <w:rsid w:val="00134B89"/>
    <w:rsid w:val="00134DDC"/>
    <w:rsid w:val="00135C5C"/>
    <w:rsid w:val="00135DA2"/>
    <w:rsid w:val="00135FE3"/>
    <w:rsid w:val="00135FEB"/>
    <w:rsid w:val="0013769E"/>
    <w:rsid w:val="00137D82"/>
    <w:rsid w:val="00137F1B"/>
    <w:rsid w:val="001401D9"/>
    <w:rsid w:val="001404CD"/>
    <w:rsid w:val="00140605"/>
    <w:rsid w:val="00140AC4"/>
    <w:rsid w:val="00142E2F"/>
    <w:rsid w:val="0014353F"/>
    <w:rsid w:val="001442DE"/>
    <w:rsid w:val="001447FA"/>
    <w:rsid w:val="00144B54"/>
    <w:rsid w:val="00144E58"/>
    <w:rsid w:val="0014762D"/>
    <w:rsid w:val="00147DE4"/>
    <w:rsid w:val="00150B97"/>
    <w:rsid w:val="0015101C"/>
    <w:rsid w:val="0015134A"/>
    <w:rsid w:val="001513CD"/>
    <w:rsid w:val="001523DE"/>
    <w:rsid w:val="001524F8"/>
    <w:rsid w:val="00152988"/>
    <w:rsid w:val="00152F44"/>
    <w:rsid w:val="001536ED"/>
    <w:rsid w:val="001553E4"/>
    <w:rsid w:val="00155A80"/>
    <w:rsid w:val="0015643D"/>
    <w:rsid w:val="0015666E"/>
    <w:rsid w:val="001566F7"/>
    <w:rsid w:val="001571BA"/>
    <w:rsid w:val="0015771D"/>
    <w:rsid w:val="00157793"/>
    <w:rsid w:val="00157AB3"/>
    <w:rsid w:val="0015C5AD"/>
    <w:rsid w:val="001604AD"/>
    <w:rsid w:val="00160898"/>
    <w:rsid w:val="00160F93"/>
    <w:rsid w:val="00161BE8"/>
    <w:rsid w:val="00162072"/>
    <w:rsid w:val="00162118"/>
    <w:rsid w:val="00162B4C"/>
    <w:rsid w:val="00163BA4"/>
    <w:rsid w:val="00164281"/>
    <w:rsid w:val="00164671"/>
    <w:rsid w:val="001647A4"/>
    <w:rsid w:val="00164A0B"/>
    <w:rsid w:val="00164B21"/>
    <w:rsid w:val="00166268"/>
    <w:rsid w:val="001662CE"/>
    <w:rsid w:val="00167685"/>
    <w:rsid w:val="001679A0"/>
    <w:rsid w:val="00167A39"/>
    <w:rsid w:val="00167B11"/>
    <w:rsid w:val="00167E63"/>
    <w:rsid w:val="0017068F"/>
    <w:rsid w:val="00170826"/>
    <w:rsid w:val="00170D0B"/>
    <w:rsid w:val="0017159C"/>
    <w:rsid w:val="00171D59"/>
    <w:rsid w:val="00171E8A"/>
    <w:rsid w:val="001723DA"/>
    <w:rsid w:val="00173286"/>
    <w:rsid w:val="0017341D"/>
    <w:rsid w:val="00173776"/>
    <w:rsid w:val="00173F82"/>
    <w:rsid w:val="001740A8"/>
    <w:rsid w:val="00174111"/>
    <w:rsid w:val="00174375"/>
    <w:rsid w:val="00174BD4"/>
    <w:rsid w:val="00174FDE"/>
    <w:rsid w:val="00175B44"/>
    <w:rsid w:val="001768CF"/>
    <w:rsid w:val="00176A21"/>
    <w:rsid w:val="001773FD"/>
    <w:rsid w:val="00180803"/>
    <w:rsid w:val="00180811"/>
    <w:rsid w:val="0018109E"/>
    <w:rsid w:val="001810E6"/>
    <w:rsid w:val="001813DB"/>
    <w:rsid w:val="0018179A"/>
    <w:rsid w:val="001818A8"/>
    <w:rsid w:val="00181D33"/>
    <w:rsid w:val="00182392"/>
    <w:rsid w:val="00182FE6"/>
    <w:rsid w:val="00183519"/>
    <w:rsid w:val="00183FA2"/>
    <w:rsid w:val="00184797"/>
    <w:rsid w:val="00184A26"/>
    <w:rsid w:val="00184EC4"/>
    <w:rsid w:val="00185E1C"/>
    <w:rsid w:val="001861DE"/>
    <w:rsid w:val="00186742"/>
    <w:rsid w:val="00186C87"/>
    <w:rsid w:val="001875FC"/>
    <w:rsid w:val="001876F2"/>
    <w:rsid w:val="00187B9F"/>
    <w:rsid w:val="0019095F"/>
    <w:rsid w:val="00191240"/>
    <w:rsid w:val="0019142B"/>
    <w:rsid w:val="00191565"/>
    <w:rsid w:val="00191CD9"/>
    <w:rsid w:val="001926D9"/>
    <w:rsid w:val="0019275F"/>
    <w:rsid w:val="00194164"/>
    <w:rsid w:val="001942E9"/>
    <w:rsid w:val="00194675"/>
    <w:rsid w:val="001946B6"/>
    <w:rsid w:val="001948E2"/>
    <w:rsid w:val="00194A66"/>
    <w:rsid w:val="00194CBB"/>
    <w:rsid w:val="00195019"/>
    <w:rsid w:val="001955FA"/>
    <w:rsid w:val="00195D3F"/>
    <w:rsid w:val="00196360"/>
    <w:rsid w:val="001969C8"/>
    <w:rsid w:val="00196C57"/>
    <w:rsid w:val="00197251"/>
    <w:rsid w:val="001972E5"/>
    <w:rsid w:val="00197C88"/>
    <w:rsid w:val="00197E41"/>
    <w:rsid w:val="00197EDE"/>
    <w:rsid w:val="001A0109"/>
    <w:rsid w:val="001A01B4"/>
    <w:rsid w:val="001A0273"/>
    <w:rsid w:val="001A032C"/>
    <w:rsid w:val="001A055C"/>
    <w:rsid w:val="001A0E86"/>
    <w:rsid w:val="001A1DD8"/>
    <w:rsid w:val="001A1E5A"/>
    <w:rsid w:val="001A248A"/>
    <w:rsid w:val="001A24AB"/>
    <w:rsid w:val="001A2EBE"/>
    <w:rsid w:val="001A3578"/>
    <w:rsid w:val="001A35E8"/>
    <w:rsid w:val="001A3B82"/>
    <w:rsid w:val="001A3BD0"/>
    <w:rsid w:val="001A3DD1"/>
    <w:rsid w:val="001A4E57"/>
    <w:rsid w:val="001A4E72"/>
    <w:rsid w:val="001A533F"/>
    <w:rsid w:val="001A5355"/>
    <w:rsid w:val="001A5404"/>
    <w:rsid w:val="001A571B"/>
    <w:rsid w:val="001A573E"/>
    <w:rsid w:val="001A6001"/>
    <w:rsid w:val="001A637B"/>
    <w:rsid w:val="001A747C"/>
    <w:rsid w:val="001B0252"/>
    <w:rsid w:val="001B05AB"/>
    <w:rsid w:val="001B0B7B"/>
    <w:rsid w:val="001B0DEE"/>
    <w:rsid w:val="001B1290"/>
    <w:rsid w:val="001B187C"/>
    <w:rsid w:val="001B28E2"/>
    <w:rsid w:val="001B29E5"/>
    <w:rsid w:val="001B2C9D"/>
    <w:rsid w:val="001B2E7A"/>
    <w:rsid w:val="001B3816"/>
    <w:rsid w:val="001B3C9E"/>
    <w:rsid w:val="001B464A"/>
    <w:rsid w:val="001B4724"/>
    <w:rsid w:val="001B4EFE"/>
    <w:rsid w:val="001B4F72"/>
    <w:rsid w:val="001B52BA"/>
    <w:rsid w:val="001B5343"/>
    <w:rsid w:val="001B5D88"/>
    <w:rsid w:val="001B5FED"/>
    <w:rsid w:val="001B693C"/>
    <w:rsid w:val="001B6C67"/>
    <w:rsid w:val="001B6DE2"/>
    <w:rsid w:val="001B7483"/>
    <w:rsid w:val="001B79A3"/>
    <w:rsid w:val="001C0878"/>
    <w:rsid w:val="001C0905"/>
    <w:rsid w:val="001C090A"/>
    <w:rsid w:val="001C176C"/>
    <w:rsid w:val="001C17C4"/>
    <w:rsid w:val="001C17D2"/>
    <w:rsid w:val="001C2259"/>
    <w:rsid w:val="001C2DCC"/>
    <w:rsid w:val="001C3928"/>
    <w:rsid w:val="001C4EBB"/>
    <w:rsid w:val="001C505C"/>
    <w:rsid w:val="001C51D4"/>
    <w:rsid w:val="001C56BB"/>
    <w:rsid w:val="001C5971"/>
    <w:rsid w:val="001C5B81"/>
    <w:rsid w:val="001C600F"/>
    <w:rsid w:val="001C631E"/>
    <w:rsid w:val="001C64FC"/>
    <w:rsid w:val="001C688F"/>
    <w:rsid w:val="001C6A2C"/>
    <w:rsid w:val="001C7002"/>
    <w:rsid w:val="001C700F"/>
    <w:rsid w:val="001C71D9"/>
    <w:rsid w:val="001C7842"/>
    <w:rsid w:val="001C7E74"/>
    <w:rsid w:val="001D01A8"/>
    <w:rsid w:val="001D02A3"/>
    <w:rsid w:val="001D03A4"/>
    <w:rsid w:val="001D041D"/>
    <w:rsid w:val="001D0440"/>
    <w:rsid w:val="001D0547"/>
    <w:rsid w:val="001D0C9F"/>
    <w:rsid w:val="001D167D"/>
    <w:rsid w:val="001D19D6"/>
    <w:rsid w:val="001D2F80"/>
    <w:rsid w:val="001D381E"/>
    <w:rsid w:val="001D3870"/>
    <w:rsid w:val="001D3A47"/>
    <w:rsid w:val="001D4228"/>
    <w:rsid w:val="001D42F4"/>
    <w:rsid w:val="001D4E34"/>
    <w:rsid w:val="001D4F2E"/>
    <w:rsid w:val="001D5146"/>
    <w:rsid w:val="001D524F"/>
    <w:rsid w:val="001D576F"/>
    <w:rsid w:val="001D60AF"/>
    <w:rsid w:val="001D6191"/>
    <w:rsid w:val="001D6650"/>
    <w:rsid w:val="001D6BCF"/>
    <w:rsid w:val="001D6EFA"/>
    <w:rsid w:val="001D7012"/>
    <w:rsid w:val="001D7488"/>
    <w:rsid w:val="001D7712"/>
    <w:rsid w:val="001D7913"/>
    <w:rsid w:val="001D7C8C"/>
    <w:rsid w:val="001E01CA"/>
    <w:rsid w:val="001E0F7E"/>
    <w:rsid w:val="001E109D"/>
    <w:rsid w:val="001E1306"/>
    <w:rsid w:val="001E1C9C"/>
    <w:rsid w:val="001E202F"/>
    <w:rsid w:val="001E2666"/>
    <w:rsid w:val="001E27F2"/>
    <w:rsid w:val="001E3910"/>
    <w:rsid w:val="001E468F"/>
    <w:rsid w:val="001E5B11"/>
    <w:rsid w:val="001E5EB6"/>
    <w:rsid w:val="001E6207"/>
    <w:rsid w:val="001E642F"/>
    <w:rsid w:val="001E6F01"/>
    <w:rsid w:val="001E73AE"/>
    <w:rsid w:val="001E73C5"/>
    <w:rsid w:val="001E7B61"/>
    <w:rsid w:val="001F0015"/>
    <w:rsid w:val="001F01AD"/>
    <w:rsid w:val="001F0452"/>
    <w:rsid w:val="001F0B04"/>
    <w:rsid w:val="001F0D48"/>
    <w:rsid w:val="001F1B82"/>
    <w:rsid w:val="001F1BBA"/>
    <w:rsid w:val="001F25A0"/>
    <w:rsid w:val="001F28D5"/>
    <w:rsid w:val="001F28E9"/>
    <w:rsid w:val="001F2B13"/>
    <w:rsid w:val="001F2D51"/>
    <w:rsid w:val="001F3164"/>
    <w:rsid w:val="001F3B70"/>
    <w:rsid w:val="001F3EC3"/>
    <w:rsid w:val="001F406D"/>
    <w:rsid w:val="001F432F"/>
    <w:rsid w:val="001F45FF"/>
    <w:rsid w:val="001F4C1F"/>
    <w:rsid w:val="001F4F55"/>
    <w:rsid w:val="001F597F"/>
    <w:rsid w:val="001F5993"/>
    <w:rsid w:val="001F5F05"/>
    <w:rsid w:val="001F61CB"/>
    <w:rsid w:val="001F64B4"/>
    <w:rsid w:val="001F64C8"/>
    <w:rsid w:val="001F6B1D"/>
    <w:rsid w:val="001F70AA"/>
    <w:rsid w:val="001F7FC1"/>
    <w:rsid w:val="00200957"/>
    <w:rsid w:val="00201135"/>
    <w:rsid w:val="00201479"/>
    <w:rsid w:val="002014DC"/>
    <w:rsid w:val="00201786"/>
    <w:rsid w:val="002027D9"/>
    <w:rsid w:val="00202876"/>
    <w:rsid w:val="00202F65"/>
    <w:rsid w:val="002030DB"/>
    <w:rsid w:val="00205AC8"/>
    <w:rsid w:val="002060C7"/>
    <w:rsid w:val="00206873"/>
    <w:rsid w:val="00206A42"/>
    <w:rsid w:val="002078FF"/>
    <w:rsid w:val="00207AA8"/>
    <w:rsid w:val="002106F9"/>
    <w:rsid w:val="002109C5"/>
    <w:rsid w:val="002109CC"/>
    <w:rsid w:val="0021107F"/>
    <w:rsid w:val="00211114"/>
    <w:rsid w:val="0021140E"/>
    <w:rsid w:val="00211AE6"/>
    <w:rsid w:val="002122B0"/>
    <w:rsid w:val="00212830"/>
    <w:rsid w:val="00212B6A"/>
    <w:rsid w:val="00212CDC"/>
    <w:rsid w:val="00212DB4"/>
    <w:rsid w:val="00212EE7"/>
    <w:rsid w:val="002130BD"/>
    <w:rsid w:val="00213899"/>
    <w:rsid w:val="00214128"/>
    <w:rsid w:val="002141F4"/>
    <w:rsid w:val="0021422D"/>
    <w:rsid w:val="00214A40"/>
    <w:rsid w:val="00215172"/>
    <w:rsid w:val="00215184"/>
    <w:rsid w:val="002154BF"/>
    <w:rsid w:val="00215E18"/>
    <w:rsid w:val="00216D07"/>
    <w:rsid w:val="00217547"/>
    <w:rsid w:val="0021788F"/>
    <w:rsid w:val="00217956"/>
    <w:rsid w:val="00217B60"/>
    <w:rsid w:val="00220067"/>
    <w:rsid w:val="002203C4"/>
    <w:rsid w:val="00221453"/>
    <w:rsid w:val="002214AB"/>
    <w:rsid w:val="0022182F"/>
    <w:rsid w:val="00221F6D"/>
    <w:rsid w:val="00222858"/>
    <w:rsid w:val="00222BC7"/>
    <w:rsid w:val="00222CF7"/>
    <w:rsid w:val="00222EFF"/>
    <w:rsid w:val="0022337C"/>
    <w:rsid w:val="0022487F"/>
    <w:rsid w:val="00224A76"/>
    <w:rsid w:val="00224B7F"/>
    <w:rsid w:val="00224F8A"/>
    <w:rsid w:val="00225B8F"/>
    <w:rsid w:val="00225ED2"/>
    <w:rsid w:val="00226254"/>
    <w:rsid w:val="002263A1"/>
    <w:rsid w:val="002269AF"/>
    <w:rsid w:val="00226E16"/>
    <w:rsid w:val="00227006"/>
    <w:rsid w:val="00230271"/>
    <w:rsid w:val="00230279"/>
    <w:rsid w:val="0023076B"/>
    <w:rsid w:val="002309E2"/>
    <w:rsid w:val="0023143D"/>
    <w:rsid w:val="0023294D"/>
    <w:rsid w:val="00232FCC"/>
    <w:rsid w:val="002345D1"/>
    <w:rsid w:val="00234F8E"/>
    <w:rsid w:val="002356E2"/>
    <w:rsid w:val="00235900"/>
    <w:rsid w:val="00235984"/>
    <w:rsid w:val="00235C16"/>
    <w:rsid w:val="00235D9E"/>
    <w:rsid w:val="00236B4B"/>
    <w:rsid w:val="00236BA1"/>
    <w:rsid w:val="00237039"/>
    <w:rsid w:val="00237242"/>
    <w:rsid w:val="00240251"/>
    <w:rsid w:val="00240B7E"/>
    <w:rsid w:val="00240C48"/>
    <w:rsid w:val="002416F8"/>
    <w:rsid w:val="00241739"/>
    <w:rsid w:val="00241BDF"/>
    <w:rsid w:val="00242C2C"/>
    <w:rsid w:val="002432E9"/>
    <w:rsid w:val="00244A8B"/>
    <w:rsid w:val="0024589A"/>
    <w:rsid w:val="00245BCB"/>
    <w:rsid w:val="00245E0C"/>
    <w:rsid w:val="00246C5F"/>
    <w:rsid w:val="00246F9F"/>
    <w:rsid w:val="00247333"/>
    <w:rsid w:val="00247642"/>
    <w:rsid w:val="0024775C"/>
    <w:rsid w:val="002479BF"/>
    <w:rsid w:val="00250ABC"/>
    <w:rsid w:val="00250C61"/>
    <w:rsid w:val="002514C8"/>
    <w:rsid w:val="002515CB"/>
    <w:rsid w:val="00251807"/>
    <w:rsid w:val="002525BD"/>
    <w:rsid w:val="002528F2"/>
    <w:rsid w:val="00253245"/>
    <w:rsid w:val="0025336B"/>
    <w:rsid w:val="00253A72"/>
    <w:rsid w:val="0025443F"/>
    <w:rsid w:val="0025468F"/>
    <w:rsid w:val="002551EB"/>
    <w:rsid w:val="00256239"/>
    <w:rsid w:val="0025732B"/>
    <w:rsid w:val="0025783C"/>
    <w:rsid w:val="00257B79"/>
    <w:rsid w:val="00257CB2"/>
    <w:rsid w:val="002600FE"/>
    <w:rsid w:val="0026017F"/>
    <w:rsid w:val="00260539"/>
    <w:rsid w:val="00260683"/>
    <w:rsid w:val="002607F3"/>
    <w:rsid w:val="00261065"/>
    <w:rsid w:val="002612C0"/>
    <w:rsid w:val="002613ED"/>
    <w:rsid w:val="0026201E"/>
    <w:rsid w:val="002624A9"/>
    <w:rsid w:val="00262B84"/>
    <w:rsid w:val="002631AF"/>
    <w:rsid w:val="002632C6"/>
    <w:rsid w:val="0026336A"/>
    <w:rsid w:val="00263A23"/>
    <w:rsid w:val="00264078"/>
    <w:rsid w:val="002641D4"/>
    <w:rsid w:val="00264260"/>
    <w:rsid w:val="0026456E"/>
    <w:rsid w:val="002646EB"/>
    <w:rsid w:val="00264A03"/>
    <w:rsid w:val="00265465"/>
    <w:rsid w:val="00265DE4"/>
    <w:rsid w:val="0026606F"/>
    <w:rsid w:val="002660A7"/>
    <w:rsid w:val="002678E0"/>
    <w:rsid w:val="00267E69"/>
    <w:rsid w:val="00269D4E"/>
    <w:rsid w:val="00270F2F"/>
    <w:rsid w:val="0027101F"/>
    <w:rsid w:val="002714BE"/>
    <w:rsid w:val="002716F4"/>
    <w:rsid w:val="002718C1"/>
    <w:rsid w:val="00271F20"/>
    <w:rsid w:val="00273035"/>
    <w:rsid w:val="0027339F"/>
    <w:rsid w:val="0027391E"/>
    <w:rsid w:val="002739F5"/>
    <w:rsid w:val="00273BB9"/>
    <w:rsid w:val="00273F84"/>
    <w:rsid w:val="00274825"/>
    <w:rsid w:val="00275092"/>
    <w:rsid w:val="0027532F"/>
    <w:rsid w:val="00275CF5"/>
    <w:rsid w:val="00275EE9"/>
    <w:rsid w:val="002760F8"/>
    <w:rsid w:val="00276266"/>
    <w:rsid w:val="0027634C"/>
    <w:rsid w:val="002765A7"/>
    <w:rsid w:val="0027686F"/>
    <w:rsid w:val="002769B2"/>
    <w:rsid w:val="00276AD4"/>
    <w:rsid w:val="002776AA"/>
    <w:rsid w:val="002777CF"/>
    <w:rsid w:val="0027784C"/>
    <w:rsid w:val="00277B12"/>
    <w:rsid w:val="00280188"/>
    <w:rsid w:val="002801A2"/>
    <w:rsid w:val="00280A3B"/>
    <w:rsid w:val="00280BC0"/>
    <w:rsid w:val="00280EAB"/>
    <w:rsid w:val="00281E8A"/>
    <w:rsid w:val="0028228B"/>
    <w:rsid w:val="0028295E"/>
    <w:rsid w:val="00282D2E"/>
    <w:rsid w:val="0028301F"/>
    <w:rsid w:val="002836FC"/>
    <w:rsid w:val="00283A79"/>
    <w:rsid w:val="00283D86"/>
    <w:rsid w:val="0028433A"/>
    <w:rsid w:val="002844A2"/>
    <w:rsid w:val="00284DB7"/>
    <w:rsid w:val="00284E4F"/>
    <w:rsid w:val="00285017"/>
    <w:rsid w:val="00285597"/>
    <w:rsid w:val="00286FA7"/>
    <w:rsid w:val="00287289"/>
    <w:rsid w:val="002879E6"/>
    <w:rsid w:val="00287D16"/>
    <w:rsid w:val="0029049F"/>
    <w:rsid w:val="00290631"/>
    <w:rsid w:val="002915FF"/>
    <w:rsid w:val="0029162C"/>
    <w:rsid w:val="002916A1"/>
    <w:rsid w:val="0029193E"/>
    <w:rsid w:val="002940ED"/>
    <w:rsid w:val="0029449E"/>
    <w:rsid w:val="00294593"/>
    <w:rsid w:val="00294855"/>
    <w:rsid w:val="002953D0"/>
    <w:rsid w:val="0029615E"/>
    <w:rsid w:val="00296608"/>
    <w:rsid w:val="002969B4"/>
    <w:rsid w:val="00297256"/>
    <w:rsid w:val="002975CB"/>
    <w:rsid w:val="00297668"/>
    <w:rsid w:val="002A0704"/>
    <w:rsid w:val="002A0855"/>
    <w:rsid w:val="002A0E22"/>
    <w:rsid w:val="002A1665"/>
    <w:rsid w:val="002A1711"/>
    <w:rsid w:val="002A18FE"/>
    <w:rsid w:val="002A1E77"/>
    <w:rsid w:val="002A273A"/>
    <w:rsid w:val="002A2D2E"/>
    <w:rsid w:val="002A4647"/>
    <w:rsid w:val="002A465C"/>
    <w:rsid w:val="002A4FDC"/>
    <w:rsid w:val="002A5739"/>
    <w:rsid w:val="002A587D"/>
    <w:rsid w:val="002A5956"/>
    <w:rsid w:val="002A5E78"/>
    <w:rsid w:val="002A7B16"/>
    <w:rsid w:val="002A7C43"/>
    <w:rsid w:val="002B00B0"/>
    <w:rsid w:val="002B0256"/>
    <w:rsid w:val="002B054B"/>
    <w:rsid w:val="002B06CA"/>
    <w:rsid w:val="002B0A60"/>
    <w:rsid w:val="002B1084"/>
    <w:rsid w:val="002B1125"/>
    <w:rsid w:val="002B14A5"/>
    <w:rsid w:val="002B1DBD"/>
    <w:rsid w:val="002B2567"/>
    <w:rsid w:val="002B2AD2"/>
    <w:rsid w:val="002B2B63"/>
    <w:rsid w:val="002B3586"/>
    <w:rsid w:val="002B35FC"/>
    <w:rsid w:val="002B39A4"/>
    <w:rsid w:val="002B4912"/>
    <w:rsid w:val="002B49C4"/>
    <w:rsid w:val="002B5397"/>
    <w:rsid w:val="002B5A62"/>
    <w:rsid w:val="002B650F"/>
    <w:rsid w:val="002B7336"/>
    <w:rsid w:val="002B7495"/>
    <w:rsid w:val="002B7668"/>
    <w:rsid w:val="002B7C15"/>
    <w:rsid w:val="002C00E8"/>
    <w:rsid w:val="002C06F5"/>
    <w:rsid w:val="002C07E4"/>
    <w:rsid w:val="002C0DB8"/>
    <w:rsid w:val="002C0F70"/>
    <w:rsid w:val="002C0FF5"/>
    <w:rsid w:val="002C1322"/>
    <w:rsid w:val="002C1D5E"/>
    <w:rsid w:val="002C1DB5"/>
    <w:rsid w:val="002C1EFC"/>
    <w:rsid w:val="002C2BDC"/>
    <w:rsid w:val="002C2F63"/>
    <w:rsid w:val="002C30A1"/>
    <w:rsid w:val="002C35E2"/>
    <w:rsid w:val="002C3649"/>
    <w:rsid w:val="002C3956"/>
    <w:rsid w:val="002C3B36"/>
    <w:rsid w:val="002C3EC8"/>
    <w:rsid w:val="002C4082"/>
    <w:rsid w:val="002C42BC"/>
    <w:rsid w:val="002C4B3C"/>
    <w:rsid w:val="002C4F38"/>
    <w:rsid w:val="002C5007"/>
    <w:rsid w:val="002C5323"/>
    <w:rsid w:val="002C55F7"/>
    <w:rsid w:val="002C6AB5"/>
    <w:rsid w:val="002C6B80"/>
    <w:rsid w:val="002C6D4A"/>
    <w:rsid w:val="002C7197"/>
    <w:rsid w:val="002C7405"/>
    <w:rsid w:val="002C7507"/>
    <w:rsid w:val="002C7E44"/>
    <w:rsid w:val="002D06A0"/>
    <w:rsid w:val="002D0CCB"/>
    <w:rsid w:val="002D0D68"/>
    <w:rsid w:val="002D0DEC"/>
    <w:rsid w:val="002D1104"/>
    <w:rsid w:val="002D14EC"/>
    <w:rsid w:val="002D173C"/>
    <w:rsid w:val="002D179A"/>
    <w:rsid w:val="002D1F8B"/>
    <w:rsid w:val="002D2A85"/>
    <w:rsid w:val="002D2D05"/>
    <w:rsid w:val="002D2DB5"/>
    <w:rsid w:val="002D3698"/>
    <w:rsid w:val="002D3733"/>
    <w:rsid w:val="002D37DA"/>
    <w:rsid w:val="002D3C4B"/>
    <w:rsid w:val="002D3EF1"/>
    <w:rsid w:val="002D441C"/>
    <w:rsid w:val="002D4426"/>
    <w:rsid w:val="002D44FC"/>
    <w:rsid w:val="002D5AE2"/>
    <w:rsid w:val="002D5F50"/>
    <w:rsid w:val="002D69A8"/>
    <w:rsid w:val="002D6BD4"/>
    <w:rsid w:val="002D6D3C"/>
    <w:rsid w:val="002D76E1"/>
    <w:rsid w:val="002E02E7"/>
    <w:rsid w:val="002E07C8"/>
    <w:rsid w:val="002E08C3"/>
    <w:rsid w:val="002E1232"/>
    <w:rsid w:val="002E23FD"/>
    <w:rsid w:val="002E295B"/>
    <w:rsid w:val="002E2A9E"/>
    <w:rsid w:val="002E2CC8"/>
    <w:rsid w:val="002E2F08"/>
    <w:rsid w:val="002E35C8"/>
    <w:rsid w:val="002E3DCA"/>
    <w:rsid w:val="002E3ED7"/>
    <w:rsid w:val="002E4415"/>
    <w:rsid w:val="002E4439"/>
    <w:rsid w:val="002E44C3"/>
    <w:rsid w:val="002E4CDF"/>
    <w:rsid w:val="002E4D2B"/>
    <w:rsid w:val="002E5757"/>
    <w:rsid w:val="002E624F"/>
    <w:rsid w:val="002E6A07"/>
    <w:rsid w:val="002E6FE5"/>
    <w:rsid w:val="002E718B"/>
    <w:rsid w:val="002E764A"/>
    <w:rsid w:val="002E779A"/>
    <w:rsid w:val="002F081D"/>
    <w:rsid w:val="002F1216"/>
    <w:rsid w:val="002F17C8"/>
    <w:rsid w:val="002F1D5C"/>
    <w:rsid w:val="002F1D79"/>
    <w:rsid w:val="002F1DAE"/>
    <w:rsid w:val="002F52F4"/>
    <w:rsid w:val="002F6909"/>
    <w:rsid w:val="002F7334"/>
    <w:rsid w:val="002F73F6"/>
    <w:rsid w:val="002F7817"/>
    <w:rsid w:val="002F7962"/>
    <w:rsid w:val="002F7E14"/>
    <w:rsid w:val="0030017B"/>
    <w:rsid w:val="003001EA"/>
    <w:rsid w:val="00300302"/>
    <w:rsid w:val="0030035F"/>
    <w:rsid w:val="003013ED"/>
    <w:rsid w:val="0030151B"/>
    <w:rsid w:val="00301C15"/>
    <w:rsid w:val="00301DDD"/>
    <w:rsid w:val="00301DE3"/>
    <w:rsid w:val="00302B26"/>
    <w:rsid w:val="00302E73"/>
    <w:rsid w:val="00303C38"/>
    <w:rsid w:val="00303E57"/>
    <w:rsid w:val="0030458F"/>
    <w:rsid w:val="003045ED"/>
    <w:rsid w:val="00304633"/>
    <w:rsid w:val="00304763"/>
    <w:rsid w:val="003047B7"/>
    <w:rsid w:val="00304D0B"/>
    <w:rsid w:val="00304D98"/>
    <w:rsid w:val="00305092"/>
    <w:rsid w:val="0030520D"/>
    <w:rsid w:val="0030548D"/>
    <w:rsid w:val="00305C67"/>
    <w:rsid w:val="00305D3D"/>
    <w:rsid w:val="00305FCD"/>
    <w:rsid w:val="0030663B"/>
    <w:rsid w:val="00306C11"/>
    <w:rsid w:val="00306E93"/>
    <w:rsid w:val="003072E5"/>
    <w:rsid w:val="00307AE6"/>
    <w:rsid w:val="00307F96"/>
    <w:rsid w:val="0031037C"/>
    <w:rsid w:val="00310471"/>
    <w:rsid w:val="00310631"/>
    <w:rsid w:val="003106FD"/>
    <w:rsid w:val="003111CC"/>
    <w:rsid w:val="00311906"/>
    <w:rsid w:val="00311B77"/>
    <w:rsid w:val="00311BA8"/>
    <w:rsid w:val="0031258C"/>
    <w:rsid w:val="003127CB"/>
    <w:rsid w:val="00312C2A"/>
    <w:rsid w:val="00313289"/>
    <w:rsid w:val="003138C2"/>
    <w:rsid w:val="00314B8B"/>
    <w:rsid w:val="003152D3"/>
    <w:rsid w:val="00315787"/>
    <w:rsid w:val="00315DAC"/>
    <w:rsid w:val="00316AF2"/>
    <w:rsid w:val="00317716"/>
    <w:rsid w:val="00320169"/>
    <w:rsid w:val="00320460"/>
    <w:rsid w:val="00320CD3"/>
    <w:rsid w:val="00321898"/>
    <w:rsid w:val="003220E5"/>
    <w:rsid w:val="003226DD"/>
    <w:rsid w:val="003233B5"/>
    <w:rsid w:val="003235A7"/>
    <w:rsid w:val="003235DC"/>
    <w:rsid w:val="00323EEE"/>
    <w:rsid w:val="0032470D"/>
    <w:rsid w:val="00324853"/>
    <w:rsid w:val="003263DD"/>
    <w:rsid w:val="0032665D"/>
    <w:rsid w:val="003267CA"/>
    <w:rsid w:val="0032691F"/>
    <w:rsid w:val="00326A17"/>
    <w:rsid w:val="00326D93"/>
    <w:rsid w:val="00327567"/>
    <w:rsid w:val="00327F09"/>
    <w:rsid w:val="0033031B"/>
    <w:rsid w:val="0033061B"/>
    <w:rsid w:val="003308F9"/>
    <w:rsid w:val="003314E7"/>
    <w:rsid w:val="00331BE0"/>
    <w:rsid w:val="00333784"/>
    <w:rsid w:val="00333B37"/>
    <w:rsid w:val="00333CA8"/>
    <w:rsid w:val="00334187"/>
    <w:rsid w:val="003350AA"/>
    <w:rsid w:val="00335BBE"/>
    <w:rsid w:val="003362CD"/>
    <w:rsid w:val="00337476"/>
    <w:rsid w:val="003376A0"/>
    <w:rsid w:val="00337D99"/>
    <w:rsid w:val="00340340"/>
    <w:rsid w:val="0034072E"/>
    <w:rsid w:val="00341186"/>
    <w:rsid w:val="0034124A"/>
    <w:rsid w:val="003413AF"/>
    <w:rsid w:val="003413CB"/>
    <w:rsid w:val="00341DCB"/>
    <w:rsid w:val="0034294D"/>
    <w:rsid w:val="00342A6A"/>
    <w:rsid w:val="00342A94"/>
    <w:rsid w:val="00342B9F"/>
    <w:rsid w:val="003434C4"/>
    <w:rsid w:val="0034357D"/>
    <w:rsid w:val="0034370D"/>
    <w:rsid w:val="00343749"/>
    <w:rsid w:val="0034379F"/>
    <w:rsid w:val="00343C76"/>
    <w:rsid w:val="003446B5"/>
    <w:rsid w:val="00344747"/>
    <w:rsid w:val="00344777"/>
    <w:rsid w:val="00344A57"/>
    <w:rsid w:val="00344C3C"/>
    <w:rsid w:val="00344D67"/>
    <w:rsid w:val="00344FBE"/>
    <w:rsid w:val="0034547A"/>
    <w:rsid w:val="00345530"/>
    <w:rsid w:val="003455A4"/>
    <w:rsid w:val="003455B3"/>
    <w:rsid w:val="00345959"/>
    <w:rsid w:val="00345E46"/>
    <w:rsid w:val="003463D6"/>
    <w:rsid w:val="0034696D"/>
    <w:rsid w:val="00346CF3"/>
    <w:rsid w:val="00347528"/>
    <w:rsid w:val="0035056C"/>
    <w:rsid w:val="00351847"/>
    <w:rsid w:val="00351879"/>
    <w:rsid w:val="0035197A"/>
    <w:rsid w:val="00352BEF"/>
    <w:rsid w:val="00352C13"/>
    <w:rsid w:val="00353234"/>
    <w:rsid w:val="0035330B"/>
    <w:rsid w:val="003537FD"/>
    <w:rsid w:val="00353EB3"/>
    <w:rsid w:val="0035404B"/>
    <w:rsid w:val="0035456D"/>
    <w:rsid w:val="00354C65"/>
    <w:rsid w:val="00355050"/>
    <w:rsid w:val="003553B1"/>
    <w:rsid w:val="00355841"/>
    <w:rsid w:val="003564C3"/>
    <w:rsid w:val="00357334"/>
    <w:rsid w:val="00360069"/>
    <w:rsid w:val="003604C6"/>
    <w:rsid w:val="00360A01"/>
    <w:rsid w:val="0036215B"/>
    <w:rsid w:val="0036369B"/>
    <w:rsid w:val="00363F9D"/>
    <w:rsid w:val="00364CF2"/>
    <w:rsid w:val="0036512B"/>
    <w:rsid w:val="00365244"/>
    <w:rsid w:val="0036555E"/>
    <w:rsid w:val="00365841"/>
    <w:rsid w:val="00365A78"/>
    <w:rsid w:val="00365D04"/>
    <w:rsid w:val="003660ED"/>
    <w:rsid w:val="00366176"/>
    <w:rsid w:val="00366468"/>
    <w:rsid w:val="003668E6"/>
    <w:rsid w:val="00366E40"/>
    <w:rsid w:val="00366EE3"/>
    <w:rsid w:val="00367D93"/>
    <w:rsid w:val="003703BB"/>
    <w:rsid w:val="00370C3C"/>
    <w:rsid w:val="0037109F"/>
    <w:rsid w:val="00371492"/>
    <w:rsid w:val="003718DD"/>
    <w:rsid w:val="003725BD"/>
    <w:rsid w:val="0037383E"/>
    <w:rsid w:val="003738D1"/>
    <w:rsid w:val="00373BB9"/>
    <w:rsid w:val="00373C88"/>
    <w:rsid w:val="00373DB3"/>
    <w:rsid w:val="003741F7"/>
    <w:rsid w:val="00375F60"/>
    <w:rsid w:val="00376231"/>
    <w:rsid w:val="0037674E"/>
    <w:rsid w:val="0038030C"/>
    <w:rsid w:val="003803B5"/>
    <w:rsid w:val="003808D1"/>
    <w:rsid w:val="00380F69"/>
    <w:rsid w:val="003816DB"/>
    <w:rsid w:val="0038305E"/>
    <w:rsid w:val="00383D81"/>
    <w:rsid w:val="0038446D"/>
    <w:rsid w:val="00384898"/>
    <w:rsid w:val="00384942"/>
    <w:rsid w:val="00385B6C"/>
    <w:rsid w:val="00385C76"/>
    <w:rsid w:val="00386851"/>
    <w:rsid w:val="00387237"/>
    <w:rsid w:val="003872E7"/>
    <w:rsid w:val="00387953"/>
    <w:rsid w:val="00387A39"/>
    <w:rsid w:val="00387BCE"/>
    <w:rsid w:val="00390445"/>
    <w:rsid w:val="00390A2D"/>
    <w:rsid w:val="00390EC5"/>
    <w:rsid w:val="0039129A"/>
    <w:rsid w:val="00391974"/>
    <w:rsid w:val="00391B32"/>
    <w:rsid w:val="00392A6C"/>
    <w:rsid w:val="00392ECB"/>
    <w:rsid w:val="00393614"/>
    <w:rsid w:val="00393EC0"/>
    <w:rsid w:val="00394157"/>
    <w:rsid w:val="003958CC"/>
    <w:rsid w:val="0039628A"/>
    <w:rsid w:val="00396708"/>
    <w:rsid w:val="00396B3F"/>
    <w:rsid w:val="00397334"/>
    <w:rsid w:val="00397D20"/>
    <w:rsid w:val="003A1329"/>
    <w:rsid w:val="003A13BA"/>
    <w:rsid w:val="003A1DEF"/>
    <w:rsid w:val="003A211D"/>
    <w:rsid w:val="003A30B4"/>
    <w:rsid w:val="003A3E52"/>
    <w:rsid w:val="003A4207"/>
    <w:rsid w:val="003A4800"/>
    <w:rsid w:val="003A4A27"/>
    <w:rsid w:val="003A4C7B"/>
    <w:rsid w:val="003A4D22"/>
    <w:rsid w:val="003A5854"/>
    <w:rsid w:val="003A5879"/>
    <w:rsid w:val="003A64B5"/>
    <w:rsid w:val="003A6B81"/>
    <w:rsid w:val="003A6C45"/>
    <w:rsid w:val="003A7035"/>
    <w:rsid w:val="003A7215"/>
    <w:rsid w:val="003A72A0"/>
    <w:rsid w:val="003A7DC5"/>
    <w:rsid w:val="003B029D"/>
    <w:rsid w:val="003B02A8"/>
    <w:rsid w:val="003B0550"/>
    <w:rsid w:val="003B0634"/>
    <w:rsid w:val="003B0DF0"/>
    <w:rsid w:val="003B172C"/>
    <w:rsid w:val="003B179F"/>
    <w:rsid w:val="003B1987"/>
    <w:rsid w:val="003B1C6B"/>
    <w:rsid w:val="003B2277"/>
    <w:rsid w:val="003B23F8"/>
    <w:rsid w:val="003B29E3"/>
    <w:rsid w:val="003B2DCF"/>
    <w:rsid w:val="003B2FB9"/>
    <w:rsid w:val="003B3982"/>
    <w:rsid w:val="003B458B"/>
    <w:rsid w:val="003B49B2"/>
    <w:rsid w:val="003B4B9D"/>
    <w:rsid w:val="003B5C84"/>
    <w:rsid w:val="003B5D59"/>
    <w:rsid w:val="003B6256"/>
    <w:rsid w:val="003B6920"/>
    <w:rsid w:val="003B694F"/>
    <w:rsid w:val="003B6BFA"/>
    <w:rsid w:val="003B7575"/>
    <w:rsid w:val="003C07BE"/>
    <w:rsid w:val="003C09EC"/>
    <w:rsid w:val="003C108D"/>
    <w:rsid w:val="003C127A"/>
    <w:rsid w:val="003C179A"/>
    <w:rsid w:val="003C1987"/>
    <w:rsid w:val="003C1A06"/>
    <w:rsid w:val="003C2BE9"/>
    <w:rsid w:val="003C30BC"/>
    <w:rsid w:val="003C49A8"/>
    <w:rsid w:val="003C5475"/>
    <w:rsid w:val="003C5AAF"/>
    <w:rsid w:val="003C5FA2"/>
    <w:rsid w:val="003C6C0B"/>
    <w:rsid w:val="003C6D74"/>
    <w:rsid w:val="003C7262"/>
    <w:rsid w:val="003C783D"/>
    <w:rsid w:val="003C7AF7"/>
    <w:rsid w:val="003C7E16"/>
    <w:rsid w:val="003D00F4"/>
    <w:rsid w:val="003D07C8"/>
    <w:rsid w:val="003D0FE4"/>
    <w:rsid w:val="003D125B"/>
    <w:rsid w:val="003D1C8E"/>
    <w:rsid w:val="003D2C79"/>
    <w:rsid w:val="003D39EC"/>
    <w:rsid w:val="003D4773"/>
    <w:rsid w:val="003D570E"/>
    <w:rsid w:val="003D5B4B"/>
    <w:rsid w:val="003D5BE3"/>
    <w:rsid w:val="003D5C49"/>
    <w:rsid w:val="003D5D83"/>
    <w:rsid w:val="003D5DF6"/>
    <w:rsid w:val="003D5F91"/>
    <w:rsid w:val="003D62BF"/>
    <w:rsid w:val="003D634B"/>
    <w:rsid w:val="003D679F"/>
    <w:rsid w:val="003D686A"/>
    <w:rsid w:val="003D6AC3"/>
    <w:rsid w:val="003D6E4A"/>
    <w:rsid w:val="003E03BC"/>
    <w:rsid w:val="003E0405"/>
    <w:rsid w:val="003E101A"/>
    <w:rsid w:val="003E114A"/>
    <w:rsid w:val="003E1336"/>
    <w:rsid w:val="003E22D9"/>
    <w:rsid w:val="003E323B"/>
    <w:rsid w:val="003E3CC6"/>
    <w:rsid w:val="003E3F3B"/>
    <w:rsid w:val="003E684F"/>
    <w:rsid w:val="003E70F9"/>
    <w:rsid w:val="003E72F8"/>
    <w:rsid w:val="003E7857"/>
    <w:rsid w:val="003F0ADB"/>
    <w:rsid w:val="003F0DF6"/>
    <w:rsid w:val="003F0FB0"/>
    <w:rsid w:val="003F1237"/>
    <w:rsid w:val="003F171C"/>
    <w:rsid w:val="003F1ACE"/>
    <w:rsid w:val="003F2385"/>
    <w:rsid w:val="003F3156"/>
    <w:rsid w:val="003F32FE"/>
    <w:rsid w:val="003F45A8"/>
    <w:rsid w:val="003F49F1"/>
    <w:rsid w:val="003F55B3"/>
    <w:rsid w:val="003F5908"/>
    <w:rsid w:val="003F5996"/>
    <w:rsid w:val="003F5EF7"/>
    <w:rsid w:val="003F5F61"/>
    <w:rsid w:val="003F697F"/>
    <w:rsid w:val="003F6B18"/>
    <w:rsid w:val="003F6D15"/>
    <w:rsid w:val="003F75E2"/>
    <w:rsid w:val="003F7841"/>
    <w:rsid w:val="003F7F3C"/>
    <w:rsid w:val="004018D3"/>
    <w:rsid w:val="00401D3E"/>
    <w:rsid w:val="00401F1B"/>
    <w:rsid w:val="0040242A"/>
    <w:rsid w:val="00402844"/>
    <w:rsid w:val="00402C9C"/>
    <w:rsid w:val="0040325F"/>
    <w:rsid w:val="004034A0"/>
    <w:rsid w:val="004038D8"/>
    <w:rsid w:val="004042B6"/>
    <w:rsid w:val="004046DA"/>
    <w:rsid w:val="00404C78"/>
    <w:rsid w:val="00405104"/>
    <w:rsid w:val="0040540C"/>
    <w:rsid w:val="004057EC"/>
    <w:rsid w:val="00406CE9"/>
    <w:rsid w:val="00406FD5"/>
    <w:rsid w:val="00406FE2"/>
    <w:rsid w:val="00407761"/>
    <w:rsid w:val="00407F7F"/>
    <w:rsid w:val="004102A7"/>
    <w:rsid w:val="00410629"/>
    <w:rsid w:val="004108E1"/>
    <w:rsid w:val="00410C42"/>
    <w:rsid w:val="00410F36"/>
    <w:rsid w:val="00411051"/>
    <w:rsid w:val="0041132A"/>
    <w:rsid w:val="00411353"/>
    <w:rsid w:val="00411652"/>
    <w:rsid w:val="0041185B"/>
    <w:rsid w:val="00412FC5"/>
    <w:rsid w:val="0041321E"/>
    <w:rsid w:val="00413A1C"/>
    <w:rsid w:val="00413A94"/>
    <w:rsid w:val="00413C4D"/>
    <w:rsid w:val="0041529B"/>
    <w:rsid w:val="00415447"/>
    <w:rsid w:val="00415774"/>
    <w:rsid w:val="00415BCA"/>
    <w:rsid w:val="004165C3"/>
    <w:rsid w:val="00416BBC"/>
    <w:rsid w:val="00416FB9"/>
    <w:rsid w:val="00417107"/>
    <w:rsid w:val="004178B5"/>
    <w:rsid w:val="00420123"/>
    <w:rsid w:val="004205AA"/>
    <w:rsid w:val="0042068B"/>
    <w:rsid w:val="00420B60"/>
    <w:rsid w:val="0042157E"/>
    <w:rsid w:val="00421776"/>
    <w:rsid w:val="00422276"/>
    <w:rsid w:val="00423739"/>
    <w:rsid w:val="00423B1B"/>
    <w:rsid w:val="004241D8"/>
    <w:rsid w:val="004242F1"/>
    <w:rsid w:val="00424721"/>
    <w:rsid w:val="00424B35"/>
    <w:rsid w:val="00424DA3"/>
    <w:rsid w:val="00424EED"/>
    <w:rsid w:val="0042529F"/>
    <w:rsid w:val="00425EB1"/>
    <w:rsid w:val="00425F77"/>
    <w:rsid w:val="0042711C"/>
    <w:rsid w:val="00427566"/>
    <w:rsid w:val="00427F56"/>
    <w:rsid w:val="004308AF"/>
    <w:rsid w:val="004314A3"/>
    <w:rsid w:val="004316BB"/>
    <w:rsid w:val="00431988"/>
    <w:rsid w:val="00431D2B"/>
    <w:rsid w:val="00431DED"/>
    <w:rsid w:val="0043202C"/>
    <w:rsid w:val="00432803"/>
    <w:rsid w:val="0043292C"/>
    <w:rsid w:val="00432EA0"/>
    <w:rsid w:val="00432FA0"/>
    <w:rsid w:val="00434368"/>
    <w:rsid w:val="00434613"/>
    <w:rsid w:val="00434734"/>
    <w:rsid w:val="00435F00"/>
    <w:rsid w:val="00435FA3"/>
    <w:rsid w:val="00436B35"/>
    <w:rsid w:val="004371B0"/>
    <w:rsid w:val="0043799F"/>
    <w:rsid w:val="00437D9C"/>
    <w:rsid w:val="00437E82"/>
    <w:rsid w:val="00440B88"/>
    <w:rsid w:val="00440BA9"/>
    <w:rsid w:val="00440CB9"/>
    <w:rsid w:val="00441551"/>
    <w:rsid w:val="00441691"/>
    <w:rsid w:val="00441D63"/>
    <w:rsid w:val="00441E0E"/>
    <w:rsid w:val="00441E67"/>
    <w:rsid w:val="00442B03"/>
    <w:rsid w:val="00442C3A"/>
    <w:rsid w:val="00442D85"/>
    <w:rsid w:val="0044378E"/>
    <w:rsid w:val="00443EA6"/>
    <w:rsid w:val="0044424D"/>
    <w:rsid w:val="00444422"/>
    <w:rsid w:val="0044462D"/>
    <w:rsid w:val="00444E25"/>
    <w:rsid w:val="004451A9"/>
    <w:rsid w:val="004459D4"/>
    <w:rsid w:val="00445A00"/>
    <w:rsid w:val="00445AE8"/>
    <w:rsid w:val="004463BA"/>
    <w:rsid w:val="0044654A"/>
    <w:rsid w:val="00446631"/>
    <w:rsid w:val="00446706"/>
    <w:rsid w:val="00446772"/>
    <w:rsid w:val="00446840"/>
    <w:rsid w:val="00446F07"/>
    <w:rsid w:val="00447E8D"/>
    <w:rsid w:val="004501E9"/>
    <w:rsid w:val="00450627"/>
    <w:rsid w:val="0045184A"/>
    <w:rsid w:val="00451B0F"/>
    <w:rsid w:val="00451EBA"/>
    <w:rsid w:val="0045213F"/>
    <w:rsid w:val="00452325"/>
    <w:rsid w:val="004527A2"/>
    <w:rsid w:val="00452981"/>
    <w:rsid w:val="00452C6E"/>
    <w:rsid w:val="00452EB9"/>
    <w:rsid w:val="004533A7"/>
    <w:rsid w:val="00454046"/>
    <w:rsid w:val="004545A0"/>
    <w:rsid w:val="00455108"/>
    <w:rsid w:val="00455409"/>
    <w:rsid w:val="00455758"/>
    <w:rsid w:val="0045590A"/>
    <w:rsid w:val="00456F6A"/>
    <w:rsid w:val="0045720E"/>
    <w:rsid w:val="0045792D"/>
    <w:rsid w:val="00460411"/>
    <w:rsid w:val="004604AF"/>
    <w:rsid w:val="00460E03"/>
    <w:rsid w:val="00461088"/>
    <w:rsid w:val="00461A0B"/>
    <w:rsid w:val="00461BF9"/>
    <w:rsid w:val="00461F79"/>
    <w:rsid w:val="0046224D"/>
    <w:rsid w:val="00462305"/>
    <w:rsid w:val="0046243A"/>
    <w:rsid w:val="00462660"/>
    <w:rsid w:val="0046331D"/>
    <w:rsid w:val="00463451"/>
    <w:rsid w:val="004635B8"/>
    <w:rsid w:val="004636F5"/>
    <w:rsid w:val="00463987"/>
    <w:rsid w:val="00463E44"/>
    <w:rsid w:val="00464AD3"/>
    <w:rsid w:val="00464ED0"/>
    <w:rsid w:val="004651C8"/>
    <w:rsid w:val="0046593C"/>
    <w:rsid w:val="0046689F"/>
    <w:rsid w:val="00466C39"/>
    <w:rsid w:val="0046726D"/>
    <w:rsid w:val="004675C4"/>
    <w:rsid w:val="00467AC1"/>
    <w:rsid w:val="00467ED0"/>
    <w:rsid w:val="004700DC"/>
    <w:rsid w:val="00470A7E"/>
    <w:rsid w:val="00471641"/>
    <w:rsid w:val="00471750"/>
    <w:rsid w:val="004717B8"/>
    <w:rsid w:val="00471C88"/>
    <w:rsid w:val="0047427F"/>
    <w:rsid w:val="004754A0"/>
    <w:rsid w:val="004754B7"/>
    <w:rsid w:val="004759EC"/>
    <w:rsid w:val="00476DF1"/>
    <w:rsid w:val="00476E13"/>
    <w:rsid w:val="00480AC1"/>
    <w:rsid w:val="00481317"/>
    <w:rsid w:val="00481525"/>
    <w:rsid w:val="00481FBE"/>
    <w:rsid w:val="00482AD0"/>
    <w:rsid w:val="004833D9"/>
    <w:rsid w:val="0048347E"/>
    <w:rsid w:val="00483A5A"/>
    <w:rsid w:val="00484514"/>
    <w:rsid w:val="004849B1"/>
    <w:rsid w:val="00484A98"/>
    <w:rsid w:val="00484CCA"/>
    <w:rsid w:val="00485448"/>
    <w:rsid w:val="0048612D"/>
    <w:rsid w:val="0048680B"/>
    <w:rsid w:val="00486FF7"/>
    <w:rsid w:val="0048705F"/>
    <w:rsid w:val="004903AF"/>
    <w:rsid w:val="004903D8"/>
    <w:rsid w:val="00490999"/>
    <w:rsid w:val="00490B81"/>
    <w:rsid w:val="00490D73"/>
    <w:rsid w:val="00491170"/>
    <w:rsid w:val="00491876"/>
    <w:rsid w:val="0049215E"/>
    <w:rsid w:val="004927C2"/>
    <w:rsid w:val="00492AEF"/>
    <w:rsid w:val="00492C83"/>
    <w:rsid w:val="004943ED"/>
    <w:rsid w:val="004949F7"/>
    <w:rsid w:val="00494A1E"/>
    <w:rsid w:val="00494A75"/>
    <w:rsid w:val="00494D80"/>
    <w:rsid w:val="00495368"/>
    <w:rsid w:val="00495502"/>
    <w:rsid w:val="00495785"/>
    <w:rsid w:val="00495A25"/>
    <w:rsid w:val="004960D1"/>
    <w:rsid w:val="0049640E"/>
    <w:rsid w:val="00496DDC"/>
    <w:rsid w:val="00497356"/>
    <w:rsid w:val="00497800"/>
    <w:rsid w:val="00497A9A"/>
    <w:rsid w:val="00497B8A"/>
    <w:rsid w:val="004A05B6"/>
    <w:rsid w:val="004A07B7"/>
    <w:rsid w:val="004A0821"/>
    <w:rsid w:val="004A143B"/>
    <w:rsid w:val="004A262E"/>
    <w:rsid w:val="004A28D3"/>
    <w:rsid w:val="004A340D"/>
    <w:rsid w:val="004A360E"/>
    <w:rsid w:val="004A3A3F"/>
    <w:rsid w:val="004A4C35"/>
    <w:rsid w:val="004A5729"/>
    <w:rsid w:val="004A5769"/>
    <w:rsid w:val="004A5B39"/>
    <w:rsid w:val="004A6484"/>
    <w:rsid w:val="004B007D"/>
    <w:rsid w:val="004B0248"/>
    <w:rsid w:val="004B0267"/>
    <w:rsid w:val="004B09EE"/>
    <w:rsid w:val="004B1157"/>
    <w:rsid w:val="004B1900"/>
    <w:rsid w:val="004B1B2A"/>
    <w:rsid w:val="004B1F6E"/>
    <w:rsid w:val="004B27D2"/>
    <w:rsid w:val="004B28F4"/>
    <w:rsid w:val="004B2ECE"/>
    <w:rsid w:val="004B3FEE"/>
    <w:rsid w:val="004B424E"/>
    <w:rsid w:val="004B44E6"/>
    <w:rsid w:val="004B4F90"/>
    <w:rsid w:val="004B5141"/>
    <w:rsid w:val="004B5416"/>
    <w:rsid w:val="004B641B"/>
    <w:rsid w:val="004B64BE"/>
    <w:rsid w:val="004B66DD"/>
    <w:rsid w:val="004B682C"/>
    <w:rsid w:val="004B6C52"/>
    <w:rsid w:val="004B6CB9"/>
    <w:rsid w:val="004B6D18"/>
    <w:rsid w:val="004B6E23"/>
    <w:rsid w:val="004B7A6B"/>
    <w:rsid w:val="004C0147"/>
    <w:rsid w:val="004C0384"/>
    <w:rsid w:val="004C0645"/>
    <w:rsid w:val="004C0924"/>
    <w:rsid w:val="004C0B74"/>
    <w:rsid w:val="004C0DFB"/>
    <w:rsid w:val="004C140A"/>
    <w:rsid w:val="004C1FC4"/>
    <w:rsid w:val="004C2776"/>
    <w:rsid w:val="004C2C0F"/>
    <w:rsid w:val="004C2CFA"/>
    <w:rsid w:val="004C2EE3"/>
    <w:rsid w:val="004C3111"/>
    <w:rsid w:val="004C344E"/>
    <w:rsid w:val="004C4696"/>
    <w:rsid w:val="004C5968"/>
    <w:rsid w:val="004C666B"/>
    <w:rsid w:val="004D08CE"/>
    <w:rsid w:val="004D0FC9"/>
    <w:rsid w:val="004D1652"/>
    <w:rsid w:val="004D1CFB"/>
    <w:rsid w:val="004D3C03"/>
    <w:rsid w:val="004D51B5"/>
    <w:rsid w:val="004D5298"/>
    <w:rsid w:val="004D5407"/>
    <w:rsid w:val="004D5C06"/>
    <w:rsid w:val="004D6387"/>
    <w:rsid w:val="004D656D"/>
    <w:rsid w:val="004D65B2"/>
    <w:rsid w:val="004D666E"/>
    <w:rsid w:val="004D687E"/>
    <w:rsid w:val="004D68BC"/>
    <w:rsid w:val="004D6DAA"/>
    <w:rsid w:val="004D6EEA"/>
    <w:rsid w:val="004D76E6"/>
    <w:rsid w:val="004E0B2F"/>
    <w:rsid w:val="004E0F36"/>
    <w:rsid w:val="004E0FB3"/>
    <w:rsid w:val="004E1DEB"/>
    <w:rsid w:val="004E203B"/>
    <w:rsid w:val="004E2D7B"/>
    <w:rsid w:val="004E49B5"/>
    <w:rsid w:val="004E4A22"/>
    <w:rsid w:val="004E61FC"/>
    <w:rsid w:val="004E6957"/>
    <w:rsid w:val="004E6B22"/>
    <w:rsid w:val="004F026A"/>
    <w:rsid w:val="004F02CA"/>
    <w:rsid w:val="004F079F"/>
    <w:rsid w:val="004F0A7D"/>
    <w:rsid w:val="004F0E61"/>
    <w:rsid w:val="004F1009"/>
    <w:rsid w:val="004F247D"/>
    <w:rsid w:val="004F2709"/>
    <w:rsid w:val="004F2997"/>
    <w:rsid w:val="004F3210"/>
    <w:rsid w:val="004F34AD"/>
    <w:rsid w:val="004F3631"/>
    <w:rsid w:val="004F4042"/>
    <w:rsid w:val="004F5281"/>
    <w:rsid w:val="004F5517"/>
    <w:rsid w:val="004F5DC6"/>
    <w:rsid w:val="004F6254"/>
    <w:rsid w:val="004F6A0E"/>
    <w:rsid w:val="004F6A6C"/>
    <w:rsid w:val="004F6B69"/>
    <w:rsid w:val="004F6D34"/>
    <w:rsid w:val="00500BBB"/>
    <w:rsid w:val="00500C0F"/>
    <w:rsid w:val="005017C6"/>
    <w:rsid w:val="005018AC"/>
    <w:rsid w:val="00502080"/>
    <w:rsid w:val="00502B26"/>
    <w:rsid w:val="00503140"/>
    <w:rsid w:val="005032A1"/>
    <w:rsid w:val="00503E50"/>
    <w:rsid w:val="00504B2E"/>
    <w:rsid w:val="00504C17"/>
    <w:rsid w:val="00504EC3"/>
    <w:rsid w:val="00505458"/>
    <w:rsid w:val="0050555C"/>
    <w:rsid w:val="005058B9"/>
    <w:rsid w:val="00505929"/>
    <w:rsid w:val="005059FB"/>
    <w:rsid w:val="00505DF5"/>
    <w:rsid w:val="00506D9C"/>
    <w:rsid w:val="00511968"/>
    <w:rsid w:val="00511D91"/>
    <w:rsid w:val="00512076"/>
    <w:rsid w:val="00512227"/>
    <w:rsid w:val="00512296"/>
    <w:rsid w:val="00512724"/>
    <w:rsid w:val="0051297F"/>
    <w:rsid w:val="00513284"/>
    <w:rsid w:val="00513A13"/>
    <w:rsid w:val="00514B36"/>
    <w:rsid w:val="0051514A"/>
    <w:rsid w:val="0051520F"/>
    <w:rsid w:val="005153D8"/>
    <w:rsid w:val="00515832"/>
    <w:rsid w:val="005159A4"/>
    <w:rsid w:val="00515BBC"/>
    <w:rsid w:val="00516AB8"/>
    <w:rsid w:val="00516EA4"/>
    <w:rsid w:val="0051742C"/>
    <w:rsid w:val="0052054F"/>
    <w:rsid w:val="005205BF"/>
    <w:rsid w:val="00520609"/>
    <w:rsid w:val="005215CF"/>
    <w:rsid w:val="005218A8"/>
    <w:rsid w:val="005218E7"/>
    <w:rsid w:val="00521AE4"/>
    <w:rsid w:val="00521D7D"/>
    <w:rsid w:val="00521ECE"/>
    <w:rsid w:val="00522215"/>
    <w:rsid w:val="005226ED"/>
    <w:rsid w:val="00523276"/>
    <w:rsid w:val="00523742"/>
    <w:rsid w:val="00523D93"/>
    <w:rsid w:val="005244BF"/>
    <w:rsid w:val="005245EF"/>
    <w:rsid w:val="005247D3"/>
    <w:rsid w:val="00524A48"/>
    <w:rsid w:val="00524DBE"/>
    <w:rsid w:val="00525CD4"/>
    <w:rsid w:val="00525EE8"/>
    <w:rsid w:val="00526040"/>
    <w:rsid w:val="00526780"/>
    <w:rsid w:val="005268BD"/>
    <w:rsid w:val="00526C6C"/>
    <w:rsid w:val="0052727C"/>
    <w:rsid w:val="00527465"/>
    <w:rsid w:val="00527489"/>
    <w:rsid w:val="00527501"/>
    <w:rsid w:val="00527734"/>
    <w:rsid w:val="0053005F"/>
    <w:rsid w:val="00530065"/>
    <w:rsid w:val="005315DD"/>
    <w:rsid w:val="0053175C"/>
    <w:rsid w:val="00532428"/>
    <w:rsid w:val="005325AB"/>
    <w:rsid w:val="005330D8"/>
    <w:rsid w:val="00533461"/>
    <w:rsid w:val="00533C18"/>
    <w:rsid w:val="00534247"/>
    <w:rsid w:val="00534649"/>
    <w:rsid w:val="00534BEE"/>
    <w:rsid w:val="0053589B"/>
    <w:rsid w:val="00535A9F"/>
    <w:rsid w:val="00535D3C"/>
    <w:rsid w:val="00536718"/>
    <w:rsid w:val="00536A6C"/>
    <w:rsid w:val="00536C4C"/>
    <w:rsid w:val="00536EEC"/>
    <w:rsid w:val="0053704F"/>
    <w:rsid w:val="0053748C"/>
    <w:rsid w:val="005375C9"/>
    <w:rsid w:val="005379D2"/>
    <w:rsid w:val="00540055"/>
    <w:rsid w:val="005403AD"/>
    <w:rsid w:val="0054092A"/>
    <w:rsid w:val="00540BFE"/>
    <w:rsid w:val="005411E7"/>
    <w:rsid w:val="0054156E"/>
    <w:rsid w:val="00541BEA"/>
    <w:rsid w:val="005421B7"/>
    <w:rsid w:val="00542B1B"/>
    <w:rsid w:val="00543DE7"/>
    <w:rsid w:val="00544B32"/>
    <w:rsid w:val="00544B8E"/>
    <w:rsid w:val="00544DFE"/>
    <w:rsid w:val="0054521D"/>
    <w:rsid w:val="0054535D"/>
    <w:rsid w:val="0054581F"/>
    <w:rsid w:val="005459BC"/>
    <w:rsid w:val="00546233"/>
    <w:rsid w:val="005466D4"/>
    <w:rsid w:val="00546900"/>
    <w:rsid w:val="00547EFD"/>
    <w:rsid w:val="005506B8"/>
    <w:rsid w:val="00552485"/>
    <w:rsid w:val="005524A2"/>
    <w:rsid w:val="00552A45"/>
    <w:rsid w:val="00552CFC"/>
    <w:rsid w:val="00552E2A"/>
    <w:rsid w:val="005533E9"/>
    <w:rsid w:val="0055349E"/>
    <w:rsid w:val="005534EF"/>
    <w:rsid w:val="00553C36"/>
    <w:rsid w:val="005541CE"/>
    <w:rsid w:val="0055446D"/>
    <w:rsid w:val="0055558E"/>
    <w:rsid w:val="00556120"/>
    <w:rsid w:val="0055614C"/>
    <w:rsid w:val="00556D6F"/>
    <w:rsid w:val="00556E09"/>
    <w:rsid w:val="00556EB9"/>
    <w:rsid w:val="00557ED1"/>
    <w:rsid w:val="00560ADF"/>
    <w:rsid w:val="00560B79"/>
    <w:rsid w:val="00560EE6"/>
    <w:rsid w:val="00561ADA"/>
    <w:rsid w:val="00561CBF"/>
    <w:rsid w:val="00562090"/>
    <w:rsid w:val="00562257"/>
    <w:rsid w:val="00562401"/>
    <w:rsid w:val="00562797"/>
    <w:rsid w:val="00562B35"/>
    <w:rsid w:val="00563113"/>
    <w:rsid w:val="0056330F"/>
    <w:rsid w:val="0056372C"/>
    <w:rsid w:val="0056382B"/>
    <w:rsid w:val="00563A2C"/>
    <w:rsid w:val="00564099"/>
    <w:rsid w:val="00564186"/>
    <w:rsid w:val="00564589"/>
    <w:rsid w:val="00565EF8"/>
    <w:rsid w:val="00566060"/>
    <w:rsid w:val="0056614E"/>
    <w:rsid w:val="0056674B"/>
    <w:rsid w:val="0056698C"/>
    <w:rsid w:val="00566D06"/>
    <w:rsid w:val="00566FFA"/>
    <w:rsid w:val="00567589"/>
    <w:rsid w:val="00567AE8"/>
    <w:rsid w:val="00567D01"/>
    <w:rsid w:val="00570911"/>
    <w:rsid w:val="00570F61"/>
    <w:rsid w:val="0057119E"/>
    <w:rsid w:val="0057146B"/>
    <w:rsid w:val="00571739"/>
    <w:rsid w:val="00571D16"/>
    <w:rsid w:val="00571E18"/>
    <w:rsid w:val="005731F8"/>
    <w:rsid w:val="00573650"/>
    <w:rsid w:val="00573BAA"/>
    <w:rsid w:val="00573E22"/>
    <w:rsid w:val="005740A0"/>
    <w:rsid w:val="00574253"/>
    <w:rsid w:val="0057450E"/>
    <w:rsid w:val="005752E7"/>
    <w:rsid w:val="0057573A"/>
    <w:rsid w:val="00575ED7"/>
    <w:rsid w:val="00576623"/>
    <w:rsid w:val="00576A9A"/>
    <w:rsid w:val="00576F7A"/>
    <w:rsid w:val="005774B9"/>
    <w:rsid w:val="005802F4"/>
    <w:rsid w:val="0058066C"/>
    <w:rsid w:val="00580742"/>
    <w:rsid w:val="00580A69"/>
    <w:rsid w:val="00580B31"/>
    <w:rsid w:val="00581A77"/>
    <w:rsid w:val="00582716"/>
    <w:rsid w:val="00582788"/>
    <w:rsid w:val="00582938"/>
    <w:rsid w:val="00582CC3"/>
    <w:rsid w:val="00582CE3"/>
    <w:rsid w:val="00582D78"/>
    <w:rsid w:val="00582F45"/>
    <w:rsid w:val="0058306B"/>
    <w:rsid w:val="005836F2"/>
    <w:rsid w:val="00583702"/>
    <w:rsid w:val="0058428A"/>
    <w:rsid w:val="0058483C"/>
    <w:rsid w:val="00585380"/>
    <w:rsid w:val="005853C2"/>
    <w:rsid w:val="005854FA"/>
    <w:rsid w:val="00586407"/>
    <w:rsid w:val="00586E75"/>
    <w:rsid w:val="005870AE"/>
    <w:rsid w:val="00587130"/>
    <w:rsid w:val="005871B9"/>
    <w:rsid w:val="00587488"/>
    <w:rsid w:val="00587CFB"/>
    <w:rsid w:val="0059050F"/>
    <w:rsid w:val="00590CC1"/>
    <w:rsid w:val="00591520"/>
    <w:rsid w:val="005919F5"/>
    <w:rsid w:val="00591E6D"/>
    <w:rsid w:val="005922E5"/>
    <w:rsid w:val="00592AAC"/>
    <w:rsid w:val="00592DDD"/>
    <w:rsid w:val="005930B1"/>
    <w:rsid w:val="005931A6"/>
    <w:rsid w:val="00593555"/>
    <w:rsid w:val="00593671"/>
    <w:rsid w:val="00593B26"/>
    <w:rsid w:val="00593B7D"/>
    <w:rsid w:val="005942B2"/>
    <w:rsid w:val="00594498"/>
    <w:rsid w:val="00594BBA"/>
    <w:rsid w:val="00594D37"/>
    <w:rsid w:val="005950D2"/>
    <w:rsid w:val="00595484"/>
    <w:rsid w:val="00595B64"/>
    <w:rsid w:val="00595F9E"/>
    <w:rsid w:val="005962C3"/>
    <w:rsid w:val="0059667C"/>
    <w:rsid w:val="0059699E"/>
    <w:rsid w:val="00596E13"/>
    <w:rsid w:val="005971A5"/>
    <w:rsid w:val="005976E9"/>
    <w:rsid w:val="00597785"/>
    <w:rsid w:val="005A02D0"/>
    <w:rsid w:val="005A05F5"/>
    <w:rsid w:val="005A061F"/>
    <w:rsid w:val="005A08D3"/>
    <w:rsid w:val="005A157F"/>
    <w:rsid w:val="005A194E"/>
    <w:rsid w:val="005A1B09"/>
    <w:rsid w:val="005A1D32"/>
    <w:rsid w:val="005A22E2"/>
    <w:rsid w:val="005A3EE0"/>
    <w:rsid w:val="005A40F9"/>
    <w:rsid w:val="005A42B3"/>
    <w:rsid w:val="005A4450"/>
    <w:rsid w:val="005A525F"/>
    <w:rsid w:val="005A6675"/>
    <w:rsid w:val="005A6908"/>
    <w:rsid w:val="005A6A8D"/>
    <w:rsid w:val="005A6D3E"/>
    <w:rsid w:val="005A6DBA"/>
    <w:rsid w:val="005A7039"/>
    <w:rsid w:val="005A72DE"/>
    <w:rsid w:val="005A76AD"/>
    <w:rsid w:val="005A784E"/>
    <w:rsid w:val="005A7B82"/>
    <w:rsid w:val="005B01C1"/>
    <w:rsid w:val="005B0B24"/>
    <w:rsid w:val="005B0D49"/>
    <w:rsid w:val="005B0E36"/>
    <w:rsid w:val="005B1123"/>
    <w:rsid w:val="005B19AE"/>
    <w:rsid w:val="005B27F0"/>
    <w:rsid w:val="005B355A"/>
    <w:rsid w:val="005B3991"/>
    <w:rsid w:val="005B43D4"/>
    <w:rsid w:val="005B4680"/>
    <w:rsid w:val="005B485B"/>
    <w:rsid w:val="005B4E30"/>
    <w:rsid w:val="005B62F6"/>
    <w:rsid w:val="005B6775"/>
    <w:rsid w:val="005B6B17"/>
    <w:rsid w:val="005B77FC"/>
    <w:rsid w:val="005B7F4F"/>
    <w:rsid w:val="005B7FEC"/>
    <w:rsid w:val="005C0060"/>
    <w:rsid w:val="005C07E3"/>
    <w:rsid w:val="005C0DD9"/>
    <w:rsid w:val="005C1001"/>
    <w:rsid w:val="005C1194"/>
    <w:rsid w:val="005C28E7"/>
    <w:rsid w:val="005C29AD"/>
    <w:rsid w:val="005C2E49"/>
    <w:rsid w:val="005C33AA"/>
    <w:rsid w:val="005C3BDD"/>
    <w:rsid w:val="005C3C35"/>
    <w:rsid w:val="005C3C92"/>
    <w:rsid w:val="005C42E4"/>
    <w:rsid w:val="005C4367"/>
    <w:rsid w:val="005C6253"/>
    <w:rsid w:val="005C6B93"/>
    <w:rsid w:val="005C6F0B"/>
    <w:rsid w:val="005C70D6"/>
    <w:rsid w:val="005C776B"/>
    <w:rsid w:val="005C79C4"/>
    <w:rsid w:val="005C7C63"/>
    <w:rsid w:val="005C7CC7"/>
    <w:rsid w:val="005D01CC"/>
    <w:rsid w:val="005D0286"/>
    <w:rsid w:val="005D0481"/>
    <w:rsid w:val="005D1BD9"/>
    <w:rsid w:val="005D22D6"/>
    <w:rsid w:val="005D279A"/>
    <w:rsid w:val="005D4835"/>
    <w:rsid w:val="005D55B5"/>
    <w:rsid w:val="005D68EE"/>
    <w:rsid w:val="005D6E55"/>
    <w:rsid w:val="005D7846"/>
    <w:rsid w:val="005D7C2D"/>
    <w:rsid w:val="005E0441"/>
    <w:rsid w:val="005E0B1E"/>
    <w:rsid w:val="005E0E9E"/>
    <w:rsid w:val="005E0F7A"/>
    <w:rsid w:val="005E14C2"/>
    <w:rsid w:val="005E1E63"/>
    <w:rsid w:val="005E20A8"/>
    <w:rsid w:val="005E2B77"/>
    <w:rsid w:val="005E3781"/>
    <w:rsid w:val="005E38F7"/>
    <w:rsid w:val="005E3FC8"/>
    <w:rsid w:val="005E42D5"/>
    <w:rsid w:val="005E5583"/>
    <w:rsid w:val="005E56A3"/>
    <w:rsid w:val="005E5741"/>
    <w:rsid w:val="005E5D9C"/>
    <w:rsid w:val="005E6322"/>
    <w:rsid w:val="005E6824"/>
    <w:rsid w:val="005E6E55"/>
    <w:rsid w:val="005E6F3B"/>
    <w:rsid w:val="005E7012"/>
    <w:rsid w:val="005E7052"/>
    <w:rsid w:val="005E7B54"/>
    <w:rsid w:val="005E7E57"/>
    <w:rsid w:val="005E7F41"/>
    <w:rsid w:val="005E7F96"/>
    <w:rsid w:val="005F0013"/>
    <w:rsid w:val="005F0643"/>
    <w:rsid w:val="005F0A30"/>
    <w:rsid w:val="005F17A1"/>
    <w:rsid w:val="005F1AD5"/>
    <w:rsid w:val="005F1B16"/>
    <w:rsid w:val="005F22E9"/>
    <w:rsid w:val="005F23B2"/>
    <w:rsid w:val="005F2465"/>
    <w:rsid w:val="005F2570"/>
    <w:rsid w:val="005F34D5"/>
    <w:rsid w:val="005F39DA"/>
    <w:rsid w:val="005F3DA5"/>
    <w:rsid w:val="005F4583"/>
    <w:rsid w:val="005F4F62"/>
    <w:rsid w:val="005F4FB1"/>
    <w:rsid w:val="005F537C"/>
    <w:rsid w:val="005F56ED"/>
    <w:rsid w:val="005F597E"/>
    <w:rsid w:val="005F6653"/>
    <w:rsid w:val="005F7488"/>
    <w:rsid w:val="00600990"/>
    <w:rsid w:val="006009CE"/>
    <w:rsid w:val="006010E5"/>
    <w:rsid w:val="0060159A"/>
    <w:rsid w:val="00601B99"/>
    <w:rsid w:val="00601E14"/>
    <w:rsid w:val="00602BA7"/>
    <w:rsid w:val="0060303E"/>
    <w:rsid w:val="006035EE"/>
    <w:rsid w:val="00603EF1"/>
    <w:rsid w:val="00604BDA"/>
    <w:rsid w:val="00605079"/>
    <w:rsid w:val="00605541"/>
    <w:rsid w:val="00605A0F"/>
    <w:rsid w:val="00605D05"/>
    <w:rsid w:val="00605FA2"/>
    <w:rsid w:val="00606052"/>
    <w:rsid w:val="00606155"/>
    <w:rsid w:val="0060690D"/>
    <w:rsid w:val="00606AB5"/>
    <w:rsid w:val="00606DB6"/>
    <w:rsid w:val="00606E96"/>
    <w:rsid w:val="006073AA"/>
    <w:rsid w:val="00607BA5"/>
    <w:rsid w:val="00607D76"/>
    <w:rsid w:val="006102AB"/>
    <w:rsid w:val="0061152A"/>
    <w:rsid w:val="0061180A"/>
    <w:rsid w:val="00611844"/>
    <w:rsid w:val="00611C22"/>
    <w:rsid w:val="00611FC8"/>
    <w:rsid w:val="00612234"/>
    <w:rsid w:val="00612986"/>
    <w:rsid w:val="006136FE"/>
    <w:rsid w:val="00613D5B"/>
    <w:rsid w:val="00613DEA"/>
    <w:rsid w:val="0061465A"/>
    <w:rsid w:val="006148B3"/>
    <w:rsid w:val="006149D0"/>
    <w:rsid w:val="0061507B"/>
    <w:rsid w:val="00615FDD"/>
    <w:rsid w:val="0061648C"/>
    <w:rsid w:val="00616815"/>
    <w:rsid w:val="006168C0"/>
    <w:rsid w:val="00616EFA"/>
    <w:rsid w:val="006176EE"/>
    <w:rsid w:val="00617999"/>
    <w:rsid w:val="00617BC0"/>
    <w:rsid w:val="0062015D"/>
    <w:rsid w:val="006209B8"/>
    <w:rsid w:val="00620B1C"/>
    <w:rsid w:val="00620DAC"/>
    <w:rsid w:val="00621327"/>
    <w:rsid w:val="00621356"/>
    <w:rsid w:val="006213D2"/>
    <w:rsid w:val="00622A33"/>
    <w:rsid w:val="00622FD1"/>
    <w:rsid w:val="006238F8"/>
    <w:rsid w:val="00624151"/>
    <w:rsid w:val="00624618"/>
    <w:rsid w:val="006249E7"/>
    <w:rsid w:val="00625318"/>
    <w:rsid w:val="006254AD"/>
    <w:rsid w:val="00625529"/>
    <w:rsid w:val="00625951"/>
    <w:rsid w:val="00626B5B"/>
    <w:rsid w:val="00626EB6"/>
    <w:rsid w:val="00627889"/>
    <w:rsid w:val="00630CAD"/>
    <w:rsid w:val="00631669"/>
    <w:rsid w:val="00631978"/>
    <w:rsid w:val="00631C98"/>
    <w:rsid w:val="00631D1B"/>
    <w:rsid w:val="00631F57"/>
    <w:rsid w:val="00632399"/>
    <w:rsid w:val="006327FE"/>
    <w:rsid w:val="00633649"/>
    <w:rsid w:val="006337AD"/>
    <w:rsid w:val="00633883"/>
    <w:rsid w:val="00633C5C"/>
    <w:rsid w:val="00633FEA"/>
    <w:rsid w:val="00634A58"/>
    <w:rsid w:val="00634F47"/>
    <w:rsid w:val="006354FC"/>
    <w:rsid w:val="00635956"/>
    <w:rsid w:val="00635DE0"/>
    <w:rsid w:val="00635E99"/>
    <w:rsid w:val="00635EE9"/>
    <w:rsid w:val="00636035"/>
    <w:rsid w:val="00636307"/>
    <w:rsid w:val="006365EF"/>
    <w:rsid w:val="00636CBD"/>
    <w:rsid w:val="00640209"/>
    <w:rsid w:val="00640222"/>
    <w:rsid w:val="006405BD"/>
    <w:rsid w:val="006407E3"/>
    <w:rsid w:val="00641568"/>
    <w:rsid w:val="00641D06"/>
    <w:rsid w:val="0064232B"/>
    <w:rsid w:val="006432A9"/>
    <w:rsid w:val="00643CF7"/>
    <w:rsid w:val="00644844"/>
    <w:rsid w:val="00644DF0"/>
    <w:rsid w:val="006464E0"/>
    <w:rsid w:val="00646ABF"/>
    <w:rsid w:val="00646CD2"/>
    <w:rsid w:val="00646E54"/>
    <w:rsid w:val="00647137"/>
    <w:rsid w:val="00647154"/>
    <w:rsid w:val="00647F74"/>
    <w:rsid w:val="00650162"/>
    <w:rsid w:val="00650A25"/>
    <w:rsid w:val="0065146F"/>
    <w:rsid w:val="00651D37"/>
    <w:rsid w:val="00652005"/>
    <w:rsid w:val="00652E3E"/>
    <w:rsid w:val="00653630"/>
    <w:rsid w:val="006536BA"/>
    <w:rsid w:val="00653DB5"/>
    <w:rsid w:val="006540E4"/>
    <w:rsid w:val="00654884"/>
    <w:rsid w:val="00654A2A"/>
    <w:rsid w:val="00655301"/>
    <w:rsid w:val="00655A5F"/>
    <w:rsid w:val="00655C13"/>
    <w:rsid w:val="00655D03"/>
    <w:rsid w:val="00656014"/>
    <w:rsid w:val="006568D6"/>
    <w:rsid w:val="006568F1"/>
    <w:rsid w:val="00656D9A"/>
    <w:rsid w:val="00656E45"/>
    <w:rsid w:val="00657A85"/>
    <w:rsid w:val="006604E5"/>
    <w:rsid w:val="006605EB"/>
    <w:rsid w:val="006607C2"/>
    <w:rsid w:val="00660BAB"/>
    <w:rsid w:val="00660D10"/>
    <w:rsid w:val="00660E55"/>
    <w:rsid w:val="00660FFC"/>
    <w:rsid w:val="00661199"/>
    <w:rsid w:val="0066191C"/>
    <w:rsid w:val="00661A26"/>
    <w:rsid w:val="00661BB1"/>
    <w:rsid w:val="006625C3"/>
    <w:rsid w:val="0066267C"/>
    <w:rsid w:val="0066298F"/>
    <w:rsid w:val="0066337A"/>
    <w:rsid w:val="00663509"/>
    <w:rsid w:val="00663BF3"/>
    <w:rsid w:val="00663C5E"/>
    <w:rsid w:val="0066449A"/>
    <w:rsid w:val="00664DEC"/>
    <w:rsid w:val="00664FC8"/>
    <w:rsid w:val="006658DD"/>
    <w:rsid w:val="006658EF"/>
    <w:rsid w:val="0066597F"/>
    <w:rsid w:val="00666015"/>
    <w:rsid w:val="0066684C"/>
    <w:rsid w:val="00666A67"/>
    <w:rsid w:val="00666C6B"/>
    <w:rsid w:val="00667075"/>
    <w:rsid w:val="0066772D"/>
    <w:rsid w:val="00667E44"/>
    <w:rsid w:val="00670363"/>
    <w:rsid w:val="00670DD8"/>
    <w:rsid w:val="00671C27"/>
    <w:rsid w:val="00672136"/>
    <w:rsid w:val="006723DE"/>
    <w:rsid w:val="0067351E"/>
    <w:rsid w:val="006744F4"/>
    <w:rsid w:val="00674A9D"/>
    <w:rsid w:val="00674F1C"/>
    <w:rsid w:val="006750E2"/>
    <w:rsid w:val="00675531"/>
    <w:rsid w:val="006758D6"/>
    <w:rsid w:val="00675A92"/>
    <w:rsid w:val="00676330"/>
    <w:rsid w:val="00676389"/>
    <w:rsid w:val="00676BEA"/>
    <w:rsid w:val="00677520"/>
    <w:rsid w:val="00677AEB"/>
    <w:rsid w:val="006808C3"/>
    <w:rsid w:val="00680DAE"/>
    <w:rsid w:val="00680FC6"/>
    <w:rsid w:val="00681D49"/>
    <w:rsid w:val="00682779"/>
    <w:rsid w:val="00682FCF"/>
    <w:rsid w:val="006830D7"/>
    <w:rsid w:val="00683228"/>
    <w:rsid w:val="00683388"/>
    <w:rsid w:val="00683673"/>
    <w:rsid w:val="00683694"/>
    <w:rsid w:val="006837DA"/>
    <w:rsid w:val="00683CFF"/>
    <w:rsid w:val="00683F84"/>
    <w:rsid w:val="00684169"/>
    <w:rsid w:val="006843C9"/>
    <w:rsid w:val="006846C7"/>
    <w:rsid w:val="00684D2E"/>
    <w:rsid w:val="006850DF"/>
    <w:rsid w:val="006853AA"/>
    <w:rsid w:val="00685CB6"/>
    <w:rsid w:val="00686112"/>
    <w:rsid w:val="006862D2"/>
    <w:rsid w:val="00686B80"/>
    <w:rsid w:val="00686BFB"/>
    <w:rsid w:val="00686BFF"/>
    <w:rsid w:val="00686FA6"/>
    <w:rsid w:val="00687069"/>
    <w:rsid w:val="00687FCD"/>
    <w:rsid w:val="006902D2"/>
    <w:rsid w:val="00690484"/>
    <w:rsid w:val="0069094C"/>
    <w:rsid w:val="00690EA0"/>
    <w:rsid w:val="00691C45"/>
    <w:rsid w:val="00692EB4"/>
    <w:rsid w:val="006931A9"/>
    <w:rsid w:val="00693B77"/>
    <w:rsid w:val="00693F20"/>
    <w:rsid w:val="006940AA"/>
    <w:rsid w:val="00694D02"/>
    <w:rsid w:val="0069520B"/>
    <w:rsid w:val="0069533D"/>
    <w:rsid w:val="0069617D"/>
    <w:rsid w:val="00696A51"/>
    <w:rsid w:val="006A0BD5"/>
    <w:rsid w:val="006A0DD7"/>
    <w:rsid w:val="006A10EF"/>
    <w:rsid w:val="006A195C"/>
    <w:rsid w:val="006A1C1C"/>
    <w:rsid w:val="006A20A4"/>
    <w:rsid w:val="006A26A9"/>
    <w:rsid w:val="006A2719"/>
    <w:rsid w:val="006A399C"/>
    <w:rsid w:val="006A44E3"/>
    <w:rsid w:val="006A46EC"/>
    <w:rsid w:val="006A47F3"/>
    <w:rsid w:val="006A4F88"/>
    <w:rsid w:val="006A517D"/>
    <w:rsid w:val="006A5258"/>
    <w:rsid w:val="006A6103"/>
    <w:rsid w:val="006A61DF"/>
    <w:rsid w:val="006A6A81"/>
    <w:rsid w:val="006A6B1D"/>
    <w:rsid w:val="006A6CF2"/>
    <w:rsid w:val="006A6ECB"/>
    <w:rsid w:val="006A7E07"/>
    <w:rsid w:val="006B00E3"/>
    <w:rsid w:val="006B055C"/>
    <w:rsid w:val="006B07FD"/>
    <w:rsid w:val="006B0A6B"/>
    <w:rsid w:val="006B22C8"/>
    <w:rsid w:val="006B264B"/>
    <w:rsid w:val="006B283C"/>
    <w:rsid w:val="006B3AA0"/>
    <w:rsid w:val="006B4B3E"/>
    <w:rsid w:val="006B5236"/>
    <w:rsid w:val="006B5453"/>
    <w:rsid w:val="006B59D9"/>
    <w:rsid w:val="006B5D66"/>
    <w:rsid w:val="006B791B"/>
    <w:rsid w:val="006C00AF"/>
    <w:rsid w:val="006C0271"/>
    <w:rsid w:val="006C02B9"/>
    <w:rsid w:val="006C0438"/>
    <w:rsid w:val="006C0A13"/>
    <w:rsid w:val="006C2485"/>
    <w:rsid w:val="006C3270"/>
    <w:rsid w:val="006C3E82"/>
    <w:rsid w:val="006C4978"/>
    <w:rsid w:val="006C4E93"/>
    <w:rsid w:val="006C58BA"/>
    <w:rsid w:val="006C5CDD"/>
    <w:rsid w:val="006C64A3"/>
    <w:rsid w:val="006C6D5F"/>
    <w:rsid w:val="006C6D70"/>
    <w:rsid w:val="006C6F93"/>
    <w:rsid w:val="006D1190"/>
    <w:rsid w:val="006D1723"/>
    <w:rsid w:val="006D1BBC"/>
    <w:rsid w:val="006D1D7F"/>
    <w:rsid w:val="006D1E49"/>
    <w:rsid w:val="006D20E0"/>
    <w:rsid w:val="006D230E"/>
    <w:rsid w:val="006D259D"/>
    <w:rsid w:val="006D2A9A"/>
    <w:rsid w:val="006D38BC"/>
    <w:rsid w:val="006D3E8F"/>
    <w:rsid w:val="006D4007"/>
    <w:rsid w:val="006D4064"/>
    <w:rsid w:val="006D4F38"/>
    <w:rsid w:val="006D5A49"/>
    <w:rsid w:val="006D5D3F"/>
    <w:rsid w:val="006D67B5"/>
    <w:rsid w:val="006D7249"/>
    <w:rsid w:val="006D72C0"/>
    <w:rsid w:val="006D73C5"/>
    <w:rsid w:val="006D7511"/>
    <w:rsid w:val="006D7B02"/>
    <w:rsid w:val="006D7B03"/>
    <w:rsid w:val="006E0042"/>
    <w:rsid w:val="006E03D7"/>
    <w:rsid w:val="006E056F"/>
    <w:rsid w:val="006E0C50"/>
    <w:rsid w:val="006E11D7"/>
    <w:rsid w:val="006E130F"/>
    <w:rsid w:val="006E21F9"/>
    <w:rsid w:val="006E2860"/>
    <w:rsid w:val="006E2988"/>
    <w:rsid w:val="006E2EA4"/>
    <w:rsid w:val="006E31EA"/>
    <w:rsid w:val="006E350B"/>
    <w:rsid w:val="006E3913"/>
    <w:rsid w:val="006E3F59"/>
    <w:rsid w:val="006E3FD9"/>
    <w:rsid w:val="006E56C5"/>
    <w:rsid w:val="006E59B1"/>
    <w:rsid w:val="006E59D0"/>
    <w:rsid w:val="006E6347"/>
    <w:rsid w:val="006E663C"/>
    <w:rsid w:val="006E67CD"/>
    <w:rsid w:val="006E6D0E"/>
    <w:rsid w:val="006E6EE6"/>
    <w:rsid w:val="006E7982"/>
    <w:rsid w:val="006E7D51"/>
    <w:rsid w:val="006F024F"/>
    <w:rsid w:val="006F0F0B"/>
    <w:rsid w:val="006F1197"/>
    <w:rsid w:val="006F1684"/>
    <w:rsid w:val="006F19B2"/>
    <w:rsid w:val="006F2EAF"/>
    <w:rsid w:val="006F32E0"/>
    <w:rsid w:val="006F37CB"/>
    <w:rsid w:val="006F391C"/>
    <w:rsid w:val="006F3AE8"/>
    <w:rsid w:val="006F3D9E"/>
    <w:rsid w:val="006F41D4"/>
    <w:rsid w:val="006F4EF1"/>
    <w:rsid w:val="006F5D9A"/>
    <w:rsid w:val="006F5ED4"/>
    <w:rsid w:val="006F6492"/>
    <w:rsid w:val="006F6815"/>
    <w:rsid w:val="006F6957"/>
    <w:rsid w:val="006F7393"/>
    <w:rsid w:val="007004B7"/>
    <w:rsid w:val="007005F5"/>
    <w:rsid w:val="00700D20"/>
    <w:rsid w:val="00700FAB"/>
    <w:rsid w:val="007014DA"/>
    <w:rsid w:val="00701AA5"/>
    <w:rsid w:val="00701C6E"/>
    <w:rsid w:val="00701F7B"/>
    <w:rsid w:val="0070224F"/>
    <w:rsid w:val="007025AC"/>
    <w:rsid w:val="0070267E"/>
    <w:rsid w:val="00702BE1"/>
    <w:rsid w:val="007037C5"/>
    <w:rsid w:val="00704427"/>
    <w:rsid w:val="0070531B"/>
    <w:rsid w:val="00705A98"/>
    <w:rsid w:val="00705B02"/>
    <w:rsid w:val="00705B2D"/>
    <w:rsid w:val="00706B16"/>
    <w:rsid w:val="00707262"/>
    <w:rsid w:val="00707798"/>
    <w:rsid w:val="00707A4F"/>
    <w:rsid w:val="00710191"/>
    <w:rsid w:val="00710B40"/>
    <w:rsid w:val="007115F7"/>
    <w:rsid w:val="007119BD"/>
    <w:rsid w:val="00711FEC"/>
    <w:rsid w:val="00712441"/>
    <w:rsid w:val="007125B6"/>
    <w:rsid w:val="00713899"/>
    <w:rsid w:val="00714185"/>
    <w:rsid w:val="00714305"/>
    <w:rsid w:val="007144D1"/>
    <w:rsid w:val="0071482B"/>
    <w:rsid w:val="0071584A"/>
    <w:rsid w:val="00715E22"/>
    <w:rsid w:val="007162F3"/>
    <w:rsid w:val="007165FE"/>
    <w:rsid w:val="00716938"/>
    <w:rsid w:val="00716F95"/>
    <w:rsid w:val="00717CF1"/>
    <w:rsid w:val="007205A2"/>
    <w:rsid w:val="00720CFC"/>
    <w:rsid w:val="0072187D"/>
    <w:rsid w:val="00721C5E"/>
    <w:rsid w:val="00722097"/>
    <w:rsid w:val="00722D20"/>
    <w:rsid w:val="007231B1"/>
    <w:rsid w:val="00723485"/>
    <w:rsid w:val="0072351B"/>
    <w:rsid w:val="007237F5"/>
    <w:rsid w:val="00723806"/>
    <w:rsid w:val="00723DF6"/>
    <w:rsid w:val="007244C5"/>
    <w:rsid w:val="00724C85"/>
    <w:rsid w:val="00725910"/>
    <w:rsid w:val="00725C16"/>
    <w:rsid w:val="00725E16"/>
    <w:rsid w:val="0072601A"/>
    <w:rsid w:val="0072653C"/>
    <w:rsid w:val="007266F8"/>
    <w:rsid w:val="007275D6"/>
    <w:rsid w:val="00730D22"/>
    <w:rsid w:val="00730FD9"/>
    <w:rsid w:val="007311D7"/>
    <w:rsid w:val="00731F8B"/>
    <w:rsid w:val="00732DCA"/>
    <w:rsid w:val="00733260"/>
    <w:rsid w:val="0073457A"/>
    <w:rsid w:val="007349DF"/>
    <w:rsid w:val="0073556E"/>
    <w:rsid w:val="0073597E"/>
    <w:rsid w:val="00735DD3"/>
    <w:rsid w:val="0073622D"/>
    <w:rsid w:val="007366A2"/>
    <w:rsid w:val="0073698F"/>
    <w:rsid w:val="00736AF2"/>
    <w:rsid w:val="00736E49"/>
    <w:rsid w:val="0073765A"/>
    <w:rsid w:val="00737A8C"/>
    <w:rsid w:val="00737CF1"/>
    <w:rsid w:val="00737FD4"/>
    <w:rsid w:val="00740274"/>
    <w:rsid w:val="0074176F"/>
    <w:rsid w:val="00741AD2"/>
    <w:rsid w:val="00741DFA"/>
    <w:rsid w:val="00742821"/>
    <w:rsid w:val="00742FCD"/>
    <w:rsid w:val="0074302F"/>
    <w:rsid w:val="00743242"/>
    <w:rsid w:val="007434F5"/>
    <w:rsid w:val="007435F0"/>
    <w:rsid w:val="00744572"/>
    <w:rsid w:val="0074482E"/>
    <w:rsid w:val="00744920"/>
    <w:rsid w:val="00744B0B"/>
    <w:rsid w:val="007450DF"/>
    <w:rsid w:val="00745892"/>
    <w:rsid w:val="007462A5"/>
    <w:rsid w:val="0074655C"/>
    <w:rsid w:val="007479F9"/>
    <w:rsid w:val="00747BEF"/>
    <w:rsid w:val="00750880"/>
    <w:rsid w:val="00750ADE"/>
    <w:rsid w:val="007515FF"/>
    <w:rsid w:val="007516A7"/>
    <w:rsid w:val="00751A20"/>
    <w:rsid w:val="00751A84"/>
    <w:rsid w:val="00751F93"/>
    <w:rsid w:val="00753184"/>
    <w:rsid w:val="00753246"/>
    <w:rsid w:val="00753260"/>
    <w:rsid w:val="00753FE9"/>
    <w:rsid w:val="00754463"/>
    <w:rsid w:val="0075456D"/>
    <w:rsid w:val="007548D3"/>
    <w:rsid w:val="007552FC"/>
    <w:rsid w:val="00755880"/>
    <w:rsid w:val="00755C18"/>
    <w:rsid w:val="0075615F"/>
    <w:rsid w:val="0075688C"/>
    <w:rsid w:val="0075707D"/>
    <w:rsid w:val="007570EF"/>
    <w:rsid w:val="00757BB0"/>
    <w:rsid w:val="00757FB6"/>
    <w:rsid w:val="00760CBD"/>
    <w:rsid w:val="00761101"/>
    <w:rsid w:val="00761591"/>
    <w:rsid w:val="007616BC"/>
    <w:rsid w:val="007623A3"/>
    <w:rsid w:val="00762683"/>
    <w:rsid w:val="00762729"/>
    <w:rsid w:val="00762D26"/>
    <w:rsid w:val="00762E3B"/>
    <w:rsid w:val="00762FF8"/>
    <w:rsid w:val="00763DBD"/>
    <w:rsid w:val="00764123"/>
    <w:rsid w:val="00764414"/>
    <w:rsid w:val="007647F2"/>
    <w:rsid w:val="00764FB7"/>
    <w:rsid w:val="00766F78"/>
    <w:rsid w:val="00767186"/>
    <w:rsid w:val="007678FD"/>
    <w:rsid w:val="0077039F"/>
    <w:rsid w:val="007706B8"/>
    <w:rsid w:val="00770AB6"/>
    <w:rsid w:val="00770D22"/>
    <w:rsid w:val="0077187D"/>
    <w:rsid w:val="007722EE"/>
    <w:rsid w:val="007723D5"/>
    <w:rsid w:val="00772426"/>
    <w:rsid w:val="0077249D"/>
    <w:rsid w:val="0077281A"/>
    <w:rsid w:val="007728B7"/>
    <w:rsid w:val="00772B46"/>
    <w:rsid w:val="00772C49"/>
    <w:rsid w:val="007734B5"/>
    <w:rsid w:val="00773BC8"/>
    <w:rsid w:val="00773C9E"/>
    <w:rsid w:val="00773D35"/>
    <w:rsid w:val="00773E58"/>
    <w:rsid w:val="007742C9"/>
    <w:rsid w:val="0077487A"/>
    <w:rsid w:val="00774ABB"/>
    <w:rsid w:val="00774C27"/>
    <w:rsid w:val="00775774"/>
    <w:rsid w:val="00775B95"/>
    <w:rsid w:val="00775BA3"/>
    <w:rsid w:val="00776005"/>
    <w:rsid w:val="00776E38"/>
    <w:rsid w:val="00776F2F"/>
    <w:rsid w:val="00776FA3"/>
    <w:rsid w:val="00777148"/>
    <w:rsid w:val="0077731C"/>
    <w:rsid w:val="00777FAE"/>
    <w:rsid w:val="0077EBA0"/>
    <w:rsid w:val="00780D03"/>
    <w:rsid w:val="0078180D"/>
    <w:rsid w:val="00781D83"/>
    <w:rsid w:val="007833F3"/>
    <w:rsid w:val="00783E96"/>
    <w:rsid w:val="00784719"/>
    <w:rsid w:val="00784F70"/>
    <w:rsid w:val="007852C9"/>
    <w:rsid w:val="0078531B"/>
    <w:rsid w:val="00785397"/>
    <w:rsid w:val="00785689"/>
    <w:rsid w:val="007857FF"/>
    <w:rsid w:val="00785BFA"/>
    <w:rsid w:val="00787282"/>
    <w:rsid w:val="00790526"/>
    <w:rsid w:val="00790D33"/>
    <w:rsid w:val="00790DAD"/>
    <w:rsid w:val="0079147C"/>
    <w:rsid w:val="00791AFC"/>
    <w:rsid w:val="00791F33"/>
    <w:rsid w:val="00792344"/>
    <w:rsid w:val="007928AB"/>
    <w:rsid w:val="007928B8"/>
    <w:rsid w:val="00792D35"/>
    <w:rsid w:val="00792FBE"/>
    <w:rsid w:val="00793C3B"/>
    <w:rsid w:val="0079442D"/>
    <w:rsid w:val="00794532"/>
    <w:rsid w:val="00794DB4"/>
    <w:rsid w:val="00794DBA"/>
    <w:rsid w:val="00795590"/>
    <w:rsid w:val="00795A70"/>
    <w:rsid w:val="00795BDC"/>
    <w:rsid w:val="007968D0"/>
    <w:rsid w:val="00796B1B"/>
    <w:rsid w:val="00796FF4"/>
    <w:rsid w:val="0079754B"/>
    <w:rsid w:val="00797865"/>
    <w:rsid w:val="00797F38"/>
    <w:rsid w:val="007A00DC"/>
    <w:rsid w:val="007A01FC"/>
    <w:rsid w:val="007A0F29"/>
    <w:rsid w:val="007A1151"/>
    <w:rsid w:val="007A1C16"/>
    <w:rsid w:val="007A1E6D"/>
    <w:rsid w:val="007A1F4A"/>
    <w:rsid w:val="007A2057"/>
    <w:rsid w:val="007A20C5"/>
    <w:rsid w:val="007A2606"/>
    <w:rsid w:val="007A26B9"/>
    <w:rsid w:val="007A2835"/>
    <w:rsid w:val="007A2A5C"/>
    <w:rsid w:val="007A2D60"/>
    <w:rsid w:val="007A3777"/>
    <w:rsid w:val="007A445E"/>
    <w:rsid w:val="007A44ED"/>
    <w:rsid w:val="007A49FF"/>
    <w:rsid w:val="007A4ACC"/>
    <w:rsid w:val="007A4B37"/>
    <w:rsid w:val="007A4BC6"/>
    <w:rsid w:val="007A4F4B"/>
    <w:rsid w:val="007A5AAA"/>
    <w:rsid w:val="007A6775"/>
    <w:rsid w:val="007A69B8"/>
    <w:rsid w:val="007A6F44"/>
    <w:rsid w:val="007A7103"/>
    <w:rsid w:val="007A77DA"/>
    <w:rsid w:val="007A7AC8"/>
    <w:rsid w:val="007B0188"/>
    <w:rsid w:val="007B01B6"/>
    <w:rsid w:val="007B0681"/>
    <w:rsid w:val="007B0753"/>
    <w:rsid w:val="007B0AF6"/>
    <w:rsid w:val="007B0EB2"/>
    <w:rsid w:val="007B1056"/>
    <w:rsid w:val="007B16C1"/>
    <w:rsid w:val="007B16C2"/>
    <w:rsid w:val="007B3676"/>
    <w:rsid w:val="007B3D09"/>
    <w:rsid w:val="007B5BD7"/>
    <w:rsid w:val="007B5FAD"/>
    <w:rsid w:val="007B6543"/>
    <w:rsid w:val="007B7277"/>
    <w:rsid w:val="007B79AC"/>
    <w:rsid w:val="007B7CA9"/>
    <w:rsid w:val="007B7D11"/>
    <w:rsid w:val="007C0802"/>
    <w:rsid w:val="007C1358"/>
    <w:rsid w:val="007C1B8E"/>
    <w:rsid w:val="007C1C2A"/>
    <w:rsid w:val="007C2025"/>
    <w:rsid w:val="007C2072"/>
    <w:rsid w:val="007C2921"/>
    <w:rsid w:val="007C2BB3"/>
    <w:rsid w:val="007C2E4D"/>
    <w:rsid w:val="007C3F7F"/>
    <w:rsid w:val="007C3F83"/>
    <w:rsid w:val="007C4051"/>
    <w:rsid w:val="007C4DEF"/>
    <w:rsid w:val="007C505E"/>
    <w:rsid w:val="007C5484"/>
    <w:rsid w:val="007C570A"/>
    <w:rsid w:val="007C63DB"/>
    <w:rsid w:val="007C6686"/>
    <w:rsid w:val="007C693F"/>
    <w:rsid w:val="007C69E9"/>
    <w:rsid w:val="007C6A4E"/>
    <w:rsid w:val="007C6A69"/>
    <w:rsid w:val="007C7A87"/>
    <w:rsid w:val="007C7AF6"/>
    <w:rsid w:val="007C7F61"/>
    <w:rsid w:val="007CD9D0"/>
    <w:rsid w:val="007D06BF"/>
    <w:rsid w:val="007D17D0"/>
    <w:rsid w:val="007D2BEE"/>
    <w:rsid w:val="007D345A"/>
    <w:rsid w:val="007D3487"/>
    <w:rsid w:val="007D3A58"/>
    <w:rsid w:val="007D4437"/>
    <w:rsid w:val="007D51C5"/>
    <w:rsid w:val="007D51EF"/>
    <w:rsid w:val="007D593D"/>
    <w:rsid w:val="007D5A86"/>
    <w:rsid w:val="007D5AE4"/>
    <w:rsid w:val="007D5B9D"/>
    <w:rsid w:val="007D5DA7"/>
    <w:rsid w:val="007D6F93"/>
    <w:rsid w:val="007D7358"/>
    <w:rsid w:val="007D761C"/>
    <w:rsid w:val="007D7934"/>
    <w:rsid w:val="007D7E34"/>
    <w:rsid w:val="007E0FEE"/>
    <w:rsid w:val="007E121C"/>
    <w:rsid w:val="007E1415"/>
    <w:rsid w:val="007E1F1C"/>
    <w:rsid w:val="007E204C"/>
    <w:rsid w:val="007E2099"/>
    <w:rsid w:val="007E21E8"/>
    <w:rsid w:val="007E28E4"/>
    <w:rsid w:val="007E295F"/>
    <w:rsid w:val="007E2A30"/>
    <w:rsid w:val="007E2E74"/>
    <w:rsid w:val="007E2EAC"/>
    <w:rsid w:val="007E3293"/>
    <w:rsid w:val="007E36D0"/>
    <w:rsid w:val="007E3CB3"/>
    <w:rsid w:val="007E4E83"/>
    <w:rsid w:val="007E4EBB"/>
    <w:rsid w:val="007E56D2"/>
    <w:rsid w:val="007E5B67"/>
    <w:rsid w:val="007E7855"/>
    <w:rsid w:val="007E79E5"/>
    <w:rsid w:val="007E7F8A"/>
    <w:rsid w:val="007F0D1B"/>
    <w:rsid w:val="007F1793"/>
    <w:rsid w:val="007F1D14"/>
    <w:rsid w:val="007F200C"/>
    <w:rsid w:val="007F215C"/>
    <w:rsid w:val="007F217A"/>
    <w:rsid w:val="007F2E68"/>
    <w:rsid w:val="007F39DD"/>
    <w:rsid w:val="007F3BD7"/>
    <w:rsid w:val="007F438A"/>
    <w:rsid w:val="007F4546"/>
    <w:rsid w:val="007F4A50"/>
    <w:rsid w:val="007F4BE0"/>
    <w:rsid w:val="007F4D0C"/>
    <w:rsid w:val="007F53A6"/>
    <w:rsid w:val="007F60D6"/>
    <w:rsid w:val="007F60EB"/>
    <w:rsid w:val="007F6E3D"/>
    <w:rsid w:val="007F72DE"/>
    <w:rsid w:val="007F757E"/>
    <w:rsid w:val="007F77A9"/>
    <w:rsid w:val="007F785C"/>
    <w:rsid w:val="007F7D88"/>
    <w:rsid w:val="007F7F16"/>
    <w:rsid w:val="007F7F1B"/>
    <w:rsid w:val="0080034E"/>
    <w:rsid w:val="00800720"/>
    <w:rsid w:val="00800831"/>
    <w:rsid w:val="00800CF6"/>
    <w:rsid w:val="0080209D"/>
    <w:rsid w:val="008029BF"/>
    <w:rsid w:val="00802F3E"/>
    <w:rsid w:val="008037EF"/>
    <w:rsid w:val="00804269"/>
    <w:rsid w:val="0080453E"/>
    <w:rsid w:val="00804700"/>
    <w:rsid w:val="008059EA"/>
    <w:rsid w:val="008060D2"/>
    <w:rsid w:val="008063C2"/>
    <w:rsid w:val="00806752"/>
    <w:rsid w:val="0080683D"/>
    <w:rsid w:val="008074CE"/>
    <w:rsid w:val="00807B0F"/>
    <w:rsid w:val="00807FA1"/>
    <w:rsid w:val="00810023"/>
    <w:rsid w:val="0081012A"/>
    <w:rsid w:val="008104CD"/>
    <w:rsid w:val="00810B6F"/>
    <w:rsid w:val="00810D6F"/>
    <w:rsid w:val="00811096"/>
    <w:rsid w:val="00812242"/>
    <w:rsid w:val="008128E1"/>
    <w:rsid w:val="00812988"/>
    <w:rsid w:val="00813A81"/>
    <w:rsid w:val="00813D68"/>
    <w:rsid w:val="00813F65"/>
    <w:rsid w:val="00814097"/>
    <w:rsid w:val="00814120"/>
    <w:rsid w:val="00814138"/>
    <w:rsid w:val="008147E0"/>
    <w:rsid w:val="00815008"/>
    <w:rsid w:val="00815220"/>
    <w:rsid w:val="0081540B"/>
    <w:rsid w:val="008154FA"/>
    <w:rsid w:val="00815AA9"/>
    <w:rsid w:val="008160F9"/>
    <w:rsid w:val="00816ABF"/>
    <w:rsid w:val="00816ACF"/>
    <w:rsid w:val="00816BA7"/>
    <w:rsid w:val="00817619"/>
    <w:rsid w:val="008177D1"/>
    <w:rsid w:val="008179A0"/>
    <w:rsid w:val="00817C52"/>
    <w:rsid w:val="00817CFA"/>
    <w:rsid w:val="00820030"/>
    <w:rsid w:val="008200CC"/>
    <w:rsid w:val="00820417"/>
    <w:rsid w:val="0082073C"/>
    <w:rsid w:val="00820A9C"/>
    <w:rsid w:val="00820C18"/>
    <w:rsid w:val="00820E70"/>
    <w:rsid w:val="0082115E"/>
    <w:rsid w:val="00821337"/>
    <w:rsid w:val="008215B7"/>
    <w:rsid w:val="00821756"/>
    <w:rsid w:val="00822BE6"/>
    <w:rsid w:val="00822CE0"/>
    <w:rsid w:val="00823037"/>
    <w:rsid w:val="008235D2"/>
    <w:rsid w:val="00823820"/>
    <w:rsid w:val="00823886"/>
    <w:rsid w:val="00823A16"/>
    <w:rsid w:val="00823E0B"/>
    <w:rsid w:val="00823EA3"/>
    <w:rsid w:val="008242DA"/>
    <w:rsid w:val="00824899"/>
    <w:rsid w:val="008259E6"/>
    <w:rsid w:val="00825E0B"/>
    <w:rsid w:val="00826968"/>
    <w:rsid w:val="00826CDA"/>
    <w:rsid w:val="00826E9A"/>
    <w:rsid w:val="00827168"/>
    <w:rsid w:val="00827CFF"/>
    <w:rsid w:val="00830963"/>
    <w:rsid w:val="008318C8"/>
    <w:rsid w:val="008318DC"/>
    <w:rsid w:val="00831A8C"/>
    <w:rsid w:val="00831CE3"/>
    <w:rsid w:val="00831F64"/>
    <w:rsid w:val="00831FA5"/>
    <w:rsid w:val="008320B4"/>
    <w:rsid w:val="008329DB"/>
    <w:rsid w:val="00834AA0"/>
    <w:rsid w:val="00834ACA"/>
    <w:rsid w:val="0083517A"/>
    <w:rsid w:val="008353F3"/>
    <w:rsid w:val="008354D0"/>
    <w:rsid w:val="0083577B"/>
    <w:rsid w:val="00835BF8"/>
    <w:rsid w:val="0083666C"/>
    <w:rsid w:val="008366E5"/>
    <w:rsid w:val="00836744"/>
    <w:rsid w:val="00836C18"/>
    <w:rsid w:val="00837230"/>
    <w:rsid w:val="0083788A"/>
    <w:rsid w:val="00837997"/>
    <w:rsid w:val="00837CB0"/>
    <w:rsid w:val="00840A9E"/>
    <w:rsid w:val="00840C80"/>
    <w:rsid w:val="00841747"/>
    <w:rsid w:val="00841AB1"/>
    <w:rsid w:val="00841D0E"/>
    <w:rsid w:val="00841EF5"/>
    <w:rsid w:val="0084362A"/>
    <w:rsid w:val="00843859"/>
    <w:rsid w:val="00843AA8"/>
    <w:rsid w:val="00843FE5"/>
    <w:rsid w:val="008441A3"/>
    <w:rsid w:val="008447F9"/>
    <w:rsid w:val="00844B22"/>
    <w:rsid w:val="00844CE7"/>
    <w:rsid w:val="008451FC"/>
    <w:rsid w:val="00845414"/>
    <w:rsid w:val="00845604"/>
    <w:rsid w:val="00845752"/>
    <w:rsid w:val="008459A5"/>
    <w:rsid w:val="008459E6"/>
    <w:rsid w:val="008464E2"/>
    <w:rsid w:val="00846CAF"/>
    <w:rsid w:val="00847572"/>
    <w:rsid w:val="00847D76"/>
    <w:rsid w:val="00847EC1"/>
    <w:rsid w:val="00850B29"/>
    <w:rsid w:val="00851091"/>
    <w:rsid w:val="00851E20"/>
    <w:rsid w:val="008524A7"/>
    <w:rsid w:val="008529FE"/>
    <w:rsid w:val="0085303A"/>
    <w:rsid w:val="0085406E"/>
    <w:rsid w:val="008545D6"/>
    <w:rsid w:val="008545DD"/>
    <w:rsid w:val="00854859"/>
    <w:rsid w:val="00854B03"/>
    <w:rsid w:val="00854E64"/>
    <w:rsid w:val="00855B42"/>
    <w:rsid w:val="00855D57"/>
    <w:rsid w:val="00856DA0"/>
    <w:rsid w:val="0085713F"/>
    <w:rsid w:val="00857453"/>
    <w:rsid w:val="00860B12"/>
    <w:rsid w:val="00860EE8"/>
    <w:rsid w:val="00860F4C"/>
    <w:rsid w:val="00861A19"/>
    <w:rsid w:val="00861C6E"/>
    <w:rsid w:val="00862614"/>
    <w:rsid w:val="008628C9"/>
    <w:rsid w:val="008628FD"/>
    <w:rsid w:val="008632DC"/>
    <w:rsid w:val="008651D8"/>
    <w:rsid w:val="0086524E"/>
    <w:rsid w:val="008652B9"/>
    <w:rsid w:val="0086567B"/>
    <w:rsid w:val="00865BAA"/>
    <w:rsid w:val="00865C2C"/>
    <w:rsid w:val="00865F0C"/>
    <w:rsid w:val="008664E9"/>
    <w:rsid w:val="008675C9"/>
    <w:rsid w:val="008676A5"/>
    <w:rsid w:val="008679F7"/>
    <w:rsid w:val="008728CE"/>
    <w:rsid w:val="00872C45"/>
    <w:rsid w:val="00872D07"/>
    <w:rsid w:val="00873C2F"/>
    <w:rsid w:val="008749D7"/>
    <w:rsid w:val="00874AA5"/>
    <w:rsid w:val="00875251"/>
    <w:rsid w:val="00875296"/>
    <w:rsid w:val="00875752"/>
    <w:rsid w:val="008763B1"/>
    <w:rsid w:val="00877C53"/>
    <w:rsid w:val="0088084E"/>
    <w:rsid w:val="00880BF7"/>
    <w:rsid w:val="00880EAD"/>
    <w:rsid w:val="00881ED8"/>
    <w:rsid w:val="0088216B"/>
    <w:rsid w:val="00882E40"/>
    <w:rsid w:val="00882ED0"/>
    <w:rsid w:val="00882F53"/>
    <w:rsid w:val="00883433"/>
    <w:rsid w:val="00883A3D"/>
    <w:rsid w:val="00883A7D"/>
    <w:rsid w:val="00884A44"/>
    <w:rsid w:val="0088557A"/>
    <w:rsid w:val="008859F1"/>
    <w:rsid w:val="0088647C"/>
    <w:rsid w:val="008868F9"/>
    <w:rsid w:val="00887038"/>
    <w:rsid w:val="0088743F"/>
    <w:rsid w:val="00887454"/>
    <w:rsid w:val="0089060B"/>
    <w:rsid w:val="00890720"/>
    <w:rsid w:val="008909D6"/>
    <w:rsid w:val="00890D10"/>
    <w:rsid w:val="00890D33"/>
    <w:rsid w:val="00890FDD"/>
    <w:rsid w:val="008914EF"/>
    <w:rsid w:val="008921A4"/>
    <w:rsid w:val="008927DE"/>
    <w:rsid w:val="008929B6"/>
    <w:rsid w:val="00892E6D"/>
    <w:rsid w:val="00892EA6"/>
    <w:rsid w:val="0089353B"/>
    <w:rsid w:val="0089378C"/>
    <w:rsid w:val="008941A6"/>
    <w:rsid w:val="00894664"/>
    <w:rsid w:val="00895176"/>
    <w:rsid w:val="0089604F"/>
    <w:rsid w:val="00896700"/>
    <w:rsid w:val="00896DE8"/>
    <w:rsid w:val="008A0CE8"/>
    <w:rsid w:val="008A0F3A"/>
    <w:rsid w:val="008A1706"/>
    <w:rsid w:val="008A1720"/>
    <w:rsid w:val="008A263B"/>
    <w:rsid w:val="008A308E"/>
    <w:rsid w:val="008A31BB"/>
    <w:rsid w:val="008A3ADE"/>
    <w:rsid w:val="008A492C"/>
    <w:rsid w:val="008A586E"/>
    <w:rsid w:val="008A67BB"/>
    <w:rsid w:val="008A6BCF"/>
    <w:rsid w:val="008A6D2A"/>
    <w:rsid w:val="008A77A2"/>
    <w:rsid w:val="008A78E8"/>
    <w:rsid w:val="008A79E0"/>
    <w:rsid w:val="008A7A75"/>
    <w:rsid w:val="008A7A92"/>
    <w:rsid w:val="008A7D28"/>
    <w:rsid w:val="008A7E16"/>
    <w:rsid w:val="008B01C0"/>
    <w:rsid w:val="008B053B"/>
    <w:rsid w:val="008B0B63"/>
    <w:rsid w:val="008B109B"/>
    <w:rsid w:val="008B1268"/>
    <w:rsid w:val="008B1723"/>
    <w:rsid w:val="008B1BAE"/>
    <w:rsid w:val="008B1EC4"/>
    <w:rsid w:val="008B215D"/>
    <w:rsid w:val="008B2241"/>
    <w:rsid w:val="008B252C"/>
    <w:rsid w:val="008B32CF"/>
    <w:rsid w:val="008B447E"/>
    <w:rsid w:val="008B5158"/>
    <w:rsid w:val="008B5C5D"/>
    <w:rsid w:val="008B5E19"/>
    <w:rsid w:val="008B75C7"/>
    <w:rsid w:val="008B7712"/>
    <w:rsid w:val="008B7891"/>
    <w:rsid w:val="008B7F38"/>
    <w:rsid w:val="008C0A0A"/>
    <w:rsid w:val="008C136C"/>
    <w:rsid w:val="008C1991"/>
    <w:rsid w:val="008C1CDD"/>
    <w:rsid w:val="008C2217"/>
    <w:rsid w:val="008C22E0"/>
    <w:rsid w:val="008C2399"/>
    <w:rsid w:val="008C3135"/>
    <w:rsid w:val="008C3166"/>
    <w:rsid w:val="008C3D6F"/>
    <w:rsid w:val="008C422A"/>
    <w:rsid w:val="008C43FA"/>
    <w:rsid w:val="008C5C66"/>
    <w:rsid w:val="008C5FFD"/>
    <w:rsid w:val="008C6523"/>
    <w:rsid w:val="008C6725"/>
    <w:rsid w:val="008C68F1"/>
    <w:rsid w:val="008C6D88"/>
    <w:rsid w:val="008C780D"/>
    <w:rsid w:val="008C7877"/>
    <w:rsid w:val="008D013D"/>
    <w:rsid w:val="008D04E3"/>
    <w:rsid w:val="008D0855"/>
    <w:rsid w:val="008D0BDF"/>
    <w:rsid w:val="008D18E2"/>
    <w:rsid w:val="008D1BE8"/>
    <w:rsid w:val="008D1E74"/>
    <w:rsid w:val="008D253F"/>
    <w:rsid w:val="008D2544"/>
    <w:rsid w:val="008D2BA9"/>
    <w:rsid w:val="008D2F46"/>
    <w:rsid w:val="008D32DD"/>
    <w:rsid w:val="008D3D8D"/>
    <w:rsid w:val="008D4024"/>
    <w:rsid w:val="008D4240"/>
    <w:rsid w:val="008D44B9"/>
    <w:rsid w:val="008D4606"/>
    <w:rsid w:val="008D49F7"/>
    <w:rsid w:val="008D51B9"/>
    <w:rsid w:val="008D6CA2"/>
    <w:rsid w:val="008D7D70"/>
    <w:rsid w:val="008D7EB1"/>
    <w:rsid w:val="008D9666"/>
    <w:rsid w:val="008E0F07"/>
    <w:rsid w:val="008E3242"/>
    <w:rsid w:val="008E4086"/>
    <w:rsid w:val="008E4134"/>
    <w:rsid w:val="008E4605"/>
    <w:rsid w:val="008E4C2C"/>
    <w:rsid w:val="008E4FCA"/>
    <w:rsid w:val="008E5267"/>
    <w:rsid w:val="008E53FE"/>
    <w:rsid w:val="008E5BC8"/>
    <w:rsid w:val="008E5C55"/>
    <w:rsid w:val="008E65DD"/>
    <w:rsid w:val="008E6655"/>
    <w:rsid w:val="008E699B"/>
    <w:rsid w:val="008E79F9"/>
    <w:rsid w:val="008F0634"/>
    <w:rsid w:val="008F090A"/>
    <w:rsid w:val="008F1886"/>
    <w:rsid w:val="008F1F0B"/>
    <w:rsid w:val="008F20AE"/>
    <w:rsid w:val="008F38F8"/>
    <w:rsid w:val="008F3B27"/>
    <w:rsid w:val="008F52FD"/>
    <w:rsid w:val="008F5BB2"/>
    <w:rsid w:val="008F5D4B"/>
    <w:rsid w:val="008F64A8"/>
    <w:rsid w:val="008F6FFE"/>
    <w:rsid w:val="008F7536"/>
    <w:rsid w:val="00900179"/>
    <w:rsid w:val="0090029F"/>
    <w:rsid w:val="00900511"/>
    <w:rsid w:val="0090083C"/>
    <w:rsid w:val="00900937"/>
    <w:rsid w:val="00900F8A"/>
    <w:rsid w:val="00901199"/>
    <w:rsid w:val="00901BFD"/>
    <w:rsid w:val="00901CDB"/>
    <w:rsid w:val="00901D55"/>
    <w:rsid w:val="00902811"/>
    <w:rsid w:val="00903687"/>
    <w:rsid w:val="0090383D"/>
    <w:rsid w:val="00904235"/>
    <w:rsid w:val="00904395"/>
    <w:rsid w:val="0090547E"/>
    <w:rsid w:val="009056CC"/>
    <w:rsid w:val="009056ED"/>
    <w:rsid w:val="00905972"/>
    <w:rsid w:val="00906680"/>
    <w:rsid w:val="009069F2"/>
    <w:rsid w:val="009079D9"/>
    <w:rsid w:val="00907A1A"/>
    <w:rsid w:val="00907C8F"/>
    <w:rsid w:val="0090ABBA"/>
    <w:rsid w:val="009103B4"/>
    <w:rsid w:val="00910D07"/>
    <w:rsid w:val="00910D26"/>
    <w:rsid w:val="00911042"/>
    <w:rsid w:val="0091120B"/>
    <w:rsid w:val="00912325"/>
    <w:rsid w:val="0091294A"/>
    <w:rsid w:val="00912C74"/>
    <w:rsid w:val="009131E3"/>
    <w:rsid w:val="00913376"/>
    <w:rsid w:val="00913596"/>
    <w:rsid w:val="00914530"/>
    <w:rsid w:val="00914793"/>
    <w:rsid w:val="00914BC3"/>
    <w:rsid w:val="00914C50"/>
    <w:rsid w:val="00915390"/>
    <w:rsid w:val="0091543E"/>
    <w:rsid w:val="00915681"/>
    <w:rsid w:val="00916454"/>
    <w:rsid w:val="009168C9"/>
    <w:rsid w:val="009173C2"/>
    <w:rsid w:val="009175EA"/>
    <w:rsid w:val="009176F8"/>
    <w:rsid w:val="00917830"/>
    <w:rsid w:val="00917967"/>
    <w:rsid w:val="00917B72"/>
    <w:rsid w:val="00921803"/>
    <w:rsid w:val="00921E05"/>
    <w:rsid w:val="00921E65"/>
    <w:rsid w:val="009220CD"/>
    <w:rsid w:val="0092275E"/>
    <w:rsid w:val="009234BD"/>
    <w:rsid w:val="009239DF"/>
    <w:rsid w:val="00923F43"/>
    <w:rsid w:val="009243DC"/>
    <w:rsid w:val="009244B2"/>
    <w:rsid w:val="00924823"/>
    <w:rsid w:val="00924903"/>
    <w:rsid w:val="00924FEF"/>
    <w:rsid w:val="00925825"/>
    <w:rsid w:val="00925A0B"/>
    <w:rsid w:val="00926355"/>
    <w:rsid w:val="00926503"/>
    <w:rsid w:val="0092659B"/>
    <w:rsid w:val="009277F3"/>
    <w:rsid w:val="009279FE"/>
    <w:rsid w:val="00927C9F"/>
    <w:rsid w:val="00927FAA"/>
    <w:rsid w:val="009312DE"/>
    <w:rsid w:val="00931581"/>
    <w:rsid w:val="00931B32"/>
    <w:rsid w:val="009320FC"/>
    <w:rsid w:val="009330DA"/>
    <w:rsid w:val="009334D9"/>
    <w:rsid w:val="00933AC8"/>
    <w:rsid w:val="00933F6A"/>
    <w:rsid w:val="0093431F"/>
    <w:rsid w:val="009347A0"/>
    <w:rsid w:val="00934B71"/>
    <w:rsid w:val="009353E6"/>
    <w:rsid w:val="009359EA"/>
    <w:rsid w:val="00935E64"/>
    <w:rsid w:val="0093641E"/>
    <w:rsid w:val="0093688C"/>
    <w:rsid w:val="00936A72"/>
    <w:rsid w:val="00936D6E"/>
    <w:rsid w:val="00937E07"/>
    <w:rsid w:val="00937FF5"/>
    <w:rsid w:val="009404C6"/>
    <w:rsid w:val="00941156"/>
    <w:rsid w:val="00941A44"/>
    <w:rsid w:val="00941EC5"/>
    <w:rsid w:val="00942446"/>
    <w:rsid w:val="00943035"/>
    <w:rsid w:val="009432AE"/>
    <w:rsid w:val="00943F2F"/>
    <w:rsid w:val="009449D8"/>
    <w:rsid w:val="00946698"/>
    <w:rsid w:val="009467E8"/>
    <w:rsid w:val="00946C1F"/>
    <w:rsid w:val="009471C6"/>
    <w:rsid w:val="0094732C"/>
    <w:rsid w:val="009503E6"/>
    <w:rsid w:val="00950600"/>
    <w:rsid w:val="00950706"/>
    <w:rsid w:val="009507E5"/>
    <w:rsid w:val="009511DA"/>
    <w:rsid w:val="00951273"/>
    <w:rsid w:val="009512A3"/>
    <w:rsid w:val="0095143E"/>
    <w:rsid w:val="00952270"/>
    <w:rsid w:val="0095232A"/>
    <w:rsid w:val="00952D40"/>
    <w:rsid w:val="009535C8"/>
    <w:rsid w:val="009538CD"/>
    <w:rsid w:val="00953E32"/>
    <w:rsid w:val="00953F50"/>
    <w:rsid w:val="009545FF"/>
    <w:rsid w:val="00955AE8"/>
    <w:rsid w:val="009567ED"/>
    <w:rsid w:val="00956A0B"/>
    <w:rsid w:val="00956EEE"/>
    <w:rsid w:val="0095701B"/>
    <w:rsid w:val="009573A2"/>
    <w:rsid w:val="0095750A"/>
    <w:rsid w:val="00957898"/>
    <w:rsid w:val="00957F89"/>
    <w:rsid w:val="00960186"/>
    <w:rsid w:val="00960465"/>
    <w:rsid w:val="009604E3"/>
    <w:rsid w:val="00960B2F"/>
    <w:rsid w:val="00960EBF"/>
    <w:rsid w:val="0096106E"/>
    <w:rsid w:val="009612DD"/>
    <w:rsid w:val="00961FAF"/>
    <w:rsid w:val="009620E5"/>
    <w:rsid w:val="0096273E"/>
    <w:rsid w:val="009636A7"/>
    <w:rsid w:val="009636AA"/>
    <w:rsid w:val="00964F9B"/>
    <w:rsid w:val="00965147"/>
    <w:rsid w:val="009661F3"/>
    <w:rsid w:val="0096620C"/>
    <w:rsid w:val="0096699E"/>
    <w:rsid w:val="00967F38"/>
    <w:rsid w:val="00970433"/>
    <w:rsid w:val="00970668"/>
    <w:rsid w:val="009706F2"/>
    <w:rsid w:val="009709B9"/>
    <w:rsid w:val="0097112D"/>
    <w:rsid w:val="00971684"/>
    <w:rsid w:val="00971BE4"/>
    <w:rsid w:val="00971C19"/>
    <w:rsid w:val="00971C51"/>
    <w:rsid w:val="00972663"/>
    <w:rsid w:val="009726D8"/>
    <w:rsid w:val="00972F80"/>
    <w:rsid w:val="00973208"/>
    <w:rsid w:val="00973289"/>
    <w:rsid w:val="009739DA"/>
    <w:rsid w:val="00973A46"/>
    <w:rsid w:val="00973CF2"/>
    <w:rsid w:val="0097441A"/>
    <w:rsid w:val="00974FE9"/>
    <w:rsid w:val="009755B5"/>
    <w:rsid w:val="0097623F"/>
    <w:rsid w:val="009773B4"/>
    <w:rsid w:val="00977B02"/>
    <w:rsid w:val="00977B76"/>
    <w:rsid w:val="0098074C"/>
    <w:rsid w:val="00980939"/>
    <w:rsid w:val="00981286"/>
    <w:rsid w:val="009822C9"/>
    <w:rsid w:val="00982BE8"/>
    <w:rsid w:val="00982CAC"/>
    <w:rsid w:val="009832C4"/>
    <w:rsid w:val="00983321"/>
    <w:rsid w:val="00985441"/>
    <w:rsid w:val="009858E4"/>
    <w:rsid w:val="00986154"/>
    <w:rsid w:val="00986257"/>
    <w:rsid w:val="0098651C"/>
    <w:rsid w:val="00987584"/>
    <w:rsid w:val="0098790E"/>
    <w:rsid w:val="009904EF"/>
    <w:rsid w:val="00990851"/>
    <w:rsid w:val="0099097A"/>
    <w:rsid w:val="00990AC1"/>
    <w:rsid w:val="00991259"/>
    <w:rsid w:val="009929A9"/>
    <w:rsid w:val="00992F8F"/>
    <w:rsid w:val="0099374D"/>
    <w:rsid w:val="00993ABD"/>
    <w:rsid w:val="009945B8"/>
    <w:rsid w:val="00994902"/>
    <w:rsid w:val="009953EB"/>
    <w:rsid w:val="00995D1C"/>
    <w:rsid w:val="009961BA"/>
    <w:rsid w:val="0099631A"/>
    <w:rsid w:val="00996487"/>
    <w:rsid w:val="00996F07"/>
    <w:rsid w:val="00996FF1"/>
    <w:rsid w:val="0099715A"/>
    <w:rsid w:val="00997D02"/>
    <w:rsid w:val="009A0A77"/>
    <w:rsid w:val="009A16C3"/>
    <w:rsid w:val="009A1B49"/>
    <w:rsid w:val="009A25B2"/>
    <w:rsid w:val="009A34A7"/>
    <w:rsid w:val="009A35E2"/>
    <w:rsid w:val="009A3913"/>
    <w:rsid w:val="009A39C0"/>
    <w:rsid w:val="009A3B3C"/>
    <w:rsid w:val="009A4613"/>
    <w:rsid w:val="009A47C5"/>
    <w:rsid w:val="009A4DED"/>
    <w:rsid w:val="009A6220"/>
    <w:rsid w:val="009A6B67"/>
    <w:rsid w:val="009A721B"/>
    <w:rsid w:val="009A72C9"/>
    <w:rsid w:val="009B0186"/>
    <w:rsid w:val="009B040F"/>
    <w:rsid w:val="009B0529"/>
    <w:rsid w:val="009B0DB1"/>
    <w:rsid w:val="009B1377"/>
    <w:rsid w:val="009B1C94"/>
    <w:rsid w:val="009B2EEE"/>
    <w:rsid w:val="009B34B9"/>
    <w:rsid w:val="009B3D06"/>
    <w:rsid w:val="009B41D9"/>
    <w:rsid w:val="009B4775"/>
    <w:rsid w:val="009B59FA"/>
    <w:rsid w:val="009B5B77"/>
    <w:rsid w:val="009B5F95"/>
    <w:rsid w:val="009B670A"/>
    <w:rsid w:val="009B68FB"/>
    <w:rsid w:val="009B70F4"/>
    <w:rsid w:val="009B7240"/>
    <w:rsid w:val="009B74AB"/>
    <w:rsid w:val="009B753F"/>
    <w:rsid w:val="009B7600"/>
    <w:rsid w:val="009B7920"/>
    <w:rsid w:val="009C06C2"/>
    <w:rsid w:val="009C0B56"/>
    <w:rsid w:val="009C0BAE"/>
    <w:rsid w:val="009C1570"/>
    <w:rsid w:val="009C1A56"/>
    <w:rsid w:val="009C1B4D"/>
    <w:rsid w:val="009C2E98"/>
    <w:rsid w:val="009C33E7"/>
    <w:rsid w:val="009C34A8"/>
    <w:rsid w:val="009C3565"/>
    <w:rsid w:val="009C4334"/>
    <w:rsid w:val="009C45CF"/>
    <w:rsid w:val="009C4985"/>
    <w:rsid w:val="009C49DE"/>
    <w:rsid w:val="009C4CC5"/>
    <w:rsid w:val="009C52D9"/>
    <w:rsid w:val="009C61A3"/>
    <w:rsid w:val="009C62FA"/>
    <w:rsid w:val="009C6828"/>
    <w:rsid w:val="009C7116"/>
    <w:rsid w:val="009C7307"/>
    <w:rsid w:val="009C754F"/>
    <w:rsid w:val="009C7806"/>
    <w:rsid w:val="009C794F"/>
    <w:rsid w:val="009C7A40"/>
    <w:rsid w:val="009C7CD4"/>
    <w:rsid w:val="009C7F6F"/>
    <w:rsid w:val="009D03AD"/>
    <w:rsid w:val="009D04AD"/>
    <w:rsid w:val="009D08D1"/>
    <w:rsid w:val="009D1115"/>
    <w:rsid w:val="009D1830"/>
    <w:rsid w:val="009D1AAC"/>
    <w:rsid w:val="009D1CD2"/>
    <w:rsid w:val="009D21EF"/>
    <w:rsid w:val="009D3FDA"/>
    <w:rsid w:val="009D43C8"/>
    <w:rsid w:val="009D4C73"/>
    <w:rsid w:val="009D4E32"/>
    <w:rsid w:val="009D5122"/>
    <w:rsid w:val="009D53FD"/>
    <w:rsid w:val="009D5AC8"/>
    <w:rsid w:val="009D5E5F"/>
    <w:rsid w:val="009D6082"/>
    <w:rsid w:val="009D7308"/>
    <w:rsid w:val="009D733C"/>
    <w:rsid w:val="009D7533"/>
    <w:rsid w:val="009D7818"/>
    <w:rsid w:val="009D7F8D"/>
    <w:rsid w:val="009E09FB"/>
    <w:rsid w:val="009E0AEA"/>
    <w:rsid w:val="009E102F"/>
    <w:rsid w:val="009E10EC"/>
    <w:rsid w:val="009E2393"/>
    <w:rsid w:val="009E2A2C"/>
    <w:rsid w:val="009E2E2C"/>
    <w:rsid w:val="009E303F"/>
    <w:rsid w:val="009E33FB"/>
    <w:rsid w:val="009E35CA"/>
    <w:rsid w:val="009E400E"/>
    <w:rsid w:val="009E45BB"/>
    <w:rsid w:val="009E599F"/>
    <w:rsid w:val="009E5B99"/>
    <w:rsid w:val="009E5D1D"/>
    <w:rsid w:val="009E5E72"/>
    <w:rsid w:val="009E62A9"/>
    <w:rsid w:val="009E62AB"/>
    <w:rsid w:val="009E6400"/>
    <w:rsid w:val="009E709F"/>
    <w:rsid w:val="009E7562"/>
    <w:rsid w:val="009E7606"/>
    <w:rsid w:val="009E7D9D"/>
    <w:rsid w:val="009F04C3"/>
    <w:rsid w:val="009F06B1"/>
    <w:rsid w:val="009F0A73"/>
    <w:rsid w:val="009F0C06"/>
    <w:rsid w:val="009F15BF"/>
    <w:rsid w:val="009F24EF"/>
    <w:rsid w:val="009F250C"/>
    <w:rsid w:val="009F29C5"/>
    <w:rsid w:val="009F2F29"/>
    <w:rsid w:val="009F3537"/>
    <w:rsid w:val="009F3720"/>
    <w:rsid w:val="009F37CA"/>
    <w:rsid w:val="009F39FD"/>
    <w:rsid w:val="009F40E9"/>
    <w:rsid w:val="009F46D0"/>
    <w:rsid w:val="009F510B"/>
    <w:rsid w:val="009F5C7F"/>
    <w:rsid w:val="009F5D89"/>
    <w:rsid w:val="009F62DF"/>
    <w:rsid w:val="009F6961"/>
    <w:rsid w:val="009F7311"/>
    <w:rsid w:val="009F73F1"/>
    <w:rsid w:val="009F7635"/>
    <w:rsid w:val="009F76DB"/>
    <w:rsid w:val="009F770E"/>
    <w:rsid w:val="00A002E8"/>
    <w:rsid w:val="00A00D6B"/>
    <w:rsid w:val="00A00E0F"/>
    <w:rsid w:val="00A013EF"/>
    <w:rsid w:val="00A01754"/>
    <w:rsid w:val="00A017BE"/>
    <w:rsid w:val="00A018DC"/>
    <w:rsid w:val="00A023F1"/>
    <w:rsid w:val="00A03C28"/>
    <w:rsid w:val="00A04236"/>
    <w:rsid w:val="00A04434"/>
    <w:rsid w:val="00A04714"/>
    <w:rsid w:val="00A0475E"/>
    <w:rsid w:val="00A04981"/>
    <w:rsid w:val="00A049E0"/>
    <w:rsid w:val="00A0505F"/>
    <w:rsid w:val="00A059FB"/>
    <w:rsid w:val="00A05B5F"/>
    <w:rsid w:val="00A061D8"/>
    <w:rsid w:val="00A06425"/>
    <w:rsid w:val="00A073CE"/>
    <w:rsid w:val="00A07531"/>
    <w:rsid w:val="00A0782C"/>
    <w:rsid w:val="00A07C7A"/>
    <w:rsid w:val="00A07DE2"/>
    <w:rsid w:val="00A102CA"/>
    <w:rsid w:val="00A1034A"/>
    <w:rsid w:val="00A1069C"/>
    <w:rsid w:val="00A10957"/>
    <w:rsid w:val="00A1129A"/>
    <w:rsid w:val="00A1170E"/>
    <w:rsid w:val="00A1290E"/>
    <w:rsid w:val="00A133F6"/>
    <w:rsid w:val="00A13E75"/>
    <w:rsid w:val="00A14263"/>
    <w:rsid w:val="00A14D5C"/>
    <w:rsid w:val="00A14E56"/>
    <w:rsid w:val="00A15132"/>
    <w:rsid w:val="00A15E44"/>
    <w:rsid w:val="00A16436"/>
    <w:rsid w:val="00A16A5A"/>
    <w:rsid w:val="00A16DF1"/>
    <w:rsid w:val="00A16EE8"/>
    <w:rsid w:val="00A174E4"/>
    <w:rsid w:val="00A17583"/>
    <w:rsid w:val="00A205B1"/>
    <w:rsid w:val="00A2104B"/>
    <w:rsid w:val="00A22AAC"/>
    <w:rsid w:val="00A22CE7"/>
    <w:rsid w:val="00A22D20"/>
    <w:rsid w:val="00A2433A"/>
    <w:rsid w:val="00A24434"/>
    <w:rsid w:val="00A24B2F"/>
    <w:rsid w:val="00A24C5A"/>
    <w:rsid w:val="00A24CE8"/>
    <w:rsid w:val="00A25201"/>
    <w:rsid w:val="00A253D3"/>
    <w:rsid w:val="00A256C1"/>
    <w:rsid w:val="00A2592A"/>
    <w:rsid w:val="00A25A3E"/>
    <w:rsid w:val="00A25B41"/>
    <w:rsid w:val="00A25D57"/>
    <w:rsid w:val="00A260E9"/>
    <w:rsid w:val="00A264EA"/>
    <w:rsid w:val="00A27642"/>
    <w:rsid w:val="00A2772E"/>
    <w:rsid w:val="00A27877"/>
    <w:rsid w:val="00A300D9"/>
    <w:rsid w:val="00A30100"/>
    <w:rsid w:val="00A30423"/>
    <w:rsid w:val="00A30DA1"/>
    <w:rsid w:val="00A32005"/>
    <w:rsid w:val="00A32C3B"/>
    <w:rsid w:val="00A32D78"/>
    <w:rsid w:val="00A337A3"/>
    <w:rsid w:val="00A34E6E"/>
    <w:rsid w:val="00A3569F"/>
    <w:rsid w:val="00A356EF"/>
    <w:rsid w:val="00A35C0A"/>
    <w:rsid w:val="00A35EF2"/>
    <w:rsid w:val="00A36129"/>
    <w:rsid w:val="00A36C65"/>
    <w:rsid w:val="00A36E6B"/>
    <w:rsid w:val="00A36E8F"/>
    <w:rsid w:val="00A36EE6"/>
    <w:rsid w:val="00A372D8"/>
    <w:rsid w:val="00A37548"/>
    <w:rsid w:val="00A377FE"/>
    <w:rsid w:val="00A378EF"/>
    <w:rsid w:val="00A37FBE"/>
    <w:rsid w:val="00A4048B"/>
    <w:rsid w:val="00A4178A"/>
    <w:rsid w:val="00A41822"/>
    <w:rsid w:val="00A41B1E"/>
    <w:rsid w:val="00A42116"/>
    <w:rsid w:val="00A425D5"/>
    <w:rsid w:val="00A428F0"/>
    <w:rsid w:val="00A4377C"/>
    <w:rsid w:val="00A43877"/>
    <w:rsid w:val="00A45138"/>
    <w:rsid w:val="00A456A0"/>
    <w:rsid w:val="00A45B96"/>
    <w:rsid w:val="00A45F4F"/>
    <w:rsid w:val="00A4703A"/>
    <w:rsid w:val="00A47F1C"/>
    <w:rsid w:val="00A5159D"/>
    <w:rsid w:val="00A51C23"/>
    <w:rsid w:val="00A52CCF"/>
    <w:rsid w:val="00A53496"/>
    <w:rsid w:val="00A53B15"/>
    <w:rsid w:val="00A53EC3"/>
    <w:rsid w:val="00A54081"/>
    <w:rsid w:val="00A5422E"/>
    <w:rsid w:val="00A54667"/>
    <w:rsid w:val="00A54C26"/>
    <w:rsid w:val="00A55241"/>
    <w:rsid w:val="00A552A3"/>
    <w:rsid w:val="00A55D5C"/>
    <w:rsid w:val="00A562FA"/>
    <w:rsid w:val="00A57005"/>
    <w:rsid w:val="00A570AD"/>
    <w:rsid w:val="00A572F1"/>
    <w:rsid w:val="00A573D1"/>
    <w:rsid w:val="00A579FF"/>
    <w:rsid w:val="00A57D58"/>
    <w:rsid w:val="00A57FE2"/>
    <w:rsid w:val="00A600A9"/>
    <w:rsid w:val="00A60ED5"/>
    <w:rsid w:val="00A62021"/>
    <w:rsid w:val="00A62119"/>
    <w:rsid w:val="00A62DF8"/>
    <w:rsid w:val="00A62FDA"/>
    <w:rsid w:val="00A64633"/>
    <w:rsid w:val="00A64D3C"/>
    <w:rsid w:val="00A6545D"/>
    <w:rsid w:val="00A65701"/>
    <w:rsid w:val="00A65D3D"/>
    <w:rsid w:val="00A65ED8"/>
    <w:rsid w:val="00A661D7"/>
    <w:rsid w:val="00A6667B"/>
    <w:rsid w:val="00A702F6"/>
    <w:rsid w:val="00A70404"/>
    <w:rsid w:val="00A70515"/>
    <w:rsid w:val="00A7082F"/>
    <w:rsid w:val="00A7223C"/>
    <w:rsid w:val="00A724D6"/>
    <w:rsid w:val="00A729B1"/>
    <w:rsid w:val="00A7346E"/>
    <w:rsid w:val="00A7356A"/>
    <w:rsid w:val="00A73696"/>
    <w:rsid w:val="00A747D5"/>
    <w:rsid w:val="00A74916"/>
    <w:rsid w:val="00A74FE1"/>
    <w:rsid w:val="00A75470"/>
    <w:rsid w:val="00A7621B"/>
    <w:rsid w:val="00A76AE7"/>
    <w:rsid w:val="00A76E60"/>
    <w:rsid w:val="00A77FEB"/>
    <w:rsid w:val="00A80211"/>
    <w:rsid w:val="00A802D4"/>
    <w:rsid w:val="00A80FDD"/>
    <w:rsid w:val="00A811F8"/>
    <w:rsid w:val="00A81282"/>
    <w:rsid w:val="00A82913"/>
    <w:rsid w:val="00A829D1"/>
    <w:rsid w:val="00A834FA"/>
    <w:rsid w:val="00A8369B"/>
    <w:rsid w:val="00A836F8"/>
    <w:rsid w:val="00A83B85"/>
    <w:rsid w:val="00A83C24"/>
    <w:rsid w:val="00A83C2D"/>
    <w:rsid w:val="00A83C4D"/>
    <w:rsid w:val="00A841E2"/>
    <w:rsid w:val="00A851D0"/>
    <w:rsid w:val="00A85AC4"/>
    <w:rsid w:val="00A85D12"/>
    <w:rsid w:val="00A86033"/>
    <w:rsid w:val="00A86235"/>
    <w:rsid w:val="00A864D8"/>
    <w:rsid w:val="00A86CE6"/>
    <w:rsid w:val="00A86D5D"/>
    <w:rsid w:val="00A8702E"/>
    <w:rsid w:val="00A87473"/>
    <w:rsid w:val="00A875F1"/>
    <w:rsid w:val="00A87E8D"/>
    <w:rsid w:val="00A908C2"/>
    <w:rsid w:val="00A90919"/>
    <w:rsid w:val="00A91626"/>
    <w:rsid w:val="00A91940"/>
    <w:rsid w:val="00A922D2"/>
    <w:rsid w:val="00A92A6E"/>
    <w:rsid w:val="00A93453"/>
    <w:rsid w:val="00A93DA9"/>
    <w:rsid w:val="00A93F17"/>
    <w:rsid w:val="00A93F24"/>
    <w:rsid w:val="00A94FE5"/>
    <w:rsid w:val="00A9572B"/>
    <w:rsid w:val="00A959C9"/>
    <w:rsid w:val="00A95F34"/>
    <w:rsid w:val="00A95FDB"/>
    <w:rsid w:val="00A96874"/>
    <w:rsid w:val="00A96A75"/>
    <w:rsid w:val="00A97070"/>
    <w:rsid w:val="00A977A6"/>
    <w:rsid w:val="00A97AAB"/>
    <w:rsid w:val="00AA0A58"/>
    <w:rsid w:val="00AA18ED"/>
    <w:rsid w:val="00AA1A90"/>
    <w:rsid w:val="00AA2034"/>
    <w:rsid w:val="00AA30F1"/>
    <w:rsid w:val="00AA3E75"/>
    <w:rsid w:val="00AA3EEA"/>
    <w:rsid w:val="00AA4021"/>
    <w:rsid w:val="00AA46AC"/>
    <w:rsid w:val="00AA49AD"/>
    <w:rsid w:val="00AA55B7"/>
    <w:rsid w:val="00AA55FC"/>
    <w:rsid w:val="00AA5B9E"/>
    <w:rsid w:val="00AA5D48"/>
    <w:rsid w:val="00AA5F86"/>
    <w:rsid w:val="00AA5FDC"/>
    <w:rsid w:val="00AA61EF"/>
    <w:rsid w:val="00AA705A"/>
    <w:rsid w:val="00AA70ED"/>
    <w:rsid w:val="00AA72D2"/>
    <w:rsid w:val="00AA7409"/>
    <w:rsid w:val="00AA77B5"/>
    <w:rsid w:val="00AA77FF"/>
    <w:rsid w:val="00AA7A96"/>
    <w:rsid w:val="00AB0E44"/>
    <w:rsid w:val="00AB1921"/>
    <w:rsid w:val="00AB1C3F"/>
    <w:rsid w:val="00AB1C71"/>
    <w:rsid w:val="00AB23D0"/>
    <w:rsid w:val="00AB2407"/>
    <w:rsid w:val="00AB2724"/>
    <w:rsid w:val="00AB36D5"/>
    <w:rsid w:val="00AB3F31"/>
    <w:rsid w:val="00AB3F99"/>
    <w:rsid w:val="00AB409C"/>
    <w:rsid w:val="00AB45D1"/>
    <w:rsid w:val="00AB53B9"/>
    <w:rsid w:val="00AB53DF"/>
    <w:rsid w:val="00AB547E"/>
    <w:rsid w:val="00AB5733"/>
    <w:rsid w:val="00AB5BFF"/>
    <w:rsid w:val="00AB5D93"/>
    <w:rsid w:val="00AB63ED"/>
    <w:rsid w:val="00AB6525"/>
    <w:rsid w:val="00AB6C2D"/>
    <w:rsid w:val="00AB7292"/>
    <w:rsid w:val="00AB731D"/>
    <w:rsid w:val="00AB7B21"/>
    <w:rsid w:val="00AC0599"/>
    <w:rsid w:val="00AC21AD"/>
    <w:rsid w:val="00AC2779"/>
    <w:rsid w:val="00AC2C89"/>
    <w:rsid w:val="00AC3EE0"/>
    <w:rsid w:val="00AC41A6"/>
    <w:rsid w:val="00AC4AD7"/>
    <w:rsid w:val="00AC6765"/>
    <w:rsid w:val="00AC696F"/>
    <w:rsid w:val="00AC7B23"/>
    <w:rsid w:val="00AC7CBA"/>
    <w:rsid w:val="00AC7DAF"/>
    <w:rsid w:val="00AD0382"/>
    <w:rsid w:val="00AD1060"/>
    <w:rsid w:val="00AD13EA"/>
    <w:rsid w:val="00AD1CAC"/>
    <w:rsid w:val="00AD2216"/>
    <w:rsid w:val="00AD222C"/>
    <w:rsid w:val="00AD24DD"/>
    <w:rsid w:val="00AD31C6"/>
    <w:rsid w:val="00AD31CF"/>
    <w:rsid w:val="00AD35AA"/>
    <w:rsid w:val="00AD3FB7"/>
    <w:rsid w:val="00AD45DB"/>
    <w:rsid w:val="00AD4CFD"/>
    <w:rsid w:val="00AD57BC"/>
    <w:rsid w:val="00AD6820"/>
    <w:rsid w:val="00AD6E32"/>
    <w:rsid w:val="00AD6E65"/>
    <w:rsid w:val="00AD7103"/>
    <w:rsid w:val="00AD781B"/>
    <w:rsid w:val="00AD7E44"/>
    <w:rsid w:val="00AD7FF6"/>
    <w:rsid w:val="00AE0EE8"/>
    <w:rsid w:val="00AE0F1F"/>
    <w:rsid w:val="00AE1746"/>
    <w:rsid w:val="00AE1C78"/>
    <w:rsid w:val="00AE2346"/>
    <w:rsid w:val="00AE441E"/>
    <w:rsid w:val="00AE6187"/>
    <w:rsid w:val="00AE68BE"/>
    <w:rsid w:val="00AE72C9"/>
    <w:rsid w:val="00AE73C4"/>
    <w:rsid w:val="00AE76BE"/>
    <w:rsid w:val="00AE7F00"/>
    <w:rsid w:val="00AF05EC"/>
    <w:rsid w:val="00AF1AD3"/>
    <w:rsid w:val="00AF1F20"/>
    <w:rsid w:val="00AF2DEB"/>
    <w:rsid w:val="00AF3039"/>
    <w:rsid w:val="00AF3E8E"/>
    <w:rsid w:val="00AF400C"/>
    <w:rsid w:val="00AF42CD"/>
    <w:rsid w:val="00AF4802"/>
    <w:rsid w:val="00AF5A42"/>
    <w:rsid w:val="00AF5BC2"/>
    <w:rsid w:val="00AF5CD4"/>
    <w:rsid w:val="00AF5E28"/>
    <w:rsid w:val="00AF60FD"/>
    <w:rsid w:val="00AF633D"/>
    <w:rsid w:val="00AF74BB"/>
    <w:rsid w:val="00AF785C"/>
    <w:rsid w:val="00B0082F"/>
    <w:rsid w:val="00B00A4A"/>
    <w:rsid w:val="00B00BC8"/>
    <w:rsid w:val="00B00BF9"/>
    <w:rsid w:val="00B01037"/>
    <w:rsid w:val="00B011EE"/>
    <w:rsid w:val="00B0124E"/>
    <w:rsid w:val="00B01434"/>
    <w:rsid w:val="00B01C88"/>
    <w:rsid w:val="00B0201C"/>
    <w:rsid w:val="00B023DC"/>
    <w:rsid w:val="00B02488"/>
    <w:rsid w:val="00B02AC8"/>
    <w:rsid w:val="00B02DE4"/>
    <w:rsid w:val="00B03722"/>
    <w:rsid w:val="00B03C34"/>
    <w:rsid w:val="00B03E00"/>
    <w:rsid w:val="00B0419F"/>
    <w:rsid w:val="00B047F1"/>
    <w:rsid w:val="00B05685"/>
    <w:rsid w:val="00B05964"/>
    <w:rsid w:val="00B05CEF"/>
    <w:rsid w:val="00B0671E"/>
    <w:rsid w:val="00B06E6B"/>
    <w:rsid w:val="00B06FCB"/>
    <w:rsid w:val="00B074F1"/>
    <w:rsid w:val="00B079DB"/>
    <w:rsid w:val="00B07B1C"/>
    <w:rsid w:val="00B07D0C"/>
    <w:rsid w:val="00B07E5C"/>
    <w:rsid w:val="00B10BCE"/>
    <w:rsid w:val="00B11D04"/>
    <w:rsid w:val="00B12AE8"/>
    <w:rsid w:val="00B12B25"/>
    <w:rsid w:val="00B13000"/>
    <w:rsid w:val="00B13C5D"/>
    <w:rsid w:val="00B143E1"/>
    <w:rsid w:val="00B145D5"/>
    <w:rsid w:val="00B15EA8"/>
    <w:rsid w:val="00B15FB0"/>
    <w:rsid w:val="00B160D3"/>
    <w:rsid w:val="00B1650F"/>
    <w:rsid w:val="00B172AD"/>
    <w:rsid w:val="00B17745"/>
    <w:rsid w:val="00B17CFF"/>
    <w:rsid w:val="00B2024C"/>
    <w:rsid w:val="00B2064F"/>
    <w:rsid w:val="00B20650"/>
    <w:rsid w:val="00B22EC4"/>
    <w:rsid w:val="00B22FB6"/>
    <w:rsid w:val="00B2311A"/>
    <w:rsid w:val="00B235D7"/>
    <w:rsid w:val="00B2396E"/>
    <w:rsid w:val="00B24947"/>
    <w:rsid w:val="00B24A38"/>
    <w:rsid w:val="00B24C67"/>
    <w:rsid w:val="00B250DA"/>
    <w:rsid w:val="00B251F9"/>
    <w:rsid w:val="00B25D1F"/>
    <w:rsid w:val="00B25D2A"/>
    <w:rsid w:val="00B265C2"/>
    <w:rsid w:val="00B27077"/>
    <w:rsid w:val="00B27171"/>
    <w:rsid w:val="00B27858"/>
    <w:rsid w:val="00B3039B"/>
    <w:rsid w:val="00B30688"/>
    <w:rsid w:val="00B30CF5"/>
    <w:rsid w:val="00B314F4"/>
    <w:rsid w:val="00B31AB4"/>
    <w:rsid w:val="00B32072"/>
    <w:rsid w:val="00B32113"/>
    <w:rsid w:val="00B32140"/>
    <w:rsid w:val="00B32BF6"/>
    <w:rsid w:val="00B32FAA"/>
    <w:rsid w:val="00B32FAF"/>
    <w:rsid w:val="00B3314C"/>
    <w:rsid w:val="00B33622"/>
    <w:rsid w:val="00B338B5"/>
    <w:rsid w:val="00B34293"/>
    <w:rsid w:val="00B34421"/>
    <w:rsid w:val="00B34432"/>
    <w:rsid w:val="00B35405"/>
    <w:rsid w:val="00B355CC"/>
    <w:rsid w:val="00B364EA"/>
    <w:rsid w:val="00B36B9A"/>
    <w:rsid w:val="00B36E08"/>
    <w:rsid w:val="00B36FF2"/>
    <w:rsid w:val="00B372DE"/>
    <w:rsid w:val="00B376D0"/>
    <w:rsid w:val="00B37779"/>
    <w:rsid w:val="00B37889"/>
    <w:rsid w:val="00B37DC9"/>
    <w:rsid w:val="00B37E69"/>
    <w:rsid w:val="00B41369"/>
    <w:rsid w:val="00B41A42"/>
    <w:rsid w:val="00B4282A"/>
    <w:rsid w:val="00B42CB6"/>
    <w:rsid w:val="00B448B0"/>
    <w:rsid w:val="00B45336"/>
    <w:rsid w:val="00B45854"/>
    <w:rsid w:val="00B459C6"/>
    <w:rsid w:val="00B45E8A"/>
    <w:rsid w:val="00B46310"/>
    <w:rsid w:val="00B466EA"/>
    <w:rsid w:val="00B46993"/>
    <w:rsid w:val="00B46E26"/>
    <w:rsid w:val="00B46E31"/>
    <w:rsid w:val="00B46E53"/>
    <w:rsid w:val="00B47376"/>
    <w:rsid w:val="00B4757A"/>
    <w:rsid w:val="00B5042F"/>
    <w:rsid w:val="00B5086B"/>
    <w:rsid w:val="00B50902"/>
    <w:rsid w:val="00B50929"/>
    <w:rsid w:val="00B50C09"/>
    <w:rsid w:val="00B50C86"/>
    <w:rsid w:val="00B51486"/>
    <w:rsid w:val="00B52272"/>
    <w:rsid w:val="00B522CA"/>
    <w:rsid w:val="00B52546"/>
    <w:rsid w:val="00B53B81"/>
    <w:rsid w:val="00B53DAC"/>
    <w:rsid w:val="00B542EF"/>
    <w:rsid w:val="00B5453C"/>
    <w:rsid w:val="00B546D4"/>
    <w:rsid w:val="00B549A1"/>
    <w:rsid w:val="00B54AA8"/>
    <w:rsid w:val="00B55DFA"/>
    <w:rsid w:val="00B55FDF"/>
    <w:rsid w:val="00B56903"/>
    <w:rsid w:val="00B569D0"/>
    <w:rsid w:val="00B56A1B"/>
    <w:rsid w:val="00B57280"/>
    <w:rsid w:val="00B57CA9"/>
    <w:rsid w:val="00B6027F"/>
    <w:rsid w:val="00B606EB"/>
    <w:rsid w:val="00B609DF"/>
    <w:rsid w:val="00B61D97"/>
    <w:rsid w:val="00B61FE5"/>
    <w:rsid w:val="00B62198"/>
    <w:rsid w:val="00B62388"/>
    <w:rsid w:val="00B62C51"/>
    <w:rsid w:val="00B63403"/>
    <w:rsid w:val="00B63545"/>
    <w:rsid w:val="00B642F7"/>
    <w:rsid w:val="00B64A8F"/>
    <w:rsid w:val="00B65BC1"/>
    <w:rsid w:val="00B65D24"/>
    <w:rsid w:val="00B66051"/>
    <w:rsid w:val="00B66076"/>
    <w:rsid w:val="00B6628E"/>
    <w:rsid w:val="00B6645C"/>
    <w:rsid w:val="00B66B43"/>
    <w:rsid w:val="00B676E1"/>
    <w:rsid w:val="00B7040B"/>
    <w:rsid w:val="00B70567"/>
    <w:rsid w:val="00B70AE3"/>
    <w:rsid w:val="00B70DD7"/>
    <w:rsid w:val="00B719D7"/>
    <w:rsid w:val="00B71E01"/>
    <w:rsid w:val="00B72673"/>
    <w:rsid w:val="00B7317D"/>
    <w:rsid w:val="00B736D4"/>
    <w:rsid w:val="00B7461A"/>
    <w:rsid w:val="00B74E16"/>
    <w:rsid w:val="00B74E45"/>
    <w:rsid w:val="00B751CA"/>
    <w:rsid w:val="00B75348"/>
    <w:rsid w:val="00B75933"/>
    <w:rsid w:val="00B76A89"/>
    <w:rsid w:val="00B80F75"/>
    <w:rsid w:val="00B81047"/>
    <w:rsid w:val="00B81054"/>
    <w:rsid w:val="00B811F7"/>
    <w:rsid w:val="00B815C8"/>
    <w:rsid w:val="00B8171A"/>
    <w:rsid w:val="00B81906"/>
    <w:rsid w:val="00B821CC"/>
    <w:rsid w:val="00B82432"/>
    <w:rsid w:val="00B82BCB"/>
    <w:rsid w:val="00B82FBB"/>
    <w:rsid w:val="00B83A0F"/>
    <w:rsid w:val="00B846B7"/>
    <w:rsid w:val="00B8505C"/>
    <w:rsid w:val="00B85158"/>
    <w:rsid w:val="00B851A6"/>
    <w:rsid w:val="00B854EF"/>
    <w:rsid w:val="00B8566D"/>
    <w:rsid w:val="00B8578F"/>
    <w:rsid w:val="00B85E73"/>
    <w:rsid w:val="00B86664"/>
    <w:rsid w:val="00B87070"/>
    <w:rsid w:val="00B878E0"/>
    <w:rsid w:val="00B901B4"/>
    <w:rsid w:val="00B906D8"/>
    <w:rsid w:val="00B9084C"/>
    <w:rsid w:val="00B91E1A"/>
    <w:rsid w:val="00B929A2"/>
    <w:rsid w:val="00B945A1"/>
    <w:rsid w:val="00B94D38"/>
    <w:rsid w:val="00B95813"/>
    <w:rsid w:val="00B96E86"/>
    <w:rsid w:val="00B97532"/>
    <w:rsid w:val="00B97B3E"/>
    <w:rsid w:val="00B97BA1"/>
    <w:rsid w:val="00BA17B9"/>
    <w:rsid w:val="00BA2692"/>
    <w:rsid w:val="00BA34CB"/>
    <w:rsid w:val="00BA3508"/>
    <w:rsid w:val="00BA37F5"/>
    <w:rsid w:val="00BA3B05"/>
    <w:rsid w:val="00BA3D17"/>
    <w:rsid w:val="00BA4D26"/>
    <w:rsid w:val="00BA4DA5"/>
    <w:rsid w:val="00BA4EAC"/>
    <w:rsid w:val="00BA4FC8"/>
    <w:rsid w:val="00BA5965"/>
    <w:rsid w:val="00BA5A84"/>
    <w:rsid w:val="00BA5DC6"/>
    <w:rsid w:val="00BA5FEA"/>
    <w:rsid w:val="00BA6196"/>
    <w:rsid w:val="00BA6CC5"/>
    <w:rsid w:val="00BA77B5"/>
    <w:rsid w:val="00BB0245"/>
    <w:rsid w:val="00BB0B52"/>
    <w:rsid w:val="00BB0D7E"/>
    <w:rsid w:val="00BB0DFB"/>
    <w:rsid w:val="00BB0EFD"/>
    <w:rsid w:val="00BB0F45"/>
    <w:rsid w:val="00BB0F66"/>
    <w:rsid w:val="00BB101D"/>
    <w:rsid w:val="00BB12A4"/>
    <w:rsid w:val="00BB13DF"/>
    <w:rsid w:val="00BB15A1"/>
    <w:rsid w:val="00BB1616"/>
    <w:rsid w:val="00BB176E"/>
    <w:rsid w:val="00BB1A48"/>
    <w:rsid w:val="00BB2BA5"/>
    <w:rsid w:val="00BB2FCE"/>
    <w:rsid w:val="00BB36F3"/>
    <w:rsid w:val="00BB42E8"/>
    <w:rsid w:val="00BB450C"/>
    <w:rsid w:val="00BB495F"/>
    <w:rsid w:val="00BB4D61"/>
    <w:rsid w:val="00BB4F94"/>
    <w:rsid w:val="00BB5C37"/>
    <w:rsid w:val="00BB5C53"/>
    <w:rsid w:val="00BB5E83"/>
    <w:rsid w:val="00BB5FA4"/>
    <w:rsid w:val="00BB60B5"/>
    <w:rsid w:val="00BB74AC"/>
    <w:rsid w:val="00BB76DE"/>
    <w:rsid w:val="00BB7E19"/>
    <w:rsid w:val="00BC038D"/>
    <w:rsid w:val="00BC13DC"/>
    <w:rsid w:val="00BC15CC"/>
    <w:rsid w:val="00BC1B1B"/>
    <w:rsid w:val="00BC2FBD"/>
    <w:rsid w:val="00BC3696"/>
    <w:rsid w:val="00BC37EF"/>
    <w:rsid w:val="00BC41B1"/>
    <w:rsid w:val="00BC44AB"/>
    <w:rsid w:val="00BC47F2"/>
    <w:rsid w:val="00BC4A24"/>
    <w:rsid w:val="00BC50DE"/>
    <w:rsid w:val="00BC5473"/>
    <w:rsid w:val="00BC60DE"/>
    <w:rsid w:val="00BC63D5"/>
    <w:rsid w:val="00BC6501"/>
    <w:rsid w:val="00BC6D8C"/>
    <w:rsid w:val="00BC6DD2"/>
    <w:rsid w:val="00BC7425"/>
    <w:rsid w:val="00BC7E9B"/>
    <w:rsid w:val="00BD0520"/>
    <w:rsid w:val="00BD08B0"/>
    <w:rsid w:val="00BD0BB9"/>
    <w:rsid w:val="00BD0D88"/>
    <w:rsid w:val="00BD1197"/>
    <w:rsid w:val="00BD15F1"/>
    <w:rsid w:val="00BD178D"/>
    <w:rsid w:val="00BD192E"/>
    <w:rsid w:val="00BD2114"/>
    <w:rsid w:val="00BD2310"/>
    <w:rsid w:val="00BD2D6A"/>
    <w:rsid w:val="00BD3FCA"/>
    <w:rsid w:val="00BD40FE"/>
    <w:rsid w:val="00BD4897"/>
    <w:rsid w:val="00BD5291"/>
    <w:rsid w:val="00BD553E"/>
    <w:rsid w:val="00BD55E0"/>
    <w:rsid w:val="00BD576C"/>
    <w:rsid w:val="00BD6C2C"/>
    <w:rsid w:val="00BD7778"/>
    <w:rsid w:val="00BE10E9"/>
    <w:rsid w:val="00BE1199"/>
    <w:rsid w:val="00BE1307"/>
    <w:rsid w:val="00BE1603"/>
    <w:rsid w:val="00BE1782"/>
    <w:rsid w:val="00BE19D0"/>
    <w:rsid w:val="00BE203C"/>
    <w:rsid w:val="00BE305E"/>
    <w:rsid w:val="00BE34CB"/>
    <w:rsid w:val="00BE432A"/>
    <w:rsid w:val="00BE4804"/>
    <w:rsid w:val="00BE4812"/>
    <w:rsid w:val="00BE4879"/>
    <w:rsid w:val="00BE4C96"/>
    <w:rsid w:val="00BE4CAD"/>
    <w:rsid w:val="00BE50D1"/>
    <w:rsid w:val="00BE50F5"/>
    <w:rsid w:val="00BE54F6"/>
    <w:rsid w:val="00BE55B5"/>
    <w:rsid w:val="00BE5695"/>
    <w:rsid w:val="00BE5F16"/>
    <w:rsid w:val="00BE68D6"/>
    <w:rsid w:val="00BE751A"/>
    <w:rsid w:val="00BE7CD1"/>
    <w:rsid w:val="00BF004A"/>
    <w:rsid w:val="00BF0BD3"/>
    <w:rsid w:val="00BF13AD"/>
    <w:rsid w:val="00BF13C8"/>
    <w:rsid w:val="00BF1583"/>
    <w:rsid w:val="00BF1A11"/>
    <w:rsid w:val="00BF1A6A"/>
    <w:rsid w:val="00BF1B58"/>
    <w:rsid w:val="00BF2E59"/>
    <w:rsid w:val="00BF35BA"/>
    <w:rsid w:val="00BF3D2E"/>
    <w:rsid w:val="00BF4116"/>
    <w:rsid w:val="00BF42FF"/>
    <w:rsid w:val="00BF43D7"/>
    <w:rsid w:val="00BF451C"/>
    <w:rsid w:val="00BF473A"/>
    <w:rsid w:val="00BF497C"/>
    <w:rsid w:val="00BF6081"/>
    <w:rsid w:val="00BF60DA"/>
    <w:rsid w:val="00BF709A"/>
    <w:rsid w:val="00BF7F19"/>
    <w:rsid w:val="00BF7F34"/>
    <w:rsid w:val="00C00809"/>
    <w:rsid w:val="00C00845"/>
    <w:rsid w:val="00C00B9B"/>
    <w:rsid w:val="00C00F74"/>
    <w:rsid w:val="00C0148C"/>
    <w:rsid w:val="00C01CE5"/>
    <w:rsid w:val="00C02778"/>
    <w:rsid w:val="00C036AF"/>
    <w:rsid w:val="00C03894"/>
    <w:rsid w:val="00C04B4E"/>
    <w:rsid w:val="00C0513C"/>
    <w:rsid w:val="00C052C2"/>
    <w:rsid w:val="00C0572F"/>
    <w:rsid w:val="00C0580E"/>
    <w:rsid w:val="00C05A2C"/>
    <w:rsid w:val="00C05A43"/>
    <w:rsid w:val="00C05E13"/>
    <w:rsid w:val="00C05F4F"/>
    <w:rsid w:val="00C061C4"/>
    <w:rsid w:val="00C06A6E"/>
    <w:rsid w:val="00C06EF1"/>
    <w:rsid w:val="00C07163"/>
    <w:rsid w:val="00C073E1"/>
    <w:rsid w:val="00C07A5D"/>
    <w:rsid w:val="00C07C95"/>
    <w:rsid w:val="00C1040B"/>
    <w:rsid w:val="00C10876"/>
    <w:rsid w:val="00C10A4A"/>
    <w:rsid w:val="00C1187C"/>
    <w:rsid w:val="00C11D79"/>
    <w:rsid w:val="00C121C1"/>
    <w:rsid w:val="00C13358"/>
    <w:rsid w:val="00C136DB"/>
    <w:rsid w:val="00C1383E"/>
    <w:rsid w:val="00C14104"/>
    <w:rsid w:val="00C14CF4"/>
    <w:rsid w:val="00C157BE"/>
    <w:rsid w:val="00C158EB"/>
    <w:rsid w:val="00C15926"/>
    <w:rsid w:val="00C16544"/>
    <w:rsid w:val="00C1686B"/>
    <w:rsid w:val="00C168FB"/>
    <w:rsid w:val="00C16985"/>
    <w:rsid w:val="00C16A2F"/>
    <w:rsid w:val="00C16CCA"/>
    <w:rsid w:val="00C17DC1"/>
    <w:rsid w:val="00C17F28"/>
    <w:rsid w:val="00C17F3B"/>
    <w:rsid w:val="00C20471"/>
    <w:rsid w:val="00C204BE"/>
    <w:rsid w:val="00C205C5"/>
    <w:rsid w:val="00C2084F"/>
    <w:rsid w:val="00C21E48"/>
    <w:rsid w:val="00C21FE2"/>
    <w:rsid w:val="00C2265B"/>
    <w:rsid w:val="00C22C1F"/>
    <w:rsid w:val="00C23D1F"/>
    <w:rsid w:val="00C23E3E"/>
    <w:rsid w:val="00C257A2"/>
    <w:rsid w:val="00C25DDB"/>
    <w:rsid w:val="00C264AE"/>
    <w:rsid w:val="00C26A86"/>
    <w:rsid w:val="00C26C6A"/>
    <w:rsid w:val="00C26D26"/>
    <w:rsid w:val="00C270F6"/>
    <w:rsid w:val="00C32EBF"/>
    <w:rsid w:val="00C333A1"/>
    <w:rsid w:val="00C333CC"/>
    <w:rsid w:val="00C335AD"/>
    <w:rsid w:val="00C33C00"/>
    <w:rsid w:val="00C34006"/>
    <w:rsid w:val="00C34282"/>
    <w:rsid w:val="00C342C4"/>
    <w:rsid w:val="00C34468"/>
    <w:rsid w:val="00C34568"/>
    <w:rsid w:val="00C347D6"/>
    <w:rsid w:val="00C34ED2"/>
    <w:rsid w:val="00C35828"/>
    <w:rsid w:val="00C358F2"/>
    <w:rsid w:val="00C3592E"/>
    <w:rsid w:val="00C35940"/>
    <w:rsid w:val="00C362A2"/>
    <w:rsid w:val="00C36B4C"/>
    <w:rsid w:val="00C36EBB"/>
    <w:rsid w:val="00C374E4"/>
    <w:rsid w:val="00C40B93"/>
    <w:rsid w:val="00C40EE8"/>
    <w:rsid w:val="00C41124"/>
    <w:rsid w:val="00C41244"/>
    <w:rsid w:val="00C4126F"/>
    <w:rsid w:val="00C41530"/>
    <w:rsid w:val="00C4153D"/>
    <w:rsid w:val="00C419CD"/>
    <w:rsid w:val="00C41A9E"/>
    <w:rsid w:val="00C4203C"/>
    <w:rsid w:val="00C426B1"/>
    <w:rsid w:val="00C429A6"/>
    <w:rsid w:val="00C42D35"/>
    <w:rsid w:val="00C43299"/>
    <w:rsid w:val="00C43440"/>
    <w:rsid w:val="00C438F8"/>
    <w:rsid w:val="00C447FF"/>
    <w:rsid w:val="00C44A3E"/>
    <w:rsid w:val="00C44CA0"/>
    <w:rsid w:val="00C4501C"/>
    <w:rsid w:val="00C46A11"/>
    <w:rsid w:val="00C46A5E"/>
    <w:rsid w:val="00C46A95"/>
    <w:rsid w:val="00C46C40"/>
    <w:rsid w:val="00C4705D"/>
    <w:rsid w:val="00C47D44"/>
    <w:rsid w:val="00C47FBB"/>
    <w:rsid w:val="00C506EC"/>
    <w:rsid w:val="00C50891"/>
    <w:rsid w:val="00C510A8"/>
    <w:rsid w:val="00C518C1"/>
    <w:rsid w:val="00C51EDC"/>
    <w:rsid w:val="00C523BA"/>
    <w:rsid w:val="00C532B7"/>
    <w:rsid w:val="00C53BE6"/>
    <w:rsid w:val="00C53E54"/>
    <w:rsid w:val="00C53E7D"/>
    <w:rsid w:val="00C5418A"/>
    <w:rsid w:val="00C54946"/>
    <w:rsid w:val="00C5494D"/>
    <w:rsid w:val="00C54BE6"/>
    <w:rsid w:val="00C54CBE"/>
    <w:rsid w:val="00C555D4"/>
    <w:rsid w:val="00C55C35"/>
    <w:rsid w:val="00C573F8"/>
    <w:rsid w:val="00C6007C"/>
    <w:rsid w:val="00C60301"/>
    <w:rsid w:val="00C608B3"/>
    <w:rsid w:val="00C60B1C"/>
    <w:rsid w:val="00C60C9A"/>
    <w:rsid w:val="00C6129C"/>
    <w:rsid w:val="00C6213F"/>
    <w:rsid w:val="00C624DE"/>
    <w:rsid w:val="00C62DFB"/>
    <w:rsid w:val="00C62E27"/>
    <w:rsid w:val="00C63082"/>
    <w:rsid w:val="00C63616"/>
    <w:rsid w:val="00C63AAD"/>
    <w:rsid w:val="00C64594"/>
    <w:rsid w:val="00C654D0"/>
    <w:rsid w:val="00C65D5B"/>
    <w:rsid w:val="00C66160"/>
    <w:rsid w:val="00C66200"/>
    <w:rsid w:val="00C667B2"/>
    <w:rsid w:val="00C66DC8"/>
    <w:rsid w:val="00C66DE3"/>
    <w:rsid w:val="00C66FDE"/>
    <w:rsid w:val="00C6738B"/>
    <w:rsid w:val="00C67D28"/>
    <w:rsid w:val="00C67DC4"/>
    <w:rsid w:val="00C706AE"/>
    <w:rsid w:val="00C7091E"/>
    <w:rsid w:val="00C711DC"/>
    <w:rsid w:val="00C714A1"/>
    <w:rsid w:val="00C721AC"/>
    <w:rsid w:val="00C7240C"/>
    <w:rsid w:val="00C725B3"/>
    <w:rsid w:val="00C7384D"/>
    <w:rsid w:val="00C74098"/>
    <w:rsid w:val="00C74DE6"/>
    <w:rsid w:val="00C7607F"/>
    <w:rsid w:val="00C76344"/>
    <w:rsid w:val="00C76CD3"/>
    <w:rsid w:val="00C76E95"/>
    <w:rsid w:val="00C7719A"/>
    <w:rsid w:val="00C77EA6"/>
    <w:rsid w:val="00C77F16"/>
    <w:rsid w:val="00C80878"/>
    <w:rsid w:val="00C80CB0"/>
    <w:rsid w:val="00C81186"/>
    <w:rsid w:val="00C8150E"/>
    <w:rsid w:val="00C81BB5"/>
    <w:rsid w:val="00C81FFC"/>
    <w:rsid w:val="00C822D7"/>
    <w:rsid w:val="00C8245C"/>
    <w:rsid w:val="00C82741"/>
    <w:rsid w:val="00C82CD9"/>
    <w:rsid w:val="00C82FB0"/>
    <w:rsid w:val="00C83490"/>
    <w:rsid w:val="00C83853"/>
    <w:rsid w:val="00C838E8"/>
    <w:rsid w:val="00C84E45"/>
    <w:rsid w:val="00C859E1"/>
    <w:rsid w:val="00C86716"/>
    <w:rsid w:val="00C8679B"/>
    <w:rsid w:val="00C87D58"/>
    <w:rsid w:val="00C90355"/>
    <w:rsid w:val="00C909D3"/>
    <w:rsid w:val="00C909DC"/>
    <w:rsid w:val="00C90D6A"/>
    <w:rsid w:val="00C90EE4"/>
    <w:rsid w:val="00C91D5C"/>
    <w:rsid w:val="00C92B17"/>
    <w:rsid w:val="00C931EC"/>
    <w:rsid w:val="00C939A3"/>
    <w:rsid w:val="00C93FFA"/>
    <w:rsid w:val="00C94755"/>
    <w:rsid w:val="00C94D15"/>
    <w:rsid w:val="00C95377"/>
    <w:rsid w:val="00C957CA"/>
    <w:rsid w:val="00C95808"/>
    <w:rsid w:val="00C95939"/>
    <w:rsid w:val="00C959B8"/>
    <w:rsid w:val="00C9672F"/>
    <w:rsid w:val="00C975F7"/>
    <w:rsid w:val="00C9773E"/>
    <w:rsid w:val="00C9788D"/>
    <w:rsid w:val="00C97BBD"/>
    <w:rsid w:val="00CA0547"/>
    <w:rsid w:val="00CA0750"/>
    <w:rsid w:val="00CA0873"/>
    <w:rsid w:val="00CA0F11"/>
    <w:rsid w:val="00CA13A2"/>
    <w:rsid w:val="00CA236F"/>
    <w:rsid w:val="00CA247E"/>
    <w:rsid w:val="00CA35F7"/>
    <w:rsid w:val="00CA3933"/>
    <w:rsid w:val="00CA44AB"/>
    <w:rsid w:val="00CA4870"/>
    <w:rsid w:val="00CA4E2F"/>
    <w:rsid w:val="00CA5B77"/>
    <w:rsid w:val="00CA5C07"/>
    <w:rsid w:val="00CA6B90"/>
    <w:rsid w:val="00CA6D21"/>
    <w:rsid w:val="00CA734C"/>
    <w:rsid w:val="00CA744B"/>
    <w:rsid w:val="00CA7E13"/>
    <w:rsid w:val="00CB098E"/>
    <w:rsid w:val="00CB09E8"/>
    <w:rsid w:val="00CB0A9E"/>
    <w:rsid w:val="00CB1CAB"/>
    <w:rsid w:val="00CB1F2E"/>
    <w:rsid w:val="00CB2739"/>
    <w:rsid w:val="00CB2FAA"/>
    <w:rsid w:val="00CB3065"/>
    <w:rsid w:val="00CB3114"/>
    <w:rsid w:val="00CB330B"/>
    <w:rsid w:val="00CB34EF"/>
    <w:rsid w:val="00CB3A05"/>
    <w:rsid w:val="00CB3A22"/>
    <w:rsid w:val="00CB3A67"/>
    <w:rsid w:val="00CB43DF"/>
    <w:rsid w:val="00CB493D"/>
    <w:rsid w:val="00CB4AE6"/>
    <w:rsid w:val="00CB5123"/>
    <w:rsid w:val="00CB5A7A"/>
    <w:rsid w:val="00CB5DE7"/>
    <w:rsid w:val="00CB65CF"/>
    <w:rsid w:val="00CB6EEC"/>
    <w:rsid w:val="00CB7086"/>
    <w:rsid w:val="00CB71F9"/>
    <w:rsid w:val="00CB73B1"/>
    <w:rsid w:val="00CB7E87"/>
    <w:rsid w:val="00CC03A6"/>
    <w:rsid w:val="00CC0B05"/>
    <w:rsid w:val="00CC0E51"/>
    <w:rsid w:val="00CC1235"/>
    <w:rsid w:val="00CC1253"/>
    <w:rsid w:val="00CC1414"/>
    <w:rsid w:val="00CC1639"/>
    <w:rsid w:val="00CC273B"/>
    <w:rsid w:val="00CC27FD"/>
    <w:rsid w:val="00CC2B15"/>
    <w:rsid w:val="00CC2CBF"/>
    <w:rsid w:val="00CC3FC0"/>
    <w:rsid w:val="00CC419F"/>
    <w:rsid w:val="00CC474F"/>
    <w:rsid w:val="00CC5B4C"/>
    <w:rsid w:val="00CC6397"/>
    <w:rsid w:val="00CC65F1"/>
    <w:rsid w:val="00CC7002"/>
    <w:rsid w:val="00CC726C"/>
    <w:rsid w:val="00CC72B6"/>
    <w:rsid w:val="00CC7463"/>
    <w:rsid w:val="00CC7EDD"/>
    <w:rsid w:val="00CD0055"/>
    <w:rsid w:val="00CD0BEC"/>
    <w:rsid w:val="00CD13C9"/>
    <w:rsid w:val="00CD13CC"/>
    <w:rsid w:val="00CD227C"/>
    <w:rsid w:val="00CD2BAF"/>
    <w:rsid w:val="00CD2C78"/>
    <w:rsid w:val="00CD2E85"/>
    <w:rsid w:val="00CD2FE2"/>
    <w:rsid w:val="00CD33C2"/>
    <w:rsid w:val="00CD3478"/>
    <w:rsid w:val="00CD353D"/>
    <w:rsid w:val="00CD377A"/>
    <w:rsid w:val="00CD39EE"/>
    <w:rsid w:val="00CD4274"/>
    <w:rsid w:val="00CD4822"/>
    <w:rsid w:val="00CD48DA"/>
    <w:rsid w:val="00CD4E91"/>
    <w:rsid w:val="00CD4ED7"/>
    <w:rsid w:val="00CD5417"/>
    <w:rsid w:val="00CD65F1"/>
    <w:rsid w:val="00CD6827"/>
    <w:rsid w:val="00CD69AF"/>
    <w:rsid w:val="00CD6C14"/>
    <w:rsid w:val="00CD7243"/>
    <w:rsid w:val="00CD7447"/>
    <w:rsid w:val="00CD7AAA"/>
    <w:rsid w:val="00CD7CEC"/>
    <w:rsid w:val="00CD7EFF"/>
    <w:rsid w:val="00CDA294"/>
    <w:rsid w:val="00CE09EB"/>
    <w:rsid w:val="00CE0FCB"/>
    <w:rsid w:val="00CE164D"/>
    <w:rsid w:val="00CE1916"/>
    <w:rsid w:val="00CE1D5A"/>
    <w:rsid w:val="00CE1F83"/>
    <w:rsid w:val="00CE205F"/>
    <w:rsid w:val="00CE26B2"/>
    <w:rsid w:val="00CE28EC"/>
    <w:rsid w:val="00CE2FAD"/>
    <w:rsid w:val="00CE31A0"/>
    <w:rsid w:val="00CE37A9"/>
    <w:rsid w:val="00CE37F6"/>
    <w:rsid w:val="00CE4099"/>
    <w:rsid w:val="00CE438E"/>
    <w:rsid w:val="00CE4413"/>
    <w:rsid w:val="00CE4781"/>
    <w:rsid w:val="00CE4961"/>
    <w:rsid w:val="00CE5037"/>
    <w:rsid w:val="00CE513A"/>
    <w:rsid w:val="00CE525A"/>
    <w:rsid w:val="00CE52F6"/>
    <w:rsid w:val="00CE549C"/>
    <w:rsid w:val="00CE562E"/>
    <w:rsid w:val="00CE5995"/>
    <w:rsid w:val="00CE646C"/>
    <w:rsid w:val="00CE68F9"/>
    <w:rsid w:val="00CE6E4F"/>
    <w:rsid w:val="00CE7463"/>
    <w:rsid w:val="00CE7483"/>
    <w:rsid w:val="00CE77E2"/>
    <w:rsid w:val="00CE7B37"/>
    <w:rsid w:val="00CE7BD5"/>
    <w:rsid w:val="00CF0119"/>
    <w:rsid w:val="00CF042C"/>
    <w:rsid w:val="00CF0BFE"/>
    <w:rsid w:val="00CF12D5"/>
    <w:rsid w:val="00CF1302"/>
    <w:rsid w:val="00CF20DE"/>
    <w:rsid w:val="00CF2415"/>
    <w:rsid w:val="00CF3976"/>
    <w:rsid w:val="00CF4DFD"/>
    <w:rsid w:val="00CF5004"/>
    <w:rsid w:val="00CF54DC"/>
    <w:rsid w:val="00CF5596"/>
    <w:rsid w:val="00CF577E"/>
    <w:rsid w:val="00CF5C48"/>
    <w:rsid w:val="00CF5F57"/>
    <w:rsid w:val="00CF60F5"/>
    <w:rsid w:val="00CF6539"/>
    <w:rsid w:val="00CF658E"/>
    <w:rsid w:val="00CF674E"/>
    <w:rsid w:val="00CF6BF1"/>
    <w:rsid w:val="00CF6DC1"/>
    <w:rsid w:val="00CF749D"/>
    <w:rsid w:val="00CF7A98"/>
    <w:rsid w:val="00D0030F"/>
    <w:rsid w:val="00D0049E"/>
    <w:rsid w:val="00D007CE"/>
    <w:rsid w:val="00D009B3"/>
    <w:rsid w:val="00D00A3F"/>
    <w:rsid w:val="00D00AA2"/>
    <w:rsid w:val="00D00D96"/>
    <w:rsid w:val="00D00F9C"/>
    <w:rsid w:val="00D01657"/>
    <w:rsid w:val="00D018C4"/>
    <w:rsid w:val="00D01926"/>
    <w:rsid w:val="00D0218D"/>
    <w:rsid w:val="00D02F43"/>
    <w:rsid w:val="00D03221"/>
    <w:rsid w:val="00D035E7"/>
    <w:rsid w:val="00D0428E"/>
    <w:rsid w:val="00D04313"/>
    <w:rsid w:val="00D04802"/>
    <w:rsid w:val="00D055EB"/>
    <w:rsid w:val="00D0625E"/>
    <w:rsid w:val="00D0627B"/>
    <w:rsid w:val="00D06423"/>
    <w:rsid w:val="00D06486"/>
    <w:rsid w:val="00D069A3"/>
    <w:rsid w:val="00D07070"/>
    <w:rsid w:val="00D07344"/>
    <w:rsid w:val="00D074E3"/>
    <w:rsid w:val="00D0799D"/>
    <w:rsid w:val="00D07D42"/>
    <w:rsid w:val="00D07E4F"/>
    <w:rsid w:val="00D1050A"/>
    <w:rsid w:val="00D1133F"/>
    <w:rsid w:val="00D1158B"/>
    <w:rsid w:val="00D11AD3"/>
    <w:rsid w:val="00D11F54"/>
    <w:rsid w:val="00D12124"/>
    <w:rsid w:val="00D12337"/>
    <w:rsid w:val="00D125F9"/>
    <w:rsid w:val="00D12923"/>
    <w:rsid w:val="00D13537"/>
    <w:rsid w:val="00D136C0"/>
    <w:rsid w:val="00D13828"/>
    <w:rsid w:val="00D1422D"/>
    <w:rsid w:val="00D1524A"/>
    <w:rsid w:val="00D1569C"/>
    <w:rsid w:val="00D15965"/>
    <w:rsid w:val="00D16A62"/>
    <w:rsid w:val="00D1705F"/>
    <w:rsid w:val="00D17B49"/>
    <w:rsid w:val="00D17C77"/>
    <w:rsid w:val="00D17DFC"/>
    <w:rsid w:val="00D17FCB"/>
    <w:rsid w:val="00D20338"/>
    <w:rsid w:val="00D207D4"/>
    <w:rsid w:val="00D2082B"/>
    <w:rsid w:val="00D20A65"/>
    <w:rsid w:val="00D21749"/>
    <w:rsid w:val="00D22549"/>
    <w:rsid w:val="00D22BB1"/>
    <w:rsid w:val="00D242E2"/>
    <w:rsid w:val="00D24695"/>
    <w:rsid w:val="00D2587E"/>
    <w:rsid w:val="00D25882"/>
    <w:rsid w:val="00D25B79"/>
    <w:rsid w:val="00D25D8B"/>
    <w:rsid w:val="00D25FB5"/>
    <w:rsid w:val="00D26034"/>
    <w:rsid w:val="00D26431"/>
    <w:rsid w:val="00D267BA"/>
    <w:rsid w:val="00D27ACA"/>
    <w:rsid w:val="00D27B21"/>
    <w:rsid w:val="00D27D58"/>
    <w:rsid w:val="00D27DB2"/>
    <w:rsid w:val="00D301CE"/>
    <w:rsid w:val="00D3020B"/>
    <w:rsid w:val="00D30372"/>
    <w:rsid w:val="00D30AE2"/>
    <w:rsid w:val="00D30F26"/>
    <w:rsid w:val="00D31071"/>
    <w:rsid w:val="00D31085"/>
    <w:rsid w:val="00D31726"/>
    <w:rsid w:val="00D3196D"/>
    <w:rsid w:val="00D31C88"/>
    <w:rsid w:val="00D3269F"/>
    <w:rsid w:val="00D326F0"/>
    <w:rsid w:val="00D32832"/>
    <w:rsid w:val="00D32AD4"/>
    <w:rsid w:val="00D32B29"/>
    <w:rsid w:val="00D32CC8"/>
    <w:rsid w:val="00D32E8D"/>
    <w:rsid w:val="00D33602"/>
    <w:rsid w:val="00D33CF5"/>
    <w:rsid w:val="00D34420"/>
    <w:rsid w:val="00D3488A"/>
    <w:rsid w:val="00D357E0"/>
    <w:rsid w:val="00D35BA7"/>
    <w:rsid w:val="00D35CC1"/>
    <w:rsid w:val="00D36341"/>
    <w:rsid w:val="00D377C5"/>
    <w:rsid w:val="00D37A83"/>
    <w:rsid w:val="00D37D8A"/>
    <w:rsid w:val="00D37F04"/>
    <w:rsid w:val="00D4054A"/>
    <w:rsid w:val="00D40AF6"/>
    <w:rsid w:val="00D41B42"/>
    <w:rsid w:val="00D420BD"/>
    <w:rsid w:val="00D4214C"/>
    <w:rsid w:val="00D42343"/>
    <w:rsid w:val="00D4238B"/>
    <w:rsid w:val="00D4291D"/>
    <w:rsid w:val="00D42AB6"/>
    <w:rsid w:val="00D430F2"/>
    <w:rsid w:val="00D44223"/>
    <w:rsid w:val="00D44492"/>
    <w:rsid w:val="00D45643"/>
    <w:rsid w:val="00D45C29"/>
    <w:rsid w:val="00D46EA2"/>
    <w:rsid w:val="00D46FDB"/>
    <w:rsid w:val="00D47B3A"/>
    <w:rsid w:val="00D47DD1"/>
    <w:rsid w:val="00D47E47"/>
    <w:rsid w:val="00D50090"/>
    <w:rsid w:val="00D5024B"/>
    <w:rsid w:val="00D50378"/>
    <w:rsid w:val="00D505DC"/>
    <w:rsid w:val="00D5070D"/>
    <w:rsid w:val="00D509B6"/>
    <w:rsid w:val="00D50ACF"/>
    <w:rsid w:val="00D50DEA"/>
    <w:rsid w:val="00D51555"/>
    <w:rsid w:val="00D51B48"/>
    <w:rsid w:val="00D51BD2"/>
    <w:rsid w:val="00D51DCE"/>
    <w:rsid w:val="00D5205C"/>
    <w:rsid w:val="00D52918"/>
    <w:rsid w:val="00D52A92"/>
    <w:rsid w:val="00D52FD8"/>
    <w:rsid w:val="00D53193"/>
    <w:rsid w:val="00D5337E"/>
    <w:rsid w:val="00D539AC"/>
    <w:rsid w:val="00D53BFD"/>
    <w:rsid w:val="00D53DC9"/>
    <w:rsid w:val="00D543C9"/>
    <w:rsid w:val="00D5449A"/>
    <w:rsid w:val="00D54FDF"/>
    <w:rsid w:val="00D551E3"/>
    <w:rsid w:val="00D553B8"/>
    <w:rsid w:val="00D553E9"/>
    <w:rsid w:val="00D5599B"/>
    <w:rsid w:val="00D55DDC"/>
    <w:rsid w:val="00D56751"/>
    <w:rsid w:val="00D56794"/>
    <w:rsid w:val="00D571AA"/>
    <w:rsid w:val="00D57798"/>
    <w:rsid w:val="00D57B16"/>
    <w:rsid w:val="00D6001A"/>
    <w:rsid w:val="00D607F1"/>
    <w:rsid w:val="00D61E02"/>
    <w:rsid w:val="00D64D08"/>
    <w:rsid w:val="00D654E9"/>
    <w:rsid w:val="00D660FF"/>
    <w:rsid w:val="00D671BA"/>
    <w:rsid w:val="00D67C97"/>
    <w:rsid w:val="00D67FA4"/>
    <w:rsid w:val="00D7069F"/>
    <w:rsid w:val="00D70AB2"/>
    <w:rsid w:val="00D70B77"/>
    <w:rsid w:val="00D716F6"/>
    <w:rsid w:val="00D73476"/>
    <w:rsid w:val="00D7353C"/>
    <w:rsid w:val="00D73AEF"/>
    <w:rsid w:val="00D73C7C"/>
    <w:rsid w:val="00D73FB0"/>
    <w:rsid w:val="00D740DE"/>
    <w:rsid w:val="00D74298"/>
    <w:rsid w:val="00D7456B"/>
    <w:rsid w:val="00D74965"/>
    <w:rsid w:val="00D75131"/>
    <w:rsid w:val="00D75316"/>
    <w:rsid w:val="00D7576A"/>
    <w:rsid w:val="00D765A7"/>
    <w:rsid w:val="00D76EB1"/>
    <w:rsid w:val="00D7713B"/>
    <w:rsid w:val="00D771CB"/>
    <w:rsid w:val="00D7790D"/>
    <w:rsid w:val="00D804BE"/>
    <w:rsid w:val="00D80900"/>
    <w:rsid w:val="00D80DEE"/>
    <w:rsid w:val="00D81153"/>
    <w:rsid w:val="00D81369"/>
    <w:rsid w:val="00D8169C"/>
    <w:rsid w:val="00D817E0"/>
    <w:rsid w:val="00D82083"/>
    <w:rsid w:val="00D82635"/>
    <w:rsid w:val="00D82740"/>
    <w:rsid w:val="00D82765"/>
    <w:rsid w:val="00D849AE"/>
    <w:rsid w:val="00D84D2A"/>
    <w:rsid w:val="00D84F38"/>
    <w:rsid w:val="00D852D5"/>
    <w:rsid w:val="00D85986"/>
    <w:rsid w:val="00D865E7"/>
    <w:rsid w:val="00D86668"/>
    <w:rsid w:val="00D866AC"/>
    <w:rsid w:val="00D86C00"/>
    <w:rsid w:val="00D87951"/>
    <w:rsid w:val="00D87978"/>
    <w:rsid w:val="00D87D46"/>
    <w:rsid w:val="00D87E4C"/>
    <w:rsid w:val="00D900C0"/>
    <w:rsid w:val="00D90422"/>
    <w:rsid w:val="00D905D3"/>
    <w:rsid w:val="00D90752"/>
    <w:rsid w:val="00D90D21"/>
    <w:rsid w:val="00D91265"/>
    <w:rsid w:val="00D92A21"/>
    <w:rsid w:val="00D93197"/>
    <w:rsid w:val="00D93301"/>
    <w:rsid w:val="00D93D1A"/>
    <w:rsid w:val="00D944FD"/>
    <w:rsid w:val="00D952F6"/>
    <w:rsid w:val="00D961D9"/>
    <w:rsid w:val="00D9665F"/>
    <w:rsid w:val="00D966A1"/>
    <w:rsid w:val="00D969C6"/>
    <w:rsid w:val="00D96A82"/>
    <w:rsid w:val="00D97371"/>
    <w:rsid w:val="00D9771F"/>
    <w:rsid w:val="00DA0048"/>
    <w:rsid w:val="00DA00D4"/>
    <w:rsid w:val="00DA03AD"/>
    <w:rsid w:val="00DA07FD"/>
    <w:rsid w:val="00DA084E"/>
    <w:rsid w:val="00DA106B"/>
    <w:rsid w:val="00DA10BC"/>
    <w:rsid w:val="00DA1B1B"/>
    <w:rsid w:val="00DA2088"/>
    <w:rsid w:val="00DA2529"/>
    <w:rsid w:val="00DA2644"/>
    <w:rsid w:val="00DA3604"/>
    <w:rsid w:val="00DA36DF"/>
    <w:rsid w:val="00DA3ECC"/>
    <w:rsid w:val="00DA54F6"/>
    <w:rsid w:val="00DA57A7"/>
    <w:rsid w:val="00DA5C87"/>
    <w:rsid w:val="00DA6625"/>
    <w:rsid w:val="00DA6ADD"/>
    <w:rsid w:val="00DA6F73"/>
    <w:rsid w:val="00DA7AE2"/>
    <w:rsid w:val="00DB0FE4"/>
    <w:rsid w:val="00DB10F7"/>
    <w:rsid w:val="00DB130A"/>
    <w:rsid w:val="00DB1A7F"/>
    <w:rsid w:val="00DB22F2"/>
    <w:rsid w:val="00DB26F7"/>
    <w:rsid w:val="00DB29F7"/>
    <w:rsid w:val="00DB2EBB"/>
    <w:rsid w:val="00DB33F8"/>
    <w:rsid w:val="00DB44F4"/>
    <w:rsid w:val="00DB47B1"/>
    <w:rsid w:val="00DB4977"/>
    <w:rsid w:val="00DB5125"/>
    <w:rsid w:val="00DB5689"/>
    <w:rsid w:val="00DB5B6C"/>
    <w:rsid w:val="00DB616C"/>
    <w:rsid w:val="00DB63E7"/>
    <w:rsid w:val="00DB6BD4"/>
    <w:rsid w:val="00DB6D06"/>
    <w:rsid w:val="00DB6DA6"/>
    <w:rsid w:val="00DB7891"/>
    <w:rsid w:val="00DB7B8F"/>
    <w:rsid w:val="00DC00FA"/>
    <w:rsid w:val="00DC0864"/>
    <w:rsid w:val="00DC0D2B"/>
    <w:rsid w:val="00DC0D4A"/>
    <w:rsid w:val="00DC10A1"/>
    <w:rsid w:val="00DC2BAE"/>
    <w:rsid w:val="00DC37BE"/>
    <w:rsid w:val="00DC4023"/>
    <w:rsid w:val="00DC47AF"/>
    <w:rsid w:val="00DC48AC"/>
    <w:rsid w:val="00DC4B32"/>
    <w:rsid w:val="00DC4BC7"/>
    <w:rsid w:val="00DC4CAA"/>
    <w:rsid w:val="00DC5340"/>
    <w:rsid w:val="00DC655F"/>
    <w:rsid w:val="00DC6CBB"/>
    <w:rsid w:val="00DC72CE"/>
    <w:rsid w:val="00DC7305"/>
    <w:rsid w:val="00DC7A9F"/>
    <w:rsid w:val="00DC7DFB"/>
    <w:rsid w:val="00DC7ECB"/>
    <w:rsid w:val="00DD02F8"/>
    <w:rsid w:val="00DD0485"/>
    <w:rsid w:val="00DD06A7"/>
    <w:rsid w:val="00DD0B59"/>
    <w:rsid w:val="00DD1336"/>
    <w:rsid w:val="00DD1509"/>
    <w:rsid w:val="00DD1B89"/>
    <w:rsid w:val="00DD1C08"/>
    <w:rsid w:val="00DD2D9D"/>
    <w:rsid w:val="00DD342A"/>
    <w:rsid w:val="00DD38BF"/>
    <w:rsid w:val="00DD3A09"/>
    <w:rsid w:val="00DD3D65"/>
    <w:rsid w:val="00DD3FF0"/>
    <w:rsid w:val="00DD407F"/>
    <w:rsid w:val="00DD4398"/>
    <w:rsid w:val="00DD4B27"/>
    <w:rsid w:val="00DD4B5D"/>
    <w:rsid w:val="00DD4DFF"/>
    <w:rsid w:val="00DD5159"/>
    <w:rsid w:val="00DD5583"/>
    <w:rsid w:val="00DD563C"/>
    <w:rsid w:val="00DD588D"/>
    <w:rsid w:val="00DD5AFB"/>
    <w:rsid w:val="00DD5BAD"/>
    <w:rsid w:val="00DD6A77"/>
    <w:rsid w:val="00DD6E1B"/>
    <w:rsid w:val="00DD7793"/>
    <w:rsid w:val="00DD7EBD"/>
    <w:rsid w:val="00DE011E"/>
    <w:rsid w:val="00DE0A64"/>
    <w:rsid w:val="00DE0B24"/>
    <w:rsid w:val="00DE0DEA"/>
    <w:rsid w:val="00DE125C"/>
    <w:rsid w:val="00DE13A0"/>
    <w:rsid w:val="00DE1B3E"/>
    <w:rsid w:val="00DE1BF4"/>
    <w:rsid w:val="00DE2335"/>
    <w:rsid w:val="00DE2440"/>
    <w:rsid w:val="00DE289D"/>
    <w:rsid w:val="00DE314C"/>
    <w:rsid w:val="00DE3463"/>
    <w:rsid w:val="00DE3A0D"/>
    <w:rsid w:val="00DE3B92"/>
    <w:rsid w:val="00DE40BD"/>
    <w:rsid w:val="00DE41E3"/>
    <w:rsid w:val="00DE457E"/>
    <w:rsid w:val="00DE62C9"/>
    <w:rsid w:val="00DE6670"/>
    <w:rsid w:val="00DE6E36"/>
    <w:rsid w:val="00DE7184"/>
    <w:rsid w:val="00DE76A1"/>
    <w:rsid w:val="00DE7935"/>
    <w:rsid w:val="00DF1066"/>
    <w:rsid w:val="00DF1A21"/>
    <w:rsid w:val="00DF1E67"/>
    <w:rsid w:val="00DF1ECF"/>
    <w:rsid w:val="00DF2354"/>
    <w:rsid w:val="00DF2391"/>
    <w:rsid w:val="00DF2C87"/>
    <w:rsid w:val="00DF30FD"/>
    <w:rsid w:val="00DF3965"/>
    <w:rsid w:val="00DF397A"/>
    <w:rsid w:val="00DF3ACD"/>
    <w:rsid w:val="00DF3BAB"/>
    <w:rsid w:val="00DF401F"/>
    <w:rsid w:val="00DF4137"/>
    <w:rsid w:val="00DF418B"/>
    <w:rsid w:val="00DF4F41"/>
    <w:rsid w:val="00DF51CD"/>
    <w:rsid w:val="00DF51E6"/>
    <w:rsid w:val="00DF5C4B"/>
    <w:rsid w:val="00DF5F41"/>
    <w:rsid w:val="00DF6261"/>
    <w:rsid w:val="00DF62B6"/>
    <w:rsid w:val="00DF6985"/>
    <w:rsid w:val="00DF730C"/>
    <w:rsid w:val="00E0014A"/>
    <w:rsid w:val="00E00225"/>
    <w:rsid w:val="00E00CF0"/>
    <w:rsid w:val="00E00EF3"/>
    <w:rsid w:val="00E018BA"/>
    <w:rsid w:val="00E01ED3"/>
    <w:rsid w:val="00E02086"/>
    <w:rsid w:val="00E024FA"/>
    <w:rsid w:val="00E027EA"/>
    <w:rsid w:val="00E02809"/>
    <w:rsid w:val="00E028E8"/>
    <w:rsid w:val="00E02A50"/>
    <w:rsid w:val="00E03138"/>
    <w:rsid w:val="00E032FC"/>
    <w:rsid w:val="00E0386E"/>
    <w:rsid w:val="00E03B67"/>
    <w:rsid w:val="00E04271"/>
    <w:rsid w:val="00E04AA7"/>
    <w:rsid w:val="00E05510"/>
    <w:rsid w:val="00E05AD9"/>
    <w:rsid w:val="00E05F73"/>
    <w:rsid w:val="00E06975"/>
    <w:rsid w:val="00E07225"/>
    <w:rsid w:val="00E072F2"/>
    <w:rsid w:val="00E07796"/>
    <w:rsid w:val="00E078AA"/>
    <w:rsid w:val="00E07CBB"/>
    <w:rsid w:val="00E10ED0"/>
    <w:rsid w:val="00E116D2"/>
    <w:rsid w:val="00E11875"/>
    <w:rsid w:val="00E12330"/>
    <w:rsid w:val="00E12671"/>
    <w:rsid w:val="00E132D1"/>
    <w:rsid w:val="00E1357B"/>
    <w:rsid w:val="00E13B3C"/>
    <w:rsid w:val="00E13BDE"/>
    <w:rsid w:val="00E13E11"/>
    <w:rsid w:val="00E14D16"/>
    <w:rsid w:val="00E15323"/>
    <w:rsid w:val="00E15950"/>
    <w:rsid w:val="00E15A5E"/>
    <w:rsid w:val="00E15B7D"/>
    <w:rsid w:val="00E16758"/>
    <w:rsid w:val="00E168D7"/>
    <w:rsid w:val="00E17322"/>
    <w:rsid w:val="00E17835"/>
    <w:rsid w:val="00E1787F"/>
    <w:rsid w:val="00E17945"/>
    <w:rsid w:val="00E17966"/>
    <w:rsid w:val="00E17A5F"/>
    <w:rsid w:val="00E17E92"/>
    <w:rsid w:val="00E2181C"/>
    <w:rsid w:val="00E21B39"/>
    <w:rsid w:val="00E21C25"/>
    <w:rsid w:val="00E22365"/>
    <w:rsid w:val="00E23A68"/>
    <w:rsid w:val="00E24140"/>
    <w:rsid w:val="00E24241"/>
    <w:rsid w:val="00E24ACF"/>
    <w:rsid w:val="00E25C26"/>
    <w:rsid w:val="00E25DE3"/>
    <w:rsid w:val="00E25F55"/>
    <w:rsid w:val="00E26966"/>
    <w:rsid w:val="00E26CD6"/>
    <w:rsid w:val="00E26F37"/>
    <w:rsid w:val="00E27186"/>
    <w:rsid w:val="00E274D6"/>
    <w:rsid w:val="00E27844"/>
    <w:rsid w:val="00E3020D"/>
    <w:rsid w:val="00E30367"/>
    <w:rsid w:val="00E30834"/>
    <w:rsid w:val="00E30EBF"/>
    <w:rsid w:val="00E30FE6"/>
    <w:rsid w:val="00E311CF"/>
    <w:rsid w:val="00E31A74"/>
    <w:rsid w:val="00E31F66"/>
    <w:rsid w:val="00E3248B"/>
    <w:rsid w:val="00E327D0"/>
    <w:rsid w:val="00E32C20"/>
    <w:rsid w:val="00E32EC4"/>
    <w:rsid w:val="00E333C6"/>
    <w:rsid w:val="00E335E5"/>
    <w:rsid w:val="00E335FC"/>
    <w:rsid w:val="00E33708"/>
    <w:rsid w:val="00E33805"/>
    <w:rsid w:val="00E33C91"/>
    <w:rsid w:val="00E33EA1"/>
    <w:rsid w:val="00E33EF0"/>
    <w:rsid w:val="00E33FF9"/>
    <w:rsid w:val="00E3467A"/>
    <w:rsid w:val="00E34A38"/>
    <w:rsid w:val="00E351DB"/>
    <w:rsid w:val="00E35850"/>
    <w:rsid w:val="00E358C5"/>
    <w:rsid w:val="00E36213"/>
    <w:rsid w:val="00E36695"/>
    <w:rsid w:val="00E36DD1"/>
    <w:rsid w:val="00E37FB7"/>
    <w:rsid w:val="00E4125A"/>
    <w:rsid w:val="00E4184C"/>
    <w:rsid w:val="00E421EF"/>
    <w:rsid w:val="00E4243B"/>
    <w:rsid w:val="00E42875"/>
    <w:rsid w:val="00E4290B"/>
    <w:rsid w:val="00E42E56"/>
    <w:rsid w:val="00E42FFB"/>
    <w:rsid w:val="00E43116"/>
    <w:rsid w:val="00E43761"/>
    <w:rsid w:val="00E446A0"/>
    <w:rsid w:val="00E45020"/>
    <w:rsid w:val="00E450D2"/>
    <w:rsid w:val="00E45E58"/>
    <w:rsid w:val="00E46180"/>
    <w:rsid w:val="00E46F6E"/>
    <w:rsid w:val="00E470EC"/>
    <w:rsid w:val="00E473F8"/>
    <w:rsid w:val="00E50512"/>
    <w:rsid w:val="00E50519"/>
    <w:rsid w:val="00E50544"/>
    <w:rsid w:val="00E5067C"/>
    <w:rsid w:val="00E50F03"/>
    <w:rsid w:val="00E51272"/>
    <w:rsid w:val="00E51507"/>
    <w:rsid w:val="00E52474"/>
    <w:rsid w:val="00E52965"/>
    <w:rsid w:val="00E52C19"/>
    <w:rsid w:val="00E53829"/>
    <w:rsid w:val="00E53B00"/>
    <w:rsid w:val="00E53E09"/>
    <w:rsid w:val="00E5409F"/>
    <w:rsid w:val="00E547A8"/>
    <w:rsid w:val="00E54969"/>
    <w:rsid w:val="00E54AB3"/>
    <w:rsid w:val="00E54CE9"/>
    <w:rsid w:val="00E55489"/>
    <w:rsid w:val="00E56347"/>
    <w:rsid w:val="00E60060"/>
    <w:rsid w:val="00E6012D"/>
    <w:rsid w:val="00E60142"/>
    <w:rsid w:val="00E60180"/>
    <w:rsid w:val="00E603D1"/>
    <w:rsid w:val="00E610A7"/>
    <w:rsid w:val="00E61298"/>
    <w:rsid w:val="00E61444"/>
    <w:rsid w:val="00E62506"/>
    <w:rsid w:val="00E633B1"/>
    <w:rsid w:val="00E63629"/>
    <w:rsid w:val="00E64173"/>
    <w:rsid w:val="00E641F2"/>
    <w:rsid w:val="00E65C89"/>
    <w:rsid w:val="00E667B6"/>
    <w:rsid w:val="00E67331"/>
    <w:rsid w:val="00E677A5"/>
    <w:rsid w:val="00E7016D"/>
    <w:rsid w:val="00E703E5"/>
    <w:rsid w:val="00E7092A"/>
    <w:rsid w:val="00E71A2C"/>
    <w:rsid w:val="00E71B91"/>
    <w:rsid w:val="00E729F4"/>
    <w:rsid w:val="00E73A03"/>
    <w:rsid w:val="00E74380"/>
    <w:rsid w:val="00E749C5"/>
    <w:rsid w:val="00E74AD3"/>
    <w:rsid w:val="00E74B80"/>
    <w:rsid w:val="00E75D8D"/>
    <w:rsid w:val="00E76756"/>
    <w:rsid w:val="00E76FDC"/>
    <w:rsid w:val="00E77431"/>
    <w:rsid w:val="00E777A7"/>
    <w:rsid w:val="00E77C00"/>
    <w:rsid w:val="00E80034"/>
    <w:rsid w:val="00E8047B"/>
    <w:rsid w:val="00E80683"/>
    <w:rsid w:val="00E80A44"/>
    <w:rsid w:val="00E80A62"/>
    <w:rsid w:val="00E81223"/>
    <w:rsid w:val="00E81D5F"/>
    <w:rsid w:val="00E8277F"/>
    <w:rsid w:val="00E829C5"/>
    <w:rsid w:val="00E83732"/>
    <w:rsid w:val="00E837D1"/>
    <w:rsid w:val="00E83D4C"/>
    <w:rsid w:val="00E84174"/>
    <w:rsid w:val="00E848A3"/>
    <w:rsid w:val="00E84EDC"/>
    <w:rsid w:val="00E84FF2"/>
    <w:rsid w:val="00E85014"/>
    <w:rsid w:val="00E85072"/>
    <w:rsid w:val="00E85E13"/>
    <w:rsid w:val="00E86F35"/>
    <w:rsid w:val="00E876FF"/>
    <w:rsid w:val="00E87793"/>
    <w:rsid w:val="00E87F57"/>
    <w:rsid w:val="00E90ED5"/>
    <w:rsid w:val="00E90FDE"/>
    <w:rsid w:val="00E9263B"/>
    <w:rsid w:val="00E930B1"/>
    <w:rsid w:val="00E937B4"/>
    <w:rsid w:val="00E93BC6"/>
    <w:rsid w:val="00E93C49"/>
    <w:rsid w:val="00E9418A"/>
    <w:rsid w:val="00E94EE0"/>
    <w:rsid w:val="00E95089"/>
    <w:rsid w:val="00E95102"/>
    <w:rsid w:val="00E954E3"/>
    <w:rsid w:val="00E955FA"/>
    <w:rsid w:val="00E957D2"/>
    <w:rsid w:val="00E95C92"/>
    <w:rsid w:val="00E95EC3"/>
    <w:rsid w:val="00E965CD"/>
    <w:rsid w:val="00E967E9"/>
    <w:rsid w:val="00E969D4"/>
    <w:rsid w:val="00E96FA6"/>
    <w:rsid w:val="00E96FCE"/>
    <w:rsid w:val="00E97841"/>
    <w:rsid w:val="00E97F1C"/>
    <w:rsid w:val="00EA00A4"/>
    <w:rsid w:val="00EA0508"/>
    <w:rsid w:val="00EA1005"/>
    <w:rsid w:val="00EA2DE0"/>
    <w:rsid w:val="00EA2E3C"/>
    <w:rsid w:val="00EA328A"/>
    <w:rsid w:val="00EA3D2D"/>
    <w:rsid w:val="00EA4161"/>
    <w:rsid w:val="00EA4A47"/>
    <w:rsid w:val="00EA51AC"/>
    <w:rsid w:val="00EA52DC"/>
    <w:rsid w:val="00EA55AF"/>
    <w:rsid w:val="00EA588B"/>
    <w:rsid w:val="00EA5BFA"/>
    <w:rsid w:val="00EA714A"/>
    <w:rsid w:val="00EA7717"/>
    <w:rsid w:val="00EA7741"/>
    <w:rsid w:val="00EA793E"/>
    <w:rsid w:val="00EB04B8"/>
    <w:rsid w:val="00EB0CF7"/>
    <w:rsid w:val="00EB0D79"/>
    <w:rsid w:val="00EB1165"/>
    <w:rsid w:val="00EB1171"/>
    <w:rsid w:val="00EB11A5"/>
    <w:rsid w:val="00EB2DDE"/>
    <w:rsid w:val="00EB2E02"/>
    <w:rsid w:val="00EB3043"/>
    <w:rsid w:val="00EB3F14"/>
    <w:rsid w:val="00EB420E"/>
    <w:rsid w:val="00EB4286"/>
    <w:rsid w:val="00EB4DD1"/>
    <w:rsid w:val="00EB4E1A"/>
    <w:rsid w:val="00EB5249"/>
    <w:rsid w:val="00EB5424"/>
    <w:rsid w:val="00EB5873"/>
    <w:rsid w:val="00EB5FE7"/>
    <w:rsid w:val="00EB6578"/>
    <w:rsid w:val="00EB6E24"/>
    <w:rsid w:val="00EB6E3B"/>
    <w:rsid w:val="00EB7013"/>
    <w:rsid w:val="00EC007E"/>
    <w:rsid w:val="00EC05EF"/>
    <w:rsid w:val="00EC0639"/>
    <w:rsid w:val="00EC0C74"/>
    <w:rsid w:val="00EC119D"/>
    <w:rsid w:val="00EC134E"/>
    <w:rsid w:val="00EC1F9A"/>
    <w:rsid w:val="00EC2251"/>
    <w:rsid w:val="00EC25E5"/>
    <w:rsid w:val="00EC3319"/>
    <w:rsid w:val="00EC3A22"/>
    <w:rsid w:val="00EC3D3E"/>
    <w:rsid w:val="00EC3F8E"/>
    <w:rsid w:val="00EC4076"/>
    <w:rsid w:val="00EC537C"/>
    <w:rsid w:val="00EC66EC"/>
    <w:rsid w:val="00EC6FFC"/>
    <w:rsid w:val="00EC7330"/>
    <w:rsid w:val="00EC7392"/>
    <w:rsid w:val="00EC76AF"/>
    <w:rsid w:val="00ED028B"/>
    <w:rsid w:val="00ED064E"/>
    <w:rsid w:val="00ED0D4E"/>
    <w:rsid w:val="00ED0F3A"/>
    <w:rsid w:val="00ED173E"/>
    <w:rsid w:val="00ED19C0"/>
    <w:rsid w:val="00ED234E"/>
    <w:rsid w:val="00ED24ED"/>
    <w:rsid w:val="00ED2B36"/>
    <w:rsid w:val="00ED2E46"/>
    <w:rsid w:val="00ED4BBE"/>
    <w:rsid w:val="00ED4C95"/>
    <w:rsid w:val="00ED4E64"/>
    <w:rsid w:val="00ED515A"/>
    <w:rsid w:val="00ED52E2"/>
    <w:rsid w:val="00ED5C23"/>
    <w:rsid w:val="00ED6DB0"/>
    <w:rsid w:val="00ED7C75"/>
    <w:rsid w:val="00ED7DC3"/>
    <w:rsid w:val="00ED8034"/>
    <w:rsid w:val="00EE0331"/>
    <w:rsid w:val="00EE033A"/>
    <w:rsid w:val="00EE0B90"/>
    <w:rsid w:val="00EE2036"/>
    <w:rsid w:val="00EE41BD"/>
    <w:rsid w:val="00EE42D3"/>
    <w:rsid w:val="00EE4B24"/>
    <w:rsid w:val="00EE508E"/>
    <w:rsid w:val="00EE607A"/>
    <w:rsid w:val="00EE6290"/>
    <w:rsid w:val="00EE6488"/>
    <w:rsid w:val="00EE657E"/>
    <w:rsid w:val="00EE69C5"/>
    <w:rsid w:val="00EE6D58"/>
    <w:rsid w:val="00EE6E0C"/>
    <w:rsid w:val="00EE6F7C"/>
    <w:rsid w:val="00EE7772"/>
    <w:rsid w:val="00EE7894"/>
    <w:rsid w:val="00EE7B44"/>
    <w:rsid w:val="00EE7F42"/>
    <w:rsid w:val="00EE7FD5"/>
    <w:rsid w:val="00EF01DD"/>
    <w:rsid w:val="00EF062E"/>
    <w:rsid w:val="00EF0BA0"/>
    <w:rsid w:val="00EF0D0F"/>
    <w:rsid w:val="00EF118B"/>
    <w:rsid w:val="00EF2370"/>
    <w:rsid w:val="00EF2CF7"/>
    <w:rsid w:val="00EF42E6"/>
    <w:rsid w:val="00EF4556"/>
    <w:rsid w:val="00EF51B5"/>
    <w:rsid w:val="00EF5358"/>
    <w:rsid w:val="00EF5F55"/>
    <w:rsid w:val="00EF61B1"/>
    <w:rsid w:val="00EF65B1"/>
    <w:rsid w:val="00EF65C0"/>
    <w:rsid w:val="00EF6C3B"/>
    <w:rsid w:val="00EF6DC8"/>
    <w:rsid w:val="00EF6DD1"/>
    <w:rsid w:val="00EF6F3A"/>
    <w:rsid w:val="00EF73BC"/>
    <w:rsid w:val="00EF76B9"/>
    <w:rsid w:val="00F000B6"/>
    <w:rsid w:val="00F0013D"/>
    <w:rsid w:val="00F00450"/>
    <w:rsid w:val="00F009CD"/>
    <w:rsid w:val="00F01070"/>
    <w:rsid w:val="00F01089"/>
    <w:rsid w:val="00F01612"/>
    <w:rsid w:val="00F0164A"/>
    <w:rsid w:val="00F01E1B"/>
    <w:rsid w:val="00F01F96"/>
    <w:rsid w:val="00F021FA"/>
    <w:rsid w:val="00F02BA1"/>
    <w:rsid w:val="00F02BB2"/>
    <w:rsid w:val="00F038E5"/>
    <w:rsid w:val="00F03FE1"/>
    <w:rsid w:val="00F06792"/>
    <w:rsid w:val="00F07046"/>
    <w:rsid w:val="00F074BB"/>
    <w:rsid w:val="00F0751C"/>
    <w:rsid w:val="00F07D68"/>
    <w:rsid w:val="00F1024B"/>
    <w:rsid w:val="00F10679"/>
    <w:rsid w:val="00F10B8A"/>
    <w:rsid w:val="00F10C7E"/>
    <w:rsid w:val="00F10C80"/>
    <w:rsid w:val="00F113F3"/>
    <w:rsid w:val="00F11834"/>
    <w:rsid w:val="00F11BF7"/>
    <w:rsid w:val="00F12100"/>
    <w:rsid w:val="00F12718"/>
    <w:rsid w:val="00F12740"/>
    <w:rsid w:val="00F12C61"/>
    <w:rsid w:val="00F130AA"/>
    <w:rsid w:val="00F13B89"/>
    <w:rsid w:val="00F13C05"/>
    <w:rsid w:val="00F13F6F"/>
    <w:rsid w:val="00F13FC9"/>
    <w:rsid w:val="00F14089"/>
    <w:rsid w:val="00F15709"/>
    <w:rsid w:val="00F15AF4"/>
    <w:rsid w:val="00F163EC"/>
    <w:rsid w:val="00F167E7"/>
    <w:rsid w:val="00F17303"/>
    <w:rsid w:val="00F17BE6"/>
    <w:rsid w:val="00F203EE"/>
    <w:rsid w:val="00F206C0"/>
    <w:rsid w:val="00F20748"/>
    <w:rsid w:val="00F20A5F"/>
    <w:rsid w:val="00F2168A"/>
    <w:rsid w:val="00F21D9C"/>
    <w:rsid w:val="00F22173"/>
    <w:rsid w:val="00F2296E"/>
    <w:rsid w:val="00F22A59"/>
    <w:rsid w:val="00F22DA8"/>
    <w:rsid w:val="00F234B2"/>
    <w:rsid w:val="00F23895"/>
    <w:rsid w:val="00F23DB1"/>
    <w:rsid w:val="00F23ED4"/>
    <w:rsid w:val="00F23FC3"/>
    <w:rsid w:val="00F24091"/>
    <w:rsid w:val="00F241AC"/>
    <w:rsid w:val="00F25095"/>
    <w:rsid w:val="00F25EC7"/>
    <w:rsid w:val="00F26A96"/>
    <w:rsid w:val="00F26B63"/>
    <w:rsid w:val="00F26E1F"/>
    <w:rsid w:val="00F26E68"/>
    <w:rsid w:val="00F270F1"/>
    <w:rsid w:val="00F27224"/>
    <w:rsid w:val="00F27607"/>
    <w:rsid w:val="00F276EF"/>
    <w:rsid w:val="00F2788A"/>
    <w:rsid w:val="00F3017E"/>
    <w:rsid w:val="00F311CF"/>
    <w:rsid w:val="00F31566"/>
    <w:rsid w:val="00F31B73"/>
    <w:rsid w:val="00F31D8C"/>
    <w:rsid w:val="00F32609"/>
    <w:rsid w:val="00F32963"/>
    <w:rsid w:val="00F32CD5"/>
    <w:rsid w:val="00F32E97"/>
    <w:rsid w:val="00F32FE5"/>
    <w:rsid w:val="00F330E2"/>
    <w:rsid w:val="00F33941"/>
    <w:rsid w:val="00F339A2"/>
    <w:rsid w:val="00F33B4C"/>
    <w:rsid w:val="00F33C54"/>
    <w:rsid w:val="00F33CB7"/>
    <w:rsid w:val="00F33E51"/>
    <w:rsid w:val="00F34310"/>
    <w:rsid w:val="00F35588"/>
    <w:rsid w:val="00F35796"/>
    <w:rsid w:val="00F358C4"/>
    <w:rsid w:val="00F35F30"/>
    <w:rsid w:val="00F35F9B"/>
    <w:rsid w:val="00F3601F"/>
    <w:rsid w:val="00F37F1B"/>
    <w:rsid w:val="00F4019F"/>
    <w:rsid w:val="00F40585"/>
    <w:rsid w:val="00F40C54"/>
    <w:rsid w:val="00F40EE4"/>
    <w:rsid w:val="00F415A0"/>
    <w:rsid w:val="00F415AC"/>
    <w:rsid w:val="00F4200D"/>
    <w:rsid w:val="00F42871"/>
    <w:rsid w:val="00F42A97"/>
    <w:rsid w:val="00F42F03"/>
    <w:rsid w:val="00F4334B"/>
    <w:rsid w:val="00F43366"/>
    <w:rsid w:val="00F44356"/>
    <w:rsid w:val="00F449E6"/>
    <w:rsid w:val="00F454F5"/>
    <w:rsid w:val="00F45C38"/>
    <w:rsid w:val="00F45EE6"/>
    <w:rsid w:val="00F462FD"/>
    <w:rsid w:val="00F467E0"/>
    <w:rsid w:val="00F477D1"/>
    <w:rsid w:val="00F478DB"/>
    <w:rsid w:val="00F479D7"/>
    <w:rsid w:val="00F47C11"/>
    <w:rsid w:val="00F50255"/>
    <w:rsid w:val="00F50CB9"/>
    <w:rsid w:val="00F51745"/>
    <w:rsid w:val="00F51B4C"/>
    <w:rsid w:val="00F5233F"/>
    <w:rsid w:val="00F52BB7"/>
    <w:rsid w:val="00F52DFB"/>
    <w:rsid w:val="00F537A9"/>
    <w:rsid w:val="00F538EA"/>
    <w:rsid w:val="00F544C9"/>
    <w:rsid w:val="00F553D7"/>
    <w:rsid w:val="00F558D4"/>
    <w:rsid w:val="00F55B5C"/>
    <w:rsid w:val="00F562BE"/>
    <w:rsid w:val="00F5634B"/>
    <w:rsid w:val="00F56B19"/>
    <w:rsid w:val="00F56CD8"/>
    <w:rsid w:val="00F5796C"/>
    <w:rsid w:val="00F57FCB"/>
    <w:rsid w:val="00F5E551"/>
    <w:rsid w:val="00F60FBC"/>
    <w:rsid w:val="00F620B8"/>
    <w:rsid w:val="00F62E97"/>
    <w:rsid w:val="00F63E74"/>
    <w:rsid w:val="00F64209"/>
    <w:rsid w:val="00F6449A"/>
    <w:rsid w:val="00F65AC0"/>
    <w:rsid w:val="00F65B0B"/>
    <w:rsid w:val="00F6654B"/>
    <w:rsid w:val="00F66B3E"/>
    <w:rsid w:val="00F679C2"/>
    <w:rsid w:val="00F701EA"/>
    <w:rsid w:val="00F7054A"/>
    <w:rsid w:val="00F70791"/>
    <w:rsid w:val="00F70C98"/>
    <w:rsid w:val="00F7124F"/>
    <w:rsid w:val="00F7167B"/>
    <w:rsid w:val="00F71DBD"/>
    <w:rsid w:val="00F71FCE"/>
    <w:rsid w:val="00F727A6"/>
    <w:rsid w:val="00F74B50"/>
    <w:rsid w:val="00F74FA1"/>
    <w:rsid w:val="00F754BD"/>
    <w:rsid w:val="00F75846"/>
    <w:rsid w:val="00F75E70"/>
    <w:rsid w:val="00F769AD"/>
    <w:rsid w:val="00F76A1E"/>
    <w:rsid w:val="00F77072"/>
    <w:rsid w:val="00F77554"/>
    <w:rsid w:val="00F7780A"/>
    <w:rsid w:val="00F77C0B"/>
    <w:rsid w:val="00F77C22"/>
    <w:rsid w:val="00F811AC"/>
    <w:rsid w:val="00F81490"/>
    <w:rsid w:val="00F8188B"/>
    <w:rsid w:val="00F825FD"/>
    <w:rsid w:val="00F82696"/>
    <w:rsid w:val="00F8284C"/>
    <w:rsid w:val="00F82EBC"/>
    <w:rsid w:val="00F83044"/>
    <w:rsid w:val="00F83529"/>
    <w:rsid w:val="00F83879"/>
    <w:rsid w:val="00F8394E"/>
    <w:rsid w:val="00F83982"/>
    <w:rsid w:val="00F83D29"/>
    <w:rsid w:val="00F83E61"/>
    <w:rsid w:val="00F83E84"/>
    <w:rsid w:val="00F84670"/>
    <w:rsid w:val="00F84A65"/>
    <w:rsid w:val="00F84BE6"/>
    <w:rsid w:val="00F85881"/>
    <w:rsid w:val="00F85E26"/>
    <w:rsid w:val="00F863C6"/>
    <w:rsid w:val="00F8657F"/>
    <w:rsid w:val="00F86605"/>
    <w:rsid w:val="00F86A2B"/>
    <w:rsid w:val="00F86F39"/>
    <w:rsid w:val="00F8797E"/>
    <w:rsid w:val="00F87F86"/>
    <w:rsid w:val="00F90EBC"/>
    <w:rsid w:val="00F912AF"/>
    <w:rsid w:val="00F91A4E"/>
    <w:rsid w:val="00F925D8"/>
    <w:rsid w:val="00F93540"/>
    <w:rsid w:val="00F93BF5"/>
    <w:rsid w:val="00F93D12"/>
    <w:rsid w:val="00F93DC8"/>
    <w:rsid w:val="00F946D8"/>
    <w:rsid w:val="00F94B7B"/>
    <w:rsid w:val="00F94D12"/>
    <w:rsid w:val="00F955E7"/>
    <w:rsid w:val="00F959B6"/>
    <w:rsid w:val="00F9622D"/>
    <w:rsid w:val="00F96E45"/>
    <w:rsid w:val="00F97656"/>
    <w:rsid w:val="00F97689"/>
    <w:rsid w:val="00F97CE5"/>
    <w:rsid w:val="00F97E3E"/>
    <w:rsid w:val="00FA0650"/>
    <w:rsid w:val="00FA16CF"/>
    <w:rsid w:val="00FA1C5F"/>
    <w:rsid w:val="00FA20D8"/>
    <w:rsid w:val="00FA2405"/>
    <w:rsid w:val="00FA26A2"/>
    <w:rsid w:val="00FA2C18"/>
    <w:rsid w:val="00FA315C"/>
    <w:rsid w:val="00FA3A26"/>
    <w:rsid w:val="00FA4589"/>
    <w:rsid w:val="00FA45EE"/>
    <w:rsid w:val="00FA475E"/>
    <w:rsid w:val="00FA62B0"/>
    <w:rsid w:val="00FA6698"/>
    <w:rsid w:val="00FA6E28"/>
    <w:rsid w:val="00FA7463"/>
    <w:rsid w:val="00FA75FA"/>
    <w:rsid w:val="00FA778C"/>
    <w:rsid w:val="00FB01A3"/>
    <w:rsid w:val="00FB07C0"/>
    <w:rsid w:val="00FB07C2"/>
    <w:rsid w:val="00FB0D2C"/>
    <w:rsid w:val="00FB1FDC"/>
    <w:rsid w:val="00FB2357"/>
    <w:rsid w:val="00FB2474"/>
    <w:rsid w:val="00FB27E7"/>
    <w:rsid w:val="00FB2F49"/>
    <w:rsid w:val="00FB315C"/>
    <w:rsid w:val="00FB37B0"/>
    <w:rsid w:val="00FB3CDF"/>
    <w:rsid w:val="00FB3DC9"/>
    <w:rsid w:val="00FB3E8C"/>
    <w:rsid w:val="00FB418A"/>
    <w:rsid w:val="00FB4A21"/>
    <w:rsid w:val="00FB4AD4"/>
    <w:rsid w:val="00FB5184"/>
    <w:rsid w:val="00FB5B85"/>
    <w:rsid w:val="00FB5D2B"/>
    <w:rsid w:val="00FB669E"/>
    <w:rsid w:val="00FB6E1E"/>
    <w:rsid w:val="00FB7224"/>
    <w:rsid w:val="00FB7B27"/>
    <w:rsid w:val="00FB7DB2"/>
    <w:rsid w:val="00FC04BE"/>
    <w:rsid w:val="00FC0682"/>
    <w:rsid w:val="00FC0B67"/>
    <w:rsid w:val="00FC0E46"/>
    <w:rsid w:val="00FC0F2D"/>
    <w:rsid w:val="00FC24D9"/>
    <w:rsid w:val="00FC2F9D"/>
    <w:rsid w:val="00FC3202"/>
    <w:rsid w:val="00FC324E"/>
    <w:rsid w:val="00FC3391"/>
    <w:rsid w:val="00FC357A"/>
    <w:rsid w:val="00FC483E"/>
    <w:rsid w:val="00FC496C"/>
    <w:rsid w:val="00FC4DE6"/>
    <w:rsid w:val="00FC5214"/>
    <w:rsid w:val="00FC5F1F"/>
    <w:rsid w:val="00FC634D"/>
    <w:rsid w:val="00FC7A06"/>
    <w:rsid w:val="00FC7DB2"/>
    <w:rsid w:val="00FC9B80"/>
    <w:rsid w:val="00FD08B2"/>
    <w:rsid w:val="00FD09E8"/>
    <w:rsid w:val="00FD0E2C"/>
    <w:rsid w:val="00FD0E2E"/>
    <w:rsid w:val="00FD211F"/>
    <w:rsid w:val="00FD247F"/>
    <w:rsid w:val="00FD2F3F"/>
    <w:rsid w:val="00FD4361"/>
    <w:rsid w:val="00FD4ACA"/>
    <w:rsid w:val="00FD4C67"/>
    <w:rsid w:val="00FD4F83"/>
    <w:rsid w:val="00FD5C7C"/>
    <w:rsid w:val="00FD5EB7"/>
    <w:rsid w:val="00FD602E"/>
    <w:rsid w:val="00FD6508"/>
    <w:rsid w:val="00FD661A"/>
    <w:rsid w:val="00FD68B9"/>
    <w:rsid w:val="00FD6E32"/>
    <w:rsid w:val="00FD7A73"/>
    <w:rsid w:val="00FD7B97"/>
    <w:rsid w:val="00FE0476"/>
    <w:rsid w:val="00FE055A"/>
    <w:rsid w:val="00FE084D"/>
    <w:rsid w:val="00FE0C76"/>
    <w:rsid w:val="00FE0EEE"/>
    <w:rsid w:val="00FE1ADF"/>
    <w:rsid w:val="00FE205E"/>
    <w:rsid w:val="00FE2914"/>
    <w:rsid w:val="00FE36F6"/>
    <w:rsid w:val="00FE39C1"/>
    <w:rsid w:val="00FE3A8C"/>
    <w:rsid w:val="00FE3F38"/>
    <w:rsid w:val="00FE5D98"/>
    <w:rsid w:val="00FE6014"/>
    <w:rsid w:val="00FE61D6"/>
    <w:rsid w:val="00FE6AB5"/>
    <w:rsid w:val="00FE74AD"/>
    <w:rsid w:val="00FE74C0"/>
    <w:rsid w:val="00FE783E"/>
    <w:rsid w:val="00FF01CE"/>
    <w:rsid w:val="00FF027D"/>
    <w:rsid w:val="00FF07E8"/>
    <w:rsid w:val="00FF0B1C"/>
    <w:rsid w:val="00FF1AC7"/>
    <w:rsid w:val="00FF2DF5"/>
    <w:rsid w:val="00FF32B9"/>
    <w:rsid w:val="00FF3340"/>
    <w:rsid w:val="00FF4526"/>
    <w:rsid w:val="00FF607E"/>
    <w:rsid w:val="00FF60ED"/>
    <w:rsid w:val="00FF6361"/>
    <w:rsid w:val="00FF673B"/>
    <w:rsid w:val="00FF683F"/>
    <w:rsid w:val="00FF7163"/>
    <w:rsid w:val="00FF7408"/>
    <w:rsid w:val="00FF7739"/>
    <w:rsid w:val="00FF7A39"/>
    <w:rsid w:val="00FF7FE6"/>
    <w:rsid w:val="00FF7FEB"/>
    <w:rsid w:val="011500D6"/>
    <w:rsid w:val="0138ED85"/>
    <w:rsid w:val="01513E4E"/>
    <w:rsid w:val="01751799"/>
    <w:rsid w:val="018A2832"/>
    <w:rsid w:val="0191BFDF"/>
    <w:rsid w:val="0194885B"/>
    <w:rsid w:val="019ACBE4"/>
    <w:rsid w:val="019D8D39"/>
    <w:rsid w:val="01A1CC19"/>
    <w:rsid w:val="01BFB44F"/>
    <w:rsid w:val="01F0EDB3"/>
    <w:rsid w:val="02018A2C"/>
    <w:rsid w:val="0219CBCF"/>
    <w:rsid w:val="021F30B6"/>
    <w:rsid w:val="02200EBB"/>
    <w:rsid w:val="02403754"/>
    <w:rsid w:val="02522B74"/>
    <w:rsid w:val="025319E6"/>
    <w:rsid w:val="026F0D33"/>
    <w:rsid w:val="02729D24"/>
    <w:rsid w:val="027C5C2C"/>
    <w:rsid w:val="0281B138"/>
    <w:rsid w:val="02859D8C"/>
    <w:rsid w:val="02AC19BF"/>
    <w:rsid w:val="02AEB3B2"/>
    <w:rsid w:val="02BB4A61"/>
    <w:rsid w:val="02CE28FA"/>
    <w:rsid w:val="02D71BE0"/>
    <w:rsid w:val="02DD28A6"/>
    <w:rsid w:val="02EC52C6"/>
    <w:rsid w:val="0315892D"/>
    <w:rsid w:val="032892E1"/>
    <w:rsid w:val="03356CC2"/>
    <w:rsid w:val="038BBDC4"/>
    <w:rsid w:val="038E2E7E"/>
    <w:rsid w:val="039EBE74"/>
    <w:rsid w:val="03BD9478"/>
    <w:rsid w:val="03CFDBFE"/>
    <w:rsid w:val="03E2E2D8"/>
    <w:rsid w:val="03F6C8D1"/>
    <w:rsid w:val="03FA11FC"/>
    <w:rsid w:val="0403E8F7"/>
    <w:rsid w:val="042171B0"/>
    <w:rsid w:val="04343EC5"/>
    <w:rsid w:val="044F00AF"/>
    <w:rsid w:val="048E7777"/>
    <w:rsid w:val="049C6530"/>
    <w:rsid w:val="049DBEB4"/>
    <w:rsid w:val="04A42BB6"/>
    <w:rsid w:val="04A8433C"/>
    <w:rsid w:val="04ADD024"/>
    <w:rsid w:val="04C19FB6"/>
    <w:rsid w:val="04C72652"/>
    <w:rsid w:val="04ED7800"/>
    <w:rsid w:val="04F33F98"/>
    <w:rsid w:val="04F79A8A"/>
    <w:rsid w:val="05120A78"/>
    <w:rsid w:val="05491B89"/>
    <w:rsid w:val="054F88CC"/>
    <w:rsid w:val="055AC214"/>
    <w:rsid w:val="055F0D43"/>
    <w:rsid w:val="055FFD3F"/>
    <w:rsid w:val="0560C872"/>
    <w:rsid w:val="0563EF91"/>
    <w:rsid w:val="056B0822"/>
    <w:rsid w:val="0583ABDF"/>
    <w:rsid w:val="05C10447"/>
    <w:rsid w:val="05D09B8C"/>
    <w:rsid w:val="05D9DC91"/>
    <w:rsid w:val="061BA114"/>
    <w:rsid w:val="061BF505"/>
    <w:rsid w:val="065E277F"/>
    <w:rsid w:val="06626005"/>
    <w:rsid w:val="06660A8A"/>
    <w:rsid w:val="066DC362"/>
    <w:rsid w:val="067645BB"/>
    <w:rsid w:val="06A9C3A4"/>
    <w:rsid w:val="06B91AD9"/>
    <w:rsid w:val="06BDAFBA"/>
    <w:rsid w:val="06E2F194"/>
    <w:rsid w:val="06FDB513"/>
    <w:rsid w:val="070728A2"/>
    <w:rsid w:val="070E5D97"/>
    <w:rsid w:val="0727A1D2"/>
    <w:rsid w:val="07307936"/>
    <w:rsid w:val="073104F1"/>
    <w:rsid w:val="073B6A0D"/>
    <w:rsid w:val="0765804A"/>
    <w:rsid w:val="076B09CB"/>
    <w:rsid w:val="0797303E"/>
    <w:rsid w:val="07B701A9"/>
    <w:rsid w:val="07BABC55"/>
    <w:rsid w:val="07C03423"/>
    <w:rsid w:val="07D12B5D"/>
    <w:rsid w:val="07E450BD"/>
    <w:rsid w:val="07EA1331"/>
    <w:rsid w:val="07EA271D"/>
    <w:rsid w:val="07FCEA43"/>
    <w:rsid w:val="0801870A"/>
    <w:rsid w:val="08292F86"/>
    <w:rsid w:val="083D50DA"/>
    <w:rsid w:val="08516281"/>
    <w:rsid w:val="086191CD"/>
    <w:rsid w:val="0867C6BF"/>
    <w:rsid w:val="088C6ED6"/>
    <w:rsid w:val="089A60BD"/>
    <w:rsid w:val="08D2FC9A"/>
    <w:rsid w:val="08EB616B"/>
    <w:rsid w:val="08EF1AF7"/>
    <w:rsid w:val="08FAE760"/>
    <w:rsid w:val="08FC4709"/>
    <w:rsid w:val="0913762D"/>
    <w:rsid w:val="091B37B9"/>
    <w:rsid w:val="092F54D0"/>
    <w:rsid w:val="097D3FFE"/>
    <w:rsid w:val="0987BAE4"/>
    <w:rsid w:val="099109C5"/>
    <w:rsid w:val="0995A5A4"/>
    <w:rsid w:val="09A64BF5"/>
    <w:rsid w:val="09C6C626"/>
    <w:rsid w:val="09DEE89E"/>
    <w:rsid w:val="0A0AAD5C"/>
    <w:rsid w:val="0A0C3BA5"/>
    <w:rsid w:val="0A310F74"/>
    <w:rsid w:val="0A61F2F1"/>
    <w:rsid w:val="0A7CB91D"/>
    <w:rsid w:val="0A8092F8"/>
    <w:rsid w:val="0AA15A23"/>
    <w:rsid w:val="0AD296E8"/>
    <w:rsid w:val="0AD85394"/>
    <w:rsid w:val="0AEE72C5"/>
    <w:rsid w:val="0B100028"/>
    <w:rsid w:val="0B151AAA"/>
    <w:rsid w:val="0B19D422"/>
    <w:rsid w:val="0B212128"/>
    <w:rsid w:val="0B3EB97A"/>
    <w:rsid w:val="0B46B09D"/>
    <w:rsid w:val="0B4E06AB"/>
    <w:rsid w:val="0B50D215"/>
    <w:rsid w:val="0B58ACAA"/>
    <w:rsid w:val="0B5BB930"/>
    <w:rsid w:val="0B6CCDFE"/>
    <w:rsid w:val="0BAC39A3"/>
    <w:rsid w:val="0BBD5FD3"/>
    <w:rsid w:val="0BC1E8C2"/>
    <w:rsid w:val="0BEA358C"/>
    <w:rsid w:val="0BED79EB"/>
    <w:rsid w:val="0BF19E3C"/>
    <w:rsid w:val="0BF909EB"/>
    <w:rsid w:val="0C0BD6CF"/>
    <w:rsid w:val="0C0DD856"/>
    <w:rsid w:val="0C0EF86B"/>
    <w:rsid w:val="0C52B1C2"/>
    <w:rsid w:val="0C5B02F8"/>
    <w:rsid w:val="0C6F8899"/>
    <w:rsid w:val="0C72ECF5"/>
    <w:rsid w:val="0C7805C7"/>
    <w:rsid w:val="0CA83A1C"/>
    <w:rsid w:val="0CBBABE1"/>
    <w:rsid w:val="0CCA1782"/>
    <w:rsid w:val="0CD22D16"/>
    <w:rsid w:val="0CDEF3BD"/>
    <w:rsid w:val="0CF4D89B"/>
    <w:rsid w:val="0CF73CE8"/>
    <w:rsid w:val="0D17593A"/>
    <w:rsid w:val="0D2ADF0F"/>
    <w:rsid w:val="0D43EEB6"/>
    <w:rsid w:val="0D4A7900"/>
    <w:rsid w:val="0DE1B7E8"/>
    <w:rsid w:val="0DF1BE9B"/>
    <w:rsid w:val="0E077023"/>
    <w:rsid w:val="0E0FC081"/>
    <w:rsid w:val="0E11BEBB"/>
    <w:rsid w:val="0E12513B"/>
    <w:rsid w:val="0E1C4A5F"/>
    <w:rsid w:val="0E234411"/>
    <w:rsid w:val="0E42280F"/>
    <w:rsid w:val="0E65DE43"/>
    <w:rsid w:val="0E899910"/>
    <w:rsid w:val="0E89D6B4"/>
    <w:rsid w:val="0EDE5D2C"/>
    <w:rsid w:val="0EDEC2F8"/>
    <w:rsid w:val="0EE2BF07"/>
    <w:rsid w:val="0EF92F75"/>
    <w:rsid w:val="0EF9614B"/>
    <w:rsid w:val="0F05601E"/>
    <w:rsid w:val="0F11AA3E"/>
    <w:rsid w:val="0F1D56AB"/>
    <w:rsid w:val="0F597CA2"/>
    <w:rsid w:val="0F5CA560"/>
    <w:rsid w:val="0F61F4CF"/>
    <w:rsid w:val="0F6270B8"/>
    <w:rsid w:val="0F7235BA"/>
    <w:rsid w:val="0F756FDE"/>
    <w:rsid w:val="0F792CF7"/>
    <w:rsid w:val="0F7ACBF2"/>
    <w:rsid w:val="0F869D44"/>
    <w:rsid w:val="0F92CC12"/>
    <w:rsid w:val="0F97E3FF"/>
    <w:rsid w:val="0FE933C2"/>
    <w:rsid w:val="0FF0BCB4"/>
    <w:rsid w:val="0FFB940B"/>
    <w:rsid w:val="1018A1FA"/>
    <w:rsid w:val="1023280B"/>
    <w:rsid w:val="104C0240"/>
    <w:rsid w:val="1052E823"/>
    <w:rsid w:val="1062BCD3"/>
    <w:rsid w:val="1063CF62"/>
    <w:rsid w:val="10670C11"/>
    <w:rsid w:val="10694E38"/>
    <w:rsid w:val="10907F8A"/>
    <w:rsid w:val="109DD13C"/>
    <w:rsid w:val="10A98D08"/>
    <w:rsid w:val="10B83410"/>
    <w:rsid w:val="10D59729"/>
    <w:rsid w:val="10DB7B88"/>
    <w:rsid w:val="10E7C010"/>
    <w:rsid w:val="10E88BBB"/>
    <w:rsid w:val="10FA0CED"/>
    <w:rsid w:val="10FCF54A"/>
    <w:rsid w:val="1105BABF"/>
    <w:rsid w:val="11132924"/>
    <w:rsid w:val="112A7DAD"/>
    <w:rsid w:val="1137F16A"/>
    <w:rsid w:val="1139069D"/>
    <w:rsid w:val="11593FD8"/>
    <w:rsid w:val="1163810B"/>
    <w:rsid w:val="1166CD6D"/>
    <w:rsid w:val="11771F9F"/>
    <w:rsid w:val="1185CD71"/>
    <w:rsid w:val="11BAA24E"/>
    <w:rsid w:val="11C0F1D2"/>
    <w:rsid w:val="11C21EE8"/>
    <w:rsid w:val="11D52E48"/>
    <w:rsid w:val="11E0835A"/>
    <w:rsid w:val="121B4036"/>
    <w:rsid w:val="1221CF9C"/>
    <w:rsid w:val="1230B2C5"/>
    <w:rsid w:val="12361FD2"/>
    <w:rsid w:val="124243E0"/>
    <w:rsid w:val="124C3238"/>
    <w:rsid w:val="124C93E7"/>
    <w:rsid w:val="1268E172"/>
    <w:rsid w:val="128A2DD9"/>
    <w:rsid w:val="12946FD0"/>
    <w:rsid w:val="12ACE127"/>
    <w:rsid w:val="12B73145"/>
    <w:rsid w:val="12C490C9"/>
    <w:rsid w:val="12DD98BF"/>
    <w:rsid w:val="12E9439B"/>
    <w:rsid w:val="12EC15AA"/>
    <w:rsid w:val="131561A6"/>
    <w:rsid w:val="1323830E"/>
    <w:rsid w:val="1352BA7F"/>
    <w:rsid w:val="135A3BED"/>
    <w:rsid w:val="1391FEAC"/>
    <w:rsid w:val="139FCECB"/>
    <w:rsid w:val="13B7026A"/>
    <w:rsid w:val="13E9F000"/>
    <w:rsid w:val="13FC5F99"/>
    <w:rsid w:val="140435A1"/>
    <w:rsid w:val="1426EB13"/>
    <w:rsid w:val="1462C495"/>
    <w:rsid w:val="146763AB"/>
    <w:rsid w:val="147D6BB1"/>
    <w:rsid w:val="14A19B40"/>
    <w:rsid w:val="14EDCC49"/>
    <w:rsid w:val="14F53169"/>
    <w:rsid w:val="14F7F9E5"/>
    <w:rsid w:val="15015626"/>
    <w:rsid w:val="150FB2F1"/>
    <w:rsid w:val="15165ACE"/>
    <w:rsid w:val="153107F7"/>
    <w:rsid w:val="153D2DB6"/>
    <w:rsid w:val="15873D10"/>
    <w:rsid w:val="158B6157"/>
    <w:rsid w:val="15926ADA"/>
    <w:rsid w:val="15C0672E"/>
    <w:rsid w:val="15EC3F9C"/>
    <w:rsid w:val="15FC1382"/>
    <w:rsid w:val="15FCE5B0"/>
    <w:rsid w:val="1607849A"/>
    <w:rsid w:val="160DCB08"/>
    <w:rsid w:val="161C2998"/>
    <w:rsid w:val="16370DC3"/>
    <w:rsid w:val="163ECDB8"/>
    <w:rsid w:val="164E8773"/>
    <w:rsid w:val="1656831E"/>
    <w:rsid w:val="16576D94"/>
    <w:rsid w:val="1666561E"/>
    <w:rsid w:val="166A9854"/>
    <w:rsid w:val="168C8240"/>
    <w:rsid w:val="169C0749"/>
    <w:rsid w:val="16B45503"/>
    <w:rsid w:val="16BDF7C5"/>
    <w:rsid w:val="16CEA9AA"/>
    <w:rsid w:val="16D0BB57"/>
    <w:rsid w:val="16F065BB"/>
    <w:rsid w:val="16FCAEE1"/>
    <w:rsid w:val="170C6201"/>
    <w:rsid w:val="1767EF51"/>
    <w:rsid w:val="176E4215"/>
    <w:rsid w:val="1795517A"/>
    <w:rsid w:val="1798EC26"/>
    <w:rsid w:val="1799FF2B"/>
    <w:rsid w:val="17B40A62"/>
    <w:rsid w:val="17CA119A"/>
    <w:rsid w:val="17CEECAF"/>
    <w:rsid w:val="17E599A3"/>
    <w:rsid w:val="17E74913"/>
    <w:rsid w:val="180D5B42"/>
    <w:rsid w:val="1828F023"/>
    <w:rsid w:val="182AF61C"/>
    <w:rsid w:val="1838683A"/>
    <w:rsid w:val="18590EEF"/>
    <w:rsid w:val="185DDB84"/>
    <w:rsid w:val="186AE981"/>
    <w:rsid w:val="1875F4A8"/>
    <w:rsid w:val="1888BC06"/>
    <w:rsid w:val="188D434D"/>
    <w:rsid w:val="18A499AF"/>
    <w:rsid w:val="18BEA720"/>
    <w:rsid w:val="18DAF4DC"/>
    <w:rsid w:val="18E35EEB"/>
    <w:rsid w:val="1903F101"/>
    <w:rsid w:val="1920CD00"/>
    <w:rsid w:val="19294743"/>
    <w:rsid w:val="192CD57D"/>
    <w:rsid w:val="19358198"/>
    <w:rsid w:val="1943E5C7"/>
    <w:rsid w:val="19583D76"/>
    <w:rsid w:val="1995A84A"/>
    <w:rsid w:val="1996C6F9"/>
    <w:rsid w:val="1998B6B1"/>
    <w:rsid w:val="19BAC08C"/>
    <w:rsid w:val="19C232F6"/>
    <w:rsid w:val="19C95A4F"/>
    <w:rsid w:val="19CA1F81"/>
    <w:rsid w:val="19DA17CD"/>
    <w:rsid w:val="19F3B967"/>
    <w:rsid w:val="1A09284F"/>
    <w:rsid w:val="1A165B57"/>
    <w:rsid w:val="1A20DE27"/>
    <w:rsid w:val="1A21799E"/>
    <w:rsid w:val="1A24D5E1"/>
    <w:rsid w:val="1A2571AE"/>
    <w:rsid w:val="1A32F981"/>
    <w:rsid w:val="1A73F73C"/>
    <w:rsid w:val="1A7614CC"/>
    <w:rsid w:val="1A777ED4"/>
    <w:rsid w:val="1A7928FB"/>
    <w:rsid w:val="1A97AF0A"/>
    <w:rsid w:val="1A98BBD4"/>
    <w:rsid w:val="1AA113EE"/>
    <w:rsid w:val="1AAB30AC"/>
    <w:rsid w:val="1AB07A2F"/>
    <w:rsid w:val="1ADC5EBB"/>
    <w:rsid w:val="1AE66388"/>
    <w:rsid w:val="1AFDA3CC"/>
    <w:rsid w:val="1B086909"/>
    <w:rsid w:val="1B252830"/>
    <w:rsid w:val="1B398617"/>
    <w:rsid w:val="1B5CA759"/>
    <w:rsid w:val="1B66F353"/>
    <w:rsid w:val="1B72F7BE"/>
    <w:rsid w:val="1B7F0C82"/>
    <w:rsid w:val="1B8DD52F"/>
    <w:rsid w:val="1B973348"/>
    <w:rsid w:val="1B9ECAF7"/>
    <w:rsid w:val="1BB3CBF8"/>
    <w:rsid w:val="1BD17C8C"/>
    <w:rsid w:val="1BD9028C"/>
    <w:rsid w:val="1C14CCCF"/>
    <w:rsid w:val="1C18AA49"/>
    <w:rsid w:val="1C1A2999"/>
    <w:rsid w:val="1C334810"/>
    <w:rsid w:val="1C439B1F"/>
    <w:rsid w:val="1C4618D4"/>
    <w:rsid w:val="1C6DD771"/>
    <w:rsid w:val="1C7B21CC"/>
    <w:rsid w:val="1C7FB553"/>
    <w:rsid w:val="1C83813A"/>
    <w:rsid w:val="1C86DE22"/>
    <w:rsid w:val="1CC0CCC5"/>
    <w:rsid w:val="1CC1E9BB"/>
    <w:rsid w:val="1CC41C0C"/>
    <w:rsid w:val="1CE6BC24"/>
    <w:rsid w:val="1CEF7EB5"/>
    <w:rsid w:val="1CEFCD94"/>
    <w:rsid w:val="1D050FAA"/>
    <w:rsid w:val="1D0FBEBC"/>
    <w:rsid w:val="1D197789"/>
    <w:rsid w:val="1D238E5C"/>
    <w:rsid w:val="1D3E50FE"/>
    <w:rsid w:val="1D49D25E"/>
    <w:rsid w:val="1D55F880"/>
    <w:rsid w:val="1D62CE7A"/>
    <w:rsid w:val="1D6858FA"/>
    <w:rsid w:val="1D7A4EE7"/>
    <w:rsid w:val="1D8E3787"/>
    <w:rsid w:val="1DC06B2A"/>
    <w:rsid w:val="1DD409A7"/>
    <w:rsid w:val="1DD68EC5"/>
    <w:rsid w:val="1DDCF34C"/>
    <w:rsid w:val="1DDFA3EF"/>
    <w:rsid w:val="1DF7B8DD"/>
    <w:rsid w:val="1DF7FA1A"/>
    <w:rsid w:val="1E0B2DA0"/>
    <w:rsid w:val="1E257610"/>
    <w:rsid w:val="1E281D8D"/>
    <w:rsid w:val="1E29AA7B"/>
    <w:rsid w:val="1E2E7D70"/>
    <w:rsid w:val="1E3641E8"/>
    <w:rsid w:val="1E5C290B"/>
    <w:rsid w:val="1E6FA1B4"/>
    <w:rsid w:val="1E7D037C"/>
    <w:rsid w:val="1E81BCC4"/>
    <w:rsid w:val="1E9A9626"/>
    <w:rsid w:val="1EB0E5F4"/>
    <w:rsid w:val="1EB7366E"/>
    <w:rsid w:val="1ECD39F4"/>
    <w:rsid w:val="1ECE4234"/>
    <w:rsid w:val="1ED661B4"/>
    <w:rsid w:val="1EDEBE55"/>
    <w:rsid w:val="1EFE554D"/>
    <w:rsid w:val="1F0DED1A"/>
    <w:rsid w:val="1F233100"/>
    <w:rsid w:val="1F39CDD5"/>
    <w:rsid w:val="1F53F732"/>
    <w:rsid w:val="1F595EF0"/>
    <w:rsid w:val="1F5B07C9"/>
    <w:rsid w:val="1F5BA908"/>
    <w:rsid w:val="1F65F56A"/>
    <w:rsid w:val="1F6F8AE8"/>
    <w:rsid w:val="1F9EAF86"/>
    <w:rsid w:val="1FAAA332"/>
    <w:rsid w:val="1FAB99E4"/>
    <w:rsid w:val="1FBC4E43"/>
    <w:rsid w:val="1FD525C0"/>
    <w:rsid w:val="1FDCBB38"/>
    <w:rsid w:val="2002B2B9"/>
    <w:rsid w:val="200F6BEC"/>
    <w:rsid w:val="20151A57"/>
    <w:rsid w:val="2017CF60"/>
    <w:rsid w:val="2017E776"/>
    <w:rsid w:val="201F4D15"/>
    <w:rsid w:val="202FE078"/>
    <w:rsid w:val="20436CD0"/>
    <w:rsid w:val="2043D6C1"/>
    <w:rsid w:val="2071D7B6"/>
    <w:rsid w:val="2073ED7C"/>
    <w:rsid w:val="20846FEA"/>
    <w:rsid w:val="208F5138"/>
    <w:rsid w:val="20BF0AE7"/>
    <w:rsid w:val="212F8228"/>
    <w:rsid w:val="214C6553"/>
    <w:rsid w:val="21545FFE"/>
    <w:rsid w:val="2154B6C2"/>
    <w:rsid w:val="2169EBA1"/>
    <w:rsid w:val="218020D0"/>
    <w:rsid w:val="21850BFA"/>
    <w:rsid w:val="21880484"/>
    <w:rsid w:val="219B5491"/>
    <w:rsid w:val="21A9256B"/>
    <w:rsid w:val="21B6F92A"/>
    <w:rsid w:val="21C3DB76"/>
    <w:rsid w:val="21CB52C2"/>
    <w:rsid w:val="21D140EA"/>
    <w:rsid w:val="21E27CB4"/>
    <w:rsid w:val="21F80F8F"/>
    <w:rsid w:val="21F9934D"/>
    <w:rsid w:val="220B9E32"/>
    <w:rsid w:val="2229F4C1"/>
    <w:rsid w:val="2238252F"/>
    <w:rsid w:val="2267FDCA"/>
    <w:rsid w:val="22BF6857"/>
    <w:rsid w:val="22C1618A"/>
    <w:rsid w:val="22E17CAC"/>
    <w:rsid w:val="22EAD6A3"/>
    <w:rsid w:val="230CB70C"/>
    <w:rsid w:val="231385D4"/>
    <w:rsid w:val="231519C4"/>
    <w:rsid w:val="232D123B"/>
    <w:rsid w:val="233AE8CA"/>
    <w:rsid w:val="23793108"/>
    <w:rsid w:val="23AF6780"/>
    <w:rsid w:val="23FC8ECF"/>
    <w:rsid w:val="240A7F96"/>
    <w:rsid w:val="242FB169"/>
    <w:rsid w:val="2436804C"/>
    <w:rsid w:val="243CDAF2"/>
    <w:rsid w:val="244E37A6"/>
    <w:rsid w:val="2458AE22"/>
    <w:rsid w:val="247629E1"/>
    <w:rsid w:val="248D6186"/>
    <w:rsid w:val="2492594A"/>
    <w:rsid w:val="2495434F"/>
    <w:rsid w:val="24A51525"/>
    <w:rsid w:val="24B6D092"/>
    <w:rsid w:val="24B979B9"/>
    <w:rsid w:val="24CDA8CD"/>
    <w:rsid w:val="24D1F3CE"/>
    <w:rsid w:val="24D4B2BF"/>
    <w:rsid w:val="24D90F20"/>
    <w:rsid w:val="24DC83C4"/>
    <w:rsid w:val="24F22EF1"/>
    <w:rsid w:val="25132084"/>
    <w:rsid w:val="2523E0E8"/>
    <w:rsid w:val="2570E2AC"/>
    <w:rsid w:val="258000C2"/>
    <w:rsid w:val="25A7BC7D"/>
    <w:rsid w:val="25C25CC2"/>
    <w:rsid w:val="25DCF07D"/>
    <w:rsid w:val="25FB5F9C"/>
    <w:rsid w:val="2604C53A"/>
    <w:rsid w:val="261CBDB0"/>
    <w:rsid w:val="261E0C3F"/>
    <w:rsid w:val="261F8D09"/>
    <w:rsid w:val="2639709F"/>
    <w:rsid w:val="264175FF"/>
    <w:rsid w:val="2667F720"/>
    <w:rsid w:val="266E1E3E"/>
    <w:rsid w:val="26745301"/>
    <w:rsid w:val="26874230"/>
    <w:rsid w:val="268A7F6C"/>
    <w:rsid w:val="26931F00"/>
    <w:rsid w:val="26A3BA7D"/>
    <w:rsid w:val="26A6D79E"/>
    <w:rsid w:val="26BEDF3A"/>
    <w:rsid w:val="26C65E6D"/>
    <w:rsid w:val="2717C499"/>
    <w:rsid w:val="27200B04"/>
    <w:rsid w:val="274C1582"/>
    <w:rsid w:val="2759B3F3"/>
    <w:rsid w:val="275C2F70"/>
    <w:rsid w:val="27820492"/>
    <w:rsid w:val="27B44E32"/>
    <w:rsid w:val="27D48380"/>
    <w:rsid w:val="27D9BC93"/>
    <w:rsid w:val="27E565DD"/>
    <w:rsid w:val="27F170F4"/>
    <w:rsid w:val="27F194EA"/>
    <w:rsid w:val="27F39613"/>
    <w:rsid w:val="2801A70A"/>
    <w:rsid w:val="280BBF9F"/>
    <w:rsid w:val="280CC226"/>
    <w:rsid w:val="2827283B"/>
    <w:rsid w:val="2844465B"/>
    <w:rsid w:val="2845BF97"/>
    <w:rsid w:val="2845E91E"/>
    <w:rsid w:val="284AF9C3"/>
    <w:rsid w:val="28501F16"/>
    <w:rsid w:val="28C7FAEF"/>
    <w:rsid w:val="28EF1109"/>
    <w:rsid w:val="28F46172"/>
    <w:rsid w:val="28FD5199"/>
    <w:rsid w:val="28FE65D1"/>
    <w:rsid w:val="2917EAC6"/>
    <w:rsid w:val="29247AAC"/>
    <w:rsid w:val="292B37B8"/>
    <w:rsid w:val="29333DAF"/>
    <w:rsid w:val="29497C47"/>
    <w:rsid w:val="294A0F3A"/>
    <w:rsid w:val="29706C60"/>
    <w:rsid w:val="297A4BC4"/>
    <w:rsid w:val="297EF334"/>
    <w:rsid w:val="29824D91"/>
    <w:rsid w:val="2985B0CF"/>
    <w:rsid w:val="29884085"/>
    <w:rsid w:val="29889A44"/>
    <w:rsid w:val="298D240A"/>
    <w:rsid w:val="29B79AB9"/>
    <w:rsid w:val="29C2B8D6"/>
    <w:rsid w:val="29DBEE28"/>
    <w:rsid w:val="29F9E53D"/>
    <w:rsid w:val="2A08981C"/>
    <w:rsid w:val="2A0E4F00"/>
    <w:rsid w:val="2A1EFF73"/>
    <w:rsid w:val="2A203742"/>
    <w:rsid w:val="2A22AD34"/>
    <w:rsid w:val="2A23CEDC"/>
    <w:rsid w:val="2A26C214"/>
    <w:rsid w:val="2A2FB547"/>
    <w:rsid w:val="2A3FEA71"/>
    <w:rsid w:val="2A5CEE23"/>
    <w:rsid w:val="2A68061A"/>
    <w:rsid w:val="2A7EB8C6"/>
    <w:rsid w:val="2A9E803E"/>
    <w:rsid w:val="2AA086E5"/>
    <w:rsid w:val="2AA0878F"/>
    <w:rsid w:val="2AB106A6"/>
    <w:rsid w:val="2AEDFAA2"/>
    <w:rsid w:val="2AEF5384"/>
    <w:rsid w:val="2B470319"/>
    <w:rsid w:val="2B5AA7CC"/>
    <w:rsid w:val="2B68CE35"/>
    <w:rsid w:val="2B77C485"/>
    <w:rsid w:val="2B8208F4"/>
    <w:rsid w:val="2B95EB68"/>
    <w:rsid w:val="2BBCBCCB"/>
    <w:rsid w:val="2BE1AABA"/>
    <w:rsid w:val="2BEE2DE7"/>
    <w:rsid w:val="2C0B29D5"/>
    <w:rsid w:val="2C10C3A9"/>
    <w:rsid w:val="2C24A48D"/>
    <w:rsid w:val="2C328350"/>
    <w:rsid w:val="2C40660D"/>
    <w:rsid w:val="2C41A403"/>
    <w:rsid w:val="2C4A767D"/>
    <w:rsid w:val="2C4CAF3B"/>
    <w:rsid w:val="2C735128"/>
    <w:rsid w:val="2C8D506B"/>
    <w:rsid w:val="2C9E5188"/>
    <w:rsid w:val="2CB9FDC0"/>
    <w:rsid w:val="2CD733C0"/>
    <w:rsid w:val="2CDEE015"/>
    <w:rsid w:val="2CE6D947"/>
    <w:rsid w:val="2CF2A55E"/>
    <w:rsid w:val="2CF36EB5"/>
    <w:rsid w:val="2D16135F"/>
    <w:rsid w:val="2D287CD4"/>
    <w:rsid w:val="2D41ED32"/>
    <w:rsid w:val="2D422E85"/>
    <w:rsid w:val="2D47D6E7"/>
    <w:rsid w:val="2D571980"/>
    <w:rsid w:val="2D96F53B"/>
    <w:rsid w:val="2D98762D"/>
    <w:rsid w:val="2DB6873F"/>
    <w:rsid w:val="2DD7D3B1"/>
    <w:rsid w:val="2E0DFA02"/>
    <w:rsid w:val="2E1BA890"/>
    <w:rsid w:val="2E262F4C"/>
    <w:rsid w:val="2E36AC44"/>
    <w:rsid w:val="2E8132D9"/>
    <w:rsid w:val="2E82088A"/>
    <w:rsid w:val="2E8CBF86"/>
    <w:rsid w:val="2EADFD8A"/>
    <w:rsid w:val="2ECE5264"/>
    <w:rsid w:val="2F17C807"/>
    <w:rsid w:val="2F1E72A8"/>
    <w:rsid w:val="2F4460E2"/>
    <w:rsid w:val="2F4B4428"/>
    <w:rsid w:val="2F5A0707"/>
    <w:rsid w:val="2FA54DFF"/>
    <w:rsid w:val="2FAEF388"/>
    <w:rsid w:val="2FB167BD"/>
    <w:rsid w:val="2FBCBFDE"/>
    <w:rsid w:val="2FC2CACD"/>
    <w:rsid w:val="2FD7A295"/>
    <w:rsid w:val="2FDE2478"/>
    <w:rsid w:val="2FE30AD4"/>
    <w:rsid w:val="2FE431D5"/>
    <w:rsid w:val="30021942"/>
    <w:rsid w:val="303008D4"/>
    <w:rsid w:val="304BA59C"/>
    <w:rsid w:val="304F2EE6"/>
    <w:rsid w:val="30A23136"/>
    <w:rsid w:val="30C22B64"/>
    <w:rsid w:val="30D8AD6C"/>
    <w:rsid w:val="30DD0407"/>
    <w:rsid w:val="310666A3"/>
    <w:rsid w:val="31097D87"/>
    <w:rsid w:val="311496E1"/>
    <w:rsid w:val="313B7C97"/>
    <w:rsid w:val="31BDE86F"/>
    <w:rsid w:val="31F90646"/>
    <w:rsid w:val="32031D8A"/>
    <w:rsid w:val="320C0AEC"/>
    <w:rsid w:val="322A1312"/>
    <w:rsid w:val="325F2C23"/>
    <w:rsid w:val="326802C6"/>
    <w:rsid w:val="326AC794"/>
    <w:rsid w:val="326B5BE3"/>
    <w:rsid w:val="32718C62"/>
    <w:rsid w:val="328F0D7B"/>
    <w:rsid w:val="32A39EF3"/>
    <w:rsid w:val="32A9FD25"/>
    <w:rsid w:val="32ABBC0C"/>
    <w:rsid w:val="32B3D268"/>
    <w:rsid w:val="32BF8409"/>
    <w:rsid w:val="32BFD446"/>
    <w:rsid w:val="32D32A62"/>
    <w:rsid w:val="32D4C77B"/>
    <w:rsid w:val="32F7D046"/>
    <w:rsid w:val="33090197"/>
    <w:rsid w:val="3315EF99"/>
    <w:rsid w:val="331E8D62"/>
    <w:rsid w:val="33500E25"/>
    <w:rsid w:val="33756F21"/>
    <w:rsid w:val="337FC5E6"/>
    <w:rsid w:val="3384269C"/>
    <w:rsid w:val="33971E04"/>
    <w:rsid w:val="33B45962"/>
    <w:rsid w:val="33BA726A"/>
    <w:rsid w:val="33BF2A3B"/>
    <w:rsid w:val="33CAC652"/>
    <w:rsid w:val="33DD8A28"/>
    <w:rsid w:val="3402E772"/>
    <w:rsid w:val="340359A8"/>
    <w:rsid w:val="3407E1C2"/>
    <w:rsid w:val="340BF403"/>
    <w:rsid w:val="341591EE"/>
    <w:rsid w:val="34282EED"/>
    <w:rsid w:val="34342D0F"/>
    <w:rsid w:val="3438179F"/>
    <w:rsid w:val="34389300"/>
    <w:rsid w:val="343DB531"/>
    <w:rsid w:val="34489CD2"/>
    <w:rsid w:val="345BE434"/>
    <w:rsid w:val="346AB4A2"/>
    <w:rsid w:val="3486DD43"/>
    <w:rsid w:val="349F2E1C"/>
    <w:rsid w:val="34BE804B"/>
    <w:rsid w:val="34CE429F"/>
    <w:rsid w:val="34D0F5CD"/>
    <w:rsid w:val="34E18040"/>
    <w:rsid w:val="34E9B3FE"/>
    <w:rsid w:val="34EA3FDD"/>
    <w:rsid w:val="35271CBC"/>
    <w:rsid w:val="354B60E8"/>
    <w:rsid w:val="3558AA48"/>
    <w:rsid w:val="359EFA49"/>
    <w:rsid w:val="35A071E0"/>
    <w:rsid w:val="35CF02C1"/>
    <w:rsid w:val="35DF3C6A"/>
    <w:rsid w:val="36141C09"/>
    <w:rsid w:val="3643801C"/>
    <w:rsid w:val="366F5323"/>
    <w:rsid w:val="3684E9B4"/>
    <w:rsid w:val="3692D8C0"/>
    <w:rsid w:val="36996780"/>
    <w:rsid w:val="369D19B0"/>
    <w:rsid w:val="36C940B1"/>
    <w:rsid w:val="36CF9F17"/>
    <w:rsid w:val="36D21DB3"/>
    <w:rsid w:val="36E2B9C7"/>
    <w:rsid w:val="36E665C7"/>
    <w:rsid w:val="36E8CF78"/>
    <w:rsid w:val="36F3574C"/>
    <w:rsid w:val="3702B966"/>
    <w:rsid w:val="37224D0C"/>
    <w:rsid w:val="37305EB0"/>
    <w:rsid w:val="373C0C5B"/>
    <w:rsid w:val="3764806E"/>
    <w:rsid w:val="37723763"/>
    <w:rsid w:val="377CB5C0"/>
    <w:rsid w:val="379475E9"/>
    <w:rsid w:val="37ADEB27"/>
    <w:rsid w:val="37B77540"/>
    <w:rsid w:val="37C65F5E"/>
    <w:rsid w:val="37DD5BB9"/>
    <w:rsid w:val="37E27B39"/>
    <w:rsid w:val="37EE5569"/>
    <w:rsid w:val="37FB8627"/>
    <w:rsid w:val="3818B5AE"/>
    <w:rsid w:val="383907F5"/>
    <w:rsid w:val="383A0344"/>
    <w:rsid w:val="38920B4B"/>
    <w:rsid w:val="38CD6935"/>
    <w:rsid w:val="38D0075F"/>
    <w:rsid w:val="38E29F7A"/>
    <w:rsid w:val="38E3DD5C"/>
    <w:rsid w:val="39055B70"/>
    <w:rsid w:val="3907EFFC"/>
    <w:rsid w:val="390905A5"/>
    <w:rsid w:val="3909B458"/>
    <w:rsid w:val="391369E9"/>
    <w:rsid w:val="391867E8"/>
    <w:rsid w:val="39252563"/>
    <w:rsid w:val="39302B15"/>
    <w:rsid w:val="39320C5B"/>
    <w:rsid w:val="39413F11"/>
    <w:rsid w:val="3962F915"/>
    <w:rsid w:val="39662BD6"/>
    <w:rsid w:val="397628AE"/>
    <w:rsid w:val="39852F8A"/>
    <w:rsid w:val="399D4390"/>
    <w:rsid w:val="39B39D7C"/>
    <w:rsid w:val="39B671EE"/>
    <w:rsid w:val="39CA8F44"/>
    <w:rsid w:val="39EA67F3"/>
    <w:rsid w:val="39F1877E"/>
    <w:rsid w:val="39FDD021"/>
    <w:rsid w:val="3A042141"/>
    <w:rsid w:val="3A1EA761"/>
    <w:rsid w:val="3A30024A"/>
    <w:rsid w:val="3A30A238"/>
    <w:rsid w:val="3A450B9D"/>
    <w:rsid w:val="3A4E39DF"/>
    <w:rsid w:val="3A5E2431"/>
    <w:rsid w:val="3A80BAEF"/>
    <w:rsid w:val="3A86BCE7"/>
    <w:rsid w:val="3AC7747D"/>
    <w:rsid w:val="3AE660CA"/>
    <w:rsid w:val="3B5053F2"/>
    <w:rsid w:val="3B560C04"/>
    <w:rsid w:val="3B6A6D03"/>
    <w:rsid w:val="3B6E09A7"/>
    <w:rsid w:val="3B73B305"/>
    <w:rsid w:val="3B83D349"/>
    <w:rsid w:val="3B87513E"/>
    <w:rsid w:val="3B8893AA"/>
    <w:rsid w:val="3B8D529D"/>
    <w:rsid w:val="3B901793"/>
    <w:rsid w:val="3B90CA94"/>
    <w:rsid w:val="3B9A1969"/>
    <w:rsid w:val="3B9D4C2A"/>
    <w:rsid w:val="3BA9FF0D"/>
    <w:rsid w:val="3BBDA3C7"/>
    <w:rsid w:val="3BD46A38"/>
    <w:rsid w:val="3C139594"/>
    <w:rsid w:val="3C184BCC"/>
    <w:rsid w:val="3C2787CB"/>
    <w:rsid w:val="3C6A5AE5"/>
    <w:rsid w:val="3C76AA17"/>
    <w:rsid w:val="3C910A8B"/>
    <w:rsid w:val="3CA00F2C"/>
    <w:rsid w:val="3CAD4107"/>
    <w:rsid w:val="3CE0E0E9"/>
    <w:rsid w:val="3CF33415"/>
    <w:rsid w:val="3D12D20C"/>
    <w:rsid w:val="3D40012E"/>
    <w:rsid w:val="3D48C3CB"/>
    <w:rsid w:val="3D4AF061"/>
    <w:rsid w:val="3D569AD3"/>
    <w:rsid w:val="3D5CF2FF"/>
    <w:rsid w:val="3D75B6B5"/>
    <w:rsid w:val="3D87B3A6"/>
    <w:rsid w:val="3D939700"/>
    <w:rsid w:val="3D97C0E6"/>
    <w:rsid w:val="3DE1FEDA"/>
    <w:rsid w:val="3E118E94"/>
    <w:rsid w:val="3E811734"/>
    <w:rsid w:val="3E885193"/>
    <w:rsid w:val="3E8F04AC"/>
    <w:rsid w:val="3E91CCDE"/>
    <w:rsid w:val="3ECC7785"/>
    <w:rsid w:val="3ED3EFD7"/>
    <w:rsid w:val="3EEAFEA9"/>
    <w:rsid w:val="3EF314D3"/>
    <w:rsid w:val="3FC57D1E"/>
    <w:rsid w:val="3FCDD228"/>
    <w:rsid w:val="3FD03E1D"/>
    <w:rsid w:val="3FF0E709"/>
    <w:rsid w:val="400D48B7"/>
    <w:rsid w:val="403F1598"/>
    <w:rsid w:val="40811EBA"/>
    <w:rsid w:val="4099BD73"/>
    <w:rsid w:val="409D4040"/>
    <w:rsid w:val="40C8289B"/>
    <w:rsid w:val="40D51441"/>
    <w:rsid w:val="40DE357C"/>
    <w:rsid w:val="4112B836"/>
    <w:rsid w:val="41206B90"/>
    <w:rsid w:val="413C3C88"/>
    <w:rsid w:val="414A242B"/>
    <w:rsid w:val="416F3061"/>
    <w:rsid w:val="41713DC9"/>
    <w:rsid w:val="417B0E27"/>
    <w:rsid w:val="41823B29"/>
    <w:rsid w:val="418B3512"/>
    <w:rsid w:val="41B7FD04"/>
    <w:rsid w:val="41E73E98"/>
    <w:rsid w:val="41F678A7"/>
    <w:rsid w:val="421EEED3"/>
    <w:rsid w:val="426B4377"/>
    <w:rsid w:val="42718F4E"/>
    <w:rsid w:val="42799489"/>
    <w:rsid w:val="427AA405"/>
    <w:rsid w:val="428159D6"/>
    <w:rsid w:val="4296806E"/>
    <w:rsid w:val="42CA7412"/>
    <w:rsid w:val="42D32089"/>
    <w:rsid w:val="42DA300F"/>
    <w:rsid w:val="42DFA060"/>
    <w:rsid w:val="42F1FC95"/>
    <w:rsid w:val="42F69B4D"/>
    <w:rsid w:val="42F9AE7C"/>
    <w:rsid w:val="43041697"/>
    <w:rsid w:val="4323CC00"/>
    <w:rsid w:val="4324FE74"/>
    <w:rsid w:val="4350ED86"/>
    <w:rsid w:val="437CB76A"/>
    <w:rsid w:val="43804D28"/>
    <w:rsid w:val="438E82BC"/>
    <w:rsid w:val="43A3903E"/>
    <w:rsid w:val="43AAEA67"/>
    <w:rsid w:val="43B38BBC"/>
    <w:rsid w:val="43BD729B"/>
    <w:rsid w:val="43C0391F"/>
    <w:rsid w:val="43C52771"/>
    <w:rsid w:val="43C9EF7F"/>
    <w:rsid w:val="43CD6373"/>
    <w:rsid w:val="43D394C6"/>
    <w:rsid w:val="43D886AA"/>
    <w:rsid w:val="43E5331C"/>
    <w:rsid w:val="43EC56F8"/>
    <w:rsid w:val="43F353E3"/>
    <w:rsid w:val="43F35E90"/>
    <w:rsid w:val="440B034F"/>
    <w:rsid w:val="44166F6E"/>
    <w:rsid w:val="4429DB97"/>
    <w:rsid w:val="442BF1FE"/>
    <w:rsid w:val="44356656"/>
    <w:rsid w:val="443ADD21"/>
    <w:rsid w:val="443B95D3"/>
    <w:rsid w:val="44495861"/>
    <w:rsid w:val="44733305"/>
    <w:rsid w:val="4477D81A"/>
    <w:rsid w:val="447CB4BB"/>
    <w:rsid w:val="447F2A76"/>
    <w:rsid w:val="448B520D"/>
    <w:rsid w:val="44B456DD"/>
    <w:rsid w:val="44D50C44"/>
    <w:rsid w:val="44D8F0D1"/>
    <w:rsid w:val="44DE2299"/>
    <w:rsid w:val="44E0762E"/>
    <w:rsid w:val="44E42BCB"/>
    <w:rsid w:val="44F97585"/>
    <w:rsid w:val="44FF0A72"/>
    <w:rsid w:val="4509C9ED"/>
    <w:rsid w:val="451D26B7"/>
    <w:rsid w:val="4525FC96"/>
    <w:rsid w:val="452FC154"/>
    <w:rsid w:val="4530B94A"/>
    <w:rsid w:val="456D08A5"/>
    <w:rsid w:val="456E509A"/>
    <w:rsid w:val="459A7240"/>
    <w:rsid w:val="459ECB84"/>
    <w:rsid w:val="45A28B31"/>
    <w:rsid w:val="45AF0295"/>
    <w:rsid w:val="45B6C250"/>
    <w:rsid w:val="45C443AD"/>
    <w:rsid w:val="45C48F68"/>
    <w:rsid w:val="45D96011"/>
    <w:rsid w:val="45DFB3B8"/>
    <w:rsid w:val="45F621A2"/>
    <w:rsid w:val="4607F5EC"/>
    <w:rsid w:val="460C7A75"/>
    <w:rsid w:val="4654ED96"/>
    <w:rsid w:val="46632B46"/>
    <w:rsid w:val="4689C894"/>
    <w:rsid w:val="46BDE76C"/>
    <w:rsid w:val="46C11F90"/>
    <w:rsid w:val="46D22501"/>
    <w:rsid w:val="46D3F991"/>
    <w:rsid w:val="46E58FE9"/>
    <w:rsid w:val="46E95FB0"/>
    <w:rsid w:val="46EC3E92"/>
    <w:rsid w:val="46ED53C4"/>
    <w:rsid w:val="470FE4E0"/>
    <w:rsid w:val="475FBB67"/>
    <w:rsid w:val="47682647"/>
    <w:rsid w:val="478E2F1A"/>
    <w:rsid w:val="47A52518"/>
    <w:rsid w:val="47A8661C"/>
    <w:rsid w:val="47BB581D"/>
    <w:rsid w:val="47BBD5CA"/>
    <w:rsid w:val="47C1E396"/>
    <w:rsid w:val="47C4A669"/>
    <w:rsid w:val="47C8212B"/>
    <w:rsid w:val="47D4902F"/>
    <w:rsid w:val="47FD5AAF"/>
    <w:rsid w:val="48048861"/>
    <w:rsid w:val="48063D35"/>
    <w:rsid w:val="4806DADA"/>
    <w:rsid w:val="482666BA"/>
    <w:rsid w:val="4831F593"/>
    <w:rsid w:val="48767FE2"/>
    <w:rsid w:val="487910FC"/>
    <w:rsid w:val="48802B6B"/>
    <w:rsid w:val="4883EC7E"/>
    <w:rsid w:val="4886394F"/>
    <w:rsid w:val="489F24D3"/>
    <w:rsid w:val="489FCC7A"/>
    <w:rsid w:val="48AD269C"/>
    <w:rsid w:val="48BAE948"/>
    <w:rsid w:val="48BCEBB5"/>
    <w:rsid w:val="48E46915"/>
    <w:rsid w:val="48EE4EA4"/>
    <w:rsid w:val="48FE0EA2"/>
    <w:rsid w:val="49009211"/>
    <w:rsid w:val="4908CBB2"/>
    <w:rsid w:val="4922A12F"/>
    <w:rsid w:val="49440F8D"/>
    <w:rsid w:val="4957BFF6"/>
    <w:rsid w:val="49599327"/>
    <w:rsid w:val="49628FCB"/>
    <w:rsid w:val="497B1618"/>
    <w:rsid w:val="49910BB4"/>
    <w:rsid w:val="49972936"/>
    <w:rsid w:val="49A4D641"/>
    <w:rsid w:val="49A89044"/>
    <w:rsid w:val="49C9D06E"/>
    <w:rsid w:val="49D29506"/>
    <w:rsid w:val="49E2E03C"/>
    <w:rsid w:val="49E66A4E"/>
    <w:rsid w:val="49EAA891"/>
    <w:rsid w:val="4A04C592"/>
    <w:rsid w:val="4A41807F"/>
    <w:rsid w:val="4A51784A"/>
    <w:rsid w:val="4A52543F"/>
    <w:rsid w:val="4A54E665"/>
    <w:rsid w:val="4A56B765"/>
    <w:rsid w:val="4A573E6A"/>
    <w:rsid w:val="4A9B97FF"/>
    <w:rsid w:val="4AAE181B"/>
    <w:rsid w:val="4ACA762F"/>
    <w:rsid w:val="4AE42446"/>
    <w:rsid w:val="4AFF76EF"/>
    <w:rsid w:val="4B038944"/>
    <w:rsid w:val="4B05CB5F"/>
    <w:rsid w:val="4B06AEAE"/>
    <w:rsid w:val="4B0733A6"/>
    <w:rsid w:val="4B107163"/>
    <w:rsid w:val="4B4EBA21"/>
    <w:rsid w:val="4B50F05A"/>
    <w:rsid w:val="4B5AA1DA"/>
    <w:rsid w:val="4B6A632C"/>
    <w:rsid w:val="4B704A05"/>
    <w:rsid w:val="4B711027"/>
    <w:rsid w:val="4B72E453"/>
    <w:rsid w:val="4B7F546A"/>
    <w:rsid w:val="4B897C17"/>
    <w:rsid w:val="4B8F3BA2"/>
    <w:rsid w:val="4BEAB8BE"/>
    <w:rsid w:val="4BF2B184"/>
    <w:rsid w:val="4C0E1599"/>
    <w:rsid w:val="4C4FE134"/>
    <w:rsid w:val="4C626ED7"/>
    <w:rsid w:val="4C685B80"/>
    <w:rsid w:val="4CA3B571"/>
    <w:rsid w:val="4CB579D4"/>
    <w:rsid w:val="4CCEFAD9"/>
    <w:rsid w:val="4CE16561"/>
    <w:rsid w:val="4D080B7B"/>
    <w:rsid w:val="4D1667A0"/>
    <w:rsid w:val="4D1A2B71"/>
    <w:rsid w:val="4D1C0F89"/>
    <w:rsid w:val="4D2F6440"/>
    <w:rsid w:val="4D34E8B9"/>
    <w:rsid w:val="4D48DECA"/>
    <w:rsid w:val="4D593C84"/>
    <w:rsid w:val="4D5E6E11"/>
    <w:rsid w:val="4D638982"/>
    <w:rsid w:val="4D686FB5"/>
    <w:rsid w:val="4D772903"/>
    <w:rsid w:val="4DA110E6"/>
    <w:rsid w:val="4DAAA511"/>
    <w:rsid w:val="4DB60BE9"/>
    <w:rsid w:val="4DBD3792"/>
    <w:rsid w:val="4DC27DFB"/>
    <w:rsid w:val="4DC81A9A"/>
    <w:rsid w:val="4DCB2FBA"/>
    <w:rsid w:val="4DCCB61B"/>
    <w:rsid w:val="4DDE5742"/>
    <w:rsid w:val="4DE3477E"/>
    <w:rsid w:val="4DE53F15"/>
    <w:rsid w:val="4DF83CA9"/>
    <w:rsid w:val="4E181ACA"/>
    <w:rsid w:val="4E24B4FF"/>
    <w:rsid w:val="4E2A0640"/>
    <w:rsid w:val="4E2A9B91"/>
    <w:rsid w:val="4E3096B2"/>
    <w:rsid w:val="4E30D08D"/>
    <w:rsid w:val="4E3ADB43"/>
    <w:rsid w:val="4E6D2ED5"/>
    <w:rsid w:val="4E6FC05F"/>
    <w:rsid w:val="4E8F8A59"/>
    <w:rsid w:val="4EDC79C5"/>
    <w:rsid w:val="4EF3E49D"/>
    <w:rsid w:val="4F0E65DD"/>
    <w:rsid w:val="4F2B73BB"/>
    <w:rsid w:val="4F3E25E6"/>
    <w:rsid w:val="4F49D117"/>
    <w:rsid w:val="4F6592E4"/>
    <w:rsid w:val="4F8A5935"/>
    <w:rsid w:val="4FA82D73"/>
    <w:rsid w:val="4FAE0BEE"/>
    <w:rsid w:val="4FC4A495"/>
    <w:rsid w:val="4FCC9EB1"/>
    <w:rsid w:val="4FDF8D84"/>
    <w:rsid w:val="4FEDA608"/>
    <w:rsid w:val="50190FF3"/>
    <w:rsid w:val="50211262"/>
    <w:rsid w:val="50265EF6"/>
    <w:rsid w:val="50270492"/>
    <w:rsid w:val="50498691"/>
    <w:rsid w:val="506006E3"/>
    <w:rsid w:val="507FA8BA"/>
    <w:rsid w:val="5083E23C"/>
    <w:rsid w:val="50A37EA2"/>
    <w:rsid w:val="50B61297"/>
    <w:rsid w:val="50C67A36"/>
    <w:rsid w:val="50CB0A36"/>
    <w:rsid w:val="50E4361A"/>
    <w:rsid w:val="50F48423"/>
    <w:rsid w:val="50F5EBC3"/>
    <w:rsid w:val="51002621"/>
    <w:rsid w:val="51486B82"/>
    <w:rsid w:val="51499C87"/>
    <w:rsid w:val="515067EA"/>
    <w:rsid w:val="515E30F6"/>
    <w:rsid w:val="5174AEC2"/>
    <w:rsid w:val="519437FD"/>
    <w:rsid w:val="519E2C02"/>
    <w:rsid w:val="51A4AA75"/>
    <w:rsid w:val="51B809C7"/>
    <w:rsid w:val="51D3D4C5"/>
    <w:rsid w:val="51F5CDE9"/>
    <w:rsid w:val="51F83613"/>
    <w:rsid w:val="51FC5402"/>
    <w:rsid w:val="51FF06B5"/>
    <w:rsid w:val="5201A728"/>
    <w:rsid w:val="5205F189"/>
    <w:rsid w:val="520A88FD"/>
    <w:rsid w:val="5210051C"/>
    <w:rsid w:val="522C319A"/>
    <w:rsid w:val="5296DB90"/>
    <w:rsid w:val="5298D335"/>
    <w:rsid w:val="52B131E2"/>
    <w:rsid w:val="52B30F27"/>
    <w:rsid w:val="52F88025"/>
    <w:rsid w:val="531BD140"/>
    <w:rsid w:val="534CDCB4"/>
    <w:rsid w:val="5377389D"/>
    <w:rsid w:val="539EE5E6"/>
    <w:rsid w:val="53CC6D65"/>
    <w:rsid w:val="53D03782"/>
    <w:rsid w:val="53D057E1"/>
    <w:rsid w:val="53D26589"/>
    <w:rsid w:val="53DC3CC2"/>
    <w:rsid w:val="53F12AA4"/>
    <w:rsid w:val="540DCDCB"/>
    <w:rsid w:val="540FE5DC"/>
    <w:rsid w:val="542B5778"/>
    <w:rsid w:val="543370D0"/>
    <w:rsid w:val="545FF4D6"/>
    <w:rsid w:val="54944383"/>
    <w:rsid w:val="54955CCF"/>
    <w:rsid w:val="54988740"/>
    <w:rsid w:val="54A250FA"/>
    <w:rsid w:val="54CBCFFA"/>
    <w:rsid w:val="54D482D2"/>
    <w:rsid w:val="54E0E07D"/>
    <w:rsid w:val="54E0FEEB"/>
    <w:rsid w:val="54E24CD6"/>
    <w:rsid w:val="54E7CE58"/>
    <w:rsid w:val="55110441"/>
    <w:rsid w:val="552D0BA1"/>
    <w:rsid w:val="55358797"/>
    <w:rsid w:val="5546442D"/>
    <w:rsid w:val="55519EF3"/>
    <w:rsid w:val="555B8BC2"/>
    <w:rsid w:val="558D5514"/>
    <w:rsid w:val="55A64E3A"/>
    <w:rsid w:val="55B0F33F"/>
    <w:rsid w:val="55C4DB08"/>
    <w:rsid w:val="560149D9"/>
    <w:rsid w:val="56212B96"/>
    <w:rsid w:val="5624AA6C"/>
    <w:rsid w:val="5629A77C"/>
    <w:rsid w:val="56329C5D"/>
    <w:rsid w:val="56631539"/>
    <w:rsid w:val="5669D4CE"/>
    <w:rsid w:val="566A4717"/>
    <w:rsid w:val="568179BE"/>
    <w:rsid w:val="568A92B1"/>
    <w:rsid w:val="56916CC8"/>
    <w:rsid w:val="56A872CF"/>
    <w:rsid w:val="56B66143"/>
    <w:rsid w:val="56BD655B"/>
    <w:rsid w:val="56C474B9"/>
    <w:rsid w:val="56CE60B4"/>
    <w:rsid w:val="56FAFB55"/>
    <w:rsid w:val="571C6831"/>
    <w:rsid w:val="5723C22D"/>
    <w:rsid w:val="573A375E"/>
    <w:rsid w:val="57528827"/>
    <w:rsid w:val="575D27C6"/>
    <w:rsid w:val="5768C9F0"/>
    <w:rsid w:val="57B1C413"/>
    <w:rsid w:val="57C49DA0"/>
    <w:rsid w:val="57DF0E43"/>
    <w:rsid w:val="5801E9E0"/>
    <w:rsid w:val="58068477"/>
    <w:rsid w:val="5810F95B"/>
    <w:rsid w:val="5874BDA6"/>
    <w:rsid w:val="58772938"/>
    <w:rsid w:val="589E18FF"/>
    <w:rsid w:val="58B92B42"/>
    <w:rsid w:val="58C22447"/>
    <w:rsid w:val="58C4DB1E"/>
    <w:rsid w:val="58E98588"/>
    <w:rsid w:val="58EFCEEC"/>
    <w:rsid w:val="58F1403D"/>
    <w:rsid w:val="5903351C"/>
    <w:rsid w:val="5913E052"/>
    <w:rsid w:val="591657DE"/>
    <w:rsid w:val="59240036"/>
    <w:rsid w:val="594074D3"/>
    <w:rsid w:val="5947F079"/>
    <w:rsid w:val="594ADE00"/>
    <w:rsid w:val="594C95DE"/>
    <w:rsid w:val="5951FC2F"/>
    <w:rsid w:val="599689ED"/>
    <w:rsid w:val="59ACBE26"/>
    <w:rsid w:val="59C12129"/>
    <w:rsid w:val="59C12BC1"/>
    <w:rsid w:val="59C6885D"/>
    <w:rsid w:val="59DA201D"/>
    <w:rsid w:val="59DB1D6C"/>
    <w:rsid w:val="59DC91D0"/>
    <w:rsid w:val="59ED56A8"/>
    <w:rsid w:val="5A03740C"/>
    <w:rsid w:val="5A03BA38"/>
    <w:rsid w:val="5A31DA4F"/>
    <w:rsid w:val="5A3C13B0"/>
    <w:rsid w:val="5A583850"/>
    <w:rsid w:val="5A5B4629"/>
    <w:rsid w:val="5A5CE385"/>
    <w:rsid w:val="5AA0218E"/>
    <w:rsid w:val="5ABD4FC9"/>
    <w:rsid w:val="5AC480D4"/>
    <w:rsid w:val="5ACC1340"/>
    <w:rsid w:val="5AE84A9D"/>
    <w:rsid w:val="5AECED5D"/>
    <w:rsid w:val="5AEDE09A"/>
    <w:rsid w:val="5AF3F445"/>
    <w:rsid w:val="5B02DD08"/>
    <w:rsid w:val="5B036F99"/>
    <w:rsid w:val="5B03F640"/>
    <w:rsid w:val="5B11AFEA"/>
    <w:rsid w:val="5B25C0B6"/>
    <w:rsid w:val="5B2D03C4"/>
    <w:rsid w:val="5B2F7210"/>
    <w:rsid w:val="5B401082"/>
    <w:rsid w:val="5B4CE075"/>
    <w:rsid w:val="5B4E5D01"/>
    <w:rsid w:val="5B94BA7D"/>
    <w:rsid w:val="5BADF687"/>
    <w:rsid w:val="5BC46895"/>
    <w:rsid w:val="5BC8DC0F"/>
    <w:rsid w:val="5BF9EB3F"/>
    <w:rsid w:val="5C171139"/>
    <w:rsid w:val="5C2A612F"/>
    <w:rsid w:val="5C483863"/>
    <w:rsid w:val="5C90623A"/>
    <w:rsid w:val="5CB0A2F3"/>
    <w:rsid w:val="5CCEA45D"/>
    <w:rsid w:val="5CDAE8D7"/>
    <w:rsid w:val="5CF1693E"/>
    <w:rsid w:val="5CF32037"/>
    <w:rsid w:val="5CFB67CC"/>
    <w:rsid w:val="5D0391C0"/>
    <w:rsid w:val="5D08573E"/>
    <w:rsid w:val="5D1AE3E5"/>
    <w:rsid w:val="5D1FCC88"/>
    <w:rsid w:val="5D3D3692"/>
    <w:rsid w:val="5D4E27E1"/>
    <w:rsid w:val="5D519992"/>
    <w:rsid w:val="5D6CEA8D"/>
    <w:rsid w:val="5D8EF2B7"/>
    <w:rsid w:val="5D971F92"/>
    <w:rsid w:val="5DA03FFD"/>
    <w:rsid w:val="5DA654F6"/>
    <w:rsid w:val="5DAD282D"/>
    <w:rsid w:val="5DC15761"/>
    <w:rsid w:val="5DE1B82B"/>
    <w:rsid w:val="5DF492A2"/>
    <w:rsid w:val="5DFA07CF"/>
    <w:rsid w:val="5E021007"/>
    <w:rsid w:val="5E07B148"/>
    <w:rsid w:val="5E2B21C8"/>
    <w:rsid w:val="5E3D9613"/>
    <w:rsid w:val="5E4F7ED9"/>
    <w:rsid w:val="5E665DE1"/>
    <w:rsid w:val="5E823EB0"/>
    <w:rsid w:val="5E833A0A"/>
    <w:rsid w:val="5E835650"/>
    <w:rsid w:val="5E9175B6"/>
    <w:rsid w:val="5E9A2C8A"/>
    <w:rsid w:val="5EADDA71"/>
    <w:rsid w:val="5EC217F7"/>
    <w:rsid w:val="5ECE260B"/>
    <w:rsid w:val="5EED4706"/>
    <w:rsid w:val="5EF57DBC"/>
    <w:rsid w:val="5F02A754"/>
    <w:rsid w:val="5F0CBB49"/>
    <w:rsid w:val="5F4597B7"/>
    <w:rsid w:val="5F4967CD"/>
    <w:rsid w:val="5F6DD6B4"/>
    <w:rsid w:val="5F6F5A81"/>
    <w:rsid w:val="5F73D1AC"/>
    <w:rsid w:val="5F98EA27"/>
    <w:rsid w:val="5FAD8A68"/>
    <w:rsid w:val="5FCEF4F5"/>
    <w:rsid w:val="5FCF341B"/>
    <w:rsid w:val="5FCF71B0"/>
    <w:rsid w:val="5FE5CA0A"/>
    <w:rsid w:val="5FEAC787"/>
    <w:rsid w:val="5FF27255"/>
    <w:rsid w:val="6009CEFB"/>
    <w:rsid w:val="600A0BE5"/>
    <w:rsid w:val="601F26B1"/>
    <w:rsid w:val="60272007"/>
    <w:rsid w:val="603DD706"/>
    <w:rsid w:val="603E4F18"/>
    <w:rsid w:val="60621AF0"/>
    <w:rsid w:val="60918B2F"/>
    <w:rsid w:val="60934CBD"/>
    <w:rsid w:val="60977FD3"/>
    <w:rsid w:val="60A48CC5"/>
    <w:rsid w:val="60A8189A"/>
    <w:rsid w:val="60B792A3"/>
    <w:rsid w:val="60C4F216"/>
    <w:rsid w:val="60D847BB"/>
    <w:rsid w:val="60F666C5"/>
    <w:rsid w:val="60FB39CD"/>
    <w:rsid w:val="60FDC9C4"/>
    <w:rsid w:val="610B0CFF"/>
    <w:rsid w:val="61224EB9"/>
    <w:rsid w:val="612FF6D8"/>
    <w:rsid w:val="6134757A"/>
    <w:rsid w:val="61395DF8"/>
    <w:rsid w:val="617BF595"/>
    <w:rsid w:val="617C1552"/>
    <w:rsid w:val="6180A5BD"/>
    <w:rsid w:val="61A3E870"/>
    <w:rsid w:val="61EC439B"/>
    <w:rsid w:val="61FDCEAF"/>
    <w:rsid w:val="61FFABFD"/>
    <w:rsid w:val="62038F42"/>
    <w:rsid w:val="6236458C"/>
    <w:rsid w:val="6280E221"/>
    <w:rsid w:val="62952EA6"/>
    <w:rsid w:val="62981F91"/>
    <w:rsid w:val="629D9679"/>
    <w:rsid w:val="62A8E028"/>
    <w:rsid w:val="62AA9868"/>
    <w:rsid w:val="62CBACC7"/>
    <w:rsid w:val="62CDCA34"/>
    <w:rsid w:val="62D113C7"/>
    <w:rsid w:val="62D7F61E"/>
    <w:rsid w:val="62E85F0F"/>
    <w:rsid w:val="631800FE"/>
    <w:rsid w:val="6334CCC1"/>
    <w:rsid w:val="63530AA9"/>
    <w:rsid w:val="635B294E"/>
    <w:rsid w:val="635DF66D"/>
    <w:rsid w:val="6360F65D"/>
    <w:rsid w:val="637D3A55"/>
    <w:rsid w:val="6392866B"/>
    <w:rsid w:val="63970F5A"/>
    <w:rsid w:val="6398429F"/>
    <w:rsid w:val="63B7CB95"/>
    <w:rsid w:val="63BD10DD"/>
    <w:rsid w:val="63BE6476"/>
    <w:rsid w:val="63CAB547"/>
    <w:rsid w:val="63D321A8"/>
    <w:rsid w:val="63EB02BF"/>
    <w:rsid w:val="63F0DE64"/>
    <w:rsid w:val="64150F87"/>
    <w:rsid w:val="64153BDC"/>
    <w:rsid w:val="641880E9"/>
    <w:rsid w:val="642BB6E2"/>
    <w:rsid w:val="643634EB"/>
    <w:rsid w:val="643A30E1"/>
    <w:rsid w:val="643EB821"/>
    <w:rsid w:val="644623EA"/>
    <w:rsid w:val="64500463"/>
    <w:rsid w:val="64718D63"/>
    <w:rsid w:val="6484784A"/>
    <w:rsid w:val="64861C59"/>
    <w:rsid w:val="64A73E0C"/>
    <w:rsid w:val="64A82062"/>
    <w:rsid w:val="64CDB314"/>
    <w:rsid w:val="64F297D4"/>
    <w:rsid w:val="64F5E77D"/>
    <w:rsid w:val="64FAEA2B"/>
    <w:rsid w:val="65011855"/>
    <w:rsid w:val="6501CCC8"/>
    <w:rsid w:val="650C8CAF"/>
    <w:rsid w:val="6526B8BD"/>
    <w:rsid w:val="652A8092"/>
    <w:rsid w:val="652AA58A"/>
    <w:rsid w:val="6532BF01"/>
    <w:rsid w:val="653C49FF"/>
    <w:rsid w:val="654AD1C6"/>
    <w:rsid w:val="655F2D3C"/>
    <w:rsid w:val="6562C7B6"/>
    <w:rsid w:val="65664D76"/>
    <w:rsid w:val="656685A8"/>
    <w:rsid w:val="6570EEA2"/>
    <w:rsid w:val="6573AF53"/>
    <w:rsid w:val="659369F2"/>
    <w:rsid w:val="65D7F0BE"/>
    <w:rsid w:val="65DE1EEF"/>
    <w:rsid w:val="65E03D7C"/>
    <w:rsid w:val="65F24F28"/>
    <w:rsid w:val="65F97AB0"/>
    <w:rsid w:val="65FF9AAC"/>
    <w:rsid w:val="6625D17C"/>
    <w:rsid w:val="66267A75"/>
    <w:rsid w:val="6635D6CB"/>
    <w:rsid w:val="66474941"/>
    <w:rsid w:val="664A369C"/>
    <w:rsid w:val="6677E72E"/>
    <w:rsid w:val="668AEA79"/>
    <w:rsid w:val="66C4F648"/>
    <w:rsid w:val="66DF40D6"/>
    <w:rsid w:val="6702C425"/>
    <w:rsid w:val="670A58BF"/>
    <w:rsid w:val="6710B5AB"/>
    <w:rsid w:val="6714E1FF"/>
    <w:rsid w:val="6756ED6B"/>
    <w:rsid w:val="676CB1D1"/>
    <w:rsid w:val="677499AB"/>
    <w:rsid w:val="6789FDAB"/>
    <w:rsid w:val="67920563"/>
    <w:rsid w:val="679C4386"/>
    <w:rsid w:val="67D0494F"/>
    <w:rsid w:val="67EBAD9A"/>
    <w:rsid w:val="67FB388C"/>
    <w:rsid w:val="68025EFE"/>
    <w:rsid w:val="6802AAE8"/>
    <w:rsid w:val="680D8589"/>
    <w:rsid w:val="6816E776"/>
    <w:rsid w:val="682357F5"/>
    <w:rsid w:val="682F1543"/>
    <w:rsid w:val="682F238B"/>
    <w:rsid w:val="68311106"/>
    <w:rsid w:val="68392A71"/>
    <w:rsid w:val="6841A648"/>
    <w:rsid w:val="68485EA2"/>
    <w:rsid w:val="684EBC6D"/>
    <w:rsid w:val="685A43C1"/>
    <w:rsid w:val="689C1186"/>
    <w:rsid w:val="68B3A551"/>
    <w:rsid w:val="68B88619"/>
    <w:rsid w:val="68C28343"/>
    <w:rsid w:val="68DF8BDA"/>
    <w:rsid w:val="690098FA"/>
    <w:rsid w:val="690D18BC"/>
    <w:rsid w:val="6918102E"/>
    <w:rsid w:val="69382639"/>
    <w:rsid w:val="694B38DB"/>
    <w:rsid w:val="694B57ED"/>
    <w:rsid w:val="6965D72C"/>
    <w:rsid w:val="696CB988"/>
    <w:rsid w:val="6973259D"/>
    <w:rsid w:val="697B5C23"/>
    <w:rsid w:val="69995BF4"/>
    <w:rsid w:val="69A372C0"/>
    <w:rsid w:val="69B29523"/>
    <w:rsid w:val="69EA094E"/>
    <w:rsid w:val="69EC0843"/>
    <w:rsid w:val="69FBF048"/>
    <w:rsid w:val="6A033A8F"/>
    <w:rsid w:val="6A3F19DC"/>
    <w:rsid w:val="6A490036"/>
    <w:rsid w:val="6A4CF6E8"/>
    <w:rsid w:val="6A4FAE56"/>
    <w:rsid w:val="6A50FDB3"/>
    <w:rsid w:val="6A525C51"/>
    <w:rsid w:val="6A5DD810"/>
    <w:rsid w:val="6A8690EA"/>
    <w:rsid w:val="6AA1BDEC"/>
    <w:rsid w:val="6ACC5A09"/>
    <w:rsid w:val="6AD4AF1C"/>
    <w:rsid w:val="6B05B36F"/>
    <w:rsid w:val="6B1DC1CD"/>
    <w:rsid w:val="6B2CA0F9"/>
    <w:rsid w:val="6B5352B1"/>
    <w:rsid w:val="6B7FFA0D"/>
    <w:rsid w:val="6B816416"/>
    <w:rsid w:val="6B99912B"/>
    <w:rsid w:val="6BB31652"/>
    <w:rsid w:val="6BC2942B"/>
    <w:rsid w:val="6BD08B18"/>
    <w:rsid w:val="6C3C249F"/>
    <w:rsid w:val="6C416820"/>
    <w:rsid w:val="6C455DBD"/>
    <w:rsid w:val="6C4B1A2A"/>
    <w:rsid w:val="6C4DF54A"/>
    <w:rsid w:val="6C6C89A3"/>
    <w:rsid w:val="6C8CC5DB"/>
    <w:rsid w:val="6C90548C"/>
    <w:rsid w:val="6C996ADA"/>
    <w:rsid w:val="6CA03EEB"/>
    <w:rsid w:val="6CB5FAAE"/>
    <w:rsid w:val="6CEE49AF"/>
    <w:rsid w:val="6D12B98B"/>
    <w:rsid w:val="6D48F577"/>
    <w:rsid w:val="6D4BC6BB"/>
    <w:rsid w:val="6D56D0FF"/>
    <w:rsid w:val="6D588916"/>
    <w:rsid w:val="6D616D12"/>
    <w:rsid w:val="6D67307C"/>
    <w:rsid w:val="6D725A5C"/>
    <w:rsid w:val="6D8C0959"/>
    <w:rsid w:val="6D9D2345"/>
    <w:rsid w:val="6D9F558D"/>
    <w:rsid w:val="6E3CBDB4"/>
    <w:rsid w:val="6E465536"/>
    <w:rsid w:val="6E5504C2"/>
    <w:rsid w:val="6E56BB0B"/>
    <w:rsid w:val="6E62B20C"/>
    <w:rsid w:val="6E64DF0F"/>
    <w:rsid w:val="6E66F78A"/>
    <w:rsid w:val="6E6884C3"/>
    <w:rsid w:val="6E6BB374"/>
    <w:rsid w:val="6E832B94"/>
    <w:rsid w:val="6E84CAB7"/>
    <w:rsid w:val="6E8B6F19"/>
    <w:rsid w:val="6E92F5FF"/>
    <w:rsid w:val="6ECC7E56"/>
    <w:rsid w:val="6EDDE445"/>
    <w:rsid w:val="6EE03ACC"/>
    <w:rsid w:val="6EF881AE"/>
    <w:rsid w:val="6F183C05"/>
    <w:rsid w:val="6F1B64EC"/>
    <w:rsid w:val="6F1F12FF"/>
    <w:rsid w:val="6F28D7C3"/>
    <w:rsid w:val="6F2C16BF"/>
    <w:rsid w:val="6F349442"/>
    <w:rsid w:val="6F3B5D06"/>
    <w:rsid w:val="6F3F906F"/>
    <w:rsid w:val="6F42F009"/>
    <w:rsid w:val="6F5FF80C"/>
    <w:rsid w:val="6F7559F5"/>
    <w:rsid w:val="6F7CE99C"/>
    <w:rsid w:val="6F825FC0"/>
    <w:rsid w:val="6F9ADE70"/>
    <w:rsid w:val="6FA7D3A4"/>
    <w:rsid w:val="6FCC6D90"/>
    <w:rsid w:val="6FCF91CB"/>
    <w:rsid w:val="6FD5FD64"/>
    <w:rsid w:val="6FF42042"/>
    <w:rsid w:val="6FFA76E3"/>
    <w:rsid w:val="7017F498"/>
    <w:rsid w:val="701E4E52"/>
    <w:rsid w:val="70226720"/>
    <w:rsid w:val="70391F76"/>
    <w:rsid w:val="704737AF"/>
    <w:rsid w:val="7078B029"/>
    <w:rsid w:val="709B35D2"/>
    <w:rsid w:val="70C220E8"/>
    <w:rsid w:val="70C92DE5"/>
    <w:rsid w:val="70ECD022"/>
    <w:rsid w:val="70EF9A9C"/>
    <w:rsid w:val="70F0BBC2"/>
    <w:rsid w:val="70FA439A"/>
    <w:rsid w:val="70FB3B26"/>
    <w:rsid w:val="711CCD84"/>
    <w:rsid w:val="711FF21D"/>
    <w:rsid w:val="7140AE75"/>
    <w:rsid w:val="71424B24"/>
    <w:rsid w:val="7165D140"/>
    <w:rsid w:val="716D5006"/>
    <w:rsid w:val="7186AA50"/>
    <w:rsid w:val="71A82526"/>
    <w:rsid w:val="71A915B2"/>
    <w:rsid w:val="71D3A2DC"/>
    <w:rsid w:val="71EA7451"/>
    <w:rsid w:val="71FEC8D8"/>
    <w:rsid w:val="72005427"/>
    <w:rsid w:val="72148D7B"/>
    <w:rsid w:val="721F093B"/>
    <w:rsid w:val="722C285F"/>
    <w:rsid w:val="722DD9FF"/>
    <w:rsid w:val="72654CD0"/>
    <w:rsid w:val="72719ED5"/>
    <w:rsid w:val="727BDA47"/>
    <w:rsid w:val="727D8D11"/>
    <w:rsid w:val="728CE2E9"/>
    <w:rsid w:val="729564CE"/>
    <w:rsid w:val="72B803D8"/>
    <w:rsid w:val="72BC7EA2"/>
    <w:rsid w:val="72D5909D"/>
    <w:rsid w:val="72E70AFD"/>
    <w:rsid w:val="72F89C21"/>
    <w:rsid w:val="733BD62B"/>
    <w:rsid w:val="73685786"/>
    <w:rsid w:val="7382551E"/>
    <w:rsid w:val="73B93864"/>
    <w:rsid w:val="73C6EAB5"/>
    <w:rsid w:val="73CAAB25"/>
    <w:rsid w:val="73DC9C55"/>
    <w:rsid w:val="73E156A1"/>
    <w:rsid w:val="73E95FBF"/>
    <w:rsid w:val="73EC948A"/>
    <w:rsid w:val="73F15812"/>
    <w:rsid w:val="7436EE31"/>
    <w:rsid w:val="745B8EEE"/>
    <w:rsid w:val="745D225B"/>
    <w:rsid w:val="746EFF6C"/>
    <w:rsid w:val="747AF2E0"/>
    <w:rsid w:val="747D36FD"/>
    <w:rsid w:val="74888C70"/>
    <w:rsid w:val="7491309F"/>
    <w:rsid w:val="74D01FE2"/>
    <w:rsid w:val="74DC0742"/>
    <w:rsid w:val="74ECA781"/>
    <w:rsid w:val="7504A29C"/>
    <w:rsid w:val="7526A547"/>
    <w:rsid w:val="753E8CEA"/>
    <w:rsid w:val="7550EBAE"/>
    <w:rsid w:val="756F3866"/>
    <w:rsid w:val="758A25D5"/>
    <w:rsid w:val="758FC045"/>
    <w:rsid w:val="7593E7AD"/>
    <w:rsid w:val="759E185B"/>
    <w:rsid w:val="75B2F9D3"/>
    <w:rsid w:val="75B325C6"/>
    <w:rsid w:val="75CC612E"/>
    <w:rsid w:val="75E12470"/>
    <w:rsid w:val="75E35634"/>
    <w:rsid w:val="75E99D64"/>
    <w:rsid w:val="75ED570C"/>
    <w:rsid w:val="76018D14"/>
    <w:rsid w:val="7602FF19"/>
    <w:rsid w:val="760CB3C4"/>
    <w:rsid w:val="761A68C9"/>
    <w:rsid w:val="761BFAF5"/>
    <w:rsid w:val="761E6746"/>
    <w:rsid w:val="7630B160"/>
    <w:rsid w:val="763BAB72"/>
    <w:rsid w:val="76484A06"/>
    <w:rsid w:val="764D99D7"/>
    <w:rsid w:val="76583B69"/>
    <w:rsid w:val="765B80AE"/>
    <w:rsid w:val="765D1117"/>
    <w:rsid w:val="767D9EA3"/>
    <w:rsid w:val="767E47E6"/>
    <w:rsid w:val="7692B78D"/>
    <w:rsid w:val="76BFA634"/>
    <w:rsid w:val="76CFE268"/>
    <w:rsid w:val="7725EC86"/>
    <w:rsid w:val="7734ABBD"/>
    <w:rsid w:val="775A16C3"/>
    <w:rsid w:val="776D36AE"/>
    <w:rsid w:val="7778A68D"/>
    <w:rsid w:val="7778B220"/>
    <w:rsid w:val="778D0590"/>
    <w:rsid w:val="77A1F3F6"/>
    <w:rsid w:val="77D62BDD"/>
    <w:rsid w:val="78082835"/>
    <w:rsid w:val="78134849"/>
    <w:rsid w:val="781B989F"/>
    <w:rsid w:val="781F7DF1"/>
    <w:rsid w:val="783B4B02"/>
    <w:rsid w:val="7849FFAB"/>
    <w:rsid w:val="784D423E"/>
    <w:rsid w:val="7859CC74"/>
    <w:rsid w:val="786F13D1"/>
    <w:rsid w:val="787ABA92"/>
    <w:rsid w:val="78820903"/>
    <w:rsid w:val="7886073B"/>
    <w:rsid w:val="78AE8FEE"/>
    <w:rsid w:val="78AFFF55"/>
    <w:rsid w:val="78B2C2CA"/>
    <w:rsid w:val="78D60456"/>
    <w:rsid w:val="78E3234E"/>
    <w:rsid w:val="78EB7216"/>
    <w:rsid w:val="78F81F9A"/>
    <w:rsid w:val="7907E85C"/>
    <w:rsid w:val="793BF4CA"/>
    <w:rsid w:val="798E162F"/>
    <w:rsid w:val="79A1F605"/>
    <w:rsid w:val="79AE0C0C"/>
    <w:rsid w:val="79CFB86C"/>
    <w:rsid w:val="7A0B8681"/>
    <w:rsid w:val="7A192317"/>
    <w:rsid w:val="7A1EC75B"/>
    <w:rsid w:val="7A294EC9"/>
    <w:rsid w:val="7A3DF26D"/>
    <w:rsid w:val="7A59A09F"/>
    <w:rsid w:val="7A5A7BB8"/>
    <w:rsid w:val="7A61F471"/>
    <w:rsid w:val="7A67A1EB"/>
    <w:rsid w:val="7A748BD1"/>
    <w:rsid w:val="7A7F15EF"/>
    <w:rsid w:val="7A7F1C9C"/>
    <w:rsid w:val="7A82A4EF"/>
    <w:rsid w:val="7A922604"/>
    <w:rsid w:val="7AA2E1AF"/>
    <w:rsid w:val="7AA42C07"/>
    <w:rsid w:val="7AA4A0FB"/>
    <w:rsid w:val="7AC7F449"/>
    <w:rsid w:val="7AC91CC8"/>
    <w:rsid w:val="7AD59486"/>
    <w:rsid w:val="7AE114CA"/>
    <w:rsid w:val="7AFA2366"/>
    <w:rsid w:val="7B1780F1"/>
    <w:rsid w:val="7B2CD066"/>
    <w:rsid w:val="7B31571B"/>
    <w:rsid w:val="7B44BDB0"/>
    <w:rsid w:val="7B4BFCB0"/>
    <w:rsid w:val="7B4C644F"/>
    <w:rsid w:val="7B4C8E7C"/>
    <w:rsid w:val="7B8BFF64"/>
    <w:rsid w:val="7B95219C"/>
    <w:rsid w:val="7BCA77B5"/>
    <w:rsid w:val="7BD6930E"/>
    <w:rsid w:val="7BD8C279"/>
    <w:rsid w:val="7BF402FC"/>
    <w:rsid w:val="7C0E13FF"/>
    <w:rsid w:val="7C14DB56"/>
    <w:rsid w:val="7C8ED6BA"/>
    <w:rsid w:val="7C8FCE89"/>
    <w:rsid w:val="7C906C63"/>
    <w:rsid w:val="7C97F473"/>
    <w:rsid w:val="7CB3EFAF"/>
    <w:rsid w:val="7CBE221B"/>
    <w:rsid w:val="7CDA267F"/>
    <w:rsid w:val="7CE0278E"/>
    <w:rsid w:val="7D03497D"/>
    <w:rsid w:val="7D0731F0"/>
    <w:rsid w:val="7D30BF48"/>
    <w:rsid w:val="7D38B766"/>
    <w:rsid w:val="7D41C68B"/>
    <w:rsid w:val="7D6B39F6"/>
    <w:rsid w:val="7D72874D"/>
    <w:rsid w:val="7D9032D9"/>
    <w:rsid w:val="7D9C5F2B"/>
    <w:rsid w:val="7DB5C0E2"/>
    <w:rsid w:val="7DBEBF60"/>
    <w:rsid w:val="7DCE32E5"/>
    <w:rsid w:val="7DCF68B4"/>
    <w:rsid w:val="7DDF08C6"/>
    <w:rsid w:val="7DE499A5"/>
    <w:rsid w:val="7DED63E8"/>
    <w:rsid w:val="7DF10F1F"/>
    <w:rsid w:val="7E01DCBD"/>
    <w:rsid w:val="7E056591"/>
    <w:rsid w:val="7E18A063"/>
    <w:rsid w:val="7E277409"/>
    <w:rsid w:val="7E3C2C31"/>
    <w:rsid w:val="7E55111E"/>
    <w:rsid w:val="7E7807A5"/>
    <w:rsid w:val="7E7A7E72"/>
    <w:rsid w:val="7E851D33"/>
    <w:rsid w:val="7EA0ED6E"/>
    <w:rsid w:val="7EA6E6BD"/>
    <w:rsid w:val="7EAC10BA"/>
    <w:rsid w:val="7EC8E05A"/>
    <w:rsid w:val="7EE128D5"/>
    <w:rsid w:val="7EE8E9A2"/>
    <w:rsid w:val="7F2AB98D"/>
    <w:rsid w:val="7F34E711"/>
    <w:rsid w:val="7F444691"/>
    <w:rsid w:val="7F690618"/>
    <w:rsid w:val="7F706C49"/>
    <w:rsid w:val="7F8781B0"/>
    <w:rsid w:val="7F8DA194"/>
    <w:rsid w:val="7FA54AEF"/>
    <w:rsid w:val="7FB888F1"/>
    <w:rsid w:val="7FDB7653"/>
    <w:rsid w:val="7FDC5F0A"/>
    <w:rsid w:val="7FDE7CDB"/>
    <w:rsid w:val="7FE41AE9"/>
    <w:rsid w:val="7FED7F3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81E85FB"/>
  <w15:chartTrackingRefBased/>
  <w15:docId w15:val="{2A9B0B6B-7D6A-4CFF-A503-8EF6C75B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CE0FCB"/>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1 Char,Heading 1 Char1 Char Char Char,Heading 1 Char1 Char1,Heading 1 Char2"/>
    <w:basedOn w:val="Normal"/>
    <w:next w:val="ParaNum"/>
    <w:link w:val="Heading1Char"/>
    <w:qFormat/>
    <w:rsid w:val="00CE0FC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CE0FCB"/>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CE0FCB"/>
    <w:pPr>
      <w:keepNext/>
      <w:numPr>
        <w:ilvl w:val="2"/>
        <w:numId w:val="3"/>
      </w:numPr>
      <w:tabs>
        <w:tab w:val="left" w:pos="2160"/>
      </w:tabs>
      <w:spacing w:after="120"/>
      <w:outlineLvl w:val="2"/>
    </w:pPr>
    <w:rPr>
      <w:b/>
    </w:rPr>
  </w:style>
  <w:style w:type="paragraph" w:styleId="Heading4">
    <w:name w:val="heading 4"/>
    <w:aliases w:val="Heading 4 Char,Heading 4 Char Char,Heading 4 Char Char Char,Heading 4 Char Char1,Heading 4 Char Char1 Char Ch,Heading 4 Char1,Heading 4 Char1 Char,Heading 4 Char1 Char1,Heading 4 Char1 Char1 Char Char,Heading 4 Char2,Heading 4 Char2 Char Char"/>
    <w:basedOn w:val="Normal"/>
    <w:next w:val="ParaNum"/>
    <w:qFormat/>
    <w:rsid w:val="00CE0FCB"/>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link w:val="Heading5Char"/>
    <w:qFormat/>
    <w:rsid w:val="00CE0FCB"/>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CE0FCB"/>
    <w:pPr>
      <w:numPr>
        <w:ilvl w:val="5"/>
        <w:numId w:val="3"/>
      </w:numPr>
      <w:tabs>
        <w:tab w:val="left" w:pos="4320"/>
      </w:tabs>
      <w:spacing w:after="120"/>
      <w:outlineLvl w:val="5"/>
    </w:pPr>
    <w:rPr>
      <w:b/>
    </w:rPr>
  </w:style>
  <w:style w:type="paragraph" w:styleId="Heading7">
    <w:name w:val="heading 7"/>
    <w:basedOn w:val="Normal"/>
    <w:next w:val="ParaNum"/>
    <w:qFormat/>
    <w:rsid w:val="00CE0FC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E0FCB"/>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CE0FC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E0F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0FCB"/>
  </w:style>
  <w:style w:type="paragraph" w:customStyle="1" w:styleId="ParaNum">
    <w:name w:val="ParaNum"/>
    <w:basedOn w:val="Normal"/>
    <w:link w:val="ParaNumChar"/>
    <w:rsid w:val="00CE0FCB"/>
    <w:pPr>
      <w:numPr>
        <w:numId w:val="2"/>
      </w:numPr>
      <w:tabs>
        <w:tab w:val="clear" w:pos="1080"/>
        <w:tab w:val="num" w:pos="1440"/>
      </w:tabs>
      <w:spacing w:after="120"/>
    </w:pPr>
  </w:style>
  <w:style w:type="paragraph" w:styleId="EndnoteText">
    <w:name w:val="endnote text"/>
    <w:basedOn w:val="Normal"/>
    <w:semiHidden/>
    <w:rsid w:val="00CE0FCB"/>
    <w:rPr>
      <w:sz w:val="20"/>
    </w:rPr>
  </w:style>
  <w:style w:type="character" w:styleId="EndnoteReference">
    <w:name w:val="endnote reference"/>
    <w:semiHidden/>
    <w:rsid w:val="00CE0FCB"/>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CE0FCB"/>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E0FCB"/>
    <w:rPr>
      <w:rFonts w:ascii="Times New Roman" w:hAnsi="Times New Roman"/>
      <w:dstrike w:val="0"/>
      <w:color w:val="auto"/>
      <w:sz w:val="20"/>
      <w:vertAlign w:val="superscript"/>
    </w:rPr>
  </w:style>
  <w:style w:type="paragraph" w:styleId="TOC1">
    <w:name w:val="toc 1"/>
    <w:basedOn w:val="Normal"/>
    <w:next w:val="Normal"/>
    <w:rsid w:val="00CE0FCB"/>
    <w:pPr>
      <w:tabs>
        <w:tab w:val="left" w:pos="360"/>
        <w:tab w:val="right" w:leader="dot" w:pos="9360"/>
      </w:tabs>
      <w:suppressAutoHyphens/>
      <w:ind w:left="360" w:right="720" w:hanging="360"/>
    </w:pPr>
    <w:rPr>
      <w:caps/>
      <w:noProof/>
    </w:rPr>
  </w:style>
  <w:style w:type="paragraph" w:styleId="TOC2">
    <w:name w:val="toc 2"/>
    <w:basedOn w:val="Normal"/>
    <w:next w:val="Normal"/>
    <w:rsid w:val="00CE0FCB"/>
    <w:pPr>
      <w:tabs>
        <w:tab w:val="left" w:pos="720"/>
        <w:tab w:val="right" w:leader="dot" w:pos="9360"/>
      </w:tabs>
      <w:suppressAutoHyphens/>
      <w:ind w:left="720" w:right="720" w:hanging="360"/>
    </w:pPr>
    <w:rPr>
      <w:noProof/>
    </w:rPr>
  </w:style>
  <w:style w:type="paragraph" w:styleId="TOC3">
    <w:name w:val="toc 3"/>
    <w:basedOn w:val="Normal"/>
    <w:next w:val="Normal"/>
    <w:rsid w:val="00CE0FC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E0FC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E0FC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E0FC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E0FC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E0FC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E0FC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E0FCB"/>
    <w:pPr>
      <w:tabs>
        <w:tab w:val="right" w:pos="9360"/>
      </w:tabs>
      <w:suppressAutoHyphens/>
    </w:pPr>
  </w:style>
  <w:style w:type="character" w:customStyle="1" w:styleId="EquationCaption">
    <w:name w:val="_Equation Caption"/>
    <w:rsid w:val="00CE0FCB"/>
  </w:style>
  <w:style w:type="paragraph" w:styleId="Header">
    <w:name w:val="header"/>
    <w:basedOn w:val="Normal"/>
    <w:link w:val="HeaderChar"/>
    <w:autoRedefine/>
    <w:rsid w:val="00CE0FCB"/>
    <w:pPr>
      <w:tabs>
        <w:tab w:val="center" w:pos="4680"/>
        <w:tab w:val="right" w:pos="9360"/>
      </w:tabs>
    </w:pPr>
    <w:rPr>
      <w:b/>
    </w:rPr>
  </w:style>
  <w:style w:type="paragraph" w:styleId="Footer">
    <w:name w:val="footer"/>
    <w:basedOn w:val="Normal"/>
    <w:link w:val="FooterChar"/>
    <w:uiPriority w:val="99"/>
    <w:rsid w:val="00CE0FCB"/>
    <w:pPr>
      <w:tabs>
        <w:tab w:val="center" w:pos="4320"/>
        <w:tab w:val="right" w:pos="8640"/>
      </w:tabs>
    </w:pPr>
  </w:style>
  <w:style w:type="character" w:styleId="PageNumber">
    <w:name w:val="page number"/>
    <w:basedOn w:val="DefaultParagraphFont"/>
    <w:rsid w:val="00CE0FCB"/>
  </w:style>
  <w:style w:type="paragraph" w:styleId="BlockText">
    <w:name w:val="Block Text"/>
    <w:basedOn w:val="Normal"/>
    <w:rsid w:val="00CE0FCB"/>
    <w:pPr>
      <w:spacing w:after="240"/>
      <w:ind w:left="1440" w:right="1440"/>
    </w:pPr>
  </w:style>
  <w:style w:type="paragraph" w:customStyle="1" w:styleId="Paratitle">
    <w:name w:val="Para title"/>
    <w:basedOn w:val="Normal"/>
    <w:rsid w:val="00CE0FCB"/>
    <w:pPr>
      <w:tabs>
        <w:tab w:val="center" w:pos="9270"/>
      </w:tabs>
      <w:spacing w:after="240"/>
    </w:pPr>
    <w:rPr>
      <w:spacing w:val="-2"/>
    </w:rPr>
  </w:style>
  <w:style w:type="paragraph" w:customStyle="1" w:styleId="Bullet">
    <w:name w:val="Bullet"/>
    <w:basedOn w:val="Normal"/>
    <w:rsid w:val="00CE0FCB"/>
    <w:pPr>
      <w:tabs>
        <w:tab w:val="left" w:pos="2160"/>
      </w:tabs>
      <w:spacing w:after="220"/>
      <w:ind w:left="2160" w:hanging="720"/>
    </w:pPr>
  </w:style>
  <w:style w:type="paragraph" w:customStyle="1" w:styleId="TableFormat">
    <w:name w:val="TableFormat"/>
    <w:basedOn w:val="Bullet"/>
    <w:rsid w:val="00CE0FCB"/>
    <w:pPr>
      <w:tabs>
        <w:tab w:val="clear" w:pos="2160"/>
        <w:tab w:val="left" w:pos="5040"/>
      </w:tabs>
      <w:ind w:left="5040" w:hanging="3600"/>
    </w:pPr>
  </w:style>
  <w:style w:type="paragraph" w:customStyle="1" w:styleId="TOCTitle">
    <w:name w:val="TOC Title"/>
    <w:basedOn w:val="Normal"/>
    <w:rsid w:val="00CE0FC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E0FCB"/>
    <w:pPr>
      <w:jc w:val="center"/>
    </w:pPr>
    <w:rPr>
      <w:rFonts w:ascii="Times New Roman Bold" w:hAnsi="Times New Roman Bold"/>
      <w:b/>
      <w:bCs/>
      <w:caps/>
      <w:szCs w:val="22"/>
    </w:rPr>
  </w:style>
  <w:style w:type="character" w:styleId="Hyperlink">
    <w:name w:val="Hyperlink"/>
    <w:rsid w:val="00CE0FCB"/>
    <w:rPr>
      <w:color w:val="0000FF"/>
      <w:u w:val="single"/>
    </w:rPr>
  </w:style>
  <w:style w:type="character" w:customStyle="1" w:styleId="FooterChar">
    <w:name w:val="Footer Char"/>
    <w:link w:val="Footer"/>
    <w:uiPriority w:val="99"/>
    <w:rsid w:val="00CE0FCB"/>
    <w:rPr>
      <w:snapToGrid w:val="0"/>
      <w:kern w:val="28"/>
      <w:sz w:val="22"/>
    </w:rPr>
  </w:style>
  <w:style w:type="paragraph" w:styleId="BalloonText">
    <w:name w:val="Balloon Text"/>
    <w:basedOn w:val="Normal"/>
    <w:link w:val="BalloonTextChar"/>
    <w:rsid w:val="003C108D"/>
    <w:rPr>
      <w:rFonts w:ascii="Segoe UI" w:hAnsi="Segoe UI" w:cs="Segoe UI"/>
      <w:sz w:val="18"/>
      <w:szCs w:val="18"/>
    </w:rPr>
  </w:style>
  <w:style w:type="character" w:customStyle="1" w:styleId="BalloonTextChar">
    <w:name w:val="Balloon Text Char"/>
    <w:link w:val="BalloonText"/>
    <w:rsid w:val="003C108D"/>
    <w:rPr>
      <w:rFonts w:ascii="Segoe UI" w:hAnsi="Segoe UI" w:cs="Segoe UI"/>
      <w:snapToGrid w:val="0"/>
      <w:kern w:val="28"/>
      <w:sz w:val="18"/>
      <w:szCs w:val="18"/>
    </w:rPr>
  </w:style>
  <w:style w:type="character" w:customStyle="1" w:styleId="ParaNumChar">
    <w:name w:val="ParaNum Char"/>
    <w:link w:val="ParaNum"/>
    <w:locked/>
    <w:rsid w:val="003C108D"/>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Heading 1 Char1 Char Char,Heading 1 Char1 Char Char Char Char,Heading 1 Char2 Char"/>
    <w:link w:val="Heading1"/>
    <w:rsid w:val="003C108D"/>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6E2EA4"/>
    <w:rPr>
      <w:b/>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rsid w:val="003C108D"/>
  </w:style>
  <w:style w:type="paragraph" w:customStyle="1" w:styleId="ColorfulList-Accent11">
    <w:name w:val="Colorful List - Accent 11"/>
    <w:basedOn w:val="Normal"/>
    <w:uiPriority w:val="34"/>
    <w:qFormat/>
    <w:rsid w:val="003C108D"/>
    <w:pPr>
      <w:ind w:left="720"/>
    </w:pPr>
  </w:style>
  <w:style w:type="character" w:styleId="CommentReference">
    <w:name w:val="annotation reference"/>
    <w:uiPriority w:val="99"/>
    <w:rsid w:val="003C108D"/>
    <w:rPr>
      <w:sz w:val="16"/>
      <w:szCs w:val="16"/>
    </w:rPr>
  </w:style>
  <w:style w:type="paragraph" w:styleId="CommentText">
    <w:name w:val="annotation text"/>
    <w:basedOn w:val="Normal"/>
    <w:link w:val="CommentTextChar"/>
    <w:uiPriority w:val="99"/>
    <w:rsid w:val="003C108D"/>
  </w:style>
  <w:style w:type="character" w:customStyle="1" w:styleId="CommentTextChar">
    <w:name w:val="Comment Text Char"/>
    <w:link w:val="CommentText"/>
    <w:uiPriority w:val="99"/>
    <w:rsid w:val="003C108D"/>
    <w:rPr>
      <w:snapToGrid w:val="0"/>
      <w:kern w:val="28"/>
    </w:rPr>
  </w:style>
  <w:style w:type="paragraph" w:styleId="CommentSubject">
    <w:name w:val="annotation subject"/>
    <w:basedOn w:val="CommentText"/>
    <w:next w:val="CommentText"/>
    <w:link w:val="CommentSubjectChar"/>
    <w:rsid w:val="003C108D"/>
    <w:rPr>
      <w:b/>
      <w:bCs/>
    </w:rPr>
  </w:style>
  <w:style w:type="character" w:customStyle="1" w:styleId="CommentSubjectChar">
    <w:name w:val="Comment Subject Char"/>
    <w:link w:val="CommentSubject"/>
    <w:rsid w:val="003C108D"/>
    <w:rPr>
      <w:b/>
      <w:bCs/>
      <w:snapToGrid w:val="0"/>
      <w:kern w:val="28"/>
    </w:rPr>
  </w:style>
  <w:style w:type="character" w:customStyle="1" w:styleId="st">
    <w:name w:val="st"/>
    <w:rsid w:val="003C108D"/>
  </w:style>
  <w:style w:type="character" w:styleId="FollowedHyperlink">
    <w:name w:val="FollowedHyperlink"/>
    <w:rsid w:val="003C108D"/>
    <w:rPr>
      <w:color w:val="954F72"/>
      <w:u w:val="single"/>
    </w:rPr>
  </w:style>
  <w:style w:type="character" w:styleId="Emphasis">
    <w:name w:val="Emphasis"/>
    <w:uiPriority w:val="20"/>
    <w:qFormat/>
    <w:rsid w:val="003C108D"/>
    <w:rPr>
      <w:i/>
      <w:iCs/>
    </w:rPr>
  </w:style>
  <w:style w:type="character" w:customStyle="1" w:styleId="Footnote">
    <w:name w:val="Footnote"/>
    <w:rsid w:val="003C108D"/>
    <w:rPr>
      <w:rFonts w:cs="Times New Roman"/>
    </w:rPr>
  </w:style>
  <w:style w:type="character" w:customStyle="1" w:styleId="Heading2CharChar2">
    <w:name w:val="Heading 2 Char Char2"/>
    <w:rsid w:val="003C108D"/>
    <w:rPr>
      <w:rFonts w:cs="Times New Roman"/>
      <w:b/>
      <w:snapToGrid w:val="0"/>
      <w:kern w:val="28"/>
      <w:sz w:val="24"/>
      <w:lang w:val="en-US" w:eastAsia="en-US" w:bidi="ar-SA"/>
    </w:rPr>
  </w:style>
  <w:style w:type="character" w:customStyle="1" w:styleId="ParaNumChar1">
    <w:name w:val="ParaNum Char1"/>
    <w:locked/>
    <w:rsid w:val="003C108D"/>
    <w:rPr>
      <w:snapToGrid w:val="0"/>
      <w:kern w:val="28"/>
      <w:sz w:val="22"/>
    </w:rPr>
  </w:style>
  <w:style w:type="paragraph" w:customStyle="1" w:styleId="paragraph">
    <w:name w:val="paragraph"/>
    <w:basedOn w:val="Normal"/>
    <w:rsid w:val="003C108D"/>
    <w:pPr>
      <w:spacing w:before="100" w:beforeAutospacing="1" w:after="100" w:afterAutospacing="1"/>
    </w:pPr>
    <w:rPr>
      <w:snapToGrid/>
    </w:rPr>
  </w:style>
  <w:style w:type="character" w:customStyle="1" w:styleId="textrun">
    <w:name w:val="textrun"/>
    <w:rsid w:val="003C108D"/>
  </w:style>
  <w:style w:type="character" w:customStyle="1" w:styleId="normaltextrun">
    <w:name w:val="normaltextrun"/>
    <w:rsid w:val="003C108D"/>
  </w:style>
  <w:style w:type="character" w:customStyle="1" w:styleId="eop">
    <w:name w:val="eop"/>
    <w:rsid w:val="003C108D"/>
  </w:style>
  <w:style w:type="character" w:customStyle="1" w:styleId="spellingerror">
    <w:name w:val="spellingerror"/>
    <w:rsid w:val="003C108D"/>
  </w:style>
  <w:style w:type="character" w:customStyle="1" w:styleId="UnresolvedMention1">
    <w:name w:val="Unresolved Mention1"/>
    <w:uiPriority w:val="99"/>
    <w:rsid w:val="003C108D"/>
    <w:rPr>
      <w:color w:val="605E5C"/>
      <w:shd w:val="clear" w:color="auto" w:fill="E1DFDD"/>
    </w:rPr>
  </w:style>
  <w:style w:type="paragraph" w:customStyle="1" w:styleId="ColorfulShading-Accent11">
    <w:name w:val="Colorful Shading - Accent 11"/>
    <w:hidden/>
    <w:uiPriority w:val="99"/>
    <w:semiHidden/>
    <w:rsid w:val="003C108D"/>
    <w:rPr>
      <w:snapToGrid w:val="0"/>
      <w:kern w:val="28"/>
      <w:sz w:val="22"/>
    </w:rPr>
  </w:style>
  <w:style w:type="character" w:customStyle="1" w:styleId="UnresolvedMention2">
    <w:name w:val="Unresolved Mention2"/>
    <w:uiPriority w:val="99"/>
    <w:semiHidden/>
    <w:unhideWhenUsed/>
    <w:rsid w:val="003C108D"/>
    <w:rPr>
      <w:color w:val="605E5C"/>
      <w:shd w:val="clear" w:color="auto" w:fill="E1DFDD"/>
    </w:rPr>
  </w:style>
  <w:style w:type="character" w:customStyle="1" w:styleId="MediumGrid11">
    <w:name w:val="Medium Grid 11"/>
    <w:uiPriority w:val="99"/>
    <w:semiHidden/>
    <w:rsid w:val="003C108D"/>
    <w:rPr>
      <w:color w:val="808080"/>
    </w:rPr>
  </w:style>
  <w:style w:type="character" w:customStyle="1" w:styleId="UnresolvedMention3">
    <w:name w:val="Unresolved Mention3"/>
    <w:rsid w:val="003C108D"/>
    <w:rPr>
      <w:color w:val="605E5C"/>
      <w:shd w:val="clear" w:color="auto" w:fill="E1DFDD"/>
    </w:rPr>
  </w:style>
  <w:style w:type="paragraph" w:styleId="NormalWeb">
    <w:name w:val="Normal (Web)"/>
    <w:basedOn w:val="Normal"/>
    <w:uiPriority w:val="99"/>
    <w:unhideWhenUsed/>
    <w:rsid w:val="003C108D"/>
    <w:pPr>
      <w:spacing w:before="100" w:beforeAutospacing="1" w:after="100" w:afterAutospacing="1"/>
    </w:pPr>
    <w:rPr>
      <w:snapToGrid/>
    </w:rPr>
  </w:style>
  <w:style w:type="character" w:customStyle="1" w:styleId="apple-tab-span">
    <w:name w:val="apple-tab-span"/>
    <w:rsid w:val="003C108D"/>
  </w:style>
  <w:style w:type="character" w:customStyle="1" w:styleId="UnresolvedMention">
    <w:name w:val="Unresolved Mention"/>
    <w:uiPriority w:val="99"/>
    <w:unhideWhenUsed/>
    <w:rsid w:val="003C108D"/>
    <w:rPr>
      <w:color w:val="605E5C"/>
      <w:shd w:val="clear" w:color="auto" w:fill="E1DFDD"/>
    </w:rPr>
  </w:style>
  <w:style w:type="character" w:customStyle="1" w:styleId="FootnoteTextChar3">
    <w:name w:val="Footnote Text Char3"/>
    <w:aliases w:val="Footnote Text Char Char Char Char Char Char Char1,Footnote Text Char Char Char Char1,Footnote Text Char1 Char Char Char Char1,Footnote Text Char1 Char3 Char1,Footnote Text Char2 Char Char Char Char Char1,Footnote Text Char2 Char1"/>
    <w:uiPriority w:val="99"/>
    <w:locked/>
    <w:rsid w:val="003C108D"/>
    <w:rPr>
      <w:lang w:val="en-US" w:eastAsia="en-US"/>
    </w:rPr>
  </w:style>
  <w:style w:type="character" w:customStyle="1" w:styleId="FootnoteTextChar2CharChar">
    <w:name w:val="Footnote Text Char2 Char Char"/>
    <w:aliases w:val="Footnote Text Char Char Char Char Char,Footnote Text Char Char Char Char Char Char1 Char,Footnote Text Char Char2 Char Char Char,Footnote Text Char1 Char Char Char,Footnote Text Char1 Char Char Char Char1 Char"/>
    <w:basedOn w:val="DefaultParagraphFont"/>
    <w:locked/>
    <w:rsid w:val="003C108D"/>
  </w:style>
  <w:style w:type="paragraph" w:styleId="ListBullet3">
    <w:name w:val="List Bullet 3"/>
    <w:basedOn w:val="Normal"/>
    <w:rsid w:val="003C108D"/>
    <w:pPr>
      <w:numPr>
        <w:numId w:val="8"/>
      </w:numPr>
    </w:pPr>
  </w:style>
  <w:style w:type="character" w:customStyle="1" w:styleId="cohovertext">
    <w:name w:val="co_hovertext"/>
    <w:rsid w:val="003C108D"/>
  </w:style>
  <w:style w:type="paragraph" w:customStyle="1" w:styleId="NumberedList">
    <w:name w:val="Numbered List"/>
    <w:basedOn w:val="Normal"/>
    <w:rsid w:val="003C108D"/>
    <w:pPr>
      <w:numPr>
        <w:numId w:val="9"/>
      </w:numPr>
      <w:spacing w:after="220"/>
    </w:pPr>
    <w:rPr>
      <w:snapToGrid/>
    </w:rPr>
  </w:style>
  <w:style w:type="paragraph" w:customStyle="1" w:styleId="xmsonormal">
    <w:name w:val="x_msonormal"/>
    <w:basedOn w:val="Normal"/>
    <w:rsid w:val="00687FCD"/>
    <w:rPr>
      <w:rFonts w:ascii="Calibri" w:hAnsi="Calibri" w:eastAsiaTheme="minorHAnsi" w:cs="Calibri"/>
    </w:rPr>
  </w:style>
  <w:style w:type="paragraph" w:styleId="ListParagraph">
    <w:name w:val="List Paragraph"/>
    <w:basedOn w:val="Normal"/>
    <w:uiPriority w:val="34"/>
    <w:qFormat/>
    <w:rsid w:val="006D4007"/>
    <w:pPr>
      <w:ind w:left="720"/>
      <w:contextualSpacing/>
    </w:pPr>
    <w:rPr>
      <w:rFonts w:eastAsiaTheme="minorHAnsi"/>
    </w:rPr>
  </w:style>
  <w:style w:type="paragraph" w:styleId="BodyText">
    <w:name w:val="Body Text"/>
    <w:basedOn w:val="Normal"/>
    <w:link w:val="BodyTextChar"/>
    <w:uiPriority w:val="1"/>
    <w:qFormat/>
    <w:rsid w:val="008F6FFE"/>
    <w:pPr>
      <w:ind w:left="1540" w:hanging="360"/>
    </w:pPr>
  </w:style>
  <w:style w:type="character" w:customStyle="1" w:styleId="BodyTextChar">
    <w:name w:val="Body Text Char"/>
    <w:basedOn w:val="DefaultParagraphFont"/>
    <w:link w:val="BodyText"/>
    <w:uiPriority w:val="1"/>
    <w:rsid w:val="008F6FFE"/>
    <w:rPr>
      <w:snapToGrid w:val="0"/>
      <w:kern w:val="28"/>
      <w:sz w:val="22"/>
    </w:rPr>
  </w:style>
  <w:style w:type="paragraph" w:customStyle="1" w:styleId="xxxxxmsonormal">
    <w:name w:val="x_x_x_x_x_msonormal"/>
    <w:basedOn w:val="Normal"/>
    <w:rsid w:val="009739DA"/>
    <w:pPr>
      <w:spacing w:before="100" w:beforeAutospacing="1" w:after="100" w:afterAutospacing="1"/>
    </w:pPr>
  </w:style>
  <w:style w:type="character" w:styleId="Strong">
    <w:name w:val="Strong"/>
    <w:basedOn w:val="DefaultParagraphFont"/>
    <w:uiPriority w:val="22"/>
    <w:qFormat/>
    <w:rsid w:val="009B753F"/>
    <w:rPr>
      <w:b/>
      <w:bCs/>
    </w:rPr>
  </w:style>
  <w:style w:type="character" w:customStyle="1" w:styleId="FootnoteTextChar1Char1">
    <w:name w:val="Footnote Text Char1 Char1"/>
    <w:aliases w:val="Footnote Text Char1 Char1 Char Char,Footnote Text Char1 Char1 Char Char1 Char Char,Footnote Text Char2 Char Char1 Char1 Char Char Char1,Footnote Text Char3 Char1 Char,Footnote Text Char3 Char1 Char Char Char1"/>
    <w:rsid w:val="002C3B36"/>
    <w:rPr>
      <w:lang w:val="en-US" w:eastAsia="en-US" w:bidi="ar-SA"/>
    </w:rPr>
  </w:style>
  <w:style w:type="character" w:customStyle="1" w:styleId="FootnoteTextCharChar1">
    <w:name w:val="Footnote Text Char Char1"/>
    <w:aliases w:val="Footnote Text Char Char1 Char Char,Footnote Text Char Char1 Char Char Char Char,Footnote Text Char1 Char1 Char Char Char Char Char,Footnote Text Char2 Char2 Char,Footnote Text Char2 Char2 Char Char Char,fn Char Char"/>
    <w:rsid w:val="002C3B36"/>
    <w:rPr>
      <w:lang w:val="en-US" w:eastAsia="en-US" w:bidi="ar-SA"/>
    </w:rPr>
  </w:style>
  <w:style w:type="character" w:customStyle="1" w:styleId="costarpage">
    <w:name w:val="co_starpage"/>
    <w:basedOn w:val="DefaultParagraphFont"/>
    <w:rsid w:val="00355050"/>
  </w:style>
  <w:style w:type="character" w:customStyle="1" w:styleId="cosearchterm7">
    <w:name w:val="co_searchterm7"/>
    <w:rsid w:val="00D0049E"/>
    <w:rPr>
      <w:b/>
      <w:bCs/>
      <w:color w:val="252525"/>
    </w:rPr>
  </w:style>
  <w:style w:type="character" w:customStyle="1" w:styleId="cosearchterm">
    <w:name w:val="co_searchterm"/>
    <w:rsid w:val="00573650"/>
  </w:style>
  <w:style w:type="paragraph" w:customStyle="1" w:styleId="xmsolistparagraph">
    <w:name w:val="x_msolistparagraph"/>
    <w:basedOn w:val="Normal"/>
    <w:rsid w:val="00946C1F"/>
    <w:rPr>
      <w:rFonts w:ascii="Calibri" w:hAnsi="Calibri" w:eastAsiaTheme="minorHAnsi" w:cs="Calibri"/>
    </w:rPr>
  </w:style>
  <w:style w:type="character" w:customStyle="1" w:styleId="Heading5Char">
    <w:name w:val="Heading 5 Char"/>
    <w:aliases w:val="Heading 5 Char Char Char Char Char Char,Heading 5 Char Char Char1 Char,Heading 5 Char Char1 Char Char,Heading 5 Char Char2 Char,Heading 5 Char1 Char Char Char Char,Heading 5 Char1 Char Char1 Char,Heading 5 Char1 Char1 Char"/>
    <w:basedOn w:val="DefaultParagraphFont"/>
    <w:link w:val="Heading5"/>
    <w:rsid w:val="00324853"/>
    <w:rPr>
      <w:b/>
      <w:snapToGrid w:val="0"/>
      <w:kern w:val="28"/>
      <w:sz w:val="22"/>
    </w:rPr>
  </w:style>
  <w:style w:type="character" w:customStyle="1" w:styleId="Mention">
    <w:name w:val="Mention"/>
    <w:basedOn w:val="DefaultParagraphFont"/>
    <w:uiPriority w:val="99"/>
    <w:unhideWhenUsed/>
    <w:rsid w:val="00515BBC"/>
    <w:rPr>
      <w:color w:val="2B579A"/>
      <w:shd w:val="clear" w:color="auto" w:fill="E1DFDD"/>
    </w:rPr>
  </w:style>
  <w:style w:type="paragraph" w:styleId="Revision">
    <w:name w:val="Revision"/>
    <w:hidden/>
    <w:uiPriority w:val="99"/>
    <w:semiHidden/>
    <w:rsid w:val="001A5355"/>
    <w:rPr>
      <w:snapToGrid w:val="0"/>
      <w:kern w:val="28"/>
      <w:sz w:val="22"/>
    </w:rPr>
  </w:style>
  <w:style w:type="paragraph" w:styleId="HTMLPreformatted">
    <w:name w:val="HTML Preformatted"/>
    <w:basedOn w:val="Normal"/>
    <w:link w:val="HTMLPreformattedChar"/>
    <w:uiPriority w:val="99"/>
    <w:unhideWhenUsed/>
    <w:rsid w:val="00E5051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character" w:customStyle="1" w:styleId="HTMLPreformattedChar">
    <w:name w:val="HTML Preformatted Char"/>
    <w:basedOn w:val="DefaultParagraphFont"/>
    <w:link w:val="HTMLPreformatted"/>
    <w:uiPriority w:val="99"/>
    <w:rsid w:val="00E50519"/>
    <w:rPr>
      <w:rFonts w:ascii="Courier New" w:hAnsi="Courier New" w:cs="Courier New"/>
    </w:rPr>
  </w:style>
  <w:style w:type="paragraph" w:customStyle="1" w:styleId="xxmsonormal">
    <w:name w:val="x_xmsonormal"/>
    <w:basedOn w:val="Normal"/>
    <w:rsid w:val="00CB6EEC"/>
    <w:pPr>
      <w:widowControl/>
    </w:pPr>
    <w:rPr>
      <w:rFonts w:ascii="Calibri" w:hAnsi="Calibri" w:eastAsiaTheme="minorHAnsi" w:cs="Calibri"/>
      <w:snapToGrid/>
      <w:kern w:val="0"/>
      <w:szCs w:val="22"/>
    </w:rPr>
  </w:style>
  <w:style w:type="character" w:customStyle="1" w:styleId="HeaderChar">
    <w:name w:val="Header Char"/>
    <w:basedOn w:val="DefaultParagraphFont"/>
    <w:link w:val="Header"/>
    <w:rsid w:val="00294855"/>
    <w:rPr>
      <w:b/>
      <w:snapToGrid w:val="0"/>
      <w:kern w:val="28"/>
      <w:sz w:val="22"/>
    </w:rPr>
  </w:style>
  <w:style w:type="table" w:styleId="TableGrid">
    <w:name w:val="Table Grid"/>
    <w:basedOn w:val="TableNormal"/>
    <w:uiPriority w:val="39"/>
    <w:rsid w:val="00294855"/>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294855"/>
    <w:pPr>
      <w:widowControl/>
    </w:pPr>
    <w:rPr>
      <w:rFonts w:ascii="Calibri" w:hAnsi="Calibri" w:eastAsiaTheme="minorHAns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hyperlink" Target="https://www.newsweek.com/conservative-path-forward-big-tech-opinion-1520375"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mailto:Erica.McMaho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DOC-336136A1.pdf" TargetMode="External" /><Relationship Id="rId10" Type="http://schemas.openxmlformats.org/officeDocument/2006/relationships/hyperlink" Target="https://www.irs.gov/charities-non-profits/annual-electronic-filing-requirement-for-small-exempt-organizations-form-990-n-e-postcard" TargetMode="External" /><Relationship Id="rId11" Type="http://schemas.openxmlformats.org/officeDocument/2006/relationships/hyperlink" Target="https://www.irs.gov/charities-non-profits/exempt-organizations-business-master-file-extract-eo-bmf" TargetMode="External" /><Relationship Id="rId12" Type="http://schemas.openxmlformats.org/officeDocument/2006/relationships/hyperlink" Target="https://www.census.gov/programs-surveys/cog/about.html" TargetMode="External" /><Relationship Id="rId13" Type="http://schemas.openxmlformats.org/officeDocument/2006/relationships/hyperlink" Target="https://www.census.gov/data/tables/2017/econ/gus/2017-governments.html" TargetMode="External" /><Relationship Id="rId14" Type="http://schemas.openxmlformats.org/officeDocument/2006/relationships/hyperlink" Target="https://data.census.gov/cedsci/table?text=EC1251SSSZ5&amp;n=517110&amp;tid=ECNSIZE2012.EC1251SSSZ5&amp;hidePreview=false" TargetMode="External" /><Relationship Id="rId15" Type="http://schemas.openxmlformats.org/officeDocument/2006/relationships/hyperlink" Target="https://www.census.gov/naics/?input=517311&amp;year=2017&amp;details=517311" TargetMode="External" /><Relationship Id="rId16" Type="http://schemas.openxmlformats.org/officeDocument/2006/relationships/hyperlink" Target="https://apps.fcc.gov/edocs_public/attachmatch/DOC-301823A1.pdf" TargetMode="External" /><Relationship Id="rId17" Type="http://schemas.openxmlformats.org/officeDocument/2006/relationships/hyperlink" Target="https://www.census.gov/naics/?input=517911&amp;year=2017&amp;details=517911" TargetMode="External" /><Relationship Id="rId18" Type="http://schemas.openxmlformats.org/officeDocument/2006/relationships/hyperlink" Target="https://data.census.gov/cedsci/table?text=EC1251SSSZ5&amp;n=517911&amp;tid=ECNSIZE2012.EC1251SSSZ5&amp;hidePreview=false" TargetMode="External" /><Relationship Id="rId19" Type="http://schemas.openxmlformats.org/officeDocument/2006/relationships/hyperlink" Target="https://www.census.gov/naics/?input=517312&amp;year=2017&amp;details=517312" TargetMode="External" /><Relationship Id="rId2" Type="http://schemas.openxmlformats.org/officeDocument/2006/relationships/hyperlink" Target="https://apps.fcc.gov/edocs_public/attachmatch/DOC-336136A1.pdf" TargetMode="External" /><Relationship Id="rId20" Type="http://schemas.openxmlformats.org/officeDocument/2006/relationships/hyperlink" Target="https://data.census.gov/cedsci/table?text=EC1251SSSZ5&amp;n=517210&amp;tid=ECNSIZE2012.EC1251SSSZ5&amp;hidePreview=false&amp;vintage=2012" TargetMode="External" /><Relationship Id="rId21" Type="http://schemas.openxmlformats.org/officeDocument/2006/relationships/hyperlink" Target="https://www.census.gov/cgi-bin/sssd/naics/naicsrch?input=517410&amp;search=2017+NAICS+Search&amp;search=2017" TargetMode="External" /><Relationship Id="rId22" Type="http://schemas.openxmlformats.org/officeDocument/2006/relationships/hyperlink" Target="https://data.census.gov/cedsci/table?text=EC1251SSSZ4&amp;n=517410&amp;tid=ECNSIZE2012.EC1251SSSZ4&amp;hidePreview=false&amp;vintage=2012" TargetMode="External" /><Relationship Id="rId23" Type="http://schemas.openxmlformats.org/officeDocument/2006/relationships/hyperlink" Target="https://data.census.gov/cedsci/table?text=EC1251SSSZ4&amp;n=517919&amp;tid=ECNSIZE2012.EC1251SSSZ4&amp;hidePreview=false" TargetMode="External" /><Relationship Id="rId3" Type="http://schemas.openxmlformats.org/officeDocument/2006/relationships/hyperlink" Target="https://www.reginfo.gov/public/do/PRAViewICR?ref_nbr=201612-3060-012" TargetMode="External" /><Relationship Id="rId4" Type="http://schemas.openxmlformats.org/officeDocument/2006/relationships/hyperlink" Target="https://www.reginfo.gov/public/do/PRAViewICR?ref_nbr=201608-3060-005" TargetMode="External" /><Relationship Id="rId5" Type="http://schemas.openxmlformats.org/officeDocument/2006/relationships/hyperlink" Target="http://www.aph.org/research/design-guidelines" TargetMode="External" /><Relationship Id="rId6" Type="http://schemas.openxmlformats.org/officeDocument/2006/relationships/hyperlink" Target="https://nfb.org/braille-resources" TargetMode="External" /><Relationship Id="rId7" Type="http://schemas.openxmlformats.org/officeDocument/2006/relationships/hyperlink" Target="https://www.w3.org/WAI/standards-guidelines/wcag/" TargetMode="External" /><Relationship Id="rId8" Type="http://schemas.openxmlformats.org/officeDocument/2006/relationships/hyperlink" Target="https://www.fcc.gov/document/fcc-closes-headquarters-open-window-and-changes-hand-delivery-policy." TargetMode="External" /><Relationship Id="rId9" Type="http://schemas.openxmlformats.org/officeDocument/2006/relationships/hyperlink" Target="https://cdn.advocacy.sba.gov/wp-content/uploads/2019/09/23172859/Whats-New-With-Small-Business-201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