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4D8741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EE9769C" w14:textId="77777777">
      <w:pPr>
        <w:pStyle w:val="StyleBoldCentered"/>
      </w:pPr>
      <w:r>
        <w:t>F</w:t>
      </w:r>
      <w:r>
        <w:rPr>
          <w:caps w:val="0"/>
        </w:rPr>
        <w:t>ederal Communications Commission</w:t>
      </w:r>
    </w:p>
    <w:p w:rsidR="004C2EE3" w:rsidP="00096D8C" w14:paraId="7D780E9E" w14:textId="77777777">
      <w:pPr>
        <w:pStyle w:val="StyleBoldCentered"/>
      </w:pPr>
      <w:r>
        <w:rPr>
          <w:caps w:val="0"/>
        </w:rPr>
        <w:t>Washington, D.C. 20554</w:t>
      </w:r>
    </w:p>
    <w:p w:rsidR="004C2EE3" w:rsidP="0070224F" w14:paraId="01D5BC56" w14:textId="77777777"/>
    <w:p w:rsidR="004C2EE3" w:rsidP="0070224F" w14:paraId="7FA6E94F" w14:textId="77777777"/>
    <w:tbl>
      <w:tblPr>
        <w:tblW w:w="0" w:type="auto"/>
        <w:tblLayout w:type="fixed"/>
        <w:tblLook w:val="0000"/>
      </w:tblPr>
      <w:tblGrid>
        <w:gridCol w:w="4698"/>
        <w:gridCol w:w="630"/>
        <w:gridCol w:w="4248"/>
      </w:tblGrid>
      <w:tr w14:paraId="4B74D189" w14:textId="77777777">
        <w:tblPrEx>
          <w:tblW w:w="0" w:type="auto"/>
          <w:tblLayout w:type="fixed"/>
          <w:tblLook w:val="0000"/>
        </w:tblPrEx>
        <w:tc>
          <w:tcPr>
            <w:tcW w:w="4698" w:type="dxa"/>
          </w:tcPr>
          <w:p w:rsidR="004C2EE3" w14:paraId="41517323" w14:textId="77777777">
            <w:pPr>
              <w:tabs>
                <w:tab w:val="center" w:pos="4680"/>
              </w:tabs>
              <w:suppressAutoHyphens/>
              <w:rPr>
                <w:spacing w:val="-2"/>
              </w:rPr>
            </w:pPr>
            <w:r>
              <w:rPr>
                <w:spacing w:val="-2"/>
              </w:rPr>
              <w:t>In the Matter of</w:t>
            </w:r>
          </w:p>
          <w:p w:rsidR="004C2EE3" w14:paraId="6CBAE4CC" w14:textId="77777777">
            <w:pPr>
              <w:tabs>
                <w:tab w:val="center" w:pos="4680"/>
              </w:tabs>
              <w:suppressAutoHyphens/>
              <w:rPr>
                <w:spacing w:val="-2"/>
              </w:rPr>
            </w:pPr>
          </w:p>
          <w:p w:rsidR="004C2EE3" w:rsidRPr="007115F7" w:rsidP="007115F7" w14:paraId="4FE9BC83" w14:textId="7EAEEE82">
            <w:pPr>
              <w:tabs>
                <w:tab w:val="center" w:pos="4680"/>
              </w:tabs>
              <w:suppressAutoHyphens/>
            </w:pPr>
            <w:r>
              <w:rPr>
                <w:spacing w:val="-2"/>
              </w:rPr>
              <w:t>Expediting Initial</w:t>
            </w:r>
            <w:r w:rsidR="00FE7106">
              <w:rPr>
                <w:spacing w:val="-2"/>
              </w:rPr>
              <w:t xml:space="preserve"> </w:t>
            </w:r>
            <w:r>
              <w:rPr>
                <w:spacing w:val="-2"/>
              </w:rPr>
              <w:t>Processing</w:t>
            </w:r>
            <w:r w:rsidR="00FE7106">
              <w:rPr>
                <w:spacing w:val="-2"/>
              </w:rPr>
              <w:t xml:space="preserve"> of Satellite </w:t>
            </w:r>
            <w:r w:rsidRPr="004C31C4" w:rsidR="004C31C4">
              <w:rPr>
                <w:spacing w:val="-2"/>
              </w:rPr>
              <w:t xml:space="preserve">and Earth Station </w:t>
            </w:r>
            <w:r w:rsidR="00FE7106">
              <w:rPr>
                <w:spacing w:val="-2"/>
              </w:rPr>
              <w:t>Applications</w:t>
            </w:r>
          </w:p>
          <w:p w:rsidR="004C2EE3" w:rsidRPr="007115F7" w:rsidP="25DD51A6" w14:paraId="70017AFF" w14:textId="4F80AADE">
            <w:pPr>
              <w:tabs>
                <w:tab w:val="center" w:pos="4680"/>
              </w:tabs>
              <w:suppressAutoHyphens/>
              <w:rPr>
                <w:szCs w:val="22"/>
              </w:rPr>
            </w:pPr>
          </w:p>
          <w:p w:rsidR="004C2EE3" w:rsidRPr="007115F7" w:rsidP="007115F7" w14:paraId="58E85334" w14:textId="370AA3EE">
            <w:pPr>
              <w:tabs>
                <w:tab w:val="center" w:pos="4680"/>
              </w:tabs>
              <w:suppressAutoHyphens/>
              <w:rPr>
                <w:spacing w:val="-2"/>
                <w:szCs w:val="22"/>
              </w:rPr>
            </w:pPr>
            <w:r w:rsidRPr="25DD51A6">
              <w:rPr>
                <w:szCs w:val="22"/>
              </w:rPr>
              <w:t>Space Innovation</w:t>
            </w:r>
          </w:p>
        </w:tc>
        <w:tc>
          <w:tcPr>
            <w:tcW w:w="630" w:type="dxa"/>
          </w:tcPr>
          <w:p w:rsidR="004C2EE3" w14:paraId="63CCDDB6" w14:textId="77777777">
            <w:pPr>
              <w:tabs>
                <w:tab w:val="center" w:pos="4680"/>
              </w:tabs>
              <w:suppressAutoHyphens/>
              <w:rPr>
                <w:b/>
                <w:spacing w:val="-2"/>
              </w:rPr>
            </w:pPr>
            <w:r>
              <w:rPr>
                <w:b/>
                <w:spacing w:val="-2"/>
              </w:rPr>
              <w:t>)</w:t>
            </w:r>
          </w:p>
          <w:p w:rsidR="004C2EE3" w14:paraId="45627791" w14:textId="77777777">
            <w:pPr>
              <w:tabs>
                <w:tab w:val="center" w:pos="4680"/>
              </w:tabs>
              <w:suppressAutoHyphens/>
              <w:rPr>
                <w:b/>
                <w:spacing w:val="-2"/>
              </w:rPr>
            </w:pPr>
            <w:r>
              <w:rPr>
                <w:b/>
                <w:spacing w:val="-2"/>
              </w:rPr>
              <w:t>)</w:t>
            </w:r>
          </w:p>
          <w:p w:rsidR="004C2EE3" w14:paraId="6D91D774" w14:textId="77777777">
            <w:pPr>
              <w:tabs>
                <w:tab w:val="center" w:pos="4680"/>
              </w:tabs>
              <w:suppressAutoHyphens/>
              <w:rPr>
                <w:b/>
                <w:spacing w:val="-2"/>
              </w:rPr>
            </w:pPr>
            <w:r>
              <w:rPr>
                <w:b/>
                <w:spacing w:val="-2"/>
              </w:rPr>
              <w:t>)</w:t>
            </w:r>
          </w:p>
          <w:p w:rsidR="004C2EE3" w:rsidP="25DD51A6" w14:paraId="5B5B94BB" w14:textId="3F51AA81">
            <w:pPr>
              <w:tabs>
                <w:tab w:val="center" w:pos="4680"/>
              </w:tabs>
              <w:suppressAutoHyphens/>
              <w:rPr>
                <w:b/>
                <w:bCs/>
              </w:rPr>
            </w:pPr>
            <w:r w:rsidRPr="25DD51A6">
              <w:rPr>
                <w:b/>
                <w:bCs/>
                <w:spacing w:val="-2"/>
              </w:rPr>
              <w:t>)</w:t>
            </w:r>
          </w:p>
          <w:p w:rsidR="004C2EE3" w:rsidP="25DD51A6" w14:paraId="0F5DEA45" w14:textId="7F6E1D2E">
            <w:pPr>
              <w:tabs>
                <w:tab w:val="center" w:pos="4680"/>
              </w:tabs>
              <w:suppressAutoHyphens/>
              <w:rPr>
                <w:b/>
                <w:bCs/>
              </w:rPr>
            </w:pPr>
            <w:r w:rsidRPr="25DD51A6">
              <w:rPr>
                <w:b/>
                <w:bCs/>
                <w:spacing w:val="-2"/>
              </w:rPr>
              <w:t>)</w:t>
            </w:r>
          </w:p>
          <w:p w:rsidR="004C2EE3" w14:paraId="4DD9FC61" w14:textId="77777777">
            <w:pPr>
              <w:tabs>
                <w:tab w:val="center" w:pos="4680"/>
              </w:tabs>
              <w:suppressAutoHyphens/>
              <w:rPr>
                <w:b/>
                <w:spacing w:val="-2"/>
              </w:rPr>
            </w:pPr>
            <w:r>
              <w:rPr>
                <w:b/>
                <w:spacing w:val="-2"/>
              </w:rPr>
              <w:t>)</w:t>
            </w:r>
          </w:p>
        </w:tc>
        <w:tc>
          <w:tcPr>
            <w:tcW w:w="4248" w:type="dxa"/>
          </w:tcPr>
          <w:p w:rsidR="004C2EE3" w14:paraId="3EB3F2F9" w14:textId="77777777">
            <w:pPr>
              <w:tabs>
                <w:tab w:val="center" w:pos="4680"/>
              </w:tabs>
              <w:suppressAutoHyphens/>
              <w:rPr>
                <w:spacing w:val="-2"/>
              </w:rPr>
            </w:pPr>
          </w:p>
          <w:p w:rsidR="004C2EE3" w14:paraId="187D1D37" w14:textId="77777777">
            <w:pPr>
              <w:pStyle w:val="TOAHeading"/>
              <w:tabs>
                <w:tab w:val="center" w:pos="4680"/>
                <w:tab w:val="clear" w:pos="9360"/>
              </w:tabs>
              <w:rPr>
                <w:spacing w:val="-2"/>
              </w:rPr>
            </w:pPr>
          </w:p>
          <w:p w:rsidR="004C2EE3" w14:paraId="6DEE4BA6" w14:textId="5C065F65">
            <w:pPr>
              <w:tabs>
                <w:tab w:val="center" w:pos="4680"/>
              </w:tabs>
              <w:suppressAutoHyphens/>
            </w:pPr>
            <w:r>
              <w:rPr>
                <w:spacing w:val="-2"/>
              </w:rPr>
              <w:t xml:space="preserve">IB Docket No. </w:t>
            </w:r>
            <w:r w:rsidRPr="00F82FC5" w:rsidR="00F82FC5">
              <w:rPr>
                <w:spacing w:val="-2"/>
              </w:rPr>
              <w:t>22-411</w:t>
            </w:r>
          </w:p>
          <w:p w:rsidR="004C2EE3" w:rsidP="25DD51A6" w14:paraId="7E70783E" w14:textId="064ED46D">
            <w:pPr>
              <w:tabs>
                <w:tab w:val="center" w:pos="4680"/>
              </w:tabs>
              <w:suppressAutoHyphens/>
              <w:rPr>
                <w:szCs w:val="22"/>
              </w:rPr>
            </w:pPr>
          </w:p>
          <w:p w:rsidR="004C2EE3" w:rsidP="25DD51A6" w14:paraId="14CACB8C" w14:textId="4686C3ED">
            <w:pPr>
              <w:tabs>
                <w:tab w:val="center" w:pos="4680"/>
              </w:tabs>
              <w:suppressAutoHyphens/>
              <w:rPr>
                <w:szCs w:val="22"/>
              </w:rPr>
            </w:pPr>
          </w:p>
          <w:p w:rsidR="004C2EE3" w14:paraId="12D689E5" w14:textId="2CC86171">
            <w:pPr>
              <w:tabs>
                <w:tab w:val="center" w:pos="4680"/>
              </w:tabs>
              <w:suppressAutoHyphens/>
              <w:rPr>
                <w:spacing w:val="-2"/>
                <w:szCs w:val="22"/>
              </w:rPr>
            </w:pPr>
            <w:r w:rsidRPr="25DD51A6">
              <w:rPr>
                <w:szCs w:val="22"/>
              </w:rPr>
              <w:t>IB Docket No. 22-271</w:t>
            </w:r>
          </w:p>
        </w:tc>
      </w:tr>
    </w:tbl>
    <w:p w:rsidR="004C2EE3" w:rsidP="0070224F" w14:paraId="5B974936" w14:textId="77777777"/>
    <w:p w:rsidR="00841AB1" w:rsidP="00F021FA" w14:paraId="55E091A7" w14:textId="22437A8A">
      <w:pPr>
        <w:pStyle w:val="StyleBoldCentered"/>
      </w:pPr>
      <w:r>
        <w:t>NOTICE OF PROPOSED RULEMAKING</w:t>
      </w:r>
    </w:p>
    <w:p w:rsidR="004C2EE3" w14:paraId="2340A93C" w14:textId="77777777">
      <w:pPr>
        <w:tabs>
          <w:tab w:val="left" w:pos="-720"/>
        </w:tabs>
        <w:suppressAutoHyphens/>
        <w:spacing w:line="227" w:lineRule="auto"/>
        <w:rPr>
          <w:spacing w:val="-2"/>
        </w:rPr>
      </w:pPr>
    </w:p>
    <w:p w:rsidR="004C2EE3" w:rsidP="00133F79" w14:paraId="02A9160D" w14:textId="3550D661">
      <w:pPr>
        <w:tabs>
          <w:tab w:val="left" w:pos="720"/>
          <w:tab w:val="right" w:pos="9360"/>
        </w:tabs>
        <w:suppressAutoHyphens/>
        <w:spacing w:line="227" w:lineRule="auto"/>
        <w:rPr>
          <w:spacing w:val="-2"/>
        </w:rPr>
      </w:pPr>
      <w:r>
        <w:rPr>
          <w:b/>
          <w:spacing w:val="-2"/>
        </w:rPr>
        <w:t xml:space="preserve">Adopted:  </w:t>
      </w:r>
      <w:r w:rsidR="008C441A">
        <w:rPr>
          <w:b/>
          <w:spacing w:val="-2"/>
        </w:rPr>
        <w:t xml:space="preserve">December </w:t>
      </w:r>
      <w:r w:rsidR="00B126DA">
        <w:rPr>
          <w:b/>
          <w:spacing w:val="-2"/>
        </w:rPr>
        <w:t>21</w:t>
      </w:r>
      <w:r w:rsidR="008C441A">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C441A">
        <w:rPr>
          <w:b/>
          <w:spacing w:val="-2"/>
        </w:rPr>
        <w:t xml:space="preserve">December </w:t>
      </w:r>
      <w:r w:rsidR="00B126DA">
        <w:rPr>
          <w:b/>
          <w:spacing w:val="-2"/>
        </w:rPr>
        <w:t>22</w:t>
      </w:r>
      <w:r w:rsidR="008C441A">
        <w:rPr>
          <w:b/>
          <w:spacing w:val="-2"/>
        </w:rPr>
        <w:t>, 2022</w:t>
      </w:r>
    </w:p>
    <w:p w:rsidR="00822CE0" w14:paraId="2BBFAD7E" w14:textId="77777777"/>
    <w:p w:rsidR="00345F24" w:rsidRPr="000A270A" w:rsidP="00345F24" w14:paraId="23720D8E" w14:textId="3A07A63A">
      <w:pPr>
        <w:rPr>
          <w:b/>
          <w:bCs/>
        </w:rPr>
      </w:pPr>
      <w:r w:rsidRPr="000A270A">
        <w:rPr>
          <w:b/>
          <w:bCs/>
        </w:rPr>
        <w:t xml:space="preserve">Comment Date: </w:t>
      </w:r>
      <w:r w:rsidR="00F05C40">
        <w:rPr>
          <w:b/>
          <w:bCs/>
        </w:rPr>
        <w:t xml:space="preserve"> </w:t>
      </w:r>
      <w:r w:rsidRPr="000A270A">
        <w:rPr>
          <w:b/>
          <w:bCs/>
        </w:rPr>
        <w:t>(45 days after date of publication in the Federal Register).</w:t>
      </w:r>
    </w:p>
    <w:p w:rsidR="00345F24" w:rsidRPr="000A270A" w:rsidP="00345F24" w14:paraId="19B6A089" w14:textId="447B55F7">
      <w:pPr>
        <w:rPr>
          <w:b/>
          <w:bCs/>
        </w:rPr>
      </w:pPr>
      <w:r w:rsidRPr="000A270A">
        <w:rPr>
          <w:b/>
          <w:bCs/>
        </w:rPr>
        <w:t xml:space="preserve">Reply Comment Date: </w:t>
      </w:r>
      <w:r w:rsidR="00F05C40">
        <w:rPr>
          <w:b/>
          <w:bCs/>
        </w:rPr>
        <w:t xml:space="preserve"> </w:t>
      </w:r>
      <w:r w:rsidRPr="000A270A">
        <w:rPr>
          <w:b/>
          <w:bCs/>
        </w:rPr>
        <w:t>(75 days after date of publication in the Federal Register).</w:t>
      </w:r>
    </w:p>
    <w:p w:rsidR="00345F24" w14:paraId="635834B3" w14:textId="77777777"/>
    <w:p w:rsidR="004C2EE3" w14:paraId="736F7A2A" w14:textId="7662EBB8">
      <w:pPr>
        <w:rPr>
          <w:spacing w:val="-2"/>
        </w:rPr>
      </w:pPr>
      <w:r w:rsidRPr="00B126DA">
        <w:t xml:space="preserve">By the Commission: Chairwoman </w:t>
      </w:r>
      <w:r w:rsidRPr="00B126DA">
        <w:t>Rosenworcel</w:t>
      </w:r>
      <w:r w:rsidRPr="00B126DA">
        <w:t xml:space="preserve"> and Commissioner Starks issuing separate statements</w:t>
      </w:r>
      <w:r>
        <w:rPr>
          <w:spacing w:val="-2"/>
        </w:rPr>
        <w:t>:</w:t>
      </w:r>
    </w:p>
    <w:p w:rsidR="00822CE0" w14:paraId="16AE815D" w14:textId="77777777">
      <w:pPr>
        <w:rPr>
          <w:spacing w:val="-2"/>
        </w:rPr>
      </w:pPr>
    </w:p>
    <w:p w:rsidR="00412FC5" w:rsidP="00C36B4C" w14:paraId="3FA59A09" w14:textId="13AEEE72">
      <w:pPr>
        <w:pStyle w:val="Heading1"/>
      </w:pPr>
      <w:r>
        <w:t>INTRODUCTION</w:t>
      </w:r>
    </w:p>
    <w:p w:rsidR="0028647F" w:rsidP="0028647F" w14:paraId="38FE4BB4" w14:textId="2B57CB92">
      <w:pPr>
        <w:pStyle w:val="ParaNum"/>
      </w:pPr>
      <w:r>
        <w:t xml:space="preserve">In this Notice of Proposed Rulemaking, we </w:t>
      </w:r>
      <w:r w:rsidR="00265D76">
        <w:t xml:space="preserve">seek comment on </w:t>
      </w:r>
      <w:r w:rsidR="00A83967">
        <w:t xml:space="preserve">changes to our rules, policies, or practices </w:t>
      </w:r>
      <w:r w:rsidR="00265D76">
        <w:t>to facilitate the acceptance for filing of satellite</w:t>
      </w:r>
      <w:r>
        <w:rPr>
          <w:rStyle w:val="FootnoteReference"/>
        </w:rPr>
        <w:footnoteReference w:id="3"/>
      </w:r>
      <w:r w:rsidR="00265D76">
        <w:t xml:space="preserve"> </w:t>
      </w:r>
      <w:r w:rsidRPr="004C31C4" w:rsidR="004C31C4">
        <w:t xml:space="preserve">and </w:t>
      </w:r>
      <w:r w:rsidR="004C31C4">
        <w:t>e</w:t>
      </w:r>
      <w:r w:rsidRPr="004C31C4" w:rsidR="004C31C4">
        <w:t xml:space="preserve">arth </w:t>
      </w:r>
      <w:r w:rsidR="004C31C4">
        <w:t>s</w:t>
      </w:r>
      <w:r w:rsidRPr="004C31C4" w:rsidR="004C31C4">
        <w:t xml:space="preserve">tation </w:t>
      </w:r>
      <w:r w:rsidR="00265D76">
        <w:t xml:space="preserve">applications under part 25.  </w:t>
      </w:r>
      <w:r w:rsidR="2C8E6358">
        <w:t>We</w:t>
      </w:r>
      <w:r w:rsidR="2C8E6358">
        <w:t xml:space="preserve"> propose to revise a procedural rule to formally allow consideration of satellite applications </w:t>
      </w:r>
      <w:r w:rsidR="00D07CF4">
        <w:t xml:space="preserve">and petitions </w:t>
      </w:r>
      <w:r w:rsidR="2C8E6358">
        <w:t xml:space="preserve">that request waiver of the Table of Frequency Allocations to operate in a frequency band without an international allocation.  </w:t>
      </w:r>
      <w:r w:rsidR="007E7729">
        <w:t xml:space="preserve">We also </w:t>
      </w:r>
      <w:bookmarkStart w:id="0" w:name="_Hlk120547954"/>
      <w:r w:rsidR="00945963">
        <w:t>seek comment on typical</w:t>
      </w:r>
      <w:r w:rsidR="002D45A1">
        <w:t xml:space="preserve"> processing timeframes</w:t>
      </w:r>
      <w:r w:rsidR="00A83967">
        <w:t xml:space="preserve"> for </w:t>
      </w:r>
      <w:r w:rsidR="7CAECD4B">
        <w:t>satellite</w:t>
      </w:r>
      <w:r w:rsidR="00A83967">
        <w:t xml:space="preserve"> applications</w:t>
      </w:r>
      <w:bookmarkEnd w:id="0"/>
      <w:r w:rsidR="00616B24">
        <w:t xml:space="preserve">.  </w:t>
      </w:r>
      <w:r w:rsidR="00572FCB">
        <w:t xml:space="preserve">This Notice will </w:t>
      </w:r>
      <w:r w:rsidR="00EF1C29">
        <w:t xml:space="preserve">help Commission </w:t>
      </w:r>
      <w:r w:rsidR="00763C94">
        <w:t xml:space="preserve">processing </w:t>
      </w:r>
      <w:r w:rsidR="00EF1C29">
        <w:t xml:space="preserve">stay apace with </w:t>
      </w:r>
      <w:r w:rsidR="00763C94">
        <w:t>the</w:t>
      </w:r>
      <w:r w:rsidR="00EF1C29">
        <w:t xml:space="preserve"> unprecedented number of innovative satellite applications in </w:t>
      </w:r>
      <w:r w:rsidR="0002105B">
        <w:t>the</w:t>
      </w:r>
      <w:r w:rsidR="00EF1C29">
        <w:t xml:space="preserve"> new space age.</w:t>
      </w:r>
    </w:p>
    <w:p w:rsidR="0028647F" w:rsidP="0028647F" w14:paraId="0F233EF1" w14:textId="6C89F410">
      <w:pPr>
        <w:pStyle w:val="Heading1"/>
      </w:pPr>
      <w:r>
        <w:t>BACKGROUND</w:t>
      </w:r>
    </w:p>
    <w:p w:rsidR="002A0473" w:rsidP="002A0473" w14:paraId="1CBE0130" w14:textId="43D28357">
      <w:pPr>
        <w:pStyle w:val="ParaNum"/>
      </w:pPr>
      <w:r>
        <w:t xml:space="preserve">The Commission’s rules establish filing </w:t>
      </w:r>
      <w:r w:rsidR="007A15AF">
        <w:t>criteria</w:t>
      </w:r>
      <w:r>
        <w:t xml:space="preserve"> for </w:t>
      </w:r>
      <w:r w:rsidR="007E7729">
        <w:t>satellite</w:t>
      </w:r>
      <w:r w:rsidR="00806210">
        <w:t xml:space="preserve"> </w:t>
      </w:r>
      <w:r w:rsidRPr="004C31C4" w:rsidR="004C31C4">
        <w:t xml:space="preserve">and earth station </w:t>
      </w:r>
      <w:r>
        <w:t xml:space="preserve">applications </w:t>
      </w:r>
      <w:r w:rsidR="00F2106C">
        <w:t>submitted</w:t>
      </w:r>
      <w:r>
        <w:t xml:space="preserve"> under </w:t>
      </w:r>
      <w:r w:rsidR="00A022F9">
        <w:t>p</w:t>
      </w:r>
      <w:r>
        <w:t>art 25.</w:t>
      </w:r>
      <w:r>
        <w:rPr>
          <w:rStyle w:val="FootnoteReference"/>
        </w:rPr>
        <w:footnoteReference w:id="4"/>
      </w:r>
      <w:r>
        <w:t xml:space="preserve">  </w:t>
      </w:r>
      <w:r w:rsidRPr="00F2106C" w:rsidR="00806210">
        <w:t xml:space="preserve">An application </w:t>
      </w:r>
      <w:r w:rsidR="00806210">
        <w:t xml:space="preserve">that does not meet these criteria </w:t>
      </w:r>
      <w:r w:rsidRPr="00257A2A" w:rsidR="00806210">
        <w:t xml:space="preserve">will be </w:t>
      </w:r>
      <w:r w:rsidR="008B37DF">
        <w:t xml:space="preserve">deemed unacceptable for filing and will be </w:t>
      </w:r>
      <w:r w:rsidR="00806210">
        <w:t xml:space="preserve">dismissed and </w:t>
      </w:r>
      <w:r w:rsidRPr="00F2106C" w:rsidR="00806210">
        <w:t>returned to the applicant</w:t>
      </w:r>
      <w:r w:rsidR="00806210">
        <w:t>,</w:t>
      </w:r>
      <w:r w:rsidRPr="00F2106C" w:rsidR="00806210">
        <w:t xml:space="preserve"> with a brief statement identifying the omissions or discrepancies</w:t>
      </w:r>
      <w:r w:rsidR="00806210">
        <w:t>, unless the application requests a waiver of any conflicting rule or requirement</w:t>
      </w:r>
      <w:r w:rsidR="006D0A58">
        <w:t xml:space="preserve"> </w:t>
      </w:r>
      <w:r w:rsidR="00806210">
        <w:t>or the Commission grants such a waiver on its own motion.</w:t>
      </w:r>
      <w:r>
        <w:rPr>
          <w:rStyle w:val="FootnoteReference"/>
        </w:rPr>
        <w:footnoteReference w:id="5"/>
      </w:r>
      <w:r w:rsidR="00937CF4">
        <w:t xml:space="preserve">  </w:t>
      </w:r>
      <w:r w:rsidR="34A0B963">
        <w:t>A satellite application</w:t>
      </w:r>
      <w:r w:rsidR="008E48F6">
        <w:t xml:space="preserve"> or petition</w:t>
      </w:r>
      <w:r w:rsidR="34A0B963">
        <w:t xml:space="preserve"> that </w:t>
      </w:r>
      <w:r w:rsidR="544D12E4">
        <w:t xml:space="preserve">has been found defective and </w:t>
      </w:r>
      <w:r w:rsidR="34A0B963">
        <w:t>must be re-</w:t>
      </w:r>
      <w:r w:rsidR="66FCA3EE">
        <w:t xml:space="preserve">submitted will receive a later filing date under the Commission’s first-come, first-served licensing process for </w:t>
      </w:r>
      <w:r w:rsidR="01B993FA">
        <w:t>geostationary-satellite orbit (GSO)-</w:t>
      </w:r>
      <w:r w:rsidR="66FCA3EE">
        <w:t>like satellite applications</w:t>
      </w:r>
      <w:r w:rsidR="008E48F6">
        <w:t>,</w:t>
      </w:r>
      <w:r w:rsidR="66FCA3EE">
        <w:t xml:space="preserve"> or </w:t>
      </w:r>
      <w:r w:rsidR="008E48F6">
        <w:t xml:space="preserve">in some instances may result in an applicant </w:t>
      </w:r>
      <w:r w:rsidR="00A80943">
        <w:t xml:space="preserve">missing </w:t>
      </w:r>
      <w:r w:rsidR="00735227">
        <w:t>the</w:t>
      </w:r>
      <w:r w:rsidR="00A80943">
        <w:t xml:space="preserve"> </w:t>
      </w:r>
      <w:r w:rsidR="66FCA3EE">
        <w:t xml:space="preserve">cut-off date of a processing round for </w:t>
      </w:r>
      <w:r w:rsidR="0AA04971">
        <w:t>non-geostationary satellite orbit (N</w:t>
      </w:r>
      <w:r w:rsidR="66FCA3EE">
        <w:t>GSO</w:t>
      </w:r>
      <w:r w:rsidR="41D3B47D">
        <w:t>)</w:t>
      </w:r>
      <w:r w:rsidR="66FCA3EE">
        <w:t xml:space="preserve">-like satellite applications, both </w:t>
      </w:r>
      <w:r w:rsidR="5298112D">
        <w:t xml:space="preserve">consequences that may negatively affect the </w:t>
      </w:r>
      <w:r w:rsidR="73BB979C">
        <w:t xml:space="preserve">ultimate </w:t>
      </w:r>
      <w:r w:rsidR="5298112D">
        <w:t xml:space="preserve">spectrum sharing </w:t>
      </w:r>
      <w:r w:rsidR="4DB49F1B">
        <w:t>conditions of the satellite system</w:t>
      </w:r>
      <w:r w:rsidR="5298112D">
        <w:t>.</w:t>
      </w:r>
      <w:r>
        <w:rPr>
          <w:rStyle w:val="FootnoteReference"/>
        </w:rPr>
        <w:footnoteReference w:id="6"/>
      </w:r>
      <w:r w:rsidR="00735227">
        <w:t xml:space="preserve">  In general, a delay in </w:t>
      </w:r>
      <w:r w:rsidR="00735227">
        <w:t>acceptability for filing may result in a delay in action on the application.</w:t>
      </w:r>
      <w:r w:rsidR="34A0B963">
        <w:t xml:space="preserve"> </w:t>
      </w:r>
      <w:r w:rsidR="171F5AA1">
        <w:t xml:space="preserve"> </w:t>
      </w:r>
      <w:r>
        <w:t xml:space="preserve">The Commission also adopted procedural safeguards against </w:t>
      </w:r>
      <w:r w:rsidR="00387175">
        <w:t>applications that are considered more likely to be speculative or intended to warehouse spectrum resources</w:t>
      </w:r>
      <w:r w:rsidR="00927413">
        <w:t>, including the prohibition on multiple NGSO-like applications or unbuilt NGSO system licenses in the same frequency band</w:t>
      </w:r>
      <w:r w:rsidR="00387175">
        <w:t>.</w:t>
      </w:r>
      <w:r>
        <w:rPr>
          <w:rStyle w:val="FootnoteReference"/>
        </w:rPr>
        <w:footnoteReference w:id="7"/>
      </w:r>
      <w:r w:rsidR="00937CF4">
        <w:t xml:space="preserve">  </w:t>
      </w:r>
      <w:r>
        <w:t xml:space="preserve">Commission staff </w:t>
      </w:r>
      <w:r w:rsidR="001B5082">
        <w:t>conducts an initial review of</w:t>
      </w:r>
      <w:r>
        <w:t xml:space="preserve"> applications for acceptability for filing and compliance with procedural and substantive rules before they are placed on public notice for comment.</w:t>
      </w:r>
      <w:r>
        <w:rPr>
          <w:rStyle w:val="FootnoteReference"/>
        </w:rPr>
        <w:footnoteReference w:id="8"/>
      </w:r>
      <w:r>
        <w:t xml:space="preserve">  </w:t>
      </w:r>
      <w:r w:rsidR="00927413">
        <w:t xml:space="preserve">Typical issues that </w:t>
      </w:r>
      <w:r w:rsidR="009F233F">
        <w:t xml:space="preserve">prolong staff review and </w:t>
      </w:r>
      <w:r w:rsidR="00927413">
        <w:t>delay acceptance for filing</w:t>
      </w:r>
      <w:r w:rsidR="00735227">
        <w:t xml:space="preserve"> include</w:t>
      </w:r>
      <w:r w:rsidR="00927413">
        <w:t xml:space="preserve"> internal inconsistencies</w:t>
      </w:r>
      <w:r w:rsidR="009F233F">
        <w:t xml:space="preserve"> in the application</w:t>
      </w:r>
      <w:r w:rsidR="00927413">
        <w:t xml:space="preserve">, </w:t>
      </w:r>
      <w:r w:rsidR="002374BD">
        <w:t>omi</w:t>
      </w:r>
      <w:r w:rsidR="00735227">
        <w:t>ssion of</w:t>
      </w:r>
      <w:r w:rsidRPr="00015A02" w:rsidR="00015A02">
        <w:t xml:space="preserve"> </w:t>
      </w:r>
      <w:r w:rsidR="00927413">
        <w:t>i</w:t>
      </w:r>
      <w:r w:rsidRPr="00015A02" w:rsidR="00015A02">
        <w:t xml:space="preserve">nformation </w:t>
      </w:r>
      <w:r w:rsidR="00927413">
        <w:t>required by the rules,</w:t>
      </w:r>
      <w:r w:rsidR="00735227">
        <w:t xml:space="preserve"> omission of waiver requests,</w:t>
      </w:r>
      <w:r w:rsidR="00927413">
        <w:t xml:space="preserve"> missed filing deadlines, and novel issues </w:t>
      </w:r>
      <w:r w:rsidR="00937CF4">
        <w:t xml:space="preserve">being </w:t>
      </w:r>
      <w:r w:rsidR="00927413">
        <w:t>raised.</w:t>
      </w:r>
    </w:p>
    <w:p w:rsidR="002A0473" w:rsidP="00993DD0" w14:paraId="3392597D" w14:textId="689EBC15">
      <w:pPr>
        <w:pStyle w:val="Heading2"/>
      </w:pPr>
      <w:r>
        <w:t>Acceptability for Filing</w:t>
      </w:r>
    </w:p>
    <w:p w:rsidR="00806210" w:rsidP="00806210" w14:paraId="06556D1B" w14:textId="6B1D6895">
      <w:pPr>
        <w:pStyle w:val="ParaNum"/>
      </w:pPr>
      <w:r>
        <w:t>Under the rules, a</w:t>
      </w:r>
      <w:r>
        <w:t>n application</w:t>
      </w:r>
      <w:r w:rsidR="00C92DBF">
        <w:t xml:space="preserve"> filed under part 25</w:t>
      </w:r>
      <w:r>
        <w:t xml:space="preserve"> is considered unacceptable for filing if:</w:t>
      </w:r>
    </w:p>
    <w:p w:rsidR="00806210" w:rsidP="00806210" w14:paraId="13FAC8D1" w14:textId="6A63A289">
      <w:pPr>
        <w:pStyle w:val="ParaNum"/>
        <w:numPr>
          <w:ilvl w:val="0"/>
          <w:numId w:val="0"/>
        </w:numPr>
        <w:ind w:left="720"/>
      </w:pPr>
      <w:r>
        <w:t>(1) The application is defective with respect to completeness of answers to questions, informational showings, internal inconsistencies, execution, or other matters of a formal character;</w:t>
      </w:r>
    </w:p>
    <w:p w:rsidR="00806210" w:rsidP="00806210" w14:paraId="16F6A46A" w14:textId="27CA6ECD">
      <w:pPr>
        <w:pStyle w:val="ParaNum"/>
        <w:numPr>
          <w:ilvl w:val="0"/>
          <w:numId w:val="0"/>
        </w:numPr>
        <w:ind w:left="720"/>
      </w:pPr>
      <w:r>
        <w:t>(2) The application does not substantially comply with the Commission’s rules, regulations, specific requests for additional information, or other requirements;</w:t>
      </w:r>
    </w:p>
    <w:p w:rsidR="00806210" w:rsidP="00806210" w14:paraId="34967E48" w14:textId="01088519">
      <w:pPr>
        <w:pStyle w:val="ParaNum"/>
        <w:numPr>
          <w:ilvl w:val="0"/>
          <w:numId w:val="0"/>
        </w:numPr>
        <w:ind w:left="720"/>
      </w:pPr>
      <w:r>
        <w:t xml:space="preserve">(3) The application requests authority to operate a </w:t>
      </w:r>
      <w:r w:rsidR="007E7729">
        <w:t>satellite</w:t>
      </w:r>
      <w:r>
        <w:t xml:space="preserve"> in a frequency band that is not allocated internationally for such operations under the Radio Regulations of the International Telecommunication Union</w:t>
      </w:r>
      <w:r w:rsidR="00540AF4">
        <w:t xml:space="preserve"> (ITU)</w:t>
      </w:r>
      <w:r>
        <w:t xml:space="preserve">, unless the application is </w:t>
      </w:r>
      <w:r w:rsidR="00F37A16">
        <w:t xml:space="preserve">a </w:t>
      </w:r>
      <w:r w:rsidRPr="001C41C0" w:rsidR="001C41C0">
        <w:t xml:space="preserve">streamlined small space station </w:t>
      </w:r>
      <w:r w:rsidR="00F37A16">
        <w:t xml:space="preserve">application </w:t>
      </w:r>
      <w:r>
        <w:t xml:space="preserve">filed pursuant to </w:t>
      </w:r>
      <w:r w:rsidR="00F37A16">
        <w:t>section</w:t>
      </w:r>
      <w:r>
        <w:t xml:space="preserve"> 25.122 or </w:t>
      </w:r>
      <w:r w:rsidR="00F37A16">
        <w:t xml:space="preserve">a </w:t>
      </w:r>
      <w:r w:rsidRPr="001C41C0" w:rsidR="001C41C0">
        <w:t xml:space="preserve">streamlined small spacecraft </w:t>
      </w:r>
      <w:r w:rsidR="00F37A16">
        <w:t>application filed pursuant to section</w:t>
      </w:r>
      <w:r>
        <w:t xml:space="preserve"> 25.123; or</w:t>
      </w:r>
    </w:p>
    <w:p w:rsidR="00806210" w:rsidP="00806210" w14:paraId="04252291" w14:textId="78134DDB">
      <w:pPr>
        <w:pStyle w:val="ParaNum"/>
        <w:numPr>
          <w:ilvl w:val="0"/>
          <w:numId w:val="0"/>
        </w:numPr>
        <w:ind w:left="720"/>
      </w:pPr>
      <w:r>
        <w:t xml:space="preserve">(4) The application is identical to a pending </w:t>
      </w:r>
      <w:r w:rsidR="00892962">
        <w:t xml:space="preserve">satellite </w:t>
      </w:r>
      <w:r>
        <w:t xml:space="preserve">application that was timely filed pursuant to </w:t>
      </w:r>
      <w:r w:rsidR="00F37A16">
        <w:t xml:space="preserve">the processing round procedure in section </w:t>
      </w:r>
      <w:r>
        <w:t xml:space="preserve">25.157 or </w:t>
      </w:r>
      <w:r w:rsidR="00F37A16">
        <w:t>the first-come, first-served processing procedure in section</w:t>
      </w:r>
      <w:r>
        <w:t xml:space="preserve"> 25.158.</w:t>
      </w:r>
      <w:r>
        <w:rPr>
          <w:rStyle w:val="FootnoteReference"/>
        </w:rPr>
        <w:footnoteReference w:id="9"/>
      </w:r>
    </w:p>
    <w:p w:rsidR="001C41C0" w:rsidP="001C41C0" w14:paraId="532A1A8B" w14:textId="60ADA138">
      <w:pPr>
        <w:pStyle w:val="ParaNum"/>
      </w:pPr>
      <w:r>
        <w:t>A</w:t>
      </w:r>
      <w:r w:rsidRPr="001C41C0">
        <w:t xml:space="preserve">pplications found defective under </w:t>
      </w:r>
      <w:r>
        <w:t xml:space="preserve">criteria (1) or (2) </w:t>
      </w:r>
      <w:r w:rsidRPr="001C41C0">
        <w:t xml:space="preserve">may be accepted for filing if </w:t>
      </w:r>
      <w:r>
        <w:t xml:space="preserve">the application </w:t>
      </w:r>
      <w:r w:rsidR="002E4363">
        <w:t xml:space="preserve">requests a waiver, with supporting rationale, of any </w:t>
      </w:r>
      <w:r>
        <w:t xml:space="preserve">rule or requirement with which the application is in conflict or </w:t>
      </w:r>
      <w:r w:rsidR="00C4471B">
        <w:t xml:space="preserve">if </w:t>
      </w:r>
      <w:r>
        <w:t>the Commission</w:t>
      </w:r>
      <w:r w:rsidR="002E4363">
        <w:t xml:space="preserve"> grants such a waiver </w:t>
      </w:r>
      <w:r>
        <w:t>upon its own motion.</w:t>
      </w:r>
      <w:r>
        <w:rPr>
          <w:rStyle w:val="FootnoteReference"/>
        </w:rPr>
        <w:footnoteReference w:id="10"/>
      </w:r>
      <w:r>
        <w:t xml:space="preserve">  </w:t>
      </w:r>
      <w:r w:rsidR="007E7729">
        <w:t>Satellite</w:t>
      </w:r>
      <w:r>
        <w:t xml:space="preserve"> applications found defective under criteria (3) or (4), under current rules, </w:t>
      </w:r>
      <w:r w:rsidRPr="001C41C0">
        <w:t>will not be considered</w:t>
      </w:r>
      <w:r w:rsidR="00F37A16">
        <w:t>.</w:t>
      </w:r>
      <w:r>
        <w:rPr>
          <w:rStyle w:val="FootnoteReference"/>
        </w:rPr>
        <w:footnoteReference w:id="11"/>
      </w:r>
    </w:p>
    <w:p w:rsidR="009E0F6E" w:rsidP="009E0F6E" w14:paraId="222DBCB6" w14:textId="0040B005">
      <w:pPr>
        <w:pStyle w:val="ParaNum"/>
      </w:pPr>
      <w:r>
        <w:t>Under our part 25 rules, t</w:t>
      </w:r>
      <w:r w:rsidR="005B3D42">
        <w:t xml:space="preserve">he standard for </w:t>
      </w:r>
      <w:r w:rsidR="00AF3CF2">
        <w:t>determining</w:t>
      </w:r>
      <w:r w:rsidR="002D77AA">
        <w:t xml:space="preserve"> </w:t>
      </w:r>
      <w:r w:rsidR="00F444FA">
        <w:t xml:space="preserve">whether an </w:t>
      </w:r>
      <w:r w:rsidR="002D77AA">
        <w:t xml:space="preserve">application </w:t>
      </w:r>
      <w:r w:rsidR="00F444FA">
        <w:t>is acceptable for filing</w:t>
      </w:r>
      <w:r>
        <w:t xml:space="preserve"> is not “letter perfection.”</w:t>
      </w:r>
      <w:r>
        <w:rPr>
          <w:rStyle w:val="FootnoteReference"/>
        </w:rPr>
        <w:footnoteReference w:id="12"/>
      </w:r>
      <w:r>
        <w:t xml:space="preserve">  The Commission may place on public notice applications with minor inaccuracies that are not material to the Commission’s or the public’s review.</w:t>
      </w:r>
      <w:r>
        <w:rPr>
          <w:rStyle w:val="FootnoteReference"/>
        </w:rPr>
        <w:footnoteReference w:id="13"/>
      </w:r>
      <w:r>
        <w:t xml:space="preserve">  </w:t>
      </w:r>
      <w:r w:rsidR="009C2D7D">
        <w:t xml:space="preserve">However, the rules </w:t>
      </w:r>
      <w:r w:rsidR="009C2D7D">
        <w:t xml:space="preserve">require all applications under </w:t>
      </w:r>
      <w:r w:rsidR="009C2D7D">
        <w:t>part</w:t>
      </w:r>
      <w:r w:rsidR="009C2D7D">
        <w:t xml:space="preserve"> 25 to be substantially complete when they are filed.</w:t>
      </w:r>
      <w:r>
        <w:rPr>
          <w:rStyle w:val="FootnoteReference"/>
        </w:rPr>
        <w:footnoteReference w:id="14"/>
      </w:r>
      <w:r w:rsidR="009C2D7D">
        <w:t xml:space="preserve"> </w:t>
      </w:r>
      <w:r w:rsidR="00F741F0">
        <w:t xml:space="preserve"> </w:t>
      </w:r>
      <w:r w:rsidR="00E20F0B">
        <w:t xml:space="preserve">As a practical matter, in </w:t>
      </w:r>
      <w:r w:rsidR="00491AB6">
        <w:t>some recent</w:t>
      </w:r>
      <w:r>
        <w:t xml:space="preserve"> instances, staff has found it efficient to aid </w:t>
      </w:r>
      <w:r w:rsidR="00E20F0B">
        <w:t xml:space="preserve">applicants </w:t>
      </w:r>
      <w:r>
        <w:t xml:space="preserve">to address discrepancies </w:t>
      </w:r>
      <w:r w:rsidR="00E20F0B">
        <w:t xml:space="preserve">or omissions </w:t>
      </w:r>
      <w:r>
        <w:t>in their pending applications before placing them on public notice</w:t>
      </w:r>
      <w:r w:rsidR="00E20F0B">
        <w:t>,</w:t>
      </w:r>
      <w:r>
        <w:rPr>
          <w:rStyle w:val="FootnoteReference"/>
        </w:rPr>
        <w:footnoteReference w:id="15"/>
      </w:r>
      <w:r w:rsidR="00A53D79">
        <w:t xml:space="preserve"> </w:t>
      </w:r>
      <w:r w:rsidR="00E20F0B">
        <w:t>resulting in fewer applications being dismissed prior to being accepted for filing.</w:t>
      </w:r>
    </w:p>
    <w:p w:rsidR="0079367B" w:rsidP="00993DD0" w14:paraId="277326D5" w14:textId="7FBC4E4B">
      <w:pPr>
        <w:pStyle w:val="Heading2"/>
      </w:pPr>
      <w:r>
        <w:t xml:space="preserve">Acceptability </w:t>
      </w:r>
      <w:r w:rsidR="00FC4648">
        <w:t xml:space="preserve">for Filing </w:t>
      </w:r>
      <w:r>
        <w:t>of</w:t>
      </w:r>
      <w:r w:rsidR="00FC4648">
        <w:t xml:space="preserve"> </w:t>
      </w:r>
      <w:r>
        <w:t xml:space="preserve">Satellite Applications </w:t>
      </w:r>
      <w:r w:rsidR="006C1CC9">
        <w:t xml:space="preserve">not </w:t>
      </w:r>
      <w:r w:rsidR="00FC4648">
        <w:t>in Conformance with International Frequency Allocations</w:t>
      </w:r>
      <w:r>
        <w:t xml:space="preserve"> </w:t>
      </w:r>
    </w:p>
    <w:p w:rsidR="00C95CA6" w:rsidP="00C95CA6" w14:paraId="25C6BB5E" w14:textId="7131150C">
      <w:pPr>
        <w:pStyle w:val="ParaNum"/>
      </w:pPr>
      <w:r>
        <w:t>As noted above, u</w:t>
      </w:r>
      <w:r>
        <w:t xml:space="preserve">nlike most application defects, an </w:t>
      </w:r>
      <w:r w:rsidRPr="00EA4E1E">
        <w:t>application request</w:t>
      </w:r>
      <w:r>
        <w:t>ing</w:t>
      </w:r>
      <w:r w:rsidRPr="00EA4E1E">
        <w:t xml:space="preserve"> authority to operate a </w:t>
      </w:r>
      <w:r w:rsidR="007E7729">
        <w:t>satellite</w:t>
      </w:r>
      <w:r w:rsidRPr="00EA4E1E">
        <w:t xml:space="preserve"> in a frequency band that is not allocated internationally for such operation under the </w:t>
      </w:r>
      <w:r>
        <w:t xml:space="preserve">ITU </w:t>
      </w:r>
      <w:r w:rsidRPr="00EA4E1E">
        <w:t xml:space="preserve">Radio Regulations </w:t>
      </w:r>
      <w:r>
        <w:t xml:space="preserve">is deemed unacceptable for filing regardless of whether a waiver </w:t>
      </w:r>
      <w:r>
        <w:t xml:space="preserve">of the Table of Frequency Allocations </w:t>
      </w:r>
      <w:r>
        <w:t>is requested.</w:t>
      </w:r>
      <w:r>
        <w:rPr>
          <w:rStyle w:val="FootnoteReference"/>
        </w:rPr>
        <w:footnoteReference w:id="16"/>
      </w:r>
      <w:r>
        <w:t xml:space="preserve">  </w:t>
      </w:r>
      <w:r w:rsidR="000E55AB">
        <w:t xml:space="preserve">When the Commission adopted this rule in 2003, it explained that it would </w:t>
      </w:r>
      <w:r w:rsidRPr="000E55AB" w:rsidR="000E55AB">
        <w:t xml:space="preserve">dismiss </w:t>
      </w:r>
      <w:r w:rsidR="007E7729">
        <w:t>satellite</w:t>
      </w:r>
      <w:r w:rsidRPr="000E55AB" w:rsidR="000E55AB">
        <w:t xml:space="preserve"> applications without prejudice as </w:t>
      </w:r>
      <w:r w:rsidR="00686CFB">
        <w:t>“</w:t>
      </w:r>
      <w:r w:rsidRPr="000E55AB" w:rsidR="000E55AB">
        <w:t>premature</w:t>
      </w:r>
      <w:r w:rsidR="00686CFB">
        <w:t>”</w:t>
      </w:r>
      <w:r w:rsidRPr="000E55AB" w:rsidR="000E55AB">
        <w:t xml:space="preserve"> if the application is filed before the ITU adopts a necessary frequency allocation</w:t>
      </w:r>
      <w:r w:rsidR="000E55AB">
        <w:t xml:space="preserve"> b</w:t>
      </w:r>
      <w:r w:rsidRPr="000E55AB" w:rsidR="000E55AB">
        <w:t>ecause it can take several years for the ITU to adopt a</w:t>
      </w:r>
      <w:r>
        <w:t xml:space="preserve"> new </w:t>
      </w:r>
      <w:r w:rsidRPr="000E55AB" w:rsidR="000E55AB">
        <w:t>allocation</w:t>
      </w:r>
      <w:r w:rsidR="00906BCC">
        <w:t>.</w:t>
      </w:r>
      <w:r>
        <w:rPr>
          <w:rStyle w:val="FootnoteReference"/>
        </w:rPr>
        <w:footnoteReference w:id="17"/>
      </w:r>
      <w:r w:rsidR="00906BCC">
        <w:t xml:space="preserve"> </w:t>
      </w:r>
      <w:r w:rsidRPr="000E55AB" w:rsidR="000E55AB">
        <w:t xml:space="preserve"> Furthermore, </w:t>
      </w:r>
      <w:r>
        <w:t xml:space="preserve">the Commission reasoned that </w:t>
      </w:r>
      <w:r w:rsidRPr="000E55AB" w:rsidR="000E55AB">
        <w:t xml:space="preserve">when an applicant files its application </w:t>
      </w:r>
      <w:r>
        <w:t>“</w:t>
      </w:r>
      <w:r w:rsidRPr="000E55AB" w:rsidR="000E55AB">
        <w:t>years before it will be possible to provide service,</w:t>
      </w:r>
      <w:r>
        <w:t>”</w:t>
      </w:r>
      <w:r w:rsidRPr="000E55AB" w:rsidR="000E55AB">
        <w:t xml:space="preserve"> it is likely that the application may be a “place holder.”</w:t>
      </w:r>
      <w:r>
        <w:rPr>
          <w:rStyle w:val="FootnoteReference"/>
        </w:rPr>
        <w:footnoteReference w:id="18"/>
      </w:r>
    </w:p>
    <w:p w:rsidR="00686CFB" w:rsidP="00F2106C" w14:paraId="6058D22C" w14:textId="26B49AD0">
      <w:pPr>
        <w:pStyle w:val="ParaNum"/>
      </w:pPr>
      <w:r>
        <w:t xml:space="preserve">Drawing on more recent experience, the Commission </w:t>
      </w:r>
      <w:r w:rsidR="00B17FCB">
        <w:t>has</w:t>
      </w:r>
      <w:r>
        <w:t xml:space="preserve"> </w:t>
      </w:r>
      <w:r w:rsidR="00652FFD">
        <w:t xml:space="preserve">observed that, in the context of small satellites, there </w:t>
      </w:r>
      <w:r w:rsidRPr="00652FFD" w:rsidR="00652FFD">
        <w:t xml:space="preserve">may be benefits associated with </w:t>
      </w:r>
      <w:r w:rsidR="00652FFD">
        <w:t xml:space="preserve">operations </w:t>
      </w:r>
      <w:r w:rsidRPr="00652FFD" w:rsidR="00652FFD">
        <w:t xml:space="preserve">not consistent with the current International Table of </w:t>
      </w:r>
      <w:r w:rsidR="00A10BA3">
        <w:t xml:space="preserve">Frequency </w:t>
      </w:r>
      <w:r w:rsidRPr="00652FFD" w:rsidR="00652FFD">
        <w:t>Allocations in certain circumstances</w:t>
      </w:r>
      <w:r w:rsidR="00652FFD">
        <w:t>.</w:t>
      </w:r>
      <w:r>
        <w:rPr>
          <w:rStyle w:val="FootnoteReference"/>
        </w:rPr>
        <w:footnoteReference w:id="19"/>
      </w:r>
      <w:r w:rsidR="00652FFD">
        <w:t xml:space="preserve">  </w:t>
      </w:r>
      <w:r w:rsidR="005D1CD9">
        <w:t xml:space="preserve">Accordingly, </w:t>
      </w:r>
      <w:r w:rsidR="00B17FCB">
        <w:t xml:space="preserve">in 2019 </w:t>
      </w:r>
      <w:r w:rsidR="005D1CD9">
        <w:t>the Commission modified the acceptability</w:t>
      </w:r>
      <w:r w:rsidRPr="00686CFB" w:rsidR="005D1CD9">
        <w:t xml:space="preserve"> </w:t>
      </w:r>
      <w:r w:rsidR="009D5CE7">
        <w:t xml:space="preserve">for filing </w:t>
      </w:r>
      <w:r w:rsidRPr="00686CFB" w:rsidR="005D1CD9">
        <w:t>rule to provide an exception, so that streamlined small satellite applications requesting to operate in bands not allocated internationally, and which include an appropriate waiver request, can be considered on their merits without being deemed unacceptable for filing.</w:t>
      </w:r>
      <w:r>
        <w:rPr>
          <w:rStyle w:val="FootnoteReference"/>
        </w:rPr>
        <w:footnoteReference w:id="20"/>
      </w:r>
    </w:p>
    <w:p w:rsidR="000F3950" w:rsidP="00E248CB" w14:paraId="0B9B3ACA" w14:textId="36845EC4">
      <w:pPr>
        <w:pStyle w:val="ParaNum"/>
      </w:pPr>
      <w:r>
        <w:t xml:space="preserve">If </w:t>
      </w:r>
      <w:r w:rsidR="00137E80">
        <w:t>a</w:t>
      </w:r>
      <w:r w:rsidR="009D3DB5">
        <w:t xml:space="preserve"> waiver </w:t>
      </w:r>
      <w:r w:rsidR="0088157A">
        <w:t xml:space="preserve">is granted </w:t>
      </w:r>
      <w:r w:rsidR="00137E80">
        <w:t>for satellite operation</w:t>
      </w:r>
      <w:r w:rsidR="00454FBE">
        <w:t xml:space="preserve">s </w:t>
      </w:r>
      <w:r w:rsidR="00D367CF">
        <w:t xml:space="preserve">not in conformance with </w:t>
      </w:r>
      <w:r w:rsidR="00137E80">
        <w:t xml:space="preserve">the International Table of Frequency </w:t>
      </w:r>
      <w:r w:rsidR="00E248CB">
        <w:t>Allocations</w:t>
      </w:r>
      <w:r w:rsidR="00137E80">
        <w:t xml:space="preserve">, </w:t>
      </w:r>
      <w:r>
        <w:t xml:space="preserve">international provisions also apply.  Specifically, </w:t>
      </w:r>
      <w:r w:rsidR="00E248CB">
        <w:t xml:space="preserve">Article 4.4 </w:t>
      </w:r>
      <w:r>
        <w:t xml:space="preserve">of the ITU Radio Regulations </w:t>
      </w:r>
      <w:r w:rsidR="002600B5">
        <w:t>states</w:t>
      </w:r>
      <w:r w:rsidR="00E248CB">
        <w:t xml:space="preserve"> that </w:t>
      </w:r>
      <w:r w:rsidR="0047310C">
        <w:t xml:space="preserve">an </w:t>
      </w:r>
      <w:r>
        <w:t xml:space="preserve">administration </w:t>
      </w:r>
      <w:r w:rsidRPr="00E248CB" w:rsidR="00E248CB">
        <w:t xml:space="preserve">shall not assign any frequency in derogation of </w:t>
      </w:r>
      <w:r>
        <w:t>the International</w:t>
      </w:r>
      <w:r w:rsidRPr="00E248CB" w:rsidR="00E248CB">
        <w:t xml:space="preserve"> Table of Frequency Allocations except on the express condition that </w:t>
      </w:r>
      <w:r w:rsidR="00AB754E">
        <w:t>the</w:t>
      </w:r>
      <w:r w:rsidRPr="00E248CB" w:rsidR="00E248CB">
        <w:t xml:space="preserve"> station shall not cause harmful interference to, and shall not claim protection from harmful interference caused by, a station operating in accordance with the provisions of the </w:t>
      </w:r>
      <w:r>
        <w:t xml:space="preserve">ITU </w:t>
      </w:r>
      <w:r w:rsidRPr="00E248CB" w:rsidR="00E248CB">
        <w:t xml:space="preserve">Constitution, Convention and </w:t>
      </w:r>
      <w:r>
        <w:t xml:space="preserve">Radio </w:t>
      </w:r>
      <w:r w:rsidRPr="00E248CB" w:rsidR="00E248CB">
        <w:t>Regulations</w:t>
      </w:r>
      <w:r w:rsidR="00E248CB">
        <w:t>.</w:t>
      </w:r>
      <w:r>
        <w:rPr>
          <w:rStyle w:val="FootnoteReference"/>
        </w:rPr>
        <w:footnoteReference w:id="21"/>
      </w:r>
      <w:r w:rsidR="00E248CB">
        <w:t xml:space="preserve">  </w:t>
      </w:r>
      <w:r>
        <w:t xml:space="preserve">In addition, ITU </w:t>
      </w:r>
      <w:r w:rsidR="002600B5">
        <w:t xml:space="preserve">Rule of Procedure 1.6 provides that </w:t>
      </w:r>
      <w:r w:rsidR="0047310C">
        <w:t xml:space="preserve">an </w:t>
      </w:r>
      <w:r w:rsidR="002600B5">
        <w:t xml:space="preserve">administration, </w:t>
      </w:r>
      <w:r w:rsidR="00E248CB">
        <w:t xml:space="preserve">prior to bringing </w:t>
      </w:r>
      <w:r w:rsidR="00E248CB">
        <w:t xml:space="preserve">into use any frequency assignment to a transmitting station operating under No. 4.4, shall determine: a) </w:t>
      </w:r>
      <w:r>
        <w:t>t</w:t>
      </w:r>
      <w:r w:rsidR="00E248CB">
        <w:t xml:space="preserve">hat the intended use of the frequency assignment to the station under No. 4.4 will not cause harmful interference into the stations of other administrations operating in conformity with the Radio Regulations; </w:t>
      </w:r>
      <w:r>
        <w:t xml:space="preserve">and </w:t>
      </w:r>
      <w:r w:rsidR="00E248CB">
        <w:t xml:space="preserve">b) </w:t>
      </w:r>
      <w:r>
        <w:t>w</w:t>
      </w:r>
      <w:r w:rsidR="00E248CB">
        <w:t>hat measures it would need to take in order to comply with the requirement to immediately eliminate harmful interference.</w:t>
      </w:r>
      <w:r>
        <w:rPr>
          <w:rStyle w:val="FootnoteReference"/>
        </w:rPr>
        <w:footnoteReference w:id="22"/>
      </w:r>
    </w:p>
    <w:p w:rsidR="00015A02" w:rsidP="00993DD0" w14:paraId="1531FC17" w14:textId="3011A33E">
      <w:pPr>
        <w:pStyle w:val="Heading2"/>
      </w:pPr>
      <w:r>
        <w:t xml:space="preserve">Limit on </w:t>
      </w:r>
      <w:r>
        <w:t>Unbuilt NGSO Systems</w:t>
      </w:r>
    </w:p>
    <w:p w:rsidR="00015A02" w:rsidP="00FE2906" w14:paraId="584CCBC4" w14:textId="63076A84">
      <w:pPr>
        <w:pStyle w:val="ParaNum"/>
      </w:pPr>
      <w:r>
        <w:t xml:space="preserve">Another provision that may forestall or delay processing of </w:t>
      </w:r>
      <w:r w:rsidR="00E05C0B">
        <w:t>NGSO</w:t>
      </w:r>
      <w:r>
        <w:t xml:space="preserve"> applications is the </w:t>
      </w:r>
      <w:r w:rsidR="00AE394E">
        <w:t xml:space="preserve">limit on </w:t>
      </w:r>
      <w:r>
        <w:t>unbuilt</w:t>
      </w:r>
      <w:r w:rsidR="00AE394E">
        <w:t xml:space="preserve"> NGSO</w:t>
      </w:r>
      <w:r>
        <w:t xml:space="preserve"> systems.  This rule prevents </w:t>
      </w:r>
      <w:r w:rsidR="005F202A">
        <w:t xml:space="preserve">a party from </w:t>
      </w:r>
      <w:r w:rsidRPr="005F202A" w:rsidR="005F202A">
        <w:t>apply</w:t>
      </w:r>
      <w:r w:rsidR="005F202A">
        <w:t>ing</w:t>
      </w:r>
      <w:r w:rsidRPr="005F202A" w:rsidR="005F202A">
        <w:t xml:space="preserve"> for </w:t>
      </w:r>
      <w:r w:rsidR="005F202A">
        <w:t xml:space="preserve">an additional </w:t>
      </w:r>
      <w:r w:rsidRPr="005F202A" w:rsidR="005F202A">
        <w:t>NGSO-like satellite system</w:t>
      </w:r>
      <w:r>
        <w:rPr>
          <w:rStyle w:val="FootnoteReference"/>
        </w:rPr>
        <w:footnoteReference w:id="23"/>
      </w:r>
      <w:r w:rsidRPr="005F202A" w:rsidR="005F202A">
        <w:t xml:space="preserve"> license </w:t>
      </w:r>
      <w:r w:rsidR="005F202A">
        <w:t xml:space="preserve">in a particular frequency band if </w:t>
      </w:r>
      <w:r w:rsidR="000212D3">
        <w:t xml:space="preserve">that party </w:t>
      </w:r>
      <w:r w:rsidR="005F202A">
        <w:t xml:space="preserve">already has </w:t>
      </w:r>
      <w:r w:rsidRPr="005F202A" w:rsidR="005F202A">
        <w:t xml:space="preserve">an application for </w:t>
      </w:r>
      <w:r w:rsidR="005F202A">
        <w:t>an</w:t>
      </w:r>
      <w:r w:rsidRPr="005F202A" w:rsidR="005F202A">
        <w:t xml:space="preserve"> NGSO-like satellite system license on file or </w:t>
      </w:r>
      <w:r w:rsidR="005F202A">
        <w:t>a</w:t>
      </w:r>
      <w:r w:rsidRPr="005F202A" w:rsidR="005F202A">
        <w:t xml:space="preserve"> licensed-but-unbuilt NGSO-like satellite system </w:t>
      </w:r>
      <w:r w:rsidR="005F202A">
        <w:t>in the band.</w:t>
      </w:r>
      <w:r>
        <w:rPr>
          <w:rStyle w:val="FootnoteReference"/>
        </w:rPr>
        <w:footnoteReference w:id="24"/>
      </w:r>
      <w:r w:rsidR="005F202A">
        <w:t xml:space="preserve">  </w:t>
      </w:r>
      <w:r w:rsidR="000A5180">
        <w:t xml:space="preserve">The rule </w:t>
      </w:r>
      <w:r w:rsidR="00A56D33">
        <w:t xml:space="preserve">was adopted, in addition to bond and milestone requirements, as a means to </w:t>
      </w:r>
      <w:r w:rsidR="00AE394E">
        <w:t>restrain speculation without restricting applicants</w:t>
      </w:r>
      <w:r w:rsidR="00A56D33">
        <w:t>’</w:t>
      </w:r>
      <w:r w:rsidR="00AE394E">
        <w:t xml:space="preserve"> business plans</w:t>
      </w:r>
      <w:r w:rsidR="00A56D33">
        <w:t xml:space="preserve"> and to give licensees an incentive to turn in licenses for satellite systems that they do not intend to build.</w:t>
      </w:r>
      <w:r>
        <w:rPr>
          <w:rStyle w:val="FootnoteReference"/>
        </w:rPr>
        <w:footnoteReference w:id="25"/>
      </w:r>
    </w:p>
    <w:p w:rsidR="001A7677" w:rsidP="00993DD0" w14:paraId="7B205117" w14:textId="0D1DAA4D">
      <w:pPr>
        <w:pStyle w:val="Heading2"/>
      </w:pPr>
      <w:r>
        <w:t>Application Processing Timelines</w:t>
      </w:r>
    </w:p>
    <w:p w:rsidR="0079367B" w:rsidP="00F2106C" w14:paraId="29D01A3D" w14:textId="290ED904">
      <w:pPr>
        <w:pStyle w:val="ParaNum"/>
      </w:pPr>
      <w:r>
        <w:t xml:space="preserve">In 2015, before the </w:t>
      </w:r>
      <w:r w:rsidR="00C7376C">
        <w:t xml:space="preserve">recent </w:t>
      </w:r>
      <w:r>
        <w:t xml:space="preserve">surge in applications for </w:t>
      </w:r>
      <w:r w:rsidR="000263AA">
        <w:t>NGSO</w:t>
      </w:r>
      <w:r>
        <w:t xml:space="preserve"> systems,</w:t>
      </w:r>
      <w:r>
        <w:rPr>
          <w:rStyle w:val="FootnoteReference"/>
        </w:rPr>
        <w:footnoteReference w:id="26"/>
      </w:r>
      <w:r>
        <w:t xml:space="preserve"> the Commission </w:t>
      </w:r>
      <w:r w:rsidRPr="001A7677" w:rsidR="001A7677">
        <w:t>note</w:t>
      </w:r>
      <w:r>
        <w:t>d</w:t>
      </w:r>
      <w:r w:rsidRPr="001A7677" w:rsidR="001A7677">
        <w:t xml:space="preserve"> the following expected processing periods for </w:t>
      </w:r>
      <w:r w:rsidR="00AA1FBD">
        <w:t xml:space="preserve">what it described as </w:t>
      </w:r>
      <w:r w:rsidR="00603B96">
        <w:t>“</w:t>
      </w:r>
      <w:r w:rsidRPr="001A7677" w:rsidR="001A7677">
        <w:t>straightforward</w:t>
      </w:r>
      <w:r w:rsidR="00603B96">
        <w:t>”</w:t>
      </w:r>
      <w:r w:rsidRPr="001A7677" w:rsidR="001A7677">
        <w:t xml:space="preserve"> </w:t>
      </w:r>
      <w:r w:rsidR="007E7729">
        <w:t>satellite</w:t>
      </w:r>
      <w:r w:rsidR="003361E2">
        <w:t xml:space="preserve"> </w:t>
      </w:r>
      <w:r w:rsidRPr="001A7677" w:rsidR="001A7677">
        <w:t>applications that are not contested, barring any complication:</w:t>
      </w:r>
      <w:r>
        <w:rPr>
          <w:rStyle w:val="FootnoteReference"/>
        </w:rPr>
        <w:footnoteReference w:id="27"/>
      </w:r>
    </w:p>
    <w:p w:rsidR="0079367B" w:rsidP="0079367B" w14:paraId="1182D6A0" w14:textId="77777777">
      <w:pPr>
        <w:pStyle w:val="ParaNum"/>
        <w:numPr>
          <w:ilvl w:val="0"/>
          <w:numId w:val="0"/>
        </w:numPr>
        <w:ind w:left="720"/>
      </w:pPr>
      <w:r w:rsidRPr="001A7677">
        <w:t xml:space="preserve">(1) applications for initial space station authorization or for modification of authorization will be placed on public notice within 45 days of receipt, and acted upon within 60 days after close of the comment period; and </w:t>
      </w:r>
    </w:p>
    <w:p w:rsidR="001A7677" w:rsidP="0079367B" w14:paraId="35B2860C" w14:textId="11273D7C">
      <w:pPr>
        <w:pStyle w:val="ParaNum"/>
        <w:numPr>
          <w:ilvl w:val="0"/>
          <w:numId w:val="0"/>
        </w:numPr>
        <w:ind w:left="720"/>
      </w:pPr>
      <w:r w:rsidRPr="001A7677">
        <w:t xml:space="preserve">(2) applications for special temporary authority (STA) for a space station will be placed on public notice within 14 days of receipt, if public notice is required, and acted upon within 30 days after close of the comment period. </w:t>
      </w:r>
      <w:r w:rsidR="7D17D2B4">
        <w:t xml:space="preserve"> </w:t>
      </w:r>
      <w:r w:rsidRPr="001A7677">
        <w:t>For space-station STA requests that do not require public notice, we expect to act within 30 days of receipt.</w:t>
      </w:r>
    </w:p>
    <w:p w:rsidR="004C31C4" w:rsidP="004C31C4" w14:paraId="5B7F21A3" w14:textId="77777777">
      <w:pPr>
        <w:pStyle w:val="ParaNum"/>
      </w:pPr>
      <w:r>
        <w:t xml:space="preserve">In 2016, the </w:t>
      </w:r>
      <w:r w:rsidRPr="003361E2">
        <w:t>Satellite Division of the International Bureau announce</w:t>
      </w:r>
      <w:r>
        <w:t>d</w:t>
      </w:r>
      <w:r w:rsidRPr="003361E2">
        <w:t xml:space="preserve"> the following expected processing times for straightforward, uncontested earth station applications, barring any complication:</w:t>
      </w:r>
      <w:r>
        <w:rPr>
          <w:rStyle w:val="FootnoteReference"/>
        </w:rPr>
        <w:footnoteReference w:id="28"/>
      </w:r>
    </w:p>
    <w:p w:rsidR="004C31C4" w:rsidP="00ED1A8B" w14:paraId="373A3E83" w14:textId="6AAE5C77">
      <w:pPr>
        <w:pStyle w:val="ParaNum"/>
        <w:widowControl/>
        <w:numPr>
          <w:ilvl w:val="0"/>
          <w:numId w:val="0"/>
        </w:numPr>
        <w:ind w:left="720"/>
      </w:pPr>
      <w:r w:rsidRPr="003361E2">
        <w:t xml:space="preserve"> (1) Applications for an initial earth station authorization or for a modification of authorization will be placed on public notice within 45 days of confirmation of receipt of payment, if not </w:t>
      </w:r>
      <w:r w:rsidRPr="003361E2">
        <w:t>defective per section 25.112 of the Commission’s rules, and acted upon within 60 days after close of the comment period.</w:t>
      </w:r>
    </w:p>
    <w:p w:rsidR="004C31C4" w:rsidP="004C31C4" w14:paraId="507CE854" w14:textId="3E1E3CCA">
      <w:pPr>
        <w:pStyle w:val="ParaNum"/>
        <w:numPr>
          <w:ilvl w:val="0"/>
          <w:numId w:val="0"/>
        </w:numPr>
        <w:ind w:left="720"/>
      </w:pPr>
      <w:r w:rsidRPr="003361E2">
        <w:t>(2) Applications for initial registration of receive-only earth stations or for a modification of registration will be placed on public notice within 30 days of confirmation of receipt of payment, if not defective per section 25.112 of the Commission’s rules, and acted upon within 45 days after close of the comment period.</w:t>
      </w:r>
    </w:p>
    <w:p w:rsidR="00FC2A71" w:rsidP="00E07467" w14:paraId="38D95E5B" w14:textId="77777777">
      <w:pPr>
        <w:pStyle w:val="ParaNum"/>
        <w:numPr>
          <w:ilvl w:val="0"/>
          <w:numId w:val="0"/>
        </w:numPr>
        <w:ind w:left="720"/>
      </w:pPr>
      <w:r w:rsidRPr="003361E2">
        <w:t xml:space="preserve">(3) Applications for special temporary authority for earth stations will be placed on public notice within 14 days of confirmation of receipt of payment, if not defective per section 25.112 of the Commission’s rules and if compliant with section 25.120 of the Commission’s rules, and acted upon within 30 days after close of the comment period. </w:t>
      </w:r>
      <w:r>
        <w:t xml:space="preserve"> </w:t>
      </w:r>
      <w:r w:rsidRPr="003361E2">
        <w:t>For such requests that do not require notice to the public before action, if they are not defective per section 25.112 of the</w:t>
      </w:r>
      <w:r>
        <w:t xml:space="preserve"> </w:t>
      </w:r>
      <w:r w:rsidRPr="003361E2">
        <w:t xml:space="preserve">Commission’s rules and are compliant with section 25.120 of the Commission’s rules, we expect to act within 30 days of receipt subject to confirmation of receipt of payment. </w:t>
      </w:r>
    </w:p>
    <w:p w:rsidR="00AD1536" w:rsidP="00FC2A71" w14:paraId="15DC6C03" w14:textId="1EEB02DB">
      <w:pPr>
        <w:pStyle w:val="ParaNum"/>
        <w:numPr>
          <w:ilvl w:val="0"/>
          <w:numId w:val="0"/>
        </w:numPr>
        <w:ind w:firstLine="720"/>
      </w:pPr>
      <w:r>
        <w:t>The Commission has not</w:t>
      </w:r>
      <w:r w:rsidR="00C6178D">
        <w:t xml:space="preserve"> subsequently</w:t>
      </w:r>
      <w:r>
        <w:t xml:space="preserve"> updated estimates on processing times</w:t>
      </w:r>
      <w:r w:rsidR="00C6178D">
        <w:t>, although the volume and complexity of applications has increased</w:t>
      </w:r>
      <w:r w:rsidR="00F83786">
        <w:t>.</w:t>
      </w:r>
    </w:p>
    <w:p w:rsidR="0028647F" w:rsidP="0028647F" w14:paraId="3D42527F" w14:textId="1FF7AD4B">
      <w:pPr>
        <w:pStyle w:val="Heading1"/>
      </w:pPr>
      <w:r>
        <w:t>DISCUSSION</w:t>
      </w:r>
    </w:p>
    <w:p w:rsidR="0028647F" w:rsidP="0028647F" w14:paraId="7BBFD735" w14:textId="6F8C97A3">
      <w:pPr>
        <w:pStyle w:val="ParaNum"/>
      </w:pPr>
      <w:bookmarkStart w:id="1" w:name="_Hlk120548660"/>
      <w:r>
        <w:t xml:space="preserve">As the Commission </w:t>
      </w:r>
      <w:r w:rsidR="007B652A">
        <w:t>experiences</w:t>
      </w:r>
      <w:r w:rsidR="00CD6A50">
        <w:t xml:space="preserve"> </w:t>
      </w:r>
      <w:r w:rsidRPr="00CD6A50" w:rsidR="00CD6A50">
        <w:t>increas</w:t>
      </w:r>
      <w:r w:rsidR="00CD6A50">
        <w:t>ing</w:t>
      </w:r>
      <w:r w:rsidRPr="00CD6A50" w:rsidR="00CD6A50">
        <w:t xml:space="preserve"> satellite licensing activity </w:t>
      </w:r>
      <w:r w:rsidR="0017240D">
        <w:t xml:space="preserve">we must keep pace </w:t>
      </w:r>
      <w:bookmarkStart w:id="2" w:name="_Hlk120548642"/>
      <w:r w:rsidR="0017240D">
        <w:t xml:space="preserve">with demand and </w:t>
      </w:r>
      <w:r w:rsidRPr="00AD0A9C" w:rsidR="00AD0A9C">
        <w:t xml:space="preserve">reassess our processes </w:t>
      </w:r>
      <w:r w:rsidR="0017240D">
        <w:t>to</w:t>
      </w:r>
      <w:r w:rsidRPr="00AD0A9C" w:rsidR="00AD0A9C">
        <w:t xml:space="preserve"> identify opportunities for streamlining</w:t>
      </w:r>
      <w:bookmarkEnd w:id="1"/>
      <w:bookmarkEnd w:id="2"/>
      <w:r w:rsidRPr="00AD0A9C" w:rsidR="00AD0A9C">
        <w:t xml:space="preserve">.  </w:t>
      </w:r>
      <w:r w:rsidR="00CD6A50">
        <w:t>W</w:t>
      </w:r>
      <w:r w:rsidR="00A1461E">
        <w:t>e t</w:t>
      </w:r>
      <w:r w:rsidRPr="00AD0A9C" w:rsidR="00AD0A9C">
        <w:t>entatively conclude that it is in the public interest to move quickly on license application processing and specifically to begin building a public record on applications early in the process of evaluating them</w:t>
      </w:r>
      <w:r w:rsidR="00C930A6">
        <w:t>.</w:t>
      </w:r>
      <w:r>
        <w:rPr>
          <w:rStyle w:val="FootnoteReference"/>
        </w:rPr>
        <w:footnoteReference w:id="29"/>
      </w:r>
      <w:r w:rsidRPr="00AD0A9C" w:rsidR="00AD0A9C">
        <w:t xml:space="preserve"> </w:t>
      </w:r>
      <w:r w:rsidR="007431D7">
        <w:t xml:space="preserve"> </w:t>
      </w:r>
      <w:r w:rsidR="00A1461E">
        <w:t>I</w:t>
      </w:r>
      <w:r w:rsidRPr="00AD0A9C" w:rsidR="00AD0A9C">
        <w:t xml:space="preserve">n this respect, </w:t>
      </w:r>
      <w:r w:rsidR="009B7D32">
        <w:t xml:space="preserve">we note that </w:t>
      </w:r>
      <w:r w:rsidRPr="00AD0A9C" w:rsidR="00AD0A9C">
        <w:t xml:space="preserve">placing an application on </w:t>
      </w:r>
      <w:r w:rsidR="009B7D32">
        <w:t xml:space="preserve">public notice as </w:t>
      </w:r>
      <w:r w:rsidRPr="00AD0A9C" w:rsidR="00AD0A9C">
        <w:t xml:space="preserve">accepted for filing should not be seen as </w:t>
      </w:r>
      <w:r w:rsidR="00310C7E">
        <w:t>implying that t</w:t>
      </w:r>
      <w:r w:rsidRPr="00AD0A9C" w:rsidR="00AD0A9C">
        <w:t xml:space="preserve">he Commission </w:t>
      </w:r>
      <w:r w:rsidR="00310C7E">
        <w:t xml:space="preserve">has no questions regarding the application or that the </w:t>
      </w:r>
      <w:r w:rsidRPr="00AD0A9C" w:rsidR="00AD0A9C">
        <w:t xml:space="preserve">application is being looked upon favorably </w:t>
      </w:r>
      <w:r w:rsidR="00E64BB0">
        <w:t>for</w:t>
      </w:r>
      <w:r w:rsidRPr="00AD0A9C" w:rsidR="00AD0A9C">
        <w:t xml:space="preserve"> grant.</w:t>
      </w:r>
    </w:p>
    <w:p w:rsidR="00A0233F" w:rsidRPr="001962D9" w:rsidP="001962D9" w14:paraId="12A33B9E" w14:textId="77A09812">
      <w:pPr>
        <w:pStyle w:val="ParaNum"/>
        <w:rPr>
          <w:rStyle w:val="FootnoteReference"/>
          <w:sz w:val="22"/>
          <w:vertAlign w:val="baseline"/>
        </w:rPr>
      </w:pPr>
      <w:r>
        <w:t>W</w:t>
      </w:r>
      <w:r w:rsidR="00A1461E">
        <w:t xml:space="preserve">e </w:t>
      </w:r>
      <w:r w:rsidR="07AF1465">
        <w:t>propose</w:t>
      </w:r>
      <w:r w:rsidR="00A1461E">
        <w:t xml:space="preserve"> one i</w:t>
      </w:r>
      <w:r w:rsidR="0B36228C">
        <w:t>nitial</w:t>
      </w:r>
      <w:r w:rsidR="00A1461E">
        <w:t xml:space="preserve"> action to streamline </w:t>
      </w:r>
      <w:r w:rsidR="00D74ED0">
        <w:t xml:space="preserve">the </w:t>
      </w:r>
      <w:r w:rsidR="00A1461E">
        <w:t xml:space="preserve">acceptability </w:t>
      </w:r>
      <w:r w:rsidR="00D74ED0">
        <w:t xml:space="preserve">for filing </w:t>
      </w:r>
      <w:r w:rsidR="00A1461E">
        <w:t xml:space="preserve">of satellite applications.  </w:t>
      </w:r>
      <w:r w:rsidR="00CD6A50">
        <w:t xml:space="preserve">As the Commission concluded in the context of small satellites, we believe there are some cases in which a waiver of the Table of Frequency Allocations is warranted to permit operations not in conformance with current international allocations.  </w:t>
      </w:r>
      <w:r w:rsidR="00F233F6">
        <w:t xml:space="preserve">These may, for example, be operations </w:t>
      </w:r>
      <w:r w:rsidR="009B1942">
        <w:t xml:space="preserve">that </w:t>
      </w:r>
      <w:r w:rsidR="00DB7452">
        <w:t>can</w:t>
      </w:r>
      <w:r w:rsidR="009B1942">
        <w:t xml:space="preserve"> be conducted immediately </w:t>
      </w:r>
      <w:r w:rsidR="00F233F6">
        <w:t xml:space="preserve">on an unprotected </w:t>
      </w:r>
      <w:r w:rsidR="00CA5FF0">
        <w:t xml:space="preserve">and non-harmful interference </w:t>
      </w:r>
      <w:r w:rsidR="00F233F6">
        <w:t>basis</w:t>
      </w:r>
      <w:r w:rsidR="009B1942">
        <w:t xml:space="preserve"> and do not represent a “placeholder”</w:t>
      </w:r>
      <w:r w:rsidR="00F233F6">
        <w:t xml:space="preserve"> </w:t>
      </w:r>
      <w:r w:rsidR="00494EB5">
        <w:t xml:space="preserve">for future </w:t>
      </w:r>
      <w:r w:rsidR="0088636F">
        <w:t>service</w:t>
      </w:r>
      <w:r w:rsidR="00494EB5">
        <w:t xml:space="preserve"> after a new international allocation is adopted. </w:t>
      </w:r>
      <w:r w:rsidR="00F233F6">
        <w:t xml:space="preserve"> We believe waiver requests</w:t>
      </w:r>
      <w:r w:rsidR="0088636F">
        <w:t xml:space="preserve"> for satellite operations not </w:t>
      </w:r>
      <w:r w:rsidR="0146EA08">
        <w:t xml:space="preserve">in </w:t>
      </w:r>
      <w:r w:rsidR="0088636F">
        <w:t>conformance with the International Table of Frequency Allocations</w:t>
      </w:r>
      <w:r w:rsidR="00F233F6">
        <w:t xml:space="preserve">, with sufficient supportive reasoning, should be considered on their merits rather than </w:t>
      </w:r>
      <w:r w:rsidR="00524FBD">
        <w:t xml:space="preserve">being </w:t>
      </w:r>
      <w:r w:rsidR="00F233F6">
        <w:t xml:space="preserve">automatically deemed unacceptable for filing as under current rules.  </w:t>
      </w:r>
      <w:r w:rsidR="007B652A">
        <w:t xml:space="preserve">Therefore, </w:t>
      </w:r>
      <w:r w:rsidR="00437074">
        <w:t xml:space="preserve">we </w:t>
      </w:r>
      <w:r w:rsidR="763E0E1D">
        <w:t>propose to</w:t>
      </w:r>
      <w:r w:rsidR="007B652A">
        <w:t xml:space="preserve"> amend </w:t>
      </w:r>
      <w:r w:rsidR="00B213CC">
        <w:t xml:space="preserve">the acceptability criteria to place these waiver requests on an equal procedural footing with other requests for waiver of substantive rules, and allow them to be accepted for filing.  </w:t>
      </w:r>
      <w:r w:rsidR="01CCB023">
        <w:t>We invite comment on this proposal</w:t>
      </w:r>
      <w:r w:rsidR="00DF0764">
        <w:t>, and on any alternatives.</w:t>
      </w:r>
    </w:p>
    <w:p w:rsidR="00C25434" w:rsidP="00C25434" w14:paraId="6D132D08" w14:textId="09786431">
      <w:pPr>
        <w:pStyle w:val="ParaNum"/>
      </w:pPr>
      <w:r>
        <w:t xml:space="preserve">In addition, we seek comment on whether to provide guidance, in a rule or otherwise, on the conditions under which a waiver of the International Table of Frequency Allocations is more likely.  For example, we could specify that waiver </w:t>
      </w:r>
      <w:r w:rsidRPr="00731B70">
        <w:t xml:space="preserve">applicants </w:t>
      </w:r>
      <w:r>
        <w:t xml:space="preserve">should </w:t>
      </w:r>
      <w:r w:rsidRPr="00731B70">
        <w:t>provide a sufficient electromagnetic compatibility analysis to support a</w:t>
      </w:r>
      <w:r w:rsidR="003C3966">
        <w:t xml:space="preserve"> Commission</w:t>
      </w:r>
      <w:r w:rsidRPr="00731B70">
        <w:t xml:space="preserve"> finding that the intended use of the frequency assignment will not cause harmful interference to all other stations operating in conformance with the ITU Radio Regulations.</w:t>
      </w:r>
      <w:r>
        <w:t xml:space="preserve">  </w:t>
      </w:r>
      <w:bookmarkStart w:id="3" w:name="_Hlk121472136"/>
      <w:r w:rsidR="00950F0C">
        <w:t xml:space="preserve">We would indicate that the applicant must make a good-faith effort to demonstrate compatibility at the time of filing its application, with the understanding that it may need to supplement </w:t>
      </w:r>
      <w:r w:rsidR="00484D0F">
        <w:t>that</w:t>
      </w:r>
      <w:r w:rsidR="00950F0C">
        <w:t xml:space="preserve"> showing in response to additional information about existing operations provided in the record by conforming spectrum users.</w:t>
      </w:r>
      <w:bookmarkEnd w:id="3"/>
      <w:r w:rsidR="00950F0C">
        <w:t xml:space="preserve">  </w:t>
      </w:r>
      <w:r>
        <w:t xml:space="preserve">We could also specify that an </w:t>
      </w:r>
      <w:r w:rsidRPr="00731B70">
        <w:t xml:space="preserve">applicant </w:t>
      </w:r>
      <w:r>
        <w:t xml:space="preserve">should </w:t>
      </w:r>
      <w:r w:rsidRPr="00731B70">
        <w:t xml:space="preserve">state its willingness to accept </w:t>
      </w:r>
      <w:r w:rsidRPr="00731B70">
        <w:t>an assignment on a non-interference, unprotected basis.</w:t>
      </w:r>
      <w:r>
        <w:t xml:space="preserve">  </w:t>
      </w:r>
      <w:r>
        <w:t>We could additionally indicate that waiver is more likely if there are ongoing, favorable studies and activities in the relevant ITU study group in support of a potential future allocation at a World Radiocommunication Conference.</w:t>
      </w:r>
      <w:r w:rsidR="000E7500">
        <w:t xml:space="preserve">  We seek comment on these proposals, and </w:t>
      </w:r>
      <w:r w:rsidR="00DB02E2">
        <w:t>on whether there</w:t>
      </w:r>
      <w:r w:rsidR="00504C05">
        <w:t xml:space="preserve"> </w:t>
      </w:r>
      <w:r w:rsidR="00D929B9">
        <w:t xml:space="preserve">is </w:t>
      </w:r>
      <w:r w:rsidR="00504C05">
        <w:t xml:space="preserve">other </w:t>
      </w:r>
      <w:r w:rsidR="00D929B9">
        <w:t>information</w:t>
      </w:r>
      <w:r w:rsidR="00D4745D">
        <w:t xml:space="preserve"> applicants should submit in support of a waiver request, </w:t>
      </w:r>
      <w:r w:rsidR="008F0D98">
        <w:t xml:space="preserve">on other limitations that should be adopted, </w:t>
      </w:r>
      <w:r w:rsidR="00D4745D">
        <w:t xml:space="preserve">or </w:t>
      </w:r>
      <w:r w:rsidR="00971224">
        <w:t xml:space="preserve">alternative means to </w:t>
      </w:r>
      <w:r w:rsidR="000B3A9F">
        <w:t xml:space="preserve">ensure that the Commission has a full record on which to evaluate requests for waiver of </w:t>
      </w:r>
      <w:r w:rsidR="008F0D98">
        <w:t xml:space="preserve">the Table of </w:t>
      </w:r>
      <w:r w:rsidR="003B3030">
        <w:t xml:space="preserve">Frequency </w:t>
      </w:r>
      <w:r w:rsidR="008F0D98">
        <w:t>Allocations in these instances.</w:t>
      </w:r>
    </w:p>
    <w:p w:rsidR="00B5568B" w:rsidP="00C25434" w14:paraId="2AC15A27" w14:textId="2F399021">
      <w:pPr>
        <w:pStyle w:val="ParaNum"/>
      </w:pPr>
      <w:r>
        <w:t xml:space="preserve">We also seek comment on whether the </w:t>
      </w:r>
      <w:bookmarkStart w:id="4" w:name="_Hlk120548052"/>
      <w:r>
        <w:t xml:space="preserve">limit on unbuilt NGSO </w:t>
      </w:r>
      <w:r w:rsidR="00ED5AF6">
        <w:t xml:space="preserve">systems </w:t>
      </w:r>
      <w:bookmarkEnd w:id="4"/>
      <w:r>
        <w:t xml:space="preserve">rule </w:t>
      </w:r>
      <w:r w:rsidR="00ED5AF6">
        <w:t>may be</w:t>
      </w:r>
      <w:r>
        <w:t xml:space="preserve"> a hinderance to the </w:t>
      </w:r>
      <w:r w:rsidR="00B51A52">
        <w:t xml:space="preserve">acceptability </w:t>
      </w:r>
      <w:r>
        <w:t xml:space="preserve">of legitimate satellite applications and if so, whether it should be amended.  </w:t>
      </w:r>
      <w:r w:rsidR="00B51A52">
        <w:t>For example, g</w:t>
      </w:r>
      <w:r>
        <w:t xml:space="preserve">iven that this rule was adopted in the context of processing rounds for NGSO applications, should we </w:t>
      </w:r>
      <w:r w:rsidR="00B51A52">
        <w:t xml:space="preserve">revise our rules such </w:t>
      </w:r>
      <w:r>
        <w:t>that it will not apply to NGSO applications that are granted outside of a processing round?</w:t>
      </w:r>
      <w:r w:rsidR="00455A08">
        <w:t xml:space="preserve">  Are there other ways in which</w:t>
      </w:r>
      <w:r w:rsidR="00ED5AF6">
        <w:t xml:space="preserve"> the rules limiting unbuilt systems </w:t>
      </w:r>
      <w:r w:rsidR="006E395D">
        <w:t xml:space="preserve">should be updated to reflect the current state of </w:t>
      </w:r>
      <w:r w:rsidR="00755F91">
        <w:t xml:space="preserve">development of NGSO systems?  Are the rationales </w:t>
      </w:r>
      <w:r w:rsidR="00CB277A">
        <w:t>underlying the rules equally relevant today?</w:t>
      </w:r>
      <w:r w:rsidR="007337F4">
        <w:t xml:space="preserve">  We seek comment generally on updates to our unbuilt </w:t>
      </w:r>
      <w:r w:rsidR="008F0D98">
        <w:t xml:space="preserve">NGSO </w:t>
      </w:r>
      <w:r w:rsidR="007337F4">
        <w:t>systems rules.</w:t>
      </w:r>
      <w:r w:rsidR="00212CCB">
        <w:t xml:space="preserve">  Should these rules be revised or eliminated altogether?</w:t>
      </w:r>
    </w:p>
    <w:p w:rsidR="00B5568B" w:rsidP="00C25434" w14:paraId="08BF92E5" w14:textId="4541DBE7">
      <w:pPr>
        <w:pStyle w:val="ParaNum"/>
      </w:pPr>
      <w:r>
        <w:t xml:space="preserve"> </w:t>
      </w:r>
      <w:r w:rsidR="54EF652F">
        <w:t>In the context of overall application processing</w:t>
      </w:r>
      <w:r w:rsidR="002F24A5">
        <w:t xml:space="preserve"> under part 25</w:t>
      </w:r>
      <w:r w:rsidR="005B3C57">
        <w:t>, in recent years</w:t>
      </w:r>
      <w:r w:rsidR="00DC3D7B">
        <w:t xml:space="preserve"> </w:t>
      </w:r>
      <w:r w:rsidR="54EF652F">
        <w:t>Commission staff ha</w:t>
      </w:r>
      <w:r w:rsidR="005B3C57">
        <w:t xml:space="preserve">ve </w:t>
      </w:r>
      <w:r w:rsidR="0081141D">
        <w:t xml:space="preserve">assisted </w:t>
      </w:r>
      <w:r w:rsidR="54EF652F">
        <w:t>applicants to correct certain omissions or inconsistencies in their applications</w:t>
      </w:r>
      <w:r w:rsidR="00517E31">
        <w:t xml:space="preserve"> that need to be corrected in order for an application to be deemed </w:t>
      </w:r>
      <w:r w:rsidR="006A38F0">
        <w:t>complete and acceptable for filing under our rules</w:t>
      </w:r>
      <w:r w:rsidR="54EF652F">
        <w:t>.</w:t>
      </w:r>
      <w:r w:rsidR="006A38F0">
        <w:t xml:space="preserve">  We seek comment on this approach in several respects.</w:t>
      </w:r>
      <w:r w:rsidR="54EF652F">
        <w:t xml:space="preserve">  </w:t>
      </w:r>
      <w:r w:rsidR="006A38F0">
        <w:t xml:space="preserve">Would it speed application review and </w:t>
      </w:r>
      <w:r w:rsidR="54EF652F">
        <w:t xml:space="preserve">ultimately encourage better-prepared applications if we </w:t>
      </w:r>
      <w:r w:rsidR="006A38F0">
        <w:t xml:space="preserve">instead </w:t>
      </w:r>
      <w:r w:rsidR="54EF652F">
        <w:t>dismiss</w:t>
      </w:r>
      <w:r w:rsidR="006A38F0">
        <w:t xml:space="preserve"> </w:t>
      </w:r>
      <w:r w:rsidR="54EF652F">
        <w:t>applications</w:t>
      </w:r>
      <w:r w:rsidR="006A38F0">
        <w:t xml:space="preserve"> containing internal inconsistencies or omissions </w:t>
      </w:r>
      <w:r w:rsidR="54EF652F">
        <w:t>under section 25.112(a)(1)</w:t>
      </w:r>
      <w:r w:rsidR="006A38F0">
        <w:t>?  These applications would be dismissed</w:t>
      </w:r>
      <w:r w:rsidR="54EF652F">
        <w:t xml:space="preserve"> without prejudice to refiling.</w:t>
      </w:r>
      <w:r w:rsidR="006A38F0">
        <w:t xml:space="preserve">  We note that in </w:t>
      </w:r>
      <w:r w:rsidR="00A778E4">
        <w:t xml:space="preserve">those cases where we do </w:t>
      </w:r>
      <w:r w:rsidR="006A38F0">
        <w:t xml:space="preserve">dismiss applications, </w:t>
      </w:r>
      <w:r w:rsidR="00A778E4">
        <w:t xml:space="preserve">our approach has been to </w:t>
      </w:r>
      <w:r w:rsidR="00B5061B">
        <w:t>issue a decision</w:t>
      </w:r>
      <w:r w:rsidR="006A38F0">
        <w:t xml:space="preserve"> detailing the specific </w:t>
      </w:r>
      <w:r w:rsidR="00B5061B">
        <w:t>deficiencies in the application.</w:t>
      </w:r>
      <w:r w:rsidR="54EF652F">
        <w:t xml:space="preserve">  We seek comment </w:t>
      </w:r>
      <w:r w:rsidR="4E00075F">
        <w:t xml:space="preserve">on </w:t>
      </w:r>
      <w:r w:rsidR="005A28F9">
        <w:t xml:space="preserve">the benefits and </w:t>
      </w:r>
      <w:r w:rsidR="00240964">
        <w:t>drawbacks of the alternative approaches</w:t>
      </w:r>
      <w:r w:rsidR="001F5A66">
        <w:t>.</w:t>
      </w:r>
      <w:r>
        <w:t xml:space="preserve">  </w:t>
      </w:r>
      <w:r w:rsidR="00293714">
        <w:t>Alternatively,</w:t>
      </w:r>
      <w:r w:rsidR="00F9582C">
        <w:t xml:space="preserve"> if we were to</w:t>
      </w:r>
      <w:r w:rsidR="00D77DE2">
        <w:t xml:space="preserve"> loosen the standards for acceptability for filing, </w:t>
      </w:r>
      <w:r w:rsidR="00A135FD">
        <w:t xml:space="preserve">would this result in a faster </w:t>
      </w:r>
      <w:r w:rsidR="0060395D">
        <w:t xml:space="preserve">overall </w:t>
      </w:r>
      <w:r w:rsidR="00A135FD">
        <w:t xml:space="preserve">processing time for applications? </w:t>
      </w:r>
      <w:r w:rsidR="00603B96">
        <w:t xml:space="preserve"> </w:t>
      </w:r>
      <w:r w:rsidR="0060395D">
        <w:t>For instance,</w:t>
      </w:r>
      <w:r w:rsidR="00D929B9">
        <w:t xml:space="preserve"> </w:t>
      </w:r>
      <w:r w:rsidR="0060395D">
        <w:t>h</w:t>
      </w:r>
      <w:r w:rsidR="00070B24">
        <w:t xml:space="preserve">ow should we balance </w:t>
      </w:r>
      <w:r w:rsidR="00595820">
        <w:t xml:space="preserve">the </w:t>
      </w:r>
      <w:r w:rsidR="00070B24">
        <w:t>speed of processing with the completeness and coherence of an application when it is placed on public notice for comment?</w:t>
      </w:r>
      <w:r w:rsidR="00E069A6">
        <w:t xml:space="preserve">  Is there information that applicants should be able to correct or cure during the public notice period, and how would such an approach affect the ability of interested parties to </w:t>
      </w:r>
      <w:r w:rsidR="009F1CF1">
        <w:t>rev</w:t>
      </w:r>
      <w:r w:rsidR="00A505A1">
        <w:t>i</w:t>
      </w:r>
      <w:r w:rsidR="009F1CF1">
        <w:t xml:space="preserve">ew and </w:t>
      </w:r>
      <w:r w:rsidR="00E069A6">
        <w:t>comment on applications?</w:t>
      </w:r>
      <w:r w:rsidR="0072023E">
        <w:t xml:space="preserve">  </w:t>
      </w:r>
      <w:r w:rsidR="0037703A">
        <w:t>Should we provide additional specificity in our acceptability for</w:t>
      </w:r>
      <w:r w:rsidR="0072023E">
        <w:t xml:space="preserve"> filing criteria</w:t>
      </w:r>
      <w:r w:rsidR="00A41A65">
        <w:t xml:space="preserve">?  </w:t>
      </w:r>
      <w:r w:rsidR="58A9E8FE">
        <w:t xml:space="preserve">Given that internal inconsistencies </w:t>
      </w:r>
      <w:r w:rsidR="001D417D">
        <w:t xml:space="preserve">and omissions </w:t>
      </w:r>
      <w:r w:rsidR="58A9E8FE">
        <w:t xml:space="preserve">are </w:t>
      </w:r>
      <w:r w:rsidR="7DE20B68">
        <w:t xml:space="preserve">a source of delay in initial </w:t>
      </w:r>
      <w:r w:rsidR="5A2115EC">
        <w:t xml:space="preserve">application </w:t>
      </w:r>
      <w:r w:rsidR="7DE20B68">
        <w:t xml:space="preserve">processing, </w:t>
      </w:r>
      <w:r w:rsidR="37D58E9C">
        <w:t xml:space="preserve">are there </w:t>
      </w:r>
      <w:r w:rsidR="29FE5F3A">
        <w:t xml:space="preserve">any </w:t>
      </w:r>
      <w:r w:rsidR="002F24A5">
        <w:t xml:space="preserve">part 25 </w:t>
      </w:r>
      <w:r w:rsidR="29FE5F3A">
        <w:t xml:space="preserve">application rules or application filing guidance </w:t>
      </w:r>
      <w:r w:rsidR="740EA3A4">
        <w:t>that would assist applicants in overcoming this hurdle</w:t>
      </w:r>
      <w:r w:rsidR="004B4E53">
        <w:t>?</w:t>
      </w:r>
      <w:r w:rsidR="51BFF7D0">
        <w:t xml:space="preserve">  For instance, </w:t>
      </w:r>
      <w:r w:rsidR="16EE646F">
        <w:t>if</w:t>
      </w:r>
      <w:r w:rsidR="51BFF7D0">
        <w:t xml:space="preserve"> </w:t>
      </w:r>
      <w:r w:rsidR="29FE5F3A">
        <w:t xml:space="preserve">applicants </w:t>
      </w:r>
      <w:r w:rsidR="3CB9A419">
        <w:t xml:space="preserve">were to </w:t>
      </w:r>
      <w:r w:rsidR="29FE5F3A">
        <w:t xml:space="preserve">submit relevant technical and other information </w:t>
      </w:r>
      <w:r w:rsidR="65D0FFD9">
        <w:t xml:space="preserve">in only one place </w:t>
      </w:r>
      <w:r w:rsidR="29FE5F3A">
        <w:t xml:space="preserve">in an application, </w:t>
      </w:r>
      <w:r w:rsidR="24D60F4B">
        <w:t>would that</w:t>
      </w:r>
      <w:r w:rsidR="29FE5F3A">
        <w:t xml:space="preserve"> </w:t>
      </w:r>
      <w:r w:rsidR="5E32CBB6">
        <w:t>reduc</w:t>
      </w:r>
      <w:r w:rsidR="30449084">
        <w:t>e</w:t>
      </w:r>
      <w:r w:rsidR="29FE5F3A">
        <w:t xml:space="preserve"> the risk of inconsistency?</w:t>
      </w:r>
      <w:r w:rsidR="00C72027">
        <w:t xml:space="preserve">  </w:t>
      </w:r>
      <w:r w:rsidR="29FE5F3A">
        <w:t xml:space="preserve">Would </w:t>
      </w:r>
      <w:r w:rsidR="39738885">
        <w:t xml:space="preserve">any such changes </w:t>
      </w:r>
      <w:r w:rsidR="4B6BE1DA">
        <w:t>lowe</w:t>
      </w:r>
      <w:r w:rsidR="39738885">
        <w:t>r the reliability of information provided to the Commission</w:t>
      </w:r>
      <w:r w:rsidR="004B4E53">
        <w:t>?</w:t>
      </w:r>
      <w:r w:rsidR="39738885">
        <w:t xml:space="preserve"> </w:t>
      </w:r>
      <w:r w:rsidR="2D748A10">
        <w:t xml:space="preserve"> Is there any technical information currently required to be provided which is more likely to be overlooked or omitted from applications, and therefore delay their processing, that actually is not necessary for Commission or public evaluation of the application?</w:t>
      </w:r>
      <w:r w:rsidR="00C72027">
        <w:t xml:space="preserve">  Should certain inconsistencies, for example, in </w:t>
      </w:r>
      <w:r w:rsidR="008D7182">
        <w:t xml:space="preserve">the </w:t>
      </w:r>
      <w:r w:rsidR="00C72027">
        <w:t xml:space="preserve">description of frequency bands being requested, result in dismissal?  </w:t>
      </w:r>
      <w:r w:rsidR="5D8A1715">
        <w:t xml:space="preserve">Is there additional guidance or other assistance we should provide to applicants to avoid required information being omitted in their initial filings?  </w:t>
      </w:r>
      <w:r w:rsidR="00CA6961">
        <w:t xml:space="preserve">Are there </w:t>
      </w:r>
      <w:r w:rsidRPr="00CA6961" w:rsidR="00CA6961">
        <w:t xml:space="preserve">additional ways to reduce the number of errors, omissions, or inconsistencies in application filings, such as by incorporating </w:t>
      </w:r>
      <w:r w:rsidR="00603F4B">
        <w:t xml:space="preserve">additional </w:t>
      </w:r>
      <w:r w:rsidRPr="00CA6961" w:rsidR="00CA6961">
        <w:t xml:space="preserve">completeness and compliance checks directly into the initial application process, or by introducing </w:t>
      </w:r>
      <w:r w:rsidR="00603F4B">
        <w:t xml:space="preserve">additional </w:t>
      </w:r>
      <w:r w:rsidR="00CA6961">
        <w:t xml:space="preserve">certifications in place of </w:t>
      </w:r>
      <w:r w:rsidR="00603F4B">
        <w:t>certain narrative information</w:t>
      </w:r>
      <w:r w:rsidR="00CA6961">
        <w:t>?</w:t>
      </w:r>
      <w:r>
        <w:rPr>
          <w:rStyle w:val="FootnoteReference"/>
        </w:rPr>
        <w:footnoteReference w:id="30"/>
      </w:r>
      <w:r w:rsidR="00CA6961">
        <w:t xml:space="preserve">  </w:t>
      </w:r>
      <w:r w:rsidR="00C72027">
        <w:t xml:space="preserve">Should applications omitting </w:t>
      </w:r>
      <w:r w:rsidR="00006953">
        <w:t xml:space="preserve">necessary waiver requests be dismissed?  </w:t>
      </w:r>
      <w:r w:rsidR="2D748A10">
        <w:t>How well</w:t>
      </w:r>
      <w:r w:rsidR="00C72027">
        <w:t>-</w:t>
      </w:r>
      <w:r w:rsidR="2D748A10">
        <w:t>supp</w:t>
      </w:r>
      <w:r w:rsidR="0CC6FCA9">
        <w:t>orted should a waiver request need to be to overcome the acceptability for filing requirements</w:t>
      </w:r>
      <w:r w:rsidR="1F3EF455">
        <w:t>, including waivers of filing deadlines or waivers that raise novel issues</w:t>
      </w:r>
      <w:r w:rsidR="0CC6FCA9">
        <w:t>?</w:t>
      </w:r>
      <w:r w:rsidR="63C63DC8">
        <w:t xml:space="preserve"> </w:t>
      </w:r>
      <w:r w:rsidR="00070B24">
        <w:t xml:space="preserve"> </w:t>
      </w:r>
      <w:bookmarkStart w:id="5" w:name="_Hlk120548220"/>
      <w:r w:rsidR="3AFD082F">
        <w:t xml:space="preserve">Are there rules, policies, or practices for other licensing activities at the </w:t>
      </w:r>
      <w:r w:rsidR="3AFD082F">
        <w:t xml:space="preserve">Commission that could helpfully be applied to satellite </w:t>
      </w:r>
      <w:r w:rsidR="002F24A5">
        <w:t xml:space="preserve">or earth station </w:t>
      </w:r>
      <w:r w:rsidR="3AFD082F">
        <w:t>application processing?</w:t>
      </w:r>
      <w:r w:rsidR="00070B24">
        <w:t xml:space="preserve"> </w:t>
      </w:r>
      <w:r w:rsidR="4599C191">
        <w:t xml:space="preserve"> </w:t>
      </w:r>
      <w:bookmarkEnd w:id="5"/>
      <w:r w:rsidR="00603F4B">
        <w:t>Are there ways in which</w:t>
      </w:r>
      <w:r w:rsidR="00020D94">
        <w:t xml:space="preserve"> we </w:t>
      </w:r>
      <w:r w:rsidR="000F1C67">
        <w:t xml:space="preserve">can </w:t>
      </w:r>
      <w:r w:rsidR="00020D94">
        <w:t xml:space="preserve">better </w:t>
      </w:r>
      <w:r w:rsidR="00CA6961">
        <w:t>streamline inter-Bureau reviews</w:t>
      </w:r>
      <w:r w:rsidR="00603F4B">
        <w:t xml:space="preserve"> </w:t>
      </w:r>
      <w:r w:rsidR="00020D94">
        <w:t>in shared spectrum bands?</w:t>
      </w:r>
      <w:r>
        <w:rPr>
          <w:rStyle w:val="FootnoteReference"/>
        </w:rPr>
        <w:footnoteReference w:id="31"/>
      </w:r>
      <w:r w:rsidR="00020D94">
        <w:t xml:space="preserve">  </w:t>
      </w:r>
      <w:r w:rsidRPr="00B5568B">
        <w:t>Are there other areas where the Commission can streamline processing for initial or modification applications including the elimination of duplicative processing requirements, for example duplicative coordination requirements in satellite and earth station licensing?</w:t>
      </w:r>
      <w:r>
        <w:rPr>
          <w:rStyle w:val="FootnoteReference"/>
        </w:rPr>
        <w:footnoteReference w:id="32"/>
      </w:r>
      <w:r w:rsidRPr="00B5568B">
        <w:t xml:space="preserve">  </w:t>
      </w:r>
      <w:r w:rsidR="001814CC">
        <w:t>We also seek comment broadly on other process updates, rule changes, or policy reforms the Commission could adopt to help streamline application processing.</w:t>
      </w:r>
    </w:p>
    <w:p w:rsidR="00603F4B" w:rsidP="00C25434" w14:paraId="18FB0369" w14:textId="7FB956E3">
      <w:pPr>
        <w:pStyle w:val="ParaNum"/>
      </w:pPr>
      <w:r>
        <w:t>Finally, we invite comment on the anticipated processing times for straightforward</w:t>
      </w:r>
      <w:r w:rsidR="656DCD61">
        <w:t>, uncontested</w:t>
      </w:r>
      <w:r>
        <w:t xml:space="preserve"> satellite </w:t>
      </w:r>
      <w:r w:rsidR="004C31C4">
        <w:t xml:space="preserve">and earth station </w:t>
      </w:r>
      <w:r>
        <w:t>applications noted above</w:t>
      </w:r>
      <w:r w:rsidR="3473A64C">
        <w:t xml:space="preserve">, which types of applications </w:t>
      </w:r>
      <w:r w:rsidR="0031762C">
        <w:t>(including modification applications)</w:t>
      </w:r>
      <w:r>
        <w:rPr>
          <w:rStyle w:val="FootnoteReference"/>
        </w:rPr>
        <w:footnoteReference w:id="33"/>
      </w:r>
      <w:r w:rsidR="0031762C">
        <w:t xml:space="preserve"> </w:t>
      </w:r>
      <w:r w:rsidR="3473A64C">
        <w:t>the Commission should consider “straightforward</w:t>
      </w:r>
      <w:r w:rsidR="00E95C44">
        <w:t>,</w:t>
      </w:r>
      <w:r w:rsidR="3473A64C">
        <w:t xml:space="preserve">” and </w:t>
      </w:r>
      <w:r w:rsidR="110FE348">
        <w:t xml:space="preserve">therefore </w:t>
      </w:r>
      <w:r w:rsidR="3473A64C">
        <w:t xml:space="preserve">fall under these guidelines, and whether, given the rapidly changing </w:t>
      </w:r>
      <w:r w:rsidR="0DE3B4A3">
        <w:t xml:space="preserve">environment of operations in space and associated requests for Commission satellite authorizations, it would make sense to codify or otherwise </w:t>
      </w:r>
      <w:r w:rsidR="223A0E4A">
        <w:t xml:space="preserve">better highlight our </w:t>
      </w:r>
      <w:r w:rsidR="7E60523D">
        <w:t>expected processing times for such applications</w:t>
      </w:r>
      <w:r>
        <w:t>.</w:t>
      </w:r>
      <w:r w:rsidR="002C3BB3">
        <w:t xml:space="preserve">  Or</w:t>
      </w:r>
      <w:r w:rsidR="0072708C">
        <w:t>, given the</w:t>
      </w:r>
      <w:r w:rsidR="00076698">
        <w:t xml:space="preserve"> pace of change in space activities</w:t>
      </w:r>
      <w:r w:rsidR="00DF0240">
        <w:t xml:space="preserve"> and</w:t>
      </w:r>
      <w:r w:rsidR="0008456B">
        <w:t xml:space="preserve"> corresponding</w:t>
      </w:r>
      <w:r w:rsidR="00DF0240">
        <w:t xml:space="preserve"> number of </w:t>
      </w:r>
      <w:r w:rsidR="0008456B">
        <w:t xml:space="preserve">applications presenting </w:t>
      </w:r>
      <w:r w:rsidR="00DF0240">
        <w:t>unique</w:t>
      </w:r>
      <w:r w:rsidR="0008456B">
        <w:t xml:space="preserve"> or complex</w:t>
      </w:r>
      <w:r w:rsidR="00DF0240">
        <w:t xml:space="preserve"> issues</w:t>
      </w:r>
      <w:r w:rsidR="00076698">
        <w:t>,</w:t>
      </w:r>
      <w:r w:rsidR="002C3BB3">
        <w:t xml:space="preserve"> </w:t>
      </w:r>
      <w:r w:rsidR="00076698">
        <w:t xml:space="preserve">would identification of </w:t>
      </w:r>
      <w:r w:rsidR="00DF0240">
        <w:t xml:space="preserve">a limited number of </w:t>
      </w:r>
      <w:r w:rsidR="00076698">
        <w:t>“straightforward”</w:t>
      </w:r>
      <w:r w:rsidR="00DF0240">
        <w:t xml:space="preserve"> or “routine”</w:t>
      </w:r>
      <w:r w:rsidR="00076698">
        <w:t xml:space="preserve"> applications </w:t>
      </w:r>
      <w:r w:rsidR="0008456B">
        <w:t xml:space="preserve">result in </w:t>
      </w:r>
      <w:r w:rsidR="00076698">
        <w:t>improve</w:t>
      </w:r>
      <w:r w:rsidR="0008456B">
        <w:t>d</w:t>
      </w:r>
      <w:r w:rsidR="00DF0240">
        <w:t xml:space="preserve"> processing times</w:t>
      </w:r>
      <w:r w:rsidR="00076698">
        <w:t xml:space="preserve"> </w:t>
      </w:r>
      <w:r w:rsidR="00DF0240">
        <w:t>overall</w:t>
      </w:r>
      <w:r w:rsidR="0008456B">
        <w:t xml:space="preserve">?  Or </w:t>
      </w:r>
      <w:r w:rsidR="000F20AA">
        <w:t>would a</w:t>
      </w:r>
      <w:r w:rsidR="0089798D">
        <w:t xml:space="preserve"> </w:t>
      </w:r>
      <w:r w:rsidR="000F20AA">
        <w:t xml:space="preserve">more </w:t>
      </w:r>
      <w:r w:rsidR="0089798D">
        <w:t>flexible approach</w:t>
      </w:r>
      <w:r w:rsidR="000F20AA">
        <w:t xml:space="preserve"> to processing timeframes allow for the Commission to</w:t>
      </w:r>
      <w:r w:rsidR="001B606D">
        <w:t xml:space="preserve"> </w:t>
      </w:r>
      <w:r w:rsidR="0008456B">
        <w:t>tak</w:t>
      </w:r>
      <w:r w:rsidR="000F20AA">
        <w:t>e</w:t>
      </w:r>
      <w:r w:rsidR="0008456B">
        <w:t xml:space="preserve"> into consideration</w:t>
      </w:r>
      <w:r w:rsidR="000F20AA">
        <w:t xml:space="preserve"> other</w:t>
      </w:r>
      <w:r w:rsidR="0008456B">
        <w:t xml:space="preserve"> factors such as anticipated launch dates</w:t>
      </w:r>
      <w:r w:rsidR="00C67330">
        <w:t>,</w:t>
      </w:r>
      <w:r w:rsidR="000F20AA">
        <w:t xml:space="preserve"> and whether the request is an extension of a previously</w:t>
      </w:r>
      <w:r w:rsidR="006C6A9B">
        <w:t xml:space="preserve"> </w:t>
      </w:r>
      <w:r w:rsidR="000F20AA">
        <w:t>granted application?</w:t>
      </w:r>
    </w:p>
    <w:p w:rsidR="00603F4B" w:rsidP="00C25434" w14:paraId="5E946F57" w14:textId="0026A799">
      <w:pPr>
        <w:pStyle w:val="ParaNum"/>
      </w:pPr>
      <w:r>
        <w:t>Specifically regarding a</w:t>
      </w:r>
      <w:r w:rsidRPr="0031762C">
        <w:t>pplications to add points</w:t>
      </w:r>
      <w:r>
        <w:t xml:space="preserve"> </w:t>
      </w:r>
      <w:r w:rsidRPr="0031762C">
        <w:t>of communication to existing earth</w:t>
      </w:r>
      <w:r w:rsidR="00783C1E">
        <w:t xml:space="preserve"> </w:t>
      </w:r>
      <w:r w:rsidRPr="0031762C">
        <w:t>station licenses</w:t>
      </w:r>
      <w:r>
        <w:t>, should these</w:t>
      </w:r>
      <w:r w:rsidRPr="0031762C">
        <w:t xml:space="preserve"> qualify as </w:t>
      </w:r>
      <w:r>
        <w:t>“</w:t>
      </w:r>
      <w:r w:rsidRPr="0031762C">
        <w:t>straightforward</w:t>
      </w:r>
      <w:r>
        <w:t>”</w:t>
      </w:r>
      <w:r w:rsidRPr="0031762C">
        <w:t xml:space="preserve"> so long as the satellite system to be added is either U.S.-licensed or has been granted U.S. market access</w:t>
      </w:r>
      <w:r>
        <w:t xml:space="preserve"> </w:t>
      </w:r>
      <w:r w:rsidR="001B663E">
        <w:t xml:space="preserve">within the parameters requested in the earth station application </w:t>
      </w:r>
      <w:r>
        <w:t>and the applicant identifies either the satellite call sign or the earth station license(s) in which the satellite was granted market access?</w:t>
      </w:r>
      <w:r>
        <w:rPr>
          <w:rStyle w:val="FootnoteReference"/>
        </w:rPr>
        <w:footnoteReference w:id="34"/>
      </w:r>
      <w:r w:rsidRPr="0031762C">
        <w:t xml:space="preserve"> </w:t>
      </w:r>
      <w:r>
        <w:t xml:space="preserve"> </w:t>
      </w:r>
      <w:r w:rsidRPr="0031762C">
        <w:t xml:space="preserve">What steps can the Commission take to </w:t>
      </w:r>
      <w:r w:rsidR="00FD659D">
        <w:t xml:space="preserve">ensure applicants provide enough information regarding the requested satellite points of communication to facilitate its review, confirm that no additional market access is being sought for any non-U.S.-licensed point of communication, </w:t>
      </w:r>
      <w:r w:rsidR="001B663E">
        <w:t xml:space="preserve">and otherwise </w:t>
      </w:r>
      <w:r w:rsidRPr="0031762C">
        <w:t>expedite these types of applications?</w:t>
      </w:r>
      <w:r>
        <w:rPr>
          <w:rStyle w:val="FootnoteReference"/>
        </w:rPr>
        <w:footnoteReference w:id="35"/>
      </w:r>
      <w:r w:rsidRPr="0031762C">
        <w:t xml:space="preserve"> </w:t>
      </w:r>
      <w:r>
        <w:t xml:space="preserve"> </w:t>
      </w:r>
      <w:r w:rsidR="00FD659D">
        <w:t>For any “straightforward” applications to add an earth station point of communication, w</w:t>
      </w:r>
      <w:r w:rsidRPr="0031762C">
        <w:t xml:space="preserve">ould it be appropriate to </w:t>
      </w:r>
      <w:r w:rsidR="001B663E">
        <w:t xml:space="preserve">automatically </w:t>
      </w:r>
      <w:r>
        <w:t xml:space="preserve">deem </w:t>
      </w:r>
      <w:r w:rsidR="00FD659D">
        <w:t xml:space="preserve">them </w:t>
      </w:r>
      <w:r>
        <w:t>granted 60 days after they are filed absent other Commission action?</w:t>
      </w:r>
      <w:r>
        <w:rPr>
          <w:rStyle w:val="FootnoteReference"/>
        </w:rPr>
        <w:footnoteReference w:id="36"/>
      </w:r>
      <w:r>
        <w:t xml:space="preserve">  </w:t>
      </w:r>
      <w:r w:rsidRPr="005D42D9" w:rsidR="005D42D9">
        <w:t xml:space="preserve">To address </w:t>
      </w:r>
      <w:r w:rsidR="005D42D9">
        <w:t>cases where an earth station applicant may wish to be licensed before it identifies any specific satellite points of communication, should we make any changes to our rules, policies, or practices to permit these cases?</w:t>
      </w:r>
      <w:r>
        <w:rPr>
          <w:rStyle w:val="FootnoteReference"/>
        </w:rPr>
        <w:footnoteReference w:id="37"/>
      </w:r>
    </w:p>
    <w:p w:rsidR="004D16AA" w:rsidP="004D16AA" w14:paraId="6F746B4A" w14:textId="0E341FE9">
      <w:pPr>
        <w:pStyle w:val="ParaNum"/>
      </w:pPr>
      <w:r>
        <w:t xml:space="preserve">Should we consider creating deadlines for certain satellite or earth station applications for making a determination about acceptability for filing, with the alternative being dismissal, and would this result in overall shorter processing times?  If so, what deadline might be reasonable?  Should the deadline vary depending on the type of application (e.g., GSO, NGSO)?  Should </w:t>
      </w:r>
      <w:r w:rsidR="00F709B1">
        <w:t xml:space="preserve">there </w:t>
      </w:r>
      <w:r>
        <w:t xml:space="preserve">be limitations on the applicability of this deadline – for example, where an operator requests operations not consistent with the </w:t>
      </w:r>
      <w:r w:rsidR="00990984">
        <w:t>I</w:t>
      </w:r>
      <w:r>
        <w:t xml:space="preserve">nternational </w:t>
      </w:r>
      <w:r w:rsidR="00990984">
        <w:t>T</w:t>
      </w:r>
      <w:r>
        <w:t xml:space="preserve">able of </w:t>
      </w:r>
      <w:r w:rsidR="00990984">
        <w:t>F</w:t>
      </w:r>
      <w:r>
        <w:t xml:space="preserve">requency </w:t>
      </w:r>
      <w:r w:rsidR="00990984">
        <w:t>A</w:t>
      </w:r>
      <w:r>
        <w:t xml:space="preserve">llocations, or where the application could involve initiation of a new NGSO processing round, or </w:t>
      </w:r>
      <w:r w:rsidR="00F709B1">
        <w:t xml:space="preserve">for </w:t>
      </w:r>
      <w:r>
        <w:t>contested</w:t>
      </w:r>
      <w:r w:rsidR="00F709B1">
        <w:t xml:space="preserve"> applications?  Would </w:t>
      </w:r>
      <w:r>
        <w:t>a deadline for making a determination potentially result in more dismissals of applications</w:t>
      </w:r>
      <w:r w:rsidR="00F709B1">
        <w:t>,</w:t>
      </w:r>
      <w:r>
        <w:t xml:space="preserve"> since a decision would need to be made on the </w:t>
      </w:r>
      <w:r>
        <w:t xml:space="preserve">acceptability of an application within </w:t>
      </w:r>
      <w:r w:rsidR="00F709B1">
        <w:t>that</w:t>
      </w:r>
      <w:r>
        <w:t xml:space="preserve"> specific timeframe</w:t>
      </w:r>
      <w:r w:rsidR="00F709B1">
        <w:t>?</w:t>
      </w:r>
      <w:r>
        <w:t xml:space="preserve">  </w:t>
      </w:r>
      <w:r w:rsidR="00912BE0">
        <w:t xml:space="preserve">Should we </w:t>
      </w:r>
      <w:r w:rsidR="009D10F2">
        <w:t>adopt</w:t>
      </w:r>
      <w:r w:rsidR="00912BE0">
        <w:t xml:space="preserve"> broader “shot clocks” for ultimate action on certain types of satellite or earth station applications?</w:t>
      </w:r>
      <w:r>
        <w:rPr>
          <w:rStyle w:val="FootnoteReference"/>
        </w:rPr>
        <w:footnoteReference w:id="38"/>
      </w:r>
    </w:p>
    <w:p w:rsidR="00603F4B" w:rsidP="004D16AA" w14:paraId="75604469" w14:textId="317AA067">
      <w:pPr>
        <w:pStyle w:val="ParaNum"/>
      </w:pPr>
      <w:r>
        <w:t>We seek comment generally on these issues, and on any other guidance that may assist applicants and speed application processing</w:t>
      </w:r>
      <w:r w:rsidR="000F1C67">
        <w:t>.</w:t>
      </w:r>
    </w:p>
    <w:p w:rsidR="00CB527F" w:rsidP="0028647F" w14:paraId="7B40B103" w14:textId="5BC5D315">
      <w:pPr>
        <w:pStyle w:val="ParaNum"/>
        <w:tabs>
          <w:tab w:val="num" w:pos="360"/>
        </w:tabs>
      </w:pPr>
      <w:r w:rsidRPr="25DD51A6">
        <w:rPr>
          <w:i/>
        </w:rPr>
        <w:t>Digital Equity and Inclusion.</w:t>
      </w:r>
      <w:r w:rsidRPr="25DD51A6">
        <w:t xml:space="preserve">  Finally, the Commission, as part of its continuing effort to advance digital equity for all,</w:t>
      </w:r>
      <w:r>
        <w:rPr>
          <w:rStyle w:val="FootnoteReference"/>
        </w:rPr>
        <w:footnoteReference w:id="39"/>
      </w:r>
      <w:r w:rsidRPr="25DD51A6">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sz w:val="22"/>
          <w:szCs w:val="22"/>
        </w:rPr>
        <w:footnoteReference w:id="40"/>
      </w:r>
      <w:r w:rsidRPr="25DD51A6">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28647F" w:rsidP="0028647F" w14:paraId="6669D5DA" w14:textId="098B08D6">
      <w:pPr>
        <w:pStyle w:val="Heading1"/>
      </w:pPr>
      <w:r>
        <w:t>PROCEDURAL MATTERS</w:t>
      </w:r>
    </w:p>
    <w:p w:rsidR="00CB527F" w:rsidRPr="00327C10" w:rsidP="00CB527F" w14:paraId="33F27EEE" w14:textId="7D401488">
      <w:pPr>
        <w:pStyle w:val="ParaNum"/>
        <w:tabs>
          <w:tab w:val="num" w:pos="360"/>
        </w:tabs>
      </w:pPr>
      <w:r w:rsidRPr="25DD51A6">
        <w:rPr>
          <w:i/>
        </w:rPr>
        <w:t xml:space="preserve">Ex </w:t>
      </w:r>
      <w:r w:rsidRPr="25DD51A6">
        <w:rPr>
          <w:i/>
        </w:rPr>
        <w:t>Parte</w:t>
      </w:r>
      <w:r w:rsidRPr="25DD51A6">
        <w:rPr>
          <w:i/>
        </w:rPr>
        <w:t xml:space="preserve"> Rules </w:t>
      </w:r>
      <w:r w:rsidRPr="25DD51A6" w:rsidR="001833EB">
        <w:rPr>
          <w:i/>
        </w:rPr>
        <w:t xml:space="preserve">– </w:t>
      </w:r>
      <w:r w:rsidRPr="25DD51A6">
        <w:rPr>
          <w:i/>
        </w:rPr>
        <w:t>Permit-But-Disclose</w:t>
      </w:r>
      <w:r w:rsidRPr="25DD51A6">
        <w:t xml:space="preserve">.  The proceeding this Notice initiates shall be treated as a “permit-but-disclose” proceeding in accordance with the Commission’s </w:t>
      </w:r>
      <w:r w:rsidRPr="25DD51A6">
        <w:rPr>
          <w:i/>
        </w:rPr>
        <w:t xml:space="preserve">ex </w:t>
      </w:r>
      <w:r w:rsidRPr="25DD51A6">
        <w:rPr>
          <w:i/>
        </w:rPr>
        <w:t>parte</w:t>
      </w:r>
      <w:r w:rsidRPr="25DD51A6">
        <w:rPr>
          <w:i/>
        </w:rPr>
        <w:t xml:space="preserve"> </w:t>
      </w:r>
      <w:r w:rsidRPr="25DD51A6">
        <w:t>rules.</w:t>
      </w:r>
      <w:r>
        <w:rPr>
          <w:sz w:val="20"/>
          <w:vertAlign w:val="superscript"/>
        </w:rPr>
        <w:footnoteReference w:id="41"/>
      </w:r>
      <w:r w:rsidRPr="25DD51A6">
        <w:t xml:space="preserve">  Persons making </w:t>
      </w:r>
      <w:r w:rsidRPr="25DD51A6">
        <w:rPr>
          <w:i/>
        </w:rPr>
        <w:t xml:space="preserve">ex </w:t>
      </w:r>
      <w:r w:rsidRPr="25DD51A6">
        <w:rPr>
          <w:i/>
        </w:rPr>
        <w:t>parte</w:t>
      </w:r>
      <w:r w:rsidRPr="25DD51A6">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25DD51A6">
        <w:rPr>
          <w:i/>
        </w:rPr>
        <w:t xml:space="preserve">ex </w:t>
      </w:r>
      <w:r w:rsidRPr="25DD51A6">
        <w:rPr>
          <w:i/>
        </w:rPr>
        <w:t>parte</w:t>
      </w:r>
      <w:r w:rsidRPr="25DD51A6">
        <w:t xml:space="preserve"> presentations are reminded that memoranda summarizing the presentation must (1) list all persons attending or otherwise participating in the meeting at which the </w:t>
      </w:r>
      <w:r w:rsidRPr="25DD51A6">
        <w:rPr>
          <w:i/>
        </w:rPr>
        <w:t xml:space="preserve">ex </w:t>
      </w:r>
      <w:r w:rsidRPr="25DD51A6">
        <w:rPr>
          <w:i/>
        </w:rPr>
        <w:t>parte</w:t>
      </w:r>
      <w:r w:rsidRPr="25DD51A6">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25DD51A6">
        <w:rPr>
          <w:i/>
        </w:rPr>
        <w:t xml:space="preserve">ex </w:t>
      </w:r>
      <w:r w:rsidRPr="25DD51A6">
        <w:rPr>
          <w:i/>
        </w:rPr>
        <w:t>parte</w:t>
      </w:r>
      <w:r w:rsidRPr="25DD51A6">
        <w:t xml:space="preserve"> meetings are deemed to be written </w:t>
      </w:r>
      <w:r w:rsidRPr="25DD51A6">
        <w:rPr>
          <w:i/>
        </w:rPr>
        <w:t xml:space="preserve">ex </w:t>
      </w:r>
      <w:r w:rsidRPr="25DD51A6">
        <w:rPr>
          <w:i/>
        </w:rPr>
        <w:t>parte</w:t>
      </w:r>
      <w:r w:rsidRPr="25DD51A6">
        <w:t xml:space="preserve"> presentations and must be filed consistent with rule 1.1206(b).  In proceedings governed by rule 1.49(f) or for which the Commission has made available a method of electronic filing, written </w:t>
      </w:r>
      <w:r w:rsidRPr="25DD51A6">
        <w:rPr>
          <w:i/>
        </w:rPr>
        <w:t xml:space="preserve">ex </w:t>
      </w:r>
      <w:r w:rsidRPr="25DD51A6">
        <w:rPr>
          <w:i/>
        </w:rPr>
        <w:t>parte</w:t>
      </w:r>
      <w:r w:rsidRPr="25DD51A6">
        <w:t xml:space="preserve"> presentations and memoranda summarizing oral </w:t>
      </w:r>
      <w:r w:rsidRPr="25DD51A6">
        <w:rPr>
          <w:i/>
        </w:rPr>
        <w:t xml:space="preserve">ex </w:t>
      </w:r>
      <w:r w:rsidRPr="25DD51A6">
        <w:rPr>
          <w:i/>
        </w:rPr>
        <w:t>parte</w:t>
      </w:r>
      <w:r w:rsidRPr="25DD51A6">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25DD51A6">
        <w:rPr>
          <w:i/>
        </w:rPr>
        <w:t xml:space="preserve">ex </w:t>
      </w:r>
      <w:r w:rsidRPr="25DD51A6">
        <w:rPr>
          <w:i/>
        </w:rPr>
        <w:t>parte</w:t>
      </w:r>
      <w:r w:rsidRPr="25DD51A6">
        <w:t xml:space="preserve"> rules.</w:t>
      </w:r>
    </w:p>
    <w:p w:rsidR="00CB527F" w:rsidRPr="00327C10" w:rsidP="00CB527F" w14:paraId="78FC47D3" w14:textId="795C9EA5">
      <w:pPr>
        <w:pStyle w:val="ParaNum"/>
        <w:tabs>
          <w:tab w:val="num" w:pos="360"/>
        </w:tabs>
      </w:pPr>
      <w:r w:rsidRPr="25DD51A6">
        <w:rPr>
          <w:i/>
        </w:rPr>
        <w:t>Filing Requirements</w:t>
      </w:r>
      <w:r w:rsidRPr="25DD51A6" w:rsidR="009E68FF">
        <w:rPr>
          <w:i/>
        </w:rPr>
        <w:t xml:space="preserve"> – </w:t>
      </w:r>
      <w:r w:rsidRPr="25DD51A6">
        <w:rPr>
          <w:i/>
        </w:rPr>
        <w:t>Comments and Replies</w:t>
      </w:r>
      <w:r>
        <w:t xml:space="preserve">.  Pursuant to sections 1.415 and 1.419 of the Commission’s rules, 47 CFR §§ 1.415, 1.419, interested parties may file comments and reply </w:t>
      </w:r>
      <w:r>
        <w:t xml:space="preserve">comments on or before the dates indicated on the first page of this document.  Comments may be filed using the Commission’s Electronic Comment Filing System (ECFS).  </w:t>
      </w:r>
      <w:r w:rsidRPr="25DD51A6">
        <w:rPr>
          <w:i/>
        </w:rPr>
        <w:t>See Electronic Filing of Documents in Rulemaking Proceedings</w:t>
      </w:r>
      <w:r>
        <w:t>, 63 FR 24121 (1998).</w:t>
      </w:r>
    </w:p>
    <w:p w:rsidR="00CB527F" w:rsidRPr="00327C10" w:rsidP="00CB527F" w14:paraId="015C61EB" w14:textId="41EDBE01">
      <w:pPr>
        <w:pStyle w:val="ParaNum"/>
        <w:numPr>
          <w:ilvl w:val="0"/>
          <w:numId w:val="7"/>
        </w:numPr>
        <w:rPr>
          <w:szCs w:val="22"/>
        </w:rPr>
      </w:pPr>
      <w:r w:rsidRPr="00327C10">
        <w:rPr>
          <w:szCs w:val="22"/>
        </w:rPr>
        <w:t xml:space="preserve">Electronic Filers:  Comments may be filed electronically using the Internet by accessing the ECFS:  </w:t>
      </w:r>
      <w:hyperlink r:id="rId5" w:history="1">
        <w:r w:rsidRPr="00E6178E" w:rsidR="009E68FF">
          <w:rPr>
            <w:rStyle w:val="Hyperlink"/>
            <w:szCs w:val="22"/>
          </w:rPr>
          <w:t>http://apps.fcc.gov/ecfs/</w:t>
        </w:r>
      </w:hyperlink>
      <w:r w:rsidRPr="00327C10">
        <w:rPr>
          <w:szCs w:val="22"/>
        </w:rPr>
        <w:t>.</w:t>
      </w:r>
    </w:p>
    <w:p w:rsidR="00CB527F" w:rsidRPr="00327C10" w:rsidP="00CB527F" w14:paraId="50251603" w14:textId="589F15C9">
      <w:pPr>
        <w:pStyle w:val="ParaNum"/>
        <w:numPr>
          <w:ilvl w:val="0"/>
          <w:numId w:val="7"/>
        </w:numPr>
        <w:rPr>
          <w:szCs w:val="22"/>
        </w:rPr>
      </w:pPr>
      <w:r w:rsidRPr="00327C10">
        <w:rPr>
          <w:szCs w:val="22"/>
        </w:rPr>
        <w:t>Paper Filers:  Parties who choose to file by paper must file an original and one copy of each filing.</w:t>
      </w:r>
    </w:p>
    <w:p w:rsidR="00CB527F" w:rsidRPr="00327C10" w:rsidP="00CB527F" w14:paraId="39CA6049" w14:textId="77777777">
      <w:pPr>
        <w:pStyle w:val="ParaNum"/>
        <w:numPr>
          <w:ilvl w:val="0"/>
          <w:numId w:val="7"/>
        </w:numPr>
        <w:rPr>
          <w:szCs w:val="22"/>
        </w:rPr>
      </w:pPr>
      <w:r w:rsidRPr="00327C10">
        <w:rPr>
          <w:szCs w:val="22"/>
        </w:rPr>
        <w:t>Filings can be sent by commercial overnight courier, or by first-class or overnight U.S. Postal Service mail.  All filings must be addressed to the Commission’s Secretary, Office of the Secretary, Federal Communications Commission.</w:t>
      </w:r>
    </w:p>
    <w:p w:rsidR="00CB527F" w:rsidRPr="00327C10" w:rsidP="00CB527F" w14:paraId="23DCA4BE" w14:textId="6A13AFA9">
      <w:pPr>
        <w:pStyle w:val="ParaNum"/>
        <w:widowControl/>
        <w:numPr>
          <w:ilvl w:val="1"/>
          <w:numId w:val="7"/>
        </w:numPr>
        <w:rPr>
          <w:szCs w:val="22"/>
        </w:rPr>
      </w:pPr>
      <w:r w:rsidRPr="00327C10">
        <w:rPr>
          <w:szCs w:val="22"/>
        </w:rPr>
        <w:t>Commercial overnight mail (other than U.S. Postal Service Express Mail and Priority Mail) must be sent to 9050 Junction Drive, Annapolis Junction, MD 20701.</w:t>
      </w:r>
    </w:p>
    <w:p w:rsidR="00CB527F" w:rsidRPr="00327C10" w:rsidP="00CB527F" w14:paraId="62A8C6CB" w14:textId="77777777">
      <w:pPr>
        <w:pStyle w:val="ParaNum"/>
        <w:numPr>
          <w:ilvl w:val="1"/>
          <w:numId w:val="7"/>
        </w:numPr>
        <w:rPr>
          <w:szCs w:val="22"/>
        </w:rPr>
      </w:pPr>
      <w:r w:rsidRPr="00327C10">
        <w:rPr>
          <w:szCs w:val="22"/>
        </w:rPr>
        <w:t>Postal Service first-class, Express, and Priority mail must be addressed to 45 L Street, NE, Washington, DC 20554.</w:t>
      </w:r>
    </w:p>
    <w:p w:rsidR="00CB527F" w:rsidRPr="00327C10" w:rsidP="00CB527F" w14:paraId="7FDF354E" w14:textId="08FE24CB">
      <w:pPr>
        <w:pStyle w:val="ParaNum"/>
        <w:numPr>
          <w:ilvl w:val="0"/>
          <w:numId w:val="7"/>
        </w:numPr>
        <w:rPr>
          <w:szCs w:val="22"/>
        </w:rPr>
      </w:pPr>
      <w:r w:rsidRPr="00327C10">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42"/>
      </w:r>
    </w:p>
    <w:p w:rsidR="00CB527F" w:rsidRPr="00327C10" w:rsidP="00CB527F" w14:paraId="58674F35" w14:textId="77777777">
      <w:pPr>
        <w:pStyle w:val="ParaNum"/>
        <w:tabs>
          <w:tab w:val="num" w:pos="360"/>
        </w:tabs>
      </w:pPr>
      <w:r w:rsidRPr="25DD51A6">
        <w:rPr>
          <w:i/>
        </w:rPr>
        <w:t>Initial Regulatory Flexibility Act Analysis</w:t>
      </w:r>
      <w:r w:rsidRPr="25DD51A6">
        <w:t>.  The Regulatory Flexibility Act of 1980, as amended (RFA), requires that a regulatory flexibility analysis be prepared for notice and comment rulemaking proceedings, unless the agency certifies that “the rule will not, if promulgated, have a significant economic impact on a substantial number of small entities.”</w:t>
      </w:r>
      <w:r>
        <w:rPr>
          <w:sz w:val="20"/>
          <w:vertAlign w:val="superscript"/>
        </w:rPr>
        <w:footnoteReference w:id="43"/>
      </w:r>
      <w:r w:rsidRPr="25DD51A6">
        <w:t xml:space="preserve">  The RFA generally defines the term “small entity” as having the same meaning as the terms “small business,” “small organization,” and “small governmental jurisdiction.”  In addition, the term “small business” has the same meaning as the term “small business concern” under the Small Business Act.</w:t>
      </w:r>
      <w:r>
        <w:rPr>
          <w:sz w:val="20"/>
          <w:vertAlign w:val="superscript"/>
        </w:rPr>
        <w:footnoteReference w:id="44"/>
      </w:r>
      <w:r w:rsidRPr="25DD51A6">
        <w:t xml:space="preserve">  A “small business concern” is one which: (1) is independently owned and operated; (2) is not dominant in its field of operation; and (3) satisfies any additional criteria established by the Small Business Administration (SBA).</w:t>
      </w:r>
      <w:r>
        <w:rPr>
          <w:sz w:val="20"/>
          <w:vertAlign w:val="superscript"/>
        </w:rPr>
        <w:footnoteReference w:id="45"/>
      </w:r>
    </w:p>
    <w:p w:rsidR="00CB527F" w:rsidRPr="00327C10" w:rsidP="00CB527F" w14:paraId="0E568211" w14:textId="77777777">
      <w:pPr>
        <w:pStyle w:val="ParaNum"/>
        <w:tabs>
          <w:tab w:val="num" w:pos="360"/>
        </w:tabs>
      </w:pPr>
      <w:r>
        <w:t>With respect to this Notice of Proposed Rulemaking, an Initial Regulatory Flexibility Analysis (IRFA) under the RFA is contained in Appendix B.  Written public comments are requested on the IFRA and must be filed in accordance with the same filing deadlines as comments on this Notice of Proposed Rulemaking, with a distinct heading designating them as responses to the IRFA.  In addition, a copy of this Notice of Proposed Rulemaking and the IRFA will be sent to the Chief Counsel for Advocacy of the SBA and will be published in the Federal Register.</w:t>
      </w:r>
    </w:p>
    <w:p w:rsidR="00CB527F" w:rsidRPr="00327C10" w:rsidP="00CB527F" w14:paraId="27C8898A" w14:textId="77777777">
      <w:pPr>
        <w:pStyle w:val="ParaNum"/>
        <w:tabs>
          <w:tab w:val="num" w:pos="360"/>
        </w:tabs>
      </w:pPr>
      <w:r w:rsidRPr="25DD51A6">
        <w:rPr>
          <w:i/>
        </w:rPr>
        <w:t>Paperwork Reduction Act</w:t>
      </w:r>
      <w:r>
        <w:t xml:space="preserve">.  This document does not contain proposed information collection(s) subject to the Paperwork Reduction Act of 1995 (PRA), Public Law 104-13.  In addition, therefore, it does not contain any new or modified information collection burden for small business </w:t>
      </w:r>
      <w:r>
        <w:t>concerns with fewer than 25 employees, pursuant to the Small Business Paperwork Relief Act of 2002, Public Law 107-198, see 44 U.S.C. 3506(c)(4).</w:t>
      </w:r>
    </w:p>
    <w:p w:rsidR="00200461" w:rsidP="00200461" w14:paraId="35DEAD5E" w14:textId="5E760A7D">
      <w:pPr>
        <w:pStyle w:val="ParaNum"/>
        <w:tabs>
          <w:tab w:val="num" w:pos="360"/>
        </w:tabs>
      </w:pPr>
      <w:r w:rsidRPr="25DD51A6">
        <w:rPr>
          <w:i/>
        </w:rPr>
        <w:t>People with Disabilities</w:t>
      </w:r>
      <w:r>
        <w:t>.  To request materials in accessible formats for people with disabilities (braille, large print, electronic files, audio format), send an e-mail to</w:t>
      </w:r>
      <w:r w:rsidR="009E68FF">
        <w:t xml:space="preserve"> </w:t>
      </w:r>
      <w:hyperlink r:id="rId6">
        <w:r w:rsidRPr="25DD51A6" w:rsidR="009E68FF">
          <w:rPr>
            <w:rStyle w:val="Hyperlink"/>
          </w:rPr>
          <w:t>fcc504@fcc.gov</w:t>
        </w:r>
      </w:hyperlink>
      <w:r w:rsidR="009E68FF">
        <w:t xml:space="preserve"> </w:t>
      </w:r>
      <w:r>
        <w:t>or call the Consumer and Governmental Affairs Bureau at (202) 418-0530.</w:t>
      </w:r>
    </w:p>
    <w:p w:rsidR="00200461" w:rsidP="00200461" w14:paraId="6B66D908" w14:textId="5F831B2B">
      <w:pPr>
        <w:pStyle w:val="Heading1"/>
      </w:pPr>
      <w:r>
        <w:t>ORDERING CLAUSES</w:t>
      </w:r>
    </w:p>
    <w:p w:rsidR="009E68FF" w:rsidP="00DB4C09" w14:paraId="7FD1384A" w14:textId="78FC439F">
      <w:pPr>
        <w:pStyle w:val="ParaNum"/>
      </w:pPr>
      <w:r>
        <w:t>IT IS ORDERED, pursuant to Sections 4(</w:t>
      </w:r>
      <w:r>
        <w:t>i</w:t>
      </w:r>
      <w:r>
        <w:t xml:space="preserve">), 7(a), 303, </w:t>
      </w:r>
      <w:r w:rsidR="00667E33">
        <w:t xml:space="preserve">and </w:t>
      </w:r>
      <w:r>
        <w:t>308(b) of the Communications Act of 1934, as amended, 47 U.S.C. §§ 154(</w:t>
      </w:r>
      <w:r>
        <w:t>i</w:t>
      </w:r>
      <w:r>
        <w:t>), 157(a), 303, 308(b), that this Notice of Proposed Rulemaking IS ADOPTED.</w:t>
      </w:r>
    </w:p>
    <w:p w:rsidR="009E68FF" w:rsidRPr="00D47F74" w:rsidP="009E68FF" w14:paraId="186977EE" w14:textId="45B3EC57">
      <w:pPr>
        <w:pStyle w:val="ParaNum"/>
        <w:widowControl/>
        <w:ind w:left="-86"/>
      </w:pPr>
      <w:r>
        <w:t>IT IS FURTHER ORDERED that the Commission’s Consumer and Governmental Affairs Bureau, Reference Information Center will send a copy of this Notice of Proposed Rulemaking, including the Initial Regulatory Flexibility Analysis, to the Chief Counsel for Advocacy of the Small Business Administration, in accordance with Section 603(a) of the Regulatory Flexibility Act, 5</w:t>
      </w:r>
      <w:r w:rsidR="00C40E1B">
        <w:t> </w:t>
      </w:r>
      <w:r>
        <w:t xml:space="preserve">U.S.C. § 601 </w:t>
      </w:r>
      <w:r w:rsidRPr="25DD51A6">
        <w:rPr>
          <w:i/>
        </w:rPr>
        <w:t>et seq</w:t>
      </w:r>
      <w:r>
        <w:t>.</w:t>
      </w:r>
    </w:p>
    <w:p w:rsidR="009E68FF" w:rsidRPr="00D47F74" w:rsidP="009E68FF" w14:paraId="212AA17B" w14:textId="77777777">
      <w:pPr>
        <w:pStyle w:val="ParaNum"/>
        <w:numPr>
          <w:ilvl w:val="0"/>
          <w:numId w:val="0"/>
        </w:numPr>
        <w:spacing w:after="0"/>
      </w:pPr>
    </w:p>
    <w:p w:rsidR="009E68FF" w:rsidP="009E68FF" w14:paraId="7B81B21D" w14:textId="77777777">
      <w:pPr>
        <w:pStyle w:val="ParaNum"/>
        <w:numPr>
          <w:ilvl w:val="0"/>
          <w:numId w:val="0"/>
        </w:numPr>
        <w:spacing w:after="0"/>
        <w:ind w:left="4320"/>
      </w:pPr>
      <w:r>
        <w:t>FEDERAL COMMUNICATIONS COMMISSION</w:t>
      </w:r>
    </w:p>
    <w:p w:rsidR="009E68FF" w:rsidP="009E68FF" w14:paraId="399AF8D9" w14:textId="77777777">
      <w:pPr>
        <w:pStyle w:val="ParaNum"/>
        <w:numPr>
          <w:ilvl w:val="0"/>
          <w:numId w:val="0"/>
        </w:numPr>
        <w:spacing w:after="0"/>
        <w:ind w:left="4320"/>
      </w:pPr>
    </w:p>
    <w:p w:rsidR="009E68FF" w:rsidP="009E68FF" w14:paraId="09496F7B" w14:textId="77777777">
      <w:pPr>
        <w:pStyle w:val="ParaNum"/>
        <w:numPr>
          <w:ilvl w:val="0"/>
          <w:numId w:val="0"/>
        </w:numPr>
        <w:spacing w:after="0"/>
        <w:ind w:left="4320"/>
      </w:pPr>
    </w:p>
    <w:p w:rsidR="009E68FF" w:rsidP="009E68FF" w14:paraId="61468292" w14:textId="77777777">
      <w:pPr>
        <w:pStyle w:val="ParaNum"/>
        <w:numPr>
          <w:ilvl w:val="0"/>
          <w:numId w:val="0"/>
        </w:numPr>
        <w:spacing w:after="0"/>
        <w:ind w:left="4320"/>
      </w:pPr>
    </w:p>
    <w:p w:rsidR="009E68FF" w:rsidP="009E68FF" w14:paraId="690C006A" w14:textId="77777777">
      <w:pPr>
        <w:pStyle w:val="ParaNum"/>
        <w:numPr>
          <w:ilvl w:val="0"/>
          <w:numId w:val="0"/>
        </w:numPr>
        <w:spacing w:after="0"/>
        <w:ind w:left="4320"/>
      </w:pPr>
    </w:p>
    <w:p w:rsidR="009E68FF" w:rsidP="009E68FF" w14:paraId="0C78D97F" w14:textId="77777777">
      <w:pPr>
        <w:pStyle w:val="ParaNum"/>
        <w:numPr>
          <w:ilvl w:val="0"/>
          <w:numId w:val="0"/>
        </w:numPr>
        <w:spacing w:after="0"/>
        <w:ind w:left="4320"/>
      </w:pPr>
      <w:r>
        <w:t>Marlene H. Dortch</w:t>
      </w:r>
    </w:p>
    <w:p w:rsidR="005C3C06" w:rsidP="003258D2" w14:paraId="51989580" w14:textId="6BFD6A05">
      <w:pPr>
        <w:pStyle w:val="ParaNum"/>
        <w:numPr>
          <w:ilvl w:val="0"/>
          <w:numId w:val="0"/>
        </w:numPr>
        <w:spacing w:after="0"/>
        <w:ind w:left="4320"/>
        <w:sectPr w:rsidSect="00037B70">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cols w:space="720"/>
          <w:noEndnote/>
          <w:titlePg/>
          <w:docGrid w:linePitch="299"/>
        </w:sectPr>
      </w:pPr>
      <w:r>
        <w:t>Secretary</w:t>
      </w:r>
    </w:p>
    <w:p w:rsidR="005C3C06" w:rsidP="005C3C06" w14:paraId="5A855094" w14:textId="4DD8589B">
      <w:pPr>
        <w:pStyle w:val="Heading1"/>
        <w:numPr>
          <w:ilvl w:val="0"/>
          <w:numId w:val="0"/>
        </w:numPr>
        <w:ind w:left="720" w:hanging="720"/>
        <w:jc w:val="center"/>
      </w:pPr>
      <w:r>
        <w:t xml:space="preserve">APPENDIX </w:t>
      </w:r>
      <w:r w:rsidRPr="007E7729">
        <w:t>A</w:t>
      </w:r>
    </w:p>
    <w:p w:rsidR="005C3C06" w:rsidRPr="005C3C06" w:rsidP="005C3C06" w14:paraId="7CB9E3FE" w14:textId="6485B017">
      <w:pPr>
        <w:pStyle w:val="ParaNum"/>
        <w:numPr>
          <w:ilvl w:val="0"/>
          <w:numId w:val="0"/>
        </w:numPr>
        <w:jc w:val="center"/>
        <w:rPr>
          <w:b/>
          <w:bCs/>
        </w:rPr>
      </w:pPr>
      <w:r w:rsidRPr="005C3C06">
        <w:rPr>
          <w:b/>
          <w:bCs/>
        </w:rPr>
        <w:t>Proposed Rule Changes</w:t>
      </w:r>
    </w:p>
    <w:p w:rsidR="005C3C06" w:rsidP="005C3C06" w14:paraId="6FB15091" w14:textId="77777777">
      <w:pPr>
        <w:pStyle w:val="ParaNum"/>
        <w:numPr>
          <w:ilvl w:val="0"/>
          <w:numId w:val="0"/>
        </w:numPr>
      </w:pPr>
    </w:p>
    <w:p w:rsidR="005C3C06" w:rsidP="005C3C06" w14:paraId="170C56DD" w14:textId="3D4414CE">
      <w:pPr>
        <w:pStyle w:val="ParaNum"/>
        <w:numPr>
          <w:ilvl w:val="0"/>
          <w:numId w:val="0"/>
        </w:numPr>
      </w:pPr>
      <w:r>
        <w:t>The Federal Communications Commission proposes to amend title 47 of the Code of Federal Regulations, part 25, as follows:</w:t>
      </w:r>
    </w:p>
    <w:p w:rsidR="005C3C06" w:rsidP="005C3C06" w14:paraId="45201818" w14:textId="77777777">
      <w:pPr>
        <w:pStyle w:val="ParaNum"/>
        <w:numPr>
          <w:ilvl w:val="0"/>
          <w:numId w:val="0"/>
        </w:numPr>
      </w:pPr>
    </w:p>
    <w:p w:rsidR="005C3C06" w:rsidP="005C3C06" w14:paraId="4F6D1263" w14:textId="597A551D">
      <w:pPr>
        <w:pStyle w:val="ParaNum"/>
        <w:numPr>
          <w:ilvl w:val="0"/>
          <w:numId w:val="0"/>
        </w:numPr>
        <w:jc w:val="center"/>
      </w:pPr>
      <w:r>
        <w:t>PART 25 – SATELLITE COMMUNICATIONS</w:t>
      </w:r>
    </w:p>
    <w:p w:rsidR="005C3C06" w:rsidP="005C3C06" w14:paraId="4245B25C" w14:textId="77777777">
      <w:pPr>
        <w:pStyle w:val="ParaNum"/>
        <w:numPr>
          <w:ilvl w:val="0"/>
          <w:numId w:val="0"/>
        </w:numPr>
      </w:pPr>
    </w:p>
    <w:p w:rsidR="005C3C06" w:rsidP="005C3C06" w14:paraId="26672FFD" w14:textId="00BAB50F">
      <w:pPr>
        <w:pStyle w:val="ParaNum"/>
        <w:numPr>
          <w:ilvl w:val="0"/>
          <w:numId w:val="0"/>
        </w:numPr>
        <w:ind w:firstLine="720"/>
      </w:pPr>
      <w:r>
        <w:t xml:space="preserve">1. </w:t>
      </w:r>
      <w:r>
        <w:tab/>
        <w:t>The authority citation for part 25 continues to read as follows:</w:t>
      </w:r>
    </w:p>
    <w:p w:rsidR="005C3C06" w:rsidP="005C3C06" w14:paraId="370FD47B" w14:textId="325B9F09">
      <w:pPr>
        <w:pStyle w:val="ParaNum"/>
        <w:numPr>
          <w:ilvl w:val="0"/>
          <w:numId w:val="0"/>
        </w:numPr>
      </w:pPr>
      <w:r>
        <w:t xml:space="preserve">Authority: </w:t>
      </w:r>
      <w:r w:rsidRPr="00127D95" w:rsidR="00127D95">
        <w:t>47 U.S.C. 154, 301, 302, 303, 307, 309, 310, 319, 332, 605, and 721, unless otherwise noted.</w:t>
      </w:r>
    </w:p>
    <w:p w:rsidR="005C3C06" w:rsidP="005C3C06" w14:paraId="1CCBFC63" w14:textId="589E1421">
      <w:pPr>
        <w:pStyle w:val="ParaNum"/>
        <w:numPr>
          <w:ilvl w:val="0"/>
          <w:numId w:val="0"/>
        </w:numPr>
      </w:pPr>
    </w:p>
    <w:p w:rsidR="005C3C06" w:rsidP="00540B8E" w14:paraId="11EB5FDC" w14:textId="65C87258">
      <w:pPr>
        <w:pStyle w:val="ParaNum"/>
        <w:numPr>
          <w:ilvl w:val="0"/>
          <w:numId w:val="0"/>
        </w:numPr>
        <w:ind w:firstLine="720"/>
      </w:pPr>
      <w:r>
        <w:t xml:space="preserve">2. </w:t>
      </w:r>
      <w:r>
        <w:tab/>
        <w:t>Amend § 25.</w:t>
      </w:r>
      <w:r w:rsidR="00540B8E">
        <w:t>112</w:t>
      </w:r>
      <w:r>
        <w:t xml:space="preserve"> by </w:t>
      </w:r>
      <w:r w:rsidR="2ED48B96">
        <w:t xml:space="preserve">removing and reserving paragraph (a)(3) and </w:t>
      </w:r>
      <w:r>
        <w:t xml:space="preserve">revising </w:t>
      </w:r>
      <w:r w:rsidR="00540B8E">
        <w:t xml:space="preserve">the introductory text of </w:t>
      </w:r>
      <w:r>
        <w:t>paragraph (b)</w:t>
      </w:r>
      <w:r w:rsidR="00540B8E">
        <w:t xml:space="preserve"> </w:t>
      </w:r>
      <w:r>
        <w:t>to read as follows:</w:t>
      </w:r>
    </w:p>
    <w:p w:rsidR="005C3C06" w:rsidRPr="00A807CA" w:rsidP="005C3C06" w14:paraId="27726E42" w14:textId="0A4ABD71">
      <w:pPr>
        <w:pStyle w:val="ParaNum"/>
        <w:numPr>
          <w:ilvl w:val="0"/>
          <w:numId w:val="0"/>
        </w:numPr>
        <w:rPr>
          <w:u w:val="single"/>
        </w:rPr>
      </w:pPr>
      <w:r w:rsidRPr="00A807CA">
        <w:rPr>
          <w:u w:val="single"/>
        </w:rPr>
        <w:t>§ 25.112 Dismissal and return of applications.</w:t>
      </w:r>
    </w:p>
    <w:p w:rsidR="005C3C06" w:rsidP="25DD51A6" w14:paraId="393C5353" w14:textId="3D0C9300">
      <w:pPr>
        <w:pStyle w:val="ParaNum"/>
        <w:numPr>
          <w:ilvl w:val="0"/>
          <w:numId w:val="0"/>
        </w:numPr>
      </w:pPr>
      <w:r w:rsidRPr="25DD51A6">
        <w:rPr>
          <w:szCs w:val="22"/>
        </w:rPr>
        <w:t>(a) * * *</w:t>
      </w:r>
    </w:p>
    <w:p w:rsidR="2CDF706E" w:rsidP="25DD51A6" w14:paraId="3DBB1BE4" w14:textId="5A35EA92">
      <w:pPr>
        <w:pStyle w:val="ParaNum"/>
        <w:numPr>
          <w:ilvl w:val="0"/>
          <w:numId w:val="0"/>
        </w:numPr>
        <w:rPr>
          <w:szCs w:val="22"/>
        </w:rPr>
      </w:pPr>
      <w:r w:rsidRPr="25DD51A6">
        <w:rPr>
          <w:szCs w:val="22"/>
        </w:rPr>
        <w:t>(3) [Reserved]</w:t>
      </w:r>
    </w:p>
    <w:p w:rsidR="2CDF706E" w:rsidP="25DD51A6" w14:paraId="3395B666" w14:textId="2F34DDCD">
      <w:pPr>
        <w:pStyle w:val="ParaNum"/>
        <w:numPr>
          <w:ilvl w:val="0"/>
          <w:numId w:val="0"/>
        </w:numPr>
        <w:rPr>
          <w:szCs w:val="22"/>
        </w:rPr>
      </w:pPr>
      <w:r w:rsidRPr="25DD51A6">
        <w:rPr>
          <w:szCs w:val="22"/>
        </w:rPr>
        <w:t xml:space="preserve">* * * * * </w:t>
      </w:r>
    </w:p>
    <w:p w:rsidR="005C3C06" w:rsidP="005C3C06" w14:paraId="54919861" w14:textId="09E7BCDC">
      <w:pPr>
        <w:pStyle w:val="ParaNum"/>
        <w:numPr>
          <w:ilvl w:val="0"/>
          <w:numId w:val="0"/>
        </w:numPr>
      </w:pPr>
      <w:r>
        <w:t xml:space="preserve">(b) </w:t>
      </w:r>
      <w:r w:rsidRPr="005C3C06">
        <w:t>Applications for space station authority found defective under paragraph (a)(4) of this section will not be considered. Applications for authority found defective under paragraphs (a)(1)</w:t>
      </w:r>
      <w:r w:rsidR="0017338D">
        <w:t xml:space="preserve"> or</w:t>
      </w:r>
      <w:r w:rsidRPr="005C3C06">
        <w:t xml:space="preserve"> (a)(2) of this section may be accepted for filing if:</w:t>
      </w:r>
    </w:p>
    <w:p w:rsidR="00D2177C" w:rsidP="005C3C06" w14:paraId="4FF47DA8" w14:textId="45530352">
      <w:pPr>
        <w:pStyle w:val="ParaNum"/>
        <w:numPr>
          <w:ilvl w:val="0"/>
          <w:numId w:val="0"/>
        </w:numPr>
        <w:sectPr w:rsidSect="006815E7">
          <w:endnotePr>
            <w:numFmt w:val="decimal"/>
          </w:endnotePr>
          <w:pgSz w:w="12240" w:h="15840"/>
          <w:pgMar w:top="1440" w:right="1440" w:bottom="720" w:left="1440" w:header="720" w:footer="720" w:gutter="0"/>
          <w:cols w:space="720"/>
          <w:noEndnote/>
          <w:docGrid w:linePitch="299"/>
        </w:sectPr>
      </w:pPr>
      <w:r>
        <w:t>* * * * *</w:t>
      </w:r>
    </w:p>
    <w:p w:rsidR="00D2177C" w:rsidP="00D2177C" w14:paraId="71857A0F" w14:textId="79A4F280">
      <w:pPr>
        <w:pStyle w:val="Heading1"/>
        <w:numPr>
          <w:ilvl w:val="0"/>
          <w:numId w:val="0"/>
        </w:numPr>
        <w:ind w:left="720" w:hanging="720"/>
        <w:jc w:val="center"/>
      </w:pPr>
      <w:r>
        <w:t>APPENDIX B</w:t>
      </w:r>
    </w:p>
    <w:p w:rsidR="00D2177C" w:rsidP="00D2177C" w14:paraId="28A87E19" w14:textId="77777777">
      <w:pPr>
        <w:pStyle w:val="ParaNum"/>
        <w:numPr>
          <w:ilvl w:val="0"/>
          <w:numId w:val="0"/>
        </w:numPr>
        <w:jc w:val="center"/>
      </w:pPr>
      <w:r>
        <w:rPr>
          <w:b/>
        </w:rPr>
        <w:t>Initial Regulatory Flexibility Analysis</w:t>
      </w:r>
    </w:p>
    <w:p w:rsidR="00D2177C" w:rsidP="00EF2DBF" w14:paraId="62FA473E" w14:textId="1A45050A">
      <w:pPr>
        <w:pStyle w:val="ParaNum"/>
        <w:numPr>
          <w:ilvl w:val="0"/>
          <w:numId w:val="13"/>
        </w:numPr>
      </w:pPr>
      <w:r>
        <w:t>As required by the Regulatory Flexibility Act (RFA),</w:t>
      </w:r>
      <w:r>
        <w:rPr>
          <w:vertAlign w:val="superscript"/>
        </w:rPr>
        <w:footnoteReference w:id="46"/>
      </w:r>
      <w:r>
        <w:t xml:space="preserve"> the Commission has prepared this Initial Regulatory Flexibility Analysis (IRFA) of the possible significant economic impact on a substantial number of small entities by the policies and rules proposed in this Notice.  We request written public comments on this IRFA.  Commenters must identify their comments as responses to the IRFA and must file the comments by the deadlines provided on the first page of the Notice and as instructed above in paragraph 2</w:t>
      </w:r>
      <w:r w:rsidR="0017338D">
        <w:t>1</w:t>
      </w:r>
      <w:r>
        <w:t>.  The Commission will send a copy of the Notice, including this IRFA, to the Chief Counsel for Advocacy of the Small Business Administration.</w:t>
      </w:r>
      <w:r>
        <w:rPr>
          <w:vertAlign w:val="superscript"/>
        </w:rPr>
        <w:footnoteReference w:id="47"/>
      </w:r>
      <w:r>
        <w:t xml:space="preserve">  In addition, the Notice and IRFA (or summaries thereof) will be published in the Federal Register.</w:t>
      </w:r>
      <w:r>
        <w:rPr>
          <w:vertAlign w:val="superscript"/>
        </w:rPr>
        <w:footnoteReference w:id="48"/>
      </w:r>
    </w:p>
    <w:p w:rsidR="00D2177C" w:rsidP="00EF2DBF" w14:paraId="368BFE46" w14:textId="4197BC9C">
      <w:pPr>
        <w:pStyle w:val="Heading2"/>
      </w:pPr>
      <w:r>
        <w:t>Need for, and Objectives of, the Proposed Rules</w:t>
      </w:r>
    </w:p>
    <w:p w:rsidR="00D2177C" w:rsidP="00EF2DBF" w14:paraId="6FE2E8C4" w14:textId="3B75BC11">
      <w:pPr>
        <w:pStyle w:val="ParaNum"/>
      </w:pPr>
      <w:r>
        <w:t>T</w:t>
      </w:r>
      <w:r w:rsidRPr="0043763B">
        <w:t xml:space="preserve">his Notice of Proposed Rulemaking </w:t>
      </w:r>
      <w:r w:rsidR="00CB6B87">
        <w:t xml:space="preserve">(NPRM) </w:t>
      </w:r>
      <w:r w:rsidRPr="0043763B">
        <w:t>seek</w:t>
      </w:r>
      <w:r>
        <w:t>s</w:t>
      </w:r>
      <w:r w:rsidRPr="0043763B">
        <w:t xml:space="preserve"> comment on ways to facilitate the acceptance for filing of satellite </w:t>
      </w:r>
      <w:r w:rsidR="004C31C4">
        <w:t xml:space="preserve">and earth station </w:t>
      </w:r>
      <w:r w:rsidRPr="0043763B">
        <w:t xml:space="preserve">applications under </w:t>
      </w:r>
      <w:r w:rsidR="00EA5411">
        <w:t xml:space="preserve">47 CFR </w:t>
      </w:r>
      <w:r w:rsidRPr="0043763B">
        <w:t>part 25</w:t>
      </w:r>
      <w:r>
        <w:t xml:space="preserve"> to keep pace with growing demand for satellite services</w:t>
      </w:r>
      <w:r w:rsidRPr="0043763B">
        <w:t xml:space="preserve">.  </w:t>
      </w:r>
      <w:r>
        <w:t xml:space="preserve">The </w:t>
      </w:r>
      <w:r w:rsidR="00CB6B87">
        <w:t>NPRM</w:t>
      </w:r>
      <w:r>
        <w:t xml:space="preserve"> specifically inquires whether to change the acceptability rules regarding satellite applications that request to operate a service in a frequency band for which there is no international allocation, and whether to alter the limit of one unbuilt, non-geostationary system application or license in a particular frequency band.</w:t>
      </w:r>
    </w:p>
    <w:p w:rsidR="00D2177C" w:rsidP="00EF2DBF" w14:paraId="6F088F0D" w14:textId="5A523371">
      <w:pPr>
        <w:pStyle w:val="Heading2"/>
      </w:pPr>
      <w:r>
        <w:t>Legal Basis</w:t>
      </w:r>
    </w:p>
    <w:p w:rsidR="00D2177C" w:rsidP="00EF2DBF" w14:paraId="3664DCA3" w14:textId="77777777">
      <w:pPr>
        <w:pStyle w:val="ParaNum"/>
      </w:pPr>
      <w:r>
        <w:t>The proposed action is authorized under sections 4(</w:t>
      </w:r>
      <w:r>
        <w:t>i</w:t>
      </w:r>
      <w:r>
        <w:t>), 7(a), 303, 308(b), and 316 of the Communications Act of 1934, as amended, 47 U.S.C. §§ 154(</w:t>
      </w:r>
      <w:r>
        <w:t>i</w:t>
      </w:r>
      <w:r>
        <w:t>), 157(a), 303, 308(b), 316.</w:t>
      </w:r>
    </w:p>
    <w:p w:rsidR="00D2177C" w:rsidP="00EF2DBF" w14:paraId="2D6D71FA" w14:textId="0B777702">
      <w:pPr>
        <w:pStyle w:val="Heading2"/>
      </w:pPr>
      <w:r>
        <w:t>Description and Estimate of the Number of Small Entities to Which the Proposed Rules Will Apply</w:t>
      </w:r>
    </w:p>
    <w:p w:rsidR="00D2177C" w:rsidP="00EF2DBF" w14:paraId="5ABA5EA2" w14:textId="38E1025C">
      <w:pPr>
        <w:pStyle w:val="ParaNum"/>
      </w:pPr>
      <w:r>
        <w:t>The RFA directs agencies to provide a description of, and, where feasible, an estimate of, the number of small entities that may be affected by the proposed rules, if adopted.</w:t>
      </w:r>
      <w:r>
        <w:rPr>
          <w:vertAlign w:val="superscript"/>
        </w:rPr>
        <w:footnoteReference w:id="49"/>
      </w:r>
      <w:r>
        <w:t xml:space="preserve">  The RFA generally defines the term "small entity" as having the same meaning as the terms "small business," "small organization," and "small governmental jurisdiction."</w:t>
      </w:r>
      <w:r>
        <w:rPr>
          <w:vertAlign w:val="superscript"/>
        </w:rPr>
        <w:footnoteReference w:id="50"/>
      </w:r>
      <w:r>
        <w:t xml:space="preserve">  In addition, the term "small business" has the same meaning as the term "small business concern" under the Small Business Act.</w:t>
      </w:r>
      <w:r>
        <w:rPr>
          <w:vertAlign w:val="superscript"/>
        </w:rPr>
        <w:footnoteReference w:id="51"/>
      </w:r>
      <w:r>
        <w:t xml:space="preserve">  A small business concern is one which:  (1) is independently owned and operated; (2) is not dominant in its field of operation; and (3) satisfies any additional criteria established by the Small Business Administration (SBA).</w:t>
      </w:r>
      <w:r>
        <w:rPr>
          <w:vertAlign w:val="superscript"/>
        </w:rPr>
        <w:footnoteReference w:id="52"/>
      </w:r>
    </w:p>
    <w:p w:rsidR="00D2177C" w:rsidRPr="009A4C0D" w:rsidP="00A9623D" w14:paraId="3ACD4C63" w14:textId="77777777">
      <w:pPr>
        <w:pStyle w:val="ParaNum"/>
        <w:widowControl/>
        <w:rPr>
          <w:szCs w:val="22"/>
        </w:rPr>
      </w:pPr>
      <w:r>
        <w:rPr>
          <w:rStyle w:val="Strong"/>
        </w:rPr>
        <w:t>Satellite Telecommunications</w:t>
      </w:r>
      <w:r>
        <w:rPr>
          <w:rStyle w:val="Strong"/>
          <w:i/>
        </w:rPr>
        <w:t>.</w:t>
      </w:r>
      <w:r>
        <w:rPr>
          <w:rStyle w:val="documentbody1"/>
          <w:szCs w:val="22"/>
        </w:rPr>
        <w:t xml:space="preserve"> </w:t>
      </w:r>
      <w:r w:rsidRPr="009A4C0D">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53"/>
      </w:r>
      <w:r w:rsidRPr="009A4C0D">
        <w:t xml:space="preserve">  </w:t>
      </w:r>
      <w:r w:rsidRPr="00093195">
        <w:t>Satellite telecommunications service providers include satellite and earth station operators.</w:t>
      </w:r>
      <w:r>
        <w:t xml:space="preserve"> </w:t>
      </w:r>
      <w:r w:rsidRPr="009A4C0D">
        <w:t>The category has a small business size standard of $35 million or less in average annual receipts, under SBA rules.</w:t>
      </w:r>
      <w:r>
        <w:rPr>
          <w:rStyle w:val="FootnoteReference"/>
        </w:rPr>
        <w:footnoteReference w:id="54"/>
      </w:r>
      <w:r w:rsidRPr="009A4C0D">
        <w:t xml:space="preserve">  For this category, U.S. Census Bureau data for 2012 show that there were a total of 333 firms that operated for the entire year.</w:t>
      </w:r>
      <w:r>
        <w:rPr>
          <w:rStyle w:val="FootnoteReference"/>
        </w:rPr>
        <w:footnoteReference w:id="55"/>
      </w:r>
      <w:r w:rsidRPr="009A4C0D">
        <w:t xml:space="preserve">  Of this total, 299 firms had annual receipts of less than $25 million.</w:t>
      </w:r>
      <w:r>
        <w:rPr>
          <w:rStyle w:val="FootnoteReference"/>
        </w:rPr>
        <w:footnoteReference w:id="56"/>
      </w:r>
      <w:r w:rsidRPr="009A4C0D">
        <w:t xml:space="preserve">  Consequently, we estimate that the majority of satellite telecommunications providers are small entities.</w:t>
      </w:r>
      <w:bookmarkStart w:id="9" w:name="_DV_C621"/>
    </w:p>
    <w:bookmarkEnd w:id="9"/>
    <w:p w:rsidR="00D2177C" w:rsidP="00EF2DBF" w14:paraId="70F83C24" w14:textId="3E783DE1">
      <w:pPr>
        <w:pStyle w:val="Heading2"/>
      </w:pPr>
      <w:r>
        <w:t xml:space="preserve">Description of Projected Reporting, Recordkeeping, and Other Compliance Requirements for Small Entities  </w:t>
      </w:r>
    </w:p>
    <w:p w:rsidR="00D2177C" w:rsidP="00EF2DBF" w14:paraId="7E282A89" w14:textId="4F11B8BC">
      <w:pPr>
        <w:pStyle w:val="ParaNum"/>
      </w:pPr>
      <w:r>
        <w:t xml:space="preserve">The NPRM invites comment on potential changes to the </w:t>
      </w:r>
      <w:r w:rsidR="0043763B">
        <w:t>acceptability for filing</w:t>
      </w:r>
      <w:r>
        <w:t xml:space="preserve"> requirements </w:t>
      </w:r>
      <w:r w:rsidR="0043763B">
        <w:t xml:space="preserve">for satellite </w:t>
      </w:r>
      <w:r w:rsidR="004C31C4">
        <w:t xml:space="preserve">and earth station </w:t>
      </w:r>
      <w:r w:rsidR="0043763B">
        <w:t>applicat</w:t>
      </w:r>
      <w:r w:rsidR="004D77F6">
        <w:t>ion</w:t>
      </w:r>
      <w:r w:rsidR="0043763B">
        <w:t>s</w:t>
      </w:r>
      <w:r w:rsidR="00AD17E9">
        <w:t xml:space="preserve"> in order to expedite their processing</w:t>
      </w:r>
      <w:r w:rsidR="0043763B">
        <w:t xml:space="preserve">.  </w:t>
      </w:r>
      <w:r w:rsidR="00AD17E9">
        <w:t>Rule changes adopted as a result of this inquiry would be likely to decrease, or leave unaffected, the compliance requirements for small entities due to any streamlining of the Commission’s application processing rules.</w:t>
      </w:r>
    </w:p>
    <w:p w:rsidR="00D2177C" w:rsidP="00EF2DBF" w14:paraId="65F4B48A" w14:textId="6B6D9AB0">
      <w:pPr>
        <w:pStyle w:val="Heading2"/>
      </w:pPr>
      <w:r>
        <w:t>Steps Taken to Minimize Significant Economic Impact on Small Entities, and Significant Alternatives Considered</w:t>
      </w:r>
    </w:p>
    <w:p w:rsidR="00D2177C" w:rsidP="00EF2DBF" w14:paraId="77BF0C30" w14:textId="77777777">
      <w:pPr>
        <w:pStyle w:val="ParaNum"/>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vertAlign w:val="superscript"/>
        </w:rPr>
        <w:footnoteReference w:id="57"/>
      </w:r>
    </w:p>
    <w:p w:rsidR="00D2177C" w:rsidP="00EF2DBF" w14:paraId="77438984" w14:textId="3782FA46">
      <w:pPr>
        <w:pStyle w:val="ParaNum"/>
      </w:pPr>
      <w:r>
        <w:t xml:space="preserve">The NPRM invites comment on </w:t>
      </w:r>
      <w:r w:rsidR="00AD17E9">
        <w:t xml:space="preserve">ways to expedite and streamline the initial processing of satellite </w:t>
      </w:r>
      <w:r w:rsidR="004C31C4">
        <w:t xml:space="preserve">and earth station </w:t>
      </w:r>
      <w:r w:rsidR="00AD17E9">
        <w:t>applications</w:t>
      </w:r>
      <w:r w:rsidR="00ED48FE">
        <w:t xml:space="preserve">, which </w:t>
      </w:r>
      <w:r w:rsidR="4610F93F">
        <w:t>m</w:t>
      </w:r>
      <w:r w:rsidR="0D7B8494">
        <w:t>ight</w:t>
      </w:r>
      <w:r w:rsidR="00ED48FE">
        <w:t xml:space="preserve"> also benefit small entities </w:t>
      </w:r>
      <w:r w:rsidRPr="004C31C4" w:rsidR="004C31C4">
        <w:t>such as earth station operators</w:t>
      </w:r>
      <w:r w:rsidR="00AD17E9">
        <w:t>.</w:t>
      </w:r>
    </w:p>
    <w:p w:rsidR="00D2177C" w:rsidP="00EF2DBF" w14:paraId="74FF855C" w14:textId="1B3D1401">
      <w:pPr>
        <w:pStyle w:val="Heading2"/>
      </w:pPr>
      <w:r>
        <w:t>Federal Rules that May Duplicate, Overlap, or Conflict With the Proposed Rules</w:t>
      </w:r>
    </w:p>
    <w:p w:rsidR="00A532BA" w:rsidP="00EF2DBF" w14:paraId="20784E23" w14:textId="77777777">
      <w:pPr>
        <w:pStyle w:val="ParaNum"/>
        <w:sectPr w:rsidSect="006815E7">
          <w:footerReference w:type="defaul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r>
        <w:t>None.</w:t>
      </w:r>
    </w:p>
    <w:p w:rsidR="00A532BA" w:rsidRPr="000559BA" w:rsidP="00A532BA" w14:paraId="38E318BD" w14:textId="77777777">
      <w:pPr>
        <w:jc w:val="center"/>
        <w:rPr>
          <w:b/>
          <w:bCs/>
          <w:caps/>
        </w:rPr>
      </w:pPr>
      <w:r w:rsidRPr="000559BA">
        <w:rPr>
          <w:b/>
          <w:bCs/>
          <w:caps/>
        </w:rPr>
        <w:t>Statement of</w:t>
      </w:r>
    </w:p>
    <w:p w:rsidR="00A532BA" w:rsidRPr="000559BA" w:rsidP="00A532BA" w14:paraId="7B38DF40" w14:textId="77777777">
      <w:pPr>
        <w:jc w:val="center"/>
        <w:rPr>
          <w:b/>
          <w:bCs/>
          <w:caps/>
        </w:rPr>
      </w:pPr>
      <w:r w:rsidRPr="000559BA">
        <w:rPr>
          <w:b/>
          <w:bCs/>
          <w:caps/>
        </w:rPr>
        <w:t>Chairwoman Jessica Rosenworcel</w:t>
      </w:r>
    </w:p>
    <w:p w:rsidR="00A532BA" w:rsidRPr="000559BA" w:rsidP="00A532BA" w14:paraId="4FD99D39" w14:textId="77777777">
      <w:pPr>
        <w:jc w:val="center"/>
        <w:rPr>
          <w:b/>
          <w:bCs/>
          <w:caps/>
        </w:rPr>
      </w:pPr>
    </w:p>
    <w:p w:rsidR="00A532BA" w:rsidRPr="000559BA" w:rsidP="00A532BA" w14:paraId="6A718106" w14:textId="77777777">
      <w:pPr>
        <w:ind w:left="720" w:hanging="720"/>
        <w:rPr>
          <w:i/>
          <w:iCs/>
        </w:rPr>
      </w:pPr>
      <w:r w:rsidRPr="000559BA">
        <w:rPr>
          <w:iCs/>
        </w:rPr>
        <w:t>Re:</w:t>
      </w:r>
      <w:r w:rsidRPr="000559BA">
        <w:t xml:space="preserve"> </w:t>
      </w:r>
      <w:r w:rsidRPr="000559BA">
        <w:tab/>
      </w:r>
      <w:r w:rsidRPr="000559BA">
        <w:rPr>
          <w:i/>
          <w:iCs/>
        </w:rPr>
        <w:t>Expediting Initial Processing of Satellite and Earth Station Applications</w:t>
      </w:r>
      <w:r>
        <w:t xml:space="preserve">, </w:t>
      </w:r>
      <w:r w:rsidRPr="000559BA">
        <w:t>IB Docket No. 22-411</w:t>
      </w:r>
      <w:r>
        <w:t>;</w:t>
      </w:r>
      <w:r w:rsidRPr="000559BA">
        <w:rPr>
          <w:i/>
          <w:iCs/>
        </w:rPr>
        <w:t xml:space="preserve"> Space Innovation</w:t>
      </w:r>
      <w:r w:rsidRPr="000559BA">
        <w:t>, IB Docket No</w:t>
      </w:r>
      <w:r>
        <w:t xml:space="preserve">. </w:t>
      </w:r>
      <w:r w:rsidRPr="000559BA">
        <w:t>22-271, Notice of Proposed Rulemaking</w:t>
      </w:r>
    </w:p>
    <w:p w:rsidR="00A532BA" w:rsidRPr="000559BA" w:rsidP="00A532BA" w14:paraId="1F6FC3E9" w14:textId="77777777">
      <w:pPr>
        <w:ind w:firstLine="720"/>
      </w:pPr>
    </w:p>
    <w:p w:rsidR="00A532BA" w:rsidRPr="000559BA" w:rsidP="00A532BA" w14:paraId="1DBB775F" w14:textId="77777777">
      <w:pPr>
        <w:spacing w:after="120"/>
        <w:ind w:firstLine="720"/>
      </w:pPr>
      <w:r w:rsidRPr="000559BA">
        <w:t xml:space="preserve">Telstar 1 was launched into orbit in 1962.  It was the world’s first communications satellite.  It ushered in a new era of connectivity and demonstrated that Federal Communications Commission policies could support privately sponsored space-faring missions.  This was big—and a sign in our skies of what was to come.  </w:t>
      </w:r>
    </w:p>
    <w:p w:rsidR="00A532BA" w:rsidRPr="000559BA" w:rsidP="00A532BA" w14:paraId="3BDF340E" w14:textId="77777777">
      <w:pPr>
        <w:spacing w:after="120"/>
        <w:ind w:firstLine="720"/>
      </w:pPr>
      <w:r w:rsidRPr="000559BA">
        <w:t>Because the tremendous growth in the space economy we see right now is also fueled by commercial activity.  Space is no longer just the province of our political superpowers.  In fact, continued United States leadership in the emerging space economy requires thoughtful collaboration between the public and private sector.  In particular, it requires this agency to update its policies to support the expanding range of commercial opportunities in our higher altitudes.</w:t>
      </w:r>
    </w:p>
    <w:p w:rsidR="00A532BA" w:rsidRPr="000559BA" w:rsidP="00A532BA" w14:paraId="7CDCCDEE" w14:textId="77777777">
      <w:pPr>
        <w:spacing w:after="120"/>
        <w:ind w:firstLine="720"/>
      </w:pPr>
      <w:r w:rsidRPr="000559BA">
        <w:t>In other words, the new space age needs new rules.  If you want further evidence, consider that the number of applications for satellites and gateway earth stations before us has never been higher.  They are also more complex.  On top of that, we are seeing new applications for novel space activities like lunar landers, space tugs that can deploy other satellites, and space antenna farms that relay communications.  In fact, the way constellations are designed, satellites are manufactured, launches are organized, and even how systems are upgraded or replaced are all being re-designed and re-imagined.  But the organizational structures at the agency have not kept pace as the applications and proceedings before us have multiplied.  And you cannot just keep doing things the old way and expect to lead in the new.</w:t>
      </w:r>
    </w:p>
    <w:p w:rsidR="00A532BA" w:rsidRPr="000559BA" w:rsidP="00A532BA" w14:paraId="3DD5234A" w14:textId="77777777">
      <w:pPr>
        <w:spacing w:after="120"/>
      </w:pPr>
      <w:r w:rsidRPr="000559BA">
        <w:tab/>
        <w:t xml:space="preserve">That is why last month I launched an effort to create a new Space Bureau.  This re-imagined bureau will help support our leadership in the emerging space economy, promote long-term technical capacity to address satellite policies, and improve our coordination with other agencies here at home and abroad.  </w:t>
      </w:r>
    </w:p>
    <w:p w:rsidR="00A532BA" w:rsidRPr="000559BA" w:rsidP="00A532BA" w14:paraId="34B7A33A" w14:textId="77777777">
      <w:pPr>
        <w:spacing w:after="120"/>
        <w:ind w:firstLine="720"/>
      </w:pPr>
      <w:r w:rsidRPr="000559BA">
        <w:t xml:space="preserve">But reorganization is just one tool among many that we are using to drive transformational change.  Across the board we are working to update our rules, increase staff working on these matters, and speed up the satellite licensing process.  Our efforts are already yielding results.  In fact, in the past six months, we have reduced our earth station application backlog by more than twenty percent.  </w:t>
      </w:r>
    </w:p>
    <w:p w:rsidR="00A532BA" w:rsidRPr="000559BA" w:rsidP="00A532BA" w14:paraId="03FDBDA4" w14:textId="77777777">
      <w:pPr>
        <w:spacing w:after="120"/>
        <w:ind w:firstLine="720"/>
      </w:pPr>
      <w:r w:rsidRPr="000559BA">
        <w:t>The rulemaking we start today will help us build on this momentum.  In it, we propose to change the way we process space station and earth station applications.  Right now when we receive them, they are supposed to be put on public notice to begin building a record on what has been proposed.  But too many applications get bogged down before this critical first step.  So we ask about ways to speed up this process and get applications on public notice sooner.  We also seek comment on rule changes that would reduce the need for waivers that slow down and complicate review.  In addition, we ask about timelines for both satellite and earth station applications and other ways to streamline our processing.</w:t>
      </w:r>
    </w:p>
    <w:p w:rsidR="00A532BA" w:rsidRPr="000559BA" w:rsidP="00A532BA" w14:paraId="386100B0" w14:textId="77777777">
      <w:pPr>
        <w:spacing w:after="120"/>
        <w:ind w:firstLine="720"/>
      </w:pPr>
      <w:r w:rsidRPr="000559BA">
        <w:t xml:space="preserve">This is just one part of the licensing process, but it matters.  Because keeping our rules and our structures at this agency current is how we can support United States leadership in the growing space economy.  And on that score, I also want to thank Chairman Pallone and Ranking Member McMorris Rodgers for their leadership on these matters through bipartisan legislation.  Working together I know we can foster more of the kind of boundary-breaking innovation that made Telstar 1 possible six decades ago.   </w:t>
      </w:r>
    </w:p>
    <w:p w:rsidR="00A532BA" w:rsidP="00A532BA" w14:paraId="35C7B02E" w14:textId="77777777">
      <w:pPr>
        <w:spacing w:after="120"/>
        <w:ind w:firstLine="720"/>
        <w:sectPr w:rsidSect="00932C31">
          <w:footerReference w:type="default" r:id="rId14"/>
          <w:pgSz w:w="12240" w:h="15840"/>
          <w:pgMar w:top="1440" w:right="1440" w:bottom="1440" w:left="1440" w:header="720" w:footer="720" w:gutter="0"/>
          <w:cols w:space="720"/>
          <w:titlePg/>
          <w:docGrid w:linePitch="360"/>
        </w:sectPr>
      </w:pPr>
      <w:r w:rsidRPr="000559BA">
        <w:t xml:space="preserve">Thank you to the staff who have made this latest entry in our space innovation agenda possible, including Clay DeCell, Jennifer Gilsenan, Nese Guendelsberger, Karl Kensinger, Kerry Murray, Tom Sullivan, Troy Tanner, and Merissa Velez from the International Bureau; Deborah Broderson, David </w:t>
      </w:r>
      <w:r w:rsidRPr="000559BA">
        <w:t xml:space="preserve">Konczal, and William Richardson from the Office of the General Counsel; and Liesl Himmelberger, Marilyn Simon, Don Stockdale, Emily </w:t>
      </w:r>
      <w:r w:rsidRPr="000559BA">
        <w:t>Talaga</w:t>
      </w:r>
      <w:r w:rsidRPr="000559BA">
        <w:t>, and Aleks Yankelevich from the Office of Economics and Analytics.</w:t>
      </w:r>
    </w:p>
    <w:p w:rsidR="00A532BA" w:rsidRPr="00A532BA" w:rsidP="00A532BA" w14:paraId="61E35D94" w14:textId="77777777">
      <w:pPr>
        <w:jc w:val="center"/>
        <w:rPr>
          <w:rFonts w:eastAsiaTheme="minorHAnsi"/>
          <w:b/>
          <w:bCs/>
          <w:snapToGrid/>
          <w:kern w:val="0"/>
          <w:szCs w:val="22"/>
        </w:rPr>
      </w:pPr>
      <w:r w:rsidRPr="00A532BA">
        <w:rPr>
          <w:rFonts w:eastAsiaTheme="minorHAnsi"/>
          <w:b/>
          <w:bCs/>
          <w:snapToGrid/>
          <w:kern w:val="0"/>
          <w:szCs w:val="22"/>
        </w:rPr>
        <w:t xml:space="preserve">STATEMENT OF </w:t>
      </w:r>
    </w:p>
    <w:p w:rsidR="00A532BA" w:rsidRPr="00A532BA" w:rsidP="00A532BA" w14:paraId="6A89F218" w14:textId="77777777">
      <w:pPr>
        <w:jc w:val="center"/>
        <w:rPr>
          <w:rFonts w:eastAsiaTheme="minorHAnsi"/>
          <w:b/>
          <w:bCs/>
          <w:snapToGrid/>
          <w:kern w:val="0"/>
          <w:szCs w:val="22"/>
        </w:rPr>
      </w:pPr>
      <w:r w:rsidRPr="00A532BA">
        <w:rPr>
          <w:rFonts w:eastAsiaTheme="minorHAnsi"/>
          <w:b/>
          <w:bCs/>
          <w:snapToGrid/>
          <w:kern w:val="0"/>
          <w:szCs w:val="22"/>
        </w:rPr>
        <w:t>COMMISSIONER GEOFFREY STARKS</w:t>
      </w:r>
    </w:p>
    <w:p w:rsidR="00A532BA" w:rsidRPr="00A532BA" w:rsidP="00A532BA" w14:paraId="4919822C" w14:textId="77777777">
      <w:pPr>
        <w:jc w:val="center"/>
        <w:rPr>
          <w:rFonts w:eastAsiaTheme="minorHAnsi"/>
          <w:b/>
          <w:bCs/>
          <w:snapToGrid/>
          <w:kern w:val="0"/>
          <w:szCs w:val="22"/>
        </w:rPr>
      </w:pPr>
    </w:p>
    <w:p w:rsidR="00A532BA" w:rsidRPr="00A532BA" w:rsidP="00A532BA" w14:paraId="72A3AAB2" w14:textId="77777777">
      <w:pPr>
        <w:ind w:left="720" w:hanging="720"/>
        <w:rPr>
          <w:rFonts w:eastAsiaTheme="minorHAnsi"/>
          <w:snapToGrid/>
          <w:kern w:val="0"/>
          <w:szCs w:val="22"/>
        </w:rPr>
      </w:pPr>
      <w:r w:rsidRPr="00A532BA">
        <w:rPr>
          <w:rFonts w:eastAsiaTheme="minorHAnsi"/>
          <w:snapToGrid/>
          <w:kern w:val="0"/>
          <w:szCs w:val="22"/>
        </w:rPr>
        <w:t xml:space="preserve">Re: </w:t>
      </w:r>
      <w:r w:rsidRPr="00A532BA">
        <w:rPr>
          <w:rFonts w:eastAsiaTheme="minorHAnsi"/>
          <w:i/>
          <w:iCs/>
          <w:snapToGrid/>
          <w:kern w:val="0"/>
          <w:szCs w:val="22"/>
        </w:rPr>
        <w:tab/>
      </w:r>
      <w:r w:rsidRPr="00A532BA">
        <w:rPr>
          <w:i/>
          <w:iCs/>
          <w:szCs w:val="22"/>
        </w:rPr>
        <w:t>Expediting Initial Processing of Satellite and Earth Station Applications</w:t>
      </w:r>
      <w:r w:rsidRPr="00A532BA">
        <w:rPr>
          <w:szCs w:val="22"/>
        </w:rPr>
        <w:t>, IB Docket No. 22-411;</w:t>
      </w:r>
      <w:r w:rsidRPr="00A532BA">
        <w:rPr>
          <w:i/>
          <w:iCs/>
          <w:szCs w:val="22"/>
        </w:rPr>
        <w:t xml:space="preserve"> Space Innovation</w:t>
      </w:r>
      <w:r w:rsidRPr="00A532BA">
        <w:rPr>
          <w:szCs w:val="22"/>
        </w:rPr>
        <w:t>, IB Docket No. 22-271, Notice of Proposed Rulemaking</w:t>
      </w:r>
    </w:p>
    <w:p w:rsidR="00A532BA" w:rsidRPr="00A532BA" w:rsidP="00A532BA" w14:paraId="0BD87145" w14:textId="77777777">
      <w:pPr>
        <w:ind w:firstLine="720"/>
        <w:rPr>
          <w:rFonts w:eastAsiaTheme="minorHAnsi"/>
          <w:snapToGrid/>
          <w:kern w:val="0"/>
          <w:szCs w:val="22"/>
        </w:rPr>
      </w:pPr>
    </w:p>
    <w:p w:rsidR="00A532BA" w:rsidRPr="00A532BA" w:rsidP="00A532BA" w14:paraId="097E0843" w14:textId="77777777">
      <w:pPr>
        <w:spacing w:after="120"/>
        <w:ind w:firstLine="720"/>
        <w:rPr>
          <w:rFonts w:eastAsiaTheme="minorHAnsi"/>
          <w:snapToGrid/>
          <w:kern w:val="0"/>
          <w:szCs w:val="22"/>
        </w:rPr>
      </w:pPr>
      <w:r w:rsidRPr="00A532BA">
        <w:rPr>
          <w:rFonts w:eastAsiaTheme="minorHAnsi"/>
          <w:snapToGrid/>
          <w:kern w:val="0"/>
          <w:szCs w:val="22"/>
        </w:rPr>
        <w:t>As I’ve said before, we’re in a golden era of commercial space, and U.S. companies are leading the way.  They’re fueling discovery and innovation around the world and beyond it, while creating thousands of American jobs, including manufacturing jobs, right here at home.  With so many countries seeking to enter the space race, we need to keep the momentum going in the United States.  That means finding new ways for government to keep pace with one of the most dynamic sectors in our technological future.</w:t>
      </w:r>
    </w:p>
    <w:p w:rsidR="00A532BA" w:rsidRPr="00A532BA" w:rsidP="00A532BA" w14:paraId="430F9B8D" w14:textId="77777777">
      <w:pPr>
        <w:spacing w:after="120"/>
        <w:ind w:firstLine="720"/>
        <w:rPr>
          <w:rFonts w:eastAsiaTheme="minorHAnsi"/>
          <w:snapToGrid/>
          <w:kern w:val="0"/>
          <w:szCs w:val="22"/>
        </w:rPr>
      </w:pPr>
      <w:r w:rsidRPr="00A532BA">
        <w:rPr>
          <w:rFonts w:eastAsiaTheme="minorHAnsi"/>
          <w:snapToGrid/>
          <w:kern w:val="0"/>
          <w:szCs w:val="22"/>
        </w:rPr>
        <w:t xml:space="preserve">One way to speed things up is to reduce how long it takes to accept applications for filing, and that’s why I support this NPRM.  In recent years we’ve seen an unprecedented number of satellite and earth station applications, and many of them contain novel proposals.  Operators want to launch </w:t>
      </w:r>
      <w:r w:rsidRPr="00A532BA">
        <w:rPr>
          <w:rFonts w:eastAsiaTheme="minorHAnsi"/>
          <w:snapToGrid/>
          <w:kern w:val="0"/>
          <w:szCs w:val="22"/>
        </w:rPr>
        <w:t>megaconstellations</w:t>
      </w:r>
      <w:r w:rsidRPr="00A532BA">
        <w:rPr>
          <w:rFonts w:eastAsiaTheme="minorHAnsi"/>
          <w:snapToGrid/>
          <w:kern w:val="0"/>
          <w:szCs w:val="22"/>
        </w:rPr>
        <w:t>, deploy earth stations in motion, and push the envelope on remote sensing missions.  They want to relay data to other satellite networks, explore in-space service, assembly, and manufacturing opportunities, and expand the reach of terrestrial IoT networks using satellite connectivity.  Some in the industry are working on interoperable user antennas, on beaming satellite connectivity straight to your smartphone, and on democratizing access to the space economy by selling space infrastructure “as a service.”  Needless to say, our existing rules weren’t built with all this in mind, and the NPRM suggests that our requirements for filing acceptability may be delaying the processing of innovative applications.  If that is so, we must fix the problem.  Applications that show promise still deserve our full consideration on the merits, even if they propose something new that challenges the old playbook.  Perhaps even especially so.</w:t>
      </w:r>
    </w:p>
    <w:p w:rsidR="00A532BA" w:rsidRPr="00A532BA" w:rsidP="00A532BA" w14:paraId="48CF4651" w14:textId="77777777">
      <w:pPr>
        <w:spacing w:after="120"/>
        <w:ind w:firstLine="720"/>
        <w:rPr>
          <w:rFonts w:eastAsiaTheme="minorHAnsi"/>
          <w:snapToGrid/>
          <w:kern w:val="0"/>
          <w:szCs w:val="22"/>
        </w:rPr>
      </w:pPr>
      <w:r w:rsidRPr="00A532BA">
        <w:rPr>
          <w:rFonts w:eastAsiaTheme="minorHAnsi"/>
          <w:snapToGrid/>
          <w:kern w:val="0"/>
          <w:szCs w:val="22"/>
        </w:rPr>
        <w:t>I’m also pleased that the Chairwoman and my colleagues supported edits to make the NPRM more practical for space innovators.  We should streamline processing for any reasonable application that poses no harm—whether it proposes only to receive signals, or whether it includes a transmission component as well.  Furthermore, while we should require applicants to support their claims of non-interference, we shouldn’t impose an unreasonably high evidentiary bar just to begin processing the application.  That could deter otherwise strong applications, especially from smaller operators.  Instead, we should rely on petitions, comments, and other pleadings to help draw out information about the viability of the proposal.  That is the regulatory process in action, and there’s no harm in using it to help us do our work.</w:t>
      </w:r>
    </w:p>
    <w:p w:rsidR="00D2177C" w:rsidRPr="00A532BA" w:rsidP="00A532BA" w14:paraId="7EEFC8BA" w14:textId="27D31CDF">
      <w:pPr>
        <w:spacing w:after="120"/>
        <w:ind w:firstLine="720"/>
        <w:rPr>
          <w:rFonts w:eastAsiaTheme="minorHAnsi"/>
          <w:snapToGrid/>
          <w:kern w:val="0"/>
          <w:szCs w:val="22"/>
        </w:rPr>
      </w:pPr>
      <w:r w:rsidRPr="00A532BA">
        <w:rPr>
          <w:rFonts w:eastAsiaTheme="minorHAnsi"/>
          <w:snapToGrid/>
          <w:kern w:val="0"/>
          <w:szCs w:val="22"/>
        </w:rPr>
        <w:t>I thank the International Bureau for its excellent work on this item.</w:t>
      </w:r>
    </w:p>
    <w:sectPr>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4B30E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A0E4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35474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9F52D1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E7" w14:paraId="31A64E20" w14:textId="5D95B7F9">
    <w:pPr>
      <w:pStyle w:val="Footer"/>
      <w:jc w:val="center"/>
    </w:pPr>
  </w:p>
  <w:p w:rsidR="00D25FB5" w14:paraId="53BE666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7467" w14:paraId="5BC3B49A" w14:textId="77777777">
    <w:pPr>
      <w:suppressAutoHyphens/>
      <w:spacing w:line="227"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5E7" w14:paraId="45746443"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C31" w14:paraId="6DBAD354" w14:textId="740D7B36">
    <w:pPr>
      <w:pStyle w:val="Footer"/>
      <w:jc w:val="center"/>
    </w:pPr>
    <w:r>
      <w:t>15</w:t>
    </w:r>
  </w:p>
  <w:p w:rsidR="00932C31" w14:paraId="334A3600"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C31" w14:paraId="629CC592" w14:textId="2939059C">
    <w:pPr>
      <w:pStyle w:val="Footer"/>
      <w:jc w:val="center"/>
    </w:pPr>
    <w:r>
      <w:t>16</w:t>
    </w:r>
  </w:p>
  <w:p w:rsidR="00932C31" w14:paraId="335461C2"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7467" w14:paraId="5C41F637" w14:textId="77777777">
      <w:r>
        <w:separator/>
      </w:r>
    </w:p>
  </w:footnote>
  <w:footnote w:type="continuationSeparator" w:id="1">
    <w:p w:rsidR="00E07467" w:rsidP="00C721AC" w14:paraId="43901DF5" w14:textId="77777777">
      <w:pPr>
        <w:spacing w:before="120"/>
        <w:rPr>
          <w:sz w:val="20"/>
        </w:rPr>
      </w:pPr>
      <w:r>
        <w:rPr>
          <w:sz w:val="20"/>
        </w:rPr>
        <w:t xml:space="preserve">(Continued from previous page)  </w:t>
      </w:r>
      <w:r>
        <w:rPr>
          <w:sz w:val="20"/>
        </w:rPr>
        <w:separator/>
      </w:r>
    </w:p>
  </w:footnote>
  <w:footnote w:type="continuationNotice" w:id="2">
    <w:p w:rsidR="00E07467" w:rsidP="00C721AC" w14:paraId="69D99F43" w14:textId="77777777">
      <w:pPr>
        <w:jc w:val="right"/>
        <w:rPr>
          <w:sz w:val="20"/>
        </w:rPr>
      </w:pPr>
      <w:r>
        <w:rPr>
          <w:sz w:val="20"/>
        </w:rPr>
        <w:t>(continued….)</w:t>
      </w:r>
    </w:p>
  </w:footnote>
  <w:footnote w:id="3">
    <w:p w:rsidR="0001004D" w:rsidRPr="00112D1F" w14:paraId="1A2D8B46" w14:textId="4D31B4F7">
      <w:pPr>
        <w:pStyle w:val="FootnoteText"/>
      </w:pPr>
      <w:r>
        <w:rPr>
          <w:rStyle w:val="FootnoteReference"/>
        </w:rPr>
        <w:footnoteRef/>
      </w:r>
      <w:r>
        <w:t xml:space="preserve"> </w:t>
      </w:r>
      <w:r w:rsidR="00112D1F">
        <w:t>In referring to satellite applications</w:t>
      </w:r>
      <w:r w:rsidR="00A26896">
        <w:t xml:space="preserve"> generally</w:t>
      </w:r>
      <w:r w:rsidR="00112D1F">
        <w:t>, we also refer to petitions for declaratory ruling seeking access to the U.S. market</w:t>
      </w:r>
      <w:r w:rsidR="00A26896">
        <w:t>, unless otherwise specified</w:t>
      </w:r>
      <w:r w:rsidR="00112D1F">
        <w:t xml:space="preserve">.  </w:t>
      </w:r>
      <w:r w:rsidR="00112D1F">
        <w:rPr>
          <w:i/>
          <w:iCs/>
        </w:rPr>
        <w:t xml:space="preserve">See </w:t>
      </w:r>
      <w:r w:rsidR="00112D1F">
        <w:t>47 CFR § 25.1</w:t>
      </w:r>
      <w:r w:rsidR="00A26896">
        <w:t>37.</w:t>
      </w:r>
    </w:p>
  </w:footnote>
  <w:footnote w:id="4">
    <w:p w:rsidR="00CC3E80" w14:paraId="7FC84C77" w14:textId="403D3941">
      <w:pPr>
        <w:pStyle w:val="FootnoteText"/>
      </w:pPr>
      <w:r>
        <w:rPr>
          <w:rStyle w:val="FootnoteReference"/>
        </w:rPr>
        <w:footnoteRef/>
      </w:r>
      <w:r>
        <w:t xml:space="preserve"> 47 CFR </w:t>
      </w:r>
      <w:r w:rsidRPr="00CC3E80">
        <w:t>§</w:t>
      </w:r>
      <w:r>
        <w:t xml:space="preserve"> 25.112.</w:t>
      </w:r>
    </w:p>
  </w:footnote>
  <w:footnote w:id="5">
    <w:p w:rsidR="00806210" w:rsidP="00806210" w14:paraId="68E71E37" w14:textId="381C646E">
      <w:pPr>
        <w:pStyle w:val="FootnoteText"/>
      </w:pPr>
      <w:r>
        <w:rPr>
          <w:rStyle w:val="FootnoteReference"/>
        </w:rPr>
        <w:footnoteRef/>
      </w:r>
      <w:r>
        <w:t xml:space="preserve"> 47 CFR </w:t>
      </w:r>
      <w:r w:rsidRPr="00CC3E80">
        <w:t>§</w:t>
      </w:r>
      <w:r>
        <w:t xml:space="preserve"> 25.112(a), (b).</w:t>
      </w:r>
      <w:r w:rsidR="00E46653">
        <w:t xml:space="preserve">  As discussed below, </w:t>
      </w:r>
      <w:r w:rsidR="001B5082">
        <w:t xml:space="preserve">a satellite application requesting to operate in a frequency band without a corresponding international frequency allocation will be considered unacceptable for filing </w:t>
      </w:r>
      <w:r w:rsidR="00CC4743">
        <w:t xml:space="preserve">even if the application requests </w:t>
      </w:r>
      <w:r w:rsidR="00E46653">
        <w:t>waiver of the</w:t>
      </w:r>
      <w:r w:rsidR="00C61007">
        <w:t xml:space="preserve"> Table of Frequency Allocations</w:t>
      </w:r>
      <w:r w:rsidR="00E46653">
        <w:t>.</w:t>
      </w:r>
      <w:r w:rsidR="00C03F56">
        <w:t xml:space="preserve">  In addition, </w:t>
      </w:r>
      <w:r w:rsidR="00BC6456">
        <w:t xml:space="preserve">the rules provide that </w:t>
      </w:r>
      <w:r w:rsidR="00C03F56">
        <w:t xml:space="preserve">duplicative satellite applications are </w:t>
      </w:r>
      <w:r w:rsidR="00BC6456">
        <w:t xml:space="preserve">always </w:t>
      </w:r>
      <w:r w:rsidR="00884347">
        <w:t>unacceptable for filing</w:t>
      </w:r>
      <w:r w:rsidR="00C03F56">
        <w:t>.</w:t>
      </w:r>
      <w:r w:rsidR="00BC6456">
        <w:t xml:space="preserve">  47 CFR </w:t>
      </w:r>
      <w:r w:rsidRPr="00CC3E80" w:rsidR="00BC6456">
        <w:t>§</w:t>
      </w:r>
      <w:r w:rsidR="00BC6456">
        <w:t xml:space="preserve"> 25.112(b).</w:t>
      </w:r>
    </w:p>
  </w:footnote>
  <w:footnote w:id="6">
    <w:p w:rsidR="00735227" w14:paraId="13788619" w14:textId="2A551A0D">
      <w:pPr>
        <w:pStyle w:val="FootnoteText"/>
      </w:pPr>
      <w:r>
        <w:rPr>
          <w:rStyle w:val="FootnoteReference"/>
        </w:rPr>
        <w:footnoteRef/>
      </w:r>
      <w:r>
        <w:t xml:space="preserve"> </w:t>
      </w:r>
      <w:r w:rsidRPr="00DE6526">
        <w:rPr>
          <w:i/>
          <w:iCs/>
        </w:rPr>
        <w:t>See</w:t>
      </w:r>
      <w:r>
        <w:t xml:space="preserve"> 47 CFR §§ 25.157, 25.158.</w:t>
      </w:r>
    </w:p>
  </w:footnote>
  <w:footnote w:id="7">
    <w:p w:rsidR="00927413" w14:paraId="367C95AB" w14:textId="44FC8214">
      <w:pPr>
        <w:pStyle w:val="FootnoteText"/>
      </w:pPr>
      <w:r>
        <w:rPr>
          <w:rStyle w:val="FootnoteReference"/>
        </w:rPr>
        <w:footnoteRef/>
      </w:r>
      <w:r>
        <w:t xml:space="preserve"> 47 CFR </w:t>
      </w:r>
      <w:r w:rsidRPr="00CC3E80">
        <w:t>§</w:t>
      </w:r>
      <w:r>
        <w:t xml:space="preserve"> 25.159(b).</w:t>
      </w:r>
    </w:p>
  </w:footnote>
  <w:footnote w:id="8">
    <w:p w:rsidR="002A0473" w:rsidP="002A0473" w14:paraId="7BB7B07B" w14:textId="30B9FA2C">
      <w:pPr>
        <w:pStyle w:val="FootnoteText"/>
      </w:pPr>
      <w:r>
        <w:rPr>
          <w:rStyle w:val="FootnoteReference"/>
        </w:rPr>
        <w:footnoteRef/>
      </w:r>
      <w:r>
        <w:t xml:space="preserve"> The public notice inviting comment on space station </w:t>
      </w:r>
      <w:r w:rsidR="004C31C4">
        <w:t xml:space="preserve">or earth station </w:t>
      </w:r>
      <w:r>
        <w:t>applications typically states that t</w:t>
      </w:r>
      <w:r w:rsidRPr="009B2671">
        <w:t>he applications have been found, upon initial review, to be acceptable for filing</w:t>
      </w:r>
      <w:r>
        <w:t>, and that t</w:t>
      </w:r>
      <w:r w:rsidRPr="009B2671">
        <w:t>he Commission reserves the right to return any of the applications if, upon further examination, it is determined that the application is not in conformance with the Commission</w:t>
      </w:r>
      <w:r>
        <w:t>’</w:t>
      </w:r>
      <w:r w:rsidRPr="009B2671">
        <w:t>s rules or policies.</w:t>
      </w:r>
      <w:r>
        <w:t xml:space="preserve">  </w:t>
      </w:r>
      <w:r w:rsidRPr="009B2671">
        <w:rPr>
          <w:i/>
          <w:iCs/>
        </w:rPr>
        <w:t>See, e.g.</w:t>
      </w:r>
      <w:r>
        <w:t xml:space="preserve">, </w:t>
      </w:r>
      <w:r w:rsidRPr="009B2671">
        <w:rPr>
          <w:i/>
          <w:iCs/>
        </w:rPr>
        <w:t>Space Station Applications Accepted for Filing</w:t>
      </w:r>
      <w:r>
        <w:t xml:space="preserve">, Public Notice, </w:t>
      </w:r>
      <w:r w:rsidRPr="009B2671">
        <w:t>Report No. SAT-</w:t>
      </w:r>
      <w:r w:rsidRPr="00166FFC" w:rsidR="00166FFC">
        <w:t>01678</w:t>
      </w:r>
      <w:r>
        <w:t xml:space="preserve"> (IB-SD rel. </w:t>
      </w:r>
      <w:r w:rsidR="00166FFC">
        <w:t>Nov. 4, 2022</w:t>
      </w:r>
      <w:r>
        <w:t>)</w:t>
      </w:r>
      <w:r w:rsidR="004C31C4">
        <w:t xml:space="preserve">; </w:t>
      </w:r>
      <w:r w:rsidRPr="009B2671" w:rsidR="004C31C4">
        <w:rPr>
          <w:i/>
          <w:iCs/>
        </w:rPr>
        <w:t xml:space="preserve">Satellite Radio Applications Accepted </w:t>
      </w:r>
      <w:r w:rsidR="00D70C07">
        <w:rPr>
          <w:i/>
          <w:iCs/>
        </w:rPr>
        <w:t>f</w:t>
      </w:r>
      <w:r w:rsidRPr="009B2671" w:rsidR="004C31C4">
        <w:rPr>
          <w:i/>
          <w:iCs/>
        </w:rPr>
        <w:t>or Filing</w:t>
      </w:r>
      <w:r w:rsidR="004C31C4">
        <w:t xml:space="preserve">, Public Notice, </w:t>
      </w:r>
      <w:r w:rsidRPr="009B2671" w:rsidR="004C31C4">
        <w:t>Report No. SES-</w:t>
      </w:r>
      <w:r w:rsidRPr="008F4934" w:rsidR="004C31C4">
        <w:t>02515</w:t>
      </w:r>
      <w:r w:rsidR="004C31C4">
        <w:t xml:space="preserve"> (IB-SD rel. Nov. 9, 2022)</w:t>
      </w:r>
      <w:r>
        <w:t>.</w:t>
      </w:r>
    </w:p>
  </w:footnote>
  <w:footnote w:id="9">
    <w:p w:rsidR="00806210" w14:paraId="32581269" w14:textId="602E60F3">
      <w:pPr>
        <w:pStyle w:val="FootnoteText"/>
      </w:pPr>
      <w:r>
        <w:rPr>
          <w:rStyle w:val="FootnoteReference"/>
        </w:rPr>
        <w:footnoteRef/>
      </w:r>
      <w:r>
        <w:t xml:space="preserve"> 47 CFR </w:t>
      </w:r>
      <w:r w:rsidRPr="00CC3E80">
        <w:t>§</w:t>
      </w:r>
      <w:r>
        <w:t xml:space="preserve"> 25.112(a).</w:t>
      </w:r>
    </w:p>
  </w:footnote>
  <w:footnote w:id="10">
    <w:p w:rsidR="00C4471B" w14:paraId="469A3BF2" w14:textId="627DC3F1">
      <w:pPr>
        <w:pStyle w:val="FootnoteText"/>
      </w:pPr>
      <w:r>
        <w:rPr>
          <w:rStyle w:val="FootnoteReference"/>
        </w:rPr>
        <w:footnoteRef/>
      </w:r>
      <w:r>
        <w:t xml:space="preserve"> 47 CFR </w:t>
      </w:r>
      <w:r w:rsidRPr="00CC3E80">
        <w:t>§</w:t>
      </w:r>
      <w:r>
        <w:t xml:space="preserve"> 25.112(b).</w:t>
      </w:r>
    </w:p>
  </w:footnote>
  <w:footnote w:id="11">
    <w:p w:rsidR="00C4471B" w14:paraId="6A682EE1" w14:textId="5CA993C1">
      <w:pPr>
        <w:pStyle w:val="FootnoteText"/>
      </w:pPr>
      <w:r>
        <w:rPr>
          <w:rStyle w:val="FootnoteReference"/>
        </w:rPr>
        <w:footnoteRef/>
      </w:r>
      <w:r>
        <w:t xml:space="preserve"> </w:t>
      </w:r>
      <w:r w:rsidRPr="00C4471B">
        <w:rPr>
          <w:i/>
          <w:iCs/>
        </w:rPr>
        <w:t>Id.</w:t>
      </w:r>
    </w:p>
  </w:footnote>
  <w:footnote w:id="12">
    <w:p w:rsidR="009E0F6E" w:rsidP="00B92E61" w14:paraId="796C4370" w14:textId="73FE8288">
      <w:pPr>
        <w:pStyle w:val="FootnoteText"/>
      </w:pPr>
      <w:r>
        <w:rPr>
          <w:rStyle w:val="FootnoteReference"/>
        </w:rPr>
        <w:footnoteRef/>
      </w:r>
      <w:r>
        <w:t xml:space="preserve"> </w:t>
      </w:r>
      <w:r w:rsidRPr="00B92E61" w:rsidR="00B92E61">
        <w:rPr>
          <w:i/>
          <w:iCs/>
        </w:rPr>
        <w:t>Comprehensive Review of Licensing and Operating Rules for Satellite Services</w:t>
      </w:r>
      <w:r w:rsidR="00B92E61">
        <w:t xml:space="preserve">, Second Report and Order, </w:t>
      </w:r>
      <w:r w:rsidRPr="00B92E61" w:rsidR="00B92E61">
        <w:t xml:space="preserve">30 FCC </w:t>
      </w:r>
      <w:r w:rsidRPr="00B92E61" w:rsidR="00B92E61">
        <w:t>Rcd</w:t>
      </w:r>
      <w:r w:rsidRPr="00B92E61" w:rsidR="00B92E61">
        <w:t xml:space="preserve"> 14713</w:t>
      </w:r>
      <w:r w:rsidR="00B92E61">
        <w:t xml:space="preserve">, </w:t>
      </w:r>
      <w:r w:rsidRPr="00B92E61" w:rsidR="00B92E61">
        <w:t>14798</w:t>
      </w:r>
      <w:r w:rsidR="00B92E61">
        <w:t>, para. 258 (2015) (</w:t>
      </w:r>
      <w:r w:rsidRPr="00B92E61" w:rsidR="00B92E61">
        <w:rPr>
          <w:i/>
          <w:iCs/>
        </w:rPr>
        <w:t xml:space="preserve">Part 25 </w:t>
      </w:r>
      <w:r w:rsidR="00D56B9A">
        <w:rPr>
          <w:i/>
          <w:iCs/>
        </w:rPr>
        <w:t xml:space="preserve">Streamlining </w:t>
      </w:r>
      <w:r w:rsidRPr="00B92E61" w:rsidR="00B92E61">
        <w:rPr>
          <w:i/>
          <w:iCs/>
        </w:rPr>
        <w:t>Second Report and Order</w:t>
      </w:r>
      <w:r w:rsidR="00B92E61">
        <w:t>).</w:t>
      </w:r>
    </w:p>
  </w:footnote>
  <w:footnote w:id="13">
    <w:p w:rsidR="00D56B9A" w14:paraId="3746925B" w14:textId="4ED20E7E">
      <w:pPr>
        <w:pStyle w:val="FootnoteText"/>
      </w:pPr>
      <w:r>
        <w:rPr>
          <w:rStyle w:val="FootnoteReference"/>
        </w:rPr>
        <w:footnoteRef/>
      </w:r>
      <w:r>
        <w:t xml:space="preserve"> </w:t>
      </w:r>
      <w:r w:rsidRPr="00D56B9A">
        <w:rPr>
          <w:i/>
          <w:iCs/>
        </w:rPr>
        <w:t>Id.</w:t>
      </w:r>
    </w:p>
  </w:footnote>
  <w:footnote w:id="14">
    <w:p w:rsidR="009C2D7D" w:rsidP="009C2D7D" w14:paraId="6C612E79" w14:textId="77777777">
      <w:pPr>
        <w:pStyle w:val="FootnoteText"/>
      </w:pPr>
      <w:r>
        <w:rPr>
          <w:rStyle w:val="FootnoteReference"/>
        </w:rPr>
        <w:footnoteRef/>
      </w:r>
      <w:r>
        <w:t xml:space="preserve"> </w:t>
      </w:r>
      <w:r w:rsidRPr="00D56B9A">
        <w:rPr>
          <w:i/>
          <w:iCs/>
        </w:rPr>
        <w:t>Id.</w:t>
      </w:r>
    </w:p>
  </w:footnote>
  <w:footnote w:id="15">
    <w:p w:rsidR="00D56B9A" w14:paraId="60814C8A" w14:textId="476604A1">
      <w:pPr>
        <w:pStyle w:val="FootnoteText"/>
      </w:pPr>
      <w:r>
        <w:rPr>
          <w:rStyle w:val="FootnoteReference"/>
        </w:rPr>
        <w:footnoteRef/>
      </w:r>
      <w:r>
        <w:t xml:space="preserve"> </w:t>
      </w:r>
      <w:r w:rsidRPr="00D56B9A">
        <w:rPr>
          <w:i/>
          <w:iCs/>
        </w:rPr>
        <w:t>Id.</w:t>
      </w:r>
    </w:p>
  </w:footnote>
  <w:footnote w:id="16">
    <w:p w:rsidR="002C49FE" w14:paraId="293A4F60" w14:textId="1F44C925">
      <w:pPr>
        <w:pStyle w:val="FootnoteText"/>
      </w:pPr>
      <w:r>
        <w:rPr>
          <w:rStyle w:val="FootnoteReference"/>
        </w:rPr>
        <w:footnoteRef/>
      </w:r>
      <w:r>
        <w:t xml:space="preserve"> 47 CFR </w:t>
      </w:r>
      <w:r w:rsidRPr="00CC3E80">
        <w:t>§</w:t>
      </w:r>
      <w:r>
        <w:t xml:space="preserve"> 25.112(a)(3), (b).</w:t>
      </w:r>
      <w:r w:rsidRPr="00FC7F6E" w:rsidR="00FC7F6E">
        <w:t xml:space="preserve"> </w:t>
      </w:r>
      <w:r w:rsidRPr="00FC7F6E" w:rsidR="25DD51A6">
        <w:t xml:space="preserve"> </w:t>
      </w:r>
      <w:r w:rsidR="00FC7F6E">
        <w:t>Exempt from this provision are a</w:t>
      </w:r>
      <w:r w:rsidRPr="00FC7F6E" w:rsidR="00FC7F6E">
        <w:t>pplications for streamlined small space station authorization</w:t>
      </w:r>
      <w:r w:rsidR="00FC7F6E">
        <w:t xml:space="preserve"> under section </w:t>
      </w:r>
      <w:r w:rsidRPr="00EA4E1E" w:rsidR="00FC7F6E">
        <w:t>25.122</w:t>
      </w:r>
      <w:r w:rsidR="00FC7F6E">
        <w:t xml:space="preserve"> and a</w:t>
      </w:r>
      <w:r w:rsidRPr="00FC7F6E" w:rsidR="00FC7F6E">
        <w:t>pplications for streamlined small spacecraft authorization</w:t>
      </w:r>
      <w:r w:rsidR="00FC7F6E">
        <w:t xml:space="preserve"> under section</w:t>
      </w:r>
      <w:r w:rsidRPr="00EA4E1E" w:rsidR="00FC7F6E">
        <w:t xml:space="preserve"> 25.123.</w:t>
      </w:r>
    </w:p>
  </w:footnote>
  <w:footnote w:id="17">
    <w:p w:rsidR="001809D2" w14:paraId="2FA26EF3" w14:textId="36407297">
      <w:pPr>
        <w:pStyle w:val="FootnoteText"/>
      </w:pPr>
      <w:r>
        <w:rPr>
          <w:rStyle w:val="FootnoteReference"/>
        </w:rPr>
        <w:footnoteRef/>
      </w:r>
      <w:r>
        <w:t xml:space="preserve"> </w:t>
      </w:r>
      <w:r w:rsidRPr="001809D2">
        <w:rPr>
          <w:i/>
          <w:iCs/>
        </w:rPr>
        <w:t>Amendment of the Commission’s Space Station Licensing Rules and Policies</w:t>
      </w:r>
      <w:r>
        <w:t xml:space="preserve">, </w:t>
      </w:r>
      <w:r w:rsidRPr="001809D2">
        <w:t>First Report and Order</w:t>
      </w:r>
      <w:r>
        <w:t xml:space="preserve">, </w:t>
      </w:r>
      <w:r w:rsidRPr="001809D2">
        <w:t xml:space="preserve">18 FCC </w:t>
      </w:r>
      <w:r w:rsidRPr="001809D2">
        <w:t>Rcd</w:t>
      </w:r>
      <w:r w:rsidRPr="001809D2">
        <w:t xml:space="preserve"> 10760</w:t>
      </w:r>
      <w:r>
        <w:t xml:space="preserve">, </w:t>
      </w:r>
      <w:r w:rsidRPr="00920866" w:rsidR="00920866">
        <w:t>10809</w:t>
      </w:r>
      <w:r w:rsidR="00920866">
        <w:t xml:space="preserve">, para. 124 </w:t>
      </w:r>
      <w:r>
        <w:t>(2003)</w:t>
      </w:r>
      <w:r w:rsidR="005B3D42">
        <w:t xml:space="preserve"> (</w:t>
      </w:r>
      <w:r w:rsidRPr="005B3D42" w:rsidR="005B3D42">
        <w:rPr>
          <w:i/>
          <w:iCs/>
        </w:rPr>
        <w:t>Space Station Licensing Reform Order</w:t>
      </w:r>
      <w:r w:rsidR="005B3D42">
        <w:t>)</w:t>
      </w:r>
      <w:r>
        <w:t>.</w:t>
      </w:r>
    </w:p>
  </w:footnote>
  <w:footnote w:id="18">
    <w:p w:rsidR="000E55AB" w14:paraId="55E87838" w14:textId="74C24F6B">
      <w:pPr>
        <w:pStyle w:val="FootnoteText"/>
      </w:pPr>
      <w:r>
        <w:rPr>
          <w:rStyle w:val="FootnoteReference"/>
        </w:rPr>
        <w:footnoteRef/>
      </w:r>
      <w:r>
        <w:t xml:space="preserve"> </w:t>
      </w:r>
      <w:r w:rsidRPr="00920866" w:rsidR="00920866">
        <w:rPr>
          <w:i/>
          <w:iCs/>
        </w:rPr>
        <w:t>Id.</w:t>
      </w:r>
      <w:r w:rsidR="00920866">
        <w:t xml:space="preserve">  </w:t>
      </w:r>
      <w:r>
        <w:t xml:space="preserve">The Commission also noted that such applications were not necessary for the United States to develop a position in support of a future allocation at a World Radiocommunication Conference.  </w:t>
      </w:r>
      <w:r w:rsidRPr="005C5475" w:rsidR="00920866">
        <w:rPr>
          <w:i/>
          <w:iCs/>
        </w:rPr>
        <w:t>Id.</w:t>
      </w:r>
      <w:r w:rsidR="00920866">
        <w:t xml:space="preserve"> at </w:t>
      </w:r>
      <w:r w:rsidRPr="005C5475" w:rsidR="005C5475">
        <w:t>10783</w:t>
      </w:r>
      <w:r w:rsidR="005C5475">
        <w:t xml:space="preserve">, para. 49, </w:t>
      </w:r>
      <w:r w:rsidRPr="00920866" w:rsidR="00920866">
        <w:t>10809, para. 124</w:t>
      </w:r>
      <w:r w:rsidR="00920866">
        <w:t>.</w:t>
      </w:r>
    </w:p>
  </w:footnote>
  <w:footnote w:id="19">
    <w:p w:rsidR="005D1CD9" w14:paraId="519D4291" w14:textId="01A2FDBF">
      <w:pPr>
        <w:pStyle w:val="FootnoteText"/>
      </w:pPr>
      <w:r>
        <w:rPr>
          <w:rStyle w:val="FootnoteReference"/>
        </w:rPr>
        <w:footnoteRef/>
      </w:r>
      <w:r>
        <w:t xml:space="preserve"> </w:t>
      </w:r>
      <w:r w:rsidRPr="00137E80" w:rsidR="006D2376">
        <w:rPr>
          <w:i/>
          <w:iCs/>
        </w:rPr>
        <w:t>Streamlining Licensing Procedures for Small Satellites</w:t>
      </w:r>
      <w:r w:rsidR="00B17FCB">
        <w:t xml:space="preserve">, </w:t>
      </w:r>
      <w:r w:rsidR="00137E80">
        <w:t xml:space="preserve">Notice of Proposed Rulemaking, </w:t>
      </w:r>
      <w:r w:rsidRPr="00137E80" w:rsidR="00137E80">
        <w:t xml:space="preserve">33 FCC </w:t>
      </w:r>
      <w:r w:rsidRPr="00137E80" w:rsidR="00137E80">
        <w:t>Rcd</w:t>
      </w:r>
      <w:r w:rsidRPr="00137E80" w:rsidR="00137E80">
        <w:t xml:space="preserve"> 4152</w:t>
      </w:r>
      <w:r w:rsidR="00137E80">
        <w:t>,</w:t>
      </w:r>
      <w:r w:rsidRPr="006D2376" w:rsidR="006D2376">
        <w:t xml:space="preserve"> 4182, para. 72</w:t>
      </w:r>
      <w:r w:rsidR="00137E80">
        <w:t xml:space="preserve"> (2018)</w:t>
      </w:r>
      <w:r w:rsidRPr="006D2376" w:rsidR="006D2376">
        <w:t xml:space="preserve">. </w:t>
      </w:r>
      <w:r w:rsidR="00137E80">
        <w:t xml:space="preserve"> </w:t>
      </w:r>
      <w:r w:rsidRPr="006D2376" w:rsidR="006D2376">
        <w:t>For example, the Commission observed that there may be benefits from use of inter-satellite links in alleviating some of the difficulties faced by small satellite operators in identifying frequencies for Earth-to-space and space-to-Earth links and building or seeking out ground station infrastructure.</w:t>
      </w:r>
      <w:r w:rsidR="00137E80">
        <w:t xml:space="preserve">  </w:t>
      </w:r>
      <w:r w:rsidRPr="00137E80" w:rsidR="00137E80">
        <w:rPr>
          <w:i/>
          <w:iCs/>
        </w:rPr>
        <w:t>Id.</w:t>
      </w:r>
    </w:p>
  </w:footnote>
  <w:footnote w:id="20">
    <w:p w:rsidR="005D1CD9" w14:paraId="258AAC4A" w14:textId="5A11419C">
      <w:pPr>
        <w:pStyle w:val="FootnoteText"/>
      </w:pPr>
      <w:r>
        <w:rPr>
          <w:rStyle w:val="FootnoteReference"/>
        </w:rPr>
        <w:footnoteRef/>
      </w:r>
      <w:r>
        <w:t xml:space="preserve"> </w:t>
      </w:r>
      <w:r w:rsidRPr="00137E80" w:rsidR="00137E80">
        <w:rPr>
          <w:i/>
          <w:iCs/>
        </w:rPr>
        <w:t>Streamlining Licensing Procedures for Small Satellites</w:t>
      </w:r>
      <w:r w:rsidR="00137E80">
        <w:t xml:space="preserve">, </w:t>
      </w:r>
      <w:r w:rsidRPr="00B17FCB" w:rsidR="00137E80">
        <w:t>Report and Order</w:t>
      </w:r>
      <w:r w:rsidR="00137E80">
        <w:t xml:space="preserve">, </w:t>
      </w:r>
      <w:r w:rsidRPr="00B17FCB" w:rsidR="00137E80">
        <w:t xml:space="preserve">34 FCC </w:t>
      </w:r>
      <w:r w:rsidRPr="00B17FCB" w:rsidR="00137E80">
        <w:t>Rcd</w:t>
      </w:r>
      <w:r w:rsidRPr="00B17FCB" w:rsidR="00137E80">
        <w:t xml:space="preserve"> 13077</w:t>
      </w:r>
      <w:r w:rsidR="00137E80">
        <w:t>,</w:t>
      </w:r>
      <w:r w:rsidRPr="00137E80" w:rsidR="00137E80">
        <w:t xml:space="preserve"> 13124</w:t>
      </w:r>
      <w:r w:rsidR="00137E80">
        <w:t>, para. 115 (2019).</w:t>
      </w:r>
    </w:p>
  </w:footnote>
  <w:footnote w:id="21">
    <w:p w:rsidR="000F3950" w14:paraId="567A9509" w14:textId="3C6E61C9">
      <w:pPr>
        <w:pStyle w:val="FootnoteText"/>
      </w:pPr>
      <w:r>
        <w:rPr>
          <w:rStyle w:val="FootnoteReference"/>
        </w:rPr>
        <w:footnoteRef/>
      </w:r>
      <w:r>
        <w:t xml:space="preserve"> </w:t>
      </w:r>
      <w:r w:rsidRPr="003E11B9" w:rsidR="003E11B9">
        <w:t>ITU Radio Regulations, Article</w:t>
      </w:r>
      <w:r w:rsidR="003E11B9">
        <w:t xml:space="preserve"> 4.4</w:t>
      </w:r>
      <w:r w:rsidRPr="003E11B9" w:rsidR="003E11B9">
        <w:t>, Edition of 20</w:t>
      </w:r>
      <w:r w:rsidR="003E11B9">
        <w:t>20.</w:t>
      </w:r>
    </w:p>
  </w:footnote>
  <w:footnote w:id="22">
    <w:p w:rsidR="000F3950" w14:paraId="528D7E81" w14:textId="1FB554FD">
      <w:pPr>
        <w:pStyle w:val="FootnoteText"/>
      </w:pPr>
      <w:r>
        <w:rPr>
          <w:rStyle w:val="FootnoteReference"/>
        </w:rPr>
        <w:footnoteRef/>
      </w:r>
      <w:r w:rsidR="003E11B9">
        <w:t xml:space="preserve"> </w:t>
      </w:r>
      <w:r w:rsidRPr="00342868" w:rsidR="00342868">
        <w:t>ITU Rules of Procedure, 1.6, Rules Concerning Article 4 of the ITU R.R., Edition of 20</w:t>
      </w:r>
      <w:r w:rsidR="003E11B9">
        <w:t>21</w:t>
      </w:r>
      <w:r w:rsidRPr="00342868" w:rsidR="00342868">
        <w:t xml:space="preserve"> (+rev.2)</w:t>
      </w:r>
      <w:r w:rsidR="003E11B9">
        <w:t>.</w:t>
      </w:r>
    </w:p>
  </w:footnote>
  <w:footnote w:id="23">
    <w:p w:rsidR="000F6C60" w14:paraId="7B45E26A" w14:textId="27B2E04F">
      <w:pPr>
        <w:pStyle w:val="FootnoteText"/>
      </w:pPr>
      <w:r>
        <w:rPr>
          <w:rStyle w:val="FootnoteReference"/>
        </w:rPr>
        <w:footnoteRef/>
      </w:r>
      <w:r>
        <w:t xml:space="preserve"> An NGSO-like satellite system refers to an NGSO satellite system or an GSO MSS satellite communicating with earth stations with non-directional antennas.  </w:t>
      </w:r>
      <w:r w:rsidRPr="000F6C60">
        <w:rPr>
          <w:i/>
          <w:iCs/>
        </w:rPr>
        <w:t>See</w:t>
      </w:r>
      <w:r>
        <w:t xml:space="preserve"> </w:t>
      </w:r>
      <w:r w:rsidRPr="00515020">
        <w:t>47 CFR § 25.1</w:t>
      </w:r>
      <w:r>
        <w:t>57(a).</w:t>
      </w:r>
    </w:p>
  </w:footnote>
  <w:footnote w:id="24">
    <w:p w:rsidR="00631FB4" w:rsidRPr="001962D9" w14:paraId="47EC7B9C" w14:textId="23337094">
      <w:pPr>
        <w:pStyle w:val="FootnoteText"/>
        <w:rPr>
          <w:rFonts w:eastAsia="Segoe UI"/>
        </w:rPr>
      </w:pPr>
      <w:r>
        <w:rPr>
          <w:rStyle w:val="FootnoteReference"/>
        </w:rPr>
        <w:footnoteRef/>
      </w:r>
      <w:r w:rsidR="25DD51A6">
        <w:t xml:space="preserve"> </w:t>
      </w:r>
      <w:r w:rsidRPr="00515020" w:rsidR="25DD51A6">
        <w:t>47 CFR § 25.1</w:t>
      </w:r>
      <w:r w:rsidR="25DD51A6">
        <w:t>59(b</w:t>
      </w:r>
      <w:r w:rsidRPr="00FF55B9" w:rsidR="25DD51A6">
        <w:t xml:space="preserve">).  This rule </w:t>
      </w:r>
      <w:r w:rsidRPr="001962D9" w:rsidR="25DD51A6">
        <w:rPr>
          <w:rFonts w:eastAsia="Segoe UI"/>
        </w:rPr>
        <w:t xml:space="preserve">does not prevent the filing of an application for transfer of control or assignment of licenses, even if the combined entities would not meet the limits on pending applications and unbuilt stations.  </w:t>
      </w:r>
      <w:r w:rsidRPr="001962D9" w:rsidR="25DD51A6">
        <w:rPr>
          <w:rFonts w:eastAsia="Segoe UI"/>
          <w:i/>
          <w:iCs/>
        </w:rPr>
        <w:t>See Amendment of the Commission’s Space Station Licensing Rules and Policies</w:t>
      </w:r>
      <w:r w:rsidRPr="001962D9" w:rsidR="25DD51A6">
        <w:rPr>
          <w:rFonts w:eastAsia="Segoe UI"/>
        </w:rPr>
        <w:t xml:space="preserve">, Second Order on Reconsideration, 31 FCC </w:t>
      </w:r>
      <w:r w:rsidRPr="001962D9" w:rsidR="25DD51A6">
        <w:rPr>
          <w:rFonts w:eastAsia="Segoe UI"/>
        </w:rPr>
        <w:t>Rcd</w:t>
      </w:r>
      <w:r w:rsidRPr="001962D9" w:rsidR="25DD51A6">
        <w:rPr>
          <w:rFonts w:eastAsia="Segoe UI"/>
        </w:rPr>
        <w:t xml:space="preserve"> 9398</w:t>
      </w:r>
      <w:r w:rsidR="00F002D7">
        <w:rPr>
          <w:rFonts w:eastAsia="Segoe UI"/>
        </w:rPr>
        <w:t xml:space="preserve">, </w:t>
      </w:r>
      <w:r w:rsidRPr="00F002D7" w:rsidR="00F002D7">
        <w:rPr>
          <w:rFonts w:eastAsia="Segoe UI"/>
        </w:rPr>
        <w:t>9409</w:t>
      </w:r>
      <w:r w:rsidR="00F002D7">
        <w:rPr>
          <w:rFonts w:eastAsia="Segoe UI"/>
        </w:rPr>
        <w:t>,</w:t>
      </w:r>
      <w:r w:rsidRPr="00F002D7" w:rsidR="00F002D7">
        <w:rPr>
          <w:rFonts w:eastAsia="Segoe UI"/>
        </w:rPr>
        <w:t xml:space="preserve"> </w:t>
      </w:r>
      <w:r w:rsidR="00F002D7">
        <w:rPr>
          <w:rFonts w:eastAsia="Segoe UI"/>
        </w:rPr>
        <w:t>para.</w:t>
      </w:r>
      <w:r w:rsidRPr="001962D9" w:rsidR="25DD51A6">
        <w:rPr>
          <w:rFonts w:eastAsia="Segoe UI"/>
        </w:rPr>
        <w:t xml:space="preserve"> 22 (2016).</w:t>
      </w:r>
    </w:p>
  </w:footnote>
  <w:footnote w:id="25">
    <w:p w:rsidR="00A56D33" w14:paraId="38F608A7" w14:textId="09E28383">
      <w:pPr>
        <w:pStyle w:val="FootnoteText"/>
      </w:pPr>
      <w:r>
        <w:rPr>
          <w:rStyle w:val="FootnoteReference"/>
        </w:rPr>
        <w:footnoteRef/>
      </w:r>
      <w:r>
        <w:t xml:space="preserve"> </w:t>
      </w:r>
      <w:r w:rsidRPr="005B3D42" w:rsidR="00C64049">
        <w:rPr>
          <w:i/>
          <w:iCs/>
        </w:rPr>
        <w:t>Space Station Licensing Reform Order</w:t>
      </w:r>
      <w:r>
        <w:t xml:space="preserve">, </w:t>
      </w:r>
      <w:r w:rsidRPr="001809D2" w:rsidR="00C64049">
        <w:t xml:space="preserve">18 FCC </w:t>
      </w:r>
      <w:r w:rsidRPr="001809D2" w:rsidR="00C64049">
        <w:t>Rcd</w:t>
      </w:r>
      <w:r w:rsidRPr="001809D2" w:rsidR="00C64049">
        <w:t xml:space="preserve"> </w:t>
      </w:r>
      <w:r>
        <w:t>at</w:t>
      </w:r>
      <w:r w:rsidR="00383503">
        <w:t xml:space="preserve"> </w:t>
      </w:r>
      <w:r w:rsidRPr="00383503" w:rsidR="00383503">
        <w:t>10847</w:t>
      </w:r>
      <w:r>
        <w:t xml:space="preserve">, para. </w:t>
      </w:r>
      <w:r w:rsidRPr="00A56D33">
        <w:t>230</w:t>
      </w:r>
      <w:r>
        <w:t>.</w:t>
      </w:r>
    </w:p>
  </w:footnote>
  <w:footnote w:id="26">
    <w:p w:rsidR="00C7376C" w14:paraId="254944C9" w14:textId="79CD7BC1">
      <w:pPr>
        <w:pStyle w:val="FootnoteText"/>
      </w:pPr>
      <w:r>
        <w:rPr>
          <w:rStyle w:val="FootnoteReference"/>
        </w:rPr>
        <w:footnoteRef/>
      </w:r>
      <w:r>
        <w:t xml:space="preserve"> </w:t>
      </w:r>
      <w:r w:rsidRPr="00A96ECB">
        <w:rPr>
          <w:i/>
          <w:iCs/>
        </w:rPr>
        <w:t>See Revising Spectrum Sharing Rules for Non- Geostationary Orbit, Fixed-Satellite Service Systems</w:t>
      </w:r>
      <w:r w:rsidR="007C050E">
        <w:rPr>
          <w:i/>
          <w:iCs/>
        </w:rPr>
        <w:t>;</w:t>
      </w:r>
      <w:r w:rsidRPr="00A96ECB">
        <w:rPr>
          <w:i/>
          <w:iCs/>
        </w:rPr>
        <w:t xml:space="preserve"> Revision of Section 25.261 of the Commission’s Rules to Increase Certainty in Spectrum Sharing Obligations Among Non-Geostationary Orbit Fixed-Satellite Service Systems</w:t>
      </w:r>
      <w:r>
        <w:t xml:space="preserve">, </w:t>
      </w:r>
      <w:r w:rsidR="00943F97">
        <w:t xml:space="preserve">Order and Notice of Proposed Rulemaking, </w:t>
      </w:r>
      <w:r w:rsidRPr="00BE77A1" w:rsidR="00BE77A1">
        <w:t>FCC</w:t>
      </w:r>
      <w:r w:rsidR="00BE77A1">
        <w:t xml:space="preserve"> </w:t>
      </w:r>
      <w:r w:rsidRPr="00BE77A1" w:rsidR="00BE77A1">
        <w:t>21-123</w:t>
      </w:r>
      <w:r w:rsidR="00BE77A1">
        <w:t xml:space="preserve">, </w:t>
      </w:r>
      <w:r>
        <w:t>para. 2 (202</w:t>
      </w:r>
      <w:r w:rsidR="005B795A">
        <w:t>1</w:t>
      </w:r>
      <w:r>
        <w:t>).</w:t>
      </w:r>
    </w:p>
  </w:footnote>
  <w:footnote w:id="27">
    <w:p w:rsidR="00CD7D55" w14:paraId="322AB57D" w14:textId="4756F0F2">
      <w:pPr>
        <w:pStyle w:val="FootnoteText"/>
      </w:pPr>
      <w:r>
        <w:rPr>
          <w:rStyle w:val="FootnoteReference"/>
        </w:rPr>
        <w:footnoteRef/>
      </w:r>
      <w:r>
        <w:t xml:space="preserve"> </w:t>
      </w:r>
      <w:r w:rsidRPr="00B92E61" w:rsidR="00F32510">
        <w:rPr>
          <w:i/>
          <w:iCs/>
        </w:rPr>
        <w:t xml:space="preserve">Part 25 </w:t>
      </w:r>
      <w:r w:rsidR="00F32510">
        <w:rPr>
          <w:i/>
          <w:iCs/>
        </w:rPr>
        <w:t xml:space="preserve">Streamlining </w:t>
      </w:r>
      <w:r w:rsidRPr="00B92E61" w:rsidR="00F32510">
        <w:rPr>
          <w:i/>
          <w:iCs/>
        </w:rPr>
        <w:t>Second Report and Order</w:t>
      </w:r>
      <w:r w:rsidR="00F32510">
        <w:t xml:space="preserve">, 30 FCC </w:t>
      </w:r>
      <w:r w:rsidR="00F32510">
        <w:t>Rcd</w:t>
      </w:r>
      <w:r w:rsidR="00F32510">
        <w:t xml:space="preserve"> at </w:t>
      </w:r>
      <w:r w:rsidRPr="00F971DC" w:rsidR="00F971DC">
        <w:t>14761</w:t>
      </w:r>
      <w:r w:rsidR="00F32510">
        <w:t>, p</w:t>
      </w:r>
      <w:r w:rsidR="004A163F">
        <w:t>ara. 134.</w:t>
      </w:r>
    </w:p>
  </w:footnote>
  <w:footnote w:id="28">
    <w:p w:rsidR="004C31C4" w:rsidP="004C31C4" w14:paraId="3AF650DF" w14:textId="77777777">
      <w:pPr>
        <w:pStyle w:val="FootnoteText"/>
      </w:pPr>
      <w:r>
        <w:rPr>
          <w:rStyle w:val="FootnoteReference"/>
        </w:rPr>
        <w:footnoteRef/>
      </w:r>
      <w:r>
        <w:t xml:space="preserve"> </w:t>
      </w:r>
      <w:r w:rsidRPr="00DD124F">
        <w:rPr>
          <w:i/>
          <w:iCs/>
        </w:rPr>
        <w:t>International Bureau Announces Expected Processing Times for Earth Station Applications</w:t>
      </w:r>
      <w:r>
        <w:t xml:space="preserve">, Public Notice, </w:t>
      </w:r>
      <w:r w:rsidRPr="00897757">
        <w:t xml:space="preserve">31 FCC </w:t>
      </w:r>
      <w:r w:rsidRPr="00897757">
        <w:t>Rcd</w:t>
      </w:r>
      <w:r w:rsidRPr="00897757">
        <w:t xml:space="preserve"> 6854 </w:t>
      </w:r>
      <w:r>
        <w:t>(IB-SD rel. June 14, 2016).</w:t>
      </w:r>
    </w:p>
  </w:footnote>
  <w:footnote w:id="29">
    <w:p w:rsidR="0001004D" w14:paraId="4683D17F" w14:textId="7500E156">
      <w:pPr>
        <w:pStyle w:val="FootnoteText"/>
      </w:pPr>
      <w:r>
        <w:rPr>
          <w:rStyle w:val="FootnoteReference"/>
        </w:rPr>
        <w:footnoteRef/>
      </w:r>
      <w:r>
        <w:t xml:space="preserve"> We note that in some instances, interested parties may object to the Commission’s accepting a particular application for filing.</w:t>
      </w:r>
    </w:p>
  </w:footnote>
  <w:footnote w:id="30">
    <w:p w:rsidR="00CA6961" w:rsidP="00CA6961" w14:paraId="5160EB00" w14:textId="6C879ECB">
      <w:pPr>
        <w:pStyle w:val="FootnoteText"/>
      </w:pPr>
      <w:r>
        <w:rPr>
          <w:rStyle w:val="FootnoteReference"/>
        </w:rPr>
        <w:footnoteRef/>
      </w:r>
      <w:r>
        <w:t xml:space="preserve"> </w:t>
      </w:r>
      <w:r w:rsidRPr="00E07467">
        <w:rPr>
          <w:i/>
          <w:iCs/>
        </w:rPr>
        <w:t>See</w:t>
      </w:r>
      <w:r>
        <w:t xml:space="preserve"> Letter from Jameson Dempsey, Principal, Satellite Policy, Space Exploration Technologies Corp., to Marlene H. Dortch, Secretary, FCC, at 2-3 (filed Dec. 14, 2022) (</w:t>
      </w:r>
      <w:r w:rsidRPr="00E07467">
        <w:rPr>
          <w:i/>
          <w:iCs/>
        </w:rPr>
        <w:t xml:space="preserve">SpaceX Ex </w:t>
      </w:r>
      <w:r w:rsidRPr="00E07467">
        <w:rPr>
          <w:i/>
          <w:iCs/>
        </w:rPr>
        <w:t>Parte</w:t>
      </w:r>
      <w:r>
        <w:t>).</w:t>
      </w:r>
    </w:p>
  </w:footnote>
  <w:footnote w:id="31">
    <w:p w:rsidR="00020D94" w:rsidRPr="006E22BD" w14:paraId="591ECAD1" w14:textId="0AECEF42">
      <w:pPr>
        <w:pStyle w:val="FootnoteText"/>
      </w:pPr>
      <w:r>
        <w:rPr>
          <w:rStyle w:val="FootnoteReference"/>
        </w:rPr>
        <w:footnoteRef/>
      </w:r>
      <w:r>
        <w:t xml:space="preserve"> </w:t>
      </w:r>
      <w:r w:rsidRPr="00E07467">
        <w:rPr>
          <w:i/>
          <w:iCs/>
        </w:rPr>
        <w:t>See id.</w:t>
      </w:r>
      <w:r w:rsidR="006E22BD">
        <w:t xml:space="preserve"> at 3.</w:t>
      </w:r>
    </w:p>
  </w:footnote>
  <w:footnote w:id="32">
    <w:p w:rsidR="00B5568B" w:rsidP="00B5568B" w14:paraId="7A356B66" w14:textId="2EA2E479">
      <w:pPr>
        <w:pStyle w:val="FootnoteText"/>
      </w:pPr>
      <w:r>
        <w:rPr>
          <w:rStyle w:val="FootnoteReference"/>
        </w:rPr>
        <w:footnoteRef/>
      </w:r>
      <w:r>
        <w:t xml:space="preserve"> </w:t>
      </w:r>
      <w:r w:rsidRPr="00E07467">
        <w:rPr>
          <w:i/>
          <w:iCs/>
        </w:rPr>
        <w:t>See</w:t>
      </w:r>
      <w:r>
        <w:t xml:space="preserve"> Letter from Paul </w:t>
      </w:r>
      <w:r>
        <w:t>Caritj</w:t>
      </w:r>
      <w:r>
        <w:t>, Counsel to Microsoft Corporation, to Marlene H. Dortch, Secretary, FCC, at 2 (filed Dec. 14, 2022) (</w:t>
      </w:r>
      <w:r w:rsidRPr="00E07467">
        <w:rPr>
          <w:i/>
          <w:iCs/>
        </w:rPr>
        <w:t xml:space="preserve">Microsoft Ex </w:t>
      </w:r>
      <w:r w:rsidRPr="00E07467">
        <w:rPr>
          <w:i/>
          <w:iCs/>
        </w:rPr>
        <w:t>Parte</w:t>
      </w:r>
      <w:r>
        <w:t>).</w:t>
      </w:r>
    </w:p>
  </w:footnote>
  <w:footnote w:id="33">
    <w:p w:rsidR="00B03AD4" w14:paraId="51D39BDE" w14:textId="0B600487">
      <w:pPr>
        <w:pStyle w:val="FootnoteText"/>
      </w:pPr>
      <w:r>
        <w:rPr>
          <w:rStyle w:val="FootnoteReference"/>
        </w:rPr>
        <w:footnoteRef/>
      </w:r>
      <w:r>
        <w:t xml:space="preserve"> </w:t>
      </w:r>
      <w:r w:rsidRPr="00084326">
        <w:rPr>
          <w:i/>
          <w:iCs/>
        </w:rPr>
        <w:t>See</w:t>
      </w:r>
      <w:r>
        <w:t xml:space="preserve"> </w:t>
      </w:r>
      <w:r w:rsidR="00230132">
        <w:rPr>
          <w:i/>
          <w:iCs/>
        </w:rPr>
        <w:t>id.</w:t>
      </w:r>
      <w:r>
        <w:t xml:space="preserve"> at 1.</w:t>
      </w:r>
    </w:p>
  </w:footnote>
  <w:footnote w:id="34">
    <w:p w:rsidR="00B5568B" w14:paraId="24374903" w14:textId="4E5F0162">
      <w:pPr>
        <w:pStyle w:val="FootnoteText"/>
      </w:pPr>
      <w:r>
        <w:rPr>
          <w:rStyle w:val="FootnoteReference"/>
        </w:rPr>
        <w:footnoteRef/>
      </w:r>
      <w:r>
        <w:t xml:space="preserve"> </w:t>
      </w:r>
      <w:r w:rsidRPr="00E07467">
        <w:rPr>
          <w:i/>
          <w:iCs/>
        </w:rPr>
        <w:t>See</w:t>
      </w:r>
      <w:r>
        <w:t xml:space="preserve"> </w:t>
      </w:r>
      <w:r w:rsidRPr="00E07467" w:rsidR="007002E4">
        <w:rPr>
          <w:i/>
          <w:iCs/>
        </w:rPr>
        <w:t>generally</w:t>
      </w:r>
      <w:r w:rsidR="007002E4">
        <w:t xml:space="preserve"> </w:t>
      </w:r>
      <w:r w:rsidR="00B03AD4">
        <w:rPr>
          <w:i/>
          <w:iCs/>
        </w:rPr>
        <w:t>id.</w:t>
      </w:r>
      <w:r>
        <w:t xml:space="preserve"> at 1-2.</w:t>
      </w:r>
    </w:p>
  </w:footnote>
  <w:footnote w:id="35">
    <w:p w:rsidR="00B5568B" w14:paraId="41DAE8F1" w14:textId="6ECF3B8C">
      <w:pPr>
        <w:pStyle w:val="FootnoteText"/>
      </w:pPr>
      <w:r>
        <w:rPr>
          <w:rStyle w:val="FootnoteReference"/>
        </w:rPr>
        <w:footnoteRef/>
      </w:r>
      <w:r>
        <w:t xml:space="preserve"> </w:t>
      </w:r>
      <w:r w:rsidRPr="00E07467">
        <w:rPr>
          <w:i/>
          <w:iCs/>
        </w:rPr>
        <w:t>See</w:t>
      </w:r>
      <w:r>
        <w:t xml:space="preserve"> </w:t>
      </w:r>
      <w:r w:rsidRPr="00E07467" w:rsidR="00E97D95">
        <w:rPr>
          <w:i/>
          <w:iCs/>
        </w:rPr>
        <w:t>generally</w:t>
      </w:r>
      <w:r w:rsidR="00E97D95">
        <w:t xml:space="preserve"> </w:t>
      </w:r>
      <w:r w:rsidRPr="00E07467">
        <w:rPr>
          <w:i/>
          <w:iCs/>
        </w:rPr>
        <w:t>id.</w:t>
      </w:r>
      <w:r>
        <w:t xml:space="preserve"> at 2.</w:t>
      </w:r>
    </w:p>
  </w:footnote>
  <w:footnote w:id="36">
    <w:p w:rsidR="00B5568B" w14:paraId="388B3A40" w14:textId="4C80A281">
      <w:pPr>
        <w:pStyle w:val="FootnoteText"/>
      </w:pPr>
      <w:r>
        <w:rPr>
          <w:rStyle w:val="FootnoteReference"/>
        </w:rPr>
        <w:footnoteRef/>
      </w:r>
      <w:r>
        <w:t xml:space="preserve"> </w:t>
      </w:r>
      <w:r w:rsidRPr="00084326">
        <w:rPr>
          <w:i/>
          <w:iCs/>
        </w:rPr>
        <w:t>See</w:t>
      </w:r>
      <w:r>
        <w:t xml:space="preserve"> </w:t>
      </w:r>
      <w:r w:rsidRPr="00084326">
        <w:rPr>
          <w:i/>
          <w:iCs/>
        </w:rPr>
        <w:t>id.</w:t>
      </w:r>
    </w:p>
  </w:footnote>
  <w:footnote w:id="37">
    <w:p w:rsidR="00B5568B" w14:paraId="0A91472C" w14:textId="793EA1C5">
      <w:pPr>
        <w:pStyle w:val="FootnoteText"/>
      </w:pPr>
      <w:r>
        <w:rPr>
          <w:rStyle w:val="FootnoteReference"/>
        </w:rPr>
        <w:footnoteRef/>
      </w:r>
      <w:r>
        <w:t xml:space="preserve"> </w:t>
      </w:r>
      <w:r w:rsidRPr="00084326">
        <w:rPr>
          <w:i/>
          <w:iCs/>
        </w:rPr>
        <w:t>See</w:t>
      </w:r>
      <w:r>
        <w:t xml:space="preserve"> </w:t>
      </w:r>
      <w:r w:rsidRPr="00E07467" w:rsidR="007002E4">
        <w:rPr>
          <w:i/>
          <w:iCs/>
        </w:rPr>
        <w:t>generally</w:t>
      </w:r>
      <w:r w:rsidR="007002E4">
        <w:t xml:space="preserve"> </w:t>
      </w:r>
      <w:r w:rsidRPr="00084326">
        <w:rPr>
          <w:i/>
          <w:iCs/>
        </w:rPr>
        <w:t>id.</w:t>
      </w:r>
    </w:p>
  </w:footnote>
  <w:footnote w:id="38">
    <w:p w:rsidR="005F57B9" w14:paraId="013E852E" w14:textId="12248775">
      <w:pPr>
        <w:pStyle w:val="FootnoteText"/>
      </w:pPr>
      <w:r>
        <w:rPr>
          <w:rStyle w:val="FootnoteReference"/>
        </w:rPr>
        <w:footnoteRef/>
      </w:r>
      <w:r>
        <w:t xml:space="preserve"> </w:t>
      </w:r>
      <w:r w:rsidRPr="00E07467">
        <w:rPr>
          <w:i/>
          <w:iCs/>
        </w:rPr>
        <w:t xml:space="preserve">See SpaceX Ex </w:t>
      </w:r>
      <w:r w:rsidRPr="00E07467">
        <w:rPr>
          <w:i/>
          <w:iCs/>
        </w:rPr>
        <w:t>Parte</w:t>
      </w:r>
      <w:r>
        <w:t xml:space="preserve"> at 2.</w:t>
      </w:r>
    </w:p>
  </w:footnote>
  <w:footnote w:id="39">
    <w:p w:rsidR="00CB527F" w:rsidRPr="00327C10" w:rsidP="00CB527F" w14:paraId="049ED958" w14:textId="77777777">
      <w:pPr>
        <w:pStyle w:val="FootnoteText"/>
        <w:widowControl w:val="0"/>
      </w:pPr>
      <w:r w:rsidRPr="00327C10">
        <w:rPr>
          <w:rStyle w:val="FootnoteReference"/>
        </w:rPr>
        <w:footnoteRef/>
      </w:r>
      <w:r w:rsidRPr="00327C10">
        <w:t xml:space="preserve"> Section 1 of the Communications Act of 1934 as amended provides that the FCC “</w:t>
      </w:r>
      <w:r w:rsidRPr="00327C10">
        <w:t>regulat</w:t>
      </w:r>
      <w:r w:rsidRPr="00327C10">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40">
    <w:p w:rsidR="00CB527F" w:rsidRPr="00327C10" w:rsidP="00CB527F" w14:paraId="5D04AF74" w14:textId="77777777">
      <w:pPr>
        <w:pStyle w:val="FootnoteText"/>
        <w:widowControl w:val="0"/>
      </w:pPr>
      <w:r w:rsidRPr="00327C10">
        <w:rPr>
          <w:rStyle w:val="FootnoteReference"/>
        </w:rPr>
        <w:footnoteRef/>
      </w:r>
      <w:r w:rsidRPr="00327C10">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27C10">
        <w:rPr>
          <w:i/>
          <w:iCs/>
        </w:rPr>
        <w:t>See</w:t>
      </w:r>
      <w:r w:rsidRPr="00327C10">
        <w:t xml:space="preserve"> Exec. Order No. 13985, 86 Fed. Reg. 7009, Executive Order on Advancing Racial Equity and Support for Underserved Communities Through the Federal Government (January 20, 2021).</w:t>
      </w:r>
    </w:p>
  </w:footnote>
  <w:footnote w:id="41">
    <w:p w:rsidR="00CB527F" w:rsidRPr="00327C10" w:rsidP="00CB527F" w14:paraId="6CF50CD0" w14:textId="77777777">
      <w:pPr>
        <w:pStyle w:val="FootnoteText"/>
        <w:widowControl w:val="0"/>
      </w:pPr>
      <w:r w:rsidRPr="00327C10">
        <w:rPr>
          <w:rStyle w:val="FootnoteReference"/>
        </w:rPr>
        <w:footnoteRef/>
      </w:r>
      <w:r w:rsidRPr="00327C10">
        <w:t xml:space="preserve"> 47 CFR §§ 1.1200 </w:t>
      </w:r>
      <w:r w:rsidRPr="00327C10">
        <w:rPr>
          <w:i/>
        </w:rPr>
        <w:t>et seq.</w:t>
      </w:r>
    </w:p>
  </w:footnote>
  <w:footnote w:id="42">
    <w:p w:rsidR="00CB527F" w:rsidP="00CB527F" w14:paraId="0FF97EDA" w14:textId="77777777">
      <w:pPr>
        <w:pStyle w:val="FootnoteText"/>
        <w:widowControl w:val="0"/>
      </w:pPr>
      <w:r>
        <w:rPr>
          <w:rStyle w:val="FootnoteReference"/>
        </w:rPr>
        <w:footnoteRef/>
      </w:r>
      <w:r>
        <w:t xml:space="preserve"> </w:t>
      </w:r>
      <w:r w:rsidRPr="00327C10">
        <w:rPr>
          <w:i/>
          <w:iCs/>
        </w:rPr>
        <w:t>See</w:t>
      </w:r>
      <w:r w:rsidRPr="00327C10">
        <w:t xml:space="preserve"> </w:t>
      </w:r>
      <w:r w:rsidRPr="00327C10">
        <w:rPr>
          <w:i/>
          <w:iCs/>
        </w:rPr>
        <w:t>FCC Announces Closure of FCC Headquarters Open Window and Change in Hand-Delivery Policy</w:t>
      </w:r>
      <w:r w:rsidRPr="00327C10">
        <w:t xml:space="preserve">, Public Notice, 35 FCC </w:t>
      </w:r>
      <w:r w:rsidRPr="00327C10">
        <w:t>Rcd</w:t>
      </w:r>
      <w:r w:rsidRPr="00327C10">
        <w:t xml:space="preserve"> 2788 (2020).</w:t>
      </w:r>
    </w:p>
  </w:footnote>
  <w:footnote w:id="43">
    <w:p w:rsidR="00CB527F" w:rsidRPr="00327C10" w:rsidP="00CB527F" w14:paraId="71842B43" w14:textId="77777777">
      <w:pPr>
        <w:pStyle w:val="FootnoteText"/>
        <w:widowControl w:val="0"/>
      </w:pPr>
      <w:r w:rsidRPr="00327C10">
        <w:rPr>
          <w:rStyle w:val="FootnoteReference"/>
        </w:rPr>
        <w:footnoteRef/>
      </w:r>
      <w:r w:rsidRPr="00327C10">
        <w:t xml:space="preserve"> 5 U.S.C. § 603.</w:t>
      </w:r>
    </w:p>
  </w:footnote>
  <w:footnote w:id="44">
    <w:p w:rsidR="00CB527F" w:rsidRPr="00327C10" w:rsidP="00CB527F" w14:paraId="767CA0C6" w14:textId="77777777">
      <w:pPr>
        <w:pStyle w:val="FootnoteText"/>
        <w:widowControl w:val="0"/>
      </w:pPr>
      <w:r w:rsidRPr="00327C10">
        <w:rPr>
          <w:rStyle w:val="FootnoteReference"/>
        </w:rPr>
        <w:footnoteRef/>
      </w:r>
      <w:r w:rsidRPr="00327C10">
        <w:t xml:space="preserve"> </w:t>
      </w:r>
      <w:r w:rsidRPr="00327C10">
        <w:rPr>
          <w:i/>
        </w:rPr>
        <w:t>Id</w:t>
      </w:r>
      <w:r w:rsidRPr="00327C10">
        <w:t xml:space="preserve">. </w:t>
      </w:r>
      <w:r w:rsidRPr="00327C10">
        <w:rPr>
          <w:spacing w:val="-2"/>
        </w:rPr>
        <w:t>§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w:t>
      </w:r>
      <w:r w:rsidRPr="00327C10">
        <w:t xml:space="preserve"> § 601(3)</w:t>
      </w:r>
      <w:r w:rsidRPr="00327C10">
        <w:rPr>
          <w:spacing w:val="-2"/>
        </w:rPr>
        <w:t>.</w:t>
      </w:r>
    </w:p>
  </w:footnote>
  <w:footnote w:id="45">
    <w:p w:rsidR="00CB527F" w:rsidRPr="00327C10" w:rsidP="00CB527F" w14:paraId="2630BA73" w14:textId="77777777">
      <w:pPr>
        <w:pStyle w:val="FootnoteText"/>
        <w:widowControl w:val="0"/>
      </w:pPr>
      <w:r w:rsidRPr="00327C10">
        <w:rPr>
          <w:rStyle w:val="FootnoteReference"/>
        </w:rPr>
        <w:footnoteRef/>
      </w:r>
      <w:r w:rsidRPr="00327C10">
        <w:t xml:space="preserve"> 15 U.S.C. § 632.</w:t>
      </w:r>
    </w:p>
  </w:footnote>
  <w:footnote w:id="46">
    <w:p w:rsidR="00D2177C" w:rsidP="00D2177C" w14:paraId="14B2F20F" w14:textId="77777777">
      <w:pPr>
        <w:pStyle w:val="FootnoteText"/>
      </w:pPr>
      <w:r>
        <w:rPr>
          <w:rStyle w:val="FootnoteReference"/>
          <w:color w:val="000000"/>
        </w:rPr>
        <w:footnoteRef/>
      </w:r>
      <w:r>
        <w:rPr>
          <w:i/>
        </w:rPr>
        <w:t xml:space="preserve"> See</w:t>
      </w:r>
      <w:r>
        <w:t xml:space="preserve"> 5 U.S.C. § 603.  The RFA, </w:t>
      </w:r>
      <w:r>
        <w:rPr>
          <w:i/>
        </w:rPr>
        <w:t xml:space="preserve">see </w:t>
      </w:r>
      <w:r>
        <w:t xml:space="preserve">5 U.S.C. § 601 </w:t>
      </w:r>
      <w:r>
        <w:rPr>
          <w:i/>
        </w:rPr>
        <w:t>et seq.</w:t>
      </w:r>
      <w:r>
        <w:t xml:space="preserve">, has been amended by the Small Business Regulatory Enforcement Fairness Act of 1996 (SBREFA), Pub. L. No. 104-121, Title II, 110 Stat. 857 (1996).  </w:t>
      </w:r>
    </w:p>
  </w:footnote>
  <w:footnote w:id="47">
    <w:p w:rsidR="00D2177C" w:rsidP="00D2177C" w14:paraId="2FFCE013" w14:textId="77777777">
      <w:pPr>
        <w:pStyle w:val="FootnoteText"/>
      </w:pPr>
      <w:r>
        <w:rPr>
          <w:rStyle w:val="FootnoteReference"/>
        </w:rPr>
        <w:footnoteRef/>
      </w:r>
      <w:r>
        <w:rPr>
          <w:i/>
        </w:rPr>
        <w:t xml:space="preserve"> See</w:t>
      </w:r>
      <w:r>
        <w:t xml:space="preserve"> 5 U.S.C. § 603(a).</w:t>
      </w:r>
    </w:p>
  </w:footnote>
  <w:footnote w:id="48">
    <w:p w:rsidR="00D2177C" w:rsidP="00D2177C" w14:paraId="132CFC57" w14:textId="77777777">
      <w:pPr>
        <w:pStyle w:val="FootnoteText"/>
      </w:pPr>
      <w:r>
        <w:rPr>
          <w:rStyle w:val="FootnoteReference"/>
        </w:rPr>
        <w:footnoteRef/>
      </w:r>
      <w:r>
        <w:t xml:space="preserve"> </w:t>
      </w:r>
      <w:r>
        <w:rPr>
          <w:i/>
        </w:rPr>
        <w:t>Id.</w:t>
      </w:r>
      <w:r>
        <w:t xml:space="preserve"> </w:t>
      </w:r>
    </w:p>
  </w:footnote>
  <w:footnote w:id="49">
    <w:p w:rsidR="00D2177C" w:rsidP="00D2177C" w14:paraId="338F827D" w14:textId="77777777">
      <w:pPr>
        <w:pStyle w:val="FootnoteText"/>
      </w:pPr>
      <w:r>
        <w:rPr>
          <w:rStyle w:val="FootnoteReference"/>
        </w:rPr>
        <w:footnoteRef/>
      </w:r>
      <w:r>
        <w:t xml:space="preserve"> 5 U.S.C. § 603(b)(3)</w:t>
      </w:r>
    </w:p>
  </w:footnote>
  <w:footnote w:id="50">
    <w:p w:rsidR="00D2177C" w:rsidP="00D2177C" w14:paraId="238DB1E1" w14:textId="77777777">
      <w:pPr>
        <w:pStyle w:val="FootnoteText"/>
      </w:pPr>
      <w:r>
        <w:rPr>
          <w:rStyle w:val="FootnoteReference"/>
          <w:color w:val="000000"/>
        </w:rPr>
        <w:footnoteRef/>
      </w:r>
      <w:r>
        <w:t xml:space="preserve"> 5 U.S.C. § 601(6).  </w:t>
      </w:r>
    </w:p>
  </w:footnote>
  <w:footnote w:id="51">
    <w:p w:rsidR="00D2177C" w:rsidP="00D2177C" w14:paraId="0DEDCE9F" w14:textId="77777777">
      <w:pPr>
        <w:pStyle w:val="FootnoteText"/>
      </w:pPr>
      <w:r>
        <w:rPr>
          <w:rStyle w:val="FootnoteReference"/>
          <w:color w:val="000000"/>
        </w:rPr>
        <w:footnoteRef/>
      </w:r>
      <w: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2">
    <w:p w:rsidR="00D2177C" w:rsidP="00D2177C" w14:paraId="771C60FB" w14:textId="0CE797FF">
      <w:pPr>
        <w:pStyle w:val="FootnoteText"/>
      </w:pPr>
      <w:r>
        <w:rPr>
          <w:rStyle w:val="FootnoteReference"/>
          <w:color w:val="000000"/>
        </w:rPr>
        <w:footnoteRef/>
      </w:r>
      <w:r>
        <w:t xml:space="preserve"> Small Business Act, 15 U.S.C. § 632 (1996).</w:t>
      </w:r>
    </w:p>
  </w:footnote>
  <w:footnote w:id="53">
    <w:p w:rsidR="00D2177C" w:rsidRPr="00C43F7F" w:rsidP="00D2177C" w14:paraId="16C1785E"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w:t>
      </w:r>
      <w:r w:rsidRPr="0048443E">
        <w:t xml:space="preserve"> </w:t>
      </w:r>
      <w:hyperlink r:id="rId1" w:history="1">
        <w:r w:rsidRPr="0008684B">
          <w:rPr>
            <w:rStyle w:val="Hyperlink"/>
          </w:rPr>
          <w:t>https://www.census.gov/naics/?input=517410&amp;year=2017&amp;details=517</w:t>
        </w:r>
        <w:r w:rsidRPr="001F506E">
          <w:rPr>
            <w:rStyle w:val="Hyperlink"/>
          </w:rPr>
          <w:t>410</w:t>
        </w:r>
      </w:hyperlink>
      <w:r>
        <w:t>.</w:t>
      </w:r>
      <w:r w:rsidRPr="00C14537">
        <w:rPr>
          <w:i/>
          <w:iCs/>
        </w:rPr>
        <w:t xml:space="preserve"> </w:t>
      </w:r>
    </w:p>
  </w:footnote>
  <w:footnote w:id="54">
    <w:p w:rsidR="00D2177C" w:rsidRPr="001B5DD6" w:rsidP="00D2177C" w14:paraId="1733794E"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55">
    <w:p w:rsidR="00D2177C" w:rsidRPr="00C43F7F" w:rsidP="00D2177C" w14:paraId="2CC15FEE"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r w:rsidRPr="00CE41BE">
        <w:rPr>
          <w:i/>
          <w:iCs/>
        </w:rPr>
        <w:t xml:space="preserve">Information: Subject Series - </w:t>
      </w:r>
      <w:r w:rsidRPr="00CE41BE">
        <w:rPr>
          <w:i/>
          <w:iCs/>
        </w:rPr>
        <w:t>Estab</w:t>
      </w:r>
      <w:r w:rsidRPr="00CE41BE">
        <w:rPr>
          <w:i/>
          <w:iCs/>
        </w:rPr>
        <w:t xml:space="preserve"> and Firm Size: </w:t>
      </w:r>
      <w:r w:rsidRPr="00CE41BE">
        <w:rPr>
          <w:bCs/>
          <w:i/>
          <w:iCs/>
        </w:rPr>
        <w:t>Receipts Size of Firms for the</w:t>
      </w:r>
      <w:r>
        <w:rPr>
          <w:bCs/>
          <w:i/>
          <w:iCs/>
        </w:rPr>
        <w:t xml:space="preserve"> U.S.</w:t>
      </w:r>
      <w:r w:rsidRPr="00CE41BE">
        <w:rPr>
          <w:bCs/>
          <w:i/>
          <w:iCs/>
        </w:rPr>
        <w:t>:</w:t>
      </w:r>
      <w:r>
        <w:rPr>
          <w:bCs/>
          <w:i/>
          <w:iCs/>
        </w:rPr>
        <w:t xml:space="preserve"> </w:t>
      </w:r>
      <w:r w:rsidRPr="00CE41BE">
        <w:rPr>
          <w:bCs/>
          <w:i/>
          <w:iCs/>
        </w:rPr>
        <w:t>2012</w:t>
      </w:r>
      <w:r w:rsidRPr="001B5DD6">
        <w:t>,</w:t>
      </w:r>
      <w:r w:rsidRPr="00C43F7F">
        <w:t xml:space="preserve"> NAICS </w:t>
      </w:r>
      <w:r>
        <w:t>C</w:t>
      </w:r>
      <w:r w:rsidRPr="00C43F7F">
        <w:t>ode 517410</w:t>
      </w:r>
      <w:r>
        <w:t xml:space="preserve">, </w:t>
      </w:r>
      <w:hyperlink r:id="rId2" w:history="1">
        <w:r>
          <w:rPr>
            <w:rStyle w:val="Hyperlink"/>
          </w:rPr>
          <w:t>https://data.census.gov/cedsci/table?text=EC1251SSSZ4&amp;n=517410&amp;tid=ECNSIZE2012.EC1251SSSZ4&amp;hidePreview=false&amp;vintage=2012</w:t>
        </w:r>
      </w:hyperlink>
      <w:r w:rsidRPr="004C421B">
        <w:t>.</w:t>
      </w:r>
    </w:p>
  </w:footnote>
  <w:footnote w:id="56">
    <w:p w:rsidR="00D2177C" w:rsidRPr="00C43F7F" w:rsidP="00D2177C" w14:paraId="118A08F4" w14:textId="77777777">
      <w:pPr>
        <w:pStyle w:val="FootnoteText"/>
      </w:pPr>
      <w:r w:rsidRPr="001B5DD6">
        <w:rPr>
          <w:rStyle w:val="FootnoteReference"/>
        </w:rPr>
        <w:footnoteRef/>
      </w:r>
      <w:r w:rsidRPr="00C43F7F">
        <w:t xml:space="preserve"> </w:t>
      </w:r>
      <w:r w:rsidRPr="00C43F7F">
        <w:rPr>
          <w:i/>
        </w:rPr>
        <w:t>Id</w:t>
      </w:r>
      <w:r w:rsidRPr="00384B16">
        <w:t>.</w:t>
      </w:r>
      <w:r>
        <w:t xml:space="preserve">  </w:t>
      </w:r>
      <w:bookmarkStart w:id="6" w:name="_Hlk22822293"/>
      <w:bookmarkStart w:id="7" w:name="_Hlk31797305"/>
      <w:bookmarkStart w:id="8" w:name="_Hlk31797306"/>
      <w:r w:rsidRPr="00C223A1">
        <w:t>The available U.S. Census Bureau data does not provide a more precise estimate of the number of firms that meet the SBA size standard</w:t>
      </w:r>
      <w:bookmarkEnd w:id="6"/>
      <w:r>
        <w:t>.</w:t>
      </w:r>
      <w:bookmarkEnd w:id="7"/>
      <w:bookmarkEnd w:id="8"/>
    </w:p>
  </w:footnote>
  <w:footnote w:id="57">
    <w:p w:rsidR="00D2177C" w:rsidP="00D2177C" w14:paraId="778623CC" w14:textId="77777777">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1373" w14:paraId="754CD248" w14:textId="498F4784">
    <w:pPr>
      <w:pStyle w:val="Header"/>
    </w:pPr>
    <w:r>
      <w:tab/>
      <w:t>Federal Communications Commission</w:t>
    </w:r>
    <w:r>
      <w:tab/>
    </w:r>
    <w:r w:rsidR="00397036">
      <w:rPr>
        <w:spacing w:val="-2"/>
      </w:rPr>
      <w:t xml:space="preserve">FCC </w:t>
    </w:r>
    <w:r w:rsidRPr="00021A47" w:rsidR="00021A47">
      <w:rPr>
        <w:spacing w:val="-2"/>
      </w:rPr>
      <w:t>22-95</w:t>
    </w:r>
  </w:p>
  <w:p w:rsidR="00D25FB5" w14:paraId="1F2C0A9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A02FF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B1373" w14:paraId="166DF598" w14:textId="45ECBAB1">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97036">
      <w:rPr>
        <w:spacing w:val="-2"/>
      </w:rPr>
      <w:t xml:space="preserve">FCC </w:t>
    </w:r>
    <w:r w:rsidRPr="00021A47" w:rsidR="00021A47">
      <w:rPr>
        <w:spacing w:val="-2"/>
      </w:rPr>
      <w:t>22-95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BB749B6"/>
    <w:multiLevelType w:val="hybridMultilevel"/>
    <w:tmpl w:val="AEEE6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EA890D"/>
    <w:multiLevelType w:val="hybridMultilevel"/>
    <w:tmpl w:val="85E66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E06CBB"/>
    <w:multiLevelType w:val="multilevel"/>
    <w:tmpl w:val="29D41BB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7A30F614"/>
    <w:lvl w:ilvl="0">
      <w:start w:val="1"/>
      <w:numFmt w:val="decimal"/>
      <w:pStyle w:val="ParaNum"/>
      <w:lvlText w:val="%1."/>
      <w:lvlJc w:val="left"/>
      <w:pPr>
        <w:ind w:left="0" w:firstLine="720"/>
      </w:pPr>
      <w:rPr>
        <w:rFonts w:hint="default"/>
      </w:rPr>
    </w:lvl>
  </w:abstractNum>
  <w:abstractNum w:abstractNumId="9">
    <w:nsid w:val="6EABDBCB"/>
    <w:multiLevelType w:val="hybridMultilevel"/>
    <w:tmpl w:val="F334D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6F9E40D"/>
    <w:multiLevelType w:val="hybridMultilevel"/>
    <w:tmpl w:val="712E8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5"/>
  </w:num>
  <w:num w:numId="4">
    <w:abstractNumId w:val="7"/>
  </w:num>
  <w:num w:numId="5">
    <w:abstractNumId w:val="3"/>
  </w:num>
  <w:num w:numId="6">
    <w:abstractNumId w:val="0"/>
  </w:num>
  <w:num w:numId="7">
    <w:abstractNumId w:val="6"/>
  </w:num>
  <w:num w:numId="8">
    <w:abstractNumId w:val="9"/>
  </w:num>
  <w:num w:numId="9">
    <w:abstractNumId w:val="4"/>
  </w:num>
  <w:num w:numId="10">
    <w:abstractNumId w:val="10"/>
  </w:num>
  <w:num w:numId="11">
    <w:abstractNumId w:val="1"/>
  </w:num>
  <w:num w:numId="12">
    <w:abstractNumId w:val="8"/>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7F"/>
    <w:rsid w:val="00001BF3"/>
    <w:rsid w:val="00002F07"/>
    <w:rsid w:val="00006953"/>
    <w:rsid w:val="0000766A"/>
    <w:rsid w:val="00007ABF"/>
    <w:rsid w:val="0001004D"/>
    <w:rsid w:val="00015A02"/>
    <w:rsid w:val="00020D94"/>
    <w:rsid w:val="0002105B"/>
    <w:rsid w:val="000212D3"/>
    <w:rsid w:val="00021A47"/>
    <w:rsid w:val="00022FDF"/>
    <w:rsid w:val="00025800"/>
    <w:rsid w:val="000263AA"/>
    <w:rsid w:val="00027677"/>
    <w:rsid w:val="00036039"/>
    <w:rsid w:val="00037035"/>
    <w:rsid w:val="00037B70"/>
    <w:rsid w:val="00037F90"/>
    <w:rsid w:val="00042199"/>
    <w:rsid w:val="00052815"/>
    <w:rsid w:val="0005545F"/>
    <w:rsid w:val="000559BA"/>
    <w:rsid w:val="00055A94"/>
    <w:rsid w:val="000564BF"/>
    <w:rsid w:val="000604B3"/>
    <w:rsid w:val="00065454"/>
    <w:rsid w:val="00067548"/>
    <w:rsid w:val="00070B24"/>
    <w:rsid w:val="00071F05"/>
    <w:rsid w:val="00074DD9"/>
    <w:rsid w:val="00076698"/>
    <w:rsid w:val="00076BF3"/>
    <w:rsid w:val="00084326"/>
    <w:rsid w:val="0008456B"/>
    <w:rsid w:val="0008684B"/>
    <w:rsid w:val="000875BF"/>
    <w:rsid w:val="00093195"/>
    <w:rsid w:val="00096D8C"/>
    <w:rsid w:val="000A270A"/>
    <w:rsid w:val="000A5180"/>
    <w:rsid w:val="000B3A9F"/>
    <w:rsid w:val="000C08C5"/>
    <w:rsid w:val="000C0B65"/>
    <w:rsid w:val="000C4631"/>
    <w:rsid w:val="000D37E6"/>
    <w:rsid w:val="000D5C43"/>
    <w:rsid w:val="000E05FE"/>
    <w:rsid w:val="000E35EC"/>
    <w:rsid w:val="000E3D42"/>
    <w:rsid w:val="000E55AB"/>
    <w:rsid w:val="000E6F0F"/>
    <w:rsid w:val="000E7500"/>
    <w:rsid w:val="000F1C67"/>
    <w:rsid w:val="000F20AA"/>
    <w:rsid w:val="000F3950"/>
    <w:rsid w:val="000F46D1"/>
    <w:rsid w:val="000F6C60"/>
    <w:rsid w:val="001006FF"/>
    <w:rsid w:val="0010104D"/>
    <w:rsid w:val="00107B22"/>
    <w:rsid w:val="00112D1F"/>
    <w:rsid w:val="0012200C"/>
    <w:rsid w:val="00122BD5"/>
    <w:rsid w:val="001250C9"/>
    <w:rsid w:val="001258F0"/>
    <w:rsid w:val="00125B61"/>
    <w:rsid w:val="00127D95"/>
    <w:rsid w:val="00133F79"/>
    <w:rsid w:val="001359F4"/>
    <w:rsid w:val="00137E80"/>
    <w:rsid w:val="00141175"/>
    <w:rsid w:val="00142732"/>
    <w:rsid w:val="0014400A"/>
    <w:rsid w:val="00145987"/>
    <w:rsid w:val="00154068"/>
    <w:rsid w:val="00154AF1"/>
    <w:rsid w:val="0016403E"/>
    <w:rsid w:val="00166FFC"/>
    <w:rsid w:val="0017164F"/>
    <w:rsid w:val="0017240D"/>
    <w:rsid w:val="0017338D"/>
    <w:rsid w:val="001809D2"/>
    <w:rsid w:val="001814CC"/>
    <w:rsid w:val="001830BE"/>
    <w:rsid w:val="001833EB"/>
    <w:rsid w:val="00192A77"/>
    <w:rsid w:val="001940AE"/>
    <w:rsid w:val="00194A66"/>
    <w:rsid w:val="001962D9"/>
    <w:rsid w:val="00197B36"/>
    <w:rsid w:val="001A58C4"/>
    <w:rsid w:val="001A7677"/>
    <w:rsid w:val="001B3F7D"/>
    <w:rsid w:val="001B416C"/>
    <w:rsid w:val="001B5082"/>
    <w:rsid w:val="001B5DD6"/>
    <w:rsid w:val="001B606D"/>
    <w:rsid w:val="001B663E"/>
    <w:rsid w:val="001C41C0"/>
    <w:rsid w:val="001C4339"/>
    <w:rsid w:val="001C72CB"/>
    <w:rsid w:val="001D417D"/>
    <w:rsid w:val="001D6BCF"/>
    <w:rsid w:val="001E01CA"/>
    <w:rsid w:val="001F506E"/>
    <w:rsid w:val="001F5A66"/>
    <w:rsid w:val="00200461"/>
    <w:rsid w:val="002034B3"/>
    <w:rsid w:val="00212CCB"/>
    <w:rsid w:val="00212EE6"/>
    <w:rsid w:val="00216BAA"/>
    <w:rsid w:val="002257DF"/>
    <w:rsid w:val="00230132"/>
    <w:rsid w:val="002374BD"/>
    <w:rsid w:val="00240964"/>
    <w:rsid w:val="002547D9"/>
    <w:rsid w:val="00257151"/>
    <w:rsid w:val="00257A2A"/>
    <w:rsid w:val="002600B5"/>
    <w:rsid w:val="00260C2D"/>
    <w:rsid w:val="00265D76"/>
    <w:rsid w:val="00270E96"/>
    <w:rsid w:val="00275CF5"/>
    <w:rsid w:val="0027673F"/>
    <w:rsid w:val="00277AA7"/>
    <w:rsid w:val="0028301F"/>
    <w:rsid w:val="00284581"/>
    <w:rsid w:val="00285017"/>
    <w:rsid w:val="0028647F"/>
    <w:rsid w:val="00293714"/>
    <w:rsid w:val="00295DD8"/>
    <w:rsid w:val="002A0473"/>
    <w:rsid w:val="002A0B37"/>
    <w:rsid w:val="002A2D2E"/>
    <w:rsid w:val="002B093A"/>
    <w:rsid w:val="002C00E8"/>
    <w:rsid w:val="002C3BB3"/>
    <w:rsid w:val="002C49FE"/>
    <w:rsid w:val="002D45A1"/>
    <w:rsid w:val="002D77AA"/>
    <w:rsid w:val="002E4363"/>
    <w:rsid w:val="002E5BBA"/>
    <w:rsid w:val="002F24A5"/>
    <w:rsid w:val="002F331D"/>
    <w:rsid w:val="00305A7C"/>
    <w:rsid w:val="00310C7E"/>
    <w:rsid w:val="0031762C"/>
    <w:rsid w:val="0032163E"/>
    <w:rsid w:val="003258D2"/>
    <w:rsid w:val="00327C10"/>
    <w:rsid w:val="0033290C"/>
    <w:rsid w:val="00336145"/>
    <w:rsid w:val="003361E2"/>
    <w:rsid w:val="00342868"/>
    <w:rsid w:val="00343749"/>
    <w:rsid w:val="00343E51"/>
    <w:rsid w:val="00345F24"/>
    <w:rsid w:val="00347381"/>
    <w:rsid w:val="00357D85"/>
    <w:rsid w:val="003660ED"/>
    <w:rsid w:val="0037474F"/>
    <w:rsid w:val="0037703A"/>
    <w:rsid w:val="00383503"/>
    <w:rsid w:val="00384B16"/>
    <w:rsid w:val="00384FB2"/>
    <w:rsid w:val="00387175"/>
    <w:rsid w:val="00390C9F"/>
    <w:rsid w:val="00397036"/>
    <w:rsid w:val="003A202D"/>
    <w:rsid w:val="003A3DCB"/>
    <w:rsid w:val="003A4BE2"/>
    <w:rsid w:val="003A5C1B"/>
    <w:rsid w:val="003B0550"/>
    <w:rsid w:val="003B3030"/>
    <w:rsid w:val="003B694F"/>
    <w:rsid w:val="003C2EF5"/>
    <w:rsid w:val="003C3966"/>
    <w:rsid w:val="003E11B9"/>
    <w:rsid w:val="003F171C"/>
    <w:rsid w:val="003F1936"/>
    <w:rsid w:val="00400948"/>
    <w:rsid w:val="00412FC5"/>
    <w:rsid w:val="00414D0C"/>
    <w:rsid w:val="004160F5"/>
    <w:rsid w:val="0041792E"/>
    <w:rsid w:val="00422276"/>
    <w:rsid w:val="004242F1"/>
    <w:rsid w:val="004333CB"/>
    <w:rsid w:val="00434C86"/>
    <w:rsid w:val="0043570C"/>
    <w:rsid w:val="00437074"/>
    <w:rsid w:val="0043763B"/>
    <w:rsid w:val="00437B72"/>
    <w:rsid w:val="00441CA2"/>
    <w:rsid w:val="00445A00"/>
    <w:rsid w:val="00446383"/>
    <w:rsid w:val="00451B0F"/>
    <w:rsid w:val="00451C00"/>
    <w:rsid w:val="00454FBE"/>
    <w:rsid w:val="00455A08"/>
    <w:rsid w:val="00456804"/>
    <w:rsid w:val="00461EDA"/>
    <w:rsid w:val="004649E7"/>
    <w:rsid w:val="00472504"/>
    <w:rsid w:val="00472755"/>
    <w:rsid w:val="0047310C"/>
    <w:rsid w:val="0048443E"/>
    <w:rsid w:val="00484D0F"/>
    <w:rsid w:val="00487387"/>
    <w:rsid w:val="00491AB6"/>
    <w:rsid w:val="004927B4"/>
    <w:rsid w:val="00494EB5"/>
    <w:rsid w:val="004A163F"/>
    <w:rsid w:val="004B1373"/>
    <w:rsid w:val="004B4E53"/>
    <w:rsid w:val="004C09C6"/>
    <w:rsid w:val="004C09F2"/>
    <w:rsid w:val="004C2EE3"/>
    <w:rsid w:val="004C31C4"/>
    <w:rsid w:val="004C421B"/>
    <w:rsid w:val="004D16AA"/>
    <w:rsid w:val="004D5A01"/>
    <w:rsid w:val="004D6709"/>
    <w:rsid w:val="004D77F6"/>
    <w:rsid w:val="004E375F"/>
    <w:rsid w:val="004E4A22"/>
    <w:rsid w:val="00504C05"/>
    <w:rsid w:val="00505749"/>
    <w:rsid w:val="00511968"/>
    <w:rsid w:val="00512B38"/>
    <w:rsid w:val="00513AAC"/>
    <w:rsid w:val="00514210"/>
    <w:rsid w:val="00515020"/>
    <w:rsid w:val="00516DFE"/>
    <w:rsid w:val="00517E31"/>
    <w:rsid w:val="00524FBD"/>
    <w:rsid w:val="00525487"/>
    <w:rsid w:val="00526971"/>
    <w:rsid w:val="0053332A"/>
    <w:rsid w:val="00540AF4"/>
    <w:rsid w:val="00540B8E"/>
    <w:rsid w:val="005472AD"/>
    <w:rsid w:val="0054792D"/>
    <w:rsid w:val="005515C6"/>
    <w:rsid w:val="0055305B"/>
    <w:rsid w:val="0055614C"/>
    <w:rsid w:val="00566D06"/>
    <w:rsid w:val="0057001D"/>
    <w:rsid w:val="00572FCB"/>
    <w:rsid w:val="00580B15"/>
    <w:rsid w:val="00585C21"/>
    <w:rsid w:val="00595820"/>
    <w:rsid w:val="005A28F9"/>
    <w:rsid w:val="005A575C"/>
    <w:rsid w:val="005B3C57"/>
    <w:rsid w:val="005B3D42"/>
    <w:rsid w:val="005B795A"/>
    <w:rsid w:val="005C3C06"/>
    <w:rsid w:val="005C5475"/>
    <w:rsid w:val="005D1CD9"/>
    <w:rsid w:val="005D42D9"/>
    <w:rsid w:val="005E14C2"/>
    <w:rsid w:val="005E5A4B"/>
    <w:rsid w:val="005F202A"/>
    <w:rsid w:val="005F2D6C"/>
    <w:rsid w:val="005F3CD2"/>
    <w:rsid w:val="005F57B9"/>
    <w:rsid w:val="0060395D"/>
    <w:rsid w:val="00603B96"/>
    <w:rsid w:val="00603F4B"/>
    <w:rsid w:val="00607BA5"/>
    <w:rsid w:val="0061180A"/>
    <w:rsid w:val="00616B24"/>
    <w:rsid w:val="00626355"/>
    <w:rsid w:val="00626EB6"/>
    <w:rsid w:val="00631FB4"/>
    <w:rsid w:val="006327D7"/>
    <w:rsid w:val="00635E43"/>
    <w:rsid w:val="00652FFD"/>
    <w:rsid w:val="00655D03"/>
    <w:rsid w:val="006566AA"/>
    <w:rsid w:val="006645BE"/>
    <w:rsid w:val="00667E33"/>
    <w:rsid w:val="00670B32"/>
    <w:rsid w:val="00675F99"/>
    <w:rsid w:val="006815E7"/>
    <w:rsid w:val="00681673"/>
    <w:rsid w:val="00683388"/>
    <w:rsid w:val="00683F84"/>
    <w:rsid w:val="00686CFB"/>
    <w:rsid w:val="006922F2"/>
    <w:rsid w:val="006A38F0"/>
    <w:rsid w:val="006A6A81"/>
    <w:rsid w:val="006B2476"/>
    <w:rsid w:val="006C1CC9"/>
    <w:rsid w:val="006C3834"/>
    <w:rsid w:val="006C6A9B"/>
    <w:rsid w:val="006D0A58"/>
    <w:rsid w:val="006D2376"/>
    <w:rsid w:val="006E22BD"/>
    <w:rsid w:val="006E395D"/>
    <w:rsid w:val="006F7393"/>
    <w:rsid w:val="007002E4"/>
    <w:rsid w:val="0070224F"/>
    <w:rsid w:val="00703D71"/>
    <w:rsid w:val="007115F7"/>
    <w:rsid w:val="0072023E"/>
    <w:rsid w:val="00721B4F"/>
    <w:rsid w:val="00724EC0"/>
    <w:rsid w:val="0072573A"/>
    <w:rsid w:val="0072634D"/>
    <w:rsid w:val="0072708C"/>
    <w:rsid w:val="00731B70"/>
    <w:rsid w:val="007337F4"/>
    <w:rsid w:val="00734876"/>
    <w:rsid w:val="00735227"/>
    <w:rsid w:val="00742CEC"/>
    <w:rsid w:val="00742F44"/>
    <w:rsid w:val="007431D7"/>
    <w:rsid w:val="00743762"/>
    <w:rsid w:val="00747E67"/>
    <w:rsid w:val="00755F91"/>
    <w:rsid w:val="00763C94"/>
    <w:rsid w:val="00771BBA"/>
    <w:rsid w:val="00776690"/>
    <w:rsid w:val="00783C1E"/>
    <w:rsid w:val="00785689"/>
    <w:rsid w:val="0079367B"/>
    <w:rsid w:val="0079754B"/>
    <w:rsid w:val="007A15AF"/>
    <w:rsid w:val="007A1E6D"/>
    <w:rsid w:val="007A5485"/>
    <w:rsid w:val="007A59FC"/>
    <w:rsid w:val="007B0EB2"/>
    <w:rsid w:val="007B46FB"/>
    <w:rsid w:val="007B652A"/>
    <w:rsid w:val="007B7B21"/>
    <w:rsid w:val="007C050E"/>
    <w:rsid w:val="007C36A6"/>
    <w:rsid w:val="007D46A4"/>
    <w:rsid w:val="007E7729"/>
    <w:rsid w:val="00806210"/>
    <w:rsid w:val="00810B6F"/>
    <w:rsid w:val="0081141D"/>
    <w:rsid w:val="008147ED"/>
    <w:rsid w:val="00821482"/>
    <w:rsid w:val="00822CE0"/>
    <w:rsid w:val="00835A12"/>
    <w:rsid w:val="00837DC7"/>
    <w:rsid w:val="00841AB1"/>
    <w:rsid w:val="00842487"/>
    <w:rsid w:val="008625EB"/>
    <w:rsid w:val="0088157A"/>
    <w:rsid w:val="00884347"/>
    <w:rsid w:val="0088636F"/>
    <w:rsid w:val="00892962"/>
    <w:rsid w:val="0089674C"/>
    <w:rsid w:val="00896E7F"/>
    <w:rsid w:val="00897757"/>
    <w:rsid w:val="0089798D"/>
    <w:rsid w:val="008A0033"/>
    <w:rsid w:val="008B37DF"/>
    <w:rsid w:val="008B6A7B"/>
    <w:rsid w:val="008C441A"/>
    <w:rsid w:val="008C580D"/>
    <w:rsid w:val="008C68F1"/>
    <w:rsid w:val="008D0A12"/>
    <w:rsid w:val="008D1395"/>
    <w:rsid w:val="008D2776"/>
    <w:rsid w:val="008D7182"/>
    <w:rsid w:val="008D7767"/>
    <w:rsid w:val="008E08B8"/>
    <w:rsid w:val="008E3739"/>
    <w:rsid w:val="008E48F6"/>
    <w:rsid w:val="008F0D98"/>
    <w:rsid w:val="008F2ED9"/>
    <w:rsid w:val="008F309A"/>
    <w:rsid w:val="008F4934"/>
    <w:rsid w:val="008F57B1"/>
    <w:rsid w:val="008F656A"/>
    <w:rsid w:val="00903886"/>
    <w:rsid w:val="0090486B"/>
    <w:rsid w:val="00906BCC"/>
    <w:rsid w:val="0091038E"/>
    <w:rsid w:val="00912BE0"/>
    <w:rsid w:val="00920866"/>
    <w:rsid w:val="00921803"/>
    <w:rsid w:val="00926503"/>
    <w:rsid w:val="0092671A"/>
    <w:rsid w:val="00927413"/>
    <w:rsid w:val="00930022"/>
    <w:rsid w:val="00931503"/>
    <w:rsid w:val="00932C31"/>
    <w:rsid w:val="00933D10"/>
    <w:rsid w:val="00935D83"/>
    <w:rsid w:val="00937CF4"/>
    <w:rsid w:val="00940A55"/>
    <w:rsid w:val="0094319D"/>
    <w:rsid w:val="00943F97"/>
    <w:rsid w:val="00945963"/>
    <w:rsid w:val="00950F0C"/>
    <w:rsid w:val="00951EF3"/>
    <w:rsid w:val="00955AFE"/>
    <w:rsid w:val="00955C12"/>
    <w:rsid w:val="0095641C"/>
    <w:rsid w:val="00971224"/>
    <w:rsid w:val="0097182E"/>
    <w:rsid w:val="009726D8"/>
    <w:rsid w:val="009737C7"/>
    <w:rsid w:val="0098072E"/>
    <w:rsid w:val="00981561"/>
    <w:rsid w:val="0098199E"/>
    <w:rsid w:val="00984FE9"/>
    <w:rsid w:val="00990984"/>
    <w:rsid w:val="0099295F"/>
    <w:rsid w:val="00993DD0"/>
    <w:rsid w:val="00995FE3"/>
    <w:rsid w:val="009A2FF6"/>
    <w:rsid w:val="009A47BD"/>
    <w:rsid w:val="009A4C0D"/>
    <w:rsid w:val="009B0EF0"/>
    <w:rsid w:val="009B1942"/>
    <w:rsid w:val="009B2671"/>
    <w:rsid w:val="009B7D32"/>
    <w:rsid w:val="009C2D7D"/>
    <w:rsid w:val="009C3F2E"/>
    <w:rsid w:val="009D10F2"/>
    <w:rsid w:val="009D3DB5"/>
    <w:rsid w:val="009D5CE7"/>
    <w:rsid w:val="009D7308"/>
    <w:rsid w:val="009D7CCB"/>
    <w:rsid w:val="009E0F6E"/>
    <w:rsid w:val="009E68FF"/>
    <w:rsid w:val="009E78EE"/>
    <w:rsid w:val="009F1CF1"/>
    <w:rsid w:val="009F233F"/>
    <w:rsid w:val="009F2A5E"/>
    <w:rsid w:val="009F76DB"/>
    <w:rsid w:val="00A022F9"/>
    <w:rsid w:val="00A0233F"/>
    <w:rsid w:val="00A027F4"/>
    <w:rsid w:val="00A048D0"/>
    <w:rsid w:val="00A10BA3"/>
    <w:rsid w:val="00A135FD"/>
    <w:rsid w:val="00A1461E"/>
    <w:rsid w:val="00A15612"/>
    <w:rsid w:val="00A20448"/>
    <w:rsid w:val="00A26896"/>
    <w:rsid w:val="00A3203F"/>
    <w:rsid w:val="00A32C3B"/>
    <w:rsid w:val="00A41A65"/>
    <w:rsid w:val="00A45F4F"/>
    <w:rsid w:val="00A46216"/>
    <w:rsid w:val="00A505A1"/>
    <w:rsid w:val="00A532BA"/>
    <w:rsid w:val="00A53D79"/>
    <w:rsid w:val="00A53FF5"/>
    <w:rsid w:val="00A55517"/>
    <w:rsid w:val="00A5675B"/>
    <w:rsid w:val="00A56D33"/>
    <w:rsid w:val="00A600A9"/>
    <w:rsid w:val="00A65038"/>
    <w:rsid w:val="00A778E4"/>
    <w:rsid w:val="00A807CA"/>
    <w:rsid w:val="00A80943"/>
    <w:rsid w:val="00A83967"/>
    <w:rsid w:val="00A91F62"/>
    <w:rsid w:val="00A9623D"/>
    <w:rsid w:val="00A96ECB"/>
    <w:rsid w:val="00AA1FBD"/>
    <w:rsid w:val="00AA255F"/>
    <w:rsid w:val="00AA55B7"/>
    <w:rsid w:val="00AA5B9E"/>
    <w:rsid w:val="00AB2407"/>
    <w:rsid w:val="00AB52CB"/>
    <w:rsid w:val="00AB53DF"/>
    <w:rsid w:val="00AB754E"/>
    <w:rsid w:val="00AD0A9C"/>
    <w:rsid w:val="00AD1536"/>
    <w:rsid w:val="00AD17E9"/>
    <w:rsid w:val="00AE394E"/>
    <w:rsid w:val="00AF024D"/>
    <w:rsid w:val="00AF336C"/>
    <w:rsid w:val="00AF3CF2"/>
    <w:rsid w:val="00AF4B31"/>
    <w:rsid w:val="00B03AD4"/>
    <w:rsid w:val="00B07E5C"/>
    <w:rsid w:val="00B126DA"/>
    <w:rsid w:val="00B14844"/>
    <w:rsid w:val="00B179D3"/>
    <w:rsid w:val="00B17FCB"/>
    <w:rsid w:val="00B213CC"/>
    <w:rsid w:val="00B36CC7"/>
    <w:rsid w:val="00B46C44"/>
    <w:rsid w:val="00B5061B"/>
    <w:rsid w:val="00B5148B"/>
    <w:rsid w:val="00B51A52"/>
    <w:rsid w:val="00B5205B"/>
    <w:rsid w:val="00B529CB"/>
    <w:rsid w:val="00B5568B"/>
    <w:rsid w:val="00B811F7"/>
    <w:rsid w:val="00B81EE7"/>
    <w:rsid w:val="00B90BF0"/>
    <w:rsid w:val="00B92E61"/>
    <w:rsid w:val="00BA175A"/>
    <w:rsid w:val="00BA48DA"/>
    <w:rsid w:val="00BA5DC6"/>
    <w:rsid w:val="00BA6196"/>
    <w:rsid w:val="00BC0DB0"/>
    <w:rsid w:val="00BC32FF"/>
    <w:rsid w:val="00BC6456"/>
    <w:rsid w:val="00BC6D8C"/>
    <w:rsid w:val="00BD1797"/>
    <w:rsid w:val="00BE280E"/>
    <w:rsid w:val="00BE77A1"/>
    <w:rsid w:val="00C03F56"/>
    <w:rsid w:val="00C07AA4"/>
    <w:rsid w:val="00C10805"/>
    <w:rsid w:val="00C14537"/>
    <w:rsid w:val="00C16829"/>
    <w:rsid w:val="00C216C1"/>
    <w:rsid w:val="00C223A1"/>
    <w:rsid w:val="00C248A5"/>
    <w:rsid w:val="00C24DE4"/>
    <w:rsid w:val="00C25434"/>
    <w:rsid w:val="00C3387C"/>
    <w:rsid w:val="00C34006"/>
    <w:rsid w:val="00C36B4C"/>
    <w:rsid w:val="00C40E1B"/>
    <w:rsid w:val="00C426B1"/>
    <w:rsid w:val="00C43F7F"/>
    <w:rsid w:val="00C4471B"/>
    <w:rsid w:val="00C46E39"/>
    <w:rsid w:val="00C476A6"/>
    <w:rsid w:val="00C528D4"/>
    <w:rsid w:val="00C61007"/>
    <w:rsid w:val="00C6178D"/>
    <w:rsid w:val="00C62BAA"/>
    <w:rsid w:val="00C64049"/>
    <w:rsid w:val="00C66160"/>
    <w:rsid w:val="00C67330"/>
    <w:rsid w:val="00C72027"/>
    <w:rsid w:val="00C721AC"/>
    <w:rsid w:val="00C7376C"/>
    <w:rsid w:val="00C747B7"/>
    <w:rsid w:val="00C90D6A"/>
    <w:rsid w:val="00C92DBF"/>
    <w:rsid w:val="00C9308A"/>
    <w:rsid w:val="00C930A6"/>
    <w:rsid w:val="00C95CA6"/>
    <w:rsid w:val="00C96369"/>
    <w:rsid w:val="00CA247E"/>
    <w:rsid w:val="00CA25E7"/>
    <w:rsid w:val="00CA5FF0"/>
    <w:rsid w:val="00CA6961"/>
    <w:rsid w:val="00CA6D21"/>
    <w:rsid w:val="00CB0B0B"/>
    <w:rsid w:val="00CB0D1A"/>
    <w:rsid w:val="00CB277A"/>
    <w:rsid w:val="00CB527F"/>
    <w:rsid w:val="00CB6B87"/>
    <w:rsid w:val="00CC3699"/>
    <w:rsid w:val="00CC3E80"/>
    <w:rsid w:val="00CC4743"/>
    <w:rsid w:val="00CC5BC8"/>
    <w:rsid w:val="00CC72B6"/>
    <w:rsid w:val="00CD09FB"/>
    <w:rsid w:val="00CD34DA"/>
    <w:rsid w:val="00CD6A50"/>
    <w:rsid w:val="00CD7D55"/>
    <w:rsid w:val="00CE41BE"/>
    <w:rsid w:val="00CE7169"/>
    <w:rsid w:val="00CF2673"/>
    <w:rsid w:val="00CF67D7"/>
    <w:rsid w:val="00CF7B19"/>
    <w:rsid w:val="00D0218D"/>
    <w:rsid w:val="00D04566"/>
    <w:rsid w:val="00D07CF4"/>
    <w:rsid w:val="00D1761D"/>
    <w:rsid w:val="00D2177C"/>
    <w:rsid w:val="00D25FB5"/>
    <w:rsid w:val="00D34E02"/>
    <w:rsid w:val="00D367CF"/>
    <w:rsid w:val="00D407BC"/>
    <w:rsid w:val="00D44223"/>
    <w:rsid w:val="00D454F4"/>
    <w:rsid w:val="00D4745D"/>
    <w:rsid w:val="00D47F74"/>
    <w:rsid w:val="00D56B9A"/>
    <w:rsid w:val="00D62F3F"/>
    <w:rsid w:val="00D65440"/>
    <w:rsid w:val="00D66C4C"/>
    <w:rsid w:val="00D70C07"/>
    <w:rsid w:val="00D74ED0"/>
    <w:rsid w:val="00D77DE2"/>
    <w:rsid w:val="00D81797"/>
    <w:rsid w:val="00D85716"/>
    <w:rsid w:val="00D865C7"/>
    <w:rsid w:val="00D929B9"/>
    <w:rsid w:val="00D9421A"/>
    <w:rsid w:val="00DA2529"/>
    <w:rsid w:val="00DA2BB6"/>
    <w:rsid w:val="00DB02E2"/>
    <w:rsid w:val="00DB130A"/>
    <w:rsid w:val="00DB13E1"/>
    <w:rsid w:val="00DB2EBB"/>
    <w:rsid w:val="00DB4C09"/>
    <w:rsid w:val="00DB5A13"/>
    <w:rsid w:val="00DB7452"/>
    <w:rsid w:val="00DB7F9A"/>
    <w:rsid w:val="00DC10A1"/>
    <w:rsid w:val="00DC3D7B"/>
    <w:rsid w:val="00DC4652"/>
    <w:rsid w:val="00DC655F"/>
    <w:rsid w:val="00DD0B59"/>
    <w:rsid w:val="00DD124F"/>
    <w:rsid w:val="00DD7EBD"/>
    <w:rsid w:val="00DE391B"/>
    <w:rsid w:val="00DE6526"/>
    <w:rsid w:val="00DF0240"/>
    <w:rsid w:val="00DF0764"/>
    <w:rsid w:val="00DF62B6"/>
    <w:rsid w:val="00E05C0B"/>
    <w:rsid w:val="00E069A6"/>
    <w:rsid w:val="00E07225"/>
    <w:rsid w:val="00E07467"/>
    <w:rsid w:val="00E10F8B"/>
    <w:rsid w:val="00E20F0B"/>
    <w:rsid w:val="00E242BA"/>
    <w:rsid w:val="00E248CB"/>
    <w:rsid w:val="00E2742E"/>
    <w:rsid w:val="00E46653"/>
    <w:rsid w:val="00E5409F"/>
    <w:rsid w:val="00E60407"/>
    <w:rsid w:val="00E6178E"/>
    <w:rsid w:val="00E64BB0"/>
    <w:rsid w:val="00E656A0"/>
    <w:rsid w:val="00E6779B"/>
    <w:rsid w:val="00E739CD"/>
    <w:rsid w:val="00E7632C"/>
    <w:rsid w:val="00E8351D"/>
    <w:rsid w:val="00E87085"/>
    <w:rsid w:val="00E877A2"/>
    <w:rsid w:val="00E95938"/>
    <w:rsid w:val="00E95C44"/>
    <w:rsid w:val="00E97D95"/>
    <w:rsid w:val="00EA4E1E"/>
    <w:rsid w:val="00EA5411"/>
    <w:rsid w:val="00EA79B7"/>
    <w:rsid w:val="00EB6250"/>
    <w:rsid w:val="00EC1476"/>
    <w:rsid w:val="00EC67C8"/>
    <w:rsid w:val="00EC768D"/>
    <w:rsid w:val="00ED1A8B"/>
    <w:rsid w:val="00ED48FE"/>
    <w:rsid w:val="00ED5AF6"/>
    <w:rsid w:val="00EE1AFF"/>
    <w:rsid w:val="00EE6488"/>
    <w:rsid w:val="00EF035C"/>
    <w:rsid w:val="00EF1C29"/>
    <w:rsid w:val="00EF2DBF"/>
    <w:rsid w:val="00EF613A"/>
    <w:rsid w:val="00F002D7"/>
    <w:rsid w:val="00F021FA"/>
    <w:rsid w:val="00F05C40"/>
    <w:rsid w:val="00F11BC8"/>
    <w:rsid w:val="00F14568"/>
    <w:rsid w:val="00F2106C"/>
    <w:rsid w:val="00F21FA8"/>
    <w:rsid w:val="00F233F6"/>
    <w:rsid w:val="00F30D33"/>
    <w:rsid w:val="00F32510"/>
    <w:rsid w:val="00F34772"/>
    <w:rsid w:val="00F34E94"/>
    <w:rsid w:val="00F35996"/>
    <w:rsid w:val="00F36654"/>
    <w:rsid w:val="00F37A16"/>
    <w:rsid w:val="00F37A3B"/>
    <w:rsid w:val="00F444FA"/>
    <w:rsid w:val="00F51F73"/>
    <w:rsid w:val="00F52B3E"/>
    <w:rsid w:val="00F55916"/>
    <w:rsid w:val="00F62E97"/>
    <w:rsid w:val="00F64209"/>
    <w:rsid w:val="00F709B1"/>
    <w:rsid w:val="00F741F0"/>
    <w:rsid w:val="00F81B1B"/>
    <w:rsid w:val="00F82D81"/>
    <w:rsid w:val="00F82FC5"/>
    <w:rsid w:val="00F83786"/>
    <w:rsid w:val="00F84942"/>
    <w:rsid w:val="00F92330"/>
    <w:rsid w:val="00F93BF5"/>
    <w:rsid w:val="00F9582C"/>
    <w:rsid w:val="00F971DC"/>
    <w:rsid w:val="00F97DAD"/>
    <w:rsid w:val="00FB210A"/>
    <w:rsid w:val="00FB50C8"/>
    <w:rsid w:val="00FB6BDF"/>
    <w:rsid w:val="00FC2A71"/>
    <w:rsid w:val="00FC4648"/>
    <w:rsid w:val="00FC7F6E"/>
    <w:rsid w:val="00FD659D"/>
    <w:rsid w:val="00FE26DB"/>
    <w:rsid w:val="00FE2906"/>
    <w:rsid w:val="00FE7106"/>
    <w:rsid w:val="00FF55B9"/>
    <w:rsid w:val="00FF7B95"/>
    <w:rsid w:val="00FF7F72"/>
    <w:rsid w:val="0146EA08"/>
    <w:rsid w:val="01B993FA"/>
    <w:rsid w:val="01CCB023"/>
    <w:rsid w:val="0315B97F"/>
    <w:rsid w:val="031C5752"/>
    <w:rsid w:val="045A0867"/>
    <w:rsid w:val="049C56F5"/>
    <w:rsid w:val="0524BE54"/>
    <w:rsid w:val="0624A32E"/>
    <w:rsid w:val="06521B89"/>
    <w:rsid w:val="067E6266"/>
    <w:rsid w:val="06C08EB5"/>
    <w:rsid w:val="06E17C5F"/>
    <w:rsid w:val="07250288"/>
    <w:rsid w:val="07AF1465"/>
    <w:rsid w:val="083E8AAB"/>
    <w:rsid w:val="08708534"/>
    <w:rsid w:val="08FAE1A3"/>
    <w:rsid w:val="0941F4DE"/>
    <w:rsid w:val="0A959F4D"/>
    <w:rsid w:val="0AA04971"/>
    <w:rsid w:val="0ACD2C78"/>
    <w:rsid w:val="0B36228C"/>
    <w:rsid w:val="0CC6FCA9"/>
    <w:rsid w:val="0D7B8494"/>
    <w:rsid w:val="0DB57FB5"/>
    <w:rsid w:val="0DD10B9F"/>
    <w:rsid w:val="0DE3B4A3"/>
    <w:rsid w:val="0F1D4A6C"/>
    <w:rsid w:val="0F224215"/>
    <w:rsid w:val="0FFD42D2"/>
    <w:rsid w:val="10830462"/>
    <w:rsid w:val="1089FCD4"/>
    <w:rsid w:val="10A20A4A"/>
    <w:rsid w:val="10FFF078"/>
    <w:rsid w:val="110FE348"/>
    <w:rsid w:val="112FEF05"/>
    <w:rsid w:val="114C6F4B"/>
    <w:rsid w:val="1172EC9B"/>
    <w:rsid w:val="11EAEBF6"/>
    <w:rsid w:val="1264695C"/>
    <w:rsid w:val="127AE830"/>
    <w:rsid w:val="12D530B1"/>
    <w:rsid w:val="12DC4956"/>
    <w:rsid w:val="135D23D0"/>
    <w:rsid w:val="14307990"/>
    <w:rsid w:val="147090F1"/>
    <w:rsid w:val="1613EA18"/>
    <w:rsid w:val="16331F94"/>
    <w:rsid w:val="16EE646F"/>
    <w:rsid w:val="170713DB"/>
    <w:rsid w:val="171F5AA1"/>
    <w:rsid w:val="173F3166"/>
    <w:rsid w:val="17AFBA79"/>
    <w:rsid w:val="18E46962"/>
    <w:rsid w:val="1902CDA2"/>
    <w:rsid w:val="1A4BDB93"/>
    <w:rsid w:val="1A508AAC"/>
    <w:rsid w:val="1B113F4B"/>
    <w:rsid w:val="1B53C006"/>
    <w:rsid w:val="1BBD8C43"/>
    <w:rsid w:val="1C59A06D"/>
    <w:rsid w:val="1CF9484C"/>
    <w:rsid w:val="1DAD5A25"/>
    <w:rsid w:val="1F3EF455"/>
    <w:rsid w:val="1FDDA6B3"/>
    <w:rsid w:val="200B32EE"/>
    <w:rsid w:val="206C59EE"/>
    <w:rsid w:val="212589AC"/>
    <w:rsid w:val="22082A4F"/>
    <w:rsid w:val="220C142C"/>
    <w:rsid w:val="2210C7A1"/>
    <w:rsid w:val="223A0E4A"/>
    <w:rsid w:val="22CF3AE5"/>
    <w:rsid w:val="23488651"/>
    <w:rsid w:val="23B8ADF8"/>
    <w:rsid w:val="23CC24E6"/>
    <w:rsid w:val="24D60F4B"/>
    <w:rsid w:val="24F19DC7"/>
    <w:rsid w:val="254B173D"/>
    <w:rsid w:val="256B4C17"/>
    <w:rsid w:val="25CFAEE1"/>
    <w:rsid w:val="25DD51A6"/>
    <w:rsid w:val="264DFE73"/>
    <w:rsid w:val="26C4B773"/>
    <w:rsid w:val="28C6A227"/>
    <w:rsid w:val="28DD8242"/>
    <w:rsid w:val="28FCFB03"/>
    <w:rsid w:val="292D013D"/>
    <w:rsid w:val="29528933"/>
    <w:rsid w:val="29FE5F3A"/>
    <w:rsid w:val="2A7952A3"/>
    <w:rsid w:val="2B4DB755"/>
    <w:rsid w:val="2C8E6358"/>
    <w:rsid w:val="2CA5EE5F"/>
    <w:rsid w:val="2CDF706E"/>
    <w:rsid w:val="2D748A10"/>
    <w:rsid w:val="2DB35BDD"/>
    <w:rsid w:val="2EA3CD1E"/>
    <w:rsid w:val="2ED48B96"/>
    <w:rsid w:val="2F861D40"/>
    <w:rsid w:val="30449084"/>
    <w:rsid w:val="30B302DE"/>
    <w:rsid w:val="30EAFC9F"/>
    <w:rsid w:val="314ABD01"/>
    <w:rsid w:val="31C8403A"/>
    <w:rsid w:val="31D2F047"/>
    <w:rsid w:val="31E9D4E0"/>
    <w:rsid w:val="32263B9F"/>
    <w:rsid w:val="329DD69F"/>
    <w:rsid w:val="32A7C96D"/>
    <w:rsid w:val="33D61F2B"/>
    <w:rsid w:val="3473A64C"/>
    <w:rsid w:val="349FC4B6"/>
    <w:rsid w:val="34A0B963"/>
    <w:rsid w:val="3529ED78"/>
    <w:rsid w:val="358FDFF9"/>
    <w:rsid w:val="35BE6DC2"/>
    <w:rsid w:val="36C1A150"/>
    <w:rsid w:val="372BE008"/>
    <w:rsid w:val="37D58E9C"/>
    <w:rsid w:val="384A809D"/>
    <w:rsid w:val="389D7446"/>
    <w:rsid w:val="39738885"/>
    <w:rsid w:val="3A5CA885"/>
    <w:rsid w:val="3AFD082F"/>
    <w:rsid w:val="3B22A3AD"/>
    <w:rsid w:val="3B331536"/>
    <w:rsid w:val="3BAC918B"/>
    <w:rsid w:val="3BB3F588"/>
    <w:rsid w:val="3C758394"/>
    <w:rsid w:val="3C879232"/>
    <w:rsid w:val="3CB9A419"/>
    <w:rsid w:val="3D136C4C"/>
    <w:rsid w:val="3D396013"/>
    <w:rsid w:val="3DD8D26C"/>
    <w:rsid w:val="3E631A61"/>
    <w:rsid w:val="3E63BCC6"/>
    <w:rsid w:val="3E828824"/>
    <w:rsid w:val="3EA66D85"/>
    <w:rsid w:val="3EBB1BDC"/>
    <w:rsid w:val="3ED53074"/>
    <w:rsid w:val="3ED9ED8E"/>
    <w:rsid w:val="3EE7177B"/>
    <w:rsid w:val="3FABB674"/>
    <w:rsid w:val="41D3B47D"/>
    <w:rsid w:val="420CD136"/>
    <w:rsid w:val="425E53CA"/>
    <w:rsid w:val="4270CB4D"/>
    <w:rsid w:val="4440AEB1"/>
    <w:rsid w:val="446B34D1"/>
    <w:rsid w:val="4527B32E"/>
    <w:rsid w:val="4562DDA8"/>
    <w:rsid w:val="4599C191"/>
    <w:rsid w:val="45CE51E7"/>
    <w:rsid w:val="4610F93F"/>
    <w:rsid w:val="46DE30EE"/>
    <w:rsid w:val="4769B20E"/>
    <w:rsid w:val="47784F73"/>
    <w:rsid w:val="47EA6B22"/>
    <w:rsid w:val="4A5BC469"/>
    <w:rsid w:val="4A6A484C"/>
    <w:rsid w:val="4A7210F0"/>
    <w:rsid w:val="4A96C7D8"/>
    <w:rsid w:val="4B1A37AD"/>
    <w:rsid w:val="4B6BE1DA"/>
    <w:rsid w:val="4C2ECEFB"/>
    <w:rsid w:val="4C359B4D"/>
    <w:rsid w:val="4CBB1860"/>
    <w:rsid w:val="4D321B72"/>
    <w:rsid w:val="4D49C766"/>
    <w:rsid w:val="4DB49F1B"/>
    <w:rsid w:val="4DC39F8B"/>
    <w:rsid w:val="4E00075F"/>
    <w:rsid w:val="4E35273C"/>
    <w:rsid w:val="4E4346D0"/>
    <w:rsid w:val="4FC631CF"/>
    <w:rsid w:val="4FE620EC"/>
    <w:rsid w:val="50169C87"/>
    <w:rsid w:val="51BFF7D0"/>
    <w:rsid w:val="524109BC"/>
    <w:rsid w:val="5298112D"/>
    <w:rsid w:val="52CECCA7"/>
    <w:rsid w:val="52D83347"/>
    <w:rsid w:val="52FEFE96"/>
    <w:rsid w:val="535F2981"/>
    <w:rsid w:val="544215AE"/>
    <w:rsid w:val="544D12E4"/>
    <w:rsid w:val="54EF652F"/>
    <w:rsid w:val="55E67622"/>
    <w:rsid w:val="569BD7A3"/>
    <w:rsid w:val="56A8D4D6"/>
    <w:rsid w:val="5758B354"/>
    <w:rsid w:val="57E7668F"/>
    <w:rsid w:val="58197E98"/>
    <w:rsid w:val="586B38E2"/>
    <w:rsid w:val="58A9E8FE"/>
    <w:rsid w:val="59455AF3"/>
    <w:rsid w:val="5A2115EC"/>
    <w:rsid w:val="5C518C26"/>
    <w:rsid w:val="5C922BFF"/>
    <w:rsid w:val="5D760244"/>
    <w:rsid w:val="5D8A1715"/>
    <w:rsid w:val="5DEC79EA"/>
    <w:rsid w:val="5E32CBB6"/>
    <w:rsid w:val="605AF75B"/>
    <w:rsid w:val="61D07E38"/>
    <w:rsid w:val="6209C8FB"/>
    <w:rsid w:val="62FDCC7B"/>
    <w:rsid w:val="635119DB"/>
    <w:rsid w:val="635FB4E5"/>
    <w:rsid w:val="636C4E99"/>
    <w:rsid w:val="63C63DC8"/>
    <w:rsid w:val="64EC74A3"/>
    <w:rsid w:val="652E687E"/>
    <w:rsid w:val="6557E8E2"/>
    <w:rsid w:val="656DCD61"/>
    <w:rsid w:val="65CE6FDF"/>
    <w:rsid w:val="65D0FFD9"/>
    <w:rsid w:val="66FCA3EE"/>
    <w:rsid w:val="69353932"/>
    <w:rsid w:val="693AAC13"/>
    <w:rsid w:val="6A0198E2"/>
    <w:rsid w:val="6BB142B9"/>
    <w:rsid w:val="6C3E9869"/>
    <w:rsid w:val="6D75AEF4"/>
    <w:rsid w:val="6F64C7EB"/>
    <w:rsid w:val="6F6E08E9"/>
    <w:rsid w:val="6FBDC222"/>
    <w:rsid w:val="702AD3B4"/>
    <w:rsid w:val="702C0D56"/>
    <w:rsid w:val="709465EB"/>
    <w:rsid w:val="70F10FBF"/>
    <w:rsid w:val="716EE0FD"/>
    <w:rsid w:val="727B77EB"/>
    <w:rsid w:val="72F445D8"/>
    <w:rsid w:val="73141478"/>
    <w:rsid w:val="73BB979C"/>
    <w:rsid w:val="740EA3A4"/>
    <w:rsid w:val="7417E772"/>
    <w:rsid w:val="74539A93"/>
    <w:rsid w:val="7615780A"/>
    <w:rsid w:val="763E0E1D"/>
    <w:rsid w:val="76BF5941"/>
    <w:rsid w:val="77983E6F"/>
    <w:rsid w:val="7B1CAFDD"/>
    <w:rsid w:val="7C27A1F4"/>
    <w:rsid w:val="7C4EF681"/>
    <w:rsid w:val="7CA16344"/>
    <w:rsid w:val="7CA2BFCF"/>
    <w:rsid w:val="7CAE42FF"/>
    <w:rsid w:val="7CAECD4B"/>
    <w:rsid w:val="7CF316E8"/>
    <w:rsid w:val="7D17D2B4"/>
    <w:rsid w:val="7DD97A3B"/>
    <w:rsid w:val="7DE20B68"/>
    <w:rsid w:val="7E17A870"/>
    <w:rsid w:val="7E39E577"/>
    <w:rsid w:val="7E60523D"/>
    <w:rsid w:val="7E95C9A8"/>
    <w:rsid w:val="7EC6A107"/>
    <w:rsid w:val="7FD855E4"/>
    <w:rsid w:val="7FE2691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20392DD"/>
  <w15:chartTrackingRefBased/>
  <w15:docId w15:val="{F4D9B21A-E5F7-4799-910D-B44CF917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3DD0"/>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Footnote Text Char1,Footnote Text Char1 Char Char1 Char Char1,Footnote Text Char2,Footnote Text Char2 Char1 Char Char Char Char1,Footnote Text Char2 Char1 Char1 Char1,Footnote Text Char3 Char Char Char Char1,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4B1373"/>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1 Char,Footnote Text Char1 Char,Footnote Text Char1 Char Char1 Char Char1 Char,Footnote Text Char2 Char,Footnote Text Char2 Char1 Char Char Char Char1 Char,Footnote Text Char2 Char1 Char1 Char1 Char,f Char"/>
    <w:link w:val="FootnoteText"/>
    <w:rsid w:val="00CB527F"/>
  </w:style>
  <w:style w:type="character" w:customStyle="1" w:styleId="ParaNumChar">
    <w:name w:val="ParaNum Char"/>
    <w:link w:val="ParaNum"/>
    <w:locked/>
    <w:rsid w:val="00CB527F"/>
    <w:rPr>
      <w:snapToGrid w:val="0"/>
      <w:kern w:val="28"/>
      <w:sz w:val="22"/>
    </w:rPr>
  </w:style>
  <w:style w:type="character" w:styleId="UnresolvedMention">
    <w:name w:val="Unresolved Mention"/>
    <w:uiPriority w:val="99"/>
    <w:semiHidden/>
    <w:unhideWhenUsed/>
    <w:rsid w:val="009E68FF"/>
    <w:rPr>
      <w:color w:val="605E5C"/>
      <w:shd w:val="clear" w:color="auto" w:fill="E1DFDD"/>
    </w:rPr>
  </w:style>
  <w:style w:type="character" w:customStyle="1" w:styleId="ParaNumChar1">
    <w:name w:val="ParaNum Char1"/>
    <w:locked/>
    <w:rsid w:val="009E68FF"/>
    <w:rPr>
      <w:snapToGrid w:val="0"/>
      <w:kern w:val="28"/>
      <w:sz w:val="22"/>
    </w:rPr>
  </w:style>
  <w:style w:type="character" w:customStyle="1" w:styleId="documentbody1">
    <w:name w:val="documentbody1"/>
    <w:rsid w:val="00D2177C"/>
    <w:rPr>
      <w:rFonts w:ascii="Verdana" w:hAnsi="Verdana" w:hint="default"/>
      <w:sz w:val="19"/>
      <w:szCs w:val="19"/>
      <w:shd w:val="clear" w:color="auto" w:fill="FFFFFF"/>
    </w:rPr>
  </w:style>
  <w:style w:type="character" w:styleId="Strong">
    <w:name w:val="Strong"/>
    <w:qFormat/>
    <w:rsid w:val="00D2177C"/>
    <w:rPr>
      <w:b/>
      <w:bCs/>
    </w:rPr>
  </w:style>
  <w:style w:type="paragraph" w:styleId="Revision">
    <w:name w:val="Revision"/>
    <w:hidden/>
    <w:uiPriority w:val="99"/>
    <w:semiHidden/>
    <w:rsid w:val="00B5148B"/>
    <w:rPr>
      <w:snapToGrid w:val="0"/>
      <w:kern w:val="28"/>
      <w:sz w:val="22"/>
    </w:rPr>
  </w:style>
  <w:style w:type="character" w:styleId="CommentReference">
    <w:name w:val="annotation reference"/>
    <w:rsid w:val="00CF67D7"/>
    <w:rPr>
      <w:sz w:val="16"/>
      <w:szCs w:val="16"/>
    </w:rPr>
  </w:style>
  <w:style w:type="paragraph" w:styleId="CommentText">
    <w:name w:val="annotation text"/>
    <w:basedOn w:val="Normal"/>
    <w:link w:val="CommentTextChar"/>
    <w:rsid w:val="00CF67D7"/>
    <w:rPr>
      <w:sz w:val="20"/>
    </w:rPr>
  </w:style>
  <w:style w:type="character" w:customStyle="1" w:styleId="CommentTextChar">
    <w:name w:val="Comment Text Char"/>
    <w:link w:val="CommentText"/>
    <w:rsid w:val="00CF67D7"/>
    <w:rPr>
      <w:snapToGrid w:val="0"/>
      <w:kern w:val="28"/>
    </w:rPr>
  </w:style>
  <w:style w:type="paragraph" w:styleId="CommentSubject">
    <w:name w:val="annotation subject"/>
    <w:basedOn w:val="CommentText"/>
    <w:next w:val="CommentText"/>
    <w:link w:val="CommentSubjectChar"/>
    <w:rsid w:val="00CF67D7"/>
    <w:rPr>
      <w:b/>
      <w:bCs/>
    </w:rPr>
  </w:style>
  <w:style w:type="character" w:customStyle="1" w:styleId="CommentSubjectChar">
    <w:name w:val="Comment Subject Char"/>
    <w:link w:val="CommentSubject"/>
    <w:rsid w:val="00CF67D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census.gov/naics/?input=517410&amp;year=2017&amp;details=517410" TargetMode="External" /><Relationship Id="rId2" Type="http://schemas.openxmlformats.org/officeDocument/2006/relationships/hyperlink" Target="https://data.census.gov/cedsci/table?text=EC1251SSSZ4&amp;n=517410&amp;tid=ECNSIZE2012.EC1251SSSZ4&amp;hidePreview=false&amp;vintage=201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