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86ACF" w:rsidRPr="002E1281" w:rsidP="00661626" w14:paraId="5156DADE" w14:textId="77777777">
      <w:pPr>
        <w:spacing w:after="120"/>
        <w:jc w:val="center"/>
        <w:rPr>
          <w:b/>
          <w:bCs/>
          <w:szCs w:val="22"/>
        </w:rPr>
      </w:pPr>
      <w:r w:rsidRPr="00214379">
        <w:rPr>
          <w:b/>
          <w:bCs/>
          <w:szCs w:val="22"/>
        </w:rPr>
        <w:t>STATEMENT OF COMMISSIONER NATHAN SIMINGTON, APPROVE, DISSENTING IN PART</w:t>
      </w:r>
    </w:p>
    <w:p w:rsidR="00386ACF" w:rsidRPr="00214379" w:rsidP="00661626" w14:paraId="0C17615A" w14:textId="77777777">
      <w:pPr>
        <w:pStyle w:val="NormalWeb"/>
        <w:spacing w:after="120" w:afterAutospacing="0"/>
        <w:ind w:left="720" w:hanging="720"/>
        <w:rPr>
          <w:sz w:val="22"/>
          <w:szCs w:val="22"/>
        </w:rPr>
      </w:pPr>
      <w:r w:rsidRPr="00214379">
        <w:rPr>
          <w:sz w:val="22"/>
          <w:szCs w:val="22"/>
        </w:rPr>
        <w:t>Re:</w:t>
      </w:r>
      <w:r w:rsidRPr="00214379">
        <w:rPr>
          <w:sz w:val="22"/>
          <w:szCs w:val="22"/>
        </w:rPr>
        <w:tab/>
      </w:r>
      <w:r w:rsidRPr="00214379">
        <w:rPr>
          <w:i/>
          <w:iCs/>
          <w:sz w:val="22"/>
          <w:szCs w:val="22"/>
        </w:rPr>
        <w:t xml:space="preserve">Targeting and Eliminating Unlawful Text Messages, </w:t>
      </w:r>
      <w:r w:rsidRPr="00214379">
        <w:rPr>
          <w:sz w:val="22"/>
          <w:szCs w:val="22"/>
        </w:rPr>
        <w:t xml:space="preserve">CG Docket No. 21-402; </w:t>
      </w:r>
      <w:r w:rsidRPr="00214379">
        <w:rPr>
          <w:i/>
          <w:iCs/>
          <w:sz w:val="22"/>
          <w:szCs w:val="22"/>
        </w:rPr>
        <w:t>Rules and Regulations Implementing the Telephone Consumer Protection Act of 1991</w:t>
      </w:r>
      <w:r w:rsidRPr="00214379">
        <w:rPr>
          <w:sz w:val="22"/>
          <w:szCs w:val="22"/>
        </w:rPr>
        <w:t xml:space="preserve">, CG Docket No. 02-278; </w:t>
      </w:r>
      <w:r w:rsidRPr="00214379">
        <w:rPr>
          <w:i/>
          <w:iCs/>
          <w:sz w:val="22"/>
          <w:szCs w:val="22"/>
        </w:rPr>
        <w:t>Advanced Methods to Target and Eliminate Unlawful Robocalls</w:t>
      </w:r>
      <w:r w:rsidRPr="00214379">
        <w:rPr>
          <w:sz w:val="22"/>
          <w:szCs w:val="22"/>
        </w:rPr>
        <w:t>, CG Docket No. 17-59, Second Report and Order, Second Further Notice of Proposed Rulemaking, and Waiver Order (December 13, 2023)</w:t>
      </w:r>
    </w:p>
    <w:p w:rsidR="00386ACF" w:rsidRPr="00214379" w:rsidP="00661626" w14:paraId="77FE5FFB" w14:textId="77777777">
      <w:pPr>
        <w:spacing w:after="120"/>
        <w:ind w:firstLine="720"/>
        <w:rPr>
          <w:szCs w:val="22"/>
        </w:rPr>
      </w:pPr>
      <w:r w:rsidRPr="00214379">
        <w:rPr>
          <w:szCs w:val="22"/>
        </w:rPr>
        <w:t>I, like everyone in this building, and everyone on earth, hate receiving illegal and unwanted robotexts.  I am pleased to approve every word of this item that does not relate to our approach to so-called "1-to-1 consent" for robotexts in the lead generation context.  Unsurprisingly, the rest of the item is more-or-less well-trod regulatory territory that members of the Commission and staff are trained to understand.</w:t>
      </w:r>
    </w:p>
    <w:p w:rsidR="00386ACF" w:rsidRPr="00214379" w:rsidP="00661626" w14:paraId="74B5196A" w14:textId="77777777">
      <w:pPr>
        <w:spacing w:after="120"/>
        <w:ind w:firstLine="720"/>
        <w:rPr>
          <w:szCs w:val="22"/>
        </w:rPr>
      </w:pPr>
      <w:r w:rsidRPr="00214379">
        <w:rPr>
          <w:szCs w:val="22"/>
        </w:rPr>
        <w:t>However, as to our approach to 1-to-1 consent in the lead generation context, we are over our skis, and I dissent.  I would have been pleased to support the approach, laid out in the NPRM, to constrain consumer consent to robotexting to only those entities "logically and topically related" to the predicate of the consumer inquiry.  I voted for that because it made sense.  That is: if I give consent to be robotexted about car insurance offers, I expect to receive texts about car insurance, not about garage doors—and, indeed, not even about car loans.  Great.  Makes sense.  That proposal aligns typical consumer expectations around in what their consent to be robotexted consists, and it would eliminate the abusive practices contemplated in the NPRM.</w:t>
      </w:r>
    </w:p>
    <w:p w:rsidR="00386ACF" w:rsidRPr="00214379" w:rsidP="00661626" w14:paraId="629CF3D0" w14:textId="77777777">
      <w:pPr>
        <w:spacing w:after="120"/>
        <w:ind w:firstLine="720"/>
        <w:rPr>
          <w:szCs w:val="22"/>
        </w:rPr>
      </w:pPr>
      <w:r w:rsidRPr="00214379">
        <w:rPr>
          <w:szCs w:val="22"/>
        </w:rPr>
        <w:t>I even supported asking about 1-to-1 consent in a further notice, because there is, possibly, a way to accomplish 1-to-1 consent that doesn't break the backs of American small business that rely on lead generation.  Not probably, but at least possibly.  We could have developed a fulsome record that actually contemplated that issue, instead of parachuting in an approach at the eleventh hour that caught American small businesses flat-footed and risks benefiting only the plaintiffs' bar.  Unfortunately, by adopting 1-to-1 consent on a factually thin record, we today clumsily rush to save the American consumer from herself by sticking our finger in yet another new pie, vigorously stirring, calling the resulting mess a cobbler, insisting that it's healthier, and leaving the janitorial staff of brick-and-mortar, Main Street mortgage lenders, insurance brokers, real estate agents, and the like to clean up.</w:t>
      </w:r>
    </w:p>
    <w:p w:rsidR="00386ACF" w:rsidRPr="00214379" w:rsidP="00661626" w14:paraId="3A425997" w14:textId="77777777">
      <w:pPr>
        <w:spacing w:after="120"/>
        <w:ind w:firstLine="720"/>
        <w:rPr>
          <w:szCs w:val="22"/>
        </w:rPr>
      </w:pPr>
      <w:r w:rsidRPr="00214379">
        <w:rPr>
          <w:szCs w:val="22"/>
        </w:rPr>
        <w:t>My colleagues worry that if we relax 1-to-1 consent, predatory lenders will rush into the regulatory gap left.  Ah, yes.  Predatory lenders, those conscientious respecters of regulation.  If we regulate robotext consent hard enough, surely an offshore Cayman-funded organization with a call center in Belize relying principally on home-rolled SEO to dominate SERP visibility and using algorithmic approaches to beating Google's ad restrictions will be brought to heel.  Give me a break.  These people do not need to buy leads, and our action today does nothing to prevent their abusive behavior.  At all.  Nothing.  It is another paper consumer victory for a Commission at least as interested in appearances as reality.</w:t>
      </w:r>
    </w:p>
    <w:p w:rsidR="00386ACF" w:rsidRPr="00214379" w:rsidP="00661626" w14:paraId="1E73C655" w14:textId="77777777">
      <w:pPr>
        <w:spacing w:after="120"/>
        <w:ind w:firstLine="720"/>
        <w:rPr>
          <w:szCs w:val="22"/>
        </w:rPr>
      </w:pPr>
      <w:r w:rsidRPr="00214379">
        <w:rPr>
          <w:szCs w:val="22"/>
        </w:rPr>
        <w:t xml:space="preserve">Speaking of appearances, the factual record on the question of 1-to-1 consent is so thin, and the Report and Order so impoverished in its reasoning supporting a rule upending the consumer financial products industry, that it gives every appearance of an arbitrary and capricious action by the Commission.  But listen, I'm not the only one with concerns.  Don't take the word of the Republican minority Commissioner.  It is easy for me to take pot shots. </w:t>
      </w:r>
    </w:p>
    <w:p w:rsidR="00386ACF" w:rsidRPr="00214379" w:rsidP="00661626" w14:paraId="5A8C6180" w14:textId="77777777">
      <w:pPr>
        <w:spacing w:after="120"/>
        <w:ind w:firstLine="720"/>
        <w:rPr>
          <w:szCs w:val="22"/>
        </w:rPr>
      </w:pPr>
      <w:r w:rsidRPr="00214379">
        <w:rPr>
          <w:szCs w:val="22"/>
        </w:rPr>
        <w:t>Consider instead the word of the Small Business Administration, who admonished the Commission to rethink today's Report and Order and to further consider our approach to 1-to-1 consent.  The SBA's Office of Advocacy indicated not just that the small businesses of America are deeply concerned by today's action, but that it may indeed formally fail regulatory flexibility analysis in that it fails to account for the impact this action will have on small American businesses.  Quite so, and no amount of last-second wordsmithing can rehabilitate a requirement this ill-considered and unsupported.</w:t>
      </w:r>
    </w:p>
    <w:p w:rsidR="00412FC5" w:rsidRPr="00214379" w:rsidP="00661626" w14:paraId="5685554C" w14:textId="77777777">
      <w:pPr>
        <w:spacing w:after="120"/>
        <w:ind w:firstLine="720"/>
        <w:rPr>
          <w:szCs w:val="22"/>
        </w:rPr>
      </w:pPr>
      <w:r w:rsidRPr="00214379">
        <w:rPr>
          <w:szCs w:val="22"/>
        </w:rPr>
        <w:t>Again, as to the rest of the item, I approve.  But as to this narrow issue, that easily could have been fixed by a further notice, I strongly dissent.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6E1C4A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E4319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73B63B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C6DB52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31093AB"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0051057" w14:textId="77777777">
    <w:pPr>
      <w:pStyle w:val="Header"/>
      <w:rPr>
        <w:b w:val="0"/>
      </w:rPr>
    </w:pPr>
    <w:r>
      <w:tab/>
      <w:t>Federal Communications Commission</w:t>
    </w:r>
    <w:r>
      <w:tab/>
    </w:r>
    <w:r w:rsidR="00386ACF">
      <w:t>FCC 23-107</w:t>
    </w:r>
  </w:p>
  <w:p w:rsidR="00D25FB5" w14:paraId="4D50A49C" w14:textId="47C8541D">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9C7C7B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DCA36D" w14:textId="4564D2D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386ACF">
      <w:rPr>
        <w:spacing w:val="-2"/>
      </w:rPr>
      <w:t>FCC 23-107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83"/>
    <w:rsid w:val="00036039"/>
    <w:rsid w:val="00037F90"/>
    <w:rsid w:val="000875BF"/>
    <w:rsid w:val="00096D8C"/>
    <w:rsid w:val="000C0B65"/>
    <w:rsid w:val="000E05FE"/>
    <w:rsid w:val="000E3D42"/>
    <w:rsid w:val="00122BD5"/>
    <w:rsid w:val="00133F79"/>
    <w:rsid w:val="00194A66"/>
    <w:rsid w:val="001D6BCF"/>
    <w:rsid w:val="001E01CA"/>
    <w:rsid w:val="00214379"/>
    <w:rsid w:val="00275CF5"/>
    <w:rsid w:val="0028301F"/>
    <w:rsid w:val="00285017"/>
    <w:rsid w:val="002A2D2E"/>
    <w:rsid w:val="002C00E8"/>
    <w:rsid w:val="002E1281"/>
    <w:rsid w:val="00343749"/>
    <w:rsid w:val="003660ED"/>
    <w:rsid w:val="00386ACF"/>
    <w:rsid w:val="003B0550"/>
    <w:rsid w:val="003B694F"/>
    <w:rsid w:val="003F171C"/>
    <w:rsid w:val="00412FC5"/>
    <w:rsid w:val="00422276"/>
    <w:rsid w:val="004242F1"/>
    <w:rsid w:val="00445A00"/>
    <w:rsid w:val="00451B0F"/>
    <w:rsid w:val="004C2EE3"/>
    <w:rsid w:val="004E4A22"/>
    <w:rsid w:val="00511968"/>
    <w:rsid w:val="0055614C"/>
    <w:rsid w:val="00566D06"/>
    <w:rsid w:val="005A1835"/>
    <w:rsid w:val="005E14C2"/>
    <w:rsid w:val="00607BA5"/>
    <w:rsid w:val="0061180A"/>
    <w:rsid w:val="00626EB6"/>
    <w:rsid w:val="00655D03"/>
    <w:rsid w:val="00661626"/>
    <w:rsid w:val="00683388"/>
    <w:rsid w:val="00683F84"/>
    <w:rsid w:val="006A6A81"/>
    <w:rsid w:val="006F7393"/>
    <w:rsid w:val="0070224F"/>
    <w:rsid w:val="007115F7"/>
    <w:rsid w:val="00785689"/>
    <w:rsid w:val="0079754B"/>
    <w:rsid w:val="007A1E6D"/>
    <w:rsid w:val="007B0EB2"/>
    <w:rsid w:val="00810B6F"/>
    <w:rsid w:val="00822CE0"/>
    <w:rsid w:val="00841AB1"/>
    <w:rsid w:val="0088479B"/>
    <w:rsid w:val="008C68F1"/>
    <w:rsid w:val="00921803"/>
    <w:rsid w:val="00926503"/>
    <w:rsid w:val="009726D8"/>
    <w:rsid w:val="009D7308"/>
    <w:rsid w:val="009F76DB"/>
    <w:rsid w:val="00A32C3B"/>
    <w:rsid w:val="00A45F4F"/>
    <w:rsid w:val="00A600A9"/>
    <w:rsid w:val="00AA55B7"/>
    <w:rsid w:val="00AA5B9E"/>
    <w:rsid w:val="00AB2407"/>
    <w:rsid w:val="00AB53DF"/>
    <w:rsid w:val="00AE6B83"/>
    <w:rsid w:val="00B04721"/>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0F384B"/>
  <w15:chartTrackingRefBased/>
  <w15:docId w15:val="{9D1B8B63-99D8-4F26-A8CE-DE055084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NormalWeb">
    <w:name w:val="Normal (Web)"/>
    <w:basedOn w:val="Normal"/>
    <w:uiPriority w:val="99"/>
    <w:unhideWhenUsed/>
    <w:rsid w:val="00386ACF"/>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will.wiquist\OneDrive%20-%20FCC\Documents\Simington%20Statemen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Simington Statement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