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514E" w:rsidRPr="0032374C" w:rsidP="0032514E" w14:paraId="4C18C9A1" w14:textId="77777777">
      <w:pPr>
        <w:pStyle w:val="StyleBoldCentered"/>
        <w:rPr>
          <w:caps w:val="0"/>
          <w:color w:val="000000"/>
        </w:rPr>
      </w:pPr>
      <w:r>
        <w:rPr>
          <w:caps w:val="0"/>
          <w:color w:val="000000"/>
        </w:rPr>
        <w:t>Before the</w:t>
      </w:r>
    </w:p>
    <w:p w:rsidR="0032514E" w:rsidRPr="00ED051C" w:rsidP="0032514E" w14:paraId="6DFC0EA6" w14:textId="77777777">
      <w:pPr>
        <w:pStyle w:val="StyleBoldCentered"/>
        <w:rPr>
          <w:rFonts w:ascii="Times New Roman" w:hAnsi="Times New Roman"/>
          <w:color w:val="000000"/>
        </w:rPr>
      </w:pPr>
      <w:r w:rsidRPr="00ED051C">
        <w:rPr>
          <w:rFonts w:ascii="Times New Roman" w:hAnsi="Times New Roman"/>
          <w:color w:val="000000"/>
        </w:rPr>
        <w:t>F</w:t>
      </w:r>
      <w:r w:rsidRPr="00ED051C">
        <w:rPr>
          <w:rFonts w:ascii="Times New Roman" w:hAnsi="Times New Roman"/>
          <w:caps w:val="0"/>
          <w:color w:val="000000"/>
        </w:rPr>
        <w:t>ederal Communications Commission</w:t>
      </w:r>
    </w:p>
    <w:p w:rsidR="0032514E" w:rsidRPr="00ED051C" w:rsidP="0032514E" w14:paraId="79CAE0B3" w14:textId="77777777">
      <w:pPr>
        <w:jc w:val="center"/>
        <w:rPr>
          <w:b/>
          <w:color w:val="000000"/>
        </w:rPr>
      </w:pPr>
      <w:r w:rsidRPr="00ED051C">
        <w:rPr>
          <w:b/>
          <w:color w:val="000000"/>
        </w:rPr>
        <w:t>Washington, D</w:t>
      </w:r>
      <w:r>
        <w:rPr>
          <w:b/>
          <w:color w:val="000000"/>
        </w:rPr>
        <w:t>.</w:t>
      </w:r>
      <w:r w:rsidRPr="00ED051C">
        <w:rPr>
          <w:b/>
          <w:color w:val="000000"/>
        </w:rPr>
        <w:t>C</w:t>
      </w:r>
      <w:r>
        <w:rPr>
          <w:b/>
          <w:color w:val="000000"/>
        </w:rPr>
        <w:t>.</w:t>
      </w:r>
      <w:r w:rsidRPr="00ED051C">
        <w:rPr>
          <w:b/>
          <w:color w:val="000000"/>
        </w:rPr>
        <w:t xml:space="preserve"> 20554 </w:t>
      </w:r>
    </w:p>
    <w:tbl>
      <w:tblPr>
        <w:tblW w:w="0" w:type="auto"/>
        <w:tblLayout w:type="fixed"/>
        <w:tblLook w:val="0000"/>
      </w:tblPr>
      <w:tblGrid>
        <w:gridCol w:w="4518"/>
        <w:gridCol w:w="630"/>
        <w:gridCol w:w="4248"/>
      </w:tblGrid>
      <w:tr w14:paraId="03AA417E" w14:textId="77777777" w:rsidTr="00CB191E">
        <w:tblPrEx>
          <w:tblW w:w="0" w:type="auto"/>
          <w:tblLayout w:type="fixed"/>
          <w:tblLook w:val="0000"/>
        </w:tblPrEx>
        <w:tc>
          <w:tcPr>
            <w:tcW w:w="4518" w:type="dxa"/>
          </w:tcPr>
          <w:p w:rsidR="0032514E" w:rsidRPr="00ED051C" w:rsidP="00CB191E" w14:paraId="771B3087" w14:textId="77777777">
            <w:pPr>
              <w:tabs>
                <w:tab w:val="center" w:pos="4680"/>
              </w:tabs>
              <w:suppressAutoHyphens/>
              <w:rPr>
                <w:color w:val="000000"/>
                <w:spacing w:val="-2"/>
              </w:rPr>
            </w:pPr>
          </w:p>
          <w:p w:rsidR="0032514E" w:rsidP="00CB191E" w14:paraId="6921B4D5" w14:textId="77777777">
            <w:pPr>
              <w:tabs>
                <w:tab w:val="center" w:pos="4680"/>
              </w:tabs>
              <w:suppressAutoHyphens/>
              <w:rPr>
                <w:color w:val="000000"/>
                <w:spacing w:val="-2"/>
              </w:rPr>
            </w:pPr>
            <w:r w:rsidRPr="00ED051C">
              <w:rPr>
                <w:color w:val="000000"/>
                <w:spacing w:val="-2"/>
              </w:rPr>
              <w:t>In the Matter of</w:t>
            </w:r>
          </w:p>
          <w:p w:rsidR="0032514E" w:rsidRPr="00ED051C" w:rsidP="00CB191E" w14:paraId="4D235114" w14:textId="77777777">
            <w:pPr>
              <w:tabs>
                <w:tab w:val="center" w:pos="4680"/>
              </w:tabs>
              <w:suppressAutoHyphens/>
              <w:rPr>
                <w:color w:val="000000"/>
                <w:spacing w:val="-2"/>
              </w:rPr>
            </w:pPr>
          </w:p>
          <w:p w:rsidR="0032514E" w:rsidRPr="00ED051C" w:rsidP="00CB191E" w14:paraId="5EEA5636" w14:textId="77777777">
            <w:pPr>
              <w:tabs>
                <w:tab w:val="center" w:pos="4680"/>
              </w:tabs>
              <w:suppressAutoHyphens/>
              <w:rPr>
                <w:color w:val="000000"/>
                <w:spacing w:val="-2"/>
              </w:rPr>
            </w:pPr>
            <w:r w:rsidRPr="00ED051C">
              <w:rPr>
                <w:color w:val="000000"/>
                <w:spacing w:val="-2"/>
              </w:rPr>
              <w:t>Sound Around, Inc.</w:t>
            </w:r>
          </w:p>
        </w:tc>
        <w:tc>
          <w:tcPr>
            <w:tcW w:w="630" w:type="dxa"/>
          </w:tcPr>
          <w:p w:rsidR="0032514E" w:rsidRPr="00ED051C" w:rsidP="00CB191E" w14:paraId="5EFA4FAC" w14:textId="77777777">
            <w:pPr>
              <w:tabs>
                <w:tab w:val="center" w:pos="4680"/>
              </w:tabs>
              <w:suppressAutoHyphens/>
              <w:rPr>
                <w:b/>
                <w:color w:val="000000"/>
                <w:spacing w:val="-2"/>
              </w:rPr>
            </w:pPr>
          </w:p>
          <w:p w:rsidR="0032514E" w:rsidRPr="00ED051C" w:rsidP="00CB191E" w14:paraId="43CF7591" w14:textId="77777777">
            <w:pPr>
              <w:tabs>
                <w:tab w:val="center" w:pos="4680"/>
              </w:tabs>
              <w:suppressAutoHyphens/>
              <w:rPr>
                <w:b/>
                <w:color w:val="000000"/>
                <w:spacing w:val="-2"/>
              </w:rPr>
            </w:pPr>
            <w:r w:rsidRPr="00ED051C">
              <w:rPr>
                <w:b/>
                <w:color w:val="000000"/>
                <w:spacing w:val="-2"/>
              </w:rPr>
              <w:t xml:space="preserve">  ) </w:t>
            </w:r>
          </w:p>
          <w:p w:rsidR="0032514E" w:rsidRPr="00ED051C" w:rsidP="00CB191E" w14:paraId="08DE0DBA" w14:textId="77777777">
            <w:pPr>
              <w:tabs>
                <w:tab w:val="center" w:pos="4680"/>
              </w:tabs>
              <w:suppressAutoHyphens/>
              <w:rPr>
                <w:b/>
                <w:color w:val="000000"/>
                <w:spacing w:val="-2"/>
              </w:rPr>
            </w:pPr>
            <w:r w:rsidRPr="00ED051C">
              <w:rPr>
                <w:b/>
                <w:color w:val="000000"/>
                <w:spacing w:val="-2"/>
              </w:rPr>
              <w:t xml:space="preserve">  )</w:t>
            </w:r>
          </w:p>
          <w:p w:rsidR="0032514E" w:rsidRPr="00ED051C" w:rsidP="00CB191E" w14:paraId="49C14813" w14:textId="77777777">
            <w:pPr>
              <w:tabs>
                <w:tab w:val="center" w:pos="4680"/>
              </w:tabs>
              <w:suppressAutoHyphens/>
              <w:rPr>
                <w:b/>
                <w:color w:val="000000"/>
                <w:spacing w:val="-2"/>
              </w:rPr>
            </w:pPr>
            <w:r w:rsidRPr="00ED051C">
              <w:rPr>
                <w:b/>
                <w:color w:val="000000"/>
                <w:spacing w:val="-2"/>
              </w:rPr>
              <w:t xml:space="preserve">  )</w:t>
            </w:r>
          </w:p>
          <w:p w:rsidR="0032514E" w:rsidRPr="00ED051C" w:rsidP="00CB191E" w14:paraId="16F6E0E3" w14:textId="77777777">
            <w:pPr>
              <w:tabs>
                <w:tab w:val="center" w:pos="4680"/>
              </w:tabs>
              <w:suppressAutoHyphens/>
              <w:rPr>
                <w:b/>
                <w:color w:val="000000"/>
                <w:spacing w:val="-2"/>
              </w:rPr>
            </w:pPr>
            <w:r w:rsidRPr="00ED051C">
              <w:rPr>
                <w:b/>
                <w:color w:val="000000"/>
                <w:spacing w:val="-2"/>
              </w:rPr>
              <w:t xml:space="preserve">  )</w:t>
            </w:r>
          </w:p>
          <w:p w:rsidR="0032514E" w:rsidRPr="00ED051C" w:rsidP="00CB191E" w14:paraId="181E3218" w14:textId="77777777">
            <w:pPr>
              <w:tabs>
                <w:tab w:val="center" w:pos="4680"/>
              </w:tabs>
              <w:suppressAutoHyphens/>
              <w:rPr>
                <w:b/>
                <w:color w:val="000000"/>
                <w:spacing w:val="-2"/>
              </w:rPr>
            </w:pPr>
            <w:r w:rsidRPr="00ED051C">
              <w:rPr>
                <w:b/>
                <w:color w:val="000000"/>
                <w:spacing w:val="-2"/>
              </w:rPr>
              <w:t xml:space="preserve">  )</w:t>
            </w:r>
          </w:p>
          <w:p w:rsidR="0032514E" w:rsidRPr="00ED051C" w:rsidP="00CB191E" w14:paraId="59747D16" w14:textId="77777777">
            <w:pPr>
              <w:tabs>
                <w:tab w:val="center" w:pos="4680"/>
              </w:tabs>
              <w:suppressAutoHyphens/>
              <w:rPr>
                <w:b/>
                <w:color w:val="000000"/>
                <w:spacing w:val="-2"/>
              </w:rPr>
            </w:pPr>
            <w:r w:rsidRPr="00ED051C">
              <w:rPr>
                <w:b/>
                <w:color w:val="000000"/>
                <w:spacing w:val="-2"/>
              </w:rPr>
              <w:t xml:space="preserve"> </w:t>
            </w:r>
          </w:p>
        </w:tc>
        <w:tc>
          <w:tcPr>
            <w:tcW w:w="4248" w:type="dxa"/>
          </w:tcPr>
          <w:p w:rsidR="0032514E" w:rsidRPr="00ED051C" w:rsidP="00CB191E" w14:paraId="64EFA1F0" w14:textId="77777777">
            <w:pPr>
              <w:tabs>
                <w:tab w:val="center" w:pos="4680"/>
              </w:tabs>
              <w:suppressAutoHyphens/>
              <w:rPr>
                <w:color w:val="000000"/>
                <w:spacing w:val="-2"/>
              </w:rPr>
            </w:pPr>
          </w:p>
          <w:p w:rsidR="0032514E" w:rsidRPr="003B50E1" w:rsidP="00CB191E" w14:paraId="58245212" w14:textId="77777777">
            <w:pPr>
              <w:pStyle w:val="NoSpacing"/>
              <w:rPr>
                <w:rFonts w:ascii="Times New Roman" w:hAnsi="Times New Roman"/>
                <w:b/>
                <w:bCs/>
                <w:color w:val="222222"/>
                <w:shd w:val="clear" w:color="auto" w:fill="FFFFFF"/>
              </w:rPr>
            </w:pPr>
            <w:r w:rsidRPr="003B50E1">
              <w:rPr>
                <w:rFonts w:ascii="Times New Roman" w:hAnsi="Times New Roman"/>
                <w:color w:val="000000"/>
                <w:spacing w:val="-2"/>
              </w:rPr>
              <w:t>File No:  EB-SED</w:t>
            </w:r>
            <w:r w:rsidRPr="003B50E1">
              <w:rPr>
                <w:rFonts w:ascii="Times New Roman" w:hAnsi="Times New Roman"/>
                <w:b/>
                <w:bCs/>
                <w:color w:val="222222"/>
                <w:shd w:val="clear" w:color="auto" w:fill="FFFFFF"/>
              </w:rPr>
              <w:t>-</w:t>
            </w:r>
            <w:r w:rsidRPr="003B50E1">
              <w:rPr>
                <w:rFonts w:ascii="Times New Roman" w:hAnsi="Times New Roman"/>
                <w:color w:val="222222"/>
                <w:shd w:val="clear" w:color="auto" w:fill="FFFFFF"/>
              </w:rPr>
              <w:t>22</w:t>
            </w:r>
            <w:r w:rsidRPr="003B50E1">
              <w:rPr>
                <w:rFonts w:ascii="Times New Roman" w:hAnsi="Times New Roman"/>
                <w:b/>
                <w:bCs/>
                <w:color w:val="222222"/>
                <w:shd w:val="clear" w:color="auto" w:fill="FFFFFF"/>
              </w:rPr>
              <w:t>-</w:t>
            </w:r>
            <w:r w:rsidRPr="003B50E1">
              <w:rPr>
                <w:rFonts w:ascii="Times New Roman" w:hAnsi="Times New Roman"/>
                <w:color w:val="222222"/>
                <w:shd w:val="clear" w:color="auto" w:fill="FFFFFF"/>
              </w:rPr>
              <w:t>00034112</w:t>
            </w:r>
          </w:p>
          <w:p w:rsidR="0032514E" w:rsidRPr="00ED051C" w:rsidP="00CB191E" w14:paraId="046D6D3C" w14:textId="2F024378">
            <w:pPr>
              <w:tabs>
                <w:tab w:val="center" w:pos="4680"/>
              </w:tabs>
              <w:suppressAutoHyphens/>
              <w:rPr>
                <w:color w:val="000000"/>
                <w:spacing w:val="-2"/>
              </w:rPr>
            </w:pPr>
            <w:r w:rsidRPr="00ED051C">
              <w:rPr>
                <w:color w:val="000000"/>
                <w:spacing w:val="-2"/>
              </w:rPr>
              <w:t xml:space="preserve">NAL/Acct. No.: </w:t>
            </w:r>
            <w:r w:rsidRPr="00A2316E" w:rsidR="00A2316E">
              <w:t>202432100002</w:t>
            </w:r>
          </w:p>
          <w:p w:rsidR="0032514E" w:rsidRPr="00ED051C" w:rsidP="00CB191E" w14:paraId="75045176" w14:textId="77777777">
            <w:pPr>
              <w:tabs>
                <w:tab w:val="center" w:pos="4680"/>
              </w:tabs>
              <w:suppressAutoHyphens/>
              <w:rPr>
                <w:color w:val="000000"/>
                <w:spacing w:val="-2"/>
              </w:rPr>
            </w:pPr>
            <w:r w:rsidRPr="00ED051C">
              <w:rPr>
                <w:color w:val="000000"/>
                <w:spacing w:val="-2"/>
              </w:rPr>
              <w:t xml:space="preserve">FRN:  </w:t>
            </w:r>
            <w:r w:rsidRPr="00026588">
              <w:rPr>
                <w:color w:val="000000"/>
                <w:spacing w:val="-2"/>
              </w:rPr>
              <w:t>0028317733</w:t>
            </w:r>
          </w:p>
          <w:p w:rsidR="0032514E" w:rsidRPr="00ED051C" w:rsidP="00CB191E" w14:paraId="41B624B0" w14:textId="77777777">
            <w:pPr>
              <w:tabs>
                <w:tab w:val="center" w:pos="4680"/>
              </w:tabs>
              <w:suppressAutoHyphens/>
              <w:rPr>
                <w:color w:val="000000"/>
                <w:spacing w:val="-2"/>
              </w:rPr>
            </w:pPr>
            <w:r w:rsidRPr="00ED051C">
              <w:rPr>
                <w:color w:val="000000"/>
                <w:spacing w:val="-2"/>
              </w:rPr>
              <w:t xml:space="preserve">             </w:t>
            </w:r>
          </w:p>
        </w:tc>
      </w:tr>
    </w:tbl>
    <w:p w:rsidR="0032514E" w:rsidRPr="00ED051C" w:rsidP="0032514E" w14:paraId="359F322D" w14:textId="77777777">
      <w:pPr>
        <w:pStyle w:val="StyleBoldCentered"/>
        <w:rPr>
          <w:rFonts w:ascii="Times New Roman" w:hAnsi="Times New Roman"/>
          <w:color w:val="000000"/>
        </w:rPr>
      </w:pPr>
      <w:r w:rsidRPr="00ED051C">
        <w:rPr>
          <w:rFonts w:ascii="Times New Roman" w:hAnsi="Times New Roman"/>
          <w:color w:val="000000"/>
        </w:rPr>
        <w:t>NOTICE OF APPARENT LIABILITY FOR FORFEITURE</w:t>
      </w:r>
    </w:p>
    <w:p w:rsidR="0032514E" w:rsidRPr="00ED051C" w:rsidP="0032514E" w14:paraId="3754B30D" w14:textId="77777777">
      <w:pPr>
        <w:pStyle w:val="BodyText"/>
        <w:tabs>
          <w:tab w:val="left" w:pos="4680"/>
        </w:tabs>
        <w:jc w:val="center"/>
        <w:rPr>
          <w:color w:val="000000"/>
          <w:sz w:val="22"/>
          <w:u w:val="none"/>
        </w:rPr>
      </w:pPr>
    </w:p>
    <w:p w:rsidR="0032514E" w:rsidRPr="003D5AFE" w:rsidP="0032514E" w14:paraId="4765D73C" w14:textId="1537128A">
      <w:pPr>
        <w:tabs>
          <w:tab w:val="left" w:pos="720"/>
          <w:tab w:val="right" w:pos="9360"/>
        </w:tabs>
        <w:suppressAutoHyphens/>
        <w:spacing w:line="227" w:lineRule="auto"/>
        <w:rPr>
          <w:b/>
          <w:spacing w:val="-2"/>
        </w:rPr>
      </w:pPr>
      <w:r w:rsidRPr="003D5AFE">
        <w:rPr>
          <w:b/>
          <w:spacing w:val="-2"/>
        </w:rPr>
        <w:t xml:space="preserve">Adopted:  </w:t>
      </w:r>
      <w:r w:rsidR="005D5E3F">
        <w:rPr>
          <w:b/>
          <w:spacing w:val="-2"/>
        </w:rPr>
        <w:t>December 12</w:t>
      </w:r>
      <w:r>
        <w:rPr>
          <w:b/>
          <w:spacing w:val="-2"/>
        </w:rPr>
        <w:t>, 2023</w:t>
      </w:r>
      <w:r w:rsidRPr="003D5AFE">
        <w:rPr>
          <w:b/>
          <w:spacing w:val="-2"/>
        </w:rPr>
        <w:tab/>
        <w:t xml:space="preserve">Released:  </w:t>
      </w:r>
      <w:r w:rsidR="005D5E3F">
        <w:rPr>
          <w:b/>
          <w:spacing w:val="-2"/>
        </w:rPr>
        <w:t>December 1</w:t>
      </w:r>
      <w:r w:rsidR="00E313DD">
        <w:rPr>
          <w:b/>
          <w:spacing w:val="-2"/>
        </w:rPr>
        <w:t>4</w:t>
      </w:r>
      <w:r>
        <w:rPr>
          <w:b/>
          <w:spacing w:val="-2"/>
        </w:rPr>
        <w:t>, 2023</w:t>
      </w:r>
    </w:p>
    <w:p w:rsidR="0032514E" w:rsidRPr="00ED051C" w:rsidP="0032514E" w14:paraId="28FEE6A6" w14:textId="77777777">
      <w:pPr>
        <w:pStyle w:val="BodyText"/>
        <w:tabs>
          <w:tab w:val="left" w:pos="4680"/>
        </w:tabs>
        <w:spacing w:after="120"/>
        <w:jc w:val="center"/>
        <w:rPr>
          <w:color w:val="000000"/>
          <w:sz w:val="22"/>
          <w:u w:val="none"/>
        </w:rPr>
      </w:pPr>
    </w:p>
    <w:p w:rsidR="0032514E" w:rsidP="0032514E" w14:paraId="55E33D94" w14:textId="77777777">
      <w:pPr>
        <w:tabs>
          <w:tab w:val="left" w:pos="720"/>
          <w:tab w:val="left" w:pos="5760"/>
        </w:tabs>
        <w:suppressAutoHyphens/>
        <w:spacing w:line="227" w:lineRule="auto"/>
        <w:jc w:val="both"/>
        <w:rPr>
          <w:spacing w:val="-2"/>
        </w:rPr>
      </w:pPr>
      <w:r w:rsidRPr="00AE2519">
        <w:rPr>
          <w:spacing w:val="-2"/>
        </w:rPr>
        <w:t>By the Commission:</w:t>
      </w:r>
    </w:p>
    <w:p w:rsidR="0032514E" w:rsidP="0032514E" w14:paraId="09BE375A" w14:textId="77777777">
      <w:pPr>
        <w:pStyle w:val="TOCTitle"/>
      </w:pPr>
      <w:bookmarkStart w:id="0" w:name="TOChere"/>
      <w:r>
        <w:t>Table of Contents</w:t>
      </w:r>
    </w:p>
    <w:p w:rsidR="0032514E" w:rsidP="0032514E" w14:paraId="615E3057" w14:textId="77777777">
      <w:pPr>
        <w:pStyle w:val="Paratitle"/>
      </w:pPr>
      <w:r>
        <w:t>Heading</w:t>
      </w:r>
      <w:r>
        <w:tab/>
        <w:t>Paragraph #</w:t>
      </w:r>
      <w:bookmarkStart w:id="1" w:name="start_here"/>
      <w:bookmarkEnd w:id="1"/>
    </w:p>
    <w:p w:rsidR="0032514E" w:rsidRPr="0032514E" w:rsidP="0032514E" w14:paraId="75715FBB" w14:textId="77777777">
      <w:pPr>
        <w:pStyle w:val="TOC1"/>
        <w:rPr>
          <w:rFonts w:ascii="Calibri" w:hAnsi="Calibri"/>
          <w:caps w:val="0"/>
          <w:snapToGrid/>
          <w:kern w:val="2"/>
          <w:szCs w:val="22"/>
        </w:rPr>
      </w:pPr>
      <w:r w:rsidRPr="00655756">
        <w:rPr>
          <w:color w:val="000000"/>
        </w:rPr>
        <w:t>I.</w:t>
      </w:r>
      <w:r w:rsidRPr="0032514E">
        <w:rPr>
          <w:rFonts w:ascii="Calibri" w:hAnsi="Calibri"/>
          <w:caps w:val="0"/>
          <w:snapToGrid/>
          <w:kern w:val="2"/>
          <w:szCs w:val="22"/>
        </w:rPr>
        <w:tab/>
      </w:r>
      <w:r w:rsidRPr="00655756">
        <w:rPr>
          <w:color w:val="000000"/>
        </w:rPr>
        <w:t>INTRODUCTION</w:t>
      </w:r>
      <w:r>
        <w:tab/>
        <w:t>1</w:t>
      </w:r>
    </w:p>
    <w:p w:rsidR="0032514E" w:rsidRPr="0032514E" w:rsidP="0032514E" w14:paraId="197278E1" w14:textId="77777777">
      <w:pPr>
        <w:pStyle w:val="TOC1"/>
        <w:rPr>
          <w:rFonts w:ascii="Calibri" w:hAnsi="Calibri"/>
          <w:caps w:val="0"/>
          <w:snapToGrid/>
          <w:kern w:val="2"/>
          <w:szCs w:val="22"/>
        </w:rPr>
      </w:pPr>
      <w:r w:rsidRPr="00655756">
        <w:rPr>
          <w:color w:val="000000"/>
        </w:rPr>
        <w:t>II.</w:t>
      </w:r>
      <w:r w:rsidRPr="0032514E">
        <w:rPr>
          <w:rFonts w:ascii="Calibri" w:hAnsi="Calibri"/>
          <w:caps w:val="0"/>
          <w:snapToGrid/>
          <w:kern w:val="2"/>
          <w:szCs w:val="22"/>
        </w:rPr>
        <w:tab/>
      </w:r>
      <w:r w:rsidRPr="00655756">
        <w:rPr>
          <w:color w:val="000000"/>
        </w:rPr>
        <w:t>BACKGROUND</w:t>
      </w:r>
      <w:r>
        <w:tab/>
        <w:t>2</w:t>
      </w:r>
    </w:p>
    <w:p w:rsidR="0032514E" w:rsidRPr="0032514E" w:rsidP="0032514E" w14:paraId="57941199" w14:textId="77777777">
      <w:pPr>
        <w:pStyle w:val="TOC2"/>
        <w:tabs>
          <w:tab w:val="left" w:pos="360"/>
        </w:tabs>
        <w:rPr>
          <w:rFonts w:ascii="Calibri" w:hAnsi="Calibri"/>
          <w:snapToGrid/>
          <w:kern w:val="2"/>
          <w:szCs w:val="22"/>
        </w:rPr>
      </w:pPr>
      <w:r w:rsidRPr="00655756">
        <w:rPr>
          <w:color w:val="000000"/>
        </w:rPr>
        <w:t>A.</w:t>
      </w:r>
      <w:r w:rsidRPr="0032514E">
        <w:rPr>
          <w:rFonts w:ascii="Calibri" w:hAnsi="Calibri"/>
          <w:snapToGrid/>
          <w:kern w:val="2"/>
          <w:szCs w:val="22"/>
        </w:rPr>
        <w:tab/>
      </w:r>
      <w:r>
        <w:t>Legal Background.</w:t>
      </w:r>
      <w:r>
        <w:tab/>
        <w:t>2</w:t>
      </w:r>
    </w:p>
    <w:p w:rsidR="0032514E" w:rsidRPr="0032514E" w:rsidP="0032514E" w14:paraId="66740DD2" w14:textId="77777777">
      <w:pPr>
        <w:pStyle w:val="TOC3"/>
        <w:tabs>
          <w:tab w:val="left" w:pos="360"/>
        </w:tabs>
        <w:rPr>
          <w:rFonts w:ascii="Calibri" w:hAnsi="Calibri"/>
          <w:snapToGrid/>
          <w:kern w:val="2"/>
          <w:szCs w:val="22"/>
        </w:rPr>
      </w:pPr>
      <w:r>
        <w:t>1.</w:t>
      </w:r>
      <w:r w:rsidRPr="0032514E">
        <w:rPr>
          <w:rFonts w:ascii="Calibri" w:hAnsi="Calibri"/>
          <w:snapToGrid/>
          <w:kern w:val="2"/>
          <w:szCs w:val="22"/>
        </w:rPr>
        <w:tab/>
      </w:r>
      <w:r>
        <w:t>Equipment Marketing Requirements</w:t>
      </w:r>
      <w:r>
        <w:tab/>
        <w:t>2</w:t>
      </w:r>
    </w:p>
    <w:p w:rsidR="0032514E" w:rsidRPr="0032514E" w:rsidP="0032514E" w14:paraId="0D431911" w14:textId="77777777">
      <w:pPr>
        <w:pStyle w:val="TOC3"/>
        <w:tabs>
          <w:tab w:val="left" w:pos="360"/>
        </w:tabs>
        <w:rPr>
          <w:rFonts w:ascii="Calibri" w:hAnsi="Calibri"/>
          <w:snapToGrid/>
          <w:kern w:val="2"/>
          <w:szCs w:val="22"/>
        </w:rPr>
      </w:pPr>
      <w:r w:rsidRPr="00655756">
        <w:rPr>
          <w:kern w:val="0"/>
        </w:rPr>
        <w:t>2.</w:t>
      </w:r>
      <w:r w:rsidRPr="0032514E">
        <w:rPr>
          <w:rFonts w:ascii="Calibri" w:hAnsi="Calibri"/>
          <w:snapToGrid/>
          <w:kern w:val="2"/>
          <w:szCs w:val="22"/>
        </w:rPr>
        <w:tab/>
      </w:r>
      <w:r w:rsidRPr="00655756">
        <w:rPr>
          <w:kern w:val="0"/>
        </w:rPr>
        <w:t>Duty to Provide Complete Responses to Enforcement Bureau Inquiries</w:t>
      </w:r>
      <w:r>
        <w:tab/>
        <w:t>6</w:t>
      </w:r>
    </w:p>
    <w:p w:rsidR="0032514E" w:rsidRPr="0032514E" w:rsidP="0032514E" w14:paraId="62256A9B" w14:textId="77777777">
      <w:pPr>
        <w:pStyle w:val="TOC2"/>
        <w:tabs>
          <w:tab w:val="left" w:pos="360"/>
        </w:tabs>
        <w:rPr>
          <w:rFonts w:ascii="Calibri" w:hAnsi="Calibri"/>
          <w:snapToGrid/>
          <w:kern w:val="2"/>
          <w:szCs w:val="22"/>
        </w:rPr>
      </w:pPr>
      <w:r>
        <w:t>B.</w:t>
      </w:r>
      <w:r w:rsidRPr="0032514E">
        <w:rPr>
          <w:rFonts w:ascii="Calibri" w:hAnsi="Calibri"/>
          <w:snapToGrid/>
          <w:kern w:val="2"/>
          <w:szCs w:val="22"/>
        </w:rPr>
        <w:tab/>
      </w:r>
      <w:r>
        <w:t>Factual Background</w:t>
      </w:r>
      <w:r>
        <w:tab/>
        <w:t>8</w:t>
      </w:r>
    </w:p>
    <w:p w:rsidR="0032514E" w:rsidRPr="0032514E" w:rsidP="0032514E" w14:paraId="50779672" w14:textId="77777777">
      <w:pPr>
        <w:pStyle w:val="TOC3"/>
        <w:tabs>
          <w:tab w:val="left" w:pos="360"/>
        </w:tabs>
        <w:rPr>
          <w:rFonts w:ascii="Calibri" w:hAnsi="Calibri"/>
          <w:snapToGrid/>
          <w:kern w:val="2"/>
          <w:szCs w:val="22"/>
        </w:rPr>
      </w:pPr>
      <w:r>
        <w:t>1.</w:t>
      </w:r>
      <w:r w:rsidRPr="0032514E">
        <w:rPr>
          <w:rFonts w:ascii="Calibri" w:hAnsi="Calibri"/>
          <w:snapToGrid/>
          <w:kern w:val="2"/>
          <w:szCs w:val="22"/>
        </w:rPr>
        <w:tab/>
      </w:r>
      <w:r>
        <w:t>Prior Investigations</w:t>
      </w:r>
      <w:r>
        <w:tab/>
        <w:t>8</w:t>
      </w:r>
    </w:p>
    <w:p w:rsidR="0032514E" w:rsidRPr="0032514E" w:rsidP="0032514E" w14:paraId="16D380F6" w14:textId="77777777">
      <w:pPr>
        <w:pStyle w:val="TOC3"/>
        <w:tabs>
          <w:tab w:val="left" w:pos="360"/>
        </w:tabs>
        <w:rPr>
          <w:rFonts w:ascii="Calibri" w:hAnsi="Calibri"/>
          <w:snapToGrid/>
          <w:kern w:val="2"/>
          <w:szCs w:val="22"/>
        </w:rPr>
      </w:pPr>
      <w:r>
        <w:t>2.</w:t>
      </w:r>
      <w:r w:rsidRPr="0032514E">
        <w:rPr>
          <w:rFonts w:ascii="Calibri" w:hAnsi="Calibri"/>
          <w:snapToGrid/>
          <w:kern w:val="2"/>
          <w:szCs w:val="22"/>
        </w:rPr>
        <w:tab/>
      </w:r>
      <w:r>
        <w:t>New Investigation</w:t>
      </w:r>
      <w:r>
        <w:tab/>
        <w:t>12</w:t>
      </w:r>
    </w:p>
    <w:p w:rsidR="0032514E" w:rsidRPr="0032514E" w:rsidP="0032514E" w14:paraId="4B072646" w14:textId="77777777">
      <w:pPr>
        <w:pStyle w:val="TOC1"/>
        <w:rPr>
          <w:rFonts w:ascii="Calibri" w:hAnsi="Calibri"/>
          <w:caps w:val="0"/>
          <w:snapToGrid/>
          <w:kern w:val="2"/>
          <w:szCs w:val="22"/>
        </w:rPr>
      </w:pPr>
      <w:r w:rsidRPr="00655756">
        <w:rPr>
          <w:color w:val="000000"/>
        </w:rPr>
        <w:t>III.</w:t>
      </w:r>
      <w:r w:rsidRPr="0032514E">
        <w:rPr>
          <w:rFonts w:ascii="Calibri" w:hAnsi="Calibri"/>
          <w:caps w:val="0"/>
          <w:snapToGrid/>
          <w:kern w:val="2"/>
          <w:szCs w:val="22"/>
        </w:rPr>
        <w:tab/>
      </w:r>
      <w:r w:rsidRPr="00655756">
        <w:rPr>
          <w:bCs/>
        </w:rPr>
        <w:t>DISCUSSION</w:t>
      </w:r>
      <w:r>
        <w:tab/>
        <w:t>14</w:t>
      </w:r>
    </w:p>
    <w:p w:rsidR="0032514E" w:rsidRPr="0032514E" w:rsidP="0032514E" w14:paraId="6C541B27" w14:textId="77777777">
      <w:pPr>
        <w:pStyle w:val="TOC2"/>
        <w:tabs>
          <w:tab w:val="left" w:pos="360"/>
        </w:tabs>
        <w:rPr>
          <w:rFonts w:ascii="Calibri" w:hAnsi="Calibri"/>
          <w:snapToGrid/>
          <w:kern w:val="2"/>
          <w:szCs w:val="22"/>
        </w:rPr>
      </w:pPr>
      <w:r w:rsidRPr="00655756">
        <w:rPr>
          <w:color w:val="000000"/>
        </w:rPr>
        <w:t>A.</w:t>
      </w:r>
      <w:r w:rsidRPr="0032514E">
        <w:rPr>
          <w:rFonts w:ascii="Calibri" w:hAnsi="Calibri"/>
          <w:snapToGrid/>
          <w:kern w:val="2"/>
          <w:szCs w:val="22"/>
        </w:rPr>
        <w:tab/>
      </w:r>
      <w:r>
        <w:t>Sound Around Apparently Violated Section 302 of the Act and Section 2.803 of the Commission’s Rules</w:t>
      </w:r>
      <w:r>
        <w:tab/>
        <w:t>15</w:t>
      </w:r>
    </w:p>
    <w:p w:rsidR="0032514E" w:rsidRPr="0032514E" w:rsidP="0032514E" w14:paraId="71A28B32" w14:textId="77777777">
      <w:pPr>
        <w:pStyle w:val="TOC2"/>
        <w:tabs>
          <w:tab w:val="left" w:pos="360"/>
        </w:tabs>
        <w:rPr>
          <w:rFonts w:ascii="Calibri" w:hAnsi="Calibri"/>
          <w:snapToGrid/>
          <w:kern w:val="2"/>
          <w:szCs w:val="22"/>
        </w:rPr>
      </w:pPr>
      <w:r>
        <w:t>B.</w:t>
      </w:r>
      <w:r w:rsidRPr="0032514E">
        <w:rPr>
          <w:rFonts w:ascii="Calibri" w:hAnsi="Calibri"/>
          <w:snapToGrid/>
          <w:kern w:val="2"/>
          <w:szCs w:val="22"/>
        </w:rPr>
        <w:tab/>
      </w:r>
      <w:r>
        <w:t>Sound Around Apparently Violated Commission Orders with Incomplete LOI Responses</w:t>
      </w:r>
      <w:r>
        <w:tab/>
        <w:t>19</w:t>
      </w:r>
    </w:p>
    <w:p w:rsidR="0032514E" w:rsidRPr="0032514E" w:rsidP="0032514E" w14:paraId="03C2E9E4" w14:textId="77777777">
      <w:pPr>
        <w:pStyle w:val="TOC2"/>
        <w:tabs>
          <w:tab w:val="left" w:pos="360"/>
        </w:tabs>
        <w:rPr>
          <w:rFonts w:ascii="Calibri" w:hAnsi="Calibri"/>
          <w:snapToGrid/>
          <w:kern w:val="2"/>
          <w:szCs w:val="22"/>
        </w:rPr>
      </w:pPr>
      <w:r>
        <w:t>C.</w:t>
      </w:r>
      <w:r w:rsidRPr="0032514E">
        <w:rPr>
          <w:rFonts w:ascii="Calibri" w:hAnsi="Calibri"/>
          <w:snapToGrid/>
          <w:kern w:val="2"/>
          <w:szCs w:val="22"/>
        </w:rPr>
        <w:tab/>
      </w:r>
      <w:r>
        <w:t>Proposed Forfeiture</w:t>
      </w:r>
      <w:r>
        <w:tab/>
        <w:t>24</w:t>
      </w:r>
    </w:p>
    <w:p w:rsidR="0032514E" w:rsidRPr="0032514E" w:rsidP="0032514E" w14:paraId="67937285" w14:textId="77777777">
      <w:pPr>
        <w:pStyle w:val="TOC1"/>
        <w:rPr>
          <w:rFonts w:ascii="Calibri" w:hAnsi="Calibri"/>
          <w:caps w:val="0"/>
          <w:snapToGrid/>
          <w:kern w:val="2"/>
          <w:szCs w:val="22"/>
        </w:rPr>
      </w:pPr>
      <w:r>
        <w:t>IV.</w:t>
      </w:r>
      <w:r w:rsidRPr="0032514E">
        <w:rPr>
          <w:rFonts w:ascii="Calibri" w:hAnsi="Calibri"/>
          <w:caps w:val="0"/>
          <w:snapToGrid/>
          <w:kern w:val="2"/>
          <w:szCs w:val="22"/>
        </w:rPr>
        <w:tab/>
      </w:r>
      <w:r>
        <w:t>conclusion</w:t>
      </w:r>
      <w:r>
        <w:tab/>
        <w:t>35</w:t>
      </w:r>
    </w:p>
    <w:p w:rsidR="0032514E" w:rsidRPr="0032514E" w:rsidP="0032514E" w14:paraId="1E9D35FB" w14:textId="77777777">
      <w:pPr>
        <w:pStyle w:val="TOC1"/>
        <w:rPr>
          <w:rFonts w:ascii="Calibri" w:hAnsi="Calibri"/>
          <w:caps w:val="0"/>
          <w:snapToGrid/>
          <w:kern w:val="2"/>
          <w:szCs w:val="22"/>
        </w:rPr>
      </w:pPr>
      <w:r>
        <w:t>V.</w:t>
      </w:r>
      <w:r w:rsidRPr="0032514E">
        <w:rPr>
          <w:rFonts w:ascii="Calibri" w:hAnsi="Calibri"/>
          <w:caps w:val="0"/>
          <w:snapToGrid/>
          <w:kern w:val="2"/>
          <w:szCs w:val="22"/>
        </w:rPr>
        <w:tab/>
      </w:r>
      <w:r>
        <w:t>ORDERING CLAUSES</w:t>
      </w:r>
      <w:r>
        <w:tab/>
        <w:t>36</w:t>
      </w:r>
    </w:p>
    <w:bookmarkEnd w:id="0"/>
    <w:p w:rsidR="0032514E" w:rsidP="0032514E" w14:paraId="102C939C" w14:textId="77777777">
      <w:pPr>
        <w:tabs>
          <w:tab w:val="left" w:pos="720"/>
          <w:tab w:val="left" w:pos="5760"/>
        </w:tabs>
        <w:suppressAutoHyphens/>
        <w:spacing w:line="227" w:lineRule="auto"/>
        <w:jc w:val="both"/>
        <w:rPr>
          <w:spacing w:val="-2"/>
        </w:rPr>
      </w:pPr>
    </w:p>
    <w:p w:rsidR="0032514E" w:rsidRPr="00ED051C" w:rsidP="0032514E" w14:paraId="19278EB5" w14:textId="77777777">
      <w:pPr>
        <w:pStyle w:val="Heading1"/>
        <w:rPr>
          <w:rFonts w:ascii="Times New Roman" w:hAnsi="Times New Roman"/>
          <w:color w:val="000000"/>
        </w:rPr>
      </w:pPr>
      <w:bookmarkStart w:id="2" w:name="_Toc30159975"/>
      <w:bookmarkStart w:id="3" w:name="_Toc30682815"/>
      <w:bookmarkStart w:id="4" w:name="_Toc31974077"/>
      <w:bookmarkStart w:id="5" w:name="_Toc34812802"/>
      <w:bookmarkStart w:id="6" w:name="_Toc34923184"/>
      <w:bookmarkStart w:id="7" w:name="_Toc141094938"/>
      <w:bookmarkStart w:id="8" w:name="_Toc141258479"/>
      <w:bookmarkStart w:id="9" w:name="_Toc143249347"/>
      <w:bookmarkStart w:id="10" w:name="_Toc143263528"/>
      <w:bookmarkStart w:id="11" w:name="_Toc143608154"/>
      <w:bookmarkStart w:id="12" w:name="_Toc146190774"/>
      <w:bookmarkStart w:id="13" w:name="_Toc146717479"/>
      <w:bookmarkStart w:id="14" w:name="_Toc146807822"/>
      <w:bookmarkStart w:id="15" w:name="_Toc149205583"/>
      <w:bookmarkStart w:id="16" w:name="_Toc149644909"/>
      <w:r w:rsidRPr="00ED051C">
        <w:rPr>
          <w:rFonts w:ascii="Times New Roman" w:hAnsi="Times New Roman"/>
          <w:color w:val="000000"/>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2514E" w:rsidRPr="00E94270" w:rsidP="0032514E" w14:paraId="1D9A70BA" w14:textId="77777777">
      <w:pPr>
        <w:pStyle w:val="ParaNum"/>
        <w:widowControl/>
        <w:rPr>
          <w:szCs w:val="22"/>
        </w:rPr>
      </w:pPr>
      <w:r w:rsidRPr="00E94270">
        <w:rPr>
          <w:szCs w:val="22"/>
        </w:rPr>
        <w:t xml:space="preserve">We propose a penalty of </w:t>
      </w:r>
      <w:bookmarkStart w:id="17" w:name="_Hlk151453402"/>
      <w:r w:rsidRPr="00E94270">
        <w:rPr>
          <w:szCs w:val="22"/>
        </w:rPr>
        <w:t xml:space="preserve">$1,202,454 </w:t>
      </w:r>
      <w:bookmarkEnd w:id="17"/>
      <w:r w:rsidRPr="00E94270">
        <w:rPr>
          <w:szCs w:val="22"/>
        </w:rPr>
        <w:t>against Sound Around, Inc. (Sound Around or Company) for apparently</w:t>
      </w:r>
      <w:r>
        <w:rPr>
          <w:szCs w:val="22"/>
        </w:rPr>
        <w:t xml:space="preserve"> violating section 302 of the </w:t>
      </w:r>
      <w:r>
        <w:t>Communications Act of 1934, as amended (the Act) and section 2.803 of the Commission’s rules through the</w:t>
      </w:r>
      <w:r w:rsidRPr="00E94270">
        <w:rPr>
          <w:szCs w:val="22"/>
        </w:rPr>
        <w:t xml:space="preserve"> marketing </w:t>
      </w:r>
      <w:r>
        <w:rPr>
          <w:szCs w:val="22"/>
        </w:rPr>
        <w:t xml:space="preserve">of </w:t>
      </w:r>
      <w:r w:rsidRPr="00E94270">
        <w:rPr>
          <w:szCs w:val="22"/>
        </w:rPr>
        <w:t xml:space="preserve">noncompliant radio frequency devices and for failing to comply with Commission orders.  </w:t>
      </w:r>
      <w:bookmarkStart w:id="18" w:name="_Hlk149139634"/>
      <w:r w:rsidRPr="00430465">
        <w:rPr>
          <w:szCs w:val="22"/>
        </w:rPr>
        <w:t xml:space="preserve">Following an extensive investigation, </w:t>
      </w:r>
      <w:r w:rsidRPr="00E94270">
        <w:rPr>
          <w:szCs w:val="22"/>
        </w:rPr>
        <w:t xml:space="preserve">the Commission finds that Sound Around marketed 33 radio frequency device models before the models had been authorized in accordance with the Commission’s rules.  These apparent violations are compounded by the fact that the Company had earlier been cited and </w:t>
      </w:r>
      <w:r>
        <w:rPr>
          <w:szCs w:val="22"/>
        </w:rPr>
        <w:t>investigated</w:t>
      </w:r>
      <w:r w:rsidRPr="00E94270">
        <w:rPr>
          <w:szCs w:val="22"/>
        </w:rPr>
        <w:t xml:space="preserve"> for violations of the Commission’s equipment authorization and marketing requirements multiple times</w:t>
      </w:r>
      <w:r>
        <w:rPr>
          <w:szCs w:val="22"/>
        </w:rPr>
        <w:t>, with an earlier investigation resulting in a Forfeiture Order in 2022</w:t>
      </w:r>
      <w:bookmarkEnd w:id="18"/>
      <w:r w:rsidRPr="00E94270">
        <w:rPr>
          <w:szCs w:val="22"/>
        </w:rPr>
        <w:t>.  Instead of complying with the Commission’s rules, Sound Around continued to market noncompliant radio frequency devices.  Additionally, Sound Around provided incomplete responses to the Bureau’s inquiries in this investigation, thereby obstructing the Bureau’s investigation into the Company’s marketing practices</w:t>
      </w:r>
      <w:r>
        <w:rPr>
          <w:szCs w:val="22"/>
        </w:rPr>
        <w:t xml:space="preserve"> and apparently violating two Commission orders</w:t>
      </w:r>
      <w:r w:rsidRPr="00E94270">
        <w:rPr>
          <w:szCs w:val="22"/>
        </w:rPr>
        <w:t>.  Accordingly, we propose a significant fine.</w:t>
      </w:r>
    </w:p>
    <w:p w:rsidR="0032514E" w:rsidP="0032514E" w14:paraId="48E3412C" w14:textId="77777777">
      <w:pPr>
        <w:pStyle w:val="Heading1"/>
        <w:rPr>
          <w:rFonts w:ascii="Times New Roman" w:hAnsi="Times New Roman"/>
          <w:color w:val="000000"/>
        </w:rPr>
      </w:pPr>
      <w:bookmarkStart w:id="19" w:name="_Toc30159976"/>
      <w:bookmarkStart w:id="20" w:name="_Toc30682816"/>
      <w:bookmarkStart w:id="21" w:name="_Toc31974078"/>
      <w:bookmarkStart w:id="22" w:name="_Toc34812803"/>
      <w:bookmarkStart w:id="23" w:name="_Toc34923185"/>
      <w:bookmarkStart w:id="24" w:name="_Toc141094939"/>
      <w:bookmarkStart w:id="25" w:name="_Toc141258480"/>
      <w:bookmarkStart w:id="26" w:name="_Toc143249348"/>
      <w:bookmarkStart w:id="27" w:name="_Toc143263529"/>
      <w:bookmarkStart w:id="28" w:name="_Toc143608155"/>
      <w:bookmarkStart w:id="29" w:name="_Toc146190775"/>
      <w:bookmarkStart w:id="30" w:name="_Toc146717480"/>
      <w:bookmarkStart w:id="31" w:name="_Toc146807823"/>
      <w:bookmarkStart w:id="32" w:name="_Toc149205584"/>
      <w:bookmarkStart w:id="33" w:name="_Toc149644910"/>
      <w:r w:rsidRPr="00ED051C">
        <w:rPr>
          <w:rFonts w:ascii="Times New Roman" w:hAnsi="Times New Roman"/>
          <w:color w:val="000000"/>
        </w:rPr>
        <w:t>BACKGROUND</w:t>
      </w:r>
      <w:bookmarkStart w:id="34" w:name="_Hlk300633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2514E" w:rsidRPr="000F1EC1" w:rsidP="0032514E" w14:paraId="51481843" w14:textId="77777777">
      <w:pPr>
        <w:pStyle w:val="Heading2"/>
        <w:rPr>
          <w:color w:val="000000"/>
        </w:rPr>
      </w:pPr>
      <w:bookmarkStart w:id="35" w:name="_Toc141258481"/>
      <w:bookmarkStart w:id="36" w:name="_Toc143249349"/>
      <w:bookmarkStart w:id="37" w:name="_Toc143263530"/>
      <w:bookmarkStart w:id="38" w:name="_Toc143608156"/>
      <w:bookmarkStart w:id="39" w:name="_Toc146190776"/>
      <w:bookmarkStart w:id="40" w:name="_Toc146717481"/>
      <w:bookmarkStart w:id="41" w:name="_Toc146807824"/>
      <w:bookmarkStart w:id="42" w:name="_Toc149205585"/>
      <w:bookmarkStart w:id="43" w:name="_Toc149644911"/>
      <w:r w:rsidRPr="009D0B1C">
        <w:t>Legal Background.</w:t>
      </w:r>
      <w:bookmarkEnd w:id="35"/>
      <w:bookmarkEnd w:id="36"/>
      <w:bookmarkEnd w:id="37"/>
      <w:bookmarkEnd w:id="38"/>
      <w:bookmarkEnd w:id="39"/>
      <w:bookmarkEnd w:id="40"/>
      <w:bookmarkEnd w:id="41"/>
      <w:bookmarkEnd w:id="42"/>
      <w:bookmarkEnd w:id="43"/>
      <w:r w:rsidRPr="009D0B1C">
        <w:t xml:space="preserve">  </w:t>
      </w:r>
    </w:p>
    <w:p w:rsidR="0032514E" w:rsidRPr="00754970" w:rsidP="0032514E" w14:paraId="55D7B607" w14:textId="77777777">
      <w:pPr>
        <w:pStyle w:val="Heading3"/>
      </w:pPr>
      <w:bookmarkStart w:id="44" w:name="_Toc143263531"/>
      <w:bookmarkStart w:id="45" w:name="_Toc143608157"/>
      <w:bookmarkStart w:id="46" w:name="_Toc146190777"/>
      <w:bookmarkStart w:id="47" w:name="_Toc146717482"/>
      <w:bookmarkStart w:id="48" w:name="_Toc146807825"/>
      <w:bookmarkStart w:id="49" w:name="_Toc149205586"/>
      <w:bookmarkStart w:id="50" w:name="_Toc149644912"/>
      <w:r>
        <w:t>Equipment Marketing</w:t>
      </w:r>
      <w:bookmarkEnd w:id="44"/>
      <w:bookmarkEnd w:id="45"/>
      <w:bookmarkEnd w:id="46"/>
      <w:bookmarkEnd w:id="47"/>
      <w:r>
        <w:t xml:space="preserve"> Requirements</w:t>
      </w:r>
      <w:bookmarkEnd w:id="48"/>
      <w:bookmarkEnd w:id="49"/>
      <w:bookmarkEnd w:id="50"/>
    </w:p>
    <w:p w:rsidR="0032514E" w:rsidRPr="00DB67EC" w:rsidP="0032514E" w14:paraId="4F6F15C4" w14:textId="77777777">
      <w:pPr>
        <w:pStyle w:val="ParaNum"/>
        <w:rPr>
          <w:color w:val="000000"/>
        </w:rPr>
      </w:pPr>
      <w:r>
        <w:t>The Act, and the Commission’s equipment marketing rules collectively require marketers of radio frequency devices to ensure, prior to advertising or selling such devices, that they will not cause harmful interference to authorized radio communications.</w:t>
      </w:r>
      <w:bookmarkStart w:id="51" w:name="_Ref149641359"/>
      <w:r>
        <w:rPr>
          <w:rStyle w:val="FootnoteReference"/>
        </w:rPr>
        <w:footnoteReference w:id="3"/>
      </w:r>
      <w:bookmarkEnd w:id="51"/>
      <w:r>
        <w:t xml:space="preserve">  Specifically, section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4"/>
      </w:r>
      <w:r>
        <w:t xml:space="preserve">  The Commission has long-standing regulations, including technical and authorization requirements, designed to prevent interference from devices that emit radio frequency energy and to inform users that the equipment has been properly authorized.  </w:t>
      </w:r>
    </w:p>
    <w:p w:rsidR="0032514E" w:rsidRPr="00E94270" w:rsidP="0032514E" w14:paraId="73A2D744" w14:textId="77777777">
      <w:pPr>
        <w:pStyle w:val="ParaNum"/>
        <w:rPr>
          <w:color w:val="000000"/>
          <w:szCs w:val="22"/>
        </w:rPr>
      </w:pPr>
      <w:r w:rsidRPr="00E94270">
        <w:rPr>
          <w:szCs w:val="22"/>
        </w:rPr>
        <w:t>Section 2.803(b)(1) of the Commission’s rules provides that no person may market a radio frequency device that is subject to certification unless the device has been authorized in accordance with the rules and is properly identified and labeled</w:t>
      </w:r>
      <w:r>
        <w:rPr>
          <w:szCs w:val="22"/>
        </w:rPr>
        <w:t>.</w:t>
      </w:r>
      <w:r>
        <w:rPr>
          <w:rStyle w:val="FootnoteReference"/>
        </w:rPr>
        <w:footnoteReference w:id="5"/>
      </w:r>
      <w:r>
        <w:rPr>
          <w:szCs w:val="22"/>
        </w:rPr>
        <w:t xml:space="preserve">  Section 2.803(b)(2) bars the marketing of a device subject to authorization under a Supplier’s Declaration of Conformity (SDOC) until “the device complies with all technical, labeling, identification and administrative requirements.”</w:t>
      </w:r>
      <w:bookmarkStart w:id="52" w:name="_Hlk149229866"/>
      <w:r>
        <w:rPr>
          <w:rStyle w:val="FootnoteReference"/>
        </w:rPr>
        <w:footnoteReference w:id="6"/>
      </w:r>
      <w:bookmarkEnd w:id="52"/>
      <w:r w:rsidRPr="00E94270">
        <w:rPr>
          <w:szCs w:val="22"/>
        </w:rPr>
        <w:t xml:space="preserve">  In the context of the Commission’s equipment marketing rules, the term “marketing” means the “sale or lease, or offering for sale or lease, including advertising for sale or lease, or importation, shipment, or distribution for the purpose of selling or leasing or offering for sale or lease.”</w:t>
      </w:r>
      <w:r>
        <w:rPr>
          <w:rStyle w:val="FootnoteReference"/>
        </w:rPr>
        <w:footnoteReference w:id="7"/>
      </w:r>
    </w:p>
    <w:p w:rsidR="0032514E" w:rsidRPr="0065642F" w:rsidP="0032514E" w14:paraId="49294E74" w14:textId="77777777">
      <w:pPr>
        <w:pStyle w:val="ParaNum"/>
        <w:rPr>
          <w:color w:val="000000"/>
        </w:rPr>
      </w:pPr>
      <w:bookmarkStart w:id="53" w:name="_Ref141259032"/>
      <w:r w:rsidRPr="00EA5601">
        <w:t>Intentional radiators</w:t>
      </w:r>
      <w:r>
        <w:t xml:space="preserve"> </w:t>
      </w:r>
      <w:r w:rsidRPr="00EA5601">
        <w:t xml:space="preserve">must be properly authorized and labeled in accordance with the Commission’s equipment </w:t>
      </w:r>
      <w:r>
        <w:t>c</w:t>
      </w:r>
      <w:r w:rsidRPr="00EA5601">
        <w:t>ertification process</w:t>
      </w:r>
      <w:r>
        <w:t xml:space="preserve"> prior to marketing</w:t>
      </w:r>
      <w:r w:rsidRPr="00EA5601">
        <w:t>.</w:t>
      </w:r>
      <w:r>
        <w:rPr>
          <w:rStyle w:val="FootnoteReference"/>
        </w:rPr>
        <w:footnoteReference w:id="8"/>
      </w:r>
      <w:r w:rsidRPr="00151901">
        <w:t xml:space="preserve">  </w:t>
      </w:r>
      <w:r>
        <w:t>C</w:t>
      </w:r>
      <w:r w:rsidRPr="002D3E96">
        <w:t>ertification is an equipment authorization</w:t>
      </w:r>
      <w:r>
        <w:t xml:space="preserve"> process that </w:t>
      </w:r>
      <w:r w:rsidRPr="002D3E96">
        <w:t>us</w:t>
      </w:r>
      <w:r>
        <w:t>es</w:t>
      </w:r>
      <w:r w:rsidRPr="002D3E96">
        <w:t xml:space="preserve"> third-party </w:t>
      </w:r>
      <w:r w:rsidRPr="007043A4">
        <w:t>Commission</w:t>
      </w:r>
      <w:r w:rsidRPr="002D3E96">
        <w:t>-recognized Telecommunication Certification Bod</w:t>
      </w:r>
      <w:r>
        <w:t>ies</w:t>
      </w:r>
      <w:r w:rsidRPr="002D3E96">
        <w:t xml:space="preserve"> </w:t>
      </w:r>
      <w:r>
        <w:t xml:space="preserve">to </w:t>
      </w:r>
      <w:r w:rsidRPr="002D3E96">
        <w:t>evaluat</w:t>
      </w:r>
      <w:r>
        <w:t>e</w:t>
      </w:r>
      <w:r w:rsidRPr="002D3E96">
        <w:t xml:space="preserve"> </w:t>
      </w:r>
      <w:r>
        <w:t>a</w:t>
      </w:r>
      <w:r w:rsidRPr="002D3E96">
        <w:t>pplication</w:t>
      </w:r>
      <w:r>
        <w:t>s</w:t>
      </w:r>
      <w:r w:rsidRPr="002D3E96">
        <w:t xml:space="preserve"> submitted by responsible part</w:t>
      </w:r>
      <w:r>
        <w:t>ies</w:t>
      </w:r>
      <w:r w:rsidRPr="002D3E96">
        <w:t xml:space="preserve"> (e.g., manufacturer</w:t>
      </w:r>
      <w:r>
        <w:t>s</w:t>
      </w:r>
      <w:r w:rsidRPr="002D3E96">
        <w:t xml:space="preserve"> or importer</w:t>
      </w:r>
      <w:r>
        <w:t>s</w:t>
      </w:r>
      <w:r w:rsidRPr="002D3E96">
        <w:t xml:space="preserve">) to </w:t>
      </w:r>
      <w:r>
        <w:t>determine whether the device meets the technical requirements for authorization.</w:t>
      </w:r>
      <w:r>
        <w:rPr>
          <w:rStyle w:val="FootnoteReference"/>
          <w:szCs w:val="22"/>
        </w:rPr>
        <w:footnoteReference w:id="9"/>
      </w:r>
      <w:r w:rsidRPr="002D3E96">
        <w:t xml:space="preserve"> </w:t>
      </w:r>
      <w:r>
        <w:t xml:space="preserve"> If a subsequent device model is electronically identical to a model that was originally tested and authorized, then the authorization of the originally tested model may attach to the subsequently marketed model.</w:t>
      </w:r>
      <w:r>
        <w:rPr>
          <w:rStyle w:val="FootnoteReference"/>
        </w:rPr>
        <w:footnoteReference w:id="10"/>
      </w:r>
    </w:p>
    <w:p w:rsidR="0032514E" w:rsidRPr="00754970" w:rsidP="0032514E" w14:paraId="50B390A1" w14:textId="77777777">
      <w:pPr>
        <w:pStyle w:val="ParaNum"/>
        <w:widowControl/>
        <w:rPr>
          <w:kern w:val="0"/>
        </w:rPr>
      </w:pPr>
      <w:bookmarkStart w:id="54" w:name="_Ref146723378"/>
      <w:r>
        <w:t>Unintentional radiators can be authorized with a certification or an SDOC authorization.</w:t>
      </w:r>
      <w:r>
        <w:rPr>
          <w:rStyle w:val="FootnoteReference"/>
        </w:rPr>
        <w:footnoteReference w:id="11"/>
      </w:r>
      <w:bookmarkEnd w:id="53"/>
      <w:r>
        <w:t xml:space="preserve">  The procedure to obtain an SDOC is one in which the responsible party, as defined in section 2.909 of the </w:t>
      </w:r>
      <w:r>
        <w:t>Commission’s rules,</w:t>
      </w:r>
      <w:r>
        <w:rPr>
          <w:rStyle w:val="FootnoteReference"/>
        </w:rPr>
        <w:footnoteReference w:id="12"/>
      </w:r>
      <w:r>
        <w:t xml:space="preserve"> tests the device to ensure that the device complies with the appropriate technical requirements.</w:t>
      </w:r>
      <w:bookmarkStart w:id="55" w:name="_Ref148691299"/>
      <w:r>
        <w:rPr>
          <w:rStyle w:val="FootnoteReference"/>
        </w:rPr>
        <w:footnoteReference w:id="13"/>
      </w:r>
      <w:bookmarkEnd w:id="55"/>
      <w:r>
        <w:t xml:space="preserve">  </w:t>
      </w:r>
      <w:r w:rsidRPr="002D3E96">
        <w:t>E</w:t>
      </w:r>
      <w:r>
        <w:t>quipment</w:t>
      </w:r>
      <w:r w:rsidRPr="002D3E96">
        <w:t xml:space="preserve"> is also subject to labeling requirements based on the equipment authorization procedure prescribed in the specific </w:t>
      </w:r>
      <w:r w:rsidRPr="007043A4">
        <w:t>Commission</w:t>
      </w:r>
      <w:r w:rsidRPr="002D3E96">
        <w:t xml:space="preserve"> rules </w:t>
      </w:r>
      <w:r w:rsidRPr="00754970">
        <w:rPr>
          <w:kern w:val="0"/>
        </w:rPr>
        <w:t>that apply to the product.</w:t>
      </w:r>
      <w:r>
        <w:rPr>
          <w:rStyle w:val="FootnoteReference"/>
          <w:kern w:val="0"/>
        </w:rPr>
        <w:footnoteReference w:id="14"/>
      </w:r>
      <w:bookmarkEnd w:id="54"/>
    </w:p>
    <w:p w:rsidR="0032514E" w:rsidRPr="00754970" w:rsidP="0032514E" w14:paraId="13C05E30" w14:textId="77777777">
      <w:pPr>
        <w:pStyle w:val="Heading3"/>
        <w:rPr>
          <w:kern w:val="0"/>
        </w:rPr>
      </w:pPr>
      <w:bookmarkStart w:id="56" w:name="_Toc143263532"/>
      <w:bookmarkStart w:id="57" w:name="_Toc143608158"/>
      <w:bookmarkStart w:id="58" w:name="_Toc146190778"/>
      <w:bookmarkStart w:id="59" w:name="_Toc146717483"/>
      <w:bookmarkStart w:id="60" w:name="_Toc146807826"/>
      <w:bookmarkStart w:id="61" w:name="_Toc149205587"/>
      <w:bookmarkStart w:id="62" w:name="_Toc149644913"/>
      <w:r w:rsidRPr="00754970">
        <w:rPr>
          <w:kern w:val="0"/>
        </w:rPr>
        <w:t xml:space="preserve">Duty to Provide Complete Responses to </w:t>
      </w:r>
      <w:r>
        <w:rPr>
          <w:kern w:val="0"/>
        </w:rPr>
        <w:t xml:space="preserve">Enforcement </w:t>
      </w:r>
      <w:r w:rsidRPr="00754970">
        <w:rPr>
          <w:kern w:val="0"/>
        </w:rPr>
        <w:t>Bureau Inquiries</w:t>
      </w:r>
      <w:bookmarkEnd w:id="56"/>
      <w:bookmarkEnd w:id="57"/>
      <w:bookmarkEnd w:id="58"/>
      <w:bookmarkEnd w:id="59"/>
      <w:bookmarkEnd w:id="60"/>
      <w:bookmarkEnd w:id="61"/>
      <w:bookmarkEnd w:id="62"/>
      <w:r w:rsidRPr="00754970">
        <w:rPr>
          <w:kern w:val="0"/>
        </w:rPr>
        <w:t xml:space="preserve"> </w:t>
      </w:r>
    </w:p>
    <w:p w:rsidR="0032514E" w:rsidRPr="00754970" w:rsidP="0032514E" w14:paraId="55EA07EA" w14:textId="77777777">
      <w:pPr>
        <w:pStyle w:val="ParaNum"/>
      </w:pPr>
      <w:r w:rsidRPr="00754970">
        <w:t>The Commission’s authority to conduct investigations and to compel entities to provide information and documents sought during investigations is well</w:t>
      </w:r>
      <w:r>
        <w:t xml:space="preserve"> </w:t>
      </w:r>
      <w:r w:rsidRPr="00754970">
        <w:t>established.</w:t>
      </w:r>
      <w:bookmarkStart w:id="63" w:name="_Ref143255709"/>
      <w:r>
        <w:rPr>
          <w:rStyle w:val="FootnoteReference"/>
          <w:kern w:val="0"/>
        </w:rPr>
        <w:footnoteReference w:id="15"/>
      </w:r>
      <w:bookmarkEnd w:id="63"/>
      <w:r w:rsidRPr="00754970">
        <w:t xml:space="preserve">  Section 403 of the Act </w:t>
      </w:r>
      <w:r w:rsidRPr="00754970">
        <w:rPr>
          <w:szCs w:val="22"/>
        </w:rPr>
        <w:t xml:space="preserve">grants the Commission “full authority and power to institute an inquiry, </w:t>
      </w:r>
      <w:r w:rsidRPr="00754970">
        <w:rPr>
          <w:rStyle w:val="cosearchterm"/>
          <w:kern w:val="0"/>
          <w:szCs w:val="22"/>
        </w:rPr>
        <w:t>on</w:t>
      </w:r>
      <w:r w:rsidRPr="00754970">
        <w:rPr>
          <w:szCs w:val="22"/>
        </w:rPr>
        <w:t xml:space="preserve"> its </w:t>
      </w:r>
      <w:r w:rsidRPr="00754970">
        <w:rPr>
          <w:rStyle w:val="cosearchterm"/>
          <w:kern w:val="0"/>
          <w:szCs w:val="22"/>
        </w:rPr>
        <w:t>own</w:t>
      </w:r>
      <w:r w:rsidRPr="00754970">
        <w:rPr>
          <w:szCs w:val="22"/>
        </w:rPr>
        <w:t xml:space="preserve"> </w:t>
      </w:r>
      <w:r w:rsidRPr="00754970">
        <w:rPr>
          <w:rStyle w:val="cosearchterm"/>
          <w:kern w:val="0"/>
          <w:szCs w:val="22"/>
        </w:rPr>
        <w:t>motion</w:t>
      </w:r>
      <w:r w:rsidRPr="00754970">
        <w:rPr>
          <w:szCs w:val="22"/>
        </w:rPr>
        <w:t xml:space="preserve"> . . . relating to the enforcement of any of the provisions of this Act.”</w:t>
      </w:r>
      <w:r>
        <w:rPr>
          <w:rStyle w:val="FootnoteReference"/>
          <w:kern w:val="0"/>
          <w:szCs w:val="22"/>
        </w:rPr>
        <w:footnoteReference w:id="16"/>
      </w:r>
      <w:r w:rsidRPr="00754970">
        <w:rPr>
          <w:szCs w:val="22"/>
        </w:rPr>
        <w:t xml:space="preserve">  The Commission </w:t>
      </w:r>
      <w:r>
        <w:rPr>
          <w:color w:val="000000"/>
          <w:szCs w:val="22"/>
        </w:rPr>
        <w:t>possesses</w:t>
      </w:r>
      <w:r w:rsidRPr="00754970">
        <w:rPr>
          <w:color w:val="000000"/>
          <w:szCs w:val="22"/>
        </w:rPr>
        <w:t xml:space="preserve"> broad investigatory authority</w:t>
      </w:r>
      <w:r w:rsidRPr="00754970">
        <w:rPr>
          <w:szCs w:val="22"/>
        </w:rPr>
        <w:t xml:space="preserve"> and has repeatedly taken enforcement action against entities that disregard orders to provide information related to potential violations.</w:t>
      </w:r>
      <w:bookmarkStart w:id="64" w:name="_Ref143267054"/>
      <w:r>
        <w:rPr>
          <w:rStyle w:val="FootnoteReference"/>
          <w:kern w:val="0"/>
          <w:szCs w:val="22"/>
        </w:rPr>
        <w:footnoteReference w:id="17"/>
      </w:r>
      <w:bookmarkEnd w:id="64"/>
      <w:r w:rsidRPr="00754970">
        <w:rPr>
          <w:szCs w:val="22"/>
        </w:rPr>
        <w:t xml:space="preserve">  The </w:t>
      </w:r>
      <w:r>
        <w:rPr>
          <w:szCs w:val="22"/>
        </w:rPr>
        <w:t xml:space="preserve">Enforcement </w:t>
      </w:r>
      <w:r w:rsidRPr="00754970">
        <w:rPr>
          <w:szCs w:val="22"/>
        </w:rPr>
        <w:t>Bureau</w:t>
      </w:r>
      <w:r>
        <w:rPr>
          <w:szCs w:val="22"/>
        </w:rPr>
        <w:t xml:space="preserve"> (Bureau)</w:t>
      </w:r>
      <w:r w:rsidRPr="00754970">
        <w:rPr>
          <w:szCs w:val="22"/>
        </w:rPr>
        <w:t xml:space="preserve"> similarly has been delegated by the Commission authority to “conduct investigations . . . on its own initiative” of potential violations of the Act or the Commission’s rules.</w:t>
      </w:r>
      <w:r>
        <w:rPr>
          <w:rStyle w:val="FootnoteReference"/>
          <w:kern w:val="0"/>
          <w:szCs w:val="22"/>
        </w:rPr>
        <w:footnoteReference w:id="18"/>
      </w:r>
      <w:r w:rsidRPr="00754970">
        <w:rPr>
          <w:szCs w:val="22"/>
        </w:rPr>
        <w:t xml:space="preserve">  </w:t>
      </w:r>
    </w:p>
    <w:p w:rsidR="0032514E" w:rsidRPr="00754970" w:rsidP="0032514E" w14:paraId="0E3E89DB" w14:textId="77777777">
      <w:pPr>
        <w:pStyle w:val="ParaNum"/>
        <w:widowControl/>
      </w:pPr>
      <w:r>
        <w:t xml:space="preserve">Thus, </w:t>
      </w:r>
      <w:r w:rsidRPr="00754970">
        <w:t xml:space="preserve">Companies that receive </w:t>
      </w:r>
      <w:r>
        <w:t>letters of inquiry (</w:t>
      </w:r>
      <w:r w:rsidRPr="00754970">
        <w:t>LOIs</w:t>
      </w:r>
      <w:r>
        <w:t>)</w:t>
      </w:r>
      <w:r w:rsidRPr="00754970">
        <w:t xml:space="preserve"> must timely file complete and accurate responses to the Bureau’s questions</w:t>
      </w:r>
      <w:r>
        <w:t xml:space="preserve"> because the LOI is an order of the Commission</w:t>
      </w:r>
      <w:r w:rsidRPr="00754970">
        <w:t xml:space="preserve">.  </w:t>
      </w:r>
      <w:r w:rsidRPr="009D2FE0">
        <w:rPr>
          <w:szCs w:val="22"/>
        </w:rPr>
        <w:t>Section 503(b)(1)(B) of the Act, in part, provides that a person who willfully or repeatedly fails to comply with a Commission rule or order shall be liable for a forfeiture penalty.</w:t>
      </w:r>
      <w:r>
        <w:rPr>
          <w:rStyle w:val="FootnoteReference"/>
          <w:szCs w:val="22"/>
        </w:rPr>
        <w:footnoteReference w:id="19"/>
      </w:r>
      <w:r>
        <w:rPr>
          <w:szCs w:val="22"/>
        </w:rPr>
        <w:t xml:space="preserve">  Therefore, f</w:t>
      </w:r>
      <w:r w:rsidRPr="00754970">
        <w:t>ailure to respond</w:t>
      </w:r>
      <w:r>
        <w:t xml:space="preserve"> fully and in a timely manner</w:t>
      </w:r>
      <w:r w:rsidRPr="00754970">
        <w:t xml:space="preserve"> to the Bureau’s inquiries</w:t>
      </w:r>
      <w:r>
        <w:t xml:space="preserve"> is punishable by a forfeiture</w:t>
      </w:r>
      <w:r w:rsidRPr="00754970">
        <w:t>.</w:t>
      </w:r>
      <w:r>
        <w:rPr>
          <w:rStyle w:val="FootnoteReference"/>
          <w:kern w:val="0"/>
        </w:rPr>
        <w:footnoteReference w:id="20"/>
      </w:r>
      <w:r w:rsidRPr="00754970">
        <w:t xml:space="preserve">  The Commission</w:t>
      </w:r>
      <w:r>
        <w:t xml:space="preserve"> and the Bureau</w:t>
      </w:r>
      <w:r w:rsidRPr="00754970">
        <w:t xml:space="preserve"> ha</w:t>
      </w:r>
      <w:r>
        <w:t>ve</w:t>
      </w:r>
      <w:r w:rsidRPr="00754970">
        <w:t xml:space="preserve"> repeatedly taken enforcement action against entities that disregard orders to provide information related to potential violations of the Act or the Commission’s rules.</w:t>
      </w:r>
      <w:bookmarkStart w:id="65" w:name="_Ref143255716"/>
      <w:r>
        <w:rPr>
          <w:rStyle w:val="FootnoteReference"/>
          <w:kern w:val="0"/>
        </w:rPr>
        <w:footnoteReference w:id="21"/>
      </w:r>
      <w:bookmarkEnd w:id="65"/>
      <w:r w:rsidRPr="00754970">
        <w:t xml:space="preserve">  </w:t>
      </w:r>
    </w:p>
    <w:p w:rsidR="0032514E" w:rsidP="0032514E" w14:paraId="103B54FA" w14:textId="77777777">
      <w:pPr>
        <w:pStyle w:val="Heading2"/>
      </w:pPr>
      <w:bookmarkStart w:id="66" w:name="_Toc143249350"/>
      <w:bookmarkStart w:id="67" w:name="_Toc143263533"/>
      <w:bookmarkStart w:id="68" w:name="_Toc143608159"/>
      <w:bookmarkStart w:id="69" w:name="_Toc146190779"/>
      <w:bookmarkStart w:id="70" w:name="_Toc146717484"/>
      <w:bookmarkStart w:id="71" w:name="_Toc146807827"/>
      <w:bookmarkStart w:id="72" w:name="_Toc149205588"/>
      <w:bookmarkStart w:id="73" w:name="_Toc149644914"/>
      <w:r>
        <w:t>Factual Background</w:t>
      </w:r>
      <w:bookmarkEnd w:id="66"/>
      <w:bookmarkEnd w:id="67"/>
      <w:bookmarkEnd w:id="68"/>
      <w:bookmarkEnd w:id="69"/>
      <w:bookmarkEnd w:id="70"/>
      <w:bookmarkEnd w:id="71"/>
      <w:bookmarkEnd w:id="72"/>
      <w:bookmarkEnd w:id="73"/>
    </w:p>
    <w:p w:rsidR="0032514E" w:rsidRPr="00867230" w:rsidP="0032514E" w14:paraId="4F37BA0F" w14:textId="77777777">
      <w:pPr>
        <w:pStyle w:val="Heading3"/>
        <w:rPr>
          <w:szCs w:val="22"/>
        </w:rPr>
      </w:pPr>
      <w:bookmarkStart w:id="74" w:name="_Toc141094940"/>
      <w:bookmarkStart w:id="75" w:name="_Toc141258482"/>
      <w:bookmarkStart w:id="76" w:name="_Toc143249351"/>
      <w:bookmarkStart w:id="77" w:name="_Toc143263534"/>
      <w:bookmarkStart w:id="78" w:name="_Toc143608160"/>
      <w:bookmarkStart w:id="79" w:name="_Toc146190780"/>
      <w:bookmarkStart w:id="80" w:name="_Toc146717485"/>
      <w:bookmarkStart w:id="81" w:name="_Toc146807828"/>
      <w:bookmarkStart w:id="82" w:name="_Toc149205589"/>
      <w:bookmarkStart w:id="83" w:name="_Toc149644915"/>
      <w:bookmarkEnd w:id="34"/>
      <w:r>
        <w:t>Prior Investigations</w:t>
      </w:r>
      <w:bookmarkEnd w:id="74"/>
      <w:bookmarkEnd w:id="75"/>
      <w:bookmarkEnd w:id="76"/>
      <w:bookmarkEnd w:id="77"/>
      <w:bookmarkEnd w:id="78"/>
      <w:bookmarkEnd w:id="79"/>
      <w:bookmarkEnd w:id="80"/>
      <w:bookmarkEnd w:id="81"/>
      <w:bookmarkEnd w:id="82"/>
      <w:bookmarkEnd w:id="83"/>
    </w:p>
    <w:p w:rsidR="0032514E" w:rsidRPr="000F1EC1" w:rsidP="0032514E" w14:paraId="27E9B6FB" w14:textId="77777777">
      <w:pPr>
        <w:pStyle w:val="ParaNum"/>
        <w:rPr>
          <w:szCs w:val="22"/>
        </w:rPr>
      </w:pPr>
      <w:r w:rsidRPr="00AE2519">
        <w:t>Sound Around</w:t>
      </w:r>
      <w:r>
        <w:t>, d/b/a Pyle Audio,</w:t>
      </w:r>
      <w:r w:rsidRPr="00AE2519">
        <w:t xml:space="preserve"> </w:t>
      </w:r>
      <w:r>
        <w:t>is a privately held company located in Brooklyn, New York, that sells a variety of electronic products, including audio and video electronics and accessories for the home, car, professional users, and marine audio/video products through its own websites, as well as websites of third-party retailers such as Amazon.</w:t>
      </w:r>
      <w:bookmarkStart w:id="84" w:name="_Ref147914510"/>
      <w:r>
        <w:rPr>
          <w:rStyle w:val="FootnoteReference"/>
        </w:rPr>
        <w:footnoteReference w:id="22"/>
      </w:r>
      <w:bookmarkEnd w:id="84"/>
      <w:r>
        <w:t xml:space="preserve">  </w:t>
      </w:r>
    </w:p>
    <w:p w:rsidR="0032514E" w:rsidP="0032514E" w14:paraId="4C1D7361" w14:textId="77777777">
      <w:pPr>
        <w:pStyle w:val="ParaNum"/>
        <w:rPr>
          <w:szCs w:val="22"/>
        </w:rPr>
      </w:pPr>
      <w:bookmarkStart w:id="85" w:name="_Ref147842835"/>
      <w:bookmarkStart w:id="86" w:name="_Ref147839261"/>
      <w:r>
        <w:t>In 2011, the Bureau’s Spectrum Enforcement Division (Division) cited the Company for marketing wireless microphones that were capable of operating in frequency bands other than those authorized and warned the Company to ensure its wireless microphones complied with the Commission’s rules going forward.</w:t>
      </w:r>
      <w:bookmarkStart w:id="87" w:name="_Ref148689076"/>
      <w:r>
        <w:rPr>
          <w:rStyle w:val="FootnoteReference"/>
        </w:rPr>
        <w:footnoteReference w:id="23"/>
      </w:r>
      <w:bookmarkEnd w:id="87"/>
      <w:r>
        <w:t xml:space="preserve">  During this investigation, </w:t>
      </w:r>
      <w:r w:rsidRPr="0057242E">
        <w:t>Sound Around admitted</w:t>
      </w:r>
      <w:r>
        <w:t xml:space="preserve"> that</w:t>
      </w:r>
      <w:r w:rsidRPr="0057242E">
        <w:t xml:space="preserve"> </w:t>
      </w:r>
      <w:r>
        <w:t>as far back as 2009 it</w:t>
      </w:r>
      <w:r w:rsidRPr="0057242E">
        <w:t xml:space="preserve"> </w:t>
      </w:r>
      <w:r>
        <w:t xml:space="preserve">had </w:t>
      </w:r>
      <w:r w:rsidRPr="0057242E">
        <w:t>imported and marketed wireless devices from a company based in China, including devices that operated within a restricted frequency band.</w:t>
      </w:r>
      <w:r>
        <w:rPr>
          <w:rStyle w:val="FootnoteReference"/>
        </w:rPr>
        <w:footnoteReference w:id="24"/>
      </w:r>
      <w:bookmarkEnd w:id="85"/>
      <w:r>
        <w:t xml:space="preserve">  </w:t>
      </w:r>
      <w:bookmarkEnd w:id="86"/>
      <w:r w:rsidRPr="00AC1D4D">
        <w:rPr>
          <w:szCs w:val="22"/>
        </w:rPr>
        <w:t xml:space="preserve">  </w:t>
      </w:r>
    </w:p>
    <w:p w:rsidR="0032514E" w:rsidRPr="00E068AF" w:rsidP="0032514E" w14:paraId="20E032EC" w14:textId="77777777">
      <w:pPr>
        <w:pStyle w:val="ParaNum"/>
      </w:pPr>
      <w:bookmarkStart w:id="88" w:name="_Ref147914670"/>
      <w:r>
        <w:rPr>
          <w:spacing w:val="-2"/>
        </w:rPr>
        <w:t>I</w:t>
      </w:r>
      <w:r w:rsidRPr="00E068AF">
        <w:rPr>
          <w:spacing w:val="-2"/>
        </w:rPr>
        <w:t>n 2016</w:t>
      </w:r>
      <w:r>
        <w:rPr>
          <w:spacing w:val="-2"/>
        </w:rPr>
        <w:t xml:space="preserve">, the </w:t>
      </w:r>
      <w:r>
        <w:rPr>
          <w:szCs w:val="22"/>
        </w:rPr>
        <w:t>Bureau</w:t>
      </w:r>
      <w:r w:rsidRPr="005B56D8">
        <w:rPr>
          <w:szCs w:val="22"/>
        </w:rPr>
        <w:t xml:space="preserve"> </w:t>
      </w:r>
      <w:r>
        <w:rPr>
          <w:spacing w:val="-2"/>
        </w:rPr>
        <w:t xml:space="preserve">again began investigating whether </w:t>
      </w:r>
      <w:r w:rsidRPr="00E068AF">
        <w:rPr>
          <w:spacing w:val="-2"/>
        </w:rPr>
        <w:t>the Company w</w:t>
      </w:r>
      <w:r w:rsidRPr="00E068AF">
        <w:t>as market</w:t>
      </w:r>
      <w:r>
        <w:t>ing</w:t>
      </w:r>
      <w:r w:rsidRPr="00E068AF">
        <w:t xml:space="preserve"> noncompliant wireless microphones.  </w:t>
      </w:r>
      <w:r>
        <w:t xml:space="preserve">This investigation ultimately resulted in the Commission’s issuance of the </w:t>
      </w:r>
      <w:r>
        <w:rPr>
          <w:i/>
          <w:iCs/>
        </w:rPr>
        <w:t xml:space="preserve">Sound Around 2020 </w:t>
      </w:r>
      <w:r w:rsidRPr="002529A5">
        <w:rPr>
          <w:i/>
          <w:iCs/>
        </w:rPr>
        <w:t>NAL</w:t>
      </w:r>
      <w:r>
        <w:rPr>
          <w:i/>
          <w:iCs/>
        </w:rPr>
        <w:t xml:space="preserve"> </w:t>
      </w:r>
      <w:r>
        <w:t>o</w:t>
      </w:r>
      <w:r w:rsidRPr="00E068AF">
        <w:rPr>
          <w:spacing w:val="-2"/>
        </w:rPr>
        <w:t>n April 3, 2020</w:t>
      </w:r>
      <w:r>
        <w:rPr>
          <w:spacing w:val="-2"/>
        </w:rPr>
        <w:t xml:space="preserve">, which </w:t>
      </w:r>
      <w:r w:rsidRPr="00E068AF">
        <w:rPr>
          <w:kern w:val="0"/>
        </w:rPr>
        <w:t>propos</w:t>
      </w:r>
      <w:r>
        <w:rPr>
          <w:kern w:val="0"/>
        </w:rPr>
        <w:t>ed</w:t>
      </w:r>
      <w:r w:rsidRPr="00E068AF">
        <w:rPr>
          <w:kern w:val="0"/>
        </w:rPr>
        <w:t xml:space="preserve"> to fine the Company $685,338 for </w:t>
      </w:r>
      <w:r w:rsidRPr="00E068AF">
        <w:t>marketing 32 apparently noncompliant models of wireless microphones</w:t>
      </w:r>
      <w:r w:rsidRPr="00E068AF">
        <w:rPr>
          <w:kern w:val="0"/>
        </w:rPr>
        <w:t>.</w:t>
      </w:r>
      <w:r>
        <w:rPr>
          <w:rStyle w:val="FootnoteReference"/>
          <w:kern w:val="0"/>
        </w:rPr>
        <w:footnoteReference w:id="25"/>
      </w:r>
      <w:r>
        <w:rPr>
          <w:kern w:val="0"/>
        </w:rPr>
        <w:t xml:space="preserve">  The wireless microphones were either unauthorized or operated contrary to their claimed authorization.</w:t>
      </w:r>
      <w:r>
        <w:rPr>
          <w:rStyle w:val="FootnoteReference"/>
          <w:kern w:val="0"/>
        </w:rPr>
        <w:footnoteReference w:id="26"/>
      </w:r>
      <w:r w:rsidRPr="00E068AF">
        <w:rPr>
          <w:kern w:val="0"/>
        </w:rPr>
        <w:t xml:space="preserve">  As </w:t>
      </w:r>
      <w:r>
        <w:rPr>
          <w:kern w:val="0"/>
        </w:rPr>
        <w:t xml:space="preserve">found </w:t>
      </w:r>
      <w:r w:rsidRPr="00E068AF">
        <w:rPr>
          <w:kern w:val="0"/>
        </w:rPr>
        <w:t xml:space="preserve">in the </w:t>
      </w:r>
      <w:r w:rsidRPr="002529A5">
        <w:rPr>
          <w:i/>
          <w:iCs/>
          <w:kern w:val="0"/>
        </w:rPr>
        <w:t>Marketing Citation</w:t>
      </w:r>
      <w:r w:rsidRPr="00E068AF">
        <w:rPr>
          <w:kern w:val="0"/>
        </w:rPr>
        <w:t xml:space="preserve">, the Company marketed the </w:t>
      </w:r>
      <w:r w:rsidRPr="00E068AF">
        <w:t>microphones through its website</w:t>
      </w:r>
      <w:r>
        <w:t>s and other online sources.</w:t>
      </w:r>
      <w:r>
        <w:rPr>
          <w:rStyle w:val="FootnoteReference"/>
        </w:rPr>
        <w:footnoteReference w:id="27"/>
      </w:r>
      <w:bookmarkEnd w:id="88"/>
      <w:r w:rsidRPr="00E068AF">
        <w:rPr>
          <w:kern w:val="0"/>
        </w:rPr>
        <w:t xml:space="preserve"> </w:t>
      </w:r>
      <w:r w:rsidRPr="00E068AF">
        <w:t xml:space="preserve"> </w:t>
      </w:r>
    </w:p>
    <w:p w:rsidR="0032514E" w:rsidP="0032514E" w14:paraId="540E43AD" w14:textId="77777777">
      <w:pPr>
        <w:pStyle w:val="ParaNum"/>
        <w:widowControl/>
        <w:rPr>
          <w:szCs w:val="22"/>
        </w:rPr>
      </w:pPr>
      <w:bookmarkStart w:id="89" w:name="_Ref147839268"/>
      <w:r>
        <w:t>O</w:t>
      </w:r>
      <w:r w:rsidRPr="00E068AF">
        <w:rPr>
          <w:szCs w:val="22"/>
        </w:rPr>
        <w:t xml:space="preserve">n July </w:t>
      </w:r>
      <w:r>
        <w:rPr>
          <w:szCs w:val="22"/>
        </w:rPr>
        <w:t xml:space="preserve">10, </w:t>
      </w:r>
      <w:r w:rsidRPr="00E068AF">
        <w:rPr>
          <w:szCs w:val="22"/>
        </w:rPr>
        <w:t xml:space="preserve">2020, Sound Around filed a response to the </w:t>
      </w:r>
      <w:r>
        <w:rPr>
          <w:i/>
          <w:iCs/>
        </w:rPr>
        <w:t xml:space="preserve">Sound Around 2020 </w:t>
      </w:r>
      <w:r>
        <w:rPr>
          <w:i/>
          <w:iCs/>
          <w:szCs w:val="22"/>
        </w:rPr>
        <w:t>NAL</w:t>
      </w:r>
      <w:r w:rsidRPr="00E068AF">
        <w:rPr>
          <w:szCs w:val="22"/>
        </w:rPr>
        <w:t>.</w:t>
      </w:r>
      <w:r>
        <w:rPr>
          <w:rStyle w:val="FootnoteReference"/>
          <w:szCs w:val="22"/>
        </w:rPr>
        <w:footnoteReference w:id="28"/>
      </w:r>
      <w:r w:rsidRPr="00E068AF">
        <w:rPr>
          <w:szCs w:val="22"/>
        </w:rPr>
        <w:t xml:space="preserve">  After reviewing this response, the Commission issued </w:t>
      </w:r>
      <w:r>
        <w:rPr>
          <w:szCs w:val="22"/>
        </w:rPr>
        <w:t>the</w:t>
      </w:r>
      <w:r w:rsidRPr="00E068AF">
        <w:rPr>
          <w:szCs w:val="22"/>
        </w:rPr>
        <w:t xml:space="preserve"> </w:t>
      </w:r>
      <w:r>
        <w:rPr>
          <w:i/>
          <w:iCs/>
        </w:rPr>
        <w:t xml:space="preserve">Sound Around 2022 </w:t>
      </w:r>
      <w:r w:rsidRPr="002529A5">
        <w:rPr>
          <w:i/>
          <w:iCs/>
        </w:rPr>
        <w:t>Forfeiture Order</w:t>
      </w:r>
      <w:r w:rsidRPr="00E068AF">
        <w:rPr>
          <w:szCs w:val="22"/>
        </w:rPr>
        <w:t xml:space="preserve"> on August 1, 2022</w:t>
      </w:r>
      <w:r>
        <w:rPr>
          <w:szCs w:val="22"/>
        </w:rPr>
        <w:t>,</w:t>
      </w:r>
      <w:r w:rsidRPr="00E068AF">
        <w:rPr>
          <w:szCs w:val="22"/>
        </w:rPr>
        <w:t xml:space="preserve"> which upheld the </w:t>
      </w:r>
      <w:r>
        <w:rPr>
          <w:i/>
          <w:iCs/>
        </w:rPr>
        <w:t xml:space="preserve">Sound Around 2020 </w:t>
      </w:r>
      <w:r w:rsidRPr="002529A5">
        <w:rPr>
          <w:i/>
          <w:iCs/>
        </w:rPr>
        <w:t>NAL</w:t>
      </w:r>
      <w:r w:rsidRPr="00E068AF">
        <w:rPr>
          <w:szCs w:val="22"/>
        </w:rPr>
        <w:t xml:space="preserve"> and assessed the $685,338 forfeiture previously proposed.</w:t>
      </w:r>
      <w:r>
        <w:rPr>
          <w:rStyle w:val="FootnoteReference"/>
          <w:szCs w:val="22"/>
        </w:rPr>
        <w:footnoteReference w:id="29"/>
      </w:r>
      <w:r w:rsidRPr="00E068AF">
        <w:rPr>
          <w:szCs w:val="22"/>
        </w:rPr>
        <w:t xml:space="preserve">  The </w:t>
      </w:r>
      <w:r>
        <w:rPr>
          <w:i/>
          <w:iCs/>
        </w:rPr>
        <w:t xml:space="preserve">Sound Around 2022 </w:t>
      </w:r>
      <w:r w:rsidRPr="002529A5">
        <w:rPr>
          <w:i/>
          <w:iCs/>
        </w:rPr>
        <w:t>Forfeiture Order</w:t>
      </w:r>
      <w:r w:rsidRPr="00E068AF">
        <w:rPr>
          <w:szCs w:val="22"/>
        </w:rPr>
        <w:t xml:space="preserve"> also directed </w:t>
      </w:r>
      <w:r>
        <w:rPr>
          <w:szCs w:val="22"/>
        </w:rPr>
        <w:t>the Bureau</w:t>
      </w:r>
      <w:r w:rsidRPr="005B56D8">
        <w:rPr>
          <w:szCs w:val="22"/>
        </w:rPr>
        <w:t xml:space="preserve"> </w:t>
      </w:r>
      <w:r w:rsidRPr="00E068AF">
        <w:rPr>
          <w:szCs w:val="22"/>
        </w:rPr>
        <w:t xml:space="preserve">to begin a new investigation based on </w:t>
      </w:r>
      <w:r>
        <w:rPr>
          <w:szCs w:val="22"/>
        </w:rPr>
        <w:t xml:space="preserve">apparent </w:t>
      </w:r>
      <w:r w:rsidRPr="00E068AF">
        <w:rPr>
          <w:szCs w:val="22"/>
        </w:rPr>
        <w:t>evidence that the Company continued to market noncompliant devices.</w:t>
      </w:r>
      <w:r>
        <w:rPr>
          <w:rStyle w:val="FootnoteReference"/>
          <w:szCs w:val="22"/>
        </w:rPr>
        <w:footnoteReference w:id="30"/>
      </w:r>
      <w:r w:rsidRPr="00E068AF">
        <w:rPr>
          <w:szCs w:val="22"/>
        </w:rPr>
        <w:t xml:space="preserve">  </w:t>
      </w:r>
      <w:r>
        <w:rPr>
          <w:szCs w:val="22"/>
        </w:rPr>
        <w:t>To date, Sound Around has not paid the $685,338 forfeiture.</w:t>
      </w:r>
      <w:bookmarkEnd w:id="89"/>
      <w:r>
        <w:rPr>
          <w:rStyle w:val="FootnoteReference"/>
          <w:szCs w:val="22"/>
        </w:rPr>
        <w:footnoteReference w:id="31"/>
      </w:r>
      <w:r>
        <w:rPr>
          <w:szCs w:val="22"/>
        </w:rPr>
        <w:t xml:space="preserve">  </w:t>
      </w:r>
    </w:p>
    <w:p w:rsidR="0032514E" w:rsidP="0032514E" w14:paraId="424729AD" w14:textId="77777777">
      <w:pPr>
        <w:pStyle w:val="Heading3"/>
      </w:pPr>
      <w:bookmarkStart w:id="90" w:name="_Toc141094941"/>
      <w:bookmarkStart w:id="91" w:name="_Toc141258483"/>
      <w:bookmarkStart w:id="92" w:name="_Toc143249352"/>
      <w:bookmarkStart w:id="93" w:name="_Toc143263535"/>
      <w:bookmarkStart w:id="94" w:name="_Toc143608161"/>
      <w:bookmarkStart w:id="95" w:name="_Toc146190781"/>
      <w:bookmarkStart w:id="96" w:name="_Toc146717486"/>
      <w:bookmarkStart w:id="97" w:name="_Toc146807829"/>
      <w:bookmarkStart w:id="98" w:name="_Toc149205590"/>
      <w:bookmarkStart w:id="99" w:name="_Toc149644916"/>
      <w:bookmarkStart w:id="100" w:name="_Toc70939612"/>
      <w:bookmarkStart w:id="101" w:name="_Toc77338931"/>
      <w:bookmarkStart w:id="102" w:name="_Toc94265526"/>
      <w:bookmarkStart w:id="103" w:name="_Toc96075116"/>
      <w:bookmarkStart w:id="104" w:name="_Toc96084562"/>
      <w:bookmarkStart w:id="105" w:name="_Toc96515690"/>
      <w:bookmarkStart w:id="106" w:name="_Toc97719532"/>
      <w:bookmarkStart w:id="107" w:name="_Toc101260709"/>
      <w:bookmarkStart w:id="108" w:name="_Toc101960146"/>
      <w:bookmarkStart w:id="109" w:name="_Toc102041179"/>
      <w:bookmarkStart w:id="110" w:name="_Toc103873738"/>
      <w:bookmarkStart w:id="111" w:name="_Toc103875032"/>
      <w:bookmarkStart w:id="112" w:name="_Toc103875089"/>
      <w:bookmarkStart w:id="113" w:name="_Toc103875172"/>
      <w:r>
        <w:t>New Investigation</w:t>
      </w:r>
      <w:bookmarkEnd w:id="90"/>
      <w:bookmarkEnd w:id="91"/>
      <w:bookmarkEnd w:id="92"/>
      <w:bookmarkEnd w:id="93"/>
      <w:bookmarkEnd w:id="94"/>
      <w:bookmarkEnd w:id="95"/>
      <w:bookmarkEnd w:id="96"/>
      <w:bookmarkEnd w:id="97"/>
      <w:bookmarkEnd w:id="98"/>
      <w:bookmarkEnd w:id="99"/>
      <w:r>
        <w:t xml:space="preserve">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2514E" w:rsidP="0032514E" w14:paraId="3F16A5EB" w14:textId="77777777">
      <w:pPr>
        <w:pStyle w:val="ParaNum"/>
        <w:widowControl/>
      </w:pPr>
      <w:bookmarkStart w:id="114" w:name="_Ref146715527"/>
      <w:r w:rsidRPr="00E068AF">
        <w:rPr>
          <w:szCs w:val="22"/>
        </w:rPr>
        <w:t xml:space="preserve">On August 2, 2022, </w:t>
      </w:r>
      <w:r>
        <w:rPr>
          <w:szCs w:val="22"/>
        </w:rPr>
        <w:t>the Bureau</w:t>
      </w:r>
      <w:r w:rsidRPr="005B56D8">
        <w:rPr>
          <w:szCs w:val="22"/>
        </w:rPr>
        <w:t xml:space="preserve"> </w:t>
      </w:r>
      <w:r w:rsidRPr="00E068AF">
        <w:rPr>
          <w:szCs w:val="22"/>
        </w:rPr>
        <w:t>issued a</w:t>
      </w:r>
      <w:r>
        <w:rPr>
          <w:szCs w:val="22"/>
        </w:rPr>
        <w:t xml:space="preserve"> letter of inquiry </w:t>
      </w:r>
      <w:r w:rsidRPr="00E068AF">
        <w:rPr>
          <w:szCs w:val="22"/>
        </w:rPr>
        <w:t>to Sound Around seeking equipment authorization</w:t>
      </w:r>
      <w:r>
        <w:rPr>
          <w:szCs w:val="22"/>
        </w:rPr>
        <w:t xml:space="preserve"> and marketing information</w:t>
      </w:r>
      <w:r w:rsidRPr="00E068AF">
        <w:rPr>
          <w:szCs w:val="22"/>
        </w:rPr>
        <w:t xml:space="preserve"> for all electronic devices marketed by the Company</w:t>
      </w:r>
      <w:r>
        <w:rPr>
          <w:spacing w:val="-2"/>
        </w:rPr>
        <w:t>, not just wireless microphones</w:t>
      </w:r>
      <w:r>
        <w:rPr>
          <w:szCs w:val="22"/>
        </w:rPr>
        <w:t>.</w:t>
      </w:r>
      <w:bookmarkStart w:id="115" w:name="_Ref149644484"/>
      <w:r>
        <w:rPr>
          <w:rStyle w:val="FootnoteReference"/>
          <w:szCs w:val="22"/>
        </w:rPr>
        <w:footnoteReference w:id="32"/>
      </w:r>
      <w:bookmarkEnd w:id="115"/>
      <w:r>
        <w:rPr>
          <w:szCs w:val="22"/>
        </w:rPr>
        <w:t xml:space="preserve">  In response to the LOI, the Company</w:t>
      </w:r>
      <w:r>
        <w:t xml:space="preserve"> provided an incomplete LOI Response</w:t>
      </w:r>
      <w:bookmarkStart w:id="116" w:name="_Ref143266812"/>
      <w:r>
        <w:rPr>
          <w:rStyle w:val="FootnoteReference"/>
        </w:rPr>
        <w:footnoteReference w:id="33"/>
      </w:r>
      <w:bookmarkEnd w:id="116"/>
      <w:r>
        <w:t xml:space="preserve"> and then submitted four additional incomplete responses.</w:t>
      </w:r>
      <w:bookmarkStart w:id="117" w:name="_Ref143266768"/>
      <w:r>
        <w:rPr>
          <w:rStyle w:val="FootnoteReference"/>
        </w:rPr>
        <w:footnoteReference w:id="34"/>
      </w:r>
      <w:bookmarkEnd w:id="117"/>
      <w:r>
        <w:t xml:space="preserve">  Each of the responses purported to update or correct prior filings; however, all of them contained errors and incomplete, sometimes contradictory information.  </w:t>
      </w:r>
      <w:r w:rsidRPr="0032514E">
        <w:rPr>
          <w:rFonts w:eastAsia="Calibri"/>
          <w:snapToGrid/>
          <w:kern w:val="0"/>
        </w:rPr>
        <w:t xml:space="preserve">For example, some of the issues identified by the </w:t>
      </w:r>
      <w:r>
        <w:rPr>
          <w:szCs w:val="22"/>
        </w:rPr>
        <w:t>Bureau</w:t>
      </w:r>
      <w:r w:rsidRPr="005B56D8">
        <w:rPr>
          <w:szCs w:val="22"/>
        </w:rPr>
        <w:t xml:space="preserve"> </w:t>
      </w:r>
      <w:r w:rsidRPr="0032514E">
        <w:rPr>
          <w:rFonts w:eastAsia="Calibri"/>
          <w:snapToGrid/>
          <w:kern w:val="0"/>
        </w:rPr>
        <w:t>included the fact that the Company provided conflicting information regarding authorization dates, marketing dates, and product descriptions for nine FCC IDs identified in its various responses.</w:t>
      </w:r>
      <w:r>
        <w:rPr>
          <w:rFonts w:eastAsia="Calibri"/>
          <w:snapToGrid/>
          <w:kern w:val="0"/>
          <w:szCs w:val="22"/>
          <w:vertAlign w:val="superscript"/>
        </w:rPr>
        <w:footnoteReference w:id="35"/>
      </w:r>
      <w:r w:rsidRPr="0032514E">
        <w:rPr>
          <w:rFonts w:eastAsia="Calibri"/>
          <w:snapToGrid/>
          <w:kern w:val="0"/>
          <w:szCs w:val="22"/>
        </w:rPr>
        <w:t xml:space="preserve"> </w:t>
      </w:r>
      <w:r w:rsidRPr="0032514E">
        <w:rPr>
          <w:rFonts w:eastAsia="Calibri"/>
          <w:snapToGrid/>
          <w:kern w:val="0"/>
        </w:rPr>
        <w:t xml:space="preserve"> The issues with the Company’s responses also included problems with seven test reports it submitted, such as test reports that were not relevant to our investigation because they showed compliance with European Union and Food and Drug Administration regulations, and test reports for devices that were not included on spreadsheets provided by Sound Around that purportedly included all electronic devices marketed by the Company.</w:t>
      </w:r>
      <w:r>
        <w:rPr>
          <w:rFonts w:eastAsia="Calibri"/>
          <w:snapToGrid/>
          <w:kern w:val="0"/>
          <w:vertAlign w:val="superscript"/>
        </w:rPr>
        <w:footnoteReference w:id="36"/>
      </w:r>
      <w:r w:rsidRPr="0032514E">
        <w:rPr>
          <w:rFonts w:eastAsia="Calibri"/>
          <w:snapToGrid/>
          <w:kern w:val="0"/>
        </w:rPr>
        <w:t xml:space="preserve">  </w:t>
      </w:r>
      <w:r>
        <w:t xml:space="preserve">In addition, </w:t>
      </w:r>
      <w:r>
        <w:rPr>
          <w:szCs w:val="22"/>
        </w:rPr>
        <w:t>Bureau</w:t>
      </w:r>
      <w:r w:rsidRPr="005B56D8">
        <w:rPr>
          <w:szCs w:val="22"/>
        </w:rPr>
        <w:t xml:space="preserve"> </w:t>
      </w:r>
      <w:r>
        <w:t>staff collected independent evidence indicating that the responses were incomplete.  This evidence included Sound Around’s Amazon webpage, which showed the marketing of at least 45 models that were not disclosed in the Company’s responses, and the Commission’s equipment authorization database, which showed that Sound Around apparently obtained FCC authorizations that were also not disclosed in its LOI responses.</w:t>
      </w:r>
      <w:bookmarkStart w:id="118" w:name="_Ref149644532"/>
      <w:bookmarkEnd w:id="114"/>
      <w:r>
        <w:rPr>
          <w:rStyle w:val="FootnoteReference"/>
        </w:rPr>
        <w:footnoteReference w:id="37"/>
      </w:r>
      <w:bookmarkEnd w:id="118"/>
      <w:r>
        <w:t xml:space="preserve">  </w:t>
      </w:r>
    </w:p>
    <w:p w:rsidR="0032514E" w:rsidRPr="00E068AF" w:rsidP="0032514E" w14:paraId="62E7FA91" w14:textId="77777777">
      <w:pPr>
        <w:pStyle w:val="ParaNum"/>
      </w:pPr>
      <w:bookmarkStart w:id="119" w:name="_Hlk141370279"/>
      <w:bookmarkStart w:id="120" w:name="_Ref101944761"/>
      <w:bookmarkStart w:id="121" w:name="_Ref77337915"/>
      <w:bookmarkStart w:id="122" w:name="_Toc70939615"/>
      <w:r w:rsidRPr="00E068AF">
        <w:t>Thus, in order to clarify the operative facts of th</w:t>
      </w:r>
      <w:r>
        <w:t>e</w:t>
      </w:r>
      <w:r w:rsidRPr="00E068AF">
        <w:t xml:space="preserve"> investigation, </w:t>
      </w:r>
      <w:r>
        <w:t xml:space="preserve">the </w:t>
      </w:r>
      <w:r>
        <w:rPr>
          <w:szCs w:val="22"/>
        </w:rPr>
        <w:t>Bureau</w:t>
      </w:r>
      <w:r w:rsidRPr="005B56D8">
        <w:rPr>
          <w:szCs w:val="22"/>
        </w:rPr>
        <w:t xml:space="preserve"> </w:t>
      </w:r>
      <w:r w:rsidRPr="00E068AF">
        <w:t xml:space="preserve">sent </w:t>
      </w:r>
      <w:r>
        <w:t xml:space="preserve">the </w:t>
      </w:r>
      <w:r w:rsidRPr="00E068AF">
        <w:t>F</w:t>
      </w:r>
      <w:r>
        <w:t xml:space="preserve">urther </w:t>
      </w:r>
      <w:r w:rsidRPr="00E068AF">
        <w:t>LOI to Sound Around on March 16, 2023</w:t>
      </w:r>
      <w:r>
        <w:t xml:space="preserve">, </w:t>
      </w:r>
      <w:r w:rsidRPr="00846728">
        <w:t>documenting</w:t>
      </w:r>
      <w:r>
        <w:t xml:space="preserve"> the failure to respond fully to the LOI, and noting that the Company needed to respond in full and to take due diligence in ensuring the accuracy of the filing</w:t>
      </w:r>
      <w:r w:rsidRPr="00E068AF">
        <w:t>.</w:t>
      </w:r>
      <w:r>
        <w:rPr>
          <w:rStyle w:val="FootnoteReference"/>
        </w:rPr>
        <w:footnoteReference w:id="38"/>
      </w:r>
      <w:r w:rsidRPr="00E068AF">
        <w:t xml:space="preserve">  </w:t>
      </w:r>
      <w:bookmarkEnd w:id="119"/>
      <w:r>
        <w:t xml:space="preserve">Subsequently, </w:t>
      </w:r>
      <w:r>
        <w:rPr>
          <w:szCs w:val="22"/>
        </w:rPr>
        <w:t>Bureau</w:t>
      </w:r>
      <w:r w:rsidRPr="005B56D8">
        <w:rPr>
          <w:szCs w:val="22"/>
        </w:rPr>
        <w:t xml:space="preserve"> </w:t>
      </w:r>
      <w:r w:rsidRPr="00E068AF">
        <w:t xml:space="preserve">staff granted </w:t>
      </w:r>
      <w:r>
        <w:t>the Company</w:t>
      </w:r>
      <w:r w:rsidRPr="00E068AF">
        <w:t>’s request for an extension of time to respond to the F</w:t>
      </w:r>
      <w:r>
        <w:t xml:space="preserve">urther </w:t>
      </w:r>
      <w:r w:rsidRPr="00E068AF">
        <w:t>LOI</w:t>
      </w:r>
      <w:r>
        <w:t xml:space="preserve">, and </w:t>
      </w:r>
      <w:r w:rsidRPr="00E068AF">
        <w:t>Sound Around submitted its F</w:t>
      </w:r>
      <w:r>
        <w:t xml:space="preserve">urther </w:t>
      </w:r>
      <w:r w:rsidRPr="00E068AF">
        <w:t xml:space="preserve">LOI </w:t>
      </w:r>
      <w:r>
        <w:t xml:space="preserve">Response </w:t>
      </w:r>
      <w:r w:rsidRPr="00E068AF">
        <w:t>on May 31, 2023.</w:t>
      </w:r>
      <w:bookmarkStart w:id="123" w:name="_Ref149644547"/>
      <w:r>
        <w:rPr>
          <w:rStyle w:val="FootnoteReference"/>
        </w:rPr>
        <w:footnoteReference w:id="39"/>
      </w:r>
      <w:bookmarkEnd w:id="123"/>
      <w:r w:rsidRPr="00E068AF">
        <w:t xml:space="preserve"> </w:t>
      </w:r>
      <w:r>
        <w:t xml:space="preserve"> </w:t>
      </w:r>
      <w:r w:rsidRPr="00151353">
        <w:rPr>
          <w:color w:val="000000"/>
        </w:rPr>
        <w:t>Upon reviewing Sound Around’s Further LOI response,</w:t>
      </w:r>
      <w:r>
        <w:rPr>
          <w:color w:val="000000"/>
        </w:rPr>
        <w:t xml:space="preserve"> </w:t>
      </w:r>
      <w:r>
        <w:rPr>
          <w:szCs w:val="22"/>
        </w:rPr>
        <w:t>Bureau</w:t>
      </w:r>
      <w:r w:rsidRPr="005B56D8">
        <w:rPr>
          <w:szCs w:val="22"/>
        </w:rPr>
        <w:t xml:space="preserve"> </w:t>
      </w:r>
      <w:r>
        <w:rPr>
          <w:color w:val="000000"/>
        </w:rPr>
        <w:t>staff identified additional deficiencies in the response, including omitted information about models the Company marketed, and sent a Deficiency Letter to the Company on August 2, 2023.</w:t>
      </w:r>
      <w:r>
        <w:rPr>
          <w:rStyle w:val="FootnoteReference"/>
        </w:rPr>
        <w:footnoteReference w:id="40"/>
      </w:r>
      <w:r>
        <w:rPr>
          <w:color w:val="000000"/>
        </w:rPr>
        <w:t xml:space="preserve">  The Deficiency Letter identified areas of the Company’s responses to the Commission inquires that were incomplete and requested further information on models and FCC IDs for which the Company provided incomplete information.  Sound Around responded to that letter on August 9, 2023, and provided additional information on models marketed by the Company that had been previously omitted.</w:t>
      </w:r>
      <w:bookmarkStart w:id="125" w:name="_Ref143266894"/>
      <w:r>
        <w:rPr>
          <w:rStyle w:val="FootnoteReference"/>
        </w:rPr>
        <w:footnoteReference w:id="41"/>
      </w:r>
      <w:bookmarkEnd w:id="125"/>
      <w:r>
        <w:rPr>
          <w:color w:val="000000"/>
        </w:rPr>
        <w:t xml:space="preserve">  </w:t>
      </w:r>
      <w:r>
        <w:t xml:space="preserve">The Company then responded to an email from the </w:t>
      </w:r>
      <w:r>
        <w:rPr>
          <w:szCs w:val="22"/>
        </w:rPr>
        <w:t>Bureau</w:t>
      </w:r>
      <w:bookmarkStart w:id="126" w:name="_Ref147914604"/>
      <w:r>
        <w:rPr>
          <w:rStyle w:val="FootnoteReference"/>
        </w:rPr>
        <w:footnoteReference w:id="42"/>
      </w:r>
      <w:bookmarkEnd w:id="126"/>
      <w:r>
        <w:t xml:space="preserve"> seeking clarification on certain models on September 22, 2023.</w:t>
      </w:r>
      <w:bookmarkStart w:id="127" w:name="_Ref146785553"/>
      <w:r>
        <w:rPr>
          <w:rStyle w:val="FootnoteReference"/>
        </w:rPr>
        <w:footnoteReference w:id="43"/>
      </w:r>
      <w:bookmarkEnd w:id="127"/>
      <w:r>
        <w:t xml:space="preserve">  </w:t>
      </w:r>
    </w:p>
    <w:p w:rsidR="0032514E" w:rsidRPr="00867230" w:rsidP="0032514E" w14:paraId="7884707A" w14:textId="77777777">
      <w:pPr>
        <w:pStyle w:val="Heading1"/>
        <w:rPr>
          <w:color w:val="000000"/>
        </w:rPr>
      </w:pPr>
      <w:bookmarkStart w:id="128" w:name="_Toc141094942"/>
      <w:bookmarkStart w:id="129" w:name="_Toc141258484"/>
      <w:bookmarkStart w:id="130" w:name="_Toc143249353"/>
      <w:bookmarkStart w:id="131" w:name="_Toc143263536"/>
      <w:bookmarkStart w:id="132" w:name="_Toc143608162"/>
      <w:bookmarkStart w:id="133" w:name="_Toc146190782"/>
      <w:bookmarkStart w:id="134" w:name="_Toc146717487"/>
      <w:bookmarkStart w:id="135" w:name="_Toc146807830"/>
      <w:bookmarkStart w:id="136" w:name="_Toc149205591"/>
      <w:bookmarkStart w:id="137" w:name="_Toc149644917"/>
      <w:r w:rsidRPr="00A64DCC">
        <w:rPr>
          <w:bCs/>
        </w:rPr>
        <w:t>DISCUSSION</w:t>
      </w:r>
      <w:bookmarkEnd w:id="128"/>
      <w:bookmarkEnd w:id="129"/>
      <w:bookmarkEnd w:id="130"/>
      <w:bookmarkEnd w:id="131"/>
      <w:bookmarkEnd w:id="132"/>
      <w:bookmarkEnd w:id="133"/>
      <w:bookmarkEnd w:id="134"/>
      <w:bookmarkEnd w:id="135"/>
      <w:bookmarkEnd w:id="136"/>
      <w:bookmarkEnd w:id="137"/>
    </w:p>
    <w:p w:rsidR="0032514E" w:rsidRPr="006D5B8C" w:rsidP="0032514E" w14:paraId="0BDBF66E" w14:textId="77777777">
      <w:pPr>
        <w:pStyle w:val="ParaNum"/>
        <w:widowControl/>
        <w:rPr>
          <w:color w:val="000000"/>
        </w:rPr>
      </w:pPr>
      <w:r>
        <w:rPr>
          <w:color w:val="000000"/>
        </w:rPr>
        <w:t xml:space="preserve">We find that </w:t>
      </w:r>
      <w:r w:rsidRPr="00A64DCC">
        <w:rPr>
          <w:spacing w:val="-2"/>
        </w:rPr>
        <w:t xml:space="preserve">Sound Around </w:t>
      </w:r>
      <w:r w:rsidRPr="003D5AFE">
        <w:t xml:space="preserve">apparently willfully and repeatedly violated </w:t>
      </w:r>
      <w:r>
        <w:t>section 302 of the Act and section</w:t>
      </w:r>
      <w:r w:rsidRPr="003A0D15">
        <w:t xml:space="preserve"> 2.803</w:t>
      </w:r>
      <w:r>
        <w:t xml:space="preserve">(b)(1) </w:t>
      </w:r>
      <w:r w:rsidRPr="003A0D15">
        <w:t>of the Commission’s rules</w:t>
      </w:r>
      <w:r>
        <w:t xml:space="preserve"> when it marketed 33 radio frequency models prior to obtaining an equipment authorization or that were not authorized.</w:t>
      </w:r>
      <w:r>
        <w:rPr>
          <w:rStyle w:val="FootnoteReference"/>
          <w:szCs w:val="22"/>
        </w:rPr>
        <w:footnoteReference w:id="44"/>
      </w:r>
      <w:r>
        <w:t xml:space="preserve">  Three models had no authorization and thirty models were marketed by Sound Around prior to being authorized.</w:t>
      </w:r>
      <w:r>
        <w:rPr>
          <w:rStyle w:val="FootnoteReference"/>
        </w:rPr>
        <w:footnoteReference w:id="45"/>
      </w:r>
      <w:r>
        <w:t xml:space="preserve">  Sound Around’s apparent violations of the Act and the Commission’s rules occurred notwithstanding the previously issued </w:t>
      </w:r>
      <w:r w:rsidRPr="00A64DCC">
        <w:rPr>
          <w:i/>
          <w:iCs/>
        </w:rPr>
        <w:t>Marketing Citation</w:t>
      </w:r>
      <w:r>
        <w:rPr>
          <w:i/>
          <w:iCs/>
        </w:rPr>
        <w:t xml:space="preserve"> </w:t>
      </w:r>
      <w:r w:rsidRPr="00F51F9E">
        <w:t>and subsequent investigations</w:t>
      </w:r>
      <w:r>
        <w:t xml:space="preserve"> documented in the </w:t>
      </w:r>
      <w:r>
        <w:rPr>
          <w:i/>
          <w:iCs/>
        </w:rPr>
        <w:t xml:space="preserve">Sound Around 2020 NAL </w:t>
      </w:r>
      <w:r>
        <w:t xml:space="preserve">and </w:t>
      </w:r>
      <w:r>
        <w:rPr>
          <w:i/>
          <w:iCs/>
        </w:rPr>
        <w:t xml:space="preserve">Sound Around 2022 </w:t>
      </w:r>
      <w:r w:rsidRPr="002529A5">
        <w:rPr>
          <w:i/>
          <w:iCs/>
        </w:rPr>
        <w:t xml:space="preserve">Forfeiture </w:t>
      </w:r>
      <w:r w:rsidRPr="00C461BA">
        <w:t>Order</w:t>
      </w:r>
      <w:r w:rsidRPr="00E068AF">
        <w:rPr>
          <w:szCs w:val="22"/>
        </w:rPr>
        <w:t xml:space="preserve"> </w:t>
      </w:r>
      <w:r>
        <w:t xml:space="preserve">that addressed the same type of violations by the Company, its marketing of noncompliant radio frequency devices.  Additionally, we find that Sound Around apparently violated two Commission orders when it provided incomplete responses to the LOI and the Further LOI.  Accordingly, the Commission proposes a forfeiture of </w:t>
      </w:r>
      <w:r w:rsidRPr="006C1396">
        <w:t>$1,202,454</w:t>
      </w:r>
      <w:r>
        <w:t xml:space="preserve">.  </w:t>
      </w:r>
    </w:p>
    <w:p w:rsidR="0032514E" w:rsidRPr="006D5B8C" w:rsidP="0032514E" w14:paraId="1089820D" w14:textId="77777777">
      <w:pPr>
        <w:pStyle w:val="Heading2"/>
        <w:rPr>
          <w:color w:val="000000"/>
        </w:rPr>
      </w:pPr>
      <w:bookmarkStart w:id="138" w:name="_Toc141094943"/>
      <w:bookmarkStart w:id="139" w:name="_Toc141258485"/>
      <w:bookmarkStart w:id="140" w:name="_Toc143249354"/>
      <w:bookmarkStart w:id="141" w:name="_Toc143263537"/>
      <w:bookmarkStart w:id="142" w:name="_Toc143608163"/>
      <w:bookmarkStart w:id="143" w:name="_Toc146190783"/>
      <w:bookmarkStart w:id="144" w:name="_Toc146717488"/>
      <w:bookmarkStart w:id="145" w:name="_Toc146807831"/>
      <w:bookmarkStart w:id="146" w:name="_Toc149205592"/>
      <w:bookmarkStart w:id="147" w:name="_Toc149644918"/>
      <w:r w:rsidRPr="00F94F9D">
        <w:t>Sound Around Apparently Violated Section 302 of the Act and Section 2.803 of the Commission’s Rules</w:t>
      </w:r>
      <w:bookmarkEnd w:id="138"/>
      <w:bookmarkEnd w:id="139"/>
      <w:bookmarkEnd w:id="140"/>
      <w:bookmarkEnd w:id="141"/>
      <w:bookmarkEnd w:id="142"/>
      <w:bookmarkEnd w:id="143"/>
      <w:bookmarkEnd w:id="144"/>
      <w:bookmarkEnd w:id="145"/>
      <w:bookmarkEnd w:id="146"/>
      <w:bookmarkEnd w:id="147"/>
    </w:p>
    <w:p w:rsidR="0032514E" w:rsidP="0032514E" w14:paraId="064EE705" w14:textId="77777777">
      <w:pPr>
        <w:pStyle w:val="ParaNum"/>
        <w:widowControl/>
      </w:pPr>
      <w:r>
        <w:t>Devices that unintentionally or intentionally emit radio frequency energy typically must be authorized in accordance with the Commission’s rules prior to their being advertised or sold in the United States.</w:t>
      </w:r>
      <w:r>
        <w:rPr>
          <w:rStyle w:val="FootnoteReference"/>
        </w:rPr>
        <w:footnoteReference w:id="46"/>
      </w:r>
      <w:r>
        <w:t xml:space="preserve">  Specifically, s</w:t>
      </w:r>
      <w:r w:rsidRPr="007043A4">
        <w:t>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47"/>
      </w:r>
      <w:r w:rsidRPr="007043A4">
        <w:t xml:space="preserve">  Section 2.803(b)(1)</w:t>
      </w:r>
      <w:r>
        <w:t>-(2)</w:t>
      </w:r>
      <w:r w:rsidRPr="007043A4">
        <w:t xml:space="preserve"> of the Commission’s rules provide that</w:t>
      </w:r>
      <w:r>
        <w:t xml:space="preserve"> no person may market a radio frequency device</w:t>
      </w:r>
      <w:r w:rsidRPr="007043A4">
        <w:t xml:space="preserve"> that </w:t>
      </w:r>
      <w:r>
        <w:t>is</w:t>
      </w:r>
      <w:r w:rsidRPr="007043A4">
        <w:t xml:space="preserve"> subject to </w:t>
      </w:r>
      <w:r>
        <w:t>c</w:t>
      </w:r>
      <w:r w:rsidRPr="007043A4">
        <w:t>ertification</w:t>
      </w:r>
      <w:r>
        <w:t xml:space="preserve"> or SDOC unless </w:t>
      </w:r>
      <w:r w:rsidRPr="007043A4">
        <w:t xml:space="preserve">the device has </w:t>
      </w:r>
      <w:r>
        <w:t xml:space="preserve">previously </w:t>
      </w:r>
      <w:r w:rsidRPr="007043A4">
        <w:t xml:space="preserve">been authorized in accordance with the rules and is </w:t>
      </w:r>
      <w:r>
        <w:t>properly identified and labeled.</w:t>
      </w:r>
      <w:r>
        <w:rPr>
          <w:rStyle w:val="FootnoteReference"/>
        </w:rPr>
        <w:footnoteReference w:id="48"/>
      </w:r>
      <w:r>
        <w:t xml:space="preserve">  </w:t>
      </w:r>
    </w:p>
    <w:p w:rsidR="0032514E" w:rsidP="0032514E" w14:paraId="1C016A6F" w14:textId="77777777">
      <w:pPr>
        <w:pStyle w:val="ParaNum"/>
        <w:widowControl/>
      </w:pPr>
      <w:r>
        <w:t xml:space="preserve">Based on the Company’s filings in this investigation, Sound Around </w:t>
      </w:r>
      <w:r w:rsidRPr="00930752">
        <w:t>marketed</w:t>
      </w:r>
      <w:r>
        <w:t xml:space="preserve"> 33 radio frequency models that were not authorized at the time they were being marketed or sold.  The subject device models, which are listed in the Appendix, required an authorization, either a certification or SDOC, based on the operational characteristics of each device, also identified in the Appendix.  The Bluetooth devices, wireless microphones, and FM transmitters advertised and sold by Sound Around required certification as intentional radiators.</w:t>
      </w:r>
      <w:r>
        <w:rPr>
          <w:rStyle w:val="FootnoteReference"/>
        </w:rPr>
        <w:footnoteReference w:id="49"/>
      </w:r>
      <w:r>
        <w:t xml:space="preserve">  The non-wireless devices, </w:t>
      </w:r>
      <w:r w:rsidRPr="007C1F8D">
        <w:t>e.g</w:t>
      </w:r>
      <w:r w:rsidRPr="00025ED8">
        <w:rPr>
          <w:i/>
          <w:iCs/>
        </w:rPr>
        <w:t>.</w:t>
      </w:r>
      <w:r>
        <w:t>, digital keyboards, listed in the Appendix required an SDOC or certification as unintentional radiators.</w:t>
      </w:r>
      <w:r>
        <w:rPr>
          <w:rStyle w:val="FootnoteReference"/>
        </w:rPr>
        <w:footnoteReference w:id="50"/>
      </w:r>
      <w:r>
        <w:t xml:space="preserve">  </w:t>
      </w:r>
    </w:p>
    <w:p w:rsidR="0032514E" w:rsidP="0032514E" w14:paraId="7D5CDFF7" w14:textId="77777777">
      <w:pPr>
        <w:pStyle w:val="ParaNum"/>
        <w:widowControl/>
      </w:pPr>
      <w:r>
        <w:t xml:space="preserve">As shown in the chart contained in the Appendix, Sound Around marketed devices that required an authorization prior to obtaining that authorization or without ever obtaining an authorization.  </w:t>
      </w:r>
      <w:r w:rsidRPr="00BD3236">
        <w:t>Rows 1 to 24 of</w:t>
      </w:r>
      <w:r>
        <w:t xml:space="preserve"> the Appendix reflect devices that are intentional radiators and required a certification based on the capabilities of the devices (e.g., Bluetooth, wireless microphones, FM transmitters), but Sound Around admits to marketing these devices for periods of time, sometimes months, prior to obtaining an authorization.  For example, row 1 shows that Sound Around marketed model </w:t>
      </w:r>
      <w:r w:rsidRPr="00D5668E">
        <w:t>PDWR62BTBK</w:t>
      </w:r>
      <w:r>
        <w:t xml:space="preserve"> starting on October 31, 2021, but acknowledges that it only obtained an authorization with FCC ID </w:t>
      </w:r>
      <w:r w:rsidRPr="00D5668E">
        <w:t>2A5J3-HYB1065B5</w:t>
      </w:r>
      <w:r>
        <w:t xml:space="preserve"> on April 6, 2022, for its Bluetooth capability, reflecting several months of marketing an unauthorized device</w:t>
      </w:r>
      <w:r w:rsidRPr="00BD3236">
        <w:t>.  Rows 25 to 30 show</w:t>
      </w:r>
      <w:r>
        <w:t xml:space="preserve"> the Sound Around models that required SDOC prior to marketing as unintentional radiators but were marketed prior to that authorization.</w:t>
      </w:r>
      <w:r>
        <w:rPr>
          <w:rStyle w:val="FootnoteReference"/>
        </w:rPr>
        <w:footnoteReference w:id="51"/>
      </w:r>
      <w:r>
        <w:t xml:space="preserve">  Finally, the devices listed in </w:t>
      </w:r>
      <w:r w:rsidRPr="00BD3236">
        <w:t>rows 31 to 33</w:t>
      </w:r>
      <w:r>
        <w:t xml:space="preserve"> were never authorized; Sound Around admits that it did not obtain an authorization, the FCC ID provided does not apply to the device, or the FCC ID provided does not cover the full capabilities of the device.   </w:t>
      </w:r>
    </w:p>
    <w:p w:rsidR="0032514E" w:rsidP="0032514E" w14:paraId="6F08F70C" w14:textId="77777777">
      <w:pPr>
        <w:pStyle w:val="ParaNum"/>
        <w:widowControl/>
      </w:pPr>
      <w:r>
        <w:t>For rows 3, 8, 10, 19, and 20 of the Appendix, Sound Around’s claimed date of first marketing is contradicted by evidence on the Amazon product webpage for the same device that shows earlier marketing.  Sound Around has not adequately explained how the Amazon “Date First Available,” which indicates the date the device was first available for sale on Amazon, is not an accurate documentation of when the Company first marketed the device.</w:t>
      </w:r>
      <w:r>
        <w:rPr>
          <w:rStyle w:val="FootnoteReference"/>
        </w:rPr>
        <w:footnoteReference w:id="52"/>
      </w:r>
      <w:r>
        <w:t xml:space="preserve">  We find where the Amazon “Date First Available” precedes the date of authorization, the Company marketed the devices prior to authorization.  </w:t>
      </w:r>
      <w:r w:rsidRPr="00930752">
        <w:t xml:space="preserve">Accordingly, we find that </w:t>
      </w:r>
      <w:r>
        <w:t>Sound Around</w:t>
      </w:r>
      <w:r w:rsidRPr="00930752">
        <w:t xml:space="preserve"> unlawfully marketed </w:t>
      </w:r>
      <w:r>
        <w:t xml:space="preserve">33 radio frequency devices </w:t>
      </w:r>
      <w:r w:rsidRPr="00930752">
        <w:t xml:space="preserve">in the United States in apparent violation of </w:t>
      </w:r>
      <w:r>
        <w:t>s</w:t>
      </w:r>
      <w:r w:rsidRPr="00930752">
        <w:t xml:space="preserve">ection 302 of the Act and </w:t>
      </w:r>
      <w:r>
        <w:t>s</w:t>
      </w:r>
      <w:r w:rsidRPr="00930752">
        <w:t xml:space="preserve">ection 2.803 of the Commission’s rules.  </w:t>
      </w:r>
    </w:p>
    <w:p w:rsidR="0032514E" w:rsidP="0032514E" w14:paraId="45FA6BFD" w14:textId="77777777">
      <w:pPr>
        <w:pStyle w:val="Heading2"/>
      </w:pPr>
      <w:bookmarkStart w:id="148" w:name="_Toc143263538"/>
      <w:bookmarkStart w:id="149" w:name="_Toc143608164"/>
      <w:bookmarkStart w:id="150" w:name="_Toc146190784"/>
      <w:bookmarkStart w:id="151" w:name="_Toc146717489"/>
      <w:bookmarkStart w:id="152" w:name="_Toc146807832"/>
      <w:bookmarkStart w:id="153" w:name="_Toc149205593"/>
      <w:bookmarkStart w:id="154" w:name="_Toc149644919"/>
      <w:r>
        <w:t>Sound Around Apparently Violated Commission Orders with Incomplete LOI Responses</w:t>
      </w:r>
      <w:bookmarkEnd w:id="148"/>
      <w:bookmarkEnd w:id="149"/>
      <w:bookmarkEnd w:id="150"/>
      <w:bookmarkEnd w:id="151"/>
      <w:bookmarkEnd w:id="152"/>
      <w:bookmarkEnd w:id="153"/>
      <w:bookmarkEnd w:id="154"/>
      <w:r>
        <w:t xml:space="preserve">  </w:t>
      </w:r>
    </w:p>
    <w:p w:rsidR="0032514E" w:rsidRPr="007043A4" w:rsidP="0032514E" w14:paraId="330DA0A7" w14:textId="77777777">
      <w:pPr>
        <w:pStyle w:val="ParaNum"/>
        <w:widowControl/>
        <w:suppressAutoHyphens/>
      </w:pPr>
      <w:r>
        <w:t>Sound Around</w:t>
      </w:r>
      <w:r w:rsidRPr="007043A4">
        <w:t xml:space="preserve"> also apparently willfully and repeatedly violated Commission order</w:t>
      </w:r>
      <w:r>
        <w:t>s</w:t>
      </w:r>
      <w:r w:rsidRPr="007043A4">
        <w:t xml:space="preserve"> by failing to respond </w:t>
      </w:r>
      <w:r>
        <w:t xml:space="preserve">fully </w:t>
      </w:r>
      <w:r w:rsidRPr="007043A4">
        <w:t>to the LOI</w:t>
      </w:r>
      <w:r>
        <w:t xml:space="preserve"> and Further LOI</w:t>
      </w:r>
      <w:r w:rsidRPr="007043A4">
        <w:t xml:space="preserve">.  </w:t>
      </w:r>
      <w:r>
        <w:t>C</w:t>
      </w:r>
      <w:r w:rsidRPr="007043A4">
        <w:t xml:space="preserve">ompanies that receive LOIs must timely file complete and accurate responses to the Bureau’s questions.  Failure to respond </w:t>
      </w:r>
      <w:r>
        <w:t xml:space="preserve">timely and fully </w:t>
      </w:r>
      <w:r w:rsidRPr="007043A4">
        <w:t xml:space="preserve">to the Bureau’s inquiries violates </w:t>
      </w:r>
      <w:bookmarkStart w:id="155" w:name="_Ref498698482"/>
      <w:r>
        <w:t>a Commission order setting a deadline in which to provide all relevant information.  A violation of a Commission order is punishable by a forfeiture penalty under the Act.</w:t>
      </w:r>
      <w:r>
        <w:rPr>
          <w:rStyle w:val="FootnoteReference"/>
        </w:rPr>
        <w:footnoteReference w:id="53"/>
      </w:r>
      <w:r>
        <w:t xml:space="preserve">  The Commission has delegated authority to the Bureau to request information, and the failure to provide a complete response hinders the Bureau’s ability to investigate and therefore fundamentally affects the Bureau’s ability to operate.</w:t>
      </w:r>
      <w:r>
        <w:rPr>
          <w:rStyle w:val="FootnoteReference"/>
        </w:rPr>
        <w:footnoteReference w:id="54"/>
      </w:r>
      <w:bookmarkEnd w:id="155"/>
      <w:r w:rsidRPr="007043A4">
        <w:t xml:space="preserve"> </w:t>
      </w:r>
      <w:r>
        <w:t xml:space="preserve"> </w:t>
      </w:r>
    </w:p>
    <w:p w:rsidR="0032514E" w:rsidP="0032514E" w14:paraId="2CD8F50B" w14:textId="77777777">
      <w:pPr>
        <w:pStyle w:val="ParaNum"/>
        <w:widowControl/>
      </w:pPr>
      <w:r>
        <w:t xml:space="preserve">Sound Around </w:t>
      </w:r>
      <w:r w:rsidRPr="007043A4">
        <w:t xml:space="preserve">failed to respond </w:t>
      </w:r>
      <w:r>
        <w:t xml:space="preserve">fully </w:t>
      </w:r>
      <w:r w:rsidRPr="007043A4">
        <w:t>to the LOI</w:t>
      </w:r>
      <w:r>
        <w:t xml:space="preserve"> and Further LOI</w:t>
      </w:r>
      <w:r w:rsidRPr="007043A4">
        <w:t xml:space="preserve">.  </w:t>
      </w:r>
      <w:r>
        <w:t>Initially, the Company provided an incomplete response to the August 2, 2022 Letter of Inquiry, in which it noted that it was still compiling information and would submit a supplemental response by November 15, 2022.</w:t>
      </w:r>
      <w:r>
        <w:rPr>
          <w:rStyle w:val="FootnoteReference"/>
          <w:szCs w:val="22"/>
        </w:rPr>
        <w:footnoteReference w:id="55"/>
      </w:r>
      <w:r>
        <w:t xml:space="preserve">  Sound Around then submitted four additional incomplete responses to the LOI.</w:t>
      </w:r>
      <w:r>
        <w:rPr>
          <w:rStyle w:val="FootnoteReference"/>
          <w:szCs w:val="22"/>
        </w:rPr>
        <w:footnoteReference w:id="56"/>
      </w:r>
      <w:r>
        <w:t xml:space="preserve">  Each of the responses updated or corrected prior filings, and all of them contained errors, were incomplete, and at times contained contradictory information.</w:t>
      </w:r>
      <w:r>
        <w:rPr>
          <w:rStyle w:val="FootnoteReference"/>
        </w:rPr>
        <w:footnoteReference w:id="57"/>
      </w:r>
      <w:r>
        <w:t xml:space="preserve">  </w:t>
      </w:r>
    </w:p>
    <w:p w:rsidR="0032514E" w:rsidP="0032514E" w14:paraId="1A3D80B0" w14:textId="77777777">
      <w:pPr>
        <w:pStyle w:val="ParaNum"/>
      </w:pPr>
      <w:r>
        <w:t xml:space="preserve">Evidence developed independently by the Bureau also showed that </w:t>
      </w:r>
      <w:r w:rsidRPr="00F56857">
        <w:t xml:space="preserve">the </w:t>
      </w:r>
      <w:r>
        <w:t xml:space="preserve">Company’s </w:t>
      </w:r>
      <w:r w:rsidRPr="00F56857">
        <w:t xml:space="preserve">responses </w:t>
      </w:r>
      <w:r>
        <w:t>we</w:t>
      </w:r>
      <w:r w:rsidRPr="00F56857">
        <w:t>re incomplete</w:t>
      </w:r>
      <w:r>
        <w:t xml:space="preserve"> and necessitated the issuing of the Further LOI</w:t>
      </w:r>
      <w:r w:rsidRPr="00F56857">
        <w:t xml:space="preserve">. </w:t>
      </w:r>
      <w:r>
        <w:t xml:space="preserve"> </w:t>
      </w:r>
      <w:r w:rsidRPr="00F56857">
        <w:t xml:space="preserve">First, </w:t>
      </w:r>
      <w:r>
        <w:t>Sound Around’s</w:t>
      </w:r>
      <w:r w:rsidRPr="00F56857">
        <w:t xml:space="preserve"> Amazon page show</w:t>
      </w:r>
      <w:r>
        <w:t>ed</w:t>
      </w:r>
      <w:r w:rsidRPr="00F56857">
        <w:t xml:space="preserve"> the marketing of at least 45 models that were not disclosed in </w:t>
      </w:r>
      <w:r>
        <w:t xml:space="preserve">the Company’s </w:t>
      </w:r>
      <w:r w:rsidRPr="00F56857">
        <w:t>responses.</w:t>
      </w:r>
      <w:r>
        <w:rPr>
          <w:rStyle w:val="FootnoteReference"/>
          <w:szCs w:val="22"/>
        </w:rPr>
        <w:footnoteReference w:id="58"/>
      </w:r>
      <w:r>
        <w:t xml:space="preserve">  </w:t>
      </w:r>
      <w:r w:rsidRPr="00F56857">
        <w:t>Second, the Commission’s equipment authorization database show</w:t>
      </w:r>
      <w:r>
        <w:t>ed</w:t>
      </w:r>
      <w:r w:rsidRPr="00F56857">
        <w:t xml:space="preserve"> that the Company ha</w:t>
      </w:r>
      <w:r>
        <w:t>d</w:t>
      </w:r>
      <w:r w:rsidRPr="00F56857">
        <w:t xml:space="preserve"> obtained </w:t>
      </w:r>
      <w:r>
        <w:t xml:space="preserve">at least three </w:t>
      </w:r>
      <w:r w:rsidRPr="00F56857">
        <w:t xml:space="preserve">FCC authorizations that were not disclosed in </w:t>
      </w:r>
      <w:r>
        <w:t xml:space="preserve">its </w:t>
      </w:r>
      <w:r w:rsidRPr="00F56857">
        <w:t>LOI responses.</w:t>
      </w:r>
      <w:r>
        <w:rPr>
          <w:rStyle w:val="FootnoteReference"/>
          <w:szCs w:val="22"/>
        </w:rPr>
        <w:footnoteReference w:id="59"/>
      </w:r>
      <w:r w:rsidRPr="00F56857">
        <w:t xml:space="preserve"> </w:t>
      </w:r>
      <w:r>
        <w:t xml:space="preserve"> </w:t>
      </w:r>
      <w:r w:rsidRPr="00F56857">
        <w:t xml:space="preserve">Additionally, the Company disclosed FCC IDs in LOI </w:t>
      </w:r>
      <w:r>
        <w:t>r</w:t>
      </w:r>
      <w:r w:rsidRPr="00F56857">
        <w:t>esponses but failed to provide the required information on the marketing of the models covered by the FCC ID</w:t>
      </w:r>
      <w:r>
        <w:t>s, such as the dates on which the Company began and ceased advertising the models in the United States, the dates on which the Company began and ceased importing the models into the United States, and the dates on which the Company began and ceased sales of the models in the United States</w:t>
      </w:r>
      <w:r w:rsidRPr="00F56857">
        <w:t>.</w:t>
      </w:r>
      <w:r>
        <w:rPr>
          <w:rStyle w:val="FootnoteReference"/>
          <w:szCs w:val="22"/>
        </w:rPr>
        <w:footnoteReference w:id="60"/>
      </w:r>
      <w:r>
        <w:t xml:space="preserve">  </w:t>
      </w:r>
    </w:p>
    <w:p w:rsidR="0032514E" w:rsidRPr="00AD0764" w:rsidP="0032514E" w14:paraId="447EA3AC" w14:textId="77777777">
      <w:pPr>
        <w:pStyle w:val="ParaNum"/>
        <w:widowControl/>
        <w:suppressAutoHyphens/>
      </w:pPr>
      <w:r>
        <w:t xml:space="preserve">In addition, Sound </w:t>
      </w:r>
      <w:r w:rsidRPr="005B56D8">
        <w:rPr>
          <w:szCs w:val="22"/>
        </w:rPr>
        <w:t>Around’s</w:t>
      </w:r>
      <w:r>
        <w:t xml:space="preserve"> response to the Further LOI was incomplete.  </w:t>
      </w:r>
      <w:r w:rsidRPr="005B56D8">
        <w:rPr>
          <w:szCs w:val="22"/>
        </w:rPr>
        <w:t xml:space="preserve">Specifically, Inquiry 1 requested that </w:t>
      </w:r>
      <w:r>
        <w:rPr>
          <w:szCs w:val="22"/>
        </w:rPr>
        <w:t>Sound Around</w:t>
      </w:r>
      <w:r w:rsidRPr="005B56D8">
        <w:rPr>
          <w:szCs w:val="22"/>
        </w:rPr>
        <w:t xml:space="preserve"> identify all </w:t>
      </w:r>
      <w:r>
        <w:rPr>
          <w:szCs w:val="22"/>
        </w:rPr>
        <w:t>radio frequency</w:t>
      </w:r>
      <w:r w:rsidRPr="005B56D8">
        <w:rPr>
          <w:szCs w:val="22"/>
        </w:rPr>
        <w:t xml:space="preserve"> device models marketed by the Company.</w:t>
      </w:r>
      <w:r>
        <w:rPr>
          <w:rStyle w:val="FootnoteReference"/>
        </w:rPr>
        <w:footnoteReference w:id="61"/>
      </w:r>
      <w:r w:rsidRPr="005B56D8">
        <w:rPr>
          <w:szCs w:val="22"/>
        </w:rPr>
        <w:t xml:space="preserve">  </w:t>
      </w:r>
      <w:r>
        <w:rPr>
          <w:szCs w:val="22"/>
        </w:rPr>
        <w:t>Bureau</w:t>
      </w:r>
      <w:r w:rsidRPr="005B56D8">
        <w:rPr>
          <w:szCs w:val="22"/>
        </w:rPr>
        <w:t xml:space="preserve"> staff discovered models that the Company appeared not to have disclosed in any of its responses, including its response to the Further LOI.  </w:t>
      </w:r>
      <w:r>
        <w:rPr>
          <w:szCs w:val="22"/>
        </w:rPr>
        <w:t>T</w:t>
      </w:r>
      <w:r w:rsidRPr="005B56D8">
        <w:rPr>
          <w:szCs w:val="22"/>
        </w:rPr>
        <w:t xml:space="preserve">he Company admitted in its response to the </w:t>
      </w:r>
      <w:r>
        <w:rPr>
          <w:szCs w:val="22"/>
        </w:rPr>
        <w:t>D</w:t>
      </w:r>
      <w:r w:rsidRPr="005B56D8">
        <w:rPr>
          <w:szCs w:val="22"/>
        </w:rPr>
        <w:t xml:space="preserve">eficiency </w:t>
      </w:r>
      <w:r>
        <w:rPr>
          <w:szCs w:val="22"/>
        </w:rPr>
        <w:t>L</w:t>
      </w:r>
      <w:r w:rsidRPr="005B56D8">
        <w:rPr>
          <w:szCs w:val="22"/>
        </w:rPr>
        <w:t>etter that it omitted models that should have been included in the earlier responses.</w:t>
      </w:r>
      <w:r>
        <w:rPr>
          <w:rStyle w:val="FootnoteReference"/>
          <w:szCs w:val="22"/>
        </w:rPr>
        <w:footnoteReference w:id="62"/>
      </w:r>
      <w:r w:rsidRPr="005B56D8">
        <w:rPr>
          <w:szCs w:val="22"/>
        </w:rPr>
        <w:t xml:space="preserve">  </w:t>
      </w:r>
      <w:r>
        <w:rPr>
          <w:szCs w:val="22"/>
        </w:rPr>
        <w:t>The Bureau</w:t>
      </w:r>
      <w:r w:rsidRPr="005B56D8">
        <w:rPr>
          <w:szCs w:val="22"/>
        </w:rPr>
        <w:t xml:space="preserve"> </w:t>
      </w:r>
      <w:r>
        <w:rPr>
          <w:szCs w:val="22"/>
        </w:rPr>
        <w:t>also had to seek further clarifications after reviewing the Deficiency Letter Response.  The information provided by the Company was incomplete because the FCC IDs provided by Sound Around for six devices did not cover the devices’ wireless operations, and for three devices, the images and descriptions of the devices as advertised on Amazon did not match the device descriptions contained in the Commission authorizations.</w:t>
      </w:r>
      <w:r>
        <w:rPr>
          <w:rStyle w:val="FootnoteReference"/>
          <w:szCs w:val="22"/>
        </w:rPr>
        <w:footnoteReference w:id="63"/>
      </w:r>
    </w:p>
    <w:p w:rsidR="0032514E" w:rsidRPr="00930752" w:rsidP="0032514E" w14:paraId="4959DF1E" w14:textId="77777777">
      <w:pPr>
        <w:pStyle w:val="ParaNum"/>
        <w:widowControl/>
        <w:suppressAutoHyphens/>
      </w:pPr>
      <w:r w:rsidRPr="00EB10BF">
        <w:t>The Commission has consistently held that entities must provide timely and complete responses to an Enforcement Bureau inquiry.</w:t>
      </w:r>
      <w:r>
        <w:rPr>
          <w:vertAlign w:val="superscript"/>
        </w:rPr>
        <w:footnoteReference w:id="64"/>
      </w:r>
      <w:r w:rsidRPr="00EB10BF">
        <w:t xml:space="preserve">  </w:t>
      </w:r>
      <w:r>
        <w:t xml:space="preserve">Sound Around’s failure to provide a complete response to the LOI and the Further LOI harmed the Commission by delaying the investigation and wasting Commission resources.  </w:t>
      </w:r>
      <w:r w:rsidRPr="00EB10BF">
        <w:t xml:space="preserve">Accordingly, we find that </w:t>
      </w:r>
      <w:r>
        <w:t>Sound Around</w:t>
      </w:r>
      <w:r w:rsidRPr="00EB10BF">
        <w:t xml:space="preserve"> apparently willfully and repeatedly violated </w:t>
      </w:r>
      <w:r>
        <w:t>two</w:t>
      </w:r>
      <w:r w:rsidRPr="00EB10BF">
        <w:t xml:space="preserve"> Commission order</w:t>
      </w:r>
      <w:r>
        <w:t xml:space="preserve">s </w:t>
      </w:r>
      <w:r w:rsidRPr="00EB10BF">
        <w:t>by failing to respond</w:t>
      </w:r>
      <w:r>
        <w:t xml:space="preserve"> fully</w:t>
      </w:r>
      <w:r w:rsidRPr="00EB10BF">
        <w:t xml:space="preserve"> to the LOI and </w:t>
      </w:r>
      <w:r>
        <w:t>Further LOI</w:t>
      </w:r>
      <w:r w:rsidRPr="00EB10BF">
        <w:t xml:space="preserve">.  </w:t>
      </w:r>
    </w:p>
    <w:p w:rsidR="0032514E" w:rsidP="0032514E" w14:paraId="17D14F61" w14:textId="77777777">
      <w:pPr>
        <w:pStyle w:val="Heading2"/>
      </w:pPr>
      <w:bookmarkStart w:id="156" w:name="_Toc141094944"/>
      <w:bookmarkStart w:id="157" w:name="_Toc141258486"/>
      <w:bookmarkStart w:id="158" w:name="_Toc143249355"/>
      <w:bookmarkStart w:id="159" w:name="_Toc143263539"/>
      <w:bookmarkStart w:id="160" w:name="_Toc143608165"/>
      <w:bookmarkStart w:id="161" w:name="_Toc146190785"/>
      <w:bookmarkStart w:id="162" w:name="_Toc146717490"/>
      <w:bookmarkStart w:id="163" w:name="_Toc146807833"/>
      <w:bookmarkStart w:id="164" w:name="_Toc149205594"/>
      <w:bookmarkStart w:id="165" w:name="_Toc149644920"/>
      <w:r w:rsidRPr="00F94F9D">
        <w:t>Proposed Forfeiture</w:t>
      </w:r>
      <w:bookmarkEnd w:id="156"/>
      <w:bookmarkEnd w:id="157"/>
      <w:bookmarkEnd w:id="158"/>
      <w:bookmarkEnd w:id="159"/>
      <w:bookmarkEnd w:id="160"/>
      <w:bookmarkEnd w:id="161"/>
      <w:bookmarkEnd w:id="162"/>
      <w:bookmarkEnd w:id="163"/>
      <w:bookmarkEnd w:id="164"/>
      <w:bookmarkEnd w:id="165"/>
      <w:r w:rsidRPr="00F94F9D">
        <w:t xml:space="preserve"> </w:t>
      </w:r>
    </w:p>
    <w:p w:rsidR="0032514E" w:rsidP="0032514E" w14:paraId="53DEE8AB" w14:textId="77777777">
      <w:pPr>
        <w:pStyle w:val="ParaNum"/>
        <w:widowControl/>
      </w:pPr>
      <w:r w:rsidRPr="00981F23">
        <w:t>Section 503(b) of the Act authorizes the Commission to impose a forfeiture against any entity that “willfully or repeatedly fail</w:t>
      </w:r>
      <w:r>
        <w:t>[</w:t>
      </w:r>
      <w:r w:rsidRPr="00981F23">
        <w:t>s</w:t>
      </w:r>
      <w:r>
        <w:t>]</w:t>
      </w:r>
      <w:r w:rsidRPr="00981F23">
        <w:t xml:space="preserve"> to comply with any of the provisions of </w:t>
      </w:r>
      <w:r>
        <w:t>[</w:t>
      </w:r>
      <w:r w:rsidRPr="00981F23">
        <w:t>the Act</w:t>
      </w:r>
      <w:r>
        <w:t>]</w:t>
      </w:r>
      <w:r w:rsidRPr="00981F23">
        <w:t xml:space="preserve"> or of any rule, regulation, or order issued by the Commission.”</w:t>
      </w:r>
      <w:r>
        <w:rPr>
          <w:vertAlign w:val="superscript"/>
        </w:rPr>
        <w:footnoteReference w:id="65"/>
      </w:r>
      <w:r>
        <w:t xml:space="preserve">  </w:t>
      </w:r>
      <w:r w:rsidRPr="007921D7">
        <w:t xml:space="preserve">Here, </w:t>
      </w:r>
      <w:r>
        <w:t>s</w:t>
      </w:r>
      <w:r w:rsidRPr="007921D7">
        <w:t>ection 503(b)(2)(D) of the Act authorizes us to assess a forfeiture against Sound Around of up to $</w:t>
      </w:r>
      <w:r>
        <w:t>23,727</w:t>
      </w:r>
      <w:r w:rsidRPr="007921D7">
        <w:t xml:space="preserve"> for </w:t>
      </w:r>
      <w:r w:rsidRPr="002B3B70">
        <w:t xml:space="preserve">each violation or </w:t>
      </w:r>
      <w:r w:rsidRPr="007921D7">
        <w:t>each day of a continuing violation, up to a statutory maximum of $</w:t>
      </w:r>
      <w:r>
        <w:t>177,951</w:t>
      </w:r>
      <w:r w:rsidRPr="007921D7">
        <w:t xml:space="preserve"> for a single act or failure to act.</w:t>
      </w:r>
      <w:bookmarkStart w:id="166" w:name="_Ref141170505"/>
      <w:r>
        <w:rPr>
          <w:rStyle w:val="FootnoteReference"/>
          <w:color w:val="000000"/>
          <w:szCs w:val="22"/>
        </w:rPr>
        <w:footnoteReference w:id="66"/>
      </w:r>
      <w:bookmarkEnd w:id="166"/>
      <w:r w:rsidRPr="007043A4">
        <w:t xml:space="preserve">  </w:t>
      </w:r>
      <w:r w:rsidRPr="00981F23">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color w:val="000000"/>
          <w:szCs w:val="22"/>
        </w:rPr>
        <w:footnoteReference w:id="67"/>
      </w:r>
      <w:r w:rsidRPr="00981F23">
        <w:rPr>
          <w:spacing w:val="-2"/>
        </w:rPr>
        <w:t xml:space="preserve">  </w:t>
      </w:r>
      <w:r w:rsidRPr="00981F23">
        <w:t>In addition, the Commission has established forfeiture guidelines</w:t>
      </w:r>
      <w:r>
        <w:t xml:space="preserve">, which provide </w:t>
      </w:r>
      <w:r w:rsidRPr="00981F23">
        <w:t>base penalties for certain violations and identify criteria that we consider when determining the appropriate penalty in any given case.</w:t>
      </w:r>
      <w:r>
        <w:rPr>
          <w:rStyle w:val="FootnoteReference"/>
          <w:color w:val="000000"/>
        </w:rPr>
        <w:footnoteReference w:id="68"/>
      </w:r>
      <w:r w:rsidRPr="00981F23">
        <w:t xml:space="preserve">  Under these guidelines, we may adjust a forfeiture upward for violations that are egregious, intentional, </w:t>
      </w:r>
      <w:r>
        <w:t xml:space="preserve">or </w:t>
      </w:r>
      <w:r w:rsidRPr="00981F23">
        <w:t xml:space="preserve">repeated, </w:t>
      </w:r>
      <w:r>
        <w:t xml:space="preserve">or that </w:t>
      </w:r>
      <w:r w:rsidRPr="00981F23">
        <w:t>cause substantial harm</w:t>
      </w:r>
      <w:r>
        <w:t xml:space="preserve"> or</w:t>
      </w:r>
      <w:r w:rsidRPr="00981F23">
        <w:t xml:space="preserve"> generate substantial economic gain for the violator.</w:t>
      </w:r>
      <w:r>
        <w:rPr>
          <w:rStyle w:val="FootnoteReference"/>
          <w:color w:val="000000"/>
        </w:rPr>
        <w:footnoteReference w:id="69"/>
      </w:r>
      <w:r w:rsidRPr="00981F23">
        <w:t xml:space="preserve">  </w:t>
      </w:r>
    </w:p>
    <w:p w:rsidR="0032514E" w:rsidP="0032514E" w14:paraId="2990DD50" w14:textId="77777777">
      <w:pPr>
        <w:pStyle w:val="ParaNum"/>
        <w:keepNext/>
        <w:widowControl/>
      </w:pPr>
      <w:r w:rsidRPr="007043A4">
        <w:t xml:space="preserve">Section 1.80(b) of the </w:t>
      </w:r>
      <w:r>
        <w:t>Commission’s r</w:t>
      </w:r>
      <w:r w:rsidRPr="007043A4">
        <w:t>ules sets a base forfeiture of $7,000 for marketing of unauthorized equipment for each violation or each day of a continuing violation.</w:t>
      </w:r>
      <w:r>
        <w:rPr>
          <w:vertAlign w:val="superscript"/>
        </w:rPr>
        <w:footnoteReference w:id="70"/>
      </w:r>
      <w:r w:rsidRPr="007043A4">
        <w:t xml:space="preserve">  </w:t>
      </w:r>
      <w:r>
        <w:t xml:space="preserve">Sound Around has been marketing 33 apparently noncompliant radio frequency models during the statute of limitations period based on information provided by the Company during the investigation.  </w:t>
      </w:r>
      <w:r w:rsidRPr="007043A4">
        <w:t>Accordingly,</w:t>
      </w:r>
      <w:r>
        <w:t xml:space="preserve"> </w:t>
      </w:r>
      <w:r w:rsidRPr="007043A4">
        <w:t xml:space="preserve">a base forfeiture </w:t>
      </w:r>
      <w:r>
        <w:t xml:space="preserve">for each of the 33 apparent violations would result in a total proposed base forfeiture </w:t>
      </w:r>
      <w:r w:rsidRPr="007043A4">
        <w:t>of $</w:t>
      </w:r>
      <w:r w:rsidRPr="00753407">
        <w:t>231,000 (33 x $7,000</w:t>
      </w:r>
      <w:r w:rsidRPr="008F4454">
        <w:t>)</w:t>
      </w:r>
      <w:r>
        <w:t xml:space="preserve">.  </w:t>
      </w:r>
    </w:p>
    <w:p w:rsidR="0032514E" w:rsidP="0032514E" w14:paraId="3586FCD6" w14:textId="77777777">
      <w:pPr>
        <w:pStyle w:val="ParaNum"/>
        <w:widowControl/>
      </w:pPr>
      <w:r w:rsidRPr="00F65869">
        <w:t xml:space="preserve">In addition, given the totality of the circumstances, and consistent with the </w:t>
      </w:r>
      <w:r w:rsidRPr="00F65869">
        <w:rPr>
          <w:i/>
          <w:iCs/>
        </w:rPr>
        <w:t>Forfeiture</w:t>
      </w:r>
      <w:r w:rsidRPr="00FF5711">
        <w:rPr>
          <w:i/>
          <w:iCs/>
        </w:rPr>
        <w:t xml:space="preserve"> Policy Statement</w:t>
      </w:r>
      <w:r w:rsidRPr="007043A4">
        <w:t xml:space="preserve">, we </w:t>
      </w:r>
      <w:r>
        <w:t>propose</w:t>
      </w:r>
      <w:r w:rsidRPr="007043A4">
        <w:t xml:space="preserve"> </w:t>
      </w:r>
      <w:r>
        <w:t xml:space="preserve">a </w:t>
      </w:r>
      <w:r w:rsidRPr="007043A4">
        <w:t>significant upward adjustment</w:t>
      </w:r>
      <w:r>
        <w:t xml:space="preserve"> for Sound Around’s: (i) intentional marketing of apparently noncompliant radio frequency devices; (ii) history of prior violations of the Act and the Commission’s rules; (iii) repeated and continuous noncompliant marketing; and (iv) ability to internalize the costs of more modest proposed forfeitures (i.e., ability to pay).</w:t>
      </w:r>
      <w:r>
        <w:rPr>
          <w:rStyle w:val="FootnoteReference"/>
        </w:rPr>
        <w:footnoteReference w:id="71"/>
      </w:r>
      <w:r>
        <w:t xml:space="preserve">  </w:t>
      </w:r>
    </w:p>
    <w:p w:rsidR="0032514E" w:rsidP="0032514E" w14:paraId="169E6F1E" w14:textId="77777777">
      <w:pPr>
        <w:pStyle w:val="ParaNum"/>
        <w:widowControl/>
      </w:pPr>
      <w:bookmarkStart w:id="167" w:name="_Ref141172053"/>
      <w:r w:rsidRPr="00DF1F33">
        <w:rPr>
          <w:i/>
          <w:iCs/>
        </w:rPr>
        <w:t>First</w:t>
      </w:r>
      <w:r>
        <w:t xml:space="preserve">, </w:t>
      </w:r>
      <w:r w:rsidRPr="0057242E">
        <w:t>Sound Around</w:t>
      </w:r>
      <w:r>
        <w:t xml:space="preserve"> intentionally</w:t>
      </w:r>
      <w:r w:rsidRPr="0057242E">
        <w:t xml:space="preserve"> market</w:t>
      </w:r>
      <w:r>
        <w:t>ed</w:t>
      </w:r>
      <w:r w:rsidRPr="0057242E">
        <w:t xml:space="preserve"> </w:t>
      </w:r>
      <w:r>
        <w:t xml:space="preserve">apparently </w:t>
      </w:r>
      <w:r w:rsidRPr="0057242E">
        <w:t xml:space="preserve">noncompliant </w:t>
      </w:r>
      <w:r>
        <w:t xml:space="preserve">radio frequency </w:t>
      </w:r>
      <w:r w:rsidRPr="0057242E">
        <w:t>devices</w:t>
      </w:r>
      <w:r>
        <w:t xml:space="preserve"> justifying a significant upward adjustment.  The Company has marketed numerous noncompliant devices for years despite numerous warnings from the Commission and Bureau.  The </w:t>
      </w:r>
      <w:r w:rsidRPr="0057242E">
        <w:t xml:space="preserve">record reflects that Sound Around </w:t>
      </w:r>
      <w:r>
        <w:t>acknowledges having</w:t>
      </w:r>
      <w:r w:rsidRPr="0057242E">
        <w:t xml:space="preserve"> marketed noncompliant wireless devices for more than </w:t>
      </w:r>
      <w:r>
        <w:t>14</w:t>
      </w:r>
      <w:r w:rsidRPr="0057242E">
        <w:t xml:space="preserve"> years</w:t>
      </w:r>
      <w:r>
        <w:rPr>
          <w:rStyle w:val="FootnoteReference"/>
        </w:rPr>
        <w:footnoteReference w:id="72"/>
      </w:r>
      <w:r w:rsidRPr="0057242E">
        <w:t xml:space="preserve"> and continued to do so despite the issuance of the </w:t>
      </w:r>
      <w:r w:rsidRPr="0057242E">
        <w:rPr>
          <w:i/>
          <w:iCs/>
        </w:rPr>
        <w:t>Marketing Citation</w:t>
      </w:r>
      <w:r w:rsidRPr="0057242E">
        <w:t xml:space="preserve"> </w:t>
      </w:r>
      <w:r>
        <w:t xml:space="preserve">and the subsequent investigation that led to </w:t>
      </w:r>
      <w:r w:rsidRPr="0057242E">
        <w:t xml:space="preserve">the </w:t>
      </w:r>
      <w:r>
        <w:rPr>
          <w:i/>
          <w:iCs/>
        </w:rPr>
        <w:t xml:space="preserve">Sound Around 2020 </w:t>
      </w:r>
      <w:r w:rsidRPr="0057242E">
        <w:rPr>
          <w:i/>
          <w:iCs/>
        </w:rPr>
        <w:t>NAL</w:t>
      </w:r>
      <w:r w:rsidRPr="0057242E">
        <w:t xml:space="preserve"> and the </w:t>
      </w:r>
      <w:r>
        <w:rPr>
          <w:i/>
          <w:iCs/>
        </w:rPr>
        <w:t xml:space="preserve">Sound Around 2022 </w:t>
      </w:r>
      <w:r w:rsidRPr="0057242E">
        <w:rPr>
          <w:i/>
          <w:iCs/>
        </w:rPr>
        <w:t>Forfeiture Order</w:t>
      </w:r>
      <w:r w:rsidRPr="0057242E">
        <w:t>.</w:t>
      </w:r>
      <w:r>
        <w:rPr>
          <w:rStyle w:val="FootnoteReference"/>
        </w:rPr>
        <w:footnoteReference w:id="73"/>
      </w:r>
      <w:r>
        <w:t xml:space="preserve">  The Company continued to market apparently noncompliant devices after the </w:t>
      </w:r>
      <w:r>
        <w:rPr>
          <w:i/>
          <w:iCs/>
        </w:rPr>
        <w:t xml:space="preserve">Sound Around 2020 </w:t>
      </w:r>
      <w:r w:rsidRPr="0057242E">
        <w:rPr>
          <w:i/>
          <w:iCs/>
        </w:rPr>
        <w:t>NAL</w:t>
      </w:r>
      <w:r>
        <w:rPr>
          <w:i/>
          <w:iCs/>
        </w:rPr>
        <w:t xml:space="preserve"> </w:t>
      </w:r>
      <w:r>
        <w:t xml:space="preserve">and the </w:t>
      </w:r>
      <w:r>
        <w:rPr>
          <w:i/>
          <w:iCs/>
        </w:rPr>
        <w:t xml:space="preserve">Sound Around 2022 </w:t>
      </w:r>
      <w:r w:rsidRPr="0057242E">
        <w:rPr>
          <w:i/>
          <w:iCs/>
        </w:rPr>
        <w:t>Forfeiture Order</w:t>
      </w:r>
      <w:r w:rsidRPr="00D058D3">
        <w:t>.</w:t>
      </w:r>
      <w:r>
        <w:rPr>
          <w:rStyle w:val="FootnoteReference"/>
        </w:rPr>
        <w:footnoteReference w:id="74"/>
      </w:r>
      <w:r>
        <w:t xml:space="preserve">  Therefore,</w:t>
      </w:r>
      <w:r w:rsidRPr="0057242E">
        <w:t xml:space="preserve"> </w:t>
      </w:r>
      <w:r>
        <w:t>the Company’s</w:t>
      </w:r>
      <w:r w:rsidRPr="0057242E">
        <w:t xml:space="preserve"> further marketing of </w:t>
      </w:r>
      <w:r>
        <w:t>33</w:t>
      </w:r>
      <w:r w:rsidRPr="0057242E">
        <w:t xml:space="preserve"> </w:t>
      </w:r>
      <w:r>
        <w:t xml:space="preserve">apparently </w:t>
      </w:r>
      <w:r w:rsidRPr="0057242E">
        <w:t>noncompliant models demonstrates</w:t>
      </w:r>
      <w:r>
        <w:t>:</w:t>
      </w:r>
      <w:r w:rsidRPr="0057242E">
        <w:t xml:space="preserve"> </w:t>
      </w:r>
      <w:r>
        <w:t xml:space="preserve">(i) </w:t>
      </w:r>
      <w:r w:rsidRPr="0057242E">
        <w:t xml:space="preserve">a complete disregard for the Commission’s regulatory authority and </w:t>
      </w:r>
      <w:r>
        <w:t xml:space="preserve">(ii) that </w:t>
      </w:r>
      <w:r w:rsidRPr="0057242E">
        <w:t xml:space="preserve">its failure to comply with </w:t>
      </w:r>
      <w:r>
        <w:t>s</w:t>
      </w:r>
      <w:r w:rsidRPr="0057242E">
        <w:t>ection 302 of the Act and section 2.803 of the Commission’s rules was intentional.</w:t>
      </w:r>
      <w:r>
        <w:rPr>
          <w:rStyle w:val="FootnoteReference"/>
        </w:rPr>
        <w:footnoteReference w:id="75"/>
      </w:r>
      <w:r w:rsidRPr="0057242E">
        <w:t xml:space="preserve">  </w:t>
      </w:r>
      <w:r>
        <w:t>These</w:t>
      </w:r>
      <w:r w:rsidRPr="0057242E">
        <w:t xml:space="preserve"> reason</w:t>
      </w:r>
      <w:r>
        <w:t>s support</w:t>
      </w:r>
      <w:r w:rsidRPr="0057242E">
        <w:t xml:space="preserve"> an upward adjustment of 100</w:t>
      </w:r>
      <w:r>
        <w:t xml:space="preserve"> percent</w:t>
      </w:r>
      <w:r w:rsidRPr="0057242E">
        <w:t xml:space="preserve"> of the base amount of $7,000 for each of the </w:t>
      </w:r>
      <w:r>
        <w:t>33</w:t>
      </w:r>
      <w:r w:rsidRPr="0057242E">
        <w:t xml:space="preserve"> violations.</w:t>
      </w:r>
      <w:r>
        <w:rPr>
          <w:rStyle w:val="FootnoteReference"/>
        </w:rPr>
        <w:footnoteReference w:id="76"/>
      </w:r>
    </w:p>
    <w:bookmarkEnd w:id="167"/>
    <w:p w:rsidR="0032514E" w:rsidP="0032514E" w14:paraId="57198F6A" w14:textId="77777777">
      <w:pPr>
        <w:pStyle w:val="ParaNum"/>
        <w:widowControl/>
      </w:pPr>
      <w:r w:rsidRPr="00DF1F33">
        <w:rPr>
          <w:i/>
          <w:iCs/>
        </w:rPr>
        <w:t>Second</w:t>
      </w:r>
      <w:r w:rsidRPr="0057242E">
        <w:t xml:space="preserve">, </w:t>
      </w:r>
      <w:r>
        <w:t>we propose an</w:t>
      </w:r>
      <w:r w:rsidRPr="0057242E">
        <w:t xml:space="preserve"> upward adjustment based on the Company’s prior</w:t>
      </w:r>
      <w:r>
        <w:t xml:space="preserve"> conduct</w:t>
      </w:r>
      <w:r w:rsidRPr="0057242E">
        <w:t xml:space="preserve">.  </w:t>
      </w:r>
      <w:r>
        <w:t>Sound Around has a history of violating the same provisions of the Act and the Commission’s rules, s</w:t>
      </w:r>
      <w:r w:rsidRPr="0057242E">
        <w:t xml:space="preserve">ection 302 of the Act and section 2.803 of the Commission’s rules, </w:t>
      </w:r>
      <w:r>
        <w:t xml:space="preserve">that we are proposing to fine the Company for here.  Initially, in 2011, the Division </w:t>
      </w:r>
      <w:r w:rsidRPr="0057242E">
        <w:t xml:space="preserve">issued the </w:t>
      </w:r>
      <w:r w:rsidRPr="0057242E">
        <w:rPr>
          <w:i/>
          <w:iCs/>
        </w:rPr>
        <w:t>Marketing Citation</w:t>
      </w:r>
      <w:r>
        <w:t xml:space="preserve"> against Sound Around notifying the Company of its violations of the equipment marketing requirements.</w:t>
      </w:r>
      <w:r>
        <w:rPr>
          <w:rStyle w:val="FootnoteReference"/>
        </w:rPr>
        <w:footnoteReference w:id="77"/>
      </w:r>
      <w:r>
        <w:t xml:space="preserve">  Subsequently, a multi-year investigation showed that Sound Around marketed 32 models of wireless microphones without proper authorization.</w:t>
      </w:r>
      <w:r>
        <w:rPr>
          <w:rStyle w:val="FootnoteReference"/>
        </w:rPr>
        <w:footnoteReference w:id="78"/>
      </w:r>
      <w:r>
        <w:t xml:space="preserve">  Moreover, the current investigation is itself a direct outgrowth of Sound Around’s earlier conduct</w:t>
      </w:r>
      <w:r w:rsidRPr="0057242E">
        <w:t>.</w:t>
      </w:r>
      <w:r>
        <w:rPr>
          <w:rStyle w:val="FootnoteReference"/>
        </w:rPr>
        <w:footnoteReference w:id="79"/>
      </w:r>
      <w:r>
        <w:t xml:space="preserve">  </w:t>
      </w:r>
      <w:r w:rsidRPr="0057242E">
        <w:t xml:space="preserve">For this reason, an upward adjustment of 100% of the base amount of $7,000 for each of the </w:t>
      </w:r>
      <w:r>
        <w:t>33</w:t>
      </w:r>
      <w:r w:rsidRPr="0057242E">
        <w:t xml:space="preserve"> violations </w:t>
      </w:r>
      <w:r>
        <w:t xml:space="preserve">also appears to be </w:t>
      </w:r>
      <w:r w:rsidRPr="0057242E">
        <w:t>warranted</w:t>
      </w:r>
      <w:r>
        <w:t xml:space="preserve"> based on these prior violations</w:t>
      </w:r>
      <w:r w:rsidRPr="0057242E">
        <w:t>.</w:t>
      </w:r>
      <w:r>
        <w:rPr>
          <w:rStyle w:val="FootnoteReference"/>
        </w:rPr>
        <w:footnoteReference w:id="80"/>
      </w:r>
      <w:r>
        <w:t xml:space="preserve"> </w:t>
      </w:r>
    </w:p>
    <w:p w:rsidR="0032514E" w:rsidP="0032514E" w14:paraId="0A9FB439" w14:textId="77777777">
      <w:pPr>
        <w:pStyle w:val="ParaNum"/>
        <w:widowControl/>
      </w:pPr>
      <w:r w:rsidRPr="00DF1F33">
        <w:rPr>
          <w:i/>
          <w:iCs/>
        </w:rPr>
        <w:t>Third</w:t>
      </w:r>
      <w:r>
        <w:t xml:space="preserve">, an upward adjustment to the proposed forfeiture is also appropriate given Sound Around’s repeated and continuous marketing of noncompliant devices, </w:t>
      </w:r>
      <w:r w:rsidRPr="0057242E">
        <w:t>since at least 2009</w:t>
      </w:r>
      <w:r>
        <w:t xml:space="preserve">—a pattern of behavior spanning </w:t>
      </w:r>
      <w:r w:rsidRPr="0057242E">
        <w:t>over 1</w:t>
      </w:r>
      <w:r>
        <w:t>4</w:t>
      </w:r>
      <w:r w:rsidRPr="0057242E">
        <w:t xml:space="preserve"> years.</w:t>
      </w:r>
      <w:r>
        <w:t xml:space="preserve">  T</w:t>
      </w:r>
      <w:r w:rsidRPr="00A24118">
        <w:t xml:space="preserve">he Company previously </w:t>
      </w:r>
      <w:r>
        <w:t>advertised and sold</w:t>
      </w:r>
      <w:r w:rsidRPr="00A24118">
        <w:t xml:space="preserve"> noncompliant wireless microphones as far back as 2009</w:t>
      </w:r>
      <w:r>
        <w:t xml:space="preserve"> based on its own admissions</w:t>
      </w:r>
      <w:r w:rsidRPr="00A24118">
        <w:t>.</w:t>
      </w:r>
      <w:r>
        <w:rPr>
          <w:rStyle w:val="FootnoteReference"/>
        </w:rPr>
        <w:footnoteReference w:id="81"/>
      </w:r>
      <w:r w:rsidRPr="00A24118">
        <w:t xml:space="preserve">  </w:t>
      </w:r>
      <w:r w:rsidRPr="0057242E">
        <w:t xml:space="preserve">Further, as reflected in </w:t>
      </w:r>
      <w:r>
        <w:t xml:space="preserve">facts underlying </w:t>
      </w:r>
      <w:r w:rsidRPr="0057242E">
        <w:t xml:space="preserve">the </w:t>
      </w:r>
      <w:r>
        <w:rPr>
          <w:i/>
          <w:iCs/>
        </w:rPr>
        <w:t xml:space="preserve">Sound Around 2020 </w:t>
      </w:r>
      <w:r w:rsidRPr="00846728">
        <w:rPr>
          <w:i/>
          <w:iCs/>
        </w:rPr>
        <w:t>NAL</w:t>
      </w:r>
      <w:r w:rsidRPr="0057242E">
        <w:t xml:space="preserve"> issued </w:t>
      </w:r>
      <w:r>
        <w:t xml:space="preserve">on </w:t>
      </w:r>
      <w:r w:rsidRPr="0057242E">
        <w:t xml:space="preserve">April 3, 2020, the Commission found that Sound Around </w:t>
      </w:r>
      <w:r>
        <w:t>advertised and sold</w:t>
      </w:r>
      <w:r w:rsidRPr="00A24118">
        <w:t xml:space="preserve"> </w:t>
      </w:r>
      <w:r w:rsidRPr="0057242E">
        <w:t>32 models of noncompliant wireless microphones</w:t>
      </w:r>
      <w:r>
        <w:t xml:space="preserve"> in 2019-2020</w:t>
      </w:r>
      <w:r w:rsidRPr="0057242E">
        <w:t xml:space="preserve">, including two models that were operating within the aviation band in </w:t>
      </w:r>
      <w:r>
        <w:t xml:space="preserve">apparent </w:t>
      </w:r>
      <w:r w:rsidRPr="0057242E">
        <w:t xml:space="preserve">violation of </w:t>
      </w:r>
      <w:r>
        <w:t>s</w:t>
      </w:r>
      <w:r w:rsidRPr="0057242E">
        <w:t>ection 302 of the Act and sections 2.803 and 74.851 of the Commission’s rules.</w:t>
      </w:r>
      <w:r>
        <w:rPr>
          <w:rStyle w:val="FootnoteReference"/>
        </w:rPr>
        <w:footnoteReference w:id="82"/>
      </w:r>
      <w:r>
        <w:t xml:space="preserve">  The Company admitted in 2020 to marketing noncompliant microphones in its response to a consumer question submitted on the Amazon.com product page.</w:t>
      </w:r>
      <w:r>
        <w:rPr>
          <w:rStyle w:val="FootnoteReference"/>
        </w:rPr>
        <w:footnoteReference w:id="83"/>
      </w:r>
      <w:r>
        <w:t xml:space="preserve">  This repeated and continuous noncompliant marketing also justifies a proposed 100 percent upward adjustment.</w:t>
      </w:r>
      <w:r>
        <w:rPr>
          <w:rStyle w:val="FootnoteReference"/>
        </w:rPr>
        <w:footnoteReference w:id="84"/>
      </w:r>
      <w:r>
        <w:t xml:space="preserve">  </w:t>
      </w:r>
    </w:p>
    <w:p w:rsidR="0032514E" w:rsidP="0032514E" w14:paraId="2BD19299" w14:textId="77777777">
      <w:pPr>
        <w:pStyle w:val="ParaNum"/>
        <w:widowControl/>
      </w:pPr>
      <w:bookmarkStart w:id="171" w:name="_Ref146011443"/>
      <w:r w:rsidRPr="00DF1F33">
        <w:rPr>
          <w:i/>
          <w:iCs/>
        </w:rPr>
        <w:t>Lastly</w:t>
      </w:r>
      <w:r w:rsidRPr="0057242E">
        <w:t xml:space="preserve">, an upward adjustment </w:t>
      </w:r>
      <w:r>
        <w:t>appears to be</w:t>
      </w:r>
      <w:r w:rsidRPr="0057242E">
        <w:t xml:space="preserve"> warranted due to Sound Around’s ability to pay.  Based on </w:t>
      </w:r>
      <w:r>
        <w:t xml:space="preserve">the Company’s </w:t>
      </w:r>
      <w:r w:rsidRPr="0057242E">
        <w:t xml:space="preserve">financial documentation, Sound Around and </w:t>
      </w:r>
      <w:r>
        <w:t>its affiliated companies</w:t>
      </w:r>
      <w:r w:rsidRPr="0057242E">
        <w:t xml:space="preserve"> reported </w:t>
      </w:r>
      <w:r>
        <w:t>tens of millions in</w:t>
      </w:r>
      <w:r w:rsidRPr="0057242E">
        <w:t xml:space="preserve"> gross revenues for the year</w:t>
      </w:r>
      <w:r>
        <w:t>s</w:t>
      </w:r>
      <w:r w:rsidRPr="0057242E">
        <w:t xml:space="preserve"> 2021</w:t>
      </w:r>
      <w:r>
        <w:t xml:space="preserve"> and 2022</w:t>
      </w:r>
      <w:r w:rsidRPr="0057242E">
        <w:t>.</w:t>
      </w:r>
      <w:r>
        <w:rPr>
          <w:rStyle w:val="FootnoteReference"/>
        </w:rPr>
        <w:footnoteReference w:id="85"/>
      </w:r>
      <w:r w:rsidRPr="0057242E">
        <w:t xml:space="preserve">  </w:t>
      </w:r>
      <w:r>
        <w:t>A</w:t>
      </w:r>
      <w:r w:rsidRPr="0057242E">
        <w:t>n additional upward adjustment of 100</w:t>
      </w:r>
      <w:r>
        <w:t xml:space="preserve"> percent</w:t>
      </w:r>
      <w:r w:rsidRPr="0057242E">
        <w:t xml:space="preserve"> of the base amount of $7,000 for each of the </w:t>
      </w:r>
      <w:r>
        <w:t>33</w:t>
      </w:r>
      <w:r w:rsidRPr="0057242E">
        <w:t xml:space="preserve"> </w:t>
      </w:r>
      <w:r>
        <w:t xml:space="preserve">alleged </w:t>
      </w:r>
      <w:r w:rsidRPr="0057242E">
        <w:t>violations is warranted</w:t>
      </w:r>
      <w:r>
        <w:t xml:space="preserve"> to deter the Company from treating the proposed fine as merely a cost of doing business</w:t>
      </w:r>
      <w:r w:rsidRPr="0057242E">
        <w:t>.</w:t>
      </w:r>
      <w:r>
        <w:rPr>
          <w:rStyle w:val="FootnoteReference"/>
          <w:rFonts w:cs="Calibri"/>
        </w:rPr>
        <w:footnoteReference w:id="86"/>
      </w:r>
      <w:bookmarkEnd w:id="171"/>
      <w:r>
        <w:t xml:space="preserve">  </w:t>
      </w:r>
    </w:p>
    <w:p w:rsidR="0032514E" w:rsidP="0032514E" w14:paraId="21F1D1A6" w14:textId="77777777">
      <w:pPr>
        <w:pStyle w:val="ParaNum"/>
        <w:widowControl/>
      </w:pPr>
      <w:r>
        <w:t xml:space="preserve">Therefore, after applying the four upward adjustment factors discussed above, we propose to assess an overall forfeiture for the apparent equipment marketing violations in the amount of </w:t>
      </w:r>
      <w:r w:rsidRPr="003141D4">
        <w:t>$</w:t>
      </w:r>
      <w:r w:rsidRPr="00753407">
        <w:t>1,155,000</w:t>
      </w:r>
      <w:r>
        <w:t xml:space="preserve"> (33 x $35,000).</w:t>
      </w:r>
      <w:r>
        <w:rPr>
          <w:rStyle w:val="FootnoteReference"/>
        </w:rPr>
        <w:footnoteReference w:id="87"/>
      </w:r>
      <w:r>
        <w:t xml:space="preserve">  </w:t>
      </w:r>
    </w:p>
    <w:p w:rsidR="0032514E" w:rsidP="0032514E" w14:paraId="55048D84" w14:textId="77777777">
      <w:pPr>
        <w:pStyle w:val="ParaNum"/>
        <w:widowControl/>
      </w:pPr>
      <w:r>
        <w:t>For Sound Around’s apparent failure to respond fully to the LOI and to the Further LOI, s</w:t>
      </w:r>
      <w:r w:rsidRPr="007043A4">
        <w:t xml:space="preserve">ection 1.80(b) of the </w:t>
      </w:r>
      <w:r>
        <w:t>Commission’s r</w:t>
      </w:r>
      <w:r w:rsidRPr="007043A4">
        <w:t xml:space="preserve">ules sets a base forfeiture amount of $4,000 </w:t>
      </w:r>
      <w:r>
        <w:t xml:space="preserve">for </w:t>
      </w:r>
      <w:r w:rsidRPr="007043A4">
        <w:t>each violation or each day of a continuing violation</w:t>
      </w:r>
      <w:r>
        <w:t xml:space="preserve"> for f</w:t>
      </w:r>
      <w:r w:rsidRPr="00654E44">
        <w:t>ailure to respond to Commission communications</w:t>
      </w:r>
      <w:r w:rsidRPr="007043A4">
        <w:t>.</w:t>
      </w:r>
      <w:r>
        <w:rPr>
          <w:vertAlign w:val="superscript"/>
        </w:rPr>
        <w:footnoteReference w:id="88"/>
      </w:r>
      <w:r>
        <w:t xml:space="preserve">  Sound Around’s failure to respond fully to the LOI and Further LOI are also subject to upward adjustments for egregiousness.</w:t>
      </w:r>
      <w:r>
        <w:rPr>
          <w:rStyle w:val="FootnoteReference"/>
        </w:rPr>
        <w:footnoteReference w:id="89"/>
      </w:r>
      <w:r>
        <w:t xml:space="preserve">  As the Commission has stated, “[p]</w:t>
      </w:r>
      <w:r w:rsidRPr="00E52792">
        <w:t>rompt and full responses to Bureau inquiry letters are essential to the Comm</w:t>
      </w:r>
      <w:r>
        <w:t>ission’s enforcement function.”</w:t>
      </w:r>
      <w:r>
        <w:rPr>
          <w:rStyle w:val="FootnoteReference"/>
        </w:rPr>
        <w:footnoteReference w:id="90"/>
      </w:r>
      <w:r>
        <w:t xml:space="preserve">  Sound Around’s failure to provide complete information from the start delayed the Bureau’s investigation and caused the Commission to expend significant resources reviewing and comparing numerous incomplete responses to determine discrepancies.  </w:t>
      </w:r>
      <w:r>
        <w:rPr>
          <w:szCs w:val="22"/>
        </w:rPr>
        <w:t xml:space="preserve">A higher proposed forfeiture is thus appropriate given the extent of </w:t>
      </w:r>
      <w:r>
        <w:t xml:space="preserve">the Company’s </w:t>
      </w:r>
      <w:r>
        <w:rPr>
          <w:szCs w:val="22"/>
        </w:rPr>
        <w:t>apparent violations and is consistent with our precedent.</w:t>
      </w:r>
      <w:r>
        <w:rPr>
          <w:rStyle w:val="FootnoteReference"/>
          <w:szCs w:val="22"/>
        </w:rPr>
        <w:footnoteReference w:id="91"/>
      </w:r>
      <w:r>
        <w:rPr>
          <w:szCs w:val="22"/>
        </w:rPr>
        <w:t xml:space="preserve">  Additionally, as noted above, Sound Around has the ability to pay based on the financial information the Company submitted.</w:t>
      </w:r>
      <w:r>
        <w:rPr>
          <w:rStyle w:val="FootnoteReference"/>
          <w:szCs w:val="22"/>
        </w:rPr>
        <w:footnoteReference w:id="92"/>
      </w:r>
      <w:r>
        <w:rPr>
          <w:szCs w:val="22"/>
        </w:rPr>
        <w:t xml:space="preserve">  As such, w</w:t>
      </w:r>
      <w:r>
        <w:t xml:space="preserve">e propose an upward adjustment to the statutory maximum for an individual violation of $23,727 for each of the two apparent violations stemming from Sound Around’s failure to respond fully to the LOI and Further LOI, resulting in an overall proposed forfeiture of </w:t>
      </w:r>
      <w:r w:rsidRPr="00CF6DD9">
        <w:rPr>
          <w:szCs w:val="22"/>
        </w:rPr>
        <w:t>$47,454</w:t>
      </w:r>
      <w:r>
        <w:rPr>
          <w:szCs w:val="22"/>
        </w:rPr>
        <w:t xml:space="preserve"> </w:t>
      </w:r>
      <w:r>
        <w:t>for the two apparent violations.</w:t>
      </w:r>
      <w:r>
        <w:rPr>
          <w:rStyle w:val="CommentReference"/>
          <w:kern w:val="0"/>
        </w:rPr>
        <w:t xml:space="preserve">  </w:t>
      </w:r>
    </w:p>
    <w:p w:rsidR="0032514E" w:rsidP="0032514E" w14:paraId="2AB5F458" w14:textId="77777777">
      <w:pPr>
        <w:pStyle w:val="ParaNum"/>
        <w:widowControl/>
      </w:pPr>
      <w:r>
        <w:t xml:space="preserve">In applying the applicable statutory factors, we also consider whether there is any basis for a downward adjustment of the proposed forfeiture.  Here, we find none.   </w:t>
      </w:r>
    </w:p>
    <w:p w:rsidR="0032514E" w:rsidP="0032514E" w14:paraId="216BA352" w14:textId="77777777">
      <w:pPr>
        <w:pStyle w:val="ParaNum"/>
        <w:widowControl/>
      </w:pPr>
      <w:r w:rsidRPr="007043A4">
        <w:t xml:space="preserve">Therefore, after applying the </w:t>
      </w:r>
      <w:r w:rsidRPr="003F75AF">
        <w:rPr>
          <w:i/>
        </w:rPr>
        <w:t>Forfeiture Policy Statement</w:t>
      </w:r>
      <w:r w:rsidRPr="007043A4">
        <w:t xml:space="preserve">, </w:t>
      </w:r>
      <w:r>
        <w:t>s</w:t>
      </w:r>
      <w:r w:rsidRPr="007043A4">
        <w:t xml:space="preserve">ection 1.80 of the </w:t>
      </w:r>
      <w:r>
        <w:t>Commission’s r</w:t>
      </w:r>
      <w:r w:rsidRPr="007043A4">
        <w:t xml:space="preserve">ules, and the statutory factors, we propose a total forfeiture </w:t>
      </w:r>
      <w:r w:rsidRPr="00BA5CD9">
        <w:t>of $</w:t>
      </w:r>
      <w:r w:rsidRPr="00390331">
        <w:t>1,202,454 ($1,155,000 plus $47,454)</w:t>
      </w:r>
      <w:r w:rsidRPr="00ED1A36">
        <w:t>,</w:t>
      </w:r>
      <w:r w:rsidRPr="007043A4">
        <w:t xml:space="preserve"> for which </w:t>
      </w:r>
      <w:r>
        <w:t xml:space="preserve">Sound Around </w:t>
      </w:r>
      <w:r w:rsidRPr="007043A4">
        <w:t>is apparently liable</w:t>
      </w:r>
      <w:r>
        <w:t>.</w:t>
      </w:r>
    </w:p>
    <w:p w:rsidR="0032514E" w:rsidP="0032514E" w14:paraId="396541FA" w14:textId="77777777">
      <w:pPr>
        <w:pStyle w:val="Heading1"/>
      </w:pPr>
      <w:bookmarkStart w:id="172" w:name="_Toc141258487"/>
      <w:bookmarkStart w:id="173" w:name="_Toc143249356"/>
      <w:bookmarkStart w:id="174" w:name="_Toc143263540"/>
      <w:bookmarkStart w:id="175" w:name="_Toc143608166"/>
      <w:bookmarkStart w:id="176" w:name="_Toc146190786"/>
      <w:bookmarkStart w:id="177" w:name="_Toc146717491"/>
      <w:bookmarkStart w:id="178" w:name="_Toc146807834"/>
      <w:bookmarkStart w:id="179" w:name="_Toc149205595"/>
      <w:bookmarkStart w:id="180" w:name="_Toc149644921"/>
      <w:r>
        <w:t>conclusion</w:t>
      </w:r>
      <w:bookmarkEnd w:id="172"/>
      <w:bookmarkEnd w:id="173"/>
      <w:bookmarkEnd w:id="174"/>
      <w:bookmarkEnd w:id="175"/>
      <w:bookmarkEnd w:id="176"/>
      <w:bookmarkEnd w:id="177"/>
      <w:bookmarkEnd w:id="178"/>
      <w:bookmarkEnd w:id="179"/>
      <w:bookmarkEnd w:id="180"/>
    </w:p>
    <w:p w:rsidR="0032514E" w:rsidRPr="00F84546" w:rsidP="0032514E" w14:paraId="7CA0EEB4" w14:textId="77777777">
      <w:pPr>
        <w:pStyle w:val="ParaNum"/>
        <w:widowControl/>
      </w:pPr>
      <w:r w:rsidRPr="007043A4">
        <w:t xml:space="preserve">We have determined that </w:t>
      </w:r>
      <w:r>
        <w:t>Sound Around</w:t>
      </w:r>
      <w:r w:rsidRPr="007043A4">
        <w:t xml:space="preserve"> apparently willfully and repeatedly violated </w:t>
      </w:r>
      <w:r>
        <w:t>s</w:t>
      </w:r>
      <w:r w:rsidRPr="007043A4">
        <w:t xml:space="preserve">ection 302 of the </w:t>
      </w:r>
      <w:r>
        <w:t>Act, section</w:t>
      </w:r>
      <w:r w:rsidRPr="007043A4">
        <w:t xml:space="preserve"> 2.803</w:t>
      </w:r>
      <w:r w:rsidRPr="002144BA">
        <w:rPr>
          <w:rFonts w:cs="Calibri"/>
        </w:rPr>
        <w:t xml:space="preserve"> </w:t>
      </w:r>
      <w:r w:rsidRPr="007043A4">
        <w:t>of the Commission’s rules</w:t>
      </w:r>
      <w:r>
        <w:t>, and orders of the Commission</w:t>
      </w:r>
      <w:r w:rsidRPr="007043A4">
        <w:t xml:space="preserve">.  As such, </w:t>
      </w:r>
      <w:r>
        <w:t>Sound Around</w:t>
      </w:r>
      <w:r w:rsidRPr="007043A4">
        <w:t xml:space="preserve"> is apparently liable for a forfeiture of </w:t>
      </w:r>
      <w:r w:rsidRPr="00580F66">
        <w:t>$</w:t>
      </w:r>
      <w:r w:rsidRPr="00390331">
        <w:t>1,202,454</w:t>
      </w:r>
      <w:r w:rsidRPr="007043A4">
        <w:t>.</w:t>
      </w:r>
      <w:r>
        <w:rPr>
          <w:rStyle w:val="FootnoteReference"/>
        </w:rPr>
        <w:footnoteReference w:id="93"/>
      </w:r>
    </w:p>
    <w:p w:rsidR="0032514E" w:rsidP="0032514E" w14:paraId="44F27C41" w14:textId="77777777">
      <w:pPr>
        <w:pStyle w:val="Heading1"/>
      </w:pPr>
      <w:bookmarkStart w:id="181" w:name="_Toc30159985"/>
      <w:bookmarkStart w:id="182" w:name="_Toc30682825"/>
      <w:bookmarkStart w:id="183" w:name="_Toc31974083"/>
      <w:bookmarkStart w:id="184" w:name="_Toc34812807"/>
      <w:bookmarkStart w:id="185" w:name="_Toc34923189"/>
      <w:bookmarkStart w:id="186" w:name="_Toc141094945"/>
      <w:bookmarkStart w:id="187" w:name="_Toc141258488"/>
      <w:bookmarkStart w:id="188" w:name="_Toc143249357"/>
      <w:bookmarkStart w:id="189" w:name="_Toc143263541"/>
      <w:bookmarkStart w:id="190" w:name="_Toc143608167"/>
      <w:bookmarkStart w:id="191" w:name="_Toc146190787"/>
      <w:bookmarkStart w:id="192" w:name="_Toc146717492"/>
      <w:bookmarkStart w:id="193" w:name="_Toc146807835"/>
      <w:bookmarkStart w:id="194" w:name="_Toc149205596"/>
      <w:bookmarkStart w:id="195" w:name="_Toc149644922"/>
      <w:bookmarkEnd w:id="120"/>
      <w:bookmarkEnd w:id="121"/>
      <w:bookmarkEnd w:id="122"/>
      <w:r>
        <w:t>ORDERING CLAUSES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2514E" w:rsidRPr="003D5AFE" w:rsidP="0032514E" w14:paraId="2595B609" w14:textId="77777777">
      <w:pPr>
        <w:pStyle w:val="ParaNum"/>
        <w:keepNext/>
        <w:widowControl/>
        <w:rPr>
          <w:spacing w:val="-2"/>
        </w:rPr>
      </w:pPr>
      <w:r w:rsidRPr="003D5AFE">
        <w:t xml:space="preserve">Accordingly, </w:t>
      </w:r>
      <w:r w:rsidRPr="003D5AFE">
        <w:rPr>
          <w:b/>
        </w:rPr>
        <w:t>IT IS ORDERED</w:t>
      </w:r>
      <w:r w:rsidRPr="003D5AFE">
        <w:t xml:space="preserve"> that, pursuant to </w:t>
      </w:r>
      <w:r>
        <w:t>s</w:t>
      </w:r>
      <w:r w:rsidRPr="003D5AFE">
        <w:t>ection 503(b) of the Act</w:t>
      </w:r>
      <w:r>
        <w:t xml:space="preserve">, 47 U.S.C. </w:t>
      </w:r>
      <w:r w:rsidRPr="00E309EE">
        <w:t>§</w:t>
      </w:r>
      <w:r>
        <w:t xml:space="preserve"> 503(b),</w:t>
      </w:r>
      <w:r w:rsidRPr="00981F23">
        <w:t xml:space="preserve"> and </w:t>
      </w:r>
      <w:r>
        <w:t>section</w:t>
      </w:r>
      <w:r w:rsidRPr="00981F23">
        <w:t xml:space="preserve"> 1.80 of the</w:t>
      </w:r>
      <w:r>
        <w:t xml:space="preserve"> Commission’s r</w:t>
      </w:r>
      <w:r w:rsidRPr="00981F23">
        <w:t>ules,</w:t>
      </w:r>
      <w:r>
        <w:t xml:space="preserve"> 47 CFR </w:t>
      </w:r>
      <w:r w:rsidRPr="0032514E">
        <w:rPr>
          <w:color w:val="000000"/>
        </w:rPr>
        <w:t>§ 1.80,</w:t>
      </w:r>
      <w:r w:rsidRPr="00981F23">
        <w:t xml:space="preserve"> </w:t>
      </w:r>
      <w:r>
        <w:t xml:space="preserve">Sound Around, Inc. </w:t>
      </w:r>
      <w:r w:rsidRPr="003D5AFE">
        <w:t xml:space="preserve">is hereby </w:t>
      </w:r>
      <w:r w:rsidRPr="003D5AFE">
        <w:rPr>
          <w:b/>
        </w:rPr>
        <w:t>NOTIFIED</w:t>
      </w:r>
      <w:r w:rsidRPr="003D5AFE">
        <w:t xml:space="preserve"> of </w:t>
      </w:r>
      <w:r>
        <w:t xml:space="preserve">this </w:t>
      </w:r>
      <w:r w:rsidRPr="003D5AFE">
        <w:rPr>
          <w:b/>
        </w:rPr>
        <w:t>APPARENT LIABILITY FOR A FORFEITURE</w:t>
      </w:r>
      <w:r w:rsidRPr="003D5AFE">
        <w:t xml:space="preserve"> in the amount of </w:t>
      </w:r>
      <w:r w:rsidRPr="00390331">
        <w:t>one million two hundred and two thousand four hundred and fifty-four dollars ($1,202,454)</w:t>
      </w:r>
      <w:r w:rsidRPr="003D5AFE">
        <w:t xml:space="preserve"> for willful and repeated violations of </w:t>
      </w:r>
      <w:r>
        <w:t xml:space="preserve">section 302(b) of the Act, </w:t>
      </w:r>
      <w:r w:rsidRPr="008C1091">
        <w:t>47 U.S.C. § 302a(b)</w:t>
      </w:r>
      <w:r>
        <w:t xml:space="preserve">, </w:t>
      </w:r>
      <w:r w:rsidRPr="003A0D15">
        <w:t xml:space="preserve">and </w:t>
      </w:r>
      <w:r>
        <w:t>s</w:t>
      </w:r>
      <w:r w:rsidRPr="003A0D15">
        <w:t xml:space="preserve">ection 2.803(b) </w:t>
      </w:r>
      <w:r>
        <w:t>of</w:t>
      </w:r>
      <w:r w:rsidRPr="003A0D15">
        <w:t xml:space="preserve"> the Commission’s rules</w:t>
      </w:r>
      <w:r>
        <w:t xml:space="preserve">, </w:t>
      </w:r>
      <w:r w:rsidRPr="008C1091">
        <w:rPr>
          <w:color w:val="000000"/>
        </w:rPr>
        <w:t>47 CFR § 2.803(b)</w:t>
      </w:r>
      <w:r>
        <w:rPr>
          <w:color w:val="000000"/>
        </w:rPr>
        <w:t xml:space="preserve">, </w:t>
      </w:r>
      <w:r>
        <w:t xml:space="preserve">and Commission orders.  </w:t>
      </w:r>
    </w:p>
    <w:p w:rsidR="0032514E" w:rsidRPr="003D5AFE" w:rsidP="0032514E" w14:paraId="7B754ABD" w14:textId="77777777">
      <w:pPr>
        <w:pStyle w:val="ParaNum"/>
        <w:rPr>
          <w:spacing w:val="-2"/>
        </w:rPr>
      </w:pPr>
      <w:r w:rsidRPr="003D5AFE">
        <w:rPr>
          <w:b/>
        </w:rPr>
        <w:t xml:space="preserve">IT IS FURTHER ORDERED </w:t>
      </w:r>
      <w:r w:rsidRPr="003D5AFE">
        <w:t xml:space="preserve">that, pursuant to </w:t>
      </w:r>
      <w:r>
        <w:t>s</w:t>
      </w:r>
      <w:r w:rsidRPr="003D5AFE">
        <w:t xml:space="preserve">ection 1.80 of the </w:t>
      </w:r>
      <w:r>
        <w:t>Commission’s r</w:t>
      </w:r>
      <w:r w:rsidRPr="003D5AFE">
        <w:t>ules,</w:t>
      </w:r>
      <w:r>
        <w:t xml:space="preserve"> 47 CFR </w:t>
      </w:r>
      <w:r w:rsidRPr="0032514E">
        <w:rPr>
          <w:color w:val="000000"/>
        </w:rPr>
        <w:t>§ 1.80,</w:t>
      </w:r>
      <w:r w:rsidRPr="003D5AFE">
        <w:rPr>
          <w:vertAlign w:val="superscript"/>
        </w:rPr>
        <w:t xml:space="preserve"> </w:t>
      </w:r>
      <w:r w:rsidRPr="003D5AFE">
        <w:t xml:space="preserve">within thirty (30) calendar days of the release date of this Notice of Apparent Liability for Forfeiture, </w:t>
      </w:r>
      <w:r>
        <w:t xml:space="preserve">Sound Around, Inc. </w:t>
      </w:r>
      <w:r w:rsidRPr="003D5AFE">
        <w:rPr>
          <w:b/>
        </w:rPr>
        <w:t>SHALL PAY</w:t>
      </w:r>
      <w:r w:rsidRPr="003D5AFE">
        <w:t xml:space="preserve"> the full amount of the proposed forfeiture or </w:t>
      </w:r>
      <w:r w:rsidRPr="003D5AFE">
        <w:rPr>
          <w:b/>
        </w:rPr>
        <w:t>SHALL FILE</w:t>
      </w:r>
      <w:r w:rsidRPr="003D5AFE">
        <w:t xml:space="preserve"> a written statement seeking reduction or cancellation of the proposed forfeiture consistent with paragraph </w:t>
      </w:r>
      <w:r>
        <w:rPr>
          <w:highlight w:val="yellow"/>
        </w:rPr>
        <w:fldChar w:fldCharType="begin"/>
      </w:r>
      <w:r>
        <w:instrText xml:space="preserve"> REF _Ref143605801 \r \h </w:instrText>
      </w:r>
      <w:r>
        <w:rPr>
          <w:highlight w:val="yellow"/>
        </w:rPr>
        <w:fldChar w:fldCharType="separate"/>
      </w:r>
      <w:r>
        <w:t>40</w:t>
      </w:r>
      <w:r>
        <w:rPr>
          <w:highlight w:val="yellow"/>
        </w:rPr>
        <w:fldChar w:fldCharType="end"/>
      </w:r>
      <w:r>
        <w:t xml:space="preserve"> </w:t>
      </w:r>
      <w:r w:rsidRPr="003D5AFE">
        <w:t>below.</w:t>
      </w:r>
    </w:p>
    <w:p w:rsidR="0032514E" w:rsidRPr="009716F7" w:rsidP="0032514E" w14:paraId="5DC11BD6" w14:textId="77777777">
      <w:pPr>
        <w:pStyle w:val="ParaNum"/>
        <w:widowControl/>
      </w:pPr>
      <w:bookmarkStart w:id="196" w:name="_Hlk90305298"/>
      <w:r>
        <w:t xml:space="preserve">In order for Sound Around, Inc. to pay the proposed forfeiture, the Company shall notify </w:t>
      </w:r>
      <w:hyperlink r:id="rId5" w:history="1">
        <w:r w:rsidRPr="00067985">
          <w:rPr>
            <w:rStyle w:val="Hyperlink"/>
          </w:rPr>
          <w:t>mailto:EB-SED-Response@fcc.gov</w:t>
        </w:r>
      </w:hyperlink>
      <w:r>
        <w:t xml:space="preserve"> of its intent to pay, whereupon an invoice will be posted in the Commission’s Registration System (CORES) at </w:t>
      </w:r>
      <w:hyperlink r:id="rId6" w:history="1">
        <w:r w:rsidRPr="00BA069F">
          <w:rPr>
            <w:rStyle w:val="Hyperlink"/>
          </w:rPr>
          <w:t>https://apps.fcc.gov/cores/userLogin.do</w:t>
        </w:r>
      </w:hyperlink>
      <w:r>
        <w:rPr>
          <w:rStyle w:val="Hyperlink"/>
        </w:rPr>
        <w:t>.</w:t>
      </w:r>
      <w:r w:rsidRPr="00EF52A6">
        <w:t xml:space="preserve">  Upon payment, </w:t>
      </w:r>
      <w:r>
        <w:t xml:space="preserve">Sound Around, Inc. shall send electronic notification of payment to Spectrum Enforcement Division, Enforcement Bureau, Federal Communications Commission, at </w:t>
      </w:r>
      <w:hyperlink r:id="rId5" w:history="1">
        <w:r w:rsidRPr="00E62167">
          <w:rPr>
            <w:rStyle w:val="Hyperlink"/>
          </w:rPr>
          <w:t>EB-SED-Response@fcc.gov</w:t>
        </w:r>
      </w:hyperlink>
      <w:r>
        <w:t xml:space="preserve"> on the date said payment is made.  </w:t>
      </w:r>
      <w:r w:rsidRPr="00AD0726">
        <w:t xml:space="preserve">Payment of the </w:t>
      </w:r>
      <w:r>
        <w:t>forfeiture</w:t>
      </w:r>
      <w:r w:rsidRPr="00AD0726">
        <w:t xml:space="preserve"> must be made by credit card</w:t>
      </w:r>
      <w:r w:rsidRPr="004C5D2B">
        <w:t xml:space="preserve"> </w:t>
      </w:r>
      <w:r>
        <w:t xml:space="preserve">using CORES at </w:t>
      </w:r>
      <w:hyperlink r:id="rId6"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94"/>
      </w:r>
    </w:p>
    <w:p w:rsidR="0032514E" w:rsidRPr="009716F7" w:rsidP="0032514E" w14:paraId="5455BF3A" w14:textId="77777777">
      <w:pPr>
        <w:widowControl/>
        <w:numPr>
          <w:ilvl w:val="0"/>
          <w:numId w:val="11"/>
        </w:numPr>
        <w:snapToGrid w:val="0"/>
        <w:spacing w:after="120"/>
        <w:ind w:left="720"/>
      </w:pPr>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95"/>
      </w:r>
      <w:r>
        <w:t xml:space="preserve"> or printed CORES form</w:t>
      </w:r>
      <w:r>
        <w:rPr>
          <w:rStyle w:val="FootnoteReference"/>
        </w:rPr>
        <w:footnoteReference w:id="96"/>
      </w:r>
      <w:r w:rsidRPr="009716F7">
        <w:t xml:space="preserve"> must be faxed to the Federal Communications Commission at 202-418-2843 or e-mailed to </w:t>
      </w:r>
      <w:hyperlink r:id="rId7"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97"/>
      </w:r>
      <w:r w:rsidRPr="009716F7">
        <w:t xml:space="preserve">  For additional detail and wire transfer instructions, go to </w:t>
      </w:r>
      <w:hyperlink r:id="rId8" w:history="1">
        <w:r w:rsidRPr="009716F7">
          <w:rPr>
            <w:rStyle w:val="Hyperlink"/>
          </w:rPr>
          <w:t>https://www.fcc.gov/licensing-databases/fees/wire-transfer</w:t>
        </w:r>
      </w:hyperlink>
      <w:r w:rsidRPr="009716F7">
        <w:t xml:space="preserve">.  </w:t>
      </w:r>
    </w:p>
    <w:p w:rsidR="0032514E" w:rsidRPr="009716F7" w:rsidP="0032514E" w14:paraId="7895EFC8" w14:textId="77777777">
      <w:pPr>
        <w:widowControl/>
        <w:numPr>
          <w:ilvl w:val="0"/>
          <w:numId w:val="11"/>
        </w:numPr>
        <w:snapToGrid w:val="0"/>
        <w:spacing w:after="120"/>
        <w:ind w:left="720"/>
      </w:pPr>
      <w:r w:rsidRPr="009716F7">
        <w:t xml:space="preserve">Payment by credit card must be made by using </w:t>
      </w:r>
      <w:r w:rsidRPr="004B6755">
        <w:t xml:space="preserve">CORES at </w:t>
      </w:r>
      <w:hyperlink r:id="rId6" w:history="1">
        <w:r w:rsidRPr="00105508">
          <w:rPr>
            <w:rStyle w:val="Hyperlink"/>
          </w:rPr>
          <w:t>h</w:t>
        </w:r>
        <w:r w:rsidRPr="00DF5B5C">
          <w:rPr>
            <w:rStyle w:val="Hyperlink"/>
          </w:rPr>
          <w:t>ttps://apps.fcc.gov/cores/userLogin.do</w:t>
        </w:r>
      </w:hyperlink>
      <w:r w:rsidRPr="004B6755">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32514E" w:rsidRPr="004864CE" w:rsidP="0032514E" w14:paraId="2B1CB216" w14:textId="77777777">
      <w:pPr>
        <w:widowControl/>
        <w:numPr>
          <w:ilvl w:val="0"/>
          <w:numId w:val="11"/>
        </w:numPr>
        <w:snapToGrid w:val="0"/>
        <w:spacing w:after="120"/>
        <w:ind w:left="720"/>
      </w:pPr>
      <w:r w:rsidRPr="009716F7">
        <w:t xml:space="preserve">Payment by ACH must be made by using CORES at </w:t>
      </w:r>
      <w:hyperlink r:id="rId6" w:history="1">
        <w:r w:rsidRPr="00177012">
          <w:rPr>
            <w:rStyle w:val="Hyperlink"/>
          </w:rPr>
          <w:t>https://apps.fcc.gov/cores/userLogin.do</w:t>
        </w:r>
      </w:hyperlink>
      <w:r>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number 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bookmarkEnd w:id="196"/>
    <w:p w:rsidR="0032514E" w:rsidRPr="00981F23" w:rsidP="0032514E" w14:paraId="06E8B529" w14:textId="77777777">
      <w:pPr>
        <w:pStyle w:val="ParaNum"/>
        <w:widowControl/>
      </w:pPr>
      <w:r w:rsidRPr="00981F23">
        <w:t xml:space="preserve">Any request for making full payment over time under an installment plan should be sent to:  Chief Financial Officer—Financial Operations, Federal Communications Commission, </w:t>
      </w:r>
      <w:r>
        <w:t xml:space="preserve">45 L </w:t>
      </w:r>
      <w:r w:rsidRPr="00981F23">
        <w:t xml:space="preserve">Street, </w:t>
      </w:r>
      <w:r>
        <w:t>NE</w:t>
      </w:r>
      <w:r w:rsidRPr="00981F23">
        <w:t>, Washington, D</w:t>
      </w:r>
      <w:r>
        <w:t>.</w:t>
      </w:r>
      <w:r w:rsidRPr="00981F23">
        <w:t>C</w:t>
      </w:r>
      <w:r>
        <w:t>.</w:t>
      </w:r>
      <w:r w:rsidRPr="00981F23">
        <w:t xml:space="preserve"> 20554.</w:t>
      </w:r>
      <w:r>
        <w:rPr>
          <w:rStyle w:val="FootnoteReference"/>
          <w:szCs w:val="22"/>
        </w:rPr>
        <w:footnoteReference w:id="98"/>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9" w:history="1">
        <w:r w:rsidRPr="00CE4FAD">
          <w:rPr>
            <w:rStyle w:val="Hyperlink"/>
          </w:rPr>
          <w:t>ARINQUIRIES@fcc.gov</w:t>
        </w:r>
      </w:hyperlink>
      <w:r w:rsidRPr="00981F23">
        <w:t>.</w:t>
      </w:r>
    </w:p>
    <w:p w:rsidR="0032514E" w:rsidRPr="00981F23" w:rsidP="0032514E" w14:paraId="287A9E18" w14:textId="77777777">
      <w:pPr>
        <w:pStyle w:val="ParaNum"/>
        <w:widowControl/>
      </w:pPr>
      <w:bookmarkStart w:id="197" w:name="_Ref143605801"/>
      <w:r w:rsidRPr="00981F23">
        <w:t xml:space="preserve">The written statement seeking reduction or cancellation of the proposed forfeiture, if any, must include a detailed factual statement supported by appropriate documentation and affidavits pursuant to </w:t>
      </w:r>
      <w:r>
        <w:t>s</w:t>
      </w:r>
      <w:r w:rsidRPr="00981F23">
        <w:t>ections 1.16 and 1.80(</w:t>
      </w:r>
      <w:r>
        <w:t>g</w:t>
      </w:r>
      <w:r w:rsidRPr="00981F23">
        <w:t xml:space="preserve">)(3) of the </w:t>
      </w:r>
      <w:r>
        <w:t>Commission’s r</w:t>
      </w:r>
      <w:r w:rsidRPr="00981F23">
        <w:t>ules.</w:t>
      </w:r>
      <w:r>
        <w:rPr>
          <w:vertAlign w:val="superscript"/>
        </w:rPr>
        <w:footnoteReference w:id="99"/>
      </w:r>
      <w:r w:rsidRPr="00981F23">
        <w:t xml:space="preserve">  The written statement must be mailed to the Office of the Secretary, Federal Communications Commission, </w:t>
      </w:r>
      <w:r>
        <w:t>45 L</w:t>
      </w:r>
      <w:r w:rsidRPr="00981F23">
        <w:t xml:space="preserve"> Street, </w:t>
      </w:r>
      <w:r>
        <w:t>NE</w:t>
      </w:r>
      <w:r w:rsidRPr="00981F23">
        <w:t>, Washington, D</w:t>
      </w:r>
      <w:r>
        <w:t>.</w:t>
      </w:r>
      <w:r w:rsidRPr="00981F23">
        <w:t>C</w:t>
      </w:r>
      <w:r>
        <w:t>.</w:t>
      </w:r>
      <w:r w:rsidRPr="00981F23">
        <w:t xml:space="preserve"> 20554, ATTN:  Enforcement Bureau – </w:t>
      </w:r>
      <w:r>
        <w:t>Spectrum Enforcement Division</w:t>
      </w:r>
      <w:r w:rsidRPr="00981F23">
        <w:t>, and must include the NAL/Account Number referenced in the caption.  The statement must also be e-mailed to</w:t>
      </w:r>
      <w:r>
        <w:t xml:space="preserve"> </w:t>
      </w:r>
      <w:hyperlink r:id="rId5" w:history="1">
        <w:r w:rsidRPr="007050A4">
          <w:rPr>
            <w:rStyle w:val="Hyperlink"/>
          </w:rPr>
          <w:t>EB-SED-Response@fcc.gov</w:t>
        </w:r>
      </w:hyperlink>
      <w:r>
        <w:t>.</w:t>
      </w:r>
      <w:bookmarkEnd w:id="197"/>
      <w:r>
        <w:t xml:space="preserve">  </w:t>
      </w:r>
    </w:p>
    <w:p w:rsidR="0032514E" w:rsidRPr="00981F23" w:rsidP="0032514E" w14:paraId="030FBB0A" w14:textId="77777777">
      <w:pPr>
        <w:pStyle w:val="ParaNum"/>
        <w:widowControl/>
      </w:pPr>
      <w:bookmarkStart w:id="198" w:name="_Ref146011487"/>
      <w:r w:rsidRPr="00981F23">
        <w:t>The Commission will not consider reducing or canceling a forfeiture in response to a claim of inability to pay unless the petitioner submits</w:t>
      </w:r>
      <w:r>
        <w:t xml:space="preserve"> the following documentation</w:t>
      </w:r>
      <w:r w:rsidRPr="00981F23">
        <w:t xml:space="preserve">:  (1) federal tax returns for the </w:t>
      </w:r>
      <w:r>
        <w:t>past three years</w:t>
      </w:r>
      <w:r w:rsidRPr="00981F23">
        <w:t xml:space="preserve">; (2) financial statements </w:t>
      </w:r>
      <w:r>
        <w:t xml:space="preserve">for the past three years </w:t>
      </w:r>
      <w:r w:rsidRPr="00981F23">
        <w:t>prepared according to generally accepted accounting practices; or (3)</w:t>
      </w:r>
      <w:r>
        <w:t> </w:t>
      </w:r>
      <w:r w:rsidRPr="00981F23">
        <w:t>some other reliable and objective documentation that accurately reflects the petitioner’s current financial status.</w:t>
      </w:r>
      <w:r>
        <w:rPr>
          <w:rStyle w:val="FootnoteReference"/>
        </w:rPr>
        <w:footnoteReference w:id="100"/>
      </w:r>
      <w:r w:rsidRPr="00981F23">
        <w:t xml:space="preserve">  Any claim of inability to pay must specifically identify the basis for the claim by reference to the financial documentation.</w:t>
      </w:r>
      <w:r>
        <w:t xml:space="preserve">  </w:t>
      </w:r>
      <w:r w:rsidRPr="009A58BC">
        <w:t xml:space="preserve">Inability to pay, however, is only one of several factors that the Commission will consider in determining the appropriate forfeiture, and we </w:t>
      </w:r>
      <w:r>
        <w:t>retain the</w:t>
      </w:r>
      <w:r w:rsidRPr="009A58BC">
        <w:t xml:space="preserve"> discretion to decline reducing or canceling the forfeiture if other prongs of 47 U.S.C. §</w:t>
      </w:r>
      <w:r>
        <w:t> </w:t>
      </w:r>
      <w:r w:rsidRPr="009A58BC">
        <w:t>503(b)(2)(E) support that result</w:t>
      </w:r>
      <w:r>
        <w:t>.</w:t>
      </w:r>
      <w:r>
        <w:rPr>
          <w:rStyle w:val="FootnoteReference"/>
        </w:rPr>
        <w:footnoteReference w:id="101"/>
      </w:r>
      <w:bookmarkEnd w:id="198"/>
      <w:r>
        <w:t xml:space="preserve">  </w:t>
      </w:r>
    </w:p>
    <w:p w:rsidR="0032514E" w:rsidRPr="003D5AFE" w:rsidP="0032514E" w14:paraId="0D872A94" w14:textId="77777777">
      <w:pPr>
        <w:pStyle w:val="ParaNum"/>
        <w:keepNext/>
        <w:keepLines/>
        <w:widowControl/>
      </w:pPr>
      <w:r w:rsidRPr="003D5AFE">
        <w:rPr>
          <w:b/>
        </w:rPr>
        <w:t xml:space="preserve">IT IS FURTHER ORDERED </w:t>
      </w:r>
      <w:r w:rsidRPr="003D5AFE">
        <w:t xml:space="preserve">that a copy of this Notice of Apparent Liability for Forfeiture shall be sent by first class mail and certified mail, return receipt requested, to </w:t>
      </w:r>
      <w:r>
        <w:t>Zigmond Brach, Chief Executive Officer</w:t>
      </w:r>
      <w:r w:rsidRPr="003D5AFE">
        <w:t xml:space="preserve">, </w:t>
      </w:r>
      <w:r>
        <w:t>Sound Around, Inc.</w:t>
      </w:r>
      <w:r w:rsidRPr="003D5AFE">
        <w:t xml:space="preserve">, </w:t>
      </w:r>
      <w:r>
        <w:t>1600 63</w:t>
      </w:r>
      <w:r w:rsidRPr="007A423B">
        <w:rPr>
          <w:vertAlign w:val="superscript"/>
        </w:rPr>
        <w:t>rd</w:t>
      </w:r>
      <w:r>
        <w:t xml:space="preserve"> Street, Brooklyn, New York 11204</w:t>
      </w:r>
      <w:r w:rsidRPr="003D5AFE">
        <w:t xml:space="preserve">, and to </w:t>
      </w:r>
      <w:r>
        <w:t xml:space="preserve">Timothy J. Cooney, </w:t>
      </w:r>
      <w:r w:rsidRPr="003D5AFE">
        <w:t xml:space="preserve">Esq., </w:t>
      </w:r>
      <w:r>
        <w:t>and Suzanne M. Tetreault, Esq., Wilkinson Barker Knauer LLP, 1800 M Street NW, Suite 800N, Washington, D.C. 20036</w:t>
      </w:r>
      <w:r w:rsidRPr="003D5AFE">
        <w:t>.</w:t>
      </w:r>
    </w:p>
    <w:p w:rsidR="0032514E" w:rsidRPr="00ED051C" w:rsidP="0032514E" w14:paraId="15792F3C" w14:textId="77777777">
      <w:pPr>
        <w:keepNext/>
        <w:keepLines/>
        <w:widowControl/>
        <w:spacing w:after="120"/>
        <w:rPr>
          <w:color w:val="000000"/>
        </w:rPr>
      </w:pPr>
    </w:p>
    <w:p w:rsidR="0032514E" w:rsidP="0032514E" w14:paraId="6515D581" w14:textId="77777777">
      <w:pPr>
        <w:keepNext/>
        <w:keepLines/>
        <w:widowControl/>
      </w:pPr>
      <w:r>
        <w:tab/>
      </w:r>
      <w:r>
        <w:tab/>
      </w:r>
      <w:r>
        <w:tab/>
      </w:r>
      <w:r>
        <w:tab/>
      </w:r>
      <w:r>
        <w:tab/>
      </w:r>
      <w:r>
        <w:tab/>
        <w:t>FEDERAL COMMUNICATIONS COMMISSION</w:t>
      </w:r>
    </w:p>
    <w:p w:rsidR="0032514E" w:rsidP="0032514E" w14:paraId="11ACA55C" w14:textId="77777777">
      <w:pPr>
        <w:keepNext/>
        <w:keepLines/>
        <w:widowControl/>
      </w:pPr>
    </w:p>
    <w:p w:rsidR="0032514E" w:rsidP="0032514E" w14:paraId="275078B0" w14:textId="77777777">
      <w:pPr>
        <w:keepNext/>
        <w:keepLines/>
        <w:widowControl/>
      </w:pPr>
    </w:p>
    <w:p w:rsidR="0032514E" w:rsidP="0032514E" w14:paraId="5532CF9A" w14:textId="77777777">
      <w:pPr>
        <w:keepNext/>
        <w:keepLines/>
        <w:widowControl/>
      </w:pPr>
    </w:p>
    <w:p w:rsidR="0032514E" w:rsidP="0032514E" w14:paraId="195334B8" w14:textId="77777777">
      <w:pPr>
        <w:keepNext/>
        <w:keepLines/>
        <w:widowControl/>
      </w:pPr>
    </w:p>
    <w:p w:rsidR="0032514E" w:rsidP="0032514E" w14:paraId="281A2E4B" w14:textId="77777777">
      <w:pPr>
        <w:keepNext/>
        <w:keepLines/>
        <w:widowControl/>
      </w:pPr>
      <w:r>
        <w:tab/>
      </w:r>
      <w:r>
        <w:tab/>
      </w:r>
      <w:r>
        <w:tab/>
      </w:r>
      <w:r>
        <w:tab/>
      </w:r>
      <w:r>
        <w:tab/>
      </w:r>
      <w:r>
        <w:tab/>
        <w:t>Marlene H. Dortch</w:t>
      </w:r>
    </w:p>
    <w:p w:rsidR="0032514E" w:rsidP="0032514E" w14:paraId="0F6EB69C" w14:textId="77777777">
      <w:pPr>
        <w:keepNext/>
        <w:keepLines/>
        <w:widowControl/>
      </w:pPr>
      <w:r>
        <w:tab/>
      </w:r>
      <w:r>
        <w:tab/>
      </w:r>
      <w:r>
        <w:tab/>
      </w:r>
      <w:r>
        <w:tab/>
      </w:r>
      <w:r>
        <w:tab/>
      </w:r>
      <w:r>
        <w:tab/>
        <w:t>Secretary</w:t>
      </w:r>
    </w:p>
    <w:p w:rsidR="0032514E" w:rsidRPr="004054DC" w:rsidP="0032514E" w14:paraId="25603D77" w14:textId="77777777">
      <w:pPr>
        <w:widowControl/>
        <w:sectPr w:rsidSect="0087536F">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720" w:left="1440" w:header="720" w:footer="720" w:gutter="0"/>
          <w:cols w:space="720"/>
          <w:titlePg/>
          <w:docGrid w:linePitch="299"/>
        </w:sectPr>
      </w:pPr>
    </w:p>
    <w:p w:rsidR="0032514E" w:rsidRPr="00456D4A" w:rsidP="0032514E" w14:paraId="7822B9F2" w14:textId="77777777">
      <w:pPr>
        <w:keepNext/>
        <w:keepLines/>
        <w:widowControl/>
        <w:jc w:val="center"/>
        <w:rPr>
          <w:b/>
          <w:bCs/>
        </w:rPr>
      </w:pPr>
      <w:r w:rsidRPr="00456D4A">
        <w:rPr>
          <w:b/>
          <w:bCs/>
        </w:rPr>
        <w:t>APPENDIX</w:t>
      </w:r>
    </w:p>
    <w:p w:rsidR="0032514E" w:rsidP="0032514E" w14:paraId="67447033" w14:textId="77777777">
      <w:pPr>
        <w:keepNext/>
        <w:keepLines/>
        <w:widowContro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605"/>
        <w:gridCol w:w="1588"/>
        <w:gridCol w:w="1636"/>
        <w:gridCol w:w="1114"/>
        <w:gridCol w:w="1715"/>
        <w:gridCol w:w="1469"/>
      </w:tblGrid>
      <w:tr w14:paraId="108B6E5B" w14:textId="77777777" w:rsidTr="00CB191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479134F6" w14:textId="77777777">
            <w:pPr>
              <w:jc w:val="center"/>
              <w:rPr>
                <w:b/>
                <w:bCs/>
                <w:sz w:val="20"/>
              </w:rPr>
            </w:pPr>
          </w:p>
        </w:tc>
        <w:tc>
          <w:tcPr>
            <w:tcW w:w="847"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hideMark/>
          </w:tcPr>
          <w:p w:rsidR="0032514E" w:rsidRPr="00677CBC" w:rsidP="00CB191E" w14:paraId="28A99271" w14:textId="77777777">
            <w:pPr>
              <w:jc w:val="center"/>
              <w:rPr>
                <w:b/>
                <w:bCs/>
                <w:sz w:val="20"/>
              </w:rPr>
            </w:pPr>
            <w:r w:rsidRPr="00677CBC">
              <w:rPr>
                <w:b/>
                <w:bCs/>
                <w:sz w:val="20"/>
              </w:rPr>
              <w:t>Model number</w:t>
            </w:r>
          </w:p>
        </w:tc>
        <w:tc>
          <w:tcPr>
            <w:tcW w:w="838"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hideMark/>
          </w:tcPr>
          <w:p w:rsidR="0032514E" w:rsidRPr="00677CBC" w:rsidP="00CB191E" w14:paraId="0C63C10F" w14:textId="77777777">
            <w:pPr>
              <w:jc w:val="center"/>
              <w:rPr>
                <w:b/>
                <w:bCs/>
                <w:sz w:val="20"/>
              </w:rPr>
            </w:pPr>
            <w:r w:rsidRPr="00677CBC">
              <w:rPr>
                <w:b/>
                <w:bCs/>
                <w:sz w:val="20"/>
              </w:rPr>
              <w:t>Other product identifier (e.g., UPC, SKU, or ASIN )</w:t>
            </w:r>
          </w:p>
        </w:tc>
        <w:tc>
          <w:tcPr>
            <w:tcW w:w="863" w:type="pct"/>
            <w:tcBorders>
              <w:top w:val="double" w:sz="4" w:space="0" w:color="auto"/>
              <w:left w:val="double" w:sz="4" w:space="0" w:color="auto"/>
              <w:bottom w:val="double" w:sz="4" w:space="0" w:color="auto"/>
              <w:right w:val="double" w:sz="4" w:space="0" w:color="auto"/>
            </w:tcBorders>
            <w:tcMar>
              <w:top w:w="0" w:type="dxa"/>
              <w:left w:w="58" w:type="dxa"/>
              <w:bottom w:w="0" w:type="dxa"/>
              <w:right w:w="58" w:type="dxa"/>
            </w:tcMar>
            <w:vAlign w:val="center"/>
          </w:tcPr>
          <w:p w:rsidR="0032514E" w:rsidRPr="00677CBC" w:rsidP="00CB191E" w14:paraId="69F22547" w14:textId="77777777">
            <w:pPr>
              <w:jc w:val="center"/>
              <w:rPr>
                <w:b/>
                <w:bCs/>
                <w:sz w:val="20"/>
              </w:rPr>
            </w:pPr>
            <w:r w:rsidRPr="00677CBC">
              <w:rPr>
                <w:b/>
                <w:bCs/>
                <w:sz w:val="20"/>
              </w:rPr>
              <w:t>FCC I</w:t>
            </w:r>
            <w:r>
              <w:rPr>
                <w:b/>
                <w:bCs/>
                <w:sz w:val="20"/>
              </w:rPr>
              <w:t>D or SDOC information</w:t>
            </w:r>
            <w:r w:rsidRPr="00677CBC">
              <w:rPr>
                <w:b/>
                <w:bCs/>
                <w:sz w:val="20"/>
              </w:rPr>
              <w:t xml:space="preserve"> provided by Sound Around</w:t>
            </w:r>
          </w:p>
        </w:tc>
        <w:tc>
          <w:tcPr>
            <w:tcW w:w="588"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hideMark/>
          </w:tcPr>
          <w:p w:rsidR="0032514E" w:rsidRPr="00677CBC" w:rsidP="00CB191E" w14:paraId="098D03EA" w14:textId="77777777">
            <w:pPr>
              <w:jc w:val="center"/>
              <w:rPr>
                <w:b/>
                <w:bCs/>
                <w:sz w:val="20"/>
              </w:rPr>
            </w:pPr>
            <w:r w:rsidRPr="00677CBC">
              <w:rPr>
                <w:b/>
                <w:bCs/>
                <w:sz w:val="20"/>
              </w:rPr>
              <w:t>Date of Auth.</w:t>
            </w:r>
          </w:p>
        </w:tc>
        <w:tc>
          <w:tcPr>
            <w:tcW w:w="905" w:type="pct"/>
            <w:tcBorders>
              <w:top w:val="double" w:sz="4" w:space="0" w:color="auto"/>
              <w:left w:val="double" w:sz="4" w:space="0" w:color="auto"/>
              <w:bottom w:val="double" w:sz="4" w:space="0" w:color="auto"/>
              <w:right w:val="double" w:sz="4" w:space="0" w:color="auto"/>
            </w:tcBorders>
            <w:tcMar>
              <w:top w:w="0" w:type="dxa"/>
              <w:left w:w="58" w:type="dxa"/>
              <w:bottom w:w="0" w:type="dxa"/>
              <w:right w:w="58" w:type="dxa"/>
            </w:tcMar>
            <w:vAlign w:val="center"/>
          </w:tcPr>
          <w:p w:rsidR="0032514E" w:rsidRPr="00677CBC" w:rsidP="00CB191E" w14:paraId="01DBE9CD" w14:textId="77777777">
            <w:pPr>
              <w:jc w:val="center"/>
              <w:rPr>
                <w:b/>
                <w:bCs/>
                <w:sz w:val="20"/>
              </w:rPr>
            </w:pPr>
            <w:r w:rsidRPr="00677CBC">
              <w:rPr>
                <w:b/>
                <w:bCs/>
                <w:sz w:val="20"/>
              </w:rPr>
              <w:t>Mkting Began (earliest known date) per Sound Around</w:t>
            </w:r>
          </w:p>
        </w:tc>
        <w:tc>
          <w:tcPr>
            <w:tcW w:w="775"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6CA4FD04" w14:textId="77777777">
            <w:pPr>
              <w:jc w:val="center"/>
              <w:rPr>
                <w:b/>
                <w:bCs/>
                <w:sz w:val="20"/>
              </w:rPr>
            </w:pPr>
            <w:r w:rsidRPr="00677CBC">
              <w:rPr>
                <w:b/>
                <w:bCs/>
                <w:sz w:val="20"/>
              </w:rPr>
              <w:t>Why Auth. Needed</w:t>
            </w:r>
          </w:p>
        </w:tc>
      </w:tr>
      <w:tr w14:paraId="54F838ED"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501552D4" w14:textId="77777777">
            <w:pPr>
              <w:jc w:val="center"/>
              <w:rPr>
                <w:b/>
                <w:bCs/>
                <w:sz w:val="20"/>
              </w:rPr>
            </w:pPr>
            <w:r w:rsidRPr="00677CBC">
              <w:rPr>
                <w:b/>
                <w:bCs/>
                <w:sz w:val="20"/>
              </w:rPr>
              <w:t>1</w:t>
            </w:r>
          </w:p>
        </w:tc>
        <w:tc>
          <w:tcPr>
            <w:tcW w:w="847" w:type="pct"/>
            <w:tcBorders>
              <w:top w:val="double" w:sz="4" w:space="0" w:color="auto"/>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5D176A94" w14:textId="77777777">
            <w:pPr>
              <w:rPr>
                <w:sz w:val="20"/>
              </w:rPr>
            </w:pPr>
            <w:r w:rsidRPr="00677CBC">
              <w:rPr>
                <w:sz w:val="20"/>
              </w:rPr>
              <w:t>PDWR62BTBK</w:t>
            </w:r>
          </w:p>
        </w:tc>
        <w:tc>
          <w:tcPr>
            <w:tcW w:w="83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66608841" w14:textId="77777777">
            <w:pPr>
              <w:rPr>
                <w:sz w:val="20"/>
              </w:rPr>
            </w:pPr>
            <w:r w:rsidRPr="00677CBC">
              <w:rPr>
                <w:sz w:val="20"/>
              </w:rPr>
              <w:t>B01954Q4I8</w:t>
            </w:r>
          </w:p>
        </w:tc>
        <w:tc>
          <w:tcPr>
            <w:tcW w:w="863" w:type="pc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20581350" w14:textId="77777777">
            <w:pPr>
              <w:rPr>
                <w:sz w:val="20"/>
              </w:rPr>
            </w:pPr>
            <w:r w:rsidRPr="00677CBC">
              <w:rPr>
                <w:sz w:val="20"/>
              </w:rPr>
              <w:t>2A5J3-HYB1065B5</w:t>
            </w:r>
          </w:p>
        </w:tc>
        <w:tc>
          <w:tcPr>
            <w:tcW w:w="58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6DE9948A" w14:textId="77777777">
            <w:pPr>
              <w:rPr>
                <w:sz w:val="20"/>
              </w:rPr>
            </w:pPr>
            <w:r w:rsidRPr="00677CBC">
              <w:rPr>
                <w:sz w:val="20"/>
              </w:rPr>
              <w:t>4/6/2022</w:t>
            </w:r>
          </w:p>
        </w:tc>
        <w:tc>
          <w:tcPr>
            <w:tcW w:w="905" w:type="pct"/>
            <w:tcBorders>
              <w:top w:val="double" w:sz="4" w:space="0" w:color="auto"/>
              <w:bottom w:val="double" w:sz="4" w:space="0" w:color="auto"/>
              <w:right w:val="single" w:sz="4" w:space="0" w:color="auto"/>
            </w:tcBorders>
            <w:tcMar>
              <w:top w:w="0" w:type="dxa"/>
              <w:left w:w="58" w:type="dxa"/>
              <w:bottom w:w="0" w:type="dxa"/>
              <w:right w:w="58" w:type="dxa"/>
            </w:tcMar>
            <w:vAlign w:val="center"/>
          </w:tcPr>
          <w:p w:rsidR="0032514E" w:rsidRPr="00677CBC" w:rsidP="00CB191E" w14:paraId="34F45FFB" w14:textId="77777777">
            <w:pPr>
              <w:rPr>
                <w:sz w:val="20"/>
              </w:rPr>
            </w:pPr>
            <w:r w:rsidRPr="00677CBC">
              <w:rPr>
                <w:sz w:val="20"/>
              </w:rPr>
              <w:t>10/31/2021</w:t>
            </w:r>
          </w:p>
        </w:tc>
        <w:tc>
          <w:tcPr>
            <w:tcW w:w="775" w:type="pc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1E12DEC0" w14:textId="77777777">
            <w:pPr>
              <w:rPr>
                <w:sz w:val="20"/>
              </w:rPr>
            </w:pPr>
            <w:r w:rsidRPr="00677CBC">
              <w:rPr>
                <w:sz w:val="20"/>
              </w:rPr>
              <w:t>Bluetooth required certification</w:t>
            </w:r>
          </w:p>
        </w:tc>
      </w:tr>
      <w:tr w14:paraId="3E113CA2"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51ACB962" w14:textId="77777777">
            <w:pPr>
              <w:jc w:val="center"/>
              <w:rPr>
                <w:b/>
                <w:bCs/>
                <w:sz w:val="20"/>
              </w:rPr>
            </w:pPr>
            <w:r w:rsidRPr="00677CBC">
              <w:rPr>
                <w:b/>
                <w:bCs/>
                <w:sz w:val="20"/>
              </w:rPr>
              <w:t>2</w:t>
            </w:r>
          </w:p>
        </w:tc>
        <w:tc>
          <w:tcPr>
            <w:tcW w:w="847" w:type="pct"/>
            <w:tcBorders>
              <w:top w:val="double" w:sz="4" w:space="0" w:color="auto"/>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6A50C3E8" w14:textId="77777777">
            <w:pPr>
              <w:rPr>
                <w:sz w:val="20"/>
              </w:rPr>
            </w:pPr>
            <w:r w:rsidRPr="00677CBC">
              <w:rPr>
                <w:sz w:val="20"/>
              </w:rPr>
              <w:t>PFA540BT</w:t>
            </w:r>
          </w:p>
        </w:tc>
        <w:tc>
          <w:tcPr>
            <w:tcW w:w="83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37789D48" w14:textId="77777777">
            <w:pPr>
              <w:rPr>
                <w:sz w:val="20"/>
              </w:rPr>
            </w:pPr>
            <w:r w:rsidRPr="00677CBC">
              <w:rPr>
                <w:sz w:val="20"/>
              </w:rPr>
              <w:t>B01M9I1DO1</w:t>
            </w:r>
          </w:p>
        </w:tc>
        <w:tc>
          <w:tcPr>
            <w:tcW w:w="863" w:type="pc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2936B29E" w14:textId="77777777">
            <w:pPr>
              <w:rPr>
                <w:sz w:val="20"/>
              </w:rPr>
            </w:pPr>
            <w:r w:rsidRPr="00677CBC">
              <w:rPr>
                <w:sz w:val="20"/>
              </w:rPr>
              <w:t>2A5PBPYLE</w:t>
            </w:r>
          </w:p>
        </w:tc>
        <w:tc>
          <w:tcPr>
            <w:tcW w:w="58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326F1A9C" w14:textId="77777777">
            <w:pPr>
              <w:rPr>
                <w:sz w:val="20"/>
              </w:rPr>
            </w:pPr>
            <w:r w:rsidRPr="00677CBC">
              <w:rPr>
                <w:sz w:val="20"/>
              </w:rPr>
              <w:t>4/11/2022</w:t>
            </w:r>
          </w:p>
        </w:tc>
        <w:tc>
          <w:tcPr>
            <w:tcW w:w="905" w:type="pct"/>
            <w:tcBorders>
              <w:top w:val="double" w:sz="4" w:space="0" w:color="auto"/>
              <w:bottom w:val="double" w:sz="4" w:space="0" w:color="auto"/>
              <w:right w:val="single" w:sz="4" w:space="0" w:color="auto"/>
            </w:tcBorders>
            <w:tcMar>
              <w:top w:w="0" w:type="dxa"/>
              <w:left w:w="58" w:type="dxa"/>
              <w:bottom w:w="0" w:type="dxa"/>
              <w:right w:w="58" w:type="dxa"/>
            </w:tcMar>
            <w:vAlign w:val="center"/>
          </w:tcPr>
          <w:p w:rsidR="0032514E" w:rsidRPr="00677CBC" w:rsidP="00CB191E" w14:paraId="6B5CA9E3" w14:textId="77777777">
            <w:pPr>
              <w:rPr>
                <w:sz w:val="20"/>
              </w:rPr>
            </w:pPr>
            <w:r w:rsidRPr="00677CBC">
              <w:rPr>
                <w:sz w:val="20"/>
              </w:rPr>
              <w:t>3/10/2022</w:t>
            </w:r>
          </w:p>
        </w:tc>
        <w:tc>
          <w:tcPr>
            <w:tcW w:w="775" w:type="pc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5CEE53C9" w14:textId="77777777">
            <w:pPr>
              <w:rPr>
                <w:sz w:val="20"/>
              </w:rPr>
            </w:pPr>
            <w:r w:rsidRPr="00677CBC">
              <w:rPr>
                <w:sz w:val="20"/>
              </w:rPr>
              <w:t>Bluetooth required certification</w:t>
            </w:r>
          </w:p>
        </w:tc>
      </w:tr>
      <w:tr w14:paraId="372D1106" w14:textId="77777777" w:rsidTr="00CB191E">
        <w:tblPrEx>
          <w:tblW w:w="5000" w:type="pct"/>
          <w:jc w:val="center"/>
          <w:tblLayout w:type="fixed"/>
          <w:tblLook w:val="04A0"/>
        </w:tblPrEx>
        <w:trPr>
          <w:cantSplit/>
          <w:trHeight w:val="447"/>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364FDAEF" w14:textId="77777777">
            <w:pPr>
              <w:jc w:val="center"/>
              <w:rPr>
                <w:b/>
                <w:bCs/>
                <w:sz w:val="20"/>
              </w:rPr>
            </w:pPr>
            <w:r w:rsidRPr="00677CBC">
              <w:rPr>
                <w:b/>
                <w:bCs/>
                <w:sz w:val="20"/>
              </w:rPr>
              <w:t>3</w:t>
            </w:r>
          </w:p>
        </w:tc>
        <w:tc>
          <w:tcPr>
            <w:tcW w:w="847" w:type="pct"/>
            <w:tcBorders>
              <w:top w:val="double" w:sz="4" w:space="0" w:color="auto"/>
              <w:left w:val="double" w:sz="4" w:space="0" w:color="auto"/>
            </w:tcBorders>
            <w:shd w:val="clear" w:color="auto" w:fill="auto"/>
            <w:tcMar>
              <w:top w:w="0" w:type="dxa"/>
              <w:left w:w="58" w:type="dxa"/>
              <w:bottom w:w="0" w:type="dxa"/>
              <w:right w:w="58" w:type="dxa"/>
            </w:tcMar>
            <w:vAlign w:val="center"/>
            <w:hideMark/>
          </w:tcPr>
          <w:p w:rsidR="0032514E" w:rsidRPr="00677CBC" w:rsidP="00CB191E" w14:paraId="308ED2A0" w14:textId="77777777">
            <w:pPr>
              <w:rPr>
                <w:sz w:val="20"/>
              </w:rPr>
            </w:pPr>
            <w:r w:rsidRPr="00677CBC">
              <w:rPr>
                <w:sz w:val="20"/>
              </w:rPr>
              <w:t>PMP20</w:t>
            </w:r>
            <w:r>
              <w:rPr>
                <w:rStyle w:val="FootnoteReference"/>
              </w:rPr>
              <w:footnoteReference w:id="102"/>
            </w:r>
          </w:p>
        </w:tc>
        <w:tc>
          <w:tcPr>
            <w:tcW w:w="838" w:type="pct"/>
            <w:tcBorders>
              <w:top w:val="double" w:sz="4" w:space="0" w:color="auto"/>
            </w:tcBorders>
            <w:shd w:val="clear" w:color="auto" w:fill="auto"/>
            <w:tcMar>
              <w:top w:w="0" w:type="dxa"/>
              <w:left w:w="58" w:type="dxa"/>
              <w:bottom w:w="0" w:type="dxa"/>
              <w:right w:w="58" w:type="dxa"/>
            </w:tcMar>
            <w:vAlign w:val="center"/>
            <w:hideMark/>
          </w:tcPr>
          <w:p w:rsidR="0032514E" w:rsidRPr="00677CBC" w:rsidP="00CB191E" w14:paraId="723308C2" w14:textId="77777777">
            <w:pPr>
              <w:rPr>
                <w:sz w:val="20"/>
              </w:rPr>
            </w:pPr>
            <w:r w:rsidRPr="00677CBC">
              <w:rPr>
                <w:sz w:val="20"/>
              </w:rPr>
              <w:t>B00BQOFXAG</w:t>
            </w:r>
          </w:p>
        </w:tc>
        <w:tc>
          <w:tcPr>
            <w:tcW w:w="863" w:type="pct"/>
            <w:vMerge w:val="restar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2AE3E301" w14:textId="77777777">
            <w:pPr>
              <w:rPr>
                <w:sz w:val="20"/>
              </w:rPr>
            </w:pPr>
            <w:r w:rsidRPr="00677CBC">
              <w:rPr>
                <w:sz w:val="20"/>
              </w:rPr>
              <w:t>2A5ST-PMP52BT</w:t>
            </w:r>
          </w:p>
        </w:tc>
        <w:tc>
          <w:tcPr>
            <w:tcW w:w="588" w:type="pct"/>
            <w:vMerge w:val="restart"/>
            <w:tcBorders>
              <w:top w:val="doub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03885FD4" w14:textId="77777777">
            <w:pPr>
              <w:rPr>
                <w:sz w:val="20"/>
              </w:rPr>
            </w:pPr>
            <w:r w:rsidRPr="00677CBC">
              <w:rPr>
                <w:sz w:val="20"/>
              </w:rPr>
              <w:t>4/10/2022</w:t>
            </w:r>
          </w:p>
        </w:tc>
        <w:tc>
          <w:tcPr>
            <w:tcW w:w="905" w:type="pct"/>
            <w:tcBorders>
              <w:top w:val="double" w:sz="4" w:space="0" w:color="auto"/>
              <w:right w:val="single" w:sz="4" w:space="0" w:color="auto"/>
            </w:tcBorders>
            <w:tcMar>
              <w:top w:w="0" w:type="dxa"/>
              <w:left w:w="58" w:type="dxa"/>
              <w:bottom w:w="0" w:type="dxa"/>
              <w:right w:w="58" w:type="dxa"/>
            </w:tcMar>
            <w:vAlign w:val="center"/>
          </w:tcPr>
          <w:p w:rsidR="0032514E" w:rsidRPr="00677CBC" w:rsidP="00CB191E" w14:paraId="21D0FFEA" w14:textId="77777777">
            <w:pPr>
              <w:rPr>
                <w:sz w:val="20"/>
              </w:rPr>
            </w:pPr>
            <w:r w:rsidRPr="00677CBC">
              <w:rPr>
                <w:sz w:val="20"/>
              </w:rPr>
              <w:t>11/1/2021</w:t>
            </w:r>
          </w:p>
        </w:tc>
        <w:tc>
          <w:tcPr>
            <w:tcW w:w="775" w:type="pct"/>
            <w:vMerge w:val="restar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69F67AD0" w14:textId="77777777">
            <w:pPr>
              <w:rPr>
                <w:sz w:val="20"/>
              </w:rPr>
            </w:pPr>
            <w:r w:rsidRPr="00677CBC">
              <w:rPr>
                <w:sz w:val="20"/>
              </w:rPr>
              <w:t>Bluetooth required certification</w:t>
            </w:r>
          </w:p>
          <w:p w:rsidR="0032514E" w:rsidRPr="00677CBC" w:rsidP="00CB191E" w14:paraId="2FD2705B" w14:textId="77777777">
            <w:pPr>
              <w:rPr>
                <w:sz w:val="20"/>
              </w:rPr>
            </w:pPr>
          </w:p>
        </w:tc>
      </w:tr>
      <w:tr w14:paraId="7BBBB0E2"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56F2F556"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tcPr>
          <w:p w:rsidR="0032514E" w:rsidRPr="00677CBC" w:rsidP="00CB191E" w14:paraId="41BABC22" w14:textId="77777777">
            <w:pPr>
              <w:rPr>
                <w:sz w:val="20"/>
              </w:rPr>
            </w:pPr>
            <w:r w:rsidRPr="00677CBC">
              <w:rPr>
                <w:sz w:val="20"/>
              </w:rPr>
              <w:t>PMP42BT</w:t>
            </w:r>
          </w:p>
        </w:tc>
        <w:tc>
          <w:tcPr>
            <w:tcW w:w="838" w:type="pct"/>
            <w:shd w:val="clear" w:color="auto" w:fill="auto"/>
            <w:tcMar>
              <w:top w:w="0" w:type="dxa"/>
              <w:left w:w="58" w:type="dxa"/>
              <w:bottom w:w="0" w:type="dxa"/>
              <w:right w:w="58" w:type="dxa"/>
            </w:tcMar>
            <w:vAlign w:val="center"/>
          </w:tcPr>
          <w:p w:rsidR="0032514E" w:rsidRPr="00677CBC" w:rsidP="00CB191E" w14:paraId="33D040AA" w14:textId="77777777">
            <w:pPr>
              <w:rPr>
                <w:sz w:val="20"/>
              </w:rPr>
            </w:pPr>
            <w:r w:rsidRPr="00677CBC">
              <w:rPr>
                <w:sz w:val="20"/>
              </w:rPr>
              <w:t>B00NCPG5RW</w:t>
            </w:r>
          </w:p>
        </w:tc>
        <w:tc>
          <w:tcPr>
            <w:tcW w:w="863" w:type="pct"/>
            <w:vMerge/>
            <w:tcBorders>
              <w:bottom w:val="double" w:sz="4" w:space="0" w:color="auto"/>
            </w:tcBorders>
            <w:tcMar>
              <w:top w:w="0" w:type="dxa"/>
              <w:left w:w="58" w:type="dxa"/>
              <w:bottom w:w="0" w:type="dxa"/>
              <w:right w:w="58" w:type="dxa"/>
            </w:tcMar>
            <w:vAlign w:val="center"/>
          </w:tcPr>
          <w:p w:rsidR="0032514E" w:rsidRPr="00677CBC" w:rsidP="00CB191E" w14:paraId="574D8B34" w14:textId="77777777">
            <w:pPr>
              <w:rPr>
                <w:sz w:val="20"/>
              </w:rPr>
            </w:pPr>
          </w:p>
        </w:tc>
        <w:tc>
          <w:tcPr>
            <w:tcW w:w="588" w:type="pct"/>
            <w:vMerge/>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54E234BD"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050E1141" w14:textId="77777777">
            <w:pPr>
              <w:rPr>
                <w:sz w:val="20"/>
              </w:rPr>
            </w:pPr>
            <w:r w:rsidRPr="00677CBC">
              <w:rPr>
                <w:sz w:val="20"/>
              </w:rPr>
              <w:t>8/1/2022 [date provided by Company appears inaccurate]</w:t>
            </w:r>
          </w:p>
          <w:p w:rsidR="0032514E" w:rsidRPr="00677CBC" w:rsidP="00CB191E" w14:paraId="07B88EE2" w14:textId="77777777">
            <w:pPr>
              <w:rPr>
                <w:sz w:val="20"/>
              </w:rPr>
            </w:pPr>
          </w:p>
          <w:p w:rsidR="0032514E" w:rsidRPr="00677CBC" w:rsidP="00CB191E" w14:paraId="4E4E2448" w14:textId="77777777">
            <w:pPr>
              <w:rPr>
                <w:sz w:val="20"/>
              </w:rPr>
            </w:pPr>
            <w:r w:rsidRPr="00677CBC">
              <w:rPr>
                <w:sz w:val="20"/>
              </w:rPr>
              <w:t>Amazon Date First Available September 5, 2014</w:t>
            </w:r>
          </w:p>
        </w:tc>
        <w:tc>
          <w:tcPr>
            <w:tcW w:w="775" w:type="pct"/>
            <w:vMerge/>
            <w:tcBorders>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26D2B021" w14:textId="77777777">
            <w:pPr>
              <w:rPr>
                <w:sz w:val="20"/>
              </w:rPr>
            </w:pPr>
          </w:p>
        </w:tc>
      </w:tr>
      <w:tr w14:paraId="6E41084B"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6A7DD891" w14:textId="77777777">
            <w:pPr>
              <w:jc w:val="center"/>
              <w:rPr>
                <w:b/>
                <w:bCs/>
                <w:sz w:val="20"/>
              </w:rPr>
            </w:pPr>
          </w:p>
        </w:tc>
        <w:tc>
          <w:tcPr>
            <w:tcW w:w="847" w:type="pct"/>
            <w:tcBorders>
              <w:left w:val="doub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78EA2649" w14:textId="77777777">
            <w:pPr>
              <w:rPr>
                <w:sz w:val="20"/>
              </w:rPr>
            </w:pPr>
            <w:r w:rsidRPr="00677CBC">
              <w:rPr>
                <w:sz w:val="20"/>
              </w:rPr>
              <w:t>PMP52BT</w:t>
            </w:r>
          </w:p>
        </w:tc>
        <w:tc>
          <w:tcPr>
            <w:tcW w:w="838" w:type="pct"/>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49CBC923" w14:textId="77777777">
            <w:pPr>
              <w:rPr>
                <w:sz w:val="20"/>
              </w:rPr>
            </w:pPr>
            <w:r w:rsidRPr="00677CBC">
              <w:rPr>
                <w:sz w:val="20"/>
              </w:rPr>
              <w:t>B00NCPG5V8</w:t>
            </w:r>
          </w:p>
        </w:tc>
        <w:tc>
          <w:tcPr>
            <w:tcW w:w="863" w:type="pct"/>
            <w:vMerge/>
            <w:tcBorders>
              <w:bottom w:val="double" w:sz="4" w:space="0" w:color="auto"/>
            </w:tcBorders>
            <w:tcMar>
              <w:top w:w="0" w:type="dxa"/>
              <w:left w:w="58" w:type="dxa"/>
              <w:bottom w:w="0" w:type="dxa"/>
              <w:right w:w="58" w:type="dxa"/>
            </w:tcMar>
            <w:vAlign w:val="center"/>
          </w:tcPr>
          <w:p w:rsidR="0032514E" w:rsidRPr="00677CBC" w:rsidP="00CB191E" w14:paraId="29F01F0E" w14:textId="77777777">
            <w:pPr>
              <w:rPr>
                <w:sz w:val="20"/>
              </w:rPr>
            </w:pPr>
          </w:p>
        </w:tc>
        <w:tc>
          <w:tcPr>
            <w:tcW w:w="588" w:type="pct"/>
            <w:vMerge/>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7BE41FAB" w14:textId="77777777">
            <w:pPr>
              <w:rPr>
                <w:sz w:val="20"/>
              </w:rPr>
            </w:pPr>
          </w:p>
        </w:tc>
        <w:tc>
          <w:tcPr>
            <w:tcW w:w="905" w:type="pct"/>
            <w:tcBorders>
              <w:bottom w:val="double" w:sz="4" w:space="0" w:color="auto"/>
              <w:right w:val="single" w:sz="4" w:space="0" w:color="auto"/>
            </w:tcBorders>
            <w:tcMar>
              <w:top w:w="0" w:type="dxa"/>
              <w:left w:w="58" w:type="dxa"/>
              <w:bottom w:w="0" w:type="dxa"/>
              <w:right w:w="58" w:type="dxa"/>
            </w:tcMar>
            <w:vAlign w:val="center"/>
          </w:tcPr>
          <w:p w:rsidR="0032514E" w:rsidRPr="00677CBC" w:rsidP="00CB191E" w14:paraId="799FDD2D" w14:textId="77777777">
            <w:pPr>
              <w:rPr>
                <w:sz w:val="20"/>
              </w:rPr>
            </w:pPr>
            <w:r w:rsidRPr="00677CBC">
              <w:rPr>
                <w:sz w:val="20"/>
              </w:rPr>
              <w:t>9/22/2022 [date provided by Company appears inaccurate]</w:t>
            </w:r>
          </w:p>
          <w:p w:rsidR="0032514E" w:rsidRPr="00677CBC" w:rsidP="00CB191E" w14:paraId="04F50382" w14:textId="77777777">
            <w:pPr>
              <w:rPr>
                <w:sz w:val="20"/>
              </w:rPr>
            </w:pPr>
          </w:p>
          <w:p w:rsidR="0032514E" w:rsidRPr="00677CBC" w:rsidP="00CB191E" w14:paraId="469444F4" w14:textId="77777777">
            <w:pPr>
              <w:rPr>
                <w:sz w:val="20"/>
              </w:rPr>
            </w:pPr>
            <w:r w:rsidRPr="00677CBC">
              <w:rPr>
                <w:sz w:val="20"/>
              </w:rPr>
              <w:t>Amazon Date First Available September 5, 2014</w:t>
            </w:r>
          </w:p>
        </w:tc>
        <w:tc>
          <w:tcPr>
            <w:tcW w:w="775" w:type="pct"/>
            <w:vMerge/>
            <w:tcBorders>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41261D5B" w14:textId="77777777">
            <w:pPr>
              <w:rPr>
                <w:sz w:val="20"/>
              </w:rPr>
            </w:pPr>
          </w:p>
        </w:tc>
      </w:tr>
      <w:tr w14:paraId="0AA5C3EA"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4FE81616" w14:textId="77777777">
            <w:pPr>
              <w:jc w:val="center"/>
              <w:rPr>
                <w:b/>
                <w:bCs/>
                <w:sz w:val="20"/>
              </w:rPr>
            </w:pPr>
            <w:r w:rsidRPr="00677CBC">
              <w:rPr>
                <w:b/>
                <w:bCs/>
                <w:sz w:val="20"/>
              </w:rPr>
              <w:t>4</w:t>
            </w:r>
          </w:p>
        </w:tc>
        <w:tc>
          <w:tcPr>
            <w:tcW w:w="847" w:type="pct"/>
            <w:tcBorders>
              <w:top w:val="double" w:sz="4" w:space="0" w:color="auto"/>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15A4391D" w14:textId="77777777">
            <w:pPr>
              <w:rPr>
                <w:sz w:val="20"/>
              </w:rPr>
            </w:pPr>
            <w:r w:rsidRPr="00677CBC">
              <w:rPr>
                <w:sz w:val="20"/>
              </w:rPr>
              <w:t>SLNKMSG131</w:t>
            </w:r>
          </w:p>
        </w:tc>
        <w:tc>
          <w:tcPr>
            <w:tcW w:w="83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582FCF52" w14:textId="77777777">
            <w:pPr>
              <w:rPr>
                <w:sz w:val="20"/>
              </w:rPr>
            </w:pPr>
            <w:r w:rsidRPr="00677CBC">
              <w:rPr>
                <w:sz w:val="20"/>
              </w:rPr>
              <w:t>B09J15HXNM</w:t>
            </w:r>
          </w:p>
        </w:tc>
        <w:tc>
          <w:tcPr>
            <w:tcW w:w="863" w:type="pc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3D316910" w14:textId="77777777">
            <w:pPr>
              <w:rPr>
                <w:sz w:val="20"/>
              </w:rPr>
            </w:pPr>
            <w:r w:rsidRPr="00677CBC">
              <w:rPr>
                <w:sz w:val="20"/>
              </w:rPr>
              <w:t>2A5SZ-P6B19</w:t>
            </w:r>
          </w:p>
        </w:tc>
        <w:tc>
          <w:tcPr>
            <w:tcW w:w="58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2B985059" w14:textId="77777777">
            <w:pPr>
              <w:rPr>
                <w:sz w:val="20"/>
              </w:rPr>
            </w:pPr>
            <w:r w:rsidRPr="00677CBC">
              <w:rPr>
                <w:sz w:val="20"/>
              </w:rPr>
              <w:t>12/1/2022</w:t>
            </w:r>
          </w:p>
        </w:tc>
        <w:tc>
          <w:tcPr>
            <w:tcW w:w="905" w:type="pct"/>
            <w:tcBorders>
              <w:top w:val="double" w:sz="4" w:space="0" w:color="auto"/>
              <w:bottom w:val="double" w:sz="4" w:space="0" w:color="auto"/>
              <w:right w:val="single" w:sz="4" w:space="0" w:color="auto"/>
            </w:tcBorders>
            <w:tcMar>
              <w:top w:w="0" w:type="dxa"/>
              <w:left w:w="58" w:type="dxa"/>
              <w:bottom w:w="0" w:type="dxa"/>
              <w:right w:w="58" w:type="dxa"/>
            </w:tcMar>
            <w:vAlign w:val="center"/>
          </w:tcPr>
          <w:p w:rsidR="0032514E" w:rsidRPr="00677CBC" w:rsidP="00CB191E" w14:paraId="0D4F2F64" w14:textId="77777777">
            <w:pPr>
              <w:rPr>
                <w:sz w:val="20"/>
              </w:rPr>
            </w:pPr>
            <w:r w:rsidRPr="00677CBC">
              <w:rPr>
                <w:sz w:val="20"/>
              </w:rPr>
              <w:t>1/1/2022</w:t>
            </w:r>
          </w:p>
        </w:tc>
        <w:tc>
          <w:tcPr>
            <w:tcW w:w="775" w:type="pc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31D9C6A0" w14:textId="77777777">
            <w:pPr>
              <w:rPr>
                <w:sz w:val="20"/>
              </w:rPr>
            </w:pPr>
            <w:r w:rsidRPr="00677CBC">
              <w:rPr>
                <w:sz w:val="20"/>
              </w:rPr>
              <w:t>Wireless remote required certification</w:t>
            </w:r>
          </w:p>
        </w:tc>
      </w:tr>
      <w:tr w14:paraId="4D407FA8"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1459AF0B" w14:textId="77777777">
            <w:pPr>
              <w:jc w:val="center"/>
              <w:rPr>
                <w:b/>
                <w:bCs/>
                <w:sz w:val="20"/>
              </w:rPr>
            </w:pPr>
            <w:r w:rsidRPr="00677CBC">
              <w:rPr>
                <w:b/>
                <w:bCs/>
                <w:sz w:val="20"/>
              </w:rPr>
              <w:t>5</w:t>
            </w:r>
          </w:p>
        </w:tc>
        <w:tc>
          <w:tcPr>
            <w:tcW w:w="847" w:type="pct"/>
            <w:tcBorders>
              <w:top w:val="double" w:sz="4" w:space="0" w:color="auto"/>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4F9CF3F7" w14:textId="77777777">
            <w:pPr>
              <w:rPr>
                <w:sz w:val="20"/>
              </w:rPr>
            </w:pPr>
            <w:r w:rsidRPr="00677CBC">
              <w:rPr>
                <w:sz w:val="20"/>
              </w:rPr>
              <w:t>PPHP28AMX</w:t>
            </w:r>
          </w:p>
        </w:tc>
        <w:tc>
          <w:tcPr>
            <w:tcW w:w="83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534822B2" w14:textId="77777777">
            <w:pPr>
              <w:rPr>
                <w:sz w:val="20"/>
              </w:rPr>
            </w:pPr>
            <w:r w:rsidRPr="00677CBC">
              <w:rPr>
                <w:sz w:val="20"/>
              </w:rPr>
              <w:t>B07BKT59W3</w:t>
            </w:r>
          </w:p>
        </w:tc>
        <w:tc>
          <w:tcPr>
            <w:tcW w:w="863" w:type="pc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1167E9F2" w14:textId="77777777">
            <w:pPr>
              <w:rPr>
                <w:sz w:val="20"/>
              </w:rPr>
            </w:pPr>
            <w:r w:rsidRPr="00677CBC">
              <w:rPr>
                <w:sz w:val="20"/>
              </w:rPr>
              <w:t>2A5UW-PPHP28AMX</w:t>
            </w:r>
          </w:p>
        </w:tc>
        <w:tc>
          <w:tcPr>
            <w:tcW w:w="58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5A86B63D" w14:textId="77777777">
            <w:pPr>
              <w:rPr>
                <w:sz w:val="20"/>
              </w:rPr>
            </w:pPr>
            <w:r w:rsidRPr="00677CBC">
              <w:rPr>
                <w:sz w:val="20"/>
              </w:rPr>
              <w:t>4/14/2022</w:t>
            </w:r>
          </w:p>
        </w:tc>
        <w:tc>
          <w:tcPr>
            <w:tcW w:w="905" w:type="pct"/>
            <w:tcBorders>
              <w:top w:val="double" w:sz="4" w:space="0" w:color="auto"/>
              <w:bottom w:val="double" w:sz="4" w:space="0" w:color="auto"/>
              <w:right w:val="single" w:sz="4" w:space="0" w:color="auto"/>
            </w:tcBorders>
            <w:tcMar>
              <w:top w:w="0" w:type="dxa"/>
              <w:left w:w="58" w:type="dxa"/>
              <w:bottom w:w="0" w:type="dxa"/>
              <w:right w:w="58" w:type="dxa"/>
            </w:tcMar>
            <w:vAlign w:val="center"/>
          </w:tcPr>
          <w:p w:rsidR="0032514E" w:rsidRPr="00677CBC" w:rsidP="00CB191E" w14:paraId="7D0A2D61" w14:textId="77777777">
            <w:pPr>
              <w:rPr>
                <w:sz w:val="20"/>
              </w:rPr>
            </w:pPr>
            <w:r w:rsidRPr="00677CBC">
              <w:rPr>
                <w:sz w:val="20"/>
              </w:rPr>
              <w:t>7/7/2021</w:t>
            </w:r>
          </w:p>
        </w:tc>
        <w:tc>
          <w:tcPr>
            <w:tcW w:w="775" w:type="pc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0A7BDFAC" w14:textId="77777777">
            <w:pPr>
              <w:rPr>
                <w:sz w:val="20"/>
              </w:rPr>
            </w:pPr>
            <w:r w:rsidRPr="00677CBC">
              <w:rPr>
                <w:sz w:val="20"/>
              </w:rPr>
              <w:t xml:space="preserve">Bluetooth required certification </w:t>
            </w:r>
          </w:p>
        </w:tc>
      </w:tr>
      <w:tr w14:paraId="159F3BDC"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3E6E3662" w14:textId="77777777">
            <w:pPr>
              <w:jc w:val="center"/>
              <w:rPr>
                <w:b/>
                <w:bCs/>
                <w:sz w:val="20"/>
              </w:rPr>
            </w:pPr>
            <w:r w:rsidRPr="00677CBC">
              <w:rPr>
                <w:b/>
                <w:bCs/>
                <w:sz w:val="20"/>
              </w:rPr>
              <w:t>6</w:t>
            </w:r>
          </w:p>
        </w:tc>
        <w:tc>
          <w:tcPr>
            <w:tcW w:w="847" w:type="pct"/>
            <w:tcBorders>
              <w:top w:val="double" w:sz="4" w:space="0" w:color="auto"/>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25292C17" w14:textId="77777777">
            <w:pPr>
              <w:rPr>
                <w:sz w:val="20"/>
              </w:rPr>
            </w:pPr>
            <w:r w:rsidRPr="00677CBC">
              <w:rPr>
                <w:sz w:val="20"/>
              </w:rPr>
              <w:t>PWRC55BT</w:t>
            </w:r>
          </w:p>
        </w:tc>
        <w:tc>
          <w:tcPr>
            <w:tcW w:w="83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378D23B5" w14:textId="77777777">
            <w:pPr>
              <w:rPr>
                <w:sz w:val="20"/>
              </w:rPr>
            </w:pPr>
            <w:r w:rsidRPr="00677CBC">
              <w:rPr>
                <w:sz w:val="20"/>
              </w:rPr>
              <w:t>B07G7Q6WXW</w:t>
            </w:r>
          </w:p>
        </w:tc>
        <w:tc>
          <w:tcPr>
            <w:tcW w:w="863" w:type="pct"/>
            <w:tcBorders>
              <w:top w:val="double" w:sz="4" w:space="0" w:color="auto"/>
              <w:bottom w:val="double" w:sz="4" w:space="0" w:color="auto"/>
            </w:tcBorders>
            <w:tcMar>
              <w:top w:w="0" w:type="dxa"/>
              <w:left w:w="58" w:type="dxa"/>
              <w:bottom w:w="0" w:type="dxa"/>
              <w:right w:w="58" w:type="dxa"/>
            </w:tcMar>
            <w:vAlign w:val="center"/>
          </w:tcPr>
          <w:p w:rsidR="0032514E" w:rsidRPr="00677CBC" w:rsidP="00CB191E" w14:paraId="3C9F96D1" w14:textId="77777777">
            <w:pPr>
              <w:rPr>
                <w:sz w:val="20"/>
              </w:rPr>
            </w:pPr>
            <w:r w:rsidRPr="00677CBC">
              <w:rPr>
                <w:sz w:val="20"/>
              </w:rPr>
              <w:t>2A5X5-PDWR54BTB</w:t>
            </w:r>
          </w:p>
        </w:tc>
        <w:tc>
          <w:tcPr>
            <w:tcW w:w="588" w:type="pct"/>
            <w:tcBorders>
              <w:top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5169B561" w14:textId="77777777">
            <w:pPr>
              <w:rPr>
                <w:sz w:val="20"/>
              </w:rPr>
            </w:pPr>
            <w:r w:rsidRPr="00677CBC">
              <w:rPr>
                <w:sz w:val="20"/>
              </w:rPr>
              <w:t>4/20/2022</w:t>
            </w:r>
          </w:p>
        </w:tc>
        <w:tc>
          <w:tcPr>
            <w:tcW w:w="905" w:type="pct"/>
            <w:tcBorders>
              <w:top w:val="double" w:sz="4" w:space="0" w:color="auto"/>
              <w:bottom w:val="double" w:sz="4" w:space="0" w:color="auto"/>
              <w:right w:val="single" w:sz="4" w:space="0" w:color="auto"/>
            </w:tcBorders>
            <w:tcMar>
              <w:top w:w="0" w:type="dxa"/>
              <w:left w:w="58" w:type="dxa"/>
              <w:bottom w:w="0" w:type="dxa"/>
              <w:right w:w="58" w:type="dxa"/>
            </w:tcMar>
            <w:vAlign w:val="center"/>
          </w:tcPr>
          <w:p w:rsidR="0032514E" w:rsidRPr="00677CBC" w:rsidP="00CB191E" w14:paraId="5F6021D4" w14:textId="77777777">
            <w:pPr>
              <w:rPr>
                <w:sz w:val="20"/>
              </w:rPr>
            </w:pPr>
            <w:r w:rsidRPr="00677CBC">
              <w:rPr>
                <w:sz w:val="20"/>
              </w:rPr>
              <w:t>7/7/2021</w:t>
            </w:r>
          </w:p>
        </w:tc>
        <w:tc>
          <w:tcPr>
            <w:tcW w:w="775" w:type="pct"/>
            <w:tcBorders>
              <w:top w:val="double" w:sz="4" w:space="0" w:color="auto"/>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05FEA8D2" w14:textId="77777777">
            <w:pPr>
              <w:rPr>
                <w:sz w:val="20"/>
              </w:rPr>
            </w:pPr>
            <w:r w:rsidRPr="00677CBC">
              <w:rPr>
                <w:sz w:val="20"/>
              </w:rPr>
              <w:t xml:space="preserve">Bluetooth required certification </w:t>
            </w:r>
          </w:p>
        </w:tc>
      </w:tr>
      <w:tr w14:paraId="5D2CA4DB"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18C829E9" w14:textId="77777777">
            <w:pPr>
              <w:jc w:val="center"/>
              <w:rPr>
                <w:b/>
                <w:bCs/>
                <w:sz w:val="20"/>
              </w:rPr>
            </w:pPr>
            <w:bookmarkStart w:id="199" w:name="_Hlk148712926"/>
            <w:r w:rsidRPr="00677CBC">
              <w:rPr>
                <w:b/>
                <w:bCs/>
                <w:sz w:val="20"/>
              </w:rPr>
              <w:t>7</w:t>
            </w:r>
          </w:p>
        </w:tc>
        <w:tc>
          <w:tcPr>
            <w:tcW w:w="847" w:type="pct"/>
            <w:tcBorders>
              <w:top w:val="double" w:sz="4" w:space="0" w:color="auto"/>
              <w:left w:val="double" w:sz="4" w:space="0" w:color="auto"/>
            </w:tcBorders>
            <w:shd w:val="clear" w:color="auto" w:fill="auto"/>
            <w:tcMar>
              <w:top w:w="0" w:type="dxa"/>
              <w:left w:w="58" w:type="dxa"/>
              <w:bottom w:w="0" w:type="dxa"/>
              <w:right w:w="58" w:type="dxa"/>
            </w:tcMar>
            <w:vAlign w:val="center"/>
            <w:hideMark/>
          </w:tcPr>
          <w:p w:rsidR="0032514E" w:rsidRPr="00677CBC" w:rsidP="00CB191E" w14:paraId="51FC91F5" w14:textId="77777777">
            <w:pPr>
              <w:rPr>
                <w:sz w:val="20"/>
              </w:rPr>
            </w:pPr>
            <w:r w:rsidRPr="00677CBC">
              <w:rPr>
                <w:sz w:val="20"/>
              </w:rPr>
              <w:t>PLMR91UB</w:t>
            </w:r>
          </w:p>
        </w:tc>
        <w:tc>
          <w:tcPr>
            <w:tcW w:w="838" w:type="pct"/>
            <w:tcBorders>
              <w:top w:val="double" w:sz="4" w:space="0" w:color="auto"/>
            </w:tcBorders>
            <w:shd w:val="clear" w:color="auto" w:fill="auto"/>
            <w:tcMar>
              <w:top w:w="0" w:type="dxa"/>
              <w:left w:w="58" w:type="dxa"/>
              <w:bottom w:w="0" w:type="dxa"/>
              <w:right w:w="58" w:type="dxa"/>
            </w:tcMar>
            <w:vAlign w:val="center"/>
            <w:hideMark/>
          </w:tcPr>
          <w:p w:rsidR="0032514E" w:rsidRPr="00677CBC" w:rsidP="00CB191E" w14:paraId="61783453" w14:textId="77777777">
            <w:pPr>
              <w:rPr>
                <w:sz w:val="20"/>
              </w:rPr>
            </w:pPr>
            <w:r w:rsidRPr="00677CBC">
              <w:rPr>
                <w:sz w:val="20"/>
              </w:rPr>
              <w:t>B01178KZ94</w:t>
            </w:r>
          </w:p>
        </w:tc>
        <w:tc>
          <w:tcPr>
            <w:tcW w:w="863" w:type="pct"/>
            <w:tcBorders>
              <w:top w:val="double" w:sz="4" w:space="0" w:color="auto"/>
            </w:tcBorders>
            <w:tcMar>
              <w:top w:w="0" w:type="dxa"/>
              <w:left w:w="58" w:type="dxa"/>
              <w:bottom w:w="0" w:type="dxa"/>
              <w:right w:w="58" w:type="dxa"/>
            </w:tcMar>
            <w:vAlign w:val="center"/>
          </w:tcPr>
          <w:p w:rsidR="0032514E" w:rsidRPr="00677CBC" w:rsidP="00CB191E" w14:paraId="5B7C4990" w14:textId="77777777">
            <w:pPr>
              <w:rPr>
                <w:sz w:val="20"/>
              </w:rPr>
            </w:pPr>
            <w:r w:rsidRPr="00677CBC">
              <w:rPr>
                <w:sz w:val="20"/>
              </w:rPr>
              <w:t>2A5X5-PLMR91UB</w:t>
            </w:r>
          </w:p>
        </w:tc>
        <w:tc>
          <w:tcPr>
            <w:tcW w:w="588" w:type="pct"/>
            <w:tcBorders>
              <w:top w:val="double" w:sz="4" w:space="0" w:color="auto"/>
            </w:tcBorders>
            <w:shd w:val="clear" w:color="auto" w:fill="auto"/>
            <w:tcMar>
              <w:top w:w="0" w:type="dxa"/>
              <w:left w:w="58" w:type="dxa"/>
              <w:bottom w:w="0" w:type="dxa"/>
              <w:right w:w="58" w:type="dxa"/>
            </w:tcMar>
            <w:vAlign w:val="center"/>
            <w:hideMark/>
          </w:tcPr>
          <w:p w:rsidR="0032514E" w:rsidRPr="00677CBC" w:rsidP="00CB191E" w14:paraId="4A1F0B5A" w14:textId="77777777">
            <w:pPr>
              <w:rPr>
                <w:sz w:val="20"/>
              </w:rPr>
            </w:pPr>
            <w:r w:rsidRPr="00677CBC">
              <w:rPr>
                <w:sz w:val="20"/>
              </w:rPr>
              <w:t>8/5/2022</w:t>
            </w:r>
          </w:p>
        </w:tc>
        <w:tc>
          <w:tcPr>
            <w:tcW w:w="905" w:type="pct"/>
            <w:tcBorders>
              <w:top w:val="double" w:sz="4" w:space="0" w:color="auto"/>
              <w:right w:val="single" w:sz="4" w:space="0" w:color="auto"/>
            </w:tcBorders>
            <w:tcMar>
              <w:top w:w="0" w:type="dxa"/>
              <w:left w:w="58" w:type="dxa"/>
              <w:bottom w:w="0" w:type="dxa"/>
              <w:right w:w="58" w:type="dxa"/>
            </w:tcMar>
            <w:vAlign w:val="center"/>
          </w:tcPr>
          <w:p w:rsidR="0032514E" w:rsidRPr="00677CBC" w:rsidP="00CB191E" w14:paraId="24036712" w14:textId="77777777">
            <w:pPr>
              <w:rPr>
                <w:sz w:val="20"/>
              </w:rPr>
            </w:pPr>
            <w:r w:rsidRPr="00677CBC">
              <w:rPr>
                <w:sz w:val="20"/>
              </w:rPr>
              <w:t>7/27/2022</w:t>
            </w:r>
          </w:p>
        </w:tc>
        <w:tc>
          <w:tcPr>
            <w:tcW w:w="775" w:type="pct"/>
            <w:tcBorders>
              <w:top w:val="double" w:sz="4" w:space="0" w:color="auto"/>
              <w:left w:val="single" w:sz="4" w:space="0" w:color="auto"/>
            </w:tcBorders>
            <w:shd w:val="clear" w:color="auto" w:fill="auto"/>
            <w:tcMar>
              <w:top w:w="0" w:type="dxa"/>
              <w:left w:w="58" w:type="dxa"/>
              <w:bottom w:w="0" w:type="dxa"/>
              <w:right w:w="58" w:type="dxa"/>
            </w:tcMar>
            <w:vAlign w:val="center"/>
          </w:tcPr>
          <w:p w:rsidR="0032514E" w:rsidRPr="00677CBC" w:rsidP="00CB191E" w14:paraId="3195DC2E" w14:textId="77777777">
            <w:pPr>
              <w:rPr>
                <w:sz w:val="20"/>
              </w:rPr>
            </w:pPr>
            <w:r w:rsidRPr="00677CBC">
              <w:rPr>
                <w:sz w:val="20"/>
              </w:rPr>
              <w:t xml:space="preserve">Bluetooth required certification </w:t>
            </w:r>
          </w:p>
        </w:tc>
      </w:tr>
      <w:bookmarkEnd w:id="199"/>
      <w:tr w14:paraId="481D4157" w14:textId="77777777" w:rsidTr="00CB191E">
        <w:tblPrEx>
          <w:tblW w:w="5000" w:type="pct"/>
          <w:jc w:val="center"/>
          <w:tblLayout w:type="fixed"/>
          <w:tblLook w:val="04A0"/>
        </w:tblPrEx>
        <w:trPr>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14BD3EBA" w14:textId="77777777">
            <w:pPr>
              <w:jc w:val="center"/>
              <w:rPr>
                <w:b/>
                <w:bCs/>
                <w:sz w:val="20"/>
              </w:rPr>
            </w:pPr>
            <w:r w:rsidRPr="00677CBC">
              <w:rPr>
                <w:b/>
                <w:bCs/>
                <w:sz w:val="20"/>
              </w:rPr>
              <w:t>8</w:t>
            </w: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3B1C1EE4" w14:textId="77777777">
            <w:pPr>
              <w:rPr>
                <w:sz w:val="20"/>
              </w:rPr>
            </w:pPr>
            <w:r w:rsidRPr="00677CBC">
              <w:rPr>
                <w:sz w:val="20"/>
              </w:rPr>
              <w:t>PLUTV46BTA</w:t>
            </w:r>
          </w:p>
        </w:tc>
        <w:tc>
          <w:tcPr>
            <w:tcW w:w="838" w:type="pct"/>
            <w:shd w:val="clear" w:color="auto" w:fill="auto"/>
            <w:tcMar>
              <w:top w:w="0" w:type="dxa"/>
              <w:left w:w="58" w:type="dxa"/>
              <w:bottom w:w="0" w:type="dxa"/>
              <w:right w:w="58" w:type="dxa"/>
            </w:tcMar>
            <w:vAlign w:val="center"/>
            <w:hideMark/>
          </w:tcPr>
          <w:p w:rsidR="0032514E" w:rsidRPr="00677CBC" w:rsidP="00CB191E" w14:paraId="40D9E8F2" w14:textId="77777777">
            <w:pPr>
              <w:rPr>
                <w:sz w:val="20"/>
              </w:rPr>
            </w:pPr>
            <w:r w:rsidRPr="00677CBC">
              <w:rPr>
                <w:sz w:val="20"/>
              </w:rPr>
              <w:t>B07XQLB9B5</w:t>
            </w:r>
          </w:p>
        </w:tc>
        <w:tc>
          <w:tcPr>
            <w:tcW w:w="863" w:type="pct"/>
            <w:vMerge w:val="restart"/>
            <w:tcMar>
              <w:top w:w="0" w:type="dxa"/>
              <w:left w:w="58" w:type="dxa"/>
              <w:bottom w:w="0" w:type="dxa"/>
              <w:right w:w="58" w:type="dxa"/>
            </w:tcMar>
            <w:vAlign w:val="center"/>
          </w:tcPr>
          <w:p w:rsidR="0032514E" w:rsidRPr="00677CBC" w:rsidP="00CB191E" w14:paraId="02CA56C6" w14:textId="77777777">
            <w:pPr>
              <w:rPr>
                <w:sz w:val="20"/>
              </w:rPr>
            </w:pPr>
            <w:r w:rsidRPr="00677CBC">
              <w:rPr>
                <w:sz w:val="20"/>
              </w:rPr>
              <w:t>2A5X5-PLMRBT18</w:t>
            </w:r>
          </w:p>
        </w:tc>
        <w:tc>
          <w:tcPr>
            <w:tcW w:w="588" w:type="pct"/>
            <w:vMerge w:val="restart"/>
            <w:shd w:val="clear" w:color="auto" w:fill="auto"/>
            <w:tcMar>
              <w:top w:w="0" w:type="dxa"/>
              <w:left w:w="58" w:type="dxa"/>
              <w:bottom w:w="0" w:type="dxa"/>
              <w:right w:w="58" w:type="dxa"/>
            </w:tcMar>
            <w:vAlign w:val="center"/>
            <w:hideMark/>
          </w:tcPr>
          <w:p w:rsidR="0032514E" w:rsidRPr="00677CBC" w:rsidP="00CB191E" w14:paraId="276F88A7" w14:textId="77777777">
            <w:pPr>
              <w:rPr>
                <w:sz w:val="20"/>
              </w:rPr>
            </w:pPr>
            <w:r w:rsidRPr="00677CBC">
              <w:rPr>
                <w:sz w:val="20"/>
              </w:rPr>
              <w:t>4/19/2022</w:t>
            </w: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7CDA3446" w14:textId="77777777">
            <w:pPr>
              <w:rPr>
                <w:sz w:val="20"/>
              </w:rPr>
            </w:pPr>
            <w:r w:rsidRPr="00677CBC">
              <w:rPr>
                <w:sz w:val="20"/>
              </w:rPr>
              <w:t>10/21/2022 [date provided by Company appears inaccurate]</w:t>
            </w:r>
          </w:p>
          <w:p w:rsidR="0032514E" w:rsidRPr="00677CBC" w:rsidP="00CB191E" w14:paraId="5A146ED1" w14:textId="77777777">
            <w:pPr>
              <w:rPr>
                <w:sz w:val="20"/>
              </w:rPr>
            </w:pPr>
          </w:p>
          <w:p w:rsidR="0032514E" w:rsidRPr="00677CBC" w:rsidP="00CB191E" w14:paraId="5CEC3ED6" w14:textId="77777777">
            <w:pPr>
              <w:rPr>
                <w:sz w:val="20"/>
              </w:rPr>
            </w:pPr>
            <w:r w:rsidRPr="00677CBC">
              <w:rPr>
                <w:sz w:val="20"/>
              </w:rPr>
              <w:t>Amazon Date First Available September 10, 2019</w:t>
            </w:r>
          </w:p>
        </w:tc>
        <w:tc>
          <w:tcPr>
            <w:tcW w:w="775" w:type="pct"/>
            <w:vMerge w:val="restart"/>
            <w:tcBorders>
              <w:left w:val="single" w:sz="4" w:space="0" w:color="auto"/>
            </w:tcBorders>
            <w:shd w:val="clear" w:color="auto" w:fill="auto"/>
            <w:tcMar>
              <w:top w:w="0" w:type="dxa"/>
              <w:left w:w="58" w:type="dxa"/>
              <w:bottom w:w="0" w:type="dxa"/>
              <w:right w:w="58" w:type="dxa"/>
            </w:tcMar>
            <w:vAlign w:val="center"/>
          </w:tcPr>
          <w:p w:rsidR="0032514E" w:rsidRPr="00677CBC" w:rsidP="00CB191E" w14:paraId="6E337BB2" w14:textId="77777777">
            <w:pPr>
              <w:rPr>
                <w:sz w:val="20"/>
              </w:rPr>
            </w:pPr>
            <w:r w:rsidRPr="00677CBC">
              <w:rPr>
                <w:sz w:val="20"/>
              </w:rPr>
              <w:t xml:space="preserve">Bluetooth required certification </w:t>
            </w:r>
          </w:p>
        </w:tc>
      </w:tr>
      <w:tr w14:paraId="7B8C78E7"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2560932E" w14:textId="77777777">
            <w:pPr>
              <w:jc w:val="center"/>
              <w:rPr>
                <w:b/>
                <w:bCs/>
                <w:sz w:val="20"/>
              </w:rPr>
            </w:pPr>
          </w:p>
        </w:tc>
        <w:tc>
          <w:tcPr>
            <w:tcW w:w="847" w:type="pct"/>
            <w:tcBorders>
              <w:left w:val="doub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04FB06C2" w14:textId="77777777">
            <w:pPr>
              <w:rPr>
                <w:sz w:val="20"/>
              </w:rPr>
            </w:pPr>
            <w:r w:rsidRPr="00677CBC">
              <w:rPr>
                <w:sz w:val="20"/>
              </w:rPr>
              <w:t>PLUTV48KBTR</w:t>
            </w:r>
          </w:p>
        </w:tc>
        <w:tc>
          <w:tcPr>
            <w:tcW w:w="838" w:type="pct"/>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2D3EF90D" w14:textId="77777777">
            <w:pPr>
              <w:rPr>
                <w:sz w:val="20"/>
              </w:rPr>
            </w:pPr>
            <w:r w:rsidRPr="00677CBC">
              <w:rPr>
                <w:sz w:val="20"/>
              </w:rPr>
              <w:t>B08FKRFDM1</w:t>
            </w:r>
          </w:p>
        </w:tc>
        <w:tc>
          <w:tcPr>
            <w:tcW w:w="863" w:type="pct"/>
            <w:vMerge/>
            <w:tcBorders>
              <w:bottom w:val="double" w:sz="4" w:space="0" w:color="auto"/>
            </w:tcBorders>
            <w:tcMar>
              <w:top w:w="0" w:type="dxa"/>
              <w:left w:w="58" w:type="dxa"/>
              <w:bottom w:w="0" w:type="dxa"/>
              <w:right w:w="58" w:type="dxa"/>
            </w:tcMar>
            <w:vAlign w:val="center"/>
          </w:tcPr>
          <w:p w:rsidR="0032514E" w:rsidRPr="00677CBC" w:rsidP="00CB191E" w14:paraId="63E52084" w14:textId="77777777">
            <w:pPr>
              <w:rPr>
                <w:sz w:val="20"/>
              </w:rPr>
            </w:pPr>
          </w:p>
        </w:tc>
        <w:tc>
          <w:tcPr>
            <w:tcW w:w="588" w:type="pct"/>
            <w:vMerge/>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681D5C04" w14:textId="77777777">
            <w:pPr>
              <w:rPr>
                <w:sz w:val="20"/>
              </w:rPr>
            </w:pPr>
          </w:p>
        </w:tc>
        <w:tc>
          <w:tcPr>
            <w:tcW w:w="905" w:type="pct"/>
            <w:tcBorders>
              <w:bottom w:val="double" w:sz="4" w:space="0" w:color="auto"/>
              <w:right w:val="single" w:sz="4" w:space="0" w:color="auto"/>
            </w:tcBorders>
            <w:tcMar>
              <w:top w:w="0" w:type="dxa"/>
              <w:left w:w="58" w:type="dxa"/>
              <w:bottom w:w="0" w:type="dxa"/>
              <w:right w:w="58" w:type="dxa"/>
            </w:tcMar>
            <w:vAlign w:val="center"/>
          </w:tcPr>
          <w:p w:rsidR="0032514E" w:rsidRPr="00677CBC" w:rsidP="00CB191E" w14:paraId="495FED27" w14:textId="77777777">
            <w:pPr>
              <w:rPr>
                <w:sz w:val="20"/>
              </w:rPr>
            </w:pPr>
            <w:r w:rsidRPr="00677CBC">
              <w:rPr>
                <w:sz w:val="20"/>
              </w:rPr>
              <w:t>10/21/2022 [date provided by Company appears inaccurate]</w:t>
            </w:r>
          </w:p>
          <w:p w:rsidR="0032514E" w:rsidRPr="00677CBC" w:rsidP="00CB191E" w14:paraId="0019D9FF" w14:textId="77777777">
            <w:pPr>
              <w:rPr>
                <w:sz w:val="20"/>
              </w:rPr>
            </w:pPr>
          </w:p>
          <w:p w:rsidR="0032514E" w:rsidRPr="00677CBC" w:rsidP="00CB191E" w14:paraId="7ACCC388" w14:textId="77777777">
            <w:pPr>
              <w:rPr>
                <w:sz w:val="20"/>
              </w:rPr>
            </w:pPr>
            <w:r w:rsidRPr="00677CBC">
              <w:rPr>
                <w:sz w:val="20"/>
              </w:rPr>
              <w:t>Amazon Date First Available August 10, 2020</w:t>
            </w:r>
          </w:p>
        </w:tc>
        <w:tc>
          <w:tcPr>
            <w:tcW w:w="775" w:type="pct"/>
            <w:vMerge/>
            <w:tcBorders>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1C762595" w14:textId="77777777">
            <w:pPr>
              <w:rPr>
                <w:sz w:val="20"/>
              </w:rPr>
            </w:pPr>
          </w:p>
        </w:tc>
      </w:tr>
      <w:tr w14:paraId="31A57D68"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57072376" w14:textId="77777777">
            <w:pPr>
              <w:jc w:val="center"/>
              <w:rPr>
                <w:b/>
                <w:bCs/>
                <w:sz w:val="20"/>
              </w:rPr>
            </w:pPr>
            <w:r w:rsidRPr="00677CBC">
              <w:rPr>
                <w:b/>
                <w:bCs/>
                <w:sz w:val="20"/>
              </w:rPr>
              <w:t>9</w:t>
            </w:r>
          </w:p>
        </w:tc>
        <w:tc>
          <w:tcPr>
            <w:tcW w:w="847" w:type="pct"/>
            <w:tcBorders>
              <w:top w:val="double" w:sz="4" w:space="0" w:color="auto"/>
              <w:left w:val="double" w:sz="4" w:space="0" w:color="auto"/>
            </w:tcBorders>
            <w:shd w:val="clear" w:color="auto" w:fill="auto"/>
            <w:tcMar>
              <w:top w:w="0" w:type="dxa"/>
              <w:left w:w="58" w:type="dxa"/>
              <w:bottom w:w="0" w:type="dxa"/>
              <w:right w:w="58" w:type="dxa"/>
            </w:tcMar>
            <w:vAlign w:val="center"/>
            <w:hideMark/>
          </w:tcPr>
          <w:p w:rsidR="0032514E" w:rsidRPr="00677CBC" w:rsidP="00CB191E" w14:paraId="47E85549" w14:textId="77777777">
            <w:pPr>
              <w:rPr>
                <w:sz w:val="20"/>
              </w:rPr>
            </w:pPr>
            <w:r w:rsidRPr="00677CBC">
              <w:rPr>
                <w:sz w:val="20"/>
              </w:rPr>
              <w:t>PLCDBT65MRW</w:t>
            </w:r>
          </w:p>
        </w:tc>
        <w:tc>
          <w:tcPr>
            <w:tcW w:w="838" w:type="pct"/>
            <w:tcBorders>
              <w:top w:val="double" w:sz="4" w:space="0" w:color="auto"/>
            </w:tcBorders>
            <w:shd w:val="clear" w:color="auto" w:fill="auto"/>
            <w:tcMar>
              <w:top w:w="0" w:type="dxa"/>
              <w:left w:w="58" w:type="dxa"/>
              <w:bottom w:w="0" w:type="dxa"/>
              <w:right w:w="58" w:type="dxa"/>
            </w:tcMar>
            <w:vAlign w:val="center"/>
            <w:hideMark/>
          </w:tcPr>
          <w:p w:rsidR="0032514E" w:rsidRPr="00677CBC" w:rsidP="00CB191E" w14:paraId="371CAF2E" w14:textId="77777777">
            <w:pPr>
              <w:rPr>
                <w:sz w:val="20"/>
              </w:rPr>
            </w:pPr>
            <w:r w:rsidRPr="00677CBC">
              <w:rPr>
                <w:sz w:val="20"/>
              </w:rPr>
              <w:t>B01M7PFU2O</w:t>
            </w:r>
          </w:p>
        </w:tc>
        <w:tc>
          <w:tcPr>
            <w:tcW w:w="863" w:type="pct"/>
            <w:vMerge w:val="restart"/>
            <w:tcBorders>
              <w:top w:val="double" w:sz="4" w:space="0" w:color="auto"/>
            </w:tcBorders>
            <w:tcMar>
              <w:top w:w="0" w:type="dxa"/>
              <w:left w:w="58" w:type="dxa"/>
              <w:bottom w:w="0" w:type="dxa"/>
              <w:right w:w="58" w:type="dxa"/>
            </w:tcMar>
            <w:vAlign w:val="center"/>
          </w:tcPr>
          <w:p w:rsidR="0032514E" w:rsidRPr="00677CBC" w:rsidP="00CB191E" w14:paraId="6279537F" w14:textId="77777777">
            <w:pPr>
              <w:rPr>
                <w:sz w:val="20"/>
              </w:rPr>
            </w:pPr>
            <w:r w:rsidRPr="00677CBC">
              <w:rPr>
                <w:sz w:val="20"/>
              </w:rPr>
              <w:t>2A5X5-PLRVSD300</w:t>
            </w:r>
          </w:p>
        </w:tc>
        <w:tc>
          <w:tcPr>
            <w:tcW w:w="588" w:type="pct"/>
            <w:vMerge w:val="restart"/>
            <w:tcBorders>
              <w:top w:val="double" w:sz="4" w:space="0" w:color="auto"/>
            </w:tcBorders>
            <w:shd w:val="clear" w:color="auto" w:fill="auto"/>
            <w:tcMar>
              <w:top w:w="0" w:type="dxa"/>
              <w:left w:w="58" w:type="dxa"/>
              <w:bottom w:w="0" w:type="dxa"/>
              <w:right w:w="58" w:type="dxa"/>
            </w:tcMar>
            <w:vAlign w:val="center"/>
            <w:hideMark/>
          </w:tcPr>
          <w:p w:rsidR="0032514E" w:rsidRPr="00677CBC" w:rsidP="00CB191E" w14:paraId="63851C88" w14:textId="77777777">
            <w:pPr>
              <w:rPr>
                <w:sz w:val="20"/>
              </w:rPr>
            </w:pPr>
            <w:r w:rsidRPr="00677CBC">
              <w:rPr>
                <w:sz w:val="20"/>
              </w:rPr>
              <w:t>8/4/2022</w:t>
            </w:r>
          </w:p>
        </w:tc>
        <w:tc>
          <w:tcPr>
            <w:tcW w:w="905" w:type="pct"/>
            <w:tcBorders>
              <w:top w:val="double" w:sz="4" w:space="0" w:color="auto"/>
              <w:right w:val="single" w:sz="4" w:space="0" w:color="auto"/>
            </w:tcBorders>
            <w:tcMar>
              <w:top w:w="0" w:type="dxa"/>
              <w:left w:w="58" w:type="dxa"/>
              <w:bottom w:w="0" w:type="dxa"/>
              <w:right w:w="58" w:type="dxa"/>
            </w:tcMar>
            <w:vAlign w:val="center"/>
          </w:tcPr>
          <w:p w:rsidR="0032514E" w:rsidRPr="00677CBC" w:rsidP="00CB191E" w14:paraId="04A46EBE" w14:textId="77777777">
            <w:pPr>
              <w:rPr>
                <w:sz w:val="20"/>
              </w:rPr>
            </w:pPr>
            <w:r w:rsidRPr="00677CBC">
              <w:rPr>
                <w:sz w:val="20"/>
              </w:rPr>
              <w:t>4/15/2022</w:t>
            </w:r>
          </w:p>
        </w:tc>
        <w:tc>
          <w:tcPr>
            <w:tcW w:w="775" w:type="pct"/>
            <w:vMerge w:val="restart"/>
            <w:tcBorders>
              <w:top w:val="double" w:sz="4" w:space="0" w:color="auto"/>
              <w:left w:val="single" w:sz="4" w:space="0" w:color="auto"/>
            </w:tcBorders>
            <w:shd w:val="clear" w:color="auto" w:fill="auto"/>
            <w:tcMar>
              <w:top w:w="0" w:type="dxa"/>
              <w:left w:w="58" w:type="dxa"/>
              <w:bottom w:w="0" w:type="dxa"/>
              <w:right w:w="58" w:type="dxa"/>
            </w:tcMar>
            <w:vAlign w:val="center"/>
          </w:tcPr>
          <w:p w:rsidR="0032514E" w:rsidRPr="00677CBC" w:rsidP="00CB191E" w14:paraId="333920A1" w14:textId="77777777">
            <w:pPr>
              <w:rPr>
                <w:sz w:val="20"/>
              </w:rPr>
            </w:pPr>
            <w:r w:rsidRPr="00677CBC">
              <w:rPr>
                <w:sz w:val="20"/>
              </w:rPr>
              <w:t xml:space="preserve">Bluetooth required certification </w:t>
            </w:r>
          </w:p>
        </w:tc>
      </w:tr>
      <w:tr w14:paraId="788C1528"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34C8CC1C"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164B1309" w14:textId="77777777">
            <w:pPr>
              <w:rPr>
                <w:sz w:val="20"/>
              </w:rPr>
            </w:pPr>
            <w:r w:rsidRPr="00677CBC">
              <w:rPr>
                <w:sz w:val="20"/>
              </w:rPr>
              <w:t>PLCDBT75MRB</w:t>
            </w:r>
          </w:p>
        </w:tc>
        <w:tc>
          <w:tcPr>
            <w:tcW w:w="838" w:type="pct"/>
            <w:shd w:val="clear" w:color="auto" w:fill="auto"/>
            <w:tcMar>
              <w:top w:w="0" w:type="dxa"/>
              <w:left w:w="58" w:type="dxa"/>
              <w:bottom w:w="0" w:type="dxa"/>
              <w:right w:w="58" w:type="dxa"/>
            </w:tcMar>
            <w:vAlign w:val="center"/>
            <w:hideMark/>
          </w:tcPr>
          <w:p w:rsidR="0032514E" w:rsidRPr="00677CBC" w:rsidP="00CB191E" w14:paraId="5925F0F9" w14:textId="77777777">
            <w:pPr>
              <w:rPr>
                <w:sz w:val="20"/>
              </w:rPr>
            </w:pPr>
            <w:r w:rsidRPr="00677CBC">
              <w:rPr>
                <w:sz w:val="20"/>
              </w:rPr>
              <w:t>B01M9ANUVA</w:t>
            </w:r>
          </w:p>
        </w:tc>
        <w:tc>
          <w:tcPr>
            <w:tcW w:w="863" w:type="pct"/>
            <w:vMerge/>
            <w:tcMar>
              <w:top w:w="0" w:type="dxa"/>
              <w:left w:w="58" w:type="dxa"/>
              <w:bottom w:w="0" w:type="dxa"/>
              <w:right w:w="58" w:type="dxa"/>
            </w:tcMar>
            <w:vAlign w:val="center"/>
          </w:tcPr>
          <w:p w:rsidR="0032514E" w:rsidRPr="00677CBC" w:rsidP="00CB191E" w14:paraId="1F9A5CD9"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7FE8A2E1"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1ABD9ED5" w14:textId="77777777">
            <w:pPr>
              <w:rPr>
                <w:sz w:val="20"/>
              </w:rPr>
            </w:pPr>
            <w:r w:rsidRPr="00677CBC">
              <w:rPr>
                <w:sz w:val="20"/>
              </w:rPr>
              <w:t>4/15/2022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7783060D" w14:textId="77777777">
            <w:pPr>
              <w:rPr>
                <w:sz w:val="20"/>
              </w:rPr>
            </w:pPr>
          </w:p>
        </w:tc>
      </w:tr>
      <w:tr w14:paraId="382F8C3E"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3114AA3A"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00D32EF1" w14:textId="77777777">
            <w:pPr>
              <w:rPr>
                <w:sz w:val="20"/>
              </w:rPr>
            </w:pPr>
            <w:r w:rsidRPr="00677CBC">
              <w:rPr>
                <w:sz w:val="20"/>
              </w:rPr>
              <w:t>PLCDBT85MRW</w:t>
            </w:r>
          </w:p>
        </w:tc>
        <w:tc>
          <w:tcPr>
            <w:tcW w:w="838" w:type="pct"/>
            <w:shd w:val="clear" w:color="auto" w:fill="auto"/>
            <w:tcMar>
              <w:top w:w="0" w:type="dxa"/>
              <w:left w:w="58" w:type="dxa"/>
              <w:bottom w:w="0" w:type="dxa"/>
              <w:right w:w="58" w:type="dxa"/>
            </w:tcMar>
            <w:vAlign w:val="center"/>
            <w:hideMark/>
          </w:tcPr>
          <w:p w:rsidR="0032514E" w:rsidRPr="00677CBC" w:rsidP="00CB191E" w14:paraId="40BC8C0C" w14:textId="77777777">
            <w:pPr>
              <w:rPr>
                <w:sz w:val="20"/>
              </w:rPr>
            </w:pPr>
            <w:r w:rsidRPr="00677CBC">
              <w:rPr>
                <w:sz w:val="20"/>
              </w:rPr>
              <w:t>B01M2WZ31X</w:t>
            </w:r>
          </w:p>
        </w:tc>
        <w:tc>
          <w:tcPr>
            <w:tcW w:w="863" w:type="pct"/>
            <w:vMerge/>
            <w:tcMar>
              <w:top w:w="0" w:type="dxa"/>
              <w:left w:w="58" w:type="dxa"/>
              <w:bottom w:w="0" w:type="dxa"/>
              <w:right w:w="58" w:type="dxa"/>
            </w:tcMar>
            <w:vAlign w:val="center"/>
          </w:tcPr>
          <w:p w:rsidR="0032514E" w:rsidRPr="00677CBC" w:rsidP="00CB191E" w14:paraId="1C55808E"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17317E83"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60CF2089" w14:textId="77777777">
            <w:pPr>
              <w:rPr>
                <w:sz w:val="20"/>
              </w:rPr>
            </w:pPr>
            <w:r w:rsidRPr="00677CBC">
              <w:rPr>
                <w:sz w:val="20"/>
              </w:rPr>
              <w:t>4/15/2022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05200369" w14:textId="77777777">
            <w:pPr>
              <w:rPr>
                <w:sz w:val="20"/>
              </w:rPr>
            </w:pPr>
          </w:p>
        </w:tc>
      </w:tr>
      <w:tr w14:paraId="159B89BE"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1323E9BD"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63CAA883" w14:textId="77777777">
            <w:pPr>
              <w:rPr>
                <w:sz w:val="20"/>
              </w:rPr>
            </w:pPr>
            <w:r w:rsidRPr="00677CBC">
              <w:rPr>
                <w:sz w:val="20"/>
              </w:rPr>
              <w:t>PLCDBT95MRB</w:t>
            </w:r>
          </w:p>
        </w:tc>
        <w:tc>
          <w:tcPr>
            <w:tcW w:w="838" w:type="pct"/>
            <w:shd w:val="clear" w:color="auto" w:fill="auto"/>
            <w:tcMar>
              <w:top w:w="0" w:type="dxa"/>
              <w:left w:w="58" w:type="dxa"/>
              <w:bottom w:w="0" w:type="dxa"/>
              <w:right w:w="58" w:type="dxa"/>
            </w:tcMar>
            <w:vAlign w:val="center"/>
            <w:hideMark/>
          </w:tcPr>
          <w:p w:rsidR="0032514E" w:rsidRPr="00677CBC" w:rsidP="00CB191E" w14:paraId="70AF93E9" w14:textId="77777777">
            <w:pPr>
              <w:rPr>
                <w:sz w:val="20"/>
              </w:rPr>
            </w:pPr>
            <w:r w:rsidRPr="00677CBC">
              <w:rPr>
                <w:sz w:val="20"/>
              </w:rPr>
              <w:t>B01MA3F8EP</w:t>
            </w:r>
          </w:p>
        </w:tc>
        <w:tc>
          <w:tcPr>
            <w:tcW w:w="863" w:type="pct"/>
            <w:vMerge/>
            <w:tcMar>
              <w:top w:w="0" w:type="dxa"/>
              <w:left w:w="58" w:type="dxa"/>
              <w:bottom w:w="0" w:type="dxa"/>
              <w:right w:w="58" w:type="dxa"/>
            </w:tcMar>
            <w:vAlign w:val="center"/>
          </w:tcPr>
          <w:p w:rsidR="0032514E" w:rsidRPr="00677CBC" w:rsidP="00CB191E" w14:paraId="1ACA482F"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5D3FF456"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798D6918" w14:textId="77777777">
            <w:pPr>
              <w:rPr>
                <w:sz w:val="20"/>
              </w:rPr>
            </w:pPr>
            <w:r w:rsidRPr="00677CBC">
              <w:rPr>
                <w:sz w:val="20"/>
              </w:rPr>
              <w:t>4/15/2022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4105C677" w14:textId="77777777">
            <w:pPr>
              <w:rPr>
                <w:sz w:val="20"/>
              </w:rPr>
            </w:pPr>
          </w:p>
        </w:tc>
      </w:tr>
      <w:tr w14:paraId="0D123BE9"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0AFFEE95"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17707238" w14:textId="77777777">
            <w:pPr>
              <w:rPr>
                <w:sz w:val="20"/>
              </w:rPr>
            </w:pPr>
            <w:r w:rsidRPr="00677CBC">
              <w:rPr>
                <w:sz w:val="20"/>
              </w:rPr>
              <w:t>PLMR14BW</w:t>
            </w:r>
          </w:p>
        </w:tc>
        <w:tc>
          <w:tcPr>
            <w:tcW w:w="838" w:type="pct"/>
            <w:shd w:val="clear" w:color="auto" w:fill="auto"/>
            <w:tcMar>
              <w:top w:w="0" w:type="dxa"/>
              <w:left w:w="58" w:type="dxa"/>
              <w:bottom w:w="0" w:type="dxa"/>
              <w:right w:w="58" w:type="dxa"/>
            </w:tcMar>
            <w:vAlign w:val="center"/>
            <w:hideMark/>
          </w:tcPr>
          <w:p w:rsidR="0032514E" w:rsidRPr="00677CBC" w:rsidP="00CB191E" w14:paraId="4FDA88A3" w14:textId="77777777">
            <w:pPr>
              <w:rPr>
                <w:sz w:val="20"/>
              </w:rPr>
            </w:pPr>
            <w:r w:rsidRPr="00677CBC">
              <w:rPr>
                <w:sz w:val="20"/>
              </w:rPr>
              <w:t>B01MQCHPDT</w:t>
            </w:r>
          </w:p>
        </w:tc>
        <w:tc>
          <w:tcPr>
            <w:tcW w:w="863" w:type="pct"/>
            <w:vMerge/>
            <w:tcMar>
              <w:top w:w="0" w:type="dxa"/>
              <w:left w:w="58" w:type="dxa"/>
              <w:bottom w:w="0" w:type="dxa"/>
              <w:right w:w="58" w:type="dxa"/>
            </w:tcMar>
            <w:vAlign w:val="center"/>
          </w:tcPr>
          <w:p w:rsidR="0032514E" w:rsidRPr="00677CBC" w:rsidP="00CB191E" w14:paraId="0DB8BB32"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02F228D0"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1F145728" w14:textId="77777777">
            <w:pPr>
              <w:rPr>
                <w:sz w:val="20"/>
              </w:rPr>
            </w:pPr>
            <w:r w:rsidRPr="00677CBC">
              <w:rPr>
                <w:sz w:val="20"/>
              </w:rPr>
              <w:t>4/15/2022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6A6057B9" w14:textId="77777777">
            <w:pPr>
              <w:rPr>
                <w:sz w:val="20"/>
              </w:rPr>
            </w:pPr>
          </w:p>
        </w:tc>
      </w:tr>
      <w:tr w14:paraId="0EA7AA50"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0F911C1C"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4CF01611" w14:textId="77777777">
            <w:pPr>
              <w:rPr>
                <w:sz w:val="20"/>
              </w:rPr>
            </w:pPr>
            <w:r w:rsidRPr="00677CBC">
              <w:rPr>
                <w:sz w:val="20"/>
              </w:rPr>
              <w:t>PLMRKT33WT</w:t>
            </w:r>
          </w:p>
        </w:tc>
        <w:tc>
          <w:tcPr>
            <w:tcW w:w="838" w:type="pct"/>
            <w:shd w:val="clear" w:color="auto" w:fill="auto"/>
            <w:tcMar>
              <w:top w:w="0" w:type="dxa"/>
              <w:left w:w="58" w:type="dxa"/>
              <w:bottom w:w="0" w:type="dxa"/>
              <w:right w:w="58" w:type="dxa"/>
            </w:tcMar>
            <w:vAlign w:val="center"/>
            <w:hideMark/>
          </w:tcPr>
          <w:p w:rsidR="0032514E" w:rsidRPr="00677CBC" w:rsidP="00CB191E" w14:paraId="318B7759" w14:textId="77777777">
            <w:pPr>
              <w:rPr>
                <w:sz w:val="20"/>
              </w:rPr>
            </w:pPr>
            <w:r w:rsidRPr="00677CBC">
              <w:rPr>
                <w:sz w:val="20"/>
              </w:rPr>
              <w:t>B002J9GHKC</w:t>
            </w:r>
          </w:p>
        </w:tc>
        <w:tc>
          <w:tcPr>
            <w:tcW w:w="863" w:type="pct"/>
            <w:vMerge/>
            <w:tcMar>
              <w:top w:w="0" w:type="dxa"/>
              <w:left w:w="58" w:type="dxa"/>
              <w:bottom w:w="0" w:type="dxa"/>
              <w:right w:w="58" w:type="dxa"/>
            </w:tcMar>
            <w:vAlign w:val="center"/>
          </w:tcPr>
          <w:p w:rsidR="0032514E" w:rsidRPr="00677CBC" w:rsidP="00CB191E" w14:paraId="4E6E5DC2"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7B0FBFCD"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263E23FE" w14:textId="77777777">
            <w:pPr>
              <w:rPr>
                <w:sz w:val="20"/>
              </w:rPr>
            </w:pPr>
            <w:r w:rsidRPr="00677CBC">
              <w:rPr>
                <w:sz w:val="20"/>
              </w:rPr>
              <w:t>4/15/2022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38F79F51" w14:textId="77777777">
            <w:pPr>
              <w:rPr>
                <w:sz w:val="20"/>
              </w:rPr>
            </w:pPr>
          </w:p>
        </w:tc>
      </w:tr>
      <w:tr w14:paraId="61150C6D"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513D8844" w14:textId="77777777">
            <w:pPr>
              <w:jc w:val="center"/>
              <w:rPr>
                <w:b/>
                <w:bCs/>
                <w:sz w:val="20"/>
              </w:rPr>
            </w:pPr>
          </w:p>
        </w:tc>
        <w:tc>
          <w:tcPr>
            <w:tcW w:w="847" w:type="pct"/>
            <w:tcBorders>
              <w:left w:val="double" w:sz="4" w:space="0" w:color="auto"/>
            </w:tcBorders>
            <w:shd w:val="clear" w:color="auto" w:fill="auto"/>
            <w:tcMar>
              <w:top w:w="0" w:type="dxa"/>
              <w:left w:w="58" w:type="dxa"/>
              <w:bottom w:w="0" w:type="dxa"/>
              <w:right w:w="58" w:type="dxa"/>
            </w:tcMar>
            <w:vAlign w:val="center"/>
            <w:hideMark/>
          </w:tcPr>
          <w:p w:rsidR="0032514E" w:rsidRPr="00677CBC" w:rsidP="00CB191E" w14:paraId="40A1844D" w14:textId="77777777">
            <w:pPr>
              <w:rPr>
                <w:sz w:val="20"/>
              </w:rPr>
            </w:pPr>
            <w:r w:rsidRPr="00677CBC">
              <w:rPr>
                <w:sz w:val="20"/>
              </w:rPr>
              <w:t>PLMRM4BTA</w:t>
            </w:r>
          </w:p>
        </w:tc>
        <w:tc>
          <w:tcPr>
            <w:tcW w:w="838" w:type="pct"/>
            <w:shd w:val="clear" w:color="auto" w:fill="auto"/>
            <w:tcMar>
              <w:top w:w="0" w:type="dxa"/>
              <w:left w:w="58" w:type="dxa"/>
              <w:bottom w:w="0" w:type="dxa"/>
              <w:right w:w="58" w:type="dxa"/>
            </w:tcMar>
            <w:vAlign w:val="center"/>
            <w:hideMark/>
          </w:tcPr>
          <w:p w:rsidR="0032514E" w:rsidRPr="00677CBC" w:rsidP="00CB191E" w14:paraId="0F5D5185" w14:textId="77777777">
            <w:pPr>
              <w:rPr>
                <w:sz w:val="20"/>
              </w:rPr>
            </w:pPr>
            <w:r w:rsidRPr="00677CBC">
              <w:rPr>
                <w:sz w:val="20"/>
              </w:rPr>
              <w:t>B01M0SB367</w:t>
            </w:r>
          </w:p>
        </w:tc>
        <w:tc>
          <w:tcPr>
            <w:tcW w:w="863" w:type="pct"/>
            <w:vMerge/>
            <w:tcMar>
              <w:top w:w="0" w:type="dxa"/>
              <w:left w:w="58" w:type="dxa"/>
              <w:bottom w:w="0" w:type="dxa"/>
              <w:right w:w="58" w:type="dxa"/>
            </w:tcMar>
            <w:vAlign w:val="center"/>
          </w:tcPr>
          <w:p w:rsidR="0032514E" w:rsidRPr="00677CBC" w:rsidP="00CB191E" w14:paraId="0A0D231A" w14:textId="77777777">
            <w:pPr>
              <w:rPr>
                <w:sz w:val="20"/>
              </w:rPr>
            </w:pPr>
          </w:p>
        </w:tc>
        <w:tc>
          <w:tcPr>
            <w:tcW w:w="588" w:type="pct"/>
            <w:vMerge/>
            <w:shd w:val="clear" w:color="auto" w:fill="auto"/>
            <w:tcMar>
              <w:top w:w="0" w:type="dxa"/>
              <w:left w:w="58" w:type="dxa"/>
              <w:bottom w:w="0" w:type="dxa"/>
              <w:right w:w="58" w:type="dxa"/>
            </w:tcMar>
            <w:vAlign w:val="center"/>
          </w:tcPr>
          <w:p w:rsidR="0032514E" w:rsidRPr="00677CBC" w:rsidP="00CB191E" w14:paraId="3508505F" w14:textId="77777777">
            <w:pPr>
              <w:rPr>
                <w:sz w:val="20"/>
              </w:rPr>
            </w:pPr>
          </w:p>
        </w:tc>
        <w:tc>
          <w:tcPr>
            <w:tcW w:w="905" w:type="pct"/>
            <w:tcBorders>
              <w:right w:val="single" w:sz="4" w:space="0" w:color="auto"/>
            </w:tcBorders>
            <w:tcMar>
              <w:top w:w="0" w:type="dxa"/>
              <w:left w:w="58" w:type="dxa"/>
              <w:bottom w:w="0" w:type="dxa"/>
              <w:right w:w="58" w:type="dxa"/>
            </w:tcMar>
            <w:vAlign w:val="center"/>
          </w:tcPr>
          <w:p w:rsidR="0032514E" w:rsidRPr="00677CBC" w:rsidP="00CB191E" w14:paraId="1B0021A2" w14:textId="77777777">
            <w:pPr>
              <w:rPr>
                <w:sz w:val="20"/>
              </w:rPr>
            </w:pPr>
            <w:r w:rsidRPr="00677CBC">
              <w:rPr>
                <w:sz w:val="20"/>
              </w:rPr>
              <w:t>6/15/2022</w:t>
            </w:r>
          </w:p>
        </w:tc>
        <w:tc>
          <w:tcPr>
            <w:tcW w:w="775" w:type="pct"/>
            <w:vMerge/>
            <w:tcBorders>
              <w:left w:val="single" w:sz="4" w:space="0" w:color="auto"/>
            </w:tcBorders>
            <w:shd w:val="clear" w:color="auto" w:fill="auto"/>
            <w:tcMar>
              <w:top w:w="0" w:type="dxa"/>
              <w:left w:w="58" w:type="dxa"/>
              <w:bottom w:w="0" w:type="dxa"/>
              <w:right w:w="58" w:type="dxa"/>
            </w:tcMar>
            <w:vAlign w:val="center"/>
          </w:tcPr>
          <w:p w:rsidR="0032514E" w:rsidRPr="00677CBC" w:rsidP="00CB191E" w14:paraId="6F170483" w14:textId="77777777">
            <w:pPr>
              <w:rPr>
                <w:sz w:val="20"/>
              </w:rPr>
            </w:pPr>
          </w:p>
        </w:tc>
      </w:tr>
      <w:tr w14:paraId="2CBBAB40"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0" w:type="dxa"/>
              <w:left w:w="58" w:type="dxa"/>
              <w:bottom w:w="0" w:type="dxa"/>
              <w:right w:w="58" w:type="dxa"/>
            </w:tcMar>
            <w:vAlign w:val="center"/>
          </w:tcPr>
          <w:p w:rsidR="0032514E" w:rsidRPr="00677CBC" w:rsidP="00CB191E" w14:paraId="7F8A8EBB" w14:textId="77777777">
            <w:pPr>
              <w:jc w:val="center"/>
              <w:rPr>
                <w:b/>
                <w:bCs/>
                <w:sz w:val="20"/>
              </w:rPr>
            </w:pPr>
          </w:p>
        </w:tc>
        <w:tc>
          <w:tcPr>
            <w:tcW w:w="847" w:type="pct"/>
            <w:tcBorders>
              <w:left w:val="double" w:sz="4" w:space="0" w:color="auto"/>
              <w:bottom w:val="double" w:sz="4" w:space="0" w:color="auto"/>
            </w:tcBorders>
            <w:shd w:val="clear" w:color="auto" w:fill="auto"/>
            <w:tcMar>
              <w:top w:w="0" w:type="dxa"/>
              <w:left w:w="58" w:type="dxa"/>
              <w:bottom w:w="0" w:type="dxa"/>
              <w:right w:w="58" w:type="dxa"/>
            </w:tcMar>
            <w:vAlign w:val="center"/>
            <w:hideMark/>
          </w:tcPr>
          <w:p w:rsidR="0032514E" w:rsidRPr="00677CBC" w:rsidP="00CB191E" w14:paraId="019293AC" w14:textId="77777777">
            <w:pPr>
              <w:rPr>
                <w:sz w:val="20"/>
              </w:rPr>
            </w:pPr>
            <w:r w:rsidRPr="00677CBC">
              <w:rPr>
                <w:sz w:val="20"/>
              </w:rPr>
              <w:t>PLRVST300</w:t>
            </w:r>
          </w:p>
        </w:tc>
        <w:tc>
          <w:tcPr>
            <w:tcW w:w="838" w:type="pct"/>
            <w:tcBorders>
              <w:bottom w:val="double" w:sz="4" w:space="0" w:color="auto"/>
            </w:tcBorders>
            <w:shd w:val="clear" w:color="auto" w:fill="auto"/>
            <w:tcMar>
              <w:top w:w="0" w:type="dxa"/>
              <w:left w:w="58" w:type="dxa"/>
              <w:bottom w:w="0" w:type="dxa"/>
              <w:right w:w="58" w:type="dxa"/>
            </w:tcMar>
            <w:vAlign w:val="center"/>
            <w:hideMark/>
          </w:tcPr>
          <w:p w:rsidR="0032514E" w:rsidRPr="00677CBC" w:rsidP="00CB191E" w14:paraId="6F37EB26" w14:textId="77777777">
            <w:pPr>
              <w:rPr>
                <w:sz w:val="20"/>
              </w:rPr>
            </w:pPr>
            <w:r w:rsidRPr="00677CBC">
              <w:rPr>
                <w:sz w:val="20"/>
              </w:rPr>
              <w:t>[none provided]</w:t>
            </w:r>
          </w:p>
        </w:tc>
        <w:tc>
          <w:tcPr>
            <w:tcW w:w="863" w:type="pct"/>
            <w:vMerge/>
            <w:tcBorders>
              <w:bottom w:val="double" w:sz="4" w:space="0" w:color="auto"/>
            </w:tcBorders>
            <w:tcMar>
              <w:top w:w="0" w:type="dxa"/>
              <w:left w:w="58" w:type="dxa"/>
              <w:bottom w:w="0" w:type="dxa"/>
              <w:right w:w="58" w:type="dxa"/>
            </w:tcMar>
            <w:vAlign w:val="center"/>
          </w:tcPr>
          <w:p w:rsidR="0032514E" w:rsidRPr="00677CBC" w:rsidP="00CB191E" w14:paraId="4F44FD74" w14:textId="77777777">
            <w:pPr>
              <w:rPr>
                <w:sz w:val="20"/>
              </w:rPr>
            </w:pPr>
          </w:p>
        </w:tc>
        <w:tc>
          <w:tcPr>
            <w:tcW w:w="588" w:type="pct"/>
            <w:vMerge/>
            <w:tcBorders>
              <w:bottom w:val="double" w:sz="4" w:space="0" w:color="auto"/>
            </w:tcBorders>
            <w:shd w:val="clear" w:color="auto" w:fill="auto"/>
            <w:tcMar>
              <w:top w:w="0" w:type="dxa"/>
              <w:left w:w="58" w:type="dxa"/>
              <w:bottom w:w="0" w:type="dxa"/>
              <w:right w:w="58" w:type="dxa"/>
            </w:tcMar>
            <w:vAlign w:val="center"/>
          </w:tcPr>
          <w:p w:rsidR="0032514E" w:rsidRPr="00677CBC" w:rsidP="00CB191E" w14:paraId="24BC18B2" w14:textId="77777777">
            <w:pPr>
              <w:rPr>
                <w:sz w:val="20"/>
              </w:rPr>
            </w:pPr>
          </w:p>
        </w:tc>
        <w:tc>
          <w:tcPr>
            <w:tcW w:w="905" w:type="pct"/>
            <w:tcBorders>
              <w:bottom w:val="double" w:sz="4" w:space="0" w:color="auto"/>
              <w:right w:val="single" w:sz="4" w:space="0" w:color="auto"/>
            </w:tcBorders>
            <w:tcMar>
              <w:top w:w="0" w:type="dxa"/>
              <w:left w:w="58" w:type="dxa"/>
              <w:bottom w:w="0" w:type="dxa"/>
              <w:right w:w="58" w:type="dxa"/>
            </w:tcMar>
            <w:vAlign w:val="center"/>
          </w:tcPr>
          <w:p w:rsidR="0032514E" w:rsidRPr="00677CBC" w:rsidP="00CB191E" w14:paraId="5F0C1810" w14:textId="77777777">
            <w:pPr>
              <w:rPr>
                <w:sz w:val="20"/>
              </w:rPr>
            </w:pPr>
            <w:r w:rsidRPr="00677CBC">
              <w:rPr>
                <w:sz w:val="20"/>
              </w:rPr>
              <w:t>7/7/2021</w:t>
            </w:r>
          </w:p>
        </w:tc>
        <w:tc>
          <w:tcPr>
            <w:tcW w:w="775" w:type="pct"/>
            <w:vMerge/>
            <w:tcBorders>
              <w:left w:val="single" w:sz="4" w:space="0" w:color="auto"/>
              <w:bottom w:val="double" w:sz="4" w:space="0" w:color="auto"/>
            </w:tcBorders>
            <w:shd w:val="clear" w:color="auto" w:fill="auto"/>
            <w:tcMar>
              <w:top w:w="0" w:type="dxa"/>
              <w:left w:w="58" w:type="dxa"/>
              <w:bottom w:w="0" w:type="dxa"/>
              <w:right w:w="58" w:type="dxa"/>
            </w:tcMar>
            <w:vAlign w:val="center"/>
          </w:tcPr>
          <w:p w:rsidR="0032514E" w:rsidRPr="00677CBC" w:rsidP="00CB191E" w14:paraId="6E040EE0" w14:textId="77777777">
            <w:pPr>
              <w:rPr>
                <w:sz w:val="20"/>
              </w:rPr>
            </w:pPr>
          </w:p>
        </w:tc>
      </w:tr>
      <w:tr w14:paraId="5D77D715"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6A5841A" w14:textId="77777777">
            <w:pPr>
              <w:jc w:val="center"/>
              <w:rPr>
                <w:b/>
                <w:bCs/>
                <w:sz w:val="20"/>
              </w:rPr>
            </w:pPr>
            <w:r w:rsidRPr="00677CBC">
              <w:rPr>
                <w:sz w:val="20"/>
              </w:rPr>
              <w:br w:type="page"/>
            </w:r>
            <w:r w:rsidRPr="00677CBC">
              <w:rPr>
                <w:sz w:val="20"/>
              </w:rPr>
              <w:br w:type="page"/>
            </w:r>
            <w:r w:rsidRPr="00677CBC">
              <w:rPr>
                <w:b/>
                <w:bCs/>
                <w:sz w:val="20"/>
              </w:rPr>
              <w:t>10</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06C9A8B9" w14:textId="77777777">
            <w:pPr>
              <w:rPr>
                <w:sz w:val="20"/>
              </w:rPr>
            </w:pPr>
            <w:r w:rsidRPr="00677CBC">
              <w:rPr>
                <w:sz w:val="20"/>
              </w:rPr>
              <w:t>FU-Y28D-ZWUE</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015A7B6E" w14:textId="77777777">
            <w:pPr>
              <w:rPr>
                <w:sz w:val="20"/>
              </w:rPr>
            </w:pPr>
            <w:r w:rsidRPr="00677CBC">
              <w:rPr>
                <w:sz w:val="20"/>
              </w:rPr>
              <w:t>B09HV839J8</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073DE39C" w14:textId="77777777">
            <w:pPr>
              <w:rPr>
                <w:sz w:val="20"/>
              </w:rPr>
            </w:pPr>
            <w:r w:rsidRPr="00677CBC">
              <w:rPr>
                <w:sz w:val="20"/>
              </w:rPr>
              <w:t>2A5Z2-SLFTRD18</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6C51976F" w14:textId="77777777">
            <w:pPr>
              <w:rPr>
                <w:sz w:val="20"/>
              </w:rPr>
            </w:pPr>
            <w:r w:rsidRPr="00677CBC">
              <w:rPr>
                <w:sz w:val="20"/>
              </w:rPr>
              <w:t>4/8/2022</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112B78C6" w14:textId="77777777">
            <w:pPr>
              <w:rPr>
                <w:sz w:val="20"/>
              </w:rPr>
            </w:pPr>
            <w:r w:rsidRPr="00677CBC">
              <w:rPr>
                <w:sz w:val="20"/>
              </w:rPr>
              <w:t>9/23/2022 [date provided by Company appears inaccurate]</w:t>
            </w:r>
          </w:p>
          <w:p w:rsidR="0032514E" w:rsidRPr="00677CBC" w:rsidP="00CB191E" w14:paraId="4BC4EDF7" w14:textId="77777777">
            <w:pPr>
              <w:rPr>
                <w:sz w:val="20"/>
              </w:rPr>
            </w:pPr>
          </w:p>
          <w:p w:rsidR="0032514E" w:rsidRPr="00677CBC" w:rsidP="00CB191E" w14:paraId="5CE9F2BF" w14:textId="77777777">
            <w:pPr>
              <w:rPr>
                <w:sz w:val="20"/>
              </w:rPr>
            </w:pPr>
            <w:r w:rsidRPr="00677CBC">
              <w:rPr>
                <w:sz w:val="20"/>
              </w:rPr>
              <w:t>Amazon Date First Available October 6, 2021</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1612774F" w14:textId="77777777">
            <w:pPr>
              <w:rPr>
                <w:sz w:val="20"/>
              </w:rPr>
            </w:pPr>
            <w:r w:rsidRPr="00677CBC">
              <w:rPr>
                <w:sz w:val="20"/>
              </w:rPr>
              <w:t xml:space="preserve">Bluetooth required certification </w:t>
            </w:r>
          </w:p>
        </w:tc>
      </w:tr>
      <w:tr w14:paraId="4A617F93"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983221C" w14:textId="77777777">
            <w:pPr>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6C07214" w14:textId="77777777">
            <w:pPr>
              <w:rPr>
                <w:sz w:val="20"/>
              </w:rPr>
            </w:pPr>
            <w:r w:rsidRPr="00677CBC">
              <w:rPr>
                <w:sz w:val="20"/>
              </w:rPr>
              <w:t>A1-OSCL-P6GF / SLFTRD26BT</w:t>
            </w:r>
          </w:p>
        </w:tc>
        <w:tc>
          <w:tcPr>
            <w:tcW w:w="838" w:type="pct"/>
            <w:tcBorders>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6FE51DF0" w14:textId="77777777">
            <w:pPr>
              <w:rPr>
                <w:sz w:val="20"/>
              </w:rPr>
            </w:pPr>
            <w:r w:rsidRPr="00677CBC">
              <w:rPr>
                <w:sz w:val="20"/>
              </w:rPr>
              <w:t>B089QRZMNW</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43BA74A0"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63190274"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517FFE4C" w14:textId="77777777">
            <w:pPr>
              <w:rPr>
                <w:sz w:val="20"/>
              </w:rPr>
            </w:pPr>
            <w:r w:rsidRPr="00677CBC">
              <w:rPr>
                <w:sz w:val="20"/>
              </w:rPr>
              <w:t>1/20/2022 [date provided by Company appears inaccurate]</w:t>
            </w:r>
          </w:p>
          <w:p w:rsidR="0032514E" w:rsidRPr="00677CBC" w:rsidP="00CB191E" w14:paraId="364B8180" w14:textId="77777777">
            <w:pPr>
              <w:rPr>
                <w:sz w:val="20"/>
              </w:rPr>
            </w:pPr>
          </w:p>
          <w:p w:rsidR="0032514E" w:rsidRPr="00677CBC" w:rsidP="00CB191E" w14:paraId="09B3E7D1" w14:textId="77777777">
            <w:pPr>
              <w:rPr>
                <w:sz w:val="20"/>
              </w:rPr>
            </w:pPr>
            <w:r w:rsidRPr="00677CBC">
              <w:rPr>
                <w:sz w:val="20"/>
              </w:rPr>
              <w:t>Amazon Date First Available June 5, 2020</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55D0E802" w14:textId="77777777">
            <w:pPr>
              <w:rPr>
                <w:sz w:val="20"/>
              </w:rPr>
            </w:pPr>
          </w:p>
        </w:tc>
      </w:tr>
      <w:tr w14:paraId="046469BA" w14:textId="77777777" w:rsidTr="00CB191E">
        <w:tblPrEx>
          <w:tblW w:w="5000" w:type="pct"/>
          <w:jc w:val="center"/>
          <w:tblLayout w:type="fixed"/>
          <w:tblLook w:val="04A0"/>
        </w:tblPrEx>
        <w:trPr>
          <w:cantSplit/>
          <w:trHeight w:val="469"/>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96804FE" w14:textId="77777777">
            <w:pPr>
              <w:keepNext/>
              <w:keepLines/>
              <w:jc w:val="center"/>
              <w:rPr>
                <w:b/>
                <w:bCs/>
                <w:sz w:val="20"/>
              </w:rPr>
            </w:pPr>
            <w:r w:rsidRPr="00677CBC">
              <w:rPr>
                <w:b/>
                <w:bCs/>
                <w:sz w:val="20"/>
              </w:rPr>
              <w:t>11</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46944EE7" w14:textId="77777777">
            <w:pPr>
              <w:keepNext/>
              <w:keepLines/>
              <w:rPr>
                <w:sz w:val="20"/>
              </w:rPr>
            </w:pPr>
            <w:r w:rsidRPr="00677CBC">
              <w:rPr>
                <w:sz w:val="20"/>
              </w:rPr>
              <w:t>PRT202.75</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42A3CA76" w14:textId="77777777">
            <w:pPr>
              <w:keepNext/>
              <w:keepLines/>
              <w:rPr>
                <w:sz w:val="20"/>
              </w:rPr>
            </w:pPr>
            <w:r w:rsidRPr="00677CBC">
              <w:rPr>
                <w:sz w:val="20"/>
              </w:rPr>
              <w:t>B08JQS3TS6</w:t>
            </w:r>
          </w:p>
        </w:tc>
        <w:tc>
          <w:tcPr>
            <w:tcW w:w="863" w:type="pct"/>
            <w:vMerge w:val="restar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09AE2D7" w14:textId="77777777">
            <w:pPr>
              <w:rPr>
                <w:sz w:val="20"/>
              </w:rPr>
            </w:pPr>
            <w:r w:rsidRPr="00677CBC">
              <w:rPr>
                <w:sz w:val="20"/>
              </w:rPr>
              <w:t>2A6FC-PRT20275</w:t>
            </w:r>
          </w:p>
        </w:tc>
        <w:tc>
          <w:tcPr>
            <w:tcW w:w="588" w:type="pct"/>
            <w:vMerge w:val="restar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0FD2101" w14:textId="77777777">
            <w:pPr>
              <w:rPr>
                <w:sz w:val="20"/>
              </w:rPr>
            </w:pPr>
            <w:r w:rsidRPr="00677CBC">
              <w:rPr>
                <w:sz w:val="20"/>
              </w:rPr>
              <w:t>4/17/2023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39E80778" w14:textId="77777777">
            <w:pPr>
              <w:rPr>
                <w:sz w:val="20"/>
              </w:rPr>
            </w:pPr>
            <w:r w:rsidRPr="00677CBC">
              <w:rPr>
                <w:sz w:val="20"/>
              </w:rPr>
              <w:t>10/15/2022</w:t>
            </w:r>
          </w:p>
        </w:tc>
        <w:tc>
          <w:tcPr>
            <w:tcW w:w="775" w:type="pct"/>
            <w:vMerge w:val="restar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57353D9" w14:textId="77777777">
            <w:pPr>
              <w:rPr>
                <w:sz w:val="20"/>
              </w:rPr>
            </w:pPr>
            <w:r w:rsidRPr="00677CBC">
              <w:rPr>
                <w:sz w:val="20"/>
              </w:rPr>
              <w:t>Wireless microphone required certification</w:t>
            </w:r>
          </w:p>
        </w:tc>
      </w:tr>
      <w:tr w14:paraId="4F7D2315"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B38B966" w14:textId="77777777">
            <w:pPr>
              <w:keepNext/>
              <w:keepLines/>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6A2D33B3" w14:textId="77777777">
            <w:pPr>
              <w:keepNext/>
              <w:keepLines/>
              <w:rPr>
                <w:sz w:val="20"/>
              </w:rPr>
            </w:pPr>
            <w:r w:rsidRPr="00677CBC">
              <w:rPr>
                <w:sz w:val="20"/>
              </w:rPr>
              <w:t>PRT239.1WC</w:t>
            </w:r>
          </w:p>
        </w:tc>
        <w:tc>
          <w:tcPr>
            <w:tcW w:w="838" w:type="pct"/>
            <w:tcBorders>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63255C53" w14:textId="77777777">
            <w:pPr>
              <w:keepNext/>
              <w:keepLines/>
              <w:rPr>
                <w:sz w:val="20"/>
              </w:rPr>
            </w:pPr>
            <w:r w:rsidRPr="00677CBC">
              <w:rPr>
                <w:sz w:val="20"/>
              </w:rPr>
              <w:t>B08644MYKD</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2B53D77C"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4A7E8923"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735FDC6D" w14:textId="77777777">
            <w:pPr>
              <w:rPr>
                <w:sz w:val="20"/>
              </w:rPr>
            </w:pPr>
            <w:r w:rsidRPr="00677CBC">
              <w:rPr>
                <w:sz w:val="20"/>
              </w:rPr>
              <w:t>9/26/2022</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3F984433" w14:textId="77777777">
            <w:pPr>
              <w:rPr>
                <w:sz w:val="20"/>
              </w:rPr>
            </w:pPr>
          </w:p>
        </w:tc>
      </w:tr>
      <w:tr w14:paraId="0C39F2FE"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EB7AC35" w14:textId="77777777">
            <w:pPr>
              <w:jc w:val="center"/>
              <w:rPr>
                <w:b/>
                <w:bCs/>
                <w:sz w:val="20"/>
              </w:rPr>
            </w:pPr>
            <w:r w:rsidRPr="00677CBC">
              <w:rPr>
                <w:b/>
                <w:bCs/>
                <w:sz w:val="20"/>
              </w:rPr>
              <w:t>12</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7561CFC" w14:textId="77777777">
            <w:pPr>
              <w:rPr>
                <w:sz w:val="20"/>
              </w:rPr>
            </w:pPr>
            <w:r w:rsidRPr="00677CBC">
              <w:rPr>
                <w:sz w:val="20"/>
              </w:rPr>
              <w:t>PMX3500PH</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DA2BE11" w14:textId="77777777">
            <w:pPr>
              <w:rPr>
                <w:sz w:val="20"/>
              </w:rPr>
            </w:pPr>
            <w:r w:rsidRPr="00677CBC">
              <w:rPr>
                <w:sz w:val="20"/>
              </w:rPr>
              <w:t>B08JMD4QMG</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6762A02A" w14:textId="77777777">
            <w:pPr>
              <w:rPr>
                <w:sz w:val="20"/>
              </w:rPr>
            </w:pPr>
            <w:r w:rsidRPr="00677CBC">
              <w:rPr>
                <w:sz w:val="20"/>
              </w:rPr>
              <w:t>2A6FC-PT272AUBT</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DA74D30" w14:textId="77777777">
            <w:pPr>
              <w:rPr>
                <w:sz w:val="20"/>
              </w:rPr>
            </w:pPr>
            <w:r w:rsidRPr="00677CBC">
              <w:rPr>
                <w:sz w:val="20"/>
              </w:rPr>
              <w:t>4/21/2022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264913CA" w14:textId="77777777">
            <w:pPr>
              <w:rPr>
                <w:sz w:val="20"/>
              </w:rPr>
            </w:pPr>
            <w:r w:rsidRPr="00677CBC">
              <w:rPr>
                <w:sz w:val="20"/>
              </w:rPr>
              <w:t>10/15/2021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5C88EEB1" w14:textId="77777777">
            <w:pPr>
              <w:rPr>
                <w:sz w:val="20"/>
              </w:rPr>
            </w:pPr>
            <w:r w:rsidRPr="00677CBC">
              <w:rPr>
                <w:sz w:val="20"/>
              </w:rPr>
              <w:t>Bluetooth required certification</w:t>
            </w:r>
          </w:p>
        </w:tc>
      </w:tr>
      <w:tr w14:paraId="63F34099"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62BA2F6" w14:textId="77777777">
            <w:pPr>
              <w:jc w:val="center"/>
              <w:rPr>
                <w:b/>
                <w:bCs/>
                <w:sz w:val="20"/>
              </w:rPr>
            </w:pPr>
            <w:r w:rsidRPr="00677CBC">
              <w:rPr>
                <w:b/>
                <w:bCs/>
                <w:sz w:val="20"/>
              </w:rPr>
              <w:t>13</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317830B" w14:textId="77777777">
            <w:pPr>
              <w:rPr>
                <w:sz w:val="20"/>
              </w:rPr>
            </w:pPr>
            <w:r w:rsidRPr="00677CBC">
              <w:rPr>
                <w:sz w:val="20"/>
              </w:rPr>
              <w:t>PCA3</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680B285E" w14:textId="77777777">
            <w:pPr>
              <w:rPr>
                <w:sz w:val="20"/>
              </w:rPr>
            </w:pPr>
            <w:r w:rsidRPr="00677CBC">
              <w:rPr>
                <w:sz w:val="20"/>
              </w:rPr>
              <w:t>B001P2R1RW</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0F18833B" w14:textId="77777777">
            <w:pPr>
              <w:rPr>
                <w:sz w:val="20"/>
              </w:rPr>
            </w:pPr>
            <w:r w:rsidRPr="00677CBC">
              <w:rPr>
                <w:sz w:val="20"/>
              </w:rPr>
              <w:t>2A6FX-PCA3</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A6F232F" w14:textId="77777777">
            <w:pPr>
              <w:rPr>
                <w:sz w:val="20"/>
              </w:rPr>
            </w:pPr>
            <w:r w:rsidRPr="00677CBC">
              <w:rPr>
                <w:sz w:val="20"/>
              </w:rPr>
              <w:t>4/28/2023</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54A5971E" w14:textId="77777777">
            <w:pPr>
              <w:rPr>
                <w:sz w:val="20"/>
              </w:rPr>
            </w:pPr>
            <w:r w:rsidRPr="00677CBC">
              <w:rPr>
                <w:sz w:val="20"/>
              </w:rPr>
              <w:t>10/15/2021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FA339F4" w14:textId="77777777">
            <w:pPr>
              <w:rPr>
                <w:sz w:val="20"/>
              </w:rPr>
            </w:pPr>
            <w:r w:rsidRPr="00677CBC">
              <w:rPr>
                <w:sz w:val="20"/>
              </w:rPr>
              <w:t>Bluetooth required certification</w:t>
            </w:r>
          </w:p>
        </w:tc>
      </w:tr>
      <w:tr w14:paraId="1EB8C858"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6020A46" w14:textId="77777777">
            <w:pPr>
              <w:keepNext/>
              <w:keepLines/>
              <w:jc w:val="center"/>
              <w:rPr>
                <w:b/>
                <w:bCs/>
                <w:sz w:val="20"/>
              </w:rPr>
            </w:pPr>
            <w:r w:rsidRPr="00677CBC">
              <w:rPr>
                <w:b/>
                <w:bCs/>
                <w:sz w:val="20"/>
              </w:rPr>
              <w:t>14</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750C6FF" w14:textId="77777777">
            <w:pPr>
              <w:keepNext/>
              <w:keepLines/>
              <w:rPr>
                <w:sz w:val="20"/>
              </w:rPr>
            </w:pPr>
            <w:r w:rsidRPr="00677CBC">
              <w:rPr>
                <w:sz w:val="20"/>
              </w:rPr>
              <w:t>PMDJAND10</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10EED485" w14:textId="77777777">
            <w:pPr>
              <w:keepNext/>
              <w:keepLines/>
              <w:rPr>
                <w:sz w:val="20"/>
              </w:rPr>
            </w:pPr>
            <w:r w:rsidRPr="00677CBC">
              <w:rPr>
                <w:sz w:val="20"/>
              </w:rPr>
              <w:t>B0BDFWVH1R</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355BA86A" w14:textId="77777777">
            <w:pPr>
              <w:keepNext/>
              <w:keepLines/>
              <w:rPr>
                <w:sz w:val="20"/>
              </w:rPr>
            </w:pPr>
            <w:r w:rsidRPr="00677CBC">
              <w:rPr>
                <w:sz w:val="20"/>
              </w:rPr>
              <w:t>2ALVW-W-8303D</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1858C9E5" w14:textId="77777777">
            <w:pPr>
              <w:keepNext/>
              <w:keepLines/>
              <w:rPr>
                <w:sz w:val="20"/>
              </w:rPr>
            </w:pPr>
            <w:r w:rsidRPr="00677CBC">
              <w:rPr>
                <w:sz w:val="20"/>
              </w:rPr>
              <w:t>3/30/2023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21461270" w14:textId="77777777">
            <w:pPr>
              <w:keepNext/>
              <w:keepLines/>
              <w:rPr>
                <w:sz w:val="20"/>
              </w:rPr>
            </w:pPr>
            <w:r w:rsidRPr="00677CBC">
              <w:rPr>
                <w:sz w:val="20"/>
              </w:rPr>
              <w:t>7/20/2022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183E07AA" w14:textId="77777777">
            <w:pPr>
              <w:keepNext/>
              <w:keepLines/>
              <w:rPr>
                <w:sz w:val="20"/>
              </w:rPr>
            </w:pPr>
            <w:r w:rsidRPr="00677CBC">
              <w:rPr>
                <w:sz w:val="20"/>
              </w:rPr>
              <w:t>Wireless microphone required certification</w:t>
            </w:r>
          </w:p>
        </w:tc>
      </w:tr>
      <w:tr w14:paraId="628A40B1"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1EAABAA"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2C86E7B" w14:textId="77777777">
            <w:pPr>
              <w:keepNext/>
              <w:keepLines/>
              <w:rPr>
                <w:sz w:val="20"/>
              </w:rPr>
            </w:pPr>
            <w:r w:rsidRPr="00677CBC">
              <w:rPr>
                <w:sz w:val="20"/>
              </w:rPr>
              <w:t>PMDJAND12</w:t>
            </w:r>
          </w:p>
        </w:tc>
        <w:tc>
          <w:tcPr>
            <w:tcW w:w="838" w:type="pct"/>
            <w:shd w:val="clear" w:color="auto" w:fill="auto"/>
            <w:tcMar>
              <w:top w:w="14" w:type="dxa"/>
              <w:left w:w="58" w:type="dxa"/>
              <w:bottom w:w="14" w:type="dxa"/>
              <w:right w:w="58" w:type="dxa"/>
            </w:tcMar>
            <w:vAlign w:val="center"/>
            <w:hideMark/>
          </w:tcPr>
          <w:p w:rsidR="0032514E" w:rsidRPr="00677CBC" w:rsidP="00CB191E" w14:paraId="2E43105E" w14:textId="77777777">
            <w:pPr>
              <w:keepNext/>
              <w:keepLines/>
              <w:rPr>
                <w:sz w:val="20"/>
              </w:rPr>
            </w:pPr>
            <w:r w:rsidRPr="00677CBC">
              <w:rPr>
                <w:sz w:val="20"/>
              </w:rPr>
              <w:t>B0BDFS1VLH</w:t>
            </w:r>
          </w:p>
        </w:tc>
        <w:tc>
          <w:tcPr>
            <w:tcW w:w="863" w:type="pct"/>
            <w:vMerge/>
            <w:tcMar>
              <w:top w:w="14" w:type="dxa"/>
              <w:left w:w="58" w:type="dxa"/>
              <w:bottom w:w="14" w:type="dxa"/>
              <w:right w:w="58" w:type="dxa"/>
            </w:tcMar>
            <w:vAlign w:val="center"/>
          </w:tcPr>
          <w:p w:rsidR="0032514E" w:rsidRPr="00677CBC" w:rsidP="00CB191E" w14:paraId="5DD7BC04"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3854C570"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27272751" w14:textId="77777777">
            <w:pPr>
              <w:keepNext/>
              <w:keepLines/>
              <w:rPr>
                <w:sz w:val="20"/>
              </w:rPr>
            </w:pPr>
            <w:r w:rsidRPr="00677CBC">
              <w:rPr>
                <w:sz w:val="20"/>
              </w:rPr>
              <w:t>9/27/2022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41C08CC" w14:textId="77777777">
            <w:pPr>
              <w:keepNext/>
              <w:keepLines/>
              <w:rPr>
                <w:sz w:val="20"/>
              </w:rPr>
            </w:pPr>
          </w:p>
        </w:tc>
      </w:tr>
      <w:tr w14:paraId="367C3247"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CE0A42F"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01078FC5" w14:textId="77777777">
            <w:pPr>
              <w:keepNext/>
              <w:keepLines/>
              <w:rPr>
                <w:sz w:val="20"/>
              </w:rPr>
            </w:pPr>
            <w:r w:rsidRPr="00677CBC">
              <w:rPr>
                <w:sz w:val="20"/>
              </w:rPr>
              <w:t>PMDJAND15</w:t>
            </w:r>
          </w:p>
        </w:tc>
        <w:tc>
          <w:tcPr>
            <w:tcW w:w="838" w:type="pct"/>
            <w:shd w:val="clear" w:color="auto" w:fill="auto"/>
            <w:tcMar>
              <w:top w:w="14" w:type="dxa"/>
              <w:left w:w="58" w:type="dxa"/>
              <w:bottom w:w="14" w:type="dxa"/>
              <w:right w:w="58" w:type="dxa"/>
            </w:tcMar>
            <w:vAlign w:val="center"/>
            <w:hideMark/>
          </w:tcPr>
          <w:p w:rsidR="0032514E" w:rsidRPr="00677CBC" w:rsidP="00CB191E" w14:paraId="1A23333D" w14:textId="77777777">
            <w:pPr>
              <w:keepNext/>
              <w:keepLines/>
              <w:rPr>
                <w:sz w:val="20"/>
              </w:rPr>
            </w:pPr>
            <w:r w:rsidRPr="00677CBC">
              <w:rPr>
                <w:sz w:val="20"/>
              </w:rPr>
              <w:t>B0BDDQHT2G</w:t>
            </w:r>
          </w:p>
        </w:tc>
        <w:tc>
          <w:tcPr>
            <w:tcW w:w="863" w:type="pct"/>
            <w:vMerge/>
            <w:tcMar>
              <w:top w:w="14" w:type="dxa"/>
              <w:left w:w="58" w:type="dxa"/>
              <w:bottom w:w="14" w:type="dxa"/>
              <w:right w:w="58" w:type="dxa"/>
            </w:tcMar>
            <w:vAlign w:val="center"/>
          </w:tcPr>
          <w:p w:rsidR="0032514E" w:rsidRPr="00677CBC" w:rsidP="00CB191E" w14:paraId="53716741"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40930184"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2ADFF77" w14:textId="77777777">
            <w:pPr>
              <w:keepNext/>
              <w:keepLines/>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482E6241" w14:textId="77777777">
            <w:pPr>
              <w:keepNext/>
              <w:keepLines/>
              <w:rPr>
                <w:sz w:val="20"/>
              </w:rPr>
            </w:pPr>
          </w:p>
        </w:tc>
      </w:tr>
      <w:tr w14:paraId="45319E27"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5A19F64"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46C91C0" w14:textId="77777777">
            <w:pPr>
              <w:rPr>
                <w:sz w:val="20"/>
              </w:rPr>
            </w:pPr>
            <w:r w:rsidRPr="00677CBC">
              <w:rPr>
                <w:sz w:val="20"/>
              </w:rPr>
              <w:t>PPHP1251BW</w:t>
            </w:r>
          </w:p>
        </w:tc>
        <w:tc>
          <w:tcPr>
            <w:tcW w:w="838" w:type="pct"/>
            <w:shd w:val="clear" w:color="auto" w:fill="auto"/>
            <w:tcMar>
              <w:top w:w="14" w:type="dxa"/>
              <w:left w:w="58" w:type="dxa"/>
              <w:bottom w:w="14" w:type="dxa"/>
              <w:right w:w="58" w:type="dxa"/>
            </w:tcMar>
            <w:vAlign w:val="center"/>
            <w:hideMark/>
          </w:tcPr>
          <w:p w:rsidR="0032514E" w:rsidRPr="00677CBC" w:rsidP="00CB191E" w14:paraId="44204519" w14:textId="77777777">
            <w:pPr>
              <w:rPr>
                <w:sz w:val="20"/>
              </w:rPr>
            </w:pPr>
            <w:r w:rsidRPr="00677CBC">
              <w:rPr>
                <w:sz w:val="20"/>
              </w:rPr>
              <w:t>B0B1JNK98G</w:t>
            </w:r>
          </w:p>
        </w:tc>
        <w:tc>
          <w:tcPr>
            <w:tcW w:w="863" w:type="pct"/>
            <w:vMerge/>
            <w:tcMar>
              <w:top w:w="14" w:type="dxa"/>
              <w:left w:w="58" w:type="dxa"/>
              <w:bottom w:w="14" w:type="dxa"/>
              <w:right w:w="58" w:type="dxa"/>
            </w:tcMar>
            <w:vAlign w:val="center"/>
          </w:tcPr>
          <w:p w:rsidR="0032514E" w:rsidRPr="00677CBC" w:rsidP="00CB191E" w14:paraId="25079B76"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FE3CD5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14A5E46" w14:textId="77777777">
            <w:pPr>
              <w:rPr>
                <w:sz w:val="20"/>
              </w:rPr>
            </w:pPr>
            <w:r w:rsidRPr="00677CBC">
              <w:rPr>
                <w:sz w:val="20"/>
              </w:rPr>
              <w:t>10/20/2022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D0F7614" w14:textId="77777777">
            <w:pPr>
              <w:rPr>
                <w:sz w:val="20"/>
              </w:rPr>
            </w:pPr>
          </w:p>
        </w:tc>
      </w:tr>
      <w:tr w14:paraId="1638D407"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B8D238C"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099827C" w14:textId="77777777">
            <w:pPr>
              <w:rPr>
                <w:sz w:val="20"/>
              </w:rPr>
            </w:pPr>
            <w:r w:rsidRPr="00677CBC">
              <w:rPr>
                <w:sz w:val="20"/>
              </w:rPr>
              <w:t>PPHP1274B</w:t>
            </w:r>
          </w:p>
        </w:tc>
        <w:tc>
          <w:tcPr>
            <w:tcW w:w="838" w:type="pct"/>
            <w:shd w:val="clear" w:color="auto" w:fill="auto"/>
            <w:tcMar>
              <w:top w:w="14" w:type="dxa"/>
              <w:left w:w="58" w:type="dxa"/>
              <w:bottom w:w="14" w:type="dxa"/>
              <w:right w:w="58" w:type="dxa"/>
            </w:tcMar>
            <w:vAlign w:val="center"/>
            <w:hideMark/>
          </w:tcPr>
          <w:p w:rsidR="0032514E" w:rsidRPr="00677CBC" w:rsidP="00CB191E" w14:paraId="6C2F939B" w14:textId="77777777">
            <w:pPr>
              <w:rPr>
                <w:sz w:val="20"/>
              </w:rPr>
            </w:pPr>
            <w:r w:rsidRPr="00677CBC">
              <w:rPr>
                <w:sz w:val="20"/>
              </w:rPr>
              <w:t>B09HSGYNKF</w:t>
            </w:r>
          </w:p>
        </w:tc>
        <w:tc>
          <w:tcPr>
            <w:tcW w:w="863" w:type="pct"/>
            <w:vMerge/>
            <w:tcMar>
              <w:top w:w="14" w:type="dxa"/>
              <w:left w:w="58" w:type="dxa"/>
              <w:bottom w:w="14" w:type="dxa"/>
              <w:right w:w="58" w:type="dxa"/>
            </w:tcMar>
            <w:vAlign w:val="center"/>
          </w:tcPr>
          <w:p w:rsidR="0032514E" w:rsidRPr="00677CBC" w:rsidP="00CB191E" w14:paraId="783E82DD"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12F454F"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D82A643" w14:textId="77777777">
            <w:pPr>
              <w:rPr>
                <w:sz w:val="20"/>
              </w:rPr>
            </w:pPr>
            <w:r w:rsidRPr="00677CBC">
              <w:rPr>
                <w:sz w:val="20"/>
              </w:rPr>
              <w:t>10/10/2022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78314BE0" w14:textId="77777777">
            <w:pPr>
              <w:rPr>
                <w:sz w:val="20"/>
              </w:rPr>
            </w:pPr>
          </w:p>
        </w:tc>
      </w:tr>
      <w:tr w14:paraId="72F7C91F"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D2AC991"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0D837BEC" w14:textId="77777777">
            <w:pPr>
              <w:rPr>
                <w:sz w:val="20"/>
              </w:rPr>
            </w:pPr>
            <w:r w:rsidRPr="00677CBC">
              <w:rPr>
                <w:sz w:val="20"/>
              </w:rPr>
              <w:t>PPHP2645B</w:t>
            </w:r>
          </w:p>
        </w:tc>
        <w:tc>
          <w:tcPr>
            <w:tcW w:w="838" w:type="pct"/>
            <w:shd w:val="clear" w:color="auto" w:fill="auto"/>
            <w:tcMar>
              <w:top w:w="14" w:type="dxa"/>
              <w:left w:w="58" w:type="dxa"/>
              <w:bottom w:w="14" w:type="dxa"/>
              <w:right w:w="58" w:type="dxa"/>
            </w:tcMar>
            <w:vAlign w:val="center"/>
            <w:hideMark/>
          </w:tcPr>
          <w:p w:rsidR="0032514E" w:rsidRPr="00677CBC" w:rsidP="00CB191E" w14:paraId="0835C1B6" w14:textId="77777777">
            <w:pPr>
              <w:rPr>
                <w:sz w:val="20"/>
              </w:rPr>
            </w:pPr>
            <w:r w:rsidRPr="00677CBC">
              <w:rPr>
                <w:sz w:val="20"/>
              </w:rPr>
              <w:t>B09HV4Z6B8</w:t>
            </w:r>
          </w:p>
        </w:tc>
        <w:tc>
          <w:tcPr>
            <w:tcW w:w="863" w:type="pct"/>
            <w:vMerge/>
            <w:tcMar>
              <w:top w:w="14" w:type="dxa"/>
              <w:left w:w="58" w:type="dxa"/>
              <w:bottom w:w="14" w:type="dxa"/>
              <w:right w:w="58" w:type="dxa"/>
            </w:tcMar>
            <w:vAlign w:val="center"/>
          </w:tcPr>
          <w:p w:rsidR="0032514E" w:rsidRPr="00677CBC" w:rsidP="00CB191E" w14:paraId="115526B5"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0ABA9B17"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33DC70B6" w14:textId="77777777">
            <w:pPr>
              <w:rPr>
                <w:sz w:val="20"/>
              </w:rPr>
            </w:pPr>
            <w:r w:rsidRPr="00677CBC">
              <w:rPr>
                <w:sz w:val="20"/>
              </w:rPr>
              <w:t>9/16/2022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ADCC82A" w14:textId="77777777">
            <w:pPr>
              <w:rPr>
                <w:sz w:val="20"/>
              </w:rPr>
            </w:pPr>
          </w:p>
        </w:tc>
      </w:tr>
      <w:tr w14:paraId="157A0605"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6EBB09C"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AE31E60" w14:textId="77777777">
            <w:pPr>
              <w:rPr>
                <w:sz w:val="20"/>
              </w:rPr>
            </w:pPr>
            <w:r w:rsidRPr="00677CBC">
              <w:rPr>
                <w:sz w:val="20"/>
              </w:rPr>
              <w:t>PPHP265B</w:t>
            </w:r>
          </w:p>
        </w:tc>
        <w:tc>
          <w:tcPr>
            <w:tcW w:w="838" w:type="pct"/>
            <w:shd w:val="clear" w:color="auto" w:fill="auto"/>
            <w:tcMar>
              <w:top w:w="14" w:type="dxa"/>
              <w:left w:w="58" w:type="dxa"/>
              <w:bottom w:w="14" w:type="dxa"/>
              <w:right w:w="58" w:type="dxa"/>
            </w:tcMar>
            <w:vAlign w:val="center"/>
            <w:hideMark/>
          </w:tcPr>
          <w:p w:rsidR="0032514E" w:rsidRPr="00677CBC" w:rsidP="00CB191E" w14:paraId="36110A37" w14:textId="77777777">
            <w:pPr>
              <w:rPr>
                <w:sz w:val="20"/>
              </w:rPr>
            </w:pPr>
            <w:r w:rsidRPr="00677CBC">
              <w:rPr>
                <w:sz w:val="20"/>
              </w:rPr>
              <w:t>B09HV4TKBV</w:t>
            </w:r>
          </w:p>
        </w:tc>
        <w:tc>
          <w:tcPr>
            <w:tcW w:w="863" w:type="pct"/>
            <w:vMerge/>
            <w:tcMar>
              <w:top w:w="14" w:type="dxa"/>
              <w:left w:w="58" w:type="dxa"/>
              <w:bottom w:w="14" w:type="dxa"/>
              <w:right w:w="58" w:type="dxa"/>
            </w:tcMar>
            <w:vAlign w:val="center"/>
          </w:tcPr>
          <w:p w:rsidR="0032514E" w:rsidRPr="00677CBC" w:rsidP="00CB191E" w14:paraId="46C1A271"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0D81A750"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41FC6EDF" w14:textId="77777777">
            <w:pPr>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0C362D71" w14:textId="77777777">
            <w:pPr>
              <w:rPr>
                <w:sz w:val="20"/>
              </w:rPr>
            </w:pPr>
          </w:p>
        </w:tc>
      </w:tr>
      <w:tr w14:paraId="5FC7D046"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545A99D"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5C889D90" w14:textId="77777777">
            <w:pPr>
              <w:rPr>
                <w:sz w:val="20"/>
              </w:rPr>
            </w:pPr>
            <w:r w:rsidRPr="00677CBC">
              <w:rPr>
                <w:sz w:val="20"/>
              </w:rPr>
              <w:t>PPHP2694B</w:t>
            </w:r>
          </w:p>
        </w:tc>
        <w:tc>
          <w:tcPr>
            <w:tcW w:w="838" w:type="pct"/>
            <w:shd w:val="clear" w:color="auto" w:fill="auto"/>
            <w:tcMar>
              <w:top w:w="14" w:type="dxa"/>
              <w:left w:w="58" w:type="dxa"/>
              <w:bottom w:w="14" w:type="dxa"/>
              <w:right w:w="58" w:type="dxa"/>
            </w:tcMar>
            <w:vAlign w:val="center"/>
            <w:hideMark/>
          </w:tcPr>
          <w:p w:rsidR="0032514E" w:rsidRPr="00677CBC" w:rsidP="00CB191E" w14:paraId="001179A1" w14:textId="77777777">
            <w:pPr>
              <w:rPr>
                <w:sz w:val="20"/>
              </w:rPr>
            </w:pPr>
            <w:r w:rsidRPr="00677CBC">
              <w:rPr>
                <w:sz w:val="20"/>
              </w:rPr>
              <w:t>B0BBJQLH14</w:t>
            </w:r>
          </w:p>
        </w:tc>
        <w:tc>
          <w:tcPr>
            <w:tcW w:w="863" w:type="pct"/>
            <w:vMerge/>
            <w:tcMar>
              <w:top w:w="14" w:type="dxa"/>
              <w:left w:w="58" w:type="dxa"/>
              <w:bottom w:w="14" w:type="dxa"/>
              <w:right w:w="58" w:type="dxa"/>
            </w:tcMar>
            <w:vAlign w:val="center"/>
          </w:tcPr>
          <w:p w:rsidR="0032514E" w:rsidRPr="00677CBC" w:rsidP="00CB191E" w14:paraId="3973C093"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8AF8BE4"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71966BB0" w14:textId="77777777">
            <w:pPr>
              <w:rPr>
                <w:sz w:val="20"/>
              </w:rPr>
            </w:pPr>
            <w:r w:rsidRPr="00677CBC">
              <w:rPr>
                <w:sz w:val="20"/>
              </w:rPr>
              <w:t>10/10/2022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2AE322E" w14:textId="77777777">
            <w:pPr>
              <w:rPr>
                <w:sz w:val="20"/>
              </w:rPr>
            </w:pPr>
          </w:p>
        </w:tc>
      </w:tr>
      <w:tr w14:paraId="5EFFE0B2"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F8DE4CD"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518F3801" w14:textId="77777777">
            <w:pPr>
              <w:rPr>
                <w:sz w:val="20"/>
              </w:rPr>
            </w:pPr>
            <w:r w:rsidRPr="00677CBC">
              <w:rPr>
                <w:sz w:val="20"/>
              </w:rPr>
              <w:t>PPHP2814B</w:t>
            </w:r>
          </w:p>
        </w:tc>
        <w:tc>
          <w:tcPr>
            <w:tcW w:w="838" w:type="pct"/>
            <w:shd w:val="clear" w:color="auto" w:fill="auto"/>
            <w:tcMar>
              <w:top w:w="14" w:type="dxa"/>
              <w:left w:w="58" w:type="dxa"/>
              <w:bottom w:w="14" w:type="dxa"/>
              <w:right w:w="58" w:type="dxa"/>
            </w:tcMar>
            <w:vAlign w:val="center"/>
            <w:hideMark/>
          </w:tcPr>
          <w:p w:rsidR="0032514E" w:rsidRPr="00677CBC" w:rsidP="00CB191E" w14:paraId="7E646CA7" w14:textId="77777777">
            <w:pPr>
              <w:rPr>
                <w:sz w:val="20"/>
              </w:rPr>
            </w:pPr>
            <w:r w:rsidRPr="00677CBC">
              <w:rPr>
                <w:sz w:val="20"/>
              </w:rPr>
              <w:t>B0B1KV3LHY</w:t>
            </w:r>
          </w:p>
        </w:tc>
        <w:tc>
          <w:tcPr>
            <w:tcW w:w="863" w:type="pct"/>
            <w:vMerge/>
            <w:tcMar>
              <w:top w:w="14" w:type="dxa"/>
              <w:left w:w="58" w:type="dxa"/>
              <w:bottom w:w="14" w:type="dxa"/>
              <w:right w:w="58" w:type="dxa"/>
            </w:tcMar>
            <w:vAlign w:val="center"/>
          </w:tcPr>
          <w:p w:rsidR="0032514E" w:rsidRPr="00677CBC" w:rsidP="00CB191E" w14:paraId="6DA95141"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39F1DE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A4BFBEA" w14:textId="77777777">
            <w:pPr>
              <w:rPr>
                <w:sz w:val="20"/>
              </w:rPr>
            </w:pPr>
            <w:r w:rsidRPr="00677CBC">
              <w:rPr>
                <w:sz w:val="20"/>
              </w:rPr>
              <w:t>10/22/2022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00C32A6" w14:textId="77777777">
            <w:pPr>
              <w:rPr>
                <w:sz w:val="20"/>
              </w:rPr>
            </w:pPr>
          </w:p>
        </w:tc>
      </w:tr>
      <w:tr w14:paraId="11585408"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95BF711"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7821F7F3" w14:textId="77777777">
            <w:pPr>
              <w:rPr>
                <w:sz w:val="20"/>
              </w:rPr>
            </w:pPr>
            <w:r w:rsidRPr="00677CBC">
              <w:rPr>
                <w:sz w:val="20"/>
              </w:rPr>
              <w:t>PPHP2818B</w:t>
            </w:r>
          </w:p>
        </w:tc>
        <w:tc>
          <w:tcPr>
            <w:tcW w:w="838" w:type="pct"/>
            <w:shd w:val="clear" w:color="auto" w:fill="auto"/>
            <w:tcMar>
              <w:top w:w="14" w:type="dxa"/>
              <w:left w:w="58" w:type="dxa"/>
              <w:bottom w:w="14" w:type="dxa"/>
              <w:right w:w="58" w:type="dxa"/>
            </w:tcMar>
            <w:vAlign w:val="center"/>
            <w:hideMark/>
          </w:tcPr>
          <w:p w:rsidR="0032514E" w:rsidRPr="00677CBC" w:rsidP="00CB191E" w14:paraId="4A322EFF" w14:textId="77777777">
            <w:pPr>
              <w:rPr>
                <w:sz w:val="20"/>
              </w:rPr>
            </w:pPr>
            <w:r w:rsidRPr="00677CBC">
              <w:rPr>
                <w:sz w:val="20"/>
              </w:rPr>
              <w:t>B0B1JN6MK5</w:t>
            </w:r>
          </w:p>
        </w:tc>
        <w:tc>
          <w:tcPr>
            <w:tcW w:w="863" w:type="pct"/>
            <w:vMerge/>
            <w:tcMar>
              <w:top w:w="14" w:type="dxa"/>
              <w:left w:w="58" w:type="dxa"/>
              <w:bottom w:w="14" w:type="dxa"/>
              <w:right w:w="58" w:type="dxa"/>
            </w:tcMar>
            <w:vAlign w:val="center"/>
          </w:tcPr>
          <w:p w:rsidR="0032514E" w:rsidRPr="00677CBC" w:rsidP="00CB191E" w14:paraId="0241C116"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F99114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1E39AC8A" w14:textId="77777777">
            <w:pPr>
              <w:rPr>
                <w:sz w:val="20"/>
              </w:rPr>
            </w:pPr>
            <w:r w:rsidRPr="00677CBC">
              <w:rPr>
                <w:sz w:val="20"/>
              </w:rPr>
              <w:t>10/23/2022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59CF464" w14:textId="77777777">
            <w:pPr>
              <w:rPr>
                <w:sz w:val="20"/>
              </w:rPr>
            </w:pPr>
          </w:p>
        </w:tc>
      </w:tr>
      <w:tr w14:paraId="36EA3999"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49C7720"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0192AD4B" w14:textId="77777777">
            <w:pPr>
              <w:rPr>
                <w:sz w:val="20"/>
              </w:rPr>
            </w:pPr>
            <w:r w:rsidRPr="00677CBC">
              <w:rPr>
                <w:sz w:val="20"/>
              </w:rPr>
              <w:t>PPHP2845B</w:t>
            </w:r>
          </w:p>
        </w:tc>
        <w:tc>
          <w:tcPr>
            <w:tcW w:w="838" w:type="pct"/>
            <w:shd w:val="clear" w:color="auto" w:fill="auto"/>
            <w:tcMar>
              <w:top w:w="14" w:type="dxa"/>
              <w:left w:w="58" w:type="dxa"/>
              <w:bottom w:w="14" w:type="dxa"/>
              <w:right w:w="58" w:type="dxa"/>
            </w:tcMar>
            <w:vAlign w:val="center"/>
            <w:hideMark/>
          </w:tcPr>
          <w:p w:rsidR="0032514E" w:rsidRPr="00677CBC" w:rsidP="00CB191E" w14:paraId="730EBF3B" w14:textId="77777777">
            <w:pPr>
              <w:rPr>
                <w:sz w:val="20"/>
              </w:rPr>
            </w:pPr>
            <w:r w:rsidRPr="00677CBC">
              <w:rPr>
                <w:sz w:val="20"/>
              </w:rPr>
              <w:t>B09HSFM7Z5</w:t>
            </w:r>
          </w:p>
        </w:tc>
        <w:tc>
          <w:tcPr>
            <w:tcW w:w="863" w:type="pct"/>
            <w:vMerge/>
            <w:tcMar>
              <w:top w:w="14" w:type="dxa"/>
              <w:left w:w="58" w:type="dxa"/>
              <w:bottom w:w="14" w:type="dxa"/>
              <w:right w:w="58" w:type="dxa"/>
            </w:tcMar>
            <w:vAlign w:val="center"/>
          </w:tcPr>
          <w:p w:rsidR="0032514E" w:rsidRPr="00677CBC" w:rsidP="00CB191E" w14:paraId="17CB21FD"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66E3A6F9"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468983E9" w14:textId="77777777">
            <w:pPr>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496593D" w14:textId="77777777">
            <w:pPr>
              <w:rPr>
                <w:sz w:val="20"/>
              </w:rPr>
            </w:pPr>
          </w:p>
        </w:tc>
      </w:tr>
      <w:tr w14:paraId="456CA9F6"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2B08483"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58D87EF0" w14:textId="77777777">
            <w:pPr>
              <w:rPr>
                <w:sz w:val="20"/>
              </w:rPr>
            </w:pPr>
            <w:r w:rsidRPr="00677CBC">
              <w:rPr>
                <w:sz w:val="20"/>
              </w:rPr>
              <w:t>PPHP2894B</w:t>
            </w:r>
          </w:p>
        </w:tc>
        <w:tc>
          <w:tcPr>
            <w:tcW w:w="838" w:type="pct"/>
            <w:shd w:val="clear" w:color="auto" w:fill="auto"/>
            <w:tcMar>
              <w:top w:w="14" w:type="dxa"/>
              <w:left w:w="58" w:type="dxa"/>
              <w:bottom w:w="14" w:type="dxa"/>
              <w:right w:w="58" w:type="dxa"/>
            </w:tcMar>
            <w:vAlign w:val="center"/>
            <w:hideMark/>
          </w:tcPr>
          <w:p w:rsidR="0032514E" w:rsidRPr="00677CBC" w:rsidP="00CB191E" w14:paraId="048AA5DE" w14:textId="77777777">
            <w:pPr>
              <w:rPr>
                <w:sz w:val="20"/>
              </w:rPr>
            </w:pPr>
            <w:r w:rsidRPr="00677CBC">
              <w:rPr>
                <w:sz w:val="20"/>
              </w:rPr>
              <w:t>B0BBHDP415</w:t>
            </w:r>
          </w:p>
        </w:tc>
        <w:tc>
          <w:tcPr>
            <w:tcW w:w="863" w:type="pct"/>
            <w:vMerge/>
            <w:tcMar>
              <w:top w:w="14" w:type="dxa"/>
              <w:left w:w="58" w:type="dxa"/>
              <w:bottom w:w="14" w:type="dxa"/>
              <w:right w:w="58" w:type="dxa"/>
            </w:tcMar>
            <w:vAlign w:val="center"/>
          </w:tcPr>
          <w:p w:rsidR="0032514E" w:rsidRPr="00677CBC" w:rsidP="00CB191E" w14:paraId="5609DF9B"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53D432B8"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0EAAAEE3" w14:textId="77777777">
            <w:pPr>
              <w:rPr>
                <w:sz w:val="20"/>
              </w:rPr>
            </w:pPr>
            <w:r w:rsidRPr="00677CBC">
              <w:rPr>
                <w:sz w:val="20"/>
              </w:rPr>
              <w:t>6/3/2022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4503FF79" w14:textId="77777777">
            <w:pPr>
              <w:rPr>
                <w:sz w:val="20"/>
              </w:rPr>
            </w:pPr>
          </w:p>
        </w:tc>
      </w:tr>
      <w:tr w14:paraId="6BB9A8E3"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74C11682"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2E8978C2" w14:textId="77777777">
            <w:pPr>
              <w:rPr>
                <w:sz w:val="20"/>
              </w:rPr>
            </w:pPr>
            <w:r w:rsidRPr="00677CBC">
              <w:rPr>
                <w:sz w:val="20"/>
              </w:rPr>
              <w:t>PPHP818B</w:t>
            </w:r>
          </w:p>
        </w:tc>
        <w:tc>
          <w:tcPr>
            <w:tcW w:w="838" w:type="pct"/>
            <w:shd w:val="clear" w:color="auto" w:fill="auto"/>
            <w:tcMar>
              <w:top w:w="14" w:type="dxa"/>
              <w:left w:w="58" w:type="dxa"/>
              <w:bottom w:w="14" w:type="dxa"/>
              <w:right w:w="58" w:type="dxa"/>
            </w:tcMar>
            <w:vAlign w:val="center"/>
            <w:hideMark/>
          </w:tcPr>
          <w:p w:rsidR="0032514E" w:rsidRPr="00677CBC" w:rsidP="00CB191E" w14:paraId="6AEA63F2" w14:textId="77777777">
            <w:pPr>
              <w:rPr>
                <w:sz w:val="20"/>
              </w:rPr>
            </w:pPr>
            <w:r w:rsidRPr="00677CBC">
              <w:rPr>
                <w:sz w:val="20"/>
              </w:rPr>
              <w:t>B09MDM2MFM</w:t>
            </w:r>
          </w:p>
        </w:tc>
        <w:tc>
          <w:tcPr>
            <w:tcW w:w="863" w:type="pct"/>
            <w:vMerge/>
            <w:tcMar>
              <w:top w:w="14" w:type="dxa"/>
              <w:left w:w="58" w:type="dxa"/>
              <w:bottom w:w="14" w:type="dxa"/>
              <w:right w:w="58" w:type="dxa"/>
            </w:tcMar>
            <w:vAlign w:val="center"/>
          </w:tcPr>
          <w:p w:rsidR="0032514E" w:rsidRPr="00677CBC" w:rsidP="00CB191E" w14:paraId="3D0920F8"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2428CDB"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E228153" w14:textId="77777777">
            <w:pPr>
              <w:rPr>
                <w:sz w:val="20"/>
              </w:rPr>
            </w:pPr>
            <w:r w:rsidRPr="00677CBC">
              <w:rPr>
                <w:sz w:val="20"/>
              </w:rPr>
              <w:t>10/10/2022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CC85034" w14:textId="77777777">
            <w:pPr>
              <w:rPr>
                <w:sz w:val="20"/>
              </w:rPr>
            </w:pPr>
          </w:p>
        </w:tc>
      </w:tr>
      <w:tr w14:paraId="5C4210B6"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C91100A"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742127F8" w14:textId="77777777">
            <w:pPr>
              <w:rPr>
                <w:sz w:val="20"/>
              </w:rPr>
            </w:pPr>
            <w:r w:rsidRPr="00677CBC">
              <w:rPr>
                <w:sz w:val="20"/>
              </w:rPr>
              <w:t>PPHP81LTB</w:t>
            </w:r>
          </w:p>
        </w:tc>
        <w:tc>
          <w:tcPr>
            <w:tcW w:w="838" w:type="pct"/>
            <w:shd w:val="clear" w:color="auto" w:fill="auto"/>
            <w:tcMar>
              <w:top w:w="14" w:type="dxa"/>
              <w:left w:w="58" w:type="dxa"/>
              <w:bottom w:w="14" w:type="dxa"/>
              <w:right w:w="58" w:type="dxa"/>
            </w:tcMar>
            <w:vAlign w:val="center"/>
            <w:hideMark/>
          </w:tcPr>
          <w:p w:rsidR="0032514E" w:rsidRPr="00677CBC" w:rsidP="00CB191E" w14:paraId="37075B37" w14:textId="77777777">
            <w:pPr>
              <w:rPr>
                <w:sz w:val="20"/>
              </w:rPr>
            </w:pPr>
            <w:r w:rsidRPr="00677CBC">
              <w:rPr>
                <w:sz w:val="20"/>
              </w:rPr>
              <w:t>B0B1JR3QCN</w:t>
            </w:r>
          </w:p>
        </w:tc>
        <w:tc>
          <w:tcPr>
            <w:tcW w:w="863" w:type="pct"/>
            <w:vMerge/>
            <w:tcMar>
              <w:top w:w="14" w:type="dxa"/>
              <w:left w:w="58" w:type="dxa"/>
              <w:bottom w:w="14" w:type="dxa"/>
              <w:right w:w="58" w:type="dxa"/>
            </w:tcMar>
            <w:vAlign w:val="center"/>
          </w:tcPr>
          <w:p w:rsidR="0032514E" w:rsidRPr="00677CBC" w:rsidP="00CB191E" w14:paraId="30432C37"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C040EA7"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2B2D9E2" w14:textId="77777777">
            <w:pPr>
              <w:rPr>
                <w:sz w:val="20"/>
              </w:rPr>
            </w:pPr>
            <w:r w:rsidRPr="00677CBC">
              <w:rPr>
                <w:sz w:val="20"/>
              </w:rPr>
              <w:t>10/24/2022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025D9C4E" w14:textId="77777777">
            <w:pPr>
              <w:rPr>
                <w:sz w:val="20"/>
              </w:rPr>
            </w:pPr>
          </w:p>
        </w:tc>
      </w:tr>
      <w:tr w14:paraId="0CC1D520"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D87EEAF"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2DC94E1" w14:textId="77777777">
            <w:pPr>
              <w:rPr>
                <w:sz w:val="20"/>
              </w:rPr>
            </w:pPr>
            <w:r w:rsidRPr="00677CBC">
              <w:rPr>
                <w:sz w:val="20"/>
              </w:rPr>
              <w:t>PPHP874B</w:t>
            </w:r>
          </w:p>
        </w:tc>
        <w:tc>
          <w:tcPr>
            <w:tcW w:w="838" w:type="pct"/>
            <w:shd w:val="clear" w:color="auto" w:fill="auto"/>
            <w:tcMar>
              <w:top w:w="14" w:type="dxa"/>
              <w:left w:w="58" w:type="dxa"/>
              <w:bottom w:w="14" w:type="dxa"/>
              <w:right w:w="58" w:type="dxa"/>
            </w:tcMar>
            <w:vAlign w:val="center"/>
            <w:hideMark/>
          </w:tcPr>
          <w:p w:rsidR="0032514E" w:rsidRPr="00677CBC" w:rsidP="00CB191E" w14:paraId="33484565" w14:textId="77777777">
            <w:pPr>
              <w:rPr>
                <w:sz w:val="20"/>
              </w:rPr>
            </w:pPr>
            <w:r w:rsidRPr="00677CBC">
              <w:rPr>
                <w:sz w:val="20"/>
              </w:rPr>
              <w:t>B09HSDJSPF</w:t>
            </w:r>
          </w:p>
        </w:tc>
        <w:tc>
          <w:tcPr>
            <w:tcW w:w="863" w:type="pct"/>
            <w:vMerge/>
            <w:tcMar>
              <w:top w:w="14" w:type="dxa"/>
              <w:left w:w="58" w:type="dxa"/>
              <w:bottom w:w="14" w:type="dxa"/>
              <w:right w:w="58" w:type="dxa"/>
            </w:tcMar>
            <w:vAlign w:val="center"/>
          </w:tcPr>
          <w:p w:rsidR="0032514E" w:rsidRPr="00677CBC" w:rsidP="00CB191E" w14:paraId="769AFC5E"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32D0A9B2"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0A0ADBC6" w14:textId="77777777">
            <w:pPr>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D9DE0B1" w14:textId="77777777">
            <w:pPr>
              <w:rPr>
                <w:sz w:val="20"/>
              </w:rPr>
            </w:pPr>
          </w:p>
        </w:tc>
      </w:tr>
      <w:tr w14:paraId="2F0498BD"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319D28B"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0AECE87" w14:textId="77777777">
            <w:pPr>
              <w:rPr>
                <w:sz w:val="20"/>
              </w:rPr>
            </w:pPr>
            <w:r w:rsidRPr="00677CBC">
              <w:rPr>
                <w:sz w:val="20"/>
              </w:rPr>
              <w:t>PPHP87TLB</w:t>
            </w:r>
          </w:p>
        </w:tc>
        <w:tc>
          <w:tcPr>
            <w:tcW w:w="838" w:type="pct"/>
            <w:shd w:val="clear" w:color="auto" w:fill="auto"/>
            <w:tcMar>
              <w:top w:w="14" w:type="dxa"/>
              <w:left w:w="58" w:type="dxa"/>
              <w:bottom w:w="14" w:type="dxa"/>
              <w:right w:w="58" w:type="dxa"/>
            </w:tcMar>
            <w:vAlign w:val="center"/>
            <w:hideMark/>
          </w:tcPr>
          <w:p w:rsidR="0032514E" w:rsidRPr="00677CBC" w:rsidP="00CB191E" w14:paraId="1D35D515" w14:textId="77777777">
            <w:pPr>
              <w:rPr>
                <w:sz w:val="20"/>
              </w:rPr>
            </w:pPr>
            <w:r w:rsidRPr="00677CBC">
              <w:rPr>
                <w:sz w:val="20"/>
              </w:rPr>
              <w:t>B0B1KL3NFT</w:t>
            </w:r>
          </w:p>
        </w:tc>
        <w:tc>
          <w:tcPr>
            <w:tcW w:w="863" w:type="pct"/>
            <w:vMerge/>
            <w:tcMar>
              <w:top w:w="14" w:type="dxa"/>
              <w:left w:w="58" w:type="dxa"/>
              <w:bottom w:w="14" w:type="dxa"/>
              <w:right w:w="58" w:type="dxa"/>
            </w:tcMar>
            <w:vAlign w:val="center"/>
          </w:tcPr>
          <w:p w:rsidR="0032514E" w:rsidRPr="00677CBC" w:rsidP="00CB191E" w14:paraId="353C4E69"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6598EC6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36B33372" w14:textId="77777777">
            <w:pPr>
              <w:rPr>
                <w:sz w:val="20"/>
              </w:rPr>
            </w:pPr>
            <w:r w:rsidRPr="00677CBC">
              <w:rPr>
                <w:sz w:val="20"/>
              </w:rPr>
              <w:t>10/10/2022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13C95D15" w14:textId="77777777">
            <w:pPr>
              <w:rPr>
                <w:sz w:val="20"/>
              </w:rPr>
            </w:pPr>
          </w:p>
        </w:tc>
      </w:tr>
      <w:tr w14:paraId="120B9471"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E6467A5"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4CE90EBD" w14:textId="77777777">
            <w:pPr>
              <w:rPr>
                <w:sz w:val="20"/>
              </w:rPr>
            </w:pPr>
            <w:r w:rsidRPr="00677CBC">
              <w:rPr>
                <w:sz w:val="20"/>
              </w:rPr>
              <w:t>PWMA1099A</w:t>
            </w:r>
          </w:p>
        </w:tc>
        <w:tc>
          <w:tcPr>
            <w:tcW w:w="838" w:type="pct"/>
            <w:shd w:val="clear" w:color="auto" w:fill="auto"/>
            <w:tcMar>
              <w:top w:w="14" w:type="dxa"/>
              <w:left w:w="58" w:type="dxa"/>
              <w:bottom w:w="14" w:type="dxa"/>
              <w:right w:w="58" w:type="dxa"/>
            </w:tcMar>
            <w:vAlign w:val="center"/>
            <w:hideMark/>
          </w:tcPr>
          <w:p w:rsidR="0032514E" w:rsidRPr="00677CBC" w:rsidP="00CB191E" w14:paraId="23E754C9" w14:textId="77777777">
            <w:pPr>
              <w:rPr>
                <w:sz w:val="20"/>
              </w:rPr>
            </w:pPr>
            <w:r w:rsidRPr="00677CBC">
              <w:rPr>
                <w:sz w:val="20"/>
              </w:rPr>
              <w:t>B0B4PQ2WMY</w:t>
            </w:r>
          </w:p>
        </w:tc>
        <w:tc>
          <w:tcPr>
            <w:tcW w:w="863" w:type="pct"/>
            <w:vMerge/>
            <w:tcMar>
              <w:top w:w="14" w:type="dxa"/>
              <w:left w:w="58" w:type="dxa"/>
              <w:bottom w:w="14" w:type="dxa"/>
              <w:right w:w="58" w:type="dxa"/>
            </w:tcMar>
            <w:vAlign w:val="center"/>
          </w:tcPr>
          <w:p w:rsidR="0032514E" w:rsidRPr="00677CBC" w:rsidP="00CB191E" w14:paraId="7CAC5A9D"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7B1D30B1"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29E1F9A7" w14:textId="77777777">
            <w:pPr>
              <w:rPr>
                <w:sz w:val="20"/>
              </w:rPr>
            </w:pPr>
            <w:r w:rsidRPr="00677CBC">
              <w:rPr>
                <w:sz w:val="20"/>
              </w:rPr>
              <w:t>10/10/2022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D333F2D" w14:textId="77777777">
            <w:pPr>
              <w:rPr>
                <w:sz w:val="20"/>
              </w:rPr>
            </w:pPr>
          </w:p>
        </w:tc>
      </w:tr>
      <w:tr w14:paraId="33CF1700"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14A6686" w14:textId="77777777">
            <w:pPr>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E4C1AB6" w14:textId="77777777">
            <w:pPr>
              <w:rPr>
                <w:sz w:val="20"/>
              </w:rPr>
            </w:pPr>
            <w:r w:rsidRPr="00677CBC">
              <w:rPr>
                <w:sz w:val="20"/>
              </w:rPr>
              <w:t>PWMA899A</w:t>
            </w:r>
          </w:p>
        </w:tc>
        <w:tc>
          <w:tcPr>
            <w:tcW w:w="838" w:type="pct"/>
            <w:tcBorders>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8A9B7DF" w14:textId="77777777">
            <w:pPr>
              <w:rPr>
                <w:sz w:val="20"/>
              </w:rPr>
            </w:pPr>
            <w:r w:rsidRPr="00677CBC">
              <w:rPr>
                <w:sz w:val="20"/>
              </w:rPr>
              <w:t>B0B4PQ55CK</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31FFB450"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39B533C9"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77906DDF" w14:textId="77777777">
            <w:pPr>
              <w:rPr>
                <w:sz w:val="20"/>
              </w:rPr>
            </w:pPr>
            <w:r w:rsidRPr="00677CBC">
              <w:rPr>
                <w:sz w:val="20"/>
              </w:rPr>
              <w:t>9/16/2022</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7AD40BA1" w14:textId="77777777">
            <w:pPr>
              <w:rPr>
                <w:sz w:val="20"/>
              </w:rPr>
            </w:pPr>
          </w:p>
        </w:tc>
      </w:tr>
      <w:tr w14:paraId="7A8B971D"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AB22A0D" w14:textId="77777777">
            <w:pPr>
              <w:jc w:val="center"/>
              <w:rPr>
                <w:b/>
                <w:bCs/>
                <w:sz w:val="20"/>
              </w:rPr>
            </w:pPr>
            <w:r w:rsidRPr="00677CBC">
              <w:rPr>
                <w:b/>
                <w:bCs/>
                <w:sz w:val="20"/>
              </w:rPr>
              <w:t>15</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0040067" w14:textId="77777777">
            <w:pPr>
              <w:rPr>
                <w:sz w:val="20"/>
              </w:rPr>
            </w:pPr>
            <w:r w:rsidRPr="00677CBC">
              <w:rPr>
                <w:sz w:val="20"/>
              </w:rPr>
              <w:t>PHPD212A</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490346E" w14:textId="77777777">
            <w:pPr>
              <w:rPr>
                <w:sz w:val="20"/>
              </w:rPr>
            </w:pPr>
            <w:r w:rsidRPr="00677CBC">
              <w:rPr>
                <w:sz w:val="20"/>
              </w:rPr>
              <w:t>B0B4XYVPQP</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B381E9A" w14:textId="77777777">
            <w:pPr>
              <w:rPr>
                <w:sz w:val="20"/>
              </w:rPr>
            </w:pPr>
            <w:r w:rsidRPr="00677CBC">
              <w:rPr>
                <w:sz w:val="20"/>
              </w:rPr>
              <w:t>2AQ8H-PPHP652B</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22FACE18" w14:textId="77777777">
            <w:pPr>
              <w:rPr>
                <w:sz w:val="20"/>
              </w:rPr>
            </w:pPr>
            <w:r w:rsidRPr="00677CBC">
              <w:rPr>
                <w:sz w:val="20"/>
              </w:rPr>
              <w:t>3/22/2022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0AC12186" w14:textId="77777777">
            <w:pPr>
              <w:rPr>
                <w:sz w:val="20"/>
              </w:rPr>
            </w:pPr>
            <w:r w:rsidRPr="00677CBC">
              <w:rPr>
                <w:sz w:val="20"/>
              </w:rPr>
              <w:t>10/15/2021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2E2FCB00" w14:textId="77777777">
            <w:pPr>
              <w:rPr>
                <w:sz w:val="20"/>
              </w:rPr>
            </w:pPr>
            <w:r w:rsidRPr="00677CBC">
              <w:rPr>
                <w:sz w:val="20"/>
              </w:rPr>
              <w:t>Bluetooth required certification</w:t>
            </w:r>
          </w:p>
        </w:tc>
      </w:tr>
      <w:tr w14:paraId="4C88152E"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83124C0" w14:textId="77777777">
            <w:pPr>
              <w:jc w:val="center"/>
              <w:rPr>
                <w:b/>
                <w:bCs/>
                <w:sz w:val="20"/>
              </w:rPr>
            </w:pPr>
            <w:r w:rsidRPr="00677CBC">
              <w:rPr>
                <w:b/>
                <w:bCs/>
                <w:sz w:val="20"/>
              </w:rPr>
              <w:t>16</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05BC545" w14:textId="77777777">
            <w:pPr>
              <w:rPr>
                <w:sz w:val="20"/>
              </w:rPr>
            </w:pPr>
            <w:r w:rsidRPr="00677CBC">
              <w:rPr>
                <w:sz w:val="20"/>
              </w:rPr>
              <w:t>PPHP1042B</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BABDB03" w14:textId="77777777">
            <w:pPr>
              <w:rPr>
                <w:sz w:val="20"/>
              </w:rPr>
            </w:pPr>
            <w:r w:rsidRPr="00677CBC">
              <w:rPr>
                <w:sz w:val="20"/>
              </w:rPr>
              <w:t>B08PL4PSZF</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5AFDA7C7" w14:textId="77777777">
            <w:pPr>
              <w:rPr>
                <w:sz w:val="20"/>
              </w:rPr>
            </w:pPr>
            <w:r w:rsidRPr="00677CBC">
              <w:rPr>
                <w:sz w:val="20"/>
              </w:rPr>
              <w:t>2AQ8H-PPHP844B</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501A6525" w14:textId="77777777">
            <w:pPr>
              <w:rPr>
                <w:sz w:val="20"/>
              </w:rPr>
            </w:pPr>
            <w:r w:rsidRPr="00677CBC">
              <w:rPr>
                <w:sz w:val="20"/>
              </w:rPr>
              <w:t>3/23/2022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1FA70CD7" w14:textId="77777777">
            <w:pPr>
              <w:rPr>
                <w:sz w:val="20"/>
              </w:rPr>
            </w:pPr>
            <w:r w:rsidRPr="00677CBC">
              <w:rPr>
                <w:sz w:val="20"/>
              </w:rPr>
              <w:t>10/15/2021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6A46A1F" w14:textId="77777777">
            <w:pPr>
              <w:rPr>
                <w:sz w:val="20"/>
              </w:rPr>
            </w:pPr>
            <w:r w:rsidRPr="00677CBC">
              <w:rPr>
                <w:sz w:val="20"/>
              </w:rPr>
              <w:t>Bluetooth required certification</w:t>
            </w:r>
          </w:p>
        </w:tc>
      </w:tr>
      <w:tr w14:paraId="59CBF798"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BA17176" w14:textId="77777777">
            <w:pPr>
              <w:jc w:val="center"/>
              <w:rPr>
                <w:b/>
                <w:bCs/>
                <w:sz w:val="20"/>
              </w:rPr>
            </w:pPr>
            <w:r w:rsidRPr="00677CBC">
              <w:rPr>
                <w:b/>
                <w:bCs/>
                <w:sz w:val="20"/>
              </w:rPr>
              <w:t>17</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B8A76FD" w14:textId="77777777">
            <w:pPr>
              <w:rPr>
                <w:sz w:val="20"/>
              </w:rPr>
            </w:pPr>
            <w:r w:rsidRPr="00677CBC">
              <w:rPr>
                <w:sz w:val="20"/>
              </w:rPr>
              <w:t>PPHP1299WU.5</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2A038773" w14:textId="77777777">
            <w:pPr>
              <w:rPr>
                <w:sz w:val="20"/>
              </w:rPr>
            </w:pPr>
            <w:r w:rsidRPr="00677CBC">
              <w:rPr>
                <w:sz w:val="20"/>
              </w:rPr>
              <w:t>B07QH7VBW7</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647021D0" w14:textId="77777777">
            <w:pPr>
              <w:rPr>
                <w:sz w:val="20"/>
              </w:rPr>
            </w:pPr>
            <w:r w:rsidRPr="00677CBC">
              <w:rPr>
                <w:sz w:val="20"/>
              </w:rPr>
              <w:t>2AS6U-PPHP1599WU</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CCE1D00" w14:textId="77777777">
            <w:pPr>
              <w:rPr>
                <w:sz w:val="20"/>
              </w:rPr>
            </w:pPr>
            <w:r w:rsidRPr="00677CBC">
              <w:rPr>
                <w:sz w:val="20"/>
              </w:rPr>
              <w:t>4/22/2022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4A3B6D2E" w14:textId="77777777">
            <w:pPr>
              <w:rPr>
                <w:sz w:val="20"/>
              </w:rPr>
            </w:pPr>
            <w:r w:rsidRPr="00677CBC">
              <w:rPr>
                <w:sz w:val="20"/>
              </w:rPr>
              <w:t>10/25/2021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4D851EE" w14:textId="77777777">
            <w:pPr>
              <w:rPr>
                <w:sz w:val="20"/>
              </w:rPr>
            </w:pPr>
            <w:r w:rsidRPr="00677CBC">
              <w:rPr>
                <w:sz w:val="20"/>
              </w:rPr>
              <w:t>Bluetooth required certification</w:t>
            </w:r>
          </w:p>
        </w:tc>
      </w:tr>
      <w:tr w14:paraId="6E8A804F"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0E65DC9" w14:textId="77777777">
            <w:pPr>
              <w:jc w:val="center"/>
              <w:rPr>
                <w:b/>
                <w:bCs/>
                <w:sz w:val="20"/>
              </w:rPr>
            </w:pPr>
            <w:r w:rsidRPr="00677CBC">
              <w:rPr>
                <w:b/>
                <w:bCs/>
                <w:sz w:val="20"/>
              </w:rPr>
              <w:t>18</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20A89A26" w14:textId="77777777">
            <w:pPr>
              <w:rPr>
                <w:sz w:val="20"/>
              </w:rPr>
            </w:pPr>
            <w:r w:rsidRPr="00677CBC">
              <w:rPr>
                <w:sz w:val="20"/>
              </w:rPr>
              <w:t>PCM20A</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F2E6B22" w14:textId="77777777">
            <w:pPr>
              <w:rPr>
                <w:sz w:val="20"/>
              </w:rPr>
            </w:pPr>
            <w:r w:rsidRPr="00677CBC">
              <w:rPr>
                <w:sz w:val="20"/>
              </w:rPr>
              <w:t>B002UL5WM8</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32D1000F" w14:textId="77777777">
            <w:pPr>
              <w:rPr>
                <w:sz w:val="20"/>
              </w:rPr>
            </w:pPr>
            <w:r w:rsidRPr="00677CBC">
              <w:rPr>
                <w:sz w:val="20"/>
              </w:rPr>
              <w:t>2ASQD-PDA20BT</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6FC15B2" w14:textId="77777777">
            <w:pPr>
              <w:rPr>
                <w:sz w:val="20"/>
              </w:rPr>
            </w:pPr>
            <w:r w:rsidRPr="00677CBC">
              <w:rPr>
                <w:sz w:val="20"/>
              </w:rPr>
              <w:t>4/18/2022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5FD903C3" w14:textId="77777777">
            <w:pPr>
              <w:rPr>
                <w:sz w:val="20"/>
              </w:rPr>
            </w:pPr>
            <w:r w:rsidRPr="00677CBC">
              <w:rPr>
                <w:sz w:val="20"/>
              </w:rPr>
              <w:t>10/15/2021</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23722F3A" w14:textId="77777777">
            <w:pPr>
              <w:rPr>
                <w:sz w:val="20"/>
              </w:rPr>
            </w:pPr>
            <w:r w:rsidRPr="00677CBC">
              <w:rPr>
                <w:sz w:val="20"/>
              </w:rPr>
              <w:t>Bluetooth required certification</w:t>
            </w:r>
          </w:p>
        </w:tc>
      </w:tr>
      <w:tr w14:paraId="116C7E6E"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2695866" w14:textId="77777777">
            <w:pPr>
              <w:keepNext/>
              <w:keepLines/>
              <w:jc w:val="center"/>
              <w:rPr>
                <w:b/>
                <w:bCs/>
                <w:sz w:val="20"/>
              </w:rPr>
            </w:pPr>
            <w:r w:rsidRPr="00677CBC">
              <w:rPr>
                <w:b/>
                <w:bCs/>
                <w:sz w:val="20"/>
              </w:rPr>
              <w:t>19</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2E712B14" w14:textId="77777777">
            <w:pPr>
              <w:keepNext/>
              <w:keepLines/>
              <w:rPr>
                <w:sz w:val="20"/>
              </w:rPr>
            </w:pPr>
            <w:r w:rsidRPr="00677CBC">
              <w:rPr>
                <w:sz w:val="20"/>
              </w:rPr>
              <w:t>PDWM2115</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468E78EE" w14:textId="77777777">
            <w:pPr>
              <w:keepNext/>
              <w:keepLines/>
              <w:rPr>
                <w:sz w:val="20"/>
              </w:rPr>
            </w:pPr>
            <w:r w:rsidRPr="00677CBC">
              <w:rPr>
                <w:sz w:val="20"/>
              </w:rPr>
              <w:t>B00K3SNRP4</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62C2140E" w14:textId="77777777">
            <w:pPr>
              <w:rPr>
                <w:sz w:val="20"/>
              </w:rPr>
            </w:pPr>
            <w:r w:rsidRPr="00677CBC">
              <w:rPr>
                <w:sz w:val="20"/>
              </w:rPr>
              <w:t>2ASQDPDWM2135</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4A8855DF" w14:textId="77777777">
            <w:pPr>
              <w:rPr>
                <w:sz w:val="20"/>
              </w:rPr>
            </w:pPr>
            <w:r w:rsidRPr="00677CBC">
              <w:rPr>
                <w:sz w:val="20"/>
              </w:rPr>
              <w:t>9/21/2022</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6B531E5B" w14:textId="77777777">
            <w:pPr>
              <w:rPr>
                <w:sz w:val="20"/>
              </w:rPr>
            </w:pPr>
            <w:r w:rsidRPr="00677CBC">
              <w:rPr>
                <w:sz w:val="20"/>
              </w:rPr>
              <w:t>7/29/2022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6EC07ACC" w14:textId="77777777">
            <w:pPr>
              <w:rPr>
                <w:sz w:val="20"/>
              </w:rPr>
            </w:pPr>
            <w:r w:rsidRPr="00677CBC">
              <w:rPr>
                <w:sz w:val="20"/>
              </w:rPr>
              <w:t xml:space="preserve">Wireless microphone required certification </w:t>
            </w:r>
          </w:p>
          <w:p w:rsidR="0032514E" w:rsidRPr="00677CBC" w:rsidP="00CB191E" w14:paraId="6933DA1F" w14:textId="77777777">
            <w:pPr>
              <w:rPr>
                <w:sz w:val="20"/>
              </w:rPr>
            </w:pPr>
          </w:p>
          <w:p w:rsidR="0032514E" w:rsidRPr="00677CBC" w:rsidP="00CB191E" w14:paraId="0543B467" w14:textId="77777777">
            <w:pPr>
              <w:rPr>
                <w:sz w:val="20"/>
              </w:rPr>
            </w:pPr>
            <w:r w:rsidRPr="00677CBC">
              <w:rPr>
                <w:sz w:val="20"/>
              </w:rPr>
              <w:t>These wireless microphones were at issue in the NAL</w:t>
            </w:r>
          </w:p>
        </w:tc>
      </w:tr>
      <w:tr w14:paraId="5B5103B2"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A3AFF7B"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467CA08" w14:textId="77777777">
            <w:pPr>
              <w:keepNext/>
              <w:keepLines/>
              <w:rPr>
                <w:sz w:val="20"/>
              </w:rPr>
            </w:pPr>
            <w:r w:rsidRPr="00677CBC">
              <w:rPr>
                <w:sz w:val="20"/>
              </w:rPr>
              <w:t>PDWM2135</w:t>
            </w:r>
          </w:p>
        </w:tc>
        <w:tc>
          <w:tcPr>
            <w:tcW w:w="838" w:type="pct"/>
            <w:shd w:val="clear" w:color="auto" w:fill="auto"/>
            <w:tcMar>
              <w:top w:w="14" w:type="dxa"/>
              <w:left w:w="58" w:type="dxa"/>
              <w:bottom w:w="14" w:type="dxa"/>
              <w:right w:w="58" w:type="dxa"/>
            </w:tcMar>
            <w:vAlign w:val="center"/>
            <w:hideMark/>
          </w:tcPr>
          <w:p w:rsidR="0032514E" w:rsidRPr="00677CBC" w:rsidP="00CB191E" w14:paraId="6CBE5F28" w14:textId="77777777">
            <w:pPr>
              <w:keepNext/>
              <w:keepLines/>
              <w:rPr>
                <w:sz w:val="20"/>
              </w:rPr>
            </w:pPr>
            <w:r w:rsidRPr="00677CBC">
              <w:rPr>
                <w:sz w:val="20"/>
              </w:rPr>
              <w:t>B00TOKTBL6</w:t>
            </w:r>
          </w:p>
        </w:tc>
        <w:tc>
          <w:tcPr>
            <w:tcW w:w="863" w:type="pct"/>
            <w:vMerge/>
            <w:tcMar>
              <w:top w:w="14" w:type="dxa"/>
              <w:left w:w="58" w:type="dxa"/>
              <w:bottom w:w="14" w:type="dxa"/>
              <w:right w:w="58" w:type="dxa"/>
            </w:tcMar>
            <w:vAlign w:val="center"/>
          </w:tcPr>
          <w:p w:rsidR="0032514E" w:rsidRPr="00677CBC" w:rsidP="00CB191E" w14:paraId="5E5581F5"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1677ABC"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49DC32E5" w14:textId="77777777">
            <w:pPr>
              <w:rPr>
                <w:sz w:val="20"/>
              </w:rPr>
            </w:pPr>
            <w:r w:rsidRPr="00677CBC">
              <w:rPr>
                <w:sz w:val="20"/>
              </w:rPr>
              <w:t>10/15/2021</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1F9968AA" w14:textId="77777777">
            <w:pPr>
              <w:rPr>
                <w:sz w:val="20"/>
              </w:rPr>
            </w:pPr>
          </w:p>
        </w:tc>
      </w:tr>
      <w:tr w14:paraId="0EC4DE25"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E079782"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44C39E2" w14:textId="77777777">
            <w:pPr>
              <w:keepNext/>
              <w:keepLines/>
              <w:rPr>
                <w:sz w:val="20"/>
              </w:rPr>
            </w:pPr>
            <w:r w:rsidRPr="00677CBC">
              <w:rPr>
                <w:sz w:val="20"/>
              </w:rPr>
              <w:t>PDWM2140</w:t>
            </w:r>
          </w:p>
        </w:tc>
        <w:tc>
          <w:tcPr>
            <w:tcW w:w="838" w:type="pct"/>
            <w:shd w:val="clear" w:color="auto" w:fill="auto"/>
            <w:tcMar>
              <w:top w:w="14" w:type="dxa"/>
              <w:left w:w="58" w:type="dxa"/>
              <w:bottom w:w="14" w:type="dxa"/>
              <w:right w:w="58" w:type="dxa"/>
            </w:tcMar>
            <w:vAlign w:val="center"/>
            <w:hideMark/>
          </w:tcPr>
          <w:p w:rsidR="0032514E" w:rsidRPr="00677CBC" w:rsidP="00CB191E" w14:paraId="4B555CE8" w14:textId="77777777">
            <w:pPr>
              <w:keepNext/>
              <w:keepLines/>
              <w:rPr>
                <w:sz w:val="20"/>
              </w:rPr>
            </w:pPr>
            <w:r w:rsidRPr="00677CBC">
              <w:rPr>
                <w:sz w:val="20"/>
              </w:rPr>
              <w:t>B00TJ2FE2E</w:t>
            </w:r>
          </w:p>
        </w:tc>
        <w:tc>
          <w:tcPr>
            <w:tcW w:w="863" w:type="pct"/>
            <w:vMerge/>
            <w:tcMar>
              <w:top w:w="14" w:type="dxa"/>
              <w:left w:w="58" w:type="dxa"/>
              <w:bottom w:w="14" w:type="dxa"/>
              <w:right w:w="58" w:type="dxa"/>
            </w:tcMar>
            <w:vAlign w:val="center"/>
          </w:tcPr>
          <w:p w:rsidR="0032514E" w:rsidRPr="00677CBC" w:rsidP="00CB191E" w14:paraId="24DA06E6"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5B477E7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0CC98EA" w14:textId="77777777">
            <w:pPr>
              <w:rPr>
                <w:sz w:val="20"/>
              </w:rPr>
            </w:pPr>
            <w:r w:rsidRPr="00677CBC">
              <w:rPr>
                <w:sz w:val="20"/>
              </w:rPr>
              <w:t>8/18/2022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4132D7D" w14:textId="77777777">
            <w:pPr>
              <w:rPr>
                <w:sz w:val="20"/>
              </w:rPr>
            </w:pPr>
          </w:p>
        </w:tc>
      </w:tr>
      <w:tr w14:paraId="7F259C23"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18ADABA" w14:textId="77777777">
            <w:pPr>
              <w:keepNext/>
              <w:keepLines/>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6F5EEA2" w14:textId="77777777">
            <w:pPr>
              <w:keepNext/>
              <w:keepLines/>
              <w:rPr>
                <w:sz w:val="20"/>
              </w:rPr>
            </w:pPr>
            <w:r w:rsidRPr="00677CBC">
              <w:rPr>
                <w:sz w:val="20"/>
              </w:rPr>
              <w:t>PDWM2145</w:t>
            </w:r>
          </w:p>
        </w:tc>
        <w:tc>
          <w:tcPr>
            <w:tcW w:w="838" w:type="pct"/>
            <w:tcBorders>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3D08742" w14:textId="77777777">
            <w:pPr>
              <w:keepNext/>
              <w:keepLines/>
              <w:rPr>
                <w:sz w:val="20"/>
              </w:rPr>
            </w:pPr>
            <w:r w:rsidRPr="00677CBC">
              <w:rPr>
                <w:sz w:val="20"/>
              </w:rPr>
              <w:t>B00TJ2FKZK</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41E1B09D"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0A415560"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0774EB4B" w14:textId="77777777">
            <w:pPr>
              <w:rPr>
                <w:sz w:val="20"/>
              </w:rPr>
            </w:pPr>
            <w:r w:rsidRPr="00677CBC">
              <w:rPr>
                <w:sz w:val="20"/>
              </w:rPr>
              <w:t xml:space="preserve">10/15/2022 [date provided by Company appears inaccurate based on responses received in earlier case that led to the NAL].  </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2B733E31" w14:textId="77777777">
            <w:pPr>
              <w:rPr>
                <w:sz w:val="20"/>
              </w:rPr>
            </w:pPr>
          </w:p>
        </w:tc>
      </w:tr>
      <w:tr w14:paraId="3AD6E26D"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0E3EFB6" w14:textId="77777777">
            <w:pPr>
              <w:jc w:val="center"/>
              <w:rPr>
                <w:b/>
                <w:bCs/>
                <w:sz w:val="20"/>
              </w:rPr>
            </w:pPr>
            <w:r w:rsidRPr="00677CBC">
              <w:rPr>
                <w:b/>
                <w:bCs/>
                <w:sz w:val="20"/>
              </w:rPr>
              <w:t>20</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237002D8" w14:textId="77777777">
            <w:pPr>
              <w:rPr>
                <w:sz w:val="20"/>
              </w:rPr>
            </w:pPr>
            <w:r w:rsidRPr="00677CBC">
              <w:rPr>
                <w:sz w:val="20"/>
              </w:rPr>
              <w:t>PMX466</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B29D743" w14:textId="77777777">
            <w:pPr>
              <w:rPr>
                <w:sz w:val="20"/>
              </w:rPr>
            </w:pPr>
            <w:r w:rsidRPr="00677CBC">
              <w:rPr>
                <w:sz w:val="20"/>
              </w:rPr>
              <w:t>B08BWRW5SL</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F33E10F" w14:textId="77777777">
            <w:pPr>
              <w:rPr>
                <w:sz w:val="20"/>
              </w:rPr>
            </w:pPr>
            <w:r w:rsidRPr="00677CBC">
              <w:rPr>
                <w:sz w:val="20"/>
              </w:rPr>
              <w:t>2ASQDPMXU88BT</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744DCD5E" w14:textId="77777777">
            <w:pPr>
              <w:rPr>
                <w:sz w:val="20"/>
              </w:rPr>
            </w:pPr>
            <w:r w:rsidRPr="00677CBC">
              <w:rPr>
                <w:sz w:val="20"/>
              </w:rPr>
              <w:t>4/5/2022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67CC95F1" w14:textId="77777777">
            <w:pPr>
              <w:rPr>
                <w:sz w:val="20"/>
              </w:rPr>
            </w:pPr>
            <w:r w:rsidRPr="00677CBC">
              <w:rPr>
                <w:sz w:val="20"/>
              </w:rPr>
              <w:t>10/10/2023 [date provided by Company appears inaccurate]</w:t>
            </w:r>
          </w:p>
          <w:p w:rsidR="0032514E" w:rsidRPr="00677CBC" w:rsidP="00CB191E" w14:paraId="2EA13610" w14:textId="77777777">
            <w:pPr>
              <w:rPr>
                <w:sz w:val="20"/>
              </w:rPr>
            </w:pPr>
          </w:p>
          <w:p w:rsidR="0032514E" w:rsidRPr="00677CBC" w:rsidP="00CB191E" w14:paraId="79A3D2C9" w14:textId="77777777">
            <w:pPr>
              <w:rPr>
                <w:sz w:val="20"/>
              </w:rPr>
            </w:pPr>
            <w:r w:rsidRPr="00677CBC">
              <w:rPr>
                <w:sz w:val="20"/>
              </w:rPr>
              <w:t>Amazon Date First Available: ‎ June 26, 2020</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CDA5418" w14:textId="77777777">
            <w:pPr>
              <w:rPr>
                <w:sz w:val="20"/>
              </w:rPr>
            </w:pPr>
            <w:r w:rsidRPr="00677CBC">
              <w:rPr>
                <w:sz w:val="20"/>
              </w:rPr>
              <w:t xml:space="preserve">Bluetooth required certification </w:t>
            </w:r>
          </w:p>
          <w:p w:rsidR="0032514E" w:rsidRPr="00677CBC" w:rsidP="00CB191E" w14:paraId="7ED8E5EC" w14:textId="77777777">
            <w:pPr>
              <w:rPr>
                <w:sz w:val="20"/>
              </w:rPr>
            </w:pPr>
          </w:p>
          <w:p w:rsidR="0032514E" w:rsidRPr="00677CBC" w:rsidP="00CB191E" w14:paraId="61F97A54" w14:textId="77777777">
            <w:pPr>
              <w:rPr>
                <w:sz w:val="20"/>
              </w:rPr>
            </w:pPr>
          </w:p>
        </w:tc>
      </w:tr>
      <w:tr w14:paraId="41041E96"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0B93761" w14:textId="77777777">
            <w:pPr>
              <w:jc w:val="center"/>
              <w:rPr>
                <w:b/>
                <w:bCs/>
                <w:sz w:val="20"/>
              </w:rPr>
            </w:pPr>
          </w:p>
          <w:p w:rsidR="0032514E" w:rsidRPr="00677CBC" w:rsidP="00CB191E" w14:paraId="3C8E5E87" w14:textId="77777777">
            <w:pPr>
              <w:jc w:val="center"/>
              <w:rPr>
                <w:b/>
                <w:bCs/>
                <w:sz w:val="20"/>
              </w:rPr>
            </w:pPr>
            <w:r w:rsidRPr="00677CBC">
              <w:rPr>
                <w:b/>
                <w:bCs/>
                <w:sz w:val="20"/>
              </w:rPr>
              <w:t>21</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CCD3629" w14:textId="77777777">
            <w:pPr>
              <w:rPr>
                <w:sz w:val="20"/>
              </w:rPr>
            </w:pPr>
            <w:r w:rsidRPr="00677CBC">
              <w:rPr>
                <w:sz w:val="20"/>
              </w:rPr>
              <w:t>PLRD146</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27A3A9EC" w14:textId="77777777">
            <w:pPr>
              <w:rPr>
                <w:sz w:val="20"/>
              </w:rPr>
            </w:pPr>
            <w:r w:rsidRPr="00677CBC">
              <w:rPr>
                <w:sz w:val="20"/>
              </w:rPr>
              <w:t>B07KGFMD33</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4CBA9335" w14:textId="77777777">
            <w:pPr>
              <w:rPr>
                <w:sz w:val="20"/>
              </w:rPr>
            </w:pPr>
            <w:r w:rsidRPr="00677CBC">
              <w:rPr>
                <w:sz w:val="20"/>
              </w:rPr>
              <w:t>2BAIZPLHRDVD101KT</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2CAE353E" w14:textId="77777777">
            <w:pPr>
              <w:rPr>
                <w:sz w:val="20"/>
              </w:rPr>
            </w:pPr>
            <w:r w:rsidRPr="00677CBC">
              <w:rPr>
                <w:sz w:val="20"/>
              </w:rPr>
              <w:t>3/16/2023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323D4EF6" w14:textId="77777777">
            <w:pPr>
              <w:rPr>
                <w:sz w:val="20"/>
              </w:rPr>
            </w:pPr>
            <w:r w:rsidRPr="00677CBC">
              <w:rPr>
                <w:sz w:val="20"/>
              </w:rPr>
              <w:t>8/29/2022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750AF91F" w14:textId="77777777">
            <w:pPr>
              <w:rPr>
                <w:sz w:val="20"/>
              </w:rPr>
            </w:pPr>
            <w:r w:rsidRPr="00677CBC">
              <w:rPr>
                <w:sz w:val="20"/>
              </w:rPr>
              <w:t>Wireless FM Transmitter required certification</w:t>
            </w:r>
          </w:p>
        </w:tc>
      </w:tr>
      <w:tr w14:paraId="381F565B"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61631F0"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2C86AF09" w14:textId="77777777">
            <w:pPr>
              <w:rPr>
                <w:sz w:val="20"/>
              </w:rPr>
            </w:pPr>
            <w:r w:rsidRPr="00677CBC">
              <w:rPr>
                <w:sz w:val="20"/>
              </w:rPr>
              <w:t>PLDHR926KT</w:t>
            </w:r>
          </w:p>
        </w:tc>
        <w:tc>
          <w:tcPr>
            <w:tcW w:w="838" w:type="pct"/>
            <w:shd w:val="clear" w:color="auto" w:fill="auto"/>
            <w:tcMar>
              <w:top w:w="14" w:type="dxa"/>
              <w:left w:w="58" w:type="dxa"/>
              <w:bottom w:w="14" w:type="dxa"/>
              <w:right w:w="58" w:type="dxa"/>
            </w:tcMar>
            <w:vAlign w:val="center"/>
            <w:hideMark/>
          </w:tcPr>
          <w:p w:rsidR="0032514E" w:rsidRPr="00677CBC" w:rsidP="00CB191E" w14:paraId="45F5C6DC" w14:textId="77777777">
            <w:pPr>
              <w:rPr>
                <w:sz w:val="20"/>
              </w:rPr>
            </w:pPr>
            <w:r w:rsidRPr="00677CBC">
              <w:rPr>
                <w:sz w:val="20"/>
              </w:rPr>
              <w:t>B07CDJNX89</w:t>
            </w:r>
          </w:p>
        </w:tc>
        <w:tc>
          <w:tcPr>
            <w:tcW w:w="863" w:type="pct"/>
            <w:vMerge/>
            <w:tcMar>
              <w:top w:w="14" w:type="dxa"/>
              <w:left w:w="58" w:type="dxa"/>
              <w:bottom w:w="14" w:type="dxa"/>
              <w:right w:w="58" w:type="dxa"/>
            </w:tcMar>
            <w:vAlign w:val="center"/>
          </w:tcPr>
          <w:p w:rsidR="0032514E" w:rsidRPr="00677CBC" w:rsidP="00CB191E" w14:paraId="00DAB08E"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60B3E7C3"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70CF1C2C" w14:textId="77777777">
            <w:pPr>
              <w:rPr>
                <w:sz w:val="20"/>
              </w:rPr>
            </w:pPr>
            <w:r w:rsidRPr="00677CBC">
              <w:rPr>
                <w:sz w:val="20"/>
              </w:rPr>
              <w:t>6/25/2022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478C4B6" w14:textId="77777777">
            <w:pPr>
              <w:rPr>
                <w:sz w:val="20"/>
              </w:rPr>
            </w:pPr>
          </w:p>
        </w:tc>
      </w:tr>
      <w:tr w14:paraId="77744C4E"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540AB8A"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D0195BD" w14:textId="77777777">
            <w:pPr>
              <w:rPr>
                <w:sz w:val="20"/>
              </w:rPr>
            </w:pPr>
            <w:r w:rsidRPr="00677CBC">
              <w:rPr>
                <w:sz w:val="20"/>
              </w:rPr>
              <w:t>PLHRDVD101KT</w:t>
            </w:r>
          </w:p>
        </w:tc>
        <w:tc>
          <w:tcPr>
            <w:tcW w:w="838" w:type="pct"/>
            <w:shd w:val="clear" w:color="auto" w:fill="auto"/>
            <w:tcMar>
              <w:top w:w="14" w:type="dxa"/>
              <w:left w:w="58" w:type="dxa"/>
              <w:bottom w:w="14" w:type="dxa"/>
              <w:right w:w="58" w:type="dxa"/>
            </w:tcMar>
            <w:vAlign w:val="center"/>
            <w:hideMark/>
          </w:tcPr>
          <w:p w:rsidR="0032514E" w:rsidRPr="00677CBC" w:rsidP="00CB191E" w14:paraId="00DA4DE1" w14:textId="77777777">
            <w:pPr>
              <w:rPr>
                <w:sz w:val="20"/>
              </w:rPr>
            </w:pPr>
            <w:r w:rsidRPr="00677CBC">
              <w:rPr>
                <w:sz w:val="20"/>
              </w:rPr>
              <w:t>B07CD9Q967</w:t>
            </w:r>
          </w:p>
        </w:tc>
        <w:tc>
          <w:tcPr>
            <w:tcW w:w="863" w:type="pct"/>
            <w:vMerge/>
            <w:tcMar>
              <w:top w:w="14" w:type="dxa"/>
              <w:left w:w="58" w:type="dxa"/>
              <w:bottom w:w="14" w:type="dxa"/>
              <w:right w:w="58" w:type="dxa"/>
            </w:tcMar>
            <w:vAlign w:val="center"/>
          </w:tcPr>
          <w:p w:rsidR="0032514E" w:rsidRPr="00677CBC" w:rsidP="00CB191E" w14:paraId="51EA5886"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652F7D5"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7FA5B94" w14:textId="77777777">
            <w:pPr>
              <w:rPr>
                <w:sz w:val="20"/>
              </w:rPr>
            </w:pPr>
            <w:r w:rsidRPr="00677CBC">
              <w:rPr>
                <w:sz w:val="20"/>
              </w:rPr>
              <w:t>11/4/2022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A981542" w14:textId="77777777">
            <w:pPr>
              <w:rPr>
                <w:sz w:val="20"/>
              </w:rPr>
            </w:pPr>
          </w:p>
        </w:tc>
      </w:tr>
      <w:tr w14:paraId="0A9874B3"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3A0498B"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7732210D" w14:textId="77777777">
            <w:pPr>
              <w:rPr>
                <w:sz w:val="20"/>
              </w:rPr>
            </w:pPr>
            <w:r w:rsidRPr="00677CBC">
              <w:rPr>
                <w:sz w:val="20"/>
              </w:rPr>
              <w:t>PLHRDVD103</w:t>
            </w:r>
          </w:p>
        </w:tc>
        <w:tc>
          <w:tcPr>
            <w:tcW w:w="838" w:type="pct"/>
            <w:shd w:val="clear" w:color="auto" w:fill="auto"/>
            <w:tcMar>
              <w:top w:w="14" w:type="dxa"/>
              <w:left w:w="58" w:type="dxa"/>
              <w:bottom w:w="14" w:type="dxa"/>
              <w:right w:w="58" w:type="dxa"/>
            </w:tcMar>
            <w:vAlign w:val="center"/>
            <w:hideMark/>
          </w:tcPr>
          <w:p w:rsidR="0032514E" w:rsidRPr="00677CBC" w:rsidP="00CB191E" w14:paraId="592ADB78" w14:textId="77777777">
            <w:pPr>
              <w:rPr>
                <w:sz w:val="20"/>
              </w:rPr>
            </w:pPr>
            <w:r w:rsidRPr="00677CBC">
              <w:rPr>
                <w:sz w:val="20"/>
              </w:rPr>
              <w:t>B07BSLRGXS</w:t>
            </w:r>
          </w:p>
        </w:tc>
        <w:tc>
          <w:tcPr>
            <w:tcW w:w="863" w:type="pct"/>
            <w:vMerge/>
            <w:tcMar>
              <w:top w:w="14" w:type="dxa"/>
              <w:left w:w="58" w:type="dxa"/>
              <w:bottom w:w="14" w:type="dxa"/>
              <w:right w:w="58" w:type="dxa"/>
            </w:tcMar>
            <w:vAlign w:val="center"/>
          </w:tcPr>
          <w:p w:rsidR="0032514E" w:rsidRPr="00677CBC" w:rsidP="00CB191E" w14:paraId="5C326C39"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56EBA8D"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3F75FA7" w14:textId="77777777">
            <w:pPr>
              <w:rPr>
                <w:sz w:val="20"/>
              </w:rPr>
            </w:pPr>
            <w:r w:rsidRPr="00677CBC">
              <w:rPr>
                <w:sz w:val="20"/>
              </w:rPr>
              <w:t>11/3/2022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41D7EDB" w14:textId="77777777">
            <w:pPr>
              <w:rPr>
                <w:sz w:val="20"/>
              </w:rPr>
            </w:pPr>
          </w:p>
        </w:tc>
      </w:tr>
      <w:tr w14:paraId="3151F4E2"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5C1A20A"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40721726" w14:textId="77777777">
            <w:pPr>
              <w:rPr>
                <w:sz w:val="20"/>
              </w:rPr>
            </w:pPr>
            <w:r w:rsidRPr="00677CBC">
              <w:rPr>
                <w:sz w:val="20"/>
              </w:rPr>
              <w:t>PLHRDVD108KT</w:t>
            </w:r>
          </w:p>
        </w:tc>
        <w:tc>
          <w:tcPr>
            <w:tcW w:w="838" w:type="pct"/>
            <w:shd w:val="clear" w:color="auto" w:fill="auto"/>
            <w:tcMar>
              <w:top w:w="14" w:type="dxa"/>
              <w:left w:w="58" w:type="dxa"/>
              <w:bottom w:w="14" w:type="dxa"/>
              <w:right w:w="58" w:type="dxa"/>
            </w:tcMar>
            <w:vAlign w:val="center"/>
            <w:hideMark/>
          </w:tcPr>
          <w:p w:rsidR="0032514E" w:rsidRPr="00677CBC" w:rsidP="00CB191E" w14:paraId="73EEEB83" w14:textId="77777777">
            <w:pPr>
              <w:rPr>
                <w:sz w:val="20"/>
              </w:rPr>
            </w:pPr>
            <w:r w:rsidRPr="00677CBC">
              <w:rPr>
                <w:sz w:val="20"/>
              </w:rPr>
              <w:t>B07KGFGGTY</w:t>
            </w:r>
          </w:p>
        </w:tc>
        <w:tc>
          <w:tcPr>
            <w:tcW w:w="863" w:type="pct"/>
            <w:vMerge/>
            <w:tcMar>
              <w:top w:w="14" w:type="dxa"/>
              <w:left w:w="58" w:type="dxa"/>
              <w:bottom w:w="14" w:type="dxa"/>
              <w:right w:w="58" w:type="dxa"/>
            </w:tcMar>
            <w:vAlign w:val="center"/>
          </w:tcPr>
          <w:p w:rsidR="0032514E" w:rsidRPr="00677CBC" w:rsidP="00CB191E" w14:paraId="2FCDF135"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0AAB5865"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A6AE1DF" w14:textId="77777777">
            <w:pPr>
              <w:rPr>
                <w:sz w:val="20"/>
              </w:rPr>
            </w:pPr>
            <w:r w:rsidRPr="00677CBC">
              <w:rPr>
                <w:sz w:val="20"/>
              </w:rPr>
              <w:t>11/3/2022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1681748" w14:textId="77777777">
            <w:pPr>
              <w:rPr>
                <w:sz w:val="20"/>
              </w:rPr>
            </w:pPr>
          </w:p>
        </w:tc>
      </w:tr>
      <w:tr w14:paraId="506D1C16"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02C3FC5"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2C972EDA" w14:textId="77777777">
            <w:pPr>
              <w:rPr>
                <w:sz w:val="20"/>
              </w:rPr>
            </w:pPr>
            <w:r w:rsidRPr="00677CBC">
              <w:rPr>
                <w:sz w:val="20"/>
              </w:rPr>
              <w:t>PLHRDVD904</w:t>
            </w:r>
          </w:p>
        </w:tc>
        <w:tc>
          <w:tcPr>
            <w:tcW w:w="838" w:type="pct"/>
            <w:shd w:val="clear" w:color="auto" w:fill="auto"/>
            <w:tcMar>
              <w:top w:w="14" w:type="dxa"/>
              <w:left w:w="58" w:type="dxa"/>
              <w:bottom w:w="14" w:type="dxa"/>
              <w:right w:w="58" w:type="dxa"/>
            </w:tcMar>
            <w:vAlign w:val="center"/>
            <w:hideMark/>
          </w:tcPr>
          <w:p w:rsidR="0032514E" w:rsidRPr="00677CBC" w:rsidP="00CB191E" w14:paraId="3EED2335" w14:textId="77777777">
            <w:pPr>
              <w:rPr>
                <w:sz w:val="20"/>
              </w:rPr>
            </w:pPr>
            <w:r w:rsidRPr="00677CBC">
              <w:rPr>
                <w:sz w:val="20"/>
              </w:rPr>
              <w:t>[none provided]</w:t>
            </w:r>
          </w:p>
        </w:tc>
        <w:tc>
          <w:tcPr>
            <w:tcW w:w="863" w:type="pct"/>
            <w:vMerge/>
            <w:tcMar>
              <w:top w:w="14" w:type="dxa"/>
              <w:left w:w="58" w:type="dxa"/>
              <w:bottom w:w="14" w:type="dxa"/>
              <w:right w:w="58" w:type="dxa"/>
            </w:tcMar>
            <w:vAlign w:val="center"/>
          </w:tcPr>
          <w:p w:rsidR="0032514E" w:rsidRPr="00677CBC" w:rsidP="00CB191E" w14:paraId="2A6C8312"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FED02B6"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28DCA4B" w14:textId="77777777">
            <w:pPr>
              <w:rPr>
                <w:sz w:val="20"/>
              </w:rPr>
            </w:pPr>
            <w:r w:rsidRPr="00677CBC">
              <w:rPr>
                <w:sz w:val="20"/>
              </w:rPr>
              <w:t>12/15/2022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749698B4" w14:textId="77777777">
            <w:pPr>
              <w:rPr>
                <w:sz w:val="20"/>
              </w:rPr>
            </w:pPr>
          </w:p>
        </w:tc>
      </w:tr>
      <w:tr w14:paraId="00E26C6A"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4DB6B03"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70A4FE98" w14:textId="77777777">
            <w:pPr>
              <w:rPr>
                <w:sz w:val="20"/>
              </w:rPr>
            </w:pPr>
            <w:r w:rsidRPr="00677CBC">
              <w:rPr>
                <w:sz w:val="20"/>
              </w:rPr>
              <w:t>PLRV1525</w:t>
            </w:r>
          </w:p>
        </w:tc>
        <w:tc>
          <w:tcPr>
            <w:tcW w:w="838" w:type="pct"/>
            <w:shd w:val="clear" w:color="auto" w:fill="auto"/>
            <w:tcMar>
              <w:top w:w="14" w:type="dxa"/>
              <w:left w:w="58" w:type="dxa"/>
              <w:bottom w:w="14" w:type="dxa"/>
              <w:right w:w="58" w:type="dxa"/>
            </w:tcMar>
            <w:vAlign w:val="center"/>
            <w:hideMark/>
          </w:tcPr>
          <w:p w:rsidR="0032514E" w:rsidRPr="00677CBC" w:rsidP="00CB191E" w14:paraId="04C80961" w14:textId="77777777">
            <w:pPr>
              <w:rPr>
                <w:sz w:val="20"/>
              </w:rPr>
            </w:pPr>
            <w:r w:rsidRPr="00677CBC">
              <w:rPr>
                <w:sz w:val="20"/>
              </w:rPr>
              <w:t>[none provided]</w:t>
            </w:r>
          </w:p>
        </w:tc>
        <w:tc>
          <w:tcPr>
            <w:tcW w:w="863" w:type="pct"/>
            <w:vMerge/>
            <w:tcMar>
              <w:top w:w="14" w:type="dxa"/>
              <w:left w:w="58" w:type="dxa"/>
              <w:bottom w:w="14" w:type="dxa"/>
              <w:right w:w="58" w:type="dxa"/>
            </w:tcMar>
            <w:vAlign w:val="center"/>
          </w:tcPr>
          <w:p w:rsidR="0032514E" w:rsidRPr="00677CBC" w:rsidP="00CB191E" w14:paraId="091C80F8"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58C5C73"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14C35DA7" w14:textId="77777777">
            <w:pPr>
              <w:rPr>
                <w:sz w:val="20"/>
              </w:rPr>
            </w:pPr>
            <w:r w:rsidRPr="00677CBC">
              <w:rPr>
                <w:sz w:val="20"/>
              </w:rPr>
              <w:t>12/15/2022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5EC9A26" w14:textId="77777777">
            <w:pPr>
              <w:rPr>
                <w:sz w:val="20"/>
              </w:rPr>
            </w:pPr>
          </w:p>
        </w:tc>
      </w:tr>
      <w:tr w14:paraId="45B819C4"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965D25D" w14:textId="77777777">
            <w:pPr>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2243E193" w14:textId="77777777">
            <w:pPr>
              <w:rPr>
                <w:sz w:val="20"/>
              </w:rPr>
            </w:pPr>
            <w:r w:rsidRPr="00677CBC">
              <w:rPr>
                <w:sz w:val="20"/>
              </w:rPr>
              <w:t>PLRV1725</w:t>
            </w:r>
          </w:p>
        </w:tc>
        <w:tc>
          <w:tcPr>
            <w:tcW w:w="838" w:type="pct"/>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213194B1" w14:textId="77777777">
            <w:pPr>
              <w:rPr>
                <w:sz w:val="20"/>
              </w:rPr>
            </w:pPr>
            <w:r w:rsidRPr="00677CBC">
              <w:rPr>
                <w:sz w:val="20"/>
              </w:rPr>
              <w:t>B07D21XZPS</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062202B0"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61CDD47E"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305DD0F6" w14:textId="77777777">
            <w:pPr>
              <w:rPr>
                <w:sz w:val="20"/>
              </w:rPr>
            </w:pPr>
            <w:r w:rsidRPr="00677CBC">
              <w:rPr>
                <w:sz w:val="20"/>
              </w:rPr>
              <w:t>6/25/2022</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A262DCF" w14:textId="77777777">
            <w:pPr>
              <w:rPr>
                <w:sz w:val="20"/>
              </w:rPr>
            </w:pPr>
          </w:p>
        </w:tc>
      </w:tr>
      <w:tr w14:paraId="750DCC64"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2C15D8D" w14:textId="77777777">
            <w:pPr>
              <w:jc w:val="center"/>
              <w:rPr>
                <w:b/>
                <w:bCs/>
                <w:sz w:val="20"/>
              </w:rPr>
            </w:pPr>
            <w:r>
              <w:rPr>
                <w:b/>
                <w:bCs/>
                <w:sz w:val="20"/>
              </w:rPr>
              <w:t>22</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F2ED2E7" w14:textId="77777777">
            <w:pPr>
              <w:rPr>
                <w:sz w:val="20"/>
              </w:rPr>
            </w:pPr>
            <w:r w:rsidRPr="00677CBC">
              <w:rPr>
                <w:sz w:val="20"/>
              </w:rPr>
              <w:t>PLHRDVD90KT</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25D91E2" w14:textId="77777777">
            <w:pPr>
              <w:rPr>
                <w:sz w:val="20"/>
              </w:rPr>
            </w:pPr>
            <w:r w:rsidRPr="00677CBC">
              <w:rPr>
                <w:sz w:val="20"/>
              </w:rPr>
              <w:t>B07BSMLVG1</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AB233CA" w14:textId="77777777">
            <w:pPr>
              <w:rPr>
                <w:sz w:val="20"/>
              </w:rPr>
            </w:pPr>
            <w:r w:rsidRPr="00677CBC">
              <w:rPr>
                <w:sz w:val="20"/>
              </w:rPr>
              <w:t>2BAIZPLHRDVD101KT</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1799810" w14:textId="77777777">
            <w:pPr>
              <w:rPr>
                <w:sz w:val="20"/>
              </w:rPr>
            </w:pPr>
            <w:r w:rsidRPr="00677CBC">
              <w:rPr>
                <w:sz w:val="20"/>
              </w:rPr>
              <w:t>03/16/2023</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00CB62D3" w14:textId="77777777">
            <w:pPr>
              <w:rPr>
                <w:sz w:val="20"/>
              </w:rPr>
            </w:pPr>
            <w:r w:rsidRPr="00677CBC">
              <w:rPr>
                <w:sz w:val="20"/>
              </w:rPr>
              <w:t>8/2/2022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59AF74C" w14:textId="77777777">
            <w:pPr>
              <w:rPr>
                <w:sz w:val="20"/>
              </w:rPr>
            </w:pPr>
            <w:r w:rsidRPr="00677CBC">
              <w:rPr>
                <w:sz w:val="20"/>
              </w:rPr>
              <w:t xml:space="preserve">FM Transmitter required certification </w:t>
            </w:r>
          </w:p>
        </w:tc>
      </w:tr>
      <w:tr w14:paraId="4F28CA52" w14:textId="77777777" w:rsidTr="00CB191E">
        <w:tblPrEx>
          <w:tblW w:w="5000" w:type="pct"/>
          <w:jc w:val="center"/>
          <w:tblLayout w:type="fixed"/>
          <w:tblLook w:val="04A0"/>
        </w:tblPrEx>
        <w:trPr>
          <w:cantSplit/>
          <w:trHeight w:val="343"/>
          <w:jc w:val="center"/>
        </w:trPr>
        <w:tc>
          <w:tcPr>
            <w:tcW w:w="184" w:type="pct"/>
            <w:vMerge w:val="restart"/>
            <w:tcBorders>
              <w:top w:val="double" w:sz="4" w:space="0" w:color="auto"/>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D66FCFF" w14:textId="77777777">
            <w:pPr>
              <w:jc w:val="center"/>
              <w:rPr>
                <w:b/>
                <w:bCs/>
                <w:sz w:val="20"/>
              </w:rPr>
            </w:pPr>
            <w:r>
              <w:rPr>
                <w:b/>
                <w:bCs/>
                <w:sz w:val="20"/>
              </w:rPr>
              <w:t>23</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63048AA4" w14:textId="77777777">
            <w:pPr>
              <w:keepNext/>
              <w:keepLines/>
              <w:rPr>
                <w:sz w:val="20"/>
              </w:rPr>
            </w:pPr>
            <w:r w:rsidRPr="00677CBC">
              <w:rPr>
                <w:sz w:val="20"/>
              </w:rPr>
              <w:t>PSBT105A</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4047A4C6" w14:textId="77777777">
            <w:pPr>
              <w:keepNext/>
              <w:keepLines/>
              <w:rPr>
                <w:sz w:val="20"/>
              </w:rPr>
            </w:pPr>
            <w:r w:rsidRPr="00677CBC">
              <w:rPr>
                <w:sz w:val="20"/>
              </w:rPr>
              <w:t>B07XZJJ2J1</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178908B0" w14:textId="77777777">
            <w:pPr>
              <w:keepNext/>
              <w:keepLines/>
              <w:rPr>
                <w:sz w:val="20"/>
              </w:rPr>
            </w:pPr>
            <w:r w:rsidRPr="00677CBC">
              <w:rPr>
                <w:sz w:val="20"/>
              </w:rPr>
              <w:t>2AQAW-PSBT65A</w:t>
            </w:r>
          </w:p>
          <w:p w:rsidR="0032514E" w:rsidRPr="00677CBC" w:rsidP="00CB191E" w14:paraId="7F1F09B9" w14:textId="77777777">
            <w:pPr>
              <w:keepNext/>
              <w:keepLines/>
              <w:rPr>
                <w:sz w:val="20"/>
              </w:rPr>
            </w:pPr>
          </w:p>
          <w:p w:rsidR="0032514E" w:rsidRPr="00677CBC" w:rsidP="00CB191E" w14:paraId="64C4EA7A" w14:textId="77777777">
            <w:pPr>
              <w:keepNext/>
              <w:keepLines/>
              <w:rPr>
                <w:sz w:val="20"/>
              </w:rPr>
            </w:pPr>
            <w:r w:rsidRPr="00677CBC">
              <w:rPr>
                <w:sz w:val="20"/>
              </w:rPr>
              <w:t>2A5X5-PSBT125A</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7164364A" w14:textId="77777777">
            <w:pPr>
              <w:keepNext/>
              <w:keepLines/>
              <w:rPr>
                <w:sz w:val="20"/>
              </w:rPr>
            </w:pPr>
            <w:r w:rsidRPr="00677CBC">
              <w:rPr>
                <w:sz w:val="20"/>
              </w:rPr>
              <w:t>8/2/2018 for wireless Microphone functions (2AQAW-PSBT65A)</w:t>
            </w:r>
          </w:p>
          <w:p w:rsidR="0032514E" w:rsidRPr="00677CBC" w:rsidP="00CB191E" w14:paraId="2C83AB45" w14:textId="77777777">
            <w:pPr>
              <w:keepNext/>
              <w:keepLines/>
              <w:rPr>
                <w:sz w:val="20"/>
              </w:rPr>
            </w:pPr>
          </w:p>
          <w:p w:rsidR="0032514E" w:rsidRPr="00677CBC" w:rsidP="00CB191E" w14:paraId="524E4F9B" w14:textId="77777777">
            <w:pPr>
              <w:keepNext/>
              <w:keepLines/>
              <w:rPr>
                <w:sz w:val="20"/>
              </w:rPr>
            </w:pPr>
            <w:r w:rsidRPr="00677CBC">
              <w:rPr>
                <w:sz w:val="20"/>
              </w:rPr>
              <w:t>05/16/2023 for Bluetooth operation</w:t>
            </w:r>
            <w:r>
              <w:rPr>
                <w:sz w:val="20"/>
              </w:rPr>
              <w:t xml:space="preserve"> (</w:t>
            </w:r>
            <w:r w:rsidRPr="00677CBC">
              <w:rPr>
                <w:sz w:val="20"/>
              </w:rPr>
              <w:t>2A5X5-PSBT125A)</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2150C979" w14:textId="77777777">
            <w:pPr>
              <w:keepNext/>
              <w:keepLines/>
              <w:rPr>
                <w:sz w:val="20"/>
              </w:rPr>
            </w:pPr>
            <w:r w:rsidRPr="00677CBC">
              <w:rPr>
                <w:sz w:val="20"/>
              </w:rPr>
              <w:t>7/19/2022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334DEA78" w14:textId="77777777">
            <w:pPr>
              <w:keepNext/>
              <w:keepLines/>
              <w:rPr>
                <w:sz w:val="20"/>
              </w:rPr>
            </w:pPr>
            <w:r w:rsidRPr="00677CBC">
              <w:rPr>
                <w:sz w:val="20"/>
              </w:rPr>
              <w:t>Bluetooth operations of speakers required certification (earlier authorization only covered wireless microphone operations)</w:t>
            </w:r>
          </w:p>
        </w:tc>
      </w:tr>
      <w:tr w14:paraId="6C62586C" w14:textId="77777777" w:rsidTr="00CB191E">
        <w:tblPrEx>
          <w:tblW w:w="5000" w:type="pct"/>
          <w:jc w:val="center"/>
          <w:tblLayout w:type="fixed"/>
          <w:tblLook w:val="04A0"/>
        </w:tblPrEx>
        <w:trPr>
          <w:cantSplit/>
          <w:trHeight w:val="345"/>
          <w:jc w:val="center"/>
        </w:trPr>
        <w:tc>
          <w:tcPr>
            <w:tcW w:w="184" w:type="pct"/>
            <w:vMerge/>
            <w:tcBorders>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AE685A0"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28A14329" w14:textId="77777777">
            <w:pPr>
              <w:keepNext/>
              <w:keepLines/>
              <w:rPr>
                <w:sz w:val="20"/>
              </w:rPr>
            </w:pPr>
            <w:r w:rsidRPr="00677CBC">
              <w:rPr>
                <w:sz w:val="20"/>
              </w:rPr>
              <w:t>PSBT125A</w:t>
            </w:r>
          </w:p>
        </w:tc>
        <w:tc>
          <w:tcPr>
            <w:tcW w:w="838" w:type="pct"/>
            <w:shd w:val="clear" w:color="auto" w:fill="auto"/>
            <w:tcMar>
              <w:top w:w="14" w:type="dxa"/>
              <w:left w:w="58" w:type="dxa"/>
              <w:bottom w:w="14" w:type="dxa"/>
              <w:right w:w="58" w:type="dxa"/>
            </w:tcMar>
            <w:vAlign w:val="center"/>
            <w:hideMark/>
          </w:tcPr>
          <w:p w:rsidR="0032514E" w:rsidRPr="00677CBC" w:rsidP="00CB191E" w14:paraId="4D9A556F" w14:textId="77777777">
            <w:pPr>
              <w:keepNext/>
              <w:keepLines/>
              <w:rPr>
                <w:sz w:val="20"/>
              </w:rPr>
            </w:pPr>
            <w:r w:rsidRPr="00677CBC">
              <w:rPr>
                <w:sz w:val="20"/>
              </w:rPr>
              <w:t>B07XZJ8KNN</w:t>
            </w:r>
          </w:p>
        </w:tc>
        <w:tc>
          <w:tcPr>
            <w:tcW w:w="863" w:type="pct"/>
            <w:vMerge/>
            <w:tcMar>
              <w:top w:w="14" w:type="dxa"/>
              <w:left w:w="58" w:type="dxa"/>
              <w:bottom w:w="14" w:type="dxa"/>
              <w:right w:w="58" w:type="dxa"/>
            </w:tcMar>
            <w:vAlign w:val="center"/>
          </w:tcPr>
          <w:p w:rsidR="0032514E" w:rsidRPr="00677CBC" w:rsidP="00CB191E" w14:paraId="34CC5F7D"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1F7801EC"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9EE8776" w14:textId="77777777">
            <w:pPr>
              <w:keepNext/>
              <w:keepLines/>
              <w:rPr>
                <w:sz w:val="20"/>
              </w:rPr>
            </w:pPr>
            <w:r w:rsidRPr="00677CBC">
              <w:rPr>
                <w:sz w:val="20"/>
              </w:rPr>
              <w:t>7/19/2022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ECF93B5" w14:textId="77777777">
            <w:pPr>
              <w:rPr>
                <w:sz w:val="20"/>
              </w:rPr>
            </w:pPr>
          </w:p>
        </w:tc>
      </w:tr>
      <w:tr w14:paraId="0E557FFE" w14:textId="77777777" w:rsidTr="00CB191E">
        <w:tblPrEx>
          <w:tblW w:w="5000" w:type="pct"/>
          <w:jc w:val="center"/>
          <w:tblLayout w:type="fixed"/>
          <w:tblLook w:val="04A0"/>
        </w:tblPrEx>
        <w:trPr>
          <w:cantSplit/>
          <w:trHeight w:val="345"/>
          <w:jc w:val="center"/>
        </w:trPr>
        <w:tc>
          <w:tcPr>
            <w:tcW w:w="184" w:type="pct"/>
            <w:vMerge/>
            <w:tcBorders>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3E726FD"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tcPr>
          <w:p w:rsidR="0032514E" w:rsidRPr="00677CBC" w:rsidP="00CB191E" w14:paraId="25CF8636" w14:textId="77777777">
            <w:pPr>
              <w:keepNext/>
              <w:keepLines/>
              <w:rPr>
                <w:sz w:val="20"/>
              </w:rPr>
            </w:pPr>
            <w:r w:rsidRPr="00677CBC">
              <w:rPr>
                <w:sz w:val="20"/>
              </w:rPr>
              <w:t>PSBT62A</w:t>
            </w:r>
          </w:p>
        </w:tc>
        <w:tc>
          <w:tcPr>
            <w:tcW w:w="838" w:type="pct"/>
            <w:shd w:val="clear" w:color="auto" w:fill="auto"/>
            <w:tcMar>
              <w:top w:w="14" w:type="dxa"/>
              <w:left w:w="58" w:type="dxa"/>
              <w:bottom w:w="14" w:type="dxa"/>
              <w:right w:w="58" w:type="dxa"/>
            </w:tcMar>
            <w:vAlign w:val="center"/>
          </w:tcPr>
          <w:p w:rsidR="0032514E" w:rsidRPr="00677CBC" w:rsidP="00CB191E" w14:paraId="255C9857" w14:textId="77777777">
            <w:pPr>
              <w:keepNext/>
              <w:keepLines/>
              <w:rPr>
                <w:sz w:val="20"/>
              </w:rPr>
            </w:pPr>
            <w:r w:rsidRPr="00677CBC">
              <w:rPr>
                <w:sz w:val="20"/>
              </w:rPr>
              <w:t>B08BTYTX1M</w:t>
            </w:r>
          </w:p>
        </w:tc>
        <w:tc>
          <w:tcPr>
            <w:tcW w:w="863" w:type="pct"/>
            <w:vMerge/>
            <w:tcMar>
              <w:top w:w="14" w:type="dxa"/>
              <w:left w:w="58" w:type="dxa"/>
              <w:bottom w:w="14" w:type="dxa"/>
              <w:right w:w="58" w:type="dxa"/>
            </w:tcMar>
            <w:vAlign w:val="center"/>
          </w:tcPr>
          <w:p w:rsidR="0032514E" w:rsidRPr="00677CBC" w:rsidP="00CB191E" w14:paraId="6C4D0976"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6270D51F"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1DACFDC6" w14:textId="77777777">
            <w:pPr>
              <w:keepNext/>
              <w:keepLines/>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109063E8" w14:textId="77777777">
            <w:pPr>
              <w:rPr>
                <w:sz w:val="20"/>
              </w:rPr>
            </w:pPr>
          </w:p>
        </w:tc>
      </w:tr>
      <w:tr w14:paraId="639704E1" w14:textId="77777777" w:rsidTr="00CB191E">
        <w:tblPrEx>
          <w:tblW w:w="5000" w:type="pct"/>
          <w:jc w:val="center"/>
          <w:tblLayout w:type="fixed"/>
          <w:tblLook w:val="04A0"/>
        </w:tblPrEx>
        <w:trPr>
          <w:cantSplit/>
          <w:trHeight w:val="354"/>
          <w:jc w:val="center"/>
        </w:trPr>
        <w:tc>
          <w:tcPr>
            <w:tcW w:w="184" w:type="pct"/>
            <w:vMerge/>
            <w:tcBorders>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11BFC68"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tcPr>
          <w:p w:rsidR="0032514E" w:rsidRPr="00677CBC" w:rsidP="00CB191E" w14:paraId="29AEE00C" w14:textId="77777777">
            <w:pPr>
              <w:keepNext/>
              <w:keepLines/>
              <w:rPr>
                <w:sz w:val="20"/>
              </w:rPr>
            </w:pPr>
            <w:r w:rsidRPr="00677CBC">
              <w:rPr>
                <w:sz w:val="20"/>
              </w:rPr>
              <w:t>PSBT62A.5</w:t>
            </w:r>
          </w:p>
        </w:tc>
        <w:tc>
          <w:tcPr>
            <w:tcW w:w="838" w:type="pct"/>
            <w:shd w:val="clear" w:color="auto" w:fill="auto"/>
            <w:tcMar>
              <w:top w:w="14" w:type="dxa"/>
              <w:left w:w="58" w:type="dxa"/>
              <w:bottom w:w="14" w:type="dxa"/>
              <w:right w:w="58" w:type="dxa"/>
            </w:tcMar>
            <w:vAlign w:val="center"/>
          </w:tcPr>
          <w:p w:rsidR="0032514E" w:rsidRPr="00677CBC" w:rsidP="00CB191E" w14:paraId="34D60407" w14:textId="77777777">
            <w:pPr>
              <w:keepNext/>
              <w:keepLines/>
              <w:rPr>
                <w:sz w:val="20"/>
              </w:rPr>
            </w:pPr>
            <w:r w:rsidRPr="00677CBC">
              <w:rPr>
                <w:sz w:val="20"/>
              </w:rPr>
              <w:t>B08VJLLNFT</w:t>
            </w:r>
          </w:p>
        </w:tc>
        <w:tc>
          <w:tcPr>
            <w:tcW w:w="863" w:type="pct"/>
            <w:vMerge/>
            <w:tcMar>
              <w:top w:w="14" w:type="dxa"/>
              <w:left w:w="58" w:type="dxa"/>
              <w:bottom w:w="14" w:type="dxa"/>
              <w:right w:w="58" w:type="dxa"/>
            </w:tcMar>
            <w:vAlign w:val="center"/>
          </w:tcPr>
          <w:p w:rsidR="0032514E" w:rsidRPr="00677CBC" w:rsidP="00CB191E" w14:paraId="11655374"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773F4F3C"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2CF9AEF" w14:textId="77777777">
            <w:pPr>
              <w:keepNext/>
              <w:keepLines/>
              <w:rPr>
                <w:sz w:val="20"/>
              </w:rPr>
            </w:pPr>
            <w:r w:rsidRPr="00677CBC">
              <w:rPr>
                <w:sz w:val="20"/>
              </w:rPr>
              <w:t>8/25/2022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017794E0" w14:textId="77777777">
            <w:pPr>
              <w:rPr>
                <w:sz w:val="20"/>
              </w:rPr>
            </w:pPr>
          </w:p>
        </w:tc>
      </w:tr>
      <w:tr w14:paraId="7D7489DF" w14:textId="77777777" w:rsidTr="00CB191E">
        <w:tblPrEx>
          <w:tblW w:w="5000" w:type="pct"/>
          <w:jc w:val="center"/>
          <w:tblLayout w:type="fixed"/>
          <w:tblLook w:val="04A0"/>
        </w:tblPrEx>
        <w:trPr>
          <w:cantSplit/>
          <w:trHeight w:val="435"/>
          <w:jc w:val="center"/>
        </w:trPr>
        <w:tc>
          <w:tcPr>
            <w:tcW w:w="184" w:type="pct"/>
            <w:vMerge/>
            <w:tcBorders>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3A30BB9"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tcPr>
          <w:p w:rsidR="0032514E" w:rsidRPr="00677CBC" w:rsidP="00CB191E" w14:paraId="1105914D" w14:textId="77777777">
            <w:pPr>
              <w:keepNext/>
              <w:keepLines/>
              <w:rPr>
                <w:sz w:val="20"/>
              </w:rPr>
            </w:pPr>
            <w:r w:rsidRPr="00677CBC">
              <w:rPr>
                <w:sz w:val="20"/>
              </w:rPr>
              <w:t>PSBT65A</w:t>
            </w:r>
          </w:p>
        </w:tc>
        <w:tc>
          <w:tcPr>
            <w:tcW w:w="838" w:type="pct"/>
            <w:shd w:val="clear" w:color="auto" w:fill="auto"/>
            <w:tcMar>
              <w:top w:w="14" w:type="dxa"/>
              <w:left w:w="58" w:type="dxa"/>
              <w:bottom w:w="14" w:type="dxa"/>
              <w:right w:w="58" w:type="dxa"/>
            </w:tcMar>
            <w:vAlign w:val="center"/>
          </w:tcPr>
          <w:p w:rsidR="0032514E" w:rsidRPr="00677CBC" w:rsidP="00CB191E" w14:paraId="1DA3E954" w14:textId="77777777">
            <w:pPr>
              <w:keepNext/>
              <w:keepLines/>
              <w:rPr>
                <w:sz w:val="20"/>
              </w:rPr>
            </w:pPr>
            <w:r w:rsidRPr="00677CBC">
              <w:rPr>
                <w:sz w:val="20"/>
              </w:rPr>
              <w:t>B0783S9CJ4</w:t>
            </w:r>
          </w:p>
        </w:tc>
        <w:tc>
          <w:tcPr>
            <w:tcW w:w="863" w:type="pct"/>
            <w:vMerge/>
            <w:tcMar>
              <w:top w:w="14" w:type="dxa"/>
              <w:left w:w="58" w:type="dxa"/>
              <w:bottom w:w="14" w:type="dxa"/>
              <w:right w:w="58" w:type="dxa"/>
            </w:tcMar>
            <w:vAlign w:val="center"/>
          </w:tcPr>
          <w:p w:rsidR="0032514E" w:rsidRPr="00677CBC" w:rsidP="00CB191E" w14:paraId="343AF164"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544B53CE"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8DAF4CD" w14:textId="77777777">
            <w:pPr>
              <w:keepNext/>
              <w:keepLines/>
              <w:rPr>
                <w:sz w:val="20"/>
              </w:rPr>
            </w:pPr>
            <w:r w:rsidRPr="00677CBC">
              <w:rPr>
                <w:sz w:val="20"/>
              </w:rPr>
              <w:t>8/19/2022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2EE5D0D" w14:textId="77777777">
            <w:pPr>
              <w:rPr>
                <w:sz w:val="20"/>
              </w:rPr>
            </w:pPr>
          </w:p>
        </w:tc>
      </w:tr>
      <w:tr w14:paraId="07920EBF" w14:textId="77777777" w:rsidTr="00CB191E">
        <w:tblPrEx>
          <w:tblW w:w="5000" w:type="pct"/>
          <w:jc w:val="center"/>
          <w:tblLayout w:type="fixed"/>
          <w:tblLook w:val="04A0"/>
        </w:tblPrEx>
        <w:trPr>
          <w:cantSplit/>
          <w:trHeight w:val="570"/>
          <w:jc w:val="center"/>
        </w:trPr>
        <w:tc>
          <w:tcPr>
            <w:tcW w:w="184" w:type="pct"/>
            <w:vMerge/>
            <w:tcBorders>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7ADA1B28"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tcPr>
          <w:p w:rsidR="0032514E" w:rsidRPr="00677CBC" w:rsidP="00CB191E" w14:paraId="1C50C425" w14:textId="77777777">
            <w:pPr>
              <w:keepNext/>
              <w:keepLines/>
              <w:rPr>
                <w:sz w:val="20"/>
              </w:rPr>
            </w:pPr>
            <w:r w:rsidRPr="00677CBC">
              <w:rPr>
                <w:sz w:val="20"/>
              </w:rPr>
              <w:t>PSBT65A.5</w:t>
            </w:r>
          </w:p>
        </w:tc>
        <w:tc>
          <w:tcPr>
            <w:tcW w:w="838" w:type="pct"/>
            <w:shd w:val="clear" w:color="auto" w:fill="auto"/>
            <w:tcMar>
              <w:top w:w="14" w:type="dxa"/>
              <w:left w:w="58" w:type="dxa"/>
              <w:bottom w:w="14" w:type="dxa"/>
              <w:right w:w="58" w:type="dxa"/>
            </w:tcMar>
            <w:vAlign w:val="center"/>
          </w:tcPr>
          <w:p w:rsidR="0032514E" w:rsidRPr="00677CBC" w:rsidP="00CB191E" w14:paraId="61818798" w14:textId="77777777">
            <w:pPr>
              <w:keepNext/>
              <w:keepLines/>
              <w:rPr>
                <w:sz w:val="20"/>
              </w:rPr>
            </w:pPr>
            <w:r w:rsidRPr="00677CBC">
              <w:rPr>
                <w:sz w:val="20"/>
              </w:rPr>
              <w:t>B07HNC29KW</w:t>
            </w:r>
          </w:p>
        </w:tc>
        <w:tc>
          <w:tcPr>
            <w:tcW w:w="863" w:type="pct"/>
            <w:vMerge/>
            <w:tcMar>
              <w:top w:w="14" w:type="dxa"/>
              <w:left w:w="58" w:type="dxa"/>
              <w:bottom w:w="14" w:type="dxa"/>
              <w:right w:w="58" w:type="dxa"/>
            </w:tcMar>
            <w:vAlign w:val="center"/>
          </w:tcPr>
          <w:p w:rsidR="0032514E" w:rsidRPr="00677CBC" w:rsidP="00CB191E" w14:paraId="413BCF59"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E8E7036"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29738A28" w14:textId="77777777">
            <w:pPr>
              <w:keepNext/>
              <w:keepLines/>
              <w:rPr>
                <w:sz w:val="20"/>
              </w:rPr>
            </w:pPr>
            <w:r w:rsidRPr="00677CBC">
              <w:rPr>
                <w:sz w:val="20"/>
              </w:rPr>
              <w:t>11/15/2022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087DF65" w14:textId="77777777">
            <w:pPr>
              <w:rPr>
                <w:sz w:val="20"/>
              </w:rPr>
            </w:pPr>
          </w:p>
        </w:tc>
      </w:tr>
      <w:tr w14:paraId="006971EB" w14:textId="77777777" w:rsidTr="00CB191E">
        <w:tblPrEx>
          <w:tblW w:w="5000" w:type="pct"/>
          <w:jc w:val="center"/>
          <w:tblLayout w:type="fixed"/>
          <w:tblLook w:val="04A0"/>
        </w:tblPrEx>
        <w:trPr>
          <w:cantSplit/>
          <w:jc w:val="center"/>
        </w:trPr>
        <w:tc>
          <w:tcPr>
            <w:tcW w:w="184" w:type="pct"/>
            <w:vMerge/>
            <w:tcBorders>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94C5BD4" w14:textId="77777777">
            <w:pPr>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516B8E75" w14:textId="77777777">
            <w:pPr>
              <w:keepNext/>
              <w:keepLines/>
              <w:rPr>
                <w:sz w:val="20"/>
              </w:rPr>
            </w:pPr>
            <w:r w:rsidRPr="00677CBC">
              <w:rPr>
                <w:sz w:val="20"/>
              </w:rPr>
              <w:t>PSBT85A</w:t>
            </w:r>
          </w:p>
        </w:tc>
        <w:tc>
          <w:tcPr>
            <w:tcW w:w="838" w:type="pct"/>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2645126B" w14:textId="77777777">
            <w:pPr>
              <w:keepNext/>
              <w:keepLines/>
              <w:rPr>
                <w:sz w:val="20"/>
              </w:rPr>
            </w:pPr>
            <w:r w:rsidRPr="00677CBC">
              <w:rPr>
                <w:sz w:val="20"/>
              </w:rPr>
              <w:t>B07XZFNZ5D</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42E06CA3"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36B473EB"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43CFDBE2" w14:textId="77777777">
            <w:pPr>
              <w:keepNext/>
              <w:keepLines/>
              <w:rPr>
                <w:sz w:val="20"/>
              </w:rPr>
            </w:pPr>
            <w:r w:rsidRPr="00677CBC">
              <w:rPr>
                <w:sz w:val="20"/>
              </w:rPr>
              <w:t>10/15/2021</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8333AF4" w14:textId="77777777">
            <w:pPr>
              <w:rPr>
                <w:sz w:val="20"/>
              </w:rPr>
            </w:pPr>
          </w:p>
        </w:tc>
      </w:tr>
      <w:tr w14:paraId="3EB47253"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843FE97" w14:textId="77777777">
            <w:pPr>
              <w:jc w:val="center"/>
              <w:rPr>
                <w:b/>
                <w:bCs/>
                <w:sz w:val="20"/>
              </w:rPr>
            </w:pPr>
            <w:r>
              <w:rPr>
                <w:b/>
                <w:bCs/>
                <w:sz w:val="20"/>
              </w:rPr>
              <w:t>24</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38AC5DE" w14:textId="77777777">
            <w:pPr>
              <w:rPr>
                <w:sz w:val="20"/>
              </w:rPr>
            </w:pPr>
            <w:r w:rsidRPr="00677CBC">
              <w:rPr>
                <w:sz w:val="20"/>
              </w:rPr>
              <w:t>PT260A</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4DD5A3CC" w14:textId="77777777">
            <w:pPr>
              <w:rPr>
                <w:sz w:val="20"/>
              </w:rPr>
            </w:pPr>
            <w:r w:rsidRPr="00677CBC">
              <w:rPr>
                <w:sz w:val="20"/>
              </w:rPr>
              <w:t>[none provided] </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17F9B442" w14:textId="77777777">
            <w:pPr>
              <w:rPr>
                <w:sz w:val="20"/>
              </w:rPr>
            </w:pPr>
            <w:r w:rsidRPr="00677CBC">
              <w:rPr>
                <w:sz w:val="20"/>
              </w:rPr>
              <w:t>2A5X5-PT260A</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1851813" w14:textId="77777777">
            <w:pPr>
              <w:rPr>
                <w:sz w:val="20"/>
              </w:rPr>
            </w:pPr>
            <w:r w:rsidRPr="00677CBC">
              <w:rPr>
                <w:sz w:val="20"/>
              </w:rPr>
              <w:t>12/19/2022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49F97169" w14:textId="77777777">
            <w:pPr>
              <w:rPr>
                <w:sz w:val="20"/>
              </w:rPr>
            </w:pPr>
            <w:r w:rsidRPr="00677CBC">
              <w:rPr>
                <w:sz w:val="20"/>
              </w:rPr>
              <w:t>06/25/2022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0180A130" w14:textId="77777777">
            <w:pPr>
              <w:rPr>
                <w:sz w:val="20"/>
              </w:rPr>
            </w:pPr>
            <w:r w:rsidRPr="00677CBC">
              <w:rPr>
                <w:sz w:val="20"/>
              </w:rPr>
              <w:t xml:space="preserve">Bluetooth required certification </w:t>
            </w:r>
          </w:p>
        </w:tc>
      </w:tr>
      <w:tr w14:paraId="5A9F8639"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B92A35C" w14:textId="77777777">
            <w:pPr>
              <w:jc w:val="center"/>
              <w:rPr>
                <w:b/>
                <w:bCs/>
                <w:sz w:val="20"/>
              </w:rPr>
            </w:pP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3391D11F" w14:textId="77777777">
            <w:pPr>
              <w:rPr>
                <w:sz w:val="20"/>
              </w:rPr>
            </w:pP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7C105DC9" w14:textId="77777777">
            <w:pPr>
              <w:rPr>
                <w:sz w:val="20"/>
              </w:rPr>
            </w:pP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1AEAEBD2" w14:textId="77777777">
            <w:pPr>
              <w:rPr>
                <w:sz w:val="20"/>
              </w:rPr>
            </w:pP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41659E3F" w14:textId="77777777">
            <w:pPr>
              <w:rPr>
                <w:sz w:val="20"/>
              </w:rPr>
            </w:pP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7274B13F" w14:textId="77777777">
            <w:pPr>
              <w:rPr>
                <w:sz w:val="20"/>
              </w:rPr>
            </w:pP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01C0C057" w14:textId="77777777">
            <w:pPr>
              <w:rPr>
                <w:sz w:val="20"/>
              </w:rPr>
            </w:pPr>
          </w:p>
        </w:tc>
      </w:tr>
      <w:tr w14:paraId="17789133" w14:textId="77777777" w:rsidTr="00CB191E">
        <w:tblPrEx>
          <w:tblW w:w="5000" w:type="pct"/>
          <w:jc w:val="center"/>
          <w:tblLayout w:type="fixed"/>
          <w:tblLook w:val="04A0"/>
        </w:tblPrEx>
        <w:trPr>
          <w:cantSplit/>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4ED1087" w14:textId="77777777">
            <w:pPr>
              <w:keepNext/>
              <w:keepLines/>
              <w:jc w:val="center"/>
              <w:rPr>
                <w:b/>
                <w:bCs/>
                <w:sz w:val="20"/>
              </w:rPr>
            </w:pPr>
          </w:p>
          <w:p w:rsidR="0032514E" w:rsidRPr="00677CBC" w:rsidP="00CB191E" w14:paraId="059FD108" w14:textId="77777777">
            <w:pPr>
              <w:keepNext/>
              <w:keepLines/>
              <w:jc w:val="center"/>
              <w:rPr>
                <w:b/>
                <w:bCs/>
                <w:sz w:val="20"/>
              </w:rPr>
            </w:pPr>
            <w:r>
              <w:rPr>
                <w:b/>
                <w:bCs/>
                <w:sz w:val="20"/>
              </w:rPr>
              <w:t>25</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5F22C60B" w14:textId="77777777">
            <w:pPr>
              <w:keepNext/>
              <w:keepLines/>
              <w:rPr>
                <w:sz w:val="20"/>
              </w:rPr>
            </w:pPr>
            <w:r w:rsidRPr="00677CBC">
              <w:rPr>
                <w:sz w:val="20"/>
              </w:rPr>
              <w:t>PKBRD37WT</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54147F4B" w14:textId="77777777">
            <w:pPr>
              <w:keepNext/>
              <w:keepLines/>
              <w:rPr>
                <w:sz w:val="20"/>
              </w:rPr>
            </w:pPr>
            <w:r w:rsidRPr="00677CBC">
              <w:rPr>
                <w:sz w:val="20"/>
              </w:rPr>
              <w:t>[none provided]</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31643E48" w14:textId="77777777">
            <w:pPr>
              <w:keepNext/>
              <w:keepLines/>
              <w:rPr>
                <w:sz w:val="20"/>
              </w:rPr>
            </w:pPr>
            <w:r w:rsidRPr="00677CBC">
              <w:rPr>
                <w:sz w:val="20"/>
              </w:rPr>
              <w:t>SD</w:t>
            </w:r>
            <w:r>
              <w:rPr>
                <w:sz w:val="20"/>
              </w:rPr>
              <w:t>O</w:t>
            </w:r>
            <w:r w:rsidRPr="00677CBC">
              <w:rPr>
                <w:sz w:val="20"/>
              </w:rPr>
              <w:t>C</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6DB6286B" w14:textId="77777777">
            <w:pPr>
              <w:keepNext/>
              <w:keepLines/>
              <w:rPr>
                <w:sz w:val="20"/>
              </w:rPr>
            </w:pPr>
            <w:r w:rsidRPr="00677CBC">
              <w:rPr>
                <w:sz w:val="20"/>
              </w:rPr>
              <w:t>4/2/2023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00399007" w14:textId="77777777">
            <w:pPr>
              <w:keepNext/>
              <w:keepLines/>
              <w:rPr>
                <w:sz w:val="20"/>
              </w:rPr>
            </w:pPr>
            <w:r w:rsidRPr="00677CBC">
              <w:rPr>
                <w:sz w:val="20"/>
              </w:rPr>
              <w:t>2/1/2023</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3B571976" w14:textId="77777777">
            <w:pPr>
              <w:keepNext/>
              <w:keepLines/>
              <w:rPr>
                <w:sz w:val="20"/>
              </w:rPr>
            </w:pPr>
            <w:r w:rsidRPr="00677CBC">
              <w:rPr>
                <w:sz w:val="20"/>
              </w:rPr>
              <w:t>Unintentional radiator required certification or SDOC</w:t>
            </w:r>
          </w:p>
        </w:tc>
      </w:tr>
      <w:tr w14:paraId="1DC4B068"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766FE6A"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153AD46B" w14:textId="77777777">
            <w:pPr>
              <w:keepNext/>
              <w:keepLines/>
              <w:rPr>
                <w:sz w:val="20"/>
              </w:rPr>
            </w:pPr>
            <w:r w:rsidRPr="00677CBC">
              <w:rPr>
                <w:sz w:val="20"/>
              </w:rPr>
              <w:t>PKBRD4112</w:t>
            </w:r>
          </w:p>
        </w:tc>
        <w:tc>
          <w:tcPr>
            <w:tcW w:w="838" w:type="pct"/>
            <w:shd w:val="clear" w:color="auto" w:fill="auto"/>
            <w:tcMar>
              <w:top w:w="14" w:type="dxa"/>
              <w:left w:w="58" w:type="dxa"/>
              <w:bottom w:w="14" w:type="dxa"/>
              <w:right w:w="58" w:type="dxa"/>
            </w:tcMar>
            <w:vAlign w:val="center"/>
            <w:hideMark/>
          </w:tcPr>
          <w:p w:rsidR="0032514E" w:rsidRPr="00677CBC" w:rsidP="00CB191E" w14:paraId="0CF3D149" w14:textId="77777777">
            <w:pPr>
              <w:keepNext/>
              <w:keepLines/>
              <w:rPr>
                <w:sz w:val="20"/>
              </w:rPr>
            </w:pPr>
            <w:r w:rsidRPr="00677CBC">
              <w:rPr>
                <w:sz w:val="20"/>
              </w:rPr>
              <w:t>[none provided] </w:t>
            </w:r>
          </w:p>
        </w:tc>
        <w:tc>
          <w:tcPr>
            <w:tcW w:w="863" w:type="pct"/>
            <w:vMerge/>
            <w:tcMar>
              <w:top w:w="14" w:type="dxa"/>
              <w:left w:w="58" w:type="dxa"/>
              <w:bottom w:w="14" w:type="dxa"/>
              <w:right w:w="58" w:type="dxa"/>
            </w:tcMar>
            <w:vAlign w:val="center"/>
          </w:tcPr>
          <w:p w:rsidR="0032514E" w:rsidRPr="00677CBC" w:rsidP="00CB191E" w14:paraId="00B08AC8"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0FC8C30C"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23EF532B" w14:textId="77777777">
            <w:pPr>
              <w:keepNext/>
              <w:keepLines/>
              <w:rPr>
                <w:sz w:val="20"/>
              </w:rPr>
            </w:pPr>
            <w:r w:rsidRPr="00677CBC">
              <w:rPr>
                <w:sz w:val="20"/>
              </w:rPr>
              <w:t>2/1/2023</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2F565341" w14:textId="77777777">
            <w:pPr>
              <w:keepNext/>
              <w:keepLines/>
              <w:rPr>
                <w:sz w:val="20"/>
              </w:rPr>
            </w:pPr>
          </w:p>
        </w:tc>
      </w:tr>
      <w:tr w14:paraId="501BF42F"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1DB04210"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0DE32B75" w14:textId="77777777">
            <w:pPr>
              <w:keepNext/>
              <w:keepLines/>
              <w:rPr>
                <w:sz w:val="20"/>
              </w:rPr>
            </w:pPr>
            <w:r w:rsidRPr="00677CBC">
              <w:rPr>
                <w:sz w:val="20"/>
              </w:rPr>
              <w:t>PKBRD4113</w:t>
            </w:r>
          </w:p>
        </w:tc>
        <w:tc>
          <w:tcPr>
            <w:tcW w:w="838" w:type="pct"/>
            <w:shd w:val="clear" w:color="auto" w:fill="auto"/>
            <w:tcMar>
              <w:top w:w="14" w:type="dxa"/>
              <w:left w:w="58" w:type="dxa"/>
              <w:bottom w:w="14" w:type="dxa"/>
              <w:right w:w="58" w:type="dxa"/>
            </w:tcMar>
            <w:vAlign w:val="center"/>
            <w:hideMark/>
          </w:tcPr>
          <w:p w:rsidR="0032514E" w:rsidRPr="00677CBC" w:rsidP="00CB191E" w14:paraId="5F06D5D8" w14:textId="77777777">
            <w:pPr>
              <w:keepNext/>
              <w:keepLines/>
              <w:rPr>
                <w:sz w:val="20"/>
              </w:rPr>
            </w:pPr>
            <w:r w:rsidRPr="00677CBC">
              <w:rPr>
                <w:sz w:val="20"/>
              </w:rPr>
              <w:t>B09F5142L3</w:t>
            </w:r>
          </w:p>
        </w:tc>
        <w:tc>
          <w:tcPr>
            <w:tcW w:w="863" w:type="pct"/>
            <w:vMerge/>
            <w:tcMar>
              <w:top w:w="14" w:type="dxa"/>
              <w:left w:w="58" w:type="dxa"/>
              <w:bottom w:w="14" w:type="dxa"/>
              <w:right w:w="58" w:type="dxa"/>
            </w:tcMar>
            <w:vAlign w:val="center"/>
          </w:tcPr>
          <w:p w:rsidR="0032514E" w:rsidRPr="00677CBC" w:rsidP="00CB191E" w14:paraId="2446B9B7"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484F7566"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2B57B4AE" w14:textId="77777777">
            <w:pPr>
              <w:keepNext/>
              <w:keepLines/>
              <w:rPr>
                <w:sz w:val="20"/>
              </w:rPr>
            </w:pPr>
            <w:r w:rsidRPr="00677CBC">
              <w:rPr>
                <w:sz w:val="20"/>
              </w:rPr>
              <w:t>4/15/2022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EBB3CE5" w14:textId="77777777">
            <w:pPr>
              <w:keepNext/>
              <w:keepLines/>
              <w:rPr>
                <w:sz w:val="20"/>
              </w:rPr>
            </w:pPr>
          </w:p>
        </w:tc>
      </w:tr>
      <w:tr w14:paraId="0DDC46A9"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B73847E"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79AEB24F" w14:textId="77777777">
            <w:pPr>
              <w:keepNext/>
              <w:keepLines/>
              <w:rPr>
                <w:sz w:val="20"/>
              </w:rPr>
            </w:pPr>
            <w:r w:rsidRPr="00677CBC">
              <w:rPr>
                <w:sz w:val="20"/>
              </w:rPr>
              <w:t>PKBRD4911PK</w:t>
            </w:r>
          </w:p>
        </w:tc>
        <w:tc>
          <w:tcPr>
            <w:tcW w:w="838" w:type="pct"/>
            <w:shd w:val="clear" w:color="auto" w:fill="auto"/>
            <w:tcMar>
              <w:top w:w="14" w:type="dxa"/>
              <w:left w:w="58" w:type="dxa"/>
              <w:bottom w:w="14" w:type="dxa"/>
              <w:right w:w="58" w:type="dxa"/>
            </w:tcMar>
            <w:vAlign w:val="center"/>
            <w:hideMark/>
          </w:tcPr>
          <w:p w:rsidR="0032514E" w:rsidRPr="00677CBC" w:rsidP="00CB191E" w14:paraId="3DFB670D" w14:textId="77777777">
            <w:pPr>
              <w:keepNext/>
              <w:keepLines/>
              <w:rPr>
                <w:sz w:val="20"/>
              </w:rPr>
            </w:pPr>
            <w:r w:rsidRPr="00677CBC">
              <w:rPr>
                <w:sz w:val="20"/>
              </w:rPr>
              <w:t>[none provided] </w:t>
            </w:r>
          </w:p>
        </w:tc>
        <w:tc>
          <w:tcPr>
            <w:tcW w:w="863" w:type="pct"/>
            <w:vMerge/>
            <w:tcMar>
              <w:top w:w="14" w:type="dxa"/>
              <w:left w:w="58" w:type="dxa"/>
              <w:bottom w:w="14" w:type="dxa"/>
              <w:right w:w="58" w:type="dxa"/>
            </w:tcMar>
            <w:vAlign w:val="center"/>
          </w:tcPr>
          <w:p w:rsidR="0032514E" w:rsidRPr="00677CBC" w:rsidP="00CB191E" w14:paraId="70AD3C5B"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40F158B5"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05E4F618" w14:textId="77777777">
            <w:pPr>
              <w:keepNext/>
              <w:keepLines/>
              <w:rPr>
                <w:sz w:val="20"/>
              </w:rPr>
            </w:pPr>
            <w:r w:rsidRPr="00677CBC">
              <w:rPr>
                <w:sz w:val="20"/>
              </w:rPr>
              <w:t>2/1/2023</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BC19E22" w14:textId="77777777">
            <w:pPr>
              <w:keepNext/>
              <w:keepLines/>
              <w:rPr>
                <w:sz w:val="20"/>
              </w:rPr>
            </w:pPr>
          </w:p>
        </w:tc>
      </w:tr>
      <w:tr w14:paraId="6326868C"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68F7FBC"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5A242DEE" w14:textId="77777777">
            <w:pPr>
              <w:keepNext/>
              <w:keepLines/>
              <w:rPr>
                <w:sz w:val="20"/>
              </w:rPr>
            </w:pPr>
            <w:r w:rsidRPr="00677CBC">
              <w:rPr>
                <w:sz w:val="20"/>
              </w:rPr>
              <w:t>PKBRD4912PK</w:t>
            </w:r>
          </w:p>
        </w:tc>
        <w:tc>
          <w:tcPr>
            <w:tcW w:w="838" w:type="pct"/>
            <w:shd w:val="clear" w:color="auto" w:fill="auto"/>
            <w:tcMar>
              <w:top w:w="14" w:type="dxa"/>
              <w:left w:w="58" w:type="dxa"/>
              <w:bottom w:w="14" w:type="dxa"/>
              <w:right w:w="58" w:type="dxa"/>
            </w:tcMar>
            <w:vAlign w:val="center"/>
            <w:hideMark/>
          </w:tcPr>
          <w:p w:rsidR="0032514E" w:rsidRPr="00677CBC" w:rsidP="00CB191E" w14:paraId="3902ED1C" w14:textId="77777777">
            <w:pPr>
              <w:keepNext/>
              <w:keepLines/>
              <w:rPr>
                <w:sz w:val="20"/>
              </w:rPr>
            </w:pPr>
            <w:r w:rsidRPr="00677CBC">
              <w:rPr>
                <w:sz w:val="20"/>
              </w:rPr>
              <w:t>[none provided] </w:t>
            </w:r>
          </w:p>
        </w:tc>
        <w:tc>
          <w:tcPr>
            <w:tcW w:w="863" w:type="pct"/>
            <w:vMerge/>
            <w:tcMar>
              <w:top w:w="14" w:type="dxa"/>
              <w:left w:w="58" w:type="dxa"/>
              <w:bottom w:w="14" w:type="dxa"/>
              <w:right w:w="58" w:type="dxa"/>
            </w:tcMar>
            <w:vAlign w:val="center"/>
          </w:tcPr>
          <w:p w:rsidR="0032514E" w:rsidRPr="00677CBC" w:rsidP="00CB191E" w14:paraId="404F295B"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37F26E43"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6A7CD0E3" w14:textId="77777777">
            <w:pPr>
              <w:keepNext/>
              <w:keepLines/>
              <w:rPr>
                <w:sz w:val="20"/>
              </w:rPr>
            </w:pPr>
            <w:r w:rsidRPr="00677CBC">
              <w:rPr>
                <w:sz w:val="20"/>
              </w:rPr>
              <w:t>2/1/2023</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166786B" w14:textId="77777777">
            <w:pPr>
              <w:keepNext/>
              <w:keepLines/>
              <w:rPr>
                <w:sz w:val="20"/>
              </w:rPr>
            </w:pPr>
          </w:p>
        </w:tc>
      </w:tr>
      <w:tr w14:paraId="7D6354F0"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804955B"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42E29E7F" w14:textId="77777777">
            <w:pPr>
              <w:keepNext/>
              <w:keepLines/>
              <w:rPr>
                <w:sz w:val="20"/>
              </w:rPr>
            </w:pPr>
            <w:r w:rsidRPr="00677CBC">
              <w:rPr>
                <w:sz w:val="20"/>
              </w:rPr>
              <w:t>PKBRD6111</w:t>
            </w:r>
          </w:p>
        </w:tc>
        <w:tc>
          <w:tcPr>
            <w:tcW w:w="838" w:type="pct"/>
            <w:shd w:val="clear" w:color="auto" w:fill="auto"/>
            <w:tcMar>
              <w:top w:w="14" w:type="dxa"/>
              <w:left w:w="58" w:type="dxa"/>
              <w:bottom w:w="14" w:type="dxa"/>
              <w:right w:w="58" w:type="dxa"/>
            </w:tcMar>
            <w:vAlign w:val="center"/>
            <w:hideMark/>
          </w:tcPr>
          <w:p w:rsidR="0032514E" w:rsidRPr="00677CBC" w:rsidP="00CB191E" w14:paraId="0AE75132" w14:textId="77777777">
            <w:pPr>
              <w:keepNext/>
              <w:keepLines/>
              <w:rPr>
                <w:sz w:val="20"/>
              </w:rPr>
            </w:pPr>
            <w:r w:rsidRPr="00677CBC">
              <w:rPr>
                <w:sz w:val="20"/>
              </w:rPr>
              <w:t>B07P2DW2KW</w:t>
            </w:r>
          </w:p>
        </w:tc>
        <w:tc>
          <w:tcPr>
            <w:tcW w:w="863" w:type="pct"/>
            <w:vMerge/>
            <w:tcMar>
              <w:top w:w="14" w:type="dxa"/>
              <w:left w:w="58" w:type="dxa"/>
              <w:bottom w:w="14" w:type="dxa"/>
              <w:right w:w="58" w:type="dxa"/>
            </w:tcMar>
            <w:vAlign w:val="center"/>
          </w:tcPr>
          <w:p w:rsidR="0032514E" w:rsidRPr="00677CBC" w:rsidP="00CB191E" w14:paraId="6722A395"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36EA82B7"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5DA57C6C" w14:textId="77777777">
            <w:pPr>
              <w:keepNext/>
              <w:keepLines/>
              <w:rPr>
                <w:sz w:val="20"/>
              </w:rPr>
            </w:pPr>
            <w:r w:rsidRPr="00677CBC">
              <w:rPr>
                <w:sz w:val="20"/>
              </w:rPr>
              <w:t>4/15/2022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30A32230" w14:textId="77777777">
            <w:pPr>
              <w:keepNext/>
              <w:keepLines/>
              <w:rPr>
                <w:sz w:val="20"/>
              </w:rPr>
            </w:pPr>
          </w:p>
        </w:tc>
      </w:tr>
      <w:tr w14:paraId="39E0FE5A"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66BE82A8" w14:textId="77777777">
            <w:pPr>
              <w:keepNext/>
              <w:keepLines/>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5A75075" w14:textId="77777777">
            <w:pPr>
              <w:keepNext/>
              <w:keepLines/>
              <w:rPr>
                <w:sz w:val="20"/>
              </w:rPr>
            </w:pPr>
            <w:r w:rsidRPr="00677CBC">
              <w:rPr>
                <w:sz w:val="20"/>
              </w:rPr>
              <w:t>PKBRD6112</w:t>
            </w:r>
          </w:p>
        </w:tc>
        <w:tc>
          <w:tcPr>
            <w:tcW w:w="838" w:type="pct"/>
            <w:shd w:val="clear" w:color="auto" w:fill="auto"/>
            <w:tcMar>
              <w:top w:w="14" w:type="dxa"/>
              <w:left w:w="58" w:type="dxa"/>
              <w:bottom w:w="14" w:type="dxa"/>
              <w:right w:w="58" w:type="dxa"/>
            </w:tcMar>
            <w:vAlign w:val="center"/>
            <w:hideMark/>
          </w:tcPr>
          <w:p w:rsidR="0032514E" w:rsidRPr="00677CBC" w:rsidP="00CB191E" w14:paraId="6EC661C8" w14:textId="77777777">
            <w:pPr>
              <w:keepNext/>
              <w:keepLines/>
              <w:rPr>
                <w:sz w:val="20"/>
              </w:rPr>
            </w:pPr>
            <w:r w:rsidRPr="00677CBC">
              <w:rPr>
                <w:sz w:val="20"/>
              </w:rPr>
              <w:t>B09F4WVG9K</w:t>
            </w:r>
          </w:p>
        </w:tc>
        <w:tc>
          <w:tcPr>
            <w:tcW w:w="863" w:type="pct"/>
            <w:vMerge/>
            <w:tcMar>
              <w:top w:w="14" w:type="dxa"/>
              <w:left w:w="58" w:type="dxa"/>
              <w:bottom w:w="14" w:type="dxa"/>
              <w:right w:w="58" w:type="dxa"/>
            </w:tcMar>
            <w:vAlign w:val="center"/>
          </w:tcPr>
          <w:p w:rsidR="0032514E" w:rsidRPr="00677CBC" w:rsidP="00CB191E" w14:paraId="4BA22839" w14:textId="77777777">
            <w:pPr>
              <w:keepNext/>
              <w:keepLines/>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26EDE235" w14:textId="77777777">
            <w:pPr>
              <w:keepNext/>
              <w:keepLines/>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0F0BDA62" w14:textId="77777777">
            <w:pPr>
              <w:keepNext/>
              <w:keepLines/>
              <w:rPr>
                <w:sz w:val="20"/>
              </w:rPr>
            </w:pPr>
            <w:r w:rsidRPr="00677CBC">
              <w:rPr>
                <w:sz w:val="20"/>
              </w:rPr>
              <w:t>4/15/2022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54C58DE2" w14:textId="77777777">
            <w:pPr>
              <w:keepNext/>
              <w:keepLines/>
              <w:rPr>
                <w:sz w:val="20"/>
              </w:rPr>
            </w:pPr>
          </w:p>
        </w:tc>
      </w:tr>
      <w:tr w14:paraId="13344E5C" w14:textId="77777777" w:rsidTr="00CB191E">
        <w:tblPrEx>
          <w:tblW w:w="5000" w:type="pct"/>
          <w:jc w:val="center"/>
          <w:tblLayout w:type="fixed"/>
          <w:tblLook w:val="04A0"/>
        </w:tblPrEx>
        <w:trPr>
          <w:cantSplit/>
          <w:trHeight w:val="586"/>
          <w:jc w:val="center"/>
        </w:trPr>
        <w:tc>
          <w:tcPr>
            <w:tcW w:w="184" w:type="pct"/>
            <w:vMerge w:val="restar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78AA814" w14:textId="77777777">
            <w:pPr>
              <w:jc w:val="center"/>
              <w:rPr>
                <w:b/>
                <w:bCs/>
                <w:sz w:val="20"/>
              </w:rPr>
            </w:pPr>
            <w:r w:rsidRPr="00677CBC">
              <w:rPr>
                <w:sz w:val="20"/>
              </w:rPr>
              <w:br w:type="page"/>
            </w:r>
          </w:p>
          <w:p w:rsidR="0032514E" w:rsidRPr="00677CBC" w:rsidP="00CB191E" w14:paraId="6D5EB186" w14:textId="77777777">
            <w:pPr>
              <w:jc w:val="center"/>
              <w:rPr>
                <w:b/>
                <w:bCs/>
                <w:sz w:val="20"/>
              </w:rPr>
            </w:pPr>
            <w:r>
              <w:rPr>
                <w:b/>
                <w:bCs/>
                <w:sz w:val="20"/>
              </w:rPr>
              <w:t>26</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64CD4C9A" w14:textId="77777777">
            <w:pPr>
              <w:rPr>
                <w:sz w:val="20"/>
              </w:rPr>
            </w:pPr>
            <w:r w:rsidRPr="00677CBC">
              <w:rPr>
                <w:sz w:val="20"/>
              </w:rPr>
              <w:t>PEGKT30</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33009194" w14:textId="77777777">
            <w:pPr>
              <w:rPr>
                <w:sz w:val="20"/>
              </w:rPr>
            </w:pPr>
            <w:r w:rsidRPr="00677CBC">
              <w:rPr>
                <w:sz w:val="20"/>
              </w:rPr>
              <w:t>BOBKLPCYW6</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37DDA83E" w14:textId="77777777">
            <w:pPr>
              <w:rPr>
                <w:sz w:val="20"/>
              </w:rPr>
            </w:pPr>
            <w:r w:rsidRPr="00677CBC">
              <w:rPr>
                <w:sz w:val="20"/>
              </w:rPr>
              <w:t>SD</w:t>
            </w:r>
            <w:r>
              <w:rPr>
                <w:sz w:val="20"/>
              </w:rPr>
              <w:t>OC</w:t>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4D8C2552" w14:textId="77777777">
            <w:pPr>
              <w:rPr>
                <w:sz w:val="20"/>
              </w:rPr>
            </w:pPr>
            <w:r w:rsidRPr="00677CBC">
              <w:rPr>
                <w:sz w:val="20"/>
              </w:rPr>
              <w:t>4/24/2023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1480899E" w14:textId="77777777">
            <w:pPr>
              <w:rPr>
                <w:sz w:val="20"/>
              </w:rPr>
            </w:pPr>
            <w:r w:rsidRPr="00677CBC">
              <w:rPr>
                <w:sz w:val="20"/>
              </w:rPr>
              <w:t>8/10/2022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222C292C" w14:textId="77777777">
            <w:pPr>
              <w:rPr>
                <w:sz w:val="20"/>
              </w:rPr>
            </w:pPr>
            <w:r w:rsidRPr="00677CBC">
              <w:rPr>
                <w:sz w:val="20"/>
              </w:rPr>
              <w:t>Unintentional radiator required certification or SD</w:t>
            </w:r>
            <w:r>
              <w:rPr>
                <w:sz w:val="20"/>
              </w:rPr>
              <w:t>O</w:t>
            </w:r>
            <w:r w:rsidRPr="00677CBC">
              <w:rPr>
                <w:sz w:val="20"/>
              </w:rPr>
              <w:t>C</w:t>
            </w:r>
          </w:p>
        </w:tc>
      </w:tr>
      <w:tr w14:paraId="14D761DD" w14:textId="77777777" w:rsidTr="00CB191E">
        <w:tblPrEx>
          <w:tblW w:w="5000" w:type="pct"/>
          <w:jc w:val="center"/>
          <w:tblLayout w:type="fixed"/>
          <w:tblLook w:val="04A0"/>
        </w:tblPrEx>
        <w:trPr>
          <w:cantSplit/>
          <w:jc w:val="center"/>
        </w:trPr>
        <w:tc>
          <w:tcPr>
            <w:tcW w:w="184" w:type="pct"/>
            <w:vMerge/>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8AEDCF0" w14:textId="77777777">
            <w:pPr>
              <w:jc w:val="center"/>
              <w:rPr>
                <w:b/>
                <w:bCs/>
                <w:sz w:val="20"/>
              </w:rPr>
            </w:pPr>
          </w:p>
        </w:tc>
        <w:tc>
          <w:tcPr>
            <w:tcW w:w="847" w:type="pct"/>
            <w:tcBorders>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75EC1E6" w14:textId="77777777">
            <w:pPr>
              <w:rPr>
                <w:sz w:val="20"/>
              </w:rPr>
            </w:pPr>
            <w:r w:rsidRPr="00677CBC">
              <w:rPr>
                <w:sz w:val="20"/>
              </w:rPr>
              <w:t>PUKTEAK74</w:t>
            </w:r>
          </w:p>
        </w:tc>
        <w:tc>
          <w:tcPr>
            <w:tcW w:w="838" w:type="pct"/>
            <w:tcBorders>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9415ED0" w14:textId="77777777">
            <w:pPr>
              <w:rPr>
                <w:sz w:val="20"/>
              </w:rPr>
            </w:pPr>
            <w:r w:rsidRPr="00677CBC">
              <w:rPr>
                <w:sz w:val="20"/>
              </w:rPr>
              <w:t>[none provided] </w:t>
            </w:r>
          </w:p>
        </w:tc>
        <w:tc>
          <w:tcPr>
            <w:tcW w:w="863" w:type="pct"/>
            <w:vMerge/>
            <w:tcBorders>
              <w:bottom w:val="double" w:sz="4" w:space="0" w:color="auto"/>
            </w:tcBorders>
            <w:tcMar>
              <w:top w:w="14" w:type="dxa"/>
              <w:left w:w="58" w:type="dxa"/>
              <w:bottom w:w="14" w:type="dxa"/>
              <w:right w:w="58" w:type="dxa"/>
            </w:tcMar>
            <w:vAlign w:val="center"/>
          </w:tcPr>
          <w:p w:rsidR="0032514E" w:rsidRPr="00677CBC" w:rsidP="00CB191E" w14:paraId="7BDF0542" w14:textId="77777777">
            <w:pPr>
              <w:rPr>
                <w:sz w:val="20"/>
              </w:rPr>
            </w:pPr>
          </w:p>
        </w:tc>
        <w:tc>
          <w:tcPr>
            <w:tcW w:w="588" w:type="pct"/>
            <w:vMerge/>
            <w:tcBorders>
              <w:bottom w:val="double" w:sz="4" w:space="0" w:color="auto"/>
            </w:tcBorders>
            <w:shd w:val="clear" w:color="auto" w:fill="auto"/>
            <w:tcMar>
              <w:top w:w="14" w:type="dxa"/>
              <w:left w:w="58" w:type="dxa"/>
              <w:bottom w:w="14" w:type="dxa"/>
              <w:right w:w="58" w:type="dxa"/>
            </w:tcMar>
            <w:vAlign w:val="center"/>
          </w:tcPr>
          <w:p w:rsidR="0032514E" w:rsidRPr="00677CBC" w:rsidP="00CB191E" w14:paraId="35D9C1EB" w14:textId="77777777">
            <w:pPr>
              <w:rPr>
                <w:sz w:val="20"/>
              </w:rPr>
            </w:pPr>
          </w:p>
        </w:tc>
        <w:tc>
          <w:tcPr>
            <w:tcW w:w="905" w:type="pct"/>
            <w:tcBorders>
              <w:bottom w:val="double" w:sz="4" w:space="0" w:color="auto"/>
              <w:right w:val="single" w:sz="4" w:space="0" w:color="auto"/>
            </w:tcBorders>
            <w:tcMar>
              <w:top w:w="14" w:type="dxa"/>
              <w:left w:w="58" w:type="dxa"/>
              <w:bottom w:w="14" w:type="dxa"/>
              <w:right w:w="58" w:type="dxa"/>
            </w:tcMar>
            <w:vAlign w:val="center"/>
          </w:tcPr>
          <w:p w:rsidR="0032514E" w:rsidRPr="00677CBC" w:rsidP="00CB191E" w14:paraId="7DF12178" w14:textId="77777777">
            <w:pPr>
              <w:rPr>
                <w:sz w:val="20"/>
              </w:rPr>
            </w:pPr>
            <w:r w:rsidRPr="00677CBC">
              <w:rPr>
                <w:sz w:val="20"/>
              </w:rPr>
              <w:t>3/15/2023</w:t>
            </w:r>
          </w:p>
        </w:tc>
        <w:tc>
          <w:tcPr>
            <w:tcW w:w="775" w:type="pct"/>
            <w:vMerge/>
            <w:tcBorders>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269DF547" w14:textId="77777777">
            <w:pPr>
              <w:rPr>
                <w:sz w:val="20"/>
              </w:rPr>
            </w:pPr>
          </w:p>
        </w:tc>
      </w:tr>
      <w:tr w14:paraId="756365F0"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5D21030" w14:textId="77777777">
            <w:pPr>
              <w:jc w:val="center"/>
              <w:rPr>
                <w:b/>
                <w:bCs/>
                <w:sz w:val="20"/>
              </w:rPr>
            </w:pPr>
            <w:r>
              <w:rPr>
                <w:b/>
                <w:bCs/>
                <w:sz w:val="20"/>
              </w:rPr>
              <w:t>27</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6C3BE0F" w14:textId="77777777">
            <w:pPr>
              <w:rPr>
                <w:sz w:val="20"/>
              </w:rPr>
            </w:pPr>
            <w:r w:rsidRPr="00677CBC">
              <w:rPr>
                <w:sz w:val="20"/>
              </w:rPr>
              <w:t>PTEDK86</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E5EF6E7" w14:textId="77777777">
            <w:pPr>
              <w:rPr>
                <w:sz w:val="20"/>
              </w:rPr>
            </w:pPr>
            <w:r w:rsidRPr="00677CBC">
              <w:rPr>
                <w:sz w:val="20"/>
              </w:rPr>
              <w:t>B0BDG7M9KS</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3C32D143" w14:textId="77777777">
            <w:pPr>
              <w:rPr>
                <w:sz w:val="20"/>
              </w:rPr>
            </w:pPr>
            <w:r w:rsidRPr="00677CBC">
              <w:rPr>
                <w:sz w:val="20"/>
              </w:rPr>
              <w:t>SD</w:t>
            </w:r>
            <w:r>
              <w:rPr>
                <w:sz w:val="20"/>
              </w:rPr>
              <w:t>OC</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492CCE9" w14:textId="77777777">
            <w:pPr>
              <w:rPr>
                <w:sz w:val="20"/>
              </w:rPr>
            </w:pPr>
            <w:r w:rsidRPr="00677CBC">
              <w:rPr>
                <w:sz w:val="20"/>
              </w:rPr>
              <w:t>4/12/2023</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0ECBCAC2" w14:textId="77777777">
            <w:pPr>
              <w:rPr>
                <w:sz w:val="20"/>
              </w:rPr>
            </w:pPr>
            <w:r w:rsidRPr="00677CBC">
              <w:rPr>
                <w:sz w:val="20"/>
              </w:rPr>
              <w:t>2/10/2023</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3B2E2C39" w14:textId="77777777">
            <w:pPr>
              <w:rPr>
                <w:sz w:val="20"/>
              </w:rPr>
            </w:pPr>
            <w:r w:rsidRPr="00677CBC">
              <w:rPr>
                <w:sz w:val="20"/>
              </w:rPr>
              <w:t>Unintentional radiator required certification or SD</w:t>
            </w:r>
            <w:r>
              <w:rPr>
                <w:sz w:val="20"/>
              </w:rPr>
              <w:t>O</w:t>
            </w:r>
            <w:r w:rsidRPr="00677CBC">
              <w:rPr>
                <w:sz w:val="20"/>
              </w:rPr>
              <w:t>C</w:t>
            </w:r>
          </w:p>
        </w:tc>
      </w:tr>
      <w:tr w14:paraId="2B0E0978"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014AA339" w14:textId="77777777">
            <w:pPr>
              <w:jc w:val="center"/>
              <w:rPr>
                <w:b/>
                <w:bCs/>
                <w:sz w:val="20"/>
              </w:rPr>
            </w:pPr>
            <w:r>
              <w:rPr>
                <w:b/>
                <w:bCs/>
                <w:sz w:val="20"/>
              </w:rPr>
              <w:t>28</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27647F13" w14:textId="77777777">
            <w:pPr>
              <w:rPr>
                <w:sz w:val="20"/>
              </w:rPr>
            </w:pPr>
            <w:r w:rsidRPr="00677CBC">
              <w:rPr>
                <w:sz w:val="20"/>
              </w:rPr>
              <w:t>PGTAMPL100</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556BCCAD" w14:textId="77777777">
            <w:pPr>
              <w:rPr>
                <w:sz w:val="20"/>
              </w:rPr>
            </w:pPr>
            <w:r w:rsidRPr="00677CBC">
              <w:rPr>
                <w:sz w:val="20"/>
              </w:rPr>
              <w:t>B09YZ1Z6HY</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397E6D9" w14:textId="77777777">
            <w:pPr>
              <w:rPr>
                <w:sz w:val="20"/>
              </w:rPr>
            </w:pPr>
            <w:r>
              <w:rPr>
                <w:sz w:val="20"/>
              </w:rPr>
              <w:t>SDOC</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157FD479" w14:textId="77777777">
            <w:pPr>
              <w:rPr>
                <w:sz w:val="20"/>
              </w:rPr>
            </w:pPr>
            <w:r w:rsidRPr="00677CBC">
              <w:rPr>
                <w:sz w:val="20"/>
              </w:rPr>
              <w:t>5/22/2023</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6406DDED" w14:textId="77777777">
            <w:pPr>
              <w:rPr>
                <w:sz w:val="20"/>
              </w:rPr>
            </w:pPr>
            <w:r w:rsidRPr="00677CBC">
              <w:rPr>
                <w:sz w:val="20"/>
              </w:rPr>
              <w:t>12/1/2022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767CC13C" w14:textId="77777777">
            <w:pPr>
              <w:rPr>
                <w:sz w:val="20"/>
              </w:rPr>
            </w:pPr>
            <w:r w:rsidRPr="00677CBC">
              <w:rPr>
                <w:sz w:val="20"/>
              </w:rPr>
              <w:t>Unintentional radiator required certification or SD</w:t>
            </w:r>
            <w:r>
              <w:rPr>
                <w:sz w:val="20"/>
              </w:rPr>
              <w:t>O</w:t>
            </w:r>
            <w:r w:rsidRPr="00677CBC">
              <w:rPr>
                <w:sz w:val="20"/>
              </w:rPr>
              <w:t>C</w:t>
            </w:r>
          </w:p>
        </w:tc>
      </w:tr>
      <w:tr w14:paraId="51D75FA8"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548DFF02" w14:textId="77777777">
            <w:pPr>
              <w:jc w:val="center"/>
              <w:rPr>
                <w:b/>
                <w:bCs/>
                <w:sz w:val="20"/>
              </w:rPr>
            </w:pPr>
            <w:r>
              <w:rPr>
                <w:b/>
                <w:bCs/>
                <w:sz w:val="20"/>
              </w:rPr>
              <w:t>29</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667CD554" w14:textId="77777777">
            <w:pPr>
              <w:rPr>
                <w:sz w:val="20"/>
              </w:rPr>
            </w:pPr>
            <w:r w:rsidRPr="00677CBC">
              <w:rPr>
                <w:sz w:val="20"/>
              </w:rPr>
              <w:t>PDIGPRDP22</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5E10DD0B" w14:textId="77777777">
            <w:pPr>
              <w:rPr>
                <w:sz w:val="20"/>
              </w:rPr>
            </w:pPr>
            <w:r w:rsidRPr="00677CBC">
              <w:rPr>
                <w:sz w:val="20"/>
              </w:rPr>
              <w:t>B0BGSXHY3C</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47FCCD8E" w14:textId="77777777">
            <w:pPr>
              <w:rPr>
                <w:sz w:val="20"/>
              </w:rPr>
            </w:pPr>
            <w:r>
              <w:rPr>
                <w:sz w:val="20"/>
              </w:rPr>
              <w:t>SDOC</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866A344" w14:textId="77777777">
            <w:pPr>
              <w:rPr>
                <w:sz w:val="20"/>
              </w:rPr>
            </w:pPr>
            <w:r w:rsidRPr="00677CBC">
              <w:rPr>
                <w:sz w:val="20"/>
              </w:rPr>
              <w:t>2/28/2023</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24924A03" w14:textId="77777777">
            <w:pPr>
              <w:rPr>
                <w:sz w:val="20"/>
              </w:rPr>
            </w:pPr>
            <w:r w:rsidRPr="00677CBC">
              <w:rPr>
                <w:sz w:val="20"/>
              </w:rPr>
              <w:t>10/25/2022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B2E148F" w14:textId="77777777">
            <w:pPr>
              <w:rPr>
                <w:sz w:val="20"/>
              </w:rPr>
            </w:pPr>
            <w:r w:rsidRPr="00677CBC">
              <w:rPr>
                <w:sz w:val="20"/>
              </w:rPr>
              <w:t>Unintentional radiator required certification or SD</w:t>
            </w:r>
            <w:r>
              <w:rPr>
                <w:sz w:val="20"/>
              </w:rPr>
              <w:t>O</w:t>
            </w:r>
            <w:r w:rsidRPr="00677CBC">
              <w:rPr>
                <w:sz w:val="20"/>
              </w:rPr>
              <w:t>C</w:t>
            </w:r>
          </w:p>
        </w:tc>
      </w:tr>
      <w:tr w14:paraId="4CA207F3" w14:textId="77777777" w:rsidTr="00CB191E">
        <w:tblPrEx>
          <w:tblW w:w="5000" w:type="pct"/>
          <w:jc w:val="center"/>
          <w:tblLayout w:type="fixed"/>
          <w:tblLook w:val="04A0"/>
        </w:tblPrEx>
        <w:trPr>
          <w:cantSplit/>
          <w:trHeight w:val="595"/>
          <w:jc w:val="center"/>
        </w:trPr>
        <w:tc>
          <w:tcPr>
            <w:tcW w:w="184" w:type="pct"/>
            <w:vMerge w:val="restart"/>
            <w:tcBorders>
              <w:top w:val="double" w:sz="4" w:space="0" w:color="auto"/>
              <w:left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E7D823A" w14:textId="77777777">
            <w:pPr>
              <w:jc w:val="center"/>
              <w:rPr>
                <w:b/>
                <w:bCs/>
                <w:sz w:val="20"/>
              </w:rPr>
            </w:pPr>
            <w:r>
              <w:rPr>
                <w:b/>
                <w:bCs/>
                <w:sz w:val="20"/>
              </w:rPr>
              <w:t>30</w:t>
            </w:r>
          </w:p>
        </w:tc>
        <w:tc>
          <w:tcPr>
            <w:tcW w:w="847" w:type="pct"/>
            <w:tcBorders>
              <w:top w:val="double" w:sz="4" w:space="0" w:color="auto"/>
              <w:left w:val="double" w:sz="4" w:space="0" w:color="auto"/>
            </w:tcBorders>
            <w:shd w:val="clear" w:color="auto" w:fill="auto"/>
            <w:tcMar>
              <w:top w:w="14" w:type="dxa"/>
              <w:left w:w="58" w:type="dxa"/>
              <w:bottom w:w="14" w:type="dxa"/>
              <w:right w:w="58" w:type="dxa"/>
            </w:tcMar>
            <w:vAlign w:val="center"/>
            <w:hideMark/>
          </w:tcPr>
          <w:p w:rsidR="0032514E" w:rsidRPr="00677CBC" w:rsidP="00CB191E" w14:paraId="3FF9CEE0" w14:textId="77777777">
            <w:pPr>
              <w:rPr>
                <w:sz w:val="20"/>
              </w:rPr>
            </w:pPr>
            <w:r w:rsidRPr="00677CBC">
              <w:rPr>
                <w:sz w:val="20"/>
              </w:rPr>
              <w:t>PHQBS52</w:t>
            </w:r>
          </w:p>
        </w:tc>
        <w:tc>
          <w:tcPr>
            <w:tcW w:w="838" w:type="pc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6D823F1D" w14:textId="77777777">
            <w:pPr>
              <w:rPr>
                <w:sz w:val="20"/>
              </w:rPr>
            </w:pPr>
            <w:r w:rsidRPr="00677CBC">
              <w:rPr>
                <w:sz w:val="20"/>
              </w:rPr>
              <w:t>B0B4PST6D5</w:t>
            </w:r>
          </w:p>
        </w:tc>
        <w:tc>
          <w:tcPr>
            <w:tcW w:w="863" w:type="pct"/>
            <w:vMerge w:val="restart"/>
            <w:tcBorders>
              <w:top w:val="double" w:sz="4" w:space="0" w:color="auto"/>
            </w:tcBorders>
            <w:tcMar>
              <w:top w:w="14" w:type="dxa"/>
              <w:left w:w="58" w:type="dxa"/>
              <w:bottom w:w="14" w:type="dxa"/>
              <w:right w:w="58" w:type="dxa"/>
            </w:tcMar>
            <w:vAlign w:val="center"/>
          </w:tcPr>
          <w:p w:rsidR="0032514E" w:rsidRPr="00677CBC" w:rsidP="00CB191E" w14:paraId="38BC3046" w14:textId="77777777">
            <w:pPr>
              <w:rPr>
                <w:sz w:val="20"/>
              </w:rPr>
            </w:pPr>
            <w:r>
              <w:rPr>
                <w:sz w:val="20"/>
              </w:rPr>
              <w:t>SDOC</w:t>
            </w:r>
            <w:r w:rsidRPr="00677CBC">
              <w:rPr>
                <w:sz w:val="20"/>
              </w:rPr>
              <w:tab/>
            </w:r>
          </w:p>
        </w:tc>
        <w:tc>
          <w:tcPr>
            <w:tcW w:w="588" w:type="pct"/>
            <w:vMerge w:val="restart"/>
            <w:tcBorders>
              <w:top w:val="double" w:sz="4" w:space="0" w:color="auto"/>
            </w:tcBorders>
            <w:shd w:val="clear" w:color="auto" w:fill="auto"/>
            <w:tcMar>
              <w:top w:w="14" w:type="dxa"/>
              <w:left w:w="58" w:type="dxa"/>
              <w:bottom w:w="14" w:type="dxa"/>
              <w:right w:w="58" w:type="dxa"/>
            </w:tcMar>
            <w:vAlign w:val="center"/>
            <w:hideMark/>
          </w:tcPr>
          <w:p w:rsidR="0032514E" w:rsidRPr="00677CBC" w:rsidP="00CB191E" w14:paraId="2694C745" w14:textId="77777777">
            <w:pPr>
              <w:rPr>
                <w:sz w:val="20"/>
              </w:rPr>
            </w:pPr>
            <w:r w:rsidRPr="00677CBC">
              <w:rPr>
                <w:sz w:val="20"/>
              </w:rPr>
              <w:t>4/17/2023</w:t>
            </w:r>
          </w:p>
        </w:tc>
        <w:tc>
          <w:tcPr>
            <w:tcW w:w="905" w:type="pct"/>
            <w:tcBorders>
              <w:top w:val="double" w:sz="4" w:space="0" w:color="auto"/>
              <w:right w:val="single" w:sz="4" w:space="0" w:color="auto"/>
            </w:tcBorders>
            <w:tcMar>
              <w:top w:w="14" w:type="dxa"/>
              <w:left w:w="58" w:type="dxa"/>
              <w:bottom w:w="14" w:type="dxa"/>
              <w:right w:w="58" w:type="dxa"/>
            </w:tcMar>
            <w:vAlign w:val="center"/>
          </w:tcPr>
          <w:p w:rsidR="0032514E" w:rsidRPr="00677CBC" w:rsidP="00CB191E" w14:paraId="34AD73BD" w14:textId="77777777">
            <w:pPr>
              <w:rPr>
                <w:sz w:val="20"/>
              </w:rPr>
            </w:pPr>
            <w:r w:rsidRPr="00677CBC">
              <w:rPr>
                <w:sz w:val="20"/>
              </w:rPr>
              <w:t>8/20/2022</w:t>
            </w:r>
          </w:p>
        </w:tc>
        <w:tc>
          <w:tcPr>
            <w:tcW w:w="775" w:type="pct"/>
            <w:vMerge w:val="restart"/>
            <w:tcBorders>
              <w:top w:val="double" w:sz="4" w:space="0" w:color="auto"/>
              <w:left w:val="single" w:sz="4" w:space="0" w:color="auto"/>
            </w:tcBorders>
            <w:shd w:val="clear" w:color="auto" w:fill="auto"/>
            <w:tcMar>
              <w:top w:w="14" w:type="dxa"/>
              <w:left w:w="58" w:type="dxa"/>
              <w:bottom w:w="14" w:type="dxa"/>
              <w:right w:w="58" w:type="dxa"/>
            </w:tcMar>
            <w:vAlign w:val="center"/>
          </w:tcPr>
          <w:p w:rsidR="0032514E" w:rsidRPr="00677CBC" w:rsidP="00CB191E" w14:paraId="7D3DF30C" w14:textId="77777777">
            <w:pPr>
              <w:rPr>
                <w:sz w:val="20"/>
              </w:rPr>
            </w:pPr>
            <w:r w:rsidRPr="00677CBC">
              <w:rPr>
                <w:sz w:val="20"/>
              </w:rPr>
              <w:t>Unintentional radiator required certification or SD</w:t>
            </w:r>
            <w:r>
              <w:rPr>
                <w:sz w:val="20"/>
              </w:rPr>
              <w:t>O</w:t>
            </w:r>
            <w:r w:rsidRPr="00677CBC">
              <w:rPr>
                <w:sz w:val="20"/>
              </w:rPr>
              <w:t>C</w:t>
            </w:r>
          </w:p>
        </w:tc>
      </w:tr>
      <w:tr w14:paraId="6E17F522" w14:textId="77777777" w:rsidTr="00CB191E">
        <w:tblPrEx>
          <w:tblW w:w="5000" w:type="pct"/>
          <w:jc w:val="center"/>
          <w:tblLayout w:type="fixed"/>
          <w:tblLook w:val="04A0"/>
        </w:tblPrEx>
        <w:trPr>
          <w:cantSplit/>
          <w:jc w:val="center"/>
        </w:trPr>
        <w:tc>
          <w:tcPr>
            <w:tcW w:w="184" w:type="pct"/>
            <w:vMerge/>
            <w:tcBorders>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7F17C107" w14:textId="77777777">
            <w:pPr>
              <w:jc w:val="center"/>
              <w:rPr>
                <w:b/>
                <w:bCs/>
                <w:sz w:val="20"/>
              </w:rPr>
            </w:pPr>
          </w:p>
        </w:tc>
        <w:tc>
          <w:tcPr>
            <w:tcW w:w="847" w:type="pct"/>
            <w:tcBorders>
              <w:left w:val="double" w:sz="4" w:space="0" w:color="auto"/>
            </w:tcBorders>
            <w:shd w:val="clear" w:color="auto" w:fill="auto"/>
            <w:tcMar>
              <w:top w:w="14" w:type="dxa"/>
              <w:left w:w="58" w:type="dxa"/>
              <w:bottom w:w="14" w:type="dxa"/>
              <w:right w:w="58" w:type="dxa"/>
            </w:tcMar>
            <w:vAlign w:val="center"/>
            <w:hideMark/>
          </w:tcPr>
          <w:p w:rsidR="0032514E" w:rsidRPr="00677CBC" w:rsidP="00CB191E" w14:paraId="4D551BE2" w14:textId="77777777">
            <w:pPr>
              <w:rPr>
                <w:sz w:val="20"/>
              </w:rPr>
            </w:pPr>
            <w:r w:rsidRPr="00677CBC">
              <w:rPr>
                <w:sz w:val="20"/>
              </w:rPr>
              <w:t>PSUB8A</w:t>
            </w:r>
          </w:p>
        </w:tc>
        <w:tc>
          <w:tcPr>
            <w:tcW w:w="838" w:type="pct"/>
            <w:shd w:val="clear" w:color="auto" w:fill="auto"/>
            <w:tcMar>
              <w:top w:w="14" w:type="dxa"/>
              <w:left w:w="58" w:type="dxa"/>
              <w:bottom w:w="14" w:type="dxa"/>
              <w:right w:w="58" w:type="dxa"/>
            </w:tcMar>
            <w:vAlign w:val="center"/>
            <w:hideMark/>
          </w:tcPr>
          <w:p w:rsidR="0032514E" w:rsidRPr="00677CBC" w:rsidP="00CB191E" w14:paraId="551B8E22" w14:textId="77777777">
            <w:pPr>
              <w:rPr>
                <w:sz w:val="20"/>
              </w:rPr>
            </w:pPr>
            <w:r w:rsidRPr="00677CBC">
              <w:rPr>
                <w:sz w:val="20"/>
              </w:rPr>
              <w:t>B09P49JHB9</w:t>
            </w:r>
          </w:p>
        </w:tc>
        <w:tc>
          <w:tcPr>
            <w:tcW w:w="863" w:type="pct"/>
            <w:vMerge/>
            <w:tcMar>
              <w:top w:w="14" w:type="dxa"/>
              <w:left w:w="58" w:type="dxa"/>
              <w:bottom w:w="14" w:type="dxa"/>
              <w:right w:w="58" w:type="dxa"/>
            </w:tcMar>
            <w:vAlign w:val="center"/>
          </w:tcPr>
          <w:p w:rsidR="0032514E" w:rsidRPr="00677CBC" w:rsidP="00CB191E" w14:paraId="1D2890CF" w14:textId="77777777">
            <w:pPr>
              <w:rPr>
                <w:sz w:val="20"/>
              </w:rPr>
            </w:pPr>
          </w:p>
        </w:tc>
        <w:tc>
          <w:tcPr>
            <w:tcW w:w="588" w:type="pct"/>
            <w:vMerge/>
            <w:shd w:val="clear" w:color="auto" w:fill="auto"/>
            <w:tcMar>
              <w:top w:w="14" w:type="dxa"/>
              <w:left w:w="58" w:type="dxa"/>
              <w:bottom w:w="14" w:type="dxa"/>
              <w:right w:w="58" w:type="dxa"/>
            </w:tcMar>
            <w:vAlign w:val="center"/>
          </w:tcPr>
          <w:p w:rsidR="0032514E" w:rsidRPr="00677CBC" w:rsidP="00CB191E" w14:paraId="3848229A" w14:textId="77777777">
            <w:pPr>
              <w:rPr>
                <w:sz w:val="20"/>
              </w:rPr>
            </w:pPr>
          </w:p>
        </w:tc>
        <w:tc>
          <w:tcPr>
            <w:tcW w:w="905" w:type="pct"/>
            <w:tcBorders>
              <w:right w:val="single" w:sz="4" w:space="0" w:color="auto"/>
            </w:tcBorders>
            <w:tcMar>
              <w:top w:w="14" w:type="dxa"/>
              <w:left w:w="58" w:type="dxa"/>
              <w:bottom w:w="14" w:type="dxa"/>
              <w:right w:w="58" w:type="dxa"/>
            </w:tcMar>
            <w:vAlign w:val="center"/>
          </w:tcPr>
          <w:p w:rsidR="0032514E" w:rsidRPr="00677CBC" w:rsidP="00CB191E" w14:paraId="426439C6" w14:textId="77777777">
            <w:pPr>
              <w:rPr>
                <w:sz w:val="20"/>
              </w:rPr>
            </w:pPr>
            <w:r w:rsidRPr="00677CBC">
              <w:rPr>
                <w:sz w:val="20"/>
              </w:rPr>
              <w:t>7/1/2022</w:t>
            </w:r>
          </w:p>
        </w:tc>
        <w:tc>
          <w:tcPr>
            <w:tcW w:w="775" w:type="pct"/>
            <w:vMerge/>
            <w:tcBorders>
              <w:left w:val="single" w:sz="4" w:space="0" w:color="auto"/>
            </w:tcBorders>
            <w:shd w:val="clear" w:color="auto" w:fill="auto"/>
            <w:tcMar>
              <w:top w:w="14" w:type="dxa"/>
              <w:left w:w="58" w:type="dxa"/>
              <w:bottom w:w="14" w:type="dxa"/>
              <w:right w:w="58" w:type="dxa"/>
            </w:tcMar>
            <w:vAlign w:val="center"/>
          </w:tcPr>
          <w:p w:rsidR="0032514E" w:rsidRPr="00677CBC" w:rsidP="00CB191E" w14:paraId="1A0933E1" w14:textId="77777777">
            <w:pPr>
              <w:rPr>
                <w:sz w:val="20"/>
              </w:rPr>
            </w:pPr>
          </w:p>
        </w:tc>
      </w:tr>
      <w:tr w14:paraId="6ED35A49"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2824149C" w14:textId="77777777">
            <w:pPr>
              <w:jc w:val="center"/>
              <w:rPr>
                <w:b/>
                <w:bCs/>
                <w:sz w:val="20"/>
              </w:rPr>
            </w:pP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0B3776DF" w14:textId="77777777">
            <w:pPr>
              <w:rPr>
                <w:sz w:val="20"/>
              </w:rPr>
            </w:pP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9D80673" w14:textId="77777777">
            <w:pPr>
              <w:rPr>
                <w:sz w:val="20"/>
              </w:rPr>
            </w:pP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1F7C67E2" w14:textId="77777777">
            <w:pPr>
              <w:rPr>
                <w:sz w:val="20"/>
              </w:rPr>
            </w:pP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02AA177B" w14:textId="77777777">
            <w:pPr>
              <w:rPr>
                <w:sz w:val="20"/>
              </w:rPr>
            </w:pP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52537D02" w14:textId="77777777">
            <w:pPr>
              <w:rPr>
                <w:sz w:val="20"/>
              </w:rPr>
            </w:pP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67EF9FD3" w14:textId="77777777">
            <w:pPr>
              <w:rPr>
                <w:sz w:val="20"/>
              </w:rPr>
            </w:pPr>
          </w:p>
        </w:tc>
      </w:tr>
      <w:tr w14:paraId="641D2DBA"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3D3B8D4B" w14:textId="77777777">
            <w:pPr>
              <w:jc w:val="center"/>
              <w:rPr>
                <w:b/>
                <w:bCs/>
                <w:sz w:val="20"/>
              </w:rPr>
            </w:pPr>
            <w:r>
              <w:rPr>
                <w:b/>
                <w:bCs/>
                <w:sz w:val="20"/>
              </w:rPr>
              <w:t>31</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0A849F1" w14:textId="77777777">
            <w:pPr>
              <w:rPr>
                <w:sz w:val="20"/>
              </w:rPr>
            </w:pPr>
            <w:r w:rsidRPr="00677CBC">
              <w:rPr>
                <w:sz w:val="20"/>
              </w:rPr>
              <w:t>PDWMKHRD23</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3297845" w14:textId="77777777">
            <w:pPr>
              <w:rPr>
                <w:sz w:val="20"/>
              </w:rPr>
            </w:pPr>
            <w:r w:rsidRPr="00677CBC">
              <w:rPr>
                <w:sz w:val="20"/>
              </w:rPr>
              <w:t>B084HGG55S</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28F7C11D" w14:textId="77777777">
            <w:pPr>
              <w:rPr>
                <w:sz w:val="20"/>
              </w:rPr>
            </w:pPr>
            <w:r w:rsidRPr="00677CBC">
              <w:rPr>
                <w:sz w:val="20"/>
              </w:rPr>
              <w:t>2AMZ9-PDWMKHRD23</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3B84B67" w14:textId="77777777">
            <w:pPr>
              <w:rPr>
                <w:sz w:val="20"/>
              </w:rPr>
            </w:pPr>
            <w:r w:rsidRPr="00677CBC">
              <w:rPr>
                <w:sz w:val="20"/>
              </w:rPr>
              <w:t>11/27/</w:t>
            </w:r>
            <w:r>
              <w:rPr>
                <w:sz w:val="20"/>
              </w:rPr>
              <w:t>20</w:t>
            </w:r>
            <w:r w:rsidRPr="00677CBC">
              <w:rPr>
                <w:sz w:val="20"/>
              </w:rPr>
              <w:t>19 for wireless Microphone functions.  Bluetooth operations need a certification as well.</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10318E68" w14:textId="77777777">
            <w:pPr>
              <w:rPr>
                <w:sz w:val="20"/>
              </w:rPr>
            </w:pPr>
            <w:r w:rsidRPr="00677CBC">
              <w:rPr>
                <w:sz w:val="20"/>
              </w:rPr>
              <w:t>9/27/2022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5830D30B" w14:textId="77777777">
            <w:pPr>
              <w:rPr>
                <w:sz w:val="20"/>
              </w:rPr>
            </w:pPr>
            <w:r w:rsidRPr="00677CBC">
              <w:rPr>
                <w:sz w:val="20"/>
              </w:rPr>
              <w:t>FCC ID provided by Sound Around does not cover Bluetooth operations of speakers (it covers wireless microphone)</w:t>
            </w:r>
          </w:p>
        </w:tc>
      </w:tr>
      <w:tr w14:paraId="37F9572D"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4E702584" w14:textId="77777777">
            <w:pPr>
              <w:jc w:val="center"/>
              <w:rPr>
                <w:b/>
                <w:bCs/>
                <w:sz w:val="20"/>
              </w:rPr>
            </w:pPr>
            <w:r>
              <w:rPr>
                <w:b/>
                <w:bCs/>
                <w:sz w:val="20"/>
              </w:rPr>
              <w:t>32</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F5C16D7" w14:textId="77777777">
            <w:pPr>
              <w:rPr>
                <w:sz w:val="20"/>
              </w:rPr>
            </w:pPr>
            <w:r w:rsidRPr="00677CBC">
              <w:rPr>
                <w:sz w:val="20"/>
              </w:rPr>
              <w:t>PLMRMB4CB</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AE5006F" w14:textId="77777777">
            <w:pPr>
              <w:rPr>
                <w:sz w:val="20"/>
              </w:rPr>
            </w:pPr>
            <w:r w:rsidRPr="00677CBC">
              <w:rPr>
                <w:sz w:val="20"/>
              </w:rPr>
              <w:t>B072BMP3YG</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4E4E835B" w14:textId="77777777">
            <w:pPr>
              <w:rPr>
                <w:sz w:val="20"/>
              </w:rPr>
            </w:pPr>
            <w:r w:rsidRPr="00677CBC">
              <w:rPr>
                <w:sz w:val="20"/>
              </w:rPr>
              <w:t>none</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35121C84" w14:textId="77777777">
            <w:pPr>
              <w:rPr>
                <w:sz w:val="20"/>
              </w:rPr>
            </w:pPr>
            <w:r w:rsidRPr="00677CBC">
              <w:rPr>
                <w:sz w:val="20"/>
              </w:rPr>
              <w:t>none</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12DCC15B" w14:textId="77777777">
            <w:pPr>
              <w:rPr>
                <w:sz w:val="20"/>
              </w:rPr>
            </w:pPr>
            <w:r w:rsidRPr="00677CBC">
              <w:rPr>
                <w:sz w:val="20"/>
              </w:rPr>
              <w:t>2/15/2022</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39F28BE3" w14:textId="77777777">
            <w:pPr>
              <w:rPr>
                <w:sz w:val="20"/>
              </w:rPr>
            </w:pPr>
            <w:r w:rsidRPr="00677CBC">
              <w:rPr>
                <w:sz w:val="20"/>
              </w:rPr>
              <w:t>Product is listed on Sound Around’s Amazon page.</w:t>
            </w:r>
          </w:p>
          <w:p w:rsidR="0032514E" w:rsidRPr="00677CBC" w:rsidP="00CB191E" w14:paraId="28ED566A" w14:textId="77777777">
            <w:pPr>
              <w:rPr>
                <w:sz w:val="20"/>
              </w:rPr>
            </w:pPr>
          </w:p>
          <w:p w:rsidR="0032514E" w:rsidRPr="00677CBC" w:rsidP="00CB191E" w14:paraId="3418D6E8" w14:textId="77777777">
            <w:pPr>
              <w:rPr>
                <w:sz w:val="20"/>
              </w:rPr>
            </w:pPr>
            <w:r w:rsidRPr="00677CBC">
              <w:rPr>
                <w:sz w:val="20"/>
              </w:rPr>
              <w:t xml:space="preserve">Bluetooth operations but no FCC ID. </w:t>
            </w:r>
          </w:p>
        </w:tc>
      </w:tr>
      <w:tr w14:paraId="16371271" w14:textId="77777777" w:rsidTr="00CB191E">
        <w:tblPrEx>
          <w:tblW w:w="5000" w:type="pct"/>
          <w:jc w:val="center"/>
          <w:tblLayout w:type="fixed"/>
          <w:tblLook w:val="04A0"/>
        </w:tblPrEx>
        <w:trPr>
          <w:cantSplit/>
          <w:jc w:val="center"/>
        </w:trPr>
        <w:tc>
          <w:tcPr>
            <w:tcW w:w="184" w:type="pct"/>
            <w:tcBorders>
              <w:top w:val="double" w:sz="4" w:space="0" w:color="auto"/>
              <w:left w:val="double" w:sz="4" w:space="0" w:color="auto"/>
              <w:bottom w:val="double" w:sz="4" w:space="0" w:color="auto"/>
              <w:right w:val="double" w:sz="4" w:space="0" w:color="auto"/>
            </w:tcBorders>
            <w:shd w:val="clear" w:color="auto" w:fill="auto"/>
            <w:tcMar>
              <w:top w:w="14" w:type="dxa"/>
              <w:left w:w="58" w:type="dxa"/>
              <w:bottom w:w="14" w:type="dxa"/>
              <w:right w:w="58" w:type="dxa"/>
            </w:tcMar>
            <w:vAlign w:val="center"/>
          </w:tcPr>
          <w:p w:rsidR="0032514E" w:rsidRPr="00677CBC" w:rsidP="00CB191E" w14:paraId="73922B77" w14:textId="77777777">
            <w:pPr>
              <w:jc w:val="center"/>
              <w:rPr>
                <w:b/>
                <w:bCs/>
                <w:sz w:val="20"/>
              </w:rPr>
            </w:pPr>
            <w:r>
              <w:rPr>
                <w:b/>
                <w:bCs/>
                <w:sz w:val="20"/>
              </w:rPr>
              <w:t>33</w:t>
            </w:r>
          </w:p>
        </w:tc>
        <w:tc>
          <w:tcPr>
            <w:tcW w:w="847" w:type="pct"/>
            <w:tcBorders>
              <w:top w:val="double" w:sz="4" w:space="0" w:color="auto"/>
              <w:left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99A776E" w14:textId="77777777">
            <w:pPr>
              <w:rPr>
                <w:sz w:val="20"/>
              </w:rPr>
            </w:pPr>
            <w:r w:rsidRPr="00677CBC">
              <w:rPr>
                <w:sz w:val="20"/>
              </w:rPr>
              <w:t xml:space="preserve">PHCD55.5 </w:t>
            </w:r>
          </w:p>
        </w:tc>
        <w:tc>
          <w:tcPr>
            <w:tcW w:w="83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45E492E6" w14:textId="77777777">
            <w:pPr>
              <w:rPr>
                <w:sz w:val="20"/>
              </w:rPr>
            </w:pPr>
            <w:r w:rsidRPr="00677CBC">
              <w:rPr>
                <w:sz w:val="20"/>
              </w:rPr>
              <w:t>B0BL1WM654</w:t>
            </w:r>
          </w:p>
        </w:tc>
        <w:tc>
          <w:tcPr>
            <w:tcW w:w="863" w:type="pct"/>
            <w:tcBorders>
              <w:top w:val="double" w:sz="4" w:space="0" w:color="auto"/>
              <w:bottom w:val="double" w:sz="4" w:space="0" w:color="auto"/>
            </w:tcBorders>
            <w:tcMar>
              <w:top w:w="14" w:type="dxa"/>
              <w:left w:w="58" w:type="dxa"/>
              <w:bottom w:w="14" w:type="dxa"/>
              <w:right w:w="58" w:type="dxa"/>
            </w:tcMar>
            <w:vAlign w:val="center"/>
          </w:tcPr>
          <w:p w:rsidR="0032514E" w:rsidRPr="00677CBC" w:rsidP="00CB191E" w14:paraId="6CE45685" w14:textId="77777777">
            <w:pPr>
              <w:rPr>
                <w:sz w:val="20"/>
              </w:rPr>
            </w:pPr>
            <w:r w:rsidRPr="00677CBC">
              <w:rPr>
                <w:sz w:val="20"/>
              </w:rPr>
              <w:t>2A5UW-PKRK270BT</w:t>
            </w:r>
          </w:p>
        </w:tc>
        <w:tc>
          <w:tcPr>
            <w:tcW w:w="588" w:type="pct"/>
            <w:tcBorders>
              <w:top w:val="double" w:sz="4" w:space="0" w:color="auto"/>
              <w:bottom w:val="double" w:sz="4" w:space="0" w:color="auto"/>
            </w:tcBorders>
            <w:shd w:val="clear" w:color="auto" w:fill="auto"/>
            <w:tcMar>
              <w:top w:w="14" w:type="dxa"/>
              <w:left w:w="58" w:type="dxa"/>
              <w:bottom w:w="14" w:type="dxa"/>
              <w:right w:w="58" w:type="dxa"/>
            </w:tcMar>
            <w:vAlign w:val="center"/>
            <w:hideMark/>
          </w:tcPr>
          <w:p w:rsidR="0032514E" w:rsidRPr="00677CBC" w:rsidP="00CB191E" w14:paraId="0ED82BC6" w14:textId="77777777">
            <w:pPr>
              <w:rPr>
                <w:sz w:val="20"/>
              </w:rPr>
            </w:pPr>
            <w:r w:rsidRPr="00677CBC">
              <w:rPr>
                <w:sz w:val="20"/>
              </w:rPr>
              <w:t>4/8/2022</w:t>
            </w:r>
          </w:p>
        </w:tc>
        <w:tc>
          <w:tcPr>
            <w:tcW w:w="905" w:type="pct"/>
            <w:tcBorders>
              <w:top w:val="double" w:sz="4" w:space="0" w:color="auto"/>
              <w:bottom w:val="double" w:sz="4" w:space="0" w:color="auto"/>
              <w:right w:val="single" w:sz="4" w:space="0" w:color="auto"/>
            </w:tcBorders>
            <w:tcMar>
              <w:top w:w="14" w:type="dxa"/>
              <w:left w:w="58" w:type="dxa"/>
              <w:bottom w:w="14" w:type="dxa"/>
              <w:right w:w="58" w:type="dxa"/>
            </w:tcMar>
            <w:vAlign w:val="center"/>
          </w:tcPr>
          <w:p w:rsidR="0032514E" w:rsidRPr="00677CBC" w:rsidP="00CB191E" w14:paraId="1613FD5C" w14:textId="77777777">
            <w:pPr>
              <w:rPr>
                <w:sz w:val="20"/>
              </w:rPr>
            </w:pPr>
            <w:r w:rsidRPr="00677CBC">
              <w:rPr>
                <w:sz w:val="20"/>
              </w:rPr>
              <w:t>6/15/2023</w:t>
            </w:r>
          </w:p>
        </w:tc>
        <w:tc>
          <w:tcPr>
            <w:tcW w:w="775" w:type="pct"/>
            <w:tcBorders>
              <w:top w:val="double" w:sz="4" w:space="0" w:color="auto"/>
              <w:left w:val="single" w:sz="4" w:space="0" w:color="auto"/>
              <w:bottom w:val="double" w:sz="4" w:space="0" w:color="auto"/>
            </w:tcBorders>
            <w:shd w:val="clear" w:color="auto" w:fill="auto"/>
            <w:tcMar>
              <w:top w:w="14" w:type="dxa"/>
              <w:left w:w="58" w:type="dxa"/>
              <w:bottom w:w="14" w:type="dxa"/>
              <w:right w:w="58" w:type="dxa"/>
            </w:tcMar>
            <w:vAlign w:val="center"/>
          </w:tcPr>
          <w:p w:rsidR="0032514E" w:rsidRPr="00677CBC" w:rsidP="00CB191E" w14:paraId="17EB6F44" w14:textId="77777777">
            <w:pPr>
              <w:rPr>
                <w:sz w:val="20"/>
              </w:rPr>
            </w:pPr>
            <w:r w:rsidRPr="00677CBC">
              <w:rPr>
                <w:sz w:val="20"/>
              </w:rPr>
              <w:t>Product is listed on Sound Around’s Amazon page.</w:t>
            </w:r>
          </w:p>
          <w:p w:rsidR="0032514E" w:rsidRPr="00677CBC" w:rsidP="00CB191E" w14:paraId="3E184A10" w14:textId="77777777">
            <w:pPr>
              <w:rPr>
                <w:sz w:val="20"/>
              </w:rPr>
            </w:pPr>
          </w:p>
          <w:p w:rsidR="0032514E" w:rsidRPr="00677CBC" w:rsidP="00CB191E" w14:paraId="44DE10CB" w14:textId="77777777">
            <w:pPr>
              <w:rPr>
                <w:sz w:val="20"/>
              </w:rPr>
            </w:pPr>
            <w:r w:rsidRPr="00677CBC">
              <w:rPr>
                <w:sz w:val="20"/>
              </w:rPr>
              <w:t>FCC ID provided does not match the Sound Around device.</w:t>
            </w:r>
          </w:p>
        </w:tc>
      </w:tr>
    </w:tbl>
    <w:p w:rsidR="0032514E" w:rsidP="0032514E" w14:paraId="59CB3298" w14:textId="77777777">
      <w:pPr>
        <w:keepNext/>
        <w:keepLines/>
        <w:widowControl/>
      </w:pPr>
    </w:p>
    <w:p w:rsidR="00412FC5" w:rsidRPr="0032514E" w:rsidP="0032514E" w14:paraId="15FAEB49" w14:textId="77777777"/>
    <w:sectPr w:rsidSect="0055614C">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14E" w:rsidP="009E64A3" w14:paraId="4B55F4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2514E" w14:paraId="3B84E7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14E" w14:paraId="2B40E791" w14:textId="21A89B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14E" w14:paraId="7AA8E475"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6B1F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9CCD0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9720A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706C513"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7E8B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0B57" w14:paraId="4EEC5ABC" w14:textId="77777777">
      <w:r>
        <w:separator/>
      </w:r>
    </w:p>
  </w:footnote>
  <w:footnote w:type="continuationSeparator" w:id="1">
    <w:p w:rsidR="003D0B57" w:rsidP="00C721AC" w14:paraId="2C8E60A1" w14:textId="77777777">
      <w:pPr>
        <w:spacing w:before="120"/>
        <w:rPr>
          <w:sz w:val="20"/>
        </w:rPr>
      </w:pPr>
      <w:r>
        <w:rPr>
          <w:sz w:val="20"/>
        </w:rPr>
        <w:t xml:space="preserve">(Continued from previous page)  </w:t>
      </w:r>
      <w:r>
        <w:rPr>
          <w:sz w:val="20"/>
        </w:rPr>
        <w:separator/>
      </w:r>
    </w:p>
  </w:footnote>
  <w:footnote w:type="continuationNotice" w:id="2">
    <w:p w:rsidR="003D0B57" w:rsidP="00C721AC" w14:paraId="2AACF874" w14:textId="77777777">
      <w:pPr>
        <w:jc w:val="right"/>
        <w:rPr>
          <w:sz w:val="20"/>
        </w:rPr>
      </w:pPr>
      <w:r>
        <w:rPr>
          <w:sz w:val="20"/>
        </w:rPr>
        <w:t>(continued….)</w:t>
      </w:r>
    </w:p>
  </w:footnote>
  <w:footnote w:id="3">
    <w:p w:rsidR="0032514E" w:rsidRPr="007A04BF" w:rsidP="0032514E" w14:paraId="6360DE3D" w14:textId="77777777">
      <w:pPr>
        <w:pStyle w:val="FootnoteText"/>
      </w:pPr>
      <w:r w:rsidRPr="007A04BF">
        <w:rPr>
          <w:rStyle w:val="FootnoteReference"/>
        </w:rPr>
        <w:footnoteRef/>
      </w:r>
      <w:r w:rsidRPr="007A04BF">
        <w:t xml:space="preserve"> 47 U.S.C. § 302a(b); 47 CFR § 2.803</w:t>
      </w:r>
      <w:r>
        <w:t>;</w:t>
      </w:r>
      <w:r w:rsidRPr="00E74BCC">
        <w:rPr>
          <w:i/>
          <w:iCs/>
        </w:rPr>
        <w:t xml:space="preserve"> </w:t>
      </w:r>
      <w:r>
        <w:rPr>
          <w:i/>
          <w:iCs/>
        </w:rPr>
        <w:t xml:space="preserve">see </w:t>
      </w:r>
      <w:r w:rsidRPr="007A04BF">
        <w:rPr>
          <w:i/>
          <w:iCs/>
        </w:rPr>
        <w:t xml:space="preserve">Sound Around, Inc., </w:t>
      </w:r>
      <w:r w:rsidRPr="007A04BF">
        <w:t xml:space="preserve">Notice of Apparent Liability for Forfeiture, </w:t>
      </w:r>
      <w:r w:rsidRPr="007A04BF">
        <w:rPr>
          <w:rStyle w:val="item-value"/>
        </w:rPr>
        <w:t>35 FCC Rcd 3478</w:t>
      </w:r>
      <w:r w:rsidRPr="007A04BF">
        <w:t xml:space="preserve"> (2020)</w:t>
      </w:r>
      <w:r>
        <w:t xml:space="preserve"> (</w:t>
      </w:r>
      <w:r>
        <w:rPr>
          <w:i/>
          <w:iCs/>
        </w:rPr>
        <w:t xml:space="preserve">Sound Around 2020 </w:t>
      </w:r>
      <w:r w:rsidRPr="002529A5">
        <w:rPr>
          <w:i/>
          <w:iCs/>
        </w:rPr>
        <w:t>NAL</w:t>
      </w:r>
      <w:r>
        <w:t>), Forfeiture Order</w:t>
      </w:r>
      <w:r w:rsidRPr="007A04BF">
        <w:t xml:space="preserve">, </w:t>
      </w:r>
      <w:r w:rsidRPr="005A6C2C">
        <w:t xml:space="preserve">37 FCC Rcd 9907 </w:t>
      </w:r>
      <w:r w:rsidRPr="007A04BF">
        <w:t>(202</w:t>
      </w:r>
      <w:r>
        <w:t>2</w:t>
      </w:r>
      <w:r w:rsidRPr="007A04BF">
        <w:t>)</w:t>
      </w:r>
      <w:r>
        <w:t xml:space="preserve"> (</w:t>
      </w:r>
      <w:r>
        <w:rPr>
          <w:i/>
          <w:iCs/>
        </w:rPr>
        <w:t xml:space="preserve">Sound Around 2022 </w:t>
      </w:r>
      <w:r w:rsidRPr="002529A5">
        <w:rPr>
          <w:i/>
          <w:iCs/>
        </w:rPr>
        <w:t>Forfeiture Order</w:t>
      </w:r>
      <w:r>
        <w:t xml:space="preserve">); </w:t>
      </w:r>
      <w:r w:rsidRPr="001A604E">
        <w:rPr>
          <w:i/>
          <w:iCs/>
        </w:rPr>
        <w:t>see</w:t>
      </w:r>
      <w:r>
        <w:rPr>
          <w:i/>
          <w:iCs/>
        </w:rPr>
        <w:t xml:space="preserve"> also </w:t>
      </w:r>
      <w:r w:rsidRPr="009C4EE7">
        <w:rPr>
          <w:i/>
        </w:rPr>
        <w:t>ABC Fulf</w:t>
      </w:r>
      <w:r>
        <w:rPr>
          <w:i/>
        </w:rPr>
        <w:t>i</w:t>
      </w:r>
      <w:r w:rsidRPr="009C4EE7">
        <w:rPr>
          <w:i/>
        </w:rPr>
        <w:t>llment Services LLC d/b/a HobbyKing USA LLC and HobbyKing.com, and Indubitably, Inc. d/b/a/ HobbyKing Corp., HobbyKing USA LLC, HobbyKing and HobbyKing.com</w:t>
      </w:r>
      <w:r w:rsidRPr="009C4EE7">
        <w:t xml:space="preserve">, </w:t>
      </w:r>
      <w:r>
        <w:t>Forfeiture Order</w:t>
      </w:r>
      <w:r w:rsidRPr="009C4EE7">
        <w:t>, 3</w:t>
      </w:r>
      <w:r>
        <w:t>5</w:t>
      </w:r>
      <w:r w:rsidRPr="009C4EE7">
        <w:t xml:space="preserve"> FCC Rcd </w:t>
      </w:r>
      <w:r>
        <w:t>7441, 7442, para. 5</w:t>
      </w:r>
      <w:r w:rsidRPr="009C4EE7">
        <w:t xml:space="preserve"> (20</w:t>
      </w:r>
      <w:r>
        <w:t>20</w:t>
      </w:r>
      <w:r w:rsidRPr="009C4EE7">
        <w:t>)</w:t>
      </w:r>
      <w:r>
        <w:t>.</w:t>
      </w:r>
    </w:p>
  </w:footnote>
  <w:footnote w:id="4">
    <w:p w:rsidR="0032514E" w:rsidRPr="007A04BF" w:rsidP="0032514E" w14:paraId="163AAF04" w14:textId="77777777">
      <w:pPr>
        <w:pStyle w:val="FootnoteText"/>
      </w:pPr>
      <w:r w:rsidRPr="007A04BF">
        <w:rPr>
          <w:rStyle w:val="FootnoteReference"/>
        </w:rPr>
        <w:footnoteRef/>
      </w:r>
      <w:r w:rsidRPr="007A04BF">
        <w:t xml:space="preserve"> 47 U.S.C. § 302a(b).</w:t>
      </w:r>
    </w:p>
  </w:footnote>
  <w:footnote w:id="5">
    <w:p w:rsidR="0032514E" w:rsidRPr="008C1091" w:rsidP="0032514E" w14:paraId="6458F2A9" w14:textId="77777777">
      <w:pPr>
        <w:pStyle w:val="FootnoteText"/>
      </w:pPr>
      <w:r w:rsidRPr="008C1091">
        <w:rPr>
          <w:rStyle w:val="FootnoteReference"/>
        </w:rPr>
        <w:footnoteRef/>
      </w:r>
      <w:r w:rsidRPr="008C1091">
        <w:t xml:space="preserve"> </w:t>
      </w:r>
      <w:r w:rsidRPr="00CF1F15">
        <w:rPr>
          <w:i/>
          <w:iCs/>
        </w:rPr>
        <w:t>See</w:t>
      </w:r>
      <w:r>
        <w:t xml:space="preserve"> </w:t>
      </w:r>
      <w:r w:rsidRPr="008C1091">
        <w:t>47 CFR § 2.803(b)(1)</w:t>
      </w:r>
      <w:r>
        <w:t xml:space="preserve">.  </w:t>
      </w:r>
    </w:p>
  </w:footnote>
  <w:footnote w:id="6">
    <w:p w:rsidR="0032514E" w:rsidRPr="008C1091" w:rsidP="0032514E" w14:paraId="43621ECD" w14:textId="77777777">
      <w:pPr>
        <w:pStyle w:val="FootnoteText"/>
      </w:pPr>
      <w:r w:rsidRPr="008C1091">
        <w:rPr>
          <w:rStyle w:val="FootnoteReference"/>
        </w:rPr>
        <w:footnoteRef/>
      </w:r>
      <w:r>
        <w:t xml:space="preserve"> </w:t>
      </w:r>
      <w:r w:rsidRPr="00CF1F15">
        <w:rPr>
          <w:i/>
          <w:iCs/>
        </w:rPr>
        <w:t>Id.</w:t>
      </w:r>
      <w:r w:rsidRPr="008C1091">
        <w:t xml:space="preserve"> § 2.803(b)</w:t>
      </w:r>
      <w:r>
        <w:t xml:space="preserve">(2).  </w:t>
      </w:r>
    </w:p>
  </w:footnote>
  <w:footnote w:id="7">
    <w:p w:rsidR="0032514E" w:rsidP="0032514E" w14:paraId="26447D69" w14:textId="77777777">
      <w:pPr>
        <w:pStyle w:val="FootnoteText"/>
      </w:pPr>
      <w:r>
        <w:rPr>
          <w:rStyle w:val="FootnoteReference"/>
        </w:rPr>
        <w:footnoteRef/>
      </w:r>
      <w:r>
        <w:t xml:space="preserve"> </w:t>
      </w:r>
      <w:r>
        <w:rPr>
          <w:i/>
          <w:iCs/>
        </w:rPr>
        <w:t>I</w:t>
      </w:r>
      <w:r w:rsidRPr="000747FA">
        <w:rPr>
          <w:i/>
          <w:iCs/>
        </w:rPr>
        <w:t>d</w:t>
      </w:r>
      <w:r>
        <w:t>.</w:t>
      </w:r>
      <w:r w:rsidRPr="008C1091">
        <w:t xml:space="preserve"> § 2.803(a).</w:t>
      </w:r>
    </w:p>
  </w:footnote>
  <w:footnote w:id="8">
    <w:p w:rsidR="0032514E" w:rsidP="0032514E" w14:paraId="2C8BDDF1" w14:textId="77777777">
      <w:pPr>
        <w:pStyle w:val="FootnoteText"/>
      </w:pPr>
      <w:r>
        <w:rPr>
          <w:rStyle w:val="FootnoteReference"/>
        </w:rPr>
        <w:footnoteRef/>
      </w:r>
      <w:r>
        <w:t xml:space="preserve"> </w:t>
      </w:r>
      <w:r>
        <w:rPr>
          <w:i/>
        </w:rPr>
        <w:t xml:space="preserve">See </w:t>
      </w:r>
      <w:r>
        <w:rPr>
          <w:i/>
          <w:iCs/>
        </w:rPr>
        <w:t>id</w:t>
      </w:r>
      <w:r>
        <w:t xml:space="preserve">. § 15.201(b).  </w:t>
      </w:r>
      <w:r w:rsidRPr="00CB2818">
        <w:t xml:space="preserve">An intentional radiator is “[a] device that intentionally generates and emits radio frequency energy by radiation or induction.”  </w:t>
      </w:r>
      <w:r w:rsidRPr="00CB2818">
        <w:rPr>
          <w:i/>
        </w:rPr>
        <w:t>Id</w:t>
      </w:r>
      <w:r w:rsidRPr="00CB2818">
        <w:t>. § 15.3(o).</w:t>
      </w:r>
      <w:r>
        <w:t xml:space="preserve">  </w:t>
      </w:r>
    </w:p>
  </w:footnote>
  <w:footnote w:id="9">
    <w:p w:rsidR="0032514E" w:rsidRPr="00D60F72" w:rsidP="0032514E" w14:paraId="0CCE3441" w14:textId="77777777">
      <w:pPr>
        <w:pStyle w:val="FootnoteText"/>
      </w:pPr>
      <w:r w:rsidRPr="00D60F72">
        <w:rPr>
          <w:rStyle w:val="FootnoteReference"/>
        </w:rPr>
        <w:footnoteRef/>
      </w:r>
      <w:r w:rsidRPr="00D60F72">
        <w:t xml:space="preserve"> </w:t>
      </w:r>
      <w:r>
        <w:rPr>
          <w:i/>
          <w:iCs/>
        </w:rPr>
        <w:t>Id</w:t>
      </w:r>
      <w:r>
        <w:t>.</w:t>
      </w:r>
      <w:r w:rsidRPr="00D60F72">
        <w:t xml:space="preserve"> § 2.907.</w:t>
      </w:r>
      <w:r>
        <w:t xml:space="preserve">  </w:t>
      </w:r>
      <w:r w:rsidRPr="00CB2818">
        <w:t>The equipment certification procedures can be found in 47 CFR §§ 2.1031-2.1060.</w:t>
      </w:r>
    </w:p>
  </w:footnote>
  <w:footnote w:id="10">
    <w:p w:rsidR="0032514E" w:rsidRPr="00AE0DC6" w:rsidP="0032514E" w14:paraId="5DB762F3" w14:textId="77777777">
      <w:pPr>
        <w:pStyle w:val="FootnoteText"/>
      </w:pPr>
      <w:r>
        <w:rPr>
          <w:rStyle w:val="FootnoteReference"/>
        </w:rPr>
        <w:footnoteRef/>
      </w:r>
      <w:r>
        <w:t xml:space="preserve"> </w:t>
      </w:r>
      <w:r>
        <w:rPr>
          <w:i/>
          <w:iCs/>
        </w:rPr>
        <w:t>See id</w:t>
      </w:r>
      <w:r>
        <w:t xml:space="preserve">. </w:t>
      </w:r>
      <w:r w:rsidRPr="008C1091">
        <w:t>§§</w:t>
      </w:r>
      <w:r>
        <w:t xml:space="preserve"> 2.907(b), 2.908.</w:t>
      </w:r>
    </w:p>
  </w:footnote>
  <w:footnote w:id="11">
    <w:p w:rsidR="0032514E" w:rsidP="0032514E" w14:paraId="5F5BED1A" w14:textId="77777777">
      <w:pPr>
        <w:pStyle w:val="FootnoteText"/>
      </w:pPr>
      <w:r>
        <w:rPr>
          <w:rStyle w:val="FootnoteReference"/>
        </w:rPr>
        <w:footnoteRef/>
      </w:r>
      <w:r>
        <w:t xml:space="preserve"> </w:t>
      </w:r>
      <w:r>
        <w:rPr>
          <w:i/>
          <w:iCs/>
        </w:rPr>
        <w:t>Id</w:t>
      </w:r>
      <w:r>
        <w:t>. §</w:t>
      </w:r>
      <w:r w:rsidRPr="00E77845">
        <w:t xml:space="preserve"> 15.3(z)</w:t>
      </w:r>
      <w:r>
        <w:t xml:space="preserve"> (“</w:t>
      </w:r>
      <w:r w:rsidRPr="00E77845">
        <w:t>Unintentional radiator.  A device that intentionally generates radio frequency energy for use within the device, or that sends radio frequency signals by conduction to associated equipment via connecting wiring, but which is not intended to emit RF energy by radiation or induction.</w:t>
      </w:r>
      <w:r>
        <w:t xml:space="preserve">”); </w:t>
      </w:r>
      <w:r>
        <w:rPr>
          <w:i/>
          <w:iCs/>
        </w:rPr>
        <w:t>id</w:t>
      </w:r>
      <w:r>
        <w:t>. §</w:t>
      </w:r>
      <w:r w:rsidRPr="00E77845">
        <w:t xml:space="preserve"> 15.101(a)</w:t>
      </w:r>
      <w:r>
        <w:t xml:space="preserve"> (unintentional radiators require certification or Supplier’s Declaration of Conformity authorization).  </w:t>
      </w:r>
    </w:p>
  </w:footnote>
  <w:footnote w:id="12">
    <w:p w:rsidR="0032514E" w:rsidP="0032514E" w14:paraId="64A3DCB4" w14:textId="77777777">
      <w:pPr>
        <w:pStyle w:val="FootnoteText"/>
      </w:pPr>
      <w:r>
        <w:rPr>
          <w:rStyle w:val="FootnoteReference"/>
        </w:rPr>
        <w:footnoteRef/>
      </w:r>
      <w:r>
        <w:t xml:space="preserve"> </w:t>
      </w:r>
      <w:r>
        <w:rPr>
          <w:i/>
          <w:iCs/>
        </w:rPr>
        <w:t>Id</w:t>
      </w:r>
      <w:r>
        <w:t>. § 2.909.</w:t>
      </w:r>
    </w:p>
  </w:footnote>
  <w:footnote w:id="13">
    <w:p w:rsidR="0032514E" w:rsidP="0032514E" w14:paraId="7D56D28F" w14:textId="77777777">
      <w:pPr>
        <w:pStyle w:val="FootnoteText"/>
      </w:pPr>
      <w:r>
        <w:rPr>
          <w:rStyle w:val="FootnoteReference"/>
        </w:rPr>
        <w:footnoteRef/>
      </w:r>
      <w:r>
        <w:t xml:space="preserve"> </w:t>
      </w:r>
      <w:r>
        <w:rPr>
          <w:i/>
          <w:iCs/>
        </w:rPr>
        <w:t>See</w:t>
      </w:r>
      <w:r>
        <w:t xml:space="preserve"> </w:t>
      </w:r>
      <w:r w:rsidRPr="005B4D68">
        <w:rPr>
          <w:i/>
          <w:iCs/>
        </w:rPr>
        <w:t>id.</w:t>
      </w:r>
      <w:r w:rsidRPr="00CC75BD">
        <w:t xml:space="preserve"> </w:t>
      </w:r>
      <w:r>
        <w:t>§ </w:t>
      </w:r>
      <w:r w:rsidRPr="00CC75BD">
        <w:t>2.906(a)</w:t>
      </w:r>
      <w:r>
        <w:t xml:space="preserve"> (“</w:t>
      </w:r>
      <w:r w:rsidRPr="00CC75BD">
        <w:t>Supplier</w:t>
      </w:r>
      <w:r>
        <w:t>’</w:t>
      </w:r>
      <w:r w:rsidRPr="00CC75BD">
        <w:t>s Declaration of Conformity (SDoC) is a procedure where the responsible party, as defined in § 2.909, makes measurements or completes other procedures found acceptable to the Commission to ensure that the equipment complies with the appropriate technical standards and other applicable requirements</w:t>
      </w:r>
      <w:r>
        <w:t xml:space="preserve">.”).  </w:t>
      </w:r>
    </w:p>
  </w:footnote>
  <w:footnote w:id="14">
    <w:p w:rsidR="0032514E" w:rsidRPr="00D60F72" w:rsidP="0032514E" w14:paraId="06D8AABE" w14:textId="77777777">
      <w:pPr>
        <w:pStyle w:val="FootnoteText"/>
      </w:pPr>
      <w:r w:rsidRPr="00D60F72">
        <w:rPr>
          <w:rStyle w:val="FootnoteReference"/>
        </w:rPr>
        <w:footnoteRef/>
      </w:r>
      <w:r w:rsidRPr="00D60F72">
        <w:t xml:space="preserve"> </w:t>
      </w:r>
      <w:r>
        <w:rPr>
          <w:i/>
          <w:iCs/>
        </w:rPr>
        <w:t>Id</w:t>
      </w:r>
      <w:r>
        <w:t>.</w:t>
      </w:r>
      <w:r w:rsidRPr="00D60F72">
        <w:t xml:space="preserve"> §§ </w:t>
      </w:r>
      <w:r>
        <w:t xml:space="preserve">2.925, 2.1074, </w:t>
      </w:r>
      <w:r w:rsidRPr="00D60F72">
        <w:t>15.19(a)(3)-(5)</w:t>
      </w:r>
      <w:r>
        <w:t xml:space="preserve">, </w:t>
      </w:r>
      <w:r w:rsidRPr="00D60F72">
        <w:t>18.209(b).</w:t>
      </w:r>
    </w:p>
  </w:footnote>
  <w:footnote w:id="15">
    <w:p w:rsidR="0032514E" w:rsidRPr="00A87F03" w:rsidP="0032514E" w14:paraId="411AF8FD" w14:textId="77777777">
      <w:pPr>
        <w:pStyle w:val="FootnoteText"/>
      </w:pPr>
      <w:r w:rsidRPr="00A87F03">
        <w:rPr>
          <w:rStyle w:val="FootnoteReference"/>
        </w:rPr>
        <w:footnoteRef/>
      </w:r>
      <w:r w:rsidRPr="00A87F03">
        <w:t xml:space="preserve"> Section 4(i) </w:t>
      </w:r>
      <w:r>
        <w:t xml:space="preserve">of the Act </w:t>
      </w:r>
      <w:r w:rsidRPr="00A87F03">
        <w:t>authorizes the Commission to “issue such orders, not inconsistent with this Act</w:t>
      </w:r>
      <w:r>
        <w:t>,</w:t>
      </w:r>
      <w:r w:rsidRPr="00A87F03">
        <w:t xml:space="preserve"> as may be necessary in the execution of its functions.”  47 U.S.C. § 154(i).  Section 4(j) states that “[t]he Commission may conduct its proceedings in such manner as will best conduce to the proper dispatch of business and to the ends of justice.”  </w:t>
      </w:r>
      <w:r>
        <w:rPr>
          <w:i/>
          <w:iCs/>
        </w:rPr>
        <w:t>Id</w:t>
      </w:r>
      <w:r>
        <w:t>.</w:t>
      </w:r>
      <w:r w:rsidRPr="00A87F03">
        <w:t xml:space="preserve"> § 154(j).  Section 403 grants the Commission both the authority to institute inquiries and “the power to make and enforce any order or orders” relating to its inquiries into compliance with the Act.  </w:t>
      </w:r>
      <w:r>
        <w:rPr>
          <w:i/>
          <w:iCs/>
        </w:rPr>
        <w:t>Id</w:t>
      </w:r>
      <w:r>
        <w:t>.</w:t>
      </w:r>
      <w:r w:rsidRPr="00A87F03">
        <w:t xml:space="preserve"> § 403.  </w:t>
      </w:r>
      <w:r w:rsidRPr="00660678">
        <w:t xml:space="preserve">Section 0.111(a)(17) of the </w:t>
      </w:r>
      <w:r>
        <w:t xml:space="preserve">Commission’s rules </w:t>
      </w:r>
      <w:r w:rsidRPr="00660678">
        <w:t>delegate</w:t>
      </w:r>
      <w:r>
        <w:t>s</w:t>
      </w:r>
      <w:r w:rsidRPr="00660678">
        <w:t xml:space="preserve"> this authority to the Bureau.</w:t>
      </w:r>
      <w:r w:rsidRPr="00694D3D">
        <w:t xml:space="preserve"> </w:t>
      </w:r>
      <w:r>
        <w:t xml:space="preserve"> </w:t>
      </w:r>
      <w:r w:rsidRPr="00CF1F15">
        <w:rPr>
          <w:i/>
          <w:iCs/>
        </w:rPr>
        <w:t>See</w:t>
      </w:r>
      <w:r>
        <w:t xml:space="preserve"> </w:t>
      </w:r>
      <w:r w:rsidRPr="00A87F03">
        <w:t>47 CFR § 0.111(a)(17) (granting the Enforcement Bureau the authority to “[i]dentify and analyze complaint information, conduct investigations, conduct external audits and collect information, including pursuant to sections 218, 220, 308(b), 403 and 409(e) through (k) of the Communications Act, in connection with complaints, on its own initiative or upon request of another Bureau or Office”).</w:t>
      </w:r>
    </w:p>
  </w:footnote>
  <w:footnote w:id="16">
    <w:p w:rsidR="0032514E" w:rsidRPr="00826245" w:rsidP="0032514E" w14:paraId="42CEE411" w14:textId="77777777">
      <w:pPr>
        <w:pStyle w:val="FootnoteText"/>
      </w:pPr>
      <w:r w:rsidRPr="00826245">
        <w:rPr>
          <w:rStyle w:val="FootnoteReference"/>
        </w:rPr>
        <w:footnoteRef/>
      </w:r>
      <w:r w:rsidRPr="00826245">
        <w:t xml:space="preserve"> 47 U.S.C. § 403</w:t>
      </w:r>
      <w:r>
        <w:t>;</w:t>
      </w:r>
      <w:r w:rsidRPr="00826245">
        <w:t xml:space="preserve"> </w:t>
      </w:r>
      <w:r>
        <w:rPr>
          <w:i/>
        </w:rPr>
        <w:t>s</w:t>
      </w:r>
      <w:r w:rsidRPr="00826245">
        <w:rPr>
          <w:i/>
        </w:rPr>
        <w:t>ee, e.g.</w:t>
      </w:r>
      <w:r w:rsidRPr="00826245">
        <w:t xml:space="preserve">, </w:t>
      </w:r>
      <w:r w:rsidRPr="00826245">
        <w:rPr>
          <w:i/>
        </w:rPr>
        <w:t>Lyca Tel, LLC</w:t>
      </w:r>
      <w:r w:rsidRPr="00826245">
        <w:t>, Memorandum Opinion and Order,</w:t>
      </w:r>
      <w:r>
        <w:t xml:space="preserve"> 31 FCC Rcd 12125</w:t>
      </w:r>
      <w:r w:rsidRPr="00826245">
        <w:t xml:space="preserve"> (2016).</w:t>
      </w:r>
    </w:p>
  </w:footnote>
  <w:footnote w:id="17">
    <w:p w:rsidR="0032514E" w:rsidRPr="00826245" w:rsidP="0032514E" w14:paraId="16103812" w14:textId="77777777">
      <w:pPr>
        <w:pStyle w:val="FootnoteText"/>
      </w:pPr>
      <w:r w:rsidRPr="00826245">
        <w:rPr>
          <w:rStyle w:val="FootnoteReference"/>
        </w:rPr>
        <w:footnoteRef/>
      </w:r>
      <w:r w:rsidRPr="00826245">
        <w:t xml:space="preserve"> </w:t>
      </w:r>
      <w:r w:rsidRPr="00826245">
        <w:rPr>
          <w:i/>
        </w:rPr>
        <w:t>See</w:t>
      </w:r>
      <w:r>
        <w:rPr>
          <w:i/>
        </w:rPr>
        <w:t xml:space="preserve"> </w:t>
      </w:r>
      <w:r w:rsidRPr="00B20941">
        <w:rPr>
          <w:rStyle w:val="Emphasis"/>
          <w:bdr w:val="none" w:sz="0" w:space="0" w:color="auto" w:frame="1"/>
        </w:rPr>
        <w:t>ABC Fulfillment Services LLC d/b/a </w:t>
      </w:r>
      <w:r w:rsidRPr="00B20941">
        <w:rPr>
          <w:rStyle w:val="cosearchterm"/>
          <w:i/>
          <w:iCs/>
          <w:bdr w:val="none" w:sz="0" w:space="0" w:color="auto" w:frame="1"/>
        </w:rPr>
        <w:t>HobbyKing</w:t>
      </w:r>
      <w:r w:rsidRPr="00B20941">
        <w:rPr>
          <w:rStyle w:val="Emphasis"/>
          <w:bdr w:val="none" w:sz="0" w:space="0" w:color="auto" w:frame="1"/>
        </w:rPr>
        <w:t> USA LLC and HobbyKing.com, and Indubitably, Inc. d/b/a/ </w:t>
      </w:r>
      <w:r w:rsidRPr="00B20941">
        <w:rPr>
          <w:rStyle w:val="cosearchterm"/>
          <w:i/>
          <w:iCs/>
          <w:bdr w:val="none" w:sz="0" w:space="0" w:color="auto" w:frame="1"/>
        </w:rPr>
        <w:t>HobbyKing</w:t>
      </w:r>
      <w:r w:rsidRPr="00B20941">
        <w:rPr>
          <w:rStyle w:val="Emphasis"/>
          <w:bdr w:val="none" w:sz="0" w:space="0" w:color="auto" w:frame="1"/>
        </w:rPr>
        <w:t> Corp., </w:t>
      </w:r>
      <w:r w:rsidRPr="00B20941">
        <w:rPr>
          <w:rStyle w:val="cosearchterm"/>
          <w:i/>
          <w:iCs/>
          <w:bdr w:val="none" w:sz="0" w:space="0" w:color="auto" w:frame="1"/>
        </w:rPr>
        <w:t>HobbyKing</w:t>
      </w:r>
      <w:r w:rsidRPr="00B20941">
        <w:rPr>
          <w:rStyle w:val="Emphasis"/>
          <w:bdr w:val="none" w:sz="0" w:space="0" w:color="auto" w:frame="1"/>
        </w:rPr>
        <w:t> USA LLC, </w:t>
      </w:r>
      <w:r w:rsidRPr="00B20941">
        <w:rPr>
          <w:rStyle w:val="cosearchterm"/>
          <w:i/>
          <w:iCs/>
          <w:bdr w:val="none" w:sz="0" w:space="0" w:color="auto" w:frame="1"/>
        </w:rPr>
        <w:t>HobbyKing</w:t>
      </w:r>
      <w:r w:rsidRPr="00B20941">
        <w:rPr>
          <w:rStyle w:val="Emphasis"/>
          <w:bdr w:val="none" w:sz="0" w:space="0" w:color="auto" w:frame="1"/>
        </w:rPr>
        <w:t> and HobbyKing.com</w:t>
      </w:r>
      <w:r w:rsidRPr="00185166">
        <w:rPr>
          <w:bdr w:val="none" w:sz="0" w:space="0" w:color="auto" w:frame="1"/>
        </w:rPr>
        <w:t>, Notice of Apparent Liability for Forfeiture, 33 FCC Rcd 5530 (2018)</w:t>
      </w:r>
      <w:r w:rsidRPr="00B20941">
        <w:t xml:space="preserve">, </w:t>
      </w:r>
      <w:r w:rsidRPr="00B20941">
        <w:rPr>
          <w:i/>
          <w:iCs/>
        </w:rPr>
        <w:t>aff’d</w:t>
      </w:r>
      <w:r w:rsidRPr="00B20941">
        <w:t xml:space="preserve">, Forfeiture Order, </w:t>
      </w:r>
      <w:r w:rsidRPr="00B20941">
        <w:rPr>
          <w:snapToGrid w:val="0"/>
        </w:rPr>
        <w:t>35 FCC Rcd 7441 (2020)</w:t>
      </w:r>
      <w:r>
        <w:rPr>
          <w:snapToGrid w:val="0"/>
        </w:rPr>
        <w:t xml:space="preserve">, </w:t>
      </w:r>
      <w:r w:rsidRPr="001F4440">
        <w:rPr>
          <w:i/>
          <w:iCs/>
          <w:snapToGrid w:val="0"/>
        </w:rPr>
        <w:t>recon. denied</w:t>
      </w:r>
      <w:r>
        <w:rPr>
          <w:snapToGrid w:val="0"/>
        </w:rPr>
        <w:t>, Memorandum Opinion and Order, 36 FCC Rcd 10688 (2021)</w:t>
      </w:r>
      <w:r w:rsidRPr="00B20941">
        <w:rPr>
          <w:snapToGrid w:val="0"/>
        </w:rPr>
        <w:t xml:space="preserve"> (imposing a $39,278 forfeiture for failure to</w:t>
      </w:r>
      <w:r>
        <w:rPr>
          <w:snapToGrid w:val="0"/>
        </w:rPr>
        <w:t xml:space="preserve"> fully</w:t>
      </w:r>
      <w:r w:rsidRPr="00B20941">
        <w:rPr>
          <w:snapToGrid w:val="0"/>
        </w:rPr>
        <w:t xml:space="preserve"> respon</w:t>
      </w:r>
      <w:r>
        <w:rPr>
          <w:snapToGrid w:val="0"/>
        </w:rPr>
        <w:t>d</w:t>
      </w:r>
      <w:r w:rsidRPr="00B20941">
        <w:rPr>
          <w:snapToGrid w:val="0"/>
        </w:rPr>
        <w:t xml:space="preserve"> to</w:t>
      </w:r>
      <w:r>
        <w:rPr>
          <w:snapToGrid w:val="0"/>
        </w:rPr>
        <w:t xml:space="preserve"> an</w:t>
      </w:r>
      <w:r w:rsidRPr="00B20941">
        <w:rPr>
          <w:snapToGrid w:val="0"/>
        </w:rPr>
        <w:t xml:space="preserve"> LOI)</w:t>
      </w:r>
      <w:r>
        <w:rPr>
          <w:snapToGrid w:val="0"/>
        </w:rPr>
        <w:t xml:space="preserve">; </w:t>
      </w:r>
      <w:r w:rsidRPr="00826245">
        <w:rPr>
          <w:i/>
        </w:rPr>
        <w:t>Net One Int’l, Net One, LLC, Farrahtel Int’l, LLC</w:t>
      </w:r>
      <w:r w:rsidRPr="00826245">
        <w:t>, Forfeiture Order, 29 FCC Rcd 264, 267, para. 9 (EB 2014)</w:t>
      </w:r>
      <w:r>
        <w:t xml:space="preserve"> </w:t>
      </w:r>
      <w:r w:rsidRPr="00A87F03">
        <w:t>(</w:t>
      </w:r>
      <w:r w:rsidRPr="00A87F03">
        <w:rPr>
          <w:i/>
        </w:rPr>
        <w:t>Net One</w:t>
      </w:r>
      <w:r w:rsidRPr="00A87F03">
        <w:t>)</w:t>
      </w:r>
      <w:r w:rsidRPr="00826245">
        <w:t xml:space="preserve">, </w:t>
      </w:r>
      <w:r w:rsidRPr="00826245">
        <w:rPr>
          <w:i/>
        </w:rPr>
        <w:t>recon. denied</w:t>
      </w:r>
      <w:r w:rsidRPr="00826245">
        <w:t>,</w:t>
      </w:r>
      <w:r w:rsidRPr="00826245">
        <w:rPr>
          <w:i/>
        </w:rPr>
        <w:t xml:space="preserve"> </w:t>
      </w:r>
      <w:r w:rsidRPr="00826245">
        <w:t>Memorandum Opinion and Order, 30 FCC Rcd 1021 (EB 2015)</w:t>
      </w:r>
      <w:r w:rsidRPr="00826245">
        <w:rPr>
          <w:snapToGrid w:val="0"/>
        </w:rPr>
        <w:t>.</w:t>
      </w:r>
    </w:p>
  </w:footnote>
  <w:footnote w:id="18">
    <w:p w:rsidR="0032514E" w:rsidRPr="009766F3" w:rsidP="0032514E" w14:paraId="0743C07E" w14:textId="77777777">
      <w:pPr>
        <w:pStyle w:val="FootnoteText"/>
      </w:pPr>
      <w:r w:rsidRPr="00826245">
        <w:rPr>
          <w:rStyle w:val="FootnoteReference"/>
        </w:rPr>
        <w:footnoteRef/>
      </w:r>
      <w:r w:rsidRPr="00826245">
        <w:t xml:space="preserve"> 47 CFR § 0.111(a)(17)</w:t>
      </w:r>
      <w:r>
        <w:t xml:space="preserve">; </w:t>
      </w:r>
      <w:r>
        <w:rPr>
          <w:i/>
        </w:rPr>
        <w:t xml:space="preserve">see also </w:t>
      </w:r>
      <w:r w:rsidRPr="009766F3">
        <w:t>47 U.S.C. § 155(c)(3)</w:t>
      </w:r>
      <w:r>
        <w:t xml:space="preserve"> (</w:t>
      </w:r>
      <w:r w:rsidRPr="009766F3">
        <w:t>“Any order . . . or action made or taken pursuant to any [ ] delegation . . .  shall have the same force and effect . . . and [be] enforced in the same manner, as or</w:t>
      </w:r>
      <w:r>
        <w:t>ders . . . of the Commission.”)</w:t>
      </w:r>
      <w:r w:rsidRPr="009766F3">
        <w:t>.</w:t>
      </w:r>
    </w:p>
  </w:footnote>
  <w:footnote w:id="19">
    <w:p w:rsidR="0032514E" w:rsidP="0032514E" w14:paraId="4D3C4CDB" w14:textId="77777777">
      <w:pPr>
        <w:pStyle w:val="FootnoteText"/>
      </w:pPr>
      <w:r>
        <w:rPr>
          <w:rStyle w:val="FootnoteReference"/>
        </w:rPr>
        <w:footnoteRef/>
      </w:r>
      <w:r>
        <w:t xml:space="preserve"> 47 U.S.C. § 503(b)(1)(B).  </w:t>
      </w:r>
    </w:p>
  </w:footnote>
  <w:footnote w:id="20">
    <w:p w:rsidR="0032514E" w:rsidRPr="00A87F03" w:rsidP="0032514E" w14:paraId="1D5D5869" w14:textId="77777777">
      <w:pPr>
        <w:pStyle w:val="FootnoteText"/>
      </w:pPr>
      <w:r w:rsidRPr="00A87F03">
        <w:rPr>
          <w:rStyle w:val="FootnoteReference"/>
        </w:rPr>
        <w:footnoteRef/>
      </w:r>
      <w:r w:rsidRPr="00A87F03">
        <w:t xml:space="preserve"> </w:t>
      </w:r>
      <w:r w:rsidRPr="00A87F03">
        <w:rPr>
          <w:i/>
        </w:rPr>
        <w:t xml:space="preserve">See </w:t>
      </w:r>
      <w:r w:rsidRPr="00A87F03">
        <w:t xml:space="preserve">47 U.S.C. §§ 154(i), 154(j), 403, 503(b)(1)(B); </w:t>
      </w:r>
      <w:r w:rsidRPr="00A87F03">
        <w:rPr>
          <w:i/>
        </w:rPr>
        <w:t>SBC Commc</w:t>
      </w:r>
      <w:r>
        <w:rPr>
          <w:i/>
        </w:rPr>
        <w:t>’</w:t>
      </w:r>
      <w:r w:rsidRPr="00A87F03">
        <w:rPr>
          <w:i/>
        </w:rPr>
        <w:t>ns, Inc.</w:t>
      </w:r>
      <w:r w:rsidRPr="00A87F03">
        <w:t>, Forfeiture Order, 17 FCC Rcd 7589, 7599</w:t>
      </w:r>
      <w:r>
        <w:t>-</w:t>
      </w:r>
      <w:r w:rsidRPr="00A87F03">
        <w:t>7600, paras. 23</w:t>
      </w:r>
      <w:r>
        <w:t>-</w:t>
      </w:r>
      <w:r w:rsidRPr="00A87F03">
        <w:t>28 (2002) (</w:t>
      </w:r>
      <w:r w:rsidRPr="00A87F03">
        <w:rPr>
          <w:i/>
        </w:rPr>
        <w:t>SBC</w:t>
      </w:r>
      <w:r w:rsidRPr="00A87F03">
        <w:t xml:space="preserve">); </w:t>
      </w:r>
      <w:r w:rsidRPr="00A87F03">
        <w:rPr>
          <w:i/>
        </w:rPr>
        <w:t>Message Comm</w:t>
      </w:r>
      <w:r>
        <w:rPr>
          <w:i/>
        </w:rPr>
        <w:t>c’ns, Inc.</w:t>
      </w:r>
      <w:r w:rsidRPr="00A87F03">
        <w:t>, Notice of Apparent Liability for Forfeiture, 29 FCC Rcd 8214,</w:t>
      </w:r>
      <w:r>
        <w:t xml:space="preserve"> 8216-17, </w:t>
      </w:r>
      <w:r w:rsidRPr="00A87F03">
        <w:t>paras. 9</w:t>
      </w:r>
      <w:r>
        <w:t>-</w:t>
      </w:r>
      <w:r w:rsidRPr="00A87F03">
        <w:t>12 (</w:t>
      </w:r>
      <w:r>
        <w:t>EB</w:t>
      </w:r>
      <w:r w:rsidRPr="00A87F03">
        <w:t xml:space="preserve"> 2014); </w:t>
      </w:r>
      <w:r w:rsidRPr="00A87F03">
        <w:rPr>
          <w:i/>
        </w:rPr>
        <w:t>Calling Post Comm</w:t>
      </w:r>
      <w:r>
        <w:rPr>
          <w:i/>
        </w:rPr>
        <w:t>c’ns, Inc.</w:t>
      </w:r>
      <w:r w:rsidRPr="00A87F03">
        <w:t>, Notice of Apparent Liability for Forfeiture, 29 FCC Rcd 8208,</w:t>
      </w:r>
      <w:r>
        <w:t xml:space="preserve"> 8210-11,</w:t>
      </w:r>
      <w:r w:rsidRPr="00A87F03">
        <w:t xml:space="preserve"> paras. 8</w:t>
      </w:r>
      <w:r>
        <w:t>-</w:t>
      </w:r>
      <w:r w:rsidRPr="00A87F03">
        <w:t>11 (</w:t>
      </w:r>
      <w:r>
        <w:t>EB</w:t>
      </w:r>
      <w:r w:rsidRPr="00A87F03">
        <w:t xml:space="preserve"> 2014).</w:t>
      </w:r>
    </w:p>
  </w:footnote>
  <w:footnote w:id="21">
    <w:p w:rsidR="0032514E" w:rsidRPr="00A87F03" w:rsidP="0032514E" w14:paraId="2115685F" w14:textId="77777777">
      <w:pPr>
        <w:pStyle w:val="FootnoteText"/>
      </w:pPr>
      <w:r w:rsidRPr="00A87F03">
        <w:rPr>
          <w:rStyle w:val="FootnoteReference"/>
        </w:rPr>
        <w:footnoteRef/>
      </w:r>
      <w:r w:rsidRPr="00A87F03">
        <w:t xml:space="preserve"> </w:t>
      </w:r>
      <w:r w:rsidRPr="00A87F03">
        <w:rPr>
          <w:i/>
        </w:rPr>
        <w:t>See, e.g.</w:t>
      </w:r>
      <w:r w:rsidRPr="00A87F03">
        <w:t xml:space="preserve">, </w:t>
      </w:r>
      <w:r>
        <w:rPr>
          <w:i/>
        </w:rPr>
        <w:t>SBC</w:t>
      </w:r>
      <w:r w:rsidRPr="00A87F03">
        <w:t>, 17 FCC Rcd</w:t>
      </w:r>
      <w:r>
        <w:t xml:space="preserve"> at</w:t>
      </w:r>
      <w:r w:rsidRPr="00A87F03">
        <w:t xml:space="preserve"> 7599</w:t>
      </w:r>
      <w:r>
        <w:t>-</w:t>
      </w:r>
      <w:r w:rsidRPr="00A87F03">
        <w:t>7600, paras. 23</w:t>
      </w:r>
      <w:r>
        <w:t>-</w:t>
      </w:r>
      <w:r w:rsidRPr="00A87F03">
        <w:t xml:space="preserve">28 </w:t>
      </w:r>
      <w:r>
        <w:t>(target violated a Commission Order when it failed to provide a sworn verification to a letter of inquiry issued by the Enforcement Bureau)</w:t>
      </w:r>
      <w:r w:rsidRPr="00A87F03">
        <w:t>;</w:t>
      </w:r>
      <w:r>
        <w:t xml:space="preserve"> </w:t>
      </w:r>
      <w:r>
        <w:rPr>
          <w:i/>
          <w:iCs/>
        </w:rPr>
        <w:t>see also</w:t>
      </w:r>
      <w:r w:rsidRPr="00A87F03">
        <w:t xml:space="preserve"> </w:t>
      </w:r>
      <w:r>
        <w:rPr>
          <w:i/>
        </w:rPr>
        <w:t>Net One</w:t>
      </w:r>
      <w:r w:rsidRPr="00A87F03">
        <w:t>, 29 FCC Rcd</w:t>
      </w:r>
      <w:r>
        <w:t xml:space="preserve"> at</w:t>
      </w:r>
      <w:r w:rsidRPr="00A87F03">
        <w:t xml:space="preserve"> 267, para. 9 </w:t>
      </w:r>
      <w:r>
        <w:t>(target violated a Commission Order when it provided an incomplete response to a letter of inquiry issued by the Enforcement Bureau)</w:t>
      </w:r>
      <w:r w:rsidRPr="00A87F03">
        <w:t xml:space="preserve">, </w:t>
      </w:r>
      <w:r w:rsidRPr="00A87F03">
        <w:rPr>
          <w:i/>
        </w:rPr>
        <w:t xml:space="preserve">recon. </w:t>
      </w:r>
      <w:r>
        <w:rPr>
          <w:i/>
        </w:rPr>
        <w:t>d</w:t>
      </w:r>
      <w:r w:rsidRPr="00A87F03">
        <w:rPr>
          <w:i/>
        </w:rPr>
        <w:t>enied</w:t>
      </w:r>
      <w:r>
        <w:rPr>
          <w:iCs/>
        </w:rPr>
        <w:t>,</w:t>
      </w:r>
      <w:r w:rsidRPr="00A87F03">
        <w:rPr>
          <w:i/>
        </w:rPr>
        <w:t xml:space="preserve"> </w:t>
      </w:r>
      <w:r w:rsidRPr="00A87F03">
        <w:t>Memorandum Opinion and Order, 30 FCC Rcd 1021 (</w:t>
      </w:r>
      <w:r>
        <w:t>EB</w:t>
      </w:r>
      <w:r w:rsidRPr="00A87F03">
        <w:t xml:space="preserve"> 2015);</w:t>
      </w:r>
      <w:r w:rsidRPr="00A87F03">
        <w:rPr>
          <w:i/>
        </w:rPr>
        <w:t xml:space="preserve"> AllCom</w:t>
      </w:r>
      <w:r w:rsidRPr="00A87F03">
        <w:t>, Notice of Apparent Liability for Forfeiture and Order, 25 FCC Rcd 9124, 9126</w:t>
      </w:r>
      <w:r>
        <w:t>-</w:t>
      </w:r>
      <w:r w:rsidRPr="00A87F03">
        <w:t>27, paras. 6</w:t>
      </w:r>
      <w:r>
        <w:t>-</w:t>
      </w:r>
      <w:r w:rsidRPr="00A87F03">
        <w:t>10 (</w:t>
      </w:r>
      <w:r>
        <w:t>EB</w:t>
      </w:r>
      <w:r w:rsidRPr="00A87F03">
        <w:t xml:space="preserve"> 2010)</w:t>
      </w:r>
      <w:r>
        <w:t xml:space="preserve"> (target violated a Commission Order when it provided no response to a letter of inquiry issued by the Enforcement Bureau)</w:t>
      </w:r>
      <w:r w:rsidRPr="00A87F03">
        <w:t xml:space="preserve">; </w:t>
      </w:r>
      <w:r w:rsidRPr="00A87F03">
        <w:rPr>
          <w:i/>
        </w:rPr>
        <w:t>Digital Antenna, Inc.</w:t>
      </w:r>
      <w:r>
        <w:t>,</w:t>
      </w:r>
      <w:r w:rsidRPr="00A87F03">
        <w:rPr>
          <w:i/>
        </w:rPr>
        <w:t xml:space="preserve"> </w:t>
      </w:r>
      <w:r w:rsidRPr="00A87F03">
        <w:t>Notice of Apparent Liability for Forfeiture and Order, 23 FCC Rcd 7600, 7601</w:t>
      </w:r>
      <w:r>
        <w:t>-</w:t>
      </w:r>
      <w:r w:rsidRPr="00A87F03">
        <w:t>02, paras. 6</w:t>
      </w:r>
      <w:r>
        <w:t>-</w:t>
      </w:r>
      <w:r w:rsidRPr="00A87F03">
        <w:t>8 (</w:t>
      </w:r>
      <w:r>
        <w:t>EB</w:t>
      </w:r>
      <w:r w:rsidRPr="00A87F03">
        <w:t xml:space="preserve"> 2008)</w:t>
      </w:r>
      <w:r>
        <w:t xml:space="preserve">, </w:t>
      </w:r>
      <w:r w:rsidRPr="00A87F03">
        <w:rPr>
          <w:snapToGrid w:val="0"/>
        </w:rPr>
        <w:t>Order and Consent Decree, 28 FCC Rcd 12587 (</w:t>
      </w:r>
      <w:r>
        <w:rPr>
          <w:snapToGrid w:val="0"/>
        </w:rPr>
        <w:t>EB</w:t>
      </w:r>
      <w:r w:rsidRPr="00A87F03">
        <w:rPr>
          <w:snapToGrid w:val="0"/>
        </w:rPr>
        <w:t xml:space="preserve"> 2013)</w:t>
      </w:r>
      <w:r>
        <w:rPr>
          <w:snapToGrid w:val="0"/>
        </w:rPr>
        <w:t xml:space="preserve"> (</w:t>
      </w:r>
      <w:r>
        <w:t>target violated a Commission Order when it provided incomplete responses to letters of inquiry issued by the Enforcement Bureau and provided no sworn verification supporting its incomplete responses</w:t>
      </w:r>
      <w:r>
        <w:rPr>
          <w:snapToGrid w:val="0"/>
        </w:rPr>
        <w:t>)</w:t>
      </w:r>
      <w:r w:rsidRPr="00A87F03">
        <w:rPr>
          <w:snapToGrid w:val="0"/>
        </w:rPr>
        <w:t>.</w:t>
      </w:r>
    </w:p>
  </w:footnote>
  <w:footnote w:id="22">
    <w:p w:rsidR="0032514E" w:rsidRPr="007A04BF" w:rsidP="0032514E" w14:paraId="4D51CF24" w14:textId="77777777">
      <w:pPr>
        <w:pStyle w:val="FootnoteText"/>
      </w:pPr>
      <w:r w:rsidRPr="007A04BF">
        <w:rPr>
          <w:rStyle w:val="FootnoteReference"/>
        </w:rPr>
        <w:footnoteRef/>
      </w:r>
      <w:r w:rsidRPr="007A04BF">
        <w:t xml:space="preserve"> </w:t>
      </w:r>
      <w:r w:rsidRPr="007A04BF">
        <w:rPr>
          <w:i/>
          <w:iCs/>
        </w:rPr>
        <w:t>See</w:t>
      </w:r>
      <w:r>
        <w:rPr>
          <w:i/>
          <w:iCs/>
        </w:rPr>
        <w:t xml:space="preserve"> </w:t>
      </w:r>
      <w:r>
        <w:t xml:space="preserve">Letter from Wilkinson Barker Knauer LLP, to Spectrum Enforcement Division, FCC Enforcement Bureau at 1, 3 (Oct. 3, 2022) (LOI Response) (on file in EB-SED-22-00034112); </w:t>
      </w:r>
      <w:r>
        <w:rPr>
          <w:i/>
          <w:iCs/>
        </w:rPr>
        <w:t>see also</w:t>
      </w:r>
      <w:r w:rsidRPr="007A04BF">
        <w:rPr>
          <w:i/>
          <w:iCs/>
        </w:rPr>
        <w:t xml:space="preserve"> NAL</w:t>
      </w:r>
      <w:r w:rsidRPr="007A04BF">
        <w:t>, 35 FCC Rcd at 3480, para. 6.</w:t>
      </w:r>
    </w:p>
  </w:footnote>
  <w:footnote w:id="23">
    <w:p w:rsidR="0032514E" w:rsidRPr="007A04BF" w:rsidP="0032514E" w14:paraId="56846E9F" w14:textId="77777777">
      <w:pPr>
        <w:pStyle w:val="FootnoteText"/>
      </w:pPr>
      <w:r w:rsidRPr="007A04BF">
        <w:rPr>
          <w:rStyle w:val="FootnoteReference"/>
        </w:rPr>
        <w:footnoteRef/>
      </w:r>
      <w:r w:rsidRPr="007A04BF">
        <w:t xml:space="preserve"> </w:t>
      </w:r>
      <w:r w:rsidRPr="007A04BF">
        <w:rPr>
          <w:i/>
        </w:rPr>
        <w:t xml:space="preserve">See </w:t>
      </w:r>
      <w:r w:rsidRPr="008C1091">
        <w:rPr>
          <w:i/>
        </w:rPr>
        <w:t>Sound Around Inc.</w:t>
      </w:r>
      <w:r w:rsidRPr="008C1091">
        <w:t>, Citation, 26 FCC Rcd 9474</w:t>
      </w:r>
      <w:r>
        <w:t>,</w:t>
      </w:r>
      <w:r w:rsidRPr="008C1091">
        <w:t xml:space="preserve"> </w:t>
      </w:r>
      <w:r w:rsidRPr="007A04BF">
        <w:t>9477, para. 10</w:t>
      </w:r>
      <w:r w:rsidRPr="008C1091">
        <w:t xml:space="preserve"> (EB 2011) (</w:t>
      </w:r>
      <w:r w:rsidRPr="003E7B0F">
        <w:rPr>
          <w:i/>
          <w:iCs/>
        </w:rPr>
        <w:t>Marketing Citation</w:t>
      </w:r>
      <w:r w:rsidRPr="008C1091">
        <w:t>)</w:t>
      </w:r>
      <w:r>
        <w:t xml:space="preserve">.  </w:t>
      </w:r>
      <w:r w:rsidRPr="007A04BF">
        <w:t xml:space="preserve">The </w:t>
      </w:r>
      <w:r w:rsidRPr="007A04BF">
        <w:rPr>
          <w:i/>
          <w:iCs/>
        </w:rPr>
        <w:t>Marketing Citation</w:t>
      </w:r>
      <w:r w:rsidRPr="007A04BF">
        <w:t xml:space="preserve"> noted that Sound Around engaged in unlawful marketing in 2009, 2010, and 2011.  </w:t>
      </w:r>
      <w:r w:rsidRPr="007A04BF">
        <w:rPr>
          <w:i/>
          <w:iCs/>
        </w:rPr>
        <w:t>Id.</w:t>
      </w:r>
      <w:r w:rsidRPr="007A04BF">
        <w:t xml:space="preserve"> at 9475-76, paras. 4-6.  </w:t>
      </w:r>
      <w:r>
        <w:t>I</w:t>
      </w:r>
      <w:r w:rsidRPr="0057242E">
        <w:t xml:space="preserve">n the </w:t>
      </w:r>
      <w:r w:rsidRPr="0057242E">
        <w:rPr>
          <w:i/>
          <w:iCs/>
        </w:rPr>
        <w:t>Marketing Citation</w:t>
      </w:r>
      <w:r w:rsidRPr="0057242E">
        <w:t xml:space="preserve">, </w:t>
      </w:r>
      <w:r>
        <w:t xml:space="preserve">the Division found that </w:t>
      </w:r>
      <w:r w:rsidRPr="0057242E">
        <w:t>the Company previously marketed four wireless microphone models that were ineligible for certification and therefore could not be marketed in compliance with the Commission’s rules in the United States because they operated within restricted frequency bands listed in section 15.205(a) of the Commission’s rules</w:t>
      </w:r>
      <w:r>
        <w:t xml:space="preserve">. </w:t>
      </w:r>
      <w:r w:rsidRPr="00A24118">
        <w:rPr>
          <w:i/>
          <w:iCs/>
        </w:rPr>
        <w:t xml:space="preserve"> </w:t>
      </w:r>
      <w:r w:rsidRPr="005B4D68">
        <w:rPr>
          <w:i/>
          <w:iCs/>
        </w:rPr>
        <w:t>Id.</w:t>
      </w:r>
      <w:r w:rsidRPr="0057242E">
        <w:t xml:space="preserve"> at para. 9</w:t>
      </w:r>
      <w:r>
        <w:t>.</w:t>
      </w:r>
      <w:r w:rsidRPr="0057242E">
        <w:t xml:space="preserve">  Sound Around also previously marketed</w:t>
      </w:r>
      <w:r>
        <w:t xml:space="preserve"> a</w:t>
      </w:r>
      <w:r w:rsidRPr="0057242E">
        <w:t xml:space="preserve"> wireless microphone </w:t>
      </w:r>
      <w:r>
        <w:t>that</w:t>
      </w:r>
      <w:r w:rsidRPr="0057242E">
        <w:t xml:space="preserve"> was capable of operating within the 700 MHz frequency band, which </w:t>
      </w:r>
      <w:r>
        <w:t>is</w:t>
      </w:r>
      <w:r w:rsidRPr="0057242E">
        <w:t xml:space="preserve"> prohibited by section 74.851(g) of the </w:t>
      </w:r>
      <w:r>
        <w:t>Commission’s r</w:t>
      </w:r>
      <w:r w:rsidRPr="0057242E">
        <w:t>ules</w:t>
      </w:r>
      <w:r>
        <w:t xml:space="preserve">.  </w:t>
      </w:r>
      <w:r w:rsidRPr="0057242E">
        <w:rPr>
          <w:i/>
          <w:iCs/>
        </w:rPr>
        <w:t>Id.</w:t>
      </w:r>
      <w:r w:rsidRPr="0057242E">
        <w:t xml:space="preserve">  </w:t>
      </w:r>
    </w:p>
  </w:footnote>
  <w:footnote w:id="24">
    <w:p w:rsidR="0032514E" w:rsidRPr="0057242E" w:rsidP="0032514E" w14:paraId="31949BBC" w14:textId="77777777">
      <w:pPr>
        <w:pStyle w:val="FootnoteText"/>
      </w:pPr>
      <w:r w:rsidRPr="0057242E">
        <w:rPr>
          <w:rStyle w:val="FootnoteReference"/>
        </w:rPr>
        <w:footnoteRef/>
      </w:r>
      <w:r w:rsidRPr="0057242E">
        <w:t xml:space="preserve"> </w:t>
      </w:r>
      <w:r w:rsidRPr="005B4D68">
        <w:rPr>
          <w:i/>
          <w:iCs/>
        </w:rPr>
        <w:t>Id.</w:t>
      </w:r>
      <w:r w:rsidRPr="0057242E">
        <w:t xml:space="preserve"> at 9475, para. 4.</w:t>
      </w:r>
    </w:p>
  </w:footnote>
  <w:footnote w:id="25">
    <w:p w:rsidR="0032514E" w:rsidRPr="00FB7DC9" w:rsidP="0032514E" w14:paraId="2D274A33" w14:textId="77777777">
      <w:pPr>
        <w:pStyle w:val="FootnoteText"/>
      </w:pPr>
      <w:r>
        <w:rPr>
          <w:rStyle w:val="FootnoteReference"/>
        </w:rPr>
        <w:footnoteRef/>
      </w:r>
      <w:r>
        <w:t xml:space="preserve"> </w:t>
      </w:r>
      <w:r>
        <w:rPr>
          <w:i/>
          <w:iCs/>
        </w:rPr>
        <w:t>See</w:t>
      </w:r>
      <w:r>
        <w:t xml:space="preserve"> </w:t>
      </w:r>
      <w:r>
        <w:rPr>
          <w:i/>
          <w:iCs/>
        </w:rPr>
        <w:t xml:space="preserve">Sound Around 2020 </w:t>
      </w:r>
      <w:r w:rsidRPr="00A93480">
        <w:rPr>
          <w:i/>
          <w:iCs/>
        </w:rPr>
        <w:t>NAL</w:t>
      </w:r>
      <w:r w:rsidRPr="00A93480">
        <w:t xml:space="preserve">, </w:t>
      </w:r>
      <w:r w:rsidRPr="00CF1F15">
        <w:rPr>
          <w:i/>
          <w:iCs/>
        </w:rPr>
        <w:t>supra</w:t>
      </w:r>
      <w:r>
        <w:t xml:space="preserve"> note </w:t>
      </w:r>
      <w:r>
        <w:fldChar w:fldCharType="begin"/>
      </w:r>
      <w:r>
        <w:instrText xml:space="preserve"> NOTEREF _Ref149641359 \h </w:instrText>
      </w:r>
      <w:r>
        <w:fldChar w:fldCharType="separate"/>
      </w:r>
      <w:r>
        <w:t>1</w:t>
      </w:r>
      <w:r>
        <w:fldChar w:fldCharType="end"/>
      </w:r>
      <w:r>
        <w:t xml:space="preserve">, </w:t>
      </w:r>
      <w:r w:rsidRPr="00A93480">
        <w:t>at 3484, para. 17.</w:t>
      </w:r>
    </w:p>
  </w:footnote>
  <w:footnote w:id="26">
    <w:p w:rsidR="0032514E" w:rsidRPr="00A24118" w:rsidP="0032514E" w14:paraId="57564444" w14:textId="77777777">
      <w:pPr>
        <w:pStyle w:val="FootnoteText"/>
      </w:pPr>
      <w:r>
        <w:rPr>
          <w:rStyle w:val="FootnoteReference"/>
        </w:rPr>
        <w:footnoteRef/>
      </w:r>
      <w:r>
        <w:t xml:space="preserve"> </w:t>
      </w:r>
      <w:r>
        <w:rPr>
          <w:i/>
          <w:iCs/>
        </w:rPr>
        <w:t>Id</w:t>
      </w:r>
      <w:r>
        <w:t xml:space="preserve">.  </w:t>
      </w:r>
    </w:p>
  </w:footnote>
  <w:footnote w:id="27">
    <w:p w:rsidR="0032514E" w:rsidP="0032514E" w14:paraId="2385D852" w14:textId="77777777">
      <w:pPr>
        <w:pStyle w:val="FootnoteText"/>
      </w:pPr>
      <w:r>
        <w:rPr>
          <w:rStyle w:val="FootnoteReference"/>
        </w:rPr>
        <w:footnoteRef/>
      </w:r>
      <w:r>
        <w:t xml:space="preserve"> </w:t>
      </w:r>
      <w:r>
        <w:rPr>
          <w:i/>
          <w:iCs/>
        </w:rPr>
        <w:t>See</w:t>
      </w:r>
      <w:r>
        <w:t xml:space="preserve"> </w:t>
      </w:r>
      <w:r>
        <w:rPr>
          <w:i/>
          <w:iCs/>
        </w:rPr>
        <w:t>id</w:t>
      </w:r>
      <w:r>
        <w:t>.</w:t>
      </w:r>
      <w:r w:rsidRPr="007A04BF">
        <w:t xml:space="preserve"> </w:t>
      </w:r>
      <w:r>
        <w:t>at</w:t>
      </w:r>
      <w:r w:rsidRPr="007A04BF">
        <w:t xml:space="preserve"> para. 6.</w:t>
      </w:r>
    </w:p>
  </w:footnote>
  <w:footnote w:id="28">
    <w:p w:rsidR="0032514E" w:rsidP="0032514E" w14:paraId="60C87FAE" w14:textId="77777777">
      <w:pPr>
        <w:pStyle w:val="FootnoteText"/>
      </w:pPr>
      <w:r>
        <w:rPr>
          <w:rStyle w:val="FootnoteReference"/>
        </w:rPr>
        <w:footnoteRef/>
      </w:r>
      <w:r>
        <w:t xml:space="preserve"> </w:t>
      </w:r>
      <w:r w:rsidRPr="007A04BF">
        <w:rPr>
          <w:i/>
          <w:iCs/>
        </w:rPr>
        <w:t>Sound Around, Inc.</w:t>
      </w:r>
      <w:r w:rsidRPr="007A04BF">
        <w:t>, Response to Notice of Apparent Liability (filed Jul</w:t>
      </w:r>
      <w:r>
        <w:t>y</w:t>
      </w:r>
      <w:r w:rsidRPr="007A04BF">
        <w:t xml:space="preserve"> 10, 2020) (NAL Response)</w:t>
      </w:r>
      <w:r>
        <w:t xml:space="preserve"> (on file in </w:t>
      </w:r>
      <w:r w:rsidRPr="007A04BF">
        <w:rPr>
          <w:color w:val="000000"/>
        </w:rPr>
        <w:t>EB-SED-</w:t>
      </w:r>
      <w:r w:rsidRPr="007A04BF">
        <w:t>17-00024010</w:t>
      </w:r>
      <w:r>
        <w:t>)</w:t>
      </w:r>
      <w:r w:rsidRPr="007A04BF">
        <w:t>.</w:t>
      </w:r>
    </w:p>
  </w:footnote>
  <w:footnote w:id="29">
    <w:p w:rsidR="0032514E" w:rsidP="0032514E" w14:paraId="06D71167" w14:textId="77777777">
      <w:pPr>
        <w:pStyle w:val="FootnoteText"/>
      </w:pPr>
      <w:r>
        <w:rPr>
          <w:rStyle w:val="FootnoteReference"/>
        </w:rPr>
        <w:footnoteRef/>
      </w:r>
      <w:r>
        <w:t xml:space="preserve"> </w:t>
      </w:r>
      <w:r w:rsidRPr="00A93480">
        <w:rPr>
          <w:i/>
          <w:iCs/>
        </w:rPr>
        <w:t>See</w:t>
      </w:r>
      <w:r>
        <w:t xml:space="preserve"> </w:t>
      </w:r>
      <w:r>
        <w:rPr>
          <w:i/>
          <w:iCs/>
        </w:rPr>
        <w:t xml:space="preserve">Sound Around 2022 </w:t>
      </w:r>
      <w:r w:rsidRPr="002529A5">
        <w:rPr>
          <w:i/>
          <w:iCs/>
        </w:rPr>
        <w:t>Forfeiture Order</w:t>
      </w:r>
      <w:r>
        <w:t xml:space="preserve">, </w:t>
      </w:r>
      <w:r w:rsidRPr="00CF1F15">
        <w:rPr>
          <w:i/>
          <w:iCs/>
        </w:rPr>
        <w:t>supra</w:t>
      </w:r>
      <w:r>
        <w:t xml:space="preserve"> note </w:t>
      </w:r>
      <w:r>
        <w:fldChar w:fldCharType="begin"/>
      </w:r>
      <w:r>
        <w:instrText xml:space="preserve"> NOTEREF _Ref149641359 \h </w:instrText>
      </w:r>
      <w:r>
        <w:fldChar w:fldCharType="separate"/>
      </w:r>
      <w:r>
        <w:t>1</w:t>
      </w:r>
      <w:r>
        <w:fldChar w:fldCharType="end"/>
      </w:r>
      <w:r>
        <w:t>,</w:t>
      </w:r>
      <w:r w:rsidRPr="005A6C2C">
        <w:t xml:space="preserve"> </w:t>
      </w:r>
      <w:r>
        <w:t xml:space="preserve">at 9925, para. 43.  </w:t>
      </w:r>
    </w:p>
  </w:footnote>
  <w:footnote w:id="30">
    <w:p w:rsidR="0032514E" w:rsidRPr="000A6851" w:rsidP="0032514E" w14:paraId="03C35212" w14:textId="77777777">
      <w:pPr>
        <w:pStyle w:val="FootnoteText"/>
      </w:pPr>
      <w:r>
        <w:rPr>
          <w:rStyle w:val="FootnoteReference"/>
        </w:rPr>
        <w:footnoteRef/>
      </w:r>
      <w:r>
        <w:t xml:space="preserve"> </w:t>
      </w:r>
      <w:r>
        <w:rPr>
          <w:i/>
          <w:iCs/>
        </w:rPr>
        <w:t>Id.</w:t>
      </w:r>
      <w:r>
        <w:t xml:space="preserve"> at para. 47.</w:t>
      </w:r>
    </w:p>
  </w:footnote>
  <w:footnote w:id="31">
    <w:p w:rsidR="0032514E" w:rsidRPr="001A5E22" w:rsidP="0032514E" w14:paraId="7730321C" w14:textId="77777777">
      <w:pPr>
        <w:pStyle w:val="FootnoteText"/>
      </w:pPr>
      <w:r>
        <w:rPr>
          <w:rStyle w:val="FootnoteReference"/>
        </w:rPr>
        <w:footnoteRef/>
      </w:r>
      <w:r>
        <w:t xml:space="preserve"> We are not using the fact of the unpaid </w:t>
      </w:r>
      <w:r>
        <w:rPr>
          <w:i/>
          <w:iCs/>
        </w:rPr>
        <w:t>Sound Around 2020 NAL</w:t>
      </w:r>
      <w:r>
        <w:t xml:space="preserve"> or </w:t>
      </w:r>
      <w:r>
        <w:rPr>
          <w:i/>
          <w:iCs/>
        </w:rPr>
        <w:t>Sound Around 2022 Forfeiture Order</w:t>
      </w:r>
      <w:r>
        <w:t xml:space="preserve"> against the Company in this item, however, the Commission finds the underlying facts of those items and the prior investigations relevant to the present proceeding involving the Company.  </w:t>
      </w:r>
      <w:r>
        <w:rPr>
          <w:i/>
          <w:iCs/>
        </w:rPr>
        <w:t>See</w:t>
      </w:r>
      <w:r>
        <w:t xml:space="preserve"> </w:t>
      </w:r>
      <w:r w:rsidRPr="001A5E22">
        <w:rPr>
          <w:i/>
          <w:iCs/>
        </w:rPr>
        <w:t>Infinity Radio Operations, Inc.</w:t>
      </w:r>
      <w:r>
        <w:t xml:space="preserve">, </w:t>
      </w:r>
      <w:r w:rsidRPr="001A5E22">
        <w:t>Order on Review</w:t>
      </w:r>
      <w:r>
        <w:t xml:space="preserve">, 22 FCC Rcd 9824, 9827, para. 9 (2007).  </w:t>
      </w:r>
    </w:p>
  </w:footnote>
  <w:footnote w:id="32">
    <w:p w:rsidR="0032514E" w:rsidP="0032514E" w14:paraId="0EFF5782" w14:textId="77777777">
      <w:pPr>
        <w:pStyle w:val="FootnoteText"/>
      </w:pPr>
      <w:r>
        <w:rPr>
          <w:rStyle w:val="FootnoteReference"/>
        </w:rPr>
        <w:footnoteRef/>
      </w:r>
      <w:r>
        <w:t xml:space="preserve"> </w:t>
      </w:r>
      <w:r w:rsidRPr="008C1091">
        <w:rPr>
          <w:i/>
        </w:rPr>
        <w:t>See</w:t>
      </w:r>
      <w:r w:rsidRPr="008C1091">
        <w:t xml:space="preserve"> Letter from Spectrum Enforcement Division, FCC Enforcement Bureau, to </w:t>
      </w:r>
      <w:r>
        <w:t>Sound Around</w:t>
      </w:r>
      <w:r w:rsidRPr="008C1091">
        <w:t>, Inc</w:t>
      </w:r>
      <w:r>
        <w:t>., and Wilkinson Barker Knauer LLP</w:t>
      </w:r>
      <w:r w:rsidRPr="008C1091">
        <w:t xml:space="preserve"> (</w:t>
      </w:r>
      <w:r>
        <w:t>Aug. 2</w:t>
      </w:r>
      <w:r w:rsidRPr="008C1091">
        <w:t>, 20</w:t>
      </w:r>
      <w:r>
        <w:t>22</w:t>
      </w:r>
      <w:r w:rsidRPr="008C1091">
        <w:t xml:space="preserve">) </w:t>
      </w:r>
      <w:r>
        <w:t xml:space="preserve">(LOI) </w:t>
      </w:r>
      <w:r w:rsidRPr="008C1091">
        <w:t>(on file in EB-SED-</w:t>
      </w:r>
      <w:r>
        <w:t>22</w:t>
      </w:r>
      <w:r w:rsidRPr="008C1091">
        <w:t>-000</w:t>
      </w:r>
      <w:r>
        <w:t>34112</w:t>
      </w:r>
      <w:r w:rsidRPr="008C1091">
        <w:t xml:space="preserve">).  </w:t>
      </w:r>
    </w:p>
  </w:footnote>
  <w:footnote w:id="33">
    <w:p w:rsidR="0032514E" w:rsidP="0032514E" w14:paraId="74CCC91A" w14:textId="77777777">
      <w:pPr>
        <w:pStyle w:val="FootnoteText"/>
      </w:pPr>
      <w:r>
        <w:rPr>
          <w:rStyle w:val="FootnoteReference"/>
        </w:rPr>
        <w:footnoteRef/>
      </w:r>
      <w:r>
        <w:t xml:space="preserve"> </w:t>
      </w:r>
      <w:r w:rsidRPr="00D01C43">
        <w:rPr>
          <w:i/>
          <w:iCs/>
        </w:rPr>
        <w:t>See</w:t>
      </w:r>
      <w:r>
        <w:t xml:space="preserve"> LOI Response, </w:t>
      </w:r>
      <w:r w:rsidRPr="00CF1F15">
        <w:rPr>
          <w:i/>
          <w:iCs/>
        </w:rPr>
        <w:t>supra</w:t>
      </w:r>
      <w:r>
        <w:t xml:space="preserve"> note </w:t>
      </w:r>
      <w:r>
        <w:fldChar w:fldCharType="begin"/>
      </w:r>
      <w:r>
        <w:instrText xml:space="preserve"> NOTEREF _Ref147914510 \h </w:instrText>
      </w:r>
      <w:r>
        <w:fldChar w:fldCharType="separate"/>
      </w:r>
      <w:r>
        <w:t>20</w:t>
      </w:r>
      <w:r>
        <w:fldChar w:fldCharType="end"/>
      </w:r>
      <w:r>
        <w:t>.</w:t>
      </w:r>
    </w:p>
  </w:footnote>
  <w:footnote w:id="34">
    <w:p w:rsidR="0032514E" w:rsidP="0032514E" w14:paraId="6F4BD118" w14:textId="77777777">
      <w:pPr>
        <w:pStyle w:val="FootnoteText"/>
      </w:pPr>
      <w:r>
        <w:rPr>
          <w:rStyle w:val="FootnoteReference"/>
        </w:rPr>
        <w:footnoteRef/>
      </w:r>
      <w:r>
        <w:t xml:space="preserve"> </w:t>
      </w:r>
      <w:r w:rsidRPr="00223752">
        <w:rPr>
          <w:i/>
          <w:iCs/>
        </w:rPr>
        <w:t>See</w:t>
      </w:r>
      <w:r>
        <w:t xml:space="preserve"> E-mail from Wilkinson Barker Knauer LLP, to Spectrum Enforcement Division, FCC Enforcement Bureau (Nov. 2, 2022, 20:05 EDT) (on file in EB-SED-22- 00034112); E-mail from Wilkinson Barker Knauer LLP, to Spectrum Enforcement Division, FCC Enforcement Bureau (Nov. 15, 2022, 18:57 EST) (on file in EB-SED-22-00034112); E-mail from Wilkinson Barker Knauer LLP, to Spectrum Enforcement Division, FCC Enforcement Bureau (Dec. 15, 2022, 17:25 EST) (on file in EB-SED-22-00034112); and E-mail from Wilkinson Barker Knauer LLP, to Spectrum Enforcement Division, FCC Enforcement Bureau (Jan. 13, 2022, 15:23 EST) (on file in EB-SED-22-00034112).  </w:t>
      </w:r>
    </w:p>
  </w:footnote>
  <w:footnote w:id="35">
    <w:p w:rsidR="0032514E" w:rsidP="0032514E" w14:paraId="4AA1803A" w14:textId="77777777">
      <w:pPr>
        <w:pStyle w:val="FootnoteText"/>
      </w:pPr>
      <w:r>
        <w:rPr>
          <w:rStyle w:val="FootnoteReference"/>
        </w:rPr>
        <w:footnoteRef/>
      </w:r>
      <w:r>
        <w:t xml:space="preserve"> </w:t>
      </w:r>
      <w:r w:rsidRPr="00F51579">
        <w:rPr>
          <w:i/>
          <w:iCs/>
        </w:rPr>
        <w:t xml:space="preserve">See </w:t>
      </w:r>
      <w:r w:rsidRPr="00F51579">
        <w:t xml:space="preserve">E-mail from Spectrum Enforcement Division, FCC Enforcement Bureau, to </w:t>
      </w:r>
      <w:r>
        <w:t>W</w:t>
      </w:r>
      <w:r w:rsidRPr="00F51579">
        <w:t>ilkinson Barker Knauer LLP (</w:t>
      </w:r>
      <w:r>
        <w:t>Dec</w:t>
      </w:r>
      <w:r w:rsidRPr="00F51579">
        <w:t xml:space="preserve">. </w:t>
      </w:r>
      <w:r>
        <w:t>19</w:t>
      </w:r>
      <w:r w:rsidRPr="00F51579">
        <w:t>, 2022, 1</w:t>
      </w:r>
      <w:r>
        <w:t>2</w:t>
      </w:r>
      <w:r w:rsidRPr="00F51579">
        <w:t>:</w:t>
      </w:r>
      <w:r>
        <w:t>16</w:t>
      </w:r>
      <w:r w:rsidRPr="00F51579">
        <w:t xml:space="preserve"> E</w:t>
      </w:r>
      <w:r>
        <w:t>S</w:t>
      </w:r>
      <w:r w:rsidRPr="00F51579">
        <w:t>T) (on file in EB-SED-22-00034112).</w:t>
      </w:r>
    </w:p>
  </w:footnote>
  <w:footnote w:id="36">
    <w:p w:rsidR="0032514E" w:rsidRPr="00304703" w:rsidP="0032514E" w14:paraId="30C10A50" w14:textId="77777777">
      <w:pPr>
        <w:pStyle w:val="FootnoteText"/>
        <w:rPr>
          <w:i/>
          <w:iCs/>
        </w:rPr>
      </w:pPr>
      <w:r w:rsidRPr="00304703">
        <w:rPr>
          <w:rStyle w:val="FootnoteReference"/>
        </w:rPr>
        <w:footnoteRef/>
      </w:r>
      <w:r w:rsidRPr="00304703">
        <w:t xml:space="preserve"> </w:t>
      </w:r>
      <w:r w:rsidRPr="00304703">
        <w:rPr>
          <w:i/>
          <w:iCs/>
        </w:rPr>
        <w:t>See id.</w:t>
      </w:r>
    </w:p>
  </w:footnote>
  <w:footnote w:id="37">
    <w:p w:rsidR="0032514E" w:rsidRPr="00B72FAC" w:rsidP="0032514E" w14:paraId="78B55F59" w14:textId="77777777">
      <w:pPr>
        <w:pStyle w:val="FootnoteText"/>
      </w:pPr>
      <w:r>
        <w:rPr>
          <w:rStyle w:val="FootnoteReference"/>
        </w:rPr>
        <w:footnoteRef/>
      </w:r>
      <w:r>
        <w:t xml:space="preserve"> </w:t>
      </w:r>
      <w:r w:rsidRPr="00223752">
        <w:rPr>
          <w:i/>
          <w:iCs/>
        </w:rPr>
        <w:t>See</w:t>
      </w:r>
      <w:r>
        <w:t xml:space="preserve"> Letter from </w:t>
      </w:r>
      <w:r w:rsidRPr="008C1091">
        <w:t xml:space="preserve">Spectrum Enforcement Division, FCC Enforcement Bureau, to </w:t>
      </w:r>
      <w:r>
        <w:t xml:space="preserve">Wilkinson Barker Knauer LLP at 1-2 </w:t>
      </w:r>
      <w:r w:rsidRPr="008C1091">
        <w:t>(</w:t>
      </w:r>
      <w:r>
        <w:t>Mar. 16, 2023</w:t>
      </w:r>
      <w:r w:rsidRPr="008C1091">
        <w:t>)</w:t>
      </w:r>
      <w:r>
        <w:t xml:space="preserve"> (Further LOI)</w:t>
      </w:r>
      <w:r w:rsidRPr="008C1091">
        <w:t xml:space="preserve"> (on file in EB-SED-</w:t>
      </w:r>
      <w:r>
        <w:t>22</w:t>
      </w:r>
      <w:r w:rsidRPr="008C1091">
        <w:t>-000</w:t>
      </w:r>
      <w:r>
        <w:t>34112</w:t>
      </w:r>
      <w:r w:rsidRPr="008C1091">
        <w:t>).</w:t>
      </w:r>
      <w:r>
        <w:t xml:space="preserve">  For example, the Company did not provide information on m</w:t>
      </w:r>
      <w:r w:rsidRPr="00B72FAC">
        <w:t>odel</w:t>
      </w:r>
      <w:r>
        <w:t xml:space="preserve"> </w:t>
      </w:r>
      <w:r w:rsidRPr="00B72FAC">
        <w:t>PBMKRG155</w:t>
      </w:r>
      <w:r>
        <w:t xml:space="preserve">, advertised as a Bluetooth speaker, in any of its LOI responses prior to the issuance of the Further LOI.  </w:t>
      </w:r>
      <w:r>
        <w:rPr>
          <w:i/>
          <w:iCs/>
        </w:rPr>
        <w:t>See id</w:t>
      </w:r>
      <w:r>
        <w:t xml:space="preserve">., Appendix A.  The LOI had specifically identified Bluetooth speakers as a type of device that should be disclosed.  </w:t>
      </w:r>
      <w:r>
        <w:rPr>
          <w:i/>
          <w:iCs/>
        </w:rPr>
        <w:t>See</w:t>
      </w:r>
      <w:r>
        <w:t xml:space="preserve"> LOI, </w:t>
      </w:r>
      <w:r w:rsidRPr="00CF1F15">
        <w:rPr>
          <w:i/>
          <w:iCs/>
        </w:rPr>
        <w:t>supra</w:t>
      </w:r>
      <w:r>
        <w:t xml:space="preserve"> note </w:t>
      </w:r>
      <w:r>
        <w:fldChar w:fldCharType="begin"/>
      </w:r>
      <w:r>
        <w:instrText xml:space="preserve"> NOTEREF _Ref149644484 \h </w:instrText>
      </w:r>
      <w:r>
        <w:fldChar w:fldCharType="separate"/>
      </w:r>
      <w:r>
        <w:t>30</w:t>
      </w:r>
      <w:r>
        <w:fldChar w:fldCharType="end"/>
      </w:r>
      <w:r>
        <w:t xml:space="preserve">, at 2.  </w:t>
      </w:r>
    </w:p>
  </w:footnote>
  <w:footnote w:id="38">
    <w:p w:rsidR="0032514E" w:rsidP="0032514E" w14:paraId="6117D3B0" w14:textId="77777777">
      <w:pPr>
        <w:pStyle w:val="FootnoteText"/>
      </w:pPr>
      <w:r>
        <w:rPr>
          <w:rStyle w:val="FootnoteReference"/>
        </w:rPr>
        <w:footnoteRef/>
      </w:r>
      <w:r>
        <w:t xml:space="preserve"> </w:t>
      </w:r>
      <w:r w:rsidRPr="00304703">
        <w:rPr>
          <w:i/>
          <w:iCs/>
        </w:rPr>
        <w:t xml:space="preserve">See </w:t>
      </w:r>
      <w:r>
        <w:t>Further LOI</w:t>
      </w:r>
      <w:r w:rsidRPr="008C1091">
        <w:t xml:space="preserve"> </w:t>
      </w:r>
      <w:r>
        <w:t>at</w:t>
      </w:r>
      <w:r w:rsidRPr="008C1091">
        <w:t xml:space="preserve"> </w:t>
      </w:r>
      <w:r>
        <w:t>2.</w:t>
      </w:r>
    </w:p>
  </w:footnote>
  <w:footnote w:id="39">
    <w:p w:rsidR="0032514E" w:rsidP="0032514E" w14:paraId="6A20F89A" w14:textId="77777777">
      <w:pPr>
        <w:pStyle w:val="FootnoteText"/>
      </w:pPr>
      <w:r>
        <w:rPr>
          <w:rStyle w:val="FootnoteReference"/>
        </w:rPr>
        <w:footnoteRef/>
      </w:r>
      <w:r>
        <w:t xml:space="preserve"> </w:t>
      </w:r>
      <w:r w:rsidRPr="00D01C43">
        <w:rPr>
          <w:i/>
          <w:iCs/>
        </w:rPr>
        <w:t>See</w:t>
      </w:r>
      <w:r>
        <w:t xml:space="preserve"> E-mail from Wilkinson Barker Knauer LLP, to Spectrum Enforcement Division, FCC Enforcement Bureau (May 31, 2023, 23:38 EDT) </w:t>
      </w:r>
      <w:bookmarkStart w:id="124" w:name="_Hlk141371042"/>
      <w:r>
        <w:t>(Further LOI Response) (on file in EB-SED-22-00034112).</w:t>
      </w:r>
      <w:bookmarkEnd w:id="124"/>
    </w:p>
  </w:footnote>
  <w:footnote w:id="40">
    <w:p w:rsidR="0032514E" w:rsidP="0032514E" w14:paraId="0DEE1AD8" w14:textId="77777777">
      <w:pPr>
        <w:pStyle w:val="FootnoteText"/>
      </w:pPr>
      <w:r>
        <w:rPr>
          <w:rStyle w:val="FootnoteReference"/>
        </w:rPr>
        <w:footnoteRef/>
      </w:r>
      <w:r>
        <w:t xml:space="preserve"> </w:t>
      </w:r>
      <w:r w:rsidRPr="00223752">
        <w:rPr>
          <w:i/>
          <w:iCs/>
        </w:rPr>
        <w:t>See</w:t>
      </w:r>
      <w:r>
        <w:t xml:space="preserve"> Letter from </w:t>
      </w:r>
      <w:r w:rsidRPr="008C1091">
        <w:t xml:space="preserve">Spectrum Enforcement Division, FCC Enforcement Bureau, to </w:t>
      </w:r>
      <w:r>
        <w:t xml:space="preserve">Wilkinson Barker Knauer LLP </w:t>
      </w:r>
      <w:r w:rsidRPr="008C1091">
        <w:t>(</w:t>
      </w:r>
      <w:r>
        <w:t>Aug. 2, 2023</w:t>
      </w:r>
      <w:r w:rsidRPr="008C1091">
        <w:t>)</w:t>
      </w:r>
      <w:r>
        <w:t xml:space="preserve"> (Deficiency Letter)</w:t>
      </w:r>
      <w:r w:rsidRPr="008C1091">
        <w:t xml:space="preserve"> (on file in EB-SED-</w:t>
      </w:r>
      <w:r>
        <w:t>22</w:t>
      </w:r>
      <w:r w:rsidRPr="008C1091">
        <w:t>-000</w:t>
      </w:r>
      <w:r>
        <w:t>34112</w:t>
      </w:r>
      <w:r w:rsidRPr="008C1091">
        <w:t>).</w:t>
      </w:r>
    </w:p>
  </w:footnote>
  <w:footnote w:id="41">
    <w:p w:rsidR="0032514E" w:rsidP="0032514E" w14:paraId="02887D5B" w14:textId="77777777">
      <w:pPr>
        <w:pStyle w:val="FootnoteText"/>
      </w:pPr>
      <w:r>
        <w:rPr>
          <w:rStyle w:val="FootnoteReference"/>
        </w:rPr>
        <w:footnoteRef/>
      </w:r>
      <w:r>
        <w:t xml:space="preserve"> </w:t>
      </w:r>
      <w:r w:rsidRPr="00D01C43">
        <w:rPr>
          <w:i/>
          <w:iCs/>
        </w:rPr>
        <w:t>See</w:t>
      </w:r>
      <w:r>
        <w:t xml:space="preserve"> Letter from Wilkinson Barker Knauer LLP, to Spectrum Enforcement Division, FCC Enforcement Bureau (Aug. 9, 2023) (Deficiency Letter Response) (on file in EB-SED-22-00034112).</w:t>
      </w:r>
    </w:p>
  </w:footnote>
  <w:footnote w:id="42">
    <w:p w:rsidR="0032514E" w:rsidP="0032514E" w14:paraId="493DB7F7" w14:textId="77777777">
      <w:pPr>
        <w:pStyle w:val="FootnoteText"/>
      </w:pPr>
      <w:r>
        <w:rPr>
          <w:rStyle w:val="FootnoteReference"/>
        </w:rPr>
        <w:footnoteRef/>
      </w:r>
      <w:r>
        <w:t xml:space="preserve"> </w:t>
      </w:r>
      <w:r w:rsidRPr="00F51579">
        <w:t xml:space="preserve">E-mail from Spectrum Enforcement Division, FCC Enforcement Bureau, to </w:t>
      </w:r>
      <w:r>
        <w:t>W</w:t>
      </w:r>
      <w:r w:rsidRPr="00F51579">
        <w:t>ilkinson Barker Knauer LLP (</w:t>
      </w:r>
      <w:r>
        <w:t>Sept</w:t>
      </w:r>
      <w:r w:rsidRPr="00F51579">
        <w:t xml:space="preserve">. </w:t>
      </w:r>
      <w:r>
        <w:t>15</w:t>
      </w:r>
      <w:r w:rsidRPr="00F51579">
        <w:t>, 202</w:t>
      </w:r>
      <w:r>
        <w:t>3</w:t>
      </w:r>
      <w:r w:rsidRPr="00F51579">
        <w:t>, 1</w:t>
      </w:r>
      <w:r>
        <w:t>3</w:t>
      </w:r>
      <w:r w:rsidRPr="00F51579">
        <w:t>:</w:t>
      </w:r>
      <w:r>
        <w:t>35</w:t>
      </w:r>
      <w:r w:rsidRPr="00F51579">
        <w:t xml:space="preserve"> E</w:t>
      </w:r>
      <w:r>
        <w:t>D</w:t>
      </w:r>
      <w:r w:rsidRPr="00F51579">
        <w:t>T) (on file in EB-SED-22-00034112).</w:t>
      </w:r>
    </w:p>
  </w:footnote>
  <w:footnote w:id="43">
    <w:p w:rsidR="0032514E" w:rsidP="0032514E" w14:paraId="5FC76981" w14:textId="77777777">
      <w:pPr>
        <w:pStyle w:val="FootnoteText"/>
      </w:pPr>
      <w:r>
        <w:rPr>
          <w:rStyle w:val="FootnoteReference"/>
        </w:rPr>
        <w:footnoteRef/>
      </w:r>
      <w:r>
        <w:t xml:space="preserve"> E-mail from Wilkinson Barker Knauer LLP, to Spectrum Enforcement Division, FCC Enforcement Bureau (Sept. 22, 2023, 16:09 EDT) (Clarification E-mail) (on file </w:t>
      </w:r>
      <w:r w:rsidRPr="0022679C">
        <w:t>in File No. EB-SED-22-00034112</w:t>
      </w:r>
      <w:r>
        <w:t>).</w:t>
      </w:r>
    </w:p>
  </w:footnote>
  <w:footnote w:id="44">
    <w:p w:rsidR="0032514E" w:rsidRPr="008C1091" w:rsidP="0032514E" w14:paraId="0027647E" w14:textId="77777777">
      <w:pPr>
        <w:pStyle w:val="FootnoteText"/>
      </w:pPr>
      <w:r w:rsidRPr="008C1091">
        <w:rPr>
          <w:rStyle w:val="FootnoteReference"/>
        </w:rPr>
        <w:footnoteRef/>
      </w:r>
      <w:r w:rsidRPr="008C1091">
        <w:t xml:space="preserve"> </w:t>
      </w:r>
      <w:r w:rsidRPr="007A04BF">
        <w:t>47 U.S.C. § 302a(b); 47 CFR § 2.803</w:t>
      </w:r>
      <w:r>
        <w:t>(b)(1)-(2)</w:t>
      </w:r>
      <w:r w:rsidRPr="007A04BF">
        <w:t>.</w:t>
      </w:r>
    </w:p>
  </w:footnote>
  <w:footnote w:id="45">
    <w:p w:rsidR="0032514E" w:rsidP="0032514E" w14:paraId="0246D519" w14:textId="77777777">
      <w:pPr>
        <w:pStyle w:val="FootnoteText"/>
      </w:pPr>
      <w:r>
        <w:rPr>
          <w:rStyle w:val="FootnoteReference"/>
        </w:rPr>
        <w:footnoteRef/>
      </w:r>
      <w:r>
        <w:t xml:space="preserve"> </w:t>
      </w:r>
      <w:r w:rsidRPr="00DA15A9">
        <w:rPr>
          <w:i/>
          <w:iCs/>
        </w:rPr>
        <w:t>See</w:t>
      </w:r>
      <w:r>
        <w:t xml:space="preserve"> </w:t>
      </w:r>
      <w:r>
        <w:rPr>
          <w:i/>
          <w:iCs/>
        </w:rPr>
        <w:t xml:space="preserve">infra </w:t>
      </w:r>
      <w:r>
        <w:t xml:space="preserve">Appendix (for example, entry </w:t>
      </w:r>
      <w:r w:rsidRPr="00E06A48">
        <w:t>1</w:t>
      </w:r>
      <w:r>
        <w:t xml:space="preserve"> involves a model that was marketed prior to obtaining an authorization and entries 29, </w:t>
      </w:r>
      <w:r w:rsidRPr="00E06A48">
        <w:t>31</w:t>
      </w:r>
      <w:r>
        <w:t>, and 32 involve models for which no authorization had apparently been obtained).</w:t>
      </w:r>
    </w:p>
  </w:footnote>
  <w:footnote w:id="46">
    <w:p w:rsidR="0032514E" w:rsidRPr="008C1091" w:rsidP="0032514E" w14:paraId="7269D0B6" w14:textId="77777777">
      <w:pPr>
        <w:pStyle w:val="FootnoteText"/>
      </w:pPr>
      <w:r w:rsidRPr="008C1091">
        <w:rPr>
          <w:rStyle w:val="FootnoteReference"/>
        </w:rPr>
        <w:footnoteRef/>
      </w:r>
      <w:r w:rsidRPr="008C1091">
        <w:t xml:space="preserve"> </w:t>
      </w:r>
      <w:r w:rsidRPr="008C1091">
        <w:rPr>
          <w:i/>
        </w:rPr>
        <w:t xml:space="preserve">See </w:t>
      </w:r>
      <w:r w:rsidRPr="008C1091">
        <w:t>47 CFR Part 2, Subpart I</w:t>
      </w:r>
      <w:r>
        <w:t>.</w:t>
      </w:r>
      <w:r>
        <w:rPr>
          <w:i/>
          <w:iCs/>
        </w:rPr>
        <w:t xml:space="preserve"> </w:t>
      </w:r>
      <w:r w:rsidRPr="008C1091">
        <w:t xml:space="preserve">  </w:t>
      </w:r>
    </w:p>
  </w:footnote>
  <w:footnote w:id="47">
    <w:p w:rsidR="0032514E" w:rsidP="0032514E" w14:paraId="6078B9E9" w14:textId="77777777">
      <w:pPr>
        <w:pStyle w:val="FootnoteText"/>
      </w:pPr>
      <w:r>
        <w:rPr>
          <w:rStyle w:val="FootnoteReference"/>
        </w:rPr>
        <w:footnoteRef/>
      </w:r>
      <w:r>
        <w:t xml:space="preserve"> 47 U.S.C. </w:t>
      </w:r>
      <w:r w:rsidRPr="00F74F29">
        <w:t>§ 302a(b)</w:t>
      </w:r>
      <w:r>
        <w:t xml:space="preserve">.  </w:t>
      </w:r>
    </w:p>
  </w:footnote>
  <w:footnote w:id="48">
    <w:p w:rsidR="0032514E" w:rsidP="0032514E" w14:paraId="1280F78A" w14:textId="77777777">
      <w:pPr>
        <w:pStyle w:val="FootnoteText"/>
      </w:pPr>
      <w:r>
        <w:rPr>
          <w:rStyle w:val="FootnoteReference"/>
        </w:rPr>
        <w:footnoteRef/>
      </w:r>
      <w:r>
        <w:t xml:space="preserve"> 47 CFR § 2.803(b)(1), (b)(2).  </w:t>
      </w:r>
    </w:p>
  </w:footnote>
  <w:footnote w:id="49">
    <w:p w:rsidR="0032514E" w:rsidRPr="009F47B6" w:rsidP="0032514E" w14:paraId="78A51F14" w14:textId="77777777">
      <w:pPr>
        <w:pStyle w:val="FootnoteText"/>
      </w:pPr>
      <w:r>
        <w:rPr>
          <w:rStyle w:val="FootnoteReference"/>
        </w:rPr>
        <w:footnoteRef/>
      </w:r>
      <w:r>
        <w:t xml:space="preserve"> </w:t>
      </w:r>
      <w:r w:rsidRPr="0065642F">
        <w:rPr>
          <w:i/>
          <w:iCs/>
        </w:rPr>
        <w:t>See supra</w:t>
      </w:r>
      <w:r>
        <w:t xml:space="preserve"> para. </w:t>
      </w:r>
      <w:r>
        <w:fldChar w:fldCharType="begin"/>
      </w:r>
      <w:r>
        <w:instrText xml:space="preserve"> REF _Ref141259032 \r \h </w:instrText>
      </w:r>
      <w:r>
        <w:fldChar w:fldCharType="separate"/>
      </w:r>
      <w:r>
        <w:t>4</w:t>
      </w:r>
      <w:r>
        <w:fldChar w:fldCharType="end"/>
      </w:r>
      <w:r>
        <w:t xml:space="preserve">; </w:t>
      </w:r>
      <w:r>
        <w:rPr>
          <w:i/>
          <w:iCs/>
        </w:rPr>
        <w:t>see also</w:t>
      </w:r>
      <w:r>
        <w:t xml:space="preserve"> Fed. Commc’ns Comm’n, </w:t>
      </w:r>
      <w:r>
        <w:rPr>
          <w:i/>
          <w:iCs/>
        </w:rPr>
        <w:t>Equipment Authorization – RF Device</w:t>
      </w:r>
      <w:r>
        <w:t xml:space="preserve">, available at </w:t>
      </w:r>
      <w:hyperlink r:id="rId1" w:history="1">
        <w:r w:rsidRPr="005D60CF">
          <w:rPr>
            <w:rStyle w:val="Hyperlink"/>
          </w:rPr>
          <w:t>https://www.fcc.gov/oet/ea/rfdevice</w:t>
        </w:r>
      </w:hyperlink>
      <w:r>
        <w:t xml:space="preserve"> (last visited Oct. 20, 2023).  </w:t>
      </w:r>
    </w:p>
  </w:footnote>
  <w:footnote w:id="50">
    <w:p w:rsidR="0032514E" w:rsidP="0032514E" w14:paraId="71A63A13" w14:textId="77777777">
      <w:pPr>
        <w:pStyle w:val="FootnoteText"/>
      </w:pPr>
      <w:r>
        <w:rPr>
          <w:rStyle w:val="FootnoteReference"/>
        </w:rPr>
        <w:footnoteRef/>
      </w:r>
      <w:r>
        <w:t xml:space="preserve"> </w:t>
      </w:r>
      <w:r w:rsidRPr="0065642F">
        <w:rPr>
          <w:i/>
          <w:iCs/>
        </w:rPr>
        <w:t>See supra</w:t>
      </w:r>
      <w:r>
        <w:t xml:space="preserve"> para. </w:t>
      </w:r>
      <w:r>
        <w:fldChar w:fldCharType="begin"/>
      </w:r>
      <w:r>
        <w:instrText xml:space="preserve"> REF _Ref146723378 \r \h </w:instrText>
      </w:r>
      <w:r>
        <w:fldChar w:fldCharType="separate"/>
      </w:r>
      <w:r>
        <w:t>5</w:t>
      </w:r>
      <w:r>
        <w:fldChar w:fldCharType="end"/>
      </w:r>
      <w:r>
        <w:t xml:space="preserve">.    </w:t>
      </w:r>
    </w:p>
  </w:footnote>
  <w:footnote w:id="51">
    <w:p w:rsidR="0032514E" w:rsidP="0032514E" w14:paraId="110ED5D4" w14:textId="77777777">
      <w:pPr>
        <w:pStyle w:val="FootnoteText"/>
      </w:pPr>
      <w:r>
        <w:rPr>
          <w:rStyle w:val="FootnoteReference"/>
        </w:rPr>
        <w:footnoteRef/>
      </w:r>
      <w:r>
        <w:t xml:space="preserve"> The Company provided the dates associated with the SDOC devices in rows 25-30 indicating when the SDOC process was complete and authorization was obtained.  </w:t>
      </w:r>
      <w:r w:rsidRPr="007C1F8D">
        <w:rPr>
          <w:i/>
          <w:iCs/>
        </w:rPr>
        <w:t xml:space="preserve">See supra </w:t>
      </w:r>
      <w:r w:rsidRPr="007C1F8D">
        <w:t xml:space="preserve">note </w:t>
      </w:r>
      <w:r w:rsidRPr="007C1F8D">
        <w:fldChar w:fldCharType="begin"/>
      </w:r>
      <w:r w:rsidRPr="007C1F8D">
        <w:instrText xml:space="preserve"> NOTEREF _Ref148691299 \h </w:instrText>
      </w:r>
      <w:r>
        <w:instrText xml:space="preserve"> \* MERGEFORMAT </w:instrText>
      </w:r>
      <w:r w:rsidRPr="007C1F8D">
        <w:fldChar w:fldCharType="separate"/>
      </w:r>
      <w:r w:rsidRPr="007C1F8D">
        <w:t>11</w:t>
      </w:r>
      <w:r w:rsidRPr="007C1F8D">
        <w:fldChar w:fldCharType="end"/>
      </w:r>
      <w:r>
        <w:t xml:space="preserve">.  Devices cannot be marketed until the appropriate authorization is obtained.  47 CFR § 2.803(b).  </w:t>
      </w:r>
    </w:p>
  </w:footnote>
  <w:footnote w:id="52">
    <w:p w:rsidR="0032514E" w:rsidRPr="00621F4E" w:rsidP="0032514E" w14:paraId="012DE14A" w14:textId="77777777">
      <w:pPr>
        <w:pStyle w:val="FootnoteText"/>
      </w:pPr>
      <w:r>
        <w:rPr>
          <w:rStyle w:val="FootnoteReference"/>
        </w:rPr>
        <w:footnoteRef/>
      </w:r>
      <w:r>
        <w:t xml:space="preserve"> </w:t>
      </w:r>
      <w:r>
        <w:rPr>
          <w:i/>
          <w:iCs/>
        </w:rPr>
        <w:t>See</w:t>
      </w:r>
      <w:r>
        <w:t xml:space="preserve"> Clarification E-mail, </w:t>
      </w:r>
      <w:r w:rsidRPr="00B6543B">
        <w:rPr>
          <w:i/>
          <w:iCs/>
        </w:rPr>
        <w:t>supra</w:t>
      </w:r>
      <w:r>
        <w:t xml:space="preserve"> note </w:t>
      </w:r>
      <w:r>
        <w:fldChar w:fldCharType="begin"/>
      </w:r>
      <w:r>
        <w:instrText xml:space="preserve"> NOTEREF _Ref146785553 \h </w:instrText>
      </w:r>
      <w:r>
        <w:fldChar w:fldCharType="separate"/>
      </w:r>
      <w:r>
        <w:t>41</w:t>
      </w:r>
      <w:r>
        <w:fldChar w:fldCharType="end"/>
      </w:r>
      <w:r>
        <w:t xml:space="preserve">.  Sound Around states that the Amazon “Date First Available” “does not necessarily reflect when the current version of a product was first sold by Sound Around.”  </w:t>
      </w:r>
      <w:r>
        <w:rPr>
          <w:i/>
          <w:iCs/>
        </w:rPr>
        <w:t>Id</w:t>
      </w:r>
      <w:r>
        <w:t xml:space="preserve">.  Sound Around fails to explain, however, the difference between the “current” and the earlier versions of the product, including FCC authorizations, when those earlier versions were sold, whether Sound Around sold those earlier versions of the product itself or whether they were sold to Amazon or to a third party that sold those versions on Amazon at an earlier date than claimed. </w:t>
      </w:r>
      <w:r w:rsidRPr="00BE7CE6">
        <w:rPr>
          <w:i/>
          <w:iCs/>
        </w:rPr>
        <w:t xml:space="preserve"> </w:t>
      </w:r>
      <w:r>
        <w:rPr>
          <w:i/>
          <w:iCs/>
        </w:rPr>
        <w:t>See id</w:t>
      </w:r>
      <w:r>
        <w:t xml:space="preserve">.      </w:t>
      </w:r>
    </w:p>
  </w:footnote>
  <w:footnote w:id="53">
    <w:p w:rsidR="0032514E" w:rsidP="0032514E" w14:paraId="58287AFF" w14:textId="77777777">
      <w:pPr>
        <w:pStyle w:val="FootnoteText"/>
      </w:pPr>
      <w:r>
        <w:rPr>
          <w:rStyle w:val="FootnoteReference"/>
        </w:rPr>
        <w:footnoteRef/>
      </w:r>
      <w:r>
        <w:t xml:space="preserve"> </w:t>
      </w:r>
      <w:r w:rsidRPr="00A87F03">
        <w:t>47 U.S.C. §</w:t>
      </w:r>
      <w:r>
        <w:t xml:space="preserve"> </w:t>
      </w:r>
      <w:r w:rsidRPr="00A87F03">
        <w:t>503(b)(1)(B)</w:t>
      </w:r>
      <w:r>
        <w:t xml:space="preserve">.  </w:t>
      </w:r>
    </w:p>
  </w:footnote>
  <w:footnote w:id="54">
    <w:p w:rsidR="0032514E" w:rsidRPr="00837C21" w:rsidP="0032514E" w14:paraId="24035B70" w14:textId="77777777">
      <w:pPr>
        <w:pStyle w:val="FootnoteText"/>
      </w:pPr>
      <w:r w:rsidRPr="00A87F03">
        <w:rPr>
          <w:rStyle w:val="FootnoteReference"/>
        </w:rPr>
        <w:footnoteRef/>
      </w:r>
      <w:r w:rsidRPr="00A87F03">
        <w:t xml:space="preserve"> </w:t>
      </w:r>
      <w:r w:rsidRPr="00A87F03">
        <w:rPr>
          <w:i/>
        </w:rPr>
        <w:t xml:space="preserve">See </w:t>
      </w:r>
      <w:r w:rsidRPr="00A87F03">
        <w:t>47 U.S.C. §§ 154(i), 154(j), 403, 503(b)(1)(B)</w:t>
      </w:r>
      <w:r>
        <w:t xml:space="preserve">; </w:t>
      </w:r>
      <w:r>
        <w:rPr>
          <w:i/>
          <w:iCs/>
        </w:rPr>
        <w:t xml:space="preserve">see also supra </w:t>
      </w:r>
      <w:r>
        <w:t>notes</w:t>
      </w:r>
      <w:r w:rsidRPr="00837C21">
        <w:t xml:space="preserve"> </w:t>
      </w:r>
      <w:r>
        <w:fldChar w:fldCharType="begin"/>
      </w:r>
      <w:r>
        <w:instrText xml:space="preserve"> NOTEREF _Ref143255709 \h </w:instrText>
      </w:r>
      <w:r>
        <w:fldChar w:fldCharType="separate"/>
      </w:r>
      <w:r>
        <w:t>12</w:t>
      </w:r>
      <w:r>
        <w:fldChar w:fldCharType="end"/>
      </w:r>
      <w:r>
        <w:t>-</w:t>
      </w:r>
      <w:r>
        <w:fldChar w:fldCharType="begin"/>
      </w:r>
      <w:r>
        <w:instrText xml:space="preserve"> NOTEREF _Ref143255716 \h </w:instrText>
      </w:r>
      <w:r>
        <w:fldChar w:fldCharType="separate"/>
      </w:r>
      <w:r>
        <w:t>18</w:t>
      </w:r>
      <w:r>
        <w:fldChar w:fldCharType="end"/>
      </w:r>
      <w:r>
        <w:t xml:space="preserve"> and accompanying text.  </w:t>
      </w:r>
    </w:p>
  </w:footnote>
  <w:footnote w:id="55">
    <w:p w:rsidR="0032514E" w:rsidRPr="004B1B72" w:rsidP="0032514E" w14:paraId="2FD78B9D" w14:textId="77777777">
      <w:pPr>
        <w:pStyle w:val="FootnoteText"/>
      </w:pPr>
      <w:r>
        <w:rPr>
          <w:rStyle w:val="FootnoteReference"/>
        </w:rPr>
        <w:footnoteRef/>
      </w:r>
      <w:r>
        <w:t xml:space="preserve"> </w:t>
      </w:r>
      <w:r>
        <w:rPr>
          <w:i/>
          <w:iCs/>
        </w:rPr>
        <w:t>See</w:t>
      </w:r>
      <w:r>
        <w:t xml:space="preserve"> LOI Response, </w:t>
      </w:r>
      <w:r w:rsidRPr="00EB10BF">
        <w:rPr>
          <w:i/>
          <w:iCs/>
        </w:rPr>
        <w:t>supra</w:t>
      </w:r>
      <w:r>
        <w:t xml:space="preserve"> note </w:t>
      </w:r>
      <w:r>
        <w:fldChar w:fldCharType="begin"/>
      </w:r>
      <w:r>
        <w:instrText xml:space="preserve"> NOTEREF _Ref147914510 \h </w:instrText>
      </w:r>
      <w:r>
        <w:fldChar w:fldCharType="separate"/>
      </w:r>
      <w:r>
        <w:t>20</w:t>
      </w:r>
      <w:r>
        <w:fldChar w:fldCharType="end"/>
      </w:r>
      <w:r>
        <w:t xml:space="preserve">. </w:t>
      </w:r>
    </w:p>
  </w:footnote>
  <w:footnote w:id="56">
    <w:p w:rsidR="0032514E" w:rsidRPr="00EB10BF" w:rsidP="0032514E" w14:paraId="7B13DB27" w14:textId="77777777">
      <w:pPr>
        <w:pStyle w:val="FootnoteText"/>
      </w:pPr>
      <w:r>
        <w:rPr>
          <w:rStyle w:val="FootnoteReference"/>
        </w:rPr>
        <w:footnoteRef/>
      </w:r>
      <w:r>
        <w:t xml:space="preserve"> </w:t>
      </w:r>
      <w:r>
        <w:rPr>
          <w:i/>
          <w:iCs/>
        </w:rPr>
        <w:t>See</w:t>
      </w:r>
      <w:r>
        <w:t xml:space="preserve"> </w:t>
      </w:r>
      <w:r w:rsidRPr="00B6543B">
        <w:rPr>
          <w:i/>
          <w:iCs/>
        </w:rPr>
        <w:t>id</w:t>
      </w:r>
      <w:r>
        <w:t xml:space="preserve">.  </w:t>
      </w:r>
    </w:p>
  </w:footnote>
  <w:footnote w:id="57">
    <w:p w:rsidR="0032514E" w:rsidRPr="001F73ED" w:rsidP="0032514E" w14:paraId="43CB4E32" w14:textId="77777777">
      <w:pPr>
        <w:pStyle w:val="FootnoteText"/>
      </w:pPr>
      <w:r>
        <w:rPr>
          <w:rStyle w:val="FootnoteReference"/>
        </w:rPr>
        <w:footnoteRef/>
      </w:r>
      <w:r>
        <w:t xml:space="preserve"> </w:t>
      </w:r>
      <w:r>
        <w:rPr>
          <w:i/>
          <w:iCs/>
        </w:rPr>
        <w:t>See supra</w:t>
      </w:r>
      <w:r>
        <w:t xml:space="preserve"> para. </w:t>
      </w:r>
      <w:r>
        <w:rPr>
          <w:highlight w:val="yellow"/>
        </w:rPr>
        <w:fldChar w:fldCharType="begin"/>
      </w:r>
      <w:r>
        <w:instrText xml:space="preserve"> REF _Ref146715527 \r \h </w:instrText>
      </w:r>
      <w:r>
        <w:rPr>
          <w:highlight w:val="yellow"/>
        </w:rPr>
        <w:fldChar w:fldCharType="separate"/>
      </w:r>
      <w:r>
        <w:t>12</w:t>
      </w:r>
      <w:r>
        <w:rPr>
          <w:highlight w:val="yellow"/>
        </w:rPr>
        <w:fldChar w:fldCharType="end"/>
      </w:r>
      <w:r>
        <w:t xml:space="preserve">.  </w:t>
      </w:r>
    </w:p>
  </w:footnote>
  <w:footnote w:id="58">
    <w:p w:rsidR="0032514E" w:rsidP="0032514E" w14:paraId="6983A4B6" w14:textId="77777777">
      <w:pPr>
        <w:pStyle w:val="FootnoteText"/>
      </w:pPr>
      <w:r>
        <w:rPr>
          <w:rStyle w:val="FootnoteReference"/>
        </w:rPr>
        <w:footnoteRef/>
      </w:r>
      <w:r>
        <w:t xml:space="preserve"> </w:t>
      </w:r>
      <w:r w:rsidRPr="00223752">
        <w:rPr>
          <w:i/>
          <w:iCs/>
        </w:rPr>
        <w:t>See</w:t>
      </w:r>
      <w:r>
        <w:t xml:space="preserve"> Further LOI, </w:t>
      </w:r>
      <w:r w:rsidRPr="00B6543B">
        <w:rPr>
          <w:i/>
          <w:iCs/>
        </w:rPr>
        <w:t>supra</w:t>
      </w:r>
      <w:r>
        <w:t xml:space="preserve"> note </w:t>
      </w:r>
      <w:r>
        <w:fldChar w:fldCharType="begin"/>
      </w:r>
      <w:r>
        <w:instrText xml:space="preserve"> NOTEREF _Ref149644532 \h </w:instrText>
      </w:r>
      <w:r>
        <w:fldChar w:fldCharType="separate"/>
      </w:r>
      <w:r>
        <w:t>35</w:t>
      </w:r>
      <w:r>
        <w:fldChar w:fldCharType="end"/>
      </w:r>
      <w:r>
        <w:t>, at 1</w:t>
      </w:r>
      <w:r w:rsidRPr="008C1091">
        <w:t xml:space="preserve">.  </w:t>
      </w:r>
      <w:r>
        <w:t xml:space="preserve">The </w:t>
      </w:r>
      <w:r>
        <w:rPr>
          <w:szCs w:val="22"/>
        </w:rPr>
        <w:t>Bureau</w:t>
      </w:r>
      <w:r w:rsidRPr="005B56D8">
        <w:rPr>
          <w:szCs w:val="22"/>
        </w:rPr>
        <w:t xml:space="preserve"> </w:t>
      </w:r>
      <w:r>
        <w:t xml:space="preserve">reviewed the Amazon page for Sound Around products comparing the models listed there with the models identified in the LOI Response.  The </w:t>
      </w:r>
      <w:r>
        <w:rPr>
          <w:szCs w:val="22"/>
        </w:rPr>
        <w:t>Bureau</w:t>
      </w:r>
      <w:r w:rsidRPr="005B56D8">
        <w:rPr>
          <w:szCs w:val="22"/>
        </w:rPr>
        <w:t xml:space="preserve"> </w:t>
      </w:r>
      <w:r>
        <w:t xml:space="preserve">identified at least 45 models on the Amazon page that Sound Around had not disclosed in the LOI Response.  </w:t>
      </w:r>
    </w:p>
  </w:footnote>
  <w:footnote w:id="59">
    <w:p w:rsidR="0032514E" w:rsidRPr="000F424D" w:rsidP="0032514E" w14:paraId="7A52BE11" w14:textId="77777777">
      <w:pPr>
        <w:pStyle w:val="FootnoteText"/>
      </w:pPr>
      <w:r>
        <w:rPr>
          <w:rStyle w:val="FootnoteReference"/>
        </w:rPr>
        <w:footnoteRef/>
      </w:r>
      <w:r>
        <w:t xml:space="preserve"> </w:t>
      </w:r>
      <w:r>
        <w:rPr>
          <w:i/>
          <w:iCs/>
        </w:rPr>
        <w:t xml:space="preserve">See id. </w:t>
      </w:r>
      <w:r>
        <w:t>at 1-2.</w:t>
      </w:r>
    </w:p>
  </w:footnote>
  <w:footnote w:id="60">
    <w:p w:rsidR="0032514E" w:rsidRPr="00EE4389" w:rsidP="0032514E" w14:paraId="53529E37" w14:textId="77777777">
      <w:pPr>
        <w:pStyle w:val="FootnoteText"/>
      </w:pPr>
      <w:r>
        <w:rPr>
          <w:rStyle w:val="FootnoteReference"/>
        </w:rPr>
        <w:footnoteRef/>
      </w:r>
      <w:r>
        <w:t xml:space="preserve"> </w:t>
      </w:r>
      <w:r>
        <w:rPr>
          <w:i/>
          <w:iCs/>
        </w:rPr>
        <w:t>See id.</w:t>
      </w:r>
      <w:r>
        <w:t xml:space="preserve"> at 2.  The LOI required the Company to report when marketing began for the Company’s devices and this was not reported in the LOI Response for </w:t>
      </w:r>
      <w:r w:rsidRPr="0096236B">
        <w:t>devices with FCC IDs 2A5X5-APBUTTON, 2A5X5-APOLLOV1, 2A5UW-PGMC3WPS4, 2A5UW-PGMC2WPS4, 2ASQDPDWM2135, 2ASQDPDWM2145</w:t>
      </w:r>
      <w:r>
        <w:t xml:space="preserve">.  This information was not supplied by the Company until the Deficiency Letter Response.  </w:t>
      </w:r>
    </w:p>
  </w:footnote>
  <w:footnote w:id="61">
    <w:p w:rsidR="0032514E" w:rsidRPr="00CB378E" w:rsidP="0032514E" w14:paraId="238C908E" w14:textId="77777777">
      <w:pPr>
        <w:pStyle w:val="FootnoteText"/>
      </w:pPr>
      <w:r>
        <w:rPr>
          <w:rStyle w:val="FootnoteReference"/>
        </w:rPr>
        <w:footnoteRef/>
      </w:r>
      <w:r>
        <w:t xml:space="preserve"> </w:t>
      </w:r>
      <w:r>
        <w:rPr>
          <w:i/>
          <w:iCs/>
        </w:rPr>
        <w:t xml:space="preserve">See </w:t>
      </w:r>
      <w:r>
        <w:t xml:space="preserve">Further LOI Response, </w:t>
      </w:r>
      <w:r w:rsidRPr="00B6543B">
        <w:rPr>
          <w:i/>
          <w:iCs/>
        </w:rPr>
        <w:t>supra</w:t>
      </w:r>
      <w:r>
        <w:t xml:space="preserve"> note </w:t>
      </w:r>
      <w:r>
        <w:fldChar w:fldCharType="begin"/>
      </w:r>
      <w:r>
        <w:instrText xml:space="preserve"> NOTEREF _Ref149644547 \h </w:instrText>
      </w:r>
      <w:r>
        <w:fldChar w:fldCharType="separate"/>
      </w:r>
      <w:r>
        <w:t>37</w:t>
      </w:r>
      <w:r>
        <w:fldChar w:fldCharType="end"/>
      </w:r>
      <w:r>
        <w:t>, at 4.</w:t>
      </w:r>
    </w:p>
  </w:footnote>
  <w:footnote w:id="62">
    <w:p w:rsidR="0032514E" w:rsidRPr="00EB10BF" w:rsidP="0032514E" w14:paraId="629252A1" w14:textId="77777777">
      <w:pPr>
        <w:pStyle w:val="FootnoteText"/>
      </w:pPr>
      <w:r>
        <w:rPr>
          <w:rStyle w:val="FootnoteReference"/>
        </w:rPr>
        <w:footnoteRef/>
      </w:r>
      <w:r>
        <w:t xml:space="preserve"> Deficiency Letter Response, </w:t>
      </w:r>
      <w:r w:rsidRPr="00B6543B">
        <w:rPr>
          <w:i/>
          <w:iCs/>
        </w:rPr>
        <w:t>supra</w:t>
      </w:r>
      <w:r>
        <w:t xml:space="preserve"> note </w:t>
      </w:r>
      <w:r>
        <w:fldChar w:fldCharType="begin"/>
      </w:r>
      <w:r>
        <w:instrText xml:space="preserve"> NOTEREF _Ref143266894 \h </w:instrText>
      </w:r>
      <w:r>
        <w:fldChar w:fldCharType="separate"/>
      </w:r>
      <w:r>
        <w:t>39</w:t>
      </w:r>
      <w:r>
        <w:fldChar w:fldCharType="end"/>
      </w:r>
      <w:r>
        <w:t>, at 1-2.</w:t>
      </w:r>
    </w:p>
  </w:footnote>
  <w:footnote w:id="63">
    <w:p w:rsidR="0032514E" w:rsidRPr="003A5F3A" w:rsidP="0032514E" w14:paraId="2278C96D" w14:textId="77777777">
      <w:pPr>
        <w:pStyle w:val="FootnoteText"/>
      </w:pPr>
      <w:r>
        <w:rPr>
          <w:rStyle w:val="FootnoteReference"/>
        </w:rPr>
        <w:footnoteRef/>
      </w:r>
      <w:r>
        <w:t xml:space="preserve"> </w:t>
      </w:r>
      <w:r>
        <w:rPr>
          <w:i/>
          <w:iCs/>
        </w:rPr>
        <w:t xml:space="preserve">See </w:t>
      </w:r>
      <w:r w:rsidRPr="00E04FBE">
        <w:rPr>
          <w:i/>
          <w:iCs/>
        </w:rPr>
        <w:t>id.</w:t>
      </w:r>
      <w:r>
        <w:t xml:space="preserve">.  </w:t>
      </w:r>
    </w:p>
  </w:footnote>
  <w:footnote w:id="64">
    <w:p w:rsidR="0032514E" w:rsidRPr="00336325" w:rsidP="0032514E" w14:paraId="0ED41366" w14:textId="77777777">
      <w:pPr>
        <w:pStyle w:val="FootnoteText"/>
      </w:pPr>
      <w:r>
        <w:rPr>
          <w:rStyle w:val="FootnoteReference"/>
        </w:rPr>
        <w:footnoteRef/>
      </w:r>
      <w:r>
        <w:t xml:space="preserve"> </w:t>
      </w:r>
      <w:r>
        <w:rPr>
          <w:i/>
          <w:iCs/>
        </w:rPr>
        <w:t xml:space="preserve">See </w:t>
      </w:r>
      <w:r w:rsidRPr="00826245">
        <w:t>47 U.S.C. § 403</w:t>
      </w:r>
      <w:r>
        <w:t>;</w:t>
      </w:r>
      <w:r w:rsidRPr="00826245">
        <w:t xml:space="preserve"> </w:t>
      </w:r>
      <w:r>
        <w:rPr>
          <w:i/>
        </w:rPr>
        <w:t>s</w:t>
      </w:r>
      <w:r w:rsidRPr="00826245">
        <w:rPr>
          <w:i/>
        </w:rPr>
        <w:t>ee</w:t>
      </w:r>
      <w:r>
        <w:rPr>
          <w:i/>
        </w:rPr>
        <w:t xml:space="preserve"> also</w:t>
      </w:r>
      <w:r w:rsidRPr="00826245">
        <w:rPr>
          <w:i/>
        </w:rPr>
        <w:t>, e.g.</w:t>
      </w:r>
      <w:r w:rsidRPr="00826245">
        <w:t xml:space="preserve">, </w:t>
      </w:r>
      <w:r w:rsidRPr="00826245">
        <w:rPr>
          <w:i/>
        </w:rPr>
        <w:t>Lyca Tel, LLC</w:t>
      </w:r>
      <w:r w:rsidRPr="00826245">
        <w:t>, Memorandum Opinion and Order,</w:t>
      </w:r>
      <w:r>
        <w:t xml:space="preserve"> 31 FCC Rcd 12125</w:t>
      </w:r>
      <w:r w:rsidRPr="00826245">
        <w:t xml:space="preserve"> (2016)</w:t>
      </w:r>
      <w:r>
        <w:t xml:space="preserve">.  Despite Sound Around’s incomplete responses, the </w:t>
      </w:r>
      <w:r>
        <w:rPr>
          <w:szCs w:val="22"/>
        </w:rPr>
        <w:t>Bureau</w:t>
      </w:r>
      <w:r w:rsidRPr="005B56D8">
        <w:rPr>
          <w:szCs w:val="22"/>
        </w:rPr>
        <w:t xml:space="preserve"> </w:t>
      </w:r>
      <w:r>
        <w:t xml:space="preserve">was able to determine that Sound Around was marketing noncompliant radiofrequency devices as described in the section above.  </w:t>
      </w:r>
    </w:p>
  </w:footnote>
  <w:footnote w:id="65">
    <w:p w:rsidR="0032514E" w:rsidRPr="008C1091" w:rsidP="0032514E" w14:paraId="78F8D764" w14:textId="77777777">
      <w:pPr>
        <w:pStyle w:val="FootnoteText"/>
        <w:rPr>
          <w:b/>
          <w:i/>
          <w:color w:val="000000"/>
        </w:rPr>
      </w:pPr>
      <w:r w:rsidRPr="008C1091">
        <w:rPr>
          <w:rStyle w:val="FootnoteReference"/>
          <w:color w:val="000000"/>
        </w:rPr>
        <w:footnoteRef/>
      </w:r>
      <w:r w:rsidRPr="008C1091">
        <w:rPr>
          <w:color w:val="000000"/>
        </w:rPr>
        <w:t xml:space="preserve"> 47 U.S.C. § 503(b).  </w:t>
      </w:r>
      <w:r>
        <w:rPr>
          <w:color w:val="000000"/>
        </w:rPr>
        <w:t xml:space="preserve">Sound Around is a holder of Commission authorizations; certifications such as the one associated with FCC ID </w:t>
      </w:r>
      <w:r w:rsidRPr="00677CBC">
        <w:t>2A5X5-PDWR54BTB</w:t>
      </w:r>
      <w:r>
        <w:t xml:space="preserve">, which was granted to </w:t>
      </w:r>
      <w:r w:rsidRPr="005126F2">
        <w:t>SOUND AROUND INC</w:t>
      </w:r>
      <w:r>
        <w:t xml:space="preserve">.  </w:t>
      </w:r>
      <w:r>
        <w:rPr>
          <w:i/>
          <w:iCs/>
        </w:rPr>
        <w:t>See</w:t>
      </w:r>
      <w:r w:rsidRPr="00F04387">
        <w:rPr>
          <w:i/>
          <w:iCs/>
        </w:rPr>
        <w:t>, e.g.</w:t>
      </w:r>
      <w:r w:rsidRPr="00B6543B">
        <w:t>,</w:t>
      </w:r>
      <w:r>
        <w:t xml:space="preserve"> Appendix, row 6; </w:t>
      </w:r>
      <w:r>
        <w:rPr>
          <w:i/>
          <w:iCs/>
        </w:rPr>
        <w:t>see also</w:t>
      </w:r>
      <w:r>
        <w:t xml:space="preserve"> </w:t>
      </w:r>
      <w:r w:rsidRPr="00B40477">
        <w:t>Fed</w:t>
      </w:r>
      <w:r>
        <w:t>.</w:t>
      </w:r>
      <w:r w:rsidRPr="00B40477">
        <w:t xml:space="preserve"> Comm</w:t>
      </w:r>
      <w:r>
        <w:t>c’ns</w:t>
      </w:r>
      <w:r w:rsidRPr="00B40477">
        <w:t xml:space="preserve"> Comm</w:t>
      </w:r>
      <w:r>
        <w:t>’n</w:t>
      </w:r>
      <w:r w:rsidRPr="00B40477">
        <w:t xml:space="preserve">, FCC ID Search, available at </w:t>
      </w:r>
      <w:hyperlink r:id="rId2" w:history="1">
        <w:r w:rsidRPr="00884C8C">
          <w:rPr>
            <w:rStyle w:val="Hyperlink"/>
          </w:rPr>
          <w:t>https://www.fcc.gov/oet/ea/fccid</w:t>
        </w:r>
      </w:hyperlink>
      <w:r>
        <w:t xml:space="preserve"> </w:t>
      </w:r>
      <w:r w:rsidRPr="00B40477">
        <w:t>(last visited Oct. 20, 2023)</w:t>
      </w:r>
      <w:r>
        <w:t xml:space="preserve">.  Sound Around was also previously issued a Citation for equipment marketing.  </w:t>
      </w:r>
      <w:r>
        <w:rPr>
          <w:i/>
          <w:iCs/>
        </w:rPr>
        <w:t>See Marketing Citation</w:t>
      </w:r>
      <w:r w:rsidRPr="00E04FBE">
        <w:t>,</w:t>
      </w:r>
      <w:r>
        <w:rPr>
          <w:i/>
          <w:iCs/>
        </w:rPr>
        <w:t xml:space="preserve"> supra</w:t>
      </w:r>
      <w:r>
        <w:t xml:space="preserve"> note </w:t>
      </w:r>
      <w:r>
        <w:fldChar w:fldCharType="begin"/>
      </w:r>
      <w:r>
        <w:instrText xml:space="preserve"> NOTEREF _Ref148689076 \h </w:instrText>
      </w:r>
      <w:r>
        <w:fldChar w:fldCharType="separate"/>
      </w:r>
      <w:r>
        <w:t>21</w:t>
      </w:r>
      <w:r>
        <w:fldChar w:fldCharType="end"/>
      </w:r>
      <w:r>
        <w:t xml:space="preserve">.  As explained in detail in the </w:t>
      </w:r>
      <w:r>
        <w:rPr>
          <w:i/>
          <w:iCs/>
        </w:rPr>
        <w:t>Sound Around 2022 Forfeiture Order</w:t>
      </w:r>
      <w:r>
        <w:t xml:space="preserve">, because Sound Around previously was issued a citation for the type of conduct at issue in this investigation (i.e., radio frequency equipment marketing), </w:t>
      </w:r>
      <w:r w:rsidRPr="00F04387">
        <w:t>even if Sound Around did not hold Commission authorizations</w:t>
      </w:r>
      <w:r>
        <w:t xml:space="preserve"> the Commission </w:t>
      </w:r>
      <w:r w:rsidRPr="00F04387">
        <w:t>could</w:t>
      </w:r>
      <w:r>
        <w:t xml:space="preserve"> proceed to issue a notice of apparent liability for forfeiture in this matter without needing to first issue another Citation.  </w:t>
      </w:r>
      <w:r>
        <w:rPr>
          <w:i/>
          <w:iCs/>
        </w:rPr>
        <w:t>Sound Around 2022 Forfeiture Order</w:t>
      </w:r>
      <w:r>
        <w:t xml:space="preserve">, </w:t>
      </w:r>
      <w:r w:rsidRPr="00610BD5">
        <w:rPr>
          <w:i/>
          <w:iCs/>
        </w:rPr>
        <w:t>supra</w:t>
      </w:r>
      <w:r>
        <w:t xml:space="preserve"> note </w:t>
      </w:r>
      <w:r>
        <w:fldChar w:fldCharType="begin"/>
      </w:r>
      <w:r>
        <w:instrText xml:space="preserve"> NOTEREF _Ref149641359 \h </w:instrText>
      </w:r>
      <w:r>
        <w:fldChar w:fldCharType="separate"/>
      </w:r>
      <w:r>
        <w:t>1</w:t>
      </w:r>
      <w:r>
        <w:fldChar w:fldCharType="end"/>
      </w:r>
      <w:r>
        <w:t>,</w:t>
      </w:r>
      <w:r w:rsidRPr="005A6C2C">
        <w:t xml:space="preserve"> </w:t>
      </w:r>
      <w:r>
        <w:t>at 9917-18, paras. 24-29 (</w:t>
      </w:r>
      <w:r>
        <w:rPr>
          <w:i/>
          <w:iCs/>
        </w:rPr>
        <w:t>citing</w:t>
      </w:r>
      <w:r w:rsidRPr="008C1091">
        <w:rPr>
          <w:i/>
          <w:color w:val="000000"/>
        </w:rPr>
        <w:t xml:space="preserve"> </w:t>
      </w:r>
      <w:r w:rsidRPr="008C1091">
        <w:rPr>
          <w:color w:val="000000"/>
        </w:rPr>
        <w:t>47 U.S.C. § 503(b)(5)</w:t>
      </w:r>
      <w:r>
        <w:rPr>
          <w:color w:val="000000"/>
        </w:rPr>
        <w:t>)</w:t>
      </w:r>
      <w:r w:rsidRPr="008C1091">
        <w:rPr>
          <w:color w:val="000000"/>
        </w:rPr>
        <w:t>.</w:t>
      </w:r>
      <w:r>
        <w:rPr>
          <w:color w:val="000000"/>
        </w:rPr>
        <w:t xml:space="preserve">  </w:t>
      </w:r>
    </w:p>
  </w:footnote>
  <w:footnote w:id="66">
    <w:p w:rsidR="0032514E" w:rsidRPr="008C1091" w:rsidP="0032514E" w14:paraId="7D6BFF07" w14:textId="3D3A8409">
      <w:pPr>
        <w:pStyle w:val="FootnoteText"/>
        <w:rPr>
          <w:snapToGrid w:val="0"/>
          <w:color w:val="000000"/>
        </w:rPr>
      </w:pPr>
      <w:r w:rsidRPr="008C1091">
        <w:rPr>
          <w:rStyle w:val="FootnoteReference"/>
          <w:color w:val="000000"/>
        </w:rPr>
        <w:footnoteRef/>
      </w:r>
      <w:r w:rsidRPr="008C1091">
        <w:rPr>
          <w:color w:val="000000"/>
        </w:rPr>
        <w:t xml:space="preserve"> </w:t>
      </w:r>
      <w:r w:rsidRPr="008C1091">
        <w:rPr>
          <w:i/>
          <w:color w:val="000000"/>
        </w:rPr>
        <w:t>See</w:t>
      </w:r>
      <w:r w:rsidRPr="008C1091">
        <w:rPr>
          <w:color w:val="000000"/>
        </w:rPr>
        <w:t xml:space="preserve"> </w:t>
      </w:r>
      <w:r>
        <w:rPr>
          <w:color w:val="000000"/>
        </w:rPr>
        <w:t>47 U.S.C.</w:t>
      </w:r>
      <w:r w:rsidRPr="008C1091">
        <w:rPr>
          <w:color w:val="000000"/>
        </w:rPr>
        <w:t xml:space="preserve"> § 503(b)(2)(D); </w:t>
      </w:r>
      <w:r w:rsidRPr="008C1091">
        <w:t>47 CFR § 1.80(b)(</w:t>
      </w:r>
      <w:r>
        <w:t>1</w:t>
      </w:r>
      <w:r w:rsidR="00917AD0">
        <w:t>0</w:t>
      </w:r>
      <w:r w:rsidRPr="008C1091">
        <w:t>)</w:t>
      </w:r>
      <w:r>
        <w:t xml:space="preserve">.  </w:t>
      </w:r>
      <w:r w:rsidRPr="00E0314D">
        <w:t>These amounts reflect inflation adjustments to the forfeitures specified in section 503(b)(2)(D) of the Act ($10,000 per violation or per day of a continuing violation and a statutory maximum of $75,000 for a single act or failure to act).</w:t>
      </w:r>
      <w:r>
        <w:t xml:space="preserve">  </w:t>
      </w:r>
      <w:r>
        <w:rPr>
          <w:i/>
          <w:iCs/>
        </w:rPr>
        <w:t>S</w:t>
      </w:r>
      <w:r w:rsidRPr="00E0314D">
        <w:rPr>
          <w:i/>
          <w:iCs/>
        </w:rPr>
        <w:t>ee Amendment of Section 1.80(b) of the Commission</w:t>
      </w:r>
      <w:r>
        <w:rPr>
          <w:i/>
          <w:iCs/>
        </w:rPr>
        <w:t>’</w:t>
      </w:r>
      <w:r w:rsidRPr="00E0314D">
        <w:rPr>
          <w:i/>
          <w:iCs/>
        </w:rPr>
        <w:t>s Rules, Adjustment of Civil Monetary Penalties to Reflect Inflation</w:t>
      </w:r>
      <w:r w:rsidRPr="00E0314D">
        <w:t xml:space="preserve">, Order, DA 22-1356 (EB Dec. 23, 2022); </w:t>
      </w:r>
      <w:r w:rsidRPr="00E0314D">
        <w:rPr>
          <w:i/>
          <w:iCs/>
        </w:rPr>
        <w:t>see also Annual Adjustment of Civil Monetary Penalties to Reflect Inflation</w:t>
      </w:r>
      <w:r w:rsidRPr="00E0314D">
        <w:t>, 88 Fed. Reg. 783 (Jan. 5, 2023) (setting January 5, 2023, as the effective date for the increases).</w:t>
      </w:r>
    </w:p>
  </w:footnote>
  <w:footnote w:id="67">
    <w:p w:rsidR="0032514E" w:rsidRPr="008C1091" w:rsidP="0032514E" w14:paraId="3323985E" w14:textId="77777777">
      <w:pPr>
        <w:pStyle w:val="FootnoteText"/>
        <w:rPr>
          <w:color w:val="000000"/>
          <w:lang w:val="es-ES"/>
        </w:rPr>
      </w:pPr>
      <w:r w:rsidRPr="008C1091">
        <w:rPr>
          <w:rStyle w:val="FootnoteReference"/>
          <w:color w:val="000000"/>
        </w:rPr>
        <w:footnoteRef/>
      </w:r>
      <w:r w:rsidRPr="008C1091">
        <w:rPr>
          <w:color w:val="000000"/>
          <w:lang w:val="es-ES"/>
        </w:rPr>
        <w:t xml:space="preserve"> </w:t>
      </w:r>
      <w:r w:rsidRPr="008C1091">
        <w:rPr>
          <w:color w:val="000000"/>
        </w:rPr>
        <w:t>47 U.S.C. § 503(b)(</w:t>
      </w:r>
      <w:r w:rsidRPr="008C1091">
        <w:rPr>
          <w:color w:val="000000"/>
          <w:lang w:val="es-ES"/>
        </w:rPr>
        <w:t xml:space="preserve">2)(E); </w:t>
      </w:r>
      <w:r w:rsidRPr="008C1091">
        <w:rPr>
          <w:i/>
        </w:rPr>
        <w:t xml:space="preserve">see also </w:t>
      </w:r>
      <w:r w:rsidRPr="008C1091">
        <w:t>47 CFR § 1.80(b)(</w:t>
      </w:r>
      <w:r>
        <w:t>11</w:t>
      </w:r>
      <w:r w:rsidRPr="008C1091">
        <w:t>)</w:t>
      </w:r>
      <w:r w:rsidRPr="008C1091">
        <w:rPr>
          <w:rFonts w:eastAsia="Batang"/>
        </w:rPr>
        <w:t xml:space="preserve">; </w:t>
      </w:r>
      <w:r w:rsidRPr="008C1091">
        <w:rPr>
          <w:i/>
        </w:rPr>
        <w:t>The Commission’s Forfeiture Policy Statement and Amendment of Section 1.80 of the Rules to Incorporate the Forfeiture Guidelines</w:t>
      </w:r>
      <w:r w:rsidRPr="008C1091">
        <w:t>, Report and Order, 12 FCC Rcd 17087, 17100–</w:t>
      </w:r>
      <w:r>
        <w:t>171</w:t>
      </w:r>
      <w:r w:rsidRPr="008C1091">
        <w:t>01, para. 27 (1997) (</w:t>
      </w:r>
      <w:r w:rsidRPr="008C1091">
        <w:rPr>
          <w:i/>
        </w:rPr>
        <w:t>Forfeiture Policy Statement</w:t>
      </w:r>
      <w:r w:rsidRPr="008C1091">
        <w:t xml:space="preserve">), </w:t>
      </w:r>
      <w:r w:rsidRPr="008C1091">
        <w:rPr>
          <w:i/>
        </w:rPr>
        <w:t>recon. denied</w:t>
      </w:r>
      <w:r w:rsidRPr="008C1091">
        <w:t>, 15 FCC Rcd 303 (1999).</w:t>
      </w:r>
    </w:p>
  </w:footnote>
  <w:footnote w:id="68">
    <w:p w:rsidR="0032514E" w:rsidRPr="008C1091" w:rsidP="0032514E" w14:paraId="77992C7B" w14:textId="77777777">
      <w:pPr>
        <w:pStyle w:val="FootnoteText"/>
      </w:pPr>
      <w:r w:rsidRPr="008C1091">
        <w:rPr>
          <w:rStyle w:val="FootnoteReference"/>
          <w:color w:val="000000"/>
        </w:rPr>
        <w:footnoteRef/>
      </w:r>
      <w:r w:rsidRPr="008C1091">
        <w:t xml:space="preserve"> 47 CFR § 1.80(b)(</w:t>
      </w:r>
      <w:r>
        <w:t>11</w:t>
      </w:r>
      <w:r w:rsidRPr="008C1091">
        <w:t>)</w:t>
      </w:r>
      <w:r>
        <w:t>, Table 3</w:t>
      </w:r>
      <w:r w:rsidRPr="008C1091">
        <w:t xml:space="preserve">; </w:t>
      </w:r>
      <w:r w:rsidRPr="008C1091">
        <w:rPr>
          <w:i/>
        </w:rPr>
        <w:t>Forfeiture Policy Statement</w:t>
      </w:r>
      <w:r w:rsidRPr="008C1091">
        <w:t>, 12 FCC Rcd at 17098-99, para. 22.</w:t>
      </w:r>
    </w:p>
  </w:footnote>
  <w:footnote w:id="69">
    <w:p w:rsidR="0032514E" w:rsidRPr="008C1091" w:rsidP="0032514E" w14:paraId="4A4C5ED2" w14:textId="77777777">
      <w:pPr>
        <w:pStyle w:val="FootnoteText"/>
        <w:rPr>
          <w:color w:val="000000"/>
        </w:rPr>
      </w:pPr>
      <w:r w:rsidRPr="008C1091">
        <w:rPr>
          <w:rStyle w:val="FootnoteReference"/>
          <w:color w:val="000000"/>
        </w:rPr>
        <w:footnoteRef/>
      </w:r>
      <w:r w:rsidRPr="008C1091">
        <w:rPr>
          <w:color w:val="000000"/>
        </w:rPr>
        <w:t xml:space="preserve"> 47 CFR § 1.80(b)(</w:t>
      </w:r>
      <w:r>
        <w:rPr>
          <w:color w:val="000000"/>
        </w:rPr>
        <w:t>11</w:t>
      </w:r>
      <w:r w:rsidRPr="008C1091">
        <w:rPr>
          <w:color w:val="000000"/>
        </w:rPr>
        <w:t>)</w:t>
      </w:r>
      <w:r>
        <w:rPr>
          <w:color w:val="000000"/>
        </w:rPr>
        <w:t>, Table 3</w:t>
      </w:r>
      <w:r w:rsidRPr="008C1091">
        <w:rPr>
          <w:color w:val="000000"/>
        </w:rPr>
        <w:t xml:space="preserve">; </w:t>
      </w:r>
      <w:r w:rsidRPr="008C1091">
        <w:rPr>
          <w:i/>
          <w:color w:val="000000"/>
        </w:rPr>
        <w:t>see Forfeiture Policy Statement</w:t>
      </w:r>
      <w:r w:rsidRPr="008C1091">
        <w:rPr>
          <w:color w:val="000000"/>
        </w:rPr>
        <w:t>, 12 FCC Rcd at 17098-99, para. 22</w:t>
      </w:r>
      <w:r w:rsidRPr="008C1091">
        <w:t>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Pr="008C1091">
        <w:rPr>
          <w:color w:val="000000"/>
        </w:rPr>
        <w:t>.</w:t>
      </w:r>
    </w:p>
  </w:footnote>
  <w:footnote w:id="70">
    <w:p w:rsidR="0032514E" w:rsidRPr="008C1091" w:rsidP="0032514E" w14:paraId="6EDE8D1B" w14:textId="77777777">
      <w:pPr>
        <w:pStyle w:val="FootnoteText"/>
        <w:rPr>
          <w:color w:val="000000"/>
        </w:rPr>
      </w:pPr>
      <w:r w:rsidRPr="008C1091">
        <w:rPr>
          <w:rStyle w:val="FootnoteReference"/>
          <w:color w:val="000000"/>
        </w:rPr>
        <w:footnoteRef/>
      </w:r>
      <w:r w:rsidRPr="008C1091">
        <w:rPr>
          <w:color w:val="000000"/>
        </w:rPr>
        <w:t xml:space="preserve"> 47 CFR § 1.80(b)</w:t>
      </w:r>
      <w:r>
        <w:rPr>
          <w:color w:val="000000"/>
        </w:rPr>
        <w:t>(11), Table 1</w:t>
      </w:r>
      <w:r w:rsidRPr="008C1091">
        <w:rPr>
          <w:color w:val="000000"/>
        </w:rPr>
        <w:t xml:space="preserve">; </w:t>
      </w:r>
      <w:r w:rsidRPr="008C1091">
        <w:rPr>
          <w:i/>
          <w:color w:val="000000"/>
        </w:rPr>
        <w:t>see Behringer USA, Inc.</w:t>
      </w:r>
      <w:r w:rsidRPr="008C1091">
        <w:rPr>
          <w:color w:val="000000"/>
        </w:rPr>
        <w:t xml:space="preserve">, Notice of Apparent Liability for Forfeiture and Order, 21 FCC Rcd 1820, 1826, para. 19 (2006) (forfeiture paid); </w:t>
      </w:r>
      <w:r w:rsidRPr="008C1091">
        <w:rPr>
          <w:i/>
          <w:color w:val="000000"/>
        </w:rPr>
        <w:t>C.T.S. Technology Co., Limited</w:t>
      </w:r>
      <w:r w:rsidRPr="008C1091">
        <w:rPr>
          <w:color w:val="000000"/>
        </w:rPr>
        <w:t>, Notice of Apparent Liability for Forfeiture and Order, 29 FCC Rcd 8107, 8112, para. 14 (2014), Forfeiture Order, 31 FCC Rcd 6126 (2016).</w:t>
      </w:r>
    </w:p>
  </w:footnote>
  <w:footnote w:id="71">
    <w:p w:rsidR="0032514E" w:rsidRPr="00FA19D4" w:rsidP="0032514E" w14:paraId="6AD83772" w14:textId="77777777">
      <w:pPr>
        <w:pStyle w:val="FootnoteText"/>
      </w:pPr>
      <w:r w:rsidRPr="008C1091">
        <w:rPr>
          <w:rStyle w:val="FootnoteReference"/>
        </w:rPr>
        <w:footnoteRef/>
      </w:r>
      <w:r w:rsidRPr="008C1091">
        <w:t xml:space="preserve"> </w:t>
      </w:r>
      <w:r>
        <w:rPr>
          <w:i/>
          <w:iCs/>
        </w:rPr>
        <w:t xml:space="preserve">See </w:t>
      </w:r>
      <w:r w:rsidRPr="008C1091">
        <w:rPr>
          <w:i/>
          <w:color w:val="000000"/>
        </w:rPr>
        <w:t>Forfeiture Policy Statement</w:t>
      </w:r>
      <w:r w:rsidRPr="008C1091">
        <w:rPr>
          <w:color w:val="000000"/>
        </w:rPr>
        <w:t xml:space="preserve">, 12 FCC Rcd </w:t>
      </w:r>
      <w:r>
        <w:rPr>
          <w:color w:val="000000"/>
        </w:rPr>
        <w:t xml:space="preserve">at </w:t>
      </w:r>
      <w:r w:rsidRPr="008C1091">
        <w:t>17100–</w:t>
      </w:r>
      <w:r>
        <w:t>171</w:t>
      </w:r>
      <w:r w:rsidRPr="008C1091">
        <w:t>01, para. 27</w:t>
      </w:r>
      <w:r w:rsidRPr="008C1091">
        <w:rPr>
          <w:color w:val="000000"/>
        </w:rPr>
        <w:t>; 47 CFR § 1.80(b)(</w:t>
      </w:r>
      <w:r>
        <w:rPr>
          <w:color w:val="000000"/>
        </w:rPr>
        <w:t>11</w:t>
      </w:r>
      <w:r w:rsidRPr="008C1091">
        <w:rPr>
          <w:color w:val="000000"/>
        </w:rPr>
        <w:t>)</w:t>
      </w:r>
      <w:r>
        <w:rPr>
          <w:color w:val="000000"/>
        </w:rPr>
        <w:t>, Table 3</w:t>
      </w:r>
      <w:r w:rsidRPr="008C1091">
        <w:rPr>
          <w:color w:val="000000"/>
        </w:rPr>
        <w:t xml:space="preserve"> (upward adjustment criteria includes the following: egregious misconduct; ability to pay/relative disincentive; intentional </w:t>
      </w:r>
      <w:r w:rsidRPr="00FA19D4">
        <w:t xml:space="preserve">violation; substantial harm; prior violations; substantial economic gain; and repeated or continuous violation).  </w:t>
      </w:r>
    </w:p>
  </w:footnote>
  <w:footnote w:id="72">
    <w:p w:rsidR="0032514E" w:rsidP="0032514E" w14:paraId="03D40D53" w14:textId="77777777">
      <w:pPr>
        <w:pStyle w:val="FootnoteText"/>
      </w:pPr>
      <w:r>
        <w:rPr>
          <w:rStyle w:val="FootnoteReference"/>
        </w:rPr>
        <w:footnoteRef/>
      </w:r>
      <w:r>
        <w:rPr>
          <w:i/>
          <w:iCs/>
        </w:rPr>
        <w:t xml:space="preserve"> See, e.g., Marketing Citation</w:t>
      </w:r>
      <w:r>
        <w:t xml:space="preserve">, </w:t>
      </w:r>
      <w:r w:rsidRPr="00610BD5">
        <w:rPr>
          <w:i/>
          <w:iCs/>
        </w:rPr>
        <w:t>supra</w:t>
      </w:r>
      <w:r>
        <w:t xml:space="preserve"> note </w:t>
      </w:r>
      <w:r>
        <w:fldChar w:fldCharType="begin"/>
      </w:r>
      <w:r>
        <w:instrText xml:space="preserve"> NOTEREF _Ref148689076 \h </w:instrText>
      </w:r>
      <w:r>
        <w:fldChar w:fldCharType="separate"/>
      </w:r>
      <w:r>
        <w:t>21</w:t>
      </w:r>
      <w:r>
        <w:fldChar w:fldCharType="end"/>
      </w:r>
      <w:r>
        <w:t>, at 9475, para. 4, nn.6-9 (</w:t>
      </w:r>
      <w:bookmarkStart w:id="168" w:name="_Hlk149151035"/>
      <w:r>
        <w:t>in its LOI response, Sound Around admitted to importing and marketing four models of wireless microphones that operate on restricted frequency bands and are therefore noncompliant</w:t>
      </w:r>
      <w:bookmarkEnd w:id="168"/>
      <w:r>
        <w:t xml:space="preserve">); </w:t>
      </w:r>
      <w:r>
        <w:rPr>
          <w:i/>
          <w:iCs/>
        </w:rPr>
        <w:t>id</w:t>
      </w:r>
      <w:r>
        <w:t xml:space="preserve">. at 9474, para. 3, n.4 (documenting evidence from the Company’s website of noncompliant wireless microphones being marketed between 2009 and 2011); </w:t>
      </w:r>
      <w:r>
        <w:rPr>
          <w:i/>
          <w:iCs/>
        </w:rPr>
        <w:t>Sound Around 2020 NAL</w:t>
      </w:r>
      <w:r>
        <w:t xml:space="preserve">, </w:t>
      </w:r>
      <w:r w:rsidRPr="00610BD5">
        <w:rPr>
          <w:i/>
          <w:iCs/>
        </w:rPr>
        <w:t>supra</w:t>
      </w:r>
      <w:r>
        <w:t xml:space="preserve"> note </w:t>
      </w:r>
      <w:r>
        <w:fldChar w:fldCharType="begin"/>
      </w:r>
      <w:r>
        <w:instrText xml:space="preserve"> NOTEREF _Ref149641359 \h </w:instrText>
      </w:r>
      <w:r>
        <w:fldChar w:fldCharType="separate"/>
      </w:r>
      <w:r>
        <w:t>1</w:t>
      </w:r>
      <w:r>
        <w:fldChar w:fldCharType="end"/>
      </w:r>
      <w:r>
        <w:t xml:space="preserve">, at 3481-82, paras. 10-11, nn.30-31, 33-35 (in its 2019 LOI Response, Sound Around provided documentation showing marketing of 32 models of wireless microphones that were either operating on unauthorized frequencies or were not certified, as evidenced by lack of an FCC identification number); </w:t>
      </w:r>
      <w:r>
        <w:rPr>
          <w:i/>
          <w:iCs/>
        </w:rPr>
        <w:t xml:space="preserve">Sound Around 2022 </w:t>
      </w:r>
      <w:r w:rsidRPr="002529A5">
        <w:rPr>
          <w:i/>
          <w:iCs/>
        </w:rPr>
        <w:t>Forfeiture Order</w:t>
      </w:r>
      <w:r>
        <w:t xml:space="preserve">, </w:t>
      </w:r>
      <w:r w:rsidRPr="00E77D7C">
        <w:rPr>
          <w:i/>
          <w:iCs/>
          <w:szCs w:val="22"/>
        </w:rPr>
        <w:t>supra</w:t>
      </w:r>
      <w:r>
        <w:rPr>
          <w:szCs w:val="22"/>
        </w:rPr>
        <w:t xml:space="preserve"> note </w:t>
      </w:r>
      <w:r>
        <w:rPr>
          <w:szCs w:val="22"/>
        </w:rPr>
        <w:fldChar w:fldCharType="begin"/>
      </w:r>
      <w:r>
        <w:rPr>
          <w:szCs w:val="22"/>
        </w:rPr>
        <w:instrText xml:space="preserve"> NOTEREF _Ref149641359 \h </w:instrText>
      </w:r>
      <w:r>
        <w:rPr>
          <w:szCs w:val="22"/>
        </w:rPr>
        <w:fldChar w:fldCharType="separate"/>
      </w:r>
      <w:r>
        <w:rPr>
          <w:szCs w:val="22"/>
        </w:rPr>
        <w:t>1</w:t>
      </w:r>
      <w:r>
        <w:rPr>
          <w:szCs w:val="22"/>
        </w:rPr>
        <w:fldChar w:fldCharType="end"/>
      </w:r>
      <w:r>
        <w:rPr>
          <w:szCs w:val="22"/>
        </w:rPr>
        <w:t>, at 9914,</w:t>
      </w:r>
      <w:r>
        <w:t xml:space="preserve"> para. 17 (documenting the Company’s LOI responses with evidence of marketing noncompliant wireless microphones); Further LOI Response, </w:t>
      </w:r>
      <w:r w:rsidRPr="00E77D7C">
        <w:rPr>
          <w:i/>
          <w:iCs/>
        </w:rPr>
        <w:t>supra</w:t>
      </w:r>
      <w:r>
        <w:t xml:space="preserve"> note </w:t>
      </w:r>
      <w:r>
        <w:fldChar w:fldCharType="begin"/>
      </w:r>
      <w:r>
        <w:instrText xml:space="preserve"> NOTEREF _Ref149644547 \h </w:instrText>
      </w:r>
      <w:r>
        <w:fldChar w:fldCharType="separate"/>
      </w:r>
      <w:r>
        <w:t>37</w:t>
      </w:r>
      <w:r>
        <w:fldChar w:fldCharType="end"/>
      </w:r>
      <w:r>
        <w:t>, Updated Spreadsheet (Sound Around provided a spreadsheet containing, among other information, the dates on which it began marketing radio frequency devices and dates on which the devices were authorized, which showed marketing of several devices prior to authorization).</w:t>
      </w:r>
    </w:p>
  </w:footnote>
  <w:footnote w:id="73">
    <w:p w:rsidR="0032514E" w:rsidRPr="00FA19D4" w:rsidP="0032514E" w14:paraId="790FD4D5" w14:textId="77777777">
      <w:pPr>
        <w:pStyle w:val="FootnoteText"/>
      </w:pPr>
      <w:r w:rsidRPr="00FA19D4">
        <w:rPr>
          <w:rStyle w:val="FootnoteReference"/>
        </w:rPr>
        <w:footnoteRef/>
      </w:r>
      <w:r w:rsidRPr="00FA19D4">
        <w:t xml:space="preserve"> </w:t>
      </w:r>
      <w:r w:rsidRPr="00FA19D4">
        <w:rPr>
          <w:i/>
          <w:iCs/>
        </w:rPr>
        <w:t>See supra</w:t>
      </w:r>
      <w:r w:rsidRPr="00FA19D4">
        <w:t xml:space="preserve"> paras. </w:t>
      </w:r>
      <w:r w:rsidRPr="00FA19D4">
        <w:fldChar w:fldCharType="begin"/>
      </w:r>
      <w:r w:rsidRPr="00FA19D4">
        <w:instrText xml:space="preserve"> REF _Ref147839261 \r \h </w:instrText>
      </w:r>
      <w:r w:rsidRPr="00FA19D4">
        <w:fldChar w:fldCharType="separate"/>
      </w:r>
      <w:r>
        <w:t>9</w:t>
      </w:r>
      <w:r w:rsidRPr="00FA19D4">
        <w:fldChar w:fldCharType="end"/>
      </w:r>
      <w:r w:rsidRPr="00FA19D4">
        <w:t>-</w:t>
      </w:r>
      <w:r w:rsidRPr="00FA19D4">
        <w:fldChar w:fldCharType="begin"/>
      </w:r>
      <w:r w:rsidRPr="00FA19D4">
        <w:instrText xml:space="preserve"> REF _Ref147839268 \r \h </w:instrText>
      </w:r>
      <w:r w:rsidRPr="00FA19D4">
        <w:fldChar w:fldCharType="separate"/>
      </w:r>
      <w:r>
        <w:t>11</w:t>
      </w:r>
      <w:r w:rsidRPr="00FA19D4">
        <w:fldChar w:fldCharType="end"/>
      </w:r>
      <w:r w:rsidRPr="00FA19D4">
        <w:t>.</w:t>
      </w:r>
    </w:p>
  </w:footnote>
  <w:footnote w:id="74">
    <w:p w:rsidR="0032514E" w:rsidP="0032514E" w14:paraId="6F64EB9C" w14:textId="77777777">
      <w:pPr>
        <w:pStyle w:val="FootnoteText"/>
      </w:pPr>
      <w:r>
        <w:rPr>
          <w:rStyle w:val="FootnoteReference"/>
        </w:rPr>
        <w:footnoteRef/>
      </w:r>
      <w:r>
        <w:t xml:space="preserve"> </w:t>
      </w:r>
      <w:r>
        <w:rPr>
          <w:i/>
          <w:iCs/>
        </w:rPr>
        <w:t xml:space="preserve">See </w:t>
      </w:r>
      <w:r>
        <w:t xml:space="preserve">Appendix (documenting admitted marketing of noncompliant devices in 2022, after the </w:t>
      </w:r>
      <w:r>
        <w:rPr>
          <w:i/>
          <w:iCs/>
        </w:rPr>
        <w:t>Sound Around 2020 NAL</w:t>
      </w:r>
      <w:r>
        <w:t xml:space="preserve"> and the </w:t>
      </w:r>
      <w:r>
        <w:rPr>
          <w:i/>
          <w:iCs/>
        </w:rPr>
        <w:t xml:space="preserve">Sound Around 2022 </w:t>
      </w:r>
      <w:r w:rsidRPr="002529A5">
        <w:rPr>
          <w:i/>
          <w:iCs/>
        </w:rPr>
        <w:t>Forfeiture Order</w:t>
      </w:r>
      <w:r>
        <w:t xml:space="preserve">); </w:t>
      </w:r>
      <w:r>
        <w:rPr>
          <w:i/>
          <w:iCs/>
        </w:rPr>
        <w:t xml:space="preserve">see also </w:t>
      </w:r>
      <w:r>
        <w:t xml:space="preserve">Further LOI Response, </w:t>
      </w:r>
      <w:r w:rsidRPr="00127765">
        <w:rPr>
          <w:i/>
          <w:iCs/>
        </w:rPr>
        <w:t>supra</w:t>
      </w:r>
      <w:r>
        <w:t xml:space="preserve"> note </w:t>
      </w:r>
      <w:r>
        <w:fldChar w:fldCharType="begin"/>
      </w:r>
      <w:r>
        <w:instrText xml:space="preserve"> NOTEREF _Ref149644547 \h </w:instrText>
      </w:r>
      <w:r>
        <w:fldChar w:fldCharType="separate"/>
      </w:r>
      <w:r>
        <w:t>37</w:t>
      </w:r>
      <w:r>
        <w:fldChar w:fldCharType="end"/>
      </w:r>
      <w:r>
        <w:t xml:space="preserve">, Updated Spreadsheet (Sound Around provided a spreadsheet containing, among other information, the dates on which it began marketing radio frequency devices and dates on which the devices were authorized, which showed marketing of several devices prior to authorization and after the </w:t>
      </w:r>
      <w:r>
        <w:rPr>
          <w:i/>
          <w:iCs/>
        </w:rPr>
        <w:t>Sound Around 2020 NAL</w:t>
      </w:r>
      <w:r>
        <w:t>).</w:t>
      </w:r>
    </w:p>
  </w:footnote>
  <w:footnote w:id="75">
    <w:p w:rsidR="0032514E" w:rsidRPr="00FA19D4" w:rsidP="0032514E" w14:paraId="0DAF9FCF" w14:textId="77777777">
      <w:pPr>
        <w:pStyle w:val="FootnoteText"/>
      </w:pPr>
      <w:r w:rsidRPr="00FA19D4">
        <w:rPr>
          <w:rStyle w:val="FootnoteReference"/>
        </w:rPr>
        <w:footnoteRef/>
      </w:r>
      <w:r w:rsidRPr="00FA19D4">
        <w:t xml:space="preserve"> We rely on the facts from the first investigation to support this upward adjustment assessment. </w:t>
      </w:r>
      <w:bookmarkStart w:id="169" w:name="_Hlk148696670"/>
      <w:r w:rsidRPr="00FA19D4">
        <w:t xml:space="preserve"> </w:t>
      </w:r>
      <w:r w:rsidRPr="00FA19D4">
        <w:rPr>
          <w:i/>
          <w:iCs/>
        </w:rPr>
        <w:t xml:space="preserve">See </w:t>
      </w:r>
      <w:r w:rsidRPr="00FA19D4">
        <w:rPr>
          <w:i/>
          <w:iCs/>
          <w:bdr w:val="none" w:sz="0" w:space="0" w:color="auto" w:frame="1"/>
        </w:rPr>
        <w:t>Patrick Keane a/k/a the St. Map Co.</w:t>
      </w:r>
      <w:r w:rsidRPr="00FA19D4">
        <w:t xml:space="preserve">, Notice of Apparent Liability for Forfeiture, 27 FCC Rcd 13757, 13764, </w:t>
      </w:r>
      <w:r>
        <w:t>n.</w:t>
      </w:r>
      <w:r w:rsidRPr="00FA19D4">
        <w:t xml:space="preserve">26 (2012) (the Commission may consider the facts that underlie prior NALs in determining the appropriate forfeiture amount, including where a target has been told their conduct violates the law but continues the violative conduct), Forfeiture Order, 28 FCC Rcd 6688 (2013), Order on Reconsideration, 29 FCC Rcd 8075 (EB 2014).  </w:t>
      </w:r>
      <w:bookmarkEnd w:id="169"/>
      <w:r w:rsidRPr="00FA19D4">
        <w:t xml:space="preserve">Section 504(c) of the Act prohibits the Commission from using the issuance of a Notice of Apparent Liability for Forfeiture against a party in one proceeding to the prejudice of that party in another proceeding, until either the party pays the forfeiture or a court issues a final order that it do so.  </w:t>
      </w:r>
      <w:r w:rsidRPr="002B3B70">
        <w:t>47 U.S.C. § 504(c).</w:t>
      </w:r>
      <w:r>
        <w:t xml:space="preserve">  </w:t>
      </w:r>
      <w:r w:rsidRPr="00FA19D4">
        <w:t xml:space="preserve">However, this prohibition does not restrict the Commission from considering the </w:t>
      </w:r>
      <w:r w:rsidRPr="00FA19D4">
        <w:rPr>
          <w:i/>
          <w:iCs/>
          <w:bdr w:val="none" w:sz="0" w:space="0" w:color="auto" w:frame="1"/>
          <w:shd w:val="clear" w:color="auto" w:fill="FFFFFF"/>
        </w:rPr>
        <w:t>facts</w:t>
      </w:r>
      <w:r w:rsidRPr="00FA19D4">
        <w:t xml:space="preserve"> that underlie prior NALs.  </w:t>
      </w:r>
      <w:r w:rsidRPr="00FA19D4">
        <w:rPr>
          <w:i/>
          <w:iCs/>
          <w:bdr w:val="none" w:sz="0" w:space="0" w:color="auto" w:frame="1"/>
        </w:rPr>
        <w:t>Patrick Keane</w:t>
      </w:r>
      <w:r>
        <w:rPr>
          <w:i/>
          <w:iCs/>
          <w:bdr w:val="none" w:sz="0" w:space="0" w:color="auto" w:frame="1"/>
        </w:rPr>
        <w:t xml:space="preserve">, </w:t>
      </w:r>
      <w:r>
        <w:t>27 FCC Rcd at 13764, n.26</w:t>
      </w:r>
      <w:r w:rsidRPr="00FA19D4">
        <w:t xml:space="preserve"> (citing </w:t>
      </w:r>
      <w:r w:rsidRPr="002B3B70">
        <w:rPr>
          <w:i/>
          <w:iCs/>
          <w:bdr w:val="none" w:sz="0" w:space="0" w:color="auto" w:frame="1"/>
        </w:rPr>
        <w:t>Forfeiture</w:t>
      </w:r>
      <w:r w:rsidRPr="00FA19D4">
        <w:rPr>
          <w:i/>
          <w:iCs/>
          <w:bdr w:val="none" w:sz="0" w:space="0" w:color="auto" w:frame="1"/>
        </w:rPr>
        <w:t xml:space="preserve"> Policy Statement</w:t>
      </w:r>
      <w:r w:rsidRPr="00FA19D4">
        <w:t>, 12 FCC Rcd at 17102-</w:t>
      </w:r>
      <w:r>
        <w:t>171</w:t>
      </w:r>
      <w:r w:rsidRPr="00FA19D4">
        <w:t>04, paras. 33-36)</w:t>
      </w:r>
      <w:r>
        <w:t xml:space="preserve">; </w:t>
      </w:r>
      <w:r>
        <w:rPr>
          <w:i/>
          <w:iCs/>
        </w:rPr>
        <w:t xml:space="preserve">see also </w:t>
      </w:r>
      <w:r w:rsidRPr="00723EAF">
        <w:rPr>
          <w:i/>
          <w:iCs/>
        </w:rPr>
        <w:t>St. George Cable, Inc.</w:t>
      </w:r>
      <w:r w:rsidRPr="00723EAF">
        <w:t>,</w:t>
      </w:r>
      <w:r>
        <w:t xml:space="preserve"> </w:t>
      </w:r>
      <w:r w:rsidRPr="00723EAF">
        <w:t>Notice of Apparent Liability for Forfeiture and Order</w:t>
      </w:r>
      <w:r>
        <w:t>,</w:t>
      </w:r>
      <w:r w:rsidRPr="00723EAF">
        <w:t xml:space="preserve"> 27 FCC Rcd 11447, 11458, n.45 (2012)</w:t>
      </w:r>
      <w:r>
        <w:t xml:space="preserve">, Consent Decree, </w:t>
      </w:r>
      <w:r w:rsidRPr="00723EAF">
        <w:t>31 FCC Rcd 3663</w:t>
      </w:r>
      <w:r>
        <w:t xml:space="preserve"> (EB 2016)</w:t>
      </w:r>
      <w:r w:rsidRPr="00FA19D4">
        <w:t xml:space="preserve">.  Thus, consideration in the current item of Sound Around’s past conduct that led to our earlier enforcement actions is fully consistent with section 504(c) of the Act. </w:t>
      </w:r>
      <w:r>
        <w:t xml:space="preserve"> </w:t>
      </w:r>
      <w:r w:rsidRPr="00FA19D4">
        <w:rPr>
          <w:i/>
          <w:iCs/>
          <w:bdr w:val="none" w:sz="0" w:space="0" w:color="auto" w:frame="1"/>
        </w:rPr>
        <w:t>See Commission's Forfeiture Policy Statement and Amendment of Section 1.80 of the Rules to Incorporate the Forfeiture Guidelines</w:t>
      </w:r>
      <w:r w:rsidRPr="00FA19D4">
        <w:t>, Memorandum Opinion and Order, 15 FCC Rcd 303, 304-</w:t>
      </w:r>
      <w:r>
        <w:t>3</w:t>
      </w:r>
      <w:r w:rsidRPr="00FA19D4">
        <w:t>05, paras. 3-5 (1999).</w:t>
      </w:r>
    </w:p>
  </w:footnote>
  <w:footnote w:id="76">
    <w:p w:rsidR="0032514E" w:rsidRPr="0057242E" w:rsidP="0032514E" w14:paraId="25927D7A" w14:textId="77777777">
      <w:pPr>
        <w:pStyle w:val="FootnoteText"/>
      </w:pPr>
      <w:r w:rsidRPr="00FA19D4">
        <w:rPr>
          <w:rStyle w:val="FootnoteReference"/>
        </w:rPr>
        <w:footnoteRef/>
      </w:r>
      <w:r w:rsidRPr="00FA19D4">
        <w:t xml:space="preserve"> </w:t>
      </w:r>
      <w:r w:rsidRPr="00FA19D4">
        <w:rPr>
          <w:i/>
          <w:iCs/>
        </w:rPr>
        <w:t>Presidential Who’s Who DBA Presidential Who’s Who, Inc.</w:t>
      </w:r>
      <w:r w:rsidRPr="00FA19D4">
        <w:t>, Notice of Apparent Liability for Forfeiture, 26 FCC Rcd 8989, 8994, paras. 12-13 (2011) (</w:t>
      </w:r>
      <w:r>
        <w:t xml:space="preserve">proposing a </w:t>
      </w:r>
      <w:r w:rsidRPr="00FA19D4">
        <w:t>103</w:t>
      </w:r>
      <w:r>
        <w:t xml:space="preserve"> percent</w:t>
      </w:r>
      <w:r w:rsidRPr="00FA19D4">
        <w:t xml:space="preserve"> upward adjustment where </w:t>
      </w:r>
      <w:r>
        <w:t xml:space="preserve">the </w:t>
      </w:r>
      <w:r w:rsidRPr="00FA19D4">
        <w:t xml:space="preserve">company continued violative conduct </w:t>
      </w:r>
      <w:r w:rsidRPr="0057242E">
        <w:t>“deliberately, given its disregard for the Commission’s previous warnings</w:t>
      </w:r>
      <w:r>
        <w:t>”</w:t>
      </w:r>
      <w:r w:rsidRPr="0057242E">
        <w:t xml:space="preserve"> after the company received a citation and notices of apparent liability), Forfeiture Order, 29 FCC Rcd 3451 (2014); </w:t>
      </w:r>
      <w:r w:rsidRPr="0057242E">
        <w:rPr>
          <w:i/>
          <w:iCs/>
        </w:rPr>
        <w:t>Rocky Mountain Radar,</w:t>
      </w:r>
      <w:r w:rsidRPr="0057242E">
        <w:t xml:space="preserve"> Notice of Apparent Liability for Forfeiture, 22 FCC Rcd 1334, 1339, para. 14 (EB 2007) (</w:t>
      </w:r>
      <w:r>
        <w:t xml:space="preserve">proposing an </w:t>
      </w:r>
      <w:r w:rsidRPr="0057242E">
        <w:t xml:space="preserve">upward adjustment where </w:t>
      </w:r>
      <w:r>
        <w:t xml:space="preserve">the </w:t>
      </w:r>
      <w:r w:rsidRPr="0057242E">
        <w:t>company intentionally continued marketing noncompliant devices following a citation and failed challenge of the citation at the Commission and</w:t>
      </w:r>
      <w:r>
        <w:t xml:space="preserve"> the U.S.</w:t>
      </w:r>
      <w:r w:rsidRPr="0057242E">
        <w:t xml:space="preserve"> Court of Appeals</w:t>
      </w:r>
      <w:r>
        <w:t xml:space="preserve"> for the Tenth Circuit</w:t>
      </w:r>
      <w:r w:rsidRPr="0057242E">
        <w:t xml:space="preserve">), Forfeiture Order, 22 FCC Rcd 15174 (EB 2007); </w:t>
      </w:r>
      <w:r w:rsidRPr="0057242E">
        <w:rPr>
          <w:i/>
          <w:iCs/>
        </w:rPr>
        <w:t>Ramko Distributors Inc.</w:t>
      </w:r>
      <w:r w:rsidRPr="0057242E">
        <w:t>, Notice of Apparent Liability for Forfeiture, 22 FCC Rcd 7161, 7169, para. 23 (2007) (</w:t>
      </w:r>
      <w:r>
        <w:t xml:space="preserve">proposing an </w:t>
      </w:r>
      <w:r w:rsidRPr="0057242E">
        <w:t xml:space="preserve">upward adjustment where company intentionally continued marketing noncompliant devices following a citation); </w:t>
      </w:r>
      <w:r w:rsidRPr="0057242E">
        <w:rPr>
          <w:i/>
          <w:iCs/>
        </w:rPr>
        <w:t>Pilot Travel Centers, LLC</w:t>
      </w:r>
      <w:r w:rsidRPr="0057242E">
        <w:t>, Notice of Apparent Liability for Forfeiture, 19 FCC Rcd 23113, 23117, para. 17 (2004) (</w:t>
      </w:r>
      <w:r>
        <w:t xml:space="preserve">proposing an </w:t>
      </w:r>
      <w:r w:rsidRPr="0057242E">
        <w:t>upward adjustment where company intentionally continued marketing noncompliant devices following nine</w:t>
      </w:r>
      <w:r w:rsidRPr="0032514E">
        <w:rPr>
          <w:rFonts w:cs="Calibri"/>
        </w:rPr>
        <w:t xml:space="preserve"> </w:t>
      </w:r>
      <w:r w:rsidRPr="0057242E">
        <w:t>citations and devices had the potential to interfere with authorized devices), Order and Consent Decree, 21 FCC Rcd 5308 (2006).</w:t>
      </w:r>
    </w:p>
  </w:footnote>
  <w:footnote w:id="77">
    <w:p w:rsidR="0032514E" w:rsidP="0032514E" w14:paraId="7FE46A69" w14:textId="77777777">
      <w:pPr>
        <w:pStyle w:val="FootnoteText"/>
      </w:pPr>
      <w:r>
        <w:rPr>
          <w:rStyle w:val="FootnoteReference"/>
        </w:rPr>
        <w:footnoteRef/>
      </w:r>
      <w:r>
        <w:t xml:space="preserve"> </w:t>
      </w:r>
      <w:r w:rsidRPr="00DF713E">
        <w:rPr>
          <w:i/>
          <w:iCs/>
        </w:rPr>
        <w:t>See supra</w:t>
      </w:r>
      <w:r>
        <w:t xml:space="preserve"> para. </w:t>
      </w:r>
      <w:r>
        <w:fldChar w:fldCharType="begin"/>
      </w:r>
      <w:r>
        <w:instrText xml:space="preserve"> REF _Ref147839261 \r \h </w:instrText>
      </w:r>
      <w:r>
        <w:fldChar w:fldCharType="separate"/>
      </w:r>
      <w:r>
        <w:t>9</w:t>
      </w:r>
      <w:r>
        <w:fldChar w:fldCharType="end"/>
      </w:r>
      <w:r>
        <w:t xml:space="preserve">.  </w:t>
      </w:r>
    </w:p>
  </w:footnote>
  <w:footnote w:id="78">
    <w:p w:rsidR="0032514E" w:rsidRPr="000D7CCE" w:rsidP="0032514E" w14:paraId="78D34E14" w14:textId="77777777">
      <w:pPr>
        <w:pStyle w:val="FootnoteText"/>
      </w:pPr>
      <w:r>
        <w:rPr>
          <w:rStyle w:val="FootnoteReference"/>
        </w:rPr>
        <w:footnoteRef/>
      </w:r>
      <w:r>
        <w:t xml:space="preserve"> </w:t>
      </w:r>
      <w:r>
        <w:rPr>
          <w:i/>
          <w:iCs/>
        </w:rPr>
        <w:t>Sound Around 2022 Forfeiture Order</w:t>
      </w:r>
      <w:r>
        <w:t xml:space="preserve">, </w:t>
      </w:r>
      <w:r w:rsidRPr="002B5B62">
        <w:rPr>
          <w:i/>
          <w:iCs/>
        </w:rPr>
        <w:t>supra</w:t>
      </w:r>
      <w:r>
        <w:t xml:space="preserve"> note </w:t>
      </w:r>
      <w:r>
        <w:fldChar w:fldCharType="begin"/>
      </w:r>
      <w:r>
        <w:instrText xml:space="preserve"> NOTEREF _Ref149641359 \h </w:instrText>
      </w:r>
      <w:r>
        <w:fldChar w:fldCharType="separate"/>
      </w:r>
      <w:r>
        <w:t>1</w:t>
      </w:r>
      <w:r>
        <w:fldChar w:fldCharType="end"/>
      </w:r>
      <w:r>
        <w:t>,</w:t>
      </w:r>
      <w:r w:rsidRPr="005A6C2C">
        <w:t xml:space="preserve"> </w:t>
      </w:r>
      <w:r>
        <w:t>at 9911, para. 12.</w:t>
      </w:r>
    </w:p>
  </w:footnote>
  <w:footnote w:id="79">
    <w:p w:rsidR="0032514E" w:rsidP="0032514E" w14:paraId="5D6752EB" w14:textId="77777777">
      <w:pPr>
        <w:pStyle w:val="FootnoteText"/>
      </w:pPr>
      <w:r>
        <w:rPr>
          <w:rStyle w:val="FootnoteReference"/>
        </w:rPr>
        <w:footnoteRef/>
      </w:r>
      <w:r>
        <w:t xml:space="preserve"> </w:t>
      </w:r>
      <w:r w:rsidRPr="00DF713E">
        <w:rPr>
          <w:i/>
          <w:iCs/>
        </w:rPr>
        <w:t>See supra</w:t>
      </w:r>
      <w:r>
        <w:t xml:space="preserve"> para. </w:t>
      </w:r>
      <w:r>
        <w:fldChar w:fldCharType="begin"/>
      </w:r>
      <w:r>
        <w:instrText xml:space="preserve"> REF _Ref147839268 \r \h </w:instrText>
      </w:r>
      <w:r>
        <w:fldChar w:fldCharType="separate"/>
      </w:r>
      <w:r>
        <w:t>11</w:t>
      </w:r>
      <w:r>
        <w:fldChar w:fldCharType="end"/>
      </w:r>
      <w:r>
        <w:t xml:space="preserve">.  </w:t>
      </w:r>
    </w:p>
  </w:footnote>
  <w:footnote w:id="80">
    <w:p w:rsidR="0032514E" w:rsidRPr="0057242E" w:rsidP="0032514E" w14:paraId="5FE4F2BC" w14:textId="77777777">
      <w:pPr>
        <w:pStyle w:val="FootnoteText"/>
      </w:pPr>
      <w:r w:rsidRPr="0057242E">
        <w:rPr>
          <w:rStyle w:val="FootnoteReference"/>
        </w:rPr>
        <w:footnoteRef/>
      </w:r>
      <w:r w:rsidRPr="0057242E">
        <w:t xml:space="preserve"> </w:t>
      </w:r>
      <w:r w:rsidRPr="0057242E">
        <w:rPr>
          <w:i/>
          <w:iCs/>
        </w:rPr>
        <w:t>Cunningham Broadcasting Corporation</w:t>
      </w:r>
      <w:r w:rsidRPr="0057242E">
        <w:t xml:space="preserve">, </w:t>
      </w:r>
      <w:r>
        <w:t xml:space="preserve">Notice of Apparent Liability for Forfeiture, </w:t>
      </w:r>
      <w:r w:rsidRPr="0057242E">
        <w:t>2022 WL 4445690, FCC 22-70, para. 17 (2022) (</w:t>
      </w:r>
      <w:r>
        <w:t xml:space="preserve">explaining that the </w:t>
      </w:r>
      <w:r w:rsidRPr="0057242E">
        <w:t xml:space="preserve">Commission’s proposed forfeitures were warranted due to, </w:t>
      </w:r>
      <w:r w:rsidRPr="0057242E">
        <w:rPr>
          <w:i/>
          <w:iCs/>
        </w:rPr>
        <w:t>inter alia</w:t>
      </w:r>
      <w:r w:rsidRPr="0057242E">
        <w:t>, licensee’s “lengthy history of prior offenses for similar violations”)</w:t>
      </w:r>
      <w:r>
        <w:t>;</w:t>
      </w:r>
      <w:r w:rsidRPr="0057242E">
        <w:t xml:space="preserve"> </w:t>
      </w:r>
      <w:r w:rsidRPr="0057242E">
        <w:rPr>
          <w:i/>
          <w:iCs/>
        </w:rPr>
        <w:t>Patrick Keane a/k/a The Street Map Co.</w:t>
      </w:r>
      <w:r w:rsidRPr="0057242E">
        <w:t xml:space="preserve">, </w:t>
      </w:r>
      <w:r>
        <w:t xml:space="preserve">Notice of Apparent Liability for Forfeiture, </w:t>
      </w:r>
      <w:r w:rsidRPr="0057242E">
        <w:t>27 FCC Rcd 13757, 13762, para. 13 (2012) (</w:t>
      </w:r>
      <w:r>
        <w:t>providing a</w:t>
      </w:r>
      <w:r w:rsidRPr="0057242E">
        <w:t xml:space="preserve"> proposed maximum penalty for target’s “egregious,” “intentional,” and “repeated,” violations, as well as “history of prior offenses”); </w:t>
      </w:r>
      <w:r w:rsidRPr="0057242E">
        <w:rPr>
          <w:i/>
          <w:iCs/>
        </w:rPr>
        <w:t>Union Broadcasting, Inc.</w:t>
      </w:r>
      <w:r w:rsidRPr="0057242E">
        <w:t xml:space="preserve">, </w:t>
      </w:r>
      <w:r>
        <w:t xml:space="preserve">Forfeiture Order, </w:t>
      </w:r>
      <w:r w:rsidRPr="0057242E">
        <w:t>19 FCC Rcd 18588, 18590, para. 10 (</w:t>
      </w:r>
      <w:r>
        <w:t xml:space="preserve">EB </w:t>
      </w:r>
      <w:r w:rsidRPr="0057242E">
        <w:t>2004) (</w:t>
      </w:r>
      <w:r>
        <w:t xml:space="preserve">explaining that </w:t>
      </w:r>
      <w:r w:rsidRPr="0057242E">
        <w:t xml:space="preserve">prior rule violations warranted an upward adjustment). </w:t>
      </w:r>
    </w:p>
  </w:footnote>
  <w:footnote w:id="81">
    <w:p w:rsidR="0032514E" w:rsidRPr="0057242E" w:rsidP="0032514E" w14:paraId="6D410FAE" w14:textId="77777777">
      <w:pPr>
        <w:pStyle w:val="FootnoteText"/>
      </w:pPr>
      <w:r w:rsidRPr="0057242E">
        <w:rPr>
          <w:rStyle w:val="FootnoteReference"/>
        </w:rPr>
        <w:footnoteRef/>
      </w:r>
      <w:r w:rsidRPr="0057242E">
        <w:t xml:space="preserve"> </w:t>
      </w:r>
      <w:r w:rsidRPr="0057242E">
        <w:rPr>
          <w:i/>
          <w:iCs/>
        </w:rPr>
        <w:t>Marketing Citation</w:t>
      </w:r>
      <w:r>
        <w:t>,</w:t>
      </w:r>
      <w:r w:rsidRPr="0057242E">
        <w:t xml:space="preserve"> </w:t>
      </w:r>
      <w:r>
        <w:rPr>
          <w:i/>
          <w:iCs/>
        </w:rPr>
        <w:t xml:space="preserve">supra </w:t>
      </w:r>
      <w:r>
        <w:t xml:space="preserve">note </w:t>
      </w:r>
      <w:r>
        <w:fldChar w:fldCharType="begin"/>
      </w:r>
      <w:r>
        <w:instrText xml:space="preserve"> NOTEREF _Ref148689076 \h </w:instrText>
      </w:r>
      <w:r>
        <w:fldChar w:fldCharType="separate"/>
      </w:r>
      <w:r>
        <w:t>21</w:t>
      </w:r>
      <w:r>
        <w:fldChar w:fldCharType="end"/>
      </w:r>
      <w:r>
        <w:t>, at</w:t>
      </w:r>
      <w:r w:rsidRPr="0057242E">
        <w:t xml:space="preserve"> 947</w:t>
      </w:r>
      <w:r>
        <w:t>5</w:t>
      </w:r>
      <w:r w:rsidRPr="0057242E">
        <w:t xml:space="preserve">, para. </w:t>
      </w:r>
      <w:r>
        <w:t>4, nn.6-9 (in its LOI response, Sound Around admitted to importing and marketing four models of wireless microphones that operate on restricted frequency bands and are therefore noncompliant).</w:t>
      </w:r>
      <w:r w:rsidRPr="0057242E">
        <w:t xml:space="preserve">  </w:t>
      </w:r>
    </w:p>
  </w:footnote>
  <w:footnote w:id="82">
    <w:p w:rsidR="0032514E" w:rsidRPr="001E2D48" w:rsidP="0032514E" w14:paraId="740369F0" w14:textId="77777777">
      <w:pPr>
        <w:pStyle w:val="FootnoteText"/>
      </w:pPr>
      <w:r w:rsidRPr="0057242E">
        <w:rPr>
          <w:rStyle w:val="FootnoteReference"/>
        </w:rPr>
        <w:footnoteRef/>
      </w:r>
      <w:r w:rsidRPr="0057242E">
        <w:t xml:space="preserve"> </w:t>
      </w:r>
      <w:r>
        <w:rPr>
          <w:i/>
          <w:iCs/>
        </w:rPr>
        <w:t>See</w:t>
      </w:r>
      <w:r w:rsidRPr="0057242E">
        <w:t xml:space="preserve"> </w:t>
      </w:r>
      <w:bookmarkStart w:id="170" w:name="_Hlk149151365"/>
      <w:r>
        <w:rPr>
          <w:i/>
          <w:iCs/>
        </w:rPr>
        <w:t xml:space="preserve">Sound Around 2020 </w:t>
      </w:r>
      <w:r w:rsidRPr="002529A5">
        <w:rPr>
          <w:i/>
          <w:iCs/>
        </w:rPr>
        <w:t>NAL</w:t>
      </w:r>
      <w:bookmarkEnd w:id="170"/>
      <w:r>
        <w:rPr>
          <w:i/>
          <w:iCs/>
        </w:rPr>
        <w:t xml:space="preserve">, supra </w:t>
      </w:r>
      <w:r>
        <w:t xml:space="preserve">note </w:t>
      </w:r>
      <w:r>
        <w:fldChar w:fldCharType="begin"/>
      </w:r>
      <w:r>
        <w:instrText xml:space="preserve"> NOTEREF _Ref149641359 \h </w:instrText>
      </w:r>
      <w:r>
        <w:fldChar w:fldCharType="separate"/>
      </w:r>
      <w:r>
        <w:t>1</w:t>
      </w:r>
      <w:r>
        <w:fldChar w:fldCharType="end"/>
      </w:r>
      <w:r>
        <w:t xml:space="preserve">, </w:t>
      </w:r>
      <w:r>
        <w:rPr>
          <w:rStyle w:val="item-value"/>
        </w:rPr>
        <w:t xml:space="preserve">at </w:t>
      </w:r>
      <w:r w:rsidRPr="007A04BF">
        <w:rPr>
          <w:rStyle w:val="item-value"/>
        </w:rPr>
        <w:t>34</w:t>
      </w:r>
      <w:r>
        <w:rPr>
          <w:rStyle w:val="item-value"/>
        </w:rPr>
        <w:t>84,</w:t>
      </w:r>
      <w:r w:rsidRPr="0057242E">
        <w:t xml:space="preserve"> para. 17</w:t>
      </w:r>
      <w:r>
        <w:t xml:space="preserve">.  Also, Sound Around provided documentation showing that it marketed 32 models of wireless microphones that were either operating on unauthorized frequencies or were not certified.  </w:t>
      </w:r>
      <w:r>
        <w:rPr>
          <w:i/>
          <w:iCs/>
        </w:rPr>
        <w:t>S</w:t>
      </w:r>
      <w:r w:rsidRPr="00EC1403">
        <w:rPr>
          <w:i/>
          <w:iCs/>
        </w:rPr>
        <w:t>ee</w:t>
      </w:r>
      <w:r>
        <w:rPr>
          <w:i/>
          <w:iCs/>
        </w:rPr>
        <w:t xml:space="preserve"> id.</w:t>
      </w:r>
      <w:r>
        <w:t xml:space="preserve"> at  3481-82, paras. 10-11, nn.30-31, 33.  Moreover, statements provided by Sound Around in its LOI responses in our earlier investigation, as well as evidence obtained by the Commission (screenshots), showed that the Company was marketing noncompliant wireless microphones during the inquiry period.  </w:t>
      </w:r>
      <w:r>
        <w:rPr>
          <w:i/>
          <w:iCs/>
        </w:rPr>
        <w:t xml:space="preserve">See Sound Around 2022 </w:t>
      </w:r>
      <w:r w:rsidRPr="002529A5">
        <w:rPr>
          <w:i/>
          <w:iCs/>
        </w:rPr>
        <w:t>Forfeiture Order</w:t>
      </w:r>
      <w:r>
        <w:t xml:space="preserve">, </w:t>
      </w:r>
      <w:r>
        <w:rPr>
          <w:i/>
          <w:iCs/>
        </w:rPr>
        <w:t xml:space="preserve">supra </w:t>
      </w:r>
      <w:r>
        <w:t xml:space="preserve">note </w:t>
      </w:r>
      <w:r>
        <w:fldChar w:fldCharType="begin"/>
      </w:r>
      <w:r>
        <w:instrText xml:space="preserve"> NOTEREF _Ref149641359 \h </w:instrText>
      </w:r>
      <w:r>
        <w:fldChar w:fldCharType="separate"/>
      </w:r>
      <w:r>
        <w:t>1</w:t>
      </w:r>
      <w:r>
        <w:fldChar w:fldCharType="end"/>
      </w:r>
      <w:r>
        <w:t xml:space="preserve">, </w:t>
      </w:r>
      <w:r>
        <w:rPr>
          <w:szCs w:val="22"/>
        </w:rPr>
        <w:t>at 9914,</w:t>
      </w:r>
      <w:r>
        <w:t xml:space="preserve"> para. 17.</w:t>
      </w:r>
    </w:p>
  </w:footnote>
  <w:footnote w:id="83">
    <w:p w:rsidR="0032514E" w:rsidP="0032514E" w14:paraId="42041366" w14:textId="77777777">
      <w:pPr>
        <w:pStyle w:val="FootnoteText"/>
      </w:pPr>
      <w:r>
        <w:rPr>
          <w:rStyle w:val="FootnoteReference"/>
        </w:rPr>
        <w:footnoteRef/>
      </w:r>
      <w:r>
        <w:t xml:space="preserve"> </w:t>
      </w:r>
      <w:r>
        <w:rPr>
          <w:i/>
          <w:iCs/>
        </w:rPr>
        <w:t xml:space="preserve">Sound Around 2022 </w:t>
      </w:r>
      <w:r w:rsidRPr="002529A5">
        <w:rPr>
          <w:i/>
          <w:iCs/>
        </w:rPr>
        <w:t>Forfeiture Order</w:t>
      </w:r>
      <w:r>
        <w:rPr>
          <w:szCs w:val="22"/>
        </w:rPr>
        <w:t xml:space="preserve">, </w:t>
      </w:r>
      <w:r>
        <w:rPr>
          <w:i/>
          <w:iCs/>
          <w:szCs w:val="22"/>
        </w:rPr>
        <w:t xml:space="preserve">supra </w:t>
      </w:r>
      <w:r>
        <w:rPr>
          <w:szCs w:val="22"/>
        </w:rPr>
        <w:t xml:space="preserve">note </w:t>
      </w:r>
      <w:r>
        <w:rPr>
          <w:szCs w:val="22"/>
        </w:rPr>
        <w:fldChar w:fldCharType="begin"/>
      </w:r>
      <w:r>
        <w:rPr>
          <w:szCs w:val="22"/>
        </w:rPr>
        <w:instrText xml:space="preserve"> NOTEREF _Ref149641359 \h </w:instrText>
      </w:r>
      <w:r>
        <w:rPr>
          <w:szCs w:val="22"/>
        </w:rPr>
        <w:fldChar w:fldCharType="separate"/>
      </w:r>
      <w:r>
        <w:rPr>
          <w:szCs w:val="22"/>
        </w:rPr>
        <w:t>1</w:t>
      </w:r>
      <w:r>
        <w:rPr>
          <w:szCs w:val="22"/>
        </w:rPr>
        <w:fldChar w:fldCharType="end"/>
      </w:r>
      <w:r>
        <w:rPr>
          <w:szCs w:val="22"/>
        </w:rPr>
        <w:t>, at 9924,</w:t>
      </w:r>
      <w:r>
        <w:t xml:space="preserve"> para. 40.  </w:t>
      </w:r>
    </w:p>
  </w:footnote>
  <w:footnote w:id="84">
    <w:p w:rsidR="0032514E" w:rsidP="0032514E" w14:paraId="31690998" w14:textId="77777777">
      <w:pPr>
        <w:pStyle w:val="FootnoteText"/>
      </w:pPr>
      <w:r>
        <w:rPr>
          <w:rStyle w:val="FootnoteReference"/>
        </w:rPr>
        <w:footnoteRef/>
      </w:r>
      <w:r>
        <w:t xml:space="preserve"> </w:t>
      </w:r>
      <w:r w:rsidRPr="00B1763B">
        <w:rPr>
          <w:i/>
          <w:iCs/>
        </w:rPr>
        <w:t>ABC Fulfillment Servs. LLC d/b/a Hobbyking U</w:t>
      </w:r>
      <w:r>
        <w:rPr>
          <w:i/>
          <w:iCs/>
        </w:rPr>
        <w:t>SA</w:t>
      </w:r>
      <w:r w:rsidRPr="00B1763B">
        <w:rPr>
          <w:i/>
          <w:iCs/>
        </w:rPr>
        <w:t xml:space="preserve"> LLC &amp; Hobbyking.com; &amp; Indubitably, Inc. d/b/a Hobbyking Corp., Hobbyking U</w:t>
      </w:r>
      <w:r>
        <w:rPr>
          <w:i/>
          <w:iCs/>
        </w:rPr>
        <w:t>SA</w:t>
      </w:r>
      <w:r w:rsidRPr="00B1763B">
        <w:rPr>
          <w:i/>
          <w:iCs/>
        </w:rPr>
        <w:t xml:space="preserve"> LLC, Hobbyking, &amp; Hobbyking.com</w:t>
      </w:r>
      <w:r>
        <w:t>, Notice of Apparent Liability for Forfeiture, 33 FCC Rcd 5530, 5540–41, para. 22 (2018), affirmed, Forfeiture Order</w:t>
      </w:r>
      <w:r w:rsidRPr="009C4EE7">
        <w:t>, 3</w:t>
      </w:r>
      <w:r>
        <w:t>5</w:t>
      </w:r>
      <w:r w:rsidRPr="009C4EE7">
        <w:t xml:space="preserve"> FCC Rcd </w:t>
      </w:r>
      <w:r>
        <w:t>7441, 7442, para. 5</w:t>
      </w:r>
      <w:r w:rsidRPr="009C4EE7">
        <w:t xml:space="preserve"> (20</w:t>
      </w:r>
      <w:r>
        <w:t>20</w:t>
      </w:r>
      <w:r w:rsidRPr="009C4EE7">
        <w:t>)</w:t>
      </w:r>
      <w:r>
        <w:t xml:space="preserve"> (upward adjustment for repeated and continuous marketing of noncompliant devices for several years).  </w:t>
      </w:r>
      <w:r>
        <w:rPr>
          <w:snapToGrid w:val="0"/>
          <w:color w:val="000000"/>
        </w:rPr>
        <w:t xml:space="preserve">Some apparent violations are not actionable due to the expiration of the statute of limitations period, however, the Commission may consider facts arising before the expiration date in determining an appropriate forfeiture amount for acts that occurred inside of the statute of limitations period.  </w:t>
      </w:r>
      <w:r>
        <w:rPr>
          <w:i/>
          <w:iCs/>
          <w:snapToGrid w:val="0"/>
          <w:color w:val="000000"/>
        </w:rPr>
        <w:t>See Enserch Corp.</w:t>
      </w:r>
      <w:r>
        <w:rPr>
          <w:snapToGrid w:val="0"/>
          <w:color w:val="000000"/>
        </w:rPr>
        <w:t>, Forfeiture Order, 15 FCC Rcd 13551, 13554, para. 11 (2000).</w:t>
      </w:r>
    </w:p>
  </w:footnote>
  <w:footnote w:id="85">
    <w:p w:rsidR="0032514E" w:rsidRPr="0057242E" w:rsidP="0032514E" w14:paraId="25A1E862" w14:textId="77777777">
      <w:pPr>
        <w:pStyle w:val="FootnoteText"/>
      </w:pPr>
      <w:r w:rsidRPr="0057242E">
        <w:rPr>
          <w:rStyle w:val="FootnoteReference"/>
        </w:rPr>
        <w:footnoteRef/>
      </w:r>
      <w:r w:rsidRPr="0057242E">
        <w:t xml:space="preserve"> </w:t>
      </w:r>
      <w:r>
        <w:t xml:space="preserve">LOI </w:t>
      </w:r>
      <w:r w:rsidRPr="0057242E">
        <w:t xml:space="preserve">Response, </w:t>
      </w:r>
      <w:r>
        <w:rPr>
          <w:i/>
          <w:iCs/>
        </w:rPr>
        <w:t xml:space="preserve">supra </w:t>
      </w:r>
      <w:r>
        <w:t xml:space="preserve">note </w:t>
      </w:r>
      <w:r>
        <w:fldChar w:fldCharType="begin"/>
      </w:r>
      <w:r>
        <w:instrText xml:space="preserve"> NOTEREF _Ref147914510 \h </w:instrText>
      </w:r>
      <w:r>
        <w:fldChar w:fldCharType="separate"/>
      </w:r>
      <w:r>
        <w:t>20</w:t>
      </w:r>
      <w:r>
        <w:fldChar w:fldCharType="end"/>
      </w:r>
      <w:r>
        <w:t xml:space="preserve">, at </w:t>
      </w:r>
      <w:r w:rsidRPr="0057242E">
        <w:t>Attachments</w:t>
      </w:r>
      <w:r>
        <w:t>,</w:t>
      </w:r>
      <w:r w:rsidRPr="0057242E">
        <w:t xml:space="preserve"> Bates Nos. 000041 to 000051; Bates Nos. 000052 to 000064 (2021 tax returns)</w:t>
      </w:r>
      <w:r>
        <w:t xml:space="preserve">; Deficiency Letter Response, </w:t>
      </w:r>
      <w:r>
        <w:rPr>
          <w:i/>
          <w:iCs/>
        </w:rPr>
        <w:t xml:space="preserve">supra </w:t>
      </w:r>
      <w:r>
        <w:t xml:space="preserve">note </w:t>
      </w:r>
      <w:r>
        <w:fldChar w:fldCharType="begin"/>
      </w:r>
      <w:r>
        <w:instrText xml:space="preserve"> NOTEREF _Ref143266894 \h </w:instrText>
      </w:r>
      <w:r>
        <w:fldChar w:fldCharType="separate"/>
      </w:r>
      <w:r>
        <w:t>39</w:t>
      </w:r>
      <w:r>
        <w:fldChar w:fldCharType="end"/>
      </w:r>
      <w:r>
        <w:t xml:space="preserve">, at </w:t>
      </w:r>
      <w:r w:rsidRPr="0057242E">
        <w:t>Attachments</w:t>
      </w:r>
      <w:r>
        <w:t>,</w:t>
      </w:r>
      <w:r w:rsidRPr="0057242E">
        <w:t xml:space="preserve"> </w:t>
      </w:r>
      <w:r>
        <w:t xml:space="preserve">2022 Financial Statements.  </w:t>
      </w:r>
    </w:p>
  </w:footnote>
  <w:footnote w:id="86">
    <w:p w:rsidR="0032514E" w:rsidRPr="0057242E" w:rsidP="0032514E" w14:paraId="4F5CBB1D" w14:textId="77777777">
      <w:pPr>
        <w:pStyle w:val="FootnoteText"/>
      </w:pPr>
      <w:r w:rsidRPr="0057242E">
        <w:rPr>
          <w:rStyle w:val="FootnoteReference"/>
        </w:rPr>
        <w:footnoteRef/>
      </w:r>
      <w:r w:rsidRPr="0057242E">
        <w:t xml:space="preserve"> </w:t>
      </w:r>
      <w:r w:rsidRPr="0057242E">
        <w:rPr>
          <w:i/>
          <w:iCs/>
        </w:rPr>
        <w:t>See, e.g.</w:t>
      </w:r>
      <w:r w:rsidRPr="00C804E9">
        <w:t>,</w:t>
      </w:r>
      <w:r w:rsidRPr="0057242E">
        <w:rPr>
          <w:i/>
          <w:iCs/>
        </w:rPr>
        <w:t xml:space="preserve"> Viacom, Inc.</w:t>
      </w:r>
      <w:r w:rsidRPr="0057242E">
        <w:t xml:space="preserve">, Forfeiture Order, 30 FCC Rcd 797, para. 22 (2015) (noting that an upward adjustment is appropriate in light of Viacom’s reported annual revenues and the revenues of ESPN’s parent); </w:t>
      </w:r>
      <w:r w:rsidRPr="0057242E">
        <w:rPr>
          <w:i/>
          <w:iCs/>
        </w:rPr>
        <w:t>SBC Communications Inc.</w:t>
      </w:r>
      <w:r w:rsidRPr="0057242E">
        <w:t xml:space="preserve">, Order on Review, 17 FCC Rcd 4043, 4052, para. 20 (2002) (“[A] large and highly profitable company . . . should expect . . . that the forfeiture amount” may “be above, or even well above, the relevant base amount.”); </w:t>
      </w:r>
      <w:r w:rsidRPr="0057242E">
        <w:rPr>
          <w:i/>
          <w:iCs/>
        </w:rPr>
        <w:t>Acuity Brands, Inc.</w:t>
      </w:r>
      <w:r w:rsidRPr="0057242E">
        <w:t xml:space="preserve">, </w:t>
      </w:r>
      <w:r>
        <w:t xml:space="preserve">Notice of Apparent Liability for Forfeiture, </w:t>
      </w:r>
      <w:r w:rsidRPr="0057242E">
        <w:t>32 FCC Rcd 9524, 9527, para. 10 (EB 2017) (</w:t>
      </w:r>
      <w:r>
        <w:t xml:space="preserve">imposing an </w:t>
      </w:r>
      <w:r w:rsidRPr="0057242E">
        <w:t xml:space="preserve">upward adjustment where </w:t>
      </w:r>
      <w:r>
        <w:t>c</w:t>
      </w:r>
      <w:r w:rsidRPr="0057242E">
        <w:t>ompany’s net sales and gross profits were approximately $3.2 billion and $1.4 billion, respectively).</w:t>
      </w:r>
    </w:p>
  </w:footnote>
  <w:footnote w:id="87">
    <w:p w:rsidR="0032514E" w:rsidP="0032514E" w14:paraId="33831443" w14:textId="77777777">
      <w:pPr>
        <w:pStyle w:val="FootnoteText"/>
      </w:pPr>
      <w:r>
        <w:rPr>
          <w:rStyle w:val="FootnoteReference"/>
        </w:rPr>
        <w:footnoteRef/>
      </w:r>
      <w:r>
        <w:t xml:space="preserve"> The four upward adjustment factors result in a $28,000 upward adjustment to the $7,000 base forfeiture, or $35,000 per apparent violation.  </w:t>
      </w:r>
      <w:r w:rsidRPr="002C53DD">
        <w:t>The amount of any forfeiture penalty for any continuing violation shall not exceed a total of $177,951 for any single act or failure to act.  47 U.S.C. § 503(b)(2)(D); 47 CFR § 1.80(b)(10).  Equipment marketing violations are considered continuing violations when noncompliant marketing occurs over multiple days.</w:t>
      </w:r>
      <w:r>
        <w:t xml:space="preserve">  </w:t>
      </w:r>
      <w:r>
        <w:rPr>
          <w:i/>
          <w:iCs/>
        </w:rPr>
        <w:t>See e.g.</w:t>
      </w:r>
      <w:r>
        <w:t xml:space="preserve">, </w:t>
      </w:r>
      <w:r>
        <w:rPr>
          <w:i/>
          <w:iCs/>
        </w:rPr>
        <w:t xml:space="preserve">Sound Around 2020 </w:t>
      </w:r>
      <w:r w:rsidRPr="00F75701">
        <w:rPr>
          <w:i/>
          <w:iCs/>
        </w:rPr>
        <w:t>NAL</w:t>
      </w:r>
      <w:r>
        <w:t xml:space="preserve">, </w:t>
      </w:r>
      <w:r>
        <w:rPr>
          <w:i/>
          <w:iCs/>
        </w:rPr>
        <w:t xml:space="preserve">supra </w:t>
      </w:r>
      <w:r>
        <w:t xml:space="preserve">note </w:t>
      </w:r>
      <w:r>
        <w:fldChar w:fldCharType="begin"/>
      </w:r>
      <w:r>
        <w:instrText xml:space="preserve"> NOTEREF _Ref149641359 \h </w:instrText>
      </w:r>
      <w:r>
        <w:fldChar w:fldCharType="separate"/>
      </w:r>
      <w:r>
        <w:t>1</w:t>
      </w:r>
      <w:r>
        <w:fldChar w:fldCharType="end"/>
      </w:r>
      <w:r>
        <w:t>,</w:t>
      </w:r>
      <w:r>
        <w:rPr>
          <w:rStyle w:val="item-value"/>
        </w:rPr>
        <w:t xml:space="preserve"> at </w:t>
      </w:r>
      <w:r>
        <w:t xml:space="preserve">para. 23.  </w:t>
      </w:r>
      <w:r w:rsidRPr="002C53DD">
        <w:t>Here, the company admits to marketing the noncompliant models for multiple days</w:t>
      </w:r>
      <w:r>
        <w:t>, as shown in the Appendix where marketing began days or even months prior to the authorization</w:t>
      </w:r>
      <w:r w:rsidRPr="002C53DD">
        <w:t xml:space="preserve">, therefore we have some discretion and can </w:t>
      </w:r>
      <w:r>
        <w:t xml:space="preserve">propose to </w:t>
      </w:r>
      <w:r w:rsidRPr="002C53DD">
        <w:t>assess a forfeiture for an amount that does not exceed the continuing statutory maximum of $177,951</w:t>
      </w:r>
      <w:r w:rsidRPr="002C53DD">
        <w:rPr>
          <w:bCs/>
        </w:rPr>
        <w:t>.</w:t>
      </w:r>
      <w:r>
        <w:rPr>
          <w:bCs/>
        </w:rPr>
        <w:t xml:space="preserve">  </w:t>
      </w:r>
      <w:r w:rsidRPr="00C21E12">
        <w:rPr>
          <w:i/>
        </w:rPr>
        <w:t>See</w:t>
      </w:r>
      <w:r w:rsidRPr="00C21E12">
        <w:t xml:space="preserve"> 47 </w:t>
      </w:r>
      <w:r>
        <w:t>CFR</w:t>
      </w:r>
      <w:r w:rsidRPr="00C21E12">
        <w:t xml:space="preserve"> §1.80(b)(8), note; </w:t>
      </w:r>
      <w:r w:rsidRPr="00C21E12">
        <w:rPr>
          <w:i/>
        </w:rPr>
        <w:t>T-Mobile U</w:t>
      </w:r>
      <w:r>
        <w:rPr>
          <w:i/>
        </w:rPr>
        <w:t>SA</w:t>
      </w:r>
      <w:r w:rsidRPr="00C21E12">
        <w:rPr>
          <w:i/>
        </w:rPr>
        <w:t>, Inc., A Subsidiary of T-Mobile U</w:t>
      </w:r>
      <w:r>
        <w:rPr>
          <w:i/>
        </w:rPr>
        <w:t>S</w:t>
      </w:r>
      <w:r w:rsidRPr="00C21E12">
        <w:rPr>
          <w:i/>
        </w:rPr>
        <w:t>, Inc.</w:t>
      </w:r>
      <w:r w:rsidRPr="00C21E12">
        <w:t>, Forfeiture Order, 29 FCC Rcd 10752</w:t>
      </w:r>
      <w:r>
        <w:t>, 10757-58, para. 14</w:t>
      </w:r>
      <w:r w:rsidRPr="00C21E12">
        <w:t xml:space="preserve"> (2014) (“</w:t>
      </w:r>
      <w:r>
        <w:t>[T]</w:t>
      </w:r>
      <w:r w:rsidRPr="00C21E12">
        <w:t>he agency—on both the Commission and Bureau levels— has repeatedly stated that it retains the discretion to depart from existing guidelines and issue forfeitures on a case-by-case basis, pursuant to its general forfeiture authority contained in Section 503 of the Act”).</w:t>
      </w:r>
    </w:p>
  </w:footnote>
  <w:footnote w:id="88">
    <w:p w:rsidR="0032514E" w:rsidRPr="002144BA" w:rsidP="0032514E" w14:paraId="46AD282E" w14:textId="77777777">
      <w:pPr>
        <w:pStyle w:val="FootnoteText"/>
        <w:rPr>
          <w:color w:val="000000"/>
        </w:rPr>
      </w:pPr>
      <w:r w:rsidRPr="002144BA">
        <w:rPr>
          <w:rStyle w:val="FootnoteReference"/>
          <w:color w:val="000000"/>
        </w:rPr>
        <w:footnoteRef/>
      </w:r>
      <w:r w:rsidRPr="002144BA">
        <w:rPr>
          <w:color w:val="000000"/>
        </w:rPr>
        <w:t xml:space="preserve"> </w:t>
      </w:r>
      <w:r w:rsidRPr="00654E44">
        <w:rPr>
          <w:color w:val="000000"/>
        </w:rPr>
        <w:t xml:space="preserve">47 CFR § 1.80(b)(11), Table </w:t>
      </w:r>
      <w:r>
        <w:rPr>
          <w:color w:val="000000"/>
        </w:rPr>
        <w:t>1</w:t>
      </w:r>
      <w:r w:rsidRPr="002144BA">
        <w:rPr>
          <w:color w:val="000000"/>
        </w:rPr>
        <w:t>.</w:t>
      </w:r>
    </w:p>
  </w:footnote>
  <w:footnote w:id="89">
    <w:p w:rsidR="0032514E" w:rsidP="0032514E" w14:paraId="7BEB3E61" w14:textId="77777777">
      <w:pPr>
        <w:pStyle w:val="FootnoteText"/>
      </w:pPr>
      <w:r>
        <w:rPr>
          <w:rStyle w:val="FootnoteReference"/>
        </w:rPr>
        <w:footnoteRef/>
      </w:r>
      <w:r>
        <w:t xml:space="preserve"> </w:t>
      </w:r>
      <w:r>
        <w:rPr>
          <w:i/>
        </w:rPr>
        <w:t xml:space="preserve">See </w:t>
      </w:r>
      <w:r w:rsidRPr="00364213">
        <w:rPr>
          <w:i/>
        </w:rPr>
        <w:t>Fox Television Stations, Inc.</w:t>
      </w:r>
      <w:r w:rsidRPr="00364213">
        <w:t>, Notice of Apparent Liability for Forfeiture, 25 FCC Rcd 7074, 7081, para. 1</w:t>
      </w:r>
      <w:r>
        <w:t>5</w:t>
      </w:r>
      <w:r w:rsidRPr="00364213">
        <w:t xml:space="preserve"> (</w:t>
      </w:r>
      <w:r>
        <w:t xml:space="preserve">EB </w:t>
      </w:r>
      <w:r w:rsidRPr="00364213">
        <w:t>2010)</w:t>
      </w:r>
      <w:r>
        <w:t xml:space="preserve"> (</w:t>
      </w:r>
      <w:r w:rsidRPr="00784CCB">
        <w:rPr>
          <w:i/>
          <w:iCs/>
        </w:rPr>
        <w:t>Fox</w:t>
      </w:r>
      <w:r>
        <w:t>) (“</w:t>
      </w:r>
      <w:r w:rsidRPr="00611B74">
        <w:t>Misconduct of this type exhibits contempt for the Commission</w:t>
      </w:r>
      <w:r>
        <w:t>’</w:t>
      </w:r>
      <w:r w:rsidRPr="00611B74">
        <w:t>s authority and threatens to compromise the Commission</w:t>
      </w:r>
      <w:r>
        <w:t>’</w:t>
      </w:r>
      <w:r w:rsidRPr="00611B74">
        <w:t>s ability to adequately investigate violations of its rules.</w:t>
      </w:r>
      <w:r>
        <w:t xml:space="preserve">”); </w:t>
      </w:r>
      <w:r>
        <w:rPr>
          <w:i/>
          <w:iCs/>
        </w:rPr>
        <w:t>see also</w:t>
      </w:r>
      <w:r>
        <w:t xml:space="preserve"> </w:t>
      </w:r>
      <w:r w:rsidRPr="003A6D56">
        <w:rPr>
          <w:i/>
          <w:iCs/>
        </w:rPr>
        <w:t>Quadrant Holdings, LLC</w:t>
      </w:r>
      <w:r w:rsidRPr="00CC7FB2">
        <w:t>, Notice of Apparent Liability for Forfeiture, DA 22-825, 2022 WL 3339390, *5, paras. 16-17 (EB Aug. 5, 2022) (</w:t>
      </w:r>
      <w:r>
        <w:t xml:space="preserve">proposing a $100,000 forfeiture because </w:t>
      </w:r>
      <w:r w:rsidRPr="00CC7FB2">
        <w:t>“</w:t>
      </w:r>
      <w:r>
        <w:t>[t]</w:t>
      </w:r>
      <w:r w:rsidRPr="00CC7FB2">
        <w:t>he egregiousness and intentional nature of [the] misconduct, as well as [the company</w:t>
      </w:r>
      <w:r>
        <w:t>’</w:t>
      </w:r>
      <w:r w:rsidRPr="00CC7FB2">
        <w:t>s] ability to pay, considered in conjunction with the deterrent effect of the proposed forfeiture, dictate that [the company] be held liable for an amount significantly higher than the base forfeiture set for the relevant misconduct.”)</w:t>
      </w:r>
      <w:r>
        <w:t>.</w:t>
      </w:r>
    </w:p>
  </w:footnote>
  <w:footnote w:id="90">
    <w:p w:rsidR="0032514E" w:rsidRPr="00E52792" w:rsidP="0032514E" w14:paraId="0AC50EFF" w14:textId="77777777">
      <w:pPr>
        <w:pStyle w:val="FootnoteText"/>
      </w:pPr>
      <w:r>
        <w:rPr>
          <w:rStyle w:val="FootnoteReference"/>
        </w:rPr>
        <w:footnoteRef/>
      </w:r>
      <w:r>
        <w:t xml:space="preserve"> </w:t>
      </w:r>
      <w:r>
        <w:rPr>
          <w:i/>
        </w:rPr>
        <w:t>Id</w:t>
      </w:r>
      <w:r>
        <w:t>.</w:t>
      </w:r>
    </w:p>
  </w:footnote>
  <w:footnote w:id="91">
    <w:p w:rsidR="0032514E" w:rsidRPr="00D37CC0" w:rsidP="0032514E" w14:paraId="44DCF493" w14:textId="77777777">
      <w:pPr>
        <w:pStyle w:val="FootnoteText"/>
      </w:pPr>
      <w:r w:rsidRPr="00D37CC0">
        <w:rPr>
          <w:rStyle w:val="FootnoteReference"/>
        </w:rPr>
        <w:footnoteRef/>
      </w:r>
      <w:r w:rsidRPr="00D37CC0">
        <w:t xml:space="preserve"> </w:t>
      </w:r>
      <w:r w:rsidRPr="00940184">
        <w:rPr>
          <w:i/>
        </w:rPr>
        <w:t>See, e.g.</w:t>
      </w:r>
      <w:r w:rsidRPr="00D37CC0">
        <w:t xml:space="preserve">, </w:t>
      </w:r>
      <w:r w:rsidRPr="00D37CC0">
        <w:rPr>
          <w:i/>
        </w:rPr>
        <w:t>Neon Phone Service, Inc</w:t>
      </w:r>
      <w:r w:rsidRPr="00D37CC0">
        <w:t xml:space="preserve">., Notice of Apparent Liability for Forfeiture, </w:t>
      </w:r>
      <w:r>
        <w:t>32 FCC Rcd 7964</w:t>
      </w:r>
      <w:r w:rsidRPr="00D37CC0">
        <w:t xml:space="preserve">, </w:t>
      </w:r>
      <w:r>
        <w:t xml:space="preserve">7974-75, </w:t>
      </w:r>
      <w:r w:rsidRPr="00D37CC0">
        <w:t>para. 24 (2017) (</w:t>
      </w:r>
      <w:r>
        <w:t xml:space="preserve">proposing an </w:t>
      </w:r>
      <w:r w:rsidRPr="00D37CC0">
        <w:t>upward adjustment from $4</w:t>
      </w:r>
      <w:r>
        <w:t>,</w:t>
      </w:r>
      <w:r w:rsidRPr="00D37CC0">
        <w:t xml:space="preserve">000 to $25,000 for egregiousness and intent); </w:t>
      </w:r>
      <w:r w:rsidRPr="00940184">
        <w:rPr>
          <w:i/>
        </w:rPr>
        <w:t>Fox</w:t>
      </w:r>
      <w:r w:rsidRPr="00D37CC0">
        <w:t xml:space="preserve">, 25 FCC Rcd </w:t>
      </w:r>
      <w:r>
        <w:t>at</w:t>
      </w:r>
      <w:r w:rsidRPr="00D37CC0">
        <w:t xml:space="preserve"> 7081, paras. 15-16 (adjust</w:t>
      </w:r>
      <w:r>
        <w:t>ing</w:t>
      </w:r>
      <w:r w:rsidRPr="00D37CC0">
        <w:t xml:space="preserve"> </w:t>
      </w:r>
      <w:r>
        <w:t xml:space="preserve">the proposed forfeiture </w:t>
      </w:r>
      <w:r w:rsidRPr="00D37CC0">
        <w:t>from $4</w:t>
      </w:r>
      <w:r>
        <w:t>,</w:t>
      </w:r>
      <w:r w:rsidRPr="00D37CC0">
        <w:t xml:space="preserve">000 to $25,000 for egregiousness). </w:t>
      </w:r>
    </w:p>
  </w:footnote>
  <w:footnote w:id="92">
    <w:p w:rsidR="0032514E" w:rsidRPr="00DF1F33" w:rsidP="0032514E" w14:paraId="6B9F7E1F" w14:textId="77777777">
      <w:pPr>
        <w:pStyle w:val="FootnoteText"/>
      </w:pPr>
      <w:r>
        <w:rPr>
          <w:rStyle w:val="FootnoteReference"/>
        </w:rPr>
        <w:footnoteRef/>
      </w:r>
      <w:r>
        <w:t xml:space="preserve"> </w:t>
      </w:r>
      <w:r>
        <w:rPr>
          <w:i/>
          <w:iCs/>
        </w:rPr>
        <w:t>See supra</w:t>
      </w:r>
      <w:r>
        <w:t xml:space="preserve"> para. </w:t>
      </w:r>
      <w:r>
        <w:fldChar w:fldCharType="begin"/>
      </w:r>
      <w:r>
        <w:instrText xml:space="preserve"> REF _Ref146011443 \r \h </w:instrText>
      </w:r>
      <w:r>
        <w:fldChar w:fldCharType="separate"/>
      </w:r>
      <w:r>
        <w:t>30</w:t>
      </w:r>
      <w:r>
        <w:fldChar w:fldCharType="end"/>
      </w:r>
      <w:r>
        <w:t xml:space="preserve">.  </w:t>
      </w:r>
    </w:p>
  </w:footnote>
  <w:footnote w:id="93">
    <w:p w:rsidR="0032514E" w:rsidRPr="007A04BF" w:rsidP="0032514E" w14:paraId="60B6597B" w14:textId="77777777">
      <w:pPr>
        <w:pStyle w:val="FootnoteText"/>
      </w:pPr>
      <w:r w:rsidRPr="007A04BF">
        <w:rPr>
          <w:rStyle w:val="FootnoteReference"/>
        </w:rPr>
        <w:footnoteRef/>
      </w:r>
      <w:r w:rsidRPr="007A04BF">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94">
    <w:p w:rsidR="0032514E" w:rsidRPr="003433FA" w:rsidP="0032514E" w14:paraId="4E93A504"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95">
    <w:p w:rsidR="0032514E" w:rsidRPr="003433FA" w:rsidP="0032514E" w14:paraId="112E626C" w14:textId="77777777">
      <w:pPr>
        <w:pStyle w:val="FootnoteText"/>
      </w:pPr>
      <w:r w:rsidRPr="003433FA">
        <w:rPr>
          <w:rStyle w:val="FootnoteReference"/>
        </w:rPr>
        <w:footnoteRef/>
      </w:r>
      <w:r w:rsidRPr="003433FA">
        <w:t xml:space="preserve"> FCC Form 159 is accessible at</w:t>
      </w:r>
      <w:r>
        <w:t xml:space="preserve"> </w:t>
      </w:r>
      <w:hyperlink r:id="rId3" w:history="1">
        <w:r w:rsidRPr="00884C8C">
          <w:rPr>
            <w:rStyle w:val="Hyperlink"/>
          </w:rPr>
          <w:t>https://www.fcc.gov/licensing-databases/fees/fcc-remittance-advice-form-159</w:t>
        </w:r>
      </w:hyperlink>
      <w:r>
        <w:t>.</w:t>
      </w:r>
    </w:p>
  </w:footnote>
  <w:footnote w:id="96">
    <w:p w:rsidR="0032514E" w:rsidRPr="009716F7" w:rsidP="0032514E" w14:paraId="3B828627"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4" w:history="1">
        <w:r w:rsidRPr="00506901">
          <w:rPr>
            <w:rStyle w:val="Hyperlink"/>
          </w:rPr>
          <w:t>https://apps.fcc.gov/cores/userLogin.do</w:t>
        </w:r>
      </w:hyperlink>
      <w:r w:rsidRPr="004B6755">
        <w:t>.</w:t>
      </w:r>
    </w:p>
  </w:footnote>
  <w:footnote w:id="97">
    <w:p w:rsidR="0032514E" w:rsidP="0032514E" w14:paraId="1961537F" w14:textId="77777777">
      <w:pPr>
        <w:pStyle w:val="FootnoteText"/>
      </w:pPr>
      <w:r w:rsidRPr="009716F7">
        <w:rPr>
          <w:rStyle w:val="FootnoteReference"/>
        </w:rPr>
        <w:footnoteRef/>
      </w:r>
      <w:r w:rsidRPr="009716F7">
        <w:t xml:space="preserve"> Instructions for completing the form may be obtained at</w:t>
      </w:r>
      <w:r>
        <w:t xml:space="preserve"> </w:t>
      </w:r>
      <w:hyperlink r:id="rId5" w:history="1">
        <w:r w:rsidRPr="00506901">
          <w:rPr>
            <w:rStyle w:val="Hyperlink"/>
          </w:rPr>
          <w:t>http://www.fcc.gov/Forms/Form159/159.pdf</w:t>
        </w:r>
      </w:hyperlink>
      <w:r w:rsidRPr="009716F7">
        <w:t xml:space="preserve">. </w:t>
      </w:r>
      <w:r>
        <w:t xml:space="preserve"> </w:t>
      </w:r>
    </w:p>
  </w:footnote>
  <w:footnote w:id="98">
    <w:p w:rsidR="0032514E" w:rsidP="0032514E" w14:paraId="45CCF3FF"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99">
    <w:p w:rsidR="0032514E" w:rsidRPr="0032514E" w:rsidP="0032514E" w14:paraId="62B954B4" w14:textId="77777777">
      <w:pPr>
        <w:pStyle w:val="FootnoteText"/>
        <w:rPr>
          <w:color w:val="000000"/>
        </w:rPr>
      </w:pPr>
      <w:r w:rsidRPr="0032514E">
        <w:rPr>
          <w:rStyle w:val="FootnoteReference"/>
          <w:color w:val="000000"/>
        </w:rPr>
        <w:footnoteRef/>
      </w:r>
      <w:r w:rsidRPr="0032514E">
        <w:rPr>
          <w:color w:val="000000"/>
        </w:rPr>
        <w:t xml:space="preserve"> </w:t>
      </w:r>
      <w:r w:rsidRPr="0032514E">
        <w:rPr>
          <w:i/>
          <w:iCs/>
          <w:color w:val="000000"/>
        </w:rPr>
        <w:t>Id.</w:t>
      </w:r>
      <w:r w:rsidRPr="0032514E">
        <w:rPr>
          <w:color w:val="000000"/>
        </w:rPr>
        <w:t xml:space="preserve"> §§ 1.16, 1.80(g)(3).</w:t>
      </w:r>
    </w:p>
  </w:footnote>
  <w:footnote w:id="100">
    <w:p w:rsidR="0032514E" w:rsidP="0032514E" w14:paraId="7AF359C6" w14:textId="77777777">
      <w:pPr>
        <w:pStyle w:val="FootnoteText"/>
      </w:pPr>
      <w:r>
        <w:rPr>
          <w:rStyle w:val="FootnoteReference"/>
        </w:rPr>
        <w:footnoteRef/>
      </w:r>
      <w:r>
        <w:t xml:space="preserve"> </w:t>
      </w:r>
      <w:r w:rsidRPr="009A58BC">
        <w:t>47 U.S.C. § 503(b)(2)(E).</w:t>
      </w:r>
    </w:p>
  </w:footnote>
  <w:footnote w:id="101">
    <w:p w:rsidR="0032514E" w:rsidP="0032514E" w14:paraId="64C7FFB5" w14:textId="77777777">
      <w:pPr>
        <w:pStyle w:val="FootnoteText"/>
      </w:pPr>
      <w:r>
        <w:rPr>
          <w:rStyle w:val="FootnoteReference"/>
        </w:rPr>
        <w:footnoteRef/>
      </w:r>
      <w:r>
        <w:t xml:space="preserve"> </w:t>
      </w:r>
      <w:r>
        <w:rPr>
          <w:i/>
          <w:iCs/>
        </w:rPr>
        <w:t>See, e.g.</w:t>
      </w:r>
      <w:r w:rsidRPr="005B4D68">
        <w:t>,</w:t>
      </w:r>
      <w:r>
        <w:rPr>
          <w:i/>
          <w:iCs/>
        </w:rPr>
        <w:t xml:space="preserve">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02">
    <w:p w:rsidR="0032514E" w:rsidRPr="00DE4C6B" w:rsidP="0032514E" w14:paraId="67A9A97A" w14:textId="77777777">
      <w:pPr>
        <w:pStyle w:val="FootnoteText"/>
      </w:pPr>
      <w:r>
        <w:rPr>
          <w:rStyle w:val="FootnoteReference"/>
        </w:rPr>
        <w:footnoteRef/>
      </w:r>
      <w:r>
        <w:t xml:space="preserve"> A proper FCC authorization can cover multiple models as long as the models are electronically identical.  </w:t>
      </w:r>
      <w:r>
        <w:rPr>
          <w:i/>
          <w:iCs/>
        </w:rPr>
        <w:t xml:space="preserve">See </w:t>
      </w:r>
      <w:r>
        <w:t>47 CFR §§ 2.906(b), 2.907(b), 2.908.  Here, a single violation is assessed for multiple models covered by an FCC authorization.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14E" w:rsidRPr="00483888" w:rsidP="00677CBC" w14:paraId="7EACEB85" w14:textId="198FEDA4">
    <w:pPr>
      <w:pStyle w:val="Header"/>
    </w:pPr>
    <w:r>
      <w:rPr>
        <w:noProof/>
      </w:rPr>
      <w:pict>
        <v:rect id="Rectangle 1765366939"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Pr="00CE57A9">
      <w:t xml:space="preserve">FCC </w:t>
    </w:r>
    <w:r w:rsidRPr="00483888">
      <w:rPr>
        <w:iCs/>
      </w:rPr>
      <w:t>23-</w:t>
    </w:r>
    <w:r w:rsidR="00815BCD">
      <w:rPr>
        <w:iCs/>
      </w:rPr>
      <w:t>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14E" w:rsidRPr="00483888" w:rsidP="00677CBC" w14:paraId="5F823AE9" w14:textId="6826040C">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sidRPr="00CE57A9">
      <w:t xml:space="preserve">FCC </w:t>
    </w:r>
    <w:r w:rsidRPr="00483888">
      <w:rPr>
        <w:iCs/>
      </w:rPr>
      <w:t>23-</w:t>
    </w:r>
    <w:r w:rsidR="00815BCD">
      <w:rPr>
        <w:iCs/>
      </w:rPr>
      <w:t>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0CA830" w14:textId="0A5306EC">
    <w:pPr>
      <w:pStyle w:val="Header"/>
      <w:rPr>
        <w:b w:val="0"/>
      </w:rPr>
    </w:pPr>
    <w:r>
      <w:tab/>
      <w:t>Federal Communications Commission</w:t>
    </w:r>
    <w:r>
      <w:tab/>
    </w:r>
    <w:r w:rsidR="0012140B">
      <w:t>FCC 23-113</w:t>
    </w:r>
  </w:p>
  <w:p w:rsidR="00D25FB5" w14:paraId="299D0BA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08D429A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FC6DDB" w14:textId="6F0FF820">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2140B">
      <w:rPr>
        <w:spacing w:val="-2"/>
      </w:rPr>
      <w:t>FCC 23-113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3F5AA8"/>
    <w:multiLevelType w:val="hybridMultilevel"/>
    <w:tmpl w:val="329AA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0"/>
  </w:num>
  <w:num w:numId="8">
    <w:abstractNumId w:val="9"/>
  </w:num>
  <w:num w:numId="9">
    <w:abstractNumId w:val="11"/>
  </w:num>
  <w:num w:numId="10">
    <w:abstractNumId w:val="7"/>
  </w:num>
  <w:num w:numId="11">
    <w:abstractNumId w:val="1"/>
  </w:num>
  <w:num w:numId="12">
    <w:abstractNumId w:val="8"/>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57"/>
    <w:rsid w:val="00025ED8"/>
    <w:rsid w:val="00026588"/>
    <w:rsid w:val="00036039"/>
    <w:rsid w:val="00037F90"/>
    <w:rsid w:val="00067985"/>
    <w:rsid w:val="000747FA"/>
    <w:rsid w:val="000875BF"/>
    <w:rsid w:val="00096D8C"/>
    <w:rsid w:val="000A6851"/>
    <w:rsid w:val="000C0B65"/>
    <w:rsid w:val="000D7CCE"/>
    <w:rsid w:val="000E05FE"/>
    <w:rsid w:val="000E3D42"/>
    <w:rsid w:val="000F1EC1"/>
    <w:rsid w:val="000F424D"/>
    <w:rsid w:val="00105508"/>
    <w:rsid w:val="0012140B"/>
    <w:rsid w:val="00122BD5"/>
    <w:rsid w:val="00127765"/>
    <w:rsid w:val="00133F79"/>
    <w:rsid w:val="00151353"/>
    <w:rsid w:val="00151901"/>
    <w:rsid w:val="00177012"/>
    <w:rsid w:val="00185166"/>
    <w:rsid w:val="00194A66"/>
    <w:rsid w:val="001A5E22"/>
    <w:rsid w:val="001A604E"/>
    <w:rsid w:val="001D6BCF"/>
    <w:rsid w:val="001E01CA"/>
    <w:rsid w:val="001E2D48"/>
    <w:rsid w:val="001F4440"/>
    <w:rsid w:val="001F73ED"/>
    <w:rsid w:val="002144BA"/>
    <w:rsid w:val="00223752"/>
    <w:rsid w:val="0022679C"/>
    <w:rsid w:val="002529A5"/>
    <w:rsid w:val="00275CF5"/>
    <w:rsid w:val="0028301F"/>
    <w:rsid w:val="00285017"/>
    <w:rsid w:val="002A2D2E"/>
    <w:rsid w:val="002B3B70"/>
    <w:rsid w:val="002B5B62"/>
    <w:rsid w:val="002C00E8"/>
    <w:rsid w:val="002C53DD"/>
    <w:rsid w:val="002D3E96"/>
    <w:rsid w:val="00304703"/>
    <w:rsid w:val="003141D4"/>
    <w:rsid w:val="0032374C"/>
    <w:rsid w:val="0032514E"/>
    <w:rsid w:val="00336325"/>
    <w:rsid w:val="003433FA"/>
    <w:rsid w:val="00343749"/>
    <w:rsid w:val="00344C0B"/>
    <w:rsid w:val="00364213"/>
    <w:rsid w:val="003660ED"/>
    <w:rsid w:val="00390331"/>
    <w:rsid w:val="003A0D15"/>
    <w:rsid w:val="003A5F3A"/>
    <w:rsid w:val="003A6D56"/>
    <w:rsid w:val="003B0550"/>
    <w:rsid w:val="003B50E1"/>
    <w:rsid w:val="003B694F"/>
    <w:rsid w:val="003C01F6"/>
    <w:rsid w:val="003D0B57"/>
    <w:rsid w:val="003D5AFE"/>
    <w:rsid w:val="003E7B0F"/>
    <w:rsid w:val="003F171C"/>
    <w:rsid w:val="003F75AF"/>
    <w:rsid w:val="004054DC"/>
    <w:rsid w:val="00412FC5"/>
    <w:rsid w:val="00422276"/>
    <w:rsid w:val="004242F1"/>
    <w:rsid w:val="00430465"/>
    <w:rsid w:val="00445A00"/>
    <w:rsid w:val="00451B0F"/>
    <w:rsid w:val="00456D4A"/>
    <w:rsid w:val="00483888"/>
    <w:rsid w:val="004864CE"/>
    <w:rsid w:val="004B1B72"/>
    <w:rsid w:val="004B6755"/>
    <w:rsid w:val="004C2EE3"/>
    <w:rsid w:val="004C5D2B"/>
    <w:rsid w:val="004E4A22"/>
    <w:rsid w:val="00506901"/>
    <w:rsid w:val="00511968"/>
    <w:rsid w:val="005126F2"/>
    <w:rsid w:val="0055614C"/>
    <w:rsid w:val="00566D06"/>
    <w:rsid w:val="0057242E"/>
    <w:rsid w:val="00580F66"/>
    <w:rsid w:val="005A6C2C"/>
    <w:rsid w:val="005B4D68"/>
    <w:rsid w:val="005B56D8"/>
    <w:rsid w:val="005D5E3F"/>
    <w:rsid w:val="005D60CF"/>
    <w:rsid w:val="005E14C2"/>
    <w:rsid w:val="00607BA5"/>
    <w:rsid w:val="00610BD5"/>
    <w:rsid w:val="0061180A"/>
    <w:rsid w:val="00611B74"/>
    <w:rsid w:val="00621F4E"/>
    <w:rsid w:val="00626EB6"/>
    <w:rsid w:val="006271C6"/>
    <w:rsid w:val="00654E44"/>
    <w:rsid w:val="00655756"/>
    <w:rsid w:val="00655D03"/>
    <w:rsid w:val="0065642F"/>
    <w:rsid w:val="00660678"/>
    <w:rsid w:val="00677CBC"/>
    <w:rsid w:val="00683388"/>
    <w:rsid w:val="00683F84"/>
    <w:rsid w:val="00694D3D"/>
    <w:rsid w:val="006A6A81"/>
    <w:rsid w:val="006C1396"/>
    <w:rsid w:val="006D5B8C"/>
    <w:rsid w:val="006F7393"/>
    <w:rsid w:val="0070224F"/>
    <w:rsid w:val="007043A4"/>
    <w:rsid w:val="007050A4"/>
    <w:rsid w:val="007115F7"/>
    <w:rsid w:val="00723EAF"/>
    <w:rsid w:val="00753407"/>
    <w:rsid w:val="00754970"/>
    <w:rsid w:val="00784CCB"/>
    <w:rsid w:val="00785689"/>
    <w:rsid w:val="007921D7"/>
    <w:rsid w:val="0079754B"/>
    <w:rsid w:val="007A04BF"/>
    <w:rsid w:val="007A1E6D"/>
    <w:rsid w:val="007A423B"/>
    <w:rsid w:val="007B0EB2"/>
    <w:rsid w:val="007C1F8D"/>
    <w:rsid w:val="00810B6F"/>
    <w:rsid w:val="008115E0"/>
    <w:rsid w:val="00815BCD"/>
    <w:rsid w:val="00822CE0"/>
    <w:rsid w:val="00826245"/>
    <w:rsid w:val="00837C21"/>
    <w:rsid w:val="00841AB1"/>
    <w:rsid w:val="00846728"/>
    <w:rsid w:val="00867230"/>
    <w:rsid w:val="00884C8C"/>
    <w:rsid w:val="008C1091"/>
    <w:rsid w:val="008C68F1"/>
    <w:rsid w:val="008F4454"/>
    <w:rsid w:val="00917AD0"/>
    <w:rsid w:val="00921803"/>
    <w:rsid w:val="00926503"/>
    <w:rsid w:val="00930752"/>
    <w:rsid w:val="00940184"/>
    <w:rsid w:val="0096236B"/>
    <w:rsid w:val="009716F7"/>
    <w:rsid w:val="009726D8"/>
    <w:rsid w:val="009766F3"/>
    <w:rsid w:val="00981F23"/>
    <w:rsid w:val="009A58BC"/>
    <w:rsid w:val="009C4EE7"/>
    <w:rsid w:val="009D0B1C"/>
    <w:rsid w:val="009D2FE0"/>
    <w:rsid w:val="009D7308"/>
    <w:rsid w:val="009E64A3"/>
    <w:rsid w:val="009F47B6"/>
    <w:rsid w:val="009F76DB"/>
    <w:rsid w:val="00A2316E"/>
    <w:rsid w:val="00A24118"/>
    <w:rsid w:val="00A32C3B"/>
    <w:rsid w:val="00A45F4F"/>
    <w:rsid w:val="00A600A9"/>
    <w:rsid w:val="00A64DCC"/>
    <w:rsid w:val="00A87F03"/>
    <w:rsid w:val="00A93480"/>
    <w:rsid w:val="00AA55B7"/>
    <w:rsid w:val="00AA5B9E"/>
    <w:rsid w:val="00AB2407"/>
    <w:rsid w:val="00AB53DF"/>
    <w:rsid w:val="00AC1D4D"/>
    <w:rsid w:val="00AD0726"/>
    <w:rsid w:val="00AD0764"/>
    <w:rsid w:val="00AE0DC6"/>
    <w:rsid w:val="00AE2519"/>
    <w:rsid w:val="00B07E5C"/>
    <w:rsid w:val="00B1763B"/>
    <w:rsid w:val="00B20941"/>
    <w:rsid w:val="00B40477"/>
    <w:rsid w:val="00B6543B"/>
    <w:rsid w:val="00B72FAC"/>
    <w:rsid w:val="00B811F7"/>
    <w:rsid w:val="00BA069F"/>
    <w:rsid w:val="00BA5CD9"/>
    <w:rsid w:val="00BA5DC6"/>
    <w:rsid w:val="00BA6196"/>
    <w:rsid w:val="00BC6D8C"/>
    <w:rsid w:val="00BD3236"/>
    <w:rsid w:val="00BE7CE6"/>
    <w:rsid w:val="00C21E12"/>
    <w:rsid w:val="00C34006"/>
    <w:rsid w:val="00C36B4C"/>
    <w:rsid w:val="00C426B1"/>
    <w:rsid w:val="00C461BA"/>
    <w:rsid w:val="00C66160"/>
    <w:rsid w:val="00C721AC"/>
    <w:rsid w:val="00C804E9"/>
    <w:rsid w:val="00C90D6A"/>
    <w:rsid w:val="00CA247E"/>
    <w:rsid w:val="00CA6D21"/>
    <w:rsid w:val="00CB191E"/>
    <w:rsid w:val="00CB2818"/>
    <w:rsid w:val="00CB378E"/>
    <w:rsid w:val="00CC72B6"/>
    <w:rsid w:val="00CC75BD"/>
    <w:rsid w:val="00CC7FB2"/>
    <w:rsid w:val="00CE4FAD"/>
    <w:rsid w:val="00CE57A9"/>
    <w:rsid w:val="00CF1F15"/>
    <w:rsid w:val="00CF6DD9"/>
    <w:rsid w:val="00D01C43"/>
    <w:rsid w:val="00D0218D"/>
    <w:rsid w:val="00D058D3"/>
    <w:rsid w:val="00D25FB5"/>
    <w:rsid w:val="00D37CC0"/>
    <w:rsid w:val="00D44223"/>
    <w:rsid w:val="00D5668E"/>
    <w:rsid w:val="00D60F72"/>
    <w:rsid w:val="00DA15A9"/>
    <w:rsid w:val="00DA2529"/>
    <w:rsid w:val="00DB130A"/>
    <w:rsid w:val="00DB2EBB"/>
    <w:rsid w:val="00DB67EC"/>
    <w:rsid w:val="00DC10A1"/>
    <w:rsid w:val="00DC655F"/>
    <w:rsid w:val="00DD0B59"/>
    <w:rsid w:val="00DD7EBD"/>
    <w:rsid w:val="00DE4C6B"/>
    <w:rsid w:val="00DF1F33"/>
    <w:rsid w:val="00DF5B5C"/>
    <w:rsid w:val="00DF62B6"/>
    <w:rsid w:val="00DF713E"/>
    <w:rsid w:val="00E0314D"/>
    <w:rsid w:val="00E04FBE"/>
    <w:rsid w:val="00E068AF"/>
    <w:rsid w:val="00E06A48"/>
    <w:rsid w:val="00E07225"/>
    <w:rsid w:val="00E309EE"/>
    <w:rsid w:val="00E313DD"/>
    <w:rsid w:val="00E52792"/>
    <w:rsid w:val="00E5409F"/>
    <w:rsid w:val="00E62167"/>
    <w:rsid w:val="00E74BCC"/>
    <w:rsid w:val="00E77845"/>
    <w:rsid w:val="00E77D7C"/>
    <w:rsid w:val="00E94270"/>
    <w:rsid w:val="00EA5601"/>
    <w:rsid w:val="00EB10BF"/>
    <w:rsid w:val="00EC1403"/>
    <w:rsid w:val="00ED051C"/>
    <w:rsid w:val="00ED1A36"/>
    <w:rsid w:val="00EE4389"/>
    <w:rsid w:val="00EE6488"/>
    <w:rsid w:val="00EF52A6"/>
    <w:rsid w:val="00F021FA"/>
    <w:rsid w:val="00F04387"/>
    <w:rsid w:val="00F51579"/>
    <w:rsid w:val="00F51F9E"/>
    <w:rsid w:val="00F56857"/>
    <w:rsid w:val="00F62E97"/>
    <w:rsid w:val="00F64209"/>
    <w:rsid w:val="00F65869"/>
    <w:rsid w:val="00F74F29"/>
    <w:rsid w:val="00F75701"/>
    <w:rsid w:val="00F84546"/>
    <w:rsid w:val="00F93BF5"/>
    <w:rsid w:val="00F94F9D"/>
    <w:rsid w:val="00FA19D4"/>
    <w:rsid w:val="00FB7DC9"/>
    <w:rsid w:val="00FF57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EA8DA7"/>
  <w15:chartTrackingRefBased/>
  <w15:docId w15:val="{CE13814A-1BCF-4622-8279-26BAB9D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FollowedHyperlink" w:uiPriority="99"/>
    <w:lsdException w:name="Strong" w:uiPriority="99" w:qFormat="1"/>
    <w:lsdException w:name="Emphasis" w:uiPriority="20"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1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32514E"/>
    <w:rPr>
      <w:rFonts w:ascii="Times New Roman Bold" w:hAnsi="Times New Roman Bold"/>
      <w:b/>
      <w:caps/>
      <w:snapToGrid w:val="0"/>
      <w:kern w:val="28"/>
      <w:sz w:val="22"/>
    </w:rPr>
  </w:style>
  <w:style w:type="character" w:customStyle="1" w:styleId="Heading2Char">
    <w:name w:val="Heading 2 Char"/>
    <w:link w:val="Heading2"/>
    <w:locked/>
    <w:rsid w:val="0032514E"/>
    <w:rPr>
      <w:b/>
      <w:snapToGrid w:val="0"/>
      <w:kern w:val="28"/>
      <w:sz w:val="22"/>
    </w:rPr>
  </w:style>
  <w:style w:type="character" w:customStyle="1" w:styleId="Heading3Char">
    <w:name w:val="Heading 3 Char"/>
    <w:link w:val="Heading3"/>
    <w:locked/>
    <w:rsid w:val="0032514E"/>
    <w:rPr>
      <w:b/>
      <w:snapToGrid w:val="0"/>
      <w:kern w:val="28"/>
      <w:sz w:val="22"/>
    </w:rPr>
  </w:style>
  <w:style w:type="character" w:customStyle="1" w:styleId="Heading4Char">
    <w:name w:val="Heading 4 Char"/>
    <w:link w:val="Heading4"/>
    <w:locked/>
    <w:rsid w:val="0032514E"/>
    <w:rPr>
      <w:b/>
      <w:snapToGrid w:val="0"/>
      <w:kern w:val="28"/>
      <w:sz w:val="22"/>
    </w:rPr>
  </w:style>
  <w:style w:type="character" w:customStyle="1" w:styleId="Heading5Char">
    <w:name w:val="Heading 5 Char"/>
    <w:link w:val="Heading5"/>
    <w:locked/>
    <w:rsid w:val="0032514E"/>
    <w:rPr>
      <w:b/>
      <w:snapToGrid w:val="0"/>
      <w:kern w:val="28"/>
      <w:sz w:val="22"/>
    </w:rPr>
  </w:style>
  <w:style w:type="character" w:customStyle="1" w:styleId="Heading6Char">
    <w:name w:val="Heading 6 Char"/>
    <w:link w:val="Heading6"/>
    <w:locked/>
    <w:rsid w:val="0032514E"/>
    <w:rPr>
      <w:b/>
      <w:snapToGrid w:val="0"/>
      <w:kern w:val="28"/>
      <w:sz w:val="22"/>
    </w:rPr>
  </w:style>
  <w:style w:type="character" w:customStyle="1" w:styleId="Heading7Char">
    <w:name w:val="Heading 7 Char"/>
    <w:link w:val="Heading7"/>
    <w:locked/>
    <w:rsid w:val="0032514E"/>
    <w:rPr>
      <w:b/>
      <w:snapToGrid w:val="0"/>
      <w:kern w:val="28"/>
      <w:sz w:val="22"/>
    </w:rPr>
  </w:style>
  <w:style w:type="character" w:customStyle="1" w:styleId="Heading8Char">
    <w:name w:val="Heading 8 Char"/>
    <w:link w:val="Heading8"/>
    <w:locked/>
    <w:rsid w:val="0032514E"/>
    <w:rPr>
      <w:b/>
      <w:snapToGrid w:val="0"/>
      <w:kern w:val="28"/>
      <w:sz w:val="22"/>
    </w:rPr>
  </w:style>
  <w:style w:type="character" w:customStyle="1" w:styleId="Heading9Char">
    <w:name w:val="Heading 9 Char"/>
    <w:link w:val="Heading9"/>
    <w:locked/>
    <w:rsid w:val="0032514E"/>
    <w:rPr>
      <w:b/>
      <w:snapToGrid w:val="0"/>
      <w:kern w:val="28"/>
      <w:sz w:val="22"/>
    </w:rPr>
  </w:style>
  <w:style w:type="paragraph" w:styleId="BalloonText">
    <w:name w:val="Balloon Text"/>
    <w:basedOn w:val="Normal"/>
    <w:link w:val="BalloonTextChar"/>
    <w:uiPriority w:val="99"/>
    <w:rsid w:val="0032514E"/>
    <w:rPr>
      <w:sz w:val="20"/>
    </w:rPr>
  </w:style>
  <w:style w:type="character" w:customStyle="1" w:styleId="BalloonTextChar">
    <w:name w:val="Balloon Text Char"/>
    <w:basedOn w:val="DefaultParagraphFont"/>
    <w:link w:val="BalloonText"/>
    <w:uiPriority w:val="99"/>
    <w:rsid w:val="0032514E"/>
    <w:rPr>
      <w:snapToGrid w:val="0"/>
      <w:kern w:val="28"/>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32514E"/>
    <w:rPr>
      <w:rFonts w:cs="Times New Roman"/>
      <w:sz w:val="24"/>
      <w:lang w:val="en-US" w:eastAsia="en-US"/>
    </w:rPr>
  </w:style>
  <w:style w:type="character" w:customStyle="1" w:styleId="HeaderChar">
    <w:name w:val="Header Char"/>
    <w:link w:val="Header"/>
    <w:locked/>
    <w:rsid w:val="0032514E"/>
    <w:rPr>
      <w:b/>
      <w:snapToGrid w:val="0"/>
      <w:kern w:val="28"/>
      <w:sz w:val="22"/>
    </w:rPr>
  </w:style>
  <w:style w:type="paragraph" w:customStyle="1" w:styleId="Paranum0">
    <w:name w:val="Paranum"/>
    <w:uiPriority w:val="99"/>
    <w:rsid w:val="0032514E"/>
    <w:pPr>
      <w:numPr>
        <w:numId w:val="7"/>
      </w:numPr>
      <w:tabs>
        <w:tab w:val="left" w:pos="1440"/>
      </w:tabs>
      <w:spacing w:after="240"/>
      <w:jc w:val="both"/>
    </w:pPr>
    <w:rPr>
      <w:sz w:val="22"/>
    </w:rPr>
  </w:style>
  <w:style w:type="paragraph" w:customStyle="1" w:styleId="par1">
    <w:name w:val="par1"/>
    <w:basedOn w:val="Normal"/>
    <w:link w:val="par1Char"/>
    <w:uiPriority w:val="99"/>
    <w:rsid w:val="0032514E"/>
    <w:pPr>
      <w:numPr>
        <w:numId w:val="8"/>
      </w:numPr>
    </w:pPr>
    <w:rPr>
      <w:sz w:val="20"/>
    </w:rPr>
  </w:style>
  <w:style w:type="paragraph" w:styleId="BodyText">
    <w:name w:val="Body Text"/>
    <w:aliases w:val="b"/>
    <w:basedOn w:val="Normal"/>
    <w:link w:val="BodyTextChar"/>
    <w:uiPriority w:val="99"/>
    <w:rsid w:val="0032514E"/>
    <w:rPr>
      <w:b/>
      <w:sz w:val="24"/>
      <w:u w:val="single"/>
    </w:rPr>
  </w:style>
  <w:style w:type="character" w:customStyle="1" w:styleId="BodyTextChar">
    <w:name w:val="Body Text Char"/>
    <w:aliases w:val="b Char"/>
    <w:basedOn w:val="DefaultParagraphFont"/>
    <w:link w:val="BodyText"/>
    <w:uiPriority w:val="99"/>
    <w:rsid w:val="0032514E"/>
    <w:rPr>
      <w:b/>
      <w:snapToGrid w:val="0"/>
      <w:kern w:val="28"/>
      <w:sz w:val="24"/>
      <w:u w:val="single"/>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32514E"/>
    <w:rPr>
      <w:lang w:val="en-US" w:eastAsia="en-US"/>
    </w:rPr>
  </w:style>
  <w:style w:type="character" w:customStyle="1" w:styleId="ParanumChar">
    <w:name w:val="Paranum Char"/>
    <w:uiPriority w:val="99"/>
    <w:rsid w:val="0032514E"/>
    <w:rPr>
      <w:sz w:val="22"/>
      <w:lang w:val="en-US" w:eastAsia="en-US"/>
    </w:rPr>
  </w:style>
  <w:style w:type="paragraph" w:styleId="HTMLPreformatted">
    <w:name w:val="HTML Preformatted"/>
    <w:basedOn w:val="Normal"/>
    <w:link w:val="HTMLPreformattedChar"/>
    <w:uiPriority w:val="99"/>
    <w:rsid w:val="0032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32514E"/>
    <w:rPr>
      <w:rFonts w:ascii="Courier New" w:hAnsi="Courier New"/>
      <w:snapToGrid w:val="0"/>
      <w:kern w:val="28"/>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32514E"/>
  </w:style>
  <w:style w:type="character" w:styleId="Strong">
    <w:name w:val="Strong"/>
    <w:uiPriority w:val="99"/>
    <w:qFormat/>
    <w:rsid w:val="0032514E"/>
    <w:rPr>
      <w:rFonts w:cs="Times New Roman"/>
      <w:b/>
    </w:rPr>
  </w:style>
  <w:style w:type="character" w:customStyle="1" w:styleId="zzmpTrailerItem">
    <w:name w:val="zzmpTrailerItem"/>
    <w:uiPriority w:val="99"/>
    <w:rsid w:val="0032514E"/>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32514E"/>
    <w:pPr>
      <w:spacing w:after="120" w:line="480" w:lineRule="auto"/>
      <w:ind w:left="360"/>
    </w:pPr>
    <w:rPr>
      <w:sz w:val="24"/>
    </w:rPr>
  </w:style>
  <w:style w:type="character" w:customStyle="1" w:styleId="BodyTextIndent2Char">
    <w:name w:val="Body Text Indent 2 Char"/>
    <w:basedOn w:val="DefaultParagraphFont"/>
    <w:link w:val="BodyTextIndent2"/>
    <w:uiPriority w:val="99"/>
    <w:rsid w:val="0032514E"/>
    <w:rPr>
      <w:snapToGrid w:val="0"/>
      <w:kern w:val="28"/>
      <w:sz w:val="24"/>
    </w:rPr>
  </w:style>
  <w:style w:type="character" w:customStyle="1" w:styleId="bCharChar">
    <w:name w:val="b Char Char"/>
    <w:uiPriority w:val="99"/>
    <w:semiHidden/>
    <w:locked/>
    <w:rsid w:val="0032514E"/>
    <w:rPr>
      <w:b/>
      <w:sz w:val="24"/>
      <w:u w:val="single"/>
      <w:lang w:val="en-US" w:eastAsia="en-US"/>
    </w:rPr>
  </w:style>
  <w:style w:type="paragraph" w:customStyle="1" w:styleId="StyleParaNumAfter0pt">
    <w:name w:val="Style ParaNum + After:  0 pt"/>
    <w:basedOn w:val="Normal"/>
    <w:autoRedefine/>
    <w:uiPriority w:val="99"/>
    <w:rsid w:val="0032514E"/>
    <w:pPr>
      <w:numPr>
        <w:ilvl w:val="1"/>
        <w:numId w:val="9"/>
      </w:numPr>
      <w:tabs>
        <w:tab w:val="left" w:pos="-8100"/>
        <w:tab w:val="left" w:pos="2160"/>
      </w:tabs>
      <w:spacing w:after="240"/>
      <w:ind w:left="2160" w:hanging="720"/>
    </w:pPr>
  </w:style>
  <w:style w:type="paragraph" w:styleId="ListParagraph">
    <w:name w:val="List Paragraph"/>
    <w:basedOn w:val="Normal"/>
    <w:uiPriority w:val="34"/>
    <w:qFormat/>
    <w:rsid w:val="0032514E"/>
    <w:pPr>
      <w:ind w:left="720"/>
    </w:pPr>
  </w:style>
  <w:style w:type="character" w:styleId="CommentReference">
    <w:name w:val="annotation reference"/>
    <w:uiPriority w:val="99"/>
    <w:rsid w:val="0032514E"/>
    <w:rPr>
      <w:rFonts w:cs="Times New Roman"/>
      <w:sz w:val="16"/>
    </w:rPr>
  </w:style>
  <w:style w:type="paragraph" w:styleId="CommentText">
    <w:name w:val="annotation text"/>
    <w:basedOn w:val="Normal"/>
    <w:link w:val="CommentTextChar"/>
    <w:uiPriority w:val="99"/>
    <w:rsid w:val="0032514E"/>
    <w:rPr>
      <w:sz w:val="20"/>
    </w:rPr>
  </w:style>
  <w:style w:type="character" w:customStyle="1" w:styleId="CommentTextChar">
    <w:name w:val="Comment Text Char"/>
    <w:basedOn w:val="DefaultParagraphFont"/>
    <w:link w:val="CommentText"/>
    <w:uiPriority w:val="99"/>
    <w:rsid w:val="0032514E"/>
    <w:rPr>
      <w:snapToGrid w:val="0"/>
      <w:kern w:val="28"/>
    </w:rPr>
  </w:style>
  <w:style w:type="paragraph" w:styleId="CommentSubject">
    <w:name w:val="annotation subject"/>
    <w:basedOn w:val="CommentText"/>
    <w:next w:val="CommentText"/>
    <w:link w:val="CommentSubjectChar"/>
    <w:uiPriority w:val="99"/>
    <w:rsid w:val="0032514E"/>
    <w:rPr>
      <w:b/>
    </w:rPr>
  </w:style>
  <w:style w:type="character" w:customStyle="1" w:styleId="CommentSubjectChar">
    <w:name w:val="Comment Subject Char"/>
    <w:basedOn w:val="CommentTextChar"/>
    <w:link w:val="CommentSubject"/>
    <w:uiPriority w:val="99"/>
    <w:rsid w:val="0032514E"/>
    <w:rPr>
      <w:b/>
      <w:snapToGrid w:val="0"/>
      <w:kern w:val="28"/>
    </w:rPr>
  </w:style>
  <w:style w:type="character" w:customStyle="1" w:styleId="par1Char">
    <w:name w:val="par1 Char"/>
    <w:link w:val="par1"/>
    <w:uiPriority w:val="99"/>
    <w:locked/>
    <w:rsid w:val="0032514E"/>
    <w:rPr>
      <w:snapToGrid w:val="0"/>
      <w:kern w:val="28"/>
    </w:rPr>
  </w:style>
  <w:style w:type="paragraph" w:styleId="Revision">
    <w:name w:val="Revision"/>
    <w:hidden/>
    <w:uiPriority w:val="99"/>
    <w:semiHidden/>
    <w:rsid w:val="0032514E"/>
    <w:rPr>
      <w:sz w:val="24"/>
      <w:szCs w:val="24"/>
    </w:rPr>
  </w:style>
  <w:style w:type="character" w:customStyle="1" w:styleId="EndnoteTextChar">
    <w:name w:val="Endnote Text Char"/>
    <w:link w:val="EndnoteText"/>
    <w:semiHidden/>
    <w:locked/>
    <w:rsid w:val="0032514E"/>
    <w:rPr>
      <w:snapToGrid w:val="0"/>
      <w:kern w:val="28"/>
    </w:rPr>
  </w:style>
  <w:style w:type="character" w:customStyle="1" w:styleId="FootnoteTextChar7CharChar">
    <w:name w:val="Footnote Text Char7 Char Char"/>
    <w:aliases w:val="Footnote Text Char Cha Char,Footnote Text Char Char Char4 Char Char,Footnote Text Char4 Char1 Char Char,Footnote Text Char4 Char1 Char Char Char Char Char,Footnote Text Char7 Char Char Char Char Char"/>
    <w:locked/>
    <w:rsid w:val="0032514E"/>
    <w:rPr>
      <w:lang w:val="en-US" w:eastAsia="en-US"/>
    </w:rPr>
  </w:style>
  <w:style w:type="character" w:customStyle="1" w:styleId="ALTSFOOTNOTECharChar">
    <w:name w:val="ALTS FOOTNOTE Char Char"/>
    <w:aliases w:val="f Char,fn Char Char,fn Char1,rrfootnote Char Char Char Char Char,rrfootnote Char1 Char"/>
    <w:locked/>
    <w:rsid w:val="0032514E"/>
  </w:style>
  <w:style w:type="character" w:customStyle="1" w:styleId="ParaNumChar0">
    <w:name w:val="ParaNum Char"/>
    <w:link w:val="ParaNum"/>
    <w:locked/>
    <w:rsid w:val="0032514E"/>
    <w:rPr>
      <w:snapToGrid w:val="0"/>
      <w:kern w:val="28"/>
      <w:sz w:val="22"/>
    </w:rPr>
  </w:style>
  <w:style w:type="character" w:customStyle="1" w:styleId="ParaNumChar1">
    <w:name w:val="ParaNum Char1"/>
    <w:locked/>
    <w:rsid w:val="0032514E"/>
    <w:rPr>
      <w:snapToGrid w:val="0"/>
      <w:kern w:val="28"/>
      <w:sz w:val="22"/>
    </w:rPr>
  </w:style>
  <w:style w:type="character" w:customStyle="1" w:styleId="documentbody">
    <w:name w:val="documentbody"/>
    <w:uiPriority w:val="99"/>
    <w:rsid w:val="0032514E"/>
  </w:style>
  <w:style w:type="character" w:customStyle="1" w:styleId="searchterm">
    <w:name w:val="searchterm"/>
    <w:uiPriority w:val="99"/>
    <w:rsid w:val="0032514E"/>
  </w:style>
  <w:style w:type="character" w:styleId="UnresolvedMention">
    <w:name w:val="Unresolved Mention"/>
    <w:uiPriority w:val="99"/>
    <w:semiHidden/>
    <w:unhideWhenUsed/>
    <w:rsid w:val="0032514E"/>
    <w:rPr>
      <w:color w:val="808080"/>
      <w:shd w:val="clear" w:color="auto" w:fill="E6E6E6"/>
    </w:rPr>
  </w:style>
  <w:style w:type="character" w:customStyle="1" w:styleId="apple-converted-space">
    <w:name w:val="apple-converted-space"/>
    <w:rsid w:val="0032514E"/>
  </w:style>
  <w:style w:type="table" w:styleId="TableGrid">
    <w:name w:val="Table Grid"/>
    <w:basedOn w:val="TableNormal"/>
    <w:uiPriority w:val="59"/>
    <w:rsid w:val="0032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2514E"/>
    <w:rPr>
      <w:color w:val="954F72"/>
      <w:u w:val="single"/>
    </w:rPr>
  </w:style>
  <w:style w:type="paragraph" w:styleId="NoSpacing">
    <w:name w:val="No Spacing"/>
    <w:uiPriority w:val="1"/>
    <w:qFormat/>
    <w:rsid w:val="0032514E"/>
    <w:rPr>
      <w:rFonts w:ascii="Calibri" w:eastAsia="Calibri" w:hAnsi="Calibri"/>
      <w:sz w:val="22"/>
      <w:szCs w:val="22"/>
    </w:rPr>
  </w:style>
  <w:style w:type="character" w:customStyle="1" w:styleId="item-value">
    <w:name w:val="item-value"/>
    <w:basedOn w:val="DefaultParagraphFont"/>
    <w:rsid w:val="0032514E"/>
  </w:style>
  <w:style w:type="character" w:customStyle="1" w:styleId="cosearchterm">
    <w:name w:val="co_searchterm"/>
    <w:rsid w:val="0032514E"/>
  </w:style>
  <w:style w:type="character" w:styleId="Emphasis">
    <w:name w:val="Emphasis"/>
    <w:uiPriority w:val="20"/>
    <w:qFormat/>
    <w:rsid w:val="0032514E"/>
    <w:rPr>
      <w:i/>
      <w:iCs/>
    </w:rPr>
  </w:style>
  <w:style w:type="paragraph" w:customStyle="1" w:styleId="Default">
    <w:name w:val="Default"/>
    <w:rsid w:val="0032514E"/>
    <w:pPr>
      <w:autoSpaceDE w:val="0"/>
      <w:autoSpaceDN w:val="0"/>
      <w:adjustRightInd w:val="0"/>
    </w:pPr>
    <w:rPr>
      <w:rFonts w:eastAsia="Calibri"/>
      <w:color w:val="000000"/>
      <w:sz w:val="24"/>
      <w:szCs w:val="24"/>
    </w:rPr>
  </w:style>
  <w:style w:type="character" w:styleId="Mention">
    <w:name w:val="Mention"/>
    <w:uiPriority w:val="99"/>
    <w:unhideWhenUsed/>
    <w:rsid w:val="003251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oet/ea/rfdevice" TargetMode="External" /><Relationship Id="rId2" Type="http://schemas.openxmlformats.org/officeDocument/2006/relationships/hyperlink" Target="https://www.fcc.gov/oet/ea/fccid" TargetMode="External" /><Relationship Id="rId3" Type="http://schemas.openxmlformats.org/officeDocument/2006/relationships/hyperlink" Target="https://www.fcc.gov/licensing-databases/fees/fcc-remittance-advice-form-159" TargetMode="External" /><Relationship Id="rId4" Type="http://schemas.openxmlformats.org/officeDocument/2006/relationships/hyperlink" Target="https://apps.fcc.gov/cores/userLogin.do" TargetMode="External" /><Relationship Id="rId5"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