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83427" w:rsidP="00B83427" w14:paraId="2B0BD648" w14:textId="77777777">
      <w:pPr>
        <w:widowControl/>
        <w:jc w:val="center"/>
        <w:rPr>
          <w:b/>
        </w:rPr>
      </w:pPr>
      <w:r>
        <w:rPr>
          <w:rFonts w:ascii="Times New Roman Bold" w:hAnsi="Times New Roman Bold"/>
          <w:b/>
          <w:kern w:val="0"/>
          <w:szCs w:val="22"/>
        </w:rPr>
        <w:t>Before</w:t>
      </w:r>
      <w:r>
        <w:rPr>
          <w:b/>
        </w:rPr>
        <w:t xml:space="preserve"> the</w:t>
      </w:r>
    </w:p>
    <w:p w:rsidR="00B83427" w:rsidP="00B83427" w14:paraId="0028630C" w14:textId="77777777">
      <w:pPr>
        <w:pStyle w:val="StyleBoldCentered"/>
        <w:widowControl/>
      </w:pPr>
      <w:r>
        <w:t>F</w:t>
      </w:r>
      <w:r>
        <w:rPr>
          <w:caps w:val="0"/>
        </w:rPr>
        <w:t>ederal Communications Commission</w:t>
      </w:r>
    </w:p>
    <w:p w:rsidR="00B83427" w:rsidP="00B83427" w14:paraId="286C8380" w14:textId="77777777">
      <w:pPr>
        <w:widowControl/>
        <w:jc w:val="center"/>
        <w:rPr>
          <w:b/>
          <w:bCs/>
        </w:rPr>
      </w:pPr>
      <w:r>
        <w:rPr>
          <w:b/>
          <w:bCs/>
        </w:rPr>
        <w:t>Washington, D.C. 20554</w:t>
      </w:r>
    </w:p>
    <w:p w:rsidR="00B83427" w:rsidP="00B83427" w14:paraId="65FD8B8F" w14:textId="77777777">
      <w:pPr>
        <w:widowControl/>
      </w:pPr>
    </w:p>
    <w:tbl>
      <w:tblPr>
        <w:tblW w:w="0" w:type="auto"/>
        <w:tblLayout w:type="fixed"/>
        <w:tblLook w:val="0000"/>
      </w:tblPr>
      <w:tblGrid>
        <w:gridCol w:w="4698"/>
        <w:gridCol w:w="630"/>
        <w:gridCol w:w="4248"/>
      </w:tblGrid>
      <w:tr w14:paraId="30B206E5" w14:textId="77777777" w:rsidTr="002F648B">
        <w:tblPrEx>
          <w:tblW w:w="0" w:type="auto"/>
          <w:tblLayout w:type="fixed"/>
          <w:tblLook w:val="0000"/>
        </w:tblPrEx>
        <w:tc>
          <w:tcPr>
            <w:tcW w:w="4698" w:type="dxa"/>
          </w:tcPr>
          <w:p w:rsidR="00B83427" w:rsidP="002F648B" w14:paraId="4ADFCECE" w14:textId="77777777">
            <w:pPr>
              <w:widowControl/>
              <w:tabs>
                <w:tab w:val="center" w:pos="4680"/>
              </w:tabs>
              <w:suppressAutoHyphens/>
              <w:rPr>
                <w:spacing w:val="-2"/>
              </w:rPr>
            </w:pPr>
            <w:r>
              <w:rPr>
                <w:spacing w:val="-2"/>
              </w:rPr>
              <w:t>In the Matter of</w:t>
            </w:r>
          </w:p>
          <w:p w:rsidR="00B83427" w:rsidP="002F648B" w14:paraId="070D9738" w14:textId="77777777">
            <w:pPr>
              <w:widowControl/>
              <w:tabs>
                <w:tab w:val="center" w:pos="4680"/>
              </w:tabs>
              <w:suppressAutoHyphens/>
              <w:rPr>
                <w:spacing w:val="-2"/>
              </w:rPr>
            </w:pPr>
          </w:p>
          <w:p w:rsidR="00B83427" w:rsidP="0010279B" w14:paraId="2F6F05C7" w14:textId="6E028C27">
            <w:pPr>
              <w:widowControl/>
              <w:ind w:right="-18"/>
            </w:pPr>
            <w:r>
              <w:t>Modifying Emissions Limits for the 24.25-24.</w:t>
            </w:r>
            <w:r w:rsidR="004D524C">
              <w:t>4</w:t>
            </w:r>
            <w:r>
              <w:t>5 GHz and 2</w:t>
            </w:r>
            <w:r w:rsidR="004D524C">
              <w:t>4</w:t>
            </w:r>
            <w:r>
              <w:t>.</w:t>
            </w:r>
            <w:r w:rsidR="004D524C">
              <w:t>7</w:t>
            </w:r>
            <w:r>
              <w:t>5-2</w:t>
            </w:r>
            <w:r w:rsidR="004D524C">
              <w:t>5</w:t>
            </w:r>
            <w:r>
              <w:t>.</w:t>
            </w:r>
            <w:r w:rsidR="004D524C">
              <w:t>2</w:t>
            </w:r>
            <w:r>
              <w:t>5 GHz Bands</w:t>
            </w:r>
          </w:p>
        </w:tc>
        <w:tc>
          <w:tcPr>
            <w:tcW w:w="630" w:type="dxa"/>
          </w:tcPr>
          <w:p w:rsidR="00B83427" w:rsidP="002F648B" w14:paraId="513D733E" w14:textId="77777777">
            <w:pPr>
              <w:widowControl/>
              <w:tabs>
                <w:tab w:val="center" w:pos="4680"/>
              </w:tabs>
              <w:suppressAutoHyphens/>
              <w:rPr>
                <w:b/>
                <w:spacing w:val="-2"/>
              </w:rPr>
            </w:pPr>
            <w:r>
              <w:rPr>
                <w:b/>
                <w:spacing w:val="-2"/>
              </w:rPr>
              <w:t>)</w:t>
            </w:r>
          </w:p>
          <w:p w:rsidR="00B83427" w:rsidP="002F648B" w14:paraId="3D7AE418" w14:textId="77777777">
            <w:pPr>
              <w:widowControl/>
              <w:tabs>
                <w:tab w:val="center" w:pos="4680"/>
              </w:tabs>
              <w:suppressAutoHyphens/>
              <w:rPr>
                <w:b/>
                <w:spacing w:val="-2"/>
              </w:rPr>
            </w:pPr>
            <w:r>
              <w:rPr>
                <w:b/>
                <w:spacing w:val="-2"/>
              </w:rPr>
              <w:t>)</w:t>
            </w:r>
          </w:p>
          <w:p w:rsidR="00B83427" w:rsidP="002F648B" w14:paraId="2E8D4D01" w14:textId="77777777">
            <w:pPr>
              <w:widowControl/>
              <w:tabs>
                <w:tab w:val="center" w:pos="4680"/>
              </w:tabs>
              <w:suppressAutoHyphens/>
              <w:rPr>
                <w:b/>
                <w:spacing w:val="-2"/>
              </w:rPr>
            </w:pPr>
            <w:r>
              <w:rPr>
                <w:b/>
                <w:spacing w:val="-2"/>
              </w:rPr>
              <w:t>)</w:t>
            </w:r>
          </w:p>
          <w:p w:rsidR="00B83427" w:rsidP="002F648B" w14:paraId="7DCFE27F" w14:textId="77777777">
            <w:pPr>
              <w:widowControl/>
              <w:tabs>
                <w:tab w:val="center" w:pos="4680"/>
              </w:tabs>
              <w:suppressAutoHyphens/>
              <w:rPr>
                <w:b/>
                <w:spacing w:val="-2"/>
              </w:rPr>
            </w:pPr>
            <w:r>
              <w:rPr>
                <w:b/>
                <w:spacing w:val="-2"/>
              </w:rPr>
              <w:t>)</w:t>
            </w:r>
          </w:p>
          <w:p w:rsidR="00B83427" w:rsidP="002F648B" w14:paraId="2B3118C0" w14:textId="77777777">
            <w:pPr>
              <w:widowControl/>
              <w:tabs>
                <w:tab w:val="center" w:pos="4680"/>
              </w:tabs>
              <w:suppressAutoHyphens/>
              <w:rPr>
                <w:b/>
                <w:spacing w:val="-2"/>
              </w:rPr>
            </w:pPr>
          </w:p>
        </w:tc>
        <w:tc>
          <w:tcPr>
            <w:tcW w:w="4248" w:type="dxa"/>
          </w:tcPr>
          <w:p w:rsidR="00B83427" w:rsidP="002F648B" w14:paraId="158F45E9" w14:textId="77777777">
            <w:pPr>
              <w:widowControl/>
              <w:tabs>
                <w:tab w:val="center" w:pos="4680"/>
              </w:tabs>
              <w:suppressAutoHyphens/>
              <w:rPr>
                <w:spacing w:val="-2"/>
              </w:rPr>
            </w:pPr>
          </w:p>
          <w:p w:rsidR="00B83427" w:rsidP="002F648B" w14:paraId="3479AC0D" w14:textId="77777777">
            <w:pPr>
              <w:pStyle w:val="TOAHeading"/>
              <w:widowControl/>
              <w:tabs>
                <w:tab w:val="center" w:pos="4680"/>
                <w:tab w:val="clear" w:pos="9360"/>
              </w:tabs>
              <w:rPr>
                <w:spacing w:val="-2"/>
              </w:rPr>
            </w:pPr>
          </w:p>
          <w:p w:rsidR="00B83427" w:rsidP="002F648B" w14:paraId="3ACA2F3D" w14:textId="77777777">
            <w:pPr>
              <w:widowControl/>
              <w:tabs>
                <w:tab w:val="center" w:pos="4680"/>
              </w:tabs>
              <w:suppressAutoHyphens/>
              <w:rPr>
                <w:spacing w:val="-2"/>
              </w:rPr>
            </w:pPr>
            <w:r w:rsidRPr="009B6AD1">
              <w:rPr>
                <w:spacing w:val="-2"/>
              </w:rPr>
              <w:t xml:space="preserve">ET Docket No. 21-186 </w:t>
            </w:r>
          </w:p>
          <w:p w:rsidR="00B83427" w:rsidP="002F648B" w14:paraId="7982F9B1" w14:textId="77777777">
            <w:pPr>
              <w:widowControl/>
              <w:rPr>
                <w:spacing w:val="-2"/>
              </w:rPr>
            </w:pPr>
          </w:p>
        </w:tc>
      </w:tr>
    </w:tbl>
    <w:p w:rsidR="00A93DA2" w:rsidP="00A93DA2" w14:paraId="6030CFAF" w14:textId="77777777">
      <w:pPr>
        <w:widowControl/>
        <w:jc w:val="center"/>
      </w:pPr>
    </w:p>
    <w:p w:rsidR="00B83427" w:rsidP="00B83427" w14:paraId="1C52016A" w14:textId="77777777">
      <w:pPr>
        <w:pStyle w:val="StyleBoldCentered"/>
        <w:widowControl/>
      </w:pPr>
      <w:r>
        <w:t>notice of proposed rulemaking</w:t>
      </w:r>
    </w:p>
    <w:p w:rsidR="00B83427" w:rsidP="00B83427" w14:paraId="110CF5D6" w14:textId="77777777">
      <w:pPr>
        <w:widowControl/>
        <w:tabs>
          <w:tab w:val="left" w:pos="-720"/>
        </w:tabs>
        <w:suppressAutoHyphens/>
        <w:spacing w:line="227" w:lineRule="auto"/>
        <w:rPr>
          <w:spacing w:val="-2"/>
        </w:rPr>
      </w:pPr>
    </w:p>
    <w:p w:rsidR="00B83427" w:rsidRPr="005D46C5" w:rsidP="00B83427" w14:paraId="393FBA4E" w14:textId="04683C62">
      <w:pPr>
        <w:widowControl/>
        <w:tabs>
          <w:tab w:val="left" w:pos="720"/>
          <w:tab w:val="left" w:pos="5760"/>
        </w:tabs>
        <w:suppressAutoHyphens/>
        <w:spacing w:line="227" w:lineRule="auto"/>
        <w:rPr>
          <w:spacing w:val="-2"/>
          <w:szCs w:val="22"/>
        </w:rPr>
      </w:pPr>
      <w:r w:rsidRPr="005D46C5">
        <w:rPr>
          <w:b/>
          <w:spacing w:val="-2"/>
          <w:szCs w:val="22"/>
        </w:rPr>
        <w:t xml:space="preserve">Adopted:  </w:t>
      </w:r>
      <w:r w:rsidR="00967BBE">
        <w:rPr>
          <w:b/>
          <w:spacing w:val="-2"/>
          <w:szCs w:val="22"/>
        </w:rPr>
        <w:t>December 12, 2023</w:t>
      </w:r>
      <w:r w:rsidRPr="005D46C5">
        <w:rPr>
          <w:b/>
          <w:spacing w:val="-2"/>
          <w:szCs w:val="22"/>
        </w:rPr>
        <w:tab/>
        <w:t xml:space="preserve">     </w:t>
      </w:r>
      <w:r w:rsidRPr="005D46C5">
        <w:rPr>
          <w:b/>
          <w:spacing w:val="-2"/>
          <w:szCs w:val="22"/>
        </w:rPr>
        <w:tab/>
        <w:t xml:space="preserve">Released:  </w:t>
      </w:r>
      <w:r w:rsidR="00C6375E">
        <w:rPr>
          <w:b/>
          <w:spacing w:val="-2"/>
          <w:szCs w:val="22"/>
        </w:rPr>
        <w:t>December 2</w:t>
      </w:r>
      <w:r w:rsidR="00E36491">
        <w:rPr>
          <w:b/>
          <w:spacing w:val="-2"/>
          <w:szCs w:val="22"/>
        </w:rPr>
        <w:t>2</w:t>
      </w:r>
      <w:r w:rsidR="00C6375E">
        <w:rPr>
          <w:b/>
          <w:spacing w:val="-2"/>
          <w:szCs w:val="22"/>
        </w:rPr>
        <w:t>, 2023</w:t>
      </w:r>
    </w:p>
    <w:p w:rsidR="00B83427" w:rsidRPr="005D46C5" w:rsidP="00B83427" w14:paraId="5CDB1894" w14:textId="77777777">
      <w:pPr>
        <w:widowControl/>
        <w:rPr>
          <w:szCs w:val="22"/>
        </w:rPr>
      </w:pPr>
    </w:p>
    <w:p w:rsidR="00B83427" w:rsidRPr="005D46C5" w:rsidP="00B83427" w14:paraId="5C4AC23A" w14:textId="061F940B">
      <w:pPr>
        <w:widowControl/>
        <w:rPr>
          <w:b/>
          <w:szCs w:val="22"/>
        </w:rPr>
      </w:pPr>
      <w:r w:rsidRPr="005D46C5">
        <w:rPr>
          <w:b/>
          <w:szCs w:val="22"/>
        </w:rPr>
        <w:t>Comment Date:  30 days after publication in the Federal Register</w:t>
      </w:r>
    </w:p>
    <w:p w:rsidR="00B83427" w:rsidRPr="005D46C5" w:rsidP="00B83427" w14:paraId="3B0A0A74" w14:textId="047F2BC9">
      <w:pPr>
        <w:widowControl/>
        <w:rPr>
          <w:b/>
          <w:szCs w:val="22"/>
        </w:rPr>
      </w:pPr>
      <w:r w:rsidRPr="005D46C5">
        <w:rPr>
          <w:b/>
          <w:szCs w:val="22"/>
        </w:rPr>
        <w:t>Reply Comment Date:</w:t>
      </w:r>
      <w:r w:rsidRPr="005D46C5">
        <w:rPr>
          <w:b/>
          <w:szCs w:val="22"/>
        </w:rPr>
        <w:tab/>
        <w:t xml:space="preserve"> 45 days after publication in the Federal Register</w:t>
      </w:r>
    </w:p>
    <w:p w:rsidR="00B83427" w:rsidRPr="005D46C5" w:rsidP="00B83427" w14:paraId="0B3FE6C0" w14:textId="77777777">
      <w:pPr>
        <w:widowControl/>
        <w:rPr>
          <w:szCs w:val="22"/>
        </w:rPr>
      </w:pPr>
    </w:p>
    <w:p w:rsidR="00DB6656" w:rsidP="00DB6656" w14:paraId="4C873300" w14:textId="04813C7C">
      <w:pPr>
        <w:rPr>
          <w:snapToGrid/>
          <w:kern w:val="0"/>
        </w:rPr>
      </w:pPr>
      <w:r>
        <w:t xml:space="preserve">By the Commission: Chairwoman Rosenworcel </w:t>
      </w:r>
      <w:r w:rsidR="0018670A">
        <w:t xml:space="preserve">and Commissioner Gomez </w:t>
      </w:r>
      <w:r>
        <w:t xml:space="preserve">issuing </w:t>
      </w:r>
      <w:r w:rsidR="0018670A">
        <w:t>separate</w:t>
      </w:r>
      <w:r>
        <w:t xml:space="preserve"> statement</w:t>
      </w:r>
      <w:r w:rsidR="0018670A">
        <w:t>s</w:t>
      </w:r>
      <w:r>
        <w:t>; Commissioners Carr and Simington dissenting and issuing separate statements.</w:t>
      </w:r>
    </w:p>
    <w:p w:rsidR="00B83427" w:rsidRPr="005D46C5" w:rsidP="00B83427" w14:paraId="3D4F8B28" w14:textId="77777777">
      <w:pPr>
        <w:widowControl/>
        <w:rPr>
          <w:spacing w:val="-2"/>
          <w:szCs w:val="22"/>
        </w:rPr>
      </w:pPr>
    </w:p>
    <w:p w:rsidR="00B83427" w:rsidRPr="005D46C5" w:rsidP="00B83427" w14:paraId="2F9A513A" w14:textId="77777777">
      <w:pPr>
        <w:pStyle w:val="Heading1"/>
        <w:widowControl/>
        <w:numPr>
          <w:ilvl w:val="0"/>
          <w:numId w:val="3"/>
        </w:numPr>
        <w:tabs>
          <w:tab w:val="left" w:pos="720"/>
        </w:tabs>
        <w:spacing w:after="220"/>
        <w:rPr>
          <w:szCs w:val="22"/>
        </w:rPr>
      </w:pPr>
      <w:bookmarkStart w:id="0" w:name="_Ref210810835"/>
      <w:r w:rsidRPr="005D46C5">
        <w:rPr>
          <w:szCs w:val="22"/>
        </w:rPr>
        <w:t>introduction</w:t>
      </w:r>
      <w:bookmarkEnd w:id="0"/>
    </w:p>
    <w:p w:rsidR="00B83427" w:rsidRPr="006B4DF7" w:rsidP="002F648B" w14:paraId="4E2AF3CA" w14:textId="44CDDAC3">
      <w:pPr>
        <w:pStyle w:val="ParaNum"/>
      </w:pPr>
      <w:r w:rsidRPr="00D7093D">
        <w:t xml:space="preserve">In this </w:t>
      </w:r>
      <w:r w:rsidRPr="00EC12CC">
        <w:rPr>
          <w:i/>
          <w:iCs/>
        </w:rPr>
        <w:t>Notice of Proposed Rulemaking</w:t>
      </w:r>
      <w:r w:rsidR="00BB73D4">
        <w:rPr>
          <w:i/>
          <w:iCs/>
        </w:rPr>
        <w:t xml:space="preserve"> </w:t>
      </w:r>
      <w:r w:rsidR="00BB73D4">
        <w:t>(Notice)</w:t>
      </w:r>
      <w:r w:rsidRPr="00D7093D">
        <w:t xml:space="preserve">, we propose to implement certain decisions regarding the 24.25-27.5 GHz band </w:t>
      </w:r>
      <w:r>
        <w:t>made in</w:t>
      </w:r>
      <w:r w:rsidRPr="00D7093D">
        <w:t xml:space="preserve"> the World Radiocommunication Conference held by the International Telecommunication Union (ITU) in 2019 (WRC-19).  Specifically, we propose </w:t>
      </w:r>
      <w:r>
        <w:t xml:space="preserve">to </w:t>
      </w:r>
      <w:r w:rsidRPr="00D7093D">
        <w:t xml:space="preserve">align </w:t>
      </w:r>
      <w:r w:rsidR="007B3FC2">
        <w:t xml:space="preserve">part </w:t>
      </w:r>
      <w:r w:rsidRPr="00D7093D">
        <w:t xml:space="preserve">30 of the </w:t>
      </w:r>
      <w:r>
        <w:t xml:space="preserve">Commission’s </w:t>
      </w:r>
      <w:r w:rsidRPr="00D7093D">
        <w:t xml:space="preserve">rules </w:t>
      </w:r>
      <w:r>
        <w:t xml:space="preserve">for mobile operations </w:t>
      </w:r>
      <w:r w:rsidRPr="00D7093D">
        <w:t xml:space="preserve">with the </w:t>
      </w:r>
      <w:r>
        <w:t xml:space="preserve">Resolution 750 limits on </w:t>
      </w:r>
      <w:r w:rsidRPr="00D7093D">
        <w:t>unwanted emissions into the passive 23.6-24.0 GHz band that were adopted at WRC-19.</w:t>
      </w:r>
      <w:r>
        <w:t xml:space="preserve">  These proposed rule changes would help to facilitate the protection of p</w:t>
      </w:r>
      <w:r>
        <w:rPr>
          <w:szCs w:val="22"/>
        </w:rPr>
        <w:t xml:space="preserve">assive sensors used for weather forecasting </w:t>
      </w:r>
      <w:r w:rsidRPr="009863F1">
        <w:rPr>
          <w:szCs w:val="22"/>
        </w:rPr>
        <w:t>and scientific research in the 23.6 GHz-24.0 GHz band, while continuing to promote flexible commercial use of the 24.25-24.45 GHz and 24.75-25.25 GHz bands (collectively, 24 GHz band).</w:t>
      </w:r>
      <w:r>
        <w:rPr>
          <w:szCs w:val="22"/>
        </w:rPr>
        <w:t xml:space="preserve">  We also seek comment on alternatives to the proposals we make, and on other</w:t>
      </w:r>
      <w:r w:rsidR="00C1186B">
        <w:rPr>
          <w:szCs w:val="22"/>
        </w:rPr>
        <w:t xml:space="preserve"> related</w:t>
      </w:r>
      <w:r>
        <w:rPr>
          <w:szCs w:val="22"/>
        </w:rPr>
        <w:t xml:space="preserve"> issues.    </w:t>
      </w:r>
    </w:p>
    <w:p w:rsidR="00B83427" w:rsidRPr="005D46C5" w:rsidP="00B83427" w14:paraId="60D75E6D" w14:textId="77777777">
      <w:pPr>
        <w:pStyle w:val="Heading1"/>
        <w:widowControl/>
        <w:numPr>
          <w:ilvl w:val="0"/>
          <w:numId w:val="3"/>
        </w:numPr>
        <w:tabs>
          <w:tab w:val="left" w:pos="720"/>
        </w:tabs>
        <w:spacing w:after="220"/>
        <w:rPr>
          <w:szCs w:val="22"/>
        </w:rPr>
      </w:pPr>
      <w:r w:rsidRPr="005D46C5">
        <w:rPr>
          <w:szCs w:val="22"/>
        </w:rPr>
        <w:t>BACKGROUND</w:t>
      </w:r>
    </w:p>
    <w:p w:rsidR="00B83427" w:rsidRPr="00A17FE4" w:rsidP="002F648B" w14:paraId="414E77D4" w14:textId="622C64FB">
      <w:pPr>
        <w:pStyle w:val="ParaNum"/>
      </w:pPr>
      <w:r w:rsidRPr="00A17FE4">
        <w:t>The 23.6-24.0 GHz band is allocated to the Earth Exploration Satellite Service (EESS) (passive), Space Research Service (passive), and Radio Astronomy Service (RAS)</w:t>
      </w:r>
      <w:r w:rsidR="000A3090">
        <w:rPr>
          <w:rStyle w:val="FootnoteReference"/>
          <w:szCs w:val="22"/>
        </w:rPr>
        <w:t xml:space="preserve"> </w:t>
      </w:r>
      <w:r w:rsidRPr="00A17FE4">
        <w:t xml:space="preserve"> on a primary basis.</w:t>
      </w:r>
      <w:r>
        <w:rPr>
          <w:rStyle w:val="FootnoteReference"/>
          <w:szCs w:val="22"/>
        </w:rPr>
        <w:footnoteReference w:id="3"/>
      </w:r>
      <w:r w:rsidRPr="00A17FE4">
        <w:t xml:space="preserve">  EESS utilizes passive sensors located on satellites to measure the power level of naturally occurring radio emissions from water vapor and cloud liquid water molecules in the atmosphere, critical measurements for climatology science and weather forecasting.</w:t>
      </w:r>
      <w:r>
        <w:rPr>
          <w:rStyle w:val="FootnoteReference"/>
          <w:szCs w:val="22"/>
        </w:rPr>
        <w:footnoteReference w:id="4"/>
      </w:r>
      <w:r w:rsidRPr="00A17FE4">
        <w:t xml:space="preserve">  The National Oceanic and Atmospheric Administration (NOAA) uses such passive sensors to measure moisture data and determine water vapor in its weather forecast models.</w:t>
      </w:r>
      <w:r>
        <w:rPr>
          <w:rStyle w:val="FootnoteReference"/>
          <w:szCs w:val="22"/>
        </w:rPr>
        <w:footnoteReference w:id="5"/>
      </w:r>
      <w:r w:rsidRPr="00A17FE4">
        <w:t xml:space="preserve">  Because these naturally occurring emissions in the 23.6-24.0 GHz band are very weak, the passive sensors measuring them are sensitive and vulnerable to interference.</w:t>
      </w:r>
      <w:r>
        <w:rPr>
          <w:rStyle w:val="FootnoteReference"/>
          <w:szCs w:val="22"/>
        </w:rPr>
        <w:footnoteReference w:id="6"/>
      </w:r>
      <w:r w:rsidRPr="00A17FE4">
        <w:t xml:space="preserve">  As these sensors receive </w:t>
      </w:r>
      <w:r w:rsidRPr="00A17FE4">
        <w:t xml:space="preserve">all natural and man-made emissions in general, passive sensors </w:t>
      </w:r>
      <w:r w:rsidR="00A93DA2">
        <w:t>are</w:t>
      </w:r>
      <w:r w:rsidRPr="00A17FE4" w:rsidR="00A93DA2">
        <w:t xml:space="preserve"> </w:t>
      </w:r>
      <w:r w:rsidRPr="00A17FE4">
        <w:t>not able to differentiate these two sources of signals.</w:t>
      </w:r>
    </w:p>
    <w:p w:rsidR="00B83427" w:rsidP="002F648B" w14:paraId="7A57DFFF" w14:textId="08599268">
      <w:pPr>
        <w:pStyle w:val="ParaNum"/>
      </w:pPr>
      <w:r>
        <w:t>The Commission first authorized service in the 24.25-24.45 GHz and 25.05-25.25 GHz bands in 1997, when it transitioned the Digital Electronic Messaging Service (DEMS) to th</w:t>
      </w:r>
      <w:r w:rsidR="009A44F8">
        <w:t>ese</w:t>
      </w:r>
      <w:r>
        <w:t xml:space="preserve"> band</w:t>
      </w:r>
      <w:r w:rsidR="009A44F8">
        <w:t>s</w:t>
      </w:r>
      <w:r>
        <w:t xml:space="preserve"> from the 18 GHz band</w:t>
      </w:r>
      <w:r w:rsidRPr="00F7364C">
        <w:rPr>
          <w:color w:val="000000"/>
        </w:rPr>
        <w:t>.</w:t>
      </w:r>
      <w:r>
        <w:rPr>
          <w:rStyle w:val="FootnoteReference"/>
          <w:color w:val="000000"/>
        </w:rPr>
        <w:footnoteReference w:id="7"/>
      </w:r>
      <w:r w:rsidRPr="00F7364C">
        <w:rPr>
          <w:color w:val="000000"/>
        </w:rPr>
        <w:t xml:space="preserve">  In 2000, the Commission adopted competitive bidding and service rules for th</w:t>
      </w:r>
      <w:r w:rsidR="00F74A3A">
        <w:rPr>
          <w:color w:val="000000"/>
        </w:rPr>
        <w:t>e</w:t>
      </w:r>
      <w:r w:rsidRPr="00F7364C">
        <w:rPr>
          <w:color w:val="000000"/>
        </w:rPr>
        <w:t>se bands and created a 24 GHz Service.</w:t>
      </w:r>
      <w:r>
        <w:rPr>
          <w:rStyle w:val="FootnoteReference"/>
        </w:rPr>
        <w:footnoteReference w:id="8"/>
      </w:r>
      <w:r w:rsidRPr="00F7364C">
        <w:rPr>
          <w:color w:val="000000"/>
        </w:rPr>
        <w:t xml:space="preserve">  </w:t>
      </w:r>
      <w:r w:rsidRPr="008829DE">
        <w:t>Th</w:t>
      </w:r>
      <w:r>
        <w:t>is</w:t>
      </w:r>
      <w:r w:rsidRPr="008829DE">
        <w:t xml:space="preserve"> 24 GHz Service ha</w:t>
      </w:r>
      <w:r>
        <w:t>d</w:t>
      </w:r>
      <w:r w:rsidRPr="008829DE">
        <w:t xml:space="preserve"> a total of 176 </w:t>
      </w:r>
      <w:r w:rsidR="008F7402">
        <w:t>Economic Areas (</w:t>
      </w:r>
      <w:r w:rsidRPr="008829DE">
        <w:t>EA</w:t>
      </w:r>
      <w:r w:rsidR="008F7402">
        <w:t>)</w:t>
      </w:r>
      <w:r w:rsidRPr="008829DE">
        <w:t xml:space="preserve"> or EA-like service areas.</w:t>
      </w:r>
      <w:r>
        <w:rPr>
          <w:vertAlign w:val="superscript"/>
        </w:rPr>
        <w:footnoteReference w:id="9"/>
      </w:r>
      <w:r w:rsidRPr="008829DE">
        <w:t xml:space="preserve">  In 2004, the Commission held</w:t>
      </w:r>
      <w:r>
        <w:t xml:space="preserve"> Auction 56, in which it made 88</w:t>
      </w:r>
      <w:r w:rsidRPr="008829DE">
        <w:t>0 24 GHz licenses a</w:t>
      </w:r>
      <w:r>
        <w:t>vailable.  Only seven of the 88</w:t>
      </w:r>
      <w:r w:rsidRPr="008829DE">
        <w:t>0 licenses were sold</w:t>
      </w:r>
      <w:r w:rsidRPr="00CA709D">
        <w:t>.</w:t>
      </w:r>
      <w:r>
        <w:rPr>
          <w:vertAlign w:val="superscript"/>
        </w:rPr>
        <w:footnoteReference w:id="10"/>
      </w:r>
      <w:r>
        <w:t xml:space="preserve">  </w:t>
      </w:r>
      <w:r w:rsidRPr="00F7364C">
        <w:rPr>
          <w:color w:val="000000"/>
        </w:rPr>
        <w:t>As of 2017, there were 33 active DEMS licenses in th</w:t>
      </w:r>
      <w:r w:rsidR="00F74A3A">
        <w:rPr>
          <w:color w:val="000000"/>
        </w:rPr>
        <w:t>e</w:t>
      </w:r>
      <w:r w:rsidRPr="00F7364C">
        <w:rPr>
          <w:color w:val="000000"/>
        </w:rPr>
        <w:t>se bands.</w:t>
      </w:r>
      <w:r>
        <w:rPr>
          <w:rStyle w:val="FootnoteReference"/>
        </w:rPr>
        <w:footnoteReference w:id="11"/>
      </w:r>
      <w:r w:rsidRPr="00F7364C">
        <w:rPr>
          <w:color w:val="000000"/>
        </w:rPr>
        <w:t xml:space="preserve">  </w:t>
      </w:r>
    </w:p>
    <w:p w:rsidR="00B83427" w:rsidRPr="005D46C5" w:rsidP="002F648B" w14:paraId="18392DA1" w14:textId="77777777">
      <w:pPr>
        <w:pStyle w:val="ParaNum"/>
      </w:pPr>
      <w:r w:rsidRPr="004B341E">
        <w:t xml:space="preserve">In 2017, the Commission authorized the 24 GHz band for </w:t>
      </w:r>
      <w:r w:rsidRPr="00902B95">
        <w:t xml:space="preserve">Upper Microwave Flexible Use Services </w:t>
      </w:r>
      <w:r>
        <w:t>(UMFUS), and generally applied the same licensing and technical rules to UMFUS in the 24 GHz band that it applied to UMFUS in other upper microwave bands.</w:t>
      </w:r>
      <w:r>
        <w:rPr>
          <w:rStyle w:val="FootnoteReference"/>
          <w:szCs w:val="22"/>
        </w:rPr>
        <w:footnoteReference w:id="12"/>
      </w:r>
      <w:r>
        <w:t xml:space="preserve">  </w:t>
      </w:r>
      <w:r w:rsidRPr="005D46C5">
        <w:t>The UMFUS rules allow licensees flexibility as to the services they will deploy and the architecture of their networks.  Under these rules</w:t>
      </w:r>
      <w:r>
        <w:t>,</w:t>
      </w:r>
      <w:r w:rsidRPr="005D46C5">
        <w:t xml:space="preserve"> licensees are able to deploy mobile services,</w:t>
      </w:r>
      <w:r>
        <w:rPr>
          <w:rStyle w:val="FootnoteReference"/>
          <w:szCs w:val="22"/>
        </w:rPr>
        <w:footnoteReference w:id="13"/>
      </w:r>
      <w:r w:rsidRPr="005D46C5">
        <w:t xml:space="preserve"> but </w:t>
      </w:r>
      <w:r>
        <w:t xml:space="preserve">they also may </w:t>
      </w:r>
      <w:r w:rsidRPr="005D46C5">
        <w:t xml:space="preserve">implement </w:t>
      </w:r>
      <w:r>
        <w:t xml:space="preserve">fixed </w:t>
      </w:r>
      <w:r w:rsidRPr="005D46C5">
        <w:t>point-to-point and point-to-multipoint systems.</w:t>
      </w:r>
      <w:r>
        <w:rPr>
          <w:rStyle w:val="FootnoteReference"/>
          <w:szCs w:val="22"/>
        </w:rPr>
        <w:footnoteReference w:id="14"/>
      </w:r>
      <w:r w:rsidRPr="005D46C5">
        <w:t xml:space="preserve">  </w:t>
      </w:r>
      <w:r>
        <w:t>Among other things, the UMFUS rules specify that emissions outside of a licensee’s assigned frequency block must be limited to –13 dBm/</w:t>
      </w:r>
      <w:r>
        <w:t>MHz.</w:t>
      </w:r>
      <w:r>
        <w:rPr>
          <w:rStyle w:val="FootnoteReference"/>
          <w:szCs w:val="22"/>
        </w:rPr>
        <w:footnoteReference w:id="15"/>
      </w:r>
      <w:r>
        <w:t xml:space="preserve">  With respect to the passive systems operating in the 23.6-24 GHz band, the Commission noted </w:t>
      </w:r>
      <w:r w:rsidRPr="008A6225">
        <w:t xml:space="preserve">that ongoing international studies </w:t>
      </w:r>
      <w:r w:rsidRPr="008A6225">
        <w:t>include</w:t>
      </w:r>
      <w:r>
        <w:t>d</w:t>
      </w:r>
      <w:r w:rsidRPr="008A6225">
        <w:t xml:space="preserve"> analyses to determine</w:t>
      </w:r>
      <w:r w:rsidRPr="00C53F0E">
        <w:t xml:space="preserve"> </w:t>
      </w:r>
      <w:r>
        <w:t>International Mobile Telecommunications (IMT)</w:t>
      </w:r>
      <w:r>
        <w:rPr>
          <w:rStyle w:val="FootnoteReference"/>
          <w:szCs w:val="22"/>
        </w:rPr>
        <w:footnoteReference w:id="16"/>
      </w:r>
      <w:r w:rsidRPr="008A6225">
        <w:t xml:space="preserve"> </w:t>
      </w:r>
      <w:r>
        <w:t>unwanted</w:t>
      </w:r>
      <w:r w:rsidRPr="008A6225">
        <w:t xml:space="preserve"> emission</w:t>
      </w:r>
      <w:r>
        <w:t>s</w:t>
      </w:r>
      <w:r w:rsidRPr="008A6225">
        <w:t xml:space="preserve"> limits necessary to protect passive sensors</w:t>
      </w:r>
      <w:r>
        <w:t>,</w:t>
      </w:r>
      <w:r w:rsidRPr="008A6225">
        <w:t xml:space="preserve"> </w:t>
      </w:r>
      <w:r>
        <w:t>and it acknowledged that the Commission’s UMFUS rules might be revisited o</w:t>
      </w:r>
      <w:r w:rsidRPr="008A6225">
        <w:t>nce the</w:t>
      </w:r>
      <w:r>
        <w:t>se</w:t>
      </w:r>
      <w:r w:rsidRPr="008A6225">
        <w:t xml:space="preserve"> international studies ha</w:t>
      </w:r>
      <w:r>
        <w:t>d</w:t>
      </w:r>
      <w:r w:rsidRPr="008A6225">
        <w:t xml:space="preserve"> been completed.</w:t>
      </w:r>
      <w:r>
        <w:rPr>
          <w:rStyle w:val="FootnoteReference"/>
        </w:rPr>
        <w:footnoteReference w:id="17"/>
      </w:r>
    </w:p>
    <w:p w:rsidR="00B83427" w:rsidRPr="005D46C5" w:rsidP="002F648B" w14:paraId="649833DB" w14:textId="6F526038">
      <w:pPr>
        <w:pStyle w:val="ParaNum"/>
      </w:pPr>
      <w:r w:rsidRPr="005D46C5">
        <w:t>WRC-19 allocated 24.25-25.25 GHz to mobile (except aeronautical) on a primary basis in Regions 1 and 2</w:t>
      </w:r>
      <w:r w:rsidRPr="005D46C5">
        <w:rPr>
          <w:rStyle w:val="CommentReference"/>
          <w:szCs w:val="22"/>
        </w:rPr>
        <w:t xml:space="preserve">, </w:t>
      </w:r>
      <w:r w:rsidRPr="005D46C5">
        <w:t>globally identified the 24.25-27.5 GHz band for IMT, and established limits o</w:t>
      </w:r>
      <w:r>
        <w:t xml:space="preserve">n </w:t>
      </w:r>
      <w:r w:rsidRPr="005D46C5">
        <w:t xml:space="preserve">unwanted emissions </w:t>
      </w:r>
      <w:r>
        <w:t xml:space="preserve">applicable </w:t>
      </w:r>
      <w:r w:rsidRPr="005D46C5">
        <w:t>to IMT in the 24.25-27.5 GHz band to protect EESS passive systems in the 23.6-24.0 GHz band from harmful interference.</w:t>
      </w:r>
      <w:r>
        <w:rPr>
          <w:rStyle w:val="FootnoteReference"/>
          <w:szCs w:val="22"/>
        </w:rPr>
        <w:footnoteReference w:id="18"/>
      </w:r>
      <w:r w:rsidRPr="005D46C5">
        <w:t xml:space="preserve">  To protect EESS passive systems, WRC-19 modified a footnote to the International Table of Allocations </w:t>
      </w:r>
      <w:r>
        <w:t>to add a new limit contained in</w:t>
      </w:r>
      <w:r w:rsidRPr="005D46C5">
        <w:t xml:space="preserve"> Resolution 750 (Rev. WRC-19</w:t>
      </w:r>
      <w:r>
        <w:t>)</w:t>
      </w:r>
      <w:r w:rsidRPr="005D46C5">
        <w:t>.</w:t>
      </w:r>
      <w:r>
        <w:rPr>
          <w:rStyle w:val="FootnoteReference"/>
          <w:szCs w:val="22"/>
        </w:rPr>
        <w:footnoteReference w:id="19"/>
      </w:r>
      <w:r w:rsidRPr="005D46C5">
        <w:t xml:space="preserve">  Resolution 750 specifies unwanted emission</w:t>
      </w:r>
      <w:r>
        <w:t>s</w:t>
      </w:r>
      <w:r w:rsidRPr="005D46C5">
        <w:t xml:space="preserve"> limits in terms of Total Radiated Power (TRP)</w:t>
      </w:r>
      <w:r>
        <w:rPr>
          <w:rStyle w:val="FootnoteReference"/>
          <w:szCs w:val="22"/>
        </w:rPr>
        <w:footnoteReference w:id="20"/>
      </w:r>
      <w:r>
        <w:t xml:space="preserve"> </w:t>
      </w:r>
      <w:r w:rsidRPr="005D46C5">
        <w:t xml:space="preserve">as the amount of power that may be radiated into any 200 megahertz </w:t>
      </w:r>
      <w:r>
        <w:t xml:space="preserve">block </w:t>
      </w:r>
      <w:r w:rsidRPr="005D46C5">
        <w:t>of the 23.6-24.0 GHz passive band by IMT base stations and IMT mobile stations operating in the 24.25-27.5 GHz band.  Resolution 750 s</w:t>
      </w:r>
      <w:r>
        <w:t xml:space="preserve">ets emissions limits for current IMT devices as well as more stringent </w:t>
      </w:r>
      <w:r w:rsidRPr="005D46C5">
        <w:t>emission</w:t>
      </w:r>
      <w:r>
        <w:t>s</w:t>
      </w:r>
      <w:r w:rsidRPr="005D46C5">
        <w:t xml:space="preserve"> limits for</w:t>
      </w:r>
      <w:r>
        <w:t xml:space="preserve"> </w:t>
      </w:r>
      <w:r w:rsidRPr="005D46C5">
        <w:t xml:space="preserve">IMT </w:t>
      </w:r>
      <w:r>
        <w:t>devices</w:t>
      </w:r>
      <w:r w:rsidRPr="005D46C5">
        <w:t xml:space="preserve"> </w:t>
      </w:r>
      <w:r>
        <w:t xml:space="preserve">that will be </w:t>
      </w:r>
      <w:r w:rsidRPr="005D46C5">
        <w:t xml:space="preserve">brought into use </w:t>
      </w:r>
      <w:r>
        <w:t xml:space="preserve">in the 24.25-27.5 GHz band on or </w:t>
      </w:r>
      <w:r w:rsidRPr="005D46C5">
        <w:t>after September 1, 2027.</w:t>
      </w:r>
      <w:r>
        <w:rPr>
          <w:rStyle w:val="FootnoteReference"/>
          <w:szCs w:val="22"/>
        </w:rPr>
        <w:footnoteReference w:id="21"/>
      </w:r>
      <w:r w:rsidRPr="005D46C5">
        <w:t xml:space="preserve">  These </w:t>
      </w:r>
      <w:r>
        <w:t xml:space="preserve">two sets of </w:t>
      </w:r>
      <w:r w:rsidRPr="005D46C5">
        <w:t>unwanted emission</w:t>
      </w:r>
      <w:r>
        <w:t>s</w:t>
      </w:r>
      <w:r w:rsidRPr="005D46C5">
        <w:t xml:space="preserve"> limits are shown in Table 1.  </w:t>
      </w:r>
    </w:p>
    <w:p w:rsidR="00B83427" w:rsidRPr="005D46C5" w:rsidP="00B83427" w14:paraId="3E0A4581" w14:textId="77777777">
      <w:pPr>
        <w:pStyle w:val="ParaNum"/>
        <w:numPr>
          <w:ilvl w:val="0"/>
          <w:numId w:val="0"/>
        </w:numPr>
        <w:ind w:left="72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gridCol w:w="3117"/>
      </w:tblGrid>
      <w:tr w14:paraId="0348E715" w14:textId="77777777" w:rsidTr="002F64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0" w:type="dxa"/>
            <w:gridSpan w:val="3"/>
            <w:shd w:val="clear" w:color="auto" w:fill="auto"/>
          </w:tcPr>
          <w:p w:rsidR="00B83427" w:rsidRPr="005D46C5" w:rsidP="002F648B" w14:paraId="2B1943C0" w14:textId="77777777">
            <w:pPr>
              <w:spacing w:after="120"/>
              <w:jc w:val="center"/>
              <w:rPr>
                <w:szCs w:val="22"/>
              </w:rPr>
            </w:pPr>
            <w:r w:rsidRPr="005D46C5">
              <w:rPr>
                <w:szCs w:val="22"/>
              </w:rPr>
              <w:t>Table 1: WRC-19 Resolution 750 Unwanted emissions permitted within any 200 megahertz in the 23.6-24 GHz passive band</w:t>
            </w:r>
          </w:p>
        </w:tc>
      </w:tr>
      <w:tr w14:paraId="17E0B3E5" w14:textId="77777777" w:rsidTr="002F648B">
        <w:tblPrEx>
          <w:tblW w:w="0" w:type="auto"/>
          <w:tblLook w:val="04A0"/>
        </w:tblPrEx>
        <w:tc>
          <w:tcPr>
            <w:tcW w:w="3116" w:type="dxa"/>
            <w:tcBorders>
              <w:bottom w:val="double" w:sz="4" w:space="0" w:color="auto"/>
              <w:right w:val="double" w:sz="4" w:space="0" w:color="auto"/>
            </w:tcBorders>
            <w:shd w:val="clear" w:color="auto" w:fill="auto"/>
          </w:tcPr>
          <w:p w:rsidR="00B83427" w:rsidRPr="005D46C5" w:rsidP="002F648B" w14:paraId="1ED5CB4D" w14:textId="77777777">
            <w:pPr>
              <w:spacing w:after="120"/>
              <w:jc w:val="center"/>
              <w:rPr>
                <w:szCs w:val="22"/>
              </w:rPr>
            </w:pPr>
            <w:r w:rsidRPr="005D46C5">
              <w:rPr>
                <w:szCs w:val="22"/>
              </w:rPr>
              <w:t>Type of Station</w:t>
            </w:r>
          </w:p>
        </w:tc>
        <w:tc>
          <w:tcPr>
            <w:tcW w:w="3117" w:type="dxa"/>
            <w:tcBorders>
              <w:left w:val="double" w:sz="4" w:space="0" w:color="auto"/>
              <w:bottom w:val="double" w:sz="4" w:space="0" w:color="auto"/>
            </w:tcBorders>
            <w:shd w:val="clear" w:color="auto" w:fill="auto"/>
          </w:tcPr>
          <w:p w:rsidR="00B83427" w:rsidRPr="005D46C5" w:rsidP="002F648B" w14:paraId="0AE50512" w14:textId="77777777">
            <w:pPr>
              <w:spacing w:after="120"/>
              <w:jc w:val="center"/>
              <w:rPr>
                <w:szCs w:val="22"/>
              </w:rPr>
            </w:pPr>
            <w:r w:rsidRPr="005D46C5">
              <w:rPr>
                <w:szCs w:val="22"/>
              </w:rPr>
              <w:t>Current TRP Limits</w:t>
            </w:r>
          </w:p>
        </w:tc>
        <w:tc>
          <w:tcPr>
            <w:tcW w:w="3117" w:type="dxa"/>
            <w:tcBorders>
              <w:bottom w:val="double" w:sz="4" w:space="0" w:color="auto"/>
            </w:tcBorders>
            <w:shd w:val="clear" w:color="auto" w:fill="auto"/>
          </w:tcPr>
          <w:p w:rsidR="00B83427" w:rsidRPr="005D46C5" w:rsidP="002F648B" w14:paraId="0F004195" w14:textId="77777777">
            <w:pPr>
              <w:spacing w:after="120"/>
              <w:jc w:val="center"/>
              <w:rPr>
                <w:szCs w:val="22"/>
              </w:rPr>
            </w:pPr>
            <w:r w:rsidRPr="005D46C5">
              <w:rPr>
                <w:szCs w:val="22"/>
              </w:rPr>
              <w:t>TRP Limits After Sept. 1, 2027</w:t>
            </w:r>
          </w:p>
        </w:tc>
      </w:tr>
      <w:tr w14:paraId="3200AD84" w14:textId="77777777" w:rsidTr="002F648B">
        <w:tblPrEx>
          <w:tblW w:w="0" w:type="auto"/>
          <w:tblLook w:val="04A0"/>
        </w:tblPrEx>
        <w:tc>
          <w:tcPr>
            <w:tcW w:w="3116" w:type="dxa"/>
            <w:tcBorders>
              <w:top w:val="double" w:sz="4" w:space="0" w:color="auto"/>
              <w:right w:val="double" w:sz="4" w:space="0" w:color="auto"/>
            </w:tcBorders>
            <w:shd w:val="clear" w:color="auto" w:fill="auto"/>
          </w:tcPr>
          <w:p w:rsidR="00B83427" w:rsidRPr="005D46C5" w:rsidP="002F648B" w14:paraId="2262059A" w14:textId="77777777">
            <w:pPr>
              <w:spacing w:after="120"/>
              <w:jc w:val="center"/>
              <w:rPr>
                <w:szCs w:val="22"/>
              </w:rPr>
            </w:pPr>
            <w:r w:rsidRPr="005D46C5">
              <w:rPr>
                <w:szCs w:val="22"/>
              </w:rPr>
              <w:t>IMT Base Stations</w:t>
            </w:r>
          </w:p>
        </w:tc>
        <w:tc>
          <w:tcPr>
            <w:tcW w:w="3117" w:type="dxa"/>
            <w:tcBorders>
              <w:top w:val="double" w:sz="4" w:space="0" w:color="auto"/>
              <w:left w:val="double" w:sz="4" w:space="0" w:color="auto"/>
            </w:tcBorders>
            <w:shd w:val="clear" w:color="auto" w:fill="auto"/>
          </w:tcPr>
          <w:p w:rsidR="00B83427" w:rsidRPr="005D46C5" w:rsidP="002F648B" w14:paraId="257D9B45" w14:textId="77777777">
            <w:pPr>
              <w:spacing w:after="120"/>
              <w:jc w:val="center"/>
              <w:rPr>
                <w:szCs w:val="22"/>
              </w:rPr>
            </w:pPr>
            <w:r w:rsidRPr="005D46C5">
              <w:rPr>
                <w:szCs w:val="22"/>
              </w:rPr>
              <w:t xml:space="preserve">–33 </w:t>
            </w:r>
            <w:r w:rsidRPr="005D46C5">
              <w:rPr>
                <w:szCs w:val="22"/>
              </w:rPr>
              <w:t>dBW</w:t>
            </w:r>
          </w:p>
        </w:tc>
        <w:tc>
          <w:tcPr>
            <w:tcW w:w="3117" w:type="dxa"/>
            <w:tcBorders>
              <w:top w:val="double" w:sz="4" w:space="0" w:color="auto"/>
            </w:tcBorders>
            <w:shd w:val="clear" w:color="auto" w:fill="auto"/>
          </w:tcPr>
          <w:p w:rsidR="00B83427" w:rsidRPr="005D46C5" w:rsidP="002F648B" w14:paraId="5EBA73FE" w14:textId="77777777">
            <w:pPr>
              <w:spacing w:after="120"/>
              <w:jc w:val="center"/>
              <w:rPr>
                <w:szCs w:val="22"/>
              </w:rPr>
            </w:pPr>
            <w:r w:rsidRPr="005D46C5">
              <w:rPr>
                <w:szCs w:val="22"/>
              </w:rPr>
              <w:t xml:space="preserve">–39 </w:t>
            </w:r>
            <w:r w:rsidRPr="005D46C5">
              <w:rPr>
                <w:szCs w:val="22"/>
              </w:rPr>
              <w:t>dBW</w:t>
            </w:r>
          </w:p>
        </w:tc>
      </w:tr>
      <w:tr w14:paraId="661F30A9" w14:textId="77777777" w:rsidTr="002F648B">
        <w:tblPrEx>
          <w:tblW w:w="0" w:type="auto"/>
          <w:tblLook w:val="04A0"/>
        </w:tblPrEx>
        <w:tc>
          <w:tcPr>
            <w:tcW w:w="3116" w:type="dxa"/>
            <w:tcBorders>
              <w:right w:val="double" w:sz="4" w:space="0" w:color="auto"/>
            </w:tcBorders>
            <w:shd w:val="clear" w:color="auto" w:fill="auto"/>
          </w:tcPr>
          <w:p w:rsidR="00B83427" w:rsidRPr="005D46C5" w:rsidP="002F648B" w14:paraId="5F0D7D6A" w14:textId="77777777">
            <w:pPr>
              <w:spacing w:after="120"/>
              <w:jc w:val="center"/>
              <w:rPr>
                <w:szCs w:val="22"/>
              </w:rPr>
            </w:pPr>
            <w:r w:rsidRPr="005D46C5">
              <w:rPr>
                <w:szCs w:val="22"/>
              </w:rPr>
              <w:t>IMT Mobile Stations</w:t>
            </w:r>
          </w:p>
        </w:tc>
        <w:tc>
          <w:tcPr>
            <w:tcW w:w="3117" w:type="dxa"/>
            <w:tcBorders>
              <w:left w:val="double" w:sz="4" w:space="0" w:color="auto"/>
            </w:tcBorders>
            <w:shd w:val="clear" w:color="auto" w:fill="auto"/>
          </w:tcPr>
          <w:p w:rsidR="00B83427" w:rsidRPr="005D46C5" w:rsidP="002F648B" w14:paraId="23912AE5" w14:textId="77777777">
            <w:pPr>
              <w:spacing w:after="120"/>
              <w:jc w:val="center"/>
              <w:rPr>
                <w:szCs w:val="22"/>
              </w:rPr>
            </w:pPr>
            <w:r w:rsidRPr="005D46C5">
              <w:rPr>
                <w:szCs w:val="22"/>
              </w:rPr>
              <w:t xml:space="preserve">–29 </w:t>
            </w:r>
            <w:r w:rsidRPr="005D46C5">
              <w:rPr>
                <w:szCs w:val="22"/>
              </w:rPr>
              <w:t>dBW</w:t>
            </w:r>
          </w:p>
        </w:tc>
        <w:tc>
          <w:tcPr>
            <w:tcW w:w="3117" w:type="dxa"/>
            <w:shd w:val="clear" w:color="auto" w:fill="auto"/>
          </w:tcPr>
          <w:p w:rsidR="00B83427" w:rsidRPr="005D46C5" w:rsidP="002F648B" w14:paraId="13274F70" w14:textId="77777777">
            <w:pPr>
              <w:spacing w:after="120"/>
              <w:jc w:val="center"/>
              <w:rPr>
                <w:szCs w:val="22"/>
              </w:rPr>
            </w:pPr>
            <w:r w:rsidRPr="005D46C5">
              <w:rPr>
                <w:szCs w:val="22"/>
              </w:rPr>
              <w:t xml:space="preserve">–35 </w:t>
            </w:r>
            <w:r w:rsidRPr="005D46C5">
              <w:rPr>
                <w:szCs w:val="22"/>
              </w:rPr>
              <w:t>dBW</w:t>
            </w:r>
          </w:p>
        </w:tc>
      </w:tr>
    </w:tbl>
    <w:p w:rsidR="00B83427" w:rsidRPr="005D46C5" w:rsidP="00B83427" w14:paraId="559AAD58" w14:textId="77777777">
      <w:pPr>
        <w:pStyle w:val="ParaNum"/>
        <w:widowControl/>
        <w:numPr>
          <w:ilvl w:val="0"/>
          <w:numId w:val="0"/>
        </w:numPr>
        <w:ind w:left="810"/>
        <w:rPr>
          <w:szCs w:val="22"/>
        </w:rPr>
      </w:pPr>
    </w:p>
    <w:p w:rsidR="00B83427" w:rsidRPr="005D46C5" w:rsidP="002F648B" w14:paraId="29F8DCAA" w14:textId="72C334DA">
      <w:pPr>
        <w:pStyle w:val="ParaNum"/>
        <w:rPr>
          <w:szCs w:val="22"/>
        </w:rPr>
      </w:pPr>
      <w:r>
        <w:rPr>
          <w:szCs w:val="22"/>
        </w:rPr>
        <w:t xml:space="preserve">On April 26, 2021, </w:t>
      </w:r>
      <w:r w:rsidRPr="005D46C5">
        <w:rPr>
          <w:szCs w:val="22"/>
        </w:rPr>
        <w:t xml:space="preserve">the Office of Engineering and Technology and the Wireless Telecommunications Bureau issued </w:t>
      </w:r>
      <w:r>
        <w:rPr>
          <w:szCs w:val="22"/>
        </w:rPr>
        <w:t xml:space="preserve">a </w:t>
      </w:r>
      <w:r w:rsidRPr="00EF79F9">
        <w:rPr>
          <w:i/>
          <w:iCs/>
          <w:szCs w:val="22"/>
        </w:rPr>
        <w:t>Public Notice</w:t>
      </w:r>
      <w:r w:rsidRPr="005D46C5">
        <w:rPr>
          <w:szCs w:val="22"/>
        </w:rPr>
        <w:t xml:space="preserve"> </w:t>
      </w:r>
      <w:r>
        <w:rPr>
          <w:szCs w:val="22"/>
        </w:rPr>
        <w:t>that sought</w:t>
      </w:r>
      <w:r w:rsidRPr="005D46C5">
        <w:rPr>
          <w:szCs w:val="22"/>
        </w:rPr>
        <w:t xml:space="preserve"> to develop a record on </w:t>
      </w:r>
      <w:r>
        <w:rPr>
          <w:szCs w:val="22"/>
        </w:rPr>
        <w:t xml:space="preserve">whether and </w:t>
      </w:r>
      <w:r w:rsidRPr="005D46C5">
        <w:rPr>
          <w:szCs w:val="22"/>
        </w:rPr>
        <w:t xml:space="preserve">how </w:t>
      </w:r>
      <w:r>
        <w:rPr>
          <w:szCs w:val="22"/>
        </w:rPr>
        <w:t xml:space="preserve">the </w:t>
      </w:r>
      <w:r w:rsidRPr="002F648B">
        <w:t>Commission</w:t>
      </w:r>
      <w:r>
        <w:rPr>
          <w:szCs w:val="22"/>
        </w:rPr>
        <w:t xml:space="preserve"> could </w:t>
      </w:r>
      <w:r w:rsidRPr="005D46C5">
        <w:rPr>
          <w:szCs w:val="22"/>
        </w:rPr>
        <w:t>implement the emission</w:t>
      </w:r>
      <w:r>
        <w:rPr>
          <w:szCs w:val="22"/>
        </w:rPr>
        <w:t>s</w:t>
      </w:r>
      <w:r w:rsidRPr="005D46C5">
        <w:rPr>
          <w:szCs w:val="22"/>
        </w:rPr>
        <w:t xml:space="preserve"> limit</w:t>
      </w:r>
      <w:r>
        <w:rPr>
          <w:szCs w:val="22"/>
        </w:rPr>
        <w:t>s</w:t>
      </w:r>
      <w:r w:rsidRPr="005D46C5">
        <w:rPr>
          <w:szCs w:val="22"/>
        </w:rPr>
        <w:t xml:space="preserve"> contained in Resolution 750 </w:t>
      </w:r>
      <w:r>
        <w:rPr>
          <w:szCs w:val="22"/>
        </w:rPr>
        <w:t>for the</w:t>
      </w:r>
      <w:r w:rsidRPr="005D46C5">
        <w:rPr>
          <w:szCs w:val="22"/>
        </w:rPr>
        <w:t xml:space="preserve"> active services in the 24 GHz band</w:t>
      </w:r>
      <w:r>
        <w:rPr>
          <w:szCs w:val="22"/>
        </w:rPr>
        <w:t>.</w:t>
      </w:r>
      <w:r w:rsidRPr="0014010F">
        <w:rPr>
          <w:rStyle w:val="FootnoteReference"/>
          <w:szCs w:val="22"/>
        </w:rPr>
        <w:t xml:space="preserve"> </w:t>
      </w:r>
      <w:r>
        <w:rPr>
          <w:rStyle w:val="FootnoteReference"/>
          <w:szCs w:val="22"/>
        </w:rPr>
        <w:footnoteReference w:id="22"/>
      </w:r>
      <w:r w:rsidRPr="005D46C5">
        <w:rPr>
          <w:szCs w:val="22"/>
        </w:rPr>
        <w:t xml:space="preserve"> </w:t>
      </w:r>
      <w:r>
        <w:rPr>
          <w:szCs w:val="22"/>
        </w:rPr>
        <w:t xml:space="preserve"> The </w:t>
      </w:r>
      <w:r w:rsidRPr="00075F1B">
        <w:rPr>
          <w:i/>
          <w:iCs/>
          <w:szCs w:val="22"/>
        </w:rPr>
        <w:t>Public Notice</w:t>
      </w:r>
      <w:r>
        <w:rPr>
          <w:szCs w:val="22"/>
        </w:rPr>
        <w:t xml:space="preserve"> specifically sought comment on the possibility of amending </w:t>
      </w:r>
      <w:r w:rsidR="007B3FC2">
        <w:rPr>
          <w:szCs w:val="22"/>
        </w:rPr>
        <w:t xml:space="preserve">part </w:t>
      </w:r>
      <w:r>
        <w:rPr>
          <w:szCs w:val="22"/>
        </w:rPr>
        <w:t xml:space="preserve">30 of the Commission’s rules to conform to the unwanted emissions limits into the passive 23.6-24.0 </w:t>
      </w:r>
      <w:r>
        <w:rPr>
          <w:szCs w:val="22"/>
        </w:rPr>
        <w:t xml:space="preserve">GHz band that were adopted at WRC-19 and/or to </w:t>
      </w:r>
      <w:r w:rsidRPr="005D46C5">
        <w:rPr>
          <w:szCs w:val="22"/>
        </w:rPr>
        <w:t>add footnotes to the United States Table of Frequency Allocations</w:t>
      </w:r>
      <w:r>
        <w:rPr>
          <w:szCs w:val="22"/>
        </w:rPr>
        <w:t xml:space="preserve"> at </w:t>
      </w:r>
      <w:r w:rsidR="007B3FC2">
        <w:rPr>
          <w:szCs w:val="22"/>
        </w:rPr>
        <w:t xml:space="preserve">part </w:t>
      </w:r>
      <w:r>
        <w:rPr>
          <w:szCs w:val="22"/>
        </w:rPr>
        <w:t>2 of the Commission’s rules</w:t>
      </w:r>
      <w:r w:rsidRPr="005D46C5">
        <w:rPr>
          <w:szCs w:val="22"/>
        </w:rPr>
        <w:t>.</w:t>
      </w:r>
      <w:r>
        <w:rPr>
          <w:rStyle w:val="FootnoteReference"/>
          <w:szCs w:val="22"/>
        </w:rPr>
        <w:footnoteReference w:id="23"/>
      </w:r>
      <w:r w:rsidRPr="005D46C5">
        <w:rPr>
          <w:szCs w:val="22"/>
        </w:rPr>
        <w:t xml:space="preserve"> </w:t>
      </w:r>
    </w:p>
    <w:p w:rsidR="00B83427" w:rsidRPr="005D46C5" w:rsidP="002F648B" w14:paraId="4B363B7A" w14:textId="5955CABE">
      <w:pPr>
        <w:pStyle w:val="ParaNum"/>
        <w:rPr>
          <w:szCs w:val="22"/>
        </w:rPr>
      </w:pPr>
      <w:r>
        <w:rPr>
          <w:szCs w:val="22"/>
        </w:rPr>
        <w:t>T</w:t>
      </w:r>
      <w:r w:rsidRPr="005D46C5">
        <w:rPr>
          <w:szCs w:val="22"/>
        </w:rPr>
        <w:t xml:space="preserve">he </w:t>
      </w:r>
      <w:r w:rsidRPr="003D0451">
        <w:rPr>
          <w:i/>
          <w:iCs/>
          <w:szCs w:val="22"/>
        </w:rPr>
        <w:t>Public Notice</w:t>
      </w:r>
      <w:r w:rsidRPr="005D46C5">
        <w:rPr>
          <w:szCs w:val="22"/>
        </w:rPr>
        <w:t xml:space="preserve"> sought </w:t>
      </w:r>
      <w:r>
        <w:rPr>
          <w:szCs w:val="22"/>
        </w:rPr>
        <w:t xml:space="preserve">comment regarding </w:t>
      </w:r>
      <w:r w:rsidRPr="005D46C5">
        <w:rPr>
          <w:szCs w:val="22"/>
        </w:rPr>
        <w:t>what level of emissions could be expected within the 23.6-24</w:t>
      </w:r>
      <w:r w:rsidR="00CD111F">
        <w:rPr>
          <w:szCs w:val="22"/>
        </w:rPr>
        <w:t>.0</w:t>
      </w:r>
      <w:r w:rsidRPr="005D46C5">
        <w:rPr>
          <w:szCs w:val="22"/>
        </w:rPr>
        <w:t xml:space="preserve"> GHz </w:t>
      </w:r>
      <w:r w:rsidRPr="00B83427">
        <w:t>band</w:t>
      </w:r>
      <w:r w:rsidRPr="005D46C5">
        <w:rPr>
          <w:szCs w:val="22"/>
        </w:rPr>
        <w:t xml:space="preserve"> from UMFUS transmitters, and whether and to what extent new 5G </w:t>
      </w:r>
      <w:r w:rsidRPr="002F648B">
        <w:t>deployments</w:t>
      </w:r>
      <w:r w:rsidRPr="005D46C5">
        <w:rPr>
          <w:szCs w:val="22"/>
        </w:rPr>
        <w:t xml:space="preserve"> at the current UMFUS </w:t>
      </w:r>
      <w:r>
        <w:rPr>
          <w:szCs w:val="22"/>
        </w:rPr>
        <w:t xml:space="preserve">emissions </w:t>
      </w:r>
      <w:r w:rsidRPr="005D46C5">
        <w:rPr>
          <w:szCs w:val="22"/>
        </w:rPr>
        <w:t>limit</w:t>
      </w:r>
      <w:r>
        <w:rPr>
          <w:szCs w:val="22"/>
        </w:rPr>
        <w:t>s could cause</w:t>
      </w:r>
      <w:r w:rsidRPr="005D46C5">
        <w:rPr>
          <w:szCs w:val="22"/>
        </w:rPr>
        <w:t xml:space="preserve"> harmful interference to passive systems operating in the 23.6-24.0 GHz.</w:t>
      </w:r>
      <w:r>
        <w:rPr>
          <w:rStyle w:val="FootnoteReference"/>
          <w:szCs w:val="22"/>
        </w:rPr>
        <w:footnoteReference w:id="24"/>
      </w:r>
      <w:r w:rsidRPr="005D46C5">
        <w:rPr>
          <w:szCs w:val="22"/>
        </w:rPr>
        <w:t xml:space="preserve">  It also asked how equipment intended for use under the UMFUS rules in the </w:t>
      </w:r>
      <w:r>
        <w:rPr>
          <w:szCs w:val="22"/>
        </w:rPr>
        <w:t xml:space="preserve">24 </w:t>
      </w:r>
      <w:r w:rsidRPr="005D46C5">
        <w:rPr>
          <w:szCs w:val="22"/>
        </w:rPr>
        <w:t xml:space="preserve">GHz band could be </w:t>
      </w:r>
      <w:r>
        <w:rPr>
          <w:szCs w:val="22"/>
        </w:rPr>
        <w:t>reconfigured</w:t>
      </w:r>
      <w:r w:rsidRPr="005D46C5">
        <w:rPr>
          <w:szCs w:val="22"/>
        </w:rPr>
        <w:t xml:space="preserve"> to conform to </w:t>
      </w:r>
      <w:r>
        <w:rPr>
          <w:szCs w:val="22"/>
        </w:rPr>
        <w:t xml:space="preserve">both </w:t>
      </w:r>
      <w:r w:rsidRPr="005D46C5">
        <w:rPr>
          <w:szCs w:val="22"/>
        </w:rPr>
        <w:t xml:space="preserve">the </w:t>
      </w:r>
      <w:r>
        <w:rPr>
          <w:szCs w:val="22"/>
        </w:rPr>
        <w:t xml:space="preserve">current and future </w:t>
      </w:r>
      <w:r w:rsidRPr="005D46C5">
        <w:rPr>
          <w:szCs w:val="22"/>
        </w:rPr>
        <w:t xml:space="preserve">Resolution 750 </w:t>
      </w:r>
      <w:r>
        <w:rPr>
          <w:szCs w:val="22"/>
        </w:rPr>
        <w:t xml:space="preserve">unwanted emissions </w:t>
      </w:r>
      <w:r w:rsidRPr="005D46C5">
        <w:rPr>
          <w:szCs w:val="22"/>
        </w:rPr>
        <w:t>limits</w:t>
      </w:r>
      <w:r>
        <w:rPr>
          <w:szCs w:val="22"/>
        </w:rPr>
        <w:t xml:space="preserve">. </w:t>
      </w:r>
      <w:r w:rsidRPr="005D46C5">
        <w:rPr>
          <w:szCs w:val="22"/>
        </w:rPr>
        <w:t xml:space="preserve"> </w:t>
      </w:r>
      <w:r>
        <w:rPr>
          <w:szCs w:val="22"/>
        </w:rPr>
        <w:t xml:space="preserve">In addition, the </w:t>
      </w:r>
      <w:r>
        <w:rPr>
          <w:i/>
          <w:iCs/>
          <w:szCs w:val="22"/>
        </w:rPr>
        <w:t xml:space="preserve">Public Notice </w:t>
      </w:r>
      <w:r w:rsidRPr="005D46C5">
        <w:rPr>
          <w:szCs w:val="22"/>
        </w:rPr>
        <w:t>asked whether licensees could meet the</w:t>
      </w:r>
      <w:r>
        <w:rPr>
          <w:szCs w:val="22"/>
        </w:rPr>
        <w:t xml:space="preserve"> Resolution 750</w:t>
      </w:r>
      <w:r w:rsidRPr="005D46C5">
        <w:rPr>
          <w:szCs w:val="22"/>
        </w:rPr>
        <w:t xml:space="preserve"> deadlines</w:t>
      </w:r>
      <w:r>
        <w:rPr>
          <w:szCs w:val="22"/>
        </w:rPr>
        <w:t>, as well as</w:t>
      </w:r>
      <w:r w:rsidRPr="005D46C5">
        <w:rPr>
          <w:szCs w:val="22"/>
        </w:rPr>
        <w:t xml:space="preserve"> whether the Commission could help facilitate a more accelerated timeframe.</w:t>
      </w:r>
      <w:r>
        <w:rPr>
          <w:rStyle w:val="FootnoteReference"/>
          <w:szCs w:val="22"/>
        </w:rPr>
        <w:footnoteReference w:id="25"/>
      </w:r>
      <w:r w:rsidRPr="005D46C5">
        <w:rPr>
          <w:szCs w:val="22"/>
        </w:rPr>
        <w:t xml:space="preserve">  It </w:t>
      </w:r>
      <w:r>
        <w:rPr>
          <w:szCs w:val="22"/>
        </w:rPr>
        <w:t xml:space="preserve">also </w:t>
      </w:r>
      <w:r w:rsidRPr="005D46C5">
        <w:rPr>
          <w:szCs w:val="22"/>
        </w:rPr>
        <w:t xml:space="preserve">inquired whether such </w:t>
      </w:r>
      <w:r>
        <w:rPr>
          <w:szCs w:val="22"/>
        </w:rPr>
        <w:t xml:space="preserve">emissions </w:t>
      </w:r>
      <w:r w:rsidRPr="005D46C5">
        <w:rPr>
          <w:szCs w:val="22"/>
        </w:rPr>
        <w:t>limits should be measured as conducted power or total radiated power.</w:t>
      </w:r>
      <w:r>
        <w:rPr>
          <w:rStyle w:val="FootnoteReference"/>
          <w:szCs w:val="22"/>
        </w:rPr>
        <w:footnoteReference w:id="26"/>
      </w:r>
      <w:r w:rsidRPr="005D46C5">
        <w:rPr>
          <w:szCs w:val="22"/>
        </w:rPr>
        <w:t xml:space="preserve"> </w:t>
      </w:r>
    </w:p>
    <w:p w:rsidR="00B83427" w:rsidRPr="00E5536A" w:rsidP="002F648B" w14:paraId="7A94895D" w14:textId="77777777">
      <w:pPr>
        <w:pStyle w:val="ParaNum"/>
        <w:rPr>
          <w:szCs w:val="22"/>
        </w:rPr>
      </w:pPr>
      <w:r>
        <w:t>T</w:t>
      </w:r>
      <w:r w:rsidRPr="005D46C5">
        <w:t xml:space="preserve">he </w:t>
      </w:r>
      <w:r w:rsidRPr="00887AE2">
        <w:rPr>
          <w:i/>
          <w:iCs/>
        </w:rPr>
        <w:t>Public Notice</w:t>
      </w:r>
      <w:r w:rsidRPr="005D46C5">
        <w:t xml:space="preserve"> </w:t>
      </w:r>
      <w:r>
        <w:t xml:space="preserve">also sought comment on the scope of operations that would be covered </w:t>
      </w:r>
      <w:r w:rsidRPr="005D46C5">
        <w:t>if the Commission were to adopt the emission</w:t>
      </w:r>
      <w:r>
        <w:t>s</w:t>
      </w:r>
      <w:r w:rsidRPr="005D46C5">
        <w:t xml:space="preserve"> limits in Resolution 750 for the 24.25-27.5 GHz band</w:t>
      </w:r>
      <w:r>
        <w:t>.  In particular, it sought comment on whether the Resolution 750 unwanted emissions limits should apply to (1) IMT mobile systems only, (2) all mobile systems, or (3) all systems, including fixed point-to-point and point-to-multipoint systems.</w:t>
      </w:r>
      <w:r>
        <w:rPr>
          <w:rStyle w:val="FootnoteReference"/>
          <w:szCs w:val="22"/>
        </w:rPr>
        <w:footnoteReference w:id="27"/>
      </w:r>
      <w:r w:rsidRPr="005D46C5">
        <w:t xml:space="preserve">  As noted above, the unwanted emission</w:t>
      </w:r>
      <w:r>
        <w:t>s</w:t>
      </w:r>
      <w:r w:rsidRPr="005D46C5">
        <w:t xml:space="preserve"> limits of Resolution 750 apply only to IMT base stations and mobile stations.  IMT standards are not specific technologies, but rather specifications and requirements for high-speed mobile broadband service.</w:t>
      </w:r>
      <w:r>
        <w:rPr>
          <w:rStyle w:val="FootnoteReference"/>
          <w:szCs w:val="22"/>
        </w:rPr>
        <w:footnoteReference w:id="28"/>
      </w:r>
      <w:r>
        <w:t xml:space="preserve">  </w:t>
      </w:r>
      <w:r>
        <w:rPr>
          <w:szCs w:val="22"/>
        </w:rPr>
        <w:t xml:space="preserve">The </w:t>
      </w:r>
      <w:r w:rsidRPr="002C1392">
        <w:rPr>
          <w:i/>
          <w:iCs/>
          <w:szCs w:val="22"/>
        </w:rPr>
        <w:t>Public Notice</w:t>
      </w:r>
      <w:r>
        <w:rPr>
          <w:szCs w:val="22"/>
        </w:rPr>
        <w:t xml:space="preserve"> noted that Resolution 750 specified TRP as the only means of measuring whether equipment met the required emissions limits.</w:t>
      </w:r>
      <w:r>
        <w:rPr>
          <w:rStyle w:val="FootnoteReference"/>
          <w:szCs w:val="22"/>
        </w:rPr>
        <w:footnoteReference w:id="29"/>
      </w:r>
      <w:r>
        <w:rPr>
          <w:szCs w:val="22"/>
        </w:rPr>
        <w:t xml:space="preserve">  It asked if there are any difficulties in performing over the air TRP measurements at such low signal levels in the 24.25-24.45 GHz and </w:t>
      </w:r>
      <w:r w:rsidRPr="00A32C46">
        <w:rPr>
          <w:szCs w:val="22"/>
        </w:rPr>
        <w:t>24.75-25.25 GHz</w:t>
      </w:r>
      <w:r>
        <w:rPr>
          <w:szCs w:val="22"/>
        </w:rPr>
        <w:t xml:space="preserve"> bands, and whether a conductive power methodology should be permitted as an alternative means of demonstrating compliance with the emissions limits for equipment certification.</w:t>
      </w:r>
      <w:r>
        <w:rPr>
          <w:rStyle w:val="FootnoteReference"/>
          <w:szCs w:val="22"/>
        </w:rPr>
        <w:footnoteReference w:id="30"/>
      </w:r>
      <w:r>
        <w:rPr>
          <w:szCs w:val="22"/>
        </w:rPr>
        <w:t xml:space="preserve">  </w:t>
      </w:r>
    </w:p>
    <w:p w:rsidR="00B83427" w:rsidRPr="005D46C5" w:rsidP="002F648B" w14:paraId="2F66B105" w14:textId="77777777">
      <w:pPr>
        <w:pStyle w:val="ParaNum"/>
      </w:pPr>
      <w:bookmarkStart w:id="2" w:name="_Hlk80277509"/>
      <w:r w:rsidRPr="005D46C5">
        <w:t xml:space="preserve">Comments on the </w:t>
      </w:r>
      <w:r w:rsidRPr="00D443FD">
        <w:rPr>
          <w:i/>
          <w:iCs/>
        </w:rPr>
        <w:t xml:space="preserve">Public </w:t>
      </w:r>
      <w:r w:rsidRPr="00DB086C">
        <w:rPr>
          <w:i/>
          <w:iCs/>
        </w:rPr>
        <w:t>Notice</w:t>
      </w:r>
      <w:r w:rsidRPr="005D46C5">
        <w:t xml:space="preserve"> were due</w:t>
      </w:r>
      <w:r>
        <w:t xml:space="preserve"> </w:t>
      </w:r>
      <w:r w:rsidRPr="005D46C5">
        <w:t>June 26, 2021</w:t>
      </w:r>
      <w:r>
        <w:t>,</w:t>
      </w:r>
      <w:r w:rsidRPr="005D46C5">
        <w:t xml:space="preserve"> and </w:t>
      </w:r>
      <w:r>
        <w:t>r</w:t>
      </w:r>
      <w:r w:rsidRPr="005D46C5">
        <w:t xml:space="preserve">eply </w:t>
      </w:r>
      <w:r>
        <w:t>c</w:t>
      </w:r>
      <w:r w:rsidRPr="005D46C5">
        <w:t>omments were due July 26, 2021.</w:t>
      </w:r>
      <w:bookmarkEnd w:id="2"/>
      <w:r>
        <w:rPr>
          <w:rStyle w:val="FootnoteReference"/>
        </w:rPr>
        <w:footnoteReference w:id="31"/>
      </w:r>
      <w:r w:rsidRPr="005D46C5">
        <w:t xml:space="preserve">  The </w:t>
      </w:r>
      <w:r>
        <w:t xml:space="preserve">Office of Engineering and Technology and Wireless Telecommunications Bureau </w:t>
      </w:r>
      <w:r w:rsidRPr="005D46C5">
        <w:t xml:space="preserve">received </w:t>
      </w:r>
      <w:r>
        <w:t>ten</w:t>
      </w:r>
      <w:r w:rsidRPr="005D46C5">
        <w:t xml:space="preserve"> </w:t>
      </w:r>
      <w:r>
        <w:t>c</w:t>
      </w:r>
      <w:r w:rsidRPr="005D46C5">
        <w:t xml:space="preserve">omments, and four </w:t>
      </w:r>
      <w:r>
        <w:t>r</w:t>
      </w:r>
      <w:r w:rsidRPr="005D46C5">
        <w:t xml:space="preserve">eply </w:t>
      </w:r>
      <w:r>
        <w:t>c</w:t>
      </w:r>
      <w:r w:rsidRPr="005D46C5">
        <w:t xml:space="preserve">omments.  </w:t>
      </w:r>
      <w:r>
        <w:t xml:space="preserve">A list of commenters, reply commenters, and </w:t>
      </w:r>
      <w:r w:rsidRPr="00D443FD">
        <w:rPr>
          <w:i/>
        </w:rPr>
        <w:t>ex parte</w:t>
      </w:r>
      <w:r>
        <w:t xml:space="preserve"> filers is contained in Appendix C.</w:t>
      </w:r>
    </w:p>
    <w:p w:rsidR="00B83427" w:rsidP="00B83427" w14:paraId="11A1C697" w14:textId="77777777">
      <w:pPr>
        <w:pStyle w:val="Heading1"/>
        <w:widowControl/>
        <w:numPr>
          <w:ilvl w:val="0"/>
          <w:numId w:val="3"/>
        </w:numPr>
        <w:tabs>
          <w:tab w:val="left" w:pos="720"/>
        </w:tabs>
        <w:spacing w:after="220"/>
        <w:rPr>
          <w:rFonts w:ascii="Times New Roman" w:hAnsi="Times New Roman"/>
          <w:bCs/>
          <w:szCs w:val="22"/>
        </w:rPr>
      </w:pPr>
      <w:r w:rsidRPr="005D46C5">
        <w:rPr>
          <w:rFonts w:ascii="Times New Roman" w:hAnsi="Times New Roman"/>
          <w:bCs/>
          <w:szCs w:val="22"/>
        </w:rPr>
        <w:t>discussion</w:t>
      </w:r>
    </w:p>
    <w:p w:rsidR="00B83427" w:rsidRPr="002007CD" w:rsidP="005F2707" w14:paraId="064C440F" w14:textId="77777777">
      <w:pPr>
        <w:pStyle w:val="Heading2"/>
      </w:pPr>
      <w:r>
        <w:t>Revision of Commission Rules to Adopt Resolution 750 Unwanted Emissions Limits</w:t>
      </w:r>
    </w:p>
    <w:p w:rsidR="00B83427" w:rsidP="002F648B" w14:paraId="36DBA594" w14:textId="45CF7ED7">
      <w:pPr>
        <w:pStyle w:val="ParaNum"/>
      </w:pPr>
      <w:r>
        <w:t xml:space="preserve">We propose to adopt the Resolution 750 unwanted emissions limits adopted at WRC-19, to apply them to all mobile systems in the 24 GHz band, and to incorporate those limits into our </w:t>
      </w:r>
      <w:r w:rsidR="007B3FC2">
        <w:t xml:space="preserve">part </w:t>
      </w:r>
      <w:r>
        <w:t xml:space="preserve">30 technical </w:t>
      </w:r>
      <w:r w:rsidRPr="00366B34">
        <w:t>rules</w:t>
      </w:r>
      <w:r w:rsidRPr="00366B34" w:rsidR="004524DC">
        <w:t xml:space="preserve"> </w:t>
      </w:r>
      <w:r w:rsidRPr="00AC34BA" w:rsidR="004524DC">
        <w:t>as well as codifying them in a new US footnote to the Table of Frequency Allocations</w:t>
      </w:r>
      <w:r w:rsidRPr="00AC34BA" w:rsidR="00C7052F">
        <w:t xml:space="preserve"> </w:t>
      </w:r>
      <w:r w:rsidRPr="00AC34BA" w:rsidR="00C7052F">
        <w:t>(Allocation Table)</w:t>
      </w:r>
      <w:r w:rsidRPr="00366B34">
        <w:t>.</w:t>
      </w:r>
      <w:r>
        <w:rPr>
          <w:rStyle w:val="FootnoteReference"/>
        </w:rPr>
        <w:footnoteReference w:id="32"/>
      </w:r>
      <w:r>
        <w:t xml:space="preserve">  Under this proposal, as of the effective date of the rules, mobile operations in the 24 GHz band would be required to comply with the current TRP limits adopted at WRC-19.  We seek comment on this proposal and on alternative limits, including the</w:t>
      </w:r>
      <w:r w:rsidR="0049151F">
        <w:t xml:space="preserve"> effect of any changes to existing limits on smaller entities</w:t>
      </w:r>
      <w:r>
        <w:t>.  We also seek comment on the schedule for adoption of any revised limits, including adjustments that should be made for smaller entities to come into compliance.  Appropriate out-of-band emissions limits in the 24.25-27.5 GHz band are important to protect passive sensing operations in the 23.6-24.0 GHz band, which are central to weather forecasting and scientific research.</w:t>
      </w:r>
      <w:r>
        <w:rPr>
          <w:rStyle w:val="FootnoteReference"/>
          <w:szCs w:val="22"/>
        </w:rPr>
        <w:footnoteReference w:id="33"/>
      </w:r>
    </w:p>
    <w:p w:rsidR="007773D2" w:rsidP="007773D2" w14:paraId="31E408E6" w14:textId="4496B985">
      <w:pPr>
        <w:pStyle w:val="ParaNum"/>
      </w:pPr>
      <w:r>
        <w:t>Based on the record before us, it appears that the proposed Resolution 750 unwanted emission limits likely strike the appropriate balance between protecting passive sensing and facilitating use of the 24 GHz band.</w:t>
      </w:r>
      <w:r>
        <w:rPr>
          <w:rStyle w:val="FootnoteReference"/>
        </w:rPr>
        <w:footnoteReference w:id="34"/>
      </w:r>
      <w:r>
        <w:t xml:space="preserve">  NTIA, </w:t>
      </w:r>
      <w:r w:rsidRPr="005D46C5">
        <w:t>AT&amp;T, CTIA, Nokia, T-Mobile, Erics</w:t>
      </w:r>
      <w:r w:rsidR="004658DA">
        <w:t>s</w:t>
      </w:r>
      <w:r w:rsidRPr="005D46C5">
        <w:t>on, Marcus</w:t>
      </w:r>
      <w:r>
        <w:t xml:space="preserve"> &amp; Jornet, and AGU/AMS/NWA support adopting these limits</w:t>
      </w:r>
      <w:r w:rsidRPr="005D46C5">
        <w:t>.</w:t>
      </w:r>
      <w:r>
        <w:rPr>
          <w:rStyle w:val="FootnoteReference"/>
          <w:szCs w:val="22"/>
        </w:rPr>
        <w:footnoteReference w:id="35"/>
      </w:r>
      <w:r w:rsidRPr="005D46C5">
        <w:t xml:space="preserve">  </w:t>
      </w:r>
      <w:r>
        <w:t xml:space="preserve">They </w:t>
      </w:r>
      <w:r w:rsidRPr="005D46C5">
        <w:t>argue that adopting the</w:t>
      </w:r>
      <w:r>
        <w:t>se</w:t>
      </w:r>
      <w:r w:rsidRPr="005D46C5">
        <w:t xml:space="preserve"> limits would provide important protection to extremely sensitive passive satellite operations,</w:t>
      </w:r>
      <w:r>
        <w:rPr>
          <w:rStyle w:val="FootnoteReference"/>
          <w:szCs w:val="22"/>
        </w:rPr>
        <w:footnoteReference w:id="36"/>
      </w:r>
      <w:r w:rsidRPr="005D46C5">
        <w:t xml:space="preserve"> </w:t>
      </w:r>
      <w:r>
        <w:t xml:space="preserve">would </w:t>
      </w:r>
      <w:r w:rsidRPr="005D46C5">
        <w:t>allow 5G to continue to develop and deploy in the U.S.,</w:t>
      </w:r>
      <w:r>
        <w:rPr>
          <w:rStyle w:val="FootnoteReference"/>
          <w:szCs w:val="22"/>
        </w:rPr>
        <w:footnoteReference w:id="37"/>
      </w:r>
      <w:r w:rsidRPr="005D46C5">
        <w:t xml:space="preserve"> </w:t>
      </w:r>
      <w:r>
        <w:t xml:space="preserve">would </w:t>
      </w:r>
      <w:r w:rsidRPr="005D46C5">
        <w:t>be consistent with U.S. policy as a signatory to the treaty of the text of the Radio Regulations,</w:t>
      </w:r>
      <w:r>
        <w:rPr>
          <w:rStyle w:val="FootnoteReference"/>
          <w:szCs w:val="22"/>
        </w:rPr>
        <w:footnoteReference w:id="38"/>
      </w:r>
      <w:r w:rsidRPr="005D46C5">
        <w:t xml:space="preserve"> and </w:t>
      </w:r>
      <w:r>
        <w:t xml:space="preserve">would </w:t>
      </w:r>
      <w:r w:rsidRPr="005D46C5">
        <w:t>promote international harmonization.</w:t>
      </w:r>
      <w:r>
        <w:rPr>
          <w:rStyle w:val="FootnoteReference"/>
          <w:szCs w:val="22"/>
        </w:rPr>
        <w:footnoteReference w:id="39"/>
      </w:r>
      <w:r w:rsidRPr="005D46C5">
        <w:t xml:space="preserve">  Moreover, NTIA asserts that adopting the rules would </w:t>
      </w:r>
      <w:r w:rsidR="004658DA">
        <w:t xml:space="preserve">help to </w:t>
      </w:r>
      <w:r w:rsidRPr="005D46C5">
        <w:t xml:space="preserve">meet the Administration’s goals for climate monitoring and climatological science, </w:t>
      </w:r>
      <w:r>
        <w:t xml:space="preserve">would </w:t>
      </w:r>
      <w:r w:rsidRPr="005D46C5">
        <w:t xml:space="preserve">enable the U.S. to maintain its position as a world leader in telecommunications, and </w:t>
      </w:r>
      <w:r>
        <w:t xml:space="preserve">would </w:t>
      </w:r>
      <w:r w:rsidRPr="005D46C5">
        <w:t>enable manufacturers to produce equipment marketable across the globe.</w:t>
      </w:r>
      <w:r>
        <w:rPr>
          <w:rStyle w:val="FootnoteReference"/>
          <w:szCs w:val="22"/>
        </w:rPr>
        <w:footnoteReference w:id="40"/>
      </w:r>
      <w:r>
        <w:t xml:space="preserve">  We ask parties that support adopting the Resolution 750 limits to quantify the benefits of these limits.  </w:t>
      </w:r>
    </w:p>
    <w:p w:rsidR="007773D2" w:rsidP="00B65A86" w14:paraId="566011B3" w14:textId="4441CA75">
      <w:pPr>
        <w:pStyle w:val="ParaNum"/>
        <w:keepNext/>
        <w:widowControl/>
      </w:pPr>
      <w:r>
        <w:t>We note that, while equipment manufacturers support adopting the Resolution 750 limits,</w:t>
      </w:r>
      <w:r>
        <w:rPr>
          <w:rStyle w:val="FootnoteReference"/>
        </w:rPr>
        <w:footnoteReference w:id="41"/>
      </w:r>
      <w:r>
        <w:t xml:space="preserve"> Qualcomm, in its comments to the </w:t>
      </w:r>
      <w:r w:rsidRPr="00D675B7">
        <w:rPr>
          <w:i/>
          <w:iCs/>
        </w:rPr>
        <w:t>Public Notice</w:t>
      </w:r>
      <w:r>
        <w:t xml:space="preserve">, opposes adopting these limits because it alleges </w:t>
      </w:r>
      <w:r>
        <w:t xml:space="preserve">that they </w:t>
      </w:r>
      <w:r w:rsidRPr="00F94A56">
        <w:t>will require equipment that uses the 24 GHz UMFUS band to operate with lower in-band power levels</w:t>
      </w:r>
      <w:r>
        <w:t>.</w:t>
      </w:r>
      <w:r>
        <w:rPr>
          <w:rStyle w:val="FootnoteReference"/>
        </w:rPr>
        <w:footnoteReference w:id="42"/>
      </w:r>
      <w:r>
        <w:t xml:space="preserve">  We seek comment on Qualcomm’s concerns.  In particular, we ask parties that argue that adoption of the Resolution 750 limits would increase network deployment costs to quantify these additional costs and to specify the impact on </w:t>
      </w:r>
      <w:r>
        <w:t xml:space="preserve">existing and future </w:t>
      </w:r>
      <w:r>
        <w:t xml:space="preserve">service. </w:t>
      </w:r>
      <w:r>
        <w:t xml:space="preserve"> Commenters should separately discuss deployment costs associated with the current limits and </w:t>
      </w:r>
      <w:r>
        <w:rPr>
          <w:szCs w:val="22"/>
        </w:rPr>
        <w:t>l</w:t>
      </w:r>
      <w:r w:rsidRPr="005D46C5">
        <w:rPr>
          <w:szCs w:val="22"/>
        </w:rPr>
        <w:t xml:space="preserve">imits </w:t>
      </w:r>
      <w:r>
        <w:rPr>
          <w:szCs w:val="22"/>
        </w:rPr>
        <w:t xml:space="preserve">recommended for </w:t>
      </w:r>
      <w:r w:rsidRPr="00366B34" w:rsidR="004524DC">
        <w:rPr>
          <w:szCs w:val="22"/>
        </w:rPr>
        <w:t>implementation</w:t>
      </w:r>
      <w:r w:rsidR="004524DC">
        <w:rPr>
          <w:szCs w:val="22"/>
        </w:rPr>
        <w:t xml:space="preserve"> </w:t>
      </w:r>
      <w:r>
        <w:rPr>
          <w:szCs w:val="22"/>
        </w:rPr>
        <w:t>a</w:t>
      </w:r>
      <w:r w:rsidRPr="005D46C5">
        <w:rPr>
          <w:szCs w:val="22"/>
        </w:rPr>
        <w:t>fter Sept. 1, 2027</w:t>
      </w:r>
      <w:r>
        <w:rPr>
          <w:szCs w:val="22"/>
        </w:rPr>
        <w:t>.</w:t>
      </w:r>
      <w:r>
        <w:t xml:space="preserve"> </w:t>
      </w:r>
    </w:p>
    <w:p w:rsidR="00B83427" w:rsidRPr="00DB47C7" w:rsidP="002F648B" w14:paraId="78DA0293" w14:textId="4E225C90">
      <w:pPr>
        <w:pStyle w:val="ParaNum"/>
        <w:rPr>
          <w:szCs w:val="22"/>
        </w:rPr>
      </w:pPr>
      <w:r>
        <w:rPr>
          <w:szCs w:val="22"/>
        </w:rPr>
        <w:t>W</w:t>
      </w:r>
      <w:r>
        <w:rPr>
          <w:szCs w:val="22"/>
        </w:rPr>
        <w:t xml:space="preserve">e </w:t>
      </w:r>
      <w:r w:rsidRPr="00B83427">
        <w:t>propose</w:t>
      </w:r>
      <w:r>
        <w:rPr>
          <w:szCs w:val="22"/>
        </w:rPr>
        <w:t xml:space="preserve"> to adopt the limits set forth in Resolution 750</w:t>
      </w:r>
      <w:r>
        <w:rPr>
          <w:szCs w:val="22"/>
        </w:rPr>
        <w:t>.</w:t>
      </w:r>
      <w:r>
        <w:rPr>
          <w:szCs w:val="22"/>
        </w:rPr>
        <w:t xml:space="preserve"> </w:t>
      </w:r>
      <w:r>
        <w:rPr>
          <w:szCs w:val="22"/>
        </w:rPr>
        <w:t xml:space="preserve"> In doing so, </w:t>
      </w:r>
      <w:r>
        <w:rPr>
          <w:szCs w:val="22"/>
        </w:rPr>
        <w:t xml:space="preserve">we also seek comment on whether </w:t>
      </w:r>
      <w:r w:rsidR="00C369ED">
        <w:rPr>
          <w:szCs w:val="22"/>
        </w:rPr>
        <w:t>some</w:t>
      </w:r>
      <w:r w:rsidR="000A3090">
        <w:rPr>
          <w:szCs w:val="22"/>
        </w:rPr>
        <w:t xml:space="preserve"> changes to these limits </w:t>
      </w:r>
      <w:r w:rsidR="00C369ED">
        <w:rPr>
          <w:szCs w:val="22"/>
        </w:rPr>
        <w:t xml:space="preserve">may be </w:t>
      </w:r>
      <w:r>
        <w:rPr>
          <w:szCs w:val="22"/>
        </w:rPr>
        <w:t>appropriate</w:t>
      </w:r>
      <w:r w:rsidR="00C369ED">
        <w:rPr>
          <w:szCs w:val="22"/>
        </w:rPr>
        <w:t xml:space="preserve"> to help strike the best balance and better serve the public interest</w:t>
      </w:r>
      <w:r>
        <w:rPr>
          <w:szCs w:val="22"/>
        </w:rPr>
        <w:t xml:space="preserve"> in the United States</w:t>
      </w:r>
      <w:r w:rsidR="00C369ED">
        <w:rPr>
          <w:szCs w:val="22"/>
        </w:rPr>
        <w:t xml:space="preserve"> while </w:t>
      </w:r>
      <w:r>
        <w:rPr>
          <w:szCs w:val="22"/>
        </w:rPr>
        <w:t>protect</w:t>
      </w:r>
      <w:r w:rsidR="00C369ED">
        <w:rPr>
          <w:szCs w:val="22"/>
        </w:rPr>
        <w:t>ing</w:t>
      </w:r>
      <w:r>
        <w:rPr>
          <w:szCs w:val="22"/>
        </w:rPr>
        <w:t xml:space="preserve"> EESS operations in the 23.6-24.0 GHz band.  </w:t>
      </w:r>
      <w:r>
        <w:rPr>
          <w:szCs w:val="22"/>
        </w:rPr>
        <w:t xml:space="preserve">For example, </w:t>
      </w:r>
      <w:r w:rsidRPr="005D46C5">
        <w:rPr>
          <w:szCs w:val="22"/>
        </w:rPr>
        <w:t xml:space="preserve">CORF asserts </w:t>
      </w:r>
      <w:r>
        <w:rPr>
          <w:szCs w:val="22"/>
        </w:rPr>
        <w:t xml:space="preserve">that </w:t>
      </w:r>
      <w:r w:rsidRPr="005D46C5">
        <w:rPr>
          <w:szCs w:val="22"/>
        </w:rPr>
        <w:t>the WRC limits are not stringent enough</w:t>
      </w:r>
      <w:r>
        <w:rPr>
          <w:szCs w:val="22"/>
        </w:rPr>
        <w:t xml:space="preserve"> to protect EESS operations</w:t>
      </w:r>
      <w:r w:rsidRPr="005D46C5">
        <w:rPr>
          <w:szCs w:val="22"/>
        </w:rPr>
        <w:t xml:space="preserve">, and it </w:t>
      </w:r>
      <w:r>
        <w:rPr>
          <w:szCs w:val="22"/>
        </w:rPr>
        <w:t xml:space="preserve">requests that </w:t>
      </w:r>
      <w:r w:rsidRPr="005D46C5">
        <w:rPr>
          <w:szCs w:val="22"/>
        </w:rPr>
        <w:t xml:space="preserve">the Commission should either adopt the European OOBE standard </w:t>
      </w:r>
      <w:r>
        <w:rPr>
          <w:szCs w:val="22"/>
        </w:rPr>
        <w:t xml:space="preserve">it offered going into WRC-19 </w:t>
      </w:r>
      <w:r w:rsidRPr="005D46C5">
        <w:rPr>
          <w:szCs w:val="22"/>
        </w:rPr>
        <w:t xml:space="preserve">(–42 </w:t>
      </w:r>
      <w:r w:rsidRPr="005D46C5">
        <w:rPr>
          <w:szCs w:val="22"/>
        </w:rPr>
        <w:t>dBW</w:t>
      </w:r>
      <w:r w:rsidRPr="005D46C5">
        <w:rPr>
          <w:szCs w:val="22"/>
        </w:rPr>
        <w:t xml:space="preserve"> in 200 MHz)</w:t>
      </w:r>
      <w:r>
        <w:rPr>
          <w:rStyle w:val="FootnoteReference"/>
          <w:szCs w:val="22"/>
        </w:rPr>
        <w:footnoteReference w:id="43"/>
      </w:r>
      <w:r w:rsidRPr="005D46C5">
        <w:rPr>
          <w:szCs w:val="22"/>
        </w:rPr>
        <w:t xml:space="preserve"> or the World Meteorological Organization </w:t>
      </w:r>
      <w:r>
        <w:rPr>
          <w:szCs w:val="22"/>
        </w:rPr>
        <w:t xml:space="preserve">(WMO) </w:t>
      </w:r>
      <w:r w:rsidRPr="005D46C5">
        <w:rPr>
          <w:szCs w:val="22"/>
        </w:rPr>
        <w:t xml:space="preserve">proposal (–54 </w:t>
      </w:r>
      <w:r w:rsidRPr="005D46C5">
        <w:rPr>
          <w:szCs w:val="22"/>
        </w:rPr>
        <w:t>dBW</w:t>
      </w:r>
      <w:r w:rsidRPr="005D46C5">
        <w:rPr>
          <w:szCs w:val="22"/>
        </w:rPr>
        <w:t xml:space="preserve"> in 200 MHz).</w:t>
      </w:r>
      <w:r>
        <w:rPr>
          <w:rStyle w:val="FootnoteReference"/>
          <w:szCs w:val="22"/>
        </w:rPr>
        <w:footnoteReference w:id="44"/>
      </w:r>
      <w:r w:rsidRPr="005D46C5">
        <w:rPr>
          <w:szCs w:val="22"/>
        </w:rPr>
        <w:t xml:space="preserve">  CORF also points out that although the primary focus of the </w:t>
      </w:r>
      <w:r w:rsidRPr="005D46C5">
        <w:rPr>
          <w:i/>
          <w:szCs w:val="22"/>
        </w:rPr>
        <w:t>Public Notice</w:t>
      </w:r>
      <w:r w:rsidRPr="005D46C5">
        <w:rPr>
          <w:szCs w:val="22"/>
        </w:rPr>
        <w:t xml:space="preserve"> was protecting EESS, RAS also has a co-primary allocation at </w:t>
      </w:r>
      <w:bookmarkStart w:id="4" w:name="_Hlk84492214"/>
      <w:r w:rsidRPr="005D46C5">
        <w:rPr>
          <w:szCs w:val="22"/>
        </w:rPr>
        <w:t>23.6-24.0 GHz</w:t>
      </w:r>
      <w:bookmarkEnd w:id="4"/>
      <w:r w:rsidRPr="005D46C5">
        <w:rPr>
          <w:szCs w:val="22"/>
        </w:rPr>
        <w:t>.</w:t>
      </w:r>
      <w:r>
        <w:rPr>
          <w:rStyle w:val="FootnoteReference"/>
          <w:szCs w:val="22"/>
        </w:rPr>
        <w:footnoteReference w:id="45"/>
      </w:r>
      <w:r w:rsidRPr="005D46C5">
        <w:rPr>
          <w:szCs w:val="22"/>
        </w:rPr>
        <w:t xml:space="preserve"> </w:t>
      </w:r>
      <w:r>
        <w:rPr>
          <w:szCs w:val="22"/>
        </w:rPr>
        <w:t xml:space="preserve"> </w:t>
      </w:r>
      <w:r w:rsidRPr="005D46C5">
        <w:rPr>
          <w:szCs w:val="22"/>
        </w:rPr>
        <w:t xml:space="preserve">  </w:t>
      </w:r>
    </w:p>
    <w:p w:rsidR="00B83427" w:rsidRPr="00DB47C7" w:rsidP="002F648B" w14:paraId="5EA1CCB1" w14:textId="45FF8FF1">
      <w:pPr>
        <w:pStyle w:val="ParaNum"/>
        <w:rPr>
          <w:szCs w:val="22"/>
        </w:rPr>
      </w:pPr>
      <w:r w:rsidRPr="00DB47C7">
        <w:rPr>
          <w:szCs w:val="22"/>
        </w:rPr>
        <w:t>AT&amp;T, T-Mobile, and CTIA request that the Commission reject the more stringent limits suggested by CORF.</w:t>
      </w:r>
      <w:r>
        <w:rPr>
          <w:rStyle w:val="FootnoteReference"/>
          <w:szCs w:val="22"/>
        </w:rPr>
        <w:footnoteReference w:id="46"/>
      </w:r>
      <w:r w:rsidRPr="00DB47C7">
        <w:rPr>
          <w:szCs w:val="22"/>
        </w:rPr>
        <w:t xml:space="preserve">  AT&amp;T argues that the stricter limits may hinder the roll-out and growth of 5G services.</w:t>
      </w:r>
      <w:r>
        <w:rPr>
          <w:rStyle w:val="FootnoteReference"/>
          <w:szCs w:val="22"/>
        </w:rPr>
        <w:footnoteReference w:id="47"/>
      </w:r>
      <w:r w:rsidRPr="00DB47C7">
        <w:rPr>
          <w:szCs w:val="22"/>
        </w:rPr>
        <w:t xml:space="preserve">  </w:t>
      </w:r>
      <w:r w:rsidR="00A91408">
        <w:rPr>
          <w:szCs w:val="22"/>
        </w:rPr>
        <w:t xml:space="preserve"> </w:t>
      </w:r>
      <w:r w:rsidRPr="00DB47C7">
        <w:rPr>
          <w:szCs w:val="22"/>
        </w:rPr>
        <w:t xml:space="preserve">T-Mobile notes </w:t>
      </w:r>
      <w:r w:rsidRPr="00B83427">
        <w:t>that</w:t>
      </w:r>
      <w:r w:rsidRPr="00DB47C7">
        <w:rPr>
          <w:szCs w:val="22"/>
        </w:rPr>
        <w:t xml:space="preserve"> the Resolution 750 limits from the ITU were carefully considered and are a product of extensive collaboration, and </w:t>
      </w:r>
      <w:r>
        <w:rPr>
          <w:szCs w:val="22"/>
        </w:rPr>
        <w:t xml:space="preserve">that </w:t>
      </w:r>
      <w:r w:rsidRPr="00DB47C7">
        <w:rPr>
          <w:szCs w:val="22"/>
        </w:rPr>
        <w:t>CORF has not demonstrated why these limits are inadequate.</w:t>
      </w:r>
      <w:r>
        <w:rPr>
          <w:rStyle w:val="FootnoteReference"/>
          <w:szCs w:val="22"/>
        </w:rPr>
        <w:footnoteReference w:id="48"/>
      </w:r>
      <w:r w:rsidRPr="00DB47C7">
        <w:rPr>
          <w:szCs w:val="22"/>
        </w:rPr>
        <w:t xml:space="preserve"> </w:t>
      </w:r>
      <w:r>
        <w:rPr>
          <w:szCs w:val="22"/>
        </w:rPr>
        <w:t xml:space="preserve"> </w:t>
      </w:r>
      <w:r w:rsidRPr="00DB47C7">
        <w:rPr>
          <w:szCs w:val="22"/>
        </w:rPr>
        <w:t xml:space="preserve">CTIA argues that adopting CORF’s proposal would conflict with the notice </w:t>
      </w:r>
      <w:r>
        <w:rPr>
          <w:szCs w:val="22"/>
        </w:rPr>
        <w:t xml:space="preserve">that it asserts was </w:t>
      </w:r>
      <w:r w:rsidRPr="00DB47C7">
        <w:rPr>
          <w:szCs w:val="22"/>
        </w:rPr>
        <w:t>given to bidders in the 24 GHz auction that the Commission would not adopt limits that</w:t>
      </w:r>
      <w:r w:rsidR="004658DA">
        <w:rPr>
          <w:szCs w:val="22"/>
        </w:rPr>
        <w:t xml:space="preserve"> </w:t>
      </w:r>
      <w:r w:rsidRPr="00DB47C7">
        <w:rPr>
          <w:szCs w:val="22"/>
        </w:rPr>
        <w:t>are</w:t>
      </w:r>
      <w:r w:rsidR="004658DA">
        <w:rPr>
          <w:szCs w:val="22"/>
        </w:rPr>
        <w:t xml:space="preserve"> </w:t>
      </w:r>
      <w:r w:rsidRPr="00DB47C7">
        <w:rPr>
          <w:szCs w:val="22"/>
        </w:rPr>
        <w:t>significantly</w:t>
      </w:r>
      <w:r w:rsidR="004658DA">
        <w:rPr>
          <w:szCs w:val="22"/>
        </w:rPr>
        <w:t xml:space="preserve"> </w:t>
      </w:r>
      <w:r w:rsidRPr="00DB47C7">
        <w:rPr>
          <w:szCs w:val="22"/>
        </w:rPr>
        <w:t>stricter than what was agreed to at WRC-19.</w:t>
      </w:r>
      <w:r>
        <w:rPr>
          <w:rStyle w:val="FootnoteReference"/>
          <w:szCs w:val="22"/>
        </w:rPr>
        <w:footnoteReference w:id="49"/>
      </w:r>
      <w:r>
        <w:rPr>
          <w:szCs w:val="22"/>
        </w:rPr>
        <w:t xml:space="preserve">  We seek comment on CORF</w:t>
      </w:r>
      <w:r w:rsidR="004658DA">
        <w:rPr>
          <w:szCs w:val="22"/>
        </w:rPr>
        <w:t>’s</w:t>
      </w:r>
      <w:r>
        <w:rPr>
          <w:szCs w:val="22"/>
        </w:rPr>
        <w:t xml:space="preserve"> </w:t>
      </w:r>
      <w:r w:rsidR="00C369ED">
        <w:rPr>
          <w:szCs w:val="22"/>
        </w:rPr>
        <w:t>proposal in the record</w:t>
      </w:r>
      <w:r>
        <w:rPr>
          <w:szCs w:val="22"/>
        </w:rPr>
        <w:t xml:space="preserve">.  Parties supporting </w:t>
      </w:r>
      <w:r w:rsidR="00C369ED">
        <w:rPr>
          <w:szCs w:val="22"/>
        </w:rPr>
        <w:t>changes to the</w:t>
      </w:r>
      <w:r>
        <w:rPr>
          <w:szCs w:val="22"/>
        </w:rPr>
        <w:t xml:space="preserve"> </w:t>
      </w:r>
      <w:r w:rsidRPr="00C369ED" w:rsidR="00C369ED">
        <w:rPr>
          <w:szCs w:val="22"/>
        </w:rPr>
        <w:t>Resolution 750</w:t>
      </w:r>
      <w:r w:rsidR="00C369ED">
        <w:rPr>
          <w:szCs w:val="22"/>
        </w:rPr>
        <w:t xml:space="preserve"> unwanted emission </w:t>
      </w:r>
      <w:r>
        <w:rPr>
          <w:szCs w:val="22"/>
        </w:rPr>
        <w:t>limits should provide additional technical justification</w:t>
      </w:r>
      <w:r w:rsidR="00F86930">
        <w:rPr>
          <w:szCs w:val="22"/>
        </w:rPr>
        <w:t xml:space="preserve"> and </w:t>
      </w:r>
      <w:r w:rsidR="000B7C2B">
        <w:rPr>
          <w:szCs w:val="22"/>
        </w:rPr>
        <w:t xml:space="preserve">explain </w:t>
      </w:r>
      <w:r w:rsidR="00F86930">
        <w:rPr>
          <w:szCs w:val="22"/>
        </w:rPr>
        <w:t>why any stricter changes are necessary to protect EESS operations in the United States</w:t>
      </w:r>
      <w:r>
        <w:rPr>
          <w:szCs w:val="22"/>
        </w:rPr>
        <w:t xml:space="preserve">.  While CORF </w:t>
      </w:r>
      <w:r w:rsidR="00C369ED">
        <w:rPr>
          <w:szCs w:val="22"/>
        </w:rPr>
        <w:t xml:space="preserve">also </w:t>
      </w:r>
      <w:r>
        <w:rPr>
          <w:szCs w:val="22"/>
        </w:rPr>
        <w:t xml:space="preserve">raises issues concerning RAS, we note that Resolution </w:t>
      </w:r>
      <w:r>
        <w:rPr>
          <w:szCs w:val="22"/>
        </w:rPr>
        <w:t>750 was limited to protection of EESS, and RAS is outside the scope of this proceeding.  W</w:t>
      </w:r>
      <w:r w:rsidRPr="00DB47C7">
        <w:rPr>
          <w:szCs w:val="22"/>
        </w:rPr>
        <w:t xml:space="preserve">e </w:t>
      </w:r>
      <w:r>
        <w:rPr>
          <w:szCs w:val="22"/>
        </w:rPr>
        <w:t xml:space="preserve">also </w:t>
      </w:r>
      <w:r w:rsidRPr="00DB47C7">
        <w:rPr>
          <w:szCs w:val="22"/>
        </w:rPr>
        <w:t xml:space="preserve">note that RAS observations that are protected under US74 historically </w:t>
      </w:r>
      <w:r w:rsidRPr="00DB47C7" w:rsidR="004658DA">
        <w:rPr>
          <w:szCs w:val="22"/>
        </w:rPr>
        <w:t xml:space="preserve">have </w:t>
      </w:r>
      <w:r w:rsidRPr="00DB47C7">
        <w:rPr>
          <w:szCs w:val="22"/>
        </w:rPr>
        <w:t>received a lower level of protection than EESS.</w:t>
      </w:r>
      <w:r>
        <w:rPr>
          <w:rStyle w:val="FootnoteReference"/>
          <w:szCs w:val="22"/>
        </w:rPr>
        <w:footnoteReference w:id="50"/>
      </w:r>
      <w:r w:rsidRPr="00DB47C7">
        <w:rPr>
          <w:szCs w:val="22"/>
        </w:rPr>
        <w:t xml:space="preserve">        </w:t>
      </w:r>
    </w:p>
    <w:p w:rsidR="00B83427" w:rsidRPr="00DB086C" w:rsidP="002F648B" w14:paraId="003695EB" w14:textId="1EF91ED5">
      <w:pPr>
        <w:pStyle w:val="ParaNum"/>
        <w:rPr>
          <w:szCs w:val="22"/>
        </w:rPr>
      </w:pPr>
      <w:r w:rsidRPr="00D443FD">
        <w:rPr>
          <w:szCs w:val="22"/>
        </w:rPr>
        <w:t xml:space="preserve">We </w:t>
      </w:r>
      <w:r w:rsidRPr="00DB086C">
        <w:rPr>
          <w:szCs w:val="22"/>
        </w:rPr>
        <w:t xml:space="preserve">propose to make any changes to the limits on emissions into the 23.6-24.0 GHz band by amending our </w:t>
      </w:r>
      <w:r w:rsidR="007B3FC2">
        <w:rPr>
          <w:szCs w:val="22"/>
        </w:rPr>
        <w:t xml:space="preserve">part </w:t>
      </w:r>
      <w:r w:rsidRPr="00DB086C">
        <w:rPr>
          <w:szCs w:val="22"/>
        </w:rPr>
        <w:t>30 rules</w:t>
      </w:r>
      <w:r w:rsidR="00FC006C">
        <w:rPr>
          <w:szCs w:val="22"/>
        </w:rPr>
        <w:t xml:space="preserve"> a</w:t>
      </w:r>
      <w:r w:rsidR="00A12878">
        <w:rPr>
          <w:szCs w:val="22"/>
        </w:rPr>
        <w:t>nd</w:t>
      </w:r>
      <w:r w:rsidRPr="00DB086C">
        <w:rPr>
          <w:szCs w:val="22"/>
        </w:rPr>
        <w:t xml:space="preserve"> adding a footnote to the U.S. Table of Allocations</w:t>
      </w:r>
      <w:r w:rsidRPr="00D443FD">
        <w:rPr>
          <w:szCs w:val="22"/>
        </w:rPr>
        <w:t>.</w:t>
      </w:r>
      <w:r>
        <w:rPr>
          <w:rStyle w:val="FootnoteReference"/>
          <w:szCs w:val="22"/>
        </w:rPr>
        <w:footnoteReference w:id="51"/>
      </w:r>
      <w:r w:rsidRPr="00D443FD">
        <w:rPr>
          <w:szCs w:val="22"/>
        </w:rPr>
        <w:t xml:space="preserve">  </w:t>
      </w:r>
      <w:r w:rsidRPr="00DB086C">
        <w:rPr>
          <w:szCs w:val="22"/>
        </w:rPr>
        <w:t xml:space="preserve">Since our </w:t>
      </w:r>
      <w:r w:rsidR="007B3FC2">
        <w:t xml:space="preserve">part </w:t>
      </w:r>
      <w:r w:rsidRPr="00DB086C">
        <w:rPr>
          <w:szCs w:val="22"/>
        </w:rPr>
        <w:t>30 rules already contain a rule governing emissions limits,</w:t>
      </w:r>
      <w:r>
        <w:rPr>
          <w:rStyle w:val="FootnoteReference"/>
          <w:szCs w:val="22"/>
        </w:rPr>
        <w:footnoteReference w:id="52"/>
      </w:r>
      <w:r w:rsidRPr="00D443FD">
        <w:rPr>
          <w:szCs w:val="22"/>
        </w:rPr>
        <w:t xml:space="preserve"> it appears to be appropriate to incorporate any changes we make in this proceeding into that rule.  </w:t>
      </w:r>
      <w:r w:rsidRPr="00DB086C">
        <w:rPr>
          <w:szCs w:val="22"/>
        </w:rPr>
        <w:t xml:space="preserve">CORF, CTIA, and T-Mobile all support incorporating any changes to our emissions limits into </w:t>
      </w:r>
      <w:r w:rsidR="007B3FC2">
        <w:rPr>
          <w:szCs w:val="22"/>
        </w:rPr>
        <w:t xml:space="preserve">part </w:t>
      </w:r>
      <w:r w:rsidRPr="00DB086C">
        <w:rPr>
          <w:szCs w:val="22"/>
        </w:rPr>
        <w:t>30 of the Commission’s rules.</w:t>
      </w:r>
      <w:r>
        <w:rPr>
          <w:rStyle w:val="FootnoteReference"/>
          <w:szCs w:val="22"/>
        </w:rPr>
        <w:footnoteReference w:id="53"/>
      </w:r>
      <w:r w:rsidRPr="00D443FD">
        <w:rPr>
          <w:szCs w:val="22"/>
        </w:rPr>
        <w:t xml:space="preserve">  </w:t>
      </w:r>
      <w:r w:rsidRPr="00DB086C">
        <w:rPr>
          <w:szCs w:val="22"/>
        </w:rPr>
        <w:t>We seek comment on alternative approaches.</w:t>
      </w:r>
    </w:p>
    <w:p w:rsidR="00B83427" w:rsidRPr="00547072" w:rsidP="005F2707" w14:paraId="49221643" w14:textId="77777777">
      <w:pPr>
        <w:pStyle w:val="Heading2"/>
      </w:pPr>
      <w:r>
        <w:t xml:space="preserve">Services Subject to Resolution 750 Unwanted Emissions Limits </w:t>
      </w:r>
    </w:p>
    <w:p w:rsidR="00B83427" w:rsidRPr="00F66B7C" w:rsidP="00F66B7C" w14:paraId="58719C71" w14:textId="29783003">
      <w:pPr>
        <w:pStyle w:val="ParaNum"/>
        <w:rPr>
          <w:szCs w:val="22"/>
        </w:rPr>
      </w:pPr>
      <w:r w:rsidRPr="004D330D">
        <w:rPr>
          <w:szCs w:val="22"/>
        </w:rPr>
        <w:t xml:space="preserve">We propose to apply the Resolution 750 </w:t>
      </w:r>
      <w:r>
        <w:rPr>
          <w:szCs w:val="22"/>
        </w:rPr>
        <w:t xml:space="preserve">unwanted emissions </w:t>
      </w:r>
      <w:r w:rsidRPr="004D330D">
        <w:rPr>
          <w:szCs w:val="22"/>
        </w:rPr>
        <w:t xml:space="preserve">limits to all mobile </w:t>
      </w:r>
      <w:r w:rsidRPr="002F648B">
        <w:t>operations</w:t>
      </w:r>
      <w:r>
        <w:rPr>
          <w:szCs w:val="22"/>
        </w:rPr>
        <w:t xml:space="preserve"> (</w:t>
      </w:r>
      <w:r w:rsidRPr="004D330D">
        <w:rPr>
          <w:szCs w:val="22"/>
        </w:rPr>
        <w:t>as defined in Parts 2 and 20 of the Commission’s rules</w:t>
      </w:r>
      <w:r>
        <w:rPr>
          <w:szCs w:val="22"/>
        </w:rPr>
        <w:t>)</w:t>
      </w:r>
      <w:r>
        <w:rPr>
          <w:rStyle w:val="FootnoteReference"/>
          <w:szCs w:val="22"/>
        </w:rPr>
        <w:footnoteReference w:id="54"/>
      </w:r>
      <w:r>
        <w:rPr>
          <w:szCs w:val="22"/>
        </w:rPr>
        <w:t xml:space="preserve"> in the 24 GHz band, not just to IMT operations.  While </w:t>
      </w:r>
      <w:r w:rsidRPr="004D330D">
        <w:rPr>
          <w:szCs w:val="22"/>
        </w:rPr>
        <w:t>WRC-19 only applied the unwanted emission</w:t>
      </w:r>
      <w:r>
        <w:rPr>
          <w:szCs w:val="22"/>
        </w:rPr>
        <w:t>s</w:t>
      </w:r>
      <w:r w:rsidRPr="004D330D">
        <w:rPr>
          <w:szCs w:val="22"/>
        </w:rPr>
        <w:t xml:space="preserve"> limits of Resolution 750 to IMT base stations and mobile stations</w:t>
      </w:r>
      <w:r>
        <w:rPr>
          <w:szCs w:val="22"/>
        </w:rPr>
        <w:t>, t</w:t>
      </w:r>
      <w:r w:rsidRPr="004D330D">
        <w:rPr>
          <w:szCs w:val="22"/>
        </w:rPr>
        <w:t>he Commission’s rules do not define IMT and do not require</w:t>
      </w:r>
      <w:r>
        <w:t xml:space="preserve"> that equipment complying with a particular technical standard be used in a band licensed under the UMFUS rules.  Accordingly, attempting to treat non-IMT mobile operations differently than IMT mobile operations could cause confusion and difficulties with enforcing the limits.  We also do not see a technical justification for applying different emissions limits to IMT and non-IMT mobile systems.  </w:t>
      </w:r>
      <w:r w:rsidRPr="00EC4E9A">
        <w:rPr>
          <w:szCs w:val="22"/>
        </w:rPr>
        <w:t xml:space="preserve">NTIA </w:t>
      </w:r>
      <w:r w:rsidR="00375CCD">
        <w:rPr>
          <w:szCs w:val="22"/>
        </w:rPr>
        <w:t xml:space="preserve">believes </w:t>
      </w:r>
      <w:r w:rsidRPr="00EC4E9A">
        <w:rPr>
          <w:szCs w:val="22"/>
        </w:rPr>
        <w:t>that device and deployment density, along with pointing angles toward the satellite, are the predominant factors in causing interference to the passive satellite sensors, and these factors are not unique to IMT but common to all mobile systems.</w:t>
      </w:r>
      <w:r>
        <w:rPr>
          <w:rStyle w:val="FootnoteReference"/>
          <w:szCs w:val="22"/>
        </w:rPr>
        <w:footnoteReference w:id="55"/>
      </w:r>
      <w:r w:rsidRPr="00EC4E9A">
        <w:rPr>
          <w:szCs w:val="22"/>
        </w:rPr>
        <w:t xml:space="preserve">  </w:t>
      </w:r>
      <w:r w:rsidR="00F66B7C">
        <w:t>Additionally</w:t>
      </w:r>
      <w:r>
        <w:t>, we note that NTIA, CORF, and various wireless industry commenters support applying any revised emissions limits to all mobile operations, while no commenter supports applying the Resolution 750 emissions limits to only IMT mobile operations.</w:t>
      </w:r>
      <w:r>
        <w:rPr>
          <w:rStyle w:val="FootnoteReference"/>
        </w:rPr>
        <w:footnoteReference w:id="56"/>
      </w:r>
      <w:r>
        <w:t xml:space="preserve">  We seek comment on this proposal.</w:t>
      </w:r>
      <w:r w:rsidR="00F66B7C">
        <w:rPr>
          <w:szCs w:val="22"/>
        </w:rPr>
        <w:t xml:space="preserve">  </w:t>
      </w:r>
      <w:r w:rsidRPr="00F66B7C">
        <w:rPr>
          <w:szCs w:val="22"/>
        </w:rPr>
        <w:t>We also seek comment on</w:t>
      </w:r>
      <w:r w:rsidRPr="00F66B7C" w:rsidR="00F66B7C">
        <w:rPr>
          <w:szCs w:val="22"/>
        </w:rPr>
        <w:t xml:space="preserve"> </w:t>
      </w:r>
      <w:r w:rsidR="00F66B7C">
        <w:t xml:space="preserve">NTIA’s request that we </w:t>
      </w:r>
      <w:r w:rsidRPr="1EEBE01D" w:rsidR="00F66B7C">
        <w:t>apply</w:t>
      </w:r>
      <w:r w:rsidRPr="00F66B7C">
        <w:rPr>
          <w:szCs w:val="22"/>
        </w:rPr>
        <w:t xml:space="preserve"> </w:t>
      </w:r>
      <w:bookmarkStart w:id="5" w:name="_Hlk88487690"/>
      <w:r w:rsidRPr="00F66B7C">
        <w:rPr>
          <w:szCs w:val="22"/>
        </w:rPr>
        <w:t>the Resolution 750 unwanted emissions limits to fixed operations,</w:t>
      </w:r>
      <w:bookmarkEnd w:id="5"/>
      <w:r w:rsidRPr="00F66B7C">
        <w:rPr>
          <w:szCs w:val="22"/>
        </w:rPr>
        <w:t xml:space="preserve"> including point-to-point and point-to-multipoint </w:t>
      </w:r>
      <w:r w:rsidRPr="00F66B7C">
        <w:rPr>
          <w:szCs w:val="22"/>
        </w:rPr>
        <w:t>operations,</w:t>
      </w:r>
      <w:r>
        <w:rPr>
          <w:rStyle w:val="FootnoteReference"/>
          <w:szCs w:val="22"/>
        </w:rPr>
        <w:footnoteReference w:id="57"/>
      </w:r>
      <w:r w:rsidRPr="00F66B7C">
        <w:rPr>
          <w:szCs w:val="22"/>
        </w:rPr>
        <w:t xml:space="preserve"> though we acknowledge that WRC-19 did not study fixed deployments.  NTIA argues the Commission should apply the two-phased WRC-19 emissions limit timetable described below to fixed deployments.</w:t>
      </w:r>
      <w:r>
        <w:rPr>
          <w:rStyle w:val="FootnoteReference"/>
          <w:szCs w:val="22"/>
        </w:rPr>
        <w:footnoteReference w:id="58"/>
      </w:r>
      <w:r w:rsidRPr="00F66B7C">
        <w:rPr>
          <w:szCs w:val="22"/>
        </w:rPr>
        <w:t xml:space="preserve">  It asserts that fixed services that cannot comply with the WRC-19 OOBE limits, or that cannot meet the phased approach, should be constructed to operate with no greater than 0 degree antenna up-tilt to protect satellite operations.</w:t>
      </w:r>
      <w:r>
        <w:rPr>
          <w:rStyle w:val="FootnoteReference"/>
          <w:szCs w:val="22"/>
        </w:rPr>
        <w:footnoteReference w:id="59"/>
      </w:r>
      <w:r w:rsidRPr="00F66B7C">
        <w:rPr>
          <w:szCs w:val="22"/>
        </w:rPr>
        <w:t xml:space="preserve">  NTIA further submits that the applicability of OOBE limits to fixed deployments is an issue that could merit explicit study – perhaps jointly by the Commission and NTIA – to gain sufficient confidence to relax the rules for fixed services.</w:t>
      </w:r>
      <w:r>
        <w:rPr>
          <w:rStyle w:val="FootnoteReference"/>
          <w:szCs w:val="22"/>
        </w:rPr>
        <w:footnoteReference w:id="60"/>
      </w:r>
      <w:r w:rsidRPr="00F66B7C">
        <w:rPr>
          <w:szCs w:val="22"/>
        </w:rPr>
        <w:t xml:space="preserve">  CORF and IEEE also want all potential UMFUS operations, mobile and fixed, to be subject to enhanced OOBE standards.</w:t>
      </w:r>
      <w:r>
        <w:rPr>
          <w:rStyle w:val="FootnoteReference"/>
          <w:szCs w:val="22"/>
        </w:rPr>
        <w:footnoteReference w:id="61"/>
      </w:r>
    </w:p>
    <w:p w:rsidR="00B83427" w:rsidRPr="00D5240E" w:rsidP="002F648B" w14:paraId="198B7232" w14:textId="69B66B2F">
      <w:pPr>
        <w:pStyle w:val="ParaNum"/>
        <w:rPr>
          <w:szCs w:val="22"/>
        </w:rPr>
      </w:pPr>
      <w:r>
        <w:t xml:space="preserve">We seek comment on whether it </w:t>
      </w:r>
      <w:r w:rsidR="007F3D32">
        <w:t>would be</w:t>
      </w:r>
      <w:r>
        <w:t xml:space="preserve"> necessary to apply emissions limits stricter than –13 dBm/MHz to fixed operations in the 24 GHz band.  </w:t>
      </w:r>
      <w:r w:rsidR="007F51C7">
        <w:t xml:space="preserve">Proponents of </w:t>
      </w:r>
      <w:r w:rsidR="005B3487">
        <w:t xml:space="preserve">applying stricter limits </w:t>
      </w:r>
      <w:r w:rsidR="007F51C7">
        <w:t xml:space="preserve">as well as those arguing for </w:t>
      </w:r>
      <w:r w:rsidR="005E7036">
        <w:t xml:space="preserve">maintaining the </w:t>
      </w:r>
      <w:r w:rsidR="007F51C7">
        <w:t xml:space="preserve">existing limits </w:t>
      </w:r>
      <w:r w:rsidR="00862DB5">
        <w:t xml:space="preserve">should provide specific </w:t>
      </w:r>
      <w:r w:rsidR="007F51C7">
        <w:t xml:space="preserve">technical data </w:t>
      </w:r>
      <w:r w:rsidR="00862DB5">
        <w:t>justifying the</w:t>
      </w:r>
      <w:r w:rsidR="007F51C7">
        <w:t xml:space="preserve">ir </w:t>
      </w:r>
      <w:r w:rsidR="004614C7">
        <w:t xml:space="preserve">respective </w:t>
      </w:r>
      <w:r w:rsidR="007F51C7">
        <w:t>positions</w:t>
      </w:r>
      <w:r w:rsidR="00862DB5">
        <w:t>, as well as the costs and benefits</w:t>
      </w:r>
      <w:r w:rsidR="005B3487">
        <w:t xml:space="preserve"> of </w:t>
      </w:r>
      <w:r w:rsidR="004614C7">
        <w:t xml:space="preserve">applying stricter limits or of keeping </w:t>
      </w:r>
      <w:r w:rsidR="003725C3">
        <w:t xml:space="preserve">the </w:t>
      </w:r>
      <w:r w:rsidR="004614C7">
        <w:t>existing limits</w:t>
      </w:r>
      <w:r>
        <w:t>.</w:t>
      </w:r>
      <w:r>
        <w:rPr>
          <w:rStyle w:val="FootnoteReference"/>
          <w:szCs w:val="22"/>
        </w:rPr>
        <w:footnoteReference w:id="62"/>
      </w:r>
      <w:r>
        <w:t xml:space="preserve">  We note that numerous</w:t>
      </w:r>
      <w:r w:rsidRPr="005D46C5">
        <w:t xml:space="preserve"> point-to-point microwave links </w:t>
      </w:r>
      <w:r>
        <w:t xml:space="preserve">deployed by non-federal and federal operators </w:t>
      </w:r>
      <w:r w:rsidRPr="005D46C5">
        <w:t xml:space="preserve">in the 21.2-23.6 GHz band </w:t>
      </w:r>
      <w:r>
        <w:t xml:space="preserve">(which has propagation characteristics similar to the 24 GHz band and is </w:t>
      </w:r>
      <w:r w:rsidRPr="005D46C5">
        <w:t>immediately adjacent to the 23.6-24</w:t>
      </w:r>
      <w:r>
        <w:t>.0</w:t>
      </w:r>
      <w:r w:rsidRPr="005D46C5">
        <w:t xml:space="preserve"> GHz passive band</w:t>
      </w:r>
      <w:r>
        <w:t>)</w:t>
      </w:r>
      <w:r w:rsidRPr="005D46C5">
        <w:t xml:space="preserve"> operate with the same unwanted emission</w:t>
      </w:r>
      <w:r>
        <w:t>s</w:t>
      </w:r>
      <w:r w:rsidRPr="005D46C5">
        <w:t xml:space="preserve"> limits that apply under the UMFUS rules.</w:t>
      </w:r>
      <w:r>
        <w:rPr>
          <w:rStyle w:val="FootnoteReference"/>
        </w:rPr>
        <w:footnoteReference w:id="63"/>
      </w:r>
      <w:r>
        <w:t xml:space="preserve">  We seek comment on whether these existing deployments have caused harmful interference to passive sensors in the 23.6-24.0 GHz band, and on the likelihood that the tighter beams of fixed point-to-point systems will be detected by passive instruments in space.  </w:t>
      </w:r>
      <w:r w:rsidR="00604956">
        <w:t xml:space="preserve">We also seek comment on whether there are material differences between </w:t>
      </w:r>
      <w:r w:rsidR="006E366F">
        <w:t xml:space="preserve">existing </w:t>
      </w:r>
      <w:r w:rsidR="00604956">
        <w:t xml:space="preserve">fixed point-to-point systems and fixed </w:t>
      </w:r>
      <w:r w:rsidR="00E24811">
        <w:t xml:space="preserve">point-to-point and </w:t>
      </w:r>
      <w:r w:rsidR="00604956">
        <w:t>point-to-multipoint systems that m</w:t>
      </w:r>
      <w:r w:rsidR="00E24811">
        <w:t xml:space="preserve">ay be deployed in the </w:t>
      </w:r>
      <w:r w:rsidR="00826EBB">
        <w:t>24 GHz band</w:t>
      </w:r>
      <w:r w:rsidR="00561445">
        <w:t xml:space="preserve"> in the future and how such systems m</w:t>
      </w:r>
      <w:r w:rsidR="00604956">
        <w:t xml:space="preserve">ight impact emissions into the 23.6-24.0 GHz band.  </w:t>
      </w:r>
      <w:r>
        <w:rPr>
          <w:szCs w:val="22"/>
        </w:rPr>
        <w:t>Further, w</w:t>
      </w:r>
      <w:r w:rsidRPr="00D5240E">
        <w:rPr>
          <w:szCs w:val="22"/>
        </w:rPr>
        <w:t>e seek comment on NTIA’s alternative suggestions</w:t>
      </w:r>
      <w:r w:rsidRPr="007E29D7">
        <w:rPr>
          <w:szCs w:val="22"/>
        </w:rPr>
        <w:t xml:space="preserve"> of limiting the elevation angles of fixed deployments.</w:t>
      </w:r>
      <w:r>
        <w:rPr>
          <w:rStyle w:val="FootnoteReference"/>
          <w:szCs w:val="22"/>
        </w:rPr>
        <w:footnoteReference w:id="64"/>
      </w:r>
    </w:p>
    <w:p w:rsidR="00B83427" w:rsidP="00201B13" w14:paraId="15A8A529" w14:textId="0C2A0C16">
      <w:pPr>
        <w:pStyle w:val="ParaNum"/>
        <w:keepNext/>
        <w:widowControl/>
        <w:ind w:left="86"/>
        <w:rPr>
          <w:szCs w:val="22"/>
        </w:rPr>
      </w:pPr>
      <w:r>
        <w:rPr>
          <w:szCs w:val="22"/>
        </w:rPr>
        <w:t xml:space="preserve">Finally, we seek comment on Ericsson’s and </w:t>
      </w:r>
      <w:r w:rsidRPr="005D46C5">
        <w:rPr>
          <w:szCs w:val="22"/>
        </w:rPr>
        <w:t xml:space="preserve">AT&amp;T’s </w:t>
      </w:r>
      <w:r>
        <w:rPr>
          <w:szCs w:val="22"/>
        </w:rPr>
        <w:t xml:space="preserve">proposal that </w:t>
      </w:r>
      <w:r w:rsidRPr="005D46C5">
        <w:rPr>
          <w:szCs w:val="22"/>
        </w:rPr>
        <w:t xml:space="preserve">indoor small-cell systems </w:t>
      </w:r>
      <w:r>
        <w:rPr>
          <w:szCs w:val="22"/>
        </w:rPr>
        <w:t xml:space="preserve">be exempt from the </w:t>
      </w:r>
      <w:r w:rsidRPr="005D46C5">
        <w:rPr>
          <w:szCs w:val="22"/>
        </w:rPr>
        <w:t>Res</w:t>
      </w:r>
      <w:r>
        <w:rPr>
          <w:szCs w:val="22"/>
        </w:rPr>
        <w:t>olution</w:t>
      </w:r>
      <w:r w:rsidRPr="005D46C5">
        <w:rPr>
          <w:szCs w:val="22"/>
        </w:rPr>
        <w:t xml:space="preserve"> 750 limits</w:t>
      </w:r>
      <w:r w:rsidR="00517008">
        <w:rPr>
          <w:szCs w:val="22"/>
        </w:rPr>
        <w:t>.</w:t>
      </w:r>
      <w:r>
        <w:rPr>
          <w:rStyle w:val="FootnoteReference"/>
          <w:szCs w:val="22"/>
        </w:rPr>
        <w:footnoteReference w:id="65"/>
      </w:r>
      <w:r>
        <w:rPr>
          <w:szCs w:val="22"/>
        </w:rPr>
        <w:t xml:space="preserve"> </w:t>
      </w:r>
      <w:r w:rsidR="00517008">
        <w:rPr>
          <w:szCs w:val="22"/>
        </w:rPr>
        <w:t xml:space="preserve"> We urge parties who support an exemption for indoor systems </w:t>
      </w:r>
      <w:r w:rsidR="0034116C">
        <w:rPr>
          <w:szCs w:val="22"/>
        </w:rPr>
        <w:t>t</w:t>
      </w:r>
      <w:r w:rsidR="00517008">
        <w:rPr>
          <w:szCs w:val="22"/>
        </w:rPr>
        <w:t xml:space="preserve">o </w:t>
      </w:r>
      <w:r>
        <w:rPr>
          <w:szCs w:val="22"/>
        </w:rPr>
        <w:t>includ</w:t>
      </w:r>
      <w:r w:rsidR="00517008">
        <w:rPr>
          <w:szCs w:val="22"/>
        </w:rPr>
        <w:t>e</w:t>
      </w:r>
      <w:r>
        <w:rPr>
          <w:szCs w:val="22"/>
        </w:rPr>
        <w:t xml:space="preserve"> a technical justification for treating indoor small-cell systems differently.</w:t>
      </w:r>
      <w:r w:rsidRPr="005D46C5">
        <w:rPr>
          <w:szCs w:val="22"/>
        </w:rPr>
        <w:t xml:space="preserve"> </w:t>
      </w:r>
      <w:r>
        <w:rPr>
          <w:szCs w:val="22"/>
        </w:rPr>
        <w:t xml:space="preserve"> We note that indoor systems normally run at lower power and should have less difficulty meeting the Resolution 750 limits.  </w:t>
      </w:r>
      <w:r w:rsidR="00A735B0">
        <w:rPr>
          <w:szCs w:val="22"/>
        </w:rPr>
        <w:t>Conversely</w:t>
      </w:r>
      <w:r>
        <w:rPr>
          <w:szCs w:val="22"/>
        </w:rPr>
        <w:t xml:space="preserve">, building attenuation would further reduce the likelihood of unwanted emissions </w:t>
      </w:r>
      <w:r w:rsidRPr="005D46C5">
        <w:rPr>
          <w:szCs w:val="22"/>
        </w:rPr>
        <w:t>in the 23.6-24 GHz passive band</w:t>
      </w:r>
      <w:r>
        <w:rPr>
          <w:szCs w:val="22"/>
        </w:rPr>
        <w:t xml:space="preserve"> from indoor small cell transmitters.</w:t>
      </w:r>
    </w:p>
    <w:p w:rsidR="00B83427" w:rsidRPr="005D46C5" w:rsidP="005F2707" w14:paraId="01D4C3D4" w14:textId="77777777">
      <w:pPr>
        <w:pStyle w:val="Heading2"/>
      </w:pPr>
      <w:r>
        <w:t>T</w:t>
      </w:r>
      <w:r w:rsidRPr="003F1A95">
        <w:t xml:space="preserve">imetable for </w:t>
      </w:r>
      <w:r>
        <w:t>A</w:t>
      </w:r>
      <w:r w:rsidRPr="003F1A95">
        <w:t xml:space="preserve">pplication of WRC-19 </w:t>
      </w:r>
      <w:r>
        <w:t>L</w:t>
      </w:r>
      <w:r w:rsidRPr="003F1A95">
        <w:t xml:space="preserve">imits  </w:t>
      </w:r>
    </w:p>
    <w:p w:rsidR="00B83427" w:rsidRPr="00335183" w:rsidP="002F648B" w14:paraId="5A695CC1" w14:textId="0ADF1CE4">
      <w:pPr>
        <w:pStyle w:val="ParaNum"/>
        <w:rPr>
          <w:szCs w:val="22"/>
        </w:rPr>
      </w:pPr>
      <w:r w:rsidRPr="00335183">
        <w:rPr>
          <w:szCs w:val="22"/>
        </w:rPr>
        <w:t xml:space="preserve">We propose to apply the new Resolution 750 unwanted emissions limits on the timeframes adopted at WRC-19.  </w:t>
      </w:r>
      <w:r w:rsidRPr="00335183">
        <w:t>Under</w:t>
      </w:r>
      <w:r w:rsidRPr="00335183">
        <w:rPr>
          <w:szCs w:val="22"/>
        </w:rPr>
        <w:t xml:space="preserve"> this </w:t>
      </w:r>
      <w:r w:rsidRPr="00335183">
        <w:t>proposal</w:t>
      </w:r>
      <w:r w:rsidRPr="00335183">
        <w:rPr>
          <w:szCs w:val="22"/>
        </w:rPr>
        <w:t>, the first phase limits (</w:t>
      </w:r>
      <w:r w:rsidRPr="00335183" w:rsidR="00EE7A9D">
        <w:rPr>
          <w:szCs w:val="22"/>
        </w:rPr>
        <w:t>–</w:t>
      </w:r>
      <w:r w:rsidRPr="00335183">
        <w:rPr>
          <w:szCs w:val="22"/>
        </w:rPr>
        <w:t xml:space="preserve">33 </w:t>
      </w:r>
      <w:r w:rsidRPr="00335183">
        <w:rPr>
          <w:szCs w:val="22"/>
        </w:rPr>
        <w:t>dBW</w:t>
      </w:r>
      <w:r w:rsidRPr="00335183">
        <w:rPr>
          <w:szCs w:val="22"/>
        </w:rPr>
        <w:t xml:space="preserve"> for base stations, </w:t>
      </w:r>
      <w:r w:rsidRPr="00335183" w:rsidR="00EE7A9D">
        <w:rPr>
          <w:szCs w:val="22"/>
        </w:rPr>
        <w:t>–</w:t>
      </w:r>
      <w:r w:rsidRPr="00335183">
        <w:rPr>
          <w:szCs w:val="22"/>
        </w:rPr>
        <w:t xml:space="preserve">29 </w:t>
      </w:r>
      <w:r w:rsidRPr="00335183">
        <w:rPr>
          <w:szCs w:val="22"/>
        </w:rPr>
        <w:t>dBW</w:t>
      </w:r>
      <w:r w:rsidRPr="00335183">
        <w:rPr>
          <w:szCs w:val="22"/>
        </w:rPr>
        <w:t xml:space="preserve"> for mobile stations) would apply as of the effective date of the rules, and the second phase limits (</w:t>
      </w:r>
      <w:r w:rsidRPr="00335183" w:rsidR="00EE7A9D">
        <w:rPr>
          <w:szCs w:val="22"/>
        </w:rPr>
        <w:t>–</w:t>
      </w:r>
      <w:r w:rsidRPr="00335183">
        <w:rPr>
          <w:szCs w:val="22"/>
        </w:rPr>
        <w:t xml:space="preserve">39 </w:t>
      </w:r>
      <w:r w:rsidRPr="00335183">
        <w:rPr>
          <w:szCs w:val="22"/>
        </w:rPr>
        <w:t>dBW</w:t>
      </w:r>
      <w:r w:rsidRPr="00335183">
        <w:rPr>
          <w:szCs w:val="22"/>
        </w:rPr>
        <w:t xml:space="preserve"> for base stations, </w:t>
      </w:r>
      <w:bookmarkStart w:id="6" w:name="_Hlk151991438"/>
      <w:r w:rsidRPr="00335183" w:rsidR="00EE7A9D">
        <w:rPr>
          <w:szCs w:val="22"/>
        </w:rPr>
        <w:t>–</w:t>
      </w:r>
      <w:bookmarkEnd w:id="6"/>
      <w:r w:rsidRPr="00335183">
        <w:rPr>
          <w:szCs w:val="22"/>
        </w:rPr>
        <w:t xml:space="preserve">35 </w:t>
      </w:r>
      <w:r w:rsidRPr="00335183">
        <w:rPr>
          <w:szCs w:val="22"/>
        </w:rPr>
        <w:t>dBW</w:t>
      </w:r>
      <w:r w:rsidRPr="00335183">
        <w:rPr>
          <w:szCs w:val="22"/>
        </w:rPr>
        <w:t xml:space="preserve"> for mobile stations) would apply to all deployments after September 1, 2027.  AT&amp;T, CTIA, Ericsson, Nokia, and T-Mobile support adopting the WRC limits on the timeframes adopted by WRC-19.</w:t>
      </w:r>
      <w:r>
        <w:rPr>
          <w:rStyle w:val="FootnoteReference"/>
          <w:szCs w:val="22"/>
        </w:rPr>
        <w:footnoteReference w:id="66"/>
      </w:r>
      <w:r w:rsidRPr="00335183">
        <w:rPr>
          <w:szCs w:val="22"/>
        </w:rPr>
        <w:t xml:space="preserve">  We note that no party has alleged that there will be a problem </w:t>
      </w:r>
      <w:r w:rsidRPr="00335183">
        <w:t>complying</w:t>
      </w:r>
      <w:r w:rsidRPr="00335183">
        <w:rPr>
          <w:szCs w:val="22"/>
        </w:rPr>
        <w:t xml:space="preserve"> with the first phase limits or has asserted that existing deployments in the 24 GHz band would be constrained by such limits.  AT&amp;T, Ericsson, and Nokia state they will have equipment that meets the interim Phase 1 standard, and that they are working on compliance with the 2027 standards, which will depend on advances in chipsets and significant research and development.</w:t>
      </w:r>
      <w:r>
        <w:rPr>
          <w:rStyle w:val="FootnoteReference"/>
          <w:szCs w:val="22"/>
        </w:rPr>
        <w:footnoteReference w:id="67"/>
      </w:r>
      <w:r w:rsidRPr="00335183">
        <w:rPr>
          <w:szCs w:val="22"/>
        </w:rPr>
        <w:t xml:space="preserve">  CTIA asserts that licensees and manufacturers have relied on the WRC-19 decisions in developing equipment and planning deployment, and it notes that the</w:t>
      </w:r>
      <w:r w:rsidRPr="00335183">
        <w:rPr>
          <w:rFonts w:ascii="Arial" w:hAnsi="Arial" w:cs="Arial"/>
          <w:color w:val="444444"/>
          <w:sz w:val="20"/>
          <w:shd w:val="clear" w:color="auto" w:fill="FFFFFF"/>
        </w:rPr>
        <w:t xml:space="preserve"> </w:t>
      </w:r>
      <w:r w:rsidRPr="00335183">
        <w:rPr>
          <w:szCs w:val="22"/>
        </w:rPr>
        <w:t>3rd Generation Partnership Project (3GPP) standards development organization is adopting these limits into its standards for equipment operating in the band based on the timeframes determined at WRC-19.</w:t>
      </w:r>
      <w:r>
        <w:rPr>
          <w:rStyle w:val="FootnoteReference"/>
          <w:szCs w:val="22"/>
        </w:rPr>
        <w:footnoteReference w:id="68"/>
      </w:r>
      <w:r w:rsidRPr="00335183">
        <w:rPr>
          <w:szCs w:val="22"/>
        </w:rPr>
        <w:t xml:space="preserve">  We seek comment on this proposal.</w:t>
      </w:r>
    </w:p>
    <w:p w:rsidR="00A37E05" w:rsidRPr="00335183" w:rsidP="002F648B" w14:paraId="6DC14C6E" w14:textId="1DECEBB7">
      <w:pPr>
        <w:pStyle w:val="ParaNum"/>
        <w:rPr>
          <w:szCs w:val="22"/>
        </w:rPr>
      </w:pPr>
      <w:r>
        <w:rPr>
          <w:szCs w:val="22"/>
        </w:rPr>
        <w:t xml:space="preserve">One of the tools that the Commission uses to </w:t>
      </w:r>
      <w:r>
        <w:t xml:space="preserve">ensure compliance with </w:t>
      </w:r>
      <w:r w:rsidR="00D53780">
        <w:t>our</w:t>
      </w:r>
      <w:r>
        <w:t xml:space="preserve"> technical rules is </w:t>
      </w:r>
      <w:r w:rsidR="00F02920">
        <w:t>our</w:t>
      </w:r>
      <w:r>
        <w:t xml:space="preserve"> </w:t>
      </w:r>
      <w:r w:rsidRPr="00D50A3A">
        <w:t xml:space="preserve">equipment authorization program </w:t>
      </w:r>
      <w:r>
        <w:t xml:space="preserve">for </w:t>
      </w:r>
      <w:r w:rsidRPr="00D50A3A">
        <w:t xml:space="preserve">RF devices, which is codified in </w:t>
      </w:r>
      <w:r w:rsidR="007B3FC2">
        <w:t xml:space="preserve">part </w:t>
      </w:r>
      <w:r w:rsidRPr="00D50A3A">
        <w:t xml:space="preserve">2 of </w:t>
      </w:r>
      <w:r>
        <w:t>our</w:t>
      </w:r>
      <w:r w:rsidRPr="00D50A3A">
        <w:t xml:space="preserve"> rules.</w:t>
      </w:r>
      <w:r>
        <w:rPr>
          <w:vertAlign w:val="superscript"/>
        </w:rPr>
        <w:footnoteReference w:id="69"/>
      </w:r>
      <w:r w:rsidR="002B6547">
        <w:t xml:space="preserve">  In general, </w:t>
      </w:r>
      <w:r w:rsidR="002507C1">
        <w:t xml:space="preserve">and for 24 GHz band devices used for mobile services, </w:t>
      </w:r>
      <w:r w:rsidRPr="00D50A3A" w:rsidR="002B6547">
        <w:t>RF devices must comply with the Commission</w:t>
      </w:r>
      <w:r w:rsidR="002B6547">
        <w:t>’</w:t>
      </w:r>
      <w:r w:rsidRPr="00D50A3A" w:rsidR="002B6547">
        <w:t>s technical</w:t>
      </w:r>
      <w:r w:rsidR="002B6547">
        <w:t xml:space="preserve"> and</w:t>
      </w:r>
      <w:r w:rsidRPr="00D50A3A" w:rsidR="002B6547">
        <w:t xml:space="preserve"> equipment authorization requirements before they can be imported </w:t>
      </w:r>
      <w:r w:rsidR="00D53780">
        <w:t>in</w:t>
      </w:r>
      <w:r w:rsidR="002B6547">
        <w:t xml:space="preserve">to </w:t>
      </w:r>
      <w:r w:rsidRPr="00D50A3A" w:rsidR="002B6547">
        <w:t>or marketed</w:t>
      </w:r>
      <w:r w:rsidR="002B6547">
        <w:t xml:space="preserve"> in the United States</w:t>
      </w:r>
      <w:r w:rsidRPr="00D50A3A" w:rsidR="002B6547">
        <w:t>.</w:t>
      </w:r>
      <w:r>
        <w:rPr>
          <w:rStyle w:val="FootnoteReference"/>
        </w:rPr>
        <w:footnoteReference w:id="70"/>
      </w:r>
      <w:r w:rsidR="002B6547">
        <w:t xml:space="preserve">  </w:t>
      </w:r>
      <w:r w:rsidR="00D53780">
        <w:t xml:space="preserve">Because the unwanted emission limits for base stations and mobile stations will change after September 1, 2027 under our proposal, equipment certifications based on compliance with the first phase limits would expire on that date.  </w:t>
      </w:r>
      <w:r w:rsidR="002507C1">
        <w:t xml:space="preserve">Any equipment remaining in the supply chain—i.e. in warehouses or in transit—would then be illegal to sell or install under our rules. </w:t>
      </w:r>
      <w:r w:rsidR="00C82B43">
        <w:t xml:space="preserve"> </w:t>
      </w:r>
      <w:r w:rsidR="0019497B">
        <w:t>To</w:t>
      </w:r>
      <w:r w:rsidR="002507C1">
        <w:t xml:space="preserve"> minimize this issue</w:t>
      </w:r>
      <w:r w:rsidR="0019497B">
        <w:t xml:space="preserve">, we seek comment on </w:t>
      </w:r>
      <w:bookmarkStart w:id="7" w:name="_Hlk151991357"/>
      <w:r w:rsidR="0019497B">
        <w:t xml:space="preserve">whether we should prohibit the </w:t>
      </w:r>
      <w:r w:rsidR="00470F67">
        <w:t>grant of new equipment certifications for</w:t>
      </w:r>
      <w:r w:rsidR="00EE7A9D">
        <w:t>,</w:t>
      </w:r>
      <w:r w:rsidR="0019497B">
        <w:t xml:space="preserve"> or </w:t>
      </w:r>
      <w:r w:rsidR="00470F67">
        <w:t xml:space="preserve">the </w:t>
      </w:r>
      <w:r w:rsidR="0019497B">
        <w:t>importation of</w:t>
      </w:r>
      <w:r w:rsidR="00EE7A9D">
        <w:t xml:space="preserve">, </w:t>
      </w:r>
      <w:r w:rsidR="0019497B">
        <w:t xml:space="preserve">equipment </w:t>
      </w:r>
      <w:r w:rsidR="002507C1">
        <w:t xml:space="preserve">not </w:t>
      </w:r>
      <w:r w:rsidR="0019497B">
        <w:t xml:space="preserve">complying </w:t>
      </w:r>
      <w:bookmarkEnd w:id="7"/>
      <w:r w:rsidR="0019497B">
        <w:t xml:space="preserve">with the phase </w:t>
      </w:r>
      <w:r w:rsidR="002507C1">
        <w:t>two</w:t>
      </w:r>
      <w:r w:rsidR="0019497B">
        <w:t xml:space="preserve"> unwanted emission limits at a date prior to September 1, 2027.  For example, we could </w:t>
      </w:r>
      <w:r w:rsidR="00470F67">
        <w:t xml:space="preserve">cease granting new </w:t>
      </w:r>
      <w:r w:rsidR="00A1375A">
        <w:t xml:space="preserve">equipment </w:t>
      </w:r>
      <w:r w:rsidR="00470F67">
        <w:t>certifications</w:t>
      </w:r>
      <w:r w:rsidR="0019497B">
        <w:t xml:space="preserve"> or </w:t>
      </w:r>
      <w:r w:rsidR="00470F67">
        <w:t xml:space="preserve">permitting </w:t>
      </w:r>
      <w:r w:rsidR="0019497B">
        <w:t xml:space="preserve">importation of equipment certified as complying with </w:t>
      </w:r>
      <w:r w:rsidR="002507C1">
        <w:t xml:space="preserve">only </w:t>
      </w:r>
      <w:r w:rsidR="0019497B">
        <w:t xml:space="preserve">the first phase limits </w:t>
      </w:r>
      <w:r w:rsidR="00F02920">
        <w:t>after</w:t>
      </w:r>
      <w:r w:rsidR="0019497B">
        <w:t xml:space="preserve"> March 1, 2027—six months before the</w:t>
      </w:r>
      <w:r w:rsidR="0025704F">
        <w:t xml:space="preserve"> implementation of the second phase limits.</w:t>
      </w:r>
      <w:r w:rsidR="00F47665">
        <w:t xml:space="preserve">  Adopting such a rule could help prevent equipment that does not comply with the phase two unwanted emission limits from being deployed after September 1, 2027.</w:t>
      </w:r>
      <w:r w:rsidR="00470F67">
        <w:t xml:space="preserve">  We would expect </w:t>
      </w:r>
      <w:r w:rsidR="00A1375A">
        <w:t xml:space="preserve">equipment </w:t>
      </w:r>
      <w:r w:rsidR="00470F67">
        <w:t xml:space="preserve">manufacturers and distributors to manage their </w:t>
      </w:r>
      <w:r w:rsidR="00A1375A">
        <w:t xml:space="preserve">inventories to comply with the rules that we adopt.  </w:t>
      </w:r>
    </w:p>
    <w:p w:rsidR="00B83427" w:rsidRPr="00335183" w:rsidP="00201B13" w14:paraId="17182F8F" w14:textId="69A842CA">
      <w:pPr>
        <w:pStyle w:val="ParaNum"/>
        <w:keepNext/>
        <w:widowControl/>
        <w:rPr>
          <w:szCs w:val="22"/>
        </w:rPr>
      </w:pPr>
      <w:r>
        <w:rPr>
          <w:szCs w:val="22"/>
        </w:rPr>
        <w:t xml:space="preserve">IEEE asks that </w:t>
      </w:r>
      <w:r w:rsidRPr="005D46C5">
        <w:rPr>
          <w:szCs w:val="22"/>
        </w:rPr>
        <w:t xml:space="preserve">the </w:t>
      </w:r>
      <w:r>
        <w:rPr>
          <w:szCs w:val="22"/>
        </w:rPr>
        <w:t xml:space="preserve">U.S. apply the </w:t>
      </w:r>
      <w:r w:rsidRPr="005D46C5">
        <w:rPr>
          <w:szCs w:val="22"/>
        </w:rPr>
        <w:t xml:space="preserve">stricter Phase 2 standards </w:t>
      </w:r>
      <w:r w:rsidR="00F6163D">
        <w:rPr>
          <w:szCs w:val="22"/>
        </w:rPr>
        <w:t>on an accelerated schedule</w:t>
      </w:r>
      <w:r w:rsidR="00FC2A4F">
        <w:rPr>
          <w:szCs w:val="22"/>
        </w:rPr>
        <w:t xml:space="preserve"> </w:t>
      </w:r>
      <w:r w:rsidRPr="005D46C5">
        <w:rPr>
          <w:szCs w:val="22"/>
        </w:rPr>
        <w:t xml:space="preserve">for new deployments and </w:t>
      </w:r>
      <w:r>
        <w:rPr>
          <w:szCs w:val="22"/>
        </w:rPr>
        <w:t xml:space="preserve">in </w:t>
      </w:r>
      <w:r w:rsidRPr="005D46C5">
        <w:rPr>
          <w:szCs w:val="22"/>
        </w:rPr>
        <w:t xml:space="preserve">2027 for all deployments, </w:t>
      </w:r>
      <w:r>
        <w:rPr>
          <w:szCs w:val="22"/>
        </w:rPr>
        <w:t>consistent with</w:t>
      </w:r>
      <w:r w:rsidRPr="005D46C5">
        <w:rPr>
          <w:szCs w:val="22"/>
        </w:rPr>
        <w:t xml:space="preserve"> the European Union.</w:t>
      </w:r>
      <w:r>
        <w:rPr>
          <w:rStyle w:val="FootnoteReference"/>
          <w:szCs w:val="22"/>
        </w:rPr>
        <w:footnoteReference w:id="71"/>
      </w:r>
      <w:r w:rsidRPr="005D46C5">
        <w:rPr>
          <w:szCs w:val="22"/>
        </w:rPr>
        <w:t xml:space="preserve">  </w:t>
      </w:r>
      <w:r>
        <w:rPr>
          <w:szCs w:val="22"/>
        </w:rPr>
        <w:t xml:space="preserve">We seek comment on the feasibility and appropriateness of accelerating the deadline for compliance with the Phase 2 standards.  In that regard, we request that equipment manufacturers and 24 GHz licensees provide further information on timelines for mobile equipment availability and system deployment.  As noted above, while equipment manufacturers are working on equipment that would comply with the Phase 2 </w:t>
      </w:r>
      <w:r>
        <w:rPr>
          <w:szCs w:val="22"/>
        </w:rPr>
        <w:t>standards, it is not clear that equipment meeting the Phase 2 standards would be widely available on an accelerated time frame.</w:t>
      </w:r>
      <w:r>
        <w:rPr>
          <w:rStyle w:val="FootnoteReference"/>
          <w:szCs w:val="22"/>
        </w:rPr>
        <w:footnoteReference w:id="72"/>
      </w:r>
      <w:r>
        <w:rPr>
          <w:szCs w:val="22"/>
        </w:rPr>
        <w:t xml:space="preserve">  Furthermore, the Phase 2 standards anticipate ubiquitous deployment of mobile systems in the band, and it is not clear that widespread deployment of mobile systems will occur in the band before 2027.  We also note that licensees in the band in the U.S. will not be required to demonstrate buildout before 2029.</w:t>
      </w:r>
      <w:r>
        <w:rPr>
          <w:rStyle w:val="FootnoteReference"/>
          <w:szCs w:val="22"/>
        </w:rPr>
        <w:footnoteReference w:id="73"/>
      </w:r>
      <w:r>
        <w:rPr>
          <w:szCs w:val="22"/>
        </w:rPr>
        <w:t xml:space="preserve">  </w:t>
      </w:r>
    </w:p>
    <w:p w:rsidR="00B83427" w:rsidRPr="00042A55" w:rsidP="002F648B" w14:paraId="15E54A75" w14:textId="3455ACEC">
      <w:pPr>
        <w:pStyle w:val="ParaNum"/>
        <w:rPr>
          <w:szCs w:val="22"/>
        </w:rPr>
      </w:pPr>
      <w:r>
        <w:rPr>
          <w:szCs w:val="22"/>
        </w:rPr>
        <w:t xml:space="preserve">NTIA requests that </w:t>
      </w:r>
      <w:r w:rsidRPr="005D46C5">
        <w:rPr>
          <w:szCs w:val="22"/>
        </w:rPr>
        <w:t>the Commission incentivize early adoption of the 2027 WRC limits, assert</w:t>
      </w:r>
      <w:r>
        <w:rPr>
          <w:szCs w:val="22"/>
        </w:rPr>
        <w:t>ing that</w:t>
      </w:r>
      <w:r w:rsidRPr="005D46C5">
        <w:rPr>
          <w:szCs w:val="22"/>
        </w:rPr>
        <w:t xml:space="preserve"> the WRC limits are based on estimates of gradual 5G deployment, which is at odds with the U</w:t>
      </w:r>
      <w:r>
        <w:rPr>
          <w:szCs w:val="22"/>
        </w:rPr>
        <w:t xml:space="preserve">nited </w:t>
      </w:r>
      <w:r w:rsidRPr="005D46C5">
        <w:rPr>
          <w:szCs w:val="22"/>
        </w:rPr>
        <w:t>S</w:t>
      </w:r>
      <w:r>
        <w:rPr>
          <w:szCs w:val="22"/>
        </w:rPr>
        <w:t>tates’</w:t>
      </w:r>
      <w:r w:rsidRPr="005D46C5">
        <w:rPr>
          <w:szCs w:val="22"/>
        </w:rPr>
        <w:t xml:space="preserve"> national priority of rapid 5G deployment.</w:t>
      </w:r>
      <w:r>
        <w:rPr>
          <w:rStyle w:val="FootnoteReference"/>
          <w:szCs w:val="22"/>
        </w:rPr>
        <w:footnoteReference w:id="74"/>
      </w:r>
      <w:r w:rsidRPr="005D46C5">
        <w:rPr>
          <w:szCs w:val="22"/>
        </w:rPr>
        <w:t xml:space="preserve">  </w:t>
      </w:r>
      <w:r w:rsidR="004B016F">
        <w:rPr>
          <w:szCs w:val="22"/>
        </w:rPr>
        <w:t xml:space="preserve">Noting that rapid 5G deployment in a range of frequency bands covering high-band, mid-band, and low-band spectrum is </w:t>
      </w:r>
      <w:r w:rsidR="000A4067">
        <w:rPr>
          <w:szCs w:val="22"/>
        </w:rPr>
        <w:t xml:space="preserve">a </w:t>
      </w:r>
      <w:r w:rsidR="004B016F">
        <w:rPr>
          <w:szCs w:val="22"/>
        </w:rPr>
        <w:t>priority for many countries around the world, and that international 5G deployments are well underway, w</w:t>
      </w:r>
      <w:r>
        <w:rPr>
          <w:szCs w:val="22"/>
        </w:rPr>
        <w:t xml:space="preserve">e seek comment on NTIA’s request.  What </w:t>
      </w:r>
      <w:r w:rsidRPr="002F648B">
        <w:t>incentives</w:t>
      </w:r>
      <w:r>
        <w:rPr>
          <w:szCs w:val="22"/>
        </w:rPr>
        <w:t xml:space="preserve"> would facilitate deployment of equipment that meets the Phase 2 limits?</w:t>
      </w:r>
      <w:r>
        <w:rPr>
          <w:rStyle w:val="FootnoteReference"/>
          <w:szCs w:val="22"/>
        </w:rPr>
        <w:footnoteReference w:id="75"/>
      </w:r>
      <w:r>
        <w:rPr>
          <w:szCs w:val="22"/>
        </w:rPr>
        <w:t xml:space="preserve">  Are there steps the Commission can take to encourage the development and deployment of equipment that meets the Phase 2 standards?</w:t>
      </w:r>
    </w:p>
    <w:p w:rsidR="00B83427" w:rsidP="00201B13" w14:paraId="18662540" w14:textId="77172E80">
      <w:pPr>
        <w:pStyle w:val="ParaNum"/>
        <w:widowControl/>
        <w:rPr>
          <w:szCs w:val="22"/>
        </w:rPr>
      </w:pPr>
      <w:r w:rsidRPr="00EB57B9">
        <w:rPr>
          <w:szCs w:val="22"/>
        </w:rPr>
        <w:t xml:space="preserve">NTIA urges, and AGU/AMS/NWA agrees, that </w:t>
      </w:r>
      <w:r>
        <w:t xml:space="preserve">base stations and user equipment modified or replaced after September 1, 2027, should comply with the post-2027 (e.g., </w:t>
      </w:r>
      <w:r w:rsidRPr="005D46C5" w:rsidR="00EE7A9D">
        <w:rPr>
          <w:szCs w:val="22"/>
        </w:rPr>
        <w:t>–</w:t>
      </w:r>
      <w:r>
        <w:t xml:space="preserve">39 </w:t>
      </w:r>
      <w:r>
        <w:t>dBW</w:t>
      </w:r>
      <w:r>
        <w:t>) OOBE levels</w:t>
      </w:r>
      <w:r w:rsidRPr="00EB57B9">
        <w:rPr>
          <w:szCs w:val="22"/>
        </w:rPr>
        <w:t>.</w:t>
      </w:r>
      <w:r>
        <w:rPr>
          <w:rStyle w:val="FootnoteReference"/>
          <w:szCs w:val="22"/>
        </w:rPr>
        <w:footnoteReference w:id="76"/>
      </w:r>
      <w:r w:rsidRPr="00EB57B9">
        <w:rPr>
          <w:szCs w:val="22"/>
        </w:rPr>
        <w:t xml:space="preserve">  CTIA argues this requirement is overly broad and would effectively prevent licensees from making any changes to existing deployments without purchasing and installing entirely new equipment; </w:t>
      </w:r>
      <w:r w:rsidRPr="002F648B">
        <w:t>furthermore</w:t>
      </w:r>
      <w:r w:rsidRPr="00EB57B9">
        <w:rPr>
          <w:szCs w:val="22"/>
        </w:rPr>
        <w:t>, it asserts the WRC-19 decision makes clear that the more stringent limits apply to equipment brought into use after September 2027, and that equipment brought into use before that date will continue to be subject to the initial emission</w:t>
      </w:r>
      <w:r>
        <w:rPr>
          <w:szCs w:val="22"/>
        </w:rPr>
        <w:t>s</w:t>
      </w:r>
      <w:r w:rsidRPr="00EB57B9">
        <w:rPr>
          <w:szCs w:val="22"/>
        </w:rPr>
        <w:t xml:space="preserve"> limits.</w:t>
      </w:r>
      <w:r>
        <w:rPr>
          <w:rStyle w:val="FootnoteReference"/>
          <w:szCs w:val="22"/>
        </w:rPr>
        <w:footnoteReference w:id="77"/>
      </w:r>
      <w:r w:rsidRPr="00EB57B9">
        <w:rPr>
          <w:szCs w:val="22"/>
        </w:rPr>
        <w:t xml:space="preserve">  T-Mobile notes that equipment can be “modified” in a number of insignificant ways, and thus, the Commission should only treat base station modifications that </w:t>
      </w:r>
      <w:r>
        <w:rPr>
          <w:szCs w:val="22"/>
        </w:rPr>
        <w:t>a</w:t>
      </w:r>
      <w:r w:rsidRPr="00EB57B9">
        <w:rPr>
          <w:szCs w:val="22"/>
        </w:rPr>
        <w:t>ffect the emission</w:t>
      </w:r>
      <w:r>
        <w:rPr>
          <w:szCs w:val="22"/>
        </w:rPr>
        <w:t>s</w:t>
      </w:r>
      <w:r w:rsidRPr="00EB57B9">
        <w:rPr>
          <w:szCs w:val="22"/>
        </w:rPr>
        <w:t xml:space="preserve"> characteristics as “modifications.”</w:t>
      </w:r>
      <w:r>
        <w:rPr>
          <w:rStyle w:val="FootnoteReference"/>
          <w:szCs w:val="22"/>
        </w:rPr>
        <w:footnoteReference w:id="78"/>
      </w:r>
      <w:r w:rsidRPr="00EB57B9">
        <w:rPr>
          <w:szCs w:val="22"/>
        </w:rPr>
        <w:t xml:space="preserve">  In contrast, AGU/AMS/NWA recommends that all legacy equipment installed prior to 2027 </w:t>
      </w:r>
      <w:r>
        <w:rPr>
          <w:szCs w:val="22"/>
        </w:rPr>
        <w:t xml:space="preserve">that does </w:t>
      </w:r>
      <w:r w:rsidRPr="00EB57B9">
        <w:rPr>
          <w:szCs w:val="22"/>
        </w:rPr>
        <w:t xml:space="preserve">not meet the more stringent limits </w:t>
      </w:r>
      <w:r>
        <w:rPr>
          <w:szCs w:val="22"/>
        </w:rPr>
        <w:t xml:space="preserve">should </w:t>
      </w:r>
      <w:r w:rsidRPr="00EB57B9">
        <w:rPr>
          <w:szCs w:val="22"/>
        </w:rPr>
        <w:t>be given a sunset date of September 1, 2028, for retrofit or replacement to comply with the</w:t>
      </w:r>
      <w:r>
        <w:rPr>
          <w:szCs w:val="22"/>
        </w:rPr>
        <w:t xml:space="preserve"> Phase 2 limits</w:t>
      </w:r>
      <w:r w:rsidRPr="00EB57B9">
        <w:rPr>
          <w:szCs w:val="22"/>
        </w:rPr>
        <w:t>.</w:t>
      </w:r>
      <w:r>
        <w:rPr>
          <w:rStyle w:val="FootnoteReference"/>
          <w:szCs w:val="22"/>
        </w:rPr>
        <w:footnoteReference w:id="79"/>
      </w:r>
      <w:r w:rsidRPr="00EB57B9">
        <w:rPr>
          <w:szCs w:val="22"/>
        </w:rPr>
        <w:t xml:space="preserve">  </w:t>
      </w:r>
      <w:r w:rsidRPr="005D46C5">
        <w:rPr>
          <w:szCs w:val="22"/>
        </w:rPr>
        <w:t xml:space="preserve">CTIA </w:t>
      </w:r>
      <w:r>
        <w:rPr>
          <w:szCs w:val="22"/>
        </w:rPr>
        <w:t xml:space="preserve">and AT&amp;T </w:t>
      </w:r>
      <w:r w:rsidRPr="005D46C5">
        <w:rPr>
          <w:szCs w:val="22"/>
        </w:rPr>
        <w:t xml:space="preserve">respond that </w:t>
      </w:r>
      <w:r>
        <w:rPr>
          <w:szCs w:val="22"/>
        </w:rPr>
        <w:t xml:space="preserve">the </w:t>
      </w:r>
      <w:r w:rsidRPr="006D0D37">
        <w:rPr>
          <w:szCs w:val="22"/>
        </w:rPr>
        <w:t>Commission should not apply</w:t>
      </w:r>
      <w:r w:rsidRPr="005D46C5">
        <w:rPr>
          <w:szCs w:val="22"/>
        </w:rPr>
        <w:t xml:space="preserve"> a more stringent emission</w:t>
      </w:r>
      <w:r>
        <w:rPr>
          <w:szCs w:val="22"/>
        </w:rPr>
        <w:t>s</w:t>
      </w:r>
      <w:r w:rsidRPr="005D46C5">
        <w:rPr>
          <w:szCs w:val="22"/>
        </w:rPr>
        <w:t xml:space="preserve"> limit to any equipment that is modified or replaced after September 2027</w:t>
      </w:r>
      <w:r>
        <w:rPr>
          <w:szCs w:val="22"/>
        </w:rPr>
        <w:t>.</w:t>
      </w:r>
      <w:r>
        <w:rPr>
          <w:rStyle w:val="FootnoteReference"/>
          <w:szCs w:val="22"/>
        </w:rPr>
        <w:footnoteReference w:id="80"/>
      </w:r>
    </w:p>
    <w:p w:rsidR="00B83427" w:rsidRPr="00847110" w:rsidP="002F648B" w14:paraId="21AFCB50" w14:textId="4F5FCCA6">
      <w:pPr>
        <w:pStyle w:val="ParaNum"/>
        <w:rPr>
          <w:szCs w:val="22"/>
        </w:rPr>
      </w:pPr>
      <w:r w:rsidRPr="00847110">
        <w:rPr>
          <w:szCs w:val="22"/>
        </w:rPr>
        <w:t xml:space="preserve">We seek comment on </w:t>
      </w:r>
      <w:r w:rsidRPr="00543485">
        <w:rPr>
          <w:szCs w:val="22"/>
        </w:rPr>
        <w:t>adopt</w:t>
      </w:r>
      <w:r>
        <w:rPr>
          <w:szCs w:val="22"/>
        </w:rPr>
        <w:t>ing</w:t>
      </w:r>
      <w:r w:rsidRPr="00543485">
        <w:rPr>
          <w:szCs w:val="22"/>
        </w:rPr>
        <w:t xml:space="preserve"> a timetable that matches what was </w:t>
      </w:r>
      <w:r>
        <w:rPr>
          <w:szCs w:val="22"/>
        </w:rPr>
        <w:t>adopted at</w:t>
      </w:r>
      <w:r w:rsidRPr="00543485">
        <w:rPr>
          <w:szCs w:val="22"/>
        </w:rPr>
        <w:t xml:space="preserve"> WRC-19</w:t>
      </w:r>
      <w:r>
        <w:rPr>
          <w:szCs w:val="22"/>
        </w:rPr>
        <w:t xml:space="preserve">; </w:t>
      </w:r>
      <w:r>
        <w:rPr>
          <w:i/>
          <w:iCs/>
          <w:szCs w:val="22"/>
        </w:rPr>
        <w:t>i.e.</w:t>
      </w:r>
      <w:r>
        <w:rPr>
          <w:szCs w:val="22"/>
        </w:rPr>
        <w:t>, deployments would be required to meet the first phase limits as of the effective date of any rules we adopt, and deployments after September 1, 2027 would be required to meet the stricter second phase limits</w:t>
      </w:r>
      <w:r w:rsidRPr="005D6226">
        <w:rPr>
          <w:szCs w:val="22"/>
        </w:rPr>
        <w:t xml:space="preserve">.  We </w:t>
      </w:r>
      <w:r>
        <w:rPr>
          <w:szCs w:val="22"/>
        </w:rPr>
        <w:t xml:space="preserve">note </w:t>
      </w:r>
      <w:r w:rsidRPr="005D6226">
        <w:rPr>
          <w:szCs w:val="22"/>
        </w:rPr>
        <w:t>the co</w:t>
      </w:r>
      <w:r>
        <w:rPr>
          <w:szCs w:val="22"/>
        </w:rPr>
        <w:t>ncern</w:t>
      </w:r>
      <w:r w:rsidRPr="005D6226">
        <w:rPr>
          <w:szCs w:val="22"/>
        </w:rPr>
        <w:t xml:space="preserve"> that significant research and development will be required to meet the 2027 deadline in the U</w:t>
      </w:r>
      <w:r>
        <w:rPr>
          <w:szCs w:val="22"/>
        </w:rPr>
        <w:t>.</w:t>
      </w:r>
      <w:r w:rsidRPr="005D6226">
        <w:rPr>
          <w:szCs w:val="22"/>
        </w:rPr>
        <w:t xml:space="preserve">S.  </w:t>
      </w:r>
      <w:r>
        <w:rPr>
          <w:szCs w:val="22"/>
        </w:rPr>
        <w:t>W</w:t>
      </w:r>
      <w:r w:rsidRPr="00EB57B9">
        <w:rPr>
          <w:szCs w:val="22"/>
        </w:rPr>
        <w:t xml:space="preserve">e seek comment on rules for transitioning equipment deployed under the Phase 1 </w:t>
      </w:r>
      <w:r w:rsidRPr="00EB57B9">
        <w:rPr>
          <w:szCs w:val="22"/>
        </w:rPr>
        <w:t>limits</w:t>
      </w:r>
      <w:r>
        <w:rPr>
          <w:szCs w:val="22"/>
        </w:rPr>
        <w:t>, including</w:t>
      </w:r>
      <w:r w:rsidRPr="00EB57B9">
        <w:rPr>
          <w:szCs w:val="22"/>
        </w:rPr>
        <w:t xml:space="preserve"> </w:t>
      </w:r>
      <w:r w:rsidRPr="005D6226">
        <w:rPr>
          <w:szCs w:val="22"/>
        </w:rPr>
        <w:t xml:space="preserve">the proposal of NTIA and others that parties modifying or replacing equipment after September 1, 2027 must meet the more stringent OOBE limit </w:t>
      </w:r>
      <w:r w:rsidRPr="00D57ED3">
        <w:rPr>
          <w:szCs w:val="22"/>
        </w:rPr>
        <w:t xml:space="preserve">(e.g., </w:t>
      </w:r>
      <w:r w:rsidRPr="005D46C5" w:rsidR="00EE7A9D">
        <w:rPr>
          <w:szCs w:val="22"/>
        </w:rPr>
        <w:t>–</w:t>
      </w:r>
      <w:r w:rsidRPr="00D57ED3">
        <w:rPr>
          <w:szCs w:val="22"/>
        </w:rPr>
        <w:t xml:space="preserve">39 </w:t>
      </w:r>
      <w:r w:rsidRPr="00D57ED3">
        <w:rPr>
          <w:szCs w:val="22"/>
        </w:rPr>
        <w:t>dBW</w:t>
      </w:r>
      <w:r w:rsidRPr="00D57ED3">
        <w:rPr>
          <w:szCs w:val="22"/>
        </w:rPr>
        <w:t>)</w:t>
      </w:r>
      <w:r w:rsidRPr="005D6226">
        <w:rPr>
          <w:szCs w:val="22"/>
        </w:rPr>
        <w:t>.</w:t>
      </w:r>
      <w:r>
        <w:rPr>
          <w:rStyle w:val="FootnoteReference"/>
          <w:szCs w:val="22"/>
        </w:rPr>
        <w:footnoteReference w:id="81"/>
      </w:r>
      <w:r w:rsidRPr="005D6226">
        <w:rPr>
          <w:szCs w:val="22"/>
        </w:rPr>
        <w:t xml:space="preserve">  We seek to understand </w:t>
      </w:r>
      <w:r w:rsidRPr="005F37C4">
        <w:rPr>
          <w:szCs w:val="22"/>
        </w:rPr>
        <w:t xml:space="preserve">what would constitute “replacement” or “modification” of equipment under </w:t>
      </w:r>
      <w:r>
        <w:rPr>
          <w:szCs w:val="22"/>
        </w:rPr>
        <w:t xml:space="preserve">such a </w:t>
      </w:r>
      <w:r w:rsidRPr="005F37C4">
        <w:rPr>
          <w:szCs w:val="22"/>
        </w:rPr>
        <w:t>proposal</w:t>
      </w:r>
      <w:r>
        <w:rPr>
          <w:szCs w:val="22"/>
        </w:rPr>
        <w:t>.</w:t>
      </w:r>
      <w:r w:rsidRPr="005F37C4">
        <w:rPr>
          <w:szCs w:val="22"/>
        </w:rPr>
        <w:t xml:space="preserve">  </w:t>
      </w:r>
      <w:r w:rsidR="003A6075">
        <w:rPr>
          <w:szCs w:val="22"/>
        </w:rPr>
        <w:t>What sort of technical changes would constitute a “modification” for this purpose?</w:t>
      </w:r>
      <w:r w:rsidR="005C4471">
        <w:rPr>
          <w:szCs w:val="22"/>
        </w:rPr>
        <w:t xml:space="preserve"> </w:t>
      </w:r>
      <w:r w:rsidR="003A6075">
        <w:rPr>
          <w:szCs w:val="22"/>
        </w:rPr>
        <w:t xml:space="preserve"> Would any alterations qualify, or only those which altered certain technical parameters, such as antenna height? </w:t>
      </w:r>
      <w:r w:rsidR="00001881">
        <w:rPr>
          <w:szCs w:val="22"/>
        </w:rPr>
        <w:t xml:space="preserve"> </w:t>
      </w:r>
      <w:r>
        <w:rPr>
          <w:szCs w:val="22"/>
        </w:rPr>
        <w:t>T</w:t>
      </w:r>
      <w:r w:rsidRPr="005F37C4">
        <w:rPr>
          <w:szCs w:val="22"/>
        </w:rPr>
        <w:t>o the extent that parties are correct that the U</w:t>
      </w:r>
      <w:r>
        <w:rPr>
          <w:szCs w:val="22"/>
        </w:rPr>
        <w:t>.</w:t>
      </w:r>
      <w:r w:rsidRPr="005F37C4">
        <w:rPr>
          <w:szCs w:val="22"/>
        </w:rPr>
        <w:t>S</w:t>
      </w:r>
      <w:r>
        <w:rPr>
          <w:szCs w:val="22"/>
        </w:rPr>
        <w:t>.</w:t>
      </w:r>
      <w:r w:rsidRPr="005F37C4">
        <w:rPr>
          <w:szCs w:val="22"/>
        </w:rPr>
        <w:t xml:space="preserve"> would be better served by having its equipment ecosystem meet stricter emissions limits by 2024 as </w:t>
      </w:r>
      <w:r>
        <w:rPr>
          <w:szCs w:val="22"/>
        </w:rPr>
        <w:t xml:space="preserve">is required </w:t>
      </w:r>
      <w:r w:rsidRPr="005F37C4">
        <w:rPr>
          <w:szCs w:val="22"/>
        </w:rPr>
        <w:t>in Europe,</w:t>
      </w:r>
      <w:r>
        <w:rPr>
          <w:rStyle w:val="FootnoteReference"/>
          <w:szCs w:val="22"/>
        </w:rPr>
        <w:footnoteReference w:id="82"/>
      </w:r>
      <w:r w:rsidRPr="005F37C4">
        <w:rPr>
          <w:szCs w:val="22"/>
        </w:rPr>
        <w:t xml:space="preserve"> we seek comment on whether there are any steps we can take to facilitate early adoption of the 2027 limit.</w:t>
      </w:r>
      <w:r>
        <w:rPr>
          <w:szCs w:val="22"/>
        </w:rPr>
        <w:t xml:space="preserve">  Additionally, as noted above, we seek comment on whether a different implementation schedule would be appropriate for smaller entities and if so, what would be the related costs and benefits.  </w:t>
      </w:r>
    </w:p>
    <w:p w:rsidR="00B83427" w:rsidRPr="005D46C5" w:rsidP="005F2707" w14:paraId="70178557" w14:textId="77777777">
      <w:pPr>
        <w:pStyle w:val="Heading2"/>
      </w:pPr>
      <w:r>
        <w:t>Measurement of Unwanted Emissions</w:t>
      </w:r>
    </w:p>
    <w:p w:rsidR="00B83427" w:rsidRPr="007E3843" w:rsidP="002F648B" w14:paraId="51634D2C" w14:textId="588607F3">
      <w:pPr>
        <w:pStyle w:val="ParaNum"/>
      </w:pPr>
      <w:bookmarkStart w:id="8" w:name="_Ref85968953"/>
      <w:r w:rsidRPr="0091223D">
        <w:t xml:space="preserve">Currently, the UMFUS rules permit equipment manufacturers the flexibility of demonstrating compliance with the out-of-band emissions limits by using either a TRP or conductive methodology </w:t>
      </w:r>
      <w:r w:rsidRPr="00B83427">
        <w:rPr>
          <w:szCs w:val="22"/>
        </w:rPr>
        <w:t>when</w:t>
      </w:r>
      <w:r w:rsidRPr="0091223D">
        <w:t xml:space="preserve"> obtaining equipment certification.</w:t>
      </w:r>
      <w:r>
        <w:rPr>
          <w:rStyle w:val="FootnoteReference"/>
        </w:rPr>
        <w:footnoteReference w:id="83"/>
      </w:r>
      <w:r w:rsidRPr="0091223D">
        <w:t xml:space="preserve"> </w:t>
      </w:r>
      <w:r>
        <w:t xml:space="preserve"> To the extent that we adopt new emissions limits to protect passive sensors in the 23.6-24.0 GHz band, w</w:t>
      </w:r>
      <w:r w:rsidRPr="002F567C">
        <w:t xml:space="preserve">e </w:t>
      </w:r>
      <w:r>
        <w:t>propose to allow compliance with</w:t>
      </w:r>
      <w:r w:rsidRPr="002F567C">
        <w:t xml:space="preserve"> the unwanted emission</w:t>
      </w:r>
      <w:r>
        <w:t>s</w:t>
      </w:r>
      <w:r w:rsidRPr="002F567C">
        <w:t xml:space="preserve"> limits for the 23.6-24.0 GHz band </w:t>
      </w:r>
      <w:r>
        <w:t xml:space="preserve">to be demonstrated using TRP measurements, and we seek comment on whether to permit use of </w:t>
      </w:r>
      <w:r w:rsidRPr="002F567C">
        <w:t xml:space="preserve">conductive power </w:t>
      </w:r>
      <w:r>
        <w:t>measurements as well</w:t>
      </w:r>
      <w:r w:rsidRPr="002F567C">
        <w:t>.</w:t>
      </w:r>
      <w:bookmarkEnd w:id="8"/>
      <w:r>
        <w:t xml:space="preserve">    </w:t>
      </w:r>
    </w:p>
    <w:p w:rsidR="00B83427" w:rsidP="002F648B" w14:paraId="6994607B" w14:textId="3AFA4ED5">
      <w:pPr>
        <w:pStyle w:val="ParaNum"/>
        <w:rPr>
          <w:szCs w:val="22"/>
        </w:rPr>
      </w:pPr>
      <w:r w:rsidRPr="005D46C5">
        <w:rPr>
          <w:szCs w:val="22"/>
        </w:rPr>
        <w:t>CTIA</w:t>
      </w:r>
      <w:r>
        <w:rPr>
          <w:szCs w:val="22"/>
        </w:rPr>
        <w:t xml:space="preserve">, </w:t>
      </w:r>
      <w:r w:rsidRPr="005D46C5">
        <w:rPr>
          <w:szCs w:val="22"/>
        </w:rPr>
        <w:t>Nokia</w:t>
      </w:r>
      <w:r>
        <w:rPr>
          <w:szCs w:val="22"/>
        </w:rPr>
        <w:t>, and AT&amp;T</w:t>
      </w:r>
      <w:r w:rsidRPr="005D46C5">
        <w:rPr>
          <w:szCs w:val="22"/>
        </w:rPr>
        <w:t xml:space="preserve"> support the Commission permitting </w:t>
      </w:r>
      <w:r>
        <w:rPr>
          <w:szCs w:val="22"/>
        </w:rPr>
        <w:t xml:space="preserve">use of either </w:t>
      </w:r>
      <w:r w:rsidRPr="005D46C5">
        <w:rPr>
          <w:szCs w:val="22"/>
        </w:rPr>
        <w:t xml:space="preserve">TRP </w:t>
      </w:r>
      <w:r>
        <w:rPr>
          <w:szCs w:val="22"/>
        </w:rPr>
        <w:t>or</w:t>
      </w:r>
      <w:r w:rsidRPr="005D46C5">
        <w:rPr>
          <w:szCs w:val="22"/>
        </w:rPr>
        <w:t xml:space="preserve"> conductive power methodologies to measure emissions</w:t>
      </w:r>
      <w:r>
        <w:rPr>
          <w:szCs w:val="22"/>
        </w:rPr>
        <w:t>,</w:t>
      </w:r>
      <w:r>
        <w:rPr>
          <w:rStyle w:val="FootnoteReference"/>
          <w:szCs w:val="22"/>
        </w:rPr>
        <w:footnoteReference w:id="84"/>
      </w:r>
      <w:r w:rsidRPr="005D46C5">
        <w:rPr>
          <w:szCs w:val="22"/>
        </w:rPr>
        <w:t xml:space="preserve"> while </w:t>
      </w:r>
      <w:r w:rsidRPr="00D0187E">
        <w:rPr>
          <w:szCs w:val="22"/>
        </w:rPr>
        <w:t xml:space="preserve">NTIA, </w:t>
      </w:r>
      <w:r w:rsidRPr="00DB47C7">
        <w:rPr>
          <w:szCs w:val="22"/>
        </w:rPr>
        <w:t xml:space="preserve">AGU/AMS/NWA, </w:t>
      </w:r>
      <w:r w:rsidRPr="00D0187E">
        <w:rPr>
          <w:szCs w:val="22"/>
        </w:rPr>
        <w:t xml:space="preserve">and </w:t>
      </w:r>
      <w:r w:rsidRPr="005D46C5">
        <w:rPr>
          <w:szCs w:val="22"/>
        </w:rPr>
        <w:t xml:space="preserve">Ericsson argue </w:t>
      </w:r>
      <w:r>
        <w:rPr>
          <w:szCs w:val="22"/>
        </w:rPr>
        <w:t xml:space="preserve">that </w:t>
      </w:r>
      <w:r w:rsidRPr="005D46C5">
        <w:rPr>
          <w:szCs w:val="22"/>
        </w:rPr>
        <w:t xml:space="preserve">only TRP should be </w:t>
      </w:r>
      <w:r>
        <w:rPr>
          <w:szCs w:val="22"/>
        </w:rPr>
        <w:t>allowed</w:t>
      </w:r>
      <w:r w:rsidRPr="005D46C5">
        <w:rPr>
          <w:szCs w:val="22"/>
        </w:rPr>
        <w:t xml:space="preserve">, consistent with the </w:t>
      </w:r>
      <w:r>
        <w:rPr>
          <w:szCs w:val="22"/>
        </w:rPr>
        <w:t>rules</w:t>
      </w:r>
      <w:r w:rsidRPr="005D46C5">
        <w:rPr>
          <w:szCs w:val="22"/>
        </w:rPr>
        <w:t xml:space="preserve"> adopted at WRC-19.</w:t>
      </w:r>
      <w:r>
        <w:rPr>
          <w:rStyle w:val="FootnoteReference"/>
          <w:szCs w:val="22"/>
        </w:rPr>
        <w:footnoteReference w:id="85"/>
      </w:r>
      <w:r>
        <w:rPr>
          <w:szCs w:val="22"/>
        </w:rPr>
        <w:t xml:space="preserve"> </w:t>
      </w:r>
      <w:r w:rsidRPr="005D46C5">
        <w:rPr>
          <w:szCs w:val="22"/>
        </w:rPr>
        <w:t xml:space="preserve"> CTIA urges the Commission to allow for measurement of emissions either in terms of TRP or conductive power to provide manufacture</w:t>
      </w:r>
      <w:r>
        <w:rPr>
          <w:szCs w:val="22"/>
        </w:rPr>
        <w:t>r</w:t>
      </w:r>
      <w:r w:rsidRPr="005D46C5">
        <w:rPr>
          <w:szCs w:val="22"/>
        </w:rPr>
        <w:t xml:space="preserve">s </w:t>
      </w:r>
      <w:r>
        <w:rPr>
          <w:szCs w:val="22"/>
        </w:rPr>
        <w:t xml:space="preserve">the </w:t>
      </w:r>
      <w:r w:rsidRPr="005D46C5">
        <w:rPr>
          <w:szCs w:val="22"/>
        </w:rPr>
        <w:t>flexibility to determine the most feasible approach for a particular device without affecting compli</w:t>
      </w:r>
      <w:r>
        <w:rPr>
          <w:szCs w:val="22"/>
        </w:rPr>
        <w:t>ance</w:t>
      </w:r>
      <w:r w:rsidRPr="005D46C5">
        <w:rPr>
          <w:szCs w:val="22"/>
        </w:rPr>
        <w:t xml:space="preserve"> with the established limits.</w:t>
      </w:r>
      <w:r>
        <w:rPr>
          <w:rStyle w:val="FootnoteReference"/>
          <w:szCs w:val="22"/>
        </w:rPr>
        <w:footnoteReference w:id="86"/>
      </w:r>
      <w:r w:rsidRPr="005D46C5">
        <w:rPr>
          <w:szCs w:val="22"/>
        </w:rPr>
        <w:t xml:space="preserve"> </w:t>
      </w:r>
      <w:r>
        <w:rPr>
          <w:szCs w:val="22"/>
        </w:rPr>
        <w:t xml:space="preserve"> Other commenters assert that the Commission should not permit the conductive power methodology to be used to measure emissions into the 23.6-24.0 GHz band.  </w:t>
      </w:r>
      <w:r w:rsidRPr="005D46C5">
        <w:rPr>
          <w:szCs w:val="22"/>
        </w:rPr>
        <w:t xml:space="preserve">NTIA </w:t>
      </w:r>
      <w:r>
        <w:rPr>
          <w:szCs w:val="22"/>
        </w:rPr>
        <w:t>suggests</w:t>
      </w:r>
      <w:r w:rsidRPr="005D46C5">
        <w:rPr>
          <w:szCs w:val="22"/>
        </w:rPr>
        <w:t xml:space="preserve"> </w:t>
      </w:r>
      <w:r>
        <w:rPr>
          <w:szCs w:val="22"/>
        </w:rPr>
        <w:t xml:space="preserve">that </w:t>
      </w:r>
      <w:r w:rsidRPr="005D46C5">
        <w:rPr>
          <w:szCs w:val="22"/>
        </w:rPr>
        <w:t xml:space="preserve">only TRP </w:t>
      </w:r>
      <w:r>
        <w:rPr>
          <w:szCs w:val="22"/>
        </w:rPr>
        <w:t xml:space="preserve">measurements </w:t>
      </w:r>
      <w:r w:rsidRPr="005D46C5">
        <w:rPr>
          <w:szCs w:val="22"/>
        </w:rPr>
        <w:t xml:space="preserve">should be </w:t>
      </w:r>
      <w:r>
        <w:rPr>
          <w:szCs w:val="22"/>
        </w:rPr>
        <w:t>permitted</w:t>
      </w:r>
      <w:r w:rsidRPr="005D46C5">
        <w:rPr>
          <w:szCs w:val="22"/>
        </w:rPr>
        <w:t xml:space="preserve"> because the </w:t>
      </w:r>
      <w:r>
        <w:rPr>
          <w:szCs w:val="22"/>
        </w:rPr>
        <w:t xml:space="preserve">Resolution 750 unwanted emissions </w:t>
      </w:r>
      <w:r w:rsidRPr="005D46C5">
        <w:rPr>
          <w:szCs w:val="22"/>
        </w:rPr>
        <w:t xml:space="preserve">limits are based on </w:t>
      </w:r>
      <w:r w:rsidR="00375CCD">
        <w:rPr>
          <w:szCs w:val="22"/>
        </w:rPr>
        <w:t xml:space="preserve">the use of </w:t>
      </w:r>
      <w:r w:rsidRPr="005D46C5">
        <w:rPr>
          <w:szCs w:val="22"/>
        </w:rPr>
        <w:t xml:space="preserve">TRP and </w:t>
      </w:r>
      <w:r w:rsidRPr="002F648B">
        <w:t>because</w:t>
      </w:r>
      <w:r w:rsidRPr="005D46C5">
        <w:rPr>
          <w:szCs w:val="22"/>
        </w:rPr>
        <w:t xml:space="preserve"> conductive power, while useful, is presently less understood than TRP.</w:t>
      </w:r>
      <w:r>
        <w:rPr>
          <w:rStyle w:val="FootnoteReference"/>
          <w:szCs w:val="22"/>
        </w:rPr>
        <w:footnoteReference w:id="87"/>
      </w:r>
      <w:r w:rsidRPr="005D46C5">
        <w:rPr>
          <w:szCs w:val="22"/>
        </w:rPr>
        <w:t xml:space="preserve"> </w:t>
      </w:r>
      <w:r>
        <w:rPr>
          <w:szCs w:val="22"/>
        </w:rPr>
        <w:t xml:space="preserve"> </w:t>
      </w:r>
      <w:r w:rsidRPr="005D46C5">
        <w:rPr>
          <w:szCs w:val="22"/>
        </w:rPr>
        <w:t>Ericsson adds that mobile terrestrial systems are increasingly relying on large arrays of active antenna elements in their design, and there are no physical connections to the antenna elements, making conductive power measurements unnecessary.</w:t>
      </w:r>
      <w:r>
        <w:rPr>
          <w:rStyle w:val="FootnoteReference"/>
          <w:szCs w:val="22"/>
        </w:rPr>
        <w:footnoteReference w:id="88"/>
      </w:r>
      <w:r>
        <w:rPr>
          <w:szCs w:val="22"/>
        </w:rPr>
        <w:t xml:space="preserve">  </w:t>
      </w:r>
      <w:r w:rsidRPr="00DB47C7">
        <w:rPr>
          <w:szCs w:val="22"/>
        </w:rPr>
        <w:t xml:space="preserve">Ericsson does not anticipate encountering any difficulties in performing TRP measurements on low signal levels in the 24.25-24.45 GHz and 24.75-25.25 GHz bands in a controlled chamber environment, such as anechoic chambers, where reliable and repeatable power measurements can be taken at discrete sets of points from </w:t>
      </w:r>
      <w:r w:rsidRPr="00DB47C7">
        <w:rPr>
          <w:szCs w:val="22"/>
        </w:rPr>
        <w:t>all directions from the antenna.</w:t>
      </w:r>
      <w:r>
        <w:rPr>
          <w:rStyle w:val="FootnoteReference"/>
          <w:szCs w:val="22"/>
        </w:rPr>
        <w:footnoteReference w:id="89"/>
      </w:r>
      <w:r w:rsidRPr="00DB47C7">
        <w:rPr>
          <w:szCs w:val="22"/>
        </w:rPr>
        <w:t xml:space="preserve">  AGU/AMS/NWA recognize Ericsson’s support for TRP and state that permitting multiple measurement techniques would make it difficult for the scientific community to use the measurement data from licensees to determine if those emissions may be detrimental to passive sensing measurements.</w:t>
      </w:r>
      <w:r>
        <w:rPr>
          <w:rStyle w:val="FootnoteReference"/>
          <w:szCs w:val="22"/>
        </w:rPr>
        <w:footnoteReference w:id="90"/>
      </w:r>
      <w:r w:rsidRPr="00DB47C7">
        <w:rPr>
          <w:szCs w:val="22"/>
        </w:rPr>
        <w:t xml:space="preserve"> </w:t>
      </w:r>
    </w:p>
    <w:p w:rsidR="00B83427" w:rsidP="002F648B" w14:paraId="7C46442B" w14:textId="77777777">
      <w:pPr>
        <w:pStyle w:val="ParaNum"/>
      </w:pPr>
      <w:r>
        <w:t xml:space="preserve">We note </w:t>
      </w:r>
      <w:r w:rsidRPr="00B83427">
        <w:rPr>
          <w:szCs w:val="22"/>
        </w:rPr>
        <w:t>that</w:t>
      </w:r>
      <w:r>
        <w:t xml:space="preserve"> no party objects to including TRP measurements as an acceptable alternative. As the Commission stated in the Spectrum Frontiers proceeding, however, a TRP measurement of a device requires that EIRP measurements be made around a spherical surface surrounding the device for both polarizations, and as a result it can be time consuming and difficult.</w:t>
      </w:r>
      <w:r>
        <w:rPr>
          <w:rStyle w:val="FootnoteReference"/>
        </w:rPr>
        <w:footnoteReference w:id="91"/>
      </w:r>
      <w:r>
        <w:t xml:space="preserve">  Given the complexity of making TRP measurements, we seek comment on whether allowing equipment manufacturers to use conductive power or other measurement alternatives will result in the increased potential for harmful interference to occur to </w:t>
      </w:r>
      <w:r w:rsidRPr="00D443FD">
        <w:rPr>
          <w:szCs w:val="22"/>
        </w:rPr>
        <w:t xml:space="preserve">23.6-24.0 GHz band </w:t>
      </w:r>
      <w:r>
        <w:t xml:space="preserve">passive sensors.  </w:t>
      </w:r>
      <w:r w:rsidRPr="00D443FD">
        <w:rPr>
          <w:szCs w:val="22"/>
        </w:rPr>
        <w:t xml:space="preserve">We also seek comment on whether equipment with accessible connections to make conductive power measurements has been manufactured or will likely be manufactured for use in this band.  To the extent that commenters advocate against use of conductive power methodology for measuring unwanted emissions into the 23.6-24.0 GHz band, we seek comment on how to distinguish its </w:t>
      </w:r>
      <w:r>
        <w:rPr>
          <w:szCs w:val="22"/>
        </w:rPr>
        <w:t xml:space="preserve">disallowance </w:t>
      </w:r>
      <w:r w:rsidRPr="00D443FD">
        <w:rPr>
          <w:szCs w:val="22"/>
        </w:rPr>
        <w:t>in this band from generally accepted use domestically and internationally in other bands.</w:t>
      </w:r>
      <w:r>
        <w:rPr>
          <w:rStyle w:val="FootnoteReference"/>
          <w:szCs w:val="22"/>
        </w:rPr>
        <w:footnoteReference w:id="92"/>
      </w:r>
      <w:r>
        <w:t xml:space="preserve">            </w:t>
      </w:r>
      <w:r w:rsidRPr="00D443FD">
        <w:rPr>
          <w:szCs w:val="22"/>
        </w:rPr>
        <w:t xml:space="preserve">   </w:t>
      </w:r>
    </w:p>
    <w:p w:rsidR="00B83427" w:rsidRPr="00156C6E" w:rsidP="005F2707" w14:paraId="2EB21EA2" w14:textId="77777777">
      <w:pPr>
        <w:pStyle w:val="Heading2"/>
      </w:pPr>
      <w:r w:rsidRPr="00156C6E">
        <w:t xml:space="preserve">Other </w:t>
      </w:r>
      <w:r>
        <w:t>Matters</w:t>
      </w:r>
    </w:p>
    <w:p w:rsidR="00B83427" w:rsidRPr="00647C7F" w:rsidP="002F648B" w14:paraId="024DEDD2" w14:textId="293AE8BA">
      <w:pPr>
        <w:pStyle w:val="ParaNum"/>
      </w:pPr>
      <w:r w:rsidRPr="00B83427">
        <w:rPr>
          <w:szCs w:val="22"/>
        </w:rPr>
        <w:t>Marcus</w:t>
      </w:r>
      <w:r w:rsidRPr="00282DBD">
        <w:t xml:space="preserve"> </w:t>
      </w:r>
      <w:r>
        <w:t xml:space="preserve">&amp; Jornet </w:t>
      </w:r>
      <w:r w:rsidRPr="00282DBD">
        <w:t xml:space="preserve">support adopting the WRC limits but ask the Commission to consider alternative antenna technologies or standards that </w:t>
      </w:r>
      <w:r>
        <w:t>they</w:t>
      </w:r>
      <w:r w:rsidRPr="00282DBD">
        <w:t xml:space="preserve"> believe would protect passive sensing.</w:t>
      </w:r>
      <w:r w:rsidRPr="00282DBD">
        <w:rPr>
          <w:i/>
          <w:iCs/>
        </w:rPr>
        <w:t xml:space="preserve"> </w:t>
      </w:r>
      <w:r>
        <w:t xml:space="preserve"> For example, they </w:t>
      </w:r>
      <w:r w:rsidRPr="77B872D9">
        <w:t xml:space="preserve">urge the Commission to </w:t>
      </w:r>
      <w:r>
        <w:t>entertain</w:t>
      </w:r>
      <w:r w:rsidRPr="77B872D9">
        <w:t xml:space="preserve"> waiver requests for alternative antenna</w:t>
      </w:r>
      <w:r>
        <w:rPr>
          <w:szCs w:val="22"/>
        </w:rPr>
        <w:t xml:space="preserve"> </w:t>
      </w:r>
      <w:r w:rsidRPr="77B872D9">
        <w:t>technologies that demonstrate that the resulting emissions will protect the passive satellites to the</w:t>
      </w:r>
      <w:r>
        <w:rPr>
          <w:szCs w:val="22"/>
        </w:rPr>
        <w:t xml:space="preserve"> </w:t>
      </w:r>
      <w:r w:rsidRPr="77B872D9">
        <w:t>limits stated in Recommendation ITU-R RS.2017-0.</w:t>
      </w:r>
      <w:r>
        <w:rPr>
          <w:rStyle w:val="FootnoteReference"/>
        </w:rPr>
        <w:footnoteReference w:id="93"/>
      </w:r>
      <w:r>
        <w:rPr>
          <w:szCs w:val="22"/>
        </w:rPr>
        <w:t xml:space="preserve">  </w:t>
      </w:r>
      <w:r w:rsidRPr="77B872D9">
        <w:t>We will consider waiver requests in accordance with our normal practice if a specific request is filed</w:t>
      </w:r>
      <w:r>
        <w:t>, and in light of the specific circumstances, and do not see the need to seek comment on such requests here</w:t>
      </w:r>
      <w:r w:rsidRPr="77B872D9">
        <w:t>.</w:t>
      </w:r>
      <w:r>
        <w:rPr>
          <w:rStyle w:val="FootnoteReference"/>
        </w:rPr>
        <w:footnoteReference w:id="94"/>
      </w:r>
      <w:r w:rsidRPr="009A3475">
        <w:rPr>
          <w:szCs w:val="22"/>
        </w:rPr>
        <w:t xml:space="preserve"> </w:t>
      </w:r>
      <w:r>
        <w:rPr>
          <w:szCs w:val="22"/>
        </w:rPr>
        <w:t xml:space="preserve"> </w:t>
      </w:r>
    </w:p>
    <w:p w:rsidR="00B83427" w:rsidRPr="00572A56" w:rsidP="002071E4" w14:paraId="02A930EA" w14:textId="77777777">
      <w:pPr>
        <w:pStyle w:val="ParaNum"/>
        <w:widowControl/>
      </w:pPr>
      <w:r w:rsidRPr="00B83427">
        <w:rPr>
          <w:szCs w:val="22"/>
        </w:rPr>
        <w:t>Meanwhile</w:t>
      </w:r>
      <w:r>
        <w:t xml:space="preserve">, </w:t>
      </w:r>
      <w:r w:rsidRPr="00866B90">
        <w:t>Choyu</w:t>
      </w:r>
      <w:r w:rsidRPr="00866B90">
        <w:t xml:space="preserve"> Networks offers a proposal for Real-time Geospatial Spectrum Sharing (RGSS) as a method to ensure the protection of EESS radiometers from interference while enabling adjacent and coincident radio frequency spectrum to be used for 5G/6G (or alternative) communication networks.</w:t>
      </w:r>
      <w:r>
        <w:rPr>
          <w:rStyle w:val="FootnoteReference"/>
        </w:rPr>
        <w:footnoteReference w:id="95"/>
      </w:r>
      <w:r>
        <w:t xml:space="preserve">  While the concept has potential interest, </w:t>
      </w:r>
      <w:r>
        <w:t>Choyu</w:t>
      </w:r>
      <w:r>
        <w:t xml:space="preserve"> Networks admits that further research would be necessary to develop even a proof of concept RGSS system.</w:t>
      </w:r>
      <w:r>
        <w:rPr>
          <w:rStyle w:val="FootnoteReference"/>
        </w:rPr>
        <w:footnoteReference w:id="96"/>
      </w:r>
      <w:r>
        <w:t xml:space="preserve">  Accordingly, it would </w:t>
      </w:r>
      <w:r>
        <w:t>appear to be premature to develop proposed rules based on an RGSS system at this time, but we seek comment on this alternative proposal.</w:t>
      </w:r>
    </w:p>
    <w:p w:rsidR="00B83427" w:rsidRPr="00572A56" w:rsidP="002F648B" w14:paraId="2FC62726" w14:textId="77777777">
      <w:pPr>
        <w:pStyle w:val="ParaNum"/>
      </w:pPr>
      <w:r w:rsidRPr="0959F8A3">
        <w:rPr>
          <w:i/>
          <w:iCs/>
        </w:rPr>
        <w:t>Digital Equity and Inclusion.</w:t>
      </w:r>
      <w:r>
        <w:t xml:space="preserve"> </w:t>
      </w:r>
      <w:r w:rsidRPr="00543485">
        <w:t xml:space="preserve"> </w:t>
      </w:r>
      <w:r>
        <w:t>Finally, the</w:t>
      </w:r>
      <w:r w:rsidRPr="005411E7">
        <w:t xml:space="preserve"> Commission, as part of its continuing effort to advance digital equity for all,</w:t>
      </w:r>
      <w:r>
        <w:rPr>
          <w:rStyle w:val="FootnoteReference"/>
        </w:rPr>
        <w:footnoteReference w:id="97"/>
      </w:r>
      <w:r w:rsidRPr="005411E7">
        <w:t xml:space="preserve"> including 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98"/>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5411E7">
        <w:t>.</w:t>
      </w:r>
    </w:p>
    <w:p w:rsidR="00B83427" w:rsidRPr="005D46C5" w:rsidP="00B83427" w14:paraId="5FD8B8BC" w14:textId="77777777">
      <w:pPr>
        <w:pStyle w:val="Heading1"/>
        <w:widowControl/>
        <w:numPr>
          <w:ilvl w:val="0"/>
          <w:numId w:val="3"/>
        </w:numPr>
        <w:tabs>
          <w:tab w:val="left" w:pos="720"/>
        </w:tabs>
        <w:rPr>
          <w:szCs w:val="22"/>
        </w:rPr>
      </w:pPr>
      <w:r w:rsidRPr="005D46C5">
        <w:rPr>
          <w:szCs w:val="22"/>
        </w:rPr>
        <w:t>Procedural Matters</w:t>
      </w:r>
    </w:p>
    <w:p w:rsidR="00B83427" w:rsidP="002F648B" w14:paraId="1833F7FD" w14:textId="77777777">
      <w:pPr>
        <w:pStyle w:val="ParaNum"/>
      </w:pPr>
      <w:r w:rsidRPr="0074126B">
        <w:rPr>
          <w:i/>
          <w:iCs/>
        </w:rPr>
        <w:t>Regulatory Flexibility Act</w:t>
      </w:r>
      <w:r>
        <w:t xml:space="preserve">.  The Regulatory Flexibility Act of 1980, as amended (RFA),  requires that an agency prepare a regulatory flexibility analysis for notice-and-comment rulemaking proceedings, unless the agency certifies that “the rule will not, if promulgated, have a significant economic impact on a substantial number of small entities.”  Accordingly, the Commission has prepared an Initial Regulatory Flexibility Analysis (IRFA) concerning potential rule and policy changes contained in this </w:t>
      </w:r>
      <w:r w:rsidRPr="0074126B">
        <w:rPr>
          <w:i/>
          <w:iCs/>
        </w:rPr>
        <w:t>Notice of Proposed Rulemaking</w:t>
      </w:r>
      <w:r>
        <w:t>.  The IRFA is set forth in Appendix B.</w:t>
      </w:r>
    </w:p>
    <w:p w:rsidR="00B83427" w:rsidP="002F648B" w14:paraId="1CBD69C6" w14:textId="77777777">
      <w:pPr>
        <w:pStyle w:val="ParaNum"/>
      </w:pPr>
      <w:r w:rsidRPr="0074126B">
        <w:rPr>
          <w:i/>
          <w:iCs/>
        </w:rPr>
        <w:t>Comment Period and Filing Requirements</w:t>
      </w:r>
      <w:r>
        <w:t>.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p>
    <w:p w:rsidR="00B83427" w:rsidRPr="0074126B" w:rsidP="00E91A2C" w14:paraId="298F81A3" w14:textId="77777777">
      <w:pPr>
        <w:pStyle w:val="ListParagraph"/>
        <w:numPr>
          <w:ilvl w:val="0"/>
          <w:numId w:val="4"/>
        </w:numPr>
        <w:spacing w:after="120"/>
        <w:contextualSpacing w:val="0"/>
        <w:rPr>
          <w:rFonts w:ascii="Times New Roman" w:hAnsi="Times New Roman"/>
        </w:rPr>
      </w:pPr>
      <w:r w:rsidRPr="0074126B">
        <w:rPr>
          <w:rFonts w:ascii="Times New Roman" w:hAnsi="Times New Roman"/>
          <w:i/>
          <w:iCs/>
        </w:rPr>
        <w:t>Electronic Filers</w:t>
      </w:r>
      <w:r w:rsidRPr="0074126B">
        <w:rPr>
          <w:rFonts w:ascii="Times New Roman" w:hAnsi="Times New Roman"/>
        </w:rPr>
        <w:t>:  Comments may be filed electronically using the Internet by accessing the ECFS:  http://www.fcc.gov/ecfs/.</w:t>
      </w:r>
    </w:p>
    <w:p w:rsidR="00B83427" w:rsidRPr="0074126B" w:rsidP="00E91A2C" w14:paraId="016D003E" w14:textId="77777777">
      <w:pPr>
        <w:pStyle w:val="ListParagraph"/>
        <w:numPr>
          <w:ilvl w:val="0"/>
          <w:numId w:val="4"/>
        </w:numPr>
        <w:spacing w:after="120"/>
        <w:contextualSpacing w:val="0"/>
        <w:rPr>
          <w:rFonts w:ascii="Times New Roman" w:hAnsi="Times New Roman"/>
        </w:rPr>
      </w:pPr>
      <w:r w:rsidRPr="0074126B">
        <w:rPr>
          <w:rFonts w:ascii="Times New Roman" w:hAnsi="Times New Roman"/>
          <w:i/>
          <w:iCs/>
        </w:rPr>
        <w:t>Paper Filers</w:t>
      </w:r>
      <w:r w:rsidRPr="0074126B">
        <w:rPr>
          <w:rFonts w:ascii="Times New Roman" w:hAnsi="Times New Roman"/>
        </w:rPr>
        <w:t>:  Parties who choose to file by paper must file an original and one copy of each filing.</w:t>
      </w:r>
    </w:p>
    <w:p w:rsidR="00B83427" w:rsidRPr="0074126B" w:rsidP="00E91A2C" w14:paraId="4DAEFC93" w14:textId="77777777">
      <w:pPr>
        <w:pStyle w:val="ListParagraph"/>
        <w:numPr>
          <w:ilvl w:val="0"/>
          <w:numId w:val="4"/>
        </w:numPr>
        <w:spacing w:after="120"/>
        <w:contextualSpacing w:val="0"/>
        <w:rPr>
          <w:rFonts w:ascii="Times New Roman" w:hAnsi="Times New Roman"/>
        </w:rPr>
      </w:pPr>
      <w:r w:rsidRPr="0074126B">
        <w:rPr>
          <w:rFonts w:ascii="Times New Roman" w:hAnsi="Times New Roman"/>
        </w:rPr>
        <w:t>Filings can be sent by commercial overnight courier, or by first-class or overnight U.S. Postal Service mail.  All filings must be addressed to the Commission’s Secretary, Office of the Secretary, Federal Communications Commission.</w:t>
      </w:r>
    </w:p>
    <w:p w:rsidR="00B83427" w:rsidRPr="0074126B" w:rsidP="00E91A2C" w14:paraId="4D1C7A21" w14:textId="77777777">
      <w:pPr>
        <w:pStyle w:val="ListParagraph"/>
        <w:numPr>
          <w:ilvl w:val="0"/>
          <w:numId w:val="4"/>
        </w:numPr>
        <w:spacing w:after="120"/>
        <w:contextualSpacing w:val="0"/>
        <w:rPr>
          <w:rFonts w:ascii="Times New Roman" w:hAnsi="Times New Roman"/>
        </w:rPr>
      </w:pPr>
      <w:r w:rsidRPr="0074126B">
        <w:rPr>
          <w:rFonts w:ascii="Times New Roman" w:hAnsi="Times New Roman"/>
        </w:rPr>
        <w:t>Commercial overnight mail (other than U.S. Postal Service Express Mail and Priority Mail) must be sent to 9050 Junction Drive, Annapolis Junction, MD 20701.</w:t>
      </w:r>
    </w:p>
    <w:p w:rsidR="00B83427" w:rsidRPr="0074126B" w:rsidP="00E91A2C" w14:paraId="58862A6A" w14:textId="77777777">
      <w:pPr>
        <w:pStyle w:val="ListParagraph"/>
        <w:numPr>
          <w:ilvl w:val="0"/>
          <w:numId w:val="4"/>
        </w:numPr>
        <w:spacing w:after="120"/>
        <w:contextualSpacing w:val="0"/>
        <w:rPr>
          <w:rFonts w:ascii="Times New Roman" w:hAnsi="Times New Roman"/>
        </w:rPr>
      </w:pPr>
      <w:r w:rsidRPr="0074126B">
        <w:rPr>
          <w:rFonts w:ascii="Times New Roman" w:hAnsi="Times New Roman"/>
        </w:rPr>
        <w:t>U.S. Postal Service first-class, Express, and Priority mail must be addressed to 45 L Street NE Washington, DC 20554.</w:t>
      </w:r>
    </w:p>
    <w:p w:rsidR="00B83427" w:rsidRPr="0074126B" w:rsidP="00E91A2C" w14:paraId="2E1609F6" w14:textId="77777777">
      <w:pPr>
        <w:pStyle w:val="ListParagraph"/>
        <w:numPr>
          <w:ilvl w:val="0"/>
          <w:numId w:val="4"/>
        </w:numPr>
        <w:spacing w:after="120"/>
        <w:contextualSpacing w:val="0"/>
        <w:rPr>
          <w:rFonts w:ascii="Times New Roman" w:hAnsi="Times New Roman"/>
        </w:rPr>
      </w:pPr>
      <w:r w:rsidRPr="0074126B">
        <w:rPr>
          <w:rFonts w:ascii="Times New Roman" w:hAnsi="Times New Roman"/>
        </w:rPr>
        <w:t xml:space="preserve">Effective March 19, 2020, and until further notice, the Commission no longer accepts any hand or messenger delivered filings. This is a temporary measure taken to help protect the health and </w:t>
      </w:r>
      <w:r w:rsidRPr="0074126B">
        <w:rPr>
          <w:rFonts w:ascii="Times New Roman" w:hAnsi="Times New Roman"/>
        </w:rPr>
        <w:t xml:space="preserve">safety of individuals, and to mitigate the transmission of COVID-19.  See FCC Announces Closure of FCC Headquarters Open Window and Change in Hand-Delivery Policy, Public Notice, 35 FCC Rcd 2788, 2788-89 (OS 2020), </w:t>
      </w:r>
      <w:hyperlink r:id="rId5" w:history="1">
        <w:r w:rsidRPr="0074126B">
          <w:rPr>
            <w:rStyle w:val="Hyperlink"/>
            <w:rFonts w:ascii="Times New Roman" w:hAnsi="Times New Roman"/>
          </w:rPr>
          <w:t>https://www.fcc.gov/document/fcc-closes-headquarters-open-window-and-changes-hand-delivery-policy</w:t>
        </w:r>
      </w:hyperlink>
      <w:r w:rsidRPr="0074126B">
        <w:rPr>
          <w:rFonts w:ascii="Times New Roman" w:hAnsi="Times New Roman"/>
        </w:rPr>
        <w:t>.</w:t>
      </w:r>
    </w:p>
    <w:p w:rsidR="00B83427" w:rsidP="002F648B" w14:paraId="1E88F9F6" w14:textId="77777777">
      <w:pPr>
        <w:pStyle w:val="ParaNum"/>
      </w:pPr>
      <w:r w:rsidRPr="0074126B">
        <w:rPr>
          <w:i/>
          <w:iCs/>
        </w:rPr>
        <w:t>People with Disabilities</w:t>
      </w:r>
      <w:r>
        <w:t>:  To request materials in accessible formats for people with disabilities (braille, large print, electronic files, audio format), send an e-mail to fcc504@fcc.gov or call the Consumer &amp; Governmental Affairs Bureau at 202-418-0530 (voice), 202-418-0432 (TTY).</w:t>
      </w:r>
    </w:p>
    <w:p w:rsidR="00B83427" w:rsidP="002F648B" w14:paraId="07EA12CF" w14:textId="77777777">
      <w:pPr>
        <w:pStyle w:val="ParaNum"/>
      </w:pPr>
      <w:r>
        <w:t>The proceeding this Notice initiates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B83427" w:rsidRPr="005D46C5" w:rsidP="002F648B" w14:paraId="39E04AC5" w14:textId="77777777">
      <w:pPr>
        <w:pStyle w:val="ParaNum"/>
        <w:rPr>
          <w:szCs w:val="22"/>
        </w:rPr>
      </w:pPr>
      <w:r>
        <w:rPr>
          <w:i/>
          <w:iCs/>
          <w:szCs w:val="22"/>
        </w:rPr>
        <w:t xml:space="preserve">Paperwork Reduction Act.  </w:t>
      </w:r>
      <w:r w:rsidRPr="005D46C5">
        <w:rPr>
          <w:szCs w:val="22"/>
        </w:rPr>
        <w:t xml:space="preserve">This document does not contain proposed information collection requirements subject to the Paperwork Reduction Act of 1995, Public Law 104-13.  In </w:t>
      </w:r>
      <w:r w:rsidRPr="002F648B">
        <w:t>addition</w:t>
      </w:r>
      <w:r w:rsidRPr="005D46C5">
        <w:rPr>
          <w:szCs w:val="22"/>
        </w:rPr>
        <w:t xml:space="preserve">, therefore, it does not contain any proposed information collection burden “for small business concerns with fewer than 25 employees,” pursuant to the Small Business Paperwork Relief Act of 2002, Public Law 107-198, </w:t>
      </w:r>
      <w:r w:rsidRPr="005D46C5">
        <w:rPr>
          <w:i/>
          <w:iCs/>
          <w:szCs w:val="22"/>
        </w:rPr>
        <w:t>see</w:t>
      </w:r>
      <w:r w:rsidRPr="005D46C5">
        <w:rPr>
          <w:szCs w:val="22"/>
        </w:rPr>
        <w:t xml:space="preserve"> 44 U.S.C. § 3506(c)(4).</w:t>
      </w:r>
    </w:p>
    <w:p w:rsidR="00B83427" w:rsidRPr="005D46C5" w:rsidP="002F648B" w14:paraId="6CA12A8D" w14:textId="77777777">
      <w:pPr>
        <w:pStyle w:val="ParaNum"/>
      </w:pPr>
      <w:r w:rsidRPr="005D46C5">
        <w:t xml:space="preserve">For further information contact </w:t>
      </w:r>
      <w:r>
        <w:t xml:space="preserve">Simon Banyai </w:t>
      </w:r>
      <w:r w:rsidRPr="005D46C5">
        <w:t xml:space="preserve">of the Wireless Telecommunications Bureau, Broadband Division, at </w:t>
      </w:r>
      <w:r>
        <w:t xml:space="preserve">202-418-1443 or </w:t>
      </w:r>
      <w:r w:rsidRPr="005D46C5">
        <w:t xml:space="preserve">by e-mail to </w:t>
      </w:r>
      <w:hyperlink r:id="rId6" w:history="1">
        <w:r w:rsidRPr="007841F0">
          <w:rPr>
            <w:rStyle w:val="Hyperlink"/>
            <w:szCs w:val="22"/>
          </w:rPr>
          <w:t>Simon.Banyai@fcc.gov</w:t>
        </w:r>
      </w:hyperlink>
      <w:r>
        <w:t xml:space="preserve">. </w:t>
      </w:r>
    </w:p>
    <w:p w:rsidR="00B83427" w:rsidRPr="005D46C5" w:rsidP="00B83427" w14:paraId="7DEA4BE5" w14:textId="77777777">
      <w:pPr>
        <w:pStyle w:val="Heading1"/>
        <w:widowControl/>
        <w:numPr>
          <w:ilvl w:val="0"/>
          <w:numId w:val="3"/>
        </w:numPr>
        <w:tabs>
          <w:tab w:val="left" w:pos="720"/>
        </w:tabs>
        <w:spacing w:after="220"/>
        <w:rPr>
          <w:szCs w:val="22"/>
        </w:rPr>
      </w:pPr>
      <w:r w:rsidRPr="005D46C5">
        <w:rPr>
          <w:szCs w:val="22"/>
        </w:rPr>
        <w:t>ordering clauseS</w:t>
      </w:r>
    </w:p>
    <w:p w:rsidR="00B83427" w:rsidRPr="006B302F" w:rsidP="002F648B" w14:paraId="206E86F4" w14:textId="77F195CE">
      <w:pPr>
        <w:pStyle w:val="ParaNum"/>
        <w:rPr>
          <w:kern w:val="0"/>
          <w:szCs w:val="22"/>
        </w:rPr>
      </w:pPr>
      <w:r w:rsidRPr="00B83427">
        <w:t>Accordingly</w:t>
      </w:r>
      <w:r w:rsidRPr="006B302F">
        <w:rPr>
          <w:kern w:val="0"/>
          <w:szCs w:val="22"/>
        </w:rPr>
        <w:t>, IT IS ORDERED, pursuant to sections 4(</w:t>
      </w:r>
      <w:r w:rsidRPr="006B302F">
        <w:rPr>
          <w:kern w:val="0"/>
          <w:szCs w:val="22"/>
        </w:rPr>
        <w:t>i</w:t>
      </w:r>
      <w:r w:rsidRPr="006B302F">
        <w:rPr>
          <w:kern w:val="0"/>
          <w:szCs w:val="22"/>
        </w:rPr>
        <w:t xml:space="preserve">), 301, </w:t>
      </w:r>
      <w:r>
        <w:rPr>
          <w:kern w:val="0"/>
          <w:szCs w:val="22"/>
        </w:rPr>
        <w:t xml:space="preserve">302, </w:t>
      </w:r>
      <w:r w:rsidRPr="006B302F">
        <w:rPr>
          <w:kern w:val="0"/>
          <w:szCs w:val="22"/>
        </w:rPr>
        <w:t>303(r), 308, 309</w:t>
      </w:r>
      <w:r>
        <w:rPr>
          <w:kern w:val="0"/>
          <w:szCs w:val="22"/>
        </w:rPr>
        <w:t>, and 333</w:t>
      </w:r>
      <w:r w:rsidRPr="006B302F">
        <w:rPr>
          <w:kern w:val="0"/>
          <w:szCs w:val="22"/>
        </w:rPr>
        <w:t xml:space="preserve"> of the Communications Act of 1934, 47 U.S.C. §§ 154(</w:t>
      </w:r>
      <w:r w:rsidRPr="006B302F">
        <w:rPr>
          <w:kern w:val="0"/>
          <w:szCs w:val="22"/>
        </w:rPr>
        <w:t>i</w:t>
      </w:r>
      <w:r w:rsidRPr="006B302F">
        <w:rPr>
          <w:kern w:val="0"/>
          <w:szCs w:val="22"/>
        </w:rPr>
        <w:t xml:space="preserve">), 301, </w:t>
      </w:r>
      <w:r>
        <w:rPr>
          <w:kern w:val="0"/>
          <w:szCs w:val="22"/>
        </w:rPr>
        <w:t>302</w:t>
      </w:r>
      <w:r w:rsidR="00F448CA">
        <w:rPr>
          <w:kern w:val="0"/>
          <w:szCs w:val="22"/>
        </w:rPr>
        <w:t>a</w:t>
      </w:r>
      <w:r>
        <w:rPr>
          <w:kern w:val="0"/>
          <w:szCs w:val="22"/>
        </w:rPr>
        <w:t xml:space="preserve">, </w:t>
      </w:r>
      <w:r w:rsidRPr="006B302F">
        <w:rPr>
          <w:kern w:val="0"/>
          <w:szCs w:val="22"/>
        </w:rPr>
        <w:t>303(r), 308, 309</w:t>
      </w:r>
      <w:r>
        <w:rPr>
          <w:kern w:val="0"/>
          <w:szCs w:val="22"/>
        </w:rPr>
        <w:t>, 333,</w:t>
      </w:r>
      <w:r w:rsidRPr="006B302F">
        <w:rPr>
          <w:kern w:val="0"/>
          <w:szCs w:val="22"/>
        </w:rPr>
        <w:t xml:space="preserve"> that this </w:t>
      </w:r>
      <w:r w:rsidRPr="002F648B">
        <w:t>Notice</w:t>
      </w:r>
      <w:r w:rsidRPr="006B302F">
        <w:rPr>
          <w:kern w:val="0"/>
          <w:szCs w:val="22"/>
        </w:rPr>
        <w:t xml:space="preserve"> of Proposed Rulemaking is HEREBY ADOPTED</w:t>
      </w:r>
      <w:r>
        <w:rPr>
          <w:kern w:val="0"/>
          <w:szCs w:val="22"/>
        </w:rPr>
        <w:t xml:space="preserve"> and is EFFECTIVE upon publication in the </w:t>
      </w:r>
      <w:r w:rsidRPr="00D675B7">
        <w:rPr>
          <w:i/>
          <w:iCs/>
          <w:kern w:val="0"/>
          <w:szCs w:val="22"/>
        </w:rPr>
        <w:t>Federal Register</w:t>
      </w:r>
      <w:r w:rsidRPr="006B302F">
        <w:rPr>
          <w:kern w:val="0"/>
          <w:szCs w:val="22"/>
        </w:rPr>
        <w:t>.</w:t>
      </w:r>
    </w:p>
    <w:p w:rsidR="00B83427" w:rsidRPr="005D46C5" w:rsidP="002071E4" w14:paraId="4B3C14BC" w14:textId="534E320E">
      <w:pPr>
        <w:pStyle w:val="ParaNum"/>
        <w:pageBreakBefore/>
        <w:rPr>
          <w:kern w:val="0"/>
          <w:szCs w:val="22"/>
        </w:rPr>
      </w:pPr>
      <w:r w:rsidRPr="005D46C5">
        <w:rPr>
          <w:szCs w:val="22"/>
        </w:rPr>
        <w:t>IT IS FURTHER ORDERED that</w:t>
      </w:r>
      <w:r w:rsidRPr="005D46C5">
        <w:rPr>
          <w:kern w:val="0"/>
          <w:szCs w:val="22"/>
        </w:rPr>
        <w:t xml:space="preserve"> the Commission’s</w:t>
      </w:r>
      <w:r w:rsidR="00871386">
        <w:rPr>
          <w:kern w:val="0"/>
          <w:szCs w:val="22"/>
        </w:rPr>
        <w:t xml:space="preserve"> Office of Managing Director</w:t>
      </w:r>
      <w:r w:rsidRPr="005D46C5">
        <w:rPr>
          <w:kern w:val="0"/>
          <w:szCs w:val="22"/>
        </w:rPr>
        <w:t xml:space="preserve">, </w:t>
      </w:r>
      <w:r w:rsidRPr="002F648B">
        <w:t>Reference</w:t>
      </w:r>
      <w:r w:rsidRPr="005D46C5">
        <w:rPr>
          <w:kern w:val="0"/>
          <w:szCs w:val="22"/>
        </w:rPr>
        <w:t xml:space="preserve"> Information Center, SHALL SEND a copy of this </w:t>
      </w:r>
      <w:r w:rsidRPr="005D46C5">
        <w:rPr>
          <w:i/>
          <w:kern w:val="0"/>
          <w:szCs w:val="22"/>
        </w:rPr>
        <w:t>Notice of Proposed Rulemaking</w:t>
      </w:r>
      <w:r w:rsidRPr="005D46C5">
        <w:rPr>
          <w:kern w:val="0"/>
          <w:szCs w:val="22"/>
        </w:rPr>
        <w:t>, including the Initial Regulatory</w:t>
      </w:r>
      <w:r>
        <w:rPr>
          <w:kern w:val="0"/>
          <w:szCs w:val="22"/>
        </w:rPr>
        <w:t xml:space="preserve"> Flexibility Analysis</w:t>
      </w:r>
      <w:r w:rsidRPr="005D46C5">
        <w:rPr>
          <w:kern w:val="0"/>
          <w:szCs w:val="22"/>
        </w:rPr>
        <w:t>, to the Chief Counsel for Advocacy of the Small Business Administration.</w:t>
      </w:r>
    </w:p>
    <w:p w:rsidR="00B83427" w:rsidRPr="005D46C5" w:rsidP="00B83427" w14:paraId="5AF43ED2" w14:textId="77777777">
      <w:pPr>
        <w:widowControl/>
        <w:rPr>
          <w:szCs w:val="22"/>
        </w:rPr>
      </w:pPr>
    </w:p>
    <w:p w:rsidR="00A8725B" w:rsidP="002071E4" w14:paraId="4F31EE1C" w14:textId="77777777">
      <w:pPr>
        <w:keepNext/>
        <w:widowControl/>
      </w:pPr>
      <w:r>
        <w:tab/>
      </w:r>
      <w:r>
        <w:tab/>
      </w:r>
      <w:r>
        <w:tab/>
      </w:r>
      <w:r>
        <w:tab/>
      </w:r>
      <w:r>
        <w:tab/>
      </w:r>
      <w:r>
        <w:tab/>
        <w:t>FEDERAL COMMUNICATIONS COMMISSION</w:t>
      </w:r>
    </w:p>
    <w:p w:rsidR="00A8725B" w:rsidP="00C369ED" w14:paraId="49888143" w14:textId="77777777"/>
    <w:p w:rsidR="00A8725B" w:rsidP="00C369ED" w14:paraId="14D3C00F" w14:textId="77777777"/>
    <w:p w:rsidR="00A8725B" w:rsidP="00C369ED" w14:paraId="1A7BB553" w14:textId="77777777"/>
    <w:p w:rsidR="00A8725B" w:rsidP="00C369ED" w14:paraId="16E7FBA2" w14:textId="77777777"/>
    <w:p w:rsidR="00A8725B" w:rsidP="00C369ED" w14:paraId="5CAD3E75" w14:textId="77777777">
      <w:r>
        <w:tab/>
      </w:r>
      <w:r>
        <w:tab/>
      </w:r>
      <w:r>
        <w:tab/>
      </w:r>
      <w:r>
        <w:tab/>
      </w:r>
      <w:r>
        <w:tab/>
      </w:r>
      <w:r>
        <w:tab/>
        <w:t>Marlene H. Dortch</w:t>
      </w:r>
    </w:p>
    <w:p w:rsidR="00A8725B" w:rsidP="00C369ED" w14:paraId="7D41E8B7" w14:textId="77777777">
      <w:r>
        <w:tab/>
      </w:r>
      <w:r>
        <w:tab/>
      </w:r>
      <w:r>
        <w:tab/>
      </w:r>
      <w:r>
        <w:tab/>
      </w:r>
      <w:r>
        <w:tab/>
      </w:r>
      <w:r>
        <w:tab/>
        <w:t>Secretary</w:t>
      </w:r>
    </w:p>
    <w:p w:rsidR="00B83427" w:rsidRPr="005D46C5" w:rsidP="00B83427" w14:paraId="191C0FE4" w14:textId="77777777">
      <w:pPr>
        <w:widowControl/>
        <w:jc w:val="center"/>
        <w:rPr>
          <w:szCs w:val="22"/>
        </w:rPr>
        <w:sectPr>
          <w:headerReference w:type="default" r:id="rId7"/>
          <w:footerReference w:type="even" r:id="rId8"/>
          <w:footerReference w:type="default" r:id="rId9"/>
          <w:headerReference w:type="first" r:id="rId10"/>
          <w:endnotePr>
            <w:numFmt w:val="decimal"/>
          </w:endnotePr>
          <w:pgSz w:w="12240" w:h="15840"/>
          <w:pgMar w:top="1440" w:right="1440" w:bottom="720" w:left="1440" w:header="720" w:footer="720" w:gutter="0"/>
          <w:pgNumType w:start="1"/>
          <w:cols w:space="720"/>
          <w:noEndnote/>
          <w:titlePg/>
        </w:sectPr>
      </w:pPr>
    </w:p>
    <w:p w:rsidR="00B83427" w:rsidRPr="005D46C5" w:rsidP="00B83427" w14:paraId="649A60F6" w14:textId="77777777">
      <w:pPr>
        <w:widowControl/>
        <w:jc w:val="center"/>
        <w:rPr>
          <w:b/>
          <w:szCs w:val="22"/>
        </w:rPr>
      </w:pPr>
      <w:r w:rsidRPr="005D46C5">
        <w:rPr>
          <w:b/>
          <w:szCs w:val="22"/>
        </w:rPr>
        <w:t>APPENDIX A</w:t>
      </w:r>
    </w:p>
    <w:p w:rsidR="00B83427" w:rsidRPr="005D46C5" w:rsidP="00B83427" w14:paraId="1186B3FB" w14:textId="77777777">
      <w:pPr>
        <w:widowControl/>
        <w:jc w:val="center"/>
        <w:rPr>
          <w:b/>
          <w:szCs w:val="22"/>
        </w:rPr>
      </w:pPr>
    </w:p>
    <w:p w:rsidR="00B83427" w:rsidRPr="005D46C5" w:rsidP="00B83427" w14:paraId="77B36C43" w14:textId="77777777">
      <w:pPr>
        <w:widowControl/>
        <w:jc w:val="center"/>
        <w:rPr>
          <w:b/>
          <w:szCs w:val="22"/>
        </w:rPr>
      </w:pPr>
      <w:r w:rsidRPr="005D46C5">
        <w:rPr>
          <w:b/>
          <w:szCs w:val="22"/>
        </w:rPr>
        <w:t>Proposed Rules</w:t>
      </w:r>
    </w:p>
    <w:p w:rsidR="00B83427" w:rsidRPr="005D46C5" w:rsidP="00B83427" w14:paraId="394D3C81" w14:textId="77777777">
      <w:pPr>
        <w:widowControl/>
        <w:jc w:val="center"/>
        <w:rPr>
          <w:b/>
          <w:szCs w:val="22"/>
        </w:rPr>
      </w:pPr>
    </w:p>
    <w:p w:rsidR="00B83427" w:rsidRPr="005D46C5" w:rsidP="00B83427" w14:paraId="6316E592" w14:textId="1A88AE60">
      <w:pPr>
        <w:widowControl/>
        <w:spacing w:after="220"/>
        <w:jc w:val="both"/>
        <w:rPr>
          <w:b/>
          <w:szCs w:val="22"/>
        </w:rPr>
      </w:pPr>
      <w:r w:rsidRPr="005D46C5">
        <w:rPr>
          <w:color w:val="000000"/>
          <w:szCs w:val="22"/>
        </w:rPr>
        <w:t xml:space="preserve">For the reasons discussed in the preamble, the Federal Communications Commission proposes to amend </w:t>
      </w:r>
      <w:r w:rsidR="007B3FC2">
        <w:rPr>
          <w:color w:val="000000"/>
          <w:szCs w:val="22"/>
        </w:rPr>
        <w:t xml:space="preserve">part </w:t>
      </w:r>
      <w:r>
        <w:rPr>
          <w:color w:val="000000"/>
          <w:szCs w:val="22"/>
        </w:rPr>
        <w:t>30</w:t>
      </w:r>
      <w:r w:rsidRPr="005D46C5">
        <w:rPr>
          <w:color w:val="000000"/>
          <w:szCs w:val="22"/>
        </w:rPr>
        <w:t xml:space="preserve"> of Title 47 as follows: </w:t>
      </w:r>
    </w:p>
    <w:p w:rsidR="00314D00" w:rsidRPr="00314D00" w:rsidP="00314D00" w14:paraId="3B67F08A" w14:textId="477CD322">
      <w:pPr>
        <w:suppressAutoHyphens/>
        <w:spacing w:after="120"/>
        <w:rPr>
          <w:b/>
          <w:szCs w:val="22"/>
        </w:rPr>
      </w:pPr>
      <w:r w:rsidRPr="00314D00">
        <w:rPr>
          <w:b/>
          <w:szCs w:val="22"/>
        </w:rPr>
        <w:t>PART 2 – FREQUENCY ALLOCATIONS AND RADIO TREATY MATTERS; GENERAL RULES AND REGULATIONS</w:t>
      </w:r>
    </w:p>
    <w:p w:rsidR="00314D00" w:rsidRPr="00314D00" w:rsidP="00314D00" w14:paraId="1D83A624" w14:textId="77777777">
      <w:pPr>
        <w:numPr>
          <w:ilvl w:val="0"/>
          <w:numId w:val="6"/>
        </w:numPr>
        <w:spacing w:after="120"/>
      </w:pPr>
      <w:r w:rsidRPr="00314D00">
        <w:t>The authority citation for part 2 continues to read as follows:</w:t>
      </w:r>
    </w:p>
    <w:p w:rsidR="00314D00" w:rsidRPr="00314D00" w:rsidP="00314D00" w14:paraId="5E897BE8" w14:textId="77777777">
      <w:pPr>
        <w:tabs>
          <w:tab w:val="num" w:pos="1080"/>
        </w:tabs>
        <w:suppressAutoHyphens/>
        <w:spacing w:after="120"/>
        <w:ind w:firstLine="360"/>
        <w:rPr>
          <w:szCs w:val="22"/>
        </w:rPr>
      </w:pPr>
      <w:r w:rsidRPr="00314D00">
        <w:rPr>
          <w:smallCaps/>
          <w:szCs w:val="22"/>
        </w:rPr>
        <w:t>Authority</w:t>
      </w:r>
      <w:r w:rsidRPr="00314D00">
        <w:rPr>
          <w:szCs w:val="22"/>
        </w:rPr>
        <w:t>: 47 U.S.C. 154, 302a, 303, and 336, unless otherwise noted.</w:t>
      </w:r>
    </w:p>
    <w:p w:rsidR="00314D00" w:rsidRPr="00314D00" w:rsidP="009B54A2" w14:paraId="6093EECA" w14:textId="79E01944">
      <w:pPr>
        <w:numPr>
          <w:ilvl w:val="0"/>
          <w:numId w:val="6"/>
        </w:numPr>
        <w:spacing w:after="120" w:line="276" w:lineRule="auto"/>
        <w:rPr>
          <w:spacing w:val="-3"/>
          <w:szCs w:val="22"/>
        </w:rPr>
      </w:pPr>
      <w:r w:rsidRPr="00F226EA">
        <w:rPr>
          <w:sz w:val="24"/>
          <w:szCs w:val="24"/>
        </w:rPr>
        <w:t>Amend §</w:t>
      </w:r>
      <w:r w:rsidRPr="009B54A2">
        <w:rPr>
          <w:sz w:val="24"/>
        </w:rPr>
        <w:t xml:space="preserve"> 2.106</w:t>
      </w:r>
      <w:r w:rsidR="007D5FF9">
        <w:rPr>
          <w:sz w:val="24"/>
          <w:szCs w:val="24"/>
        </w:rPr>
        <w:t>(a)</w:t>
      </w:r>
      <w:r>
        <w:rPr>
          <w:sz w:val="24"/>
          <w:szCs w:val="24"/>
        </w:rPr>
        <w:t xml:space="preserve"> </w:t>
      </w:r>
      <w:r w:rsidRPr="00F226EA">
        <w:rPr>
          <w:sz w:val="24"/>
          <w:szCs w:val="24"/>
        </w:rPr>
        <w:t xml:space="preserve">by revising </w:t>
      </w:r>
      <w:r w:rsidR="00DC1AD7">
        <w:rPr>
          <w:sz w:val="24"/>
          <w:szCs w:val="24"/>
        </w:rPr>
        <w:t xml:space="preserve">paragraph (a) </w:t>
      </w:r>
      <w:r w:rsidR="00131D06">
        <w:rPr>
          <w:sz w:val="24"/>
          <w:szCs w:val="24"/>
        </w:rPr>
        <w:t>p</w:t>
      </w:r>
      <w:r w:rsidRPr="00F226EA">
        <w:rPr>
          <w:sz w:val="24"/>
          <w:szCs w:val="24"/>
        </w:rPr>
        <w:t>age</w:t>
      </w:r>
      <w:r>
        <w:rPr>
          <w:sz w:val="24"/>
          <w:szCs w:val="24"/>
        </w:rPr>
        <w:t>s</w:t>
      </w:r>
      <w:r w:rsidRPr="00F226EA">
        <w:rPr>
          <w:sz w:val="24"/>
          <w:szCs w:val="24"/>
        </w:rPr>
        <w:t xml:space="preserve"> </w:t>
      </w:r>
      <w:r>
        <w:rPr>
          <w:sz w:val="24"/>
          <w:szCs w:val="24"/>
        </w:rPr>
        <w:t>54 and 55</w:t>
      </w:r>
      <w:r w:rsidRPr="00F226EA">
        <w:rPr>
          <w:sz w:val="24"/>
          <w:szCs w:val="24"/>
        </w:rPr>
        <w:t xml:space="preserve"> in</w:t>
      </w:r>
      <w:r w:rsidRPr="009B54A2">
        <w:rPr>
          <w:sz w:val="24"/>
        </w:rPr>
        <w:t xml:space="preserve"> the Table of Frequency Allocations and </w:t>
      </w:r>
      <w:r>
        <w:rPr>
          <w:sz w:val="24"/>
          <w:szCs w:val="24"/>
        </w:rPr>
        <w:t>adding paragraph (c)(</w:t>
      </w:r>
      <w:r w:rsidR="00C45E2C">
        <w:rPr>
          <w:sz w:val="24"/>
          <w:szCs w:val="24"/>
        </w:rPr>
        <w:t>146</w:t>
      </w:r>
      <w:r>
        <w:rPr>
          <w:sz w:val="24"/>
          <w:szCs w:val="24"/>
        </w:rPr>
        <w:t>) to</w:t>
      </w:r>
      <w:r w:rsidRPr="009B54A2">
        <w:rPr>
          <w:sz w:val="24"/>
        </w:rPr>
        <w:t xml:space="preserve"> read as follows</w:t>
      </w:r>
      <w:r w:rsidRPr="00314D00">
        <w:rPr>
          <w:spacing w:val="-3"/>
          <w:szCs w:val="22"/>
        </w:rPr>
        <w:t>:</w:t>
      </w:r>
    </w:p>
    <w:p w:rsidR="00314D00" w:rsidRPr="009B54A2" w:rsidP="00E64B0B" w14:paraId="1AF837F8" w14:textId="25362CA8">
      <w:pPr>
        <w:tabs>
          <w:tab w:val="left" w:pos="284"/>
          <w:tab w:val="left" w:pos="1134"/>
          <w:tab w:val="left" w:pos="1871"/>
          <w:tab w:val="left" w:pos="2268"/>
        </w:tabs>
        <w:overflowPunct w:val="0"/>
        <w:autoSpaceDE w:val="0"/>
        <w:autoSpaceDN w:val="0"/>
        <w:adjustRightInd w:val="0"/>
        <w:spacing w:after="120"/>
        <w:textAlignment w:val="baseline"/>
      </w:pPr>
      <w:r w:rsidRPr="00314D00">
        <w:rPr>
          <w:b/>
          <w:spacing w:val="-3"/>
          <w:szCs w:val="22"/>
          <w:u w:val="single"/>
        </w:rPr>
        <w:t>§ 2.106   Table of Frequency Allocations</w:t>
      </w:r>
    </w:p>
    <w:p w:rsidR="004E1E5E" w:rsidP="004E1E5E" w14:paraId="44733D63" w14:textId="77777777">
      <w:pPr>
        <w:tabs>
          <w:tab w:val="left" w:pos="284"/>
          <w:tab w:val="left" w:pos="1134"/>
          <w:tab w:val="left" w:pos="1871"/>
          <w:tab w:val="left" w:pos="2268"/>
        </w:tabs>
        <w:overflowPunct w:val="0"/>
        <w:autoSpaceDE w:val="0"/>
        <w:autoSpaceDN w:val="0"/>
        <w:adjustRightInd w:val="0"/>
        <w:spacing w:after="120"/>
        <w:textAlignment w:val="baseline"/>
        <w:rPr>
          <w:bCs/>
          <w:spacing w:val="-3"/>
        </w:rPr>
      </w:pPr>
      <w:r>
        <w:rPr>
          <w:bCs/>
          <w:spacing w:val="-3"/>
        </w:rPr>
        <w:t>(a) * * *</w:t>
      </w:r>
    </w:p>
    <w:p w:rsidR="004E1E5E" w:rsidP="004E1E5E" w14:paraId="1406E4F2" w14:textId="77777777">
      <w:pPr>
        <w:tabs>
          <w:tab w:val="left" w:pos="284"/>
          <w:tab w:val="left" w:pos="1134"/>
          <w:tab w:val="left" w:pos="1871"/>
          <w:tab w:val="left" w:pos="2268"/>
        </w:tabs>
        <w:overflowPunct w:val="0"/>
        <w:autoSpaceDE w:val="0"/>
        <w:autoSpaceDN w:val="0"/>
        <w:adjustRightInd w:val="0"/>
        <w:spacing w:after="120"/>
        <w:textAlignment w:val="baseline"/>
        <w:rPr>
          <w:bCs/>
          <w:spacing w:val="-3"/>
        </w:rPr>
      </w:pPr>
    </w:p>
    <w:p w:rsidR="00D91463" w:rsidP="004E1E5E" w14:paraId="0DAC8A30" w14:textId="6789D38E">
      <w:pPr>
        <w:widowControl/>
        <w:spacing w:after="220"/>
        <w:rPr>
          <w:szCs w:val="22"/>
        </w:rPr>
        <w:sectPr w:rsidSect="00036E08">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docGrid w:linePitch="299"/>
        </w:sectPr>
      </w:pPr>
      <w:r>
        <w:rPr>
          <w:bCs/>
          <w:spacing w:val="-3"/>
        </w:rPr>
        <w:t>* * *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280"/>
        <w:gridCol w:w="2348"/>
        <w:gridCol w:w="2924"/>
        <w:gridCol w:w="2181"/>
        <w:gridCol w:w="2344"/>
        <w:gridCol w:w="1603"/>
      </w:tblGrid>
      <w:tr w14:paraId="664A1051" w14:textId="77777777" w:rsidTr="004524DC">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7547" w:type="dxa"/>
            <w:gridSpan w:val="3"/>
            <w:tcBorders>
              <w:left w:val="nil"/>
              <w:right w:val="double" w:sz="6" w:space="0" w:color="auto"/>
            </w:tcBorders>
          </w:tcPr>
          <w:p w:rsidR="003C21E2" w:rsidRPr="0049460C" w:rsidP="004524DC" w14:paraId="68636A7A" w14:textId="77777777">
            <w:pPr>
              <w:suppressAutoHyphens/>
              <w:ind w:left="-54"/>
              <w:rPr>
                <w:rFonts w:ascii="Arial Narrow" w:hAnsi="Arial Narrow"/>
                <w:sz w:val="17"/>
              </w:rPr>
            </w:pPr>
            <w:r w:rsidRPr="0049460C">
              <w:rPr>
                <w:rFonts w:ascii="Arial Narrow" w:hAnsi="Arial Narrow"/>
                <w:sz w:val="17"/>
              </w:rPr>
              <w:t>22-22.21</w:t>
            </w:r>
          </w:p>
          <w:p w:rsidR="003C21E2" w:rsidRPr="0049460C" w:rsidP="004524DC" w14:paraId="48F8CA86" w14:textId="77777777">
            <w:pPr>
              <w:suppressAutoHyphens/>
              <w:ind w:left="-54"/>
              <w:rPr>
                <w:rFonts w:ascii="Arial Narrow" w:hAnsi="Arial Narrow"/>
                <w:sz w:val="17"/>
              </w:rPr>
            </w:pPr>
            <w:r w:rsidRPr="0049460C">
              <w:rPr>
                <w:rFonts w:ascii="Arial Narrow" w:hAnsi="Arial Narrow"/>
                <w:sz w:val="17"/>
              </w:rPr>
              <w:t>FIXED</w:t>
            </w:r>
          </w:p>
          <w:p w:rsidR="003C21E2" w:rsidRPr="0049460C" w:rsidP="004524DC" w14:paraId="0B7E485B" w14:textId="77777777">
            <w:pPr>
              <w:suppressAutoHyphens/>
              <w:ind w:left="-54"/>
              <w:rPr>
                <w:rFonts w:ascii="Arial Narrow" w:hAnsi="Arial Narrow"/>
                <w:sz w:val="17"/>
              </w:rPr>
            </w:pPr>
            <w:r w:rsidRPr="0049460C">
              <w:rPr>
                <w:rFonts w:ascii="Arial Narrow" w:hAnsi="Arial Narrow"/>
                <w:sz w:val="17"/>
              </w:rPr>
              <w:t>MOBILE except aeronautical mobile</w:t>
            </w:r>
          </w:p>
          <w:p w:rsidR="003C21E2" w:rsidRPr="0049460C" w:rsidP="004524DC" w14:paraId="06AA7E17" w14:textId="77777777">
            <w:pPr>
              <w:suppressAutoHyphens/>
              <w:spacing w:line="108" w:lineRule="auto"/>
              <w:ind w:left="-54"/>
              <w:rPr>
                <w:rFonts w:ascii="Arial Narrow" w:hAnsi="Arial Narrow"/>
                <w:sz w:val="17"/>
              </w:rPr>
            </w:pPr>
          </w:p>
          <w:p w:rsidR="003C21E2" w:rsidRPr="0049460C" w:rsidP="004524DC" w14:paraId="55B3E037"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5.149</w:t>
            </w:r>
          </w:p>
        </w:tc>
        <w:tc>
          <w:tcPr>
            <w:tcW w:w="4521" w:type="dxa"/>
            <w:gridSpan w:val="2"/>
            <w:tcBorders>
              <w:left w:val="double" w:sz="6" w:space="0" w:color="auto"/>
              <w:right w:val="double" w:sz="6" w:space="0" w:color="auto"/>
            </w:tcBorders>
          </w:tcPr>
          <w:p w:rsidR="003C21E2" w:rsidRPr="0049460C" w:rsidP="004524DC" w14:paraId="70AD9018" w14:textId="77777777">
            <w:pPr>
              <w:suppressAutoHyphens/>
              <w:rPr>
                <w:rFonts w:ascii="Arial Narrow" w:hAnsi="Arial Narrow"/>
                <w:sz w:val="17"/>
              </w:rPr>
            </w:pPr>
            <w:r w:rsidRPr="0049460C">
              <w:rPr>
                <w:rFonts w:ascii="Arial Narrow" w:hAnsi="Arial Narrow"/>
                <w:sz w:val="17"/>
              </w:rPr>
              <w:t>22-22.21</w:t>
            </w:r>
          </w:p>
          <w:p w:rsidR="003C21E2" w:rsidRPr="0049460C" w:rsidP="004524DC" w14:paraId="4D7DDB0F" w14:textId="77777777">
            <w:pPr>
              <w:suppressAutoHyphens/>
              <w:rPr>
                <w:rFonts w:ascii="Arial Narrow" w:hAnsi="Arial Narrow"/>
                <w:sz w:val="17"/>
              </w:rPr>
            </w:pPr>
            <w:r w:rsidRPr="0049460C">
              <w:rPr>
                <w:rFonts w:ascii="Arial Narrow" w:hAnsi="Arial Narrow"/>
                <w:sz w:val="17"/>
              </w:rPr>
              <w:t>FIXED</w:t>
            </w:r>
          </w:p>
          <w:p w:rsidR="003C21E2" w:rsidRPr="0049460C" w:rsidP="004524DC" w14:paraId="7049AF7B" w14:textId="77777777">
            <w:pPr>
              <w:suppressAutoHyphens/>
              <w:rPr>
                <w:rFonts w:ascii="Arial Narrow" w:hAnsi="Arial Narrow"/>
                <w:sz w:val="17"/>
              </w:rPr>
            </w:pPr>
            <w:r w:rsidRPr="0049460C">
              <w:rPr>
                <w:rFonts w:ascii="Arial Narrow" w:hAnsi="Arial Narrow"/>
                <w:sz w:val="17"/>
              </w:rPr>
              <w:t>MOBILE except aeronautical mobile</w:t>
            </w:r>
          </w:p>
          <w:p w:rsidR="003C21E2" w:rsidRPr="0049460C" w:rsidP="004524DC" w14:paraId="55DDE423" w14:textId="77777777">
            <w:pPr>
              <w:tabs>
                <w:tab w:val="left" w:pos="0"/>
                <w:tab w:val="left" w:pos="336"/>
                <w:tab w:val="left" w:pos="1892"/>
                <w:tab w:val="left" w:pos="2880"/>
                <w:tab w:val="left" w:pos="3600"/>
                <w:tab w:val="left" w:pos="4320"/>
                <w:tab w:val="left" w:pos="5040"/>
              </w:tabs>
              <w:suppressAutoHyphens/>
              <w:spacing w:line="108" w:lineRule="auto"/>
              <w:rPr>
                <w:rFonts w:ascii="Arial Narrow" w:hAnsi="Arial Narrow"/>
                <w:sz w:val="17"/>
              </w:rPr>
            </w:pPr>
          </w:p>
          <w:p w:rsidR="003C21E2" w:rsidRPr="0049460C" w:rsidP="004524DC" w14:paraId="3C8606A1" w14:textId="77777777">
            <w:pPr>
              <w:suppressAutoHyphens/>
              <w:spacing w:line="192" w:lineRule="auto"/>
              <w:rPr>
                <w:rFonts w:ascii="Arial Narrow" w:hAnsi="Arial Narrow"/>
                <w:sz w:val="17"/>
              </w:rPr>
            </w:pPr>
            <w:r w:rsidRPr="0049460C">
              <w:rPr>
                <w:rFonts w:ascii="Arial Narrow" w:hAnsi="Arial Narrow"/>
                <w:sz w:val="17"/>
              </w:rPr>
              <w:t>US342</w:t>
            </w:r>
          </w:p>
        </w:tc>
        <w:tc>
          <w:tcPr>
            <w:tcW w:w="1602" w:type="dxa"/>
            <w:vMerge w:val="restart"/>
            <w:tcBorders>
              <w:top w:val="nil"/>
              <w:left w:val="double" w:sz="6" w:space="0" w:color="auto"/>
              <w:right w:val="nil"/>
            </w:tcBorders>
            <w:vAlign w:val="center"/>
          </w:tcPr>
          <w:p w:rsidR="003C21E2" w:rsidRPr="0049460C" w:rsidP="004524DC" w14:paraId="7CB92840" w14:textId="77777777">
            <w:pPr>
              <w:suppressAutoHyphens/>
              <w:rPr>
                <w:rFonts w:ascii="Arial Narrow" w:hAnsi="Arial Narrow"/>
                <w:sz w:val="17"/>
              </w:rPr>
            </w:pPr>
          </w:p>
        </w:tc>
      </w:tr>
      <w:tr w14:paraId="626E1355" w14:textId="77777777" w:rsidTr="004524DC">
        <w:tblPrEx>
          <w:tblW w:w="5000" w:type="pct"/>
          <w:tblLayout w:type="fixed"/>
          <w:tblCellMar>
            <w:left w:w="58" w:type="dxa"/>
            <w:right w:w="0" w:type="dxa"/>
          </w:tblCellMar>
          <w:tblLook w:val="0000"/>
        </w:tblPrEx>
        <w:tc>
          <w:tcPr>
            <w:tcW w:w="7547" w:type="dxa"/>
            <w:gridSpan w:val="3"/>
            <w:tcBorders>
              <w:left w:val="nil"/>
              <w:right w:val="double" w:sz="6" w:space="0" w:color="auto"/>
            </w:tcBorders>
          </w:tcPr>
          <w:p w:rsidR="003C21E2" w:rsidRPr="0049460C" w:rsidP="004524DC" w14:paraId="4260D103" w14:textId="77777777">
            <w:pPr>
              <w:suppressAutoHyphens/>
              <w:ind w:left="-54"/>
              <w:rPr>
                <w:rFonts w:ascii="Arial Narrow" w:hAnsi="Arial Narrow"/>
                <w:sz w:val="17"/>
              </w:rPr>
            </w:pPr>
            <w:r w:rsidRPr="0049460C">
              <w:rPr>
                <w:rFonts w:ascii="Arial Narrow" w:hAnsi="Arial Narrow"/>
                <w:sz w:val="17"/>
              </w:rPr>
              <w:t>22.21-22.5</w:t>
            </w:r>
          </w:p>
          <w:p w:rsidR="003C21E2" w:rsidRPr="0049460C" w:rsidP="004524DC" w14:paraId="173F34E9" w14:textId="77777777">
            <w:pPr>
              <w:suppressAutoHyphens/>
              <w:ind w:left="-54"/>
              <w:rPr>
                <w:rFonts w:ascii="Arial Narrow" w:hAnsi="Arial Narrow"/>
                <w:sz w:val="17"/>
              </w:rPr>
            </w:pPr>
            <w:r w:rsidRPr="0049460C">
              <w:rPr>
                <w:rFonts w:ascii="Arial Narrow" w:hAnsi="Arial Narrow"/>
                <w:sz w:val="17"/>
              </w:rPr>
              <w:t>EARTH EXPLORATION-SATELLITE (passive)</w:t>
            </w:r>
          </w:p>
          <w:p w:rsidR="003C21E2" w:rsidRPr="0049460C" w:rsidP="004524DC" w14:paraId="6EDD99CC" w14:textId="77777777">
            <w:pPr>
              <w:suppressAutoHyphens/>
              <w:ind w:left="-54"/>
              <w:rPr>
                <w:rFonts w:ascii="Arial Narrow" w:hAnsi="Arial Narrow"/>
                <w:sz w:val="17"/>
              </w:rPr>
            </w:pPr>
            <w:r w:rsidRPr="0049460C">
              <w:rPr>
                <w:rFonts w:ascii="Arial Narrow" w:hAnsi="Arial Narrow"/>
                <w:sz w:val="17"/>
              </w:rPr>
              <w:t>FIXED</w:t>
            </w:r>
          </w:p>
          <w:p w:rsidR="003C21E2" w:rsidRPr="0049460C" w:rsidP="004524DC" w14:paraId="46620811" w14:textId="77777777">
            <w:pPr>
              <w:suppressAutoHyphens/>
              <w:ind w:left="-54"/>
              <w:rPr>
                <w:rFonts w:ascii="Arial Narrow" w:hAnsi="Arial Narrow"/>
                <w:sz w:val="17"/>
              </w:rPr>
            </w:pPr>
            <w:r w:rsidRPr="0049460C">
              <w:rPr>
                <w:rFonts w:ascii="Arial Narrow" w:hAnsi="Arial Narrow"/>
                <w:sz w:val="17"/>
              </w:rPr>
              <w:t>MOBILE except aeronautical mobile</w:t>
            </w:r>
          </w:p>
          <w:p w:rsidR="003C21E2" w:rsidRPr="0049460C" w:rsidP="004524DC" w14:paraId="39DC4FD0" w14:textId="77777777">
            <w:pPr>
              <w:suppressAutoHyphens/>
              <w:ind w:left="-54"/>
              <w:rPr>
                <w:rFonts w:ascii="Arial Narrow" w:hAnsi="Arial Narrow"/>
                <w:sz w:val="17"/>
              </w:rPr>
            </w:pPr>
            <w:r w:rsidRPr="0049460C">
              <w:rPr>
                <w:rFonts w:ascii="Arial Narrow" w:hAnsi="Arial Narrow"/>
                <w:sz w:val="17"/>
              </w:rPr>
              <w:t>RADIO ASTRONOMY</w:t>
            </w:r>
          </w:p>
          <w:p w:rsidR="003C21E2" w:rsidRPr="0049460C" w:rsidP="004524DC" w14:paraId="53EEBE05" w14:textId="77777777">
            <w:pPr>
              <w:suppressAutoHyphens/>
              <w:ind w:left="-54"/>
              <w:rPr>
                <w:rFonts w:ascii="Arial Narrow" w:hAnsi="Arial Narrow"/>
                <w:sz w:val="17"/>
              </w:rPr>
            </w:pPr>
            <w:r w:rsidRPr="0049460C">
              <w:rPr>
                <w:rFonts w:ascii="Arial Narrow" w:hAnsi="Arial Narrow"/>
                <w:sz w:val="17"/>
              </w:rPr>
              <w:t>SPACE RESEARCH (passive)</w:t>
            </w:r>
          </w:p>
          <w:p w:rsidR="003C21E2" w:rsidRPr="0049460C" w:rsidP="004524DC" w14:paraId="08FCAF65" w14:textId="77777777">
            <w:pPr>
              <w:suppressAutoHyphens/>
              <w:spacing w:line="108" w:lineRule="auto"/>
              <w:ind w:left="-54"/>
              <w:rPr>
                <w:rFonts w:ascii="Arial Narrow" w:hAnsi="Arial Narrow"/>
                <w:sz w:val="17"/>
              </w:rPr>
            </w:pPr>
          </w:p>
          <w:p w:rsidR="003C21E2" w:rsidRPr="0049460C" w:rsidP="004524DC" w14:paraId="60E1668B"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5.149  5.532</w:t>
            </w:r>
          </w:p>
        </w:tc>
        <w:tc>
          <w:tcPr>
            <w:tcW w:w="4521" w:type="dxa"/>
            <w:gridSpan w:val="2"/>
            <w:tcBorders>
              <w:left w:val="double" w:sz="6" w:space="0" w:color="auto"/>
              <w:right w:val="double" w:sz="6" w:space="0" w:color="auto"/>
            </w:tcBorders>
          </w:tcPr>
          <w:p w:rsidR="003C21E2" w:rsidRPr="0049460C" w:rsidP="004524DC" w14:paraId="4227CCD2" w14:textId="77777777">
            <w:pPr>
              <w:suppressAutoHyphens/>
              <w:rPr>
                <w:rFonts w:ascii="Arial Narrow" w:hAnsi="Arial Narrow"/>
                <w:sz w:val="17"/>
              </w:rPr>
            </w:pPr>
            <w:r w:rsidRPr="0049460C">
              <w:rPr>
                <w:rFonts w:ascii="Arial Narrow" w:hAnsi="Arial Narrow"/>
                <w:sz w:val="17"/>
              </w:rPr>
              <w:t>22.21-22.5</w:t>
            </w:r>
          </w:p>
          <w:p w:rsidR="003C21E2" w:rsidRPr="0049460C" w:rsidP="004524DC" w14:paraId="0BE96477" w14:textId="77777777">
            <w:pPr>
              <w:suppressAutoHyphens/>
              <w:rPr>
                <w:rFonts w:ascii="Arial Narrow" w:hAnsi="Arial Narrow"/>
                <w:sz w:val="17"/>
              </w:rPr>
            </w:pPr>
            <w:r w:rsidRPr="0049460C">
              <w:rPr>
                <w:rFonts w:ascii="Arial Narrow" w:hAnsi="Arial Narrow"/>
                <w:sz w:val="17"/>
              </w:rPr>
              <w:t>EARTH EXPLORATION-SATELLITE (passive)</w:t>
            </w:r>
          </w:p>
          <w:p w:rsidR="003C21E2" w:rsidRPr="0049460C" w:rsidP="004524DC" w14:paraId="13BFEA59" w14:textId="77777777">
            <w:pPr>
              <w:suppressAutoHyphens/>
              <w:rPr>
                <w:rFonts w:ascii="Arial Narrow" w:hAnsi="Arial Narrow"/>
                <w:sz w:val="17"/>
              </w:rPr>
            </w:pPr>
            <w:r w:rsidRPr="0049460C">
              <w:rPr>
                <w:rFonts w:ascii="Arial Narrow" w:hAnsi="Arial Narrow"/>
                <w:sz w:val="17"/>
              </w:rPr>
              <w:t>FIXED</w:t>
            </w:r>
          </w:p>
          <w:p w:rsidR="003C21E2" w:rsidRPr="0049460C" w:rsidP="004524DC" w14:paraId="448E05E3" w14:textId="77777777">
            <w:pPr>
              <w:suppressAutoHyphens/>
              <w:rPr>
                <w:rFonts w:ascii="Arial Narrow" w:hAnsi="Arial Narrow"/>
                <w:sz w:val="17"/>
              </w:rPr>
            </w:pPr>
            <w:r w:rsidRPr="0049460C">
              <w:rPr>
                <w:rFonts w:ascii="Arial Narrow" w:hAnsi="Arial Narrow"/>
                <w:sz w:val="17"/>
              </w:rPr>
              <w:t>MOBILE except aeronautical mobile</w:t>
            </w:r>
          </w:p>
          <w:p w:rsidR="003C21E2" w:rsidRPr="0049460C" w:rsidP="004524DC" w14:paraId="1784C017" w14:textId="77777777">
            <w:pPr>
              <w:suppressAutoHyphens/>
              <w:rPr>
                <w:rFonts w:ascii="Arial Narrow" w:hAnsi="Arial Narrow"/>
                <w:sz w:val="17"/>
              </w:rPr>
            </w:pPr>
            <w:r w:rsidRPr="0049460C">
              <w:rPr>
                <w:rFonts w:ascii="Arial Narrow" w:hAnsi="Arial Narrow"/>
                <w:sz w:val="17"/>
              </w:rPr>
              <w:t>RADIO ASTRONOMY</w:t>
            </w:r>
          </w:p>
          <w:p w:rsidR="003C21E2" w:rsidRPr="0049460C" w:rsidP="004524DC" w14:paraId="5AC9F80A" w14:textId="77777777">
            <w:pPr>
              <w:suppressAutoHyphens/>
              <w:rPr>
                <w:rFonts w:ascii="Arial Narrow" w:hAnsi="Arial Narrow"/>
                <w:sz w:val="17"/>
              </w:rPr>
            </w:pPr>
            <w:r w:rsidRPr="0049460C">
              <w:rPr>
                <w:rFonts w:ascii="Arial Narrow" w:hAnsi="Arial Narrow"/>
                <w:sz w:val="17"/>
              </w:rPr>
              <w:t>SPACE RESEARCH (passive)</w:t>
            </w:r>
          </w:p>
          <w:p w:rsidR="003C21E2" w:rsidRPr="0049460C" w:rsidP="004524DC" w14:paraId="113D6EA1" w14:textId="77777777">
            <w:pPr>
              <w:suppressAutoHyphens/>
              <w:spacing w:line="108" w:lineRule="auto"/>
              <w:rPr>
                <w:rFonts w:ascii="Arial Narrow" w:hAnsi="Arial Narrow"/>
                <w:sz w:val="17"/>
              </w:rPr>
            </w:pPr>
          </w:p>
          <w:p w:rsidR="003C21E2" w:rsidRPr="0049460C" w:rsidP="004524DC" w14:paraId="7CC9C58A"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US342  US532</w:t>
            </w:r>
          </w:p>
        </w:tc>
        <w:tc>
          <w:tcPr>
            <w:tcW w:w="1602" w:type="dxa"/>
            <w:vMerge/>
            <w:tcBorders>
              <w:left w:val="double" w:sz="6" w:space="0" w:color="auto"/>
              <w:right w:val="nil"/>
            </w:tcBorders>
            <w:vAlign w:val="center"/>
          </w:tcPr>
          <w:p w:rsidR="003C21E2" w:rsidRPr="0049460C" w:rsidP="004524DC" w14:paraId="63AC4208" w14:textId="77777777">
            <w:pPr>
              <w:suppressAutoHyphens/>
              <w:rPr>
                <w:rFonts w:ascii="Arial Narrow" w:hAnsi="Arial Narrow"/>
                <w:sz w:val="17"/>
              </w:rPr>
            </w:pPr>
          </w:p>
        </w:tc>
      </w:tr>
      <w:tr w14:paraId="7045C535" w14:textId="77777777" w:rsidTr="004524DC">
        <w:tblPrEx>
          <w:tblW w:w="5000" w:type="pct"/>
          <w:tblLayout w:type="fixed"/>
          <w:tblCellMar>
            <w:left w:w="58" w:type="dxa"/>
            <w:right w:w="0" w:type="dxa"/>
          </w:tblCellMar>
          <w:tblLook w:val="0000"/>
        </w:tblPrEx>
        <w:tc>
          <w:tcPr>
            <w:tcW w:w="7547" w:type="dxa"/>
            <w:gridSpan w:val="3"/>
            <w:tcBorders>
              <w:left w:val="nil"/>
              <w:right w:val="double" w:sz="6" w:space="0" w:color="auto"/>
            </w:tcBorders>
          </w:tcPr>
          <w:p w:rsidR="003C21E2" w:rsidRPr="0049460C" w:rsidP="004524DC" w14:paraId="33E88955" w14:textId="77777777">
            <w:pPr>
              <w:suppressAutoHyphens/>
              <w:ind w:left="-54"/>
              <w:rPr>
                <w:rFonts w:ascii="Arial Narrow" w:hAnsi="Arial Narrow"/>
                <w:sz w:val="17"/>
              </w:rPr>
            </w:pPr>
            <w:r w:rsidRPr="0049460C">
              <w:rPr>
                <w:rFonts w:ascii="Arial Narrow" w:hAnsi="Arial Narrow"/>
                <w:sz w:val="17"/>
              </w:rPr>
              <w:t>22.5-22.55</w:t>
            </w:r>
          </w:p>
          <w:p w:rsidR="003C21E2" w:rsidRPr="0049460C" w:rsidP="004524DC" w14:paraId="7AE95978" w14:textId="77777777">
            <w:pPr>
              <w:suppressAutoHyphens/>
              <w:ind w:left="-54"/>
              <w:rPr>
                <w:rFonts w:ascii="Arial Narrow" w:hAnsi="Arial Narrow"/>
                <w:sz w:val="17"/>
              </w:rPr>
            </w:pPr>
            <w:r w:rsidRPr="0049460C">
              <w:rPr>
                <w:rFonts w:ascii="Arial Narrow" w:hAnsi="Arial Narrow"/>
                <w:sz w:val="17"/>
              </w:rPr>
              <w:t>FIXED</w:t>
            </w:r>
          </w:p>
          <w:p w:rsidR="003C21E2" w:rsidRPr="0049460C" w:rsidP="004524DC" w14:paraId="651A3765" w14:textId="77777777">
            <w:pPr>
              <w:suppressAutoHyphens/>
              <w:ind w:left="-54"/>
              <w:rPr>
                <w:rFonts w:ascii="Arial Narrow" w:hAnsi="Arial Narrow"/>
                <w:sz w:val="17"/>
              </w:rPr>
            </w:pPr>
            <w:r w:rsidRPr="0049460C">
              <w:rPr>
                <w:rFonts w:ascii="Arial Narrow" w:hAnsi="Arial Narrow"/>
                <w:sz w:val="17"/>
              </w:rPr>
              <w:t>MOBILE</w:t>
            </w:r>
          </w:p>
        </w:tc>
        <w:tc>
          <w:tcPr>
            <w:tcW w:w="4521" w:type="dxa"/>
            <w:gridSpan w:val="2"/>
            <w:tcBorders>
              <w:left w:val="double" w:sz="6" w:space="0" w:color="auto"/>
              <w:right w:val="double" w:sz="6" w:space="0" w:color="auto"/>
            </w:tcBorders>
          </w:tcPr>
          <w:p w:rsidR="003C21E2" w:rsidRPr="0049460C" w:rsidP="004524DC" w14:paraId="39CBFFA0" w14:textId="77777777">
            <w:pPr>
              <w:suppressAutoHyphens/>
              <w:rPr>
                <w:rFonts w:ascii="Arial Narrow" w:hAnsi="Arial Narrow"/>
                <w:sz w:val="17"/>
              </w:rPr>
            </w:pPr>
            <w:r w:rsidRPr="0049460C">
              <w:rPr>
                <w:rFonts w:ascii="Arial Narrow" w:hAnsi="Arial Narrow"/>
                <w:sz w:val="17"/>
              </w:rPr>
              <w:t>22.5-22.55</w:t>
            </w:r>
          </w:p>
          <w:p w:rsidR="003C21E2" w:rsidRPr="0049460C" w:rsidP="004524DC" w14:paraId="621A601C" w14:textId="77777777">
            <w:pPr>
              <w:suppressAutoHyphens/>
              <w:rPr>
                <w:rFonts w:ascii="Arial Narrow" w:hAnsi="Arial Narrow"/>
                <w:sz w:val="17"/>
              </w:rPr>
            </w:pPr>
            <w:r w:rsidRPr="0049460C">
              <w:rPr>
                <w:rFonts w:ascii="Arial Narrow" w:hAnsi="Arial Narrow"/>
                <w:sz w:val="17"/>
              </w:rPr>
              <w:t>FIXED</w:t>
            </w:r>
          </w:p>
          <w:p w:rsidR="003C21E2" w:rsidRPr="0049460C" w:rsidP="004524DC" w14:paraId="28E5FAD9" w14:textId="77777777">
            <w:pPr>
              <w:suppressAutoHyphens/>
              <w:rPr>
                <w:rFonts w:ascii="Arial Narrow" w:hAnsi="Arial Narrow"/>
                <w:sz w:val="17"/>
              </w:rPr>
            </w:pPr>
            <w:r w:rsidRPr="0049460C">
              <w:rPr>
                <w:rFonts w:ascii="Arial Narrow" w:hAnsi="Arial Narrow"/>
                <w:sz w:val="17"/>
              </w:rPr>
              <w:t>MOBILE</w:t>
            </w:r>
          </w:p>
          <w:p w:rsidR="003C21E2" w:rsidRPr="0049460C" w:rsidP="004524DC" w14:paraId="19D52728" w14:textId="77777777">
            <w:pPr>
              <w:suppressAutoHyphens/>
              <w:spacing w:line="108" w:lineRule="auto"/>
              <w:rPr>
                <w:rFonts w:ascii="Arial Narrow" w:hAnsi="Arial Narrow"/>
                <w:sz w:val="17"/>
              </w:rPr>
            </w:pPr>
          </w:p>
          <w:p w:rsidR="003C21E2" w:rsidRPr="0049460C" w:rsidP="004524DC" w14:paraId="214BF895"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US211</w:t>
            </w:r>
          </w:p>
        </w:tc>
        <w:tc>
          <w:tcPr>
            <w:tcW w:w="1602" w:type="dxa"/>
            <w:vMerge/>
            <w:tcBorders>
              <w:left w:val="double" w:sz="6" w:space="0" w:color="auto"/>
              <w:right w:val="nil"/>
            </w:tcBorders>
            <w:vAlign w:val="bottom"/>
          </w:tcPr>
          <w:p w:rsidR="003C21E2" w:rsidRPr="0049460C" w:rsidP="004524DC" w14:paraId="7A8C37CE" w14:textId="77777777">
            <w:pPr>
              <w:suppressAutoHyphens/>
              <w:ind w:right="18"/>
              <w:jc w:val="right"/>
              <w:rPr>
                <w:rFonts w:ascii="Arial Narrow" w:hAnsi="Arial Narrow"/>
                <w:sz w:val="17"/>
              </w:rPr>
            </w:pPr>
          </w:p>
        </w:tc>
      </w:tr>
      <w:tr w14:paraId="203F5FB2" w14:textId="77777777" w:rsidTr="004524DC">
        <w:tblPrEx>
          <w:tblW w:w="5000" w:type="pct"/>
          <w:tblLayout w:type="fixed"/>
          <w:tblCellMar>
            <w:left w:w="58" w:type="dxa"/>
            <w:right w:w="0" w:type="dxa"/>
          </w:tblCellMar>
          <w:tblLook w:val="0000"/>
        </w:tblPrEx>
        <w:trPr>
          <w:trHeight w:val="1074"/>
        </w:trPr>
        <w:tc>
          <w:tcPr>
            <w:tcW w:w="7547" w:type="dxa"/>
            <w:gridSpan w:val="3"/>
            <w:tcBorders>
              <w:left w:val="nil"/>
              <w:right w:val="double" w:sz="6" w:space="0" w:color="auto"/>
            </w:tcBorders>
            <w:noWrap/>
          </w:tcPr>
          <w:p w:rsidR="003C21E2" w:rsidRPr="0049460C" w:rsidP="004524DC" w14:paraId="3FAB6755" w14:textId="77777777">
            <w:pPr>
              <w:suppressAutoHyphens/>
              <w:ind w:left="-58"/>
              <w:rPr>
                <w:rFonts w:ascii="Arial Narrow" w:hAnsi="Arial Narrow"/>
                <w:sz w:val="17"/>
              </w:rPr>
            </w:pPr>
            <w:r w:rsidRPr="0049460C">
              <w:rPr>
                <w:rFonts w:ascii="Arial Narrow" w:hAnsi="Arial Narrow"/>
                <w:sz w:val="17"/>
              </w:rPr>
              <w:t>22.55-23.15</w:t>
            </w:r>
          </w:p>
          <w:p w:rsidR="003C21E2" w:rsidRPr="0049460C" w:rsidP="004524DC" w14:paraId="2DA80311" w14:textId="77777777">
            <w:pPr>
              <w:suppressAutoHyphens/>
              <w:ind w:left="-58"/>
              <w:rPr>
                <w:rFonts w:ascii="Arial Narrow" w:hAnsi="Arial Narrow"/>
                <w:sz w:val="17"/>
              </w:rPr>
            </w:pPr>
            <w:r w:rsidRPr="0049460C">
              <w:rPr>
                <w:rFonts w:ascii="Arial Narrow" w:hAnsi="Arial Narrow"/>
                <w:sz w:val="17"/>
              </w:rPr>
              <w:t>FIXED</w:t>
            </w:r>
          </w:p>
          <w:p w:rsidR="003C21E2" w:rsidRPr="0049460C" w:rsidP="004524DC" w14:paraId="218A7F31" w14:textId="77777777">
            <w:pPr>
              <w:suppressAutoHyphens/>
              <w:ind w:left="-58"/>
              <w:rPr>
                <w:rFonts w:ascii="Arial Narrow" w:hAnsi="Arial Narrow"/>
                <w:sz w:val="17"/>
              </w:rPr>
            </w:pPr>
            <w:r w:rsidRPr="0049460C">
              <w:rPr>
                <w:rFonts w:ascii="Arial Narrow" w:hAnsi="Arial Narrow"/>
                <w:sz w:val="17"/>
              </w:rPr>
              <w:t>INTER-SATELLITE  5.338A</w:t>
            </w:r>
          </w:p>
          <w:p w:rsidR="003C21E2" w:rsidRPr="0049460C" w:rsidP="004524DC" w14:paraId="593E3060" w14:textId="77777777">
            <w:pPr>
              <w:suppressAutoHyphens/>
              <w:ind w:left="-58"/>
              <w:rPr>
                <w:rFonts w:ascii="Arial Narrow" w:hAnsi="Arial Narrow"/>
                <w:sz w:val="17"/>
              </w:rPr>
            </w:pPr>
            <w:r w:rsidRPr="0049460C">
              <w:rPr>
                <w:rFonts w:ascii="Arial Narrow" w:hAnsi="Arial Narrow"/>
                <w:sz w:val="17"/>
              </w:rPr>
              <w:t>MOBILE</w:t>
            </w:r>
          </w:p>
          <w:p w:rsidR="003C21E2" w:rsidRPr="0049460C" w:rsidP="004524DC" w14:paraId="41D2A7D8" w14:textId="77777777">
            <w:pPr>
              <w:suppressAutoHyphens/>
              <w:ind w:left="-58"/>
              <w:rPr>
                <w:rFonts w:ascii="Arial Narrow" w:hAnsi="Arial Narrow"/>
                <w:sz w:val="17"/>
              </w:rPr>
            </w:pPr>
            <w:r w:rsidRPr="0049460C">
              <w:rPr>
                <w:rFonts w:ascii="Arial Narrow" w:hAnsi="Arial Narrow"/>
                <w:sz w:val="17"/>
              </w:rPr>
              <w:t>SPACE RESEARCH (Earth-to-space)  5.532A</w:t>
            </w:r>
          </w:p>
          <w:p w:rsidR="003C21E2" w:rsidRPr="0049460C" w:rsidP="004524DC" w14:paraId="497DE28F" w14:textId="77777777">
            <w:pPr>
              <w:suppressAutoHyphens/>
              <w:ind w:left="-58"/>
              <w:rPr>
                <w:rFonts w:ascii="Arial Narrow" w:hAnsi="Arial Narrow"/>
                <w:sz w:val="17"/>
              </w:rPr>
            </w:pPr>
          </w:p>
          <w:p w:rsidR="003C21E2" w:rsidRPr="0049460C" w:rsidP="004524DC" w14:paraId="7D6960A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5.149</w:t>
            </w:r>
          </w:p>
        </w:tc>
        <w:tc>
          <w:tcPr>
            <w:tcW w:w="4521" w:type="dxa"/>
            <w:gridSpan w:val="2"/>
            <w:tcBorders>
              <w:left w:val="double" w:sz="6" w:space="0" w:color="auto"/>
              <w:right w:val="double" w:sz="6" w:space="0" w:color="auto"/>
            </w:tcBorders>
            <w:shd w:val="clear" w:color="auto" w:fill="auto"/>
            <w:noWrap/>
          </w:tcPr>
          <w:p w:rsidR="003C21E2" w:rsidRPr="0049460C" w:rsidP="004524DC" w14:paraId="4EAE35FE" w14:textId="77777777">
            <w:pPr>
              <w:suppressAutoHyphens/>
              <w:rPr>
                <w:rFonts w:ascii="Arial Narrow" w:hAnsi="Arial Narrow"/>
                <w:sz w:val="17"/>
              </w:rPr>
            </w:pPr>
            <w:r w:rsidRPr="0049460C">
              <w:rPr>
                <w:rFonts w:ascii="Arial Narrow" w:hAnsi="Arial Narrow"/>
                <w:sz w:val="17"/>
              </w:rPr>
              <w:t>22.55-23.15</w:t>
            </w:r>
          </w:p>
          <w:p w:rsidR="003C21E2" w:rsidRPr="0049460C" w:rsidP="004524DC" w14:paraId="0C5A4232" w14:textId="77777777">
            <w:pPr>
              <w:suppressAutoHyphens/>
              <w:rPr>
                <w:rFonts w:ascii="Arial Narrow" w:hAnsi="Arial Narrow"/>
                <w:sz w:val="17"/>
              </w:rPr>
            </w:pPr>
            <w:r w:rsidRPr="0049460C">
              <w:rPr>
                <w:rFonts w:ascii="Arial Narrow" w:hAnsi="Arial Narrow"/>
                <w:sz w:val="17"/>
              </w:rPr>
              <w:t>FIXED</w:t>
            </w:r>
          </w:p>
          <w:p w:rsidR="003C21E2" w:rsidRPr="0049460C" w:rsidP="004524DC" w14:paraId="7DAA215F" w14:textId="77777777">
            <w:pPr>
              <w:suppressAutoHyphens/>
              <w:rPr>
                <w:rFonts w:ascii="Arial Narrow" w:hAnsi="Arial Narrow"/>
                <w:sz w:val="17"/>
              </w:rPr>
            </w:pPr>
            <w:r w:rsidRPr="0049460C">
              <w:rPr>
                <w:rFonts w:ascii="Arial Narrow" w:hAnsi="Arial Narrow"/>
                <w:sz w:val="17"/>
              </w:rPr>
              <w:t>INTER-SATELLITE  US145  US278</w:t>
            </w:r>
          </w:p>
          <w:p w:rsidR="003C21E2" w:rsidRPr="0049460C" w:rsidP="004524DC" w14:paraId="02CF35F9" w14:textId="77777777">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MOBILE</w:t>
            </w:r>
          </w:p>
          <w:p w:rsidR="003C21E2" w:rsidRPr="0049460C" w:rsidP="004524DC" w14:paraId="625639B1" w14:textId="77777777">
            <w:pPr>
              <w:tabs>
                <w:tab w:val="left" w:pos="0"/>
                <w:tab w:val="left" w:pos="336"/>
                <w:tab w:val="left" w:pos="1892"/>
                <w:tab w:val="left" w:pos="2880"/>
                <w:tab w:val="left" w:pos="3600"/>
                <w:tab w:val="left" w:pos="4320"/>
                <w:tab w:val="left" w:pos="5040"/>
              </w:tabs>
              <w:suppressAutoHyphens/>
              <w:rPr>
                <w:rFonts w:ascii="Arial Narrow" w:hAnsi="Arial Narrow"/>
                <w:sz w:val="17"/>
              </w:rPr>
            </w:pPr>
            <w:r w:rsidRPr="0049460C">
              <w:rPr>
                <w:rFonts w:ascii="Arial Narrow" w:hAnsi="Arial Narrow"/>
                <w:sz w:val="17"/>
              </w:rPr>
              <w:t>SPACE RESEARCH (Earth-to-space)  5.532A</w:t>
            </w:r>
          </w:p>
          <w:p w:rsidR="003C21E2" w:rsidRPr="0049460C" w:rsidP="004524DC" w14:paraId="20F029E6" w14:textId="77777777">
            <w:pPr>
              <w:tabs>
                <w:tab w:val="left" w:pos="0"/>
                <w:tab w:val="left" w:pos="336"/>
                <w:tab w:val="left" w:pos="1892"/>
                <w:tab w:val="left" w:pos="2880"/>
                <w:tab w:val="left" w:pos="3600"/>
                <w:tab w:val="left" w:pos="4320"/>
                <w:tab w:val="left" w:pos="5040"/>
              </w:tabs>
              <w:suppressAutoHyphens/>
              <w:rPr>
                <w:rFonts w:ascii="Arial Narrow" w:hAnsi="Arial Narrow"/>
                <w:sz w:val="17"/>
              </w:rPr>
            </w:pPr>
          </w:p>
          <w:p w:rsidR="003C21E2" w:rsidRPr="0049460C" w:rsidP="004524DC" w14:paraId="38842AEE" w14:textId="77777777">
            <w:pPr>
              <w:suppressAutoHyphens/>
              <w:spacing w:line="204" w:lineRule="auto"/>
              <w:rPr>
                <w:rFonts w:ascii="Arial Narrow" w:hAnsi="Arial Narrow"/>
                <w:sz w:val="17"/>
              </w:rPr>
            </w:pPr>
            <w:r w:rsidRPr="0049460C">
              <w:rPr>
                <w:rFonts w:ascii="Arial Narrow" w:hAnsi="Arial Narrow"/>
                <w:sz w:val="17"/>
              </w:rPr>
              <w:t>US342</w:t>
            </w:r>
          </w:p>
        </w:tc>
        <w:tc>
          <w:tcPr>
            <w:tcW w:w="1602" w:type="dxa"/>
            <w:vMerge w:val="restart"/>
            <w:tcBorders>
              <w:left w:val="double" w:sz="6" w:space="0" w:color="auto"/>
              <w:right w:val="nil"/>
            </w:tcBorders>
            <w:noWrap/>
          </w:tcPr>
          <w:p w:rsidR="003C21E2" w:rsidRPr="0049460C" w:rsidP="004524DC" w14:paraId="416FC626" w14:textId="77777777">
            <w:pPr>
              <w:suppressAutoHyphens/>
              <w:rPr>
                <w:rFonts w:ascii="Arial Narrow" w:hAnsi="Arial Narrow"/>
                <w:sz w:val="17"/>
              </w:rPr>
            </w:pPr>
          </w:p>
          <w:p w:rsidR="003C21E2" w:rsidRPr="0049460C" w:rsidP="004524DC" w14:paraId="781189E6" w14:textId="77777777">
            <w:pPr>
              <w:suppressAutoHyphens/>
              <w:ind w:right="-90"/>
              <w:rPr>
                <w:rFonts w:ascii="Arial Narrow" w:hAnsi="Arial Narrow"/>
                <w:sz w:val="17"/>
              </w:rPr>
            </w:pPr>
            <w:r w:rsidRPr="0049460C">
              <w:rPr>
                <w:rFonts w:ascii="Arial Narrow" w:hAnsi="Arial Narrow"/>
                <w:sz w:val="17"/>
              </w:rPr>
              <w:t>Satellite</w:t>
            </w:r>
          </w:p>
          <w:p w:rsidR="003C21E2" w:rsidRPr="0049460C" w:rsidP="004524DC" w14:paraId="53E4448C" w14:textId="77777777">
            <w:pPr>
              <w:suppressAutoHyphens/>
              <w:spacing w:line="204" w:lineRule="auto"/>
              <w:ind w:right="-86"/>
              <w:rPr>
                <w:rFonts w:ascii="Arial Narrow" w:hAnsi="Arial Narrow"/>
                <w:sz w:val="17"/>
              </w:rPr>
            </w:pPr>
            <w:r w:rsidRPr="0049460C">
              <w:rPr>
                <w:rFonts w:ascii="Arial Narrow" w:hAnsi="Arial Narrow"/>
                <w:sz w:val="17"/>
              </w:rPr>
              <w:t xml:space="preserve">   Communications (25)</w:t>
            </w:r>
          </w:p>
          <w:p w:rsidR="003C21E2" w:rsidRPr="0049460C" w:rsidP="004524DC" w14:paraId="7726A2C5" w14:textId="77777777">
            <w:pPr>
              <w:suppressAutoHyphens/>
              <w:rPr>
                <w:rFonts w:ascii="Arial Narrow" w:hAnsi="Arial Narrow"/>
                <w:sz w:val="17"/>
              </w:rPr>
            </w:pPr>
            <w:r w:rsidRPr="0049460C">
              <w:rPr>
                <w:rFonts w:ascii="Arial Narrow" w:hAnsi="Arial Narrow"/>
                <w:sz w:val="17"/>
              </w:rPr>
              <w:t>Fixed Microwave (101)</w:t>
            </w:r>
          </w:p>
        </w:tc>
      </w:tr>
      <w:tr w14:paraId="0F05D196" w14:textId="77777777" w:rsidTr="004524DC">
        <w:tblPrEx>
          <w:tblW w:w="5000" w:type="pct"/>
          <w:tblLayout w:type="fixed"/>
          <w:tblCellMar>
            <w:left w:w="58" w:type="dxa"/>
            <w:right w:w="0" w:type="dxa"/>
          </w:tblCellMar>
          <w:tblLook w:val="0000"/>
        </w:tblPrEx>
        <w:trPr>
          <w:trHeight w:val="65"/>
        </w:trPr>
        <w:tc>
          <w:tcPr>
            <w:tcW w:w="7547" w:type="dxa"/>
            <w:gridSpan w:val="3"/>
            <w:tcBorders>
              <w:left w:val="nil"/>
              <w:right w:val="double" w:sz="6" w:space="0" w:color="auto"/>
            </w:tcBorders>
            <w:noWrap/>
          </w:tcPr>
          <w:p w:rsidR="003C21E2" w:rsidRPr="0049460C" w:rsidP="004524DC" w14:paraId="3A46FA85" w14:textId="77777777">
            <w:pPr>
              <w:suppressAutoHyphens/>
              <w:ind w:left="-58"/>
              <w:rPr>
                <w:rFonts w:ascii="Arial Narrow" w:hAnsi="Arial Narrow"/>
                <w:sz w:val="17"/>
              </w:rPr>
            </w:pPr>
            <w:r w:rsidRPr="0049460C">
              <w:rPr>
                <w:rFonts w:ascii="Arial Narrow" w:hAnsi="Arial Narrow"/>
                <w:sz w:val="17"/>
              </w:rPr>
              <w:t>23.15-23.55</w:t>
            </w:r>
          </w:p>
          <w:p w:rsidR="003C21E2" w:rsidRPr="0049460C" w:rsidP="004524DC" w14:paraId="50058566" w14:textId="77777777">
            <w:pPr>
              <w:suppressAutoHyphens/>
              <w:ind w:left="-58"/>
              <w:rPr>
                <w:rFonts w:ascii="Arial Narrow" w:hAnsi="Arial Narrow"/>
                <w:sz w:val="17"/>
              </w:rPr>
            </w:pPr>
            <w:r w:rsidRPr="0049460C">
              <w:rPr>
                <w:rFonts w:ascii="Arial Narrow" w:hAnsi="Arial Narrow"/>
                <w:sz w:val="17"/>
              </w:rPr>
              <w:t>FIXED</w:t>
            </w:r>
          </w:p>
          <w:p w:rsidR="003C21E2" w:rsidRPr="0049460C" w:rsidP="004524DC" w14:paraId="7EDB8606" w14:textId="77777777">
            <w:pPr>
              <w:suppressAutoHyphens/>
              <w:ind w:left="-58"/>
              <w:rPr>
                <w:rFonts w:ascii="Arial Narrow" w:hAnsi="Arial Narrow"/>
                <w:sz w:val="17"/>
              </w:rPr>
            </w:pPr>
            <w:r w:rsidRPr="0049460C">
              <w:rPr>
                <w:rFonts w:ascii="Arial Narrow" w:hAnsi="Arial Narrow"/>
                <w:sz w:val="17"/>
              </w:rPr>
              <w:t>INTER-SATELLITE  5.338A</w:t>
            </w:r>
          </w:p>
          <w:p w:rsidR="003C21E2" w:rsidRPr="0049460C" w:rsidP="004524DC" w14:paraId="46B18A91" w14:textId="77777777">
            <w:pPr>
              <w:suppressAutoHyphens/>
              <w:spacing w:after="20"/>
              <w:ind w:left="-58"/>
              <w:rPr>
                <w:rFonts w:ascii="Arial Narrow" w:hAnsi="Arial Narrow"/>
                <w:sz w:val="17"/>
              </w:rPr>
            </w:pPr>
            <w:r w:rsidRPr="0049460C">
              <w:rPr>
                <w:rFonts w:ascii="Arial Narrow" w:hAnsi="Arial Narrow"/>
                <w:sz w:val="17"/>
              </w:rPr>
              <w:t>MOBILE</w:t>
            </w:r>
          </w:p>
        </w:tc>
        <w:tc>
          <w:tcPr>
            <w:tcW w:w="4521" w:type="dxa"/>
            <w:gridSpan w:val="2"/>
            <w:tcBorders>
              <w:left w:val="double" w:sz="6" w:space="0" w:color="auto"/>
              <w:right w:val="double" w:sz="6" w:space="0" w:color="auto"/>
            </w:tcBorders>
            <w:shd w:val="clear" w:color="auto" w:fill="auto"/>
            <w:noWrap/>
          </w:tcPr>
          <w:p w:rsidR="003C21E2" w:rsidRPr="0049460C" w:rsidP="004524DC" w14:paraId="241DB638" w14:textId="77777777">
            <w:pPr>
              <w:suppressAutoHyphens/>
              <w:rPr>
                <w:rFonts w:ascii="Arial Narrow" w:hAnsi="Arial Narrow"/>
                <w:sz w:val="17"/>
              </w:rPr>
            </w:pPr>
            <w:r w:rsidRPr="0049460C">
              <w:rPr>
                <w:rFonts w:ascii="Arial Narrow" w:hAnsi="Arial Narrow"/>
                <w:sz w:val="17"/>
              </w:rPr>
              <w:t>23.15-23.55</w:t>
            </w:r>
          </w:p>
          <w:p w:rsidR="003C21E2" w:rsidRPr="0049460C" w:rsidP="004524DC" w14:paraId="22E43825" w14:textId="77777777">
            <w:pPr>
              <w:suppressAutoHyphens/>
              <w:rPr>
                <w:rFonts w:ascii="Arial Narrow" w:hAnsi="Arial Narrow"/>
                <w:sz w:val="17"/>
              </w:rPr>
            </w:pPr>
            <w:r w:rsidRPr="0049460C">
              <w:rPr>
                <w:rFonts w:ascii="Arial Narrow" w:hAnsi="Arial Narrow"/>
                <w:sz w:val="17"/>
              </w:rPr>
              <w:t>FIXED</w:t>
            </w:r>
          </w:p>
          <w:p w:rsidR="003C21E2" w:rsidRPr="0049460C" w:rsidP="004524DC" w14:paraId="284AA6F4" w14:textId="77777777">
            <w:pPr>
              <w:suppressAutoHyphens/>
              <w:rPr>
                <w:rFonts w:ascii="Arial Narrow" w:hAnsi="Arial Narrow"/>
                <w:sz w:val="17"/>
              </w:rPr>
            </w:pPr>
            <w:r w:rsidRPr="0049460C">
              <w:rPr>
                <w:rFonts w:ascii="Arial Narrow" w:hAnsi="Arial Narrow"/>
                <w:sz w:val="17"/>
              </w:rPr>
              <w:t>INTER-SATELLITE  US145  US278</w:t>
            </w:r>
          </w:p>
          <w:p w:rsidR="003C21E2" w:rsidRPr="0049460C" w:rsidP="004524DC" w14:paraId="52F3AB5E" w14:textId="77777777">
            <w:pPr>
              <w:suppressAutoHyphens/>
              <w:rPr>
                <w:rFonts w:ascii="Arial Narrow" w:hAnsi="Arial Narrow"/>
                <w:sz w:val="17"/>
              </w:rPr>
            </w:pPr>
            <w:r w:rsidRPr="0049460C">
              <w:rPr>
                <w:rFonts w:ascii="Arial Narrow" w:hAnsi="Arial Narrow"/>
                <w:sz w:val="17"/>
              </w:rPr>
              <w:t>MOBILE</w:t>
            </w:r>
          </w:p>
        </w:tc>
        <w:tc>
          <w:tcPr>
            <w:tcW w:w="1602" w:type="dxa"/>
            <w:vMerge/>
            <w:tcBorders>
              <w:left w:val="double" w:sz="6" w:space="0" w:color="auto"/>
              <w:right w:val="nil"/>
            </w:tcBorders>
            <w:noWrap/>
            <w:vAlign w:val="bottom"/>
          </w:tcPr>
          <w:p w:rsidR="003C21E2" w:rsidRPr="0049460C" w:rsidP="004524DC" w14:paraId="69020EFC" w14:textId="77777777">
            <w:pPr>
              <w:suppressAutoHyphens/>
              <w:spacing w:after="10"/>
              <w:jc w:val="right"/>
              <w:rPr>
                <w:rFonts w:ascii="Arial Narrow" w:hAnsi="Arial Narrow"/>
                <w:sz w:val="17"/>
              </w:rPr>
            </w:pPr>
          </w:p>
        </w:tc>
      </w:tr>
      <w:tr w14:paraId="23ED979C" w14:textId="77777777" w:rsidTr="004524DC">
        <w:tblPrEx>
          <w:tblW w:w="5000" w:type="pct"/>
          <w:tblLayout w:type="fixed"/>
          <w:tblCellMar>
            <w:left w:w="58" w:type="dxa"/>
            <w:right w:w="0" w:type="dxa"/>
          </w:tblCellMar>
          <w:tblLook w:val="0000"/>
        </w:tblPrEx>
        <w:tc>
          <w:tcPr>
            <w:tcW w:w="7547" w:type="dxa"/>
            <w:gridSpan w:val="3"/>
            <w:tcBorders>
              <w:left w:val="nil"/>
              <w:right w:val="double" w:sz="6" w:space="0" w:color="auto"/>
            </w:tcBorders>
            <w:noWrap/>
          </w:tcPr>
          <w:p w:rsidR="003C21E2" w:rsidRPr="0049460C" w:rsidP="004524DC" w14:paraId="6D461A84" w14:textId="77777777">
            <w:pPr>
              <w:suppressAutoHyphens/>
              <w:ind w:left="-58"/>
              <w:rPr>
                <w:rFonts w:ascii="Arial Narrow" w:hAnsi="Arial Narrow"/>
                <w:sz w:val="17"/>
              </w:rPr>
            </w:pPr>
            <w:r w:rsidRPr="0049460C">
              <w:rPr>
                <w:rFonts w:ascii="Arial Narrow" w:hAnsi="Arial Narrow"/>
                <w:sz w:val="17"/>
              </w:rPr>
              <w:t>23.55-23.6</w:t>
            </w:r>
          </w:p>
          <w:p w:rsidR="003C21E2" w:rsidRPr="0049460C" w:rsidP="004524DC" w14:paraId="35742E8B" w14:textId="77777777">
            <w:pPr>
              <w:suppressAutoHyphens/>
              <w:ind w:left="-58"/>
              <w:rPr>
                <w:rFonts w:ascii="Arial Narrow" w:hAnsi="Arial Narrow"/>
                <w:sz w:val="17"/>
              </w:rPr>
            </w:pPr>
            <w:r w:rsidRPr="0049460C">
              <w:rPr>
                <w:rFonts w:ascii="Arial Narrow" w:hAnsi="Arial Narrow"/>
                <w:sz w:val="17"/>
              </w:rPr>
              <w:t>FIXED</w:t>
            </w:r>
          </w:p>
          <w:p w:rsidR="003C21E2" w:rsidRPr="0049460C" w:rsidP="004524DC" w14:paraId="452A5640" w14:textId="77777777">
            <w:pPr>
              <w:suppressAutoHyphens/>
              <w:spacing w:after="20"/>
              <w:ind w:left="-58"/>
              <w:rPr>
                <w:rFonts w:ascii="Arial Narrow" w:hAnsi="Arial Narrow"/>
                <w:sz w:val="17"/>
              </w:rPr>
            </w:pPr>
            <w:r w:rsidRPr="0049460C">
              <w:rPr>
                <w:rFonts w:ascii="Arial Narrow" w:hAnsi="Arial Narrow"/>
                <w:sz w:val="17"/>
              </w:rPr>
              <w:t>MOBILE</w:t>
            </w:r>
          </w:p>
        </w:tc>
        <w:tc>
          <w:tcPr>
            <w:tcW w:w="4521" w:type="dxa"/>
            <w:gridSpan w:val="2"/>
            <w:tcBorders>
              <w:left w:val="double" w:sz="6" w:space="0" w:color="auto"/>
              <w:right w:val="double" w:sz="6" w:space="0" w:color="auto"/>
            </w:tcBorders>
            <w:noWrap/>
          </w:tcPr>
          <w:p w:rsidR="003C21E2" w:rsidRPr="0049460C" w:rsidP="004524DC" w14:paraId="043BA13B" w14:textId="77777777">
            <w:pPr>
              <w:suppressAutoHyphens/>
              <w:rPr>
                <w:rFonts w:ascii="Arial Narrow" w:hAnsi="Arial Narrow"/>
                <w:sz w:val="17"/>
              </w:rPr>
            </w:pPr>
            <w:r w:rsidRPr="0049460C">
              <w:rPr>
                <w:rFonts w:ascii="Arial Narrow" w:hAnsi="Arial Narrow"/>
                <w:sz w:val="17"/>
              </w:rPr>
              <w:t>23.55-23.6</w:t>
            </w:r>
          </w:p>
          <w:p w:rsidR="003C21E2" w:rsidRPr="0049460C" w:rsidP="004524DC" w14:paraId="7EA50EF3" w14:textId="77777777">
            <w:pPr>
              <w:suppressAutoHyphens/>
              <w:rPr>
                <w:rFonts w:ascii="Arial Narrow" w:hAnsi="Arial Narrow"/>
                <w:sz w:val="17"/>
              </w:rPr>
            </w:pPr>
            <w:r w:rsidRPr="0049460C">
              <w:rPr>
                <w:rFonts w:ascii="Arial Narrow" w:hAnsi="Arial Narrow"/>
                <w:sz w:val="17"/>
              </w:rPr>
              <w:t>FIXED</w:t>
            </w:r>
          </w:p>
          <w:p w:rsidR="003C21E2" w:rsidRPr="0049460C" w:rsidP="004524DC" w14:paraId="1D3B7B2A" w14:textId="77777777">
            <w:pPr>
              <w:suppressAutoHyphens/>
              <w:rPr>
                <w:rFonts w:ascii="Arial Narrow" w:hAnsi="Arial Narrow"/>
                <w:sz w:val="17"/>
              </w:rPr>
            </w:pPr>
            <w:r w:rsidRPr="0049460C">
              <w:rPr>
                <w:rFonts w:ascii="Arial Narrow" w:hAnsi="Arial Narrow"/>
                <w:sz w:val="17"/>
              </w:rPr>
              <w:t>MOBILE</w:t>
            </w:r>
          </w:p>
        </w:tc>
        <w:tc>
          <w:tcPr>
            <w:tcW w:w="1602" w:type="dxa"/>
            <w:tcBorders>
              <w:left w:val="double" w:sz="6" w:space="0" w:color="auto"/>
              <w:right w:val="nil"/>
            </w:tcBorders>
            <w:noWrap/>
          </w:tcPr>
          <w:p w:rsidR="003C21E2" w:rsidRPr="0049460C" w:rsidP="004524DC" w14:paraId="0DF0A98A" w14:textId="77777777">
            <w:pPr>
              <w:suppressAutoHyphens/>
              <w:spacing w:line="192" w:lineRule="auto"/>
              <w:rPr>
                <w:rFonts w:ascii="Arial Narrow" w:hAnsi="Arial Narrow"/>
                <w:sz w:val="17"/>
              </w:rPr>
            </w:pPr>
          </w:p>
          <w:p w:rsidR="003C21E2" w:rsidRPr="0049460C" w:rsidP="004524DC" w14:paraId="64A4DE36" w14:textId="77777777">
            <w:pPr>
              <w:suppressAutoHyphens/>
              <w:rPr>
                <w:rFonts w:ascii="Arial Narrow" w:hAnsi="Arial Narrow"/>
                <w:sz w:val="17"/>
              </w:rPr>
            </w:pPr>
            <w:r w:rsidRPr="0049460C">
              <w:rPr>
                <w:rFonts w:ascii="Arial Narrow" w:hAnsi="Arial Narrow"/>
                <w:sz w:val="17"/>
              </w:rPr>
              <w:t>Fixed Microwave (101)</w:t>
            </w:r>
          </w:p>
        </w:tc>
      </w:tr>
      <w:tr w14:paraId="6E2897FF" w14:textId="77777777" w:rsidTr="004524DC">
        <w:tblPrEx>
          <w:tblW w:w="5000" w:type="pct"/>
          <w:tblLayout w:type="fixed"/>
          <w:tblCellMar>
            <w:left w:w="58" w:type="dxa"/>
            <w:right w:w="0" w:type="dxa"/>
          </w:tblCellMar>
          <w:tblLook w:val="0000"/>
        </w:tblPrEx>
        <w:tc>
          <w:tcPr>
            <w:tcW w:w="7547" w:type="dxa"/>
            <w:gridSpan w:val="3"/>
            <w:tcBorders>
              <w:left w:val="nil"/>
              <w:right w:val="double" w:sz="6" w:space="0" w:color="auto"/>
            </w:tcBorders>
            <w:noWrap/>
          </w:tcPr>
          <w:p w:rsidR="003C21E2" w:rsidRPr="0049460C" w:rsidP="004524DC" w14:paraId="6CDDF4EA" w14:textId="77777777">
            <w:pPr>
              <w:suppressAutoHyphens/>
              <w:ind w:left="-58"/>
              <w:rPr>
                <w:rFonts w:ascii="Arial Narrow" w:hAnsi="Arial Narrow"/>
                <w:sz w:val="17"/>
              </w:rPr>
            </w:pPr>
            <w:r w:rsidRPr="0049460C">
              <w:rPr>
                <w:rFonts w:ascii="Arial Narrow" w:hAnsi="Arial Narrow"/>
                <w:sz w:val="17"/>
              </w:rPr>
              <w:t>23.6-24</w:t>
            </w:r>
          </w:p>
          <w:p w:rsidR="003C21E2" w:rsidRPr="0049460C" w:rsidP="004524DC" w14:paraId="1A09AC85" w14:textId="77777777">
            <w:pPr>
              <w:suppressAutoHyphens/>
              <w:ind w:left="-58"/>
              <w:rPr>
                <w:rFonts w:ascii="Arial Narrow" w:hAnsi="Arial Narrow"/>
                <w:sz w:val="17"/>
              </w:rPr>
            </w:pPr>
            <w:r w:rsidRPr="0049460C">
              <w:rPr>
                <w:rFonts w:ascii="Arial Narrow" w:hAnsi="Arial Narrow"/>
                <w:sz w:val="17"/>
              </w:rPr>
              <w:t>EARTH EXPLORATION-SATELLITE (passive)</w:t>
            </w:r>
          </w:p>
          <w:p w:rsidR="003C21E2" w:rsidRPr="0049460C" w:rsidP="004524DC" w14:paraId="002C395F" w14:textId="77777777">
            <w:pPr>
              <w:suppressAutoHyphens/>
              <w:ind w:left="-58"/>
              <w:rPr>
                <w:rFonts w:ascii="Arial Narrow" w:hAnsi="Arial Narrow"/>
                <w:sz w:val="17"/>
              </w:rPr>
            </w:pPr>
            <w:r w:rsidRPr="0049460C">
              <w:rPr>
                <w:rFonts w:ascii="Arial Narrow" w:hAnsi="Arial Narrow"/>
                <w:sz w:val="17"/>
              </w:rPr>
              <w:t>RADIO ASTRONOMY</w:t>
            </w:r>
          </w:p>
          <w:p w:rsidR="003C21E2" w:rsidRPr="0049460C" w:rsidP="004524DC" w14:paraId="3BA196D4" w14:textId="77777777">
            <w:pPr>
              <w:suppressAutoHyphens/>
              <w:ind w:left="-58"/>
              <w:rPr>
                <w:rFonts w:ascii="Arial Narrow" w:hAnsi="Arial Narrow"/>
                <w:sz w:val="17"/>
              </w:rPr>
            </w:pPr>
            <w:r w:rsidRPr="0049460C">
              <w:rPr>
                <w:rFonts w:ascii="Arial Narrow" w:hAnsi="Arial Narrow"/>
                <w:sz w:val="17"/>
              </w:rPr>
              <w:t>SPACE RESEARCH (passive)</w:t>
            </w:r>
          </w:p>
          <w:p w:rsidR="003C21E2" w:rsidRPr="0049460C" w:rsidP="004524DC" w14:paraId="412408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rsidR="003C21E2" w:rsidRPr="0049460C" w:rsidP="004524DC" w14:paraId="1E54C192"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sidRPr="0049460C">
              <w:rPr>
                <w:rFonts w:ascii="Arial Narrow" w:hAnsi="Arial Narrow"/>
                <w:sz w:val="17"/>
              </w:rPr>
              <w:t>5.340</w:t>
            </w:r>
          </w:p>
        </w:tc>
        <w:tc>
          <w:tcPr>
            <w:tcW w:w="4521" w:type="dxa"/>
            <w:gridSpan w:val="2"/>
            <w:tcBorders>
              <w:left w:val="double" w:sz="6" w:space="0" w:color="auto"/>
              <w:right w:val="double" w:sz="6" w:space="0" w:color="auto"/>
            </w:tcBorders>
            <w:noWrap/>
          </w:tcPr>
          <w:p w:rsidR="003C21E2" w:rsidRPr="0049460C" w:rsidP="004524DC" w14:paraId="3492CD64" w14:textId="77777777">
            <w:pPr>
              <w:suppressAutoHyphens/>
              <w:rPr>
                <w:rFonts w:ascii="Arial Narrow" w:hAnsi="Arial Narrow"/>
                <w:sz w:val="17"/>
              </w:rPr>
            </w:pPr>
            <w:r w:rsidRPr="0049460C">
              <w:rPr>
                <w:rFonts w:ascii="Arial Narrow" w:hAnsi="Arial Narrow"/>
                <w:sz w:val="17"/>
              </w:rPr>
              <w:t>23.6-24</w:t>
            </w:r>
          </w:p>
          <w:p w:rsidR="003C21E2" w:rsidRPr="0049460C" w:rsidP="004524DC" w14:paraId="7EDE3683" w14:textId="77777777">
            <w:pPr>
              <w:suppressAutoHyphens/>
              <w:rPr>
                <w:rFonts w:ascii="Arial Narrow" w:hAnsi="Arial Narrow"/>
                <w:sz w:val="17"/>
              </w:rPr>
            </w:pPr>
            <w:r w:rsidRPr="0049460C">
              <w:rPr>
                <w:rFonts w:ascii="Arial Narrow" w:hAnsi="Arial Narrow"/>
                <w:sz w:val="17"/>
              </w:rPr>
              <w:t>EARTH EXPLORATION-SATELLITE (passive)</w:t>
            </w:r>
          </w:p>
          <w:p w:rsidR="003C21E2" w:rsidRPr="0049460C" w:rsidP="004524DC" w14:paraId="2DDE40D8" w14:textId="77777777">
            <w:pPr>
              <w:suppressAutoHyphens/>
              <w:rPr>
                <w:rFonts w:ascii="Arial Narrow" w:hAnsi="Arial Narrow"/>
                <w:sz w:val="17"/>
              </w:rPr>
            </w:pPr>
            <w:r w:rsidRPr="0049460C">
              <w:rPr>
                <w:rFonts w:ascii="Arial Narrow" w:hAnsi="Arial Narrow"/>
                <w:sz w:val="17"/>
              </w:rPr>
              <w:t>RADIO ASTRONOMY  US74</w:t>
            </w:r>
          </w:p>
          <w:p w:rsidR="003C21E2" w:rsidRPr="0049460C" w:rsidP="004524DC" w14:paraId="426A5EAF" w14:textId="77777777">
            <w:pPr>
              <w:suppressAutoHyphens/>
              <w:rPr>
                <w:rFonts w:ascii="Arial Narrow" w:hAnsi="Arial Narrow"/>
                <w:sz w:val="17"/>
              </w:rPr>
            </w:pPr>
            <w:r w:rsidRPr="0049460C">
              <w:rPr>
                <w:rFonts w:ascii="Arial Narrow" w:hAnsi="Arial Narrow"/>
                <w:sz w:val="17"/>
              </w:rPr>
              <w:t>SPACE RESEARCH (passive)</w:t>
            </w:r>
          </w:p>
          <w:p w:rsidR="003C21E2" w:rsidRPr="0049460C" w:rsidP="004524DC" w14:paraId="05BF2C9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3C21E2" w:rsidRPr="0049460C" w:rsidP="004524DC" w14:paraId="121EDF4C"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US246</w:t>
            </w:r>
          </w:p>
        </w:tc>
        <w:tc>
          <w:tcPr>
            <w:tcW w:w="1602" w:type="dxa"/>
            <w:tcBorders>
              <w:left w:val="double" w:sz="6" w:space="0" w:color="auto"/>
              <w:right w:val="nil"/>
            </w:tcBorders>
            <w:noWrap/>
          </w:tcPr>
          <w:p w:rsidR="003C21E2" w:rsidRPr="0049460C" w:rsidP="004524DC" w14:paraId="456927CC" w14:textId="77777777">
            <w:pPr>
              <w:suppressAutoHyphens/>
              <w:rPr>
                <w:rFonts w:ascii="Arial Narrow" w:hAnsi="Arial Narrow"/>
                <w:sz w:val="17"/>
              </w:rPr>
            </w:pPr>
          </w:p>
        </w:tc>
      </w:tr>
      <w:tr w14:paraId="314CEE97" w14:textId="77777777" w:rsidTr="004524DC">
        <w:tblPrEx>
          <w:tblW w:w="5000" w:type="pct"/>
          <w:tblLayout w:type="fixed"/>
          <w:tblCellMar>
            <w:left w:w="58" w:type="dxa"/>
            <w:right w:w="0" w:type="dxa"/>
          </w:tblCellMar>
          <w:tblLook w:val="0000"/>
        </w:tblPrEx>
        <w:tc>
          <w:tcPr>
            <w:tcW w:w="7547" w:type="dxa"/>
            <w:gridSpan w:val="3"/>
            <w:tcBorders>
              <w:left w:val="nil"/>
              <w:right w:val="double" w:sz="6" w:space="0" w:color="auto"/>
            </w:tcBorders>
            <w:noWrap/>
          </w:tcPr>
          <w:p w:rsidR="003C21E2" w:rsidRPr="0049460C" w:rsidP="004524DC" w14:paraId="265BF824" w14:textId="77777777">
            <w:pPr>
              <w:suppressAutoHyphens/>
              <w:ind w:left="-54"/>
              <w:rPr>
                <w:rFonts w:ascii="Arial Narrow" w:hAnsi="Arial Narrow"/>
                <w:sz w:val="17"/>
              </w:rPr>
            </w:pPr>
            <w:r w:rsidRPr="0049460C">
              <w:rPr>
                <w:rFonts w:ascii="Arial Narrow" w:hAnsi="Arial Narrow"/>
                <w:sz w:val="17"/>
              </w:rPr>
              <w:t>24-24.05</w:t>
            </w:r>
          </w:p>
          <w:p w:rsidR="003C21E2" w:rsidRPr="0049460C" w:rsidP="004524DC" w14:paraId="314B4323" w14:textId="77777777">
            <w:pPr>
              <w:suppressAutoHyphens/>
              <w:ind w:left="-54"/>
              <w:rPr>
                <w:rFonts w:ascii="Arial Narrow" w:hAnsi="Arial Narrow"/>
                <w:sz w:val="17"/>
              </w:rPr>
            </w:pPr>
            <w:r w:rsidRPr="0049460C">
              <w:rPr>
                <w:rFonts w:ascii="Arial Narrow" w:hAnsi="Arial Narrow"/>
                <w:sz w:val="17"/>
              </w:rPr>
              <w:t>AMATEUR</w:t>
            </w:r>
          </w:p>
          <w:p w:rsidR="003C21E2" w:rsidRPr="0049460C" w:rsidP="004524DC" w14:paraId="2F5B6930" w14:textId="77777777">
            <w:pPr>
              <w:suppressAutoHyphens/>
              <w:ind w:left="-54"/>
              <w:rPr>
                <w:rFonts w:ascii="Arial Narrow" w:hAnsi="Arial Narrow"/>
                <w:sz w:val="17"/>
              </w:rPr>
            </w:pPr>
            <w:r w:rsidRPr="0049460C">
              <w:rPr>
                <w:rFonts w:ascii="Arial Narrow" w:hAnsi="Arial Narrow"/>
                <w:sz w:val="17"/>
              </w:rPr>
              <w:t>AMATEUR-SATELLITE</w:t>
            </w:r>
          </w:p>
          <w:p w:rsidR="003C21E2" w:rsidRPr="0049460C" w:rsidP="004524DC" w14:paraId="60DF174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ind w:left="-58"/>
              <w:rPr>
                <w:rFonts w:ascii="Arial Narrow" w:hAnsi="Arial Narrow"/>
                <w:sz w:val="17"/>
              </w:rPr>
            </w:pPr>
          </w:p>
          <w:p w:rsidR="003C21E2" w:rsidRPr="0049460C" w:rsidP="004524DC" w14:paraId="698BD0A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5.150</w:t>
            </w:r>
          </w:p>
        </w:tc>
        <w:tc>
          <w:tcPr>
            <w:tcW w:w="2179" w:type="dxa"/>
            <w:tcBorders>
              <w:left w:val="double" w:sz="6" w:space="0" w:color="auto"/>
            </w:tcBorders>
            <w:noWrap/>
          </w:tcPr>
          <w:p w:rsidR="003C21E2" w:rsidRPr="0049460C" w:rsidP="004524DC" w14:paraId="33D0B824" w14:textId="77777777">
            <w:pPr>
              <w:suppressAutoHyphens/>
              <w:rPr>
                <w:rFonts w:ascii="Arial Narrow" w:hAnsi="Arial Narrow"/>
                <w:sz w:val="17"/>
              </w:rPr>
            </w:pPr>
            <w:r w:rsidRPr="0049460C">
              <w:rPr>
                <w:rFonts w:ascii="Arial Narrow" w:hAnsi="Arial Narrow"/>
                <w:sz w:val="17"/>
              </w:rPr>
              <w:t>24-24.05</w:t>
            </w:r>
          </w:p>
          <w:p w:rsidR="003C21E2" w:rsidRPr="0049460C" w:rsidP="004524DC" w14:paraId="69350143" w14:textId="77777777">
            <w:pPr>
              <w:suppressAutoHyphens/>
              <w:rPr>
                <w:rFonts w:ascii="Arial Narrow" w:hAnsi="Arial Narrow"/>
                <w:sz w:val="17"/>
              </w:rPr>
            </w:pPr>
          </w:p>
          <w:p w:rsidR="003C21E2" w:rsidRPr="0049460C" w:rsidP="004524DC" w14:paraId="317E4C6B" w14:textId="77777777">
            <w:pPr>
              <w:suppressAutoHyphens/>
              <w:rPr>
                <w:rFonts w:ascii="Arial Narrow" w:hAnsi="Arial Narrow"/>
                <w:sz w:val="17"/>
              </w:rPr>
            </w:pPr>
          </w:p>
          <w:p w:rsidR="003C21E2" w:rsidRPr="0049460C" w:rsidP="004524DC" w14:paraId="55467FF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3C21E2" w:rsidRPr="0049460C" w:rsidP="004524DC" w14:paraId="0CA8BB98"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5.150  US211</w:t>
            </w:r>
          </w:p>
        </w:tc>
        <w:tc>
          <w:tcPr>
            <w:tcW w:w="2342" w:type="dxa"/>
            <w:tcBorders>
              <w:right w:val="double" w:sz="6" w:space="0" w:color="auto"/>
            </w:tcBorders>
            <w:noWrap/>
          </w:tcPr>
          <w:p w:rsidR="003C21E2" w:rsidRPr="0049460C" w:rsidP="004524DC" w14:paraId="40316FEA" w14:textId="77777777">
            <w:pPr>
              <w:suppressAutoHyphens/>
              <w:rPr>
                <w:rFonts w:ascii="Arial Narrow" w:hAnsi="Arial Narrow"/>
                <w:sz w:val="17"/>
              </w:rPr>
            </w:pPr>
            <w:r w:rsidRPr="0049460C">
              <w:rPr>
                <w:rFonts w:ascii="Arial Narrow" w:hAnsi="Arial Narrow"/>
                <w:sz w:val="17"/>
              </w:rPr>
              <w:t>24-24.05</w:t>
            </w:r>
          </w:p>
          <w:p w:rsidR="003C21E2" w:rsidRPr="0049460C" w:rsidP="004524DC" w14:paraId="439F389A" w14:textId="77777777">
            <w:pPr>
              <w:suppressAutoHyphens/>
              <w:rPr>
                <w:rFonts w:ascii="Arial Narrow" w:hAnsi="Arial Narrow"/>
                <w:sz w:val="17"/>
              </w:rPr>
            </w:pPr>
            <w:r w:rsidRPr="0049460C">
              <w:rPr>
                <w:rFonts w:ascii="Arial Narrow" w:hAnsi="Arial Narrow"/>
                <w:sz w:val="17"/>
              </w:rPr>
              <w:t>AMATEUR</w:t>
            </w:r>
          </w:p>
          <w:p w:rsidR="003C21E2" w:rsidRPr="0049460C" w:rsidP="004524DC" w14:paraId="4E4B488E" w14:textId="77777777">
            <w:pPr>
              <w:suppressAutoHyphens/>
              <w:rPr>
                <w:rFonts w:ascii="Arial Narrow" w:hAnsi="Arial Narrow"/>
                <w:sz w:val="17"/>
              </w:rPr>
            </w:pPr>
            <w:r w:rsidRPr="0049460C">
              <w:rPr>
                <w:rFonts w:ascii="Arial Narrow" w:hAnsi="Arial Narrow"/>
                <w:sz w:val="17"/>
              </w:rPr>
              <w:t>AMATEUR-SATELLITE</w:t>
            </w:r>
          </w:p>
          <w:p w:rsidR="003C21E2" w:rsidRPr="0049460C" w:rsidP="004524DC" w14:paraId="392B5CE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3C21E2" w:rsidRPr="0049460C" w:rsidP="004524DC" w14:paraId="4F980AA5"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5.150  US211</w:t>
            </w:r>
          </w:p>
        </w:tc>
        <w:tc>
          <w:tcPr>
            <w:tcW w:w="1602" w:type="dxa"/>
            <w:tcBorders>
              <w:left w:val="double" w:sz="6" w:space="0" w:color="auto"/>
              <w:right w:val="nil"/>
            </w:tcBorders>
            <w:noWrap/>
          </w:tcPr>
          <w:p w:rsidR="003C21E2" w:rsidRPr="0049460C" w:rsidP="004524DC" w14:paraId="16DD3808" w14:textId="77777777">
            <w:pPr>
              <w:suppressAutoHyphens/>
              <w:rPr>
                <w:rFonts w:ascii="Arial Narrow" w:hAnsi="Arial Narrow"/>
                <w:sz w:val="17"/>
              </w:rPr>
            </w:pPr>
          </w:p>
          <w:p w:rsidR="003C21E2" w:rsidRPr="0049460C" w:rsidP="004524DC" w14:paraId="3FBB4773" w14:textId="77777777">
            <w:pPr>
              <w:suppressAutoHyphens/>
              <w:rPr>
                <w:rFonts w:ascii="Arial Narrow" w:hAnsi="Arial Narrow"/>
                <w:sz w:val="17"/>
              </w:rPr>
            </w:pPr>
            <w:r w:rsidRPr="0049460C">
              <w:rPr>
                <w:rFonts w:ascii="Arial Narrow" w:hAnsi="Arial Narrow"/>
                <w:sz w:val="17"/>
              </w:rPr>
              <w:t>ISM Equipment (18)</w:t>
            </w:r>
          </w:p>
          <w:p w:rsidR="003C21E2" w:rsidRPr="0049460C" w:rsidP="004524DC" w14:paraId="0EB0D7A1" w14:textId="77777777">
            <w:pPr>
              <w:suppressAutoHyphens/>
              <w:rPr>
                <w:rFonts w:ascii="Arial Narrow" w:hAnsi="Arial Narrow"/>
                <w:sz w:val="17"/>
              </w:rPr>
            </w:pPr>
            <w:r w:rsidRPr="0049460C">
              <w:rPr>
                <w:rFonts w:ascii="Arial Narrow" w:hAnsi="Arial Narrow"/>
                <w:sz w:val="17"/>
              </w:rPr>
              <w:t>Amateur Radio (97)</w:t>
            </w:r>
          </w:p>
        </w:tc>
      </w:tr>
      <w:tr w14:paraId="699195E2" w14:textId="77777777" w:rsidTr="004524DC">
        <w:tblPrEx>
          <w:tblW w:w="5000" w:type="pct"/>
          <w:tblLayout w:type="fixed"/>
          <w:tblCellMar>
            <w:left w:w="58" w:type="dxa"/>
            <w:right w:w="0" w:type="dxa"/>
          </w:tblCellMar>
          <w:tblLook w:val="0000"/>
        </w:tblPrEx>
        <w:trPr>
          <w:trHeight w:val="687"/>
        </w:trPr>
        <w:tc>
          <w:tcPr>
            <w:tcW w:w="7547" w:type="dxa"/>
            <w:gridSpan w:val="3"/>
            <w:tcBorders>
              <w:left w:val="nil"/>
              <w:right w:val="double" w:sz="6" w:space="0" w:color="auto"/>
            </w:tcBorders>
            <w:noWrap/>
          </w:tcPr>
          <w:p w:rsidR="003C21E2" w:rsidRPr="0049460C" w:rsidP="004524DC" w14:paraId="6F69EC0C" w14:textId="77777777">
            <w:pPr>
              <w:suppressAutoHyphens/>
              <w:ind w:left="-54"/>
              <w:rPr>
                <w:rFonts w:ascii="Arial Narrow" w:hAnsi="Arial Narrow"/>
                <w:sz w:val="17"/>
              </w:rPr>
            </w:pPr>
            <w:r w:rsidRPr="0049460C">
              <w:rPr>
                <w:rFonts w:ascii="Arial Narrow" w:hAnsi="Arial Narrow"/>
                <w:sz w:val="17"/>
              </w:rPr>
              <w:t>24.05-24.25</w:t>
            </w:r>
          </w:p>
          <w:p w:rsidR="003C21E2" w:rsidRPr="0049460C" w:rsidP="004524DC" w14:paraId="4D91765B" w14:textId="77777777">
            <w:pPr>
              <w:suppressAutoHyphens/>
              <w:ind w:left="-54"/>
              <w:rPr>
                <w:rFonts w:ascii="Arial Narrow" w:hAnsi="Arial Narrow"/>
                <w:sz w:val="17"/>
              </w:rPr>
            </w:pPr>
            <w:r w:rsidRPr="0049460C">
              <w:rPr>
                <w:rFonts w:ascii="Arial Narrow" w:hAnsi="Arial Narrow"/>
                <w:sz w:val="17"/>
              </w:rPr>
              <w:t>RADIOLOCATION</w:t>
            </w:r>
          </w:p>
          <w:p w:rsidR="003C21E2" w:rsidRPr="0049460C" w:rsidP="004524DC" w14:paraId="60764D69" w14:textId="77777777">
            <w:pPr>
              <w:suppressAutoHyphens/>
              <w:ind w:left="-54"/>
              <w:rPr>
                <w:rFonts w:ascii="Arial Narrow" w:hAnsi="Arial Narrow"/>
                <w:sz w:val="17"/>
              </w:rPr>
            </w:pPr>
            <w:r w:rsidRPr="0049460C">
              <w:rPr>
                <w:rFonts w:ascii="Arial Narrow" w:hAnsi="Arial Narrow"/>
                <w:sz w:val="17"/>
              </w:rPr>
              <w:t>Amateur</w:t>
            </w:r>
          </w:p>
          <w:p w:rsidR="003C21E2" w:rsidRPr="0049460C" w:rsidP="004524DC" w14:paraId="35849282" w14:textId="77777777">
            <w:pPr>
              <w:suppressAutoHyphens/>
              <w:ind w:left="-54"/>
              <w:rPr>
                <w:rFonts w:ascii="Arial Narrow" w:hAnsi="Arial Narrow"/>
                <w:sz w:val="17"/>
              </w:rPr>
            </w:pPr>
            <w:r w:rsidRPr="0049460C">
              <w:rPr>
                <w:rFonts w:ascii="Arial Narrow" w:hAnsi="Arial Narrow"/>
                <w:sz w:val="17"/>
              </w:rPr>
              <w:t>Earth exploration-satellite (active)</w:t>
            </w:r>
          </w:p>
          <w:p w:rsidR="003C21E2" w:rsidRPr="0049460C" w:rsidP="004524DC" w14:paraId="39F5452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ind w:left="-54"/>
              <w:rPr>
                <w:rFonts w:ascii="Arial Narrow" w:hAnsi="Arial Narrow"/>
                <w:sz w:val="17"/>
              </w:rPr>
            </w:pPr>
          </w:p>
          <w:p w:rsidR="003C21E2" w:rsidRPr="0049460C" w:rsidP="004524DC" w14:paraId="116A4D9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49460C">
              <w:rPr>
                <w:rFonts w:ascii="Arial Narrow" w:hAnsi="Arial Narrow"/>
                <w:sz w:val="17"/>
              </w:rPr>
              <w:t>5.150</w:t>
            </w:r>
          </w:p>
        </w:tc>
        <w:tc>
          <w:tcPr>
            <w:tcW w:w="2179" w:type="dxa"/>
            <w:tcBorders>
              <w:left w:val="double" w:sz="6" w:space="0" w:color="auto"/>
            </w:tcBorders>
            <w:noWrap/>
          </w:tcPr>
          <w:p w:rsidR="003C21E2" w:rsidRPr="0049460C" w:rsidP="004524DC" w14:paraId="362FA00E" w14:textId="77777777">
            <w:pPr>
              <w:suppressAutoHyphens/>
              <w:rPr>
                <w:rFonts w:ascii="Arial Narrow" w:hAnsi="Arial Narrow"/>
                <w:sz w:val="17"/>
              </w:rPr>
            </w:pPr>
            <w:r w:rsidRPr="0049460C">
              <w:rPr>
                <w:rFonts w:ascii="Arial Narrow" w:hAnsi="Arial Narrow"/>
                <w:sz w:val="17"/>
              </w:rPr>
              <w:t>24.05-24.25</w:t>
            </w:r>
          </w:p>
          <w:p w:rsidR="003C21E2" w:rsidRPr="0049460C" w:rsidP="004524DC" w14:paraId="5C1BF8C6" w14:textId="77777777">
            <w:pPr>
              <w:suppressAutoHyphens/>
              <w:rPr>
                <w:rFonts w:ascii="Arial Narrow" w:hAnsi="Arial Narrow"/>
                <w:sz w:val="17"/>
              </w:rPr>
            </w:pPr>
            <w:r w:rsidRPr="0049460C">
              <w:rPr>
                <w:rFonts w:ascii="Arial Narrow" w:hAnsi="Arial Narrow"/>
                <w:sz w:val="17"/>
              </w:rPr>
              <w:t>RADIOLOCATION G59</w:t>
            </w:r>
          </w:p>
          <w:p w:rsidR="003C21E2" w:rsidRPr="0049460C" w:rsidP="004524DC" w14:paraId="3823ACE8" w14:textId="77777777">
            <w:pPr>
              <w:suppressAutoHyphens/>
              <w:rPr>
                <w:rFonts w:ascii="Arial Narrow" w:hAnsi="Arial Narrow"/>
                <w:sz w:val="17"/>
              </w:rPr>
            </w:pPr>
            <w:r w:rsidRPr="0049460C">
              <w:rPr>
                <w:rFonts w:ascii="Arial Narrow" w:hAnsi="Arial Narrow"/>
                <w:sz w:val="17"/>
              </w:rPr>
              <w:t>Earth exploration-satellite (active)</w:t>
            </w:r>
          </w:p>
          <w:p w:rsidR="003C21E2" w:rsidRPr="0049460C" w:rsidP="004524DC" w14:paraId="4BAD061D" w14:textId="77777777">
            <w:pPr>
              <w:suppressAutoHyphens/>
              <w:rPr>
                <w:rFonts w:ascii="Arial Narrow" w:hAnsi="Arial Narrow"/>
                <w:sz w:val="17"/>
              </w:rPr>
            </w:pPr>
          </w:p>
          <w:p w:rsidR="003C21E2" w:rsidRPr="0049460C" w:rsidP="004524DC" w14:paraId="47D06B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3C21E2" w:rsidRPr="0049460C" w:rsidP="004524DC" w14:paraId="21B78169"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sz w:val="17"/>
              </w:rPr>
            </w:pPr>
            <w:r w:rsidRPr="0049460C">
              <w:rPr>
                <w:rFonts w:ascii="Arial Narrow" w:hAnsi="Arial Narrow"/>
                <w:sz w:val="17"/>
              </w:rPr>
              <w:t>5.150</w:t>
            </w:r>
          </w:p>
        </w:tc>
        <w:tc>
          <w:tcPr>
            <w:tcW w:w="2342" w:type="dxa"/>
            <w:tcBorders>
              <w:right w:val="double" w:sz="6" w:space="0" w:color="auto"/>
            </w:tcBorders>
            <w:noWrap/>
          </w:tcPr>
          <w:p w:rsidR="003C21E2" w:rsidRPr="0049460C" w:rsidP="004524DC" w14:paraId="17EC5012" w14:textId="77777777">
            <w:pPr>
              <w:suppressAutoHyphens/>
              <w:rPr>
                <w:rFonts w:ascii="Arial Narrow" w:hAnsi="Arial Narrow"/>
                <w:sz w:val="17"/>
              </w:rPr>
            </w:pPr>
            <w:r w:rsidRPr="0049460C">
              <w:rPr>
                <w:rFonts w:ascii="Arial Narrow" w:hAnsi="Arial Narrow"/>
                <w:sz w:val="17"/>
              </w:rPr>
              <w:t>24.05-24.25</w:t>
            </w:r>
          </w:p>
          <w:p w:rsidR="003C21E2" w:rsidRPr="0049460C" w:rsidP="004524DC" w14:paraId="5FC87B7C" w14:textId="77777777">
            <w:pPr>
              <w:suppressAutoHyphens/>
              <w:rPr>
                <w:rFonts w:ascii="Arial Narrow" w:hAnsi="Arial Narrow"/>
                <w:sz w:val="17"/>
              </w:rPr>
            </w:pPr>
            <w:r w:rsidRPr="0049460C">
              <w:rPr>
                <w:rFonts w:ascii="Arial Narrow" w:hAnsi="Arial Narrow"/>
                <w:sz w:val="17"/>
              </w:rPr>
              <w:t>Amateur</w:t>
            </w:r>
          </w:p>
          <w:p w:rsidR="003C21E2" w:rsidRPr="0049460C" w:rsidP="004524DC" w14:paraId="29361FB0" w14:textId="77777777">
            <w:pPr>
              <w:suppressAutoHyphens/>
              <w:rPr>
                <w:rFonts w:ascii="Arial Narrow" w:hAnsi="Arial Narrow"/>
                <w:sz w:val="17"/>
              </w:rPr>
            </w:pPr>
            <w:r w:rsidRPr="0049460C">
              <w:rPr>
                <w:rFonts w:ascii="Arial Narrow" w:hAnsi="Arial Narrow"/>
                <w:sz w:val="17"/>
              </w:rPr>
              <w:t>Earth exploration-satellite (active)</w:t>
            </w:r>
          </w:p>
          <w:p w:rsidR="003C21E2" w:rsidRPr="0049460C" w:rsidP="004524DC" w14:paraId="1C6A5C09" w14:textId="77777777">
            <w:pPr>
              <w:suppressAutoHyphens/>
              <w:rPr>
                <w:rFonts w:ascii="Arial Narrow" w:hAnsi="Arial Narrow"/>
                <w:sz w:val="17"/>
              </w:rPr>
            </w:pPr>
            <w:r w:rsidRPr="0049460C">
              <w:rPr>
                <w:rFonts w:ascii="Arial Narrow" w:hAnsi="Arial Narrow"/>
                <w:sz w:val="17"/>
              </w:rPr>
              <w:t>Radiolocation</w:t>
            </w:r>
          </w:p>
          <w:p w:rsidR="003C21E2" w:rsidRPr="0049460C" w:rsidP="004524DC" w14:paraId="375988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44" w:lineRule="auto"/>
              <w:rPr>
                <w:rFonts w:ascii="Arial Narrow" w:hAnsi="Arial Narrow"/>
                <w:sz w:val="17"/>
              </w:rPr>
            </w:pPr>
          </w:p>
          <w:p w:rsidR="003C21E2" w:rsidRPr="0049460C" w:rsidP="004524DC" w14:paraId="00D5ADE8" w14:textId="77777777">
            <w:pPr>
              <w:suppressAutoHyphens/>
              <w:spacing w:line="204" w:lineRule="auto"/>
              <w:rPr>
                <w:rFonts w:ascii="Arial Narrow" w:hAnsi="Arial Narrow"/>
                <w:sz w:val="17"/>
              </w:rPr>
            </w:pPr>
            <w:r w:rsidRPr="0049460C">
              <w:rPr>
                <w:rFonts w:ascii="Arial Narrow" w:hAnsi="Arial Narrow"/>
                <w:sz w:val="17"/>
              </w:rPr>
              <w:t>5.150</w:t>
            </w:r>
          </w:p>
        </w:tc>
        <w:tc>
          <w:tcPr>
            <w:tcW w:w="1602" w:type="dxa"/>
            <w:tcBorders>
              <w:left w:val="double" w:sz="6" w:space="0" w:color="auto"/>
              <w:right w:val="nil"/>
            </w:tcBorders>
            <w:noWrap/>
          </w:tcPr>
          <w:p w:rsidR="003C21E2" w:rsidRPr="0049460C" w:rsidP="004524DC" w14:paraId="207D3AE1" w14:textId="77777777">
            <w:pPr>
              <w:suppressAutoHyphens/>
              <w:rPr>
                <w:rFonts w:ascii="Arial Narrow" w:hAnsi="Arial Narrow"/>
                <w:sz w:val="17"/>
              </w:rPr>
            </w:pPr>
          </w:p>
          <w:p w:rsidR="003C21E2" w:rsidRPr="0049460C" w:rsidP="004524DC" w14:paraId="7F4899E9" w14:textId="77777777">
            <w:pPr>
              <w:suppressAutoHyphens/>
              <w:rPr>
                <w:rFonts w:ascii="Arial Narrow" w:hAnsi="Arial Narrow"/>
                <w:sz w:val="17"/>
              </w:rPr>
            </w:pPr>
            <w:r w:rsidRPr="0049460C">
              <w:rPr>
                <w:rFonts w:ascii="Arial Narrow" w:hAnsi="Arial Narrow"/>
                <w:sz w:val="17"/>
              </w:rPr>
              <w:t>RF Devices (15)</w:t>
            </w:r>
          </w:p>
          <w:p w:rsidR="003C21E2" w:rsidRPr="0049460C" w:rsidP="004524DC" w14:paraId="1F4572A0" w14:textId="77777777">
            <w:pPr>
              <w:suppressAutoHyphens/>
              <w:rPr>
                <w:rFonts w:ascii="Arial Narrow" w:hAnsi="Arial Narrow"/>
                <w:sz w:val="17"/>
              </w:rPr>
            </w:pPr>
            <w:r w:rsidRPr="0049460C">
              <w:rPr>
                <w:rFonts w:ascii="Arial Narrow" w:hAnsi="Arial Narrow"/>
                <w:sz w:val="17"/>
              </w:rPr>
              <w:t>ISM Equipment (18)</w:t>
            </w:r>
          </w:p>
          <w:p w:rsidR="003C21E2" w:rsidRPr="0049460C" w:rsidP="004524DC" w14:paraId="464B2071" w14:textId="77777777">
            <w:pPr>
              <w:suppressAutoHyphens/>
              <w:rPr>
                <w:rFonts w:ascii="Arial Narrow" w:hAnsi="Arial Narrow"/>
                <w:sz w:val="17"/>
              </w:rPr>
            </w:pPr>
            <w:r w:rsidRPr="0049460C">
              <w:rPr>
                <w:rFonts w:ascii="Arial Narrow" w:hAnsi="Arial Narrow"/>
                <w:sz w:val="17"/>
              </w:rPr>
              <w:t>Private Land Mobile (90)</w:t>
            </w:r>
          </w:p>
          <w:p w:rsidR="003C21E2" w:rsidRPr="0049460C" w:rsidP="004524DC" w14:paraId="4B28715B" w14:textId="77777777">
            <w:pPr>
              <w:suppressAutoHyphens/>
              <w:rPr>
                <w:rFonts w:ascii="Arial Narrow" w:hAnsi="Arial Narrow"/>
                <w:sz w:val="17"/>
              </w:rPr>
            </w:pPr>
            <w:r w:rsidRPr="0049460C">
              <w:rPr>
                <w:rFonts w:ascii="Arial Narrow" w:hAnsi="Arial Narrow"/>
                <w:sz w:val="17"/>
              </w:rPr>
              <w:t>Amateur Radio (97)</w:t>
            </w:r>
          </w:p>
        </w:tc>
      </w:tr>
      <w:tr w14:paraId="5EB0D3D1" w14:textId="77777777" w:rsidTr="004524DC">
        <w:tblPrEx>
          <w:tblW w:w="5000" w:type="pct"/>
          <w:tblLayout w:type="fixed"/>
          <w:tblCellMar>
            <w:left w:w="58" w:type="dxa"/>
            <w:right w:w="0" w:type="dxa"/>
          </w:tblCellMar>
          <w:tblLook w:val="0000"/>
        </w:tblPrEx>
        <w:tc>
          <w:tcPr>
            <w:tcW w:w="2279" w:type="dxa"/>
            <w:tcBorders>
              <w:left w:val="nil"/>
            </w:tcBorders>
            <w:noWrap/>
          </w:tcPr>
          <w:p w:rsidR="003C21E2" w:rsidRPr="0049460C" w:rsidP="004524DC" w14:paraId="112FF98A" w14:textId="77777777">
            <w:pPr>
              <w:suppressAutoHyphens/>
              <w:ind w:left="-54"/>
              <w:rPr>
                <w:rFonts w:ascii="Arial Narrow" w:hAnsi="Arial Narrow"/>
                <w:sz w:val="17"/>
              </w:rPr>
            </w:pPr>
            <w:r w:rsidRPr="0049460C">
              <w:rPr>
                <w:rFonts w:ascii="Arial Narrow" w:hAnsi="Arial Narrow"/>
                <w:sz w:val="17"/>
              </w:rPr>
              <w:t>24.25-24.45</w:t>
            </w:r>
          </w:p>
          <w:p w:rsidR="003C21E2" w:rsidP="004524DC" w14:paraId="55ECD36F" w14:textId="77777777">
            <w:pPr>
              <w:suppressAutoHyphens/>
              <w:ind w:left="-54"/>
              <w:rPr>
                <w:rFonts w:ascii="Arial Narrow" w:hAnsi="Arial Narrow"/>
                <w:sz w:val="17"/>
              </w:rPr>
            </w:pPr>
            <w:r w:rsidRPr="0049460C">
              <w:rPr>
                <w:rFonts w:ascii="Arial Narrow" w:hAnsi="Arial Narrow"/>
                <w:sz w:val="17"/>
              </w:rPr>
              <w:t>FIXED</w:t>
            </w:r>
          </w:p>
          <w:p w:rsidR="0077718C" w:rsidRPr="002C1CD4" w:rsidP="0077718C" w14:paraId="79781D51" w14:textId="77777777">
            <w:pPr>
              <w:suppressAutoHyphens/>
              <w:ind w:left="-58"/>
              <w:rPr>
                <w:rFonts w:ascii="Arial Narrow" w:hAnsi="Arial Narrow"/>
                <w:kern w:val="0"/>
                <w:sz w:val="17"/>
                <w:szCs w:val="17"/>
              </w:rPr>
            </w:pPr>
            <w:r w:rsidRPr="002C1CD4">
              <w:rPr>
                <w:rFonts w:ascii="Arial Narrow" w:hAnsi="Arial Narrow"/>
                <w:kern w:val="0"/>
                <w:sz w:val="17"/>
                <w:szCs w:val="17"/>
              </w:rPr>
              <w:t>MOBILE except aeronautical</w:t>
            </w:r>
          </w:p>
          <w:p w:rsidR="0077718C" w:rsidRPr="0049460C" w:rsidP="0077718C" w14:paraId="7884CEF6" w14:textId="10099E05">
            <w:pPr>
              <w:suppressAutoHyphens/>
              <w:ind w:left="-54"/>
              <w:rPr>
                <w:rFonts w:ascii="Arial Narrow" w:hAnsi="Arial Narrow"/>
                <w:sz w:val="17"/>
              </w:rPr>
            </w:pPr>
            <w:r w:rsidRPr="002C1CD4">
              <w:rPr>
                <w:rFonts w:ascii="Arial Narrow" w:hAnsi="Arial Narrow"/>
                <w:kern w:val="0"/>
                <w:sz w:val="17"/>
                <w:szCs w:val="17"/>
              </w:rPr>
              <w:t xml:space="preserve">   mobile  5.338A  5.532AB</w:t>
            </w:r>
          </w:p>
        </w:tc>
        <w:tc>
          <w:tcPr>
            <w:tcW w:w="2346" w:type="dxa"/>
            <w:noWrap/>
          </w:tcPr>
          <w:p w:rsidR="003C21E2" w:rsidP="004524DC" w14:paraId="1A04BD8A" w14:textId="77777777">
            <w:pPr>
              <w:suppressAutoHyphens/>
              <w:rPr>
                <w:rFonts w:ascii="Arial Narrow" w:hAnsi="Arial Narrow"/>
                <w:sz w:val="17"/>
              </w:rPr>
            </w:pPr>
            <w:r w:rsidRPr="0049460C">
              <w:rPr>
                <w:rFonts w:ascii="Arial Narrow" w:hAnsi="Arial Narrow"/>
                <w:sz w:val="17"/>
              </w:rPr>
              <w:t>24.25-24.45</w:t>
            </w:r>
          </w:p>
          <w:p w:rsidR="0077718C" w:rsidRPr="002C1CD4" w:rsidP="0077718C" w14:paraId="3066FF2E" w14:textId="77777777">
            <w:pPr>
              <w:suppressAutoHyphens/>
              <w:rPr>
                <w:rFonts w:ascii="Arial Narrow" w:hAnsi="Arial Narrow"/>
                <w:kern w:val="0"/>
                <w:sz w:val="17"/>
                <w:szCs w:val="17"/>
              </w:rPr>
            </w:pPr>
            <w:r w:rsidRPr="002C1CD4">
              <w:rPr>
                <w:rFonts w:ascii="Arial Narrow" w:hAnsi="Arial Narrow"/>
                <w:kern w:val="0"/>
                <w:sz w:val="17"/>
                <w:szCs w:val="17"/>
              </w:rPr>
              <w:t>FIXED  5.532AA</w:t>
            </w:r>
          </w:p>
          <w:p w:rsidR="0077718C" w:rsidRPr="002C1CD4" w:rsidP="0077718C" w14:paraId="53C6DDAC" w14:textId="64204608">
            <w:pPr>
              <w:suppressAutoHyphens/>
              <w:ind w:left="-58"/>
              <w:rPr>
                <w:rFonts w:ascii="Arial Narrow" w:hAnsi="Arial Narrow"/>
                <w:kern w:val="0"/>
                <w:sz w:val="17"/>
                <w:szCs w:val="17"/>
              </w:rPr>
            </w:pPr>
            <w:r w:rsidRPr="002C1CD4">
              <w:rPr>
                <w:rFonts w:ascii="Arial Narrow" w:hAnsi="Arial Narrow"/>
                <w:kern w:val="0"/>
                <w:sz w:val="17"/>
                <w:szCs w:val="17"/>
              </w:rPr>
              <w:t>MOBILE except aeronautical</w:t>
            </w:r>
          </w:p>
          <w:p w:rsidR="0077718C" w:rsidRPr="0049460C" w:rsidP="0077718C" w14:paraId="08A5980D" w14:textId="0F32FD1C">
            <w:pPr>
              <w:suppressAutoHyphens/>
              <w:rPr>
                <w:rFonts w:ascii="Arial Narrow" w:hAnsi="Arial Narrow"/>
                <w:sz w:val="17"/>
              </w:rPr>
            </w:pPr>
            <w:r w:rsidRPr="002C1CD4">
              <w:rPr>
                <w:rFonts w:ascii="Arial Narrow" w:hAnsi="Arial Narrow"/>
                <w:kern w:val="0"/>
                <w:sz w:val="17"/>
                <w:szCs w:val="17"/>
              </w:rPr>
              <w:t xml:space="preserve">   mobile  5.338A  5.532AB</w:t>
            </w:r>
          </w:p>
          <w:p w:rsidR="003C21E2" w:rsidRPr="0049460C" w:rsidP="004524DC" w14:paraId="42E80883" w14:textId="77777777">
            <w:pPr>
              <w:suppressAutoHyphens/>
              <w:rPr>
                <w:rFonts w:ascii="Arial Narrow" w:hAnsi="Arial Narrow"/>
                <w:sz w:val="17"/>
              </w:rPr>
            </w:pPr>
            <w:r w:rsidRPr="0049460C">
              <w:rPr>
                <w:rFonts w:ascii="Arial Narrow" w:hAnsi="Arial Narrow"/>
                <w:sz w:val="17"/>
              </w:rPr>
              <w:t>RADIONAVIGATION</w:t>
            </w:r>
          </w:p>
        </w:tc>
        <w:tc>
          <w:tcPr>
            <w:tcW w:w="2922" w:type="dxa"/>
            <w:tcBorders>
              <w:right w:val="double" w:sz="6" w:space="0" w:color="auto"/>
            </w:tcBorders>
            <w:noWrap/>
          </w:tcPr>
          <w:p w:rsidR="003C21E2" w:rsidRPr="0049460C" w:rsidP="004524DC" w14:paraId="5A9B57F7" w14:textId="77777777">
            <w:pPr>
              <w:suppressAutoHyphens/>
              <w:rPr>
                <w:rFonts w:ascii="Arial Narrow" w:hAnsi="Arial Narrow"/>
                <w:sz w:val="17"/>
              </w:rPr>
            </w:pPr>
            <w:r w:rsidRPr="0049460C">
              <w:rPr>
                <w:rFonts w:ascii="Arial Narrow" w:hAnsi="Arial Narrow"/>
                <w:sz w:val="17"/>
              </w:rPr>
              <w:t>24.25-24.45</w:t>
            </w:r>
          </w:p>
          <w:p w:rsidR="003C21E2" w:rsidRPr="0049460C" w:rsidP="004524DC" w14:paraId="148A786C" w14:textId="77777777">
            <w:pPr>
              <w:suppressAutoHyphens/>
              <w:rPr>
                <w:rFonts w:ascii="Arial Narrow" w:hAnsi="Arial Narrow"/>
                <w:sz w:val="17"/>
              </w:rPr>
            </w:pPr>
            <w:r w:rsidRPr="0049460C">
              <w:rPr>
                <w:rFonts w:ascii="Arial Narrow" w:hAnsi="Arial Narrow"/>
                <w:sz w:val="17"/>
              </w:rPr>
              <w:t>FIXED</w:t>
            </w:r>
          </w:p>
          <w:p w:rsidR="003C21E2" w:rsidRPr="0049460C" w:rsidP="004524DC" w14:paraId="1F3A8AF9" w14:textId="3E5D0E9D">
            <w:pPr>
              <w:suppressAutoHyphens/>
              <w:rPr>
                <w:rFonts w:ascii="Arial Narrow" w:hAnsi="Arial Narrow"/>
                <w:sz w:val="17"/>
              </w:rPr>
            </w:pPr>
            <w:r w:rsidRPr="0049460C">
              <w:rPr>
                <w:rFonts w:ascii="Arial Narrow" w:hAnsi="Arial Narrow"/>
                <w:sz w:val="17"/>
              </w:rPr>
              <w:t>MOBILE</w:t>
            </w:r>
            <w:r w:rsidR="0077718C">
              <w:rPr>
                <w:rFonts w:ascii="Arial Narrow" w:hAnsi="Arial Narrow"/>
                <w:sz w:val="17"/>
              </w:rPr>
              <w:t xml:space="preserve"> </w:t>
            </w:r>
            <w:r w:rsidRPr="002C1CD4" w:rsidR="0077718C">
              <w:rPr>
                <w:rFonts w:ascii="Arial Narrow" w:hAnsi="Arial Narrow"/>
                <w:kern w:val="0"/>
                <w:sz w:val="17"/>
                <w:szCs w:val="17"/>
              </w:rPr>
              <w:t>5.338A  5.532AB</w:t>
            </w:r>
          </w:p>
          <w:p w:rsidR="003C21E2" w:rsidRPr="0049460C" w:rsidP="004524DC" w14:paraId="23F22DBA" w14:textId="77777777">
            <w:pPr>
              <w:suppressAutoHyphens/>
              <w:rPr>
                <w:rFonts w:ascii="Arial Narrow" w:hAnsi="Arial Narrow"/>
                <w:sz w:val="17"/>
              </w:rPr>
            </w:pPr>
            <w:r w:rsidRPr="0049460C">
              <w:rPr>
                <w:rFonts w:ascii="Arial Narrow" w:hAnsi="Arial Narrow"/>
                <w:sz w:val="17"/>
              </w:rPr>
              <w:t>RADIONAVIGATION</w:t>
            </w:r>
          </w:p>
        </w:tc>
        <w:tc>
          <w:tcPr>
            <w:tcW w:w="2179" w:type="dxa"/>
            <w:tcBorders>
              <w:left w:val="double" w:sz="6" w:space="0" w:color="auto"/>
            </w:tcBorders>
            <w:noWrap/>
          </w:tcPr>
          <w:p w:rsidR="003C21E2" w:rsidRPr="0049460C" w:rsidP="004524DC" w14:paraId="1CD1060C" w14:textId="77777777">
            <w:pPr>
              <w:suppressAutoHyphens/>
              <w:rPr>
                <w:rFonts w:ascii="Arial Narrow" w:hAnsi="Arial Narrow"/>
                <w:sz w:val="17"/>
              </w:rPr>
            </w:pPr>
            <w:r w:rsidRPr="0049460C">
              <w:rPr>
                <w:rFonts w:ascii="Arial Narrow" w:hAnsi="Arial Narrow"/>
                <w:sz w:val="17"/>
              </w:rPr>
              <w:t>24.25-24.45</w:t>
            </w:r>
          </w:p>
        </w:tc>
        <w:tc>
          <w:tcPr>
            <w:tcW w:w="2342" w:type="dxa"/>
            <w:tcBorders>
              <w:right w:val="double" w:sz="6" w:space="0" w:color="auto"/>
            </w:tcBorders>
            <w:noWrap/>
          </w:tcPr>
          <w:p w:rsidR="003C21E2" w:rsidRPr="0049460C" w:rsidP="004524DC" w14:paraId="19E1CD28" w14:textId="77777777">
            <w:pPr>
              <w:suppressAutoHyphens/>
              <w:rPr>
                <w:rFonts w:ascii="Arial Narrow" w:hAnsi="Arial Narrow"/>
                <w:sz w:val="17"/>
              </w:rPr>
            </w:pPr>
            <w:r w:rsidRPr="0049460C">
              <w:rPr>
                <w:rFonts w:ascii="Arial Narrow" w:hAnsi="Arial Narrow"/>
                <w:sz w:val="17"/>
              </w:rPr>
              <w:t>24.25-24.45</w:t>
            </w:r>
          </w:p>
          <w:p w:rsidR="003C21E2" w:rsidRPr="0049460C" w:rsidP="004524DC" w14:paraId="0688465C" w14:textId="77777777">
            <w:pPr>
              <w:suppressAutoHyphens/>
              <w:rPr>
                <w:rFonts w:ascii="Arial Narrow" w:hAnsi="Arial Narrow"/>
                <w:sz w:val="17"/>
              </w:rPr>
            </w:pPr>
            <w:r w:rsidRPr="0049460C">
              <w:rPr>
                <w:rFonts w:ascii="Arial Narrow" w:hAnsi="Arial Narrow"/>
                <w:sz w:val="17"/>
              </w:rPr>
              <w:t>FIXED</w:t>
            </w:r>
          </w:p>
          <w:p w:rsidR="003C21E2" w:rsidRPr="0049460C" w:rsidP="004524DC" w14:paraId="34FFEE32" w14:textId="0DC47EE8">
            <w:pPr>
              <w:suppressAutoHyphens/>
              <w:rPr>
                <w:rFonts w:ascii="Arial Narrow" w:hAnsi="Arial Narrow"/>
                <w:sz w:val="17"/>
              </w:rPr>
            </w:pPr>
            <w:r w:rsidRPr="0049460C">
              <w:rPr>
                <w:rFonts w:ascii="Arial Narrow" w:hAnsi="Arial Narrow"/>
                <w:sz w:val="17"/>
              </w:rPr>
              <w:t>MOBILE</w:t>
            </w:r>
            <w:r w:rsidR="000B464C">
              <w:rPr>
                <w:rFonts w:ascii="Arial Narrow" w:hAnsi="Arial Narrow"/>
                <w:sz w:val="17"/>
              </w:rPr>
              <w:t xml:space="preserve">  </w:t>
            </w:r>
            <w:r w:rsidR="00CB097F">
              <w:rPr>
                <w:rFonts w:ascii="Arial Narrow" w:hAnsi="Arial Narrow"/>
                <w:sz w:val="17"/>
              </w:rPr>
              <w:t>US</w:t>
            </w:r>
            <w:r w:rsidR="007756D0">
              <w:rPr>
                <w:rFonts w:ascii="Arial Narrow" w:hAnsi="Arial Narrow"/>
                <w:sz w:val="17"/>
              </w:rPr>
              <w:t>xxx</w:t>
            </w:r>
          </w:p>
        </w:tc>
        <w:tc>
          <w:tcPr>
            <w:tcW w:w="1602" w:type="dxa"/>
            <w:tcBorders>
              <w:left w:val="double" w:sz="6" w:space="0" w:color="auto"/>
              <w:right w:val="nil"/>
            </w:tcBorders>
            <w:noWrap/>
          </w:tcPr>
          <w:p w:rsidR="003C21E2" w:rsidRPr="0049460C" w:rsidP="004524DC" w14:paraId="5961C589" w14:textId="77777777">
            <w:pPr>
              <w:suppressAutoHyphens/>
              <w:rPr>
                <w:rFonts w:ascii="Arial Narrow" w:hAnsi="Arial Narrow"/>
                <w:sz w:val="17"/>
              </w:rPr>
            </w:pPr>
          </w:p>
          <w:p w:rsidR="003C21E2" w:rsidRPr="0049460C" w:rsidP="004524DC" w14:paraId="16E3FCA7" w14:textId="77777777">
            <w:pPr>
              <w:suppressAutoHyphens/>
              <w:rPr>
                <w:rFonts w:ascii="Arial Narrow" w:hAnsi="Arial Narrow"/>
                <w:sz w:val="17"/>
              </w:rPr>
            </w:pPr>
            <w:r w:rsidRPr="0049460C">
              <w:rPr>
                <w:rFonts w:ascii="Arial Narrow" w:hAnsi="Arial Narrow"/>
                <w:sz w:val="17"/>
              </w:rPr>
              <w:t>RF Devices (15)</w:t>
            </w:r>
          </w:p>
          <w:p w:rsidR="003C21E2" w:rsidRPr="0049460C" w:rsidP="004524DC" w14:paraId="43604B04" w14:textId="77777777">
            <w:pPr>
              <w:tabs>
                <w:tab w:val="left" w:pos="-1440"/>
              </w:tabs>
              <w:suppressAutoHyphens/>
              <w:rPr>
                <w:rFonts w:ascii="Arial Narrow" w:hAnsi="Arial Narrow"/>
                <w:sz w:val="17"/>
                <w:szCs w:val="17"/>
              </w:rPr>
            </w:pPr>
            <w:r w:rsidRPr="0049460C">
              <w:rPr>
                <w:rFonts w:ascii="Arial Narrow" w:hAnsi="Arial Narrow"/>
                <w:sz w:val="17"/>
                <w:szCs w:val="17"/>
              </w:rPr>
              <w:t>Upper Microwave</w:t>
            </w:r>
          </w:p>
          <w:p w:rsidR="003C21E2" w:rsidRPr="0049460C" w:rsidP="004524DC" w14:paraId="602AA2B5" w14:textId="77777777">
            <w:pPr>
              <w:tabs>
                <w:tab w:val="left" w:pos="-1440"/>
              </w:tabs>
              <w:suppressAutoHyphens/>
              <w:spacing w:after="20" w:line="204" w:lineRule="auto"/>
              <w:rPr>
                <w:rFonts w:ascii="Arial Narrow" w:hAnsi="Arial Narrow"/>
                <w:sz w:val="17"/>
              </w:rPr>
            </w:pPr>
            <w:r w:rsidRPr="0049460C">
              <w:rPr>
                <w:rFonts w:ascii="Arial Narrow" w:hAnsi="Arial Narrow"/>
                <w:sz w:val="17"/>
                <w:szCs w:val="17"/>
              </w:rPr>
              <w:t xml:space="preserve">   Flexible Use (30)</w:t>
            </w:r>
          </w:p>
        </w:tc>
      </w:tr>
    </w:tbl>
    <w:p w:rsidR="005552C7" w:rsidP="003C21E2" w14:paraId="40BADF81" w14:textId="4545DE4B">
      <w:pPr>
        <w:suppressAutoHyphens/>
        <w:ind w:left="-54"/>
        <w:jc w:val="right"/>
        <w:rPr>
          <w:rFonts w:ascii="Arial Narrow" w:hAnsi="Arial Narrow"/>
          <w:sz w:val="17"/>
        </w:rPr>
      </w:pPr>
      <w:r w:rsidRPr="0049460C">
        <w:rPr>
          <w:rFonts w:ascii="Arial Narrow" w:hAnsi="Arial Narrow"/>
          <w:sz w:val="17"/>
        </w:rPr>
        <w:t>Page 54</w:t>
      </w:r>
    </w:p>
    <w:p w:rsidR="005552C7" w14:paraId="66816BDA" w14:textId="77777777">
      <w:pPr>
        <w:widowControl/>
        <w:rPr>
          <w:rFonts w:ascii="Arial Narrow" w:hAnsi="Arial Narrow"/>
          <w:sz w:val="17"/>
        </w:rPr>
      </w:pPr>
      <w:r>
        <w:rPr>
          <w:rFonts w:ascii="Arial Narrow" w:hAnsi="Arial Narrow"/>
          <w:sz w:val="17"/>
        </w:rPr>
        <w:br w:type="page"/>
      </w:r>
    </w:p>
    <w:p w:rsidR="005552C7" w14:paraId="71EDC8AA" w14:textId="317855C2">
      <w:pPr>
        <w:widowControl/>
        <w:rPr>
          <w:rFonts w:ascii="Arial Narrow" w:hAnsi="Arial Narrow"/>
          <w:sz w:val="17"/>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
      <w:tblGrid>
        <w:gridCol w:w="2274"/>
        <w:gridCol w:w="2497"/>
        <w:gridCol w:w="2539"/>
        <w:gridCol w:w="2461"/>
        <w:gridCol w:w="2373"/>
        <w:gridCol w:w="1550"/>
      </w:tblGrid>
      <w:tr w14:paraId="3539FA96" w14:textId="77777777" w:rsidTr="009B54A2">
        <w:tblPrEx>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tblPrEx>
        <w:tc>
          <w:tcPr>
            <w:tcW w:w="12144" w:type="dxa"/>
            <w:gridSpan w:val="5"/>
            <w:tcBorders>
              <w:top w:val="single" w:sz="4" w:space="0" w:color="auto"/>
              <w:left w:val="nil"/>
              <w:bottom w:val="single" w:sz="4" w:space="0" w:color="auto"/>
              <w:right w:val="nil"/>
            </w:tcBorders>
            <w:noWrap/>
          </w:tcPr>
          <w:p w:rsidR="005552C7" w:rsidRPr="005552C7" w:rsidP="005552C7" w14:paraId="6EE56AED" w14:textId="77777777">
            <w:pPr>
              <w:suppressAutoHyphens/>
              <w:ind w:left="-63"/>
              <w:rPr>
                <w:rFonts w:ascii="Arial Narrow" w:hAnsi="Arial Narrow"/>
                <w:sz w:val="17"/>
              </w:rPr>
            </w:pPr>
            <w:r w:rsidRPr="009B54A2">
              <w:rPr>
                <w:rFonts w:ascii="Arial Narrow" w:hAnsi="Arial Narrow"/>
                <w:sz w:val="17"/>
              </w:rPr>
              <w:br w:type="page"/>
            </w:r>
            <w:r w:rsidRPr="009B54A2">
              <w:rPr>
                <w:rFonts w:ascii="Arial Narrow" w:hAnsi="Arial Narrow"/>
                <w:sz w:val="17"/>
              </w:rPr>
              <w:br w:type="page"/>
            </w:r>
            <w:r w:rsidRPr="009B54A2">
              <w:rPr>
                <w:rFonts w:ascii="Arial Narrow" w:hAnsi="Arial Narrow"/>
                <w:sz w:val="17"/>
              </w:rPr>
              <w:br w:type="page"/>
            </w:r>
            <w:r w:rsidRPr="009B54A2">
              <w:rPr>
                <w:rFonts w:ascii="Arial Narrow" w:hAnsi="Arial Narrow"/>
                <w:sz w:val="17"/>
              </w:rPr>
              <w:br w:type="page"/>
            </w:r>
            <w:r w:rsidRPr="005552C7">
              <w:rPr>
                <w:rFonts w:ascii="Arial Narrow" w:hAnsi="Arial Narrow"/>
                <w:sz w:val="17"/>
              </w:rPr>
              <w:t>Table of Frequency Allocations                                                                                                                   24.45-31.8 GHz (SHF/EHF)</w:t>
            </w:r>
          </w:p>
        </w:tc>
        <w:tc>
          <w:tcPr>
            <w:tcW w:w="1550" w:type="dxa"/>
            <w:tcBorders>
              <w:top w:val="single" w:sz="4" w:space="0" w:color="auto"/>
              <w:left w:val="nil"/>
              <w:bottom w:val="single" w:sz="4" w:space="0" w:color="auto"/>
              <w:right w:val="nil"/>
            </w:tcBorders>
            <w:noWrap/>
          </w:tcPr>
          <w:p w:rsidR="005552C7" w:rsidRPr="005552C7" w:rsidP="005552C7" w14:paraId="7243FC7B" w14:textId="77777777">
            <w:pPr>
              <w:suppressAutoHyphens/>
              <w:ind w:right="18"/>
              <w:jc w:val="right"/>
              <w:rPr>
                <w:rFonts w:ascii="Arial Narrow" w:hAnsi="Arial Narrow"/>
                <w:sz w:val="17"/>
              </w:rPr>
            </w:pPr>
            <w:r w:rsidRPr="005552C7">
              <w:rPr>
                <w:rFonts w:ascii="Arial Narrow" w:hAnsi="Arial Narrow"/>
                <w:sz w:val="17"/>
              </w:rPr>
              <w:t>Page 55</w:t>
            </w:r>
          </w:p>
        </w:tc>
      </w:tr>
      <w:tr w14:paraId="674469BF" w14:textId="77777777" w:rsidTr="005552C7">
        <w:tblPrEx>
          <w:tblW w:w="5005" w:type="pct"/>
          <w:tblLayout w:type="fixed"/>
          <w:tblCellMar>
            <w:left w:w="58" w:type="dxa"/>
            <w:right w:w="0" w:type="dxa"/>
          </w:tblCellMar>
          <w:tblLook w:val="0000"/>
        </w:tblPrEx>
        <w:tc>
          <w:tcPr>
            <w:tcW w:w="7310" w:type="dxa"/>
            <w:gridSpan w:val="3"/>
            <w:tcBorders>
              <w:left w:val="nil"/>
              <w:right w:val="double" w:sz="6" w:space="0" w:color="auto"/>
            </w:tcBorders>
            <w:noWrap/>
          </w:tcPr>
          <w:p w:rsidR="005552C7" w:rsidRPr="009B54A2" w:rsidP="009B54A2" w14:paraId="0C4F28BB" w14:textId="77777777">
            <w:pPr>
              <w:suppressAutoHyphens/>
              <w:spacing w:before="10" w:after="10"/>
              <w:ind w:left="-63"/>
              <w:jc w:val="center"/>
              <w:rPr>
                <w:rFonts w:ascii="Arial Narrow" w:hAnsi="Arial Narrow"/>
                <w:kern w:val="0"/>
                <w:sz w:val="17"/>
              </w:rPr>
            </w:pPr>
            <w:r w:rsidRPr="009B54A2">
              <w:rPr>
                <w:rFonts w:ascii="Arial Narrow" w:hAnsi="Arial Narrow"/>
                <w:kern w:val="0"/>
                <w:sz w:val="17"/>
              </w:rPr>
              <w:t>International Table</w:t>
            </w:r>
          </w:p>
        </w:tc>
        <w:tc>
          <w:tcPr>
            <w:tcW w:w="4834" w:type="dxa"/>
            <w:gridSpan w:val="2"/>
            <w:tcBorders>
              <w:left w:val="double" w:sz="6" w:space="0" w:color="auto"/>
              <w:right w:val="double" w:sz="6" w:space="0" w:color="auto"/>
            </w:tcBorders>
            <w:noWrap/>
          </w:tcPr>
          <w:p w:rsidR="005552C7" w:rsidRPr="009B54A2" w:rsidP="009B54A2" w14:paraId="53DA5869" w14:textId="77777777">
            <w:pPr>
              <w:suppressAutoHyphens/>
              <w:spacing w:before="10" w:after="10"/>
              <w:jc w:val="center"/>
              <w:rPr>
                <w:rFonts w:ascii="Arial Narrow" w:hAnsi="Arial Narrow"/>
                <w:kern w:val="0"/>
                <w:sz w:val="17"/>
              </w:rPr>
            </w:pPr>
            <w:r w:rsidRPr="009B54A2">
              <w:rPr>
                <w:rFonts w:ascii="Arial Narrow" w:hAnsi="Arial Narrow"/>
                <w:kern w:val="0"/>
                <w:sz w:val="17"/>
              </w:rPr>
              <w:t>United States Table</w:t>
            </w:r>
          </w:p>
        </w:tc>
        <w:tc>
          <w:tcPr>
            <w:tcW w:w="1550" w:type="dxa"/>
            <w:tcBorders>
              <w:left w:val="double" w:sz="6" w:space="0" w:color="auto"/>
              <w:right w:val="nil"/>
            </w:tcBorders>
            <w:noWrap/>
          </w:tcPr>
          <w:p w:rsidR="005552C7" w:rsidRPr="009B54A2" w:rsidP="009B54A2" w14:paraId="7A7EA31C" w14:textId="77777777">
            <w:pPr>
              <w:suppressAutoHyphens/>
              <w:spacing w:before="10" w:after="10"/>
              <w:rPr>
                <w:rFonts w:ascii="Arial Narrow" w:hAnsi="Arial Narrow"/>
                <w:kern w:val="0"/>
                <w:sz w:val="17"/>
              </w:rPr>
            </w:pPr>
            <w:r w:rsidRPr="009B54A2">
              <w:rPr>
                <w:rFonts w:ascii="Arial Narrow" w:hAnsi="Arial Narrow"/>
                <w:kern w:val="0"/>
                <w:sz w:val="17"/>
              </w:rPr>
              <w:t>FCC Rule Part(s)</w:t>
            </w:r>
          </w:p>
        </w:tc>
      </w:tr>
      <w:tr w14:paraId="7662B2C4" w14:textId="77777777" w:rsidTr="005552C7">
        <w:tblPrEx>
          <w:tblW w:w="5005" w:type="pct"/>
          <w:tblLayout w:type="fixed"/>
          <w:tblCellMar>
            <w:left w:w="58" w:type="dxa"/>
            <w:right w:w="0" w:type="dxa"/>
          </w:tblCellMar>
          <w:tblLook w:val="0000"/>
        </w:tblPrEx>
        <w:tc>
          <w:tcPr>
            <w:tcW w:w="2274" w:type="dxa"/>
            <w:tcBorders>
              <w:left w:val="nil"/>
            </w:tcBorders>
            <w:noWrap/>
          </w:tcPr>
          <w:p w:rsidR="005552C7" w:rsidRPr="009B54A2" w:rsidP="009B54A2" w14:paraId="4699B8E6" w14:textId="77777777">
            <w:pPr>
              <w:suppressAutoHyphens/>
              <w:spacing w:before="10" w:after="10"/>
              <w:ind w:left="-63"/>
              <w:rPr>
                <w:rFonts w:ascii="Arial Narrow" w:hAnsi="Arial Narrow"/>
                <w:kern w:val="0"/>
                <w:sz w:val="17"/>
              </w:rPr>
            </w:pPr>
            <w:r w:rsidRPr="009B54A2">
              <w:rPr>
                <w:rFonts w:ascii="Arial Narrow" w:hAnsi="Arial Narrow"/>
                <w:kern w:val="0"/>
                <w:sz w:val="17"/>
              </w:rPr>
              <w:t>Region 1 Table</w:t>
            </w:r>
          </w:p>
        </w:tc>
        <w:tc>
          <w:tcPr>
            <w:tcW w:w="2497" w:type="dxa"/>
            <w:noWrap/>
          </w:tcPr>
          <w:p w:rsidR="005552C7" w:rsidRPr="009B54A2" w:rsidP="009B54A2" w14:paraId="12573AB5" w14:textId="77777777">
            <w:pPr>
              <w:suppressAutoHyphens/>
              <w:spacing w:before="10" w:after="10"/>
              <w:rPr>
                <w:rFonts w:ascii="Arial Narrow" w:hAnsi="Arial Narrow"/>
                <w:kern w:val="0"/>
                <w:sz w:val="17"/>
              </w:rPr>
            </w:pPr>
            <w:r w:rsidRPr="009B54A2">
              <w:rPr>
                <w:rFonts w:ascii="Arial Narrow" w:hAnsi="Arial Narrow"/>
                <w:kern w:val="0"/>
                <w:sz w:val="17"/>
              </w:rPr>
              <w:t>Region 2 Table</w:t>
            </w:r>
          </w:p>
        </w:tc>
        <w:tc>
          <w:tcPr>
            <w:tcW w:w="2539" w:type="dxa"/>
            <w:tcBorders>
              <w:right w:val="double" w:sz="6" w:space="0" w:color="auto"/>
            </w:tcBorders>
            <w:noWrap/>
          </w:tcPr>
          <w:p w:rsidR="005552C7" w:rsidRPr="009B54A2" w:rsidP="009B54A2" w14:paraId="3773DB7D" w14:textId="77777777">
            <w:pPr>
              <w:suppressAutoHyphens/>
              <w:spacing w:before="10" w:after="10"/>
              <w:rPr>
                <w:rFonts w:ascii="Arial Narrow" w:hAnsi="Arial Narrow"/>
                <w:kern w:val="0"/>
                <w:sz w:val="17"/>
              </w:rPr>
            </w:pPr>
            <w:r w:rsidRPr="009B54A2">
              <w:rPr>
                <w:rFonts w:ascii="Arial Narrow" w:hAnsi="Arial Narrow"/>
                <w:kern w:val="0"/>
                <w:sz w:val="17"/>
              </w:rPr>
              <w:t>Region 3 Table</w:t>
            </w:r>
          </w:p>
        </w:tc>
        <w:tc>
          <w:tcPr>
            <w:tcW w:w="2461" w:type="dxa"/>
            <w:tcBorders>
              <w:left w:val="double" w:sz="6" w:space="0" w:color="auto"/>
            </w:tcBorders>
            <w:noWrap/>
          </w:tcPr>
          <w:p w:rsidR="005552C7" w:rsidRPr="009B54A2" w:rsidP="009B54A2" w14:paraId="72B82AEA" w14:textId="77777777">
            <w:pPr>
              <w:suppressAutoHyphens/>
              <w:spacing w:before="10" w:after="10"/>
              <w:rPr>
                <w:rFonts w:ascii="Arial Narrow" w:hAnsi="Arial Narrow"/>
                <w:kern w:val="0"/>
                <w:sz w:val="17"/>
              </w:rPr>
            </w:pPr>
            <w:r w:rsidRPr="009B54A2">
              <w:rPr>
                <w:rFonts w:ascii="Arial Narrow" w:hAnsi="Arial Narrow"/>
                <w:kern w:val="0"/>
                <w:sz w:val="17"/>
              </w:rPr>
              <w:t>Federal Table</w:t>
            </w:r>
          </w:p>
        </w:tc>
        <w:tc>
          <w:tcPr>
            <w:tcW w:w="2373" w:type="dxa"/>
            <w:tcBorders>
              <w:right w:val="double" w:sz="6" w:space="0" w:color="auto"/>
            </w:tcBorders>
            <w:noWrap/>
          </w:tcPr>
          <w:p w:rsidR="005552C7" w:rsidRPr="009B54A2" w:rsidP="009B54A2" w14:paraId="1E53516A" w14:textId="77777777">
            <w:pPr>
              <w:suppressAutoHyphens/>
              <w:spacing w:before="10" w:after="10"/>
              <w:rPr>
                <w:rFonts w:ascii="Arial Narrow" w:hAnsi="Arial Narrow"/>
                <w:kern w:val="0"/>
                <w:sz w:val="17"/>
              </w:rPr>
            </w:pPr>
            <w:r w:rsidRPr="009B54A2">
              <w:rPr>
                <w:rFonts w:ascii="Arial Narrow" w:hAnsi="Arial Narrow"/>
                <w:kern w:val="0"/>
                <w:sz w:val="17"/>
              </w:rPr>
              <w:t>Non-Federal Table</w:t>
            </w:r>
          </w:p>
        </w:tc>
        <w:tc>
          <w:tcPr>
            <w:tcW w:w="1550" w:type="dxa"/>
            <w:tcBorders>
              <w:left w:val="double" w:sz="6" w:space="0" w:color="auto"/>
              <w:right w:val="nil"/>
            </w:tcBorders>
            <w:noWrap/>
            <w:vAlign w:val="center"/>
          </w:tcPr>
          <w:p w:rsidR="005552C7" w:rsidRPr="009B54A2" w:rsidP="00956D7C" w14:paraId="7D671377" w14:textId="77777777">
            <w:pPr>
              <w:suppressAutoHyphens/>
              <w:spacing w:before="10" w:after="10"/>
              <w:rPr>
                <w:rFonts w:ascii="Arial Narrow" w:hAnsi="Arial Narrow"/>
                <w:kern w:val="0"/>
                <w:sz w:val="17"/>
              </w:rPr>
            </w:pPr>
          </w:p>
        </w:tc>
      </w:tr>
      <w:tr w14:paraId="2D3D6923" w14:textId="77777777" w:rsidTr="005552C7">
        <w:tblPrEx>
          <w:tblW w:w="5005" w:type="pct"/>
          <w:tblLayout w:type="fixed"/>
          <w:tblCellMar>
            <w:left w:w="58" w:type="dxa"/>
            <w:right w:w="0" w:type="dxa"/>
          </w:tblCellMar>
          <w:tblLook w:val="0000"/>
        </w:tblPrEx>
        <w:trPr>
          <w:trHeight w:val="984"/>
        </w:trPr>
        <w:tc>
          <w:tcPr>
            <w:tcW w:w="2274" w:type="dxa"/>
            <w:tcBorders>
              <w:left w:val="nil"/>
            </w:tcBorders>
            <w:shd w:val="clear" w:color="auto" w:fill="auto"/>
            <w:noWrap/>
          </w:tcPr>
          <w:p w:rsidR="005552C7" w:rsidRPr="009B54A2" w:rsidP="009B54A2" w14:paraId="4370F0D4" w14:textId="77777777">
            <w:pPr>
              <w:suppressAutoHyphens/>
              <w:ind w:left="-58"/>
              <w:rPr>
                <w:rFonts w:ascii="Arial Narrow" w:hAnsi="Arial Narrow"/>
                <w:kern w:val="0"/>
                <w:sz w:val="17"/>
              </w:rPr>
            </w:pPr>
            <w:r w:rsidRPr="009B54A2">
              <w:rPr>
                <w:rFonts w:ascii="Arial Narrow" w:hAnsi="Arial Narrow"/>
                <w:kern w:val="0"/>
                <w:sz w:val="17"/>
              </w:rPr>
              <w:br w:type="page"/>
              <w:t>24.45-24.65</w:t>
            </w:r>
          </w:p>
          <w:p w:rsidR="005552C7" w:rsidRPr="009B54A2" w:rsidP="009B54A2" w14:paraId="5ED3D6F2" w14:textId="77777777">
            <w:pPr>
              <w:suppressAutoHyphens/>
              <w:ind w:left="-58"/>
              <w:rPr>
                <w:rFonts w:ascii="Arial Narrow" w:hAnsi="Arial Narrow"/>
                <w:kern w:val="0"/>
                <w:sz w:val="17"/>
              </w:rPr>
            </w:pPr>
            <w:r w:rsidRPr="009B54A2">
              <w:rPr>
                <w:rFonts w:ascii="Arial Narrow" w:hAnsi="Arial Narrow"/>
                <w:kern w:val="0"/>
                <w:sz w:val="17"/>
              </w:rPr>
              <w:t>FIXED</w:t>
            </w:r>
          </w:p>
          <w:p w:rsidR="005552C7" w:rsidRPr="002C1CD4" w:rsidP="00956D7C" w14:paraId="7FE9EB42" w14:textId="77777777">
            <w:pPr>
              <w:suppressAutoHyphens/>
              <w:ind w:left="-58"/>
              <w:rPr>
                <w:rFonts w:ascii="Arial Narrow" w:hAnsi="Arial Narrow"/>
                <w:kern w:val="0"/>
                <w:sz w:val="17"/>
                <w:szCs w:val="17"/>
              </w:rPr>
            </w:pPr>
            <w:r w:rsidRPr="009B54A2">
              <w:rPr>
                <w:rFonts w:ascii="Arial Narrow" w:hAnsi="Arial Narrow"/>
                <w:kern w:val="0"/>
                <w:sz w:val="17"/>
              </w:rPr>
              <w:t>INTER-SATELLITE</w:t>
            </w:r>
          </w:p>
          <w:p w:rsidR="005552C7" w:rsidRPr="002C1CD4" w:rsidP="00956D7C" w14:paraId="4BF35204" w14:textId="77777777">
            <w:pPr>
              <w:suppressAutoHyphens/>
              <w:ind w:left="-58"/>
              <w:rPr>
                <w:rFonts w:ascii="Arial Narrow" w:hAnsi="Arial Narrow"/>
                <w:kern w:val="0"/>
                <w:sz w:val="17"/>
                <w:szCs w:val="17"/>
              </w:rPr>
            </w:pPr>
            <w:r w:rsidRPr="002C1CD4">
              <w:rPr>
                <w:rFonts w:ascii="Arial Narrow" w:hAnsi="Arial Narrow"/>
                <w:kern w:val="0"/>
                <w:sz w:val="17"/>
                <w:szCs w:val="17"/>
              </w:rPr>
              <w:t>MOBILE except aeronautical</w:t>
            </w:r>
          </w:p>
          <w:p w:rsidR="005552C7" w:rsidRPr="009B54A2" w:rsidP="009B54A2" w14:paraId="509E33DA" w14:textId="77777777">
            <w:pPr>
              <w:suppressAutoHyphens/>
              <w:spacing w:line="204" w:lineRule="auto"/>
              <w:ind w:left="-58"/>
              <w:rPr>
                <w:rFonts w:ascii="Arial Narrow" w:hAnsi="Arial Narrow"/>
                <w:kern w:val="0"/>
                <w:sz w:val="17"/>
              </w:rPr>
            </w:pPr>
            <w:r w:rsidRPr="002C1CD4">
              <w:rPr>
                <w:rFonts w:ascii="Arial Narrow" w:hAnsi="Arial Narrow"/>
                <w:kern w:val="0"/>
                <w:sz w:val="17"/>
                <w:szCs w:val="17"/>
              </w:rPr>
              <w:t xml:space="preserve">   mobile  5.338A  5.532AB</w:t>
            </w:r>
          </w:p>
        </w:tc>
        <w:tc>
          <w:tcPr>
            <w:tcW w:w="2497" w:type="dxa"/>
            <w:noWrap/>
          </w:tcPr>
          <w:p w:rsidR="005552C7" w:rsidRPr="009B54A2" w:rsidP="00956D7C" w14:paraId="60380836" w14:textId="77777777">
            <w:pPr>
              <w:suppressAutoHyphens/>
              <w:rPr>
                <w:rFonts w:ascii="Arial Narrow" w:hAnsi="Arial Narrow"/>
                <w:kern w:val="0"/>
                <w:sz w:val="17"/>
              </w:rPr>
            </w:pPr>
            <w:r w:rsidRPr="009B54A2">
              <w:rPr>
                <w:rFonts w:ascii="Arial Narrow" w:hAnsi="Arial Narrow"/>
                <w:kern w:val="0"/>
                <w:sz w:val="17"/>
              </w:rPr>
              <w:t>24.45-24.65</w:t>
            </w:r>
          </w:p>
          <w:p w:rsidR="005552C7" w:rsidRPr="002C1CD4" w:rsidP="00956D7C" w14:paraId="609FED89" w14:textId="77777777">
            <w:pPr>
              <w:suppressAutoHyphens/>
              <w:rPr>
                <w:rFonts w:ascii="Arial Narrow" w:hAnsi="Arial Narrow"/>
                <w:kern w:val="0"/>
                <w:sz w:val="17"/>
                <w:szCs w:val="17"/>
              </w:rPr>
            </w:pPr>
            <w:r w:rsidRPr="002C1CD4">
              <w:rPr>
                <w:rFonts w:ascii="Arial Narrow" w:hAnsi="Arial Narrow"/>
                <w:kern w:val="0"/>
                <w:sz w:val="17"/>
                <w:szCs w:val="17"/>
              </w:rPr>
              <w:t>FIXED  5.532AA</w:t>
            </w:r>
          </w:p>
          <w:p w:rsidR="005552C7" w:rsidRPr="009B54A2" w:rsidP="00956D7C" w14:paraId="72688C83" w14:textId="77777777">
            <w:pPr>
              <w:suppressAutoHyphens/>
              <w:rPr>
                <w:rFonts w:ascii="Arial Narrow" w:hAnsi="Arial Narrow"/>
                <w:kern w:val="0"/>
                <w:sz w:val="17"/>
              </w:rPr>
            </w:pPr>
            <w:r w:rsidRPr="009B54A2">
              <w:rPr>
                <w:rFonts w:ascii="Arial Narrow" w:hAnsi="Arial Narrow"/>
                <w:kern w:val="0"/>
                <w:sz w:val="17"/>
              </w:rPr>
              <w:t>INTER-SATELLITE</w:t>
            </w:r>
          </w:p>
          <w:p w:rsidR="005552C7" w:rsidRPr="002C1CD4" w:rsidP="00956D7C" w14:paraId="2FE38570" w14:textId="77777777">
            <w:pPr>
              <w:suppressAutoHyphens/>
              <w:rPr>
                <w:rFonts w:ascii="Arial Narrow" w:hAnsi="Arial Narrow"/>
                <w:kern w:val="0"/>
                <w:sz w:val="17"/>
                <w:szCs w:val="17"/>
              </w:rPr>
            </w:pPr>
            <w:r w:rsidRPr="002C1CD4">
              <w:rPr>
                <w:rFonts w:ascii="Arial Narrow" w:hAnsi="Arial Narrow"/>
                <w:kern w:val="0"/>
                <w:sz w:val="17"/>
                <w:szCs w:val="17"/>
              </w:rPr>
              <w:t>MOBILE except aeronautical</w:t>
            </w:r>
          </w:p>
          <w:p w:rsidR="005552C7" w:rsidRPr="002C1CD4" w:rsidP="00956D7C" w14:paraId="4682D94D" w14:textId="77777777">
            <w:pPr>
              <w:suppressAutoHyphens/>
              <w:spacing w:line="204" w:lineRule="auto"/>
              <w:rPr>
                <w:rFonts w:ascii="Arial Narrow" w:hAnsi="Arial Narrow"/>
                <w:kern w:val="0"/>
                <w:sz w:val="17"/>
                <w:szCs w:val="17"/>
              </w:rPr>
            </w:pPr>
            <w:r w:rsidRPr="002C1CD4">
              <w:rPr>
                <w:rFonts w:ascii="Arial Narrow" w:hAnsi="Arial Narrow"/>
                <w:kern w:val="0"/>
                <w:sz w:val="17"/>
                <w:szCs w:val="17"/>
              </w:rPr>
              <w:t xml:space="preserve">   mobile  5.338A  5.532AB</w:t>
            </w:r>
          </w:p>
          <w:p w:rsidR="005552C7" w:rsidRPr="009B54A2" w:rsidP="009B54A2" w14:paraId="24D740FB" w14:textId="77777777">
            <w:pPr>
              <w:suppressAutoHyphens/>
              <w:spacing w:line="228" w:lineRule="auto"/>
              <w:rPr>
                <w:rFonts w:ascii="Arial Narrow" w:hAnsi="Arial Narrow"/>
                <w:kern w:val="0"/>
                <w:sz w:val="17"/>
              </w:rPr>
            </w:pPr>
            <w:r w:rsidRPr="009B54A2">
              <w:rPr>
                <w:rFonts w:ascii="Arial Narrow" w:hAnsi="Arial Narrow"/>
                <w:kern w:val="0"/>
                <w:sz w:val="17"/>
              </w:rPr>
              <w:t>RADIONAVIGATION</w:t>
            </w:r>
          </w:p>
          <w:p w:rsidR="005552C7" w:rsidRPr="009B54A2" w:rsidP="009B54A2" w14:paraId="70E4A7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rPr>
            </w:pPr>
          </w:p>
          <w:p w:rsidR="005552C7" w:rsidRPr="009B54A2" w:rsidP="00956D7C" w14:paraId="0EECCE46"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5.533</w:t>
            </w:r>
          </w:p>
        </w:tc>
        <w:tc>
          <w:tcPr>
            <w:tcW w:w="2539" w:type="dxa"/>
            <w:tcBorders>
              <w:right w:val="double" w:sz="6" w:space="0" w:color="auto"/>
            </w:tcBorders>
            <w:noWrap/>
          </w:tcPr>
          <w:p w:rsidR="005552C7" w:rsidRPr="009B54A2" w:rsidP="00956D7C" w14:paraId="2DB1FDEA" w14:textId="77777777">
            <w:pPr>
              <w:suppressAutoHyphens/>
              <w:rPr>
                <w:rFonts w:ascii="Arial Narrow" w:hAnsi="Arial Narrow"/>
                <w:kern w:val="0"/>
                <w:sz w:val="17"/>
              </w:rPr>
            </w:pPr>
            <w:r w:rsidRPr="009B54A2">
              <w:rPr>
                <w:rFonts w:ascii="Arial Narrow" w:hAnsi="Arial Narrow"/>
                <w:kern w:val="0"/>
                <w:sz w:val="17"/>
              </w:rPr>
              <w:t>24.45-24.65</w:t>
            </w:r>
          </w:p>
          <w:p w:rsidR="005552C7" w:rsidRPr="009B54A2" w:rsidP="009B54A2" w14:paraId="2066D379" w14:textId="77777777">
            <w:pPr>
              <w:suppressAutoHyphens/>
              <w:rPr>
                <w:rFonts w:ascii="Arial Narrow" w:hAnsi="Arial Narrow"/>
                <w:kern w:val="0"/>
                <w:sz w:val="17"/>
              </w:rPr>
            </w:pPr>
            <w:r w:rsidRPr="009B54A2">
              <w:rPr>
                <w:rFonts w:ascii="Arial Narrow" w:hAnsi="Arial Narrow"/>
                <w:kern w:val="0"/>
                <w:sz w:val="17"/>
              </w:rPr>
              <w:t>FIXED</w:t>
            </w:r>
          </w:p>
          <w:p w:rsidR="005552C7" w:rsidRPr="009B54A2" w:rsidP="009B54A2" w14:paraId="23CB9E27" w14:textId="77777777">
            <w:pPr>
              <w:suppressAutoHyphens/>
              <w:rPr>
                <w:rFonts w:ascii="Arial Narrow" w:hAnsi="Arial Narrow"/>
                <w:kern w:val="0"/>
                <w:sz w:val="17"/>
              </w:rPr>
            </w:pPr>
            <w:r w:rsidRPr="009B54A2">
              <w:rPr>
                <w:rFonts w:ascii="Arial Narrow" w:hAnsi="Arial Narrow"/>
                <w:kern w:val="0"/>
                <w:sz w:val="17"/>
              </w:rPr>
              <w:t>INTER-SATELLITE</w:t>
            </w:r>
          </w:p>
          <w:p w:rsidR="005552C7" w:rsidRPr="009B54A2" w:rsidP="009B54A2" w14:paraId="557F05CC" w14:textId="77777777">
            <w:pPr>
              <w:suppressAutoHyphens/>
              <w:rPr>
                <w:rFonts w:ascii="Arial Narrow" w:hAnsi="Arial Narrow"/>
                <w:kern w:val="0"/>
                <w:sz w:val="17"/>
              </w:rPr>
            </w:pPr>
            <w:r w:rsidRPr="009B54A2">
              <w:rPr>
                <w:rFonts w:ascii="Arial Narrow" w:hAnsi="Arial Narrow"/>
                <w:kern w:val="0"/>
                <w:sz w:val="17"/>
              </w:rPr>
              <w:t>MOBILE</w:t>
            </w:r>
            <w:r w:rsidRPr="002C1CD4">
              <w:rPr>
                <w:rFonts w:ascii="Arial Narrow" w:hAnsi="Arial Narrow"/>
                <w:kern w:val="0"/>
                <w:sz w:val="17"/>
                <w:szCs w:val="17"/>
              </w:rPr>
              <w:t xml:space="preserve">  5.338A  5.532AB</w:t>
            </w:r>
          </w:p>
          <w:p w:rsidR="005552C7" w:rsidRPr="009B54A2" w:rsidP="009B54A2" w14:paraId="050E55D4" w14:textId="77777777">
            <w:pPr>
              <w:suppressAutoHyphens/>
              <w:rPr>
                <w:rFonts w:ascii="Arial Narrow" w:hAnsi="Arial Narrow"/>
                <w:kern w:val="0"/>
                <w:sz w:val="17"/>
              </w:rPr>
            </w:pPr>
            <w:r w:rsidRPr="009B54A2">
              <w:rPr>
                <w:rFonts w:ascii="Arial Narrow" w:hAnsi="Arial Narrow"/>
                <w:kern w:val="0"/>
                <w:sz w:val="17"/>
              </w:rPr>
              <w:t>RADIONAVIGATION</w:t>
            </w:r>
          </w:p>
          <w:p w:rsidR="005552C7" w:rsidRPr="009B54A2" w:rsidP="009B54A2" w14:paraId="11FF5D04" w14:textId="77777777">
            <w:pPr>
              <w:suppressAutoHyphens/>
              <w:spacing w:line="276" w:lineRule="auto"/>
              <w:rPr>
                <w:rFonts w:ascii="Arial Narrow" w:hAnsi="Arial Narrow"/>
                <w:kern w:val="0"/>
                <w:sz w:val="17"/>
              </w:rPr>
            </w:pPr>
          </w:p>
          <w:p w:rsidR="005552C7" w:rsidRPr="009B54A2" w:rsidP="00956D7C" w14:paraId="0CA0225F"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5.533</w:t>
            </w:r>
          </w:p>
        </w:tc>
        <w:tc>
          <w:tcPr>
            <w:tcW w:w="4834" w:type="dxa"/>
            <w:gridSpan w:val="2"/>
            <w:tcBorders>
              <w:left w:val="double" w:sz="6" w:space="0" w:color="auto"/>
              <w:right w:val="double" w:sz="6" w:space="0" w:color="auto"/>
            </w:tcBorders>
            <w:noWrap/>
          </w:tcPr>
          <w:p w:rsidR="005552C7" w:rsidRPr="009B54A2" w:rsidP="00956D7C" w14:paraId="765347A9" w14:textId="77777777">
            <w:pPr>
              <w:suppressAutoHyphens/>
              <w:rPr>
                <w:rFonts w:ascii="Arial Narrow" w:hAnsi="Arial Narrow"/>
                <w:kern w:val="0"/>
                <w:sz w:val="17"/>
              </w:rPr>
            </w:pPr>
            <w:r w:rsidRPr="009B54A2">
              <w:rPr>
                <w:rFonts w:ascii="Arial Narrow" w:hAnsi="Arial Narrow"/>
                <w:kern w:val="0"/>
                <w:sz w:val="17"/>
              </w:rPr>
              <w:t>24.45-24.65</w:t>
            </w:r>
          </w:p>
          <w:p w:rsidR="005552C7" w:rsidRPr="009B54A2" w:rsidP="00956D7C" w14:paraId="73F12497" w14:textId="77777777">
            <w:pPr>
              <w:suppressAutoHyphens/>
              <w:rPr>
                <w:rFonts w:ascii="Arial Narrow" w:hAnsi="Arial Narrow"/>
                <w:kern w:val="0"/>
                <w:sz w:val="17"/>
              </w:rPr>
            </w:pPr>
            <w:r w:rsidRPr="009B54A2">
              <w:rPr>
                <w:rFonts w:ascii="Arial Narrow" w:hAnsi="Arial Narrow"/>
                <w:kern w:val="0"/>
                <w:sz w:val="17"/>
              </w:rPr>
              <w:t>INTER-SATELLITE</w:t>
            </w:r>
          </w:p>
          <w:p w:rsidR="005552C7" w:rsidRPr="009B54A2" w:rsidP="00956D7C" w14:paraId="05159AFD" w14:textId="77777777">
            <w:pPr>
              <w:suppressAutoHyphens/>
              <w:rPr>
                <w:rFonts w:ascii="Arial Narrow" w:hAnsi="Arial Narrow"/>
                <w:kern w:val="0"/>
                <w:sz w:val="17"/>
              </w:rPr>
            </w:pPr>
            <w:r w:rsidRPr="009B54A2">
              <w:rPr>
                <w:rFonts w:ascii="Arial Narrow" w:hAnsi="Arial Narrow"/>
                <w:kern w:val="0"/>
                <w:sz w:val="17"/>
              </w:rPr>
              <w:t>RADIONAVIGATION</w:t>
            </w:r>
          </w:p>
          <w:p w:rsidR="005552C7" w:rsidRPr="009B54A2" w:rsidP="009B54A2" w14:paraId="28E77F34" w14:textId="77777777">
            <w:pPr>
              <w:suppressAutoHyphens/>
              <w:rPr>
                <w:rFonts w:ascii="Arial Narrow" w:hAnsi="Arial Narrow"/>
                <w:kern w:val="0"/>
                <w:sz w:val="17"/>
              </w:rPr>
            </w:pPr>
          </w:p>
          <w:p w:rsidR="005552C7" w:rsidRPr="009B54A2" w:rsidP="00956D7C" w14:paraId="5407B692" w14:textId="77777777">
            <w:pPr>
              <w:suppressAutoHyphens/>
              <w:rPr>
                <w:rFonts w:ascii="Arial Narrow" w:hAnsi="Arial Narrow"/>
                <w:kern w:val="0"/>
                <w:sz w:val="17"/>
              </w:rPr>
            </w:pPr>
          </w:p>
          <w:p w:rsidR="005552C7" w:rsidRPr="009B54A2" w:rsidP="009B54A2" w14:paraId="46F3E03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rPr>
                <w:rFonts w:ascii="Arial Narrow" w:hAnsi="Arial Narrow"/>
                <w:kern w:val="0"/>
                <w:sz w:val="17"/>
              </w:rPr>
            </w:pPr>
          </w:p>
          <w:p w:rsidR="005552C7" w:rsidRPr="009B54A2" w:rsidP="00956D7C" w14:paraId="14EDB4BD"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5.533</w:t>
            </w:r>
          </w:p>
        </w:tc>
        <w:tc>
          <w:tcPr>
            <w:tcW w:w="1550" w:type="dxa"/>
            <w:vMerge w:val="restart"/>
            <w:tcBorders>
              <w:left w:val="double" w:sz="6" w:space="0" w:color="auto"/>
              <w:right w:val="nil"/>
            </w:tcBorders>
            <w:noWrap/>
          </w:tcPr>
          <w:p w:rsidR="005552C7" w:rsidRPr="009B54A2" w:rsidP="00956D7C" w14:paraId="7E3B7BD1" w14:textId="77777777">
            <w:pPr>
              <w:suppressAutoHyphens/>
              <w:rPr>
                <w:rFonts w:ascii="Arial Narrow" w:hAnsi="Arial Narrow"/>
                <w:kern w:val="0"/>
                <w:sz w:val="17"/>
              </w:rPr>
            </w:pPr>
          </w:p>
          <w:p w:rsidR="005552C7" w:rsidRPr="009B54A2" w:rsidP="00956D7C" w14:paraId="4B09F3DE" w14:textId="77777777">
            <w:pPr>
              <w:suppressAutoHyphens/>
              <w:rPr>
                <w:rFonts w:ascii="Arial Narrow" w:hAnsi="Arial Narrow"/>
                <w:kern w:val="0"/>
                <w:sz w:val="17"/>
              </w:rPr>
            </w:pPr>
            <w:r w:rsidRPr="009B54A2">
              <w:rPr>
                <w:rFonts w:ascii="Arial Narrow" w:hAnsi="Arial Narrow"/>
                <w:kern w:val="0"/>
                <w:sz w:val="17"/>
              </w:rPr>
              <w:t>RF Devices (15)</w:t>
            </w:r>
          </w:p>
          <w:p w:rsidR="005552C7" w:rsidRPr="009B54A2" w:rsidP="00956D7C" w14:paraId="57DD57B3" w14:textId="77777777">
            <w:pPr>
              <w:suppressAutoHyphens/>
              <w:ind w:right="-90"/>
              <w:rPr>
                <w:rFonts w:ascii="Arial Narrow" w:hAnsi="Arial Narrow"/>
                <w:kern w:val="0"/>
                <w:sz w:val="17"/>
              </w:rPr>
            </w:pPr>
            <w:r w:rsidRPr="009B54A2">
              <w:rPr>
                <w:rFonts w:ascii="Arial Narrow" w:hAnsi="Arial Narrow"/>
                <w:kern w:val="0"/>
                <w:sz w:val="17"/>
              </w:rPr>
              <w:t>Satellite</w:t>
            </w:r>
          </w:p>
          <w:p w:rsidR="005552C7" w:rsidRPr="009B54A2" w:rsidP="00956D7C" w14:paraId="617A55E0" w14:textId="77777777">
            <w:pPr>
              <w:suppressAutoHyphens/>
              <w:spacing w:line="204" w:lineRule="auto"/>
              <w:ind w:right="-86"/>
              <w:rPr>
                <w:rFonts w:ascii="Arial Narrow" w:hAnsi="Arial Narrow"/>
                <w:kern w:val="0"/>
                <w:sz w:val="17"/>
              </w:rPr>
            </w:pPr>
            <w:r w:rsidRPr="009B54A2">
              <w:rPr>
                <w:rFonts w:ascii="Arial Narrow" w:hAnsi="Arial Narrow"/>
                <w:kern w:val="0"/>
                <w:sz w:val="17"/>
              </w:rPr>
              <w:t xml:space="preserve">   Communications (25)</w:t>
            </w:r>
          </w:p>
        </w:tc>
      </w:tr>
      <w:tr w14:paraId="7DEBF5FE" w14:textId="77777777" w:rsidTr="005552C7">
        <w:tblPrEx>
          <w:tblW w:w="5005" w:type="pct"/>
          <w:tblLayout w:type="fixed"/>
          <w:tblCellMar>
            <w:left w:w="58" w:type="dxa"/>
            <w:right w:w="0" w:type="dxa"/>
          </w:tblCellMar>
          <w:tblLook w:val="0000"/>
        </w:tblPrEx>
        <w:trPr>
          <w:trHeight w:val="1169"/>
        </w:trPr>
        <w:tc>
          <w:tcPr>
            <w:tcW w:w="2274" w:type="dxa"/>
            <w:tcBorders>
              <w:left w:val="nil"/>
            </w:tcBorders>
            <w:shd w:val="clear" w:color="auto" w:fill="auto"/>
            <w:noWrap/>
          </w:tcPr>
          <w:p w:rsidR="005552C7" w:rsidRPr="009B54A2" w:rsidP="009B54A2" w14:paraId="27F739BC" w14:textId="77777777">
            <w:pPr>
              <w:suppressAutoHyphens/>
              <w:ind w:left="-58"/>
              <w:rPr>
                <w:rFonts w:ascii="Arial Narrow" w:hAnsi="Arial Narrow"/>
                <w:kern w:val="0"/>
                <w:sz w:val="17"/>
              </w:rPr>
            </w:pPr>
            <w:r w:rsidRPr="009B54A2">
              <w:rPr>
                <w:rFonts w:ascii="Arial Narrow" w:hAnsi="Arial Narrow"/>
                <w:kern w:val="0"/>
                <w:sz w:val="17"/>
              </w:rPr>
              <w:t>24.65-24.75</w:t>
            </w:r>
          </w:p>
          <w:p w:rsidR="005552C7" w:rsidRPr="009B54A2" w:rsidP="009B54A2" w14:paraId="526EA8DA" w14:textId="77777777">
            <w:pPr>
              <w:suppressAutoHyphens/>
              <w:ind w:left="-58"/>
              <w:rPr>
                <w:rFonts w:ascii="Arial Narrow" w:hAnsi="Arial Narrow"/>
                <w:kern w:val="0"/>
                <w:sz w:val="17"/>
              </w:rPr>
            </w:pPr>
            <w:r w:rsidRPr="009B54A2">
              <w:rPr>
                <w:rFonts w:ascii="Arial Narrow" w:hAnsi="Arial Narrow"/>
                <w:kern w:val="0"/>
                <w:sz w:val="17"/>
              </w:rPr>
              <w:t>FIXED</w:t>
            </w:r>
          </w:p>
          <w:p w:rsidR="005552C7" w:rsidRPr="009B54A2" w:rsidP="009B54A2" w14:paraId="7A509EF0" w14:textId="77777777">
            <w:pPr>
              <w:suppressAutoHyphens/>
              <w:ind w:left="-58"/>
              <w:rPr>
                <w:rFonts w:ascii="Arial Narrow" w:hAnsi="Arial Narrow"/>
                <w:kern w:val="0"/>
                <w:sz w:val="17"/>
              </w:rPr>
            </w:pPr>
            <w:r w:rsidRPr="009B54A2">
              <w:rPr>
                <w:rFonts w:ascii="Arial Narrow" w:hAnsi="Arial Narrow"/>
                <w:kern w:val="0"/>
                <w:sz w:val="17"/>
              </w:rPr>
              <w:t>FIXED-SATELLITE</w:t>
            </w:r>
          </w:p>
          <w:p w:rsidR="005552C7" w:rsidRPr="009B54A2" w:rsidP="00956D7C" w14:paraId="01EE6509" w14:textId="77777777">
            <w:pPr>
              <w:suppressAutoHyphens/>
              <w:spacing w:line="204" w:lineRule="auto"/>
              <w:ind w:left="-54"/>
              <w:rPr>
                <w:rFonts w:ascii="Arial Narrow" w:hAnsi="Arial Narrow"/>
                <w:kern w:val="0"/>
                <w:sz w:val="17"/>
              </w:rPr>
            </w:pPr>
            <w:r w:rsidRPr="009B54A2">
              <w:rPr>
                <w:rFonts w:ascii="Arial Narrow" w:hAnsi="Arial Narrow"/>
                <w:kern w:val="0"/>
                <w:sz w:val="17"/>
              </w:rPr>
              <w:t xml:space="preserve">   (Earth-to-space)  5.532B</w:t>
            </w:r>
          </w:p>
          <w:p w:rsidR="005552C7" w:rsidRPr="002C1CD4" w:rsidP="00956D7C" w14:paraId="31A6C9E3" w14:textId="77777777">
            <w:pPr>
              <w:suppressAutoHyphens/>
              <w:ind w:left="-58"/>
              <w:rPr>
                <w:rFonts w:ascii="Arial Narrow" w:hAnsi="Arial Narrow"/>
                <w:kern w:val="0"/>
                <w:sz w:val="17"/>
                <w:szCs w:val="17"/>
              </w:rPr>
            </w:pPr>
            <w:r w:rsidRPr="009B54A2">
              <w:rPr>
                <w:rFonts w:ascii="Arial Narrow" w:hAnsi="Arial Narrow"/>
                <w:kern w:val="0"/>
                <w:sz w:val="17"/>
              </w:rPr>
              <w:t>INTER-SATELLITE</w:t>
            </w:r>
          </w:p>
          <w:p w:rsidR="005552C7" w:rsidRPr="002C1CD4" w:rsidP="00956D7C" w14:paraId="669BC51C" w14:textId="77777777">
            <w:pPr>
              <w:suppressAutoHyphens/>
              <w:ind w:left="-58"/>
              <w:rPr>
                <w:rFonts w:ascii="Arial Narrow" w:hAnsi="Arial Narrow"/>
                <w:kern w:val="0"/>
                <w:sz w:val="17"/>
                <w:szCs w:val="17"/>
              </w:rPr>
            </w:pPr>
            <w:r w:rsidRPr="002C1CD4">
              <w:rPr>
                <w:rFonts w:ascii="Arial Narrow" w:hAnsi="Arial Narrow"/>
                <w:kern w:val="0"/>
                <w:sz w:val="17"/>
                <w:szCs w:val="17"/>
              </w:rPr>
              <w:t>MOBILE except aeronautical</w:t>
            </w:r>
          </w:p>
          <w:p w:rsidR="005552C7" w:rsidRPr="009B54A2" w:rsidP="009B54A2" w14:paraId="00E5A422" w14:textId="77777777">
            <w:pPr>
              <w:suppressAutoHyphens/>
              <w:spacing w:line="204" w:lineRule="auto"/>
              <w:ind w:left="-58"/>
              <w:rPr>
                <w:rFonts w:ascii="Arial Narrow" w:hAnsi="Arial Narrow"/>
                <w:kern w:val="0"/>
                <w:sz w:val="17"/>
              </w:rPr>
            </w:pPr>
            <w:r w:rsidRPr="002C1CD4">
              <w:rPr>
                <w:rFonts w:ascii="Arial Narrow" w:hAnsi="Arial Narrow"/>
                <w:kern w:val="0"/>
                <w:sz w:val="17"/>
                <w:szCs w:val="17"/>
              </w:rPr>
              <w:t xml:space="preserve">   mobile  5.338A  5.532AB</w:t>
            </w:r>
          </w:p>
        </w:tc>
        <w:tc>
          <w:tcPr>
            <w:tcW w:w="2497" w:type="dxa"/>
            <w:noWrap/>
          </w:tcPr>
          <w:p w:rsidR="005552C7" w:rsidRPr="009B54A2" w:rsidP="00956D7C" w14:paraId="04D6617B" w14:textId="77777777">
            <w:pPr>
              <w:suppressAutoHyphens/>
              <w:rPr>
                <w:rFonts w:ascii="Arial Narrow" w:hAnsi="Arial Narrow"/>
                <w:kern w:val="0"/>
                <w:sz w:val="17"/>
              </w:rPr>
            </w:pPr>
            <w:r w:rsidRPr="009B54A2">
              <w:rPr>
                <w:rFonts w:ascii="Arial Narrow" w:hAnsi="Arial Narrow"/>
                <w:kern w:val="0"/>
                <w:sz w:val="17"/>
              </w:rPr>
              <w:t>24.65-24.75</w:t>
            </w:r>
          </w:p>
          <w:p w:rsidR="005552C7" w:rsidRPr="002C1CD4" w:rsidP="00956D7C" w14:paraId="2F6656D8" w14:textId="77777777">
            <w:pPr>
              <w:suppressAutoHyphens/>
              <w:rPr>
                <w:rFonts w:ascii="Arial Narrow" w:hAnsi="Arial Narrow"/>
                <w:kern w:val="0"/>
                <w:sz w:val="17"/>
                <w:szCs w:val="17"/>
              </w:rPr>
            </w:pPr>
            <w:r w:rsidRPr="002C1CD4">
              <w:rPr>
                <w:rFonts w:ascii="Arial Narrow" w:hAnsi="Arial Narrow"/>
                <w:kern w:val="0"/>
                <w:sz w:val="17"/>
                <w:szCs w:val="17"/>
              </w:rPr>
              <w:t>FIXED  5.532AA</w:t>
            </w:r>
          </w:p>
          <w:p w:rsidR="005552C7" w:rsidRPr="009B54A2" w:rsidP="00956D7C" w14:paraId="041E736C" w14:textId="77777777">
            <w:pPr>
              <w:suppressAutoHyphens/>
              <w:rPr>
                <w:rFonts w:ascii="Arial Narrow" w:hAnsi="Arial Narrow"/>
                <w:kern w:val="0"/>
                <w:sz w:val="17"/>
              </w:rPr>
            </w:pPr>
            <w:r w:rsidRPr="009B54A2">
              <w:rPr>
                <w:rFonts w:ascii="Arial Narrow" w:hAnsi="Arial Narrow"/>
                <w:kern w:val="0"/>
                <w:sz w:val="17"/>
              </w:rPr>
              <w:t>INTER-SATELLITE</w:t>
            </w:r>
          </w:p>
          <w:p w:rsidR="005552C7" w:rsidRPr="002C1CD4" w:rsidP="00956D7C" w14:paraId="1F3EAD59" w14:textId="77777777">
            <w:pPr>
              <w:suppressAutoHyphens/>
              <w:rPr>
                <w:rFonts w:ascii="Arial Narrow" w:hAnsi="Arial Narrow"/>
                <w:kern w:val="0"/>
                <w:sz w:val="17"/>
                <w:szCs w:val="17"/>
              </w:rPr>
            </w:pPr>
            <w:r w:rsidRPr="002C1CD4">
              <w:rPr>
                <w:rFonts w:ascii="Arial Narrow" w:hAnsi="Arial Narrow"/>
                <w:kern w:val="0"/>
                <w:sz w:val="17"/>
                <w:szCs w:val="17"/>
              </w:rPr>
              <w:t>MOBILE except aeronautical</w:t>
            </w:r>
          </w:p>
          <w:p w:rsidR="005552C7" w:rsidRPr="002C1CD4" w:rsidP="00956D7C" w14:paraId="428CE684" w14:textId="77777777">
            <w:pPr>
              <w:suppressAutoHyphens/>
              <w:spacing w:line="204" w:lineRule="auto"/>
              <w:rPr>
                <w:rFonts w:ascii="Arial Narrow" w:hAnsi="Arial Narrow"/>
                <w:kern w:val="0"/>
                <w:sz w:val="17"/>
                <w:szCs w:val="17"/>
              </w:rPr>
            </w:pPr>
            <w:r w:rsidRPr="002C1CD4">
              <w:rPr>
                <w:rFonts w:ascii="Arial Narrow" w:hAnsi="Arial Narrow"/>
                <w:kern w:val="0"/>
                <w:sz w:val="17"/>
                <w:szCs w:val="17"/>
              </w:rPr>
              <w:t xml:space="preserve">   mobile  5.338A  5.532AB</w:t>
            </w:r>
          </w:p>
          <w:p w:rsidR="005552C7" w:rsidRPr="009B54A2" w:rsidP="00956D7C" w14:paraId="32743A78" w14:textId="77777777">
            <w:pPr>
              <w:suppressAutoHyphens/>
              <w:rPr>
                <w:rFonts w:ascii="Arial Narrow" w:hAnsi="Arial Narrow"/>
                <w:kern w:val="0"/>
                <w:sz w:val="17"/>
              </w:rPr>
            </w:pPr>
            <w:r w:rsidRPr="009B54A2">
              <w:rPr>
                <w:rFonts w:ascii="Arial Narrow" w:hAnsi="Arial Narrow"/>
                <w:kern w:val="0"/>
                <w:sz w:val="17"/>
              </w:rPr>
              <w:t>RADIOLOCATION-SATELLITE</w:t>
            </w:r>
          </w:p>
          <w:p w:rsidR="005552C7" w:rsidRPr="009B54A2" w:rsidP="00956D7C" w14:paraId="2FF3EDF4"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 xml:space="preserve">   (Earth-to-space)</w:t>
            </w:r>
          </w:p>
        </w:tc>
        <w:tc>
          <w:tcPr>
            <w:tcW w:w="2539" w:type="dxa"/>
            <w:tcBorders>
              <w:right w:val="double" w:sz="6" w:space="0" w:color="auto"/>
            </w:tcBorders>
            <w:noWrap/>
          </w:tcPr>
          <w:p w:rsidR="005552C7" w:rsidRPr="009B54A2" w:rsidP="00956D7C" w14:paraId="3BFC73BF" w14:textId="77777777">
            <w:pPr>
              <w:suppressAutoHyphens/>
              <w:rPr>
                <w:rFonts w:ascii="Arial Narrow" w:hAnsi="Arial Narrow"/>
                <w:kern w:val="0"/>
                <w:sz w:val="17"/>
              </w:rPr>
            </w:pPr>
            <w:r w:rsidRPr="009B54A2">
              <w:rPr>
                <w:rFonts w:ascii="Arial Narrow" w:hAnsi="Arial Narrow"/>
                <w:kern w:val="0"/>
                <w:sz w:val="17"/>
              </w:rPr>
              <w:t>24.65-24.75</w:t>
            </w:r>
          </w:p>
          <w:p w:rsidR="005552C7" w:rsidRPr="009B54A2" w:rsidP="00956D7C" w14:paraId="5EF13283" w14:textId="77777777">
            <w:pPr>
              <w:suppressAutoHyphens/>
              <w:spacing w:line="228" w:lineRule="auto"/>
              <w:rPr>
                <w:rFonts w:ascii="Arial Narrow" w:hAnsi="Arial Narrow"/>
                <w:kern w:val="0"/>
                <w:sz w:val="17"/>
              </w:rPr>
            </w:pPr>
            <w:r w:rsidRPr="009B54A2">
              <w:rPr>
                <w:rFonts w:ascii="Arial Narrow" w:hAnsi="Arial Narrow"/>
                <w:kern w:val="0"/>
                <w:sz w:val="17"/>
              </w:rPr>
              <w:t>FIXED</w:t>
            </w:r>
          </w:p>
          <w:p w:rsidR="005552C7" w:rsidRPr="009B54A2" w:rsidP="00956D7C" w14:paraId="662BBA68" w14:textId="77777777">
            <w:pPr>
              <w:suppressAutoHyphens/>
              <w:spacing w:line="228" w:lineRule="auto"/>
              <w:rPr>
                <w:rFonts w:ascii="Arial Narrow" w:hAnsi="Arial Narrow"/>
                <w:kern w:val="0"/>
                <w:sz w:val="17"/>
              </w:rPr>
            </w:pPr>
            <w:r w:rsidRPr="009B54A2">
              <w:rPr>
                <w:rFonts w:ascii="Arial Narrow" w:hAnsi="Arial Narrow"/>
                <w:kern w:val="0"/>
                <w:sz w:val="17"/>
              </w:rPr>
              <w:t>FIXED-SATELLITE</w:t>
            </w:r>
          </w:p>
          <w:p w:rsidR="005552C7" w:rsidRPr="009B54A2" w:rsidP="00956D7C" w14:paraId="369B1A6C" w14:textId="77777777">
            <w:pPr>
              <w:suppressAutoHyphens/>
              <w:spacing w:line="204" w:lineRule="auto"/>
              <w:rPr>
                <w:rFonts w:ascii="Arial Narrow" w:hAnsi="Arial Narrow"/>
                <w:kern w:val="0"/>
                <w:sz w:val="17"/>
              </w:rPr>
            </w:pPr>
            <w:r w:rsidRPr="009B54A2">
              <w:rPr>
                <w:rFonts w:ascii="Arial Narrow" w:hAnsi="Arial Narrow"/>
                <w:kern w:val="0"/>
                <w:sz w:val="17"/>
              </w:rPr>
              <w:t xml:space="preserve">   (Earth-to-space)  5.532B</w:t>
            </w:r>
          </w:p>
          <w:p w:rsidR="005552C7" w:rsidRPr="009B54A2" w:rsidP="00956D7C" w14:paraId="775177A0" w14:textId="77777777">
            <w:pPr>
              <w:suppressAutoHyphens/>
              <w:spacing w:line="228" w:lineRule="auto"/>
              <w:rPr>
                <w:rFonts w:ascii="Arial Narrow" w:hAnsi="Arial Narrow"/>
                <w:kern w:val="0"/>
                <w:sz w:val="17"/>
              </w:rPr>
            </w:pPr>
            <w:r w:rsidRPr="009B54A2">
              <w:rPr>
                <w:rFonts w:ascii="Arial Narrow" w:hAnsi="Arial Narrow"/>
                <w:kern w:val="0"/>
                <w:sz w:val="17"/>
              </w:rPr>
              <w:t>INTER-SATELLITE</w:t>
            </w:r>
          </w:p>
          <w:p w:rsidR="005552C7" w:rsidRPr="009B54A2" w:rsidP="00956D7C" w14:paraId="0B671F87" w14:textId="740D02B1">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MOBILE</w:t>
            </w:r>
            <w:r w:rsidRPr="002C1CD4">
              <w:rPr>
                <w:rFonts w:ascii="Arial Narrow" w:hAnsi="Arial Narrow"/>
                <w:kern w:val="0"/>
                <w:sz w:val="17"/>
                <w:szCs w:val="17"/>
              </w:rPr>
              <w:t xml:space="preserve">  </w:t>
            </w:r>
            <w:r w:rsidRPr="009B54A2">
              <w:rPr>
                <w:rFonts w:ascii="Arial Narrow" w:hAnsi="Arial Narrow"/>
                <w:kern w:val="0"/>
                <w:sz w:val="17"/>
              </w:rPr>
              <w:t>5.</w:t>
            </w:r>
            <w:r w:rsidRPr="002C1CD4">
              <w:rPr>
                <w:rFonts w:ascii="Arial Narrow" w:hAnsi="Arial Narrow"/>
                <w:kern w:val="0"/>
                <w:sz w:val="17"/>
                <w:szCs w:val="17"/>
              </w:rPr>
              <w:t>338A  5.532AB</w:t>
            </w:r>
          </w:p>
        </w:tc>
        <w:tc>
          <w:tcPr>
            <w:tcW w:w="4834" w:type="dxa"/>
            <w:gridSpan w:val="2"/>
            <w:tcBorders>
              <w:left w:val="double" w:sz="6" w:space="0" w:color="auto"/>
              <w:right w:val="double" w:sz="6" w:space="0" w:color="auto"/>
            </w:tcBorders>
            <w:noWrap/>
          </w:tcPr>
          <w:p w:rsidR="005552C7" w:rsidRPr="009B54A2" w:rsidP="00956D7C" w14:paraId="0E312ED3" w14:textId="77777777">
            <w:pPr>
              <w:suppressAutoHyphens/>
              <w:rPr>
                <w:rFonts w:ascii="Arial Narrow" w:hAnsi="Arial Narrow"/>
                <w:kern w:val="0"/>
                <w:sz w:val="17"/>
              </w:rPr>
            </w:pPr>
            <w:r w:rsidRPr="009B54A2">
              <w:rPr>
                <w:rFonts w:ascii="Arial Narrow" w:hAnsi="Arial Narrow"/>
                <w:kern w:val="0"/>
                <w:sz w:val="17"/>
              </w:rPr>
              <w:t>24.65-24.75</w:t>
            </w:r>
          </w:p>
          <w:p w:rsidR="005552C7" w:rsidRPr="009B54A2" w:rsidP="00956D7C" w14:paraId="0FDE11A6" w14:textId="77777777">
            <w:pPr>
              <w:suppressAutoHyphens/>
              <w:rPr>
                <w:rFonts w:ascii="Arial Narrow" w:hAnsi="Arial Narrow"/>
                <w:kern w:val="0"/>
                <w:sz w:val="17"/>
              </w:rPr>
            </w:pPr>
            <w:r w:rsidRPr="009B54A2">
              <w:rPr>
                <w:rFonts w:ascii="Arial Narrow" w:hAnsi="Arial Narrow"/>
                <w:kern w:val="0"/>
                <w:sz w:val="17"/>
              </w:rPr>
              <w:t>INTER-SATELLITE</w:t>
            </w:r>
          </w:p>
          <w:p w:rsidR="005552C7" w:rsidRPr="009B54A2" w:rsidP="00956D7C" w14:paraId="5557BB3C" w14:textId="77777777">
            <w:pPr>
              <w:suppressAutoHyphens/>
              <w:rPr>
                <w:rFonts w:ascii="Arial Narrow" w:hAnsi="Arial Narrow"/>
                <w:kern w:val="0"/>
                <w:sz w:val="17"/>
              </w:rPr>
            </w:pPr>
            <w:r w:rsidRPr="009B54A2">
              <w:rPr>
                <w:rFonts w:ascii="Arial Narrow" w:hAnsi="Arial Narrow"/>
                <w:kern w:val="0"/>
                <w:sz w:val="17"/>
              </w:rPr>
              <w:t>RADIOLOCATION-SATELLITE (Earth-to-space)</w:t>
            </w:r>
          </w:p>
        </w:tc>
        <w:tc>
          <w:tcPr>
            <w:tcW w:w="1550" w:type="dxa"/>
            <w:vMerge/>
            <w:tcBorders>
              <w:left w:val="double" w:sz="6" w:space="0" w:color="auto"/>
              <w:right w:val="nil"/>
            </w:tcBorders>
            <w:noWrap/>
            <w:vAlign w:val="center"/>
          </w:tcPr>
          <w:p w:rsidR="005552C7" w:rsidRPr="009B54A2" w:rsidP="00956D7C" w14:paraId="21B6D3E6" w14:textId="77777777">
            <w:pPr>
              <w:suppressAutoHyphens/>
              <w:rPr>
                <w:rFonts w:ascii="Arial Narrow" w:hAnsi="Arial Narrow"/>
                <w:kern w:val="0"/>
                <w:sz w:val="17"/>
              </w:rPr>
            </w:pPr>
          </w:p>
        </w:tc>
      </w:tr>
      <w:tr w14:paraId="0CB7650A" w14:textId="77777777" w:rsidTr="005552C7">
        <w:tblPrEx>
          <w:tblW w:w="5005" w:type="pct"/>
          <w:tblLayout w:type="fixed"/>
          <w:tblCellMar>
            <w:left w:w="58" w:type="dxa"/>
            <w:right w:w="0" w:type="dxa"/>
          </w:tblCellMar>
          <w:tblLook w:val="0000"/>
        </w:tblPrEx>
        <w:trPr>
          <w:trHeight w:val="777"/>
        </w:trPr>
        <w:tc>
          <w:tcPr>
            <w:tcW w:w="2274" w:type="dxa"/>
            <w:tcBorders>
              <w:left w:val="nil"/>
            </w:tcBorders>
            <w:noWrap/>
          </w:tcPr>
          <w:p w:rsidR="005552C7" w:rsidRPr="009B54A2" w:rsidP="00956D7C" w14:paraId="60491080" w14:textId="77777777">
            <w:pPr>
              <w:suppressAutoHyphens/>
              <w:ind w:left="-54"/>
              <w:rPr>
                <w:rFonts w:ascii="Arial Narrow" w:hAnsi="Arial Narrow"/>
                <w:kern w:val="0"/>
                <w:sz w:val="17"/>
              </w:rPr>
            </w:pPr>
            <w:r w:rsidRPr="009B54A2">
              <w:rPr>
                <w:rFonts w:ascii="Arial Narrow" w:hAnsi="Arial Narrow"/>
                <w:kern w:val="0"/>
                <w:sz w:val="17"/>
              </w:rPr>
              <w:t>24.75-25.25</w:t>
            </w:r>
          </w:p>
          <w:p w:rsidR="005552C7" w:rsidRPr="009B54A2" w:rsidP="00956D7C" w14:paraId="6E0AE8D2" w14:textId="77777777">
            <w:pPr>
              <w:suppressAutoHyphens/>
              <w:ind w:left="-54"/>
              <w:rPr>
                <w:rFonts w:ascii="Arial Narrow" w:hAnsi="Arial Narrow"/>
                <w:kern w:val="0"/>
                <w:sz w:val="17"/>
              </w:rPr>
            </w:pPr>
            <w:r w:rsidRPr="009B54A2">
              <w:rPr>
                <w:rFonts w:ascii="Arial Narrow" w:hAnsi="Arial Narrow"/>
                <w:kern w:val="0"/>
                <w:sz w:val="17"/>
              </w:rPr>
              <w:t>FIXED</w:t>
            </w:r>
          </w:p>
          <w:p w:rsidR="005552C7" w:rsidRPr="009B54A2" w:rsidP="00956D7C" w14:paraId="3392B6D4" w14:textId="77777777">
            <w:pPr>
              <w:tabs>
                <w:tab w:val="left" w:pos="-2006"/>
                <w:tab w:val="left" w:pos="-1695"/>
                <w:tab w:val="left" w:pos="-114"/>
                <w:tab w:val="left" w:pos="336"/>
                <w:tab w:val="left" w:pos="873"/>
                <w:tab w:val="left" w:pos="1593"/>
                <w:tab w:val="left" w:pos="3033"/>
              </w:tabs>
              <w:suppressAutoHyphens/>
              <w:ind w:left="-54"/>
              <w:rPr>
                <w:rFonts w:ascii="Arial Narrow" w:hAnsi="Arial Narrow"/>
                <w:kern w:val="0"/>
                <w:sz w:val="17"/>
              </w:rPr>
            </w:pPr>
            <w:r w:rsidRPr="009B54A2">
              <w:rPr>
                <w:rFonts w:ascii="Arial Narrow" w:hAnsi="Arial Narrow"/>
                <w:kern w:val="0"/>
                <w:sz w:val="17"/>
              </w:rPr>
              <w:t>FIXED-SATELLITE</w:t>
            </w:r>
          </w:p>
          <w:p w:rsidR="005552C7" w:rsidRPr="002C1CD4" w:rsidP="00956D7C" w14:paraId="1E7CA448" w14:textId="77777777">
            <w:pPr>
              <w:suppressAutoHyphens/>
              <w:spacing w:line="204" w:lineRule="auto"/>
              <w:ind w:left="-54"/>
              <w:rPr>
                <w:rFonts w:ascii="Arial Narrow" w:hAnsi="Arial Narrow"/>
                <w:kern w:val="0"/>
                <w:sz w:val="17"/>
                <w:szCs w:val="17"/>
              </w:rPr>
            </w:pPr>
            <w:r w:rsidRPr="009B54A2">
              <w:rPr>
                <w:rFonts w:ascii="Arial Narrow" w:hAnsi="Arial Narrow"/>
                <w:kern w:val="0"/>
                <w:sz w:val="17"/>
              </w:rPr>
              <w:t xml:space="preserve">   (Earth-to-space)  5.532B</w:t>
            </w:r>
          </w:p>
          <w:p w:rsidR="005552C7" w:rsidRPr="002C1CD4" w:rsidP="00956D7C" w14:paraId="2EB719A7" w14:textId="77777777">
            <w:pPr>
              <w:suppressAutoHyphens/>
              <w:ind w:left="-58"/>
              <w:rPr>
                <w:rFonts w:ascii="Arial Narrow" w:hAnsi="Arial Narrow"/>
                <w:kern w:val="0"/>
                <w:sz w:val="17"/>
                <w:szCs w:val="17"/>
              </w:rPr>
            </w:pPr>
            <w:r w:rsidRPr="002C1CD4">
              <w:rPr>
                <w:rFonts w:ascii="Arial Narrow" w:hAnsi="Arial Narrow"/>
                <w:kern w:val="0"/>
                <w:sz w:val="17"/>
                <w:szCs w:val="17"/>
              </w:rPr>
              <w:t>MOBILE except aeronautical</w:t>
            </w:r>
          </w:p>
          <w:p w:rsidR="005552C7" w:rsidRPr="009B54A2" w:rsidP="00956D7C" w14:paraId="415FD7B0" w14:textId="77777777">
            <w:pPr>
              <w:suppressAutoHyphens/>
              <w:spacing w:line="204" w:lineRule="auto"/>
              <w:ind w:left="-54"/>
              <w:rPr>
                <w:rFonts w:ascii="Arial Narrow" w:hAnsi="Arial Narrow"/>
                <w:kern w:val="0"/>
                <w:sz w:val="17"/>
              </w:rPr>
            </w:pPr>
            <w:r w:rsidRPr="002C1CD4">
              <w:rPr>
                <w:rFonts w:ascii="Arial Narrow" w:hAnsi="Arial Narrow"/>
                <w:kern w:val="0"/>
                <w:sz w:val="17"/>
                <w:szCs w:val="17"/>
              </w:rPr>
              <w:t xml:space="preserve">   mobile  5.338A  5.532AB</w:t>
            </w:r>
          </w:p>
        </w:tc>
        <w:tc>
          <w:tcPr>
            <w:tcW w:w="2497" w:type="dxa"/>
            <w:noWrap/>
          </w:tcPr>
          <w:p w:rsidR="005552C7" w:rsidRPr="009B54A2" w:rsidP="00956D7C" w14:paraId="14E24160" w14:textId="77777777">
            <w:pPr>
              <w:suppressAutoHyphens/>
              <w:rPr>
                <w:rFonts w:ascii="Arial Narrow" w:hAnsi="Arial Narrow"/>
                <w:kern w:val="0"/>
                <w:sz w:val="17"/>
              </w:rPr>
            </w:pPr>
            <w:r w:rsidRPr="009B54A2">
              <w:rPr>
                <w:rFonts w:ascii="Arial Narrow" w:hAnsi="Arial Narrow"/>
                <w:kern w:val="0"/>
                <w:sz w:val="17"/>
              </w:rPr>
              <w:t>24.75-25.25</w:t>
            </w:r>
          </w:p>
          <w:p w:rsidR="005552C7" w:rsidRPr="002C1CD4" w:rsidP="00956D7C" w14:paraId="46F2A976" w14:textId="77777777">
            <w:pPr>
              <w:suppressAutoHyphens/>
              <w:rPr>
                <w:rFonts w:ascii="Arial Narrow" w:hAnsi="Arial Narrow"/>
                <w:kern w:val="0"/>
                <w:sz w:val="17"/>
                <w:szCs w:val="17"/>
              </w:rPr>
            </w:pPr>
            <w:r w:rsidRPr="002C1CD4">
              <w:rPr>
                <w:rFonts w:ascii="Arial Narrow" w:hAnsi="Arial Narrow"/>
                <w:kern w:val="0"/>
                <w:sz w:val="17"/>
                <w:szCs w:val="17"/>
              </w:rPr>
              <w:t>FIXED  5.532AA</w:t>
            </w:r>
          </w:p>
          <w:p w:rsidR="005552C7" w:rsidRPr="009B54A2" w:rsidP="00956D7C" w14:paraId="665BE670" w14:textId="77777777">
            <w:pPr>
              <w:tabs>
                <w:tab w:val="left" w:pos="-2006"/>
                <w:tab w:val="left" w:pos="-1695"/>
                <w:tab w:val="left" w:pos="-114"/>
                <w:tab w:val="left" w:pos="336"/>
                <w:tab w:val="left" w:pos="873"/>
                <w:tab w:val="left" w:pos="1593"/>
                <w:tab w:val="left" w:pos="3033"/>
              </w:tabs>
              <w:suppressAutoHyphens/>
              <w:rPr>
                <w:rFonts w:ascii="Arial Narrow" w:hAnsi="Arial Narrow"/>
                <w:kern w:val="0"/>
                <w:sz w:val="17"/>
              </w:rPr>
            </w:pPr>
            <w:r w:rsidRPr="009B54A2">
              <w:rPr>
                <w:rFonts w:ascii="Arial Narrow" w:hAnsi="Arial Narrow"/>
                <w:kern w:val="0"/>
                <w:sz w:val="17"/>
              </w:rPr>
              <w:t>FIXED-SATELLITE</w:t>
            </w:r>
          </w:p>
          <w:p w:rsidR="005552C7" w:rsidRPr="002C1CD4" w:rsidP="00956D7C" w14:paraId="6EA436F8"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szCs w:val="17"/>
              </w:rPr>
            </w:pPr>
            <w:r w:rsidRPr="009B54A2">
              <w:rPr>
                <w:rFonts w:ascii="Arial Narrow" w:hAnsi="Arial Narrow"/>
                <w:kern w:val="0"/>
                <w:sz w:val="17"/>
              </w:rPr>
              <w:t xml:space="preserve">   (Earth-to-space)  5.535</w:t>
            </w:r>
          </w:p>
          <w:p w:rsidR="005552C7" w:rsidRPr="002C1CD4" w:rsidP="00956D7C" w14:paraId="2CDDB198" w14:textId="77777777">
            <w:pPr>
              <w:suppressAutoHyphens/>
              <w:rPr>
                <w:rFonts w:ascii="Arial Narrow" w:hAnsi="Arial Narrow"/>
                <w:kern w:val="0"/>
                <w:sz w:val="17"/>
                <w:szCs w:val="17"/>
              </w:rPr>
            </w:pPr>
            <w:r w:rsidRPr="002C1CD4">
              <w:rPr>
                <w:rFonts w:ascii="Arial Narrow" w:hAnsi="Arial Narrow"/>
                <w:kern w:val="0"/>
                <w:sz w:val="17"/>
                <w:szCs w:val="17"/>
              </w:rPr>
              <w:t>MOBILE except aeronautical</w:t>
            </w:r>
          </w:p>
          <w:p w:rsidR="005552C7" w:rsidRPr="009B54A2" w:rsidP="009B54A2" w14:paraId="4FF2E477" w14:textId="77777777">
            <w:pPr>
              <w:suppressAutoHyphens/>
              <w:spacing w:line="204" w:lineRule="auto"/>
              <w:rPr>
                <w:rFonts w:ascii="Arial Narrow" w:hAnsi="Arial Narrow"/>
                <w:kern w:val="0"/>
                <w:sz w:val="17"/>
              </w:rPr>
            </w:pPr>
            <w:r w:rsidRPr="002C1CD4">
              <w:rPr>
                <w:rFonts w:ascii="Arial Narrow" w:hAnsi="Arial Narrow"/>
                <w:kern w:val="0"/>
                <w:sz w:val="17"/>
                <w:szCs w:val="17"/>
              </w:rPr>
              <w:t xml:space="preserve">   mobile  5.338A  5.532AB</w:t>
            </w:r>
          </w:p>
        </w:tc>
        <w:tc>
          <w:tcPr>
            <w:tcW w:w="2539" w:type="dxa"/>
            <w:tcBorders>
              <w:right w:val="double" w:sz="6" w:space="0" w:color="auto"/>
            </w:tcBorders>
            <w:noWrap/>
          </w:tcPr>
          <w:p w:rsidR="005552C7" w:rsidRPr="009B54A2" w:rsidP="00956D7C" w14:paraId="343397AD" w14:textId="77777777">
            <w:pPr>
              <w:tabs>
                <w:tab w:val="left" w:pos="-1440"/>
              </w:tabs>
              <w:suppressAutoHyphens/>
              <w:rPr>
                <w:rFonts w:ascii="Arial Narrow" w:hAnsi="Arial Narrow"/>
                <w:kern w:val="0"/>
                <w:sz w:val="17"/>
              </w:rPr>
            </w:pPr>
            <w:r w:rsidRPr="009B54A2">
              <w:rPr>
                <w:rFonts w:ascii="Arial Narrow" w:hAnsi="Arial Narrow"/>
                <w:kern w:val="0"/>
                <w:sz w:val="17"/>
              </w:rPr>
              <w:t>24.75-25.25</w:t>
            </w:r>
          </w:p>
          <w:p w:rsidR="005552C7" w:rsidRPr="009B54A2" w:rsidP="00956D7C" w14:paraId="3A4E97A6" w14:textId="77777777">
            <w:pPr>
              <w:tabs>
                <w:tab w:val="left" w:pos="-1440"/>
              </w:tabs>
              <w:suppressAutoHyphens/>
              <w:rPr>
                <w:rFonts w:ascii="Arial Narrow" w:hAnsi="Arial Narrow"/>
                <w:kern w:val="0"/>
                <w:sz w:val="17"/>
              </w:rPr>
            </w:pPr>
            <w:r w:rsidRPr="009B54A2">
              <w:rPr>
                <w:rFonts w:ascii="Arial Narrow" w:hAnsi="Arial Narrow"/>
                <w:kern w:val="0"/>
                <w:sz w:val="17"/>
              </w:rPr>
              <w:t>FIXED</w:t>
            </w:r>
          </w:p>
          <w:p w:rsidR="005552C7" w:rsidRPr="009B54A2" w:rsidP="00956D7C" w14:paraId="741C7FF0" w14:textId="77777777">
            <w:pPr>
              <w:tabs>
                <w:tab w:val="left" w:pos="-1440"/>
              </w:tabs>
              <w:suppressAutoHyphens/>
              <w:rPr>
                <w:rFonts w:ascii="Arial Narrow" w:hAnsi="Arial Narrow"/>
                <w:kern w:val="0"/>
                <w:sz w:val="17"/>
              </w:rPr>
            </w:pPr>
            <w:r w:rsidRPr="009B54A2">
              <w:rPr>
                <w:rFonts w:ascii="Arial Narrow" w:hAnsi="Arial Narrow"/>
                <w:kern w:val="0"/>
                <w:sz w:val="17"/>
              </w:rPr>
              <w:t>FIXED-SATELLITE</w:t>
            </w:r>
          </w:p>
          <w:p w:rsidR="005552C7" w:rsidRPr="009B54A2" w:rsidP="00956D7C" w14:paraId="046502B7"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 xml:space="preserve">   (Earth-to-space)  5.535</w:t>
            </w:r>
          </w:p>
          <w:p w:rsidR="005552C7" w:rsidRPr="009B54A2" w:rsidP="009B54A2" w14:paraId="3225E8F1" w14:textId="77777777">
            <w:pPr>
              <w:suppressAutoHyphens/>
              <w:rPr>
                <w:rFonts w:ascii="Arial Narrow" w:hAnsi="Arial Narrow"/>
                <w:kern w:val="0"/>
                <w:sz w:val="17"/>
              </w:rPr>
            </w:pPr>
            <w:r w:rsidRPr="009B54A2">
              <w:rPr>
                <w:rFonts w:ascii="Arial Narrow" w:hAnsi="Arial Narrow"/>
                <w:kern w:val="0"/>
                <w:sz w:val="17"/>
              </w:rPr>
              <w:t>MOBILE</w:t>
            </w:r>
            <w:r w:rsidRPr="002C1CD4">
              <w:rPr>
                <w:rFonts w:ascii="Arial Narrow" w:hAnsi="Arial Narrow"/>
                <w:kern w:val="0"/>
                <w:sz w:val="17"/>
                <w:szCs w:val="17"/>
              </w:rPr>
              <w:t xml:space="preserve">  5.338A  5.532AB</w:t>
            </w:r>
          </w:p>
        </w:tc>
        <w:tc>
          <w:tcPr>
            <w:tcW w:w="2461" w:type="dxa"/>
            <w:tcBorders>
              <w:left w:val="double" w:sz="6" w:space="0" w:color="auto"/>
            </w:tcBorders>
            <w:noWrap/>
          </w:tcPr>
          <w:p w:rsidR="005552C7" w:rsidRPr="009B54A2" w:rsidP="00956D7C" w14:paraId="736643CF" w14:textId="77777777">
            <w:pPr>
              <w:tabs>
                <w:tab w:val="left" w:pos="-1440"/>
              </w:tabs>
              <w:suppressAutoHyphens/>
              <w:rPr>
                <w:rFonts w:ascii="Arial Narrow" w:hAnsi="Arial Narrow"/>
                <w:kern w:val="0"/>
                <w:sz w:val="17"/>
              </w:rPr>
            </w:pPr>
            <w:r w:rsidRPr="009B54A2">
              <w:rPr>
                <w:rFonts w:ascii="Arial Narrow" w:hAnsi="Arial Narrow"/>
                <w:kern w:val="0"/>
                <w:sz w:val="17"/>
              </w:rPr>
              <w:t>24.75-25.25</w:t>
            </w:r>
          </w:p>
        </w:tc>
        <w:tc>
          <w:tcPr>
            <w:tcW w:w="2373" w:type="dxa"/>
            <w:tcBorders>
              <w:right w:val="double" w:sz="6" w:space="0" w:color="auto"/>
            </w:tcBorders>
            <w:noWrap/>
          </w:tcPr>
          <w:p w:rsidR="005552C7" w:rsidRPr="009B54A2" w:rsidP="00956D7C" w14:paraId="3544495F" w14:textId="77777777">
            <w:pPr>
              <w:tabs>
                <w:tab w:val="left" w:pos="-1440"/>
              </w:tabs>
              <w:suppressAutoHyphens/>
              <w:rPr>
                <w:rFonts w:ascii="Arial Narrow" w:hAnsi="Arial Narrow"/>
                <w:kern w:val="0"/>
                <w:sz w:val="17"/>
              </w:rPr>
            </w:pPr>
            <w:r w:rsidRPr="009B54A2">
              <w:rPr>
                <w:rFonts w:ascii="Arial Narrow" w:hAnsi="Arial Narrow"/>
                <w:kern w:val="0"/>
                <w:sz w:val="17"/>
              </w:rPr>
              <w:t>24.75-25.25</w:t>
            </w:r>
          </w:p>
          <w:p w:rsidR="005552C7" w:rsidRPr="009B54A2" w:rsidP="00956D7C" w14:paraId="17BF8E04" w14:textId="77777777">
            <w:pPr>
              <w:tabs>
                <w:tab w:val="left" w:pos="-1440"/>
              </w:tabs>
              <w:suppressAutoHyphens/>
              <w:rPr>
                <w:rFonts w:ascii="Arial Narrow" w:hAnsi="Arial Narrow"/>
                <w:kern w:val="0"/>
                <w:sz w:val="17"/>
              </w:rPr>
            </w:pPr>
            <w:r w:rsidRPr="009B54A2">
              <w:rPr>
                <w:rFonts w:ascii="Arial Narrow" w:hAnsi="Arial Narrow"/>
                <w:kern w:val="0"/>
                <w:sz w:val="17"/>
              </w:rPr>
              <w:t>FIXED</w:t>
            </w:r>
          </w:p>
          <w:p w:rsidR="005552C7" w:rsidRPr="009B54A2" w:rsidP="00956D7C" w14:paraId="2AB7F464" w14:textId="77777777">
            <w:pPr>
              <w:tabs>
                <w:tab w:val="left" w:pos="-1440"/>
              </w:tabs>
              <w:suppressAutoHyphens/>
              <w:rPr>
                <w:rFonts w:ascii="Arial Narrow" w:hAnsi="Arial Narrow"/>
                <w:kern w:val="0"/>
                <w:sz w:val="17"/>
              </w:rPr>
            </w:pPr>
            <w:r w:rsidRPr="009B54A2">
              <w:rPr>
                <w:rFonts w:ascii="Arial Narrow" w:hAnsi="Arial Narrow"/>
                <w:kern w:val="0"/>
                <w:sz w:val="17"/>
              </w:rPr>
              <w:t>FIXED-SATELLITE (Earth-to-space)</w:t>
            </w:r>
          </w:p>
          <w:p w:rsidR="005552C7" w:rsidRPr="009B54A2" w:rsidP="00956D7C" w14:paraId="6E2757FF"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 xml:space="preserve">MOBILE  </w:t>
            </w:r>
            <w:r w:rsidRPr="009B54A2">
              <w:rPr>
                <w:rFonts w:ascii="Arial Narrow" w:hAnsi="Arial Narrow"/>
                <w:kern w:val="0"/>
                <w:sz w:val="17"/>
              </w:rPr>
              <w:t>USxxx</w:t>
            </w:r>
          </w:p>
          <w:p w:rsidR="005552C7" w:rsidRPr="009B54A2" w:rsidP="009B54A2" w14:paraId="7667D043"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p w:rsidR="005552C7" w:rsidRPr="009B54A2" w:rsidP="00956D7C" w14:paraId="07AD99A6"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NG65</w:t>
            </w:r>
          </w:p>
        </w:tc>
        <w:tc>
          <w:tcPr>
            <w:tcW w:w="1550" w:type="dxa"/>
            <w:tcBorders>
              <w:left w:val="double" w:sz="6" w:space="0" w:color="auto"/>
              <w:right w:val="nil"/>
            </w:tcBorders>
            <w:noWrap/>
          </w:tcPr>
          <w:p w:rsidR="005552C7" w:rsidRPr="009B54A2" w:rsidP="009B54A2" w14:paraId="29EC19CC" w14:textId="77777777">
            <w:pPr>
              <w:tabs>
                <w:tab w:val="left" w:pos="-1440"/>
              </w:tabs>
              <w:suppressAutoHyphens/>
              <w:rPr>
                <w:rFonts w:ascii="Arial Narrow" w:hAnsi="Arial Narrow"/>
                <w:kern w:val="0"/>
                <w:sz w:val="17"/>
              </w:rPr>
            </w:pPr>
          </w:p>
          <w:p w:rsidR="005552C7" w:rsidRPr="009B54A2" w:rsidP="00956D7C" w14:paraId="61A66C31" w14:textId="77777777">
            <w:pPr>
              <w:tabs>
                <w:tab w:val="left" w:pos="-1440"/>
              </w:tabs>
              <w:suppressAutoHyphens/>
              <w:rPr>
                <w:rFonts w:ascii="Arial Narrow" w:hAnsi="Arial Narrow"/>
                <w:kern w:val="0"/>
                <w:sz w:val="17"/>
              </w:rPr>
            </w:pPr>
            <w:r w:rsidRPr="009B54A2">
              <w:rPr>
                <w:rFonts w:ascii="Arial Narrow" w:hAnsi="Arial Narrow"/>
                <w:kern w:val="0"/>
                <w:sz w:val="17"/>
              </w:rPr>
              <w:t>RF Devices (15)</w:t>
            </w:r>
          </w:p>
          <w:p w:rsidR="005552C7" w:rsidRPr="009B54A2" w:rsidP="00956D7C" w14:paraId="48917FC6" w14:textId="77777777">
            <w:pPr>
              <w:tabs>
                <w:tab w:val="left" w:pos="-1440"/>
              </w:tabs>
              <w:suppressAutoHyphens/>
              <w:rPr>
                <w:rFonts w:ascii="Arial Narrow" w:hAnsi="Arial Narrow"/>
                <w:kern w:val="0"/>
                <w:sz w:val="17"/>
              </w:rPr>
            </w:pPr>
            <w:r w:rsidRPr="009B54A2">
              <w:rPr>
                <w:rFonts w:ascii="Arial Narrow" w:hAnsi="Arial Narrow"/>
                <w:kern w:val="0"/>
                <w:sz w:val="17"/>
              </w:rPr>
              <w:t>Satellite</w:t>
            </w:r>
          </w:p>
          <w:p w:rsidR="005552C7" w:rsidRPr="009B54A2" w:rsidP="00956D7C" w14:paraId="10DF9EF5" w14:textId="77777777">
            <w:pPr>
              <w:tabs>
                <w:tab w:val="left" w:pos="-1440"/>
              </w:tabs>
              <w:suppressAutoHyphens/>
              <w:spacing w:line="204" w:lineRule="auto"/>
              <w:rPr>
                <w:rFonts w:ascii="Arial Narrow" w:hAnsi="Arial Narrow"/>
                <w:kern w:val="0"/>
                <w:sz w:val="17"/>
              </w:rPr>
            </w:pPr>
            <w:r w:rsidRPr="009B54A2">
              <w:rPr>
                <w:rFonts w:ascii="Arial Narrow" w:hAnsi="Arial Narrow"/>
                <w:kern w:val="0"/>
                <w:sz w:val="17"/>
              </w:rPr>
              <w:t xml:space="preserve">   Communications (25)</w:t>
            </w:r>
          </w:p>
          <w:p w:rsidR="005552C7" w:rsidRPr="009B54A2" w:rsidP="00956D7C" w14:paraId="6DE1D02D" w14:textId="77777777">
            <w:pPr>
              <w:tabs>
                <w:tab w:val="left" w:pos="-1440"/>
              </w:tabs>
              <w:suppressAutoHyphens/>
              <w:rPr>
                <w:rFonts w:ascii="Arial Narrow" w:hAnsi="Arial Narrow"/>
                <w:kern w:val="0"/>
                <w:sz w:val="17"/>
              </w:rPr>
            </w:pPr>
            <w:r w:rsidRPr="009B54A2">
              <w:rPr>
                <w:rFonts w:ascii="Arial Narrow" w:hAnsi="Arial Narrow"/>
                <w:kern w:val="0"/>
                <w:sz w:val="17"/>
              </w:rPr>
              <w:t>Upper Microwave</w:t>
            </w:r>
          </w:p>
          <w:p w:rsidR="005552C7" w:rsidRPr="009B54A2" w:rsidP="009B54A2" w14:paraId="0AFC50E0" w14:textId="77777777">
            <w:pPr>
              <w:tabs>
                <w:tab w:val="left" w:pos="-1440"/>
              </w:tabs>
              <w:suppressAutoHyphens/>
              <w:spacing w:after="2" w:line="204" w:lineRule="auto"/>
              <w:rPr>
                <w:rFonts w:ascii="Arial Narrow" w:hAnsi="Arial Narrow"/>
                <w:kern w:val="0"/>
                <w:sz w:val="17"/>
              </w:rPr>
            </w:pPr>
            <w:r w:rsidRPr="009B54A2">
              <w:rPr>
                <w:rFonts w:ascii="Arial Narrow" w:hAnsi="Arial Narrow"/>
                <w:kern w:val="0"/>
                <w:sz w:val="17"/>
              </w:rPr>
              <w:t xml:space="preserve">   Flexible Use (30)</w:t>
            </w:r>
          </w:p>
        </w:tc>
      </w:tr>
      <w:tr w14:paraId="32AA83FE" w14:textId="77777777" w:rsidTr="005552C7">
        <w:tblPrEx>
          <w:tblW w:w="5005" w:type="pct"/>
          <w:tblLayout w:type="fixed"/>
          <w:tblCellMar>
            <w:left w:w="58" w:type="dxa"/>
            <w:right w:w="0" w:type="dxa"/>
          </w:tblCellMar>
          <w:tblLook w:val="0000"/>
        </w:tblPrEx>
        <w:trPr>
          <w:trHeight w:val="642"/>
        </w:trPr>
        <w:tc>
          <w:tcPr>
            <w:tcW w:w="7310" w:type="dxa"/>
            <w:gridSpan w:val="3"/>
            <w:tcBorders>
              <w:left w:val="nil"/>
              <w:right w:val="double" w:sz="6" w:space="0" w:color="auto"/>
            </w:tcBorders>
            <w:noWrap/>
          </w:tcPr>
          <w:p w:rsidR="005552C7" w:rsidRPr="009B54A2" w:rsidP="009B54A2" w14:paraId="72ABE4EE" w14:textId="77777777">
            <w:pPr>
              <w:tabs>
                <w:tab w:val="left" w:pos="-1440"/>
              </w:tabs>
              <w:suppressAutoHyphens/>
              <w:ind w:left="-58"/>
              <w:rPr>
                <w:rFonts w:ascii="Arial Narrow" w:hAnsi="Arial Narrow"/>
                <w:kern w:val="0"/>
                <w:sz w:val="17"/>
              </w:rPr>
            </w:pPr>
            <w:r w:rsidRPr="009B54A2">
              <w:rPr>
                <w:rFonts w:ascii="Arial Narrow" w:hAnsi="Arial Narrow"/>
                <w:kern w:val="0"/>
                <w:sz w:val="17"/>
              </w:rPr>
              <w:t>25.25-25.5</w:t>
            </w:r>
          </w:p>
          <w:p w:rsidR="005552C7" w:rsidRPr="009B54A2" w:rsidP="009B54A2" w14:paraId="477A766C" w14:textId="77777777">
            <w:pPr>
              <w:tabs>
                <w:tab w:val="left" w:pos="-1440"/>
              </w:tabs>
              <w:suppressAutoHyphens/>
              <w:ind w:left="-58"/>
              <w:rPr>
                <w:rFonts w:ascii="Arial Narrow" w:hAnsi="Arial Narrow"/>
                <w:kern w:val="0"/>
                <w:sz w:val="17"/>
              </w:rPr>
            </w:pPr>
            <w:r w:rsidRPr="009B54A2">
              <w:rPr>
                <w:rFonts w:ascii="Arial Narrow" w:hAnsi="Arial Narrow"/>
                <w:kern w:val="0"/>
                <w:sz w:val="17"/>
              </w:rPr>
              <w:t>FIXED</w:t>
            </w:r>
            <w:r w:rsidRPr="002C1CD4">
              <w:rPr>
                <w:rFonts w:ascii="Arial Narrow" w:hAnsi="Arial Narrow"/>
                <w:kern w:val="0"/>
                <w:sz w:val="17"/>
                <w:szCs w:val="17"/>
              </w:rPr>
              <w:t xml:space="preserve">  5.534A</w:t>
            </w:r>
          </w:p>
          <w:p w:rsidR="005552C7" w:rsidRPr="009B54A2" w:rsidP="009B54A2" w14:paraId="401DDFBB" w14:textId="77777777">
            <w:pPr>
              <w:tabs>
                <w:tab w:val="left" w:pos="-1440"/>
              </w:tabs>
              <w:suppressAutoHyphens/>
              <w:ind w:left="-58"/>
              <w:rPr>
                <w:rFonts w:ascii="Arial Narrow" w:hAnsi="Arial Narrow"/>
                <w:kern w:val="0"/>
                <w:sz w:val="17"/>
              </w:rPr>
            </w:pPr>
            <w:r w:rsidRPr="009B54A2">
              <w:rPr>
                <w:rFonts w:ascii="Arial Narrow" w:hAnsi="Arial Narrow"/>
                <w:kern w:val="0"/>
                <w:sz w:val="17"/>
              </w:rPr>
              <w:t>INTER-SATELLITE  5.536</w:t>
            </w:r>
          </w:p>
          <w:p w:rsidR="005552C7" w:rsidRPr="009B54A2" w:rsidP="009B54A2" w14:paraId="551CE23F" w14:textId="77777777">
            <w:pPr>
              <w:tabs>
                <w:tab w:val="left" w:pos="-1440"/>
              </w:tabs>
              <w:suppressAutoHyphens/>
              <w:ind w:left="-58"/>
              <w:rPr>
                <w:rFonts w:ascii="Arial Narrow" w:hAnsi="Arial Narrow"/>
                <w:kern w:val="0"/>
                <w:sz w:val="17"/>
              </w:rPr>
            </w:pPr>
            <w:r w:rsidRPr="009B54A2">
              <w:rPr>
                <w:rFonts w:ascii="Arial Narrow" w:hAnsi="Arial Narrow"/>
                <w:kern w:val="0"/>
                <w:sz w:val="17"/>
              </w:rPr>
              <w:t>MOBILE</w:t>
            </w:r>
            <w:r w:rsidRPr="002C1CD4">
              <w:rPr>
                <w:rFonts w:ascii="Arial Narrow" w:hAnsi="Arial Narrow"/>
                <w:kern w:val="0"/>
                <w:sz w:val="17"/>
                <w:szCs w:val="17"/>
              </w:rPr>
              <w:t xml:space="preserve">  5.338A  5.532AB</w:t>
            </w:r>
          </w:p>
          <w:p w:rsidR="005552C7" w:rsidRPr="009B54A2" w:rsidP="009B54A2" w14:paraId="50207882" w14:textId="77777777">
            <w:pPr>
              <w:tabs>
                <w:tab w:val="left" w:pos="-1440"/>
              </w:tabs>
              <w:suppressAutoHyphens/>
              <w:ind w:left="-58"/>
              <w:rPr>
                <w:rFonts w:ascii="Arial Narrow" w:hAnsi="Arial Narrow"/>
                <w:kern w:val="0"/>
                <w:sz w:val="17"/>
              </w:rPr>
            </w:pPr>
            <w:r w:rsidRPr="009B54A2">
              <w:rPr>
                <w:rFonts w:ascii="Arial Narrow" w:hAnsi="Arial Narrow"/>
                <w:kern w:val="0"/>
                <w:sz w:val="17"/>
              </w:rPr>
              <w:t>Standard frequency and time signal-satellite (Earth-to-space)</w:t>
            </w:r>
          </w:p>
        </w:tc>
        <w:tc>
          <w:tcPr>
            <w:tcW w:w="2461" w:type="dxa"/>
            <w:tcBorders>
              <w:left w:val="double" w:sz="6" w:space="0" w:color="auto"/>
            </w:tcBorders>
            <w:noWrap/>
          </w:tcPr>
          <w:p w:rsidR="005552C7" w:rsidRPr="009B54A2" w:rsidP="00956D7C" w14:paraId="08BBE31B" w14:textId="77777777">
            <w:pPr>
              <w:tabs>
                <w:tab w:val="left" w:pos="-1440"/>
              </w:tabs>
              <w:suppressAutoHyphens/>
              <w:rPr>
                <w:rFonts w:ascii="Arial Narrow" w:hAnsi="Arial Narrow"/>
                <w:kern w:val="0"/>
                <w:sz w:val="17"/>
              </w:rPr>
            </w:pPr>
            <w:r w:rsidRPr="009B54A2">
              <w:rPr>
                <w:rFonts w:ascii="Arial Narrow" w:hAnsi="Arial Narrow"/>
                <w:kern w:val="0"/>
                <w:sz w:val="17"/>
              </w:rPr>
              <w:t>25.25-25.5</w:t>
            </w:r>
          </w:p>
          <w:p w:rsidR="005552C7" w:rsidRPr="009B54A2" w:rsidP="00956D7C" w14:paraId="2B04280D" w14:textId="77777777">
            <w:pPr>
              <w:tabs>
                <w:tab w:val="left" w:pos="-1440"/>
              </w:tabs>
              <w:suppressAutoHyphens/>
              <w:spacing w:line="228" w:lineRule="auto"/>
              <w:rPr>
                <w:rFonts w:ascii="Arial Narrow" w:hAnsi="Arial Narrow"/>
                <w:kern w:val="0"/>
                <w:sz w:val="17"/>
              </w:rPr>
            </w:pPr>
            <w:r w:rsidRPr="009B54A2">
              <w:rPr>
                <w:rFonts w:ascii="Arial Narrow" w:hAnsi="Arial Narrow"/>
                <w:kern w:val="0"/>
                <w:sz w:val="17"/>
              </w:rPr>
              <w:t>FIXED</w:t>
            </w:r>
          </w:p>
          <w:p w:rsidR="005552C7" w:rsidRPr="009B54A2" w:rsidP="00956D7C" w14:paraId="598138C3" w14:textId="77777777">
            <w:pPr>
              <w:tabs>
                <w:tab w:val="left" w:pos="-1440"/>
              </w:tabs>
              <w:suppressAutoHyphens/>
              <w:spacing w:line="228" w:lineRule="auto"/>
              <w:rPr>
                <w:rFonts w:ascii="Arial Narrow" w:hAnsi="Arial Narrow"/>
                <w:kern w:val="0"/>
                <w:sz w:val="17"/>
              </w:rPr>
            </w:pPr>
            <w:r w:rsidRPr="009B54A2">
              <w:rPr>
                <w:rFonts w:ascii="Arial Narrow" w:hAnsi="Arial Narrow"/>
                <w:kern w:val="0"/>
                <w:sz w:val="17"/>
              </w:rPr>
              <w:t>INTER-SATELLITE  5.536</w:t>
            </w:r>
          </w:p>
          <w:p w:rsidR="005552C7" w:rsidRPr="009B54A2" w:rsidP="00956D7C" w14:paraId="4D6B79F7" w14:textId="77777777">
            <w:pPr>
              <w:tabs>
                <w:tab w:val="left" w:pos="-1440"/>
              </w:tabs>
              <w:suppressAutoHyphens/>
              <w:spacing w:line="228" w:lineRule="auto"/>
              <w:rPr>
                <w:rFonts w:ascii="Arial Narrow" w:hAnsi="Arial Narrow"/>
                <w:kern w:val="0"/>
                <w:sz w:val="17"/>
              </w:rPr>
            </w:pPr>
            <w:r w:rsidRPr="009B54A2">
              <w:rPr>
                <w:rFonts w:ascii="Arial Narrow" w:hAnsi="Arial Narrow"/>
                <w:kern w:val="0"/>
                <w:sz w:val="17"/>
              </w:rPr>
              <w:t xml:space="preserve">MOBILE  </w:t>
            </w:r>
            <w:r w:rsidRPr="009B54A2">
              <w:rPr>
                <w:rFonts w:ascii="Arial Narrow" w:hAnsi="Arial Narrow"/>
                <w:kern w:val="0"/>
                <w:sz w:val="17"/>
              </w:rPr>
              <w:t>USxxx</w:t>
            </w:r>
          </w:p>
          <w:p w:rsidR="005552C7" w:rsidRPr="009B54A2" w:rsidP="00956D7C" w14:paraId="2F32CC80" w14:textId="77777777">
            <w:pPr>
              <w:tabs>
                <w:tab w:val="left" w:pos="-1440"/>
              </w:tabs>
              <w:suppressAutoHyphens/>
              <w:spacing w:line="228" w:lineRule="auto"/>
              <w:rPr>
                <w:rFonts w:ascii="Arial Narrow" w:hAnsi="Arial Narrow"/>
                <w:kern w:val="0"/>
                <w:sz w:val="17"/>
              </w:rPr>
            </w:pPr>
            <w:r w:rsidRPr="009B54A2">
              <w:rPr>
                <w:rFonts w:ascii="Arial Narrow" w:hAnsi="Arial Narrow"/>
                <w:kern w:val="0"/>
                <w:sz w:val="17"/>
              </w:rPr>
              <w:t>Standard frequency and time</w:t>
            </w:r>
          </w:p>
          <w:p w:rsidR="005552C7" w:rsidRPr="009B54A2" w:rsidP="00956D7C" w14:paraId="4ADC2730" w14:textId="77777777">
            <w:pPr>
              <w:tabs>
                <w:tab w:val="left" w:pos="0"/>
                <w:tab w:val="left" w:pos="336"/>
                <w:tab w:val="left" w:pos="1892"/>
                <w:tab w:val="left" w:pos="2880"/>
                <w:tab w:val="left" w:pos="3600"/>
                <w:tab w:val="left" w:pos="4320"/>
                <w:tab w:val="left" w:pos="5040"/>
              </w:tabs>
              <w:suppressAutoHyphens/>
              <w:spacing w:after="20" w:line="204" w:lineRule="auto"/>
              <w:rPr>
                <w:rFonts w:ascii="Arial Narrow" w:hAnsi="Arial Narrow"/>
                <w:kern w:val="0"/>
                <w:sz w:val="17"/>
              </w:rPr>
            </w:pPr>
            <w:r w:rsidRPr="009B54A2">
              <w:rPr>
                <w:rFonts w:ascii="Arial Narrow" w:hAnsi="Arial Narrow"/>
                <w:kern w:val="0"/>
                <w:sz w:val="17"/>
              </w:rPr>
              <w:t xml:space="preserve">   signal-satellite (Earth-to-space)</w:t>
            </w:r>
          </w:p>
        </w:tc>
        <w:tc>
          <w:tcPr>
            <w:tcW w:w="2373" w:type="dxa"/>
            <w:tcBorders>
              <w:right w:val="double" w:sz="6" w:space="0" w:color="auto"/>
            </w:tcBorders>
            <w:noWrap/>
          </w:tcPr>
          <w:p w:rsidR="005552C7" w:rsidRPr="009B54A2" w:rsidP="00956D7C" w14:paraId="7AD82A5C" w14:textId="77777777">
            <w:pPr>
              <w:tabs>
                <w:tab w:val="left" w:pos="-1440"/>
              </w:tabs>
              <w:suppressAutoHyphens/>
              <w:rPr>
                <w:rFonts w:ascii="Arial Narrow" w:hAnsi="Arial Narrow"/>
                <w:kern w:val="0"/>
                <w:sz w:val="17"/>
              </w:rPr>
            </w:pPr>
            <w:r w:rsidRPr="009B54A2">
              <w:rPr>
                <w:rFonts w:ascii="Arial Narrow" w:hAnsi="Arial Narrow"/>
                <w:kern w:val="0"/>
                <w:sz w:val="17"/>
              </w:rPr>
              <w:t>25.25-25.5</w:t>
            </w:r>
          </w:p>
          <w:p w:rsidR="005552C7" w:rsidRPr="009B54A2" w:rsidP="00956D7C" w14:paraId="51DE0807" w14:textId="77777777">
            <w:pPr>
              <w:tabs>
                <w:tab w:val="left" w:pos="-1440"/>
              </w:tabs>
              <w:suppressAutoHyphens/>
              <w:rPr>
                <w:rFonts w:ascii="Arial Narrow" w:hAnsi="Arial Narrow"/>
                <w:kern w:val="0"/>
                <w:sz w:val="17"/>
              </w:rPr>
            </w:pPr>
            <w:r w:rsidRPr="009B54A2">
              <w:rPr>
                <w:rFonts w:ascii="Arial Narrow" w:hAnsi="Arial Narrow"/>
                <w:kern w:val="0"/>
                <w:sz w:val="17"/>
              </w:rPr>
              <w:t>Inter-satellite  5.536</w:t>
            </w:r>
          </w:p>
          <w:p w:rsidR="005552C7" w:rsidRPr="009B54A2" w:rsidP="00956D7C" w14:paraId="4DE6D114" w14:textId="77777777">
            <w:pPr>
              <w:tabs>
                <w:tab w:val="left" w:pos="-1440"/>
              </w:tabs>
              <w:suppressAutoHyphens/>
              <w:rPr>
                <w:rFonts w:ascii="Arial Narrow" w:hAnsi="Arial Narrow"/>
                <w:kern w:val="0"/>
                <w:sz w:val="17"/>
              </w:rPr>
            </w:pPr>
            <w:r w:rsidRPr="009B54A2">
              <w:rPr>
                <w:rFonts w:ascii="Arial Narrow" w:hAnsi="Arial Narrow"/>
                <w:kern w:val="0"/>
                <w:sz w:val="17"/>
              </w:rPr>
              <w:t>Standard frequency and time</w:t>
            </w:r>
          </w:p>
          <w:p w:rsidR="005552C7" w:rsidRPr="009B54A2" w:rsidP="00956D7C" w14:paraId="2AEFD29F"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 xml:space="preserve">   signal-satellite (Earth-to-space)</w:t>
            </w:r>
          </w:p>
        </w:tc>
        <w:tc>
          <w:tcPr>
            <w:tcW w:w="1550" w:type="dxa"/>
            <w:vMerge w:val="restart"/>
            <w:tcBorders>
              <w:left w:val="double" w:sz="6" w:space="0" w:color="auto"/>
              <w:right w:val="nil"/>
            </w:tcBorders>
            <w:noWrap/>
          </w:tcPr>
          <w:p w:rsidR="005552C7" w:rsidRPr="009B54A2" w:rsidP="00956D7C" w14:paraId="4D6FD5E2" w14:textId="77777777">
            <w:pPr>
              <w:suppressAutoHyphens/>
              <w:rPr>
                <w:rFonts w:ascii="Arial Narrow" w:hAnsi="Arial Narrow"/>
                <w:kern w:val="0"/>
                <w:sz w:val="17"/>
              </w:rPr>
            </w:pPr>
          </w:p>
          <w:p w:rsidR="005552C7" w:rsidRPr="009B54A2" w:rsidP="00956D7C" w14:paraId="566D1AD0" w14:textId="77777777">
            <w:pPr>
              <w:suppressAutoHyphens/>
              <w:rPr>
                <w:rFonts w:ascii="Arial Narrow" w:hAnsi="Arial Narrow"/>
                <w:kern w:val="0"/>
                <w:sz w:val="17"/>
              </w:rPr>
            </w:pPr>
            <w:r w:rsidRPr="009B54A2">
              <w:rPr>
                <w:rFonts w:ascii="Arial Narrow" w:hAnsi="Arial Narrow"/>
                <w:kern w:val="0"/>
                <w:sz w:val="17"/>
              </w:rPr>
              <w:t>RF Devices (15)</w:t>
            </w:r>
          </w:p>
        </w:tc>
      </w:tr>
      <w:tr w14:paraId="711B17EF" w14:textId="77777777" w:rsidTr="005552C7">
        <w:tblPrEx>
          <w:tblW w:w="5005" w:type="pct"/>
          <w:tblLayout w:type="fixed"/>
          <w:tblCellMar>
            <w:left w:w="58" w:type="dxa"/>
            <w:right w:w="0" w:type="dxa"/>
          </w:tblCellMar>
          <w:tblLook w:val="0000"/>
        </w:tblPrEx>
        <w:trPr>
          <w:trHeight w:val="1763"/>
        </w:trPr>
        <w:tc>
          <w:tcPr>
            <w:tcW w:w="7310" w:type="dxa"/>
            <w:gridSpan w:val="3"/>
            <w:tcBorders>
              <w:left w:val="nil"/>
              <w:right w:val="double" w:sz="6" w:space="0" w:color="auto"/>
            </w:tcBorders>
            <w:noWrap/>
          </w:tcPr>
          <w:p w:rsidR="005552C7" w:rsidRPr="009B54A2" w:rsidP="00956D7C" w14:paraId="5296665D" w14:textId="77777777">
            <w:pPr>
              <w:tabs>
                <w:tab w:val="left" w:pos="-1440"/>
              </w:tabs>
              <w:suppressAutoHyphens/>
              <w:ind w:left="-58"/>
              <w:rPr>
                <w:rFonts w:ascii="Arial Narrow" w:hAnsi="Arial Narrow"/>
                <w:kern w:val="0"/>
                <w:sz w:val="17"/>
              </w:rPr>
            </w:pPr>
            <w:r w:rsidRPr="009B54A2">
              <w:rPr>
                <w:rFonts w:ascii="Arial Narrow" w:hAnsi="Arial Narrow"/>
                <w:kern w:val="0"/>
                <w:sz w:val="17"/>
              </w:rPr>
              <w:t>25.5-27</w:t>
            </w:r>
          </w:p>
          <w:p w:rsidR="005552C7" w:rsidRPr="009B54A2" w:rsidP="00956D7C" w14:paraId="6EE1D560" w14:textId="77777777">
            <w:pPr>
              <w:tabs>
                <w:tab w:val="left" w:pos="-1440"/>
              </w:tabs>
              <w:suppressAutoHyphens/>
              <w:ind w:left="-58"/>
              <w:rPr>
                <w:rFonts w:ascii="Arial Narrow" w:hAnsi="Arial Narrow"/>
                <w:kern w:val="0"/>
                <w:sz w:val="17"/>
              </w:rPr>
            </w:pPr>
            <w:r w:rsidRPr="009B54A2">
              <w:rPr>
                <w:rFonts w:ascii="Arial Narrow" w:hAnsi="Arial Narrow"/>
                <w:kern w:val="0"/>
                <w:sz w:val="17"/>
              </w:rPr>
              <w:t>EARTH EXPLORATION-SATELLITE (space-to-Earth)  5.536B</w:t>
            </w:r>
          </w:p>
          <w:p w:rsidR="005552C7" w:rsidRPr="009B54A2" w:rsidP="00956D7C" w14:paraId="68C3AAAD" w14:textId="77777777">
            <w:pPr>
              <w:tabs>
                <w:tab w:val="left" w:pos="-1440"/>
              </w:tabs>
              <w:suppressAutoHyphens/>
              <w:ind w:left="-58"/>
              <w:rPr>
                <w:rFonts w:ascii="Arial Narrow" w:hAnsi="Arial Narrow"/>
                <w:kern w:val="0"/>
                <w:sz w:val="17"/>
              </w:rPr>
            </w:pPr>
            <w:r w:rsidRPr="009B54A2">
              <w:rPr>
                <w:rFonts w:ascii="Arial Narrow" w:hAnsi="Arial Narrow"/>
                <w:kern w:val="0"/>
                <w:sz w:val="17"/>
              </w:rPr>
              <w:t>FIXED</w:t>
            </w:r>
            <w:r w:rsidRPr="002C1CD4">
              <w:rPr>
                <w:rFonts w:ascii="Arial Narrow" w:hAnsi="Arial Narrow"/>
                <w:kern w:val="0"/>
                <w:sz w:val="17"/>
                <w:szCs w:val="17"/>
              </w:rPr>
              <w:t xml:space="preserve">  5.534A</w:t>
            </w:r>
          </w:p>
          <w:p w:rsidR="005552C7" w:rsidRPr="009B54A2" w:rsidP="00956D7C" w14:paraId="357790C8" w14:textId="77777777">
            <w:pPr>
              <w:tabs>
                <w:tab w:val="left" w:pos="-1440"/>
              </w:tabs>
              <w:suppressAutoHyphens/>
              <w:ind w:left="-58"/>
              <w:rPr>
                <w:rFonts w:ascii="Arial Narrow" w:hAnsi="Arial Narrow"/>
                <w:kern w:val="0"/>
                <w:sz w:val="17"/>
              </w:rPr>
            </w:pPr>
            <w:r w:rsidRPr="009B54A2">
              <w:rPr>
                <w:rFonts w:ascii="Arial Narrow" w:hAnsi="Arial Narrow"/>
                <w:kern w:val="0"/>
                <w:sz w:val="17"/>
              </w:rPr>
              <w:t>INTER-SATELLITE  5.536</w:t>
            </w:r>
          </w:p>
          <w:p w:rsidR="005552C7" w:rsidRPr="009B54A2" w:rsidP="00956D7C" w14:paraId="46FA0BA4" w14:textId="77777777">
            <w:pPr>
              <w:tabs>
                <w:tab w:val="left" w:pos="-1440"/>
              </w:tabs>
              <w:suppressAutoHyphens/>
              <w:ind w:left="-58"/>
              <w:rPr>
                <w:rFonts w:ascii="Arial Narrow" w:hAnsi="Arial Narrow"/>
                <w:kern w:val="0"/>
                <w:sz w:val="17"/>
              </w:rPr>
            </w:pPr>
            <w:r w:rsidRPr="009B54A2">
              <w:rPr>
                <w:rFonts w:ascii="Arial Narrow" w:hAnsi="Arial Narrow"/>
                <w:kern w:val="0"/>
                <w:sz w:val="17"/>
              </w:rPr>
              <w:t>MOBILE</w:t>
            </w:r>
            <w:r w:rsidRPr="002C1CD4">
              <w:rPr>
                <w:rFonts w:ascii="Arial Narrow" w:hAnsi="Arial Narrow"/>
                <w:kern w:val="0"/>
                <w:sz w:val="17"/>
                <w:szCs w:val="17"/>
              </w:rPr>
              <w:t xml:space="preserve">  5.338A  5.532AB</w:t>
            </w:r>
          </w:p>
          <w:p w:rsidR="005552C7" w:rsidRPr="009B54A2" w:rsidP="00956D7C" w14:paraId="019D7B42" w14:textId="77777777">
            <w:pPr>
              <w:tabs>
                <w:tab w:val="left" w:pos="-1440"/>
              </w:tabs>
              <w:suppressAutoHyphens/>
              <w:ind w:left="-58"/>
              <w:rPr>
                <w:rFonts w:ascii="Arial Narrow" w:hAnsi="Arial Narrow"/>
                <w:kern w:val="0"/>
                <w:sz w:val="17"/>
              </w:rPr>
            </w:pPr>
            <w:r w:rsidRPr="009B54A2">
              <w:rPr>
                <w:rFonts w:ascii="Arial Narrow" w:hAnsi="Arial Narrow"/>
                <w:kern w:val="0"/>
                <w:sz w:val="17"/>
              </w:rPr>
              <w:t>SPACE RESEARCH (space-to-Earth)  5.536C</w:t>
            </w:r>
          </w:p>
          <w:p w:rsidR="005552C7" w:rsidRPr="009B54A2" w:rsidP="00956D7C" w14:paraId="118E3CF1" w14:textId="77777777">
            <w:pPr>
              <w:tabs>
                <w:tab w:val="left" w:pos="-1440"/>
              </w:tabs>
              <w:suppressAutoHyphens/>
              <w:ind w:left="-58"/>
              <w:rPr>
                <w:rFonts w:ascii="Arial Narrow" w:hAnsi="Arial Narrow"/>
                <w:kern w:val="0"/>
                <w:sz w:val="17"/>
              </w:rPr>
            </w:pPr>
            <w:r w:rsidRPr="009B54A2">
              <w:rPr>
                <w:rFonts w:ascii="Arial Narrow" w:hAnsi="Arial Narrow"/>
                <w:kern w:val="0"/>
                <w:sz w:val="17"/>
              </w:rPr>
              <w:t>Standard frequency and time signal-satellite (Earth-to-space)</w:t>
            </w:r>
          </w:p>
          <w:p w:rsidR="005552C7" w:rsidRPr="009B54A2" w:rsidP="00956D7C" w14:paraId="18C4923E" w14:textId="77777777">
            <w:pPr>
              <w:tabs>
                <w:tab w:val="left" w:pos="-1440"/>
              </w:tabs>
              <w:suppressAutoHyphens/>
              <w:ind w:left="-58"/>
              <w:rPr>
                <w:rFonts w:ascii="Arial Narrow" w:hAnsi="Arial Narrow"/>
                <w:kern w:val="0"/>
                <w:sz w:val="17"/>
              </w:rPr>
            </w:pPr>
          </w:p>
          <w:p w:rsidR="005552C7" w:rsidRPr="009B54A2" w:rsidP="009B54A2" w14:paraId="482B0557" w14:textId="77777777">
            <w:pPr>
              <w:tabs>
                <w:tab w:val="left" w:pos="-1440"/>
              </w:tabs>
              <w:suppressAutoHyphens/>
              <w:spacing w:line="216" w:lineRule="auto"/>
              <w:ind w:left="-58"/>
              <w:rPr>
                <w:rFonts w:ascii="Arial Narrow" w:hAnsi="Arial Narrow"/>
                <w:kern w:val="0"/>
                <w:sz w:val="17"/>
              </w:rPr>
            </w:pPr>
          </w:p>
          <w:p w:rsidR="005552C7" w:rsidRPr="009B54A2" w:rsidP="00956D7C" w14:paraId="3578AE44"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rPr>
            </w:pPr>
            <w:r w:rsidRPr="009B54A2">
              <w:rPr>
                <w:rFonts w:ascii="Arial Narrow" w:hAnsi="Arial Narrow"/>
                <w:kern w:val="0"/>
                <w:sz w:val="17"/>
              </w:rPr>
              <w:t>5.536A</w:t>
            </w:r>
          </w:p>
        </w:tc>
        <w:tc>
          <w:tcPr>
            <w:tcW w:w="2461" w:type="dxa"/>
            <w:tcBorders>
              <w:left w:val="double" w:sz="6" w:space="0" w:color="auto"/>
            </w:tcBorders>
            <w:noWrap/>
          </w:tcPr>
          <w:p w:rsidR="005552C7" w:rsidRPr="009B54A2" w:rsidP="00956D7C" w14:paraId="71C225CA" w14:textId="77777777">
            <w:pPr>
              <w:tabs>
                <w:tab w:val="left" w:pos="-1440"/>
                <w:tab w:val="left" w:pos="967"/>
              </w:tabs>
              <w:suppressAutoHyphens/>
              <w:rPr>
                <w:rFonts w:ascii="Arial Narrow" w:hAnsi="Arial Narrow"/>
                <w:kern w:val="0"/>
                <w:sz w:val="17"/>
              </w:rPr>
            </w:pPr>
            <w:r w:rsidRPr="009B54A2">
              <w:rPr>
                <w:rFonts w:ascii="Arial Narrow" w:hAnsi="Arial Narrow"/>
                <w:kern w:val="0"/>
                <w:sz w:val="17"/>
              </w:rPr>
              <w:t>25.5-27</w:t>
            </w:r>
          </w:p>
          <w:p w:rsidR="005552C7" w:rsidRPr="009B54A2" w:rsidP="00956D7C" w14:paraId="4030B456" w14:textId="77777777">
            <w:pPr>
              <w:tabs>
                <w:tab w:val="left" w:pos="-1440"/>
                <w:tab w:val="left" w:pos="967"/>
              </w:tabs>
              <w:suppressAutoHyphens/>
              <w:rPr>
                <w:rFonts w:ascii="Arial Narrow" w:hAnsi="Arial Narrow"/>
                <w:kern w:val="0"/>
                <w:sz w:val="17"/>
              </w:rPr>
            </w:pPr>
            <w:r w:rsidRPr="009B54A2">
              <w:rPr>
                <w:rFonts w:ascii="Arial Narrow" w:hAnsi="Arial Narrow"/>
                <w:kern w:val="0"/>
                <w:sz w:val="17"/>
              </w:rPr>
              <w:t>EARTH EXPLORATION-</w:t>
            </w:r>
          </w:p>
          <w:p w:rsidR="005552C7" w:rsidRPr="009B54A2" w:rsidP="009B54A2" w14:paraId="27832E1F" w14:textId="77777777">
            <w:pPr>
              <w:tabs>
                <w:tab w:val="left" w:pos="0"/>
                <w:tab w:val="left" w:pos="336"/>
                <w:tab w:val="left" w:pos="967"/>
                <w:tab w:val="left" w:pos="1892"/>
                <w:tab w:val="left" w:pos="2880"/>
                <w:tab w:val="left" w:pos="3600"/>
                <w:tab w:val="left" w:pos="4320"/>
                <w:tab w:val="left" w:pos="5040"/>
              </w:tabs>
              <w:suppressAutoHyphens/>
              <w:spacing w:line="228" w:lineRule="auto"/>
              <w:rPr>
                <w:rFonts w:ascii="Arial Narrow" w:hAnsi="Arial Narrow"/>
                <w:kern w:val="0"/>
                <w:sz w:val="17"/>
              </w:rPr>
            </w:pPr>
            <w:r w:rsidRPr="009B54A2">
              <w:rPr>
                <w:rFonts w:ascii="Arial Narrow" w:hAnsi="Arial Narrow"/>
                <w:kern w:val="0"/>
                <w:sz w:val="17"/>
              </w:rPr>
              <w:t xml:space="preserve">   SATELLITE (space-to-Earth)</w:t>
            </w:r>
          </w:p>
          <w:p w:rsidR="005552C7" w:rsidRPr="009B54A2" w:rsidP="009B54A2" w14:paraId="6E8D1DCC" w14:textId="77777777">
            <w:pPr>
              <w:tabs>
                <w:tab w:val="left" w:pos="-1440"/>
                <w:tab w:val="left" w:pos="967"/>
              </w:tabs>
              <w:suppressAutoHyphens/>
              <w:spacing w:line="228" w:lineRule="auto"/>
              <w:rPr>
                <w:rFonts w:ascii="Arial Narrow" w:hAnsi="Arial Narrow"/>
                <w:kern w:val="0"/>
                <w:sz w:val="17"/>
              </w:rPr>
            </w:pPr>
            <w:r w:rsidRPr="009B54A2">
              <w:rPr>
                <w:rFonts w:ascii="Arial Narrow" w:hAnsi="Arial Narrow"/>
                <w:kern w:val="0"/>
                <w:sz w:val="17"/>
              </w:rPr>
              <w:t>FIXED</w:t>
            </w:r>
          </w:p>
          <w:p w:rsidR="005552C7" w:rsidRPr="009B54A2" w:rsidP="009B54A2" w14:paraId="36BD0057" w14:textId="77777777">
            <w:pPr>
              <w:tabs>
                <w:tab w:val="left" w:pos="-1440"/>
                <w:tab w:val="left" w:pos="967"/>
              </w:tabs>
              <w:suppressAutoHyphens/>
              <w:spacing w:line="228" w:lineRule="auto"/>
              <w:rPr>
                <w:rFonts w:ascii="Arial Narrow" w:hAnsi="Arial Narrow"/>
                <w:kern w:val="0"/>
                <w:sz w:val="17"/>
              </w:rPr>
            </w:pPr>
            <w:r w:rsidRPr="009B54A2">
              <w:rPr>
                <w:rFonts w:ascii="Arial Narrow" w:hAnsi="Arial Narrow"/>
                <w:kern w:val="0"/>
                <w:sz w:val="17"/>
              </w:rPr>
              <w:t>INTER-SATELLITE  5.536</w:t>
            </w:r>
          </w:p>
          <w:p w:rsidR="005552C7" w:rsidRPr="009B54A2" w:rsidP="009B54A2" w14:paraId="0BC2CC5F" w14:textId="77777777">
            <w:pPr>
              <w:tabs>
                <w:tab w:val="left" w:pos="-1440"/>
                <w:tab w:val="left" w:pos="967"/>
              </w:tabs>
              <w:suppressAutoHyphens/>
              <w:spacing w:line="228" w:lineRule="auto"/>
              <w:rPr>
                <w:rFonts w:ascii="Arial Narrow" w:hAnsi="Arial Narrow"/>
                <w:kern w:val="0"/>
                <w:sz w:val="17"/>
              </w:rPr>
            </w:pPr>
            <w:r w:rsidRPr="009B54A2">
              <w:rPr>
                <w:rFonts w:ascii="Arial Narrow" w:hAnsi="Arial Narrow"/>
                <w:kern w:val="0"/>
                <w:sz w:val="17"/>
              </w:rPr>
              <w:t xml:space="preserve">MOBILE  </w:t>
            </w:r>
            <w:r w:rsidRPr="009B54A2">
              <w:rPr>
                <w:rFonts w:ascii="Arial Narrow" w:hAnsi="Arial Narrow"/>
                <w:kern w:val="0"/>
                <w:sz w:val="17"/>
              </w:rPr>
              <w:t>USxxx</w:t>
            </w:r>
          </w:p>
          <w:p w:rsidR="005552C7" w:rsidRPr="009B54A2" w:rsidP="009B54A2" w14:paraId="4B2705EB" w14:textId="77777777">
            <w:pPr>
              <w:tabs>
                <w:tab w:val="left" w:pos="-1440"/>
                <w:tab w:val="left" w:pos="967"/>
              </w:tabs>
              <w:suppressAutoHyphens/>
              <w:spacing w:line="228" w:lineRule="auto"/>
              <w:rPr>
                <w:rFonts w:ascii="Arial Narrow" w:hAnsi="Arial Narrow"/>
                <w:kern w:val="0"/>
                <w:sz w:val="17"/>
              </w:rPr>
            </w:pPr>
            <w:r w:rsidRPr="009B54A2">
              <w:rPr>
                <w:rFonts w:ascii="Arial Narrow" w:hAnsi="Arial Narrow"/>
                <w:kern w:val="0"/>
                <w:sz w:val="17"/>
              </w:rPr>
              <w:t>SPACE RESEARCH (space-to-Earth)</w:t>
            </w:r>
          </w:p>
          <w:p w:rsidR="005552C7" w:rsidRPr="009B54A2" w:rsidP="009B54A2" w14:paraId="331AE50F" w14:textId="77777777">
            <w:pPr>
              <w:tabs>
                <w:tab w:val="left" w:pos="-1440"/>
                <w:tab w:val="left" w:pos="967"/>
              </w:tabs>
              <w:suppressAutoHyphens/>
              <w:spacing w:line="228" w:lineRule="auto"/>
              <w:rPr>
                <w:rFonts w:ascii="Arial Narrow" w:hAnsi="Arial Narrow"/>
                <w:kern w:val="0"/>
                <w:sz w:val="17"/>
              </w:rPr>
            </w:pPr>
            <w:r w:rsidRPr="009B54A2">
              <w:rPr>
                <w:rFonts w:ascii="Arial Narrow" w:hAnsi="Arial Narrow"/>
                <w:kern w:val="0"/>
                <w:sz w:val="17"/>
              </w:rPr>
              <w:t>Standard frequency and time</w:t>
            </w:r>
          </w:p>
          <w:p w:rsidR="005552C7" w:rsidRPr="009B54A2" w:rsidP="00956D7C" w14:paraId="29D23E60" w14:textId="77777777">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 xml:space="preserve">   signal-satellite (Earth-to-space)</w:t>
            </w:r>
          </w:p>
          <w:p w:rsidR="005552C7" w:rsidRPr="002C1CD4" w:rsidP="009B54A2" w14:paraId="01AFBF1F" w14:textId="77777777">
            <w:pPr>
              <w:tabs>
                <w:tab w:val="left" w:pos="-855"/>
                <w:tab w:val="left" w:pos="-252"/>
                <w:tab w:val="left" w:pos="288"/>
                <w:tab w:val="left" w:pos="967"/>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sz w:val="17"/>
                <w:szCs w:val="17"/>
              </w:rPr>
            </w:pPr>
          </w:p>
          <w:p w:rsidR="005552C7" w:rsidRPr="009B54A2" w:rsidP="00956D7C" w14:paraId="4E43BE5C" w14:textId="77777777">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5.536A  US258</w:t>
            </w:r>
          </w:p>
        </w:tc>
        <w:tc>
          <w:tcPr>
            <w:tcW w:w="2373" w:type="dxa"/>
            <w:tcBorders>
              <w:right w:val="double" w:sz="6" w:space="0" w:color="auto"/>
            </w:tcBorders>
            <w:noWrap/>
          </w:tcPr>
          <w:p w:rsidR="005552C7" w:rsidRPr="009B54A2" w:rsidP="00956D7C" w14:paraId="17EAAED0" w14:textId="77777777">
            <w:pPr>
              <w:tabs>
                <w:tab w:val="left" w:pos="-1440"/>
                <w:tab w:val="left" w:pos="967"/>
              </w:tabs>
              <w:suppressAutoHyphens/>
              <w:rPr>
                <w:rFonts w:ascii="Arial Narrow" w:hAnsi="Arial Narrow"/>
                <w:kern w:val="0"/>
                <w:sz w:val="17"/>
              </w:rPr>
            </w:pPr>
            <w:r w:rsidRPr="009B54A2">
              <w:rPr>
                <w:rFonts w:ascii="Arial Narrow" w:hAnsi="Arial Narrow"/>
                <w:kern w:val="0"/>
                <w:sz w:val="17"/>
              </w:rPr>
              <w:t>25.5-27</w:t>
            </w:r>
          </w:p>
          <w:p w:rsidR="005552C7" w:rsidRPr="009B54A2" w:rsidP="00956D7C" w14:paraId="21410E72" w14:textId="77777777">
            <w:pPr>
              <w:tabs>
                <w:tab w:val="left" w:pos="-1440"/>
                <w:tab w:val="left" w:pos="967"/>
              </w:tabs>
              <w:suppressAutoHyphens/>
              <w:rPr>
                <w:rFonts w:ascii="Arial Narrow" w:hAnsi="Arial Narrow"/>
                <w:kern w:val="0"/>
                <w:sz w:val="17"/>
              </w:rPr>
            </w:pPr>
            <w:r w:rsidRPr="009B54A2">
              <w:rPr>
                <w:rFonts w:ascii="Arial Narrow" w:hAnsi="Arial Narrow"/>
                <w:kern w:val="0"/>
                <w:sz w:val="17"/>
              </w:rPr>
              <w:t>SPACE RESEARCH</w:t>
            </w:r>
          </w:p>
          <w:p w:rsidR="005552C7" w:rsidRPr="009B54A2" w:rsidP="00956D7C" w14:paraId="57D3FDAF" w14:textId="77777777">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 xml:space="preserve">   (space-to-Earth)</w:t>
            </w:r>
          </w:p>
          <w:p w:rsidR="005552C7" w:rsidRPr="009B54A2" w:rsidP="00956D7C" w14:paraId="7AB80D58" w14:textId="77777777">
            <w:pPr>
              <w:tabs>
                <w:tab w:val="left" w:pos="-1440"/>
                <w:tab w:val="left" w:pos="967"/>
              </w:tabs>
              <w:suppressAutoHyphens/>
              <w:rPr>
                <w:rFonts w:ascii="Arial Narrow" w:hAnsi="Arial Narrow"/>
                <w:kern w:val="0"/>
                <w:sz w:val="17"/>
              </w:rPr>
            </w:pPr>
            <w:r w:rsidRPr="009B54A2">
              <w:rPr>
                <w:rFonts w:ascii="Arial Narrow" w:hAnsi="Arial Narrow"/>
                <w:kern w:val="0"/>
                <w:sz w:val="17"/>
              </w:rPr>
              <w:t>Inter-satellite 5.536</w:t>
            </w:r>
          </w:p>
          <w:p w:rsidR="005552C7" w:rsidRPr="009B54A2" w:rsidP="00956D7C" w14:paraId="01E4E2F5" w14:textId="77777777">
            <w:pPr>
              <w:tabs>
                <w:tab w:val="left" w:pos="-1440"/>
                <w:tab w:val="left" w:pos="967"/>
              </w:tabs>
              <w:suppressAutoHyphens/>
              <w:rPr>
                <w:rFonts w:ascii="Arial Narrow" w:hAnsi="Arial Narrow"/>
                <w:kern w:val="0"/>
                <w:sz w:val="17"/>
              </w:rPr>
            </w:pPr>
            <w:r w:rsidRPr="009B54A2">
              <w:rPr>
                <w:rFonts w:ascii="Arial Narrow" w:hAnsi="Arial Narrow"/>
                <w:kern w:val="0"/>
                <w:sz w:val="17"/>
              </w:rPr>
              <w:t>Standard frequency and time</w:t>
            </w:r>
          </w:p>
          <w:p w:rsidR="005552C7" w:rsidRPr="009B54A2" w:rsidP="00956D7C" w14:paraId="44E37964" w14:textId="77777777">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 xml:space="preserve">   signal-satellite (Earth-to-space)</w:t>
            </w:r>
          </w:p>
          <w:p w:rsidR="005552C7" w:rsidRPr="009B54A2" w:rsidP="00956D7C" w14:paraId="65B4C77F" w14:textId="77777777">
            <w:pPr>
              <w:tabs>
                <w:tab w:val="left" w:pos="-1440"/>
                <w:tab w:val="left" w:pos="967"/>
              </w:tabs>
              <w:suppressAutoHyphens/>
              <w:rPr>
                <w:rFonts w:ascii="Arial Narrow" w:hAnsi="Arial Narrow"/>
                <w:kern w:val="0"/>
                <w:sz w:val="17"/>
              </w:rPr>
            </w:pPr>
          </w:p>
          <w:p w:rsidR="005552C7" w:rsidRPr="009B54A2" w:rsidP="00956D7C" w14:paraId="63563FA2" w14:textId="77777777">
            <w:pPr>
              <w:tabs>
                <w:tab w:val="left" w:pos="-1440"/>
                <w:tab w:val="left" w:pos="967"/>
              </w:tabs>
              <w:suppressAutoHyphens/>
              <w:rPr>
                <w:rFonts w:ascii="Arial Narrow" w:hAnsi="Arial Narrow"/>
                <w:kern w:val="0"/>
                <w:sz w:val="17"/>
              </w:rPr>
            </w:pPr>
          </w:p>
          <w:p w:rsidR="005552C7" w:rsidRPr="009B54A2" w:rsidP="00956D7C" w14:paraId="7ED40449" w14:textId="77777777">
            <w:pPr>
              <w:tabs>
                <w:tab w:val="left" w:pos="-1440"/>
                <w:tab w:val="left" w:pos="967"/>
              </w:tabs>
              <w:suppressAutoHyphens/>
              <w:rPr>
                <w:rFonts w:ascii="Arial Narrow" w:hAnsi="Arial Narrow"/>
                <w:kern w:val="0"/>
                <w:sz w:val="17"/>
              </w:rPr>
            </w:pPr>
          </w:p>
          <w:p w:rsidR="005552C7" w:rsidRPr="009B54A2" w:rsidP="009B54A2" w14:paraId="26B56DF1" w14:textId="77777777">
            <w:pPr>
              <w:tabs>
                <w:tab w:val="left" w:pos="-1440"/>
                <w:tab w:val="left" w:pos="967"/>
              </w:tabs>
              <w:suppressAutoHyphens/>
              <w:spacing w:line="48" w:lineRule="auto"/>
              <w:rPr>
                <w:rFonts w:ascii="Arial Narrow" w:hAnsi="Arial Narrow"/>
                <w:kern w:val="0"/>
                <w:sz w:val="17"/>
              </w:rPr>
            </w:pPr>
          </w:p>
          <w:p w:rsidR="005552C7" w:rsidRPr="009B54A2" w:rsidP="00956D7C" w14:paraId="19476F20" w14:textId="77777777">
            <w:pPr>
              <w:tabs>
                <w:tab w:val="left" w:pos="0"/>
                <w:tab w:val="left" w:pos="336"/>
                <w:tab w:val="left" w:pos="967"/>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5.536A  US258</w:t>
            </w:r>
          </w:p>
        </w:tc>
        <w:tc>
          <w:tcPr>
            <w:tcW w:w="1550" w:type="dxa"/>
            <w:vMerge/>
            <w:tcBorders>
              <w:left w:val="double" w:sz="6" w:space="0" w:color="auto"/>
              <w:right w:val="nil"/>
            </w:tcBorders>
            <w:shd w:val="clear" w:color="auto" w:fill="auto"/>
            <w:noWrap/>
          </w:tcPr>
          <w:p w:rsidR="005552C7" w:rsidRPr="009B54A2" w:rsidP="00956D7C" w14:paraId="647ED76B" w14:textId="77777777">
            <w:pPr>
              <w:suppressAutoHyphens/>
              <w:rPr>
                <w:rFonts w:ascii="Arial Narrow" w:hAnsi="Arial Narrow"/>
                <w:kern w:val="0"/>
                <w:sz w:val="17"/>
              </w:rPr>
            </w:pPr>
          </w:p>
        </w:tc>
      </w:tr>
      <w:tr w14:paraId="451F28AB" w14:textId="77777777" w:rsidTr="005552C7">
        <w:tblPrEx>
          <w:tblW w:w="5005" w:type="pct"/>
          <w:tblLayout w:type="fixed"/>
          <w:tblCellMar>
            <w:left w:w="58" w:type="dxa"/>
            <w:right w:w="0" w:type="dxa"/>
          </w:tblCellMar>
          <w:tblLook w:val="0000"/>
        </w:tblPrEx>
        <w:tc>
          <w:tcPr>
            <w:tcW w:w="2274" w:type="dxa"/>
            <w:tcBorders>
              <w:left w:val="nil"/>
              <w:bottom w:val="single" w:sz="4" w:space="0" w:color="auto"/>
            </w:tcBorders>
            <w:noWrap/>
          </w:tcPr>
          <w:p w:rsidR="005552C7" w:rsidRPr="009B54A2" w:rsidP="00956D7C" w14:paraId="37721387" w14:textId="77777777">
            <w:pPr>
              <w:tabs>
                <w:tab w:val="left" w:pos="-1440"/>
              </w:tabs>
              <w:suppressAutoHyphens/>
              <w:ind w:left="-54"/>
              <w:rPr>
                <w:rFonts w:ascii="Arial Narrow" w:hAnsi="Arial Narrow"/>
                <w:kern w:val="0"/>
                <w:sz w:val="17"/>
              </w:rPr>
            </w:pPr>
            <w:r w:rsidRPr="009B54A2">
              <w:rPr>
                <w:rFonts w:ascii="Arial Narrow" w:hAnsi="Arial Narrow"/>
                <w:kern w:val="0"/>
                <w:sz w:val="17"/>
              </w:rPr>
              <w:t>27-27.5</w:t>
            </w:r>
          </w:p>
          <w:p w:rsidR="005552C7" w:rsidRPr="009B54A2" w:rsidP="00956D7C" w14:paraId="2E63E481" w14:textId="77777777">
            <w:pPr>
              <w:tabs>
                <w:tab w:val="left" w:pos="-1440"/>
              </w:tabs>
              <w:suppressAutoHyphens/>
              <w:ind w:left="-54"/>
              <w:rPr>
                <w:rFonts w:ascii="Arial Narrow" w:hAnsi="Arial Narrow"/>
                <w:kern w:val="0"/>
                <w:sz w:val="17"/>
              </w:rPr>
            </w:pPr>
            <w:r w:rsidRPr="009B54A2">
              <w:rPr>
                <w:rFonts w:ascii="Arial Narrow" w:hAnsi="Arial Narrow"/>
                <w:kern w:val="0"/>
                <w:sz w:val="17"/>
              </w:rPr>
              <w:t>FIXED</w:t>
            </w:r>
          </w:p>
          <w:p w:rsidR="005552C7" w:rsidRPr="009B54A2" w:rsidP="00956D7C" w14:paraId="4942071F" w14:textId="77777777">
            <w:pPr>
              <w:tabs>
                <w:tab w:val="left" w:pos="-1440"/>
              </w:tabs>
              <w:suppressAutoHyphens/>
              <w:ind w:left="-54"/>
              <w:rPr>
                <w:rFonts w:ascii="Arial Narrow" w:hAnsi="Arial Narrow"/>
                <w:kern w:val="0"/>
                <w:sz w:val="17"/>
              </w:rPr>
            </w:pPr>
            <w:r w:rsidRPr="009B54A2">
              <w:rPr>
                <w:rFonts w:ascii="Arial Narrow" w:hAnsi="Arial Narrow"/>
                <w:kern w:val="0"/>
                <w:sz w:val="17"/>
              </w:rPr>
              <w:t>INTER-SATELLITE 5.536</w:t>
            </w:r>
          </w:p>
          <w:p w:rsidR="005552C7" w:rsidRPr="009B54A2" w:rsidP="00956D7C" w14:paraId="05181D70" w14:textId="77777777">
            <w:pPr>
              <w:tabs>
                <w:tab w:val="left" w:pos="-1440"/>
              </w:tabs>
              <w:suppressAutoHyphens/>
              <w:ind w:left="-54"/>
              <w:rPr>
                <w:rFonts w:ascii="Arial Narrow" w:hAnsi="Arial Narrow"/>
                <w:kern w:val="0"/>
                <w:sz w:val="17"/>
              </w:rPr>
            </w:pPr>
            <w:r w:rsidRPr="009B54A2">
              <w:rPr>
                <w:rFonts w:ascii="Arial Narrow" w:hAnsi="Arial Narrow"/>
                <w:kern w:val="0"/>
                <w:sz w:val="17"/>
              </w:rPr>
              <w:t>MOBILE</w:t>
            </w:r>
            <w:r w:rsidRPr="002C1CD4">
              <w:rPr>
                <w:rFonts w:ascii="Arial Narrow" w:hAnsi="Arial Narrow"/>
                <w:kern w:val="0"/>
                <w:sz w:val="17"/>
                <w:szCs w:val="17"/>
              </w:rPr>
              <w:t xml:space="preserve">  5.338A  5.532AB</w:t>
            </w:r>
          </w:p>
        </w:tc>
        <w:tc>
          <w:tcPr>
            <w:tcW w:w="5036" w:type="dxa"/>
            <w:gridSpan w:val="2"/>
            <w:tcBorders>
              <w:bottom w:val="single" w:sz="4" w:space="0" w:color="auto"/>
              <w:right w:val="double" w:sz="6" w:space="0" w:color="auto"/>
            </w:tcBorders>
            <w:noWrap/>
          </w:tcPr>
          <w:p w:rsidR="005552C7" w:rsidRPr="009B54A2" w:rsidP="00956D7C" w14:paraId="092DF7C1" w14:textId="77777777">
            <w:pPr>
              <w:tabs>
                <w:tab w:val="left" w:pos="-1440"/>
              </w:tabs>
              <w:suppressAutoHyphens/>
              <w:rPr>
                <w:rFonts w:ascii="Arial Narrow" w:hAnsi="Arial Narrow"/>
                <w:kern w:val="0"/>
                <w:sz w:val="17"/>
              </w:rPr>
            </w:pPr>
            <w:r w:rsidRPr="009B54A2">
              <w:rPr>
                <w:rFonts w:ascii="Arial Narrow" w:hAnsi="Arial Narrow"/>
                <w:kern w:val="0"/>
                <w:sz w:val="17"/>
              </w:rPr>
              <w:t>27-27.5</w:t>
            </w:r>
          </w:p>
          <w:p w:rsidR="005552C7" w:rsidRPr="009B54A2" w:rsidP="00956D7C" w14:paraId="43866514"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FIXED</w:t>
            </w:r>
            <w:r w:rsidRPr="002C1CD4">
              <w:rPr>
                <w:rFonts w:ascii="Arial Narrow" w:hAnsi="Arial Narrow"/>
                <w:kern w:val="0"/>
                <w:sz w:val="17"/>
                <w:szCs w:val="17"/>
              </w:rPr>
              <w:t xml:space="preserve">  5.534A</w:t>
            </w:r>
          </w:p>
          <w:p w:rsidR="005552C7" w:rsidRPr="009B54A2" w:rsidP="00956D7C" w14:paraId="15E0926D"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FIXED-SATELLITE (Earth-to-space)</w:t>
            </w:r>
          </w:p>
          <w:p w:rsidR="005552C7" w:rsidRPr="009B54A2" w:rsidP="00956D7C" w14:paraId="635E1120"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INTER-SATELLITE  5.536  5.537</w:t>
            </w:r>
          </w:p>
          <w:p w:rsidR="005552C7" w:rsidRPr="009B54A2" w:rsidP="00956D7C" w14:paraId="2AC3D4F0"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MOBILE</w:t>
            </w:r>
            <w:r w:rsidRPr="002C1CD4">
              <w:rPr>
                <w:rFonts w:ascii="Arial Narrow" w:hAnsi="Arial Narrow"/>
                <w:kern w:val="0"/>
                <w:sz w:val="17"/>
                <w:szCs w:val="17"/>
              </w:rPr>
              <w:t xml:space="preserve">  5.338A  5.532AB</w:t>
            </w:r>
          </w:p>
        </w:tc>
        <w:tc>
          <w:tcPr>
            <w:tcW w:w="2461" w:type="dxa"/>
            <w:tcBorders>
              <w:left w:val="double" w:sz="6" w:space="0" w:color="auto"/>
              <w:bottom w:val="single" w:sz="4" w:space="0" w:color="auto"/>
            </w:tcBorders>
            <w:noWrap/>
          </w:tcPr>
          <w:p w:rsidR="005552C7" w:rsidRPr="009B54A2" w:rsidP="00956D7C" w14:paraId="35CCCCA3"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27-27.5</w:t>
            </w:r>
          </w:p>
          <w:p w:rsidR="005552C7" w:rsidRPr="009B54A2" w:rsidP="00956D7C" w14:paraId="0CD34DB4"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FIXED</w:t>
            </w:r>
          </w:p>
          <w:p w:rsidR="005552C7" w:rsidRPr="009B54A2" w:rsidP="00956D7C" w14:paraId="2158A69E"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INTER-SATELLITE  5.536</w:t>
            </w:r>
          </w:p>
          <w:p w:rsidR="005552C7" w:rsidRPr="009B54A2" w:rsidP="00956D7C" w14:paraId="60FCC606"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 xml:space="preserve">MOBILE  </w:t>
            </w:r>
            <w:r w:rsidRPr="009B54A2">
              <w:rPr>
                <w:rFonts w:ascii="Arial Narrow" w:hAnsi="Arial Narrow"/>
                <w:kern w:val="0"/>
                <w:sz w:val="17"/>
              </w:rPr>
              <w:t>USxxx</w:t>
            </w:r>
          </w:p>
        </w:tc>
        <w:tc>
          <w:tcPr>
            <w:tcW w:w="2373" w:type="dxa"/>
            <w:tcBorders>
              <w:right w:val="double" w:sz="6" w:space="0" w:color="auto"/>
            </w:tcBorders>
            <w:noWrap/>
          </w:tcPr>
          <w:p w:rsidR="005552C7" w:rsidRPr="009B54A2" w:rsidP="00956D7C" w14:paraId="5C45D115"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27-27.5</w:t>
            </w:r>
          </w:p>
          <w:p w:rsidR="005552C7" w:rsidRPr="009B54A2" w:rsidP="00956D7C" w14:paraId="7D730AF6"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Inter-satellite  5.536</w:t>
            </w:r>
          </w:p>
        </w:tc>
        <w:tc>
          <w:tcPr>
            <w:tcW w:w="1550" w:type="dxa"/>
            <w:vMerge/>
            <w:tcBorders>
              <w:left w:val="double" w:sz="6" w:space="0" w:color="auto"/>
              <w:right w:val="nil"/>
            </w:tcBorders>
            <w:shd w:val="clear" w:color="auto" w:fill="auto"/>
            <w:noWrap/>
          </w:tcPr>
          <w:p w:rsidR="005552C7" w:rsidRPr="009B54A2" w:rsidP="00956D7C" w14:paraId="417874A1" w14:textId="77777777">
            <w:pPr>
              <w:suppressAutoHyphens/>
              <w:rPr>
                <w:rFonts w:ascii="Arial Narrow" w:hAnsi="Arial Narrow"/>
                <w:kern w:val="0"/>
                <w:sz w:val="17"/>
              </w:rPr>
            </w:pPr>
          </w:p>
        </w:tc>
      </w:tr>
      <w:tr w14:paraId="7CD0E40E" w14:textId="77777777" w:rsidTr="005552C7">
        <w:tblPrEx>
          <w:tblW w:w="5005" w:type="pct"/>
          <w:tblLayout w:type="fixed"/>
          <w:tblCellMar>
            <w:left w:w="58" w:type="dxa"/>
            <w:right w:w="0" w:type="dxa"/>
          </w:tblCellMar>
          <w:tblLook w:val="0000"/>
        </w:tblPrEx>
        <w:tc>
          <w:tcPr>
            <w:tcW w:w="7310" w:type="dxa"/>
            <w:gridSpan w:val="3"/>
            <w:tcBorders>
              <w:left w:val="nil"/>
              <w:bottom w:val="nil"/>
              <w:right w:val="double" w:sz="6" w:space="0" w:color="auto"/>
            </w:tcBorders>
            <w:noWrap/>
          </w:tcPr>
          <w:p w:rsidR="005552C7" w:rsidRPr="009B54A2" w:rsidP="00956D7C" w14:paraId="5767FC57" w14:textId="77777777">
            <w:pPr>
              <w:tabs>
                <w:tab w:val="left" w:pos="336"/>
                <w:tab w:val="left" w:pos="1892"/>
                <w:tab w:val="left" w:pos="2880"/>
                <w:tab w:val="left" w:pos="3600"/>
                <w:tab w:val="left" w:pos="4320"/>
                <w:tab w:val="left" w:pos="5040"/>
              </w:tabs>
              <w:suppressAutoHyphens/>
              <w:ind w:left="-58" w:firstLine="14"/>
              <w:rPr>
                <w:rFonts w:ascii="Arial Narrow" w:hAnsi="Arial Narrow"/>
                <w:kern w:val="0"/>
                <w:sz w:val="17"/>
              </w:rPr>
            </w:pPr>
            <w:r w:rsidRPr="009B54A2">
              <w:rPr>
                <w:rFonts w:ascii="Arial Narrow" w:hAnsi="Arial Narrow"/>
                <w:kern w:val="0"/>
                <w:sz w:val="17"/>
              </w:rPr>
              <w:t>27.5-28.5</w:t>
            </w:r>
          </w:p>
          <w:p w:rsidR="005552C7" w:rsidRPr="009B54A2" w:rsidP="00956D7C" w14:paraId="4B4875BD" w14:textId="77777777">
            <w:pPr>
              <w:tabs>
                <w:tab w:val="left" w:pos="336"/>
                <w:tab w:val="left" w:pos="1892"/>
                <w:tab w:val="left" w:pos="2880"/>
                <w:tab w:val="left" w:pos="3600"/>
                <w:tab w:val="left" w:pos="4320"/>
                <w:tab w:val="left" w:pos="5040"/>
              </w:tabs>
              <w:suppressAutoHyphens/>
              <w:ind w:left="-58" w:firstLine="14"/>
              <w:rPr>
                <w:rFonts w:ascii="Arial Narrow" w:hAnsi="Arial Narrow"/>
                <w:kern w:val="0"/>
                <w:sz w:val="17"/>
              </w:rPr>
            </w:pPr>
            <w:r w:rsidRPr="009B54A2">
              <w:rPr>
                <w:rFonts w:ascii="Arial Narrow" w:hAnsi="Arial Narrow"/>
                <w:kern w:val="0"/>
                <w:sz w:val="17"/>
              </w:rPr>
              <w:t>FIXED 5.537A</w:t>
            </w:r>
          </w:p>
          <w:p w:rsidR="005552C7" w:rsidRPr="009B54A2" w:rsidP="00956D7C" w14:paraId="35D9AF39" w14:textId="77777777">
            <w:pPr>
              <w:tabs>
                <w:tab w:val="left" w:pos="336"/>
                <w:tab w:val="left" w:pos="1892"/>
                <w:tab w:val="left" w:pos="2880"/>
                <w:tab w:val="left" w:pos="3600"/>
                <w:tab w:val="left" w:pos="4320"/>
                <w:tab w:val="left" w:pos="5040"/>
              </w:tabs>
              <w:suppressAutoHyphens/>
              <w:ind w:left="-58" w:firstLine="14"/>
              <w:rPr>
                <w:rFonts w:ascii="Arial Narrow" w:hAnsi="Arial Narrow"/>
                <w:kern w:val="0"/>
                <w:sz w:val="17"/>
              </w:rPr>
            </w:pPr>
            <w:r w:rsidRPr="009B54A2">
              <w:rPr>
                <w:rFonts w:ascii="Arial Narrow" w:hAnsi="Arial Narrow"/>
                <w:kern w:val="0"/>
                <w:sz w:val="17"/>
              </w:rPr>
              <w:t>FIXED-SATELLITE (Earth-to-space)  5.484A  5.516B  5.</w:t>
            </w:r>
            <w:r w:rsidRPr="002C1CD4">
              <w:rPr>
                <w:rFonts w:ascii="Arial Narrow" w:hAnsi="Arial Narrow"/>
                <w:kern w:val="0"/>
                <w:sz w:val="17"/>
                <w:szCs w:val="17"/>
              </w:rPr>
              <w:t>517A  5.</w:t>
            </w:r>
            <w:r w:rsidRPr="009B54A2">
              <w:rPr>
                <w:rFonts w:ascii="Arial Narrow" w:hAnsi="Arial Narrow"/>
                <w:kern w:val="0"/>
                <w:sz w:val="17"/>
              </w:rPr>
              <w:t>539</w:t>
            </w:r>
          </w:p>
          <w:p w:rsidR="005552C7" w:rsidRPr="009B54A2" w:rsidP="00956D7C" w14:paraId="7B23F632" w14:textId="77777777">
            <w:pPr>
              <w:tabs>
                <w:tab w:val="left" w:pos="336"/>
                <w:tab w:val="left" w:pos="1892"/>
                <w:tab w:val="left" w:pos="2880"/>
                <w:tab w:val="left" w:pos="3600"/>
                <w:tab w:val="left" w:pos="4320"/>
                <w:tab w:val="left" w:pos="5040"/>
              </w:tabs>
              <w:suppressAutoHyphens/>
              <w:ind w:left="-58" w:firstLine="14"/>
              <w:rPr>
                <w:rFonts w:ascii="Arial Narrow" w:hAnsi="Arial Narrow"/>
                <w:kern w:val="0"/>
                <w:sz w:val="17"/>
              </w:rPr>
            </w:pPr>
            <w:r w:rsidRPr="009B54A2">
              <w:rPr>
                <w:rFonts w:ascii="Arial Narrow" w:hAnsi="Arial Narrow"/>
                <w:kern w:val="0"/>
                <w:sz w:val="17"/>
              </w:rPr>
              <w:t>MOBILE</w:t>
            </w:r>
          </w:p>
        </w:tc>
        <w:tc>
          <w:tcPr>
            <w:tcW w:w="2461" w:type="dxa"/>
            <w:vMerge w:val="restart"/>
            <w:tcBorders>
              <w:left w:val="double" w:sz="6" w:space="0" w:color="auto"/>
              <w:bottom w:val="nil"/>
            </w:tcBorders>
            <w:noWrap/>
          </w:tcPr>
          <w:p w:rsidR="005552C7" w:rsidRPr="009B54A2" w:rsidP="00956D7C" w14:paraId="2DA8C9DC"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2C1CD4">
              <w:rPr>
                <w:rFonts w:ascii="Arial Narrow" w:hAnsi="Arial Narrow"/>
                <w:sz w:val="17"/>
                <w:szCs w:val="17"/>
              </w:rPr>
              <w:t>27.5-30</w:t>
            </w:r>
          </w:p>
        </w:tc>
        <w:tc>
          <w:tcPr>
            <w:tcW w:w="2373" w:type="dxa"/>
            <w:tcBorders>
              <w:bottom w:val="single" w:sz="4" w:space="0" w:color="auto"/>
              <w:right w:val="double" w:sz="6" w:space="0" w:color="auto"/>
            </w:tcBorders>
            <w:noWrap/>
          </w:tcPr>
          <w:p w:rsidR="005552C7" w:rsidRPr="009B54A2" w:rsidP="00956D7C" w14:paraId="3F54D3C4"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27.5-28.35</w:t>
            </w:r>
          </w:p>
          <w:p w:rsidR="005552C7" w:rsidRPr="009B54A2" w:rsidP="00956D7C" w14:paraId="344CCDB0"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FIXED</w:t>
            </w:r>
          </w:p>
          <w:p w:rsidR="005552C7" w:rsidRPr="009B54A2" w:rsidP="00956D7C" w14:paraId="017B975B"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FIXED-SATELLITE (Earth-to-space)</w:t>
            </w:r>
          </w:p>
          <w:p w:rsidR="005552C7" w:rsidRPr="009B54A2" w:rsidP="00956D7C" w14:paraId="7D6A3D4B"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MOBILE</w:t>
            </w:r>
          </w:p>
        </w:tc>
        <w:tc>
          <w:tcPr>
            <w:tcW w:w="1550" w:type="dxa"/>
            <w:tcBorders>
              <w:left w:val="double" w:sz="6" w:space="0" w:color="auto"/>
              <w:bottom w:val="single" w:sz="4" w:space="0" w:color="auto"/>
              <w:right w:val="nil"/>
            </w:tcBorders>
            <w:shd w:val="clear" w:color="auto" w:fill="auto"/>
            <w:noWrap/>
          </w:tcPr>
          <w:p w:rsidR="005552C7" w:rsidRPr="009B54A2" w:rsidP="009B54A2" w14:paraId="6FBE7223" w14:textId="77777777">
            <w:pPr>
              <w:tabs>
                <w:tab w:val="left" w:pos="0"/>
                <w:tab w:val="left" w:pos="336"/>
                <w:tab w:val="left" w:pos="1892"/>
                <w:tab w:val="left" w:pos="2880"/>
                <w:tab w:val="left" w:pos="3600"/>
                <w:tab w:val="left" w:pos="4320"/>
                <w:tab w:val="left" w:pos="5040"/>
              </w:tabs>
              <w:suppressAutoHyphens/>
              <w:spacing w:line="96" w:lineRule="auto"/>
              <w:rPr>
                <w:rFonts w:ascii="Arial Narrow" w:hAnsi="Arial Narrow"/>
                <w:kern w:val="0"/>
                <w:sz w:val="17"/>
              </w:rPr>
            </w:pPr>
          </w:p>
          <w:p w:rsidR="005552C7" w:rsidRPr="009B54A2" w:rsidP="009B54A2" w14:paraId="782D92E3" w14:textId="77777777">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rPr>
            </w:pPr>
            <w:r w:rsidRPr="009B54A2">
              <w:rPr>
                <w:rFonts w:ascii="Arial Narrow" w:hAnsi="Arial Narrow"/>
                <w:kern w:val="0"/>
                <w:sz w:val="17"/>
              </w:rPr>
              <w:t>RF Devices (15)</w:t>
            </w:r>
          </w:p>
          <w:p w:rsidR="005552C7" w:rsidRPr="009B54A2" w:rsidP="009B54A2" w14:paraId="0768F725" w14:textId="787A0AD2">
            <w:pPr>
              <w:tabs>
                <w:tab w:val="left" w:pos="0"/>
                <w:tab w:val="left" w:pos="336"/>
                <w:tab w:val="left" w:pos="1918"/>
                <w:tab w:val="left" w:pos="2880"/>
                <w:tab w:val="left" w:pos="3600"/>
                <w:tab w:val="left" w:pos="4320"/>
                <w:tab w:val="left" w:pos="5040"/>
              </w:tabs>
              <w:suppressAutoHyphens/>
              <w:spacing w:line="228" w:lineRule="auto"/>
              <w:ind w:right="-72"/>
              <w:rPr>
                <w:rFonts w:ascii="Arial Narrow" w:hAnsi="Arial Narrow"/>
                <w:kern w:val="0"/>
                <w:sz w:val="17"/>
              </w:rPr>
            </w:pPr>
            <w:r w:rsidRPr="009B54A2">
              <w:rPr>
                <w:rFonts w:ascii="Arial Narrow" w:hAnsi="Arial Narrow"/>
                <w:kern w:val="0"/>
                <w:sz w:val="17"/>
              </w:rPr>
              <w:t>Satellite</w:t>
            </w:r>
          </w:p>
          <w:p w:rsidR="005552C7" w:rsidRPr="009B54A2" w:rsidP="00956D7C" w14:paraId="60DDF079" w14:textId="77777777">
            <w:pPr>
              <w:tabs>
                <w:tab w:val="left" w:pos="0"/>
                <w:tab w:val="left" w:pos="336"/>
                <w:tab w:val="left" w:pos="1918"/>
                <w:tab w:val="left" w:pos="2880"/>
                <w:tab w:val="left" w:pos="3600"/>
                <w:tab w:val="left" w:pos="4320"/>
                <w:tab w:val="left" w:pos="5040"/>
              </w:tabs>
              <w:suppressAutoHyphens/>
              <w:spacing w:line="204" w:lineRule="auto"/>
              <w:ind w:right="-72"/>
              <w:rPr>
                <w:rFonts w:ascii="Arial Narrow" w:hAnsi="Arial Narrow"/>
                <w:kern w:val="0"/>
                <w:sz w:val="17"/>
              </w:rPr>
            </w:pPr>
            <w:r w:rsidRPr="009B54A2">
              <w:rPr>
                <w:rFonts w:ascii="Arial Narrow" w:hAnsi="Arial Narrow"/>
                <w:kern w:val="0"/>
                <w:sz w:val="17"/>
              </w:rPr>
              <w:t xml:space="preserve">   Communications (25)</w:t>
            </w:r>
          </w:p>
          <w:p w:rsidR="005552C7" w:rsidRPr="009B54A2" w:rsidP="009B54A2" w14:paraId="3D5F4E57" w14:textId="77777777">
            <w:pPr>
              <w:spacing w:line="228" w:lineRule="auto"/>
              <w:ind w:right="-72"/>
              <w:rPr>
                <w:rFonts w:ascii="Arial Narrow" w:hAnsi="Arial Narrow"/>
                <w:kern w:val="0"/>
                <w:sz w:val="17"/>
              </w:rPr>
            </w:pPr>
            <w:r w:rsidRPr="009B54A2">
              <w:rPr>
                <w:rFonts w:ascii="Arial Narrow" w:hAnsi="Arial Narrow"/>
                <w:kern w:val="0"/>
                <w:sz w:val="17"/>
              </w:rPr>
              <w:t>Upper Microwave</w:t>
            </w:r>
          </w:p>
          <w:p w:rsidR="005552C7" w:rsidRPr="009B54A2" w:rsidP="00956D7C" w14:paraId="0C4D272A" w14:textId="77777777">
            <w:pPr>
              <w:spacing w:line="204" w:lineRule="auto"/>
              <w:ind w:right="-72"/>
              <w:rPr>
                <w:rFonts w:ascii="Arial Narrow" w:hAnsi="Arial Narrow"/>
                <w:kern w:val="0"/>
                <w:sz w:val="17"/>
              </w:rPr>
            </w:pPr>
            <w:r w:rsidRPr="009B54A2">
              <w:rPr>
                <w:rFonts w:ascii="Arial Narrow" w:hAnsi="Arial Narrow"/>
                <w:kern w:val="0"/>
                <w:sz w:val="17"/>
              </w:rPr>
              <w:t xml:space="preserve">   Flexible Use (30)</w:t>
            </w:r>
          </w:p>
          <w:p w:rsidR="005552C7" w:rsidRPr="009B54A2" w:rsidP="00956D7C" w14:paraId="06E43BA5" w14:textId="77777777">
            <w:pPr>
              <w:tabs>
                <w:tab w:val="left" w:pos="0"/>
                <w:tab w:val="left" w:pos="336"/>
                <w:tab w:val="left" w:pos="1892"/>
                <w:tab w:val="left" w:pos="2880"/>
                <w:tab w:val="left" w:pos="3600"/>
                <w:tab w:val="left" w:pos="4320"/>
                <w:tab w:val="left" w:pos="5040"/>
              </w:tabs>
              <w:suppressAutoHyphens/>
              <w:spacing w:after="4"/>
              <w:rPr>
                <w:rFonts w:ascii="Arial Narrow" w:hAnsi="Arial Narrow"/>
                <w:kern w:val="0"/>
                <w:sz w:val="17"/>
              </w:rPr>
            </w:pPr>
            <w:r w:rsidRPr="009B54A2">
              <w:rPr>
                <w:rFonts w:ascii="Arial Narrow" w:hAnsi="Arial Narrow"/>
                <w:kern w:val="0"/>
                <w:sz w:val="17"/>
              </w:rPr>
              <w:t>Fixed Microwave (101)</w:t>
            </w:r>
          </w:p>
        </w:tc>
      </w:tr>
      <w:tr w14:paraId="2D01C475" w14:textId="77777777" w:rsidTr="005552C7">
        <w:tblPrEx>
          <w:tblW w:w="5005" w:type="pct"/>
          <w:tblLayout w:type="fixed"/>
          <w:tblCellMar>
            <w:left w:w="58" w:type="dxa"/>
            <w:right w:w="0" w:type="dxa"/>
          </w:tblCellMar>
          <w:tblLook w:val="0000"/>
        </w:tblPrEx>
        <w:trPr>
          <w:trHeight w:val="56"/>
        </w:trPr>
        <w:tc>
          <w:tcPr>
            <w:tcW w:w="7310" w:type="dxa"/>
            <w:gridSpan w:val="3"/>
            <w:tcBorders>
              <w:top w:val="nil"/>
              <w:left w:val="nil"/>
              <w:right w:val="double" w:sz="6" w:space="0" w:color="auto"/>
            </w:tcBorders>
            <w:noWrap/>
            <w:vAlign w:val="bottom"/>
          </w:tcPr>
          <w:p w:rsidR="005552C7" w:rsidRPr="009B54A2" w:rsidP="00956D7C" w14:paraId="74C9F959" w14:textId="77777777">
            <w:pPr>
              <w:tabs>
                <w:tab w:val="left" w:pos="-1440"/>
              </w:tabs>
              <w:suppressAutoHyphens/>
              <w:ind w:left="-58" w:firstLine="14"/>
              <w:rPr>
                <w:rFonts w:ascii="Arial Narrow" w:hAnsi="Arial Narrow"/>
                <w:kern w:val="0"/>
                <w:sz w:val="17"/>
              </w:rPr>
            </w:pPr>
            <w:r w:rsidRPr="009B54A2">
              <w:rPr>
                <w:rFonts w:ascii="Arial Narrow" w:hAnsi="Arial Narrow"/>
                <w:kern w:val="0"/>
                <w:sz w:val="17"/>
              </w:rPr>
              <w:t>5.538  5.540</w:t>
            </w:r>
          </w:p>
        </w:tc>
        <w:tc>
          <w:tcPr>
            <w:tcW w:w="2461" w:type="dxa"/>
            <w:vMerge/>
            <w:tcBorders>
              <w:left w:val="double" w:sz="6" w:space="0" w:color="auto"/>
              <w:bottom w:val="nil"/>
            </w:tcBorders>
            <w:noWrap/>
          </w:tcPr>
          <w:p w:rsidR="005552C7" w:rsidRPr="009B54A2" w:rsidP="00956D7C" w14:paraId="036FCCBD"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p>
        </w:tc>
        <w:tc>
          <w:tcPr>
            <w:tcW w:w="2373" w:type="dxa"/>
            <w:tcBorders>
              <w:bottom w:val="nil"/>
              <w:right w:val="double" w:sz="6" w:space="0" w:color="auto"/>
            </w:tcBorders>
            <w:noWrap/>
          </w:tcPr>
          <w:p w:rsidR="005552C7" w:rsidRPr="009B54A2" w:rsidP="00956D7C" w14:paraId="730E1672"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28.35-29.1</w:t>
            </w:r>
          </w:p>
          <w:p w:rsidR="005552C7" w:rsidRPr="009B54A2" w:rsidP="00956D7C" w14:paraId="7E7FFE8F" w14:textId="77777777">
            <w:pPr>
              <w:tabs>
                <w:tab w:val="left" w:pos="0"/>
                <w:tab w:val="left" w:pos="336"/>
                <w:tab w:val="left" w:pos="1892"/>
                <w:tab w:val="left" w:pos="2880"/>
                <w:tab w:val="left" w:pos="3600"/>
                <w:tab w:val="left" w:pos="4320"/>
                <w:tab w:val="left" w:pos="5040"/>
              </w:tabs>
              <w:suppressAutoHyphens/>
              <w:rPr>
                <w:rFonts w:ascii="Arial Narrow" w:hAnsi="Arial Narrow"/>
                <w:kern w:val="0"/>
                <w:sz w:val="17"/>
              </w:rPr>
            </w:pPr>
            <w:r w:rsidRPr="009B54A2">
              <w:rPr>
                <w:rFonts w:ascii="Arial Narrow" w:hAnsi="Arial Narrow"/>
                <w:kern w:val="0"/>
                <w:sz w:val="17"/>
              </w:rPr>
              <w:t>FIXED-SATELLITE (Earth-to-space)</w:t>
            </w:r>
          </w:p>
          <w:p w:rsidR="005552C7" w:rsidRPr="009B54A2" w:rsidP="00956D7C" w14:paraId="0F55AA90" w14:textId="7CFE0DC0">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2C1CD4">
              <w:rPr>
                <w:rFonts w:ascii="Arial Narrow" w:hAnsi="Arial Narrow"/>
                <w:snapToGrid/>
                <w:kern w:val="0"/>
                <w:sz w:val="17"/>
                <w:szCs w:val="17"/>
              </w:rPr>
              <w:t>G165</w:t>
            </w:r>
            <w:r w:rsidRPr="009B54A2">
              <w:rPr>
                <w:rFonts w:ascii="Arial Narrow" w:hAnsi="Arial Narrow"/>
                <w:kern w:val="0"/>
                <w:sz w:val="17"/>
              </w:rPr>
              <w:t xml:space="preserve">  NG527A</w:t>
            </w:r>
          </w:p>
        </w:tc>
        <w:tc>
          <w:tcPr>
            <w:tcW w:w="1550" w:type="dxa"/>
            <w:tcBorders>
              <w:left w:val="double" w:sz="6" w:space="0" w:color="auto"/>
              <w:bottom w:val="nil"/>
              <w:right w:val="nil"/>
            </w:tcBorders>
            <w:shd w:val="clear" w:color="auto" w:fill="auto"/>
            <w:noWrap/>
          </w:tcPr>
          <w:p w:rsidR="005552C7" w:rsidRPr="009B54A2" w:rsidP="009B54A2" w14:paraId="647D1E77" w14:textId="77777777">
            <w:pPr>
              <w:suppressAutoHyphens/>
              <w:spacing w:line="96" w:lineRule="auto"/>
              <w:rPr>
                <w:rFonts w:ascii="Arial Narrow" w:hAnsi="Arial Narrow"/>
                <w:kern w:val="0"/>
                <w:sz w:val="17"/>
              </w:rPr>
            </w:pPr>
          </w:p>
          <w:p w:rsidR="005552C7" w:rsidRPr="009B54A2" w:rsidP="009B54A2" w14:paraId="2F06B85D" w14:textId="77777777">
            <w:pPr>
              <w:suppressAutoHyphens/>
              <w:spacing w:line="228" w:lineRule="auto"/>
              <w:rPr>
                <w:rFonts w:ascii="Arial Narrow" w:hAnsi="Arial Narrow"/>
                <w:kern w:val="0"/>
                <w:sz w:val="17"/>
              </w:rPr>
            </w:pPr>
            <w:r w:rsidRPr="009B54A2">
              <w:rPr>
                <w:rFonts w:ascii="Arial Narrow" w:hAnsi="Arial Narrow"/>
                <w:kern w:val="0"/>
                <w:sz w:val="17"/>
              </w:rPr>
              <w:t>RF Devices (15)</w:t>
            </w:r>
          </w:p>
          <w:p w:rsidR="005552C7" w:rsidRPr="009B54A2" w:rsidP="009B54A2" w14:paraId="2FDB884D" w14:textId="39627B82">
            <w:pPr>
              <w:tabs>
                <w:tab w:val="left" w:pos="0"/>
                <w:tab w:val="left" w:pos="336"/>
                <w:tab w:val="left" w:pos="1892"/>
                <w:tab w:val="left" w:pos="2880"/>
                <w:tab w:val="left" w:pos="3600"/>
                <w:tab w:val="left" w:pos="4320"/>
                <w:tab w:val="left" w:pos="5040"/>
              </w:tabs>
              <w:suppressAutoHyphens/>
              <w:spacing w:line="228" w:lineRule="auto"/>
              <w:rPr>
                <w:rFonts w:ascii="Arial Narrow" w:hAnsi="Arial Narrow"/>
                <w:kern w:val="0"/>
                <w:sz w:val="17"/>
              </w:rPr>
            </w:pPr>
            <w:r w:rsidRPr="009B54A2">
              <w:rPr>
                <w:rFonts w:ascii="Arial Narrow" w:hAnsi="Arial Narrow"/>
                <w:kern w:val="0"/>
                <w:sz w:val="17"/>
              </w:rPr>
              <w:t>Satellite</w:t>
            </w:r>
          </w:p>
          <w:p w:rsidR="005552C7" w:rsidRPr="009B54A2" w:rsidP="00956D7C" w14:paraId="1408B483" w14:textId="77777777">
            <w:pPr>
              <w:tabs>
                <w:tab w:val="left" w:pos="0"/>
                <w:tab w:val="left" w:pos="336"/>
                <w:tab w:val="left" w:pos="1892"/>
                <w:tab w:val="left" w:pos="2880"/>
                <w:tab w:val="left" w:pos="3600"/>
                <w:tab w:val="left" w:pos="4320"/>
                <w:tab w:val="left" w:pos="5040"/>
              </w:tabs>
              <w:suppressAutoHyphens/>
              <w:spacing w:line="204" w:lineRule="auto"/>
              <w:rPr>
                <w:rFonts w:ascii="Arial Narrow" w:hAnsi="Arial Narrow"/>
                <w:kern w:val="0"/>
                <w:sz w:val="17"/>
              </w:rPr>
            </w:pPr>
            <w:r w:rsidRPr="009B54A2">
              <w:rPr>
                <w:rFonts w:ascii="Arial Narrow" w:hAnsi="Arial Narrow"/>
                <w:kern w:val="0"/>
                <w:sz w:val="17"/>
              </w:rPr>
              <w:t xml:space="preserve">   Communications (25)</w:t>
            </w:r>
          </w:p>
        </w:tc>
      </w:tr>
    </w:tbl>
    <w:p w:rsidR="00D91463" w:rsidP="004E3094" w14:paraId="27850D5D" w14:textId="77777777">
      <w:pPr>
        <w:spacing w:line="14" w:lineRule="auto"/>
        <w:rPr>
          <w:szCs w:val="22"/>
        </w:rPr>
        <w:sectPr w:rsidSect="009B54A2">
          <w:headerReference w:type="default" r:id="rId16"/>
          <w:endnotePr>
            <w:numFmt w:val="decimal"/>
          </w:endnotePr>
          <w:pgSz w:w="15840" w:h="12240" w:orient="landscape" w:code="1"/>
          <w:pgMar w:top="720" w:right="1080" w:bottom="576" w:left="1080" w:header="0" w:footer="720" w:gutter="0"/>
          <w:cols w:space="720"/>
          <w:noEndnote/>
          <w:docGrid w:linePitch="299"/>
        </w:sectPr>
      </w:pPr>
    </w:p>
    <w:p w:rsidR="00981B4C" w:rsidP="008A4A4D" w14:paraId="25DD6C89" w14:textId="0E9A745E">
      <w:pPr>
        <w:tabs>
          <w:tab w:val="left" w:pos="810"/>
          <w:tab w:val="left" w:pos="1080"/>
        </w:tabs>
        <w:suppressAutoHyphens/>
        <w:ind w:firstLine="360"/>
        <w:rPr>
          <w:smallCaps/>
          <w:szCs w:val="22"/>
        </w:rPr>
      </w:pPr>
      <w:r w:rsidRPr="007305CD">
        <w:rPr>
          <w:smallCaps/>
          <w:szCs w:val="22"/>
        </w:rPr>
        <w:t>* * * * *</w:t>
      </w:r>
    </w:p>
    <w:p w:rsidR="00AD28FF" w:rsidP="008A4A4D" w14:paraId="468988BE" w14:textId="77777777">
      <w:pPr>
        <w:tabs>
          <w:tab w:val="left" w:pos="810"/>
          <w:tab w:val="left" w:pos="1080"/>
        </w:tabs>
        <w:suppressAutoHyphens/>
        <w:ind w:firstLine="360"/>
        <w:rPr>
          <w:smallCaps/>
          <w:szCs w:val="22"/>
        </w:rPr>
      </w:pPr>
    </w:p>
    <w:p w:rsidR="00DA31DD" w:rsidP="008A4A4D" w14:paraId="6B477B83" w14:textId="12C92BCE">
      <w:pPr>
        <w:tabs>
          <w:tab w:val="left" w:pos="810"/>
          <w:tab w:val="left" w:pos="1080"/>
        </w:tabs>
        <w:suppressAutoHyphens/>
        <w:ind w:firstLine="360"/>
        <w:rPr>
          <w:smallCaps/>
          <w:szCs w:val="22"/>
        </w:rPr>
      </w:pPr>
      <w:r>
        <w:rPr>
          <w:smallCaps/>
          <w:szCs w:val="22"/>
        </w:rPr>
        <w:t>(c)</w:t>
      </w:r>
      <w:r>
        <w:rPr>
          <w:smallCaps/>
          <w:szCs w:val="22"/>
        </w:rPr>
        <w:tab/>
        <w:t>* * *</w:t>
      </w:r>
    </w:p>
    <w:p w:rsidR="008A4A4D" w:rsidRPr="007305CD" w:rsidP="008A4A4D" w14:paraId="566F05AD" w14:textId="77777777">
      <w:pPr>
        <w:tabs>
          <w:tab w:val="left" w:pos="810"/>
          <w:tab w:val="left" w:pos="1080"/>
        </w:tabs>
        <w:suppressAutoHyphens/>
        <w:ind w:firstLine="360"/>
        <w:rPr>
          <w:smallCaps/>
          <w:szCs w:val="22"/>
        </w:rPr>
      </w:pPr>
    </w:p>
    <w:p w:rsidR="00981B4C" w:rsidRPr="007305CD" w:rsidP="008A4A4D" w14:paraId="3A999CCA" w14:textId="7A2344F5">
      <w:pPr>
        <w:tabs>
          <w:tab w:val="left" w:pos="810"/>
          <w:tab w:val="left" w:pos="1080"/>
        </w:tabs>
        <w:suppressAutoHyphens/>
        <w:ind w:firstLine="360"/>
        <w:jc w:val="center"/>
        <w:rPr>
          <w:szCs w:val="22"/>
        </w:rPr>
      </w:pPr>
    </w:p>
    <w:p w:rsidR="00981B4C" w:rsidP="008A4A4D" w14:paraId="3220B3C5" w14:textId="2D8D70F7">
      <w:pPr>
        <w:ind w:firstLine="360"/>
        <w:rPr>
          <w:szCs w:val="22"/>
        </w:rPr>
      </w:pPr>
      <w:r w:rsidRPr="007305CD">
        <w:rPr>
          <w:szCs w:val="22"/>
        </w:rPr>
        <w:t>* * * * *</w:t>
      </w:r>
    </w:p>
    <w:p w:rsidR="008A4A4D" w:rsidRPr="007305CD" w:rsidP="008A4A4D" w14:paraId="26337B84" w14:textId="77777777">
      <w:pPr>
        <w:ind w:firstLine="360"/>
        <w:rPr>
          <w:szCs w:val="22"/>
        </w:rPr>
      </w:pPr>
    </w:p>
    <w:p w:rsidR="00E64B0B" w:rsidP="00E1431B" w14:paraId="282834F0" w14:textId="1072CD74">
      <w:pPr>
        <w:spacing w:line="480" w:lineRule="auto"/>
        <w:ind w:firstLine="360"/>
      </w:pPr>
      <w:bookmarkStart w:id="9" w:name="_Hlk89179437"/>
      <w:r>
        <w:rPr>
          <w:szCs w:val="22"/>
        </w:rPr>
        <w:t>(</w:t>
      </w:r>
      <w:r w:rsidR="00052B78">
        <w:rPr>
          <w:szCs w:val="22"/>
        </w:rPr>
        <w:t>146</w:t>
      </w:r>
      <w:r>
        <w:rPr>
          <w:szCs w:val="22"/>
        </w:rPr>
        <w:t xml:space="preserve">) </w:t>
      </w:r>
      <w:r w:rsidRPr="007305CD" w:rsidR="00981B4C">
        <w:rPr>
          <w:szCs w:val="22"/>
        </w:rPr>
        <w:t>US</w:t>
      </w:r>
      <w:r w:rsidR="00485749">
        <w:rPr>
          <w:szCs w:val="22"/>
        </w:rPr>
        <w:t>xxx</w:t>
      </w:r>
      <w:r w:rsidRPr="007305CD" w:rsidR="00981B4C">
        <w:rPr>
          <w:szCs w:val="22"/>
        </w:rPr>
        <w:t xml:space="preserve">  </w:t>
      </w:r>
      <w:r w:rsidR="00485749">
        <w:t xml:space="preserve">In the bands </w:t>
      </w:r>
      <w:r w:rsidRPr="008A4A4D" w:rsidR="00485749">
        <w:t>24.25-24.45 GHz and 24.75-27.5 GHz</w:t>
      </w:r>
      <w:r w:rsidR="00485749">
        <w:t xml:space="preserve">, the total radiated power (TRP) of emissions </w:t>
      </w:r>
      <w:r w:rsidR="00052B78">
        <w:t>from stations in the mob</w:t>
      </w:r>
      <w:r w:rsidR="00874F4F">
        <w:t xml:space="preserve">ile service </w:t>
      </w:r>
      <w:r w:rsidR="00485749">
        <w:t>in any 200 MHz of the band 23.6-24 GHz shall not exceed</w:t>
      </w:r>
      <w:r w:rsidR="00482E92">
        <w:t xml:space="preserve"> </w:t>
      </w:r>
    </w:p>
    <w:p w:rsidR="00AD24CA" w:rsidP="009B54A2" w14:paraId="133D689F" w14:textId="1CD8119B">
      <w:pPr>
        <w:spacing w:line="480" w:lineRule="auto"/>
      </w:pPr>
      <w:r>
        <w:t>-</w:t>
      </w:r>
      <w:r w:rsidR="00485749">
        <w:t xml:space="preserve">33 </w:t>
      </w:r>
      <w:r w:rsidR="00485749">
        <w:t>dBW</w:t>
      </w:r>
      <w:r w:rsidR="00874F4F">
        <w:t>/200 MHz</w:t>
      </w:r>
      <w:r w:rsidR="00485749">
        <w:t xml:space="preserve"> for base stations and -29 </w:t>
      </w:r>
      <w:r w:rsidR="00485749">
        <w:t>dBW</w:t>
      </w:r>
      <w:r w:rsidR="00874F4F">
        <w:t>/200 MHz</w:t>
      </w:r>
      <w:r w:rsidR="00485749">
        <w:t xml:space="preserve"> for mobile stations, and for stations brought into use after September 1, 2027, TRP shall not exceed -39 </w:t>
      </w:r>
      <w:r w:rsidR="00485749">
        <w:t>dBW</w:t>
      </w:r>
      <w:r w:rsidR="00874F4F">
        <w:t>/200 MHz</w:t>
      </w:r>
      <w:r w:rsidR="00485749">
        <w:t xml:space="preserve"> for base stations and -35 </w:t>
      </w:r>
      <w:r w:rsidR="00485749">
        <w:t>dBW</w:t>
      </w:r>
      <w:r w:rsidR="00874F4F">
        <w:t>/200 MHz</w:t>
      </w:r>
      <w:r w:rsidR="00485749">
        <w:t xml:space="preserve"> for mobile stations.</w:t>
      </w:r>
    </w:p>
    <w:p w:rsidR="008A4A4D" w:rsidP="009B54A2" w14:paraId="0D77CEDC" w14:textId="77777777">
      <w:pPr>
        <w:spacing w:line="480" w:lineRule="auto"/>
        <w:ind w:firstLine="360"/>
        <w:rPr>
          <w:szCs w:val="22"/>
        </w:rPr>
      </w:pPr>
    </w:p>
    <w:p w:rsidR="008A4A4D" w:rsidRPr="007305CD" w:rsidP="008A4A4D" w14:paraId="03B86F7E" w14:textId="20162AE1">
      <w:pPr>
        <w:ind w:firstLine="360"/>
        <w:rPr>
          <w:szCs w:val="22"/>
        </w:rPr>
      </w:pPr>
      <w:r w:rsidRPr="007305CD">
        <w:rPr>
          <w:szCs w:val="22"/>
        </w:rPr>
        <w:t>* * * * *</w:t>
      </w:r>
    </w:p>
    <w:p w:rsidR="008A4A4D" w:rsidP="00485749" w14:paraId="5EF8A400" w14:textId="77777777">
      <w:pPr>
        <w:ind w:firstLine="360"/>
        <w:rPr>
          <w:snapToGrid/>
          <w:kern w:val="0"/>
        </w:rPr>
      </w:pPr>
    </w:p>
    <w:p w:rsidR="00485749" w:rsidRPr="008A4A4D" w:rsidP="008A4A4D" w14:paraId="0DC6169E" w14:textId="77777777">
      <w:pPr>
        <w:ind w:firstLine="360"/>
        <w:rPr>
          <w:snapToGrid/>
          <w:kern w:val="0"/>
        </w:rPr>
      </w:pPr>
    </w:p>
    <w:bookmarkEnd w:id="9"/>
    <w:p w:rsidR="00B83427" w:rsidRPr="005D46C5" w:rsidP="00CA3A33" w14:paraId="00720189" w14:textId="6A03076A">
      <w:pPr>
        <w:widowControl/>
        <w:spacing w:after="220"/>
        <w:rPr>
          <w:szCs w:val="22"/>
        </w:rPr>
      </w:pPr>
      <w:r w:rsidRPr="005D46C5">
        <w:rPr>
          <w:szCs w:val="22"/>
        </w:rPr>
        <w:t xml:space="preserve">The </w:t>
      </w:r>
      <w:r w:rsidRPr="00CA3A33">
        <w:rPr>
          <w:rFonts w:eastAsia="Calibri"/>
          <w:snapToGrid/>
          <w:kern w:val="0"/>
          <w:szCs w:val="22"/>
        </w:rPr>
        <w:t>authority</w:t>
      </w:r>
      <w:r w:rsidRPr="005D46C5">
        <w:rPr>
          <w:szCs w:val="22"/>
        </w:rPr>
        <w:t xml:space="preserve"> citation for </w:t>
      </w:r>
      <w:r w:rsidR="007B3FC2">
        <w:rPr>
          <w:szCs w:val="22"/>
        </w:rPr>
        <w:t xml:space="preserve">part </w:t>
      </w:r>
      <w:r>
        <w:rPr>
          <w:szCs w:val="22"/>
        </w:rPr>
        <w:t>30</w:t>
      </w:r>
      <w:r w:rsidRPr="005D46C5">
        <w:rPr>
          <w:szCs w:val="22"/>
        </w:rPr>
        <w:t xml:space="preserve"> continues to read as follows:</w:t>
      </w:r>
    </w:p>
    <w:p w:rsidR="00B83427" w:rsidRPr="005D46C5" w:rsidP="00B83427" w14:paraId="30B1A309" w14:textId="77777777">
      <w:pPr>
        <w:widowControl/>
        <w:ind w:firstLine="720"/>
        <w:rPr>
          <w:szCs w:val="22"/>
        </w:rPr>
      </w:pPr>
    </w:p>
    <w:p w:rsidR="00B83427" w:rsidRPr="005D46C5" w:rsidP="00B83427" w14:paraId="29C867F0" w14:textId="6A850CEC">
      <w:pPr>
        <w:widowControl/>
        <w:ind w:firstLine="720"/>
        <w:rPr>
          <w:bCs/>
          <w:szCs w:val="22"/>
        </w:rPr>
      </w:pPr>
      <w:r w:rsidRPr="005D46C5">
        <w:rPr>
          <w:bCs/>
          <w:szCs w:val="22"/>
        </w:rPr>
        <w:t xml:space="preserve">AUTHORITY:  </w:t>
      </w:r>
      <w:r w:rsidRPr="00AB6BC4" w:rsidR="005A4A34">
        <w:rPr>
          <w:bCs/>
          <w:szCs w:val="22"/>
        </w:rPr>
        <w:t>47 U.S.C. 151, 152, 153, 154, 301, 303, 304, 307, 309, 310, 316, 332, 1302</w:t>
      </w:r>
      <w:r w:rsidR="005A4A34">
        <w:rPr>
          <w:bCs/>
          <w:szCs w:val="22"/>
        </w:rPr>
        <w:t>, unless otherwise noted</w:t>
      </w:r>
      <w:r w:rsidRPr="00AB6BC4" w:rsidR="005A4A34">
        <w:rPr>
          <w:bCs/>
          <w:szCs w:val="22"/>
        </w:rPr>
        <w:t>.</w:t>
      </w:r>
    </w:p>
    <w:p w:rsidR="00B83427" w:rsidRPr="005D46C5" w:rsidP="00B83427" w14:paraId="08483519" w14:textId="77777777">
      <w:pPr>
        <w:widowControl/>
        <w:ind w:firstLine="720"/>
        <w:rPr>
          <w:bCs/>
          <w:szCs w:val="22"/>
        </w:rPr>
      </w:pPr>
    </w:p>
    <w:p w:rsidR="00B83427" w:rsidP="00B83427" w14:paraId="5529C62D" w14:textId="77777777">
      <w:pPr>
        <w:widowControl/>
        <w:spacing w:after="220"/>
        <w:rPr>
          <w:rFonts w:eastAsia="Calibri"/>
          <w:snapToGrid/>
          <w:kern w:val="0"/>
          <w:szCs w:val="22"/>
        </w:rPr>
      </w:pPr>
      <w:r w:rsidRPr="005D46C5">
        <w:rPr>
          <w:bCs/>
          <w:szCs w:val="22"/>
        </w:rPr>
        <w:t>2.</w:t>
      </w:r>
      <w:r w:rsidRPr="005D46C5">
        <w:rPr>
          <w:bCs/>
          <w:szCs w:val="22"/>
        </w:rPr>
        <w:tab/>
      </w:r>
      <w:r>
        <w:rPr>
          <w:rFonts w:eastAsia="Calibri"/>
          <w:snapToGrid/>
          <w:kern w:val="0"/>
          <w:szCs w:val="22"/>
        </w:rPr>
        <w:t>Amend § 30.203 by adding paragraph (d) to read as follows:</w:t>
      </w:r>
    </w:p>
    <w:p w:rsidR="00B83427" w:rsidRPr="00A3500C" w:rsidP="00B83427" w14:paraId="3EA4967C" w14:textId="77777777">
      <w:pPr>
        <w:widowControl/>
        <w:spacing w:after="220"/>
        <w:rPr>
          <w:rFonts w:ascii="Times New Roman Bold" w:eastAsia="Calibri" w:hAnsi="Times New Roman Bold"/>
          <w:b/>
          <w:snapToGrid/>
          <w:kern w:val="0"/>
          <w:szCs w:val="22"/>
          <w:u w:val="single"/>
        </w:rPr>
      </w:pPr>
      <w:r w:rsidRPr="00A3500C">
        <w:rPr>
          <w:rFonts w:ascii="Times New Roman Bold" w:eastAsia="Calibri" w:hAnsi="Times New Roman Bold"/>
          <w:b/>
          <w:snapToGrid/>
          <w:kern w:val="0"/>
          <w:szCs w:val="22"/>
          <w:u w:val="single"/>
        </w:rPr>
        <w:t>§ 30.</w:t>
      </w:r>
      <w:r>
        <w:rPr>
          <w:rFonts w:ascii="Times New Roman Bold" w:eastAsia="Calibri" w:hAnsi="Times New Roman Bold"/>
          <w:b/>
          <w:snapToGrid/>
          <w:kern w:val="0"/>
          <w:szCs w:val="22"/>
          <w:u w:val="single"/>
        </w:rPr>
        <w:t>203</w:t>
      </w:r>
      <w:r w:rsidRPr="00A3500C">
        <w:rPr>
          <w:rFonts w:ascii="Times New Roman Bold" w:eastAsia="Calibri" w:hAnsi="Times New Roman Bold"/>
          <w:b/>
          <w:snapToGrid/>
          <w:kern w:val="0"/>
          <w:szCs w:val="22"/>
          <w:u w:val="single"/>
        </w:rPr>
        <w:t xml:space="preserve">  </w:t>
      </w:r>
      <w:r>
        <w:rPr>
          <w:rFonts w:ascii="Times New Roman Bold" w:eastAsia="Calibri" w:hAnsi="Times New Roman Bold"/>
          <w:b/>
          <w:snapToGrid/>
          <w:kern w:val="0"/>
          <w:szCs w:val="22"/>
          <w:u w:val="single"/>
        </w:rPr>
        <w:t>Emission Limits.</w:t>
      </w:r>
    </w:p>
    <w:p w:rsidR="00B83427" w:rsidP="00B83427" w14:paraId="4B2DE505" w14:textId="77777777">
      <w:pPr>
        <w:widowControl/>
        <w:spacing w:after="220" w:line="480" w:lineRule="auto"/>
        <w:rPr>
          <w:rFonts w:eastAsia="Calibri"/>
          <w:snapToGrid/>
          <w:kern w:val="0"/>
          <w:szCs w:val="22"/>
        </w:rPr>
      </w:pPr>
      <w:r w:rsidRPr="00A3500C">
        <w:rPr>
          <w:rFonts w:eastAsia="Calibri"/>
          <w:snapToGrid/>
          <w:kern w:val="0"/>
          <w:szCs w:val="22"/>
        </w:rPr>
        <w:t>* * * * *</w:t>
      </w:r>
    </w:p>
    <w:p w:rsidR="00B83427" w:rsidP="00B83427" w14:paraId="3AB7BFB7" w14:textId="26D2EFED">
      <w:pPr>
        <w:widowControl/>
        <w:spacing w:after="220" w:line="480" w:lineRule="auto"/>
        <w:rPr>
          <w:rFonts w:eastAsia="Calibri"/>
          <w:snapToGrid/>
          <w:kern w:val="0"/>
          <w:szCs w:val="22"/>
        </w:rPr>
      </w:pPr>
      <w:r>
        <w:rPr>
          <w:rFonts w:eastAsia="Calibri"/>
          <w:snapToGrid/>
          <w:kern w:val="0"/>
          <w:szCs w:val="22"/>
        </w:rPr>
        <w:tab/>
        <w:t xml:space="preserve">(d)  </w:t>
      </w:r>
      <w:r>
        <w:rPr>
          <w:rFonts w:eastAsia="Calibri"/>
          <w:snapToGrid/>
          <w:kern w:val="0"/>
          <w:szCs w:val="22"/>
        </w:rPr>
        <w:tab/>
        <w:t>(1) In addition to the limits noted above, f</w:t>
      </w:r>
      <w:r w:rsidRPr="00561CB9">
        <w:rPr>
          <w:rFonts w:eastAsia="Calibri"/>
          <w:snapToGrid/>
          <w:kern w:val="0"/>
          <w:szCs w:val="22"/>
        </w:rPr>
        <w:t xml:space="preserve">or licensees operating </w:t>
      </w:r>
      <w:r>
        <w:rPr>
          <w:rFonts w:eastAsia="Calibri"/>
          <w:snapToGrid/>
          <w:kern w:val="0"/>
          <w:szCs w:val="22"/>
        </w:rPr>
        <w:t xml:space="preserve">mobile </w:t>
      </w:r>
      <w:r w:rsidR="00F23E0D">
        <w:rPr>
          <w:rFonts w:eastAsia="Calibri"/>
          <w:snapToGrid/>
          <w:kern w:val="0"/>
          <w:szCs w:val="22"/>
        </w:rPr>
        <w:t>equipment</w:t>
      </w:r>
      <w:r>
        <w:rPr>
          <w:rFonts w:eastAsia="Calibri"/>
          <w:snapToGrid/>
          <w:kern w:val="0"/>
          <w:szCs w:val="22"/>
        </w:rPr>
        <w:t xml:space="preserve"> </w:t>
      </w:r>
      <w:r w:rsidRPr="00561CB9">
        <w:rPr>
          <w:rFonts w:eastAsia="Calibri"/>
          <w:snapToGrid/>
          <w:kern w:val="0"/>
          <w:szCs w:val="22"/>
        </w:rPr>
        <w:t>in the 24.25-24.45 GHz or 24.75-25.25 GHz bands, the total radiated power of emissions in any 200 MHz of the 23.6-24.0 GHz band</w:t>
      </w:r>
      <w:r>
        <w:rPr>
          <w:rFonts w:eastAsia="Calibri"/>
          <w:snapToGrid/>
          <w:kern w:val="0"/>
          <w:szCs w:val="22"/>
        </w:rPr>
        <w:t xml:space="preserve"> shall not exceed -33 </w:t>
      </w:r>
      <w:r>
        <w:rPr>
          <w:rFonts w:eastAsia="Calibri"/>
          <w:snapToGrid/>
          <w:kern w:val="0"/>
          <w:szCs w:val="22"/>
        </w:rPr>
        <w:t>dBW</w:t>
      </w:r>
      <w:r>
        <w:rPr>
          <w:rFonts w:eastAsia="Calibri"/>
          <w:snapToGrid/>
          <w:kern w:val="0"/>
          <w:szCs w:val="22"/>
        </w:rPr>
        <w:t xml:space="preserve"> (for base stations) or -29 </w:t>
      </w:r>
      <w:r>
        <w:rPr>
          <w:rFonts w:eastAsia="Calibri"/>
          <w:snapToGrid/>
          <w:kern w:val="0"/>
          <w:szCs w:val="22"/>
        </w:rPr>
        <w:t>dBW</w:t>
      </w:r>
      <w:r>
        <w:rPr>
          <w:rFonts w:eastAsia="Calibri"/>
          <w:snapToGrid/>
          <w:kern w:val="0"/>
          <w:szCs w:val="22"/>
        </w:rPr>
        <w:t xml:space="preserve"> (for mobile stations). </w:t>
      </w:r>
    </w:p>
    <w:p w:rsidR="00CA3A33" w:rsidP="002F648B" w14:paraId="527537A8" w14:textId="77777777">
      <w:pPr>
        <w:widowControl/>
        <w:spacing w:after="220" w:line="480" w:lineRule="auto"/>
        <w:ind w:firstLine="1440"/>
        <w:rPr>
          <w:rFonts w:eastAsia="Calibri"/>
          <w:snapToGrid/>
          <w:kern w:val="0"/>
          <w:szCs w:val="22"/>
        </w:rPr>
      </w:pPr>
      <w:r>
        <w:rPr>
          <w:rFonts w:eastAsia="Calibri"/>
          <w:snapToGrid/>
          <w:kern w:val="0"/>
          <w:szCs w:val="22"/>
        </w:rPr>
        <w:t xml:space="preserve">(2) For mobile equipment placed in service after September 1, 2027, </w:t>
      </w:r>
      <w:r w:rsidRPr="00561CB9">
        <w:rPr>
          <w:rFonts w:eastAsia="Calibri"/>
          <w:snapToGrid/>
          <w:kern w:val="0"/>
          <w:szCs w:val="22"/>
        </w:rPr>
        <w:t>the total radiated power of emissions in any 200 MHz of the 23.6-24.0 GHz band</w:t>
      </w:r>
      <w:r>
        <w:rPr>
          <w:rFonts w:eastAsia="Calibri"/>
          <w:snapToGrid/>
          <w:kern w:val="0"/>
          <w:szCs w:val="22"/>
        </w:rPr>
        <w:t xml:space="preserve"> shall not exceed -39 </w:t>
      </w:r>
      <w:r>
        <w:rPr>
          <w:rFonts w:eastAsia="Calibri"/>
          <w:snapToGrid/>
          <w:kern w:val="0"/>
          <w:szCs w:val="22"/>
        </w:rPr>
        <w:t>dBW</w:t>
      </w:r>
      <w:r>
        <w:rPr>
          <w:rFonts w:eastAsia="Calibri"/>
          <w:snapToGrid/>
          <w:kern w:val="0"/>
          <w:szCs w:val="22"/>
        </w:rPr>
        <w:t xml:space="preserve"> (for base stations) or -35 </w:t>
      </w:r>
      <w:r>
        <w:rPr>
          <w:rFonts w:eastAsia="Calibri"/>
          <w:snapToGrid/>
          <w:kern w:val="0"/>
          <w:szCs w:val="22"/>
        </w:rPr>
        <w:t>dBW</w:t>
      </w:r>
      <w:r>
        <w:rPr>
          <w:rFonts w:eastAsia="Calibri"/>
          <w:snapToGrid/>
          <w:kern w:val="0"/>
          <w:szCs w:val="22"/>
        </w:rPr>
        <w:t xml:space="preserve"> (for mobile stations). </w:t>
      </w:r>
      <w:bookmarkStart w:id="10" w:name="_Toc206315233"/>
      <w:bookmarkStart w:id="11" w:name="_Toc229806129"/>
      <w:bookmarkStart w:id="12" w:name="_Toc229825778"/>
      <w:bookmarkStart w:id="13" w:name="_Toc229878894"/>
      <w:bookmarkStart w:id="14" w:name="_Toc233770634"/>
      <w:bookmarkStart w:id="15" w:name="_Toc234049064"/>
      <w:bookmarkStart w:id="16" w:name="_Toc264640464"/>
      <w:bookmarkStart w:id="17" w:name="_Toc265564355"/>
      <w:bookmarkStart w:id="18" w:name="_Toc266446189"/>
    </w:p>
    <w:p w:rsidR="00CA3A33" w:rsidP="002F648B" w14:paraId="6E68AF77" w14:textId="77777777">
      <w:pPr>
        <w:widowControl/>
        <w:spacing w:after="220" w:line="480" w:lineRule="auto"/>
        <w:ind w:firstLine="1440"/>
        <w:rPr>
          <w:rFonts w:eastAsia="Calibri"/>
          <w:snapToGrid/>
          <w:kern w:val="0"/>
          <w:szCs w:val="22"/>
        </w:rPr>
      </w:pPr>
    </w:p>
    <w:p w:rsidR="00CA3A33" w:rsidP="002F648B" w14:paraId="7D8675AB" w14:textId="75E507C9">
      <w:pPr>
        <w:widowControl/>
        <w:spacing w:after="220" w:line="480" w:lineRule="auto"/>
        <w:ind w:firstLine="1440"/>
        <w:rPr>
          <w:rFonts w:eastAsia="Calibri"/>
          <w:snapToGrid/>
          <w:kern w:val="0"/>
          <w:szCs w:val="22"/>
        </w:rPr>
        <w:sectPr w:rsidSect="00036E08">
          <w:headerReference w:type="default" r:id="rId17"/>
          <w:endnotePr>
            <w:numFmt w:val="decimal"/>
          </w:endnotePr>
          <w:pgSz w:w="12240" w:h="15840"/>
          <w:pgMar w:top="1440" w:right="1440" w:bottom="720" w:left="1440" w:header="720" w:footer="720" w:gutter="0"/>
          <w:cols w:space="720"/>
          <w:noEndnote/>
          <w:docGrid w:linePitch="299"/>
        </w:sectPr>
      </w:pPr>
    </w:p>
    <w:p w:rsidR="00B83427" w:rsidRPr="005D46C5" w:rsidP="002F648B" w14:paraId="37F04EBE" w14:textId="1878B0E0">
      <w:pPr>
        <w:pStyle w:val="Heading1"/>
        <w:numPr>
          <w:ilvl w:val="0"/>
          <w:numId w:val="0"/>
        </w:numPr>
        <w:ind w:left="720" w:hanging="720"/>
        <w:jc w:val="center"/>
      </w:pPr>
      <w:r w:rsidRPr="005D46C5">
        <w:t>APPENDIX B</w:t>
      </w:r>
      <w:bookmarkStart w:id="19" w:name="_Toc136832090"/>
      <w:bookmarkEnd w:id="10"/>
      <w:bookmarkEnd w:id="11"/>
      <w:bookmarkEnd w:id="12"/>
      <w:bookmarkEnd w:id="13"/>
      <w:bookmarkEnd w:id="14"/>
      <w:bookmarkEnd w:id="15"/>
      <w:bookmarkEnd w:id="16"/>
      <w:bookmarkEnd w:id="17"/>
      <w:bookmarkEnd w:id="18"/>
    </w:p>
    <w:p w:rsidR="00B83427" w:rsidRPr="005D46C5" w:rsidP="00B83427" w14:paraId="1909B348" w14:textId="77777777">
      <w:pPr>
        <w:widowControl/>
        <w:jc w:val="center"/>
        <w:rPr>
          <w:b/>
          <w:szCs w:val="22"/>
        </w:rPr>
      </w:pPr>
      <w:r w:rsidRPr="005D46C5">
        <w:rPr>
          <w:b/>
          <w:szCs w:val="22"/>
        </w:rPr>
        <w:t>Initial Regulatory Flexib</w:t>
      </w:r>
      <w:bookmarkEnd w:id="19"/>
      <w:r w:rsidRPr="005D46C5">
        <w:rPr>
          <w:b/>
          <w:szCs w:val="22"/>
        </w:rPr>
        <w:t xml:space="preserve">ility Analysis </w:t>
      </w:r>
    </w:p>
    <w:p w:rsidR="00B83427" w:rsidRPr="005D46C5" w:rsidP="00B83427" w14:paraId="242F85FC" w14:textId="77777777">
      <w:pPr>
        <w:widowControl/>
        <w:rPr>
          <w:szCs w:val="22"/>
        </w:rPr>
      </w:pPr>
    </w:p>
    <w:p w:rsidR="00B83427" w:rsidRPr="00906688" w:rsidP="00E91A2C" w14:paraId="4E33CA32" w14:textId="77777777">
      <w:pPr>
        <w:pStyle w:val="ParaNum"/>
        <w:numPr>
          <w:ilvl w:val="0"/>
          <w:numId w:val="5"/>
        </w:numPr>
        <w:tabs>
          <w:tab w:val="clear" w:pos="1080"/>
          <w:tab w:val="num" w:pos="1440"/>
        </w:tabs>
      </w:pPr>
      <w:r w:rsidRPr="00C4FF58">
        <w:t>As required by the Regulatory Flexibility Act of 1980, as amended (RFA),</w:t>
      </w:r>
      <w:r>
        <w:rPr>
          <w:rStyle w:val="FootnoteReference"/>
        </w:rPr>
        <w:footnoteReference w:id="99"/>
      </w:r>
      <w:r w:rsidRPr="00C4FF58">
        <w:t xml:space="preserve"> the Commission has prepared this Initial Regulatory Flexibility Analysis (IRFA) of the possible significant economic impact on a substantial number of small entities by the policies and rules proposed in this </w:t>
      </w:r>
      <w:r w:rsidRPr="002F648B">
        <w:rPr>
          <w:i/>
        </w:rPr>
        <w:t xml:space="preserve">Notice of Proposed Rulemaking </w:t>
      </w:r>
      <w:r w:rsidRPr="002F648B">
        <w:rPr>
          <w:szCs w:val="22"/>
        </w:rPr>
        <w:t>(</w:t>
      </w:r>
      <w:r w:rsidRPr="002F648B">
        <w:rPr>
          <w:i/>
        </w:rPr>
        <w:t>NPRM</w:t>
      </w:r>
      <w:r w:rsidRPr="00C4FF58">
        <w:t xml:space="preserve">).  Written public comments are requested on this IRFA.  Comments must be identified as responses to the IRFA and must be filed by the deadlines specified in the </w:t>
      </w:r>
      <w:r w:rsidRPr="002F648B">
        <w:rPr>
          <w:i/>
        </w:rPr>
        <w:t xml:space="preserve">NPRM </w:t>
      </w:r>
      <w:r w:rsidRPr="00C4FF58">
        <w:t>for comments.  The Commission will send a copy of th</w:t>
      </w:r>
      <w:r>
        <w:t>e</w:t>
      </w:r>
      <w:r w:rsidRPr="00C4FF58">
        <w:t xml:space="preserve"> </w:t>
      </w:r>
      <w:r w:rsidRPr="002F648B">
        <w:rPr>
          <w:i/>
        </w:rPr>
        <w:t>NPRM</w:t>
      </w:r>
      <w:r w:rsidRPr="00C4FF58">
        <w:t>, including this IRFA, to the Chief Counsel for Advocacy of the Small Business Administration (SBA).</w:t>
      </w:r>
      <w:r>
        <w:rPr>
          <w:rStyle w:val="FootnoteReference"/>
        </w:rPr>
        <w:footnoteReference w:id="100"/>
      </w:r>
      <w:r w:rsidRPr="00C4FF58">
        <w:t xml:space="preserve">  In addition, the </w:t>
      </w:r>
      <w:r w:rsidRPr="002F648B">
        <w:rPr>
          <w:i/>
        </w:rPr>
        <w:t>NPRM</w:t>
      </w:r>
      <w:r w:rsidRPr="00C4FF58">
        <w:t xml:space="preserve"> and IRFA (or summaries thereof) will be published in the Federal Register.</w:t>
      </w:r>
      <w:r>
        <w:rPr>
          <w:rStyle w:val="FootnoteReference"/>
        </w:rPr>
        <w:footnoteReference w:id="101"/>
      </w:r>
      <w:r w:rsidRPr="002F648B">
        <w:rPr>
          <w:szCs w:val="22"/>
        </w:rPr>
        <w:t xml:space="preserve">  </w:t>
      </w:r>
    </w:p>
    <w:p w:rsidR="00B83427" w:rsidP="005F2707" w14:paraId="33E0BC1A" w14:textId="77777777">
      <w:pPr>
        <w:pStyle w:val="Heading2"/>
        <w:numPr>
          <w:ilvl w:val="1"/>
          <w:numId w:val="11"/>
        </w:numPr>
      </w:pPr>
      <w:bookmarkStart w:id="20" w:name="_Toc91400897"/>
      <w:bookmarkStart w:id="21" w:name="_Toc95896077"/>
      <w:bookmarkStart w:id="22" w:name="_Toc136831818"/>
      <w:bookmarkStart w:id="23" w:name="_Toc136832091"/>
      <w:bookmarkStart w:id="24" w:name="_Toc206315234"/>
      <w:bookmarkStart w:id="25" w:name="_Toc229806130"/>
      <w:bookmarkStart w:id="26" w:name="_Toc229825779"/>
      <w:bookmarkStart w:id="27" w:name="_Toc229878895"/>
      <w:bookmarkStart w:id="28" w:name="_Toc233770635"/>
      <w:bookmarkStart w:id="29" w:name="_Toc234049065"/>
      <w:bookmarkStart w:id="30" w:name="_Toc264640465"/>
      <w:bookmarkStart w:id="31" w:name="_Toc265564356"/>
      <w:bookmarkStart w:id="32" w:name="_Toc266446190"/>
      <w:r>
        <w:t xml:space="preserve">Need for, </w:t>
      </w:r>
      <w:r w:rsidRPr="005F2707">
        <w:rPr>
          <w:bCs/>
        </w:rPr>
        <w:t>and</w:t>
      </w:r>
      <w:r>
        <w:t xml:space="preserve"> </w:t>
      </w:r>
      <w:r w:rsidRPr="005F2707">
        <w:rPr>
          <w:rFonts w:ascii="Times New Roman Bold" w:hAnsi="Times New Roman Bold"/>
        </w:rPr>
        <w:t>Objectives</w:t>
      </w:r>
      <w:r>
        <w:t xml:space="preserve"> of, the Proposed Rules</w:t>
      </w:r>
      <w:bookmarkEnd w:id="20"/>
      <w:bookmarkEnd w:id="21"/>
      <w:bookmarkEnd w:id="22"/>
      <w:bookmarkEnd w:id="23"/>
      <w:bookmarkEnd w:id="24"/>
      <w:bookmarkEnd w:id="25"/>
      <w:bookmarkEnd w:id="26"/>
      <w:bookmarkEnd w:id="27"/>
      <w:bookmarkEnd w:id="28"/>
      <w:bookmarkEnd w:id="29"/>
      <w:bookmarkEnd w:id="30"/>
      <w:bookmarkEnd w:id="31"/>
      <w:bookmarkEnd w:id="32"/>
    </w:p>
    <w:p w:rsidR="00B83427" w:rsidRPr="0068065E" w:rsidP="00E91A2C" w14:paraId="4F9D066A" w14:textId="7989E1DE">
      <w:pPr>
        <w:pStyle w:val="ParaNum"/>
        <w:numPr>
          <w:ilvl w:val="0"/>
          <w:numId w:val="5"/>
        </w:numPr>
        <w:tabs>
          <w:tab w:val="clear" w:pos="1080"/>
          <w:tab w:val="num" w:pos="1440"/>
        </w:tabs>
        <w:rPr>
          <w:szCs w:val="22"/>
        </w:rPr>
      </w:pPr>
      <w:r w:rsidRPr="54BF04B9">
        <w:rPr>
          <w:szCs w:val="22"/>
        </w:rPr>
        <w:t>In th</w:t>
      </w:r>
      <w:r>
        <w:rPr>
          <w:szCs w:val="22"/>
        </w:rPr>
        <w:t>e</w:t>
      </w:r>
      <w:r w:rsidRPr="54BF04B9">
        <w:rPr>
          <w:szCs w:val="22"/>
        </w:rPr>
        <w:t xml:space="preserve"> </w:t>
      </w:r>
      <w:r w:rsidRPr="54BF04B9">
        <w:rPr>
          <w:i/>
          <w:iCs/>
          <w:szCs w:val="22"/>
        </w:rPr>
        <w:t>NPRM</w:t>
      </w:r>
      <w:r w:rsidRPr="54BF04B9">
        <w:rPr>
          <w:szCs w:val="22"/>
        </w:rPr>
        <w:t xml:space="preserve">, </w:t>
      </w:r>
      <w:r w:rsidRPr="002B3199">
        <w:rPr>
          <w:szCs w:val="22"/>
        </w:rPr>
        <w:t xml:space="preserve">the </w:t>
      </w:r>
      <w:r w:rsidRPr="00B83427">
        <w:t>Commission</w:t>
      </w:r>
      <w:r w:rsidRPr="002B3199">
        <w:rPr>
          <w:szCs w:val="22"/>
        </w:rPr>
        <w:t xml:space="preserve"> proposes to implement certain decisions regarding the 24.25-27.5 GHz band made in the World Radiocommunication Conference held by the International </w:t>
      </w:r>
      <w:r w:rsidRPr="002F648B">
        <w:t>Telecommunication</w:t>
      </w:r>
      <w:r w:rsidRPr="002B3199">
        <w:rPr>
          <w:szCs w:val="22"/>
        </w:rPr>
        <w:t xml:space="preserve"> Union (ITU) in 2019 (WRC-19)</w:t>
      </w:r>
      <w:r>
        <w:rPr>
          <w:szCs w:val="22"/>
        </w:rPr>
        <w:t>.</w:t>
      </w:r>
      <w:r w:rsidRPr="002B3199">
        <w:rPr>
          <w:szCs w:val="22"/>
        </w:rPr>
        <w:t xml:space="preserve">  Specifically, the Commission proposes to adopt the Resolution 750 </w:t>
      </w:r>
      <w:r>
        <w:rPr>
          <w:szCs w:val="22"/>
        </w:rPr>
        <w:t>limits</w:t>
      </w:r>
      <w:r w:rsidRPr="002B3199">
        <w:rPr>
          <w:szCs w:val="22"/>
        </w:rPr>
        <w:t xml:space="preserve">, apply them to all mobile systems, and incorporate those limits into our </w:t>
      </w:r>
      <w:r w:rsidR="007B3FC2">
        <w:rPr>
          <w:szCs w:val="22"/>
        </w:rPr>
        <w:t xml:space="preserve">part </w:t>
      </w:r>
      <w:r w:rsidRPr="002B3199">
        <w:rPr>
          <w:szCs w:val="22"/>
        </w:rPr>
        <w:t xml:space="preserve">30 technical rules. </w:t>
      </w:r>
      <w:r>
        <w:rPr>
          <w:szCs w:val="22"/>
        </w:rPr>
        <w:t xml:space="preserve"> </w:t>
      </w:r>
      <w:r w:rsidRPr="002B3199">
        <w:rPr>
          <w:szCs w:val="22"/>
        </w:rPr>
        <w:t xml:space="preserve">We also propose to adopt the WRC-19 timeframes for the Resolution 750 emissions limits.  Resolution 750 defines current unwanted emissions limits, measured in terms of Total Radiated Power (TRP), for IMT base and mobile stations and a stricter set of emissions limits for the same stations that will become effective after September 1, 2027.  Consistent with Resolution 750, </w:t>
      </w:r>
      <w:r>
        <w:rPr>
          <w:szCs w:val="22"/>
        </w:rPr>
        <w:t xml:space="preserve">we </w:t>
      </w:r>
      <w:r w:rsidRPr="002B3199">
        <w:rPr>
          <w:szCs w:val="22"/>
        </w:rPr>
        <w:t>propose to adopt the use of TRP to</w:t>
      </w:r>
      <w:r>
        <w:rPr>
          <w:szCs w:val="22"/>
        </w:rPr>
        <w:t xml:space="preserve"> measure</w:t>
      </w:r>
      <w:r w:rsidRPr="002B3199">
        <w:rPr>
          <w:szCs w:val="22"/>
        </w:rPr>
        <w:t xml:space="preserve"> compliance with the unwanted emissions limits for the 23.6-24.0 GHz band.</w:t>
      </w:r>
      <w:r>
        <w:rPr>
          <w:szCs w:val="22"/>
        </w:rPr>
        <w:t xml:space="preserve">  </w:t>
      </w:r>
      <w:r w:rsidRPr="00E9377A">
        <w:rPr>
          <w:szCs w:val="22"/>
        </w:rPr>
        <w:t xml:space="preserve">The </w:t>
      </w:r>
      <w:r>
        <w:rPr>
          <w:szCs w:val="22"/>
        </w:rPr>
        <w:t xml:space="preserve">Commission </w:t>
      </w:r>
      <w:r w:rsidRPr="00E9377A">
        <w:rPr>
          <w:szCs w:val="22"/>
        </w:rPr>
        <w:t>seeks comment on these proposals and invites comment on alternative proposals and approaches such as applying Resolution 750 limits to fixed operations or applying them on a more abbreviated timeframe, adopting stricter emission</w:t>
      </w:r>
      <w:r>
        <w:rPr>
          <w:szCs w:val="22"/>
        </w:rPr>
        <w:t>s</w:t>
      </w:r>
      <w:r w:rsidRPr="00E9377A">
        <w:rPr>
          <w:szCs w:val="22"/>
        </w:rPr>
        <w:t xml:space="preserve"> limits, and permitting the use of condu</w:t>
      </w:r>
      <w:r w:rsidRPr="00ED74D3">
        <w:rPr>
          <w:szCs w:val="22"/>
        </w:rPr>
        <w:t xml:space="preserve">ctive power to measure compliance with the unwanted emissions limits.  </w:t>
      </w:r>
      <w:r w:rsidRPr="00FA51E4">
        <w:rPr>
          <w:szCs w:val="22"/>
        </w:rPr>
        <w:t xml:space="preserve">The Commission also seeks comment on equipment manufacturers’ capacity to meet the proposed timelines, and whether adoption of the Resolution 750 </w:t>
      </w:r>
      <w:r>
        <w:rPr>
          <w:szCs w:val="22"/>
        </w:rPr>
        <w:t xml:space="preserve">emissions </w:t>
      </w:r>
      <w:r w:rsidRPr="00FA51E4">
        <w:rPr>
          <w:szCs w:val="22"/>
        </w:rPr>
        <w:t>limits would increase network deployment costs with the directive to commenters to quantify any additional costs that would be incurred and discuss what if any impact there would be on service</w:t>
      </w:r>
      <w:r>
        <w:rPr>
          <w:szCs w:val="22"/>
        </w:rPr>
        <w:t xml:space="preserve">. </w:t>
      </w:r>
      <w:r w:rsidRPr="00E9377A">
        <w:rPr>
          <w:szCs w:val="22"/>
        </w:rPr>
        <w:t xml:space="preserve"> </w:t>
      </w:r>
      <w:r w:rsidRPr="0069314C">
        <w:rPr>
          <w:szCs w:val="22"/>
        </w:rPr>
        <w:t xml:space="preserve">By adopting certain </w:t>
      </w:r>
      <w:r>
        <w:rPr>
          <w:szCs w:val="22"/>
        </w:rPr>
        <w:t xml:space="preserve">requirements </w:t>
      </w:r>
      <w:r w:rsidRPr="0069314C">
        <w:rPr>
          <w:szCs w:val="22"/>
        </w:rPr>
        <w:t xml:space="preserve">consistent Resolution 750 and aligning them with </w:t>
      </w:r>
      <w:r w:rsidR="007B3FC2">
        <w:rPr>
          <w:szCs w:val="22"/>
        </w:rPr>
        <w:t xml:space="preserve">part </w:t>
      </w:r>
      <w:r w:rsidRPr="0069314C">
        <w:rPr>
          <w:szCs w:val="22"/>
        </w:rPr>
        <w:t>30 of our rules, the Commission hopes to ensure t</w:t>
      </w:r>
      <w:r>
        <w:rPr>
          <w:szCs w:val="22"/>
        </w:rPr>
        <w:t>he</w:t>
      </w:r>
      <w:r w:rsidRPr="0069314C">
        <w:rPr>
          <w:szCs w:val="22"/>
        </w:rPr>
        <w:t xml:space="preserve"> protection of Earth Exploration Satellite Service</w:t>
      </w:r>
      <w:r w:rsidRPr="00E9377A">
        <w:rPr>
          <w:szCs w:val="22"/>
        </w:rPr>
        <w:t xml:space="preserve"> </w:t>
      </w:r>
      <w:r>
        <w:rPr>
          <w:szCs w:val="22"/>
        </w:rPr>
        <w:t xml:space="preserve">(EESS) </w:t>
      </w:r>
      <w:r w:rsidRPr="54BF04B9">
        <w:rPr>
          <w:szCs w:val="22"/>
        </w:rPr>
        <w:t xml:space="preserve">passive operations in the 23.6-24.0 GHz band, which are critical for accurate climate monitoring and </w:t>
      </w:r>
      <w:r>
        <w:rPr>
          <w:szCs w:val="22"/>
        </w:rPr>
        <w:t xml:space="preserve">weather </w:t>
      </w:r>
      <w:r w:rsidRPr="54BF04B9">
        <w:rPr>
          <w:szCs w:val="22"/>
        </w:rPr>
        <w:t xml:space="preserve">forecasting as well as </w:t>
      </w:r>
      <w:r>
        <w:rPr>
          <w:szCs w:val="22"/>
        </w:rPr>
        <w:t xml:space="preserve">for </w:t>
      </w:r>
      <w:r w:rsidRPr="54BF04B9">
        <w:rPr>
          <w:szCs w:val="22"/>
        </w:rPr>
        <w:t>climatology science.</w:t>
      </w:r>
    </w:p>
    <w:p w:rsidR="00B83427" w:rsidP="005F2707" w14:paraId="560BE999" w14:textId="77777777">
      <w:pPr>
        <w:pStyle w:val="Heading2"/>
        <w:rPr>
          <w:bCs/>
        </w:rPr>
      </w:pPr>
      <w:bookmarkStart w:id="33" w:name="_Toc91400898"/>
      <w:bookmarkStart w:id="34" w:name="_Toc95896078"/>
      <w:bookmarkStart w:id="35" w:name="_Toc136831819"/>
      <w:bookmarkStart w:id="36" w:name="_Toc136832092"/>
      <w:bookmarkStart w:id="37" w:name="_Toc206315235"/>
      <w:bookmarkStart w:id="38" w:name="_Toc229806131"/>
      <w:bookmarkStart w:id="39" w:name="_Toc229825780"/>
      <w:bookmarkStart w:id="40" w:name="_Toc229878896"/>
      <w:bookmarkStart w:id="41" w:name="_Toc233770636"/>
      <w:bookmarkStart w:id="42" w:name="_Toc234049066"/>
      <w:bookmarkStart w:id="43" w:name="_Toc264640466"/>
      <w:bookmarkStart w:id="44" w:name="_Toc265564357"/>
      <w:bookmarkStart w:id="45" w:name="_Toc266446191"/>
      <w:r>
        <w:t>Legal</w:t>
      </w:r>
      <w:r>
        <w:rPr>
          <w:bCs/>
        </w:rPr>
        <w:t xml:space="preserve"> </w:t>
      </w:r>
      <w:r>
        <w:t>Basis</w:t>
      </w:r>
      <w:bookmarkEnd w:id="33"/>
      <w:bookmarkEnd w:id="34"/>
      <w:bookmarkEnd w:id="35"/>
      <w:bookmarkEnd w:id="36"/>
      <w:bookmarkEnd w:id="37"/>
      <w:bookmarkEnd w:id="38"/>
      <w:bookmarkEnd w:id="39"/>
      <w:bookmarkEnd w:id="40"/>
      <w:bookmarkEnd w:id="41"/>
      <w:bookmarkEnd w:id="42"/>
      <w:bookmarkEnd w:id="43"/>
      <w:bookmarkEnd w:id="44"/>
      <w:bookmarkEnd w:id="45"/>
    </w:p>
    <w:p w:rsidR="00B83427" w:rsidP="00E91A2C" w14:paraId="220D6B4D" w14:textId="39AAE7B4">
      <w:pPr>
        <w:pStyle w:val="ParaNum"/>
        <w:numPr>
          <w:ilvl w:val="0"/>
          <w:numId w:val="5"/>
        </w:numPr>
        <w:tabs>
          <w:tab w:val="clear" w:pos="1080"/>
          <w:tab w:val="num" w:pos="1440"/>
        </w:tabs>
        <w:rPr>
          <w:szCs w:val="22"/>
        </w:rPr>
      </w:pPr>
      <w:r>
        <w:rPr>
          <w:szCs w:val="22"/>
        </w:rPr>
        <w:t xml:space="preserve">The </w:t>
      </w:r>
      <w:r w:rsidRPr="00B83427">
        <w:t>proposed</w:t>
      </w:r>
      <w:r>
        <w:rPr>
          <w:szCs w:val="22"/>
        </w:rPr>
        <w:t xml:space="preserve"> action is authorized pursuant to </w:t>
      </w:r>
      <w:r w:rsidRPr="006B302F">
        <w:rPr>
          <w:kern w:val="0"/>
          <w:szCs w:val="22"/>
        </w:rPr>
        <w:t>sections 4(</w:t>
      </w:r>
      <w:r w:rsidRPr="006B302F">
        <w:rPr>
          <w:kern w:val="0"/>
          <w:szCs w:val="22"/>
        </w:rPr>
        <w:t>i</w:t>
      </w:r>
      <w:r w:rsidRPr="006B302F">
        <w:rPr>
          <w:kern w:val="0"/>
          <w:szCs w:val="22"/>
        </w:rPr>
        <w:t xml:space="preserve">), 301, </w:t>
      </w:r>
      <w:r>
        <w:rPr>
          <w:kern w:val="0"/>
          <w:szCs w:val="22"/>
        </w:rPr>
        <w:t xml:space="preserve">302, </w:t>
      </w:r>
      <w:r w:rsidRPr="006B302F">
        <w:rPr>
          <w:kern w:val="0"/>
          <w:szCs w:val="22"/>
        </w:rPr>
        <w:t>303(r), 308, 309</w:t>
      </w:r>
      <w:r>
        <w:rPr>
          <w:kern w:val="0"/>
          <w:szCs w:val="22"/>
        </w:rPr>
        <w:t xml:space="preserve">, </w:t>
      </w:r>
      <w:r w:rsidRPr="002F648B">
        <w:t>and</w:t>
      </w:r>
      <w:r>
        <w:rPr>
          <w:kern w:val="0"/>
          <w:szCs w:val="22"/>
        </w:rPr>
        <w:t xml:space="preserve"> 333</w:t>
      </w:r>
      <w:r w:rsidRPr="006B302F">
        <w:rPr>
          <w:kern w:val="0"/>
          <w:szCs w:val="22"/>
        </w:rPr>
        <w:t xml:space="preserve"> of the Communications Act of 1934, 47 U.S.C. §§ 154(</w:t>
      </w:r>
      <w:r w:rsidRPr="006B302F">
        <w:rPr>
          <w:kern w:val="0"/>
          <w:szCs w:val="22"/>
        </w:rPr>
        <w:t>i</w:t>
      </w:r>
      <w:r w:rsidRPr="006B302F">
        <w:rPr>
          <w:kern w:val="0"/>
          <w:szCs w:val="22"/>
        </w:rPr>
        <w:t xml:space="preserve">), 301, </w:t>
      </w:r>
      <w:r>
        <w:rPr>
          <w:kern w:val="0"/>
          <w:szCs w:val="22"/>
        </w:rPr>
        <w:t>302</w:t>
      </w:r>
      <w:r w:rsidR="00394E45">
        <w:rPr>
          <w:kern w:val="0"/>
          <w:szCs w:val="22"/>
        </w:rPr>
        <w:t>a</w:t>
      </w:r>
      <w:r>
        <w:rPr>
          <w:kern w:val="0"/>
          <w:szCs w:val="22"/>
        </w:rPr>
        <w:t xml:space="preserve">, </w:t>
      </w:r>
      <w:r w:rsidRPr="006B302F">
        <w:rPr>
          <w:kern w:val="0"/>
          <w:szCs w:val="22"/>
        </w:rPr>
        <w:t>303(r), 308, 309</w:t>
      </w:r>
      <w:r>
        <w:rPr>
          <w:kern w:val="0"/>
          <w:szCs w:val="22"/>
        </w:rPr>
        <w:t>, 333.</w:t>
      </w:r>
    </w:p>
    <w:p w:rsidR="00B83427" w:rsidP="005F2707" w14:paraId="77DA1ED8" w14:textId="77777777">
      <w:pPr>
        <w:pStyle w:val="Heading2"/>
      </w:pPr>
      <w:bookmarkStart w:id="46" w:name="_Toc91400899"/>
      <w:bookmarkStart w:id="47" w:name="_Toc95896079"/>
      <w:bookmarkStart w:id="48" w:name="_Toc136831820"/>
      <w:bookmarkStart w:id="49" w:name="_Toc136832093"/>
      <w:bookmarkStart w:id="50" w:name="_Toc206315236"/>
      <w:bookmarkStart w:id="51" w:name="_Toc229806132"/>
      <w:bookmarkStart w:id="52" w:name="_Toc229825781"/>
      <w:bookmarkStart w:id="53" w:name="_Toc229878897"/>
      <w:bookmarkStart w:id="54" w:name="_Toc233770637"/>
      <w:bookmarkStart w:id="55" w:name="_Toc234049067"/>
      <w:bookmarkStart w:id="56" w:name="_Toc264640467"/>
      <w:bookmarkStart w:id="57" w:name="_Toc265564358"/>
      <w:bookmarkStart w:id="58" w:name="_Toc266446192"/>
      <w:r>
        <w:t>Description and Estimate of the Number of Small Entities To Which the Proposed Rules Will Apply</w:t>
      </w:r>
      <w:bookmarkEnd w:id="46"/>
      <w:bookmarkEnd w:id="47"/>
      <w:bookmarkEnd w:id="48"/>
      <w:bookmarkEnd w:id="49"/>
      <w:bookmarkEnd w:id="50"/>
      <w:bookmarkEnd w:id="51"/>
      <w:bookmarkEnd w:id="52"/>
      <w:bookmarkEnd w:id="53"/>
      <w:bookmarkEnd w:id="54"/>
      <w:bookmarkEnd w:id="55"/>
      <w:bookmarkEnd w:id="56"/>
      <w:bookmarkEnd w:id="57"/>
      <w:bookmarkEnd w:id="58"/>
    </w:p>
    <w:p w:rsidR="00B83427" w:rsidP="00E91A2C" w14:paraId="05DE3551" w14:textId="77777777">
      <w:pPr>
        <w:pStyle w:val="ParaNum"/>
        <w:numPr>
          <w:ilvl w:val="0"/>
          <w:numId w:val="5"/>
        </w:numPr>
        <w:tabs>
          <w:tab w:val="clear" w:pos="1080"/>
          <w:tab w:val="num" w:pos="1440"/>
        </w:tabs>
      </w:pPr>
      <w:r>
        <w:t>The RFA directs agencies to provide a description of, and, where feasible, an estimate of the number of small entities that may be affected by the proposed rules and policies, if adopted.</w:t>
      </w:r>
      <w:r>
        <w:rPr>
          <w:rStyle w:val="FootnoteReference"/>
        </w:rPr>
        <w:footnoteReference w:id="102"/>
      </w:r>
      <w:r>
        <w:t xml:space="preserve">  The RFA generally defines the term “small entity” as having the same meaning as the terms “small business,” </w:t>
      </w:r>
      <w:r>
        <w:t>“small organization,” and “small governmental jurisdiction.”</w:t>
      </w:r>
      <w:r>
        <w:rPr>
          <w:rStyle w:val="FootnoteReference"/>
        </w:rPr>
        <w:footnoteReference w:id="103"/>
      </w:r>
      <w:r>
        <w:t xml:space="preserve">  In addition, the term “small business” has the same meaning as the term “small business concern” under the Small Business Act.</w:t>
      </w:r>
      <w:r>
        <w:rPr>
          <w:rStyle w:val="FootnoteReference"/>
        </w:rPr>
        <w:footnoteReference w:id="104"/>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105"/>
      </w:r>
      <w:r>
        <w:t xml:space="preserve">  </w:t>
      </w:r>
    </w:p>
    <w:p w:rsidR="00B83427" w:rsidP="00E91A2C" w14:paraId="38B006D2" w14:textId="77777777">
      <w:pPr>
        <w:pStyle w:val="ParaNum"/>
        <w:numPr>
          <w:ilvl w:val="0"/>
          <w:numId w:val="5"/>
        </w:numPr>
        <w:tabs>
          <w:tab w:val="clear" w:pos="1080"/>
          <w:tab w:val="num" w:pos="1440"/>
        </w:tabs>
      </w:pPr>
      <w:r w:rsidRPr="0081400B">
        <w:rPr>
          <w:i/>
          <w:iCs/>
        </w:rPr>
        <w:t>Small Businesses, Small Organizations, Small Governmental Jurisdictions</w:t>
      </w:r>
      <w:r>
        <w:t>.  Our actions, over time, may affect small entities that are not easily categorized at present.  We therefore describe here, at the outset, three broad groups of small entities that could be directly affected herein.</w:t>
      </w:r>
      <w:r>
        <w:rPr>
          <w:rStyle w:val="ParaNumChar"/>
          <w:vertAlign w:val="superscript"/>
        </w:rPr>
        <w:footnoteReference w:id="106"/>
      </w:r>
      <w: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ParaNumChar"/>
          <w:vertAlign w:val="superscript"/>
        </w:rPr>
        <w:footnoteReference w:id="107"/>
      </w:r>
      <w:r>
        <w:t xml:space="preserve">  </w:t>
      </w:r>
      <w:r w:rsidRPr="613D9870">
        <w:t>These types of small businesses represent 99.9% of all businesses in the United States which translates to 30.7 million businesses</w:t>
      </w:r>
      <w:r w:rsidRPr="5F82A963">
        <w:t>.</w:t>
      </w:r>
      <w:r>
        <w:rPr>
          <w:rStyle w:val="ParaNumChar"/>
          <w:vertAlign w:val="superscript"/>
        </w:rPr>
        <w:footnoteReference w:id="108"/>
      </w:r>
    </w:p>
    <w:p w:rsidR="00B83427" w:rsidP="00E91A2C" w14:paraId="54026813" w14:textId="77777777">
      <w:pPr>
        <w:pStyle w:val="ParaNum"/>
        <w:numPr>
          <w:ilvl w:val="0"/>
          <w:numId w:val="5"/>
        </w:numPr>
        <w:tabs>
          <w:tab w:val="clear" w:pos="1080"/>
          <w:tab w:val="num" w:pos="1440"/>
        </w:tabs>
      </w:pPr>
      <w:r w:rsidRPr="0081400B">
        <w:rPr>
          <w:bCs/>
        </w:rPr>
        <w:t xml:space="preserve">Next, the type of small entity described as </w:t>
      </w:r>
      <w:r>
        <w:t>a “small organization” is generally “any not-for-profit enterprise which is independently owned and operated and is not dominant in its field.”</w:t>
      </w:r>
      <w:r>
        <w:rPr>
          <w:rStyle w:val="FootnoteReference"/>
        </w:rPr>
        <w:footnoteReference w:id="109"/>
      </w:r>
      <w:r>
        <w:t xml:space="preserve">  The Internal Revenue Service (IRS) uses a revenue benchmark of $50,000 or less to delineate its annual electronic filing requirements for small exempt organizations.</w:t>
      </w:r>
      <w:r>
        <w:rPr>
          <w:rStyle w:val="FootnoteReference"/>
        </w:rPr>
        <w:footnoteReference w:id="110"/>
      </w:r>
      <w: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111"/>
      </w:r>
    </w:p>
    <w:p w:rsidR="00B83427" w:rsidRPr="00E644A9" w:rsidP="00E91A2C" w14:paraId="7B5F8D2C" w14:textId="77777777">
      <w:pPr>
        <w:pStyle w:val="ParaNum"/>
        <w:numPr>
          <w:ilvl w:val="0"/>
          <w:numId w:val="5"/>
        </w:numPr>
        <w:tabs>
          <w:tab w:val="clear" w:pos="1080"/>
          <w:tab w:val="num" w:pos="1440"/>
        </w:tabs>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12"/>
      </w:r>
      <w:r>
        <w:t xml:space="preserve">  U.S. Census Bureau data from the 2017 Census </w:t>
      </w:r>
      <w:r>
        <w:t>of Governments</w:t>
      </w:r>
      <w:r>
        <w:rPr>
          <w:rStyle w:val="FootnoteReference"/>
        </w:rPr>
        <w:footnoteReference w:id="113"/>
      </w:r>
      <w:r>
        <w:t xml:space="preserve"> indicate that there were </w:t>
      </w:r>
      <w:r>
        <w:rPr>
          <w:color w:val="000000"/>
        </w:rPr>
        <w:t xml:space="preserve">90,075 </w:t>
      </w:r>
      <w:r>
        <w:t>local governmental jurisdictions consisting of general purpose governments and special purpose governments in the United States.</w:t>
      </w:r>
      <w:r>
        <w:rPr>
          <w:rStyle w:val="FootnoteReference"/>
        </w:rPr>
        <w:footnoteReference w:id="114"/>
      </w:r>
      <w:r>
        <w:t xml:space="preserve">  Of this number there were 36,931 general purpose governments (county</w:t>
      </w:r>
      <w:r>
        <w:rPr>
          <w:rStyle w:val="FootnoteReference"/>
        </w:rPr>
        <w:footnoteReference w:id="115"/>
      </w:r>
      <w:r>
        <w:t>, municipal and town or township</w:t>
      </w:r>
      <w:r>
        <w:rPr>
          <w:rStyle w:val="FootnoteReference"/>
        </w:rPr>
        <w:footnoteReference w:id="116"/>
      </w:r>
      <w:r>
        <w:t>) with populations of less than 50,000 and 12,040 special purpose governments - independent school districts</w:t>
      </w:r>
      <w:r>
        <w:rPr>
          <w:rStyle w:val="FootnoteReference"/>
        </w:rPr>
        <w:footnoteReference w:id="117"/>
      </w:r>
      <w:r>
        <w:t xml:space="preserve"> with enrollment populations of less than 50,000.</w:t>
      </w:r>
      <w:r>
        <w:rPr>
          <w:rStyle w:val="FootnoteReference"/>
        </w:rPr>
        <w:footnoteReference w:id="118"/>
      </w:r>
      <w:r>
        <w:t xml:space="preserve">  Accordingly, based on the 2017 U.S. Census of Governments data, we estimate that at least 48,971 entities fall into the category of “small governmental jurisdictions.”</w:t>
      </w:r>
      <w:r>
        <w:rPr>
          <w:rStyle w:val="FootnoteReference"/>
        </w:rPr>
        <w:footnoteReference w:id="119"/>
      </w:r>
      <w:r>
        <w:t xml:space="preserve">  </w:t>
      </w:r>
    </w:p>
    <w:p w:rsidR="00B83427" w:rsidP="00E91A2C" w14:paraId="1BB7BCE2" w14:textId="77777777">
      <w:pPr>
        <w:pStyle w:val="ParaNum"/>
        <w:numPr>
          <w:ilvl w:val="0"/>
          <w:numId w:val="5"/>
        </w:numPr>
        <w:tabs>
          <w:tab w:val="clear" w:pos="1080"/>
          <w:tab w:val="num" w:pos="1440"/>
        </w:tabs>
        <w:rPr>
          <w:snapToGrid/>
          <w:kern w:val="0"/>
        </w:rPr>
      </w:pPr>
      <w:r>
        <w:rPr>
          <w:i/>
        </w:rPr>
        <w:t>Wireless Telecommunications Carriers (except Satellite)</w:t>
      </w:r>
      <w:r w:rsidRPr="00174F32">
        <w:rPr>
          <w:i/>
        </w:rPr>
        <w:t>.</w:t>
      </w:r>
      <w:r w:rsidRPr="008463ED">
        <w:rPr>
          <w:iCs/>
        </w:rPr>
        <w:t xml:space="preserve">  This industry comprises </w:t>
      </w:r>
      <w:r w:rsidRPr="002F648B">
        <w:t>establishments</w:t>
      </w:r>
      <w:r>
        <w:t xml:space="preserve">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120"/>
      </w:r>
      <w:r>
        <w:t xml:space="preserve">  The appropriate size standard under SBA rules is that such a business is small if it has 1,500 or fewer employees.</w:t>
      </w:r>
      <w:r>
        <w:rPr>
          <w:rStyle w:val="FootnoteReference"/>
        </w:rPr>
        <w:footnoteReference w:id="121"/>
      </w:r>
      <w:r>
        <w:t xml:space="preserve">  For this industry, U.S. Census Bureau data for 2012 show that there were 967 firms that operated for the entire year.</w:t>
      </w:r>
      <w:r>
        <w:rPr>
          <w:vertAlign w:val="superscript"/>
        </w:rPr>
        <w:footnoteReference w:id="122"/>
      </w:r>
      <w:r>
        <w:t xml:space="preserve">  Of this total, 955 firms had employment of 999 or </w:t>
      </w:r>
      <w:r>
        <w:t>fewer employees and 12 firms had employment of 1,000 employees or more.</w:t>
      </w:r>
      <w:r>
        <w:rPr>
          <w:rStyle w:val="FootnoteReference"/>
        </w:rPr>
        <w:footnoteReference w:id="123"/>
      </w:r>
      <w:r>
        <w:t xml:space="preserve">  Thus under this category and the associated size standard, the Commission estimates that the majority of wireless telecommunications carriers (except satellite) are small entities.</w:t>
      </w:r>
    </w:p>
    <w:p w:rsidR="00B83427" w:rsidP="00E91A2C" w14:paraId="72D5F327" w14:textId="77777777">
      <w:pPr>
        <w:pStyle w:val="ParaNum"/>
        <w:numPr>
          <w:ilvl w:val="0"/>
          <w:numId w:val="5"/>
        </w:numPr>
        <w:tabs>
          <w:tab w:val="clear" w:pos="1080"/>
          <w:tab w:val="num" w:pos="1440"/>
        </w:tabs>
        <w:rPr>
          <w:snapToGrid/>
          <w:kern w:val="0"/>
        </w:rPr>
      </w:pPr>
      <w:r>
        <w:rPr>
          <w:i/>
        </w:rPr>
        <w:t xml:space="preserve">Fixed Microwave Services.  </w:t>
      </w:r>
      <w:r>
        <w:t>Microwave services include common carrier,</w:t>
      </w:r>
      <w:r>
        <w:rPr>
          <w:vertAlign w:val="superscript"/>
        </w:rPr>
        <w:footnoteReference w:id="124"/>
      </w:r>
      <w:r>
        <w:t xml:space="preserve"> private-operational fixed,</w:t>
      </w:r>
      <w:r>
        <w:rPr>
          <w:vertAlign w:val="superscript"/>
        </w:rPr>
        <w:footnoteReference w:id="125"/>
      </w:r>
      <w:r>
        <w:t xml:space="preserve"> and broadcast auxiliary radio services.</w:t>
      </w:r>
      <w:r>
        <w:rPr>
          <w:vertAlign w:val="superscript"/>
        </w:rPr>
        <w:footnoteReference w:id="126"/>
      </w:r>
      <w:r>
        <w:t xml:space="preserve">  They also include the Upper Microwave Flexible Use Service,</w:t>
      </w:r>
      <w:r>
        <w:rPr>
          <w:vertAlign w:val="superscript"/>
        </w:rPr>
        <w:footnoteReference w:id="127"/>
      </w:r>
      <w:r>
        <w:t xml:space="preserve"> the Millimeter Wave Service,</w:t>
      </w:r>
      <w:r>
        <w:rPr>
          <w:sz w:val="20"/>
          <w:vertAlign w:val="superscript"/>
        </w:rPr>
        <w:footnoteReference w:id="128"/>
      </w:r>
      <w:r>
        <w:t xml:space="preserve"> and the Local Multipoint Distribution Service (LMDS),</w:t>
      </w:r>
      <w:r>
        <w:rPr>
          <w:rStyle w:val="FootnoteReference"/>
        </w:rPr>
        <w:footnoteReference w:id="129"/>
      </w:r>
      <w:r>
        <w:t xml:space="preserve"> where licensees can choose between common carrier and non-common carrier status.</w:t>
      </w:r>
      <w:r>
        <w:rPr>
          <w:vertAlign w:val="superscript"/>
        </w:rPr>
        <w:footnoteReference w:id="130"/>
      </w:r>
      <w:r>
        <w:t xml:space="preserve">  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w:t>
      </w:r>
      <w:r>
        <w:rPr>
          <w:vertAlign w:val="superscript"/>
        </w:rPr>
        <w:footnoteReference w:id="131"/>
      </w:r>
      <w:r>
        <w:t xml:space="preserve">  For this industry, U.S. Census Bureau data for 2012 shows that there were 967 firms that operated for the entire year.  Of this total, 955 had employment of 999 or fewer, and 12 firms had employment of 1,000 employees or more.</w:t>
      </w:r>
      <w:r>
        <w:rPr>
          <w:rStyle w:val="FootnoteReference"/>
        </w:rPr>
        <w:footnoteReference w:id="132"/>
      </w:r>
      <w:r>
        <w:t xml:space="preserve">  Thus under this SBA category and the associated standard, the Commission estimates that the majority of fixed microwave service licensees can be considered small.</w:t>
      </w:r>
      <w:r>
        <w:rPr>
          <w:snapToGrid/>
          <w:kern w:val="0"/>
        </w:rPr>
        <w:t xml:space="preserve"> </w:t>
      </w:r>
    </w:p>
    <w:p w:rsidR="00B83427" w:rsidP="00E91A2C" w14:paraId="14DE2332" w14:textId="77777777">
      <w:pPr>
        <w:pStyle w:val="ParaNum"/>
        <w:numPr>
          <w:ilvl w:val="0"/>
          <w:numId w:val="5"/>
        </w:numPr>
        <w:tabs>
          <w:tab w:val="clear" w:pos="1080"/>
          <w:tab w:val="num" w:pos="1440"/>
        </w:tabs>
      </w:pPr>
      <w:r>
        <w:rPr>
          <w:i/>
        </w:rPr>
        <w:t xml:space="preserve">Satellite Telecommunications.  </w:t>
      </w:r>
      <w: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33"/>
      </w:r>
      <w:r>
        <w:t xml:space="preserve">  Satellite telecommunications service providers include satellite and earth station operators. The category has a small business size standard of $35 million or less in average annual receipts, under SBA rules.</w:t>
      </w:r>
      <w:r>
        <w:rPr>
          <w:rStyle w:val="FootnoteReference"/>
        </w:rPr>
        <w:footnoteReference w:id="134"/>
      </w:r>
      <w:r>
        <w:t xml:space="preserve">  For this category, U.S. Census Bureau data for 2012 show that there were a total of 275 firms that operated for the entire year.</w:t>
      </w:r>
      <w:r>
        <w:rPr>
          <w:vertAlign w:val="superscript"/>
        </w:rPr>
        <w:t xml:space="preserve"> </w:t>
      </w:r>
      <w:r>
        <w:rPr>
          <w:vertAlign w:val="superscript"/>
        </w:rPr>
        <w:footnoteReference w:id="135"/>
      </w:r>
      <w:r>
        <w:t xml:space="preserve">  Of this total, 299 firms had annual </w:t>
      </w:r>
      <w:r>
        <w:t>receipts of less than $25 million.</w:t>
      </w:r>
      <w:r>
        <w:rPr>
          <w:rStyle w:val="FootnoteReference"/>
        </w:rPr>
        <w:footnoteReference w:id="136"/>
      </w:r>
      <w:r>
        <w:t xml:space="preserve">  Consequently, we estimate that the majority of satellite telecommunications providers are small entities.</w:t>
      </w:r>
    </w:p>
    <w:p w:rsidR="00B83427" w:rsidP="00E91A2C" w14:paraId="28F8EABD" w14:textId="77777777">
      <w:pPr>
        <w:pStyle w:val="ParaNum"/>
        <w:numPr>
          <w:ilvl w:val="0"/>
          <w:numId w:val="5"/>
        </w:numPr>
        <w:tabs>
          <w:tab w:val="clear" w:pos="1080"/>
          <w:tab w:val="num" w:pos="1440"/>
        </w:tabs>
      </w:pPr>
      <w:r>
        <w:rPr>
          <w:i/>
        </w:rPr>
        <w:t>All Other Telecommunications</w:t>
      </w:r>
      <w:r>
        <w:t>.  The “All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137"/>
      </w:r>
      <w: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38"/>
      </w:r>
      <w:r>
        <w:t xml:space="preserve">  Establishments providing Internet services or voice over Internet protocol (VoIP) services via client-supplied telecommunications connections are also included in this industry.”</w:t>
      </w:r>
      <w:r>
        <w:rPr>
          <w:vertAlign w:val="superscript"/>
        </w:rPr>
        <w:footnoteReference w:id="139"/>
      </w:r>
      <w:r>
        <w:t xml:space="preserve">  The SBA has developed a small business size standard for “All Other Telecommunications,” which consists of all such firms with annual receipts of $35 million or less.</w:t>
      </w:r>
      <w:r>
        <w:rPr>
          <w:sz w:val="20"/>
          <w:vertAlign w:val="superscript"/>
        </w:rPr>
        <w:footnoteReference w:id="140"/>
      </w:r>
      <w:r>
        <w:t xml:space="preserve">  For this category, U.S. Census Bureau data for 2012 show that there were a total of 1,442 firms that operated for the entire year.</w:t>
      </w:r>
      <w:r>
        <w:rPr>
          <w:rStyle w:val="FootnoteReference"/>
        </w:rPr>
        <w:footnoteReference w:id="141"/>
      </w:r>
      <w:r>
        <w:t xml:space="preserve">  Of these firms, a total of 1,400 firms had annual receipts of less than $25 million and 15 firms had gross annual receipts of $25 million to $49,999,999.</w:t>
      </w:r>
      <w:r>
        <w:rPr>
          <w:vertAlign w:val="superscript"/>
        </w:rPr>
        <w:footnoteReference w:id="142"/>
      </w:r>
      <w:r>
        <w:t xml:space="preserve">  Thus, the Commission estimates that a majority of “All Other Telecommunications” firms potentially affected by our actions can be considered small.</w:t>
      </w:r>
    </w:p>
    <w:p w:rsidR="00B83427" w:rsidRPr="00BF5B64" w:rsidP="00E91A2C" w14:paraId="705229A0" w14:textId="77777777">
      <w:pPr>
        <w:pStyle w:val="ParaNum"/>
        <w:numPr>
          <w:ilvl w:val="0"/>
          <w:numId w:val="5"/>
        </w:numPr>
        <w:tabs>
          <w:tab w:val="clear" w:pos="1080"/>
          <w:tab w:val="num" w:pos="1440"/>
        </w:tabs>
        <w:rPr>
          <w:sz w:val="20"/>
        </w:rPr>
      </w:pPr>
      <w:r>
        <w:rPr>
          <w:i/>
        </w:rPr>
        <w:t>Radio and Television Broadcasting and Wireless Communications Equipment Manufacturing.</w:t>
      </w:r>
      <w:r>
        <w:t xml:space="preserve">  </w:t>
      </w:r>
      <w:r>
        <w:rPr>
          <w:color w:val="000000"/>
        </w:rPr>
        <w:t>This industry comprises establishments primarily engaged in manufacturing radio and television broadcast and wireless communications equipment.</w:t>
      </w:r>
      <w:r>
        <w:rPr>
          <w:color w:val="000000"/>
          <w:vertAlign w:val="superscript"/>
        </w:rPr>
        <w:footnoteReference w:id="143"/>
      </w:r>
      <w:r>
        <w:rPr>
          <w:color w:val="000000"/>
        </w:rPr>
        <w:t xml:space="preserve">  </w:t>
      </w:r>
      <w:r>
        <w:t>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144"/>
      </w:r>
      <w:r>
        <w:t xml:space="preserve">  </w:t>
      </w:r>
      <w:r>
        <w:rPr>
          <w:color w:val="000000"/>
        </w:rPr>
        <w:t>The SBA has established a small business size standard for this industry of 1,250 employees or less.</w:t>
      </w:r>
      <w:r>
        <w:rPr>
          <w:rStyle w:val="FootnoteReference"/>
        </w:rPr>
        <w:footnoteReference w:id="145"/>
      </w:r>
      <w:r>
        <w:rPr>
          <w:color w:val="000000"/>
        </w:rPr>
        <w:t xml:space="preserve">  U.S. Census Bureau data for 2012 show that 841 firms operated in this industry in that year.</w:t>
      </w:r>
      <w:r>
        <w:rPr>
          <w:rStyle w:val="FootnoteReference"/>
        </w:rPr>
        <w:footnoteReference w:id="146"/>
      </w:r>
      <w:r>
        <w:rPr>
          <w:color w:val="000000"/>
        </w:rPr>
        <w:t xml:space="preserve">  Of that number, 828 establishments operated </w:t>
      </w:r>
      <w:r>
        <w:t xml:space="preserve">with fewer than 1,000 employees, 7 establishments operated with between 1,000 and 2,499 employees and 6 establishments operated with </w:t>
      </w:r>
      <w:r>
        <w:t>2,500 or more employees.</w:t>
      </w:r>
      <w:r>
        <w:rPr>
          <w:rStyle w:val="FootnoteReference"/>
        </w:rPr>
        <w:footnoteReference w:id="147"/>
      </w:r>
      <w:r>
        <w:t xml:space="preserve">  </w:t>
      </w:r>
      <w:r>
        <w:rPr>
          <w:color w:val="000000"/>
        </w:rPr>
        <w:t>Based on this data, we conclude that a majority of manufacturers in this industry is small.</w:t>
      </w:r>
    </w:p>
    <w:p w:rsidR="00B83427" w:rsidP="005F2707" w14:paraId="1B13DE95" w14:textId="77777777">
      <w:pPr>
        <w:pStyle w:val="Heading2"/>
      </w:pPr>
      <w:bookmarkStart w:id="64" w:name="_Toc91400900"/>
      <w:bookmarkStart w:id="65" w:name="_Toc95896080"/>
      <w:bookmarkStart w:id="66" w:name="_Toc136831821"/>
      <w:bookmarkStart w:id="67" w:name="_Toc136832094"/>
      <w:bookmarkStart w:id="68" w:name="_Toc206315237"/>
      <w:bookmarkStart w:id="69" w:name="_Toc229806133"/>
      <w:bookmarkStart w:id="70" w:name="_Toc229825782"/>
      <w:bookmarkStart w:id="71" w:name="_Toc229878898"/>
      <w:bookmarkStart w:id="72" w:name="_Toc233770638"/>
      <w:bookmarkStart w:id="73" w:name="_Toc234049068"/>
      <w:bookmarkStart w:id="74" w:name="_Toc264640468"/>
      <w:bookmarkStart w:id="75" w:name="_Toc265564359"/>
      <w:bookmarkStart w:id="76" w:name="_Toc266446193"/>
      <w:r>
        <w:t>Description</w:t>
      </w:r>
      <w:r>
        <w:rPr>
          <w:bCs/>
        </w:rPr>
        <w:t xml:space="preserve"> of Projected Reporting, </w:t>
      </w:r>
      <w:r>
        <w:t>Recordkeeping</w:t>
      </w:r>
      <w:r>
        <w:rPr>
          <w:bCs/>
        </w:rPr>
        <w:t xml:space="preserve">, and Other </w:t>
      </w:r>
      <w:r>
        <w:t>Compliance</w:t>
      </w:r>
      <w:r>
        <w:rPr>
          <w:bCs/>
        </w:rPr>
        <w:t xml:space="preserve"> </w:t>
      </w:r>
      <w:r>
        <w:t>Requirements</w:t>
      </w:r>
      <w:bookmarkEnd w:id="64"/>
      <w:bookmarkEnd w:id="65"/>
      <w:bookmarkEnd w:id="66"/>
      <w:bookmarkEnd w:id="67"/>
      <w:bookmarkEnd w:id="68"/>
      <w:bookmarkEnd w:id="69"/>
      <w:bookmarkEnd w:id="70"/>
      <w:bookmarkEnd w:id="71"/>
      <w:bookmarkEnd w:id="72"/>
      <w:bookmarkEnd w:id="73"/>
      <w:bookmarkEnd w:id="74"/>
      <w:bookmarkEnd w:id="75"/>
      <w:bookmarkEnd w:id="76"/>
      <w:r>
        <w:t xml:space="preserve"> for Small Entities</w:t>
      </w:r>
    </w:p>
    <w:p w:rsidR="00B83427" w:rsidP="00E91A2C" w14:paraId="644EAC8E" w14:textId="77777777">
      <w:pPr>
        <w:pStyle w:val="ParaNum"/>
        <w:numPr>
          <w:ilvl w:val="0"/>
          <w:numId w:val="5"/>
        </w:numPr>
        <w:tabs>
          <w:tab w:val="clear" w:pos="1080"/>
          <w:tab w:val="num" w:pos="1440"/>
        </w:tabs>
      </w:pPr>
      <w:r>
        <w:t xml:space="preserve">The proposal in the </w:t>
      </w:r>
      <w:r>
        <w:rPr>
          <w:i/>
        </w:rPr>
        <w:t xml:space="preserve">NPRM </w:t>
      </w:r>
      <w:r w:rsidRPr="00626219">
        <w:rPr>
          <w:iCs/>
        </w:rPr>
        <w:t>to adopt the Resolution 750 emission</w:t>
      </w:r>
      <w:r>
        <w:rPr>
          <w:iCs/>
        </w:rPr>
        <w:t>s</w:t>
      </w:r>
      <w:r w:rsidRPr="00626219">
        <w:rPr>
          <w:iCs/>
        </w:rPr>
        <w:t xml:space="preserve"> limits, emission</w:t>
      </w:r>
      <w:r>
        <w:rPr>
          <w:iCs/>
        </w:rPr>
        <w:t>s</w:t>
      </w:r>
      <w:r w:rsidRPr="00626219">
        <w:rPr>
          <w:iCs/>
        </w:rPr>
        <w:t xml:space="preserve"> limit</w:t>
      </w:r>
      <w:r>
        <w:rPr>
          <w:iCs/>
        </w:rPr>
        <w:t>s</w:t>
      </w:r>
      <w:r w:rsidRPr="00626219">
        <w:rPr>
          <w:iCs/>
        </w:rPr>
        <w:t xml:space="preserve"> measurement methodology and emission</w:t>
      </w:r>
      <w:r>
        <w:rPr>
          <w:iCs/>
        </w:rPr>
        <w:t>s</w:t>
      </w:r>
      <w:r w:rsidRPr="00626219">
        <w:rPr>
          <w:iCs/>
        </w:rPr>
        <w:t xml:space="preserve"> limit</w:t>
      </w:r>
      <w:r>
        <w:rPr>
          <w:iCs/>
        </w:rPr>
        <w:t>s</w:t>
      </w:r>
      <w:r w:rsidRPr="00626219">
        <w:rPr>
          <w:iCs/>
        </w:rPr>
        <w:t xml:space="preserve"> effective date timetable</w:t>
      </w:r>
      <w:r>
        <w:rPr>
          <w:iCs/>
        </w:rPr>
        <w:t>s</w:t>
      </w:r>
      <w:r w:rsidRPr="00626219">
        <w:rPr>
          <w:iCs/>
        </w:rPr>
        <w:t xml:space="preserve"> </w:t>
      </w:r>
      <w:r>
        <w:rPr>
          <w:iCs/>
        </w:rPr>
        <w:t xml:space="preserve">will not </w:t>
      </w:r>
      <w:r>
        <w:t xml:space="preserve">impose any new reporting or recordkeeping requirements.  </w:t>
      </w:r>
      <w:r w:rsidRPr="004E1401">
        <w:t>In assessing the cost of compliance for small entities, at this time</w:t>
      </w:r>
      <w:r>
        <w:t xml:space="preserve"> </w:t>
      </w:r>
      <w:r w:rsidRPr="004E1401">
        <w:t xml:space="preserve">the Commission is not in a position to determine whether, if adopted, the proposals in the </w:t>
      </w:r>
      <w:r w:rsidRPr="00FE51C2">
        <w:rPr>
          <w:i/>
          <w:iCs/>
        </w:rPr>
        <w:t>NPRM</w:t>
      </w:r>
      <w:r w:rsidRPr="004E1401">
        <w:t xml:space="preserve"> will require small entities</w:t>
      </w:r>
      <w:r>
        <w:t xml:space="preserve"> to</w:t>
      </w:r>
      <w:r w:rsidRPr="004E1401">
        <w:t xml:space="preserve"> hire professionals to comply</w:t>
      </w:r>
      <w:r>
        <w:t>,</w:t>
      </w:r>
      <w:r w:rsidRPr="004E1401">
        <w:t xml:space="preserve"> and cannot quantify the cost of compliance with any </w:t>
      </w:r>
      <w:r>
        <w:t xml:space="preserve">of </w:t>
      </w:r>
      <w:r w:rsidRPr="004E1401">
        <w:t xml:space="preserve">the potential rule changes that may be adopted.  </w:t>
      </w:r>
      <w:r w:rsidRPr="00686F18">
        <w:t xml:space="preserve">Comments </w:t>
      </w:r>
      <w:r>
        <w:t>in response to</w:t>
      </w:r>
      <w:r w:rsidRPr="00686F18">
        <w:t xml:space="preserve"> the </w:t>
      </w:r>
      <w:r w:rsidRPr="00FE51C2">
        <w:rPr>
          <w:i/>
          <w:iCs/>
        </w:rPr>
        <w:t>Public Notice</w:t>
      </w:r>
      <w:r>
        <w:rPr>
          <w:rStyle w:val="FootnoteReference"/>
          <w:i/>
          <w:iCs/>
        </w:rPr>
        <w:footnoteReference w:id="148"/>
      </w:r>
      <w:r w:rsidRPr="00686F18">
        <w:t xml:space="preserve"> that sought to develop a record on how the Commission should implement the emissions limits contained in Resolution 750 for the active services in the 24 GHz band </w:t>
      </w:r>
      <w:r>
        <w:t>that raised</w:t>
      </w:r>
      <w:r w:rsidRPr="00686F18">
        <w:t xml:space="preserve"> concerns about increased costs if Resolution 750 emission</w:t>
      </w:r>
      <w:r>
        <w:t>s</w:t>
      </w:r>
      <w:r w:rsidRPr="00686F18">
        <w:t xml:space="preserve"> limits </w:t>
      </w:r>
      <w:r>
        <w:t xml:space="preserve">are adopted, </w:t>
      </w:r>
      <w:r w:rsidRPr="00686F18">
        <w:t>have been tak</w:t>
      </w:r>
      <w:r>
        <w:t>en</w:t>
      </w:r>
      <w:r w:rsidRPr="00686F18">
        <w:t xml:space="preserve"> into consideration</w:t>
      </w:r>
      <w:r>
        <w:t>,</w:t>
      </w:r>
      <w:r w:rsidRPr="00686F18">
        <w:t xml:space="preserve"> and commenters have been asked to quantify these costs and specify </w:t>
      </w:r>
      <w:r>
        <w:t xml:space="preserve">the </w:t>
      </w:r>
      <w:r w:rsidRPr="00686F18">
        <w:t>impact on service</w:t>
      </w:r>
      <w:r w:rsidRPr="000C6684">
        <w:t xml:space="preserve"> </w:t>
      </w:r>
      <w:r>
        <w:t>i</w:t>
      </w:r>
      <w:r w:rsidRPr="00686F18">
        <w:t xml:space="preserve">n the </w:t>
      </w:r>
      <w:r w:rsidRPr="00D84D5B">
        <w:rPr>
          <w:i/>
          <w:iCs/>
        </w:rPr>
        <w:t>NPRM</w:t>
      </w:r>
      <w:r w:rsidRPr="00686F18">
        <w:t>.</w:t>
      </w:r>
      <w:r>
        <w:t xml:space="preserve">  </w:t>
      </w:r>
      <w:r w:rsidRPr="009D595C">
        <w:t xml:space="preserve">We expect the comments we receive on our proposals to include information addressing costs, service impacts, </w:t>
      </w:r>
      <w:r>
        <w:t xml:space="preserve">and </w:t>
      </w:r>
      <w:r w:rsidRPr="009D595C">
        <w:t>other matters of concern, which should help the Commission identify and evaluate relevant issues for small entities</w:t>
      </w:r>
      <w:r>
        <w:t xml:space="preserve"> </w:t>
      </w:r>
      <w:r w:rsidRPr="009D595C">
        <w:t xml:space="preserve">including compliance costs and other burdens that may result from the matters raised in the </w:t>
      </w:r>
      <w:r w:rsidRPr="00FE51C2">
        <w:rPr>
          <w:i/>
          <w:iCs/>
        </w:rPr>
        <w:t>NPRM</w:t>
      </w:r>
      <w:r>
        <w:t xml:space="preserve">, </w:t>
      </w:r>
      <w:r w:rsidRPr="009D595C">
        <w:t>before adopting final rules</w:t>
      </w:r>
      <w:r>
        <w:t xml:space="preserve">.    </w:t>
      </w:r>
    </w:p>
    <w:p w:rsidR="00B83427" w:rsidP="005F2707" w14:paraId="393EA6CB" w14:textId="77777777">
      <w:pPr>
        <w:pStyle w:val="Heading2"/>
      </w:pPr>
      <w:bookmarkStart w:id="77" w:name="_Toc91400901"/>
      <w:bookmarkStart w:id="78" w:name="_Toc95896081"/>
      <w:bookmarkStart w:id="79" w:name="_Toc136831822"/>
      <w:bookmarkStart w:id="80" w:name="_Toc136832095"/>
      <w:bookmarkStart w:id="81" w:name="_Toc206315238"/>
      <w:bookmarkStart w:id="82" w:name="_Toc229806134"/>
      <w:bookmarkStart w:id="83" w:name="_Toc229825783"/>
      <w:bookmarkStart w:id="84" w:name="_Toc229878899"/>
      <w:bookmarkStart w:id="85" w:name="_Toc233770639"/>
      <w:bookmarkStart w:id="86" w:name="_Toc234049069"/>
      <w:bookmarkStart w:id="87" w:name="_Toc264640469"/>
      <w:bookmarkStart w:id="88" w:name="_Toc265564360"/>
      <w:bookmarkStart w:id="89" w:name="_Toc266446194"/>
      <w:r>
        <w:t>Steps Taken to Minimize the Significant Economic Impact on Small Entities, and Significant Alternatives Considered</w:t>
      </w:r>
      <w:bookmarkEnd w:id="77"/>
      <w:bookmarkEnd w:id="78"/>
      <w:bookmarkEnd w:id="79"/>
      <w:bookmarkEnd w:id="80"/>
      <w:bookmarkEnd w:id="81"/>
      <w:bookmarkEnd w:id="82"/>
      <w:bookmarkEnd w:id="83"/>
      <w:bookmarkEnd w:id="84"/>
      <w:bookmarkEnd w:id="85"/>
      <w:bookmarkEnd w:id="86"/>
      <w:bookmarkEnd w:id="87"/>
      <w:bookmarkEnd w:id="88"/>
      <w:bookmarkEnd w:id="89"/>
    </w:p>
    <w:p w:rsidR="00B83427" w:rsidP="00E91A2C" w14:paraId="3391801B" w14:textId="77777777">
      <w:pPr>
        <w:pStyle w:val="ParaNum"/>
        <w:numPr>
          <w:ilvl w:val="0"/>
          <w:numId w:val="5"/>
        </w:numPr>
        <w:tabs>
          <w:tab w:val="clear" w:pos="1080"/>
          <w:tab w:val="num" w:pos="1440"/>
        </w:tabs>
      </w:pPr>
      <w: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149"/>
      </w:r>
      <w:r>
        <w:t xml:space="preserve">  </w:t>
      </w:r>
    </w:p>
    <w:p w:rsidR="00B83427" w:rsidP="00E91A2C" w14:paraId="6FEC54C9" w14:textId="77777777">
      <w:pPr>
        <w:pStyle w:val="ParaNum"/>
        <w:numPr>
          <w:ilvl w:val="0"/>
          <w:numId w:val="5"/>
        </w:numPr>
        <w:tabs>
          <w:tab w:val="clear" w:pos="1080"/>
          <w:tab w:val="num" w:pos="1440"/>
        </w:tabs>
      </w:pPr>
      <w:bookmarkStart w:id="90" w:name="_Hlk85795655"/>
      <w:r w:rsidRPr="00132E1B">
        <w:t xml:space="preserve">Having data on the costs and economic impact of </w:t>
      </w:r>
      <w:r>
        <w:t xml:space="preserve">the </w:t>
      </w:r>
      <w:r w:rsidRPr="00132E1B">
        <w:t xml:space="preserve">proposals and approaches </w:t>
      </w:r>
      <w:r>
        <w:t xml:space="preserve">discussed in the </w:t>
      </w:r>
      <w:r w:rsidRPr="00F54BC3">
        <w:rPr>
          <w:i/>
          <w:iCs/>
        </w:rPr>
        <w:t>NPRM</w:t>
      </w:r>
      <w:r>
        <w:t xml:space="preserve"> </w:t>
      </w:r>
      <w:r w:rsidRPr="00132E1B">
        <w:t>will allow the Commission to better evaluate options and alternatives for minimization</w:t>
      </w:r>
      <w:r>
        <w:t>,</w:t>
      </w:r>
      <w:r w:rsidRPr="00132E1B">
        <w:t xml:space="preserve"> should </w:t>
      </w:r>
      <w:r>
        <w:t xml:space="preserve">there be </w:t>
      </w:r>
      <w:r w:rsidRPr="00132E1B">
        <w:t>a significant economic impact on small entities</w:t>
      </w:r>
      <w:r>
        <w:t xml:space="preserve"> if </w:t>
      </w:r>
      <w:r w:rsidRPr="00132E1B">
        <w:t>Resolution 750 emission</w:t>
      </w:r>
      <w:r>
        <w:t>s</w:t>
      </w:r>
      <w:r w:rsidRPr="00132E1B">
        <w:t xml:space="preserve"> limits</w:t>
      </w:r>
      <w:r>
        <w:t xml:space="preserve"> and effective date timetables are adopted</w:t>
      </w:r>
      <w:r w:rsidRPr="00132E1B">
        <w:t xml:space="preserve">.  Accordingly, we expect to more fully consider the economic impact on small entities following our review of comments filed in response to the </w:t>
      </w:r>
      <w:r w:rsidRPr="00F54BC3">
        <w:rPr>
          <w:i/>
          <w:iCs/>
        </w:rPr>
        <w:t>NPRM</w:t>
      </w:r>
      <w:r w:rsidRPr="00132E1B">
        <w:t xml:space="preserve"> which as mentioned above in Section D include</w:t>
      </w:r>
      <w:r>
        <w:t>s</w:t>
      </w:r>
      <w:r w:rsidRPr="00132E1B">
        <w:t xml:space="preserve"> a request for comments on </w:t>
      </w:r>
      <w:r>
        <w:t xml:space="preserve">the </w:t>
      </w:r>
      <w:r w:rsidRPr="00132E1B">
        <w:t xml:space="preserve">costs and service </w:t>
      </w:r>
      <w:r>
        <w:t>im</w:t>
      </w:r>
      <w:r w:rsidRPr="00132E1B">
        <w:t>pac</w:t>
      </w:r>
      <w:r>
        <w:t>t</w:t>
      </w:r>
      <w:r w:rsidRPr="00132E1B">
        <w:t>s associated with adoption of Resolution 750 emission</w:t>
      </w:r>
      <w:r>
        <w:t>s</w:t>
      </w:r>
      <w:r w:rsidRPr="00132E1B">
        <w:t xml:space="preserve"> limits.  </w:t>
      </w:r>
      <w:r>
        <w:t>B</w:t>
      </w:r>
      <w:r w:rsidRPr="0002529E">
        <w:t xml:space="preserve">elow we discuss actions taken and alternatives considered by the Commission </w:t>
      </w:r>
      <w:r>
        <w:t xml:space="preserve">relating to the proposals in the </w:t>
      </w:r>
      <w:r w:rsidRPr="00F54BC3">
        <w:rPr>
          <w:i/>
          <w:iCs/>
        </w:rPr>
        <w:t>NPRM</w:t>
      </w:r>
      <w:r>
        <w:t>.</w:t>
      </w:r>
    </w:p>
    <w:p w:rsidR="00B83427" w:rsidP="00E91A2C" w14:paraId="587DA013" w14:textId="77777777">
      <w:pPr>
        <w:pStyle w:val="ParaNum"/>
        <w:numPr>
          <w:ilvl w:val="0"/>
          <w:numId w:val="5"/>
        </w:numPr>
        <w:tabs>
          <w:tab w:val="clear" w:pos="1080"/>
          <w:tab w:val="num" w:pos="1440"/>
        </w:tabs>
      </w:pPr>
      <w:r>
        <w:t>B</w:t>
      </w:r>
      <w:r w:rsidRPr="006C24DD">
        <w:t xml:space="preserve">ased on the record from the </w:t>
      </w:r>
      <w:r w:rsidRPr="00F54BC3">
        <w:rPr>
          <w:i/>
          <w:iCs/>
        </w:rPr>
        <w:t>Public Notice</w:t>
      </w:r>
      <w:r w:rsidRPr="006C24DD">
        <w:t xml:space="preserve"> comments, our proposal to adopt Resolution 750 emission</w:t>
      </w:r>
      <w:r>
        <w:t>s</w:t>
      </w:r>
      <w:r w:rsidRPr="006C24DD">
        <w:t xml:space="preserve"> limits seems to strike the appropriate balance between protecting passive sensing </w:t>
      </w:r>
      <w:r>
        <w:t xml:space="preserve">satellite operations </w:t>
      </w:r>
      <w:r w:rsidRPr="006C24DD">
        <w:t>and facilitating use of the 24 GHz band.</w:t>
      </w:r>
      <w:r>
        <w:t xml:space="preserve">  The Commission could have developed and proposed its own emission limits and related requirements which may have included emissions limits that were stricter or not as strict as the Resolution 750 emissions limits.  The Commission could have also simply maintained the existing rules.  As discussed in the </w:t>
      </w:r>
      <w:r w:rsidRPr="00F54BC3">
        <w:rPr>
          <w:i/>
          <w:iCs/>
        </w:rPr>
        <w:t xml:space="preserve">NPRM </w:t>
      </w:r>
      <w:r w:rsidRPr="00FE51C2">
        <w:t xml:space="preserve">however, </w:t>
      </w:r>
      <w:r w:rsidRPr="007A6A4B">
        <w:t>many</w:t>
      </w:r>
      <w:r>
        <w:t xml:space="preserve"> of the industry participants support adoption of Resolution 750 emission limits to protect extremely sensitive passive satellite operations, facilitate the continued development and deployment of 5G in the U.S., promote international </w:t>
      </w:r>
      <w:r>
        <w:t>harmonization, enable equipment manufacturers to provide globally marketable equipment, and to be consistent with U.S. policy relating to Radio Regulations.  T</w:t>
      </w:r>
      <w:r w:rsidRPr="00D55E97">
        <w:t>h</w:t>
      </w:r>
      <w:r>
        <w:t>us, th</w:t>
      </w:r>
      <w:r w:rsidRPr="00D55E97">
        <w:t xml:space="preserve">e synchronicity between </w:t>
      </w:r>
      <w:r>
        <w:t xml:space="preserve">the </w:t>
      </w:r>
      <w:r w:rsidRPr="00D55E97">
        <w:t>Resolution 750 emissions limits and the Commission's part 30 rules appears</w:t>
      </w:r>
      <w:r>
        <w:t xml:space="preserve"> to be the best course of action, although small entities that hold licenses subject to these rules may incur increased deployment costs to comply with the more stringent </w:t>
      </w:r>
      <w:r w:rsidRPr="00D55E97">
        <w:t>Resolution</w:t>
      </w:r>
      <w:r>
        <w:t xml:space="preserve"> 750</w:t>
      </w:r>
      <w:r w:rsidRPr="00D55E97">
        <w:t xml:space="preserve"> </w:t>
      </w:r>
      <w:r>
        <w:t>emissions limits</w:t>
      </w:r>
      <w:r w:rsidRPr="00D55E97">
        <w:t xml:space="preserve">. </w:t>
      </w:r>
    </w:p>
    <w:p w:rsidR="00B83427" w:rsidP="00E91A2C" w14:paraId="6672D8E2" w14:textId="77777777">
      <w:pPr>
        <w:pStyle w:val="ParaNum"/>
        <w:numPr>
          <w:ilvl w:val="0"/>
          <w:numId w:val="5"/>
        </w:numPr>
        <w:tabs>
          <w:tab w:val="clear" w:pos="1080"/>
          <w:tab w:val="num" w:pos="1440"/>
        </w:tabs>
      </w:pPr>
      <w:r>
        <w:t xml:space="preserve">In the alternative, </w:t>
      </w:r>
      <w:r w:rsidRPr="00D55E97">
        <w:t xml:space="preserve">if the Commission were to propose and </w:t>
      </w:r>
      <w:r>
        <w:t xml:space="preserve">adopt its own </w:t>
      </w:r>
      <w:r w:rsidRPr="00D55E97">
        <w:t>emissions limits</w:t>
      </w:r>
      <w:r>
        <w:t>,</w:t>
      </w:r>
      <w:r w:rsidRPr="00D55E97">
        <w:t xml:space="preserve"> particularly if the emissions limits were stricter than </w:t>
      </w:r>
      <w:r>
        <w:t>both the existing emission limits and</w:t>
      </w:r>
      <w:r w:rsidRPr="00D55E97">
        <w:t xml:space="preserve"> Resolution 750 emission limits, small entities could be subjected to</w:t>
      </w:r>
      <w:r>
        <w:t xml:space="preserve"> significantly</w:t>
      </w:r>
      <w:r w:rsidRPr="00D55E97">
        <w:t xml:space="preserve"> increased compliance costs</w:t>
      </w:r>
      <w:r>
        <w:t xml:space="preserve"> without any of the above-mentioned benefits</w:t>
      </w:r>
      <w:r w:rsidRPr="00D55E97">
        <w:t xml:space="preserve">.  </w:t>
      </w:r>
      <w:r>
        <w:t xml:space="preserve">Further, </w:t>
      </w:r>
      <w:r w:rsidRPr="00D55E97">
        <w:t xml:space="preserve">if the Commission </w:t>
      </w:r>
      <w:r>
        <w:t xml:space="preserve">were to </w:t>
      </w:r>
      <w:r w:rsidRPr="00D55E97">
        <w:t>propose and adopt less stri</w:t>
      </w:r>
      <w:r>
        <w:t>n</w:t>
      </w:r>
      <w:r w:rsidRPr="00D55E97">
        <w:t xml:space="preserve">gent emissions limit requirements or if </w:t>
      </w:r>
      <w:r>
        <w:t>we</w:t>
      </w:r>
      <w:r w:rsidRPr="00D55E97">
        <w:t xml:space="preserve"> simply maintained the existing requirements, our rule</w:t>
      </w:r>
      <w:r>
        <w:t>s</w:t>
      </w:r>
      <w:r w:rsidRPr="00D55E97">
        <w:t xml:space="preserve"> may not provide the necessary protections for passive sate</w:t>
      </w:r>
      <w:r>
        <w:t>ll</w:t>
      </w:r>
      <w:r w:rsidRPr="00D55E97">
        <w:t>i</w:t>
      </w:r>
      <w:r>
        <w:t>t</w:t>
      </w:r>
      <w:r w:rsidRPr="00D55E97">
        <w:t xml:space="preserve">e operations </w:t>
      </w:r>
      <w:r>
        <w:t xml:space="preserve">to operate </w:t>
      </w:r>
      <w:r w:rsidRPr="00D55E97">
        <w:t xml:space="preserve">in the 24GHz band </w:t>
      </w:r>
      <w:r>
        <w:t xml:space="preserve">and </w:t>
      </w:r>
      <w:r w:rsidRPr="00D55E97">
        <w:t xml:space="preserve">might make it difficult for EESS to make observations free from harmful interference, thereby jeopardizing the accuracy of critical weather forecasting and climatology science data.  </w:t>
      </w:r>
      <w:r>
        <w:t xml:space="preserve">Instead, the Commission believes our proposal to adopt the </w:t>
      </w:r>
      <w:r w:rsidRPr="00F54BC3">
        <w:rPr>
          <w:szCs w:val="22"/>
        </w:rPr>
        <w:t xml:space="preserve">Resolution 750 emission limits which were carefully considered and the product of extensive industry collaboration, is the right approach and any potential burdens are </w:t>
      </w:r>
      <w:r>
        <w:t>outweighed by the benefits of protecting passive observations in the 23.6-24.0 GHz band, including improvements in weather forecasting.</w:t>
      </w:r>
      <w:r w:rsidRPr="00D55E97">
        <w:t xml:space="preserve"> </w:t>
      </w:r>
    </w:p>
    <w:p w:rsidR="00B83427" w:rsidP="00E91A2C" w14:paraId="5EF74A17" w14:textId="070B4912">
      <w:pPr>
        <w:pStyle w:val="ParaNum"/>
        <w:numPr>
          <w:ilvl w:val="0"/>
          <w:numId w:val="5"/>
        </w:numPr>
        <w:tabs>
          <w:tab w:val="clear" w:pos="1080"/>
          <w:tab w:val="num" w:pos="1440"/>
        </w:tabs>
      </w:pPr>
      <w:r w:rsidRPr="000117D6">
        <w:t xml:space="preserve">Finally, in addition </w:t>
      </w:r>
      <w:r>
        <w:t xml:space="preserve">to </w:t>
      </w:r>
      <w:r w:rsidRPr="000117D6">
        <w:t xml:space="preserve">seeking comment on the costs and service impacts of the Commission's proposals, the </w:t>
      </w:r>
      <w:r w:rsidRPr="00F54BC3">
        <w:rPr>
          <w:i/>
          <w:iCs/>
        </w:rPr>
        <w:t>NPRM</w:t>
      </w:r>
      <w:r w:rsidRPr="000117D6">
        <w:t xml:space="preserve"> provides small entities the opportunity to submit comments on a wide range of issues relating to the proposed emissions limits including but not limited to </w:t>
      </w:r>
      <w:r w:rsidR="00087C71">
        <w:t xml:space="preserve">comment on alternative limits, including </w:t>
      </w:r>
      <w:r w:rsidRPr="00151978" w:rsidR="00604956">
        <w:t xml:space="preserve">the effect </w:t>
      </w:r>
      <w:r w:rsidR="00087C71">
        <w:t xml:space="preserve">that </w:t>
      </w:r>
      <w:r w:rsidRPr="00151978" w:rsidR="00604956">
        <w:t xml:space="preserve">any changes to existing limits </w:t>
      </w:r>
      <w:r w:rsidR="00087C71">
        <w:t xml:space="preserve">would have </w:t>
      </w:r>
      <w:r w:rsidRPr="00151978" w:rsidR="00604956">
        <w:t>on smaller entities</w:t>
      </w:r>
      <w:r>
        <w:t>,</w:t>
      </w:r>
      <w:r w:rsidR="00087C71">
        <w:t xml:space="preserve">  comment on the schedule for adoption of any revised limits, including adjustments that should be made for smaller entities to come into compliance</w:t>
      </w:r>
      <w:r>
        <w:t xml:space="preserve">, </w:t>
      </w:r>
      <w:r w:rsidRPr="000117D6">
        <w:t xml:space="preserve">and </w:t>
      </w:r>
      <w:r w:rsidR="00087C71">
        <w:t xml:space="preserve">comment on </w:t>
      </w:r>
      <w:r>
        <w:t>other</w:t>
      </w:r>
      <w:r w:rsidRPr="000117D6">
        <w:t xml:space="preserve"> related matters that are not addressed in Resolution 750.  The Commission’s evaluation of the information it receives will shape the final alternatives it considers, the final conclusions it reaches</w:t>
      </w:r>
      <w:r>
        <w:t>,</w:t>
      </w:r>
      <w:r w:rsidRPr="000117D6">
        <w:t xml:space="preserve"> and </w:t>
      </w:r>
      <w:r>
        <w:t>any</w:t>
      </w:r>
      <w:r w:rsidRPr="000117D6">
        <w:t xml:space="preserve"> additional steps it takes to minimize any significant economic impact that may occur on small entities as a result of </w:t>
      </w:r>
      <w:r>
        <w:t>the</w:t>
      </w:r>
      <w:r w:rsidRPr="000117D6">
        <w:t xml:space="preserve"> final rules it promulgates in this proceeding.</w:t>
      </w:r>
    </w:p>
    <w:bookmarkEnd w:id="90"/>
    <w:p w:rsidR="00B83427" w:rsidRPr="00D11D1F" w:rsidP="005F2707" w14:paraId="4FE23516" w14:textId="77777777">
      <w:pPr>
        <w:pStyle w:val="Heading2"/>
      </w:pPr>
      <w:r w:rsidRPr="00D11D1F">
        <w:t xml:space="preserve">Federal Rules that May Duplicate, Overlap, or Conflict with the Proposed Rules </w:t>
      </w:r>
    </w:p>
    <w:p w:rsidR="00B83427" w:rsidP="00E91A2C" w14:paraId="341B79F0" w14:textId="77777777">
      <w:pPr>
        <w:pStyle w:val="ParaNum"/>
        <w:numPr>
          <w:ilvl w:val="0"/>
          <w:numId w:val="5"/>
        </w:numPr>
        <w:tabs>
          <w:tab w:val="clear" w:pos="1080"/>
          <w:tab w:val="num" w:pos="1440"/>
        </w:tabs>
      </w:pPr>
      <w:r>
        <w:t>None.</w:t>
      </w:r>
    </w:p>
    <w:p w:rsidR="00B83427" w:rsidRPr="005D46C5" w:rsidP="00B83427" w14:paraId="1D21CA13" w14:textId="77777777">
      <w:pPr>
        <w:pStyle w:val="ParaNum"/>
        <w:widowControl/>
        <w:numPr>
          <w:ilvl w:val="0"/>
          <w:numId w:val="0"/>
        </w:numPr>
        <w:spacing w:after="220"/>
        <w:ind w:firstLine="720"/>
        <w:rPr>
          <w:szCs w:val="22"/>
        </w:rPr>
      </w:pPr>
    </w:p>
    <w:p w:rsidR="00B83427" w:rsidRPr="005D46C5" w:rsidP="00B83427" w14:paraId="3452053B" w14:textId="77777777">
      <w:pPr>
        <w:pStyle w:val="ParaNum"/>
        <w:widowControl/>
        <w:numPr>
          <w:ilvl w:val="0"/>
          <w:numId w:val="0"/>
        </w:numPr>
        <w:tabs>
          <w:tab w:val="left" w:pos="720"/>
          <w:tab w:val="left" w:pos="1440"/>
        </w:tabs>
        <w:spacing w:after="220"/>
        <w:ind w:firstLine="720"/>
        <w:rPr>
          <w:szCs w:val="22"/>
        </w:rPr>
      </w:pPr>
    </w:p>
    <w:p w:rsidR="00B83427" w:rsidRPr="005D46C5" w:rsidP="00B83427" w14:paraId="499F8977" w14:textId="77777777">
      <w:pPr>
        <w:widowControl/>
        <w:spacing w:after="220"/>
        <w:ind w:firstLine="720"/>
        <w:rPr>
          <w:szCs w:val="22"/>
        </w:rPr>
      </w:pPr>
    </w:p>
    <w:p w:rsidR="00036E08" w:rsidP="00B83427" w14:paraId="6EFEA4D0" w14:textId="77777777">
      <w:pPr>
        <w:widowControl/>
        <w:ind w:firstLine="720"/>
        <w:jc w:val="both"/>
        <w:rPr>
          <w:szCs w:val="22"/>
        </w:rPr>
        <w:sectPr w:rsidSect="00A8725B">
          <w:footerReference w:type="default" r:id="rId18"/>
          <w:footnotePr>
            <w:numRestart w:val="eachSect"/>
          </w:footnotePr>
          <w:endnotePr>
            <w:numFmt w:val="decimal"/>
          </w:endnotePr>
          <w:pgSz w:w="12240" w:h="15840"/>
          <w:pgMar w:top="1440" w:right="1440" w:bottom="720" w:left="1440" w:header="720" w:footer="720" w:gutter="0"/>
          <w:cols w:space="720"/>
          <w:noEndnote/>
          <w:docGrid w:linePitch="299"/>
        </w:sectPr>
      </w:pPr>
    </w:p>
    <w:p w:rsidR="00B83427" w:rsidRPr="005D46C5" w:rsidP="00036E08" w14:paraId="51E13956" w14:textId="37FBAEB3">
      <w:pPr>
        <w:pStyle w:val="NormalWeb"/>
        <w:spacing w:before="0" w:beforeAutospacing="0" w:after="220" w:afterAutospacing="0"/>
        <w:jc w:val="center"/>
        <w:rPr>
          <w:b/>
          <w:sz w:val="22"/>
          <w:szCs w:val="22"/>
        </w:rPr>
      </w:pPr>
      <w:r w:rsidRPr="005D46C5">
        <w:rPr>
          <w:b/>
          <w:sz w:val="22"/>
          <w:szCs w:val="22"/>
        </w:rPr>
        <w:t>APPENDIX C</w:t>
      </w:r>
    </w:p>
    <w:p w:rsidR="00B83427" w:rsidRPr="00556EDB" w:rsidP="00B83427" w14:paraId="48618A6F" w14:textId="77777777">
      <w:pPr>
        <w:widowControl/>
        <w:spacing w:after="220"/>
        <w:jc w:val="center"/>
        <w:rPr>
          <w:b/>
          <w:bCs/>
          <w:i/>
          <w:iCs/>
          <w:szCs w:val="22"/>
        </w:rPr>
      </w:pPr>
      <w:r w:rsidRPr="005D46C5">
        <w:rPr>
          <w:b/>
          <w:bCs/>
          <w:szCs w:val="22"/>
        </w:rPr>
        <w:t>List of Commenters</w:t>
      </w:r>
      <w:r>
        <w:rPr>
          <w:b/>
          <w:bCs/>
          <w:szCs w:val="22"/>
        </w:rPr>
        <w:t xml:space="preserve"> to </w:t>
      </w:r>
      <w:r>
        <w:rPr>
          <w:b/>
          <w:bCs/>
          <w:i/>
          <w:iCs/>
          <w:szCs w:val="22"/>
        </w:rPr>
        <w:t>Public Notice</w:t>
      </w:r>
    </w:p>
    <w:p w:rsidR="00B83427" w:rsidRPr="005D46C5" w:rsidP="00B83427" w14:paraId="61089745" w14:textId="77777777">
      <w:pPr>
        <w:widowControl/>
        <w:rPr>
          <w:szCs w:val="22"/>
        </w:rPr>
      </w:pPr>
    </w:p>
    <w:p w:rsidR="00B83427" w:rsidRPr="005D46C5" w:rsidP="00B83427" w14:paraId="21A00ED4" w14:textId="77777777">
      <w:pPr>
        <w:rPr>
          <w:b/>
          <w:bCs/>
          <w:szCs w:val="22"/>
          <w:u w:val="single"/>
        </w:rPr>
      </w:pPr>
      <w:r w:rsidRPr="005D46C5">
        <w:rPr>
          <w:b/>
          <w:bCs/>
          <w:szCs w:val="22"/>
          <w:u w:val="single"/>
        </w:rPr>
        <w:t>Comments</w:t>
      </w:r>
    </w:p>
    <w:p w:rsidR="00B83427" w:rsidRPr="005D46C5" w:rsidP="00B83427" w14:paraId="1465AFEA" w14:textId="77777777">
      <w:pPr>
        <w:spacing w:line="276" w:lineRule="auto"/>
        <w:rPr>
          <w:szCs w:val="22"/>
        </w:rPr>
      </w:pPr>
      <w:r w:rsidRPr="005D46C5">
        <w:rPr>
          <w:szCs w:val="22"/>
        </w:rPr>
        <w:t>The National Academy of Sciences, through its Committee on Radio Frequencies (CORF)</w:t>
      </w:r>
    </w:p>
    <w:p w:rsidR="00B83427" w:rsidRPr="005D46C5" w:rsidP="00B83427" w14:paraId="1C1A4FC5" w14:textId="77777777">
      <w:pPr>
        <w:spacing w:line="276" w:lineRule="auto"/>
        <w:rPr>
          <w:szCs w:val="22"/>
        </w:rPr>
      </w:pPr>
      <w:r w:rsidRPr="005D46C5">
        <w:rPr>
          <w:szCs w:val="22"/>
        </w:rPr>
        <w:t>CTIA</w:t>
      </w:r>
    </w:p>
    <w:p w:rsidR="00B83427" w:rsidRPr="005D46C5" w:rsidP="00B83427" w14:paraId="3872EF0A" w14:textId="77777777">
      <w:pPr>
        <w:spacing w:line="276" w:lineRule="auto"/>
        <w:rPr>
          <w:szCs w:val="22"/>
        </w:rPr>
      </w:pPr>
      <w:r w:rsidRPr="005D46C5">
        <w:rPr>
          <w:szCs w:val="22"/>
        </w:rPr>
        <w:t xml:space="preserve">Elliot Eichen, Ph.D. Principal, </w:t>
      </w:r>
      <w:r w:rsidRPr="005D46C5">
        <w:rPr>
          <w:szCs w:val="22"/>
        </w:rPr>
        <w:t>Choyu</w:t>
      </w:r>
      <w:r w:rsidRPr="005D46C5">
        <w:rPr>
          <w:szCs w:val="22"/>
        </w:rPr>
        <w:t xml:space="preserve"> Networks</w:t>
      </w:r>
    </w:p>
    <w:p w:rsidR="00B83427" w:rsidRPr="005D46C5" w:rsidP="00B83427" w14:paraId="2C492E7F" w14:textId="77777777">
      <w:pPr>
        <w:spacing w:line="276" w:lineRule="auto"/>
        <w:rPr>
          <w:szCs w:val="22"/>
        </w:rPr>
      </w:pPr>
      <w:r w:rsidRPr="005D46C5">
        <w:rPr>
          <w:szCs w:val="22"/>
        </w:rPr>
        <w:t>Ericsson</w:t>
      </w:r>
    </w:p>
    <w:p w:rsidR="00B83427" w:rsidRPr="005D46C5" w:rsidP="00B83427" w14:paraId="0E898C24" w14:textId="77777777">
      <w:pPr>
        <w:spacing w:line="276" w:lineRule="auto"/>
        <w:rPr>
          <w:szCs w:val="22"/>
        </w:rPr>
      </w:pPr>
      <w:r w:rsidRPr="005D46C5">
        <w:rPr>
          <w:szCs w:val="22"/>
        </w:rPr>
        <w:t>IEEE Geoscience and Remote Sensing Society</w:t>
      </w:r>
      <w:r>
        <w:rPr>
          <w:szCs w:val="22"/>
        </w:rPr>
        <w:t xml:space="preserve"> (IEEE)</w:t>
      </w:r>
    </w:p>
    <w:p w:rsidR="00B83427" w:rsidRPr="005D46C5" w:rsidP="00B83427" w14:paraId="4DD1F7ED" w14:textId="77777777">
      <w:pPr>
        <w:spacing w:line="276" w:lineRule="auto"/>
        <w:rPr>
          <w:szCs w:val="22"/>
        </w:rPr>
      </w:pPr>
      <w:r w:rsidRPr="005D46C5">
        <w:rPr>
          <w:szCs w:val="22"/>
        </w:rPr>
        <w:t>Mike Marcus and Josep Jornet</w:t>
      </w:r>
      <w:r>
        <w:rPr>
          <w:szCs w:val="22"/>
        </w:rPr>
        <w:t xml:space="preserve"> (Marcus &amp; Jornet)</w:t>
      </w:r>
    </w:p>
    <w:p w:rsidR="00B83427" w:rsidRPr="005D46C5" w:rsidP="00B83427" w14:paraId="0B211771" w14:textId="77777777">
      <w:pPr>
        <w:spacing w:line="276" w:lineRule="auto"/>
        <w:rPr>
          <w:szCs w:val="22"/>
        </w:rPr>
      </w:pPr>
      <w:r w:rsidRPr="005D46C5">
        <w:rPr>
          <w:szCs w:val="22"/>
        </w:rPr>
        <w:t>Nokia</w:t>
      </w:r>
    </w:p>
    <w:p w:rsidR="00B83427" w:rsidRPr="005D46C5" w:rsidP="00B83427" w14:paraId="0F8D0373" w14:textId="77777777">
      <w:pPr>
        <w:spacing w:line="276" w:lineRule="auto"/>
        <w:rPr>
          <w:szCs w:val="22"/>
        </w:rPr>
      </w:pPr>
      <w:r w:rsidRPr="005D46C5">
        <w:rPr>
          <w:szCs w:val="22"/>
        </w:rPr>
        <w:t>National Telecommunications and Information Administration (NTIA)</w:t>
      </w:r>
    </w:p>
    <w:p w:rsidR="00B83427" w:rsidRPr="009B54A2" w:rsidP="00B83427" w14:paraId="2FCA0B80" w14:textId="77777777">
      <w:pPr>
        <w:spacing w:line="276" w:lineRule="auto"/>
        <w:rPr>
          <w:lang w:val="it-IT"/>
        </w:rPr>
      </w:pPr>
      <w:r w:rsidRPr="009B54A2">
        <w:rPr>
          <w:lang w:val="it-IT"/>
        </w:rPr>
        <w:t>Qualcomm Incorporated (Qualcomm)</w:t>
      </w:r>
    </w:p>
    <w:p w:rsidR="00B83427" w:rsidRPr="005D46C5" w:rsidP="00B83427" w14:paraId="7527F43B" w14:textId="77777777">
      <w:pPr>
        <w:spacing w:line="276" w:lineRule="auto"/>
        <w:rPr>
          <w:szCs w:val="22"/>
        </w:rPr>
      </w:pPr>
      <w:r w:rsidRPr="009B54A2">
        <w:rPr>
          <w:lang w:val="it-IT"/>
        </w:rPr>
        <w:t xml:space="preserve">T-Mobile USA, Inc. </w:t>
      </w:r>
      <w:r w:rsidRPr="005D46C5">
        <w:rPr>
          <w:szCs w:val="22"/>
        </w:rPr>
        <w:t>(T-Mobile)</w:t>
      </w:r>
    </w:p>
    <w:p w:rsidR="00B83427" w:rsidRPr="005D46C5" w:rsidP="00B83427" w14:paraId="18D16742" w14:textId="77777777">
      <w:pPr>
        <w:widowControl/>
        <w:rPr>
          <w:szCs w:val="22"/>
        </w:rPr>
      </w:pPr>
    </w:p>
    <w:p w:rsidR="00B83427" w:rsidRPr="005D46C5" w:rsidP="00B83427" w14:paraId="34731124" w14:textId="77777777">
      <w:pPr>
        <w:widowControl/>
        <w:rPr>
          <w:b/>
          <w:szCs w:val="22"/>
          <w:u w:val="single"/>
        </w:rPr>
      </w:pPr>
      <w:r w:rsidRPr="005D46C5">
        <w:rPr>
          <w:b/>
          <w:szCs w:val="22"/>
          <w:u w:val="single"/>
        </w:rPr>
        <w:t>Reply Comments</w:t>
      </w:r>
    </w:p>
    <w:p w:rsidR="00B83427" w:rsidRPr="005D46C5" w:rsidP="00B83427" w14:paraId="3D655477" w14:textId="77777777">
      <w:pPr>
        <w:widowControl/>
        <w:rPr>
          <w:bCs/>
          <w:szCs w:val="22"/>
        </w:rPr>
      </w:pPr>
      <w:r w:rsidRPr="00BF0F45">
        <w:rPr>
          <w:bCs/>
          <w:szCs w:val="22"/>
        </w:rPr>
        <w:t xml:space="preserve">American </w:t>
      </w:r>
      <w:r w:rsidRPr="005D46C5">
        <w:rPr>
          <w:bCs/>
          <w:szCs w:val="22"/>
        </w:rPr>
        <w:t xml:space="preserve">Geophysical Union, American Meteorological Society, and National Weather Association </w:t>
      </w:r>
    </w:p>
    <w:p w:rsidR="00B83427" w:rsidRPr="005D46C5" w:rsidP="00B83427" w14:paraId="73663085" w14:textId="77777777">
      <w:pPr>
        <w:widowControl/>
        <w:ind w:firstLine="720"/>
        <w:rPr>
          <w:bCs/>
          <w:szCs w:val="22"/>
        </w:rPr>
      </w:pPr>
      <w:r w:rsidRPr="005D46C5">
        <w:rPr>
          <w:bCs/>
          <w:szCs w:val="22"/>
        </w:rPr>
        <w:t>(AGU/AMS/NWA)</w:t>
      </w:r>
    </w:p>
    <w:p w:rsidR="00B83427" w:rsidRPr="005D46C5" w:rsidP="00B83427" w14:paraId="32604F9C" w14:textId="77777777">
      <w:pPr>
        <w:widowControl/>
        <w:rPr>
          <w:bCs/>
          <w:szCs w:val="22"/>
        </w:rPr>
      </w:pPr>
      <w:r w:rsidRPr="005D46C5">
        <w:rPr>
          <w:bCs/>
          <w:szCs w:val="22"/>
        </w:rPr>
        <w:t>AT&amp;T</w:t>
      </w:r>
    </w:p>
    <w:p w:rsidR="00B83427" w:rsidRPr="005D46C5" w:rsidP="00B83427" w14:paraId="33DADFBA" w14:textId="77777777">
      <w:pPr>
        <w:widowControl/>
        <w:rPr>
          <w:bCs/>
          <w:szCs w:val="22"/>
        </w:rPr>
      </w:pPr>
      <w:r w:rsidRPr="005D46C5">
        <w:rPr>
          <w:bCs/>
          <w:szCs w:val="22"/>
        </w:rPr>
        <w:t>CTIA</w:t>
      </w:r>
    </w:p>
    <w:p w:rsidR="00B83427" w:rsidRPr="00BF0F45" w:rsidP="00B83427" w14:paraId="6EC5A40E" w14:textId="77777777">
      <w:pPr>
        <w:widowControl/>
        <w:rPr>
          <w:bCs/>
          <w:szCs w:val="22"/>
        </w:rPr>
      </w:pPr>
      <w:r w:rsidRPr="005D46C5">
        <w:rPr>
          <w:bCs/>
          <w:szCs w:val="22"/>
        </w:rPr>
        <w:t>T-Mobile</w:t>
      </w:r>
    </w:p>
    <w:p w:rsidR="00B83427" w:rsidRPr="009B54A2" w:rsidP="00B83427" w14:paraId="2F33A3D9" w14:textId="77777777">
      <w:pPr>
        <w:widowControl/>
      </w:pPr>
    </w:p>
    <w:p w:rsidR="00B83427" w:rsidRPr="009B54A2" w:rsidP="00B83427" w14:paraId="6B2191EC" w14:textId="77777777">
      <w:pPr>
        <w:widowControl/>
        <w:rPr>
          <w:b/>
          <w:u w:val="single"/>
        </w:rPr>
      </w:pPr>
      <w:r w:rsidRPr="009B54A2">
        <w:rPr>
          <w:b/>
          <w:u w:val="single"/>
        </w:rPr>
        <w:t>Ex Parte</w:t>
      </w:r>
    </w:p>
    <w:p w:rsidR="00B83427" w:rsidRPr="009B54A2" w:rsidP="009B54A2" w14:paraId="01E7FFA0" w14:textId="77777777">
      <w:pPr>
        <w:widowControl/>
        <w:ind w:left="810" w:hanging="810"/>
      </w:pPr>
      <w:r w:rsidRPr="009B54A2">
        <w:t>Letter from Eddie Johnson, Chairwoman and Frank Lucas, Ranking Member, Congressional Committee on Science, Space, and Technology</w:t>
      </w:r>
    </w:p>
    <w:p w:rsidR="005973BC" w:rsidRPr="00E1431B" w:rsidP="00E1431B" w14:paraId="05EF7C3C" w14:textId="55BB330F">
      <w:pPr>
        <w:widowControl/>
        <w:ind w:left="810" w:hanging="810"/>
        <w:rPr>
          <w:bCs/>
          <w:szCs w:val="22"/>
        </w:rPr>
      </w:pPr>
      <w:r>
        <w:rPr>
          <w:bCs/>
          <w:szCs w:val="22"/>
        </w:rPr>
        <w:t xml:space="preserve">Letter from </w:t>
      </w:r>
      <w:r w:rsidRPr="00BF0F45" w:rsidR="0079272E">
        <w:rPr>
          <w:bCs/>
          <w:szCs w:val="22"/>
        </w:rPr>
        <w:t xml:space="preserve">American </w:t>
      </w:r>
      <w:r w:rsidRPr="005D46C5" w:rsidR="0079272E">
        <w:rPr>
          <w:bCs/>
          <w:szCs w:val="22"/>
        </w:rPr>
        <w:t>Geophysical Union, American Meteorological Society, National Weather Association</w:t>
      </w:r>
      <w:r w:rsidR="002B5A54">
        <w:rPr>
          <w:bCs/>
          <w:szCs w:val="22"/>
        </w:rPr>
        <w:t>, and University Corporation for Atmospheric Research</w:t>
      </w:r>
      <w:r w:rsidR="00DA302A">
        <w:rPr>
          <w:bCs/>
          <w:szCs w:val="22"/>
        </w:rPr>
        <w:t xml:space="preserve"> (AGU/AMS/NWA/UCAR)</w:t>
      </w:r>
    </w:p>
    <w:p w:rsidR="006D242D" w:rsidRPr="00E1431B" w:rsidP="00B83427" w14:paraId="19FAB9BD" w14:textId="77777777">
      <w:pPr>
        <w:widowControl/>
        <w:rPr>
          <w:szCs w:val="22"/>
        </w:rPr>
      </w:pPr>
    </w:p>
    <w:p w:rsidR="00B83427" w:rsidRPr="009B54A2" w:rsidP="00B83427" w14:paraId="3C465E63" w14:textId="77777777">
      <w:pPr>
        <w:widowControl/>
      </w:pPr>
    </w:p>
    <w:p w:rsidR="0030373F" w:rsidP="00B83427" w14:paraId="47AE536B" w14:textId="77777777">
      <w:pPr>
        <w:pStyle w:val="Heading1"/>
        <w:numPr>
          <w:ilvl w:val="0"/>
          <w:numId w:val="0"/>
        </w:numPr>
        <w:ind w:left="720" w:hanging="720"/>
        <w:sectPr w:rsidSect="00A8725B">
          <w:footnotePr>
            <w:numRestart w:val="eachSect"/>
          </w:footnotePr>
          <w:endnotePr>
            <w:numFmt w:val="decimal"/>
          </w:endnotePr>
          <w:pgSz w:w="12240" w:h="15840"/>
          <w:pgMar w:top="1440" w:right="1440" w:bottom="720" w:left="1440" w:header="720" w:footer="720" w:gutter="0"/>
          <w:cols w:space="720"/>
          <w:noEndnote/>
          <w:docGrid w:linePitch="299"/>
        </w:sectPr>
      </w:pPr>
    </w:p>
    <w:p w:rsidR="0030373F" w:rsidRPr="005A355C" w:rsidP="0030373F" w14:paraId="05C2F8EE" w14:textId="77777777">
      <w:pPr>
        <w:jc w:val="center"/>
        <w:rPr>
          <w:b/>
          <w:bCs/>
          <w:caps/>
        </w:rPr>
      </w:pPr>
      <w:r w:rsidRPr="005A355C">
        <w:rPr>
          <w:b/>
          <w:bCs/>
          <w:caps/>
        </w:rPr>
        <w:t>Statement of</w:t>
      </w:r>
    </w:p>
    <w:p w:rsidR="0030373F" w:rsidRPr="005A355C" w:rsidP="0030373F" w14:paraId="23D479C3" w14:textId="77777777">
      <w:pPr>
        <w:jc w:val="center"/>
        <w:rPr>
          <w:b/>
          <w:bCs/>
        </w:rPr>
      </w:pPr>
      <w:r w:rsidRPr="005A355C">
        <w:rPr>
          <w:rFonts w:eastAsia="Calibri"/>
          <w:b/>
          <w:bCs/>
        </w:rPr>
        <w:t xml:space="preserve">CHAIRWOMAN </w:t>
      </w:r>
      <w:r w:rsidRPr="005A355C">
        <w:rPr>
          <w:b/>
          <w:bCs/>
        </w:rPr>
        <w:t>JESSICA ROSENWORCEL</w:t>
      </w:r>
    </w:p>
    <w:p w:rsidR="0030373F" w:rsidRPr="005A355C" w:rsidP="0030373F" w14:paraId="294FE344" w14:textId="77777777">
      <w:pPr>
        <w:jc w:val="center"/>
        <w:rPr>
          <w:b/>
          <w:bCs/>
          <w:caps/>
        </w:rPr>
      </w:pPr>
    </w:p>
    <w:p w:rsidR="0030373F" w:rsidRPr="005A355C" w:rsidP="0030373F" w14:paraId="78CE6EBB" w14:textId="72F60E96">
      <w:pPr>
        <w:ind w:left="720" w:hanging="720"/>
        <w:rPr>
          <w:bCs/>
        </w:rPr>
      </w:pPr>
      <w:r w:rsidRPr="005A355C">
        <w:rPr>
          <w:iCs/>
        </w:rPr>
        <w:t>Re:</w:t>
      </w:r>
      <w:r w:rsidRPr="005A355C">
        <w:t xml:space="preserve"> </w:t>
      </w:r>
      <w:r w:rsidRPr="005A355C">
        <w:tab/>
      </w:r>
      <w:r w:rsidRPr="005A355C">
        <w:rPr>
          <w:bCs/>
          <w:i/>
          <w:iCs/>
        </w:rPr>
        <w:t>Modifying Emissions Limits for the 24.25-24.45 GHz and 24.75-25.25 GHz Bands</w:t>
      </w:r>
      <w:r w:rsidRPr="005A355C">
        <w:rPr>
          <w:bCs/>
        </w:rPr>
        <w:t xml:space="preserve">; ET Docket No. 21-186, Notice of Proposed Rulemaking (December </w:t>
      </w:r>
      <w:r>
        <w:rPr>
          <w:bCs/>
        </w:rPr>
        <w:t>2</w:t>
      </w:r>
      <w:r w:rsidR="009F0D26">
        <w:rPr>
          <w:bCs/>
        </w:rPr>
        <w:t>2</w:t>
      </w:r>
      <w:r w:rsidRPr="005A355C">
        <w:rPr>
          <w:bCs/>
        </w:rPr>
        <w:t>, 2023)</w:t>
      </w:r>
    </w:p>
    <w:p w:rsidR="0030373F" w:rsidRPr="005A355C" w:rsidP="0030373F" w14:paraId="227B03A2" w14:textId="77777777">
      <w:pPr>
        <w:pStyle w:val="NormalWeb"/>
        <w:spacing w:before="0" w:beforeAutospacing="0" w:after="0" w:afterAutospacing="0"/>
        <w:rPr>
          <w:sz w:val="22"/>
          <w:szCs w:val="22"/>
        </w:rPr>
      </w:pPr>
    </w:p>
    <w:p w:rsidR="0030373F" w:rsidRPr="005A355C" w:rsidP="007E1663" w14:paraId="152B984B" w14:textId="37D64592">
      <w:pPr>
        <w:pStyle w:val="NormalWeb"/>
        <w:spacing w:before="0" w:beforeAutospacing="0" w:after="120" w:afterAutospacing="0"/>
        <w:rPr>
          <w:sz w:val="22"/>
          <w:szCs w:val="22"/>
        </w:rPr>
      </w:pPr>
      <w:r w:rsidRPr="005A355C">
        <w:rPr>
          <w:sz w:val="22"/>
          <w:szCs w:val="22"/>
        </w:rPr>
        <w:tab/>
        <w:t xml:space="preserve">Last month, I had the honor of being a part of the United States delegation at the World Radio Conference in Dubai.  At these conferences, the world gathers to discuss opportunities for the harmonization of spectrum and the growth of wireless markets.  Preparation for these discussions, which are held once every four years, requires a mix of Olympic energy and diplomatic skill.  The gatherings themselves take weeks and the resolutions that result have treaty-like effect, obligating member states to make adjustments to their domestic spectrum policies.  </w:t>
      </w:r>
    </w:p>
    <w:p w:rsidR="0030373F" w:rsidRPr="005A355C" w:rsidP="007E1663" w14:paraId="3A2EAD60" w14:textId="342D6770">
      <w:pPr>
        <w:pStyle w:val="NormalWeb"/>
        <w:spacing w:before="0" w:beforeAutospacing="0" w:after="120" w:afterAutospacing="0"/>
        <w:rPr>
          <w:sz w:val="22"/>
          <w:szCs w:val="22"/>
        </w:rPr>
      </w:pPr>
      <w:r w:rsidRPr="005A355C">
        <w:rPr>
          <w:sz w:val="22"/>
          <w:szCs w:val="22"/>
        </w:rPr>
        <w:tab/>
        <w:t xml:space="preserve">At the most recent conference, the United States was able to secure significant victories, clearing the way for further development of unlicensed and licensed airwaves.  To ensure that we reap the full benefit of these outcomes, however, two things are essential.  </w:t>
      </w:r>
    </w:p>
    <w:p w:rsidR="0030373F" w:rsidRPr="005A355C" w:rsidP="007E1663" w14:paraId="35626A04" w14:textId="620F815D">
      <w:pPr>
        <w:pStyle w:val="NormalWeb"/>
        <w:spacing w:before="0" w:beforeAutospacing="0" w:after="120" w:afterAutospacing="0"/>
        <w:ind w:firstLine="720"/>
        <w:rPr>
          <w:sz w:val="22"/>
          <w:szCs w:val="22"/>
        </w:rPr>
      </w:pPr>
      <w:r w:rsidRPr="005A355C">
        <w:rPr>
          <w:sz w:val="22"/>
          <w:szCs w:val="22"/>
        </w:rPr>
        <w:t xml:space="preserve">First, it is essential that Congress reinstate spectrum auction authority for the Federal Communications Commission.  The expiration of this authority—for the first time in three decades—has tied our hands, constraining our ability to hold auctions and threatening our leadership in global wireless deployment.  </w:t>
      </w:r>
    </w:p>
    <w:p w:rsidR="0030373F" w:rsidRPr="005A355C" w:rsidP="007E1663" w14:paraId="16A54F25" w14:textId="2FA4C148">
      <w:pPr>
        <w:pStyle w:val="NormalWeb"/>
        <w:spacing w:before="0" w:beforeAutospacing="0" w:after="120" w:afterAutospacing="0"/>
        <w:ind w:firstLine="720"/>
        <w:rPr>
          <w:sz w:val="22"/>
          <w:szCs w:val="22"/>
        </w:rPr>
      </w:pPr>
      <w:r w:rsidRPr="005A355C">
        <w:rPr>
          <w:sz w:val="22"/>
          <w:szCs w:val="22"/>
        </w:rPr>
        <w:t xml:space="preserve">Second, it is essential that we honor the resolutions from this conference and past ones, including the World Radio Conference held four years ago in Sharm el-Sheikh.  Here, we take steps to implement specific policies from that last gathering by proposing to align our rules for 5G mobile services in the 24 GHz band with international protections for weather forecasting and climate research that takes place in adjacent bands.  It is worth noting that the world followed our lead in adopting mobile operations in the 24 GHz band.  Now with this rulemaking, we seek to fulfill our obligations in this band, and in doing so commit to strike the right balance between fostering mobile service and protecting resources for scientific research.   </w:t>
      </w:r>
    </w:p>
    <w:p w:rsidR="0030373F" w:rsidRPr="005A355C" w:rsidP="0030373F" w14:paraId="5ED9FF1A" w14:textId="77777777">
      <w:pPr>
        <w:pStyle w:val="NormalWeb"/>
        <w:spacing w:before="0" w:beforeAutospacing="0" w:after="0" w:afterAutospacing="0"/>
        <w:ind w:firstLine="720"/>
        <w:rPr>
          <w:sz w:val="22"/>
          <w:szCs w:val="22"/>
        </w:rPr>
      </w:pPr>
      <w:r w:rsidRPr="005A355C">
        <w:rPr>
          <w:sz w:val="22"/>
          <w:szCs w:val="22"/>
        </w:rPr>
        <w:t>I am grateful for the Commission team that led our work at the World Radio Conference in Dubai, just as I am for those who have taken on this duty at conferences in the past.  The demands on their time are extensive, the days they spend far from home are substantial, and the commitment they have to serving the public interest is extraordinary.</w:t>
      </w:r>
    </w:p>
    <w:p w:rsidR="00412FC5" w:rsidP="00B83427" w14:paraId="24D35D71" w14:textId="77777777">
      <w:pPr>
        <w:pStyle w:val="Heading1"/>
        <w:numPr>
          <w:ilvl w:val="0"/>
          <w:numId w:val="0"/>
        </w:numPr>
        <w:ind w:left="720" w:hanging="720"/>
      </w:pPr>
    </w:p>
    <w:p w:rsidR="0030373F" w:rsidP="0030373F" w14:paraId="3C2C6836" w14:textId="77777777">
      <w:pPr>
        <w:pStyle w:val="ParaNum"/>
        <w:numPr>
          <w:ilvl w:val="0"/>
          <w:numId w:val="0"/>
        </w:numPr>
        <w:sectPr>
          <w:pgSz w:w="12240" w:h="15840"/>
          <w:pgMar w:top="1440" w:right="1440" w:bottom="1440" w:left="1440" w:header="720" w:footer="720" w:gutter="0"/>
          <w:cols w:space="720"/>
          <w:docGrid w:linePitch="360"/>
        </w:sectPr>
      </w:pPr>
    </w:p>
    <w:p w:rsidR="0027695E" w:rsidRPr="0006367E" w:rsidP="0027695E" w14:paraId="6E4C4DC7" w14:textId="77777777">
      <w:pPr>
        <w:jc w:val="center"/>
        <w:rPr>
          <w:b/>
          <w:bCs/>
          <w:szCs w:val="22"/>
        </w:rPr>
      </w:pPr>
      <w:r w:rsidRPr="0006367E">
        <w:rPr>
          <w:b/>
          <w:bCs/>
          <w:szCs w:val="22"/>
        </w:rPr>
        <w:t>DISSENTING STATEMENT OF</w:t>
      </w:r>
    </w:p>
    <w:p w:rsidR="0027695E" w:rsidRPr="0006367E" w:rsidP="0027695E" w14:paraId="0050C13C" w14:textId="77777777">
      <w:pPr>
        <w:jc w:val="center"/>
        <w:rPr>
          <w:b/>
          <w:bCs/>
          <w:szCs w:val="22"/>
        </w:rPr>
      </w:pPr>
      <w:r w:rsidRPr="0006367E">
        <w:rPr>
          <w:b/>
          <w:bCs/>
          <w:szCs w:val="22"/>
        </w:rPr>
        <w:t>COMMISSIONER BRENDAN CARR</w:t>
      </w:r>
    </w:p>
    <w:p w:rsidR="0027695E" w:rsidRPr="0006367E" w:rsidP="0027695E" w14:paraId="3511CAAD" w14:textId="77777777">
      <w:pPr>
        <w:jc w:val="center"/>
        <w:rPr>
          <w:szCs w:val="22"/>
        </w:rPr>
      </w:pPr>
    </w:p>
    <w:p w:rsidR="00CA4EBB" w:rsidRPr="005A355C" w:rsidP="00CA4EBB" w14:paraId="4D87F37A" w14:textId="17941B16">
      <w:pPr>
        <w:ind w:left="720" w:hanging="720"/>
        <w:rPr>
          <w:bCs/>
        </w:rPr>
      </w:pPr>
      <w:r w:rsidRPr="005A355C">
        <w:rPr>
          <w:iCs/>
        </w:rPr>
        <w:t>Re:</w:t>
      </w:r>
      <w:r w:rsidRPr="005A355C">
        <w:t xml:space="preserve"> </w:t>
      </w:r>
      <w:r w:rsidRPr="005A355C">
        <w:tab/>
      </w:r>
      <w:r w:rsidRPr="005A355C">
        <w:rPr>
          <w:bCs/>
          <w:i/>
          <w:iCs/>
        </w:rPr>
        <w:t>Modifying Emissions Limits for the 24.25-24.45 GHz and 24.75-25.25 GHz Bands</w:t>
      </w:r>
      <w:r w:rsidRPr="005A355C">
        <w:rPr>
          <w:bCs/>
        </w:rPr>
        <w:t xml:space="preserve">; ET Docket No. 21-186, Notice of Proposed Rulemaking </w:t>
      </w:r>
      <w:r w:rsidRPr="005A355C" w:rsidR="009F0D26">
        <w:rPr>
          <w:bCs/>
        </w:rPr>
        <w:t xml:space="preserve">(December </w:t>
      </w:r>
      <w:r w:rsidR="009F0D26">
        <w:rPr>
          <w:bCs/>
        </w:rPr>
        <w:t>22</w:t>
      </w:r>
      <w:r w:rsidRPr="005A355C" w:rsidR="009F0D26">
        <w:rPr>
          <w:bCs/>
        </w:rPr>
        <w:t>, 2023)</w:t>
      </w:r>
    </w:p>
    <w:p w:rsidR="0027695E" w:rsidRPr="0006367E" w:rsidP="0027695E" w14:paraId="3D1F6378" w14:textId="77777777">
      <w:pPr>
        <w:rPr>
          <w:szCs w:val="22"/>
        </w:rPr>
      </w:pPr>
    </w:p>
    <w:p w:rsidR="0027695E" w:rsidRPr="0006367E" w:rsidP="007E1663" w14:paraId="1042E925" w14:textId="72368D49">
      <w:pPr>
        <w:pStyle w:val="NormalWeb"/>
        <w:spacing w:before="0" w:beforeAutospacing="0" w:after="120" w:afterAutospacing="0"/>
        <w:ind w:firstLine="720"/>
        <w:rPr>
          <w:sz w:val="22"/>
          <w:szCs w:val="22"/>
        </w:rPr>
      </w:pPr>
      <w:r w:rsidRPr="0006367E">
        <w:rPr>
          <w:sz w:val="22"/>
          <w:szCs w:val="22"/>
        </w:rPr>
        <w:t>Backwards.  When it comes to America’s leadership in wireless, the Biden Administration is moving backwards.</w:t>
      </w:r>
    </w:p>
    <w:p w:rsidR="0027695E" w:rsidRPr="0006367E" w:rsidP="007E1663" w14:paraId="29476C63" w14:textId="31D723BB">
      <w:pPr>
        <w:pStyle w:val="NormalWeb"/>
        <w:spacing w:before="0" w:beforeAutospacing="0" w:after="120" w:afterAutospacing="0"/>
        <w:ind w:firstLine="720"/>
        <w:rPr>
          <w:sz w:val="22"/>
          <w:szCs w:val="22"/>
        </w:rPr>
      </w:pPr>
      <w:r w:rsidRPr="0006367E">
        <w:rPr>
          <w:sz w:val="22"/>
          <w:szCs w:val="22"/>
        </w:rPr>
        <w:t xml:space="preserve">Today’s Notice of Proposed Rulemaking is just one example.  In it, the FCC seeks comment on the Biden Administration’s request that the agency impose new restrictions on 24 GHz spectrum that licensees bought and paid for all the way back in 2019.  There is no apparent reason for this U-turn.  Indeed, while the Notice discusses several potential rule changes that may be necessary for purposes of conforming our rules with the results of the 2019 World Radio Conference (WRC-19), these particular Biden Administration requests are asks that were either rejected or never even studied at WRC-19.  Thus, WRC-19 provides no basis or justification for turning heel. </w:t>
      </w:r>
    </w:p>
    <w:p w:rsidR="0027695E" w:rsidRPr="0006367E" w:rsidP="007E1663" w14:paraId="4615A5C0" w14:textId="25827A4D">
      <w:pPr>
        <w:pStyle w:val="NormalWeb"/>
        <w:spacing w:before="0" w:beforeAutospacing="0" w:after="120" w:afterAutospacing="0"/>
        <w:ind w:firstLine="720"/>
        <w:rPr>
          <w:sz w:val="22"/>
          <w:szCs w:val="22"/>
        </w:rPr>
      </w:pPr>
      <w:r w:rsidRPr="0006367E">
        <w:rPr>
          <w:sz w:val="22"/>
          <w:szCs w:val="22"/>
        </w:rPr>
        <w:t xml:space="preserve">What’s more, changing the rules of the game </w:t>
      </w:r>
      <w:r w:rsidRPr="007E1663">
        <w:rPr>
          <w:sz w:val="22"/>
          <w:szCs w:val="22"/>
        </w:rPr>
        <w:t>after</w:t>
      </w:r>
      <w:r w:rsidRPr="0006367E">
        <w:rPr>
          <w:sz w:val="22"/>
          <w:szCs w:val="22"/>
        </w:rPr>
        <w:t xml:space="preserve"> an auction has already closed—years after in this case—is bad policy.  It undermines the reasonable, investment-backed expectations held by licensees and potential licensees alike.  And it injects uncertainty into the FCC’s spectrum auction process, which makes it harder to attract capital as well as innovators.  The FCC should be leading the world with clear, predictable, and reliable spectrum auctions.  </w:t>
      </w:r>
    </w:p>
    <w:p w:rsidR="0027695E" w:rsidRPr="0006367E" w:rsidP="007E1663" w14:paraId="4657E3BF" w14:textId="199AACBF">
      <w:pPr>
        <w:pStyle w:val="NormalWeb"/>
        <w:spacing w:before="0" w:beforeAutospacing="0" w:after="120" w:afterAutospacing="0"/>
        <w:ind w:firstLine="720"/>
        <w:rPr>
          <w:sz w:val="22"/>
          <w:szCs w:val="22"/>
        </w:rPr>
      </w:pPr>
      <w:r w:rsidRPr="0006367E">
        <w:rPr>
          <w:sz w:val="22"/>
          <w:szCs w:val="22"/>
        </w:rPr>
        <w:t xml:space="preserve">This decision is also disappointing because it comes at a point in time when the U.S. needs to start generating forward movement on spectrum.  Just last month, after three years of study, the Biden Administration released its much-anticipated National Spectrum Strategy.  Except, President Biden’s spectrum plan was missing one key ingredient: spectrum.  Indeed, the plan commits to freeing up exactly zero MHz of spectrum.  Instead, the Administration will continue to study the issue for years to come.  </w:t>
      </w:r>
    </w:p>
    <w:p w:rsidR="0027695E" w:rsidRPr="0006367E" w:rsidP="007E1663" w14:paraId="1E2196CF" w14:textId="5DE1EDE2">
      <w:pPr>
        <w:pStyle w:val="NormalWeb"/>
        <w:spacing w:before="0" w:beforeAutospacing="0" w:after="120" w:afterAutospacing="0"/>
        <w:ind w:firstLine="720"/>
        <w:rPr>
          <w:sz w:val="22"/>
          <w:szCs w:val="22"/>
        </w:rPr>
      </w:pPr>
      <w:r w:rsidRPr="0006367E">
        <w:rPr>
          <w:sz w:val="22"/>
          <w:szCs w:val="22"/>
        </w:rPr>
        <w:t xml:space="preserve">The Biden Administration’s spectrum-less spectrum plan is a big miss because the rest of the world is not standing still.  The U.S. now ranks 13th out of 15 leading markets when it comes to the availability of licensed mid-band spectrum.  The U.S. now trails its peers by an average of almost 400 MHz in licensed mid-band spectrum.  And the U.S. is now nearly 700 MHz behind China, according to some measures.  </w:t>
      </w:r>
    </w:p>
    <w:p w:rsidR="0027695E" w:rsidRPr="0006367E" w:rsidP="007E1663" w14:paraId="3CFD7BC1" w14:textId="3F6FD06B">
      <w:pPr>
        <w:pStyle w:val="NormalWeb"/>
        <w:spacing w:before="0" w:beforeAutospacing="0" w:after="120" w:afterAutospacing="0"/>
        <w:ind w:firstLine="720"/>
        <w:rPr>
          <w:sz w:val="22"/>
          <w:szCs w:val="22"/>
        </w:rPr>
      </w:pPr>
      <w:r w:rsidRPr="0006367E">
        <w:rPr>
          <w:sz w:val="22"/>
          <w:szCs w:val="22"/>
        </w:rPr>
        <w:t>This marks a complete 180 from just a few short years ago.  During the last Administration, the federal government worked to free up an unprecedented amount of spectrum for 5G and other next-generation wireless services.  All told, our efforts freed up about 6,000 MHz of spectrum for licensed 5G services in addition to thousands of MHz of spectrum for unlicensed use.  The Biden Administration</w:t>
      </w:r>
      <w:r w:rsidR="007E1663">
        <w:rPr>
          <w:sz w:val="22"/>
          <w:szCs w:val="22"/>
        </w:rPr>
        <w:t xml:space="preserve"> </w:t>
      </w:r>
      <w:r w:rsidRPr="0006367E">
        <w:rPr>
          <w:sz w:val="22"/>
          <w:szCs w:val="22"/>
        </w:rPr>
        <w:t xml:space="preserve">only plans to study less than 2,800 </w:t>
      </w:r>
      <w:r w:rsidRPr="0006367E">
        <w:rPr>
          <w:sz w:val="22"/>
          <w:szCs w:val="22"/>
        </w:rPr>
        <w:t>MHz.</w:t>
      </w:r>
      <w:r w:rsidRPr="0006367E">
        <w:rPr>
          <w:sz w:val="22"/>
          <w:szCs w:val="22"/>
        </w:rPr>
        <w:t xml:space="preserve">  In other words, the FCC moved more spectrum into the commercial marketplace for consumer use from 2017 through 2020 than the Biden Administration plans to study—and it is not even close.</w:t>
      </w:r>
    </w:p>
    <w:p w:rsidR="0027695E" w:rsidRPr="0006367E" w:rsidP="007E1663" w14:paraId="7645BF45" w14:textId="4E27DEE7">
      <w:pPr>
        <w:pStyle w:val="NormalWeb"/>
        <w:spacing w:before="0" w:beforeAutospacing="0" w:after="120" w:afterAutospacing="0"/>
        <w:ind w:firstLine="720"/>
        <w:rPr>
          <w:sz w:val="22"/>
          <w:szCs w:val="22"/>
        </w:rPr>
      </w:pPr>
      <w:r w:rsidRPr="0006367E">
        <w:rPr>
          <w:sz w:val="22"/>
          <w:szCs w:val="22"/>
        </w:rPr>
        <w:t xml:space="preserve">The U.S. needs to right the ship.  And it can start with (hopefully) rejecting the Biden Administration’s misguided request to claw back spectrum rights that the FCC auctioned off in 2019.  And it can accelerate with the Biden Administration putting forward an actual spectrum plan that will improve connectivity and capacity for Americans. </w:t>
      </w:r>
    </w:p>
    <w:p w:rsidR="0027695E" w:rsidRPr="0006367E" w:rsidP="007E1663" w14:paraId="6CC7AF8D" w14:textId="7325FEB2">
      <w:pPr>
        <w:pStyle w:val="NormalWeb"/>
        <w:spacing w:before="0" w:beforeAutospacing="0" w:after="120" w:afterAutospacing="0"/>
        <w:ind w:firstLine="720"/>
        <w:rPr>
          <w:sz w:val="22"/>
          <w:szCs w:val="22"/>
        </w:rPr>
      </w:pPr>
      <w:r w:rsidRPr="0006367E">
        <w:rPr>
          <w:sz w:val="22"/>
          <w:szCs w:val="22"/>
        </w:rPr>
        <w:t>For my part, I cannot support this look backwards.  Accordingly, I dissent.</w:t>
      </w:r>
    </w:p>
    <w:p w:rsidR="0027695E" w:rsidRPr="0006367E" w:rsidP="0030373F" w14:paraId="48ABBF73" w14:textId="77777777">
      <w:pPr>
        <w:pStyle w:val="ParaNum"/>
        <w:numPr>
          <w:ilvl w:val="0"/>
          <w:numId w:val="0"/>
        </w:numPr>
        <w:rPr>
          <w:szCs w:val="22"/>
        </w:rPr>
        <w:sectPr>
          <w:pgSz w:w="12240" w:h="15840"/>
          <w:pgMar w:top="1440" w:right="1440" w:bottom="1440" w:left="1440" w:header="720" w:footer="720" w:gutter="0"/>
          <w:cols w:space="720"/>
          <w:docGrid w:linePitch="360"/>
        </w:sectPr>
      </w:pPr>
    </w:p>
    <w:p w:rsidR="00D82D1E" w:rsidP="0006367E" w14:paraId="5C2C2C46" w14:textId="77777777">
      <w:pPr>
        <w:jc w:val="center"/>
        <w:rPr>
          <w:b/>
          <w:bCs/>
          <w:szCs w:val="22"/>
        </w:rPr>
      </w:pPr>
      <w:r>
        <w:rPr>
          <w:b/>
          <w:bCs/>
          <w:szCs w:val="22"/>
        </w:rPr>
        <w:t xml:space="preserve">DISSENTING </w:t>
      </w:r>
      <w:r w:rsidRPr="0006367E" w:rsidR="0006367E">
        <w:rPr>
          <w:b/>
          <w:bCs/>
          <w:szCs w:val="22"/>
        </w:rPr>
        <w:t xml:space="preserve">STATEMENT OF </w:t>
      </w:r>
    </w:p>
    <w:p w:rsidR="0006367E" w:rsidRPr="0006367E" w:rsidP="0006367E" w14:paraId="18898669" w14:textId="11233EB7">
      <w:pPr>
        <w:jc w:val="center"/>
        <w:rPr>
          <w:b/>
          <w:bCs/>
          <w:szCs w:val="22"/>
        </w:rPr>
      </w:pPr>
      <w:r w:rsidRPr="0006367E">
        <w:rPr>
          <w:b/>
          <w:bCs/>
          <w:szCs w:val="22"/>
        </w:rPr>
        <w:t>COMMISSIONER NATHAN SIMINGTON</w:t>
      </w:r>
    </w:p>
    <w:p w:rsidR="0006367E" w:rsidRPr="0006367E" w:rsidP="0006367E" w14:paraId="6EF62DA7" w14:textId="77777777">
      <w:pPr>
        <w:jc w:val="center"/>
        <w:rPr>
          <w:szCs w:val="22"/>
        </w:rPr>
      </w:pPr>
    </w:p>
    <w:p w:rsidR="00CA4EBB" w:rsidRPr="005A355C" w:rsidP="00CA4EBB" w14:paraId="2205EF98" w14:textId="5402D518">
      <w:pPr>
        <w:ind w:left="720" w:hanging="720"/>
        <w:rPr>
          <w:bCs/>
        </w:rPr>
      </w:pPr>
      <w:r w:rsidRPr="005A355C">
        <w:rPr>
          <w:iCs/>
        </w:rPr>
        <w:t>Re:</w:t>
      </w:r>
      <w:r w:rsidRPr="005A355C">
        <w:t xml:space="preserve"> </w:t>
      </w:r>
      <w:r w:rsidRPr="005A355C">
        <w:tab/>
      </w:r>
      <w:r w:rsidRPr="005A355C">
        <w:rPr>
          <w:bCs/>
          <w:i/>
          <w:iCs/>
        </w:rPr>
        <w:t>Modifying Emissions Limits for the 24.25-24.45 GHz and 24.75-25.25 GHz Bands</w:t>
      </w:r>
      <w:r w:rsidRPr="005A355C">
        <w:rPr>
          <w:bCs/>
        </w:rPr>
        <w:t>; ET Docket No. 21-186, Notice of Proposed Rulemaking</w:t>
      </w:r>
      <w:r w:rsidR="009F0D26">
        <w:rPr>
          <w:bCs/>
        </w:rPr>
        <w:t xml:space="preserve"> </w:t>
      </w:r>
      <w:r w:rsidRPr="005A355C" w:rsidR="009F0D26">
        <w:rPr>
          <w:bCs/>
        </w:rPr>
        <w:t xml:space="preserve">(December </w:t>
      </w:r>
      <w:r w:rsidR="009F0D26">
        <w:rPr>
          <w:bCs/>
        </w:rPr>
        <w:t>22</w:t>
      </w:r>
      <w:r w:rsidRPr="005A355C" w:rsidR="009F0D26">
        <w:rPr>
          <w:bCs/>
        </w:rPr>
        <w:t>, 2023)</w:t>
      </w:r>
      <w:r w:rsidRPr="005A355C">
        <w:rPr>
          <w:bCs/>
        </w:rPr>
        <w:t xml:space="preserve"> </w:t>
      </w:r>
    </w:p>
    <w:p w:rsidR="0006367E" w:rsidRPr="0006367E" w:rsidP="0006367E" w14:paraId="0C6DB652" w14:textId="77777777">
      <w:pPr>
        <w:rPr>
          <w:szCs w:val="22"/>
        </w:rPr>
      </w:pPr>
    </w:p>
    <w:p w:rsidR="0006367E" w:rsidRPr="0006367E" w:rsidP="007E1663" w14:paraId="33045F58" w14:textId="054C725B">
      <w:pPr>
        <w:pStyle w:val="NormalWeb"/>
        <w:spacing w:before="0" w:beforeAutospacing="0" w:after="120" w:afterAutospacing="0"/>
        <w:ind w:firstLine="720"/>
        <w:rPr>
          <w:sz w:val="22"/>
          <w:szCs w:val="22"/>
        </w:rPr>
      </w:pPr>
      <w:r w:rsidRPr="0006367E">
        <w:rPr>
          <w:sz w:val="22"/>
          <w:szCs w:val="22"/>
        </w:rPr>
        <w:t xml:space="preserve">I respectfully dissent from this notice of proposed rulemaking (NPRM).  As stated in the introductory paragraph, it was intended to “implement certain decisions regarding the 24.25-27.5 GHz band made in the World Radiocommunication Conference held by the International Telecommunication Union (ITU) in 2019 (WRC-19).”  However instead of focusing only on those decisions made at WRC-19, the item unnecessarily delves into seeking comment on after-the-fact proposals about out-of-band emissions that conflict with the notice given to bidders in the 24 GHz auction that the Commission would not adopt limits that are significantly stricter than what was agreed to at WRC-19.  </w:t>
      </w:r>
    </w:p>
    <w:p w:rsidR="0006367E" w:rsidRPr="0006367E" w:rsidP="007E1663" w14:paraId="782D0E07" w14:textId="788B7A84">
      <w:pPr>
        <w:pStyle w:val="NormalWeb"/>
        <w:spacing w:before="0" w:beforeAutospacing="0" w:after="120" w:afterAutospacing="0"/>
        <w:ind w:firstLine="720"/>
        <w:rPr>
          <w:sz w:val="22"/>
          <w:szCs w:val="22"/>
        </w:rPr>
      </w:pPr>
      <w:r w:rsidRPr="0006367E">
        <w:rPr>
          <w:sz w:val="22"/>
          <w:szCs w:val="22"/>
        </w:rPr>
        <w:t xml:space="preserve">The NPRM also seeks comment on applying emissions limits to fixed operations deployed in the band, all the while acknowledging that WRC-19 did not study fixed deployments.  Opening up these issues to question post-auction sets a bad precedent that could upend investments made by the bidders at auction.  It also disrupts the deployment of fixed and mobile services that have been deployed in the band since the conclusion of the auction that may have been based on assumptions that the Commission would adopt emission limits consistent with WRC-19 Resolution 750.  </w:t>
      </w:r>
    </w:p>
    <w:p w:rsidR="005F7EA0" w:rsidP="007E1663" w14:paraId="16505D55" w14:textId="77777777">
      <w:pPr>
        <w:pStyle w:val="NormalWeb"/>
        <w:spacing w:before="0" w:beforeAutospacing="0" w:after="120" w:afterAutospacing="0"/>
        <w:ind w:firstLine="720"/>
        <w:rPr>
          <w:sz w:val="22"/>
          <w:szCs w:val="22"/>
        </w:rPr>
        <w:sectPr>
          <w:pgSz w:w="12240" w:h="15840"/>
          <w:pgMar w:top="1440" w:right="1440" w:bottom="1440" w:left="1440" w:header="720" w:footer="720" w:gutter="0"/>
          <w:cols w:space="720"/>
          <w:docGrid w:linePitch="360"/>
        </w:sectPr>
      </w:pPr>
      <w:r w:rsidRPr="0006367E">
        <w:rPr>
          <w:sz w:val="22"/>
          <w:szCs w:val="22"/>
        </w:rPr>
        <w:t>For these reasons, I respectfully dissent.</w:t>
      </w:r>
    </w:p>
    <w:p w:rsidR="007B183B" w:rsidRPr="007B183B" w:rsidP="007B183B" w14:paraId="7F29411C" w14:textId="77777777">
      <w:pPr>
        <w:jc w:val="center"/>
        <w:rPr>
          <w:b/>
          <w:bCs/>
          <w:caps/>
          <w:szCs w:val="22"/>
        </w:rPr>
      </w:pPr>
      <w:r w:rsidRPr="007B183B">
        <w:rPr>
          <w:b/>
          <w:bCs/>
          <w:caps/>
          <w:szCs w:val="22"/>
        </w:rPr>
        <w:t>Statement of</w:t>
      </w:r>
    </w:p>
    <w:p w:rsidR="007B183B" w:rsidRPr="007B183B" w:rsidP="007B183B" w14:paraId="6CB3C748" w14:textId="77777777">
      <w:pPr>
        <w:jc w:val="center"/>
        <w:rPr>
          <w:b/>
          <w:bCs/>
          <w:szCs w:val="22"/>
        </w:rPr>
      </w:pPr>
      <w:r w:rsidRPr="007B183B">
        <w:rPr>
          <w:rFonts w:eastAsia="Calibri"/>
          <w:b/>
          <w:bCs/>
          <w:szCs w:val="22"/>
        </w:rPr>
        <w:t>COMMISSIONER ANNA M. GOMEZ</w:t>
      </w:r>
    </w:p>
    <w:p w:rsidR="007B183B" w:rsidRPr="007B183B" w:rsidP="007B183B" w14:paraId="47F0F597" w14:textId="77777777">
      <w:pPr>
        <w:jc w:val="center"/>
        <w:rPr>
          <w:b/>
          <w:bCs/>
          <w:caps/>
          <w:szCs w:val="22"/>
        </w:rPr>
      </w:pPr>
    </w:p>
    <w:p w:rsidR="007B183B" w:rsidRPr="007B183B" w:rsidP="007B183B" w14:paraId="020A7302" w14:textId="56F41D61">
      <w:pPr>
        <w:ind w:left="720" w:hanging="720"/>
        <w:rPr>
          <w:bCs/>
          <w:szCs w:val="22"/>
        </w:rPr>
      </w:pPr>
      <w:r w:rsidRPr="007B183B">
        <w:rPr>
          <w:iCs/>
          <w:szCs w:val="22"/>
        </w:rPr>
        <w:t>Re:</w:t>
      </w:r>
      <w:r w:rsidRPr="007B183B">
        <w:rPr>
          <w:szCs w:val="22"/>
        </w:rPr>
        <w:t xml:space="preserve"> </w:t>
      </w:r>
      <w:r w:rsidRPr="007B183B">
        <w:rPr>
          <w:szCs w:val="22"/>
        </w:rPr>
        <w:tab/>
      </w:r>
      <w:r w:rsidRPr="007B183B">
        <w:rPr>
          <w:bCs/>
          <w:i/>
          <w:iCs/>
          <w:szCs w:val="22"/>
        </w:rPr>
        <w:t>Modifying Emissions Limits for the 24.25-24.45 GHz and 24.75-25.25 GHz Bands</w:t>
      </w:r>
      <w:r w:rsidRPr="007B183B">
        <w:rPr>
          <w:bCs/>
          <w:szCs w:val="22"/>
        </w:rPr>
        <w:t>; ET Docket No. 21-186, Notice of Proposed Rulemaking (December 2</w:t>
      </w:r>
      <w:r w:rsidR="00D35646">
        <w:rPr>
          <w:bCs/>
          <w:szCs w:val="22"/>
        </w:rPr>
        <w:t>2</w:t>
      </w:r>
      <w:r w:rsidRPr="007B183B">
        <w:rPr>
          <w:bCs/>
          <w:szCs w:val="22"/>
        </w:rPr>
        <w:t>, 2023)</w:t>
      </w:r>
    </w:p>
    <w:p w:rsidR="007B183B" w:rsidRPr="007B183B" w:rsidP="007B183B" w14:paraId="65EABC56" w14:textId="77777777">
      <w:pPr>
        <w:rPr>
          <w:szCs w:val="22"/>
        </w:rPr>
      </w:pPr>
    </w:p>
    <w:p w:rsidR="00BC7CAF" w:rsidRPr="007B183B" w:rsidP="00BC7CAF" w14:paraId="70DBD705" w14:textId="77777777">
      <w:pPr>
        <w:pStyle w:val="NormalWeb"/>
        <w:spacing w:before="0" w:beforeAutospacing="0" w:after="120" w:afterAutospacing="0"/>
        <w:ind w:firstLine="720"/>
        <w:rPr>
          <w:sz w:val="22"/>
          <w:szCs w:val="22"/>
        </w:rPr>
      </w:pPr>
      <w:r w:rsidRPr="007B183B">
        <w:rPr>
          <w:sz w:val="22"/>
          <w:szCs w:val="22"/>
        </w:rPr>
        <w:t xml:space="preserve"> </w:t>
      </w:r>
      <w:r w:rsidRPr="007B183B">
        <w:rPr>
          <w:sz w:val="22"/>
          <w:szCs w:val="22"/>
        </w:rPr>
        <w:t xml:space="preserve">Every decision made at a World Radiocommunication Conference (WRC) represents years of collaboration and hard work between federal agencies, the telecommunications industry, and our regional and international partners. </w:t>
      </w:r>
    </w:p>
    <w:p w:rsidR="00BC7CAF" w:rsidRPr="007B183B" w:rsidP="00BC7CAF" w14:paraId="3CD4DC5E" w14:textId="77777777">
      <w:pPr>
        <w:pStyle w:val="NormalWeb"/>
        <w:spacing w:before="0" w:beforeAutospacing="0" w:after="120" w:afterAutospacing="0"/>
        <w:ind w:firstLine="720"/>
        <w:rPr>
          <w:sz w:val="22"/>
          <w:szCs w:val="22"/>
        </w:rPr>
      </w:pPr>
      <w:r w:rsidRPr="007B183B">
        <w:rPr>
          <w:sz w:val="22"/>
          <w:szCs w:val="22"/>
        </w:rPr>
        <w:t xml:space="preserve">Today, we propose to harmonize our domestic 24 GHz rules with the unwanted emission limits in Resolution 750 adopted at WRC-19, four years ago.  This step furthers our domestic and international goals – continued wireless innovation and protection of critical services that creates economic prosperity for American consumers and businesses, and global collaborations that reflect our leadership internationally.   </w:t>
      </w:r>
    </w:p>
    <w:p w:rsidR="00BC7CAF" w:rsidRPr="007B183B" w:rsidP="00BC7CAF" w14:paraId="4D16DE3C" w14:textId="77777777">
      <w:pPr>
        <w:pStyle w:val="NormalWeb"/>
        <w:spacing w:before="0" w:beforeAutospacing="0" w:after="120" w:afterAutospacing="0"/>
        <w:ind w:firstLine="720"/>
        <w:rPr>
          <w:sz w:val="22"/>
          <w:szCs w:val="22"/>
        </w:rPr>
      </w:pPr>
      <w:r w:rsidRPr="007B183B">
        <w:rPr>
          <w:sz w:val="22"/>
          <w:szCs w:val="22"/>
        </w:rPr>
        <w:t xml:space="preserve">I look forward to working with all stakeholders to make the harmonization process a success. </w:t>
      </w:r>
    </w:p>
    <w:p w:rsidR="00BC7CAF" w:rsidRPr="00C62CF0" w:rsidP="00BC7CAF" w14:paraId="015886B5" w14:textId="77777777">
      <w:pPr>
        <w:ind w:firstLine="720"/>
        <w:rPr>
          <w:snapToGrid/>
          <w:kern w:val="0"/>
          <w:szCs w:val="22"/>
        </w:rPr>
      </w:pPr>
      <w:r w:rsidRPr="00C62CF0">
        <w:rPr>
          <w:snapToGrid/>
          <w:kern w:val="0"/>
          <w:szCs w:val="22"/>
        </w:rPr>
        <w:t xml:space="preserve">Thank you to the Federal Communications Commission team that led these efforts in 2019 and to the Wireless Telecommunications Bureau for taking on the next stage of the work.  </w:t>
      </w:r>
    </w:p>
    <w:p w:rsidR="0030373F" w:rsidRPr="0030373F" w:rsidP="00BC7CAF" w14:paraId="42226293" w14:textId="3C34783D">
      <w:pPr>
        <w:pStyle w:val="NormalWeb"/>
        <w:spacing w:before="0" w:beforeAutospacing="0" w:after="120" w:afterAutospacing="0"/>
        <w:ind w:firstLine="720"/>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14:paraId="0FE72E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283B02" w14:paraId="32F7F7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14:paraId="3578D505" w14:textId="5955061C">
    <w:pPr>
      <w:pStyle w:val="Footer"/>
      <w:framePr w:wrap="around" w:vAnchor="text" w:hAnchor="margin" w:xAlign="center" w:y="1"/>
    </w:pPr>
    <w:r>
      <w:fldChar w:fldCharType="begin"/>
    </w:r>
    <w:r>
      <w:instrText xml:space="preserve">PAGE  </w:instrText>
    </w:r>
    <w:r>
      <w:fldChar w:fldCharType="separate"/>
    </w:r>
    <w:r>
      <w:rPr>
        <w:noProof/>
      </w:rPr>
      <w:t>11</w:t>
    </w:r>
    <w:r>
      <w:fldChar w:fldCharType="end"/>
    </w:r>
  </w:p>
  <w:p w:rsidR="00283B02" w:rsidP="003966B2" w14:paraId="7790FAF4" w14:textId="77777777">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rsidP="0055614C" w14:paraId="6549B1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283B02" w14:paraId="5718CBA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rsidP="002F648B" w14:paraId="570433F6" w14:textId="1C9A9E0E">
    <w:pPr>
      <w:pStyle w:val="Footer"/>
      <w:jc w:val="center"/>
    </w:pPr>
    <w:r>
      <w:fldChar w:fldCharType="begin"/>
    </w:r>
    <w:r>
      <w:instrText xml:space="preserve"> PAGE   \* MERGEFORMAT </w:instrText>
    </w:r>
    <w:r>
      <w:fldChar w:fldCharType="separate"/>
    </w:r>
    <w:r>
      <w:rPr>
        <w:noProof/>
      </w:rPr>
      <w:t>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14:paraId="62BE9C3D"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rsidP="002F648B" w14:paraId="03981DB8" w14:textId="31DA92E6">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253" w14:paraId="049699B8" w14:textId="77777777">
      <w:r>
        <w:separator/>
      </w:r>
    </w:p>
  </w:footnote>
  <w:footnote w:type="continuationSeparator" w:id="1">
    <w:p w:rsidR="00715253" w:rsidP="00C721AC" w14:paraId="642660E4" w14:textId="77777777">
      <w:pPr>
        <w:spacing w:before="120"/>
        <w:rPr>
          <w:sz w:val="20"/>
        </w:rPr>
      </w:pPr>
      <w:r>
        <w:rPr>
          <w:sz w:val="20"/>
        </w:rPr>
        <w:t xml:space="preserve">(Continued from previous page)  </w:t>
      </w:r>
      <w:r>
        <w:rPr>
          <w:sz w:val="20"/>
        </w:rPr>
        <w:separator/>
      </w:r>
    </w:p>
  </w:footnote>
  <w:footnote w:type="continuationNotice" w:id="2">
    <w:p w:rsidR="00715253" w:rsidP="00C721AC" w14:paraId="0D0DC336" w14:textId="77777777">
      <w:pPr>
        <w:jc w:val="right"/>
        <w:rPr>
          <w:sz w:val="20"/>
        </w:rPr>
      </w:pPr>
      <w:r>
        <w:rPr>
          <w:sz w:val="20"/>
        </w:rPr>
        <w:t>(continued….)</w:t>
      </w:r>
    </w:p>
  </w:footnote>
  <w:footnote w:id="3">
    <w:p w:rsidR="00283B02" w:rsidRPr="005D46C5" w:rsidP="00B83427" w14:paraId="7A0DBAAB" w14:textId="396486D9">
      <w:pPr>
        <w:pStyle w:val="FootnoteText"/>
      </w:pPr>
      <w:r>
        <w:rPr>
          <w:rStyle w:val="FootnoteReference"/>
        </w:rPr>
        <w:footnoteRef/>
      </w:r>
      <w:r>
        <w:t xml:space="preserve"> </w:t>
      </w:r>
      <w:r w:rsidRPr="005D46C5">
        <w:t>47 CFR § 2.106</w:t>
      </w:r>
      <w:r w:rsidR="00E63F36">
        <w:t>(a)</w:t>
      </w:r>
      <w:r w:rsidR="007D126F">
        <w:t>;</w:t>
      </w:r>
      <w:r w:rsidR="00D3519C">
        <w:rPr>
          <w:szCs w:val="22"/>
        </w:rPr>
        <w:t xml:space="preserve"> </w:t>
      </w:r>
      <w:r w:rsidR="007D126F">
        <w:rPr>
          <w:i/>
          <w:iCs/>
          <w:szCs w:val="22"/>
        </w:rPr>
        <w:t>s</w:t>
      </w:r>
      <w:r>
        <w:rPr>
          <w:i/>
          <w:iCs/>
          <w:szCs w:val="22"/>
        </w:rPr>
        <w:t xml:space="preserve">ee also </w:t>
      </w:r>
      <w:r>
        <w:rPr>
          <w:szCs w:val="22"/>
        </w:rPr>
        <w:t>CORF Comments at 9</w:t>
      </w:r>
      <w:r w:rsidR="00D9504E">
        <w:rPr>
          <w:szCs w:val="22"/>
        </w:rPr>
        <w:t xml:space="preserve"> (</w:t>
      </w:r>
      <w:r w:rsidR="00E1369C">
        <w:rPr>
          <w:szCs w:val="22"/>
        </w:rPr>
        <w:t xml:space="preserve">noting that EESS and RAS </w:t>
      </w:r>
      <w:r w:rsidR="0076270D">
        <w:rPr>
          <w:szCs w:val="22"/>
        </w:rPr>
        <w:t>have co-primary allocations at 23.6-24.0 GHz)</w:t>
      </w:r>
      <w:r>
        <w:rPr>
          <w:szCs w:val="22"/>
        </w:rPr>
        <w:t>.</w:t>
      </w:r>
    </w:p>
  </w:footnote>
  <w:footnote w:id="4">
    <w:p w:rsidR="00283B02" w:rsidRPr="005D46C5" w:rsidP="00BC40C3" w14:paraId="7BBF3C36" w14:textId="32CF96FB">
      <w:pPr>
        <w:spacing w:after="120"/>
      </w:pPr>
      <w:r w:rsidRPr="005D46C5">
        <w:rPr>
          <w:rStyle w:val="FootnoteReference"/>
        </w:rPr>
        <w:footnoteRef/>
      </w:r>
      <w:r w:rsidRPr="005D46C5">
        <w:t xml:space="preserve"> </w:t>
      </w:r>
      <w:r w:rsidRPr="00BC40C3" w:rsidR="00D84674">
        <w:rPr>
          <w:sz w:val="20"/>
        </w:rPr>
        <w:t>ITU Radiocommunication Bureau,</w:t>
      </w:r>
      <w:r w:rsidRPr="009B54A2" w:rsidR="00D84674">
        <w:rPr>
          <w:sz w:val="20"/>
        </w:rPr>
        <w:t xml:space="preserve"> </w:t>
      </w:r>
      <w:r w:rsidRPr="009B54A2">
        <w:rPr>
          <w:sz w:val="20"/>
        </w:rPr>
        <w:t>Handbook on Use of Radio Spectrum for Meteorology: Weather, Water and Climate Monitoring and Prediction</w:t>
      </w:r>
      <w:r w:rsidRPr="00BC40C3">
        <w:rPr>
          <w:sz w:val="20"/>
        </w:rPr>
        <w:t xml:space="preserve"> 75, 78 (2017</w:t>
      </w:r>
      <w:r w:rsidR="00045B80">
        <w:rPr>
          <w:sz w:val="20"/>
        </w:rPr>
        <w:t xml:space="preserve"> ed.</w:t>
      </w:r>
      <w:r w:rsidRPr="00BC40C3">
        <w:rPr>
          <w:sz w:val="20"/>
        </w:rPr>
        <w:t>)</w:t>
      </w:r>
      <w:r w:rsidR="000B092D">
        <w:rPr>
          <w:sz w:val="20"/>
        </w:rPr>
        <w:t>,</w:t>
      </w:r>
      <w:r w:rsidRPr="00BC40C3">
        <w:rPr>
          <w:sz w:val="20"/>
        </w:rPr>
        <w:t xml:space="preserve"> </w:t>
      </w:r>
      <w:hyperlink r:id="rId1" w:history="1">
        <w:r w:rsidRPr="00BC40C3">
          <w:rPr>
            <w:rStyle w:val="Hyperlink"/>
            <w:sz w:val="20"/>
          </w:rPr>
          <w:t>https://library.wmo.int/doc_num.php?explnum_id=3793</w:t>
        </w:r>
      </w:hyperlink>
      <w:r w:rsidRPr="00BC40C3">
        <w:rPr>
          <w:sz w:val="20"/>
        </w:rPr>
        <w:t xml:space="preserve">; </w:t>
      </w:r>
      <w:r w:rsidRPr="00BC40C3">
        <w:rPr>
          <w:i/>
          <w:iCs/>
          <w:sz w:val="20"/>
        </w:rPr>
        <w:t>see also</w:t>
      </w:r>
      <w:r w:rsidRPr="00BC40C3">
        <w:rPr>
          <w:sz w:val="20"/>
        </w:rPr>
        <w:t xml:space="preserve"> NTIA Comments at 3-4</w:t>
      </w:r>
      <w:r w:rsidR="00D1597C">
        <w:rPr>
          <w:sz w:val="20"/>
        </w:rPr>
        <w:t>;</w:t>
      </w:r>
      <w:r w:rsidRPr="00BC40C3">
        <w:rPr>
          <w:sz w:val="20"/>
        </w:rPr>
        <w:t xml:space="preserve"> CORF Comments at 4-5 (describing how observations in the 23.6-24 GHz band are critical to accurately measuring atmospheric humidity over oceans and water vapor in the lowest one kilometer in the atmosphere, which are important inputs to developing accurate weather forecasts).  CORF notes that accurate weather forecasting is critical for safety of life and can reduce the costs of a natural </w:t>
      </w:r>
      <w:r w:rsidRPr="00FC28D1">
        <w:rPr>
          <w:sz w:val="20"/>
        </w:rPr>
        <w:t xml:space="preserve">disaster.  </w:t>
      </w:r>
      <w:r w:rsidRPr="00FC28D1">
        <w:rPr>
          <w:i/>
          <w:iCs/>
          <w:sz w:val="20"/>
        </w:rPr>
        <w:t>Id</w:t>
      </w:r>
      <w:r w:rsidRPr="00FC28D1">
        <w:rPr>
          <w:sz w:val="20"/>
        </w:rPr>
        <w:t>.</w:t>
      </w:r>
      <w:r w:rsidRPr="009B54A2">
        <w:rPr>
          <w:sz w:val="20"/>
        </w:rPr>
        <w:t xml:space="preserve"> at 5.</w:t>
      </w:r>
    </w:p>
  </w:footnote>
  <w:footnote w:id="5">
    <w:p w:rsidR="00283B02" w:rsidRPr="005D46C5" w:rsidP="00B83427" w14:paraId="7275DAD3" w14:textId="77777777">
      <w:pPr>
        <w:pStyle w:val="FootnoteText"/>
      </w:pPr>
      <w:r w:rsidRPr="005D46C5">
        <w:rPr>
          <w:rStyle w:val="FootnoteReference"/>
        </w:rPr>
        <w:footnoteRef/>
      </w:r>
      <w:r w:rsidRPr="005D46C5">
        <w:t xml:space="preserve"> NTIA</w:t>
      </w:r>
      <w:r>
        <w:t xml:space="preserve"> Comments at </w:t>
      </w:r>
      <w:r w:rsidRPr="005D46C5">
        <w:t>4.</w:t>
      </w:r>
    </w:p>
  </w:footnote>
  <w:footnote w:id="6">
    <w:p w:rsidR="00283B02" w:rsidRPr="005D46C5" w:rsidP="00B83427" w14:paraId="2E58D08E" w14:textId="60DFE79C">
      <w:pPr>
        <w:pStyle w:val="FootnoteText"/>
      </w:pPr>
      <w:r w:rsidRPr="005D46C5">
        <w:rPr>
          <w:rStyle w:val="FootnoteReference"/>
        </w:rPr>
        <w:footnoteRef/>
      </w:r>
      <w:r w:rsidRPr="005D46C5">
        <w:t xml:space="preserve"> </w:t>
      </w:r>
      <w:r>
        <w:rPr>
          <w:i/>
          <w:iCs/>
        </w:rPr>
        <w:t xml:space="preserve">See </w:t>
      </w:r>
      <w:r w:rsidRPr="005D46C5">
        <w:t>NTIA</w:t>
      </w:r>
      <w:r>
        <w:t xml:space="preserve"> Comments at </w:t>
      </w:r>
      <w:r w:rsidRPr="005D46C5">
        <w:t xml:space="preserve">3-4; </w:t>
      </w:r>
      <w:r w:rsidR="00D41A68">
        <w:rPr>
          <w:i/>
          <w:iCs/>
        </w:rPr>
        <w:t xml:space="preserve">see also </w:t>
      </w:r>
      <w:r w:rsidRPr="005D46C5">
        <w:t>CORF</w:t>
      </w:r>
      <w:r>
        <w:t xml:space="preserve"> Comments at </w:t>
      </w:r>
      <w:r w:rsidRPr="005D46C5">
        <w:t>3-4</w:t>
      </w:r>
      <w:r w:rsidR="00B23658">
        <w:t xml:space="preserve"> (describing specifics of how interference in the 23.6–24 GHz band affects the overall observing system)</w:t>
      </w:r>
      <w:r>
        <w:t>.</w:t>
      </w:r>
    </w:p>
  </w:footnote>
  <w:footnote w:id="7">
    <w:p w:rsidR="00283B02" w:rsidP="00B83427" w14:paraId="2045B3D3" w14:textId="08C53001">
      <w:pPr>
        <w:spacing w:after="120"/>
        <w:rPr>
          <w:sz w:val="20"/>
        </w:rPr>
      </w:pPr>
      <w:r>
        <w:rPr>
          <w:rStyle w:val="FootnoteReference"/>
        </w:rPr>
        <w:footnoteRef/>
      </w:r>
      <w:r>
        <w:rPr>
          <w:sz w:val="20"/>
        </w:rPr>
        <w:t xml:space="preserve"> </w:t>
      </w:r>
      <w:r>
        <w:rPr>
          <w:i/>
          <w:sz w:val="20"/>
        </w:rPr>
        <w:t xml:space="preserve">See </w:t>
      </w:r>
      <w:r w:rsidRPr="0059382D">
        <w:rPr>
          <w:i/>
          <w:iCs/>
          <w:sz w:val="20"/>
        </w:rPr>
        <w:t>Amendment of the Commission’s Rules to Relocate the Digital Electronic Message Service from the 18 GHz Band to the 24 GHz Band and To Allocate the 24 GHz Band for Fixed Services</w:t>
      </w:r>
      <w:r>
        <w:rPr>
          <w:sz w:val="20"/>
        </w:rPr>
        <w:t xml:space="preserve">, </w:t>
      </w:r>
      <w:r w:rsidR="00A809B5">
        <w:rPr>
          <w:sz w:val="20"/>
        </w:rPr>
        <w:t xml:space="preserve">ET Docket No. 97-99, </w:t>
      </w:r>
      <w:r w:rsidRPr="0059382D">
        <w:rPr>
          <w:iCs/>
          <w:sz w:val="20"/>
        </w:rPr>
        <w:t>Order</w:t>
      </w:r>
      <w:r>
        <w:rPr>
          <w:sz w:val="20"/>
        </w:rPr>
        <w:t>,</w:t>
      </w:r>
      <w:r>
        <w:rPr>
          <w:i/>
          <w:sz w:val="20"/>
        </w:rPr>
        <w:t xml:space="preserve"> </w:t>
      </w:r>
      <w:r>
        <w:rPr>
          <w:sz w:val="20"/>
        </w:rPr>
        <w:t xml:space="preserve">12 FCC Rcd 3471 (1997) (reallocating DEMS from the 18 GHz band to the 24 GHz Band), </w:t>
      </w:r>
      <w:r>
        <w:rPr>
          <w:i/>
          <w:sz w:val="20"/>
        </w:rPr>
        <w:t>reconsideration denied</w:t>
      </w:r>
      <w:r>
        <w:rPr>
          <w:sz w:val="20"/>
        </w:rPr>
        <w:t xml:space="preserve">, </w:t>
      </w:r>
      <w:r w:rsidRPr="00523B7F">
        <w:rPr>
          <w:iCs/>
          <w:sz w:val="20"/>
        </w:rPr>
        <w:t>Memorandum Opinion and Order</w:t>
      </w:r>
      <w:r>
        <w:rPr>
          <w:sz w:val="20"/>
        </w:rPr>
        <w:t>,</w:t>
      </w:r>
      <w:r>
        <w:rPr>
          <w:i/>
          <w:sz w:val="20"/>
        </w:rPr>
        <w:t xml:space="preserve"> </w:t>
      </w:r>
      <w:r>
        <w:rPr>
          <w:sz w:val="20"/>
        </w:rPr>
        <w:t xml:space="preserve">13 FCC Rcd 15147 (1998); </w:t>
      </w:r>
      <w:r w:rsidR="00FC4849">
        <w:rPr>
          <w:i/>
          <w:iCs/>
          <w:sz w:val="20"/>
        </w:rPr>
        <w:t xml:space="preserve">see also </w:t>
      </w:r>
      <w:r w:rsidRPr="00523B7F">
        <w:rPr>
          <w:i/>
          <w:iCs/>
          <w:sz w:val="20"/>
        </w:rPr>
        <w:t>Amendment of the Commission’s Rules to Relocate the Digital Electronic Message Service from the 18 GHz Band to the 24 GHz Band and To Allocate the 24 GHz Band for Fixed Services</w:t>
      </w:r>
      <w:r>
        <w:rPr>
          <w:sz w:val="20"/>
        </w:rPr>
        <w:t xml:space="preserve">, </w:t>
      </w:r>
      <w:r w:rsidR="00374B32">
        <w:rPr>
          <w:sz w:val="20"/>
        </w:rPr>
        <w:t xml:space="preserve">ET Docket No. 97-99, </w:t>
      </w:r>
      <w:r w:rsidRPr="00523B7F">
        <w:rPr>
          <w:iCs/>
          <w:sz w:val="20"/>
        </w:rPr>
        <w:t>Order</w:t>
      </w:r>
      <w:r>
        <w:rPr>
          <w:sz w:val="20"/>
        </w:rPr>
        <w:t>,</w:t>
      </w:r>
      <w:r>
        <w:rPr>
          <w:i/>
          <w:sz w:val="20"/>
        </w:rPr>
        <w:t xml:space="preserve"> </w:t>
      </w:r>
      <w:r>
        <w:rPr>
          <w:sz w:val="20"/>
        </w:rPr>
        <w:t xml:space="preserve">12 FCC Rcd 8266 (PSPWD 1997) (modifying DEMS-based licenses to change authorized band of operations from 18 GHz to 24 GHz). </w:t>
      </w:r>
    </w:p>
  </w:footnote>
  <w:footnote w:id="8">
    <w:p w:rsidR="00283B02" w:rsidP="00B83427" w14:paraId="2D107022" w14:textId="0FCF5229">
      <w:pPr>
        <w:pStyle w:val="FootnoteText"/>
      </w:pPr>
      <w:r>
        <w:rPr>
          <w:rStyle w:val="FootnoteReference"/>
        </w:rPr>
        <w:footnoteRef/>
      </w:r>
      <w:r>
        <w:t xml:space="preserve"> </w:t>
      </w:r>
      <w:r>
        <w:rPr>
          <w:i/>
        </w:rPr>
        <w:t>See</w:t>
      </w:r>
      <w:r w:rsidRPr="009B54A2">
        <w:rPr>
          <w:i/>
        </w:rPr>
        <w:t xml:space="preserve"> </w:t>
      </w:r>
      <w:r w:rsidRPr="00EF2BAB">
        <w:rPr>
          <w:i/>
          <w:iCs/>
        </w:rPr>
        <w:t>Amendments to Parts 1, 2, 87 and 101 of the Commission’s Rules to License Fixed Services at 24 GHz</w:t>
      </w:r>
      <w:r>
        <w:t>,</w:t>
      </w:r>
      <w:r w:rsidR="00895F87">
        <w:t xml:space="preserve"> WT Docket No. 99-327,</w:t>
      </w:r>
      <w:r>
        <w:t xml:space="preserve"> </w:t>
      </w:r>
      <w:r w:rsidRPr="00EF2BAB">
        <w:rPr>
          <w:iCs/>
        </w:rPr>
        <w:t>Report and Order</w:t>
      </w:r>
      <w:r>
        <w:t>, 15 FCC Rcd 16934, 16937, para. 3 (2000) (“</w:t>
      </w:r>
      <w:r>
        <w:rPr>
          <w:i/>
        </w:rPr>
        <w:t>24 GHz R&amp;O</w:t>
      </w:r>
      <w:r>
        <w:t>”) (adopting competitive bidding and service rules for 24 GHz Band).</w:t>
      </w:r>
    </w:p>
  </w:footnote>
  <w:footnote w:id="9">
    <w:p w:rsidR="00283B02" w:rsidRPr="00E95640" w:rsidP="00B83427" w14:paraId="6AAA90F4" w14:textId="77777777">
      <w:pPr>
        <w:pStyle w:val="FootnoteText"/>
      </w:pPr>
      <w:r w:rsidRPr="00E95640">
        <w:rPr>
          <w:rStyle w:val="FootnoteReference"/>
        </w:rPr>
        <w:footnoteRef/>
      </w:r>
      <w:r w:rsidRPr="00E95640">
        <w:t xml:space="preserve"> </w:t>
      </w:r>
      <w:r w:rsidRPr="00E95640">
        <w:rPr>
          <w:i/>
        </w:rPr>
        <w:t>See</w:t>
      </w:r>
      <w:r w:rsidRPr="00E95640">
        <w:t xml:space="preserve"> </w:t>
      </w:r>
      <w:r>
        <w:t>47 CFR</w:t>
      </w:r>
      <w:r w:rsidRPr="00E95640">
        <w:t> </w:t>
      </w:r>
      <w:r>
        <w:t xml:space="preserve">§ </w:t>
      </w:r>
      <w:r w:rsidRPr="00E95640">
        <w:t>101.523</w:t>
      </w:r>
      <w:r>
        <w:t xml:space="preserve"> (2016)</w:t>
      </w:r>
      <w:r w:rsidRPr="00E95640">
        <w:t>.</w:t>
      </w:r>
    </w:p>
  </w:footnote>
  <w:footnote w:id="10">
    <w:p w:rsidR="00283B02" w:rsidRPr="00E95640" w:rsidP="00B83427" w14:paraId="2C87E138" w14:textId="2B14A428">
      <w:pPr>
        <w:pStyle w:val="FootnoteText"/>
      </w:pPr>
      <w:r w:rsidRPr="00E95640">
        <w:rPr>
          <w:rStyle w:val="FootnoteReference"/>
        </w:rPr>
        <w:footnoteRef/>
      </w:r>
      <w:r w:rsidRPr="00E95640">
        <w:t xml:space="preserve"> </w:t>
      </w:r>
      <w:r w:rsidRPr="00E95640">
        <w:rPr>
          <w:i/>
        </w:rPr>
        <w:t>See</w:t>
      </w:r>
      <w:r w:rsidRPr="00E95640">
        <w:t xml:space="preserve"> </w:t>
      </w:r>
      <w:r w:rsidRPr="00E95640">
        <w:rPr>
          <w:i/>
        </w:rPr>
        <w:t>24 GHz Service Spectrum Auction Closes, Winning Bidders Announced</w:t>
      </w:r>
      <w:r w:rsidRPr="00E95640">
        <w:t>, Public Notice, 19 FCC Rcd 14738 (WTB 2004).</w:t>
      </w:r>
    </w:p>
  </w:footnote>
  <w:footnote w:id="11">
    <w:p w:rsidR="00283B02" w:rsidRPr="00B7462C" w:rsidP="00B83427" w14:paraId="73D7EF7E" w14:textId="640A2B8B">
      <w:pPr>
        <w:pStyle w:val="FootnoteText"/>
      </w:pPr>
      <w:r>
        <w:rPr>
          <w:rStyle w:val="FootnoteReference"/>
        </w:rPr>
        <w:footnoteRef/>
      </w:r>
      <w:r>
        <w:t xml:space="preserve"> </w:t>
      </w:r>
      <w:r>
        <w:rPr>
          <w:i/>
          <w:iCs/>
        </w:rPr>
        <w:t>See</w:t>
      </w:r>
      <w:r>
        <w:t xml:space="preserve"> </w:t>
      </w:r>
      <w:r w:rsidRPr="00FC6337">
        <w:rPr>
          <w:i/>
        </w:rPr>
        <w:t xml:space="preserve">Use of Spectrum Bands Above 24 GHz For Mobile Radio Services, et al., </w:t>
      </w:r>
      <w:r w:rsidR="009B781A">
        <w:t xml:space="preserve">GN Docket No. 14-177, </w:t>
      </w:r>
      <w:r w:rsidR="00BC02B7">
        <w:t xml:space="preserve">IB Docket Nos. </w:t>
      </w:r>
      <w:r w:rsidR="00290B46">
        <w:t>15-256 and 97-95, WT Docket No. 10-112,</w:t>
      </w:r>
      <w:r w:rsidRPr="009B54A2" w:rsidR="00290B46">
        <w:t xml:space="preserve"> </w:t>
      </w:r>
      <w:r w:rsidRPr="00284DE0">
        <w:rPr>
          <w:iCs/>
        </w:rPr>
        <w:t>Second Report and Order, Second Further Notice of Proposed Rulemaking, Order on Reconsideration, and Memorandum Opinion and Order</w:t>
      </w:r>
      <w:r w:rsidRPr="00FC6337">
        <w:t>, 32 FCC Rcd 10988</w:t>
      </w:r>
      <w:r>
        <w:t>, 10995, para. 16</w:t>
      </w:r>
      <w:r w:rsidRPr="00FC6337">
        <w:t xml:space="preserve"> (2017)</w:t>
      </w:r>
      <w:r>
        <w:t xml:space="preserve"> (</w:t>
      </w:r>
      <w:r>
        <w:rPr>
          <w:i/>
          <w:iCs/>
        </w:rPr>
        <w:t>Spectrum Frontiers 2</w:t>
      </w:r>
      <w:r w:rsidRPr="009B54A2" w:rsidR="0024630A">
        <w:rPr>
          <w:i/>
        </w:rPr>
        <w:t>nd</w:t>
      </w:r>
      <w:r>
        <w:rPr>
          <w:i/>
          <w:iCs/>
        </w:rPr>
        <w:t xml:space="preserve"> R&amp;O</w:t>
      </w:r>
      <w:r>
        <w:t>)</w:t>
      </w:r>
      <w:r w:rsidRPr="00FC6337">
        <w:t xml:space="preserve">.  </w:t>
      </w:r>
      <w:r>
        <w:t xml:space="preserve">While the former DEMS licenses were converted to UMFUS licenses, they were subsequently cancelled.  </w:t>
      </w:r>
      <w:r>
        <w:rPr>
          <w:i/>
          <w:iCs/>
        </w:rPr>
        <w:t>See, e.g.</w:t>
      </w:r>
      <w:r w:rsidRPr="009B54A2">
        <w:t>,</w:t>
      </w:r>
      <w:r>
        <w:rPr>
          <w:i/>
          <w:iCs/>
        </w:rPr>
        <w:t xml:space="preserve"> </w:t>
      </w:r>
      <w:r>
        <w:rPr>
          <w:i/>
          <w:iCs/>
        </w:rPr>
        <w:t>FiberTower</w:t>
      </w:r>
      <w:r>
        <w:rPr>
          <w:i/>
          <w:iCs/>
        </w:rPr>
        <w:t xml:space="preserve"> Spectrum Holdings, LLC</w:t>
      </w:r>
      <w:r>
        <w:t xml:space="preserve">, Order on Remand and Memorandum Opinion and Order, 33 FCC Rcd </w:t>
      </w:r>
      <w:r w:rsidR="00CD386E">
        <w:t xml:space="preserve">253 </w:t>
      </w:r>
      <w:r>
        <w:t>(WTB BD 2018)</w:t>
      </w:r>
      <w:r w:rsidR="00ED063A">
        <w:t>.</w:t>
      </w:r>
    </w:p>
  </w:footnote>
  <w:footnote w:id="12">
    <w:p w:rsidR="00283B02" w:rsidRPr="00FA66CE" w:rsidP="00B83427" w14:paraId="3E0B9FEC" w14:textId="75356B4E">
      <w:pPr>
        <w:pStyle w:val="FootnoteText"/>
      </w:pPr>
      <w:r>
        <w:rPr>
          <w:rStyle w:val="FootnoteReference"/>
        </w:rPr>
        <w:footnoteRef/>
      </w:r>
      <w:r>
        <w:t xml:space="preserve"> </w:t>
      </w:r>
      <w:r>
        <w:rPr>
          <w:i/>
          <w:iCs/>
        </w:rPr>
        <w:t>See</w:t>
      </w:r>
      <w:r>
        <w:t xml:space="preserve"> 47 CFR </w:t>
      </w:r>
      <w:r w:rsidR="007B3FC2">
        <w:t>pt.</w:t>
      </w:r>
      <w:r>
        <w:t xml:space="preserve"> 30, Subpart C.  The Commission previously adopted licensing and technical rules for UMFUS services in the 27.5-28.35 GHz band, the 37.6-38.6 GHz band, and the 38.6-40 GHz band.  </w:t>
      </w:r>
      <w:r>
        <w:rPr>
          <w:i/>
          <w:iCs/>
        </w:rPr>
        <w:t xml:space="preserve">See </w:t>
      </w:r>
      <w:r w:rsidRPr="00FC6337">
        <w:rPr>
          <w:i/>
        </w:rPr>
        <w:t>Use of Spectrum Bands Above 24 GHz For Mobile Radio Services, et al</w:t>
      </w:r>
      <w:r w:rsidRPr="00FC6337">
        <w:t xml:space="preserve">., </w:t>
      </w:r>
      <w:r w:rsidR="00100C5C">
        <w:t xml:space="preserve">GN Docket No. 14-177, </w:t>
      </w:r>
      <w:r w:rsidR="00D01F58">
        <w:t>IB Docket Nos. 15-256</w:t>
      </w:r>
      <w:r w:rsidR="00FB7500">
        <w:t xml:space="preserve"> and 97-95, RM-11664</w:t>
      </w:r>
      <w:r w:rsidR="004F33FA">
        <w:t xml:space="preserve">, WT Docket No. 10-112, </w:t>
      </w:r>
      <w:r w:rsidRPr="00FC6337">
        <w:t>Report and Order and Further Notice of Proposed Rulemaking, 31 FCC Rcd 8014</w:t>
      </w:r>
      <w:r>
        <w:t>, 8023-63, paras. 17-124</w:t>
      </w:r>
      <w:r w:rsidRPr="00FC6337">
        <w:t xml:space="preserve"> (2016) </w:t>
      </w:r>
      <w:r>
        <w:t>(</w:t>
      </w:r>
      <w:r>
        <w:rPr>
          <w:i/>
          <w:iCs/>
        </w:rPr>
        <w:t xml:space="preserve">Spectrum Frontiers </w:t>
      </w:r>
      <w:r w:rsidRPr="00F70B34">
        <w:rPr>
          <w:i/>
          <w:iCs/>
        </w:rPr>
        <w:t>1</w:t>
      </w:r>
      <w:r w:rsidRPr="00F70B34">
        <w:rPr>
          <w:i/>
          <w:iCs/>
          <w:vertAlign w:val="superscript"/>
        </w:rPr>
        <w:t>st</w:t>
      </w:r>
      <w:r w:rsidRPr="00F70B34">
        <w:rPr>
          <w:i/>
          <w:iCs/>
        </w:rPr>
        <w:t xml:space="preserve"> R&amp;O</w:t>
      </w:r>
      <w:r>
        <w:t>).</w:t>
      </w:r>
    </w:p>
  </w:footnote>
  <w:footnote w:id="13">
    <w:p w:rsidR="00283B02" w:rsidRPr="005D46C5" w:rsidP="00B83427" w14:paraId="5F02F0FB" w14:textId="77777777">
      <w:pPr>
        <w:pStyle w:val="FootnoteText"/>
      </w:pPr>
      <w:r w:rsidRPr="005D46C5">
        <w:rPr>
          <w:rStyle w:val="FootnoteReference"/>
        </w:rPr>
        <w:footnoteRef/>
      </w:r>
      <w:r w:rsidRPr="005D46C5">
        <w:t xml:space="preserve"> 47 CFR §§ 30.6(a), 30.202(a).</w:t>
      </w:r>
    </w:p>
  </w:footnote>
  <w:footnote w:id="14">
    <w:p w:rsidR="00283B02" w:rsidRPr="005D46C5" w:rsidP="00B83427" w14:paraId="0EE3BBA2" w14:textId="1D627A30">
      <w:pPr>
        <w:pStyle w:val="FootnoteText"/>
      </w:pPr>
      <w:r w:rsidRPr="005D46C5">
        <w:rPr>
          <w:rStyle w:val="FootnoteReference"/>
        </w:rPr>
        <w:footnoteRef/>
      </w:r>
      <w:r w:rsidRPr="005D46C5">
        <w:t xml:space="preserve"> 47 CFR </w:t>
      </w:r>
      <w:r w:rsidR="007B3FC2">
        <w:t>pt.</w:t>
      </w:r>
      <w:r w:rsidR="00466B22">
        <w:t xml:space="preserve"> </w:t>
      </w:r>
      <w:r w:rsidRPr="005D46C5">
        <w:t xml:space="preserve">30 Subpart E.  </w:t>
      </w:r>
    </w:p>
  </w:footnote>
  <w:footnote w:id="15">
    <w:p w:rsidR="00283B02" w:rsidP="00B83427" w14:paraId="51A1DF49" w14:textId="77777777">
      <w:pPr>
        <w:pStyle w:val="FootnoteText"/>
      </w:pPr>
      <w:r>
        <w:rPr>
          <w:rStyle w:val="FootnoteReference"/>
        </w:rPr>
        <w:footnoteRef/>
      </w:r>
      <w:r>
        <w:t xml:space="preserve"> 47 CFR § 30.203(a).  In</w:t>
      </w:r>
      <w:r w:rsidRPr="00DD499C">
        <w:t xml:space="preserve"> the bands immediately outside and adjacent to the licensee's frequency block, having a bandwidth equal to 10 percent of the channel bandwidth, the conductive power or the total radiated power of any emission shall be −5 dBm/MHz or lower</w:t>
      </w:r>
      <w:r>
        <w:t xml:space="preserve">.  As the 23.6-24 GHz passive band is 250 megahertz away from the UMFUS bands, the </w:t>
      </w:r>
      <w:r w:rsidRPr="00DD499C">
        <w:t>−</w:t>
      </w:r>
      <w:r>
        <w:t xml:space="preserve">5 dBm/MHz does not apply within that passive band for UMFUS licensees.  </w:t>
      </w:r>
    </w:p>
  </w:footnote>
  <w:footnote w:id="16">
    <w:p w:rsidR="00283B02" w:rsidP="00B83427" w14:paraId="49FFDE84" w14:textId="65F637CF">
      <w:pPr>
        <w:pStyle w:val="FootnoteText"/>
      </w:pPr>
      <w:r>
        <w:rPr>
          <w:rStyle w:val="FootnoteReference"/>
        </w:rPr>
        <w:footnoteRef/>
      </w:r>
      <w:r>
        <w:t xml:space="preserve"> </w:t>
      </w:r>
      <w:r w:rsidRPr="00C4423E">
        <w:t>IMT is the generic term used by the ITU to designate broadband mobile systems and encompasses IMT-2000, IMT- Advanced and IMT-2020</w:t>
      </w:r>
      <w:r w:rsidRPr="000D00FF">
        <w:t xml:space="preserve">.  </w:t>
      </w:r>
      <w:r w:rsidRPr="000D00FF">
        <w:rPr>
          <w:i/>
          <w:iCs/>
        </w:rPr>
        <w:t>See</w:t>
      </w:r>
      <w:r w:rsidRPr="000D00FF">
        <w:t xml:space="preserve"> </w:t>
      </w:r>
      <w:hyperlink r:id="rId2" w:history="1">
        <w:r w:rsidRPr="000D00FF">
          <w:rPr>
            <w:rStyle w:val="Hyperlink"/>
          </w:rPr>
          <w:t>https://www.itu.int/en/ITU-R/Documents/ITU-R-FAQ-IMT.pdf</w:t>
        </w:r>
      </w:hyperlink>
      <w:r w:rsidRPr="000D00FF">
        <w:t xml:space="preserve"> (last visited </w:t>
      </w:r>
      <w:r w:rsidR="00D66EA7">
        <w:t>September 18, 2023</w:t>
      </w:r>
      <w:r w:rsidRPr="000D00FF">
        <w:t>).</w:t>
      </w:r>
    </w:p>
  </w:footnote>
  <w:footnote w:id="17">
    <w:p w:rsidR="00283B02" w:rsidRPr="00CB1230" w:rsidP="00B83427" w14:paraId="7808567A" w14:textId="1154E09B">
      <w:pPr>
        <w:pStyle w:val="FootnoteText"/>
      </w:pPr>
      <w:r>
        <w:rPr>
          <w:rStyle w:val="FootnoteReference"/>
        </w:rPr>
        <w:footnoteRef/>
      </w:r>
      <w:r>
        <w:t xml:space="preserve"> </w:t>
      </w:r>
      <w:r>
        <w:rPr>
          <w:i/>
          <w:iCs/>
        </w:rPr>
        <w:t>Spectrum Frontiers 2nd R&amp;O</w:t>
      </w:r>
      <w:r>
        <w:t>, 32 FCC Rcd at 10997, para. 22</w:t>
      </w:r>
      <w:r w:rsidR="005575CF">
        <w:t xml:space="preserve">; </w:t>
      </w:r>
      <w:r w:rsidR="005575CF">
        <w:rPr>
          <w:i/>
          <w:iCs/>
        </w:rPr>
        <w:t>s</w:t>
      </w:r>
      <w:r>
        <w:rPr>
          <w:i/>
          <w:iCs/>
        </w:rPr>
        <w:t>ee also</w:t>
      </w:r>
      <w:r>
        <w:t xml:space="preserve"> </w:t>
      </w:r>
      <w:r w:rsidRPr="00C95A28">
        <w:rPr>
          <w:i/>
          <w:iCs/>
        </w:rPr>
        <w:t>Use of Spectrum Bands Above 24 GHz For Mobile Radio Services, et al.</w:t>
      </w:r>
      <w:r>
        <w:t xml:space="preserve">, </w:t>
      </w:r>
      <w:r w:rsidR="00A5358C">
        <w:t xml:space="preserve">GN Docket No. 14-177, WT Docket No. 10-112, </w:t>
      </w:r>
      <w:r>
        <w:t xml:space="preserve">Third Report and Order, Memorandum Opinion and Order, and Third Further Notice of Proposed Rulemaking, </w:t>
      </w:r>
      <w:r w:rsidRPr="00AA5C51">
        <w:t>33 FCC Rcd 5576</w:t>
      </w:r>
      <w:r>
        <w:t>, 5581-82, para. 15 (2018)</w:t>
      </w:r>
      <w:r w:rsidR="00EB7F45">
        <w:t xml:space="preserve"> (</w:t>
      </w:r>
      <w:r w:rsidR="0097016B">
        <w:t>recognizing</w:t>
      </w:r>
      <w:r w:rsidR="00EB7F45">
        <w:t xml:space="preserve"> the need to protect passive satellite operations that provide important data necessary for weather predictions and warnings</w:t>
      </w:r>
      <w:r w:rsidR="000A3DEE">
        <w:t>, and stating that “[o]</w:t>
      </w:r>
      <w:r w:rsidR="0097016B">
        <w:t>nce</w:t>
      </w:r>
      <w:r w:rsidR="0097016B">
        <w:t xml:space="preserve"> interference protection standards are agreed upon internationally we will, if necessary, consider through notice and comment whether any modification of our current out-of-band limits may be needed</w:t>
      </w:r>
      <w:r>
        <w:t>.</w:t>
      </w:r>
      <w:r w:rsidR="000A3DEE">
        <w:t>”</w:t>
      </w:r>
      <w:r w:rsidR="0097016B">
        <w:t>)</w:t>
      </w:r>
    </w:p>
  </w:footnote>
  <w:footnote w:id="18">
    <w:p w:rsidR="00283B02" w:rsidRPr="005D46C5" w:rsidP="00B83427" w14:paraId="72EA6F11" w14:textId="77777777">
      <w:pPr>
        <w:pStyle w:val="FootnoteText"/>
      </w:pPr>
      <w:r w:rsidRPr="005D46C5">
        <w:rPr>
          <w:rStyle w:val="FootnoteReference"/>
        </w:rPr>
        <w:footnoteRef/>
      </w:r>
      <w:r w:rsidRPr="005D46C5">
        <w:t xml:space="preserve"> </w:t>
      </w:r>
      <w:bookmarkStart w:id="1" w:name="_Hlk69197912"/>
      <w:r w:rsidRPr="005D46C5">
        <w:t xml:space="preserve">ITU Radio Regulations (2020), Resolution 750 (Rev.WRC-19), Table 1, Vol. 3 at 519, </w:t>
      </w:r>
      <w:hyperlink r:id="rId3" w:history="1">
        <w:r w:rsidRPr="005D46C5">
          <w:rPr>
            <w:rStyle w:val="Hyperlink"/>
          </w:rPr>
          <w:t>https://www.itu.int/en/myitu/Publications/2020/09/02/14/23/Radio-Regulations-2020</w:t>
        </w:r>
      </w:hyperlink>
      <w:r w:rsidRPr="005D46C5">
        <w:t xml:space="preserve">. </w:t>
      </w:r>
      <w:bookmarkEnd w:id="1"/>
      <w:r w:rsidRPr="005D46C5">
        <w:t xml:space="preserve"> Resolution 750 specifies limits of unwanted emission power for IMT base stations and mobile stations.  </w:t>
      </w:r>
    </w:p>
  </w:footnote>
  <w:footnote w:id="19">
    <w:p w:rsidR="00283B02" w:rsidRPr="005D46C5" w:rsidP="00B83427" w14:paraId="26B3DCFB" w14:textId="77777777">
      <w:pPr>
        <w:pStyle w:val="FootnoteText"/>
      </w:pPr>
      <w:r w:rsidRPr="005D46C5">
        <w:rPr>
          <w:rStyle w:val="FootnoteReference"/>
        </w:rPr>
        <w:footnoteRef/>
      </w:r>
      <w:r w:rsidRPr="005D46C5">
        <w:t xml:space="preserve"> ITU Radio Regulations (2020), footnote 5.338A, Vol. 1 at 100.</w:t>
      </w:r>
    </w:p>
  </w:footnote>
  <w:footnote w:id="20">
    <w:p w:rsidR="00283B02" w:rsidRPr="005D46C5" w:rsidP="00B83427" w14:paraId="5D31621F" w14:textId="77777777">
      <w:pPr>
        <w:pStyle w:val="FootnoteText"/>
      </w:pPr>
      <w:r w:rsidRPr="005D46C5">
        <w:rPr>
          <w:rStyle w:val="FootnoteReference"/>
        </w:rPr>
        <w:footnoteRef/>
      </w:r>
      <w:r w:rsidRPr="005D46C5">
        <w:t xml:space="preserve"> ITU Radio Regulations (2020), Resolution 750 (Rev.WRC-19), Note 5, Vol. 3 at 522.</w:t>
      </w:r>
    </w:p>
  </w:footnote>
  <w:footnote w:id="21">
    <w:p w:rsidR="00283B02" w:rsidRPr="005D46C5" w:rsidP="00B83427" w14:paraId="4A8E3067" w14:textId="77777777">
      <w:pPr>
        <w:pStyle w:val="FootnoteText"/>
      </w:pPr>
      <w:r w:rsidRPr="005D46C5">
        <w:rPr>
          <w:rStyle w:val="FootnoteReference"/>
        </w:rPr>
        <w:footnoteRef/>
      </w:r>
      <w:r w:rsidRPr="005D46C5">
        <w:t xml:space="preserve"> For IMT base stations and mobile stations brought into use prior to September 1, 2027, the more relaxed unwanted emission</w:t>
      </w:r>
      <w:r>
        <w:t>s</w:t>
      </w:r>
      <w:r w:rsidRPr="005D46C5">
        <w:t xml:space="preserve"> limits will continue to apply.  ITU Radio Regulations (2020), Resolution 750 (Rev.WRC-19), Table 1, Vol. 3 at 519, 522.</w:t>
      </w:r>
    </w:p>
  </w:footnote>
  <w:footnote w:id="22">
    <w:p w:rsidR="00283B02" w:rsidP="00B83427" w14:paraId="4BE3C3E5" w14:textId="77777777">
      <w:pPr>
        <w:pStyle w:val="FootnoteText"/>
      </w:pPr>
      <w:r>
        <w:rPr>
          <w:rStyle w:val="FootnoteReference"/>
        </w:rPr>
        <w:footnoteRef/>
      </w:r>
      <w:r>
        <w:t xml:space="preserve"> </w:t>
      </w:r>
      <w:r>
        <w:rPr>
          <w:i/>
          <w:iCs/>
        </w:rPr>
        <w:t xml:space="preserve">See </w:t>
      </w:r>
      <w:r w:rsidRPr="00E401EE">
        <w:rPr>
          <w:i/>
          <w:iCs/>
        </w:rPr>
        <w:t>Office of Engineering &amp; Technology and the Wireless Telecommunications Bureau Seek Comment on Emission Limits for the 24.25-27.5 GHz Band</w:t>
      </w:r>
      <w:r w:rsidRPr="00E401EE">
        <w:t xml:space="preserve">, Public Notice, </w:t>
      </w:r>
      <w:r w:rsidRPr="00ED3EB4">
        <w:t>36 FCC Rcd 7561</w:t>
      </w:r>
      <w:r w:rsidRPr="00E401EE">
        <w:t xml:space="preserve"> (</w:t>
      </w:r>
      <w:r>
        <w:t>OET WTB</w:t>
      </w:r>
      <w:r w:rsidRPr="00E401EE">
        <w:t xml:space="preserve"> 2021) (</w:t>
      </w:r>
      <w:r w:rsidRPr="00E401EE">
        <w:rPr>
          <w:i/>
          <w:iCs/>
        </w:rPr>
        <w:t>Public Notice</w:t>
      </w:r>
      <w:r w:rsidRPr="00E401EE">
        <w:t>).</w:t>
      </w:r>
    </w:p>
  </w:footnote>
  <w:footnote w:id="23">
    <w:p w:rsidR="00283B02" w:rsidRPr="005D46C5" w:rsidP="00B83427" w14:paraId="7BDF1848" w14:textId="0039622B">
      <w:pPr>
        <w:pStyle w:val="FootnoteText"/>
      </w:pPr>
      <w:r w:rsidRPr="005D46C5">
        <w:rPr>
          <w:rStyle w:val="FootnoteReference"/>
        </w:rPr>
        <w:footnoteRef/>
      </w:r>
      <w:r w:rsidRPr="005D46C5">
        <w:t xml:space="preserve"> </w:t>
      </w:r>
      <w:r>
        <w:rPr>
          <w:i/>
          <w:iCs/>
        </w:rPr>
        <w:t>Public Notice</w:t>
      </w:r>
      <w:r>
        <w:t xml:space="preserve">, 36 FCC Rcd at 7561, 7563 (citing </w:t>
      </w:r>
      <w:r w:rsidRPr="005D46C5">
        <w:t xml:space="preserve">47 CFR § 2.106; 47 CFR </w:t>
      </w:r>
      <w:r w:rsidR="007B3FC2">
        <w:t>pt.</w:t>
      </w:r>
      <w:r w:rsidRPr="005D46C5">
        <w:t>30</w:t>
      </w:r>
      <w:r>
        <w:t>)</w:t>
      </w:r>
      <w:r w:rsidRPr="005D46C5">
        <w:t>.</w:t>
      </w:r>
    </w:p>
  </w:footnote>
  <w:footnote w:id="24">
    <w:p w:rsidR="00283B02" w:rsidP="00B83427" w14:paraId="38B3782B" w14:textId="77777777">
      <w:pPr>
        <w:pStyle w:val="FootnoteText"/>
      </w:pPr>
      <w:r>
        <w:rPr>
          <w:rStyle w:val="FootnoteReference"/>
        </w:rPr>
        <w:footnoteRef/>
      </w:r>
      <w:r>
        <w:t xml:space="preserve"> </w:t>
      </w:r>
      <w:r>
        <w:rPr>
          <w:i/>
          <w:iCs/>
        </w:rPr>
        <w:t>Public Notice</w:t>
      </w:r>
      <w:r>
        <w:t>, 36 FCC Rcd at 7563.</w:t>
      </w:r>
    </w:p>
  </w:footnote>
  <w:footnote w:id="25">
    <w:p w:rsidR="00283B02" w:rsidRPr="005D46C5" w:rsidP="00B83427" w14:paraId="5815E6C1" w14:textId="7371F003">
      <w:pPr>
        <w:pStyle w:val="FootnoteText"/>
      </w:pPr>
      <w:r w:rsidRPr="005D46C5">
        <w:rPr>
          <w:rStyle w:val="FootnoteReference"/>
        </w:rPr>
        <w:footnoteRef/>
      </w:r>
      <w:r w:rsidRPr="005D46C5">
        <w:t xml:space="preserve"> </w:t>
      </w:r>
      <w:r>
        <w:rPr>
          <w:i/>
          <w:iCs/>
        </w:rPr>
        <w:t>Public Notice</w:t>
      </w:r>
      <w:r>
        <w:t>, 36 FCC Rcd</w:t>
      </w:r>
      <w:r w:rsidRPr="005D46C5">
        <w:t xml:space="preserve"> at </w:t>
      </w:r>
      <w:r>
        <w:t>756</w:t>
      </w:r>
      <w:r w:rsidRPr="005D46C5">
        <w:t>3.</w:t>
      </w:r>
      <w:r>
        <w:t xml:space="preserve">  </w:t>
      </w:r>
      <w:r w:rsidRPr="00D675B7">
        <w:rPr>
          <w:i/>
          <w:iCs/>
        </w:rPr>
        <w:t>See also infra</w:t>
      </w:r>
      <w:r>
        <w:t xml:space="preserve">, para. </w:t>
      </w:r>
      <w:r>
        <w:fldChar w:fldCharType="begin"/>
      </w:r>
      <w:r>
        <w:instrText xml:space="preserve"> REF _Ref85968953 \r \h </w:instrText>
      </w:r>
      <w:r>
        <w:fldChar w:fldCharType="separate"/>
      </w:r>
      <w:r w:rsidR="003F60FE">
        <w:t>25</w:t>
      </w:r>
      <w:r>
        <w:fldChar w:fldCharType="end"/>
      </w:r>
      <w:r w:rsidR="00651A73">
        <w:t xml:space="preserve"> (</w:t>
      </w:r>
      <w:r w:rsidRPr="00847110" w:rsidR="00651A73">
        <w:rPr>
          <w:szCs w:val="22"/>
        </w:rPr>
        <w:t>seek</w:t>
      </w:r>
      <w:r w:rsidR="00651A73">
        <w:rPr>
          <w:szCs w:val="22"/>
        </w:rPr>
        <w:t>ing</w:t>
      </w:r>
      <w:r w:rsidRPr="00847110" w:rsidR="00651A73">
        <w:rPr>
          <w:szCs w:val="22"/>
        </w:rPr>
        <w:t xml:space="preserve"> comment on </w:t>
      </w:r>
      <w:r w:rsidRPr="00543485" w:rsidR="00651A73">
        <w:rPr>
          <w:szCs w:val="22"/>
        </w:rPr>
        <w:t>adopt</w:t>
      </w:r>
      <w:r w:rsidR="00651A73">
        <w:rPr>
          <w:szCs w:val="22"/>
        </w:rPr>
        <w:t>ing</w:t>
      </w:r>
      <w:r w:rsidRPr="00543485" w:rsidR="00651A73">
        <w:rPr>
          <w:szCs w:val="22"/>
        </w:rPr>
        <w:t xml:space="preserve"> a </w:t>
      </w:r>
      <w:r w:rsidR="00C14938">
        <w:rPr>
          <w:szCs w:val="22"/>
        </w:rPr>
        <w:t xml:space="preserve">timetable </w:t>
      </w:r>
      <w:r w:rsidR="00651A73">
        <w:rPr>
          <w:szCs w:val="22"/>
        </w:rPr>
        <w:t>wherein deployments would be required to meet the first phase limits as of the effective date of any rules adopted, and deployments after September 1, 2027 would be required to meet the stricter second phase limits)</w:t>
      </w:r>
      <w:r>
        <w:t>.</w:t>
      </w:r>
    </w:p>
  </w:footnote>
  <w:footnote w:id="26">
    <w:p w:rsidR="00283B02" w:rsidRPr="005D46C5" w:rsidP="00B83427" w14:paraId="5B4271D9" w14:textId="77777777">
      <w:pPr>
        <w:pStyle w:val="FootnoteText"/>
      </w:pPr>
      <w:r w:rsidRPr="005D46C5">
        <w:rPr>
          <w:rStyle w:val="FootnoteReference"/>
        </w:rPr>
        <w:footnoteRef/>
      </w:r>
      <w:r w:rsidRPr="005D46C5">
        <w:t xml:space="preserve"> </w:t>
      </w:r>
      <w:r>
        <w:rPr>
          <w:i/>
          <w:iCs/>
        </w:rPr>
        <w:t>Public Notice</w:t>
      </w:r>
      <w:r>
        <w:t>, 36 FCC Rcd</w:t>
      </w:r>
      <w:r w:rsidRPr="005D46C5">
        <w:t xml:space="preserve"> at</w:t>
      </w:r>
      <w:r>
        <w:t xml:space="preserve"> 7564.</w:t>
      </w:r>
      <w:r w:rsidRPr="005D46C5">
        <w:t xml:space="preserve"> </w:t>
      </w:r>
    </w:p>
  </w:footnote>
  <w:footnote w:id="27">
    <w:p w:rsidR="00283B02" w:rsidRPr="005D46C5" w:rsidP="00B83427" w14:paraId="1F1675B7" w14:textId="77777777">
      <w:pPr>
        <w:pStyle w:val="FootnoteText"/>
      </w:pPr>
      <w:r w:rsidRPr="005D46C5">
        <w:rPr>
          <w:rStyle w:val="FootnoteReference"/>
        </w:rPr>
        <w:footnoteRef/>
      </w:r>
      <w:r w:rsidRPr="005D46C5">
        <w:t xml:space="preserve"> </w:t>
      </w:r>
      <w:r>
        <w:rPr>
          <w:i/>
          <w:iCs/>
        </w:rPr>
        <w:t>Public Notice</w:t>
      </w:r>
      <w:r>
        <w:t>, 36 FCC Rcd</w:t>
      </w:r>
      <w:r w:rsidRPr="005D46C5">
        <w:t xml:space="preserve"> at</w:t>
      </w:r>
      <w:r>
        <w:t xml:space="preserve"> 7564.</w:t>
      </w:r>
      <w:r w:rsidRPr="005D46C5">
        <w:t xml:space="preserve"> </w:t>
      </w:r>
    </w:p>
  </w:footnote>
  <w:footnote w:id="28">
    <w:p w:rsidR="00283B02" w:rsidRPr="005D46C5" w:rsidP="00B83427" w14:paraId="3BAEA5D4" w14:textId="77777777">
      <w:pPr>
        <w:pStyle w:val="FootnoteText"/>
      </w:pPr>
      <w:r w:rsidRPr="005D46C5">
        <w:rPr>
          <w:rStyle w:val="FootnoteReference"/>
        </w:rPr>
        <w:footnoteRef/>
      </w:r>
      <w:r w:rsidRPr="005D46C5">
        <w:t xml:space="preserve"> </w:t>
      </w:r>
      <w:r w:rsidRPr="005D46C5">
        <w:rPr>
          <w:i/>
          <w:iCs/>
        </w:rPr>
        <w:t>See</w:t>
      </w:r>
      <w:r w:rsidRPr="005D46C5">
        <w:t xml:space="preserve"> </w:t>
      </w:r>
      <w:hyperlink r:id="rId2" w:history="1">
        <w:r w:rsidRPr="005D46C5">
          <w:rPr>
            <w:rStyle w:val="Hyperlink"/>
          </w:rPr>
          <w:t>https://www.itu.int/en/ITU-R/Documents/ITU-R-FAQ-IMT.pdf</w:t>
        </w:r>
      </w:hyperlink>
      <w:r w:rsidRPr="005D46C5">
        <w:t xml:space="preserve"> (last visited </w:t>
      </w:r>
      <w:r>
        <w:t>Oct. 15</w:t>
      </w:r>
      <w:r w:rsidRPr="005D46C5">
        <w:t>, 2021).</w:t>
      </w:r>
      <w:r>
        <w:t xml:space="preserve">  </w:t>
      </w:r>
      <w:r w:rsidRPr="005D46C5">
        <w:t xml:space="preserve">The Commission’s rules do not define IMT and do not require that equipment complying with a particular technical standard be used in a band licensed under the UMFUS rules.  </w:t>
      </w:r>
    </w:p>
  </w:footnote>
  <w:footnote w:id="29">
    <w:p w:rsidR="00283B02" w:rsidP="00B83427" w14:paraId="361C8045" w14:textId="77777777">
      <w:pPr>
        <w:pStyle w:val="FootnoteText"/>
      </w:pPr>
      <w:r>
        <w:rPr>
          <w:rStyle w:val="FootnoteReference"/>
        </w:rPr>
        <w:footnoteRef/>
      </w:r>
      <w:r>
        <w:t xml:space="preserve"> </w:t>
      </w:r>
      <w:r>
        <w:rPr>
          <w:i/>
          <w:iCs/>
        </w:rPr>
        <w:t>Public Notice</w:t>
      </w:r>
      <w:r>
        <w:t>, 36 FCC Rcd at 7564.</w:t>
      </w:r>
    </w:p>
  </w:footnote>
  <w:footnote w:id="30">
    <w:p w:rsidR="00283B02" w:rsidRPr="00D92A71" w:rsidP="00B83427" w14:paraId="7E71B120" w14:textId="77777777">
      <w:pPr>
        <w:pStyle w:val="FootnoteText"/>
      </w:pPr>
      <w:r>
        <w:rPr>
          <w:rStyle w:val="FootnoteReference"/>
        </w:rPr>
        <w:footnoteRef/>
      </w:r>
      <w:r>
        <w:t xml:space="preserve"> </w:t>
      </w:r>
      <w:r>
        <w:rPr>
          <w:i/>
          <w:iCs/>
        </w:rPr>
        <w:t>Public Notice</w:t>
      </w:r>
      <w:r>
        <w:t>, 36 FCC Rcd at 7564.</w:t>
      </w:r>
    </w:p>
  </w:footnote>
  <w:footnote w:id="31">
    <w:p w:rsidR="00283B02" w:rsidRPr="00A85343" w:rsidP="00B83427" w14:paraId="6AA52590" w14:textId="720786F3">
      <w:pPr>
        <w:pStyle w:val="FootnoteText"/>
      </w:pPr>
      <w:r>
        <w:rPr>
          <w:rStyle w:val="FootnoteReference"/>
        </w:rPr>
        <w:footnoteRef/>
      </w:r>
      <w:r>
        <w:t xml:space="preserve"> </w:t>
      </w:r>
      <w:r w:rsidRPr="00A85343">
        <w:rPr>
          <w:i/>
          <w:iCs/>
        </w:rPr>
        <w:t>Emission Limits for the 24.25-27.5 GHz Band</w:t>
      </w:r>
      <w:r>
        <w:t xml:space="preserve">, </w:t>
      </w:r>
      <w:r w:rsidRPr="00A85343">
        <w:t>86 F</w:t>
      </w:r>
      <w:r w:rsidR="00ED063A">
        <w:t xml:space="preserve">ed. </w:t>
      </w:r>
      <w:r w:rsidRPr="00A85343">
        <w:t>R</w:t>
      </w:r>
      <w:r w:rsidR="00ED063A">
        <w:t>eg</w:t>
      </w:r>
      <w:r w:rsidR="00AC3972">
        <w:t>.</w:t>
      </w:r>
      <w:r w:rsidRPr="00A85343">
        <w:t xml:space="preserve"> 28522</w:t>
      </w:r>
      <w:r>
        <w:t xml:space="preserve"> (May 27, 2021).</w:t>
      </w:r>
    </w:p>
  </w:footnote>
  <w:footnote w:id="32">
    <w:p w:rsidR="00283B02" w:rsidP="00B83427" w14:paraId="5C9EF8C7" w14:textId="51E116AA">
      <w:pPr>
        <w:pStyle w:val="FootnoteText"/>
      </w:pPr>
      <w:r>
        <w:rPr>
          <w:rStyle w:val="FootnoteReference"/>
        </w:rPr>
        <w:footnoteRef/>
      </w:r>
      <w:r>
        <w:t xml:space="preserve"> </w:t>
      </w:r>
      <w:r>
        <w:rPr>
          <w:i/>
          <w:iCs/>
        </w:rPr>
        <w:t>See</w:t>
      </w:r>
      <w:r>
        <w:t xml:space="preserve"> </w:t>
      </w:r>
      <w:r w:rsidRPr="0081222E">
        <w:t xml:space="preserve">Letter from Eddie Johnson, Chairwoman and Frank Lucas, Ranking Member, </w:t>
      </w:r>
      <w:bookmarkStart w:id="3" w:name="_Hlk85793087"/>
      <w:r w:rsidRPr="0081222E">
        <w:t>Congressional Committee on Science, Space, and Technology</w:t>
      </w:r>
      <w:bookmarkEnd w:id="3"/>
      <w:r w:rsidRPr="0081222E">
        <w:t xml:space="preserve">, to Jessica Rosenworcel, </w:t>
      </w:r>
      <w:r w:rsidR="00FC7AB1">
        <w:t xml:space="preserve">Acting </w:t>
      </w:r>
      <w:r w:rsidRPr="0081222E">
        <w:t xml:space="preserve">Chairwoman, FCC, </w:t>
      </w:r>
      <w:r>
        <w:t xml:space="preserve">at 2 (Aug. 10, 2021) (on file in </w:t>
      </w:r>
      <w:r w:rsidRPr="0081222E">
        <w:t>ET Docket No. 21-186</w:t>
      </w:r>
      <w:r>
        <w:t xml:space="preserve">) (Johnson &amp; Lucas Congressional Letter) at 2 (advocating that the Commission </w:t>
      </w:r>
      <w:r w:rsidRPr="002F605B">
        <w:t xml:space="preserve">enact changes to the 24 GHz </w:t>
      </w:r>
      <w:r>
        <w:t xml:space="preserve">technical </w:t>
      </w:r>
      <w:r w:rsidRPr="002F605B">
        <w:t>standard</w:t>
      </w:r>
      <w:r>
        <w:t>s</w:t>
      </w:r>
      <w:r w:rsidRPr="002F605B">
        <w:t xml:space="preserve"> through a formal rulemaking to amend the </w:t>
      </w:r>
      <w:r w:rsidR="00A263F2">
        <w:t>p</w:t>
      </w:r>
      <w:r w:rsidRPr="002F605B" w:rsidR="00A263F2">
        <w:t xml:space="preserve">art </w:t>
      </w:r>
      <w:r w:rsidRPr="002F605B">
        <w:t>30 rules</w:t>
      </w:r>
      <w:r>
        <w:t>)</w:t>
      </w:r>
      <w:r w:rsidR="00FB5321">
        <w:t xml:space="preserve">; </w:t>
      </w:r>
      <w:r w:rsidR="00FB5321">
        <w:rPr>
          <w:i/>
          <w:iCs/>
        </w:rPr>
        <w:t xml:space="preserve">see also </w:t>
      </w:r>
      <w:r w:rsidRPr="00357FD8" w:rsidR="00357FD8">
        <w:rPr>
          <w:i/>
          <w:iCs/>
        </w:rPr>
        <w:t>Auctions of Upper Microwave Flexible Use Licenses for Next-Generation Wireless Servs. Notice &amp; Filing Requirements, Minimum Opening Bids, Upfront Payments, &amp; Other Procs. for Auctions 101 (28 G</w:t>
      </w:r>
      <w:r w:rsidR="00CA68F3">
        <w:rPr>
          <w:i/>
          <w:iCs/>
        </w:rPr>
        <w:t>H</w:t>
      </w:r>
      <w:r w:rsidRPr="00357FD8" w:rsidR="00357FD8">
        <w:rPr>
          <w:i/>
          <w:iCs/>
        </w:rPr>
        <w:t>z) &amp; 102 (24 G</w:t>
      </w:r>
      <w:r w:rsidR="00CA68F3">
        <w:rPr>
          <w:i/>
          <w:iCs/>
        </w:rPr>
        <w:t>H</w:t>
      </w:r>
      <w:r w:rsidRPr="00357FD8" w:rsidR="00357FD8">
        <w:rPr>
          <w:i/>
          <w:iCs/>
        </w:rPr>
        <w:t>z) Bidding in Auction 101 Scheduled to Begin Nov. 14, 2018</w:t>
      </w:r>
      <w:r w:rsidRPr="00357FD8" w:rsidR="00357FD8">
        <w:t>, 33 FCC Rcd. 7575, 7619, para. 121 (2018) (reminding potential bidders that licenses are subject to changes in the conditions and regulations applicable to spectrum licenses, including by Commission rulemaking).</w:t>
      </w:r>
    </w:p>
  </w:footnote>
  <w:footnote w:id="33">
    <w:p w:rsidR="00283B02" w:rsidRPr="00565824" w:rsidP="00B83427" w14:paraId="59BAC09C" w14:textId="77777777">
      <w:pPr>
        <w:pStyle w:val="FootnoteText"/>
      </w:pPr>
      <w:r>
        <w:rPr>
          <w:rStyle w:val="FootnoteReference"/>
        </w:rPr>
        <w:footnoteRef/>
      </w:r>
      <w:r>
        <w:t xml:space="preserve"> </w:t>
      </w:r>
      <w:r>
        <w:rPr>
          <w:i/>
          <w:iCs/>
        </w:rPr>
        <w:t>Public Notice</w:t>
      </w:r>
      <w:r>
        <w:t>, 36 FCC Rcd</w:t>
      </w:r>
      <w:r>
        <w:rPr>
          <w:i/>
          <w:iCs/>
        </w:rPr>
        <w:t xml:space="preserve"> </w:t>
      </w:r>
      <w:r>
        <w:t>at 7563.</w:t>
      </w:r>
    </w:p>
  </w:footnote>
  <w:footnote w:id="34">
    <w:p w:rsidR="00CC6053" w14:paraId="6557FD74" w14:textId="32F2A1D7">
      <w:pPr>
        <w:pStyle w:val="FootnoteText"/>
      </w:pPr>
      <w:r>
        <w:rPr>
          <w:rStyle w:val="FootnoteReference"/>
        </w:rPr>
        <w:footnoteRef/>
      </w:r>
      <w:r>
        <w:t xml:space="preserve"> </w:t>
      </w:r>
      <w:r w:rsidRPr="00CC6053">
        <w:t>We note that, in 2017, the Commission provided notice that ongoing international</w:t>
      </w:r>
      <w:r w:rsidR="00EF230E">
        <w:t xml:space="preserve"> studies</w:t>
      </w:r>
      <w:r w:rsidRPr="00CC6053">
        <w:t xml:space="preserve"> include</w:t>
      </w:r>
      <w:r w:rsidR="006F12C6">
        <w:t>d</w:t>
      </w:r>
      <w:r w:rsidRPr="00CC6053">
        <w:t xml:space="preserve"> analyses to determine IMT-2020 OOBE limits necessary to protect passive sensors onboard weather satellites in the 23.6-24 GHz band, and that once the studies were completed</w:t>
      </w:r>
      <w:r>
        <w:t>,</w:t>
      </w:r>
      <w:r w:rsidRPr="00CC6053">
        <w:t xml:space="preserve"> new rules might be necessary for protection of these operations.  </w:t>
      </w:r>
      <w:r w:rsidRPr="00CC6053">
        <w:rPr>
          <w:i/>
          <w:iCs/>
        </w:rPr>
        <w:t>In the Matter of Use of Spectrum Bands Above 24 GHz for Mobile Radio Servs.</w:t>
      </w:r>
      <w:r w:rsidRPr="00CC6053">
        <w:t>, 32 FCC Rcd. 10988, 10997, para. 22 (2017).</w:t>
      </w:r>
    </w:p>
  </w:footnote>
  <w:footnote w:id="35">
    <w:p w:rsidR="00283B02" w:rsidRPr="001063C8" w:rsidP="00B83427" w14:paraId="6C7C0419" w14:textId="155441D2">
      <w:pPr>
        <w:pStyle w:val="FootnoteText"/>
      </w:pPr>
      <w:r w:rsidRPr="005D46C5">
        <w:rPr>
          <w:rStyle w:val="FootnoteReference"/>
        </w:rPr>
        <w:footnoteRef/>
      </w:r>
      <w:r w:rsidRPr="005D46C5">
        <w:t xml:space="preserve"> </w:t>
      </w:r>
      <w:r w:rsidRPr="005D46C5">
        <w:rPr>
          <w:i/>
          <w:iCs/>
        </w:rPr>
        <w:t xml:space="preserve">See </w:t>
      </w:r>
      <w:r w:rsidRPr="005D46C5">
        <w:t xml:space="preserve">NTIA </w:t>
      </w:r>
      <w:r>
        <w:t>Comments</w:t>
      </w:r>
      <w:r w:rsidRPr="005D46C5">
        <w:t xml:space="preserve"> at 5-6;</w:t>
      </w:r>
      <w:r>
        <w:t xml:space="preserve"> </w:t>
      </w:r>
      <w:r w:rsidRPr="005D46C5">
        <w:t xml:space="preserve">CTIA </w:t>
      </w:r>
      <w:r>
        <w:t>Comments</w:t>
      </w:r>
      <w:r w:rsidRPr="005D46C5">
        <w:t xml:space="preserve"> at 2; Ericsson </w:t>
      </w:r>
      <w:r>
        <w:t>Comments</w:t>
      </w:r>
      <w:r w:rsidRPr="005D46C5">
        <w:t xml:space="preserve"> at 5; Nokia </w:t>
      </w:r>
      <w:r>
        <w:t>Comments</w:t>
      </w:r>
      <w:r w:rsidRPr="005D46C5">
        <w:t xml:space="preserve"> at 1; and T-Mobile </w:t>
      </w:r>
      <w:r>
        <w:t>Comments</w:t>
      </w:r>
      <w:r w:rsidRPr="005D46C5">
        <w:t xml:space="preserve"> at 1; </w:t>
      </w:r>
      <w:r>
        <w:rPr>
          <w:szCs w:val="22"/>
        </w:rPr>
        <w:t>AGU/AMS/NWA</w:t>
      </w:r>
      <w:r w:rsidRPr="005D46C5">
        <w:t xml:space="preserve"> </w:t>
      </w:r>
      <w:r>
        <w:t xml:space="preserve">Reply Comments at 4; </w:t>
      </w:r>
      <w:r w:rsidRPr="005D46C5">
        <w:t xml:space="preserve">AT&amp;T Reply </w:t>
      </w:r>
      <w:r>
        <w:t>Comments</w:t>
      </w:r>
      <w:r w:rsidRPr="005D46C5">
        <w:t xml:space="preserve"> at 2; CTIA Reply </w:t>
      </w:r>
      <w:r>
        <w:t>Comments</w:t>
      </w:r>
      <w:r w:rsidRPr="005D46C5">
        <w:t xml:space="preserve"> at 1</w:t>
      </w:r>
      <w:r w:rsidR="00B26321">
        <w:t>;</w:t>
      </w:r>
      <w:r w:rsidR="001063C8">
        <w:rPr>
          <w:i/>
          <w:iCs/>
        </w:rPr>
        <w:t xml:space="preserve"> </w:t>
      </w:r>
      <w:r w:rsidR="00DA302A">
        <w:rPr>
          <w:bCs/>
          <w:szCs w:val="22"/>
        </w:rPr>
        <w:t xml:space="preserve">Letter from </w:t>
      </w:r>
      <w:r w:rsidR="009A44F8">
        <w:rPr>
          <w:bCs/>
          <w:szCs w:val="22"/>
        </w:rPr>
        <w:t xml:space="preserve">Lexi Shultz, VP Science Policy &amp; Gov. Relations, </w:t>
      </w:r>
      <w:r w:rsidRPr="002A35ED" w:rsidR="00DA302A">
        <w:rPr>
          <w:bCs/>
        </w:rPr>
        <w:t xml:space="preserve">American Geophysical Union, </w:t>
      </w:r>
      <w:r w:rsidR="009A44F8">
        <w:rPr>
          <w:bCs/>
        </w:rPr>
        <w:t xml:space="preserve">Stella Kafka, Executive Director, </w:t>
      </w:r>
      <w:r w:rsidRPr="002A35ED" w:rsidR="00DA302A">
        <w:rPr>
          <w:bCs/>
        </w:rPr>
        <w:t xml:space="preserve">American Meteorological Society, </w:t>
      </w:r>
      <w:r w:rsidR="009A44F8">
        <w:rPr>
          <w:bCs/>
        </w:rPr>
        <w:t xml:space="preserve">Janice Bunting, CEO, </w:t>
      </w:r>
      <w:r w:rsidRPr="002A35ED" w:rsidR="00DA302A">
        <w:rPr>
          <w:bCs/>
        </w:rPr>
        <w:t xml:space="preserve">National Weather Association, and </w:t>
      </w:r>
      <w:r w:rsidR="009A44F8">
        <w:rPr>
          <w:bCs/>
        </w:rPr>
        <w:t xml:space="preserve">Antonio Busalacchi, President, </w:t>
      </w:r>
      <w:r w:rsidRPr="002A35ED" w:rsidR="00DA302A">
        <w:rPr>
          <w:bCs/>
        </w:rPr>
        <w:t xml:space="preserve">University Corporation for Atmospheric Research </w:t>
      </w:r>
      <w:r w:rsidRPr="00740B82" w:rsidR="002A35ED">
        <w:t xml:space="preserve">to Marlene H. Dortch, Secretary, FCC, </w:t>
      </w:r>
      <w:r w:rsidR="008B61B3">
        <w:t>ET</w:t>
      </w:r>
      <w:r w:rsidRPr="00740B82" w:rsidR="002A35ED">
        <w:t xml:space="preserve"> Docket No. </w:t>
      </w:r>
      <w:r w:rsidR="008B61B3">
        <w:t>21</w:t>
      </w:r>
      <w:r w:rsidRPr="00740B82" w:rsidR="002A35ED">
        <w:t>-</w:t>
      </w:r>
      <w:r w:rsidR="008B61B3">
        <w:t>186</w:t>
      </w:r>
      <w:r w:rsidRPr="00740B82" w:rsidR="002A35ED">
        <w:t xml:space="preserve"> (filed </w:t>
      </w:r>
      <w:r w:rsidR="00740B82">
        <w:t>Dec</w:t>
      </w:r>
      <w:r w:rsidRPr="00740B82" w:rsidR="002A35ED">
        <w:t xml:space="preserve">. </w:t>
      </w:r>
      <w:r w:rsidR="00740B82">
        <w:t>22</w:t>
      </w:r>
      <w:r w:rsidRPr="00740B82" w:rsidR="002A35ED">
        <w:t>, 20</w:t>
      </w:r>
      <w:r w:rsidR="00740B82">
        <w:t>22</w:t>
      </w:r>
      <w:r w:rsidRPr="00740B82" w:rsidR="002A35ED">
        <w:t xml:space="preserve">) </w:t>
      </w:r>
      <w:r w:rsidRPr="00740B82" w:rsidR="007329CF">
        <w:t xml:space="preserve">at 2 </w:t>
      </w:r>
      <w:r w:rsidRPr="00740B82" w:rsidR="002A35ED">
        <w:t>(</w:t>
      </w:r>
      <w:r w:rsidR="00740B82">
        <w:rPr>
          <w:bCs/>
          <w:szCs w:val="22"/>
        </w:rPr>
        <w:t>AGU/AMS/NWA/UCAR</w:t>
      </w:r>
      <w:r w:rsidRPr="00740B82" w:rsidR="00740B82">
        <w:rPr>
          <w:i/>
        </w:rPr>
        <w:t xml:space="preserve"> </w:t>
      </w:r>
      <w:r w:rsidRPr="00740B82" w:rsidR="002A35ED">
        <w:rPr>
          <w:i/>
        </w:rPr>
        <w:t>Ex Parte</w:t>
      </w:r>
      <w:r w:rsidRPr="00740B82" w:rsidR="002A35ED">
        <w:t>).</w:t>
      </w:r>
    </w:p>
  </w:footnote>
  <w:footnote w:id="36">
    <w:p w:rsidR="00283B02" w:rsidRPr="005D46C5" w:rsidP="00B83427" w14:paraId="6CB634B5" w14:textId="77777777">
      <w:pPr>
        <w:pStyle w:val="FootnoteText"/>
      </w:pPr>
      <w:r w:rsidRPr="005D46C5">
        <w:rPr>
          <w:rStyle w:val="FootnoteReference"/>
        </w:rPr>
        <w:footnoteRef/>
      </w:r>
      <w:r w:rsidRPr="005D46C5">
        <w:t xml:space="preserve"> NTIA </w:t>
      </w:r>
      <w:r>
        <w:t>Comments</w:t>
      </w:r>
      <w:r w:rsidRPr="005D46C5">
        <w:t xml:space="preserve"> at 2; CTIA Comments at 2; Ericsson </w:t>
      </w:r>
      <w:r>
        <w:t>Comments</w:t>
      </w:r>
      <w:r w:rsidRPr="005D46C5">
        <w:t xml:space="preserve"> at </w:t>
      </w:r>
      <w:r>
        <w:t xml:space="preserve">4, </w:t>
      </w:r>
      <w:r w:rsidRPr="005D46C5">
        <w:t xml:space="preserve">6; Marcus </w:t>
      </w:r>
      <w:r>
        <w:t>&amp; Jornet Comments</w:t>
      </w:r>
      <w:r w:rsidRPr="005D46C5">
        <w:t xml:space="preserve"> at 1. </w:t>
      </w:r>
    </w:p>
  </w:footnote>
  <w:footnote w:id="37">
    <w:p w:rsidR="00283B02" w:rsidRPr="005D46C5" w:rsidP="00B83427" w14:paraId="2510E6E3" w14:textId="77777777">
      <w:pPr>
        <w:pStyle w:val="FootnoteText"/>
      </w:pPr>
      <w:r w:rsidRPr="005D46C5">
        <w:rPr>
          <w:rStyle w:val="FootnoteReference"/>
        </w:rPr>
        <w:footnoteRef/>
      </w:r>
      <w:r w:rsidRPr="005D46C5">
        <w:t xml:space="preserve"> NTIA </w:t>
      </w:r>
      <w:r>
        <w:t>Comments</w:t>
      </w:r>
      <w:r w:rsidRPr="005D46C5">
        <w:t xml:space="preserve"> at 2</w:t>
      </w:r>
      <w:r>
        <w:t xml:space="preserve">; </w:t>
      </w:r>
      <w:r w:rsidRPr="005D46C5">
        <w:t>CTIA Comment</w:t>
      </w:r>
      <w:r>
        <w:t>s</w:t>
      </w:r>
      <w:r w:rsidRPr="005D46C5">
        <w:t xml:space="preserve"> at 2</w:t>
      </w:r>
      <w:r>
        <w:t>, 6</w:t>
      </w:r>
      <w:r w:rsidRPr="005D46C5">
        <w:t xml:space="preserve">; </w:t>
      </w:r>
      <w:r>
        <w:t>AT&amp;T Reply Comments at 3-4.</w:t>
      </w:r>
    </w:p>
  </w:footnote>
  <w:footnote w:id="38">
    <w:p w:rsidR="00283B02" w:rsidRPr="005D46C5" w:rsidP="00B83427" w14:paraId="147651EF" w14:textId="77777777">
      <w:pPr>
        <w:pStyle w:val="FootnoteText"/>
      </w:pPr>
      <w:r w:rsidRPr="005D46C5">
        <w:rPr>
          <w:rStyle w:val="FootnoteReference"/>
        </w:rPr>
        <w:footnoteRef/>
      </w:r>
      <w:r w:rsidRPr="005D46C5">
        <w:t xml:space="preserve"> T-Mobile </w:t>
      </w:r>
      <w:r>
        <w:t>Comments</w:t>
      </w:r>
      <w:r w:rsidRPr="005D46C5">
        <w:t xml:space="preserve"> at 3</w:t>
      </w:r>
      <w:r>
        <w:t>.</w:t>
      </w:r>
    </w:p>
  </w:footnote>
  <w:footnote w:id="39">
    <w:p w:rsidR="00283B02" w:rsidRPr="005D46C5" w:rsidP="00B83427" w14:paraId="1A31EB88" w14:textId="77777777">
      <w:pPr>
        <w:pStyle w:val="FootnoteText"/>
      </w:pPr>
      <w:r w:rsidRPr="005D46C5">
        <w:rPr>
          <w:rStyle w:val="FootnoteReference"/>
        </w:rPr>
        <w:footnoteRef/>
      </w:r>
      <w:r w:rsidRPr="005D46C5">
        <w:t xml:space="preserve"> </w:t>
      </w:r>
      <w:r>
        <w:t xml:space="preserve">NTIA Comments at 1-2; </w:t>
      </w:r>
      <w:r w:rsidRPr="005D46C5">
        <w:t xml:space="preserve">T-Mobile </w:t>
      </w:r>
      <w:r>
        <w:t>Comments</w:t>
      </w:r>
      <w:r w:rsidRPr="005D46C5">
        <w:t xml:space="preserve"> at 3</w:t>
      </w:r>
      <w:r>
        <w:t xml:space="preserve">. </w:t>
      </w:r>
    </w:p>
  </w:footnote>
  <w:footnote w:id="40">
    <w:p w:rsidR="00283B02" w:rsidRPr="005D46C5" w:rsidP="00B83427" w14:paraId="0825929B" w14:textId="0B6E36EF">
      <w:pPr>
        <w:pStyle w:val="FootnoteText"/>
      </w:pPr>
      <w:r w:rsidRPr="005D46C5">
        <w:rPr>
          <w:rStyle w:val="FootnoteReference"/>
        </w:rPr>
        <w:footnoteRef/>
      </w:r>
      <w:r w:rsidRPr="005D46C5">
        <w:t xml:space="preserve"> NTIA </w:t>
      </w:r>
      <w:r>
        <w:t>Comments</w:t>
      </w:r>
      <w:r w:rsidRPr="005D46C5">
        <w:t xml:space="preserve"> at </w:t>
      </w:r>
      <w:r>
        <w:t xml:space="preserve">2, </w:t>
      </w:r>
      <w:r w:rsidRPr="005D46C5">
        <w:t>4</w:t>
      </w:r>
      <w:r>
        <w:t>.</w:t>
      </w:r>
    </w:p>
  </w:footnote>
  <w:footnote w:id="41">
    <w:p w:rsidR="00283B02" w:rsidP="00B83427" w14:paraId="247601C0" w14:textId="7CFD9EE1">
      <w:pPr>
        <w:pStyle w:val="FootnoteText"/>
      </w:pPr>
      <w:r>
        <w:rPr>
          <w:rStyle w:val="FootnoteReference"/>
        </w:rPr>
        <w:footnoteRef/>
      </w:r>
      <w:r w:rsidRPr="009B54A2">
        <w:t xml:space="preserve"> </w:t>
      </w:r>
      <w:r w:rsidRPr="005D46C5">
        <w:t xml:space="preserve">Ericsson </w:t>
      </w:r>
      <w:r>
        <w:t>Comments</w:t>
      </w:r>
      <w:r w:rsidRPr="005D46C5">
        <w:t xml:space="preserve"> at 5; Nokia </w:t>
      </w:r>
      <w:r>
        <w:t>Comments</w:t>
      </w:r>
      <w:r w:rsidRPr="005D46C5">
        <w:t xml:space="preserve"> at 1</w:t>
      </w:r>
      <w:r>
        <w:t>.</w:t>
      </w:r>
    </w:p>
  </w:footnote>
  <w:footnote w:id="42">
    <w:p w:rsidR="00283B02" w:rsidP="00B83427" w14:paraId="5E2DFA7D" w14:textId="77777777">
      <w:pPr>
        <w:pStyle w:val="FootnoteText"/>
      </w:pPr>
      <w:r>
        <w:rPr>
          <w:rStyle w:val="FootnoteReference"/>
        </w:rPr>
        <w:footnoteRef/>
      </w:r>
      <w:r>
        <w:t xml:space="preserve"> </w:t>
      </w:r>
      <w:r>
        <w:rPr>
          <w:i/>
          <w:iCs/>
        </w:rPr>
        <w:t xml:space="preserve">See </w:t>
      </w:r>
      <w:r>
        <w:t>Qualcomm Comments at 1-2.</w:t>
      </w:r>
    </w:p>
  </w:footnote>
  <w:footnote w:id="43">
    <w:p w:rsidR="00283B02" w:rsidP="003F65A6" w14:paraId="50C7D907" w14:textId="28C506CA">
      <w:pPr>
        <w:pStyle w:val="FootnoteText"/>
      </w:pPr>
      <w:r>
        <w:rPr>
          <w:rStyle w:val="FootnoteReference"/>
        </w:rPr>
        <w:footnoteRef/>
      </w:r>
      <w:r>
        <w:t xml:space="preserve"> We note that after WRC-19, </w:t>
      </w:r>
      <w:r w:rsidR="008212C1">
        <w:t xml:space="preserve">the </w:t>
      </w:r>
      <w:r>
        <w:t xml:space="preserve">European Union modified its stricter limits </w:t>
      </w:r>
      <w:r w:rsidRPr="003F65A6">
        <w:t>stating that</w:t>
      </w:r>
      <w:r w:rsidRPr="003F65A6">
        <w:rPr>
          <w:i/>
          <w:iCs/>
        </w:rPr>
        <w:t xml:space="preserve"> </w:t>
      </w:r>
      <w:r w:rsidRPr="007611EF">
        <w:t>“</w:t>
      </w:r>
      <w:r>
        <w:t>[t]</w:t>
      </w:r>
      <w:r w:rsidRPr="007611EF">
        <w:t>he continued application of the current more stringent EU-</w:t>
      </w:r>
      <w:r w:rsidRPr="007611EF">
        <w:t>harmonised</w:t>
      </w:r>
      <w:r w:rsidRPr="007611EF">
        <w:t xml:space="preserve"> protection limits in the single market would</w:t>
      </w:r>
      <w:r>
        <w:t xml:space="preserve"> </w:t>
      </w:r>
      <w:r w:rsidRPr="007611EF">
        <w:t xml:space="preserve">provide greater protection of the EESS (passive) across the territory of the Union. </w:t>
      </w:r>
      <w:r w:rsidR="00C35FE6">
        <w:t xml:space="preserve"> </w:t>
      </w:r>
      <w:r w:rsidRPr="007611EF">
        <w:t>However</w:t>
      </w:r>
      <w:r>
        <w:t xml:space="preserve"> </w:t>
      </w:r>
      <w:r w:rsidRPr="003F65A6">
        <w:t>the application of protection limits in the Union that differed from those applied in the rest of the world, in particular by being more stringent may affect the degree of equipment availability and choice, which in turn may have a negative impact on equipment costs and the scale of investments in high-capacity (5G) networks…” and concluded that “Decision (EU) 2019/784 should be amended in order to preserve the balance of Union policies on 5G deployment and the monitoring of the Earth’s atmosphere and surface and to foster the Union’s role</w:t>
      </w:r>
      <w:r>
        <w:t xml:space="preserve"> </w:t>
      </w:r>
      <w:r w:rsidRPr="00B534FB">
        <w:t>as a leader in the global 5G ecosystem of equipment and services</w:t>
      </w:r>
      <w:r w:rsidRPr="003F65A6">
        <w:t>.”)</w:t>
      </w:r>
      <w:r>
        <w:t xml:space="preserve">.  </w:t>
      </w:r>
      <w:r w:rsidRPr="003F65A6">
        <w:rPr>
          <w:i/>
          <w:iCs/>
        </w:rPr>
        <w:t>See</w:t>
      </w:r>
      <w:r w:rsidRPr="003F65A6">
        <w:t xml:space="preserve"> EU Commission implementing Decision (EU) 2020/590 (24 April 2020) amending Decision (EU) 2019/784</w:t>
      </w:r>
      <w:r>
        <w:t>,</w:t>
      </w:r>
      <w:r w:rsidRPr="003F65A6">
        <w:t xml:space="preserve"> at </w:t>
      </w:r>
      <w:hyperlink r:id="rId4" w:history="1">
        <w:r w:rsidRPr="00F17F44" w:rsidR="00C35FE6">
          <w:rPr>
            <w:rStyle w:val="Hyperlink"/>
          </w:rPr>
          <w:t>https://docdb.cept.org/download/167</w:t>
        </w:r>
      </w:hyperlink>
      <w:r w:rsidRPr="003F65A6">
        <w:t>.</w:t>
      </w:r>
      <w:r w:rsidR="00C35FE6">
        <w:t xml:space="preserve"> </w:t>
      </w:r>
    </w:p>
  </w:footnote>
  <w:footnote w:id="44">
    <w:p w:rsidR="00283B02" w:rsidRPr="005D46C5" w:rsidP="00B83427" w14:paraId="24EF8227" w14:textId="77777777">
      <w:pPr>
        <w:pStyle w:val="FootnoteText"/>
      </w:pPr>
      <w:r w:rsidRPr="005D46C5">
        <w:rPr>
          <w:rStyle w:val="FootnoteReference"/>
        </w:rPr>
        <w:footnoteRef/>
      </w:r>
      <w:r w:rsidRPr="005D46C5">
        <w:t xml:space="preserve"> CORF Comments at 11.</w:t>
      </w:r>
      <w:r>
        <w:t xml:space="preserve">  </w:t>
      </w:r>
      <w:r w:rsidRPr="005D46C5">
        <w:rPr>
          <w:szCs w:val="22"/>
        </w:rPr>
        <w:t>IEEE neither support</w:t>
      </w:r>
      <w:r>
        <w:rPr>
          <w:szCs w:val="22"/>
        </w:rPr>
        <w:t>s</w:t>
      </w:r>
      <w:r w:rsidRPr="005D46C5">
        <w:rPr>
          <w:szCs w:val="22"/>
        </w:rPr>
        <w:t xml:space="preserve"> nor rejects the WRC-19 limits but propose the alternative of supporting whichever limit allows for the least power to be emitted into the 23.6-24.0 GHz band.</w:t>
      </w:r>
      <w:r>
        <w:rPr>
          <w:szCs w:val="22"/>
        </w:rPr>
        <w:t xml:space="preserve">  </w:t>
      </w:r>
      <w:r w:rsidRPr="005D46C5">
        <w:t>IEEE Comment</w:t>
      </w:r>
      <w:r>
        <w:t>s</w:t>
      </w:r>
      <w:r w:rsidRPr="005D46C5">
        <w:t xml:space="preserve"> at 4.</w:t>
      </w:r>
      <w:r>
        <w:t xml:space="preserve">  </w:t>
      </w:r>
      <w:r>
        <w:rPr>
          <w:szCs w:val="22"/>
        </w:rPr>
        <w:t>IEEE</w:t>
      </w:r>
      <w:r w:rsidRPr="005D46C5">
        <w:rPr>
          <w:szCs w:val="22"/>
        </w:rPr>
        <w:t xml:space="preserve"> </w:t>
      </w:r>
      <w:r>
        <w:rPr>
          <w:szCs w:val="22"/>
        </w:rPr>
        <w:t xml:space="preserve">also </w:t>
      </w:r>
      <w:r w:rsidRPr="005D46C5">
        <w:rPr>
          <w:szCs w:val="22"/>
        </w:rPr>
        <w:t xml:space="preserve">argues it is necessary to </w:t>
      </w:r>
      <w:r>
        <w:rPr>
          <w:szCs w:val="22"/>
        </w:rPr>
        <w:t>understand</w:t>
      </w:r>
      <w:r w:rsidRPr="005D46C5">
        <w:rPr>
          <w:szCs w:val="22"/>
        </w:rPr>
        <w:t xml:space="preserve"> the filter roll</w:t>
      </w:r>
      <w:r>
        <w:rPr>
          <w:szCs w:val="22"/>
        </w:rPr>
        <w:t>-</w:t>
      </w:r>
      <w:r w:rsidRPr="005D46C5">
        <w:rPr>
          <w:szCs w:val="22"/>
        </w:rPr>
        <w:t xml:space="preserve">off characteristics of the equipment being used in order to </w:t>
      </w:r>
      <w:r>
        <w:rPr>
          <w:szCs w:val="22"/>
        </w:rPr>
        <w:t>calculate the</w:t>
      </w:r>
      <w:r w:rsidRPr="005D46C5">
        <w:rPr>
          <w:szCs w:val="22"/>
        </w:rPr>
        <w:t xml:space="preserve"> amount of power </w:t>
      </w:r>
      <w:r>
        <w:rPr>
          <w:szCs w:val="22"/>
        </w:rPr>
        <w:t xml:space="preserve">that </w:t>
      </w:r>
      <w:r w:rsidRPr="005D46C5">
        <w:rPr>
          <w:szCs w:val="22"/>
        </w:rPr>
        <w:t xml:space="preserve">would be transmitted by that equipment into a 200 MHz </w:t>
      </w:r>
      <w:r>
        <w:rPr>
          <w:szCs w:val="22"/>
        </w:rPr>
        <w:t>block</w:t>
      </w:r>
      <w:r w:rsidRPr="005D46C5">
        <w:rPr>
          <w:szCs w:val="22"/>
        </w:rPr>
        <w:t xml:space="preserve"> of the 23.6-24.0 GHz</w:t>
      </w:r>
      <w:r>
        <w:rPr>
          <w:szCs w:val="22"/>
        </w:rPr>
        <w:t xml:space="preserve"> band</w:t>
      </w:r>
      <w:r w:rsidRPr="005D46C5">
        <w:rPr>
          <w:szCs w:val="22"/>
        </w:rPr>
        <w:t xml:space="preserve">, and therefore requests that the Commission delay making a decision on limits until </w:t>
      </w:r>
      <w:r>
        <w:rPr>
          <w:szCs w:val="22"/>
        </w:rPr>
        <w:t xml:space="preserve">the Commission </w:t>
      </w:r>
      <w:r w:rsidRPr="005D46C5">
        <w:rPr>
          <w:szCs w:val="22"/>
        </w:rPr>
        <w:t>has completed such an evaluation.</w:t>
      </w:r>
      <w:r>
        <w:rPr>
          <w:szCs w:val="22"/>
        </w:rPr>
        <w:t xml:space="preserve">  </w:t>
      </w:r>
      <w:r>
        <w:rPr>
          <w:i/>
          <w:iCs/>
          <w:szCs w:val="22"/>
        </w:rPr>
        <w:t>Id.</w:t>
      </w:r>
      <w:r>
        <w:rPr>
          <w:szCs w:val="22"/>
        </w:rPr>
        <w:t xml:space="preserve">  Assuming we adopt rules that will limit the amount of unwanted emissions into the EESS band, our licensees will be required to comply with those limits by any means necessary.  Although we invite commenters to provide information on filter roll-off characteristics, we see no need to delay this proceeding pending such information.</w:t>
      </w:r>
    </w:p>
  </w:footnote>
  <w:footnote w:id="45">
    <w:p w:rsidR="00283B02" w:rsidP="00B83427" w14:paraId="1360C57F" w14:textId="77777777">
      <w:pPr>
        <w:pStyle w:val="FootnoteText"/>
      </w:pPr>
      <w:r>
        <w:rPr>
          <w:rStyle w:val="FootnoteReference"/>
        </w:rPr>
        <w:footnoteRef/>
      </w:r>
      <w:r>
        <w:t xml:space="preserve"> </w:t>
      </w:r>
      <w:r w:rsidRPr="005D46C5">
        <w:t>CORF Comments at</w:t>
      </w:r>
      <w:r>
        <w:t xml:space="preserve"> 9.</w:t>
      </w:r>
    </w:p>
  </w:footnote>
  <w:footnote w:id="46">
    <w:p w:rsidR="00283B02" w:rsidP="00B83427" w14:paraId="02855CE0" w14:textId="77777777">
      <w:pPr>
        <w:pStyle w:val="FootnoteText"/>
      </w:pPr>
      <w:r>
        <w:rPr>
          <w:rStyle w:val="FootnoteReference"/>
        </w:rPr>
        <w:footnoteRef/>
      </w:r>
      <w:r>
        <w:t xml:space="preserve"> </w:t>
      </w:r>
      <w:r>
        <w:rPr>
          <w:rStyle w:val="normaltextrun"/>
          <w:color w:val="000000"/>
          <w:bdr w:val="none" w:sz="0" w:space="0" w:color="auto" w:frame="1"/>
        </w:rPr>
        <w:t>AT&amp;T Reply Comments at 4; T-Mobile Reply Comments at 6; CTIA Reply Comments at 7.</w:t>
      </w:r>
    </w:p>
  </w:footnote>
  <w:footnote w:id="47">
    <w:p w:rsidR="00283B02" w:rsidP="00B83427" w14:paraId="5148B8A4" w14:textId="77777777">
      <w:pPr>
        <w:pStyle w:val="FootnoteText"/>
      </w:pPr>
      <w:r>
        <w:rPr>
          <w:rStyle w:val="FootnoteReference"/>
        </w:rPr>
        <w:footnoteRef/>
      </w:r>
      <w:r>
        <w:t xml:space="preserve"> AT&amp;T Reply Comments at 4.</w:t>
      </w:r>
    </w:p>
  </w:footnote>
  <w:footnote w:id="48">
    <w:p w:rsidR="00283B02" w:rsidP="00B83427" w14:paraId="6DE05F6B" w14:textId="77777777">
      <w:pPr>
        <w:pStyle w:val="FootnoteText"/>
      </w:pPr>
      <w:r>
        <w:rPr>
          <w:rStyle w:val="FootnoteReference"/>
        </w:rPr>
        <w:footnoteRef/>
      </w:r>
      <w:r>
        <w:t xml:space="preserve"> T-Mobile Reply Comments at 6.</w:t>
      </w:r>
    </w:p>
  </w:footnote>
  <w:footnote w:id="49">
    <w:p w:rsidR="00283B02" w:rsidP="00B83427" w14:paraId="53B975AB" w14:textId="77777777">
      <w:pPr>
        <w:pStyle w:val="FootnoteText"/>
      </w:pPr>
      <w:r>
        <w:rPr>
          <w:rStyle w:val="FootnoteReference"/>
        </w:rPr>
        <w:footnoteRef/>
      </w:r>
      <w:r>
        <w:t xml:space="preserve"> CTIA Reply Comments at 5.</w:t>
      </w:r>
    </w:p>
  </w:footnote>
  <w:footnote w:id="50">
    <w:p w:rsidR="00283B02" w:rsidRPr="00624007" w:rsidP="00B83427" w14:paraId="0CE40D3F" w14:textId="508AEB9F">
      <w:pPr>
        <w:pStyle w:val="FootnoteText"/>
      </w:pPr>
      <w:r>
        <w:rPr>
          <w:rStyle w:val="FootnoteReference"/>
        </w:rPr>
        <w:footnoteRef/>
      </w:r>
      <w:r>
        <w:t xml:space="preserve"> </w:t>
      </w:r>
      <w:r>
        <w:rPr>
          <w:i/>
          <w:iCs/>
        </w:rPr>
        <w:t xml:space="preserve">Compare </w:t>
      </w:r>
      <w:r>
        <w:t>United States Table of Allocations, 47 CFR § 2.106</w:t>
      </w:r>
      <w:r w:rsidR="007A341B">
        <w:t>(c)(74)</w:t>
      </w:r>
      <w:r>
        <w:t xml:space="preserve"> (“In the bands . . . 23.6-24.0 . . . GHz, the radio astronomy service shall be protected from unwanted emissions only to the extent that such radiation exceeds the level which would be present if the offending station were operating in compliance with the technical standards or criteria applicable to the service in which it operates.”) </w:t>
      </w:r>
      <w:r>
        <w:rPr>
          <w:i/>
          <w:iCs/>
        </w:rPr>
        <w:t>with id.</w:t>
      </w:r>
      <w:r>
        <w:t xml:space="preserve"> at </w:t>
      </w:r>
      <w:r w:rsidR="007A341B">
        <w:t>(c)(246)</w:t>
      </w:r>
      <w:r>
        <w:t xml:space="preserve"> (“No station shall be authorized to transmit in the following bands. . .”).</w:t>
      </w:r>
    </w:p>
  </w:footnote>
  <w:footnote w:id="51">
    <w:p w:rsidR="00283B02" w:rsidRPr="00BF68A0" w:rsidP="00B83427" w14:paraId="23DCE17C" w14:textId="5FD39233">
      <w:pPr>
        <w:pStyle w:val="FootnoteText"/>
      </w:pPr>
      <w:r>
        <w:rPr>
          <w:rStyle w:val="FootnoteReference"/>
        </w:rPr>
        <w:footnoteRef/>
      </w:r>
      <w:r>
        <w:t xml:space="preserve"> </w:t>
      </w:r>
      <w:r>
        <w:rPr>
          <w:i/>
          <w:iCs/>
        </w:rPr>
        <w:t>See</w:t>
      </w:r>
      <w:r>
        <w:t xml:space="preserve"> Appendix A for the proposed rule text.  The proposed footnote would require that stations in the mobile service in the 24.25-27.5 GHz band comply with the Resolution 750 emission limits.  </w:t>
      </w:r>
    </w:p>
  </w:footnote>
  <w:footnote w:id="52">
    <w:p w:rsidR="00283B02" w:rsidRPr="00913370" w:rsidP="00B83427" w14:paraId="6BC32357" w14:textId="77777777">
      <w:pPr>
        <w:pStyle w:val="FootnoteText"/>
      </w:pPr>
      <w:r>
        <w:rPr>
          <w:rStyle w:val="FootnoteReference"/>
        </w:rPr>
        <w:footnoteRef/>
      </w:r>
      <w:r>
        <w:t xml:space="preserve"> </w:t>
      </w:r>
      <w:r>
        <w:rPr>
          <w:i/>
          <w:iCs/>
        </w:rPr>
        <w:t>See</w:t>
      </w:r>
      <w:r>
        <w:t xml:space="preserve"> 47 CFR </w:t>
      </w:r>
      <w:r w:rsidRPr="005D46C5">
        <w:t>§</w:t>
      </w:r>
      <w:r>
        <w:t xml:space="preserve"> 30.203.</w:t>
      </w:r>
    </w:p>
  </w:footnote>
  <w:footnote w:id="53">
    <w:p w:rsidR="00283B02" w:rsidRPr="005D46C5" w:rsidP="00B83427" w14:paraId="382FC3E1" w14:textId="71FE1DAC">
      <w:pPr>
        <w:pStyle w:val="FootnoteText"/>
      </w:pPr>
      <w:r w:rsidRPr="005D46C5">
        <w:rPr>
          <w:rStyle w:val="FootnoteReference"/>
        </w:rPr>
        <w:footnoteRef/>
      </w:r>
      <w:r w:rsidRPr="005D46C5">
        <w:t xml:space="preserve"> </w:t>
      </w:r>
      <w:r w:rsidR="002B0AE0">
        <w:rPr>
          <w:i/>
          <w:iCs/>
        </w:rPr>
        <w:t>See</w:t>
      </w:r>
      <w:r w:rsidRPr="009B54A2" w:rsidR="002B0AE0">
        <w:rPr>
          <w:i/>
        </w:rPr>
        <w:t xml:space="preserve"> </w:t>
      </w:r>
      <w:r w:rsidRPr="005D46C5">
        <w:t>CORF Comment</w:t>
      </w:r>
      <w:r>
        <w:t>s</w:t>
      </w:r>
      <w:r w:rsidRPr="005D46C5">
        <w:t xml:space="preserve"> at 12</w:t>
      </w:r>
      <w:r>
        <w:t xml:space="preserve">; </w:t>
      </w:r>
      <w:r w:rsidRPr="005D46C5">
        <w:t>CTIA Reply Comment</w:t>
      </w:r>
      <w:r>
        <w:t>s</w:t>
      </w:r>
      <w:r w:rsidRPr="005D46C5">
        <w:t xml:space="preserve"> at </w:t>
      </w:r>
      <w:r>
        <w:t>7-</w:t>
      </w:r>
      <w:r w:rsidRPr="005D46C5">
        <w:t>8; T-Mobile Reply Comment</w:t>
      </w:r>
      <w:r>
        <w:t>s</w:t>
      </w:r>
      <w:r w:rsidRPr="005D46C5">
        <w:t xml:space="preserve"> at </w:t>
      </w:r>
      <w:r>
        <w:t xml:space="preserve">1; </w:t>
      </w:r>
      <w:r>
        <w:rPr>
          <w:i/>
          <w:iCs/>
        </w:rPr>
        <w:t>see</w:t>
      </w:r>
      <w:r>
        <w:t xml:space="preserve"> </w:t>
      </w:r>
      <w:r w:rsidRPr="009B54A2">
        <w:rPr>
          <w:i/>
        </w:rPr>
        <w:t>also</w:t>
      </w:r>
      <w:r>
        <w:t xml:space="preserve"> Johnson &amp; Lucas Congressional Letter at 2 (advocating that changes to the </w:t>
      </w:r>
      <w:r w:rsidRPr="002103CF">
        <w:t xml:space="preserve">24 GHz </w:t>
      </w:r>
      <w:r>
        <w:t xml:space="preserve">emissions limits be made </w:t>
      </w:r>
      <w:r w:rsidRPr="002103CF">
        <w:t>through amend</w:t>
      </w:r>
      <w:r>
        <w:t>ing</w:t>
      </w:r>
      <w:r w:rsidRPr="002103CF">
        <w:t xml:space="preserve"> the Part 30 UMFUS rules</w:t>
      </w:r>
      <w:r>
        <w:t xml:space="preserve">). </w:t>
      </w:r>
    </w:p>
  </w:footnote>
  <w:footnote w:id="54">
    <w:p w:rsidR="00283B02" w:rsidRPr="005D46C5" w:rsidP="00B83427" w14:paraId="1B7A7192" w14:textId="2D62CD67">
      <w:pPr>
        <w:pStyle w:val="FootnoteText"/>
      </w:pPr>
      <w:r w:rsidRPr="005D46C5">
        <w:rPr>
          <w:rStyle w:val="FootnoteReference"/>
        </w:rPr>
        <w:footnoteRef/>
      </w:r>
      <w:r w:rsidRPr="005D46C5">
        <w:t xml:space="preserve"> </w:t>
      </w:r>
      <w:r w:rsidRPr="005D46C5">
        <w:rPr>
          <w:i/>
          <w:iCs/>
        </w:rPr>
        <w:t xml:space="preserve">See </w:t>
      </w:r>
      <w:r w:rsidRPr="005D46C5">
        <w:t>47 CFR § 2.1 (“Mobile Service. A radiocommunication service between mobile and land stations, or between mobile stations.”)</w:t>
      </w:r>
      <w:r>
        <w:t>;</w:t>
      </w:r>
      <w:r w:rsidRPr="005D46C5">
        <w:t xml:space="preserve"> </w:t>
      </w:r>
      <w:r w:rsidR="007D63F3">
        <w:rPr>
          <w:i/>
          <w:iCs/>
        </w:rPr>
        <w:t xml:space="preserve">see also </w:t>
      </w:r>
      <w:r w:rsidRPr="005D46C5">
        <w:t>47 CFR § 20.3 (“Mobile Service. A radio communication service carried on between mobile stations or receivers and land stations, and by mobile stations communicating among themselves, and includes: (a) Both one-way and two-way radio communications services; (b) A mobile service which provides a regularly interacting group of base, mobile, portable, and associated control and relay stations (whether licensed on an individual, cooperative, or multiple basis) for private one-way or two-way land mobile radio communications by eligible users over designated areas of operation; and (c) Any service for which a license is required in a personal communications service under part 24 of this chapter.”)</w:t>
      </w:r>
    </w:p>
  </w:footnote>
  <w:footnote w:id="55">
    <w:p w:rsidR="00283B02" w:rsidP="00B83427" w14:paraId="4363B7EB" w14:textId="77777777">
      <w:pPr>
        <w:pStyle w:val="FootnoteText"/>
      </w:pPr>
      <w:r>
        <w:rPr>
          <w:rStyle w:val="FootnoteReference"/>
        </w:rPr>
        <w:footnoteRef/>
      </w:r>
      <w:r>
        <w:t xml:space="preserve"> </w:t>
      </w:r>
      <w:r w:rsidRPr="00EC4E9A">
        <w:rPr>
          <w:szCs w:val="22"/>
        </w:rPr>
        <w:t xml:space="preserve">NTIA </w:t>
      </w:r>
      <w:r>
        <w:rPr>
          <w:szCs w:val="22"/>
        </w:rPr>
        <w:t>Comments</w:t>
      </w:r>
      <w:r w:rsidRPr="00EC4E9A">
        <w:rPr>
          <w:szCs w:val="22"/>
        </w:rPr>
        <w:t xml:space="preserve"> at 11</w:t>
      </w:r>
      <w:r>
        <w:rPr>
          <w:szCs w:val="22"/>
        </w:rPr>
        <w:t>.</w:t>
      </w:r>
    </w:p>
  </w:footnote>
  <w:footnote w:id="56">
    <w:p w:rsidR="00283B02" w:rsidP="00B83427" w14:paraId="63938FF4" w14:textId="0D6262D7">
      <w:pPr>
        <w:pStyle w:val="FootnoteText"/>
      </w:pPr>
      <w:r>
        <w:rPr>
          <w:rStyle w:val="FootnoteReference"/>
        </w:rPr>
        <w:footnoteRef/>
      </w:r>
      <w:r>
        <w:t xml:space="preserve"> </w:t>
      </w:r>
      <w:r w:rsidRPr="005D46C5">
        <w:rPr>
          <w:i/>
          <w:iCs/>
        </w:rPr>
        <w:t xml:space="preserve">See </w:t>
      </w:r>
      <w:r w:rsidRPr="005D46C5">
        <w:t>NTIA Comment</w:t>
      </w:r>
      <w:r>
        <w:t>s</w:t>
      </w:r>
      <w:r w:rsidRPr="005D46C5">
        <w:t xml:space="preserve"> at 11</w:t>
      </w:r>
      <w:r>
        <w:t xml:space="preserve">; CORF Comments at 13; </w:t>
      </w:r>
      <w:r w:rsidRPr="005D46C5">
        <w:t>CTIA Comment</w:t>
      </w:r>
      <w:r>
        <w:t>s</w:t>
      </w:r>
      <w:r w:rsidRPr="005D46C5">
        <w:t xml:space="preserve"> at 6-7;</w:t>
      </w:r>
      <w:r>
        <w:t xml:space="preserve"> </w:t>
      </w:r>
      <w:r w:rsidRPr="005D46C5">
        <w:t>Qualcomm Comment</w:t>
      </w:r>
      <w:r>
        <w:t>s</w:t>
      </w:r>
      <w:r w:rsidRPr="005D46C5">
        <w:t xml:space="preserve"> at 1; T-Mobile Comment</w:t>
      </w:r>
      <w:r>
        <w:t>s</w:t>
      </w:r>
      <w:r w:rsidRPr="005D46C5">
        <w:t xml:space="preserve"> at 6</w:t>
      </w:r>
      <w:r>
        <w:t>; Johnson &amp; Lucas Congressional Letter at 2</w:t>
      </w:r>
      <w:r w:rsidRPr="005D46C5">
        <w:t xml:space="preserve">. </w:t>
      </w:r>
      <w:r>
        <w:t xml:space="preserve"> </w:t>
      </w:r>
      <w:r w:rsidRPr="005D46C5">
        <w:t xml:space="preserve">Qualcomm opposes the WRC limits and asks the Commission to maintain the existing </w:t>
      </w:r>
      <w:r w:rsidR="00E9008C">
        <w:t>–</w:t>
      </w:r>
      <w:r w:rsidRPr="005D46C5">
        <w:t xml:space="preserve">13 dBm/MHz OOBE standard, </w:t>
      </w:r>
      <w:r>
        <w:t xml:space="preserve">but </w:t>
      </w:r>
      <w:r w:rsidRPr="005D46C5">
        <w:t>to the extent the Commission will adopt the</w:t>
      </w:r>
      <w:r>
        <w:t xml:space="preserve"> WRC</w:t>
      </w:r>
      <w:r w:rsidRPr="005D46C5">
        <w:t xml:space="preserve"> limits, it asks that they apply </w:t>
      </w:r>
      <w:r>
        <w:t xml:space="preserve">only </w:t>
      </w:r>
      <w:r w:rsidRPr="005D46C5">
        <w:t>to mobile deployments.</w:t>
      </w:r>
      <w:r>
        <w:t xml:space="preserve">  Qualcomm Comments at 2.</w:t>
      </w:r>
    </w:p>
  </w:footnote>
  <w:footnote w:id="57">
    <w:p w:rsidR="00283B02" w:rsidRPr="00162E62" w14:paraId="12C34BE7" w14:textId="34A4A0CD">
      <w:pPr>
        <w:pStyle w:val="FootnoteText"/>
      </w:pPr>
      <w:r>
        <w:rPr>
          <w:rStyle w:val="FootnoteReference"/>
        </w:rPr>
        <w:footnoteRef/>
      </w:r>
      <w:r>
        <w:t xml:space="preserve"> Point-to-multipoint operations include transportable user equipment, where the user equipment is not intended to be used while in motion, but the equipment could be moved when not in operation.  </w:t>
      </w:r>
      <w:r>
        <w:rPr>
          <w:i/>
          <w:iCs/>
        </w:rPr>
        <w:t>See</w:t>
      </w:r>
      <w:r>
        <w:t xml:space="preserve"> 47 CFR § 30.2.</w:t>
      </w:r>
    </w:p>
  </w:footnote>
  <w:footnote w:id="58">
    <w:p w:rsidR="00283B02" w:rsidP="00B83427" w14:paraId="2F067ED3" w14:textId="77777777">
      <w:pPr>
        <w:pStyle w:val="FootnoteText"/>
      </w:pPr>
      <w:r>
        <w:rPr>
          <w:rStyle w:val="FootnoteReference"/>
        </w:rPr>
        <w:footnoteRef/>
      </w:r>
      <w:r>
        <w:t xml:space="preserve"> </w:t>
      </w:r>
      <w:r w:rsidRPr="005D46C5">
        <w:t xml:space="preserve">NTIA </w:t>
      </w:r>
      <w:r>
        <w:t>Comments</w:t>
      </w:r>
      <w:r w:rsidRPr="005D46C5">
        <w:t xml:space="preserve"> at 12.</w:t>
      </w:r>
    </w:p>
  </w:footnote>
  <w:footnote w:id="59">
    <w:p w:rsidR="00283B02" w:rsidRPr="005D46C5" w:rsidP="00B83427" w14:paraId="273C2FCF" w14:textId="237BA189">
      <w:pPr>
        <w:pStyle w:val="FootnoteText"/>
      </w:pPr>
      <w:r w:rsidRPr="005D46C5">
        <w:rPr>
          <w:rStyle w:val="FootnoteReference"/>
        </w:rPr>
        <w:footnoteRef/>
      </w:r>
      <w:r w:rsidRPr="005D46C5">
        <w:t xml:space="preserve"> NTIA </w:t>
      </w:r>
      <w:r>
        <w:t>Comments</w:t>
      </w:r>
      <w:r w:rsidRPr="005D46C5">
        <w:t xml:space="preserve"> at 12.</w:t>
      </w:r>
      <w:r w:rsidR="00FE1B2C">
        <w:t xml:space="preserve">  </w:t>
      </w:r>
      <w:r w:rsidRPr="00F66B7C" w:rsidR="00FE1B2C">
        <w:rPr>
          <w:szCs w:val="22"/>
        </w:rPr>
        <w:t>NTIA further submits that the applicability of OOBE limits to fixed deployments is an issue that could merit explicit study</w:t>
      </w:r>
      <w:r w:rsidR="00FE1B2C">
        <w:rPr>
          <w:szCs w:val="22"/>
        </w:rPr>
        <w:t>—</w:t>
      </w:r>
      <w:r w:rsidRPr="00F66B7C" w:rsidR="00FE1B2C">
        <w:rPr>
          <w:szCs w:val="22"/>
        </w:rPr>
        <w:t>perhaps jointly by the Commission and NTIA</w:t>
      </w:r>
      <w:r w:rsidR="00FE1B2C">
        <w:rPr>
          <w:szCs w:val="22"/>
        </w:rPr>
        <w:t>—</w:t>
      </w:r>
      <w:r w:rsidRPr="00F66B7C" w:rsidR="00FE1B2C">
        <w:rPr>
          <w:szCs w:val="22"/>
        </w:rPr>
        <w:t>to gain sufficient confidence to relax the rules for fixed services.</w:t>
      </w:r>
      <w:r w:rsidR="00FE1B2C">
        <w:rPr>
          <w:szCs w:val="22"/>
        </w:rPr>
        <w:t xml:space="preserve"> </w:t>
      </w:r>
      <w:r w:rsidRPr="009B54A2" w:rsidR="00FE1B2C">
        <w:rPr>
          <w:i/>
          <w:iCs/>
          <w:szCs w:val="22"/>
        </w:rPr>
        <w:t>Id</w:t>
      </w:r>
      <w:r w:rsidR="00FE1B2C">
        <w:rPr>
          <w:szCs w:val="22"/>
        </w:rPr>
        <w:t>.</w:t>
      </w:r>
    </w:p>
  </w:footnote>
  <w:footnote w:id="60">
    <w:p w:rsidR="00283B02" w:rsidRPr="005D46C5" w:rsidP="00B83427" w14:paraId="4B02D2CB" w14:textId="77777777">
      <w:pPr>
        <w:pStyle w:val="FootnoteText"/>
      </w:pPr>
      <w:r w:rsidRPr="005D46C5">
        <w:rPr>
          <w:rStyle w:val="FootnoteReference"/>
        </w:rPr>
        <w:footnoteRef/>
      </w:r>
      <w:r w:rsidRPr="005D46C5">
        <w:t xml:space="preserve"> NTIA </w:t>
      </w:r>
      <w:r>
        <w:t>Comments</w:t>
      </w:r>
      <w:r w:rsidRPr="005D46C5">
        <w:t xml:space="preserve"> at 12.</w:t>
      </w:r>
    </w:p>
  </w:footnote>
  <w:footnote w:id="61">
    <w:p w:rsidR="00283B02" w:rsidRPr="005D46C5" w:rsidP="00B83427" w14:paraId="465D913C" w14:textId="180FD40D">
      <w:pPr>
        <w:pStyle w:val="FootnoteText"/>
      </w:pPr>
      <w:r w:rsidRPr="005D46C5">
        <w:rPr>
          <w:rStyle w:val="FootnoteReference"/>
        </w:rPr>
        <w:footnoteRef/>
      </w:r>
      <w:r w:rsidRPr="005D46C5">
        <w:t xml:space="preserve"> </w:t>
      </w:r>
      <w:r w:rsidR="00CD7392">
        <w:rPr>
          <w:i/>
          <w:iCs/>
        </w:rPr>
        <w:t>See</w:t>
      </w:r>
      <w:r w:rsidRPr="009B54A2" w:rsidR="00CD7392">
        <w:rPr>
          <w:i/>
        </w:rPr>
        <w:t xml:space="preserve"> </w:t>
      </w:r>
      <w:r w:rsidRPr="005D46C5">
        <w:t xml:space="preserve">CORF </w:t>
      </w:r>
      <w:r>
        <w:t>Comments</w:t>
      </w:r>
      <w:r w:rsidRPr="005D46C5">
        <w:t xml:space="preserve"> at 13; IEEE </w:t>
      </w:r>
      <w:r>
        <w:t>Comments</w:t>
      </w:r>
      <w:r w:rsidRPr="005D46C5">
        <w:t xml:space="preserve"> at 5</w:t>
      </w:r>
      <w:r>
        <w:t xml:space="preserve">; </w:t>
      </w:r>
      <w:r w:rsidRPr="006E1371">
        <w:rPr>
          <w:i/>
          <w:iCs/>
        </w:rPr>
        <w:t>see also</w:t>
      </w:r>
      <w:r w:rsidRPr="005D46C5">
        <w:t xml:space="preserve"> </w:t>
      </w:r>
      <w:r>
        <w:t xml:space="preserve">Johnson &amp; Lucas Congressional Letter at 2 (advocating that the Commission </w:t>
      </w:r>
      <w:r w:rsidRPr="002103CF">
        <w:t>should consider applying the WRC-19 OOB</w:t>
      </w:r>
      <w:r>
        <w:t>E</w:t>
      </w:r>
      <w:r w:rsidRPr="002103CF">
        <w:t xml:space="preserve"> limits to all fixed systems</w:t>
      </w:r>
      <w:r>
        <w:t>)</w:t>
      </w:r>
      <w:r w:rsidRPr="005D46C5">
        <w:t xml:space="preserve">. </w:t>
      </w:r>
    </w:p>
  </w:footnote>
  <w:footnote w:id="62">
    <w:p w:rsidR="00283B02" w:rsidRPr="007A3684" w:rsidP="00B83427" w14:paraId="0E997C52" w14:textId="77777777">
      <w:pPr>
        <w:pStyle w:val="FootnoteText"/>
      </w:pPr>
      <w:r>
        <w:rPr>
          <w:rStyle w:val="FootnoteReference"/>
        </w:rPr>
        <w:footnoteRef/>
      </w:r>
      <w:r>
        <w:t xml:space="preserve"> We note the arguments that the scientific community is unable to determine whether data has been corrupted by low-level interference.  </w:t>
      </w:r>
      <w:r>
        <w:rPr>
          <w:i/>
          <w:iCs/>
        </w:rPr>
        <w:t xml:space="preserve">See </w:t>
      </w:r>
      <w:r>
        <w:t>CORF Comments at 13-14.</w:t>
      </w:r>
    </w:p>
  </w:footnote>
  <w:footnote w:id="63">
    <w:p w:rsidR="00283B02" w:rsidRPr="00604C45" w:rsidP="00B83427" w14:paraId="3143213E" w14:textId="127695C5">
      <w:pPr>
        <w:pStyle w:val="FootnoteText"/>
      </w:pPr>
      <w:r>
        <w:rPr>
          <w:rStyle w:val="FootnoteReference"/>
        </w:rPr>
        <w:footnoteRef/>
      </w:r>
      <w:r>
        <w:t xml:space="preserve"> </w:t>
      </w:r>
      <w:r>
        <w:rPr>
          <w:i/>
          <w:iCs/>
        </w:rPr>
        <w:t>See</w:t>
      </w:r>
      <w:r>
        <w:t xml:space="preserve"> 47 CFR § 101.111(a)(2)(ii) (</w:t>
      </w:r>
      <w:r w:rsidR="00C21A2B">
        <w:t>“</w:t>
      </w:r>
      <w:r w:rsidRPr="00C9332A">
        <w:t>Attenuation greater than 56 decibels or to an absolute power of less than −13 dBm/1MHz is not required.</w:t>
      </w:r>
      <w:r>
        <w:t>”)</w:t>
      </w:r>
    </w:p>
  </w:footnote>
  <w:footnote w:id="64">
    <w:p w:rsidR="00283B02" w:rsidRPr="00A478E3" w:rsidP="00B83427" w14:paraId="775F1DFD" w14:textId="77777777">
      <w:pPr>
        <w:pStyle w:val="FootnoteText"/>
      </w:pPr>
      <w:r>
        <w:rPr>
          <w:rStyle w:val="FootnoteReference"/>
        </w:rPr>
        <w:footnoteRef/>
      </w:r>
      <w:r>
        <w:t xml:space="preserve"> </w:t>
      </w:r>
      <w:r>
        <w:rPr>
          <w:i/>
          <w:iCs/>
        </w:rPr>
        <w:t xml:space="preserve">See </w:t>
      </w:r>
      <w:r>
        <w:t>NTIA Comments at 12.</w:t>
      </w:r>
    </w:p>
  </w:footnote>
  <w:footnote w:id="65">
    <w:p w:rsidR="00283B02" w:rsidP="00B83427" w14:paraId="170E6448" w14:textId="77777777">
      <w:pPr>
        <w:pStyle w:val="FootnoteText"/>
      </w:pPr>
      <w:r>
        <w:rPr>
          <w:rStyle w:val="FootnoteReference"/>
        </w:rPr>
        <w:footnoteRef/>
      </w:r>
      <w:r>
        <w:t xml:space="preserve"> Ericsson Comments at 5-6; AT&amp;T Reply Comments at 6-7.</w:t>
      </w:r>
    </w:p>
  </w:footnote>
  <w:footnote w:id="66">
    <w:p w:rsidR="00283B02" w:rsidRPr="005D46C5" w:rsidP="00B83427" w14:paraId="1E29CAE4" w14:textId="77777777">
      <w:pPr>
        <w:pStyle w:val="FootnoteText"/>
      </w:pPr>
      <w:r w:rsidRPr="005D46C5">
        <w:rPr>
          <w:rStyle w:val="FootnoteReference"/>
        </w:rPr>
        <w:footnoteRef/>
      </w:r>
      <w:r w:rsidRPr="005D46C5">
        <w:t xml:space="preserve"> CTIA </w:t>
      </w:r>
      <w:r>
        <w:t>Comments</w:t>
      </w:r>
      <w:r w:rsidRPr="005D46C5">
        <w:t xml:space="preserve"> at 7; Ericsson </w:t>
      </w:r>
      <w:r>
        <w:t>Comments</w:t>
      </w:r>
      <w:r w:rsidRPr="005D46C5">
        <w:t xml:space="preserve"> at 4; Nokia Comments at 1-2; T-Mobile </w:t>
      </w:r>
      <w:r>
        <w:t>Comments</w:t>
      </w:r>
      <w:r w:rsidRPr="005D46C5">
        <w:t xml:space="preserve"> at 5; AT&amp;T Reply Comment</w:t>
      </w:r>
      <w:r>
        <w:t>s</w:t>
      </w:r>
      <w:r w:rsidRPr="005D46C5">
        <w:t xml:space="preserve"> at 3</w:t>
      </w:r>
      <w:r>
        <w:t>-4</w:t>
      </w:r>
      <w:r w:rsidRPr="005D46C5">
        <w:t>.</w:t>
      </w:r>
    </w:p>
  </w:footnote>
  <w:footnote w:id="67">
    <w:p w:rsidR="00283B02" w:rsidRPr="005D46C5" w:rsidP="00B83427" w14:paraId="4459512A" w14:textId="6D2B158D">
      <w:pPr>
        <w:pStyle w:val="FootnoteText"/>
      </w:pPr>
      <w:r w:rsidRPr="005D46C5">
        <w:rPr>
          <w:rStyle w:val="FootnoteReference"/>
        </w:rPr>
        <w:footnoteRef/>
      </w:r>
      <w:r w:rsidRPr="005D46C5">
        <w:t xml:space="preserve"> Nokia</w:t>
      </w:r>
      <w:r w:rsidRPr="005D46C5">
        <w:rPr>
          <w:b/>
          <w:bCs/>
        </w:rPr>
        <w:t xml:space="preserve"> </w:t>
      </w:r>
      <w:r w:rsidRPr="005D46C5">
        <w:t xml:space="preserve">states its equipment meets the current WRC limits and that it is devoting substantial resources to meet the stricter limits by, but not earlier than, September 1, 2027. Nokia </w:t>
      </w:r>
      <w:r>
        <w:t>Comments</w:t>
      </w:r>
      <w:r w:rsidRPr="005D46C5">
        <w:t xml:space="preserve"> at 1-2.  Likewise, Ericsson states it already designs its equipment to meet the current, phase 1 WRC-19 limits, but cannot guarantee meeting the stricter, phase 2 limits prior to September 202</w:t>
      </w:r>
      <w:r>
        <w:t>7</w:t>
      </w:r>
      <w:r w:rsidRPr="005D46C5">
        <w:t xml:space="preserve">. </w:t>
      </w:r>
      <w:r w:rsidR="00847BCE">
        <w:t xml:space="preserve"> </w:t>
      </w:r>
      <w:r w:rsidRPr="005D46C5">
        <w:t xml:space="preserve">Ericsson </w:t>
      </w:r>
      <w:r>
        <w:t>Comments</w:t>
      </w:r>
      <w:r w:rsidRPr="005D46C5">
        <w:t xml:space="preserve"> at 4.  AT&amp;T states its planning is designed to meet Phase </w:t>
      </w:r>
      <w:r>
        <w:t>1</w:t>
      </w:r>
      <w:r w:rsidRPr="005D46C5">
        <w:t xml:space="preserve">, but Phase </w:t>
      </w:r>
      <w:r>
        <w:t>2</w:t>
      </w:r>
      <w:r w:rsidRPr="005D46C5">
        <w:t xml:space="preserve"> is significantly more restrictive and will require research and development, arguing against accelerated deadlines.  AT&amp;T Reply </w:t>
      </w:r>
      <w:r>
        <w:t>Comments</w:t>
      </w:r>
      <w:r w:rsidRPr="005D46C5">
        <w:t xml:space="preserve"> at 3-4.</w:t>
      </w:r>
    </w:p>
  </w:footnote>
  <w:footnote w:id="68">
    <w:p w:rsidR="00283B02" w:rsidRPr="005D46C5" w:rsidP="00B83427" w14:paraId="318B84E9" w14:textId="77777777">
      <w:pPr>
        <w:pStyle w:val="FootnoteText"/>
      </w:pPr>
      <w:r w:rsidRPr="005D46C5">
        <w:rPr>
          <w:rStyle w:val="FootnoteReference"/>
        </w:rPr>
        <w:footnoteRef/>
      </w:r>
      <w:r w:rsidRPr="005D46C5">
        <w:t xml:space="preserve"> CTIA </w:t>
      </w:r>
      <w:r>
        <w:t>Comments</w:t>
      </w:r>
      <w:r w:rsidRPr="005D46C5">
        <w:t xml:space="preserve"> at 7.</w:t>
      </w:r>
    </w:p>
  </w:footnote>
  <w:footnote w:id="69">
    <w:p w:rsidR="00283B02" w:rsidP="00A37E05" w14:paraId="4AF361BF" w14:textId="7416C83E">
      <w:pPr>
        <w:pStyle w:val="FootnoteText"/>
      </w:pPr>
      <w:r>
        <w:rPr>
          <w:rStyle w:val="FootnoteReference"/>
        </w:rPr>
        <w:footnoteRef/>
      </w:r>
      <w:r>
        <w:t xml:space="preserve"> </w:t>
      </w:r>
      <w:r>
        <w:rPr>
          <w:i/>
        </w:rPr>
        <w:t>See</w:t>
      </w:r>
      <w:r>
        <w:t xml:space="preserve"> 47 CFR </w:t>
      </w:r>
      <w:r w:rsidR="007B3FC2">
        <w:t xml:space="preserve"> pt. </w:t>
      </w:r>
      <w:r>
        <w:t>2</w:t>
      </w:r>
      <w:r w:rsidR="007B3FC2">
        <w:t>,</w:t>
      </w:r>
      <w:r>
        <w:t xml:space="preserve"> </w:t>
      </w:r>
      <w:r w:rsidR="007B3FC2">
        <w:t>s</w:t>
      </w:r>
      <w:r>
        <w:t>ubpart J.</w:t>
      </w:r>
    </w:p>
  </w:footnote>
  <w:footnote w:id="70">
    <w:p w:rsidR="00283B02" w:rsidP="002B6547" w14:paraId="29E0CB0F" w14:textId="290CEB4F">
      <w:pPr>
        <w:pStyle w:val="FootnoteText"/>
      </w:pPr>
      <w:r>
        <w:rPr>
          <w:rStyle w:val="FootnoteReference"/>
        </w:rPr>
        <w:footnoteRef/>
      </w:r>
      <w:r>
        <w:t xml:space="preserve"> </w:t>
      </w:r>
      <w:r>
        <w:rPr>
          <w:i/>
        </w:rPr>
        <w:t xml:space="preserve">See </w:t>
      </w:r>
      <w:r>
        <w:t xml:space="preserve">47 CFR §§ 2.803, 30.201.  Part 30 transmitters used for fixed point-to-point microwave and point-to-multipoint services do not require certification.  </w:t>
      </w:r>
      <w:r>
        <w:rPr>
          <w:i/>
        </w:rPr>
        <w:t xml:space="preserve">See also </w:t>
      </w:r>
      <w:r>
        <w:t xml:space="preserve">47 U.S.C. § 302a(b) (stating that no person shall manufacture, import, sell, offer for sale, or ship </w:t>
      </w:r>
      <w:r w:rsidRPr="00CC6B78">
        <w:t>device</w:t>
      </w:r>
      <w:r>
        <w:t xml:space="preserve">s or home electronic equipment and systems, or use </w:t>
      </w:r>
      <w:r w:rsidRPr="00CC6B78">
        <w:t>device</w:t>
      </w:r>
      <w:r>
        <w:t>s, which fail to comply with regulations promulgated under the Act).</w:t>
      </w:r>
    </w:p>
  </w:footnote>
  <w:footnote w:id="71">
    <w:p w:rsidR="00283B02" w:rsidRPr="005D46C5" w:rsidP="00B83427" w14:paraId="5076B184" w14:textId="77777777">
      <w:pPr>
        <w:pStyle w:val="FootnoteText"/>
      </w:pPr>
      <w:r w:rsidRPr="005D46C5">
        <w:rPr>
          <w:rStyle w:val="FootnoteReference"/>
        </w:rPr>
        <w:footnoteRef/>
      </w:r>
      <w:r w:rsidRPr="005D46C5">
        <w:t xml:space="preserve"> </w:t>
      </w:r>
      <w:r>
        <w:t>IEEE Comments at 4-5.</w:t>
      </w:r>
    </w:p>
  </w:footnote>
  <w:footnote w:id="72">
    <w:p w:rsidR="00283B02" w:rsidP="00B83427" w14:paraId="7484EABE" w14:textId="77777777">
      <w:pPr>
        <w:pStyle w:val="FootnoteText"/>
      </w:pPr>
      <w:r>
        <w:rPr>
          <w:rStyle w:val="FootnoteReference"/>
        </w:rPr>
        <w:footnoteRef/>
      </w:r>
      <w:r>
        <w:t xml:space="preserve"> </w:t>
      </w:r>
      <w:r>
        <w:rPr>
          <w:i/>
          <w:iCs/>
        </w:rPr>
        <w:t xml:space="preserve">See </w:t>
      </w:r>
      <w:r>
        <w:t>Ericsson Comments at 4; Nokia Comments at 2; AT&amp;T Reply Comments at 4.</w:t>
      </w:r>
    </w:p>
  </w:footnote>
  <w:footnote w:id="73">
    <w:p w:rsidR="00283B02" w:rsidRPr="00AD782D" w:rsidP="00B83427" w14:paraId="2A2E7A67" w14:textId="6FAC080B">
      <w:pPr>
        <w:pStyle w:val="FootnoteText"/>
      </w:pPr>
      <w:r>
        <w:rPr>
          <w:rStyle w:val="FootnoteReference"/>
        </w:rPr>
        <w:footnoteRef/>
      </w:r>
      <w:r>
        <w:t xml:space="preserve"> </w:t>
      </w:r>
      <w:r>
        <w:rPr>
          <w:i/>
          <w:iCs/>
        </w:rPr>
        <w:t>See</w:t>
      </w:r>
      <w:r>
        <w:t xml:space="preserve"> 47 CFR § 30.103 (buildout showing required with initial renewal application ten years after initial license grant).  Most 24 GHz licenses were issued in 2019; for example, 2,912 licenses were offered at 24 GHz in Auction 102, out of which 29 bidders won a total of 2,904 licenses.  </w:t>
      </w:r>
      <w:r>
        <w:rPr>
          <w:i/>
          <w:iCs/>
        </w:rPr>
        <w:t xml:space="preserve">See </w:t>
      </w:r>
      <w:r w:rsidRPr="00EF2BAB">
        <w:rPr>
          <w:i/>
          <w:iCs/>
        </w:rPr>
        <w:t>Auction of</w:t>
      </w:r>
      <w:r>
        <w:t xml:space="preserve"> </w:t>
      </w:r>
      <w:r>
        <w:rPr>
          <w:i/>
          <w:iCs/>
        </w:rPr>
        <w:t xml:space="preserve">24 GHz Upper Microwave Flexible Use Service Licenses Closes, </w:t>
      </w:r>
      <w:r>
        <w:t xml:space="preserve">Public Notice, 34 FCC Rcd 4294, 4294, para. 1 (OEA2019); </w:t>
      </w:r>
      <w:r w:rsidR="00E13E50">
        <w:rPr>
          <w:i/>
          <w:iCs/>
        </w:rPr>
        <w:t>s</w:t>
      </w:r>
      <w:r>
        <w:rPr>
          <w:i/>
          <w:iCs/>
        </w:rPr>
        <w:t>ee</w:t>
      </w:r>
      <w:r w:rsidR="00E13E50">
        <w:rPr>
          <w:i/>
          <w:iCs/>
        </w:rPr>
        <w:t xml:space="preserve"> also</w:t>
      </w:r>
      <w:r>
        <w:rPr>
          <w:i/>
          <w:iCs/>
        </w:rPr>
        <w:t xml:space="preserve"> Auctions of Upper Microwave Flexible Use Licenses for Next-Generation Wireless Services</w:t>
      </w:r>
      <w:r>
        <w:t>, Public Notice, 33 FCC Rcd 4103, 4105, para. 3 (OEA 2018)</w:t>
      </w:r>
      <w:r w:rsidR="00CF514E">
        <w:t xml:space="preserve"> (explaining that Auction 102 would offer 2,912 licenses in the 24 GHz band)</w:t>
      </w:r>
      <w:r>
        <w:t xml:space="preserve">. </w:t>
      </w:r>
      <w:r>
        <w:rPr>
          <w:i/>
          <w:iCs/>
        </w:rPr>
        <w:t xml:space="preserve"> </w:t>
      </w:r>
    </w:p>
  </w:footnote>
  <w:footnote w:id="74">
    <w:p w:rsidR="00283B02" w:rsidRPr="005D46C5" w:rsidP="00B83427" w14:paraId="541A932A" w14:textId="77777777">
      <w:pPr>
        <w:pStyle w:val="FootnoteText"/>
      </w:pPr>
      <w:r w:rsidRPr="005D46C5">
        <w:rPr>
          <w:rStyle w:val="FootnoteReference"/>
        </w:rPr>
        <w:footnoteRef/>
      </w:r>
      <w:r w:rsidRPr="005D46C5">
        <w:t xml:space="preserve"> </w:t>
      </w:r>
      <w:r>
        <w:rPr>
          <w:i/>
          <w:iCs/>
        </w:rPr>
        <w:t xml:space="preserve">See </w:t>
      </w:r>
      <w:r w:rsidRPr="005D46C5">
        <w:t xml:space="preserve">NTIA </w:t>
      </w:r>
      <w:r>
        <w:t>Comments</w:t>
      </w:r>
      <w:r w:rsidRPr="005D46C5">
        <w:t xml:space="preserve"> at 9.</w:t>
      </w:r>
    </w:p>
  </w:footnote>
  <w:footnote w:id="75">
    <w:p w:rsidR="00283B02" w:rsidP="00B83427" w14:paraId="1A8C929E" w14:textId="5004EABD">
      <w:pPr>
        <w:pStyle w:val="FootnoteText"/>
      </w:pPr>
      <w:r>
        <w:rPr>
          <w:rStyle w:val="FootnoteReference"/>
        </w:rPr>
        <w:footnoteRef/>
      </w:r>
      <w:r>
        <w:t xml:space="preserve"> </w:t>
      </w:r>
      <w:r>
        <w:rPr>
          <w:i/>
          <w:iCs/>
        </w:rPr>
        <w:t>See</w:t>
      </w:r>
      <w:r>
        <w:t xml:space="preserve"> Johnson &amp; Lucas Congressional Letter at 2 (advocating that the Commission </w:t>
      </w:r>
      <w:r w:rsidRPr="005D7FB4">
        <w:t xml:space="preserve">consider </w:t>
      </w:r>
      <w:r w:rsidRPr="006E1371">
        <w:t xml:space="preserve">all available incentives to encourage operators in the 24.25-24.45 GHz or 24.75-25.25 GHz bands to meet the -39 </w:t>
      </w:r>
      <w:r w:rsidRPr="006E1371">
        <w:t>dBW</w:t>
      </w:r>
      <w:r w:rsidRPr="006E1371">
        <w:t>/200 MHz standard in equipment they deploy prior to September 1, 2027</w:t>
      </w:r>
      <w:r w:rsidRPr="005D7FB4">
        <w:t>)</w:t>
      </w:r>
      <w:r>
        <w:t>.</w:t>
      </w:r>
    </w:p>
  </w:footnote>
  <w:footnote w:id="76">
    <w:p w:rsidR="00283B02" w:rsidRPr="00165BAA" w:rsidP="00B83427" w14:paraId="1DE18181" w14:textId="77777777">
      <w:pPr>
        <w:pStyle w:val="FootnoteText"/>
      </w:pPr>
      <w:r>
        <w:rPr>
          <w:rStyle w:val="FootnoteReference"/>
        </w:rPr>
        <w:footnoteRef/>
      </w:r>
      <w:r>
        <w:t xml:space="preserve"> NTIA Comments at </w:t>
      </w:r>
      <w:r w:rsidRPr="00165BAA">
        <w:t>10; AGU/AMS/NWA</w:t>
      </w:r>
      <w:r>
        <w:t xml:space="preserve"> Reply Comments at 5.</w:t>
      </w:r>
    </w:p>
  </w:footnote>
  <w:footnote w:id="77">
    <w:p w:rsidR="00283B02" w:rsidRPr="005D46C5" w:rsidP="00B83427" w14:paraId="6F31FDFD" w14:textId="77777777">
      <w:pPr>
        <w:pStyle w:val="FootnoteText"/>
      </w:pPr>
      <w:r w:rsidRPr="005D46C5">
        <w:rPr>
          <w:rStyle w:val="FootnoteReference"/>
        </w:rPr>
        <w:footnoteRef/>
      </w:r>
      <w:r w:rsidRPr="005D46C5">
        <w:t xml:space="preserve"> CTIA Reply </w:t>
      </w:r>
      <w:r>
        <w:t>Comments</w:t>
      </w:r>
      <w:r w:rsidRPr="005D46C5">
        <w:t xml:space="preserve"> at 6.</w:t>
      </w:r>
    </w:p>
  </w:footnote>
  <w:footnote w:id="78">
    <w:p w:rsidR="00283B02" w:rsidP="00B83427" w14:paraId="6BE9C1BA" w14:textId="77777777">
      <w:pPr>
        <w:pStyle w:val="FootnoteText"/>
      </w:pPr>
      <w:r>
        <w:rPr>
          <w:rStyle w:val="FootnoteReference"/>
        </w:rPr>
        <w:footnoteRef/>
      </w:r>
      <w:r>
        <w:t xml:space="preserve"> T-Mobile Reply Comments at 4.</w:t>
      </w:r>
    </w:p>
  </w:footnote>
  <w:footnote w:id="79">
    <w:p w:rsidR="00283B02" w:rsidP="00B83427" w14:paraId="01B9EF4A" w14:textId="77777777">
      <w:pPr>
        <w:pStyle w:val="FootnoteText"/>
      </w:pPr>
      <w:r>
        <w:rPr>
          <w:rStyle w:val="FootnoteReference"/>
        </w:rPr>
        <w:footnoteRef/>
      </w:r>
      <w:r>
        <w:t xml:space="preserve"> </w:t>
      </w:r>
      <w:r w:rsidRPr="00165BAA">
        <w:t>AGU/AMS/NWA</w:t>
      </w:r>
      <w:r>
        <w:t xml:space="preserve"> Reply Comments at 5.</w:t>
      </w:r>
    </w:p>
  </w:footnote>
  <w:footnote w:id="80">
    <w:p w:rsidR="00283B02" w:rsidP="00B83427" w14:paraId="551DA0F4" w14:textId="77777777">
      <w:pPr>
        <w:pStyle w:val="FootnoteText"/>
      </w:pPr>
      <w:r>
        <w:rPr>
          <w:rStyle w:val="FootnoteReference"/>
        </w:rPr>
        <w:footnoteRef/>
      </w:r>
      <w:r>
        <w:t xml:space="preserve"> AT&amp;T Reply Comments at 4-5; CTIA Reply Comments at 3-4.</w:t>
      </w:r>
    </w:p>
  </w:footnote>
  <w:footnote w:id="81">
    <w:p w:rsidR="00283B02" w:rsidP="00B83427" w14:paraId="6CB49DE3" w14:textId="17177DBE">
      <w:pPr>
        <w:pStyle w:val="FootnoteText"/>
      </w:pPr>
      <w:r>
        <w:rPr>
          <w:rStyle w:val="FootnoteReference"/>
        </w:rPr>
        <w:footnoteRef/>
      </w:r>
      <w:r>
        <w:t xml:space="preserve"> </w:t>
      </w:r>
      <w:r>
        <w:rPr>
          <w:i/>
          <w:iCs/>
        </w:rPr>
        <w:t>See</w:t>
      </w:r>
      <w:r>
        <w:t xml:space="preserve"> Johnson &amp; Lucas Congressional Letter at 2 (advocating that the Commission </w:t>
      </w:r>
      <w:r w:rsidRPr="005D7FB4">
        <w:t>should clarify that base station and user equipment modified or replaced after September 1, 2027</w:t>
      </w:r>
      <w:r>
        <w:t>,</w:t>
      </w:r>
      <w:r w:rsidRPr="005D7FB4">
        <w:t xml:space="preserve"> must comply with the more stringent post-2027 OOBE limits</w:t>
      </w:r>
      <w:r>
        <w:t>).</w:t>
      </w:r>
    </w:p>
  </w:footnote>
  <w:footnote w:id="82">
    <w:p w:rsidR="00283B02" w:rsidRPr="00B83107" w:rsidP="00B83427" w14:paraId="6819F7DC" w14:textId="30BB0D92">
      <w:pPr>
        <w:pStyle w:val="FootnoteText"/>
      </w:pPr>
      <w:r>
        <w:rPr>
          <w:rStyle w:val="FootnoteReference"/>
        </w:rPr>
        <w:footnoteRef/>
      </w:r>
      <w:r>
        <w:t xml:space="preserve"> In Europe, the initial focus on licensing has been the 26.5-27.5 GHz band.  </w:t>
      </w:r>
      <w:r>
        <w:rPr>
          <w:i/>
          <w:iCs/>
        </w:rPr>
        <w:t>See</w:t>
      </w:r>
      <w:r>
        <w:t xml:space="preserve">, </w:t>
      </w:r>
      <w:r>
        <w:rPr>
          <w:i/>
          <w:iCs/>
        </w:rPr>
        <w:t>e.g.</w:t>
      </w:r>
      <w:r>
        <w:t xml:space="preserve">, </w:t>
      </w:r>
      <w:r w:rsidRPr="008463ED">
        <w:rPr>
          <w:i/>
          <w:iCs/>
        </w:rPr>
        <w:t>Global update on spectrum for 4G &amp; 5G</w:t>
      </w:r>
      <w:r>
        <w:t xml:space="preserve">, Qualcomm Corporation, December 2020, available at </w:t>
      </w:r>
      <w:hyperlink r:id="rId5" w:history="1">
        <w:r w:rsidRPr="00D82C6E">
          <w:rPr>
            <w:rStyle w:val="Hyperlink"/>
          </w:rPr>
          <w:t>https://www.qualcomm.com/media/documents/</w:t>
        </w:r>
        <w:r w:rsidR="00053122">
          <w:rPr>
            <w:rStyle w:val="Hyperlink"/>
          </w:rPr>
          <w:br/>
        </w:r>
        <w:r w:rsidRPr="00D82C6E">
          <w:rPr>
            <w:rStyle w:val="Hyperlink"/>
          </w:rPr>
          <w:t>files/spectrum-for-4g-and-5g.pdf</w:t>
        </w:r>
      </w:hyperlink>
      <w:r>
        <w:t xml:space="preserve"> at 11.</w:t>
      </w:r>
    </w:p>
  </w:footnote>
  <w:footnote w:id="83">
    <w:p w:rsidR="00283B02" w14:paraId="28EBC9E0" w14:textId="35BD7FBD">
      <w:pPr>
        <w:pStyle w:val="FootnoteText"/>
      </w:pPr>
      <w:r>
        <w:rPr>
          <w:rStyle w:val="FootnoteReference"/>
        </w:rPr>
        <w:footnoteRef/>
      </w:r>
      <w:r>
        <w:t xml:space="preserve"> </w:t>
      </w:r>
      <w:r>
        <w:rPr>
          <w:i/>
          <w:iCs/>
        </w:rPr>
        <w:t xml:space="preserve">See </w:t>
      </w:r>
      <w:r>
        <w:t>47 CFR § 30.203.</w:t>
      </w:r>
    </w:p>
  </w:footnote>
  <w:footnote w:id="84">
    <w:p w:rsidR="00283B02" w:rsidP="00B83427" w14:paraId="4746B06D" w14:textId="77777777">
      <w:pPr>
        <w:pStyle w:val="FootnoteText"/>
      </w:pPr>
      <w:r>
        <w:rPr>
          <w:rStyle w:val="FootnoteReference"/>
        </w:rPr>
        <w:footnoteRef/>
      </w:r>
      <w:r>
        <w:t xml:space="preserve"> CTIA Comments at 7-8; Nokia Comments at 2; AT&amp;T Reply Comments at 5.</w:t>
      </w:r>
    </w:p>
  </w:footnote>
  <w:footnote w:id="85">
    <w:p w:rsidR="00283B02" w:rsidRPr="005D46C5" w:rsidP="00B83427" w14:paraId="7DEB28F3" w14:textId="1DDF4D4F">
      <w:pPr>
        <w:pStyle w:val="FootnoteText"/>
      </w:pPr>
      <w:r w:rsidRPr="005D46C5">
        <w:rPr>
          <w:rStyle w:val="FootnoteReference"/>
        </w:rPr>
        <w:footnoteRef/>
      </w:r>
      <w:r w:rsidRPr="005D46C5">
        <w:t xml:space="preserve"> </w:t>
      </w:r>
      <w:r w:rsidR="005967AE">
        <w:rPr>
          <w:i/>
          <w:iCs/>
        </w:rPr>
        <w:t>See</w:t>
      </w:r>
      <w:r w:rsidRPr="009B54A2" w:rsidR="005967AE">
        <w:rPr>
          <w:i/>
        </w:rPr>
        <w:t xml:space="preserve"> </w:t>
      </w:r>
      <w:r w:rsidRPr="005D46C5">
        <w:t xml:space="preserve">NTIA </w:t>
      </w:r>
      <w:r>
        <w:t xml:space="preserve">Comments at </w:t>
      </w:r>
      <w:r w:rsidRPr="005D46C5">
        <w:t xml:space="preserve">12; Ericsson </w:t>
      </w:r>
      <w:r>
        <w:t xml:space="preserve">Comments at </w:t>
      </w:r>
      <w:r w:rsidRPr="005D46C5">
        <w:t>3-4</w:t>
      </w:r>
      <w:r>
        <w:t xml:space="preserve">; AGU/AMS/NWA Reply Comments at 7; </w:t>
      </w:r>
      <w:r>
        <w:rPr>
          <w:i/>
          <w:iCs/>
        </w:rPr>
        <w:t xml:space="preserve">see also </w:t>
      </w:r>
      <w:r>
        <w:t>Johnson &amp; Lucas Congressional Letter at 2 (advocating that the Commission</w:t>
      </w:r>
      <w:r w:rsidRPr="005D7FB4">
        <w:t xml:space="preserve"> should require licensees to use TRP to measure compliance with these emission limits</w:t>
      </w:r>
      <w:r>
        <w:t>).</w:t>
      </w:r>
    </w:p>
  </w:footnote>
  <w:footnote w:id="86">
    <w:p w:rsidR="00283B02" w:rsidP="00B83427" w14:paraId="418EECEF" w14:textId="77777777">
      <w:pPr>
        <w:pStyle w:val="FootnoteText"/>
      </w:pPr>
      <w:r>
        <w:rPr>
          <w:rStyle w:val="FootnoteReference"/>
        </w:rPr>
        <w:footnoteRef/>
      </w:r>
      <w:r>
        <w:t xml:space="preserve"> CTIA Comments at 7-8.</w:t>
      </w:r>
    </w:p>
  </w:footnote>
  <w:footnote w:id="87">
    <w:p w:rsidR="00283B02" w:rsidP="00B83427" w14:paraId="23247401" w14:textId="77777777">
      <w:pPr>
        <w:pStyle w:val="FootnoteText"/>
      </w:pPr>
      <w:r>
        <w:rPr>
          <w:rStyle w:val="FootnoteReference"/>
        </w:rPr>
        <w:footnoteRef/>
      </w:r>
      <w:r>
        <w:t xml:space="preserve"> NTIA Comments at 12.</w:t>
      </w:r>
    </w:p>
  </w:footnote>
  <w:footnote w:id="88">
    <w:p w:rsidR="00283B02" w:rsidP="00B83427" w14:paraId="48830269" w14:textId="77777777">
      <w:pPr>
        <w:pStyle w:val="FootnoteText"/>
      </w:pPr>
      <w:r>
        <w:rPr>
          <w:rStyle w:val="FootnoteReference"/>
        </w:rPr>
        <w:footnoteRef/>
      </w:r>
      <w:r>
        <w:t xml:space="preserve"> Ericsson Comments at 3.</w:t>
      </w:r>
    </w:p>
  </w:footnote>
  <w:footnote w:id="89">
    <w:p w:rsidR="00283B02" w:rsidP="00B83427" w14:paraId="65004AE3" w14:textId="77777777">
      <w:pPr>
        <w:pStyle w:val="FootnoteText"/>
      </w:pPr>
      <w:r>
        <w:rPr>
          <w:rStyle w:val="FootnoteReference"/>
        </w:rPr>
        <w:footnoteRef/>
      </w:r>
      <w:r>
        <w:t xml:space="preserve"> Ericsson Comments at 4.</w:t>
      </w:r>
    </w:p>
  </w:footnote>
  <w:footnote w:id="90">
    <w:p w:rsidR="00283B02" w:rsidP="00B83427" w14:paraId="5745D103" w14:textId="77777777">
      <w:pPr>
        <w:pStyle w:val="FootnoteText"/>
      </w:pPr>
      <w:r>
        <w:rPr>
          <w:rStyle w:val="FootnoteReference"/>
        </w:rPr>
        <w:footnoteRef/>
      </w:r>
      <w:r>
        <w:t xml:space="preserve"> AGU/AMS/NWA Reply Comments at 7.</w:t>
      </w:r>
    </w:p>
  </w:footnote>
  <w:footnote w:id="91">
    <w:p w:rsidR="00283B02" w:rsidP="00B83427" w14:paraId="2C70452B" w14:textId="50F7134D">
      <w:pPr>
        <w:pStyle w:val="FootnoteText"/>
      </w:pPr>
      <w:r>
        <w:rPr>
          <w:rStyle w:val="FootnoteReference"/>
        </w:rPr>
        <w:footnoteRef/>
      </w:r>
      <w:r>
        <w:t xml:space="preserve"> </w:t>
      </w:r>
      <w:r>
        <w:rPr>
          <w:i/>
          <w:iCs/>
        </w:rPr>
        <w:t>Spectrum Frontiers 1</w:t>
      </w:r>
      <w:r w:rsidRPr="00090EC2">
        <w:rPr>
          <w:i/>
          <w:iCs/>
          <w:vertAlign w:val="superscript"/>
        </w:rPr>
        <w:t>st</w:t>
      </w:r>
      <w:r>
        <w:rPr>
          <w:i/>
          <w:iCs/>
        </w:rPr>
        <w:t xml:space="preserve"> R&amp;O</w:t>
      </w:r>
      <w:r w:rsidRPr="00FC6337">
        <w:t xml:space="preserve">, </w:t>
      </w:r>
      <w:r w:rsidRPr="00DF08A7">
        <w:t xml:space="preserve">31 FCC Rcd </w:t>
      </w:r>
      <w:r>
        <w:t xml:space="preserve">at 8120, para. 303; Tadahiro Watanabe et al., </w:t>
      </w:r>
      <w:r w:rsidRPr="00CF2AFD">
        <w:rPr>
          <w:i/>
        </w:rPr>
        <w:t>Total Radiated Power Measurement above 1 GHz with Partially-Spherical Scanning of a Probe</w:t>
      </w:r>
      <w:r>
        <w:t>, 2009 Proceedings of the Institute of Electronics, Information and Communication Engineers at 179 (</w:t>
      </w:r>
      <w:hyperlink r:id="rId6" w:history="1">
        <w:r w:rsidRPr="00022B22" w:rsidR="00022B22">
          <w:rPr>
            <w:rStyle w:val="Hyperlink"/>
          </w:rPr>
          <w:t>http://www.ieice.org/proceedings/EMC09/pdf/</w:t>
        </w:r>
        <w:r w:rsidRPr="00022B22" w:rsidR="00022B22">
          <w:rPr>
            <w:rStyle w:val="Hyperlink"/>
          </w:rPr>
          <w:br/>
          <w:t>21R3-3.pdf</w:t>
        </w:r>
      </w:hyperlink>
      <w:r>
        <w:t xml:space="preserve">).  As Ericsson has pointed out, this requires measurements to be made in a controlled environment, such as an </w:t>
      </w:r>
      <w:r w:rsidRPr="0034220F">
        <w:rPr>
          <w:szCs w:val="22"/>
        </w:rPr>
        <w:t xml:space="preserve">anechoic </w:t>
      </w:r>
      <w:r>
        <w:rPr>
          <w:szCs w:val="22"/>
        </w:rPr>
        <w:t xml:space="preserve">or reverberation </w:t>
      </w:r>
      <w:r w:rsidRPr="0034220F">
        <w:rPr>
          <w:szCs w:val="22"/>
        </w:rPr>
        <w:t>chamber</w:t>
      </w:r>
      <w:r>
        <w:rPr>
          <w:szCs w:val="22"/>
        </w:rPr>
        <w:t xml:space="preserve">.  </w:t>
      </w:r>
      <w:r>
        <w:t>Ericsson Comments at 3-4.</w:t>
      </w:r>
    </w:p>
  </w:footnote>
  <w:footnote w:id="92">
    <w:p w:rsidR="00283B02" w:rsidP="00B83427" w14:paraId="6A1A5DBB" w14:textId="4BDF83A1">
      <w:pPr>
        <w:pStyle w:val="FootnoteText"/>
      </w:pPr>
      <w:r>
        <w:rPr>
          <w:rStyle w:val="FootnoteReference"/>
        </w:rPr>
        <w:footnoteRef/>
      </w:r>
      <w:r>
        <w:t xml:space="preserve"> </w:t>
      </w:r>
      <w:r w:rsidRPr="00607609">
        <w:t xml:space="preserve"> </w:t>
      </w:r>
      <w:r>
        <w:t xml:space="preserve">Resolution 750 specifies that the unwanted emissions for all other bands except for 23.6-24.0 GHz should be measured at the antenna port—i.e., they are conductive power limits.  </w:t>
      </w:r>
      <w:r w:rsidRPr="005D46C5">
        <w:t>ITU Radio Regulations (2020), Resolution 750 (Rev.WRC-19), Table 1,</w:t>
      </w:r>
      <w:r>
        <w:t xml:space="preserve"> Table 2</w:t>
      </w:r>
      <w:r w:rsidRPr="005D46C5">
        <w:t xml:space="preserve"> Vol. 3 at 519</w:t>
      </w:r>
      <w:r>
        <w:t>-524</w:t>
      </w:r>
      <w:r w:rsidRPr="005D46C5">
        <w:t xml:space="preserve"> </w:t>
      </w:r>
      <w:hyperlink r:id="rId3" w:history="1">
        <w:r w:rsidRPr="00022B22" w:rsidR="00022B22">
          <w:rPr>
            <w:rStyle w:val="Hyperlink"/>
          </w:rPr>
          <w:t>https://www.itu.int/en/myitu/Publications/2020/09/02/14/</w:t>
        </w:r>
        <w:r w:rsidRPr="00022B22" w:rsidR="00022B22">
          <w:rPr>
            <w:rStyle w:val="Hyperlink"/>
          </w:rPr>
          <w:br/>
          <w:t>23/Radio-Regulations-2020</w:t>
        </w:r>
      </w:hyperlink>
      <w:r w:rsidRPr="005D46C5">
        <w:t xml:space="preserve">. </w:t>
      </w:r>
      <w:r>
        <w:t xml:space="preserve"> The Commission’s rules have traditionally specified out-of-band emissions limits in terms of conductive power and only permit TRP as an option in the UMFUS </w:t>
      </w:r>
      <w:r w:rsidRPr="00090EC2">
        <w:t>rules, which were adopted in 2016 and which also specify a conductive limit.</w:t>
      </w:r>
      <w:r>
        <w:t xml:space="preserve">  47 CFR § 30.203(a); </w:t>
      </w:r>
      <w:r>
        <w:rPr>
          <w:i/>
          <w:iCs/>
        </w:rPr>
        <w:t>Spectrum Frontiers 1</w:t>
      </w:r>
      <w:r w:rsidRPr="00090EC2">
        <w:rPr>
          <w:i/>
          <w:iCs/>
          <w:vertAlign w:val="superscript"/>
        </w:rPr>
        <w:t>st</w:t>
      </w:r>
      <w:r>
        <w:rPr>
          <w:i/>
          <w:iCs/>
        </w:rPr>
        <w:t xml:space="preserve"> R&amp;O</w:t>
      </w:r>
      <w:r>
        <w:t xml:space="preserve">, </w:t>
      </w:r>
      <w:r w:rsidRPr="00C95A28">
        <w:rPr>
          <w:i/>
          <w:iCs/>
        </w:rPr>
        <w:t xml:space="preserve"> </w:t>
      </w:r>
      <w:r>
        <w:t>31 FCC Rcd at 8119-21, paras. 301-304.</w:t>
      </w:r>
    </w:p>
  </w:footnote>
  <w:footnote w:id="93">
    <w:p w:rsidR="00283B02" w:rsidP="00B83427" w14:paraId="108ACA58" w14:textId="77777777">
      <w:pPr>
        <w:pStyle w:val="FootnoteText"/>
      </w:pPr>
      <w:r>
        <w:rPr>
          <w:rStyle w:val="FootnoteReference"/>
        </w:rPr>
        <w:footnoteRef/>
      </w:r>
      <w:r>
        <w:t xml:space="preserve"> Marcus &amp; Jornet Comments at 6.</w:t>
      </w:r>
    </w:p>
  </w:footnote>
  <w:footnote w:id="94">
    <w:p w:rsidR="00283B02" w:rsidRPr="008C4705" w:rsidP="00B83427" w14:paraId="37814BAA" w14:textId="77777777">
      <w:pPr>
        <w:pStyle w:val="FootnoteText"/>
      </w:pPr>
      <w:r>
        <w:rPr>
          <w:rStyle w:val="FootnoteReference"/>
        </w:rPr>
        <w:footnoteRef/>
      </w:r>
      <w:r>
        <w:t xml:space="preserve"> </w:t>
      </w:r>
      <w:r>
        <w:rPr>
          <w:i/>
          <w:iCs/>
        </w:rPr>
        <w:t>See</w:t>
      </w:r>
      <w:r>
        <w:t xml:space="preserve"> 47 CFR § 1.925(b)(3).</w:t>
      </w:r>
    </w:p>
  </w:footnote>
  <w:footnote w:id="95">
    <w:p w:rsidR="00283B02" w:rsidP="00B83427" w14:paraId="76408D59" w14:textId="576E9A76">
      <w:pPr>
        <w:pStyle w:val="FootnoteText"/>
      </w:pPr>
      <w:r>
        <w:rPr>
          <w:rStyle w:val="FootnoteReference"/>
        </w:rPr>
        <w:footnoteRef/>
      </w:r>
      <w:r>
        <w:t xml:space="preserve"> </w:t>
      </w:r>
      <w:r>
        <w:t>Choyu</w:t>
      </w:r>
      <w:r>
        <w:t xml:space="preserve"> Networks Comments at 5-11</w:t>
      </w:r>
      <w:r w:rsidR="002D3D5A">
        <w:t>.</w:t>
      </w:r>
    </w:p>
  </w:footnote>
  <w:footnote w:id="96">
    <w:p w:rsidR="00283B02" w:rsidP="00B83427" w14:paraId="257B924F" w14:textId="77777777">
      <w:pPr>
        <w:pStyle w:val="FootnoteText"/>
      </w:pPr>
      <w:r>
        <w:rPr>
          <w:rStyle w:val="FootnoteReference"/>
        </w:rPr>
        <w:footnoteRef/>
      </w:r>
      <w:r>
        <w:t xml:space="preserve"> </w:t>
      </w:r>
      <w:r>
        <w:t>Choyu</w:t>
      </w:r>
      <w:r>
        <w:t xml:space="preserve"> Networks Comments at 10.</w:t>
      </w:r>
    </w:p>
  </w:footnote>
  <w:footnote w:id="97">
    <w:p w:rsidR="00283B02" w:rsidP="00B83427" w14:paraId="10A8A7A9" w14:textId="77777777">
      <w:pPr>
        <w:pStyle w:val="FootnoteText"/>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98">
    <w:p w:rsidR="00283B02" w:rsidRPr="005411E7" w:rsidP="00B83427" w14:paraId="3134B265"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99">
    <w:p w:rsidR="00283B02" w:rsidP="00B83427" w14:paraId="4DACA8C7" w14:textId="77777777">
      <w:pPr>
        <w:pStyle w:val="FootnoteText"/>
      </w:pPr>
      <w:r>
        <w:rPr>
          <w:rStyle w:val="FootnoteReference"/>
        </w:rPr>
        <w:footnoteRef/>
      </w:r>
      <w:r>
        <w:t xml:space="preserve"> </w:t>
      </w:r>
      <w:r>
        <w:rPr>
          <w:i/>
        </w:rPr>
        <w:t xml:space="preserve">See </w:t>
      </w:r>
      <w:r>
        <w:t>5 U.S.C. § 603.  The RFA, 5 U.S.C. §§ 601-612, has been amended by the Small Business Regulatory Enforcement Fairness Act of 1996, (SBREFA) Pub. L. No. 104-121, Title II, 110 Stat. 857 (1996).</w:t>
      </w:r>
    </w:p>
  </w:footnote>
  <w:footnote w:id="100">
    <w:p w:rsidR="00283B02" w:rsidP="00B83427" w14:paraId="73D3BD32" w14:textId="77777777">
      <w:pPr>
        <w:pStyle w:val="FootnoteText"/>
      </w:pPr>
      <w:r>
        <w:rPr>
          <w:rStyle w:val="FootnoteReference"/>
          <w:color w:val="000000"/>
        </w:rPr>
        <w:footnoteRef/>
      </w:r>
      <w:r>
        <w:t xml:space="preserve"> </w:t>
      </w:r>
      <w:r>
        <w:rPr>
          <w:i/>
        </w:rPr>
        <w:t xml:space="preserve">See </w:t>
      </w:r>
      <w:r>
        <w:t>5 U.S.C. § 603(a).</w:t>
      </w:r>
    </w:p>
  </w:footnote>
  <w:footnote w:id="101">
    <w:p w:rsidR="00283B02" w:rsidP="00B83427" w14:paraId="1D0E1E61" w14:textId="77777777">
      <w:pPr>
        <w:pStyle w:val="FootnoteText"/>
      </w:pPr>
      <w:r>
        <w:rPr>
          <w:rStyle w:val="FootnoteReference"/>
          <w:color w:val="000000"/>
        </w:rPr>
        <w:footnoteRef/>
      </w:r>
      <w:r>
        <w:t xml:space="preserve"> </w:t>
      </w:r>
      <w:r>
        <w:rPr>
          <w:i/>
        </w:rPr>
        <w:t xml:space="preserve">See </w:t>
      </w:r>
      <w:r>
        <w:rPr>
          <w:i/>
          <w:iCs/>
        </w:rPr>
        <w:t>id</w:t>
      </w:r>
      <w:r>
        <w:t>. § 603(a).</w:t>
      </w:r>
    </w:p>
  </w:footnote>
  <w:footnote w:id="102">
    <w:p w:rsidR="00283B02" w:rsidP="00B83427" w14:paraId="41B0226A" w14:textId="77777777">
      <w:pPr>
        <w:pStyle w:val="FootnoteText"/>
      </w:pPr>
      <w:r>
        <w:rPr>
          <w:rStyle w:val="FootnoteReference"/>
        </w:rPr>
        <w:footnoteRef/>
      </w:r>
      <w:r>
        <w:t xml:space="preserve"> </w:t>
      </w:r>
      <w:bookmarkStart w:id="59" w:name="_Hlk85795251"/>
      <w:r w:rsidRPr="00FE51C2">
        <w:rPr>
          <w:i/>
          <w:iCs/>
        </w:rPr>
        <w:t>See</w:t>
      </w:r>
      <w:r>
        <w:t xml:space="preserve"> </w:t>
      </w:r>
      <w:r w:rsidRPr="00185978">
        <w:rPr>
          <w:i/>
          <w:iCs/>
        </w:rPr>
        <w:t>id</w:t>
      </w:r>
      <w:r>
        <w:rPr>
          <w:i/>
          <w:iCs/>
        </w:rPr>
        <w:t xml:space="preserve">. </w:t>
      </w:r>
      <w:r w:rsidRPr="00F17E24">
        <w:t>§ 603(b)(3).</w:t>
      </w:r>
      <w:bookmarkEnd w:id="59"/>
    </w:p>
  </w:footnote>
  <w:footnote w:id="103">
    <w:p w:rsidR="00283B02" w:rsidP="00B83427" w14:paraId="1D2518AC" w14:textId="77777777">
      <w:pPr>
        <w:pStyle w:val="FootnoteText"/>
      </w:pPr>
      <w:r>
        <w:rPr>
          <w:rStyle w:val="FootnoteReference"/>
        </w:rPr>
        <w:footnoteRef/>
      </w:r>
      <w:r>
        <w:t xml:space="preserve"> </w:t>
      </w:r>
      <w:bookmarkStart w:id="60" w:name="_Hlk85795274"/>
      <w:r>
        <w:rPr>
          <w:i/>
          <w:iCs/>
        </w:rPr>
        <w:t xml:space="preserve">See id. </w:t>
      </w:r>
      <w:r w:rsidRPr="00F17E24">
        <w:t>§ 601(6).</w:t>
      </w:r>
      <w:bookmarkEnd w:id="60"/>
    </w:p>
  </w:footnote>
  <w:footnote w:id="104">
    <w:p w:rsidR="00283B02" w:rsidP="00B83427" w14:paraId="333041FF" w14:textId="77777777">
      <w:pPr>
        <w:pStyle w:val="FootnoteText"/>
      </w:pPr>
      <w:r>
        <w:rPr>
          <w:rStyle w:val="FootnoteReference"/>
        </w:rPr>
        <w:footnoteRef/>
      </w:r>
      <w:r>
        <w:t xml:space="preserve"> </w:t>
      </w:r>
      <w:bookmarkStart w:id="61" w:name="_Hlk85795302"/>
      <w:r>
        <w:rPr>
          <w:i/>
          <w:iCs/>
        </w:rPr>
        <w:t>See id</w:t>
      </w:r>
      <w:r>
        <w:t xml:space="preserve">. </w:t>
      </w:r>
      <w:r w:rsidRPr="00F17E24">
        <w:t>§ 601(3) (incorporating by reference the definition of “small-business concern” in the Small Business Act, 15 U.S.C. § 632).  Pursuant to 5 U.S.C. § 601(3), the statutory definition of a small business applies “unless an agency, after consultatio</w:t>
      </w:r>
      <w:r>
        <w:t>n</w:t>
      </w:r>
      <w:r w:rsidRPr="00F17E24">
        <w:t xml:space="preserve"> with the Office of Advocacy of the Small Business Administration and after opportunity for public comment, establishes one or more definitions of such term which are appropriate to the activities of the agency and publishes such definition(s) in the Federal Register.”</w:t>
      </w:r>
      <w:bookmarkEnd w:id="61"/>
    </w:p>
  </w:footnote>
  <w:footnote w:id="105">
    <w:p w:rsidR="00283B02" w:rsidP="00B83427" w14:paraId="5D60A05D" w14:textId="77777777">
      <w:pPr>
        <w:pStyle w:val="FootnoteText"/>
      </w:pPr>
      <w:r>
        <w:rPr>
          <w:rStyle w:val="FootnoteReference"/>
        </w:rPr>
        <w:footnoteRef/>
      </w:r>
      <w:r>
        <w:t xml:space="preserve"> </w:t>
      </w:r>
      <w:bookmarkStart w:id="62" w:name="_Hlk85795321"/>
      <w:r w:rsidRPr="00F17E24">
        <w:t>15 U.S.C. § 632.</w:t>
      </w:r>
      <w:bookmarkEnd w:id="62"/>
    </w:p>
  </w:footnote>
  <w:footnote w:id="106">
    <w:p w:rsidR="00283B02" w:rsidRPr="005D6224" w:rsidP="00B83427" w14:paraId="5EF4E99F" w14:textId="77777777">
      <w:pPr>
        <w:pStyle w:val="FootnoteText"/>
      </w:pPr>
      <w:r>
        <w:rPr>
          <w:rStyle w:val="FootnoteReference"/>
        </w:rPr>
        <w:footnoteRef/>
      </w:r>
      <w:r>
        <w:t xml:space="preserve"> </w:t>
      </w:r>
      <w:r w:rsidRPr="005D6224">
        <w:rPr>
          <w:i/>
          <w:iCs/>
        </w:rPr>
        <w:t>See</w:t>
      </w:r>
      <w:r w:rsidRPr="005D6224">
        <w:t xml:space="preserve"> 5 U.S.C. § 601(3)-(6).</w:t>
      </w:r>
    </w:p>
  </w:footnote>
  <w:footnote w:id="107">
    <w:p w:rsidR="00283B02" w:rsidRPr="005D6224" w:rsidP="00B83427" w14:paraId="74B370CB" w14:textId="77777777">
      <w:pPr>
        <w:pStyle w:val="FootnoteText"/>
      </w:pPr>
      <w:r w:rsidRPr="005D6224">
        <w:rPr>
          <w:rStyle w:val="FootnoteReference"/>
        </w:rPr>
        <w:footnoteRef/>
      </w:r>
      <w:r w:rsidRPr="005D6224">
        <w:t xml:space="preserve"> </w:t>
      </w:r>
      <w:r w:rsidRPr="005D6224">
        <w:rPr>
          <w:rFonts w:eastAsia="Calibri"/>
          <w:i/>
          <w:iCs/>
          <w:szCs w:val="22"/>
        </w:rPr>
        <w:t>See</w:t>
      </w:r>
      <w:r w:rsidRPr="005D6224">
        <w:rPr>
          <w:rFonts w:eastAsia="Calibri"/>
          <w:szCs w:val="22"/>
        </w:rPr>
        <w:t xml:space="preserve"> SBA, Office of Advocacy, “What’s New With Small Business,” </w:t>
      </w:r>
      <w:r w:rsidRPr="005D6224">
        <w:rPr>
          <w:rFonts w:eastAsia="Calibri"/>
          <w:color w:val="0000FF"/>
          <w:szCs w:val="22"/>
          <w:u w:val="single"/>
        </w:rPr>
        <w:t>https://cdn.advocacy.sba.gov/wp-content/uploads/2019/09/23172859/Whats-New-With-Small-Business-2019.pdf</w:t>
      </w:r>
      <w:r w:rsidRPr="005D6224">
        <w:rPr>
          <w:rFonts w:eastAsia="Calibri"/>
          <w:szCs w:val="22"/>
        </w:rPr>
        <w:t xml:space="preserve"> (Sept. 2019).</w:t>
      </w:r>
    </w:p>
  </w:footnote>
  <w:footnote w:id="108">
    <w:p w:rsidR="00283B02" w:rsidRPr="005D6224" w:rsidP="00B83427" w14:paraId="22FB1B80" w14:textId="77777777">
      <w:pPr>
        <w:pStyle w:val="FootnoteText"/>
        <w:rPr>
          <w:i/>
          <w:iCs/>
        </w:rPr>
      </w:pPr>
      <w:r w:rsidRPr="005D6224">
        <w:rPr>
          <w:rStyle w:val="FootnoteReference"/>
        </w:rPr>
        <w:footnoteRef/>
      </w:r>
      <w:r w:rsidRPr="005D6224">
        <w:t xml:space="preserve"> </w:t>
      </w:r>
      <w:r w:rsidRPr="005D6224">
        <w:rPr>
          <w:i/>
          <w:iCs/>
        </w:rPr>
        <w:t>Id.</w:t>
      </w:r>
    </w:p>
  </w:footnote>
  <w:footnote w:id="109">
    <w:p w:rsidR="00283B02" w:rsidRPr="005D6224" w:rsidP="00B83427" w14:paraId="165ACBCE" w14:textId="77777777">
      <w:pPr>
        <w:pStyle w:val="FootnoteText"/>
      </w:pPr>
      <w:r w:rsidRPr="005D6224">
        <w:rPr>
          <w:rStyle w:val="FootnoteReference"/>
        </w:rPr>
        <w:footnoteRef/>
      </w:r>
      <w:r w:rsidRPr="005D6224">
        <w:t xml:space="preserve"> </w:t>
      </w:r>
      <w:r w:rsidRPr="005D6224">
        <w:rPr>
          <w:spacing w:val="-2"/>
        </w:rPr>
        <w:t>5 U.S.C.</w:t>
      </w:r>
      <w:r w:rsidRPr="005D6224">
        <w:t xml:space="preserve"> § 601(4).</w:t>
      </w:r>
    </w:p>
  </w:footnote>
  <w:footnote w:id="110">
    <w:p w:rsidR="00283B02" w:rsidRPr="005D6224" w:rsidP="00B83427" w14:paraId="34494A32" w14:textId="6DA1C4C2">
      <w:pPr>
        <w:pStyle w:val="FootnoteText"/>
      </w:pPr>
      <w:r w:rsidRPr="005D6224">
        <w:rPr>
          <w:rStyle w:val="FootnoteReference"/>
        </w:rPr>
        <w:footnoteRef/>
      </w:r>
      <w:r w:rsidRPr="005D6224">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005D6224">
        <w:rPr>
          <w:i/>
        </w:rPr>
        <w:t>ee</w:t>
      </w:r>
      <w:r w:rsidRPr="005D6224">
        <w:t xml:space="preserve"> Annual Electronic Filing Requirement for Small Exempt Organizations — Form 990-N (e-Postcard), </w:t>
      </w:r>
      <w:r w:rsidR="007B3FC2">
        <w:t>“</w:t>
      </w:r>
      <w:r w:rsidRPr="005D6224">
        <w:t>Who must file,</w:t>
      </w:r>
      <w:r w:rsidR="007B3FC2">
        <w:t>”</w:t>
      </w:r>
      <w:r w:rsidRPr="005D6224">
        <w:t xml:space="preserve"> </w:t>
      </w:r>
      <w:hyperlink r:id="rId7" w:history="1">
        <w:r w:rsidRPr="005D6224">
          <w:rPr>
            <w:rStyle w:val="Hyperlink"/>
          </w:rPr>
          <w:t>https://www.irs.gov/charities-non-profits/annual-electronic-filing-requirement-for-small-exempt-organizations-form-990-n-e-postcard</w:t>
        </w:r>
      </w:hyperlink>
      <w:r w:rsidRPr="005D6224">
        <w:t>.  We note that the IRS data does not provide information on whether a small exempt organization is independently owned and operated or dominant in its field.</w:t>
      </w:r>
    </w:p>
  </w:footnote>
  <w:footnote w:id="111">
    <w:p w:rsidR="00283B02" w:rsidRPr="005D6224" w:rsidP="00B83427" w14:paraId="7AB02804" w14:textId="73822D99">
      <w:pPr>
        <w:pStyle w:val="FootnoteText"/>
        <w:rPr>
          <w:color w:val="000000"/>
        </w:rPr>
      </w:pPr>
      <w:r w:rsidRPr="005D6224">
        <w:rPr>
          <w:rStyle w:val="FootnoteReference"/>
          <w:rFonts w:eastAsia="Calibri"/>
        </w:rPr>
        <w:footnoteRef/>
      </w:r>
      <w:r w:rsidRPr="005D6224">
        <w:rPr>
          <w:color w:val="000000"/>
        </w:rPr>
        <w:t xml:space="preserve"> </w:t>
      </w:r>
      <w:r w:rsidRPr="005D6224">
        <w:rPr>
          <w:i/>
          <w:color w:val="000000"/>
        </w:rPr>
        <w:t>See</w:t>
      </w:r>
      <w:r w:rsidRPr="005D6224">
        <w:rPr>
          <w:color w:val="000000"/>
        </w:rPr>
        <w:t xml:space="preserve"> Exempt Organizations Business Master File Extract (EO BMF), </w:t>
      </w:r>
      <w:r w:rsidR="007B3FC2">
        <w:rPr>
          <w:color w:val="000000"/>
        </w:rPr>
        <w:t>“</w:t>
      </w:r>
      <w:r w:rsidRPr="005D6224">
        <w:rPr>
          <w:color w:val="000000"/>
        </w:rPr>
        <w:t>CSV Files by Region,</w:t>
      </w:r>
      <w:r w:rsidR="007B3FC2">
        <w:rPr>
          <w:color w:val="000000"/>
        </w:rPr>
        <w:t>”</w:t>
      </w:r>
      <w:r w:rsidRPr="005D6224">
        <w:rPr>
          <w:color w:val="000000"/>
        </w:rPr>
        <w:t xml:space="preserve"> </w:t>
      </w:r>
      <w:hyperlink r:id="rId8" w:history="1">
        <w:r w:rsidRPr="005D6224">
          <w:rPr>
            <w:rStyle w:val="Hyperlink"/>
          </w:rPr>
          <w:t>https://www.irs.gov/charities-non-profits/exempt-organizations-business-master-file-extract-eo-bmf</w:t>
        </w:r>
      </w:hyperlink>
      <w:r w:rsidRPr="005D6224">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12">
    <w:p w:rsidR="00283B02" w:rsidRPr="005D6224" w:rsidP="00B83427" w14:paraId="52FC2913" w14:textId="77777777">
      <w:pPr>
        <w:pStyle w:val="FootnoteText"/>
      </w:pPr>
      <w:r w:rsidRPr="005D6224">
        <w:rPr>
          <w:rStyle w:val="FootnoteReference"/>
          <w:spacing w:val="-2"/>
        </w:rPr>
        <w:footnoteRef/>
      </w:r>
      <w:r w:rsidRPr="005D6224">
        <w:t xml:space="preserve"> 5 U.S.C. § 601(5).</w:t>
      </w:r>
    </w:p>
  </w:footnote>
  <w:footnote w:id="113">
    <w:p w:rsidR="00283B02" w:rsidRPr="005D6224" w:rsidP="00B83427" w14:paraId="2EC08F0D" w14:textId="7740E6D3">
      <w:pPr>
        <w:pStyle w:val="FootnoteText"/>
      </w:pPr>
      <w:r w:rsidRPr="005D6224">
        <w:rPr>
          <w:rStyle w:val="FootnoteReference"/>
        </w:rPr>
        <w:footnoteRef/>
      </w:r>
      <w:r w:rsidRPr="005D6224">
        <w:t xml:space="preserve"> </w:t>
      </w:r>
      <w:r w:rsidRPr="005D6224">
        <w:rPr>
          <w:i/>
        </w:rPr>
        <w:t>See</w:t>
      </w:r>
      <w:r w:rsidRPr="005D6224">
        <w:t xml:space="preserve"> 13 U.S.C. § 161. </w:t>
      </w:r>
      <w:r w:rsidR="00164A4D">
        <w:t xml:space="preserve"> </w:t>
      </w:r>
      <w:r w:rsidRPr="005D6224">
        <w:t>The Census of Government is conducted every five (5) years compiling data for years ending with “2” and “7</w:t>
      </w:r>
      <w:r w:rsidRPr="005D6224" w:rsidR="00944179">
        <w:t>.</w:t>
      </w:r>
      <w:r w:rsidRPr="005D6224">
        <w:t xml:space="preserve">” </w:t>
      </w:r>
      <w:r w:rsidRPr="009B54A2">
        <w:t xml:space="preserve"> </w:t>
      </w:r>
      <w:r w:rsidRPr="005D6224">
        <w:t xml:space="preserve">Census of Governments, </w:t>
      </w:r>
      <w:hyperlink r:id="rId9" w:history="1">
        <w:r w:rsidRPr="005D6224">
          <w:rPr>
            <w:rStyle w:val="Hyperlink"/>
          </w:rPr>
          <w:t>https://www.census.gov/programs-surveys/cog/about.html</w:t>
        </w:r>
      </w:hyperlink>
      <w:r w:rsidRPr="00927E90" w:rsidR="00927E90">
        <w:t xml:space="preserve"> </w:t>
      </w:r>
      <w:r w:rsidRPr="000D00FF" w:rsidR="00927E90">
        <w:t xml:space="preserve">(last visited </w:t>
      </w:r>
      <w:r w:rsidR="00927E90">
        <w:t>September 19, 2023</w:t>
      </w:r>
      <w:r w:rsidRPr="000D00FF" w:rsidR="00927E90">
        <w:t>)</w:t>
      </w:r>
      <w:r w:rsidR="00927E90">
        <w:t>.</w:t>
      </w:r>
      <w:r w:rsidRPr="005D6224">
        <w:t xml:space="preserve"> </w:t>
      </w:r>
    </w:p>
  </w:footnote>
  <w:footnote w:id="114">
    <w:p w:rsidR="00283B02" w:rsidP="00B83427" w14:paraId="2C3CB4B3" w14:textId="0FE419E7">
      <w:pPr>
        <w:pStyle w:val="FootnoteText"/>
      </w:pPr>
      <w:r>
        <w:rPr>
          <w:rStyle w:val="FootnoteReference"/>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10"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 xml:space="preserve">CG1700ORG02 Table </w:t>
      </w:r>
      <w:r>
        <w:t>Notes_Local</w:t>
      </w:r>
      <w:r>
        <w:t xml:space="preserve"> Governments by Type and State_2017</w:t>
      </w:r>
      <w:r w:rsidR="00704180">
        <w:t xml:space="preserve"> (</w:t>
      </w:r>
      <w:r w:rsidR="001F7BBD">
        <w:t>providing the methodology for creating the table</w:t>
      </w:r>
      <w:r w:rsidR="00C17F86">
        <w:t>)</w:t>
      </w:r>
      <w:r>
        <w:t>.</w:t>
      </w:r>
    </w:p>
  </w:footnote>
  <w:footnote w:id="115">
    <w:p w:rsidR="00283B02" w:rsidP="00B83427" w14:paraId="2FECFBBD" w14:textId="3CC2601A">
      <w:pPr>
        <w:pStyle w:val="FootnoteText"/>
      </w:pPr>
      <w:r>
        <w:rPr>
          <w:rStyle w:val="FootnoteReference"/>
          <w:rFonts w:eastAsia="Calibri"/>
        </w:rPr>
        <w:footnoteRef/>
      </w:r>
      <w:r>
        <w:t xml:space="preserve"> </w:t>
      </w:r>
      <w:r>
        <w:rPr>
          <w:i/>
        </w:rPr>
        <w:t>See</w:t>
      </w:r>
      <w:r>
        <w:t xml:space="preserve"> </w:t>
      </w:r>
      <w:r>
        <w:rPr>
          <w:i/>
          <w:iCs/>
          <w:color w:val="000000"/>
        </w:rPr>
        <w:t>id.</w:t>
      </w:r>
      <w:r>
        <w:rPr>
          <w:color w:val="000000"/>
        </w:rPr>
        <w:t xml:space="preserve"> </w:t>
      </w:r>
      <w:r w:rsidR="007B3FC2">
        <w:rPr>
          <w:color w:val="000000"/>
        </w:rPr>
        <w:t>A</w:t>
      </w:r>
      <w:r>
        <w:rPr>
          <w:color w:val="000000"/>
        </w:rPr>
        <w:t>t</w:t>
      </w:r>
      <w:r>
        <w:t xml:space="preserve"> Table 5,</w:t>
      </w:r>
      <w:r>
        <w:rPr>
          <w:color w:val="000000"/>
        </w:rPr>
        <w:t xml:space="preserve"> </w:t>
      </w:r>
      <w:r>
        <w:rPr>
          <w:bCs/>
          <w:color w:val="000000"/>
        </w:rPr>
        <w:t>County Governments by Population-Size Group and State: 2017</w:t>
      </w:r>
      <w:r>
        <w:rPr>
          <w:bCs/>
        </w:rPr>
        <w:t xml:space="preserve"> [CG1700ORG05]</w:t>
      </w:r>
      <w:r>
        <w:t xml:space="preserve">.  </w:t>
      </w:r>
      <w:hyperlink r:id="rId10"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116">
    <w:p w:rsidR="00283B02" w:rsidP="00B83427" w14:paraId="31824ACB" w14:textId="07ED8D3B">
      <w:pPr>
        <w:pStyle w:val="FootnoteText"/>
      </w:pPr>
      <w:r>
        <w:rPr>
          <w:rStyle w:val="FootnoteReference"/>
          <w:rFonts w:eastAsia="Calibri"/>
        </w:rPr>
        <w:footnoteRef/>
      </w:r>
      <w:r>
        <w:t xml:space="preserve"> </w:t>
      </w:r>
      <w:r>
        <w:rPr>
          <w:i/>
        </w:rPr>
        <w:t>See</w:t>
      </w:r>
      <w:r>
        <w:t xml:space="preserve"> </w:t>
      </w:r>
      <w:r>
        <w:rPr>
          <w:i/>
        </w:rPr>
        <w:t>id.</w:t>
      </w:r>
      <w:r>
        <w:t xml:space="preserve"> </w:t>
      </w:r>
      <w:r w:rsidR="007B3FC2">
        <w:t>A</w:t>
      </w:r>
      <w:r>
        <w:t xml:space="preserve">t Table 6, </w:t>
      </w:r>
      <w:r>
        <w:rPr>
          <w:bCs/>
        </w:rPr>
        <w:t xml:space="preserve">Subcounty General-Purpose Governments by Population-Size Group and State: 2017 [CG1700ORG06]. </w:t>
      </w:r>
      <w:r w:rsidR="00164A4D">
        <w:rPr>
          <w:bCs/>
        </w:rPr>
        <w:t xml:space="preserve"> </w:t>
      </w:r>
      <w:hyperlink r:id="rId10" w:history="1">
        <w:r w:rsidRPr="00164A4D" w:rsidR="00164A4D">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117">
    <w:p w:rsidR="00283B02" w:rsidP="00B83427" w14:paraId="6E7C0C02" w14:textId="722CD28A">
      <w:pPr>
        <w:pStyle w:val="FootnoteText"/>
      </w:pPr>
      <w:r>
        <w:rPr>
          <w:rStyle w:val="FootnoteReference"/>
        </w:rPr>
        <w:footnoteRef/>
      </w:r>
      <w:r>
        <w:t xml:space="preserve"> </w:t>
      </w:r>
      <w:r>
        <w:rPr>
          <w:i/>
        </w:rPr>
        <w:t>See</w:t>
      </w:r>
      <w:r>
        <w:t xml:space="preserve"> </w:t>
      </w:r>
      <w:r>
        <w:rPr>
          <w:i/>
          <w:iCs/>
        </w:rPr>
        <w:t>id.</w:t>
      </w:r>
      <w:r>
        <w:t xml:space="preserve"> </w:t>
      </w:r>
      <w:r w:rsidR="00164A4D">
        <w:t xml:space="preserve"> </w:t>
      </w:r>
      <w:r w:rsidR="007B3FC2">
        <w:t>A</w:t>
      </w:r>
      <w:r>
        <w:t>t Table 10, Elementary and Secondary School Systems by Enrollment-Size Group and State: 2017 [CG1700ORG10].</w:t>
      </w:r>
      <w:r w:rsidR="00164A4D">
        <w:t xml:space="preserve"> </w:t>
      </w:r>
      <w:r>
        <w:t xml:space="preserve"> </w:t>
      </w:r>
      <w:hyperlink r:id="rId10"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 xml:space="preserve">Table 4. </w:t>
      </w:r>
      <w:r w:rsidR="00164A4D">
        <w:t xml:space="preserve"> </w:t>
      </w:r>
      <w:r>
        <w:t xml:space="preserve">Special-Purpose Local Governments by State Census Years 1942 to 2017 [CG1700ORG04], CG1700ORG04 Table </w:t>
      </w:r>
      <w:r>
        <w:t>Notes_Special</w:t>
      </w:r>
      <w:r>
        <w:t xml:space="preserve"> Purpose Local Governments by </w:t>
      </w:r>
      <w:r>
        <w:t>State_Census</w:t>
      </w:r>
      <w:r>
        <w:t xml:space="preserve"> Years 1942 to 2017</w:t>
      </w:r>
      <w:r w:rsidR="001F7BBD">
        <w:t xml:space="preserve"> (providing the methodology for creating the table)</w:t>
      </w:r>
      <w:r>
        <w:t>.</w:t>
      </w:r>
    </w:p>
  </w:footnote>
  <w:footnote w:id="118">
    <w:p w:rsidR="00283B02" w:rsidP="00B83427" w14:paraId="27E5A6C2"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19">
    <w:p w:rsidR="00283B02" w:rsidP="00B83427" w14:paraId="303B2809" w14:textId="5C9EF871">
      <w:pPr>
        <w:pStyle w:val="FootnoteText"/>
      </w:pPr>
      <w:r>
        <w:rPr>
          <w:rStyle w:val="FootnoteReference"/>
          <w:rFonts w:eastAsia="Calibri"/>
        </w:rPr>
        <w:footnoteRef/>
      </w:r>
      <w:r>
        <w:rPr>
          <w:i/>
        </w:rPr>
        <w:t xml:space="preserve"> </w:t>
      </w:r>
      <w:r>
        <w:t xml:space="preserve">This total is derived from the sum of the number of general purpose governments (county, municipal and town or township) with populations of less than 50,000 (36,931) and the number of special purpose governments </w:t>
      </w:r>
      <w:r w:rsidR="007B3FC2">
        <w:t>–</w:t>
      </w:r>
      <w:r>
        <w:t xml:space="preserve"> independent school districts with enrollment populations of less than 50,000 (12,040), from the 2017 Census of Governments </w:t>
      </w:r>
      <w:r w:rsidR="007B3FC2">
        <w:t>–</w:t>
      </w:r>
      <w:r>
        <w:t xml:space="preserve"> Organizations Tables 5, 6, and 10.</w:t>
      </w:r>
    </w:p>
  </w:footnote>
  <w:footnote w:id="120">
    <w:p w:rsidR="00283B02" w:rsidP="00B83427" w14:paraId="687BA6A7" w14:textId="77777777">
      <w:pPr>
        <w:pStyle w:val="FootnoteText"/>
        <w:rPr>
          <w:b/>
          <w:bCs/>
          <w:sz w:val="24"/>
          <w:szCs w:val="24"/>
        </w:rPr>
      </w:pPr>
      <w:r>
        <w:rPr>
          <w:rStyle w:val="FootnoteReference"/>
        </w:rPr>
        <w:footnoteRef/>
      </w:r>
      <w:r>
        <w:t xml:space="preserve"> </w:t>
      </w:r>
      <w:r>
        <w:rPr>
          <w:i/>
          <w:iCs/>
        </w:rPr>
        <w:t>See</w:t>
      </w:r>
      <w:r>
        <w:t xml:space="preserve"> U.S. Census Bureau, </w:t>
      </w:r>
      <w:r>
        <w:rPr>
          <w:i/>
          <w:iCs/>
        </w:rPr>
        <w:t>2017 NAICS Definition, “</w:t>
      </w:r>
      <w:r>
        <w:rPr>
          <w:bCs/>
          <w:i/>
          <w:iCs/>
        </w:rPr>
        <w:t>517312 Wireless Telecommunications Carriers</w:t>
      </w:r>
      <w:r>
        <w:rPr>
          <w:bCs/>
        </w:rPr>
        <w:t xml:space="preserve"> (except Satellite),”</w:t>
      </w:r>
      <w:bookmarkStart w:id="63" w:name="_Hlk68606932"/>
      <w:r>
        <w:rPr>
          <w:bCs/>
        </w:rPr>
        <w:t xml:space="preserve"> </w:t>
      </w:r>
      <w:hyperlink r:id="rId11" w:history="1">
        <w:r>
          <w:rPr>
            <w:rStyle w:val="Hyperlink"/>
          </w:rPr>
          <w:t>https://www.census.gov/naics/?input=517312&amp;year=2017&amp;details=517312</w:t>
        </w:r>
      </w:hyperlink>
      <w:bookmarkEnd w:id="63"/>
      <w:r>
        <w:rPr>
          <w:rStyle w:val="Hyperlink"/>
          <w:iCs/>
        </w:rPr>
        <w:t>.</w:t>
      </w:r>
    </w:p>
  </w:footnote>
  <w:footnote w:id="121">
    <w:p w:rsidR="00283B02" w:rsidP="00B83427" w14:paraId="6AB53626" w14:textId="77777777">
      <w:pPr>
        <w:pStyle w:val="FootnoteText"/>
      </w:pPr>
      <w:r>
        <w:rPr>
          <w:rStyle w:val="FootnoteReference"/>
        </w:rPr>
        <w:footnoteRef/>
      </w:r>
      <w:r>
        <w:t xml:space="preserve"> </w:t>
      </w:r>
      <w:r>
        <w:rPr>
          <w:i/>
          <w:iCs/>
        </w:rPr>
        <w:t>See</w:t>
      </w:r>
      <w:r>
        <w:t xml:space="preserve"> </w:t>
      </w:r>
      <w:r>
        <w:rPr>
          <w:lang w:val="fr-FR"/>
        </w:rPr>
        <w:t>13 CFR § 121.201, NAICS Code 517312 (</w:t>
      </w:r>
      <w:r>
        <w:rPr>
          <w:lang w:val="fr-FR"/>
        </w:rPr>
        <w:t>previously</w:t>
      </w:r>
      <w:r>
        <w:rPr>
          <w:lang w:val="fr-FR"/>
        </w:rPr>
        <w:t xml:space="preserve"> 517210).</w:t>
      </w:r>
    </w:p>
  </w:footnote>
  <w:footnote w:id="122">
    <w:p w:rsidR="00283B02" w:rsidP="00B83427" w14:paraId="44EB35B5" w14:textId="77777777">
      <w:pPr>
        <w:pStyle w:val="FootnoteText"/>
      </w:pPr>
      <w:r>
        <w:rPr>
          <w:rStyle w:val="FootnoteReference"/>
        </w:rPr>
        <w:footnoteRef/>
      </w:r>
      <w:r>
        <w:t xml:space="preserve"> </w:t>
      </w:r>
      <w:r>
        <w:rPr>
          <w:i/>
          <w:iCs/>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 xml:space="preserve">Information: Subject Series: </w:t>
      </w:r>
      <w:r>
        <w:rPr>
          <w:i/>
          <w:iCs/>
        </w:rPr>
        <w:t>Estab</w:t>
      </w:r>
      <w:r>
        <w:rPr>
          <w:i/>
          <w:iCs/>
        </w:rPr>
        <w:t xml:space="preserve"> and Firm Size: Employment Size of Firms for the U.S.: 2012</w:t>
      </w:r>
      <w:r>
        <w:t xml:space="preserve">, NAICS Code 517210, </w:t>
      </w:r>
      <w:hyperlink r:id="rId12" w:history="1">
        <w:r>
          <w:rPr>
            <w:rStyle w:val="Hyperlink"/>
          </w:rPr>
          <w:t>https://data.census.gov/cedsci/table?text=EC1251SSSZ5&amp;n=517210&amp;tid=ECNSIZE2012.EC1251SSSZ5&amp;hidePreview=false&amp;vintage=2012</w:t>
        </w:r>
      </w:hyperlink>
      <w:r>
        <w:t>.</w:t>
      </w:r>
    </w:p>
  </w:footnote>
  <w:footnote w:id="123">
    <w:p w:rsidR="00283B02" w:rsidP="00B83427" w14:paraId="0E783BCC" w14:textId="77777777">
      <w:pPr>
        <w:pStyle w:val="FootnoteText"/>
      </w:pPr>
      <w:r>
        <w:rPr>
          <w:rStyle w:val="FootnoteReference"/>
        </w:rPr>
        <w:footnoteRef/>
      </w:r>
      <w:r>
        <w:t xml:space="preserve"> </w:t>
      </w:r>
      <w:r>
        <w:rPr>
          <w:i/>
        </w:rPr>
        <w:t>Id</w:t>
      </w:r>
      <w:r w:rsidRPr="008463ED">
        <w:rPr>
          <w:i/>
          <w:iCs/>
        </w:rPr>
        <w:t>.</w:t>
      </w:r>
      <w:r>
        <w:t xml:space="preserve">  The available U.S. Census Bureau data does not provide a more precise estimate of the number of firms that meet the SBA size standard.</w:t>
      </w:r>
    </w:p>
  </w:footnote>
  <w:footnote w:id="124">
    <w:p w:rsidR="00283B02" w:rsidP="00B83427" w14:paraId="359AA8D3" w14:textId="001D6B0C">
      <w:pPr>
        <w:pStyle w:val="FootnoteText"/>
      </w:pPr>
      <w:r>
        <w:rPr>
          <w:rStyle w:val="FootnoteReference"/>
        </w:rPr>
        <w:footnoteRef/>
      </w:r>
      <w:r>
        <w:t xml:space="preserve"> </w:t>
      </w:r>
      <w:r>
        <w:rPr>
          <w:i/>
        </w:rPr>
        <w:t>See</w:t>
      </w:r>
      <w:r>
        <w:t xml:space="preserve"> 47 CFR </w:t>
      </w:r>
      <w:r w:rsidR="007B3FC2">
        <w:t xml:space="preserve">pt. </w:t>
      </w:r>
      <w:r>
        <w:t xml:space="preserve">10, </w:t>
      </w:r>
      <w:r w:rsidR="007B3FC2">
        <w:t>s</w:t>
      </w:r>
      <w:r>
        <w:t>ubpart I.</w:t>
      </w:r>
    </w:p>
  </w:footnote>
  <w:footnote w:id="125">
    <w:p w:rsidR="00283B02" w:rsidP="00B83427" w14:paraId="094B6479" w14:textId="77777777">
      <w:pPr>
        <w:pStyle w:val="FootnoteText"/>
      </w:pPr>
      <w:r>
        <w:rPr>
          <w:rStyle w:val="FootnoteReference"/>
        </w:rPr>
        <w:footnoteRef/>
      </w:r>
      <w:r>
        <w:t xml:space="preserve"> Persons eligible under Parts 80 and 90 of the Commission’s rules can use Private-Operational Fixed Microwave services.  </w:t>
      </w:r>
      <w:r>
        <w:rPr>
          <w:i/>
        </w:rPr>
        <w:t>See</w:t>
      </w:r>
      <w:r>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126">
    <w:p w:rsidR="00283B02" w:rsidP="00B83427" w14:paraId="2C5A23D1" w14:textId="376F0B6E">
      <w:pPr>
        <w:pStyle w:val="FootnoteText"/>
      </w:pPr>
      <w:r>
        <w:rPr>
          <w:rStyle w:val="FootnoteReference"/>
        </w:rPr>
        <w:footnoteRef/>
      </w:r>
      <w:r>
        <w:t xml:space="preserve"> Auxiliary Microwave Service is governed by </w:t>
      </w:r>
      <w:r w:rsidR="007B3FC2">
        <w:t>p</w:t>
      </w:r>
      <w:r>
        <w:t>art</w:t>
      </w:r>
      <w:r w:rsidR="007B3FC2">
        <w:t>s</w:t>
      </w:r>
      <w:r>
        <w:t xml:space="preserve"> 74 and 78 of Title 47 of the Commission’s rules.  Available to licensees of broadcast stations, cable operators, and to broadcast and cable network entities. Auxiliary microwave stations are used for relaying broadcast television signals from the studio to the transmitter, or between two points such as a main studio and an auxiliary studio.  The service also includes TV pickup and CARS pickup, which relay signals from a remote location back to the studio.</w:t>
      </w:r>
    </w:p>
  </w:footnote>
  <w:footnote w:id="127">
    <w:p w:rsidR="00283B02" w:rsidP="00B83427" w14:paraId="191CC2B3" w14:textId="3A164607">
      <w:pPr>
        <w:pStyle w:val="FootnoteText"/>
      </w:pPr>
      <w:r>
        <w:rPr>
          <w:rStyle w:val="FootnoteReference"/>
        </w:rPr>
        <w:footnoteRef/>
      </w:r>
      <w:r>
        <w:t xml:space="preserve"> </w:t>
      </w:r>
      <w:r>
        <w:rPr>
          <w:i/>
        </w:rPr>
        <w:t xml:space="preserve">See </w:t>
      </w:r>
      <w:r>
        <w:t xml:space="preserve">47 CFR </w:t>
      </w:r>
      <w:r w:rsidR="007B3FC2">
        <w:t>pt.</w:t>
      </w:r>
      <w:r>
        <w:t xml:space="preserve"> 30</w:t>
      </w:r>
      <w:r>
        <w:rPr>
          <w:i/>
        </w:rPr>
        <w:t>.</w:t>
      </w:r>
    </w:p>
  </w:footnote>
  <w:footnote w:id="128">
    <w:p w:rsidR="00283B02" w:rsidP="00B83427" w14:paraId="7F660239" w14:textId="43100C76">
      <w:pPr>
        <w:pStyle w:val="FootnoteText"/>
      </w:pPr>
      <w:r>
        <w:rPr>
          <w:rStyle w:val="FootnoteReference"/>
        </w:rPr>
        <w:footnoteRef/>
      </w:r>
      <w:r>
        <w:t xml:space="preserve"> </w:t>
      </w:r>
      <w:r>
        <w:rPr>
          <w:i/>
        </w:rPr>
        <w:t>See</w:t>
      </w:r>
      <w:r>
        <w:t xml:space="preserve"> 47 CFR </w:t>
      </w:r>
      <w:r w:rsidR="007B3FC2">
        <w:t>pt.</w:t>
      </w:r>
      <w:r>
        <w:t xml:space="preserve"> 101, </w:t>
      </w:r>
      <w:r w:rsidR="007B3FC2">
        <w:t>s</w:t>
      </w:r>
      <w:r>
        <w:t>ubpart Q.</w:t>
      </w:r>
    </w:p>
  </w:footnote>
  <w:footnote w:id="129">
    <w:p w:rsidR="00283B02" w:rsidP="00B83427" w14:paraId="07704390" w14:textId="6F3B8413">
      <w:pPr>
        <w:pStyle w:val="FootnoteText"/>
      </w:pPr>
      <w:r>
        <w:rPr>
          <w:rStyle w:val="FootnoteReference"/>
        </w:rPr>
        <w:footnoteRef/>
      </w:r>
      <w:r>
        <w:t xml:space="preserve"> </w:t>
      </w:r>
      <w:r>
        <w:rPr>
          <w:i/>
        </w:rPr>
        <w:t>See</w:t>
      </w:r>
      <w:r>
        <w:t xml:space="preserve"> 47 CFR </w:t>
      </w:r>
      <w:r w:rsidR="007B3FC2">
        <w:t xml:space="preserve">pt. </w:t>
      </w:r>
      <w:r>
        <w:t xml:space="preserve">101, </w:t>
      </w:r>
      <w:r w:rsidR="007B3FC2">
        <w:t>s</w:t>
      </w:r>
      <w:r>
        <w:t>ubpart L.</w:t>
      </w:r>
    </w:p>
  </w:footnote>
  <w:footnote w:id="130">
    <w:p w:rsidR="00283B02" w:rsidP="00B83427" w14:paraId="78DCB2B7" w14:textId="77777777">
      <w:pPr>
        <w:pStyle w:val="FootnoteText"/>
      </w:pPr>
      <w:r>
        <w:rPr>
          <w:rStyle w:val="FootnoteReference"/>
        </w:rPr>
        <w:footnoteRef/>
      </w:r>
      <w:r>
        <w:t xml:space="preserve"> </w:t>
      </w:r>
      <w:r>
        <w:rPr>
          <w:i/>
        </w:rPr>
        <w:t>See</w:t>
      </w:r>
      <w:r>
        <w:t xml:space="preserve"> 47 CFR §§ 30.6, 101.1017.</w:t>
      </w:r>
    </w:p>
  </w:footnote>
  <w:footnote w:id="131">
    <w:p w:rsidR="00283B02" w:rsidP="00B83427" w14:paraId="45C11AA7" w14:textId="77777777">
      <w:pPr>
        <w:pStyle w:val="FootnoteText"/>
      </w:pPr>
      <w:r>
        <w:rPr>
          <w:rStyle w:val="FootnoteReference"/>
        </w:rPr>
        <w:footnoteRef/>
      </w:r>
      <w:r>
        <w:t xml:space="preserve"> 13 CFR § 121.201, NAICS Code 517210.</w:t>
      </w:r>
    </w:p>
  </w:footnote>
  <w:footnote w:id="132">
    <w:p w:rsidR="00283B02" w:rsidP="00B83427" w14:paraId="1C286265" w14:textId="77777777">
      <w:pPr>
        <w:pStyle w:val="FootnoteText"/>
      </w:pPr>
      <w:r>
        <w:rPr>
          <w:rStyle w:val="FootnoteReference"/>
        </w:rPr>
        <w:footnoteRef/>
      </w:r>
      <w:r>
        <w:t xml:space="preserve"> </w:t>
      </w:r>
      <w:r>
        <w:rPr>
          <w:i/>
        </w:rPr>
        <w:t>Id</w:t>
      </w:r>
      <w:r w:rsidRPr="008463ED">
        <w:rPr>
          <w:i/>
          <w:iCs/>
        </w:rPr>
        <w:t>.</w:t>
      </w:r>
      <w:r>
        <w:t xml:space="preserve">  The available U.S. Census Bureau data does not provide a more precise estimate of the number of firms that meet the SBA size standard.</w:t>
      </w:r>
    </w:p>
  </w:footnote>
  <w:footnote w:id="133">
    <w:p w:rsidR="00283B02" w:rsidP="00B83427" w14:paraId="54537B7B" w14:textId="77777777">
      <w:pPr>
        <w:pStyle w:val="FootnoteText"/>
      </w:pPr>
      <w:r>
        <w:rPr>
          <w:rStyle w:val="FootnoteReference"/>
        </w:rPr>
        <w:footnoteRef/>
      </w:r>
      <w:r>
        <w:t xml:space="preserve"> </w:t>
      </w:r>
      <w:r>
        <w:rPr>
          <w:i/>
          <w:iCs/>
        </w:rPr>
        <w:t>See</w:t>
      </w:r>
      <w:r>
        <w:t xml:space="preserve"> U.S. Census Bureau, </w:t>
      </w:r>
      <w:r>
        <w:rPr>
          <w:i/>
          <w:iCs/>
        </w:rPr>
        <w:t>2017 NAICS Definition, “517410 Satellite Telecommunications</w:t>
      </w:r>
      <w:r>
        <w:t xml:space="preserve">,” </w:t>
      </w:r>
      <w:hyperlink r:id="rId13" w:history="1">
        <w:r>
          <w:rPr>
            <w:rStyle w:val="Hyperlink"/>
          </w:rPr>
          <w:t>https://www.census.gov/naics/?input=517410&amp;year=2017&amp;details=517410</w:t>
        </w:r>
      </w:hyperlink>
      <w:r>
        <w:t>.</w:t>
      </w:r>
    </w:p>
  </w:footnote>
  <w:footnote w:id="134">
    <w:p w:rsidR="00283B02" w:rsidP="00B83427" w14:paraId="21B4FFC4" w14:textId="77777777">
      <w:pPr>
        <w:pStyle w:val="FootnoteText"/>
      </w:pPr>
      <w:r>
        <w:rPr>
          <w:rStyle w:val="FootnoteReference"/>
        </w:rPr>
        <w:footnoteRef/>
      </w:r>
      <w:r>
        <w:t xml:space="preserve"> </w:t>
      </w:r>
      <w:r>
        <w:rPr>
          <w:i/>
          <w:iCs/>
        </w:rPr>
        <w:t>See</w:t>
      </w:r>
      <w:r>
        <w:t xml:space="preserve"> 13 CFR § 121.201, NAICS Code 517410.</w:t>
      </w:r>
    </w:p>
  </w:footnote>
  <w:footnote w:id="135">
    <w:p w:rsidR="00283B02" w:rsidP="00B83427" w14:paraId="37C4D320" w14:textId="77777777">
      <w:pPr>
        <w:pStyle w:val="FootnoteText"/>
      </w:pPr>
      <w:r>
        <w:rPr>
          <w:rStyle w:val="FootnoteReference"/>
        </w:rPr>
        <w:footnoteRef/>
      </w:r>
      <w:r>
        <w:t xml:space="preserve"> </w:t>
      </w:r>
      <w:r>
        <w:rPr>
          <w:i/>
          <w:iCs/>
        </w:rPr>
        <w:t>See</w:t>
      </w:r>
      <w:r>
        <w:t xml:space="preserve"> U.S. Census Bureau, </w:t>
      </w:r>
      <w:r>
        <w:rPr>
          <w:bCs/>
          <w:i/>
        </w:rPr>
        <w:t>2012</w:t>
      </w:r>
      <w:r>
        <w:rPr>
          <w:i/>
        </w:rPr>
        <w:t xml:space="preserve"> Economic Census</w:t>
      </w:r>
      <w:r>
        <w:rPr>
          <w:bCs/>
          <w:i/>
        </w:rPr>
        <w:t xml:space="preserve"> of the United States</w:t>
      </w:r>
      <w:r>
        <w:t xml:space="preserve">, Table ID:  EC1251SSSZ4, </w:t>
      </w:r>
      <w:r>
        <w:rPr>
          <w:i/>
          <w:iCs/>
        </w:rPr>
        <w:t xml:space="preserve">Information: Subject Series: </w:t>
      </w:r>
      <w:r>
        <w:rPr>
          <w:i/>
          <w:iCs/>
        </w:rPr>
        <w:t>Estab</w:t>
      </w:r>
      <w:r>
        <w:rPr>
          <w:i/>
          <w:iCs/>
        </w:rPr>
        <w:t xml:space="preserve"> and Firm Size: </w:t>
      </w:r>
      <w:r>
        <w:rPr>
          <w:bCs/>
          <w:i/>
          <w:iCs/>
        </w:rPr>
        <w:t>Receipts Size of Firms for the U.S.</w:t>
      </w:r>
      <w:r>
        <w:rPr>
          <w:i/>
          <w:iCs/>
        </w:rPr>
        <w:t>: 2012</w:t>
      </w:r>
      <w:r>
        <w:t xml:space="preserve">, NAICS Code 517410, </w:t>
      </w:r>
      <w:hyperlink r:id="rId14" w:history="1">
        <w:r>
          <w:rPr>
            <w:rStyle w:val="Hyperlink"/>
          </w:rPr>
          <w:t>https://data.census.gov/cedsci/table?text=EC1251SSSZ4&amp;n=517410&amp;tid=ECNSIZE2012.EC1251SSSZ4&amp;hidePreview=false&amp;vintage=2012</w:t>
        </w:r>
      </w:hyperlink>
      <w:r>
        <w:t>.</w:t>
      </w:r>
    </w:p>
  </w:footnote>
  <w:footnote w:id="136">
    <w:p w:rsidR="00283B02" w:rsidP="00B83427" w14:paraId="14E45310" w14:textId="77777777">
      <w:pPr>
        <w:pStyle w:val="FootnoteText"/>
      </w:pPr>
      <w:r>
        <w:rPr>
          <w:rStyle w:val="FootnoteReference"/>
        </w:rPr>
        <w:footnoteRef/>
      </w:r>
      <w:r>
        <w:t xml:space="preserve"> </w:t>
      </w:r>
      <w:r>
        <w:rPr>
          <w:i/>
        </w:rPr>
        <w:t>Id</w:t>
      </w:r>
      <w:r w:rsidRPr="008463ED">
        <w:rPr>
          <w:i/>
          <w:iCs/>
        </w:rPr>
        <w:t>.</w:t>
      </w:r>
      <w:r>
        <w:t xml:space="preserve">  The available U.S. Census Bureau data does not provide a more precise estimate of the number of firms that meet the SBA size standard.</w:t>
      </w:r>
    </w:p>
  </w:footnote>
  <w:footnote w:id="137">
    <w:p w:rsidR="00283B02" w:rsidP="00B83427" w14:paraId="16533786" w14:textId="77777777">
      <w:pPr>
        <w:pStyle w:val="FootnoteText"/>
      </w:pPr>
      <w:r>
        <w:rPr>
          <w:rStyle w:val="FootnoteReference"/>
        </w:rPr>
        <w:footnoteRef/>
      </w:r>
      <w:r>
        <w:t xml:space="preserve"> </w:t>
      </w:r>
      <w:r>
        <w:rPr>
          <w:i/>
        </w:rPr>
        <w:t>See</w:t>
      </w:r>
      <w:r>
        <w:t xml:space="preserve"> U.S. Census Bureau, </w:t>
      </w:r>
      <w:r>
        <w:rPr>
          <w:i/>
          <w:iCs/>
        </w:rPr>
        <w:t>2017 NAICS Definition</w:t>
      </w:r>
      <w:r>
        <w:t>, “</w:t>
      </w:r>
      <w:r>
        <w:rPr>
          <w:i/>
          <w:iCs/>
        </w:rPr>
        <w:t>517919 All Other Telecommunications</w:t>
      </w:r>
      <w:r>
        <w:t xml:space="preserve">,” </w:t>
      </w:r>
      <w:hyperlink r:id="rId15" w:history="1">
        <w:r>
          <w:rPr>
            <w:rStyle w:val="Hyperlink"/>
          </w:rPr>
          <w:t>https://www.census.gov/naics/?input=517919&amp;year=2017&amp;details=517919</w:t>
        </w:r>
      </w:hyperlink>
      <w:r>
        <w:rPr>
          <w:rStyle w:val="Hyperlink"/>
        </w:rPr>
        <w:t>.</w:t>
      </w:r>
    </w:p>
  </w:footnote>
  <w:footnote w:id="138">
    <w:p w:rsidR="00283B02" w:rsidP="00B83427" w14:paraId="1185D7B0" w14:textId="77777777">
      <w:pPr>
        <w:pStyle w:val="FootnoteText"/>
      </w:pPr>
      <w:r>
        <w:rPr>
          <w:rStyle w:val="FootnoteReference"/>
        </w:rPr>
        <w:footnoteRef/>
      </w:r>
      <w:r>
        <w:t xml:space="preserve"> </w:t>
      </w:r>
      <w:r>
        <w:rPr>
          <w:i/>
        </w:rPr>
        <w:t>Id</w:t>
      </w:r>
      <w:r w:rsidRPr="008463ED">
        <w:rPr>
          <w:i/>
          <w:iCs/>
        </w:rPr>
        <w:t>.</w:t>
      </w:r>
    </w:p>
  </w:footnote>
  <w:footnote w:id="139">
    <w:p w:rsidR="00283B02" w:rsidP="00B83427" w14:paraId="56B043C4" w14:textId="77777777">
      <w:pPr>
        <w:pStyle w:val="FootnoteText"/>
        <w:rPr>
          <w:i/>
        </w:rPr>
      </w:pPr>
      <w:r>
        <w:rPr>
          <w:rStyle w:val="FootnoteReference"/>
        </w:rPr>
        <w:footnoteRef/>
      </w:r>
      <w:r>
        <w:t xml:space="preserve"> </w:t>
      </w:r>
      <w:r>
        <w:rPr>
          <w:i/>
        </w:rPr>
        <w:t>Id.</w:t>
      </w:r>
    </w:p>
  </w:footnote>
  <w:footnote w:id="140">
    <w:p w:rsidR="00283B02" w:rsidP="00B83427" w14:paraId="4324A552" w14:textId="77777777">
      <w:pPr>
        <w:pStyle w:val="FootnoteText"/>
      </w:pPr>
      <w:r>
        <w:rPr>
          <w:rStyle w:val="FootnoteReference"/>
        </w:rPr>
        <w:footnoteRef/>
      </w:r>
      <w:r>
        <w:t xml:space="preserve"> </w:t>
      </w:r>
      <w:r>
        <w:rPr>
          <w:i/>
          <w:iCs/>
        </w:rPr>
        <w:t>See</w:t>
      </w:r>
      <w:r>
        <w:t xml:space="preserve"> 13 CFR § 121.201, NAICS Code 517919.</w:t>
      </w:r>
    </w:p>
  </w:footnote>
  <w:footnote w:id="141">
    <w:p w:rsidR="00283B02" w:rsidP="00B83427" w14:paraId="6FE722F0" w14:textId="77777777">
      <w:pPr>
        <w:pStyle w:val="FootnoteText"/>
      </w:pPr>
      <w:r>
        <w:rPr>
          <w:rStyle w:val="FootnoteReference"/>
        </w:rPr>
        <w:footnoteRef/>
      </w:r>
      <w:r>
        <w:t xml:space="preserve"> </w:t>
      </w:r>
      <w:r>
        <w:rPr>
          <w:i/>
          <w:iCs/>
        </w:rPr>
        <w:t>See</w:t>
      </w:r>
      <w:r>
        <w:t xml:space="preserve"> U.S. Census Bureau, </w:t>
      </w:r>
      <w:r>
        <w:rPr>
          <w:bCs/>
          <w:i/>
        </w:rPr>
        <w:t>2012</w:t>
      </w:r>
      <w:r>
        <w:rPr>
          <w:i/>
        </w:rPr>
        <w:t xml:space="preserve"> Economic Census</w:t>
      </w:r>
      <w:r>
        <w:rPr>
          <w:bCs/>
          <w:i/>
        </w:rPr>
        <w:t xml:space="preserve"> of the United States</w:t>
      </w:r>
      <w:r>
        <w:t xml:space="preserve">, Table ID: EC1251SSSZ4, </w:t>
      </w:r>
      <w:r>
        <w:rPr>
          <w:i/>
          <w:iCs/>
        </w:rPr>
        <w:t xml:space="preserve">Information: Subject Series - </w:t>
      </w:r>
      <w:r>
        <w:rPr>
          <w:i/>
          <w:iCs/>
        </w:rPr>
        <w:t>Estab</w:t>
      </w:r>
      <w:r>
        <w:rPr>
          <w:i/>
          <w:iCs/>
        </w:rPr>
        <w:t xml:space="preserve"> and Firm Size: </w:t>
      </w:r>
      <w:r>
        <w:rPr>
          <w:bCs/>
          <w:i/>
          <w:iCs/>
        </w:rPr>
        <w:t>Receipts Size of Firms for the United States: 2012</w:t>
      </w:r>
      <w:r>
        <w:t xml:space="preserve">, NAICS Code 517919 </w:t>
      </w:r>
      <w:hyperlink r:id="rId16" w:history="1">
        <w:r>
          <w:rPr>
            <w:rStyle w:val="Hyperlink"/>
          </w:rPr>
          <w:t>https://data.census.gov/cedsci/table?text=EC1251SSSZ4&amp;n=517919&amp;tid=ECNSIZE2012.EC1251SSSZ4&amp;hidePreview=false</w:t>
        </w:r>
      </w:hyperlink>
      <w:r>
        <w:t>.</w:t>
      </w:r>
    </w:p>
  </w:footnote>
  <w:footnote w:id="142">
    <w:p w:rsidR="00283B02" w:rsidP="00B83427" w14:paraId="11343D76" w14:textId="77777777">
      <w:pPr>
        <w:pStyle w:val="FootnoteText"/>
      </w:pPr>
      <w:r>
        <w:rPr>
          <w:rStyle w:val="FootnoteReference"/>
        </w:rPr>
        <w:footnoteRef/>
      </w:r>
      <w:r>
        <w:t xml:space="preserve"> </w:t>
      </w:r>
      <w:r>
        <w:rPr>
          <w:i/>
        </w:rPr>
        <w:t>Id.</w:t>
      </w:r>
      <w:r>
        <w:t xml:space="preserve">  The available U.S. Census Bureau data does not provide a more precise estimate of the number of firms that meet the SBA size standard.</w:t>
      </w:r>
    </w:p>
  </w:footnote>
  <w:footnote w:id="143">
    <w:p w:rsidR="00283B02" w:rsidP="00B83427" w14:paraId="1C269D7A" w14:textId="77777777">
      <w:pPr>
        <w:pStyle w:val="FootnoteText"/>
      </w:pPr>
      <w:r>
        <w:rPr>
          <w:rStyle w:val="FootnoteReference"/>
        </w:rPr>
        <w:footnoteRef/>
      </w:r>
      <w:r>
        <w:t xml:space="preserve"> </w:t>
      </w:r>
      <w:r>
        <w:rPr>
          <w:i/>
          <w:iCs/>
        </w:rPr>
        <w:t>See</w:t>
      </w:r>
      <w:r>
        <w:t xml:space="preserve"> U.S. Census Bureau, </w:t>
      </w:r>
      <w:r>
        <w:rPr>
          <w:i/>
          <w:iCs/>
        </w:rPr>
        <w:t>2017 NAICS Definition, “</w:t>
      </w:r>
      <w:r>
        <w:rPr>
          <w:bCs/>
          <w:i/>
          <w:iCs/>
        </w:rPr>
        <w:t>334220 Radio and Television Broadcasting and Wireless Communications Equipment Manufacturing,</w:t>
      </w:r>
      <w:r>
        <w:rPr>
          <w:bCs/>
        </w:rPr>
        <w:t xml:space="preserve">” </w:t>
      </w:r>
      <w:hyperlink r:id="rId17" w:history="1">
        <w:r>
          <w:rPr>
            <w:rStyle w:val="Hyperlink"/>
          </w:rPr>
          <w:t>https://www.census.gov/naics/?input=334220&amp;year=2017&amp;details=334220</w:t>
        </w:r>
      </w:hyperlink>
      <w:r>
        <w:rPr>
          <w:rStyle w:val="Hyperlink"/>
        </w:rPr>
        <w:t>.</w:t>
      </w:r>
    </w:p>
  </w:footnote>
  <w:footnote w:id="144">
    <w:p w:rsidR="00283B02" w:rsidP="00B83427" w14:paraId="10742159" w14:textId="77777777">
      <w:pPr>
        <w:pStyle w:val="FootnoteText"/>
      </w:pPr>
      <w:r>
        <w:rPr>
          <w:rStyle w:val="FootnoteReference"/>
        </w:rPr>
        <w:footnoteRef/>
      </w:r>
      <w:r>
        <w:t xml:space="preserve"> </w:t>
      </w:r>
      <w:r>
        <w:rPr>
          <w:i/>
          <w:iCs/>
        </w:rPr>
        <w:t>Id</w:t>
      </w:r>
      <w:r w:rsidRPr="008463ED">
        <w:rPr>
          <w:i/>
          <w:iCs/>
        </w:rPr>
        <w:t>.</w:t>
      </w:r>
    </w:p>
  </w:footnote>
  <w:footnote w:id="145">
    <w:p w:rsidR="00283B02" w:rsidP="00B83427" w14:paraId="52300682" w14:textId="77777777">
      <w:pPr>
        <w:pStyle w:val="FootnoteText"/>
      </w:pPr>
      <w:r>
        <w:rPr>
          <w:rStyle w:val="FootnoteReference"/>
        </w:rPr>
        <w:footnoteRef/>
      </w:r>
      <w:r>
        <w:t xml:space="preserve"> </w:t>
      </w:r>
      <w:r>
        <w:rPr>
          <w:i/>
          <w:iCs/>
        </w:rPr>
        <w:t>See</w:t>
      </w:r>
      <w:r>
        <w:t xml:space="preserve"> 13 CFR § 121.201, NAICS Code 334220.</w:t>
      </w:r>
    </w:p>
  </w:footnote>
  <w:footnote w:id="146">
    <w:p w:rsidR="00283B02" w:rsidP="00B83427" w14:paraId="17768564" w14:textId="77777777">
      <w:pPr>
        <w:pStyle w:val="FootnoteText"/>
      </w:pPr>
      <w:r>
        <w:rPr>
          <w:rStyle w:val="FootnoteReference"/>
        </w:rPr>
        <w:footnoteRef/>
      </w:r>
      <w:r>
        <w:t xml:space="preserve"> </w:t>
      </w:r>
      <w:r>
        <w:rPr>
          <w:i/>
          <w:iCs/>
        </w:rPr>
        <w:t>See</w:t>
      </w:r>
      <w:r>
        <w:t xml:space="preserve"> U.S. Census Bureau, </w:t>
      </w:r>
      <w:r>
        <w:rPr>
          <w:bCs/>
          <w:i/>
        </w:rPr>
        <w:t>2012</w:t>
      </w:r>
      <w:r>
        <w:rPr>
          <w:i/>
        </w:rPr>
        <w:t xml:space="preserve"> Economic Census</w:t>
      </w:r>
      <w:r>
        <w:rPr>
          <w:bCs/>
          <w:i/>
        </w:rPr>
        <w:t xml:space="preserve"> of the United States</w:t>
      </w:r>
      <w:r>
        <w:t xml:space="preserve">, Table ID: EC1231SG2, Manufacturing: Summary Series: General Summary: Industry Statistics for Subsectors and Industries by Employment Size: 2012 NAICS Code 334220, </w:t>
      </w:r>
      <w:hyperlink r:id="rId18" w:history="1">
        <w:r>
          <w:rPr>
            <w:rStyle w:val="Hyperlink"/>
          </w:rPr>
          <w:t>https://data.census.gov/cedsci/table?text=EC1231SG2&amp;n=334220&amp;tid=ECNSIZE2012.EC1231SG2&amp;hidePreview=false</w:t>
        </w:r>
      </w:hyperlink>
      <w:r>
        <w:t>.</w:t>
      </w:r>
    </w:p>
  </w:footnote>
  <w:footnote w:id="147">
    <w:p w:rsidR="00283B02" w:rsidP="00B83427" w14:paraId="38E810D7" w14:textId="7C025709">
      <w:pPr>
        <w:pStyle w:val="FootnoteText"/>
      </w:pPr>
      <w:r>
        <w:rPr>
          <w:rStyle w:val="FootnoteReference"/>
        </w:rPr>
        <w:footnoteRef/>
      </w:r>
      <w:r>
        <w:t xml:space="preserve"> </w:t>
      </w:r>
      <w:r>
        <w:rPr>
          <w:i/>
        </w:rPr>
        <w:t>Id.</w:t>
      </w:r>
      <w:r>
        <w:t xml:space="preserve"> </w:t>
      </w:r>
      <w:r w:rsidR="00787D23">
        <w:t xml:space="preserve"> </w:t>
      </w:r>
      <w:r>
        <w:t>The available U.S. Census Bureau data does not provide a more precise estimate of the number of firms that meet the SBA size standard.</w:t>
      </w:r>
    </w:p>
  </w:footnote>
  <w:footnote w:id="148">
    <w:p w:rsidR="00283B02" w:rsidP="00B83427" w14:paraId="39DAD4D5" w14:textId="77777777">
      <w:pPr>
        <w:pStyle w:val="FootnoteText"/>
      </w:pPr>
      <w:r>
        <w:rPr>
          <w:rStyle w:val="FootnoteReference"/>
        </w:rPr>
        <w:footnoteRef/>
      </w:r>
      <w:r>
        <w:t xml:space="preserve"> </w:t>
      </w:r>
      <w:r>
        <w:rPr>
          <w:i/>
          <w:iCs/>
        </w:rPr>
        <w:t xml:space="preserve">See </w:t>
      </w:r>
      <w:r w:rsidRPr="00E401EE">
        <w:rPr>
          <w:i/>
          <w:iCs/>
        </w:rPr>
        <w:t>Office of Engineering &amp; Technology and the Wireless Telecommunications Bureau Seek Comment on Emission Limits for the 24.25-27.5 GHz Band</w:t>
      </w:r>
      <w:r w:rsidRPr="00E401EE">
        <w:t xml:space="preserve">, Public Notice, </w:t>
      </w:r>
      <w:r w:rsidRPr="00ED3EB4">
        <w:t>36 FCC Rcd 7561</w:t>
      </w:r>
      <w:r w:rsidRPr="00E401EE">
        <w:t xml:space="preserve"> (</w:t>
      </w:r>
      <w:r>
        <w:t>OET WTB</w:t>
      </w:r>
      <w:r w:rsidRPr="00E401EE">
        <w:t xml:space="preserve"> 2021) (</w:t>
      </w:r>
      <w:r w:rsidRPr="00E401EE">
        <w:rPr>
          <w:i/>
          <w:iCs/>
        </w:rPr>
        <w:t>Public Notice</w:t>
      </w:r>
      <w:r w:rsidRPr="00E401EE">
        <w:t>).</w:t>
      </w:r>
    </w:p>
  </w:footnote>
  <w:footnote w:id="149">
    <w:p w:rsidR="00283B02" w:rsidP="00B83427" w14:paraId="1B23C938" w14:textId="77777777">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14:paraId="4C3BE9B2" w14:textId="310C2E43">
    <w:pPr>
      <w:pStyle w:val="Header"/>
      <w:pBdr>
        <w:bottom w:val="single" w:sz="12" w:space="1" w:color="auto"/>
      </w:pBdr>
      <w:rPr>
        <w:b w:val="0"/>
      </w:rPr>
    </w:pPr>
    <w:r>
      <w:tab/>
      <w:t>Federal Communications Commission</w:t>
    </w:r>
    <w:r>
      <w:tab/>
      <w:t xml:space="preserve"> </w:t>
    </w:r>
    <w:r w:rsidR="00DB6656">
      <w:t>FCC 23-114</w:t>
    </w:r>
  </w:p>
  <w:p w:rsidR="00283B02" w14:paraId="31811D6B" w14:textId="4DAA55AF">
    <w:pPr>
      <w:tabs>
        <w:tab w:val="left" w:pos="-720"/>
      </w:tabs>
      <w:suppressAutoHyphens/>
      <w:spacing w:line="19" w:lineRule="exact"/>
      <w:rPr>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14:paraId="729ABB1C" w14:textId="45545DB8">
    <w:pPr>
      <w:pStyle w:val="Header"/>
      <w:pBdr>
        <w:bottom w:val="single" w:sz="12" w:space="1" w:color="auto"/>
      </w:pBdr>
      <w:rPr>
        <w:b w:val="0"/>
      </w:rPr>
    </w:pPr>
    <w:r>
      <w:tab/>
      <w:t>Federal Communications Commission</w:t>
    </w:r>
    <w:r>
      <w:tab/>
    </w:r>
    <w:r>
      <w:rPr>
        <w:spacing w:val="-2"/>
      </w:rPr>
      <w:t xml:space="preserve">FCC </w:t>
    </w:r>
    <w:r w:rsidR="00B23A6D">
      <w:rPr>
        <w:spacing w:val="-2"/>
      </w:rPr>
      <w:t>23-114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rsidP="00810B6F" w14:paraId="002463EA" w14:textId="0AD63516">
    <w:pPr>
      <w:pStyle w:val="Header"/>
      <w:rPr>
        <w:b w:val="0"/>
      </w:rPr>
    </w:pPr>
    <w:r>
      <w:tab/>
      <w:t>Federal Communications Commission</w:t>
    </w:r>
    <w:r>
      <w:tab/>
    </w:r>
    <w:r w:rsidR="004E478C">
      <w:t>FCC 23-114</w:t>
    </w:r>
  </w:p>
  <w:p w:rsidR="00283B02" w14:paraId="0F19C035" w14:textId="2CBADD7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283B02" w14:paraId="69EF6D92"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rsidP="00810B6F" w14:paraId="5575321B" w14:textId="250CF24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rsidRPr="00794ABE" w:rsidP="00794ABE" w14:paraId="0CC8126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3B02" w:rsidP="00810B6F" w14:paraId="72BB009D" w14:textId="69BBE33C">
    <w:pPr>
      <w:pStyle w:val="Header"/>
      <w:rPr>
        <w:b w:val="0"/>
      </w:rPr>
    </w:pPr>
    <w:r>
      <w:tab/>
      <w:t>Federal Communications Commission</w:t>
    </w:r>
    <w:r>
      <w:tab/>
    </w:r>
    <w:r w:rsidR="00DB6656">
      <w:t>FCC 23-114</w:t>
    </w:r>
  </w:p>
  <w:p w:rsidR="00283B02" w14:paraId="0B138DF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C4411A"/>
    <w:multiLevelType w:val="hybridMultilevel"/>
    <w:tmpl w:val="7F4E3C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5B1B29"/>
    <w:multiLevelType w:val="hybridMultilevel"/>
    <w:tmpl w:val="7688B8DE"/>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3340125"/>
    <w:multiLevelType w:val="multilevel"/>
    <w:tmpl w:val="6A327E6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8"/>
  </w:num>
  <w:num w:numId="2">
    <w:abstractNumId w:val="4"/>
  </w:num>
  <w:num w:numId="3">
    <w:abstractNumId w:val="6"/>
  </w:num>
  <w:num w:numId="4">
    <w:abstractNumId w:val="1"/>
  </w:num>
  <w:num w:numId="5">
    <w:abstractNumId w:val="8"/>
    <w:lvlOverride w:ilvl="0">
      <w:startOverride w:val="1"/>
    </w:lvlOverride>
  </w:num>
  <w:num w:numId="6">
    <w:abstractNumId w:val="5"/>
  </w:num>
  <w:num w:numId="7">
    <w:abstractNumId w:val="2"/>
  </w:num>
  <w:num w:numId="8">
    <w:abstractNumId w:val="7"/>
  </w:num>
  <w:num w:numId="9">
    <w:abstractNumId w:val="3"/>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27"/>
    <w:rsid w:val="00001881"/>
    <w:rsid w:val="00002330"/>
    <w:rsid w:val="000117D6"/>
    <w:rsid w:val="000124A7"/>
    <w:rsid w:val="00022B22"/>
    <w:rsid w:val="00024DAD"/>
    <w:rsid w:val="0002529E"/>
    <w:rsid w:val="0003070C"/>
    <w:rsid w:val="000319C1"/>
    <w:rsid w:val="0003341C"/>
    <w:rsid w:val="00036039"/>
    <w:rsid w:val="00036E08"/>
    <w:rsid w:val="000379BA"/>
    <w:rsid w:val="00037F90"/>
    <w:rsid w:val="000403E9"/>
    <w:rsid w:val="00040542"/>
    <w:rsid w:val="0004175B"/>
    <w:rsid w:val="00042A55"/>
    <w:rsid w:val="00045B80"/>
    <w:rsid w:val="00052B78"/>
    <w:rsid w:val="00053122"/>
    <w:rsid w:val="000537FD"/>
    <w:rsid w:val="00054DE5"/>
    <w:rsid w:val="0005784B"/>
    <w:rsid w:val="000609B2"/>
    <w:rsid w:val="00061182"/>
    <w:rsid w:val="0006367E"/>
    <w:rsid w:val="00064EA8"/>
    <w:rsid w:val="0006555C"/>
    <w:rsid w:val="00071F23"/>
    <w:rsid w:val="00072425"/>
    <w:rsid w:val="00075F1B"/>
    <w:rsid w:val="00076B68"/>
    <w:rsid w:val="0008101A"/>
    <w:rsid w:val="000849DF"/>
    <w:rsid w:val="0008617A"/>
    <w:rsid w:val="00086FD4"/>
    <w:rsid w:val="000875BF"/>
    <w:rsid w:val="00087C71"/>
    <w:rsid w:val="000900F4"/>
    <w:rsid w:val="00090EC2"/>
    <w:rsid w:val="00094439"/>
    <w:rsid w:val="0009696C"/>
    <w:rsid w:val="00096D8C"/>
    <w:rsid w:val="000A3090"/>
    <w:rsid w:val="000A3DEE"/>
    <w:rsid w:val="000A3E3D"/>
    <w:rsid w:val="000A4067"/>
    <w:rsid w:val="000B092D"/>
    <w:rsid w:val="000B0CCF"/>
    <w:rsid w:val="000B0F5C"/>
    <w:rsid w:val="000B1AAD"/>
    <w:rsid w:val="000B464C"/>
    <w:rsid w:val="000B6C92"/>
    <w:rsid w:val="000B7C2B"/>
    <w:rsid w:val="000C0B65"/>
    <w:rsid w:val="000C0EAC"/>
    <w:rsid w:val="000C654F"/>
    <w:rsid w:val="000C6684"/>
    <w:rsid w:val="000D00FF"/>
    <w:rsid w:val="000D2C9C"/>
    <w:rsid w:val="000D341A"/>
    <w:rsid w:val="000E05FE"/>
    <w:rsid w:val="000E3580"/>
    <w:rsid w:val="000E3D42"/>
    <w:rsid w:val="000F1261"/>
    <w:rsid w:val="000F628A"/>
    <w:rsid w:val="000F7B89"/>
    <w:rsid w:val="00100C5C"/>
    <w:rsid w:val="00101DEB"/>
    <w:rsid w:val="0010279B"/>
    <w:rsid w:val="00104D5E"/>
    <w:rsid w:val="00105956"/>
    <w:rsid w:val="001062C1"/>
    <w:rsid w:val="001063C8"/>
    <w:rsid w:val="00110F90"/>
    <w:rsid w:val="001134EC"/>
    <w:rsid w:val="00115280"/>
    <w:rsid w:val="00122BD5"/>
    <w:rsid w:val="00130A4F"/>
    <w:rsid w:val="0013147E"/>
    <w:rsid w:val="00131D06"/>
    <w:rsid w:val="00132E1B"/>
    <w:rsid w:val="00133C1F"/>
    <w:rsid w:val="00133F79"/>
    <w:rsid w:val="0014010F"/>
    <w:rsid w:val="00140362"/>
    <w:rsid w:val="00143A95"/>
    <w:rsid w:val="00151978"/>
    <w:rsid w:val="00151F7E"/>
    <w:rsid w:val="00155EE5"/>
    <w:rsid w:val="00156C6E"/>
    <w:rsid w:val="001574BD"/>
    <w:rsid w:val="00162790"/>
    <w:rsid w:val="00162E62"/>
    <w:rsid w:val="00164A4D"/>
    <w:rsid w:val="00165BAA"/>
    <w:rsid w:val="00167E70"/>
    <w:rsid w:val="00170A32"/>
    <w:rsid w:val="00171F79"/>
    <w:rsid w:val="00174F32"/>
    <w:rsid w:val="001775F1"/>
    <w:rsid w:val="001840E6"/>
    <w:rsid w:val="00185572"/>
    <w:rsid w:val="00185978"/>
    <w:rsid w:val="0018670A"/>
    <w:rsid w:val="0019497B"/>
    <w:rsid w:val="00194A66"/>
    <w:rsid w:val="001A5EDD"/>
    <w:rsid w:val="001B0DC8"/>
    <w:rsid w:val="001B1245"/>
    <w:rsid w:val="001C7172"/>
    <w:rsid w:val="001D3349"/>
    <w:rsid w:val="001D406B"/>
    <w:rsid w:val="001D6BCF"/>
    <w:rsid w:val="001E01CA"/>
    <w:rsid w:val="001E0469"/>
    <w:rsid w:val="001E0731"/>
    <w:rsid w:val="001E4925"/>
    <w:rsid w:val="001F204E"/>
    <w:rsid w:val="001F3AC0"/>
    <w:rsid w:val="001F433D"/>
    <w:rsid w:val="001F77E0"/>
    <w:rsid w:val="001F7BBD"/>
    <w:rsid w:val="002007CD"/>
    <w:rsid w:val="00201B13"/>
    <w:rsid w:val="002071E4"/>
    <w:rsid w:val="002103CF"/>
    <w:rsid w:val="002109A7"/>
    <w:rsid w:val="00215664"/>
    <w:rsid w:val="00237870"/>
    <w:rsid w:val="002450DE"/>
    <w:rsid w:val="0024511F"/>
    <w:rsid w:val="0024630A"/>
    <w:rsid w:val="002507C1"/>
    <w:rsid w:val="00252A96"/>
    <w:rsid w:val="00256752"/>
    <w:rsid w:val="00256B9C"/>
    <w:rsid w:val="0025704F"/>
    <w:rsid w:val="00257DD0"/>
    <w:rsid w:val="00261C05"/>
    <w:rsid w:val="0026345A"/>
    <w:rsid w:val="0026602F"/>
    <w:rsid w:val="002726BA"/>
    <w:rsid w:val="00275CF5"/>
    <w:rsid w:val="0027695E"/>
    <w:rsid w:val="0028025D"/>
    <w:rsid w:val="002804EE"/>
    <w:rsid w:val="00282DBD"/>
    <w:rsid w:val="0028301F"/>
    <w:rsid w:val="00283B02"/>
    <w:rsid w:val="00284DE0"/>
    <w:rsid w:val="00285017"/>
    <w:rsid w:val="00290715"/>
    <w:rsid w:val="00290B46"/>
    <w:rsid w:val="00292951"/>
    <w:rsid w:val="00293ACD"/>
    <w:rsid w:val="002A0B81"/>
    <w:rsid w:val="002A2D2E"/>
    <w:rsid w:val="002A35ED"/>
    <w:rsid w:val="002B0AE0"/>
    <w:rsid w:val="002B3199"/>
    <w:rsid w:val="002B5A54"/>
    <w:rsid w:val="002B6547"/>
    <w:rsid w:val="002C00E8"/>
    <w:rsid w:val="002C121B"/>
    <w:rsid w:val="002C1392"/>
    <w:rsid w:val="002C1CD4"/>
    <w:rsid w:val="002C34BC"/>
    <w:rsid w:val="002C61D6"/>
    <w:rsid w:val="002D1F5A"/>
    <w:rsid w:val="002D3D5A"/>
    <w:rsid w:val="002D4146"/>
    <w:rsid w:val="002E31BC"/>
    <w:rsid w:val="002F3191"/>
    <w:rsid w:val="002F567C"/>
    <w:rsid w:val="002F605B"/>
    <w:rsid w:val="002F648B"/>
    <w:rsid w:val="0030373F"/>
    <w:rsid w:val="00306BF6"/>
    <w:rsid w:val="00310BCC"/>
    <w:rsid w:val="00314D00"/>
    <w:rsid w:val="00332524"/>
    <w:rsid w:val="0033367E"/>
    <w:rsid w:val="00335183"/>
    <w:rsid w:val="0034116C"/>
    <w:rsid w:val="0034220F"/>
    <w:rsid w:val="00343749"/>
    <w:rsid w:val="00344AA2"/>
    <w:rsid w:val="00345C3E"/>
    <w:rsid w:val="00346A6C"/>
    <w:rsid w:val="00357FD8"/>
    <w:rsid w:val="00365B60"/>
    <w:rsid w:val="00365D62"/>
    <w:rsid w:val="003660ED"/>
    <w:rsid w:val="00366B34"/>
    <w:rsid w:val="00372401"/>
    <w:rsid w:val="003725C3"/>
    <w:rsid w:val="00373E00"/>
    <w:rsid w:val="003744E4"/>
    <w:rsid w:val="0037496C"/>
    <w:rsid w:val="00374B32"/>
    <w:rsid w:val="00375CCD"/>
    <w:rsid w:val="00383BC5"/>
    <w:rsid w:val="003853FC"/>
    <w:rsid w:val="0039220C"/>
    <w:rsid w:val="003943F5"/>
    <w:rsid w:val="00394E45"/>
    <w:rsid w:val="003966B2"/>
    <w:rsid w:val="00396EF5"/>
    <w:rsid w:val="003A072A"/>
    <w:rsid w:val="003A35C5"/>
    <w:rsid w:val="003A3CA0"/>
    <w:rsid w:val="003A6075"/>
    <w:rsid w:val="003A69BB"/>
    <w:rsid w:val="003B021E"/>
    <w:rsid w:val="003B0550"/>
    <w:rsid w:val="003B3595"/>
    <w:rsid w:val="003B694F"/>
    <w:rsid w:val="003B7A69"/>
    <w:rsid w:val="003C21E2"/>
    <w:rsid w:val="003C4211"/>
    <w:rsid w:val="003D0451"/>
    <w:rsid w:val="003D7C4D"/>
    <w:rsid w:val="003E0DFB"/>
    <w:rsid w:val="003E6E60"/>
    <w:rsid w:val="003E779A"/>
    <w:rsid w:val="003E7862"/>
    <w:rsid w:val="003F171C"/>
    <w:rsid w:val="003F1A95"/>
    <w:rsid w:val="003F1C8C"/>
    <w:rsid w:val="003F35F2"/>
    <w:rsid w:val="003F50B3"/>
    <w:rsid w:val="003F60FE"/>
    <w:rsid w:val="003F65A6"/>
    <w:rsid w:val="003F77AB"/>
    <w:rsid w:val="00406FE9"/>
    <w:rsid w:val="00412FC5"/>
    <w:rsid w:val="00415149"/>
    <w:rsid w:val="00416822"/>
    <w:rsid w:val="00422276"/>
    <w:rsid w:val="004242F1"/>
    <w:rsid w:val="00425F2E"/>
    <w:rsid w:val="00426E0E"/>
    <w:rsid w:val="00427412"/>
    <w:rsid w:val="00430FA8"/>
    <w:rsid w:val="00441498"/>
    <w:rsid w:val="00441E28"/>
    <w:rsid w:val="00442535"/>
    <w:rsid w:val="00445A00"/>
    <w:rsid w:val="00451B0F"/>
    <w:rsid w:val="004524DC"/>
    <w:rsid w:val="00454E0F"/>
    <w:rsid w:val="00460AA1"/>
    <w:rsid w:val="004612A5"/>
    <w:rsid w:val="004614C7"/>
    <w:rsid w:val="00463D5A"/>
    <w:rsid w:val="0046445D"/>
    <w:rsid w:val="004658DA"/>
    <w:rsid w:val="00466B22"/>
    <w:rsid w:val="00470F67"/>
    <w:rsid w:val="00480BE2"/>
    <w:rsid w:val="004814C2"/>
    <w:rsid w:val="00482E92"/>
    <w:rsid w:val="00482F02"/>
    <w:rsid w:val="00484120"/>
    <w:rsid w:val="00484B11"/>
    <w:rsid w:val="00485749"/>
    <w:rsid w:val="0049151F"/>
    <w:rsid w:val="0049460C"/>
    <w:rsid w:val="004A170A"/>
    <w:rsid w:val="004A54D8"/>
    <w:rsid w:val="004A54DB"/>
    <w:rsid w:val="004A6A23"/>
    <w:rsid w:val="004B016F"/>
    <w:rsid w:val="004B0F9B"/>
    <w:rsid w:val="004B341E"/>
    <w:rsid w:val="004C2266"/>
    <w:rsid w:val="004C2BB4"/>
    <w:rsid w:val="004C2EE3"/>
    <w:rsid w:val="004C6708"/>
    <w:rsid w:val="004C6B25"/>
    <w:rsid w:val="004D1460"/>
    <w:rsid w:val="004D27D5"/>
    <w:rsid w:val="004D330D"/>
    <w:rsid w:val="004D436C"/>
    <w:rsid w:val="004D524C"/>
    <w:rsid w:val="004E1401"/>
    <w:rsid w:val="004E1E5E"/>
    <w:rsid w:val="004E2FC2"/>
    <w:rsid w:val="004E3094"/>
    <w:rsid w:val="004E478C"/>
    <w:rsid w:val="004E4A22"/>
    <w:rsid w:val="004E6788"/>
    <w:rsid w:val="004E7125"/>
    <w:rsid w:val="004E737D"/>
    <w:rsid w:val="004F33FA"/>
    <w:rsid w:val="004F725D"/>
    <w:rsid w:val="00501F03"/>
    <w:rsid w:val="00505991"/>
    <w:rsid w:val="005062C4"/>
    <w:rsid w:val="005075AE"/>
    <w:rsid w:val="00507D81"/>
    <w:rsid w:val="005109AC"/>
    <w:rsid w:val="00511968"/>
    <w:rsid w:val="005156DD"/>
    <w:rsid w:val="00517008"/>
    <w:rsid w:val="00523B7F"/>
    <w:rsid w:val="0052432B"/>
    <w:rsid w:val="00524A09"/>
    <w:rsid w:val="00525B17"/>
    <w:rsid w:val="0052754F"/>
    <w:rsid w:val="005320C5"/>
    <w:rsid w:val="005411E7"/>
    <w:rsid w:val="00543485"/>
    <w:rsid w:val="00545DAA"/>
    <w:rsid w:val="00547072"/>
    <w:rsid w:val="005552C7"/>
    <w:rsid w:val="0055614C"/>
    <w:rsid w:val="00556D60"/>
    <w:rsid w:val="00556EDB"/>
    <w:rsid w:val="005575CF"/>
    <w:rsid w:val="00561445"/>
    <w:rsid w:val="00561CB9"/>
    <w:rsid w:val="00563603"/>
    <w:rsid w:val="00565824"/>
    <w:rsid w:val="00565944"/>
    <w:rsid w:val="00566D06"/>
    <w:rsid w:val="005700E6"/>
    <w:rsid w:val="00572A56"/>
    <w:rsid w:val="00572AA0"/>
    <w:rsid w:val="0057338C"/>
    <w:rsid w:val="00582190"/>
    <w:rsid w:val="00583E1C"/>
    <w:rsid w:val="00590A54"/>
    <w:rsid w:val="0059382D"/>
    <w:rsid w:val="005967AE"/>
    <w:rsid w:val="005973BC"/>
    <w:rsid w:val="005A0EF3"/>
    <w:rsid w:val="005A2C86"/>
    <w:rsid w:val="005A355C"/>
    <w:rsid w:val="005A4A34"/>
    <w:rsid w:val="005A6D8D"/>
    <w:rsid w:val="005B0C31"/>
    <w:rsid w:val="005B1E8A"/>
    <w:rsid w:val="005B3487"/>
    <w:rsid w:val="005C4471"/>
    <w:rsid w:val="005C46CF"/>
    <w:rsid w:val="005C57B0"/>
    <w:rsid w:val="005D2FC8"/>
    <w:rsid w:val="005D46C5"/>
    <w:rsid w:val="005D6224"/>
    <w:rsid w:val="005D6226"/>
    <w:rsid w:val="005D7FB4"/>
    <w:rsid w:val="005E10F9"/>
    <w:rsid w:val="005E11B9"/>
    <w:rsid w:val="005E14C2"/>
    <w:rsid w:val="005E7036"/>
    <w:rsid w:val="005F0D98"/>
    <w:rsid w:val="005F2707"/>
    <w:rsid w:val="005F37C4"/>
    <w:rsid w:val="005F3E1A"/>
    <w:rsid w:val="005F5DF3"/>
    <w:rsid w:val="005F7EA0"/>
    <w:rsid w:val="00601A4E"/>
    <w:rsid w:val="00604956"/>
    <w:rsid w:val="00604C45"/>
    <w:rsid w:val="00607609"/>
    <w:rsid w:val="00607BA5"/>
    <w:rsid w:val="0061043F"/>
    <w:rsid w:val="0061180A"/>
    <w:rsid w:val="00612BDB"/>
    <w:rsid w:val="006140FE"/>
    <w:rsid w:val="00617A10"/>
    <w:rsid w:val="00620781"/>
    <w:rsid w:val="006209DF"/>
    <w:rsid w:val="00621E24"/>
    <w:rsid w:val="00622F3F"/>
    <w:rsid w:val="00624007"/>
    <w:rsid w:val="00626219"/>
    <w:rsid w:val="00626EB6"/>
    <w:rsid w:val="0063160B"/>
    <w:rsid w:val="00634BB7"/>
    <w:rsid w:val="006377EE"/>
    <w:rsid w:val="0064054E"/>
    <w:rsid w:val="00642749"/>
    <w:rsid w:val="006432EA"/>
    <w:rsid w:val="006436E8"/>
    <w:rsid w:val="00647C7F"/>
    <w:rsid w:val="00651625"/>
    <w:rsid w:val="00651A73"/>
    <w:rsid w:val="00652820"/>
    <w:rsid w:val="00652F64"/>
    <w:rsid w:val="00655D03"/>
    <w:rsid w:val="00671BF3"/>
    <w:rsid w:val="006730A0"/>
    <w:rsid w:val="00677611"/>
    <w:rsid w:val="0068065E"/>
    <w:rsid w:val="00683388"/>
    <w:rsid w:val="00683C38"/>
    <w:rsid w:val="00683F84"/>
    <w:rsid w:val="00684D03"/>
    <w:rsid w:val="00686090"/>
    <w:rsid w:val="00686F18"/>
    <w:rsid w:val="00687171"/>
    <w:rsid w:val="00687BF7"/>
    <w:rsid w:val="0069314C"/>
    <w:rsid w:val="006A0527"/>
    <w:rsid w:val="006A1837"/>
    <w:rsid w:val="006A6A49"/>
    <w:rsid w:val="006A6A81"/>
    <w:rsid w:val="006A6CD5"/>
    <w:rsid w:val="006B2DE1"/>
    <w:rsid w:val="006B302F"/>
    <w:rsid w:val="006B4DF7"/>
    <w:rsid w:val="006B5128"/>
    <w:rsid w:val="006B723E"/>
    <w:rsid w:val="006C24DD"/>
    <w:rsid w:val="006C4BAE"/>
    <w:rsid w:val="006D0D37"/>
    <w:rsid w:val="006D242D"/>
    <w:rsid w:val="006E0BAA"/>
    <w:rsid w:val="006E1371"/>
    <w:rsid w:val="006E2F05"/>
    <w:rsid w:val="006E366F"/>
    <w:rsid w:val="006F12C6"/>
    <w:rsid w:val="006F1E4B"/>
    <w:rsid w:val="006F5399"/>
    <w:rsid w:val="006F72DB"/>
    <w:rsid w:val="006F7393"/>
    <w:rsid w:val="007014F3"/>
    <w:rsid w:val="0070224F"/>
    <w:rsid w:val="00703E18"/>
    <w:rsid w:val="00704180"/>
    <w:rsid w:val="007101DC"/>
    <w:rsid w:val="007115F7"/>
    <w:rsid w:val="00714F90"/>
    <w:rsid w:val="00715253"/>
    <w:rsid w:val="0071638B"/>
    <w:rsid w:val="00720452"/>
    <w:rsid w:val="0072362B"/>
    <w:rsid w:val="00724A7D"/>
    <w:rsid w:val="007305CD"/>
    <w:rsid w:val="007329CF"/>
    <w:rsid w:val="0073401E"/>
    <w:rsid w:val="0073700A"/>
    <w:rsid w:val="00740B82"/>
    <w:rsid w:val="00740CAB"/>
    <w:rsid w:val="0074126B"/>
    <w:rsid w:val="00743CFC"/>
    <w:rsid w:val="007452F9"/>
    <w:rsid w:val="0075216A"/>
    <w:rsid w:val="0075502D"/>
    <w:rsid w:val="00755ABB"/>
    <w:rsid w:val="00760546"/>
    <w:rsid w:val="007611EF"/>
    <w:rsid w:val="0076270D"/>
    <w:rsid w:val="007707B4"/>
    <w:rsid w:val="00771710"/>
    <w:rsid w:val="007756D0"/>
    <w:rsid w:val="0077718C"/>
    <w:rsid w:val="007773D2"/>
    <w:rsid w:val="007825BD"/>
    <w:rsid w:val="007841F0"/>
    <w:rsid w:val="00785689"/>
    <w:rsid w:val="00787D23"/>
    <w:rsid w:val="007914C1"/>
    <w:rsid w:val="00792259"/>
    <w:rsid w:val="0079272E"/>
    <w:rsid w:val="00792762"/>
    <w:rsid w:val="00794ABE"/>
    <w:rsid w:val="00794ED1"/>
    <w:rsid w:val="0079585F"/>
    <w:rsid w:val="0079754B"/>
    <w:rsid w:val="00797CF4"/>
    <w:rsid w:val="007A1E6D"/>
    <w:rsid w:val="007A341B"/>
    <w:rsid w:val="007A3684"/>
    <w:rsid w:val="007A6A4B"/>
    <w:rsid w:val="007B0EB2"/>
    <w:rsid w:val="007B183B"/>
    <w:rsid w:val="007B22D9"/>
    <w:rsid w:val="007B3FC2"/>
    <w:rsid w:val="007C4A93"/>
    <w:rsid w:val="007D126F"/>
    <w:rsid w:val="007D1B81"/>
    <w:rsid w:val="007D2014"/>
    <w:rsid w:val="007D5FF9"/>
    <w:rsid w:val="007D63F3"/>
    <w:rsid w:val="007E1663"/>
    <w:rsid w:val="007E29D7"/>
    <w:rsid w:val="007E321B"/>
    <w:rsid w:val="007E3843"/>
    <w:rsid w:val="007E442F"/>
    <w:rsid w:val="007F3D32"/>
    <w:rsid w:val="007F51C7"/>
    <w:rsid w:val="007F5DB1"/>
    <w:rsid w:val="008039FF"/>
    <w:rsid w:val="0080766D"/>
    <w:rsid w:val="00810B6F"/>
    <w:rsid w:val="0081222E"/>
    <w:rsid w:val="0081400B"/>
    <w:rsid w:val="008212C1"/>
    <w:rsid w:val="00822CE0"/>
    <w:rsid w:val="00826EBB"/>
    <w:rsid w:val="008375E2"/>
    <w:rsid w:val="00841AB1"/>
    <w:rsid w:val="008427F9"/>
    <w:rsid w:val="008463ED"/>
    <w:rsid w:val="00847110"/>
    <w:rsid w:val="00847BCE"/>
    <w:rsid w:val="00862D0C"/>
    <w:rsid w:val="00862DB5"/>
    <w:rsid w:val="00864249"/>
    <w:rsid w:val="00866B90"/>
    <w:rsid w:val="00871386"/>
    <w:rsid w:val="008740D8"/>
    <w:rsid w:val="00874F4F"/>
    <w:rsid w:val="00875154"/>
    <w:rsid w:val="00877C6D"/>
    <w:rsid w:val="00880A2A"/>
    <w:rsid w:val="00881F7E"/>
    <w:rsid w:val="008829DE"/>
    <w:rsid w:val="00882A94"/>
    <w:rsid w:val="00887AE2"/>
    <w:rsid w:val="00893BB7"/>
    <w:rsid w:val="00895F87"/>
    <w:rsid w:val="00896321"/>
    <w:rsid w:val="008A3956"/>
    <w:rsid w:val="008A4A4D"/>
    <w:rsid w:val="008A6225"/>
    <w:rsid w:val="008B26E5"/>
    <w:rsid w:val="008B5445"/>
    <w:rsid w:val="008B61B3"/>
    <w:rsid w:val="008B6DAB"/>
    <w:rsid w:val="008C1DC5"/>
    <w:rsid w:val="008C4705"/>
    <w:rsid w:val="008C54D4"/>
    <w:rsid w:val="008C68F1"/>
    <w:rsid w:val="008D052C"/>
    <w:rsid w:val="008D6A3C"/>
    <w:rsid w:val="008E0E91"/>
    <w:rsid w:val="008E7460"/>
    <w:rsid w:val="008F1191"/>
    <w:rsid w:val="008F12E7"/>
    <w:rsid w:val="008F59D2"/>
    <w:rsid w:val="008F7402"/>
    <w:rsid w:val="00902B95"/>
    <w:rsid w:val="00903CD0"/>
    <w:rsid w:val="00906688"/>
    <w:rsid w:val="0090715E"/>
    <w:rsid w:val="0091223D"/>
    <w:rsid w:val="00913370"/>
    <w:rsid w:val="00921372"/>
    <w:rsid w:val="00921803"/>
    <w:rsid w:val="0092456A"/>
    <w:rsid w:val="009252FE"/>
    <w:rsid w:val="00926503"/>
    <w:rsid w:val="009278D2"/>
    <w:rsid w:val="00927E90"/>
    <w:rsid w:val="00940DF2"/>
    <w:rsid w:val="00943513"/>
    <w:rsid w:val="00943983"/>
    <w:rsid w:val="00944179"/>
    <w:rsid w:val="00946D5D"/>
    <w:rsid w:val="00947C82"/>
    <w:rsid w:val="009509F2"/>
    <w:rsid w:val="009540D1"/>
    <w:rsid w:val="00956035"/>
    <w:rsid w:val="00956D7C"/>
    <w:rsid w:val="00961173"/>
    <w:rsid w:val="00967BBE"/>
    <w:rsid w:val="0097016B"/>
    <w:rsid w:val="009726D8"/>
    <w:rsid w:val="00975759"/>
    <w:rsid w:val="00981B4C"/>
    <w:rsid w:val="009850CD"/>
    <w:rsid w:val="00985949"/>
    <w:rsid w:val="009863F1"/>
    <w:rsid w:val="00986581"/>
    <w:rsid w:val="009906BF"/>
    <w:rsid w:val="009A0087"/>
    <w:rsid w:val="009A0610"/>
    <w:rsid w:val="009A06EE"/>
    <w:rsid w:val="009A109F"/>
    <w:rsid w:val="009A13F3"/>
    <w:rsid w:val="009A1FEA"/>
    <w:rsid w:val="009A3475"/>
    <w:rsid w:val="009A3607"/>
    <w:rsid w:val="009A44F8"/>
    <w:rsid w:val="009A571A"/>
    <w:rsid w:val="009A5D94"/>
    <w:rsid w:val="009B54A2"/>
    <w:rsid w:val="009B6AD1"/>
    <w:rsid w:val="009B781A"/>
    <w:rsid w:val="009C663F"/>
    <w:rsid w:val="009D0655"/>
    <w:rsid w:val="009D1C9D"/>
    <w:rsid w:val="009D4136"/>
    <w:rsid w:val="009D595C"/>
    <w:rsid w:val="009D66F3"/>
    <w:rsid w:val="009D7308"/>
    <w:rsid w:val="009E473A"/>
    <w:rsid w:val="009F0D26"/>
    <w:rsid w:val="009F0E48"/>
    <w:rsid w:val="009F312F"/>
    <w:rsid w:val="009F76DB"/>
    <w:rsid w:val="009F7CDE"/>
    <w:rsid w:val="00A00CD9"/>
    <w:rsid w:val="00A07D62"/>
    <w:rsid w:val="00A119DC"/>
    <w:rsid w:val="00A12878"/>
    <w:rsid w:val="00A1375A"/>
    <w:rsid w:val="00A1525C"/>
    <w:rsid w:val="00A171E4"/>
    <w:rsid w:val="00A17FE4"/>
    <w:rsid w:val="00A2455F"/>
    <w:rsid w:val="00A24D6B"/>
    <w:rsid w:val="00A25A10"/>
    <w:rsid w:val="00A263F2"/>
    <w:rsid w:val="00A3091D"/>
    <w:rsid w:val="00A32C3B"/>
    <w:rsid w:val="00A32C46"/>
    <w:rsid w:val="00A3500C"/>
    <w:rsid w:val="00A37E05"/>
    <w:rsid w:val="00A42846"/>
    <w:rsid w:val="00A436F9"/>
    <w:rsid w:val="00A45F4F"/>
    <w:rsid w:val="00A478E3"/>
    <w:rsid w:val="00A5358C"/>
    <w:rsid w:val="00A600A9"/>
    <w:rsid w:val="00A72495"/>
    <w:rsid w:val="00A735B0"/>
    <w:rsid w:val="00A7408D"/>
    <w:rsid w:val="00A809B5"/>
    <w:rsid w:val="00A80EB9"/>
    <w:rsid w:val="00A85343"/>
    <w:rsid w:val="00A856CD"/>
    <w:rsid w:val="00A8725B"/>
    <w:rsid w:val="00A872A6"/>
    <w:rsid w:val="00A91408"/>
    <w:rsid w:val="00A93DA2"/>
    <w:rsid w:val="00A97988"/>
    <w:rsid w:val="00AA09EB"/>
    <w:rsid w:val="00AA36EA"/>
    <w:rsid w:val="00AA536B"/>
    <w:rsid w:val="00AA55B7"/>
    <w:rsid w:val="00AA565E"/>
    <w:rsid w:val="00AA5B9E"/>
    <w:rsid w:val="00AA5C51"/>
    <w:rsid w:val="00AA7DBC"/>
    <w:rsid w:val="00AB218F"/>
    <w:rsid w:val="00AB2407"/>
    <w:rsid w:val="00AB31AC"/>
    <w:rsid w:val="00AB53DF"/>
    <w:rsid w:val="00AB6BC4"/>
    <w:rsid w:val="00AC2A87"/>
    <w:rsid w:val="00AC34BA"/>
    <w:rsid w:val="00AC3972"/>
    <w:rsid w:val="00AD24CA"/>
    <w:rsid w:val="00AD28FF"/>
    <w:rsid w:val="00AD4CB2"/>
    <w:rsid w:val="00AD5D45"/>
    <w:rsid w:val="00AD747D"/>
    <w:rsid w:val="00AD782D"/>
    <w:rsid w:val="00AE2F61"/>
    <w:rsid w:val="00AE4700"/>
    <w:rsid w:val="00AE52E8"/>
    <w:rsid w:val="00B0044F"/>
    <w:rsid w:val="00B0211C"/>
    <w:rsid w:val="00B04FE7"/>
    <w:rsid w:val="00B07E5C"/>
    <w:rsid w:val="00B13A78"/>
    <w:rsid w:val="00B15F1D"/>
    <w:rsid w:val="00B23658"/>
    <w:rsid w:val="00B23A6D"/>
    <w:rsid w:val="00B23FA1"/>
    <w:rsid w:val="00B25316"/>
    <w:rsid w:val="00B26321"/>
    <w:rsid w:val="00B404FE"/>
    <w:rsid w:val="00B50CC9"/>
    <w:rsid w:val="00B51101"/>
    <w:rsid w:val="00B534FB"/>
    <w:rsid w:val="00B553A9"/>
    <w:rsid w:val="00B60290"/>
    <w:rsid w:val="00B65A86"/>
    <w:rsid w:val="00B71489"/>
    <w:rsid w:val="00B72E9E"/>
    <w:rsid w:val="00B73D02"/>
    <w:rsid w:val="00B7462C"/>
    <w:rsid w:val="00B811F7"/>
    <w:rsid w:val="00B82194"/>
    <w:rsid w:val="00B83107"/>
    <w:rsid w:val="00B83427"/>
    <w:rsid w:val="00B908E4"/>
    <w:rsid w:val="00B90BA0"/>
    <w:rsid w:val="00BA5DC6"/>
    <w:rsid w:val="00BA6196"/>
    <w:rsid w:val="00BA62A2"/>
    <w:rsid w:val="00BA7F88"/>
    <w:rsid w:val="00BB6D8A"/>
    <w:rsid w:val="00BB73D4"/>
    <w:rsid w:val="00BC02B7"/>
    <w:rsid w:val="00BC29C1"/>
    <w:rsid w:val="00BC40C3"/>
    <w:rsid w:val="00BC42DD"/>
    <w:rsid w:val="00BC4548"/>
    <w:rsid w:val="00BC6D8C"/>
    <w:rsid w:val="00BC7CAF"/>
    <w:rsid w:val="00BD10C6"/>
    <w:rsid w:val="00BD4DAF"/>
    <w:rsid w:val="00BE141C"/>
    <w:rsid w:val="00BF0F45"/>
    <w:rsid w:val="00BF5B64"/>
    <w:rsid w:val="00BF68A0"/>
    <w:rsid w:val="00C01528"/>
    <w:rsid w:val="00C043EC"/>
    <w:rsid w:val="00C05E90"/>
    <w:rsid w:val="00C07854"/>
    <w:rsid w:val="00C1171D"/>
    <w:rsid w:val="00C1186B"/>
    <w:rsid w:val="00C13497"/>
    <w:rsid w:val="00C14938"/>
    <w:rsid w:val="00C17F86"/>
    <w:rsid w:val="00C2002E"/>
    <w:rsid w:val="00C2076A"/>
    <w:rsid w:val="00C21034"/>
    <w:rsid w:val="00C213B1"/>
    <w:rsid w:val="00C21A2B"/>
    <w:rsid w:val="00C22865"/>
    <w:rsid w:val="00C24D7E"/>
    <w:rsid w:val="00C3180B"/>
    <w:rsid w:val="00C34006"/>
    <w:rsid w:val="00C35807"/>
    <w:rsid w:val="00C35FE6"/>
    <w:rsid w:val="00C369ED"/>
    <w:rsid w:val="00C36B4C"/>
    <w:rsid w:val="00C40FFC"/>
    <w:rsid w:val="00C41516"/>
    <w:rsid w:val="00C426B1"/>
    <w:rsid w:val="00C4423E"/>
    <w:rsid w:val="00C45E2C"/>
    <w:rsid w:val="00C46437"/>
    <w:rsid w:val="00C4FF58"/>
    <w:rsid w:val="00C52282"/>
    <w:rsid w:val="00C53F0E"/>
    <w:rsid w:val="00C61026"/>
    <w:rsid w:val="00C62BD0"/>
    <w:rsid w:val="00C62CF0"/>
    <w:rsid w:val="00C6375E"/>
    <w:rsid w:val="00C63B59"/>
    <w:rsid w:val="00C643D1"/>
    <w:rsid w:val="00C66160"/>
    <w:rsid w:val="00C7052F"/>
    <w:rsid w:val="00C71E34"/>
    <w:rsid w:val="00C721AC"/>
    <w:rsid w:val="00C73683"/>
    <w:rsid w:val="00C74391"/>
    <w:rsid w:val="00C8149C"/>
    <w:rsid w:val="00C82B43"/>
    <w:rsid w:val="00C87484"/>
    <w:rsid w:val="00C90D6A"/>
    <w:rsid w:val="00C9106F"/>
    <w:rsid w:val="00C91EAC"/>
    <w:rsid w:val="00C9332A"/>
    <w:rsid w:val="00C95A28"/>
    <w:rsid w:val="00C96206"/>
    <w:rsid w:val="00CA247E"/>
    <w:rsid w:val="00CA3A33"/>
    <w:rsid w:val="00CA4EBB"/>
    <w:rsid w:val="00CA52ED"/>
    <w:rsid w:val="00CA68F3"/>
    <w:rsid w:val="00CA6D21"/>
    <w:rsid w:val="00CA709D"/>
    <w:rsid w:val="00CB097F"/>
    <w:rsid w:val="00CB1230"/>
    <w:rsid w:val="00CB4BCA"/>
    <w:rsid w:val="00CB6C44"/>
    <w:rsid w:val="00CC040F"/>
    <w:rsid w:val="00CC0B8C"/>
    <w:rsid w:val="00CC0EB9"/>
    <w:rsid w:val="00CC17CF"/>
    <w:rsid w:val="00CC6053"/>
    <w:rsid w:val="00CC60D7"/>
    <w:rsid w:val="00CC6B78"/>
    <w:rsid w:val="00CC72B6"/>
    <w:rsid w:val="00CC7A58"/>
    <w:rsid w:val="00CD076C"/>
    <w:rsid w:val="00CD111F"/>
    <w:rsid w:val="00CD386E"/>
    <w:rsid w:val="00CD69C7"/>
    <w:rsid w:val="00CD7392"/>
    <w:rsid w:val="00CE0076"/>
    <w:rsid w:val="00CE0A42"/>
    <w:rsid w:val="00CE76B4"/>
    <w:rsid w:val="00CF2AFD"/>
    <w:rsid w:val="00CF3276"/>
    <w:rsid w:val="00CF514E"/>
    <w:rsid w:val="00CF625F"/>
    <w:rsid w:val="00D0187E"/>
    <w:rsid w:val="00D01F58"/>
    <w:rsid w:val="00D0218D"/>
    <w:rsid w:val="00D05B8F"/>
    <w:rsid w:val="00D11D1F"/>
    <w:rsid w:val="00D14E02"/>
    <w:rsid w:val="00D1521A"/>
    <w:rsid w:val="00D1597C"/>
    <w:rsid w:val="00D25FB5"/>
    <w:rsid w:val="00D26B0B"/>
    <w:rsid w:val="00D26DD5"/>
    <w:rsid w:val="00D3519C"/>
    <w:rsid w:val="00D35646"/>
    <w:rsid w:val="00D40701"/>
    <w:rsid w:val="00D41A68"/>
    <w:rsid w:val="00D42AFF"/>
    <w:rsid w:val="00D44223"/>
    <w:rsid w:val="00D442C0"/>
    <w:rsid w:val="00D443FD"/>
    <w:rsid w:val="00D4608D"/>
    <w:rsid w:val="00D50A3A"/>
    <w:rsid w:val="00D5240E"/>
    <w:rsid w:val="00D53780"/>
    <w:rsid w:val="00D55E97"/>
    <w:rsid w:val="00D57ED3"/>
    <w:rsid w:val="00D62371"/>
    <w:rsid w:val="00D64B67"/>
    <w:rsid w:val="00D66EA7"/>
    <w:rsid w:val="00D675B7"/>
    <w:rsid w:val="00D7093D"/>
    <w:rsid w:val="00D70C85"/>
    <w:rsid w:val="00D773C3"/>
    <w:rsid w:val="00D82C6E"/>
    <w:rsid w:val="00D82D1E"/>
    <w:rsid w:val="00D84674"/>
    <w:rsid w:val="00D84D5B"/>
    <w:rsid w:val="00D91463"/>
    <w:rsid w:val="00D92664"/>
    <w:rsid w:val="00D92A71"/>
    <w:rsid w:val="00D934B0"/>
    <w:rsid w:val="00D9504E"/>
    <w:rsid w:val="00D96AB0"/>
    <w:rsid w:val="00D97ADB"/>
    <w:rsid w:val="00DA0BCD"/>
    <w:rsid w:val="00DA0ECD"/>
    <w:rsid w:val="00DA2529"/>
    <w:rsid w:val="00DA302A"/>
    <w:rsid w:val="00DA31DD"/>
    <w:rsid w:val="00DB086C"/>
    <w:rsid w:val="00DB130A"/>
    <w:rsid w:val="00DB202B"/>
    <w:rsid w:val="00DB2EBB"/>
    <w:rsid w:val="00DB47C7"/>
    <w:rsid w:val="00DB6656"/>
    <w:rsid w:val="00DC10A1"/>
    <w:rsid w:val="00DC1AD7"/>
    <w:rsid w:val="00DC655F"/>
    <w:rsid w:val="00DC6B1C"/>
    <w:rsid w:val="00DD0B59"/>
    <w:rsid w:val="00DD499C"/>
    <w:rsid w:val="00DD7EBD"/>
    <w:rsid w:val="00DE017A"/>
    <w:rsid w:val="00DF08A7"/>
    <w:rsid w:val="00DF120B"/>
    <w:rsid w:val="00DF23DE"/>
    <w:rsid w:val="00DF2600"/>
    <w:rsid w:val="00DF3DE7"/>
    <w:rsid w:val="00DF49F3"/>
    <w:rsid w:val="00DF62B6"/>
    <w:rsid w:val="00E02B81"/>
    <w:rsid w:val="00E07225"/>
    <w:rsid w:val="00E07C0D"/>
    <w:rsid w:val="00E1369C"/>
    <w:rsid w:val="00E13D99"/>
    <w:rsid w:val="00E13E50"/>
    <w:rsid w:val="00E1431B"/>
    <w:rsid w:val="00E15FDA"/>
    <w:rsid w:val="00E1773F"/>
    <w:rsid w:val="00E206F7"/>
    <w:rsid w:val="00E24811"/>
    <w:rsid w:val="00E25D8D"/>
    <w:rsid w:val="00E25F3C"/>
    <w:rsid w:val="00E30635"/>
    <w:rsid w:val="00E3348B"/>
    <w:rsid w:val="00E36491"/>
    <w:rsid w:val="00E401EE"/>
    <w:rsid w:val="00E5409F"/>
    <w:rsid w:val="00E5536A"/>
    <w:rsid w:val="00E56B11"/>
    <w:rsid w:val="00E56E7C"/>
    <w:rsid w:val="00E60122"/>
    <w:rsid w:val="00E61385"/>
    <w:rsid w:val="00E63F36"/>
    <w:rsid w:val="00E644A9"/>
    <w:rsid w:val="00E64B0B"/>
    <w:rsid w:val="00E65C71"/>
    <w:rsid w:val="00E65DB4"/>
    <w:rsid w:val="00E673E6"/>
    <w:rsid w:val="00E713DA"/>
    <w:rsid w:val="00E72C4C"/>
    <w:rsid w:val="00E745E6"/>
    <w:rsid w:val="00E777B6"/>
    <w:rsid w:val="00E77C36"/>
    <w:rsid w:val="00E8594E"/>
    <w:rsid w:val="00E9008C"/>
    <w:rsid w:val="00E909F2"/>
    <w:rsid w:val="00E91A2C"/>
    <w:rsid w:val="00E9377A"/>
    <w:rsid w:val="00E95640"/>
    <w:rsid w:val="00E97697"/>
    <w:rsid w:val="00EA64D6"/>
    <w:rsid w:val="00EA6BE0"/>
    <w:rsid w:val="00EB0803"/>
    <w:rsid w:val="00EB407E"/>
    <w:rsid w:val="00EB50DE"/>
    <w:rsid w:val="00EB551F"/>
    <w:rsid w:val="00EB57B9"/>
    <w:rsid w:val="00EB7F45"/>
    <w:rsid w:val="00EC0C62"/>
    <w:rsid w:val="00EC12CC"/>
    <w:rsid w:val="00EC4E9A"/>
    <w:rsid w:val="00ED063A"/>
    <w:rsid w:val="00ED2BC9"/>
    <w:rsid w:val="00ED3AA8"/>
    <w:rsid w:val="00ED3EB4"/>
    <w:rsid w:val="00ED74D3"/>
    <w:rsid w:val="00EE0178"/>
    <w:rsid w:val="00EE6488"/>
    <w:rsid w:val="00EE7A9D"/>
    <w:rsid w:val="00EF230E"/>
    <w:rsid w:val="00EF250D"/>
    <w:rsid w:val="00EF2BAB"/>
    <w:rsid w:val="00EF693C"/>
    <w:rsid w:val="00EF702D"/>
    <w:rsid w:val="00EF79F9"/>
    <w:rsid w:val="00F01A62"/>
    <w:rsid w:val="00F021FA"/>
    <w:rsid w:val="00F02920"/>
    <w:rsid w:val="00F05088"/>
    <w:rsid w:val="00F052E7"/>
    <w:rsid w:val="00F068C0"/>
    <w:rsid w:val="00F069F9"/>
    <w:rsid w:val="00F1225E"/>
    <w:rsid w:val="00F133CB"/>
    <w:rsid w:val="00F1757E"/>
    <w:rsid w:val="00F17E24"/>
    <w:rsid w:val="00F17F44"/>
    <w:rsid w:val="00F226EA"/>
    <w:rsid w:val="00F23E0D"/>
    <w:rsid w:val="00F242DF"/>
    <w:rsid w:val="00F26E21"/>
    <w:rsid w:val="00F30A62"/>
    <w:rsid w:val="00F32654"/>
    <w:rsid w:val="00F41D8E"/>
    <w:rsid w:val="00F41ED7"/>
    <w:rsid w:val="00F448CA"/>
    <w:rsid w:val="00F47665"/>
    <w:rsid w:val="00F47D6D"/>
    <w:rsid w:val="00F5217B"/>
    <w:rsid w:val="00F54BC3"/>
    <w:rsid w:val="00F6163D"/>
    <w:rsid w:val="00F62E97"/>
    <w:rsid w:val="00F64209"/>
    <w:rsid w:val="00F66B7C"/>
    <w:rsid w:val="00F67FE8"/>
    <w:rsid w:val="00F70B34"/>
    <w:rsid w:val="00F71D93"/>
    <w:rsid w:val="00F7364C"/>
    <w:rsid w:val="00F74A3A"/>
    <w:rsid w:val="00F773FB"/>
    <w:rsid w:val="00F84D5E"/>
    <w:rsid w:val="00F86930"/>
    <w:rsid w:val="00F93425"/>
    <w:rsid w:val="00F93A5D"/>
    <w:rsid w:val="00F93BF5"/>
    <w:rsid w:val="00F94A56"/>
    <w:rsid w:val="00F94CAF"/>
    <w:rsid w:val="00FA51E4"/>
    <w:rsid w:val="00FA66CE"/>
    <w:rsid w:val="00FB5321"/>
    <w:rsid w:val="00FB7500"/>
    <w:rsid w:val="00FC006C"/>
    <w:rsid w:val="00FC20AD"/>
    <w:rsid w:val="00FC253D"/>
    <w:rsid w:val="00FC28D1"/>
    <w:rsid w:val="00FC2A4F"/>
    <w:rsid w:val="00FC4849"/>
    <w:rsid w:val="00FC6337"/>
    <w:rsid w:val="00FC6812"/>
    <w:rsid w:val="00FC7571"/>
    <w:rsid w:val="00FC7AB1"/>
    <w:rsid w:val="00FD4078"/>
    <w:rsid w:val="00FD6380"/>
    <w:rsid w:val="00FD6F40"/>
    <w:rsid w:val="00FE0C92"/>
    <w:rsid w:val="00FE1B2C"/>
    <w:rsid w:val="00FE51C2"/>
    <w:rsid w:val="00FF16D9"/>
    <w:rsid w:val="00FF2B24"/>
    <w:rsid w:val="00FF6887"/>
    <w:rsid w:val="0959F8A3"/>
    <w:rsid w:val="1EEBE01D"/>
    <w:rsid w:val="54BF04B9"/>
    <w:rsid w:val="5F82A963"/>
    <w:rsid w:val="613D9870"/>
    <w:rsid w:val="77B872D9"/>
  </w:rsids>
  <m:mathPr>
    <m:mathFont m:val="Cambria Math"/>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14:docId w14:val="116256AD"/>
  <w15:chartTrackingRefBased/>
  <w15:docId w15:val="{B6474DE9-7238-43D0-B94A-E22E2EB7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670A"/>
    <w:pPr>
      <w:widowControl w:val="0"/>
    </w:pPr>
    <w:rPr>
      <w:snapToGrid w:val="0"/>
      <w:kern w:val="28"/>
      <w:sz w:val="22"/>
    </w:rPr>
  </w:style>
  <w:style w:type="paragraph" w:styleId="Heading1">
    <w:name w:val="heading 1"/>
    <w:basedOn w:val="Normal"/>
    <w:next w:val="ParaNum"/>
    <w:qFormat/>
    <w:rsid w:val="0018670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8670A"/>
    <w:pPr>
      <w:keepNext/>
      <w:numPr>
        <w:ilvl w:val="1"/>
        <w:numId w:val="2"/>
      </w:numPr>
      <w:spacing w:after="120"/>
      <w:outlineLvl w:val="1"/>
    </w:pPr>
    <w:rPr>
      <w:b/>
    </w:rPr>
  </w:style>
  <w:style w:type="paragraph" w:styleId="Heading3">
    <w:name w:val="heading 3"/>
    <w:aliases w:val="1,1 Char,3,3 Char,31,31 Char,?? 3,?? 3 Char,Heading 3 Char,Titre 3,Titre 3 Char,Titre 31,Titre 31 Char"/>
    <w:basedOn w:val="Normal"/>
    <w:next w:val="ParaNum"/>
    <w:qFormat/>
    <w:rsid w:val="0018670A"/>
    <w:pPr>
      <w:keepNext/>
      <w:numPr>
        <w:ilvl w:val="2"/>
        <w:numId w:val="2"/>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18670A"/>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18670A"/>
    <w:pPr>
      <w:keepNext/>
      <w:numPr>
        <w:ilvl w:val="4"/>
        <w:numId w:val="2"/>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18670A"/>
    <w:pPr>
      <w:numPr>
        <w:ilvl w:val="5"/>
        <w:numId w:val="2"/>
      </w:numPr>
      <w:tabs>
        <w:tab w:val="left" w:pos="4320"/>
      </w:tabs>
      <w:spacing w:after="120"/>
      <w:outlineLvl w:val="5"/>
    </w:pPr>
    <w:rPr>
      <w:b/>
    </w:rPr>
  </w:style>
  <w:style w:type="paragraph" w:styleId="Heading7">
    <w:name w:val="heading 7"/>
    <w:aliases w:val="Heading 7 Char"/>
    <w:basedOn w:val="Normal"/>
    <w:next w:val="ParaNum"/>
    <w:qFormat/>
    <w:rsid w:val="0018670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18670A"/>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8670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67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670A"/>
  </w:style>
  <w:style w:type="paragraph" w:customStyle="1" w:styleId="ParaNum">
    <w:name w:val="ParaNum"/>
    <w:basedOn w:val="Normal"/>
    <w:link w:val="ParaNumChar"/>
    <w:rsid w:val="0018670A"/>
    <w:pPr>
      <w:numPr>
        <w:numId w:val="1"/>
      </w:numPr>
      <w:tabs>
        <w:tab w:val="clear" w:pos="1080"/>
        <w:tab w:val="num" w:pos="1440"/>
      </w:tabs>
      <w:spacing w:after="120"/>
    </w:pPr>
  </w:style>
  <w:style w:type="paragraph" w:styleId="EndnoteText">
    <w:name w:val="endnote text"/>
    <w:basedOn w:val="Normal"/>
    <w:semiHidden/>
    <w:rsid w:val="0018670A"/>
    <w:rPr>
      <w:sz w:val="20"/>
    </w:rPr>
  </w:style>
  <w:style w:type="character" w:styleId="EndnoteReference">
    <w:name w:val="endnote reference"/>
    <w:semiHidden/>
    <w:rsid w:val="0018670A"/>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18670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8670A"/>
    <w:rPr>
      <w:rFonts w:ascii="Times New Roman" w:hAnsi="Times New Roman"/>
      <w:dstrike w:val="0"/>
      <w:color w:val="auto"/>
      <w:sz w:val="20"/>
      <w:vertAlign w:val="superscript"/>
    </w:rPr>
  </w:style>
  <w:style w:type="paragraph" w:styleId="TOC1">
    <w:name w:val="toc 1"/>
    <w:basedOn w:val="Normal"/>
    <w:next w:val="Normal"/>
    <w:semiHidden/>
    <w:rsid w:val="0018670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8670A"/>
    <w:pPr>
      <w:tabs>
        <w:tab w:val="left" w:pos="720"/>
        <w:tab w:val="right" w:leader="dot" w:pos="9360"/>
      </w:tabs>
      <w:suppressAutoHyphens/>
      <w:ind w:left="720" w:right="720" w:hanging="360"/>
    </w:pPr>
    <w:rPr>
      <w:noProof/>
    </w:rPr>
  </w:style>
  <w:style w:type="paragraph" w:styleId="TOC3">
    <w:name w:val="toc 3"/>
    <w:basedOn w:val="Normal"/>
    <w:next w:val="Normal"/>
    <w:semiHidden/>
    <w:rsid w:val="001867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867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867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867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867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867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867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8670A"/>
    <w:pPr>
      <w:tabs>
        <w:tab w:val="right" w:pos="9360"/>
      </w:tabs>
      <w:suppressAutoHyphens/>
    </w:pPr>
  </w:style>
  <w:style w:type="character" w:customStyle="1" w:styleId="EquationCaption">
    <w:name w:val="_Equation Caption"/>
    <w:rsid w:val="0018670A"/>
  </w:style>
  <w:style w:type="paragraph" w:styleId="Header">
    <w:name w:val="header"/>
    <w:basedOn w:val="Normal"/>
    <w:autoRedefine/>
    <w:rsid w:val="0018670A"/>
    <w:pPr>
      <w:tabs>
        <w:tab w:val="center" w:pos="4680"/>
        <w:tab w:val="right" w:pos="9360"/>
      </w:tabs>
    </w:pPr>
    <w:rPr>
      <w:b/>
    </w:rPr>
  </w:style>
  <w:style w:type="paragraph" w:styleId="Footer">
    <w:name w:val="footer"/>
    <w:basedOn w:val="Normal"/>
    <w:link w:val="FooterChar"/>
    <w:uiPriority w:val="99"/>
    <w:rsid w:val="0018670A"/>
    <w:pPr>
      <w:tabs>
        <w:tab w:val="center" w:pos="4320"/>
        <w:tab w:val="right" w:pos="8640"/>
      </w:tabs>
    </w:pPr>
  </w:style>
  <w:style w:type="character" w:styleId="PageNumber">
    <w:name w:val="page number"/>
    <w:basedOn w:val="DefaultParagraphFont"/>
    <w:rsid w:val="0018670A"/>
  </w:style>
  <w:style w:type="paragraph" w:styleId="BlockText">
    <w:name w:val="Block Text"/>
    <w:basedOn w:val="Normal"/>
    <w:rsid w:val="0018670A"/>
    <w:pPr>
      <w:spacing w:after="240"/>
      <w:ind w:left="1440" w:right="1440"/>
    </w:pPr>
  </w:style>
  <w:style w:type="paragraph" w:customStyle="1" w:styleId="Paratitle">
    <w:name w:val="Para title"/>
    <w:basedOn w:val="Normal"/>
    <w:rsid w:val="0018670A"/>
    <w:pPr>
      <w:tabs>
        <w:tab w:val="center" w:pos="9270"/>
      </w:tabs>
      <w:spacing w:after="240"/>
    </w:pPr>
    <w:rPr>
      <w:spacing w:val="-2"/>
    </w:rPr>
  </w:style>
  <w:style w:type="paragraph" w:customStyle="1" w:styleId="Bullet">
    <w:name w:val="Bullet"/>
    <w:basedOn w:val="Normal"/>
    <w:rsid w:val="0018670A"/>
    <w:pPr>
      <w:tabs>
        <w:tab w:val="left" w:pos="2160"/>
      </w:tabs>
      <w:spacing w:after="220"/>
      <w:ind w:left="2160" w:hanging="720"/>
    </w:pPr>
  </w:style>
  <w:style w:type="paragraph" w:customStyle="1" w:styleId="TableFormat">
    <w:name w:val="TableFormat"/>
    <w:basedOn w:val="Bullet"/>
    <w:rsid w:val="0018670A"/>
    <w:pPr>
      <w:tabs>
        <w:tab w:val="clear" w:pos="2160"/>
        <w:tab w:val="left" w:pos="5040"/>
      </w:tabs>
      <w:ind w:left="5040" w:hanging="3600"/>
    </w:pPr>
  </w:style>
  <w:style w:type="paragraph" w:customStyle="1" w:styleId="TOCTitle">
    <w:name w:val="TOC Title"/>
    <w:basedOn w:val="Normal"/>
    <w:rsid w:val="001867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670A"/>
    <w:pPr>
      <w:jc w:val="center"/>
    </w:pPr>
    <w:rPr>
      <w:rFonts w:ascii="Times New Roman Bold" w:hAnsi="Times New Roman Bold"/>
      <w:b/>
      <w:bCs/>
      <w:caps/>
      <w:szCs w:val="22"/>
    </w:rPr>
  </w:style>
  <w:style w:type="character" w:styleId="Hyperlink">
    <w:name w:val="Hyperlink"/>
    <w:rsid w:val="0018670A"/>
    <w:rPr>
      <w:color w:val="0000FF"/>
      <w:u w:val="single"/>
    </w:rPr>
  </w:style>
  <w:style w:type="character" w:customStyle="1" w:styleId="FooterChar">
    <w:name w:val="Footer Char"/>
    <w:link w:val="Footer"/>
    <w:uiPriority w:val="99"/>
    <w:rsid w:val="0018670A"/>
    <w:rPr>
      <w:snapToGrid w:val="0"/>
      <w:kern w:val="28"/>
      <w:sz w:val="22"/>
    </w:rPr>
  </w:style>
  <w:style w:type="character" w:customStyle="1" w:styleId="FootnoteTextChar2">
    <w:name w:val="Footnote Text Char2"/>
    <w:aliases w:val="Footnote Text Char Char Char1,Footnote Text Char Char Char1 Char Char1,Footnote Text Char1 Char Char Char Char Char1,Footnote Text Char1 Char1,Footnote Text Char1 Char1 Char Char Char1,Footnote Text Char1 Char2 Char Char1,fn Char"/>
    <w:link w:val="FootnoteText"/>
    <w:rsid w:val="00B83427"/>
  </w:style>
  <w:style w:type="character" w:customStyle="1" w:styleId="FootnoteTextChar1Char">
    <w:name w:val="Footnote Text Char1 Char"/>
    <w:aliases w:val="Footnote Text Char Char Char,Footnote Text Char Char Char1 Char Char,Footnote Text Char1 Char Char Char Char Char,Footnote Text Char1 Char1 Char Char Char,Footnote Text Char1 Char2 Char Char,Footnote Text Char2 Char Char Char"/>
    <w:rsid w:val="00B83427"/>
    <w:rPr>
      <w:lang w:val="en-US" w:eastAsia="en-US" w:bidi="ar-SA"/>
    </w:rPr>
  </w:style>
  <w:style w:type="paragraph" w:styleId="NormalWeb">
    <w:name w:val="Normal (Web)"/>
    <w:basedOn w:val="Normal"/>
    <w:uiPriority w:val="99"/>
    <w:rsid w:val="00B83427"/>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B83427"/>
    <w:rPr>
      <w:rFonts w:ascii="Tahoma" w:hAnsi="Tahoma" w:cs="Tahoma"/>
      <w:sz w:val="16"/>
      <w:szCs w:val="16"/>
    </w:rPr>
  </w:style>
  <w:style w:type="character" w:customStyle="1" w:styleId="BalloonTextChar">
    <w:name w:val="Balloon Text Char"/>
    <w:link w:val="BalloonText"/>
    <w:rsid w:val="00B83427"/>
    <w:rPr>
      <w:rFonts w:ascii="Tahoma" w:hAnsi="Tahoma" w:cs="Tahoma"/>
      <w:snapToGrid w:val="0"/>
      <w:kern w:val="28"/>
      <w:sz w:val="16"/>
      <w:szCs w:val="16"/>
    </w:rPr>
  </w:style>
  <w:style w:type="paragraph" w:customStyle="1" w:styleId="Default">
    <w:name w:val="Default"/>
    <w:rsid w:val="00B83427"/>
    <w:pPr>
      <w:autoSpaceDE w:val="0"/>
      <w:autoSpaceDN w:val="0"/>
      <w:adjustRightInd w:val="0"/>
    </w:pPr>
    <w:rPr>
      <w:color w:val="000000"/>
      <w:sz w:val="24"/>
      <w:szCs w:val="24"/>
    </w:rPr>
  </w:style>
  <w:style w:type="character" w:customStyle="1" w:styleId="DeltaViewDeletion">
    <w:name w:val="DeltaView Deletion"/>
    <w:rsid w:val="00B83427"/>
    <w:rPr>
      <w:strike/>
      <w:color w:val="FF0000"/>
      <w:spacing w:val="0"/>
    </w:rPr>
  </w:style>
  <w:style w:type="character" w:styleId="Emphasis">
    <w:name w:val="Emphasis"/>
    <w:qFormat/>
    <w:rsid w:val="00B83427"/>
    <w:rPr>
      <w:i/>
      <w:iCs/>
    </w:rPr>
  </w:style>
  <w:style w:type="paragraph" w:customStyle="1" w:styleId="ParaNumChar1">
    <w:name w:val="ParaNum Char1"/>
    <w:basedOn w:val="Normal"/>
    <w:rsid w:val="00B83427"/>
    <w:pPr>
      <w:tabs>
        <w:tab w:val="num" w:pos="990"/>
      </w:tabs>
      <w:spacing w:after="220"/>
      <w:ind w:left="-90" w:firstLine="720"/>
      <w:jc w:val="both"/>
    </w:pPr>
    <w:rPr>
      <w:rFonts w:eastAsia="SimSun"/>
    </w:rPr>
  </w:style>
  <w:style w:type="character" w:styleId="CommentReference">
    <w:name w:val="annotation reference"/>
    <w:rsid w:val="00B83427"/>
    <w:rPr>
      <w:sz w:val="16"/>
      <w:szCs w:val="16"/>
    </w:rPr>
  </w:style>
  <w:style w:type="paragraph" w:styleId="CommentText">
    <w:name w:val="annotation text"/>
    <w:basedOn w:val="Normal"/>
    <w:link w:val="CommentTextChar"/>
    <w:uiPriority w:val="99"/>
    <w:rsid w:val="00B83427"/>
    <w:rPr>
      <w:sz w:val="20"/>
    </w:rPr>
  </w:style>
  <w:style w:type="character" w:customStyle="1" w:styleId="CommentTextChar">
    <w:name w:val="Comment Text Char"/>
    <w:link w:val="CommentText"/>
    <w:uiPriority w:val="99"/>
    <w:rsid w:val="00B83427"/>
    <w:rPr>
      <w:snapToGrid w:val="0"/>
      <w:kern w:val="28"/>
    </w:rPr>
  </w:style>
  <w:style w:type="paragraph" w:styleId="CommentSubject">
    <w:name w:val="annotation subject"/>
    <w:basedOn w:val="CommentText"/>
    <w:next w:val="CommentText"/>
    <w:link w:val="CommentSubjectChar"/>
    <w:rsid w:val="00B83427"/>
    <w:rPr>
      <w:b/>
      <w:bCs/>
    </w:rPr>
  </w:style>
  <w:style w:type="character" w:customStyle="1" w:styleId="CommentSubjectChar">
    <w:name w:val="Comment Subject Char"/>
    <w:link w:val="CommentSubject"/>
    <w:rsid w:val="00B83427"/>
    <w:rPr>
      <w:b/>
      <w:bCs/>
      <w:snapToGrid w:val="0"/>
      <w:kern w:val="28"/>
    </w:rPr>
  </w:style>
  <w:style w:type="character" w:customStyle="1" w:styleId="FootnoteTextChar1CharCharChar">
    <w:name w:val="Footnote Text Char1 Char Char Char"/>
    <w:aliases w:val="Footnote Text Char Char Char Char Char,Footnote Text Char1 Char Char Char Char Char Char Char Char,Footnote Text Char1 Char Char Char1,Footnote Text Char1 Char2 Char Char Char Char,Footnote Text Char2 Char Char1"/>
    <w:uiPriority w:val="99"/>
    <w:rsid w:val="00B83427"/>
    <w:rPr>
      <w:lang w:val="en-US" w:eastAsia="en-US" w:bidi="ar-SA"/>
    </w:rPr>
  </w:style>
  <w:style w:type="character" w:styleId="FollowedHyperlink">
    <w:name w:val="FollowedHyperlink"/>
    <w:rsid w:val="00B83427"/>
    <w:rPr>
      <w:color w:val="800080"/>
      <w:u w:val="single"/>
    </w:rPr>
  </w:style>
  <w:style w:type="paragraph" w:customStyle="1" w:styleId="ParaNumCharCharCharCharCharCharCharChar">
    <w:name w:val="ParaNum Char Char Char Char Char Char Char Char"/>
    <w:basedOn w:val="Normal"/>
    <w:link w:val="ParaNumCharCharCharCharCharCharCharCharChar"/>
    <w:rsid w:val="00B83427"/>
    <w:pPr>
      <w:tabs>
        <w:tab w:val="num" w:pos="1180"/>
        <w:tab w:val="left" w:pos="1440"/>
      </w:tabs>
      <w:spacing w:after="220"/>
      <w:ind w:left="100" w:firstLine="780"/>
      <w:jc w:val="both"/>
    </w:pPr>
    <w:rPr>
      <w:snapToGrid/>
      <w:kern w:val="0"/>
    </w:rPr>
  </w:style>
  <w:style w:type="character" w:customStyle="1" w:styleId="ParaNumCharCharCharCharCharCharCharCharChar">
    <w:name w:val="ParaNum Char Char Char Char Char Char Char Char Char"/>
    <w:link w:val="ParaNumCharCharCharCharCharCharCharChar"/>
    <w:rsid w:val="00B83427"/>
    <w:rPr>
      <w:sz w:val="22"/>
    </w:rPr>
  </w:style>
  <w:style w:type="character" w:customStyle="1" w:styleId="Footnote">
    <w:name w:val="Footnote"/>
    <w:basedOn w:val="DefaultParagraphFont"/>
    <w:rsid w:val="00B83427"/>
  </w:style>
  <w:style w:type="character" w:customStyle="1" w:styleId="ParaNumChar">
    <w:name w:val="ParaNum Char"/>
    <w:link w:val="ParaNum"/>
    <w:locked/>
    <w:rsid w:val="00B83427"/>
    <w:rPr>
      <w:snapToGrid w:val="0"/>
      <w:kern w:val="28"/>
      <w:sz w:val="22"/>
    </w:rPr>
  </w:style>
  <w:style w:type="character" w:customStyle="1" w:styleId="FootnoteTextChar2Char1">
    <w:name w:val="Footnote Text Char2 Char1"/>
    <w:aliases w:val="Footnote Text Char Char Char Char Char Char Char1,Footnote Text Char Char Char Char1,Footnote Text Char1 Char Char Char Char1,Footnote Text Char1 Char1 Char2,Footnote Text Char2 Char Char Char Char Char1,f Char Char"/>
    <w:locked/>
    <w:rsid w:val="00B83427"/>
    <w:rPr>
      <w:lang w:val="en-US" w:eastAsia="en-US" w:bidi="ar-SA"/>
    </w:rPr>
  </w:style>
  <w:style w:type="paragraph" w:styleId="ListParagraph">
    <w:name w:val="List Paragraph"/>
    <w:basedOn w:val="Normal"/>
    <w:uiPriority w:val="34"/>
    <w:qFormat/>
    <w:rsid w:val="00B83427"/>
    <w:pPr>
      <w:widowControl/>
      <w:spacing w:after="160" w:line="259" w:lineRule="auto"/>
      <w:ind w:left="720"/>
      <w:contextualSpacing/>
    </w:pPr>
    <w:rPr>
      <w:rFonts w:ascii="Calibri" w:eastAsia="Calibri" w:hAnsi="Calibri"/>
      <w:snapToGrid/>
      <w:kern w:val="0"/>
      <w:szCs w:val="22"/>
    </w:rPr>
  </w:style>
  <w:style w:type="table" w:styleId="TableGrid">
    <w:name w:val="Table Grid"/>
    <w:basedOn w:val="TableNormal"/>
    <w:rsid w:val="00B8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B83427"/>
    <w:rPr>
      <w:color w:val="605E5C"/>
      <w:shd w:val="clear" w:color="auto" w:fill="E1DFDD"/>
    </w:rPr>
  </w:style>
  <w:style w:type="character" w:customStyle="1" w:styleId="normaltextrun">
    <w:name w:val="normaltextrun"/>
    <w:basedOn w:val="DefaultParagraphFont"/>
    <w:rsid w:val="00B83427"/>
  </w:style>
  <w:style w:type="character" w:customStyle="1" w:styleId="spellingerror">
    <w:name w:val="spellingerror"/>
    <w:basedOn w:val="DefaultParagraphFont"/>
    <w:rsid w:val="00B83427"/>
  </w:style>
  <w:style w:type="paragraph" w:styleId="Revision">
    <w:name w:val="Revision"/>
    <w:hidden/>
    <w:uiPriority w:val="99"/>
    <w:semiHidden/>
    <w:rsid w:val="00B83427"/>
    <w:rPr>
      <w:snapToGrid w:val="0"/>
      <w:kern w:val="28"/>
      <w:sz w:val="22"/>
    </w:rPr>
  </w:style>
  <w:style w:type="paragraph" w:customStyle="1" w:styleId="Tabletext">
    <w:name w:val="Table_text"/>
    <w:basedOn w:val="Normal"/>
    <w:link w:val="TabletextChar"/>
    <w:rsid w:val="00684D03"/>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napToGrid/>
      <w:kern w:val="0"/>
      <w:sz w:val="20"/>
      <w:lang w:val="en-GB"/>
    </w:rPr>
  </w:style>
  <w:style w:type="character" w:customStyle="1" w:styleId="TabletextChar">
    <w:name w:val="Table_text Char"/>
    <w:basedOn w:val="DefaultParagraphFont"/>
    <w:link w:val="Tabletext"/>
    <w:qFormat/>
    <w:rsid w:val="00684D03"/>
    <w:rPr>
      <w:lang w:val="en-GB"/>
    </w:rPr>
  </w:style>
  <w:style w:type="character" w:styleId="UnresolvedMention">
    <w:name w:val="Unresolved Mention"/>
    <w:basedOn w:val="DefaultParagraphFont"/>
    <w:uiPriority w:val="99"/>
    <w:semiHidden/>
    <w:unhideWhenUsed/>
    <w:rsid w:val="00C35FE6"/>
    <w:rPr>
      <w:color w:val="605E5C"/>
      <w:shd w:val="clear" w:color="auto" w:fill="E1DFDD"/>
    </w:rPr>
  </w:style>
  <w:style w:type="paragraph" w:styleId="NoSpacing">
    <w:name w:val="No Spacing"/>
    <w:uiPriority w:val="1"/>
    <w:qFormat/>
    <w:rsid w:val="0027695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document/fcc-closes-headquarters-open-window-and-changes-hand-delivery-policy" TargetMode="External" /><Relationship Id="rId6" Type="http://schemas.openxmlformats.org/officeDocument/2006/relationships/hyperlink" Target="mailto:Simon.Banyai@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library.wmo.int/doc_num.php?explnum_id=3793" TargetMode="External" /><Relationship Id="rId10" Type="http://schemas.openxmlformats.org/officeDocument/2006/relationships/hyperlink" Target="https://www.census.gov/data/tables/2017/econ/gus/2017-governments.html" TargetMode="External" /><Relationship Id="rId11" Type="http://schemas.openxmlformats.org/officeDocument/2006/relationships/hyperlink" Target="https://www.census.gov/naics/?input=517312&amp;year=2017&amp;details=517312" TargetMode="External" /><Relationship Id="rId12" Type="http://schemas.openxmlformats.org/officeDocument/2006/relationships/hyperlink" Target="https://data.census.gov/cedsci/table?text=EC1251SSSZ5&amp;n=517210&amp;tid=ECNSIZE2012.EC1251SSSZ5&amp;hidePreview=false&amp;vintage=2012" TargetMode="External" /><Relationship Id="rId13" Type="http://schemas.openxmlformats.org/officeDocument/2006/relationships/hyperlink" Target="https://www.census.gov/naics/?input=517410&amp;year=2017&amp;details=517410" TargetMode="External" /><Relationship Id="rId14" Type="http://schemas.openxmlformats.org/officeDocument/2006/relationships/hyperlink" Target="https://data.census.gov/cedsci/table?text=EC1251SSSZ4&amp;n=517410&amp;tid=ECNSIZE2012.EC1251SSSZ4&amp;hidePreview=false&amp;vintage=2012" TargetMode="External" /><Relationship Id="rId15" Type="http://schemas.openxmlformats.org/officeDocument/2006/relationships/hyperlink" Target="https://www.census.gov/naics/?input=517919&amp;year=2017&amp;details=517919" TargetMode="External" /><Relationship Id="rId16" Type="http://schemas.openxmlformats.org/officeDocument/2006/relationships/hyperlink" Target="https://data.census.gov/cedsci/table?text=EC1251SSSZ4&amp;n=517919&amp;tid=ECNSIZE2012.EC1251SSSZ4&amp;hidePreview=false" TargetMode="External" /><Relationship Id="rId17" Type="http://schemas.openxmlformats.org/officeDocument/2006/relationships/hyperlink" Target="https://www.census.gov/naics/?input=334220&amp;year=2017&amp;details=334220" TargetMode="External" /><Relationship Id="rId18" Type="http://schemas.openxmlformats.org/officeDocument/2006/relationships/hyperlink" Target="https://data.census.gov/cedsci/table?text=EC1231SG2&amp;n=334220&amp;tid=ECNSIZE2012.EC1231SG2&amp;hidePreview=false" TargetMode="External" /><Relationship Id="rId2" Type="http://schemas.openxmlformats.org/officeDocument/2006/relationships/hyperlink" Target="https://www.itu.int/en/ITU-R/Documents/ITU-R-FAQ-IMT.pdf" TargetMode="External" /><Relationship Id="rId3" Type="http://schemas.openxmlformats.org/officeDocument/2006/relationships/hyperlink" Target="https://www.itu.int/en/myitu/Publications/2020/09/02/14/23/Radio-Regulations-2020" TargetMode="External" /><Relationship Id="rId4" Type="http://schemas.openxmlformats.org/officeDocument/2006/relationships/hyperlink" Target="https://docdb.cept.org/download/167" TargetMode="External" /><Relationship Id="rId5" Type="http://schemas.openxmlformats.org/officeDocument/2006/relationships/hyperlink" Target="https://www.qualcomm.com/media/documents/files/spectrum-for-4g-and-5g.pdf" TargetMode="External" /><Relationship Id="rId6" Type="http://schemas.openxmlformats.org/officeDocument/2006/relationships/hyperlink" Target="http://www.ieice.org/proceedings/EMC09/pdf/21R3-3.pdf" TargetMode="External" /><Relationship Id="rId7" Type="http://schemas.openxmlformats.org/officeDocument/2006/relationships/hyperlink" Target="https://www.irs.gov/charities-non-profits/annual-electronic-filing-requirement-for-small-exempt-organizations-form-990-n-e-postcard" TargetMode="External" /><Relationship Id="rId8" Type="http://schemas.openxmlformats.org/officeDocument/2006/relationships/hyperlink" Target="https://www.irs.gov/charities-non-profits/exempt-organizations-business-master-file-extract-eo-bmf" TargetMode="External" /><Relationship Id="rId9" Type="http://schemas.openxmlformats.org/officeDocument/2006/relationships/hyperlink" Target="https://www.census.gov/programs-surveys/cog/about.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