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D11F1" w:rsidRPr="009C2377" w:rsidP="00ED11F1" w14:paraId="69C3A055" w14:textId="77777777">
      <w:pPr>
        <w:jc w:val="center"/>
        <w:rPr>
          <w:b/>
          <w:bCs/>
          <w:caps/>
          <w:szCs w:val="22"/>
        </w:rPr>
      </w:pPr>
      <w:bookmarkStart w:id="0" w:name="_Hlk532384483"/>
      <w:bookmarkStart w:id="1" w:name="_Hlk154484886"/>
      <w:r w:rsidRPr="009C2377">
        <w:rPr>
          <w:b/>
          <w:bCs/>
          <w:caps/>
          <w:szCs w:val="22"/>
        </w:rPr>
        <w:t>Statement of</w:t>
      </w:r>
    </w:p>
    <w:p w:rsidR="00ED11F1" w:rsidRPr="009C2377" w:rsidP="00ED11F1" w14:paraId="10EAC88E" w14:textId="77777777">
      <w:pPr>
        <w:jc w:val="center"/>
        <w:rPr>
          <w:b/>
          <w:bCs/>
          <w:caps/>
          <w:szCs w:val="22"/>
        </w:rPr>
      </w:pPr>
      <w:r w:rsidRPr="009C2377">
        <w:rPr>
          <w:b/>
          <w:bCs/>
          <w:caps/>
          <w:szCs w:val="22"/>
        </w:rPr>
        <w:t>Chairwoman jessica rosenworcel</w:t>
      </w:r>
    </w:p>
    <w:p w:rsidR="00ED11F1" w:rsidRPr="009C2377" w:rsidP="00ED11F1" w14:paraId="1A1CA3BD" w14:textId="77777777">
      <w:pPr>
        <w:jc w:val="center"/>
        <w:rPr>
          <w:b/>
          <w:bCs/>
          <w:caps/>
          <w:szCs w:val="22"/>
        </w:rPr>
      </w:pPr>
    </w:p>
    <w:p w:rsidR="00ED11F1" w:rsidRPr="009C2377" w:rsidP="00ED11F1" w14:paraId="57C24D52" w14:textId="77777777">
      <w:pPr>
        <w:ind w:left="720" w:hanging="720"/>
        <w:rPr>
          <w:szCs w:val="22"/>
        </w:rPr>
      </w:pPr>
      <w:bookmarkStart w:id="2" w:name="_Hlk532384536"/>
      <w:r w:rsidRPr="009C2377">
        <w:rPr>
          <w:rFonts w:eastAsia="Calibri"/>
          <w:kern w:val="0"/>
          <w:szCs w:val="22"/>
        </w:rPr>
        <w:t>Re:</w:t>
      </w:r>
      <w:r w:rsidRPr="009C2377">
        <w:rPr>
          <w:rFonts w:eastAsia="Calibri"/>
          <w:kern w:val="0"/>
          <w:szCs w:val="22"/>
        </w:rPr>
        <w:tab/>
      </w:r>
      <w:r w:rsidRPr="009C2377">
        <w:rPr>
          <w:i/>
          <w:szCs w:val="22"/>
        </w:rPr>
        <w:t>2018 Quadrennial Regulatory Review – Review of the Commission’s Broadcast Ownership Rules and Other Rules Adopted Pursuant to Section 202 of the Telecommunications Act of 1996</w:t>
      </w:r>
      <w:r w:rsidRPr="009C2377">
        <w:rPr>
          <w:szCs w:val="22"/>
        </w:rPr>
        <w:t>, MB Docket No. 18-349</w:t>
      </w:r>
      <w:bookmarkEnd w:id="0"/>
      <w:bookmarkEnd w:id="2"/>
      <w:r w:rsidRPr="009C2377">
        <w:rPr>
          <w:szCs w:val="22"/>
        </w:rPr>
        <w:t>, Report and Order.</w:t>
      </w:r>
    </w:p>
    <w:p w:rsidR="00ED11F1" w:rsidRPr="009C2377" w:rsidP="00ED11F1" w14:paraId="541D1D74" w14:textId="77777777">
      <w:pPr>
        <w:rPr>
          <w:szCs w:val="22"/>
        </w:rPr>
      </w:pPr>
      <w:r w:rsidRPr="009C2377">
        <w:rPr>
          <w:szCs w:val="22"/>
        </w:rPr>
        <w:t xml:space="preserve"> </w:t>
      </w:r>
      <w:r w:rsidRPr="009C2377">
        <w:rPr>
          <w:szCs w:val="22"/>
        </w:rPr>
        <w:tab/>
      </w:r>
    </w:p>
    <w:p w:rsidR="00ED11F1" w:rsidRPr="009C2377" w:rsidP="00ED11F1" w14:paraId="7BFFBCBC" w14:textId="77777777">
      <w:pPr>
        <w:ind w:firstLine="720"/>
        <w:rPr>
          <w:szCs w:val="22"/>
        </w:rPr>
      </w:pPr>
      <w:r w:rsidRPr="009C2377">
        <w:rPr>
          <w:szCs w:val="22"/>
        </w:rPr>
        <w:t xml:space="preserve">For decades, the Federal Communications Commission has had rules that limit the number of broadcast stations a single entity can own.  This approach is a product of the Communications Act and the values in the law that have always informed our approach to media policy—support for localism, competition, and diversity of ownership.  These values support jobs and journalism.  They are important.  </w:t>
      </w:r>
    </w:p>
    <w:p w:rsidR="00ED11F1" w:rsidRPr="009C2377" w:rsidP="00ED11F1" w14:paraId="1CF87115" w14:textId="77777777">
      <w:pPr>
        <w:ind w:firstLine="720"/>
        <w:rPr>
          <w:szCs w:val="22"/>
        </w:rPr>
      </w:pPr>
    </w:p>
    <w:p w:rsidR="00ED11F1" w:rsidRPr="009C2377" w:rsidP="00ED11F1" w14:paraId="021704FB" w14:textId="77777777">
      <w:pPr>
        <w:ind w:firstLine="720"/>
        <w:rPr>
          <w:szCs w:val="22"/>
        </w:rPr>
      </w:pPr>
      <w:r w:rsidRPr="009C2377">
        <w:rPr>
          <w:szCs w:val="22"/>
        </w:rPr>
        <w:t xml:space="preserve">Even as times change, these values remain.  So does the law.  Our approach here is consistent with the Communications Act and other laws that Congress has passed to address media markets, including the Consolidated Appropriations Act of 2004, which limits the number of television stations a single entity can own nationwide.   </w:t>
      </w:r>
    </w:p>
    <w:p w:rsidR="00ED11F1" w:rsidRPr="009C2377" w:rsidP="00ED11F1" w14:paraId="4826B633" w14:textId="77777777">
      <w:pPr>
        <w:ind w:firstLine="720"/>
        <w:rPr>
          <w:szCs w:val="22"/>
        </w:rPr>
      </w:pPr>
      <w:r w:rsidRPr="009C2377">
        <w:rPr>
          <w:szCs w:val="22"/>
        </w:rPr>
        <w:t xml:space="preserve">  </w:t>
      </w:r>
    </w:p>
    <w:p w:rsidR="00ED11F1" w:rsidRPr="009C2377" w:rsidP="00ED11F1" w14:paraId="10289208" w14:textId="77777777">
      <w:pPr>
        <w:ind w:firstLine="720"/>
        <w:rPr>
          <w:szCs w:val="22"/>
        </w:rPr>
      </w:pPr>
      <w:r w:rsidRPr="009C2377">
        <w:rPr>
          <w:szCs w:val="22"/>
        </w:rPr>
        <w:t xml:space="preserve">To be clear, at this point only three core rules remain.  No entity can own all the television stations in a single market, with a case specific request necessary to own more than one of the top four stations.  No entity can own all the radio stations in a single market.  There is also a restriction on the national combination of two of the four big television networks—ABC, CBS, Fox, and NBC.   </w:t>
      </w:r>
    </w:p>
    <w:p w:rsidR="00ED11F1" w:rsidRPr="009C2377" w:rsidP="00ED11F1" w14:paraId="7F76FCAB" w14:textId="77777777">
      <w:pPr>
        <w:ind w:firstLine="720"/>
        <w:rPr>
          <w:szCs w:val="22"/>
        </w:rPr>
      </w:pPr>
    </w:p>
    <w:p w:rsidR="00ED11F1" w:rsidRPr="009C2377" w:rsidP="00ED11F1" w14:paraId="12C81C11" w14:textId="77777777">
      <w:pPr>
        <w:ind w:firstLine="720"/>
        <w:rPr>
          <w:szCs w:val="22"/>
        </w:rPr>
      </w:pPr>
      <w:r w:rsidRPr="009C2377">
        <w:rPr>
          <w:szCs w:val="22"/>
        </w:rPr>
        <w:t xml:space="preserve">This decision updates the application of these rules.  With respect to radio, it clarifies our approach to subcaps and the contour-overlap methodology used to asses stations.  With respect to television, it closes a loophole that involves the transfer of station affiliation to a multicast stream or low-power station that can be used to evade rules and exceed the limits in the Consolidated Appropriations Act of 2004.  </w:t>
      </w:r>
    </w:p>
    <w:p w:rsidR="00ED11F1" w:rsidRPr="009C2377" w:rsidP="00ED11F1" w14:paraId="21E97A0A" w14:textId="77777777">
      <w:pPr>
        <w:ind w:firstLine="720"/>
        <w:rPr>
          <w:szCs w:val="22"/>
        </w:rPr>
      </w:pPr>
    </w:p>
    <w:p w:rsidR="00E9177C" w:rsidRPr="00ED11F1" w:rsidP="00ED11F1" w14:paraId="7AF99733" w14:textId="11D0F50D">
      <w:pPr>
        <w:ind w:firstLine="720"/>
      </w:pPr>
      <w:r w:rsidRPr="009C2377">
        <w:rPr>
          <w:szCs w:val="22"/>
        </w:rPr>
        <w:t>While the ways we consume news and content in the digital age have changed, this approach is consistent with our longstanding values.  It helps ensure that entities—both big and small—play by the same rules when they seek to build a station and audience in local markets</w:t>
      </w:r>
      <w:r>
        <w:rPr>
          <w:szCs w:val="22"/>
        </w:rPr>
        <w:t>.</w:t>
      </w:r>
      <w:bookmarkEnd w:id="1"/>
    </w:p>
    <w:sectPr w:rsidSect="00104C0D">
      <w:headerReference w:type="default" r:id="rId4"/>
      <w:footerReference w:type="even" r:id="rId5"/>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94223F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96B9B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4C0D" w14:paraId="07AA927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rsidRPr="004B0611" w:rsidP="004B0611" w14:paraId="7FAA814B" w14:textId="364570D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10DF" w14:paraId="5434835C" w14:textId="586903B1">
    <w:pPr>
      <w:pStyle w:val="Footer"/>
      <w:jc w:val="center"/>
    </w:pPr>
  </w:p>
  <w:p w:rsidR="00D25FB5" w:rsidP="00941B53" w14:paraId="7DA036BC" w14:textId="77777777">
    <w:pPr>
      <w:pStyle w:val="Footer"/>
      <w:tabs>
        <w:tab w:val="clear" w:pos="8640"/>
      </w:tabs>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FD3F5D" w:rsidP="008F4EF1" w14:paraId="07526C23" w14:textId="2B67DCD4">
    <w:pPr>
      <w:pStyle w:val="Header"/>
    </w:pPr>
    <w:r w:rsidRPr="00FD3F5D">
      <w:tab/>
      <w:t>Federal Communications Commission</w:t>
    </w:r>
    <w:r w:rsidRPr="00FD3F5D">
      <w:tab/>
    </w:r>
    <w:r w:rsidR="00D910DF">
      <w:t>FCC 23-11</w:t>
    </w:r>
    <w:r w:rsidR="0021101C">
      <w:t>7</w:t>
    </w:r>
  </w:p>
  <w:p w:rsidR="00D25FB5" w:rsidRPr="00FD3F5D" w14:paraId="000B3E61" w14:textId="66997461">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w:r>
  </w:p>
  <w:p w:rsidR="00D25FB5" w:rsidRPr="00FD3F5D" w14:paraId="4A64C38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F4EF1" w14:paraId="692D7E7D" w14:textId="5D9952E5">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r>
      <w:tab/>
      <w:t>Federal Communications Commission</w:t>
    </w:r>
    <w:r>
      <w:tab/>
    </w:r>
    <w:r w:rsidR="007076DC">
      <w:t>FCC 23-117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31DB6"/>
    <w:multiLevelType w:val="hybridMultilevel"/>
    <w:tmpl w:val="2F5E953C"/>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F303676"/>
    <w:multiLevelType w:val="hybridMultilevel"/>
    <w:tmpl w:val="3242889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0256071"/>
    <w:multiLevelType w:val="hybridMultilevel"/>
    <w:tmpl w:val="0EC87CE4"/>
    <w:lvl w:ilvl="0">
      <w:start w:val="2004"/>
      <w:numFmt w:val="decimal"/>
      <w:lvlText w:val="%1"/>
      <w:lvlJc w:val="left"/>
      <w:pPr>
        <w:ind w:left="792" w:hanging="432"/>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7F114C8"/>
    <w:multiLevelType w:val="hybridMultilevel"/>
    <w:tmpl w:val="4B987F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8626C0E"/>
    <w:multiLevelType w:val="hybridMultilevel"/>
    <w:tmpl w:val="2F32FC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9FD0087"/>
    <w:multiLevelType w:val="hybridMultilevel"/>
    <w:tmpl w:val="B32E5F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FC679C9"/>
    <w:multiLevelType w:val="hybridMultilevel"/>
    <w:tmpl w:val="7618FD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210431D"/>
    <w:multiLevelType w:val="hybridMultilevel"/>
    <w:tmpl w:val="243C80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CE73D8D"/>
    <w:multiLevelType w:val="hybridMultilevel"/>
    <w:tmpl w:val="FD204578"/>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13">
    <w:nsid w:val="455471CF"/>
    <w:multiLevelType w:val="hybridMultilevel"/>
    <w:tmpl w:val="5F64F510"/>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7D723F0"/>
    <w:multiLevelType w:val="hybridMultilevel"/>
    <w:tmpl w:val="9B56D55C"/>
    <w:lvl w:ilvl="0">
      <w:start w:val="1"/>
      <w:numFmt w:val="decimal"/>
      <w:lvlText w:val="%1."/>
      <w:lvlJc w:val="left"/>
      <w:pPr>
        <w:tabs>
          <w:tab w:val="num" w:pos="1080"/>
        </w:tabs>
        <w:ind w:left="0" w:firstLine="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AE12239"/>
    <w:multiLevelType w:val="hybridMultilevel"/>
    <w:tmpl w:val="51745D12"/>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BBC646E"/>
    <w:multiLevelType w:val="hybridMultilevel"/>
    <w:tmpl w:val="4DA0687C"/>
    <w:lvl w:ilvl="0">
      <w:start w:val="2004"/>
      <w:numFmt w:val="decimal"/>
      <w:lvlText w:val="%1"/>
      <w:lvlJc w:val="left"/>
      <w:pPr>
        <w:ind w:left="432" w:hanging="432"/>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70176C7A"/>
    <w:multiLevelType w:val="hybridMultilevel"/>
    <w:tmpl w:val="BE7AF730"/>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20">
    <w:nsid w:val="77764A3B"/>
    <w:multiLevelType w:val="hybridMultilevel"/>
    <w:tmpl w:val="DD3266EE"/>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num w:numId="1">
    <w:abstractNumId w:val="4"/>
  </w:num>
  <w:num w:numId="2">
    <w:abstractNumId w:val="17"/>
  </w:num>
  <w:num w:numId="3">
    <w:abstractNumId w:val="6"/>
  </w:num>
  <w:num w:numId="4">
    <w:abstractNumId w:val="14"/>
  </w:num>
  <w:num w:numId="5">
    <w:abstractNumId w:val="5"/>
  </w:num>
  <w:num w:numId="6">
    <w:abstractNumId w:val="1"/>
  </w:num>
  <w:num w:numId="7">
    <w:abstractNumId w:val="9"/>
  </w:num>
  <w:num w:numId="8">
    <w:abstractNumId w:val="7"/>
  </w:num>
  <w:num w:numId="9">
    <w:abstractNumId w:val="11"/>
  </w:num>
  <w:num w:numId="10">
    <w:abstractNumId w:val="8"/>
  </w:num>
  <w:num w:numId="11">
    <w:abstractNumId w:val="10"/>
  </w:num>
  <w:num w:numId="12">
    <w:abstractNumId w:val="17"/>
    <w:lvlOverride w:ilvl="0">
      <w:startOverride w:val="1"/>
    </w:lvlOverride>
  </w:num>
  <w:num w:numId="13">
    <w:abstractNumId w:val="0"/>
  </w:num>
  <w:num w:numId="14">
    <w:abstractNumId w:val="16"/>
  </w:num>
  <w:num w:numId="15">
    <w:abstractNumId w:val="20"/>
  </w:num>
  <w:num w:numId="16">
    <w:abstractNumId w:val="3"/>
  </w:num>
  <w:num w:numId="17">
    <w:abstractNumId w:val="18"/>
  </w:num>
  <w:num w:numId="18">
    <w:abstractNumId w:val="17"/>
    <w:lvlOverride w:ilvl="0">
      <w:startOverride w:val="1"/>
    </w:lvlOverride>
  </w:num>
  <w:num w:numId="19">
    <w:abstractNumId w:val="13"/>
  </w:num>
  <w:num w:numId="20">
    <w:abstractNumId w:val="17"/>
    <w:lvlOverride w:ilvl="0">
      <w:startOverride w:val="1"/>
    </w:lvlOverride>
  </w:num>
  <w:num w:numId="21">
    <w:abstractNumId w:val="2"/>
  </w:num>
  <w:num w:numId="22">
    <w:abstractNumId w:val="17"/>
    <w:lvlOverride w:ilvl="0">
      <w:startOverride w:val="1"/>
    </w:lvlOverride>
  </w:num>
  <w:num w:numId="23">
    <w:abstractNumId w:val="15"/>
    <w:lvlOverride w:ilvl="0">
      <w:startOverride w:val="1"/>
    </w:lvlOverride>
  </w:num>
  <w:num w:numId="24">
    <w:abstractNumId w:val="17"/>
    <w:lvlOverride w:ilvl="0">
      <w:startOverride w:val="2"/>
    </w:lvlOverride>
  </w:num>
  <w:num w:numId="25">
    <w:abstractNumId w:val="17"/>
    <w:lvlOverride w:ilvl="0">
      <w:startOverride w:val="2"/>
    </w:lvlOverride>
  </w:num>
  <w:num w:numId="26">
    <w:abstractNumId w:val="15"/>
  </w:num>
  <w:num w:numId="27">
    <w:abstractNumId w:val="17"/>
    <w:lvlOverride w:ilvl="0">
      <w:startOverride w:val="1"/>
    </w:lvlOverride>
  </w:num>
  <w:num w:numId="28">
    <w:abstractNumId w:val="17"/>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9"/>
  </w:num>
  <w:num w:numId="32">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875BF"/>
    <w:rsid w:val="00096D8C"/>
    <w:rsid w:val="000C0B65"/>
    <w:rsid w:val="000E05FE"/>
    <w:rsid w:val="000E3D42"/>
    <w:rsid w:val="00104C0D"/>
    <w:rsid w:val="00122BD5"/>
    <w:rsid w:val="00133F79"/>
    <w:rsid w:val="00194A66"/>
    <w:rsid w:val="001D6BCF"/>
    <w:rsid w:val="001E01CA"/>
    <w:rsid w:val="0021101C"/>
    <w:rsid w:val="002757C1"/>
    <w:rsid w:val="00275CF5"/>
    <w:rsid w:val="0028301F"/>
    <w:rsid w:val="00285017"/>
    <w:rsid w:val="002A2D2E"/>
    <w:rsid w:val="002A627D"/>
    <w:rsid w:val="002C00E8"/>
    <w:rsid w:val="002E33D1"/>
    <w:rsid w:val="00343749"/>
    <w:rsid w:val="003660ED"/>
    <w:rsid w:val="003B0550"/>
    <w:rsid w:val="003B694F"/>
    <w:rsid w:val="003F171C"/>
    <w:rsid w:val="00412FC5"/>
    <w:rsid w:val="00422276"/>
    <w:rsid w:val="004242F1"/>
    <w:rsid w:val="00445A00"/>
    <w:rsid w:val="00451B0F"/>
    <w:rsid w:val="004B0611"/>
    <w:rsid w:val="004C2EE3"/>
    <w:rsid w:val="004E4A22"/>
    <w:rsid w:val="00511968"/>
    <w:rsid w:val="0055614C"/>
    <w:rsid w:val="00561DFD"/>
    <w:rsid w:val="00566D06"/>
    <w:rsid w:val="005E14C2"/>
    <w:rsid w:val="00607BA5"/>
    <w:rsid w:val="0061180A"/>
    <w:rsid w:val="00626EB6"/>
    <w:rsid w:val="00655D03"/>
    <w:rsid w:val="0067135F"/>
    <w:rsid w:val="00683388"/>
    <w:rsid w:val="00683F84"/>
    <w:rsid w:val="006A6A81"/>
    <w:rsid w:val="006F7393"/>
    <w:rsid w:val="0070224F"/>
    <w:rsid w:val="007076DC"/>
    <w:rsid w:val="007115F7"/>
    <w:rsid w:val="00785689"/>
    <w:rsid w:val="0079754B"/>
    <w:rsid w:val="007A1E6D"/>
    <w:rsid w:val="007B0EB2"/>
    <w:rsid w:val="00810B6F"/>
    <w:rsid w:val="00822CE0"/>
    <w:rsid w:val="00841AB1"/>
    <w:rsid w:val="008C68F1"/>
    <w:rsid w:val="008D3C83"/>
    <w:rsid w:val="008F4EF1"/>
    <w:rsid w:val="00921803"/>
    <w:rsid w:val="00926503"/>
    <w:rsid w:val="00941B53"/>
    <w:rsid w:val="009726D8"/>
    <w:rsid w:val="009C2377"/>
    <w:rsid w:val="009D7308"/>
    <w:rsid w:val="009F76DB"/>
    <w:rsid w:val="00A32C3B"/>
    <w:rsid w:val="00A45F4F"/>
    <w:rsid w:val="00A600A9"/>
    <w:rsid w:val="00A91C4A"/>
    <w:rsid w:val="00AA55B7"/>
    <w:rsid w:val="00AA5B9E"/>
    <w:rsid w:val="00AB21EE"/>
    <w:rsid w:val="00AB2407"/>
    <w:rsid w:val="00AB53DF"/>
    <w:rsid w:val="00B07E5C"/>
    <w:rsid w:val="00B811F7"/>
    <w:rsid w:val="00BA5DC6"/>
    <w:rsid w:val="00BA6196"/>
    <w:rsid w:val="00BC6D8C"/>
    <w:rsid w:val="00C16CA6"/>
    <w:rsid w:val="00C34006"/>
    <w:rsid w:val="00C36B4C"/>
    <w:rsid w:val="00C426B1"/>
    <w:rsid w:val="00C66160"/>
    <w:rsid w:val="00C721AC"/>
    <w:rsid w:val="00C90D6A"/>
    <w:rsid w:val="00CA247E"/>
    <w:rsid w:val="00CA6D21"/>
    <w:rsid w:val="00CC72B6"/>
    <w:rsid w:val="00D0218D"/>
    <w:rsid w:val="00D25FB5"/>
    <w:rsid w:val="00D44223"/>
    <w:rsid w:val="00D910DF"/>
    <w:rsid w:val="00DA092A"/>
    <w:rsid w:val="00DA2529"/>
    <w:rsid w:val="00DB130A"/>
    <w:rsid w:val="00DB2EBB"/>
    <w:rsid w:val="00DC10A1"/>
    <w:rsid w:val="00DC655F"/>
    <w:rsid w:val="00DD0B59"/>
    <w:rsid w:val="00DD7EBD"/>
    <w:rsid w:val="00DF62B6"/>
    <w:rsid w:val="00E07225"/>
    <w:rsid w:val="00E5409F"/>
    <w:rsid w:val="00E9177C"/>
    <w:rsid w:val="00E954D1"/>
    <w:rsid w:val="00ED11F1"/>
    <w:rsid w:val="00EE6488"/>
    <w:rsid w:val="00F021FA"/>
    <w:rsid w:val="00F62E97"/>
    <w:rsid w:val="00F64209"/>
    <w:rsid w:val="00F93BF5"/>
    <w:rsid w:val="00FD3F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931C914"/>
  <w15:chartTrackingRefBased/>
  <w15:docId w15:val="{EB3F1F5B-9F25-4C6A-A510-C4AE8203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1F1"/>
    <w:pPr>
      <w:widowControl w:val="0"/>
    </w:pPr>
    <w:rPr>
      <w:snapToGrid w:val="0"/>
      <w:kern w:val="28"/>
      <w:sz w:val="22"/>
    </w:rPr>
  </w:style>
  <w:style w:type="paragraph" w:styleId="Heading1">
    <w:name w:val="heading 1"/>
    <w:basedOn w:val="Normal"/>
    <w:next w:val="ParaNum"/>
    <w:link w:val="Heading1Char"/>
    <w:qFormat/>
    <w:rsid w:val="00ED11F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D11F1"/>
    <w:pPr>
      <w:keepNext/>
      <w:numPr>
        <w:ilvl w:val="1"/>
        <w:numId w:val="3"/>
      </w:numPr>
      <w:spacing w:after="120"/>
      <w:outlineLvl w:val="1"/>
    </w:pPr>
    <w:rPr>
      <w:b/>
    </w:rPr>
  </w:style>
  <w:style w:type="paragraph" w:styleId="Heading3">
    <w:name w:val="heading 3"/>
    <w:basedOn w:val="Normal"/>
    <w:next w:val="ParaNum"/>
    <w:qFormat/>
    <w:rsid w:val="00ED11F1"/>
    <w:pPr>
      <w:keepNext/>
      <w:numPr>
        <w:ilvl w:val="2"/>
        <w:numId w:val="3"/>
      </w:numPr>
      <w:tabs>
        <w:tab w:val="left" w:pos="2160"/>
      </w:tabs>
      <w:spacing w:after="120"/>
      <w:outlineLvl w:val="2"/>
    </w:pPr>
    <w:rPr>
      <w:b/>
    </w:rPr>
  </w:style>
  <w:style w:type="paragraph" w:styleId="Heading4">
    <w:name w:val="heading 4"/>
    <w:basedOn w:val="Normal"/>
    <w:next w:val="ParaNum"/>
    <w:qFormat/>
    <w:rsid w:val="00ED11F1"/>
    <w:pPr>
      <w:keepNext/>
      <w:numPr>
        <w:ilvl w:val="3"/>
        <w:numId w:val="3"/>
      </w:numPr>
      <w:tabs>
        <w:tab w:val="left" w:pos="2880"/>
      </w:tabs>
      <w:spacing w:after="120"/>
      <w:outlineLvl w:val="3"/>
    </w:pPr>
    <w:rPr>
      <w:b/>
    </w:rPr>
  </w:style>
  <w:style w:type="paragraph" w:styleId="Heading5">
    <w:name w:val="heading 5"/>
    <w:basedOn w:val="Normal"/>
    <w:next w:val="ParaNum"/>
    <w:qFormat/>
    <w:rsid w:val="00ED11F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D11F1"/>
    <w:pPr>
      <w:numPr>
        <w:ilvl w:val="5"/>
        <w:numId w:val="3"/>
      </w:numPr>
      <w:tabs>
        <w:tab w:val="left" w:pos="4320"/>
      </w:tabs>
      <w:spacing w:after="120"/>
      <w:outlineLvl w:val="5"/>
    </w:pPr>
    <w:rPr>
      <w:b/>
    </w:rPr>
  </w:style>
  <w:style w:type="paragraph" w:styleId="Heading7">
    <w:name w:val="heading 7"/>
    <w:basedOn w:val="Normal"/>
    <w:next w:val="ParaNum"/>
    <w:qFormat/>
    <w:rsid w:val="00ED11F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D11F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D11F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D11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11F1"/>
  </w:style>
  <w:style w:type="paragraph" w:customStyle="1" w:styleId="ParaNum">
    <w:name w:val="ParaNum"/>
    <w:basedOn w:val="Normal"/>
    <w:link w:val="ParaNumChar1"/>
    <w:rsid w:val="00ED11F1"/>
    <w:pPr>
      <w:numPr>
        <w:numId w:val="2"/>
      </w:numPr>
      <w:tabs>
        <w:tab w:val="clear" w:pos="1080"/>
        <w:tab w:val="num" w:pos="1440"/>
      </w:tabs>
      <w:spacing w:after="120"/>
    </w:pPr>
  </w:style>
  <w:style w:type="paragraph" w:styleId="EndnoteText">
    <w:name w:val="endnote text"/>
    <w:basedOn w:val="Normal"/>
    <w:semiHidden/>
    <w:rsid w:val="00ED11F1"/>
    <w:rPr>
      <w:sz w:val="20"/>
    </w:rPr>
  </w:style>
  <w:style w:type="character" w:styleId="EndnoteReference">
    <w:name w:val="endnote reference"/>
    <w:semiHidden/>
    <w:rsid w:val="00ED11F1"/>
    <w:rPr>
      <w:vertAlign w:val="superscript"/>
    </w:rPr>
  </w:style>
  <w:style w:type="paragraph" w:styleId="FootnoteText">
    <w:name w:val="footnote text"/>
    <w:aliases w:val="ALTS FOOTNOTE,FOOTN,FOOTNOTE,Footnote Text Char Char,Footnote Text Char Char Char Char,Footnote Text Char Char Char Char Char Char1,Footnote Text Char1 Char Char,Footnote Text Char1 Char Char Char Char,Footnote Text Char2,Footnote text,fn"/>
    <w:link w:val="FootnoteTextChar"/>
    <w:rsid w:val="00ED11F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ED11F1"/>
    <w:rPr>
      <w:rFonts w:ascii="Times New Roman" w:hAnsi="Times New Roman"/>
      <w:dstrike w:val="0"/>
      <w:color w:val="auto"/>
      <w:sz w:val="20"/>
      <w:vertAlign w:val="superscript"/>
    </w:rPr>
  </w:style>
  <w:style w:type="paragraph" w:styleId="TOC1">
    <w:name w:val="toc 1"/>
    <w:basedOn w:val="Normal"/>
    <w:next w:val="Normal"/>
    <w:semiHidden/>
    <w:rsid w:val="00ED11F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D11F1"/>
    <w:pPr>
      <w:tabs>
        <w:tab w:val="left" w:pos="720"/>
        <w:tab w:val="right" w:leader="dot" w:pos="9360"/>
      </w:tabs>
      <w:suppressAutoHyphens/>
      <w:ind w:left="720" w:right="720" w:hanging="360"/>
    </w:pPr>
    <w:rPr>
      <w:noProof/>
    </w:rPr>
  </w:style>
  <w:style w:type="paragraph" w:styleId="TOC3">
    <w:name w:val="toc 3"/>
    <w:basedOn w:val="Normal"/>
    <w:next w:val="Normal"/>
    <w:semiHidden/>
    <w:rsid w:val="00ED11F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D11F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D11F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D11F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D11F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D11F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D11F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D11F1"/>
    <w:pPr>
      <w:tabs>
        <w:tab w:val="right" w:pos="9360"/>
      </w:tabs>
      <w:suppressAutoHyphens/>
    </w:pPr>
  </w:style>
  <w:style w:type="character" w:customStyle="1" w:styleId="EquationCaption">
    <w:name w:val="_Equation Caption"/>
    <w:rsid w:val="00ED11F1"/>
  </w:style>
  <w:style w:type="paragraph" w:styleId="Header">
    <w:name w:val="header"/>
    <w:basedOn w:val="Normal"/>
    <w:link w:val="HeaderChar"/>
    <w:autoRedefine/>
    <w:rsid w:val="00ED11F1"/>
    <w:pPr>
      <w:tabs>
        <w:tab w:val="center" w:pos="4680"/>
        <w:tab w:val="right" w:pos="9360"/>
      </w:tabs>
    </w:pPr>
    <w:rPr>
      <w:b/>
    </w:rPr>
  </w:style>
  <w:style w:type="paragraph" w:styleId="Footer">
    <w:name w:val="footer"/>
    <w:basedOn w:val="Normal"/>
    <w:link w:val="FooterChar"/>
    <w:uiPriority w:val="99"/>
    <w:rsid w:val="00ED11F1"/>
    <w:pPr>
      <w:tabs>
        <w:tab w:val="center" w:pos="4320"/>
        <w:tab w:val="right" w:pos="8640"/>
      </w:tabs>
    </w:pPr>
  </w:style>
  <w:style w:type="character" w:styleId="PageNumber">
    <w:name w:val="page number"/>
    <w:basedOn w:val="DefaultParagraphFont"/>
    <w:rsid w:val="00ED11F1"/>
  </w:style>
  <w:style w:type="paragraph" w:styleId="BlockText">
    <w:name w:val="Block Text"/>
    <w:basedOn w:val="Normal"/>
    <w:rsid w:val="00ED11F1"/>
    <w:pPr>
      <w:spacing w:after="240"/>
      <w:ind w:left="1440" w:right="1440"/>
    </w:pPr>
  </w:style>
  <w:style w:type="paragraph" w:customStyle="1" w:styleId="Paratitle">
    <w:name w:val="Para title"/>
    <w:basedOn w:val="Normal"/>
    <w:rsid w:val="00ED11F1"/>
    <w:pPr>
      <w:tabs>
        <w:tab w:val="center" w:pos="9270"/>
      </w:tabs>
      <w:spacing w:after="240"/>
    </w:pPr>
    <w:rPr>
      <w:spacing w:val="-2"/>
    </w:rPr>
  </w:style>
  <w:style w:type="paragraph" w:customStyle="1" w:styleId="Bullet">
    <w:name w:val="Bullet"/>
    <w:basedOn w:val="Normal"/>
    <w:rsid w:val="00ED11F1"/>
    <w:pPr>
      <w:tabs>
        <w:tab w:val="left" w:pos="2160"/>
      </w:tabs>
      <w:spacing w:after="220"/>
      <w:ind w:left="2160" w:hanging="720"/>
    </w:pPr>
  </w:style>
  <w:style w:type="paragraph" w:customStyle="1" w:styleId="TableFormat">
    <w:name w:val="TableFormat"/>
    <w:basedOn w:val="Bullet"/>
    <w:rsid w:val="00ED11F1"/>
    <w:pPr>
      <w:tabs>
        <w:tab w:val="clear" w:pos="2160"/>
        <w:tab w:val="left" w:pos="5040"/>
      </w:tabs>
      <w:ind w:left="5040" w:hanging="3600"/>
    </w:pPr>
  </w:style>
  <w:style w:type="paragraph" w:customStyle="1" w:styleId="TOCTitle">
    <w:name w:val="TOC Title"/>
    <w:basedOn w:val="Normal"/>
    <w:rsid w:val="00ED11F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D11F1"/>
    <w:pPr>
      <w:jc w:val="center"/>
    </w:pPr>
    <w:rPr>
      <w:rFonts w:ascii="Times New Roman Bold" w:hAnsi="Times New Roman Bold"/>
      <w:b/>
      <w:bCs/>
      <w:caps/>
      <w:szCs w:val="22"/>
    </w:rPr>
  </w:style>
  <w:style w:type="character" w:styleId="Hyperlink">
    <w:name w:val="Hyperlink"/>
    <w:rsid w:val="00ED11F1"/>
    <w:rPr>
      <w:color w:val="0000FF"/>
      <w:u w:val="single"/>
    </w:rPr>
  </w:style>
  <w:style w:type="character" w:customStyle="1" w:styleId="FooterChar">
    <w:name w:val="Footer Char"/>
    <w:link w:val="Footer"/>
    <w:uiPriority w:val="99"/>
    <w:rsid w:val="00ED11F1"/>
    <w:rPr>
      <w:snapToGrid w:val="0"/>
      <w:kern w:val="28"/>
      <w:sz w:val="22"/>
    </w:rPr>
  </w:style>
  <w:style w:type="paragraph" w:styleId="ListParagraph">
    <w:name w:val="List Paragraph"/>
    <w:basedOn w:val="Normal"/>
    <w:uiPriority w:val="34"/>
    <w:qFormat/>
    <w:rsid w:val="00E9177C"/>
    <w:pPr>
      <w:ind w:left="720"/>
      <w:contextualSpacing/>
    </w:pPr>
    <w:rPr>
      <w:snapToGrid/>
      <w:kern w:val="0"/>
    </w:rPr>
  </w:style>
  <w:style w:type="character" w:styleId="Emphasis">
    <w:name w:val="Emphasis"/>
    <w:uiPriority w:val="20"/>
    <w:qFormat/>
    <w:rsid w:val="00E9177C"/>
    <w:rPr>
      <w:i/>
      <w:iCs/>
    </w:rPr>
  </w:style>
  <w:style w:type="character" w:customStyle="1" w:styleId="copinpointicon">
    <w:name w:val="co_pinpointicon"/>
    <w:basedOn w:val="DefaultParagraphFont"/>
    <w:rsid w:val="00E9177C"/>
  </w:style>
  <w:style w:type="character" w:customStyle="1" w:styleId="cosearchterm">
    <w:name w:val="co_searchterm"/>
    <w:basedOn w:val="DefaultParagraphFont"/>
    <w:rsid w:val="00E9177C"/>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basedOn w:val="DefaultParagraphFont"/>
    <w:link w:val="FootnoteText"/>
    <w:rsid w:val="00E9177C"/>
  </w:style>
  <w:style w:type="character" w:styleId="CommentReference">
    <w:name w:val="annotation reference"/>
    <w:rsid w:val="00E9177C"/>
    <w:rPr>
      <w:sz w:val="16"/>
      <w:szCs w:val="16"/>
    </w:rPr>
  </w:style>
  <w:style w:type="paragraph" w:styleId="CommentText">
    <w:name w:val="annotation text"/>
    <w:basedOn w:val="Normal"/>
    <w:link w:val="CommentTextChar"/>
    <w:rsid w:val="00E9177C"/>
    <w:rPr>
      <w:sz w:val="20"/>
    </w:rPr>
  </w:style>
  <w:style w:type="character" w:customStyle="1" w:styleId="CommentTextChar">
    <w:name w:val="Comment Text Char"/>
    <w:link w:val="CommentText"/>
    <w:rsid w:val="00E9177C"/>
    <w:rPr>
      <w:snapToGrid w:val="0"/>
      <w:kern w:val="28"/>
    </w:rPr>
  </w:style>
  <w:style w:type="paragraph" w:styleId="CommentSubject">
    <w:name w:val="annotation subject"/>
    <w:basedOn w:val="CommentText"/>
    <w:next w:val="CommentText"/>
    <w:link w:val="CommentSubjectChar"/>
    <w:rsid w:val="00E9177C"/>
    <w:rPr>
      <w:b/>
      <w:bCs/>
    </w:rPr>
  </w:style>
  <w:style w:type="character" w:customStyle="1" w:styleId="CommentSubjectChar">
    <w:name w:val="Comment Subject Char"/>
    <w:link w:val="CommentSubject"/>
    <w:rsid w:val="00E9177C"/>
    <w:rPr>
      <w:b/>
      <w:bCs/>
      <w:snapToGrid w:val="0"/>
      <w:kern w:val="28"/>
    </w:rPr>
  </w:style>
  <w:style w:type="paragraph" w:styleId="Revision">
    <w:name w:val="Revision"/>
    <w:hidden/>
    <w:uiPriority w:val="99"/>
    <w:semiHidden/>
    <w:rsid w:val="00E9177C"/>
    <w:rPr>
      <w:snapToGrid w:val="0"/>
      <w:kern w:val="28"/>
      <w:sz w:val="22"/>
    </w:rPr>
  </w:style>
  <w:style w:type="character" w:customStyle="1" w:styleId="Heading1Char">
    <w:name w:val="Heading 1 Char"/>
    <w:link w:val="Heading1"/>
    <w:rsid w:val="00E9177C"/>
    <w:rPr>
      <w:rFonts w:ascii="Times New Roman Bold" w:hAnsi="Times New Roman Bold"/>
      <w:b/>
      <w:caps/>
      <w:snapToGrid w:val="0"/>
      <w:kern w:val="28"/>
      <w:sz w:val="22"/>
    </w:rPr>
  </w:style>
  <w:style w:type="character" w:styleId="UnresolvedMention">
    <w:name w:val="Unresolved Mention"/>
    <w:uiPriority w:val="99"/>
    <w:semiHidden/>
    <w:unhideWhenUsed/>
    <w:rsid w:val="00E9177C"/>
    <w:rPr>
      <w:color w:val="605E5C"/>
      <w:shd w:val="clear" w:color="auto" w:fill="E1DFDD"/>
    </w:rPr>
  </w:style>
  <w:style w:type="character" w:customStyle="1" w:styleId="ParaNumChar1">
    <w:name w:val="ParaNum Char1"/>
    <w:link w:val="ParaNum"/>
    <w:rsid w:val="00E9177C"/>
    <w:rPr>
      <w:snapToGrid w:val="0"/>
      <w:kern w:val="28"/>
      <w:sz w:val="22"/>
    </w:rPr>
  </w:style>
  <w:style w:type="character" w:customStyle="1" w:styleId="Heading2Char">
    <w:name w:val="Heading 2 Char"/>
    <w:link w:val="Heading2"/>
    <w:rsid w:val="00E9177C"/>
    <w:rPr>
      <w:b/>
      <w:snapToGrid w:val="0"/>
      <w:kern w:val="28"/>
      <w:sz w:val="22"/>
    </w:rPr>
  </w:style>
  <w:style w:type="character" w:customStyle="1" w:styleId="ParaNumChar">
    <w:name w:val="ParaNum Char"/>
    <w:rsid w:val="00E9177C"/>
    <w:rPr>
      <w:rFonts w:eastAsia="Times New Roman" w:cs="Times New Roman"/>
      <w:snapToGrid w:val="0"/>
      <w:kern w:val="28"/>
      <w:sz w:val="22"/>
      <w:szCs w:val="20"/>
    </w:rPr>
  </w:style>
  <w:style w:type="character" w:customStyle="1" w:styleId="Footnote0">
    <w:name w:val="Footnote"/>
    <w:rsid w:val="00E9177C"/>
    <w:rPr>
      <w:rFonts w:cs="Times New Roman"/>
    </w:rPr>
  </w:style>
  <w:style w:type="character" w:styleId="FollowedHyperlink">
    <w:name w:val="FollowedHyperlink"/>
    <w:rsid w:val="00E9177C"/>
    <w:rPr>
      <w:color w:val="954F72"/>
      <w:u w:val="single"/>
    </w:rPr>
  </w:style>
  <w:style w:type="character" w:customStyle="1" w:styleId="HeaderChar">
    <w:name w:val="Header Char"/>
    <w:link w:val="Header"/>
    <w:rsid w:val="00E9177C"/>
    <w:rPr>
      <w:b/>
      <w:snapToGrid w:val="0"/>
      <w:kern w:val="28"/>
      <w:sz w:val="22"/>
    </w:rPr>
  </w:style>
  <w:style w:type="character" w:customStyle="1" w:styleId="cf01">
    <w:name w:val="cf01"/>
    <w:rsid w:val="00E9177C"/>
    <w:rPr>
      <w:rFonts w:ascii="Segoe UI" w:hAnsi="Segoe UI" w:cs="Segoe UI" w:hint="default"/>
      <w:sz w:val="18"/>
      <w:szCs w:val="18"/>
    </w:rPr>
  </w:style>
  <w:style w:type="character" w:customStyle="1" w:styleId="costarpage">
    <w:name w:val="co_starpage"/>
    <w:basedOn w:val="DefaultParagraphFont"/>
    <w:rsid w:val="00E9177C"/>
  </w:style>
  <w:style w:type="character" w:customStyle="1" w:styleId="normaltextrun">
    <w:name w:val="normaltextrun"/>
    <w:basedOn w:val="DefaultParagraphFont"/>
    <w:rsid w:val="00E9177C"/>
  </w:style>
  <w:style w:type="paragraph" w:styleId="NoSpacing">
    <w:name w:val="No Spacing"/>
    <w:uiPriority w:val="1"/>
    <w:qFormat/>
    <w:rsid w:val="004B0611"/>
    <w:rPr>
      <w:rFonts w:ascii="Calibri" w:eastAsia="Calibri" w:hAnsi="Calibri"/>
      <w:sz w:val="22"/>
      <w:szCs w:val="22"/>
    </w:rPr>
  </w:style>
  <w:style w:type="character" w:customStyle="1" w:styleId="md-plain">
    <w:name w:val="md-plain"/>
    <w:basedOn w:val="DefaultParagraphFont"/>
    <w:rsid w:val="004B0611"/>
  </w:style>
  <w:style w:type="paragraph" w:customStyle="1" w:styleId="md-end-block">
    <w:name w:val="md-end-block"/>
    <w:basedOn w:val="Normal"/>
    <w:rsid w:val="0021101C"/>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