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B0611" w:rsidRPr="0021101C" w:rsidP="004B0611" w14:paraId="6703CF0E" w14:textId="03A6E0D8">
      <w:pPr>
        <w:jc w:val="center"/>
        <w:rPr>
          <w:b/>
          <w:bCs/>
          <w:szCs w:val="22"/>
        </w:rPr>
      </w:pPr>
      <w:r w:rsidRPr="0021101C">
        <w:rPr>
          <w:b/>
          <w:bCs/>
          <w:szCs w:val="22"/>
        </w:rPr>
        <w:t xml:space="preserve">DISSENTING </w:t>
      </w:r>
      <w:r w:rsidRPr="0021101C">
        <w:rPr>
          <w:b/>
          <w:bCs/>
          <w:szCs w:val="22"/>
        </w:rPr>
        <w:t>STATEMENT OF</w:t>
      </w:r>
    </w:p>
    <w:p w:rsidR="004B0611" w:rsidRPr="0021101C" w:rsidP="004B0611" w14:paraId="182B4480" w14:textId="77777777">
      <w:pPr>
        <w:jc w:val="center"/>
        <w:rPr>
          <w:b/>
          <w:bCs/>
          <w:szCs w:val="22"/>
        </w:rPr>
      </w:pPr>
      <w:r w:rsidRPr="0021101C">
        <w:rPr>
          <w:b/>
          <w:bCs/>
          <w:szCs w:val="22"/>
        </w:rPr>
        <w:t>COMMISSIONER NATHAN SIMINGTON</w:t>
      </w:r>
    </w:p>
    <w:p w:rsidR="0021101C" w:rsidRPr="0021101C" w:rsidP="0021101C" w14:paraId="2ECE696F" w14:textId="3632F547">
      <w:pPr>
        <w:rPr>
          <w:rStyle w:val="md-plain"/>
          <w:szCs w:val="22"/>
        </w:rPr>
      </w:pPr>
    </w:p>
    <w:p w:rsidR="0021101C" w:rsidRPr="0021101C" w:rsidP="0021101C" w14:paraId="3FAFA450" w14:textId="77777777">
      <w:pPr>
        <w:pStyle w:val="md-end-block"/>
        <w:widowControl w:val="0"/>
        <w:spacing w:before="0" w:beforeAutospacing="0" w:after="0" w:afterAutospacing="0"/>
        <w:ind w:left="720" w:hanging="720"/>
        <w:rPr>
          <w:rStyle w:val="md-plain"/>
          <w:sz w:val="22"/>
          <w:szCs w:val="22"/>
        </w:rPr>
      </w:pPr>
      <w:r w:rsidRPr="0021101C">
        <w:rPr>
          <w:rStyle w:val="md-plain"/>
          <w:sz w:val="22"/>
          <w:szCs w:val="22"/>
        </w:rPr>
        <w:t>Re:</w:t>
      </w:r>
      <w:r w:rsidRPr="0021101C">
        <w:rPr>
          <w:rStyle w:val="md-plain"/>
          <w:sz w:val="22"/>
          <w:szCs w:val="22"/>
        </w:rPr>
        <w:tab/>
      </w:r>
      <w:r w:rsidRPr="0021101C">
        <w:rPr>
          <w:rStyle w:val="md-plain"/>
          <w:i/>
          <w:iCs/>
          <w:sz w:val="22"/>
          <w:szCs w:val="22"/>
        </w:rPr>
        <w:t>2018 Quadrennial Regulatory Review – Review of the Commission’s Broadcast Ownership Rules and Other Rules Adopted Pursuant to Section 202 of the Telecommunications Act of 1996</w:t>
      </w:r>
      <w:r w:rsidRPr="0021101C">
        <w:rPr>
          <w:rStyle w:val="md-plain"/>
          <w:sz w:val="22"/>
          <w:szCs w:val="22"/>
        </w:rPr>
        <w:t>, MB Docket No. 18-349, Report and Order.</w:t>
      </w:r>
    </w:p>
    <w:p w:rsidR="0021101C" w:rsidRPr="0021101C" w:rsidP="0021101C" w14:paraId="503F547F" w14:textId="77777777">
      <w:pPr>
        <w:pStyle w:val="md-end-block"/>
        <w:widowControl w:val="0"/>
        <w:spacing w:before="0" w:beforeAutospacing="0" w:after="0" w:afterAutospacing="0"/>
        <w:rPr>
          <w:rStyle w:val="md-plain"/>
          <w:sz w:val="22"/>
          <w:szCs w:val="22"/>
        </w:rPr>
      </w:pPr>
    </w:p>
    <w:p w:rsidR="0021101C" w:rsidRPr="0021101C" w:rsidP="0021101C" w14:paraId="28997843" w14:textId="77777777">
      <w:pPr>
        <w:pStyle w:val="md-end-block"/>
        <w:widowControl w:val="0"/>
        <w:spacing w:before="0" w:beforeAutospacing="0" w:after="0" w:afterAutospacing="0"/>
        <w:ind w:firstLine="720"/>
        <w:rPr>
          <w:rStyle w:val="md-plain"/>
          <w:sz w:val="22"/>
          <w:szCs w:val="22"/>
        </w:rPr>
      </w:pPr>
      <w:r w:rsidRPr="0021101C">
        <w:rPr>
          <w:rStyle w:val="md-plain"/>
          <w:sz w:val="22"/>
          <w:szCs w:val="22"/>
        </w:rPr>
        <w:t>I dissent from this item, which represents poor policy and an illegal reading of our statute and rules.</w:t>
      </w:r>
    </w:p>
    <w:p w:rsidR="0021101C" w:rsidRPr="0021101C" w:rsidP="0021101C" w14:paraId="22A759F0" w14:textId="77777777">
      <w:pPr>
        <w:pStyle w:val="md-end-block"/>
        <w:widowControl w:val="0"/>
        <w:spacing w:before="0" w:beforeAutospacing="0" w:after="0" w:afterAutospacing="0"/>
        <w:ind w:firstLine="720"/>
        <w:rPr>
          <w:sz w:val="22"/>
          <w:szCs w:val="22"/>
        </w:rPr>
      </w:pPr>
    </w:p>
    <w:p w:rsidR="0021101C" w:rsidRPr="0021101C" w:rsidP="0021101C" w14:paraId="09321D7D" w14:textId="77777777">
      <w:pPr>
        <w:pStyle w:val="md-end-block"/>
        <w:widowControl w:val="0"/>
        <w:spacing w:before="0" w:beforeAutospacing="0" w:after="0" w:afterAutospacing="0"/>
        <w:ind w:firstLine="720"/>
        <w:rPr>
          <w:rStyle w:val="md-plain"/>
          <w:sz w:val="22"/>
          <w:szCs w:val="22"/>
        </w:rPr>
      </w:pPr>
      <w:r w:rsidRPr="0021101C">
        <w:rPr>
          <w:rStyle w:val="md-plain"/>
          <w:sz w:val="22"/>
          <w:szCs w:val="22"/>
        </w:rPr>
        <w:t xml:space="preserve">Let us start with the illegal portion.  Section 202(h) of the Act requires that the Commission, </w:t>
      </w:r>
      <w:r w:rsidRPr="0021101C">
        <w:rPr>
          <w:rStyle w:val="md-plain"/>
          <w:i/>
          <w:iCs/>
          <w:sz w:val="22"/>
          <w:szCs w:val="22"/>
        </w:rPr>
        <w:t>as the result of competition</w:t>
      </w:r>
      <w:r w:rsidRPr="0021101C">
        <w:rPr>
          <w:rStyle w:val="md-plain"/>
          <w:sz w:val="22"/>
          <w:szCs w:val="22"/>
        </w:rPr>
        <w:t xml:space="preserve">, repeal or modify any rule that is no longer in the public interest.  What this does not mean, and what this cannot mean, is that the Commission properly may wedge in new, burdensome rules on broadcasters who are, at present, being </w:t>
      </w:r>
      <w:r w:rsidRPr="0021101C">
        <w:rPr>
          <w:rStyle w:val="md-plain"/>
          <w:i/>
          <w:iCs/>
          <w:sz w:val="22"/>
          <w:szCs w:val="22"/>
        </w:rPr>
        <w:t>outcompeted</w:t>
      </w:r>
      <w:r w:rsidRPr="0021101C">
        <w:rPr>
          <w:rStyle w:val="md-plain"/>
          <w:sz w:val="22"/>
          <w:szCs w:val="22"/>
        </w:rPr>
        <w:t xml:space="preserve"> in the video marketplace under the guise of "loophole closing" in the so-called public interest.  It cannot.  By not merely ignoring the competitive realities of the modern video marketplace, but indeed turning them on their head, this Commission, yet again, fails to understand the meaning of the word "result."  Section 202(h) requires that a competitive analysis </w:t>
      </w:r>
      <w:r w:rsidRPr="0021101C">
        <w:rPr>
          <w:rStyle w:val="md-plain"/>
          <w:i/>
          <w:iCs/>
          <w:sz w:val="22"/>
          <w:szCs w:val="22"/>
        </w:rPr>
        <w:t>drive</w:t>
      </w:r>
      <w:r w:rsidRPr="0021101C">
        <w:rPr>
          <w:rStyle w:val="md-plain"/>
          <w:sz w:val="22"/>
          <w:szCs w:val="22"/>
        </w:rPr>
        <w:t xml:space="preserve"> the "repeal or modification" of rules, not sit along for in the back seat for the ride.</w:t>
      </w:r>
    </w:p>
    <w:p w:rsidR="0021101C" w:rsidRPr="0021101C" w:rsidP="0021101C" w14:paraId="62A1FAF5" w14:textId="77777777">
      <w:pPr>
        <w:pStyle w:val="md-end-block"/>
        <w:widowControl w:val="0"/>
        <w:spacing w:before="0" w:beforeAutospacing="0" w:after="0" w:afterAutospacing="0"/>
        <w:ind w:firstLine="720"/>
        <w:rPr>
          <w:sz w:val="22"/>
          <w:szCs w:val="22"/>
        </w:rPr>
      </w:pPr>
    </w:p>
    <w:p w:rsidR="0021101C" w:rsidRPr="0021101C" w:rsidP="0021101C" w14:paraId="7B256BD5" w14:textId="77777777">
      <w:pPr>
        <w:pStyle w:val="md-end-block"/>
        <w:widowControl w:val="0"/>
        <w:spacing w:before="0" w:beforeAutospacing="0" w:after="0" w:afterAutospacing="0"/>
        <w:ind w:firstLine="720"/>
        <w:rPr>
          <w:rStyle w:val="md-plain"/>
          <w:sz w:val="22"/>
          <w:szCs w:val="22"/>
        </w:rPr>
      </w:pPr>
      <w:r w:rsidRPr="0021101C">
        <w:rPr>
          <w:rStyle w:val="md-plain"/>
          <w:sz w:val="22"/>
          <w:szCs w:val="22"/>
        </w:rPr>
        <w:t xml:space="preserve">Speaking of being taken for a ride, the American people, at the hands of the so-called public interest groups, yet again lose.  The item is at pains to point out that local news production has actually </w:t>
      </w:r>
      <w:r w:rsidRPr="0021101C">
        <w:rPr>
          <w:rStyle w:val="md-plain"/>
          <w:i/>
          <w:iCs/>
          <w:sz w:val="22"/>
          <w:szCs w:val="22"/>
        </w:rPr>
        <w:t>increased</w:t>
      </w:r>
      <w:r w:rsidRPr="0021101C">
        <w:rPr>
          <w:rStyle w:val="md-plain"/>
          <w:sz w:val="22"/>
          <w:szCs w:val="22"/>
        </w:rPr>
        <w:t xml:space="preserve"> in recent years in small DMAs.  Tabling the truth of the issue, let us stipulate to it for the purposes of argument.  The increase would be a direct result of station groups recognizing that local news is one of their two competitive advantages (the other being sports), and consequently </w:t>
      </w:r>
      <w:r w:rsidRPr="0021101C">
        <w:rPr>
          <w:rStyle w:val="md-plain"/>
          <w:i/>
          <w:iCs/>
          <w:sz w:val="22"/>
          <w:szCs w:val="22"/>
        </w:rPr>
        <w:t>investing</w:t>
      </w:r>
      <w:r w:rsidRPr="0021101C">
        <w:rPr>
          <w:rStyle w:val="md-plain"/>
          <w:sz w:val="22"/>
          <w:szCs w:val="22"/>
        </w:rPr>
        <w:t xml:space="preserve"> in its production.  And, </w:t>
      </w:r>
      <w:r w:rsidRPr="0021101C">
        <w:rPr>
          <w:rStyle w:val="md-plain"/>
          <w:i/>
          <w:iCs/>
          <w:sz w:val="22"/>
          <w:szCs w:val="22"/>
        </w:rPr>
        <w:t>as a result of competition</w:t>
      </w:r>
      <w:r w:rsidRPr="0021101C">
        <w:rPr>
          <w:rStyle w:val="md-plain"/>
          <w:sz w:val="22"/>
          <w:szCs w:val="22"/>
        </w:rPr>
        <w:t xml:space="preserve">—the very competition </w:t>
      </w:r>
      <w:r w:rsidRPr="0021101C">
        <w:rPr>
          <w:rStyle w:val="md-plain"/>
          <w:i/>
          <w:iCs/>
          <w:sz w:val="22"/>
          <w:szCs w:val="22"/>
        </w:rPr>
        <w:t>driving</w:t>
      </w:r>
      <w:r w:rsidRPr="0021101C">
        <w:rPr>
          <w:rStyle w:val="md-plain"/>
          <w:sz w:val="22"/>
          <w:szCs w:val="22"/>
        </w:rPr>
        <w:t xml:space="preserve"> the production of local content—the Commission will now </w:t>
      </w:r>
      <w:r w:rsidRPr="0021101C">
        <w:rPr>
          <w:rStyle w:val="md-plain"/>
          <w:i/>
          <w:iCs/>
          <w:sz w:val="22"/>
          <w:szCs w:val="22"/>
        </w:rPr>
        <w:t>undercut</w:t>
      </w:r>
      <w:r w:rsidRPr="0021101C">
        <w:rPr>
          <w:rStyle w:val="md-plain"/>
          <w:sz w:val="22"/>
          <w:szCs w:val="22"/>
        </w:rPr>
        <w:t xml:space="preserve"> those gains in localism by making investing in small DMAs a less attractive commercial proposition?  And this, as we are admonished in the item, is in the public interest, actually?  Given that the Commission is, in this item, transporting itself back in time to the age of broadcast tycoons, perhaps a "Hello, McFly?" is warranted.</w:t>
      </w:r>
    </w:p>
    <w:p w:rsidR="0021101C" w:rsidRPr="0021101C" w:rsidP="0021101C" w14:paraId="65A6BA9F" w14:textId="77777777">
      <w:pPr>
        <w:pStyle w:val="md-end-block"/>
        <w:widowControl w:val="0"/>
        <w:spacing w:before="0" w:beforeAutospacing="0" w:after="0" w:afterAutospacing="0"/>
        <w:ind w:firstLine="720"/>
        <w:rPr>
          <w:sz w:val="22"/>
          <w:szCs w:val="22"/>
        </w:rPr>
      </w:pPr>
    </w:p>
    <w:p w:rsidR="0021101C" w:rsidRPr="0021101C" w:rsidP="0021101C" w14:paraId="4852437F" w14:textId="77777777">
      <w:pPr>
        <w:pStyle w:val="md-end-block"/>
        <w:widowControl w:val="0"/>
        <w:spacing w:before="0" w:beforeAutospacing="0" w:after="0" w:afterAutospacing="0"/>
        <w:ind w:firstLine="720"/>
        <w:rPr>
          <w:rStyle w:val="md-plain"/>
          <w:sz w:val="22"/>
          <w:szCs w:val="22"/>
        </w:rPr>
      </w:pPr>
      <w:r w:rsidRPr="0021101C">
        <w:rPr>
          <w:rStyle w:val="md-plain"/>
          <w:sz w:val="22"/>
          <w:szCs w:val="22"/>
        </w:rPr>
        <w:t>The fully novel application of this item's approach to extending the Local Television Ownership Rule to multicast streams and low power stations (which will impact principally smaller DMAs where it is not even arguable that broadcasters are "winning" in the video marketplace) is without factual foundation and flies in the face of the essentially de-regulatory precedent of the Quadrennial Review.  This decision is anti-localism and hastens the death of local news in small markets, and it does so on the thinnest of gruels supplied in the factual record.  The item tells a just-so story about viewpoint diversity and public interest while, at the same time, destroying the asset value of the very small market stations providing what limited viewpoint diversity remains.  The Commission did not kill local print journalism, but it prepaid its ticket across the Styx, and today's decision is a second punch in the loyalty card.</w:t>
      </w:r>
    </w:p>
    <w:p w:rsidR="0021101C" w:rsidRPr="0021101C" w:rsidP="0021101C" w14:paraId="16F441E5" w14:textId="77777777">
      <w:pPr>
        <w:pStyle w:val="md-end-block"/>
        <w:widowControl w:val="0"/>
        <w:spacing w:before="0" w:beforeAutospacing="0" w:after="0" w:afterAutospacing="0"/>
        <w:ind w:firstLine="720"/>
        <w:rPr>
          <w:sz w:val="22"/>
          <w:szCs w:val="22"/>
        </w:rPr>
      </w:pPr>
    </w:p>
    <w:p w:rsidR="0021101C" w:rsidRPr="0021101C" w:rsidP="0021101C" w14:paraId="3390B11A" w14:textId="77777777">
      <w:pPr>
        <w:pStyle w:val="md-end-block"/>
        <w:widowControl w:val="0"/>
        <w:spacing w:before="0" w:beforeAutospacing="0" w:after="0" w:afterAutospacing="0"/>
        <w:ind w:firstLine="720"/>
        <w:rPr>
          <w:sz w:val="22"/>
          <w:szCs w:val="22"/>
        </w:rPr>
      </w:pPr>
      <w:r w:rsidRPr="0021101C">
        <w:rPr>
          <w:rStyle w:val="md-plain"/>
          <w:sz w:val="22"/>
          <w:szCs w:val="22"/>
        </w:rPr>
        <w:t xml:space="preserve">Briefly, the Commission </w:t>
      </w:r>
      <w:r w:rsidRPr="0021101C">
        <w:rPr>
          <w:rStyle w:val="md-plain"/>
          <w:i/>
          <w:iCs/>
          <w:sz w:val="22"/>
          <w:szCs w:val="22"/>
        </w:rPr>
        <w:t>also</w:t>
      </w:r>
      <w:r w:rsidRPr="0021101C">
        <w:rPr>
          <w:rStyle w:val="md-plain"/>
          <w:sz w:val="22"/>
          <w:szCs w:val="22"/>
        </w:rPr>
        <w:t xml:space="preserve"> should have eliminated or loosened the Local Radio Ownership Rule, as the factual record regarding the competitive environment in the audio marketplace clearly supports that conclusion.  Yet it is not to be.  The Commission here, in the name of public interest, viewpoint diversity, and </w:t>
      </w:r>
      <w:r w:rsidRPr="0021101C">
        <w:rPr>
          <w:rStyle w:val="md-plain"/>
          <w:i/>
          <w:iCs/>
          <w:sz w:val="22"/>
          <w:szCs w:val="22"/>
        </w:rPr>
        <w:t>competition</w:t>
      </w:r>
      <w:r w:rsidRPr="0021101C">
        <w:rPr>
          <w:rStyle w:val="md-plain"/>
          <w:sz w:val="22"/>
          <w:szCs w:val="22"/>
        </w:rPr>
        <w:t>, valiantly relies on the national industry incumbent—whose commercial dominance in the radio marketplace would be hurt by elimination of the rule—to make its arguments for it.  Just so.</w:t>
      </w:r>
    </w:p>
    <w:p w:rsidR="00E9177C" w:rsidRPr="0021101C" w:rsidP="0021101C" w14:paraId="7AF99733" w14:textId="50E71427">
      <w:pPr>
        <w:pStyle w:val="NoSpacing"/>
        <w:ind w:left="720" w:hanging="720"/>
      </w:pPr>
    </w:p>
    <w:sectPr>
      <w:headerReference w:type="default" r:id="rId4"/>
      <w:footerReference w:type="even" r:id="rId5"/>
      <w:footerReference w:type="default" r:id="rId6"/>
      <w:headerReference w:type="first" r:id="rId7"/>
      <w:footerReference w:type="firs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4223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6B9B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B0611" w:rsidP="004B0611" w14:paraId="7FAA814B" w14:textId="364570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0DF" w14:paraId="5434835C" w14:textId="77777777">
    <w:pPr>
      <w:pStyle w:val="Footer"/>
      <w:jc w:val="center"/>
    </w:pPr>
    <w:r>
      <w:t>16</w:t>
    </w:r>
  </w:p>
  <w:p w:rsidR="00D25FB5" w:rsidP="00941B53" w14:paraId="7DA036BC" w14:textId="77777777">
    <w:pPr>
      <w:pStyle w:val="Footer"/>
      <w:tabs>
        <w:tab w:val="clear" w:pos="864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D3F5D" w:rsidP="008F4EF1" w14:paraId="07526C23" w14:textId="2B67DCD4">
    <w:pPr>
      <w:pStyle w:val="Header"/>
    </w:pPr>
    <w:r w:rsidRPr="00FD3F5D">
      <w:tab/>
      <w:t>Federal Communications Commission</w:t>
    </w:r>
    <w:r w:rsidRPr="00FD3F5D">
      <w:tab/>
    </w:r>
    <w:r w:rsidR="00D910DF">
      <w:t>FCC 23-11</w:t>
    </w:r>
    <w:r w:rsidR="0021101C">
      <w:t>7</w:t>
    </w:r>
  </w:p>
  <w:p w:rsidR="00D25FB5" w:rsidRPr="00FD3F5D" w14:paraId="000B3E61" w14:textId="6699746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rsidRPr="00FD3F5D" w14:paraId="4A64C38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4EF1" w14:paraId="692D7E7D" w14:textId="0DE3EE41">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28301F">
      <w:fldChar w:fldCharType="begin"/>
    </w:r>
    <w:r w:rsidR="0028301F">
      <w:instrText xml:space="preserve"> MACROBUTTON  Overtype "FCC  XX-XXX" </w:instrText>
    </w:r>
    <w:r w:rsidR="002830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1DB6"/>
    <w:multiLevelType w:val="hybridMultilevel"/>
    <w:tmpl w:val="2F5E953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256071"/>
    <w:multiLevelType w:val="hybridMultilevel"/>
    <w:tmpl w:val="0EC87CE4"/>
    <w:lvl w:ilvl="0">
      <w:start w:val="2004"/>
      <w:numFmt w:val="decimal"/>
      <w:lvlText w:val="%1"/>
      <w:lvlJc w:val="left"/>
      <w:pPr>
        <w:ind w:left="792" w:hanging="43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114C8"/>
    <w:multiLevelType w:val="hybridMultilevel"/>
    <w:tmpl w:val="4B98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626C0E"/>
    <w:multiLevelType w:val="hybridMultilevel"/>
    <w:tmpl w:val="2F32FC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FD0087"/>
    <w:multiLevelType w:val="hybridMultilevel"/>
    <w:tmpl w:val="B32E5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C679C9"/>
    <w:multiLevelType w:val="hybridMultilevel"/>
    <w:tmpl w:val="7618F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10431D"/>
    <w:multiLevelType w:val="hybridMultilevel"/>
    <w:tmpl w:val="243C8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E73D8D"/>
    <w:multiLevelType w:val="hybridMultilevel"/>
    <w:tmpl w:val="FD20457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3">
    <w:nsid w:val="455471CF"/>
    <w:multiLevelType w:val="hybridMultilevel"/>
    <w:tmpl w:val="5F64F510"/>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E12239"/>
    <w:multiLevelType w:val="hybridMultilevel"/>
    <w:tmpl w:val="51745D1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BBC646E"/>
    <w:multiLevelType w:val="hybridMultilevel"/>
    <w:tmpl w:val="4DA0687C"/>
    <w:lvl w:ilvl="0">
      <w:start w:val="2004"/>
      <w:numFmt w:val="decimal"/>
      <w:lvlText w:val="%1"/>
      <w:lvlJc w:val="left"/>
      <w:pPr>
        <w:ind w:left="432" w:hanging="432"/>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176C7A"/>
    <w:multiLevelType w:val="hybridMultilevel"/>
    <w:tmpl w:val="BE7AF73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77764A3B"/>
    <w:multiLevelType w:val="hybridMultilevel"/>
    <w:tmpl w:val="DD3266E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num w:numId="1">
    <w:abstractNumId w:val="4"/>
  </w:num>
  <w:num w:numId="2">
    <w:abstractNumId w:val="17"/>
  </w:num>
  <w:num w:numId="3">
    <w:abstractNumId w:val="6"/>
  </w:num>
  <w:num w:numId="4">
    <w:abstractNumId w:val="14"/>
  </w:num>
  <w:num w:numId="5">
    <w:abstractNumId w:val="5"/>
  </w:num>
  <w:num w:numId="6">
    <w:abstractNumId w:val="1"/>
  </w:num>
  <w:num w:numId="7">
    <w:abstractNumId w:val="9"/>
  </w:num>
  <w:num w:numId="8">
    <w:abstractNumId w:val="7"/>
  </w:num>
  <w:num w:numId="9">
    <w:abstractNumId w:val="11"/>
  </w:num>
  <w:num w:numId="10">
    <w:abstractNumId w:val="8"/>
  </w:num>
  <w:num w:numId="11">
    <w:abstractNumId w:val="10"/>
  </w:num>
  <w:num w:numId="12">
    <w:abstractNumId w:val="17"/>
    <w:lvlOverride w:ilvl="0">
      <w:startOverride w:val="1"/>
    </w:lvlOverride>
  </w:num>
  <w:num w:numId="13">
    <w:abstractNumId w:val="0"/>
  </w:num>
  <w:num w:numId="14">
    <w:abstractNumId w:val="16"/>
  </w:num>
  <w:num w:numId="15">
    <w:abstractNumId w:val="20"/>
  </w:num>
  <w:num w:numId="16">
    <w:abstractNumId w:val="3"/>
  </w:num>
  <w:num w:numId="17">
    <w:abstractNumId w:val="18"/>
  </w:num>
  <w:num w:numId="18">
    <w:abstractNumId w:val="17"/>
    <w:lvlOverride w:ilvl="0">
      <w:startOverride w:val="1"/>
    </w:lvlOverride>
  </w:num>
  <w:num w:numId="19">
    <w:abstractNumId w:val="13"/>
  </w:num>
  <w:num w:numId="20">
    <w:abstractNumId w:val="17"/>
    <w:lvlOverride w:ilvl="0">
      <w:startOverride w:val="1"/>
    </w:lvlOverride>
  </w:num>
  <w:num w:numId="21">
    <w:abstractNumId w:val="2"/>
  </w:num>
  <w:num w:numId="22">
    <w:abstractNumId w:val="17"/>
    <w:lvlOverride w:ilvl="0">
      <w:startOverride w:val="1"/>
    </w:lvlOverride>
  </w:num>
  <w:num w:numId="23">
    <w:abstractNumId w:val="15"/>
    <w:lvlOverride w:ilvl="0">
      <w:startOverride w:val="1"/>
    </w:lvlOverride>
  </w:num>
  <w:num w:numId="24">
    <w:abstractNumId w:val="17"/>
    <w:lvlOverride w:ilvl="0">
      <w:startOverride w:val="2"/>
    </w:lvlOverride>
  </w:num>
  <w:num w:numId="25">
    <w:abstractNumId w:val="17"/>
    <w:lvlOverride w:ilvl="0">
      <w:startOverride w:val="2"/>
    </w:lvlOverride>
  </w:num>
  <w:num w:numId="26">
    <w:abstractNumId w:val="15"/>
  </w:num>
  <w:num w:numId="27">
    <w:abstractNumId w:val="17"/>
    <w:lvlOverride w:ilvl="0">
      <w:startOverride w:val="1"/>
    </w:lvlOverride>
  </w:num>
  <w:num w:numId="28">
    <w:abstractNumId w:val="17"/>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1101C"/>
    <w:rsid w:val="002757C1"/>
    <w:rsid w:val="00275CF5"/>
    <w:rsid w:val="0028301F"/>
    <w:rsid w:val="00285017"/>
    <w:rsid w:val="002A2D2E"/>
    <w:rsid w:val="002A627D"/>
    <w:rsid w:val="002C00E8"/>
    <w:rsid w:val="002E33D1"/>
    <w:rsid w:val="00343749"/>
    <w:rsid w:val="003660ED"/>
    <w:rsid w:val="003B0550"/>
    <w:rsid w:val="003B694F"/>
    <w:rsid w:val="003F171C"/>
    <w:rsid w:val="00412FC5"/>
    <w:rsid w:val="00422276"/>
    <w:rsid w:val="004242F1"/>
    <w:rsid w:val="00445A00"/>
    <w:rsid w:val="00451B0F"/>
    <w:rsid w:val="004B0611"/>
    <w:rsid w:val="004C2EE3"/>
    <w:rsid w:val="004E4A22"/>
    <w:rsid w:val="00511968"/>
    <w:rsid w:val="0055614C"/>
    <w:rsid w:val="00561DFD"/>
    <w:rsid w:val="00566D06"/>
    <w:rsid w:val="005E14C2"/>
    <w:rsid w:val="00607BA5"/>
    <w:rsid w:val="0061180A"/>
    <w:rsid w:val="00626EB6"/>
    <w:rsid w:val="00655D03"/>
    <w:rsid w:val="0067135F"/>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3C83"/>
    <w:rsid w:val="008F4EF1"/>
    <w:rsid w:val="00921803"/>
    <w:rsid w:val="00926503"/>
    <w:rsid w:val="00941B53"/>
    <w:rsid w:val="009726D8"/>
    <w:rsid w:val="009D7308"/>
    <w:rsid w:val="009F76DB"/>
    <w:rsid w:val="00A32C3B"/>
    <w:rsid w:val="00A45F4F"/>
    <w:rsid w:val="00A600A9"/>
    <w:rsid w:val="00A91C4A"/>
    <w:rsid w:val="00AA55B7"/>
    <w:rsid w:val="00AA5B9E"/>
    <w:rsid w:val="00AB21E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910DF"/>
    <w:rsid w:val="00DA092A"/>
    <w:rsid w:val="00DA2529"/>
    <w:rsid w:val="00DB130A"/>
    <w:rsid w:val="00DB2EBB"/>
    <w:rsid w:val="00DC10A1"/>
    <w:rsid w:val="00DC655F"/>
    <w:rsid w:val="00DD0B59"/>
    <w:rsid w:val="00DD7EBD"/>
    <w:rsid w:val="00DF62B6"/>
    <w:rsid w:val="00E07225"/>
    <w:rsid w:val="00E5409F"/>
    <w:rsid w:val="00E9177C"/>
    <w:rsid w:val="00E954D1"/>
    <w:rsid w:val="00EE6488"/>
    <w:rsid w:val="00F021FA"/>
    <w:rsid w:val="00F62E97"/>
    <w:rsid w:val="00F64209"/>
    <w:rsid w:val="00F93BF5"/>
    <w:rsid w:val="00FD3F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31C914"/>
  <w15:chartTrackingRefBased/>
  <w15:docId w15:val="{EB3F1F5B-9F25-4C6A-A510-C4AE8203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01C"/>
    <w:pPr>
      <w:widowControl w:val="0"/>
    </w:pPr>
    <w:rPr>
      <w:snapToGrid w:val="0"/>
      <w:kern w:val="28"/>
      <w:sz w:val="22"/>
    </w:rPr>
  </w:style>
  <w:style w:type="paragraph" w:styleId="Heading1">
    <w:name w:val="heading 1"/>
    <w:basedOn w:val="Normal"/>
    <w:next w:val="ParaNum"/>
    <w:link w:val="Heading1Char"/>
    <w:qFormat/>
    <w:rsid w:val="002110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101C"/>
    <w:pPr>
      <w:keepNext/>
      <w:numPr>
        <w:ilvl w:val="1"/>
        <w:numId w:val="3"/>
      </w:numPr>
      <w:spacing w:after="120"/>
      <w:outlineLvl w:val="1"/>
    </w:pPr>
    <w:rPr>
      <w:b/>
    </w:rPr>
  </w:style>
  <w:style w:type="paragraph" w:styleId="Heading3">
    <w:name w:val="heading 3"/>
    <w:basedOn w:val="Normal"/>
    <w:next w:val="ParaNum"/>
    <w:qFormat/>
    <w:rsid w:val="0021101C"/>
    <w:pPr>
      <w:keepNext/>
      <w:numPr>
        <w:ilvl w:val="2"/>
        <w:numId w:val="3"/>
      </w:numPr>
      <w:tabs>
        <w:tab w:val="left" w:pos="2160"/>
      </w:tabs>
      <w:spacing w:after="120"/>
      <w:outlineLvl w:val="2"/>
    </w:pPr>
    <w:rPr>
      <w:b/>
    </w:rPr>
  </w:style>
  <w:style w:type="paragraph" w:styleId="Heading4">
    <w:name w:val="heading 4"/>
    <w:basedOn w:val="Normal"/>
    <w:next w:val="ParaNum"/>
    <w:qFormat/>
    <w:rsid w:val="0021101C"/>
    <w:pPr>
      <w:keepNext/>
      <w:numPr>
        <w:ilvl w:val="3"/>
        <w:numId w:val="3"/>
      </w:numPr>
      <w:tabs>
        <w:tab w:val="left" w:pos="2880"/>
      </w:tabs>
      <w:spacing w:after="120"/>
      <w:outlineLvl w:val="3"/>
    </w:pPr>
    <w:rPr>
      <w:b/>
    </w:rPr>
  </w:style>
  <w:style w:type="paragraph" w:styleId="Heading5">
    <w:name w:val="heading 5"/>
    <w:basedOn w:val="Normal"/>
    <w:next w:val="ParaNum"/>
    <w:qFormat/>
    <w:rsid w:val="002110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101C"/>
    <w:pPr>
      <w:numPr>
        <w:ilvl w:val="5"/>
        <w:numId w:val="3"/>
      </w:numPr>
      <w:tabs>
        <w:tab w:val="left" w:pos="4320"/>
      </w:tabs>
      <w:spacing w:after="120"/>
      <w:outlineLvl w:val="5"/>
    </w:pPr>
    <w:rPr>
      <w:b/>
    </w:rPr>
  </w:style>
  <w:style w:type="paragraph" w:styleId="Heading7">
    <w:name w:val="heading 7"/>
    <w:basedOn w:val="Normal"/>
    <w:next w:val="ParaNum"/>
    <w:qFormat/>
    <w:rsid w:val="002110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10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10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10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01C"/>
  </w:style>
  <w:style w:type="paragraph" w:customStyle="1" w:styleId="ParaNum">
    <w:name w:val="ParaNum"/>
    <w:basedOn w:val="Normal"/>
    <w:link w:val="ParaNumChar1"/>
    <w:rsid w:val="0021101C"/>
    <w:pPr>
      <w:numPr>
        <w:numId w:val="2"/>
      </w:numPr>
      <w:tabs>
        <w:tab w:val="clear" w:pos="1080"/>
        <w:tab w:val="num" w:pos="1440"/>
      </w:tabs>
      <w:spacing w:after="120"/>
    </w:pPr>
  </w:style>
  <w:style w:type="paragraph" w:styleId="EndnoteText">
    <w:name w:val="endnote text"/>
    <w:basedOn w:val="Normal"/>
    <w:semiHidden/>
    <w:rsid w:val="0021101C"/>
    <w:rPr>
      <w:sz w:val="20"/>
    </w:rPr>
  </w:style>
  <w:style w:type="character" w:styleId="EndnoteReference">
    <w:name w:val="endnote reference"/>
    <w:semiHidden/>
    <w:rsid w:val="0021101C"/>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21101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101C"/>
    <w:rPr>
      <w:rFonts w:ascii="Times New Roman" w:hAnsi="Times New Roman"/>
      <w:dstrike w:val="0"/>
      <w:color w:val="auto"/>
      <w:sz w:val="20"/>
      <w:vertAlign w:val="superscript"/>
    </w:rPr>
  </w:style>
  <w:style w:type="paragraph" w:styleId="TOC1">
    <w:name w:val="toc 1"/>
    <w:basedOn w:val="Normal"/>
    <w:next w:val="Normal"/>
    <w:semiHidden/>
    <w:rsid w:val="002110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101C"/>
    <w:pPr>
      <w:tabs>
        <w:tab w:val="left" w:pos="720"/>
        <w:tab w:val="right" w:leader="dot" w:pos="9360"/>
      </w:tabs>
      <w:suppressAutoHyphens/>
      <w:ind w:left="720" w:right="720" w:hanging="360"/>
    </w:pPr>
    <w:rPr>
      <w:noProof/>
    </w:rPr>
  </w:style>
  <w:style w:type="paragraph" w:styleId="TOC3">
    <w:name w:val="toc 3"/>
    <w:basedOn w:val="Normal"/>
    <w:next w:val="Normal"/>
    <w:semiHidden/>
    <w:rsid w:val="002110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10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10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10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10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10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10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101C"/>
    <w:pPr>
      <w:tabs>
        <w:tab w:val="right" w:pos="9360"/>
      </w:tabs>
      <w:suppressAutoHyphens/>
    </w:pPr>
  </w:style>
  <w:style w:type="character" w:customStyle="1" w:styleId="EquationCaption">
    <w:name w:val="_Equation Caption"/>
    <w:rsid w:val="0021101C"/>
  </w:style>
  <w:style w:type="paragraph" w:styleId="Header">
    <w:name w:val="header"/>
    <w:basedOn w:val="Normal"/>
    <w:link w:val="HeaderChar"/>
    <w:autoRedefine/>
    <w:rsid w:val="0021101C"/>
    <w:pPr>
      <w:tabs>
        <w:tab w:val="center" w:pos="4680"/>
        <w:tab w:val="right" w:pos="9360"/>
      </w:tabs>
    </w:pPr>
    <w:rPr>
      <w:b/>
    </w:rPr>
  </w:style>
  <w:style w:type="paragraph" w:styleId="Footer">
    <w:name w:val="footer"/>
    <w:basedOn w:val="Normal"/>
    <w:link w:val="FooterChar"/>
    <w:uiPriority w:val="99"/>
    <w:rsid w:val="0021101C"/>
    <w:pPr>
      <w:tabs>
        <w:tab w:val="center" w:pos="4320"/>
        <w:tab w:val="right" w:pos="8640"/>
      </w:tabs>
    </w:pPr>
  </w:style>
  <w:style w:type="character" w:styleId="PageNumber">
    <w:name w:val="page number"/>
    <w:basedOn w:val="DefaultParagraphFont"/>
    <w:rsid w:val="0021101C"/>
  </w:style>
  <w:style w:type="paragraph" w:styleId="BlockText">
    <w:name w:val="Block Text"/>
    <w:basedOn w:val="Normal"/>
    <w:rsid w:val="0021101C"/>
    <w:pPr>
      <w:spacing w:after="240"/>
      <w:ind w:left="1440" w:right="1440"/>
    </w:pPr>
  </w:style>
  <w:style w:type="paragraph" w:customStyle="1" w:styleId="Paratitle">
    <w:name w:val="Para title"/>
    <w:basedOn w:val="Normal"/>
    <w:rsid w:val="0021101C"/>
    <w:pPr>
      <w:tabs>
        <w:tab w:val="center" w:pos="9270"/>
      </w:tabs>
      <w:spacing w:after="240"/>
    </w:pPr>
    <w:rPr>
      <w:spacing w:val="-2"/>
    </w:rPr>
  </w:style>
  <w:style w:type="paragraph" w:customStyle="1" w:styleId="Bullet">
    <w:name w:val="Bullet"/>
    <w:basedOn w:val="Normal"/>
    <w:rsid w:val="0021101C"/>
    <w:pPr>
      <w:tabs>
        <w:tab w:val="left" w:pos="2160"/>
      </w:tabs>
      <w:spacing w:after="220"/>
      <w:ind w:left="2160" w:hanging="720"/>
    </w:pPr>
  </w:style>
  <w:style w:type="paragraph" w:customStyle="1" w:styleId="TableFormat">
    <w:name w:val="TableFormat"/>
    <w:basedOn w:val="Bullet"/>
    <w:rsid w:val="0021101C"/>
    <w:pPr>
      <w:tabs>
        <w:tab w:val="clear" w:pos="2160"/>
        <w:tab w:val="left" w:pos="5040"/>
      </w:tabs>
      <w:ind w:left="5040" w:hanging="3600"/>
    </w:pPr>
  </w:style>
  <w:style w:type="paragraph" w:customStyle="1" w:styleId="TOCTitle">
    <w:name w:val="TOC Title"/>
    <w:basedOn w:val="Normal"/>
    <w:rsid w:val="002110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101C"/>
    <w:pPr>
      <w:jc w:val="center"/>
    </w:pPr>
    <w:rPr>
      <w:rFonts w:ascii="Times New Roman Bold" w:hAnsi="Times New Roman Bold"/>
      <w:b/>
      <w:bCs/>
      <w:caps/>
      <w:szCs w:val="22"/>
    </w:rPr>
  </w:style>
  <w:style w:type="character" w:styleId="Hyperlink">
    <w:name w:val="Hyperlink"/>
    <w:rsid w:val="0021101C"/>
    <w:rPr>
      <w:color w:val="0000FF"/>
      <w:u w:val="single"/>
    </w:rPr>
  </w:style>
  <w:style w:type="character" w:customStyle="1" w:styleId="FooterChar">
    <w:name w:val="Footer Char"/>
    <w:link w:val="Footer"/>
    <w:uiPriority w:val="99"/>
    <w:rsid w:val="0021101C"/>
    <w:rPr>
      <w:snapToGrid w:val="0"/>
      <w:kern w:val="28"/>
      <w:sz w:val="22"/>
    </w:rPr>
  </w:style>
  <w:style w:type="paragraph" w:styleId="ListParagraph">
    <w:name w:val="List Paragraph"/>
    <w:basedOn w:val="Normal"/>
    <w:uiPriority w:val="34"/>
    <w:qFormat/>
    <w:rsid w:val="00E9177C"/>
    <w:pPr>
      <w:ind w:left="720"/>
      <w:contextualSpacing/>
    </w:pPr>
    <w:rPr>
      <w:snapToGrid/>
      <w:kern w:val="0"/>
    </w:rPr>
  </w:style>
  <w:style w:type="character" w:styleId="Emphasis">
    <w:name w:val="Emphasis"/>
    <w:uiPriority w:val="20"/>
    <w:qFormat/>
    <w:rsid w:val="00E9177C"/>
    <w:rPr>
      <w:i/>
      <w:iCs/>
    </w:rPr>
  </w:style>
  <w:style w:type="character" w:customStyle="1" w:styleId="copinpointicon">
    <w:name w:val="co_pinpointicon"/>
    <w:basedOn w:val="DefaultParagraphFont"/>
    <w:rsid w:val="00E9177C"/>
  </w:style>
  <w:style w:type="character" w:customStyle="1" w:styleId="cosearchterm">
    <w:name w:val="co_searchterm"/>
    <w:basedOn w:val="DefaultParagraphFont"/>
    <w:rsid w:val="00E9177C"/>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E9177C"/>
  </w:style>
  <w:style w:type="character" w:styleId="CommentReference">
    <w:name w:val="annotation reference"/>
    <w:rsid w:val="00E9177C"/>
    <w:rPr>
      <w:sz w:val="16"/>
      <w:szCs w:val="16"/>
    </w:rPr>
  </w:style>
  <w:style w:type="paragraph" w:styleId="CommentText">
    <w:name w:val="annotation text"/>
    <w:basedOn w:val="Normal"/>
    <w:link w:val="CommentTextChar"/>
    <w:rsid w:val="00E9177C"/>
    <w:rPr>
      <w:sz w:val="20"/>
    </w:rPr>
  </w:style>
  <w:style w:type="character" w:customStyle="1" w:styleId="CommentTextChar">
    <w:name w:val="Comment Text Char"/>
    <w:link w:val="CommentText"/>
    <w:rsid w:val="00E9177C"/>
    <w:rPr>
      <w:snapToGrid w:val="0"/>
      <w:kern w:val="28"/>
    </w:rPr>
  </w:style>
  <w:style w:type="paragraph" w:styleId="CommentSubject">
    <w:name w:val="annotation subject"/>
    <w:basedOn w:val="CommentText"/>
    <w:next w:val="CommentText"/>
    <w:link w:val="CommentSubjectChar"/>
    <w:rsid w:val="00E9177C"/>
    <w:rPr>
      <w:b/>
      <w:bCs/>
    </w:rPr>
  </w:style>
  <w:style w:type="character" w:customStyle="1" w:styleId="CommentSubjectChar">
    <w:name w:val="Comment Subject Char"/>
    <w:link w:val="CommentSubject"/>
    <w:rsid w:val="00E9177C"/>
    <w:rPr>
      <w:b/>
      <w:bCs/>
      <w:snapToGrid w:val="0"/>
      <w:kern w:val="28"/>
    </w:rPr>
  </w:style>
  <w:style w:type="paragraph" w:styleId="Revision">
    <w:name w:val="Revision"/>
    <w:hidden/>
    <w:uiPriority w:val="99"/>
    <w:semiHidden/>
    <w:rsid w:val="00E9177C"/>
    <w:rPr>
      <w:snapToGrid w:val="0"/>
      <w:kern w:val="28"/>
      <w:sz w:val="22"/>
    </w:rPr>
  </w:style>
  <w:style w:type="character" w:customStyle="1" w:styleId="Heading1Char">
    <w:name w:val="Heading 1 Char"/>
    <w:link w:val="Heading1"/>
    <w:rsid w:val="00E9177C"/>
    <w:rPr>
      <w:rFonts w:ascii="Times New Roman Bold" w:hAnsi="Times New Roman Bold"/>
      <w:b/>
      <w:caps/>
      <w:snapToGrid w:val="0"/>
      <w:kern w:val="28"/>
      <w:sz w:val="22"/>
    </w:rPr>
  </w:style>
  <w:style w:type="character" w:styleId="UnresolvedMention">
    <w:name w:val="Unresolved Mention"/>
    <w:uiPriority w:val="99"/>
    <w:semiHidden/>
    <w:unhideWhenUsed/>
    <w:rsid w:val="00E9177C"/>
    <w:rPr>
      <w:color w:val="605E5C"/>
      <w:shd w:val="clear" w:color="auto" w:fill="E1DFDD"/>
    </w:rPr>
  </w:style>
  <w:style w:type="character" w:customStyle="1" w:styleId="ParaNumChar1">
    <w:name w:val="ParaNum Char1"/>
    <w:link w:val="ParaNum"/>
    <w:rsid w:val="00E9177C"/>
    <w:rPr>
      <w:snapToGrid w:val="0"/>
      <w:kern w:val="28"/>
      <w:sz w:val="22"/>
    </w:rPr>
  </w:style>
  <w:style w:type="character" w:customStyle="1" w:styleId="Heading2Char">
    <w:name w:val="Heading 2 Char"/>
    <w:link w:val="Heading2"/>
    <w:rsid w:val="00E9177C"/>
    <w:rPr>
      <w:b/>
      <w:snapToGrid w:val="0"/>
      <w:kern w:val="28"/>
      <w:sz w:val="22"/>
    </w:rPr>
  </w:style>
  <w:style w:type="character" w:customStyle="1" w:styleId="ParaNumChar">
    <w:name w:val="ParaNum Char"/>
    <w:rsid w:val="00E9177C"/>
    <w:rPr>
      <w:rFonts w:eastAsia="Times New Roman" w:cs="Times New Roman"/>
      <w:snapToGrid w:val="0"/>
      <w:kern w:val="28"/>
      <w:sz w:val="22"/>
      <w:szCs w:val="20"/>
    </w:rPr>
  </w:style>
  <w:style w:type="character" w:customStyle="1" w:styleId="Footnote0">
    <w:name w:val="Footnote"/>
    <w:rsid w:val="00E9177C"/>
    <w:rPr>
      <w:rFonts w:cs="Times New Roman"/>
    </w:rPr>
  </w:style>
  <w:style w:type="character" w:styleId="FollowedHyperlink">
    <w:name w:val="FollowedHyperlink"/>
    <w:rsid w:val="00E9177C"/>
    <w:rPr>
      <w:color w:val="954F72"/>
      <w:u w:val="single"/>
    </w:rPr>
  </w:style>
  <w:style w:type="character" w:customStyle="1" w:styleId="HeaderChar">
    <w:name w:val="Header Char"/>
    <w:link w:val="Header"/>
    <w:rsid w:val="00E9177C"/>
    <w:rPr>
      <w:b/>
      <w:snapToGrid w:val="0"/>
      <w:kern w:val="28"/>
      <w:sz w:val="22"/>
    </w:rPr>
  </w:style>
  <w:style w:type="character" w:customStyle="1" w:styleId="cf01">
    <w:name w:val="cf01"/>
    <w:rsid w:val="00E9177C"/>
    <w:rPr>
      <w:rFonts w:ascii="Segoe UI" w:hAnsi="Segoe UI" w:cs="Segoe UI" w:hint="default"/>
      <w:sz w:val="18"/>
      <w:szCs w:val="18"/>
    </w:rPr>
  </w:style>
  <w:style w:type="character" w:customStyle="1" w:styleId="costarpage">
    <w:name w:val="co_starpage"/>
    <w:basedOn w:val="DefaultParagraphFont"/>
    <w:rsid w:val="00E9177C"/>
  </w:style>
  <w:style w:type="character" w:customStyle="1" w:styleId="normaltextrun">
    <w:name w:val="normaltextrun"/>
    <w:basedOn w:val="DefaultParagraphFont"/>
    <w:rsid w:val="00E9177C"/>
  </w:style>
  <w:style w:type="paragraph" w:styleId="NoSpacing">
    <w:name w:val="No Spacing"/>
    <w:uiPriority w:val="1"/>
    <w:qFormat/>
    <w:rsid w:val="004B0611"/>
    <w:rPr>
      <w:rFonts w:ascii="Calibri" w:eastAsia="Calibri" w:hAnsi="Calibri"/>
      <w:sz w:val="22"/>
      <w:szCs w:val="22"/>
    </w:rPr>
  </w:style>
  <w:style w:type="character" w:customStyle="1" w:styleId="md-plain">
    <w:name w:val="md-plain"/>
    <w:basedOn w:val="DefaultParagraphFont"/>
    <w:rsid w:val="004B0611"/>
  </w:style>
  <w:style w:type="paragraph" w:customStyle="1" w:styleId="md-end-block">
    <w:name w:val="md-end-block"/>
    <w:basedOn w:val="Normal"/>
    <w:rsid w:val="0021101C"/>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