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76DA0B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3BB72E9" w14:textId="77777777">
      <w:pPr>
        <w:pStyle w:val="StyleBoldCentered"/>
      </w:pPr>
      <w:r>
        <w:t>F</w:t>
      </w:r>
      <w:r>
        <w:rPr>
          <w:caps w:val="0"/>
        </w:rPr>
        <w:t>ederal Communications Commission</w:t>
      </w:r>
    </w:p>
    <w:p w:rsidR="004C2EE3" w:rsidP="00096D8C" w14:paraId="393413BC" w14:textId="77777777">
      <w:pPr>
        <w:pStyle w:val="StyleBoldCentered"/>
      </w:pPr>
      <w:r>
        <w:rPr>
          <w:caps w:val="0"/>
        </w:rPr>
        <w:t>Washington, D.C. 20554</w:t>
      </w:r>
    </w:p>
    <w:p w:rsidR="004C2EE3" w:rsidP="0070224F" w14:paraId="1DE5EAE4" w14:textId="77777777"/>
    <w:tbl>
      <w:tblPr>
        <w:tblW w:w="0" w:type="auto"/>
        <w:tblLayout w:type="fixed"/>
        <w:tblLook w:val="0000"/>
      </w:tblPr>
      <w:tblGrid>
        <w:gridCol w:w="4698"/>
        <w:gridCol w:w="630"/>
        <w:gridCol w:w="4248"/>
      </w:tblGrid>
      <w:tr w14:paraId="751C7FF6" w14:textId="77777777">
        <w:tblPrEx>
          <w:tblW w:w="0" w:type="auto"/>
          <w:tblLayout w:type="fixed"/>
          <w:tblLook w:val="0000"/>
        </w:tblPrEx>
        <w:tc>
          <w:tcPr>
            <w:tcW w:w="4698" w:type="dxa"/>
          </w:tcPr>
          <w:p w:rsidR="004C2EE3" w14:paraId="3F4B2BA3" w14:textId="77777777">
            <w:pPr>
              <w:tabs>
                <w:tab w:val="center" w:pos="4680"/>
              </w:tabs>
              <w:suppressAutoHyphens/>
              <w:rPr>
                <w:spacing w:val="-2"/>
              </w:rPr>
            </w:pPr>
            <w:r>
              <w:rPr>
                <w:spacing w:val="-2"/>
              </w:rPr>
              <w:t>In the Matter of</w:t>
            </w:r>
          </w:p>
          <w:p w:rsidR="004C2EE3" w14:paraId="41D5CF33" w14:textId="77777777">
            <w:pPr>
              <w:tabs>
                <w:tab w:val="center" w:pos="4680"/>
              </w:tabs>
              <w:suppressAutoHyphens/>
              <w:rPr>
                <w:spacing w:val="-2"/>
              </w:rPr>
            </w:pPr>
          </w:p>
          <w:p w:rsidR="004C2EE3" w:rsidRPr="007115F7" w:rsidP="007115F7" w14:paraId="427AC034" w14:textId="7BA9A71B">
            <w:pPr>
              <w:tabs>
                <w:tab w:val="center" w:pos="4680"/>
              </w:tabs>
              <w:suppressAutoHyphens/>
              <w:rPr>
                <w:spacing w:val="-2"/>
              </w:rPr>
            </w:pPr>
            <w:r w:rsidRPr="004A5C87">
              <w:rPr>
                <w:spacing w:val="-2"/>
              </w:rPr>
              <w:t>Authorizing Permissive Use of the “Next Generation” Broadcast Television Standard</w:t>
            </w:r>
          </w:p>
        </w:tc>
        <w:tc>
          <w:tcPr>
            <w:tcW w:w="630" w:type="dxa"/>
          </w:tcPr>
          <w:p w:rsidR="004C2EE3" w14:paraId="7A2C5B36" w14:textId="77777777">
            <w:pPr>
              <w:tabs>
                <w:tab w:val="center" w:pos="4680"/>
              </w:tabs>
              <w:suppressAutoHyphens/>
              <w:rPr>
                <w:b/>
                <w:spacing w:val="-2"/>
              </w:rPr>
            </w:pPr>
            <w:r>
              <w:rPr>
                <w:b/>
                <w:spacing w:val="-2"/>
              </w:rPr>
              <w:t>)</w:t>
            </w:r>
          </w:p>
          <w:p w:rsidR="004C2EE3" w14:paraId="12B41C08" w14:textId="77777777">
            <w:pPr>
              <w:tabs>
                <w:tab w:val="center" w:pos="4680"/>
              </w:tabs>
              <w:suppressAutoHyphens/>
              <w:rPr>
                <w:b/>
                <w:spacing w:val="-2"/>
              </w:rPr>
            </w:pPr>
            <w:r>
              <w:rPr>
                <w:b/>
                <w:spacing w:val="-2"/>
              </w:rPr>
              <w:t>)</w:t>
            </w:r>
          </w:p>
          <w:p w:rsidR="004C2EE3" w14:paraId="22A42AA9" w14:textId="77777777">
            <w:pPr>
              <w:tabs>
                <w:tab w:val="center" w:pos="4680"/>
              </w:tabs>
              <w:suppressAutoHyphens/>
              <w:rPr>
                <w:b/>
                <w:spacing w:val="-2"/>
              </w:rPr>
            </w:pPr>
            <w:r>
              <w:rPr>
                <w:b/>
                <w:spacing w:val="-2"/>
              </w:rPr>
              <w:t>)</w:t>
            </w:r>
          </w:p>
          <w:p w:rsidR="004C2EE3" w14:paraId="0F056160" w14:textId="77777777">
            <w:pPr>
              <w:tabs>
                <w:tab w:val="center" w:pos="4680"/>
              </w:tabs>
              <w:suppressAutoHyphens/>
              <w:rPr>
                <w:b/>
                <w:spacing w:val="-2"/>
              </w:rPr>
            </w:pPr>
            <w:r>
              <w:rPr>
                <w:b/>
                <w:spacing w:val="-2"/>
              </w:rPr>
              <w:t>)</w:t>
            </w:r>
          </w:p>
          <w:p w:rsidR="004C2EE3" w:rsidRPr="004A5C87" w14:paraId="47F5A602" w14:textId="639E6213">
            <w:pPr>
              <w:tabs>
                <w:tab w:val="center" w:pos="4680"/>
              </w:tabs>
              <w:suppressAutoHyphens/>
              <w:rPr>
                <w:b/>
                <w:spacing w:val="-2"/>
              </w:rPr>
            </w:pPr>
            <w:r>
              <w:rPr>
                <w:b/>
                <w:spacing w:val="-2"/>
              </w:rPr>
              <w:t>)</w:t>
            </w:r>
          </w:p>
        </w:tc>
        <w:tc>
          <w:tcPr>
            <w:tcW w:w="4248" w:type="dxa"/>
          </w:tcPr>
          <w:p w:rsidR="004C2EE3" w14:paraId="35EE8859" w14:textId="77777777">
            <w:pPr>
              <w:tabs>
                <w:tab w:val="center" w:pos="4680"/>
              </w:tabs>
              <w:suppressAutoHyphens/>
              <w:rPr>
                <w:spacing w:val="-2"/>
              </w:rPr>
            </w:pPr>
          </w:p>
          <w:p w:rsidR="004C2EE3" w14:paraId="1AF18E35" w14:textId="77777777">
            <w:pPr>
              <w:pStyle w:val="TOAHeading"/>
              <w:tabs>
                <w:tab w:val="center" w:pos="4680"/>
                <w:tab w:val="clear" w:pos="9360"/>
              </w:tabs>
              <w:rPr>
                <w:spacing w:val="-2"/>
              </w:rPr>
            </w:pPr>
          </w:p>
          <w:p w:rsidR="004C2EE3" w14:paraId="3FE952DB" w14:textId="42028F25">
            <w:pPr>
              <w:tabs>
                <w:tab w:val="center" w:pos="4680"/>
              </w:tabs>
              <w:suppressAutoHyphens/>
              <w:rPr>
                <w:spacing w:val="-2"/>
              </w:rPr>
            </w:pPr>
            <w:r w:rsidRPr="004A5C87">
              <w:rPr>
                <w:spacing w:val="-2"/>
              </w:rPr>
              <w:t>GN Docket No. 16-142</w:t>
            </w:r>
          </w:p>
        </w:tc>
      </w:tr>
    </w:tbl>
    <w:p w:rsidR="004C2EE3" w:rsidP="0070224F" w14:paraId="6165E97D" w14:textId="77777777"/>
    <w:p w:rsidR="00841AB1" w:rsidP="00F021FA" w14:paraId="1DBB5A9F" w14:textId="23A21F9F">
      <w:pPr>
        <w:pStyle w:val="StyleBoldCentered"/>
      </w:pPr>
      <w:r>
        <w:t>order</w:t>
      </w:r>
    </w:p>
    <w:p w:rsidR="004C2EE3" w14:paraId="3790430E" w14:textId="77777777">
      <w:pPr>
        <w:tabs>
          <w:tab w:val="left" w:pos="-720"/>
        </w:tabs>
        <w:suppressAutoHyphens/>
        <w:spacing w:line="227" w:lineRule="auto"/>
        <w:rPr>
          <w:spacing w:val="-2"/>
        </w:rPr>
      </w:pPr>
    </w:p>
    <w:p w:rsidR="004C2EE3" w:rsidP="00133F79" w14:paraId="346939E4" w14:textId="6F274462">
      <w:pPr>
        <w:tabs>
          <w:tab w:val="left" w:pos="720"/>
          <w:tab w:val="right" w:pos="9360"/>
        </w:tabs>
        <w:suppressAutoHyphens/>
        <w:spacing w:line="227" w:lineRule="auto"/>
        <w:rPr>
          <w:spacing w:val="-2"/>
        </w:rPr>
      </w:pPr>
      <w:r>
        <w:rPr>
          <w:b/>
          <w:spacing w:val="-2"/>
        </w:rPr>
        <w:t xml:space="preserve">Adopted:  </w:t>
      </w:r>
      <w:r w:rsidR="004A5C87">
        <w:rPr>
          <w:b/>
          <w:spacing w:val="-2"/>
        </w:rPr>
        <w:t xml:space="preserve">March </w:t>
      </w:r>
      <w:r w:rsidR="00DE11BD">
        <w:rPr>
          <w:b/>
          <w:spacing w:val="-2"/>
        </w:rPr>
        <w:t>3</w:t>
      </w:r>
      <w:r w:rsidR="00FD1ADF">
        <w:rPr>
          <w:b/>
          <w:spacing w:val="-2"/>
        </w:rPr>
        <w:t>,</w:t>
      </w:r>
      <w:r w:rsidR="004A5C87">
        <w:rPr>
          <w:b/>
          <w:spacing w:val="-2"/>
        </w:rPr>
        <w:t xml:space="preserve">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A5C87">
        <w:rPr>
          <w:b/>
          <w:spacing w:val="-2"/>
        </w:rPr>
        <w:t>March 6, 2023</w:t>
      </w:r>
    </w:p>
    <w:p w:rsidR="00822CE0" w14:paraId="43DEB672" w14:textId="77777777"/>
    <w:p w:rsidR="004C2EE3" w14:paraId="520A0C5A" w14:textId="31D4CEE4">
      <w:pPr>
        <w:rPr>
          <w:spacing w:val="-2"/>
        </w:rPr>
      </w:pPr>
      <w:r>
        <w:t xml:space="preserve">By </w:t>
      </w:r>
      <w:r w:rsidR="004E4A22">
        <w:t>the</w:t>
      </w:r>
      <w:r w:rsidR="002A2D2E">
        <w:t xml:space="preserve"> </w:t>
      </w:r>
      <w:r w:rsidR="004A5C87">
        <w:rPr>
          <w:spacing w:val="-2"/>
        </w:rPr>
        <w:t>Commission:</w:t>
      </w:r>
    </w:p>
    <w:p w:rsidR="00822CE0" w14:paraId="6688C9D6" w14:textId="77777777">
      <w:pPr>
        <w:rPr>
          <w:spacing w:val="-2"/>
        </w:rPr>
      </w:pPr>
    </w:p>
    <w:p w:rsidR="004A5C87" w:rsidRPr="004A5C87" w:rsidP="004A5C87" w14:paraId="28B3FB39" w14:textId="77777777">
      <w:pPr>
        <w:keepNext/>
        <w:numPr>
          <w:ilvl w:val="0"/>
          <w:numId w:val="3"/>
        </w:numPr>
        <w:tabs>
          <w:tab w:val="left" w:pos="720"/>
        </w:tabs>
        <w:suppressAutoHyphens/>
        <w:spacing w:after="120"/>
        <w:outlineLvl w:val="0"/>
        <w:rPr>
          <w:rFonts w:ascii="Times New Roman Bold" w:hAnsi="Times New Roman Bold"/>
          <w:b/>
          <w:caps/>
        </w:rPr>
      </w:pPr>
      <w:r w:rsidRPr="004A5C87">
        <w:rPr>
          <w:rFonts w:ascii="Times New Roman Bold" w:hAnsi="Times New Roman Bold"/>
          <w:b/>
          <w:caps/>
        </w:rPr>
        <w:t>Introduction</w:t>
      </w:r>
    </w:p>
    <w:p w:rsidR="004A5C87" w:rsidRPr="004A5C87" w:rsidP="004A5C87" w14:paraId="1BB98370" w14:textId="77777777">
      <w:pPr>
        <w:numPr>
          <w:ilvl w:val="0"/>
          <w:numId w:val="2"/>
        </w:numPr>
        <w:spacing w:after="120"/>
      </w:pPr>
      <w:r w:rsidRPr="004A5C87">
        <w:t>By this order the Commission temporarily stays the March 6, 2023 sunset of the requirement for broadcaster primary streams to comply with the ATSC A/322 standard.</w:t>
      </w:r>
      <w:r>
        <w:rPr>
          <w:sz w:val="20"/>
          <w:vertAlign w:val="superscript"/>
        </w:rPr>
        <w:footnoteReference w:id="3"/>
      </w:r>
      <w:r w:rsidRPr="004A5C87">
        <w:t xml:space="preserve">  </w:t>
      </w:r>
    </w:p>
    <w:p w:rsidR="004A5C87" w:rsidRPr="004A5C87" w:rsidP="004A5C87" w14:paraId="36F42F56" w14:textId="7F3AE665">
      <w:pPr>
        <w:keepNext/>
        <w:numPr>
          <w:ilvl w:val="0"/>
          <w:numId w:val="3"/>
        </w:numPr>
        <w:suppressAutoHyphens/>
        <w:spacing w:after="120"/>
        <w:outlineLvl w:val="0"/>
        <w:rPr>
          <w:rFonts w:ascii="Times New Roman Bold" w:hAnsi="Times New Roman Bold"/>
          <w:b/>
          <w:caps/>
        </w:rPr>
      </w:pPr>
      <w:r w:rsidRPr="004A5C87">
        <w:rPr>
          <w:rFonts w:ascii="Times New Roman Bold" w:hAnsi="Times New Roman Bold"/>
          <w:b/>
          <w:caps/>
        </w:rPr>
        <w:t>BACKGROUnD</w:t>
      </w:r>
    </w:p>
    <w:p w:rsidR="004A5C87" w:rsidRPr="004A5C87" w:rsidP="004A5C87" w14:paraId="50C8D34D" w14:textId="48855858">
      <w:pPr>
        <w:numPr>
          <w:ilvl w:val="0"/>
          <w:numId w:val="2"/>
        </w:numPr>
        <w:tabs>
          <w:tab w:val="clear" w:pos="1080"/>
          <w:tab w:val="num" w:pos="1440"/>
        </w:tabs>
        <w:spacing w:after="120"/>
      </w:pPr>
      <w:r w:rsidRPr="004A5C87">
        <w:t>In 2017</w:t>
      </w:r>
      <w:r w:rsidRPr="004A5C87">
        <w:rPr>
          <w:iCs/>
        </w:rPr>
        <w:t>,</w:t>
      </w:r>
      <w:r w:rsidRPr="004A5C87">
        <w:rPr>
          <w:i/>
        </w:rPr>
        <w:t xml:space="preserve"> </w:t>
      </w:r>
      <w:r w:rsidRPr="004A5C87">
        <w:t>the Commission authorized television broadcasters to use the Next Gen TV transmission standard, also called “ATSC 3.0” or “3.0,” on a voluntary, market-driven basis.</w:t>
      </w:r>
      <w:r>
        <w:rPr>
          <w:sz w:val="20"/>
          <w:vertAlign w:val="superscript"/>
        </w:rPr>
        <w:footnoteReference w:id="4"/>
      </w:r>
      <w:r w:rsidRPr="004A5C87">
        <w:t xml:space="preserve">  Under Commission rules, the requirement for broadcaster primary streams to comply with the ATSC A/322 standard, defining the waveforms that ATSC 3.0 signals may take, is currently scheduled to sunset on March 6, 2023.</w:t>
      </w:r>
      <w:r>
        <w:rPr>
          <w:sz w:val="20"/>
          <w:vertAlign w:val="superscript"/>
        </w:rPr>
        <w:footnoteReference w:id="5"/>
      </w:r>
      <w:r w:rsidRPr="004A5C87">
        <w:t xml:space="preserve">  Last June, we issued the </w:t>
      </w:r>
      <w:r w:rsidRPr="004A5C87">
        <w:rPr>
          <w:i/>
          <w:iCs/>
        </w:rPr>
        <w:t>Sunsets FNPRM</w:t>
      </w:r>
      <w:r w:rsidRPr="004A5C87">
        <w:t xml:space="preserve"> seeking comment on, among other things, the expiration of this rule, whether to retain the requirement and, if so, for how long.</w:t>
      </w:r>
      <w:r>
        <w:rPr>
          <w:sz w:val="20"/>
          <w:vertAlign w:val="superscript"/>
        </w:rPr>
        <w:footnoteReference w:id="6"/>
      </w:r>
      <w:r w:rsidRPr="004A5C87">
        <w:t xml:space="preserve">  That proceeding remains pending. </w:t>
      </w:r>
    </w:p>
    <w:p w:rsidR="004A5C87" w:rsidRPr="004A5C87" w:rsidP="004A5C87" w14:paraId="435F21BD" w14:textId="77777777">
      <w:pPr>
        <w:keepNext/>
        <w:numPr>
          <w:ilvl w:val="0"/>
          <w:numId w:val="3"/>
        </w:numPr>
        <w:suppressAutoHyphens/>
        <w:spacing w:after="120"/>
        <w:outlineLvl w:val="0"/>
        <w:rPr>
          <w:rFonts w:ascii="Times New Roman Bold" w:hAnsi="Times New Roman Bold"/>
          <w:b/>
          <w:caps/>
        </w:rPr>
      </w:pPr>
      <w:r w:rsidRPr="004A5C87">
        <w:rPr>
          <w:rFonts w:ascii="Times New Roman Bold" w:hAnsi="Times New Roman Bold"/>
          <w:b/>
          <w:caps/>
        </w:rPr>
        <w:t>Discussion</w:t>
      </w:r>
    </w:p>
    <w:p w:rsidR="004A5C87" w:rsidRPr="004A5C87" w:rsidP="004A5C87" w14:paraId="339E37A9" w14:textId="77777777">
      <w:pPr>
        <w:numPr>
          <w:ilvl w:val="0"/>
          <w:numId w:val="2"/>
        </w:numPr>
        <w:tabs>
          <w:tab w:val="clear" w:pos="1080"/>
          <w:tab w:val="num" w:pos="1440"/>
        </w:tabs>
        <w:spacing w:after="120"/>
        <w:rPr>
          <w:snapToGrid/>
          <w:kern w:val="0"/>
        </w:rPr>
      </w:pPr>
      <w:r w:rsidRPr="004A5C87">
        <w:t xml:space="preserve">For the reasons set forth herein, we find good cause to stay, on our own motion, the expiration of this rule pending a Commission resolution of this issue in the above-referenced proceeding. In considering a stay, the Commission considers the four criteria set forth in </w:t>
      </w:r>
      <w:r w:rsidRPr="004A5C87">
        <w:rPr>
          <w:i/>
          <w:iCs/>
        </w:rPr>
        <w:t>Virginia Petroleum Jobbers Association.</w:t>
      </w:r>
      <w:r>
        <w:rPr>
          <w:sz w:val="20"/>
          <w:vertAlign w:val="superscript"/>
        </w:rPr>
        <w:footnoteReference w:id="7"/>
      </w:r>
      <w:r w:rsidRPr="004A5C87">
        <w:t xml:space="preserve">  </w:t>
      </w:r>
    </w:p>
    <w:p w:rsidR="004A5C87" w:rsidRPr="004A5C87" w:rsidP="004A5C87" w14:paraId="57CA2CBA" w14:textId="6ABECDA7">
      <w:pPr>
        <w:numPr>
          <w:ilvl w:val="0"/>
          <w:numId w:val="2"/>
        </w:numPr>
        <w:tabs>
          <w:tab w:val="clear" w:pos="1080"/>
          <w:tab w:val="num" w:pos="1440"/>
        </w:tabs>
        <w:spacing w:after="120"/>
        <w:rPr>
          <w:snapToGrid/>
          <w:kern w:val="0"/>
        </w:rPr>
      </w:pPr>
      <w:r w:rsidRPr="004A5C87">
        <w:t>We conclude that an interim stay of the A/322 “sunset” is appropriate under the circumstances.  Virtually all commenters addressing this question made arguments in favor of at least a temporary extension of the requirement to comply with A/322.</w:t>
      </w:r>
      <w:r>
        <w:rPr>
          <w:sz w:val="20"/>
          <w:vertAlign w:val="superscript"/>
        </w:rPr>
        <w:footnoteReference w:id="8"/>
      </w:r>
      <w:r w:rsidRPr="004A5C87">
        <w:t xml:space="preserve">  It is unclear whether any consumer receive equipment could display 3.0 signals that were noncompliant with A/322, meaning the viewing public could lose all 3.0 service during any period of noncompliance by broadcasters.  Furthermore, there is no information in the record indicating that any party will be harmed by the grant of an interim stay.</w:t>
      </w:r>
      <w:r>
        <w:rPr>
          <w:sz w:val="20"/>
          <w:vertAlign w:val="superscript"/>
        </w:rPr>
        <w:footnoteReference w:id="9"/>
      </w:r>
      <w:r w:rsidRPr="004A5C87">
        <w:t xml:space="preserve">  In light of the arguments offered by commenters for at least a temporary extension, the possibility of harm to the viewing public from the disruption of eliminating and then potentially resuming the requirement, and the lack of any reasonable expectation of sunset by those currently deploying 3.0 service in light of the pendency of this proceeding, we find the public interest is best served by preserving the status quo during this brief period of time in order to consider this open question.  </w:t>
      </w:r>
    </w:p>
    <w:p w:rsidR="004A5C87" w:rsidRPr="004A5C87" w:rsidP="004A5C87" w14:paraId="0222CFB7" w14:textId="77777777">
      <w:pPr>
        <w:numPr>
          <w:ilvl w:val="0"/>
          <w:numId w:val="2"/>
        </w:numPr>
        <w:tabs>
          <w:tab w:val="clear" w:pos="1080"/>
          <w:tab w:val="num" w:pos="1440"/>
        </w:tabs>
        <w:spacing w:after="120"/>
      </w:pPr>
      <w:r w:rsidRPr="004A5C87">
        <w:t xml:space="preserve">We therefore stay the sunset of the A/322 rule, pending resolution of the </w:t>
      </w:r>
      <w:r w:rsidRPr="004A5C87">
        <w:rPr>
          <w:i/>
          <w:iCs/>
        </w:rPr>
        <w:t>Sunsets FNPRM</w:t>
      </w:r>
      <w:r w:rsidRPr="004A5C87">
        <w:t>.</w:t>
      </w:r>
    </w:p>
    <w:p w:rsidR="004A5C87" w:rsidRPr="004A5C87" w:rsidP="004A5C87" w14:paraId="0C87416D" w14:textId="77777777">
      <w:pPr>
        <w:keepNext/>
        <w:numPr>
          <w:ilvl w:val="0"/>
          <w:numId w:val="3"/>
        </w:numPr>
        <w:suppressAutoHyphens/>
        <w:spacing w:after="120"/>
        <w:outlineLvl w:val="0"/>
        <w:rPr>
          <w:rFonts w:ascii="Times New Roman Bold" w:hAnsi="Times New Roman Bold"/>
          <w:b/>
          <w:caps/>
        </w:rPr>
      </w:pPr>
      <w:r w:rsidRPr="004A5C87">
        <w:rPr>
          <w:rFonts w:ascii="Times New Roman Bold" w:hAnsi="Times New Roman Bold"/>
          <w:b/>
          <w:caps/>
        </w:rPr>
        <w:t>Ordering Clauses</w:t>
      </w:r>
    </w:p>
    <w:p w:rsidR="004A5C87" w:rsidRPr="004A5C87" w:rsidP="004A5C87" w14:paraId="3BE5B0F1" w14:textId="604EBB44">
      <w:pPr>
        <w:numPr>
          <w:ilvl w:val="0"/>
          <w:numId w:val="2"/>
        </w:numPr>
        <w:tabs>
          <w:tab w:val="clear" w:pos="1080"/>
          <w:tab w:val="num" w:pos="1440"/>
        </w:tabs>
        <w:spacing w:after="120"/>
      </w:pPr>
      <w:r w:rsidRPr="004A5C87">
        <w:rPr>
          <w:b/>
          <w:bCs/>
        </w:rPr>
        <w:t>ACCORDINGLY, IT IS ORDERED</w:t>
      </w:r>
      <w:r w:rsidRPr="004A5C87">
        <w:t>, that, pursuant to sections 1, 4(</w:t>
      </w:r>
      <w:r w:rsidRPr="004A5C87">
        <w:t>i</w:t>
      </w:r>
      <w:r w:rsidRPr="004A5C87">
        <w:t>), 4(j), and 303 of the Communications Act of 1934, as amended, 47 U.S.C</w:t>
      </w:r>
      <w:r w:rsidRPr="00845F2D">
        <w:t>. §§ 151, 154(</w:t>
      </w:r>
      <w:r w:rsidRPr="00845F2D">
        <w:t>i</w:t>
      </w:r>
      <w:r w:rsidRPr="00845F2D">
        <w:t>), 154(j), 303 and section 1.103 of the Commission’s rules, 47 CFR §</w:t>
      </w:r>
      <w:r w:rsidRPr="00845F2D" w:rsidR="00A0620D">
        <w:t xml:space="preserve"> </w:t>
      </w:r>
      <w:r w:rsidRPr="00845F2D">
        <w:t xml:space="preserve">1.103, </w:t>
      </w:r>
      <w:r w:rsidRPr="00845F2D" w:rsidR="00131EEE">
        <w:t xml:space="preserve">section 73.682(f)(2) of the Commission’s rules, 47 CFR </w:t>
      </w:r>
      <w:r w:rsidRPr="00845F2D" w:rsidR="00A0620D">
        <w:t xml:space="preserve">§ </w:t>
      </w:r>
      <w:r w:rsidRPr="00845F2D" w:rsidR="00131EEE">
        <w:t xml:space="preserve">73.682(f)(2), </w:t>
      </w:r>
      <w:r w:rsidRPr="00845F2D" w:rsidR="00131EEE">
        <w:rPr>
          <w:b/>
          <w:bCs/>
        </w:rPr>
        <w:t>IS</w:t>
      </w:r>
      <w:r w:rsidRPr="00845F2D" w:rsidR="00131EEE">
        <w:t xml:space="preserve"> </w:t>
      </w:r>
      <w:r w:rsidRPr="00845F2D" w:rsidR="00131EEE">
        <w:rPr>
          <w:b/>
        </w:rPr>
        <w:t>AMENDED</w:t>
      </w:r>
      <w:r w:rsidRPr="00845F2D" w:rsidR="00131EEE">
        <w:t xml:space="preserve"> as set forth in the Appendix and section 73.682(f)(2)(iii) of the Commission’s rules, 47 CFR</w:t>
      </w:r>
      <w:r w:rsidRPr="00845F2D" w:rsidR="00A0620D">
        <w:t xml:space="preserve"> § </w:t>
      </w:r>
      <w:r w:rsidRPr="00845F2D" w:rsidR="00131EEE">
        <w:t xml:space="preserve">73.682(f)(2)(iii), </w:t>
      </w:r>
      <w:r w:rsidRPr="00845F2D" w:rsidR="00131EEE">
        <w:rPr>
          <w:b/>
          <w:bCs/>
        </w:rPr>
        <w:t>IS STAYED</w:t>
      </w:r>
      <w:r w:rsidRPr="00845F2D" w:rsidR="00131EEE">
        <w:t xml:space="preserve"> effective immediately</w:t>
      </w:r>
      <w:r w:rsidRPr="00845F2D">
        <w:t>.  The</w:t>
      </w:r>
      <w:r w:rsidRPr="004A5C87">
        <w:t xml:space="preserve"> stay will remain in effect until resolution of this issue in the Third Further Notice of Proposed Rulemaking in this proceeding.</w:t>
      </w:r>
    </w:p>
    <w:p w:rsidR="004A5C87" w:rsidRPr="004A5C87" w:rsidP="004A5C87" w14:paraId="29410F3A" w14:textId="77777777">
      <w:pPr>
        <w:keepNext/>
        <w:ind w:left="3600" w:firstLine="720"/>
      </w:pPr>
      <w:r w:rsidRPr="004A5C87">
        <w:t>FEDERAL COMMUNICATIONS COMMISSION</w:t>
      </w:r>
    </w:p>
    <w:p w:rsidR="004A5C87" w:rsidRPr="004A5C87" w:rsidP="004A5C87" w14:paraId="3FF1DAB2" w14:textId="77777777">
      <w:pPr>
        <w:keepNext/>
      </w:pPr>
    </w:p>
    <w:p w:rsidR="004A5C87" w:rsidRPr="004A5C87" w:rsidP="004A5C87" w14:paraId="3C5FA21A" w14:textId="77777777">
      <w:pPr>
        <w:keepNext/>
      </w:pPr>
    </w:p>
    <w:p w:rsidR="004A5C87" w:rsidRPr="004A5C87" w:rsidP="004A5C87" w14:paraId="3BDA8534" w14:textId="77777777">
      <w:pPr>
        <w:keepNext/>
      </w:pPr>
    </w:p>
    <w:p w:rsidR="004A5C87" w:rsidRPr="004A5C87" w:rsidP="004A5C87" w14:paraId="4934F9DA" w14:textId="77777777">
      <w:pPr>
        <w:keepNext/>
      </w:pPr>
    </w:p>
    <w:p w:rsidR="004A5C87" w:rsidRPr="004A5C87" w:rsidP="004A5C87" w14:paraId="1061F17F" w14:textId="77777777">
      <w:pPr>
        <w:keepNext/>
      </w:pPr>
      <w:r w:rsidRPr="004A5C87">
        <w:tab/>
      </w:r>
      <w:r w:rsidRPr="004A5C87">
        <w:tab/>
      </w:r>
      <w:r w:rsidRPr="004A5C87">
        <w:tab/>
      </w:r>
      <w:r w:rsidRPr="004A5C87">
        <w:tab/>
      </w:r>
      <w:r w:rsidRPr="004A5C87">
        <w:tab/>
      </w:r>
      <w:r w:rsidRPr="004A5C87">
        <w:tab/>
        <w:t>Marlene H. Dortch</w:t>
      </w:r>
    </w:p>
    <w:p w:rsidR="003B1327" w:rsidP="004A5C87" w14:paraId="26B65B68" w14:textId="1A822F8C">
      <w:pPr>
        <w:keepNext/>
      </w:pPr>
      <w:r w:rsidRPr="004A5C87">
        <w:tab/>
      </w:r>
      <w:r w:rsidRPr="004A5C87">
        <w:tab/>
      </w:r>
      <w:r w:rsidRPr="004A5C87">
        <w:tab/>
      </w:r>
      <w:r w:rsidRPr="004A5C87">
        <w:tab/>
      </w:r>
      <w:r w:rsidRPr="004A5C87">
        <w:tab/>
      </w:r>
      <w:r w:rsidRPr="004A5C87">
        <w:tab/>
        <w:t>Secretary</w:t>
      </w:r>
    </w:p>
    <w:p w:rsidR="002121AE" w:rsidP="003B1327" w14:paraId="644F179D" w14:textId="77777777">
      <w:pPr>
        <w:pStyle w:val="Heading1"/>
        <w:keepNext w:val="0"/>
        <w:numPr>
          <w:ilvl w:val="0"/>
          <w:numId w:val="0"/>
        </w:numPr>
        <w:suppressAutoHyphens w:val="0"/>
        <w:ind w:left="720" w:hanging="720"/>
        <w:jc w:val="center"/>
        <w:rPr>
          <w:bCs/>
          <w:sz w:val="24"/>
          <w:szCs w:val="24"/>
        </w:rPr>
      </w:pPr>
      <w:r>
        <w:br w:type="page"/>
      </w:r>
      <w:r w:rsidRPr="005B5C65">
        <w:rPr>
          <w:bCs/>
          <w:sz w:val="24"/>
          <w:szCs w:val="24"/>
        </w:rPr>
        <w:t>APPENDIX</w:t>
      </w:r>
    </w:p>
    <w:p w:rsidR="003B1327" w:rsidRPr="002121AE" w:rsidP="002121AE" w14:paraId="72C7ECDE" w14:textId="03265519">
      <w:pPr>
        <w:pStyle w:val="Heading1"/>
        <w:keepNext w:val="0"/>
        <w:numPr>
          <w:ilvl w:val="0"/>
          <w:numId w:val="0"/>
        </w:numPr>
        <w:suppressAutoHyphens w:val="0"/>
        <w:spacing w:after="0"/>
        <w:ind w:left="720" w:hanging="720"/>
        <w:jc w:val="center"/>
        <w:rPr>
          <w:b w:val="0"/>
          <w:bCs/>
          <w:caps w:val="0"/>
          <w:sz w:val="24"/>
          <w:szCs w:val="24"/>
        </w:rPr>
      </w:pPr>
      <w:r w:rsidRPr="002121AE">
        <w:rPr>
          <w:bCs/>
          <w:caps w:val="0"/>
          <w:sz w:val="24"/>
          <w:szCs w:val="24"/>
        </w:rPr>
        <w:t>Final Rule Changes</w:t>
      </w:r>
    </w:p>
    <w:p w:rsidR="002121AE" w:rsidP="003B1327" w14:paraId="13961B6A" w14:textId="77777777"/>
    <w:p w:rsidR="003B1327" w:rsidRPr="005B5C65" w:rsidP="003B1327" w14:paraId="7AD6E593" w14:textId="273E141B">
      <w:pPr>
        <w:rPr>
          <w:szCs w:val="22"/>
        </w:rPr>
      </w:pPr>
      <w:r w:rsidRPr="005B5C65">
        <w:t>The Federal Communications Commission amend</w:t>
      </w:r>
      <w:r>
        <w:t>s</w:t>
      </w:r>
      <w:r w:rsidRPr="005B5C65">
        <w:t xml:space="preserve"> Part 73 of Title 47 of the Code of Federal Regulations (CFR) as set forth below:</w:t>
      </w:r>
    </w:p>
    <w:p w:rsidR="003B1327" w:rsidRPr="005B5C65" w:rsidP="003B1327" w14:paraId="21322C05" w14:textId="77777777">
      <w:pPr>
        <w:rPr>
          <w:sz w:val="16"/>
          <w:szCs w:val="16"/>
        </w:rPr>
      </w:pPr>
    </w:p>
    <w:p w:rsidR="003B1327" w:rsidRPr="005B5C65" w:rsidP="003B1327" w14:paraId="1CCF79C9" w14:textId="77777777">
      <w:pPr>
        <w:rPr>
          <w:b/>
        </w:rPr>
      </w:pPr>
      <w:r w:rsidRPr="005B5C65">
        <w:rPr>
          <w:b/>
        </w:rPr>
        <w:t>PART 73– Radio Broadcast Service</w:t>
      </w:r>
    </w:p>
    <w:p w:rsidR="002121AE" w:rsidP="003B1327" w14:paraId="5520FE78" w14:textId="77777777"/>
    <w:p w:rsidR="003B1327" w:rsidRPr="005B5C65" w:rsidP="003B1327" w14:paraId="5E7FCFD0" w14:textId="01A5EA7A">
      <w:pPr>
        <w:rPr>
          <w:szCs w:val="22"/>
        </w:rPr>
      </w:pPr>
      <w:r w:rsidRPr="005B5C65">
        <w:t>1.</w:t>
      </w:r>
      <w:r w:rsidRPr="005B5C65">
        <w:rPr>
          <w:szCs w:val="22"/>
        </w:rPr>
        <w:tab/>
      </w:r>
      <w:r w:rsidRPr="005B5C65">
        <w:t>The authority citation for Part 73 continues to read as follows:</w:t>
      </w:r>
    </w:p>
    <w:p w:rsidR="003B1327" w:rsidRPr="005B5C65" w:rsidP="003B1327" w14:paraId="68543674" w14:textId="77777777">
      <w:pPr>
        <w:rPr>
          <w:szCs w:val="22"/>
        </w:rPr>
      </w:pPr>
    </w:p>
    <w:p w:rsidR="003B1327" w:rsidRPr="005B5C65" w:rsidP="003B1327" w14:paraId="01B9DC75" w14:textId="77777777">
      <w:r w:rsidRPr="005B5C65">
        <w:t>Authority: 47 U.S.C. 154, 155, 301, 303, 307, 309, 310, 334, 336, 339.</w:t>
      </w:r>
    </w:p>
    <w:p w:rsidR="00BE6C99" w:rsidRPr="005B5C65" w:rsidP="003B1327" w14:paraId="356AF386" w14:textId="77777777">
      <w:pPr>
        <w:rPr>
          <w:szCs w:val="22"/>
        </w:rPr>
      </w:pPr>
    </w:p>
    <w:p w:rsidR="003B1327" w:rsidRPr="005B5C65" w:rsidP="003B1327" w14:paraId="2707A858" w14:textId="77777777">
      <w:r w:rsidRPr="005B5C65">
        <w:t>2.</w:t>
      </w:r>
      <w:r w:rsidRPr="005B5C65">
        <w:rPr>
          <w:szCs w:val="22"/>
        </w:rPr>
        <w:tab/>
      </w:r>
      <w:r w:rsidRPr="005B5C65">
        <w:t>Section 73.682 is amended by revising paragraph (f)(2) as follows:</w:t>
      </w:r>
    </w:p>
    <w:p w:rsidR="003B1327" w:rsidRPr="005B5C65" w:rsidP="003B1327" w14:paraId="6BD20332" w14:textId="77777777"/>
    <w:p w:rsidR="003B1327" w:rsidRPr="005B5C65" w:rsidP="003B1327" w14:paraId="72D17D16" w14:textId="77777777">
      <w:pPr>
        <w:widowControl/>
        <w:rPr>
          <w:b/>
          <w:bCs/>
        </w:rPr>
      </w:pPr>
      <w:r w:rsidRPr="005B5C65">
        <w:rPr>
          <w:b/>
          <w:bCs/>
        </w:rPr>
        <w:t>§ 73.682   TV transmission standards.</w:t>
      </w:r>
    </w:p>
    <w:p w:rsidR="003B1327" w:rsidRPr="005B5C65" w:rsidP="003B1327" w14:paraId="69B8B2CB" w14:textId="77777777">
      <w:pPr>
        <w:widowControl/>
        <w:rPr>
          <w:szCs w:val="22"/>
        </w:rPr>
      </w:pPr>
    </w:p>
    <w:p w:rsidR="003B1327" w:rsidRPr="005B5C65" w:rsidP="003B1327" w14:paraId="6DB0150C" w14:textId="77777777">
      <w:pPr>
        <w:widowControl/>
        <w:rPr>
          <w:szCs w:val="22"/>
        </w:rPr>
      </w:pPr>
      <w:r w:rsidRPr="005B5C65">
        <w:t xml:space="preserve">* * * * * </w:t>
      </w:r>
    </w:p>
    <w:p w:rsidR="002121AE" w:rsidP="002121AE" w14:paraId="3FC93287" w14:textId="77777777"/>
    <w:p w:rsidR="003B1327" w:rsidRPr="005B5C65" w:rsidP="002121AE" w14:paraId="17245E81" w14:textId="6DCF2B9E">
      <w:r w:rsidRPr="005B5C65">
        <w:t xml:space="preserve">(f) </w:t>
      </w:r>
      <w:r w:rsidRPr="005B5C65">
        <w:rPr>
          <w:szCs w:val="22"/>
        </w:rPr>
        <w:t>* * *</w:t>
      </w:r>
    </w:p>
    <w:p w:rsidR="002121AE" w:rsidP="002121AE" w14:paraId="12F0E9D7" w14:textId="77777777">
      <w:pPr>
        <w:tabs>
          <w:tab w:val="left" w:pos="720"/>
        </w:tabs>
      </w:pPr>
    </w:p>
    <w:p w:rsidR="003B1327" w:rsidRPr="00845F2D" w:rsidP="002121AE" w14:paraId="694A3920" w14:textId="0539BC13">
      <w:pPr>
        <w:tabs>
          <w:tab w:val="left" w:pos="720"/>
        </w:tabs>
        <w:rPr>
          <w:snapToGrid/>
          <w:kern w:val="0"/>
          <w:sz w:val="20"/>
        </w:rPr>
      </w:pPr>
      <w:r w:rsidRPr="00845F2D">
        <w:t xml:space="preserve">(1) </w:t>
      </w:r>
      <w:r w:rsidRPr="00845F2D">
        <w:rPr>
          <w:szCs w:val="22"/>
        </w:rPr>
        <w:t>* * *</w:t>
      </w:r>
    </w:p>
    <w:p w:rsidR="002121AE" w:rsidP="002121AE" w14:paraId="38236E8F" w14:textId="77777777"/>
    <w:p w:rsidR="003B1327" w:rsidRPr="00845F2D" w:rsidP="002121AE" w14:paraId="62B2FC82" w14:textId="3F4794C7">
      <w:r w:rsidRPr="00845F2D">
        <w:t>(2)</w:t>
      </w:r>
      <w:r w:rsidRPr="00845F2D">
        <w:rPr>
          <w:b/>
          <w:bCs/>
        </w:rPr>
        <w:t>(</w:t>
      </w:r>
      <w:r w:rsidRPr="00845F2D">
        <w:rPr>
          <w:b/>
          <w:bCs/>
        </w:rPr>
        <w:t>i</w:t>
      </w:r>
      <w:r w:rsidRPr="00845F2D">
        <w:rPr>
          <w:b/>
          <w:bCs/>
        </w:rPr>
        <w:t>)</w:t>
      </w:r>
      <w:r w:rsidRPr="00845F2D">
        <w:t xml:space="preserve"> Effective March 5, 2018, transmission of Next Gen TV broadcast television (ATSC 3.0) signals shall comply with the standards for such transmissions set forth in ATSC A/321:2016, “System Discovery and Signaling” (March 23, 2016) (incorporated by reference, see § 73.8000). To the extent that virtual channels (specified in the DTV transmission standard referenced in ATSC A/65C:2006 in paragraph (d) of this section) are used in the transmission of Next Gen TV broadcasting, major channel numbers shall be assigned as required by ATSC A/65C:2006 Annex B (incorporated by reference, see § 73.8000). </w:t>
      </w:r>
    </w:p>
    <w:p w:rsidR="002121AE" w:rsidP="002121AE" w14:paraId="53806315" w14:textId="77777777">
      <w:pPr>
        <w:rPr>
          <w:b/>
          <w:bCs/>
        </w:rPr>
      </w:pPr>
    </w:p>
    <w:p w:rsidR="003B1327" w:rsidRPr="00845F2D" w:rsidP="002121AE" w14:paraId="078E00D7" w14:textId="19906506">
      <w:r w:rsidRPr="00845F2D">
        <w:rPr>
          <w:b/>
          <w:bCs/>
        </w:rPr>
        <w:t>(ii)</w:t>
      </w:r>
      <w:r w:rsidRPr="00845F2D">
        <w:t xml:space="preserve"> In addition, </w:t>
      </w:r>
      <w:r w:rsidRPr="00845F2D">
        <w:rPr>
          <w:b/>
          <w:bCs/>
          <w:strike/>
        </w:rPr>
        <w:t>until March 6, 2023,</w:t>
      </w:r>
      <w:r w:rsidRPr="00845F2D">
        <w:t xml:space="preserve"> such signals shall also comply with the standards set forth in ATSC A/322:2017 “Physical Layer Protocol” (June 6, 2017) (incorporated by reference, see § 73.8000) with respect to the transmission of at least one free over the air primary video programming stream.</w:t>
      </w:r>
    </w:p>
    <w:p w:rsidR="002121AE" w:rsidP="002121AE" w14:paraId="05B00B24" w14:textId="77777777">
      <w:pPr>
        <w:rPr>
          <w:b/>
          <w:bCs/>
        </w:rPr>
      </w:pPr>
    </w:p>
    <w:p w:rsidR="003B1327" w:rsidRPr="00845F2D" w:rsidP="002121AE" w14:paraId="5F7E7EA7" w14:textId="7F65F68A">
      <w:pPr>
        <w:rPr>
          <w:b/>
          <w:bCs/>
          <w:szCs w:val="22"/>
        </w:rPr>
      </w:pPr>
      <w:r w:rsidRPr="00845F2D">
        <w:rPr>
          <w:b/>
          <w:bCs/>
        </w:rPr>
        <w:t>(iii) Paragraph (f)(2)(ii) will sunset on March 6, 2023.</w:t>
      </w:r>
    </w:p>
    <w:p w:rsidR="00412FC5" w:rsidRPr="004A5C87" w:rsidP="004A5C87" w14:paraId="4C2AA17E" w14:textId="12CDBA71">
      <w:pPr>
        <w:keepNext/>
        <w:rPr>
          <w:rFonts w:ascii="Times" w:eastAsia="Calibri" w:hAnsi="Times"/>
          <w:snapToGrid/>
          <w:kern w:val="0"/>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A15222" w14:textId="77777777">
    <w:pPr>
      <w:pStyle w:val="Footer"/>
      <w:framePr w:wrap="around" w:vAnchor="text" w:hAnchor="margin" w:xAlign="center" w:y="1"/>
    </w:pPr>
    <w:r>
      <w:fldChar w:fldCharType="begin"/>
    </w:r>
    <w:r>
      <w:instrText xml:space="preserve">PAGE  </w:instrText>
    </w:r>
    <w:r w:rsidR="002121AE">
      <w:fldChar w:fldCharType="separate"/>
    </w:r>
    <w:r>
      <w:fldChar w:fldCharType="end"/>
    </w:r>
  </w:p>
  <w:p w:rsidR="00D25FB5" w14:paraId="1AD8E1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A5C87" w14:paraId="621F5984" w14:textId="424681D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7024D5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0221" w14:paraId="5043531E" w14:textId="77777777">
      <w:r>
        <w:separator/>
      </w:r>
    </w:p>
  </w:footnote>
  <w:footnote w:type="continuationSeparator" w:id="1">
    <w:p w:rsidR="00210221" w:rsidP="00C721AC" w14:paraId="28D787C7" w14:textId="77777777">
      <w:pPr>
        <w:spacing w:before="120"/>
        <w:rPr>
          <w:sz w:val="20"/>
        </w:rPr>
      </w:pPr>
      <w:r>
        <w:rPr>
          <w:sz w:val="20"/>
        </w:rPr>
        <w:t xml:space="preserve">(Continued from previous page)  </w:t>
      </w:r>
      <w:r>
        <w:rPr>
          <w:sz w:val="20"/>
        </w:rPr>
        <w:separator/>
      </w:r>
    </w:p>
  </w:footnote>
  <w:footnote w:type="continuationNotice" w:id="2">
    <w:p w:rsidR="00210221" w:rsidP="00C721AC" w14:paraId="35A87FED" w14:textId="77777777">
      <w:pPr>
        <w:jc w:val="right"/>
        <w:rPr>
          <w:sz w:val="20"/>
        </w:rPr>
      </w:pPr>
      <w:r>
        <w:rPr>
          <w:sz w:val="20"/>
        </w:rPr>
        <w:t>(continued….)</w:t>
      </w:r>
    </w:p>
  </w:footnote>
  <w:footnote w:id="3">
    <w:p w:rsidR="004A5C87" w:rsidRPr="00845F2D" w:rsidP="004A5C87" w14:paraId="28EDF08E" w14:textId="07A1097E">
      <w:pPr>
        <w:pStyle w:val="FootnoteText"/>
      </w:pPr>
      <w:r>
        <w:rPr>
          <w:rStyle w:val="FootnoteReference"/>
        </w:rPr>
        <w:footnoteRef/>
      </w:r>
      <w:r>
        <w:t xml:space="preserve"> </w:t>
      </w:r>
      <w:r w:rsidRPr="005B5C65">
        <w:t>47 CFR § 73.682(f</w:t>
      </w:r>
      <w:r w:rsidRPr="00845F2D">
        <w:t>)</w:t>
      </w:r>
      <w:r w:rsidRPr="00845F2D" w:rsidR="001F0366">
        <w:t>(2)</w:t>
      </w:r>
      <w:r w:rsidRPr="00845F2D" w:rsidR="00874FB4">
        <w:t>(</w:t>
      </w:r>
      <w:r w:rsidRPr="00845F2D" w:rsidR="00D855FF">
        <w:t>i</w:t>
      </w:r>
      <w:r w:rsidRPr="00845F2D" w:rsidR="00874FB4">
        <w:t>ii) (as revised herein)</w:t>
      </w:r>
      <w:r w:rsidRPr="00845F2D">
        <w:t>.</w:t>
      </w:r>
      <w:r w:rsidRPr="00845F2D" w:rsidR="00874FB4">
        <w:t xml:space="preserve">  We </w:t>
      </w:r>
      <w:r w:rsidRPr="00845F2D" w:rsidR="00D855FF">
        <w:t xml:space="preserve">reorganize and </w:t>
      </w:r>
      <w:r w:rsidRPr="00845F2D" w:rsidR="00874FB4">
        <w:t xml:space="preserve">amend 47 CFR § 73.682(f) to </w:t>
      </w:r>
      <w:r w:rsidRPr="00845F2D" w:rsidR="00D855FF">
        <w:t xml:space="preserve">separate the sunset date being stayed into its own paragraph (f)(iii) in order </w:t>
      </w:r>
      <w:r w:rsidRPr="00845F2D" w:rsidR="002A0E8E">
        <w:t xml:space="preserve">to </w:t>
      </w:r>
      <w:r w:rsidRPr="00845F2D" w:rsidR="00874FB4">
        <w:t>conform to the publishing conventions of the National Archives and Records Administration’s Office of the Federal Register</w:t>
      </w:r>
      <w:r w:rsidRPr="00845F2D" w:rsidR="00D855FF">
        <w:t>.</w:t>
      </w:r>
    </w:p>
  </w:footnote>
  <w:footnote w:id="4">
    <w:p w:rsidR="004A5C87" w:rsidRPr="00845F2D" w:rsidP="004A5C87" w14:paraId="4B3237A6" w14:textId="77777777">
      <w:pPr>
        <w:pStyle w:val="FootnoteText"/>
        <w:widowControl w:val="0"/>
      </w:pPr>
      <w:r w:rsidRPr="00845F2D">
        <w:rPr>
          <w:rStyle w:val="FootnoteReference"/>
        </w:rPr>
        <w:footnoteRef/>
      </w:r>
      <w:r w:rsidRPr="00845F2D">
        <w:t xml:space="preserve"> </w:t>
      </w:r>
      <w:r w:rsidRPr="00845F2D">
        <w:rPr>
          <w:i/>
          <w:iCs/>
        </w:rPr>
        <w:t>Authorizing Permissive Use of the “Next Generation” Broadcast Television Standard</w:t>
      </w:r>
      <w:r w:rsidRPr="00845F2D">
        <w:t>, GN Docket No. 16-142, Report and Order and Further Notice of Proposed Rulemaking, 32 FCC Rcd 9930, 9931, para. 1 (2017) (</w:t>
      </w:r>
      <w:r w:rsidRPr="00845F2D">
        <w:rPr>
          <w:i/>
          <w:iCs/>
        </w:rPr>
        <w:t>Next Gen TV First Report and Order</w:t>
      </w:r>
      <w:r w:rsidRPr="00845F2D">
        <w:t>).</w:t>
      </w:r>
    </w:p>
  </w:footnote>
  <w:footnote w:id="5">
    <w:p w:rsidR="004A5C87" w:rsidP="004A5C87" w14:paraId="608DC0C2" w14:textId="0D179CBB">
      <w:pPr>
        <w:pStyle w:val="FootnoteText"/>
      </w:pPr>
      <w:r w:rsidRPr="00845F2D">
        <w:rPr>
          <w:rStyle w:val="FootnoteReference"/>
        </w:rPr>
        <w:footnoteRef/>
      </w:r>
      <w:r w:rsidRPr="00845F2D">
        <w:t xml:space="preserve"> 47 CFR § 73.682(f)</w:t>
      </w:r>
      <w:r w:rsidRPr="00845F2D" w:rsidR="00C94BC7">
        <w:t>(2)</w:t>
      </w:r>
      <w:r w:rsidRPr="00845F2D">
        <w:t xml:space="preserve"> (requiring that,</w:t>
      </w:r>
      <w:r w:rsidRPr="005C6200">
        <w:t xml:space="preserve"> until March 6, 2023, the transmission of at least one free over the air primary video programming stream comply with the ATSC A/322).</w:t>
      </w:r>
    </w:p>
  </w:footnote>
  <w:footnote w:id="6">
    <w:p w:rsidR="004A5C87" w:rsidP="004A5C87" w14:paraId="3928AA12" w14:textId="77777777">
      <w:pPr>
        <w:pStyle w:val="FootnoteText"/>
      </w:pPr>
      <w:r>
        <w:rPr>
          <w:rStyle w:val="FootnoteReference"/>
        </w:rPr>
        <w:footnoteRef/>
      </w:r>
      <w:r>
        <w:t xml:space="preserve"> </w:t>
      </w:r>
      <w:r w:rsidRPr="005B5C65">
        <w:rPr>
          <w:i/>
          <w:iCs/>
        </w:rPr>
        <w:t>Authorizing Permissive Use of the “Next Generation” Broadcast Television Standard</w:t>
      </w:r>
      <w:r w:rsidRPr="005B5C65">
        <w:t>, GN Docket No. 16-142, Third Further Notice of Proposed Rulemaking, FCC 22-47, 2022 WL 2290237</w:t>
      </w:r>
      <w:r>
        <w:t xml:space="preserve"> paras. 30-32</w:t>
      </w:r>
      <w:r w:rsidRPr="005B5C65">
        <w:t xml:space="preserve"> (rel. June 22, 2022) (</w:t>
      </w:r>
      <w:r w:rsidRPr="005B5C65">
        <w:rPr>
          <w:i/>
          <w:iCs/>
        </w:rPr>
        <w:t>Sunsets FNPRM</w:t>
      </w:r>
      <w:r w:rsidRPr="005B5C65">
        <w:t>).</w:t>
      </w:r>
    </w:p>
  </w:footnote>
  <w:footnote w:id="7">
    <w:p w:rsidR="004A5C87" w:rsidRPr="004C1EA7" w:rsidP="004A5C87" w14:paraId="681134FA" w14:textId="77777777">
      <w:pPr>
        <w:pStyle w:val="FootnoteText"/>
      </w:pPr>
      <w:r>
        <w:rPr>
          <w:rStyle w:val="FootnoteReference"/>
        </w:rPr>
        <w:footnoteRef/>
      </w:r>
      <w:r>
        <w:t xml:space="preserve"> </w:t>
      </w:r>
      <w:r w:rsidRPr="0085441C">
        <w:rPr>
          <w:i/>
          <w:iCs/>
        </w:rPr>
        <w:t xml:space="preserve">Virginia Petroleum Jobbers </w:t>
      </w:r>
      <w:r w:rsidRPr="0085441C">
        <w:rPr>
          <w:i/>
          <w:iCs/>
        </w:rPr>
        <w:t>Ass’n</w:t>
      </w:r>
      <w:r w:rsidRPr="0085441C">
        <w:rPr>
          <w:i/>
          <w:iCs/>
        </w:rPr>
        <w:t xml:space="preserve"> v. Federal Power Commission</w:t>
      </w:r>
      <w:r>
        <w:t xml:space="preserve">, 259 F.2d 921, 925 (D.C. Cir. 1958).  </w:t>
      </w:r>
      <w:r>
        <w:rPr>
          <w:i/>
          <w:iCs/>
        </w:rPr>
        <w:t>See also</w:t>
      </w:r>
      <w:r>
        <w:t xml:space="preserve"> </w:t>
      </w:r>
      <w:r w:rsidRPr="004C1EA7">
        <w:rPr>
          <w:i/>
          <w:iCs/>
        </w:rPr>
        <w:t>Implementation of Sections 309(j) and 337 of the Communications Act of 1934 as Amended</w:t>
      </w:r>
      <w:r>
        <w:t>, Order, 18 FCC Rcd 25491, 25494, para. 6 (2003) (</w:t>
      </w:r>
      <w:r w:rsidRPr="005257E9">
        <w:rPr>
          <w:i/>
          <w:iCs/>
        </w:rPr>
        <w:t>PLMR Narrowband Stay Order</w:t>
      </w:r>
      <w:r>
        <w:t xml:space="preserve">).  As described in the </w:t>
      </w:r>
      <w:r w:rsidRPr="005257E9">
        <w:rPr>
          <w:i/>
          <w:iCs/>
        </w:rPr>
        <w:t>PLMR Narrowband Stay Order</w:t>
      </w:r>
      <w:r>
        <w:t xml:space="preserve">, these criteria are (1) a likelihood of success on the merits; (2) the threat of irreparable harm absent the grant of preliminary relief; (3) the degree of injury to other parties if relief is granted; and (4) the issuance of the order will further the public interest.  </w:t>
      </w:r>
    </w:p>
  </w:footnote>
  <w:footnote w:id="8">
    <w:p w:rsidR="004A5C87" w:rsidRPr="00773AFE" w:rsidP="004A5C87" w14:paraId="772A3CC0" w14:textId="77777777">
      <w:pPr>
        <w:pStyle w:val="FootnoteText"/>
      </w:pPr>
      <w:r>
        <w:rPr>
          <w:rStyle w:val="FootnoteReference"/>
        </w:rPr>
        <w:footnoteRef/>
      </w:r>
      <w:r>
        <w:t xml:space="preserve"> </w:t>
      </w:r>
      <w:r>
        <w:rPr>
          <w:i/>
          <w:iCs/>
        </w:rPr>
        <w:t>See, e.g.</w:t>
      </w:r>
      <w:r>
        <w:t xml:space="preserve">, </w:t>
      </w:r>
      <w:r w:rsidRPr="00774813">
        <w:t>CTA Sunsets Comments at 2; LG Sunsets Comments at 1; NAB Sunsets Comments at 12-13; NCTA Sunsets Comments at 5-6; Pearl Sunsets Reply at 4-5; Qualcomm Sunsets Comments at 1-2; Scripps Sunsets Reply at 7; WNET Sunsets Reply at 5; Rohde &amp; Schwarz Sunsets Reply at 3.</w:t>
      </w:r>
      <w:r>
        <w:t xml:space="preserve">  </w:t>
      </w:r>
      <w:r>
        <w:rPr>
          <w:i/>
          <w:iCs/>
        </w:rPr>
        <w:t>But see</w:t>
      </w:r>
      <w:r w:rsidRPr="00774813">
        <w:t xml:space="preserve"> </w:t>
      </w:r>
      <w:r w:rsidRPr="005B5C65">
        <w:t>ONE Media Sunsets Comments at 16</w:t>
      </w:r>
      <w:r>
        <w:t>.</w:t>
      </w:r>
    </w:p>
  </w:footnote>
  <w:footnote w:id="9">
    <w:p w:rsidR="004A5C87" w:rsidP="004A5C87" w14:paraId="2A697B1A" w14:textId="77777777">
      <w:pPr>
        <w:pStyle w:val="FootnoteText"/>
      </w:pPr>
      <w:r>
        <w:rPr>
          <w:rStyle w:val="FootnoteReference"/>
        </w:rPr>
        <w:footnoteRef/>
      </w:r>
      <w:r>
        <w:t xml:space="preserve"> The only commenter in the record supporting an immediate sunset of this requirement identified no harms associated with this specific rule.  </w:t>
      </w:r>
      <w:r w:rsidRPr="005B5C65">
        <w:t>ONE Media Sunsets Comments at 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7A0B52" w14:textId="7E943F4F">
    <w:pPr>
      <w:pStyle w:val="Header"/>
      <w:rPr>
        <w:b w:val="0"/>
      </w:rPr>
    </w:pPr>
    <w:r>
      <w:tab/>
      <w:t>Federal Communications Commission</w:t>
    </w:r>
    <w:r>
      <w:tab/>
    </w:r>
    <w:r w:rsidR="00DE11BD">
      <w:t>FCC 23-11</w:t>
    </w:r>
  </w:p>
  <w:p w:rsidR="00D25FB5" w14:paraId="6F10FB24" w14:textId="786DBE2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97F875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1A436B" w14:textId="346D322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E11BD">
      <w:rPr>
        <w:spacing w:val="-2"/>
      </w:rPr>
      <w:t>FCC 23-11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87"/>
    <w:rsid w:val="00036039"/>
    <w:rsid w:val="00037F90"/>
    <w:rsid w:val="000875BF"/>
    <w:rsid w:val="00096D8C"/>
    <w:rsid w:val="000C0B65"/>
    <w:rsid w:val="000E05FE"/>
    <w:rsid w:val="000E3D42"/>
    <w:rsid w:val="00122BD5"/>
    <w:rsid w:val="00131EEE"/>
    <w:rsid w:val="00133F79"/>
    <w:rsid w:val="00194A66"/>
    <w:rsid w:val="001D6BCF"/>
    <w:rsid w:val="001E01CA"/>
    <w:rsid w:val="001F0366"/>
    <w:rsid w:val="00204532"/>
    <w:rsid w:val="00210221"/>
    <w:rsid w:val="002121AE"/>
    <w:rsid w:val="00275CF5"/>
    <w:rsid w:val="0028301F"/>
    <w:rsid w:val="00285017"/>
    <w:rsid w:val="002A0E8E"/>
    <w:rsid w:val="002A2D2E"/>
    <w:rsid w:val="002C00E8"/>
    <w:rsid w:val="00330353"/>
    <w:rsid w:val="00343749"/>
    <w:rsid w:val="003660ED"/>
    <w:rsid w:val="003B0550"/>
    <w:rsid w:val="003B1327"/>
    <w:rsid w:val="003B694F"/>
    <w:rsid w:val="003F171C"/>
    <w:rsid w:val="00412FC5"/>
    <w:rsid w:val="00422276"/>
    <w:rsid w:val="004242F1"/>
    <w:rsid w:val="00445A00"/>
    <w:rsid w:val="00451B0F"/>
    <w:rsid w:val="004A5C87"/>
    <w:rsid w:val="004C1EA7"/>
    <w:rsid w:val="004C2EE3"/>
    <w:rsid w:val="004E4A22"/>
    <w:rsid w:val="00511968"/>
    <w:rsid w:val="005257E9"/>
    <w:rsid w:val="0055614C"/>
    <w:rsid w:val="00566D06"/>
    <w:rsid w:val="00595B05"/>
    <w:rsid w:val="005B5C65"/>
    <w:rsid w:val="005C6200"/>
    <w:rsid w:val="005E14C2"/>
    <w:rsid w:val="00607BA5"/>
    <w:rsid w:val="0061180A"/>
    <w:rsid w:val="00626EB6"/>
    <w:rsid w:val="00643091"/>
    <w:rsid w:val="00655D03"/>
    <w:rsid w:val="00683388"/>
    <w:rsid w:val="00683F84"/>
    <w:rsid w:val="006A6A81"/>
    <w:rsid w:val="006F7393"/>
    <w:rsid w:val="0070224F"/>
    <w:rsid w:val="007115F7"/>
    <w:rsid w:val="00773AFE"/>
    <w:rsid w:val="00774813"/>
    <w:rsid w:val="00785689"/>
    <w:rsid w:val="00795C77"/>
    <w:rsid w:val="0079754B"/>
    <w:rsid w:val="007A1E6D"/>
    <w:rsid w:val="007A5D6C"/>
    <w:rsid w:val="007B0EB2"/>
    <w:rsid w:val="00810B6F"/>
    <w:rsid w:val="00822CE0"/>
    <w:rsid w:val="00841AB1"/>
    <w:rsid w:val="00845F2D"/>
    <w:rsid w:val="0085441C"/>
    <w:rsid w:val="00874FB4"/>
    <w:rsid w:val="008C68F1"/>
    <w:rsid w:val="009107D8"/>
    <w:rsid w:val="00921803"/>
    <w:rsid w:val="00926503"/>
    <w:rsid w:val="009726D8"/>
    <w:rsid w:val="009B3459"/>
    <w:rsid w:val="009D7308"/>
    <w:rsid w:val="009F76DB"/>
    <w:rsid w:val="00A0620D"/>
    <w:rsid w:val="00A32C3B"/>
    <w:rsid w:val="00A45F4F"/>
    <w:rsid w:val="00A600A9"/>
    <w:rsid w:val="00AA55B7"/>
    <w:rsid w:val="00AA5B9E"/>
    <w:rsid w:val="00AB2407"/>
    <w:rsid w:val="00AB53DF"/>
    <w:rsid w:val="00B07E5C"/>
    <w:rsid w:val="00B811F7"/>
    <w:rsid w:val="00BA5DC6"/>
    <w:rsid w:val="00BA6196"/>
    <w:rsid w:val="00BC6D8C"/>
    <w:rsid w:val="00BE6C99"/>
    <w:rsid w:val="00C34006"/>
    <w:rsid w:val="00C36B4C"/>
    <w:rsid w:val="00C426B1"/>
    <w:rsid w:val="00C66160"/>
    <w:rsid w:val="00C721AC"/>
    <w:rsid w:val="00C90D6A"/>
    <w:rsid w:val="00C94BC7"/>
    <w:rsid w:val="00CA247E"/>
    <w:rsid w:val="00CA6D21"/>
    <w:rsid w:val="00CC72B6"/>
    <w:rsid w:val="00D0218D"/>
    <w:rsid w:val="00D25FB5"/>
    <w:rsid w:val="00D44223"/>
    <w:rsid w:val="00D855FF"/>
    <w:rsid w:val="00DA2529"/>
    <w:rsid w:val="00DB130A"/>
    <w:rsid w:val="00DB2EBB"/>
    <w:rsid w:val="00DC10A1"/>
    <w:rsid w:val="00DC29BF"/>
    <w:rsid w:val="00DC655F"/>
    <w:rsid w:val="00DD0B59"/>
    <w:rsid w:val="00DD7EBD"/>
    <w:rsid w:val="00DE11BD"/>
    <w:rsid w:val="00DF62B6"/>
    <w:rsid w:val="00E07225"/>
    <w:rsid w:val="00E5409F"/>
    <w:rsid w:val="00EE6488"/>
    <w:rsid w:val="00F021FA"/>
    <w:rsid w:val="00F264F8"/>
    <w:rsid w:val="00F62E97"/>
    <w:rsid w:val="00F64209"/>
    <w:rsid w:val="00F93BF5"/>
    <w:rsid w:val="00FD1A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42ADA4"/>
  <w15:chartTrackingRefBased/>
  <w15:docId w15:val="{93FFCC69-519E-46CB-951C-042FA60A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1AE"/>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2121A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Heading 2 Char Char1 Char Char Char,Heading 2 Char Char1 Char Char Char Char Char,Heading 2 Char Char3 Char,Heading 2 Char1,Heading 2 Char1 Char,Heading 2 Char1 Char Char Char,Heading 2 Char1 Char Char Char Char Char,Heading 2 Char4"/>
    <w:basedOn w:val="Normal"/>
    <w:next w:val="ParaNum"/>
    <w:autoRedefine/>
    <w:qFormat/>
    <w:rsid w:val="002121AE"/>
    <w:pPr>
      <w:keepNext/>
      <w:numPr>
        <w:ilvl w:val="1"/>
        <w:numId w:val="3"/>
      </w:numPr>
      <w:spacing w:after="120"/>
      <w:outlineLvl w:val="1"/>
    </w:pPr>
    <w:rPr>
      <w:b/>
    </w:rPr>
  </w:style>
  <w:style w:type="paragraph" w:styleId="Heading3">
    <w:name w:val="heading 3"/>
    <w:aliases w:val="Heading 3 Char Char,Heading 3 Char Char Char Char,Heading 3 Char Char Char Char Char,Heading 3 Char Char1 Char,Heading 3 Char1,Heading 3 Char1 Char Char,Heading 3 Char1 Char Char Char1 Char Char,Heading 3 Char2,Heading 3 Char2 Char1 Char Char"/>
    <w:basedOn w:val="Normal"/>
    <w:next w:val="ParaNum"/>
    <w:qFormat/>
    <w:rsid w:val="002121AE"/>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2121AE"/>
    <w:pPr>
      <w:keepNext/>
      <w:numPr>
        <w:ilvl w:val="3"/>
        <w:numId w:val="3"/>
      </w:numPr>
      <w:tabs>
        <w:tab w:val="left" w:pos="2880"/>
      </w:tabs>
      <w:spacing w:after="120"/>
      <w:outlineLvl w:val="3"/>
    </w:pPr>
    <w:rPr>
      <w:b/>
    </w:rPr>
  </w:style>
  <w:style w:type="paragraph" w:styleId="Heading5">
    <w:name w:val="heading 5"/>
    <w:basedOn w:val="Normal"/>
    <w:next w:val="ParaNum"/>
    <w:qFormat/>
    <w:rsid w:val="002121A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121AE"/>
    <w:pPr>
      <w:numPr>
        <w:ilvl w:val="5"/>
        <w:numId w:val="3"/>
      </w:numPr>
      <w:tabs>
        <w:tab w:val="left" w:pos="4320"/>
      </w:tabs>
      <w:spacing w:after="120"/>
      <w:outlineLvl w:val="5"/>
    </w:pPr>
    <w:rPr>
      <w:b/>
    </w:rPr>
  </w:style>
  <w:style w:type="paragraph" w:styleId="Heading7">
    <w:name w:val="heading 7"/>
    <w:basedOn w:val="Normal"/>
    <w:next w:val="ParaNum"/>
    <w:qFormat/>
    <w:rsid w:val="002121A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121AE"/>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2121A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121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21AE"/>
  </w:style>
  <w:style w:type="paragraph" w:customStyle="1" w:styleId="ParaNum">
    <w:name w:val="ParaNum"/>
    <w:basedOn w:val="Normal"/>
    <w:rsid w:val="002121AE"/>
    <w:pPr>
      <w:numPr>
        <w:numId w:val="2"/>
      </w:numPr>
      <w:tabs>
        <w:tab w:val="clear" w:pos="1080"/>
        <w:tab w:val="num" w:pos="1440"/>
      </w:tabs>
      <w:spacing w:after="120"/>
    </w:pPr>
  </w:style>
  <w:style w:type="paragraph" w:styleId="EndnoteText">
    <w:name w:val="endnote text"/>
    <w:basedOn w:val="Normal"/>
    <w:semiHidden/>
    <w:rsid w:val="002121AE"/>
    <w:rPr>
      <w:sz w:val="20"/>
    </w:rPr>
  </w:style>
  <w:style w:type="character" w:styleId="EndnoteReference">
    <w:name w:val="endnote reference"/>
    <w:semiHidden/>
    <w:rsid w:val="002121AE"/>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2121A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121AE"/>
    <w:rPr>
      <w:rFonts w:ascii="Times New Roman" w:hAnsi="Times New Roman"/>
      <w:dstrike w:val="0"/>
      <w:color w:val="auto"/>
      <w:sz w:val="20"/>
      <w:vertAlign w:val="superscript"/>
    </w:rPr>
  </w:style>
  <w:style w:type="paragraph" w:styleId="TOC1">
    <w:name w:val="toc 1"/>
    <w:basedOn w:val="Normal"/>
    <w:next w:val="Normal"/>
    <w:semiHidden/>
    <w:rsid w:val="002121A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121AE"/>
    <w:pPr>
      <w:tabs>
        <w:tab w:val="left" w:pos="720"/>
        <w:tab w:val="right" w:leader="dot" w:pos="9360"/>
      </w:tabs>
      <w:suppressAutoHyphens/>
      <w:ind w:left="720" w:right="720" w:hanging="360"/>
    </w:pPr>
    <w:rPr>
      <w:noProof/>
    </w:rPr>
  </w:style>
  <w:style w:type="paragraph" w:styleId="TOC3">
    <w:name w:val="toc 3"/>
    <w:basedOn w:val="Normal"/>
    <w:next w:val="Normal"/>
    <w:semiHidden/>
    <w:rsid w:val="002121A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121A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121A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121A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121A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121A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121A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121AE"/>
    <w:pPr>
      <w:tabs>
        <w:tab w:val="right" w:pos="9360"/>
      </w:tabs>
      <w:suppressAutoHyphens/>
    </w:pPr>
  </w:style>
  <w:style w:type="character" w:customStyle="1" w:styleId="EquationCaption">
    <w:name w:val="_Equation Caption"/>
    <w:rsid w:val="002121AE"/>
  </w:style>
  <w:style w:type="paragraph" w:styleId="Header">
    <w:name w:val="header"/>
    <w:basedOn w:val="Normal"/>
    <w:autoRedefine/>
    <w:rsid w:val="002121AE"/>
    <w:pPr>
      <w:tabs>
        <w:tab w:val="center" w:pos="4680"/>
        <w:tab w:val="right" w:pos="9360"/>
      </w:tabs>
    </w:pPr>
    <w:rPr>
      <w:b/>
    </w:rPr>
  </w:style>
  <w:style w:type="paragraph" w:styleId="Footer">
    <w:name w:val="footer"/>
    <w:basedOn w:val="Normal"/>
    <w:link w:val="FooterChar"/>
    <w:uiPriority w:val="99"/>
    <w:rsid w:val="002121AE"/>
    <w:pPr>
      <w:tabs>
        <w:tab w:val="center" w:pos="4320"/>
        <w:tab w:val="right" w:pos="8640"/>
      </w:tabs>
    </w:pPr>
  </w:style>
  <w:style w:type="character" w:styleId="PageNumber">
    <w:name w:val="page number"/>
    <w:basedOn w:val="DefaultParagraphFont"/>
    <w:rsid w:val="002121AE"/>
  </w:style>
  <w:style w:type="paragraph" w:styleId="BlockText">
    <w:name w:val="Block Text"/>
    <w:basedOn w:val="Normal"/>
    <w:rsid w:val="002121AE"/>
    <w:pPr>
      <w:spacing w:after="240"/>
      <w:ind w:left="1440" w:right="1440"/>
    </w:pPr>
  </w:style>
  <w:style w:type="paragraph" w:customStyle="1" w:styleId="Paratitle">
    <w:name w:val="Para title"/>
    <w:basedOn w:val="Normal"/>
    <w:rsid w:val="002121AE"/>
    <w:pPr>
      <w:tabs>
        <w:tab w:val="center" w:pos="9270"/>
      </w:tabs>
      <w:spacing w:after="240"/>
    </w:pPr>
    <w:rPr>
      <w:spacing w:val="-2"/>
    </w:rPr>
  </w:style>
  <w:style w:type="paragraph" w:customStyle="1" w:styleId="Bullet">
    <w:name w:val="Bullet"/>
    <w:basedOn w:val="Normal"/>
    <w:rsid w:val="002121AE"/>
    <w:pPr>
      <w:tabs>
        <w:tab w:val="left" w:pos="2160"/>
      </w:tabs>
      <w:spacing w:after="220"/>
      <w:ind w:left="2160" w:hanging="720"/>
    </w:pPr>
  </w:style>
  <w:style w:type="paragraph" w:customStyle="1" w:styleId="TableFormat">
    <w:name w:val="TableFormat"/>
    <w:basedOn w:val="Bullet"/>
    <w:rsid w:val="002121AE"/>
    <w:pPr>
      <w:tabs>
        <w:tab w:val="clear" w:pos="2160"/>
        <w:tab w:val="left" w:pos="5040"/>
      </w:tabs>
      <w:ind w:left="5040" w:hanging="3600"/>
    </w:pPr>
  </w:style>
  <w:style w:type="paragraph" w:customStyle="1" w:styleId="TOCTitle">
    <w:name w:val="TOC Title"/>
    <w:basedOn w:val="Normal"/>
    <w:rsid w:val="002121A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121AE"/>
    <w:pPr>
      <w:jc w:val="center"/>
    </w:pPr>
    <w:rPr>
      <w:rFonts w:ascii="Times New Roman Bold" w:hAnsi="Times New Roman Bold"/>
      <w:b/>
      <w:bCs/>
      <w:caps/>
      <w:szCs w:val="22"/>
    </w:rPr>
  </w:style>
  <w:style w:type="character" w:styleId="Hyperlink">
    <w:name w:val="Hyperlink"/>
    <w:rsid w:val="002121AE"/>
    <w:rPr>
      <w:color w:val="0000FF"/>
      <w:u w:val="single"/>
    </w:rPr>
  </w:style>
  <w:style w:type="character" w:customStyle="1" w:styleId="FooterChar">
    <w:name w:val="Footer Char"/>
    <w:link w:val="Footer"/>
    <w:uiPriority w:val="99"/>
    <w:rsid w:val="002121AE"/>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4A5C87"/>
  </w:style>
  <w:style w:type="paragraph" w:styleId="Revision">
    <w:name w:val="Revision"/>
    <w:hidden/>
    <w:uiPriority w:val="99"/>
    <w:semiHidden/>
    <w:rsid w:val="009B3459"/>
    <w:rPr>
      <w:snapToGrid w:val="0"/>
      <w:kern w:val="28"/>
      <w:sz w:val="22"/>
    </w:rPr>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3B1327"/>
    <w:rPr>
      <w:rFonts w:ascii="Times New Roman Bold" w:hAnsi="Times New Roman Bold"/>
      <w:b/>
      <w:caps/>
      <w:snapToGrid w:val="0"/>
      <w:kern w:val="28"/>
      <w:sz w:val="22"/>
    </w:rPr>
  </w:style>
  <w:style w:type="paragraph" w:styleId="ListParagraph">
    <w:name w:val="List Paragraph"/>
    <w:basedOn w:val="Normal"/>
    <w:uiPriority w:val="34"/>
    <w:qFormat/>
    <w:rsid w:val="00212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