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E123C" w:rsidRPr="00F13E1B" w:rsidP="00CE123C" w14:paraId="2E21EF55" w14:textId="714E411B">
      <w:pPr>
        <w:jc w:val="center"/>
        <w:rPr>
          <w:b/>
          <w:color w:val="000000"/>
        </w:rPr>
      </w:pPr>
      <w:r w:rsidRPr="00F13E1B">
        <w:rPr>
          <w:rFonts w:ascii="Times New Roman Bold" w:hAnsi="Times New Roman Bold"/>
          <w:b/>
          <w:color w:val="000000"/>
        </w:rPr>
        <w:t>Before</w:t>
      </w:r>
      <w:r w:rsidRPr="00F13E1B">
        <w:rPr>
          <w:b/>
          <w:color w:val="000000"/>
        </w:rPr>
        <w:t xml:space="preserve"> the</w:t>
      </w:r>
    </w:p>
    <w:p w:rsidR="00CE123C" w:rsidRPr="00F13E1B" w:rsidP="00CE123C" w14:paraId="66E74DFE" w14:textId="77777777">
      <w:pPr>
        <w:pStyle w:val="StyleBoldCentered"/>
        <w:rPr>
          <w:color w:val="000000"/>
        </w:rPr>
      </w:pPr>
      <w:r w:rsidRPr="00F13E1B">
        <w:rPr>
          <w:color w:val="000000"/>
        </w:rPr>
        <w:t>F</w:t>
      </w:r>
      <w:r w:rsidRPr="00F13E1B">
        <w:rPr>
          <w:caps w:val="0"/>
          <w:color w:val="000000"/>
        </w:rPr>
        <w:t>ederal Communications Commission</w:t>
      </w:r>
    </w:p>
    <w:p w:rsidR="00CE123C" w:rsidRPr="00F13E1B" w:rsidP="00CE123C" w14:paraId="52A7F95E" w14:textId="77777777">
      <w:pPr>
        <w:pStyle w:val="StyleBoldCentered"/>
        <w:rPr>
          <w:color w:val="000000"/>
        </w:rPr>
      </w:pPr>
      <w:r w:rsidRPr="00F13E1B">
        <w:rPr>
          <w:caps w:val="0"/>
          <w:color w:val="000000"/>
        </w:rPr>
        <w:t>Washington, D.C. 20554</w:t>
      </w:r>
    </w:p>
    <w:p w:rsidR="00F13E1B" w:rsidRPr="00F13E1B" w:rsidP="00F13E1B" w14:paraId="5F9CFBC6" w14:textId="77777777">
      <w:pPr>
        <w:rPr>
          <w:color w:val="000000"/>
        </w:rPr>
      </w:pPr>
    </w:p>
    <w:p w:rsidR="00F13E1B" w:rsidRPr="00F13E1B" w:rsidP="00F13E1B" w14:paraId="2473C867" w14:textId="77777777">
      <w:pPr>
        <w:rPr>
          <w:color w:val="000000"/>
        </w:rPr>
      </w:pPr>
    </w:p>
    <w:tbl>
      <w:tblPr>
        <w:tblW w:w="0" w:type="auto"/>
        <w:tblLayout w:type="fixed"/>
        <w:tblLook w:val="0000"/>
      </w:tblPr>
      <w:tblGrid>
        <w:gridCol w:w="4698"/>
        <w:gridCol w:w="630"/>
        <w:gridCol w:w="4248"/>
      </w:tblGrid>
      <w:tr w14:paraId="04E5EDF2" w14:textId="77777777" w:rsidTr="0015618D">
        <w:tblPrEx>
          <w:tblW w:w="0" w:type="auto"/>
          <w:tblLayout w:type="fixed"/>
          <w:tblLook w:val="0000"/>
        </w:tblPrEx>
        <w:tc>
          <w:tcPr>
            <w:tcW w:w="4698" w:type="dxa"/>
          </w:tcPr>
          <w:p w:rsidR="00F13E1B" w:rsidRPr="00F13E1B" w:rsidP="00AB6A91" w14:paraId="08DBD95C" w14:textId="77777777">
            <w:pPr>
              <w:tabs>
                <w:tab w:val="center" w:pos="4680"/>
              </w:tabs>
              <w:suppressAutoHyphens/>
              <w:rPr>
                <w:color w:val="000000"/>
                <w:spacing w:val="-2"/>
              </w:rPr>
            </w:pPr>
            <w:r w:rsidRPr="00F13E1B">
              <w:rPr>
                <w:color w:val="000000"/>
                <w:spacing w:val="-2"/>
              </w:rPr>
              <w:t>In the Matter of</w:t>
            </w:r>
          </w:p>
          <w:p w:rsidR="00F13E1B" w:rsidRPr="00F13E1B" w:rsidP="00AB6A91" w14:paraId="752E4BE7" w14:textId="77777777">
            <w:pPr>
              <w:tabs>
                <w:tab w:val="center" w:pos="4680"/>
              </w:tabs>
              <w:suppressAutoHyphens/>
              <w:rPr>
                <w:color w:val="000000"/>
                <w:spacing w:val="-2"/>
              </w:rPr>
            </w:pPr>
          </w:p>
          <w:p w:rsidR="00F13E1B" w:rsidRPr="00F13E1B" w:rsidP="00AB6A91" w14:paraId="0C22C093" w14:textId="77777777">
            <w:pPr>
              <w:tabs>
                <w:tab w:val="center" w:pos="4680"/>
              </w:tabs>
              <w:suppressAutoHyphens/>
              <w:rPr>
                <w:color w:val="000000"/>
                <w:spacing w:val="-2"/>
              </w:rPr>
            </w:pPr>
            <w:r w:rsidRPr="00F13E1B">
              <w:rPr>
                <w:color w:val="000000"/>
                <w:spacing w:val="-2"/>
              </w:rPr>
              <w:t xml:space="preserve">Amendment of Section 15.255 of the Commission’s Rules </w:t>
            </w:r>
          </w:p>
          <w:p w:rsidR="00F13E1B" w:rsidRPr="00F13E1B" w:rsidP="00AB6A91" w14:paraId="10CF349E" w14:textId="77777777">
            <w:pPr>
              <w:tabs>
                <w:tab w:val="center" w:pos="4680"/>
              </w:tabs>
              <w:suppressAutoHyphens/>
              <w:rPr>
                <w:color w:val="000000"/>
                <w:spacing w:val="-2"/>
              </w:rPr>
            </w:pPr>
          </w:p>
        </w:tc>
        <w:tc>
          <w:tcPr>
            <w:tcW w:w="630" w:type="dxa"/>
          </w:tcPr>
          <w:p w:rsidR="00F13E1B" w:rsidRPr="00F13E1B" w:rsidP="00AB6A91" w14:paraId="78223BBB" w14:textId="77777777">
            <w:pPr>
              <w:tabs>
                <w:tab w:val="center" w:pos="4680"/>
              </w:tabs>
              <w:suppressAutoHyphens/>
              <w:rPr>
                <w:b/>
                <w:color w:val="000000"/>
                <w:spacing w:val="-2"/>
              </w:rPr>
            </w:pPr>
            <w:r w:rsidRPr="00F13E1B">
              <w:rPr>
                <w:b/>
                <w:color w:val="000000"/>
                <w:spacing w:val="-2"/>
              </w:rPr>
              <w:t>)</w:t>
            </w:r>
          </w:p>
          <w:p w:rsidR="00F13E1B" w:rsidRPr="00F13E1B" w:rsidP="00AB6A91" w14:paraId="545A66D3" w14:textId="77777777">
            <w:pPr>
              <w:tabs>
                <w:tab w:val="center" w:pos="4680"/>
              </w:tabs>
              <w:suppressAutoHyphens/>
              <w:rPr>
                <w:b/>
                <w:color w:val="000000"/>
                <w:spacing w:val="-2"/>
              </w:rPr>
            </w:pPr>
            <w:r w:rsidRPr="00F13E1B">
              <w:rPr>
                <w:b/>
                <w:color w:val="000000"/>
                <w:spacing w:val="-2"/>
              </w:rPr>
              <w:t>)</w:t>
            </w:r>
          </w:p>
          <w:p w:rsidR="00F13E1B" w:rsidRPr="00F13E1B" w:rsidP="00AB6A91" w14:paraId="2B278A17" w14:textId="77777777">
            <w:pPr>
              <w:tabs>
                <w:tab w:val="center" w:pos="4680"/>
              </w:tabs>
              <w:suppressAutoHyphens/>
              <w:rPr>
                <w:b/>
                <w:color w:val="000000"/>
                <w:spacing w:val="-2"/>
              </w:rPr>
            </w:pPr>
            <w:r w:rsidRPr="00F13E1B">
              <w:rPr>
                <w:b/>
                <w:color w:val="000000"/>
                <w:spacing w:val="-2"/>
              </w:rPr>
              <w:t>)</w:t>
            </w:r>
          </w:p>
          <w:p w:rsidR="00F13E1B" w:rsidRPr="00F13E1B" w:rsidP="00AB6A91" w14:paraId="26E95B3D" w14:textId="77777777">
            <w:pPr>
              <w:tabs>
                <w:tab w:val="center" w:pos="4680"/>
              </w:tabs>
              <w:suppressAutoHyphens/>
              <w:rPr>
                <w:b/>
                <w:color w:val="000000"/>
                <w:spacing w:val="-2"/>
              </w:rPr>
            </w:pPr>
            <w:r w:rsidRPr="00F13E1B">
              <w:rPr>
                <w:b/>
                <w:color w:val="000000"/>
                <w:spacing w:val="-2"/>
              </w:rPr>
              <w:t>)</w:t>
            </w:r>
          </w:p>
        </w:tc>
        <w:tc>
          <w:tcPr>
            <w:tcW w:w="4248" w:type="dxa"/>
          </w:tcPr>
          <w:p w:rsidR="00F13E1B" w:rsidRPr="00F13E1B" w:rsidP="00AB6A91" w14:paraId="615E068E" w14:textId="77777777">
            <w:pPr>
              <w:tabs>
                <w:tab w:val="center" w:pos="4680"/>
              </w:tabs>
              <w:suppressAutoHyphens/>
              <w:rPr>
                <w:color w:val="000000"/>
                <w:spacing w:val="-2"/>
              </w:rPr>
            </w:pPr>
          </w:p>
          <w:p w:rsidR="00F13E1B" w:rsidRPr="00F13E1B" w:rsidP="00AB6A91" w14:paraId="6F2E55CB" w14:textId="77777777">
            <w:pPr>
              <w:pStyle w:val="TOAHeading"/>
              <w:tabs>
                <w:tab w:val="center" w:pos="4680"/>
                <w:tab w:val="clear" w:pos="9360"/>
              </w:tabs>
              <w:rPr>
                <w:color w:val="000000"/>
                <w:spacing w:val="-2"/>
              </w:rPr>
            </w:pPr>
          </w:p>
          <w:p w:rsidR="00F13E1B" w:rsidRPr="00F13E1B" w:rsidP="00AB6A91" w14:paraId="5F9E2F46" w14:textId="77777777">
            <w:pPr>
              <w:pStyle w:val="TOAHeading"/>
              <w:tabs>
                <w:tab w:val="center" w:pos="4680"/>
              </w:tabs>
              <w:rPr>
                <w:color w:val="000000"/>
                <w:spacing w:val="-2"/>
              </w:rPr>
            </w:pPr>
            <w:r w:rsidRPr="00F13E1B">
              <w:rPr>
                <w:color w:val="000000"/>
                <w:spacing w:val="-2"/>
              </w:rPr>
              <w:t>ET Docket No. 21-264</w:t>
            </w:r>
          </w:p>
          <w:p w:rsidR="00F13E1B" w:rsidRPr="00F13E1B" w:rsidP="00AB6A91" w14:paraId="52888B3D" w14:textId="77777777">
            <w:pPr>
              <w:pStyle w:val="TOAHeading"/>
              <w:tabs>
                <w:tab w:val="center" w:pos="4680"/>
              </w:tabs>
              <w:rPr>
                <w:color w:val="000000"/>
                <w:spacing w:val="-2"/>
              </w:rPr>
            </w:pPr>
          </w:p>
          <w:p w:rsidR="00F13E1B" w:rsidRPr="00F13E1B" w:rsidP="00AB6A91" w14:paraId="5B5271D5" w14:textId="77777777">
            <w:pPr>
              <w:tabs>
                <w:tab w:val="center" w:pos="4680"/>
              </w:tabs>
              <w:suppressAutoHyphens/>
              <w:rPr>
                <w:color w:val="000000"/>
                <w:spacing w:val="-2"/>
              </w:rPr>
            </w:pPr>
          </w:p>
        </w:tc>
      </w:tr>
    </w:tbl>
    <w:p w:rsidR="00F13E1B" w:rsidRPr="00F13E1B" w:rsidP="00F13E1B" w14:paraId="03E6102B" w14:textId="09C74752">
      <w:pPr>
        <w:pStyle w:val="StyleBoldCentered"/>
        <w:rPr>
          <w:color w:val="000000"/>
        </w:rPr>
      </w:pPr>
      <w:r>
        <w:rPr>
          <w:color w:val="000000"/>
        </w:rPr>
        <w:t xml:space="preserve">REPORT AND </w:t>
      </w:r>
      <w:r w:rsidR="004049E5">
        <w:rPr>
          <w:color w:val="000000"/>
        </w:rPr>
        <w:t>ORDER</w:t>
      </w:r>
    </w:p>
    <w:p w:rsidR="00F13E1B" w:rsidRPr="00F13E1B" w:rsidP="00F13E1B" w14:paraId="2C06FE64" w14:textId="77777777">
      <w:pPr>
        <w:tabs>
          <w:tab w:val="left" w:pos="-720"/>
        </w:tabs>
        <w:suppressAutoHyphens/>
        <w:spacing w:line="227" w:lineRule="auto"/>
        <w:rPr>
          <w:color w:val="000000"/>
          <w:spacing w:val="-2"/>
        </w:rPr>
      </w:pPr>
    </w:p>
    <w:p w:rsidR="00F13E1B" w:rsidP="00F13E1B" w14:paraId="235A01B8" w14:textId="2EC70A08">
      <w:pPr>
        <w:tabs>
          <w:tab w:val="left" w:pos="720"/>
          <w:tab w:val="right" w:pos="9360"/>
        </w:tabs>
        <w:suppressAutoHyphens/>
        <w:spacing w:line="227" w:lineRule="auto"/>
        <w:rPr>
          <w:color w:val="000000"/>
        </w:rPr>
      </w:pPr>
      <w:r w:rsidRPr="00F13E1B">
        <w:rPr>
          <w:b/>
          <w:color w:val="000000"/>
          <w:spacing w:val="-2"/>
        </w:rPr>
        <w:t xml:space="preserve">Adopted:  </w:t>
      </w:r>
      <w:r w:rsidR="00735946">
        <w:rPr>
          <w:b/>
          <w:color w:val="000000"/>
          <w:spacing w:val="-2"/>
        </w:rPr>
        <w:t>May 18</w:t>
      </w:r>
      <w:r w:rsidR="000B6987">
        <w:rPr>
          <w:b/>
          <w:color w:val="000000"/>
          <w:spacing w:val="-2"/>
        </w:rPr>
        <w:t>, 202</w:t>
      </w:r>
      <w:r w:rsidR="00AD565F">
        <w:rPr>
          <w:b/>
          <w:color w:val="000000"/>
          <w:spacing w:val="-2"/>
        </w:rPr>
        <w:t>3</w:t>
      </w:r>
      <w:r w:rsidRPr="00F13E1B">
        <w:rPr>
          <w:b/>
          <w:color w:val="000000"/>
          <w:spacing w:val="-2"/>
        </w:rPr>
        <w:tab/>
        <w:t xml:space="preserve">Released:  </w:t>
      </w:r>
      <w:r w:rsidR="00735946">
        <w:rPr>
          <w:b/>
          <w:color w:val="000000"/>
          <w:spacing w:val="-2"/>
        </w:rPr>
        <w:t>May 19</w:t>
      </w:r>
      <w:r w:rsidR="000B6987">
        <w:rPr>
          <w:b/>
          <w:color w:val="000000"/>
          <w:spacing w:val="-2"/>
        </w:rPr>
        <w:t>, 202</w:t>
      </w:r>
      <w:r w:rsidR="00AD565F">
        <w:rPr>
          <w:b/>
          <w:color w:val="000000"/>
          <w:spacing w:val="-2"/>
        </w:rPr>
        <w:t>3</w:t>
      </w:r>
      <w:r w:rsidRPr="00F13E1B">
        <w:rPr>
          <w:b/>
          <w:color w:val="000000"/>
          <w:spacing w:val="-2"/>
        </w:rPr>
        <w:br/>
      </w:r>
    </w:p>
    <w:p w:rsidR="004820AE" w:rsidRPr="00735946" w:rsidP="004820AE" w14:paraId="5D51F8CB" w14:textId="4BE5ACD8">
      <w:pPr>
        <w:rPr>
          <w:snapToGrid/>
          <w:kern w:val="0"/>
        </w:rPr>
      </w:pPr>
      <w:r w:rsidRPr="008445F0">
        <w:t>By the Commission:</w:t>
      </w:r>
      <w:r w:rsidRPr="00735946" w:rsidR="00735946">
        <w:t xml:space="preserve"> </w:t>
      </w:r>
      <w:r w:rsidR="00735946">
        <w:t xml:space="preserve">Chairwoman </w:t>
      </w:r>
      <w:r w:rsidR="00735946">
        <w:t>Rosenworcel</w:t>
      </w:r>
      <w:r w:rsidR="00735946">
        <w:t xml:space="preserve"> issuing a statement.</w:t>
      </w:r>
    </w:p>
    <w:p w:rsidR="004820AE" w:rsidP="00464989" w14:paraId="261D521B" w14:textId="64CC4B97">
      <w:pPr>
        <w:pStyle w:val="TOCTitle"/>
      </w:pPr>
      <w:bookmarkStart w:id="0" w:name="TOChere"/>
      <w:r>
        <w:t>Table of Contents</w:t>
      </w:r>
    </w:p>
    <w:p w:rsidR="00AA0321" w:rsidP="00464989" w14:paraId="2CF75945" w14:textId="28287C8B">
      <w:pPr>
        <w:pStyle w:val="Paratitle"/>
      </w:pPr>
      <w:r>
        <w:t>Heading</w:t>
      </w:r>
      <w:r>
        <w:tab/>
        <w:t>Paragraph #</w:t>
      </w:r>
      <w:bookmarkStart w:id="1" w:name="start_here"/>
      <w:bookmarkEnd w:id="1"/>
    </w:p>
    <w:p w:rsidR="00AA0321" w:rsidP="00AA0321" w14:paraId="593BC889" w14:textId="7C40826C">
      <w:pPr>
        <w:pStyle w:val="TOC1"/>
        <w:rPr>
          <w:rFonts w:asciiTheme="minorHAnsi" w:eastAsiaTheme="minorEastAsia" w:hAnsiTheme="minorHAnsi" w:cstheme="minorBidi"/>
          <w:caps w:val="0"/>
          <w:snapToGrid/>
          <w:kern w:val="2"/>
          <w:szCs w:val="22"/>
          <w14:ligatures w14:val="standardContextual"/>
        </w:rPr>
      </w:pPr>
      <w:r>
        <w:t>I.</w:t>
      </w:r>
      <w:r>
        <w:rPr>
          <w:rFonts w:asciiTheme="minorHAnsi" w:eastAsiaTheme="minorEastAsia" w:hAnsiTheme="minorHAnsi" w:cstheme="minorBidi"/>
          <w:caps w:val="0"/>
          <w:snapToGrid/>
          <w:kern w:val="2"/>
          <w:szCs w:val="22"/>
          <w14:ligatures w14:val="standardContextual"/>
        </w:rPr>
        <w:tab/>
      </w:r>
      <w:r>
        <w:t>introduction</w:t>
      </w:r>
      <w:r>
        <w:tab/>
        <w:t>1</w:t>
      </w:r>
    </w:p>
    <w:p w:rsidR="00AA0321" w:rsidP="00AA0321" w14:paraId="65892122" w14:textId="762C6130">
      <w:pPr>
        <w:pStyle w:val="TOC1"/>
        <w:rPr>
          <w:rFonts w:asciiTheme="minorHAnsi" w:eastAsiaTheme="minorEastAsia" w:hAnsiTheme="minorHAnsi" w:cstheme="minorBidi"/>
          <w:caps w:val="0"/>
          <w:snapToGrid/>
          <w:kern w:val="2"/>
          <w:szCs w:val="22"/>
          <w14:ligatures w14:val="standardContextual"/>
        </w:rPr>
      </w:pPr>
      <w:r>
        <w:t>II.</w:t>
      </w:r>
      <w:r>
        <w:rPr>
          <w:rFonts w:asciiTheme="minorHAnsi" w:eastAsiaTheme="minorEastAsia" w:hAnsiTheme="minorHAnsi" w:cstheme="minorBidi"/>
          <w:caps w:val="0"/>
          <w:snapToGrid/>
          <w:kern w:val="2"/>
          <w:szCs w:val="22"/>
          <w14:ligatures w14:val="standardContextual"/>
        </w:rPr>
        <w:tab/>
      </w:r>
      <w:r>
        <w:t>Background</w:t>
      </w:r>
      <w:r>
        <w:tab/>
        <w:t>4</w:t>
      </w:r>
    </w:p>
    <w:p w:rsidR="00AA0321" w:rsidP="00AA0321" w14:paraId="58C90EBC" w14:textId="5AC38C15">
      <w:pPr>
        <w:pStyle w:val="TOC1"/>
        <w:rPr>
          <w:rFonts w:asciiTheme="minorHAnsi" w:eastAsiaTheme="minorEastAsia" w:hAnsiTheme="minorHAnsi" w:cstheme="minorBidi"/>
          <w:caps w:val="0"/>
          <w:snapToGrid/>
          <w:kern w:val="2"/>
          <w:szCs w:val="22"/>
          <w14:ligatures w14:val="standardContextual"/>
        </w:rPr>
      </w:pPr>
      <w:r>
        <w:t>III.</w:t>
      </w:r>
      <w:r>
        <w:rPr>
          <w:rFonts w:asciiTheme="minorHAnsi" w:eastAsiaTheme="minorEastAsia" w:hAnsiTheme="minorHAnsi" w:cstheme="minorBidi"/>
          <w:caps w:val="0"/>
          <w:snapToGrid/>
          <w:kern w:val="2"/>
          <w:szCs w:val="22"/>
          <w14:ligatures w14:val="standardContextual"/>
        </w:rPr>
        <w:tab/>
      </w:r>
      <w:r>
        <w:t>Discussion</w:t>
      </w:r>
      <w:r>
        <w:tab/>
        <w:t>13</w:t>
      </w:r>
    </w:p>
    <w:p w:rsidR="00AA0321" w:rsidP="00464989" w14:paraId="34472607" w14:textId="66E0EE6D">
      <w:pPr>
        <w:pStyle w:val="TOC2"/>
        <w:tabs>
          <w:tab w:val="left" w:pos="360"/>
        </w:tabs>
        <w:rPr>
          <w:rFonts w:asciiTheme="minorHAnsi" w:eastAsiaTheme="minorEastAsia" w:hAnsiTheme="minorHAnsi" w:cstheme="minorBidi"/>
          <w:snapToGrid/>
          <w:kern w:val="2"/>
          <w:szCs w:val="22"/>
          <w14:ligatures w14:val="standardContextual"/>
        </w:rPr>
      </w:pPr>
      <w:r>
        <w:t>A.</w:t>
      </w:r>
      <w:r>
        <w:rPr>
          <w:rFonts w:asciiTheme="minorHAnsi" w:eastAsiaTheme="minorEastAsia" w:hAnsiTheme="minorHAnsi" w:cstheme="minorBidi"/>
          <w:snapToGrid/>
          <w:kern w:val="2"/>
          <w:szCs w:val="22"/>
          <w14:ligatures w14:val="standardContextual"/>
        </w:rPr>
        <w:tab/>
      </w:r>
      <w:r>
        <w:t>Definitional Clarification and Mobile Use Expansion</w:t>
      </w:r>
      <w:r>
        <w:tab/>
        <w:t>17</w:t>
      </w:r>
    </w:p>
    <w:p w:rsidR="00AA0321" w:rsidP="00464989" w14:paraId="288AAB51" w14:textId="34D9CAA4">
      <w:pPr>
        <w:pStyle w:val="TOC2"/>
        <w:tabs>
          <w:tab w:val="left" w:pos="360"/>
        </w:tabs>
        <w:rPr>
          <w:rFonts w:asciiTheme="minorHAnsi" w:eastAsiaTheme="minorEastAsia" w:hAnsiTheme="minorHAnsi" w:cstheme="minorBidi"/>
          <w:snapToGrid/>
          <w:kern w:val="2"/>
          <w:szCs w:val="22"/>
          <w14:ligatures w14:val="standardContextual"/>
        </w:rPr>
      </w:pPr>
      <w:r>
        <w:t>B.</w:t>
      </w:r>
      <w:r>
        <w:rPr>
          <w:rFonts w:asciiTheme="minorHAnsi" w:eastAsiaTheme="minorEastAsia" w:hAnsiTheme="minorHAnsi" w:cstheme="minorBidi"/>
          <w:snapToGrid/>
          <w:kern w:val="2"/>
          <w:szCs w:val="22"/>
          <w14:ligatures w14:val="standardContextual"/>
        </w:rPr>
        <w:tab/>
      </w:r>
      <w:r>
        <w:t>Expanded Use of FDS Devices Operating in the 57-64 GHz band</w:t>
      </w:r>
      <w:r>
        <w:tab/>
        <w:t>24</w:t>
      </w:r>
    </w:p>
    <w:p w:rsidR="00AA0321" w:rsidP="00464989" w14:paraId="6ADB14EB" w14:textId="03EE3A17">
      <w:pPr>
        <w:pStyle w:val="TOC3"/>
        <w:tabs>
          <w:tab w:val="left" w:pos="360"/>
        </w:tabs>
        <w:rPr>
          <w:rFonts w:asciiTheme="minorHAnsi" w:eastAsiaTheme="minorEastAsia" w:hAnsiTheme="minorHAnsi" w:cstheme="minorBidi"/>
          <w:snapToGrid/>
          <w:kern w:val="2"/>
          <w:szCs w:val="22"/>
          <w14:ligatures w14:val="standardContextual"/>
        </w:rPr>
      </w:pPr>
      <w:r>
        <w:t>1.</w:t>
      </w:r>
      <w:r>
        <w:rPr>
          <w:rFonts w:asciiTheme="minorHAnsi" w:eastAsiaTheme="minorEastAsia" w:hAnsiTheme="minorHAnsi" w:cstheme="minorBidi"/>
          <w:snapToGrid/>
          <w:kern w:val="2"/>
          <w:szCs w:val="22"/>
          <w14:ligatures w14:val="standardContextual"/>
        </w:rPr>
        <w:tab/>
      </w:r>
      <w:r>
        <w:t>Consensus Agreements</w:t>
      </w:r>
      <w:r>
        <w:tab/>
        <w:t>26</w:t>
      </w:r>
    </w:p>
    <w:p w:rsidR="00AA0321" w:rsidP="00464989" w14:paraId="71BE7B0C" w14:textId="14BE7D06">
      <w:pPr>
        <w:pStyle w:val="TOC3"/>
        <w:tabs>
          <w:tab w:val="left" w:pos="360"/>
        </w:tabs>
        <w:rPr>
          <w:rFonts w:asciiTheme="minorHAnsi" w:eastAsiaTheme="minorEastAsia" w:hAnsiTheme="minorHAnsi" w:cstheme="minorBidi"/>
          <w:snapToGrid/>
          <w:kern w:val="2"/>
          <w:szCs w:val="22"/>
          <w14:ligatures w14:val="standardContextual"/>
        </w:rPr>
      </w:pPr>
      <w:r>
        <w:t>2.</w:t>
      </w:r>
      <w:r>
        <w:rPr>
          <w:rFonts w:asciiTheme="minorHAnsi" w:eastAsiaTheme="minorEastAsia" w:hAnsiTheme="minorHAnsi" w:cstheme="minorBidi"/>
          <w:snapToGrid/>
          <w:kern w:val="2"/>
          <w:szCs w:val="22"/>
          <w14:ligatures w14:val="standardContextual"/>
        </w:rPr>
        <w:tab/>
      </w:r>
      <w:r>
        <w:t>Technical Considerations</w:t>
      </w:r>
      <w:r>
        <w:tab/>
        <w:t>34</w:t>
      </w:r>
    </w:p>
    <w:p w:rsidR="00AA0321" w:rsidP="00464989" w14:paraId="338368FB" w14:textId="25BC3524">
      <w:pPr>
        <w:pStyle w:val="TOC2"/>
        <w:tabs>
          <w:tab w:val="left" w:pos="360"/>
        </w:tabs>
        <w:rPr>
          <w:rFonts w:asciiTheme="minorHAnsi" w:eastAsiaTheme="minorEastAsia" w:hAnsiTheme="minorHAnsi" w:cstheme="minorBidi"/>
          <w:snapToGrid/>
          <w:kern w:val="2"/>
          <w:szCs w:val="22"/>
          <w14:ligatures w14:val="standardContextual"/>
        </w:rPr>
      </w:pPr>
      <w:r>
        <w:t>C.</w:t>
      </w:r>
      <w:r>
        <w:rPr>
          <w:rFonts w:asciiTheme="minorHAnsi" w:eastAsiaTheme="minorEastAsia" w:hAnsiTheme="minorHAnsi" w:cstheme="minorBidi"/>
          <w:snapToGrid/>
          <w:kern w:val="2"/>
          <w:szCs w:val="22"/>
          <w14:ligatures w14:val="standardContextual"/>
        </w:rPr>
        <w:tab/>
      </w:r>
      <w:r>
        <w:t>Operation On-board Aircraft</w:t>
      </w:r>
      <w:r>
        <w:tab/>
        <w:t>51</w:t>
      </w:r>
    </w:p>
    <w:p w:rsidR="00AA0321" w:rsidP="00464989" w14:paraId="535F3522" w14:textId="41C09083">
      <w:pPr>
        <w:pStyle w:val="TOC3"/>
        <w:tabs>
          <w:tab w:val="left" w:pos="360"/>
        </w:tabs>
        <w:rPr>
          <w:rFonts w:asciiTheme="minorHAnsi" w:eastAsiaTheme="minorEastAsia" w:hAnsiTheme="minorHAnsi" w:cstheme="minorBidi"/>
          <w:snapToGrid/>
          <w:kern w:val="2"/>
          <w:szCs w:val="22"/>
          <w14:ligatures w14:val="standardContextual"/>
        </w:rPr>
      </w:pPr>
      <w:r>
        <w:t>1.</w:t>
      </w:r>
      <w:r>
        <w:rPr>
          <w:rFonts w:asciiTheme="minorHAnsi" w:eastAsiaTheme="minorEastAsia" w:hAnsiTheme="minorHAnsi" w:cstheme="minorBidi"/>
          <w:snapToGrid/>
          <w:kern w:val="2"/>
          <w:szCs w:val="22"/>
          <w14:ligatures w14:val="standardContextual"/>
        </w:rPr>
        <w:tab/>
      </w:r>
      <w:r>
        <w:t>Operation on-board unmanned aircraft (UA)</w:t>
      </w:r>
      <w:r>
        <w:tab/>
        <w:t>52</w:t>
      </w:r>
    </w:p>
    <w:p w:rsidR="00AA0321" w:rsidP="00464989" w14:paraId="06862BED" w14:textId="044AFA04">
      <w:pPr>
        <w:pStyle w:val="TOC3"/>
        <w:tabs>
          <w:tab w:val="left" w:pos="360"/>
        </w:tabs>
        <w:rPr>
          <w:rFonts w:asciiTheme="minorHAnsi" w:eastAsiaTheme="minorEastAsia" w:hAnsiTheme="minorHAnsi" w:cstheme="minorBidi"/>
          <w:snapToGrid/>
          <w:kern w:val="2"/>
          <w:szCs w:val="22"/>
          <w14:ligatures w14:val="standardContextual"/>
        </w:rPr>
      </w:pPr>
      <w:r>
        <w:t>2.</w:t>
      </w:r>
      <w:r>
        <w:rPr>
          <w:rFonts w:asciiTheme="minorHAnsi" w:eastAsiaTheme="minorEastAsia" w:hAnsiTheme="minorHAnsi" w:cstheme="minorBidi"/>
          <w:snapToGrid/>
          <w:kern w:val="2"/>
          <w:szCs w:val="22"/>
          <w14:ligatures w14:val="standardContextual"/>
        </w:rPr>
        <w:tab/>
      </w:r>
      <w:r>
        <w:t>Operation on-board aircraft other than UA</w:t>
      </w:r>
      <w:r>
        <w:tab/>
        <w:t>56</w:t>
      </w:r>
    </w:p>
    <w:p w:rsidR="00AA0321" w:rsidP="00464989" w14:paraId="644FDD04" w14:textId="24FA41F3">
      <w:pPr>
        <w:pStyle w:val="TOC2"/>
        <w:tabs>
          <w:tab w:val="left" w:pos="360"/>
        </w:tabs>
        <w:rPr>
          <w:rFonts w:asciiTheme="minorHAnsi" w:eastAsiaTheme="minorEastAsia" w:hAnsiTheme="minorHAnsi" w:cstheme="minorBidi"/>
          <w:snapToGrid/>
          <w:kern w:val="2"/>
          <w:szCs w:val="22"/>
          <w14:ligatures w14:val="standardContextual"/>
        </w:rPr>
      </w:pPr>
      <w:r>
        <w:t>D.</w:t>
      </w:r>
      <w:r>
        <w:rPr>
          <w:rFonts w:asciiTheme="minorHAnsi" w:eastAsiaTheme="minorEastAsia" w:hAnsiTheme="minorHAnsi" w:cstheme="minorBidi"/>
          <w:snapToGrid/>
          <w:kern w:val="2"/>
          <w:szCs w:val="22"/>
          <w14:ligatures w14:val="standardContextual"/>
        </w:rPr>
        <w:tab/>
      </w:r>
      <w:r>
        <w:t>Implementation Considerations</w:t>
      </w:r>
      <w:r>
        <w:tab/>
        <w:t>60</w:t>
      </w:r>
    </w:p>
    <w:p w:rsidR="00AA0321" w:rsidP="00464989" w14:paraId="66DECBF3" w14:textId="122AB45F">
      <w:pPr>
        <w:pStyle w:val="TOC3"/>
        <w:tabs>
          <w:tab w:val="left" w:pos="360"/>
        </w:tabs>
        <w:rPr>
          <w:rFonts w:asciiTheme="minorHAnsi" w:eastAsiaTheme="minorEastAsia" w:hAnsiTheme="minorHAnsi" w:cstheme="minorBidi"/>
          <w:snapToGrid/>
          <w:kern w:val="2"/>
          <w:szCs w:val="22"/>
          <w14:ligatures w14:val="standardContextual"/>
        </w:rPr>
      </w:pPr>
      <w:r>
        <w:t>1.</w:t>
      </w:r>
      <w:r>
        <w:rPr>
          <w:rFonts w:asciiTheme="minorHAnsi" w:eastAsiaTheme="minorEastAsia" w:hAnsiTheme="minorHAnsi" w:cstheme="minorBidi"/>
          <w:snapToGrid/>
          <w:kern w:val="2"/>
          <w:szCs w:val="22"/>
          <w14:ligatures w14:val="standardContextual"/>
        </w:rPr>
        <w:tab/>
      </w:r>
      <w:r>
        <w:t>Compliance Testing</w:t>
      </w:r>
      <w:r>
        <w:tab/>
        <w:t>60</w:t>
      </w:r>
    </w:p>
    <w:p w:rsidR="00AA0321" w:rsidP="00464989" w14:paraId="0C431FE4" w14:textId="0B1D145C">
      <w:pPr>
        <w:pStyle w:val="TOC3"/>
        <w:tabs>
          <w:tab w:val="left" w:pos="360"/>
        </w:tabs>
        <w:rPr>
          <w:rFonts w:asciiTheme="minorHAnsi" w:eastAsiaTheme="minorEastAsia" w:hAnsiTheme="minorHAnsi" w:cstheme="minorBidi"/>
          <w:snapToGrid/>
          <w:kern w:val="2"/>
          <w:szCs w:val="22"/>
          <w14:ligatures w14:val="standardContextual"/>
        </w:rPr>
      </w:pPr>
      <w:r>
        <w:t>2.</w:t>
      </w:r>
      <w:r>
        <w:rPr>
          <w:rFonts w:asciiTheme="minorHAnsi" w:eastAsiaTheme="minorEastAsia" w:hAnsiTheme="minorHAnsi" w:cstheme="minorBidi"/>
          <w:snapToGrid/>
          <w:kern w:val="2"/>
          <w:szCs w:val="22"/>
          <w14:ligatures w14:val="standardContextual"/>
        </w:rPr>
        <w:tab/>
      </w:r>
      <w:r>
        <w:t>Operation of Equipment Subject to Prior Waivers and Transition Provisions</w:t>
      </w:r>
      <w:r>
        <w:tab/>
        <w:t>63</w:t>
      </w:r>
    </w:p>
    <w:p w:rsidR="00AA0321" w:rsidP="00AA0321" w14:paraId="062B35EA" w14:textId="00CBFDDA">
      <w:pPr>
        <w:pStyle w:val="TOC1"/>
        <w:rPr>
          <w:rFonts w:asciiTheme="minorHAnsi" w:eastAsiaTheme="minorEastAsia" w:hAnsiTheme="minorHAnsi" w:cstheme="minorBidi"/>
          <w:caps w:val="0"/>
          <w:snapToGrid/>
          <w:kern w:val="2"/>
          <w:szCs w:val="22"/>
          <w14:ligatures w14:val="standardContextual"/>
        </w:rPr>
      </w:pPr>
      <w:r>
        <w:t>IV.</w:t>
      </w:r>
      <w:r>
        <w:rPr>
          <w:rFonts w:asciiTheme="minorHAnsi" w:eastAsiaTheme="minorEastAsia" w:hAnsiTheme="minorHAnsi" w:cstheme="minorBidi"/>
          <w:caps w:val="0"/>
          <w:snapToGrid/>
          <w:kern w:val="2"/>
          <w:szCs w:val="22"/>
          <w14:ligatures w14:val="standardContextual"/>
        </w:rPr>
        <w:tab/>
      </w:r>
      <w:r>
        <w:t>Procedural Matters</w:t>
      </w:r>
      <w:r>
        <w:tab/>
        <w:t>66</w:t>
      </w:r>
    </w:p>
    <w:p w:rsidR="00AA0321" w:rsidP="00AA0321" w14:paraId="42BFFB71" w14:textId="30E201AE">
      <w:pPr>
        <w:pStyle w:val="TOC1"/>
        <w:rPr>
          <w:rFonts w:asciiTheme="minorHAnsi" w:eastAsiaTheme="minorEastAsia" w:hAnsiTheme="minorHAnsi" w:cstheme="minorBidi"/>
          <w:caps w:val="0"/>
          <w:snapToGrid/>
          <w:kern w:val="2"/>
          <w:szCs w:val="22"/>
          <w14:ligatures w14:val="standardContextual"/>
        </w:rPr>
      </w:pPr>
      <w:r>
        <w:t>V.</w:t>
      </w:r>
      <w:r>
        <w:rPr>
          <w:rFonts w:asciiTheme="minorHAnsi" w:eastAsiaTheme="minorEastAsia" w:hAnsiTheme="minorHAnsi" w:cstheme="minorBidi"/>
          <w:caps w:val="0"/>
          <w:snapToGrid/>
          <w:kern w:val="2"/>
          <w:szCs w:val="22"/>
          <w14:ligatures w14:val="standardContextual"/>
        </w:rPr>
        <w:tab/>
      </w:r>
      <w:r>
        <w:t>Ordering Clauses</w:t>
      </w:r>
      <w:r>
        <w:tab/>
        <w:t>69</w:t>
      </w:r>
    </w:p>
    <w:p w:rsidR="00847BD4" w:rsidP="00847BD4" w14:paraId="343B8A0F" w14:textId="27110D66">
      <w:pPr>
        <w:pStyle w:val="CommentText"/>
        <w:rPr>
          <w:sz w:val="22"/>
          <w:szCs w:val="22"/>
        </w:rPr>
      </w:pPr>
      <w:r>
        <w:rPr>
          <w:sz w:val="22"/>
          <w:szCs w:val="22"/>
        </w:rPr>
        <w:t>Appendix A –</w:t>
      </w:r>
      <w:r w:rsidRPr="00847BD4">
        <w:rPr>
          <w:sz w:val="22"/>
          <w:szCs w:val="22"/>
        </w:rPr>
        <w:t xml:space="preserve"> </w:t>
      </w:r>
      <w:r>
        <w:rPr>
          <w:sz w:val="22"/>
          <w:szCs w:val="22"/>
        </w:rPr>
        <w:t xml:space="preserve">List of Commenters </w:t>
      </w:r>
    </w:p>
    <w:p w:rsidR="00847BD4" w:rsidRPr="00E80E59" w:rsidP="00847BD4" w14:paraId="6B2C434E" w14:textId="65A91374">
      <w:pPr>
        <w:pStyle w:val="CommentText"/>
        <w:rPr>
          <w:sz w:val="22"/>
          <w:szCs w:val="22"/>
        </w:rPr>
      </w:pPr>
      <w:r w:rsidRPr="00E80E59">
        <w:rPr>
          <w:sz w:val="22"/>
          <w:szCs w:val="22"/>
        </w:rPr>
        <w:t>Appendix B</w:t>
      </w:r>
      <w:r>
        <w:rPr>
          <w:sz w:val="22"/>
          <w:szCs w:val="22"/>
        </w:rPr>
        <w:t xml:space="preserve"> –</w:t>
      </w:r>
      <w:r w:rsidRPr="00847BD4">
        <w:rPr>
          <w:sz w:val="22"/>
          <w:szCs w:val="22"/>
        </w:rPr>
        <w:t xml:space="preserve"> </w:t>
      </w:r>
      <w:r>
        <w:rPr>
          <w:sz w:val="22"/>
          <w:szCs w:val="22"/>
        </w:rPr>
        <w:t>Final Rules</w:t>
      </w:r>
      <w:r w:rsidRPr="00E80E59">
        <w:rPr>
          <w:sz w:val="22"/>
          <w:szCs w:val="22"/>
        </w:rPr>
        <w:t xml:space="preserve"> </w:t>
      </w:r>
    </w:p>
    <w:p w:rsidR="00847BD4" w:rsidP="00847BD4" w14:paraId="1C1EE9B8" w14:textId="6E1FE663">
      <w:pPr>
        <w:pStyle w:val="CommentText"/>
        <w:rPr>
          <w:sz w:val="22"/>
          <w:szCs w:val="22"/>
        </w:rPr>
      </w:pPr>
      <w:r>
        <w:rPr>
          <w:sz w:val="22"/>
          <w:szCs w:val="22"/>
        </w:rPr>
        <w:t xml:space="preserve">Appendix C – </w:t>
      </w:r>
      <w:r w:rsidRPr="00E80E59">
        <w:rPr>
          <w:sz w:val="22"/>
          <w:szCs w:val="22"/>
        </w:rPr>
        <w:t>Final Regulatory Flexibility Analysis</w:t>
      </w:r>
    </w:p>
    <w:p w:rsidR="00847BD4" w:rsidP="00847BD4" w14:paraId="58328070" w14:textId="755353E0">
      <w:pPr>
        <w:pStyle w:val="CommentText"/>
        <w:rPr>
          <w:sz w:val="22"/>
          <w:szCs w:val="22"/>
        </w:rPr>
      </w:pPr>
      <w:r>
        <w:rPr>
          <w:sz w:val="22"/>
          <w:szCs w:val="22"/>
        </w:rPr>
        <w:t xml:space="preserve">Appendix D – </w:t>
      </w:r>
      <w:r w:rsidR="00F459C4">
        <w:rPr>
          <w:sz w:val="22"/>
          <w:szCs w:val="22"/>
        </w:rPr>
        <w:t>Tables of Technical Parameters</w:t>
      </w:r>
    </w:p>
    <w:p w:rsidR="00AA0321" w:rsidP="00F13E1B" w14:paraId="603843B2" w14:textId="2504BDBB">
      <w:pPr>
        <w:tabs>
          <w:tab w:val="left" w:pos="720"/>
          <w:tab w:val="right" w:pos="9360"/>
        </w:tabs>
        <w:suppressAutoHyphens/>
        <w:spacing w:line="227" w:lineRule="auto"/>
        <w:rPr>
          <w:color w:val="000000"/>
        </w:rPr>
      </w:pPr>
    </w:p>
    <w:p w:rsidR="00F13E1B" w:rsidRPr="00C3485D" w:rsidP="00F13E1B" w14:paraId="053CC1ED" w14:textId="77777777">
      <w:pPr>
        <w:pStyle w:val="Heading1"/>
      </w:pPr>
      <w:bookmarkStart w:id="2" w:name="_Toc15973984"/>
      <w:bookmarkStart w:id="3" w:name="_Toc16172269"/>
      <w:bookmarkStart w:id="4" w:name="_Toc17356045"/>
      <w:bookmarkStart w:id="5" w:name="_Toc17362396"/>
      <w:bookmarkStart w:id="6" w:name="_Toc21593282"/>
      <w:bookmarkStart w:id="7" w:name="_Toc22213756"/>
      <w:bookmarkStart w:id="8" w:name="_Toc22628835"/>
      <w:bookmarkStart w:id="9" w:name="_Toc22740307"/>
      <w:bookmarkStart w:id="10" w:name="_Toc22822470"/>
      <w:bookmarkStart w:id="11" w:name="_Toc30693979"/>
      <w:bookmarkStart w:id="12" w:name="_Toc31721166"/>
      <w:bookmarkStart w:id="13" w:name="_Toc33614414"/>
      <w:bookmarkStart w:id="14" w:name="_Toc135123539"/>
      <w:bookmarkEnd w:id="0"/>
      <w:r w:rsidRPr="00C3485D">
        <w:t>introduction</w:t>
      </w:r>
      <w:bookmarkEnd w:id="2"/>
      <w:bookmarkEnd w:id="3"/>
      <w:bookmarkEnd w:id="4"/>
      <w:bookmarkEnd w:id="5"/>
      <w:bookmarkEnd w:id="6"/>
      <w:bookmarkEnd w:id="7"/>
      <w:bookmarkEnd w:id="8"/>
      <w:bookmarkEnd w:id="9"/>
      <w:bookmarkEnd w:id="10"/>
      <w:bookmarkEnd w:id="11"/>
      <w:bookmarkEnd w:id="12"/>
      <w:bookmarkEnd w:id="13"/>
      <w:bookmarkEnd w:id="14"/>
    </w:p>
    <w:p w:rsidR="003C0EC9" w:rsidP="00F13E1B" w14:paraId="1BB02296" w14:textId="10241E39">
      <w:pPr>
        <w:pStyle w:val="ParaNum"/>
      </w:pPr>
      <w:bookmarkStart w:id="15" w:name="_Hlk530493872"/>
      <w:r>
        <w:t xml:space="preserve">In this </w:t>
      </w:r>
      <w:r w:rsidR="008F2579">
        <w:t>Report and Order</w:t>
      </w:r>
      <w:r>
        <w:t>, we revise our rule</w:t>
      </w:r>
      <w:r w:rsidR="004A430D">
        <w:t>s</w:t>
      </w:r>
      <w:r>
        <w:t xml:space="preserve"> to provide </w:t>
      </w:r>
      <w:r w:rsidR="009D31F4">
        <w:t>new opportunities for</w:t>
      </w:r>
      <w:r>
        <w:t xml:space="preserve"> unlicensed field disturbance sensor (FDS) devices (e.g., radars) </w:t>
      </w:r>
      <w:r w:rsidR="009D31F4">
        <w:t xml:space="preserve">to </w:t>
      </w:r>
      <w:r>
        <w:t>operate in the 57-</w:t>
      </w:r>
      <w:r w:rsidR="003A2C9F">
        <w:t>7</w:t>
      </w:r>
      <w:r w:rsidR="00341FA6">
        <w:t>1</w:t>
      </w:r>
      <w:r>
        <w:t xml:space="preserve"> GHz band</w:t>
      </w:r>
      <w:r w:rsidR="007D23B3">
        <w:t xml:space="preserve"> (</w:t>
      </w:r>
      <w:r w:rsidR="00602DAE">
        <w:t>60 GHz band)</w:t>
      </w:r>
      <w:r w:rsidR="00AC6300">
        <w:t xml:space="preserve"> while still ensuring coexistence with other unlicensed technologies in the band</w:t>
      </w:r>
      <w:r w:rsidR="00021A21">
        <w:t>.</w:t>
      </w:r>
      <w:r w:rsidR="004E1035">
        <w:t xml:space="preserve">  </w:t>
      </w:r>
      <w:r w:rsidR="00291684">
        <w:t>Our decis</w:t>
      </w:r>
      <w:r w:rsidR="00E344A8">
        <w:t>ion is a significant step in the continuing expansion and evolution of our</w:t>
      </w:r>
      <w:r w:rsidR="003B62CC">
        <w:t xml:space="preserve"> rules</w:t>
      </w:r>
      <w:r w:rsidR="00190E41">
        <w:t xml:space="preserve"> and</w:t>
      </w:r>
      <w:r w:rsidR="00825E82">
        <w:t xml:space="preserve"> will </w:t>
      </w:r>
      <w:r w:rsidR="00537DBB">
        <w:t>supercharge</w:t>
      </w:r>
      <w:r w:rsidR="00007EC9">
        <w:t xml:space="preserve"> </w:t>
      </w:r>
      <w:r w:rsidR="00BC398A">
        <w:t xml:space="preserve">the development and deployment of </w:t>
      </w:r>
      <w:r w:rsidR="00604DAF">
        <w:t xml:space="preserve">new and innovative </w:t>
      </w:r>
      <w:r w:rsidR="00BD1F26">
        <w:t>radar operations</w:t>
      </w:r>
      <w:r w:rsidR="00926FBC">
        <w:t>—</w:t>
      </w:r>
      <w:r w:rsidR="00BC398A">
        <w:t>including</w:t>
      </w:r>
      <w:r w:rsidR="008D0C6F">
        <w:t xml:space="preserve"> </w:t>
      </w:r>
      <w:r w:rsidR="00DF1838">
        <w:t xml:space="preserve">valuable safety </w:t>
      </w:r>
      <w:r w:rsidR="00E75418">
        <w:t>applications</w:t>
      </w:r>
      <w:r w:rsidR="008D0C6F">
        <w:t xml:space="preserve"> </w:t>
      </w:r>
      <w:r w:rsidR="00D0794B">
        <w:t xml:space="preserve">that </w:t>
      </w:r>
      <w:r w:rsidR="00AB1F6D">
        <w:t>detect unattended children in vehicle</w:t>
      </w:r>
      <w:r w:rsidR="00E75418">
        <w:t xml:space="preserve">s </w:t>
      </w:r>
      <w:r w:rsidR="00D0794B">
        <w:t xml:space="preserve">and which </w:t>
      </w:r>
      <w:r w:rsidR="00830CCC">
        <w:t xml:space="preserve">previously </w:t>
      </w:r>
      <w:r w:rsidR="000A41C3">
        <w:t xml:space="preserve">could only be </w:t>
      </w:r>
      <w:r w:rsidR="00B24F03">
        <w:t xml:space="preserve">permitted </w:t>
      </w:r>
      <w:r w:rsidR="008A7610">
        <w:t>th</w:t>
      </w:r>
      <w:r w:rsidR="000A6DDA">
        <w:t>r</w:t>
      </w:r>
      <w:r w:rsidR="008A7610">
        <w:t>ough a waiver of the rules</w:t>
      </w:r>
      <w:r w:rsidR="005467D1">
        <w:t>.</w:t>
      </w:r>
    </w:p>
    <w:p w:rsidR="00A33501" w:rsidP="00883AEE" w14:paraId="2C7E3FFB" w14:textId="53CE363C">
      <w:pPr>
        <w:pStyle w:val="ParaNum"/>
      </w:pPr>
      <w:r>
        <w:t xml:space="preserve">Our decision </w:t>
      </w:r>
      <w:r w:rsidR="00DE5B72">
        <w:t xml:space="preserve">also </w:t>
      </w:r>
      <w:r w:rsidR="005406DE">
        <w:t>reflects</w:t>
      </w:r>
      <w:r w:rsidR="00922127">
        <w:t xml:space="preserve"> </w:t>
      </w:r>
      <w:r w:rsidR="00AA53ED">
        <w:t xml:space="preserve">the </w:t>
      </w:r>
      <w:r w:rsidR="00481713">
        <w:t xml:space="preserve">work </w:t>
      </w:r>
      <w:r w:rsidR="00B75989">
        <w:t xml:space="preserve">that </w:t>
      </w:r>
      <w:r w:rsidR="00F94EE7">
        <w:t xml:space="preserve">unlicensed </w:t>
      </w:r>
      <w:r w:rsidR="00EB3ECE">
        <w:t>radar</w:t>
      </w:r>
      <w:r w:rsidR="00B75989">
        <w:t xml:space="preserve"> and communication </w:t>
      </w:r>
      <w:r w:rsidR="00EB3ECE">
        <w:t xml:space="preserve">user interests have </w:t>
      </w:r>
      <w:r w:rsidR="009F3EA5">
        <w:t>taken</w:t>
      </w:r>
      <w:r w:rsidR="00736068">
        <w:t xml:space="preserve"> over the course of this proceeding</w:t>
      </w:r>
      <w:r w:rsidR="00983838">
        <w:t xml:space="preserve"> to identify</w:t>
      </w:r>
      <w:r w:rsidR="008F53C9">
        <w:t xml:space="preserve"> a</w:t>
      </w:r>
      <w:r w:rsidR="00983838">
        <w:t xml:space="preserve"> </w:t>
      </w:r>
      <w:r w:rsidR="00A1026D">
        <w:t xml:space="preserve">path </w:t>
      </w:r>
      <w:r w:rsidR="005E2D5B">
        <w:t>to</w:t>
      </w:r>
      <w:r w:rsidR="00A1026D">
        <w:t xml:space="preserve"> promot</w:t>
      </w:r>
      <w:r w:rsidR="005E2D5B">
        <w:t>e</w:t>
      </w:r>
      <w:r w:rsidR="00A1026D">
        <w:t xml:space="preserve"> operational compatibility, as well as </w:t>
      </w:r>
      <w:r w:rsidR="00FF4940">
        <w:t xml:space="preserve">the </w:t>
      </w:r>
      <w:r w:rsidR="005165CF">
        <w:t>engagement</w:t>
      </w:r>
      <w:r w:rsidR="00FF4940">
        <w:t xml:space="preserve"> of </w:t>
      </w:r>
      <w:r w:rsidR="0093691A">
        <w:t xml:space="preserve">Federal government </w:t>
      </w:r>
      <w:r w:rsidR="001A6124">
        <w:t xml:space="preserve">entities </w:t>
      </w:r>
      <w:r w:rsidR="005165CF">
        <w:t>that are authorized to operate in the band</w:t>
      </w:r>
      <w:r w:rsidR="007743C4">
        <w:t>.</w:t>
      </w:r>
      <w:r w:rsidR="005406DE">
        <w:t xml:space="preserve">  </w:t>
      </w:r>
      <w:r w:rsidR="00EB1452">
        <w:t xml:space="preserve">The contributions and subsequent agreement among these diverse groups </w:t>
      </w:r>
      <w:r w:rsidR="00BC4722">
        <w:t>give</w:t>
      </w:r>
      <w:r w:rsidR="00775CA2">
        <w:t>s</w:t>
      </w:r>
      <w:r w:rsidR="00AA6ADF">
        <w:t xml:space="preserve"> us </w:t>
      </w:r>
      <w:r w:rsidR="00D745E5">
        <w:t>confidence</w:t>
      </w:r>
      <w:r w:rsidR="00643309">
        <w:t xml:space="preserve"> </w:t>
      </w:r>
      <w:r w:rsidR="00643309">
        <w:t>that t</w:t>
      </w:r>
      <w:r w:rsidR="00816ADC">
        <w:t>he rules</w:t>
      </w:r>
      <w:r w:rsidR="00C73805">
        <w:t xml:space="preserve"> we adopt</w:t>
      </w:r>
      <w:r w:rsidR="00816ADC">
        <w:t xml:space="preserve"> </w:t>
      </w:r>
      <w:r w:rsidR="00BA720B">
        <w:t xml:space="preserve">will successfully </w:t>
      </w:r>
      <w:r w:rsidR="00A41170">
        <w:t>expand</w:t>
      </w:r>
      <w:r w:rsidR="00883AEE">
        <w:t xml:space="preserve"> unlicensed radar use </w:t>
      </w:r>
      <w:r w:rsidR="00BD1F26">
        <w:t xml:space="preserve">while promoting compatibility with unlicensed communications operations that have long been permitted </w:t>
      </w:r>
      <w:r w:rsidR="30B2BC30">
        <w:t>in</w:t>
      </w:r>
      <w:r w:rsidR="00BD1F26">
        <w:t xml:space="preserve"> the band</w:t>
      </w:r>
      <w:r w:rsidR="00DE22C0">
        <w:t>.</w:t>
      </w:r>
      <w:r w:rsidR="00BD1F26">
        <w:t xml:space="preserve"> </w:t>
      </w:r>
      <w:r w:rsidR="002B6898">
        <w:t xml:space="preserve"> </w:t>
      </w:r>
      <w:r w:rsidR="00E67CC0">
        <w:t>W</w:t>
      </w:r>
      <w:r w:rsidR="001301E1">
        <w:t>e</w:t>
      </w:r>
      <w:r w:rsidR="00E67CC0">
        <w:t xml:space="preserve"> also </w:t>
      </w:r>
      <w:r w:rsidR="00816EB2">
        <w:t>uphold</w:t>
      </w:r>
      <w:r w:rsidR="00BD1F26">
        <w:t xml:space="preserve"> </w:t>
      </w:r>
      <w:r w:rsidR="00C76A6C">
        <w:t>the fundamental principle that</w:t>
      </w:r>
      <w:r w:rsidR="00BD1F26">
        <w:t xml:space="preserve"> all unlicensed operations in the band</w:t>
      </w:r>
      <w:r w:rsidR="005414B1">
        <w:t>—</w:t>
      </w:r>
      <w:r w:rsidR="00BD1F26">
        <w:t xml:space="preserve">whether operating as communications devices or </w:t>
      </w:r>
      <w:r w:rsidR="007E6802">
        <w:t xml:space="preserve">new </w:t>
      </w:r>
      <w:r w:rsidR="00BD1F26">
        <w:t>radar</w:t>
      </w:r>
      <w:r w:rsidR="007E6802">
        <w:t xml:space="preserve"> applications</w:t>
      </w:r>
      <w:r w:rsidR="005414B1">
        <w:t>—</w:t>
      </w:r>
      <w:r w:rsidR="002C2120">
        <w:t xml:space="preserve">must </w:t>
      </w:r>
      <w:r w:rsidR="00BD1F26">
        <w:t>not cause harmful interference to licensed and authorized Federal and non-Federal users</w:t>
      </w:r>
      <w:r w:rsidR="00C76A6C">
        <w:t>.</w:t>
      </w:r>
    </w:p>
    <w:bookmarkEnd w:id="15"/>
    <w:p w:rsidR="00325945" w:rsidRPr="00363BD6" w:rsidP="00F13E1B" w14:paraId="4D040F2F" w14:textId="28AF6E81">
      <w:pPr>
        <w:pStyle w:val="ParaNum"/>
      </w:pPr>
      <w:r>
        <w:t>A</w:t>
      </w:r>
      <w:r w:rsidR="000E1897">
        <w:t>s discussed in greater detail below</w:t>
      </w:r>
      <w:r w:rsidR="00B04C14">
        <w:t>,</w:t>
      </w:r>
      <w:r w:rsidR="009D4A40">
        <w:t xml:space="preserve"> the rules we adopt</w:t>
      </w:r>
      <w:r w:rsidR="004F0F48">
        <w:t xml:space="preserve"> </w:t>
      </w:r>
      <w:r w:rsidR="0081713A">
        <w:t>set forth</w:t>
      </w:r>
      <w:r w:rsidR="004F0F48">
        <w:t xml:space="preserve"> </w:t>
      </w:r>
      <w:r w:rsidR="00F509BA">
        <w:t xml:space="preserve">distinct </w:t>
      </w:r>
      <w:r w:rsidR="00666474">
        <w:t>technical and operation</w:t>
      </w:r>
      <w:r w:rsidR="009E6866">
        <w:t xml:space="preserve">al </w:t>
      </w:r>
      <w:r w:rsidR="009E1A9A">
        <w:t xml:space="preserve">provisions </w:t>
      </w:r>
      <w:r w:rsidR="00850359">
        <w:t xml:space="preserve">for </w:t>
      </w:r>
      <w:r w:rsidR="007010D5">
        <w:t xml:space="preserve">different segments </w:t>
      </w:r>
      <w:r w:rsidR="00D10258">
        <w:t>of the band</w:t>
      </w:r>
      <w:r w:rsidR="00BB5165">
        <w:t>.  They</w:t>
      </w:r>
      <w:r w:rsidR="0046265C">
        <w:t xml:space="preserve"> </w:t>
      </w:r>
      <w:r w:rsidR="00F578C4">
        <w:t>will</w:t>
      </w:r>
      <w:r w:rsidR="00513DC1">
        <w:t xml:space="preserve"> permit</w:t>
      </w:r>
      <w:r w:rsidR="00CE24AD">
        <w:t xml:space="preserve"> new fixed and mobile FDS devices </w:t>
      </w:r>
      <w:r w:rsidR="1C8B058B">
        <w:t>to implement</w:t>
      </w:r>
      <w:r w:rsidR="00FF76C0">
        <w:t xml:space="preserve"> </w:t>
      </w:r>
      <w:r w:rsidR="00CE24AD">
        <w:t xml:space="preserve">pulse </w:t>
      </w:r>
      <w:r w:rsidR="00FF76C0">
        <w:t>or</w:t>
      </w:r>
      <w:r w:rsidR="00CE24AD">
        <w:t xml:space="preserve"> </w:t>
      </w:r>
      <w:r w:rsidR="00E8004B">
        <w:t>frequenc</w:t>
      </w:r>
      <w:r w:rsidR="00C63291">
        <w:t xml:space="preserve">y-modulated </w:t>
      </w:r>
      <w:r w:rsidR="00305067">
        <w:t>continuous</w:t>
      </w:r>
      <w:r w:rsidR="009B3841">
        <w:t>-</w:t>
      </w:r>
      <w:r w:rsidR="00305067">
        <w:t>wave</w:t>
      </w:r>
      <w:r w:rsidR="006750A8">
        <w:t xml:space="preserve"> (FMCW)</w:t>
      </w:r>
      <w:r w:rsidR="00305067">
        <w:t xml:space="preserve"> </w:t>
      </w:r>
      <w:r w:rsidR="1EB0EEC6">
        <w:t>techniques to facilitat</w:t>
      </w:r>
      <w:r w:rsidR="6CAC802F">
        <w:t>e</w:t>
      </w:r>
      <w:r w:rsidR="00472D6F">
        <w:t xml:space="preserve"> </w:t>
      </w:r>
      <w:r w:rsidR="0076751C">
        <w:t>new use cases</w:t>
      </w:r>
      <w:r w:rsidR="00874DD0">
        <w:t xml:space="preserve"> including installation </w:t>
      </w:r>
      <w:r w:rsidR="008E45F0">
        <w:t xml:space="preserve">on </w:t>
      </w:r>
      <w:r w:rsidR="001D528C">
        <w:t>low-flying</w:t>
      </w:r>
      <w:r w:rsidR="008E45F0">
        <w:t xml:space="preserve"> </w:t>
      </w:r>
      <w:r w:rsidR="00295BF6">
        <w:t>un</w:t>
      </w:r>
      <w:r w:rsidR="005E3B8C">
        <w:t xml:space="preserve">manned </w:t>
      </w:r>
      <w:r w:rsidR="00427A6C">
        <w:t>aircraft</w:t>
      </w:r>
      <w:r w:rsidR="00D90690">
        <w:t xml:space="preserve">.  </w:t>
      </w:r>
      <w:r w:rsidR="0039510D">
        <w:t xml:space="preserve">Importantly, </w:t>
      </w:r>
      <w:r w:rsidR="004016FA">
        <w:t xml:space="preserve">novel </w:t>
      </w:r>
      <w:r w:rsidR="004F57B9">
        <w:t xml:space="preserve">use cases that support </w:t>
      </w:r>
      <w:r w:rsidR="002D4C39">
        <w:t>safety</w:t>
      </w:r>
      <w:r w:rsidR="004016FA">
        <w:t xml:space="preserve">, such as </w:t>
      </w:r>
      <w:r w:rsidRPr="00A50E17" w:rsidR="50BE84F2">
        <w:t>vehicle occupant detection</w:t>
      </w:r>
      <w:r w:rsidRPr="00A50E17" w:rsidR="1EA0D26F">
        <w:t xml:space="preserve">, chest </w:t>
      </w:r>
      <w:r w:rsidRPr="00A50E17" w:rsidR="50BE84F2">
        <w:t>movement</w:t>
      </w:r>
      <w:r w:rsidRPr="00A50E17" w:rsidR="1EA0D26F">
        <w:t xml:space="preserve"> </w:t>
      </w:r>
      <w:r w:rsidRPr="00A50E17" w:rsidR="00EA3AC8">
        <w:t xml:space="preserve">detection </w:t>
      </w:r>
      <w:r w:rsidRPr="00A50E17" w:rsidR="1EA0D26F">
        <w:t xml:space="preserve">to </w:t>
      </w:r>
      <w:r w:rsidRPr="00A50E17" w:rsidR="50BE84F2">
        <w:t>determine breathing patterns, and eye</w:t>
      </w:r>
      <w:r w:rsidRPr="00A50E17" w:rsidR="0EC5765C">
        <w:t xml:space="preserve"> lid movement </w:t>
      </w:r>
      <w:r w:rsidRPr="00A50E17" w:rsidR="0095596E">
        <w:t xml:space="preserve">detection </w:t>
      </w:r>
      <w:r w:rsidRPr="00A50E17" w:rsidR="0EC5765C">
        <w:t>to determine</w:t>
      </w:r>
      <w:r w:rsidRPr="00A50E17" w:rsidR="37FF8362">
        <w:t xml:space="preserve"> driver alertness</w:t>
      </w:r>
      <w:r w:rsidRPr="00A50E17" w:rsidR="0095596E">
        <w:t xml:space="preserve"> </w:t>
      </w:r>
      <w:r w:rsidRPr="00A50E17" w:rsidR="008A3D4A">
        <w:t>are also expected to</w:t>
      </w:r>
      <w:r w:rsidRPr="00A50E17" w:rsidR="00147174">
        <w:t xml:space="preserve"> </w:t>
      </w:r>
      <w:r w:rsidRPr="00A50E17" w:rsidR="00A66249">
        <w:t>see widespread deployment.</w:t>
      </w:r>
      <w:r w:rsidR="00461B6A">
        <w:t xml:space="preserve">  </w:t>
      </w:r>
      <w:r w:rsidR="0073791F">
        <w:t>This</w:t>
      </w:r>
      <w:r w:rsidR="00555346">
        <w:t xml:space="preserve"> </w:t>
      </w:r>
      <w:r w:rsidR="00F621C9">
        <w:t xml:space="preserve">approach </w:t>
      </w:r>
      <w:r w:rsidR="00D03093">
        <w:t xml:space="preserve">recognizes </w:t>
      </w:r>
      <w:r w:rsidR="009A19C3">
        <w:t>evolution in the proceeding</w:t>
      </w:r>
      <w:r w:rsidR="00426334">
        <w:t xml:space="preserve"> </w:t>
      </w:r>
      <w:r w:rsidR="007E47FD">
        <w:t>as</w:t>
      </w:r>
      <w:r w:rsidR="001C74C7">
        <w:t xml:space="preserve"> </w:t>
      </w:r>
      <w:r w:rsidR="00343A74">
        <w:t xml:space="preserve">different unlicensed interests </w:t>
      </w:r>
      <w:r w:rsidR="00972D3B">
        <w:t>provided information on the wide array of potential uses for FDS devices and developed a consensus approach for accommodating these innovative applications.</w:t>
      </w:r>
      <w:r w:rsidR="00D03093">
        <w:t xml:space="preserve"> </w:t>
      </w:r>
      <w:r w:rsidR="004F2744">
        <w:t xml:space="preserve"> Our</w:t>
      </w:r>
      <w:r w:rsidR="005162FB">
        <w:t xml:space="preserve"> decision is</w:t>
      </w:r>
      <w:r w:rsidR="00985F8F">
        <w:t xml:space="preserve"> especially well </w:t>
      </w:r>
      <w:r w:rsidR="005B0AD0">
        <w:t>suited</w:t>
      </w:r>
      <w:r w:rsidR="00E65CDC">
        <w:t xml:space="preserve"> to</w:t>
      </w:r>
      <w:r w:rsidR="002E58B4">
        <w:t xml:space="preserve"> </w:t>
      </w:r>
      <w:r w:rsidRPr="00A04AD1" w:rsidR="008201BD">
        <w:rPr>
          <w:snapToGrid/>
          <w:kern w:val="0"/>
        </w:rPr>
        <w:t>stimula</w:t>
      </w:r>
      <w:r w:rsidR="00546FB9">
        <w:rPr>
          <w:snapToGrid/>
          <w:kern w:val="0"/>
        </w:rPr>
        <w:t>te</w:t>
      </w:r>
      <w:r w:rsidRPr="00A04AD1" w:rsidR="008201BD">
        <w:rPr>
          <w:snapToGrid/>
          <w:kern w:val="0"/>
        </w:rPr>
        <w:t xml:space="preserve"> the </w:t>
      </w:r>
      <w:r w:rsidR="00E02405">
        <w:rPr>
          <w:snapToGrid/>
          <w:kern w:val="0"/>
        </w:rPr>
        <w:t xml:space="preserve">rapid </w:t>
      </w:r>
      <w:r w:rsidRPr="00A04AD1" w:rsidR="008201BD">
        <w:rPr>
          <w:snapToGrid/>
          <w:kern w:val="0"/>
        </w:rPr>
        <w:t xml:space="preserve">development of new products and services in </w:t>
      </w:r>
      <w:r w:rsidR="007254DA">
        <w:rPr>
          <w:snapToGrid/>
          <w:kern w:val="0"/>
        </w:rPr>
        <w:t xml:space="preserve">such </w:t>
      </w:r>
      <w:r w:rsidR="00DC014B">
        <w:rPr>
          <w:snapToGrid/>
          <w:kern w:val="0"/>
        </w:rPr>
        <w:t xml:space="preserve">important </w:t>
      </w:r>
      <w:r w:rsidR="004121CD">
        <w:rPr>
          <w:snapToGrid/>
          <w:kern w:val="0"/>
        </w:rPr>
        <w:t>areas as</w:t>
      </w:r>
      <w:r w:rsidRPr="00A04AD1" w:rsidR="008201BD">
        <w:rPr>
          <w:snapToGrid/>
          <w:kern w:val="0"/>
        </w:rPr>
        <w:t xml:space="preserve"> healthcare monitoring</w:t>
      </w:r>
      <w:r w:rsidR="008201BD">
        <w:rPr>
          <w:snapToGrid/>
          <w:kern w:val="0"/>
        </w:rPr>
        <w:t>,</w:t>
      </w:r>
      <w:r w:rsidRPr="00A04AD1" w:rsidR="008201BD">
        <w:rPr>
          <w:snapToGrid/>
          <w:kern w:val="0"/>
        </w:rPr>
        <w:t xml:space="preserve"> personal safety, </w:t>
      </w:r>
      <w:r w:rsidRPr="00FC3029" w:rsidR="008201BD">
        <w:t>autonomous</w:t>
      </w:r>
      <w:r w:rsidRPr="00A04AD1" w:rsidR="008201BD">
        <w:rPr>
          <w:snapToGrid/>
          <w:kern w:val="0"/>
        </w:rPr>
        <w:t xml:space="preserve"> vehicles, home </w:t>
      </w:r>
      <w:r w:rsidR="008201BD">
        <w:rPr>
          <w:snapToGrid/>
          <w:kern w:val="0"/>
        </w:rPr>
        <w:t xml:space="preserve">and industrial </w:t>
      </w:r>
      <w:r w:rsidRPr="00A04AD1" w:rsidR="008201BD">
        <w:rPr>
          <w:snapToGrid/>
          <w:kern w:val="0"/>
        </w:rPr>
        <w:t xml:space="preserve">automation, </w:t>
      </w:r>
      <w:r w:rsidR="008201BD">
        <w:rPr>
          <w:snapToGrid/>
          <w:kern w:val="0"/>
        </w:rPr>
        <w:t xml:space="preserve">and </w:t>
      </w:r>
      <w:r w:rsidRPr="00A04AD1" w:rsidR="008201BD">
        <w:rPr>
          <w:snapToGrid/>
          <w:kern w:val="0"/>
        </w:rPr>
        <w:t>environmental control</w:t>
      </w:r>
      <w:r w:rsidR="00D30E0D">
        <w:rPr>
          <w:snapToGrid/>
          <w:kern w:val="0"/>
        </w:rPr>
        <w:t>.</w:t>
      </w:r>
    </w:p>
    <w:p w:rsidR="00F13E1B" w:rsidRPr="00C3485D" w:rsidP="00F13E1B" w14:paraId="68DBA9DA" w14:textId="77777777">
      <w:pPr>
        <w:pStyle w:val="Heading1"/>
      </w:pPr>
      <w:bookmarkStart w:id="16" w:name="_Toc15973985"/>
      <w:bookmarkStart w:id="17" w:name="_Toc16172270"/>
      <w:bookmarkStart w:id="18" w:name="_Toc17356046"/>
      <w:bookmarkStart w:id="19" w:name="_Toc17362397"/>
      <w:bookmarkStart w:id="20" w:name="_Toc21593283"/>
      <w:bookmarkStart w:id="21" w:name="_Toc22213757"/>
      <w:bookmarkStart w:id="22" w:name="_Toc22628836"/>
      <w:bookmarkStart w:id="23" w:name="_Toc22740308"/>
      <w:bookmarkStart w:id="24" w:name="_Toc22822471"/>
      <w:bookmarkStart w:id="25" w:name="_Toc30693980"/>
      <w:bookmarkStart w:id="26" w:name="_Toc31721167"/>
      <w:bookmarkStart w:id="27" w:name="_Toc33614415"/>
      <w:bookmarkStart w:id="28" w:name="_Toc135123540"/>
      <w:r w:rsidRPr="00C3485D">
        <w:t>Background</w:t>
      </w:r>
      <w:bookmarkEnd w:id="16"/>
      <w:bookmarkEnd w:id="17"/>
      <w:bookmarkEnd w:id="18"/>
      <w:bookmarkEnd w:id="19"/>
      <w:bookmarkEnd w:id="20"/>
      <w:bookmarkEnd w:id="21"/>
      <w:bookmarkEnd w:id="22"/>
      <w:bookmarkEnd w:id="23"/>
      <w:bookmarkEnd w:id="24"/>
      <w:bookmarkEnd w:id="25"/>
      <w:bookmarkEnd w:id="26"/>
      <w:bookmarkEnd w:id="27"/>
      <w:bookmarkEnd w:id="28"/>
    </w:p>
    <w:p w:rsidR="00CF3A14" w:rsidP="00F13E1B" w14:paraId="3DB6A55C" w14:textId="34BFF6A0">
      <w:pPr>
        <w:pStyle w:val="ParaNum"/>
      </w:pPr>
      <w:bookmarkStart w:id="29" w:name="_Ref65779852"/>
      <w:bookmarkStart w:id="30" w:name="_Ref63074172"/>
      <w:bookmarkStart w:id="31" w:name="_Toc15973986"/>
      <w:bookmarkStart w:id="32" w:name="_Toc16172271"/>
      <w:bookmarkStart w:id="33" w:name="_Toc17356047"/>
      <w:bookmarkStart w:id="34" w:name="_Toc17362398"/>
      <w:bookmarkStart w:id="35" w:name="_Toc21593284"/>
      <w:bookmarkStart w:id="36" w:name="_Toc22213758"/>
      <w:bookmarkStart w:id="37" w:name="_Toc22628837"/>
      <w:bookmarkStart w:id="38" w:name="_Toc22740309"/>
      <w:bookmarkStart w:id="39" w:name="_Toc22822472"/>
      <w:bookmarkStart w:id="40" w:name="_Toc30693981"/>
      <w:bookmarkStart w:id="41" w:name="_Toc31721168"/>
      <w:bookmarkStart w:id="42" w:name="_Toc33614416"/>
      <w:r>
        <w:t>I</w:t>
      </w:r>
      <w:r>
        <w:t xml:space="preserve">n 2021, the Commission </w:t>
      </w:r>
      <w:r>
        <w:t>issued</w:t>
      </w:r>
      <w:r>
        <w:t xml:space="preserve"> a Notice of Proposed Rulemaking (</w:t>
      </w:r>
      <w:r w:rsidRPr="59CB47AA">
        <w:rPr>
          <w:i/>
          <w:iCs/>
        </w:rPr>
        <w:t>NPRM</w:t>
      </w:r>
      <w:r>
        <w:t xml:space="preserve">) </w:t>
      </w:r>
      <w:r w:rsidR="00791B59">
        <w:t>that</w:t>
      </w:r>
      <w:r>
        <w:t xml:space="preserve"> proposed to change the rules in section 15.255 to permit FDS devices to operate at higher power limits and </w:t>
      </w:r>
      <w:r w:rsidR="00E10C3A">
        <w:t xml:space="preserve">provide a more expansive range </w:t>
      </w:r>
      <w:r w:rsidR="00960E21">
        <w:t xml:space="preserve">of </w:t>
      </w:r>
      <w:r>
        <w:t>applications than the rules currently allow.</w:t>
      </w:r>
      <w:r>
        <w:rPr>
          <w:rStyle w:val="FootnoteReference"/>
        </w:rPr>
        <w:footnoteReference w:id="3"/>
      </w:r>
      <w:r w:rsidR="00FA60FB">
        <w:t xml:space="preserve"> </w:t>
      </w:r>
      <w:r w:rsidR="00FB607D">
        <w:t xml:space="preserve"> </w:t>
      </w:r>
      <w:r w:rsidR="00AB070F">
        <w:t>The proposal</w:t>
      </w:r>
      <w:r w:rsidR="00C87FEE">
        <w:t xml:space="preserve">s, </w:t>
      </w:r>
      <w:r w:rsidR="001C62E2">
        <w:t xml:space="preserve">recognizing </w:t>
      </w:r>
      <w:r w:rsidR="00C87FEE">
        <w:t>the</w:t>
      </w:r>
      <w:r w:rsidR="001C62E2">
        <w:t xml:space="preserve"> burgeoning interest in allowing the use of mobile radars in the band for innovative and life-saving functions</w:t>
      </w:r>
      <w:r w:rsidR="00C87FEE">
        <w:t xml:space="preserve">, </w:t>
      </w:r>
      <w:r w:rsidR="00B7407B">
        <w:t>represented</w:t>
      </w:r>
      <w:r w:rsidR="00063A48">
        <w:t xml:space="preserve"> </w:t>
      </w:r>
      <w:r w:rsidR="00421A91">
        <w:t>the latest</w:t>
      </w:r>
      <w:r w:rsidR="00063A48">
        <w:t xml:space="preserve"> evolution </w:t>
      </w:r>
      <w:r w:rsidR="00421A91">
        <w:t>in</w:t>
      </w:r>
      <w:r w:rsidR="00063A48">
        <w:t xml:space="preserve"> a band </w:t>
      </w:r>
      <w:r w:rsidR="0076635B">
        <w:t xml:space="preserve">in which unlicensed operations </w:t>
      </w:r>
      <w:r w:rsidR="0009242F">
        <w:t>have been permitted for more than 20 years</w:t>
      </w:r>
      <w:r w:rsidR="00893D06">
        <w:t xml:space="preserve">.  </w:t>
      </w:r>
      <w:r w:rsidR="00863BB8">
        <w:t xml:space="preserve">The </w:t>
      </w:r>
      <w:r w:rsidR="00886437">
        <w:t xml:space="preserve">Commission </w:t>
      </w:r>
      <w:r w:rsidRPr="2B18D23C" w:rsidR="00863BB8">
        <w:t>attribut</w:t>
      </w:r>
      <w:r w:rsidR="00400537">
        <w:t>ed</w:t>
      </w:r>
      <w:r w:rsidR="00577C61">
        <w:t xml:space="preserve"> this </w:t>
      </w:r>
      <w:r w:rsidR="00B17B4C">
        <w:t xml:space="preserve">newfound interest </w:t>
      </w:r>
      <w:r w:rsidR="00863BB8">
        <w:t xml:space="preserve">to the </w:t>
      </w:r>
      <w:r w:rsidRPr="2B18D23C" w:rsidR="00863BB8">
        <w:t xml:space="preserve">availability of </w:t>
      </w:r>
      <w:r w:rsidR="007002F2">
        <w:t>affordable,</w:t>
      </w:r>
      <w:r w:rsidRPr="2B18D23C" w:rsidR="00863BB8">
        <w:t xml:space="preserve"> </w:t>
      </w:r>
      <w:r w:rsidR="00863BB8">
        <w:t>mass-produced chipsets that are capable of operating in the band</w:t>
      </w:r>
      <w:r w:rsidRPr="2B18D23C" w:rsidR="00863BB8">
        <w:t xml:space="preserve">, as well as </w:t>
      </w:r>
      <w:r w:rsidR="00863BB8">
        <w:t>the prospect of marketing and operating these mobile radar devices on a broad international scale</w:t>
      </w:r>
      <w:r w:rsidR="00982BA0">
        <w:t>.</w:t>
      </w:r>
      <w:r>
        <w:rPr>
          <w:rStyle w:val="FootnoteReference"/>
        </w:rPr>
        <w:footnoteReference w:id="4"/>
      </w:r>
      <w:r w:rsidR="00982BA0">
        <w:t xml:space="preserve"> </w:t>
      </w:r>
      <w:r w:rsidR="00863BB8">
        <w:t xml:space="preserve"> </w:t>
      </w:r>
      <w:r w:rsidR="00F94F73">
        <w:t xml:space="preserve">The </w:t>
      </w:r>
      <w:r w:rsidRPr="59CB47AA" w:rsidR="00F94F73">
        <w:rPr>
          <w:i/>
          <w:iCs/>
        </w:rPr>
        <w:t>NPRM</w:t>
      </w:r>
      <w:r w:rsidR="00F94F73">
        <w:t xml:space="preserve"> noted</w:t>
      </w:r>
      <w:r w:rsidR="00FA7E1C">
        <w:t>,</w:t>
      </w:r>
      <w:r w:rsidR="00F94F73">
        <w:t xml:space="preserve"> for example, that </w:t>
      </w:r>
      <w:r w:rsidR="00A25D4E">
        <w:t xml:space="preserve">interested parties had formed a 60 GHz </w:t>
      </w:r>
      <w:r w:rsidR="00FD7898">
        <w:t xml:space="preserve">Coexistence Study Group </w:t>
      </w:r>
      <w:r w:rsidR="006673F1">
        <w:t>that was “</w:t>
      </w:r>
      <w:r w:rsidR="006B1E3C">
        <w:t xml:space="preserve">looking into ways to accommodate both unlicensed communications device </w:t>
      </w:r>
      <w:r w:rsidR="00BD1C60">
        <w:t xml:space="preserve">and FDS operations in the band,” and whose members </w:t>
      </w:r>
      <w:r w:rsidR="00066084">
        <w:t>had “encouraged [the Commission]</w:t>
      </w:r>
      <w:r w:rsidR="0028280D">
        <w:t xml:space="preserve"> </w:t>
      </w:r>
      <w:r w:rsidR="00541B22">
        <w:t xml:space="preserve">to initiate a </w:t>
      </w:r>
      <w:r w:rsidR="00A47460">
        <w:t>rulemaking</w:t>
      </w:r>
      <w:r w:rsidR="00541B22">
        <w:t xml:space="preserve"> </w:t>
      </w:r>
      <w:r w:rsidR="00A47460">
        <w:t>proceeding</w:t>
      </w:r>
      <w:r w:rsidR="00541B22">
        <w:t xml:space="preserve"> </w:t>
      </w:r>
      <w:r w:rsidR="00A47460">
        <w:t xml:space="preserve">to review </w:t>
      </w:r>
      <w:r w:rsidR="00264D06">
        <w:t>…</w:t>
      </w:r>
      <w:r w:rsidR="008828C8">
        <w:t xml:space="preserve"> </w:t>
      </w:r>
      <w:r w:rsidR="00264D06">
        <w:t xml:space="preserve">the rules with a goal of putting in place a new framework to promote further </w:t>
      </w:r>
      <w:r w:rsidR="00777063">
        <w:t>innovation in the 60 GHz band by both unlicensed communications and FDS operations.”</w:t>
      </w:r>
      <w:r>
        <w:rPr>
          <w:rStyle w:val="FootnoteReference"/>
        </w:rPr>
        <w:footnoteReference w:id="5"/>
      </w:r>
      <w:r w:rsidR="002936A2">
        <w:t xml:space="preserve">  </w:t>
      </w:r>
      <w:r w:rsidR="00FA7E1C">
        <w:t xml:space="preserve">It </w:t>
      </w:r>
      <w:r w:rsidR="007360BF">
        <w:t>also</w:t>
      </w:r>
      <w:r w:rsidR="001E2857">
        <w:t xml:space="preserve"> recognized that </w:t>
      </w:r>
      <w:r w:rsidR="009D19A8">
        <w:t xml:space="preserve">the FCC’s </w:t>
      </w:r>
      <w:r w:rsidR="00E0168C">
        <w:t xml:space="preserve">2020 </w:t>
      </w:r>
      <w:r w:rsidR="009D19A8">
        <w:t xml:space="preserve">Technological Advisory Council (TAC) </w:t>
      </w:r>
      <w:r w:rsidR="00E0168C">
        <w:t xml:space="preserve">panel </w:t>
      </w:r>
      <w:r w:rsidR="005F2DD3">
        <w:t xml:space="preserve">recommended that the Commission </w:t>
      </w:r>
      <w:r w:rsidR="00654904">
        <w:t xml:space="preserve">initiate a rulemaking proceeding to examine the </w:t>
      </w:r>
      <w:r w:rsidR="003E1E62">
        <w:t xml:space="preserve">unlicensed rules </w:t>
      </w:r>
      <w:r w:rsidR="009345E2">
        <w:t xml:space="preserve">governing </w:t>
      </w:r>
      <w:r w:rsidR="00085363">
        <w:t xml:space="preserve">60 GHz </w:t>
      </w:r>
      <w:r w:rsidR="009345E2">
        <w:t>operations.</w:t>
      </w:r>
      <w:r>
        <w:rPr>
          <w:rStyle w:val="FootnoteReference"/>
        </w:rPr>
        <w:footnoteReference w:id="6"/>
      </w:r>
    </w:p>
    <w:p w:rsidR="000E3F47" w:rsidP="00B601BD" w14:paraId="4FC820C5" w14:textId="4DABF046">
      <w:pPr>
        <w:pStyle w:val="ParaNum"/>
      </w:pPr>
      <w:r>
        <w:t>Radar</w:t>
      </w:r>
      <w:r w:rsidR="48280E1A">
        <w:t>s operate by transmitting</w:t>
      </w:r>
      <w:r>
        <w:t xml:space="preserve"> radiofrequency (RF) signals </w:t>
      </w:r>
      <w:r w:rsidR="68F17C01">
        <w:t xml:space="preserve">at </w:t>
      </w:r>
      <w:r w:rsidR="256C3A44">
        <w:t>targets</w:t>
      </w:r>
      <w:r w:rsidR="68F17C01">
        <w:t xml:space="preserve"> </w:t>
      </w:r>
      <w:r>
        <w:t>and analy</w:t>
      </w:r>
      <w:r w:rsidR="47DB9CF8">
        <w:t>zing</w:t>
      </w:r>
      <w:r>
        <w:t xml:space="preserve"> the </w:t>
      </w:r>
      <w:r w:rsidR="489B9231">
        <w:t xml:space="preserve">subsequent </w:t>
      </w:r>
      <w:r>
        <w:t>reflections</w:t>
      </w:r>
      <w:r w:rsidR="22806281">
        <w:t xml:space="preserve"> </w:t>
      </w:r>
      <w:r>
        <w:t>to determine the</w:t>
      </w:r>
      <w:r w:rsidR="0460008A">
        <w:t xml:space="preserve"> targets’</w:t>
      </w:r>
      <w:r>
        <w:t xml:space="preserve"> speed, range, and direction.</w:t>
      </w:r>
      <w:r>
        <w:rPr>
          <w:rStyle w:val="FootnoteReference"/>
        </w:rPr>
        <w:footnoteReference w:id="7"/>
      </w:r>
      <w:r>
        <w:t xml:space="preserve">  </w:t>
      </w:r>
      <w:r w:rsidR="00BC0245">
        <w:t xml:space="preserve">Based on the record before us and prevalent </w:t>
      </w:r>
      <w:r w:rsidR="00A16A3F">
        <w:t>technologies</w:t>
      </w:r>
      <w:r w:rsidR="00F24BB3">
        <w:t>, t</w:t>
      </w:r>
      <w:r w:rsidR="00501E00">
        <w:rPr>
          <w:color w:val="000000" w:themeColor="text1"/>
        </w:rPr>
        <w:t>he two</w:t>
      </w:r>
      <w:r w:rsidRPr="7921A285" w:rsidR="0034661E">
        <w:rPr>
          <w:color w:val="000000" w:themeColor="text1"/>
        </w:rPr>
        <w:t xml:space="preserve"> common types of radars that </w:t>
      </w:r>
      <w:r w:rsidR="00D06FE5">
        <w:rPr>
          <w:color w:val="000000" w:themeColor="text1"/>
        </w:rPr>
        <w:t xml:space="preserve">we anticipate will </w:t>
      </w:r>
      <w:r w:rsidRPr="7921A285" w:rsidR="0034661E">
        <w:rPr>
          <w:color w:val="000000" w:themeColor="text1"/>
        </w:rPr>
        <w:t>operate in the 60 GHz band are FMCW radar</w:t>
      </w:r>
      <w:r w:rsidR="006F238B">
        <w:rPr>
          <w:color w:val="000000" w:themeColor="text1"/>
        </w:rPr>
        <w:t>s</w:t>
      </w:r>
      <w:r w:rsidRPr="7921A285" w:rsidR="0034661E">
        <w:rPr>
          <w:color w:val="000000" w:themeColor="text1"/>
        </w:rPr>
        <w:t xml:space="preserve"> and pulse radar</w:t>
      </w:r>
      <w:r w:rsidR="006F238B">
        <w:rPr>
          <w:color w:val="000000" w:themeColor="text1"/>
        </w:rPr>
        <w:t>s</w:t>
      </w:r>
      <w:r w:rsidRPr="7921A285" w:rsidR="0034661E">
        <w:rPr>
          <w:color w:val="000000" w:themeColor="text1"/>
        </w:rPr>
        <w:t xml:space="preserve">.  </w:t>
      </w:r>
      <w:r w:rsidR="38471622">
        <w:rPr>
          <w:color w:val="000000" w:themeColor="text1"/>
        </w:rPr>
        <w:t>A</w:t>
      </w:r>
      <w:r w:rsidR="76F64B71">
        <w:rPr>
          <w:color w:val="000000" w:themeColor="text1"/>
        </w:rPr>
        <w:t>n</w:t>
      </w:r>
      <w:r w:rsidR="006F238B">
        <w:rPr>
          <w:color w:val="000000" w:themeColor="text1"/>
        </w:rPr>
        <w:t xml:space="preserve"> </w:t>
      </w:r>
      <w:r w:rsidRPr="7921A285" w:rsidR="0034661E">
        <w:rPr>
          <w:color w:val="000000" w:themeColor="text1"/>
        </w:rPr>
        <w:t xml:space="preserve">FMCW radar transmits a continuous </w:t>
      </w:r>
      <w:r w:rsidR="0034661E">
        <w:t>sinusoid</w:t>
      </w:r>
      <w:r w:rsidRPr="7921A285" w:rsidR="0034661E">
        <w:rPr>
          <w:color w:val="000000" w:themeColor="text1"/>
        </w:rPr>
        <w:t xml:space="preserve"> signal (chirp) whose frequency changes linearly in time to sweep over a defined frequency band.  A collection of evenly spaced chirps constitutes </w:t>
      </w:r>
      <w:r w:rsidRPr="4291BD84" w:rsidR="0034661E">
        <w:rPr>
          <w:color w:val="000000" w:themeColor="text1"/>
        </w:rPr>
        <w:t>an</w:t>
      </w:r>
      <w:r w:rsidRPr="7921A285" w:rsidR="0034661E">
        <w:rPr>
          <w:color w:val="000000" w:themeColor="text1"/>
        </w:rPr>
        <w:t xml:space="preserve"> FMCW radar frame.  On the other hand, pulse radars typically transmit nanosecond-long pulses </w:t>
      </w:r>
      <w:r w:rsidRPr="7921A285" w:rsidR="00BEF249">
        <w:rPr>
          <w:color w:val="000000" w:themeColor="text1"/>
        </w:rPr>
        <w:t xml:space="preserve">in the time domain </w:t>
      </w:r>
      <w:r w:rsidRPr="7921A285" w:rsidR="7DF18729">
        <w:rPr>
          <w:color w:val="000000" w:themeColor="text1"/>
        </w:rPr>
        <w:t xml:space="preserve">that </w:t>
      </w:r>
      <w:r w:rsidRPr="7921A285" w:rsidR="0034661E">
        <w:rPr>
          <w:color w:val="000000" w:themeColor="text1"/>
        </w:rPr>
        <w:t xml:space="preserve">instantaneously spread </w:t>
      </w:r>
      <w:r w:rsidRPr="7921A285" w:rsidR="5CCED6CD">
        <w:rPr>
          <w:color w:val="000000" w:themeColor="text1"/>
        </w:rPr>
        <w:t xml:space="preserve">frequencies </w:t>
      </w:r>
      <w:r w:rsidRPr="7921A285" w:rsidR="0034661E">
        <w:rPr>
          <w:color w:val="000000" w:themeColor="text1"/>
        </w:rPr>
        <w:t xml:space="preserve">across </w:t>
      </w:r>
      <w:r w:rsidRPr="7921A285" w:rsidR="21A3A0D0">
        <w:rPr>
          <w:color w:val="000000" w:themeColor="text1"/>
        </w:rPr>
        <w:t>a</w:t>
      </w:r>
      <w:r w:rsidRPr="7921A285" w:rsidR="0034661E">
        <w:rPr>
          <w:color w:val="000000" w:themeColor="text1"/>
        </w:rPr>
        <w:t xml:space="preserve"> wide </w:t>
      </w:r>
      <w:r w:rsidRPr="7921A285" w:rsidR="3264CD35">
        <w:rPr>
          <w:color w:val="000000" w:themeColor="text1"/>
        </w:rPr>
        <w:t>band</w:t>
      </w:r>
      <w:r w:rsidRPr="7921A285" w:rsidR="6F58E208">
        <w:rPr>
          <w:color w:val="000000" w:themeColor="text1"/>
        </w:rPr>
        <w:t>width</w:t>
      </w:r>
      <w:r w:rsidRPr="7921A285" w:rsidR="3264CD35">
        <w:rPr>
          <w:color w:val="000000" w:themeColor="text1"/>
        </w:rPr>
        <w:t>.</w:t>
      </w:r>
      <w:r w:rsidR="00834134">
        <w:rPr>
          <w:color w:val="000000" w:themeColor="text1"/>
        </w:rPr>
        <w:t xml:space="preserve">  </w:t>
      </w:r>
      <w:r w:rsidR="00441195">
        <w:rPr>
          <w:color w:val="000000" w:themeColor="text1"/>
        </w:rPr>
        <w:t xml:space="preserve">As discussed in greater detail below, </w:t>
      </w:r>
      <w:r w:rsidR="00AC7908">
        <w:rPr>
          <w:color w:val="000000" w:themeColor="text1"/>
        </w:rPr>
        <w:t xml:space="preserve">the rules we are adopting are broad enough to </w:t>
      </w:r>
      <w:r w:rsidR="00B025DA">
        <w:rPr>
          <w:color w:val="000000" w:themeColor="text1"/>
        </w:rPr>
        <w:t xml:space="preserve">account for </w:t>
      </w:r>
      <w:r w:rsidR="00EC58F5">
        <w:rPr>
          <w:color w:val="000000" w:themeColor="text1"/>
        </w:rPr>
        <w:t>use of these radar types.</w:t>
      </w:r>
    </w:p>
    <w:p w:rsidR="00846233" w:rsidP="00B601BD" w14:paraId="4FCE3316" w14:textId="44EBFDBF">
      <w:pPr>
        <w:pStyle w:val="ParaNum"/>
      </w:pPr>
      <w:r>
        <w:t xml:space="preserve">In the </w:t>
      </w:r>
      <w:r w:rsidR="4C6DDB0A">
        <w:t>60 GHz band</w:t>
      </w:r>
      <w:r w:rsidR="55F97FAC">
        <w:t>,</w:t>
      </w:r>
      <w:r w:rsidR="4C6DDB0A">
        <w:t xml:space="preserve"> </w:t>
      </w:r>
      <w:r w:rsidR="7CF00095">
        <w:t>r</w:t>
      </w:r>
      <w:r w:rsidR="55BA17F7">
        <w:t xml:space="preserve">adars </w:t>
      </w:r>
      <w:r w:rsidR="4C6DDB0A">
        <w:t xml:space="preserve">are regulated under </w:t>
      </w:r>
      <w:r w:rsidR="708C9E25">
        <w:t xml:space="preserve">section </w:t>
      </w:r>
      <w:r w:rsidR="53E0E625">
        <w:t xml:space="preserve">15.255 of </w:t>
      </w:r>
      <w:r w:rsidR="4C6DDB0A">
        <w:t xml:space="preserve">Part 15 of the Commission’s rules. </w:t>
      </w:r>
      <w:r w:rsidR="4167892D">
        <w:t xml:space="preserve"> </w:t>
      </w:r>
      <w:r w:rsidR="521F4E56">
        <w:t>T</w:t>
      </w:r>
      <w:r w:rsidRPr="00E120F7" w:rsidR="521F4E56">
        <w:t xml:space="preserve">he </w:t>
      </w:r>
      <w:r w:rsidR="1927779C">
        <w:t xml:space="preserve">Part 15 </w:t>
      </w:r>
      <w:r w:rsidRPr="00E120F7" w:rsidR="521F4E56">
        <w:t xml:space="preserve">rules permit low-power </w:t>
      </w:r>
      <w:r w:rsidR="521F4E56">
        <w:t>intentional radiators</w:t>
      </w:r>
      <w:r w:rsidRPr="00E120F7" w:rsidR="521F4E56">
        <w:t xml:space="preserve"> (popularly known as “unlicensed devices”) to operate without an individual license where such use is not anticipated to cause harmful interference to authorized users of the radio spectrum.</w:t>
      </w:r>
      <w:r>
        <w:rPr>
          <w:rStyle w:val="FootnoteReference"/>
          <w:color w:val="000000"/>
          <w:spacing w:val="-2"/>
        </w:rPr>
        <w:footnoteReference w:id="8"/>
      </w:r>
      <w:r w:rsidRPr="00E120F7" w:rsidR="521F4E56">
        <w:t xml:space="preserve">  Unlicensed devices in </w:t>
      </w:r>
      <w:r w:rsidR="521F4E56">
        <w:t>the 60 GHz</w:t>
      </w:r>
      <w:r w:rsidRPr="00E120F7" w:rsidR="521F4E56">
        <w:t xml:space="preserve"> band generally include indoor/outdoor communication devices such as </w:t>
      </w:r>
      <w:r w:rsidRPr="00E120F7" w:rsidR="521F4E56">
        <w:t>WiGig</w:t>
      </w:r>
      <w:r w:rsidR="3A9D6198">
        <w:t>,</w:t>
      </w:r>
      <w:r>
        <w:rPr>
          <w:rStyle w:val="FootnoteReference"/>
          <w:color w:val="000000"/>
        </w:rPr>
        <w:footnoteReference w:id="9"/>
      </w:r>
      <w:r w:rsidRPr="00FC3029" w:rsidR="05F37D4A">
        <w:t xml:space="preserve"> </w:t>
      </w:r>
      <w:r w:rsidR="3A9D6198">
        <w:t>wireless local area network</w:t>
      </w:r>
      <w:r w:rsidR="1D62CDB5">
        <w:t>s</w:t>
      </w:r>
      <w:r w:rsidR="3A9D6198">
        <w:t xml:space="preserve"> (</w:t>
      </w:r>
      <w:r w:rsidRPr="00FC3029" w:rsidR="3A9D6198">
        <w:t>WLAN</w:t>
      </w:r>
      <w:r w:rsidR="1D62CDB5">
        <w:t>s</w:t>
      </w:r>
      <w:r w:rsidR="3A9D6198">
        <w:t>)</w:t>
      </w:r>
      <w:r w:rsidR="1D62CDB5">
        <w:t>,</w:t>
      </w:r>
      <w:r>
        <w:rPr>
          <w:rStyle w:val="FootnoteReference"/>
          <w:color w:val="000000"/>
        </w:rPr>
        <w:footnoteReference w:id="10"/>
      </w:r>
      <w:r w:rsidRPr="00E120F7" w:rsidR="521F4E56">
        <w:t xml:space="preserve"> outdoor fixed point-to-point communication links, and FDS</w:t>
      </w:r>
      <w:r w:rsidR="005D6880">
        <w:t>—</w:t>
      </w:r>
      <w:r w:rsidR="521F4E56">
        <w:t xml:space="preserve">which includes </w:t>
      </w:r>
      <w:r w:rsidRPr="00E120F7" w:rsidR="521F4E56">
        <w:t>radar operation</w:t>
      </w:r>
      <w:r w:rsidR="521F4E56">
        <w:t>s.</w:t>
      </w:r>
      <w:r>
        <w:rPr>
          <w:rStyle w:val="FootnoteReference"/>
          <w:color w:val="000000"/>
        </w:rPr>
        <w:footnoteReference w:id="11"/>
      </w:r>
      <w:r w:rsidRPr="00E120F7" w:rsidR="521F4E56">
        <w:t xml:space="preserve">  </w:t>
      </w:r>
      <w:r w:rsidR="521F4E56">
        <w:t>Unlicensed device users</w:t>
      </w:r>
      <w:r w:rsidR="4CAB16B5">
        <w:t xml:space="preserve"> </w:t>
      </w:r>
      <w:r w:rsidR="5675CF7E">
        <w:t xml:space="preserve">protect </w:t>
      </w:r>
      <w:r w:rsidR="521F4E56">
        <w:t xml:space="preserve">the operations of authorized Federal and non-Federal users in the band.  These </w:t>
      </w:r>
      <w:r w:rsidR="27685C3E">
        <w:t>users operat</w:t>
      </w:r>
      <w:r w:rsidR="35A86BC2">
        <w:t>e under a variety of</w:t>
      </w:r>
      <w:r w:rsidR="521F4E56">
        <w:t xml:space="preserve"> allocations, </w:t>
      </w:r>
      <w:r w:rsidR="5485EAAA">
        <w:t xml:space="preserve">including </w:t>
      </w:r>
      <w:r w:rsidR="521F4E56">
        <w:t>the Mobile, Fixed, Inter-Satellite, Earth-Exploration Satellite Service (EESS), Space Research, Mobile-Satellite, Radiolocation, Radionavigation, and Radionavigation-Satellite services.</w:t>
      </w:r>
      <w:r>
        <w:rPr>
          <w:rStyle w:val="FootnoteReference"/>
        </w:rPr>
        <w:footnoteReference w:id="12"/>
      </w:r>
    </w:p>
    <w:p w:rsidR="00DA6217" w:rsidRPr="00FC3029" w:rsidP="00DA6217" w14:paraId="6F08E438" w14:textId="6D2F1304">
      <w:pPr>
        <w:pStyle w:val="ParaNum"/>
        <w:widowControl/>
      </w:pPr>
      <w:r w:rsidRPr="00040050">
        <w:rPr>
          <w:snapToGrid/>
        </w:rPr>
        <w:t xml:space="preserve">When it first adopted Section 15.255 in 1995, the Commission stated its intent to </w:t>
      </w:r>
      <w:r w:rsidR="00CF0AB5">
        <w:rPr>
          <w:snapToGrid/>
        </w:rPr>
        <w:t>develop</w:t>
      </w:r>
      <w:r w:rsidRPr="00040050">
        <w:rPr>
          <w:snapToGrid/>
        </w:rPr>
        <w:t xml:space="preserve"> the 60 GHz band</w:t>
      </w:r>
      <w:r w:rsidR="00E25E11">
        <w:rPr>
          <w:snapToGrid/>
        </w:rPr>
        <w:t>’s potential</w:t>
      </w:r>
      <w:r w:rsidRPr="00040050">
        <w:rPr>
          <w:snapToGrid/>
        </w:rPr>
        <w:t xml:space="preserve"> </w:t>
      </w:r>
      <w:r w:rsidR="00D820AB">
        <w:rPr>
          <w:snapToGrid/>
        </w:rPr>
        <w:t xml:space="preserve">to achieve </w:t>
      </w:r>
      <w:r w:rsidR="006C2623">
        <w:rPr>
          <w:snapToGrid/>
        </w:rPr>
        <w:t xml:space="preserve">communications </w:t>
      </w:r>
      <w:r w:rsidR="003C096F">
        <w:rPr>
          <w:snapToGrid/>
        </w:rPr>
        <w:t xml:space="preserve">capabilities </w:t>
      </w:r>
      <w:r w:rsidR="00F331E1">
        <w:rPr>
          <w:snapToGrid/>
        </w:rPr>
        <w:t xml:space="preserve">similar to </w:t>
      </w:r>
      <w:r w:rsidR="003C096F">
        <w:rPr>
          <w:snapToGrid/>
        </w:rPr>
        <w:t>fiber and coaxial cable</w:t>
      </w:r>
      <w:r w:rsidR="00C42222">
        <w:rPr>
          <w:snapToGrid/>
        </w:rPr>
        <w:t>;</w:t>
      </w:r>
      <w:r w:rsidR="006C2623">
        <w:rPr>
          <w:snapToGrid/>
        </w:rPr>
        <w:t xml:space="preserve"> </w:t>
      </w:r>
      <w:r w:rsidR="004820CB">
        <w:rPr>
          <w:snapToGrid/>
        </w:rPr>
        <w:t>thus,</w:t>
      </w:r>
      <w:r w:rsidR="006C2623">
        <w:rPr>
          <w:snapToGrid/>
        </w:rPr>
        <w:t xml:space="preserve"> it originally prohibited FDS </w:t>
      </w:r>
      <w:r w:rsidR="004D37A3">
        <w:rPr>
          <w:snapToGrid/>
        </w:rPr>
        <w:t>operation in the band</w:t>
      </w:r>
      <w:r w:rsidR="003C096F">
        <w:rPr>
          <w:snapToGrid/>
        </w:rPr>
        <w:t>.</w:t>
      </w:r>
      <w:r>
        <w:rPr>
          <w:rStyle w:val="FootnoteReference"/>
          <w:snapToGrid/>
          <w:color w:val="000000"/>
          <w:kern w:val="0"/>
        </w:rPr>
        <w:footnoteReference w:id="13"/>
      </w:r>
      <w:r w:rsidRPr="00040050">
        <w:rPr>
          <w:snapToGrid/>
        </w:rPr>
        <w:t xml:space="preserve">  When it finalized the rule</w:t>
      </w:r>
      <w:r w:rsidR="0064230F">
        <w:rPr>
          <w:snapToGrid/>
        </w:rPr>
        <w:t>s</w:t>
      </w:r>
      <w:r w:rsidRPr="00040050">
        <w:rPr>
          <w:snapToGrid/>
        </w:rPr>
        <w:t xml:space="preserve"> by adopting a spectrum etiquette</w:t>
      </w:r>
      <w:r>
        <w:rPr>
          <w:rStyle w:val="FootnoteReference"/>
          <w:snapToGrid/>
          <w:kern w:val="0"/>
        </w:rPr>
        <w:footnoteReference w:id="14"/>
      </w:r>
      <w:r w:rsidRPr="00040050">
        <w:rPr>
          <w:snapToGrid/>
        </w:rPr>
        <w:t xml:space="preserve"> three years later, it also included</w:t>
      </w:r>
      <w:r w:rsidRPr="5E35EEFB">
        <w:t xml:space="preserve"> a </w:t>
      </w:r>
      <w:r w:rsidRPr="00040050">
        <w:rPr>
          <w:snapToGrid/>
        </w:rPr>
        <w:t xml:space="preserve">provision that permitted </w:t>
      </w:r>
      <w:r w:rsidR="00C42222">
        <w:rPr>
          <w:snapToGrid/>
        </w:rPr>
        <w:t xml:space="preserve">only </w:t>
      </w:r>
      <w:r w:rsidRPr="00040050">
        <w:rPr>
          <w:snapToGrid/>
        </w:rPr>
        <w:t>fixed FDS operation in the band</w:t>
      </w:r>
      <w:r w:rsidR="00177AA1">
        <w:rPr>
          <w:snapToGrid/>
        </w:rPr>
        <w:t>.</w:t>
      </w:r>
      <w:r>
        <w:rPr>
          <w:rStyle w:val="FootnoteReference"/>
          <w:snapToGrid/>
          <w:kern w:val="0"/>
        </w:rPr>
        <w:footnoteReference w:id="15"/>
      </w:r>
      <w:r w:rsidR="00C42222">
        <w:rPr>
          <w:snapToGrid/>
        </w:rPr>
        <w:t xml:space="preserve"> </w:t>
      </w:r>
      <w:r>
        <w:t xml:space="preserve">In </w:t>
      </w:r>
      <w:r w:rsidRPr="002D2F3B">
        <w:t>2016</w:t>
      </w:r>
      <w:r>
        <w:t>, the Commission expanded unlicensed device use in the band to permit</w:t>
      </w:r>
      <w:r w:rsidRPr="00FC3029">
        <w:t xml:space="preserve"> </w:t>
      </w:r>
      <w:r>
        <w:t xml:space="preserve">limited </w:t>
      </w:r>
      <w:r w:rsidRPr="00FC3029">
        <w:t>mobile radar operation</w:t>
      </w:r>
      <w:r>
        <w:t xml:space="preserve">s and to extend the use of </w:t>
      </w:r>
      <w:r w:rsidRPr="00C90FA4">
        <w:t>fixed</w:t>
      </w:r>
      <w:r>
        <w:t xml:space="preserve"> field disturbance sensors to the 64</w:t>
      </w:r>
      <w:r w:rsidR="00D430D4">
        <w:t>–</w:t>
      </w:r>
      <w:r>
        <w:t>71 GHz band.</w:t>
      </w:r>
      <w:r w:rsidRPr="00FC3029">
        <w:t xml:space="preserve">  </w:t>
      </w:r>
      <w:r w:rsidRPr="00040050">
        <w:rPr>
          <w:snapToGrid/>
          <w:kern w:val="0"/>
        </w:rPr>
        <w:t xml:space="preserve">Specifically, the Commission’s decision permitted the “narrow application of mobile radars for short-range interactive motion sensing” </w:t>
      </w:r>
      <w:r w:rsidR="0016062C">
        <w:rPr>
          <w:snapToGrid/>
          <w:kern w:val="0"/>
        </w:rPr>
        <w:t>(</w:t>
      </w:r>
      <w:r w:rsidRPr="00040050" w:rsidR="0016062C">
        <w:rPr>
          <w:snapToGrid/>
          <w:kern w:val="0"/>
        </w:rPr>
        <w:t>SRIMS</w:t>
      </w:r>
      <w:r w:rsidR="00432CF5">
        <w:rPr>
          <w:snapToGrid/>
          <w:kern w:val="0"/>
        </w:rPr>
        <w:t>)</w:t>
      </w:r>
      <w:r w:rsidRPr="00040050" w:rsidR="0016062C">
        <w:rPr>
          <w:snapToGrid/>
          <w:kern w:val="0"/>
        </w:rPr>
        <w:t xml:space="preserve"> </w:t>
      </w:r>
      <w:r w:rsidRPr="00040050">
        <w:rPr>
          <w:snapToGrid/>
          <w:kern w:val="0"/>
        </w:rPr>
        <w:t>at reduced power levels to ensure that the</w:t>
      </w:r>
      <w:r w:rsidRPr="565F27A1">
        <w:t xml:space="preserve">y would </w:t>
      </w:r>
      <w:r>
        <w:t>successfully co-exist with co</w:t>
      </w:r>
      <w:r>
        <w:noBreakHyphen/>
        <w:t>channel communications devices</w:t>
      </w:r>
      <w:r w:rsidRPr="00040050">
        <w:rPr>
          <w:snapToGrid/>
          <w:kern w:val="0"/>
        </w:rPr>
        <w:t xml:space="preserve"> </w:t>
      </w:r>
      <w:r w:rsidRPr="565F27A1">
        <w:t>already permitted to operate</w:t>
      </w:r>
      <w:r w:rsidRPr="00CE3B47">
        <w:t xml:space="preserve"> </w:t>
      </w:r>
      <w:r w:rsidRPr="00040050">
        <w:rPr>
          <w:snapToGrid/>
          <w:kern w:val="0"/>
        </w:rPr>
        <w:t>in the band.</w:t>
      </w:r>
      <w:r>
        <w:rPr>
          <w:rStyle w:val="FootnoteReference"/>
          <w:snapToGrid/>
          <w:color w:val="000000"/>
          <w:kern w:val="0"/>
        </w:rPr>
        <w:footnoteReference w:id="16"/>
      </w:r>
      <w:r w:rsidRPr="00040050">
        <w:rPr>
          <w:snapToGrid/>
          <w:kern w:val="0"/>
        </w:rPr>
        <w:t xml:space="preserve">  While the Commission did not adopt a specific definition for SRIMS, in permitting narrow use of short-range mobile radars it discussed the work of Google LLC (Google) in developing its “Soli” sensor technology, which envisioned that</w:t>
      </w:r>
      <w:r w:rsidRPr="00FC3029">
        <w:t xml:space="preserve"> smartphone</w:t>
      </w:r>
      <w:r>
        <w:t>s</w:t>
      </w:r>
      <w:r w:rsidRPr="00FC3029">
        <w:t xml:space="preserve"> </w:t>
      </w:r>
      <w:r>
        <w:t xml:space="preserve">and other personal </w:t>
      </w:r>
      <w:r w:rsidRPr="00FC3029">
        <w:t xml:space="preserve">devices </w:t>
      </w:r>
      <w:r>
        <w:t xml:space="preserve">would be able to sense </w:t>
      </w:r>
      <w:r w:rsidRPr="00FC3029">
        <w:t xml:space="preserve">hand gestures when </w:t>
      </w:r>
      <w:r>
        <w:t>a</w:t>
      </w:r>
      <w:r w:rsidRPr="00FC3029">
        <w:t xml:space="preserve"> user is located at a </w:t>
      </w:r>
      <w:r>
        <w:t xml:space="preserve">very </w:t>
      </w:r>
      <w:r w:rsidRPr="00FC3029">
        <w:t>short distance from the devic</w:t>
      </w:r>
      <w:r>
        <w:t xml:space="preserve">e to perform functions such as </w:t>
      </w:r>
      <w:r w:rsidRPr="00FC3029">
        <w:t>control</w:t>
      </w:r>
      <w:r>
        <w:t>ling</w:t>
      </w:r>
      <w:r w:rsidRPr="00FC3029">
        <w:t xml:space="preserve"> web pages or answering </w:t>
      </w:r>
      <w:r>
        <w:t>phone</w:t>
      </w:r>
      <w:r w:rsidRPr="00FC3029">
        <w:t xml:space="preserve"> call</w:t>
      </w:r>
      <w:r>
        <w:t>s</w:t>
      </w:r>
      <w:r w:rsidRPr="00FC3029">
        <w:t>.</w:t>
      </w:r>
      <w:r>
        <w:rPr>
          <w:rStyle w:val="FootnoteReference"/>
          <w:snapToGrid/>
          <w:color w:val="000000"/>
          <w:kern w:val="0"/>
        </w:rPr>
        <w:footnoteReference w:id="17"/>
      </w:r>
      <w:r>
        <w:t xml:space="preserve">  </w:t>
      </w:r>
    </w:p>
    <w:p w:rsidR="00DA6217" w:rsidP="00F13E1B" w14:paraId="75DDD4CC" w14:textId="2C7251BE">
      <w:pPr>
        <w:pStyle w:val="ParaNum"/>
        <w:widowControl/>
      </w:pPr>
      <w:bookmarkStart w:id="43" w:name="_Ref125461406"/>
      <w:r>
        <w:t xml:space="preserve">Since 2016, the Commission’s Office of Engineering and Technology (OET) has granted focused </w:t>
      </w:r>
      <w:r w:rsidR="00C46E4A">
        <w:t>rule</w:t>
      </w:r>
      <w:r>
        <w:t xml:space="preserve"> waivers to support discrete radar applications, all based on an increased interest in FDS operation in the 60 GHz band.  First, in 2018, OET granted </w:t>
      </w:r>
      <w:r w:rsidRPr="00FC3029">
        <w:t>Google</w:t>
      </w:r>
      <w:r>
        <w:t xml:space="preserve"> </w:t>
      </w:r>
      <w:r w:rsidRPr="00FC3029">
        <w:t xml:space="preserve">a waiver of the emission limits to allow </w:t>
      </w:r>
      <w:r>
        <w:t xml:space="preserve">Soli </w:t>
      </w:r>
      <w:r w:rsidRPr="00FC3029">
        <w:t xml:space="preserve">radar </w:t>
      </w:r>
      <w:r>
        <w:t>devices</w:t>
      </w:r>
      <w:r w:rsidRPr="00FC3029">
        <w:t xml:space="preserve"> to operate at a higher output power level than what had been authorized in the rulemaking</w:t>
      </w:r>
      <w:r>
        <w:t>.</w:t>
      </w:r>
      <w:r>
        <w:rPr>
          <w:rStyle w:val="FootnoteReference"/>
          <w:color w:val="000000"/>
        </w:rPr>
        <w:footnoteReference w:id="18"/>
      </w:r>
      <w:r w:rsidRPr="00FC3029">
        <w:t xml:space="preserve">  </w:t>
      </w:r>
      <w:r>
        <w:t xml:space="preserve">The waiver </w:t>
      </w:r>
      <w:r w:rsidRPr="00FC3029">
        <w:t>permitted Google to deploy its Soli sensor technology at 10 dBm peak transmitter conducted output power, 13 dBm peak EIRP level, and 13 dBm/MHz power spectral density, with a maximum 10</w:t>
      </w:r>
      <w:r w:rsidRPr="71A53160">
        <w:t>%</w:t>
      </w:r>
      <w:r w:rsidRPr="00FC3029">
        <w:t xml:space="preserve"> duty cycle in any 33 </w:t>
      </w:r>
      <w:r w:rsidRPr="00FC3029">
        <w:t>ms</w:t>
      </w:r>
      <w:r w:rsidRPr="00FC3029">
        <w:t xml:space="preserve"> interval</w:t>
      </w:r>
      <w:r>
        <w:t>.</w:t>
      </w:r>
      <w:r>
        <w:rPr>
          <w:rStyle w:val="FootnoteReference"/>
        </w:rPr>
        <w:footnoteReference w:id="19"/>
      </w:r>
      <w:r>
        <w:t xml:space="preserve">  </w:t>
      </w:r>
      <w:bookmarkStart w:id="44" w:name="_Ref74687598"/>
      <w:r w:rsidR="009375B5">
        <w:t>More recently</w:t>
      </w:r>
      <w:r w:rsidR="00883F57">
        <w:t>, i</w:t>
      </w:r>
      <w:r>
        <w:t>n 2021,</w:t>
      </w:r>
      <w:r w:rsidRPr="00FC3029">
        <w:t xml:space="preserve"> </w:t>
      </w:r>
      <w:r>
        <w:t>OET</w:t>
      </w:r>
      <w:r w:rsidRPr="00FC3029">
        <w:t xml:space="preserve"> </w:t>
      </w:r>
      <w:r>
        <w:t xml:space="preserve">granted </w:t>
      </w:r>
      <w:r w:rsidRPr="00FC3029">
        <w:t xml:space="preserve">waivers to </w:t>
      </w:r>
      <w:r>
        <w:t>several</w:t>
      </w:r>
      <w:r w:rsidRPr="00FC3029">
        <w:t xml:space="preserve"> parties to </w:t>
      </w:r>
      <w:r>
        <w:t xml:space="preserve">permit vehicle cabin-mounted radars as well as health-care related and other applications in the 57-64 GHz range </w:t>
      </w:r>
      <w:r w:rsidRPr="00FC3029">
        <w:t>at the same power levels as those granted to Google in 2018.</w:t>
      </w:r>
      <w:bookmarkStart w:id="45" w:name="_Ref72761788"/>
      <w:r>
        <w:rPr>
          <w:rStyle w:val="FootnoteReference"/>
          <w:color w:val="000000"/>
        </w:rPr>
        <w:footnoteReference w:id="20"/>
      </w:r>
      <w:bookmarkEnd w:id="45"/>
      <w:r>
        <w:t xml:space="preserve">  These narrowly tailored waivers support an especially compelling public interest</w:t>
      </w:r>
      <w:r w:rsidR="008B23F8">
        <w:t>—</w:t>
      </w:r>
      <w:r>
        <w:t>using radar technology to monitor for children left in dangerous</w:t>
      </w:r>
      <w:r w:rsidR="00F67CAA">
        <w:t>ly</w:t>
      </w:r>
      <w:r>
        <w:t xml:space="preserve"> hot cars</w:t>
      </w:r>
      <w:r w:rsidR="00474E83">
        <w:t>,</w:t>
      </w:r>
      <w:r>
        <w:t xml:space="preserve"> and to trigger alerts that could save lives.</w:t>
      </w:r>
      <w:r>
        <w:rPr>
          <w:rStyle w:val="FootnoteReference"/>
        </w:rPr>
        <w:footnoteReference w:id="21"/>
      </w:r>
      <w:r>
        <w:t xml:space="preserve">  In addition, OET granted a waiver to Leica Geosystems AG in July 2020 that allows a limited number of radars to operate in the 60-64 GHz band on specialized unmanned aircraft </w:t>
      </w:r>
      <w:r w:rsidRPr="565F27A1">
        <w:t xml:space="preserve">for the specific purpose of avoiding collisions with structures, supporting wires, or other fixed objects during </w:t>
      </w:r>
      <w:r w:rsidR="004C78B1">
        <w:t xml:space="preserve">structure </w:t>
      </w:r>
      <w:r w:rsidRPr="565F27A1">
        <w:t xml:space="preserve">visual inspection </w:t>
      </w:r>
      <w:r w:rsidR="004C78B1">
        <w:t>operations</w:t>
      </w:r>
      <w:r w:rsidRPr="565F27A1">
        <w:t>.</w:t>
      </w:r>
      <w:r>
        <w:rPr>
          <w:rStyle w:val="FootnoteReference"/>
        </w:rPr>
        <w:footnoteReference w:id="22"/>
      </w:r>
      <w:bookmarkEnd w:id="43"/>
      <w:bookmarkEnd w:id="44"/>
    </w:p>
    <w:p w:rsidR="00523B5F" w:rsidRPr="25F2152B" w:rsidP="00523B5F" w14:paraId="4D41ABFA" w14:textId="69122C8D">
      <w:pPr>
        <w:pStyle w:val="ParaNum"/>
        <w:widowControl/>
        <w:rPr>
          <w:color w:val="000000" w:themeColor="text1"/>
        </w:rPr>
      </w:pPr>
      <w:r>
        <w:t xml:space="preserve">Under the current rules, </w:t>
      </w:r>
      <w:r w:rsidR="00CE7C6A">
        <w:t xml:space="preserve">FDS operations </w:t>
      </w:r>
      <w:r w:rsidR="003C30E9">
        <w:t>a</w:t>
      </w:r>
      <w:r w:rsidR="00CE7C6A">
        <w:t>r</w:t>
      </w:r>
      <w:r w:rsidR="003C30E9">
        <w:t>e</w:t>
      </w:r>
      <w:r w:rsidR="00CE7C6A">
        <w:t xml:space="preserve"> limited to </w:t>
      </w:r>
      <w:r w:rsidR="00FB20A5">
        <w:t>fixed operation</w:t>
      </w:r>
      <w:r w:rsidRPr="00FC3029" w:rsidR="00FB20A5">
        <w:t xml:space="preserve"> or </w:t>
      </w:r>
      <w:r w:rsidR="00FB20A5">
        <w:t xml:space="preserve">when </w:t>
      </w:r>
      <w:r w:rsidRPr="00FC3029" w:rsidR="00FB20A5">
        <w:t>used</w:t>
      </w:r>
      <w:r w:rsidR="00484343">
        <w:t xml:space="preserve"> for </w:t>
      </w:r>
      <w:r w:rsidRPr="000267BF" w:rsidR="00FB20A5">
        <w:rPr>
          <w:snapToGrid/>
          <w:kern w:val="0"/>
        </w:rPr>
        <w:t>SRIMS.</w:t>
      </w:r>
      <w:r>
        <w:rPr>
          <w:rStyle w:val="FootnoteReference"/>
          <w:snapToGrid/>
          <w:kern w:val="0"/>
        </w:rPr>
        <w:footnoteReference w:id="23"/>
      </w:r>
      <w:r w:rsidRPr="000267BF" w:rsidR="00FB20A5">
        <w:rPr>
          <w:snapToGrid/>
          <w:kern w:val="0"/>
        </w:rPr>
        <w:t xml:space="preserve">  </w:t>
      </w:r>
      <w:r w:rsidR="00793CC1">
        <w:rPr>
          <w:snapToGrid/>
          <w:kern w:val="0"/>
        </w:rPr>
        <w:t>While</w:t>
      </w:r>
      <w:r w:rsidR="008B1E6F">
        <w:rPr>
          <w:snapToGrid/>
          <w:kern w:val="0"/>
        </w:rPr>
        <w:t xml:space="preserve"> FDS</w:t>
      </w:r>
      <w:r w:rsidR="00DF174B">
        <w:rPr>
          <w:snapToGrid/>
          <w:kern w:val="0"/>
        </w:rPr>
        <w:t xml:space="preserve"> devices </w:t>
      </w:r>
      <w:r w:rsidR="00AB6C77">
        <w:t>are limited to a</w:t>
      </w:r>
      <w:r w:rsidRPr="00FC3029" w:rsidR="00AB6C77">
        <w:t xml:space="preserve"> maximum transmitter conducted output powe</w:t>
      </w:r>
      <w:r w:rsidR="00AB6C77">
        <w:t>r</w:t>
      </w:r>
      <w:r w:rsidRPr="00FC3029" w:rsidR="00AB6C77">
        <w:t xml:space="preserve"> not </w:t>
      </w:r>
      <w:r w:rsidR="00AB6C77">
        <w:t xml:space="preserve">to </w:t>
      </w:r>
      <w:r w:rsidRPr="00FC3029" w:rsidR="00AB6C77">
        <w:t xml:space="preserve">exceed -10 dBm and </w:t>
      </w:r>
      <w:r w:rsidR="00AB6C77">
        <w:t>a</w:t>
      </w:r>
      <w:r w:rsidRPr="00FC3029" w:rsidR="00AB6C77">
        <w:t xml:space="preserve"> maximum EIRP level</w:t>
      </w:r>
      <w:r w:rsidR="00AB6C77">
        <w:t xml:space="preserve"> </w:t>
      </w:r>
      <w:r w:rsidRPr="00FC3029" w:rsidR="00AB6C77">
        <w:t xml:space="preserve">not </w:t>
      </w:r>
      <w:r w:rsidR="00AB6C77">
        <w:t xml:space="preserve">to </w:t>
      </w:r>
      <w:r w:rsidRPr="00FC3029" w:rsidR="00AB6C77">
        <w:t>exceed 10 dBm</w:t>
      </w:r>
      <w:r w:rsidRPr="000267BF" w:rsidR="00FB20A5">
        <w:rPr>
          <w:snapToGrid/>
          <w:kern w:val="0"/>
        </w:rPr>
        <w:t xml:space="preserve">, </w:t>
      </w:r>
      <w:r w:rsidR="00FB20A5">
        <w:t>a</w:t>
      </w:r>
      <w:r w:rsidRPr="00FC3029" w:rsidR="00FB20A5">
        <w:t xml:space="preserve"> </w:t>
      </w:r>
      <w:r w:rsidR="00FB20A5">
        <w:t xml:space="preserve">fixed </w:t>
      </w:r>
      <w:r w:rsidRPr="00FC3029" w:rsidR="00FB20A5">
        <w:t xml:space="preserve">FDS </w:t>
      </w:r>
      <w:r w:rsidR="00F00FB5">
        <w:t xml:space="preserve">device </w:t>
      </w:r>
      <w:r w:rsidR="00FB20A5">
        <w:t xml:space="preserve">with an </w:t>
      </w:r>
      <w:r w:rsidRPr="00FC3029" w:rsidR="00FB20A5">
        <w:t xml:space="preserve">occupied bandwidth fully contained within the 61.0-61.5 GHz </w:t>
      </w:r>
      <w:r w:rsidR="00FB20A5">
        <w:t xml:space="preserve">Industrial, Scientific, and Medical Equipment (ISM) </w:t>
      </w:r>
      <w:r w:rsidRPr="00FC3029" w:rsidR="00FB20A5">
        <w:t xml:space="preserve">band </w:t>
      </w:r>
      <w:r w:rsidR="00FB20A5">
        <w:t xml:space="preserve">may </w:t>
      </w:r>
      <w:r w:rsidRPr="00FC3029" w:rsidR="00FB20A5">
        <w:t xml:space="preserve">operate with average output power levels up to 40 dBm and peak output power levels up to </w:t>
      </w:r>
      <w:r w:rsidRPr="00FC3029" w:rsidR="00656648">
        <w:t>43</w:t>
      </w:r>
      <w:r w:rsidR="00656648">
        <w:t> </w:t>
      </w:r>
      <w:r w:rsidRPr="00FC3029" w:rsidR="00FB20A5">
        <w:t>dBm.</w:t>
      </w:r>
      <w:r>
        <w:rPr>
          <w:rStyle w:val="FootnoteReference"/>
          <w:color w:val="000000"/>
        </w:rPr>
        <w:footnoteReference w:id="24"/>
      </w:r>
      <w:r w:rsidRPr="00FC3029" w:rsidR="00FB20A5">
        <w:t xml:space="preserve">  </w:t>
      </w:r>
      <w:r w:rsidR="00AB777B">
        <w:t xml:space="preserve">Finally, </w:t>
      </w:r>
      <w:r w:rsidR="009F7202">
        <w:t xml:space="preserve">operations </w:t>
      </w:r>
      <w:r w:rsidR="003A2788">
        <w:t xml:space="preserve">are prohibited </w:t>
      </w:r>
      <w:r w:rsidR="00155EF6">
        <w:t>on-board aircraft, except on aircraft that are equipped with a high RF attenuation body (e.g., commercial airliners) while forming a “</w:t>
      </w:r>
      <w:r w:rsidRPr="25F2152B" w:rsidR="00155EF6">
        <w:rPr>
          <w:color w:val="000000" w:themeColor="text1"/>
        </w:rPr>
        <w:t>closed exclusive on-board communication networks within the aircraft.”</w:t>
      </w:r>
      <w:r>
        <w:rPr>
          <w:rStyle w:val="FootnoteReference"/>
          <w:snapToGrid/>
          <w:kern w:val="0"/>
        </w:rPr>
        <w:footnoteReference w:id="25"/>
      </w:r>
      <w:r w:rsidRPr="25F2152B" w:rsidR="00155EF6">
        <w:rPr>
          <w:color w:val="000000" w:themeColor="text1"/>
        </w:rPr>
        <w:t xml:space="preserve"> </w:t>
      </w:r>
      <w:bookmarkStart w:id="47" w:name="_Ref125461285"/>
    </w:p>
    <w:bookmarkEnd w:id="47"/>
    <w:p w:rsidR="00BA6754" w:rsidP="00F13E1B" w14:paraId="79E6838B" w14:textId="76C3B66F">
      <w:pPr>
        <w:pStyle w:val="ParaNum"/>
      </w:pPr>
      <w:r>
        <w:t xml:space="preserve">At the time the </w:t>
      </w:r>
      <w:r w:rsidRPr="59CB47AA">
        <w:rPr>
          <w:i/>
          <w:iCs/>
        </w:rPr>
        <w:t>NPRM</w:t>
      </w:r>
      <w:r>
        <w:t xml:space="preserve"> was issued, </w:t>
      </w:r>
      <w:r w:rsidR="00C66BEE">
        <w:t xml:space="preserve">there was </w:t>
      </w:r>
      <w:r w:rsidR="002F0873">
        <w:t xml:space="preserve">no uniform consensus </w:t>
      </w:r>
      <w:r w:rsidR="00EC2D2D">
        <w:t xml:space="preserve">for how best to accommodate </w:t>
      </w:r>
      <w:r w:rsidR="00A02142">
        <w:t xml:space="preserve">new </w:t>
      </w:r>
      <w:r w:rsidRPr="00BD1F26" w:rsidR="00A02142">
        <w:t>FDS radar</w:t>
      </w:r>
      <w:r w:rsidR="00A02142">
        <w:t xml:space="preserve"> applications</w:t>
      </w:r>
      <w:r w:rsidR="00462C58">
        <w:t xml:space="preserve"> in the 60 GHz band</w:t>
      </w:r>
      <w:r w:rsidR="000717AB">
        <w:t xml:space="preserve"> </w:t>
      </w:r>
      <w:r w:rsidR="00E12008">
        <w:t>while ensuring coexistence</w:t>
      </w:r>
      <w:r w:rsidR="00925D26">
        <w:t xml:space="preserve"> with incumbent unlicensed uses</w:t>
      </w:r>
      <w:r w:rsidR="00462C58">
        <w:t>.</w:t>
      </w:r>
      <w:r w:rsidR="00007202">
        <w:t xml:space="preserve">  Nevertheless, </w:t>
      </w:r>
      <w:r w:rsidR="001B22EE">
        <w:t>the Commission</w:t>
      </w:r>
      <w:r w:rsidR="00E9354D">
        <w:t xml:space="preserve"> </w:t>
      </w:r>
      <w:r w:rsidR="006B2317">
        <w:t>found</w:t>
      </w:r>
      <w:r w:rsidR="00E9354D">
        <w:t xml:space="preserve"> that </w:t>
      </w:r>
      <w:r w:rsidR="00136BE7">
        <w:t>t</w:t>
      </w:r>
      <w:r w:rsidR="00E9354D">
        <w:t xml:space="preserve">he extensive analysis </w:t>
      </w:r>
      <w:r w:rsidR="007A68CC">
        <w:t>associated with the waiver requests</w:t>
      </w:r>
      <w:r w:rsidR="00E9354D">
        <w:t>, the widespread consumer use of Google’s Soli-equipped devices without reported cases of harmful interference</w:t>
      </w:r>
      <w:r w:rsidR="005F15BC">
        <w:t>,</w:t>
      </w:r>
      <w:r w:rsidR="00E9354D">
        <w:t xml:space="preserve"> and the ongoing </w:t>
      </w:r>
      <w:r w:rsidR="001C5DC7">
        <w:t xml:space="preserve">industry interest </w:t>
      </w:r>
      <w:r w:rsidR="00D74447">
        <w:t xml:space="preserve">in promoting coexistence </w:t>
      </w:r>
      <w:r w:rsidR="001F1407">
        <w:t>gave it</w:t>
      </w:r>
      <w:r w:rsidR="00E9354D">
        <w:t xml:space="preserve"> confidence </w:t>
      </w:r>
      <w:r w:rsidR="001F1407">
        <w:t>“</w:t>
      </w:r>
      <w:r w:rsidR="00E9354D">
        <w:t>that there is now sufficient information for us to build a record to expand unlicensed mobile radar use beyond the toehold the Commission first provided in 2016 and the narrow waivers that have been issued to date.</w:t>
      </w:r>
      <w:r w:rsidR="001F1407">
        <w:t>”</w:t>
      </w:r>
      <w:r>
        <w:rPr>
          <w:rStyle w:val="FootnoteReference"/>
        </w:rPr>
        <w:footnoteReference w:id="26"/>
      </w:r>
    </w:p>
    <w:p w:rsidR="009A5562" w:rsidRPr="00FC3029" w:rsidP="004C5887" w14:paraId="60AE7381" w14:textId="24DC26AD">
      <w:pPr>
        <w:pStyle w:val="ParaNum"/>
      </w:pPr>
      <w:r>
        <w:t xml:space="preserve">As such, </w:t>
      </w:r>
      <w:r w:rsidR="0004543A">
        <w:t xml:space="preserve">the </w:t>
      </w:r>
      <w:r w:rsidRPr="59CB47AA" w:rsidR="0004543A">
        <w:rPr>
          <w:i/>
          <w:iCs/>
        </w:rPr>
        <w:t xml:space="preserve">NPRM </w:t>
      </w:r>
      <w:r w:rsidR="0004543A">
        <w:t xml:space="preserve">offered </w:t>
      </w:r>
      <w:r w:rsidR="00567051">
        <w:t xml:space="preserve">a </w:t>
      </w:r>
      <w:r w:rsidR="001B43BA">
        <w:t xml:space="preserve">high </w:t>
      </w:r>
      <w:r w:rsidR="00EA7EF9">
        <w:t>level</w:t>
      </w:r>
      <w:r w:rsidR="00567051">
        <w:t xml:space="preserve"> </w:t>
      </w:r>
      <w:r w:rsidR="009B5290">
        <w:t>proposal</w:t>
      </w:r>
      <w:r w:rsidR="00567051">
        <w:t xml:space="preserve"> that</w:t>
      </w:r>
      <w:r w:rsidR="00036ABD">
        <w:t xml:space="preserve"> </w:t>
      </w:r>
      <w:r w:rsidR="00D107B6">
        <w:t xml:space="preserve">would have </w:t>
      </w:r>
      <w:r w:rsidR="00A5118F">
        <w:t xml:space="preserve">provided for </w:t>
      </w:r>
      <w:r w:rsidR="001C7C3F">
        <w:t xml:space="preserve">all </w:t>
      </w:r>
      <w:r w:rsidRPr="00FC3029" w:rsidR="001C7C3F">
        <w:t>FDS devices</w:t>
      </w:r>
      <w:r w:rsidR="001C7C3F">
        <w:t>, mobile or fixed</w:t>
      </w:r>
      <w:r w:rsidR="00D60723">
        <w:t xml:space="preserve">, to operate </w:t>
      </w:r>
      <w:r w:rsidR="002C7936">
        <w:t xml:space="preserve">in the </w:t>
      </w:r>
      <w:r w:rsidRPr="00FC3029" w:rsidR="006326E0">
        <w:t xml:space="preserve">57-64 GHz </w:t>
      </w:r>
      <w:r w:rsidR="006326E0">
        <w:t xml:space="preserve">portion of the </w:t>
      </w:r>
      <w:r w:rsidRPr="00FC3029" w:rsidR="006326E0">
        <w:t>band</w:t>
      </w:r>
      <w:r w:rsidR="00150142">
        <w:t xml:space="preserve"> </w:t>
      </w:r>
      <w:r w:rsidRPr="00FC3029" w:rsidR="00150142">
        <w:t xml:space="preserve">at a maximum of </w:t>
      </w:r>
      <w:r w:rsidRPr="00FC3029" w:rsidR="00AB63F5">
        <w:t>20</w:t>
      </w:r>
      <w:r w:rsidR="00AB63F5">
        <w:t> </w:t>
      </w:r>
      <w:r w:rsidRPr="00FC3029" w:rsidR="00150142">
        <w:t xml:space="preserve">dBm </w:t>
      </w:r>
      <w:r w:rsidR="00150142">
        <w:t xml:space="preserve">average </w:t>
      </w:r>
      <w:r w:rsidRPr="00FC3029" w:rsidR="00150142">
        <w:t xml:space="preserve">EIRP, 13 dBm/MHz </w:t>
      </w:r>
      <w:r w:rsidR="00150142">
        <w:t xml:space="preserve">average EIRP </w:t>
      </w:r>
      <w:r w:rsidRPr="00FC3029" w:rsidR="00150142">
        <w:t xml:space="preserve">power spectral density, and 10 dBm transmitter conducted output power, along with a maximum 10% duty cycle restriction within any 33 </w:t>
      </w:r>
      <w:r w:rsidRPr="00FC3029" w:rsidR="00150142">
        <w:t>ms</w:t>
      </w:r>
      <w:r w:rsidRPr="00FC3029" w:rsidR="00150142">
        <w:t xml:space="preserve"> interval</w:t>
      </w:r>
      <w:r w:rsidR="00BF18EC">
        <w:t xml:space="preserve">; </w:t>
      </w:r>
      <w:r w:rsidR="00A410A8">
        <w:t xml:space="preserve">allowed fixed and mobile FDS devices </w:t>
      </w:r>
      <w:r w:rsidR="00AF43DF">
        <w:t xml:space="preserve">to operate across the 57-71 GHz band at the </w:t>
      </w:r>
      <w:r w:rsidR="0087118F">
        <w:t xml:space="preserve">existing </w:t>
      </w:r>
      <w:r w:rsidR="00AF43DF">
        <w:t xml:space="preserve">10 dBm EIRP and -10 dBm conducted output power limits specified in </w:t>
      </w:r>
      <w:r w:rsidR="00294C02">
        <w:t>the</w:t>
      </w:r>
      <w:r w:rsidR="00AF43DF">
        <w:t xml:space="preserve"> rules, without any duty cycle limitations</w:t>
      </w:r>
      <w:r w:rsidR="0085108A">
        <w:t xml:space="preserve">; </w:t>
      </w:r>
      <w:r w:rsidR="0001754E">
        <w:t xml:space="preserve">and </w:t>
      </w:r>
      <w:r w:rsidR="00986217">
        <w:t>asked about</w:t>
      </w:r>
      <w:r w:rsidR="0001754E">
        <w:t xml:space="preserve"> other </w:t>
      </w:r>
      <w:r w:rsidRPr="00FC3029" w:rsidR="00893BFB">
        <w:t xml:space="preserve">methods to </w:t>
      </w:r>
      <w:r w:rsidR="00986217">
        <w:t xml:space="preserve">potentially </w:t>
      </w:r>
      <w:r w:rsidRPr="00FC3029" w:rsidR="00893BFB">
        <w:t>enhance coexistence</w:t>
      </w:r>
      <w:r w:rsidR="00986217">
        <w:t xml:space="preserve"> in the band.</w:t>
      </w:r>
      <w:r>
        <w:rPr>
          <w:rStyle w:val="FootnoteReference"/>
        </w:rPr>
        <w:footnoteReference w:id="27"/>
      </w:r>
      <w:r w:rsidR="00986217">
        <w:t xml:space="preserve">  </w:t>
      </w:r>
      <w:r w:rsidR="00695F11">
        <w:t xml:space="preserve">The Commission did </w:t>
      </w:r>
      <w:r w:rsidRPr="00FC3029" w:rsidR="00677D22">
        <w:t>not propos</w:t>
      </w:r>
      <w:r w:rsidR="00695F11">
        <w:t>e</w:t>
      </w:r>
      <w:r w:rsidRPr="00FC3029" w:rsidR="00677D22">
        <w:t xml:space="preserve"> any rule revisions </w:t>
      </w:r>
      <w:r w:rsidR="00656A54">
        <w:t xml:space="preserve">that would apply to </w:t>
      </w:r>
      <w:r w:rsidRPr="00FC3029" w:rsidR="00677D22">
        <w:t xml:space="preserve">existing unlicensed communication devices such as </w:t>
      </w:r>
      <w:r w:rsidRPr="00FC3029" w:rsidR="00677D22">
        <w:t>WiGig</w:t>
      </w:r>
      <w:r w:rsidR="003E2B0C">
        <w:t xml:space="preserve">, </w:t>
      </w:r>
      <w:r w:rsidRPr="00FC3029" w:rsidR="00677D22">
        <w:t>WLAN</w:t>
      </w:r>
      <w:r w:rsidR="00C378D8">
        <w:t>,</w:t>
      </w:r>
      <w:r w:rsidRPr="00FC3029" w:rsidR="00677D22">
        <w:t xml:space="preserve"> or fixed point-to-point wireless links that currently operate in the 57-71 GHz band</w:t>
      </w:r>
      <w:r w:rsidR="0018264A">
        <w:t>.</w:t>
      </w:r>
      <w:r>
        <w:rPr>
          <w:rStyle w:val="FootnoteReference"/>
          <w:color w:val="000000"/>
        </w:rPr>
        <w:footnoteReference w:id="28"/>
      </w:r>
      <w:r w:rsidR="00AA7BAB">
        <w:t xml:space="preserve">  </w:t>
      </w:r>
      <w:r w:rsidR="004C5887">
        <w:t>T</w:t>
      </w:r>
      <w:r>
        <w:t xml:space="preserve">he </w:t>
      </w:r>
      <w:r w:rsidRPr="59CB47AA" w:rsidR="00EE214C">
        <w:rPr>
          <w:i/>
          <w:iCs/>
        </w:rPr>
        <w:t>NPRM</w:t>
      </w:r>
      <w:r>
        <w:t xml:space="preserve"> </w:t>
      </w:r>
      <w:r w:rsidR="004C5887">
        <w:t xml:space="preserve">further </w:t>
      </w:r>
      <w:r w:rsidR="00AC2036">
        <w:t>recognized</w:t>
      </w:r>
      <w:r>
        <w:t xml:space="preserve"> that</w:t>
      </w:r>
      <w:r w:rsidRPr="00FC3029">
        <w:t xml:space="preserve"> operation at higher power than specified in </w:t>
      </w:r>
      <w:r w:rsidR="006B19C6">
        <w:t>the Commission’s existing</w:t>
      </w:r>
      <w:r w:rsidRPr="00FC3029">
        <w:t xml:space="preserve"> rules has been allowed in Europe under general rules for short-range devices</w:t>
      </w:r>
      <w:bookmarkStart w:id="48" w:name="_Ref72049992"/>
      <w:r w:rsidR="002505EB">
        <w:t>,</w:t>
      </w:r>
      <w:r>
        <w:rPr>
          <w:rStyle w:val="FootnoteReference"/>
          <w:color w:val="000000"/>
        </w:rPr>
        <w:footnoteReference w:id="29"/>
      </w:r>
      <w:bookmarkEnd w:id="48"/>
      <w:r w:rsidR="002505EB">
        <w:t xml:space="preserve"> and</w:t>
      </w:r>
      <w:r w:rsidR="00235861">
        <w:t xml:space="preserve"> </w:t>
      </w:r>
      <w:r w:rsidR="00E22EDE">
        <w:t>considered</w:t>
      </w:r>
      <w:r w:rsidR="002D463E">
        <w:t xml:space="preserve"> how </w:t>
      </w:r>
      <w:r w:rsidR="002B305A">
        <w:t xml:space="preserve">we might be able to </w:t>
      </w:r>
      <w:r w:rsidR="00BC5A4D">
        <w:t xml:space="preserve">harmonize </w:t>
      </w:r>
      <w:r w:rsidR="00ED139A">
        <w:t xml:space="preserve">any revisions with </w:t>
      </w:r>
      <w:r w:rsidR="00AB5FD0">
        <w:t xml:space="preserve">applicable </w:t>
      </w:r>
      <w:r w:rsidRPr="00FC3029">
        <w:t>European Telecommunications Standards Institute (ETSI) standard</w:t>
      </w:r>
      <w:r w:rsidR="00ED139A">
        <w:t>s</w:t>
      </w:r>
      <w:r w:rsidR="00AB5FD0">
        <w:t xml:space="preserve"> </w:t>
      </w:r>
      <w:r w:rsidR="00E14BAB">
        <w:t>to the extent appropriate.</w:t>
      </w:r>
      <w:r w:rsidR="002C1F3C">
        <w:t xml:space="preserve">  </w:t>
      </w:r>
      <w:r w:rsidR="00141600">
        <w:t xml:space="preserve">Throughout the </w:t>
      </w:r>
      <w:r w:rsidRPr="59CB47AA" w:rsidR="00141600">
        <w:rPr>
          <w:i/>
          <w:iCs/>
        </w:rPr>
        <w:t>NPRM</w:t>
      </w:r>
      <w:r w:rsidR="00141600">
        <w:t xml:space="preserve">, </w:t>
      </w:r>
      <w:r w:rsidR="00ED4703">
        <w:t xml:space="preserve">the Commission </w:t>
      </w:r>
      <w:r w:rsidR="006A034E">
        <w:t>asked questions about</w:t>
      </w:r>
      <w:r w:rsidR="00406C71">
        <w:t xml:space="preserve"> its</w:t>
      </w:r>
      <w:r w:rsidR="00CB17B1">
        <w:t xml:space="preserve"> </w:t>
      </w:r>
      <w:r w:rsidR="008A06A1">
        <w:t xml:space="preserve">specific </w:t>
      </w:r>
      <w:r w:rsidR="00BA6288">
        <w:t>proposals,</w:t>
      </w:r>
      <w:r w:rsidR="00E15D93">
        <w:t xml:space="preserve"> </w:t>
      </w:r>
      <w:r w:rsidR="006A758B">
        <w:t xml:space="preserve">and also specifically </w:t>
      </w:r>
      <w:r w:rsidR="000A59D9">
        <w:t>“s</w:t>
      </w:r>
      <w:r w:rsidR="009F1584">
        <w:t>[ought]</w:t>
      </w:r>
      <w:r w:rsidRPr="00F35E38" w:rsidR="00E15D93">
        <w:rPr>
          <w:snapToGrid/>
        </w:rPr>
        <w:t xml:space="preserve"> input on the work results of any other </w:t>
      </w:r>
      <w:r w:rsidRPr="00F13E1B" w:rsidR="00E15D93">
        <w:rPr>
          <w:color w:val="000000"/>
        </w:rPr>
        <w:t xml:space="preserve">coexistence standards activities (international and domestic) and/or cooperative works between communications and </w:t>
      </w:r>
      <w:r w:rsidRPr="00F13E1B" w:rsidR="00E15D93">
        <w:rPr>
          <w:color w:val="000000"/>
        </w:rPr>
        <w:t>FDS study groups that may have taken place, and how such work may inform our proposals to expand unlicensed use of the band</w:t>
      </w:r>
      <w:r w:rsidR="000A59D9">
        <w:rPr>
          <w:color w:val="000000"/>
        </w:rPr>
        <w:t>.”</w:t>
      </w:r>
      <w:r>
        <w:rPr>
          <w:rStyle w:val="FootnoteReference"/>
        </w:rPr>
        <w:footnoteReference w:id="30"/>
      </w:r>
    </w:p>
    <w:bookmarkEnd w:id="29"/>
    <w:bookmarkEnd w:id="30"/>
    <w:p w:rsidR="00474BE3" w:rsidRPr="00F13E1B" w:rsidP="003E1DC7" w14:paraId="68AC1DE0" w14:textId="1EEEA053">
      <w:pPr>
        <w:pStyle w:val="ParaNum"/>
        <w:widowControl/>
        <w:rPr>
          <w:color w:val="000000"/>
        </w:rPr>
      </w:pPr>
      <w:r>
        <w:t>In the time since the</w:t>
      </w:r>
      <w:r>
        <w:t xml:space="preserve"> </w:t>
      </w:r>
      <w:r w:rsidRPr="59CB47AA" w:rsidR="00EE214C">
        <w:rPr>
          <w:i/>
          <w:iCs/>
        </w:rPr>
        <w:t>NPRM</w:t>
      </w:r>
      <w:r>
        <w:t xml:space="preserve"> was released on July 14, 2021</w:t>
      </w:r>
      <w:r w:rsidR="00B557D8">
        <w:t xml:space="preserve">, </w:t>
      </w:r>
      <w:r w:rsidR="00280B63">
        <w:t xml:space="preserve">the record has </w:t>
      </w:r>
      <w:r w:rsidR="009F1584">
        <w:t xml:space="preserve">reflected </w:t>
      </w:r>
      <w:r w:rsidR="00D97718">
        <w:t xml:space="preserve">evolving views on </w:t>
      </w:r>
      <w:r w:rsidR="00524FF6">
        <w:t xml:space="preserve">how </w:t>
      </w:r>
      <w:r w:rsidR="00E80866">
        <w:t xml:space="preserve">we can accomplish the goals of the rulemaking.  </w:t>
      </w:r>
      <w:r w:rsidR="006214C5">
        <w:t>The</w:t>
      </w:r>
      <w:r w:rsidR="000E064C">
        <w:t xml:space="preserve"> </w:t>
      </w:r>
      <w:r w:rsidR="005E08BD">
        <w:t>comment cycle</w:t>
      </w:r>
      <w:r w:rsidR="000E064C">
        <w:t xml:space="preserve"> </w:t>
      </w:r>
      <w:r w:rsidR="009F1584">
        <w:t xml:space="preserve">initially </w:t>
      </w:r>
      <w:r w:rsidR="00CF79E8">
        <w:t xml:space="preserve">showed </w:t>
      </w:r>
      <w:r w:rsidR="00846467">
        <w:t>prevalent</w:t>
      </w:r>
      <w:r w:rsidR="004D1768">
        <w:t xml:space="preserve"> disagreements between the </w:t>
      </w:r>
      <w:r w:rsidRPr="695573F5" w:rsidR="00CF53A0">
        <w:t xml:space="preserve">radar </w:t>
      </w:r>
      <w:r w:rsidR="00155C9B">
        <w:t>and</w:t>
      </w:r>
      <w:r w:rsidRPr="695573F5" w:rsidR="00CF53A0">
        <w:t xml:space="preserve"> communication </w:t>
      </w:r>
      <w:r w:rsidRPr="695573F5" w:rsidR="00B76508">
        <w:t>proponents</w:t>
      </w:r>
      <w:r w:rsidR="004D1768">
        <w:t>,</w:t>
      </w:r>
      <w:r w:rsidRPr="695573F5" w:rsidR="00CF53A0">
        <w:t xml:space="preserve"> </w:t>
      </w:r>
      <w:r w:rsidR="009F0D40">
        <w:t xml:space="preserve">with parties from </w:t>
      </w:r>
      <w:r w:rsidR="00E626C9">
        <w:t xml:space="preserve">each </w:t>
      </w:r>
      <w:r w:rsidR="009F0D40">
        <w:t xml:space="preserve">group </w:t>
      </w:r>
      <w:r w:rsidRPr="695573F5" w:rsidR="00CF53A0">
        <w:t>oppos</w:t>
      </w:r>
      <w:r w:rsidR="00FD2B33">
        <w:t>ing different aspects of the proposals</w:t>
      </w:r>
      <w:r w:rsidR="00F93C16">
        <w:t>.</w:t>
      </w:r>
      <w:r w:rsidR="001E3A16">
        <w:t xml:space="preserve"> </w:t>
      </w:r>
      <w:r w:rsidR="00F93C16">
        <w:t xml:space="preserve">The large number of </w:t>
      </w:r>
      <w:r w:rsidRPr="59CB47AA" w:rsidR="00384BCD">
        <w:rPr>
          <w:i/>
          <w:iCs/>
        </w:rPr>
        <w:t>ex</w:t>
      </w:r>
      <w:r w:rsidR="00384BCD">
        <w:t xml:space="preserve"> </w:t>
      </w:r>
      <w:r w:rsidRPr="59CB47AA" w:rsidR="00384BCD">
        <w:rPr>
          <w:i/>
          <w:iCs/>
        </w:rPr>
        <w:t>parte</w:t>
      </w:r>
      <w:r w:rsidR="00384BCD">
        <w:t xml:space="preserve"> filings </w:t>
      </w:r>
      <w:r w:rsidR="00152628">
        <w:t xml:space="preserve">following the close of the comment period </w:t>
      </w:r>
      <w:r w:rsidR="00DE6E7F">
        <w:t xml:space="preserve">reflect </w:t>
      </w:r>
      <w:r w:rsidR="00874E58">
        <w:t>how</w:t>
      </w:r>
      <w:r w:rsidR="00EB0DF5">
        <w:t xml:space="preserve"> both sides</w:t>
      </w:r>
      <w:r w:rsidR="00411B45">
        <w:t>, individually and joint</w:t>
      </w:r>
      <w:r w:rsidR="009B2C4B">
        <w:t>ly</w:t>
      </w:r>
      <w:r w:rsidR="00411B45">
        <w:t>,</w:t>
      </w:r>
      <w:r w:rsidR="00EB0DF5">
        <w:t xml:space="preserve"> </w:t>
      </w:r>
      <w:r w:rsidR="000D64E6">
        <w:t>have been</w:t>
      </w:r>
      <w:r w:rsidR="00011F8B">
        <w:t xml:space="preserve"> </w:t>
      </w:r>
      <w:r w:rsidR="00874E58">
        <w:t xml:space="preserve">engaged in ongoing attempts </w:t>
      </w:r>
      <w:r w:rsidR="00EB0DF5">
        <w:t>to resolve the</w:t>
      </w:r>
      <w:r w:rsidR="00833CC9">
        <w:t>ir</w:t>
      </w:r>
      <w:r w:rsidR="00EB0DF5">
        <w:t xml:space="preserve"> </w:t>
      </w:r>
      <w:r w:rsidR="00F167C3">
        <w:t>differences</w:t>
      </w:r>
      <w:r w:rsidR="001758F5">
        <w:t xml:space="preserve"> with various proposals fo</w:t>
      </w:r>
      <w:r w:rsidR="00A705A7">
        <w:t>r</w:t>
      </w:r>
      <w:r w:rsidR="001758F5">
        <w:t xml:space="preserve"> power levels and duty cycles</w:t>
      </w:r>
      <w:r w:rsidR="0095077F">
        <w:t xml:space="preserve">/radar </w:t>
      </w:r>
      <w:r w:rsidRPr="695573F5" w:rsidR="007C2575">
        <w:t>transmission</w:t>
      </w:r>
      <w:r w:rsidR="007C2575">
        <w:t xml:space="preserve"> </w:t>
      </w:r>
      <w:r w:rsidRPr="695573F5" w:rsidR="007C2575">
        <w:t>off</w:t>
      </w:r>
      <w:r w:rsidR="007C2575">
        <w:t>-</w:t>
      </w:r>
      <w:r w:rsidRPr="695573F5" w:rsidR="007C2575">
        <w:t>time</w:t>
      </w:r>
      <w:r w:rsidR="007C2575">
        <w:t>s</w:t>
      </w:r>
      <w:r w:rsidR="001758F5">
        <w:t xml:space="preserve"> based on different segmentations of the 57-64 GHz band</w:t>
      </w:r>
      <w:r w:rsidR="00EB0DF5">
        <w:t>.</w:t>
      </w:r>
      <w:r>
        <w:rPr>
          <w:rStyle w:val="FootnoteReference"/>
        </w:rPr>
        <w:footnoteReference w:id="31"/>
      </w:r>
      <w:r w:rsidR="009B2C4B">
        <w:t xml:space="preserve">  </w:t>
      </w:r>
      <w:r w:rsidR="006A6F36">
        <w:t>T</w:t>
      </w:r>
      <w:r w:rsidR="000933D4">
        <w:t>w</w:t>
      </w:r>
      <w:r w:rsidR="006A6F36">
        <w:t xml:space="preserve">o recent submissions </w:t>
      </w:r>
      <w:r w:rsidR="00B4302D">
        <w:t xml:space="preserve">document </w:t>
      </w:r>
      <w:r w:rsidR="008823E2">
        <w:t>the fruit of these labors</w:t>
      </w:r>
      <w:r w:rsidR="00366FBF">
        <w:t xml:space="preserve">, </w:t>
      </w:r>
      <w:r w:rsidR="00AA7C28">
        <w:t xml:space="preserve">and </w:t>
      </w:r>
      <w:r w:rsidR="006A0DFA">
        <w:t xml:space="preserve">are significant milestones in the </w:t>
      </w:r>
      <w:r w:rsidR="000C4D5F">
        <w:t>history</w:t>
      </w:r>
      <w:r w:rsidR="006A0DFA">
        <w:t xml:space="preserve"> of this proceeding</w:t>
      </w:r>
      <w:r w:rsidR="00800C12">
        <w:t>: the</w:t>
      </w:r>
      <w:r w:rsidR="00335DB3">
        <w:t xml:space="preserve"> Industry Consensus Agreement</w:t>
      </w:r>
      <w:r w:rsidR="00054275">
        <w:t xml:space="preserve"> submitted February 27, 2023 </w:t>
      </w:r>
      <w:r w:rsidR="0062428B">
        <w:t xml:space="preserve">that </w:t>
      </w:r>
      <w:r w:rsidR="000E086E">
        <w:t>addresses the interests</w:t>
      </w:r>
      <w:r w:rsidR="00D9153E">
        <w:t xml:space="preserve"> of both </w:t>
      </w:r>
      <w:r w:rsidR="006721A2">
        <w:t xml:space="preserve">FMCW </w:t>
      </w:r>
      <w:r w:rsidR="00D9153E">
        <w:t>radar</w:t>
      </w:r>
      <w:r w:rsidR="000E52C1">
        <w:t>s</w:t>
      </w:r>
      <w:r w:rsidR="00D9153E">
        <w:t xml:space="preserve"> and communications devices</w:t>
      </w:r>
      <w:r w:rsidR="008E4CEB">
        <w:t>,</w:t>
      </w:r>
      <w:r>
        <w:rPr>
          <w:rStyle w:val="FootnoteReference"/>
        </w:rPr>
        <w:footnoteReference w:id="32"/>
      </w:r>
      <w:r w:rsidR="00985443">
        <w:t xml:space="preserve"> </w:t>
      </w:r>
      <w:r w:rsidR="008E4CEB">
        <w:t xml:space="preserve">and </w:t>
      </w:r>
      <w:r w:rsidR="00352090">
        <w:t xml:space="preserve">a separate </w:t>
      </w:r>
      <w:r w:rsidRPr="46A38630" w:rsidR="00352090">
        <w:t>Pulse Radar Joint Agreement</w:t>
      </w:r>
      <w:r w:rsidRPr="46A38630" w:rsidR="000A79B3">
        <w:t xml:space="preserve"> submitted November 10, 2022</w:t>
      </w:r>
      <w:r w:rsidRPr="46A38630" w:rsidR="00195388">
        <w:t xml:space="preserve"> that </w:t>
      </w:r>
      <w:r w:rsidRPr="46A38630" w:rsidR="00C34181">
        <w:t>describes</w:t>
      </w:r>
      <w:r w:rsidRPr="46A38630" w:rsidR="00352090">
        <w:t xml:space="preserve"> technical parameters </w:t>
      </w:r>
      <w:r w:rsidRPr="46A38630" w:rsidR="00D61E14">
        <w:t>suitable for pulse radar</w:t>
      </w:r>
      <w:r w:rsidRPr="46A38630" w:rsidR="001C7C89">
        <w:t xml:space="preserve"> operations</w:t>
      </w:r>
      <w:r w:rsidR="00D61E14">
        <w:rPr>
          <w:szCs w:val="22"/>
        </w:rPr>
        <w:t>.</w:t>
      </w:r>
      <w:r>
        <w:rPr>
          <w:rStyle w:val="FootnoteReference"/>
        </w:rPr>
        <w:footnoteReference w:id="33"/>
      </w:r>
      <w:r w:rsidR="00352090">
        <w:rPr>
          <w:szCs w:val="22"/>
        </w:rPr>
        <w:t xml:space="preserve"> </w:t>
      </w:r>
    </w:p>
    <w:p w:rsidR="00F13E1B" w:rsidRPr="00C3485D" w:rsidP="00F13E1B" w14:paraId="751D1CBC" w14:textId="02E70B80">
      <w:pPr>
        <w:pStyle w:val="Heading1"/>
      </w:pPr>
      <w:bookmarkStart w:id="49" w:name="_Toc135123541"/>
      <w:r w:rsidRPr="00C3485D">
        <w:t>Discussion</w:t>
      </w:r>
      <w:bookmarkEnd w:id="31"/>
      <w:bookmarkEnd w:id="32"/>
      <w:bookmarkEnd w:id="33"/>
      <w:bookmarkEnd w:id="34"/>
      <w:bookmarkEnd w:id="35"/>
      <w:bookmarkEnd w:id="36"/>
      <w:bookmarkEnd w:id="37"/>
      <w:bookmarkEnd w:id="38"/>
      <w:bookmarkEnd w:id="39"/>
      <w:bookmarkEnd w:id="40"/>
      <w:bookmarkEnd w:id="41"/>
      <w:bookmarkEnd w:id="42"/>
      <w:bookmarkEnd w:id="49"/>
    </w:p>
    <w:p w:rsidR="004028B3" w:rsidRPr="00FC3029" w:rsidP="00BF6686" w14:paraId="489F2F5C" w14:textId="1CF807DC">
      <w:pPr>
        <w:pStyle w:val="ParaNum"/>
      </w:pPr>
      <w:r>
        <w:t>The</w:t>
      </w:r>
      <w:r w:rsidR="00626CE7">
        <w:t xml:space="preserve"> targeted changes to </w:t>
      </w:r>
      <w:r w:rsidR="005A4CB0">
        <w:t>the Part 15 rules</w:t>
      </w:r>
      <w:r w:rsidR="00240932">
        <w:t xml:space="preserve"> </w:t>
      </w:r>
      <w:r w:rsidR="00FC5D09">
        <w:t xml:space="preserve">that we </w:t>
      </w:r>
      <w:r w:rsidR="00ED74B0">
        <w:t>are</w:t>
      </w:r>
      <w:r w:rsidR="00FC5D09">
        <w:t xml:space="preserve"> adopt</w:t>
      </w:r>
      <w:r w:rsidR="00ED74B0">
        <w:t>ing</w:t>
      </w:r>
      <w:r w:rsidR="00FC5D09">
        <w:t xml:space="preserve"> </w:t>
      </w:r>
      <w:r w:rsidR="00D438F8">
        <w:t xml:space="preserve">are </w:t>
      </w:r>
      <w:r w:rsidR="003864FB">
        <w:t>optimized</w:t>
      </w:r>
      <w:r w:rsidR="00D438F8">
        <w:t xml:space="preserve"> to</w:t>
      </w:r>
      <w:r>
        <w:t xml:space="preserve"> encourage the development of important innovative FDS applications while promoting the growth of equally important innovative immersive communication applications.  </w:t>
      </w:r>
      <w:r w:rsidR="00EA2E8A">
        <w:t xml:space="preserve">Taking into account </w:t>
      </w:r>
      <w:r w:rsidR="004620A0">
        <w:t xml:space="preserve">the record as a whole, </w:t>
      </w:r>
      <w:r w:rsidR="0066484F">
        <w:t>including</w:t>
      </w:r>
      <w:r w:rsidR="00154AEE">
        <w:t xml:space="preserve"> the </w:t>
      </w:r>
      <w:r w:rsidR="004D5170">
        <w:t>Industry Consensus Agreement</w:t>
      </w:r>
      <w:r w:rsidR="00154AEE">
        <w:t xml:space="preserve"> and the Pulse Radar Joint Agreement,</w:t>
      </w:r>
      <w:r w:rsidR="0066484F">
        <w:t xml:space="preserve"> </w:t>
      </w:r>
      <w:r w:rsidR="00B377B2">
        <w:t xml:space="preserve">as well as the </w:t>
      </w:r>
      <w:r w:rsidR="00491366">
        <w:t xml:space="preserve">filings in response thereto, </w:t>
      </w:r>
      <w:r w:rsidR="004620A0">
        <w:t>w</w:t>
      </w:r>
      <w:r>
        <w:t xml:space="preserve">e </w:t>
      </w:r>
      <w:r w:rsidR="00EA2E8A">
        <w:t>find</w:t>
      </w:r>
      <w:r>
        <w:t xml:space="preserve"> that these two types of</w:t>
      </w:r>
      <w:r w:rsidR="000739AC">
        <w:t xml:space="preserve"> unlicensed </w:t>
      </w:r>
      <w:r>
        <w:t xml:space="preserve">technologies </w:t>
      </w:r>
      <w:r w:rsidR="00833314">
        <w:t xml:space="preserve">(i.e., radar and communications) </w:t>
      </w:r>
      <w:r w:rsidR="00BE0300">
        <w:t xml:space="preserve">can </w:t>
      </w:r>
      <w:r w:rsidR="006F378D">
        <w:t xml:space="preserve">successfully </w:t>
      </w:r>
      <w:r>
        <w:t xml:space="preserve">co-exist and </w:t>
      </w:r>
      <w:r w:rsidR="00023D38">
        <w:t xml:space="preserve">expand the applications </w:t>
      </w:r>
      <w:r w:rsidR="00CB5A03">
        <w:t xml:space="preserve">available </w:t>
      </w:r>
      <w:r>
        <w:t>in the 60 GHz band</w:t>
      </w:r>
      <w:r w:rsidR="00BE0300">
        <w:t xml:space="preserve"> under </w:t>
      </w:r>
      <w:r w:rsidR="00FE08ED">
        <w:t>our revised rules</w:t>
      </w:r>
      <w:r>
        <w:t xml:space="preserve">.  </w:t>
      </w:r>
    </w:p>
    <w:p w:rsidR="007B12AE" w:rsidP="00F13E1B" w14:paraId="7104D3E6" w14:textId="1D5C1A4D">
      <w:pPr>
        <w:pStyle w:val="ParaNum"/>
      </w:pPr>
      <w:r>
        <w:t xml:space="preserve">First, </w:t>
      </w:r>
      <w:r w:rsidR="00D87B5E">
        <w:t xml:space="preserve">we </w:t>
      </w:r>
      <w:r w:rsidR="003C5F14">
        <w:t xml:space="preserve">clarify the relationship between </w:t>
      </w:r>
      <w:r w:rsidR="002959D8">
        <w:t>radars and FDS application</w:t>
      </w:r>
      <w:r w:rsidR="00837FC0">
        <w:t xml:space="preserve">s.  We </w:t>
      </w:r>
      <w:r w:rsidR="009F11F1">
        <w:t xml:space="preserve">also modify our rules to </w:t>
      </w:r>
      <w:r w:rsidR="006A2931">
        <w:t xml:space="preserve">expand </w:t>
      </w:r>
      <w:r w:rsidR="00347A7D">
        <w:t xml:space="preserve">mobile FDS operations </w:t>
      </w:r>
      <w:r w:rsidR="0079098E">
        <w:t>within the 60 GHz band</w:t>
      </w:r>
      <w:r w:rsidR="007146B5">
        <w:t xml:space="preserve">, including within </w:t>
      </w:r>
      <w:r w:rsidR="00F038C9">
        <w:t xml:space="preserve">the </w:t>
      </w:r>
      <w:r w:rsidR="00B67E4C">
        <w:t>61</w:t>
      </w:r>
      <w:r w:rsidR="00EC345F">
        <w:t>.0-61</w:t>
      </w:r>
      <w:r w:rsidR="00B67E4C">
        <w:t>.5</w:t>
      </w:r>
      <w:r w:rsidR="00EC345F">
        <w:t xml:space="preserve"> GHz </w:t>
      </w:r>
      <w:r w:rsidR="00887580">
        <w:t>sub band</w:t>
      </w:r>
      <w:r w:rsidR="0022786F">
        <w:t xml:space="preserve">, </w:t>
      </w:r>
      <w:r w:rsidR="00B67E4C">
        <w:t xml:space="preserve">where </w:t>
      </w:r>
      <w:r w:rsidR="00690097">
        <w:t xml:space="preserve">higher powered operations are permitted but only for </w:t>
      </w:r>
      <w:r w:rsidR="00B31792">
        <w:t xml:space="preserve">fixed use; </w:t>
      </w:r>
      <w:r w:rsidR="00D71622">
        <w:t xml:space="preserve">with </w:t>
      </w:r>
      <w:r w:rsidR="006D5088">
        <w:t>these modifications</w:t>
      </w:r>
      <w:r w:rsidR="00D71622">
        <w:t>,</w:t>
      </w:r>
      <w:r w:rsidR="00EE2065">
        <w:t xml:space="preserve"> we</w:t>
      </w:r>
      <w:r w:rsidR="006D5088">
        <w:t xml:space="preserve"> </w:t>
      </w:r>
      <w:r w:rsidR="00F52E6F">
        <w:t xml:space="preserve">retire the </w:t>
      </w:r>
      <w:r w:rsidR="00A9040D">
        <w:t>specific provisions</w:t>
      </w:r>
      <w:r w:rsidR="00D71622">
        <w:t xml:space="preserve"> </w:t>
      </w:r>
      <w:r w:rsidR="00396D00">
        <w:t xml:space="preserve">that had been established </w:t>
      </w:r>
      <w:r w:rsidR="00D71622">
        <w:t xml:space="preserve">for </w:t>
      </w:r>
      <w:r w:rsidR="00141A69">
        <w:t>S</w:t>
      </w:r>
      <w:r w:rsidR="004D1239">
        <w:t>RIMS</w:t>
      </w:r>
      <w:r w:rsidR="00176F2F">
        <w:t>.</w:t>
      </w:r>
      <w:r w:rsidR="00A9040D">
        <w:t xml:space="preserve"> </w:t>
      </w:r>
    </w:p>
    <w:p w:rsidR="0098784A" w:rsidP="00F13E1B" w14:paraId="175661F1" w14:textId="2F27942F">
      <w:pPr>
        <w:pStyle w:val="ParaNum"/>
      </w:pPr>
      <w:r>
        <w:t xml:space="preserve">Second, </w:t>
      </w:r>
      <w:r w:rsidR="00B0033C">
        <w:t>f</w:t>
      </w:r>
      <w:r w:rsidR="003D0B4D">
        <w:t xml:space="preserve">or </w:t>
      </w:r>
      <w:r w:rsidRPr="00FC3029" w:rsidR="003D0B4D">
        <w:t xml:space="preserve">FDS devices </w:t>
      </w:r>
      <w:r w:rsidR="003D0B4D">
        <w:t xml:space="preserve">that limit their </w:t>
      </w:r>
      <w:r w:rsidRPr="00FC3029" w:rsidR="003D0B4D">
        <w:t xml:space="preserve">operating </w:t>
      </w:r>
      <w:r w:rsidR="003D0B4D">
        <w:t xml:space="preserve">frequencies to </w:t>
      </w:r>
      <w:r w:rsidRPr="00FC3029" w:rsidR="003D0B4D">
        <w:t xml:space="preserve">the 57-64 GHz </w:t>
      </w:r>
      <w:r w:rsidR="003D0B4D">
        <w:t xml:space="preserve">portion of the </w:t>
      </w:r>
      <w:r w:rsidR="00A71C50">
        <w:t xml:space="preserve">57-71 </w:t>
      </w:r>
      <w:r w:rsidR="00193B2F">
        <w:t xml:space="preserve">GHz </w:t>
      </w:r>
      <w:r w:rsidRPr="00FC3029" w:rsidR="003D0B4D">
        <w:t>band</w:t>
      </w:r>
      <w:r w:rsidR="003D0B4D">
        <w:t>, we permit various EIRP levels along with specific duty cycle</w:t>
      </w:r>
      <w:r>
        <w:rPr>
          <w:rStyle w:val="FootnoteReference"/>
        </w:rPr>
        <w:footnoteReference w:id="34"/>
      </w:r>
      <w:r w:rsidR="003D0B4D">
        <w:t xml:space="preserve"> restrictions </w:t>
      </w:r>
      <w:r w:rsidR="00BD0450">
        <w:t>related to</w:t>
      </w:r>
      <w:r w:rsidR="003D0B4D">
        <w:t xml:space="preserve"> specific segmentations of the band</w:t>
      </w:r>
      <w:r w:rsidR="00702A18">
        <w:t xml:space="preserve">.  </w:t>
      </w:r>
      <w:r w:rsidR="00EF1755">
        <w:t xml:space="preserve">We find that </w:t>
      </w:r>
      <w:r w:rsidR="003B697F">
        <w:t xml:space="preserve">these </w:t>
      </w:r>
      <w:r w:rsidR="00C40D33">
        <w:t>distinctions</w:t>
      </w:r>
      <w:r w:rsidR="008B4D03">
        <w:t>, described in greater detail below,</w:t>
      </w:r>
      <w:r w:rsidR="00C40D33">
        <w:t xml:space="preserve"> </w:t>
      </w:r>
      <w:r w:rsidR="00220419">
        <w:t xml:space="preserve">offer the best opportunity for </w:t>
      </w:r>
      <w:r w:rsidR="00E42B6B">
        <w:t xml:space="preserve">new and existing unlicensed devices </w:t>
      </w:r>
      <w:r w:rsidR="006510A7">
        <w:t>to successfully co-exist in the 60 GHz band.</w:t>
      </w:r>
      <w:r w:rsidR="008B4D03">
        <w:t xml:space="preserve">  </w:t>
      </w:r>
      <w:r w:rsidR="00C657F7">
        <w:t xml:space="preserve">In conjunction with these rules, </w:t>
      </w:r>
      <w:r w:rsidR="00044441">
        <w:t xml:space="preserve">we </w:t>
      </w:r>
      <w:r w:rsidR="00F0671A">
        <w:t>address</w:t>
      </w:r>
      <w:r w:rsidR="00A02860">
        <w:t xml:space="preserve"> </w:t>
      </w:r>
      <w:r w:rsidR="008B7AA4">
        <w:t xml:space="preserve">the applicability of </w:t>
      </w:r>
      <w:r w:rsidR="00A02860">
        <w:t>additional techn</w:t>
      </w:r>
      <w:r w:rsidR="00F66A02">
        <w:t xml:space="preserve">ologies and </w:t>
      </w:r>
      <w:r w:rsidR="00747B3A">
        <w:t xml:space="preserve">technical approaches </w:t>
      </w:r>
      <w:r w:rsidR="00480F5A">
        <w:t xml:space="preserve">that were discussed in the </w:t>
      </w:r>
      <w:r w:rsidRPr="59CB47AA" w:rsidR="00480F5A">
        <w:rPr>
          <w:i/>
          <w:iCs/>
        </w:rPr>
        <w:t>NPRM</w:t>
      </w:r>
      <w:r w:rsidR="00480F5A">
        <w:t>.</w:t>
      </w:r>
    </w:p>
    <w:p w:rsidR="00F13E1B" w:rsidRPr="00FC3029" w:rsidP="00C31BED" w14:paraId="676C82FA" w14:textId="23642382">
      <w:pPr>
        <w:pStyle w:val="ParaNum"/>
      </w:pPr>
      <w:r>
        <w:t xml:space="preserve">Third, we </w:t>
      </w:r>
      <w:r w:rsidR="00A00F79">
        <w:t xml:space="preserve">permit FDS operation on-board unmanned </w:t>
      </w:r>
      <w:r w:rsidR="00C62C64">
        <w:t>aircraft</w:t>
      </w:r>
      <w:r w:rsidR="00A00F79">
        <w:t xml:space="preserve"> (UA) flying at altitudes less than </w:t>
      </w:r>
      <w:r w:rsidR="00103C05">
        <w:t>121.92 meters (</w:t>
      </w:r>
      <w:r w:rsidR="00A00F79">
        <w:t>400 feet</w:t>
      </w:r>
      <w:r w:rsidR="00103C05">
        <w:t>)</w:t>
      </w:r>
      <w:r w:rsidR="00A00F79">
        <w:t xml:space="preserve"> above ground level, limited to the 60-64 GHz band, at up to 20 dBm peak EIRP subject to a 50% duty cycle</w:t>
      </w:r>
      <w:r w:rsidR="0043463E">
        <w:t xml:space="preserve">, and discuss </w:t>
      </w:r>
      <w:r w:rsidR="00D13718">
        <w:t xml:space="preserve">how our new rules </w:t>
      </w:r>
      <w:r w:rsidR="00936705">
        <w:t>for FDS device</w:t>
      </w:r>
      <w:r w:rsidR="00D7073F">
        <w:t xml:space="preserve">s relate to existing </w:t>
      </w:r>
      <w:r w:rsidR="00D7073F">
        <w:t xml:space="preserve">provisions for limited in-cabin </w:t>
      </w:r>
      <w:r w:rsidR="002D4CD0">
        <w:t>a</w:t>
      </w:r>
      <w:r w:rsidR="003A4706">
        <w:t>eronautical use.</w:t>
      </w:r>
      <w:r w:rsidR="001F3BAA">
        <w:t xml:space="preserve">  We also address matters </w:t>
      </w:r>
      <w:r w:rsidR="002203D6">
        <w:t xml:space="preserve">related to compliance testing and </w:t>
      </w:r>
      <w:r w:rsidR="00ED1388">
        <w:t xml:space="preserve">use of </w:t>
      </w:r>
      <w:r w:rsidR="00D7028B">
        <w:t>equipment that currently operates under waivers of our existing rules.</w:t>
      </w:r>
      <w:r w:rsidR="003D0B4D">
        <w:t xml:space="preserve">  </w:t>
      </w:r>
    </w:p>
    <w:p w:rsidR="000565E3" w:rsidRPr="00F13E1B" w:rsidP="00373159" w14:paraId="73C38822" w14:textId="0F6372DF">
      <w:pPr>
        <w:pStyle w:val="Heading2"/>
      </w:pPr>
      <w:bookmarkStart w:id="50" w:name="_Toc135123542"/>
      <w:r>
        <w:t>Definitional Clarification</w:t>
      </w:r>
      <w:r w:rsidR="0033470A">
        <w:t xml:space="preserve"> and Mobile </w:t>
      </w:r>
      <w:r w:rsidR="00482EE5">
        <w:t>Use</w:t>
      </w:r>
      <w:r>
        <w:t xml:space="preserve"> Expansion</w:t>
      </w:r>
      <w:bookmarkEnd w:id="50"/>
    </w:p>
    <w:p w:rsidR="00E86DC2" w:rsidP="00725289" w14:paraId="3DF368BB" w14:textId="5E8EB11D">
      <w:pPr>
        <w:pStyle w:val="ParaNum"/>
      </w:pPr>
      <w:r w:rsidRPr="59CB47AA">
        <w:rPr>
          <w:i/>
          <w:iCs/>
        </w:rPr>
        <w:t>Definition of FDS/Radar</w:t>
      </w:r>
      <w:r>
        <w:t xml:space="preserve">.  </w:t>
      </w:r>
      <w:r w:rsidR="73E3F7B2">
        <w:t xml:space="preserve">In the </w:t>
      </w:r>
      <w:r w:rsidRPr="59CB47AA" w:rsidR="49C25E25">
        <w:rPr>
          <w:i/>
          <w:iCs/>
        </w:rPr>
        <w:t>NPRM</w:t>
      </w:r>
      <w:r w:rsidR="73E3F7B2">
        <w:t>, the Commission</w:t>
      </w:r>
      <w:r w:rsidR="296D24E2">
        <w:t xml:space="preserve"> stated that,</w:t>
      </w:r>
      <w:r w:rsidRPr="00FC3029" w:rsidR="66AA4C38">
        <w:t xml:space="preserve"> </w:t>
      </w:r>
      <w:r w:rsidR="48F5A138">
        <w:t>a</w:t>
      </w:r>
      <w:r w:rsidRPr="00FC3029" w:rsidR="66AA4C38">
        <w:t xml:space="preserve">lthough </w:t>
      </w:r>
      <w:r w:rsidR="66AA4C38">
        <w:t>S</w:t>
      </w:r>
      <w:r w:rsidRPr="00FC3029" w:rsidR="66AA4C38">
        <w:t xml:space="preserve">ection 15.3(l) </w:t>
      </w:r>
      <w:r w:rsidR="66AA4C38">
        <w:t xml:space="preserve">of our rules </w:t>
      </w:r>
      <w:r w:rsidRPr="00FC3029" w:rsidR="66AA4C38">
        <w:t>provides a definition for “field disturbance sensor</w:t>
      </w:r>
      <w:r w:rsidR="66AA4C38">
        <w:t>,”</w:t>
      </w:r>
      <w:r>
        <w:rPr>
          <w:rStyle w:val="FootnoteReference"/>
          <w:color w:val="000000"/>
        </w:rPr>
        <w:footnoteReference w:id="35"/>
      </w:r>
      <w:r w:rsidRPr="00FC3029" w:rsidR="66AA4C38">
        <w:t xml:space="preserve"> </w:t>
      </w:r>
      <w:r w:rsidR="3E3691D7">
        <w:t xml:space="preserve">one must </w:t>
      </w:r>
      <w:r w:rsidR="6B15CF61">
        <w:t>look</w:t>
      </w:r>
      <w:r w:rsidR="111D1AAE">
        <w:t xml:space="preserve"> to the</w:t>
      </w:r>
      <w:r w:rsidR="3E3691D7">
        <w:t xml:space="preserve"> general </w:t>
      </w:r>
      <w:r w:rsidR="208146DC">
        <w:t>p</w:t>
      </w:r>
      <w:r w:rsidR="3E3691D7">
        <w:t>art 2 rules to find</w:t>
      </w:r>
      <w:r w:rsidRPr="00FC3029" w:rsidR="66AA4C38">
        <w:t xml:space="preserve"> a definition for “radar</w:t>
      </w:r>
      <w:r w:rsidR="7F7AEFD9">
        <w:t>.</w:t>
      </w:r>
      <w:r w:rsidRPr="00FC3029" w:rsidR="66AA4C38">
        <w:t>”</w:t>
      </w:r>
      <w:r>
        <w:rPr>
          <w:rStyle w:val="FootnoteReference"/>
          <w:color w:val="000000"/>
        </w:rPr>
        <w:footnoteReference w:id="36"/>
      </w:r>
      <w:r w:rsidRPr="00FC3029" w:rsidR="66AA4C38">
        <w:t xml:space="preserve"> </w:t>
      </w:r>
      <w:r w:rsidR="735C2AF7">
        <w:t xml:space="preserve"> </w:t>
      </w:r>
      <w:r w:rsidR="504D75DF">
        <w:t xml:space="preserve">It asked </w:t>
      </w:r>
      <w:r w:rsidRPr="00FC3029" w:rsidR="66AA4C38">
        <w:t xml:space="preserve">whether the rules related to “field disturbance sensors” in </w:t>
      </w:r>
      <w:r w:rsidR="003375F0">
        <w:t>s</w:t>
      </w:r>
      <w:r w:rsidRPr="00FC3029" w:rsidR="66AA4C38">
        <w:t>ection 15.255 are sufficiently broad and flexible to accommodate the classes of devices that parties anticipate will be developed to operate in the 57-71 GHz band</w:t>
      </w:r>
      <w:r w:rsidR="11240D3F">
        <w:t xml:space="preserve"> and</w:t>
      </w:r>
      <w:r w:rsidR="66AA4C38">
        <w:t xml:space="preserve"> whether the definition contained in </w:t>
      </w:r>
      <w:r w:rsidR="003375F0">
        <w:t>p</w:t>
      </w:r>
      <w:r w:rsidR="66AA4C38">
        <w:t xml:space="preserve">art 15 of </w:t>
      </w:r>
      <w:r w:rsidR="12E37434">
        <w:t>the</w:t>
      </w:r>
      <w:r w:rsidR="66AA4C38">
        <w:t xml:space="preserve"> rules </w:t>
      </w:r>
      <w:r w:rsidR="12E37434">
        <w:t xml:space="preserve">should be modified </w:t>
      </w:r>
      <w:r w:rsidR="66AA4C38">
        <w:t xml:space="preserve">to provide greater clarity </w:t>
      </w:r>
      <w:r w:rsidR="3D4BB9B7">
        <w:t>regarding</w:t>
      </w:r>
      <w:r w:rsidR="66AA4C38">
        <w:t xml:space="preserve"> the relationship between FDS and radars</w:t>
      </w:r>
      <w:r w:rsidR="205AE660">
        <w:t>.</w:t>
      </w:r>
      <w:r>
        <w:rPr>
          <w:rStyle w:val="FootnoteReference"/>
        </w:rPr>
        <w:footnoteReference w:id="37"/>
      </w:r>
      <w:r w:rsidR="472FE87D">
        <w:t xml:space="preserve"> </w:t>
      </w:r>
    </w:p>
    <w:p w:rsidR="009733A2" w:rsidP="00725289" w14:paraId="05EC1D57" w14:textId="7F1A41F7">
      <w:pPr>
        <w:pStyle w:val="ParaNum"/>
      </w:pPr>
      <w:r>
        <w:t xml:space="preserve">We </w:t>
      </w:r>
      <w:r w:rsidR="055D63B1">
        <w:t xml:space="preserve">clarify </w:t>
      </w:r>
      <w:r w:rsidR="707166EF">
        <w:t xml:space="preserve">that </w:t>
      </w:r>
      <w:r w:rsidR="6530F5A0">
        <w:t xml:space="preserve">radars are a sub-category of </w:t>
      </w:r>
      <w:r w:rsidR="41B6A3B6">
        <w:t>FDS</w:t>
      </w:r>
      <w:r w:rsidR="6530F5A0">
        <w:t xml:space="preserve"> as defined in both sections 15.3(l) and 2.1 of our rules.</w:t>
      </w:r>
      <w:r>
        <w:rPr>
          <w:rStyle w:val="FootnoteReference"/>
        </w:rPr>
        <w:footnoteReference w:id="38"/>
      </w:r>
      <w:r w:rsidR="6530F5A0">
        <w:t xml:space="preserve">  We further find that the radar definition in section 2.1 of our rules is sufficiently broad when used in conjunction with the FDS definition of section 15.3(l) to accommodate the types of FDS applications envisioned for the 60 GHz band</w:t>
      </w:r>
      <w:r w:rsidR="355E1EE1">
        <w:t xml:space="preserve">.  </w:t>
      </w:r>
      <w:r w:rsidR="00561B25">
        <w:t>W</w:t>
      </w:r>
      <w:r w:rsidR="0F87D96B">
        <w:t xml:space="preserve">e </w:t>
      </w:r>
      <w:r w:rsidR="355E1EE1">
        <w:t xml:space="preserve">agree with </w:t>
      </w:r>
      <w:r w:rsidR="4B9A41C1">
        <w:t>both</w:t>
      </w:r>
      <w:r w:rsidR="6530F5A0">
        <w:rPr>
          <w:szCs w:val="22"/>
        </w:rPr>
        <w:t xml:space="preserve"> </w:t>
      </w:r>
      <w:r w:rsidRPr="695573F5" w:rsidR="4B9A41C1">
        <w:t>Texas Instruments (TI)</w:t>
      </w:r>
      <w:r w:rsidR="4B9A41C1">
        <w:t xml:space="preserve"> and IEE Sensing</w:t>
      </w:r>
      <w:r w:rsidR="58548FD6">
        <w:t xml:space="preserve"> that </w:t>
      </w:r>
      <w:r w:rsidR="4B794BF0">
        <w:t xml:space="preserve">our rules </w:t>
      </w:r>
      <w:r w:rsidR="16281689">
        <w:t xml:space="preserve">must allow for the </w:t>
      </w:r>
      <w:r w:rsidRPr="695573F5" w:rsidR="16281689">
        <w:t>detection of static persons or objects</w:t>
      </w:r>
      <w:r w:rsidR="25563E94">
        <w:t xml:space="preserve"> and </w:t>
      </w:r>
      <w:r w:rsidRPr="695573F5" w:rsidR="25563E94">
        <w:t>cover all cases of motion/presence detection, regardless of the particular radar topologies employed</w:t>
      </w:r>
      <w:r w:rsidR="0F87D96B">
        <w:t>,</w:t>
      </w:r>
      <w:r>
        <w:rPr>
          <w:rStyle w:val="FootnoteReference"/>
        </w:rPr>
        <w:footnoteReference w:id="39"/>
      </w:r>
      <w:r w:rsidR="0F87D96B">
        <w:t xml:space="preserve"> </w:t>
      </w:r>
      <w:r w:rsidR="003C44E7">
        <w:t xml:space="preserve">and </w:t>
      </w:r>
      <w:r w:rsidR="00EA70D0">
        <w:t xml:space="preserve">we </w:t>
      </w:r>
      <w:r w:rsidR="00A073FD">
        <w:t xml:space="preserve">find that modifying the definition in section 15.3(l) of the rules </w:t>
      </w:r>
      <w:r w:rsidR="000F44AD">
        <w:t xml:space="preserve">to include radars </w:t>
      </w:r>
      <w:r w:rsidR="00D01D06">
        <w:t xml:space="preserve">will achieve </w:t>
      </w:r>
      <w:r w:rsidR="002B733B">
        <w:t xml:space="preserve">this objective.  The final rules are set forth in Appendix B, </w:t>
      </w:r>
      <w:r w:rsidRPr="00681019" w:rsidR="002B733B">
        <w:rPr>
          <w:i/>
          <w:iCs/>
        </w:rPr>
        <w:t>infra</w:t>
      </w:r>
      <w:r w:rsidR="002B733B">
        <w:t>.</w:t>
      </w:r>
      <w:r w:rsidR="533993EE">
        <w:t xml:space="preserve">  </w:t>
      </w:r>
      <w:r w:rsidRPr="00725289" w:rsidR="786B6EFC">
        <w:rPr>
          <w:szCs w:val="22"/>
        </w:rPr>
        <w:t xml:space="preserve">  </w:t>
      </w:r>
    </w:p>
    <w:p w:rsidR="00DE2AC1" w:rsidRPr="00DE2AC1" w:rsidP="008D7CF0" w14:paraId="287BB370" w14:textId="08725308">
      <w:pPr>
        <w:pStyle w:val="ParaNum"/>
      </w:pPr>
      <w:r w:rsidRPr="59CB47AA">
        <w:rPr>
          <w:i/>
          <w:iCs/>
        </w:rPr>
        <w:t>Mobile Use of FDS Devices</w:t>
      </w:r>
      <w:r w:rsidRPr="59CB47AA" w:rsidR="0126EAD7">
        <w:rPr>
          <w:i/>
          <w:iCs/>
        </w:rPr>
        <w:t xml:space="preserve">.  </w:t>
      </w:r>
      <w:r w:rsidR="52A7259D">
        <w:t>Th</w:t>
      </w:r>
      <w:r w:rsidR="79A289CA">
        <w:t>e Commission</w:t>
      </w:r>
      <w:r w:rsidR="52A7259D">
        <w:t>’s history of expanding</w:t>
      </w:r>
      <w:r w:rsidR="79A289CA">
        <w:t xml:space="preserve"> unlicensed use of the 60 GHz band</w:t>
      </w:r>
      <w:r w:rsidR="52A7259D">
        <w:t xml:space="preserve"> has </w:t>
      </w:r>
      <w:r w:rsidR="1C2DB782">
        <w:t xml:space="preserve">focused on fixed FDS </w:t>
      </w:r>
      <w:r w:rsidR="583FB5F4">
        <w:t>use, with</w:t>
      </w:r>
      <w:r w:rsidR="77DFA3B8">
        <w:t xml:space="preserve"> limited and relatively recent</w:t>
      </w:r>
      <w:r w:rsidR="1B5C7CC3">
        <w:t xml:space="preserve">ly adopted </w:t>
      </w:r>
      <w:r w:rsidR="1EE35160">
        <w:t xml:space="preserve">provisions for mobile use.  </w:t>
      </w:r>
      <w:r w:rsidR="64FAD62E">
        <w:t xml:space="preserve">In the </w:t>
      </w:r>
      <w:r w:rsidRPr="59CB47AA" w:rsidR="64FAD62E">
        <w:rPr>
          <w:i/>
          <w:iCs/>
        </w:rPr>
        <w:t>NPRM</w:t>
      </w:r>
      <w:r w:rsidR="64FAD62E">
        <w:t xml:space="preserve">, the </w:t>
      </w:r>
      <w:r w:rsidR="68956076">
        <w:t>Commission</w:t>
      </w:r>
      <w:r w:rsidR="64FAD62E">
        <w:t xml:space="preserve"> sought comment on how it should interpret “fixed” and whether it should incorporate a specific definition for </w:t>
      </w:r>
      <w:r w:rsidR="20159424">
        <w:t xml:space="preserve">that </w:t>
      </w:r>
      <w:r w:rsidR="64FAD62E">
        <w:t>term into the Part 15 rules.</w:t>
      </w:r>
      <w:r>
        <w:rPr>
          <w:rStyle w:val="FootnoteReference"/>
        </w:rPr>
        <w:footnoteReference w:id="40"/>
      </w:r>
      <w:r w:rsidR="64FAD62E">
        <w:t xml:space="preserve">  The Commission further observed that a</w:t>
      </w:r>
      <w:r w:rsidRPr="2A368673" w:rsidR="64FAD62E">
        <w:t xml:space="preserve"> review of the 1998 Report and Order that first permitted fixed FDS use in the band suggest</w:t>
      </w:r>
      <w:r w:rsidR="7440AA99">
        <w:t>s</w:t>
      </w:r>
      <w:r w:rsidRPr="2A368673" w:rsidR="64FAD62E">
        <w:t xml:space="preserve"> that the Commission was anticipating a narrow set of applications </w:t>
      </w:r>
      <w:r w:rsidR="5A47A123">
        <w:t xml:space="preserve">for </w:t>
      </w:r>
      <w:r w:rsidRPr="2A368673" w:rsidR="64FAD62E">
        <w:t xml:space="preserve">industrial settings where </w:t>
      </w:r>
      <w:r w:rsidRPr="2A368673" w:rsidR="64FAD62E">
        <w:t>the equipment would rarely if ever be moved.</w:t>
      </w:r>
      <w:r>
        <w:rPr>
          <w:rStyle w:val="FootnoteReference"/>
        </w:rPr>
        <w:footnoteReference w:id="41"/>
      </w:r>
      <w:r w:rsidRPr="2A368673" w:rsidR="64FAD62E">
        <w:t xml:space="preserve">  </w:t>
      </w:r>
      <w:r w:rsidR="6613D212">
        <w:t xml:space="preserve">In the NPRM in this </w:t>
      </w:r>
      <w:r w:rsidR="1ED44230">
        <w:t>proceeding</w:t>
      </w:r>
      <w:r w:rsidR="08A6DAB2">
        <w:t xml:space="preserve"> and with respect to</w:t>
      </w:r>
      <w:r w:rsidR="181CDD9F">
        <w:t xml:space="preserve"> the </w:t>
      </w:r>
      <w:r w:rsidR="4FA32407">
        <w:t>61.0</w:t>
      </w:r>
      <w:r w:rsidR="181CDD9F">
        <w:t>-61.5 GHz band in particular</w:t>
      </w:r>
      <w:r w:rsidR="181CDD9F">
        <w:t>, t</w:t>
      </w:r>
      <w:r w:rsidR="64FAD62E">
        <w:t xml:space="preserve">he Commission </w:t>
      </w:r>
      <w:r w:rsidRPr="2A368673" w:rsidR="64FAD62E">
        <w:t>tentatively conclude</w:t>
      </w:r>
      <w:r w:rsidR="64FAD62E">
        <w:t>d</w:t>
      </w:r>
      <w:r w:rsidRPr="2A368673" w:rsidR="64FAD62E">
        <w:t xml:space="preserve"> that fixed FDS operations </w:t>
      </w:r>
      <w:r w:rsidR="64FAD62E">
        <w:t xml:space="preserve">should be interpreted </w:t>
      </w:r>
      <w:r w:rsidRPr="2A368673" w:rsidR="64FAD62E">
        <w:t>as those instances where an FDS device is stationary and is operating at a discrete location for an indefinite</w:t>
      </w:r>
      <w:r w:rsidR="003C55F6">
        <w:t>—</w:t>
      </w:r>
      <w:r w:rsidRPr="59CB47AA" w:rsidR="64FAD62E">
        <w:rPr>
          <w:i/>
          <w:iCs/>
        </w:rPr>
        <w:t>i.e.</w:t>
      </w:r>
      <w:r w:rsidRPr="2A368673" w:rsidR="64FAD62E">
        <w:t>, more than mere transitory</w:t>
      </w:r>
      <w:r w:rsidR="002E35D3">
        <w:t>—</w:t>
      </w:r>
      <w:r w:rsidRPr="2A368673" w:rsidR="64FAD62E">
        <w:t xml:space="preserve">period. </w:t>
      </w:r>
      <w:r w:rsidR="64FAD62E">
        <w:t xml:space="preserve"> It also sought comment on whether there is a bright line rule to differentiate fixed and mobile FDS operations.</w:t>
      </w:r>
      <w:r>
        <w:rPr>
          <w:rStyle w:val="FootnoteReference"/>
        </w:rPr>
        <w:footnoteReference w:id="42"/>
      </w:r>
    </w:p>
    <w:p w:rsidR="00C252DC" w:rsidRPr="00EC43CC" w:rsidP="00C252DC" w14:paraId="1E4D05FE" w14:textId="2D4EA271">
      <w:pPr>
        <w:pStyle w:val="ParaNum"/>
      </w:pPr>
      <w:r>
        <w:t>Many c</w:t>
      </w:r>
      <w:r w:rsidR="3A61472B">
        <w:t xml:space="preserve">ommenters </w:t>
      </w:r>
      <w:r w:rsidR="76594345">
        <w:t xml:space="preserve">express </w:t>
      </w:r>
      <w:r w:rsidR="6F959548">
        <w:t xml:space="preserve">support </w:t>
      </w:r>
      <w:r w:rsidR="76594345">
        <w:t>for</w:t>
      </w:r>
      <w:r w:rsidR="6F959548">
        <w:t xml:space="preserve"> </w:t>
      </w:r>
      <w:r w:rsidRPr="695573F5" w:rsidR="4E4D8FAA">
        <w:t xml:space="preserve">eliminating the distinction between fixed and mobile FDS </w:t>
      </w:r>
      <w:r w:rsidR="69D8215E">
        <w:t>use</w:t>
      </w:r>
      <w:r w:rsidR="51F6EC33">
        <w:t xml:space="preserve"> or </w:t>
      </w:r>
      <w:r w:rsidR="743D8158">
        <w:t xml:space="preserve">ask us to </w:t>
      </w:r>
      <w:r w:rsidRPr="695573F5" w:rsidR="4E4D8FAA">
        <w:t>take an agnostic use</w:t>
      </w:r>
      <w:r w:rsidR="4E4D8FAA">
        <w:rPr>
          <w:szCs w:val="22"/>
        </w:rPr>
        <w:t xml:space="preserve"> </w:t>
      </w:r>
      <w:r w:rsidRPr="695573F5" w:rsidR="4E4D8FAA">
        <w:t>case approach.</w:t>
      </w:r>
      <w:r>
        <w:rPr>
          <w:rStyle w:val="FootnoteReference"/>
        </w:rPr>
        <w:footnoteReference w:id="43"/>
      </w:r>
      <w:r w:rsidRPr="695573F5" w:rsidR="4E4D8FAA">
        <w:t xml:space="preserve">  </w:t>
      </w:r>
      <w:r w:rsidR="73B107C5">
        <w:t>Among the</w:t>
      </w:r>
      <w:r w:rsidR="3ED9DC22">
        <w:t xml:space="preserve"> commenters </w:t>
      </w:r>
      <w:r w:rsidR="2EFBA036">
        <w:t>that suggest</w:t>
      </w:r>
      <w:r w:rsidR="73B107C5">
        <w:t xml:space="preserve"> </w:t>
      </w:r>
      <w:r w:rsidR="1E3336F4">
        <w:t xml:space="preserve">specific definitions, </w:t>
      </w:r>
      <w:r w:rsidR="717C8D7A">
        <w:t>Vayyar</w:t>
      </w:r>
      <w:r w:rsidR="717C8D7A">
        <w:t xml:space="preserve"> says that we</w:t>
      </w:r>
      <w:r w:rsidRPr="695573F5" w:rsidR="717C8D7A">
        <w:t xml:space="preserve"> should interpret “fixed” in an expansive manner, such as “remaining at same geographical location while operating</w:t>
      </w:r>
      <w:r w:rsidR="6325F8C6">
        <w:t>,</w:t>
      </w:r>
      <w:r w:rsidRPr="695573F5" w:rsidR="717C8D7A">
        <w:t>” allowing moving the sensor within the premises or to other premises (e.g. within an apartment, hospital, ship, etc.)</w:t>
      </w:r>
      <w:r w:rsidR="717C8D7A">
        <w:rPr>
          <w:szCs w:val="22"/>
        </w:rPr>
        <w:t>.</w:t>
      </w:r>
      <w:r>
        <w:rPr>
          <w:rStyle w:val="FootnoteReference"/>
        </w:rPr>
        <w:footnoteReference w:id="44"/>
      </w:r>
      <w:r w:rsidR="717C8D7A">
        <w:rPr>
          <w:szCs w:val="22"/>
        </w:rPr>
        <w:t xml:space="preserve"> </w:t>
      </w:r>
      <w:r w:rsidR="2EFBA036">
        <w:t xml:space="preserve"> </w:t>
      </w:r>
      <w:r w:rsidRPr="695573F5" w:rsidR="4E4D8FAA">
        <w:t xml:space="preserve">Google suggests keeping the high power allowed in the 61.0-61.5 GHz band and recommends </w:t>
      </w:r>
      <w:r w:rsidRPr="695573F5" w:rsidR="4E4D8FAA">
        <w:rPr>
          <w:rFonts w:eastAsia="ArialMT"/>
        </w:rPr>
        <w:t>interpreting “fixed” FDS operations as those instances where an FDS device is stationary and is operating at a discrete location for an indefinite period</w:t>
      </w:r>
      <w:r w:rsidR="59CA3244">
        <w:rPr>
          <w:rFonts w:eastAsia="ArialMT"/>
        </w:rPr>
        <w:t>,</w:t>
      </w:r>
      <w:r>
        <w:rPr>
          <w:rStyle w:val="FootnoteReference"/>
          <w:rFonts w:eastAsia="ArialMT"/>
        </w:rPr>
        <w:footnoteReference w:id="45"/>
      </w:r>
      <w:r w:rsidRPr="695573F5" w:rsidR="4E4D8FAA">
        <w:rPr>
          <w:rFonts w:eastAsia="ArialMT"/>
        </w:rPr>
        <w:t xml:space="preserve"> </w:t>
      </w:r>
      <w:r w:rsidR="59CA3244">
        <w:rPr>
          <w:rFonts w:eastAsia="ArialMT"/>
        </w:rPr>
        <w:t>and</w:t>
      </w:r>
      <w:r w:rsidRPr="695573F5" w:rsidR="4E4D8FAA">
        <w:rPr>
          <w:rFonts w:eastAsia="ArialMT"/>
        </w:rPr>
        <w:t xml:space="preserve"> </w:t>
      </w:r>
      <w:r w:rsidRPr="46A38630" w:rsidR="3D42725B">
        <w:t xml:space="preserve">Bosch </w:t>
      </w:r>
      <w:r w:rsidRPr="46A38630" w:rsidR="5A122670">
        <w:t xml:space="preserve">suggests </w:t>
      </w:r>
      <w:r w:rsidRPr="46A38630" w:rsidR="4216D77F">
        <w:t>distinguishing between fixed and m</w:t>
      </w:r>
      <w:r w:rsidRPr="46A38630" w:rsidR="2A4A9F12">
        <w:t xml:space="preserve">obile </w:t>
      </w:r>
      <w:r w:rsidRPr="46A38630" w:rsidR="6DC3B226">
        <w:t xml:space="preserve">based on whether the </w:t>
      </w:r>
      <w:r w:rsidRPr="46A38630" w:rsidR="3F8C67B8">
        <w:t xml:space="preserve">device </w:t>
      </w:r>
      <w:r w:rsidRPr="46A38630" w:rsidR="75F1F3AB">
        <w:t xml:space="preserve">is </w:t>
      </w:r>
      <w:r w:rsidRPr="695573F5" w:rsidR="75F1F3AB">
        <w:t>mounted on a structure (e.g. building, streetlight</w:t>
      </w:r>
      <w:r w:rsidR="0F61D6CD">
        <w:t>,</w:t>
      </w:r>
      <w:r w:rsidRPr="695573F5" w:rsidR="75F1F3AB">
        <w:t xml:space="preserve"> or tower) </w:t>
      </w:r>
      <w:r w:rsidR="61751EB4">
        <w:t>or</w:t>
      </w:r>
      <w:r w:rsidRPr="695573F5" w:rsidR="75F1F3AB">
        <w:t xml:space="preserve"> connected to </w:t>
      </w:r>
      <w:r w:rsidR="61751EB4">
        <w:t>perman</w:t>
      </w:r>
      <w:r w:rsidR="627C82A2">
        <w:t xml:space="preserve">ent </w:t>
      </w:r>
      <w:r w:rsidRPr="695573F5" w:rsidR="75F1F3AB">
        <w:t>infrastructure</w:t>
      </w:r>
      <w:r w:rsidR="75F1F3AB">
        <w:t>.</w:t>
      </w:r>
      <w:r>
        <w:rPr>
          <w:rStyle w:val="FootnoteReference"/>
        </w:rPr>
        <w:footnoteReference w:id="46"/>
      </w:r>
    </w:p>
    <w:p w:rsidR="00140B14" w:rsidP="00C252DC" w14:paraId="15AC0EB7" w14:textId="0EB3012B">
      <w:pPr>
        <w:pStyle w:val="ParaNum"/>
      </w:pPr>
      <w:r>
        <w:t xml:space="preserve">We find that the record illustrates radar use cases </w:t>
      </w:r>
      <w:r w:rsidR="00CA111E">
        <w:t xml:space="preserve">that </w:t>
      </w:r>
      <w:r>
        <w:t>can be ubiquitous and sufficiently fluid in space (such as on a vehicle, or a hospital equipment cart)</w:t>
      </w:r>
      <w:r w:rsidR="00281F20">
        <w:t xml:space="preserve">, </w:t>
      </w:r>
      <w:r w:rsidR="00DA0C72">
        <w:t xml:space="preserve">such that </w:t>
      </w:r>
      <w:r w:rsidR="001F1CE2">
        <w:t>to fully realize the potential benefits of the band</w:t>
      </w:r>
      <w:r w:rsidR="00DE418C">
        <w:t>,</w:t>
      </w:r>
      <w:r w:rsidR="001F1CE2">
        <w:t xml:space="preserve"> </w:t>
      </w:r>
      <w:r w:rsidR="008431FA">
        <w:t xml:space="preserve">many </w:t>
      </w:r>
      <w:r w:rsidR="001F1CE2">
        <w:t xml:space="preserve">radar applications </w:t>
      </w:r>
      <w:r w:rsidR="006C4E66">
        <w:t xml:space="preserve">will </w:t>
      </w:r>
      <w:r w:rsidR="00251A21">
        <w:t>have mobile characteristics</w:t>
      </w:r>
      <w:r w:rsidR="00BC212A">
        <w:t xml:space="preserve"> even if they are affixed to </w:t>
      </w:r>
      <w:r w:rsidR="008A6960">
        <w:t xml:space="preserve">equipment </w:t>
      </w:r>
      <w:r w:rsidR="00602B43">
        <w:t xml:space="preserve">that can </w:t>
      </w:r>
      <w:r w:rsidR="00D54978">
        <w:t xml:space="preserve">remain </w:t>
      </w:r>
      <w:r w:rsidR="00CC50AF">
        <w:t>stationary</w:t>
      </w:r>
      <w:r w:rsidR="00D54978">
        <w:t xml:space="preserve"> in a</w:t>
      </w:r>
      <w:r w:rsidR="00C02403">
        <w:t xml:space="preserve"> particular location</w:t>
      </w:r>
      <w:r w:rsidR="00D54978">
        <w:t xml:space="preserve"> </w:t>
      </w:r>
      <w:r w:rsidR="008E1E36">
        <w:t xml:space="preserve">while </w:t>
      </w:r>
      <w:r w:rsidR="00E17C90">
        <w:t xml:space="preserve">the radar is in </w:t>
      </w:r>
      <w:r w:rsidR="008E1E36">
        <w:t>operat</w:t>
      </w:r>
      <w:r w:rsidR="00E17C90">
        <w:t>ion</w:t>
      </w:r>
      <w:r w:rsidR="001866FF">
        <w:t xml:space="preserve">.  Thus, </w:t>
      </w:r>
      <w:r w:rsidR="00BF5524">
        <w:t>w</w:t>
      </w:r>
      <w:r w:rsidR="000C76A8">
        <w:t xml:space="preserve">e conclude that the best course is to </w:t>
      </w:r>
      <w:r w:rsidR="00DD74A6">
        <w:t xml:space="preserve">broadly </w:t>
      </w:r>
      <w:r w:rsidR="00251720">
        <w:t>expand</w:t>
      </w:r>
      <w:r w:rsidR="00BF5524">
        <w:t xml:space="preserve"> </w:t>
      </w:r>
      <w:r w:rsidR="00251720">
        <w:t xml:space="preserve">mobile use throughout the band </w:t>
      </w:r>
      <w:r w:rsidR="00C07208">
        <w:t xml:space="preserve">so </w:t>
      </w:r>
      <w:r w:rsidR="00251720">
        <w:t xml:space="preserve">that </w:t>
      </w:r>
      <w:r w:rsidR="00BD45D1">
        <w:t xml:space="preserve">fixed and mobile distinctions are generally not relevant for </w:t>
      </w:r>
      <w:r w:rsidR="00A101A4">
        <w:t>operating under the revised rules</w:t>
      </w:r>
      <w:r w:rsidR="00440147">
        <w:t>.</w:t>
      </w:r>
      <w:r>
        <w:rPr>
          <w:rStyle w:val="FootnoteReference"/>
        </w:rPr>
        <w:footnoteReference w:id="47"/>
      </w:r>
      <w:r w:rsidR="00440147">
        <w:t xml:space="preserve">  </w:t>
      </w:r>
      <w:r w:rsidR="001B38B3">
        <w:t xml:space="preserve">For this reason, we </w:t>
      </w:r>
      <w:r w:rsidR="00A66FE3">
        <w:t xml:space="preserve">are not </w:t>
      </w:r>
      <w:r w:rsidR="003B7AAF">
        <w:t xml:space="preserve">adding </w:t>
      </w:r>
      <w:r w:rsidR="008E3D96">
        <w:t xml:space="preserve">a </w:t>
      </w:r>
      <w:r w:rsidR="00F45725">
        <w:t xml:space="preserve">specific “fixed” </w:t>
      </w:r>
      <w:r w:rsidR="009B319C">
        <w:t xml:space="preserve">definition </w:t>
      </w:r>
      <w:r w:rsidR="00B21976">
        <w:t xml:space="preserve">in our rules </w:t>
      </w:r>
      <w:r w:rsidR="002D05EF">
        <w:t>f</w:t>
      </w:r>
      <w:r w:rsidR="00B21976">
        <w:t>or</w:t>
      </w:r>
      <w:r w:rsidR="00A4344D">
        <w:t xml:space="preserve"> </w:t>
      </w:r>
      <w:r w:rsidR="002441CB">
        <w:t>unlicensed FDS devices</w:t>
      </w:r>
      <w:r w:rsidR="0031103F">
        <w:t>.</w:t>
      </w:r>
    </w:p>
    <w:p w:rsidR="00AF1F80" w:rsidP="002F72D1" w14:paraId="6F3DA70A" w14:textId="21339D0D">
      <w:pPr>
        <w:pStyle w:val="ParaNum"/>
      </w:pPr>
      <w:r>
        <w:t>For purposes of</w:t>
      </w:r>
      <w:r w:rsidR="00433FFC">
        <w:t xml:space="preserve"> the </w:t>
      </w:r>
      <w:r w:rsidRPr="00FC3029" w:rsidR="002F72D1">
        <w:t xml:space="preserve">61.0-61.5 GHz </w:t>
      </w:r>
      <w:r w:rsidR="002F72D1">
        <w:t xml:space="preserve">ISM </w:t>
      </w:r>
      <w:r w:rsidRPr="00FC3029" w:rsidR="002F72D1">
        <w:t>band</w:t>
      </w:r>
      <w:r w:rsidR="002F72D1">
        <w:t xml:space="preserve"> segment, </w:t>
      </w:r>
      <w:r w:rsidR="00A32187">
        <w:t xml:space="preserve">existing </w:t>
      </w:r>
      <w:r w:rsidR="00890FBA">
        <w:t>s</w:t>
      </w:r>
      <w:r w:rsidRPr="00FC3029" w:rsidR="002F72D1">
        <w:t xml:space="preserve">ection 15.255(c)(2) </w:t>
      </w:r>
      <w:r w:rsidR="002F72D1">
        <w:t xml:space="preserve">of the rules </w:t>
      </w:r>
      <w:r w:rsidRPr="00FC3029" w:rsidR="002F72D1">
        <w:t xml:space="preserve">permits a fixed FDS device to operate </w:t>
      </w:r>
      <w:r w:rsidR="002F72D1">
        <w:t xml:space="preserve">at </w:t>
      </w:r>
      <w:r w:rsidRPr="00FC3029" w:rsidR="002F72D1">
        <w:t>up to 40 dBm average EI</w:t>
      </w:r>
      <w:r w:rsidR="002F72D1">
        <w:t>RP</w:t>
      </w:r>
      <w:r w:rsidRPr="00FC3029" w:rsidR="002F72D1">
        <w:t xml:space="preserve"> and </w:t>
      </w:r>
      <w:r w:rsidR="002F72D1">
        <w:t xml:space="preserve">at </w:t>
      </w:r>
      <w:r w:rsidRPr="00FC3029" w:rsidR="002F72D1">
        <w:t xml:space="preserve">up to 43 dBm </w:t>
      </w:r>
      <w:r w:rsidR="002F72D1">
        <w:t xml:space="preserve">peak </w:t>
      </w:r>
      <w:r w:rsidRPr="00FC3029" w:rsidR="002F72D1">
        <w:t>EIRP</w:t>
      </w:r>
      <w:r w:rsidR="002F72D1">
        <w:t>.</w:t>
      </w:r>
      <w:r>
        <w:rPr>
          <w:rStyle w:val="FootnoteReference"/>
          <w:color w:val="000000"/>
        </w:rPr>
        <w:footnoteReference w:id="48"/>
      </w:r>
      <w:r w:rsidR="002F72D1">
        <w:t xml:space="preserve"> </w:t>
      </w:r>
      <w:r w:rsidRPr="00FC3029" w:rsidR="002F72D1">
        <w:t xml:space="preserve"> </w:t>
      </w:r>
      <w:r w:rsidR="002F72D1">
        <w:t>Under this rule, a fixed FDS device’s</w:t>
      </w:r>
      <w:r w:rsidRPr="00FC3029" w:rsidR="002F72D1">
        <w:t xml:space="preserve"> occupied bandwidth must be fully contained within the 500-megahertz bandwidth of the 61.0-61.5 GHz band; and it must attenuate its signals outside the 61.0-61.5 GHz band, but still within the 57-71 GHz band, to less than 10 dBm average EIRP and 13 dBm peak EIRP.</w:t>
      </w:r>
      <w:r>
        <w:rPr>
          <w:rStyle w:val="FootnoteReference"/>
          <w:color w:val="000000"/>
        </w:rPr>
        <w:footnoteReference w:id="49"/>
      </w:r>
      <w:r w:rsidR="00981475">
        <w:t xml:space="preserve">  </w:t>
      </w:r>
      <w:r w:rsidR="00A517FD">
        <w:t xml:space="preserve">Google has observed </w:t>
      </w:r>
      <w:r w:rsidR="00FB3632">
        <w:t xml:space="preserve">that the high power allowed in this 500-megahertz band would be useful to </w:t>
      </w:r>
      <w:r w:rsidR="00FB3632">
        <w:t>FDS using narrow bandwidth applications</w:t>
      </w:r>
      <w:r w:rsidR="00A517FD">
        <w:t xml:space="preserve">, and </w:t>
      </w:r>
      <w:r w:rsidR="00FB3632">
        <w:t xml:space="preserve">the Industry Consensus Agreement </w:t>
      </w:r>
      <w:r w:rsidR="00A517FD">
        <w:t>recommends</w:t>
      </w:r>
      <w:r w:rsidR="00FB3632">
        <w:t xml:space="preserve"> retain</w:t>
      </w:r>
      <w:r w:rsidR="00A517FD">
        <w:t>ing</w:t>
      </w:r>
      <w:r w:rsidR="00FB3632">
        <w:t xml:space="preserve"> the existing power levels permitted in the 61.0-61.5 GHz band while opening the band to mobile applications</w:t>
      </w:r>
      <w:r w:rsidR="00205E0D">
        <w:t xml:space="preserve">.  </w:t>
      </w:r>
      <w:r w:rsidR="002A1C03">
        <w:t xml:space="preserve">Applying </w:t>
      </w:r>
      <w:r w:rsidR="00C952CD">
        <w:t xml:space="preserve">our decision to this band, </w:t>
      </w:r>
      <w:r w:rsidR="00D61B70">
        <w:t xml:space="preserve">we remove the “fixed” restriction applicable to FDS operation in section 15.255(c)(2).  </w:t>
      </w:r>
      <w:r w:rsidR="00FB18F8">
        <w:t>T</w:t>
      </w:r>
      <w:r w:rsidR="00D37524">
        <w:t xml:space="preserve">his is consistent with our intention to </w:t>
      </w:r>
      <w:r w:rsidR="00933562">
        <w:t xml:space="preserve">permit </w:t>
      </w:r>
      <w:r w:rsidR="00B10B92">
        <w:t xml:space="preserve">both fixed and mobile </w:t>
      </w:r>
      <w:r w:rsidR="008377F4">
        <w:t xml:space="preserve">applications </w:t>
      </w:r>
      <w:r w:rsidR="00933562">
        <w:t xml:space="preserve">to </w:t>
      </w:r>
      <w:r w:rsidR="008377F4">
        <w:t xml:space="preserve">be </w:t>
      </w:r>
      <w:r w:rsidR="009B3205">
        <w:t>deployed</w:t>
      </w:r>
      <w:r w:rsidR="008377F4">
        <w:t xml:space="preserve"> </w:t>
      </w:r>
      <w:r w:rsidR="004D3CE7">
        <w:t xml:space="preserve">within the entirety of </w:t>
      </w:r>
      <w:r w:rsidR="00F3744F">
        <w:t>the 60 GHz band</w:t>
      </w:r>
      <w:r w:rsidR="00770867">
        <w:t>.</w:t>
      </w:r>
    </w:p>
    <w:p w:rsidR="00F13E1B" w:rsidRPr="00FC3029" w:rsidP="002D120A" w14:paraId="5EAC01F3" w14:textId="349FF19A">
      <w:pPr>
        <w:pStyle w:val="ParaNum"/>
      </w:pPr>
      <w:r w:rsidRPr="4A1C0502">
        <w:rPr>
          <w:i/>
          <w:iCs/>
        </w:rPr>
        <w:t>Removal of the SRIMS Designation</w:t>
      </w:r>
      <w:r>
        <w:t xml:space="preserve">.  </w:t>
      </w:r>
      <w:r w:rsidR="220BD79D">
        <w:t xml:space="preserve">Consistent with our </w:t>
      </w:r>
      <w:r w:rsidR="129EBE90">
        <w:t>decision</w:t>
      </w:r>
      <w:r w:rsidR="05475461">
        <w:t xml:space="preserve"> to permit</w:t>
      </w:r>
      <w:r w:rsidRPr="63E588C6" w:rsidR="05475461">
        <w:t xml:space="preserve"> fixed and mobile radars</w:t>
      </w:r>
      <w:r w:rsidR="05475461">
        <w:t xml:space="preserve"> to operate </w:t>
      </w:r>
      <w:r w:rsidR="02727DF1">
        <w:t xml:space="preserve">throughout </w:t>
      </w:r>
      <w:r w:rsidR="05475461">
        <w:t>the 60 GHz band</w:t>
      </w:r>
      <w:r w:rsidR="129EBE90">
        <w:t xml:space="preserve">, </w:t>
      </w:r>
      <w:r w:rsidR="0464BB53">
        <w:t>we adopt the proposal</w:t>
      </w:r>
      <w:r w:rsidR="78BE2502">
        <w:t xml:space="preserve"> to remove the term “short-range interactive motion sensing” (SRIMS) from the rules</w:t>
      </w:r>
      <w:r w:rsidR="2B9C1BB8">
        <w:t>.</w:t>
      </w:r>
      <w:r w:rsidR="4C492203">
        <w:t xml:space="preserve">  We acknowledge </w:t>
      </w:r>
      <w:r w:rsidR="7772EAC4">
        <w:t xml:space="preserve">that </w:t>
      </w:r>
      <w:r w:rsidRPr="63E588C6" w:rsidR="4C492203">
        <w:t>there has been much confusion on which 60 GHz mobile and fixed radar applications qualify under the SRIMS designatio</w:t>
      </w:r>
      <w:r w:rsidR="7772EAC4">
        <w:t>n,</w:t>
      </w:r>
      <w:r>
        <w:rPr>
          <w:rStyle w:val="FootnoteReference"/>
          <w:snapToGrid/>
          <w:color w:val="000000"/>
          <w:kern w:val="0"/>
        </w:rPr>
        <w:footnoteReference w:id="50"/>
      </w:r>
      <w:r w:rsidR="7772EAC4">
        <w:t xml:space="preserve"> and note that c</w:t>
      </w:r>
      <w:r w:rsidR="3A31CAD2">
        <w:t>ommenters unanimously support</w:t>
      </w:r>
      <w:r w:rsidR="7772EAC4">
        <w:t>ed</w:t>
      </w:r>
      <w:r w:rsidR="3A31CAD2">
        <w:t xml:space="preserve"> the removal of the SRIMS terminology from the rules.</w:t>
      </w:r>
      <w:r>
        <w:rPr>
          <w:rStyle w:val="FootnoteReference"/>
        </w:rPr>
        <w:footnoteReference w:id="51"/>
      </w:r>
      <w:r w:rsidR="3A31CAD2">
        <w:t xml:space="preserve">  </w:t>
      </w:r>
      <w:r w:rsidR="0EA9343A">
        <w:t>Because</w:t>
      </w:r>
      <w:r w:rsidR="0B9FF2A1">
        <w:t xml:space="preserve"> </w:t>
      </w:r>
      <w:r w:rsidR="01C806B1">
        <w:t xml:space="preserve">the </w:t>
      </w:r>
      <w:r w:rsidR="0B9FF2A1">
        <w:t xml:space="preserve">FDS </w:t>
      </w:r>
      <w:r w:rsidR="01C806B1">
        <w:t xml:space="preserve">rules we are adopting </w:t>
      </w:r>
      <w:r w:rsidR="183F9573">
        <w:t xml:space="preserve">herein </w:t>
      </w:r>
      <w:r w:rsidR="1742F540">
        <w:t>will</w:t>
      </w:r>
      <w:r w:rsidR="01C806B1">
        <w:t xml:space="preserve"> apply to all manners of </w:t>
      </w:r>
      <w:r w:rsidR="6BF6CA4B">
        <w:t xml:space="preserve">fixed and mobile </w:t>
      </w:r>
      <w:r w:rsidR="01C806B1">
        <w:t>technologies</w:t>
      </w:r>
      <w:r w:rsidR="6A014E73">
        <w:t xml:space="preserve"> operating under </w:t>
      </w:r>
      <w:r w:rsidR="2B5A46F1">
        <w:t>s</w:t>
      </w:r>
      <w:r w:rsidR="6A014E73">
        <w:t>ection 15.255</w:t>
      </w:r>
      <w:r w:rsidR="458D8962">
        <w:t xml:space="preserve">, </w:t>
      </w:r>
      <w:r w:rsidR="3BAB1E4A">
        <w:t xml:space="preserve">and because </w:t>
      </w:r>
      <w:r w:rsidR="458D8962">
        <w:t xml:space="preserve">the SRIMS designation was crafted for </w:t>
      </w:r>
      <w:r w:rsidR="5FB3BE6B">
        <w:t xml:space="preserve">a </w:t>
      </w:r>
      <w:r w:rsidR="0ECF53B9">
        <w:t>limited</w:t>
      </w:r>
      <w:r w:rsidR="5FB3BE6B">
        <w:t xml:space="preserve"> type of mobile radar</w:t>
      </w:r>
      <w:r w:rsidR="135FC78D">
        <w:t xml:space="preserve"> (i.e., short-range motion sensing </w:t>
      </w:r>
      <w:r w:rsidR="3BF97BF7">
        <w:t>radar)</w:t>
      </w:r>
      <w:r w:rsidR="5FB3BE6B">
        <w:t xml:space="preserve">, </w:t>
      </w:r>
      <w:r w:rsidR="3BAB1E4A">
        <w:t xml:space="preserve">it </w:t>
      </w:r>
      <w:r w:rsidR="5FB3BE6B">
        <w:t xml:space="preserve">is no longer necessary.  </w:t>
      </w:r>
      <w:r w:rsidR="6C4335EF">
        <w:t>Accordingly, w</w:t>
      </w:r>
      <w:r w:rsidR="5FB3BE6B">
        <w:t xml:space="preserve">e </w:t>
      </w:r>
      <w:r w:rsidR="3CD4DB87">
        <w:t xml:space="preserve">remove this designation </w:t>
      </w:r>
      <w:r w:rsidR="2B5A46F1">
        <w:t xml:space="preserve">and </w:t>
      </w:r>
      <w:r w:rsidR="522F55E4">
        <w:t xml:space="preserve">associated </w:t>
      </w:r>
      <w:r w:rsidR="2B5A46F1">
        <w:t xml:space="preserve">relevant </w:t>
      </w:r>
      <w:r w:rsidR="522F55E4">
        <w:t xml:space="preserve">requirements </w:t>
      </w:r>
      <w:r w:rsidR="3CD4DB87">
        <w:t>from the rules</w:t>
      </w:r>
      <w:r w:rsidR="25A1719F">
        <w:t>.</w:t>
      </w:r>
    </w:p>
    <w:p w:rsidR="00F13E1B" w:rsidP="00373159" w14:paraId="07D3B1AE" w14:textId="0A08D14B">
      <w:pPr>
        <w:pStyle w:val="Heading2"/>
      </w:pPr>
      <w:bookmarkStart w:id="51" w:name="_Toc135123543"/>
      <w:r w:rsidRPr="00F13E1B">
        <w:t>Expanded Use of FDS Devices Operating in the 57-64 GHz band</w:t>
      </w:r>
      <w:bookmarkEnd w:id="51"/>
    </w:p>
    <w:p w:rsidR="00A05B4B" w:rsidP="000F3D6E" w14:paraId="0F51D209" w14:textId="75867720">
      <w:pPr>
        <w:pStyle w:val="ParaNum"/>
      </w:pPr>
      <w:r>
        <w:t xml:space="preserve">In </w:t>
      </w:r>
      <w:r w:rsidR="00D84403">
        <w:t xml:space="preserve">response to notice that the Commission was </w:t>
      </w:r>
      <w:r>
        <w:t xml:space="preserve">considering rules </w:t>
      </w:r>
      <w:r w:rsidR="715EE860">
        <w:t>that would promote</w:t>
      </w:r>
      <w:r>
        <w:t xml:space="preserve"> co-existence between communication devices</w:t>
      </w:r>
      <w:r w:rsidR="088AFECD">
        <w:t>—</w:t>
      </w:r>
      <w:r>
        <w:t xml:space="preserve">especially new immersive </w:t>
      </w:r>
      <w:r w:rsidR="579B65EA">
        <w:t>technologies</w:t>
      </w:r>
      <w:r>
        <w:rPr>
          <w:rStyle w:val="FootnoteReference"/>
        </w:rPr>
        <w:footnoteReference w:id="52"/>
      </w:r>
      <w:r w:rsidR="088AFECD">
        <w:t>—</w:t>
      </w:r>
      <w:r w:rsidR="579B65EA">
        <w:t xml:space="preserve">and FDS/radars in the 60 GHz spectrum, </w:t>
      </w:r>
      <w:r w:rsidR="748F761F">
        <w:t xml:space="preserve">the </w:t>
      </w:r>
      <w:r w:rsidR="74092CDA">
        <w:t>record</w:t>
      </w:r>
      <w:r w:rsidR="748F761F">
        <w:t xml:space="preserve"> reflects the</w:t>
      </w:r>
      <w:r w:rsidR="579B65EA">
        <w:t xml:space="preserve"> </w:t>
      </w:r>
      <w:r w:rsidR="3334514D">
        <w:t xml:space="preserve">disagreements, debates, and ultimate </w:t>
      </w:r>
      <w:r w:rsidR="3BA691E2">
        <w:t>consensus opinions</w:t>
      </w:r>
      <w:r w:rsidR="579B65EA">
        <w:t xml:space="preserve"> that arose between communications and radar proponents</w:t>
      </w:r>
      <w:r w:rsidR="53A188B7">
        <w:t>.</w:t>
      </w:r>
      <w:r w:rsidR="1B169ED9">
        <w:t xml:space="preserve">  The rules we are adopting </w:t>
      </w:r>
      <w:r w:rsidR="10C307B3">
        <w:t xml:space="preserve">balance </w:t>
      </w:r>
      <w:r w:rsidR="091B9E4F">
        <w:t xml:space="preserve">the </w:t>
      </w:r>
      <w:r w:rsidR="30489225">
        <w:t>abilit</w:t>
      </w:r>
      <w:r w:rsidR="5B49A8AA">
        <w:t>ies</w:t>
      </w:r>
      <w:r w:rsidR="30489225">
        <w:t xml:space="preserve"> </w:t>
      </w:r>
      <w:r w:rsidR="33942C9B">
        <w:t xml:space="preserve">of </w:t>
      </w:r>
      <w:r w:rsidR="2D0F2680">
        <w:t>r</w:t>
      </w:r>
      <w:r w:rsidR="579B65EA">
        <w:t>adar</w:t>
      </w:r>
      <w:r w:rsidR="2A2A62C9">
        <w:t xml:space="preserve"> </w:t>
      </w:r>
      <w:r w:rsidR="2D0F2680">
        <w:t>and</w:t>
      </w:r>
      <w:r w:rsidR="2A2A62C9">
        <w:t xml:space="preserve"> communication devices</w:t>
      </w:r>
      <w:r w:rsidR="3B6F4A60">
        <w:t xml:space="preserve"> </w:t>
      </w:r>
      <w:r w:rsidR="30489225">
        <w:t>to access the same spectrum</w:t>
      </w:r>
      <w:r w:rsidR="2A2A62C9">
        <w:t>.</w:t>
      </w:r>
      <w:r w:rsidR="5422D734">
        <w:t xml:space="preserve">  We adopt a band plan and </w:t>
      </w:r>
      <w:r w:rsidR="22546F1C">
        <w:t>associated</w:t>
      </w:r>
      <w:r w:rsidR="5422D734">
        <w:t xml:space="preserve"> technical rules</w:t>
      </w:r>
      <w:r w:rsidR="59D4998F">
        <w:t xml:space="preserve"> that </w:t>
      </w:r>
      <w:r w:rsidR="008C0916">
        <w:t xml:space="preserve">arise from the Commission’s original proposals and </w:t>
      </w:r>
      <w:r w:rsidR="59D4998F">
        <w:t xml:space="preserve">accounts for </w:t>
      </w:r>
      <w:r>
        <w:t xml:space="preserve">the results of a </w:t>
      </w:r>
      <w:r w:rsidR="760E22DB">
        <w:t>multi-month</w:t>
      </w:r>
      <w:r>
        <w:t xml:space="preserve"> negotiated agreement between major parties within both the communications and the radar industries</w:t>
      </w:r>
      <w:r w:rsidR="00AB5EAB">
        <w:t>, and that no party has opposed</w:t>
      </w:r>
      <w:r w:rsidR="2A2A62C9">
        <w:t>.</w:t>
      </w:r>
      <w:r>
        <w:rPr>
          <w:rStyle w:val="FootnoteReference"/>
        </w:rPr>
        <w:footnoteReference w:id="53"/>
      </w:r>
    </w:p>
    <w:p w:rsidR="000F3D6E" w:rsidP="004D4E0E" w14:paraId="195B418C" w14:textId="1F76F967">
      <w:pPr>
        <w:pStyle w:val="ParaNum"/>
      </w:pPr>
      <w:bookmarkStart w:id="52" w:name="_Ref130310400"/>
      <w:r>
        <w:t>Under our revised section 15.255 rules</w:t>
      </w:r>
      <w:r w:rsidR="00546B0E">
        <w:t>,</w:t>
      </w:r>
      <w:r w:rsidR="002F0880">
        <w:t xml:space="preserve"> which are set forth in Appendix B,</w:t>
      </w:r>
      <w:r w:rsidR="00546B0E">
        <w:t xml:space="preserve"> we permit the following</w:t>
      </w:r>
      <w:r>
        <w:t xml:space="preserve"> for FDS devices</w:t>
      </w:r>
      <w:r w:rsidR="00546B0E">
        <w:t>:  (1) up to 20 dBm peak EIRP for indoor</w:t>
      </w:r>
      <w:r w:rsidR="00CC6FF0">
        <w:t xml:space="preserve"> </w:t>
      </w:r>
      <w:r w:rsidR="006A6F6E">
        <w:t>operation</w:t>
      </w:r>
      <w:r w:rsidR="00546B0E">
        <w:t>, and up to 30 dBm peak EIRP for outdoor</w:t>
      </w:r>
      <w:r w:rsidR="00CC6FF0">
        <w:t xml:space="preserve"> operation</w:t>
      </w:r>
      <w:r w:rsidR="00546B0E">
        <w:t xml:space="preserve">, including all vehicular applications, within the 57.0-59.4 GHz band; (2) up to 3 dBm peak EIRP for all </w:t>
      </w:r>
      <w:r w:rsidR="00327EA5">
        <w:t>operation</w:t>
      </w:r>
      <w:r w:rsidR="004D30E8">
        <w:t xml:space="preserve">s </w:t>
      </w:r>
      <w:r w:rsidR="00546B0E">
        <w:t xml:space="preserve">within the 57.0-61.56 GHz band; (3) up to 20 dBm peak EIRP for all </w:t>
      </w:r>
      <w:r w:rsidR="004D30E8">
        <w:t xml:space="preserve">operations </w:t>
      </w:r>
      <w:r w:rsidR="00546B0E">
        <w:t>within the 57.0-61.56 GHz band subject to a 50% duty cycle</w:t>
      </w:r>
      <w:r w:rsidR="00494E93">
        <w:t>;</w:t>
      </w:r>
      <w:r>
        <w:rPr>
          <w:rStyle w:val="FootnoteReference"/>
        </w:rPr>
        <w:footnoteReference w:id="54"/>
      </w:r>
      <w:r w:rsidR="00546B0E">
        <w:t xml:space="preserve"> (4) up to 14 dBm peak EIRP for all </w:t>
      </w:r>
      <w:r w:rsidR="004D30E8">
        <w:t xml:space="preserve">operations </w:t>
      </w:r>
      <w:r w:rsidR="00546B0E">
        <w:t>within the 57-64 GHz band subject to a 22.7% duty cycle</w:t>
      </w:r>
      <w:r w:rsidR="00D077D7">
        <w:t>;</w:t>
      </w:r>
      <w:r>
        <w:rPr>
          <w:rStyle w:val="FootnoteReference"/>
        </w:rPr>
        <w:footnoteReference w:id="55"/>
      </w:r>
      <w:r w:rsidR="00546B0E">
        <w:t xml:space="preserve"> and (5) up to 20 dBm peak </w:t>
      </w:r>
      <w:r w:rsidR="00546B0E">
        <w:t xml:space="preserve">EIRP </w:t>
      </w:r>
      <w:bookmarkStart w:id="53" w:name="_Hlk133234862"/>
      <w:r w:rsidR="00546B0E">
        <w:t xml:space="preserve">for fixed outdoor </w:t>
      </w:r>
      <w:r w:rsidR="00BE43FD">
        <w:t xml:space="preserve">operations </w:t>
      </w:r>
      <w:r w:rsidR="00546B0E">
        <w:t xml:space="preserve">or vehicular applications </w:t>
      </w:r>
      <w:bookmarkEnd w:id="53"/>
      <w:r w:rsidR="00546B0E">
        <w:t>(except in-cabin vehicular use cases)</w:t>
      </w:r>
      <w:r>
        <w:rPr>
          <w:rStyle w:val="FootnoteReference"/>
        </w:rPr>
        <w:footnoteReference w:id="56"/>
      </w:r>
      <w:r w:rsidR="00546B0E">
        <w:t xml:space="preserve"> within the 57-64 GHz band subject to a 50% duty cycle.</w:t>
      </w:r>
      <w:r>
        <w:rPr>
          <w:rStyle w:val="FootnoteReference"/>
        </w:rPr>
        <w:footnoteReference w:id="57"/>
      </w:r>
      <w:r w:rsidR="00584052">
        <w:t xml:space="preserve">  </w:t>
      </w:r>
      <w:r w:rsidR="00C37057">
        <w:t xml:space="preserve">In addition, </w:t>
      </w:r>
      <w:r w:rsidR="00CF051A">
        <w:t xml:space="preserve">for </w:t>
      </w:r>
      <w:r w:rsidR="009D3A35">
        <w:t>FDS</w:t>
      </w:r>
      <w:r w:rsidR="00A63550">
        <w:t xml:space="preserve"> devices</w:t>
      </w:r>
      <w:r w:rsidR="00D375DA">
        <w:t xml:space="preserve"> that</w:t>
      </w:r>
      <w:r w:rsidR="00CC051F">
        <w:t xml:space="preserve"> </w:t>
      </w:r>
      <w:r w:rsidRPr="6871FBD5" w:rsidR="00D375DA">
        <w:rPr>
          <w:color w:val="000000" w:themeColor="text1"/>
        </w:rPr>
        <w:t xml:space="preserve">have </w:t>
      </w:r>
      <w:r w:rsidRPr="71A7EAD5" w:rsidR="00D375DA">
        <w:t xml:space="preserve">a maximum pulse duration of 6 ns, </w:t>
      </w:r>
      <w:r w:rsidRPr="71A7EAD5" w:rsidR="00CF051A">
        <w:t xml:space="preserve">we permit the following: </w:t>
      </w:r>
      <w:r w:rsidRPr="71A7EAD5" w:rsidR="005D550C">
        <w:t xml:space="preserve">a) </w:t>
      </w:r>
      <w:r w:rsidRPr="71A7EAD5" w:rsidR="00D375DA">
        <w:t>the average EIRP shall not exceed 13 dBm and the transmit duty cycle shall not exceed 10% during any 0.3 µs time window</w:t>
      </w:r>
      <w:r w:rsidRPr="71A7EAD5" w:rsidR="00BA3434">
        <w:t>; b)</w:t>
      </w:r>
      <w:r w:rsidRPr="71A7EAD5" w:rsidR="00D375DA">
        <w:t xml:space="preserve"> the average integrated EIRP within the frequency band 61.5-64.0 GHz shall not exceed 5 dBm in any 0.3 µs time window</w:t>
      </w:r>
      <w:r w:rsidR="00BA3434">
        <w:rPr>
          <w:szCs w:val="22"/>
        </w:rPr>
        <w:t xml:space="preserve">; </w:t>
      </w:r>
      <w:r w:rsidRPr="71A7EAD5" w:rsidR="00A9382D">
        <w:t xml:space="preserve">and </w:t>
      </w:r>
      <w:r w:rsidRPr="71A7EAD5" w:rsidR="00BA3434">
        <w:t>c)</w:t>
      </w:r>
      <w:r w:rsidRPr="71A7EAD5" w:rsidR="007A01AA">
        <w:t xml:space="preserve"> p</w:t>
      </w:r>
      <w:r w:rsidRPr="71A7EAD5" w:rsidR="00D375DA">
        <w:t>eak</w:t>
      </w:r>
      <w:r w:rsidR="00D375DA">
        <w:t xml:space="preserve"> </w:t>
      </w:r>
      <w:r w:rsidRPr="71A7EAD5" w:rsidR="00D375DA">
        <w:t>emissions</w:t>
      </w:r>
      <w:r w:rsidR="00D375DA">
        <w:t xml:space="preserve"> </w:t>
      </w:r>
      <w:r w:rsidRPr="71A7EAD5" w:rsidR="00D375DA">
        <w:t>shall</w:t>
      </w:r>
      <w:r w:rsidR="00D375DA">
        <w:t xml:space="preserve"> </w:t>
      </w:r>
      <w:r w:rsidRPr="71A7EAD5" w:rsidR="00D375DA">
        <w:t>not</w:t>
      </w:r>
      <w:r w:rsidR="00D375DA">
        <w:t xml:space="preserve"> </w:t>
      </w:r>
      <w:r w:rsidRPr="71A7EAD5" w:rsidR="00D375DA">
        <w:t>exceed</w:t>
      </w:r>
      <w:r w:rsidR="00D375DA">
        <w:t xml:space="preserve"> </w:t>
      </w:r>
      <w:r w:rsidRPr="71A7EAD5" w:rsidR="00D375DA">
        <w:t>20</w:t>
      </w:r>
      <w:r w:rsidR="00D375DA">
        <w:t xml:space="preserve"> </w:t>
      </w:r>
      <w:r w:rsidRPr="71A7EAD5" w:rsidR="00D375DA">
        <w:t>dB</w:t>
      </w:r>
      <w:r w:rsidR="00D375DA">
        <w:t xml:space="preserve"> </w:t>
      </w:r>
      <w:r w:rsidRPr="71A7EAD5" w:rsidR="00D375DA">
        <w:t>above</w:t>
      </w:r>
      <w:r w:rsidR="00D375DA">
        <w:t xml:space="preserve"> </w:t>
      </w:r>
      <w:r w:rsidRPr="71A7EAD5" w:rsidR="00D375DA">
        <w:t>the</w:t>
      </w:r>
      <w:r w:rsidR="00D375DA">
        <w:t xml:space="preserve"> </w:t>
      </w:r>
      <w:r w:rsidRPr="71A7EAD5" w:rsidR="00D375DA">
        <w:t>maximum</w:t>
      </w:r>
      <w:r w:rsidR="00D375DA">
        <w:t xml:space="preserve"> </w:t>
      </w:r>
      <w:r w:rsidRPr="71A7EAD5" w:rsidR="00D375DA">
        <w:t>permitted</w:t>
      </w:r>
      <w:r w:rsidR="00D375DA">
        <w:t xml:space="preserve"> </w:t>
      </w:r>
      <w:r w:rsidRPr="71A7EAD5" w:rsidR="00D375DA">
        <w:t>average</w:t>
      </w:r>
      <w:r w:rsidR="00D375DA">
        <w:t xml:space="preserve"> </w:t>
      </w:r>
      <w:r w:rsidRPr="71A7EAD5" w:rsidR="00D375DA">
        <w:t>emission</w:t>
      </w:r>
      <w:r w:rsidR="00D375DA">
        <w:t xml:space="preserve"> </w:t>
      </w:r>
      <w:r w:rsidRPr="71A7EAD5" w:rsidR="00D375DA">
        <w:t>limit applicable to the equipment under test.</w:t>
      </w:r>
      <w:r w:rsidR="00CC051F">
        <w:t xml:space="preserve"> </w:t>
      </w:r>
      <w:r w:rsidR="00A63550">
        <w:t xml:space="preserve"> </w:t>
      </w:r>
      <w:r w:rsidR="00A6158B">
        <w:t xml:space="preserve">We address unlicensed device </w:t>
      </w:r>
      <w:r w:rsidR="002B2B23">
        <w:t xml:space="preserve">use </w:t>
      </w:r>
      <w:r w:rsidR="00A6158B">
        <w:t xml:space="preserve">while airborne </w:t>
      </w:r>
      <w:r w:rsidR="002B2B23">
        <w:t xml:space="preserve">separately </w:t>
      </w:r>
      <w:r w:rsidR="00A6158B">
        <w:t xml:space="preserve">in Section III C, </w:t>
      </w:r>
      <w:r w:rsidRPr="59CB47AA" w:rsidR="00A6158B">
        <w:rPr>
          <w:i/>
          <w:iCs/>
        </w:rPr>
        <w:t>infra</w:t>
      </w:r>
      <w:r w:rsidR="00A6158B">
        <w:t>.</w:t>
      </w:r>
      <w:r w:rsidR="006811E3">
        <w:t xml:space="preserve">  The </w:t>
      </w:r>
      <w:r w:rsidR="00086BDD">
        <w:t xml:space="preserve">adoption of the </w:t>
      </w:r>
      <w:r w:rsidR="006811E3">
        <w:t xml:space="preserve">above technical rules </w:t>
      </w:r>
      <w:r w:rsidR="005E7B3A">
        <w:t>is</w:t>
      </w:r>
      <w:r w:rsidR="009C38E2">
        <w:t xml:space="preserve"> </w:t>
      </w:r>
      <w:r w:rsidR="005E7B3A">
        <w:t>supported by</w:t>
      </w:r>
      <w:r w:rsidR="00280972">
        <w:t xml:space="preserve"> </w:t>
      </w:r>
      <w:r w:rsidR="00A667B5">
        <w:t>two industry joint agre</w:t>
      </w:r>
      <w:r w:rsidR="002170D0">
        <w:t>ement</w:t>
      </w:r>
      <w:r w:rsidR="00C856FC">
        <w:t xml:space="preserve">s, the Industry Consensus Agreement and the Pulse </w:t>
      </w:r>
      <w:r w:rsidR="0040395A">
        <w:t xml:space="preserve">Radar </w:t>
      </w:r>
      <w:r w:rsidR="00A65A11">
        <w:t xml:space="preserve">Joint </w:t>
      </w:r>
      <w:r w:rsidR="00960E82">
        <w:t>Agreement</w:t>
      </w:r>
      <w:r w:rsidR="00610371">
        <w:t xml:space="preserve"> which are discussed in greater deta</w:t>
      </w:r>
      <w:r w:rsidR="00A80DA1">
        <w:t>il, below.</w:t>
      </w:r>
      <w:bookmarkEnd w:id="52"/>
      <w:r w:rsidR="002A3EFB">
        <w:t xml:space="preserve">  </w:t>
      </w:r>
      <w:r w:rsidR="005141CF">
        <w:t>We find that these different EIRP limits and the respective associated band segmentations along with the different duty cycle limits would provide expanded opportunities for various use cases based on radars’ bandwidth usage while ensuring successful co-existence with other users of the band.  This approach, proposed by the industry agreements</w:t>
      </w:r>
      <w:r w:rsidR="00E543B1">
        <w:t>,</w:t>
      </w:r>
      <w:r w:rsidR="005141CF">
        <w:t xml:space="preserve"> effectively improve</w:t>
      </w:r>
      <w:r w:rsidR="00585146">
        <w:t>s</w:t>
      </w:r>
      <w:r w:rsidR="005141CF">
        <w:t xml:space="preserve"> on our simpler approach of having a single EIRP limit across the entire band as proposed in the </w:t>
      </w:r>
      <w:r w:rsidRPr="59CB47AA" w:rsidR="005141CF">
        <w:rPr>
          <w:i/>
          <w:iCs/>
        </w:rPr>
        <w:t>NPRM</w:t>
      </w:r>
      <w:r w:rsidR="005141CF">
        <w:t xml:space="preserve">.  </w:t>
      </w:r>
      <w:r w:rsidR="00BB67D9">
        <w:t xml:space="preserve">We note that these </w:t>
      </w:r>
      <w:r w:rsidR="00A71CA3">
        <w:t xml:space="preserve">EIRP limits are lower than the </w:t>
      </w:r>
      <w:r w:rsidR="00136DE2">
        <w:t>limit</w:t>
      </w:r>
      <w:r w:rsidR="004F773E">
        <w:t>s</w:t>
      </w:r>
      <w:r w:rsidR="00136DE2">
        <w:t xml:space="preserve"> </w:t>
      </w:r>
      <w:r w:rsidR="004F773E">
        <w:t>permitted to general communication devices in the band.</w:t>
      </w:r>
      <w:r>
        <w:rPr>
          <w:rStyle w:val="FootnoteReference"/>
        </w:rPr>
        <w:footnoteReference w:id="58"/>
      </w:r>
    </w:p>
    <w:p w:rsidR="0070739A" w:rsidP="0070739A" w14:paraId="2C19B904" w14:textId="622DEF5A">
      <w:pPr>
        <w:pStyle w:val="Heading3"/>
      </w:pPr>
      <w:bookmarkStart w:id="54" w:name="_Toc135123544"/>
      <w:r>
        <w:t>Consensus</w:t>
      </w:r>
      <w:r>
        <w:t xml:space="preserve"> Agreements</w:t>
      </w:r>
      <w:bookmarkEnd w:id="54"/>
    </w:p>
    <w:p w:rsidR="00364070" w:rsidRPr="00F60502" w:rsidP="00735946" w14:paraId="28BCF72D" w14:textId="198236DC">
      <w:pPr>
        <w:pStyle w:val="ParaNum"/>
        <w:widowControl/>
      </w:pPr>
      <w:r w:rsidRPr="59CB47AA">
        <w:rPr>
          <w:i/>
          <w:iCs/>
        </w:rPr>
        <w:t xml:space="preserve">Industry Consensus Agreement.  </w:t>
      </w:r>
      <w:r>
        <w:t xml:space="preserve">The February 27, 2023 Industry Consensus Agreement represents a significant breakthrough, as it resolves longstanding disagreements </w:t>
      </w:r>
      <w:r w:rsidR="00257B24">
        <w:t>among various industry segments</w:t>
      </w:r>
      <w:r w:rsidRPr="00E33E05" w:rsidR="00E33E05">
        <w:t xml:space="preserve"> </w:t>
      </w:r>
      <w:r w:rsidR="00E33E05">
        <w:t>regarding equitable spectrum access</w:t>
      </w:r>
      <w:r>
        <w:t>.</w:t>
      </w:r>
      <w:r>
        <w:rPr>
          <w:rStyle w:val="FootnoteReference"/>
        </w:rPr>
        <w:footnoteReference w:id="59"/>
      </w:r>
      <w:r>
        <w:t xml:space="preserve">  The Industry Consensus Agreement represented by radar proponents (Amazon.com Services LLC, Continental Corporation, Garmin International, Inc., Google LLC, IEE Sensing Inc., Infineon Technologies Americas Corp., Texas Instruments Incorporated </w:t>
      </w:r>
      <w:r w:rsidR="00644364">
        <w:t>and</w:t>
      </w:r>
      <w:r>
        <w:t xml:space="preserve"> </w:t>
      </w:r>
      <w:r>
        <w:t>Vayyar</w:t>
      </w:r>
      <w:r>
        <w:t xml:space="preserve"> Imaging Ltd.) and </w:t>
      </w:r>
      <w:r w:rsidR="00C0398E">
        <w:t xml:space="preserve">unlicensed </w:t>
      </w:r>
      <w:r>
        <w:t xml:space="preserve">communications proponents (Intel Corporation, Meta Platforms </w:t>
      </w:r>
      <w:r>
        <w:t>Inc.</w:t>
      </w:r>
      <w:r>
        <w:rPr>
          <w:rStyle w:val="FootnoteReference"/>
        </w:rPr>
        <w:footnoteReference w:id="60"/>
      </w:r>
      <w:r>
        <w:t xml:space="preserve"> </w:t>
      </w:r>
      <w:r w:rsidR="00D6158F">
        <w:t>and</w:t>
      </w:r>
      <w:r>
        <w:t xml:space="preserve"> Qualcomm Incorporated)</w:t>
      </w:r>
      <w:r w:rsidR="00134BA3">
        <w:t>,</w:t>
      </w:r>
      <w:r>
        <w:t xml:space="preserve"> all of whom </w:t>
      </w:r>
      <w:r w:rsidR="00C57CB1">
        <w:t>have</w:t>
      </w:r>
      <w:r>
        <w:t xml:space="preserve"> been active participants throughout the course of the rulemaking proceeding, represents a viable compromise that has support </w:t>
      </w:r>
      <w:r w:rsidR="00645C17">
        <w:t xml:space="preserve">from </w:t>
      </w:r>
      <w:r>
        <w:t>both interest groups.</w:t>
      </w:r>
      <w:r>
        <w:rPr>
          <w:rStyle w:val="FootnoteReference"/>
        </w:rPr>
        <w:footnoteReference w:id="61"/>
      </w:r>
      <w:r>
        <w:t xml:space="preserve">  </w:t>
      </w:r>
    </w:p>
    <w:p w:rsidR="00364070" w:rsidP="00364070" w14:paraId="74632F5E" w14:textId="374C076A">
      <w:pPr>
        <w:pStyle w:val="ParaNum"/>
      </w:pPr>
      <w:r>
        <w:t xml:space="preserve">The Industry Consensus Agreement proposes </w:t>
      </w:r>
      <w:r w:rsidR="00134BA3">
        <w:t>“</w:t>
      </w:r>
      <w:r>
        <w:t>soft segmentations</w:t>
      </w:r>
      <w:r w:rsidR="00134BA3">
        <w:t>”</w:t>
      </w:r>
      <w:r>
        <w:t xml:space="preserve"> of the 57-64 GHz band that follow</w:t>
      </w:r>
      <w:r w:rsidR="008872B6">
        <w:t>s</w:t>
      </w:r>
      <w:r>
        <w:t xml:space="preserve"> the </w:t>
      </w:r>
      <w:r>
        <w:t>WiGig</w:t>
      </w:r>
      <w:r>
        <w:t xml:space="preserve"> channelization scheme to promote communications devices’ access to an alternative channel if a radar device is transmitting on the remaining channel(s).</w:t>
      </w:r>
      <w:r>
        <w:rPr>
          <w:rStyle w:val="FootnoteReference"/>
        </w:rPr>
        <w:footnoteReference w:id="62"/>
      </w:r>
      <w:r>
        <w:t xml:space="preserve">  The Industry Consensus Agreement also proposes long periods of radar transmission off-times (at least 2 </w:t>
      </w:r>
      <w:r>
        <w:t>ms</w:t>
      </w:r>
      <w:r>
        <w:t xml:space="preserve"> in duration) </w:t>
      </w:r>
      <w:r w:rsidR="003C4D74">
        <w:t>under certain parameters</w:t>
      </w:r>
      <w:r w:rsidR="00C71ADC">
        <w:t xml:space="preserve"> </w:t>
      </w:r>
      <w:r w:rsidR="008872B6">
        <w:t xml:space="preserve">to </w:t>
      </w:r>
      <w:r>
        <w:t xml:space="preserve">permit communications devices’ necessary access to the same spectrum, thus resolving </w:t>
      </w:r>
      <w:r w:rsidR="004B1682">
        <w:t>one of the more highly contested issues within this proceeding</w:t>
      </w:r>
      <w:r w:rsidR="004D003B">
        <w:t>—</w:t>
      </w:r>
      <w:r w:rsidR="00AE4CC5">
        <w:t xml:space="preserve">whether and for how long the rules </w:t>
      </w:r>
      <w:r w:rsidR="00182AF0">
        <w:t xml:space="preserve">should </w:t>
      </w:r>
      <w:r w:rsidR="00AE4CC5">
        <w:t xml:space="preserve">require FDS devices </w:t>
      </w:r>
      <w:r w:rsidR="00150CF7">
        <w:t xml:space="preserve">to adhere to </w:t>
      </w:r>
      <w:r w:rsidR="001251B2">
        <w:t>specific time periods of non</w:t>
      </w:r>
      <w:r w:rsidR="00E70120">
        <w:t>-</w:t>
      </w:r>
      <w:r>
        <w:t xml:space="preserve">transmission.  Finally, the Industry Consensus Agreement proposes different EIRP limits in different sub-bands to further ensure successful co-existence </w:t>
      </w:r>
      <w:r w:rsidR="00B33A00">
        <w:t xml:space="preserve">between FDS and communications devices </w:t>
      </w:r>
      <w:r>
        <w:t xml:space="preserve">while allowing </w:t>
      </w:r>
      <w:r w:rsidR="0070589D">
        <w:t xml:space="preserve">varying </w:t>
      </w:r>
      <w:r>
        <w:t xml:space="preserve">EIRP levels </w:t>
      </w:r>
      <w:r w:rsidR="0070589D">
        <w:t xml:space="preserve">necessary to </w:t>
      </w:r>
      <w:r w:rsidR="001B2D6B">
        <w:t>successfully provide</w:t>
      </w:r>
      <w:r w:rsidR="00057B16">
        <w:t xml:space="preserve"> </w:t>
      </w:r>
      <w:r>
        <w:t xml:space="preserve">different radar applications in each sub-band.  </w:t>
      </w:r>
    </w:p>
    <w:p w:rsidR="00364070" w:rsidP="00364070" w14:paraId="1C1D27EE" w14:textId="6C22101D">
      <w:pPr>
        <w:pStyle w:val="ParaNum"/>
      </w:pPr>
      <w:r>
        <w:t>The</w:t>
      </w:r>
      <w:r w:rsidRPr="46A38630">
        <w:t xml:space="preserve"> Industry Consensus Agreement </w:t>
      </w:r>
      <w:r>
        <w:t xml:space="preserve">responds to the </w:t>
      </w:r>
      <w:r w:rsidRPr="59CB47AA">
        <w:rPr>
          <w:i/>
          <w:iCs/>
        </w:rPr>
        <w:t>NPRM</w:t>
      </w:r>
      <w:r w:rsidR="004C6322">
        <w:t xml:space="preserve"> by proposing</w:t>
      </w:r>
      <w:r w:rsidRPr="46A38630">
        <w:t xml:space="preserve"> more expansive radar operations in portions of the</w:t>
      </w:r>
      <w:r w:rsidRPr="46A38630">
        <w:rPr>
          <w:spacing w:val="-1"/>
        </w:rPr>
        <w:t xml:space="preserve"> 57-64 GHz </w:t>
      </w:r>
      <w:r w:rsidRPr="46A38630">
        <w:t xml:space="preserve">band than </w:t>
      </w:r>
      <w:r w:rsidR="004C6322">
        <w:t>the Commission</w:t>
      </w:r>
      <w:r w:rsidRPr="46A38630">
        <w:t xml:space="preserve"> proposed, while </w:t>
      </w:r>
      <w:r w:rsidR="000F40F6">
        <w:t xml:space="preserve">explaining how the Commission can still meet its goal of </w:t>
      </w:r>
      <w:r w:rsidRPr="46A38630">
        <w:t xml:space="preserve">ensuring fair sharing with communications </w:t>
      </w:r>
      <w:r w:rsidR="006C2E72">
        <w:t>operations</w:t>
      </w:r>
      <w:r w:rsidRPr="46A38630">
        <w:t>.</w:t>
      </w:r>
      <w:r w:rsidRPr="00A52965">
        <w:rPr>
          <w:spacing w:val="-3"/>
          <w:szCs w:val="22"/>
        </w:rPr>
        <w:t xml:space="preserve">  </w:t>
      </w:r>
      <w:r w:rsidRPr="46A38630">
        <w:t>For</w:t>
      </w:r>
      <w:r w:rsidRPr="00A52965">
        <w:rPr>
          <w:spacing w:val="-3"/>
          <w:szCs w:val="22"/>
        </w:rPr>
        <w:t xml:space="preserve"> </w:t>
      </w:r>
      <w:r w:rsidRPr="46A38630">
        <w:t>example,</w:t>
      </w:r>
      <w:r w:rsidRPr="00A52965">
        <w:rPr>
          <w:spacing w:val="-3"/>
          <w:szCs w:val="22"/>
        </w:rPr>
        <w:t xml:space="preserve"> </w:t>
      </w:r>
      <w:r w:rsidRPr="46A38630">
        <w:t>the</w:t>
      </w:r>
      <w:r w:rsidRPr="00A52965">
        <w:rPr>
          <w:spacing w:val="-4"/>
          <w:szCs w:val="22"/>
        </w:rPr>
        <w:t xml:space="preserve"> </w:t>
      </w:r>
      <w:r w:rsidRPr="46A38630">
        <w:t>proposal</w:t>
      </w:r>
      <w:r w:rsidRPr="00A52965">
        <w:rPr>
          <w:spacing w:val="-4"/>
          <w:szCs w:val="22"/>
        </w:rPr>
        <w:t xml:space="preserve"> </w:t>
      </w:r>
      <w:r w:rsidRPr="46A38630">
        <w:t>allows</w:t>
      </w:r>
      <w:r w:rsidRPr="00A52965">
        <w:rPr>
          <w:spacing w:val="-3"/>
          <w:szCs w:val="22"/>
        </w:rPr>
        <w:t xml:space="preserve"> </w:t>
      </w:r>
      <w:r w:rsidRPr="46A38630">
        <w:t>radars</w:t>
      </w:r>
      <w:r w:rsidRPr="00A52965">
        <w:rPr>
          <w:spacing w:val="-4"/>
          <w:szCs w:val="22"/>
        </w:rPr>
        <w:t xml:space="preserve"> </w:t>
      </w:r>
      <w:r w:rsidRPr="46A38630">
        <w:rPr>
          <w:spacing w:val="-4"/>
        </w:rPr>
        <w:t xml:space="preserve">with 2-gigahertz bandwidth (operating in the 57.0-59.4 GHz band) </w:t>
      </w:r>
      <w:r w:rsidRPr="46A38630">
        <w:t>to</w:t>
      </w:r>
      <w:r w:rsidRPr="00A52965">
        <w:rPr>
          <w:spacing w:val="-3"/>
          <w:szCs w:val="22"/>
        </w:rPr>
        <w:t xml:space="preserve"> </w:t>
      </w:r>
      <w:r w:rsidRPr="46A38630">
        <w:t>transmit</w:t>
      </w:r>
      <w:r w:rsidRPr="00A52965">
        <w:rPr>
          <w:spacing w:val="-2"/>
          <w:szCs w:val="22"/>
        </w:rPr>
        <w:t xml:space="preserve"> </w:t>
      </w:r>
      <w:r w:rsidRPr="46A38630">
        <w:t>at</w:t>
      </w:r>
      <w:r w:rsidRPr="00A52965">
        <w:rPr>
          <w:spacing w:val="-1"/>
          <w:szCs w:val="22"/>
        </w:rPr>
        <w:t xml:space="preserve"> </w:t>
      </w:r>
      <w:r w:rsidRPr="46A38630">
        <w:t>20</w:t>
      </w:r>
      <w:r w:rsidRPr="00A52965">
        <w:rPr>
          <w:spacing w:val="-3"/>
          <w:szCs w:val="22"/>
        </w:rPr>
        <w:t xml:space="preserve"> </w:t>
      </w:r>
      <w:r w:rsidRPr="46A38630">
        <w:t>dBm</w:t>
      </w:r>
      <w:r w:rsidRPr="00A52965">
        <w:rPr>
          <w:spacing w:val="-3"/>
          <w:szCs w:val="22"/>
        </w:rPr>
        <w:t xml:space="preserve"> </w:t>
      </w:r>
      <w:r w:rsidRPr="46A38630">
        <w:rPr>
          <w:spacing w:val="-3"/>
        </w:rPr>
        <w:t xml:space="preserve">peak </w:t>
      </w:r>
      <w:r w:rsidRPr="46A38630">
        <w:t>EIRP</w:t>
      </w:r>
      <w:r w:rsidRPr="00A52965">
        <w:rPr>
          <w:spacing w:val="-2"/>
          <w:szCs w:val="22"/>
        </w:rPr>
        <w:t xml:space="preserve"> </w:t>
      </w:r>
      <w:r w:rsidRPr="46A38630">
        <w:t>without any transmitter off-time limitations.</w:t>
      </w:r>
      <w:r w:rsidRPr="00A52965">
        <w:rPr>
          <w:spacing w:val="-1"/>
          <w:szCs w:val="22"/>
        </w:rPr>
        <w:t xml:space="preserve">  </w:t>
      </w:r>
      <w:r w:rsidRPr="46A38630">
        <w:t>In</w:t>
      </w:r>
      <w:r w:rsidRPr="00A52965">
        <w:rPr>
          <w:spacing w:val="-3"/>
          <w:szCs w:val="22"/>
        </w:rPr>
        <w:t xml:space="preserve"> </w:t>
      </w:r>
      <w:r w:rsidRPr="46A38630">
        <w:t>place</w:t>
      </w:r>
      <w:r w:rsidRPr="00A52965">
        <w:rPr>
          <w:spacing w:val="-4"/>
          <w:szCs w:val="22"/>
        </w:rPr>
        <w:t xml:space="preserve"> </w:t>
      </w:r>
      <w:r w:rsidRPr="46A38630">
        <w:t>of</w:t>
      </w:r>
      <w:r w:rsidRPr="00A52965">
        <w:rPr>
          <w:spacing w:val="-3"/>
          <w:szCs w:val="22"/>
        </w:rPr>
        <w:t xml:space="preserve"> </w:t>
      </w:r>
      <w:r w:rsidRPr="46A38630">
        <w:t>the</w:t>
      </w:r>
      <w:r w:rsidRPr="00A52965">
        <w:rPr>
          <w:spacing w:val="-1"/>
          <w:szCs w:val="22"/>
        </w:rPr>
        <w:t xml:space="preserve"> </w:t>
      </w:r>
      <w:r w:rsidRPr="46A38630">
        <w:t>prior</w:t>
      </w:r>
      <w:r w:rsidRPr="00A52965">
        <w:rPr>
          <w:spacing w:val="-4"/>
          <w:szCs w:val="22"/>
        </w:rPr>
        <w:t xml:space="preserve"> </w:t>
      </w:r>
      <w:r w:rsidRPr="46A38630">
        <w:t>2</w:t>
      </w:r>
      <w:r w:rsidRPr="00A52965">
        <w:rPr>
          <w:spacing w:val="-3"/>
          <w:szCs w:val="22"/>
        </w:rPr>
        <w:t xml:space="preserve"> </w:t>
      </w:r>
      <w:r w:rsidRPr="46A38630">
        <w:t>ms</w:t>
      </w:r>
      <w:r w:rsidRPr="00A52965">
        <w:rPr>
          <w:spacing w:val="-5"/>
          <w:szCs w:val="22"/>
        </w:rPr>
        <w:t xml:space="preserve"> </w:t>
      </w:r>
      <w:r w:rsidRPr="46A38630">
        <w:t>minimum radar transmitter off</w:t>
      </w:r>
      <w:r>
        <w:rPr>
          <w:szCs w:val="22"/>
        </w:rPr>
        <w:t>-</w:t>
      </w:r>
      <w:r w:rsidRPr="46A38630">
        <w:t>time requirement</w:t>
      </w:r>
      <w:r w:rsidRPr="00A52965">
        <w:rPr>
          <w:szCs w:val="22"/>
        </w:rPr>
        <w:t xml:space="preserve"> </w:t>
      </w:r>
      <w:r w:rsidRPr="46A38630">
        <w:t>imposed in multiple waivers approved in July 2021,</w:t>
      </w:r>
      <w:r>
        <w:rPr>
          <w:rStyle w:val="FootnoteReference"/>
        </w:rPr>
        <w:footnoteReference w:id="63"/>
      </w:r>
      <w:r w:rsidRPr="46A38630">
        <w:t xml:space="preserve"> the Industry Consensus Agreement allows FDS/radar devices with 4.5-gigahertz bandwidth (operating in the band 57.0-61.56 GHz) and 7-gigahertz bandwidth (operating across the entire 57-64 GHz band) to operate with transmission bursts that occupy 50% and 22.7% of the airtime, respectively, but requires </w:t>
      </w:r>
      <w:r w:rsidR="00FC3168">
        <w:t xml:space="preserve">the FDS devices to </w:t>
      </w:r>
      <w:r w:rsidR="0051075A">
        <w:t>implement continuous</w:t>
      </w:r>
      <w:r w:rsidRPr="00A52965">
        <w:rPr>
          <w:spacing w:val="-4"/>
          <w:szCs w:val="22"/>
        </w:rPr>
        <w:t xml:space="preserve"> </w:t>
      </w:r>
      <w:r w:rsidRPr="46A38630">
        <w:t>silent</w:t>
      </w:r>
      <w:r w:rsidRPr="00A52965">
        <w:rPr>
          <w:spacing w:val="-3"/>
          <w:szCs w:val="22"/>
        </w:rPr>
        <w:t xml:space="preserve"> </w:t>
      </w:r>
      <w:r w:rsidRPr="46A38630">
        <w:t>intervals</w:t>
      </w:r>
      <w:r w:rsidRPr="00A52965">
        <w:rPr>
          <w:spacing w:val="-3"/>
          <w:szCs w:val="22"/>
        </w:rPr>
        <w:t xml:space="preserve"> </w:t>
      </w:r>
      <w:r w:rsidRPr="46A38630">
        <w:t>to</w:t>
      </w:r>
      <w:r w:rsidRPr="00A52965">
        <w:rPr>
          <w:spacing w:val="-3"/>
          <w:szCs w:val="22"/>
        </w:rPr>
        <w:t xml:space="preserve"> </w:t>
      </w:r>
      <w:r w:rsidRPr="46A38630">
        <w:t>prevent</w:t>
      </w:r>
      <w:r w:rsidRPr="00A52965">
        <w:rPr>
          <w:spacing w:val="-3"/>
          <w:szCs w:val="22"/>
        </w:rPr>
        <w:t xml:space="preserve"> </w:t>
      </w:r>
      <w:r w:rsidRPr="46A38630">
        <w:t>non</w:t>
      </w:r>
      <w:r>
        <w:rPr>
          <w:szCs w:val="22"/>
        </w:rPr>
        <w:t>-</w:t>
      </w:r>
      <w:r w:rsidRPr="46A38630">
        <w:t>stop</w:t>
      </w:r>
      <w:r w:rsidRPr="00A52965">
        <w:rPr>
          <w:spacing w:val="-3"/>
          <w:szCs w:val="22"/>
        </w:rPr>
        <w:t xml:space="preserve"> </w:t>
      </w:r>
      <w:r w:rsidRPr="46A38630">
        <w:t>radar</w:t>
      </w:r>
      <w:r w:rsidRPr="00A52965">
        <w:rPr>
          <w:spacing w:val="-3"/>
          <w:szCs w:val="22"/>
        </w:rPr>
        <w:t xml:space="preserve"> </w:t>
      </w:r>
      <w:r w:rsidRPr="46A38630">
        <w:t>transmissions</w:t>
      </w:r>
      <w:r w:rsidRPr="46A38630">
        <w:rPr>
          <w:spacing w:val="-2"/>
        </w:rPr>
        <w:t xml:space="preserve"> bursts that could </w:t>
      </w:r>
      <w:r w:rsidRPr="46A38630">
        <w:t xml:space="preserve">severely impact communications devices’ latency, as described in the record of this proceeding, </w:t>
      </w:r>
      <w:r w:rsidRPr="59CB47AA">
        <w:rPr>
          <w:i/>
          <w:iCs/>
        </w:rPr>
        <w:t>supra</w:t>
      </w:r>
      <w:r w:rsidRPr="00A52965">
        <w:rPr>
          <w:szCs w:val="22"/>
        </w:rPr>
        <w:t>.</w:t>
      </w:r>
      <w:r>
        <w:rPr>
          <w:rStyle w:val="FootnoteReference"/>
        </w:rPr>
        <w:footnoteReference w:id="64"/>
      </w:r>
    </w:p>
    <w:p w:rsidR="00A93DF4" w:rsidRPr="00A93DF4" w:rsidP="00B4294A" w14:paraId="599974D3" w14:textId="71D1145B">
      <w:pPr>
        <w:pStyle w:val="ParaNum"/>
      </w:pPr>
      <w:r w:rsidRPr="59CB47AA">
        <w:rPr>
          <w:i/>
          <w:iCs/>
        </w:rPr>
        <w:t xml:space="preserve">Pulse Radar Joint Agreement. </w:t>
      </w:r>
      <w:r w:rsidR="00CE3D68">
        <w:t xml:space="preserve"> </w:t>
      </w:r>
      <w:r w:rsidRPr="00B123D6" w:rsidR="00B123D6">
        <w:rPr>
          <w:color w:val="000000" w:themeColor="text1"/>
        </w:rPr>
        <w:t>Acconeer</w:t>
      </w:r>
      <w:r w:rsidRPr="00B123D6" w:rsidR="00B123D6">
        <w:rPr>
          <w:color w:val="000000" w:themeColor="text1"/>
        </w:rPr>
        <w:t>, the primary proponent for 60 GHz pulse radar technologies</w:t>
      </w:r>
      <w:r w:rsidR="00346F5E">
        <w:rPr>
          <w:color w:val="000000" w:themeColor="text1"/>
        </w:rPr>
        <w:t xml:space="preserve"> in our record</w:t>
      </w:r>
      <w:r w:rsidRPr="00B123D6" w:rsidR="00B123D6">
        <w:rPr>
          <w:color w:val="000000" w:themeColor="text1"/>
        </w:rPr>
        <w:t xml:space="preserve">, engaged </w:t>
      </w:r>
      <w:r w:rsidR="00B123D6">
        <w:t>in lengthy discussions with major communication</w:t>
      </w:r>
      <w:r w:rsidR="00112470">
        <w:t>s device</w:t>
      </w:r>
      <w:r w:rsidR="00B123D6">
        <w:t xml:space="preserve"> proponents represented by Intel, Meta Platforms and Qualcomm to</w:t>
      </w:r>
      <w:r w:rsidRPr="00B123D6" w:rsidR="00B123D6">
        <w:rPr>
          <w:spacing w:val="-5"/>
        </w:rPr>
        <w:t xml:space="preserve"> </w:t>
      </w:r>
      <w:r w:rsidR="00B123D6">
        <w:t>develop</w:t>
      </w:r>
      <w:r w:rsidRPr="00B123D6" w:rsidR="00B123D6">
        <w:rPr>
          <w:spacing w:val="-4"/>
        </w:rPr>
        <w:t xml:space="preserve"> </w:t>
      </w:r>
      <w:r w:rsidR="00B123D6">
        <w:t>technical</w:t>
      </w:r>
      <w:r w:rsidRPr="00B123D6" w:rsidR="00B123D6">
        <w:rPr>
          <w:spacing w:val="-4"/>
        </w:rPr>
        <w:t xml:space="preserve"> </w:t>
      </w:r>
      <w:r w:rsidR="00B123D6">
        <w:t xml:space="preserve">parameters particular to pulse radars </w:t>
      </w:r>
      <w:r w:rsidR="007D29B4">
        <w:t xml:space="preserve">to </w:t>
      </w:r>
      <w:r w:rsidR="00B123D6">
        <w:t>enable successful co-existence in the 57-64 GHz band.  On November 10, 2022,</w:t>
      </w:r>
      <w:r w:rsidRPr="00B123D6" w:rsidR="00B123D6">
        <w:t xml:space="preserve"> these parties </w:t>
      </w:r>
      <w:r w:rsidR="00C47E01">
        <w:t xml:space="preserve">responded to the Commission’s </w:t>
      </w:r>
      <w:r w:rsidRPr="59CB47AA" w:rsidR="00C47E01">
        <w:rPr>
          <w:i/>
          <w:iCs/>
        </w:rPr>
        <w:t>NPRM</w:t>
      </w:r>
      <w:r w:rsidR="00C47E01">
        <w:t xml:space="preserve"> by </w:t>
      </w:r>
      <w:r w:rsidRPr="00B123D6" w:rsidR="00B123D6">
        <w:t>submitt</w:t>
      </w:r>
      <w:r w:rsidR="002A0894">
        <w:t>ing</w:t>
      </w:r>
      <w:r w:rsidRPr="00B123D6" w:rsidR="00B123D6">
        <w:t xml:space="preserve"> the Pulse Radar Joint Agreement that sets forth specific technical parameters applicable to pulse-style radars that are distinct from those submitted by the Industry Consensus Agreement, and requests </w:t>
      </w:r>
      <w:r w:rsidR="00AC0387">
        <w:t xml:space="preserve">that we </w:t>
      </w:r>
      <w:r w:rsidRPr="00B123D6" w:rsidR="00B123D6">
        <w:t>adopt these parameters into the rules.</w:t>
      </w:r>
      <w:r>
        <w:rPr>
          <w:rStyle w:val="FootnoteReference"/>
        </w:rPr>
        <w:footnoteReference w:id="65"/>
      </w:r>
    </w:p>
    <w:p w:rsidR="00B4294A" w:rsidRPr="00B4294A" w:rsidP="00B4294A" w14:paraId="62C44D5F" w14:textId="75F3433D">
      <w:pPr>
        <w:pStyle w:val="ParaNum"/>
      </w:pPr>
      <w:r w:rsidRPr="00B4294A">
        <w:rPr>
          <w:color w:val="000000" w:themeColor="text1"/>
        </w:rPr>
        <w:t xml:space="preserve">As described </w:t>
      </w:r>
      <w:r w:rsidRPr="59CB47AA">
        <w:rPr>
          <w:i/>
          <w:iCs/>
          <w:color w:val="000000" w:themeColor="text1"/>
        </w:rPr>
        <w:t>supra</w:t>
      </w:r>
      <w:r w:rsidRPr="00B4294A">
        <w:rPr>
          <w:color w:val="000000" w:themeColor="text1"/>
        </w:rPr>
        <w:t xml:space="preserve">, pulse radars typically transmit nanosecond-long pulses that instantaneously spread across the wide intended band.  Pulses are emitted in sweeps and multiple sweeps constitute a frame.  </w:t>
      </w:r>
      <w:r w:rsidRPr="00B4294A">
        <w:rPr>
          <w:color w:val="000000" w:themeColor="text1"/>
        </w:rPr>
        <w:t>Acconeer</w:t>
      </w:r>
      <w:r w:rsidRPr="00B4294A">
        <w:rPr>
          <w:color w:val="000000" w:themeColor="text1"/>
        </w:rPr>
        <w:t xml:space="preserve"> describes that its “p</w:t>
      </w:r>
      <w:r w:rsidRPr="00B4294A">
        <w:t xml:space="preserve">ulse radar transmits in short nanosecond-long pulses that </w:t>
      </w:r>
      <w:r w:rsidRPr="00B4294A">
        <w:t xml:space="preserve">can co-exist with </w:t>
      </w:r>
      <w:r w:rsidR="2E7D6287">
        <w:t>[</w:t>
      </w:r>
      <w:r w:rsidR="3E51B131">
        <w:t>IEEE</w:t>
      </w:r>
      <w:r w:rsidR="2E7D6287">
        <w:t>]</w:t>
      </w:r>
      <w:r w:rsidR="3E51B131">
        <w:t xml:space="preserve"> </w:t>
      </w:r>
      <w:r w:rsidRPr="00B4294A">
        <w:t>802.11ad/ay</w:t>
      </w:r>
      <w:r w:rsidRPr="00B4294A">
        <w:rPr>
          <w:spacing w:val="-1"/>
          <w:szCs w:val="22"/>
        </w:rPr>
        <w:t xml:space="preserve"> </w:t>
      </w:r>
      <w:r w:rsidRPr="68E62851" w:rsidR="5753CE9B">
        <w:rPr>
          <w:spacing w:val="-1"/>
        </w:rPr>
        <w:t>[compliant devices]</w:t>
      </w:r>
      <w:r w:rsidRPr="00B4294A">
        <w:rPr>
          <w:spacing w:val="-1"/>
          <w:szCs w:val="22"/>
        </w:rPr>
        <w:t xml:space="preserve"> </w:t>
      </w:r>
      <w:r w:rsidRPr="00B4294A">
        <w:t>with low impact on throughput, as the error correction coding of the communication systems are able to cope</w:t>
      </w:r>
      <w:r w:rsidRPr="00B4294A">
        <w:rPr>
          <w:spacing w:val="-4"/>
          <w:szCs w:val="22"/>
        </w:rPr>
        <w:t xml:space="preserve"> </w:t>
      </w:r>
      <w:r w:rsidRPr="00B4294A">
        <w:t>with</w:t>
      </w:r>
      <w:r w:rsidRPr="00B4294A">
        <w:rPr>
          <w:spacing w:val="-2"/>
          <w:szCs w:val="22"/>
        </w:rPr>
        <w:t xml:space="preserve"> </w:t>
      </w:r>
      <w:r w:rsidRPr="00B4294A">
        <w:t>the</w:t>
      </w:r>
      <w:r w:rsidRPr="00B4294A">
        <w:rPr>
          <w:spacing w:val="-4"/>
          <w:szCs w:val="22"/>
        </w:rPr>
        <w:t xml:space="preserve"> </w:t>
      </w:r>
      <w:r w:rsidRPr="00B4294A">
        <w:t>pulse</w:t>
      </w:r>
      <w:r w:rsidRPr="00B4294A">
        <w:rPr>
          <w:spacing w:val="-4"/>
          <w:szCs w:val="22"/>
        </w:rPr>
        <w:t xml:space="preserve"> </w:t>
      </w:r>
      <w:r w:rsidRPr="00B4294A">
        <w:t>radar in</w:t>
      </w:r>
      <w:r w:rsidRPr="00B4294A">
        <w:rPr>
          <w:spacing w:val="-2"/>
          <w:szCs w:val="22"/>
        </w:rPr>
        <w:t xml:space="preserve"> </w:t>
      </w:r>
      <w:r w:rsidRPr="00B4294A">
        <w:t>the</w:t>
      </w:r>
      <w:r w:rsidRPr="00B4294A">
        <w:rPr>
          <w:spacing w:val="-3"/>
          <w:szCs w:val="22"/>
        </w:rPr>
        <w:t xml:space="preserve"> </w:t>
      </w:r>
      <w:r w:rsidRPr="00B4294A">
        <w:t>channel,</w:t>
      </w:r>
      <w:r w:rsidRPr="00B4294A">
        <w:rPr>
          <w:spacing w:val="-2"/>
          <w:szCs w:val="22"/>
        </w:rPr>
        <w:t xml:space="preserve"> </w:t>
      </w:r>
      <w:r w:rsidRPr="00B4294A">
        <w:t>even</w:t>
      </w:r>
      <w:r w:rsidRPr="00B4294A">
        <w:rPr>
          <w:spacing w:val="-2"/>
          <w:szCs w:val="22"/>
        </w:rPr>
        <w:t xml:space="preserve"> </w:t>
      </w:r>
      <w:r w:rsidRPr="00B4294A">
        <w:t>under</w:t>
      </w:r>
      <w:r w:rsidRPr="00B4294A">
        <w:rPr>
          <w:spacing w:val="-2"/>
          <w:szCs w:val="22"/>
        </w:rPr>
        <w:t xml:space="preserve"> </w:t>
      </w:r>
      <w:r w:rsidRPr="00B4294A">
        <w:t>extreme</w:t>
      </w:r>
      <w:r w:rsidRPr="00B4294A">
        <w:rPr>
          <w:spacing w:val="-3"/>
          <w:szCs w:val="22"/>
        </w:rPr>
        <w:t xml:space="preserve"> </w:t>
      </w:r>
      <w:r w:rsidRPr="00B4294A">
        <w:t>signal-to-interference</w:t>
      </w:r>
      <w:r w:rsidRPr="00B4294A">
        <w:rPr>
          <w:spacing w:val="-3"/>
          <w:szCs w:val="22"/>
        </w:rPr>
        <w:t xml:space="preserve"> </w:t>
      </w:r>
      <w:r w:rsidRPr="00B4294A">
        <w:t>ratio</w:t>
      </w:r>
      <w:r w:rsidRPr="00B4294A">
        <w:rPr>
          <w:spacing w:val="-2"/>
        </w:rPr>
        <w:t xml:space="preserve"> (SIR)” </w:t>
      </w:r>
      <w:r w:rsidR="0C00A4B6">
        <w:rPr>
          <w:spacing w:val="-2"/>
        </w:rPr>
        <w:t xml:space="preserve">conditions </w:t>
      </w:r>
      <w:r w:rsidRPr="00B4294A">
        <w:rPr>
          <w:spacing w:val="-2"/>
        </w:rPr>
        <w:t>unlike other types of radar devices using different coding schemes, such as FMCW radars, “</w:t>
      </w:r>
      <w:r w:rsidRPr="00B4294A">
        <w:rPr>
          <w:color w:val="000000"/>
        </w:rPr>
        <w:t>which</w:t>
      </w:r>
      <w:r w:rsidRPr="00B4294A">
        <w:rPr>
          <w:color w:val="000000"/>
          <w:spacing w:val="-3"/>
        </w:rPr>
        <w:t xml:space="preserve"> </w:t>
      </w:r>
      <w:r w:rsidRPr="00B4294A">
        <w:rPr>
          <w:color w:val="000000"/>
        </w:rPr>
        <w:t>perform</w:t>
      </w:r>
      <w:r w:rsidRPr="00B4294A">
        <w:rPr>
          <w:color w:val="000000"/>
          <w:spacing w:val="-2"/>
        </w:rPr>
        <w:t xml:space="preserve"> </w:t>
      </w:r>
      <w:r w:rsidRPr="00B4294A">
        <w:rPr>
          <w:color w:val="000000"/>
        </w:rPr>
        <w:t>sweeps</w:t>
      </w:r>
      <w:r w:rsidRPr="00B4294A">
        <w:rPr>
          <w:color w:val="000000"/>
          <w:spacing w:val="-3"/>
        </w:rPr>
        <w:t xml:space="preserve"> </w:t>
      </w:r>
      <w:r w:rsidRPr="00B4294A">
        <w:rPr>
          <w:color w:val="000000"/>
        </w:rPr>
        <w:t>continuously</w:t>
      </w:r>
      <w:r w:rsidRPr="00B4294A">
        <w:rPr>
          <w:color w:val="000000"/>
          <w:spacing w:val="-7"/>
        </w:rPr>
        <w:t xml:space="preserve"> </w:t>
      </w:r>
      <w:r w:rsidRPr="00B4294A">
        <w:rPr>
          <w:color w:val="000000"/>
        </w:rPr>
        <w:t>during</w:t>
      </w:r>
      <w:r w:rsidRPr="00B4294A">
        <w:rPr>
          <w:color w:val="000000"/>
          <w:spacing w:val="-5"/>
        </w:rPr>
        <w:t xml:space="preserve"> </w:t>
      </w:r>
      <w:r w:rsidRPr="00B4294A">
        <w:rPr>
          <w:color w:val="000000"/>
        </w:rPr>
        <w:t>tens</w:t>
      </w:r>
      <w:r w:rsidRPr="00B4294A">
        <w:rPr>
          <w:color w:val="000000"/>
          <w:spacing w:val="-3"/>
        </w:rPr>
        <w:t xml:space="preserve"> </w:t>
      </w:r>
      <w:r w:rsidRPr="00B4294A">
        <w:rPr>
          <w:color w:val="000000"/>
        </w:rPr>
        <w:t>of</w:t>
      </w:r>
      <w:r w:rsidRPr="00B4294A">
        <w:rPr>
          <w:color w:val="000000"/>
          <w:spacing w:val="-4"/>
        </w:rPr>
        <w:t xml:space="preserve"> microseconds</w:t>
      </w:r>
      <w:r w:rsidRPr="00B4294A">
        <w:rPr>
          <w:color w:val="000000"/>
          <w:spacing w:val="-2"/>
        </w:rPr>
        <w:t xml:space="preserve"> </w:t>
      </w:r>
      <w:r w:rsidRPr="00B4294A">
        <w:rPr>
          <w:color w:val="000000"/>
        </w:rPr>
        <w:t>to</w:t>
      </w:r>
      <w:r w:rsidRPr="00B4294A">
        <w:rPr>
          <w:color w:val="000000"/>
          <w:spacing w:val="-3"/>
        </w:rPr>
        <w:t xml:space="preserve"> </w:t>
      </w:r>
      <w:r w:rsidRPr="00B4294A">
        <w:rPr>
          <w:color w:val="000000"/>
          <w:spacing w:val="-4"/>
        </w:rPr>
        <w:t xml:space="preserve">tens of </w:t>
      </w:r>
      <w:r w:rsidRPr="00B4294A">
        <w:t>milliseconds, making it difficult</w:t>
      </w:r>
      <w:r w:rsidRPr="00B4294A">
        <w:rPr>
          <w:spacing w:val="-4"/>
          <w:szCs w:val="22"/>
        </w:rPr>
        <w:t xml:space="preserve"> </w:t>
      </w:r>
      <w:r w:rsidRPr="00B4294A">
        <w:t>for</w:t>
      </w:r>
      <w:r w:rsidRPr="00B4294A">
        <w:rPr>
          <w:spacing w:val="-3"/>
          <w:szCs w:val="22"/>
        </w:rPr>
        <w:t xml:space="preserve"> </w:t>
      </w:r>
      <w:r w:rsidRPr="68E62851" w:rsidR="240E5038">
        <w:rPr>
          <w:spacing w:val="-3"/>
        </w:rPr>
        <w:t xml:space="preserve">[IEEE] </w:t>
      </w:r>
      <w:r w:rsidRPr="00B4294A">
        <w:t>802.11ad/ay</w:t>
      </w:r>
      <w:r w:rsidRPr="00B4294A">
        <w:rPr>
          <w:spacing w:val="-7"/>
          <w:szCs w:val="22"/>
        </w:rPr>
        <w:t xml:space="preserve"> </w:t>
      </w:r>
      <w:r w:rsidRPr="68E62851" w:rsidR="240E5038">
        <w:rPr>
          <w:spacing w:val="-7"/>
        </w:rPr>
        <w:t xml:space="preserve">[compliant] </w:t>
      </w:r>
      <w:r w:rsidRPr="00B4294A">
        <w:t>systems</w:t>
      </w:r>
      <w:r w:rsidRPr="00B4294A">
        <w:rPr>
          <w:spacing w:val="-2"/>
          <w:szCs w:val="22"/>
        </w:rPr>
        <w:t xml:space="preserve"> </w:t>
      </w:r>
      <w:r w:rsidRPr="00B4294A">
        <w:t>to</w:t>
      </w:r>
      <w:r w:rsidRPr="00B4294A">
        <w:rPr>
          <w:spacing w:val="-2"/>
          <w:szCs w:val="22"/>
        </w:rPr>
        <w:t xml:space="preserve"> </w:t>
      </w:r>
      <w:r w:rsidRPr="00B4294A">
        <w:t>rely</w:t>
      </w:r>
      <w:r w:rsidRPr="00B4294A">
        <w:rPr>
          <w:spacing w:val="-7"/>
          <w:szCs w:val="22"/>
        </w:rPr>
        <w:t xml:space="preserve"> </w:t>
      </w:r>
      <w:r w:rsidRPr="00B4294A">
        <w:t>on error</w:t>
      </w:r>
      <w:r w:rsidRPr="00B4294A">
        <w:rPr>
          <w:spacing w:val="-1"/>
          <w:szCs w:val="22"/>
        </w:rPr>
        <w:t xml:space="preserve"> </w:t>
      </w:r>
      <w:r w:rsidRPr="00B4294A">
        <w:t>correction</w:t>
      </w:r>
      <w:r w:rsidRPr="00B4294A">
        <w:rPr>
          <w:spacing w:val="-2"/>
          <w:szCs w:val="22"/>
        </w:rPr>
        <w:t xml:space="preserve"> </w:t>
      </w:r>
      <w:r w:rsidRPr="00B4294A">
        <w:t>coding</w:t>
      </w:r>
      <w:r w:rsidRPr="00B4294A">
        <w:rPr>
          <w:spacing w:val="-5"/>
          <w:szCs w:val="22"/>
        </w:rPr>
        <w:t xml:space="preserve"> </w:t>
      </w:r>
      <w:r w:rsidRPr="00B4294A">
        <w:t>to</w:t>
      </w:r>
      <w:r w:rsidRPr="00B4294A">
        <w:rPr>
          <w:spacing w:val="-2"/>
          <w:szCs w:val="22"/>
        </w:rPr>
        <w:t xml:space="preserve"> </w:t>
      </w:r>
      <w:r w:rsidRPr="00B4294A">
        <w:t>maintain</w:t>
      </w:r>
      <w:r w:rsidRPr="00B4294A">
        <w:rPr>
          <w:spacing w:val="-2"/>
          <w:szCs w:val="22"/>
        </w:rPr>
        <w:t xml:space="preserve"> </w:t>
      </w:r>
      <w:r w:rsidRPr="00B4294A">
        <w:t>a high data rate during the slot occupied by the FMCW radar.”</w:t>
      </w:r>
      <w:r>
        <w:rPr>
          <w:rStyle w:val="FootnoteReference"/>
        </w:rPr>
        <w:footnoteReference w:id="66"/>
      </w:r>
      <w:r w:rsidRPr="00B4294A">
        <w:rPr>
          <w:szCs w:val="22"/>
        </w:rPr>
        <w:t xml:space="preserve">  </w:t>
      </w:r>
      <w:r w:rsidRPr="00B4294A">
        <w:t>Acconeer</w:t>
      </w:r>
      <w:r w:rsidRPr="00B4294A">
        <w:t xml:space="preserve"> further explains that the peak power spectral density for its pulse radar, as measured over an </w:t>
      </w:r>
      <w:r w:rsidR="028B49FC">
        <w:t xml:space="preserve">IEEE </w:t>
      </w:r>
      <w:r w:rsidRPr="00B4294A">
        <w:t xml:space="preserve">802.11ad/ay </w:t>
      </w:r>
      <w:r w:rsidR="6255DD8A">
        <w:t>device’s</w:t>
      </w:r>
      <w:r w:rsidRPr="00B4294A">
        <w:t xml:space="preserve"> communication channel, is significantly lower than FMCW radars, which decreases potential </w:t>
      </w:r>
      <w:r w:rsidR="7E0C75E6">
        <w:t>harmful</w:t>
      </w:r>
      <w:r w:rsidRPr="00B4294A">
        <w:t xml:space="preserve"> interference </w:t>
      </w:r>
      <w:r w:rsidR="78E61C65">
        <w:t>decreasing the likelihood</w:t>
      </w:r>
      <w:r w:rsidRPr="00B4294A">
        <w:t xml:space="preserve"> </w:t>
      </w:r>
      <w:r w:rsidR="7FBDDC1B">
        <w:t xml:space="preserve">that </w:t>
      </w:r>
      <w:r w:rsidRPr="00B4294A">
        <w:t xml:space="preserve">the listen-before-talk (LBT) mechanism of the </w:t>
      </w:r>
      <w:r w:rsidR="7FBDDC1B">
        <w:t>IEE</w:t>
      </w:r>
      <w:r w:rsidR="7729115D">
        <w:t xml:space="preserve">E </w:t>
      </w:r>
      <w:r w:rsidRPr="00B4294A">
        <w:t xml:space="preserve">802.11ad/ay </w:t>
      </w:r>
      <w:r w:rsidR="7729115D">
        <w:t xml:space="preserve">compliant </w:t>
      </w:r>
      <w:r w:rsidRPr="00B4294A">
        <w:t xml:space="preserve">system less </w:t>
      </w:r>
      <w:r w:rsidR="0FA11834">
        <w:t xml:space="preserve">will </w:t>
      </w:r>
      <w:r w:rsidRPr="00B4294A">
        <w:t>be triggered.</w:t>
      </w:r>
      <w:r>
        <w:rPr>
          <w:rStyle w:val="FootnoteReference"/>
        </w:rPr>
        <w:footnoteReference w:id="67"/>
      </w:r>
      <w:r w:rsidRPr="00B4294A">
        <w:rPr>
          <w:szCs w:val="22"/>
        </w:rPr>
        <w:t xml:space="preserve">  </w:t>
      </w:r>
      <w:r w:rsidRPr="00B4294A">
        <w:t>Acconeer</w:t>
      </w:r>
      <w:r w:rsidRPr="00B4294A">
        <w:t xml:space="preserve"> thus believes that its pulse radar technology, which uses spread spectrum techniques </w:t>
      </w:r>
      <w:r w:rsidR="0732A0D3">
        <w:t>over</w:t>
      </w:r>
      <w:r w:rsidRPr="00B4294A">
        <w:t xml:space="preserve"> a wide bandwidth, necessitate</w:t>
      </w:r>
      <w:r w:rsidR="0FD7EF4E">
        <w:t>s</w:t>
      </w:r>
      <w:r w:rsidRPr="00B4294A">
        <w:t xml:space="preserve"> different provisions from what may be appropriate for other types of radar technologies.</w:t>
      </w:r>
      <w:r>
        <w:rPr>
          <w:rStyle w:val="FootnoteReference"/>
        </w:rPr>
        <w:footnoteReference w:id="68"/>
      </w:r>
    </w:p>
    <w:p w:rsidR="009446ED" w:rsidP="000F3D6E" w14:paraId="21B350C4" w14:textId="4E55CE42">
      <w:pPr>
        <w:pStyle w:val="ParaNum"/>
      </w:pPr>
      <w:r w:rsidRPr="59CB47AA">
        <w:rPr>
          <w:i/>
          <w:iCs/>
        </w:rPr>
        <w:t>Discussion.</w:t>
      </w:r>
      <w:r>
        <w:t xml:space="preserve">  </w:t>
      </w:r>
      <w:r w:rsidR="001E23E9">
        <w:t xml:space="preserve">We find that the </w:t>
      </w:r>
      <w:r w:rsidR="001404B9">
        <w:t xml:space="preserve">technical proposals included in the </w:t>
      </w:r>
      <w:r w:rsidR="001E23E9">
        <w:t xml:space="preserve">Industry Consensus Agreement </w:t>
      </w:r>
      <w:r w:rsidR="005A1EB5">
        <w:t xml:space="preserve">in response to those on which </w:t>
      </w:r>
      <w:r w:rsidR="002303AF">
        <w:t xml:space="preserve">the Commission sought comment </w:t>
      </w:r>
      <w:r w:rsidR="001E23E9">
        <w:t xml:space="preserve">provide a reasonable compromise that </w:t>
      </w:r>
      <w:r w:rsidR="00D1743A">
        <w:t xml:space="preserve">is </w:t>
      </w:r>
      <w:r w:rsidR="003E7FB1">
        <w:t>we</w:t>
      </w:r>
      <w:r w:rsidR="00B7250D">
        <w:t xml:space="preserve">ll </w:t>
      </w:r>
      <w:r w:rsidR="00D1743A">
        <w:t>suited to</w:t>
      </w:r>
      <w:r w:rsidR="001E23E9">
        <w:t xml:space="preserve"> foster our </w:t>
      </w:r>
      <w:r w:rsidR="00D1743A">
        <w:t>fundamental g</w:t>
      </w:r>
      <w:r w:rsidR="001E23E9">
        <w:t xml:space="preserve">oal </w:t>
      </w:r>
      <w:r w:rsidR="00D1743A">
        <w:t>of</w:t>
      </w:r>
      <w:r w:rsidR="001E23E9">
        <w:t xml:space="preserve"> open</w:t>
      </w:r>
      <w:r w:rsidR="00D1743A">
        <w:t>ing</w:t>
      </w:r>
      <w:r w:rsidR="001E23E9">
        <w:t xml:space="preserve"> the 60 GHz spectrum to innovative applications while promoting successful sharing between communications and FDS technologies</w:t>
      </w:r>
      <w:r w:rsidR="00391B2C">
        <w:t>.</w:t>
      </w:r>
      <w:r w:rsidR="00D62E02">
        <w:t xml:space="preserve">  </w:t>
      </w:r>
      <w:r w:rsidR="00BA609D">
        <w:t>T</w:t>
      </w:r>
      <w:r w:rsidR="00D62E02">
        <w:t>he Industry Consensus Agreement</w:t>
      </w:r>
      <w:r w:rsidR="000E481B">
        <w:t xml:space="preserve"> </w:t>
      </w:r>
      <w:r w:rsidR="00926CE0">
        <w:t xml:space="preserve">offers a path for </w:t>
      </w:r>
      <w:r w:rsidR="003567B5">
        <w:t xml:space="preserve">realizing </w:t>
      </w:r>
      <w:r w:rsidR="00926CE0">
        <w:t>the</w:t>
      </w:r>
      <w:r w:rsidR="001E23E9">
        <w:t xml:space="preserve"> band’s potential</w:t>
      </w:r>
      <w:r w:rsidR="00823C79">
        <w:t xml:space="preserve"> to </w:t>
      </w:r>
      <w:r w:rsidR="00B815BF">
        <w:t xml:space="preserve">host a wider range of unlicensed users </w:t>
      </w:r>
      <w:r w:rsidR="001E23E9">
        <w:t xml:space="preserve">without increasing the risk for harmful interference to authorized users of the band.  </w:t>
      </w:r>
      <w:r w:rsidR="00C41649">
        <w:t>We note that</w:t>
      </w:r>
      <w:r w:rsidR="00BA438B">
        <w:t xml:space="preserve"> </w:t>
      </w:r>
      <w:r w:rsidR="00112AEC">
        <w:t>parties outside of the signatories to the Agreement</w:t>
      </w:r>
      <w:r w:rsidR="00E476C0">
        <w:t>, including the</w:t>
      </w:r>
      <w:r w:rsidR="0094193F">
        <w:t xml:space="preserve"> Auto Innovators and </w:t>
      </w:r>
      <w:r w:rsidR="0078085F">
        <w:t>Robert Bosch LLC</w:t>
      </w:r>
      <w:r w:rsidR="00540DF1">
        <w:t xml:space="preserve"> have expressed support for</w:t>
      </w:r>
      <w:r w:rsidR="00C41649">
        <w:t xml:space="preserve"> the Industry Consensus Agreement</w:t>
      </w:r>
      <w:r w:rsidR="00E17E8D">
        <w:t>.</w:t>
      </w:r>
      <w:r>
        <w:rPr>
          <w:rStyle w:val="FootnoteReference"/>
        </w:rPr>
        <w:footnoteReference w:id="69"/>
      </w:r>
      <w:r w:rsidR="00E17E8D">
        <w:t xml:space="preserve">  </w:t>
      </w:r>
      <w:r w:rsidR="00001FB2">
        <w:t xml:space="preserve">Moreover, because the Industry Consensus Agreement was the product of negotiations between leading stakeholders with interests in both radar and unlicensed communications devices, on balance,  the economic benefits experienced by band users will outweigh economic costs.  </w:t>
      </w:r>
      <w:r w:rsidR="001E23E9">
        <w:t>Accordingly,</w:t>
      </w:r>
      <w:r w:rsidR="00092C04">
        <w:t xml:space="preserve"> our </w:t>
      </w:r>
      <w:r w:rsidR="00B97E15">
        <w:t>final rules draw</w:t>
      </w:r>
      <w:r w:rsidR="00D61B84">
        <w:t xml:space="preserve"> favorably from </w:t>
      </w:r>
      <w:r w:rsidR="006F73E9">
        <w:t>this filing.</w:t>
      </w:r>
    </w:p>
    <w:p w:rsidR="007E7CE5" w:rsidP="00735946" w14:paraId="1A07D222" w14:textId="5F71F3A5">
      <w:pPr>
        <w:pStyle w:val="ParaNum"/>
        <w:widowControl/>
      </w:pPr>
      <w:r>
        <w:t xml:space="preserve">While the </w:t>
      </w:r>
      <w:r w:rsidRPr="00DC4685">
        <w:rPr>
          <w:i/>
        </w:rPr>
        <w:t xml:space="preserve">NPRM </w:t>
      </w:r>
      <w:r>
        <w:t>made a specific proposal for</w:t>
      </w:r>
      <w:r w:rsidR="005B0DB9">
        <w:t xml:space="preserve"> expanding the use of the band for</w:t>
      </w:r>
      <w:r w:rsidR="00F10E1D">
        <w:t xml:space="preserve"> FDS use, it also</w:t>
      </w:r>
      <w:r w:rsidR="000671AE">
        <w:t xml:space="preserve"> sought</w:t>
      </w:r>
      <w:r w:rsidR="000E6B30">
        <w:t xml:space="preserve"> comment</w:t>
      </w:r>
      <w:r w:rsidR="00047F6F">
        <w:t xml:space="preserve"> more </w:t>
      </w:r>
      <w:r w:rsidR="00A6018A">
        <w:t>broadly</w:t>
      </w:r>
      <w:r w:rsidR="000E6B30">
        <w:t xml:space="preserve"> on rules that would </w:t>
      </w:r>
      <w:r w:rsidR="00FB07DA">
        <w:t>enable</w:t>
      </w:r>
      <w:r w:rsidR="00A17508">
        <w:t xml:space="preserve"> the successful sharing between FDS and </w:t>
      </w:r>
      <w:r w:rsidR="00C51952">
        <w:t xml:space="preserve">communications uses. </w:t>
      </w:r>
      <w:r w:rsidR="00135475">
        <w:t xml:space="preserve"> </w:t>
      </w:r>
      <w:r w:rsidR="00350AA6">
        <w:t xml:space="preserve">For example, the </w:t>
      </w:r>
      <w:r w:rsidRPr="00DC4685" w:rsidR="00350AA6">
        <w:rPr>
          <w:i/>
        </w:rPr>
        <w:t>NPRM</w:t>
      </w:r>
      <w:r w:rsidR="00350AA6">
        <w:t xml:space="preserve"> proposed to </w:t>
      </w:r>
      <w:r w:rsidR="005D1C03">
        <w:t>expand FDS operations in the 57-64 GHz band</w:t>
      </w:r>
      <w:r w:rsidR="00952595">
        <w:t>,</w:t>
      </w:r>
      <w:r w:rsidR="005D1C03">
        <w:t xml:space="preserve"> </w:t>
      </w:r>
      <w:r w:rsidR="001318D3">
        <w:t xml:space="preserve">but </w:t>
      </w:r>
      <w:r w:rsidR="00A25118">
        <w:t>alternatively sought comment</w:t>
      </w:r>
      <w:r w:rsidR="00815A21">
        <w:t xml:space="preserve"> on </w:t>
      </w:r>
      <w:r w:rsidR="0004134C">
        <w:t>allowing the FDS</w:t>
      </w:r>
      <w:r w:rsidR="00741296">
        <w:t xml:space="preserve"> operations across the entire band </w:t>
      </w:r>
      <w:r w:rsidR="00EC6A9A">
        <w:t>or some other segment.</w:t>
      </w:r>
      <w:r>
        <w:rPr>
          <w:rStyle w:val="FootnoteReference"/>
        </w:rPr>
        <w:footnoteReference w:id="70"/>
      </w:r>
      <w:r w:rsidR="00EC6A9A">
        <w:t xml:space="preserve">  </w:t>
      </w:r>
      <w:r w:rsidR="00A54F8D">
        <w:t xml:space="preserve">The </w:t>
      </w:r>
      <w:r w:rsidRPr="00DC4685" w:rsidR="00A54F8D">
        <w:rPr>
          <w:i/>
        </w:rPr>
        <w:t>NPRM</w:t>
      </w:r>
      <w:r w:rsidR="00CA1EB6">
        <w:t xml:space="preserve"> prop</w:t>
      </w:r>
      <w:r w:rsidR="00696BB6">
        <w:t xml:space="preserve">osed that </w:t>
      </w:r>
      <w:r w:rsidR="00080934">
        <w:t xml:space="preserve">FDS </w:t>
      </w:r>
      <w:r w:rsidR="003D75E1">
        <w:t>devices be limited to 20 d</w:t>
      </w:r>
      <w:r w:rsidR="00D025E7">
        <w:t xml:space="preserve">Bm </w:t>
      </w:r>
      <w:r w:rsidR="0014763A">
        <w:t xml:space="preserve">average </w:t>
      </w:r>
      <w:r w:rsidR="00D025E7">
        <w:t xml:space="preserve">EIRP </w:t>
      </w:r>
      <w:r w:rsidR="00F53D6D">
        <w:t xml:space="preserve">while </w:t>
      </w:r>
      <w:r w:rsidR="00643636">
        <w:t xml:space="preserve">also seeking comment on permitting up to </w:t>
      </w:r>
      <w:r w:rsidR="00D742F9">
        <w:t xml:space="preserve">an average power of </w:t>
      </w:r>
      <w:r w:rsidR="00643636">
        <w:t>40 dB</w:t>
      </w:r>
      <w:r w:rsidR="00D742F9">
        <w:t>m</w:t>
      </w:r>
      <w:r w:rsidR="00643636">
        <w:t xml:space="preserve"> EIR</w:t>
      </w:r>
      <w:r w:rsidR="001D7EFF">
        <w:t xml:space="preserve">P </w:t>
      </w:r>
      <w:r w:rsidR="00DE63A9">
        <w:t xml:space="preserve">and </w:t>
      </w:r>
      <w:r w:rsidR="00E96BD7">
        <w:t>on specifying</w:t>
      </w:r>
      <w:r w:rsidR="0026627A">
        <w:t xml:space="preserve"> a peak power rather than an average power</w:t>
      </w:r>
      <w:r w:rsidR="00CE0159">
        <w:t>.</w:t>
      </w:r>
      <w:r>
        <w:rPr>
          <w:rStyle w:val="FootnoteReference"/>
        </w:rPr>
        <w:footnoteReference w:id="71"/>
      </w:r>
      <w:r w:rsidR="00C53581">
        <w:t xml:space="preserve">  </w:t>
      </w:r>
      <w:r w:rsidR="00A00751">
        <w:t xml:space="preserve">The </w:t>
      </w:r>
      <w:r w:rsidRPr="00DC4685" w:rsidR="00A00751">
        <w:rPr>
          <w:i/>
        </w:rPr>
        <w:t>NPRM</w:t>
      </w:r>
      <w:r w:rsidR="00A00751">
        <w:t xml:space="preserve"> proposed FDS devices be limited to a duty cycle of </w:t>
      </w:r>
      <w:r w:rsidR="00024F36">
        <w:t xml:space="preserve">10% </w:t>
      </w:r>
      <w:r w:rsidRPr="00FC3029" w:rsidR="00E20620">
        <w:t xml:space="preserve">based on a maximum 3.3 </w:t>
      </w:r>
      <w:r w:rsidRPr="00FC3029" w:rsidR="00E20620">
        <w:t>ms</w:t>
      </w:r>
      <w:r w:rsidRPr="00FC3029" w:rsidR="00E20620">
        <w:t xml:space="preserve"> transmission </w:t>
      </w:r>
      <w:r w:rsidR="00E20620">
        <w:t xml:space="preserve">time </w:t>
      </w:r>
      <w:r w:rsidRPr="00FC3029" w:rsidR="00E20620">
        <w:t xml:space="preserve">in every 33 </w:t>
      </w:r>
      <w:r w:rsidRPr="00FC3029" w:rsidR="00E20620">
        <w:t>ms</w:t>
      </w:r>
      <w:r w:rsidRPr="00FC3029" w:rsidR="00E20620">
        <w:t xml:space="preserve"> interval </w:t>
      </w:r>
      <w:r w:rsidR="00686D42">
        <w:t xml:space="preserve">but also discussed </w:t>
      </w:r>
      <w:r w:rsidR="008D3BD4">
        <w:t>the</w:t>
      </w:r>
      <w:r w:rsidR="00B9440E">
        <w:t xml:space="preserve"> </w:t>
      </w:r>
      <w:r w:rsidR="00024F36">
        <w:t>concerns parties have expressed with the proposed duty cycle and timeframe.</w:t>
      </w:r>
      <w:r>
        <w:rPr>
          <w:rStyle w:val="FootnoteReference"/>
        </w:rPr>
        <w:footnoteReference w:id="72"/>
      </w:r>
      <w:r w:rsidR="00024F36">
        <w:t xml:space="preserve">  </w:t>
      </w:r>
      <w:r w:rsidR="003152AE">
        <w:t xml:space="preserve">The </w:t>
      </w:r>
      <w:r w:rsidRPr="00DC4685" w:rsidR="003152AE">
        <w:rPr>
          <w:i/>
        </w:rPr>
        <w:t>NPRM</w:t>
      </w:r>
      <w:r w:rsidR="00C80D60">
        <w:t xml:space="preserve"> also sought comment</w:t>
      </w:r>
      <w:r w:rsidR="00CD3A4F">
        <w:t xml:space="preserve"> on framew</w:t>
      </w:r>
      <w:r w:rsidR="00DD37DB">
        <w:t xml:space="preserve">orks suggested by the </w:t>
      </w:r>
      <w:r w:rsidR="00FA67AA">
        <w:t>60 GHz</w:t>
      </w:r>
      <w:r w:rsidR="00162E6E">
        <w:t xml:space="preserve"> </w:t>
      </w:r>
      <w:r w:rsidR="000D7EA1">
        <w:t>C</w:t>
      </w:r>
      <w:r w:rsidR="00D840DD">
        <w:t xml:space="preserve">oexistence </w:t>
      </w:r>
      <w:r w:rsidR="000D7EA1">
        <w:t xml:space="preserve">Study Group which included </w:t>
      </w:r>
      <w:r w:rsidR="00683AA5">
        <w:t xml:space="preserve">taking </w:t>
      </w:r>
      <w:r w:rsidR="005C5F54">
        <w:t xml:space="preserve">a channelization approach </w:t>
      </w:r>
      <w:r w:rsidR="00183304">
        <w:t xml:space="preserve">to </w:t>
      </w:r>
      <w:r w:rsidR="005706C2">
        <w:t xml:space="preserve">radars in the </w:t>
      </w:r>
      <w:r w:rsidR="00F632EA">
        <w:t xml:space="preserve">60 GHz band and </w:t>
      </w:r>
      <w:r w:rsidR="00393CCB">
        <w:t xml:space="preserve">having different operating parameters </w:t>
      </w:r>
      <w:r w:rsidR="008D31FD">
        <w:t xml:space="preserve">for </w:t>
      </w:r>
      <w:r w:rsidR="008D31FD">
        <w:t>rad</w:t>
      </w:r>
      <w:r w:rsidR="00E25216">
        <w:t xml:space="preserve">ars </w:t>
      </w:r>
      <w:r w:rsidRPr="1729D94D" w:rsidR="008D31FD">
        <w:rPr>
          <w:rFonts w:eastAsia="ArialMT"/>
          <w:snapToGrid/>
        </w:rPr>
        <w:t xml:space="preserve">when </w:t>
      </w:r>
      <w:r w:rsidR="00E67AE7">
        <w:rPr>
          <w:rFonts w:eastAsia="ArialMT"/>
          <w:snapToGrid/>
        </w:rPr>
        <w:t xml:space="preserve">they are </w:t>
      </w:r>
      <w:r w:rsidRPr="1729D94D" w:rsidR="008D31FD">
        <w:rPr>
          <w:rFonts w:eastAsia="ArialMT"/>
          <w:snapToGrid/>
        </w:rPr>
        <w:t>operating in a vehicle, indoors, or outdoors, or between implementations that are fixed, mobile, or portable</w:t>
      </w:r>
      <w:r w:rsidR="00012F10">
        <w:rPr>
          <w:rFonts w:eastAsia="ArialMT"/>
          <w:snapToGrid/>
        </w:rPr>
        <w:t>.</w:t>
      </w:r>
      <w:r>
        <w:rPr>
          <w:rStyle w:val="FootnoteReference"/>
          <w:rFonts w:eastAsia="ArialMT"/>
          <w:snapToGrid/>
        </w:rPr>
        <w:footnoteReference w:id="73"/>
      </w:r>
      <w:r w:rsidR="00CB03FA">
        <w:rPr>
          <w:rFonts w:eastAsia="ArialMT"/>
          <w:snapToGrid/>
        </w:rPr>
        <w:t xml:space="preserve">  </w:t>
      </w:r>
    </w:p>
    <w:p w:rsidR="00CF5BED" w:rsidRPr="0074772C" w:rsidP="001F7C51" w14:paraId="75802508" w14:textId="42E0FFA1">
      <w:pPr>
        <w:pStyle w:val="ParaNum"/>
      </w:pPr>
      <w:r>
        <w:t>T</w:t>
      </w:r>
      <w:r w:rsidR="2062F52E">
        <w:t xml:space="preserve">o facilitate </w:t>
      </w:r>
      <w:r w:rsidR="18390775">
        <w:t xml:space="preserve">use </w:t>
      </w:r>
      <w:r w:rsidR="04418634">
        <w:t>by all technologies</w:t>
      </w:r>
      <w:r w:rsidR="2C7260C4">
        <w:t>,</w:t>
      </w:r>
      <w:r w:rsidR="7026991C">
        <w:t xml:space="preserve"> </w:t>
      </w:r>
      <w:r w:rsidRPr="46A38630" w:rsidR="01A122BA">
        <w:t>w</w:t>
      </w:r>
      <w:r w:rsidRPr="46A38630" w:rsidR="7026991C">
        <w:t xml:space="preserve">e agree </w:t>
      </w:r>
      <w:r w:rsidR="6E85057E">
        <w:t xml:space="preserve">with </w:t>
      </w:r>
      <w:r w:rsidR="6E85057E">
        <w:t>Acconeer</w:t>
      </w:r>
      <w:r w:rsidR="6E85057E">
        <w:t xml:space="preserve"> </w:t>
      </w:r>
      <w:r w:rsidRPr="46A38630" w:rsidR="3AC1F622">
        <w:t>t</w:t>
      </w:r>
      <w:r w:rsidRPr="46A38630" w:rsidR="7026991C">
        <w:t xml:space="preserve">hat </w:t>
      </w:r>
      <w:r w:rsidRPr="46A38630" w:rsidR="3AC1F622">
        <w:t xml:space="preserve">because </w:t>
      </w:r>
      <w:r w:rsidRPr="46A38630" w:rsidR="7026991C">
        <w:t xml:space="preserve">pulse radars necessitate wide bandwidths </w:t>
      </w:r>
      <w:r w:rsidR="2AE0468F">
        <w:t xml:space="preserve">to accommodate </w:t>
      </w:r>
      <w:r w:rsidRPr="46A38630" w:rsidR="7026991C">
        <w:t>their spread spectrum technique</w:t>
      </w:r>
      <w:r w:rsidR="4357BEC6">
        <w:rPr>
          <w:szCs w:val="22"/>
        </w:rPr>
        <w:t xml:space="preserve">, </w:t>
      </w:r>
      <w:r w:rsidRPr="68E62851" w:rsidR="56FC081B">
        <w:t xml:space="preserve">we must </w:t>
      </w:r>
      <w:r w:rsidRPr="68E62851" w:rsidR="469335E1">
        <w:t xml:space="preserve">also consider rules </w:t>
      </w:r>
      <w:r w:rsidRPr="68E62851" w:rsidR="2B9104D9">
        <w:t xml:space="preserve">that </w:t>
      </w:r>
      <w:r w:rsidRPr="68E62851" w:rsidR="7FD92A24">
        <w:t xml:space="preserve">are not </w:t>
      </w:r>
      <w:r w:rsidRPr="68E62851" w:rsidR="03D4AD23">
        <w:t xml:space="preserve">solely </w:t>
      </w:r>
      <w:r w:rsidRPr="68E62851" w:rsidR="45DF04A0">
        <w:t xml:space="preserve">predicated on using </w:t>
      </w:r>
      <w:r w:rsidRPr="46A38630" w:rsidR="39FF14B9">
        <w:t xml:space="preserve">the </w:t>
      </w:r>
      <w:r w:rsidRPr="46A38630" w:rsidR="7026991C">
        <w:t>small partitioned bands</w:t>
      </w:r>
      <w:r w:rsidRPr="46A38630" w:rsidR="39FF14B9">
        <w:t xml:space="preserve"> outlined in</w:t>
      </w:r>
      <w:r w:rsidRPr="46A38630" w:rsidR="7026991C">
        <w:t xml:space="preserve"> the Industry Consensus Agreement.  </w:t>
      </w:r>
      <w:r w:rsidR="16B4694B">
        <w:t>A</w:t>
      </w:r>
      <w:r w:rsidRPr="46A38630" w:rsidR="7026991C">
        <w:t xml:space="preserve">lthough </w:t>
      </w:r>
      <w:r w:rsidRPr="46A38630" w:rsidR="7026991C">
        <w:t>Acconeer</w:t>
      </w:r>
      <w:r w:rsidRPr="46A38630" w:rsidR="7026991C">
        <w:t xml:space="preserve"> appears to be the only pulse radar provider </w:t>
      </w:r>
      <w:r w:rsidR="2B87AF76">
        <w:t xml:space="preserve">that participated </w:t>
      </w:r>
      <w:r w:rsidRPr="46A38630" w:rsidR="7026991C">
        <w:t xml:space="preserve">in this proceeding, many commercial parties plan to incorporate the </w:t>
      </w:r>
      <w:r w:rsidRPr="46A38630" w:rsidR="7026991C">
        <w:t>Acconeer</w:t>
      </w:r>
      <w:r w:rsidRPr="46A38630" w:rsidR="7026991C">
        <w:t xml:space="preserve"> pulse radar chip into their finished products</w:t>
      </w:r>
      <w:r w:rsidR="76D528EA">
        <w:t xml:space="preserve"> and other manufacturers may have plans for similar systems</w:t>
      </w:r>
      <w:r w:rsidRPr="46A38630" w:rsidR="7026991C">
        <w:t xml:space="preserve">, thus making </w:t>
      </w:r>
      <w:r w:rsidRPr="46A38630" w:rsidR="5DB750F9">
        <w:t xml:space="preserve">it likely that </w:t>
      </w:r>
      <w:r w:rsidRPr="46A38630" w:rsidR="7026991C">
        <w:t>pulse F</w:t>
      </w:r>
      <w:r w:rsidRPr="46A38630" w:rsidR="315ABD32">
        <w:t xml:space="preserve">DS </w:t>
      </w:r>
      <w:r w:rsidRPr="46A38630" w:rsidR="090C2062">
        <w:t>devices</w:t>
      </w:r>
      <w:r w:rsidR="695534C3">
        <w:rPr>
          <w:szCs w:val="22"/>
        </w:rPr>
        <w:t xml:space="preserve"> </w:t>
      </w:r>
      <w:r w:rsidRPr="68E62851" w:rsidR="2D95CBEF">
        <w:t xml:space="preserve">will see widespread use </w:t>
      </w:r>
      <w:r w:rsidRPr="46A38630" w:rsidR="7026991C">
        <w:t>in the 57-64 GHz band.</w:t>
      </w:r>
      <w:r>
        <w:rPr>
          <w:rStyle w:val="FootnoteReference"/>
        </w:rPr>
        <w:footnoteReference w:id="74"/>
      </w:r>
      <w:r w:rsidRPr="00FD7558" w:rsidR="7026991C">
        <w:rPr>
          <w:szCs w:val="22"/>
        </w:rPr>
        <w:t xml:space="preserve">  </w:t>
      </w:r>
      <w:r w:rsidRPr="46A38630" w:rsidR="2E293621">
        <w:t>By a</w:t>
      </w:r>
      <w:r w:rsidRPr="46A38630" w:rsidR="7026991C">
        <w:t>dopting technical parameters</w:t>
      </w:r>
      <w:r w:rsidRPr="46A38630" w:rsidR="2E293621">
        <w:t xml:space="preserve"> that are compatible with </w:t>
      </w:r>
      <w:r w:rsidR="35BC8E30">
        <w:t xml:space="preserve">the </w:t>
      </w:r>
      <w:r w:rsidRPr="46A38630" w:rsidR="2E293621">
        <w:t>Pulse Radar Joint Agreement, we</w:t>
      </w:r>
      <w:r w:rsidRPr="46A38630" w:rsidR="7026991C">
        <w:t xml:space="preserve"> will further enhance the potential for innovative product deployments in the 60 GHz spectrum without </w:t>
      </w:r>
      <w:r w:rsidR="610F850A">
        <w:t xml:space="preserve">increasing the potential for </w:t>
      </w:r>
      <w:r w:rsidRPr="46A38630" w:rsidR="7026991C">
        <w:t xml:space="preserve">causing harmful interference to authorized users.  </w:t>
      </w:r>
      <w:r w:rsidR="7FF90081">
        <w:t>Because the Pulse Radar Joint Agreement represents the interests of proponents of pulse radar and leading communications device stakeholders, on balance, the economic benefits</w:t>
      </w:r>
      <w:r w:rsidRPr="00527507" w:rsidR="7FF90081">
        <w:t xml:space="preserve"> experience</w:t>
      </w:r>
      <w:r w:rsidR="7FF90081">
        <w:t xml:space="preserve">d by band users will </w:t>
      </w:r>
      <w:r w:rsidRPr="00527507" w:rsidR="7FF90081">
        <w:t>outweigh</w:t>
      </w:r>
      <w:r w:rsidR="7FF90081">
        <w:t xml:space="preserve"> economic costs.  </w:t>
      </w:r>
      <w:r w:rsidRPr="46A38630" w:rsidR="7026991C">
        <w:t xml:space="preserve">Accordingly, </w:t>
      </w:r>
      <w:r w:rsidRPr="46A38630" w:rsidR="2E293621">
        <w:t xml:space="preserve">the rules we </w:t>
      </w:r>
      <w:r w:rsidR="61A64679">
        <w:t xml:space="preserve">are </w:t>
      </w:r>
      <w:r w:rsidRPr="46A38630" w:rsidR="2E293621">
        <w:t>adopt</w:t>
      </w:r>
      <w:r w:rsidR="61A64679">
        <w:t>ing</w:t>
      </w:r>
      <w:r w:rsidRPr="46A38630" w:rsidR="2E293621">
        <w:t xml:space="preserve"> </w:t>
      </w:r>
      <w:r w:rsidR="4100728A">
        <w:t>also</w:t>
      </w:r>
      <w:r w:rsidRPr="46A38630" w:rsidR="2E293621">
        <w:t xml:space="preserve"> </w:t>
      </w:r>
      <w:r w:rsidRPr="46A38630" w:rsidR="428D4B9D">
        <w:t xml:space="preserve">recognize the approach </w:t>
      </w:r>
      <w:r w:rsidRPr="46A38630" w:rsidR="611DDD5F">
        <w:t xml:space="preserve">set forth in the </w:t>
      </w:r>
      <w:r w:rsidRPr="46A38630" w:rsidR="7026991C">
        <w:t>Pulse Radar Joint Agreement</w:t>
      </w:r>
      <w:r w:rsidR="611DDD5F">
        <w:rPr>
          <w:szCs w:val="22"/>
        </w:rPr>
        <w:t>.</w:t>
      </w:r>
      <w:r w:rsidR="2C7260C4">
        <w:t xml:space="preserve"> </w:t>
      </w:r>
    </w:p>
    <w:p w:rsidR="00F13E1B" w:rsidP="00F13E1B" w14:paraId="5FCA0DFF" w14:textId="1F865888">
      <w:pPr>
        <w:pStyle w:val="Heading3"/>
      </w:pPr>
      <w:bookmarkStart w:id="55" w:name="_Toc135123545"/>
      <w:r>
        <w:t>Technical</w:t>
      </w:r>
      <w:r w:rsidR="004A2F1E">
        <w:t xml:space="preserve"> Considerations</w:t>
      </w:r>
      <w:bookmarkEnd w:id="55"/>
    </w:p>
    <w:p w:rsidR="00837706" w:rsidP="001E7723" w14:paraId="546A5C5D" w14:textId="0ADDE748">
      <w:pPr>
        <w:pStyle w:val="ParaNum"/>
      </w:pPr>
      <w:r w:rsidRPr="59CB47AA">
        <w:rPr>
          <w:i/>
          <w:iCs/>
        </w:rPr>
        <w:t xml:space="preserve">Frequency range.  </w:t>
      </w:r>
      <w:r w:rsidR="00A2599A">
        <w:t xml:space="preserve">In the </w:t>
      </w:r>
      <w:r w:rsidRPr="59CB47AA" w:rsidR="00EE214C">
        <w:rPr>
          <w:i/>
          <w:iCs/>
        </w:rPr>
        <w:t>NPRM</w:t>
      </w:r>
      <w:r w:rsidR="00A2599A">
        <w:t>, b</w:t>
      </w:r>
      <w:r w:rsidRPr="00FC3029" w:rsidR="00626CE7">
        <w:t xml:space="preserve">ased on </w:t>
      </w:r>
      <w:r w:rsidR="00A2599A">
        <w:t xml:space="preserve">the </w:t>
      </w:r>
      <w:r w:rsidR="009A1126">
        <w:t>parameters in</w:t>
      </w:r>
      <w:r w:rsidR="00626CE7">
        <w:t xml:space="preserve"> </w:t>
      </w:r>
      <w:r w:rsidRPr="00FC3029" w:rsidR="00626CE7">
        <w:t xml:space="preserve">the multiple waiver </w:t>
      </w:r>
      <w:r w:rsidR="009A1126">
        <w:t>grants</w:t>
      </w:r>
      <w:r w:rsidRPr="00FC3029" w:rsidR="00626CE7">
        <w:t xml:space="preserve"> that </w:t>
      </w:r>
      <w:r w:rsidR="00626CE7">
        <w:t>pertain to FDS use of the 60 GHz band</w:t>
      </w:r>
      <w:r w:rsidRPr="00FC3029" w:rsidR="00626CE7">
        <w:t xml:space="preserve">, </w:t>
      </w:r>
      <w:r w:rsidR="006501C7">
        <w:t xml:space="preserve">the Commission proposed to </w:t>
      </w:r>
      <w:r w:rsidRPr="00FC3029" w:rsidR="006501C7">
        <w:t xml:space="preserve">limit operation of FDS devices operating under </w:t>
      </w:r>
      <w:r w:rsidR="000E7A20">
        <w:t>the</w:t>
      </w:r>
      <w:r w:rsidRPr="00FC3029" w:rsidR="006501C7">
        <w:t xml:space="preserve"> proposed </w:t>
      </w:r>
      <w:r w:rsidR="000E7A20">
        <w:t>rules</w:t>
      </w:r>
      <w:r w:rsidRPr="00FC3029" w:rsidR="006501C7">
        <w:t xml:space="preserve"> to the 57-64 GHz band</w:t>
      </w:r>
      <w:r w:rsidR="000E7A20">
        <w:t xml:space="preserve"> to </w:t>
      </w:r>
      <w:r w:rsidR="0040409B">
        <w:t>be consistent</w:t>
      </w:r>
      <w:r w:rsidR="000E7A20">
        <w:t xml:space="preserve"> </w:t>
      </w:r>
      <w:r w:rsidR="006171F4">
        <w:t xml:space="preserve">with </w:t>
      </w:r>
      <w:r w:rsidRPr="00FC3029" w:rsidR="00626CE7">
        <w:t>the European ETSI Harmonized Standard EN 305 550 that restrict</w:t>
      </w:r>
      <w:r w:rsidR="00FF3BEC">
        <w:t>s</w:t>
      </w:r>
      <w:r w:rsidRPr="00FC3029" w:rsidR="00626CE7">
        <w:t xml:space="preserve"> short-range devices, e.g., radars, to the 57-64 GHz band.</w:t>
      </w:r>
      <w:r>
        <w:rPr>
          <w:rStyle w:val="FootnoteReference"/>
          <w:color w:val="000000"/>
        </w:rPr>
        <w:footnoteReference w:id="75"/>
      </w:r>
      <w:r w:rsidRPr="00FC3029" w:rsidR="00626CE7">
        <w:t xml:space="preserve">  </w:t>
      </w:r>
      <w:r w:rsidR="00696170">
        <w:t xml:space="preserve">While the Commission </w:t>
      </w:r>
      <w:r w:rsidR="00C12CFE">
        <w:t>proposed to retai</w:t>
      </w:r>
      <w:r w:rsidR="00FA2C59">
        <w:t>n</w:t>
      </w:r>
      <w:r w:rsidR="00696170">
        <w:t xml:space="preserve"> FDS operation</w:t>
      </w:r>
      <w:r w:rsidR="002E3934">
        <w:t xml:space="preserve"> in the 64-71 GHz band at the existing low-power limits in the rules, it</w:t>
      </w:r>
      <w:r w:rsidR="00914142">
        <w:t xml:space="preserve"> </w:t>
      </w:r>
      <w:r w:rsidR="00DA1C74">
        <w:t xml:space="preserve">sought comment on </w:t>
      </w:r>
      <w:r w:rsidR="00AE2093">
        <w:t>allowing use across the entire</w:t>
      </w:r>
      <w:r w:rsidR="00626CE7">
        <w:t xml:space="preserve"> 57-71 GHz frequency range </w:t>
      </w:r>
      <w:r w:rsidR="00472A9A">
        <w:t xml:space="preserve">at </w:t>
      </w:r>
      <w:r w:rsidR="00FE192F">
        <w:t>higher power</w:t>
      </w:r>
      <w:r w:rsidR="00472A9A">
        <w:t xml:space="preserve"> limits </w:t>
      </w:r>
      <w:r w:rsidR="00FE192F">
        <w:t xml:space="preserve">in conjunction with a specified </w:t>
      </w:r>
      <w:r w:rsidR="00493F07">
        <w:t>duty cycle</w:t>
      </w:r>
      <w:r w:rsidR="00637482">
        <w:t>.</w:t>
      </w:r>
      <w:r>
        <w:rPr>
          <w:rStyle w:val="FootnoteReference"/>
        </w:rPr>
        <w:footnoteReference w:id="76"/>
      </w:r>
      <w:r w:rsidR="00700A25">
        <w:t xml:space="preserve">  In addition, in the </w:t>
      </w:r>
      <w:r w:rsidRPr="59CB47AA" w:rsidR="00700A25">
        <w:rPr>
          <w:i/>
          <w:iCs/>
        </w:rPr>
        <w:t>NPRM</w:t>
      </w:r>
      <w:r w:rsidR="00700A25">
        <w:t xml:space="preserve">, the Commission noted the work of </w:t>
      </w:r>
      <w:r w:rsidRPr="59CB47AA" w:rsidR="00700A25">
        <w:rPr>
          <w:color w:val="000000" w:themeColor="text1"/>
        </w:rPr>
        <w:t>the 60 GHz Co-existence Study Group</w:t>
      </w:r>
      <w:r w:rsidR="00700A25">
        <w:t xml:space="preserve"> on developing “a consensus approach” to a suitable co-existence framework, with discussions concerning duty cycles; transmission on- and off-times; operating bandwidth and channelization</w:t>
      </w:r>
      <w:r w:rsidR="000757B2">
        <w:t>.</w:t>
      </w:r>
      <w:r>
        <w:rPr>
          <w:rStyle w:val="FootnoteReference"/>
          <w:snapToGrid/>
        </w:rPr>
        <w:footnoteReference w:id="77"/>
      </w:r>
    </w:p>
    <w:p w:rsidR="00BA44A0" w:rsidP="001E7723" w14:paraId="0D1778D7" w14:textId="175632D2">
      <w:pPr>
        <w:pStyle w:val="ParaNum"/>
      </w:pPr>
      <w:r>
        <w:t xml:space="preserve">Initially, interested parties </w:t>
      </w:r>
      <w:r w:rsidR="33B276E7">
        <w:t xml:space="preserve">were unable to </w:t>
      </w:r>
      <w:r w:rsidR="6D234F25">
        <w:t>achieve</w:t>
      </w:r>
      <w:r w:rsidR="29F2D734">
        <w:t xml:space="preserve"> consensus on</w:t>
      </w:r>
      <w:r w:rsidR="15C4B7D4">
        <w:t xml:space="preserve"> </w:t>
      </w:r>
      <w:r w:rsidR="6D234F25">
        <w:t>what</w:t>
      </w:r>
      <w:r w:rsidR="3FBEE1CF">
        <w:t xml:space="preserve"> frequency </w:t>
      </w:r>
      <w:r w:rsidR="4380EB20">
        <w:t>range</w:t>
      </w:r>
      <w:r w:rsidR="3FBEE1CF">
        <w:t xml:space="preserve"> </w:t>
      </w:r>
      <w:r w:rsidR="6D234F25">
        <w:t xml:space="preserve">would be most appropriate </w:t>
      </w:r>
      <w:r w:rsidR="3FBEE1CF">
        <w:t xml:space="preserve">for expanded </w:t>
      </w:r>
      <w:r w:rsidR="4380EB20">
        <w:t xml:space="preserve">FDS </w:t>
      </w:r>
      <w:r w:rsidR="3FBEE1CF">
        <w:t xml:space="preserve">use.  </w:t>
      </w:r>
      <w:r w:rsidRPr="695573F5" w:rsidR="0B07710B">
        <w:t xml:space="preserve">For instance, </w:t>
      </w:r>
      <w:r w:rsidRPr="695573F5" w:rsidR="65479151">
        <w:t>Google suggest</w:t>
      </w:r>
      <w:r w:rsidR="50B8329A">
        <w:t>ed</w:t>
      </w:r>
      <w:r w:rsidRPr="695573F5" w:rsidR="65479151">
        <w:t xml:space="preserve"> that </w:t>
      </w:r>
      <w:r w:rsidRPr="00DB2696" w:rsidR="65479151">
        <w:rPr>
          <w:rFonts w:eastAsia="ArialMT"/>
        </w:rPr>
        <w:t xml:space="preserve">limiting operating frequencies for FDS devices to </w:t>
      </w:r>
      <w:r w:rsidRPr="00DB2696" w:rsidR="3C5A9E75">
        <w:rPr>
          <w:rFonts w:eastAsia="ArialMT"/>
        </w:rPr>
        <w:t xml:space="preserve">the </w:t>
      </w:r>
      <w:r w:rsidRPr="00DB2696" w:rsidR="65479151">
        <w:rPr>
          <w:rFonts w:eastAsia="ArialMT"/>
        </w:rPr>
        <w:t>57-64 GHz</w:t>
      </w:r>
      <w:r w:rsidRPr="00DB2696" w:rsidR="3C5A9E75">
        <w:rPr>
          <w:rFonts w:eastAsia="ArialMT"/>
        </w:rPr>
        <w:t xml:space="preserve"> band</w:t>
      </w:r>
      <w:r w:rsidRPr="00DB2696" w:rsidR="65479151">
        <w:rPr>
          <w:rFonts w:eastAsia="ArialMT"/>
        </w:rPr>
        <w:t>, consistent with the EN 305 550 standard</w:t>
      </w:r>
      <w:r w:rsidRPr="00DB2696" w:rsidR="3C5A9E75">
        <w:rPr>
          <w:rFonts w:eastAsia="ArialMT"/>
        </w:rPr>
        <w:t xml:space="preserve">, would </w:t>
      </w:r>
      <w:r w:rsidRPr="00DB2696" w:rsidR="65479151">
        <w:rPr>
          <w:rFonts w:eastAsia="ArialMT"/>
        </w:rPr>
        <w:t>reserve the upper 7</w:t>
      </w:r>
      <w:r w:rsidRPr="00DB2696" w:rsidR="4C17D6C7">
        <w:rPr>
          <w:rFonts w:eastAsia="ArialMT"/>
        </w:rPr>
        <w:t xml:space="preserve"> gigahertz </w:t>
      </w:r>
      <w:r w:rsidRPr="00DB2696" w:rsidR="65479151">
        <w:rPr>
          <w:rFonts w:eastAsia="ArialMT"/>
        </w:rPr>
        <w:t>of the band for future potential use case</w:t>
      </w:r>
      <w:r w:rsidRPr="00DB2696" w:rsidR="3C5A9E75">
        <w:rPr>
          <w:rFonts w:eastAsia="ArialMT"/>
        </w:rPr>
        <w:t>s</w:t>
      </w:r>
      <w:r w:rsidR="50B8329A">
        <w:rPr>
          <w:rFonts w:eastAsia="ArialMT"/>
        </w:rPr>
        <w:t>,</w:t>
      </w:r>
      <w:r>
        <w:rPr>
          <w:rStyle w:val="FootnoteReference"/>
          <w:rFonts w:eastAsia="ArialMT"/>
        </w:rPr>
        <w:footnoteReference w:id="78"/>
      </w:r>
      <w:r w:rsidR="74D62450">
        <w:rPr>
          <w:rFonts w:eastAsia="ArialMT"/>
        </w:rPr>
        <w:t xml:space="preserve"> while both</w:t>
      </w:r>
      <w:r w:rsidR="43AB5C2A">
        <w:rPr>
          <w:rFonts w:eastAsia="ArialMT"/>
        </w:rPr>
        <w:t xml:space="preserve"> </w:t>
      </w:r>
      <w:r w:rsidRPr="00DB2696" w:rsidR="43AB5C2A">
        <w:rPr>
          <w:rFonts w:eastAsia="ArialMT"/>
        </w:rPr>
        <w:t>Acconeer</w:t>
      </w:r>
      <w:r w:rsidRPr="00DB2696" w:rsidR="43AB5C2A">
        <w:rPr>
          <w:rFonts w:eastAsia="ArialMT"/>
        </w:rPr>
        <w:t xml:space="preserve"> and Amazon support</w:t>
      </w:r>
      <w:r w:rsidR="43AB5C2A">
        <w:rPr>
          <w:rFonts w:eastAsia="ArialMT"/>
        </w:rPr>
        <w:t>ed</w:t>
      </w:r>
      <w:r w:rsidRPr="00DB2696" w:rsidR="43AB5C2A">
        <w:rPr>
          <w:rFonts w:eastAsia="ArialMT"/>
        </w:rPr>
        <w:t xml:space="preserve"> extending the proposed higher power limits to the entire 14-gigahertz spectrum in the 57-71 GHz band to promote more FDS deployment.</w:t>
      </w:r>
      <w:r>
        <w:rPr>
          <w:rStyle w:val="FootnoteReference"/>
          <w:rFonts w:eastAsia="ArialMT"/>
        </w:rPr>
        <w:footnoteReference w:id="79"/>
      </w:r>
      <w:r w:rsidR="560C94DB">
        <w:rPr>
          <w:rFonts w:eastAsia="ArialMT"/>
        </w:rPr>
        <w:t xml:space="preserve">  Other parties addressed potential harmonization benefits in </w:t>
      </w:r>
      <w:r w:rsidR="2B9794B1">
        <w:rPr>
          <w:rFonts w:eastAsia="ArialMT"/>
        </w:rPr>
        <w:t xml:space="preserve">use of </w:t>
      </w:r>
      <w:r w:rsidR="78184DAF">
        <w:rPr>
          <w:rFonts w:eastAsia="ArialMT"/>
        </w:rPr>
        <w:t>the</w:t>
      </w:r>
      <w:r w:rsidRPr="00DB2696" w:rsidR="6CA6AA34">
        <w:rPr>
          <w:rFonts w:eastAsia="ArialMT"/>
        </w:rPr>
        <w:t xml:space="preserve"> 57-64 GHz band</w:t>
      </w:r>
      <w:r w:rsidR="78184DAF">
        <w:rPr>
          <w:rFonts w:eastAsia="ArialMT"/>
        </w:rPr>
        <w:t>,</w:t>
      </w:r>
      <w:r>
        <w:rPr>
          <w:rStyle w:val="FootnoteReference"/>
          <w:rFonts w:eastAsia="ArialMT"/>
        </w:rPr>
        <w:footnoteReference w:id="80"/>
      </w:r>
      <w:r w:rsidRPr="00DB2696" w:rsidR="77DE37A7">
        <w:rPr>
          <w:rFonts w:eastAsia="ArialMT"/>
        </w:rPr>
        <w:t xml:space="preserve"> </w:t>
      </w:r>
      <w:r w:rsidR="08ABD0D8">
        <w:rPr>
          <w:rFonts w:eastAsia="ArialMT"/>
        </w:rPr>
        <w:t>a</w:t>
      </w:r>
      <w:r w:rsidR="75CA5D62">
        <w:rPr>
          <w:rFonts w:eastAsia="ArialMT"/>
        </w:rPr>
        <w:t>nd suggested that</w:t>
      </w:r>
      <w:r w:rsidRPr="0816040A" w:rsidR="2BFD81C2">
        <w:t xml:space="preserve"> minimizing the level of interference from FDS devices used outdoors in hand-held devices</w:t>
      </w:r>
      <w:r w:rsidR="2ED143BC">
        <w:t xml:space="preserve"> would </w:t>
      </w:r>
      <w:r w:rsidR="75CA5D62">
        <w:t xml:space="preserve">be useful to </w:t>
      </w:r>
      <w:r w:rsidR="2ED143BC">
        <w:t>facili</w:t>
      </w:r>
      <w:r w:rsidR="22DDCAFD">
        <w:t xml:space="preserve">tate </w:t>
      </w:r>
      <w:r w:rsidR="66F5BC64">
        <w:t xml:space="preserve">compatibility with future </w:t>
      </w:r>
      <w:r w:rsidR="66F5BC64">
        <w:t>generations</w:t>
      </w:r>
      <w:r w:rsidRPr="0816040A" w:rsidR="22DDCAFD">
        <w:t xml:space="preserve"> of point-to-point radios</w:t>
      </w:r>
      <w:r w:rsidRPr="0816040A" w:rsidR="2BFD81C2">
        <w:t xml:space="preserve"> </w:t>
      </w:r>
      <w:r w:rsidR="66F5BC64">
        <w:t>that are expected to feature the band segment</w:t>
      </w:r>
      <w:r w:rsidRPr="0816040A" w:rsidR="74010EA9">
        <w:t>.</w:t>
      </w:r>
      <w:r>
        <w:rPr>
          <w:rStyle w:val="FootnoteReference"/>
        </w:rPr>
        <w:footnoteReference w:id="81"/>
      </w:r>
      <w:r w:rsidR="0F5610B1">
        <w:t xml:space="preserve">  T</w:t>
      </w:r>
      <w:r w:rsidR="1AC33EC8">
        <w:t xml:space="preserve">o protect communications devices’ </w:t>
      </w:r>
      <w:r w:rsidR="11792916">
        <w:t>a</w:t>
      </w:r>
      <w:r w:rsidR="1AC33EC8">
        <w:t>bility to access the spectrum</w:t>
      </w:r>
      <w:r w:rsidR="11792916">
        <w:t xml:space="preserve"> </w:t>
      </w:r>
      <w:r w:rsidR="1AC33EC8">
        <w:t xml:space="preserve">amidst radars’ repetitive transmission bursts, a </w:t>
      </w:r>
      <w:r w:rsidR="11792916">
        <w:t xml:space="preserve">Joint Comment from Intel </w:t>
      </w:r>
      <w:r w:rsidR="39E7EEC9">
        <w:t>Corporation, Meta</w:t>
      </w:r>
      <w:r w:rsidR="35ABDFBA">
        <w:t xml:space="preserve"> P</w:t>
      </w:r>
      <w:r w:rsidR="39E7EEC9">
        <w:t>latforms Inc. and Qualcomm Incorporated propose</w:t>
      </w:r>
      <w:r w:rsidR="2D926FAA">
        <w:t>d</w:t>
      </w:r>
      <w:r w:rsidR="39E7EEC9">
        <w:t xml:space="preserve"> </w:t>
      </w:r>
      <w:r w:rsidR="19945C37">
        <w:t>that</w:t>
      </w:r>
      <w:r w:rsidR="39E7EEC9">
        <w:t xml:space="preserve"> FDS devices limit their operating bandwidth to certain partitions of the 57-64 GHz band </w:t>
      </w:r>
      <w:r w:rsidR="3B76582C">
        <w:t xml:space="preserve">if using </w:t>
      </w:r>
      <w:r w:rsidR="39E7EEC9">
        <w:t xml:space="preserve">higher power levels </w:t>
      </w:r>
      <w:r w:rsidR="218B80CB">
        <w:t xml:space="preserve">and </w:t>
      </w:r>
      <w:r w:rsidR="39E7EEC9">
        <w:t>subject to strict duty cycles.</w:t>
      </w:r>
      <w:r>
        <w:rPr>
          <w:rStyle w:val="FootnoteReference"/>
        </w:rPr>
        <w:footnoteReference w:id="82"/>
      </w:r>
      <w:r w:rsidR="7569B572">
        <w:t xml:space="preserve"> </w:t>
      </w:r>
      <w:r w:rsidR="1AC33EC8">
        <w:t xml:space="preserve"> </w:t>
      </w:r>
      <w:r w:rsidR="5F5508D7">
        <w:t>The radar</w:t>
      </w:r>
      <w:r w:rsidR="1AC33EC8">
        <w:t xml:space="preserve"> industry</w:t>
      </w:r>
      <w:r w:rsidR="5F5508D7">
        <w:t xml:space="preserve"> initially</w:t>
      </w:r>
      <w:r w:rsidR="7A10E492">
        <w:t xml:space="preserve"> opposed this approach</w:t>
      </w:r>
      <w:r w:rsidR="262327A0">
        <w:t>.</w:t>
      </w:r>
      <w:r>
        <w:rPr>
          <w:rStyle w:val="FootnoteReference"/>
        </w:rPr>
        <w:footnoteReference w:id="83"/>
      </w:r>
      <w:r w:rsidR="1AC33EC8">
        <w:t xml:space="preserve">  </w:t>
      </w:r>
    </w:p>
    <w:p w:rsidR="00A05B4B" w:rsidP="00F13E1B" w14:paraId="442B5965" w14:textId="5639421A">
      <w:pPr>
        <w:pStyle w:val="ParaNum"/>
      </w:pPr>
      <w:r>
        <w:t xml:space="preserve">Ultimately, </w:t>
      </w:r>
      <w:r w:rsidR="00A65791">
        <w:t xml:space="preserve">parties representing both FDS and communications interests </w:t>
      </w:r>
      <w:r w:rsidR="00E20688">
        <w:t xml:space="preserve">found common ground in </w:t>
      </w:r>
      <w:r w:rsidR="0024648D">
        <w:t xml:space="preserve">a soft segmentation </w:t>
      </w:r>
      <w:r w:rsidR="004F7076">
        <w:t xml:space="preserve">approach to </w:t>
      </w:r>
      <w:r w:rsidR="0024648D">
        <w:t xml:space="preserve">the 57-64 GHz band.  </w:t>
      </w:r>
      <w:r w:rsidR="00D9305B">
        <w:t>As discussed above, t</w:t>
      </w:r>
      <w:r>
        <w:t xml:space="preserve">he </w:t>
      </w:r>
      <w:r w:rsidR="00335DB3">
        <w:t>Industry Consensus Agreement</w:t>
      </w:r>
      <w:r w:rsidR="00D07FFB">
        <w:t xml:space="preserve"> proposes </w:t>
      </w:r>
      <w:r w:rsidR="00C335D0">
        <w:t xml:space="preserve">three </w:t>
      </w:r>
      <w:r w:rsidR="00F7047A">
        <w:t xml:space="preserve">segments within </w:t>
      </w:r>
      <w:r w:rsidR="00D07FFB">
        <w:t>the 57</w:t>
      </w:r>
      <w:r w:rsidR="00F7047A">
        <w:noBreakHyphen/>
      </w:r>
      <w:r w:rsidR="00D07FFB">
        <w:t>64 GH</w:t>
      </w:r>
      <w:r w:rsidR="00734646">
        <w:t>z</w:t>
      </w:r>
      <w:r w:rsidR="008826BA">
        <w:t xml:space="preserve"> band, </w:t>
      </w:r>
      <w:r w:rsidR="00400703">
        <w:t>correspond</w:t>
      </w:r>
      <w:r w:rsidR="008826BA">
        <w:t>ing</w:t>
      </w:r>
      <w:r w:rsidR="00400703">
        <w:t xml:space="preserve"> </w:t>
      </w:r>
      <w:r w:rsidR="003141D0">
        <w:t xml:space="preserve">respectively </w:t>
      </w:r>
      <w:r w:rsidR="00400703">
        <w:t xml:space="preserve">to </w:t>
      </w:r>
      <w:r w:rsidR="00400703">
        <w:t>WiGig</w:t>
      </w:r>
      <w:r w:rsidR="00400703">
        <w:t xml:space="preserve"> Channel 1</w:t>
      </w:r>
      <w:r w:rsidR="00EF33E7">
        <w:t xml:space="preserve"> </w:t>
      </w:r>
      <w:r w:rsidR="00377142">
        <w:t>(</w:t>
      </w:r>
      <w:r w:rsidR="00EF33E7">
        <w:t>57</w:t>
      </w:r>
      <w:r w:rsidR="00377142">
        <w:t>.0</w:t>
      </w:r>
      <w:r w:rsidR="00EF33E7">
        <w:t>-59.4</w:t>
      </w:r>
      <w:r w:rsidR="00377142">
        <w:t xml:space="preserve"> GHz)</w:t>
      </w:r>
      <w:r w:rsidR="00400703">
        <w:t xml:space="preserve">, </w:t>
      </w:r>
      <w:r w:rsidR="00400703">
        <w:t>W</w:t>
      </w:r>
      <w:r w:rsidR="003141D0">
        <w:t>i</w:t>
      </w:r>
      <w:r w:rsidR="00400703">
        <w:t>Gig</w:t>
      </w:r>
      <w:r w:rsidR="00400703">
        <w:t xml:space="preserve"> Channels 1</w:t>
      </w:r>
      <w:r w:rsidR="00644364">
        <w:t>-</w:t>
      </w:r>
      <w:r w:rsidR="00400703">
        <w:t>2</w:t>
      </w:r>
      <w:r w:rsidR="007572B6">
        <w:t xml:space="preserve"> (57.0-61.56 GHz)</w:t>
      </w:r>
      <w:r w:rsidR="00400703">
        <w:t xml:space="preserve">, and </w:t>
      </w:r>
      <w:r w:rsidR="00400703">
        <w:t>WiGig</w:t>
      </w:r>
      <w:r w:rsidR="00400703">
        <w:t xml:space="preserve"> Channels 1-3</w:t>
      </w:r>
      <w:r w:rsidR="007572B6">
        <w:t xml:space="preserve"> </w:t>
      </w:r>
      <w:r w:rsidR="00623467">
        <w:t>(</w:t>
      </w:r>
      <w:r w:rsidR="007572B6">
        <w:t>57</w:t>
      </w:r>
      <w:r w:rsidR="00623467">
        <w:t>-64 GHz)</w:t>
      </w:r>
      <w:r w:rsidR="00400703">
        <w:t>.</w:t>
      </w:r>
      <w:r>
        <w:rPr>
          <w:rStyle w:val="FootnoteReference"/>
        </w:rPr>
        <w:footnoteReference w:id="84"/>
      </w:r>
      <w:r w:rsidR="00400703">
        <w:t xml:space="preserve"> </w:t>
      </w:r>
      <w:r w:rsidR="008A6DB2">
        <w:t xml:space="preserve"> </w:t>
      </w:r>
      <w:r w:rsidR="00701B90">
        <w:t>T</w:t>
      </w:r>
      <w:r w:rsidR="008A6DB2">
        <w:t>he</w:t>
      </w:r>
      <w:r w:rsidR="005F6B1D">
        <w:t xml:space="preserve"> </w:t>
      </w:r>
      <w:r w:rsidRPr="46A38630" w:rsidR="005F6B1D">
        <w:t>Pulse Radar Joint Agreemen</w:t>
      </w:r>
      <w:r w:rsidR="00701B90">
        <w:t>t</w:t>
      </w:r>
      <w:r w:rsidR="008A6DB2">
        <w:t xml:space="preserve"> </w:t>
      </w:r>
      <w:r w:rsidR="00701B90">
        <w:t xml:space="preserve">also envisions use of </w:t>
      </w:r>
      <w:r w:rsidR="00884426">
        <w:t xml:space="preserve">the </w:t>
      </w:r>
      <w:r w:rsidRPr="00FC3029" w:rsidR="008A6DB2">
        <w:t>57-64 GHz band</w:t>
      </w:r>
      <w:r w:rsidR="00701B90">
        <w:t xml:space="preserve">, but under </w:t>
      </w:r>
      <w:r w:rsidR="00940DB0">
        <w:t>separate provisions designed to accommodate the technical characteristics of pulse radars</w:t>
      </w:r>
      <w:r w:rsidR="00E23015">
        <w:t xml:space="preserve">, as discussed </w:t>
      </w:r>
      <w:r w:rsidR="002A0140">
        <w:rPr>
          <w:i/>
          <w:iCs/>
        </w:rPr>
        <w:t>supra</w:t>
      </w:r>
      <w:r w:rsidR="005821E3">
        <w:t>.</w:t>
      </w:r>
      <w:r>
        <w:rPr>
          <w:rStyle w:val="FootnoteReference"/>
        </w:rPr>
        <w:footnoteReference w:id="85"/>
      </w:r>
      <w:r w:rsidR="00771538">
        <w:t xml:space="preserve">  </w:t>
      </w:r>
      <w:r w:rsidR="00DA5C76">
        <w:t>Adopting</w:t>
      </w:r>
      <w:r w:rsidR="00771538">
        <w:t xml:space="preserve"> rules for use of the 57-64 GHz band that </w:t>
      </w:r>
      <w:r w:rsidR="00646E74">
        <w:t xml:space="preserve">account for the existing </w:t>
      </w:r>
      <w:r w:rsidR="00646E74">
        <w:t>WiGig</w:t>
      </w:r>
      <w:r w:rsidR="00646E74">
        <w:t xml:space="preserve"> channelization plan</w:t>
      </w:r>
      <w:r w:rsidR="00DA5C76">
        <w:t xml:space="preserve"> is preferable to the</w:t>
      </w:r>
      <w:r w:rsidR="009A58A1">
        <w:t xml:space="preserve"> initial </w:t>
      </w:r>
      <w:r w:rsidRPr="59CB47AA" w:rsidR="00D641F2">
        <w:rPr>
          <w:i/>
          <w:iCs/>
        </w:rPr>
        <w:t>NPRM</w:t>
      </w:r>
      <w:r w:rsidR="00D641F2">
        <w:t xml:space="preserve"> </w:t>
      </w:r>
      <w:r w:rsidR="009A58A1">
        <w:t xml:space="preserve">proposal because it </w:t>
      </w:r>
      <w:r w:rsidR="00476377">
        <w:t>provides</w:t>
      </w:r>
      <w:r w:rsidR="00317293">
        <w:t xml:space="preserve"> </w:t>
      </w:r>
      <w:r w:rsidR="00576658">
        <w:t>a level of compatibility</w:t>
      </w:r>
      <w:r w:rsidR="009A58A1">
        <w:t xml:space="preserve"> </w:t>
      </w:r>
      <w:r w:rsidR="00DC3132">
        <w:t>among unlicensed device types</w:t>
      </w:r>
      <w:r w:rsidR="00576658">
        <w:t xml:space="preserve"> </w:t>
      </w:r>
      <w:r w:rsidR="00180FB4">
        <w:t xml:space="preserve">without imposing </w:t>
      </w:r>
      <w:r w:rsidR="00AE0D05">
        <w:t xml:space="preserve">uniformly low power levels and </w:t>
      </w:r>
      <w:r w:rsidR="00AA5937">
        <w:t xml:space="preserve">band-wide </w:t>
      </w:r>
      <w:r w:rsidR="00AE0D05">
        <w:t>duty cycle</w:t>
      </w:r>
      <w:r w:rsidR="00AA5937">
        <w:t xml:space="preserve"> limitations that </w:t>
      </w:r>
      <w:r w:rsidR="00DA74E5">
        <w:t xml:space="preserve">parties indicated </w:t>
      </w:r>
      <w:r w:rsidR="00796211">
        <w:t xml:space="preserve">would </w:t>
      </w:r>
      <w:r w:rsidR="00D14667">
        <w:t>retard</w:t>
      </w:r>
      <w:r w:rsidR="00DE11EB">
        <w:t xml:space="preserve"> continued use and </w:t>
      </w:r>
      <w:r w:rsidR="00C521D4">
        <w:t>development of the band.</w:t>
      </w:r>
      <w:r>
        <w:rPr>
          <w:rStyle w:val="FootnoteReference"/>
        </w:rPr>
        <w:footnoteReference w:id="86"/>
      </w:r>
      <w:r w:rsidR="00633F42">
        <w:t xml:space="preserve"> </w:t>
      </w:r>
      <w:r w:rsidR="00981BF1">
        <w:t xml:space="preserve"> Therefore, we are adopting the soft segmentation plan</w:t>
      </w:r>
      <w:r w:rsidR="00915CD9">
        <w:t xml:space="preserve"> </w:t>
      </w:r>
      <w:r w:rsidR="00F36B69">
        <w:t>as specified in the Industry Consens</w:t>
      </w:r>
      <w:r w:rsidR="003C2256">
        <w:t>us Agreement</w:t>
      </w:r>
      <w:r w:rsidR="00ED2C6D">
        <w:t xml:space="preserve"> and </w:t>
      </w:r>
      <w:r w:rsidR="00CC14FA">
        <w:t xml:space="preserve">the technical </w:t>
      </w:r>
      <w:r w:rsidR="008F112F">
        <w:t>par</w:t>
      </w:r>
      <w:r w:rsidR="007B73F4">
        <w:t>ameters for</w:t>
      </w:r>
      <w:r w:rsidR="00CC14FA">
        <w:t xml:space="preserve"> pulse radar</w:t>
      </w:r>
      <w:r w:rsidR="007B73F4">
        <w:t>s</w:t>
      </w:r>
      <w:r w:rsidR="00CC14FA">
        <w:t xml:space="preserve"> as specified in the </w:t>
      </w:r>
      <w:r w:rsidR="00054294">
        <w:t>P</w:t>
      </w:r>
      <w:r w:rsidR="00530DE8">
        <w:t>ulse Radar Joint Agreement</w:t>
      </w:r>
      <w:r w:rsidR="003C2256">
        <w:t>.</w:t>
      </w:r>
    </w:p>
    <w:p w:rsidR="00F13E1B" w:rsidP="00F13E1B" w14:paraId="17B4C99D" w14:textId="51FCD0FD">
      <w:pPr>
        <w:pStyle w:val="ParaNum"/>
      </w:pPr>
      <w:r w:rsidRPr="59CB47AA">
        <w:rPr>
          <w:i/>
          <w:iCs/>
        </w:rPr>
        <w:t xml:space="preserve">EIRP Limits.  </w:t>
      </w:r>
      <w:r w:rsidR="042EB67F">
        <w:t xml:space="preserve">In the </w:t>
      </w:r>
      <w:r w:rsidRPr="59CB47AA" w:rsidR="00EE214C">
        <w:rPr>
          <w:i/>
          <w:iCs/>
        </w:rPr>
        <w:t>NPRM</w:t>
      </w:r>
      <w:r w:rsidR="042EB67F">
        <w:t xml:space="preserve">, the Commission </w:t>
      </w:r>
      <w:r w:rsidRPr="00FC3029" w:rsidR="66F3099E">
        <w:t>propose</w:t>
      </w:r>
      <w:r w:rsidR="042EB67F">
        <w:t>d</w:t>
      </w:r>
      <w:r w:rsidRPr="00FC3029" w:rsidR="66F3099E">
        <w:t xml:space="preserve"> allow</w:t>
      </w:r>
      <w:r w:rsidR="00D27F7F">
        <w:t>ing</w:t>
      </w:r>
      <w:r w:rsidRPr="00FC3029" w:rsidR="66F3099E">
        <w:t xml:space="preserve"> FDS devices to operate at no more than 20 dBm </w:t>
      </w:r>
      <w:r w:rsidR="66F3099E">
        <w:t xml:space="preserve">average </w:t>
      </w:r>
      <w:r w:rsidRPr="00FC3029" w:rsidR="66F3099E">
        <w:t>EIRP</w:t>
      </w:r>
      <w:r w:rsidR="00B059B7">
        <w:t xml:space="preserve"> and asked parties that opposed those limits to propose appropriate parameters</w:t>
      </w:r>
      <w:r w:rsidRPr="00FC3029" w:rsidR="66F3099E">
        <w:t>.</w:t>
      </w:r>
      <w:r>
        <w:rPr>
          <w:rStyle w:val="FootnoteReference"/>
        </w:rPr>
        <w:footnoteReference w:id="87"/>
      </w:r>
      <w:r w:rsidRPr="00FC3029" w:rsidR="66F3099E">
        <w:t xml:space="preserve">  </w:t>
      </w:r>
      <w:r w:rsidRPr="00FC3029" w:rsidR="18A1DBB9">
        <w:t xml:space="preserve">This proposed EIRP limit is higher than the </w:t>
      </w:r>
      <w:r w:rsidR="005F0AEB">
        <w:t xml:space="preserve">existing </w:t>
      </w:r>
      <w:r w:rsidR="006D3EEC">
        <w:t xml:space="preserve">limit in the rules which </w:t>
      </w:r>
      <w:r w:rsidR="00D3326F">
        <w:t>permits fixed FDS devices to operate at</w:t>
      </w:r>
      <w:r w:rsidR="00236BC3">
        <w:t xml:space="preserve"> no more than </w:t>
      </w:r>
      <w:r w:rsidR="00441B99">
        <w:t>10 dBm</w:t>
      </w:r>
      <w:r w:rsidR="00045A34">
        <w:t xml:space="preserve"> peak EIRP and is also higher than </w:t>
      </w:r>
      <w:r w:rsidRPr="00FC3029" w:rsidR="18A1DBB9">
        <w:t>the level requested in the multiple waivers that we</w:t>
      </w:r>
      <w:r w:rsidR="18A1DBB9">
        <w:t>re</w:t>
      </w:r>
      <w:r w:rsidRPr="00FC3029" w:rsidR="18A1DBB9">
        <w:t xml:space="preserve"> </w:t>
      </w:r>
      <w:r w:rsidR="18A1DBB9">
        <w:t>granted,</w:t>
      </w:r>
      <w:r>
        <w:rPr>
          <w:rStyle w:val="FootnoteReference"/>
          <w:color w:val="000000"/>
        </w:rPr>
        <w:footnoteReference w:id="88"/>
      </w:r>
      <w:r w:rsidRPr="00FC3029" w:rsidR="18A1DBB9">
        <w:t xml:space="preserve"> </w:t>
      </w:r>
      <w:r w:rsidR="18A1DBB9">
        <w:t xml:space="preserve">but </w:t>
      </w:r>
      <w:r w:rsidRPr="00FC3029" w:rsidR="18A1DBB9">
        <w:t>is consistent with ETSI EN 305 550.</w:t>
      </w:r>
      <w:r w:rsidRPr="00FC3029" w:rsidR="52E716EF">
        <w:t xml:space="preserve">  All of the </w:t>
      </w:r>
      <w:r w:rsidR="00DC31B2">
        <w:t>g</w:t>
      </w:r>
      <w:r w:rsidR="009F047F">
        <w:t>r</w:t>
      </w:r>
      <w:r w:rsidR="00DC31B2">
        <w:t xml:space="preserve">anted </w:t>
      </w:r>
      <w:r w:rsidRPr="00FC3029" w:rsidR="52E716EF">
        <w:t>waiver</w:t>
      </w:r>
      <w:r w:rsidR="00DC31B2">
        <w:t>s</w:t>
      </w:r>
      <w:r w:rsidRPr="00FC3029" w:rsidR="52E716EF">
        <w:t xml:space="preserve"> </w:t>
      </w:r>
      <w:r w:rsidR="000304A9">
        <w:t xml:space="preserve">permit </w:t>
      </w:r>
      <w:r w:rsidR="00053DDC">
        <w:t xml:space="preserve">operation at </w:t>
      </w:r>
      <w:r w:rsidRPr="00FC3029" w:rsidR="52E716EF">
        <w:t xml:space="preserve">13 dBm </w:t>
      </w:r>
      <w:r w:rsidR="6AD80402">
        <w:t xml:space="preserve">peak </w:t>
      </w:r>
      <w:r w:rsidRPr="00FC3029" w:rsidR="52E716EF">
        <w:t xml:space="preserve">EIRP to provide greater accuracy and </w:t>
      </w:r>
      <w:r w:rsidR="52E716EF">
        <w:t>finer resolution</w:t>
      </w:r>
      <w:r w:rsidRPr="00FC3029" w:rsidR="52E716EF">
        <w:t xml:space="preserve"> imaging</w:t>
      </w:r>
      <w:r w:rsidR="005B7ABB">
        <w:t xml:space="preserve"> than the </w:t>
      </w:r>
      <w:r w:rsidR="007B6C81">
        <w:t>10 dBm</w:t>
      </w:r>
      <w:r w:rsidR="00C133BF">
        <w:t xml:space="preserve"> permitted in the rules</w:t>
      </w:r>
      <w:r w:rsidRPr="00FC3029" w:rsidR="52E716EF">
        <w:t xml:space="preserve">.  </w:t>
      </w:r>
      <w:r w:rsidR="00AD5DAA">
        <w:t xml:space="preserve">The waiver </w:t>
      </w:r>
      <w:r w:rsidR="00DE1A22">
        <w:t xml:space="preserve">requesters argued that </w:t>
      </w:r>
      <w:r w:rsidR="00FD3ABF">
        <w:t xml:space="preserve">such higher power is necessary </w:t>
      </w:r>
      <w:r w:rsidR="00C0536F">
        <w:t xml:space="preserve">to achieve the </w:t>
      </w:r>
      <w:r w:rsidR="00B510DE">
        <w:t xml:space="preserve">necessary accuracy </w:t>
      </w:r>
      <w:r w:rsidR="00C0536F">
        <w:t xml:space="preserve">needed to detect </w:t>
      </w:r>
      <w:r w:rsidR="00B510DE">
        <w:t xml:space="preserve">small-size targets due to poor signal-to-noise ratio </w:t>
      </w:r>
      <w:r w:rsidR="00EC2988">
        <w:t>conditions.</w:t>
      </w:r>
      <w:r>
        <w:rPr>
          <w:rStyle w:val="FootnoteReference"/>
        </w:rPr>
        <w:footnoteReference w:id="89"/>
      </w:r>
      <w:r w:rsidR="001C7574">
        <w:t xml:space="preserve">  For example, these</w:t>
      </w:r>
      <w:r w:rsidRPr="00FC3029" w:rsidR="52E716EF">
        <w:t xml:space="preserve"> </w:t>
      </w:r>
      <w:r w:rsidR="00207264">
        <w:t xml:space="preserve">radars </w:t>
      </w:r>
      <w:r w:rsidR="00A707D3">
        <w:t xml:space="preserve">are </w:t>
      </w:r>
      <w:r w:rsidRPr="00FC3029" w:rsidR="52E716EF">
        <w:t xml:space="preserve">intended </w:t>
      </w:r>
      <w:r w:rsidR="005F6D7E">
        <w:t xml:space="preserve">to detect </w:t>
      </w:r>
      <w:r w:rsidR="00C84E34">
        <w:t>movement or objects</w:t>
      </w:r>
      <w:r w:rsidRPr="00FC3029" w:rsidR="52E716EF">
        <w:t xml:space="preserve"> in the sub-millimeter </w:t>
      </w:r>
      <w:r w:rsidRPr="00FC3029" w:rsidR="52E716EF">
        <w:t>range such as the breathing patterns of a child in a car seat,</w:t>
      </w:r>
      <w:r>
        <w:rPr>
          <w:rStyle w:val="FootnoteReference"/>
          <w:color w:val="000000"/>
        </w:rPr>
        <w:footnoteReference w:id="90"/>
      </w:r>
      <w:r w:rsidRPr="00FC3029" w:rsidR="52E716EF">
        <w:t xml:space="preserve"> or </w:t>
      </w:r>
      <w:r w:rsidR="52E716EF">
        <w:t xml:space="preserve">as in the case of Leica </w:t>
      </w:r>
      <w:r w:rsidRPr="00C568A0" w:rsidR="52E716EF">
        <w:t>Geosystems AG</w:t>
      </w:r>
      <w:r w:rsidR="52E716EF">
        <w:t xml:space="preserve">, </w:t>
      </w:r>
      <w:r w:rsidRPr="00FC3029" w:rsidR="52E716EF">
        <w:t>thin cables as small as 2.5 mm in diameter</w:t>
      </w:r>
      <w:r w:rsidR="00A16598">
        <w:t>.</w:t>
      </w:r>
      <w:r>
        <w:rPr>
          <w:rStyle w:val="FootnoteReference"/>
          <w:color w:val="000000"/>
        </w:rPr>
        <w:footnoteReference w:id="91"/>
      </w:r>
      <w:r w:rsidRPr="00FC3029" w:rsidR="66F3099E">
        <w:t xml:space="preserve">  </w:t>
      </w:r>
    </w:p>
    <w:p w:rsidR="00DE4F63" w:rsidRPr="00DE4F63" w:rsidP="00F13E1B" w14:paraId="0EAF000D" w14:textId="7E39152B">
      <w:pPr>
        <w:pStyle w:val="ParaNum"/>
      </w:pPr>
      <w:r>
        <w:t xml:space="preserve">Radar </w:t>
      </w:r>
      <w:r w:rsidR="5404C9DB">
        <w:t>proponents</w:t>
      </w:r>
      <w:r>
        <w:t xml:space="preserve"> strongly support</w:t>
      </w:r>
      <w:r w:rsidR="7F6FA0C3">
        <w:t>ed</w:t>
      </w:r>
      <w:r>
        <w:t xml:space="preserve"> the proposed </w:t>
      </w:r>
      <w:r w:rsidR="7C309646">
        <w:t>20 dBm</w:t>
      </w:r>
      <w:r w:rsidR="709319AF">
        <w:t xml:space="preserve"> average</w:t>
      </w:r>
      <w:r>
        <w:t xml:space="preserve"> </w:t>
      </w:r>
      <w:r w:rsidR="7CC553C7">
        <w:t xml:space="preserve">EIRP </w:t>
      </w:r>
      <w:r>
        <w:t>power limit</w:t>
      </w:r>
      <w:r w:rsidR="7F6FA0C3">
        <w:t xml:space="preserve">, claiming it </w:t>
      </w:r>
      <w:r w:rsidR="67E3C10B">
        <w:t>is</w:t>
      </w:r>
      <w:r w:rsidR="67AECFC1">
        <w:t xml:space="preserve"> needed to provide the </w:t>
      </w:r>
      <w:r w:rsidR="6EA2C502">
        <w:t xml:space="preserve">range and </w:t>
      </w:r>
      <w:r w:rsidR="56907680">
        <w:t xml:space="preserve">sensing detail </w:t>
      </w:r>
      <w:r w:rsidR="70BE61AF">
        <w:t xml:space="preserve">necessary for many applications, including those that support </w:t>
      </w:r>
      <w:r w:rsidR="7E2C28A2">
        <w:t>health and safety</w:t>
      </w:r>
      <w:r>
        <w:t>.</w:t>
      </w:r>
      <w:r>
        <w:rPr>
          <w:rStyle w:val="FootnoteReference"/>
        </w:rPr>
        <w:footnoteReference w:id="92"/>
      </w:r>
      <w:r w:rsidR="7CC553C7">
        <w:t xml:space="preserve">  </w:t>
      </w:r>
      <w:r w:rsidR="58769381">
        <w:t xml:space="preserve">In addition, many of these parties </w:t>
      </w:r>
      <w:r w:rsidRPr="695573F5" w:rsidR="2206D745">
        <w:t xml:space="preserve">submitted </w:t>
      </w:r>
      <w:r w:rsidRPr="695573F5" w:rsidR="637885B6">
        <w:t xml:space="preserve">technical studies </w:t>
      </w:r>
      <w:r w:rsidR="6C0F1B65">
        <w:t>purporting to</w:t>
      </w:r>
      <w:r w:rsidRPr="695573F5" w:rsidR="637885B6">
        <w:t xml:space="preserve"> demonstrate that radars operating at higher power than currently allowed in the rules </w:t>
      </w:r>
      <w:r w:rsidR="6C0F1B65">
        <w:t>would</w:t>
      </w:r>
      <w:r w:rsidRPr="695573F5" w:rsidR="637885B6">
        <w:t xml:space="preserve"> not cause harmful interference to </w:t>
      </w:r>
      <w:r w:rsidRPr="695573F5" w:rsidR="72620EFB">
        <w:t>communication devices in the band</w:t>
      </w:r>
      <w:r w:rsidRPr="695573F5" w:rsidR="29A302F3">
        <w:t>.</w:t>
      </w:r>
      <w:r>
        <w:rPr>
          <w:rStyle w:val="FootnoteReference"/>
        </w:rPr>
        <w:footnoteReference w:id="93"/>
      </w:r>
      <w:r w:rsidR="28F1B57F">
        <w:t xml:space="preserve">  </w:t>
      </w:r>
      <w:r w:rsidRPr="695573F5" w:rsidR="62A70135">
        <w:t xml:space="preserve">On the other hand, </w:t>
      </w:r>
      <w:r w:rsidRPr="695573F5" w:rsidR="28A781EE">
        <w:t>F</w:t>
      </w:r>
      <w:r w:rsidR="667A6702">
        <w:t>acebook</w:t>
      </w:r>
      <w:r w:rsidRPr="695573F5" w:rsidR="28A781EE">
        <w:t>/I</w:t>
      </w:r>
      <w:r w:rsidR="274EC4B6">
        <w:t>ntel Corporation</w:t>
      </w:r>
      <w:r w:rsidRPr="695573F5" w:rsidR="28A781EE">
        <w:t xml:space="preserve">/Qualcomm </w:t>
      </w:r>
      <w:r w:rsidR="274EC4B6">
        <w:t xml:space="preserve">Incorporated </w:t>
      </w:r>
      <w:r w:rsidRPr="695573F5" w:rsidR="47ED9043">
        <w:t xml:space="preserve">(FB </w:t>
      </w:r>
      <w:r w:rsidRPr="4A1C0502" w:rsidR="47ED9043">
        <w:rPr>
          <w:i/>
          <w:iCs/>
        </w:rPr>
        <w:t>et al</w:t>
      </w:r>
      <w:r w:rsidRPr="006A0766" w:rsidR="47ED9043">
        <w:rPr>
          <w:szCs w:val="22"/>
        </w:rPr>
        <w:t xml:space="preserve">) </w:t>
      </w:r>
      <w:r w:rsidRPr="695573F5" w:rsidR="0D0FB4A6">
        <w:t xml:space="preserve">argue that </w:t>
      </w:r>
      <w:r w:rsidRPr="695573F5" w:rsidR="320041E5">
        <w:t xml:space="preserve">radar operations at the proposed 20 dBm EIRP level greatly increase the radar device’s zone of interference to communications </w:t>
      </w:r>
      <w:r w:rsidRPr="695573F5" w:rsidR="47ED9043">
        <w:t>devices</w:t>
      </w:r>
      <w:r w:rsidRPr="006A0766" w:rsidR="157A2B03">
        <w:rPr>
          <w:szCs w:val="22"/>
        </w:rPr>
        <w:t xml:space="preserve"> </w:t>
      </w:r>
      <w:r w:rsidRPr="695573F5" w:rsidR="320041E5">
        <w:t>and significantly increases the likelihood that multiple radar devices will interfere with communications</w:t>
      </w:r>
      <w:r w:rsidRPr="695573F5" w:rsidR="157A2B03">
        <w:t xml:space="preserve"> devices</w:t>
      </w:r>
      <w:r w:rsidR="48CEBAD8">
        <w:t>, and suggested that</w:t>
      </w:r>
      <w:r w:rsidRPr="695573F5" w:rsidR="21BD2E6C">
        <w:t xml:space="preserve"> we </w:t>
      </w:r>
      <w:r w:rsidRPr="695573F5" w:rsidR="21F8EFE2">
        <w:t>adopt</w:t>
      </w:r>
      <w:r w:rsidRPr="695573F5" w:rsidR="21BD2E6C">
        <w:t xml:space="preserve"> </w:t>
      </w:r>
      <w:r w:rsidRPr="695573F5" w:rsidR="21F8EFE2">
        <w:t xml:space="preserve">a </w:t>
      </w:r>
      <w:r w:rsidRPr="695573F5" w:rsidR="21BD2E6C">
        <w:t xml:space="preserve">13 dBm </w:t>
      </w:r>
      <w:r w:rsidRPr="695573F5" w:rsidR="402F6207">
        <w:t xml:space="preserve">peak </w:t>
      </w:r>
      <w:r w:rsidRPr="695573F5" w:rsidR="21BD2E6C">
        <w:t xml:space="preserve">EIRP </w:t>
      </w:r>
      <w:r w:rsidRPr="695573F5" w:rsidR="21F8EFE2">
        <w:t xml:space="preserve">limit, the same as that </w:t>
      </w:r>
      <w:r w:rsidRPr="695573F5" w:rsidR="21BD2E6C">
        <w:t>granted in the waivers.</w:t>
      </w:r>
      <w:r>
        <w:rPr>
          <w:rStyle w:val="FootnoteReference"/>
        </w:rPr>
        <w:footnoteReference w:id="94"/>
      </w:r>
      <w:r w:rsidRPr="006A0766" w:rsidR="7D2FFD50">
        <w:rPr>
          <w:szCs w:val="22"/>
        </w:rPr>
        <w:t xml:space="preserve">  </w:t>
      </w:r>
      <w:r w:rsidR="7F55CE5B">
        <w:t xml:space="preserve">Finally, </w:t>
      </w:r>
      <w:r w:rsidRPr="695573F5" w:rsidR="62A70135">
        <w:t>Blu Wireless oppose</w:t>
      </w:r>
      <w:r w:rsidR="62A5F88D">
        <w:t xml:space="preserve">d the </w:t>
      </w:r>
      <w:r w:rsidR="0C830DC3">
        <w:t>Commission’s</w:t>
      </w:r>
      <w:r w:rsidRPr="695573F5" w:rsidR="62A70135">
        <w:t xml:space="preserve"> proposal</w:t>
      </w:r>
      <w:r w:rsidRPr="695573F5" w:rsidR="173807DE">
        <w:t>s</w:t>
      </w:r>
      <w:r w:rsidR="0C830DC3">
        <w:t xml:space="preserve">, </w:t>
      </w:r>
      <w:r w:rsidRPr="695573F5" w:rsidR="3B9CFF04">
        <w:t>argu</w:t>
      </w:r>
      <w:r w:rsidR="0C830DC3">
        <w:t>ing</w:t>
      </w:r>
      <w:r w:rsidRPr="695573F5" w:rsidR="3B9CFF04">
        <w:t xml:space="preserve"> that </w:t>
      </w:r>
      <w:r w:rsidR="55008DA3">
        <w:t xml:space="preserve">regulatory changes are unnecessary because </w:t>
      </w:r>
      <w:r w:rsidRPr="695573F5" w:rsidR="027CEBA8">
        <w:t>the</w:t>
      </w:r>
      <w:r w:rsidRPr="695573F5" w:rsidR="1DDE5A1F">
        <w:t xml:space="preserve"> native IEEE 802.11ad protocol</w:t>
      </w:r>
      <w:r w:rsidRPr="695573F5" w:rsidR="59A25C75">
        <w:t xml:space="preserve"> </w:t>
      </w:r>
      <w:r w:rsidR="43CA5DDF">
        <w:t xml:space="preserve">can be used </w:t>
      </w:r>
      <w:r w:rsidR="58998DDA">
        <w:t>to perform radar</w:t>
      </w:r>
      <w:r w:rsidR="7B3E2EE6">
        <w:t xml:space="preserve"> sensing </w:t>
      </w:r>
      <w:r w:rsidR="7A9455E2">
        <w:t>under the existing rules</w:t>
      </w:r>
      <w:r w:rsidRPr="006A0766" w:rsidR="661DAC9A">
        <w:rPr>
          <w:szCs w:val="22"/>
        </w:rPr>
        <w:t>.</w:t>
      </w:r>
      <w:r>
        <w:rPr>
          <w:rStyle w:val="FootnoteReference"/>
        </w:rPr>
        <w:footnoteReference w:id="95"/>
      </w:r>
      <w:r w:rsidR="0085298E">
        <w:rPr>
          <w:szCs w:val="22"/>
        </w:rPr>
        <w:t xml:space="preserve">  </w:t>
      </w:r>
      <w:r w:rsidRPr="7DE8CC66" w:rsidR="2F30A8FB">
        <w:t xml:space="preserve">However, Google disputed that </w:t>
      </w:r>
      <w:r w:rsidRPr="7DE8CC66" w:rsidR="76D3D2E7">
        <w:t>use of this</w:t>
      </w:r>
      <w:r w:rsidRPr="7DE8CC66" w:rsidR="2F30A8FB">
        <w:t xml:space="preserve"> standard </w:t>
      </w:r>
      <w:r w:rsidR="163F4C8E">
        <w:t xml:space="preserve">and argued that it </w:t>
      </w:r>
      <w:r w:rsidRPr="7DE8CC66" w:rsidR="76D3D2E7">
        <w:t>would</w:t>
      </w:r>
      <w:r w:rsidR="6674B85A">
        <w:rPr>
          <w:szCs w:val="22"/>
        </w:rPr>
        <w:t xml:space="preserve"> </w:t>
      </w:r>
      <w:r w:rsidRPr="7DE8CC66" w:rsidR="76D3D2E7">
        <w:t xml:space="preserve">produce </w:t>
      </w:r>
      <w:r w:rsidR="3CB6206C">
        <w:t>un</w:t>
      </w:r>
      <w:r>
        <w:t>satisfactory</w:t>
      </w:r>
      <w:r w:rsidRPr="7DE8CC66" w:rsidR="2B5D47ED">
        <w:t xml:space="preserve"> outcomes</w:t>
      </w:r>
      <w:r w:rsidRPr="7DE8CC66" w:rsidR="6674B85A">
        <w:t xml:space="preserve"> for many of the anticipated new use cases </w:t>
      </w:r>
      <w:r w:rsidRPr="695573F5" w:rsidR="18F539C1">
        <w:rPr>
          <w:rFonts w:eastAsia="ArialMT"/>
          <w:color w:val="000000"/>
        </w:rPr>
        <w:t>for reasons including performance, complexity and cost.</w:t>
      </w:r>
      <w:r>
        <w:rPr>
          <w:rStyle w:val="FootnoteReference"/>
          <w:rFonts w:eastAsia="ArialMT"/>
        </w:rPr>
        <w:footnoteReference w:id="96"/>
      </w:r>
      <w:r w:rsidRPr="006A0766" w:rsidR="661DAC9A">
        <w:rPr>
          <w:szCs w:val="22"/>
        </w:rPr>
        <w:t xml:space="preserve"> </w:t>
      </w:r>
      <w:r w:rsidRPr="006A0766" w:rsidR="28A5896C">
        <w:rPr>
          <w:szCs w:val="22"/>
        </w:rPr>
        <w:t xml:space="preserve"> </w:t>
      </w:r>
    </w:p>
    <w:p w:rsidR="00F13E1B" w:rsidP="00363BD6" w14:paraId="568445F6" w14:textId="37534979">
      <w:pPr>
        <w:pStyle w:val="ParaNum"/>
      </w:pPr>
      <w:r>
        <w:t xml:space="preserve">We </w:t>
      </w:r>
      <w:r w:rsidR="00012608">
        <w:t>find</w:t>
      </w:r>
      <w:r w:rsidR="00012608">
        <w:rPr>
          <w:rFonts w:eastAsia="ArialMT"/>
        </w:rPr>
        <w:t xml:space="preserve"> that </w:t>
      </w:r>
      <w:r w:rsidRPr="59CB47AA" w:rsidR="0098359C">
        <w:rPr>
          <w:rFonts w:eastAsia="ArialMT"/>
        </w:rPr>
        <w:t xml:space="preserve">the </w:t>
      </w:r>
      <w:r w:rsidRPr="59CB47AA" w:rsidR="00356075">
        <w:rPr>
          <w:rFonts w:eastAsia="ArialMT"/>
        </w:rPr>
        <w:t xml:space="preserve">power limits </w:t>
      </w:r>
      <w:r w:rsidRPr="59CB47AA" w:rsidR="0098359C">
        <w:rPr>
          <w:rFonts w:eastAsia="ArialMT"/>
        </w:rPr>
        <w:t xml:space="preserve">endorsed in </w:t>
      </w:r>
      <w:r w:rsidR="0036106C">
        <w:t xml:space="preserve">the </w:t>
      </w:r>
      <w:r w:rsidR="00335DB3">
        <w:t>Industry Consensus Agreement</w:t>
      </w:r>
      <w:r w:rsidR="0036106C">
        <w:t>, represents the best way forward.</w:t>
      </w:r>
      <w:r w:rsidR="003C7818">
        <w:t xml:space="preserve">  </w:t>
      </w:r>
      <w:r w:rsidR="005D4AC0">
        <w:t>I</w:t>
      </w:r>
      <w:r w:rsidR="00BC6394">
        <w:t>nitial comments demonstrate</w:t>
      </w:r>
      <w:r w:rsidR="005D4AC0">
        <w:t>d</w:t>
      </w:r>
      <w:r w:rsidR="00BC6394">
        <w:t xml:space="preserve"> </w:t>
      </w:r>
      <w:r w:rsidR="000E6CA1">
        <w:t xml:space="preserve">the </w:t>
      </w:r>
      <w:r w:rsidR="00E9409D">
        <w:t>parties</w:t>
      </w:r>
      <w:r w:rsidR="000E6CA1">
        <w:t xml:space="preserve">’ contention </w:t>
      </w:r>
      <w:r w:rsidR="00237B4A">
        <w:t xml:space="preserve">that </w:t>
      </w:r>
      <w:r w:rsidR="00AB1764">
        <w:t>the Commission’s</w:t>
      </w:r>
      <w:r w:rsidR="0049535A">
        <w:t xml:space="preserve"> “one size fits all” </w:t>
      </w:r>
      <w:r w:rsidR="00D951BA">
        <w:t xml:space="preserve">approach </w:t>
      </w:r>
      <w:r w:rsidR="00307559">
        <w:t xml:space="preserve">would </w:t>
      </w:r>
      <w:r w:rsidR="00845DA8">
        <w:t xml:space="preserve">not </w:t>
      </w:r>
      <w:r w:rsidR="00307559">
        <w:t xml:space="preserve">result in </w:t>
      </w:r>
      <w:r w:rsidR="00845DA8">
        <w:t xml:space="preserve">a satisfactory </w:t>
      </w:r>
      <w:r w:rsidR="002553D3">
        <w:t>product performance to support anticipated use models</w:t>
      </w:r>
      <w:r w:rsidR="000B2288">
        <w:t xml:space="preserve">.  </w:t>
      </w:r>
      <w:r w:rsidR="005646FC">
        <w:t xml:space="preserve">We agree </w:t>
      </w:r>
      <w:r w:rsidR="007A6824">
        <w:t xml:space="preserve">with the Industry Consensus Agreement </w:t>
      </w:r>
      <w:r w:rsidR="005646FC">
        <w:t xml:space="preserve">that </w:t>
      </w:r>
      <w:r w:rsidR="00332685">
        <w:t xml:space="preserve">establishing </w:t>
      </w:r>
      <w:r w:rsidR="005646FC">
        <w:t xml:space="preserve">power levels </w:t>
      </w:r>
      <w:r w:rsidR="00A30A1E">
        <w:t xml:space="preserve">for each </w:t>
      </w:r>
      <w:r w:rsidR="005646FC">
        <w:t>band segment</w:t>
      </w:r>
      <w:r w:rsidR="001A38ED">
        <w:t xml:space="preserve"> </w:t>
      </w:r>
      <w:r w:rsidR="005646FC">
        <w:t>of the 57-64 GHz</w:t>
      </w:r>
      <w:r w:rsidR="007B6981">
        <w:t xml:space="preserve"> is </w:t>
      </w:r>
      <w:r w:rsidR="004E57A8">
        <w:t xml:space="preserve">a </w:t>
      </w:r>
      <w:r w:rsidR="00DC09D5">
        <w:t xml:space="preserve">better </w:t>
      </w:r>
      <w:r w:rsidR="004E57A8">
        <w:t>solution</w:t>
      </w:r>
      <w:r w:rsidR="00DC09D5">
        <w:t xml:space="preserve"> fo</w:t>
      </w:r>
      <w:r w:rsidR="005833E8">
        <w:t xml:space="preserve">r </w:t>
      </w:r>
      <w:r w:rsidR="00827B8E">
        <w:t xml:space="preserve">fostering </w:t>
      </w:r>
      <w:r w:rsidR="00FD5BEB">
        <w:t xml:space="preserve">both unlicensed FDS and communications </w:t>
      </w:r>
      <w:r w:rsidR="0093222F">
        <w:t xml:space="preserve">operations </w:t>
      </w:r>
      <w:r w:rsidR="00FD5BEB">
        <w:t>in the 60 GHz band</w:t>
      </w:r>
      <w:r w:rsidR="00234408">
        <w:t xml:space="preserve"> </w:t>
      </w:r>
      <w:r w:rsidR="00DB3541">
        <w:t xml:space="preserve">while </w:t>
      </w:r>
      <w:r w:rsidR="0027124A">
        <w:t xml:space="preserve">enabling a </w:t>
      </w:r>
      <w:r w:rsidR="00DB3541">
        <w:t xml:space="preserve">band sharing approach that can </w:t>
      </w:r>
      <w:r w:rsidR="0054278D">
        <w:t xml:space="preserve">support the </w:t>
      </w:r>
      <w:r w:rsidR="001D33CE">
        <w:t xml:space="preserve">capabilities </w:t>
      </w:r>
      <w:r w:rsidR="0054278D">
        <w:t>envisioned</w:t>
      </w:r>
      <w:r w:rsidR="001D33CE">
        <w:t xml:space="preserve"> </w:t>
      </w:r>
      <w:r w:rsidR="0054278D">
        <w:t>by the commenters</w:t>
      </w:r>
      <w:r w:rsidR="00FD5BEB">
        <w:t>.</w:t>
      </w:r>
      <w:r w:rsidR="00D21A0A">
        <w:t xml:space="preserve">  With respect to the Blu Wireless</w:t>
      </w:r>
      <w:r w:rsidR="003906B9">
        <w:t xml:space="preserve"> comments</w:t>
      </w:r>
      <w:r w:rsidR="00D21A0A">
        <w:t xml:space="preserve">, we note that </w:t>
      </w:r>
      <w:r w:rsidR="0013467E">
        <w:t xml:space="preserve">operations that were permitted under our existing rules </w:t>
      </w:r>
      <w:r w:rsidR="009435B3">
        <w:t>can continue under the revised rules</w:t>
      </w:r>
      <w:r w:rsidR="00C31EDF">
        <w:t xml:space="preserve"> and </w:t>
      </w:r>
      <w:r w:rsidR="00BD1244">
        <w:t xml:space="preserve">parties </w:t>
      </w:r>
      <w:r w:rsidR="00C31EDF">
        <w:t xml:space="preserve">may continue operating </w:t>
      </w:r>
      <w:r w:rsidR="00BD1244">
        <w:t xml:space="preserve">under the </w:t>
      </w:r>
      <w:r w:rsidRPr="695573F5" w:rsidR="00BD1244">
        <w:t>IEEE 802.11ad protocol</w:t>
      </w:r>
      <w:r w:rsidR="000003DF">
        <w:t xml:space="preserve"> if they choose to</w:t>
      </w:r>
      <w:r w:rsidR="00C31EDF">
        <w:t>.</w:t>
      </w:r>
      <w:r w:rsidR="000003DF">
        <w:t xml:space="preserve"> </w:t>
      </w:r>
      <w:r w:rsidR="00C31EDF">
        <w:t xml:space="preserve"> However,</w:t>
      </w:r>
      <w:r w:rsidR="000003DF">
        <w:t xml:space="preserve"> </w:t>
      </w:r>
      <w:r w:rsidR="006C1A99">
        <w:t xml:space="preserve">we find that </w:t>
      </w:r>
      <w:r w:rsidR="00827BEE">
        <w:t xml:space="preserve">there is a </w:t>
      </w:r>
      <w:r w:rsidR="00AE256E">
        <w:t xml:space="preserve">strong public </w:t>
      </w:r>
      <w:r w:rsidR="00827BEE">
        <w:t xml:space="preserve">benefit in </w:t>
      </w:r>
      <w:r w:rsidR="00316663">
        <w:t xml:space="preserve">expanding our rules to </w:t>
      </w:r>
      <w:r w:rsidR="00037132">
        <w:t xml:space="preserve">support the </w:t>
      </w:r>
      <w:r w:rsidR="004A2087">
        <w:t xml:space="preserve">many </w:t>
      </w:r>
      <w:r w:rsidR="00D458FF">
        <w:t xml:space="preserve">innovative applications </w:t>
      </w:r>
      <w:r w:rsidR="004E2BCC">
        <w:t xml:space="preserve">identified by the </w:t>
      </w:r>
      <w:r w:rsidR="00037132">
        <w:t>commenters</w:t>
      </w:r>
      <w:r w:rsidR="0098359C">
        <w:t>, and that setting one power limit for all applications is not necessary</w:t>
      </w:r>
      <w:r w:rsidR="00531456">
        <w:t>.</w:t>
      </w:r>
      <w:r>
        <w:rPr>
          <w:rStyle w:val="FootnoteReference"/>
        </w:rPr>
        <w:footnoteReference w:id="97"/>
      </w:r>
    </w:p>
    <w:p w:rsidR="005847E1" w:rsidP="00363BD6" w14:paraId="7C69173A" w14:textId="123AA988">
      <w:pPr>
        <w:pStyle w:val="ParaNum"/>
      </w:pPr>
      <w:r>
        <w:t>We note that t</w:t>
      </w:r>
      <w:r w:rsidR="236F94BF">
        <w:t xml:space="preserve">horough </w:t>
      </w:r>
      <w:r>
        <w:t xml:space="preserve">technical analyses </w:t>
      </w:r>
      <w:r w:rsidR="00873935">
        <w:t xml:space="preserve">were </w:t>
      </w:r>
      <w:r>
        <w:t>conducted in 202</w:t>
      </w:r>
      <w:r w:rsidR="00CD70A4">
        <w:t>2</w:t>
      </w:r>
      <w:r>
        <w:t xml:space="preserve"> in joint efforts by a Technical Interchange Group (TIG) between the Commission, </w:t>
      </w:r>
      <w:r w:rsidRPr="04997DC8">
        <w:rPr>
          <w:rFonts w:eastAsia="ArialMT"/>
        </w:rPr>
        <w:t>the National Oceanic and Atmospheric Administration (NOAA), the National Aeronautics and Space Administration (NASA)</w:t>
      </w:r>
      <w:r>
        <w:rPr>
          <w:rFonts w:eastAsia="ArialMT"/>
        </w:rPr>
        <w:t>,</w:t>
      </w:r>
      <w:r w:rsidRPr="04997DC8">
        <w:rPr>
          <w:rFonts w:eastAsia="ArialMT"/>
        </w:rPr>
        <w:t xml:space="preserve"> the Department of the Navy, </w:t>
      </w:r>
      <w:r>
        <w:t xml:space="preserve">and the </w:t>
      </w:r>
      <w:r w:rsidRPr="04997DC8">
        <w:rPr>
          <w:rFonts w:eastAsia="ArialMT"/>
        </w:rPr>
        <w:t>National Telecommunications and Information Administration (NTIA)</w:t>
      </w:r>
      <w:r w:rsidR="005310B7">
        <w:rPr>
          <w:rFonts w:eastAsia="ArialMT"/>
        </w:rPr>
        <w:t>.</w:t>
      </w:r>
      <w:r>
        <w:t xml:space="preserve">  NTIA supports the TIG’s consensus conclusion that </w:t>
      </w:r>
      <w:r w:rsidRPr="59CB47AA">
        <w:rPr>
          <w:rFonts w:eastAsiaTheme="minorEastAsia"/>
        </w:rPr>
        <w:t>60 GHz FDS/radars operating at ground level with the proposed power limit</w:t>
      </w:r>
      <w:r w:rsidRPr="59CB47AA" w:rsidR="1FB13FD0">
        <w:rPr>
          <w:rFonts w:eastAsiaTheme="minorEastAsia"/>
        </w:rPr>
        <w:t>s</w:t>
      </w:r>
      <w:r w:rsidRPr="59CB47AA" w:rsidR="67E5F7EB">
        <w:rPr>
          <w:rFonts w:eastAsiaTheme="minorEastAsia"/>
        </w:rPr>
        <w:t xml:space="preserve"> in the </w:t>
      </w:r>
      <w:r w:rsidRPr="59CB47AA" w:rsidR="67E5F7EB">
        <w:rPr>
          <w:rFonts w:eastAsiaTheme="minorEastAsia"/>
          <w:i/>
          <w:iCs/>
        </w:rPr>
        <w:t>NPRM</w:t>
      </w:r>
      <w:r w:rsidRPr="59CB47AA" w:rsidR="06A548A8">
        <w:rPr>
          <w:rFonts w:eastAsiaTheme="minorEastAsia"/>
        </w:rPr>
        <w:t xml:space="preserve"> </w:t>
      </w:r>
      <w:r w:rsidRPr="59CB47AA">
        <w:rPr>
          <w:rFonts w:eastAsiaTheme="minorEastAsia"/>
        </w:rPr>
        <w:t>would not result in harmful interference to passive EESS sensors in this band</w:t>
      </w:r>
      <w:r w:rsidRPr="59CB47AA" w:rsidR="00DB0B04">
        <w:rPr>
          <w:rFonts w:eastAsiaTheme="minorEastAsia"/>
        </w:rPr>
        <w:t xml:space="preserve"> </w:t>
      </w:r>
      <w:r w:rsidRPr="59CB47AA" w:rsidR="00DB0B04">
        <w:rPr>
          <w:rFonts w:eastAsiaTheme="minorEastAsia"/>
        </w:rPr>
        <w:t xml:space="preserve">because </w:t>
      </w:r>
      <w:r w:rsidR="00DB0B04">
        <w:t>of the high level of atmospheric attenuation that exists between transmitters on the surface of the Earth and the passive sensors in this frequency band</w:t>
      </w:r>
      <w:r w:rsidRPr="59CB47AA">
        <w:rPr>
          <w:rFonts w:eastAsiaTheme="minorEastAsia"/>
        </w:rPr>
        <w:t>.</w:t>
      </w:r>
      <w:r>
        <w:rPr>
          <w:rStyle w:val="FootnoteReference"/>
          <w:rFonts w:eastAsiaTheme="minorEastAsia"/>
        </w:rPr>
        <w:footnoteReference w:id="98"/>
      </w:r>
      <w:r w:rsidRPr="59CB47AA" w:rsidR="368FACF6">
        <w:rPr>
          <w:rFonts w:eastAsiaTheme="minorEastAsia"/>
        </w:rPr>
        <w:t xml:space="preserve">  </w:t>
      </w:r>
      <w:r w:rsidR="73B1AD9E">
        <w:t xml:space="preserve">We observe that in the </w:t>
      </w:r>
      <w:r w:rsidRPr="59CB47AA" w:rsidR="73B1AD9E">
        <w:rPr>
          <w:i/>
          <w:iCs/>
        </w:rPr>
        <w:t>NPRM</w:t>
      </w:r>
      <w:r w:rsidR="73B1AD9E">
        <w:t xml:space="preserve">, we proposed a limit of 20 dBm </w:t>
      </w:r>
      <w:r w:rsidRPr="59CB47AA" w:rsidR="73B1AD9E">
        <w:rPr>
          <w:i/>
          <w:iCs/>
        </w:rPr>
        <w:t>average</w:t>
      </w:r>
      <w:r w:rsidR="73B1AD9E">
        <w:t xml:space="preserve"> EIRP without any limit on the peak EIRP</w:t>
      </w:r>
      <w:r w:rsidR="00E42E89">
        <w:t>, but sought comment on whether requiring a peak power limit might be necessary.</w:t>
      </w:r>
      <w:r>
        <w:rPr>
          <w:rStyle w:val="FootnoteReference"/>
        </w:rPr>
        <w:footnoteReference w:id="99"/>
      </w:r>
      <w:r w:rsidR="73B1AD9E">
        <w:t xml:space="preserve">  The technical parameters adopted herein place a limit on the peak EIRP</w:t>
      </w:r>
      <w:r w:rsidR="00F802E2">
        <w:t xml:space="preserve">, which </w:t>
      </w:r>
      <w:r w:rsidR="00624533">
        <w:t xml:space="preserve">is </w:t>
      </w:r>
      <w:r w:rsidR="0025606D">
        <w:t>a more</w:t>
      </w:r>
      <w:r w:rsidR="0036611D">
        <w:t xml:space="preserve"> stringent</w:t>
      </w:r>
      <w:r w:rsidR="008B11FA">
        <w:t xml:space="preserve"> requirement</w:t>
      </w:r>
      <w:r w:rsidR="73B1AD9E">
        <w:t xml:space="preserve"> </w:t>
      </w:r>
      <w:r w:rsidR="00624533">
        <w:t xml:space="preserve">that </w:t>
      </w:r>
      <w:r w:rsidR="73B1AD9E">
        <w:t xml:space="preserve">enhances the protection of authorized services </w:t>
      </w:r>
      <w:r w:rsidR="008D2168">
        <w:t xml:space="preserve">and minimizes any </w:t>
      </w:r>
      <w:r w:rsidR="73B1AD9E">
        <w:t xml:space="preserve">potential risk </w:t>
      </w:r>
      <w:r w:rsidR="008D2168">
        <w:t xml:space="preserve">that these operations would cause </w:t>
      </w:r>
      <w:r w:rsidR="73B1AD9E">
        <w:t xml:space="preserve">instantaneous harmful interference.  </w:t>
      </w:r>
      <w:r w:rsidR="4AD00F09">
        <w:t xml:space="preserve">Therefore, </w:t>
      </w:r>
      <w:r w:rsidR="006E271A">
        <w:t xml:space="preserve">we are adopting </w:t>
      </w:r>
      <w:r w:rsidR="4AD00F09">
        <w:t xml:space="preserve">the </w:t>
      </w:r>
      <w:r w:rsidR="54344CAD">
        <w:t xml:space="preserve">EIRP limits </w:t>
      </w:r>
      <w:r w:rsidR="00342581">
        <w:t xml:space="preserve">provided by </w:t>
      </w:r>
      <w:r w:rsidR="00157200">
        <w:t>I</w:t>
      </w:r>
      <w:r w:rsidR="00342581">
        <w:t xml:space="preserve">ndustry in the Industry Consensus </w:t>
      </w:r>
      <w:r w:rsidR="00594686">
        <w:t>Agreement a</w:t>
      </w:r>
      <w:r w:rsidR="001C59C4">
        <w:t xml:space="preserve">nd </w:t>
      </w:r>
      <w:r w:rsidR="40EAA001">
        <w:t>consistent with the</w:t>
      </w:r>
      <w:r w:rsidR="54344CAD">
        <w:t xml:space="preserve"> </w:t>
      </w:r>
      <w:r w:rsidR="62742C8A">
        <w:t>analysis</w:t>
      </w:r>
      <w:r w:rsidR="4AD00F09">
        <w:t xml:space="preserve"> </w:t>
      </w:r>
      <w:r w:rsidR="37057972">
        <w:t xml:space="preserve">provided by the TIG. </w:t>
      </w:r>
    </w:p>
    <w:p w:rsidR="008A3DE1" w:rsidP="00352C27" w14:paraId="5B4A41E9" w14:textId="5DEBA234">
      <w:pPr>
        <w:pStyle w:val="ParaNum"/>
      </w:pPr>
      <w:r w:rsidRPr="59CB47AA">
        <w:rPr>
          <w:i/>
          <w:iCs/>
        </w:rPr>
        <w:t>Duty Cycle Limit.</w:t>
      </w:r>
      <w:r w:rsidRPr="59CB47AA" w:rsidR="005C2DF8">
        <w:rPr>
          <w:i/>
          <w:iCs/>
        </w:rPr>
        <w:t xml:space="preserve"> </w:t>
      </w:r>
      <w:r w:rsidR="005C2DF8">
        <w:t>One area of particular contention</w:t>
      </w:r>
      <w:r w:rsidR="008D0F6D">
        <w:t xml:space="preserve"> th</w:t>
      </w:r>
      <w:r w:rsidR="00DB3541">
        <w:t>r</w:t>
      </w:r>
      <w:r w:rsidR="008D0F6D">
        <w:t>ough</w:t>
      </w:r>
      <w:r w:rsidR="00015322">
        <w:t>ou</w:t>
      </w:r>
      <w:r w:rsidR="008D0F6D">
        <w:t>t the proceeding</w:t>
      </w:r>
      <w:r w:rsidR="005C2DF8">
        <w:t xml:space="preserve"> has been whether</w:t>
      </w:r>
      <w:r w:rsidR="00AC7F3C">
        <w:t>, where, and how</w:t>
      </w:r>
      <w:r w:rsidR="00FA656D">
        <w:t xml:space="preserve"> to impose a duty cycle limit</w:t>
      </w:r>
      <w:r w:rsidR="009001B4">
        <w:t xml:space="preserve"> on FDS operations</w:t>
      </w:r>
      <w:r w:rsidR="00FA656D">
        <w:t xml:space="preserve">. </w:t>
      </w:r>
      <w:r w:rsidR="003E3932">
        <w:t xml:space="preserve"> </w:t>
      </w:r>
      <w:r w:rsidR="00D57865">
        <w:t>T</w:t>
      </w:r>
      <w:r w:rsidR="00A36629">
        <w:t xml:space="preserve">here are </w:t>
      </w:r>
      <w:r w:rsidR="003E3932">
        <w:t xml:space="preserve">two components to the duty cycle, the percentage or ratio of the time during which </w:t>
      </w:r>
      <w:r w:rsidR="00E950AE">
        <w:t>the transmitter</w:t>
      </w:r>
      <w:r w:rsidR="003E3932">
        <w:t xml:space="preserve"> is active versus the time during which there is no transmission and the total period or reference interval during which this ratio is considered</w:t>
      </w:r>
      <w:r w:rsidR="009D5DD4">
        <w:t>.</w:t>
      </w:r>
      <w:r>
        <w:rPr>
          <w:rStyle w:val="FootnoteReference"/>
        </w:rPr>
        <w:footnoteReference w:id="100"/>
      </w:r>
      <w:r w:rsidR="00F97EFD">
        <w:t xml:space="preserve"> </w:t>
      </w:r>
      <w:r w:rsidR="004A4687">
        <w:t xml:space="preserve"> The</w:t>
      </w:r>
      <w:r w:rsidR="00F97EFD">
        <w:t xml:space="preserve"> Commission </w:t>
      </w:r>
      <w:r w:rsidR="002E4858">
        <w:t xml:space="preserve">proposed to require the same </w:t>
      </w:r>
      <w:r w:rsidR="004E1D64">
        <w:t xml:space="preserve">10% </w:t>
      </w:r>
      <w:r w:rsidR="002E4858">
        <w:t>duty cycle</w:t>
      </w:r>
      <w:r w:rsidR="007A1221">
        <w:t xml:space="preserve"> </w:t>
      </w:r>
      <w:r w:rsidR="002E4858">
        <w:t xml:space="preserve">restriction </w:t>
      </w:r>
      <w:r w:rsidR="000E3580">
        <w:t>associated with</w:t>
      </w:r>
      <w:r w:rsidR="002E4858">
        <w:t xml:space="preserve"> the multiple waiver</w:t>
      </w:r>
      <w:r w:rsidR="000E3580">
        <w:t xml:space="preserve"> grant</w:t>
      </w:r>
      <w:r w:rsidR="002E4858">
        <w:t>s</w:t>
      </w:r>
      <w:r>
        <w:rPr>
          <w:rStyle w:val="FootnoteReference"/>
        </w:rPr>
        <w:footnoteReference w:id="101"/>
      </w:r>
      <w:r w:rsidR="004132D4">
        <w:t xml:space="preserve"> </w:t>
      </w:r>
      <w:r w:rsidRPr="00FC3029" w:rsidR="00626CE7">
        <w:t xml:space="preserve">based on a maximum 3.3 </w:t>
      </w:r>
      <w:r w:rsidRPr="00FC3029" w:rsidR="00626CE7">
        <w:t>ms</w:t>
      </w:r>
      <w:r w:rsidRPr="00FC3029" w:rsidR="00626CE7">
        <w:t xml:space="preserve"> </w:t>
      </w:r>
      <w:r w:rsidR="001718F5">
        <w:t xml:space="preserve">total </w:t>
      </w:r>
      <w:r w:rsidRPr="00FC3029" w:rsidR="00626CE7">
        <w:t xml:space="preserve">transmission </w:t>
      </w:r>
      <w:r w:rsidR="00626CE7">
        <w:t xml:space="preserve">time </w:t>
      </w:r>
      <w:r w:rsidRPr="00FC3029" w:rsidR="00626CE7">
        <w:t xml:space="preserve">in every 33 </w:t>
      </w:r>
      <w:r w:rsidRPr="00FC3029" w:rsidR="00626CE7">
        <w:t>ms</w:t>
      </w:r>
      <w:r w:rsidRPr="00FC3029" w:rsidR="00626CE7">
        <w:t xml:space="preserve"> interval</w:t>
      </w:r>
      <w:r w:rsidR="00922F31">
        <w:t xml:space="preserve"> (which </w:t>
      </w:r>
      <w:r w:rsidRPr="00FC3029" w:rsidR="00626CE7">
        <w:t xml:space="preserve">was derived from Google’s 2018 final agreement with stakeholders from the WLAN communications industry whose technology </w:t>
      </w:r>
      <w:r w:rsidR="00626CE7">
        <w:t xml:space="preserve">operates in </w:t>
      </w:r>
      <w:r w:rsidRPr="00FC3029" w:rsidR="00626CE7">
        <w:t>the 60 GHz spectrum</w:t>
      </w:r>
      <w:r w:rsidR="00922F31">
        <w:t>)</w:t>
      </w:r>
      <w:r w:rsidR="00B93AE7">
        <w:t>, and sought comment on whether that or some other duty cycle would be most appropriate</w:t>
      </w:r>
      <w:r w:rsidRPr="372C1E37" w:rsidR="00626CE7">
        <w:t>.</w:t>
      </w:r>
      <w:r>
        <w:rPr>
          <w:rStyle w:val="FootnoteReference"/>
          <w:color w:val="000000"/>
        </w:rPr>
        <w:footnoteReference w:id="102"/>
      </w:r>
      <w:r w:rsidRPr="00FC3029" w:rsidR="00626CE7">
        <w:t xml:space="preserve">  </w:t>
      </w:r>
    </w:p>
    <w:p w:rsidR="00F13E1B" w:rsidRPr="006F6F9A" w:rsidP="00A04FA3" w14:paraId="2B7CD924" w14:textId="31E4D1A2">
      <w:pPr>
        <w:pStyle w:val="ParaNum"/>
      </w:pPr>
      <w:r>
        <w:t>Radar proponents oppose</w:t>
      </w:r>
      <w:r w:rsidR="5384C802">
        <w:t>d</w:t>
      </w:r>
      <w:r>
        <w:t xml:space="preserve"> a duty cycle </w:t>
      </w:r>
      <w:r w:rsidR="59C0775D">
        <w:t xml:space="preserve">requirement for </w:t>
      </w:r>
      <w:r>
        <w:t>FDS operation</w:t>
      </w:r>
      <w:r w:rsidR="7DDC3AA8">
        <w:t>s</w:t>
      </w:r>
      <w:r w:rsidR="17CEEDF2">
        <w:t xml:space="preserve">, stating that it </w:t>
      </w:r>
      <w:r w:rsidR="5C6AA797">
        <w:t xml:space="preserve">would </w:t>
      </w:r>
      <w:r w:rsidR="0B468A4D">
        <w:t xml:space="preserve">unnecessarily constrain </w:t>
      </w:r>
      <w:r w:rsidR="16A15E27">
        <w:t xml:space="preserve">the radars </w:t>
      </w:r>
      <w:r w:rsidR="0B468A4D">
        <w:t>sensor’s capabiliti</w:t>
      </w:r>
      <w:r w:rsidR="31422D36">
        <w:t>es</w:t>
      </w:r>
      <w:r w:rsidR="0DA627D4">
        <w:t>.</w:t>
      </w:r>
      <w:r>
        <w:rPr>
          <w:rStyle w:val="FootnoteReference"/>
        </w:rPr>
        <w:footnoteReference w:id="103"/>
      </w:r>
      <w:r w:rsidRPr="00102413" w:rsidR="5C219C26">
        <w:rPr>
          <w:szCs w:val="22"/>
        </w:rPr>
        <w:t xml:space="preserve"> </w:t>
      </w:r>
      <w:r w:rsidR="6C40DA23">
        <w:rPr>
          <w:szCs w:val="22"/>
        </w:rPr>
        <w:t xml:space="preserve"> </w:t>
      </w:r>
      <w:r w:rsidRPr="6AD549E2" w:rsidR="2B8EDB09">
        <w:t xml:space="preserve">Parties </w:t>
      </w:r>
      <w:r w:rsidRPr="6AD549E2" w:rsidR="76E3A2F3">
        <w:t xml:space="preserve">further claim that </w:t>
      </w:r>
      <w:r w:rsidR="0932964F">
        <w:t>limiting tran</w:t>
      </w:r>
      <w:r w:rsidR="11172875">
        <w:t>smis</w:t>
      </w:r>
      <w:r w:rsidR="0932964F">
        <w:t xml:space="preserve">sion time to </w:t>
      </w:r>
      <w:r w:rsidR="2B680E53">
        <w:t xml:space="preserve">a </w:t>
      </w:r>
      <w:r w:rsidRPr="695573F5" w:rsidR="1E86FBED">
        <w:t xml:space="preserve">maximum </w:t>
      </w:r>
      <w:r w:rsidR="597A0E6B">
        <w:t>of</w:t>
      </w:r>
      <w:r w:rsidRPr="695573F5" w:rsidR="1E86FBED">
        <w:t xml:space="preserve"> 3.3 </w:t>
      </w:r>
      <w:r w:rsidRPr="695573F5" w:rsidR="1E86FBED">
        <w:t>ms</w:t>
      </w:r>
      <w:r w:rsidRPr="695573F5" w:rsidR="1E86FBED">
        <w:t xml:space="preserve"> in every 33 </w:t>
      </w:r>
      <w:r w:rsidRPr="695573F5" w:rsidR="1E86FBED">
        <w:t>ms</w:t>
      </w:r>
      <w:r w:rsidRPr="695573F5" w:rsidR="1E86FBED">
        <w:t xml:space="preserve"> interval</w:t>
      </w:r>
      <w:r w:rsidR="7171A75A">
        <w:t xml:space="preserve"> would be</w:t>
      </w:r>
      <w:r w:rsidRPr="4291BD84" w:rsidR="7DD3F105">
        <w:t xml:space="preserve"> problematic for radars</w:t>
      </w:r>
      <w:r w:rsidRPr="00C47FA0" w:rsidR="7DD3F105">
        <w:rPr>
          <w:szCs w:val="22"/>
        </w:rPr>
        <w:t xml:space="preserve">, </w:t>
      </w:r>
      <w:r w:rsidRPr="4291BD84" w:rsidR="7DD3F105">
        <w:t xml:space="preserve">because isochronous </w:t>
      </w:r>
      <w:r w:rsidR="34BB8F0D">
        <w:t xml:space="preserve">chirp </w:t>
      </w:r>
      <w:r w:rsidRPr="4291BD84" w:rsidR="7DD3F105">
        <w:t xml:space="preserve">transmission is essential </w:t>
      </w:r>
      <w:r w:rsidR="2DA219C8">
        <w:t xml:space="preserve">to attain proper </w:t>
      </w:r>
      <w:r w:rsidRPr="4291BD84" w:rsidR="7DD3F105">
        <w:t>measurement</w:t>
      </w:r>
      <w:r w:rsidR="2DA219C8">
        <w:t>s</w:t>
      </w:r>
      <w:r w:rsidRPr="695573F5" w:rsidR="7DD3F105">
        <w:t>.</w:t>
      </w:r>
      <w:r>
        <w:rPr>
          <w:rStyle w:val="FootnoteReference"/>
        </w:rPr>
        <w:footnoteReference w:id="104"/>
      </w:r>
      <w:r w:rsidRPr="00963654" w:rsidR="4C330582">
        <w:rPr>
          <w:szCs w:val="22"/>
        </w:rPr>
        <w:t xml:space="preserve">  </w:t>
      </w:r>
      <w:r w:rsidRPr="695573F5" w:rsidR="317B53A6">
        <w:t>Infineon</w:t>
      </w:r>
      <w:r w:rsidR="55E8D2AC">
        <w:t xml:space="preserve"> </w:t>
      </w:r>
      <w:r w:rsidRPr="695573F5" w:rsidR="317B53A6">
        <w:t xml:space="preserve">states that </w:t>
      </w:r>
      <w:r w:rsidRPr="695573F5" w:rsidR="40F87C14">
        <w:t xml:space="preserve">relaxing the 10% duty cycle imposed in the waiver orders would allow the use of more transmit </w:t>
      </w:r>
      <w:r w:rsidRPr="695573F5" w:rsidR="6EBD88EB">
        <w:t>(TX)</w:t>
      </w:r>
      <w:r w:rsidRPr="00963654" w:rsidR="088D9423">
        <w:rPr>
          <w:szCs w:val="22"/>
        </w:rPr>
        <w:t xml:space="preserve"> </w:t>
      </w:r>
      <w:r w:rsidRPr="695573F5" w:rsidR="40F87C14">
        <w:t>antennas (generating more virtual antennas) with the same number of chirps for each TX antenna, which in turn would allow higher angular resolution</w:t>
      </w:r>
      <w:r w:rsidRPr="00963654" w:rsidR="0FA799E6">
        <w:rPr>
          <w:szCs w:val="22"/>
        </w:rPr>
        <w:t>,</w:t>
      </w:r>
      <w:r w:rsidRPr="695573F5" w:rsidR="40F87C14">
        <w:t xml:space="preserve"> improving and expanding the radars </w:t>
      </w:r>
      <w:r w:rsidR="2C67D56D">
        <w:t xml:space="preserve">applications </w:t>
      </w:r>
      <w:r w:rsidR="5C520CC1">
        <w:t xml:space="preserve">that can be provided </w:t>
      </w:r>
      <w:r w:rsidRPr="695573F5" w:rsidR="40F87C14">
        <w:t>in automotive, residential, business, and industrial contexts.</w:t>
      </w:r>
      <w:r>
        <w:rPr>
          <w:rStyle w:val="FootnoteReference"/>
        </w:rPr>
        <w:footnoteReference w:id="105"/>
      </w:r>
    </w:p>
    <w:p w:rsidR="00F03894" w:rsidP="00F13E1B" w14:paraId="28052115" w14:textId="748183D7">
      <w:pPr>
        <w:pStyle w:val="ParaNum"/>
      </w:pPr>
      <w:r w:rsidRPr="00615A99">
        <w:rPr>
          <w:rFonts w:eastAsia="ArialMT"/>
        </w:rPr>
        <w:t xml:space="preserve">On the other hand, </w:t>
      </w:r>
      <w:r w:rsidRPr="00615A99" w:rsidR="52932BA2">
        <w:rPr>
          <w:rFonts w:eastAsia="ArialMT"/>
        </w:rPr>
        <w:t xml:space="preserve">FB </w:t>
      </w:r>
      <w:r w:rsidRPr="59CB47AA" w:rsidR="52932BA2">
        <w:rPr>
          <w:rFonts w:eastAsia="ArialMT"/>
          <w:i/>
          <w:iCs/>
        </w:rPr>
        <w:t xml:space="preserve">et al </w:t>
      </w:r>
      <w:r w:rsidRPr="00615A99" w:rsidR="52932BA2">
        <w:rPr>
          <w:rFonts w:eastAsia="ArialMT"/>
        </w:rPr>
        <w:t xml:space="preserve">state that </w:t>
      </w:r>
      <w:r w:rsidRPr="00615A99" w:rsidR="6AE4C422">
        <w:rPr>
          <w:rFonts w:eastAsia="ArialMT"/>
        </w:rPr>
        <w:t xml:space="preserve">even </w:t>
      </w:r>
      <w:r w:rsidRPr="00615A99" w:rsidR="52932BA2">
        <w:rPr>
          <w:rFonts w:eastAsia="ArialMT"/>
        </w:rPr>
        <w:t>t</w:t>
      </w:r>
      <w:r w:rsidRPr="695573F5" w:rsidR="52932BA2">
        <w:t>he 10% duty cycle limit on radar operations by itself does not ensure fair coexistence with communications applications</w:t>
      </w:r>
      <w:r w:rsidRPr="00615A99" w:rsidR="6AE4C422">
        <w:rPr>
          <w:szCs w:val="22"/>
        </w:rPr>
        <w:t>,</w:t>
      </w:r>
      <w:r w:rsidRPr="695573F5" w:rsidR="52932BA2">
        <w:t xml:space="preserve"> because radars operate with very short pulses (</w:t>
      </w:r>
      <w:r w:rsidRPr="59CB47AA" w:rsidR="52932BA2">
        <w:rPr>
          <w:i/>
          <w:iCs/>
        </w:rPr>
        <w:t>i.e</w:t>
      </w:r>
      <w:r w:rsidRPr="695573F5" w:rsidR="52932BA2">
        <w:t xml:space="preserve">., radar “on times”) sent in rapid succession with off times that are at least 90% </w:t>
      </w:r>
      <w:r w:rsidRPr="695573F5" w:rsidR="52932BA2">
        <w:t>longer but still unusable by communication</w:t>
      </w:r>
      <w:r w:rsidR="72B76B42">
        <w:t xml:space="preserve"> system</w:t>
      </w:r>
      <w:r w:rsidRPr="695573F5" w:rsidR="52932BA2">
        <w:t>s</w:t>
      </w:r>
      <w:r w:rsidRPr="00615A99" w:rsidR="52932BA2">
        <w:rPr>
          <w:szCs w:val="22"/>
        </w:rPr>
        <w:t>.</w:t>
      </w:r>
      <w:r>
        <w:rPr>
          <w:rStyle w:val="FootnoteReference"/>
        </w:rPr>
        <w:footnoteReference w:id="106"/>
      </w:r>
      <w:r w:rsidRPr="00615A99" w:rsidR="679F73BD">
        <w:rPr>
          <w:szCs w:val="22"/>
        </w:rPr>
        <w:t xml:space="preserve">  </w:t>
      </w:r>
      <w:r w:rsidRPr="695573F5" w:rsidR="00E03D9A">
        <w:t xml:space="preserve">These parties </w:t>
      </w:r>
      <w:r w:rsidRPr="695573F5" w:rsidR="199E04D6">
        <w:t xml:space="preserve">argue that communication </w:t>
      </w:r>
      <w:r w:rsidR="133DB173">
        <w:t>system</w:t>
      </w:r>
      <w:r w:rsidRPr="695573F5" w:rsidR="199E04D6">
        <w:t xml:space="preserve"> transmission</w:t>
      </w:r>
      <w:r w:rsidR="133DB173">
        <w:t>s</w:t>
      </w:r>
      <w:r w:rsidRPr="695573F5" w:rsidR="199E04D6">
        <w:t xml:space="preserve"> or acknowledgment messages</w:t>
      </w:r>
      <w:r w:rsidRPr="00615A99" w:rsidR="199E04D6">
        <w:rPr>
          <w:szCs w:val="22"/>
        </w:rPr>
        <w:t xml:space="preserve"> </w:t>
      </w:r>
      <w:r w:rsidRPr="695573F5" w:rsidR="3662FEF6">
        <w:t xml:space="preserve">can be </w:t>
      </w:r>
      <w:r w:rsidRPr="695573F5" w:rsidR="199E04D6">
        <w:t>either blocked or repeatedly interrupted and corrupted by radars operating with short transmission gaps</w:t>
      </w:r>
      <w:r w:rsidRPr="00615A99" w:rsidR="3662FEF6">
        <w:rPr>
          <w:szCs w:val="22"/>
        </w:rPr>
        <w:t>.</w:t>
      </w:r>
      <w:r>
        <w:rPr>
          <w:rStyle w:val="FootnoteReference"/>
        </w:rPr>
        <w:footnoteReference w:id="107"/>
      </w:r>
      <w:r w:rsidRPr="00615A99" w:rsidR="20BC71D0">
        <w:rPr>
          <w:szCs w:val="22"/>
        </w:rPr>
        <w:t xml:space="preserve">  </w:t>
      </w:r>
      <w:r w:rsidRPr="695573F5" w:rsidR="6283EF80">
        <w:t>T</w:t>
      </w:r>
      <w:r w:rsidRPr="695573F5" w:rsidR="620D9FAE">
        <w:t>he</w:t>
      </w:r>
      <w:r w:rsidRPr="695573F5" w:rsidR="6283EF80">
        <w:t xml:space="preserve"> communications proponents</w:t>
      </w:r>
      <w:r w:rsidRPr="00615A99" w:rsidR="620D9FAE">
        <w:rPr>
          <w:szCs w:val="22"/>
        </w:rPr>
        <w:t xml:space="preserve"> </w:t>
      </w:r>
      <w:r w:rsidRPr="695573F5" w:rsidR="46784805">
        <w:t>advocate</w:t>
      </w:r>
      <w:r w:rsidR="64D02EBB">
        <w:t>d for</w:t>
      </w:r>
      <w:r w:rsidRPr="695573F5" w:rsidR="46784805">
        <w:t xml:space="preserve"> a duty cycle restriction in conjunction with a </w:t>
      </w:r>
      <w:r w:rsidRPr="695573F5" w:rsidR="715B575F">
        <w:t>limit on the duration between radar chirps/pulses</w:t>
      </w:r>
      <w:r w:rsidRPr="00615A99" w:rsidR="4CE42AA0">
        <w:rPr>
          <w:szCs w:val="22"/>
        </w:rPr>
        <w:t xml:space="preserve"> </w:t>
      </w:r>
      <w:r w:rsidRPr="695573F5" w:rsidR="7FF21F2E">
        <w:t>(minimum transmi</w:t>
      </w:r>
      <w:r w:rsidR="101759D2">
        <w:t xml:space="preserve">tter </w:t>
      </w:r>
      <w:r w:rsidRPr="695573F5" w:rsidR="7FF21F2E">
        <w:t>off</w:t>
      </w:r>
      <w:r w:rsidR="101759D2">
        <w:t>-</w:t>
      </w:r>
      <w:r w:rsidRPr="695573F5" w:rsidR="7FF21F2E">
        <w:t xml:space="preserve">time, discussed </w:t>
      </w:r>
      <w:r w:rsidRPr="59CB47AA" w:rsidR="7FF21F2E">
        <w:rPr>
          <w:i/>
          <w:iCs/>
        </w:rPr>
        <w:t>infra</w:t>
      </w:r>
      <w:r w:rsidRPr="00615A99" w:rsidR="7FF21F2E">
        <w:rPr>
          <w:szCs w:val="22"/>
        </w:rPr>
        <w:t xml:space="preserve">) </w:t>
      </w:r>
      <w:r w:rsidRPr="695573F5" w:rsidR="4CE42AA0">
        <w:t>to allow for sufficient silent periods during which the spectrum may be accessed</w:t>
      </w:r>
      <w:r w:rsidR="0021038F">
        <w:t>—</w:t>
      </w:r>
      <w:r w:rsidRPr="695573F5" w:rsidR="4CE42AA0">
        <w:t>or re-accessed</w:t>
      </w:r>
      <w:r w:rsidR="0021038F">
        <w:t>—</w:t>
      </w:r>
      <w:r w:rsidRPr="695573F5" w:rsidR="4CE42AA0">
        <w:t xml:space="preserve">by </w:t>
      </w:r>
      <w:r w:rsidRPr="695573F5" w:rsidR="54CF402B">
        <w:t>communication devices.</w:t>
      </w:r>
      <w:r w:rsidR="73CB3AD9">
        <w:t xml:space="preserve"> </w:t>
      </w:r>
    </w:p>
    <w:p w:rsidR="00E40789" w:rsidP="008D1B71" w14:paraId="7141E111" w14:textId="21D31524">
      <w:pPr>
        <w:pStyle w:val="ParaNum"/>
      </w:pPr>
      <w:r>
        <w:t xml:space="preserve">In the </w:t>
      </w:r>
      <w:r w:rsidRPr="4A1C0502" w:rsidR="1D40FAF4">
        <w:rPr>
          <w:i/>
          <w:iCs/>
        </w:rPr>
        <w:t>NPRM</w:t>
      </w:r>
      <w:r>
        <w:t xml:space="preserve">, the Commission </w:t>
      </w:r>
      <w:r w:rsidR="14996A6B">
        <w:t xml:space="preserve">also </w:t>
      </w:r>
      <w:r>
        <w:t>o</w:t>
      </w:r>
      <w:r w:rsidR="18FBE940">
        <w:t xml:space="preserve">bserved that </w:t>
      </w:r>
      <w:r w:rsidR="4BBDDA7F">
        <w:t>c</w:t>
      </w:r>
      <w:r w:rsidRPr="372C1E37" w:rsidR="4BBDDA7F">
        <w:t>ertain parties</w:t>
      </w:r>
      <w:r w:rsidR="1300E0AD">
        <w:t xml:space="preserve"> had</w:t>
      </w:r>
      <w:r w:rsidRPr="372C1E37" w:rsidR="4BBDDA7F">
        <w:t xml:space="preserve"> </w:t>
      </w:r>
      <w:r w:rsidR="4BBDDA7F">
        <w:t>recommend</w:t>
      </w:r>
      <w:r w:rsidR="1300E0AD">
        <w:t>ed</w:t>
      </w:r>
      <w:r w:rsidR="4BBDDA7F">
        <w:t xml:space="preserve"> modifying the duty cycle restriction adopted in the waivers to read </w:t>
      </w:r>
      <w:r w:rsidRPr="372C1E37" w:rsidR="4BBDDA7F">
        <w:t xml:space="preserve">that “any radar off-time period between two successive radar pulses that is less than 2 </w:t>
      </w:r>
      <w:r w:rsidRPr="372C1E37" w:rsidR="4BBDDA7F">
        <w:t>ms</w:t>
      </w:r>
      <w:r w:rsidRPr="372C1E37" w:rsidR="4BBDDA7F">
        <w:t xml:space="preserve"> shall be considered </w:t>
      </w:r>
      <w:r w:rsidR="4BBDDA7F">
        <w:t>‘</w:t>
      </w:r>
      <w:r w:rsidRPr="372C1E37" w:rsidR="4BBDDA7F">
        <w:t>on time</w:t>
      </w:r>
      <w:r w:rsidR="4BBDDA7F">
        <w:t>’</w:t>
      </w:r>
      <w:r w:rsidRPr="372C1E37" w:rsidR="4BBDDA7F">
        <w:t xml:space="preserve"> for purposes of computing the duty cycle.”</w:t>
      </w:r>
      <w:bookmarkStart w:id="56" w:name="_Ref72335768"/>
      <w:r>
        <w:rPr>
          <w:rStyle w:val="FootnoteReference"/>
          <w:color w:val="000000"/>
        </w:rPr>
        <w:footnoteReference w:id="108"/>
      </w:r>
      <w:bookmarkEnd w:id="56"/>
      <w:r w:rsidR="4BBDDA7F">
        <w:t xml:space="preserve">  </w:t>
      </w:r>
      <w:r w:rsidR="301B2E4F">
        <w:t>T</w:t>
      </w:r>
      <w:r w:rsidR="4BBDDA7F">
        <w:t>hese parties express</w:t>
      </w:r>
      <w:r w:rsidR="18FBE940">
        <w:t>ed</w:t>
      </w:r>
      <w:r w:rsidR="4BBDDA7F">
        <w:t xml:space="preserve"> concern that the duty cycle requirement in the waivers</w:t>
      </w:r>
      <w:r w:rsidR="78B93A9B">
        <w:t xml:space="preserve">, if </w:t>
      </w:r>
      <w:r w:rsidR="1EB4CAF6">
        <w:t xml:space="preserve">expanded to </w:t>
      </w:r>
      <w:r w:rsidR="09966E78">
        <w:t>the rules</w:t>
      </w:r>
      <w:r w:rsidR="78B93A9B">
        <w:t xml:space="preserve">, </w:t>
      </w:r>
      <w:r w:rsidR="23112851">
        <w:t>would</w:t>
      </w:r>
      <w:r w:rsidR="4BBDDA7F">
        <w:t xml:space="preserve"> not promote coexistence with communications </w:t>
      </w:r>
      <w:r w:rsidR="6575419E">
        <w:t>operations</w:t>
      </w:r>
      <w:r w:rsidR="4BBDDA7F">
        <w:t xml:space="preserve">, including </w:t>
      </w:r>
      <w:r w:rsidR="659D1CC2">
        <w:t xml:space="preserve">immersive </w:t>
      </w:r>
      <w:r w:rsidR="4971A3EF">
        <w:t>augmented reality/virtual reality/extended reality (AR/VR/XR) applications</w:t>
      </w:r>
      <w:r w:rsidR="643F4385">
        <w:t>,</w:t>
      </w:r>
      <w:r>
        <w:rPr>
          <w:rStyle w:val="FootnoteReference"/>
        </w:rPr>
        <w:footnoteReference w:id="109"/>
      </w:r>
      <w:r w:rsidRPr="00FC3029" w:rsidR="4BBDDA7F">
        <w:t xml:space="preserve"> </w:t>
      </w:r>
      <w:r w:rsidR="4BBDDA7F">
        <w:t xml:space="preserve">which </w:t>
      </w:r>
      <w:r w:rsidRPr="00FC3029" w:rsidR="4BBDDA7F">
        <w:t>requir</w:t>
      </w:r>
      <w:r w:rsidR="4BBDDA7F">
        <w:t>e</w:t>
      </w:r>
      <w:r w:rsidRPr="00FC3029" w:rsidR="4BBDDA7F">
        <w:t xml:space="preserve"> very high data throughput and very low latency</w:t>
      </w:r>
      <w:r w:rsidR="4BBDDA7F">
        <w:t>.</w:t>
      </w:r>
      <w:r>
        <w:rPr>
          <w:rStyle w:val="FootnoteReference"/>
          <w:color w:val="000000"/>
        </w:rPr>
        <w:footnoteReference w:id="110"/>
      </w:r>
      <w:r w:rsidR="21BDCDA6">
        <w:t xml:space="preserve"> </w:t>
      </w:r>
      <w:r w:rsidR="7DD6220C">
        <w:t xml:space="preserve"> </w:t>
      </w:r>
      <w:r w:rsidR="4E325DED">
        <w:t>In their comments, r</w:t>
      </w:r>
      <w:r w:rsidR="121628BA">
        <w:t xml:space="preserve">adar interests claimed that such a rule would </w:t>
      </w:r>
      <w:r w:rsidR="204B5FDB">
        <w:t xml:space="preserve">impair radar deployment and </w:t>
      </w:r>
      <w:r w:rsidR="57ABFAFF">
        <w:t xml:space="preserve">prevent </w:t>
      </w:r>
      <w:r w:rsidR="204B5FDB">
        <w:t xml:space="preserve">their ability to </w:t>
      </w:r>
      <w:r w:rsidR="525C1E67">
        <w:t>meaningful</w:t>
      </w:r>
      <w:r w:rsidR="204B5FDB">
        <w:t>ly operate in</w:t>
      </w:r>
      <w:r w:rsidR="7B788A90">
        <w:t xml:space="preserve"> the band</w:t>
      </w:r>
      <w:r w:rsidRPr="695573F5" w:rsidR="3DEAEE5A">
        <w:rPr>
          <w:rFonts w:eastAsia="ArialMT"/>
        </w:rPr>
        <w:t>.</w:t>
      </w:r>
      <w:r>
        <w:rPr>
          <w:rStyle w:val="FootnoteReference"/>
          <w:rFonts w:eastAsia="ArialMT"/>
        </w:rPr>
        <w:footnoteReference w:id="111"/>
      </w:r>
      <w:r w:rsidRPr="695573F5" w:rsidR="3DEAEE5A">
        <w:rPr>
          <w:rFonts w:eastAsia="ArialMT"/>
        </w:rPr>
        <w:t xml:space="preserve">  </w:t>
      </w:r>
      <w:r w:rsidRPr="695573F5" w:rsidR="4FE2C195">
        <w:t xml:space="preserve">FB </w:t>
      </w:r>
      <w:r w:rsidRPr="4A1C0502" w:rsidR="4FE2C195">
        <w:rPr>
          <w:i/>
          <w:iCs/>
        </w:rPr>
        <w:t>et al</w:t>
      </w:r>
      <w:r w:rsidRPr="695573F5" w:rsidR="4FE2C195">
        <w:t xml:space="preserve"> </w:t>
      </w:r>
      <w:r w:rsidR="49ECC642">
        <w:t xml:space="preserve">offered a contrasting perspective, </w:t>
      </w:r>
      <w:r w:rsidRPr="695573F5" w:rsidR="4FE2C195">
        <w:t>argu</w:t>
      </w:r>
      <w:r w:rsidR="49ECC642">
        <w:t>ing</w:t>
      </w:r>
      <w:r w:rsidRPr="695573F5" w:rsidR="4FE2C195">
        <w:t xml:space="preserve"> that communication transmission</w:t>
      </w:r>
      <w:r w:rsidR="77C29368">
        <w:t>s</w:t>
      </w:r>
      <w:r w:rsidRPr="695573F5" w:rsidR="4FE2C195">
        <w:t xml:space="preserve"> or acknowledgment messages</w:t>
      </w:r>
      <w:r w:rsidRPr="00A8196A" w:rsidR="4FE2C195">
        <w:rPr>
          <w:szCs w:val="22"/>
        </w:rPr>
        <w:t xml:space="preserve"> </w:t>
      </w:r>
      <w:r w:rsidR="0FEA2D77">
        <w:t>would</w:t>
      </w:r>
      <w:r w:rsidRPr="695573F5" w:rsidR="0FEA2D77">
        <w:t xml:space="preserve"> </w:t>
      </w:r>
      <w:r w:rsidRPr="695573F5" w:rsidR="4FE2C195">
        <w:t xml:space="preserve">either </w:t>
      </w:r>
      <w:r w:rsidR="0FEA2D77">
        <w:t xml:space="preserve">be </w:t>
      </w:r>
      <w:r w:rsidRPr="695573F5" w:rsidR="4FE2C195">
        <w:t xml:space="preserve">blocked or repeatedly interrupted </w:t>
      </w:r>
      <w:r w:rsidR="21EA7AC4">
        <w:t xml:space="preserve">if </w:t>
      </w:r>
      <w:r w:rsidR="52F8446A">
        <w:t>such a standard</w:t>
      </w:r>
      <w:r w:rsidR="21EA7AC4">
        <w:t xml:space="preserve"> is not adopted</w:t>
      </w:r>
      <w:r w:rsidRPr="695573F5" w:rsidR="336399E2">
        <w:t>.</w:t>
      </w:r>
      <w:r>
        <w:rPr>
          <w:rStyle w:val="FootnoteReference"/>
        </w:rPr>
        <w:footnoteReference w:id="112"/>
      </w:r>
      <w:r w:rsidRPr="695573F5" w:rsidR="5B801ACB">
        <w:t xml:space="preserve"> </w:t>
      </w:r>
      <w:r w:rsidR="088D9423">
        <w:rPr>
          <w:szCs w:val="22"/>
        </w:rPr>
        <w:t xml:space="preserve"> </w:t>
      </w:r>
      <w:r w:rsidR="6B26FAA7">
        <w:t xml:space="preserve">They </w:t>
      </w:r>
      <w:r w:rsidR="25BBC997">
        <w:t xml:space="preserve">claim that </w:t>
      </w:r>
      <w:r w:rsidR="476A3816">
        <w:t xml:space="preserve">under </w:t>
      </w:r>
      <w:r w:rsidR="0173AA76">
        <w:t xml:space="preserve">a </w:t>
      </w:r>
      <w:r w:rsidRPr="00FC3029" w:rsidR="6B26FAA7">
        <w:t xml:space="preserve">10% duty cycle </w:t>
      </w:r>
      <w:r w:rsidR="6B26FAA7">
        <w:t>requirement</w:t>
      </w:r>
      <w:r w:rsidR="476A3816">
        <w:t xml:space="preserve">, </w:t>
      </w:r>
      <w:r w:rsidRPr="00FC3029" w:rsidR="6B26FAA7">
        <w:t xml:space="preserve">radars transmitting short bursts </w:t>
      </w:r>
      <w:r w:rsidR="37A826E9">
        <w:t>of</w:t>
      </w:r>
      <w:r w:rsidRPr="00FC3029" w:rsidR="6B26FAA7">
        <w:t xml:space="preserve"> micro</w:t>
      </w:r>
      <w:r w:rsidR="6B26FAA7">
        <w:t>/nano</w:t>
      </w:r>
      <w:r w:rsidRPr="00FC3029" w:rsidR="6B26FAA7">
        <w:t xml:space="preserve">-second durations followed by </w:t>
      </w:r>
      <w:r w:rsidR="6B26FAA7">
        <w:t>similarly</w:t>
      </w:r>
      <w:r w:rsidRPr="00FC3029" w:rsidR="6B26FAA7">
        <w:t xml:space="preserve"> short </w:t>
      </w:r>
      <w:r w:rsidR="6B26FAA7">
        <w:t>silent periods</w:t>
      </w:r>
      <w:r w:rsidRPr="00FC3029" w:rsidR="6B26FAA7">
        <w:t xml:space="preserve"> during the entire total 33 </w:t>
      </w:r>
      <w:r w:rsidRPr="00FC3029" w:rsidR="6B26FAA7">
        <w:t>ms</w:t>
      </w:r>
      <w:r w:rsidRPr="00FC3029" w:rsidR="6B26FAA7">
        <w:t xml:space="preserve"> interval</w:t>
      </w:r>
      <w:r w:rsidR="3CA9016E">
        <w:t xml:space="preserve"> would result in </w:t>
      </w:r>
      <w:r w:rsidR="094FBE9A">
        <w:t xml:space="preserve">too short of a quiet </w:t>
      </w:r>
      <w:r w:rsidR="265BDF25">
        <w:t xml:space="preserve">interval </w:t>
      </w:r>
      <w:r w:rsidR="420CA39E">
        <w:t>for</w:t>
      </w:r>
      <w:r w:rsidR="76369D9B">
        <w:t xml:space="preserve"> </w:t>
      </w:r>
      <w:r w:rsidRPr="00FC3029" w:rsidR="6B26FAA7">
        <w:t xml:space="preserve">60 GHz </w:t>
      </w:r>
      <w:r w:rsidR="2B3D22E9">
        <w:t xml:space="preserve">immersive </w:t>
      </w:r>
      <w:r w:rsidR="47083F3D">
        <w:t>virtual reality</w:t>
      </w:r>
      <w:r w:rsidRPr="00FC3029" w:rsidR="6B26FAA7">
        <w:t xml:space="preserve"> communication devices </w:t>
      </w:r>
      <w:r w:rsidR="1A4168FB">
        <w:t xml:space="preserve">to effectively </w:t>
      </w:r>
      <w:r w:rsidRPr="00FC3029" w:rsidR="6B26FAA7">
        <w:t>access the spectrum</w:t>
      </w:r>
      <w:r w:rsidR="22F47B76">
        <w:t>—</w:t>
      </w:r>
      <w:r w:rsidR="36DE731E">
        <w:t xml:space="preserve">even though </w:t>
      </w:r>
      <w:r w:rsidR="116551AC">
        <w:t>such radars would be in technical compliance with the rules.</w:t>
      </w:r>
      <w:r>
        <w:rPr>
          <w:rStyle w:val="FootnoteReference"/>
          <w:color w:val="000000"/>
        </w:rPr>
        <w:footnoteReference w:id="113"/>
      </w:r>
      <w:r w:rsidR="6B26FAA7">
        <w:t xml:space="preserve">  </w:t>
      </w:r>
      <w:r w:rsidR="7B3F76D0">
        <w:t>Th</w:t>
      </w:r>
      <w:r w:rsidR="73C90B68">
        <w:t xml:space="preserve">is outcome would </w:t>
      </w:r>
      <w:r w:rsidR="3377E304">
        <w:t xml:space="preserve">be </w:t>
      </w:r>
      <w:r w:rsidR="4594FFF4">
        <w:t xml:space="preserve">especially </w:t>
      </w:r>
      <w:r w:rsidR="423D4C03">
        <w:t>h</w:t>
      </w:r>
      <w:r w:rsidR="1D835EAF">
        <w:t xml:space="preserve">armful </w:t>
      </w:r>
      <w:r w:rsidR="0DD2EC25">
        <w:t xml:space="preserve">for the </w:t>
      </w:r>
      <w:r w:rsidR="6D0F4C87">
        <w:t>virtual-reality-enabled headsets and eyewear and other real-time audiovisual applications</w:t>
      </w:r>
      <w:r w:rsidR="0DD2EC25">
        <w:t xml:space="preserve"> anticipated for 57-64 GHz band</w:t>
      </w:r>
      <w:r w:rsidR="00854A1F">
        <w:t xml:space="preserve">, due to </w:t>
      </w:r>
      <w:r w:rsidR="662E680C">
        <w:t xml:space="preserve">the </w:t>
      </w:r>
      <w:r w:rsidR="6D0F4C87">
        <w:t xml:space="preserve">strict latency </w:t>
      </w:r>
      <w:r w:rsidR="662E680C">
        <w:t>they need</w:t>
      </w:r>
      <w:r w:rsidR="00F6A733">
        <w:t xml:space="preserve"> to operate successfully</w:t>
      </w:r>
      <w:r w:rsidR="6D0F4C87">
        <w:t>.</w:t>
      </w:r>
      <w:r>
        <w:rPr>
          <w:rStyle w:val="FootnoteReference"/>
        </w:rPr>
        <w:footnoteReference w:id="114"/>
      </w:r>
      <w:r w:rsidR="6D0F4C87">
        <w:t xml:space="preserve">  </w:t>
      </w:r>
    </w:p>
    <w:p w:rsidR="00BD6BAA" w:rsidP="00735946" w14:paraId="291853FD" w14:textId="3FF846F7">
      <w:pPr>
        <w:pStyle w:val="ParaNum"/>
        <w:widowControl/>
      </w:pPr>
      <w:r>
        <w:t xml:space="preserve">Based on the record, we conclude </w:t>
      </w:r>
      <w:r w:rsidR="00956A75">
        <w:t>that</w:t>
      </w:r>
      <w:r w:rsidR="00306577">
        <w:t xml:space="preserve"> a uniform </w:t>
      </w:r>
      <w:r w:rsidR="00B02D9F">
        <w:t xml:space="preserve">duty cycle requirement as </w:t>
      </w:r>
      <w:r w:rsidR="00414455">
        <w:t xml:space="preserve">proposed in the </w:t>
      </w:r>
      <w:r w:rsidRPr="59CB47AA" w:rsidR="00414455">
        <w:rPr>
          <w:i/>
          <w:iCs/>
        </w:rPr>
        <w:t>NPRM</w:t>
      </w:r>
      <w:r w:rsidR="00414455">
        <w:t xml:space="preserve"> </w:t>
      </w:r>
      <w:r w:rsidR="00CF57F2">
        <w:t xml:space="preserve">will not </w:t>
      </w:r>
      <w:r w:rsidR="003F3E9C">
        <w:t xml:space="preserve">promote our interest in </w:t>
      </w:r>
      <w:r w:rsidR="00982E9A">
        <w:t xml:space="preserve">expanding </w:t>
      </w:r>
      <w:r w:rsidR="00894E8B">
        <w:t>the</w:t>
      </w:r>
      <w:r w:rsidR="00370A7B">
        <w:t xml:space="preserve"> types of </w:t>
      </w:r>
      <w:r w:rsidR="00080561">
        <w:t xml:space="preserve">unlicensed devices </w:t>
      </w:r>
      <w:r w:rsidR="00370A7B">
        <w:t xml:space="preserve">that </w:t>
      </w:r>
      <w:r w:rsidR="00FD1F2D">
        <w:t xml:space="preserve">are able to operate </w:t>
      </w:r>
      <w:r w:rsidR="00080561">
        <w:t xml:space="preserve">in the 60 GHz band.  </w:t>
      </w:r>
      <w:r w:rsidR="00975BF3">
        <w:t xml:space="preserve">Both </w:t>
      </w:r>
      <w:r w:rsidR="008C0283">
        <w:t xml:space="preserve">radar and communications interests offer </w:t>
      </w:r>
      <w:r w:rsidR="005E0A63">
        <w:t>convincing</w:t>
      </w:r>
      <w:r w:rsidR="008C0283">
        <w:t xml:space="preserve"> reasons why</w:t>
      </w:r>
      <w:r w:rsidR="005E0A63">
        <w:t xml:space="preserve"> </w:t>
      </w:r>
      <w:r w:rsidR="00B178B9">
        <w:t xml:space="preserve">adopting such a requirement </w:t>
      </w:r>
      <w:r w:rsidR="00AD773F">
        <w:t xml:space="preserve">could </w:t>
      </w:r>
      <w:r w:rsidR="00C361FA">
        <w:t>jeopardize their ability to make produc</w:t>
      </w:r>
      <w:r w:rsidR="002540AA">
        <w:t xml:space="preserve">tive use </w:t>
      </w:r>
      <w:r w:rsidR="00582CDB">
        <w:t>of the band.</w:t>
      </w:r>
      <w:r w:rsidR="00500B86">
        <w:t xml:space="preserve">  Instead, </w:t>
      </w:r>
      <w:r w:rsidR="003B4555">
        <w:t xml:space="preserve">we </w:t>
      </w:r>
      <w:r w:rsidR="000244E8">
        <w:t>note that</w:t>
      </w:r>
      <w:r w:rsidR="00500B86">
        <w:t xml:space="preserve"> </w:t>
      </w:r>
      <w:r w:rsidR="00BE0792">
        <w:t xml:space="preserve">the </w:t>
      </w:r>
      <w:r w:rsidR="00335DB3">
        <w:t>Industry Consensus Agreement</w:t>
      </w:r>
      <w:r w:rsidR="0088180F">
        <w:t xml:space="preserve"> </w:t>
      </w:r>
      <w:r w:rsidR="00335DB3">
        <w:t>provides for frequency band segmentation along with associated EIRP levels and duty cycle/radar transmission</w:t>
      </w:r>
      <w:r w:rsidR="00C7751B">
        <w:t xml:space="preserve"> </w:t>
      </w:r>
      <w:r w:rsidR="00335DB3">
        <w:t>off</w:t>
      </w:r>
      <w:r w:rsidR="00C7751B">
        <w:t>-</w:t>
      </w:r>
      <w:r w:rsidR="00335DB3">
        <w:t>time solutions</w:t>
      </w:r>
      <w:r w:rsidR="00A71E64">
        <w:t xml:space="preserve"> t</w:t>
      </w:r>
      <w:r w:rsidR="00F863E3">
        <w:t>hat</w:t>
      </w:r>
      <w:r w:rsidR="00A71E64">
        <w:t xml:space="preserve"> resolve</w:t>
      </w:r>
      <w:r w:rsidR="00F863E3">
        <w:t>s</w:t>
      </w:r>
      <w:r w:rsidR="00A71E64">
        <w:t xml:space="preserve"> the </w:t>
      </w:r>
      <w:r w:rsidR="00565A24">
        <w:t xml:space="preserve">parties’ previous </w:t>
      </w:r>
      <w:r w:rsidR="00A71E64">
        <w:t>impasse</w:t>
      </w:r>
      <w:r w:rsidR="00E07C0D">
        <w:t xml:space="preserve">.  </w:t>
      </w:r>
      <w:r w:rsidR="00CB5653">
        <w:t>With respect to puls</w:t>
      </w:r>
      <w:r w:rsidR="00CA1F3C">
        <w:t xml:space="preserve">e radar operations, </w:t>
      </w:r>
      <w:r w:rsidR="00623D00">
        <w:t xml:space="preserve">the duty cycle expressed in the </w:t>
      </w:r>
      <w:r w:rsidRPr="3DD796D0" w:rsidR="000C1A48">
        <w:t xml:space="preserve">Pulse Radar Joint Agreement provides similar assurances to all parties.  </w:t>
      </w:r>
      <w:r w:rsidR="006171C9">
        <w:t>Because this duty cycle satisfies the goals we have in this proceeding</w:t>
      </w:r>
      <w:r w:rsidR="003B4555">
        <w:t xml:space="preserve">, we are adopting rules consistent with </w:t>
      </w:r>
      <w:r w:rsidR="003B0B39">
        <w:t>the provisions of those agreements</w:t>
      </w:r>
      <w:r w:rsidR="00BB4B9F">
        <w:t>.</w:t>
      </w:r>
      <w:r>
        <w:rPr>
          <w:rStyle w:val="FootnoteReference"/>
        </w:rPr>
        <w:footnoteReference w:id="115"/>
      </w:r>
      <w:r w:rsidR="002D54E0">
        <w:t xml:space="preserve">  </w:t>
      </w:r>
      <w:r w:rsidRPr="3DD796D0" w:rsidR="00C14321">
        <w:t xml:space="preserve">Finally, we recognize that the final rules we are adopting </w:t>
      </w:r>
      <w:r w:rsidRPr="3DD796D0" w:rsidR="00BA1FBF">
        <w:t>do not follow the duty cycle requirement</w:t>
      </w:r>
      <w:r w:rsidRPr="3DD796D0" w:rsidR="00686DC2">
        <w:t xml:space="preserve">s associated with the ETSI </w:t>
      </w:r>
      <w:r w:rsidRPr="3DD796D0" w:rsidR="00D845C5">
        <w:t xml:space="preserve">standards.  </w:t>
      </w:r>
    </w:p>
    <w:p w:rsidR="00CC5A46" w:rsidP="00CC5A46" w14:paraId="7E039276" w14:textId="12A5ABDF">
      <w:pPr>
        <w:pStyle w:val="ParaNum"/>
      </w:pPr>
      <w:r w:rsidRPr="59CB47AA">
        <w:rPr>
          <w:i/>
          <w:iCs/>
        </w:rPr>
        <w:t>Transmitter Conducted Output Power Limit</w:t>
      </w:r>
      <w:r w:rsidRPr="00FC3029">
        <w:t xml:space="preserve">.  </w:t>
      </w:r>
      <w:r>
        <w:t xml:space="preserve">In the </w:t>
      </w:r>
      <w:r w:rsidRPr="59CB47AA">
        <w:rPr>
          <w:i/>
          <w:iCs/>
        </w:rPr>
        <w:t>NPRM</w:t>
      </w:r>
      <w:r>
        <w:t xml:space="preserve">, the Commission </w:t>
      </w:r>
      <w:r w:rsidRPr="00FC3029">
        <w:t>propose</w:t>
      </w:r>
      <w:r>
        <w:t>d</w:t>
      </w:r>
      <w:r w:rsidRPr="00FC3029">
        <w:t xml:space="preserve"> to allow </w:t>
      </w:r>
      <w:r w:rsidR="0068468B">
        <w:t xml:space="preserve">a maximum (peak) </w:t>
      </w:r>
      <w:r w:rsidRPr="00FC3029" w:rsidR="0068468B">
        <w:t>conducted output power</w:t>
      </w:r>
      <w:r w:rsidR="0022128D">
        <w:t xml:space="preserve"> for FDS devices</w:t>
      </w:r>
      <w:r w:rsidRPr="00FC3029" w:rsidR="0068468B">
        <w:t xml:space="preserve">, consistent with </w:t>
      </w:r>
      <w:r w:rsidR="0068468B">
        <w:t>the waivers the Commission ha</w:t>
      </w:r>
      <w:r w:rsidR="00EA79CF">
        <w:t>d</w:t>
      </w:r>
      <w:r w:rsidR="0068468B">
        <w:t xml:space="preserve"> already granted in the band</w:t>
      </w:r>
      <w:r w:rsidR="002D188D">
        <w:t>,</w:t>
      </w:r>
      <w:r w:rsidR="000F612C">
        <w:t xml:space="preserve"> but also asked</w:t>
      </w:r>
      <w:r w:rsidRPr="00AD0BC1" w:rsidR="000F612C">
        <w:t xml:space="preserve"> whether a transmitter conducted output limit </w:t>
      </w:r>
      <w:r w:rsidR="003316B8">
        <w:t>was</w:t>
      </w:r>
      <w:r w:rsidRPr="00AD0BC1" w:rsidR="000F612C">
        <w:t xml:space="preserve"> necessary for 60 GHz transmitters, including communications and radar devices</w:t>
      </w:r>
      <w:r w:rsidR="00D909E0">
        <w:t>.</w:t>
      </w:r>
      <w:r>
        <w:rPr>
          <w:rStyle w:val="FootnoteReference"/>
        </w:rPr>
        <w:footnoteReference w:id="116"/>
      </w:r>
      <w:r w:rsidR="002D188D">
        <w:t xml:space="preserve"> </w:t>
      </w:r>
      <w:r w:rsidR="004D6DB5">
        <w:t xml:space="preserve"> It</w:t>
      </w:r>
      <w:r w:rsidR="008A61CF">
        <w:t xml:space="preserve"> also sought input on whether the Commission should consider </w:t>
      </w:r>
      <w:r w:rsidR="00AA10FE">
        <w:t xml:space="preserve">adopting an </w:t>
      </w:r>
      <w:r w:rsidR="008A61CF">
        <w:t>average transmitter conducted output power limit and what impact this would have on the different types of FDS devices (e.g., FMCW, pulse, etc.)</w:t>
      </w:r>
      <w:r w:rsidR="00372BD1">
        <w:t xml:space="preserve"> envisioned for the band</w:t>
      </w:r>
      <w:r w:rsidR="008A61CF">
        <w:t>.</w:t>
      </w:r>
    </w:p>
    <w:p w:rsidR="00615A99" w:rsidRPr="00FC3029" w:rsidP="00CC5A46" w14:paraId="1505BD1C" w14:textId="2E8C08C7">
      <w:pPr>
        <w:pStyle w:val="ParaNum"/>
      </w:pPr>
      <w:r w:rsidRPr="695573F5">
        <w:t xml:space="preserve">We find that, based on the technical </w:t>
      </w:r>
      <w:r w:rsidR="4ABBC42A">
        <w:t>analyses</w:t>
      </w:r>
      <w:r w:rsidRPr="695573F5" w:rsidR="4ABBC42A">
        <w:t xml:space="preserve"> </w:t>
      </w:r>
      <w:r w:rsidRPr="695573F5">
        <w:t>submitted into the record,</w:t>
      </w:r>
      <w:r>
        <w:rPr>
          <w:rStyle w:val="FootnoteReference"/>
        </w:rPr>
        <w:footnoteReference w:id="117"/>
      </w:r>
      <w:r>
        <w:rPr>
          <w:szCs w:val="22"/>
        </w:rPr>
        <w:t xml:space="preserve"> </w:t>
      </w:r>
      <w:r w:rsidRPr="695573F5">
        <w:t xml:space="preserve">radars </w:t>
      </w:r>
      <w:r w:rsidR="4BC8828A">
        <w:t xml:space="preserve">operating </w:t>
      </w:r>
      <w:r w:rsidRPr="695573F5">
        <w:t>in this band typically use</w:t>
      </w:r>
      <w:r>
        <w:rPr>
          <w:szCs w:val="22"/>
        </w:rPr>
        <w:t xml:space="preserve"> </w:t>
      </w:r>
      <w:r w:rsidRPr="68E62851" w:rsidR="4BC8828A">
        <w:t xml:space="preserve">a </w:t>
      </w:r>
      <w:r w:rsidRPr="695573F5">
        <w:t>relatively wide antenna beamwidth</w:t>
      </w:r>
      <w:r>
        <w:rPr>
          <w:rStyle w:val="FootnoteReference"/>
        </w:rPr>
        <w:footnoteReference w:id="118"/>
      </w:r>
      <w:r w:rsidRPr="695573F5">
        <w:t xml:space="preserve"> to detect scattered small objects and fine movements (e.g., chest movements on a patient, hand gestures, obstructive objects</w:t>
      </w:r>
      <w:r>
        <w:rPr>
          <w:szCs w:val="22"/>
        </w:rPr>
        <w:t xml:space="preserve">, </w:t>
      </w:r>
      <w:r w:rsidRPr="695573F5">
        <w:t>etc.)</w:t>
      </w:r>
      <w:r>
        <w:rPr>
          <w:szCs w:val="22"/>
        </w:rPr>
        <w:t xml:space="preserve">.  </w:t>
      </w:r>
      <w:r w:rsidRPr="695573F5">
        <w:t xml:space="preserve">We agree with </w:t>
      </w:r>
      <w:r w:rsidRPr="695573F5">
        <w:t>Valeo</w:t>
      </w:r>
      <w:r>
        <w:rPr>
          <w:rStyle w:val="FootnoteReference"/>
        </w:rPr>
        <w:footnoteReference w:id="119"/>
      </w:r>
      <w:r w:rsidRPr="695573F5">
        <w:t xml:space="preserve"> and </w:t>
      </w:r>
      <w:r w:rsidRPr="695573F5">
        <w:t>Vayyar</w:t>
      </w:r>
      <w:r>
        <w:rPr>
          <w:rStyle w:val="FootnoteReference"/>
        </w:rPr>
        <w:footnoteReference w:id="120"/>
      </w:r>
      <w:r w:rsidRPr="695573F5">
        <w:t xml:space="preserve"> that</w:t>
      </w:r>
      <w:r>
        <w:rPr>
          <w:szCs w:val="22"/>
        </w:rPr>
        <w:t xml:space="preserve"> </w:t>
      </w:r>
      <w:r w:rsidRPr="695573F5">
        <w:t xml:space="preserve">modern chip technologies for 60 GHz </w:t>
      </w:r>
      <w:r w:rsidR="51AFA236">
        <w:t xml:space="preserve">devices </w:t>
      </w:r>
      <w:r w:rsidRPr="695573F5">
        <w:t>incorporate antenna arrays such that the transmitter output port is difficult to access</w:t>
      </w:r>
      <w:r w:rsidR="23F04BA6">
        <w:t xml:space="preserve"> and</w:t>
      </w:r>
      <w:r w:rsidRPr="695573F5">
        <w:t xml:space="preserve"> thus </w:t>
      </w:r>
      <w:r w:rsidR="3CBA345B">
        <w:t xml:space="preserve">output power is </w:t>
      </w:r>
      <w:r w:rsidR="23F04BA6">
        <w:t>difficult to directly measure</w:t>
      </w:r>
      <w:r w:rsidR="3CBA345B">
        <w:t>.</w:t>
      </w:r>
      <w:r w:rsidRPr="695573F5">
        <w:t xml:space="preserve"> </w:t>
      </w:r>
      <w:r w:rsidR="3CBA345B">
        <w:t xml:space="preserve"> </w:t>
      </w:r>
      <w:r w:rsidR="7DBFDD8D">
        <w:t>In such cases,</w:t>
      </w:r>
      <w:r w:rsidRPr="695573F5">
        <w:t xml:space="preserve"> transmitter conducted output power limit</w:t>
      </w:r>
      <w:r w:rsidR="7DBFDD8D">
        <w:t>s</w:t>
      </w:r>
      <w:r w:rsidRPr="695573F5">
        <w:t xml:space="preserve"> </w:t>
      </w:r>
      <w:r w:rsidR="7DBFDD8D">
        <w:t>are</w:t>
      </w:r>
      <w:r w:rsidRPr="695573F5">
        <w:t xml:space="preserve"> typically </w:t>
      </w:r>
      <w:r w:rsidRPr="695573F5" w:rsidR="00681F17">
        <w:t>calculat</w:t>
      </w:r>
      <w:r w:rsidR="00681F17">
        <w:t>ed</w:t>
      </w:r>
      <w:r w:rsidR="007B708A">
        <w:t xml:space="preserve"> for compliance purposes </w:t>
      </w:r>
      <w:r w:rsidR="00AF4DB0">
        <w:t>based</w:t>
      </w:r>
      <w:r w:rsidRPr="695573F5" w:rsidR="00681F17">
        <w:t xml:space="preserve"> </w:t>
      </w:r>
      <w:r w:rsidRPr="695573F5">
        <w:t xml:space="preserve">on the applicant’s provided </w:t>
      </w:r>
      <w:r w:rsidR="4494D668">
        <w:t xml:space="preserve">antenna </w:t>
      </w:r>
      <w:r w:rsidRPr="695573F5">
        <w:t>gain information</w:t>
      </w:r>
      <w:r w:rsidR="4DF4A810">
        <w:t xml:space="preserve">, </w:t>
      </w:r>
      <w:r w:rsidR="1D1843F8">
        <w:t>th</w:t>
      </w:r>
      <w:r w:rsidR="47493A5C">
        <w:t>ereby</w:t>
      </w:r>
      <w:r w:rsidR="1D1843F8">
        <w:t xml:space="preserve"> </w:t>
      </w:r>
      <w:r w:rsidR="4DF4A810">
        <w:t xml:space="preserve">making such a requirement </w:t>
      </w:r>
      <w:r w:rsidR="3E677C27">
        <w:t>difficult to enforce</w:t>
      </w:r>
      <w:r>
        <w:rPr>
          <w:szCs w:val="22"/>
        </w:rPr>
        <w:t xml:space="preserve">.  </w:t>
      </w:r>
      <w:r w:rsidRPr="46A38630" w:rsidR="7E3F9A0B">
        <w:t xml:space="preserve">We also observe that the Industry Consensus Agreement </w:t>
      </w:r>
      <w:r w:rsidR="3240FF57">
        <w:t xml:space="preserve">suggests </w:t>
      </w:r>
      <w:r w:rsidRPr="46A38630" w:rsidR="7E3F9A0B">
        <w:t>completely remov</w:t>
      </w:r>
      <w:r w:rsidR="3240FF57">
        <w:t>ing</w:t>
      </w:r>
      <w:r w:rsidRPr="46A38630" w:rsidR="7E3F9A0B">
        <w:t xml:space="preserve"> the </w:t>
      </w:r>
      <w:r w:rsidRPr="46A38630" w:rsidR="36DC3302">
        <w:t xml:space="preserve">conducted output power limit from FDS </w:t>
      </w:r>
      <w:r w:rsidR="2277827E">
        <w:t xml:space="preserve">devices </w:t>
      </w:r>
      <w:r w:rsidRPr="46A38630" w:rsidR="36DC3302">
        <w:t xml:space="preserve">operating in </w:t>
      </w:r>
      <w:r w:rsidR="00C957CC">
        <w:t>specific segments</w:t>
      </w:r>
      <w:r w:rsidR="00B45FDE">
        <w:t xml:space="preserve"> of</w:t>
      </w:r>
      <w:r w:rsidRPr="46A38630" w:rsidR="36DC3302">
        <w:t xml:space="preserve"> the 57-64 GHz band.</w:t>
      </w:r>
      <w:r>
        <w:rPr>
          <w:rStyle w:val="FootnoteReference"/>
        </w:rPr>
        <w:footnoteReference w:id="121"/>
      </w:r>
      <w:r w:rsidRPr="46A38630" w:rsidR="36DC3302">
        <w:t xml:space="preserve">  </w:t>
      </w:r>
      <w:r w:rsidRPr="2C41120B" w:rsidR="15BD769B">
        <w:rPr>
          <w:szCs w:val="22"/>
        </w:rPr>
        <w:t xml:space="preserve">We note that the rules must address use cases that involve FDS devices </w:t>
      </w:r>
      <w:r w:rsidR="003B1830">
        <w:rPr>
          <w:szCs w:val="22"/>
        </w:rPr>
        <w:t xml:space="preserve">that </w:t>
      </w:r>
      <w:r w:rsidR="00946AA8">
        <w:rPr>
          <w:szCs w:val="22"/>
        </w:rPr>
        <w:t xml:space="preserve">employ </w:t>
      </w:r>
      <w:r w:rsidRPr="2C41120B" w:rsidR="15BD769B">
        <w:rPr>
          <w:szCs w:val="22"/>
        </w:rPr>
        <w:t>wide beamwidth</w:t>
      </w:r>
      <w:r w:rsidRPr="53441ED5" w:rsidR="04EAB5F8">
        <w:rPr>
          <w:szCs w:val="22"/>
        </w:rPr>
        <w:t xml:space="preserve"> </w:t>
      </w:r>
      <w:r w:rsidRPr="2C41120B" w:rsidR="00E95F40">
        <w:rPr>
          <w:szCs w:val="22"/>
        </w:rPr>
        <w:t>antenna</w:t>
      </w:r>
      <w:r w:rsidR="00E95F40">
        <w:rPr>
          <w:szCs w:val="22"/>
        </w:rPr>
        <w:t>s</w:t>
      </w:r>
      <w:r w:rsidRPr="2C41120B" w:rsidR="00E95F40">
        <w:rPr>
          <w:szCs w:val="22"/>
        </w:rPr>
        <w:t xml:space="preserve"> </w:t>
      </w:r>
      <w:r w:rsidRPr="53441ED5" w:rsidR="04EAB5F8">
        <w:rPr>
          <w:szCs w:val="22"/>
        </w:rPr>
        <w:t>over the entire 57</w:t>
      </w:r>
      <w:r w:rsidRPr="7FF8EA7C" w:rsidR="04EAB5F8">
        <w:rPr>
          <w:szCs w:val="22"/>
        </w:rPr>
        <w:t xml:space="preserve">-71 GHz band, </w:t>
      </w:r>
      <w:r w:rsidR="002E5F1D">
        <w:rPr>
          <w:szCs w:val="22"/>
        </w:rPr>
        <w:t>in addition to</w:t>
      </w:r>
      <w:r w:rsidR="00804C12">
        <w:rPr>
          <w:szCs w:val="22"/>
        </w:rPr>
        <w:t xml:space="preserve"> </w:t>
      </w:r>
      <w:r w:rsidRPr="7FF8EA7C" w:rsidR="04EAB5F8">
        <w:rPr>
          <w:szCs w:val="22"/>
        </w:rPr>
        <w:t>those</w:t>
      </w:r>
      <w:r w:rsidR="00F30868">
        <w:rPr>
          <w:szCs w:val="22"/>
        </w:rPr>
        <w:t xml:space="preserve"> FDS devices that limit their operation to certain portions of the band</w:t>
      </w:r>
      <w:r w:rsidRPr="7FF8EA7C" w:rsidR="15BD769B">
        <w:rPr>
          <w:szCs w:val="22"/>
        </w:rPr>
        <w:t>.</w:t>
      </w:r>
      <w:r w:rsidRPr="2C41120B" w:rsidR="15BD769B">
        <w:rPr>
          <w:szCs w:val="22"/>
        </w:rPr>
        <w:t xml:space="preserve"> </w:t>
      </w:r>
      <w:r w:rsidR="008A629B">
        <w:rPr>
          <w:szCs w:val="22"/>
        </w:rPr>
        <w:t xml:space="preserve"> </w:t>
      </w:r>
      <w:r w:rsidR="64058043">
        <w:t>For these reasons, we</w:t>
      </w:r>
      <w:r w:rsidRPr="695573F5">
        <w:t xml:space="preserve"> decline to specify a conducted output power limit </w:t>
      </w:r>
      <w:r w:rsidRPr="695573F5" w:rsidR="0312F97A">
        <w:t xml:space="preserve">in the rules </w:t>
      </w:r>
      <w:r w:rsidR="00D01E65">
        <w:t xml:space="preserve">we are adopting </w:t>
      </w:r>
      <w:r w:rsidRPr="695573F5" w:rsidR="187DAD7B">
        <w:t xml:space="preserve">for </w:t>
      </w:r>
      <w:r w:rsidRPr="695573F5" w:rsidR="4612A391">
        <w:t xml:space="preserve">frequency-segmented </w:t>
      </w:r>
      <w:r w:rsidRPr="695573F5" w:rsidR="187DAD7B">
        <w:t>FDS</w:t>
      </w:r>
      <w:r w:rsidRPr="695573F5">
        <w:t xml:space="preserve"> devices</w:t>
      </w:r>
      <w:r>
        <w:rPr>
          <w:rStyle w:val="FootnoteReference"/>
        </w:rPr>
        <w:footnoteReference w:id="122"/>
      </w:r>
      <w:r w:rsidRPr="695573F5">
        <w:t xml:space="preserve"> </w:t>
      </w:r>
      <w:r w:rsidRPr="695573F5" w:rsidR="0203C817">
        <w:t>but</w:t>
      </w:r>
      <w:r w:rsidR="00FD20B0">
        <w:t>,</w:t>
      </w:r>
      <w:r w:rsidRPr="695573F5" w:rsidR="0203C817">
        <w:t xml:space="preserve"> </w:t>
      </w:r>
      <w:r w:rsidR="00D73EED">
        <w:rPr>
          <w:szCs w:val="22"/>
        </w:rPr>
        <w:t xml:space="preserve">to </w:t>
      </w:r>
      <w:r w:rsidRPr="64D78EC9" w:rsidR="00D73EED">
        <w:rPr>
          <w:szCs w:val="22"/>
        </w:rPr>
        <w:t xml:space="preserve">limit potential </w:t>
      </w:r>
      <w:r w:rsidR="00D73EED">
        <w:rPr>
          <w:szCs w:val="22"/>
        </w:rPr>
        <w:t xml:space="preserve">harmful </w:t>
      </w:r>
      <w:r w:rsidRPr="64D78EC9" w:rsidR="00D73EED">
        <w:rPr>
          <w:szCs w:val="22"/>
        </w:rPr>
        <w:t>interference</w:t>
      </w:r>
      <w:r w:rsidR="00FD20B0">
        <w:rPr>
          <w:szCs w:val="22"/>
        </w:rPr>
        <w:t>,</w:t>
      </w:r>
      <w:r w:rsidR="00D73EED">
        <w:rPr>
          <w:szCs w:val="22"/>
        </w:rPr>
        <w:t xml:space="preserve"> </w:t>
      </w:r>
      <w:r w:rsidR="00A42D21">
        <w:rPr>
          <w:szCs w:val="22"/>
        </w:rPr>
        <w:t>are</w:t>
      </w:r>
      <w:r w:rsidR="00D73EED">
        <w:rPr>
          <w:szCs w:val="22"/>
        </w:rPr>
        <w:t xml:space="preserve"> </w:t>
      </w:r>
      <w:r w:rsidR="006C1422">
        <w:t xml:space="preserve">continuing to </w:t>
      </w:r>
      <w:r w:rsidRPr="695573F5" w:rsidR="0203C817">
        <w:t xml:space="preserve">maintain </w:t>
      </w:r>
      <w:r w:rsidR="00ED5DE4">
        <w:rPr>
          <w:szCs w:val="22"/>
        </w:rPr>
        <w:t xml:space="preserve">the </w:t>
      </w:r>
      <w:r w:rsidRPr="5E489923" w:rsidR="0203C817">
        <w:rPr>
          <w:szCs w:val="22"/>
        </w:rPr>
        <w:t xml:space="preserve">conducted output power limit for devices that operate over the entire </w:t>
      </w:r>
      <w:r w:rsidRPr="695573F5" w:rsidR="187DAD7B">
        <w:t>57-71 GHz band</w:t>
      </w:r>
      <w:r w:rsidR="00AE225C">
        <w:t xml:space="preserve">.  </w:t>
      </w:r>
      <w:r w:rsidRPr="68E62851" w:rsidR="761FCE88">
        <w:t xml:space="preserve">Similarly, we decline to adopt an antenna gain requirement </w:t>
      </w:r>
      <w:r w:rsidRPr="68E62851" w:rsidR="761FCE88">
        <w:t>for FDS devices</w:t>
      </w:r>
      <w:r w:rsidRPr="68E62851" w:rsidR="78EFE2A5">
        <w:t xml:space="preserve"> in lieu of </w:t>
      </w:r>
      <w:r w:rsidRPr="68E62851" w:rsidR="761FCE88">
        <w:t xml:space="preserve">a conducted power limit as </w:t>
      </w:r>
      <w:r w:rsidRPr="68E62851" w:rsidR="19D448BD">
        <w:t xml:space="preserve">such a requirement </w:t>
      </w:r>
      <w:r w:rsidRPr="68E62851" w:rsidR="761FCE88">
        <w:t>would result in more complex</w:t>
      </w:r>
      <w:r w:rsidR="0032100E">
        <w:t xml:space="preserve"> measurements</w:t>
      </w:r>
      <w:r w:rsidRPr="68E62851" w:rsidR="00ED08E1">
        <w:t>.</w:t>
      </w:r>
      <w:r w:rsidR="00ED08E1">
        <w:rPr>
          <w:szCs w:val="22"/>
        </w:rPr>
        <w:t xml:space="preserve"> </w:t>
      </w:r>
      <w:r>
        <w:rPr>
          <w:szCs w:val="22"/>
        </w:rPr>
        <w:t xml:space="preserve"> </w:t>
      </w:r>
    </w:p>
    <w:p w:rsidR="00F13E1B" w:rsidRPr="00E9609D" w:rsidP="007C4419" w14:paraId="4EEC74BE" w14:textId="4B181080">
      <w:pPr>
        <w:pStyle w:val="ParaNum"/>
        <w:rPr>
          <w:color w:val="000000"/>
        </w:rPr>
      </w:pPr>
      <w:r w:rsidRPr="59CB47AA">
        <w:rPr>
          <w:i/>
          <w:iCs/>
        </w:rPr>
        <w:t xml:space="preserve">Power Spectral Density Limit. </w:t>
      </w:r>
      <w:r>
        <w:t xml:space="preserve"> </w:t>
      </w:r>
      <w:r w:rsidRPr="00FC3029">
        <w:t>The existing rules do not restrict</w:t>
      </w:r>
      <w:r>
        <w:t xml:space="preserve"> the </w:t>
      </w:r>
      <w:r w:rsidRPr="00FC3029">
        <w:t xml:space="preserve">power spectral density for 60 GHz devices. </w:t>
      </w:r>
      <w:r w:rsidRPr="59CB47AA">
        <w:rPr>
          <w:i/>
          <w:iCs/>
        </w:rPr>
        <w:t xml:space="preserve"> </w:t>
      </w:r>
      <w:r>
        <w:t xml:space="preserve">In the </w:t>
      </w:r>
      <w:r w:rsidRPr="59CB47AA">
        <w:rPr>
          <w:i/>
          <w:iCs/>
        </w:rPr>
        <w:t>NPRM</w:t>
      </w:r>
      <w:r>
        <w:t xml:space="preserve">, the </w:t>
      </w:r>
      <w:r w:rsidRPr="00722918">
        <w:t>Commission proposed to require a 13 dBm/MHz EIRP power spectral density on FDS devices, to be consistent with the ETSI limit.</w:t>
      </w:r>
      <w:r>
        <w:rPr>
          <w:rStyle w:val="FootnoteReference"/>
        </w:rPr>
        <w:footnoteReference w:id="123"/>
      </w:r>
      <w:r w:rsidRPr="00FC3029">
        <w:t xml:space="preserve">  This is the same restriction placed on Google and other parties operating FDS devices</w:t>
      </w:r>
      <w:r>
        <w:t xml:space="preserve"> pursuant to</w:t>
      </w:r>
      <w:r w:rsidRPr="00FC3029">
        <w:t xml:space="preserve"> </w:t>
      </w:r>
      <w:r>
        <w:t xml:space="preserve">Commission-issued </w:t>
      </w:r>
      <w:r w:rsidRPr="00FC3029">
        <w:t>waiver</w:t>
      </w:r>
      <w:r>
        <w:t>s</w:t>
      </w:r>
      <w:r w:rsidRPr="00FC3029">
        <w:t xml:space="preserve">.  </w:t>
      </w:r>
      <w:r>
        <w:t xml:space="preserve">However, the Commission sought </w:t>
      </w:r>
      <w:r w:rsidRPr="00FC3029">
        <w:t xml:space="preserve">input </w:t>
      </w:r>
      <w:r>
        <w:t>o</w:t>
      </w:r>
      <w:r w:rsidRPr="35691BA7">
        <w:rPr>
          <w:rFonts w:eastAsia="Calibri"/>
        </w:rPr>
        <w:t xml:space="preserve">n </w:t>
      </w:r>
      <w:r>
        <w:rPr>
          <w:rFonts w:eastAsia="Calibri"/>
        </w:rPr>
        <w:t xml:space="preserve">the ramifications of not adopting </w:t>
      </w:r>
      <w:r w:rsidRPr="35691BA7">
        <w:rPr>
          <w:rFonts w:eastAsia="Calibri"/>
        </w:rPr>
        <w:t>a PSD limit</w:t>
      </w:r>
      <w:r>
        <w:rPr>
          <w:rFonts w:eastAsia="Calibri"/>
        </w:rPr>
        <w:t>, and instead, relying on the EIRP limits to avoid harmful interference.</w:t>
      </w:r>
      <w:r w:rsidR="024C2B7B">
        <w:rPr>
          <w:rFonts w:eastAsia="Calibri"/>
        </w:rPr>
        <w:t xml:space="preserve"> </w:t>
      </w:r>
      <w:r w:rsidR="00172A4F">
        <w:rPr>
          <w:rFonts w:eastAsia="Calibri"/>
        </w:rPr>
        <w:t xml:space="preserve"> </w:t>
      </w:r>
      <w:r w:rsidRPr="00172A4F" w:rsidR="418D510B">
        <w:t>We note that a power spectral density limit is not well matched to the nature of radar transmission</w:t>
      </w:r>
      <w:r w:rsidR="0050265D">
        <w:t>s–</w:t>
      </w:r>
      <w:r w:rsidR="0097434B">
        <w:t xml:space="preserve"> which are in bursts, or chirps</w:t>
      </w:r>
      <w:r w:rsidRPr="00172A4F" w:rsidR="418D510B">
        <w:t>.</w:t>
      </w:r>
      <w:r>
        <w:t xml:space="preserve"> </w:t>
      </w:r>
      <w:r w:rsidR="00E340D1">
        <w:t xml:space="preserve"> </w:t>
      </w:r>
      <w:r w:rsidR="56461204">
        <w:t>Accordingly</w:t>
      </w:r>
      <w:r w:rsidR="00D045FD">
        <w:t xml:space="preserve">, </w:t>
      </w:r>
      <w:r w:rsidR="56461204">
        <w:t>we</w:t>
      </w:r>
      <w:r w:rsidR="00E340D1">
        <w:t xml:space="preserve"> </w:t>
      </w:r>
      <w:r w:rsidR="6596C4ED">
        <w:t>f</w:t>
      </w:r>
      <w:r w:rsidR="332992A9">
        <w:t>ind</w:t>
      </w:r>
      <w:r>
        <w:t xml:space="preserve"> that adopting a power spectral density limit is unnecessary</w:t>
      </w:r>
      <w:r w:rsidR="020355DB">
        <w:t xml:space="preserve">.  </w:t>
      </w:r>
      <w:r w:rsidR="00A907C2">
        <w:t>C</w:t>
      </w:r>
      <w:r w:rsidR="020355DB">
        <w:t xml:space="preserve">ommenters </w:t>
      </w:r>
      <w:r w:rsidR="538FAF02">
        <w:t>have pointed out that while t</w:t>
      </w:r>
      <w:r>
        <w:t xml:space="preserve">he Commission proposed such a limit with the primary intent to be consistent with ETSI, </w:t>
      </w:r>
      <w:r w:rsidR="61323E4E">
        <w:t xml:space="preserve">subsequent changes in </w:t>
      </w:r>
      <w:r>
        <w:t xml:space="preserve">the EU regulations </w:t>
      </w:r>
      <w:r w:rsidR="45896B3B">
        <w:t>have</w:t>
      </w:r>
      <w:r w:rsidR="5391FD2F">
        <w:t xml:space="preserve"> </w:t>
      </w:r>
      <w:r w:rsidR="3337E778">
        <w:t>made</w:t>
      </w:r>
      <w:r w:rsidR="5391FD2F">
        <w:t xml:space="preserve"> our proposal incompatible</w:t>
      </w:r>
      <w:r w:rsidR="5358699F">
        <w:t xml:space="preserve"> with that standard</w:t>
      </w:r>
      <w:r>
        <w:t>.</w:t>
      </w:r>
      <w:r>
        <w:rPr>
          <w:rStyle w:val="FootnoteReference"/>
        </w:rPr>
        <w:footnoteReference w:id="124"/>
      </w:r>
      <w:r>
        <w:t xml:space="preserve">  We also agree with Google</w:t>
      </w:r>
      <w:r>
        <w:rPr>
          <w:rStyle w:val="FootnoteReference"/>
          <w:rFonts w:eastAsia="ArialMT"/>
        </w:rPr>
        <w:footnoteReference w:id="125"/>
      </w:r>
      <w:r>
        <w:t xml:space="preserve"> that a power spectral density limit may be too restrictive for certain radar use cases with narrow bandwidths.  We therefore will not adopt this requirement into the final rules.  </w:t>
      </w:r>
    </w:p>
    <w:p w:rsidR="000F50D4" w:rsidRPr="000B4380" w:rsidP="00363BD6" w14:paraId="2F01619A" w14:textId="4F7E95BD">
      <w:pPr>
        <w:pStyle w:val="ParaNum"/>
      </w:pPr>
      <w:r w:rsidRPr="4A1C0502">
        <w:rPr>
          <w:i/>
          <w:iCs/>
        </w:rPr>
        <w:t>Use of Spectrum Sen</w:t>
      </w:r>
      <w:r w:rsidRPr="4A1C0502" w:rsidR="5879DF5B">
        <w:rPr>
          <w:i/>
          <w:iCs/>
        </w:rPr>
        <w:t>sing Technologies</w:t>
      </w:r>
      <w:r w:rsidRPr="4A1C0502" w:rsidR="02091E82">
        <w:rPr>
          <w:i/>
          <w:iCs/>
        </w:rPr>
        <w:t>.</w:t>
      </w:r>
      <w:r w:rsidR="02091E82">
        <w:t xml:space="preserve">  </w:t>
      </w:r>
      <w:r w:rsidR="2BD5AA38">
        <w:t xml:space="preserve">Although the Commission </w:t>
      </w:r>
      <w:r w:rsidR="178EC37B">
        <w:t xml:space="preserve">did not </w:t>
      </w:r>
      <w:r w:rsidR="120B41D0">
        <w:t xml:space="preserve">suggest allowing </w:t>
      </w:r>
      <w:r w:rsidR="178EC37B">
        <w:t xml:space="preserve">FDS operation at the proposed higher power limits </w:t>
      </w:r>
      <w:r w:rsidR="4BBDDA7F">
        <w:t>throughout the entire 57-71 GHz band</w:t>
      </w:r>
      <w:r w:rsidRPr="00A76ECF" w:rsidR="7F3664B3">
        <w:t xml:space="preserve"> </w:t>
      </w:r>
      <w:r w:rsidR="7F3664B3">
        <w:t xml:space="preserve">in the </w:t>
      </w:r>
      <w:r w:rsidRPr="4A1C0502" w:rsidR="7F3664B3">
        <w:rPr>
          <w:i/>
          <w:iCs/>
        </w:rPr>
        <w:t>NPRM</w:t>
      </w:r>
      <w:r w:rsidR="7F3664B3">
        <w:t>,</w:t>
      </w:r>
      <w:r w:rsidR="774245A8">
        <w:t xml:space="preserve"> it noted that </w:t>
      </w:r>
      <w:r w:rsidRPr="00FC3029" w:rsidR="4BBDDA7F">
        <w:t xml:space="preserve">the </w:t>
      </w:r>
      <w:r w:rsidR="589BDAB2">
        <w:t>Technical Advisory Committee (</w:t>
      </w:r>
      <w:r w:rsidRPr="00FC3029" w:rsidR="4BBDDA7F">
        <w:t>TAC</w:t>
      </w:r>
      <w:r w:rsidR="589BDAB2">
        <w:t>)</w:t>
      </w:r>
      <w:r w:rsidRPr="00FC3029" w:rsidR="4BBDDA7F">
        <w:t xml:space="preserve"> suggest</w:t>
      </w:r>
      <w:r w:rsidR="774245A8">
        <w:t>ed</w:t>
      </w:r>
      <w:r w:rsidRPr="00FC3029" w:rsidR="4BBDDA7F">
        <w:t xml:space="preserve"> </w:t>
      </w:r>
      <w:r w:rsidR="774245A8">
        <w:t>th</w:t>
      </w:r>
      <w:r w:rsidRPr="00FC3029" w:rsidR="4BBDDA7F">
        <w:t xml:space="preserve">e possibility of allowing radars that incorporate </w:t>
      </w:r>
      <w:r w:rsidR="4BBDDA7F">
        <w:t xml:space="preserve">a sensing technology such as </w:t>
      </w:r>
      <w:r w:rsidRPr="00FC3029" w:rsidR="4BBDDA7F">
        <w:t>listen-before-talk</w:t>
      </w:r>
      <w:r w:rsidR="4BBDDA7F">
        <w:t xml:space="preserve"> (LBT) </w:t>
      </w:r>
      <w:r w:rsidRPr="00FC3029" w:rsidR="4BBDDA7F">
        <w:t>to operate at the same emission limits as WLAN devices in the band, i.e., 40 dBm EIRP and 27 dBm transmitter conducted output power.</w:t>
      </w:r>
      <w:r>
        <w:rPr>
          <w:rStyle w:val="FootnoteReference"/>
        </w:rPr>
        <w:footnoteReference w:id="126"/>
      </w:r>
      <w:r w:rsidR="71CEC22F">
        <w:t xml:space="preserve">  </w:t>
      </w:r>
      <w:r w:rsidR="2E821BA8">
        <w:t xml:space="preserve">Commenters had different reactions to </w:t>
      </w:r>
      <w:r w:rsidR="471F053A">
        <w:t xml:space="preserve">the </w:t>
      </w:r>
      <w:r w:rsidR="5440B69C">
        <w:t xml:space="preserve">concept.  </w:t>
      </w:r>
      <w:r w:rsidR="41BC6CD4">
        <w:t>Acconeer</w:t>
      </w:r>
      <w:r w:rsidR="5440B69C">
        <w:t>, for example,</w:t>
      </w:r>
      <w:r w:rsidR="41BC6CD4">
        <w:t xml:space="preserve"> </w:t>
      </w:r>
      <w:r w:rsidRPr="695573F5" w:rsidR="6766C175">
        <w:t>argue</w:t>
      </w:r>
      <w:r w:rsidR="6766C175">
        <w:t>d</w:t>
      </w:r>
      <w:r w:rsidRPr="0010546E" w:rsidR="40EDB319">
        <w:t xml:space="preserve"> </w:t>
      </w:r>
      <w:r w:rsidR="566E06CE">
        <w:t>that</w:t>
      </w:r>
      <w:r w:rsidR="40EDB319">
        <w:t xml:space="preserve"> LBT generally does not provide efficient coexistence among different systems in high millimeter </w:t>
      </w:r>
      <w:r w:rsidR="4D5AD444">
        <w:t>w</w:t>
      </w:r>
      <w:r w:rsidR="40EDB319">
        <w:t>ave frequencies such as the 60 GHz</w:t>
      </w:r>
      <w:r w:rsidR="54A13F51">
        <w:t xml:space="preserve"> </w:t>
      </w:r>
      <w:r w:rsidR="40EDB319">
        <w:t>band, where transmissions have high directivity</w:t>
      </w:r>
      <w:r w:rsidRPr="00E81889" w:rsidR="41BC6CD4">
        <w:rPr>
          <w:szCs w:val="22"/>
        </w:rPr>
        <w:t>.</w:t>
      </w:r>
      <w:r>
        <w:rPr>
          <w:rStyle w:val="FootnoteReference"/>
        </w:rPr>
        <w:footnoteReference w:id="127"/>
      </w:r>
      <w:r w:rsidRPr="003B3A42" w:rsidR="19CEB2E6">
        <w:rPr>
          <w:szCs w:val="22"/>
        </w:rPr>
        <w:t xml:space="preserve">  </w:t>
      </w:r>
      <w:r w:rsidRPr="695573F5" w:rsidR="65F84A92">
        <w:t>WISPA further states that LBT would only complicate devices and add latency, driving up equipment costs and forcing a re-design and retrofitting of equipment already deployed in hundreds, if not thousands, of locations.</w:t>
      </w:r>
      <w:r>
        <w:rPr>
          <w:rStyle w:val="FootnoteReference"/>
        </w:rPr>
        <w:footnoteReference w:id="128"/>
      </w:r>
      <w:r w:rsidR="65F84A92">
        <w:rPr>
          <w:szCs w:val="22"/>
        </w:rPr>
        <w:t xml:space="preserve">  </w:t>
      </w:r>
      <w:r w:rsidRPr="6AD549E2" w:rsidR="0F915C83">
        <w:t xml:space="preserve">Other parties </w:t>
      </w:r>
      <w:r w:rsidRPr="6AD549E2" w:rsidR="7769AC58">
        <w:t xml:space="preserve">suggested that </w:t>
      </w:r>
      <w:r w:rsidRPr="6AD549E2" w:rsidR="6B055FAF">
        <w:t xml:space="preserve">we could allow FDS devices to operate </w:t>
      </w:r>
      <w:r w:rsidRPr="6AD549E2" w:rsidR="488D4E78">
        <w:t xml:space="preserve">with </w:t>
      </w:r>
      <w:r w:rsidRPr="695573F5" w:rsidR="0B65956E">
        <w:t xml:space="preserve">power limits as high as those accorded to communication devices (i.e., up to 40 dBm EIRP) </w:t>
      </w:r>
      <w:r w:rsidRPr="695573F5" w:rsidR="57296A77">
        <w:t>if the</w:t>
      </w:r>
      <w:r w:rsidR="488D4E78">
        <w:t>y</w:t>
      </w:r>
      <w:r w:rsidRPr="695573F5" w:rsidR="57296A77">
        <w:t xml:space="preserve"> incorporate</w:t>
      </w:r>
      <w:r w:rsidR="488D4E78">
        <w:t>d</w:t>
      </w:r>
      <w:r w:rsidRPr="695573F5" w:rsidR="57296A77">
        <w:t xml:space="preserve"> spectrum sharing techniques</w:t>
      </w:r>
      <w:r w:rsidRPr="695573F5" w:rsidR="57296A77">
        <w:rPr>
          <w:rFonts w:eastAsia="ArialMT"/>
        </w:rPr>
        <w:t>.</w:t>
      </w:r>
      <w:r>
        <w:rPr>
          <w:rStyle w:val="FootnoteReference"/>
          <w:rFonts w:eastAsia="ArialMT"/>
        </w:rPr>
        <w:footnoteReference w:id="129"/>
      </w:r>
      <w:r w:rsidR="57296A77">
        <w:rPr>
          <w:szCs w:val="22"/>
        </w:rPr>
        <w:t xml:space="preserve"> </w:t>
      </w:r>
      <w:r w:rsidR="52E80187">
        <w:rPr>
          <w:szCs w:val="22"/>
        </w:rPr>
        <w:t xml:space="preserve"> </w:t>
      </w:r>
    </w:p>
    <w:p w:rsidR="000B4380" w:rsidRPr="00FC3029" w:rsidP="003E1DC7" w14:paraId="6316BFF6" w14:textId="48156527">
      <w:pPr>
        <w:pStyle w:val="ParaNum"/>
        <w:widowControl/>
      </w:pPr>
      <w:r>
        <w:t xml:space="preserve">Given our decision to adopt final rules </w:t>
      </w:r>
      <w:r w:rsidR="0012069D">
        <w:t>as described above</w:t>
      </w:r>
      <w:r w:rsidR="000D4AAA">
        <w:t xml:space="preserve">, </w:t>
      </w:r>
      <w:r w:rsidR="00B413D9">
        <w:t xml:space="preserve">we see no need to further pursue the use of spectrum sensing </w:t>
      </w:r>
      <w:r w:rsidR="000230D6">
        <w:t>technologies</w:t>
      </w:r>
      <w:r w:rsidR="00B413D9">
        <w:t xml:space="preserve"> in the 60 GHz band at this time.  </w:t>
      </w:r>
      <w:r w:rsidR="00551846">
        <w:t>Not</w:t>
      </w:r>
      <w:r w:rsidR="00261E0A">
        <w:t>h</w:t>
      </w:r>
      <w:r w:rsidR="00551846">
        <w:t xml:space="preserve">ing in our decision </w:t>
      </w:r>
      <w:r w:rsidR="005F44BC">
        <w:t>should be read to preclude</w:t>
      </w:r>
      <w:r w:rsidR="00C34239">
        <w:t xml:space="preserve"> standards bodies </w:t>
      </w:r>
      <w:r w:rsidR="009027B4">
        <w:t xml:space="preserve">from </w:t>
      </w:r>
      <w:r w:rsidR="00C34239">
        <w:t>develop</w:t>
      </w:r>
      <w:r w:rsidR="009027B4">
        <w:t>ing</w:t>
      </w:r>
      <w:r w:rsidR="00C34239">
        <w:t xml:space="preserve"> industry voluntary standard</w:t>
      </w:r>
      <w:r w:rsidR="00096B9E">
        <w:t xml:space="preserve">s for </w:t>
      </w:r>
      <w:r w:rsidR="00C36162">
        <w:t>consideration by the Commission</w:t>
      </w:r>
      <w:r w:rsidR="005F44BC">
        <w:t xml:space="preserve"> if the</w:t>
      </w:r>
      <w:r w:rsidR="008C2830">
        <w:t>y determine it is appropriate to do so.</w:t>
      </w:r>
    </w:p>
    <w:p w:rsidR="00F13E1B" w:rsidP="00373159" w14:paraId="2FE77C7D" w14:textId="0888040B">
      <w:pPr>
        <w:pStyle w:val="Heading2"/>
      </w:pPr>
      <w:bookmarkStart w:id="57" w:name="_Toc135123546"/>
      <w:r>
        <w:t xml:space="preserve">Operation On-board </w:t>
      </w:r>
      <w:r w:rsidR="00516787">
        <w:t>Aircraft</w:t>
      </w:r>
      <w:bookmarkEnd w:id="57"/>
    </w:p>
    <w:p w:rsidR="00516787" w:rsidRPr="00363BD6" w:rsidP="00363BD6" w14:paraId="00FFC4F7" w14:textId="65CA3A28">
      <w:pPr>
        <w:pStyle w:val="ParaNum"/>
      </w:pPr>
      <w:r>
        <w:t xml:space="preserve">In the </w:t>
      </w:r>
      <w:r w:rsidRPr="59CB47AA">
        <w:rPr>
          <w:i/>
          <w:iCs/>
        </w:rPr>
        <w:t>NPRM</w:t>
      </w:r>
      <w:r>
        <w:t xml:space="preserve">, the Commission stated that it did </w:t>
      </w:r>
      <w:r w:rsidR="00DA5FE8">
        <w:t xml:space="preserve">not </w:t>
      </w:r>
      <w:r>
        <w:t xml:space="preserve">anticipate </w:t>
      </w:r>
      <w:r w:rsidRPr="00FC3029">
        <w:t>alter</w:t>
      </w:r>
      <w:r>
        <w:t>ing</w:t>
      </w:r>
      <w:r w:rsidRPr="00FC3029">
        <w:t xml:space="preserve"> </w:t>
      </w:r>
      <w:r>
        <w:t xml:space="preserve">the existing restrictions </w:t>
      </w:r>
      <w:r w:rsidR="00DA5FE8">
        <w:t>in Section 15.255(b) of the rules</w:t>
      </w:r>
      <w:r>
        <w:t xml:space="preserve"> relating to</w:t>
      </w:r>
      <w:r w:rsidRPr="00FC3029">
        <w:t xml:space="preserve"> </w:t>
      </w:r>
      <w:r>
        <w:t>the</w:t>
      </w:r>
      <w:r w:rsidRPr="00FC3029">
        <w:t xml:space="preserve"> </w:t>
      </w:r>
      <w:r>
        <w:t>use of 60 GHz band unlicensed devices o</w:t>
      </w:r>
      <w:r w:rsidRPr="009E0E45">
        <w:t>n</w:t>
      </w:r>
      <w:r>
        <w:t>-</w:t>
      </w:r>
      <w:r w:rsidRPr="009E0E45">
        <w:t>b</w:t>
      </w:r>
      <w:r>
        <w:t xml:space="preserve">oard aircraft, but nevertheless sought comment as to whether it should expand the situations where such </w:t>
      </w:r>
      <w:r>
        <w:t>use is permissible.</w:t>
      </w:r>
      <w:r>
        <w:rPr>
          <w:rStyle w:val="FootnoteReference"/>
        </w:rPr>
        <w:footnoteReference w:id="130"/>
      </w:r>
      <w:r>
        <w:t xml:space="preserve">  These restrictions prohibit operation on-board aircraft, except on aircraft that are equipped with a high RF attenuation body (e.g., commercial airliners) while forming  “</w:t>
      </w:r>
      <w:r w:rsidRPr="4291BD84">
        <w:rPr>
          <w:color w:val="000000" w:themeColor="text1"/>
        </w:rPr>
        <w:t xml:space="preserve">closed exclusive on-board communication networks within the aircraft,” such as </w:t>
      </w:r>
      <w:r>
        <w:t>entertainment systems that deliver movies and music to passengers on-board commercial aircraft.</w:t>
      </w:r>
      <w:r w:rsidRPr="4291BD84">
        <w:rPr>
          <w:color w:val="000000" w:themeColor="text1"/>
        </w:rPr>
        <w:t xml:space="preserve">  The rule specifically prohibits </w:t>
      </w:r>
      <w:r w:rsidR="00D47A3A">
        <w:rPr>
          <w:color w:val="000000" w:themeColor="text1"/>
        </w:rPr>
        <w:t xml:space="preserve">60 GHz </w:t>
      </w:r>
      <w:r w:rsidR="00216190">
        <w:rPr>
          <w:color w:val="000000" w:themeColor="text1"/>
        </w:rPr>
        <w:t xml:space="preserve">transmitters from </w:t>
      </w:r>
      <w:r w:rsidRPr="4291BD84" w:rsidR="00216190">
        <w:rPr>
          <w:color w:val="000000" w:themeColor="text1"/>
        </w:rPr>
        <w:t>operati</w:t>
      </w:r>
      <w:r w:rsidR="00216190">
        <w:rPr>
          <w:color w:val="000000" w:themeColor="text1"/>
        </w:rPr>
        <w:t>ng</w:t>
      </w:r>
      <w:r w:rsidRPr="4291BD84">
        <w:rPr>
          <w:color w:val="000000" w:themeColor="text1"/>
        </w:rPr>
        <w:t xml:space="preserve"> on unmanned </w:t>
      </w:r>
      <w:r w:rsidRPr="59CB47AA" w:rsidR="00743F9A">
        <w:rPr>
          <w:color w:val="000000" w:themeColor="text1"/>
        </w:rPr>
        <w:t>aircraft</w:t>
      </w:r>
      <w:r w:rsidRPr="4291BD84">
        <w:rPr>
          <w:color w:val="000000" w:themeColor="text1"/>
        </w:rPr>
        <w:t>, because these types of aircraft do not provide substantial RF shielding.</w:t>
      </w:r>
      <w:r>
        <w:rPr>
          <w:rStyle w:val="FootnoteReference"/>
          <w:color w:val="000000"/>
        </w:rPr>
        <w:footnoteReference w:id="131"/>
      </w:r>
      <w:r w:rsidRPr="4291BD84">
        <w:rPr>
          <w:color w:val="000000" w:themeColor="text1"/>
        </w:rPr>
        <w:t xml:space="preserve">  </w:t>
      </w:r>
      <w:r>
        <w:t xml:space="preserve">The Commission observed that it has only </w:t>
      </w:r>
      <w:r w:rsidRPr="00FC3029">
        <w:t xml:space="preserve">authorized </w:t>
      </w:r>
      <w:r>
        <w:t>60 GHz radars to operate on</w:t>
      </w:r>
      <w:r w:rsidRPr="00477813">
        <w:t xml:space="preserve"> bo</w:t>
      </w:r>
      <w:r>
        <w:t xml:space="preserve">ard aircraft beyond the uses permitted in the rules via </w:t>
      </w:r>
      <w:r w:rsidR="007C5497">
        <w:t>waiver in</w:t>
      </w:r>
      <w:r>
        <w:t xml:space="preserve"> two limited situations in conjunction with specific use cases.</w:t>
      </w:r>
      <w:r>
        <w:rPr>
          <w:rStyle w:val="FootnoteReference"/>
        </w:rPr>
        <w:footnoteReference w:id="132"/>
      </w:r>
    </w:p>
    <w:p w:rsidR="00661F6A" w:rsidRPr="00661F6A" w:rsidP="00363BD6" w14:paraId="4D37F476" w14:textId="480513D2">
      <w:pPr>
        <w:pStyle w:val="Heading3"/>
      </w:pPr>
      <w:bookmarkStart w:id="58" w:name="_Toc135123547"/>
      <w:r>
        <w:t>Op</w:t>
      </w:r>
      <w:r w:rsidR="009674EA">
        <w:t xml:space="preserve">eration on-board unmanned </w:t>
      </w:r>
      <w:r w:rsidR="00C62C64">
        <w:t>aircraft</w:t>
      </w:r>
      <w:r w:rsidR="009674EA">
        <w:t xml:space="preserve"> (UA)</w:t>
      </w:r>
      <w:bookmarkEnd w:id="58"/>
    </w:p>
    <w:p w:rsidR="007401D9" w:rsidP="00F13E1B" w14:paraId="1BACFBBC" w14:textId="1A2606D8">
      <w:pPr>
        <w:pStyle w:val="ParaNum"/>
      </w:pPr>
      <w:r>
        <w:t xml:space="preserve">In its comments, </w:t>
      </w:r>
      <w:r w:rsidR="2CFF32D7">
        <w:t xml:space="preserve">Amazon </w:t>
      </w:r>
      <w:r w:rsidR="7A3C17E8">
        <w:t xml:space="preserve">requests that </w:t>
      </w:r>
      <w:r w:rsidR="7B8A8362">
        <w:t xml:space="preserve">the final rules </w:t>
      </w:r>
      <w:r w:rsidRPr="695573F5" w:rsidR="2CFF32D7">
        <w:t xml:space="preserve">allow FDS device use cases on board aircraft in the 60-64 GHz segment of the 60 GHz band for unmanned </w:t>
      </w:r>
      <w:r w:rsidR="00743F9A">
        <w:t>aircraft</w:t>
      </w:r>
      <w:r w:rsidRPr="695573F5" w:rsidR="2CFF32D7">
        <w:t>.</w:t>
      </w:r>
      <w:r>
        <w:rPr>
          <w:rStyle w:val="FootnoteReference"/>
        </w:rPr>
        <w:footnoteReference w:id="133"/>
      </w:r>
      <w:r w:rsidRPr="00A8196A" w:rsidR="2CFF32D7">
        <w:rPr>
          <w:szCs w:val="22"/>
        </w:rPr>
        <w:t xml:space="preserve">  </w:t>
      </w:r>
      <w:r w:rsidRPr="695573F5" w:rsidR="603DE6FA">
        <w:t>Amazon s</w:t>
      </w:r>
      <w:r w:rsidRPr="695573F5" w:rsidR="2CFF32D7">
        <w:t xml:space="preserve">tates that </w:t>
      </w:r>
      <w:r w:rsidRPr="695573F5" w:rsidR="603DE6FA">
        <w:t>it</w:t>
      </w:r>
      <w:r w:rsidRPr="695573F5" w:rsidR="2CFF32D7">
        <w:t xml:space="preserve"> would like to deploy 60 GHz radar </w:t>
      </w:r>
      <w:r w:rsidR="5FE93FE3">
        <w:t xml:space="preserve">on </w:t>
      </w:r>
      <w:r w:rsidRPr="695573F5" w:rsidR="603DE6FA">
        <w:t xml:space="preserve">unmanned </w:t>
      </w:r>
      <w:r w:rsidR="2B7ACC42">
        <w:t>aircraft</w:t>
      </w:r>
      <w:r w:rsidRPr="695573F5" w:rsidR="603DE6FA">
        <w:t xml:space="preserve"> (</w:t>
      </w:r>
      <w:r w:rsidRPr="695573F5" w:rsidR="1CD702A7">
        <w:t>UA</w:t>
      </w:r>
      <w:r w:rsidR="603DE6FA">
        <w:rPr>
          <w:szCs w:val="22"/>
        </w:rPr>
        <w:t>)</w:t>
      </w:r>
      <w:r w:rsidRPr="695573F5" w:rsidR="2CFF32D7">
        <w:t xml:space="preserve"> </w:t>
      </w:r>
      <w:r w:rsidR="257974AE">
        <w:t xml:space="preserve">for </w:t>
      </w:r>
      <w:r w:rsidRPr="695573F5" w:rsidR="679D7FC1">
        <w:t>obstacle avoidance and situational awareness</w:t>
      </w:r>
      <w:r w:rsidR="679D7FC1">
        <w:rPr>
          <w:szCs w:val="22"/>
        </w:rPr>
        <w:t xml:space="preserve"> </w:t>
      </w:r>
      <w:r w:rsidRPr="695573F5" w:rsidR="4A9C93EF">
        <w:t xml:space="preserve">similar to </w:t>
      </w:r>
      <w:r w:rsidR="5D8CCAFE">
        <w:t xml:space="preserve">the use cases </w:t>
      </w:r>
      <w:r w:rsidRPr="695573F5" w:rsidR="41A3D53E">
        <w:t xml:space="preserve">we have </w:t>
      </w:r>
      <w:r w:rsidRPr="695573F5" w:rsidR="0534C6BD">
        <w:t xml:space="preserve">previously </w:t>
      </w:r>
      <w:r w:rsidR="775418DC">
        <w:t xml:space="preserve">permitted via </w:t>
      </w:r>
      <w:r w:rsidRPr="695573F5" w:rsidR="41A3D53E">
        <w:t>waiver</w:t>
      </w:r>
      <w:r w:rsidR="63B18201">
        <w:t xml:space="preserve"> to </w:t>
      </w:r>
      <w:r w:rsidRPr="695573F5" w:rsidR="63B18201">
        <w:t>Leica Geosystems AG</w:t>
      </w:r>
      <w:r w:rsidRPr="695573F5" w:rsidR="41A3D53E">
        <w:t>.</w:t>
      </w:r>
      <w:r>
        <w:rPr>
          <w:rStyle w:val="FootnoteReference"/>
        </w:rPr>
        <w:footnoteReference w:id="134"/>
      </w:r>
      <w:r w:rsidRPr="695573F5" w:rsidR="0660F3A3">
        <w:t xml:space="preserve">  </w:t>
      </w:r>
      <w:r w:rsidR="0FE96BB8">
        <w:t xml:space="preserve">Amazon states that </w:t>
      </w:r>
      <w:r w:rsidR="00A62AA9">
        <w:t xml:space="preserve">using </w:t>
      </w:r>
      <w:r w:rsidR="0FE96BB8">
        <w:t>60 GHz radars on</w:t>
      </w:r>
      <w:r w:rsidR="00A62AA9">
        <w:t xml:space="preserve"> </w:t>
      </w:r>
      <w:r w:rsidR="0FE96BB8">
        <w:t xml:space="preserve">drones would enable </w:t>
      </w:r>
      <w:r w:rsidR="18D45BF1">
        <w:t xml:space="preserve">it </w:t>
      </w:r>
      <w:r w:rsidR="0FE96BB8">
        <w:t xml:space="preserve">and other companies to develop and deploy Near Surround Detection (NSD) systems to enhance the drone’s ability to sense and avoid persons and obstacles in and near its ascent and descent path, thereby improving aviation safety as NSD systems provide situational awareness that help prevent collisions.  Amazon further claims that authorized drone operations conducted below </w:t>
      </w:r>
      <w:r w:rsidR="43817B9E">
        <w:t>121.92 meters (400 feet)</w:t>
      </w:r>
      <w:r w:rsidR="0FE96BB8">
        <w:t xml:space="preserve"> above ground level (AGL) in the 60-64 GHz band can coexist with, and will not cause harmful interference to, adjacent Earth-Exploration Satellite Service (EESS) and Radio Astronomy Service (RAS) operations.</w:t>
      </w:r>
      <w:r>
        <w:rPr>
          <w:rStyle w:val="FootnoteReference"/>
        </w:rPr>
        <w:footnoteReference w:id="135"/>
      </w:r>
      <w:r w:rsidR="0FE96BB8">
        <w:t xml:space="preserve"> </w:t>
      </w:r>
      <w:r w:rsidR="6904E8A2">
        <w:t xml:space="preserve"> </w:t>
      </w:r>
    </w:p>
    <w:p w:rsidR="00BB460E" w:rsidRPr="00961EDA" w:rsidP="00735946" w14:paraId="2D769D23" w14:textId="4A6CF185">
      <w:pPr>
        <w:pStyle w:val="ParaNum"/>
        <w:widowControl/>
      </w:pPr>
      <w:r>
        <w:t xml:space="preserve">Over the course of the rulemaking, </w:t>
      </w:r>
      <w:r w:rsidR="6975179A">
        <w:t>we have seen increasing interest in, and support of, Amazon’s</w:t>
      </w:r>
      <w:r w:rsidR="483D2386">
        <w:t xml:space="preserve"> </w:t>
      </w:r>
      <w:r w:rsidR="6975179A">
        <w:t>position</w:t>
      </w:r>
      <w:r w:rsidR="483D2386">
        <w:t xml:space="preserve">.  For instance, the General Aviation Manufacturers Association (GAMA) believes that airborne FDS radars operating in the 60 GHz band will not cause harmful interference to other spectrum users, arguing that “radar devices in this frequency range operate at a relatively low EIRP; the nearest frequency band that is used on aircraft is 24 GHz; and there </w:t>
      </w:r>
      <w:r w:rsidR="04943CEE">
        <w:t xml:space="preserve">is </w:t>
      </w:r>
      <w:r w:rsidR="483D2386">
        <w:t>existing communications equipment using this same band at the same power where no harmful interference has been observed.”</w:t>
      </w:r>
      <w:r>
        <w:rPr>
          <w:rStyle w:val="FootnoteReference"/>
        </w:rPr>
        <w:footnoteReference w:id="136"/>
      </w:r>
      <w:r w:rsidR="483D2386">
        <w:t xml:space="preserve">  T</w:t>
      </w:r>
      <w:r w:rsidRPr="00BB460E" w:rsidR="483D2386">
        <w:rPr>
          <w:color w:val="000000" w:themeColor="text1"/>
        </w:rPr>
        <w:t xml:space="preserve">he Consumer Technology Association, CTIA, Information Technology Industry Council (ITI), </w:t>
      </w:r>
      <w:r w:rsidRPr="00BB460E" w:rsidR="483D2386">
        <w:rPr>
          <w:color w:val="000000" w:themeColor="text1"/>
        </w:rPr>
        <w:t>NetChoice</w:t>
      </w:r>
      <w:r w:rsidRPr="00BB460E" w:rsidR="483D2386">
        <w:rPr>
          <w:color w:val="000000" w:themeColor="text1"/>
        </w:rPr>
        <w:t xml:space="preserve">, TechNet and the </w:t>
      </w:r>
      <w:r w:rsidR="483D2386">
        <w:t xml:space="preserve">U.S. Chamber of Commerce, in a joint comment, </w:t>
      </w:r>
      <w:r w:rsidR="40A82088">
        <w:t xml:space="preserve">assert </w:t>
      </w:r>
      <w:r w:rsidR="483D2386">
        <w:t xml:space="preserve">that </w:t>
      </w:r>
      <w:r w:rsidRPr="00BB460E" w:rsidR="483D2386">
        <w:rPr>
          <w:color w:val="000000" w:themeColor="text1"/>
        </w:rPr>
        <w:t xml:space="preserve">allowing the use of this band for low-altitude drone operations would enable systems </w:t>
      </w:r>
      <w:r w:rsidR="63944F9C">
        <w:rPr>
          <w:color w:val="000000" w:themeColor="text1"/>
        </w:rPr>
        <w:t xml:space="preserve">that </w:t>
      </w:r>
      <w:r w:rsidRPr="00BB460E" w:rsidR="483D2386">
        <w:rPr>
          <w:color w:val="000000" w:themeColor="text1"/>
        </w:rPr>
        <w:t xml:space="preserve">sense and avoid obstacles and provide situational </w:t>
      </w:r>
      <w:r w:rsidRPr="00BB460E" w:rsidR="483D2386">
        <w:rPr>
          <w:color w:val="000000" w:themeColor="text1"/>
        </w:rPr>
        <w:t>awareness</w:t>
      </w:r>
      <w:r w:rsidR="63944F9C">
        <w:rPr>
          <w:color w:val="000000" w:themeColor="text1"/>
        </w:rPr>
        <w:t xml:space="preserve"> to develop</w:t>
      </w:r>
      <w:r w:rsidRPr="00BB460E" w:rsidR="483D2386">
        <w:rPr>
          <w:color w:val="000000" w:themeColor="text1"/>
        </w:rPr>
        <w:t>; these parties argue that this would help enhance aviation safety and reduce the risk to both people and property on the ground and other airspace users.</w:t>
      </w:r>
      <w:r>
        <w:rPr>
          <w:rStyle w:val="FootnoteReference"/>
        </w:rPr>
        <w:footnoteReference w:id="137"/>
      </w:r>
    </w:p>
    <w:p w:rsidR="00554F9D" w:rsidP="00554F9D" w14:paraId="1241202C" w14:textId="7D991481">
      <w:pPr>
        <w:pStyle w:val="ParaNum"/>
      </w:pPr>
      <w:r>
        <w:t xml:space="preserve">We find that the rules could accommodate 60 GHz FDS operations on UA provided that these operations are limited to the 60-64 GHz sub-band while airborne at low altitudes </w:t>
      </w:r>
      <w:r w:rsidR="001747A3">
        <w:t>(</w:t>
      </w:r>
      <w:r w:rsidR="00C64EAE">
        <w:t xml:space="preserve">less than </w:t>
      </w:r>
      <w:r w:rsidR="00103C05">
        <w:t>121.92 meters (400 feet)</w:t>
      </w:r>
      <w:r w:rsidR="00C64EAE">
        <w:t xml:space="preserve"> above ground level (AGL)) </w:t>
      </w:r>
      <w:r>
        <w:t xml:space="preserve">without increasing the potential for interference to authorized services in this band.  As the Commission stated in the Leica Waiver Order, </w:t>
      </w:r>
      <w:r w:rsidRPr="59CB47AA" w:rsidR="006E1E11">
        <w:rPr>
          <w:color w:val="000000" w:themeColor="text1"/>
        </w:rPr>
        <w:t>limiting operation to</w:t>
      </w:r>
      <w:r w:rsidRPr="0193E450">
        <w:rPr>
          <w:color w:val="000000" w:themeColor="text1"/>
        </w:rPr>
        <w:t xml:space="preserve"> the 60-64 GHz frequency band (instead of the entire 57-71 GHz band) avoids the passive EESS band by providing a natural </w:t>
      </w:r>
      <w:r w:rsidR="005A2238">
        <w:rPr>
          <w:color w:val="000000" w:themeColor="text1"/>
        </w:rPr>
        <w:t xml:space="preserve">700-megahertz </w:t>
      </w:r>
      <w:r w:rsidRPr="0193E450">
        <w:rPr>
          <w:color w:val="000000" w:themeColor="text1"/>
        </w:rPr>
        <w:t>guard band between the EESS passive service at 57-59.3 GHz and the device’s operating band at 60-64 GHz, thus protecting EESS users.  The Commission further stated that “[r]</w:t>
      </w:r>
      <w:r>
        <w:t>egarding</w:t>
      </w:r>
      <w:r>
        <w:t xml:space="preserve"> RAS, for which there is no allocation in the 57-71 GHz band, our strict out-of-band limits in the rules already prevent any increase in potential harmful interference caused by the device’s operation.”</w:t>
      </w:r>
      <w:r>
        <w:rPr>
          <w:sz w:val="20"/>
          <w:vertAlign w:val="superscript"/>
        </w:rPr>
        <w:footnoteReference w:id="138"/>
      </w:r>
      <w:r>
        <w:t xml:space="preserve">  The Commission also observed that the high oxygen attenuation at frequencies around 60 GHz, added to the fact that the UA is mostly in motion, will serve to mitigate any potential for harmful interference to other users.</w:t>
      </w:r>
      <w:r>
        <w:rPr>
          <w:sz w:val="20"/>
          <w:vertAlign w:val="superscript"/>
        </w:rPr>
        <w:footnoteReference w:id="139"/>
      </w:r>
      <w:r>
        <w:t xml:space="preserve">  The Commission further noted that, because fixed outdoor point-to-point 60 GHz transmitters generally use narrow antenna beams, the likelihood that a UA equipped with a 60 GHz radar would be located within the antenna beamwidth of these transmitters is very small, thereby mitigating any potential increase in harmful interference.</w:t>
      </w:r>
      <w:r>
        <w:rPr>
          <w:rStyle w:val="FootnoteReference"/>
        </w:rPr>
        <w:footnoteReference w:id="140"/>
      </w:r>
      <w:r>
        <w:t xml:space="preserve">  </w:t>
      </w:r>
      <w:r w:rsidR="001C3682">
        <w:t>We agree with the logic</w:t>
      </w:r>
      <w:r w:rsidR="005B31BF">
        <w:t xml:space="preserve"> of</w:t>
      </w:r>
      <w:r w:rsidR="001C3682">
        <w:t xml:space="preserve"> </w:t>
      </w:r>
      <w:r>
        <w:t xml:space="preserve">these </w:t>
      </w:r>
      <w:r w:rsidR="005B31BF">
        <w:t xml:space="preserve">prior </w:t>
      </w:r>
      <w:r>
        <w:t xml:space="preserve">assessments, </w:t>
      </w:r>
      <w:r w:rsidR="00392FB7">
        <w:t xml:space="preserve">and </w:t>
      </w:r>
      <w:r w:rsidR="000F07CA">
        <w:t xml:space="preserve">based on the absence of interference complaints from the </w:t>
      </w:r>
      <w:r w:rsidR="002547B5">
        <w:t xml:space="preserve">Leica </w:t>
      </w:r>
      <w:r w:rsidR="00B42B85">
        <w:t>deployments since 2020</w:t>
      </w:r>
      <w:r w:rsidR="003259F9">
        <w:t xml:space="preserve"> and support</w:t>
      </w:r>
      <w:r w:rsidR="00CF7BCC">
        <w:t xml:space="preserve"> in the record</w:t>
      </w:r>
      <w:r>
        <w:t>, we find that 60</w:t>
      </w:r>
      <w:r w:rsidR="001F76A2">
        <w:noBreakHyphen/>
      </w:r>
      <w:r>
        <w:t xml:space="preserve">64 GHz FDS </w:t>
      </w:r>
      <w:r w:rsidR="00D958F8">
        <w:t xml:space="preserve">devices can </w:t>
      </w:r>
      <w:r>
        <w:t xml:space="preserve">operate on UA </w:t>
      </w:r>
      <w:r w:rsidR="00253A13">
        <w:t xml:space="preserve">at altitudes less than </w:t>
      </w:r>
      <w:r w:rsidR="00B91E90">
        <w:t>121.92 meters (400 feet)</w:t>
      </w:r>
      <w:r w:rsidR="00253A13">
        <w:t xml:space="preserve"> above ground level </w:t>
      </w:r>
      <w:r>
        <w:t>without increasing the potential for harmful interference to authorized services</w:t>
      </w:r>
      <w:r w:rsidR="0046639E">
        <w:t xml:space="preserve">  We </w:t>
      </w:r>
      <w:r w:rsidR="00BB6931">
        <w:t xml:space="preserve">also </w:t>
      </w:r>
      <w:r w:rsidR="0046639E">
        <w:t xml:space="preserve">note that </w:t>
      </w:r>
      <w:r w:rsidR="006803C8">
        <w:t xml:space="preserve">the Federal Aviation Administration (FAA) </w:t>
      </w:r>
      <w:r w:rsidR="006F6D96">
        <w:t xml:space="preserve">part 107 </w:t>
      </w:r>
      <w:r w:rsidR="002701DC">
        <w:t xml:space="preserve">rules </w:t>
      </w:r>
      <w:r w:rsidR="002F0DAE">
        <w:t xml:space="preserve">limit </w:t>
      </w:r>
      <w:r w:rsidR="006A5610">
        <w:t xml:space="preserve">operation of small unmanned aircraft to </w:t>
      </w:r>
      <w:r w:rsidR="00B91E90">
        <w:t>121.92 meters (400 feet)</w:t>
      </w:r>
      <w:r w:rsidR="00411DC0">
        <w:t xml:space="preserve"> AGL</w:t>
      </w:r>
      <w:r w:rsidR="003307AE">
        <w:t>.</w:t>
      </w:r>
      <w:r>
        <w:rPr>
          <w:rStyle w:val="FootnoteReference"/>
        </w:rPr>
        <w:footnoteReference w:id="141"/>
      </w:r>
      <w:r w:rsidR="00411DC0">
        <w:t xml:space="preserve"> </w:t>
      </w:r>
      <w:r w:rsidR="00B96BC6">
        <w:t xml:space="preserve"> </w:t>
      </w:r>
      <w:r w:rsidR="00F2094D">
        <w:t xml:space="preserve">The rules we </w:t>
      </w:r>
      <w:r w:rsidR="00EF6DED">
        <w:t>are ado</w:t>
      </w:r>
      <w:r w:rsidR="000131AD">
        <w:t xml:space="preserve">pting herein </w:t>
      </w:r>
      <w:r w:rsidR="003254F8">
        <w:t xml:space="preserve">address </w:t>
      </w:r>
      <w:r w:rsidR="007D0123">
        <w:t xml:space="preserve">the operation of </w:t>
      </w:r>
      <w:r w:rsidR="003254F8">
        <w:t xml:space="preserve">unlicensed </w:t>
      </w:r>
      <w:r w:rsidR="005937B3">
        <w:t xml:space="preserve">FDS </w:t>
      </w:r>
      <w:r w:rsidR="007D0123">
        <w:t>de</w:t>
      </w:r>
      <w:r w:rsidR="00A33A0A">
        <w:t>vices</w:t>
      </w:r>
      <w:r w:rsidR="007C0DB7">
        <w:t xml:space="preserve"> in the 60 GHz band</w:t>
      </w:r>
      <w:r w:rsidR="00536201">
        <w:t xml:space="preserve"> that may be used on UA</w:t>
      </w:r>
      <w:r w:rsidR="007C0DB7">
        <w:t xml:space="preserve"> </w:t>
      </w:r>
      <w:r w:rsidR="007678CD">
        <w:t>a</w:t>
      </w:r>
      <w:r w:rsidR="00794D5A">
        <w:t xml:space="preserve">nd do not </w:t>
      </w:r>
      <w:r w:rsidR="00965971">
        <w:t>alter any obligation</w:t>
      </w:r>
      <w:r w:rsidR="00BF21BE">
        <w:t xml:space="preserve">s </w:t>
      </w:r>
      <w:r w:rsidR="007C0DB7">
        <w:t>under applicable FAA regulations.</w:t>
      </w:r>
    </w:p>
    <w:p w:rsidR="001A0711" w:rsidRPr="00A74FD0" w:rsidP="00554F9D" w14:paraId="41E240A0" w14:textId="74B48F79">
      <w:pPr>
        <w:pStyle w:val="ParaNum"/>
      </w:pPr>
      <w:r w:rsidRPr="59CB47AA">
        <w:rPr>
          <w:i/>
          <w:iCs/>
        </w:rPr>
        <w:t>Power Levels</w:t>
      </w:r>
      <w:r>
        <w:t xml:space="preserve">.  With respect to power levels for </w:t>
      </w:r>
      <w:r w:rsidR="00935256">
        <w:t xml:space="preserve">FDS devices operating </w:t>
      </w:r>
      <w:r>
        <w:t xml:space="preserve">on UA, we note that the Industry Consensus Agreement proposes </w:t>
      </w:r>
      <w:r w:rsidR="00871111">
        <w:t xml:space="preserve">such </w:t>
      </w:r>
      <w:r>
        <w:t>operation</w:t>
      </w:r>
      <w:r w:rsidR="00871111">
        <w:t xml:space="preserve">s be limited </w:t>
      </w:r>
      <w:r w:rsidR="00AF583E">
        <w:t xml:space="preserve">to </w:t>
      </w:r>
      <w:r>
        <w:t>20 dBm peak EIRP with a 50% duty cycle.</w:t>
      </w:r>
      <w:r>
        <w:rPr>
          <w:rStyle w:val="FootnoteReference"/>
        </w:rPr>
        <w:footnoteReference w:id="142"/>
      </w:r>
      <w:r>
        <w:t xml:space="preserve">  </w:t>
      </w:r>
      <w:r w:rsidR="00B21A6F">
        <w:t>The</w:t>
      </w:r>
      <w:r w:rsidR="001C2116">
        <w:t>se</w:t>
      </w:r>
      <w:r w:rsidR="00B21A6F">
        <w:t xml:space="preserve"> EIRP </w:t>
      </w:r>
      <w:r w:rsidR="005537EE">
        <w:t>and duty cycle limit</w:t>
      </w:r>
      <w:r w:rsidR="00CE7B16">
        <w:t>s</w:t>
      </w:r>
      <w:r w:rsidR="00D52482">
        <w:t xml:space="preserve"> are consistent with those permitted in the Lei</w:t>
      </w:r>
      <w:r w:rsidR="00B34179">
        <w:t>c</w:t>
      </w:r>
      <w:r w:rsidR="00D52482">
        <w:t>a Waiver Order</w:t>
      </w:r>
      <w:r w:rsidR="006C5983">
        <w:t xml:space="preserve">, and </w:t>
      </w:r>
      <w:r w:rsidR="00EE3537">
        <w:t xml:space="preserve">the </w:t>
      </w:r>
      <w:r w:rsidR="000321A6">
        <w:t xml:space="preserve">60-64 GHz </w:t>
      </w:r>
      <w:r w:rsidR="00EE3537">
        <w:t xml:space="preserve">frequency range </w:t>
      </w:r>
      <w:r w:rsidR="006E350B">
        <w:t xml:space="preserve">selected for FDS </w:t>
      </w:r>
      <w:r w:rsidR="00BB322C">
        <w:t xml:space="preserve">devices operating </w:t>
      </w:r>
      <w:r w:rsidR="006E350B">
        <w:t>on UA</w:t>
      </w:r>
      <w:r w:rsidR="000321A6">
        <w:t xml:space="preserve"> avoids the </w:t>
      </w:r>
      <w:r w:rsidR="00970633">
        <w:t xml:space="preserve">EESS passive band at 57-59.3 </w:t>
      </w:r>
      <w:r w:rsidR="002A2AE3">
        <w:t xml:space="preserve">GHz with </w:t>
      </w:r>
      <w:r w:rsidR="00871DEB">
        <w:t xml:space="preserve">a </w:t>
      </w:r>
      <w:r w:rsidR="002A2AE3">
        <w:t>700-megahertz guard band</w:t>
      </w:r>
      <w:r w:rsidR="007A7992">
        <w:t>, consistent with NTIA</w:t>
      </w:r>
      <w:r w:rsidR="00E54FCA">
        <w:t xml:space="preserve">’s </w:t>
      </w:r>
      <w:r w:rsidR="0099238D">
        <w:t xml:space="preserve">support of the TIG’s </w:t>
      </w:r>
      <w:r w:rsidR="00A65E43">
        <w:t xml:space="preserve">efforts regarding </w:t>
      </w:r>
      <w:r w:rsidR="00A13775">
        <w:t xml:space="preserve">FDS </w:t>
      </w:r>
      <w:r w:rsidR="00A65E43">
        <w:t xml:space="preserve">co-channel use of </w:t>
      </w:r>
      <w:r w:rsidR="00A13775">
        <w:t>the EESS band</w:t>
      </w:r>
      <w:r w:rsidR="002A2AE3">
        <w:t>.</w:t>
      </w:r>
      <w:r>
        <w:rPr>
          <w:rStyle w:val="FootnoteReference"/>
        </w:rPr>
        <w:footnoteReference w:id="143"/>
      </w:r>
      <w:r w:rsidR="002A2AE3">
        <w:t xml:space="preserve">  </w:t>
      </w:r>
      <w:r w:rsidR="00D86E3E">
        <w:t>Accordingly,</w:t>
      </w:r>
      <w:r>
        <w:t xml:space="preserve"> we are authorizing these parameters for 60-64 GHz FDS operating on-board UA</w:t>
      </w:r>
      <w:r w:rsidR="000E1666">
        <w:t xml:space="preserve">, limited to </w:t>
      </w:r>
      <w:r w:rsidR="00EE5B3D">
        <w:t xml:space="preserve">flying altitudes less than </w:t>
      </w:r>
      <w:r w:rsidR="00CC25F3">
        <w:t>121.92 meters (400 feet)</w:t>
      </w:r>
      <w:r w:rsidR="00EE5B3D">
        <w:t xml:space="preserve"> above ground level</w:t>
      </w:r>
      <w:r>
        <w:t xml:space="preserve">.  </w:t>
      </w:r>
      <w:r w:rsidR="00423A63">
        <w:t xml:space="preserve">Operations on UA </w:t>
      </w:r>
      <w:r w:rsidR="00606548">
        <w:t xml:space="preserve">at these power levels </w:t>
      </w:r>
      <w:r w:rsidR="00F26020">
        <w:t xml:space="preserve">will enable </w:t>
      </w:r>
      <w:r w:rsidR="0036433E">
        <w:t>more expa</w:t>
      </w:r>
      <w:r w:rsidR="00644228">
        <w:t>nsive use</w:t>
      </w:r>
      <w:r w:rsidR="002F38CE">
        <w:t xml:space="preserve"> to deliver new innovative services to the American public</w:t>
      </w:r>
      <w:r w:rsidR="004330FF">
        <w:t xml:space="preserve"> without </w:t>
      </w:r>
      <w:r w:rsidR="001240C6">
        <w:t>increasing the potential</w:t>
      </w:r>
      <w:r w:rsidR="004330FF">
        <w:t xml:space="preserve"> of causing harmful interference to incumbent users</w:t>
      </w:r>
      <w:r w:rsidR="002F38CE">
        <w:t>.</w:t>
      </w:r>
    </w:p>
    <w:p w:rsidR="00DF24B9" w:rsidRPr="00ED7F5C" w:rsidP="00363BD6" w14:paraId="70FCF5BB" w14:textId="1EC14707">
      <w:pPr>
        <w:pStyle w:val="Heading3"/>
      </w:pPr>
      <w:bookmarkStart w:id="59" w:name="_Toc135123548"/>
      <w:r>
        <w:t>Operation on-board aircraft other than UA</w:t>
      </w:r>
      <w:bookmarkEnd w:id="59"/>
    </w:p>
    <w:p w:rsidR="00233D18" w:rsidRPr="00FC3029" w:rsidP="00735946" w14:paraId="0C85647D" w14:textId="77CE91FC">
      <w:pPr>
        <w:pStyle w:val="ParaNum"/>
        <w:widowControl/>
      </w:pPr>
      <w:r>
        <w:t xml:space="preserve">As indicated above, </w:t>
      </w:r>
      <w:r w:rsidR="001D5ACF">
        <w:t xml:space="preserve">Section 15.255(b)(2) prohibits operation on aircraft, </w:t>
      </w:r>
      <w:r w:rsidR="00740049">
        <w:t xml:space="preserve">unless the device is part of </w:t>
      </w:r>
      <w:r w:rsidR="001D5ACF">
        <w:t>“</w:t>
      </w:r>
      <w:r w:rsidRPr="00054929" w:rsidR="001D5ACF">
        <w:rPr>
          <w:color w:val="000000" w:themeColor="text1"/>
        </w:rPr>
        <w:t>closed exclusive on-board communication networks within the aircraft.”</w:t>
      </w:r>
      <w:r>
        <w:rPr>
          <w:rStyle w:val="FootnoteReference"/>
        </w:rPr>
        <w:footnoteReference w:id="144"/>
      </w:r>
      <w:r w:rsidRPr="00054929" w:rsidR="001D5ACF">
        <w:rPr>
          <w:color w:val="000000" w:themeColor="text1"/>
        </w:rPr>
        <w:t xml:space="preserve">  </w:t>
      </w:r>
      <w:r w:rsidR="00B77C71">
        <w:rPr>
          <w:color w:val="000000" w:themeColor="text1"/>
        </w:rPr>
        <w:t>H</w:t>
      </w:r>
      <w:r w:rsidR="002A44ED">
        <w:rPr>
          <w:color w:val="000000" w:themeColor="text1"/>
        </w:rPr>
        <w:t>owever</w:t>
      </w:r>
      <w:r w:rsidRPr="00054929" w:rsidR="0076483B">
        <w:rPr>
          <w:color w:val="000000" w:themeColor="text1"/>
        </w:rPr>
        <w:t xml:space="preserve">, in 2018, </w:t>
      </w:r>
      <w:r w:rsidRPr="00054929" w:rsidR="0032371F">
        <w:rPr>
          <w:color w:val="000000" w:themeColor="text1"/>
        </w:rPr>
        <w:t>the Commission waive</w:t>
      </w:r>
      <w:r w:rsidRPr="00054929" w:rsidR="00A50937">
        <w:rPr>
          <w:color w:val="000000" w:themeColor="text1"/>
        </w:rPr>
        <w:t>d</w:t>
      </w:r>
      <w:r w:rsidRPr="00054929" w:rsidR="0032371F">
        <w:rPr>
          <w:color w:val="000000" w:themeColor="text1"/>
        </w:rPr>
        <w:t xml:space="preserve"> </w:t>
      </w:r>
      <w:r w:rsidRPr="00054929" w:rsidR="00A50937">
        <w:rPr>
          <w:color w:val="000000" w:themeColor="text1"/>
        </w:rPr>
        <w:t>this rule to allow</w:t>
      </w:r>
      <w:r w:rsidRPr="00054929" w:rsidR="0032371F">
        <w:rPr>
          <w:color w:val="000000" w:themeColor="text1"/>
        </w:rPr>
        <w:t xml:space="preserve"> the </w:t>
      </w:r>
      <w:r w:rsidRPr="00FC3029" w:rsidR="006E541A">
        <w:t xml:space="preserve">Google Soli radar incorporated into a smartphone </w:t>
      </w:r>
      <w:r w:rsidR="006E541A">
        <w:t xml:space="preserve">to </w:t>
      </w:r>
      <w:r w:rsidRPr="00054929" w:rsidR="006E541A">
        <w:rPr>
          <w:color w:val="000000" w:themeColor="text1"/>
        </w:rPr>
        <w:t>operat</w:t>
      </w:r>
      <w:r w:rsidR="006E541A">
        <w:rPr>
          <w:color w:val="000000" w:themeColor="text1"/>
        </w:rPr>
        <w:t>e</w:t>
      </w:r>
      <w:r w:rsidRPr="00054929" w:rsidR="00A2550D">
        <w:rPr>
          <w:color w:val="000000" w:themeColor="text1"/>
        </w:rPr>
        <w:t xml:space="preserve"> on aircraft </w:t>
      </w:r>
      <w:r w:rsidR="008361AF">
        <w:t xml:space="preserve">without being part </w:t>
      </w:r>
      <w:r w:rsidRPr="00FC3029" w:rsidR="0032371F">
        <w:t>of the aircraft</w:t>
      </w:r>
      <w:r w:rsidR="006F5F2A">
        <w:t>’s</w:t>
      </w:r>
      <w:r w:rsidRPr="00FC3029" w:rsidR="0032371F">
        <w:t xml:space="preserve"> communication network</w:t>
      </w:r>
      <w:r w:rsidR="00AE1BEB">
        <w:t>.</w:t>
      </w:r>
      <w:r>
        <w:rPr>
          <w:rStyle w:val="FootnoteReference"/>
        </w:rPr>
        <w:footnoteReference w:id="145"/>
      </w:r>
      <w:r w:rsidR="00AE1BEB">
        <w:t xml:space="preserve">  </w:t>
      </w:r>
      <w:r>
        <w:t xml:space="preserve">In the </w:t>
      </w:r>
      <w:r w:rsidRPr="59CB47AA">
        <w:rPr>
          <w:i/>
          <w:iCs/>
        </w:rPr>
        <w:t>NPRM</w:t>
      </w:r>
      <w:r>
        <w:t>, the Commission noted that compliance options exist for portable electronic devices</w:t>
      </w:r>
      <w:r>
        <w:rPr>
          <w:sz w:val="20"/>
          <w:vertAlign w:val="superscript"/>
        </w:rPr>
        <w:footnoteReference w:id="146"/>
      </w:r>
      <w:r>
        <w:t xml:space="preserve"> that may be brought aboard airplanes; these could include, for example, </w:t>
      </w:r>
      <w:r w:rsidR="00DD60C3">
        <w:t xml:space="preserve">requiring </w:t>
      </w:r>
      <w:r w:rsidRPr="00FC3029">
        <w:t>“airplane</w:t>
      </w:r>
      <w:r>
        <w:t xml:space="preserve"> mode</w:t>
      </w:r>
      <w:r w:rsidRPr="00FC3029">
        <w:t xml:space="preserve">” </w:t>
      </w:r>
      <w:r w:rsidR="00DD60C3">
        <w:t xml:space="preserve">to be activated </w:t>
      </w:r>
      <w:r>
        <w:t>during flight.</w:t>
      </w:r>
    </w:p>
    <w:p w:rsidR="00B6585C" w:rsidRPr="00E30D3F" w:rsidP="00F13E1B" w14:paraId="2054EE24" w14:textId="0C24B9C3">
      <w:pPr>
        <w:pStyle w:val="ParaNum"/>
      </w:pPr>
      <w:r w:rsidRPr="001E5450">
        <w:rPr>
          <w:rFonts w:eastAsia="ArialMT"/>
        </w:rPr>
        <w:t xml:space="preserve">CORF argues that there is no publicly available data on the effect </w:t>
      </w:r>
      <w:r w:rsidR="4ACBE263">
        <w:rPr>
          <w:rFonts w:eastAsia="ArialMT"/>
        </w:rPr>
        <w:t>th</w:t>
      </w:r>
      <w:r w:rsidR="3EA58D2A">
        <w:rPr>
          <w:rFonts w:eastAsia="ArialMT"/>
        </w:rPr>
        <w:t xml:space="preserve">at </w:t>
      </w:r>
      <w:r w:rsidRPr="001E5450">
        <w:rPr>
          <w:rFonts w:eastAsia="ArialMT"/>
        </w:rPr>
        <w:t xml:space="preserve">60 GHz networking devices on </w:t>
      </w:r>
      <w:r w:rsidR="3936A9B1">
        <w:rPr>
          <w:rFonts w:eastAsia="ArialMT"/>
        </w:rPr>
        <w:t xml:space="preserve">aircraft have </w:t>
      </w:r>
      <w:r w:rsidRPr="001E5450">
        <w:rPr>
          <w:rFonts w:eastAsia="ArialMT"/>
        </w:rPr>
        <w:t>on EESS remote sensing in the 57-59.3 GHz band</w:t>
      </w:r>
      <w:r w:rsidR="6020CE23">
        <w:rPr>
          <w:rFonts w:eastAsia="ArialMT"/>
        </w:rPr>
        <w:t>.</w:t>
      </w:r>
      <w:r w:rsidRPr="001E5450">
        <w:rPr>
          <w:rFonts w:eastAsia="ArialMT"/>
        </w:rPr>
        <w:t xml:space="preserve"> </w:t>
      </w:r>
      <w:r w:rsidR="6020CE23">
        <w:rPr>
          <w:rFonts w:eastAsia="ArialMT"/>
        </w:rPr>
        <w:t xml:space="preserve"> T</w:t>
      </w:r>
      <w:r w:rsidRPr="001E5450" w:rsidR="6020CE23">
        <w:rPr>
          <w:rFonts w:eastAsia="ArialMT"/>
        </w:rPr>
        <w:t>herefore</w:t>
      </w:r>
      <w:r w:rsidRPr="001E5450">
        <w:rPr>
          <w:rFonts w:eastAsia="ArialMT"/>
        </w:rPr>
        <w:t>, CORF believes it is unreasonable to loosen the standards and allow additional devices such as 60 GHz radars on aircraft.</w:t>
      </w:r>
      <w:r>
        <w:rPr>
          <w:rStyle w:val="FootnoteReference"/>
          <w:rFonts w:eastAsia="ArialMT"/>
        </w:rPr>
        <w:footnoteReference w:id="147"/>
      </w:r>
      <w:r w:rsidRPr="001E5450">
        <w:rPr>
          <w:rFonts w:eastAsia="ArialMT"/>
        </w:rPr>
        <w:t xml:space="preserve">  The Frequency Allocation on Remote Sensing (FARS) Committee agrees with CORF’s concerns about the accuracy of Google’s report </w:t>
      </w:r>
      <w:r w:rsidR="457E2348">
        <w:rPr>
          <w:rFonts w:eastAsia="ArialMT"/>
        </w:rPr>
        <w:t xml:space="preserve">on </w:t>
      </w:r>
      <w:r w:rsidR="1197F053">
        <w:rPr>
          <w:rFonts w:eastAsia="ArialMT"/>
        </w:rPr>
        <w:t xml:space="preserve">the </w:t>
      </w:r>
      <w:r w:rsidRPr="001E5450">
        <w:rPr>
          <w:rFonts w:eastAsia="ArialMT"/>
        </w:rPr>
        <w:t>total reflection</w:t>
      </w:r>
      <w:r w:rsidR="6AE36B09">
        <w:rPr>
          <w:rFonts w:eastAsia="ArialMT"/>
        </w:rPr>
        <w:t xml:space="preserve"> of radar</w:t>
      </w:r>
      <w:r w:rsidR="143C30F6">
        <w:rPr>
          <w:rFonts w:eastAsia="ArialMT"/>
        </w:rPr>
        <w:t xml:space="preserve"> signals</w:t>
      </w:r>
      <w:r w:rsidR="457E2348">
        <w:rPr>
          <w:rFonts w:eastAsia="ArialMT"/>
        </w:rPr>
        <w:t xml:space="preserve"> off of an aircraft window</w:t>
      </w:r>
      <w:r w:rsidR="31E67DEC">
        <w:rPr>
          <w:rFonts w:eastAsia="ArialMT"/>
        </w:rPr>
        <w:t xml:space="preserve"> </w:t>
      </w:r>
      <w:r w:rsidR="4CBA5C72">
        <w:rPr>
          <w:rFonts w:eastAsia="ArialMT"/>
        </w:rPr>
        <w:t xml:space="preserve">and the absence </w:t>
      </w:r>
      <w:r w:rsidR="0384237F">
        <w:rPr>
          <w:rFonts w:eastAsia="ArialMT"/>
        </w:rPr>
        <w:t xml:space="preserve">in Google’s report </w:t>
      </w:r>
      <w:r w:rsidR="4CBA5C72">
        <w:rPr>
          <w:rFonts w:eastAsia="ArialMT"/>
        </w:rPr>
        <w:t xml:space="preserve">of </w:t>
      </w:r>
      <w:r w:rsidRPr="59CB47AA" w:rsidR="001240C6">
        <w:rPr>
          <w:rFonts w:eastAsia="ArialMT"/>
        </w:rPr>
        <w:t xml:space="preserve">any discussion regarding </w:t>
      </w:r>
      <w:r w:rsidR="4712032D">
        <w:rPr>
          <w:rFonts w:eastAsia="ArialMT"/>
        </w:rPr>
        <w:t xml:space="preserve">the </w:t>
      </w:r>
      <w:r w:rsidR="2CD8B94B">
        <w:rPr>
          <w:rFonts w:eastAsia="ArialMT"/>
        </w:rPr>
        <w:t xml:space="preserve">effect of radar signals </w:t>
      </w:r>
      <w:r w:rsidR="4712032D">
        <w:rPr>
          <w:rFonts w:eastAsia="ArialMT"/>
        </w:rPr>
        <w:t>reflection</w:t>
      </w:r>
      <w:r w:rsidR="2CD8B94B">
        <w:rPr>
          <w:rFonts w:eastAsia="ArialMT"/>
        </w:rPr>
        <w:t>s</w:t>
      </w:r>
      <w:r w:rsidR="4712032D">
        <w:rPr>
          <w:rFonts w:eastAsia="ArialMT"/>
        </w:rPr>
        <w:t xml:space="preserve"> off of </w:t>
      </w:r>
      <w:r w:rsidR="3FCCD415">
        <w:rPr>
          <w:rFonts w:eastAsia="ArialMT"/>
        </w:rPr>
        <w:t>the aircraft wings</w:t>
      </w:r>
      <w:r w:rsidRPr="001E5450">
        <w:rPr>
          <w:rFonts w:eastAsia="ArialMT"/>
        </w:rPr>
        <w:t>,</w:t>
      </w:r>
      <w:r>
        <w:rPr>
          <w:rStyle w:val="FootnoteReference"/>
          <w:rFonts w:eastAsia="ArialMT"/>
        </w:rPr>
        <w:footnoteReference w:id="148"/>
      </w:r>
      <w:r w:rsidRPr="001E5450">
        <w:rPr>
          <w:rFonts w:eastAsia="ArialMT"/>
        </w:rPr>
        <w:t xml:space="preserve"> and requests that we do not expand airborne use of radars.</w:t>
      </w:r>
      <w:r>
        <w:rPr>
          <w:rStyle w:val="FootnoteReference"/>
          <w:rFonts w:eastAsia="ArialMT"/>
        </w:rPr>
        <w:footnoteReference w:id="149"/>
      </w:r>
      <w:r w:rsidRPr="001E5450">
        <w:rPr>
          <w:rFonts w:eastAsia="ArialMT"/>
        </w:rPr>
        <w:t xml:space="preserve">  </w:t>
      </w:r>
      <w:r w:rsidR="13066913">
        <w:rPr>
          <w:rFonts w:eastAsia="ArialMT"/>
        </w:rPr>
        <w:t>Conversely</w:t>
      </w:r>
      <w:r w:rsidRPr="001E5450" w:rsidR="22EA6F8E">
        <w:rPr>
          <w:rFonts w:eastAsia="ArialMT"/>
        </w:rPr>
        <w:t>,</w:t>
      </w:r>
      <w:r w:rsidRPr="001E5450" w:rsidR="24B7DBCF">
        <w:rPr>
          <w:rFonts w:eastAsia="ArialMT"/>
        </w:rPr>
        <w:t xml:space="preserve"> </w:t>
      </w:r>
      <w:r w:rsidRPr="695573F5" w:rsidR="761F3351">
        <w:t xml:space="preserve">Google states that </w:t>
      </w:r>
      <w:r w:rsidRPr="001E5450" w:rsidR="761F3351">
        <w:rPr>
          <w:szCs w:val="22"/>
        </w:rPr>
        <w:t>“</w:t>
      </w:r>
      <w:r w:rsidRPr="695573F5" w:rsidR="761F3351">
        <w:t>t</w:t>
      </w:r>
      <w:r w:rsidRPr="001E5450" w:rsidR="761F3351">
        <w:rPr>
          <w:rFonts w:eastAsia="ArialMT"/>
        </w:rPr>
        <w:t xml:space="preserve">he 2018 Google study did take </w:t>
      </w:r>
      <w:r w:rsidR="355702FE">
        <w:rPr>
          <w:rFonts w:eastAsia="ArialMT"/>
        </w:rPr>
        <w:t xml:space="preserve">the </w:t>
      </w:r>
      <w:r w:rsidR="0FF7285A">
        <w:rPr>
          <w:rFonts w:eastAsia="ArialMT"/>
        </w:rPr>
        <w:t>effect</w:t>
      </w:r>
      <w:r w:rsidR="355702FE">
        <w:rPr>
          <w:rFonts w:eastAsia="ArialMT"/>
        </w:rPr>
        <w:t xml:space="preserve"> of </w:t>
      </w:r>
      <w:r w:rsidR="3A9DB223">
        <w:rPr>
          <w:rFonts w:eastAsia="ArialMT"/>
        </w:rPr>
        <w:t xml:space="preserve">radar </w:t>
      </w:r>
      <w:r w:rsidRPr="001E5450" w:rsidR="761F3351">
        <w:rPr>
          <w:rFonts w:eastAsia="ArialMT"/>
        </w:rPr>
        <w:t>reflections off of airplane wings into account.</w:t>
      </w:r>
      <w:r w:rsidR="0CE013C0">
        <w:rPr>
          <w:rFonts w:eastAsia="ArialMT"/>
        </w:rPr>
        <w:t>”</w:t>
      </w:r>
      <w:r w:rsidRPr="001E5450" w:rsidR="761F3351">
        <w:rPr>
          <w:rFonts w:eastAsia="ArialMT"/>
        </w:rPr>
        <w:t xml:space="preserve">  Google argues that the Soli radar emissions at issue in Google’s study are beamed out of the front of the phone; therefore, a user would have to </w:t>
      </w:r>
      <w:r w:rsidR="671936DD">
        <w:rPr>
          <w:rFonts w:eastAsia="ArialMT"/>
        </w:rPr>
        <w:t xml:space="preserve">point </w:t>
      </w:r>
      <w:r w:rsidR="127C5444">
        <w:rPr>
          <w:rFonts w:eastAsia="ArialMT"/>
        </w:rPr>
        <w:t xml:space="preserve">the </w:t>
      </w:r>
      <w:r w:rsidRPr="001E5450" w:rsidR="761F3351">
        <w:rPr>
          <w:rFonts w:eastAsia="ArialMT"/>
        </w:rPr>
        <w:t>phone out of the aircraft window and downward</w:t>
      </w:r>
      <w:r w:rsidR="62DFE209">
        <w:rPr>
          <w:rFonts w:eastAsia="ArialMT"/>
        </w:rPr>
        <w:t xml:space="preserve">.  </w:t>
      </w:r>
      <w:r w:rsidR="0263E2D3">
        <w:rPr>
          <w:rFonts w:eastAsia="ArialMT"/>
        </w:rPr>
        <w:t>In such a scenario</w:t>
      </w:r>
      <w:r w:rsidRPr="001E5450" w:rsidR="761F3351">
        <w:rPr>
          <w:rFonts w:eastAsia="ArialMT"/>
        </w:rPr>
        <w:t>, “the user would have difficulty viewing the screen in this configuration, let alone using hand gestures to control any interaction with content on the screen.”</w:t>
      </w:r>
      <w:r>
        <w:rPr>
          <w:rStyle w:val="FootnoteReference"/>
          <w:rFonts w:eastAsia="ArialMT"/>
        </w:rPr>
        <w:footnoteReference w:id="150"/>
      </w:r>
      <w:r w:rsidRPr="001E5450" w:rsidR="761F3351">
        <w:rPr>
          <w:rFonts w:eastAsia="ArialMT"/>
        </w:rPr>
        <w:t xml:space="preserve">  </w:t>
      </w:r>
    </w:p>
    <w:p w:rsidR="00ED7F5C" w:rsidP="00F13E1B" w14:paraId="0B599047" w14:textId="46555C24">
      <w:pPr>
        <w:pStyle w:val="ParaNum"/>
      </w:pPr>
      <w:r>
        <w:t xml:space="preserve">As </w:t>
      </w:r>
      <w:r w:rsidR="00E026C8">
        <w:t xml:space="preserve">indicated </w:t>
      </w:r>
      <w:r w:rsidRPr="59CB47AA" w:rsidR="00D112A3">
        <w:rPr>
          <w:i/>
          <w:iCs/>
        </w:rPr>
        <w:t>supra</w:t>
      </w:r>
      <w:r w:rsidR="00D112A3">
        <w:t xml:space="preserve">, </w:t>
      </w:r>
      <w:r w:rsidR="006476F9">
        <w:t xml:space="preserve">NTIA </w:t>
      </w:r>
      <w:r w:rsidR="00BC0DBB">
        <w:t xml:space="preserve">supports </w:t>
      </w:r>
      <w:r w:rsidR="001D0020">
        <w:t xml:space="preserve">the </w:t>
      </w:r>
      <w:r w:rsidR="004F5F8E">
        <w:t xml:space="preserve">consensus </w:t>
      </w:r>
      <w:r w:rsidR="00AD5D72">
        <w:t>conclu</w:t>
      </w:r>
      <w:r w:rsidR="000C0303">
        <w:t xml:space="preserve">sion </w:t>
      </w:r>
      <w:r w:rsidR="00B84DE5">
        <w:t xml:space="preserve">of the TIG </w:t>
      </w:r>
      <w:r w:rsidR="001D3F97">
        <w:t>that</w:t>
      </w:r>
      <w:r w:rsidR="001921E0">
        <w:t xml:space="preserve"> </w:t>
      </w:r>
      <w:r w:rsidR="00DB5236">
        <w:t xml:space="preserve">the high level of atmospheric </w:t>
      </w:r>
      <w:r w:rsidR="00A97600">
        <w:t>attenu</w:t>
      </w:r>
      <w:r w:rsidR="00430980">
        <w:t xml:space="preserve">ation </w:t>
      </w:r>
      <w:r w:rsidR="00F663EA">
        <w:t xml:space="preserve">between 60 GHz FDS/radars operating at </w:t>
      </w:r>
      <w:r w:rsidR="001049FE">
        <w:t>ground level and the p</w:t>
      </w:r>
      <w:r w:rsidR="0022297C">
        <w:t xml:space="preserve">assive EESS sensors </w:t>
      </w:r>
      <w:r w:rsidR="00386B1D">
        <w:t xml:space="preserve">operating </w:t>
      </w:r>
      <w:r w:rsidR="002F6DF2">
        <w:t>in the 57.0-59.3 GHz band</w:t>
      </w:r>
      <w:r w:rsidR="000F5791">
        <w:t xml:space="preserve"> </w:t>
      </w:r>
      <w:r w:rsidR="00706008">
        <w:t>would not result in any har</w:t>
      </w:r>
      <w:r w:rsidR="00FD6B37">
        <w:t>mful interference</w:t>
      </w:r>
      <w:r w:rsidR="00D20F79">
        <w:t xml:space="preserve"> to EESS sensors in this band.</w:t>
      </w:r>
      <w:r w:rsidR="00C33F8F">
        <w:t xml:space="preserve">  </w:t>
      </w:r>
      <w:r w:rsidR="00916211">
        <w:t xml:space="preserve">However, </w:t>
      </w:r>
      <w:r w:rsidR="005374E7">
        <w:t>NTIA requests that, if alternate deployment scenarios are considered in the future whereby the atmospheric absorption loss may be different (particularly, aeronautical deployments), further analysis be conducted.</w:t>
      </w:r>
      <w:r>
        <w:rPr>
          <w:rStyle w:val="FootnoteReference"/>
        </w:rPr>
        <w:footnoteReference w:id="151"/>
      </w:r>
      <w:r w:rsidR="00D112A3">
        <w:t xml:space="preserve"> </w:t>
      </w:r>
    </w:p>
    <w:p w:rsidR="00273D45" w:rsidRPr="00FC3029" w:rsidP="00735946" w14:paraId="7A859970" w14:textId="3788E644">
      <w:pPr>
        <w:pStyle w:val="ParaNum"/>
        <w:widowControl/>
      </w:pPr>
      <w:r>
        <w:t>We</w:t>
      </w:r>
      <w:r w:rsidR="0060140F">
        <w:t xml:space="preserve"> </w:t>
      </w:r>
      <w:r w:rsidR="009446F3">
        <w:t xml:space="preserve">recognize and support the </w:t>
      </w:r>
      <w:r w:rsidR="007C41C7">
        <w:t xml:space="preserve">vital </w:t>
      </w:r>
      <w:r w:rsidR="009446F3">
        <w:t xml:space="preserve">interest </w:t>
      </w:r>
      <w:r w:rsidR="00EA100F">
        <w:t>in</w:t>
      </w:r>
      <w:r w:rsidR="0060140F">
        <w:t xml:space="preserve"> protect</w:t>
      </w:r>
      <w:r w:rsidR="00EA100F">
        <w:t>ing</w:t>
      </w:r>
      <w:r w:rsidR="00E76AF4">
        <w:t xml:space="preserve"> the passive </w:t>
      </w:r>
      <w:r w:rsidR="00954286">
        <w:t xml:space="preserve">EESS </w:t>
      </w:r>
      <w:r w:rsidR="00E76AF4">
        <w:t>services</w:t>
      </w:r>
      <w:r w:rsidR="00AB6529">
        <w:t xml:space="preserve"> in</w:t>
      </w:r>
      <w:r w:rsidR="00702B66">
        <w:t xml:space="preserve"> the 57.0-59.3 GHz band.  </w:t>
      </w:r>
      <w:r w:rsidR="00020DD8">
        <w:t>We</w:t>
      </w:r>
      <w:r w:rsidR="00D35776">
        <w:t xml:space="preserve"> also</w:t>
      </w:r>
      <w:r w:rsidR="00020DD8">
        <w:t xml:space="preserve"> ack</w:t>
      </w:r>
      <w:r w:rsidR="0029480B">
        <w:t>nowledge that</w:t>
      </w:r>
      <w:r w:rsidR="00021E22">
        <w:t xml:space="preserve">, </w:t>
      </w:r>
      <w:r w:rsidR="000423EB">
        <w:t xml:space="preserve">consistent with </w:t>
      </w:r>
      <w:r w:rsidR="001268EC">
        <w:t>N</w:t>
      </w:r>
      <w:r w:rsidR="000D11AD">
        <w:t>TIA</w:t>
      </w:r>
      <w:r w:rsidR="009770C3">
        <w:t>’s</w:t>
      </w:r>
      <w:r w:rsidR="001268EC">
        <w:t xml:space="preserve"> request,</w:t>
      </w:r>
      <w:r w:rsidR="0079269C">
        <w:t xml:space="preserve"> </w:t>
      </w:r>
      <w:r w:rsidR="009A49EC">
        <w:t xml:space="preserve">further </w:t>
      </w:r>
      <w:r w:rsidR="005B5665">
        <w:t xml:space="preserve">analysis is being undertaken at this time by the TIG </w:t>
      </w:r>
      <w:r w:rsidR="0033079E">
        <w:t>reg</w:t>
      </w:r>
      <w:r w:rsidR="001C67AF">
        <w:t>arding</w:t>
      </w:r>
      <w:r w:rsidR="005B5665">
        <w:t xml:space="preserve"> </w:t>
      </w:r>
      <w:r w:rsidR="003A48D5">
        <w:t xml:space="preserve">the potential to deploy </w:t>
      </w:r>
      <w:r w:rsidR="00260181">
        <w:t>radar</w:t>
      </w:r>
      <w:r w:rsidR="003A48D5">
        <w:t>s</w:t>
      </w:r>
      <w:r w:rsidR="0041502B">
        <w:t xml:space="preserve"> </w:t>
      </w:r>
      <w:r w:rsidR="00606DFD">
        <w:t xml:space="preserve">on aircraft </w:t>
      </w:r>
      <w:r w:rsidR="0002074C">
        <w:t>in this band</w:t>
      </w:r>
      <w:r w:rsidR="00B32034">
        <w:t>.  We</w:t>
      </w:r>
      <w:r w:rsidR="00E50EBF">
        <w:t xml:space="preserve"> </w:t>
      </w:r>
      <w:r w:rsidR="001E64DB">
        <w:t>there</w:t>
      </w:r>
      <w:r w:rsidR="009271FC">
        <w:t xml:space="preserve">fore will only allow </w:t>
      </w:r>
      <w:r w:rsidR="004E1541">
        <w:t>FDS</w:t>
      </w:r>
      <w:r w:rsidR="0006513C">
        <w:t>/radar</w:t>
      </w:r>
      <w:r w:rsidR="000C763E">
        <w:t xml:space="preserve"> operation </w:t>
      </w:r>
      <w:r w:rsidR="00065274">
        <w:t xml:space="preserve">on </w:t>
      </w:r>
      <w:r w:rsidR="006230AB">
        <w:t>air</w:t>
      </w:r>
      <w:r w:rsidR="004401E8">
        <w:t>craft other than UA</w:t>
      </w:r>
      <w:r w:rsidR="00101CB4">
        <w:t xml:space="preserve"> in </w:t>
      </w:r>
      <w:r w:rsidR="00B57DD7">
        <w:t xml:space="preserve">the </w:t>
      </w:r>
      <w:r w:rsidR="008041B3">
        <w:t>59.3-</w:t>
      </w:r>
      <w:r w:rsidR="00D95822">
        <w:t>71 GHz band at this time</w:t>
      </w:r>
      <w:r w:rsidR="007C25A3">
        <w:t xml:space="preserve">, limited to </w:t>
      </w:r>
      <w:r w:rsidR="00617F99">
        <w:t xml:space="preserve">installations </w:t>
      </w:r>
      <w:r w:rsidR="00DC0D6B">
        <w:t xml:space="preserve">within </w:t>
      </w:r>
      <w:r w:rsidR="00270623">
        <w:t xml:space="preserve">personal </w:t>
      </w:r>
      <w:r w:rsidR="004C733B">
        <w:t xml:space="preserve">portable electronic devices such as </w:t>
      </w:r>
      <w:r w:rsidR="00317A85">
        <w:t xml:space="preserve">smart phones, </w:t>
      </w:r>
      <w:r w:rsidR="002A49D8">
        <w:t>laptop</w:t>
      </w:r>
      <w:r w:rsidR="002D17E3">
        <w:t xml:space="preserve"> </w:t>
      </w:r>
      <w:r w:rsidR="002D17E3">
        <w:t>compu</w:t>
      </w:r>
      <w:r w:rsidR="002016AE">
        <w:t>ters, etc</w:t>
      </w:r>
      <w:r w:rsidR="00213A4F">
        <w:t>.</w:t>
      </w:r>
      <w:r w:rsidR="00973F33">
        <w:t xml:space="preserve">  </w:t>
      </w:r>
      <w:r w:rsidR="00BD6D57">
        <w:t>These radar</w:t>
      </w:r>
      <w:r w:rsidR="00A37371">
        <w:t xml:space="preserve"> operation</w:t>
      </w:r>
      <w:r w:rsidR="00BD6D57">
        <w:t>s</w:t>
      </w:r>
      <w:r w:rsidR="00A37371">
        <w:t xml:space="preserve"> would not </w:t>
      </w:r>
      <w:r w:rsidR="00EC788A">
        <w:t xml:space="preserve">need to be part of the on-board </w:t>
      </w:r>
      <w:r w:rsidR="0054552A">
        <w:t>communication system</w:t>
      </w:r>
      <w:r w:rsidR="00BD6D57">
        <w:t xml:space="preserve"> </w:t>
      </w:r>
      <w:r w:rsidR="00FA683A">
        <w:t>within</w:t>
      </w:r>
      <w:r w:rsidR="00BD6D57">
        <w:t xml:space="preserve"> the aircraft.</w:t>
      </w:r>
      <w:r>
        <w:rPr>
          <w:rStyle w:val="FootnoteReference"/>
        </w:rPr>
        <w:footnoteReference w:id="152"/>
      </w:r>
      <w:r w:rsidR="00211C15">
        <w:t xml:space="preserve">  </w:t>
      </w:r>
    </w:p>
    <w:p w:rsidR="00A35EDF" w:rsidP="00373159" w14:paraId="1C3F2690" w14:textId="1DA284C1">
      <w:pPr>
        <w:pStyle w:val="Heading2"/>
      </w:pPr>
      <w:bookmarkStart w:id="60" w:name="_Toc135123549"/>
      <w:r>
        <w:t>Implementation Considerations</w:t>
      </w:r>
      <w:bookmarkEnd w:id="60"/>
    </w:p>
    <w:p w:rsidR="00F13E1B" w:rsidRPr="00CE3B47" w:rsidP="00F13E1B" w14:paraId="04776E53" w14:textId="71A9DAE3">
      <w:pPr>
        <w:pStyle w:val="Heading3"/>
      </w:pPr>
      <w:bookmarkStart w:id="61" w:name="_Toc135123550"/>
      <w:r w:rsidRPr="00CE3B47">
        <w:t>Compliance Testing</w:t>
      </w:r>
      <w:bookmarkEnd w:id="61"/>
    </w:p>
    <w:p w:rsidR="009F3F22" w:rsidP="009F3F22" w14:paraId="34D8C988" w14:textId="0FDC44C5">
      <w:pPr>
        <w:pStyle w:val="ParaNum"/>
      </w:pPr>
      <w:r>
        <w:t xml:space="preserve">In the </w:t>
      </w:r>
      <w:r w:rsidRPr="59CB47AA" w:rsidR="00EE214C">
        <w:rPr>
          <w:i/>
          <w:iCs/>
        </w:rPr>
        <w:t>NPRM</w:t>
      </w:r>
      <w:r>
        <w:t xml:space="preserve">, the Commission </w:t>
      </w:r>
      <w:r w:rsidRPr="00FC3029" w:rsidR="00626CE7">
        <w:t>propose</w:t>
      </w:r>
      <w:r w:rsidR="00084CDE">
        <w:t>d</w:t>
      </w:r>
      <w:r w:rsidRPr="00FC3029" w:rsidR="00626CE7">
        <w:t xml:space="preserve"> to </w:t>
      </w:r>
      <w:r w:rsidRPr="1EEAD5A5" w:rsidR="00626CE7">
        <w:t>exempt</w:t>
      </w:r>
      <w:r w:rsidRPr="00FC3029" w:rsidR="00626CE7">
        <w:t xml:space="preserve"> FMCW </w:t>
      </w:r>
      <w:r w:rsidR="00626CE7">
        <w:t>and</w:t>
      </w:r>
      <w:r w:rsidRPr="00FC3029" w:rsidR="00626CE7">
        <w:t xml:space="preserve"> other similar swept-frequency radars</w:t>
      </w:r>
      <w:r w:rsidR="00626CE7">
        <w:t xml:space="preserve"> from the section 15.31(c) requirement to stop the frequency sweep when measuring the relevant technical parameters</w:t>
      </w:r>
      <w:r w:rsidRPr="00FC3029" w:rsidR="00626CE7">
        <w:t>.</w:t>
      </w:r>
      <w:r>
        <w:rPr>
          <w:rStyle w:val="FootnoteReference"/>
        </w:rPr>
        <w:footnoteReference w:id="153"/>
      </w:r>
      <w:r w:rsidRPr="00FC3029" w:rsidR="00626CE7">
        <w:t xml:space="preserve">  </w:t>
      </w:r>
      <w:r w:rsidR="00074219">
        <w:t>The Commission explained that s</w:t>
      </w:r>
      <w:r w:rsidR="00626CE7">
        <w:t>topping the sweep is physically impractical for most of these devices and can result in inaccurate measurements.</w:t>
      </w:r>
      <w:r>
        <w:rPr>
          <w:rStyle w:val="FootnoteReference"/>
        </w:rPr>
        <w:footnoteReference w:id="154"/>
      </w:r>
      <w:r w:rsidR="00626CE7">
        <w:t xml:space="preserve">  </w:t>
      </w:r>
      <w:r w:rsidRPr="00FC3029" w:rsidR="00626CE7">
        <w:t xml:space="preserve">In addition, </w:t>
      </w:r>
      <w:r w:rsidR="00BE0A23">
        <w:t>the Commission</w:t>
      </w:r>
      <w:r w:rsidRPr="00084CDE" w:rsidR="00626CE7">
        <w:rPr>
          <w:rFonts w:eastAsia="Calibri"/>
        </w:rPr>
        <w:t xml:space="preserve"> propose</w:t>
      </w:r>
      <w:r w:rsidRPr="00084CDE" w:rsidR="00391F6E">
        <w:rPr>
          <w:rFonts w:eastAsia="Calibri"/>
        </w:rPr>
        <w:t>d</w:t>
      </w:r>
      <w:r w:rsidRPr="00084CDE" w:rsidR="00626CE7">
        <w:rPr>
          <w:rFonts w:eastAsia="Calibri"/>
        </w:rPr>
        <w:t xml:space="preserve"> to remove the </w:t>
      </w:r>
      <w:r w:rsidRPr="00FC3029" w:rsidR="00626CE7">
        <w:t xml:space="preserve">section </w:t>
      </w:r>
      <w:r w:rsidRPr="00084CDE" w:rsidR="00626CE7">
        <w:rPr>
          <w:rFonts w:eastAsia="Calibri"/>
        </w:rPr>
        <w:t xml:space="preserve">15.255(c)(4) requirement to use an RF detector with a detection bandwidth that encompasses the 57-71 GHz frequency range for performing peak power measurements.  </w:t>
      </w:r>
      <w:r w:rsidRPr="00084CDE" w:rsidR="00BE0A23">
        <w:rPr>
          <w:rFonts w:eastAsia="Calibri"/>
        </w:rPr>
        <w:t xml:space="preserve">The Commission stated that </w:t>
      </w:r>
      <w:r w:rsidRPr="00084CDE" w:rsidR="00626CE7">
        <w:rPr>
          <w:rFonts w:eastAsia="Calibri"/>
        </w:rPr>
        <w:t xml:space="preserve">this requirement </w:t>
      </w:r>
      <w:r w:rsidR="007D5065">
        <w:rPr>
          <w:rFonts w:eastAsia="Calibri"/>
        </w:rPr>
        <w:t>has been</w:t>
      </w:r>
      <w:r w:rsidRPr="00084CDE" w:rsidR="00626CE7">
        <w:rPr>
          <w:rFonts w:eastAsia="Calibri"/>
        </w:rPr>
        <w:t xml:space="preserve"> superseded by the more recent inclusion of </w:t>
      </w:r>
      <w:r w:rsidRPr="00FC3029" w:rsidR="00626CE7">
        <w:t xml:space="preserve">section </w:t>
      </w:r>
      <w:r w:rsidRPr="00084CDE" w:rsidR="00626CE7">
        <w:rPr>
          <w:rFonts w:eastAsia="Calibri"/>
        </w:rPr>
        <w:t>15.255(i),</w:t>
      </w:r>
      <w:r>
        <w:rPr>
          <w:rStyle w:val="FootnoteReference"/>
          <w:rFonts w:eastAsia="Calibri"/>
        </w:rPr>
        <w:footnoteReference w:id="155"/>
      </w:r>
      <w:r w:rsidRPr="00084CDE" w:rsidR="00626CE7">
        <w:rPr>
          <w:rFonts w:eastAsia="Calibri"/>
        </w:rPr>
        <w:t xml:space="preserve"> which sets out a flexible approach toward measurement that can be adapted more effectively as </w:t>
      </w:r>
      <w:r w:rsidR="00200D3D">
        <w:rPr>
          <w:rFonts w:eastAsia="Calibri"/>
        </w:rPr>
        <w:t xml:space="preserve">device </w:t>
      </w:r>
      <w:r w:rsidRPr="00084CDE" w:rsidR="00626CE7">
        <w:rPr>
          <w:rFonts w:eastAsia="Calibri"/>
        </w:rPr>
        <w:t xml:space="preserve">technology and test instrumentation evolve.  </w:t>
      </w:r>
      <w:r w:rsidRPr="00FC3029" w:rsidR="00626CE7">
        <w:t xml:space="preserve">Finally, </w:t>
      </w:r>
      <w:r w:rsidR="00391F6E">
        <w:t xml:space="preserve">the Commission </w:t>
      </w:r>
      <w:r w:rsidRPr="00FC3029" w:rsidR="00626CE7">
        <w:t>propose</w:t>
      </w:r>
      <w:r w:rsidR="00391F6E">
        <w:t>d</w:t>
      </w:r>
      <w:r w:rsidRPr="00FC3029" w:rsidR="00626CE7">
        <w:t xml:space="preserve"> to</w:t>
      </w:r>
      <w:r w:rsidR="00626CE7">
        <w:t xml:space="preserve"> specify that </w:t>
      </w:r>
      <w:r w:rsidRPr="00FC3029" w:rsidR="00626CE7">
        <w:t xml:space="preserve">the provision of section 15.35(c) that </w:t>
      </w:r>
      <w:r w:rsidR="00626CE7">
        <w:t>requires calculating average field strength</w:t>
      </w:r>
      <w:r w:rsidRPr="00FC3029" w:rsidR="00626CE7">
        <w:t xml:space="preserve"> over a complete pulse train </w:t>
      </w:r>
      <w:r w:rsidR="00626CE7">
        <w:t xml:space="preserve">or 100 </w:t>
      </w:r>
      <w:r w:rsidR="00231C1A">
        <w:t>ms</w:t>
      </w:r>
      <w:r w:rsidR="00626CE7">
        <w:t xml:space="preserve"> is not applicable to</w:t>
      </w:r>
      <w:r w:rsidRPr="00AA20F5" w:rsidR="00626CE7">
        <w:t xml:space="preserve"> </w:t>
      </w:r>
      <w:r w:rsidRPr="00945A03" w:rsidR="00626CE7">
        <w:t xml:space="preserve">pulsed or burst radars that operate in </w:t>
      </w:r>
      <w:r w:rsidR="00626CE7">
        <w:t>the 60 GHz</w:t>
      </w:r>
      <w:r w:rsidRPr="00945A03" w:rsidR="00626CE7">
        <w:t xml:space="preserve"> band</w:t>
      </w:r>
      <w:r w:rsidRPr="1EEAD5A5" w:rsidR="00626CE7">
        <w:t>.</w:t>
      </w:r>
      <w:r>
        <w:rPr>
          <w:rStyle w:val="FootnoteReference"/>
        </w:rPr>
        <w:footnoteReference w:id="156"/>
      </w:r>
      <w:r w:rsidRPr="00FC3029" w:rsidR="00626CE7">
        <w:t xml:space="preserve">  </w:t>
      </w:r>
      <w:r w:rsidR="00A419FE">
        <w:t>The Commission explained that t</w:t>
      </w:r>
      <w:r w:rsidR="00626CE7">
        <w:t xml:space="preserve">his measurement requirement was originally designed for low frequency pulse-code modulated devices such as garage door openers and </w:t>
      </w:r>
      <w:r w:rsidR="00A419FE">
        <w:t xml:space="preserve">would not be </w:t>
      </w:r>
      <w:r w:rsidRPr="00AD3FDF" w:rsidR="00A419FE">
        <w:t>a</w:t>
      </w:r>
      <w:r w:rsidRPr="00AD3FDF" w:rsidR="00626CE7">
        <w:t>ppropriate</w:t>
      </w:r>
      <w:r w:rsidR="00626CE7">
        <w:t xml:space="preserve"> for high frequency radars.</w:t>
      </w:r>
      <w:r>
        <w:rPr>
          <w:rStyle w:val="FootnoteReference"/>
        </w:rPr>
        <w:footnoteReference w:id="157"/>
      </w:r>
      <w:r w:rsidR="00626CE7">
        <w:t xml:space="preserve">  </w:t>
      </w:r>
    </w:p>
    <w:p w:rsidR="00FF352F" w:rsidRPr="00D72389" w:rsidP="00834A4A" w14:paraId="7E4DFC39" w14:textId="07AB0DE6">
      <w:pPr>
        <w:pStyle w:val="ParaNum"/>
      </w:pPr>
      <w:r w:rsidRPr="00AD3FDF">
        <w:t>Bosch</w:t>
      </w:r>
      <w:r>
        <w:t xml:space="preserve"> p</w:t>
      </w:r>
      <w:r w:rsidRPr="695573F5">
        <w:t xml:space="preserve">roposes that instead of measuring transmitter conducted output power, </w:t>
      </w:r>
      <w:r w:rsidRPr="695573F5" w:rsidR="7F9DFC24">
        <w:t xml:space="preserve">the Commission </w:t>
      </w:r>
      <w:r w:rsidRPr="695573F5">
        <w:t>should consider the equivalent requirement of the total radiated power (TRP)</w:t>
      </w:r>
      <w:r w:rsidRPr="695573F5" w:rsidR="7F9DFC24">
        <w:t>, which</w:t>
      </w:r>
      <w:r w:rsidRPr="695573F5">
        <w:t xml:space="preserve"> may be considered and specified as described in ETSI EN 303 883-1 Version 1.2.1 clause 5.6.</w:t>
      </w:r>
      <w:r>
        <w:rPr>
          <w:rStyle w:val="FootnoteReference"/>
        </w:rPr>
        <w:footnoteReference w:id="158"/>
      </w:r>
      <w:r w:rsidRPr="00EF0E6F">
        <w:rPr>
          <w:szCs w:val="22"/>
        </w:rPr>
        <w:t xml:space="preserve"> </w:t>
      </w:r>
      <w:r w:rsidRPr="00EF0E6F" w:rsidR="121EAE6C">
        <w:rPr>
          <w:szCs w:val="22"/>
        </w:rPr>
        <w:t xml:space="preserve"> </w:t>
      </w:r>
      <w:r w:rsidRPr="695573F5" w:rsidR="46366437">
        <w:t>Bosch argues that t</w:t>
      </w:r>
      <w:r w:rsidRPr="695573F5">
        <w:t xml:space="preserve">his is the only feasible option for measuring the total radiated power of </w:t>
      </w:r>
      <w:r w:rsidR="347EFA89">
        <w:t xml:space="preserve">FDS </w:t>
      </w:r>
      <w:r w:rsidRPr="695573F5">
        <w:t>devices</w:t>
      </w:r>
      <w:r w:rsidRPr="00EF0E6F" w:rsidR="3F2F6AEA">
        <w:rPr>
          <w:szCs w:val="22"/>
        </w:rPr>
        <w:t>.</w:t>
      </w:r>
      <w:r>
        <w:rPr>
          <w:rStyle w:val="FootnoteReference"/>
        </w:rPr>
        <w:footnoteReference w:id="159"/>
      </w:r>
      <w:r w:rsidRPr="7921A285" w:rsidR="27035DAA">
        <w:t xml:space="preserve">  </w:t>
      </w:r>
      <w:r w:rsidRPr="7921A285" w:rsidR="27035DAA">
        <w:t>Acconeer</w:t>
      </w:r>
      <w:r w:rsidRPr="7921A285" w:rsidR="27035DAA">
        <w:t xml:space="preserve"> </w:t>
      </w:r>
      <w:r w:rsidRPr="7921A285" w:rsidR="3BCD67C7">
        <w:t>argues</w:t>
      </w:r>
      <w:r w:rsidRPr="7921A285" w:rsidR="27035DAA">
        <w:t xml:space="preserve"> that using a 20</w:t>
      </w:r>
      <w:r w:rsidR="0B95C273">
        <w:t xml:space="preserve"> </w:t>
      </w:r>
      <w:r w:rsidRPr="7921A285" w:rsidR="27035DAA">
        <w:t xml:space="preserve">dB bandwidth to measure wideband pulse systems is challenging, because the low spectral density is usually below the noise flow of the measurement equipment.  Additionally, </w:t>
      </w:r>
      <w:r w:rsidRPr="7921A285" w:rsidR="27035DAA">
        <w:t>Acconeer</w:t>
      </w:r>
      <w:r w:rsidRPr="7921A285" w:rsidR="27035DAA">
        <w:t xml:space="preserve"> proposes that the same method used for evaluating the bandwidth of ultra-wideband (UWB) devices in the 3.1-10.6 GHz band be applied to radar devices in the 60</w:t>
      </w:r>
      <w:r w:rsidR="5198CCCC">
        <w:t xml:space="preserve"> </w:t>
      </w:r>
      <w:r w:rsidRPr="7921A285" w:rsidR="27035DAA">
        <w:t>GHz band.</w:t>
      </w:r>
      <w:r>
        <w:rPr>
          <w:rStyle w:val="FootnoteReference"/>
        </w:rPr>
        <w:footnoteReference w:id="160"/>
      </w:r>
      <w:r w:rsidRPr="00EF0E6F" w:rsidR="27035DAA">
        <w:rPr>
          <w:szCs w:val="22"/>
        </w:rPr>
        <w:t xml:space="preserve">  </w:t>
      </w:r>
      <w:r w:rsidR="5D64AD2A">
        <w:t>Infineon states that, g</w:t>
      </w:r>
      <w:r w:rsidRPr="695573F5" w:rsidR="5D64AD2A">
        <w:t xml:space="preserve">iven that the </w:t>
      </w:r>
      <w:r w:rsidR="4F3F66C8">
        <w:t>goal</w:t>
      </w:r>
      <w:r w:rsidRPr="695573F5" w:rsidR="5D64AD2A">
        <w:t xml:space="preserve"> is to establish an average EIRP for purposes of increased compatibility with other 60 GHz Band devices, and different devices may have different cycle periods, a more objective standard that is uniform over all affected radar and FDS devices is appropriate</w:t>
      </w:r>
      <w:r w:rsidRPr="00EF0E6F" w:rsidR="27035DAA">
        <w:rPr>
          <w:szCs w:val="22"/>
        </w:rPr>
        <w:t>;</w:t>
      </w:r>
      <w:r w:rsidRPr="00EF0E6F" w:rsidR="5D64AD2A">
        <w:rPr>
          <w:szCs w:val="22"/>
        </w:rPr>
        <w:t xml:space="preserve"> </w:t>
      </w:r>
      <w:r w:rsidRPr="00016CF0" w:rsidR="5D64AD2A">
        <w:t>Infineon proposes that an absolute</w:t>
      </w:r>
      <w:r w:rsidR="5D64AD2A">
        <w:t xml:space="preserve"> </w:t>
      </w:r>
      <w:r w:rsidRPr="00016CF0" w:rsidR="5D64AD2A">
        <w:t xml:space="preserve">temporal </w:t>
      </w:r>
      <w:r w:rsidRPr="00016CF0" w:rsidR="5D64AD2A">
        <w:t xml:space="preserve">measure be used, specifically 100 </w:t>
      </w:r>
      <w:r w:rsidRPr="00016CF0" w:rsidR="5D64AD2A">
        <w:t>ms</w:t>
      </w:r>
      <w:r w:rsidR="1E04079E">
        <w:t>.</w:t>
      </w:r>
      <w:r>
        <w:rPr>
          <w:rStyle w:val="FootnoteReference"/>
        </w:rPr>
        <w:footnoteReference w:id="161"/>
      </w:r>
      <w:r w:rsidR="27035DAA">
        <w:t xml:space="preserve">  </w:t>
      </w:r>
      <w:r w:rsidR="43599378">
        <w:t>Valeo</w:t>
      </w:r>
      <w:r w:rsidR="43599378">
        <w:t xml:space="preserve"> s</w:t>
      </w:r>
      <w:r w:rsidRPr="695573F5" w:rsidR="43599378">
        <w:t xml:space="preserve">uggests that transmission bandwidth should be expressed as a measured occupied bandwidth. </w:t>
      </w:r>
      <w:r w:rsidR="618DB5C0">
        <w:t xml:space="preserve"> </w:t>
      </w:r>
      <w:r w:rsidRPr="695573F5" w:rsidR="43599378">
        <w:t>If the transmission bandwidth would be specified only by the chirp specification, it could happen that a chirp timing constraint (</w:t>
      </w:r>
      <w:r w:rsidRPr="695573F5" w:rsidR="5A150CFE">
        <w:t>e.g.,</w:t>
      </w:r>
      <w:r w:rsidRPr="695573F5" w:rsidR="43599378">
        <w:t xml:space="preserve"> maximum chirp slope) may occur. </w:t>
      </w:r>
      <w:r w:rsidRPr="00EF0E6F" w:rsidR="22B11AFD">
        <w:rPr>
          <w:szCs w:val="22"/>
        </w:rPr>
        <w:t xml:space="preserve"> </w:t>
      </w:r>
      <w:r w:rsidRPr="695573F5" w:rsidR="43599378">
        <w:t>Valeo</w:t>
      </w:r>
      <w:r w:rsidRPr="695573F5" w:rsidR="22B11AFD">
        <w:t xml:space="preserve"> suggests that</w:t>
      </w:r>
      <w:r w:rsidRPr="695573F5" w:rsidR="43599378">
        <w:t xml:space="preserve"> the occupied bandwidth</w:t>
      </w:r>
      <w:r w:rsidRPr="695573F5" w:rsidR="22B11AFD">
        <w:t xml:space="preserve"> be measured</w:t>
      </w:r>
      <w:r w:rsidRPr="695573F5" w:rsidR="43599378">
        <w:t>, including the overshoots caused by the slew rate of the chirp and the return ramp.</w:t>
      </w:r>
      <w:r>
        <w:rPr>
          <w:rStyle w:val="FootnoteReference"/>
        </w:rPr>
        <w:footnoteReference w:id="162"/>
      </w:r>
      <w:r w:rsidRPr="00EF0E6F" w:rsidR="27035DAA">
        <w:rPr>
          <w:szCs w:val="22"/>
        </w:rPr>
        <w:t xml:space="preserve">  </w:t>
      </w:r>
      <w:r w:rsidRPr="695573F5" w:rsidR="11E21CF2">
        <w:t>Vayyar</w:t>
      </w:r>
      <w:r w:rsidRPr="695573F5" w:rsidR="11E21CF2">
        <w:t xml:space="preserve"> supports removing the requirement that the sweep is stopped during parts of the compliance testing.</w:t>
      </w:r>
      <w:r>
        <w:rPr>
          <w:rStyle w:val="FootnoteReference"/>
        </w:rPr>
        <w:footnoteReference w:id="163"/>
      </w:r>
      <w:r w:rsidRPr="695573F5" w:rsidR="7A5EBACC">
        <w:t xml:space="preserve">  The Auto Innovators recommend that </w:t>
      </w:r>
      <w:r w:rsidRPr="695573F5" w:rsidR="4A116AEF">
        <w:t xml:space="preserve">compliance </w:t>
      </w:r>
      <w:r w:rsidRPr="695573F5" w:rsidR="7A5EBACC">
        <w:t>measurement</w:t>
      </w:r>
      <w:r w:rsidRPr="695573F5" w:rsidR="4A116AEF">
        <w:t>s</w:t>
      </w:r>
      <w:r w:rsidRPr="695573F5" w:rsidR="7A5EBACC">
        <w:t xml:space="preserve"> should allow evaluation over at least five repetition cycles</w:t>
      </w:r>
      <w:r w:rsidR="6AAFD9A3">
        <w:t xml:space="preserve"> of the equipment</w:t>
      </w:r>
      <w:r w:rsidR="51127A98">
        <w:t xml:space="preserve"> </w:t>
      </w:r>
      <w:r w:rsidR="6AAFD9A3">
        <w:t>under</w:t>
      </w:r>
      <w:r w:rsidR="51127A98">
        <w:t xml:space="preserve"> </w:t>
      </w:r>
      <w:r w:rsidR="6AAFD9A3">
        <w:t>test (EUT)</w:t>
      </w:r>
      <w:r w:rsidRPr="695573F5" w:rsidR="7A5EBACC">
        <w:t xml:space="preserve">, as </w:t>
      </w:r>
      <w:r w:rsidRPr="695573F5" w:rsidR="4A116AEF">
        <w:t xml:space="preserve">it believes </w:t>
      </w:r>
      <w:r w:rsidRPr="695573F5" w:rsidR="7A5EBACC">
        <w:t xml:space="preserve">this will simplify </w:t>
      </w:r>
      <w:r w:rsidRPr="004F2B45" w:rsidR="7A5EBACC">
        <w:t>testing</w:t>
      </w:r>
      <w:r w:rsidRPr="00EF0E6F" w:rsidR="4A116AEF">
        <w:rPr>
          <w:szCs w:val="22"/>
        </w:rPr>
        <w:t>.</w:t>
      </w:r>
      <w:r>
        <w:rPr>
          <w:rStyle w:val="FootnoteReference"/>
        </w:rPr>
        <w:footnoteReference w:id="164"/>
      </w:r>
    </w:p>
    <w:p w:rsidR="00834A4A" w:rsidRPr="00D72389" w:rsidP="00834A4A" w14:paraId="7895E66F" w14:textId="03F2A12B">
      <w:pPr>
        <w:pStyle w:val="ParaNum"/>
      </w:pPr>
      <w:r>
        <w:t xml:space="preserve">We find that exempting FMCW and other swept-frequency radars from section 15.31(c) is necessary </w:t>
      </w:r>
      <w:r w:rsidR="00486575">
        <w:t xml:space="preserve">for </w:t>
      </w:r>
      <w:r>
        <w:t>perform</w:t>
      </w:r>
      <w:r w:rsidR="00486575">
        <w:t>ing</w:t>
      </w:r>
      <w:r>
        <w:t xml:space="preserve"> meaningful compliance measurements.</w:t>
      </w:r>
      <w:r>
        <w:rPr>
          <w:rStyle w:val="FootnoteReference"/>
        </w:rPr>
        <w:footnoteReference w:id="165"/>
      </w:r>
      <w:r>
        <w:t xml:space="preserve">  In addition, we find it appropriate to remove section 15.255(c)(4).  This</w:t>
      </w:r>
      <w:r w:rsidR="00073167">
        <w:t xml:space="preserve"> rule</w:t>
      </w:r>
      <w:r>
        <w:t xml:space="preserve"> section was intended to address legacy spectrum analyzers’ limited capability for measuring radar waveforms at these frequencies, which is no longer an issue with </w:t>
      </w:r>
      <w:r w:rsidR="00F502DB">
        <w:t xml:space="preserve">modern </w:t>
      </w:r>
      <w:r>
        <w:t>spectrum analyzers.  Additionally, the anticipated FMCW and pulsed radar waveforms will likely exceed the 10</w:t>
      </w:r>
      <w:r w:rsidR="001B416E">
        <w:t xml:space="preserve"> </w:t>
      </w:r>
      <w:r>
        <w:t>MHz video bandwidth specification, resulting in some degree of video averaging.</w:t>
      </w:r>
      <w:r>
        <w:rPr>
          <w:rStyle w:val="FootnoteReference"/>
        </w:rPr>
        <w:footnoteReference w:id="166"/>
      </w:r>
      <w:r>
        <w:t xml:space="preserve">  Further, section 15.255(c)(4) specifies that average emission measurements be performed only over a period of active transmission.  Retaining such a requirement will prohibit application of a duty cycle correction in determining the average radar transmit power.  Finally, we find that the provision of section 15.35(c) that requires calculating average field strength over a complete pulse train or 100</w:t>
      </w:r>
      <w:r w:rsidR="00302E9C">
        <w:t xml:space="preserve"> </w:t>
      </w:r>
      <w:r>
        <w:t>ms</w:t>
      </w:r>
      <w:r>
        <w:t xml:space="preserve"> is not applicable to FMCW or to pulsed radar in the 60</w:t>
      </w:r>
      <w:r w:rsidR="00302E9C">
        <w:t xml:space="preserve"> </w:t>
      </w:r>
      <w:r>
        <w:t>GHz band.  We disagree with Bosch’s suggestion to consider TRP instead of EIRP</w:t>
      </w:r>
      <w:r w:rsidR="42B9D9BD">
        <w:t xml:space="preserve">. </w:t>
      </w:r>
      <w:r w:rsidR="00625A8D">
        <w:t xml:space="preserve"> </w:t>
      </w:r>
      <w:r w:rsidRPr="2C41120B" w:rsidR="0A5DFCC8">
        <w:t>TRP measurements require substantial sampling over the 4</w:t>
      </w:r>
      <m:oMath>
        <m:r>
          <w:rPr>
            <w:rFonts w:ascii="Cambria Math" w:hAnsi="Cambria Math"/>
            <w:szCs w:val="22"/>
          </w:rPr>
          <m:t>π</m:t>
        </m:r>
      </m:oMath>
      <w:r w:rsidRPr="00A752F0" w:rsidR="4BD32160">
        <w:rPr>
          <w:szCs w:val="22"/>
        </w:rPr>
        <w:t xml:space="preserve"> </w:t>
      </w:r>
      <w:r w:rsidRPr="2C41120B" w:rsidR="0A5DFCC8">
        <w:t>steradian space</w:t>
      </w:r>
      <w:r w:rsidR="004666A7">
        <w:rPr>
          <w:szCs w:val="22"/>
        </w:rPr>
        <w:t>,</w:t>
      </w:r>
      <w:r>
        <w:rPr>
          <w:rStyle w:val="FootnoteReference"/>
        </w:rPr>
        <w:footnoteReference w:id="167"/>
      </w:r>
      <w:r w:rsidRPr="2C41120B" w:rsidR="0A5DFCC8">
        <w:t xml:space="preserve"> thus leading</w:t>
      </w:r>
      <w:r>
        <w:rPr>
          <w:szCs w:val="22"/>
        </w:rPr>
        <w:t xml:space="preserve"> </w:t>
      </w:r>
      <w:r>
        <w:t>to significant complications in performing compliance measurements.</w:t>
      </w:r>
      <w:r>
        <w:rPr>
          <w:rStyle w:val="FootnoteReference"/>
        </w:rPr>
        <w:footnoteReference w:id="168"/>
      </w:r>
      <w:r>
        <w:t xml:space="preserve">  </w:t>
      </w:r>
      <w:r w:rsidRPr="2C41120B" w:rsidR="7D521A17">
        <w:t xml:space="preserve">Furthermore, potential interference is essentially driven by the maximum EIRP in the direction of the victim, and due to the highly directional nature of radars, EIRP measurement is </w:t>
      </w:r>
      <w:r w:rsidRPr="2C41120B" w:rsidR="130D1C13">
        <w:t xml:space="preserve">correspondingly </w:t>
      </w:r>
      <w:r w:rsidRPr="2C41120B" w:rsidR="7D521A17">
        <w:t>a more appropriate and efficient compliance measurement.</w:t>
      </w:r>
      <w:r w:rsidRPr="59CB47AA" w:rsidR="7D521A17">
        <w:t xml:space="preserve"> </w:t>
      </w:r>
      <w:r w:rsidR="00EF76EE">
        <w:t xml:space="preserve"> </w:t>
      </w:r>
      <w:r>
        <w:t>With re</w:t>
      </w:r>
      <w:r w:rsidR="00762938">
        <w:t>spect</w:t>
      </w:r>
      <w:r>
        <w:t xml:space="preserve"> to transmission bandwidth, we agree with </w:t>
      </w:r>
      <w:r>
        <w:t>Valeo</w:t>
      </w:r>
      <w:r>
        <w:t xml:space="preserve"> that the occupied bandwidth be measured as part of the compliance measurements.  Doing so will ensure fidelity to the requirements specified in </w:t>
      </w:r>
      <w:r w:rsidR="00090721">
        <w:t xml:space="preserve">section </w:t>
      </w:r>
      <w:r>
        <w:t xml:space="preserve">2.1049 as required by </w:t>
      </w:r>
      <w:r w:rsidR="00BA6268">
        <w:t xml:space="preserve">section </w:t>
      </w:r>
      <w:r>
        <w:t>15.201(b).</w:t>
      </w:r>
      <w:r>
        <w:rPr>
          <w:rStyle w:val="FootnoteReference"/>
        </w:rPr>
        <w:footnoteReference w:id="169"/>
      </w:r>
      <w:r>
        <w:t xml:space="preserve">  We disagree with </w:t>
      </w:r>
      <w:r>
        <w:t>Acconeer’s</w:t>
      </w:r>
      <w:r>
        <w:t xml:space="preserve"> justification for applying the same method used for evaluating the bandwidth of UWB devices to radar bandwidth measurements.  UWB devices are held to a very low fundamental power level and thus warrant bandwidth </w:t>
      </w:r>
      <w:r w:rsidR="00373C2F">
        <w:t xml:space="preserve">measurement </w:t>
      </w:r>
      <w:r>
        <w:t>based upon the 10</w:t>
      </w:r>
      <w:r w:rsidR="0017183F">
        <w:t xml:space="preserve"> </w:t>
      </w:r>
      <w:r>
        <w:t xml:space="preserve">dB down points to accommodate measurement sensitivity challenges.  The higher power limits provided to 60 GHz radar </w:t>
      </w:r>
      <w:r w:rsidR="00DB32E4">
        <w:t xml:space="preserve">will </w:t>
      </w:r>
      <w:r>
        <w:t>permit the measurement of occupied bandwidth, even in a radiated measurement, with adequate sensitivity.</w:t>
      </w:r>
    </w:p>
    <w:p w:rsidR="009F3F22" w:rsidRPr="00CE3B47" w:rsidP="009F3F22" w14:paraId="7BB83B26" w14:textId="555CD975">
      <w:pPr>
        <w:pStyle w:val="Heading3"/>
      </w:pPr>
      <w:bookmarkStart w:id="62" w:name="_Toc135123551"/>
      <w:r>
        <w:t>Operation</w:t>
      </w:r>
      <w:r w:rsidR="00BB2BD7">
        <w:t xml:space="preserve"> of </w:t>
      </w:r>
      <w:r w:rsidR="00B43CE3">
        <w:t>Equipment</w:t>
      </w:r>
      <w:r w:rsidR="00BB2BD7">
        <w:t xml:space="preserve"> Subject to Prior Waivers and Transition </w:t>
      </w:r>
      <w:r w:rsidR="00B43CE3">
        <w:t>Provisions</w:t>
      </w:r>
      <w:bookmarkEnd w:id="62"/>
    </w:p>
    <w:p w:rsidR="00F13E1B" w:rsidP="009F3F22" w14:paraId="6C9C9C5E" w14:textId="23C8F2A3">
      <w:pPr>
        <w:pStyle w:val="ParaNum"/>
      </w:pPr>
      <w:r>
        <w:t>As noted above, a number of parties have been granted waiver</w:t>
      </w:r>
      <w:r w:rsidR="00905D39">
        <w:t>s</w:t>
      </w:r>
      <w:r>
        <w:t xml:space="preserve"> of certain provisions of </w:t>
      </w:r>
      <w:r w:rsidR="4F0EFE5C">
        <w:t>s</w:t>
      </w:r>
      <w:r>
        <w:t>ection 15.255 to permit operation of innovative radar devices in the 60 GHz band.</w:t>
      </w:r>
      <w:r>
        <w:rPr>
          <w:rStyle w:val="FootnoteReference"/>
        </w:rPr>
        <w:footnoteReference w:id="170"/>
      </w:r>
      <w:r>
        <w:t xml:space="preserve">  </w:t>
      </w:r>
      <w:r w:rsidR="66A5055B">
        <w:t xml:space="preserve">In the </w:t>
      </w:r>
      <w:r w:rsidRPr="59CB47AA" w:rsidR="00EE214C">
        <w:rPr>
          <w:i/>
          <w:iCs/>
        </w:rPr>
        <w:t>NPRM</w:t>
      </w:r>
      <w:r w:rsidR="66A5055B">
        <w:t>, the Commission noted that, t</w:t>
      </w:r>
      <w:r>
        <w:t xml:space="preserve">o the extent </w:t>
      </w:r>
      <w:r w:rsidR="66A5055B">
        <w:t>that the rules are modified</w:t>
      </w:r>
      <w:r>
        <w:t xml:space="preserve"> to expand unlicensed FDS device operations in the 60 GHz band, all future 60 GHz FDS operations would be conducted subject to our modified rules.</w:t>
      </w:r>
      <w:r>
        <w:rPr>
          <w:rStyle w:val="FootnoteReference"/>
        </w:rPr>
        <w:footnoteReference w:id="171"/>
      </w:r>
      <w:r>
        <w:t xml:space="preserve">  </w:t>
      </w:r>
      <w:r w:rsidR="1153CEA7">
        <w:t xml:space="preserve">The Commission </w:t>
      </w:r>
      <w:r>
        <w:t>propose</w:t>
      </w:r>
      <w:r w:rsidR="1153CEA7">
        <w:t>d</w:t>
      </w:r>
      <w:r>
        <w:t xml:space="preserve"> </w:t>
      </w:r>
      <w:r w:rsidR="4D3ACBF6">
        <w:t>to terminate all</w:t>
      </w:r>
      <w:r>
        <w:t xml:space="preserve"> previously granted 60 GHz FDS waivers and FDS device manufacturers would be expected to conform their operations to our rules as revised.</w:t>
      </w:r>
      <w:r>
        <w:rPr>
          <w:rStyle w:val="FootnoteReference"/>
        </w:rPr>
        <w:footnoteReference w:id="172"/>
      </w:r>
      <w:r>
        <w:t xml:space="preserve">  </w:t>
      </w:r>
    </w:p>
    <w:p w:rsidR="00ED65FD" w:rsidP="009F3F22" w14:paraId="0FCF44B6" w14:textId="1E8741D1">
      <w:pPr>
        <w:pStyle w:val="ParaNum"/>
      </w:pPr>
      <w:r>
        <w:t>Most commenters agree that i</w:t>
      </w:r>
      <w:r w:rsidRPr="00C514C7">
        <w:t xml:space="preserve">f the </w:t>
      </w:r>
      <w:r w:rsidR="0DE0380E">
        <w:t>adopted</w:t>
      </w:r>
      <w:r w:rsidRPr="00C514C7">
        <w:t xml:space="preserve"> 60 GHz technical and operational rules</w:t>
      </w:r>
      <w:r>
        <w:t xml:space="preserve"> </w:t>
      </w:r>
      <w:r w:rsidRPr="00C514C7">
        <w:t>are more stringent than existing FDS waiver conditions, the Commission should</w:t>
      </w:r>
      <w:r>
        <w:t xml:space="preserve"> </w:t>
      </w:r>
      <w:r w:rsidRPr="00C514C7">
        <w:t>grandfather the existing, more flexible waivers for approved radar devices or, at minimum,</w:t>
      </w:r>
      <w:r>
        <w:t xml:space="preserve"> </w:t>
      </w:r>
      <w:r w:rsidRPr="00C514C7">
        <w:t>provide a reasonable transition period for waiver holders to bring their technology into</w:t>
      </w:r>
      <w:r>
        <w:t xml:space="preserve"> </w:t>
      </w:r>
      <w:r w:rsidRPr="00C514C7">
        <w:t>compliance with more rigorous regulatory standards</w:t>
      </w:r>
      <w:r w:rsidR="0DE0380E">
        <w:t>.</w:t>
      </w:r>
      <w:r>
        <w:rPr>
          <w:rStyle w:val="FootnoteReference"/>
        </w:rPr>
        <w:footnoteReference w:id="173"/>
      </w:r>
      <w:r w:rsidR="1010F97E">
        <w:t xml:space="preserve">  The </w:t>
      </w:r>
      <w:r w:rsidR="0A0A959C">
        <w:t>Industry Consensus Agreement</w:t>
      </w:r>
      <w:r w:rsidR="1010F97E">
        <w:t xml:space="preserve"> </w:t>
      </w:r>
      <w:r w:rsidR="578D67B7">
        <w:t xml:space="preserve">suggests </w:t>
      </w:r>
      <w:r w:rsidR="1010F97E">
        <w:t xml:space="preserve">a </w:t>
      </w:r>
      <w:r w:rsidR="66584AC4">
        <w:t>six</w:t>
      </w:r>
      <w:r w:rsidR="1010F97E">
        <w:t xml:space="preserve">-month transition period </w:t>
      </w:r>
      <w:r w:rsidR="351CC586">
        <w:t>applicable only to</w:t>
      </w:r>
      <w:r w:rsidR="1010F97E">
        <w:t xml:space="preserve"> </w:t>
      </w:r>
      <w:r w:rsidR="351CC586">
        <w:t>new certifications under the terms of the waivers.</w:t>
      </w:r>
      <w:r>
        <w:rPr>
          <w:rStyle w:val="FootnoteReference"/>
        </w:rPr>
        <w:footnoteReference w:id="174"/>
      </w:r>
      <w:r w:rsidR="578D67B7">
        <w:t xml:space="preserve">  The </w:t>
      </w:r>
      <w:r w:rsidRPr="00B123D6" w:rsidR="578D67B7">
        <w:t>Pulse Radar Joint Agreement</w:t>
      </w:r>
      <w:r w:rsidR="578D67B7">
        <w:t xml:space="preserve"> </w:t>
      </w:r>
      <w:r w:rsidR="637A224F">
        <w:t xml:space="preserve">suggested that </w:t>
      </w:r>
      <w:r w:rsidR="637A224F">
        <w:t>Acconeer</w:t>
      </w:r>
      <w:r w:rsidR="637A224F">
        <w:t xml:space="preserve"> be permitted to continue to market and sell </w:t>
      </w:r>
      <w:r w:rsidR="710772A8">
        <w:t xml:space="preserve">pulse radars under </w:t>
      </w:r>
      <w:r w:rsidR="3B9E4C07">
        <w:t xml:space="preserve">its existing waiver </w:t>
      </w:r>
      <w:r w:rsidR="3643CD9A">
        <w:t>for two years after the effective date of new rules.</w:t>
      </w:r>
      <w:r>
        <w:rPr>
          <w:rStyle w:val="FootnoteReference"/>
        </w:rPr>
        <w:footnoteReference w:id="175"/>
      </w:r>
      <w:r w:rsidR="351CC586">
        <w:t xml:space="preserve"> </w:t>
      </w:r>
      <w:r w:rsidR="4CB2936C">
        <w:t xml:space="preserve"> </w:t>
      </w:r>
    </w:p>
    <w:p w:rsidR="0017296A" w:rsidRPr="00836F10" w:rsidP="001612BD" w14:paraId="5B598ABB" w14:textId="2EF4A8BB">
      <w:pPr>
        <w:pStyle w:val="ParaNum"/>
        <w:widowControl/>
      </w:pPr>
      <w:r>
        <w:t>We agree that</w:t>
      </w:r>
      <w:r w:rsidR="00141178">
        <w:t xml:space="preserve"> it is appropriate to afford parties that are operating </w:t>
      </w:r>
      <w:r w:rsidR="00533978">
        <w:t xml:space="preserve">unlicensed 60 GHz band </w:t>
      </w:r>
      <w:r w:rsidR="00A91280">
        <w:t xml:space="preserve">FDS </w:t>
      </w:r>
      <w:r w:rsidR="00533978">
        <w:t>equipment under waivers</w:t>
      </w:r>
      <w:r w:rsidR="00D65A03">
        <w:t xml:space="preserve"> </w:t>
      </w:r>
      <w:r w:rsidR="005E6F83">
        <w:t xml:space="preserve">a period of </w:t>
      </w:r>
      <w:r w:rsidR="00D65A03">
        <w:t xml:space="preserve">time to </w:t>
      </w:r>
      <w:r w:rsidR="00E866C7">
        <w:t xml:space="preserve">transition to the new rules and to </w:t>
      </w:r>
      <w:r w:rsidR="00113343">
        <w:t xml:space="preserve">sell </w:t>
      </w:r>
      <w:r w:rsidR="00805770">
        <w:t xml:space="preserve">products that they have </w:t>
      </w:r>
      <w:r w:rsidR="00486A63">
        <w:t>produced under the terms of the</w:t>
      </w:r>
      <w:r w:rsidR="00F5747A">
        <w:t>ir</w:t>
      </w:r>
      <w:r w:rsidR="00486A63">
        <w:t xml:space="preserve"> waive</w:t>
      </w:r>
      <w:r w:rsidR="00F5747A">
        <w:t>rs</w:t>
      </w:r>
      <w:r w:rsidR="001D43F6">
        <w:t xml:space="preserve">, but we also </w:t>
      </w:r>
      <w:r w:rsidR="00E42499">
        <w:t xml:space="preserve">want to encourage parties to </w:t>
      </w:r>
      <w:r w:rsidR="00C9012B">
        <w:t xml:space="preserve">begin producing equipment that complies with the new rules </w:t>
      </w:r>
      <w:r w:rsidR="007638E2">
        <w:t xml:space="preserve">in a timely manner, </w:t>
      </w:r>
      <w:r w:rsidR="005D7A9E">
        <w:t xml:space="preserve">notwithstanding whether their existing waivers are </w:t>
      </w:r>
      <w:r w:rsidR="00AA110B">
        <w:t>more restrictive than the newly adopted rules</w:t>
      </w:r>
      <w:r w:rsidR="00486A63">
        <w:t>.</w:t>
      </w:r>
      <w:r w:rsidR="005D71BD">
        <w:t xml:space="preserve">  The</w:t>
      </w:r>
      <w:r w:rsidR="00B74B8C">
        <w:t xml:space="preserve"> Industry Consensus Agreement</w:t>
      </w:r>
      <w:r w:rsidR="00BC0ED7">
        <w:t xml:space="preserve"> </w:t>
      </w:r>
      <w:r w:rsidR="0096003B">
        <w:t xml:space="preserve">shows that </w:t>
      </w:r>
      <w:r w:rsidR="00D9170E">
        <w:t xml:space="preserve">manufacturers </w:t>
      </w:r>
      <w:r w:rsidR="00CF5318">
        <w:t xml:space="preserve">are </w:t>
      </w:r>
      <w:r w:rsidR="00CF6D5C">
        <w:t>comfortable</w:t>
      </w:r>
      <w:r w:rsidR="00BC0ED7">
        <w:t xml:space="preserve"> that a relatively short, six-month, </w:t>
      </w:r>
      <w:r w:rsidR="0006564B">
        <w:t>period is a realistic and manageable transition time period</w:t>
      </w:r>
      <w:r w:rsidR="003B0C10">
        <w:t>.</w:t>
      </w:r>
      <w:r>
        <w:rPr>
          <w:rStyle w:val="FootnoteReference"/>
        </w:rPr>
        <w:footnoteReference w:id="176"/>
      </w:r>
      <w:r w:rsidR="003B0C10">
        <w:t xml:space="preserve">  We</w:t>
      </w:r>
      <w:r w:rsidR="0043072D">
        <w:t xml:space="preserve"> agree</w:t>
      </w:r>
      <w:r w:rsidR="001D2D79">
        <w:t xml:space="preserve"> </w:t>
      </w:r>
      <w:r w:rsidR="009D3FEE">
        <w:t xml:space="preserve">that </w:t>
      </w:r>
      <w:r w:rsidR="003B0C10">
        <w:t xml:space="preserve">this is </w:t>
      </w:r>
      <w:r w:rsidR="008B082E">
        <w:t xml:space="preserve">an appropriate timeframe, </w:t>
      </w:r>
      <w:r w:rsidR="00622616">
        <w:t xml:space="preserve">given that </w:t>
      </w:r>
      <w:r w:rsidR="002A77BD">
        <w:t xml:space="preserve">it </w:t>
      </w:r>
      <w:r w:rsidR="004806CD">
        <w:t xml:space="preserve">is important to </w:t>
      </w:r>
      <w:r w:rsidR="002B0E14">
        <w:t xml:space="preserve">begin </w:t>
      </w:r>
      <w:r w:rsidR="00231F6D">
        <w:t xml:space="preserve">the transition to the new rules </w:t>
      </w:r>
      <w:r w:rsidR="00965FD4">
        <w:t xml:space="preserve">as soon </w:t>
      </w:r>
      <w:r w:rsidR="00346228">
        <w:t>as practicable</w:t>
      </w:r>
      <w:r w:rsidR="00A34CC9">
        <w:t xml:space="preserve">.  </w:t>
      </w:r>
      <w:r w:rsidR="004627E4">
        <w:t xml:space="preserve">Accordingly, </w:t>
      </w:r>
      <w:r w:rsidR="00506616">
        <w:t xml:space="preserve">in </w:t>
      </w:r>
      <w:r w:rsidR="00A6422F">
        <w:t>these</w:t>
      </w:r>
      <w:r w:rsidR="00506616">
        <w:t xml:space="preserve"> cases where a wa</w:t>
      </w:r>
      <w:r w:rsidR="00BB1E32">
        <w:t>i</w:t>
      </w:r>
      <w:r w:rsidR="00506616">
        <w:t xml:space="preserve">ver </w:t>
      </w:r>
      <w:r w:rsidR="00126DD8">
        <w:t>has previously been granted</w:t>
      </w:r>
      <w:r w:rsidR="00A6422F">
        <w:t>,</w:t>
      </w:r>
      <w:r w:rsidR="00126DD8">
        <w:t xml:space="preserve"> </w:t>
      </w:r>
      <w:r w:rsidR="00407DAD">
        <w:t>w</w:t>
      </w:r>
      <w:r w:rsidR="009D1E0A">
        <w:t xml:space="preserve">e </w:t>
      </w:r>
      <w:r w:rsidR="00FF2362">
        <w:t>will</w:t>
      </w:r>
      <w:r w:rsidR="009D1E0A">
        <w:t xml:space="preserve"> require that </w:t>
      </w:r>
      <w:r w:rsidR="005B590A">
        <w:t>all new</w:t>
      </w:r>
      <w:r w:rsidR="009D1E0A">
        <w:t xml:space="preserve"> FDS/radar devices that are approved by Telecommunication Certification Bodies (TCBs) beginning six months after the effective date of the rules adopted in this proceeding must comply with the new rules.</w:t>
      </w:r>
      <w:r>
        <w:rPr>
          <w:rStyle w:val="FootnoteReference"/>
          <w:sz w:val="22"/>
          <w:szCs w:val="22"/>
        </w:rPr>
        <w:footnoteReference w:id="177"/>
      </w:r>
      <w:r w:rsidR="00EB32FD">
        <w:t xml:space="preserve">  </w:t>
      </w:r>
      <w:r w:rsidR="00EC6D55">
        <w:t xml:space="preserve">We terminate the 60 GHz </w:t>
      </w:r>
      <w:r w:rsidR="00EC6D55">
        <w:t>band waivers that are currently in effect</w:t>
      </w:r>
      <w:r w:rsidR="00814B99">
        <w:t xml:space="preserve"> a</w:t>
      </w:r>
      <w:r w:rsidR="00B2571E">
        <w:t>t the conclusion of this transition period</w:t>
      </w:r>
      <w:r w:rsidR="005D4BD8">
        <w:t>.  However</w:t>
      </w:r>
      <w:r w:rsidR="002C6A13">
        <w:t xml:space="preserve">, </w:t>
      </w:r>
      <w:r w:rsidR="005D4BD8">
        <w:t>we specify that so long as</w:t>
      </w:r>
      <w:r w:rsidR="002C6A13">
        <w:t xml:space="preserve"> a 60 GHz FDS/radar</w:t>
      </w:r>
      <w:r w:rsidR="00C51D43">
        <w:t xml:space="preserve"> does not cause harmful interference</w:t>
      </w:r>
      <w:r w:rsidR="002C6A13">
        <w:t>, it can continue to operate until its natural replacement</w:t>
      </w:r>
      <w:r w:rsidR="002E6071">
        <w:t xml:space="preserve">.  </w:t>
      </w:r>
      <w:r w:rsidR="002F0A0A">
        <w:t>Any</w:t>
      </w:r>
      <w:r w:rsidR="002C6A13">
        <w:t xml:space="preserve"> equipment </w:t>
      </w:r>
      <w:r w:rsidR="009A66B5">
        <w:t xml:space="preserve">currently operating pursuant to a waiver </w:t>
      </w:r>
      <w:r w:rsidR="002F0A0A">
        <w:t xml:space="preserve">that </w:t>
      </w:r>
      <w:r w:rsidR="002C6A13">
        <w:t xml:space="preserve">is subsequently modified, </w:t>
      </w:r>
      <w:r w:rsidR="002F0A0A">
        <w:t>however,</w:t>
      </w:r>
      <w:r w:rsidR="002C6A13">
        <w:t xml:space="preserve"> must be brought into compliance with the new rules.</w:t>
      </w:r>
      <w:r w:rsidR="0097735F">
        <w:t xml:space="preserve">  </w:t>
      </w:r>
    </w:p>
    <w:p w:rsidR="00F13E1B" w:rsidRPr="00C3485D" w:rsidP="00F13E1B" w14:paraId="4118E24F" w14:textId="77777777">
      <w:pPr>
        <w:pStyle w:val="Heading1"/>
      </w:pPr>
      <w:bookmarkStart w:id="63" w:name="_Toc516135142"/>
      <w:bookmarkStart w:id="64" w:name="_Toc516500666"/>
      <w:bookmarkStart w:id="65" w:name="_Toc516502634"/>
      <w:bookmarkStart w:id="66" w:name="_Toc516502695"/>
      <w:bookmarkStart w:id="67" w:name="_Toc516503257"/>
      <w:bookmarkStart w:id="68" w:name="_Toc516599626"/>
      <w:bookmarkStart w:id="69" w:name="_Toc516759218"/>
      <w:bookmarkStart w:id="70" w:name="_Toc516761161"/>
      <w:bookmarkStart w:id="71" w:name="_Toc516847076"/>
      <w:bookmarkStart w:id="72" w:name="_Toc517082871"/>
      <w:bookmarkStart w:id="73" w:name="_Toc517106054"/>
      <w:bookmarkStart w:id="74" w:name="_Toc517126361"/>
      <w:bookmarkStart w:id="75" w:name="_Toc517181789"/>
      <w:bookmarkStart w:id="76" w:name="_Toc517220087"/>
      <w:bookmarkStart w:id="77" w:name="_Toc517260072"/>
      <w:bookmarkStart w:id="78" w:name="_Toc517261164"/>
      <w:bookmarkStart w:id="79" w:name="_Toc519004105"/>
      <w:bookmarkStart w:id="80" w:name="_Toc519181606"/>
      <w:bookmarkStart w:id="81" w:name="_Toc525651562"/>
      <w:bookmarkStart w:id="82" w:name="_Toc525652169"/>
      <w:bookmarkStart w:id="83" w:name="_Toc525652239"/>
      <w:bookmarkStart w:id="84" w:name="_Toc525652882"/>
      <w:bookmarkStart w:id="85" w:name="_Toc525653031"/>
      <w:bookmarkStart w:id="86" w:name="_Toc525653204"/>
      <w:bookmarkStart w:id="87" w:name="_Toc525675954"/>
      <w:bookmarkStart w:id="88" w:name="_Toc525676064"/>
      <w:bookmarkStart w:id="89" w:name="_Toc525909365"/>
      <w:bookmarkStart w:id="90" w:name="_Toc22628847"/>
      <w:bookmarkStart w:id="91" w:name="_Toc22740319"/>
      <w:bookmarkStart w:id="92" w:name="_Toc22822482"/>
      <w:bookmarkStart w:id="93" w:name="_Toc30693990"/>
      <w:bookmarkStart w:id="94" w:name="_Toc31721177"/>
      <w:bookmarkStart w:id="95" w:name="_Toc33614425"/>
      <w:bookmarkStart w:id="96" w:name="_Toc135123552"/>
      <w:bookmarkStart w:id="97" w:name="_Hlk22546673"/>
      <w:r w:rsidRPr="00C3485D">
        <w:t>Procedural Matters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bookmarkEnd w:id="97"/>
    <w:p w:rsidR="00F029F1" w:rsidRPr="003A2DF5" w:rsidP="00F13E1B" w14:paraId="5DF7000E" w14:textId="4C1FA9C7">
      <w:pPr>
        <w:pStyle w:val="ParaNum"/>
      </w:pPr>
      <w:r w:rsidRPr="59CB47AA">
        <w:rPr>
          <w:i/>
          <w:iCs/>
        </w:rPr>
        <w:t>Regulatory Flexibility Act</w:t>
      </w:r>
      <w:r w:rsidRPr="00A51EC3">
        <w:t xml:space="preserve">.  </w:t>
      </w:r>
      <w:r w:rsidR="004114BE">
        <w:t>The Regulatory Flexibility Act of 1980,</w:t>
      </w:r>
      <w:r w:rsidRPr="59CB47AA" w:rsidR="004114BE">
        <w:rPr>
          <w:vertAlign w:val="superscript"/>
        </w:rPr>
        <w:t xml:space="preserve"> </w:t>
      </w:r>
      <w:r w:rsidR="004114BE">
        <w:t>as amended (RFA),</w:t>
      </w:r>
      <w:r>
        <w:rPr>
          <w:sz w:val="20"/>
          <w:vertAlign w:val="superscript"/>
        </w:rPr>
        <w:footnoteReference w:id="178"/>
      </w:r>
      <w:r w:rsidR="004114BE">
        <w:t xml:space="preserve"> requires that an agency prepare a regulatory flexibility analysis for notice and comment rulemakings, unless the agency certifies that “the rule will not, if promulgated, have a significant economic impact on a substantial number of small entities.”</w:t>
      </w:r>
      <w:r>
        <w:rPr>
          <w:rStyle w:val="FootnoteReference"/>
        </w:rPr>
        <w:footnoteReference w:id="179"/>
      </w:r>
      <w:r w:rsidR="004114BE">
        <w:t xml:space="preserve">  Accordingly, we have prepared a Final Regulatory Flexibility Analysis (FRFA) concerning the possible impact of the rule changes and/or policy contained in this Report and Order on small entities.  The FRFA is set forth in Appendix C.</w:t>
      </w:r>
      <w:r w:rsidR="00674082">
        <w:t xml:space="preserve"> </w:t>
      </w:r>
    </w:p>
    <w:p w:rsidR="003A2DF5" w:rsidRPr="00FC3029" w:rsidP="00F13E1B" w14:paraId="5761A9ED" w14:textId="3C2CEC4C">
      <w:pPr>
        <w:pStyle w:val="ParaNum"/>
      </w:pPr>
      <w:r w:rsidRPr="59CB47AA">
        <w:rPr>
          <w:i/>
          <w:iCs/>
        </w:rPr>
        <w:t>Congressional Review Act</w:t>
      </w:r>
      <w:r>
        <w:t xml:space="preserve">.  The Commission has determined, and the Administrator of the Office of Information and Regulatory Affairs, Office of Management and Budget, concurs, that this rule is non-major under the Congressional Review Act, 5 U.S.C. </w:t>
      </w:r>
      <w:r w:rsidRPr="00194F51">
        <w:rPr>
          <w:rFonts w:cs="Calibri"/>
        </w:rPr>
        <w:t>§</w:t>
      </w:r>
      <w:r>
        <w:t xml:space="preserve"> 804(2).  The Commission will send a copy of this Report &amp; Order, etc. to Congress and the Government Accountability Office pursuant to 5 U.S.C. </w:t>
      </w:r>
      <w:r w:rsidRPr="00194F51">
        <w:rPr>
          <w:rFonts w:cs="Calibri"/>
        </w:rPr>
        <w:t>§</w:t>
      </w:r>
      <w:r>
        <w:t xml:space="preserve"> 801(a)(1)(A)</w:t>
      </w:r>
      <w:r>
        <w:t xml:space="preserve">.  </w:t>
      </w:r>
    </w:p>
    <w:p w:rsidR="003D5FC6" w:rsidRPr="003D5FC6" w:rsidP="00F13E1B" w14:paraId="0B1D2B57" w14:textId="75C10969">
      <w:pPr>
        <w:pStyle w:val="ParaNum"/>
      </w:pPr>
      <w:r w:rsidRPr="59CB47AA">
        <w:rPr>
          <w:i/>
          <w:iCs/>
        </w:rPr>
        <w:t>Paperwork Reduction Act Analysis.</w:t>
      </w:r>
      <w:r>
        <w:t xml:space="preserve">  This </w:t>
      </w:r>
      <w:r w:rsidRPr="59CB47AA" w:rsidR="0082647F">
        <w:rPr>
          <w:i/>
          <w:iCs/>
        </w:rPr>
        <w:t>Report and Order</w:t>
      </w:r>
      <w:r>
        <w:t xml:space="preserve"> </w:t>
      </w:r>
      <w:r w:rsidR="002D1EB2">
        <w:t xml:space="preserve">does not contain new or modified information collections subject to the Paperwork Reduction Act of 1995 (PRA), Public Law 104-13 (44 U.S.C. §§ 3501-3520).  In addition, it does not contain any new or modified information collection burden for small business concerns with fewer than 25 employees pursuant to the Small Business Paperwork Relief Act of 2002, Public Law 107-198, </w:t>
      </w:r>
      <w:r w:rsidRPr="59CB47AA" w:rsidR="002D1EB2">
        <w:rPr>
          <w:i/>
          <w:iCs/>
        </w:rPr>
        <w:t xml:space="preserve">see </w:t>
      </w:r>
      <w:r w:rsidR="002D1EB2">
        <w:t>44 U.S.C. § 3506(c)(4).</w:t>
      </w:r>
    </w:p>
    <w:p w:rsidR="00F13E1B" w:rsidRPr="00C3485D" w:rsidP="00F13E1B" w14:paraId="4B0E21C2" w14:textId="77777777">
      <w:pPr>
        <w:pStyle w:val="Heading1"/>
      </w:pPr>
      <w:bookmarkStart w:id="98" w:name="_Toc516135146"/>
      <w:bookmarkStart w:id="99" w:name="_Toc516500670"/>
      <w:bookmarkStart w:id="100" w:name="_Toc516502638"/>
      <w:bookmarkStart w:id="101" w:name="_Toc516502699"/>
      <w:bookmarkStart w:id="102" w:name="_Toc516503261"/>
      <w:bookmarkStart w:id="103" w:name="_Toc516599632"/>
      <w:bookmarkStart w:id="104" w:name="_Toc516759224"/>
      <w:bookmarkStart w:id="105" w:name="_Toc516761167"/>
      <w:bookmarkStart w:id="106" w:name="_Toc516847082"/>
      <w:bookmarkStart w:id="107" w:name="_Toc517082877"/>
      <w:bookmarkStart w:id="108" w:name="_Toc517106060"/>
      <w:bookmarkStart w:id="109" w:name="_Toc517126367"/>
      <w:bookmarkStart w:id="110" w:name="_Toc517181790"/>
      <w:bookmarkStart w:id="111" w:name="_Toc517220088"/>
      <w:bookmarkStart w:id="112" w:name="_Toc517260073"/>
      <w:bookmarkStart w:id="113" w:name="_Toc517261165"/>
      <w:bookmarkStart w:id="114" w:name="_Toc519004106"/>
      <w:bookmarkStart w:id="115" w:name="_Toc519181607"/>
      <w:bookmarkStart w:id="116" w:name="_Toc525651566"/>
      <w:bookmarkStart w:id="117" w:name="_Toc525652170"/>
      <w:bookmarkStart w:id="118" w:name="_Toc525652240"/>
      <w:bookmarkStart w:id="119" w:name="_Toc525652883"/>
      <w:bookmarkStart w:id="120" w:name="_Toc525653032"/>
      <w:bookmarkStart w:id="121" w:name="_Toc525653205"/>
      <w:bookmarkStart w:id="122" w:name="_Toc525675955"/>
      <w:bookmarkStart w:id="123" w:name="_Toc525676065"/>
      <w:bookmarkStart w:id="124" w:name="_Toc525909366"/>
      <w:bookmarkStart w:id="125" w:name="_Toc22628848"/>
      <w:bookmarkStart w:id="126" w:name="_Toc22740320"/>
      <w:bookmarkStart w:id="127" w:name="_Toc22822483"/>
      <w:bookmarkStart w:id="128" w:name="_Toc30693991"/>
      <w:bookmarkStart w:id="129" w:name="_Toc31721178"/>
      <w:bookmarkStart w:id="130" w:name="_Toc33614426"/>
      <w:bookmarkStart w:id="131" w:name="_Toc135123553"/>
      <w:r w:rsidRPr="00C3485D">
        <w:t>Ordering Clauses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F13E1B" w:rsidRPr="00C25F47" w:rsidP="00F13E1B" w14:paraId="7831E784" w14:textId="4D398B24">
      <w:pPr>
        <w:pStyle w:val="ParaNum"/>
      </w:pPr>
      <w:r w:rsidRPr="00FC3029">
        <w:t xml:space="preserve"> </w:t>
      </w:r>
      <w:r w:rsidRPr="008445F0" w:rsidR="00C25F47">
        <w:rPr>
          <w:snapToGrid/>
        </w:rPr>
        <w:t>Accordingly, IT IS ORDERED that, pursuant to the authority contained in Sections 4(i), 302, 303(b), (c), (e), (f), (r), and 307 of the Communications Act of 1934, as amended, 47 U.S.C. §§ 154(i), 302</w:t>
      </w:r>
      <w:r w:rsidR="006C039B">
        <w:rPr>
          <w:snapToGrid/>
        </w:rPr>
        <w:t>a</w:t>
      </w:r>
      <w:r w:rsidRPr="008445F0" w:rsidR="00C25F47">
        <w:rPr>
          <w:snapToGrid/>
        </w:rPr>
        <w:t xml:space="preserve">, 303(b), (c), (e), (f), (r), 307, this </w:t>
      </w:r>
      <w:r w:rsidRPr="59CB47AA" w:rsidR="00C25F47">
        <w:rPr>
          <w:i/>
          <w:iCs/>
          <w:snapToGrid/>
        </w:rPr>
        <w:t>Report and Order</w:t>
      </w:r>
      <w:r w:rsidR="00C25F47">
        <w:rPr>
          <w:snapToGrid/>
        </w:rPr>
        <w:t xml:space="preserve"> </w:t>
      </w:r>
      <w:r w:rsidRPr="008445F0" w:rsidR="00C25F47">
        <w:rPr>
          <w:snapToGrid/>
        </w:rPr>
        <w:t>IS HEREBY ADOPTED.</w:t>
      </w:r>
    </w:p>
    <w:p w:rsidR="00C25F47" w:rsidRPr="005545BC" w:rsidP="00F13E1B" w14:paraId="79B22BCE" w14:textId="2E39C0C3">
      <w:pPr>
        <w:pStyle w:val="ParaNum"/>
      </w:pPr>
      <w:r w:rsidRPr="008445F0">
        <w:rPr>
          <w:snapToGrid/>
        </w:rPr>
        <w:t xml:space="preserve">IT IS FURTHER ORDERED that Part 15 of the Commission’s rules IS AMENDED as specified in Appendix </w:t>
      </w:r>
      <w:r w:rsidR="006A342A">
        <w:rPr>
          <w:snapToGrid/>
        </w:rPr>
        <w:t>B</w:t>
      </w:r>
      <w:r w:rsidRPr="008445F0">
        <w:rPr>
          <w:snapToGrid/>
        </w:rPr>
        <w:t xml:space="preserve">, and such rule amendments WILL BECOME EFFECTIVE 30 days after the date of publication in the </w:t>
      </w:r>
      <w:r w:rsidRPr="59CB47AA">
        <w:rPr>
          <w:i/>
          <w:iCs/>
          <w:snapToGrid/>
        </w:rPr>
        <w:t>Federal Register</w:t>
      </w:r>
      <w:r w:rsidRPr="008445F0">
        <w:rPr>
          <w:snapToGrid/>
        </w:rPr>
        <w:t>.</w:t>
      </w:r>
    </w:p>
    <w:p w:rsidR="00FB0A60" w:rsidRPr="003C76CB" w:rsidP="00F13E1B" w14:paraId="5BD98527" w14:textId="36B9145E">
      <w:pPr>
        <w:pStyle w:val="ParaNum"/>
      </w:pPr>
      <w:r>
        <w:t xml:space="preserve">IT IS FURTHER ORDERED that the 60 GHz waivers currently in effect, as granted in DA 18-1308, </w:t>
      </w:r>
      <w:r w:rsidR="008F2BF2">
        <w:t xml:space="preserve">DA 20-795, </w:t>
      </w:r>
      <w:r>
        <w:t xml:space="preserve">DA 21-407, DA 21-811, DA 21-812, DA 21-813, DA 21-814, DA 21-815, </w:t>
      </w:r>
      <w:r w:rsidR="008F2BF2">
        <w:t xml:space="preserve">and </w:t>
      </w:r>
      <w:r>
        <w:t>DA 21-816</w:t>
      </w:r>
      <w:r w:rsidR="008F2BF2">
        <w:t xml:space="preserve"> </w:t>
      </w:r>
      <w:r>
        <w:t>are TERMINATED effective six months after the effective date of the rule amendments adopted herein unless expressly extended by the Chief, Office of Engineering and Technology.</w:t>
      </w:r>
      <w:r w:rsidR="007B4D54">
        <w:t xml:space="preserve">  </w:t>
      </w:r>
      <w:r w:rsidR="00332E4D">
        <w:t xml:space="preserve">However, </w:t>
      </w:r>
      <w:r w:rsidR="00E5602B">
        <w:t xml:space="preserve">a device that was certified to </w:t>
      </w:r>
      <w:r w:rsidR="00183CA4">
        <w:t xml:space="preserve">be marketed </w:t>
      </w:r>
      <w:r w:rsidR="006A01B1">
        <w:t xml:space="preserve">and </w:t>
      </w:r>
      <w:r w:rsidR="00183CA4">
        <w:t xml:space="preserve">to </w:t>
      </w:r>
      <w:r w:rsidR="00E5602B">
        <w:t xml:space="preserve">operate under waiver </w:t>
      </w:r>
      <w:r w:rsidR="00CD1266">
        <w:t xml:space="preserve">on or </w:t>
      </w:r>
      <w:r w:rsidR="00081027">
        <w:t>before six months after</w:t>
      </w:r>
      <w:r w:rsidR="00E5602B">
        <w:t xml:space="preserve"> the effective date of </w:t>
      </w:r>
      <w:r w:rsidR="0082126D">
        <w:t xml:space="preserve">the rule amendments adopted herein </w:t>
      </w:r>
      <w:r w:rsidR="00E5602B">
        <w:t xml:space="preserve">MAY CONTINUE TO </w:t>
      </w:r>
      <w:r w:rsidR="006A01B1">
        <w:t xml:space="preserve">BE MARKETED AND </w:t>
      </w:r>
      <w:r w:rsidR="00E5602B">
        <w:t xml:space="preserve">OPERATE </w:t>
      </w:r>
      <w:r w:rsidR="00033F67">
        <w:t xml:space="preserve">in accordance with </w:t>
      </w:r>
      <w:r w:rsidR="0088072E">
        <w:t xml:space="preserve">the terms of </w:t>
      </w:r>
      <w:r w:rsidR="00033F67">
        <w:t>its certification</w:t>
      </w:r>
      <w:r w:rsidR="00A13A89">
        <w:t xml:space="preserve"> </w:t>
      </w:r>
      <w:r w:rsidR="00F42BCF">
        <w:t xml:space="preserve">so long as </w:t>
      </w:r>
      <w:r w:rsidR="007C190F">
        <w:t xml:space="preserve">the </w:t>
      </w:r>
      <w:r w:rsidR="00D92927">
        <w:t xml:space="preserve">device </w:t>
      </w:r>
      <w:r w:rsidR="001F6C61">
        <w:t>do</w:t>
      </w:r>
      <w:r w:rsidR="00D92927">
        <w:t>es</w:t>
      </w:r>
      <w:r w:rsidR="001F6C61">
        <w:t xml:space="preserve"> not cause harmful interference</w:t>
      </w:r>
      <w:r w:rsidR="00F42BCF">
        <w:t>.</w:t>
      </w:r>
      <w:r w:rsidR="00FE215B">
        <w:t xml:space="preserve"> </w:t>
      </w:r>
    </w:p>
    <w:p w:rsidR="003C76CB" w:rsidRPr="005E0869" w:rsidP="00F13E1B" w14:paraId="2501F053" w14:textId="072A1CCE">
      <w:pPr>
        <w:pStyle w:val="ParaNum"/>
      </w:pPr>
      <w:r w:rsidRPr="008445F0">
        <w:rPr>
          <w:snapToGrid/>
        </w:rPr>
        <w:t xml:space="preserve">IT IS FURTHER ORDERED that the Commission’s Consumer and Governmental Affairs Bureau, Reference Information Center, SHALL SEND a copy of the </w:t>
      </w:r>
      <w:r w:rsidRPr="59CB47AA">
        <w:rPr>
          <w:i/>
          <w:iCs/>
          <w:snapToGrid/>
        </w:rPr>
        <w:t>Report and Order</w:t>
      </w:r>
      <w:r w:rsidRPr="008445F0">
        <w:rPr>
          <w:snapToGrid/>
        </w:rPr>
        <w:t>, including the Final Regulatory Flexibility Analys</w:t>
      </w:r>
      <w:r w:rsidR="001435A1">
        <w:t>e</w:t>
      </w:r>
      <w:r w:rsidRPr="008445F0">
        <w:rPr>
          <w:snapToGrid/>
        </w:rPr>
        <w:t>s, to the Chief Counsel for Advocacy of the U.S. Small Business Administration.</w:t>
      </w:r>
    </w:p>
    <w:p w:rsidR="00105E39" w:rsidRPr="00260B09" w:rsidP="00735946" w14:paraId="1B05B93B" w14:textId="3B7612B8">
      <w:pPr>
        <w:pStyle w:val="ParaNum"/>
        <w:widowControl/>
      </w:pPr>
      <w:r>
        <w:t xml:space="preserve">IT IS FURTHER ORDERED that the Commission SHALL SEND a copy of this </w:t>
      </w:r>
      <w:r w:rsidRPr="59CB47AA">
        <w:rPr>
          <w:i/>
          <w:iCs/>
        </w:rPr>
        <w:t>Report and Order</w:t>
      </w:r>
      <w:r>
        <w:t xml:space="preserve"> in a report to be sent to Congress and the Government Accountability Office pursuant to the Congressional Review Act,</w:t>
      </w:r>
      <w:r w:rsidRPr="59CB47AA">
        <w:rPr>
          <w:i/>
          <w:iCs/>
        </w:rPr>
        <w:t xml:space="preserve"> see</w:t>
      </w:r>
      <w:r>
        <w:t xml:space="preserve"> 5 U.S.C. § 801(a)(1)(A).</w:t>
      </w:r>
    </w:p>
    <w:p w:rsidR="00F13E1B" w:rsidRPr="00F13E1B" w:rsidP="00F13E1B" w14:paraId="601A9D3E" w14:textId="77777777">
      <w:pPr>
        <w:spacing w:after="120"/>
        <w:ind w:left="720"/>
        <w:rPr>
          <w:color w:val="000000"/>
        </w:rPr>
      </w:pPr>
    </w:p>
    <w:p w:rsidR="00356E4A" w:rsidP="0017296B" w14:paraId="4F83D818" w14:textId="77777777">
      <w:r w:rsidRPr="00F13E1B">
        <w:rPr>
          <w:color w:val="000000"/>
        </w:rPr>
        <w:tab/>
      </w:r>
      <w:bookmarkStart w:id="132" w:name="comebackhere"/>
      <w:bookmarkEnd w:id="132"/>
      <w:r w:rsidRPr="00F13E1B">
        <w:rPr>
          <w:color w:val="000000"/>
        </w:rPr>
        <w:tab/>
      </w:r>
      <w:r w:rsidRPr="00F13E1B">
        <w:rPr>
          <w:color w:val="000000"/>
        </w:rPr>
        <w:tab/>
      </w:r>
      <w:r w:rsidRPr="00F13E1B">
        <w:rPr>
          <w:color w:val="000000"/>
        </w:rPr>
        <w:tab/>
      </w:r>
      <w:r w:rsidRPr="00F13E1B">
        <w:rPr>
          <w:color w:val="000000"/>
        </w:rPr>
        <w:tab/>
      </w:r>
      <w:r w:rsidR="00735946">
        <w:rPr>
          <w:color w:val="000000"/>
        </w:rPr>
        <w:tab/>
      </w:r>
      <w:r>
        <w:tab/>
      </w:r>
      <w:r>
        <w:tab/>
      </w:r>
      <w:r>
        <w:tab/>
      </w:r>
      <w:r>
        <w:tab/>
      </w:r>
      <w:r>
        <w:tab/>
      </w:r>
      <w:r>
        <w:tab/>
        <w:t>FEDERAL COMMUNICATIONS COMMISSION</w:t>
      </w:r>
    </w:p>
    <w:p w:rsidR="00356E4A" w:rsidP="0017296B" w14:paraId="1005E012" w14:textId="77777777"/>
    <w:p w:rsidR="00356E4A" w:rsidP="0017296B" w14:paraId="4C71D3BA" w14:textId="77777777"/>
    <w:p w:rsidR="00356E4A" w:rsidP="0017296B" w14:paraId="45D46175" w14:textId="77777777"/>
    <w:p w:rsidR="00356E4A" w:rsidP="0017296B" w14:paraId="7FABAC01" w14:textId="77777777"/>
    <w:p w:rsidR="00356E4A" w:rsidP="0017296B" w14:paraId="77F28EC8" w14:textId="77777777">
      <w:r>
        <w:tab/>
      </w:r>
      <w:r>
        <w:tab/>
      </w:r>
      <w:r>
        <w:tab/>
      </w:r>
      <w:r>
        <w:tab/>
      </w:r>
      <w:r>
        <w:tab/>
      </w:r>
      <w:r>
        <w:tab/>
        <w:t>Marlene H. Dortch</w:t>
      </w:r>
    </w:p>
    <w:p w:rsidR="00356E4A" w:rsidP="0017296B" w14:paraId="2F5C8891" w14:textId="77777777">
      <w:r>
        <w:tab/>
      </w:r>
      <w:r>
        <w:tab/>
      </w:r>
      <w:r>
        <w:tab/>
      </w:r>
      <w:r>
        <w:tab/>
      </w:r>
      <w:r>
        <w:tab/>
      </w:r>
      <w:r>
        <w:tab/>
        <w:t>Secretary</w:t>
      </w:r>
    </w:p>
    <w:p w:rsidR="00F13E1B" w:rsidRPr="00F13E1B" w:rsidP="00356E4A" w14:paraId="50B1AF3C" w14:textId="0BEFEA89">
      <w:pPr>
        <w:keepNext/>
        <w:keepLines/>
        <w:rPr>
          <w:color w:val="000000"/>
        </w:rPr>
      </w:pPr>
    </w:p>
    <w:p w:rsidR="00F13E1B" w:rsidP="00F13E1B" w14:paraId="48AB6CBE" w14:textId="77777777">
      <w:pPr>
        <w:tabs>
          <w:tab w:val="left" w:pos="5270"/>
        </w:tabs>
        <w:jc w:val="center"/>
        <w:rPr>
          <w:color w:val="000000"/>
        </w:rPr>
      </w:pPr>
    </w:p>
    <w:p w:rsidR="004B7874" w14:paraId="4C06A941" w14:textId="77777777">
      <w:pPr>
        <w:widowControl/>
        <w:rPr>
          <w:color w:val="000000"/>
        </w:rPr>
        <w:sectPr w:rsidSect="00735946">
          <w:headerReference w:type="default" r:id="rId5"/>
          <w:footerReference w:type="even" r:id="rId6"/>
          <w:footerReference w:type="default" r:id="rId7"/>
          <w:headerReference w:type="first" r:id="rId8"/>
          <w:footerReference w:type="first" r:id="rId9"/>
          <w:footnotePr>
            <w:numRestart w:val="eachSect"/>
          </w:footnotePr>
          <w:endnotePr>
            <w:numFmt w:val="decimal"/>
          </w:endnotePr>
          <w:type w:val="continuous"/>
          <w:pgSz w:w="12240" w:h="15840"/>
          <w:pgMar w:top="1440" w:right="1440" w:bottom="720" w:left="1440" w:header="720" w:footer="720" w:gutter="0"/>
          <w:cols w:space="720"/>
          <w:noEndnote/>
          <w:titlePg/>
          <w:docGrid w:linePitch="299"/>
        </w:sectPr>
      </w:pPr>
    </w:p>
    <w:p w:rsidR="0012573A" w:rsidP="00765D46" w14:paraId="0F1BA76C" w14:textId="5BA9BC40">
      <w:pPr>
        <w:pStyle w:val="Heading1"/>
        <w:numPr>
          <w:ilvl w:val="0"/>
          <w:numId w:val="0"/>
        </w:numPr>
        <w:ind w:left="720" w:hanging="720"/>
        <w:jc w:val="center"/>
      </w:pPr>
      <w:bookmarkStart w:id="133" w:name="_Toc52280680"/>
      <w:bookmarkStart w:id="134" w:name="_Toc66817683"/>
      <w:bookmarkStart w:id="135" w:name="_Toc66826020"/>
      <w:bookmarkStart w:id="136" w:name="_Toc66826083"/>
      <w:bookmarkStart w:id="137" w:name="_Toc135123554"/>
      <w:bookmarkStart w:id="138" w:name="_Hlk66879594"/>
      <w:r>
        <w:t xml:space="preserve">APPENDIX </w:t>
      </w:r>
      <w:bookmarkEnd w:id="133"/>
      <w:bookmarkEnd w:id="134"/>
      <w:bookmarkEnd w:id="135"/>
      <w:bookmarkEnd w:id="136"/>
      <w:r>
        <w:t>A</w:t>
      </w:r>
      <w:bookmarkEnd w:id="137"/>
    </w:p>
    <w:p w:rsidR="00765D46" w:rsidRPr="00A752F0" w:rsidP="00A752F0" w14:paraId="0A95411E" w14:textId="03931A0F">
      <w:pPr>
        <w:jc w:val="center"/>
        <w:rPr>
          <w:b/>
          <w:bCs/>
        </w:rPr>
      </w:pPr>
      <w:r w:rsidRPr="00A752F0">
        <w:rPr>
          <w:b/>
          <w:bCs/>
        </w:rPr>
        <w:t>List Of Commenters</w:t>
      </w:r>
    </w:p>
    <w:p w:rsidR="00CB026B" w:rsidP="00E30D3F" w14:paraId="3490899B" w14:textId="77777777">
      <w:pPr>
        <w:pStyle w:val="ParaNum"/>
        <w:numPr>
          <w:ilvl w:val="0"/>
          <w:numId w:val="0"/>
        </w:numPr>
        <w:jc w:val="center"/>
      </w:pPr>
    </w:p>
    <w:p w:rsidR="00CB026B" w:rsidP="00CB026B" w14:paraId="27FBCFDC" w14:textId="77777777">
      <w:pPr>
        <w:pStyle w:val="ParaNum"/>
        <w:numPr>
          <w:ilvl w:val="0"/>
          <w:numId w:val="0"/>
        </w:numPr>
        <w:spacing w:after="0"/>
        <w:rPr>
          <w:u w:val="single"/>
        </w:rPr>
      </w:pPr>
      <w:r>
        <w:rPr>
          <w:u w:val="single"/>
        </w:rPr>
        <w:t>Comments</w:t>
      </w:r>
    </w:p>
    <w:p w:rsidR="00CB026B" w:rsidP="00CB026B" w14:paraId="0261E884" w14:textId="77777777">
      <w:pPr>
        <w:pStyle w:val="ParaNum"/>
        <w:numPr>
          <w:ilvl w:val="0"/>
          <w:numId w:val="0"/>
        </w:numPr>
        <w:spacing w:after="0"/>
        <w:rPr>
          <w:u w:val="single"/>
        </w:rPr>
      </w:pPr>
    </w:p>
    <w:p w:rsidR="00CB026B" w:rsidRPr="00C01C97" w:rsidP="00CB026B" w14:paraId="0121CF46" w14:textId="77777777">
      <w:pPr>
        <w:pStyle w:val="ListParagraph"/>
        <w:widowControl/>
        <w:spacing w:after="160" w:line="259" w:lineRule="auto"/>
        <w:ind w:left="360"/>
      </w:pPr>
      <w:r w:rsidRPr="00C01C97">
        <w:t>Acconeer</w:t>
      </w:r>
      <w:r w:rsidRPr="00C01C97">
        <w:t xml:space="preserve"> AB</w:t>
      </w:r>
      <w:r w:rsidRPr="00C01C97">
        <w:rPr>
          <w:b/>
          <w:bCs/>
        </w:rPr>
        <w:t xml:space="preserve"> </w:t>
      </w:r>
    </w:p>
    <w:p w:rsidR="00CB026B" w:rsidRPr="00C01C97" w:rsidP="00CB026B" w14:paraId="09195035" w14:textId="77777777">
      <w:pPr>
        <w:pStyle w:val="ListParagraph"/>
        <w:widowControl/>
        <w:spacing w:after="160" w:line="259" w:lineRule="auto"/>
        <w:ind w:left="360"/>
      </w:pPr>
      <w:r w:rsidRPr="00C01C97">
        <w:t>ADC Automotive Distance Control Systems GMBH</w:t>
      </w:r>
    </w:p>
    <w:p w:rsidR="00CB026B" w:rsidRPr="00C01C97" w:rsidP="00CB026B" w14:paraId="2B26A5F7" w14:textId="77777777">
      <w:pPr>
        <w:pStyle w:val="ListParagraph"/>
        <w:widowControl/>
        <w:spacing w:after="160" w:line="259" w:lineRule="auto"/>
        <w:ind w:left="360"/>
      </w:pPr>
      <w:r w:rsidRPr="00C01C97">
        <w:t>Advocates for Highway and Auto Safety</w:t>
      </w:r>
    </w:p>
    <w:p w:rsidR="00CB026B" w:rsidRPr="00C01C97" w:rsidP="00CB026B" w14:paraId="04B9BB99" w14:textId="77777777">
      <w:pPr>
        <w:pStyle w:val="ListParagraph"/>
        <w:widowControl/>
        <w:spacing w:after="160" w:line="259" w:lineRule="auto"/>
        <w:ind w:left="360"/>
      </w:pPr>
      <w:r w:rsidRPr="00C01C97">
        <w:t>Alliance for Automotive Innovation</w:t>
      </w:r>
    </w:p>
    <w:p w:rsidR="00CB026B" w:rsidRPr="00E43C06" w:rsidP="00CB026B" w14:paraId="645E917B" w14:textId="77777777">
      <w:pPr>
        <w:pStyle w:val="ListParagraph"/>
        <w:widowControl/>
        <w:spacing w:after="160" w:line="259" w:lineRule="auto"/>
        <w:ind w:left="360"/>
      </w:pPr>
      <w:r w:rsidRPr="00E43C06">
        <w:t>Alps</w:t>
      </w:r>
      <w:r>
        <w:t xml:space="preserve"> </w:t>
      </w:r>
      <w:r w:rsidRPr="00E43C06">
        <w:t>Alpine C</w:t>
      </w:r>
      <w:r>
        <w:t>o</w:t>
      </w:r>
      <w:r w:rsidRPr="00E43C06">
        <w:t>., L</w:t>
      </w:r>
      <w:r>
        <w:t>td.</w:t>
      </w:r>
    </w:p>
    <w:p w:rsidR="00CB026B" w:rsidRPr="00C01C97" w:rsidP="00CB026B" w14:paraId="1AFFFEAB" w14:textId="77777777">
      <w:pPr>
        <w:pStyle w:val="ListParagraph"/>
        <w:widowControl/>
        <w:spacing w:after="160" w:line="259" w:lineRule="auto"/>
        <w:ind w:left="360"/>
      </w:pPr>
      <w:r w:rsidRPr="00C01C97">
        <w:t>Amazon.com, Inc.</w:t>
      </w:r>
    </w:p>
    <w:p w:rsidR="00CB026B" w:rsidRPr="00C01C97" w:rsidP="00CB026B" w14:paraId="69D99792" w14:textId="77777777">
      <w:pPr>
        <w:pStyle w:val="ListParagraph"/>
        <w:widowControl/>
        <w:spacing w:after="160" w:line="259" w:lineRule="auto"/>
        <w:ind w:left="360"/>
      </w:pPr>
      <w:r w:rsidRPr="00C01C97">
        <w:t>Automotive Safety Council</w:t>
      </w:r>
      <w:r>
        <w:t xml:space="preserve"> (ASC)</w:t>
      </w:r>
    </w:p>
    <w:p w:rsidR="00CB026B" w:rsidRPr="00C01C97" w:rsidP="00CB026B" w14:paraId="5B98B7BF" w14:textId="77777777">
      <w:pPr>
        <w:pStyle w:val="ListParagraph"/>
        <w:widowControl/>
        <w:spacing w:after="160" w:line="259" w:lineRule="auto"/>
        <w:ind w:left="360"/>
      </w:pPr>
      <w:r w:rsidRPr="00C01C97">
        <w:t>Axis Communications</w:t>
      </w:r>
    </w:p>
    <w:p w:rsidR="00CB026B" w:rsidRPr="00C01C97" w:rsidP="00CB026B" w14:paraId="0CCDEFF5" w14:textId="77777777">
      <w:pPr>
        <w:pStyle w:val="ListParagraph"/>
        <w:widowControl/>
        <w:spacing w:after="160" w:line="259" w:lineRule="auto"/>
        <w:ind w:left="360"/>
      </w:pPr>
      <w:r>
        <w:t xml:space="preserve">Blu Wireless, Inc. </w:t>
      </w:r>
    </w:p>
    <w:p w:rsidR="5A3EDF7C" w:rsidP="4A1C0502" w14:paraId="632375BD" w14:textId="3D8D6AE9">
      <w:pPr>
        <w:pStyle w:val="ListParagraph"/>
        <w:widowControl/>
        <w:spacing w:after="160" w:line="259" w:lineRule="auto"/>
        <w:ind w:left="360"/>
      </w:pPr>
      <w:r>
        <w:t>BrainLit</w:t>
      </w:r>
      <w:r>
        <w:t xml:space="preserve"> AB</w:t>
      </w:r>
    </w:p>
    <w:p w:rsidR="00CB026B" w:rsidP="0F2FC43A" w14:paraId="3797405D" w14:textId="5038EE3D">
      <w:pPr>
        <w:pStyle w:val="ListParagraph"/>
        <w:widowControl/>
        <w:spacing w:after="160" w:line="259" w:lineRule="auto"/>
        <w:ind w:left="360"/>
      </w:pPr>
      <w:r>
        <w:t>Facebook, Intel, and Qualcomm</w:t>
      </w:r>
      <w:r w:rsidR="5E5C7D1E">
        <w:t xml:space="preserve"> Incorporated</w:t>
      </w:r>
    </w:p>
    <w:p w:rsidR="00CB026B" w:rsidRPr="00C01C97" w:rsidP="00CB026B" w14:paraId="3C708CA5" w14:textId="77777777">
      <w:pPr>
        <w:pStyle w:val="ListParagraph"/>
        <w:widowControl/>
        <w:spacing w:after="160" w:line="259" w:lineRule="auto"/>
        <w:ind w:left="360"/>
      </w:pPr>
      <w:r w:rsidRPr="00C01C97">
        <w:t>Google LLC</w:t>
      </w:r>
    </w:p>
    <w:p w:rsidR="00CB026B" w:rsidRPr="00C01C97" w:rsidP="00CB026B" w14:paraId="44D0752D" w14:textId="77777777">
      <w:pPr>
        <w:pStyle w:val="ListParagraph"/>
        <w:widowControl/>
        <w:spacing w:after="160" w:line="259" w:lineRule="auto"/>
        <w:ind w:left="360"/>
      </w:pPr>
      <w:r w:rsidRPr="00C01C97">
        <w:t>Husqvarna AB</w:t>
      </w:r>
    </w:p>
    <w:p w:rsidR="00CB026B" w:rsidRPr="00C01C97" w:rsidP="00CB026B" w14:paraId="0C2C1405" w14:textId="77777777">
      <w:pPr>
        <w:pStyle w:val="ListParagraph"/>
        <w:widowControl/>
        <w:spacing w:after="160" w:line="259" w:lineRule="auto"/>
        <w:ind w:left="360"/>
      </w:pPr>
      <w:r w:rsidRPr="00C01C97">
        <w:t>IEE Sensing Inc.</w:t>
      </w:r>
    </w:p>
    <w:p w:rsidR="00CB026B" w:rsidRPr="00C01C97" w:rsidP="00CB026B" w14:paraId="1208C109" w14:textId="77777777">
      <w:pPr>
        <w:pStyle w:val="ListParagraph"/>
        <w:widowControl/>
        <w:spacing w:after="160" w:line="259" w:lineRule="auto"/>
        <w:ind w:left="360"/>
      </w:pPr>
      <w:r w:rsidRPr="00C01C97">
        <w:t>Infineon Technologies Americas Corp.</w:t>
      </w:r>
    </w:p>
    <w:p w:rsidR="00CB026B" w:rsidRPr="00C01C97" w:rsidP="00CB026B" w14:paraId="74E2391A" w14:textId="77777777">
      <w:pPr>
        <w:pStyle w:val="ListParagraph"/>
        <w:widowControl/>
        <w:spacing w:after="160" w:line="259" w:lineRule="auto"/>
        <w:ind w:left="360"/>
      </w:pPr>
      <w:r>
        <w:t>Inxpect</w:t>
      </w:r>
      <w:r>
        <w:t xml:space="preserve"> SPA</w:t>
      </w:r>
    </w:p>
    <w:p w:rsidR="1F714665" w:rsidP="4A1C0502" w14:paraId="3506C7AB" w14:textId="6C59D8A8">
      <w:pPr>
        <w:pStyle w:val="ListParagraph"/>
        <w:widowControl/>
        <w:spacing w:after="160" w:line="259" w:lineRule="auto"/>
        <w:ind w:left="360"/>
      </w:pPr>
      <w:r>
        <w:t>Intelligent Traffic Equipment Marketing Ltd.  (ITEM Ltd.)</w:t>
      </w:r>
    </w:p>
    <w:p w:rsidR="00CB026B" w:rsidRPr="00C01C97" w:rsidP="00CB026B" w14:paraId="25B59B8C" w14:textId="098ADC08">
      <w:pPr>
        <w:pStyle w:val="ListParagraph"/>
        <w:widowControl/>
        <w:spacing w:after="160" w:line="259" w:lineRule="auto"/>
        <w:ind w:left="360"/>
      </w:pPr>
      <w:r w:rsidRPr="00C01C97">
        <w:t xml:space="preserve">Motor </w:t>
      </w:r>
      <w:r w:rsidR="00644364">
        <w:t>and</w:t>
      </w:r>
      <w:r w:rsidRPr="00C01C97">
        <w:t xml:space="preserve"> Equipment Manufacturers Association (MEMA)</w:t>
      </w:r>
    </w:p>
    <w:p w:rsidR="00CB026B" w:rsidRPr="00C01C97" w:rsidP="00CB026B" w14:paraId="431D2280" w14:textId="77777777">
      <w:pPr>
        <w:pStyle w:val="ListParagraph"/>
        <w:widowControl/>
        <w:spacing w:after="160" w:line="259" w:lineRule="auto"/>
        <w:ind w:left="360"/>
      </w:pPr>
      <w:r w:rsidRPr="00C01C97">
        <w:t>National Academy of Sciences’ Committee On Radio Frequencies (CORF)</w:t>
      </w:r>
    </w:p>
    <w:p w:rsidR="00CB026B" w:rsidRPr="00C01C97" w:rsidP="00CB026B" w14:paraId="4FC15DC5" w14:textId="77777777">
      <w:pPr>
        <w:pStyle w:val="ListParagraph"/>
        <w:widowControl/>
        <w:spacing w:after="160" w:line="259" w:lineRule="auto"/>
        <w:ind w:left="360"/>
      </w:pPr>
      <w:r w:rsidRPr="00C01C97">
        <w:t>National Telecommunications and Information Administration (NTIA)</w:t>
      </w:r>
    </w:p>
    <w:p w:rsidR="00CB026B" w:rsidRPr="00C01C97" w:rsidP="00CB026B" w14:paraId="48371D2A" w14:textId="77777777">
      <w:pPr>
        <w:pStyle w:val="ListParagraph"/>
        <w:widowControl/>
        <w:spacing w:after="160" w:line="259" w:lineRule="auto"/>
        <w:ind w:left="360"/>
      </w:pPr>
      <w:r w:rsidRPr="00C01C97">
        <w:t>Nexty</w:t>
      </w:r>
      <w:r w:rsidRPr="00C01C97">
        <w:t xml:space="preserve"> Electronics Corporation (</w:t>
      </w:r>
      <w:r w:rsidRPr="00C01C97">
        <w:t>Nexty</w:t>
      </w:r>
      <w:r w:rsidRPr="00C01C97">
        <w:t>)</w:t>
      </w:r>
    </w:p>
    <w:p w:rsidR="00CB026B" w:rsidRPr="00C01C97" w:rsidP="00CB026B" w14:paraId="0566C2DB" w14:textId="77777777">
      <w:pPr>
        <w:pStyle w:val="ListParagraph"/>
        <w:widowControl/>
        <w:spacing w:after="160" w:line="259" w:lineRule="auto"/>
        <w:ind w:left="360"/>
      </w:pPr>
      <w:r>
        <w:t>Rivieh</w:t>
      </w:r>
      <w:r>
        <w:t>, Inc.</w:t>
      </w:r>
    </w:p>
    <w:p w:rsidR="5B0F82C0" w:rsidP="4A1C0502" w14:paraId="0CFEB4EC" w14:textId="4118779C">
      <w:pPr>
        <w:pStyle w:val="ListParagraph"/>
        <w:widowControl/>
        <w:spacing w:after="160" w:line="259" w:lineRule="auto"/>
        <w:ind w:left="360"/>
      </w:pPr>
      <w:r>
        <w:t>RelyQ</w:t>
      </w:r>
      <w:r>
        <w:t xml:space="preserve"> LLC  </w:t>
      </w:r>
    </w:p>
    <w:p w:rsidR="08870EA9" w:rsidP="4A1C0502" w14:paraId="731CA196" w14:textId="130A4C79">
      <w:pPr>
        <w:pStyle w:val="ListParagraph"/>
        <w:widowControl/>
        <w:spacing w:after="160" w:line="259" w:lineRule="auto"/>
        <w:ind w:left="360"/>
      </w:pPr>
      <w:r>
        <w:t>Restar</w:t>
      </w:r>
      <w:r>
        <w:t xml:space="preserve"> Electronics Americas Inc.  </w:t>
      </w:r>
    </w:p>
    <w:p w:rsidR="00CB026B" w:rsidRPr="00C01C97" w:rsidP="00CB026B" w14:paraId="524E02EE" w14:textId="77777777">
      <w:pPr>
        <w:pStyle w:val="ListParagraph"/>
        <w:widowControl/>
        <w:spacing w:after="160" w:line="259" w:lineRule="auto"/>
        <w:ind w:left="360"/>
      </w:pPr>
      <w:r w:rsidRPr="00C01C97">
        <w:t>Robert Bosch LLC</w:t>
      </w:r>
    </w:p>
    <w:p w:rsidR="00CB026B" w:rsidRPr="00C01C97" w:rsidP="00CB026B" w14:paraId="15D34738" w14:textId="77777777">
      <w:pPr>
        <w:pStyle w:val="ListParagraph"/>
        <w:widowControl/>
        <w:spacing w:after="160" w:line="259" w:lineRule="auto"/>
        <w:ind w:left="360"/>
      </w:pPr>
      <w:r>
        <w:t>Texas Instruments Incorporated</w:t>
      </w:r>
    </w:p>
    <w:p w:rsidR="1D640F63" w:rsidP="4A1C0502" w14:paraId="55F249E0" w14:textId="295DF6B1">
      <w:pPr>
        <w:pStyle w:val="ListParagraph"/>
        <w:widowControl/>
        <w:spacing w:after="160" w:line="259" w:lineRule="auto"/>
        <w:ind w:left="360"/>
      </w:pPr>
      <w:r>
        <w:t>TrickleStar</w:t>
      </w:r>
      <w:r>
        <w:t xml:space="preserve">, Inc.  </w:t>
      </w:r>
    </w:p>
    <w:p w:rsidR="7E6DA28C" w:rsidP="4A1C0502" w14:paraId="3DE92699" w14:textId="7636ADA0">
      <w:pPr>
        <w:pStyle w:val="ListParagraph"/>
        <w:widowControl/>
        <w:spacing w:after="160" w:line="259" w:lineRule="auto"/>
        <w:ind w:left="360"/>
      </w:pPr>
      <w:r>
        <w:t>Väderstad</w:t>
      </w:r>
      <w:r>
        <w:t xml:space="preserve"> AB  </w:t>
      </w:r>
    </w:p>
    <w:p w:rsidR="00CB026B" w:rsidRPr="00C01C97" w:rsidP="00CB026B" w14:paraId="655FF241" w14:textId="77777777">
      <w:pPr>
        <w:pStyle w:val="ListParagraph"/>
        <w:widowControl/>
        <w:spacing w:after="160" w:line="259" w:lineRule="auto"/>
        <w:ind w:left="360"/>
      </w:pPr>
      <w:r w:rsidRPr="00C01C97">
        <w:t>Valeo</w:t>
      </w:r>
      <w:r w:rsidRPr="00C01C97">
        <w:t xml:space="preserve"> North America, Inc.</w:t>
      </w:r>
    </w:p>
    <w:p w:rsidR="00CB026B" w:rsidP="00CB026B" w14:paraId="2CDD8952" w14:textId="77777777">
      <w:pPr>
        <w:pStyle w:val="ListParagraph"/>
        <w:widowControl/>
        <w:spacing w:after="160" w:line="259" w:lineRule="auto"/>
        <w:ind w:left="360"/>
      </w:pPr>
      <w:r w:rsidRPr="00C01C97">
        <w:t>Vayyar</w:t>
      </w:r>
      <w:r w:rsidRPr="00C01C97">
        <w:t xml:space="preserve"> Imaging Ltd.</w:t>
      </w:r>
    </w:p>
    <w:p w:rsidR="00CB026B" w:rsidP="00CB026B" w14:paraId="49E9E33C" w14:textId="77777777">
      <w:pPr>
        <w:pStyle w:val="ListParagraph"/>
        <w:widowControl/>
        <w:spacing w:after="160" w:line="259" w:lineRule="auto"/>
        <w:ind w:left="360"/>
      </w:pPr>
      <w:r w:rsidRPr="00C01C97">
        <w:t>WI-FI Alliance</w:t>
      </w:r>
    </w:p>
    <w:p w:rsidR="00CB026B" w:rsidP="00CB026B" w14:paraId="2CBF4379" w14:textId="77777777">
      <w:pPr>
        <w:pStyle w:val="ParaNum"/>
        <w:numPr>
          <w:ilvl w:val="0"/>
          <w:numId w:val="0"/>
        </w:numPr>
        <w:spacing w:after="0"/>
      </w:pPr>
    </w:p>
    <w:p w:rsidR="00CB026B" w:rsidP="00CB026B" w14:paraId="408C4828" w14:textId="77777777">
      <w:pPr>
        <w:pStyle w:val="ParaNum"/>
        <w:numPr>
          <w:ilvl w:val="0"/>
          <w:numId w:val="0"/>
        </w:numPr>
        <w:spacing w:after="0"/>
        <w:rPr>
          <w:u w:val="single"/>
        </w:rPr>
      </w:pPr>
      <w:r>
        <w:rPr>
          <w:u w:val="single"/>
        </w:rPr>
        <w:t>Reply Comments</w:t>
      </w:r>
    </w:p>
    <w:p w:rsidR="00CB026B" w:rsidP="00CB026B" w14:paraId="60B90025" w14:textId="77777777">
      <w:pPr>
        <w:pStyle w:val="ParaNum"/>
        <w:numPr>
          <w:ilvl w:val="0"/>
          <w:numId w:val="0"/>
        </w:numPr>
        <w:spacing w:after="0"/>
        <w:rPr>
          <w:b/>
          <w:bCs/>
        </w:rPr>
      </w:pPr>
    </w:p>
    <w:p w:rsidR="00CB026B" w:rsidRPr="00E43C06" w:rsidP="00CB026B" w14:paraId="34476E93" w14:textId="77777777">
      <w:pPr>
        <w:pStyle w:val="ListParagraph"/>
        <w:widowControl/>
        <w:spacing w:after="160" w:line="259" w:lineRule="auto"/>
        <w:ind w:left="360"/>
        <w:rPr>
          <w:szCs w:val="22"/>
        </w:rPr>
      </w:pPr>
      <w:r w:rsidRPr="00E43C06">
        <w:rPr>
          <w:szCs w:val="22"/>
        </w:rPr>
        <w:t>Acconeer</w:t>
      </w:r>
      <w:r w:rsidRPr="00E43C06">
        <w:rPr>
          <w:szCs w:val="22"/>
        </w:rPr>
        <w:t xml:space="preserve"> AB </w:t>
      </w:r>
    </w:p>
    <w:p w:rsidR="00CB026B" w:rsidRPr="00E43C06" w:rsidP="00CB026B" w14:paraId="3369BCCB" w14:textId="77777777">
      <w:pPr>
        <w:pStyle w:val="ListParagraph"/>
        <w:widowControl/>
        <w:spacing w:after="160" w:line="259" w:lineRule="auto"/>
        <w:ind w:left="360"/>
        <w:rPr>
          <w:szCs w:val="22"/>
        </w:rPr>
      </w:pPr>
      <w:r w:rsidRPr="00E43C06">
        <w:rPr>
          <w:szCs w:val="22"/>
        </w:rPr>
        <w:t>ADC Automotive Distance Control Systems GMBH</w:t>
      </w:r>
    </w:p>
    <w:p w:rsidR="00CB026B" w:rsidRPr="00E43C06" w:rsidP="00CB026B" w14:paraId="7A7C84D8" w14:textId="77777777">
      <w:pPr>
        <w:pStyle w:val="ListParagraph"/>
        <w:widowControl/>
        <w:spacing w:after="160" w:line="259" w:lineRule="auto"/>
        <w:ind w:left="360"/>
        <w:rPr>
          <w:szCs w:val="22"/>
        </w:rPr>
      </w:pPr>
      <w:r w:rsidRPr="00E43C06">
        <w:rPr>
          <w:szCs w:val="22"/>
        </w:rPr>
        <w:t>Alliance for Automotive Innovation</w:t>
      </w:r>
      <w:r>
        <w:rPr>
          <w:szCs w:val="22"/>
        </w:rPr>
        <w:t xml:space="preserve"> (Auto Innovators)</w:t>
      </w:r>
    </w:p>
    <w:p w:rsidR="00CB026B" w:rsidRPr="00E43C06" w:rsidP="00CB026B" w14:paraId="16014F27" w14:textId="77777777">
      <w:pPr>
        <w:pStyle w:val="ListParagraph"/>
        <w:widowControl/>
        <w:spacing w:after="160" w:line="259" w:lineRule="auto"/>
        <w:ind w:left="360"/>
        <w:rPr>
          <w:szCs w:val="22"/>
        </w:rPr>
      </w:pPr>
      <w:r w:rsidRPr="00E43C06">
        <w:rPr>
          <w:szCs w:val="22"/>
        </w:rPr>
        <w:t>Alps</w:t>
      </w:r>
      <w:r>
        <w:t xml:space="preserve"> </w:t>
      </w:r>
      <w:r w:rsidRPr="00E43C06">
        <w:rPr>
          <w:szCs w:val="22"/>
        </w:rPr>
        <w:t>Alpine C</w:t>
      </w:r>
      <w:r>
        <w:t>o</w:t>
      </w:r>
      <w:r w:rsidRPr="00E43C06">
        <w:rPr>
          <w:szCs w:val="22"/>
        </w:rPr>
        <w:t>., L</w:t>
      </w:r>
      <w:r>
        <w:t>td.</w:t>
      </w:r>
    </w:p>
    <w:p w:rsidR="00CB026B" w:rsidRPr="00E43C06" w:rsidP="00CB026B" w14:paraId="4B46483C" w14:textId="77777777">
      <w:pPr>
        <w:pStyle w:val="ListParagraph"/>
        <w:widowControl/>
        <w:spacing w:after="160" w:line="259" w:lineRule="auto"/>
        <w:ind w:left="360"/>
        <w:rPr>
          <w:szCs w:val="22"/>
        </w:rPr>
      </w:pPr>
      <w:r w:rsidRPr="00E43C06">
        <w:rPr>
          <w:szCs w:val="22"/>
        </w:rPr>
        <w:t>Apple Inc.</w:t>
      </w:r>
    </w:p>
    <w:p w:rsidR="00CB026B" w:rsidRPr="00E43C06" w:rsidP="00CB026B" w14:paraId="624E010F" w14:textId="77777777">
      <w:pPr>
        <w:pStyle w:val="ListParagraph"/>
        <w:widowControl/>
        <w:spacing w:after="160" w:line="259" w:lineRule="auto"/>
        <w:ind w:left="360"/>
        <w:rPr>
          <w:szCs w:val="22"/>
        </w:rPr>
      </w:pPr>
      <w:r w:rsidRPr="00E43C06">
        <w:rPr>
          <w:szCs w:val="22"/>
        </w:rPr>
        <w:t>Axis Communications AB</w:t>
      </w:r>
    </w:p>
    <w:p w:rsidR="00CB026B" w:rsidRPr="00E43C06" w:rsidP="00CB026B" w14:paraId="658B7F6D" w14:textId="77777777">
      <w:pPr>
        <w:pStyle w:val="ListParagraph"/>
        <w:widowControl/>
        <w:spacing w:after="160" w:line="259" w:lineRule="auto"/>
        <w:ind w:left="360"/>
        <w:rPr>
          <w:szCs w:val="22"/>
        </w:rPr>
      </w:pPr>
      <w:r w:rsidRPr="00E43C06">
        <w:rPr>
          <w:szCs w:val="22"/>
        </w:rPr>
        <w:t>Banner Engineering Corporation</w:t>
      </w:r>
    </w:p>
    <w:p w:rsidR="00CB026B" w:rsidRPr="00E43C06" w:rsidP="00CB026B" w14:paraId="476D85A3" w14:textId="77777777">
      <w:pPr>
        <w:pStyle w:val="ListParagraph"/>
        <w:widowControl/>
        <w:spacing w:after="160" w:line="259" w:lineRule="auto"/>
        <w:ind w:left="360"/>
        <w:rPr>
          <w:szCs w:val="22"/>
        </w:rPr>
      </w:pPr>
      <w:r w:rsidRPr="00E43C06">
        <w:rPr>
          <w:szCs w:val="22"/>
        </w:rPr>
        <w:t>CODICO</w:t>
      </w:r>
    </w:p>
    <w:p w:rsidR="00CB026B" w:rsidRPr="00E43C06" w:rsidP="00CB026B" w14:paraId="4FAC93C8" w14:textId="77777777">
      <w:pPr>
        <w:pStyle w:val="ListParagraph"/>
        <w:widowControl/>
        <w:spacing w:after="160" w:line="259" w:lineRule="auto"/>
        <w:ind w:left="360"/>
        <w:rPr>
          <w:szCs w:val="22"/>
        </w:rPr>
      </w:pPr>
      <w:r w:rsidRPr="00E43C06">
        <w:rPr>
          <w:szCs w:val="22"/>
        </w:rPr>
        <w:t>Consumer Technology Association (CTA)</w:t>
      </w:r>
    </w:p>
    <w:p w:rsidR="00CB026B" w:rsidRPr="00E43C06" w:rsidP="00CB026B" w14:paraId="2AAE4A22" w14:textId="77777777">
      <w:pPr>
        <w:pStyle w:val="ListParagraph"/>
        <w:widowControl/>
        <w:spacing w:after="160" w:line="259" w:lineRule="auto"/>
        <w:ind w:left="360"/>
        <w:rPr>
          <w:szCs w:val="22"/>
        </w:rPr>
      </w:pPr>
      <w:r w:rsidRPr="00E43C06">
        <w:rPr>
          <w:szCs w:val="22"/>
        </w:rPr>
        <w:t xml:space="preserve">Digi-Key </w:t>
      </w:r>
    </w:p>
    <w:p w:rsidR="00CB026B" w:rsidRPr="00E43C06" w:rsidP="00CB026B" w14:paraId="7B5EB218" w14:textId="77777777">
      <w:pPr>
        <w:pStyle w:val="ListParagraph"/>
        <w:widowControl/>
        <w:spacing w:after="160" w:line="259" w:lineRule="auto"/>
        <w:ind w:left="360"/>
        <w:rPr>
          <w:szCs w:val="22"/>
        </w:rPr>
      </w:pPr>
      <w:r w:rsidRPr="00E43C06">
        <w:rPr>
          <w:szCs w:val="22"/>
        </w:rPr>
        <w:t>Eleven-x Inc.</w:t>
      </w:r>
    </w:p>
    <w:p w:rsidR="00CB026B" w:rsidRPr="00E43C06" w:rsidP="00CB026B" w14:paraId="7AE34850" w14:textId="77777777">
      <w:pPr>
        <w:pStyle w:val="ListParagraph"/>
        <w:widowControl/>
        <w:spacing w:after="160" w:line="259" w:lineRule="auto"/>
        <w:ind w:left="360"/>
        <w:rPr>
          <w:szCs w:val="22"/>
        </w:rPr>
      </w:pPr>
      <w:r w:rsidRPr="00E43C06">
        <w:rPr>
          <w:szCs w:val="22"/>
        </w:rPr>
        <w:t>Facebook</w:t>
      </w:r>
      <w:r>
        <w:rPr>
          <w:szCs w:val="22"/>
        </w:rPr>
        <w:t xml:space="preserve"> Inc.</w:t>
      </w:r>
      <w:r w:rsidRPr="00E43C06">
        <w:rPr>
          <w:szCs w:val="22"/>
        </w:rPr>
        <w:t>, Intel</w:t>
      </w:r>
      <w:r>
        <w:rPr>
          <w:szCs w:val="22"/>
        </w:rPr>
        <w:t xml:space="preserve"> Corporation</w:t>
      </w:r>
      <w:r w:rsidRPr="00E43C06">
        <w:rPr>
          <w:szCs w:val="22"/>
        </w:rPr>
        <w:t>, and Qualcomm</w:t>
      </w:r>
      <w:r>
        <w:rPr>
          <w:szCs w:val="22"/>
        </w:rPr>
        <w:t xml:space="preserve"> Incorporated</w:t>
      </w:r>
    </w:p>
    <w:p w:rsidR="00CB026B" w:rsidRPr="00E43C06" w:rsidP="00CB026B" w14:paraId="7C5A202B" w14:textId="77777777">
      <w:pPr>
        <w:pStyle w:val="ListParagraph"/>
        <w:widowControl/>
        <w:spacing w:after="160" w:line="259" w:lineRule="auto"/>
        <w:ind w:left="360"/>
        <w:rPr>
          <w:szCs w:val="22"/>
        </w:rPr>
      </w:pPr>
      <w:r w:rsidRPr="00E43C06">
        <w:rPr>
          <w:szCs w:val="22"/>
        </w:rPr>
        <w:t xml:space="preserve">Force Five Inc.  </w:t>
      </w:r>
    </w:p>
    <w:p w:rsidR="00CB026B" w:rsidRPr="00E43C06" w:rsidP="00CB026B" w14:paraId="2890FC3F" w14:textId="77777777">
      <w:pPr>
        <w:pStyle w:val="ListParagraph"/>
        <w:widowControl/>
        <w:spacing w:after="160" w:line="259" w:lineRule="auto"/>
        <w:ind w:left="360"/>
        <w:rPr>
          <w:szCs w:val="22"/>
        </w:rPr>
      </w:pPr>
      <w:r w:rsidRPr="00E43C06">
        <w:rPr>
          <w:szCs w:val="22"/>
        </w:rPr>
        <w:t>Frequency Allocation in Remote Sensing (FARS) Technical Committee</w:t>
      </w:r>
    </w:p>
    <w:p w:rsidR="00CB026B" w:rsidRPr="00E43C06" w:rsidP="00CB026B" w14:paraId="5D29C2A5" w14:textId="77777777">
      <w:pPr>
        <w:pStyle w:val="ListParagraph"/>
        <w:widowControl/>
        <w:spacing w:after="160" w:line="259" w:lineRule="auto"/>
        <w:ind w:left="360"/>
        <w:rPr>
          <w:szCs w:val="22"/>
        </w:rPr>
      </w:pPr>
      <w:r w:rsidRPr="00E43C06">
        <w:rPr>
          <w:szCs w:val="22"/>
        </w:rPr>
        <w:t>Google LLC</w:t>
      </w:r>
    </w:p>
    <w:p w:rsidR="00CB026B" w:rsidRPr="00E43C06" w:rsidP="00CB026B" w14:paraId="261D11E7" w14:textId="77777777">
      <w:pPr>
        <w:pStyle w:val="ListParagraph"/>
        <w:widowControl/>
        <w:spacing w:after="160" w:line="259" w:lineRule="auto"/>
        <w:ind w:left="360"/>
        <w:rPr>
          <w:szCs w:val="22"/>
        </w:rPr>
      </w:pPr>
      <w:r w:rsidRPr="00E43C06">
        <w:rPr>
          <w:szCs w:val="22"/>
        </w:rPr>
        <w:t>Groove X, Inc.</w:t>
      </w:r>
    </w:p>
    <w:p w:rsidR="00CB026B" w:rsidRPr="00E43C06" w:rsidP="00CB026B" w14:paraId="44449C37" w14:textId="77777777">
      <w:pPr>
        <w:pStyle w:val="ListParagraph"/>
        <w:widowControl/>
        <w:spacing w:after="160" w:line="259" w:lineRule="auto"/>
        <w:ind w:left="360"/>
        <w:rPr>
          <w:szCs w:val="22"/>
        </w:rPr>
      </w:pPr>
      <w:r w:rsidRPr="00E43C06">
        <w:rPr>
          <w:szCs w:val="22"/>
        </w:rPr>
        <w:t>Hosiden</w:t>
      </w:r>
      <w:r w:rsidRPr="00E43C06">
        <w:rPr>
          <w:szCs w:val="22"/>
        </w:rPr>
        <w:t xml:space="preserve"> Corporation</w:t>
      </w:r>
    </w:p>
    <w:p w:rsidR="00CB026B" w:rsidRPr="00E43C06" w:rsidP="00CB026B" w14:paraId="1729C6E5" w14:textId="77777777">
      <w:pPr>
        <w:pStyle w:val="ListParagraph"/>
        <w:widowControl/>
        <w:spacing w:after="160" w:line="259" w:lineRule="auto"/>
        <w:ind w:left="360"/>
        <w:rPr>
          <w:szCs w:val="22"/>
        </w:rPr>
      </w:pPr>
      <w:r w:rsidRPr="00E43C06">
        <w:rPr>
          <w:szCs w:val="22"/>
        </w:rPr>
        <w:t>IEE Sensing Inc.</w:t>
      </w:r>
    </w:p>
    <w:p w:rsidR="00CB026B" w:rsidRPr="00E43C06" w:rsidP="00CB026B" w14:paraId="38BFFBA9" w14:textId="77777777">
      <w:pPr>
        <w:pStyle w:val="ListParagraph"/>
        <w:widowControl/>
        <w:spacing w:after="160" w:line="259" w:lineRule="auto"/>
        <w:ind w:left="360"/>
        <w:rPr>
          <w:szCs w:val="22"/>
        </w:rPr>
      </w:pPr>
      <w:r w:rsidRPr="00E43C06">
        <w:rPr>
          <w:szCs w:val="22"/>
        </w:rPr>
        <w:t>IEEE 802 LAN/MAN Standards Committee (LMSC)</w:t>
      </w:r>
    </w:p>
    <w:p w:rsidR="00CB026B" w:rsidRPr="00E43C06" w:rsidP="00CB026B" w14:paraId="38264C46" w14:textId="77777777">
      <w:pPr>
        <w:pStyle w:val="ListParagraph"/>
        <w:widowControl/>
        <w:spacing w:after="160" w:line="259" w:lineRule="auto"/>
        <w:ind w:left="360"/>
        <w:rPr>
          <w:szCs w:val="22"/>
        </w:rPr>
      </w:pPr>
      <w:r w:rsidRPr="00E43C06">
        <w:rPr>
          <w:szCs w:val="22"/>
        </w:rPr>
        <w:t>Imagimob</w:t>
      </w:r>
      <w:r w:rsidRPr="00E43C06">
        <w:rPr>
          <w:szCs w:val="22"/>
        </w:rPr>
        <w:t xml:space="preserve"> AB</w:t>
      </w:r>
    </w:p>
    <w:p w:rsidR="00CB026B" w:rsidRPr="00E43C06" w:rsidP="00CB026B" w14:paraId="3048F704" w14:textId="77777777">
      <w:pPr>
        <w:pStyle w:val="ListParagraph"/>
        <w:widowControl/>
        <w:spacing w:after="160" w:line="259" w:lineRule="auto"/>
        <w:ind w:left="360"/>
        <w:rPr>
          <w:szCs w:val="22"/>
        </w:rPr>
      </w:pPr>
      <w:r w:rsidRPr="00E43C06">
        <w:rPr>
          <w:szCs w:val="22"/>
        </w:rPr>
        <w:t>Indesmatech</w:t>
      </w:r>
      <w:r w:rsidRPr="00E43C06">
        <w:rPr>
          <w:szCs w:val="22"/>
        </w:rPr>
        <w:t xml:space="preserve"> </w:t>
      </w:r>
      <w:r w:rsidRPr="00E43C06">
        <w:rPr>
          <w:szCs w:val="22"/>
        </w:rPr>
        <w:t>ApS</w:t>
      </w:r>
    </w:p>
    <w:p w:rsidR="00CB026B" w:rsidRPr="00E43C06" w:rsidP="00CB026B" w14:paraId="7A392945" w14:textId="77777777">
      <w:pPr>
        <w:pStyle w:val="ListParagraph"/>
        <w:widowControl/>
        <w:spacing w:after="160" w:line="259" w:lineRule="auto"/>
        <w:ind w:left="360"/>
        <w:rPr>
          <w:szCs w:val="22"/>
        </w:rPr>
      </w:pPr>
      <w:r w:rsidRPr="00E43C06">
        <w:rPr>
          <w:szCs w:val="22"/>
        </w:rPr>
        <w:t>Infineon Technologies Americas Corp. (Infineon)</w:t>
      </w:r>
    </w:p>
    <w:p w:rsidR="00CB026B" w:rsidRPr="00E43C06" w:rsidP="00CB026B" w14:paraId="286E8E2A" w14:textId="77777777">
      <w:pPr>
        <w:pStyle w:val="ListParagraph"/>
        <w:widowControl/>
        <w:spacing w:after="160" w:line="259" w:lineRule="auto"/>
        <w:ind w:left="360"/>
        <w:rPr>
          <w:szCs w:val="22"/>
        </w:rPr>
      </w:pPr>
      <w:r w:rsidRPr="00E43C06">
        <w:rPr>
          <w:szCs w:val="22"/>
        </w:rPr>
        <w:t>J</w:t>
      </w:r>
      <w:r>
        <w:rPr>
          <w:szCs w:val="22"/>
        </w:rPr>
        <w:t>ulyMonster</w:t>
      </w:r>
      <w:r w:rsidRPr="00E43C06">
        <w:rPr>
          <w:szCs w:val="22"/>
        </w:rPr>
        <w:t xml:space="preserve"> Inc.</w:t>
      </w:r>
    </w:p>
    <w:p w:rsidR="00CB026B" w:rsidRPr="00E43C06" w:rsidP="00CB026B" w14:paraId="34509D6D" w14:textId="77777777">
      <w:pPr>
        <w:pStyle w:val="ListParagraph"/>
        <w:widowControl/>
        <w:spacing w:after="160" w:line="259" w:lineRule="auto"/>
        <w:ind w:left="360"/>
        <w:rPr>
          <w:szCs w:val="22"/>
        </w:rPr>
      </w:pPr>
      <w:r w:rsidRPr="00E43C06">
        <w:rPr>
          <w:szCs w:val="22"/>
        </w:rPr>
        <w:t>MicroSummit</w:t>
      </w:r>
      <w:r w:rsidRPr="00E43C06">
        <w:rPr>
          <w:szCs w:val="22"/>
        </w:rPr>
        <w:t xml:space="preserve"> K.K.</w:t>
      </w:r>
    </w:p>
    <w:p w:rsidR="00CB026B" w:rsidRPr="00E43C06" w:rsidP="00CB026B" w14:paraId="13B432F8" w14:textId="2F27C306">
      <w:pPr>
        <w:pStyle w:val="ListParagraph"/>
        <w:widowControl/>
        <w:spacing w:after="160" w:line="259" w:lineRule="auto"/>
        <w:ind w:left="360"/>
        <w:rPr>
          <w:szCs w:val="22"/>
        </w:rPr>
      </w:pPr>
      <w:r w:rsidRPr="00E43C06">
        <w:rPr>
          <w:szCs w:val="22"/>
        </w:rPr>
        <w:t xml:space="preserve">Motor </w:t>
      </w:r>
      <w:r w:rsidR="00644364">
        <w:rPr>
          <w:szCs w:val="22"/>
        </w:rPr>
        <w:t>and</w:t>
      </w:r>
      <w:r w:rsidRPr="00E43C06">
        <w:rPr>
          <w:szCs w:val="22"/>
        </w:rPr>
        <w:t xml:space="preserve"> Equipment Manufacturers Association (MEMA)</w:t>
      </w:r>
    </w:p>
    <w:p w:rsidR="00CB026B" w:rsidRPr="00E43C06" w:rsidP="00CB026B" w14:paraId="03141BCE" w14:textId="77777777">
      <w:pPr>
        <w:pStyle w:val="ListParagraph"/>
        <w:widowControl/>
        <w:spacing w:after="160" w:line="259" w:lineRule="auto"/>
        <w:ind w:left="360"/>
        <w:rPr>
          <w:szCs w:val="22"/>
        </w:rPr>
      </w:pPr>
      <w:r w:rsidRPr="00E43C06">
        <w:rPr>
          <w:szCs w:val="22"/>
        </w:rPr>
        <w:t>OSM Group</w:t>
      </w:r>
    </w:p>
    <w:p w:rsidR="00CB026B" w:rsidRPr="00E43C06" w:rsidP="00CB026B" w14:paraId="357B5ACB" w14:textId="77777777">
      <w:pPr>
        <w:pStyle w:val="ListParagraph"/>
        <w:widowControl/>
        <w:spacing w:after="160" w:line="259" w:lineRule="auto"/>
        <w:ind w:left="360"/>
        <w:rPr>
          <w:szCs w:val="22"/>
        </w:rPr>
      </w:pPr>
      <w:r w:rsidRPr="00E43C06">
        <w:rPr>
          <w:szCs w:val="22"/>
        </w:rPr>
        <w:t>Packwise</w:t>
      </w:r>
      <w:r w:rsidRPr="00E43C06">
        <w:rPr>
          <w:szCs w:val="22"/>
        </w:rPr>
        <w:t xml:space="preserve"> GmbH</w:t>
      </w:r>
    </w:p>
    <w:p w:rsidR="00CB026B" w:rsidRPr="00E43C06" w:rsidP="00CB026B" w14:paraId="5856F6FD" w14:textId="77777777">
      <w:pPr>
        <w:pStyle w:val="ListParagraph"/>
        <w:widowControl/>
        <w:spacing w:after="160" w:line="259" w:lineRule="auto"/>
        <w:ind w:left="360"/>
        <w:rPr>
          <w:szCs w:val="22"/>
        </w:rPr>
      </w:pPr>
      <w:r w:rsidRPr="00E43C06">
        <w:rPr>
          <w:szCs w:val="22"/>
        </w:rPr>
        <w:t>PERASO</w:t>
      </w:r>
    </w:p>
    <w:p w:rsidR="00CB026B" w:rsidRPr="00E43C06" w:rsidP="00CB026B" w14:paraId="3DFDBC57" w14:textId="0A488069">
      <w:pPr>
        <w:pStyle w:val="ListParagraph"/>
        <w:widowControl/>
        <w:spacing w:after="160" w:line="259" w:lineRule="auto"/>
        <w:ind w:left="360"/>
        <w:rPr>
          <w:szCs w:val="22"/>
        </w:rPr>
      </w:pPr>
      <w:r w:rsidRPr="00E43C06">
        <w:rPr>
          <w:szCs w:val="22"/>
        </w:rPr>
        <w:t>Robert Bosch LLC</w:t>
      </w:r>
    </w:p>
    <w:p w:rsidR="00CB026B" w:rsidRPr="00E43C06" w:rsidP="00CB026B" w14:paraId="4A2F3D75" w14:textId="77777777">
      <w:pPr>
        <w:pStyle w:val="ListParagraph"/>
        <w:widowControl/>
        <w:spacing w:after="160" w:line="259" w:lineRule="auto"/>
        <w:ind w:left="360"/>
        <w:rPr>
          <w:szCs w:val="22"/>
        </w:rPr>
      </w:pPr>
      <w:r w:rsidRPr="00E43C06">
        <w:rPr>
          <w:szCs w:val="22"/>
        </w:rPr>
        <w:t>Sleepiz</w:t>
      </w:r>
      <w:r w:rsidRPr="00E43C06">
        <w:rPr>
          <w:szCs w:val="22"/>
        </w:rPr>
        <w:t xml:space="preserve"> AG</w:t>
      </w:r>
    </w:p>
    <w:p w:rsidR="00CB026B" w:rsidRPr="00E43C06" w:rsidP="00CB026B" w14:paraId="115581E8" w14:textId="77777777">
      <w:pPr>
        <w:pStyle w:val="ListParagraph"/>
        <w:widowControl/>
        <w:autoSpaceDE w:val="0"/>
        <w:autoSpaceDN w:val="0"/>
        <w:adjustRightInd w:val="0"/>
        <w:ind w:left="360"/>
        <w:rPr>
          <w:szCs w:val="22"/>
        </w:rPr>
      </w:pPr>
      <w:r w:rsidRPr="00E43C06">
        <w:rPr>
          <w:szCs w:val="22"/>
        </w:rPr>
        <w:t>Spop</w:t>
      </w:r>
      <w:r w:rsidRPr="00E43C06">
        <w:rPr>
          <w:szCs w:val="22"/>
        </w:rPr>
        <w:t xml:space="preserve"> Tech, Inc.</w:t>
      </w:r>
    </w:p>
    <w:p w:rsidR="00CB026B" w:rsidRPr="00E43C06" w:rsidP="00CB026B" w14:paraId="186550F0" w14:textId="77777777">
      <w:pPr>
        <w:pStyle w:val="ListParagraph"/>
        <w:widowControl/>
        <w:spacing w:after="160" w:line="259" w:lineRule="auto"/>
        <w:ind w:left="360"/>
        <w:rPr>
          <w:szCs w:val="22"/>
        </w:rPr>
      </w:pPr>
      <w:r w:rsidRPr="00E43C06">
        <w:rPr>
          <w:szCs w:val="22"/>
        </w:rPr>
        <w:t>TecAHEAD</w:t>
      </w:r>
      <w:r w:rsidRPr="00E43C06">
        <w:rPr>
          <w:szCs w:val="22"/>
        </w:rPr>
        <w:t xml:space="preserve"> Incorporated</w:t>
      </w:r>
    </w:p>
    <w:p w:rsidR="00CB026B" w:rsidRPr="00E43C06" w:rsidP="00CB026B" w14:paraId="01DECEC0" w14:textId="77777777">
      <w:pPr>
        <w:pStyle w:val="ListParagraph"/>
        <w:widowControl/>
        <w:spacing w:after="160" w:line="259" w:lineRule="auto"/>
        <w:ind w:left="360"/>
        <w:rPr>
          <w:szCs w:val="22"/>
        </w:rPr>
      </w:pPr>
      <w:r w:rsidRPr="00E43C06">
        <w:rPr>
          <w:szCs w:val="22"/>
        </w:rPr>
        <w:t>Tekelek</w:t>
      </w:r>
      <w:r w:rsidRPr="00E43C06">
        <w:rPr>
          <w:szCs w:val="22"/>
        </w:rPr>
        <w:t xml:space="preserve"> Ltd</w:t>
      </w:r>
    </w:p>
    <w:p w:rsidR="308D73EA" w:rsidP="4A1C0502" w14:paraId="7EF37288" w14:textId="502A569C">
      <w:pPr>
        <w:pStyle w:val="ListParagraph"/>
        <w:widowControl/>
        <w:spacing w:after="160" w:line="259" w:lineRule="auto"/>
        <w:ind w:left="360"/>
      </w:pPr>
      <w:r>
        <w:t>Texas Instruments Incorporated</w:t>
      </w:r>
    </w:p>
    <w:p w:rsidR="00CB026B" w:rsidRPr="00E43C06" w:rsidP="00CB026B" w14:paraId="525908AD" w14:textId="71D9D442">
      <w:pPr>
        <w:pStyle w:val="ListParagraph"/>
        <w:widowControl/>
        <w:spacing w:after="160" w:line="259" w:lineRule="auto"/>
        <w:ind w:left="360"/>
        <w:rPr>
          <w:szCs w:val="22"/>
        </w:rPr>
      </w:pPr>
      <w:r w:rsidRPr="00E43C06">
        <w:rPr>
          <w:szCs w:val="22"/>
        </w:rPr>
        <w:t>Vayyar</w:t>
      </w:r>
      <w:r w:rsidRPr="00E43C06">
        <w:rPr>
          <w:szCs w:val="22"/>
        </w:rPr>
        <w:t xml:space="preserve"> Imaging Ltd.</w:t>
      </w:r>
    </w:p>
    <w:p w:rsidR="00CB026B" w:rsidRPr="00E43C06" w:rsidP="00CB026B" w14:paraId="3CAEA3BF" w14:textId="77777777">
      <w:pPr>
        <w:pStyle w:val="ListParagraph"/>
        <w:widowControl/>
        <w:spacing w:after="160" w:line="259" w:lineRule="auto"/>
        <w:ind w:left="360"/>
        <w:rPr>
          <w:szCs w:val="22"/>
        </w:rPr>
      </w:pPr>
      <w:r w:rsidRPr="00E43C06">
        <w:rPr>
          <w:szCs w:val="22"/>
        </w:rPr>
        <w:t>Vtech Telecommunications Ltd.</w:t>
      </w:r>
    </w:p>
    <w:p w:rsidR="00CB026B" w:rsidP="00CB026B" w14:paraId="12CCBA7E" w14:textId="77777777">
      <w:pPr>
        <w:pStyle w:val="ListParagraph"/>
        <w:widowControl/>
        <w:spacing w:after="160" w:line="259" w:lineRule="auto"/>
        <w:ind w:left="360"/>
        <w:rPr>
          <w:szCs w:val="22"/>
        </w:rPr>
      </w:pPr>
      <w:r w:rsidRPr="00E43C06">
        <w:rPr>
          <w:szCs w:val="22"/>
        </w:rPr>
        <w:t>Wireless Internet Service Providers Association</w:t>
      </w:r>
    </w:p>
    <w:p w:rsidR="00CB026B" w:rsidP="00CB026B" w14:paraId="531B4106" w14:textId="53A17C71">
      <w:pPr>
        <w:pStyle w:val="ListParagraph"/>
        <w:widowControl/>
        <w:spacing w:line="259" w:lineRule="auto"/>
        <w:ind w:left="360"/>
        <w:rPr>
          <w:szCs w:val="22"/>
        </w:rPr>
      </w:pPr>
      <w:r w:rsidRPr="00323B31">
        <w:rPr>
          <w:szCs w:val="22"/>
        </w:rPr>
        <w:t>Zektur</w:t>
      </w:r>
      <w:r w:rsidRPr="00323B31">
        <w:rPr>
          <w:szCs w:val="22"/>
        </w:rPr>
        <w:t xml:space="preserve"> AB</w:t>
      </w:r>
    </w:p>
    <w:p w:rsidR="00FD7503" w:rsidP="00CB026B" w14:paraId="752FE5F8" w14:textId="5F15BC21">
      <w:pPr>
        <w:pStyle w:val="ListParagraph"/>
        <w:widowControl/>
        <w:spacing w:line="259" w:lineRule="auto"/>
        <w:ind w:left="360"/>
        <w:rPr>
          <w:szCs w:val="22"/>
        </w:rPr>
      </w:pPr>
    </w:p>
    <w:p w:rsidR="00FD7503" w:rsidP="00FD7503" w14:paraId="5CD0226B" w14:textId="3CCE313E">
      <w:pPr>
        <w:pStyle w:val="ParaNum"/>
        <w:numPr>
          <w:ilvl w:val="0"/>
          <w:numId w:val="0"/>
        </w:numPr>
        <w:spacing w:after="0"/>
        <w:rPr>
          <w:u w:val="single"/>
        </w:rPr>
      </w:pPr>
      <w:r>
        <w:rPr>
          <w:i/>
          <w:iCs/>
          <w:u w:val="single"/>
        </w:rPr>
        <w:t xml:space="preserve">Ex </w:t>
      </w:r>
      <w:r>
        <w:rPr>
          <w:i/>
          <w:iCs/>
          <w:u w:val="single"/>
        </w:rPr>
        <w:t>parte</w:t>
      </w:r>
      <w:r>
        <w:rPr>
          <w:u w:val="single"/>
        </w:rPr>
        <w:t xml:space="preserve"> Comments</w:t>
      </w:r>
    </w:p>
    <w:p w:rsidR="00FD7503" w:rsidP="00FD7503" w14:paraId="37C541CE" w14:textId="77777777">
      <w:pPr>
        <w:pStyle w:val="ParaNum"/>
        <w:numPr>
          <w:ilvl w:val="0"/>
          <w:numId w:val="0"/>
        </w:numPr>
        <w:spacing w:after="0"/>
        <w:rPr>
          <w:b/>
          <w:bCs/>
        </w:rPr>
      </w:pPr>
    </w:p>
    <w:p w:rsidR="0056276E" w:rsidP="0816040A" w14:paraId="150625E8" w14:textId="224D2180">
      <w:pPr>
        <w:pStyle w:val="ListParagraph"/>
        <w:widowControl/>
        <w:spacing w:line="259" w:lineRule="auto"/>
        <w:ind w:left="360"/>
      </w:pPr>
      <w:r>
        <w:t>Acconeer</w:t>
      </w:r>
      <w:r>
        <w:t xml:space="preserve"> AB </w:t>
      </w:r>
    </w:p>
    <w:p w:rsidR="0816040A" w:rsidP="0816040A" w14:paraId="253EBBB2" w14:textId="650CD7F4">
      <w:pPr>
        <w:pStyle w:val="ListParagraph"/>
        <w:widowControl/>
        <w:spacing w:line="259" w:lineRule="auto"/>
        <w:ind w:left="360"/>
      </w:pPr>
      <w:r>
        <w:t>ACT | The App Association</w:t>
      </w:r>
    </w:p>
    <w:p w:rsidR="0056276E" w:rsidP="0816040A" w14:paraId="0D4227AC" w14:textId="6C1DB84A">
      <w:pPr>
        <w:pStyle w:val="ListParagraph"/>
        <w:widowControl/>
        <w:spacing w:line="259" w:lineRule="auto"/>
        <w:ind w:left="360"/>
      </w:pPr>
      <w:r>
        <w:t xml:space="preserve">Advocates for Highway and Auto Safety </w:t>
      </w:r>
    </w:p>
    <w:p w:rsidR="0816040A" w:rsidP="0816040A" w14:paraId="29689122" w14:textId="2CECE3AA">
      <w:pPr>
        <w:pStyle w:val="ListParagraph"/>
        <w:widowControl/>
        <w:spacing w:after="160" w:line="259" w:lineRule="auto"/>
        <w:ind w:left="360"/>
        <w:rPr>
          <w:szCs w:val="22"/>
        </w:rPr>
      </w:pPr>
      <w:r w:rsidRPr="0816040A">
        <w:rPr>
          <w:szCs w:val="22"/>
        </w:rPr>
        <w:t>The Alliance for Automotive Innovation</w:t>
      </w:r>
    </w:p>
    <w:p w:rsidR="0816040A" w:rsidP="0816040A" w14:paraId="1CEC1EF4" w14:textId="695B79A1">
      <w:pPr>
        <w:pStyle w:val="ListParagraph"/>
        <w:widowControl/>
        <w:spacing w:after="160" w:line="259" w:lineRule="auto"/>
        <w:ind w:left="360"/>
        <w:rPr>
          <w:szCs w:val="22"/>
        </w:rPr>
      </w:pPr>
      <w:r w:rsidRPr="0816040A">
        <w:rPr>
          <w:szCs w:val="22"/>
        </w:rPr>
        <w:t>Amazon.com Services LLC</w:t>
      </w:r>
    </w:p>
    <w:p w:rsidR="0816040A" w:rsidP="0816040A" w14:paraId="0F87B605" w14:textId="7B035AB7">
      <w:pPr>
        <w:pStyle w:val="ListParagraph"/>
        <w:widowControl/>
        <w:spacing w:after="160" w:line="259" w:lineRule="auto"/>
        <w:ind w:left="360"/>
      </w:pPr>
      <w:r>
        <w:t>Apple Inc.</w:t>
      </w:r>
    </w:p>
    <w:p w:rsidR="2A5C28F7" w:rsidP="2A5C28F7" w14:paraId="2D9E8E81" w14:textId="5B0DA94B">
      <w:pPr>
        <w:pStyle w:val="ListParagraph"/>
        <w:widowControl/>
        <w:spacing w:after="160" w:line="259" w:lineRule="auto"/>
        <w:ind w:left="360"/>
      </w:pPr>
      <w:r>
        <w:t>Blumio</w:t>
      </w:r>
      <w:r w:rsidR="5624D8D6">
        <w:t>, Inc.</w:t>
      </w:r>
    </w:p>
    <w:p w:rsidR="00B445D2" w:rsidP="0816040A" w14:paraId="4D560949" w14:textId="6131EC1C">
      <w:pPr>
        <w:pStyle w:val="ListParagraph"/>
        <w:widowControl/>
        <w:spacing w:after="160" w:line="259" w:lineRule="auto"/>
        <w:ind w:left="360"/>
      </w:pPr>
      <w:r w:rsidRPr="00406337">
        <w:rPr>
          <w:szCs w:val="22"/>
        </w:rPr>
        <w:t xml:space="preserve">Consumer Technology Association </w:t>
      </w:r>
      <w:r>
        <w:rPr>
          <w:szCs w:val="22"/>
        </w:rPr>
        <w:t>(</w:t>
      </w:r>
      <w:r w:rsidRPr="00406337">
        <w:rPr>
          <w:szCs w:val="22"/>
        </w:rPr>
        <w:t>CTIA</w:t>
      </w:r>
      <w:r>
        <w:rPr>
          <w:szCs w:val="22"/>
        </w:rPr>
        <w:t>)</w:t>
      </w:r>
      <w:r w:rsidR="00E70FCA">
        <w:rPr>
          <w:szCs w:val="22"/>
        </w:rPr>
        <w:t>/</w:t>
      </w:r>
      <w:r>
        <w:rPr>
          <w:szCs w:val="22"/>
        </w:rPr>
        <w:t xml:space="preserve"> </w:t>
      </w:r>
      <w:r w:rsidRPr="00406337">
        <w:rPr>
          <w:szCs w:val="22"/>
        </w:rPr>
        <w:t>Information Technology Industry Council (ITI)</w:t>
      </w:r>
      <w:r w:rsidR="00E70FCA">
        <w:rPr>
          <w:szCs w:val="22"/>
        </w:rPr>
        <w:t>/</w:t>
      </w:r>
      <w:r>
        <w:rPr>
          <w:szCs w:val="22"/>
        </w:rPr>
        <w:t xml:space="preserve"> </w:t>
      </w:r>
    </w:p>
    <w:p w:rsidR="0816040A" w:rsidP="0816040A" w14:paraId="1FA1BE94" w14:textId="6EC9C34B">
      <w:pPr>
        <w:pStyle w:val="ListParagraph"/>
        <w:widowControl/>
        <w:spacing w:after="160" w:line="259" w:lineRule="auto"/>
        <w:ind w:left="360"/>
      </w:pPr>
      <w:r>
        <w:t>Continental Corporation</w:t>
      </w:r>
    </w:p>
    <w:p w:rsidR="1CEC27E3" w:rsidP="0F2FC43A" w14:paraId="62BBE6DA" w14:textId="0D5435D4">
      <w:pPr>
        <w:pStyle w:val="ListParagraph"/>
        <w:widowControl/>
        <w:spacing w:after="160" w:line="259" w:lineRule="auto"/>
        <w:ind w:left="360"/>
        <w:rPr>
          <w:szCs w:val="22"/>
        </w:rPr>
      </w:pPr>
      <w:r w:rsidRPr="0F2FC43A">
        <w:rPr>
          <w:szCs w:val="22"/>
        </w:rPr>
        <w:t>Garmin International, Inc.</w:t>
      </w:r>
    </w:p>
    <w:p w:rsidR="00611E9B" w:rsidP="0816040A" w14:paraId="2EFB998D" w14:textId="2CD47AF0">
      <w:pPr>
        <w:pStyle w:val="ListParagraph"/>
        <w:widowControl/>
        <w:spacing w:line="259" w:lineRule="auto"/>
        <w:ind w:left="360"/>
      </w:pPr>
      <w:r>
        <w:t>General Aviation Manufacturing Association</w:t>
      </w:r>
    </w:p>
    <w:p w:rsidR="00800EBF" w:rsidP="0816040A" w14:paraId="160B65E5" w14:textId="4ACCD45C">
      <w:pPr>
        <w:pStyle w:val="ListParagraph"/>
        <w:widowControl/>
        <w:spacing w:line="259" w:lineRule="auto"/>
        <w:ind w:left="360"/>
      </w:pPr>
      <w:r>
        <w:t xml:space="preserve">Global Sunrise Marketing LLC (dba Greenworks) </w:t>
      </w:r>
    </w:p>
    <w:p w:rsidR="00800EBF" w:rsidRPr="00E43C06" w:rsidP="00800EBF" w14:paraId="46BC8AA3" w14:textId="502C6A19">
      <w:pPr>
        <w:pStyle w:val="ListParagraph"/>
        <w:widowControl/>
        <w:spacing w:after="160" w:line="259" w:lineRule="auto"/>
        <w:ind w:left="360"/>
      </w:pPr>
      <w:r>
        <w:t xml:space="preserve">Google LLC Infineon Technologies Americas Corp. </w:t>
      </w:r>
    </w:p>
    <w:p w:rsidR="007A0E2B" w:rsidP="00CB026B" w14:paraId="38E39A8C" w14:textId="77777777">
      <w:pPr>
        <w:pStyle w:val="ListParagraph"/>
        <w:widowControl/>
        <w:spacing w:line="259" w:lineRule="auto"/>
        <w:ind w:left="360"/>
      </w:pPr>
      <w:r w:rsidRPr="00C01C97">
        <w:t>Inxpect</w:t>
      </w:r>
      <w:r w:rsidRPr="00C01C97">
        <w:t xml:space="preserve"> SPA</w:t>
      </w:r>
      <w:r>
        <w:t xml:space="preserve"> </w:t>
      </w:r>
    </w:p>
    <w:p w:rsidR="00237620" w:rsidP="00FE161B" w14:paraId="4580FE7D" w14:textId="55264A3B">
      <w:pPr>
        <w:pStyle w:val="ListParagraph"/>
        <w:widowControl/>
        <w:spacing w:line="259" w:lineRule="auto"/>
        <w:ind w:left="360"/>
      </w:pPr>
      <w:r>
        <w:rPr>
          <w:color w:val="000000" w:themeColor="text1"/>
        </w:rPr>
        <w:t xml:space="preserve">Joint </w:t>
      </w:r>
      <w:r w:rsidRPr="00AB468C">
        <w:rPr>
          <w:color w:val="000000" w:themeColor="text1"/>
          <w:szCs w:val="22"/>
        </w:rPr>
        <w:t>Acconeer</w:t>
      </w:r>
      <w:r w:rsidRPr="00AB468C">
        <w:rPr>
          <w:color w:val="000000" w:themeColor="text1"/>
          <w:szCs w:val="22"/>
        </w:rPr>
        <w:t xml:space="preserve"> AB, Amazon.com Services LLC, Google LLC, Infineon Technologies Americas Corp.</w:t>
      </w:r>
      <w:r w:rsidR="009D37B4">
        <w:rPr>
          <w:color w:val="000000" w:themeColor="text1"/>
          <w:szCs w:val="22"/>
        </w:rPr>
        <w:t>,</w:t>
      </w:r>
      <w:r>
        <w:rPr>
          <w:color w:val="000000" w:themeColor="text1"/>
        </w:rPr>
        <w:t xml:space="preserve"> </w:t>
      </w:r>
      <w:r w:rsidR="009D37B4">
        <w:rPr>
          <w:color w:val="000000" w:themeColor="text1"/>
        </w:rPr>
        <w:t>and</w:t>
      </w:r>
      <w:r w:rsidRPr="00AB468C" w:rsidR="009D37B4">
        <w:rPr>
          <w:color w:val="000000" w:themeColor="text1"/>
          <w:szCs w:val="22"/>
        </w:rPr>
        <w:t xml:space="preserve"> </w:t>
      </w:r>
      <w:r w:rsidRPr="00AB468C">
        <w:rPr>
          <w:color w:val="000000" w:themeColor="text1"/>
          <w:szCs w:val="22"/>
        </w:rPr>
        <w:t>Texas Instruments Incorporated</w:t>
      </w:r>
    </w:p>
    <w:p w:rsidR="00FE161B" w:rsidP="00FE161B" w14:paraId="7E9E54D1" w14:textId="38FAADF3">
      <w:pPr>
        <w:pStyle w:val="ListParagraph"/>
        <w:widowControl/>
        <w:spacing w:line="259" w:lineRule="auto"/>
        <w:ind w:left="360"/>
      </w:pPr>
      <w:r>
        <w:t xml:space="preserve">Joint </w:t>
      </w:r>
      <w:r>
        <w:t>Acconeer</w:t>
      </w:r>
      <w:r>
        <w:t xml:space="preserve"> AB, Intel Corporation, Meta Platforms Inc.</w:t>
      </w:r>
      <w:r w:rsidR="009D37B4">
        <w:t>,</w:t>
      </w:r>
      <w:r>
        <w:t xml:space="preserve"> </w:t>
      </w:r>
      <w:r w:rsidR="009D37B4">
        <w:t xml:space="preserve">and </w:t>
      </w:r>
      <w:r>
        <w:t>Qualcomm Incorporated</w:t>
      </w:r>
    </w:p>
    <w:p w:rsidR="00551AB6" w:rsidP="00FE161B" w14:paraId="0EA63E78" w14:textId="2A721DEA">
      <w:pPr>
        <w:pStyle w:val="ListParagraph"/>
        <w:widowControl/>
        <w:spacing w:after="160" w:line="259" w:lineRule="auto"/>
        <w:ind w:left="360"/>
      </w:pPr>
      <w:r>
        <w:rPr>
          <w:color w:val="000000" w:themeColor="text1"/>
          <w:szCs w:val="22"/>
        </w:rPr>
        <w:t xml:space="preserve">Joint </w:t>
      </w:r>
      <w:r w:rsidRPr="00494CFC">
        <w:rPr>
          <w:color w:val="000000" w:themeColor="text1"/>
          <w:szCs w:val="22"/>
        </w:rPr>
        <w:t>Amazon.com, Inc., Apple Inc., Continental Corporation, Google LLC, Infineon Technologies Americas Corp.</w:t>
      </w:r>
      <w:r>
        <w:rPr>
          <w:color w:val="000000" w:themeColor="text1"/>
        </w:rPr>
        <w:t xml:space="preserve"> </w:t>
      </w:r>
      <w:r w:rsidR="009D37B4">
        <w:rPr>
          <w:color w:val="000000" w:themeColor="text1"/>
        </w:rPr>
        <w:t>and</w:t>
      </w:r>
      <w:r w:rsidRPr="00494CFC" w:rsidR="009D37B4">
        <w:rPr>
          <w:color w:val="000000" w:themeColor="text1"/>
          <w:szCs w:val="22"/>
        </w:rPr>
        <w:t xml:space="preserve"> </w:t>
      </w:r>
      <w:r w:rsidRPr="00494CFC">
        <w:rPr>
          <w:color w:val="000000" w:themeColor="text1"/>
          <w:szCs w:val="22"/>
        </w:rPr>
        <w:t>Texas Instruments Incorporated</w:t>
      </w:r>
      <w:r>
        <w:t xml:space="preserve"> </w:t>
      </w:r>
    </w:p>
    <w:p w:rsidR="0020194B" w:rsidP="00FE161B" w14:paraId="4FFECE8F" w14:textId="77777777">
      <w:pPr>
        <w:pStyle w:val="ListParagraph"/>
        <w:widowControl/>
        <w:spacing w:after="160" w:line="259" w:lineRule="auto"/>
        <w:ind w:left="360"/>
      </w:pPr>
      <w:r>
        <w:t xml:space="preserve">Joint Amazon.com Services LLC, Continental Corporation, Garmin International, Inc., Google LLC, </w:t>
      </w:r>
    </w:p>
    <w:p w:rsidR="00FE161B" w:rsidP="00FE161B" w14:paraId="31D908FA" w14:textId="76F25426">
      <w:pPr>
        <w:pStyle w:val="ListParagraph"/>
        <w:widowControl/>
        <w:spacing w:after="160" w:line="259" w:lineRule="auto"/>
        <w:ind w:left="360"/>
      </w:pPr>
      <w:r>
        <w:t>IEE Sensing Inc., Infineon Technologies Americas Corp., Intel Corporation, Meta Platforms Inc., Qualcomm Incorporated, Texas Instruments Incorporated</w:t>
      </w:r>
      <w:r w:rsidR="009D37B4">
        <w:t>,</w:t>
      </w:r>
      <w:r>
        <w:t xml:space="preserve"> </w:t>
      </w:r>
      <w:r w:rsidR="009D37B4">
        <w:t xml:space="preserve">and </w:t>
      </w:r>
      <w:r>
        <w:t>Vayyar</w:t>
      </w:r>
      <w:r>
        <w:t xml:space="preserve"> Imaging Ltd.</w:t>
      </w:r>
    </w:p>
    <w:p w:rsidR="00113679" w:rsidP="005009A9" w14:paraId="011385F8" w14:textId="49933435">
      <w:pPr>
        <w:pStyle w:val="ListParagraph"/>
        <w:widowControl/>
        <w:spacing w:line="259" w:lineRule="auto"/>
        <w:ind w:left="360"/>
        <w:rPr>
          <w:color w:val="000000" w:themeColor="text1"/>
          <w:szCs w:val="22"/>
        </w:rPr>
      </w:pPr>
      <w:r>
        <w:rPr>
          <w:color w:val="000000" w:themeColor="text1"/>
        </w:rPr>
        <w:t xml:space="preserve">Joint </w:t>
      </w:r>
      <w:r w:rsidRPr="00AB468C">
        <w:rPr>
          <w:color w:val="000000" w:themeColor="text1"/>
          <w:szCs w:val="22"/>
        </w:rPr>
        <w:t>Amazon.com Services LLC, Continental Corporation, Google LLC, IEE Sensing, Inc., Infineon Technologies Americas Corp.</w:t>
      </w:r>
      <w:r>
        <w:rPr>
          <w:color w:val="000000" w:themeColor="text1"/>
        </w:rPr>
        <w:t xml:space="preserve"> </w:t>
      </w:r>
      <w:r w:rsidR="00644364">
        <w:rPr>
          <w:color w:val="000000" w:themeColor="text1"/>
        </w:rPr>
        <w:t>and</w:t>
      </w:r>
      <w:r w:rsidRPr="00AB468C">
        <w:rPr>
          <w:color w:val="000000" w:themeColor="text1"/>
          <w:szCs w:val="22"/>
        </w:rPr>
        <w:t xml:space="preserve"> Texas Instruments Incorporated</w:t>
      </w:r>
    </w:p>
    <w:p w:rsidR="005021B7" w:rsidRPr="005021B7" w:rsidP="005009A9" w14:paraId="01B3589D" w14:textId="2F46BF94">
      <w:pPr>
        <w:pStyle w:val="ListParagraph"/>
        <w:widowControl/>
        <w:spacing w:line="259" w:lineRule="auto"/>
        <w:ind w:left="360"/>
        <w:rPr>
          <w:color w:val="000000" w:themeColor="text1"/>
          <w:szCs w:val="22"/>
        </w:rPr>
      </w:pPr>
      <w:r w:rsidRPr="00E70514">
        <w:rPr>
          <w:color w:val="000000" w:themeColor="text1"/>
          <w:szCs w:val="22"/>
        </w:rPr>
        <w:t xml:space="preserve">Joint Amazon.com Services LLC, Google LLC, IEE Sensing, Inc., Infineon Technologies Americas Corp., Texas Instruments Incorporated </w:t>
      </w:r>
      <w:r w:rsidR="00644364">
        <w:rPr>
          <w:color w:val="000000" w:themeColor="text1"/>
          <w:szCs w:val="22"/>
        </w:rPr>
        <w:t>and</w:t>
      </w:r>
      <w:r w:rsidRPr="00E70514">
        <w:rPr>
          <w:color w:val="000000" w:themeColor="text1"/>
          <w:szCs w:val="22"/>
        </w:rPr>
        <w:t xml:space="preserve"> </w:t>
      </w:r>
      <w:r w:rsidRPr="00E70514">
        <w:rPr>
          <w:color w:val="000000" w:themeColor="text1"/>
          <w:szCs w:val="22"/>
        </w:rPr>
        <w:t>Vayyar</w:t>
      </w:r>
      <w:r w:rsidRPr="00E70514">
        <w:rPr>
          <w:color w:val="000000" w:themeColor="text1"/>
          <w:szCs w:val="22"/>
        </w:rPr>
        <w:t xml:space="preserve"> Imaging L</w:t>
      </w:r>
      <w:r>
        <w:rPr>
          <w:color w:val="000000" w:themeColor="text1"/>
          <w:szCs w:val="22"/>
        </w:rPr>
        <w:t>td.</w:t>
      </w:r>
    </w:p>
    <w:p w:rsidR="00D04F39" w:rsidP="005009A9" w14:paraId="0B9FF7FA" w14:textId="483060F0">
      <w:pPr>
        <w:pStyle w:val="ListParagraph"/>
        <w:widowControl/>
        <w:spacing w:line="259" w:lineRule="auto"/>
        <w:ind w:left="360"/>
      </w:pPr>
      <w:r>
        <w:rPr>
          <w:color w:val="000000" w:themeColor="text1"/>
        </w:rPr>
        <w:t xml:space="preserve">Joint </w:t>
      </w:r>
      <w:r w:rsidRPr="00AB468C">
        <w:rPr>
          <w:color w:val="000000" w:themeColor="text1"/>
          <w:szCs w:val="22"/>
        </w:rPr>
        <w:t>Association for Uncrewed Vehicle Systems International (AUVSI), Commercial Drone Alliance (CDA)</w:t>
      </w:r>
      <w:r>
        <w:rPr>
          <w:color w:val="000000" w:themeColor="text1"/>
          <w:szCs w:val="22"/>
        </w:rPr>
        <w:t xml:space="preserve"> </w:t>
      </w:r>
      <w:r w:rsidR="00644364">
        <w:rPr>
          <w:color w:val="000000" w:themeColor="text1"/>
          <w:szCs w:val="22"/>
        </w:rPr>
        <w:t>and</w:t>
      </w:r>
      <w:r w:rsidRPr="00AB468C">
        <w:rPr>
          <w:color w:val="000000" w:themeColor="text1"/>
          <w:szCs w:val="22"/>
        </w:rPr>
        <w:t xml:space="preserve"> Small UAV Coalition</w:t>
      </w:r>
    </w:p>
    <w:p w:rsidR="0020194B" w:rsidP="0020194B" w14:paraId="7784EC81" w14:textId="77777777">
      <w:pPr>
        <w:pStyle w:val="ListParagraph"/>
        <w:widowControl/>
        <w:spacing w:after="160" w:line="259" w:lineRule="auto"/>
        <w:ind w:left="360"/>
      </w:pPr>
      <w:r w:rsidRPr="00EC11DC">
        <w:rPr>
          <w:snapToGrid w:val="0"/>
          <w:color w:val="000000"/>
          <w:szCs w:val="22"/>
        </w:rPr>
        <w:t>Joint Information Technology and Innovation Foundation /</w:t>
      </w:r>
      <w:r w:rsidRPr="00EC11DC">
        <w:rPr>
          <w:snapToGrid w:val="0"/>
          <w:szCs w:val="22"/>
        </w:rPr>
        <w:t xml:space="preserve">Open Technology Institute at New America/ </w:t>
      </w:r>
      <w:r w:rsidRPr="00EC11DC">
        <w:rPr>
          <w:snapToGrid w:val="0"/>
          <w:color w:val="000000"/>
          <w:szCs w:val="22"/>
        </w:rPr>
        <w:t xml:space="preserve">R Street Institute/ Public Knowledge/ </w:t>
      </w:r>
      <w:r w:rsidRPr="00EC11DC">
        <w:rPr>
          <w:snapToGrid w:val="0"/>
          <w:szCs w:val="22"/>
        </w:rPr>
        <w:t>American Action Forum</w:t>
      </w:r>
    </w:p>
    <w:p w:rsidR="005009A9" w:rsidP="005009A9" w14:paraId="57A29DD3" w14:textId="0303BEAB">
      <w:pPr>
        <w:pStyle w:val="ListParagraph"/>
        <w:widowControl/>
        <w:spacing w:line="259" w:lineRule="auto"/>
        <w:ind w:left="360"/>
      </w:pPr>
      <w:r>
        <w:t>Joint Intel Corporation, Meta Platforms Inc.</w:t>
      </w:r>
      <w:r w:rsidR="00D04F39">
        <w:t xml:space="preserve"> </w:t>
      </w:r>
      <w:r w:rsidR="00644364">
        <w:t>and</w:t>
      </w:r>
      <w:r w:rsidR="00D04F39">
        <w:t xml:space="preserve"> </w:t>
      </w:r>
      <w:r>
        <w:t xml:space="preserve">Qualcomm Incorporated </w:t>
      </w:r>
    </w:p>
    <w:p w:rsidR="005009A9" w:rsidP="005009A9" w14:paraId="501F3A16" w14:textId="35B297E5">
      <w:pPr>
        <w:pStyle w:val="ListParagraph"/>
        <w:widowControl/>
        <w:spacing w:after="160" w:line="259" w:lineRule="auto"/>
        <w:ind w:left="360"/>
      </w:pPr>
      <w:r>
        <w:rPr>
          <w:szCs w:val="22"/>
        </w:rPr>
        <w:t xml:space="preserve">Joint </w:t>
      </w:r>
      <w:r w:rsidRPr="00406337">
        <w:rPr>
          <w:szCs w:val="22"/>
        </w:rPr>
        <w:t>NetChoice</w:t>
      </w:r>
      <w:r>
        <w:rPr>
          <w:szCs w:val="22"/>
        </w:rPr>
        <w:t xml:space="preserve">/ </w:t>
      </w:r>
      <w:r w:rsidRPr="00406337">
        <w:rPr>
          <w:szCs w:val="22"/>
        </w:rPr>
        <w:t>TechNet</w:t>
      </w:r>
      <w:r>
        <w:rPr>
          <w:szCs w:val="22"/>
        </w:rPr>
        <w:t xml:space="preserve">/ </w:t>
      </w:r>
      <w:r w:rsidRPr="00406337">
        <w:rPr>
          <w:szCs w:val="22"/>
        </w:rPr>
        <w:t>U.S. Chamber of Commerce</w:t>
      </w:r>
      <w:r>
        <w:rPr>
          <w:szCs w:val="22"/>
        </w:rPr>
        <w:t xml:space="preserve"> </w:t>
      </w:r>
    </w:p>
    <w:p w:rsidR="00E131AE" w:rsidP="00CB026B" w14:paraId="41D1EFEA" w14:textId="531D5522">
      <w:pPr>
        <w:pStyle w:val="ListParagraph"/>
        <w:widowControl/>
        <w:spacing w:line="259" w:lineRule="auto"/>
        <w:ind w:left="360"/>
      </w:pPr>
      <w:r>
        <w:t xml:space="preserve">Lenovo (United States) Inc. </w:t>
      </w:r>
    </w:p>
    <w:p w:rsidR="00800EBF" w:rsidP="0816040A" w14:paraId="0D5D63AA" w14:textId="599E33D7">
      <w:pPr>
        <w:pStyle w:val="ListParagraph"/>
        <w:widowControl/>
        <w:spacing w:line="259" w:lineRule="auto"/>
        <w:ind w:left="360"/>
      </w:pPr>
      <w:r>
        <w:t xml:space="preserve">Magic Leap Inc. </w:t>
      </w:r>
    </w:p>
    <w:p w:rsidR="00331A23" w:rsidP="0816040A" w14:paraId="2537A250" w14:textId="0A8AF1B3">
      <w:pPr>
        <w:pStyle w:val="ListParagraph"/>
        <w:widowControl/>
        <w:spacing w:line="259" w:lineRule="auto"/>
        <w:ind w:left="360"/>
      </w:pPr>
      <w:r>
        <w:t>New America’s Open Technology Institute</w:t>
      </w:r>
    </w:p>
    <w:p w:rsidR="000602B6" w:rsidP="0816040A" w14:paraId="3E2E4D3B" w14:textId="14C8FBFA">
      <w:pPr>
        <w:pStyle w:val="ListParagraph"/>
        <w:widowControl/>
        <w:spacing w:line="259" w:lineRule="auto"/>
        <w:ind w:left="360"/>
        <w:rPr>
          <w:szCs w:val="22"/>
        </w:rPr>
      </w:pPr>
      <w:r w:rsidRPr="00406337">
        <w:rPr>
          <w:color w:val="414141"/>
          <w:szCs w:val="22"/>
        </w:rPr>
        <w:t>Robert Bosch LLC</w:t>
      </w:r>
    </w:p>
    <w:p w:rsidR="00551AB6" w:rsidP="0816040A" w14:paraId="11679D23" w14:textId="64B7CDFF">
      <w:pPr>
        <w:pStyle w:val="ListParagraph"/>
        <w:widowControl/>
        <w:spacing w:line="259" w:lineRule="auto"/>
        <w:ind w:left="360"/>
        <w:rPr>
          <w:szCs w:val="22"/>
        </w:rPr>
      </w:pPr>
      <w:r w:rsidRPr="00494CFC">
        <w:rPr>
          <w:color w:val="000000" w:themeColor="text1"/>
          <w:szCs w:val="22"/>
        </w:rPr>
        <w:t>Sunrise Global Marketing, LLC dba Greenworks Tools</w:t>
      </w:r>
    </w:p>
    <w:p w:rsidR="0816040A" w:rsidP="0816040A" w14:paraId="2DFE5EBF" w14:textId="1C3DFEE0">
      <w:pPr>
        <w:pStyle w:val="ListParagraph"/>
        <w:widowControl/>
        <w:spacing w:line="259" w:lineRule="auto"/>
        <w:ind w:left="360"/>
        <w:rPr>
          <w:szCs w:val="22"/>
        </w:rPr>
      </w:pPr>
      <w:r w:rsidRPr="0816040A">
        <w:rPr>
          <w:szCs w:val="22"/>
        </w:rPr>
        <w:t>Tellus You Care, Inc.</w:t>
      </w:r>
    </w:p>
    <w:p w:rsidR="00FD7503" w:rsidP="0816040A" w14:paraId="2B6E743C" w14:textId="59A11A4A">
      <w:pPr>
        <w:pStyle w:val="ListParagraph"/>
        <w:widowControl/>
        <w:spacing w:after="160" w:line="259" w:lineRule="auto"/>
        <w:ind w:left="360"/>
      </w:pPr>
      <w:r>
        <w:t xml:space="preserve">Texas Instruments Incorporated </w:t>
      </w:r>
    </w:p>
    <w:p w:rsidR="511D7612" w:rsidP="096C6267" w14:paraId="066A873A" w14:textId="19F40F92">
      <w:pPr>
        <w:pStyle w:val="ListParagraph"/>
        <w:widowControl/>
        <w:spacing w:after="160" w:line="259" w:lineRule="auto"/>
        <w:ind w:left="360"/>
      </w:pPr>
      <w:r>
        <w:t>Wingtra</w:t>
      </w:r>
      <w:r>
        <w:t xml:space="preserve"> AG</w:t>
      </w:r>
    </w:p>
    <w:p w:rsidR="00FD7503" w:rsidP="00CB026B" w14:paraId="76DA3802" w14:textId="77777777">
      <w:pPr>
        <w:pStyle w:val="ListParagraph"/>
        <w:widowControl/>
        <w:spacing w:line="259" w:lineRule="auto"/>
        <w:ind w:left="360"/>
      </w:pPr>
    </w:p>
    <w:bookmarkEnd w:id="138"/>
    <w:p w:rsidR="007B2349" w:rsidP="00CB026B" w14:paraId="2DDE174F" w14:textId="77777777">
      <w:pPr>
        <w:sectPr w:rsidSect="004B7874">
          <w:footnotePr>
            <w:numRestart w:val="eachSect"/>
          </w:footnotePr>
          <w:endnotePr>
            <w:numFmt w:val="decimal"/>
          </w:endnotePr>
          <w:pgSz w:w="12240" w:h="15840"/>
          <w:pgMar w:top="1440" w:right="1440" w:bottom="720" w:left="1440" w:header="720" w:footer="720" w:gutter="0"/>
          <w:cols w:space="720"/>
          <w:noEndnote/>
          <w:docGrid w:linePitch="299"/>
        </w:sectPr>
      </w:pPr>
    </w:p>
    <w:p w:rsidR="0012573A" w:rsidP="00E71F54" w14:paraId="23C02183" w14:textId="287C16E9">
      <w:pPr>
        <w:pStyle w:val="Heading1"/>
        <w:numPr>
          <w:ilvl w:val="0"/>
          <w:numId w:val="0"/>
        </w:numPr>
        <w:ind w:left="720" w:hanging="720"/>
        <w:jc w:val="center"/>
      </w:pPr>
      <w:bookmarkStart w:id="139" w:name="_Toc135123555"/>
      <w:r>
        <w:t>APPENDIX B</w:t>
      </w:r>
      <w:bookmarkEnd w:id="139"/>
    </w:p>
    <w:p w:rsidR="00E71F54" w:rsidRPr="00A752F0" w:rsidP="00A752F0" w14:paraId="2CAC5906" w14:textId="024ECAA1">
      <w:pPr>
        <w:jc w:val="center"/>
        <w:rPr>
          <w:b/>
          <w:bCs/>
        </w:rPr>
      </w:pPr>
      <w:r w:rsidRPr="00A752F0">
        <w:rPr>
          <w:b/>
          <w:bCs/>
        </w:rPr>
        <w:t>Final Rules</w:t>
      </w:r>
    </w:p>
    <w:p w:rsidR="00F13E1B" w:rsidRPr="00F13E1B" w:rsidP="00F13E1B" w14:paraId="4E324845" w14:textId="77777777">
      <w:pPr>
        <w:tabs>
          <w:tab w:val="left" w:pos="5270"/>
        </w:tabs>
        <w:jc w:val="center"/>
        <w:rPr>
          <w:color w:val="000000"/>
        </w:rPr>
      </w:pPr>
    </w:p>
    <w:p w:rsidR="00F13E1B" w:rsidRPr="00F13E1B" w:rsidP="00F13E1B" w14:paraId="7A0B5BF9" w14:textId="49471627">
      <w:pPr>
        <w:rPr>
          <w:color w:val="000000"/>
        </w:rPr>
      </w:pPr>
      <w:r w:rsidRPr="00F13E1B">
        <w:rPr>
          <w:color w:val="000000"/>
        </w:rPr>
        <w:t>Part 15 of Title 47 of the Code of Federal Regulations is amended as follows:</w:t>
      </w:r>
    </w:p>
    <w:p w:rsidR="00F13E1B" w:rsidRPr="00F13E1B" w:rsidP="00F13E1B" w14:paraId="20D468A7" w14:textId="77777777">
      <w:pPr>
        <w:spacing w:after="120"/>
        <w:rPr>
          <w:color w:val="000000"/>
        </w:rPr>
      </w:pPr>
    </w:p>
    <w:p w:rsidR="00F13E1B" w:rsidRPr="00F13E1B" w:rsidP="00F13E1B" w14:paraId="0FBF98A0" w14:textId="77777777">
      <w:pPr>
        <w:spacing w:after="120"/>
        <w:rPr>
          <w:b/>
          <w:color w:val="000000"/>
        </w:rPr>
      </w:pPr>
      <w:r w:rsidRPr="00F13E1B">
        <w:rPr>
          <w:b/>
          <w:color w:val="000000"/>
        </w:rPr>
        <w:t>PART 15 – RADIO FREQUENCY DEVICES</w:t>
      </w:r>
    </w:p>
    <w:p w:rsidR="00F13E1B" w:rsidRPr="00F13E1B" w:rsidP="00F13E1B" w14:paraId="444EF051" w14:textId="00F706B0">
      <w:pPr>
        <w:tabs>
          <w:tab w:val="num" w:pos="1440"/>
        </w:tabs>
        <w:spacing w:after="120"/>
        <w:ind w:firstLine="720"/>
        <w:rPr>
          <w:color w:val="000000"/>
        </w:rPr>
      </w:pPr>
      <w:r w:rsidRPr="00F13E1B">
        <w:rPr>
          <w:color w:val="000000"/>
        </w:rPr>
        <w:t xml:space="preserve">The authority citation for </w:t>
      </w:r>
      <w:r w:rsidR="006C039B">
        <w:rPr>
          <w:color w:val="000000"/>
        </w:rPr>
        <w:t>p</w:t>
      </w:r>
      <w:r w:rsidRPr="00F13E1B">
        <w:rPr>
          <w:color w:val="000000"/>
        </w:rPr>
        <w:t>art 15 continues to read as follows:</w:t>
      </w:r>
    </w:p>
    <w:p w:rsidR="00F13E1B" w:rsidRPr="00F13E1B" w:rsidP="00F13E1B" w14:paraId="23662420" w14:textId="77777777">
      <w:pPr>
        <w:spacing w:after="120"/>
        <w:rPr>
          <w:color w:val="000000"/>
        </w:rPr>
      </w:pPr>
      <w:r w:rsidRPr="00F13E1B">
        <w:rPr>
          <w:b/>
          <w:color w:val="000000"/>
        </w:rPr>
        <w:t xml:space="preserve">AUTHORITY:  </w:t>
      </w:r>
      <w:r w:rsidRPr="00F13E1B">
        <w:rPr>
          <w:color w:val="000000"/>
        </w:rPr>
        <w:t>47 U.S.C. 154, 302a, 303, 304, 307, 336, 544a, and 549.</w:t>
      </w:r>
    </w:p>
    <w:p w:rsidR="00F13E1B" w:rsidRPr="00F13E1B" w:rsidP="760AD809" w14:paraId="2084AB28" w14:textId="0BA5F144">
      <w:pPr>
        <w:rPr>
          <w:b/>
          <w:bCs/>
          <w:color w:val="000000"/>
        </w:rPr>
      </w:pPr>
    </w:p>
    <w:p w:rsidR="006F11BD" w:rsidP="760AD809" w14:paraId="6B4D24E4" w14:textId="0BA5F144">
      <w:pPr>
        <w:rPr>
          <w:color w:val="000000"/>
        </w:rPr>
      </w:pPr>
      <w:r w:rsidRPr="00D06302">
        <w:rPr>
          <w:color w:val="000000" w:themeColor="text1"/>
        </w:rPr>
        <w:t>1.</w:t>
      </w:r>
      <w:r>
        <w:tab/>
      </w:r>
      <w:r w:rsidRPr="487388C2">
        <w:rPr>
          <w:color w:val="000000" w:themeColor="text1"/>
        </w:rPr>
        <w:t>Section 15.3(l) is revised to read as follows:</w:t>
      </w:r>
    </w:p>
    <w:p w:rsidR="006F11BD" w:rsidRPr="00D06302" w:rsidP="760AD809" w14:paraId="79704785" w14:textId="48A3083B">
      <w:pPr>
        <w:rPr>
          <w:color w:val="000000"/>
        </w:rPr>
      </w:pPr>
    </w:p>
    <w:p w:rsidR="00E533A5" w:rsidRPr="00A752F0" w:rsidP="00A752F0" w14:paraId="63FA6C9E" w14:textId="48A3083B">
      <w:pPr>
        <w:rPr>
          <w:b/>
          <w:bCs/>
        </w:rPr>
      </w:pPr>
      <w:r w:rsidRPr="00A752F0">
        <w:rPr>
          <w:b/>
          <w:bCs/>
        </w:rPr>
        <w:t>§ 15.3 Definitions.</w:t>
      </w:r>
    </w:p>
    <w:p w:rsidR="006F11BD" w:rsidP="760AD809" w14:paraId="36D7811E" w14:textId="48A3083B">
      <w:pPr>
        <w:rPr>
          <w:b/>
          <w:bCs/>
          <w:color w:val="000000"/>
        </w:rPr>
      </w:pPr>
    </w:p>
    <w:p w:rsidR="00E533A5" w:rsidRPr="00F13E1B" w:rsidP="00E533A5" w14:paraId="5B141A73" w14:textId="48A3083B">
      <w:pPr>
        <w:rPr>
          <w:color w:val="000000"/>
        </w:rPr>
      </w:pPr>
      <w:r w:rsidRPr="14D0D53E">
        <w:rPr>
          <w:color w:val="000000" w:themeColor="text1"/>
        </w:rPr>
        <w:t>* * * * *</w:t>
      </w:r>
    </w:p>
    <w:p w:rsidR="00E533A5" w:rsidP="760AD809" w14:paraId="1D76F182" w14:textId="23B829C4">
      <w:pPr>
        <w:rPr>
          <w:b/>
          <w:bCs/>
          <w:color w:val="000000"/>
        </w:rPr>
      </w:pPr>
    </w:p>
    <w:p w:rsidR="00D06302" w:rsidRPr="008245BB" w:rsidP="00D06302" w14:paraId="40AD89DF" w14:textId="60D2CD8F">
      <w:pPr>
        <w:rPr>
          <w:sz w:val="20"/>
        </w:rPr>
      </w:pPr>
      <w:r w:rsidRPr="0050298A">
        <w:rPr>
          <w:rStyle w:val="Emphasis"/>
          <w:i w:val="0"/>
          <w:iCs w:val="0"/>
        </w:rPr>
        <w:t>(l)</w:t>
      </w:r>
      <w:r>
        <w:rPr>
          <w:rStyle w:val="Emphasis"/>
          <w:b/>
          <w:bCs/>
          <w:i w:val="0"/>
          <w:iCs w:val="0"/>
        </w:rPr>
        <w:t xml:space="preserve"> </w:t>
      </w:r>
      <w:r>
        <w:rPr>
          <w:rStyle w:val="Emphasis"/>
          <w:b/>
          <w:bCs/>
        </w:rPr>
        <w:t>Field disturbance sensor.</w:t>
      </w:r>
      <w:r>
        <w:t xml:space="preserve"> A device that establishes a radio frequency field in its vicinity and detects changes in that field resulting from the movement of persons or objects within its range.  A radar operating pursuant to the definition for radiodetermination </w:t>
      </w:r>
      <w:r w:rsidR="006C039B">
        <w:t xml:space="preserve">station </w:t>
      </w:r>
      <w:r>
        <w:t xml:space="preserve">in § 2.1 </w:t>
      </w:r>
      <w:r w:rsidR="006C039B">
        <w:t xml:space="preserve">of this chapter </w:t>
      </w:r>
      <w:r>
        <w:t>is an example of a field disturbance sensor.</w:t>
      </w:r>
    </w:p>
    <w:p w:rsidR="00E533A5" w:rsidP="760AD809" w14:paraId="4468F224" w14:textId="01D1FD0A">
      <w:pPr>
        <w:rPr>
          <w:b/>
          <w:bCs/>
          <w:color w:val="000000"/>
        </w:rPr>
      </w:pPr>
    </w:p>
    <w:p w:rsidR="00D06302" w:rsidP="00D06302" w14:paraId="1D7B9342" w14:textId="551E0E95">
      <w:pPr>
        <w:rPr>
          <w:color w:val="000000"/>
        </w:rPr>
      </w:pPr>
      <w:r w:rsidRPr="527C8568">
        <w:rPr>
          <w:color w:val="000000" w:themeColor="text1"/>
        </w:rPr>
        <w:t>* * * * *</w:t>
      </w:r>
    </w:p>
    <w:p w:rsidR="00D06302" w:rsidRPr="00F13E1B" w:rsidP="760AD809" w14:paraId="2E0F793B" w14:textId="5F1E2717">
      <w:pPr>
        <w:rPr>
          <w:b/>
          <w:bCs/>
          <w:color w:val="000000"/>
        </w:rPr>
      </w:pPr>
    </w:p>
    <w:p w:rsidR="00F13E1B" w:rsidRPr="00F13E1B" w:rsidP="00E30D3F" w14:paraId="1CA6D49B" w14:textId="3B87B8BE">
      <w:pPr>
        <w:pStyle w:val="ParaNum"/>
        <w:numPr>
          <w:ilvl w:val="0"/>
          <w:numId w:val="0"/>
        </w:numPr>
        <w:tabs>
          <w:tab w:val="left" w:pos="900"/>
        </w:tabs>
        <w:rPr>
          <w:color w:val="000000"/>
        </w:rPr>
      </w:pPr>
      <w:r>
        <w:rPr>
          <w:color w:val="000000" w:themeColor="text1"/>
        </w:rPr>
        <w:t>2</w:t>
      </w:r>
      <w:r w:rsidRPr="4291BD84" w:rsidR="00626CE7">
        <w:rPr>
          <w:color w:val="000000" w:themeColor="text1"/>
        </w:rPr>
        <w:t>.</w:t>
      </w:r>
      <w:r w:rsidR="00305E50">
        <w:rPr>
          <w:color w:val="000000" w:themeColor="text1"/>
        </w:rPr>
        <w:tab/>
      </w:r>
      <w:r w:rsidRPr="4291BD84" w:rsidR="00626CE7">
        <w:rPr>
          <w:color w:val="000000" w:themeColor="text1"/>
        </w:rPr>
        <w:t>Section 15.31 is amended by revising paragraph (c) to read as follows:</w:t>
      </w:r>
    </w:p>
    <w:p w:rsidR="00F13E1B" w:rsidRPr="00F13E1B" w:rsidP="00F13E1B" w14:paraId="47370531" w14:textId="6E664DEC">
      <w:pPr>
        <w:spacing w:before="240" w:after="120"/>
        <w:rPr>
          <w:color w:val="000000"/>
        </w:rPr>
      </w:pPr>
      <w:r w:rsidRPr="00F13E1B">
        <w:rPr>
          <w:b/>
          <w:bCs/>
          <w:snapToGrid/>
          <w:color w:val="000000"/>
          <w:kern w:val="0"/>
          <w:szCs w:val="22"/>
        </w:rPr>
        <w:t>§</w:t>
      </w:r>
      <w:r w:rsidR="00663AAE">
        <w:rPr>
          <w:b/>
          <w:bCs/>
          <w:snapToGrid/>
          <w:color w:val="000000"/>
          <w:kern w:val="0"/>
          <w:szCs w:val="22"/>
        </w:rPr>
        <w:t xml:space="preserve"> </w:t>
      </w:r>
      <w:r w:rsidRPr="00F13E1B">
        <w:rPr>
          <w:b/>
          <w:bCs/>
          <w:snapToGrid/>
          <w:color w:val="000000"/>
          <w:kern w:val="0"/>
          <w:szCs w:val="22"/>
        </w:rPr>
        <w:t>15.31 Measurement standards.</w:t>
      </w:r>
    </w:p>
    <w:p w:rsidR="00F13E1B" w:rsidRPr="00F13E1B" w:rsidP="00F13E1B" w14:paraId="24CEFC33" w14:textId="77777777">
      <w:pPr>
        <w:rPr>
          <w:color w:val="000000"/>
        </w:rPr>
      </w:pPr>
      <w:r w:rsidRPr="00F13E1B">
        <w:rPr>
          <w:color w:val="000000"/>
        </w:rPr>
        <w:t>* * * * *</w:t>
      </w:r>
    </w:p>
    <w:p w:rsidR="00F13E1B" w:rsidRPr="00F13E1B" w:rsidP="00F13E1B" w14:paraId="33ADEA60" w14:textId="47603492">
      <w:pPr>
        <w:widowControl/>
        <w:shd w:val="clear" w:color="auto" w:fill="FFFFFF"/>
        <w:spacing w:before="100" w:beforeAutospacing="1" w:after="100" w:afterAutospacing="1"/>
        <w:rPr>
          <w:snapToGrid/>
          <w:color w:val="000000"/>
          <w:kern w:val="0"/>
          <w:szCs w:val="22"/>
        </w:rPr>
      </w:pPr>
      <w:r w:rsidRPr="00F13E1B">
        <w:rPr>
          <w:snapToGrid/>
          <w:color w:val="000000"/>
          <w:kern w:val="0"/>
          <w:szCs w:val="22"/>
        </w:rPr>
        <w:t>(c) Except as otherwise indicated in §§</w:t>
      </w:r>
      <w:r w:rsidR="003B0E07">
        <w:rPr>
          <w:snapToGrid/>
          <w:color w:val="000000"/>
          <w:kern w:val="0"/>
          <w:szCs w:val="22"/>
        </w:rPr>
        <w:t xml:space="preserve"> </w:t>
      </w:r>
      <w:r w:rsidRPr="00F13E1B">
        <w:rPr>
          <w:snapToGrid/>
          <w:color w:val="000000"/>
          <w:kern w:val="0"/>
          <w:szCs w:val="22"/>
        </w:rPr>
        <w:t>15.255 and 15.256, for swept frequency equipment, measurements shall be made with the frequency sweep stopped at those frequencies chosen for the measurements to be reported.</w:t>
      </w:r>
    </w:p>
    <w:p w:rsidR="00F13E1B" w:rsidP="00F13E1B" w14:paraId="3205210B" w14:textId="6DABE73A">
      <w:pPr>
        <w:rPr>
          <w:color w:val="000000"/>
        </w:rPr>
      </w:pPr>
      <w:r w:rsidRPr="00F13E1B">
        <w:rPr>
          <w:color w:val="000000"/>
        </w:rPr>
        <w:t>* * * * *</w:t>
      </w:r>
    </w:p>
    <w:p w:rsidR="00DB06E7" w:rsidRPr="00F13E1B" w:rsidP="00F13E1B" w14:paraId="76D27FB9" w14:textId="77777777">
      <w:pPr>
        <w:rPr>
          <w:color w:val="000000"/>
        </w:rPr>
      </w:pPr>
    </w:p>
    <w:p w:rsidR="00F13E1B" w:rsidRPr="00F13E1B" w:rsidP="00E30D3F" w14:paraId="43DD18DB" w14:textId="60C73188">
      <w:pPr>
        <w:pStyle w:val="ParaNum"/>
        <w:numPr>
          <w:ilvl w:val="0"/>
          <w:numId w:val="0"/>
        </w:numPr>
        <w:tabs>
          <w:tab w:val="left" w:pos="900"/>
        </w:tabs>
        <w:rPr>
          <w:color w:val="000000"/>
        </w:rPr>
      </w:pPr>
      <w:r>
        <w:rPr>
          <w:color w:val="000000" w:themeColor="text1"/>
        </w:rPr>
        <w:t>3</w:t>
      </w:r>
      <w:r w:rsidRPr="4291BD84" w:rsidR="00626CE7">
        <w:rPr>
          <w:color w:val="000000" w:themeColor="text1"/>
        </w:rPr>
        <w:t>.</w:t>
      </w:r>
      <w:r w:rsidR="00305E50">
        <w:rPr>
          <w:color w:val="000000" w:themeColor="text1"/>
        </w:rPr>
        <w:tab/>
      </w:r>
      <w:r w:rsidRPr="4291BD84" w:rsidR="00626CE7">
        <w:rPr>
          <w:color w:val="000000" w:themeColor="text1"/>
        </w:rPr>
        <w:t>Section 15.35 is amended by revising paragraph (c) to read as follows:</w:t>
      </w:r>
    </w:p>
    <w:p w:rsidR="00F13E1B" w:rsidRPr="00F13E1B" w:rsidP="00F13E1B" w14:paraId="140F5CE2" w14:textId="0FE61D47">
      <w:pPr>
        <w:spacing w:before="240" w:after="120"/>
        <w:rPr>
          <w:color w:val="000000"/>
        </w:rPr>
      </w:pPr>
      <w:r w:rsidRPr="00F13E1B">
        <w:rPr>
          <w:b/>
          <w:bCs/>
          <w:snapToGrid/>
          <w:color w:val="000000"/>
          <w:kern w:val="0"/>
          <w:szCs w:val="22"/>
        </w:rPr>
        <w:t>§</w:t>
      </w:r>
      <w:r w:rsidR="006A6283">
        <w:rPr>
          <w:b/>
          <w:bCs/>
          <w:snapToGrid/>
          <w:color w:val="000000"/>
          <w:kern w:val="0"/>
          <w:szCs w:val="22"/>
        </w:rPr>
        <w:t xml:space="preserve"> </w:t>
      </w:r>
      <w:r w:rsidRPr="00F13E1B">
        <w:rPr>
          <w:b/>
          <w:bCs/>
          <w:snapToGrid/>
          <w:color w:val="000000"/>
          <w:kern w:val="0"/>
          <w:szCs w:val="22"/>
        </w:rPr>
        <w:t>15.35  Measurement detector functions and bandwidths.</w:t>
      </w:r>
    </w:p>
    <w:p w:rsidR="00F13E1B" w:rsidRPr="00F13E1B" w:rsidP="00F13E1B" w14:paraId="2C6AFCFB" w14:textId="77777777">
      <w:pPr>
        <w:rPr>
          <w:color w:val="000000"/>
        </w:rPr>
      </w:pPr>
      <w:r w:rsidRPr="00F13E1B">
        <w:rPr>
          <w:color w:val="000000"/>
        </w:rPr>
        <w:t>* * * * *</w:t>
      </w:r>
    </w:p>
    <w:p w:rsidR="00F54D10" w:rsidP="00F54D10" w14:paraId="70C80C04" w14:textId="532CA52C">
      <w:pPr>
        <w:widowControl/>
        <w:shd w:val="clear" w:color="auto" w:fill="FFFFFF"/>
        <w:spacing w:before="100" w:beforeAutospacing="1" w:after="100" w:afterAutospacing="1"/>
        <w:rPr>
          <w:snapToGrid/>
          <w:color w:val="000000"/>
          <w:kern w:val="0"/>
          <w:szCs w:val="22"/>
        </w:rPr>
      </w:pPr>
      <w:r w:rsidRPr="00F13E1B">
        <w:rPr>
          <w:snapToGrid/>
          <w:color w:val="000000"/>
          <w:kern w:val="0"/>
          <w:szCs w:val="22"/>
        </w:rPr>
        <w:t>(c) Unless otherwise specified, </w:t>
      </w:r>
      <w:r w:rsidRPr="00AB04E0">
        <w:rPr>
          <w:snapToGrid/>
          <w:color w:val="000000"/>
          <w:kern w:val="0"/>
          <w:szCs w:val="22"/>
        </w:rPr>
        <w:t>e.g.</w:t>
      </w:r>
      <w:r w:rsidRPr="00F13E1B">
        <w:rPr>
          <w:i/>
          <w:iCs/>
          <w:snapToGrid/>
          <w:color w:val="000000"/>
          <w:kern w:val="0"/>
          <w:szCs w:val="22"/>
        </w:rPr>
        <w:t>,</w:t>
      </w:r>
      <w:r w:rsidRPr="00F13E1B">
        <w:rPr>
          <w:snapToGrid/>
          <w:color w:val="000000"/>
          <w:kern w:val="0"/>
          <w:szCs w:val="22"/>
        </w:rPr>
        <w:t> §§</w:t>
      </w:r>
      <w:r w:rsidR="00F91289">
        <w:rPr>
          <w:snapToGrid/>
          <w:color w:val="000000"/>
          <w:kern w:val="0"/>
          <w:szCs w:val="22"/>
        </w:rPr>
        <w:t xml:space="preserve"> </w:t>
      </w:r>
      <w:r w:rsidRPr="00F13E1B">
        <w:rPr>
          <w:snapToGrid/>
          <w:color w:val="000000"/>
          <w:kern w:val="0"/>
          <w:szCs w:val="22"/>
        </w:rPr>
        <w:t>15.255 and 15.256(l)(5), when the radiated emission limits are expressed in terms of the average value of the emission, and pulsed operation is employed, the measurement field strength shall be determined by averaging over one complete pulse train, including blanking intervals, as long as the pulse train does not exceed 0.1 seconds. As an alternative (provided the transmitter operates for longer than 0.1 seconds) or in cases where the pulse train exceeds 0.1 seconds, the measured field strength shall be determined from the average absolute voltage during a 0.1 second interval during which the field strength is at its maximum value. The exact method of calculating the average field strength shall be submitted with any application for certification or shall be retained in the measurement data file for equipment subject to Supplier's Declaration of Conformity.</w:t>
      </w:r>
      <w:r>
        <w:rPr>
          <w:snapToGrid/>
          <w:color w:val="000000"/>
          <w:kern w:val="0"/>
          <w:szCs w:val="22"/>
        </w:rPr>
        <w:t xml:space="preserve"> </w:t>
      </w:r>
    </w:p>
    <w:p w:rsidR="00DB06E7" w:rsidP="00DB06E7" w14:paraId="0B21144E" w14:textId="77777777">
      <w:pPr>
        <w:rPr>
          <w:color w:val="000000"/>
        </w:rPr>
      </w:pPr>
      <w:r w:rsidRPr="00F13E1B">
        <w:rPr>
          <w:color w:val="000000"/>
        </w:rPr>
        <w:t>* * * * *</w:t>
      </w:r>
    </w:p>
    <w:p w:rsidR="00DB06E7" w:rsidRPr="00F13E1B" w:rsidP="00DB06E7" w14:paraId="0F14B7B3" w14:textId="77777777">
      <w:pPr>
        <w:rPr>
          <w:color w:val="000000"/>
        </w:rPr>
      </w:pPr>
    </w:p>
    <w:p w:rsidR="00DB06E7" w:rsidP="00DB06E7" w14:paraId="073E6576" w14:textId="7F382DA9">
      <w:pPr>
        <w:rPr>
          <w:bCs/>
          <w:color w:val="000000"/>
        </w:rPr>
      </w:pPr>
      <w:r>
        <w:rPr>
          <w:color w:val="000000" w:themeColor="text1"/>
        </w:rPr>
        <w:t>4</w:t>
      </w:r>
      <w:r w:rsidRPr="26885291">
        <w:rPr>
          <w:color w:val="000000" w:themeColor="text1"/>
        </w:rPr>
        <w:t>.</w:t>
      </w:r>
      <w:r w:rsidR="00305E50">
        <w:rPr>
          <w:bCs/>
          <w:color w:val="000000"/>
        </w:rPr>
        <w:tab/>
      </w:r>
      <w:r w:rsidRPr="26885291">
        <w:rPr>
          <w:color w:val="000000" w:themeColor="text1"/>
        </w:rPr>
        <w:t>Section 15.37 is amended by adding</w:t>
      </w:r>
      <w:r w:rsidRPr="26885291" w:rsidR="00383961">
        <w:rPr>
          <w:color w:val="000000" w:themeColor="text1"/>
        </w:rPr>
        <w:t xml:space="preserve"> a new </w:t>
      </w:r>
      <w:r w:rsidRPr="26885291">
        <w:rPr>
          <w:color w:val="000000" w:themeColor="text1"/>
        </w:rPr>
        <w:t>paragraph (</w:t>
      </w:r>
      <w:r w:rsidR="006F1CFA">
        <w:rPr>
          <w:color w:val="000000" w:themeColor="text1"/>
        </w:rPr>
        <w:t>r</w:t>
      </w:r>
      <w:r w:rsidRPr="26885291">
        <w:rPr>
          <w:color w:val="000000" w:themeColor="text1"/>
        </w:rPr>
        <w:t>) to read as follows:</w:t>
      </w:r>
    </w:p>
    <w:p w:rsidR="00DB06E7" w:rsidP="00DB06E7" w14:paraId="7FC713DD" w14:textId="74D71BD9">
      <w:pPr>
        <w:rPr>
          <w:bCs/>
          <w:color w:val="000000"/>
        </w:rPr>
      </w:pPr>
    </w:p>
    <w:p w:rsidR="00E239C2" w:rsidP="00DB06E7" w14:paraId="7B545049" w14:textId="59A0F259">
      <w:pPr>
        <w:rPr>
          <w:b/>
          <w:bCs/>
          <w:kern w:val="0"/>
          <w:szCs w:val="22"/>
        </w:rPr>
      </w:pPr>
      <w:r w:rsidRPr="00125BA5">
        <w:rPr>
          <w:b/>
          <w:bCs/>
          <w:kern w:val="0"/>
          <w:szCs w:val="22"/>
        </w:rPr>
        <w:t>§ 15.37 Transition provisions for compliance with this part.</w:t>
      </w:r>
    </w:p>
    <w:p w:rsidR="00E239C2" w:rsidP="00DB06E7" w14:paraId="0E7E21F8" w14:textId="3C365E75">
      <w:pPr>
        <w:rPr>
          <w:b/>
          <w:bCs/>
          <w:kern w:val="0"/>
          <w:szCs w:val="22"/>
        </w:rPr>
      </w:pPr>
    </w:p>
    <w:p w:rsidR="00E239C2" w:rsidP="00DB06E7" w14:paraId="0CD292B0" w14:textId="0D297307">
      <w:pPr>
        <w:rPr>
          <w:bCs/>
          <w:color w:val="000000"/>
        </w:rPr>
      </w:pPr>
      <w:r w:rsidRPr="00125BA5">
        <w:rPr>
          <w:b/>
          <w:bCs/>
          <w:kern w:val="0"/>
          <w:szCs w:val="22"/>
        </w:rPr>
        <w:t xml:space="preserve">* * * </w:t>
      </w:r>
      <w:r w:rsidR="00C23918">
        <w:rPr>
          <w:b/>
          <w:bCs/>
          <w:kern w:val="0"/>
          <w:szCs w:val="22"/>
        </w:rPr>
        <w:t>* *</w:t>
      </w:r>
    </w:p>
    <w:p w:rsidR="00DB06E7" w:rsidP="00DB06E7" w14:paraId="7E4FCF03" w14:textId="1CEDCDC7">
      <w:pPr>
        <w:rPr>
          <w:bCs/>
          <w:color w:val="000000"/>
        </w:rPr>
      </w:pPr>
    </w:p>
    <w:p w:rsidR="00E239C2" w:rsidRPr="004B3CEB" w:rsidP="00DB06E7" w14:paraId="69FC1A0A" w14:textId="1224CB8B">
      <w:pPr>
        <w:rPr>
          <w:kern w:val="0"/>
        </w:rPr>
      </w:pPr>
      <w:r>
        <w:rPr>
          <w:kern w:val="0"/>
          <w:szCs w:val="22"/>
        </w:rPr>
        <w:t>(</w:t>
      </w:r>
      <w:r w:rsidR="006F1CFA">
        <w:rPr>
          <w:kern w:val="0"/>
          <w:szCs w:val="22"/>
        </w:rPr>
        <w:t>r</w:t>
      </w:r>
      <w:r>
        <w:rPr>
          <w:kern w:val="0"/>
          <w:szCs w:val="22"/>
        </w:rPr>
        <w:t xml:space="preserve">) </w:t>
      </w:r>
      <w:r w:rsidR="00254346">
        <w:rPr>
          <w:kern w:val="0"/>
        </w:rPr>
        <w:t xml:space="preserve">Field disturbance sensor/radar devices </w:t>
      </w:r>
      <w:r w:rsidR="00E80E17">
        <w:rPr>
          <w:kern w:val="0"/>
        </w:rPr>
        <w:t xml:space="preserve">being marketed or </w:t>
      </w:r>
      <w:r w:rsidR="00254346">
        <w:rPr>
          <w:kern w:val="0"/>
        </w:rPr>
        <w:t xml:space="preserve">operating in the frequency band 57-64 GHz approved by Telecommunication Certification Bodies </w:t>
      </w:r>
      <w:r w:rsidRPr="008B1889" w:rsidR="00E82A64">
        <w:t>as being in compliance with previously adopted rules or waivers thereof</w:t>
      </w:r>
      <w:r w:rsidR="00E82A64">
        <w:rPr>
          <w:kern w:val="0"/>
        </w:rPr>
        <w:t xml:space="preserve"> </w:t>
      </w:r>
      <w:r w:rsidR="00254346">
        <w:rPr>
          <w:kern w:val="0"/>
        </w:rPr>
        <w:t xml:space="preserve">on or before </w:t>
      </w:r>
      <w:r w:rsidR="00254346">
        <w:rPr>
          <w:b/>
          <w:bCs/>
          <w:kern w:val="0"/>
        </w:rPr>
        <w:t>[six months after the effective date of the rules]</w:t>
      </w:r>
      <w:r w:rsidR="00254346">
        <w:rPr>
          <w:kern w:val="0"/>
        </w:rPr>
        <w:t xml:space="preserve"> may continue to </w:t>
      </w:r>
      <w:r w:rsidR="00E80E17">
        <w:rPr>
          <w:kern w:val="0"/>
        </w:rPr>
        <w:t xml:space="preserve">be marketed and </w:t>
      </w:r>
      <w:r w:rsidR="00254346">
        <w:rPr>
          <w:kern w:val="0"/>
        </w:rPr>
        <w:t>operate in accordance with their certifications. All other field disturbance sensor/radar devices shall comply with the requirements in § 15.255.</w:t>
      </w:r>
    </w:p>
    <w:p w:rsidR="00575EE4" w:rsidP="00DB06E7" w14:paraId="223A692C" w14:textId="77777777">
      <w:pPr>
        <w:rPr>
          <w:bCs/>
          <w:color w:val="000000"/>
        </w:rPr>
      </w:pPr>
    </w:p>
    <w:p w:rsidR="00575EE4" w:rsidP="00575EE4" w14:paraId="3B5F9802" w14:textId="77777777">
      <w:pPr>
        <w:rPr>
          <w:color w:val="000000"/>
        </w:rPr>
      </w:pPr>
      <w:r w:rsidRPr="00F13E1B">
        <w:rPr>
          <w:color w:val="000000"/>
        </w:rPr>
        <w:t>* * * * *</w:t>
      </w:r>
    </w:p>
    <w:p w:rsidR="00E239C2" w:rsidRPr="00125BA5" w:rsidP="00DB06E7" w14:paraId="7EA2B04D" w14:textId="77777777">
      <w:pPr>
        <w:rPr>
          <w:bCs/>
          <w:color w:val="000000"/>
        </w:rPr>
      </w:pPr>
    </w:p>
    <w:p w:rsidR="00F54D10" w:rsidRPr="00F13E1B" w:rsidP="00EF7007" w14:paraId="4581D6C9" w14:textId="63A719E9">
      <w:pPr>
        <w:pStyle w:val="ParaNum"/>
        <w:numPr>
          <w:ilvl w:val="0"/>
          <w:numId w:val="0"/>
        </w:numPr>
        <w:tabs>
          <w:tab w:val="left" w:pos="720"/>
          <w:tab w:val="left" w:pos="990"/>
        </w:tabs>
        <w:rPr>
          <w:b/>
          <w:color w:val="000000"/>
        </w:rPr>
      </w:pPr>
      <w:r>
        <w:rPr>
          <w:color w:val="000000" w:themeColor="text1"/>
        </w:rPr>
        <w:t>5</w:t>
      </w:r>
      <w:r w:rsidRPr="4291BD84" w:rsidR="001A63AF">
        <w:rPr>
          <w:color w:val="000000" w:themeColor="text1"/>
        </w:rPr>
        <w:t>.</w:t>
      </w:r>
      <w:r w:rsidR="00305E50">
        <w:rPr>
          <w:color w:val="000000" w:themeColor="text1"/>
        </w:rPr>
        <w:tab/>
      </w:r>
      <w:r w:rsidRPr="4291BD84">
        <w:rPr>
          <w:color w:val="000000" w:themeColor="text1"/>
        </w:rPr>
        <w:t xml:space="preserve">Section 15.255 is amended by </w:t>
      </w:r>
      <w:r w:rsidR="00C30A5B">
        <w:rPr>
          <w:color w:val="000000" w:themeColor="text1"/>
        </w:rPr>
        <w:t xml:space="preserve">adding </w:t>
      </w:r>
      <w:r w:rsidR="0044753C">
        <w:rPr>
          <w:color w:val="000000" w:themeColor="text1"/>
        </w:rPr>
        <w:t>headings</w:t>
      </w:r>
      <w:r w:rsidR="00C30A5B">
        <w:rPr>
          <w:color w:val="000000" w:themeColor="text1"/>
        </w:rPr>
        <w:t xml:space="preserve"> to paragraphs (b)</w:t>
      </w:r>
      <w:r w:rsidR="009A2B97">
        <w:rPr>
          <w:color w:val="000000" w:themeColor="text1"/>
        </w:rPr>
        <w:t xml:space="preserve">, </w:t>
      </w:r>
      <w:r w:rsidR="00F20A31">
        <w:rPr>
          <w:color w:val="000000" w:themeColor="text1"/>
        </w:rPr>
        <w:t xml:space="preserve">(g), </w:t>
      </w:r>
      <w:r w:rsidR="00E02E5E">
        <w:rPr>
          <w:color w:val="000000" w:themeColor="text1"/>
        </w:rPr>
        <w:t xml:space="preserve">and </w:t>
      </w:r>
      <w:r w:rsidR="00F20A31">
        <w:rPr>
          <w:color w:val="000000" w:themeColor="text1"/>
        </w:rPr>
        <w:t>(h)</w:t>
      </w:r>
      <w:r w:rsidR="00E02E5E">
        <w:rPr>
          <w:color w:val="000000" w:themeColor="text1"/>
        </w:rPr>
        <w:t xml:space="preserve">, </w:t>
      </w:r>
      <w:r w:rsidRPr="4291BD84">
        <w:rPr>
          <w:color w:val="000000" w:themeColor="text1"/>
        </w:rPr>
        <w:t>revising paragraph (a)</w:t>
      </w:r>
      <w:r w:rsidR="00517E37">
        <w:rPr>
          <w:color w:val="000000" w:themeColor="text1"/>
        </w:rPr>
        <w:t xml:space="preserve"> and</w:t>
      </w:r>
      <w:r w:rsidRPr="4291BD84">
        <w:rPr>
          <w:color w:val="000000" w:themeColor="text1"/>
        </w:rPr>
        <w:t xml:space="preserve"> </w:t>
      </w:r>
      <w:r w:rsidR="005E3AC1">
        <w:rPr>
          <w:color w:val="000000" w:themeColor="text1"/>
        </w:rPr>
        <w:t>removing paragraphs (a)(1) and (a)(2)</w:t>
      </w:r>
      <w:r w:rsidR="001B350E">
        <w:rPr>
          <w:color w:val="000000" w:themeColor="text1"/>
        </w:rPr>
        <w:t xml:space="preserve">; </w:t>
      </w:r>
      <w:r w:rsidRPr="4291BD84" w:rsidR="005E29CE">
        <w:rPr>
          <w:color w:val="000000" w:themeColor="text1"/>
        </w:rPr>
        <w:t>amending</w:t>
      </w:r>
      <w:r w:rsidRPr="4291BD84" w:rsidR="001A63AF">
        <w:rPr>
          <w:color w:val="000000" w:themeColor="text1"/>
        </w:rPr>
        <w:t xml:space="preserve"> paragraph (b) by </w:t>
      </w:r>
      <w:r w:rsidR="003F546F">
        <w:rPr>
          <w:color w:val="000000" w:themeColor="text1"/>
        </w:rPr>
        <w:t xml:space="preserve">revising </w:t>
      </w:r>
      <w:r w:rsidR="00B85618">
        <w:rPr>
          <w:color w:val="000000" w:themeColor="text1"/>
        </w:rPr>
        <w:t xml:space="preserve">paragraph (b)(2)(ii), </w:t>
      </w:r>
      <w:r w:rsidRPr="4291BD84">
        <w:rPr>
          <w:color w:val="000000" w:themeColor="text1"/>
        </w:rPr>
        <w:t>adding paragraphs (b)(2)(iii)</w:t>
      </w:r>
      <w:r w:rsidRPr="4291BD84" w:rsidR="00B259FC">
        <w:rPr>
          <w:color w:val="000000" w:themeColor="text1"/>
        </w:rPr>
        <w:t xml:space="preserve"> and (b)(3)</w:t>
      </w:r>
      <w:r w:rsidRPr="4291BD84" w:rsidR="00E61A7E">
        <w:rPr>
          <w:color w:val="000000" w:themeColor="text1"/>
        </w:rPr>
        <w:t>;</w:t>
      </w:r>
      <w:r w:rsidRPr="4291BD84">
        <w:rPr>
          <w:color w:val="000000" w:themeColor="text1"/>
        </w:rPr>
        <w:t xml:space="preserve"> amending </w:t>
      </w:r>
      <w:r w:rsidRPr="4291BD84" w:rsidR="00467847">
        <w:rPr>
          <w:color w:val="000000" w:themeColor="text1"/>
        </w:rPr>
        <w:t xml:space="preserve">paragraph </w:t>
      </w:r>
      <w:r w:rsidRPr="4291BD84">
        <w:rPr>
          <w:color w:val="000000" w:themeColor="text1"/>
        </w:rPr>
        <w:t xml:space="preserve">(c) </w:t>
      </w:r>
      <w:r w:rsidRPr="4291BD84" w:rsidR="00C22523">
        <w:rPr>
          <w:color w:val="000000" w:themeColor="text1"/>
        </w:rPr>
        <w:t xml:space="preserve">by </w:t>
      </w:r>
      <w:r w:rsidRPr="4291BD84" w:rsidR="00652BD7">
        <w:rPr>
          <w:color w:val="000000" w:themeColor="text1"/>
        </w:rPr>
        <w:t xml:space="preserve">revising the introductory </w:t>
      </w:r>
      <w:r w:rsidRPr="4291BD84" w:rsidR="00105650">
        <w:rPr>
          <w:color w:val="000000" w:themeColor="text1"/>
        </w:rPr>
        <w:t>sentence</w:t>
      </w:r>
      <w:r w:rsidRPr="4291BD84" w:rsidR="00652BD7">
        <w:rPr>
          <w:color w:val="000000" w:themeColor="text1"/>
        </w:rPr>
        <w:t>,</w:t>
      </w:r>
      <w:r w:rsidR="003C1D75">
        <w:rPr>
          <w:color w:val="000000" w:themeColor="text1"/>
        </w:rPr>
        <w:t xml:space="preserve"> and</w:t>
      </w:r>
      <w:r w:rsidRPr="4291BD84" w:rsidR="00652BD7">
        <w:rPr>
          <w:color w:val="000000" w:themeColor="text1"/>
        </w:rPr>
        <w:t xml:space="preserve"> </w:t>
      </w:r>
      <w:r w:rsidRPr="4291BD84" w:rsidR="00105650">
        <w:rPr>
          <w:color w:val="000000" w:themeColor="text1"/>
        </w:rPr>
        <w:t>revising paragraph</w:t>
      </w:r>
      <w:r w:rsidRPr="4291BD84" w:rsidR="00D710E1">
        <w:rPr>
          <w:color w:val="000000" w:themeColor="text1"/>
        </w:rPr>
        <w:t>s</w:t>
      </w:r>
      <w:r w:rsidRPr="4291BD84" w:rsidR="00105650">
        <w:rPr>
          <w:color w:val="000000" w:themeColor="text1"/>
        </w:rPr>
        <w:t xml:space="preserve"> (c)(1)</w:t>
      </w:r>
      <w:r w:rsidR="006C039B">
        <w:rPr>
          <w:color w:val="000000" w:themeColor="text1"/>
        </w:rPr>
        <w:t xml:space="preserve"> through </w:t>
      </w:r>
      <w:r w:rsidRPr="4291BD84" w:rsidR="00293810">
        <w:rPr>
          <w:color w:val="000000" w:themeColor="text1"/>
        </w:rPr>
        <w:t>(</w:t>
      </w:r>
      <w:r w:rsidRPr="4291BD84" w:rsidR="00715EEE">
        <w:rPr>
          <w:color w:val="000000" w:themeColor="text1"/>
        </w:rPr>
        <w:t>4</w:t>
      </w:r>
      <w:r w:rsidR="00D10819">
        <w:rPr>
          <w:color w:val="000000" w:themeColor="text1"/>
        </w:rPr>
        <w:t>)</w:t>
      </w:r>
      <w:r w:rsidRPr="4291BD84" w:rsidR="00E61A7E">
        <w:rPr>
          <w:color w:val="000000" w:themeColor="text1"/>
        </w:rPr>
        <w:t>;</w:t>
      </w:r>
      <w:r w:rsidRPr="4291BD84" w:rsidR="0057669A">
        <w:rPr>
          <w:color w:val="000000" w:themeColor="text1"/>
        </w:rPr>
        <w:t xml:space="preserve"> </w:t>
      </w:r>
      <w:r w:rsidR="005142BA">
        <w:rPr>
          <w:color w:val="000000" w:themeColor="text1"/>
        </w:rPr>
        <w:t>turning the introductory text to paragraph (d) into an italicized heading</w:t>
      </w:r>
      <w:r w:rsidR="0071294A">
        <w:rPr>
          <w:color w:val="000000" w:themeColor="text1"/>
        </w:rPr>
        <w:t>,</w:t>
      </w:r>
      <w:r w:rsidRPr="4291BD84" w:rsidR="005142BA">
        <w:rPr>
          <w:color w:val="000000" w:themeColor="text1"/>
        </w:rPr>
        <w:t xml:space="preserve"> </w:t>
      </w:r>
      <w:r w:rsidRPr="4291BD84" w:rsidR="00C47207">
        <w:rPr>
          <w:color w:val="000000" w:themeColor="text1"/>
        </w:rPr>
        <w:t>amending paragraph</w:t>
      </w:r>
      <w:r w:rsidRPr="4291BD84">
        <w:rPr>
          <w:color w:val="000000" w:themeColor="text1"/>
        </w:rPr>
        <w:t xml:space="preserve"> (e)</w:t>
      </w:r>
      <w:r w:rsidRPr="4291BD84" w:rsidR="00D710E1">
        <w:rPr>
          <w:color w:val="000000" w:themeColor="text1"/>
        </w:rPr>
        <w:t xml:space="preserve"> by </w:t>
      </w:r>
      <w:r w:rsidRPr="4291BD84" w:rsidR="00F342F8">
        <w:rPr>
          <w:color w:val="000000" w:themeColor="text1"/>
        </w:rPr>
        <w:t>re</w:t>
      </w:r>
      <w:r w:rsidR="00F342F8">
        <w:rPr>
          <w:color w:val="000000" w:themeColor="text1"/>
        </w:rPr>
        <w:t>vising</w:t>
      </w:r>
      <w:r w:rsidRPr="4291BD84" w:rsidR="00F342F8">
        <w:rPr>
          <w:color w:val="000000" w:themeColor="text1"/>
        </w:rPr>
        <w:t xml:space="preserve"> </w:t>
      </w:r>
      <w:r w:rsidRPr="4291BD84" w:rsidR="00DB4063">
        <w:rPr>
          <w:color w:val="000000" w:themeColor="text1"/>
        </w:rPr>
        <w:t xml:space="preserve">the introductory paragraph, </w:t>
      </w:r>
      <w:r w:rsidR="00600609">
        <w:rPr>
          <w:color w:val="000000" w:themeColor="text1"/>
        </w:rPr>
        <w:t xml:space="preserve">adding </w:t>
      </w:r>
      <w:r w:rsidRPr="4291BD84" w:rsidR="00DB4063">
        <w:rPr>
          <w:color w:val="000000" w:themeColor="text1"/>
        </w:rPr>
        <w:t>paragraph</w:t>
      </w:r>
      <w:r w:rsidR="009F6842">
        <w:rPr>
          <w:color w:val="000000" w:themeColor="text1"/>
        </w:rPr>
        <w:t>s</w:t>
      </w:r>
      <w:r w:rsidRPr="4291BD84" w:rsidR="00DB4063">
        <w:rPr>
          <w:color w:val="000000" w:themeColor="text1"/>
        </w:rPr>
        <w:t xml:space="preserve"> (e)(1)</w:t>
      </w:r>
      <w:r w:rsidR="009F6842">
        <w:rPr>
          <w:color w:val="000000" w:themeColor="text1"/>
        </w:rPr>
        <w:t xml:space="preserve"> and</w:t>
      </w:r>
      <w:r w:rsidR="006C039B">
        <w:rPr>
          <w:color w:val="000000" w:themeColor="text1"/>
        </w:rPr>
        <w:t xml:space="preserve"> </w:t>
      </w:r>
      <w:r w:rsidRPr="4291BD84" w:rsidR="00A52B85">
        <w:rPr>
          <w:color w:val="000000" w:themeColor="text1"/>
        </w:rPr>
        <w:t xml:space="preserve">(2), </w:t>
      </w:r>
      <w:r w:rsidR="00F342F8">
        <w:rPr>
          <w:color w:val="000000" w:themeColor="text1"/>
        </w:rPr>
        <w:t xml:space="preserve">and removing paragraph (e)(3); </w:t>
      </w:r>
      <w:r w:rsidRPr="4291BD84" w:rsidR="00F576E0">
        <w:rPr>
          <w:color w:val="000000" w:themeColor="text1"/>
        </w:rPr>
        <w:t xml:space="preserve">and </w:t>
      </w:r>
      <w:r w:rsidR="000954C9">
        <w:rPr>
          <w:color w:val="000000" w:themeColor="text1"/>
        </w:rPr>
        <w:t>revising paragraph (i)</w:t>
      </w:r>
      <w:r w:rsidR="00B6380E">
        <w:rPr>
          <w:color w:val="000000" w:themeColor="text1"/>
        </w:rPr>
        <w:t>,</w:t>
      </w:r>
      <w:r w:rsidR="000954C9">
        <w:rPr>
          <w:color w:val="000000" w:themeColor="text1"/>
        </w:rPr>
        <w:t xml:space="preserve"> </w:t>
      </w:r>
      <w:r w:rsidR="003C1D75">
        <w:rPr>
          <w:color w:val="000000" w:themeColor="text1"/>
        </w:rPr>
        <w:t xml:space="preserve">and </w:t>
      </w:r>
      <w:r w:rsidRPr="4291BD84" w:rsidR="00F576E0">
        <w:rPr>
          <w:color w:val="000000" w:themeColor="text1"/>
        </w:rPr>
        <w:t>adding paragraph</w:t>
      </w:r>
      <w:r w:rsidR="00600609">
        <w:rPr>
          <w:color w:val="000000" w:themeColor="text1"/>
        </w:rPr>
        <w:t>s</w:t>
      </w:r>
      <w:r w:rsidRPr="4291BD84" w:rsidR="00F576E0">
        <w:rPr>
          <w:color w:val="000000" w:themeColor="text1"/>
        </w:rPr>
        <w:t xml:space="preserve"> (</w:t>
      </w:r>
      <w:r w:rsidR="00600609">
        <w:rPr>
          <w:color w:val="000000" w:themeColor="text1"/>
        </w:rPr>
        <w:t>i</w:t>
      </w:r>
      <w:r w:rsidRPr="4291BD84" w:rsidR="00F576E0">
        <w:rPr>
          <w:color w:val="000000" w:themeColor="text1"/>
        </w:rPr>
        <w:t>)(</w:t>
      </w:r>
      <w:r w:rsidR="00F342F8">
        <w:rPr>
          <w:color w:val="000000" w:themeColor="text1"/>
        </w:rPr>
        <w:t>1</w:t>
      </w:r>
      <w:r w:rsidRPr="4291BD84" w:rsidR="00F576E0">
        <w:rPr>
          <w:color w:val="000000" w:themeColor="text1"/>
        </w:rPr>
        <w:t>)</w:t>
      </w:r>
      <w:r w:rsidR="00F342F8">
        <w:rPr>
          <w:color w:val="000000" w:themeColor="text1"/>
        </w:rPr>
        <w:t xml:space="preserve"> and (2)</w:t>
      </w:r>
      <w:r w:rsidR="00841935">
        <w:rPr>
          <w:color w:val="000000" w:themeColor="text1"/>
        </w:rPr>
        <w:t xml:space="preserve"> </w:t>
      </w:r>
      <w:r w:rsidRPr="4291BD84">
        <w:rPr>
          <w:color w:val="000000" w:themeColor="text1"/>
        </w:rPr>
        <w:t xml:space="preserve">to read as follows: </w:t>
      </w:r>
    </w:p>
    <w:p w:rsidR="00F54D10" w:rsidRPr="00F91289" w:rsidP="00F54D10" w14:paraId="2119B510" w14:textId="77777777">
      <w:pPr>
        <w:spacing w:before="240" w:after="120"/>
        <w:rPr>
          <w:color w:val="000000"/>
        </w:rPr>
      </w:pPr>
      <w:r w:rsidRPr="00F91289">
        <w:rPr>
          <w:b/>
          <w:color w:val="000000"/>
        </w:rPr>
        <w:t xml:space="preserve">§ 15.255  </w:t>
      </w:r>
      <w:r w:rsidRPr="00F91289">
        <w:rPr>
          <w:b/>
          <w:bCs/>
          <w:snapToGrid/>
          <w:color w:val="000000"/>
          <w:kern w:val="0"/>
          <w:szCs w:val="22"/>
        </w:rPr>
        <w:t>Operation within the band 57-71 GHz.</w:t>
      </w:r>
    </w:p>
    <w:p w:rsidR="00F54D10" w:rsidP="00F54D10" w14:paraId="7243EAB2" w14:textId="663E2FBB">
      <w:pPr>
        <w:widowControl/>
        <w:shd w:val="clear" w:color="auto" w:fill="FFFFFF"/>
        <w:spacing w:before="100" w:beforeAutospacing="1" w:after="100" w:afterAutospacing="1"/>
        <w:rPr>
          <w:snapToGrid/>
          <w:color w:val="000000"/>
          <w:kern w:val="0"/>
          <w:szCs w:val="22"/>
        </w:rPr>
      </w:pPr>
      <w:r w:rsidRPr="00F13E1B">
        <w:rPr>
          <w:snapToGrid/>
          <w:color w:val="000000"/>
          <w:kern w:val="0"/>
          <w:szCs w:val="22"/>
        </w:rPr>
        <w:t xml:space="preserve">(a) </w:t>
      </w:r>
      <w:r w:rsidR="007432A2">
        <w:rPr>
          <w:i/>
          <w:iCs/>
          <w:snapToGrid/>
          <w:color w:val="000000"/>
          <w:kern w:val="0"/>
          <w:szCs w:val="22"/>
        </w:rPr>
        <w:t xml:space="preserve">General.  </w:t>
      </w:r>
      <w:r w:rsidRPr="00F13E1B">
        <w:rPr>
          <w:snapToGrid/>
          <w:color w:val="000000"/>
          <w:kern w:val="0"/>
          <w:szCs w:val="22"/>
        </w:rPr>
        <w:t xml:space="preserve">Operation under the provisions of this section is not permitted for equipment used on satellites. </w:t>
      </w:r>
    </w:p>
    <w:p w:rsidR="00F54D10" w:rsidP="00F54D10" w14:paraId="4AB6291B" w14:textId="250224F9">
      <w:pPr>
        <w:rPr>
          <w:color w:val="000000"/>
        </w:rPr>
      </w:pPr>
      <w:r w:rsidRPr="00F13E1B">
        <w:rPr>
          <w:color w:val="000000"/>
        </w:rPr>
        <w:t>(b)</w:t>
      </w:r>
      <w:r>
        <w:rPr>
          <w:color w:val="000000"/>
        </w:rPr>
        <w:t xml:space="preserve"> </w:t>
      </w:r>
      <w:r w:rsidR="00C30A5B">
        <w:rPr>
          <w:i/>
          <w:iCs/>
          <w:color w:val="000000"/>
        </w:rPr>
        <w:t xml:space="preserve">Operation on aircraft.  </w:t>
      </w:r>
      <w:r w:rsidRPr="00F13E1B">
        <w:rPr>
          <w:color w:val="000000"/>
        </w:rPr>
        <w:t xml:space="preserve">* * * </w:t>
      </w:r>
    </w:p>
    <w:p w:rsidR="00F54D10" w:rsidP="00F54D10" w14:paraId="4953CB52" w14:textId="77777777">
      <w:pPr>
        <w:rPr>
          <w:color w:val="000000"/>
        </w:rPr>
      </w:pPr>
    </w:p>
    <w:p w:rsidR="00D92E34" w:rsidRPr="00F13E1B" w:rsidP="00AC2D40" w14:paraId="3D2B9CF2" w14:textId="4309E4D3">
      <w:pPr>
        <w:widowControl/>
        <w:shd w:val="clear" w:color="auto" w:fill="FFFFFF"/>
        <w:rPr>
          <w:snapToGrid/>
          <w:color w:val="000000"/>
          <w:kern w:val="0"/>
          <w:szCs w:val="22"/>
        </w:rPr>
      </w:pPr>
      <w:r>
        <w:rPr>
          <w:snapToGrid/>
          <w:color w:val="000000"/>
          <w:kern w:val="0"/>
          <w:szCs w:val="22"/>
        </w:rPr>
        <w:t>(1) * * *</w:t>
      </w:r>
      <w:r w:rsidR="001A0CB5">
        <w:rPr>
          <w:snapToGrid/>
          <w:color w:val="000000"/>
          <w:kern w:val="0"/>
          <w:szCs w:val="22"/>
        </w:rPr>
        <w:t xml:space="preserve"> </w:t>
      </w:r>
    </w:p>
    <w:p w:rsidR="00D92E34" w:rsidP="00F54D10" w14:paraId="2D9415BC" w14:textId="77777777">
      <w:pPr>
        <w:rPr>
          <w:color w:val="000000"/>
        </w:rPr>
      </w:pPr>
    </w:p>
    <w:p w:rsidR="003369C3" w:rsidP="003625CD" w14:paraId="06687650" w14:textId="4D55E756">
      <w:pPr>
        <w:pStyle w:val="ListParagraph"/>
        <w:spacing w:line="480" w:lineRule="auto"/>
        <w:ind w:left="0"/>
        <w:rPr>
          <w:color w:val="000000"/>
        </w:rPr>
      </w:pPr>
      <w:r>
        <w:rPr>
          <w:color w:val="000000"/>
        </w:rPr>
        <w:t>(2)</w:t>
      </w:r>
      <w:r w:rsidR="001A0CB5">
        <w:rPr>
          <w:color w:val="000000"/>
        </w:rPr>
        <w:t xml:space="preserve"> * * * </w:t>
      </w:r>
    </w:p>
    <w:p w:rsidR="007C5CAF" w:rsidP="007C5CAF" w14:paraId="07F5327E" w14:textId="6E03B238">
      <w:pPr>
        <w:pStyle w:val="ListParagraph"/>
        <w:spacing w:line="480" w:lineRule="auto"/>
        <w:ind w:left="0"/>
        <w:rPr>
          <w:color w:val="000000"/>
        </w:rPr>
      </w:pPr>
      <w:r>
        <w:rPr>
          <w:color w:val="000000"/>
        </w:rPr>
        <w:t>(i)</w:t>
      </w:r>
      <w:r w:rsidRPr="007C5CAF">
        <w:rPr>
          <w:color w:val="000000"/>
        </w:rPr>
        <w:t xml:space="preserve"> </w:t>
      </w:r>
      <w:r>
        <w:rPr>
          <w:color w:val="000000"/>
        </w:rPr>
        <w:t xml:space="preserve">* * * </w:t>
      </w:r>
    </w:p>
    <w:p w:rsidR="001A0CB5" w:rsidP="002E1B55" w14:paraId="5905A702" w14:textId="2FC052E5">
      <w:pPr>
        <w:pStyle w:val="ListParagraph"/>
        <w:ind w:left="0"/>
        <w:rPr>
          <w:color w:val="000000"/>
          <w:kern w:val="0"/>
          <w:szCs w:val="22"/>
        </w:rPr>
      </w:pPr>
      <w:r>
        <w:rPr>
          <w:color w:val="000000"/>
        </w:rPr>
        <w:t xml:space="preserve">(ii) </w:t>
      </w:r>
      <w:r w:rsidR="002E1B55">
        <w:rPr>
          <w:color w:val="000000"/>
          <w:kern w:val="0"/>
          <w:szCs w:val="22"/>
        </w:rPr>
        <w:t>Except as p</w:t>
      </w:r>
      <w:r w:rsidR="006F3D77">
        <w:rPr>
          <w:color w:val="000000"/>
          <w:kern w:val="0"/>
          <w:szCs w:val="22"/>
        </w:rPr>
        <w:t>ermitted</w:t>
      </w:r>
      <w:r w:rsidR="002E1B55">
        <w:rPr>
          <w:color w:val="000000"/>
          <w:kern w:val="0"/>
          <w:szCs w:val="22"/>
        </w:rPr>
        <w:t xml:space="preserve"> in </w:t>
      </w:r>
      <w:r w:rsidR="00C01EE9">
        <w:rPr>
          <w:color w:val="000000"/>
          <w:kern w:val="0"/>
          <w:szCs w:val="22"/>
        </w:rPr>
        <w:t>paragraph</w:t>
      </w:r>
      <w:r w:rsidR="002E1B55">
        <w:rPr>
          <w:color w:val="000000"/>
          <w:kern w:val="0"/>
          <w:szCs w:val="22"/>
        </w:rPr>
        <w:t xml:space="preserve"> (b)(3)</w:t>
      </w:r>
      <w:r w:rsidR="000365B1">
        <w:rPr>
          <w:color w:val="000000"/>
          <w:kern w:val="0"/>
          <w:szCs w:val="22"/>
        </w:rPr>
        <w:t xml:space="preserve"> of this section</w:t>
      </w:r>
      <w:r w:rsidR="002E1B55">
        <w:rPr>
          <w:color w:val="000000"/>
          <w:kern w:val="0"/>
          <w:szCs w:val="22"/>
        </w:rPr>
        <w:t>, e</w:t>
      </w:r>
      <w:r w:rsidRPr="00DF2D03" w:rsidR="002E1B55">
        <w:rPr>
          <w:color w:val="000000"/>
          <w:kern w:val="0"/>
          <w:szCs w:val="22"/>
        </w:rPr>
        <w:t>quipment shall not be used on aircraft where there is little attenuation of RF signals by the body/fuselage of the aircraft.</w:t>
      </w:r>
    </w:p>
    <w:p w:rsidR="002E1B55" w:rsidRPr="007C59DE" w:rsidP="002E1B55" w14:paraId="3A6959F2" w14:textId="77777777">
      <w:pPr>
        <w:pStyle w:val="ListParagraph"/>
        <w:ind w:left="0"/>
        <w:rPr>
          <w:color w:val="000000"/>
        </w:rPr>
      </w:pPr>
    </w:p>
    <w:p w:rsidR="00F54D10" w:rsidP="002E1B55" w14:paraId="27A2B2AB" w14:textId="1C99F882">
      <w:pPr>
        <w:widowControl/>
        <w:shd w:val="clear" w:color="auto" w:fill="FFFFFF"/>
        <w:rPr>
          <w:snapToGrid/>
          <w:color w:val="000000"/>
          <w:kern w:val="0"/>
          <w:szCs w:val="22"/>
        </w:rPr>
      </w:pPr>
      <w:r>
        <w:rPr>
          <w:snapToGrid/>
          <w:color w:val="000000"/>
          <w:kern w:val="0"/>
          <w:szCs w:val="22"/>
        </w:rPr>
        <w:t xml:space="preserve">(iii) Field </w:t>
      </w:r>
      <w:r w:rsidR="00935F3E">
        <w:rPr>
          <w:snapToGrid/>
          <w:color w:val="000000"/>
          <w:kern w:val="0"/>
          <w:szCs w:val="22"/>
        </w:rPr>
        <w:t>d</w:t>
      </w:r>
      <w:r>
        <w:rPr>
          <w:snapToGrid/>
          <w:color w:val="000000"/>
          <w:kern w:val="0"/>
          <w:szCs w:val="22"/>
        </w:rPr>
        <w:t xml:space="preserve">isturbance </w:t>
      </w:r>
      <w:r w:rsidR="00935F3E">
        <w:rPr>
          <w:snapToGrid/>
          <w:color w:val="000000"/>
          <w:kern w:val="0"/>
          <w:szCs w:val="22"/>
        </w:rPr>
        <w:t>s</w:t>
      </w:r>
      <w:r>
        <w:rPr>
          <w:snapToGrid/>
          <w:color w:val="000000"/>
          <w:kern w:val="0"/>
          <w:szCs w:val="22"/>
        </w:rPr>
        <w:t xml:space="preserve">ensor/radar devices may only operate </w:t>
      </w:r>
      <w:r w:rsidR="004371F9">
        <w:rPr>
          <w:snapToGrid/>
          <w:color w:val="000000"/>
          <w:kern w:val="0"/>
          <w:szCs w:val="22"/>
        </w:rPr>
        <w:t xml:space="preserve">in the </w:t>
      </w:r>
      <w:r w:rsidR="00E00CEC">
        <w:rPr>
          <w:snapToGrid/>
          <w:color w:val="000000"/>
          <w:kern w:val="0"/>
          <w:szCs w:val="22"/>
        </w:rPr>
        <w:t xml:space="preserve">frequency band </w:t>
      </w:r>
      <w:r w:rsidR="004371F9">
        <w:rPr>
          <w:snapToGrid/>
          <w:color w:val="000000"/>
          <w:kern w:val="0"/>
          <w:szCs w:val="22"/>
        </w:rPr>
        <w:t xml:space="preserve">59.3-71.0 GHz </w:t>
      </w:r>
      <w:r>
        <w:rPr>
          <w:snapToGrid/>
          <w:color w:val="000000"/>
          <w:kern w:val="0"/>
          <w:szCs w:val="22"/>
        </w:rPr>
        <w:t xml:space="preserve">while installed in passengers’ </w:t>
      </w:r>
      <w:r w:rsidR="00CD77B1">
        <w:rPr>
          <w:snapToGrid/>
          <w:color w:val="000000"/>
          <w:kern w:val="0"/>
          <w:szCs w:val="22"/>
        </w:rPr>
        <w:t xml:space="preserve">personal </w:t>
      </w:r>
      <w:r>
        <w:rPr>
          <w:snapToGrid/>
          <w:color w:val="000000"/>
          <w:kern w:val="0"/>
          <w:szCs w:val="22"/>
        </w:rPr>
        <w:t>portable electronic equipment (e.g., smartphones, tablets) and shall comply with paragraph (b)(2)(i) of this section</w:t>
      </w:r>
      <w:r w:rsidRPr="4039F5B4" w:rsidR="00AE1FA2">
        <w:rPr>
          <w:color w:val="000000" w:themeColor="text1"/>
        </w:rPr>
        <w:t>, and relevant requirements of paragraphs (c)(2)</w:t>
      </w:r>
      <w:r w:rsidR="006C039B">
        <w:rPr>
          <w:color w:val="000000" w:themeColor="text1"/>
        </w:rPr>
        <w:t xml:space="preserve"> through </w:t>
      </w:r>
      <w:r w:rsidRPr="4039F5B4" w:rsidR="00AE1FA2">
        <w:rPr>
          <w:color w:val="000000" w:themeColor="text1"/>
        </w:rPr>
        <w:t>(</w:t>
      </w:r>
      <w:r w:rsidR="00830ABC">
        <w:rPr>
          <w:color w:val="000000" w:themeColor="text1"/>
        </w:rPr>
        <w:t>4</w:t>
      </w:r>
      <w:r w:rsidRPr="4039F5B4" w:rsidR="00AE1FA2">
        <w:rPr>
          <w:color w:val="000000" w:themeColor="text1"/>
        </w:rPr>
        <w:t>) of this section</w:t>
      </w:r>
      <w:r>
        <w:rPr>
          <w:snapToGrid/>
          <w:color w:val="000000"/>
          <w:kern w:val="0"/>
          <w:szCs w:val="22"/>
        </w:rPr>
        <w:t>.</w:t>
      </w:r>
    </w:p>
    <w:p w:rsidR="00A2389F" w:rsidRPr="00DF2D03" w:rsidP="00AC2D40" w14:paraId="297BD79C" w14:textId="739287A0">
      <w:pPr>
        <w:widowControl/>
        <w:shd w:val="clear" w:color="auto" w:fill="FFFFFF"/>
        <w:spacing w:before="100" w:beforeAutospacing="1" w:after="100" w:afterAutospacing="1"/>
        <w:rPr>
          <w:snapToGrid/>
          <w:color w:val="000000"/>
          <w:kern w:val="0"/>
          <w:szCs w:val="22"/>
        </w:rPr>
      </w:pPr>
      <w:r>
        <w:rPr>
          <w:snapToGrid/>
          <w:color w:val="000000"/>
          <w:kern w:val="0"/>
          <w:szCs w:val="22"/>
        </w:rPr>
        <w:t xml:space="preserve">(3) </w:t>
      </w:r>
      <w:r w:rsidR="00AA04AB">
        <w:t>Field disturbance sensors/radar devices deployed on unmanned aircraft may operate within the frequency band 60-64 GHz, provided that the transmitter not exceed 20 dBm peak EIRP. The sum of continuous transmitter off-times of at least two milliseconds shall equal at least 16.5 milliseconds within any contiguous interval of 33 milliseconds. Operation shall be limited to a maximum of 121.92 meters (400 feet) above ground level.</w:t>
      </w:r>
      <w:r w:rsidR="00FC073F">
        <w:t xml:space="preserve"> </w:t>
      </w:r>
    </w:p>
    <w:p w:rsidR="00F54D10" w:rsidRPr="00F13E1B" w:rsidP="5F9A46A6" w14:paraId="27AD1C8B" w14:textId="59DF462D">
      <w:pPr>
        <w:widowControl/>
        <w:shd w:val="clear" w:color="auto" w:fill="FFFFFF" w:themeFill="background1"/>
        <w:spacing w:before="100" w:beforeAutospacing="1" w:after="100" w:afterAutospacing="1"/>
        <w:rPr>
          <w:snapToGrid/>
          <w:color w:val="000000"/>
          <w:kern w:val="0"/>
        </w:rPr>
      </w:pPr>
      <w:r w:rsidRPr="5F9A46A6">
        <w:rPr>
          <w:snapToGrid/>
          <w:color w:val="000000"/>
          <w:kern w:val="0"/>
        </w:rPr>
        <w:t xml:space="preserve">(c) </w:t>
      </w:r>
      <w:r w:rsidRPr="5F9A46A6">
        <w:rPr>
          <w:i/>
          <w:snapToGrid/>
          <w:color w:val="000000"/>
          <w:kern w:val="0"/>
        </w:rPr>
        <w:t>Radiated</w:t>
      </w:r>
      <w:r w:rsidRPr="5F9A46A6">
        <w:rPr>
          <w:snapToGrid/>
          <w:color w:val="000000"/>
          <w:kern w:val="0"/>
        </w:rPr>
        <w:t xml:space="preserve"> </w:t>
      </w:r>
      <w:r w:rsidR="006C039B">
        <w:rPr>
          <w:i/>
          <w:snapToGrid/>
          <w:color w:val="000000"/>
          <w:kern w:val="0"/>
        </w:rPr>
        <w:t>p</w:t>
      </w:r>
      <w:r w:rsidRPr="5F9A46A6">
        <w:rPr>
          <w:i/>
          <w:snapToGrid/>
          <w:color w:val="000000"/>
          <w:kern w:val="0"/>
        </w:rPr>
        <w:t xml:space="preserve">ower </w:t>
      </w:r>
      <w:r w:rsidR="006C039B">
        <w:rPr>
          <w:i/>
          <w:snapToGrid/>
          <w:color w:val="000000"/>
          <w:kern w:val="0"/>
        </w:rPr>
        <w:t>l</w:t>
      </w:r>
      <w:r w:rsidRPr="5F9A46A6">
        <w:rPr>
          <w:i/>
          <w:snapToGrid/>
          <w:color w:val="000000"/>
          <w:kern w:val="0"/>
        </w:rPr>
        <w:t>imits</w:t>
      </w:r>
      <w:r w:rsidRPr="5F9A46A6">
        <w:rPr>
          <w:snapToGrid/>
          <w:color w:val="000000"/>
          <w:kern w:val="0"/>
        </w:rPr>
        <w:t xml:space="preserve">. Within the 57-71 GHz band, emission levels shall not exceed the following equivalent </w:t>
      </w:r>
      <w:r w:rsidRPr="5F9A46A6">
        <w:rPr>
          <w:snapToGrid/>
          <w:color w:val="000000"/>
          <w:kern w:val="0"/>
        </w:rPr>
        <w:t>isotropically</w:t>
      </w:r>
      <w:r w:rsidRPr="5F9A46A6">
        <w:rPr>
          <w:snapToGrid/>
          <w:color w:val="000000"/>
          <w:kern w:val="0"/>
        </w:rPr>
        <w:t xml:space="preserve"> radiated power (EIRP): </w:t>
      </w:r>
    </w:p>
    <w:p w:rsidR="00F54D10" w:rsidP="00F54D10" w14:paraId="372CD2D8" w14:textId="5769E854">
      <w:pPr>
        <w:widowControl/>
        <w:shd w:val="clear" w:color="auto" w:fill="FFFFFF"/>
        <w:spacing w:before="100" w:beforeAutospacing="1" w:after="100" w:afterAutospacing="1"/>
        <w:rPr>
          <w:color w:val="000000"/>
        </w:rPr>
      </w:pPr>
      <w:r w:rsidRPr="00F13E1B">
        <w:rPr>
          <w:snapToGrid/>
          <w:color w:val="000000"/>
          <w:kern w:val="0"/>
        </w:rPr>
        <w:t xml:space="preserve">(1) </w:t>
      </w:r>
      <w:r w:rsidR="00B95E27">
        <w:rPr>
          <w:color w:val="000000"/>
        </w:rPr>
        <w:t>Devices</w:t>
      </w:r>
      <w:r w:rsidRPr="00F13E1B" w:rsidR="00B95E27">
        <w:rPr>
          <w:color w:val="000000"/>
        </w:rPr>
        <w:t xml:space="preserve"> </w:t>
      </w:r>
      <w:r w:rsidRPr="00F13E1B">
        <w:rPr>
          <w:color w:val="000000"/>
        </w:rPr>
        <w:t>other than field disturbance sensors shall comply with one of the following power limits, as measured during the transmit interval:</w:t>
      </w:r>
    </w:p>
    <w:p w:rsidR="00F54D10" w:rsidP="004408AA" w14:paraId="4DA173D9" w14:textId="77777777">
      <w:pPr>
        <w:widowControl/>
        <w:shd w:val="clear" w:color="auto" w:fill="FFFFFF"/>
        <w:spacing w:before="100" w:beforeAutospacing="1" w:after="100" w:afterAutospacing="1"/>
        <w:rPr>
          <w:color w:val="000000"/>
        </w:rPr>
      </w:pPr>
      <w:r>
        <w:rPr>
          <w:color w:val="000000"/>
        </w:rPr>
        <w:t xml:space="preserve">(i) * * * </w:t>
      </w:r>
    </w:p>
    <w:p w:rsidR="004408AA" w:rsidRPr="00F13E1B" w:rsidP="284A7895" w14:paraId="39AD6754" w14:textId="42BCF92B">
      <w:pPr>
        <w:widowControl/>
        <w:shd w:val="clear" w:color="auto" w:fill="FFFFFF" w:themeFill="background1"/>
        <w:spacing w:before="100" w:beforeAutospacing="1" w:after="100" w:afterAutospacing="1"/>
        <w:rPr>
          <w:snapToGrid/>
          <w:color w:val="000000"/>
          <w:kern w:val="0"/>
        </w:rPr>
      </w:pPr>
      <w:r w:rsidRPr="284A7895">
        <w:rPr>
          <w:color w:val="000000" w:themeColor="text1"/>
        </w:rPr>
        <w:t xml:space="preserve">(ii) * * * </w:t>
      </w:r>
    </w:p>
    <w:p w:rsidR="006833EC" w:rsidP="006833EC" w14:paraId="28F5D80C" w14:textId="64D5B79C">
      <w:pPr>
        <w:widowControl/>
        <w:shd w:val="clear" w:color="auto" w:fill="FFFFFF" w:themeFill="background1"/>
        <w:spacing w:before="100" w:beforeAutospacing="1" w:after="100" w:afterAutospacing="1"/>
      </w:pPr>
      <w:r w:rsidRPr="5487E904">
        <w:rPr>
          <w:snapToGrid/>
          <w:color w:val="000000"/>
          <w:kern w:val="0"/>
        </w:rPr>
        <w:t xml:space="preserve">(2) </w:t>
      </w:r>
      <w:r w:rsidRPr="284A7895">
        <w:rPr>
          <w:color w:val="000000" w:themeColor="text1"/>
        </w:rPr>
        <w:t xml:space="preserve">Field disturbance sensors/radars shall not exceed </w:t>
      </w:r>
      <w:r w:rsidR="00E74B3B">
        <w:rPr>
          <w:color w:val="000000" w:themeColor="text1"/>
        </w:rPr>
        <w:t>–</w:t>
      </w:r>
      <w:r w:rsidR="007A29DC">
        <w:rPr>
          <w:color w:val="000000" w:themeColor="text1"/>
        </w:rPr>
        <w:t xml:space="preserve">10 dBm peak conducted output power and </w:t>
      </w:r>
      <w:r w:rsidRPr="284A7895">
        <w:rPr>
          <w:color w:val="000000" w:themeColor="text1"/>
        </w:rPr>
        <w:t xml:space="preserve">10 dBm peak EIRP except that </w:t>
      </w:r>
      <w:r>
        <w:t xml:space="preserve">field disturbance sensors/radars that limit their operation to all or part of the specified frequency band may </w:t>
      </w:r>
      <w:r w:rsidR="00B73899">
        <w:t xml:space="preserve">operate without being subject to a transmitter conducted output power limit if they operate in compliance with paragraph (b)(3) of this section or with one or more </w:t>
      </w:r>
      <w:r w:rsidR="003F0995">
        <w:t xml:space="preserve">of </w:t>
      </w:r>
      <w:r>
        <w:t>the provisions below:</w:t>
      </w:r>
    </w:p>
    <w:p w:rsidR="006833EC" w:rsidP="006833EC" w14:paraId="6A4201F6" w14:textId="77777777">
      <w:pPr>
        <w:spacing w:before="200" w:after="120"/>
        <w:ind w:right="619"/>
        <w:jc w:val="both"/>
      </w:pPr>
      <w:r w:rsidRPr="002F48CA">
        <w:rPr>
          <w:rFonts w:eastAsia="Calibri"/>
          <w:snapToGrid/>
          <w:spacing w:val="-3"/>
        </w:rPr>
        <w:t>(</w:t>
      </w:r>
      <w:r>
        <w:rPr>
          <w:rFonts w:eastAsia="Calibri"/>
          <w:snapToGrid/>
          <w:spacing w:val="-3"/>
        </w:rPr>
        <w:t>i</w:t>
      </w:r>
      <w:r>
        <w:rPr>
          <w:spacing w:val="-3"/>
        </w:rPr>
        <w:t xml:space="preserve">) </w:t>
      </w:r>
      <w:r>
        <w:t>57.0-59.4</w:t>
      </w:r>
      <w:r w:rsidRPr="002F48CA">
        <w:rPr>
          <w:spacing w:val="-3"/>
        </w:rPr>
        <w:t xml:space="preserve"> </w:t>
      </w:r>
      <w:r>
        <w:t>GHz:  the</w:t>
      </w:r>
      <w:r w:rsidRPr="002F48CA">
        <w:rPr>
          <w:spacing w:val="-3"/>
        </w:rPr>
        <w:t xml:space="preserve"> </w:t>
      </w:r>
      <w:r>
        <w:t>peak</w:t>
      </w:r>
      <w:r w:rsidRPr="002F48CA">
        <w:rPr>
          <w:spacing w:val="-3"/>
        </w:rPr>
        <w:t xml:space="preserve"> </w:t>
      </w:r>
      <w:r>
        <w:t>EIRP</w:t>
      </w:r>
      <w:r w:rsidRPr="002F48CA">
        <w:rPr>
          <w:spacing w:val="-3"/>
        </w:rPr>
        <w:t xml:space="preserve"> </w:t>
      </w:r>
      <w:r>
        <w:t>level</w:t>
      </w:r>
      <w:r w:rsidRPr="002F48CA">
        <w:rPr>
          <w:spacing w:val="-3"/>
        </w:rPr>
        <w:t xml:space="preserve"> </w:t>
      </w:r>
      <w:r>
        <w:t>shall</w:t>
      </w:r>
      <w:r w:rsidRPr="002F48CA">
        <w:rPr>
          <w:spacing w:val="-4"/>
        </w:rPr>
        <w:t xml:space="preserve"> </w:t>
      </w:r>
      <w:r>
        <w:t>not</w:t>
      </w:r>
      <w:r w:rsidRPr="002F48CA">
        <w:rPr>
          <w:spacing w:val="-3"/>
        </w:rPr>
        <w:t xml:space="preserve"> </w:t>
      </w:r>
      <w:r>
        <w:t>exceed</w:t>
      </w:r>
      <w:r w:rsidRPr="002F48CA">
        <w:rPr>
          <w:spacing w:val="-3"/>
        </w:rPr>
        <w:t xml:space="preserve"> </w:t>
      </w:r>
      <w:r>
        <w:t>20</w:t>
      </w:r>
      <w:r w:rsidRPr="002F48CA">
        <w:rPr>
          <w:spacing w:val="-3"/>
        </w:rPr>
        <w:t xml:space="preserve"> </w:t>
      </w:r>
      <w:r>
        <w:t>dBm</w:t>
      </w:r>
      <w:r w:rsidRPr="002F48CA">
        <w:rPr>
          <w:spacing w:val="-4"/>
        </w:rPr>
        <w:t xml:space="preserve"> </w:t>
      </w:r>
      <w:r>
        <w:t>for</w:t>
      </w:r>
      <w:r w:rsidRPr="002F48CA">
        <w:rPr>
          <w:spacing w:val="-3"/>
        </w:rPr>
        <w:t xml:space="preserve"> </w:t>
      </w:r>
      <w:r>
        <w:t>indoor</w:t>
      </w:r>
      <w:r w:rsidRPr="002F48CA">
        <w:rPr>
          <w:spacing w:val="-3"/>
        </w:rPr>
        <w:t xml:space="preserve"> </w:t>
      </w:r>
      <w:r>
        <w:t>operation</w:t>
      </w:r>
      <w:r w:rsidRPr="002F48CA">
        <w:rPr>
          <w:spacing w:val="-3"/>
        </w:rPr>
        <w:t xml:space="preserve"> </w:t>
      </w:r>
      <w:r>
        <w:t>or</w:t>
      </w:r>
      <w:r w:rsidRPr="002F48CA">
        <w:rPr>
          <w:spacing w:val="-3"/>
        </w:rPr>
        <w:t xml:space="preserve"> </w:t>
      </w:r>
      <w:r>
        <w:t>30</w:t>
      </w:r>
      <w:r w:rsidRPr="002F48CA">
        <w:rPr>
          <w:spacing w:val="-3"/>
        </w:rPr>
        <w:t xml:space="preserve"> </w:t>
      </w:r>
      <w:r>
        <w:t>dBm</w:t>
      </w:r>
      <w:r w:rsidRPr="002F48CA">
        <w:rPr>
          <w:spacing w:val="-4"/>
        </w:rPr>
        <w:t xml:space="preserve"> </w:t>
      </w:r>
      <w:r>
        <w:t>for</w:t>
      </w:r>
      <w:r w:rsidRPr="002F48CA">
        <w:rPr>
          <w:spacing w:val="-3"/>
        </w:rPr>
        <w:t xml:space="preserve"> </w:t>
      </w:r>
      <w:r>
        <w:t xml:space="preserve">outdoor </w:t>
      </w:r>
      <w:r w:rsidRPr="002F48CA">
        <w:rPr>
          <w:spacing w:val="-2"/>
        </w:rPr>
        <w:t>operation;</w:t>
      </w:r>
    </w:p>
    <w:p w:rsidR="006833EC" w:rsidP="006833EC" w14:paraId="015221FF" w14:textId="7F0311F9">
      <w:pPr>
        <w:tabs>
          <w:tab w:val="left" w:pos="1902"/>
        </w:tabs>
        <w:spacing w:before="200" w:after="120"/>
        <w:ind w:right="763"/>
      </w:pPr>
      <w:r>
        <w:t>(ii) 57.0-61.56 GHz: the</w:t>
      </w:r>
      <w:r w:rsidRPr="00787B1A">
        <w:rPr>
          <w:spacing w:val="-4"/>
        </w:rPr>
        <w:t xml:space="preserve"> </w:t>
      </w:r>
      <w:r>
        <w:t>peak</w:t>
      </w:r>
      <w:r w:rsidRPr="00787B1A">
        <w:rPr>
          <w:spacing w:val="-3"/>
        </w:rPr>
        <w:t xml:space="preserve"> </w:t>
      </w:r>
      <w:r>
        <w:t>EIRP</w:t>
      </w:r>
      <w:r w:rsidRPr="00787B1A">
        <w:rPr>
          <w:spacing w:val="-3"/>
        </w:rPr>
        <w:t xml:space="preserve"> </w:t>
      </w:r>
      <w:r>
        <w:t>shall</w:t>
      </w:r>
      <w:r w:rsidRPr="00787B1A">
        <w:rPr>
          <w:spacing w:val="-3"/>
        </w:rPr>
        <w:t xml:space="preserve"> </w:t>
      </w:r>
      <w:r>
        <w:t>not</w:t>
      </w:r>
      <w:r w:rsidRPr="00787B1A">
        <w:rPr>
          <w:spacing w:val="-3"/>
        </w:rPr>
        <w:t xml:space="preserve"> </w:t>
      </w:r>
      <w:r>
        <w:t>exceed</w:t>
      </w:r>
      <w:r w:rsidRPr="00787B1A">
        <w:rPr>
          <w:spacing w:val="-3"/>
        </w:rPr>
        <w:t xml:space="preserve"> </w:t>
      </w:r>
      <w:r>
        <w:t xml:space="preserve">3 </w:t>
      </w:r>
      <w:r w:rsidRPr="00787B1A">
        <w:rPr>
          <w:spacing w:val="-4"/>
        </w:rPr>
        <w:t>dBm</w:t>
      </w:r>
      <w:r>
        <w:rPr>
          <w:spacing w:val="-4"/>
        </w:rPr>
        <w:t xml:space="preserve"> except that </w:t>
      </w:r>
      <w:r>
        <w:t>the peak EIRP shall not exceed 20 dBm if the sum of continuous transmitter off-times of at least two milliseconds</w:t>
      </w:r>
      <w:r>
        <w:rPr>
          <w:spacing w:val="-3"/>
        </w:rPr>
        <w:t xml:space="preserve"> </w:t>
      </w:r>
      <w:r>
        <w:t>equal</w:t>
      </w:r>
      <w:r w:rsidR="008F43F1">
        <w:t>s</w:t>
      </w:r>
      <w:r>
        <w:rPr>
          <w:spacing w:val="-4"/>
        </w:rPr>
        <w:t xml:space="preserve"> </w:t>
      </w:r>
      <w:r>
        <w:t>at</w:t>
      </w:r>
      <w:r>
        <w:rPr>
          <w:spacing w:val="-3"/>
        </w:rPr>
        <w:t xml:space="preserve"> </w:t>
      </w:r>
      <w:r>
        <w:t>least</w:t>
      </w:r>
      <w:r>
        <w:rPr>
          <w:spacing w:val="-3"/>
        </w:rPr>
        <w:t xml:space="preserve"> </w:t>
      </w:r>
      <w:r>
        <w:t>16.5</w:t>
      </w:r>
      <w:r>
        <w:rPr>
          <w:spacing w:val="-3"/>
        </w:rPr>
        <w:t xml:space="preserve"> </w:t>
      </w:r>
      <w:r>
        <w:t>milliseconds</w:t>
      </w:r>
      <w:r>
        <w:rPr>
          <w:spacing w:val="-3"/>
        </w:rPr>
        <w:t xml:space="preserve"> </w:t>
      </w:r>
      <w:r>
        <w:t>within</w:t>
      </w:r>
      <w:r>
        <w:rPr>
          <w:spacing w:val="-3"/>
        </w:rPr>
        <w:t xml:space="preserve"> </w:t>
      </w:r>
      <w:r>
        <w:t>any</w:t>
      </w:r>
      <w:r>
        <w:rPr>
          <w:spacing w:val="-3"/>
        </w:rPr>
        <w:t xml:space="preserve"> </w:t>
      </w:r>
      <w:r>
        <w:t>contiguous</w:t>
      </w:r>
      <w:r>
        <w:rPr>
          <w:spacing w:val="-3"/>
        </w:rPr>
        <w:t xml:space="preserve"> </w:t>
      </w:r>
      <w:r>
        <w:t>interval</w:t>
      </w:r>
      <w:r>
        <w:rPr>
          <w:spacing w:val="-3"/>
        </w:rPr>
        <w:t xml:space="preserve"> </w:t>
      </w:r>
      <w:r>
        <w:t>of</w:t>
      </w:r>
      <w:r>
        <w:rPr>
          <w:spacing w:val="-3"/>
        </w:rPr>
        <w:t xml:space="preserve"> </w:t>
      </w:r>
      <w:r>
        <w:t>33 milliseconds;</w:t>
      </w:r>
    </w:p>
    <w:p w:rsidR="006833EC" w:rsidP="006833EC" w14:paraId="46EEEF21" w14:textId="75F1BA61">
      <w:pPr>
        <w:tabs>
          <w:tab w:val="left" w:pos="1902"/>
        </w:tabs>
        <w:spacing w:before="200" w:after="120"/>
        <w:ind w:right="763"/>
      </w:pPr>
      <w:r>
        <w:t xml:space="preserve">(iii) 57.0-64.0 GHz: </w:t>
      </w:r>
    </w:p>
    <w:p w:rsidR="008E22DC" w:rsidRPr="00C72C27" w:rsidP="00E9778B" w14:paraId="35B0A875" w14:textId="124BF99E">
      <w:pPr>
        <w:widowControl/>
      </w:pPr>
      <w:r>
        <w:t xml:space="preserve">(A) </w:t>
      </w:r>
      <w:r w:rsidR="006C039B">
        <w:t>T</w:t>
      </w:r>
      <w:r w:rsidRPr="00C72C27" w:rsidR="0020111B">
        <w:t>he peak EIRP shall not exceed 14 dBm, and the sum of continuous transmitter off-times of</w:t>
      </w:r>
      <w:r w:rsidRPr="00C72C27" w:rsidR="0020111B">
        <w:rPr>
          <w:spacing w:val="40"/>
        </w:rPr>
        <w:t xml:space="preserve"> </w:t>
      </w:r>
      <w:r w:rsidRPr="00C72C27" w:rsidR="0020111B">
        <w:t xml:space="preserve">at least two milliseconds shall equal at least 25.5 milliseconds within any contiguous interval of 33 milliseconds, except as specific in </w:t>
      </w:r>
      <w:r w:rsidR="006C039B">
        <w:t>paragraph (c)(2)</w:t>
      </w:r>
      <w:r w:rsidRPr="00C72C27" w:rsidR="0020111B">
        <w:t>(iii)(B) of this section</w:t>
      </w:r>
      <w:r w:rsidR="006C039B">
        <w:t>;</w:t>
      </w:r>
    </w:p>
    <w:p w:rsidR="0020111B" w:rsidRPr="00C72C27" w:rsidP="00A56D53" w14:paraId="0386BD4E" w14:textId="07B3DE45">
      <w:pPr>
        <w:widowControl/>
      </w:pPr>
      <w:r>
        <w:t xml:space="preserve">(B) </w:t>
      </w:r>
      <w:r w:rsidR="006C039B">
        <w:t>T</w:t>
      </w:r>
      <w:r w:rsidRPr="00C72C27" w:rsidR="00D33FFF">
        <w:t>he peak EIRP shall not exceed 20 dBm, and the sum of continuous transmitter off-times of at least two milliseconds shall equal at least 16.5 milliseconds within any contiguous interval of 33 milliseconds when operated outdoors:</w:t>
      </w:r>
    </w:p>
    <w:p w:rsidR="00D33FFF" w:rsidRPr="00C72C27" w:rsidP="00E9778B" w14:paraId="28DA8991" w14:textId="7DEFD0BC">
      <w:pPr>
        <w:widowControl/>
      </w:pPr>
      <w:r w:rsidRPr="00E9778B">
        <w:rPr>
          <w:i/>
          <w:iCs/>
        </w:rPr>
        <w:t>(1)</w:t>
      </w:r>
      <w:r>
        <w:t xml:space="preserve"> </w:t>
      </w:r>
      <w:r w:rsidR="006C039B">
        <w:t>A</w:t>
      </w:r>
      <w:r w:rsidR="003A3BB9">
        <w:t>s</w:t>
      </w:r>
      <w:r>
        <w:t xml:space="preserve"> </w:t>
      </w:r>
      <w:r w:rsidRPr="00C72C27" w:rsidR="0001745F">
        <w:t>part of a temporary or permanently fixed application; or</w:t>
      </w:r>
    </w:p>
    <w:p w:rsidR="00A811B6" w:rsidRPr="00C72C27" w:rsidP="005B145A" w14:paraId="3468DABD" w14:textId="7BA2BAFB">
      <w:pPr>
        <w:widowControl/>
      </w:pPr>
      <w:r w:rsidRPr="00E9778B">
        <w:rPr>
          <w:i/>
          <w:iCs/>
        </w:rPr>
        <w:t>(2)</w:t>
      </w:r>
      <w:r>
        <w:t xml:space="preserve"> </w:t>
      </w:r>
      <w:r w:rsidR="006C039B">
        <w:t>W</w:t>
      </w:r>
      <w:r w:rsidRPr="00C72C27" w:rsidR="00330E6A">
        <w:t>hen being used in vehicular applications to perform specific tasks of moving something or someone, except for in</w:t>
      </w:r>
      <w:r w:rsidRPr="00C72C27" w:rsidR="00330E6A">
        <w:rPr>
          <w:spacing w:val="-4"/>
        </w:rPr>
        <w:t>-</w:t>
      </w:r>
      <w:r w:rsidRPr="00C72C27" w:rsidR="00330E6A">
        <w:t>cabin</w:t>
      </w:r>
      <w:r w:rsidRPr="00C72C27" w:rsidR="00330E6A">
        <w:rPr>
          <w:spacing w:val="-4"/>
        </w:rPr>
        <w:t xml:space="preserve"> </w:t>
      </w:r>
      <w:r w:rsidRPr="00C72C27" w:rsidR="00330E6A">
        <w:t>applications;</w:t>
      </w:r>
    </w:p>
    <w:p w:rsidR="006833EC" w:rsidRPr="00DF2D03" w:rsidP="006833EC" w14:paraId="5758A75F" w14:textId="43EF1369">
      <w:pPr>
        <w:widowControl/>
        <w:shd w:val="clear" w:color="auto" w:fill="FFFFFF" w:themeFill="background1"/>
        <w:spacing w:before="100" w:beforeAutospacing="1" w:after="100" w:afterAutospacing="1"/>
        <w:rPr>
          <w:snapToGrid/>
          <w:color w:val="000000"/>
          <w:kern w:val="0"/>
        </w:rPr>
      </w:pPr>
      <w:r>
        <w:rPr>
          <w:snapToGrid/>
          <w:color w:val="000000"/>
          <w:kern w:val="0"/>
        </w:rPr>
        <w:t xml:space="preserve">(iv) </w:t>
      </w:r>
      <w:r w:rsidR="00844CF9">
        <w:t>A field disturbance sensor may operate in any of the modes in</w:t>
      </w:r>
      <w:r w:rsidR="00844CF9">
        <w:rPr>
          <w:spacing w:val="-2"/>
        </w:rPr>
        <w:t xml:space="preserve"> </w:t>
      </w:r>
      <w:r w:rsidR="00844CF9">
        <w:t>th</w:t>
      </w:r>
      <w:r w:rsidR="00BF5138">
        <w:t>e above</w:t>
      </w:r>
      <w:r w:rsidR="00922C33">
        <w:t xml:space="preserve"> sub-</w:t>
      </w:r>
      <w:r w:rsidR="00844CF9">
        <w:t>section</w:t>
      </w:r>
      <w:r w:rsidR="00922C33">
        <w:t>s</w:t>
      </w:r>
      <w:r w:rsidR="00844CF9">
        <w:rPr>
          <w:spacing w:val="-3"/>
        </w:rPr>
        <w:t xml:space="preserve"> </w:t>
      </w:r>
      <w:r w:rsidR="00844CF9">
        <w:t>so</w:t>
      </w:r>
      <w:r w:rsidR="00844CF9">
        <w:rPr>
          <w:spacing w:val="-3"/>
        </w:rPr>
        <w:t xml:space="preserve"> </w:t>
      </w:r>
      <w:r w:rsidR="00844CF9">
        <w:t>long</w:t>
      </w:r>
      <w:r w:rsidR="00844CF9">
        <w:rPr>
          <w:spacing w:val="-2"/>
        </w:rPr>
        <w:t xml:space="preserve"> </w:t>
      </w:r>
      <w:r w:rsidR="00844CF9">
        <w:t>as</w:t>
      </w:r>
      <w:r w:rsidR="00844CF9">
        <w:rPr>
          <w:spacing w:val="-3"/>
        </w:rPr>
        <w:t xml:space="preserve"> </w:t>
      </w:r>
      <w:r w:rsidR="00844CF9">
        <w:t>the</w:t>
      </w:r>
      <w:r w:rsidR="00844CF9">
        <w:rPr>
          <w:spacing w:val="-2"/>
        </w:rPr>
        <w:t xml:space="preserve"> </w:t>
      </w:r>
      <w:r w:rsidR="00844CF9">
        <w:t>device</w:t>
      </w:r>
      <w:r w:rsidR="00844CF9">
        <w:rPr>
          <w:spacing w:val="-3"/>
        </w:rPr>
        <w:t xml:space="preserve"> </w:t>
      </w:r>
      <w:r w:rsidR="00844CF9">
        <w:t>operates</w:t>
      </w:r>
      <w:r w:rsidR="00844CF9">
        <w:rPr>
          <w:spacing w:val="-3"/>
        </w:rPr>
        <w:t xml:space="preserve"> </w:t>
      </w:r>
      <w:r w:rsidR="00844CF9">
        <w:t>in</w:t>
      </w:r>
      <w:r w:rsidR="00844CF9">
        <w:rPr>
          <w:spacing w:val="-2"/>
        </w:rPr>
        <w:t xml:space="preserve"> </w:t>
      </w:r>
      <w:r w:rsidR="00844CF9">
        <w:t>only</w:t>
      </w:r>
      <w:r w:rsidR="00844CF9">
        <w:rPr>
          <w:spacing w:val="-3"/>
        </w:rPr>
        <w:t xml:space="preserve"> </w:t>
      </w:r>
      <w:r w:rsidR="00844CF9">
        <w:t>one</w:t>
      </w:r>
      <w:r w:rsidR="00844CF9">
        <w:rPr>
          <w:spacing w:val="-2"/>
        </w:rPr>
        <w:t xml:space="preserve"> </w:t>
      </w:r>
      <w:r w:rsidR="00844CF9">
        <w:t>mode</w:t>
      </w:r>
      <w:r w:rsidR="00844CF9">
        <w:rPr>
          <w:spacing w:val="-3"/>
        </w:rPr>
        <w:t xml:space="preserve"> </w:t>
      </w:r>
      <w:r w:rsidR="00844CF9">
        <w:t>at</w:t>
      </w:r>
      <w:r w:rsidR="00844CF9">
        <w:rPr>
          <w:spacing w:val="-2"/>
        </w:rPr>
        <w:t xml:space="preserve"> </w:t>
      </w:r>
      <w:r w:rsidR="00844CF9">
        <w:t>any</w:t>
      </w:r>
      <w:r w:rsidR="00844CF9">
        <w:rPr>
          <w:spacing w:val="-3"/>
        </w:rPr>
        <w:t xml:space="preserve"> </w:t>
      </w:r>
      <w:r w:rsidR="00844CF9">
        <w:t>time and does so for at least 33 milliseconds before switching to another mode.</w:t>
      </w:r>
    </w:p>
    <w:p w:rsidR="006833EC" w:rsidRPr="004B4FD5" w:rsidP="006833EC" w14:paraId="7F19B968" w14:textId="50254843">
      <w:r>
        <w:t xml:space="preserve">(v) </w:t>
      </w:r>
      <w:r w:rsidR="00844CF9">
        <w:rPr>
          <w:snapToGrid/>
          <w:color w:val="000000"/>
          <w:kern w:val="0"/>
        </w:rPr>
        <w:t xml:space="preserve">61.0-61.5 GHz:  </w:t>
      </w:r>
      <w:r w:rsidRPr="5487E904" w:rsidR="00844CF9">
        <w:rPr>
          <w:snapToGrid/>
          <w:color w:val="000000"/>
          <w:kern w:val="0"/>
        </w:rPr>
        <w:t xml:space="preserve">For </w:t>
      </w:r>
      <w:r w:rsidRPr="2870D180" w:rsidR="00844CF9">
        <w:rPr>
          <w:snapToGrid/>
          <w:color w:val="000000"/>
          <w:kern w:val="0"/>
        </w:rPr>
        <w:t>f</w:t>
      </w:r>
      <w:r w:rsidRPr="5487E904" w:rsidR="00844CF9">
        <w:rPr>
          <w:snapToGrid/>
          <w:color w:val="000000"/>
          <w:kern w:val="0"/>
        </w:rPr>
        <w:t xml:space="preserve">ield disturbance sensors/radars that occupy 500 MHz bandwidth </w:t>
      </w:r>
      <w:r w:rsidR="00844CF9">
        <w:rPr>
          <w:snapToGrid/>
          <w:color w:val="000000"/>
          <w:kern w:val="0"/>
        </w:rPr>
        <w:t xml:space="preserve">or less </w:t>
      </w:r>
      <w:r w:rsidRPr="5487E904" w:rsidR="00844CF9">
        <w:rPr>
          <w:snapToGrid/>
          <w:color w:val="000000"/>
          <w:kern w:val="0"/>
        </w:rPr>
        <w:t>that are contained wholly within the frequency band 61.0-61.5 GHz, the average power of any emission, measured during the transmit interval, shall not exceed 40 dBm, and the peak power of any emission shall not exceed 43 dBm. In addition, the average power of any emission outside of the 61.0-61.5 GHz band, measured during the transmit interval, but still within the 57-71 GHz band, shall not exceed 10 dBm, and the peak power of any emission shall not exceed 13 dBm.</w:t>
      </w:r>
    </w:p>
    <w:p w:rsidR="006833EC" w:rsidP="006833EC" w14:paraId="18EAB914" w14:textId="262A582F">
      <w:pPr>
        <w:widowControl/>
        <w:shd w:val="clear" w:color="auto" w:fill="FFFFFF"/>
        <w:spacing w:before="100" w:beforeAutospacing="1" w:after="100" w:afterAutospacing="1"/>
        <w:rPr>
          <w:snapToGrid/>
          <w:color w:val="000000"/>
          <w:kern w:val="0"/>
          <w:szCs w:val="22"/>
        </w:rPr>
      </w:pPr>
      <w:r>
        <w:rPr>
          <w:snapToGrid/>
          <w:color w:val="000000"/>
          <w:kern w:val="0"/>
          <w:szCs w:val="22"/>
        </w:rPr>
        <w:t>(3) For</w:t>
      </w:r>
      <w:r w:rsidR="00740B47">
        <w:rPr>
          <w:snapToGrid/>
          <w:color w:val="000000"/>
          <w:kern w:val="0"/>
          <w:szCs w:val="22"/>
        </w:rPr>
        <w:t xml:space="preserve"> pulsed</w:t>
      </w:r>
      <w:r>
        <w:rPr>
          <w:snapToGrid/>
          <w:color w:val="000000"/>
          <w:kern w:val="0"/>
          <w:szCs w:val="22"/>
        </w:rPr>
        <w:t xml:space="preserve"> field disturbance sensors/</w:t>
      </w:r>
      <w:r w:rsidR="00414EDA">
        <w:rPr>
          <w:snapToGrid/>
          <w:color w:val="000000"/>
          <w:kern w:val="0"/>
          <w:szCs w:val="22"/>
        </w:rPr>
        <w:t xml:space="preserve">radars </w:t>
      </w:r>
      <w:r w:rsidR="00E15D9C">
        <w:rPr>
          <w:snapToGrid/>
          <w:color w:val="000000"/>
          <w:kern w:val="0"/>
          <w:szCs w:val="22"/>
        </w:rPr>
        <w:t xml:space="preserve">operating in the 57-64 GHz band </w:t>
      </w:r>
      <w:r>
        <w:rPr>
          <w:snapToGrid/>
          <w:color w:val="000000"/>
          <w:kern w:val="0"/>
          <w:szCs w:val="22"/>
        </w:rPr>
        <w:t xml:space="preserve">that have </w:t>
      </w:r>
      <w:r w:rsidRPr="00BD26FB">
        <w:rPr>
          <w:szCs w:val="22"/>
        </w:rPr>
        <w:t xml:space="preserve">a maximum pulse duration of 6 ns, the average EIRP shall not exceed 13 dBm and the transmit duty cycle shall not exceed 10% during any 0.3 µs time window. In addition, the average integrated EIRP within </w:t>
      </w:r>
      <w:r>
        <w:rPr>
          <w:szCs w:val="22"/>
        </w:rPr>
        <w:t xml:space="preserve">the frequency band </w:t>
      </w:r>
      <w:r w:rsidRPr="00BD26FB">
        <w:rPr>
          <w:szCs w:val="22"/>
        </w:rPr>
        <w:t>61.5-64</w:t>
      </w:r>
      <w:r>
        <w:rPr>
          <w:szCs w:val="22"/>
        </w:rPr>
        <w:t>.0</w:t>
      </w:r>
      <w:r w:rsidRPr="00BD26FB">
        <w:rPr>
          <w:szCs w:val="22"/>
        </w:rPr>
        <w:t xml:space="preserve"> GHz shall not exceed 5 dBm in any 0.3 µs time window. Peak</w:t>
      </w:r>
      <w:r w:rsidRPr="00BD26FB">
        <w:rPr>
          <w:spacing w:val="40"/>
          <w:szCs w:val="22"/>
        </w:rPr>
        <w:t xml:space="preserve"> </w:t>
      </w:r>
      <w:r w:rsidRPr="00BD26FB">
        <w:rPr>
          <w:szCs w:val="22"/>
        </w:rPr>
        <w:t>emissions</w:t>
      </w:r>
      <w:r w:rsidRPr="00BD26FB">
        <w:rPr>
          <w:spacing w:val="-2"/>
          <w:szCs w:val="22"/>
        </w:rPr>
        <w:t xml:space="preserve"> </w:t>
      </w:r>
      <w:r>
        <w:rPr>
          <w:szCs w:val="22"/>
        </w:rPr>
        <w:t>shall</w:t>
      </w:r>
      <w:r w:rsidRPr="00BD26FB">
        <w:rPr>
          <w:spacing w:val="-2"/>
          <w:szCs w:val="22"/>
        </w:rPr>
        <w:t xml:space="preserve"> </w:t>
      </w:r>
      <w:r w:rsidRPr="00BD26FB">
        <w:rPr>
          <w:szCs w:val="22"/>
        </w:rPr>
        <w:t>not</w:t>
      </w:r>
      <w:r w:rsidRPr="00BD26FB">
        <w:rPr>
          <w:spacing w:val="-2"/>
          <w:szCs w:val="22"/>
        </w:rPr>
        <w:t xml:space="preserve"> </w:t>
      </w:r>
      <w:r w:rsidRPr="00BD26FB">
        <w:rPr>
          <w:szCs w:val="22"/>
        </w:rPr>
        <w:t>exceed</w:t>
      </w:r>
      <w:r w:rsidRPr="00BD26FB">
        <w:rPr>
          <w:spacing w:val="-2"/>
          <w:szCs w:val="22"/>
        </w:rPr>
        <w:t xml:space="preserve"> </w:t>
      </w:r>
      <w:r w:rsidRPr="00BD26FB">
        <w:rPr>
          <w:szCs w:val="22"/>
        </w:rPr>
        <w:t>20</w:t>
      </w:r>
      <w:r w:rsidRPr="00BD26FB">
        <w:rPr>
          <w:spacing w:val="-2"/>
          <w:szCs w:val="22"/>
        </w:rPr>
        <w:t xml:space="preserve"> </w:t>
      </w:r>
      <w:r w:rsidRPr="00BD26FB">
        <w:rPr>
          <w:szCs w:val="22"/>
        </w:rPr>
        <w:t>dB</w:t>
      </w:r>
      <w:r w:rsidRPr="00BD26FB">
        <w:rPr>
          <w:spacing w:val="-2"/>
          <w:szCs w:val="22"/>
        </w:rPr>
        <w:t xml:space="preserve"> </w:t>
      </w:r>
      <w:r>
        <w:rPr>
          <w:szCs w:val="22"/>
        </w:rPr>
        <w:t>above</w:t>
      </w:r>
      <w:r w:rsidRPr="00BD26FB">
        <w:rPr>
          <w:spacing w:val="-5"/>
          <w:szCs w:val="22"/>
        </w:rPr>
        <w:t xml:space="preserve"> </w:t>
      </w:r>
      <w:r w:rsidRPr="00BD26FB">
        <w:rPr>
          <w:szCs w:val="22"/>
        </w:rPr>
        <w:t>the</w:t>
      </w:r>
      <w:r w:rsidRPr="00BD26FB">
        <w:rPr>
          <w:spacing w:val="-2"/>
          <w:szCs w:val="22"/>
        </w:rPr>
        <w:t xml:space="preserve"> </w:t>
      </w:r>
      <w:r w:rsidRPr="00BD26FB">
        <w:rPr>
          <w:szCs w:val="22"/>
        </w:rPr>
        <w:t>maximum</w:t>
      </w:r>
      <w:r w:rsidRPr="00BD26FB">
        <w:rPr>
          <w:spacing w:val="-2"/>
          <w:szCs w:val="22"/>
        </w:rPr>
        <w:t xml:space="preserve"> </w:t>
      </w:r>
      <w:r w:rsidRPr="00BD26FB">
        <w:rPr>
          <w:szCs w:val="22"/>
        </w:rPr>
        <w:t>permitted</w:t>
      </w:r>
      <w:r w:rsidRPr="00BD26FB">
        <w:rPr>
          <w:spacing w:val="-4"/>
          <w:szCs w:val="22"/>
        </w:rPr>
        <w:t xml:space="preserve"> </w:t>
      </w:r>
      <w:r w:rsidRPr="00BD26FB">
        <w:rPr>
          <w:szCs w:val="22"/>
        </w:rPr>
        <w:t>average</w:t>
      </w:r>
      <w:r w:rsidRPr="00BD26FB">
        <w:rPr>
          <w:spacing w:val="-3"/>
          <w:szCs w:val="22"/>
        </w:rPr>
        <w:t xml:space="preserve"> </w:t>
      </w:r>
      <w:r w:rsidRPr="00BD26FB">
        <w:rPr>
          <w:szCs w:val="22"/>
        </w:rPr>
        <w:t>emission</w:t>
      </w:r>
      <w:r w:rsidRPr="00BD26FB">
        <w:rPr>
          <w:spacing w:val="-3"/>
          <w:szCs w:val="22"/>
        </w:rPr>
        <w:t xml:space="preserve"> </w:t>
      </w:r>
      <w:r w:rsidRPr="00BD26FB">
        <w:rPr>
          <w:szCs w:val="22"/>
        </w:rPr>
        <w:t>limit applicable to the equipment under test.</w:t>
      </w:r>
      <w:r>
        <w:rPr>
          <w:sz w:val="24"/>
        </w:rPr>
        <w:t xml:space="preserve"> T</w:t>
      </w:r>
      <w:r>
        <w:t>he radar bandwidth</w:t>
      </w:r>
      <w:r>
        <w:rPr>
          <w:spacing w:val="-2"/>
        </w:rPr>
        <w:t xml:space="preserve"> </w:t>
      </w:r>
      <w:r>
        <w:t>is</w:t>
      </w:r>
      <w:r>
        <w:rPr>
          <w:spacing w:val="-2"/>
        </w:rPr>
        <w:t xml:space="preserve"> </w:t>
      </w:r>
      <w:r>
        <w:t>the</w:t>
      </w:r>
      <w:r>
        <w:rPr>
          <w:spacing w:val="-2"/>
        </w:rPr>
        <w:t xml:space="preserve"> </w:t>
      </w:r>
      <w:r>
        <w:t>frequency</w:t>
      </w:r>
      <w:r>
        <w:rPr>
          <w:spacing w:val="-2"/>
        </w:rPr>
        <w:t xml:space="preserve"> </w:t>
      </w:r>
      <w:r>
        <w:t>band</w:t>
      </w:r>
      <w:r>
        <w:rPr>
          <w:spacing w:val="-2"/>
        </w:rPr>
        <w:t xml:space="preserve"> </w:t>
      </w:r>
      <w:r>
        <w:t>bounded</w:t>
      </w:r>
      <w:r>
        <w:rPr>
          <w:spacing w:val="-2"/>
        </w:rPr>
        <w:t xml:space="preserve"> </w:t>
      </w:r>
      <w:r>
        <w:t>by</w:t>
      </w:r>
      <w:r>
        <w:rPr>
          <w:spacing w:val="-2"/>
        </w:rPr>
        <w:t xml:space="preserve"> </w:t>
      </w:r>
      <w:r>
        <w:t>the</w:t>
      </w:r>
      <w:r>
        <w:rPr>
          <w:spacing w:val="-2"/>
        </w:rPr>
        <w:t xml:space="preserve"> </w:t>
      </w:r>
      <w:r>
        <w:t>points</w:t>
      </w:r>
      <w:r>
        <w:rPr>
          <w:spacing w:val="-3"/>
        </w:rPr>
        <w:t xml:space="preserve"> </w:t>
      </w:r>
      <w:r>
        <w:t>that</w:t>
      </w:r>
      <w:r>
        <w:rPr>
          <w:spacing w:val="-3"/>
        </w:rPr>
        <w:t xml:space="preserve"> </w:t>
      </w:r>
      <w:r>
        <w:t>are</w:t>
      </w:r>
      <w:r>
        <w:rPr>
          <w:spacing w:val="-3"/>
        </w:rPr>
        <w:t xml:space="preserve"> </w:t>
      </w:r>
      <w:r>
        <w:t>10</w:t>
      </w:r>
      <w:r>
        <w:rPr>
          <w:spacing w:val="-3"/>
        </w:rPr>
        <w:t xml:space="preserve"> </w:t>
      </w:r>
      <w:r>
        <w:t>dB</w:t>
      </w:r>
      <w:r>
        <w:rPr>
          <w:spacing w:val="-3"/>
        </w:rPr>
        <w:t xml:space="preserve"> </w:t>
      </w:r>
      <w:r>
        <w:t>below</w:t>
      </w:r>
      <w:r>
        <w:rPr>
          <w:spacing w:val="-3"/>
        </w:rPr>
        <w:t xml:space="preserve"> </w:t>
      </w:r>
      <w:r>
        <w:t>the</w:t>
      </w:r>
      <w:r>
        <w:rPr>
          <w:spacing w:val="-3"/>
        </w:rPr>
        <w:t xml:space="preserve"> </w:t>
      </w:r>
      <w:r>
        <w:t>highest</w:t>
      </w:r>
      <w:r>
        <w:rPr>
          <w:spacing w:val="-3"/>
        </w:rPr>
        <w:t xml:space="preserve"> </w:t>
      </w:r>
      <w:r>
        <w:t>radiated emission, as based on the complete transmission system including the antenna.</w:t>
      </w:r>
    </w:p>
    <w:p w:rsidR="006833EC" w:rsidRPr="00F13E1B" w:rsidP="00735946" w14:paraId="7FCAF620" w14:textId="57DC2D81">
      <w:pPr>
        <w:widowControl/>
        <w:rPr>
          <w:color w:val="000000"/>
        </w:rPr>
      </w:pPr>
      <w:r>
        <w:rPr>
          <w:snapToGrid/>
          <w:color w:val="000000"/>
          <w:kern w:val="0"/>
          <w:szCs w:val="22"/>
        </w:rPr>
        <w:t xml:space="preserve">(4) </w:t>
      </w:r>
      <w:r w:rsidRPr="00336A05">
        <w:rPr>
          <w:snapToGrid/>
          <w:color w:val="000000"/>
          <w:kern w:val="0"/>
          <w:szCs w:val="22"/>
        </w:rPr>
        <w:t>The provisions in §</w:t>
      </w:r>
      <w:r w:rsidR="00961B43">
        <w:rPr>
          <w:snapToGrid/>
          <w:color w:val="000000"/>
          <w:kern w:val="0"/>
          <w:szCs w:val="22"/>
        </w:rPr>
        <w:t xml:space="preserve"> </w:t>
      </w:r>
      <w:r w:rsidRPr="00336A05">
        <w:rPr>
          <w:snapToGrid/>
          <w:color w:val="000000"/>
          <w:kern w:val="0"/>
          <w:szCs w:val="22"/>
        </w:rPr>
        <w:t>15.35(b) and (c) that require emissions to be averaged over a 100 millisecond period and that limits the peak power to 20 dB above the average limit do not apply to devices operating under paragraph</w:t>
      </w:r>
      <w:r>
        <w:rPr>
          <w:snapToGrid/>
          <w:color w:val="000000"/>
          <w:kern w:val="0"/>
          <w:szCs w:val="22"/>
        </w:rPr>
        <w:t>s</w:t>
      </w:r>
      <w:r w:rsidRPr="00336A05">
        <w:rPr>
          <w:snapToGrid/>
          <w:color w:val="000000"/>
          <w:kern w:val="0"/>
          <w:szCs w:val="22"/>
        </w:rPr>
        <w:t xml:space="preserve"> (</w:t>
      </w:r>
      <w:r>
        <w:rPr>
          <w:snapToGrid/>
          <w:color w:val="000000"/>
          <w:kern w:val="0"/>
          <w:szCs w:val="22"/>
        </w:rPr>
        <w:t>c</w:t>
      </w:r>
      <w:r w:rsidRPr="00336A05">
        <w:rPr>
          <w:snapToGrid/>
          <w:color w:val="000000"/>
          <w:kern w:val="0"/>
          <w:szCs w:val="22"/>
        </w:rPr>
        <w:t>)</w:t>
      </w:r>
      <w:r>
        <w:rPr>
          <w:snapToGrid/>
          <w:color w:val="000000"/>
          <w:kern w:val="0"/>
          <w:szCs w:val="22"/>
        </w:rPr>
        <w:t>(2)</w:t>
      </w:r>
      <w:r w:rsidR="004E042E">
        <w:rPr>
          <w:snapToGrid/>
          <w:color w:val="000000"/>
          <w:kern w:val="0"/>
          <w:szCs w:val="22"/>
        </w:rPr>
        <w:t xml:space="preserve"> and </w:t>
      </w:r>
      <w:r>
        <w:rPr>
          <w:snapToGrid/>
          <w:color w:val="000000"/>
          <w:kern w:val="0"/>
          <w:szCs w:val="22"/>
        </w:rPr>
        <w:t>(3)</w:t>
      </w:r>
      <w:r w:rsidRPr="00336A05">
        <w:rPr>
          <w:snapToGrid/>
          <w:color w:val="000000"/>
          <w:kern w:val="0"/>
          <w:szCs w:val="22"/>
        </w:rPr>
        <w:t xml:space="preserve"> of this section.</w:t>
      </w:r>
      <w:r>
        <w:rPr>
          <w:snapToGrid/>
          <w:color w:val="000000"/>
          <w:kern w:val="0"/>
          <w:szCs w:val="22"/>
        </w:rPr>
        <w:t xml:space="preserve"> </w:t>
      </w:r>
    </w:p>
    <w:p w:rsidR="005C4560" w:rsidP="00F54D10" w14:paraId="1A4B3D4B" w14:textId="77777777">
      <w:pPr>
        <w:rPr>
          <w:color w:val="000000"/>
        </w:rPr>
      </w:pPr>
    </w:p>
    <w:p w:rsidR="000254D8" w:rsidP="00F54D10" w14:paraId="3C4EF3EC" w14:textId="77777777">
      <w:pPr>
        <w:rPr>
          <w:color w:val="000000"/>
        </w:rPr>
      </w:pPr>
    </w:p>
    <w:p w:rsidR="008C03FF" w:rsidP="008C03FF" w14:paraId="1B080E70" w14:textId="34CA7FB0">
      <w:pPr>
        <w:rPr>
          <w:color w:val="000000"/>
        </w:rPr>
      </w:pPr>
      <w:r>
        <w:rPr>
          <w:color w:val="000000"/>
        </w:rPr>
        <w:t xml:space="preserve">(d) </w:t>
      </w:r>
      <w:bookmarkStart w:id="140" w:name="_Hlk134010990"/>
      <w:r>
        <w:rPr>
          <w:i/>
          <w:iCs/>
          <w:color w:val="000000"/>
        </w:rPr>
        <w:t>Limits on spurious emissions.</w:t>
      </w:r>
      <w:bookmarkEnd w:id="140"/>
    </w:p>
    <w:p w:rsidR="00F54D10" w:rsidP="00F54D10" w14:paraId="56DF1426" w14:textId="1DCED138">
      <w:pPr>
        <w:rPr>
          <w:color w:val="000000"/>
        </w:rPr>
      </w:pPr>
    </w:p>
    <w:p w:rsidR="00F54D10" w:rsidP="00F54D10" w14:paraId="4714E0BA" w14:textId="77777777">
      <w:pPr>
        <w:rPr>
          <w:color w:val="000000"/>
        </w:rPr>
      </w:pPr>
    </w:p>
    <w:p w:rsidR="00F54D10" w:rsidRPr="007C59DE" w:rsidP="00066097" w14:paraId="06FE2121" w14:textId="77777777">
      <w:pPr>
        <w:pStyle w:val="ListParagraph"/>
        <w:ind w:left="0"/>
        <w:rPr>
          <w:color w:val="000000"/>
        </w:rPr>
      </w:pPr>
      <w:r w:rsidRPr="007C59DE">
        <w:rPr>
          <w:color w:val="000000"/>
        </w:rPr>
        <w:t xml:space="preserve">* * * </w:t>
      </w:r>
    </w:p>
    <w:p w:rsidR="00F54D10" w:rsidRPr="007C59DE" w:rsidP="00F54D10" w14:paraId="5E49B57F" w14:textId="77777777">
      <w:pPr>
        <w:ind w:left="720"/>
        <w:rPr>
          <w:color w:val="000000"/>
        </w:rPr>
      </w:pPr>
    </w:p>
    <w:p w:rsidR="007A2BA6" w:rsidP="00F54D10" w14:paraId="5F3631CC" w14:textId="1DA4C0F9">
      <w:pPr>
        <w:rPr>
          <w:snapToGrid/>
          <w:color w:val="000000"/>
          <w:kern w:val="0"/>
        </w:rPr>
      </w:pPr>
      <w:r w:rsidRPr="00F13E1B">
        <w:rPr>
          <w:snapToGrid/>
          <w:color w:val="000000"/>
          <w:kern w:val="0"/>
        </w:rPr>
        <w:t xml:space="preserve">(e) </w:t>
      </w:r>
      <w:r w:rsidRPr="00F13E1B">
        <w:rPr>
          <w:i/>
          <w:color w:val="000000"/>
        </w:rPr>
        <w:t>Limits on transmitter conducted output power.</w:t>
      </w:r>
      <w:r w:rsidRPr="00F13E1B">
        <w:rPr>
          <w:color w:val="000000"/>
        </w:rPr>
        <w:t xml:space="preserve"> </w:t>
      </w:r>
      <w:r w:rsidRPr="5DF47C41">
        <w:rPr>
          <w:snapToGrid/>
          <w:color w:val="000000"/>
          <w:kern w:val="0"/>
        </w:rPr>
        <w:t xml:space="preserve"> </w:t>
      </w:r>
    </w:p>
    <w:p w:rsidR="00DD7203" w:rsidP="00F54D10" w14:paraId="548BC1D5" w14:textId="77777777">
      <w:pPr>
        <w:rPr>
          <w:snapToGrid/>
          <w:color w:val="000000"/>
          <w:kern w:val="0"/>
        </w:rPr>
      </w:pPr>
    </w:p>
    <w:p w:rsidR="00F54D10" w:rsidRPr="00F13E1B" w:rsidP="00F54D10" w14:paraId="4CC4A00E" w14:textId="7D7E5AC1">
      <w:pPr>
        <w:rPr>
          <w:snapToGrid/>
          <w:color w:val="000000"/>
          <w:kern w:val="0"/>
        </w:rPr>
      </w:pPr>
      <w:r>
        <w:rPr>
          <w:snapToGrid/>
          <w:color w:val="000000"/>
          <w:kern w:val="0"/>
        </w:rPr>
        <w:t xml:space="preserve">(1) </w:t>
      </w:r>
      <w:r w:rsidRPr="5DF47C41">
        <w:rPr>
          <w:snapToGrid/>
          <w:color w:val="000000"/>
          <w:kern w:val="0"/>
        </w:rPr>
        <w:t xml:space="preserve">Except as specified </w:t>
      </w:r>
      <w:r w:rsidR="00D50AF6">
        <w:rPr>
          <w:snapToGrid/>
          <w:color w:val="000000"/>
          <w:kern w:val="0"/>
        </w:rPr>
        <w:t xml:space="preserve">in </w:t>
      </w:r>
      <w:r w:rsidRPr="5DF47C41">
        <w:rPr>
          <w:snapToGrid/>
          <w:color w:val="000000"/>
          <w:kern w:val="0"/>
        </w:rPr>
        <w:t>paragraph (</w:t>
      </w:r>
      <w:r>
        <w:rPr>
          <w:snapToGrid/>
          <w:color w:val="000000"/>
          <w:kern w:val="0"/>
        </w:rPr>
        <w:t>e</w:t>
      </w:r>
      <w:r w:rsidRPr="5DF47C41">
        <w:rPr>
          <w:snapToGrid/>
          <w:color w:val="000000"/>
          <w:kern w:val="0"/>
        </w:rPr>
        <w:t>)(</w:t>
      </w:r>
      <w:r>
        <w:rPr>
          <w:snapToGrid/>
          <w:color w:val="000000"/>
          <w:kern w:val="0"/>
        </w:rPr>
        <w:t>2</w:t>
      </w:r>
      <w:r w:rsidRPr="5DF47C41">
        <w:rPr>
          <w:snapToGrid/>
          <w:color w:val="000000"/>
          <w:kern w:val="0"/>
        </w:rPr>
        <w:t xml:space="preserve">) of this section, the peak transmitter conducted output power </w:t>
      </w:r>
      <w:r>
        <w:rPr>
          <w:snapToGrid/>
          <w:color w:val="000000"/>
          <w:kern w:val="0"/>
        </w:rPr>
        <w:t xml:space="preserve">of devices other than field disturbance sensors/radars </w:t>
      </w:r>
      <w:r w:rsidRPr="5DF47C41">
        <w:rPr>
          <w:snapToGrid/>
          <w:color w:val="000000"/>
          <w:kern w:val="0"/>
        </w:rPr>
        <w:t xml:space="preserve">shall not exceed 500 </w:t>
      </w:r>
      <w:r w:rsidRPr="5DF47C41">
        <w:rPr>
          <w:snapToGrid/>
          <w:color w:val="000000"/>
          <w:kern w:val="0"/>
        </w:rPr>
        <w:t>mW</w:t>
      </w:r>
      <w:r w:rsidRPr="5DF47C41">
        <w:rPr>
          <w:snapToGrid/>
          <w:color w:val="000000"/>
          <w:kern w:val="0"/>
        </w:rPr>
        <w:t>. Depending on the gain of the antenna, it may be necessary to operate the intentional radiator using a lower peak transmitter output power in order to comply with the EIRP limits specified in paragraph (</w:t>
      </w:r>
      <w:r w:rsidRPr="00F13E1B">
        <w:rPr>
          <w:color w:val="000000"/>
        </w:rPr>
        <w:t>c</w:t>
      </w:r>
      <w:r w:rsidRPr="5DF47C41">
        <w:rPr>
          <w:snapToGrid/>
          <w:color w:val="000000"/>
          <w:kern w:val="0"/>
        </w:rPr>
        <w:t>) of this section.</w:t>
      </w:r>
    </w:p>
    <w:p w:rsidR="00F54D10" w:rsidP="7F129C06" w14:paraId="2E3D078A" w14:textId="467FD618">
      <w:pPr>
        <w:widowControl/>
        <w:shd w:val="clear" w:color="auto" w:fill="FFFFFF" w:themeFill="background1"/>
        <w:spacing w:before="100" w:beforeAutospacing="1" w:after="100" w:afterAutospacing="1"/>
        <w:rPr>
          <w:color w:val="000000"/>
        </w:rPr>
      </w:pPr>
      <w:r w:rsidRPr="7F129C06">
        <w:rPr>
          <w:snapToGrid/>
          <w:color w:val="000000"/>
          <w:kern w:val="0"/>
        </w:rPr>
        <w:t>(</w:t>
      </w:r>
      <w:r w:rsidRPr="7F129C06" w:rsidR="007A2BA6">
        <w:rPr>
          <w:color w:val="000000" w:themeColor="text1"/>
        </w:rPr>
        <w:t>2</w:t>
      </w:r>
      <w:r w:rsidRPr="7F129C06">
        <w:rPr>
          <w:snapToGrid/>
          <w:color w:val="000000"/>
          <w:kern w:val="0"/>
        </w:rPr>
        <w:t xml:space="preserve">) </w:t>
      </w:r>
      <w:r w:rsidR="00AD7757">
        <w:rPr>
          <w:snapToGrid/>
          <w:color w:val="000000"/>
          <w:kern w:val="0"/>
        </w:rPr>
        <w:t>D</w:t>
      </w:r>
      <w:r w:rsidRPr="7F129C06" w:rsidR="00AD7757">
        <w:rPr>
          <w:snapToGrid/>
          <w:color w:val="000000"/>
          <w:kern w:val="0"/>
        </w:rPr>
        <w:t xml:space="preserve">evices other than field disturbance sensors/radars with an emission bandwidth of less than 100 </w:t>
      </w:r>
      <w:r w:rsidR="00AD7757">
        <w:rPr>
          <w:snapToGrid/>
          <w:color w:val="000000"/>
          <w:kern w:val="0"/>
        </w:rPr>
        <w:t xml:space="preserve">megahertz </w:t>
      </w:r>
      <w:r w:rsidRPr="7F129C06" w:rsidR="00AD7757">
        <w:rPr>
          <w:snapToGrid/>
          <w:color w:val="000000"/>
          <w:kern w:val="0"/>
        </w:rPr>
        <w:t xml:space="preserve">must limit their peak transmitter conducted output power to the product of 500 </w:t>
      </w:r>
      <w:r w:rsidRPr="7F129C06" w:rsidR="00AD7757">
        <w:rPr>
          <w:snapToGrid/>
          <w:color w:val="000000"/>
          <w:kern w:val="0"/>
        </w:rPr>
        <w:t>mW</w:t>
      </w:r>
      <w:r w:rsidRPr="7F129C06" w:rsidR="00AD7757">
        <w:rPr>
          <w:snapToGrid/>
          <w:color w:val="000000"/>
          <w:kern w:val="0"/>
        </w:rPr>
        <w:t xml:space="preserve"> times their emission bandwidth divided by 100 </w:t>
      </w:r>
      <w:r w:rsidR="00AD7757">
        <w:rPr>
          <w:snapToGrid/>
          <w:color w:val="000000"/>
          <w:kern w:val="0"/>
        </w:rPr>
        <w:t>megahertz</w:t>
      </w:r>
      <w:r w:rsidRPr="7F129C06" w:rsidR="00AD7757">
        <w:rPr>
          <w:snapToGrid/>
          <w:color w:val="000000"/>
          <w:kern w:val="0"/>
        </w:rPr>
        <w:t xml:space="preserve">. For the purposes of this paragraph, emission bandwidth is defined as the instantaneous frequency range occupied by a steady state radiated signal with modulation, outside which the radiated power spectral density never exceeds 6 dB below the maximum radiated power spectral density in the band, as measured with a 100 </w:t>
      </w:r>
      <w:r w:rsidR="00AD7757">
        <w:rPr>
          <w:snapToGrid/>
          <w:color w:val="000000"/>
          <w:kern w:val="0"/>
        </w:rPr>
        <w:t>kilohertz</w:t>
      </w:r>
      <w:r w:rsidRPr="7F129C06" w:rsidR="00AD7757">
        <w:rPr>
          <w:snapToGrid/>
          <w:color w:val="000000"/>
          <w:kern w:val="0"/>
        </w:rPr>
        <w:t xml:space="preserve"> resolution bandwidth spectrum analyzer. The center frequency must be stationary during the measurement interval, even if not stationary during normal operation (e.g., for frequency hopping devices).</w:t>
      </w:r>
      <w:r w:rsidRPr="00F13E1B">
        <w:rPr>
          <w:color w:val="000000"/>
        </w:rPr>
        <w:t xml:space="preserve"> </w:t>
      </w:r>
    </w:p>
    <w:p w:rsidR="00280F64" w:rsidP="00BE508A" w14:paraId="197EF27F" w14:textId="423DFE43">
      <w:pPr>
        <w:widowControl/>
        <w:shd w:val="clear" w:color="auto" w:fill="FFFFFF" w:themeFill="background1"/>
        <w:spacing w:before="100" w:beforeAutospacing="1" w:after="100" w:afterAutospacing="1"/>
        <w:rPr>
          <w:snapToGrid/>
          <w:color w:val="000000"/>
          <w:kern w:val="0"/>
          <w:szCs w:val="22"/>
        </w:rPr>
      </w:pPr>
      <w:r>
        <w:rPr>
          <w:snapToGrid/>
          <w:color w:val="000000"/>
          <w:kern w:val="0"/>
          <w:szCs w:val="22"/>
        </w:rPr>
        <w:t>* * *</w:t>
      </w:r>
    </w:p>
    <w:p w:rsidR="0036060E" w:rsidP="00BE508A" w14:paraId="25AB160A" w14:textId="61DA8179">
      <w:pPr>
        <w:widowControl/>
        <w:shd w:val="clear" w:color="auto" w:fill="FFFFFF" w:themeFill="background1"/>
        <w:spacing w:before="100" w:beforeAutospacing="1" w:after="100" w:afterAutospacing="1"/>
        <w:rPr>
          <w:snapToGrid/>
          <w:color w:val="000000"/>
          <w:kern w:val="0"/>
          <w:szCs w:val="22"/>
        </w:rPr>
      </w:pPr>
      <w:r>
        <w:rPr>
          <w:snapToGrid/>
          <w:color w:val="000000"/>
          <w:kern w:val="0"/>
          <w:szCs w:val="22"/>
        </w:rPr>
        <w:t xml:space="preserve">(g) </w:t>
      </w:r>
      <w:r w:rsidRPr="005D7C86" w:rsidR="00873B62">
        <w:rPr>
          <w:i/>
          <w:iCs/>
          <w:snapToGrid/>
          <w:color w:val="000000"/>
          <w:kern w:val="0"/>
          <w:szCs w:val="22"/>
        </w:rPr>
        <w:t xml:space="preserve">Radio </w:t>
      </w:r>
      <w:r w:rsidR="006C039B">
        <w:rPr>
          <w:i/>
          <w:iCs/>
          <w:snapToGrid/>
          <w:color w:val="000000"/>
          <w:kern w:val="0"/>
          <w:szCs w:val="22"/>
        </w:rPr>
        <w:t>f</w:t>
      </w:r>
      <w:r w:rsidRPr="005D7C86" w:rsidR="00873B62">
        <w:rPr>
          <w:i/>
          <w:iCs/>
          <w:snapToGrid/>
          <w:color w:val="000000"/>
          <w:kern w:val="0"/>
          <w:szCs w:val="22"/>
        </w:rPr>
        <w:t xml:space="preserve">requency </w:t>
      </w:r>
      <w:r w:rsidR="006C039B">
        <w:rPr>
          <w:i/>
          <w:iCs/>
          <w:snapToGrid/>
          <w:color w:val="000000"/>
          <w:kern w:val="0"/>
          <w:szCs w:val="22"/>
        </w:rPr>
        <w:t>r</w:t>
      </w:r>
      <w:r w:rsidRPr="005D7C86" w:rsidR="00873B62">
        <w:rPr>
          <w:i/>
          <w:iCs/>
          <w:snapToGrid/>
          <w:color w:val="000000"/>
          <w:kern w:val="0"/>
          <w:szCs w:val="22"/>
        </w:rPr>
        <w:t xml:space="preserve">adiation </w:t>
      </w:r>
      <w:r w:rsidR="006C039B">
        <w:rPr>
          <w:i/>
          <w:iCs/>
          <w:snapToGrid/>
          <w:color w:val="000000"/>
          <w:kern w:val="0"/>
          <w:szCs w:val="22"/>
        </w:rPr>
        <w:t>e</w:t>
      </w:r>
      <w:r w:rsidRPr="005D7C86" w:rsidR="00873B62">
        <w:rPr>
          <w:i/>
          <w:iCs/>
          <w:snapToGrid/>
          <w:color w:val="000000"/>
          <w:kern w:val="0"/>
          <w:szCs w:val="22"/>
        </w:rPr>
        <w:t>xposure</w:t>
      </w:r>
      <w:r w:rsidR="00873B62">
        <w:rPr>
          <w:snapToGrid/>
          <w:color w:val="000000"/>
          <w:kern w:val="0"/>
          <w:szCs w:val="22"/>
        </w:rPr>
        <w:t xml:space="preserve">. * * * </w:t>
      </w:r>
    </w:p>
    <w:p w:rsidR="00873B62" w:rsidRPr="00BE508A" w:rsidP="00A752F0" w14:paraId="5E116CC7" w14:textId="16A5E05E">
      <w:pPr>
        <w:widowControl/>
        <w:shd w:val="clear" w:color="auto" w:fill="FFFFFF" w:themeFill="background1"/>
        <w:spacing w:before="100" w:beforeAutospacing="1" w:after="100" w:afterAutospacing="1"/>
        <w:rPr>
          <w:snapToGrid/>
          <w:color w:val="000000"/>
          <w:kern w:val="0"/>
          <w:szCs w:val="22"/>
        </w:rPr>
      </w:pPr>
      <w:r>
        <w:rPr>
          <w:snapToGrid/>
          <w:color w:val="000000"/>
          <w:kern w:val="0"/>
          <w:szCs w:val="22"/>
        </w:rPr>
        <w:t xml:space="preserve">(h) </w:t>
      </w:r>
      <w:r w:rsidRPr="005D7C86" w:rsidR="00DA7B16">
        <w:rPr>
          <w:i/>
          <w:iCs/>
          <w:snapToGrid/>
          <w:color w:val="000000"/>
          <w:kern w:val="0"/>
          <w:szCs w:val="22"/>
        </w:rPr>
        <w:t xml:space="preserve">Group </w:t>
      </w:r>
      <w:r w:rsidR="006C039B">
        <w:rPr>
          <w:i/>
          <w:iCs/>
          <w:snapToGrid/>
          <w:color w:val="000000"/>
          <w:kern w:val="0"/>
          <w:szCs w:val="22"/>
        </w:rPr>
        <w:t>i</w:t>
      </w:r>
      <w:r w:rsidRPr="005D7C86" w:rsidR="00DA7B16">
        <w:rPr>
          <w:i/>
          <w:iCs/>
          <w:snapToGrid/>
          <w:color w:val="000000"/>
          <w:kern w:val="0"/>
          <w:szCs w:val="22"/>
        </w:rPr>
        <w:t>nstallation</w:t>
      </w:r>
      <w:r w:rsidR="00DA7B16">
        <w:rPr>
          <w:snapToGrid/>
          <w:color w:val="000000"/>
          <w:kern w:val="0"/>
          <w:szCs w:val="22"/>
        </w:rPr>
        <w:t>. * * *</w:t>
      </w:r>
    </w:p>
    <w:p w:rsidR="00270456" w:rsidP="00D057A0" w14:paraId="31BFCCB2" w14:textId="749D3D1A">
      <w:pPr>
        <w:widowControl/>
        <w:shd w:val="clear" w:color="auto" w:fill="FFFFFF" w:themeFill="background1"/>
        <w:spacing w:before="100" w:beforeAutospacing="1" w:after="100" w:afterAutospacing="1"/>
        <w:rPr>
          <w:snapToGrid/>
          <w:color w:val="000000"/>
          <w:kern w:val="0"/>
          <w:szCs w:val="22"/>
        </w:rPr>
      </w:pPr>
      <w:r w:rsidRPr="00DF2D03">
        <w:rPr>
          <w:snapToGrid/>
          <w:color w:val="000000"/>
          <w:kern w:val="0"/>
          <w:szCs w:val="22"/>
        </w:rPr>
        <w:t xml:space="preserve">(i) </w:t>
      </w:r>
      <w:r w:rsidRPr="008C4B8E" w:rsidR="007E3B39">
        <w:rPr>
          <w:i/>
          <w:iCs/>
          <w:snapToGrid/>
          <w:color w:val="000000"/>
          <w:kern w:val="0"/>
          <w:szCs w:val="22"/>
        </w:rPr>
        <w:t>Compliance</w:t>
      </w:r>
      <w:r w:rsidRPr="008C4B8E" w:rsidR="003A104A">
        <w:rPr>
          <w:i/>
          <w:iCs/>
          <w:snapToGrid/>
          <w:color w:val="000000"/>
          <w:kern w:val="0"/>
          <w:szCs w:val="22"/>
        </w:rPr>
        <w:t xml:space="preserve"> </w:t>
      </w:r>
      <w:r w:rsidR="006C039B">
        <w:rPr>
          <w:i/>
          <w:iCs/>
          <w:snapToGrid/>
          <w:color w:val="000000"/>
          <w:kern w:val="0"/>
          <w:szCs w:val="22"/>
        </w:rPr>
        <w:t>m</w:t>
      </w:r>
      <w:r w:rsidRPr="008C4B8E" w:rsidR="008C4B8E">
        <w:rPr>
          <w:i/>
          <w:iCs/>
          <w:snapToGrid/>
          <w:color w:val="000000"/>
          <w:kern w:val="0"/>
          <w:szCs w:val="22"/>
        </w:rPr>
        <w:t>easurement.</w:t>
      </w:r>
      <w:r w:rsidR="008C4B8E">
        <w:rPr>
          <w:snapToGrid/>
          <w:color w:val="000000"/>
          <w:kern w:val="0"/>
          <w:szCs w:val="22"/>
        </w:rPr>
        <w:t xml:space="preserve">  </w:t>
      </w:r>
      <w:r w:rsidRPr="00DF2D03">
        <w:rPr>
          <w:snapToGrid/>
          <w:color w:val="000000"/>
          <w:kern w:val="0"/>
          <w:szCs w:val="22"/>
        </w:rPr>
        <w:t>Measurement procedures that have been found to be acceptable to the Commission in accordance with §</w:t>
      </w:r>
      <w:r w:rsidR="00DD7CC6">
        <w:rPr>
          <w:snapToGrid/>
          <w:color w:val="000000"/>
          <w:kern w:val="0"/>
          <w:szCs w:val="22"/>
        </w:rPr>
        <w:t xml:space="preserve"> </w:t>
      </w:r>
      <w:r w:rsidRPr="00DF2D03">
        <w:rPr>
          <w:snapToGrid/>
          <w:color w:val="000000"/>
          <w:kern w:val="0"/>
          <w:szCs w:val="22"/>
        </w:rPr>
        <w:t>2.947 of this chapter may be used to demonstrate compliance.</w:t>
      </w:r>
    </w:p>
    <w:p w:rsidR="00270456" w:rsidP="00D057A0" w14:paraId="261C8CED" w14:textId="4775EECF">
      <w:pPr>
        <w:widowControl/>
        <w:shd w:val="clear" w:color="auto" w:fill="FFFFFF" w:themeFill="background1"/>
        <w:spacing w:before="100" w:beforeAutospacing="1" w:after="100" w:afterAutospacing="1"/>
        <w:rPr>
          <w:snapToGrid/>
          <w:color w:val="000000"/>
          <w:kern w:val="0"/>
          <w:szCs w:val="22"/>
        </w:rPr>
      </w:pPr>
      <w:r>
        <w:rPr>
          <w:snapToGrid/>
          <w:color w:val="000000"/>
          <w:kern w:val="0"/>
          <w:szCs w:val="22"/>
        </w:rPr>
        <w:t xml:space="preserve">(1) </w:t>
      </w:r>
      <w:r w:rsidRPr="00DF2D03">
        <w:rPr>
          <w:snapToGrid/>
          <w:color w:val="000000"/>
          <w:kern w:val="0"/>
          <w:szCs w:val="22"/>
        </w:rPr>
        <w:t xml:space="preserve">For purposes of demonstrating compliance with this </w:t>
      </w:r>
      <w:r w:rsidR="008C4B8E">
        <w:rPr>
          <w:snapToGrid/>
          <w:color w:val="000000"/>
          <w:kern w:val="0"/>
          <w:szCs w:val="22"/>
        </w:rPr>
        <w:t>section</w:t>
      </w:r>
      <w:r w:rsidRPr="00DF2D03">
        <w:rPr>
          <w:snapToGrid/>
          <w:color w:val="000000"/>
          <w:kern w:val="0"/>
          <w:szCs w:val="22"/>
        </w:rPr>
        <w:t>, corrections to the transmitter conducted output power may be made due to the antenna and circuit loss.</w:t>
      </w:r>
    </w:p>
    <w:p w:rsidR="00356E4A" w:rsidP="00D057A0" w14:paraId="54C0571D" w14:textId="77777777">
      <w:pPr>
        <w:widowControl/>
        <w:shd w:val="clear" w:color="auto" w:fill="FFFFFF" w:themeFill="background1"/>
        <w:spacing w:before="100" w:beforeAutospacing="1" w:after="100" w:afterAutospacing="1"/>
        <w:rPr>
          <w:color w:val="000000"/>
        </w:rPr>
      </w:pPr>
      <w:r>
        <w:rPr>
          <w:snapToGrid/>
          <w:color w:val="000000"/>
          <w:kern w:val="0"/>
          <w:szCs w:val="22"/>
        </w:rPr>
        <w:t xml:space="preserve">(2) </w:t>
      </w:r>
      <w:r w:rsidRPr="00F13E1B">
        <w:rPr>
          <w:color w:val="000000"/>
        </w:rPr>
        <w:t>Compliance measurements of frequency-agile field disturbance sensors</w:t>
      </w:r>
      <w:r>
        <w:rPr>
          <w:color w:val="000000"/>
        </w:rPr>
        <w:t>/radars</w:t>
      </w:r>
      <w:r w:rsidRPr="00F13E1B">
        <w:rPr>
          <w:color w:val="000000"/>
        </w:rPr>
        <w:t xml:space="preserve"> shall be performed with any related frequency sweep, step, or hop function activated.</w:t>
      </w:r>
    </w:p>
    <w:p w:rsidR="00016A9A" w:rsidRPr="00356E4A" w:rsidP="00D057A0" w14:paraId="771BCA34" w14:textId="77777777">
      <w:pPr>
        <w:widowControl/>
        <w:shd w:val="clear" w:color="auto" w:fill="FFFFFF" w:themeFill="background1"/>
        <w:tabs>
          <w:tab w:val="left" w:pos="3000"/>
        </w:tabs>
        <w:spacing w:before="100" w:beforeAutospacing="1" w:after="100" w:afterAutospacing="1"/>
        <w:rPr>
          <w:color w:val="000000"/>
        </w:rPr>
        <w:sectPr w:rsidSect="00D057A0">
          <w:footnotePr>
            <w:numRestart w:val="eachSect"/>
          </w:footnotePr>
          <w:endnotePr>
            <w:numFmt w:val="decimal"/>
          </w:endnotePr>
          <w:pgSz w:w="12240" w:h="15840"/>
          <w:pgMar w:top="1440" w:right="1440" w:bottom="720" w:left="1440" w:header="720" w:footer="720" w:gutter="0"/>
          <w:cols w:space="720"/>
          <w:noEndnote/>
          <w:docGrid w:linePitch="299"/>
        </w:sectPr>
      </w:pPr>
      <w:r>
        <w:rPr>
          <w:snapToGrid/>
          <w:color w:val="000000"/>
          <w:kern w:val="0"/>
          <w:szCs w:val="22"/>
        </w:rPr>
        <w:t xml:space="preserve">* * </w:t>
      </w:r>
      <w:r w:rsidR="00987EC8">
        <w:rPr>
          <w:snapToGrid/>
          <w:color w:val="000000"/>
          <w:kern w:val="0"/>
          <w:szCs w:val="22"/>
        </w:rPr>
        <w:t>* *</w:t>
      </w:r>
      <w:r w:rsidR="002F4F96">
        <w:rPr>
          <w:snapToGrid/>
          <w:color w:val="000000"/>
          <w:kern w:val="0"/>
          <w:szCs w:val="22"/>
        </w:rPr>
        <w:t xml:space="preserve"> *</w:t>
      </w:r>
    </w:p>
    <w:p w:rsidR="00222556" w:rsidP="00222556" w14:paraId="5731C9A1" w14:textId="761EF85D">
      <w:pPr>
        <w:pStyle w:val="Heading1"/>
        <w:numPr>
          <w:ilvl w:val="0"/>
          <w:numId w:val="0"/>
        </w:numPr>
        <w:ind w:left="720" w:hanging="720"/>
        <w:jc w:val="center"/>
      </w:pPr>
      <w:bookmarkStart w:id="141" w:name="_Toc135123556"/>
      <w:r>
        <w:t>APPENDIX C</w:t>
      </w:r>
      <w:bookmarkEnd w:id="141"/>
      <w:r w:rsidR="00DE5AFA">
        <w:t xml:space="preserve"> </w:t>
      </w:r>
    </w:p>
    <w:p w:rsidR="00BF06A1" w:rsidP="00BF06A1" w14:paraId="2D812254" w14:textId="77777777">
      <w:pPr>
        <w:pStyle w:val="StyleBoldCentered"/>
      </w:pPr>
      <w:r w:rsidRPr="002E7A53">
        <w:rPr>
          <w:rFonts w:ascii="Times New Roman" w:hAnsi="Times New Roman"/>
          <w:caps w:val="0"/>
        </w:rPr>
        <w:t>Final R</w:t>
      </w:r>
      <w:r>
        <w:rPr>
          <w:rFonts w:ascii="Times New Roman" w:hAnsi="Times New Roman"/>
          <w:caps w:val="0"/>
        </w:rPr>
        <w:t>egulatory</w:t>
      </w:r>
      <w:r w:rsidRPr="002E7A53">
        <w:rPr>
          <w:rFonts w:ascii="Times New Roman" w:hAnsi="Times New Roman"/>
          <w:caps w:val="0"/>
        </w:rPr>
        <w:t xml:space="preserve"> F</w:t>
      </w:r>
      <w:r>
        <w:rPr>
          <w:rFonts w:ascii="Times New Roman" w:hAnsi="Times New Roman"/>
          <w:caps w:val="0"/>
        </w:rPr>
        <w:t>lexibility</w:t>
      </w:r>
      <w:r w:rsidRPr="002E7A53">
        <w:rPr>
          <w:rFonts w:ascii="Times New Roman" w:hAnsi="Times New Roman"/>
          <w:caps w:val="0"/>
        </w:rPr>
        <w:t xml:space="preserve"> A</w:t>
      </w:r>
      <w:r>
        <w:rPr>
          <w:rFonts w:ascii="Times New Roman" w:hAnsi="Times New Roman"/>
          <w:caps w:val="0"/>
        </w:rPr>
        <w:t>nalysis</w:t>
      </w:r>
    </w:p>
    <w:p w:rsidR="00BF06A1" w:rsidRPr="00B27FE8" w:rsidP="00BF06A1" w14:paraId="4E0EC628" w14:textId="77777777">
      <w:pPr>
        <w:contextualSpacing/>
        <w:jc w:val="center"/>
        <w:rPr>
          <w:color w:val="000000"/>
        </w:rPr>
      </w:pPr>
    </w:p>
    <w:p w:rsidR="00BF06A1" w:rsidP="00BF06A1" w14:paraId="27D4DDF9" w14:textId="77777777">
      <w:pPr>
        <w:pStyle w:val="ParaNum"/>
        <w:numPr>
          <w:ilvl w:val="0"/>
          <w:numId w:val="11"/>
        </w:numPr>
        <w:tabs>
          <w:tab w:val="clear" w:pos="1080"/>
        </w:tabs>
      </w:pPr>
      <w:r w:rsidRPr="004E04D0">
        <w:t>A</w:t>
      </w:r>
      <w:r w:rsidRPr="00905CE8">
        <w:t xml:space="preserve">s required by the Regulatory Flexibility Act </w:t>
      </w:r>
      <w:r>
        <w:t>of 1980, as amended</w:t>
      </w:r>
      <w:r w:rsidRPr="00905CE8">
        <w:t xml:space="preserve"> (RFA),</w:t>
      </w:r>
      <w:r>
        <w:rPr>
          <w:vertAlign w:val="superscript"/>
        </w:rPr>
        <w:footnoteReference w:id="180"/>
      </w:r>
      <w:r w:rsidRPr="00905CE8">
        <w:t xml:space="preserve"> a</w:t>
      </w:r>
      <w:r>
        <w:t>n</w:t>
      </w:r>
      <w:r w:rsidRPr="00905CE8">
        <w:t xml:space="preserve"> Initial Regulatory Flexibility Analysis (IRFA) was incorporated in the </w:t>
      </w:r>
      <w:r w:rsidRPr="00CA3477">
        <w:rPr>
          <w:i/>
        </w:rPr>
        <w:t>Notice of Proposed Rulemaking</w:t>
      </w:r>
      <w:r w:rsidRPr="00905CE8">
        <w:t xml:space="preserve"> (</w:t>
      </w:r>
      <w:r w:rsidRPr="00CA3477">
        <w:rPr>
          <w:i/>
          <w:iCs/>
        </w:rPr>
        <w:t>NPRM</w:t>
      </w:r>
      <w:r w:rsidRPr="00905CE8">
        <w:t xml:space="preserve">) </w:t>
      </w:r>
      <w:r>
        <w:t xml:space="preserve">released </w:t>
      </w:r>
      <w:r w:rsidRPr="00905CE8">
        <w:t>in</w:t>
      </w:r>
      <w:r>
        <w:t xml:space="preserve"> July 2021 in this proceeding</w:t>
      </w:r>
      <w:r w:rsidRPr="00905CE8">
        <w:t>.</w:t>
      </w:r>
      <w:r>
        <w:rPr>
          <w:vertAlign w:val="superscript"/>
        </w:rPr>
        <w:footnoteReference w:id="181"/>
      </w:r>
      <w:r w:rsidRPr="00905CE8">
        <w:t xml:space="preserve">  The Commission sought written public comment on the proposals in the</w:t>
      </w:r>
      <w:r>
        <w:t xml:space="preserve"> </w:t>
      </w:r>
      <w:r w:rsidRPr="00CA3477">
        <w:rPr>
          <w:i/>
          <w:iCs/>
        </w:rPr>
        <w:t>NPRM</w:t>
      </w:r>
      <w:r w:rsidRPr="00905CE8">
        <w:t xml:space="preserve">, including comment on the IRFA.  </w:t>
      </w:r>
      <w:r w:rsidRPr="0016057E">
        <w:t xml:space="preserve">No comments were filed addressing the IRFA.  </w:t>
      </w:r>
      <w:r w:rsidRPr="00905CE8">
        <w:t>This present Final Regulatory Flexibility Analysis (FRFA) conforms to the RFA.</w:t>
      </w:r>
      <w:r>
        <w:rPr>
          <w:rStyle w:val="FootnoteReference"/>
        </w:rPr>
        <w:footnoteReference w:id="182"/>
      </w:r>
    </w:p>
    <w:p w:rsidR="00BF06A1" w:rsidRPr="00BE3F88" w:rsidP="00373159" w14:paraId="2C547373" w14:textId="77777777">
      <w:pPr>
        <w:pStyle w:val="Heading2"/>
        <w:rPr>
          <w:color w:val="000000"/>
        </w:rPr>
      </w:pPr>
      <w:bookmarkStart w:id="142" w:name="_Toc135123557"/>
      <w:r w:rsidRPr="002862CA">
        <w:t>Need for, and Objectives of, the</w:t>
      </w:r>
      <w:r>
        <w:t xml:space="preserve"> </w:t>
      </w:r>
      <w:r w:rsidRPr="004A17A5">
        <w:rPr>
          <w:i/>
          <w:iCs/>
        </w:rPr>
        <w:t>Report and Order</w:t>
      </w:r>
      <w:bookmarkEnd w:id="142"/>
    </w:p>
    <w:p w:rsidR="00BF06A1" w:rsidP="00BF06A1" w14:paraId="3EDDBC06" w14:textId="4F3E0F2C">
      <w:pPr>
        <w:pStyle w:val="ParaNum"/>
      </w:pPr>
      <w:r>
        <w:t xml:space="preserve">This </w:t>
      </w:r>
      <w:r w:rsidRPr="00984C92">
        <w:rPr>
          <w:i/>
          <w:iCs/>
        </w:rPr>
        <w:t>Report and Order</w:t>
      </w:r>
      <w:r>
        <w:t xml:space="preserve"> </w:t>
      </w:r>
      <w:r w:rsidRPr="00FC3029">
        <w:t>revise</w:t>
      </w:r>
      <w:r>
        <w:t>s</w:t>
      </w:r>
      <w:r w:rsidRPr="00FC3029">
        <w:t xml:space="preserve"> </w:t>
      </w:r>
      <w:r>
        <w:t xml:space="preserve">section 15.255 of the Commission’s </w:t>
      </w:r>
      <w:r w:rsidRPr="00FC3029">
        <w:t>rule</w:t>
      </w:r>
      <w:r>
        <w:t>s</w:t>
      </w:r>
      <w:r w:rsidRPr="00FC3029">
        <w:t xml:space="preserve"> to provide </w:t>
      </w:r>
      <w:r>
        <w:t>new opportunities for</w:t>
      </w:r>
      <w:r w:rsidRPr="00FC3029">
        <w:t xml:space="preserve"> unlicensed field disturbance sensor (FDS) devices </w:t>
      </w:r>
      <w:r>
        <w:t>(e.g., radars) to operate</w:t>
      </w:r>
      <w:r w:rsidRPr="00FC3029">
        <w:t xml:space="preserve"> in the 57-</w:t>
      </w:r>
      <w:r>
        <w:t>71</w:t>
      </w:r>
      <w:r w:rsidRPr="00FC3029">
        <w:t xml:space="preserve"> GHz band</w:t>
      </w:r>
      <w:r>
        <w:t xml:space="preserve"> (60 GHz band) while still ensuring coexistence with other unlicensed technologies in the band and with passive sensors in the 57.0-59.3 GHz Earth Exploration Satellite Service (EESS) band.  The final rules set forth distinct technical and operational provisions for different segments of the band.  They will permit new fixed and mobile FDS devices to implement pulse or frequency-modulated continuous-wave (FMCW) techniques to facilitate new use cases including installation on low-flying unmanned </w:t>
      </w:r>
      <w:r w:rsidR="00C247CF">
        <w:t>aircraft</w:t>
      </w:r>
      <w:r>
        <w:t xml:space="preserve">.  Importantly, novel use cases that support safety, such as </w:t>
      </w:r>
      <w:r w:rsidRPr="00A50E17">
        <w:t>vehicle occupant detection, chest movement detection to determine breathing patterns, and eye lid movement detection to determine driver alertness are also expected to see widespread deployment.</w:t>
      </w:r>
      <w:r>
        <w:t xml:space="preserve"> </w:t>
      </w:r>
    </w:p>
    <w:p w:rsidR="00BF06A1" w:rsidRPr="00B27FE8" w:rsidP="00BF06A1" w14:paraId="5B830353" w14:textId="77777777">
      <w:pPr>
        <w:pStyle w:val="ParaNum"/>
      </w:pPr>
      <w:r>
        <w:t xml:space="preserve">Specifically, the </w:t>
      </w:r>
      <w:r w:rsidRPr="004A17A5">
        <w:t>Report and Order</w:t>
      </w:r>
      <w:r>
        <w:t>: 1) c</w:t>
      </w:r>
      <w:r w:rsidRPr="000275CA">
        <w:t>larifies the relationship between radars and FDS applications and modifies the rules to expand mobile FDS operations within the 60 GHz band, including within the 61.0-61.5 GHz sub band, where higher powered operations are currently permitted but only for fixed use;</w:t>
      </w:r>
      <w:r>
        <w:t xml:space="preserve"> 2) p</w:t>
      </w:r>
      <w:r w:rsidRPr="000275CA">
        <w:t xml:space="preserve">ermits various EIRP levels along with specific duty cycle restrictions related to specific segmentations of the band for FDS devices that limit their operating frequencies to the 57-64 GHz portion of the 57-71 GHz band.  The </w:t>
      </w:r>
      <w:r w:rsidRPr="004A17A5">
        <w:t>Report and Order</w:t>
      </w:r>
      <w:r w:rsidRPr="000275CA">
        <w:t xml:space="preserve"> found that these distinctions offer the best opportunity for new and existing unlicensed devices to successfully co-exist in the 60 GHz band;3) permit</w:t>
      </w:r>
      <w:r>
        <w:t>s</w:t>
      </w:r>
      <w:r w:rsidRPr="000275CA">
        <w:t xml:space="preserve"> FDS operation on-board unmanned aircraft (UA) flying at altitudes less than 121.92 meters (400 feet) above ground level, limited to the 60-64 GHz band, at up to 20 dBm peak EIRP subject to a 50% duty cycle</w:t>
      </w:r>
      <w:r>
        <w:t>;</w:t>
      </w:r>
      <w:r w:rsidRPr="000275CA">
        <w:t xml:space="preserve"> and discuss</w:t>
      </w:r>
      <w:r>
        <w:t>es</w:t>
      </w:r>
      <w:r w:rsidRPr="000275CA">
        <w:t xml:space="preserve"> how our new rules for FDS devices relate to existing provisions for limited in-cabin aeronautical use; and</w:t>
      </w:r>
      <w:r>
        <w:t xml:space="preserve"> </w:t>
      </w:r>
      <w:r w:rsidRPr="000275CA">
        <w:t>4) addresses matters related to compliance testing and use of equipment that currently operates under waivers of the existing rules.</w:t>
      </w:r>
    </w:p>
    <w:p w:rsidR="00BF06A1" w:rsidRPr="004A61E2" w:rsidP="00373159" w14:paraId="4C237C7D" w14:textId="77777777">
      <w:pPr>
        <w:pStyle w:val="Heading2"/>
        <w:rPr>
          <w:color w:val="000000"/>
        </w:rPr>
      </w:pPr>
      <w:bookmarkStart w:id="143" w:name="_Toc56528945"/>
      <w:bookmarkStart w:id="144" w:name="_Toc135123558"/>
      <w:r w:rsidRPr="00BA3129">
        <w:t>Summary of Significant Issues Raised by Public Comments in Response to the IRFA</w:t>
      </w:r>
      <w:bookmarkEnd w:id="143"/>
      <w:bookmarkEnd w:id="144"/>
    </w:p>
    <w:p w:rsidR="00BF06A1" w:rsidRPr="00B27FE8" w:rsidP="00BF06A1" w14:paraId="086BB27D" w14:textId="77777777">
      <w:pPr>
        <w:pStyle w:val="ParaNum"/>
      </w:pPr>
      <w:r w:rsidRPr="0045533F">
        <w:t xml:space="preserve">There were no comments filed that specifically addressed the </w:t>
      </w:r>
      <w:r>
        <w:t xml:space="preserve">proposed </w:t>
      </w:r>
      <w:r w:rsidRPr="0045533F">
        <w:t>rules and polic</w:t>
      </w:r>
      <w:r>
        <w:t>i</w:t>
      </w:r>
      <w:r w:rsidRPr="0045533F">
        <w:t>es pr</w:t>
      </w:r>
      <w:r>
        <w:t>esented</w:t>
      </w:r>
      <w:r w:rsidRPr="0045533F">
        <w:t xml:space="preserve"> in the IRFA.</w:t>
      </w:r>
    </w:p>
    <w:p w:rsidR="00BF06A1" w:rsidRPr="004A61E2" w:rsidP="00373159" w14:paraId="26AB082E" w14:textId="77777777">
      <w:pPr>
        <w:pStyle w:val="Heading2"/>
        <w:rPr>
          <w:color w:val="000000"/>
        </w:rPr>
      </w:pPr>
      <w:bookmarkStart w:id="145" w:name="_Toc56528946"/>
      <w:bookmarkStart w:id="146" w:name="_Toc135123559"/>
      <w:r w:rsidRPr="00BA3129">
        <w:t xml:space="preserve">Response to </w:t>
      </w:r>
      <w:r>
        <w:t>C</w:t>
      </w:r>
      <w:r w:rsidRPr="00BA3129">
        <w:t>omments by the Chief Counsel for Advocacy of the Small Business Administration</w:t>
      </w:r>
      <w:bookmarkEnd w:id="145"/>
      <w:bookmarkEnd w:id="146"/>
    </w:p>
    <w:p w:rsidR="00BF06A1" w:rsidP="00BF06A1" w14:paraId="0A658AFB" w14:textId="77777777">
      <w:pPr>
        <w:pStyle w:val="ParaNum"/>
      </w:pPr>
      <w:r w:rsidRPr="0045533F">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sz w:val="20"/>
          <w:vertAlign w:val="superscript"/>
        </w:rPr>
        <w:footnoteReference w:id="183"/>
      </w:r>
      <w:r w:rsidRPr="0045533F">
        <w:t xml:space="preserve">  </w:t>
      </w:r>
    </w:p>
    <w:p w:rsidR="00BF06A1" w:rsidP="00BF06A1" w14:paraId="7491707C" w14:textId="77777777">
      <w:pPr>
        <w:pStyle w:val="ParaNum"/>
      </w:pPr>
      <w:r w:rsidRPr="0045533F">
        <w:t>The Chief Counsel did not file any comments in response to the proposed rules</w:t>
      </w:r>
      <w:r>
        <w:t xml:space="preserve"> in this proceeding</w:t>
      </w:r>
      <w:r w:rsidRPr="0045533F">
        <w:t>.</w:t>
      </w:r>
    </w:p>
    <w:p w:rsidR="00BF06A1" w:rsidRPr="004A61E2" w:rsidP="00373159" w14:paraId="0A9532D2" w14:textId="77777777">
      <w:pPr>
        <w:pStyle w:val="Heading2"/>
        <w:rPr>
          <w:color w:val="000000"/>
        </w:rPr>
      </w:pPr>
      <w:bookmarkStart w:id="147" w:name="_Toc135123560"/>
      <w:r w:rsidRPr="00595F7A">
        <w:t xml:space="preserve">Description and Estimate of the Number of Small Entities to Which </w:t>
      </w:r>
      <w:r>
        <w:t xml:space="preserve">the Proposed </w:t>
      </w:r>
      <w:r w:rsidRPr="00595F7A">
        <w:t>Rules W</w:t>
      </w:r>
      <w:r>
        <w:t>ould</w:t>
      </w:r>
      <w:r w:rsidRPr="00595F7A">
        <w:t xml:space="preserve"> Apply</w:t>
      </w:r>
      <w:bookmarkEnd w:id="147"/>
      <w:r>
        <w:t xml:space="preserve"> </w:t>
      </w:r>
    </w:p>
    <w:p w:rsidR="00BF06A1" w:rsidRPr="00C47619" w:rsidP="00BF06A1" w14:paraId="18CB59D0" w14:textId="77777777">
      <w:pPr>
        <w:pStyle w:val="ParaNum"/>
      </w:pPr>
      <w:r w:rsidRPr="001D2C0A">
        <w:t>The</w:t>
      </w:r>
      <w:r w:rsidRPr="00BB694C">
        <w:t xml:space="preserve"> RFA directs agencies to provide a description of, and where feasible, an estimate of the number of </w:t>
      </w:r>
      <w:r w:rsidRPr="001F045C">
        <w:t>small entities that may be affected by the rules adopted herein.</w:t>
      </w:r>
      <w:r>
        <w:rPr>
          <w:vertAlign w:val="superscript"/>
        </w:rPr>
        <w:footnoteReference w:id="184"/>
      </w:r>
      <w:r w:rsidRPr="001F045C">
        <w:t xml:space="preserve">  The RFA generally defines the term “small entity” as having the same meaning as the terms “small business,” “small organization,” and “small governmental jurisdiction.”</w:t>
      </w:r>
      <w:r>
        <w:rPr>
          <w:vertAlign w:val="superscript"/>
        </w:rPr>
        <w:footnoteReference w:id="185"/>
      </w:r>
      <w:r w:rsidRPr="001F045C">
        <w:t xml:space="preserve">  In addition, the term “small business” has the same meaning as the term “small business concern” under the Small Business Act.</w:t>
      </w:r>
      <w:r>
        <w:rPr>
          <w:vertAlign w:val="superscript"/>
        </w:rPr>
        <w:footnoteReference w:id="186"/>
      </w:r>
      <w:r w:rsidRPr="001F045C">
        <w:t xml:space="preserve">  A “small business concern” is one which: (1) is independently owned and operated; (2) is not dominant in its field of operation; and (3) satisfies any additional criteria established by the SBA.</w:t>
      </w:r>
      <w:r>
        <w:rPr>
          <w:vertAlign w:val="superscript"/>
        </w:rPr>
        <w:footnoteReference w:id="187"/>
      </w:r>
      <w:r w:rsidRPr="00C47619">
        <w:t xml:space="preserve"> </w:t>
      </w:r>
    </w:p>
    <w:p w:rsidR="00BF06A1" w:rsidRPr="000C436E" w:rsidP="00BF06A1" w14:paraId="4C414AE4" w14:textId="77777777">
      <w:pPr>
        <w:pStyle w:val="ParaNum"/>
      </w:pPr>
      <w:r w:rsidRPr="000C436E">
        <w:rPr>
          <w:i/>
        </w:rPr>
        <w:t>Radio and Television Broadcasting and Wireless Communications Equipment Manufacturing.</w:t>
      </w:r>
      <w:r w:rsidRPr="00C47619">
        <w:t xml:space="preserve">  This industry comprises establishments primarily engaged in manufacturing radio and television broadcast and wireless communications equipment.</w:t>
      </w:r>
      <w:r>
        <w:rPr>
          <w:rStyle w:val="FootnoteReference"/>
          <w:szCs w:val="22"/>
        </w:rPr>
        <w:footnoteReference w:id="188"/>
      </w:r>
      <w:r w:rsidRPr="00C47619">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rStyle w:val="FootnoteReference"/>
          <w:szCs w:val="22"/>
        </w:rPr>
        <w:footnoteReference w:id="189"/>
      </w:r>
      <w:r w:rsidRPr="00C47619">
        <w:t xml:space="preserve">  The SBA </w:t>
      </w:r>
      <w:r>
        <w:t xml:space="preserve">small business </w:t>
      </w:r>
      <w:r w:rsidRPr="00C47619">
        <w:t>size standard for this industry classifies firms having 1,250 employees or less as small.</w:t>
      </w:r>
      <w:r>
        <w:rPr>
          <w:rStyle w:val="FootnoteReference"/>
          <w:szCs w:val="22"/>
        </w:rPr>
        <w:footnoteReference w:id="190"/>
      </w:r>
      <w:r w:rsidRPr="00C47619">
        <w:t xml:space="preserve">  U.S. Census Bureau data for 2017 show that there were 656 firms in this </w:t>
      </w:r>
      <w:r>
        <w:t>industry</w:t>
      </w:r>
      <w:r w:rsidRPr="00C47619">
        <w:t xml:space="preserve"> that operated for the entire year.</w:t>
      </w:r>
      <w:r>
        <w:rPr>
          <w:rStyle w:val="FootnoteReference"/>
          <w:szCs w:val="22"/>
        </w:rPr>
        <w:footnoteReference w:id="191"/>
      </w:r>
      <w:r w:rsidRPr="00C47619">
        <w:t xml:space="preserve">  Of this </w:t>
      </w:r>
      <w:r>
        <w:t>number</w:t>
      </w:r>
      <w:r w:rsidRPr="00C47619">
        <w:t>, 624 had fewer than 250 employees.</w:t>
      </w:r>
      <w:r>
        <w:rPr>
          <w:rStyle w:val="FootnoteReference"/>
          <w:szCs w:val="22"/>
        </w:rPr>
        <w:footnoteReference w:id="192"/>
      </w:r>
      <w:r w:rsidRPr="00C47619">
        <w:t xml:space="preserve">  Based on this data, we conclude that a majority of manufacturers in this industry are small.  </w:t>
      </w:r>
      <w:r w:rsidRPr="000C436E">
        <w:rPr>
          <w:szCs w:val="22"/>
        </w:rPr>
        <w:t xml:space="preserve"> </w:t>
      </w:r>
    </w:p>
    <w:p w:rsidR="00BF06A1" w:rsidRPr="004511CF" w:rsidP="00373159" w14:paraId="7FE2EDDB" w14:textId="77777777">
      <w:pPr>
        <w:pStyle w:val="Heading2"/>
        <w:rPr>
          <w:color w:val="000000"/>
        </w:rPr>
      </w:pPr>
      <w:bookmarkStart w:id="148" w:name="_Toc135123561"/>
      <w:r w:rsidRPr="004511CF">
        <w:t>Description of Projected Reporting, Recordkeeping, and Other Compliance Requirements for Small Entities</w:t>
      </w:r>
      <w:bookmarkEnd w:id="148"/>
    </w:p>
    <w:p w:rsidR="00BF06A1" w:rsidP="00735946" w14:paraId="3FCBF361" w14:textId="77777777">
      <w:pPr>
        <w:pStyle w:val="ParaNum"/>
        <w:widowControl/>
      </w:pPr>
      <w:r>
        <w:rPr>
          <w:color w:val="000000"/>
        </w:rPr>
        <w:t>As there is insufficient data on the record, t</w:t>
      </w:r>
      <w:r w:rsidRPr="00BE4C16">
        <w:t>he Commission cannot, at present, definitively quantify the cost of</w:t>
      </w:r>
      <w:r>
        <w:t xml:space="preserve"> recordkeeping, reporting or other forms of</w:t>
      </w:r>
      <w:r w:rsidRPr="00BE4C16">
        <w:t xml:space="preserve"> compliance and cannot determine whether small entities will have to hire attorneys, engineers, consultants or other professionals to comply with the </w:t>
      </w:r>
      <w:r>
        <w:t>rules</w:t>
      </w:r>
      <w:r w:rsidRPr="00BE4C16">
        <w:t xml:space="preserve"> adopted in the </w:t>
      </w:r>
      <w:r w:rsidRPr="00BE4C16">
        <w:rPr>
          <w:i/>
          <w:iCs/>
        </w:rPr>
        <w:t>Report and</w:t>
      </w:r>
      <w:r>
        <w:rPr>
          <w:i/>
          <w:iCs/>
        </w:rPr>
        <w:t xml:space="preserve"> Order</w:t>
      </w:r>
      <w:r w:rsidRPr="00905CE8">
        <w:t xml:space="preserve">; however, we sought comment on any steps that could be taken to </w:t>
      </w:r>
      <w:r w:rsidRPr="00905CE8">
        <w:t xml:space="preserve">minimize any significant economic impact on small businesses.  </w:t>
      </w:r>
      <w:r>
        <w:t xml:space="preserve">No comments were received on this issue.  </w:t>
      </w:r>
    </w:p>
    <w:p w:rsidR="00BF06A1" w:rsidRPr="004A17A5" w:rsidP="00BF06A1" w14:paraId="0E449DCB" w14:textId="77777777">
      <w:pPr>
        <w:pStyle w:val="ParaNum"/>
      </w:pPr>
      <w:r>
        <w:t>R</w:t>
      </w:r>
      <w:r w:rsidRPr="00E8419C">
        <w:t xml:space="preserve">adars operating in the </w:t>
      </w:r>
      <w:r>
        <w:t>60 GHz</w:t>
      </w:r>
      <w:r w:rsidRPr="00E8419C">
        <w:t xml:space="preserve"> band are required to be authorized under the Commission's certification procedure as a prerequisite to marketing and importation, and the </w:t>
      </w:r>
      <w:r>
        <w:t xml:space="preserve">rules adopted in the </w:t>
      </w:r>
      <w:r w:rsidRPr="00D93DAC">
        <w:rPr>
          <w:i/>
        </w:rPr>
        <w:t>Report and Order</w:t>
      </w:r>
      <w:r>
        <w:t xml:space="preserve"> have no impact on </w:t>
      </w:r>
      <w:r w:rsidRPr="00E8419C">
        <w:t>that requirement.</w:t>
      </w:r>
      <w:r>
        <w:t xml:space="preserve">  W</w:t>
      </w:r>
      <w:r w:rsidRPr="00905CE8">
        <w:t xml:space="preserve">e believe that this rulemaking, by expanding the </w:t>
      </w:r>
      <w:r>
        <w:t>flexibility</w:t>
      </w:r>
      <w:r w:rsidRPr="00905CE8">
        <w:t xml:space="preserve"> of unlicensed </w:t>
      </w:r>
      <w:r>
        <w:t xml:space="preserve">FDS </w:t>
      </w:r>
      <w:r w:rsidRPr="00905CE8">
        <w:t>devices in the 6</w:t>
      </w:r>
      <w:r>
        <w:t>0</w:t>
      </w:r>
      <w:r w:rsidRPr="00905CE8">
        <w:t xml:space="preserve"> GHz band, w</w:t>
      </w:r>
      <w:r>
        <w:t xml:space="preserve">ill </w:t>
      </w:r>
      <w:r w:rsidRPr="00905CE8">
        <w:t xml:space="preserve">provide an advantage to small entities, as these entities </w:t>
      </w:r>
      <w:r>
        <w:t>will</w:t>
      </w:r>
      <w:r w:rsidRPr="00905CE8">
        <w:t xml:space="preserve"> benefit from being able to access this spectrum without the complication or cost of needing to obtain a license</w:t>
      </w:r>
      <w:r>
        <w:t xml:space="preserve"> by operating FDS devices in other frequency bands</w:t>
      </w:r>
      <w:r w:rsidRPr="00905CE8">
        <w:t xml:space="preserve">.  On balance, </w:t>
      </w:r>
      <w:r>
        <w:t xml:space="preserve">we believe </w:t>
      </w:r>
      <w:r w:rsidRPr="00905CE8">
        <w:t xml:space="preserve">this </w:t>
      </w:r>
      <w:r>
        <w:t>will</w:t>
      </w:r>
      <w:r w:rsidRPr="00905CE8">
        <w:t xml:space="preserve"> constitute a significant benefit for small businesses.</w:t>
      </w:r>
    </w:p>
    <w:p w:rsidR="00BF06A1" w:rsidRPr="00520E00" w:rsidP="00373159" w14:paraId="79662825" w14:textId="77777777">
      <w:pPr>
        <w:pStyle w:val="Heading2"/>
        <w:rPr>
          <w:color w:val="000000"/>
        </w:rPr>
      </w:pPr>
      <w:bookmarkStart w:id="149" w:name="_Toc135123562"/>
      <w:r w:rsidRPr="00520E00">
        <w:t>Steps Taken to Minimize the Significant Economic Impact on Small Entities, and Significant Alternatives Considered</w:t>
      </w:r>
      <w:bookmarkEnd w:id="149"/>
    </w:p>
    <w:p w:rsidR="00BF06A1" w:rsidRPr="00B27FE8" w:rsidP="00BF06A1" w14:paraId="5F1F0482" w14:textId="77777777">
      <w:pPr>
        <w:pStyle w:val="ParaNum"/>
      </w:pPr>
      <w:r w:rsidRPr="007C5D63">
        <w:t>The RFA requires an agency to provide, “a description of the steps the agency has taken to minimize the significant economic impact on small entities…including a statement of the factual, policy, and legal reasons for selecting the alternative adopted in the final rule and why each one of the other significant alternatives to the rule considered by the agency which affect the impact on small entities was rejected.”</w:t>
      </w:r>
      <w:r>
        <w:rPr>
          <w:rStyle w:val="FootnoteReference"/>
        </w:rPr>
        <w:footnoteReference w:id="193"/>
      </w:r>
    </w:p>
    <w:p w:rsidR="00BF06A1" w:rsidP="00BF06A1" w14:paraId="43FCCCD0" w14:textId="77777777">
      <w:pPr>
        <w:pStyle w:val="ParaNum"/>
      </w:pPr>
      <w:r w:rsidRPr="00B27FE8">
        <w:t xml:space="preserve">The rule changes in the </w:t>
      </w:r>
      <w:r>
        <w:rPr>
          <w:i/>
        </w:rPr>
        <w:t>Report and Order</w:t>
      </w:r>
      <w:r w:rsidRPr="00B27FE8">
        <w:t xml:space="preserve"> for higher power to field disturbance sensors and radars </w:t>
      </w:r>
      <w:r>
        <w:t>will</w:t>
      </w:r>
      <w:r w:rsidRPr="00B27FE8">
        <w:t xml:space="preserve"> provide greater flexibility to 60 GHz device operations</w:t>
      </w:r>
      <w:r w:rsidRPr="00996E10">
        <w:t xml:space="preserve"> </w:t>
      </w:r>
      <w:r>
        <w:t xml:space="preserve">by </w:t>
      </w:r>
      <w:r w:rsidRPr="00996E10">
        <w:t>expanding the permissible uses for short-range radars in the 57 to 64 GHz band while promoting coexistence with other unlicensed users</w:t>
      </w:r>
      <w:r>
        <w:t>,</w:t>
      </w:r>
      <w:r w:rsidRPr="00996E10">
        <w:t xml:space="preserve"> and not interfering with licensed and authorized users in the band</w:t>
      </w:r>
      <w:r w:rsidRPr="00B27FE8">
        <w:t xml:space="preserve">.  </w:t>
      </w:r>
      <w:r w:rsidRPr="00F726FA">
        <w:t>As these rule changes provide greater flexibility, the</w:t>
      </w:r>
      <w:r>
        <w:t>y</w:t>
      </w:r>
      <w:r w:rsidRPr="00F726FA">
        <w:t xml:space="preserve"> </w:t>
      </w:r>
      <w:r>
        <w:t xml:space="preserve">may </w:t>
      </w:r>
      <w:r w:rsidRPr="00F726FA">
        <w:t>benefit small entities</w:t>
      </w:r>
      <w:r w:rsidRPr="004A17A5">
        <w:t xml:space="preserve"> in multiple ways</w:t>
      </w:r>
      <w:r w:rsidRPr="00F726FA">
        <w:t>.</w:t>
      </w:r>
      <w:r>
        <w:t xml:space="preserve">  For example, since the operation of 60 GHz devices do not require a license, small entities are able to operate 60 GHz devices without the cost or inconvenience of obtaining a license.  Moreover, with the rule changes, small entities will be able to operate new types of equipment, FDS/radars, at higher power, thus enabling additional applications, bringing multiple consumer benefits.</w:t>
      </w:r>
    </w:p>
    <w:p w:rsidR="00BF06A1" w:rsidP="00BF06A1" w14:paraId="544A1C61" w14:textId="6FE4FD75">
      <w:pPr>
        <w:pStyle w:val="ParaNum"/>
      </w:pPr>
      <w:r>
        <w:t xml:space="preserve">Throughout the comment cycle, the Commission was asked to consider numerous views from small and other entities on matters reflecting </w:t>
      </w:r>
      <w:r w:rsidRPr="006772AE">
        <w:t>longstanding disagreements among</w:t>
      </w:r>
      <w:r>
        <w:t>st</w:t>
      </w:r>
      <w:r w:rsidRPr="006772AE">
        <w:t xml:space="preserve"> various industry segments regarding equitable spectrum access</w:t>
      </w:r>
      <w:r>
        <w:t xml:space="preserve">.  For example, disagreements emerged </w:t>
      </w:r>
      <w:r w:rsidRPr="009A4E71">
        <w:t xml:space="preserve">between radar </w:t>
      </w:r>
      <w:r>
        <w:t xml:space="preserve">proponents </w:t>
      </w:r>
      <w:r w:rsidRPr="009A4E71">
        <w:t>and communication proponents, with parties from each group opposing different aspects of the proposals</w:t>
      </w:r>
      <w:r>
        <w:t xml:space="preserve"> concerning </w:t>
      </w:r>
      <w:r w:rsidRPr="009A4E71">
        <w:t>power levels and duty cycles/radar transmission off-times based on different segmentations of the 57-64 GHz band.</w:t>
      </w:r>
      <w:r>
        <w:t xml:space="preserve">  We considered all proposals raised by the various commentors </w:t>
      </w:r>
      <w:r w:rsidRPr="007F4B3B">
        <w:t xml:space="preserve">as </w:t>
      </w:r>
      <w:r>
        <w:t xml:space="preserve">potential </w:t>
      </w:r>
      <w:r w:rsidRPr="007F4B3B">
        <w:t>alternatives to the proposed rule</w:t>
      </w:r>
      <w:r>
        <w:t xml:space="preserve">.  However, given the wide ranging differences in opinion amongst the various commenters, the Commission sought to </w:t>
      </w:r>
      <w:r w:rsidRPr="007F4B3B">
        <w:t>minimize the significant economic impact on small entities</w:t>
      </w:r>
      <w:r>
        <w:t xml:space="preserve"> by seeking common ground and compromise amongst the disparate parties.  We feel this has been largely achieved in the </w:t>
      </w:r>
      <w:r w:rsidRPr="004A17A5">
        <w:rPr>
          <w:i/>
          <w:iCs/>
        </w:rPr>
        <w:t xml:space="preserve">Report </w:t>
      </w:r>
      <w:r w:rsidR="00644364">
        <w:rPr>
          <w:i/>
          <w:iCs/>
        </w:rPr>
        <w:t>and</w:t>
      </w:r>
      <w:r w:rsidRPr="004A17A5">
        <w:rPr>
          <w:i/>
          <w:iCs/>
        </w:rPr>
        <w:t xml:space="preserve"> Order</w:t>
      </w:r>
      <w:r>
        <w:t xml:space="preserve"> through </w:t>
      </w:r>
      <w:r w:rsidRPr="009A4E71">
        <w:t xml:space="preserve">the Industry Consensus Agreement submitted </w:t>
      </w:r>
      <w:r>
        <w:t xml:space="preserve">on </w:t>
      </w:r>
      <w:r w:rsidRPr="009A4E71">
        <w:t>February 27, 2023 that addresses the interests of both FMCW radars and communications devices,</w:t>
      </w:r>
      <w:r>
        <w:rPr>
          <w:sz w:val="20"/>
          <w:vertAlign w:val="superscript"/>
        </w:rPr>
        <w:footnoteReference w:id="194"/>
      </w:r>
      <w:r w:rsidRPr="009A4E71">
        <w:t xml:space="preserve"> and </w:t>
      </w:r>
      <w:r>
        <w:t xml:space="preserve">via </w:t>
      </w:r>
      <w:r w:rsidRPr="009A4E71">
        <w:t xml:space="preserve">a separate Pulse Radar Joint Agreement submitted </w:t>
      </w:r>
      <w:r>
        <w:t xml:space="preserve">on </w:t>
      </w:r>
      <w:r w:rsidRPr="009A4E71">
        <w:t>November 10, 2022 that describes technical parameters suitable for pulse radar operations.</w:t>
      </w:r>
      <w:r>
        <w:rPr>
          <w:sz w:val="20"/>
          <w:vertAlign w:val="superscript"/>
        </w:rPr>
        <w:footnoteReference w:id="195"/>
      </w:r>
      <w:r w:rsidRPr="009A4E71">
        <w:t xml:space="preserve"> </w:t>
      </w:r>
    </w:p>
    <w:p w:rsidR="00BF06A1" w:rsidP="00735946" w14:paraId="3A2FA6C1" w14:textId="77777777">
      <w:pPr>
        <w:pStyle w:val="ParaNum"/>
        <w:widowControl/>
      </w:pPr>
      <w:r>
        <w:t xml:space="preserve">While any rule changes come with some potential burden, we believe that the rule changes that we are implementing in the </w:t>
      </w:r>
      <w:r w:rsidRPr="00643928">
        <w:rPr>
          <w:i/>
          <w:iCs/>
        </w:rPr>
        <w:t>Report and Order</w:t>
      </w:r>
      <w:r>
        <w:t xml:space="preserve"> are necessary in order to ensure that the public receives the benefits of innovative products and technologies in a prompt and efficient manner.  </w:t>
      </w:r>
    </w:p>
    <w:p w:rsidR="00BF06A1" w:rsidP="00373159" w14:paraId="511D1B12" w14:textId="77777777">
      <w:pPr>
        <w:pStyle w:val="Heading2"/>
      </w:pPr>
      <w:bookmarkStart w:id="150" w:name="_Toc135123563"/>
      <w:bookmarkStart w:id="151" w:name="start_from_here"/>
      <w:r>
        <w:t>Report to Congress</w:t>
      </w:r>
      <w:bookmarkEnd w:id="150"/>
      <w:bookmarkEnd w:id="151"/>
    </w:p>
    <w:p w:rsidR="00BF06A1" w:rsidP="00BF06A1" w14:paraId="64A45D06" w14:textId="77777777">
      <w:pPr>
        <w:pStyle w:val="ParaNum"/>
      </w:pPr>
      <w:r>
        <w:t xml:space="preserve">The Commission will send a copy of the </w:t>
      </w:r>
      <w:r w:rsidRPr="22D8BA30">
        <w:rPr>
          <w:i/>
          <w:iCs/>
        </w:rPr>
        <w:t>Report and Order</w:t>
      </w:r>
      <w:r>
        <w:t>, including this FRFA, in a report to be sent to Congress pursuant to the Congressional Review Act.</w:t>
      </w:r>
      <w:r>
        <w:rPr>
          <w:sz w:val="20"/>
          <w:vertAlign w:val="superscript"/>
        </w:rPr>
        <w:footnoteReference w:id="196"/>
      </w:r>
      <w:r>
        <w:t xml:space="preserve">  In addition, the Commission will send a copy of the </w:t>
      </w:r>
      <w:r w:rsidRPr="22D8BA30">
        <w:rPr>
          <w:i/>
          <w:iCs/>
        </w:rPr>
        <w:t>Report and Order</w:t>
      </w:r>
      <w:r>
        <w:t xml:space="preserve">, including this FRFA, to the Chief Counsel for Advocacy of the SBA.  A copy of the </w:t>
      </w:r>
      <w:r w:rsidRPr="22D8BA30">
        <w:rPr>
          <w:i/>
          <w:iCs/>
        </w:rPr>
        <w:t>Report and Order</w:t>
      </w:r>
      <w:r>
        <w:t xml:space="preserve"> and FRFA (or summaries thereof) will also be published in the Federal Register.</w:t>
      </w:r>
      <w:r>
        <w:rPr>
          <w:sz w:val="20"/>
          <w:vertAlign w:val="superscript"/>
        </w:rPr>
        <w:footnoteReference w:id="197"/>
      </w:r>
    </w:p>
    <w:p w:rsidR="00601367" w14:paraId="0CEEC05D" w14:textId="77777777">
      <w:pPr>
        <w:widowControl/>
        <w:sectPr w:rsidSect="00967201">
          <w:footnotePr>
            <w:numRestart w:val="eachSect"/>
          </w:footnotePr>
          <w:endnotePr>
            <w:numFmt w:val="decimal"/>
          </w:endnotePr>
          <w:pgSz w:w="12240" w:h="15840"/>
          <w:pgMar w:top="1440" w:right="1440" w:bottom="720" w:left="1440" w:header="720" w:footer="720" w:gutter="0"/>
          <w:cols w:space="720"/>
          <w:noEndnote/>
          <w:docGrid w:linePitch="299"/>
        </w:sectPr>
      </w:pPr>
    </w:p>
    <w:p w:rsidR="0012573A" w:rsidP="00987501" w14:paraId="6C24F584" w14:textId="79B403F1">
      <w:pPr>
        <w:pStyle w:val="Heading1"/>
        <w:numPr>
          <w:ilvl w:val="0"/>
          <w:numId w:val="0"/>
        </w:numPr>
        <w:tabs>
          <w:tab w:val="left" w:pos="720"/>
        </w:tabs>
        <w:ind w:left="720" w:hanging="720"/>
        <w:jc w:val="center"/>
      </w:pPr>
      <w:bookmarkStart w:id="152" w:name="_Toc135123564"/>
      <w:r>
        <w:t>APPENDIX D</w:t>
      </w:r>
      <w:bookmarkEnd w:id="152"/>
    </w:p>
    <w:p w:rsidR="00987501" w:rsidRPr="00A752F0" w:rsidP="00A752F0" w14:paraId="00D20BE5" w14:textId="799D0DAF">
      <w:pPr>
        <w:jc w:val="center"/>
        <w:rPr>
          <w:b/>
          <w:bCs/>
        </w:rPr>
      </w:pPr>
      <w:r w:rsidRPr="00A752F0">
        <w:rPr>
          <w:b/>
          <w:bCs/>
        </w:rPr>
        <w:t>Tables Of Technical Parameters</w:t>
      </w:r>
    </w:p>
    <w:p w:rsidR="00601367" w14:paraId="798A512D" w14:textId="004C65AF">
      <w:pPr>
        <w:widowControl/>
      </w:pPr>
    </w:p>
    <w:p w:rsidR="00601367" w:rsidP="00601367" w14:paraId="2B92BEB1" w14:textId="77777777">
      <w:pPr>
        <w:pStyle w:val="ParaNum"/>
        <w:numPr>
          <w:ilvl w:val="0"/>
          <w:numId w:val="0"/>
        </w:numPr>
        <w:spacing w:after="240"/>
        <w:ind w:left="720"/>
        <w:jc w:val="center"/>
        <w:rPr>
          <w:b/>
          <w:bCs/>
        </w:rPr>
      </w:pPr>
      <w:r w:rsidRPr="009A34D0">
        <w:rPr>
          <w:b/>
          <w:bCs/>
        </w:rPr>
        <w:t>Table 1</w:t>
      </w:r>
      <w:r>
        <w:rPr>
          <w:b/>
          <w:bCs/>
        </w:rPr>
        <w:t xml:space="preserve"> – Industry Consensus Agreement</w:t>
      </w:r>
    </w:p>
    <w:tbl>
      <w:tblPr>
        <w:tblW w:w="984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33"/>
        <w:gridCol w:w="1309"/>
        <w:gridCol w:w="1730"/>
        <w:gridCol w:w="2188"/>
        <w:gridCol w:w="2280"/>
      </w:tblGrid>
      <w:tr w14:paraId="2E520B0A" w14:textId="77777777" w:rsidTr="00982399">
        <w:tblPrEx>
          <w:tblW w:w="984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611"/>
        </w:trPr>
        <w:tc>
          <w:tcPr>
            <w:tcW w:w="2333" w:type="dxa"/>
          </w:tcPr>
          <w:p w:rsidR="00601367" w:rsidRPr="00992D01" w14:paraId="37AA5954" w14:textId="77777777">
            <w:pPr>
              <w:pStyle w:val="TableParagraph"/>
              <w:rPr>
                <w:rFonts w:ascii="Times New Roman" w:hAnsi="Times New Roman" w:cs="Times New Roman"/>
              </w:rPr>
            </w:pPr>
          </w:p>
          <w:p w:rsidR="00601367" w:rsidRPr="00992D01" w14:paraId="1D31BADE" w14:textId="77777777">
            <w:pPr>
              <w:pStyle w:val="TableParagraph"/>
              <w:rPr>
                <w:rFonts w:ascii="Times New Roman" w:hAnsi="Times New Roman" w:cs="Times New Roman"/>
              </w:rPr>
            </w:pPr>
          </w:p>
          <w:p w:rsidR="00601367" w:rsidRPr="00A05099" w14:paraId="17DA97D7" w14:textId="77777777">
            <w:pPr>
              <w:pStyle w:val="TableParagraph"/>
              <w:spacing w:before="165"/>
              <w:ind w:left="136" w:right="127"/>
              <w:jc w:val="center"/>
              <w:rPr>
                <w:rFonts w:ascii="Times New Roman" w:hAnsi="Times New Roman" w:cs="Times New Roman"/>
                <w:b/>
              </w:rPr>
            </w:pPr>
            <w:r w:rsidRPr="37763319">
              <w:rPr>
                <w:rFonts w:ascii="Times New Roman" w:hAnsi="Times New Roman" w:cs="Times New Roman"/>
                <w:b/>
                <w:spacing w:val="-4"/>
              </w:rPr>
              <w:t>Mode</w:t>
            </w:r>
          </w:p>
        </w:tc>
        <w:tc>
          <w:tcPr>
            <w:tcW w:w="1309" w:type="dxa"/>
          </w:tcPr>
          <w:p w:rsidR="00601367" w:rsidRPr="00992D01" w14:paraId="37FFC7A2" w14:textId="77777777">
            <w:pPr>
              <w:pStyle w:val="TableParagraph"/>
              <w:rPr>
                <w:rFonts w:ascii="Times New Roman" w:hAnsi="Times New Roman" w:cs="Times New Roman"/>
              </w:rPr>
            </w:pPr>
          </w:p>
          <w:p w:rsidR="00601367" w:rsidRPr="00A05099" w14:paraId="6A9A51FD" w14:textId="77777777">
            <w:pPr>
              <w:pStyle w:val="TableParagraph"/>
              <w:spacing w:before="8"/>
              <w:rPr>
                <w:rFonts w:ascii="Times New Roman" w:hAnsi="Times New Roman" w:cs="Times New Roman"/>
              </w:rPr>
            </w:pPr>
          </w:p>
          <w:p w:rsidR="00601367" w:rsidRPr="00A05099" w14:paraId="3D484355" w14:textId="77777777">
            <w:pPr>
              <w:pStyle w:val="TableParagraph"/>
              <w:ind w:left="371" w:hanging="193"/>
              <w:rPr>
                <w:rFonts w:ascii="Times New Roman" w:hAnsi="Times New Roman" w:cs="Times New Roman"/>
                <w:b/>
              </w:rPr>
            </w:pPr>
            <w:r w:rsidRPr="3BFD2569">
              <w:rPr>
                <w:rFonts w:ascii="Times New Roman" w:hAnsi="Times New Roman" w:cs="Times New Roman"/>
                <w:b/>
                <w:spacing w:val="-2"/>
              </w:rPr>
              <w:t xml:space="preserve">Frequency </w:t>
            </w:r>
            <w:r w:rsidRPr="3BFD2569">
              <w:rPr>
                <w:rFonts w:ascii="Times New Roman" w:hAnsi="Times New Roman" w:cs="Times New Roman"/>
                <w:b/>
                <w:spacing w:val="-4"/>
              </w:rPr>
              <w:t>Range</w:t>
            </w:r>
          </w:p>
        </w:tc>
        <w:tc>
          <w:tcPr>
            <w:tcW w:w="1730" w:type="dxa"/>
          </w:tcPr>
          <w:p w:rsidR="00601367" w:rsidRPr="00992D01" w14:paraId="184BE75A" w14:textId="77777777">
            <w:pPr>
              <w:pStyle w:val="TableParagraph"/>
              <w:rPr>
                <w:rFonts w:ascii="Times New Roman" w:hAnsi="Times New Roman" w:cs="Times New Roman"/>
              </w:rPr>
            </w:pPr>
          </w:p>
          <w:p w:rsidR="00601367" w:rsidRPr="00992D01" w14:paraId="32F72882" w14:textId="77777777">
            <w:pPr>
              <w:pStyle w:val="TableParagraph"/>
              <w:rPr>
                <w:rFonts w:ascii="Times New Roman" w:hAnsi="Times New Roman" w:cs="Times New Roman"/>
              </w:rPr>
            </w:pPr>
          </w:p>
          <w:p w:rsidR="00601367" w:rsidRPr="00992D01" w14:paraId="4ED9E1A3" w14:textId="77777777">
            <w:pPr>
              <w:pStyle w:val="TableParagraph"/>
              <w:spacing w:before="165"/>
              <w:ind w:left="99" w:right="89"/>
              <w:jc w:val="center"/>
              <w:rPr>
                <w:rFonts w:ascii="Times New Roman" w:hAnsi="Times New Roman" w:cs="Times New Roman"/>
                <w:b/>
              </w:rPr>
            </w:pPr>
            <w:r w:rsidRPr="3BFD2569">
              <w:rPr>
                <w:rFonts w:ascii="Times New Roman" w:hAnsi="Times New Roman" w:cs="Times New Roman"/>
                <w:b/>
              </w:rPr>
              <w:t xml:space="preserve">Use </w:t>
            </w:r>
            <w:r w:rsidRPr="3BFD2569">
              <w:rPr>
                <w:rFonts w:ascii="Times New Roman" w:hAnsi="Times New Roman" w:cs="Times New Roman"/>
                <w:b/>
                <w:spacing w:val="-2"/>
              </w:rPr>
              <w:t>Cases</w:t>
            </w:r>
          </w:p>
        </w:tc>
        <w:tc>
          <w:tcPr>
            <w:tcW w:w="2188" w:type="dxa"/>
          </w:tcPr>
          <w:p w:rsidR="00601367" w:rsidRPr="00A05099" w14:paraId="17B1FEF6" w14:textId="77777777">
            <w:pPr>
              <w:pStyle w:val="TableParagraph"/>
              <w:rPr>
                <w:rFonts w:ascii="Times New Roman" w:hAnsi="Times New Roman" w:cs="Times New Roman"/>
              </w:rPr>
            </w:pPr>
          </w:p>
          <w:p w:rsidR="00601367" w:rsidRPr="00A05099" w14:paraId="228EE78E" w14:textId="77777777">
            <w:pPr>
              <w:pStyle w:val="TableParagraph"/>
              <w:rPr>
                <w:rFonts w:ascii="Times New Roman" w:hAnsi="Times New Roman" w:cs="Times New Roman"/>
              </w:rPr>
            </w:pPr>
          </w:p>
          <w:p w:rsidR="00601367" w14:paraId="02625EE9" w14:textId="77777777">
            <w:pPr>
              <w:pStyle w:val="TableParagraph"/>
              <w:spacing w:before="165"/>
              <w:ind w:left="395" w:right="386"/>
              <w:jc w:val="center"/>
              <w:rPr>
                <w:rFonts w:ascii="Times New Roman" w:hAnsi="Times New Roman" w:cs="Times New Roman"/>
                <w:b/>
                <w:spacing w:val="-2"/>
              </w:rPr>
            </w:pPr>
            <w:r w:rsidRPr="3BFD2569">
              <w:rPr>
                <w:rFonts w:ascii="Times New Roman" w:hAnsi="Times New Roman" w:cs="Times New Roman"/>
                <w:b/>
              </w:rPr>
              <w:t>Power</w:t>
            </w:r>
            <w:r w:rsidRPr="3BFD2569">
              <w:rPr>
                <w:rFonts w:ascii="Times New Roman" w:hAnsi="Times New Roman" w:cs="Times New Roman"/>
                <w:b/>
                <w:spacing w:val="-4"/>
              </w:rPr>
              <w:t xml:space="preserve"> </w:t>
            </w:r>
            <w:r w:rsidRPr="3BFD2569">
              <w:rPr>
                <w:rFonts w:ascii="Times New Roman" w:hAnsi="Times New Roman" w:cs="Times New Roman"/>
                <w:b/>
                <w:spacing w:val="-2"/>
              </w:rPr>
              <w:t>Limit</w:t>
            </w:r>
          </w:p>
          <w:p w:rsidR="00085782" w:rsidRPr="00A05099" w14:paraId="5F55F14D" w14:textId="5FC1A248">
            <w:pPr>
              <w:pStyle w:val="TableParagraph"/>
              <w:spacing w:before="165"/>
              <w:ind w:left="395" w:right="386"/>
              <w:jc w:val="center"/>
              <w:rPr>
                <w:rFonts w:ascii="Times New Roman" w:hAnsi="Times New Roman" w:cs="Times New Roman"/>
                <w:b/>
              </w:rPr>
            </w:pPr>
            <w:r>
              <w:rPr>
                <w:rFonts w:ascii="Times New Roman" w:hAnsi="Times New Roman" w:cs="Times New Roman"/>
                <w:b/>
                <w:spacing w:val="-2"/>
              </w:rPr>
              <w:t>(Peak EIRP)</w:t>
            </w:r>
          </w:p>
        </w:tc>
        <w:tc>
          <w:tcPr>
            <w:tcW w:w="2280" w:type="dxa"/>
          </w:tcPr>
          <w:p w:rsidR="00601367" w:rsidRPr="00A05099" w14:paraId="7F16F215" w14:textId="77777777">
            <w:pPr>
              <w:pStyle w:val="TableParagraph"/>
              <w:spacing w:line="270" w:lineRule="atLeast"/>
              <w:ind w:left="125" w:right="114"/>
              <w:jc w:val="center"/>
              <w:rPr>
                <w:rFonts w:ascii="Times New Roman" w:hAnsi="Times New Roman" w:cs="Times New Roman"/>
                <w:b/>
              </w:rPr>
            </w:pPr>
            <w:r w:rsidRPr="3BFD2569">
              <w:rPr>
                <w:rFonts w:ascii="Times New Roman" w:hAnsi="Times New Roman" w:cs="Times New Roman"/>
                <w:b/>
              </w:rPr>
              <w:t xml:space="preserve">Off Time Requirement: off times (&gt;= 2 </w:t>
            </w:r>
            <w:r w:rsidRPr="3BFD2569">
              <w:rPr>
                <w:rFonts w:ascii="Times New Roman" w:hAnsi="Times New Roman" w:cs="Times New Roman"/>
                <w:b/>
              </w:rPr>
              <w:t>ms</w:t>
            </w:r>
            <w:r w:rsidRPr="3BFD2569">
              <w:rPr>
                <w:rFonts w:ascii="Times New Roman" w:hAnsi="Times New Roman" w:cs="Times New Roman"/>
                <w:b/>
              </w:rPr>
              <w:t>) must</w:t>
            </w:r>
            <w:r w:rsidRPr="3BFD2569">
              <w:rPr>
                <w:rFonts w:ascii="Times New Roman" w:hAnsi="Times New Roman" w:cs="Times New Roman"/>
                <w:b/>
                <w:spacing w:val="-9"/>
              </w:rPr>
              <w:t xml:space="preserve"> </w:t>
            </w:r>
            <w:r w:rsidRPr="3BFD2569">
              <w:rPr>
                <w:rFonts w:ascii="Times New Roman" w:hAnsi="Times New Roman" w:cs="Times New Roman"/>
                <w:b/>
              </w:rPr>
              <w:t>sum</w:t>
            </w:r>
            <w:r w:rsidRPr="3BFD2569">
              <w:rPr>
                <w:rFonts w:ascii="Times New Roman" w:hAnsi="Times New Roman" w:cs="Times New Roman"/>
                <w:b/>
                <w:spacing w:val="-8"/>
              </w:rPr>
              <w:t xml:space="preserve"> </w:t>
            </w:r>
            <w:r w:rsidRPr="3BFD2569">
              <w:rPr>
                <w:rFonts w:ascii="Times New Roman" w:hAnsi="Times New Roman" w:cs="Times New Roman"/>
                <w:b/>
              </w:rPr>
              <w:t>to</w:t>
            </w:r>
            <w:r w:rsidRPr="3BFD2569">
              <w:rPr>
                <w:rFonts w:ascii="Times New Roman" w:hAnsi="Times New Roman" w:cs="Times New Roman"/>
                <w:b/>
                <w:spacing w:val="-9"/>
              </w:rPr>
              <w:t xml:space="preserve"> </w:t>
            </w:r>
            <w:r w:rsidRPr="3BFD2569">
              <w:rPr>
                <w:rFonts w:ascii="Times New Roman" w:hAnsi="Times New Roman" w:cs="Times New Roman"/>
                <w:b/>
              </w:rPr>
              <w:t>at</w:t>
            </w:r>
            <w:r w:rsidRPr="3BFD2569">
              <w:rPr>
                <w:rFonts w:ascii="Times New Roman" w:hAnsi="Times New Roman" w:cs="Times New Roman"/>
                <w:b/>
                <w:spacing w:val="-8"/>
              </w:rPr>
              <w:t xml:space="preserve"> </w:t>
            </w:r>
            <w:r w:rsidRPr="3BFD2569">
              <w:rPr>
                <w:rFonts w:ascii="Times New Roman" w:hAnsi="Times New Roman" w:cs="Times New Roman"/>
                <w:b/>
              </w:rPr>
              <w:t>least</w:t>
            </w:r>
            <w:r w:rsidRPr="3BFD2569">
              <w:rPr>
                <w:rFonts w:ascii="Times New Roman" w:hAnsi="Times New Roman" w:cs="Times New Roman"/>
                <w:b/>
                <w:spacing w:val="-8"/>
              </w:rPr>
              <w:t xml:space="preserve"> </w:t>
            </w:r>
            <w:r w:rsidRPr="3BFD2569">
              <w:rPr>
                <w:rFonts w:ascii="Times New Roman" w:hAnsi="Times New Roman" w:cs="Times New Roman"/>
                <w:b/>
              </w:rPr>
              <w:t xml:space="preserve">X </w:t>
            </w:r>
            <w:r w:rsidRPr="3BFD2569">
              <w:rPr>
                <w:rFonts w:ascii="Times New Roman" w:hAnsi="Times New Roman" w:cs="Times New Roman"/>
                <w:b/>
              </w:rPr>
              <w:t>ms</w:t>
            </w:r>
            <w:r w:rsidRPr="3BFD2569">
              <w:rPr>
                <w:rFonts w:ascii="Times New Roman" w:hAnsi="Times New Roman" w:cs="Times New Roman"/>
                <w:b/>
              </w:rPr>
              <w:t xml:space="preserve"> per 33 </w:t>
            </w:r>
            <w:r w:rsidRPr="3BFD2569">
              <w:rPr>
                <w:rFonts w:ascii="Times New Roman" w:hAnsi="Times New Roman" w:cs="Times New Roman"/>
                <w:b/>
              </w:rPr>
              <w:t>ms</w:t>
            </w:r>
            <w:r w:rsidRPr="3BFD2569">
              <w:rPr>
                <w:rFonts w:ascii="Times New Roman" w:hAnsi="Times New Roman" w:cs="Times New Roman"/>
                <w:b/>
              </w:rPr>
              <w:t xml:space="preserve"> </w:t>
            </w:r>
            <w:r w:rsidRPr="3BFD2569">
              <w:rPr>
                <w:rFonts w:ascii="Times New Roman" w:hAnsi="Times New Roman" w:cs="Times New Roman"/>
                <w:b/>
                <w:spacing w:val="-2"/>
              </w:rPr>
              <w:t>interval</w:t>
            </w:r>
          </w:p>
        </w:tc>
      </w:tr>
      <w:tr w14:paraId="38A863BD" w14:textId="77777777" w:rsidTr="00982399">
        <w:tblPrEx>
          <w:tblW w:w="9840" w:type="dxa"/>
          <w:tblInd w:w="113" w:type="dxa"/>
          <w:tblLayout w:type="fixed"/>
          <w:tblCellMar>
            <w:left w:w="0" w:type="dxa"/>
            <w:right w:w="0" w:type="dxa"/>
          </w:tblCellMar>
          <w:tblLook w:val="01E0"/>
        </w:tblPrEx>
        <w:trPr>
          <w:trHeight w:val="1333"/>
        </w:trPr>
        <w:tc>
          <w:tcPr>
            <w:tcW w:w="2333" w:type="dxa"/>
            <w:vMerge w:val="restart"/>
          </w:tcPr>
          <w:p w:rsidR="00601367" w:rsidRPr="00A05099" w14:paraId="1C7E3868" w14:textId="77777777">
            <w:pPr>
              <w:pStyle w:val="TableParagraph"/>
              <w:rPr>
                <w:rFonts w:ascii="Times New Roman" w:hAnsi="Times New Roman" w:cs="Times New Roman"/>
              </w:rPr>
            </w:pPr>
          </w:p>
          <w:p w:rsidR="00601367" w:rsidRPr="00A05099" w14:paraId="3146A2FB" w14:textId="77777777">
            <w:pPr>
              <w:pStyle w:val="TableParagraph"/>
              <w:rPr>
                <w:rFonts w:ascii="Times New Roman" w:hAnsi="Times New Roman" w:cs="Times New Roman"/>
              </w:rPr>
            </w:pPr>
          </w:p>
          <w:p w:rsidR="00601367" w:rsidRPr="00A05099" w14:paraId="7DE74FAC" w14:textId="77777777">
            <w:pPr>
              <w:pStyle w:val="TableParagraph"/>
              <w:rPr>
                <w:rFonts w:ascii="Times New Roman" w:hAnsi="Times New Roman" w:cs="Times New Roman"/>
              </w:rPr>
            </w:pPr>
          </w:p>
          <w:p w:rsidR="00601367" w:rsidRPr="00A05099" w14:paraId="2DE8672E" w14:textId="77777777">
            <w:pPr>
              <w:pStyle w:val="TableParagraph"/>
              <w:rPr>
                <w:rFonts w:ascii="Times New Roman" w:hAnsi="Times New Roman" w:cs="Times New Roman"/>
              </w:rPr>
            </w:pPr>
          </w:p>
          <w:p w:rsidR="00601367" w:rsidRPr="00A05099" w14:paraId="47CB268D" w14:textId="77777777">
            <w:pPr>
              <w:pStyle w:val="TableParagraph"/>
              <w:rPr>
                <w:rFonts w:ascii="Times New Roman" w:hAnsi="Times New Roman" w:cs="Times New Roman"/>
              </w:rPr>
            </w:pPr>
          </w:p>
          <w:p w:rsidR="00601367" w:rsidRPr="00A05099" w14:paraId="5792DD11" w14:textId="77777777">
            <w:pPr>
              <w:pStyle w:val="TableParagraph"/>
              <w:rPr>
                <w:rFonts w:ascii="Times New Roman" w:hAnsi="Times New Roman" w:cs="Times New Roman"/>
              </w:rPr>
            </w:pPr>
          </w:p>
          <w:p w:rsidR="00601367" w:rsidRPr="00A05099" w14:paraId="3837B9F5" w14:textId="77777777">
            <w:pPr>
              <w:pStyle w:val="TableParagraph"/>
              <w:rPr>
                <w:rFonts w:ascii="Times New Roman" w:hAnsi="Times New Roman" w:cs="Times New Roman"/>
              </w:rPr>
            </w:pPr>
          </w:p>
          <w:p w:rsidR="00601367" w:rsidRPr="00A05099" w14:paraId="4CE5AB3E" w14:textId="77777777">
            <w:pPr>
              <w:pStyle w:val="TableParagraph"/>
              <w:rPr>
                <w:rFonts w:ascii="Times New Roman" w:hAnsi="Times New Roman" w:cs="Times New Roman"/>
              </w:rPr>
            </w:pPr>
          </w:p>
          <w:p w:rsidR="00601367" w:rsidRPr="00A05099" w14:paraId="21E74F0E" w14:textId="77777777">
            <w:pPr>
              <w:pStyle w:val="TableParagraph"/>
              <w:rPr>
                <w:rFonts w:ascii="Times New Roman" w:hAnsi="Times New Roman" w:cs="Times New Roman"/>
              </w:rPr>
            </w:pPr>
          </w:p>
          <w:p w:rsidR="00601367" w:rsidRPr="00BE5AC7" w14:paraId="41D08448" w14:textId="77777777">
            <w:pPr>
              <w:pStyle w:val="TableParagraph"/>
              <w:spacing w:before="9"/>
              <w:rPr>
                <w:rFonts w:ascii="Times New Roman" w:hAnsi="Times New Roman" w:cs="Times New Roman"/>
              </w:rPr>
            </w:pPr>
          </w:p>
          <w:p w:rsidR="00601367" w:rsidRPr="00BE5AC7" w14:paraId="776FA0D5" w14:textId="46F3347F">
            <w:pPr>
              <w:pStyle w:val="TableParagraph"/>
              <w:ind w:left="133" w:right="120" w:hanging="2"/>
              <w:jc w:val="center"/>
              <w:rPr>
                <w:rFonts w:ascii="Times New Roman" w:hAnsi="Times New Roman" w:cs="Times New Roman"/>
                <w:b/>
              </w:rPr>
            </w:pPr>
            <w:r w:rsidRPr="3BFD2569">
              <w:rPr>
                <w:rFonts w:ascii="Times New Roman" w:hAnsi="Times New Roman" w:cs="Times New Roman"/>
                <w:b/>
              </w:rPr>
              <w:t>Field disturbance sensors excluding outdoor</w:t>
            </w:r>
            <w:r w:rsidRPr="3BFD2569">
              <w:rPr>
                <w:rFonts w:ascii="Times New Roman" w:hAnsi="Times New Roman" w:cs="Times New Roman"/>
                <w:b/>
                <w:spacing w:val="-13"/>
              </w:rPr>
              <w:t xml:space="preserve"> </w:t>
            </w:r>
            <w:r w:rsidRPr="3BFD2569">
              <w:rPr>
                <w:rFonts w:ascii="Times New Roman" w:hAnsi="Times New Roman" w:cs="Times New Roman"/>
                <w:b/>
              </w:rPr>
              <w:t>drones</w:t>
            </w:r>
            <w:r w:rsidRPr="3BFD2569">
              <w:rPr>
                <w:rFonts w:ascii="Times New Roman" w:hAnsi="Times New Roman" w:cs="Times New Roman"/>
                <w:b/>
                <w:spacing w:val="-12"/>
              </w:rPr>
              <w:t xml:space="preserve"> </w:t>
            </w:r>
            <w:r w:rsidRPr="3BFD2569">
              <w:rPr>
                <w:rFonts w:ascii="Times New Roman" w:hAnsi="Times New Roman" w:cs="Times New Roman"/>
                <w:b/>
              </w:rPr>
              <w:t>/UA (</w:t>
            </w:r>
            <w:r w:rsidRPr="3BFD2569">
              <w:rPr>
                <w:rFonts w:ascii="Times New Roman" w:hAnsi="Times New Roman" w:cs="Times New Roman"/>
                <w:b/>
                <w:i/>
              </w:rPr>
              <w:t>i.e.</w:t>
            </w:r>
            <w:r w:rsidRPr="3BFD2569">
              <w:rPr>
                <w:rFonts w:ascii="Times New Roman" w:hAnsi="Times New Roman" w:cs="Times New Roman"/>
                <w:b/>
              </w:rPr>
              <w:t xml:space="preserve">, unmanned </w:t>
            </w:r>
            <w:r w:rsidR="00C62C64">
              <w:rPr>
                <w:rFonts w:ascii="Times New Roman" w:hAnsi="Times New Roman" w:cs="Times New Roman"/>
                <w:b/>
              </w:rPr>
              <w:t>aircraft</w:t>
            </w:r>
            <w:r w:rsidRPr="3BFD2569">
              <w:rPr>
                <w:rFonts w:ascii="Times New Roman" w:hAnsi="Times New Roman" w:cs="Times New Roman"/>
                <w:b/>
              </w:rPr>
              <w:t xml:space="preserve"> – see below)</w:t>
            </w:r>
          </w:p>
        </w:tc>
        <w:tc>
          <w:tcPr>
            <w:tcW w:w="1309" w:type="dxa"/>
          </w:tcPr>
          <w:p w:rsidR="00601367" w:rsidRPr="00992D01" w14:paraId="107A140D" w14:textId="77777777">
            <w:pPr>
              <w:pStyle w:val="TableParagraph"/>
              <w:rPr>
                <w:rFonts w:ascii="Times New Roman" w:hAnsi="Times New Roman" w:cs="Times New Roman"/>
              </w:rPr>
            </w:pPr>
          </w:p>
          <w:p w:rsidR="00601367" w:rsidRPr="00992D01" w14:paraId="365FF630" w14:textId="77777777">
            <w:pPr>
              <w:pStyle w:val="TableParagraph"/>
              <w:spacing w:before="141"/>
              <w:ind w:left="177"/>
              <w:rPr>
                <w:rFonts w:ascii="Times New Roman" w:hAnsi="Times New Roman" w:cs="Times New Roman"/>
                <w:b/>
              </w:rPr>
            </w:pPr>
            <w:r w:rsidRPr="00992D01">
              <w:rPr>
                <w:rFonts w:ascii="Times New Roman" w:hAnsi="Times New Roman" w:cs="Times New Roman"/>
                <w:b/>
              </w:rPr>
              <w:t>57.0 -</w:t>
            </w:r>
            <w:r w:rsidRPr="00992D01">
              <w:rPr>
                <w:rFonts w:ascii="Times New Roman" w:hAnsi="Times New Roman" w:cs="Times New Roman"/>
                <w:b/>
                <w:spacing w:val="-1"/>
              </w:rPr>
              <w:t xml:space="preserve"> </w:t>
            </w:r>
            <w:r w:rsidRPr="00992D01">
              <w:rPr>
                <w:rFonts w:ascii="Times New Roman" w:hAnsi="Times New Roman" w:cs="Times New Roman"/>
                <w:b/>
                <w:spacing w:val="-4"/>
              </w:rPr>
              <w:t>59.4</w:t>
            </w:r>
          </w:p>
          <w:p w:rsidR="00601367" w:rsidRPr="00992D01" w14:paraId="1A746382" w14:textId="77777777">
            <w:pPr>
              <w:pStyle w:val="TableParagraph"/>
              <w:ind w:left="214" w:right="205"/>
              <w:jc w:val="center"/>
              <w:rPr>
                <w:rFonts w:ascii="Times New Roman" w:hAnsi="Times New Roman" w:cs="Times New Roman"/>
                <w:b/>
              </w:rPr>
            </w:pPr>
            <w:r w:rsidRPr="00992D01">
              <w:rPr>
                <w:rFonts w:ascii="Times New Roman" w:hAnsi="Times New Roman" w:cs="Times New Roman"/>
                <w:b/>
                <w:spacing w:val="-5"/>
              </w:rPr>
              <w:t>GHz</w:t>
            </w:r>
          </w:p>
        </w:tc>
        <w:tc>
          <w:tcPr>
            <w:tcW w:w="1730" w:type="dxa"/>
          </w:tcPr>
          <w:p w:rsidR="00601367" w:rsidRPr="00A05099" w14:paraId="7E1A446B" w14:textId="77777777">
            <w:pPr>
              <w:pStyle w:val="TableParagraph"/>
              <w:rPr>
                <w:rFonts w:ascii="Times New Roman" w:hAnsi="Times New Roman" w:cs="Times New Roman"/>
              </w:rPr>
            </w:pPr>
          </w:p>
          <w:p w:rsidR="00601367" w:rsidRPr="00992D01" w14:paraId="50BFC70A" w14:textId="77777777">
            <w:pPr>
              <w:pStyle w:val="TableParagraph"/>
              <w:spacing w:before="11"/>
              <w:rPr>
                <w:rFonts w:ascii="Times New Roman" w:hAnsi="Times New Roman" w:cs="Times New Roman"/>
              </w:rPr>
            </w:pPr>
          </w:p>
          <w:p w:rsidR="00601367" w:rsidRPr="001C41E7" w14:paraId="6843A25F" w14:textId="77777777">
            <w:pPr>
              <w:pStyle w:val="TableParagraph"/>
              <w:ind w:left="99" w:right="89"/>
              <w:jc w:val="center"/>
              <w:rPr>
                <w:rFonts w:ascii="Times New Roman" w:hAnsi="Times New Roman" w:cs="Times New Roman"/>
                <w:b/>
              </w:rPr>
            </w:pPr>
            <w:r w:rsidRPr="001C41E7">
              <w:rPr>
                <w:rFonts w:ascii="Times New Roman" w:hAnsi="Times New Roman" w:cs="Times New Roman"/>
                <w:b/>
                <w:spacing w:val="-5"/>
              </w:rPr>
              <w:t>All</w:t>
            </w:r>
          </w:p>
        </w:tc>
        <w:tc>
          <w:tcPr>
            <w:tcW w:w="2188" w:type="dxa"/>
          </w:tcPr>
          <w:p w:rsidR="00601367" w:rsidRPr="001C41E7" w:rsidP="00A752F0" w14:paraId="05B90B41" w14:textId="0B5EF83D">
            <w:pPr>
              <w:pStyle w:val="TableParagraph"/>
              <w:ind w:left="927" w:hanging="677"/>
              <w:jc w:val="center"/>
              <w:rPr>
                <w:rFonts w:ascii="Times New Roman" w:hAnsi="Times New Roman" w:cs="Times New Roman"/>
                <w:b/>
              </w:rPr>
            </w:pPr>
            <w:r w:rsidRPr="001C41E7">
              <w:rPr>
                <w:rFonts w:ascii="Times New Roman" w:hAnsi="Times New Roman" w:cs="Times New Roman"/>
                <w:b/>
              </w:rPr>
              <w:t>20</w:t>
            </w:r>
            <w:r w:rsidRPr="001C41E7">
              <w:rPr>
                <w:rFonts w:ascii="Times New Roman" w:hAnsi="Times New Roman" w:cs="Times New Roman"/>
                <w:b/>
                <w:spacing w:val="-10"/>
              </w:rPr>
              <w:t xml:space="preserve"> </w:t>
            </w:r>
            <w:r w:rsidRPr="001C41E7">
              <w:rPr>
                <w:rFonts w:ascii="Times New Roman" w:hAnsi="Times New Roman" w:cs="Times New Roman"/>
                <w:b/>
              </w:rPr>
              <w:t>dBm</w:t>
            </w:r>
            <w:r w:rsidRPr="001C41E7">
              <w:rPr>
                <w:rFonts w:ascii="Times New Roman" w:hAnsi="Times New Roman" w:cs="Times New Roman"/>
                <w:b/>
                <w:spacing w:val="-10"/>
              </w:rPr>
              <w:t xml:space="preserve"> </w:t>
            </w:r>
            <w:r w:rsidRPr="001C41E7">
              <w:rPr>
                <w:rFonts w:ascii="Times New Roman" w:hAnsi="Times New Roman" w:cs="Times New Roman"/>
                <w:b/>
              </w:rPr>
              <w:t xml:space="preserve">for </w:t>
            </w:r>
            <w:r w:rsidRPr="001C41E7">
              <w:rPr>
                <w:rFonts w:ascii="Times New Roman" w:hAnsi="Times New Roman" w:cs="Times New Roman"/>
                <w:b/>
                <w:spacing w:val="-2"/>
              </w:rPr>
              <w:t>indoor</w:t>
            </w:r>
          </w:p>
          <w:p w:rsidR="00601367" w:rsidRPr="001C41E7" w:rsidP="00A752F0" w14:paraId="26F16FF1" w14:textId="5565FA80">
            <w:pPr>
              <w:pStyle w:val="TableParagraph"/>
              <w:spacing w:line="270" w:lineRule="atLeast"/>
              <w:ind w:left="203" w:right="191" w:firstLine="46"/>
              <w:jc w:val="center"/>
              <w:rPr>
                <w:rFonts w:ascii="Times New Roman" w:hAnsi="Times New Roman" w:cs="Times New Roman"/>
                <w:b/>
              </w:rPr>
            </w:pPr>
            <w:r w:rsidRPr="001C41E7">
              <w:rPr>
                <w:rFonts w:ascii="Times New Roman" w:hAnsi="Times New Roman" w:cs="Times New Roman"/>
                <w:b/>
              </w:rPr>
              <w:t>30 for outdoor, including all vehicular,</w:t>
            </w:r>
            <w:r w:rsidRPr="001C41E7">
              <w:rPr>
                <w:rFonts w:ascii="Times New Roman" w:hAnsi="Times New Roman" w:cs="Times New Roman"/>
                <w:b/>
                <w:spacing w:val="-4"/>
              </w:rPr>
              <w:t xml:space="preserve"> </w:t>
            </w:r>
            <w:r w:rsidRPr="001C41E7">
              <w:rPr>
                <w:rFonts w:ascii="Times New Roman" w:hAnsi="Times New Roman" w:cs="Times New Roman"/>
                <w:b/>
                <w:spacing w:val="-2"/>
              </w:rPr>
              <w:t>applications</w:t>
            </w:r>
          </w:p>
        </w:tc>
        <w:tc>
          <w:tcPr>
            <w:tcW w:w="2280" w:type="dxa"/>
          </w:tcPr>
          <w:p w:rsidR="00601367" w:rsidRPr="00992D01" w14:paraId="1760344A" w14:textId="77777777">
            <w:pPr>
              <w:pStyle w:val="TableParagraph"/>
              <w:rPr>
                <w:rFonts w:ascii="Times New Roman" w:hAnsi="Times New Roman" w:cs="Times New Roman"/>
              </w:rPr>
            </w:pPr>
          </w:p>
          <w:p w:rsidR="00601367" w:rsidRPr="001C41E7" w14:paraId="60C2B626" w14:textId="77777777">
            <w:pPr>
              <w:pStyle w:val="TableParagraph"/>
              <w:spacing w:before="11"/>
              <w:rPr>
                <w:rFonts w:ascii="Times New Roman" w:hAnsi="Times New Roman" w:cs="Times New Roman"/>
              </w:rPr>
            </w:pPr>
          </w:p>
          <w:p w:rsidR="00601367" w:rsidRPr="00992D01" w14:paraId="28D2C3A5" w14:textId="77777777">
            <w:pPr>
              <w:pStyle w:val="TableParagraph"/>
              <w:ind w:left="893"/>
              <w:rPr>
                <w:rFonts w:ascii="Times New Roman" w:hAnsi="Times New Roman" w:cs="Times New Roman"/>
                <w:b/>
              </w:rPr>
            </w:pPr>
            <w:r w:rsidRPr="00992D01">
              <w:rPr>
                <w:rFonts w:ascii="Times New Roman" w:hAnsi="Times New Roman" w:cs="Times New Roman"/>
                <w:b/>
                <w:spacing w:val="-4"/>
              </w:rPr>
              <w:t>None</w:t>
            </w:r>
          </w:p>
        </w:tc>
      </w:tr>
      <w:tr w14:paraId="7EC73E6E" w14:textId="77777777" w:rsidTr="00982399">
        <w:tblPrEx>
          <w:tblW w:w="9840" w:type="dxa"/>
          <w:tblInd w:w="113" w:type="dxa"/>
          <w:tblLayout w:type="fixed"/>
          <w:tblCellMar>
            <w:left w:w="0" w:type="dxa"/>
            <w:right w:w="0" w:type="dxa"/>
          </w:tblCellMar>
          <w:tblLook w:val="01E0"/>
        </w:tblPrEx>
        <w:trPr>
          <w:trHeight w:val="1142"/>
        </w:trPr>
        <w:tc>
          <w:tcPr>
            <w:tcW w:w="2333" w:type="dxa"/>
            <w:vMerge/>
          </w:tcPr>
          <w:p w:rsidR="00601367" w:rsidRPr="00982399" w14:paraId="2F07187C" w14:textId="77777777">
            <w:pPr>
              <w:rPr>
                <w:szCs w:val="22"/>
              </w:rPr>
            </w:pPr>
          </w:p>
        </w:tc>
        <w:tc>
          <w:tcPr>
            <w:tcW w:w="1309" w:type="dxa"/>
          </w:tcPr>
          <w:p w:rsidR="00601367" w:rsidRPr="001C41E7" w14:paraId="3E432A2F" w14:textId="77777777">
            <w:pPr>
              <w:pStyle w:val="TableParagraph"/>
              <w:spacing w:before="8"/>
              <w:rPr>
                <w:rFonts w:ascii="Times New Roman" w:hAnsi="Times New Roman" w:cs="Times New Roman"/>
              </w:rPr>
            </w:pPr>
          </w:p>
          <w:p w:rsidR="00601367" w:rsidRPr="001C41E7" w14:paraId="31B61E73" w14:textId="77777777">
            <w:pPr>
              <w:pStyle w:val="TableParagraph"/>
              <w:ind w:left="122"/>
              <w:rPr>
                <w:rFonts w:ascii="Times New Roman" w:hAnsi="Times New Roman" w:cs="Times New Roman"/>
                <w:b/>
              </w:rPr>
            </w:pPr>
            <w:r w:rsidRPr="001C41E7">
              <w:rPr>
                <w:rFonts w:ascii="Times New Roman" w:hAnsi="Times New Roman" w:cs="Times New Roman"/>
                <w:b/>
              </w:rPr>
              <w:t>57.0 -</w:t>
            </w:r>
            <w:r w:rsidRPr="001C41E7">
              <w:rPr>
                <w:rFonts w:ascii="Times New Roman" w:hAnsi="Times New Roman" w:cs="Times New Roman"/>
                <w:b/>
                <w:spacing w:val="-1"/>
              </w:rPr>
              <w:t xml:space="preserve"> </w:t>
            </w:r>
            <w:r w:rsidRPr="001C41E7">
              <w:rPr>
                <w:rFonts w:ascii="Times New Roman" w:hAnsi="Times New Roman" w:cs="Times New Roman"/>
                <w:b/>
                <w:spacing w:val="-2"/>
              </w:rPr>
              <w:t>61.56</w:t>
            </w:r>
          </w:p>
          <w:p w:rsidR="00601367" w:rsidRPr="001C41E7" w14:paraId="32BADF4B" w14:textId="77777777">
            <w:pPr>
              <w:pStyle w:val="TableParagraph"/>
              <w:ind w:left="214" w:right="205"/>
              <w:jc w:val="center"/>
              <w:rPr>
                <w:rFonts w:ascii="Times New Roman" w:hAnsi="Times New Roman" w:cs="Times New Roman"/>
                <w:b/>
              </w:rPr>
            </w:pPr>
            <w:r w:rsidRPr="001C41E7">
              <w:rPr>
                <w:rFonts w:ascii="Times New Roman" w:hAnsi="Times New Roman" w:cs="Times New Roman"/>
                <w:b/>
                <w:spacing w:val="-5"/>
              </w:rPr>
              <w:t>GHz</w:t>
            </w:r>
          </w:p>
        </w:tc>
        <w:tc>
          <w:tcPr>
            <w:tcW w:w="1730" w:type="dxa"/>
          </w:tcPr>
          <w:p w:rsidR="00601367" w:rsidRPr="001C41E7" w14:paraId="46151EF5" w14:textId="77777777">
            <w:pPr>
              <w:pStyle w:val="TableParagraph"/>
              <w:rPr>
                <w:rFonts w:ascii="Times New Roman" w:hAnsi="Times New Roman" w:cs="Times New Roman"/>
              </w:rPr>
            </w:pPr>
          </w:p>
          <w:p w:rsidR="00601367" w:rsidRPr="00BE5AC7" w14:paraId="33516742" w14:textId="77777777">
            <w:pPr>
              <w:pStyle w:val="TableParagraph"/>
              <w:spacing w:before="177"/>
              <w:ind w:left="99" w:right="89"/>
              <w:jc w:val="center"/>
              <w:rPr>
                <w:rFonts w:ascii="Times New Roman" w:hAnsi="Times New Roman" w:cs="Times New Roman"/>
                <w:b/>
              </w:rPr>
            </w:pPr>
            <w:r w:rsidRPr="00BE5AC7">
              <w:rPr>
                <w:rFonts w:ascii="Times New Roman" w:hAnsi="Times New Roman" w:cs="Times New Roman"/>
                <w:b/>
                <w:spacing w:val="-5"/>
              </w:rPr>
              <w:t>All</w:t>
            </w:r>
          </w:p>
        </w:tc>
        <w:tc>
          <w:tcPr>
            <w:tcW w:w="2188" w:type="dxa"/>
          </w:tcPr>
          <w:p w:rsidR="00601367" w:rsidRPr="00992D01" w14:paraId="54F3290A" w14:textId="77777777">
            <w:pPr>
              <w:pStyle w:val="TableParagraph"/>
              <w:rPr>
                <w:rFonts w:ascii="Times New Roman" w:hAnsi="Times New Roman" w:cs="Times New Roman"/>
              </w:rPr>
            </w:pPr>
          </w:p>
          <w:p w:rsidR="00601367" w:rsidRPr="00BE5AC7" w14:paraId="0F7A4B37" w14:textId="29F4AF30">
            <w:pPr>
              <w:pStyle w:val="TableParagraph"/>
              <w:spacing w:before="177"/>
              <w:ind w:left="396" w:right="386"/>
              <w:jc w:val="center"/>
              <w:rPr>
                <w:rFonts w:ascii="Times New Roman" w:hAnsi="Times New Roman" w:cs="Times New Roman"/>
                <w:b/>
              </w:rPr>
            </w:pPr>
            <w:r w:rsidRPr="00BE5AC7">
              <w:rPr>
                <w:rFonts w:ascii="Times New Roman" w:hAnsi="Times New Roman" w:cs="Times New Roman"/>
                <w:b/>
              </w:rPr>
              <w:t>3</w:t>
            </w:r>
            <w:r w:rsidRPr="00BE5AC7">
              <w:rPr>
                <w:rFonts w:ascii="Times New Roman" w:hAnsi="Times New Roman" w:cs="Times New Roman"/>
                <w:b/>
                <w:spacing w:val="-1"/>
              </w:rPr>
              <w:t xml:space="preserve"> </w:t>
            </w:r>
            <w:r w:rsidRPr="00BE5AC7">
              <w:rPr>
                <w:rFonts w:ascii="Times New Roman" w:hAnsi="Times New Roman" w:cs="Times New Roman"/>
                <w:b/>
              </w:rPr>
              <w:t>dBm</w:t>
            </w:r>
            <w:r w:rsidRPr="00BE5AC7">
              <w:rPr>
                <w:rFonts w:ascii="Times New Roman" w:hAnsi="Times New Roman" w:cs="Times New Roman"/>
                <w:b/>
                <w:spacing w:val="-1"/>
              </w:rPr>
              <w:t xml:space="preserve"> </w:t>
            </w:r>
          </w:p>
        </w:tc>
        <w:tc>
          <w:tcPr>
            <w:tcW w:w="2280" w:type="dxa"/>
          </w:tcPr>
          <w:p w:rsidR="00601367" w:rsidRPr="001C41E7" w14:paraId="61A423A4" w14:textId="77777777">
            <w:pPr>
              <w:pStyle w:val="TableParagraph"/>
              <w:rPr>
                <w:rFonts w:ascii="Times New Roman" w:hAnsi="Times New Roman" w:cs="Times New Roman"/>
              </w:rPr>
            </w:pPr>
          </w:p>
          <w:p w:rsidR="00601367" w:rsidRPr="00BE5AC7" w14:paraId="70F8404A" w14:textId="77777777">
            <w:pPr>
              <w:pStyle w:val="TableParagraph"/>
              <w:spacing w:before="177"/>
              <w:ind w:left="893"/>
              <w:rPr>
                <w:rFonts w:ascii="Times New Roman" w:hAnsi="Times New Roman" w:cs="Times New Roman"/>
                <w:b/>
              </w:rPr>
            </w:pPr>
            <w:r w:rsidRPr="00BE5AC7">
              <w:rPr>
                <w:rFonts w:ascii="Times New Roman" w:hAnsi="Times New Roman" w:cs="Times New Roman"/>
                <w:b/>
                <w:spacing w:val="-4"/>
              </w:rPr>
              <w:t>None</w:t>
            </w:r>
          </w:p>
        </w:tc>
      </w:tr>
      <w:tr w14:paraId="0E3328CB" w14:textId="77777777" w:rsidTr="00982399">
        <w:tblPrEx>
          <w:tblW w:w="9840" w:type="dxa"/>
          <w:tblInd w:w="113" w:type="dxa"/>
          <w:tblLayout w:type="fixed"/>
          <w:tblCellMar>
            <w:left w:w="0" w:type="dxa"/>
            <w:right w:w="0" w:type="dxa"/>
          </w:tblCellMar>
          <w:tblLook w:val="01E0"/>
        </w:tblPrEx>
        <w:trPr>
          <w:trHeight w:val="1155"/>
        </w:trPr>
        <w:tc>
          <w:tcPr>
            <w:tcW w:w="2333" w:type="dxa"/>
            <w:vMerge/>
          </w:tcPr>
          <w:p w:rsidR="00601367" w:rsidRPr="00982399" w14:paraId="3CB3035D" w14:textId="77777777">
            <w:pPr>
              <w:rPr>
                <w:szCs w:val="22"/>
              </w:rPr>
            </w:pPr>
          </w:p>
        </w:tc>
        <w:tc>
          <w:tcPr>
            <w:tcW w:w="1309" w:type="dxa"/>
          </w:tcPr>
          <w:p w:rsidR="00601367" w:rsidRPr="00992D01" w14:paraId="3A94D4F0" w14:textId="77777777">
            <w:pPr>
              <w:pStyle w:val="TableParagraph"/>
              <w:spacing w:before="9"/>
              <w:rPr>
                <w:rFonts w:ascii="Times New Roman" w:hAnsi="Times New Roman" w:cs="Times New Roman"/>
              </w:rPr>
            </w:pPr>
          </w:p>
          <w:p w:rsidR="00601367" w:rsidRPr="00AB0C2F" w14:paraId="7AB9BFF8" w14:textId="77777777">
            <w:pPr>
              <w:pStyle w:val="TableParagraph"/>
              <w:spacing w:before="1"/>
              <w:ind w:left="122"/>
              <w:rPr>
                <w:rFonts w:ascii="Times New Roman" w:hAnsi="Times New Roman" w:cs="Times New Roman"/>
                <w:b/>
              </w:rPr>
            </w:pPr>
            <w:r w:rsidRPr="00AB0C2F">
              <w:rPr>
                <w:rFonts w:ascii="Times New Roman" w:hAnsi="Times New Roman" w:cs="Times New Roman"/>
                <w:b/>
              </w:rPr>
              <w:t>57.0 -</w:t>
            </w:r>
            <w:r w:rsidRPr="00AB0C2F">
              <w:rPr>
                <w:rFonts w:ascii="Times New Roman" w:hAnsi="Times New Roman" w:cs="Times New Roman"/>
                <w:b/>
                <w:spacing w:val="-1"/>
              </w:rPr>
              <w:t xml:space="preserve"> </w:t>
            </w:r>
            <w:r w:rsidRPr="00AB0C2F">
              <w:rPr>
                <w:rFonts w:ascii="Times New Roman" w:hAnsi="Times New Roman" w:cs="Times New Roman"/>
                <w:b/>
                <w:spacing w:val="-2"/>
              </w:rPr>
              <w:t>61.56</w:t>
            </w:r>
          </w:p>
          <w:p w:rsidR="00601367" w:rsidRPr="00AB0C2F" w14:paraId="4306838E" w14:textId="77777777">
            <w:pPr>
              <w:pStyle w:val="TableParagraph"/>
              <w:ind w:left="214" w:right="205"/>
              <w:jc w:val="center"/>
              <w:rPr>
                <w:rFonts w:ascii="Times New Roman" w:hAnsi="Times New Roman" w:cs="Times New Roman"/>
                <w:b/>
              </w:rPr>
            </w:pPr>
            <w:r w:rsidRPr="00AB0C2F">
              <w:rPr>
                <w:rFonts w:ascii="Times New Roman" w:hAnsi="Times New Roman" w:cs="Times New Roman"/>
                <w:b/>
                <w:spacing w:val="-5"/>
              </w:rPr>
              <w:t>GHz</w:t>
            </w:r>
          </w:p>
        </w:tc>
        <w:tc>
          <w:tcPr>
            <w:tcW w:w="1730" w:type="dxa"/>
          </w:tcPr>
          <w:p w:rsidR="00601367" w:rsidRPr="003C2E81" w14:paraId="6BF1BF2B" w14:textId="77777777">
            <w:pPr>
              <w:pStyle w:val="TableParagraph"/>
              <w:rPr>
                <w:rFonts w:ascii="Times New Roman" w:hAnsi="Times New Roman" w:cs="Times New Roman"/>
              </w:rPr>
            </w:pPr>
          </w:p>
          <w:p w:rsidR="00601367" w:rsidRPr="00AB0C2F" w14:paraId="343FB3A2" w14:textId="77777777">
            <w:pPr>
              <w:pStyle w:val="TableParagraph"/>
              <w:spacing w:before="190"/>
              <w:ind w:left="99" w:right="89"/>
              <w:jc w:val="center"/>
              <w:rPr>
                <w:rFonts w:ascii="Times New Roman" w:hAnsi="Times New Roman" w:cs="Times New Roman"/>
                <w:b/>
              </w:rPr>
            </w:pPr>
            <w:r w:rsidRPr="00AB0C2F">
              <w:rPr>
                <w:rFonts w:ascii="Times New Roman" w:hAnsi="Times New Roman" w:cs="Times New Roman"/>
                <w:b/>
                <w:spacing w:val="-5"/>
              </w:rPr>
              <w:t>All</w:t>
            </w:r>
          </w:p>
        </w:tc>
        <w:tc>
          <w:tcPr>
            <w:tcW w:w="2188" w:type="dxa"/>
          </w:tcPr>
          <w:p w:rsidR="00601367" w:rsidRPr="00BE5AC7" w14:paraId="0ADB0D9E" w14:textId="77777777">
            <w:pPr>
              <w:pStyle w:val="TableParagraph"/>
              <w:rPr>
                <w:rFonts w:ascii="Times New Roman" w:hAnsi="Times New Roman" w:cs="Times New Roman"/>
              </w:rPr>
            </w:pPr>
          </w:p>
          <w:p w:rsidR="00601367" w:rsidRPr="00BE5AC7" w14:paraId="10A62FFB" w14:textId="0E6C6858">
            <w:pPr>
              <w:pStyle w:val="TableParagraph"/>
              <w:spacing w:before="190"/>
              <w:ind w:left="397" w:right="386"/>
              <w:jc w:val="center"/>
              <w:rPr>
                <w:rFonts w:ascii="Times New Roman" w:hAnsi="Times New Roman" w:cs="Times New Roman"/>
                <w:b/>
              </w:rPr>
            </w:pPr>
            <w:r w:rsidRPr="00BE5AC7">
              <w:rPr>
                <w:rFonts w:ascii="Times New Roman" w:hAnsi="Times New Roman" w:cs="Times New Roman"/>
                <w:b/>
              </w:rPr>
              <w:t>20</w:t>
            </w:r>
            <w:r w:rsidRPr="00BE5AC7">
              <w:rPr>
                <w:rFonts w:ascii="Times New Roman" w:hAnsi="Times New Roman" w:cs="Times New Roman"/>
                <w:b/>
                <w:spacing w:val="-1"/>
              </w:rPr>
              <w:t xml:space="preserve"> </w:t>
            </w:r>
            <w:r w:rsidRPr="00BE5AC7">
              <w:rPr>
                <w:rFonts w:ascii="Times New Roman" w:hAnsi="Times New Roman" w:cs="Times New Roman"/>
                <w:b/>
              </w:rPr>
              <w:t xml:space="preserve">dBm </w:t>
            </w:r>
          </w:p>
        </w:tc>
        <w:tc>
          <w:tcPr>
            <w:tcW w:w="2280" w:type="dxa"/>
          </w:tcPr>
          <w:p w:rsidR="00601367" w:rsidRPr="00BE5AC7" w14:paraId="528B71E5" w14:textId="77777777">
            <w:pPr>
              <w:pStyle w:val="TableParagraph"/>
              <w:spacing w:before="9"/>
              <w:rPr>
                <w:rFonts w:ascii="Times New Roman" w:hAnsi="Times New Roman" w:cs="Times New Roman"/>
              </w:rPr>
            </w:pPr>
          </w:p>
          <w:p w:rsidR="00601367" w:rsidRPr="00BE5AC7" w14:paraId="4A9D437E" w14:textId="77777777">
            <w:pPr>
              <w:pStyle w:val="TableParagraph"/>
              <w:spacing w:before="1"/>
              <w:ind w:left="768" w:hanging="653"/>
              <w:rPr>
                <w:rFonts w:ascii="Times New Roman" w:hAnsi="Times New Roman" w:cs="Times New Roman"/>
                <w:b/>
              </w:rPr>
            </w:pPr>
            <w:r w:rsidRPr="00BE5AC7">
              <w:rPr>
                <w:rFonts w:ascii="Times New Roman" w:hAnsi="Times New Roman" w:cs="Times New Roman"/>
                <w:b/>
              </w:rPr>
              <w:t>16.5</w:t>
            </w:r>
            <w:r w:rsidRPr="00BE5AC7">
              <w:rPr>
                <w:rFonts w:ascii="Times New Roman" w:hAnsi="Times New Roman" w:cs="Times New Roman"/>
                <w:b/>
                <w:spacing w:val="-9"/>
              </w:rPr>
              <w:t xml:space="preserve"> </w:t>
            </w:r>
            <w:r w:rsidRPr="00BE5AC7">
              <w:rPr>
                <w:rFonts w:ascii="Times New Roman" w:hAnsi="Times New Roman" w:cs="Times New Roman"/>
                <w:b/>
              </w:rPr>
              <w:t>ms</w:t>
            </w:r>
            <w:r w:rsidRPr="00BE5AC7">
              <w:rPr>
                <w:rFonts w:ascii="Times New Roman" w:hAnsi="Times New Roman" w:cs="Times New Roman"/>
                <w:b/>
                <w:spacing w:val="-10"/>
              </w:rPr>
              <w:t xml:space="preserve"> </w:t>
            </w:r>
            <w:r w:rsidRPr="00BE5AC7">
              <w:rPr>
                <w:rFonts w:ascii="Times New Roman" w:hAnsi="Times New Roman" w:cs="Times New Roman"/>
                <w:b/>
              </w:rPr>
              <w:t>off</w:t>
            </w:r>
            <w:r w:rsidRPr="00BE5AC7">
              <w:rPr>
                <w:rFonts w:ascii="Times New Roman" w:hAnsi="Times New Roman" w:cs="Times New Roman"/>
                <w:b/>
                <w:spacing w:val="-9"/>
              </w:rPr>
              <w:t xml:space="preserve"> </w:t>
            </w:r>
            <w:r w:rsidRPr="00BE5AC7">
              <w:rPr>
                <w:rFonts w:ascii="Times New Roman" w:hAnsi="Times New Roman" w:cs="Times New Roman"/>
                <w:b/>
              </w:rPr>
              <w:t>time</w:t>
            </w:r>
            <w:r w:rsidRPr="00BE5AC7">
              <w:rPr>
                <w:rFonts w:ascii="Times New Roman" w:hAnsi="Times New Roman" w:cs="Times New Roman"/>
                <w:b/>
                <w:spacing w:val="-9"/>
              </w:rPr>
              <w:t xml:space="preserve"> </w:t>
            </w:r>
            <w:r w:rsidRPr="00BE5AC7">
              <w:rPr>
                <w:rFonts w:ascii="Times New Roman" w:hAnsi="Times New Roman" w:cs="Times New Roman"/>
                <w:b/>
              </w:rPr>
              <w:t xml:space="preserve">per 33 </w:t>
            </w:r>
            <w:r w:rsidRPr="00BE5AC7">
              <w:rPr>
                <w:rFonts w:ascii="Times New Roman" w:hAnsi="Times New Roman" w:cs="Times New Roman"/>
                <w:b/>
              </w:rPr>
              <w:t>ms</w:t>
            </w:r>
          </w:p>
        </w:tc>
      </w:tr>
      <w:tr w14:paraId="32ED9BA2" w14:textId="77777777" w:rsidTr="00982399">
        <w:tblPrEx>
          <w:tblW w:w="9840" w:type="dxa"/>
          <w:tblInd w:w="113" w:type="dxa"/>
          <w:tblLayout w:type="fixed"/>
          <w:tblCellMar>
            <w:left w:w="0" w:type="dxa"/>
            <w:right w:w="0" w:type="dxa"/>
          </w:tblCellMar>
          <w:tblLook w:val="01E0"/>
        </w:tblPrEx>
        <w:trPr>
          <w:trHeight w:val="1335"/>
        </w:trPr>
        <w:tc>
          <w:tcPr>
            <w:tcW w:w="2333" w:type="dxa"/>
            <w:vMerge/>
          </w:tcPr>
          <w:p w:rsidR="00601367" w:rsidRPr="00982399" w14:paraId="5BB0BC6D" w14:textId="77777777">
            <w:pPr>
              <w:rPr>
                <w:szCs w:val="22"/>
              </w:rPr>
            </w:pPr>
          </w:p>
        </w:tc>
        <w:tc>
          <w:tcPr>
            <w:tcW w:w="1309" w:type="dxa"/>
          </w:tcPr>
          <w:p w:rsidR="00601367" w:rsidRPr="00BE5AC7" w14:paraId="263982C8" w14:textId="77777777">
            <w:pPr>
              <w:pStyle w:val="TableParagraph"/>
              <w:rPr>
                <w:rFonts w:ascii="Times New Roman" w:hAnsi="Times New Roman" w:cs="Times New Roman"/>
              </w:rPr>
            </w:pPr>
          </w:p>
          <w:p w:rsidR="00601367" w:rsidRPr="00115DAE" w14:paraId="075AFCB0" w14:textId="77777777">
            <w:pPr>
              <w:pStyle w:val="TableParagraph"/>
              <w:spacing w:before="146"/>
              <w:ind w:left="215" w:right="205"/>
              <w:jc w:val="center"/>
              <w:rPr>
                <w:rFonts w:ascii="Times New Roman" w:hAnsi="Times New Roman" w:cs="Times New Roman"/>
                <w:b/>
              </w:rPr>
            </w:pPr>
            <w:r w:rsidRPr="00115DAE">
              <w:rPr>
                <w:rFonts w:ascii="Times New Roman" w:hAnsi="Times New Roman" w:cs="Times New Roman"/>
                <w:b/>
              </w:rPr>
              <w:t>57.0-</w:t>
            </w:r>
            <w:r w:rsidRPr="00115DAE">
              <w:rPr>
                <w:rFonts w:ascii="Times New Roman" w:hAnsi="Times New Roman" w:cs="Times New Roman"/>
                <w:b/>
                <w:spacing w:val="-4"/>
              </w:rPr>
              <w:t>64.0</w:t>
            </w:r>
          </w:p>
          <w:p w:rsidR="00601367" w:rsidRPr="00115DAE" w14:paraId="489CB119" w14:textId="77777777">
            <w:pPr>
              <w:pStyle w:val="TableParagraph"/>
              <w:ind w:left="214" w:right="205"/>
              <w:jc w:val="center"/>
              <w:rPr>
                <w:rFonts w:ascii="Times New Roman" w:hAnsi="Times New Roman" w:cs="Times New Roman"/>
                <w:b/>
              </w:rPr>
            </w:pPr>
            <w:r w:rsidRPr="00115DAE">
              <w:rPr>
                <w:rFonts w:ascii="Times New Roman" w:hAnsi="Times New Roman" w:cs="Times New Roman"/>
                <w:b/>
                <w:spacing w:val="-5"/>
              </w:rPr>
              <w:t>GHz</w:t>
            </w:r>
          </w:p>
        </w:tc>
        <w:tc>
          <w:tcPr>
            <w:tcW w:w="1730" w:type="dxa"/>
          </w:tcPr>
          <w:p w:rsidR="00601367" w:rsidRPr="00115DAE" w14:paraId="3E42D8A9" w14:textId="77777777">
            <w:pPr>
              <w:pStyle w:val="TableParagraph"/>
              <w:rPr>
                <w:rFonts w:ascii="Times New Roman" w:hAnsi="Times New Roman" w:cs="Times New Roman"/>
              </w:rPr>
            </w:pPr>
          </w:p>
          <w:p w:rsidR="00601367" w:rsidRPr="003C2E81" w14:paraId="257E974D" w14:textId="77777777">
            <w:pPr>
              <w:pStyle w:val="TableParagraph"/>
              <w:spacing w:before="4"/>
              <w:rPr>
                <w:rFonts w:ascii="Times New Roman" w:hAnsi="Times New Roman" w:cs="Times New Roman"/>
              </w:rPr>
            </w:pPr>
          </w:p>
          <w:p w:rsidR="00601367" w:rsidRPr="00115DAE" w14:paraId="047F1887" w14:textId="77777777">
            <w:pPr>
              <w:pStyle w:val="TableParagraph"/>
              <w:ind w:left="99" w:right="89"/>
              <w:jc w:val="center"/>
              <w:rPr>
                <w:rFonts w:ascii="Times New Roman" w:hAnsi="Times New Roman" w:cs="Times New Roman"/>
                <w:b/>
              </w:rPr>
            </w:pPr>
            <w:r w:rsidRPr="00115DAE">
              <w:rPr>
                <w:rFonts w:ascii="Times New Roman" w:hAnsi="Times New Roman" w:cs="Times New Roman"/>
                <w:b/>
                <w:spacing w:val="-5"/>
              </w:rPr>
              <w:t>All</w:t>
            </w:r>
          </w:p>
        </w:tc>
        <w:tc>
          <w:tcPr>
            <w:tcW w:w="2188" w:type="dxa"/>
          </w:tcPr>
          <w:p w:rsidR="00601367" w:rsidRPr="00AB0C2F" w14:paraId="1ADCA553" w14:textId="77777777">
            <w:pPr>
              <w:pStyle w:val="TableParagraph"/>
              <w:rPr>
                <w:rFonts w:ascii="Times New Roman" w:hAnsi="Times New Roman" w:cs="Times New Roman"/>
              </w:rPr>
            </w:pPr>
          </w:p>
          <w:p w:rsidR="00601367" w:rsidRPr="00115DAE" w14:paraId="1DBF100F" w14:textId="77777777">
            <w:pPr>
              <w:pStyle w:val="TableParagraph"/>
              <w:spacing w:before="4"/>
              <w:rPr>
                <w:rFonts w:ascii="Times New Roman" w:hAnsi="Times New Roman" w:cs="Times New Roman"/>
              </w:rPr>
            </w:pPr>
          </w:p>
          <w:p w:rsidR="00601367" w:rsidRPr="00115DAE" w14:paraId="45D7DE0D" w14:textId="40A114A1">
            <w:pPr>
              <w:pStyle w:val="TableParagraph"/>
              <w:ind w:left="397" w:right="386"/>
              <w:jc w:val="center"/>
              <w:rPr>
                <w:rFonts w:ascii="Times New Roman" w:hAnsi="Times New Roman" w:cs="Times New Roman"/>
                <w:b/>
              </w:rPr>
            </w:pPr>
            <w:r w:rsidRPr="00115DAE">
              <w:rPr>
                <w:rFonts w:ascii="Times New Roman" w:hAnsi="Times New Roman" w:cs="Times New Roman"/>
                <w:b/>
              </w:rPr>
              <w:t>14</w:t>
            </w:r>
            <w:r w:rsidRPr="00115DAE">
              <w:rPr>
                <w:rFonts w:ascii="Times New Roman" w:hAnsi="Times New Roman" w:cs="Times New Roman"/>
                <w:b/>
                <w:spacing w:val="-1"/>
              </w:rPr>
              <w:t xml:space="preserve"> </w:t>
            </w:r>
            <w:r w:rsidRPr="00115DAE">
              <w:rPr>
                <w:rFonts w:ascii="Times New Roman" w:hAnsi="Times New Roman" w:cs="Times New Roman"/>
                <w:b/>
              </w:rPr>
              <w:t xml:space="preserve">dBm </w:t>
            </w:r>
          </w:p>
        </w:tc>
        <w:tc>
          <w:tcPr>
            <w:tcW w:w="2280" w:type="dxa"/>
          </w:tcPr>
          <w:p w:rsidR="00601367" w:rsidRPr="00115DAE" w14:paraId="056E60F5" w14:textId="77777777">
            <w:pPr>
              <w:pStyle w:val="TableParagraph"/>
              <w:rPr>
                <w:rFonts w:ascii="Times New Roman" w:hAnsi="Times New Roman" w:cs="Times New Roman"/>
              </w:rPr>
            </w:pPr>
          </w:p>
          <w:p w:rsidR="00601367" w:rsidRPr="00115DAE" w14:paraId="768A4E5F" w14:textId="77777777">
            <w:pPr>
              <w:pStyle w:val="TableParagraph"/>
              <w:spacing w:before="146"/>
              <w:ind w:left="768" w:hanging="653"/>
              <w:rPr>
                <w:rFonts w:ascii="Times New Roman" w:hAnsi="Times New Roman" w:cs="Times New Roman"/>
                <w:b/>
              </w:rPr>
            </w:pPr>
            <w:r w:rsidRPr="00115DAE">
              <w:rPr>
                <w:rFonts w:ascii="Times New Roman" w:hAnsi="Times New Roman" w:cs="Times New Roman"/>
                <w:b/>
              </w:rPr>
              <w:t>25.5</w:t>
            </w:r>
            <w:r w:rsidRPr="00115DAE">
              <w:rPr>
                <w:rFonts w:ascii="Times New Roman" w:hAnsi="Times New Roman" w:cs="Times New Roman"/>
                <w:b/>
                <w:spacing w:val="-9"/>
              </w:rPr>
              <w:t xml:space="preserve"> </w:t>
            </w:r>
            <w:r w:rsidRPr="00115DAE">
              <w:rPr>
                <w:rFonts w:ascii="Times New Roman" w:hAnsi="Times New Roman" w:cs="Times New Roman"/>
                <w:b/>
              </w:rPr>
              <w:t>ms</w:t>
            </w:r>
            <w:r w:rsidRPr="00115DAE">
              <w:rPr>
                <w:rFonts w:ascii="Times New Roman" w:hAnsi="Times New Roman" w:cs="Times New Roman"/>
                <w:b/>
                <w:spacing w:val="-10"/>
              </w:rPr>
              <w:t xml:space="preserve"> </w:t>
            </w:r>
            <w:r w:rsidRPr="00115DAE">
              <w:rPr>
                <w:rFonts w:ascii="Times New Roman" w:hAnsi="Times New Roman" w:cs="Times New Roman"/>
                <w:b/>
              </w:rPr>
              <w:t>off</w:t>
            </w:r>
            <w:r w:rsidRPr="00115DAE">
              <w:rPr>
                <w:rFonts w:ascii="Times New Roman" w:hAnsi="Times New Roman" w:cs="Times New Roman"/>
                <w:b/>
                <w:spacing w:val="-9"/>
              </w:rPr>
              <w:t xml:space="preserve"> </w:t>
            </w:r>
            <w:r w:rsidRPr="00115DAE">
              <w:rPr>
                <w:rFonts w:ascii="Times New Roman" w:hAnsi="Times New Roman" w:cs="Times New Roman"/>
                <w:b/>
              </w:rPr>
              <w:t>time</w:t>
            </w:r>
            <w:r w:rsidRPr="00115DAE">
              <w:rPr>
                <w:rFonts w:ascii="Times New Roman" w:hAnsi="Times New Roman" w:cs="Times New Roman"/>
                <w:b/>
                <w:spacing w:val="-9"/>
              </w:rPr>
              <w:t xml:space="preserve"> </w:t>
            </w:r>
            <w:r w:rsidRPr="00115DAE">
              <w:rPr>
                <w:rFonts w:ascii="Times New Roman" w:hAnsi="Times New Roman" w:cs="Times New Roman"/>
                <w:b/>
              </w:rPr>
              <w:t xml:space="preserve">per 33 </w:t>
            </w:r>
            <w:r w:rsidRPr="00115DAE">
              <w:rPr>
                <w:rFonts w:ascii="Times New Roman" w:hAnsi="Times New Roman" w:cs="Times New Roman"/>
                <w:b/>
              </w:rPr>
              <w:t>ms</w:t>
            </w:r>
          </w:p>
        </w:tc>
      </w:tr>
      <w:tr w14:paraId="7341B4D6" w14:textId="77777777" w:rsidTr="00982399">
        <w:tblPrEx>
          <w:tblW w:w="9840" w:type="dxa"/>
          <w:tblInd w:w="113" w:type="dxa"/>
          <w:tblLayout w:type="fixed"/>
          <w:tblCellMar>
            <w:left w:w="0" w:type="dxa"/>
            <w:right w:w="0" w:type="dxa"/>
          </w:tblCellMar>
          <w:tblLook w:val="01E0"/>
        </w:tblPrEx>
        <w:trPr>
          <w:trHeight w:val="1365"/>
        </w:trPr>
        <w:tc>
          <w:tcPr>
            <w:tcW w:w="2333" w:type="dxa"/>
            <w:vMerge/>
          </w:tcPr>
          <w:p w:rsidR="00601367" w:rsidRPr="00982399" w14:paraId="607858E9" w14:textId="77777777">
            <w:pPr>
              <w:rPr>
                <w:szCs w:val="22"/>
              </w:rPr>
            </w:pPr>
          </w:p>
        </w:tc>
        <w:tc>
          <w:tcPr>
            <w:tcW w:w="1309" w:type="dxa"/>
          </w:tcPr>
          <w:p w:rsidR="00601367" w:rsidRPr="003C2E81" w14:paraId="03F7D24B" w14:textId="77777777">
            <w:pPr>
              <w:pStyle w:val="TableParagraph"/>
              <w:rPr>
                <w:rFonts w:ascii="Times New Roman" w:hAnsi="Times New Roman" w:cs="Times New Roman"/>
              </w:rPr>
            </w:pPr>
          </w:p>
          <w:p w:rsidR="00601367" w:rsidRPr="003C2E81" w14:paraId="554B2D15" w14:textId="77777777">
            <w:pPr>
              <w:pStyle w:val="TableParagraph"/>
              <w:spacing w:before="161"/>
              <w:ind w:left="215" w:right="205"/>
              <w:jc w:val="center"/>
              <w:rPr>
                <w:rFonts w:ascii="Times New Roman" w:hAnsi="Times New Roman" w:cs="Times New Roman"/>
                <w:b/>
              </w:rPr>
            </w:pPr>
            <w:r w:rsidRPr="003C2E81">
              <w:rPr>
                <w:rFonts w:ascii="Times New Roman" w:hAnsi="Times New Roman" w:cs="Times New Roman"/>
                <w:b/>
              </w:rPr>
              <w:t>57.0-</w:t>
            </w:r>
            <w:r w:rsidRPr="003C2E81">
              <w:rPr>
                <w:rFonts w:ascii="Times New Roman" w:hAnsi="Times New Roman" w:cs="Times New Roman"/>
                <w:b/>
                <w:spacing w:val="-4"/>
              </w:rPr>
              <w:t>64.0</w:t>
            </w:r>
          </w:p>
          <w:p w:rsidR="00601367" w:rsidRPr="003C2E81" w14:paraId="400D746B" w14:textId="77777777">
            <w:pPr>
              <w:pStyle w:val="TableParagraph"/>
              <w:ind w:left="214" w:right="205"/>
              <w:jc w:val="center"/>
              <w:rPr>
                <w:rFonts w:ascii="Times New Roman" w:hAnsi="Times New Roman" w:cs="Times New Roman"/>
                <w:b/>
              </w:rPr>
            </w:pPr>
            <w:r w:rsidRPr="003C2E81">
              <w:rPr>
                <w:rFonts w:ascii="Times New Roman" w:hAnsi="Times New Roman" w:cs="Times New Roman"/>
                <w:b/>
                <w:spacing w:val="-5"/>
              </w:rPr>
              <w:t>GHz</w:t>
            </w:r>
          </w:p>
        </w:tc>
        <w:tc>
          <w:tcPr>
            <w:tcW w:w="1730" w:type="dxa"/>
          </w:tcPr>
          <w:p w:rsidR="00601367" w:rsidRPr="003C2E81" w14:paraId="5F37F507" w14:textId="77777777">
            <w:pPr>
              <w:pStyle w:val="TableParagraph"/>
              <w:spacing w:line="270" w:lineRule="atLeast"/>
              <w:ind w:left="163" w:right="150" w:hanging="1"/>
              <w:jc w:val="center"/>
              <w:rPr>
                <w:rFonts w:ascii="Times New Roman" w:hAnsi="Times New Roman" w:cs="Times New Roman"/>
                <w:b/>
              </w:rPr>
            </w:pPr>
            <w:r w:rsidRPr="003C2E81">
              <w:rPr>
                <w:rFonts w:ascii="Times New Roman" w:hAnsi="Times New Roman" w:cs="Times New Roman"/>
                <w:b/>
                <w:spacing w:val="-2"/>
              </w:rPr>
              <w:t xml:space="preserve">Fixed </w:t>
            </w:r>
            <w:r w:rsidRPr="003C2E81">
              <w:rPr>
                <w:rFonts w:ascii="Times New Roman" w:hAnsi="Times New Roman" w:cs="Times New Roman"/>
                <w:b/>
              </w:rPr>
              <w:t xml:space="preserve">outdoor or </w:t>
            </w:r>
            <w:r w:rsidRPr="003C2E81">
              <w:rPr>
                <w:rFonts w:ascii="Times New Roman" w:hAnsi="Times New Roman" w:cs="Times New Roman"/>
                <w:b/>
                <w:spacing w:val="-2"/>
              </w:rPr>
              <w:t xml:space="preserve">vehicular </w:t>
            </w:r>
            <w:r w:rsidRPr="003C2E81">
              <w:rPr>
                <w:rFonts w:ascii="Times New Roman" w:hAnsi="Times New Roman" w:cs="Times New Roman"/>
                <w:b/>
              </w:rPr>
              <w:t>uses</w:t>
            </w:r>
            <w:r w:rsidRPr="003C2E81">
              <w:rPr>
                <w:rFonts w:ascii="Times New Roman" w:hAnsi="Times New Roman" w:cs="Times New Roman"/>
                <w:b/>
                <w:spacing w:val="-13"/>
              </w:rPr>
              <w:t xml:space="preserve"> </w:t>
            </w:r>
            <w:r w:rsidRPr="003C2E81">
              <w:rPr>
                <w:rFonts w:ascii="Times New Roman" w:hAnsi="Times New Roman" w:cs="Times New Roman"/>
                <w:b/>
              </w:rPr>
              <w:t xml:space="preserve">(except </w:t>
            </w:r>
            <w:r w:rsidRPr="003C2E81">
              <w:rPr>
                <w:rFonts w:ascii="Times New Roman" w:hAnsi="Times New Roman" w:cs="Times New Roman"/>
                <w:b/>
                <w:spacing w:val="-2"/>
              </w:rPr>
              <w:t>in-cabin)</w:t>
            </w:r>
            <w:r w:rsidRPr="003C2E81">
              <w:rPr>
                <w:rFonts w:ascii="Times New Roman" w:hAnsi="Times New Roman" w:cs="Times New Roman"/>
                <w:b/>
                <w:spacing w:val="-2"/>
                <w:vertAlign w:val="superscript"/>
              </w:rPr>
              <w:t>4</w:t>
            </w:r>
          </w:p>
        </w:tc>
        <w:tc>
          <w:tcPr>
            <w:tcW w:w="2188" w:type="dxa"/>
          </w:tcPr>
          <w:p w:rsidR="00601367" w:rsidRPr="00AB0C2F" w14:paraId="00BFE450" w14:textId="77777777">
            <w:pPr>
              <w:pStyle w:val="TableParagraph"/>
              <w:rPr>
                <w:rFonts w:ascii="Times New Roman" w:hAnsi="Times New Roman" w:cs="Times New Roman"/>
              </w:rPr>
            </w:pPr>
          </w:p>
          <w:p w:rsidR="00601367" w:rsidRPr="00AB0C2F" w14:paraId="5CA69193" w14:textId="77777777">
            <w:pPr>
              <w:pStyle w:val="TableParagraph"/>
              <w:spacing w:before="7"/>
              <w:rPr>
                <w:rFonts w:ascii="Times New Roman" w:hAnsi="Times New Roman" w:cs="Times New Roman"/>
              </w:rPr>
            </w:pPr>
          </w:p>
          <w:p w:rsidR="00601367" w:rsidRPr="00AB0C2F" w14:paraId="7D2B9D4D" w14:textId="07EFD013">
            <w:pPr>
              <w:pStyle w:val="TableParagraph"/>
              <w:ind w:left="397" w:right="386"/>
              <w:jc w:val="center"/>
              <w:rPr>
                <w:rFonts w:ascii="Times New Roman" w:hAnsi="Times New Roman" w:cs="Times New Roman"/>
                <w:b/>
              </w:rPr>
            </w:pPr>
            <w:r w:rsidRPr="00AB0C2F">
              <w:rPr>
                <w:rFonts w:ascii="Times New Roman" w:hAnsi="Times New Roman" w:cs="Times New Roman"/>
                <w:b/>
              </w:rPr>
              <w:t>20</w:t>
            </w:r>
            <w:r w:rsidRPr="00AB0C2F">
              <w:rPr>
                <w:rFonts w:ascii="Times New Roman" w:hAnsi="Times New Roman" w:cs="Times New Roman"/>
                <w:b/>
                <w:spacing w:val="-1"/>
              </w:rPr>
              <w:t xml:space="preserve"> </w:t>
            </w:r>
            <w:r w:rsidRPr="00AB0C2F">
              <w:rPr>
                <w:rFonts w:ascii="Times New Roman" w:hAnsi="Times New Roman" w:cs="Times New Roman"/>
                <w:b/>
              </w:rPr>
              <w:t xml:space="preserve">dBm </w:t>
            </w:r>
          </w:p>
        </w:tc>
        <w:tc>
          <w:tcPr>
            <w:tcW w:w="2280" w:type="dxa"/>
          </w:tcPr>
          <w:p w:rsidR="00601367" w:rsidRPr="003C2E81" w14:paraId="0D3E83AB" w14:textId="77777777">
            <w:pPr>
              <w:pStyle w:val="TableParagraph"/>
              <w:rPr>
                <w:rFonts w:ascii="Times New Roman" w:hAnsi="Times New Roman" w:cs="Times New Roman"/>
              </w:rPr>
            </w:pPr>
          </w:p>
          <w:p w:rsidR="00601367" w:rsidRPr="003C2E81" w14:paraId="324DF1CB" w14:textId="77777777">
            <w:pPr>
              <w:pStyle w:val="TableParagraph"/>
              <w:spacing w:before="161"/>
              <w:ind w:left="768" w:hanging="653"/>
              <w:rPr>
                <w:rFonts w:ascii="Times New Roman" w:hAnsi="Times New Roman" w:cs="Times New Roman"/>
                <w:b/>
              </w:rPr>
            </w:pPr>
            <w:r w:rsidRPr="003C2E81">
              <w:rPr>
                <w:rFonts w:ascii="Times New Roman" w:hAnsi="Times New Roman" w:cs="Times New Roman"/>
                <w:b/>
              </w:rPr>
              <w:t>16.5</w:t>
            </w:r>
            <w:r w:rsidRPr="003C2E81">
              <w:rPr>
                <w:rFonts w:ascii="Times New Roman" w:hAnsi="Times New Roman" w:cs="Times New Roman"/>
                <w:b/>
                <w:spacing w:val="-9"/>
              </w:rPr>
              <w:t xml:space="preserve"> </w:t>
            </w:r>
            <w:r w:rsidRPr="003C2E81">
              <w:rPr>
                <w:rFonts w:ascii="Times New Roman" w:hAnsi="Times New Roman" w:cs="Times New Roman"/>
                <w:b/>
              </w:rPr>
              <w:t>ms</w:t>
            </w:r>
            <w:r w:rsidRPr="003C2E81">
              <w:rPr>
                <w:rFonts w:ascii="Times New Roman" w:hAnsi="Times New Roman" w:cs="Times New Roman"/>
                <w:b/>
                <w:spacing w:val="-10"/>
              </w:rPr>
              <w:t xml:space="preserve"> </w:t>
            </w:r>
            <w:r w:rsidRPr="003C2E81">
              <w:rPr>
                <w:rFonts w:ascii="Times New Roman" w:hAnsi="Times New Roman" w:cs="Times New Roman"/>
                <w:b/>
              </w:rPr>
              <w:t>off</w:t>
            </w:r>
            <w:r w:rsidRPr="003C2E81">
              <w:rPr>
                <w:rFonts w:ascii="Times New Roman" w:hAnsi="Times New Roman" w:cs="Times New Roman"/>
                <w:b/>
                <w:spacing w:val="-9"/>
              </w:rPr>
              <w:t xml:space="preserve"> </w:t>
            </w:r>
            <w:r w:rsidRPr="003C2E81">
              <w:rPr>
                <w:rFonts w:ascii="Times New Roman" w:hAnsi="Times New Roman" w:cs="Times New Roman"/>
                <w:b/>
              </w:rPr>
              <w:t>time</w:t>
            </w:r>
            <w:r w:rsidRPr="003C2E81">
              <w:rPr>
                <w:rFonts w:ascii="Times New Roman" w:hAnsi="Times New Roman" w:cs="Times New Roman"/>
                <w:b/>
                <w:spacing w:val="-9"/>
              </w:rPr>
              <w:t xml:space="preserve"> </w:t>
            </w:r>
            <w:r w:rsidRPr="003C2E81">
              <w:rPr>
                <w:rFonts w:ascii="Times New Roman" w:hAnsi="Times New Roman" w:cs="Times New Roman"/>
                <w:b/>
              </w:rPr>
              <w:t xml:space="preserve">per 33 </w:t>
            </w:r>
            <w:r w:rsidRPr="003C2E81">
              <w:rPr>
                <w:rFonts w:ascii="Times New Roman" w:hAnsi="Times New Roman" w:cs="Times New Roman"/>
                <w:b/>
              </w:rPr>
              <w:t>ms</w:t>
            </w:r>
          </w:p>
        </w:tc>
      </w:tr>
      <w:tr w14:paraId="75B36C20" w14:textId="77777777" w:rsidTr="37763319">
        <w:tblPrEx>
          <w:tblW w:w="9840" w:type="dxa"/>
          <w:tblInd w:w="113" w:type="dxa"/>
          <w:tblLayout w:type="fixed"/>
          <w:tblCellMar>
            <w:left w:w="0" w:type="dxa"/>
            <w:right w:w="0" w:type="dxa"/>
          </w:tblCellMar>
          <w:tblLook w:val="01E0"/>
        </w:tblPrEx>
        <w:trPr>
          <w:trHeight w:val="268"/>
        </w:trPr>
        <w:tc>
          <w:tcPr>
            <w:tcW w:w="9840" w:type="dxa"/>
            <w:gridSpan w:val="5"/>
          </w:tcPr>
          <w:p w:rsidR="00601367" w:rsidRPr="00992D01" w14:paraId="3AC36982" w14:textId="77777777">
            <w:pPr>
              <w:pStyle w:val="TableParagraph"/>
              <w:rPr>
                <w:rFonts w:ascii="Times New Roman" w:hAnsi="Times New Roman" w:cs="Times New Roman"/>
              </w:rPr>
            </w:pPr>
          </w:p>
        </w:tc>
      </w:tr>
      <w:tr w14:paraId="0A957775" w14:textId="77777777" w:rsidTr="00982399">
        <w:tblPrEx>
          <w:tblW w:w="9840" w:type="dxa"/>
          <w:tblInd w:w="113" w:type="dxa"/>
          <w:tblLayout w:type="fixed"/>
          <w:tblCellMar>
            <w:left w:w="0" w:type="dxa"/>
            <w:right w:w="0" w:type="dxa"/>
          </w:tblCellMar>
          <w:tblLook w:val="01E0"/>
        </w:tblPrEx>
        <w:trPr>
          <w:trHeight w:val="537"/>
        </w:trPr>
        <w:tc>
          <w:tcPr>
            <w:tcW w:w="2333" w:type="dxa"/>
          </w:tcPr>
          <w:p w:rsidR="00601367" w:rsidRPr="00992D01" w14:paraId="7F4807E6" w14:textId="7B31D495">
            <w:pPr>
              <w:pStyle w:val="TableParagraph"/>
              <w:spacing w:before="134"/>
              <w:ind w:left="136" w:right="127"/>
              <w:jc w:val="center"/>
              <w:rPr>
                <w:rFonts w:ascii="Times New Roman" w:hAnsi="Times New Roman" w:cs="Times New Roman"/>
                <w:b/>
              </w:rPr>
            </w:pPr>
            <w:r w:rsidRPr="3BFD2569">
              <w:rPr>
                <w:rFonts w:ascii="Times New Roman" w:hAnsi="Times New Roman" w:cs="Times New Roman"/>
                <w:b/>
              </w:rPr>
              <w:t>Outdoor</w:t>
            </w:r>
            <w:r w:rsidRPr="3BFD2569">
              <w:rPr>
                <w:rFonts w:ascii="Times New Roman" w:hAnsi="Times New Roman" w:cs="Times New Roman"/>
                <w:b/>
                <w:spacing w:val="-5"/>
              </w:rPr>
              <w:t xml:space="preserve"> </w:t>
            </w:r>
            <w:r w:rsidRPr="3BFD2569">
              <w:rPr>
                <w:rFonts w:ascii="Times New Roman" w:hAnsi="Times New Roman" w:cs="Times New Roman"/>
                <w:b/>
                <w:spacing w:val="-2"/>
              </w:rPr>
              <w:t>drones/UA</w:t>
            </w:r>
          </w:p>
        </w:tc>
        <w:tc>
          <w:tcPr>
            <w:tcW w:w="1309" w:type="dxa"/>
          </w:tcPr>
          <w:p w:rsidR="00601367" w:rsidRPr="00992D01" w14:paraId="09640190" w14:textId="77777777">
            <w:pPr>
              <w:pStyle w:val="TableParagraph"/>
              <w:spacing w:before="134"/>
              <w:ind w:left="189"/>
              <w:rPr>
                <w:rFonts w:ascii="Times New Roman" w:hAnsi="Times New Roman" w:cs="Times New Roman"/>
                <w:b/>
              </w:rPr>
            </w:pPr>
            <w:r w:rsidRPr="00992D01">
              <w:rPr>
                <w:rFonts w:ascii="Times New Roman" w:hAnsi="Times New Roman" w:cs="Times New Roman"/>
                <w:b/>
              </w:rPr>
              <w:t xml:space="preserve">60-64 </w:t>
            </w:r>
            <w:r w:rsidRPr="00992D01">
              <w:rPr>
                <w:rFonts w:ascii="Times New Roman" w:hAnsi="Times New Roman" w:cs="Times New Roman"/>
                <w:b/>
                <w:spacing w:val="-5"/>
              </w:rPr>
              <w:t>GHz</w:t>
            </w:r>
          </w:p>
        </w:tc>
        <w:tc>
          <w:tcPr>
            <w:tcW w:w="1730" w:type="dxa"/>
          </w:tcPr>
          <w:p w:rsidR="00601367" w:rsidRPr="00992D01" w14:paraId="5C9CA04B" w14:textId="41B56046">
            <w:pPr>
              <w:pStyle w:val="TableParagraph"/>
              <w:spacing w:before="134"/>
              <w:ind w:left="99" w:right="89"/>
              <w:jc w:val="center"/>
              <w:rPr>
                <w:rFonts w:ascii="Times New Roman" w:hAnsi="Times New Roman" w:cs="Times New Roman"/>
                <w:b/>
              </w:rPr>
            </w:pPr>
            <w:r w:rsidRPr="00992D01">
              <w:rPr>
                <w:rFonts w:ascii="Times New Roman" w:hAnsi="Times New Roman" w:cs="Times New Roman"/>
                <w:b/>
                <w:spacing w:val="-2"/>
              </w:rPr>
              <w:t>Drones/UA</w:t>
            </w:r>
          </w:p>
        </w:tc>
        <w:tc>
          <w:tcPr>
            <w:tcW w:w="2188" w:type="dxa"/>
          </w:tcPr>
          <w:p w:rsidR="00601367" w:rsidRPr="00992D01" w14:paraId="7FBE32D0" w14:textId="3726FE1E">
            <w:pPr>
              <w:pStyle w:val="TableParagraph"/>
              <w:spacing w:before="134"/>
              <w:ind w:left="397" w:right="386"/>
              <w:jc w:val="center"/>
              <w:rPr>
                <w:rFonts w:ascii="Times New Roman" w:hAnsi="Times New Roman" w:cs="Times New Roman"/>
                <w:b/>
              </w:rPr>
            </w:pPr>
            <w:r w:rsidRPr="00992D01">
              <w:rPr>
                <w:rFonts w:ascii="Times New Roman" w:hAnsi="Times New Roman" w:cs="Times New Roman"/>
                <w:b/>
              </w:rPr>
              <w:t>20</w:t>
            </w:r>
            <w:r w:rsidRPr="00992D01">
              <w:rPr>
                <w:rFonts w:ascii="Times New Roman" w:hAnsi="Times New Roman" w:cs="Times New Roman"/>
                <w:b/>
                <w:spacing w:val="-1"/>
              </w:rPr>
              <w:t xml:space="preserve"> </w:t>
            </w:r>
            <w:r w:rsidRPr="00992D01">
              <w:rPr>
                <w:rFonts w:ascii="Times New Roman" w:hAnsi="Times New Roman" w:cs="Times New Roman"/>
                <w:b/>
              </w:rPr>
              <w:t xml:space="preserve">dBm </w:t>
            </w:r>
          </w:p>
        </w:tc>
        <w:tc>
          <w:tcPr>
            <w:tcW w:w="2280" w:type="dxa"/>
          </w:tcPr>
          <w:p w:rsidR="00601367" w:rsidRPr="00992D01" w14:paraId="3EB04009" w14:textId="77777777">
            <w:pPr>
              <w:pStyle w:val="TableParagraph"/>
              <w:spacing w:line="270" w:lineRule="atLeast"/>
              <w:ind w:left="768" w:hanging="653"/>
              <w:rPr>
                <w:rFonts w:ascii="Times New Roman" w:hAnsi="Times New Roman" w:cs="Times New Roman"/>
                <w:b/>
              </w:rPr>
            </w:pPr>
            <w:r w:rsidRPr="00992D01">
              <w:rPr>
                <w:rFonts w:ascii="Times New Roman" w:hAnsi="Times New Roman" w:cs="Times New Roman"/>
                <w:b/>
              </w:rPr>
              <w:t>16.5</w:t>
            </w:r>
            <w:r w:rsidRPr="00992D01">
              <w:rPr>
                <w:rFonts w:ascii="Times New Roman" w:hAnsi="Times New Roman" w:cs="Times New Roman"/>
                <w:b/>
                <w:spacing w:val="-9"/>
              </w:rPr>
              <w:t xml:space="preserve"> </w:t>
            </w:r>
            <w:r w:rsidRPr="00992D01">
              <w:rPr>
                <w:rFonts w:ascii="Times New Roman" w:hAnsi="Times New Roman" w:cs="Times New Roman"/>
                <w:b/>
              </w:rPr>
              <w:t>ms</w:t>
            </w:r>
            <w:r w:rsidRPr="00992D01">
              <w:rPr>
                <w:rFonts w:ascii="Times New Roman" w:hAnsi="Times New Roman" w:cs="Times New Roman"/>
                <w:b/>
                <w:spacing w:val="-10"/>
              </w:rPr>
              <w:t xml:space="preserve"> </w:t>
            </w:r>
            <w:r w:rsidRPr="00992D01">
              <w:rPr>
                <w:rFonts w:ascii="Times New Roman" w:hAnsi="Times New Roman" w:cs="Times New Roman"/>
                <w:b/>
              </w:rPr>
              <w:t>off</w:t>
            </w:r>
            <w:r w:rsidRPr="00992D01">
              <w:rPr>
                <w:rFonts w:ascii="Times New Roman" w:hAnsi="Times New Roman" w:cs="Times New Roman"/>
                <w:b/>
                <w:spacing w:val="-9"/>
              </w:rPr>
              <w:t xml:space="preserve"> </w:t>
            </w:r>
            <w:r w:rsidRPr="00992D01">
              <w:rPr>
                <w:rFonts w:ascii="Times New Roman" w:hAnsi="Times New Roman" w:cs="Times New Roman"/>
                <w:b/>
              </w:rPr>
              <w:t>time</w:t>
            </w:r>
            <w:r w:rsidRPr="00992D01">
              <w:rPr>
                <w:rFonts w:ascii="Times New Roman" w:hAnsi="Times New Roman" w:cs="Times New Roman"/>
                <w:b/>
                <w:spacing w:val="-9"/>
              </w:rPr>
              <w:t xml:space="preserve"> </w:t>
            </w:r>
            <w:r w:rsidRPr="00992D01">
              <w:rPr>
                <w:rFonts w:ascii="Times New Roman" w:hAnsi="Times New Roman" w:cs="Times New Roman"/>
                <w:b/>
              </w:rPr>
              <w:t xml:space="preserve">per 33 </w:t>
            </w:r>
            <w:r w:rsidRPr="00992D01">
              <w:rPr>
                <w:rFonts w:ascii="Times New Roman" w:hAnsi="Times New Roman" w:cs="Times New Roman"/>
                <w:b/>
              </w:rPr>
              <w:t>ms</w:t>
            </w:r>
          </w:p>
        </w:tc>
      </w:tr>
    </w:tbl>
    <w:p w:rsidR="00601367" w:rsidP="00F41356" w14:paraId="64FF9784" w14:textId="77777777">
      <w:pPr>
        <w:pStyle w:val="ParaNum"/>
        <w:numPr>
          <w:ilvl w:val="0"/>
          <w:numId w:val="0"/>
        </w:numPr>
        <w:spacing w:before="120"/>
      </w:pPr>
      <w:r w:rsidRPr="00781962">
        <w:rPr>
          <w:b/>
          <w:bCs/>
        </w:rPr>
        <w:t>NOTES</w:t>
      </w:r>
      <w:r>
        <w:t>:</w:t>
      </w:r>
    </w:p>
    <w:p w:rsidR="00601367" w:rsidRPr="00694CE6" w:rsidP="00601367" w14:paraId="3C6486E8" w14:textId="286B7019">
      <w:pPr>
        <w:pStyle w:val="BodyText"/>
        <w:numPr>
          <w:ilvl w:val="0"/>
          <w:numId w:val="38"/>
        </w:numPr>
        <w:spacing w:before="56"/>
        <w:ind w:right="759"/>
      </w:pPr>
      <w:r w:rsidRPr="00694CE6">
        <w:t>Switching</w:t>
      </w:r>
      <w:r w:rsidRPr="00694CE6">
        <w:rPr>
          <w:spacing w:val="-4"/>
        </w:rPr>
        <w:t xml:space="preserve"> </w:t>
      </w:r>
      <w:r w:rsidRPr="00694CE6">
        <w:t>between</w:t>
      </w:r>
      <w:r w:rsidRPr="00694CE6">
        <w:rPr>
          <w:spacing w:val="-4"/>
        </w:rPr>
        <w:t xml:space="preserve"> </w:t>
      </w:r>
      <w:r w:rsidRPr="00694CE6">
        <w:t>requirements</w:t>
      </w:r>
      <w:r w:rsidRPr="00694CE6">
        <w:rPr>
          <w:spacing w:val="-4"/>
        </w:rPr>
        <w:t xml:space="preserve"> </w:t>
      </w:r>
      <w:r w:rsidRPr="00694CE6">
        <w:t>in</w:t>
      </w:r>
      <w:r w:rsidRPr="00694CE6">
        <w:rPr>
          <w:spacing w:val="-4"/>
        </w:rPr>
        <w:t xml:space="preserve"> </w:t>
      </w:r>
      <w:r w:rsidRPr="00694CE6">
        <w:t>frequency</w:t>
      </w:r>
      <w:r w:rsidRPr="00694CE6">
        <w:rPr>
          <w:spacing w:val="-4"/>
        </w:rPr>
        <w:t xml:space="preserve"> </w:t>
      </w:r>
      <w:r w:rsidRPr="00694CE6">
        <w:t>ranges</w:t>
      </w:r>
      <w:r w:rsidRPr="00694CE6">
        <w:rPr>
          <w:spacing w:val="-4"/>
        </w:rPr>
        <w:t xml:space="preserve"> </w:t>
      </w:r>
      <w:r w:rsidRPr="00694CE6">
        <w:t>is</w:t>
      </w:r>
      <w:r w:rsidRPr="00694CE6">
        <w:rPr>
          <w:spacing w:val="-4"/>
        </w:rPr>
        <w:t xml:space="preserve"> </w:t>
      </w:r>
      <w:r w:rsidRPr="00694CE6">
        <w:t>allowed</w:t>
      </w:r>
      <w:r w:rsidRPr="00694CE6">
        <w:rPr>
          <w:spacing w:val="-4"/>
        </w:rPr>
        <w:t xml:space="preserve"> </w:t>
      </w:r>
      <w:r w:rsidRPr="00694CE6">
        <w:t>in</w:t>
      </w:r>
      <w:r w:rsidRPr="00694CE6">
        <w:rPr>
          <w:spacing w:val="-4"/>
        </w:rPr>
        <w:t xml:space="preserve"> </w:t>
      </w:r>
      <w:r w:rsidRPr="00694CE6">
        <w:t>successive</w:t>
      </w:r>
      <w:r w:rsidRPr="00694CE6">
        <w:rPr>
          <w:spacing w:val="-4"/>
        </w:rPr>
        <w:t xml:space="preserve"> </w:t>
      </w:r>
      <w:r w:rsidRPr="00694CE6">
        <w:t>33</w:t>
      </w:r>
      <w:r w:rsidRPr="00694CE6">
        <w:rPr>
          <w:spacing w:val="-4"/>
        </w:rPr>
        <w:t xml:space="preserve"> </w:t>
      </w:r>
      <w:r>
        <w:rPr>
          <w:spacing w:val="-4"/>
        </w:rPr>
        <w:t>ms</w:t>
      </w:r>
      <w:r w:rsidRPr="00694CE6">
        <w:t xml:space="preserve"> frames (for example, operation in </w:t>
      </w:r>
      <w:r w:rsidR="0062267C">
        <w:t xml:space="preserve">the </w:t>
      </w:r>
      <w:r w:rsidRPr="00694CE6">
        <w:t xml:space="preserve">57-61.56 GHz </w:t>
      </w:r>
      <w:r w:rsidR="0062267C">
        <w:t xml:space="preserve">band </w:t>
      </w:r>
      <w:r w:rsidRPr="00694CE6">
        <w:t xml:space="preserve">under applicable parameters in the first 33 </w:t>
      </w:r>
      <w:r>
        <w:t>ms</w:t>
      </w:r>
      <w:r w:rsidRPr="00694CE6">
        <w:rPr>
          <w:spacing w:val="-3"/>
        </w:rPr>
        <w:t xml:space="preserve"> </w:t>
      </w:r>
      <w:r w:rsidRPr="00694CE6">
        <w:t>frame</w:t>
      </w:r>
      <w:r w:rsidRPr="00694CE6">
        <w:rPr>
          <w:spacing w:val="-4"/>
        </w:rPr>
        <w:t xml:space="preserve"> </w:t>
      </w:r>
      <w:r w:rsidRPr="00694CE6">
        <w:t>followed</w:t>
      </w:r>
      <w:r w:rsidRPr="00694CE6">
        <w:rPr>
          <w:spacing w:val="-3"/>
        </w:rPr>
        <w:t xml:space="preserve"> </w:t>
      </w:r>
      <w:r w:rsidRPr="00694CE6">
        <w:t>by</w:t>
      </w:r>
      <w:r w:rsidRPr="00694CE6">
        <w:rPr>
          <w:spacing w:val="-4"/>
        </w:rPr>
        <w:t xml:space="preserve"> </w:t>
      </w:r>
      <w:r w:rsidRPr="00694CE6">
        <w:t>operation</w:t>
      </w:r>
      <w:r w:rsidRPr="00694CE6">
        <w:rPr>
          <w:spacing w:val="-3"/>
        </w:rPr>
        <w:t xml:space="preserve"> </w:t>
      </w:r>
      <w:r w:rsidRPr="00694CE6">
        <w:t>in</w:t>
      </w:r>
      <w:r w:rsidRPr="00694CE6">
        <w:rPr>
          <w:spacing w:val="-3"/>
        </w:rPr>
        <w:t xml:space="preserve"> </w:t>
      </w:r>
      <w:r w:rsidR="006A467C">
        <w:rPr>
          <w:spacing w:val="-3"/>
        </w:rPr>
        <w:t xml:space="preserve">the </w:t>
      </w:r>
      <w:r w:rsidRPr="00694CE6">
        <w:t>57-64</w:t>
      </w:r>
      <w:r w:rsidRPr="00694CE6">
        <w:rPr>
          <w:spacing w:val="-3"/>
        </w:rPr>
        <w:t xml:space="preserve"> </w:t>
      </w:r>
      <w:r w:rsidRPr="00694CE6">
        <w:t>GHz</w:t>
      </w:r>
      <w:r w:rsidRPr="00694CE6">
        <w:rPr>
          <w:spacing w:val="-3"/>
        </w:rPr>
        <w:t xml:space="preserve"> </w:t>
      </w:r>
      <w:r w:rsidR="006A467C">
        <w:rPr>
          <w:spacing w:val="-3"/>
        </w:rPr>
        <w:t xml:space="preserve">band </w:t>
      </w:r>
      <w:r w:rsidRPr="00694CE6">
        <w:t>under</w:t>
      </w:r>
      <w:r w:rsidRPr="00694CE6">
        <w:rPr>
          <w:spacing w:val="-3"/>
        </w:rPr>
        <w:t xml:space="preserve"> </w:t>
      </w:r>
      <w:r w:rsidRPr="00694CE6">
        <w:t>applicable</w:t>
      </w:r>
      <w:r w:rsidRPr="00694CE6">
        <w:rPr>
          <w:spacing w:val="-4"/>
        </w:rPr>
        <w:t xml:space="preserve"> </w:t>
      </w:r>
      <w:r w:rsidRPr="00694CE6">
        <w:t>parameters</w:t>
      </w:r>
      <w:r w:rsidRPr="00694CE6">
        <w:rPr>
          <w:spacing w:val="-3"/>
        </w:rPr>
        <w:t xml:space="preserve"> </w:t>
      </w:r>
      <w:r w:rsidRPr="00694CE6">
        <w:t>in</w:t>
      </w:r>
      <w:r w:rsidRPr="00694CE6">
        <w:rPr>
          <w:spacing w:val="-3"/>
        </w:rPr>
        <w:t xml:space="preserve"> </w:t>
      </w:r>
      <w:r w:rsidRPr="00694CE6">
        <w:t xml:space="preserve">the second 33 </w:t>
      </w:r>
      <w:r>
        <w:t>ms</w:t>
      </w:r>
      <w:r w:rsidRPr="00694CE6">
        <w:t xml:space="preserve"> frame, </w:t>
      </w:r>
      <w:r w:rsidRPr="00694CE6">
        <w:rPr>
          <w:i/>
        </w:rPr>
        <w:t>etc</w:t>
      </w:r>
      <w:r w:rsidRPr="00694CE6">
        <w:t>.).</w:t>
      </w:r>
    </w:p>
    <w:p w:rsidR="00601367" w:rsidRPr="00694CE6" w:rsidP="38BF5278" w14:paraId="779857F5" w14:textId="77777777">
      <w:pPr>
        <w:pStyle w:val="ListParagraph"/>
        <w:numPr>
          <w:ilvl w:val="0"/>
          <w:numId w:val="38"/>
        </w:numPr>
        <w:tabs>
          <w:tab w:val="left" w:pos="823"/>
          <w:tab w:val="left" w:pos="825"/>
        </w:tabs>
        <w:autoSpaceDE w:val="0"/>
        <w:autoSpaceDN w:val="0"/>
        <w:ind w:right="660"/>
      </w:pPr>
      <w:r w:rsidRPr="00694CE6">
        <w:t>No</w:t>
      </w:r>
      <w:r w:rsidRPr="00694CE6">
        <w:rPr>
          <w:spacing w:val="-3"/>
        </w:rPr>
        <w:t xml:space="preserve"> </w:t>
      </w:r>
      <w:r w:rsidRPr="00694CE6">
        <w:t>separate</w:t>
      </w:r>
      <w:r w:rsidRPr="00694CE6">
        <w:rPr>
          <w:spacing w:val="-3"/>
        </w:rPr>
        <w:t xml:space="preserve"> </w:t>
      </w:r>
      <w:r w:rsidRPr="00694CE6">
        <w:t>duty</w:t>
      </w:r>
      <w:r w:rsidRPr="00694CE6">
        <w:rPr>
          <w:spacing w:val="-3"/>
        </w:rPr>
        <w:t xml:space="preserve"> </w:t>
      </w:r>
      <w:r w:rsidRPr="00694CE6">
        <w:t>cycle</w:t>
      </w:r>
      <w:r w:rsidRPr="00694CE6">
        <w:rPr>
          <w:spacing w:val="-3"/>
        </w:rPr>
        <w:t xml:space="preserve"> </w:t>
      </w:r>
      <w:r w:rsidRPr="00694CE6">
        <w:t>requirements</w:t>
      </w:r>
      <w:r w:rsidRPr="00694CE6">
        <w:rPr>
          <w:spacing w:val="-3"/>
        </w:rPr>
        <w:t xml:space="preserve"> </w:t>
      </w:r>
      <w:r w:rsidRPr="00694CE6">
        <w:t>are</w:t>
      </w:r>
      <w:r w:rsidRPr="00694CE6">
        <w:rPr>
          <w:spacing w:val="-3"/>
        </w:rPr>
        <w:t xml:space="preserve"> </w:t>
      </w:r>
      <w:r w:rsidRPr="00694CE6">
        <w:t>imposed</w:t>
      </w:r>
      <w:r w:rsidRPr="00694CE6">
        <w:rPr>
          <w:spacing w:val="-4"/>
        </w:rPr>
        <w:t xml:space="preserve"> </w:t>
      </w:r>
      <w:r w:rsidRPr="00694CE6">
        <w:t>on</w:t>
      </w:r>
      <w:r w:rsidRPr="00694CE6">
        <w:rPr>
          <w:spacing w:val="-3"/>
        </w:rPr>
        <w:t xml:space="preserve"> </w:t>
      </w:r>
      <w:r w:rsidRPr="00694CE6">
        <w:t>active</w:t>
      </w:r>
      <w:r w:rsidRPr="00694CE6">
        <w:rPr>
          <w:spacing w:val="-4"/>
        </w:rPr>
        <w:t xml:space="preserve"> </w:t>
      </w:r>
      <w:r w:rsidRPr="00694CE6">
        <w:t>60</w:t>
      </w:r>
      <w:r w:rsidRPr="00694CE6">
        <w:rPr>
          <w:spacing w:val="-3"/>
        </w:rPr>
        <w:t xml:space="preserve"> </w:t>
      </w:r>
      <w:r w:rsidRPr="00694CE6">
        <w:t>GHz</w:t>
      </w:r>
      <w:r w:rsidRPr="00694CE6">
        <w:rPr>
          <w:spacing w:val="-3"/>
        </w:rPr>
        <w:t xml:space="preserve"> </w:t>
      </w:r>
      <w:r w:rsidRPr="00694CE6">
        <w:t>transmitters</w:t>
      </w:r>
      <w:r w:rsidRPr="00694CE6">
        <w:rPr>
          <w:spacing w:val="-3"/>
        </w:rPr>
        <w:t xml:space="preserve"> </w:t>
      </w:r>
      <w:r w:rsidRPr="00694CE6">
        <w:t>beyond</w:t>
      </w:r>
      <w:r w:rsidRPr="00694CE6">
        <w:rPr>
          <w:spacing w:val="-3"/>
        </w:rPr>
        <w:t xml:space="preserve"> </w:t>
      </w:r>
      <w:r w:rsidRPr="00694CE6">
        <w:t>what</w:t>
      </w:r>
      <w:r w:rsidRPr="00694CE6">
        <w:rPr>
          <w:spacing w:val="-3"/>
        </w:rPr>
        <w:t xml:space="preserve"> </w:t>
      </w:r>
      <w:r w:rsidRPr="00694CE6">
        <w:t>is stated in the right-most column.</w:t>
      </w:r>
    </w:p>
    <w:p w:rsidR="00601367" w:rsidP="38BF5278" w14:paraId="2A733E80" w14:textId="6531DBFB">
      <w:pPr>
        <w:pStyle w:val="ListParagraph"/>
        <w:numPr>
          <w:ilvl w:val="0"/>
          <w:numId w:val="38"/>
        </w:numPr>
        <w:tabs>
          <w:tab w:val="left" w:pos="823"/>
          <w:tab w:val="left" w:pos="825"/>
        </w:tabs>
        <w:autoSpaceDE w:val="0"/>
        <w:autoSpaceDN w:val="0"/>
        <w:ind w:right="983"/>
      </w:pPr>
      <w:r w:rsidRPr="00694CE6">
        <w:t>Fixed operation includes temporarily or permanently fixed operations. Vehicular uses include operations where the device is installed within or on the exterior of a vehicle intended for outdoor use (such</w:t>
      </w:r>
      <w:r w:rsidRPr="00694CE6">
        <w:rPr>
          <w:spacing w:val="-2"/>
        </w:rPr>
        <w:t xml:space="preserve"> </w:t>
      </w:r>
      <w:r w:rsidRPr="00694CE6">
        <w:t>that</w:t>
      </w:r>
      <w:r w:rsidRPr="00694CE6">
        <w:rPr>
          <w:spacing w:val="-2"/>
        </w:rPr>
        <w:t xml:space="preserve"> </w:t>
      </w:r>
      <w:r w:rsidRPr="00694CE6">
        <w:t>any</w:t>
      </w:r>
      <w:r w:rsidRPr="00694CE6">
        <w:rPr>
          <w:spacing w:val="-2"/>
        </w:rPr>
        <w:t xml:space="preserve"> </w:t>
      </w:r>
      <w:r w:rsidRPr="00694CE6">
        <w:t>indoor</w:t>
      </w:r>
      <w:r w:rsidRPr="00694CE6">
        <w:rPr>
          <w:spacing w:val="-2"/>
        </w:rPr>
        <w:t xml:space="preserve"> </w:t>
      </w:r>
      <w:r w:rsidRPr="00694CE6">
        <w:t>use</w:t>
      </w:r>
      <w:r w:rsidRPr="00694CE6">
        <w:rPr>
          <w:spacing w:val="-2"/>
        </w:rPr>
        <w:t xml:space="preserve"> </w:t>
      </w:r>
      <w:r w:rsidRPr="00694CE6">
        <w:t>is</w:t>
      </w:r>
      <w:r w:rsidRPr="00694CE6">
        <w:rPr>
          <w:spacing w:val="-2"/>
        </w:rPr>
        <w:t xml:space="preserve"> </w:t>
      </w:r>
      <w:r w:rsidRPr="00694CE6">
        <w:t>incidental</w:t>
      </w:r>
      <w:r w:rsidRPr="00694CE6">
        <w:rPr>
          <w:spacing w:val="-2"/>
        </w:rPr>
        <w:t xml:space="preserve"> </w:t>
      </w:r>
      <w:r w:rsidRPr="00694CE6">
        <w:t>–</w:t>
      </w:r>
      <w:r w:rsidRPr="00694CE6">
        <w:rPr>
          <w:spacing w:val="-2"/>
        </w:rPr>
        <w:t xml:space="preserve"> </w:t>
      </w:r>
      <w:r w:rsidRPr="00694CE6">
        <w:t>for</w:t>
      </w:r>
      <w:r w:rsidRPr="00694CE6">
        <w:rPr>
          <w:spacing w:val="-2"/>
        </w:rPr>
        <w:t xml:space="preserve"> </w:t>
      </w:r>
      <w:r w:rsidRPr="00694CE6">
        <w:t>example,</w:t>
      </w:r>
      <w:r w:rsidRPr="00694CE6">
        <w:rPr>
          <w:spacing w:val="-2"/>
        </w:rPr>
        <w:t xml:space="preserve"> </w:t>
      </w:r>
      <w:r w:rsidRPr="00694CE6">
        <w:t>an</w:t>
      </w:r>
      <w:r w:rsidRPr="00694CE6">
        <w:rPr>
          <w:spacing w:val="-2"/>
        </w:rPr>
        <w:t xml:space="preserve"> </w:t>
      </w:r>
      <w:r w:rsidRPr="00694CE6">
        <w:t>automobile</w:t>
      </w:r>
      <w:r w:rsidRPr="00694CE6">
        <w:rPr>
          <w:spacing w:val="-2"/>
        </w:rPr>
        <w:t xml:space="preserve"> </w:t>
      </w:r>
      <w:r w:rsidRPr="00694CE6">
        <w:t>in</w:t>
      </w:r>
      <w:r w:rsidRPr="00694CE6">
        <w:rPr>
          <w:spacing w:val="-2"/>
        </w:rPr>
        <w:t xml:space="preserve"> </w:t>
      </w:r>
      <w:r w:rsidRPr="00694CE6">
        <w:t>a</w:t>
      </w:r>
      <w:r w:rsidRPr="00694CE6">
        <w:rPr>
          <w:spacing w:val="-2"/>
        </w:rPr>
        <w:t xml:space="preserve"> </w:t>
      </w:r>
      <w:r w:rsidRPr="00694CE6">
        <w:t>parking</w:t>
      </w:r>
      <w:r w:rsidRPr="00694CE6">
        <w:rPr>
          <w:spacing w:val="-2"/>
        </w:rPr>
        <w:t xml:space="preserve"> </w:t>
      </w:r>
      <w:r w:rsidRPr="00694CE6">
        <w:t>garage)</w:t>
      </w:r>
      <w:r w:rsidRPr="00694CE6">
        <w:rPr>
          <w:spacing w:val="-2"/>
        </w:rPr>
        <w:t xml:space="preserve"> </w:t>
      </w:r>
      <w:r w:rsidRPr="00694CE6">
        <w:t>but</w:t>
      </w:r>
      <w:r w:rsidRPr="00694CE6">
        <w:rPr>
          <w:spacing w:val="-2"/>
        </w:rPr>
        <w:t xml:space="preserve"> </w:t>
      </w:r>
      <w:r w:rsidRPr="00694CE6">
        <w:t>excludes</w:t>
      </w:r>
      <w:r w:rsidRPr="00694CE6">
        <w:rPr>
          <w:spacing w:val="-2"/>
        </w:rPr>
        <w:t xml:space="preserve"> </w:t>
      </w:r>
      <w:r w:rsidRPr="00694CE6">
        <w:t>all in-cabin applications or operations.</w:t>
      </w:r>
    </w:p>
    <w:p w:rsidR="00175366" w:rsidP="38BF5278" w14:paraId="44D12006" w14:textId="7CD68259">
      <w:pPr>
        <w:pStyle w:val="ListParagraph"/>
        <w:tabs>
          <w:tab w:val="left" w:pos="823"/>
          <w:tab w:val="left" w:pos="825"/>
        </w:tabs>
        <w:autoSpaceDE w:val="0"/>
        <w:autoSpaceDN w:val="0"/>
        <w:ind w:right="983"/>
      </w:pPr>
    </w:p>
    <w:p w:rsidR="00357597" w:rsidP="00357597" w14:paraId="0DB8B979" w14:textId="77777777">
      <w:pPr>
        <w:pStyle w:val="ParaNum"/>
        <w:numPr>
          <w:ilvl w:val="0"/>
          <w:numId w:val="0"/>
        </w:numPr>
        <w:spacing w:before="25" w:after="240"/>
        <w:ind w:left="2880"/>
        <w:rPr>
          <w:b/>
          <w:bCs/>
          <w:color w:val="000000" w:themeColor="text1"/>
        </w:rPr>
      </w:pPr>
      <w:r w:rsidRPr="0022733C">
        <w:rPr>
          <w:b/>
          <w:bCs/>
          <w:color w:val="000000" w:themeColor="text1"/>
        </w:rPr>
        <w:t>Table 2 – Pulse Radar Joint Agreement</w:t>
      </w:r>
    </w:p>
    <w:tbl>
      <w:tblPr>
        <w:tblW w:w="0" w:type="auto"/>
        <w:tblInd w:w="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834"/>
        <w:gridCol w:w="4185"/>
      </w:tblGrid>
      <w:tr w14:paraId="1815C83B" w14:textId="77777777">
        <w:tblPrEx>
          <w:tblW w:w="0" w:type="auto"/>
          <w:tblInd w:w="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522"/>
          <w:tblHeader/>
        </w:trPr>
        <w:tc>
          <w:tcPr>
            <w:tcW w:w="2834" w:type="dxa"/>
          </w:tcPr>
          <w:p w:rsidR="00357597" w:rsidRPr="00C40F74" w14:paraId="02B020EA" w14:textId="77777777">
            <w:pPr>
              <w:pStyle w:val="TableParagraph"/>
              <w:spacing w:before="127"/>
              <w:ind w:left="299"/>
              <w:rPr>
                <w:rFonts w:ascii="Times New Roman" w:hAnsi="Times New Roman" w:cs="Times New Roman"/>
                <w:b/>
              </w:rPr>
            </w:pPr>
            <w:bookmarkStart w:id="153" w:name="_Hlk129797645"/>
            <w:r w:rsidRPr="00C40F74">
              <w:rPr>
                <w:rFonts w:ascii="Times New Roman" w:hAnsi="Times New Roman" w:cs="Times New Roman"/>
                <w:b/>
              </w:rPr>
              <w:t xml:space="preserve">Technical </w:t>
            </w:r>
            <w:r w:rsidRPr="00C40F74">
              <w:rPr>
                <w:rFonts w:ascii="Times New Roman" w:hAnsi="Times New Roman" w:cs="Times New Roman"/>
                <w:b/>
                <w:spacing w:val="-2"/>
              </w:rPr>
              <w:t>Parameter</w:t>
            </w:r>
            <w:r w:rsidRPr="00C40F74">
              <w:rPr>
                <w:rFonts w:ascii="Times New Roman" w:hAnsi="Times New Roman" w:cs="Times New Roman"/>
                <w:b/>
                <w:spacing w:val="-2"/>
                <w:vertAlign w:val="superscript"/>
              </w:rPr>
              <w:t>5</w:t>
            </w:r>
          </w:p>
        </w:tc>
        <w:tc>
          <w:tcPr>
            <w:tcW w:w="4185" w:type="dxa"/>
          </w:tcPr>
          <w:p w:rsidR="00357597" w:rsidRPr="00C40F74" w14:paraId="39EB6F33" w14:textId="77777777">
            <w:pPr>
              <w:pStyle w:val="TableParagraph"/>
              <w:spacing w:before="127"/>
              <w:ind w:left="166"/>
              <w:rPr>
                <w:rFonts w:ascii="Times New Roman" w:hAnsi="Times New Roman" w:cs="Times New Roman"/>
                <w:b/>
              </w:rPr>
            </w:pPr>
            <w:r w:rsidRPr="00C40F74">
              <w:rPr>
                <w:rFonts w:ascii="Times New Roman" w:hAnsi="Times New Roman" w:cs="Times New Roman"/>
                <w:b/>
              </w:rPr>
              <w:t>Permissible</w:t>
            </w:r>
            <w:r w:rsidRPr="00C40F74">
              <w:rPr>
                <w:rFonts w:ascii="Times New Roman" w:hAnsi="Times New Roman" w:cs="Times New Roman"/>
                <w:b/>
                <w:spacing w:val="-4"/>
              </w:rPr>
              <w:t xml:space="preserve"> </w:t>
            </w:r>
            <w:r w:rsidRPr="00C40F74">
              <w:rPr>
                <w:rFonts w:ascii="Times New Roman" w:hAnsi="Times New Roman" w:cs="Times New Roman"/>
                <w:b/>
              </w:rPr>
              <w:t>Pulse</w:t>
            </w:r>
            <w:r w:rsidRPr="00C40F74">
              <w:rPr>
                <w:rFonts w:ascii="Times New Roman" w:hAnsi="Times New Roman" w:cs="Times New Roman"/>
                <w:b/>
                <w:spacing w:val="-2"/>
              </w:rPr>
              <w:t xml:space="preserve"> </w:t>
            </w:r>
            <w:r w:rsidRPr="00C40F74">
              <w:rPr>
                <w:rFonts w:ascii="Times New Roman" w:hAnsi="Times New Roman" w:cs="Times New Roman"/>
                <w:b/>
              </w:rPr>
              <w:t>Radar</w:t>
            </w:r>
            <w:r w:rsidRPr="00C40F74">
              <w:rPr>
                <w:rFonts w:ascii="Times New Roman" w:hAnsi="Times New Roman" w:cs="Times New Roman"/>
                <w:b/>
                <w:spacing w:val="-3"/>
              </w:rPr>
              <w:t xml:space="preserve"> </w:t>
            </w:r>
            <w:r w:rsidRPr="00C40F74">
              <w:rPr>
                <w:rFonts w:ascii="Times New Roman" w:hAnsi="Times New Roman" w:cs="Times New Roman"/>
                <w:b/>
                <w:spacing w:val="-2"/>
              </w:rPr>
              <w:t>Operations</w:t>
            </w:r>
          </w:p>
        </w:tc>
      </w:tr>
      <w:tr w14:paraId="7EB88621" w14:textId="77777777">
        <w:tblPrEx>
          <w:tblW w:w="0" w:type="auto"/>
          <w:tblInd w:w="940" w:type="dxa"/>
          <w:tblLayout w:type="fixed"/>
          <w:tblCellMar>
            <w:left w:w="0" w:type="dxa"/>
            <w:right w:w="0" w:type="dxa"/>
          </w:tblCellMar>
          <w:tblLook w:val="01E0"/>
        </w:tblPrEx>
        <w:trPr>
          <w:trHeight w:val="516"/>
        </w:trPr>
        <w:tc>
          <w:tcPr>
            <w:tcW w:w="2834" w:type="dxa"/>
          </w:tcPr>
          <w:p w:rsidR="00357597" w:rsidRPr="00C40F74" w14:paraId="16AF3B9B" w14:textId="77777777">
            <w:pPr>
              <w:pStyle w:val="TableParagraph"/>
              <w:rPr>
                <w:rFonts w:ascii="Times New Roman" w:hAnsi="Times New Roman" w:cs="Times New Roman"/>
              </w:rPr>
            </w:pPr>
            <w:r w:rsidRPr="00C40F74">
              <w:rPr>
                <w:rFonts w:ascii="Times New Roman" w:hAnsi="Times New Roman" w:cs="Times New Roman"/>
              </w:rPr>
              <w:t>Operating</w:t>
            </w:r>
            <w:r w:rsidRPr="00C40F74">
              <w:rPr>
                <w:rFonts w:ascii="Times New Roman" w:hAnsi="Times New Roman" w:cs="Times New Roman"/>
                <w:spacing w:val="-5"/>
              </w:rPr>
              <w:t xml:space="preserve"> </w:t>
            </w:r>
            <w:r w:rsidRPr="00C40F74">
              <w:rPr>
                <w:rFonts w:ascii="Times New Roman" w:hAnsi="Times New Roman" w:cs="Times New Roman"/>
              </w:rPr>
              <w:t>frequency</w:t>
            </w:r>
            <w:r w:rsidRPr="00C40F74">
              <w:rPr>
                <w:rFonts w:ascii="Times New Roman" w:hAnsi="Times New Roman" w:cs="Times New Roman"/>
                <w:spacing w:val="-5"/>
              </w:rPr>
              <w:t xml:space="preserve"> </w:t>
            </w:r>
            <w:r w:rsidRPr="00C40F74">
              <w:rPr>
                <w:rFonts w:ascii="Times New Roman" w:hAnsi="Times New Roman" w:cs="Times New Roman"/>
                <w:spacing w:val="-4"/>
              </w:rPr>
              <w:t>high</w:t>
            </w:r>
          </w:p>
        </w:tc>
        <w:tc>
          <w:tcPr>
            <w:tcW w:w="4185" w:type="dxa"/>
          </w:tcPr>
          <w:p w:rsidR="00357597" w:rsidRPr="00C40F74" w14:paraId="5B8E5750" w14:textId="77777777">
            <w:pPr>
              <w:pStyle w:val="TableParagraph"/>
              <w:ind w:left="141"/>
              <w:rPr>
                <w:rFonts w:ascii="Times New Roman" w:hAnsi="Times New Roman" w:cs="Times New Roman"/>
              </w:rPr>
            </w:pPr>
            <w:r w:rsidRPr="00C40F74">
              <w:rPr>
                <w:rFonts w:ascii="Times New Roman" w:hAnsi="Times New Roman" w:cs="Times New Roman"/>
              </w:rPr>
              <w:t>64</w:t>
            </w:r>
            <w:r w:rsidRPr="00C40F74">
              <w:rPr>
                <w:rFonts w:ascii="Times New Roman" w:hAnsi="Times New Roman" w:cs="Times New Roman"/>
                <w:spacing w:val="-1"/>
              </w:rPr>
              <w:t xml:space="preserve"> </w:t>
            </w:r>
            <w:r w:rsidRPr="00C40F74">
              <w:rPr>
                <w:rFonts w:ascii="Times New Roman" w:hAnsi="Times New Roman" w:cs="Times New Roman"/>
                <w:spacing w:val="-5"/>
              </w:rPr>
              <w:t>GHz</w:t>
            </w:r>
          </w:p>
        </w:tc>
      </w:tr>
      <w:tr w14:paraId="18A583DD" w14:textId="77777777">
        <w:tblPrEx>
          <w:tblW w:w="0" w:type="auto"/>
          <w:tblInd w:w="940" w:type="dxa"/>
          <w:tblLayout w:type="fixed"/>
          <w:tblCellMar>
            <w:left w:w="0" w:type="dxa"/>
            <w:right w:w="0" w:type="dxa"/>
          </w:tblCellMar>
          <w:tblLook w:val="01E0"/>
        </w:tblPrEx>
        <w:trPr>
          <w:trHeight w:val="516"/>
        </w:trPr>
        <w:tc>
          <w:tcPr>
            <w:tcW w:w="2834" w:type="dxa"/>
          </w:tcPr>
          <w:p w:rsidR="00357597" w:rsidRPr="00C40F74" w14:paraId="07FE99AD" w14:textId="77777777">
            <w:pPr>
              <w:pStyle w:val="TableParagraph"/>
              <w:rPr>
                <w:rFonts w:ascii="Times New Roman" w:hAnsi="Times New Roman" w:cs="Times New Roman"/>
              </w:rPr>
            </w:pPr>
            <w:r w:rsidRPr="00C40F74">
              <w:rPr>
                <w:rFonts w:ascii="Times New Roman" w:hAnsi="Times New Roman" w:cs="Times New Roman"/>
              </w:rPr>
              <w:t>Operating</w:t>
            </w:r>
            <w:r w:rsidRPr="00C40F74">
              <w:rPr>
                <w:rFonts w:ascii="Times New Roman" w:hAnsi="Times New Roman" w:cs="Times New Roman"/>
                <w:spacing w:val="-5"/>
              </w:rPr>
              <w:t xml:space="preserve"> </w:t>
            </w:r>
            <w:r w:rsidRPr="00C40F74">
              <w:rPr>
                <w:rFonts w:ascii="Times New Roman" w:hAnsi="Times New Roman" w:cs="Times New Roman"/>
              </w:rPr>
              <w:t>frequency</w:t>
            </w:r>
            <w:r w:rsidRPr="00C40F74">
              <w:rPr>
                <w:rFonts w:ascii="Times New Roman" w:hAnsi="Times New Roman" w:cs="Times New Roman"/>
                <w:spacing w:val="-5"/>
              </w:rPr>
              <w:t xml:space="preserve"> low</w:t>
            </w:r>
          </w:p>
        </w:tc>
        <w:tc>
          <w:tcPr>
            <w:tcW w:w="4185" w:type="dxa"/>
          </w:tcPr>
          <w:p w:rsidR="00357597" w:rsidRPr="00C40F74" w14:paraId="4D5A34B9" w14:textId="77777777">
            <w:pPr>
              <w:pStyle w:val="TableParagraph"/>
              <w:ind w:left="140"/>
              <w:rPr>
                <w:rFonts w:ascii="Times New Roman" w:hAnsi="Times New Roman" w:cs="Times New Roman"/>
              </w:rPr>
            </w:pPr>
            <w:r w:rsidRPr="00C40F74">
              <w:rPr>
                <w:rFonts w:ascii="Times New Roman" w:hAnsi="Times New Roman" w:cs="Times New Roman"/>
              </w:rPr>
              <w:t>57</w:t>
            </w:r>
            <w:r w:rsidRPr="00C40F74">
              <w:rPr>
                <w:rFonts w:ascii="Times New Roman" w:hAnsi="Times New Roman" w:cs="Times New Roman"/>
                <w:spacing w:val="-1"/>
              </w:rPr>
              <w:t xml:space="preserve"> </w:t>
            </w:r>
            <w:r w:rsidRPr="00C40F74">
              <w:rPr>
                <w:rFonts w:ascii="Times New Roman" w:hAnsi="Times New Roman" w:cs="Times New Roman"/>
                <w:spacing w:val="-5"/>
              </w:rPr>
              <w:t>GHz</w:t>
            </w:r>
          </w:p>
        </w:tc>
      </w:tr>
      <w:tr w14:paraId="79478181" w14:textId="77777777">
        <w:tblPrEx>
          <w:tblW w:w="0" w:type="auto"/>
          <w:tblInd w:w="940" w:type="dxa"/>
          <w:tblLayout w:type="fixed"/>
          <w:tblCellMar>
            <w:left w:w="0" w:type="dxa"/>
            <w:right w:w="0" w:type="dxa"/>
          </w:tblCellMar>
          <w:tblLook w:val="01E0"/>
        </w:tblPrEx>
        <w:trPr>
          <w:trHeight w:val="791"/>
        </w:trPr>
        <w:tc>
          <w:tcPr>
            <w:tcW w:w="2834" w:type="dxa"/>
          </w:tcPr>
          <w:p w:rsidR="00357597" w:rsidRPr="00C40F74" w14:paraId="20C062EB" w14:textId="77777777">
            <w:pPr>
              <w:pStyle w:val="TableParagraph"/>
              <w:spacing w:before="120"/>
              <w:rPr>
                <w:rFonts w:ascii="Times New Roman" w:hAnsi="Times New Roman" w:cs="Times New Roman"/>
              </w:rPr>
            </w:pPr>
            <w:r w:rsidRPr="00C40F74">
              <w:rPr>
                <w:rFonts w:ascii="Times New Roman" w:hAnsi="Times New Roman" w:cs="Times New Roman"/>
              </w:rPr>
              <w:t xml:space="preserve">Duty </w:t>
            </w:r>
            <w:r w:rsidRPr="00C40F74">
              <w:rPr>
                <w:rFonts w:ascii="Times New Roman" w:hAnsi="Times New Roman" w:cs="Times New Roman"/>
                <w:spacing w:val="-2"/>
              </w:rPr>
              <w:t>cycle</w:t>
            </w:r>
          </w:p>
        </w:tc>
        <w:tc>
          <w:tcPr>
            <w:tcW w:w="4185" w:type="dxa"/>
          </w:tcPr>
          <w:p w:rsidR="00357597" w:rsidRPr="00C40F74" w14:paraId="0F9F9C9A" w14:textId="77777777">
            <w:pPr>
              <w:pStyle w:val="TableParagraph"/>
              <w:spacing w:before="120"/>
              <w:ind w:left="142" w:right="47" w:hanging="1"/>
              <w:rPr>
                <w:rFonts w:ascii="Times New Roman" w:hAnsi="Times New Roman" w:cs="Times New Roman"/>
              </w:rPr>
            </w:pPr>
            <w:r w:rsidRPr="00C40F74">
              <w:rPr>
                <w:rFonts w:ascii="Times New Roman" w:hAnsi="Times New Roman" w:cs="Times New Roman"/>
              </w:rPr>
              <w:t>10%,</w:t>
            </w:r>
            <w:r w:rsidRPr="00C40F74">
              <w:rPr>
                <w:rFonts w:ascii="Times New Roman" w:hAnsi="Times New Roman" w:cs="Times New Roman"/>
                <w:spacing w:val="-6"/>
              </w:rPr>
              <w:t xml:space="preserve"> </w:t>
            </w:r>
            <w:r w:rsidRPr="00C40F74">
              <w:rPr>
                <w:rFonts w:ascii="Times New Roman" w:hAnsi="Times New Roman" w:cs="Times New Roman"/>
              </w:rPr>
              <w:t>evaluated</w:t>
            </w:r>
            <w:r w:rsidRPr="00C40F74">
              <w:rPr>
                <w:rFonts w:ascii="Times New Roman" w:hAnsi="Times New Roman" w:cs="Times New Roman"/>
                <w:spacing w:val="-6"/>
              </w:rPr>
              <w:t xml:space="preserve"> </w:t>
            </w:r>
            <w:r w:rsidRPr="00C40F74">
              <w:rPr>
                <w:rFonts w:ascii="Times New Roman" w:hAnsi="Times New Roman" w:cs="Times New Roman"/>
              </w:rPr>
              <w:t>in</w:t>
            </w:r>
            <w:r w:rsidRPr="00C40F74">
              <w:rPr>
                <w:rFonts w:ascii="Times New Roman" w:hAnsi="Times New Roman" w:cs="Times New Roman"/>
                <w:spacing w:val="-6"/>
              </w:rPr>
              <w:t xml:space="preserve"> </w:t>
            </w:r>
            <w:r w:rsidRPr="00C40F74">
              <w:rPr>
                <w:rFonts w:ascii="Times New Roman" w:hAnsi="Times New Roman" w:cs="Times New Roman"/>
              </w:rPr>
              <w:t>any</w:t>
            </w:r>
            <w:r w:rsidRPr="00C40F74">
              <w:rPr>
                <w:rFonts w:ascii="Times New Roman" w:hAnsi="Times New Roman" w:cs="Times New Roman"/>
                <w:spacing w:val="-6"/>
              </w:rPr>
              <w:t xml:space="preserve"> </w:t>
            </w:r>
            <w:r w:rsidRPr="00C40F74">
              <w:rPr>
                <w:rFonts w:ascii="Times New Roman" w:hAnsi="Times New Roman" w:cs="Times New Roman"/>
              </w:rPr>
              <w:t>0.3</w:t>
            </w:r>
            <w:r w:rsidRPr="00C40F74">
              <w:rPr>
                <w:rFonts w:ascii="Times New Roman" w:hAnsi="Times New Roman" w:cs="Times New Roman"/>
                <w:spacing w:val="-6"/>
              </w:rPr>
              <w:t xml:space="preserve"> </w:t>
            </w:r>
            <w:r w:rsidRPr="00C40F74">
              <w:rPr>
                <w:rFonts w:ascii="Times New Roman" w:hAnsi="Times New Roman" w:cs="Times New Roman"/>
              </w:rPr>
              <w:t>µs</w:t>
            </w:r>
            <w:r w:rsidRPr="00C40F74">
              <w:rPr>
                <w:rFonts w:ascii="Times New Roman" w:hAnsi="Times New Roman" w:cs="Times New Roman"/>
                <w:spacing w:val="-6"/>
              </w:rPr>
              <w:t xml:space="preserve"> </w:t>
            </w:r>
            <w:r w:rsidRPr="00C40F74">
              <w:rPr>
                <w:rFonts w:ascii="Times New Roman" w:hAnsi="Times New Roman" w:cs="Times New Roman"/>
              </w:rPr>
              <w:t xml:space="preserve">time </w:t>
            </w:r>
            <w:r w:rsidRPr="00C40F74">
              <w:rPr>
                <w:rFonts w:ascii="Times New Roman" w:hAnsi="Times New Roman" w:cs="Times New Roman"/>
                <w:spacing w:val="-2"/>
              </w:rPr>
              <w:t>window</w:t>
            </w:r>
          </w:p>
        </w:tc>
      </w:tr>
      <w:tr w14:paraId="24D38293" w14:textId="77777777">
        <w:tblPrEx>
          <w:tblW w:w="0" w:type="auto"/>
          <w:tblInd w:w="940" w:type="dxa"/>
          <w:tblLayout w:type="fixed"/>
          <w:tblCellMar>
            <w:left w:w="0" w:type="dxa"/>
            <w:right w:w="0" w:type="dxa"/>
          </w:tblCellMar>
          <w:tblLook w:val="01E0"/>
        </w:tblPrEx>
        <w:trPr>
          <w:trHeight w:val="1344"/>
        </w:trPr>
        <w:tc>
          <w:tcPr>
            <w:tcW w:w="2834" w:type="dxa"/>
          </w:tcPr>
          <w:p w:rsidR="00357597" w:rsidRPr="00C40F74" w14:paraId="47402F98" w14:textId="77777777">
            <w:pPr>
              <w:pStyle w:val="TableParagraph"/>
              <w:rPr>
                <w:rFonts w:ascii="Times New Roman" w:hAnsi="Times New Roman" w:cs="Times New Roman"/>
              </w:rPr>
            </w:pPr>
            <w:r w:rsidRPr="00C40F74">
              <w:rPr>
                <w:rFonts w:ascii="Times New Roman" w:hAnsi="Times New Roman" w:cs="Times New Roman"/>
              </w:rPr>
              <w:t>Average</w:t>
            </w:r>
            <w:r w:rsidRPr="00C40F74">
              <w:rPr>
                <w:rFonts w:ascii="Times New Roman" w:hAnsi="Times New Roman" w:cs="Times New Roman"/>
                <w:spacing w:val="-7"/>
              </w:rPr>
              <w:t xml:space="preserve"> </w:t>
            </w:r>
            <w:r w:rsidRPr="00C40F74">
              <w:rPr>
                <w:rFonts w:ascii="Times New Roman" w:hAnsi="Times New Roman" w:cs="Times New Roman"/>
                <w:spacing w:val="-4"/>
              </w:rPr>
              <w:t>EIRP</w:t>
            </w:r>
          </w:p>
        </w:tc>
        <w:tc>
          <w:tcPr>
            <w:tcW w:w="4185" w:type="dxa"/>
          </w:tcPr>
          <w:p w:rsidR="00357597" w:rsidRPr="00C40F74" w14:paraId="046EAC45" w14:textId="77777777">
            <w:pPr>
              <w:pStyle w:val="TableParagraph"/>
              <w:ind w:left="142" w:hanging="1"/>
              <w:rPr>
                <w:rFonts w:ascii="Times New Roman" w:hAnsi="Times New Roman" w:cs="Times New Roman"/>
              </w:rPr>
            </w:pPr>
            <w:r w:rsidRPr="00C40F74">
              <w:rPr>
                <w:rFonts w:ascii="Times New Roman" w:hAnsi="Times New Roman" w:cs="Times New Roman"/>
              </w:rPr>
              <w:t>13 dBm, evaluated in any 0.3 µs time window,</w:t>
            </w:r>
            <w:r w:rsidRPr="00C40F74">
              <w:rPr>
                <w:rFonts w:ascii="Times New Roman" w:hAnsi="Times New Roman" w:cs="Times New Roman"/>
                <w:spacing w:val="-8"/>
              </w:rPr>
              <w:t xml:space="preserve"> </w:t>
            </w:r>
            <w:r w:rsidRPr="00C40F74">
              <w:rPr>
                <w:rFonts w:ascii="Times New Roman" w:hAnsi="Times New Roman" w:cs="Times New Roman"/>
              </w:rPr>
              <w:t>and</w:t>
            </w:r>
            <w:r w:rsidRPr="00C40F74">
              <w:rPr>
                <w:rFonts w:ascii="Times New Roman" w:hAnsi="Times New Roman" w:cs="Times New Roman"/>
                <w:spacing w:val="-8"/>
              </w:rPr>
              <w:t xml:space="preserve"> </w:t>
            </w:r>
            <w:r w:rsidRPr="00C40F74">
              <w:rPr>
                <w:rFonts w:ascii="Times New Roman" w:hAnsi="Times New Roman" w:cs="Times New Roman"/>
              </w:rPr>
              <w:t>the</w:t>
            </w:r>
            <w:r w:rsidRPr="00C40F74">
              <w:rPr>
                <w:rFonts w:ascii="Times New Roman" w:hAnsi="Times New Roman" w:cs="Times New Roman"/>
                <w:spacing w:val="-8"/>
              </w:rPr>
              <w:t xml:space="preserve"> </w:t>
            </w:r>
            <w:r w:rsidRPr="00C40F74">
              <w:rPr>
                <w:rFonts w:ascii="Times New Roman" w:hAnsi="Times New Roman" w:cs="Times New Roman"/>
              </w:rPr>
              <w:t>average</w:t>
            </w:r>
            <w:r w:rsidRPr="00C40F74">
              <w:rPr>
                <w:rFonts w:ascii="Times New Roman" w:hAnsi="Times New Roman" w:cs="Times New Roman"/>
                <w:spacing w:val="-8"/>
              </w:rPr>
              <w:t xml:space="preserve"> </w:t>
            </w:r>
            <w:r w:rsidRPr="00C40F74">
              <w:rPr>
                <w:rFonts w:ascii="Times New Roman" w:hAnsi="Times New Roman" w:cs="Times New Roman"/>
              </w:rPr>
              <w:t>integrated</w:t>
            </w:r>
            <w:r w:rsidRPr="00C40F74">
              <w:rPr>
                <w:rFonts w:ascii="Times New Roman" w:hAnsi="Times New Roman" w:cs="Times New Roman"/>
                <w:spacing w:val="-8"/>
              </w:rPr>
              <w:t xml:space="preserve"> </w:t>
            </w:r>
            <w:r w:rsidRPr="00C40F74">
              <w:rPr>
                <w:rFonts w:ascii="Times New Roman" w:hAnsi="Times New Roman" w:cs="Times New Roman"/>
              </w:rPr>
              <w:t>EIRP within 61.5 to 64.0 GHz shall not exceed 5 dBm in any 0.3 µs time window</w:t>
            </w:r>
          </w:p>
        </w:tc>
      </w:tr>
      <w:tr w14:paraId="092FD992" w14:textId="77777777">
        <w:tblPrEx>
          <w:tblW w:w="0" w:type="auto"/>
          <w:tblInd w:w="940" w:type="dxa"/>
          <w:tblLayout w:type="fixed"/>
          <w:tblCellMar>
            <w:left w:w="0" w:type="dxa"/>
            <w:right w:w="0" w:type="dxa"/>
          </w:tblCellMar>
          <w:tblLook w:val="01E0"/>
        </w:tblPrEx>
        <w:trPr>
          <w:trHeight w:val="515"/>
        </w:trPr>
        <w:tc>
          <w:tcPr>
            <w:tcW w:w="2834" w:type="dxa"/>
          </w:tcPr>
          <w:p w:rsidR="00357597" w:rsidRPr="00C40F74" w14:paraId="6144FB05" w14:textId="77777777">
            <w:pPr>
              <w:pStyle w:val="TableParagraph"/>
              <w:spacing w:before="120"/>
              <w:rPr>
                <w:rFonts w:ascii="Times New Roman" w:hAnsi="Times New Roman" w:cs="Times New Roman"/>
              </w:rPr>
            </w:pPr>
            <w:r w:rsidRPr="00C40F74">
              <w:rPr>
                <w:rFonts w:ascii="Times New Roman" w:hAnsi="Times New Roman" w:cs="Times New Roman"/>
              </w:rPr>
              <w:t>Pulse</w:t>
            </w:r>
            <w:r w:rsidRPr="00C40F74">
              <w:rPr>
                <w:rFonts w:ascii="Times New Roman" w:hAnsi="Times New Roman" w:cs="Times New Roman"/>
                <w:spacing w:val="-5"/>
              </w:rPr>
              <w:t xml:space="preserve"> </w:t>
            </w:r>
            <w:r w:rsidRPr="00C40F74">
              <w:rPr>
                <w:rFonts w:ascii="Times New Roman" w:hAnsi="Times New Roman" w:cs="Times New Roman"/>
                <w:spacing w:val="-2"/>
              </w:rPr>
              <w:t>duration</w:t>
            </w:r>
          </w:p>
        </w:tc>
        <w:tc>
          <w:tcPr>
            <w:tcW w:w="4185" w:type="dxa"/>
          </w:tcPr>
          <w:p w:rsidR="00357597" w:rsidRPr="00C40F74" w14:paraId="2E5EE2CF" w14:textId="77777777">
            <w:pPr>
              <w:pStyle w:val="TableParagraph"/>
              <w:spacing w:before="120"/>
              <w:ind w:left="142"/>
              <w:rPr>
                <w:rFonts w:ascii="Times New Roman" w:hAnsi="Times New Roman" w:cs="Times New Roman"/>
              </w:rPr>
            </w:pPr>
            <w:r w:rsidRPr="00C40F74">
              <w:rPr>
                <w:rFonts w:ascii="Times New Roman" w:hAnsi="Times New Roman" w:cs="Times New Roman"/>
              </w:rPr>
              <w:t xml:space="preserve">&lt; 6 </w:t>
            </w:r>
            <w:r w:rsidRPr="00C40F74">
              <w:rPr>
                <w:rFonts w:ascii="Times New Roman" w:hAnsi="Times New Roman" w:cs="Times New Roman"/>
                <w:spacing w:val="-5"/>
              </w:rPr>
              <w:t>ns</w:t>
            </w:r>
          </w:p>
        </w:tc>
      </w:tr>
      <w:tr w14:paraId="50B753A2" w14:textId="77777777">
        <w:tblPrEx>
          <w:tblW w:w="0" w:type="auto"/>
          <w:tblInd w:w="940" w:type="dxa"/>
          <w:tblLayout w:type="fixed"/>
          <w:tblCellMar>
            <w:left w:w="0" w:type="dxa"/>
            <w:right w:w="0" w:type="dxa"/>
          </w:tblCellMar>
          <w:tblLook w:val="01E0"/>
        </w:tblPrEx>
        <w:trPr>
          <w:trHeight w:val="1345"/>
        </w:trPr>
        <w:tc>
          <w:tcPr>
            <w:tcW w:w="2834" w:type="dxa"/>
          </w:tcPr>
          <w:p w:rsidR="00357597" w:rsidRPr="00C40F74" w14:paraId="0BBA7CA0" w14:textId="77777777">
            <w:pPr>
              <w:pStyle w:val="TableParagraph"/>
              <w:rPr>
                <w:rFonts w:ascii="Times New Roman" w:hAnsi="Times New Roman" w:cs="Times New Roman"/>
              </w:rPr>
            </w:pPr>
            <w:r w:rsidRPr="00C40F74">
              <w:rPr>
                <w:rFonts w:ascii="Times New Roman" w:hAnsi="Times New Roman" w:cs="Times New Roman"/>
              </w:rPr>
              <w:t>Peak</w:t>
            </w:r>
            <w:r w:rsidRPr="00C40F74">
              <w:rPr>
                <w:rFonts w:ascii="Times New Roman" w:hAnsi="Times New Roman" w:cs="Times New Roman"/>
                <w:spacing w:val="-1"/>
              </w:rPr>
              <w:t xml:space="preserve"> </w:t>
            </w:r>
            <w:r w:rsidRPr="00C40F74">
              <w:rPr>
                <w:rFonts w:ascii="Times New Roman" w:hAnsi="Times New Roman" w:cs="Times New Roman"/>
                <w:spacing w:val="-4"/>
              </w:rPr>
              <w:t>EIRP</w:t>
            </w:r>
          </w:p>
        </w:tc>
        <w:tc>
          <w:tcPr>
            <w:tcW w:w="4185" w:type="dxa"/>
          </w:tcPr>
          <w:p w:rsidR="00357597" w:rsidRPr="00C40F74" w14:paraId="0C4BBDA6" w14:textId="77777777">
            <w:pPr>
              <w:pStyle w:val="TableParagraph"/>
              <w:ind w:left="142" w:right="356"/>
              <w:rPr>
                <w:rFonts w:ascii="Times New Roman" w:hAnsi="Times New Roman" w:cs="Times New Roman"/>
              </w:rPr>
            </w:pPr>
            <w:r w:rsidRPr="00C40F74">
              <w:rPr>
                <w:rFonts w:ascii="Times New Roman" w:hAnsi="Times New Roman" w:cs="Times New Roman"/>
              </w:rPr>
              <w:t>Peak RF emissions must not exceed 20 dB greater than the maximum permitted average emission limit applicable</w:t>
            </w:r>
            <w:r w:rsidRPr="00C40F74">
              <w:rPr>
                <w:rFonts w:ascii="Times New Roman" w:hAnsi="Times New Roman" w:cs="Times New Roman"/>
                <w:spacing w:val="-7"/>
              </w:rPr>
              <w:t xml:space="preserve"> </w:t>
            </w:r>
            <w:r w:rsidRPr="00C40F74">
              <w:rPr>
                <w:rFonts w:ascii="Times New Roman" w:hAnsi="Times New Roman" w:cs="Times New Roman"/>
              </w:rPr>
              <w:t>to</w:t>
            </w:r>
            <w:r w:rsidRPr="00C40F74">
              <w:rPr>
                <w:rFonts w:ascii="Times New Roman" w:hAnsi="Times New Roman" w:cs="Times New Roman"/>
                <w:spacing w:val="-7"/>
              </w:rPr>
              <w:t xml:space="preserve"> </w:t>
            </w:r>
            <w:r w:rsidRPr="00C40F74">
              <w:rPr>
                <w:rFonts w:ascii="Times New Roman" w:hAnsi="Times New Roman" w:cs="Times New Roman"/>
              </w:rPr>
              <w:t>the</w:t>
            </w:r>
            <w:r w:rsidRPr="00C40F74">
              <w:rPr>
                <w:rFonts w:ascii="Times New Roman" w:hAnsi="Times New Roman" w:cs="Times New Roman"/>
                <w:spacing w:val="-7"/>
              </w:rPr>
              <w:t xml:space="preserve"> </w:t>
            </w:r>
            <w:r w:rsidRPr="00C40F74">
              <w:rPr>
                <w:rFonts w:ascii="Times New Roman" w:hAnsi="Times New Roman" w:cs="Times New Roman"/>
              </w:rPr>
              <w:t>equipment</w:t>
            </w:r>
            <w:r w:rsidRPr="00C40F74">
              <w:rPr>
                <w:rFonts w:ascii="Times New Roman" w:hAnsi="Times New Roman" w:cs="Times New Roman"/>
                <w:spacing w:val="-7"/>
              </w:rPr>
              <w:t xml:space="preserve"> </w:t>
            </w:r>
            <w:r w:rsidRPr="00C40F74">
              <w:rPr>
                <w:rFonts w:ascii="Times New Roman" w:hAnsi="Times New Roman" w:cs="Times New Roman"/>
              </w:rPr>
              <w:t>under</w:t>
            </w:r>
            <w:r w:rsidRPr="00C40F74">
              <w:rPr>
                <w:rFonts w:ascii="Times New Roman" w:hAnsi="Times New Roman" w:cs="Times New Roman"/>
                <w:spacing w:val="-7"/>
              </w:rPr>
              <w:t xml:space="preserve"> </w:t>
            </w:r>
            <w:r w:rsidRPr="00C40F74">
              <w:rPr>
                <w:rFonts w:ascii="Times New Roman" w:hAnsi="Times New Roman" w:cs="Times New Roman"/>
              </w:rPr>
              <w:t>test</w:t>
            </w:r>
          </w:p>
        </w:tc>
      </w:tr>
      <w:bookmarkEnd w:id="153"/>
    </w:tbl>
    <w:p w:rsidR="00357597" w:rsidRPr="00D14B7D" w:rsidP="00357597" w14:paraId="24104EE3" w14:textId="77777777">
      <w:pPr>
        <w:pStyle w:val="ParaNum"/>
        <w:numPr>
          <w:ilvl w:val="0"/>
          <w:numId w:val="0"/>
        </w:numPr>
        <w:spacing w:before="25"/>
        <w:ind w:firstLine="720"/>
        <w:rPr>
          <w:color w:val="000000" w:themeColor="text1"/>
        </w:rPr>
      </w:pPr>
    </w:p>
    <w:p w:rsidR="00150CD7" w14:paraId="0DE59E34" w14:textId="44D18B89">
      <w:pPr>
        <w:widowControl/>
      </w:pPr>
    </w:p>
    <w:p w:rsidR="00150CD7" w14:paraId="35E2DD63" w14:textId="77777777">
      <w:pPr>
        <w:widowControl/>
      </w:pPr>
      <w:r>
        <w:br w:type="page"/>
      </w:r>
    </w:p>
    <w:p w:rsidR="00150CD7" w:rsidRPr="00150CD7" w:rsidP="00150CD7" w14:paraId="192ACF80" w14:textId="77777777">
      <w:pPr>
        <w:widowControl/>
        <w:jc w:val="center"/>
        <w:rPr>
          <w:rFonts w:eastAsiaTheme="minorHAnsi"/>
          <w:b/>
          <w:bCs/>
          <w:snapToGrid/>
          <w:kern w:val="2"/>
          <w:szCs w:val="22"/>
          <w14:ligatures w14:val="standardContextual"/>
        </w:rPr>
      </w:pPr>
      <w:r w:rsidRPr="00150CD7">
        <w:rPr>
          <w:rFonts w:eastAsiaTheme="minorHAnsi"/>
          <w:b/>
          <w:bCs/>
          <w:snapToGrid/>
          <w:kern w:val="2"/>
          <w:szCs w:val="22"/>
          <w14:ligatures w14:val="standardContextual"/>
        </w:rPr>
        <w:t>STATEMENT OF</w:t>
      </w:r>
    </w:p>
    <w:p w:rsidR="00150CD7" w:rsidRPr="00150CD7" w:rsidP="00150CD7" w14:paraId="1A6729A9" w14:textId="77777777">
      <w:pPr>
        <w:widowControl/>
        <w:jc w:val="center"/>
        <w:rPr>
          <w:rFonts w:eastAsiaTheme="minorHAnsi"/>
          <w:b/>
          <w:bCs/>
          <w:snapToGrid/>
          <w:kern w:val="2"/>
          <w:szCs w:val="22"/>
          <w14:ligatures w14:val="standardContextual"/>
        </w:rPr>
      </w:pPr>
      <w:r w:rsidRPr="00150CD7">
        <w:rPr>
          <w:rFonts w:eastAsiaTheme="minorHAnsi"/>
          <w:b/>
          <w:bCs/>
          <w:snapToGrid/>
          <w:kern w:val="2"/>
          <w:szCs w:val="22"/>
          <w14:ligatures w14:val="standardContextual"/>
        </w:rPr>
        <w:t>CHAIRWOMAN JESSICA ROSENWORCEL</w:t>
      </w:r>
    </w:p>
    <w:p w:rsidR="00150CD7" w:rsidRPr="00150CD7" w:rsidP="00150CD7" w14:paraId="02B5E8CD" w14:textId="77777777">
      <w:pPr>
        <w:widowControl/>
        <w:jc w:val="center"/>
        <w:rPr>
          <w:rFonts w:eastAsiaTheme="minorHAnsi"/>
          <w:snapToGrid/>
          <w:kern w:val="2"/>
          <w:szCs w:val="22"/>
          <w14:ligatures w14:val="standardContextual"/>
        </w:rPr>
      </w:pPr>
    </w:p>
    <w:p w:rsidR="00150CD7" w:rsidRPr="00150CD7" w:rsidP="00150CD7" w14:paraId="17B0C0FD" w14:textId="77777777">
      <w:pPr>
        <w:widowControl/>
        <w:ind w:left="720" w:hanging="720"/>
        <w:rPr>
          <w:rFonts w:eastAsiaTheme="minorHAnsi"/>
          <w:snapToGrid/>
          <w:kern w:val="2"/>
          <w:szCs w:val="22"/>
          <w14:ligatures w14:val="standardContextual"/>
        </w:rPr>
      </w:pPr>
      <w:r w:rsidRPr="00150CD7">
        <w:rPr>
          <w:rFonts w:eastAsiaTheme="minorHAnsi"/>
          <w:snapToGrid/>
          <w:kern w:val="2"/>
          <w:szCs w:val="22"/>
          <w14:ligatures w14:val="standardContextual"/>
        </w:rPr>
        <w:t>Re:</w:t>
      </w:r>
      <w:r w:rsidRPr="00150CD7">
        <w:rPr>
          <w:rFonts w:eastAsiaTheme="minorHAnsi"/>
          <w:snapToGrid/>
          <w:kern w:val="2"/>
          <w:szCs w:val="22"/>
          <w14:ligatures w14:val="standardContextual"/>
        </w:rPr>
        <w:tab/>
      </w:r>
      <w:r w:rsidRPr="00150CD7">
        <w:rPr>
          <w:rFonts w:eastAsiaTheme="minorHAnsi"/>
          <w:i/>
          <w:iCs/>
          <w:snapToGrid/>
          <w:kern w:val="2"/>
          <w:szCs w:val="22"/>
          <w14:ligatures w14:val="standardContextual"/>
        </w:rPr>
        <w:t>Allowing Expanded Flexibility and Opportunities for Radar Operation in the 57-64 GHz band</w:t>
      </w:r>
      <w:r w:rsidRPr="00150CD7">
        <w:rPr>
          <w:rFonts w:eastAsiaTheme="minorHAnsi"/>
          <w:snapToGrid/>
          <w:kern w:val="2"/>
          <w:szCs w:val="22"/>
          <w14:ligatures w14:val="standardContextual"/>
        </w:rPr>
        <w:t xml:space="preserve">, ET Docket No. 21-264, Report and Order </w:t>
      </w:r>
    </w:p>
    <w:p w:rsidR="00150CD7" w:rsidRPr="00150CD7" w:rsidP="00150CD7" w14:paraId="72E86C72" w14:textId="77777777">
      <w:pPr>
        <w:widowControl/>
        <w:ind w:left="720"/>
        <w:rPr>
          <w:rFonts w:eastAsiaTheme="minorHAnsi"/>
          <w:snapToGrid/>
          <w:kern w:val="2"/>
          <w:szCs w:val="22"/>
          <w14:ligatures w14:val="standardContextual"/>
        </w:rPr>
      </w:pPr>
      <w:r w:rsidRPr="00150CD7">
        <w:rPr>
          <w:rFonts w:eastAsiaTheme="minorHAnsi"/>
          <w:snapToGrid/>
          <w:kern w:val="2"/>
          <w:szCs w:val="22"/>
          <w14:ligatures w14:val="standardContextual"/>
        </w:rPr>
        <w:tab/>
      </w:r>
    </w:p>
    <w:p w:rsidR="00150CD7" w:rsidRPr="00150CD7" w:rsidP="00150CD7" w14:paraId="59954DA5" w14:textId="77777777">
      <w:pPr>
        <w:widowControl/>
        <w:ind w:firstLine="720"/>
        <w:rPr>
          <w:rFonts w:eastAsiaTheme="minorHAnsi"/>
          <w:snapToGrid/>
          <w:kern w:val="2"/>
          <w:szCs w:val="22"/>
          <w14:ligatures w14:val="standardContextual"/>
        </w:rPr>
      </w:pPr>
      <w:r w:rsidRPr="00150CD7">
        <w:rPr>
          <w:rFonts w:eastAsiaTheme="minorHAnsi"/>
          <w:snapToGrid/>
          <w:kern w:val="2"/>
          <w:szCs w:val="22"/>
          <w14:ligatures w14:val="standardContextual"/>
        </w:rPr>
        <w:t xml:space="preserve">Welcome to the radar revolution.  It is no longer just for tracking planes and measuring weather patterns.  That’s because we are on the cusp of deploying radar technology for a much wider range of uses.  So get ready.  Because what comes next is exciting.  The odds are good we will see this technology used for real-time traffic management that can reduce congestion and increase safety for the vehicles, cyclists, and pedestrians who share our roads.  We also may see this technology used to make our devices more accessible through gesture controls, which could be a gamechanger for those with limited mobility.  Thanks to early waivers from this agency, it has already been used to monitor for children left in hot cars, triggering alerts that can save their lives.  And we are seeing the development of radar-based breathing systems that help keep a safe watch over premature infants in neonatal intensive care units.   </w:t>
      </w:r>
    </w:p>
    <w:p w:rsidR="00150CD7" w:rsidRPr="00150CD7" w:rsidP="00150CD7" w14:paraId="4FD09313" w14:textId="77777777">
      <w:pPr>
        <w:widowControl/>
        <w:ind w:firstLine="720"/>
        <w:rPr>
          <w:rFonts w:eastAsiaTheme="minorHAnsi"/>
          <w:snapToGrid/>
          <w:kern w:val="2"/>
          <w:szCs w:val="22"/>
          <w14:ligatures w14:val="standardContextual"/>
        </w:rPr>
      </w:pPr>
    </w:p>
    <w:p w:rsidR="00150CD7" w:rsidRPr="00150CD7" w:rsidP="00150CD7" w14:paraId="0FA71B78" w14:textId="77777777">
      <w:pPr>
        <w:widowControl/>
        <w:ind w:firstLine="720"/>
        <w:rPr>
          <w:rFonts w:eastAsiaTheme="minorHAnsi"/>
          <w:snapToGrid/>
          <w:kern w:val="2"/>
          <w:szCs w:val="22"/>
          <w14:ligatures w14:val="standardContextual"/>
        </w:rPr>
      </w:pPr>
      <w:r w:rsidRPr="00150CD7">
        <w:rPr>
          <w:rFonts w:eastAsiaTheme="minorHAnsi"/>
          <w:snapToGrid/>
          <w:kern w:val="2"/>
          <w:szCs w:val="22"/>
          <w14:ligatures w14:val="standardContextual"/>
        </w:rPr>
        <w:t xml:space="preserve">All of this is possible—and our work here today is a big reason why.  In this decision, we are updating our approach to the 60 GHz band.  We are modernizing it so that it can be used to its full potential.  That means expanding mobile operations for radar technology, increasing where and how it can be used.  So get ready to see new augmented reality and virtual reality applications and a whole lot of other high-speed, data-intensive innovative activities in this band.  </w:t>
      </w:r>
    </w:p>
    <w:p w:rsidR="00150CD7" w:rsidRPr="00150CD7" w:rsidP="00150CD7" w14:paraId="18D57CB9" w14:textId="77777777">
      <w:pPr>
        <w:widowControl/>
        <w:ind w:firstLine="720"/>
        <w:rPr>
          <w:rFonts w:eastAsiaTheme="minorHAnsi"/>
          <w:snapToGrid/>
          <w:kern w:val="2"/>
          <w:szCs w:val="22"/>
          <w14:ligatures w14:val="standardContextual"/>
        </w:rPr>
      </w:pPr>
    </w:p>
    <w:p w:rsidR="00150CD7" w:rsidRPr="00150CD7" w:rsidP="00150CD7" w14:paraId="511E8C8A" w14:textId="77777777">
      <w:pPr>
        <w:widowControl/>
        <w:ind w:firstLine="720"/>
        <w:rPr>
          <w:rFonts w:eastAsiaTheme="minorHAnsi"/>
          <w:snapToGrid/>
          <w:kern w:val="2"/>
          <w:szCs w:val="22"/>
          <w14:ligatures w14:val="standardContextual"/>
        </w:rPr>
      </w:pPr>
      <w:r w:rsidRPr="00150CD7">
        <w:rPr>
          <w:rFonts w:eastAsiaTheme="minorHAnsi"/>
          <w:snapToGrid/>
          <w:kern w:val="2"/>
          <w:szCs w:val="22"/>
          <w14:ligatures w14:val="standardContextual"/>
        </w:rPr>
        <w:t>You don’t get this far this fast in a revolution without a dynamic squad.  This effort to update the 60 GHz band benefited immeasurably from a broad group of stakeholders, including unlicensed actors, drone operators, robotics interests, and automotive companies who worked together to find a path forward.  I want to thank them for their collaboration.</w:t>
      </w:r>
    </w:p>
    <w:p w:rsidR="00150CD7" w:rsidRPr="00150CD7" w:rsidP="00150CD7" w14:paraId="1C0260FA" w14:textId="77777777">
      <w:pPr>
        <w:widowControl/>
        <w:ind w:firstLine="720"/>
        <w:rPr>
          <w:rFonts w:eastAsiaTheme="minorHAnsi"/>
          <w:snapToGrid/>
          <w:kern w:val="2"/>
          <w:szCs w:val="22"/>
          <w14:ligatures w14:val="standardContextual"/>
        </w:rPr>
      </w:pPr>
    </w:p>
    <w:p w:rsidR="00150CD7" w:rsidRPr="00150CD7" w:rsidP="00150CD7" w14:paraId="224F1E4E" w14:textId="77777777">
      <w:pPr>
        <w:widowControl/>
        <w:ind w:firstLine="720"/>
        <w:rPr>
          <w:rFonts w:eastAsiaTheme="minorHAnsi"/>
          <w:snapToGrid/>
          <w:kern w:val="2"/>
          <w:szCs w:val="22"/>
          <w14:ligatures w14:val="standardContextual"/>
        </w:rPr>
      </w:pPr>
      <w:r w:rsidRPr="00150CD7">
        <w:rPr>
          <w:rFonts w:eastAsiaTheme="minorHAnsi"/>
          <w:snapToGrid/>
          <w:kern w:val="2"/>
          <w:szCs w:val="22"/>
          <w14:ligatures w14:val="standardContextual"/>
        </w:rPr>
        <w:t xml:space="preserve">I also want to thank the team at the agency who helped make this creative approach to the band a reality: Damian Ariza, Bahman Badipour, David Duarte, Michael Ha, Kevin Holmes, Steve Jones, Ira Keltz, Nicholas Oros, Siobahn Philemon, Jamison Prime, Ronald Repasi, Thomas Struble, Hugh VanTuyl, and Anh Wride from the Office of Engineering and Technology; Kari Hicks, Ethan Jeans, John Lockwood, and Joel Taubenblatt from the Wireless Telecommunications Bureau; Patrick Brogan, Giulia McHenry, Michelle Schaefer, Donald Stockdale, Patrick Sun, Emily </w:t>
      </w:r>
      <w:r w:rsidRPr="00150CD7">
        <w:rPr>
          <w:rFonts w:eastAsiaTheme="minorHAnsi"/>
          <w:snapToGrid/>
          <w:kern w:val="2"/>
          <w:szCs w:val="22"/>
          <w14:ligatures w14:val="standardContextual"/>
        </w:rPr>
        <w:t>Talaga</w:t>
      </w:r>
      <w:r w:rsidRPr="00150CD7">
        <w:rPr>
          <w:rFonts w:eastAsiaTheme="minorHAnsi"/>
          <w:snapToGrid/>
          <w:kern w:val="2"/>
          <w:szCs w:val="22"/>
          <w14:ligatures w14:val="standardContextual"/>
        </w:rPr>
        <w:t xml:space="preserve">, and Aleks Yankelevich from the Office of Economics and Analytics; Deborah Broderson, David Horowitz, Bill Richardson, and Chin Yoo from the Office of General Counsel; Michael </w:t>
      </w:r>
      <w:r w:rsidRPr="00150CD7">
        <w:rPr>
          <w:rFonts w:eastAsiaTheme="minorHAnsi"/>
          <w:snapToGrid/>
          <w:kern w:val="2"/>
          <w:szCs w:val="22"/>
          <w14:ligatures w14:val="standardContextual"/>
        </w:rPr>
        <w:t>Gussow</w:t>
      </w:r>
      <w:r w:rsidRPr="00150CD7">
        <w:rPr>
          <w:rFonts w:eastAsiaTheme="minorHAnsi"/>
          <w:snapToGrid/>
          <w:kern w:val="2"/>
          <w:szCs w:val="22"/>
          <w14:ligatures w14:val="standardContextual"/>
        </w:rPr>
        <w:t xml:space="preserve"> and Joy Ragsdale from the Office of Communications Business Opportunities; Jeremy Marcus, Ryan McDonald, and Victoria Randazzo from the Enforcement Bureau; and Ethan Lucarelli from the Office of International Affairs.</w:t>
      </w:r>
    </w:p>
    <w:p w:rsidR="00601367" w14:paraId="3AE6D6F7" w14:textId="77777777">
      <w:pPr>
        <w:widowControl/>
      </w:pPr>
    </w:p>
    <w:sectPr w:rsidSect="00967201">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3935" w:rsidP="0055614C" w14:paraId="25A35145" w14:textId="77777777">
    <w:pPr>
      <w:pStyle w:val="Footer"/>
      <w:framePr w:wrap="around" w:vAnchor="text" w:hAnchor="margin" w:xAlign="center" w:y="1"/>
    </w:pPr>
    <w:r>
      <w:fldChar w:fldCharType="begin"/>
    </w:r>
    <w:r>
      <w:instrText xml:space="preserve">PAGE  </w:instrText>
    </w:r>
    <w:r>
      <w:fldChar w:fldCharType="separate"/>
    </w:r>
    <w:r>
      <w:fldChar w:fldCharType="end"/>
    </w:r>
  </w:p>
  <w:p w:rsidR="00343935" w14:paraId="057195B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3935" w:rsidP="00F13E1B" w14:paraId="5365469B" w14:textId="7BF041A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3935" w14:paraId="0CD9F5D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73D44" w14:paraId="1A7A9559" w14:textId="77777777">
      <w:r>
        <w:separator/>
      </w:r>
    </w:p>
  </w:footnote>
  <w:footnote w:type="continuationSeparator" w:id="1">
    <w:p w:rsidR="00773D44" w:rsidP="00C721AC" w14:paraId="464B37F7" w14:textId="77777777">
      <w:pPr>
        <w:spacing w:before="120"/>
        <w:rPr>
          <w:sz w:val="20"/>
        </w:rPr>
      </w:pPr>
      <w:r>
        <w:rPr>
          <w:sz w:val="20"/>
        </w:rPr>
        <w:t xml:space="preserve">(Continued from previous page)  </w:t>
      </w:r>
      <w:r>
        <w:rPr>
          <w:sz w:val="20"/>
        </w:rPr>
        <w:separator/>
      </w:r>
    </w:p>
  </w:footnote>
  <w:footnote w:type="continuationNotice" w:id="2">
    <w:p w:rsidR="00773D44" w:rsidP="00C721AC" w14:paraId="2615DAEF" w14:textId="77777777">
      <w:pPr>
        <w:jc w:val="right"/>
        <w:rPr>
          <w:sz w:val="20"/>
        </w:rPr>
      </w:pPr>
      <w:r>
        <w:rPr>
          <w:sz w:val="20"/>
        </w:rPr>
        <w:t>(continued….)</w:t>
      </w:r>
    </w:p>
  </w:footnote>
  <w:footnote w:id="3">
    <w:p w:rsidR="00CF3A14" w:rsidP="00CF3A14" w14:paraId="20429C93" w14:textId="28385D8D">
      <w:pPr>
        <w:pStyle w:val="FootnoteText"/>
      </w:pPr>
      <w:r>
        <w:rPr>
          <w:rStyle w:val="FootnoteReference"/>
        </w:rPr>
        <w:footnoteRef/>
      </w:r>
      <w:r>
        <w:rPr>
          <w:i/>
          <w:iCs/>
        </w:rPr>
        <w:t xml:space="preserve"> Amendment of Section 15.255 of the Commission’s Rules</w:t>
      </w:r>
      <w:r>
        <w:t xml:space="preserve">, ET Docket 21-264, Notice of Proposed Rulemaking, </w:t>
      </w:r>
      <w:r w:rsidRPr="591D44C4">
        <w:t>36 FCC Rcd 11901 (2021) (</w:t>
      </w:r>
      <w:r w:rsidRPr="440C7C8E">
        <w:rPr>
          <w:i/>
        </w:rPr>
        <w:t>NPRM</w:t>
      </w:r>
      <w:r w:rsidRPr="591D44C4">
        <w:t>).</w:t>
      </w:r>
    </w:p>
  </w:footnote>
  <w:footnote w:id="4">
    <w:p w:rsidR="00982BA0" w14:paraId="75096E25" w14:textId="7E562291">
      <w:pPr>
        <w:pStyle w:val="FootnoteText"/>
      </w:pPr>
      <w:r>
        <w:rPr>
          <w:rStyle w:val="FootnoteReference"/>
        </w:rPr>
        <w:footnoteRef/>
      </w:r>
      <w:r>
        <w:t xml:space="preserve"> </w:t>
      </w:r>
      <w:r w:rsidRPr="2600BF7D" w:rsidR="2600BF7D">
        <w:rPr>
          <w:i/>
          <w:iCs/>
        </w:rPr>
        <w:t>NPRM</w:t>
      </w:r>
      <w:r w:rsidRPr="679C691D" w:rsidR="679C691D">
        <w:rPr>
          <w:i/>
          <w:iCs/>
        </w:rPr>
        <w:t xml:space="preserve">, </w:t>
      </w:r>
      <w:r w:rsidR="679C691D">
        <w:t xml:space="preserve">36 FCC </w:t>
      </w:r>
      <w:r w:rsidR="679C691D">
        <w:t xml:space="preserve">Rcd at </w:t>
      </w:r>
      <w:r w:rsidR="740E5489">
        <w:t>11904</w:t>
      </w:r>
      <w:r w:rsidR="000B0A12">
        <w:t>,</w:t>
      </w:r>
      <w:r w:rsidR="005D7D41">
        <w:t xml:space="preserve"> para. 9</w:t>
      </w:r>
      <w:r w:rsidR="6DF31B7B">
        <w:t>.</w:t>
      </w:r>
    </w:p>
  </w:footnote>
  <w:footnote w:id="5">
    <w:p w:rsidR="00777063" w14:paraId="1EE42121" w14:textId="76413ABF">
      <w:pPr>
        <w:pStyle w:val="FootnoteText"/>
      </w:pPr>
      <w:r>
        <w:rPr>
          <w:rStyle w:val="FootnoteReference"/>
        </w:rPr>
        <w:footnoteRef/>
      </w:r>
      <w:r w:rsidR="7BDA0804">
        <w:t xml:space="preserve"> </w:t>
      </w:r>
      <w:r w:rsidRPr="7BDA0804" w:rsidR="7BDA0804">
        <w:rPr>
          <w:i/>
          <w:iCs/>
        </w:rPr>
        <w:t xml:space="preserve">NPRM, </w:t>
      </w:r>
      <w:r w:rsidR="7BDA0804">
        <w:t xml:space="preserve">36 FCC </w:t>
      </w:r>
      <w:r w:rsidR="7BDA0804">
        <w:t>Rcd</w:t>
      </w:r>
      <w:r w:rsidRPr="7BDA0804" w:rsidR="7BDA0804">
        <w:rPr>
          <w:i/>
          <w:iCs/>
        </w:rPr>
        <w:t xml:space="preserve"> </w:t>
      </w:r>
      <w:r w:rsidR="7BDA0804">
        <w:t>at 11906</w:t>
      </w:r>
      <w:r w:rsidR="000B0A12">
        <w:t>,</w:t>
      </w:r>
      <w:r w:rsidR="7BDA0804">
        <w:t xml:space="preserve"> para. 12.</w:t>
      </w:r>
    </w:p>
  </w:footnote>
  <w:footnote w:id="6">
    <w:p w:rsidR="00B77DDC" w14:paraId="6FD5A1D0" w14:textId="6A39B767">
      <w:pPr>
        <w:pStyle w:val="FootnoteText"/>
      </w:pPr>
      <w:r>
        <w:rPr>
          <w:rStyle w:val="FootnoteReference"/>
        </w:rPr>
        <w:footnoteRef/>
      </w:r>
      <w:r>
        <w:t xml:space="preserve"> </w:t>
      </w:r>
      <w:r w:rsidRPr="00A50E17" w:rsidR="00EE004D">
        <w:rPr>
          <w:i/>
        </w:rPr>
        <w:t>NPRM</w:t>
      </w:r>
      <w:r w:rsidR="00EE004D">
        <w:t xml:space="preserve"> </w:t>
      </w:r>
      <w:r w:rsidR="7F129C06">
        <w:t xml:space="preserve">36 FCC </w:t>
      </w:r>
      <w:r w:rsidR="7F129C06">
        <w:t xml:space="preserve">Rcd </w:t>
      </w:r>
      <w:r w:rsidR="00EE004D">
        <w:t xml:space="preserve">at </w:t>
      </w:r>
      <w:r w:rsidR="7F129C06">
        <w:t>11906</w:t>
      </w:r>
      <w:r w:rsidR="000B0A12">
        <w:t>,</w:t>
      </w:r>
      <w:r w:rsidR="7F129C06">
        <w:t xml:space="preserve"> </w:t>
      </w:r>
      <w:r w:rsidR="00EE004D">
        <w:t>para. 13</w:t>
      </w:r>
      <w:r w:rsidR="54B40D5D">
        <w:t>.</w:t>
      </w:r>
    </w:p>
  </w:footnote>
  <w:footnote w:id="7">
    <w:p w:rsidR="00C706D5" w:rsidP="00C706D5" w14:paraId="4045A89E" w14:textId="1AD8E739">
      <w:pPr>
        <w:pStyle w:val="FootnoteText"/>
      </w:pPr>
      <w:r>
        <w:rPr>
          <w:rStyle w:val="FootnoteReference"/>
        </w:rPr>
        <w:footnoteRef/>
      </w:r>
      <w:r>
        <w:t xml:space="preserve"> </w:t>
      </w:r>
      <w:r w:rsidRPr="00860300">
        <w:rPr>
          <w:i/>
        </w:rPr>
        <w:t xml:space="preserve">See </w:t>
      </w:r>
      <w:r>
        <w:t>47 CFR § 2.1(c) (radar is “[a] radiodetermination system based on the comparison of reference signals with radio signals reflected, or retransmitted, from the position to be determined”); ITU Radio Regulations 1.100-102 (2012).</w:t>
      </w:r>
    </w:p>
  </w:footnote>
  <w:footnote w:id="8">
    <w:p w:rsidR="00846233" w:rsidRPr="006E7D80" w:rsidP="00846233" w14:paraId="4A7F11BC" w14:textId="4371636E">
      <w:pPr>
        <w:pStyle w:val="FootnoteText"/>
        <w:rPr>
          <w:color w:val="000000"/>
        </w:rPr>
      </w:pPr>
      <w:r w:rsidRPr="006E7D80">
        <w:rPr>
          <w:rStyle w:val="FootnoteReference"/>
          <w:color w:val="000000"/>
        </w:rPr>
        <w:footnoteRef/>
      </w:r>
      <w:r w:rsidRPr="006E7D80" w:rsidR="68E62851">
        <w:rPr>
          <w:color w:val="000000"/>
        </w:rPr>
        <w:t xml:space="preserve"> The fundamental operating conditions under part 15 are that the operator of a part 15 device </w:t>
      </w:r>
      <w:r w:rsidR="68E62851">
        <w:rPr>
          <w:color w:val="000000"/>
        </w:rPr>
        <w:t>has no vested right to continued use of any given frequency, must accept interference that may be caused by the operations of authorized users or other unlicensed devices, and</w:t>
      </w:r>
      <w:r w:rsidRPr="006E7D80" w:rsidR="68E62851">
        <w:rPr>
          <w:color w:val="000000"/>
        </w:rPr>
        <w:t xml:space="preserve"> must </w:t>
      </w:r>
      <w:r w:rsidR="68E62851">
        <w:rPr>
          <w:color w:val="000000"/>
        </w:rPr>
        <w:t xml:space="preserve">not cause </w:t>
      </w:r>
      <w:r w:rsidRPr="006E7D80" w:rsidR="68E62851">
        <w:rPr>
          <w:color w:val="000000"/>
        </w:rPr>
        <w:t>harmful interference it cause</w:t>
      </w:r>
      <w:r w:rsidR="68E62851">
        <w:rPr>
          <w:color w:val="000000"/>
        </w:rPr>
        <w:t>s</w:t>
      </w:r>
      <w:r w:rsidRPr="006E7D80" w:rsidR="68E62851">
        <w:rPr>
          <w:color w:val="000000"/>
        </w:rPr>
        <w:t xml:space="preserve">.  Should harmful interference occur, the operator is required to immediately correct the interference problem, even if correction of the problem requires ceasing operation of the part 15 equipment causing interference.  47 CFR </w:t>
      </w:r>
      <w:r w:rsidRPr="006E7D80" w:rsidR="68E62851">
        <w:rPr>
          <w:color w:val="000000"/>
          <w:spacing w:val="-2"/>
        </w:rPr>
        <w:t>§ 15.5.</w:t>
      </w:r>
    </w:p>
  </w:footnote>
  <w:footnote w:id="9">
    <w:p w:rsidR="00713861" w:rsidP="00713861" w14:paraId="2DD7FFF1" w14:textId="77777777">
      <w:pPr>
        <w:pStyle w:val="FootnoteText"/>
      </w:pPr>
      <w:r>
        <w:rPr>
          <w:rStyle w:val="FootnoteReference"/>
        </w:rPr>
        <w:footnoteRef/>
      </w:r>
      <w:r>
        <w:t xml:space="preserve"> </w:t>
      </w:r>
      <w:r w:rsidRPr="004D12B9">
        <w:rPr>
          <w:shd w:val="clear" w:color="auto" w:fill="FFFFFF"/>
        </w:rPr>
        <w:t>WiGig, alternatively known as 60 GHz Wi-Fi,</w:t>
      </w:r>
      <w:r>
        <w:rPr>
          <w:shd w:val="clear" w:color="auto" w:fill="FFFFFF"/>
          <w:vertAlign w:val="superscript"/>
        </w:rPr>
        <w:t xml:space="preserve"> </w:t>
      </w:r>
      <w:r w:rsidRPr="004D12B9">
        <w:rPr>
          <w:shd w:val="clear" w:color="auto" w:fill="FFFFFF"/>
        </w:rPr>
        <w:t>refers to a set of 60 GHz wireless network protocols.  It includes the current Institute of Electrical and Electronics Engineers (IEEE)</w:t>
      </w:r>
      <w:r>
        <w:rPr>
          <w:shd w:val="clear" w:color="auto" w:fill="FFFFFF"/>
        </w:rPr>
        <w:t xml:space="preserve"> </w:t>
      </w:r>
      <w:r w:rsidRPr="004D12B9">
        <w:rPr>
          <w:shd w:val="clear" w:color="auto" w:fill="FFFFFF"/>
        </w:rPr>
        <w:t>IEEE 802.11ad standard and also the upcoming IEEE 802.11ay standard.  The name </w:t>
      </w:r>
      <w:r w:rsidRPr="004D12B9">
        <w:rPr>
          <w:i/>
          <w:iCs/>
          <w:shd w:val="clear" w:color="auto" w:fill="FFFFFF"/>
        </w:rPr>
        <w:t>WiGig</w:t>
      </w:r>
      <w:r w:rsidRPr="004D12B9">
        <w:rPr>
          <w:shd w:val="clear" w:color="auto" w:fill="FFFFFF"/>
        </w:rPr>
        <w:t xml:space="preserve"> comes from Wireless Gigabit Alliance, the original association being formed to promote the adoption of IEEE 802.11ad. </w:t>
      </w:r>
      <w:r>
        <w:rPr>
          <w:shd w:val="clear" w:color="auto" w:fill="FFFFFF"/>
        </w:rPr>
        <w:t xml:space="preserve"> </w:t>
      </w:r>
      <w:r w:rsidRPr="004D12B9">
        <w:rPr>
          <w:shd w:val="clear" w:color="auto" w:fill="FFFFFF"/>
        </w:rPr>
        <w:t>However, it is now certified by Wi-Fi Alliance.</w:t>
      </w:r>
      <w:r>
        <w:rPr>
          <w:shd w:val="clear" w:color="auto" w:fill="FFFFFF"/>
        </w:rPr>
        <w:t xml:space="preserve">  </w:t>
      </w:r>
      <w:r w:rsidRPr="004D12B9">
        <w:rPr>
          <w:i/>
          <w:iCs/>
          <w:shd w:val="clear" w:color="auto" w:fill="FFFFFF"/>
        </w:rPr>
        <w:t>See</w:t>
      </w:r>
      <w:r>
        <w:rPr>
          <w:shd w:val="clear" w:color="auto" w:fill="FFFFFF"/>
        </w:rPr>
        <w:t xml:space="preserve"> </w:t>
      </w:r>
      <w:hyperlink r:id="rId1" w:history="1">
        <w:r w:rsidRPr="00BD6397">
          <w:rPr>
            <w:rStyle w:val="Hyperlink"/>
            <w:shd w:val="clear" w:color="auto" w:fill="FFFFFF"/>
          </w:rPr>
          <w:t>https://www.wi-fi.org/discover-wi-fi/wi-fi-certified-wigig</w:t>
        </w:r>
      </w:hyperlink>
      <w:r>
        <w:rPr>
          <w:shd w:val="clear" w:color="auto" w:fill="FFFFFF"/>
        </w:rPr>
        <w:t>.</w:t>
      </w:r>
    </w:p>
  </w:footnote>
  <w:footnote w:id="10">
    <w:p w:rsidR="00E922CD" w:rsidP="00E922CD" w14:paraId="2C37D29D" w14:textId="77777777">
      <w:pPr>
        <w:pStyle w:val="FootnoteText"/>
      </w:pPr>
      <w:r>
        <w:rPr>
          <w:rStyle w:val="FootnoteReference"/>
        </w:rPr>
        <w:footnoteRef/>
      </w:r>
      <w:r>
        <w:t xml:space="preserve"> </w:t>
      </w:r>
      <w:r w:rsidRPr="004D12B9">
        <w:rPr>
          <w:shd w:val="clear" w:color="auto" w:fill="FFFFFF"/>
        </w:rPr>
        <w:t>A wireless LAN (</w:t>
      </w:r>
      <w:r w:rsidRPr="7D91C046">
        <w:rPr>
          <w:rStyle w:val="Emphasis"/>
          <w:i w:val="0"/>
          <w:iCs w:val="0"/>
          <w:shd w:val="clear" w:color="auto" w:fill="FFFFFF"/>
        </w:rPr>
        <w:t>WLAN</w:t>
      </w:r>
      <w:r w:rsidRPr="004D12B9">
        <w:rPr>
          <w:shd w:val="clear" w:color="auto" w:fill="FFFFFF"/>
        </w:rPr>
        <w:t>) is a wireless network that links two or more devices using wireless communication to form a local area network (LAN) within a limited area such as a home, school, computer laboratory, campus, or office building</w:t>
      </w:r>
      <w:r>
        <w:rPr>
          <w:shd w:val="clear" w:color="auto" w:fill="FFFFFF"/>
        </w:rPr>
        <w:t xml:space="preserve">.  </w:t>
      </w:r>
      <w:r w:rsidRPr="7D91C046">
        <w:rPr>
          <w:i/>
          <w:iCs/>
          <w:shd w:val="clear" w:color="auto" w:fill="FFFFFF"/>
        </w:rPr>
        <w:t xml:space="preserve">See generally </w:t>
      </w:r>
      <w:r w:rsidRPr="7D91C046">
        <w:rPr>
          <w:color w:val="000000"/>
        </w:rPr>
        <w:t>Wi-Fi Alliance,</w:t>
      </w:r>
      <w:r w:rsidRPr="7D91C046">
        <w:rPr>
          <w:i/>
          <w:iCs/>
          <w:color w:val="000000"/>
        </w:rPr>
        <w:t xml:space="preserve"> Wi</w:t>
      </w:r>
      <w:r w:rsidRPr="7D91C046">
        <w:rPr>
          <w:color w:val="000000"/>
        </w:rPr>
        <w:t>-</w:t>
      </w:r>
      <w:r w:rsidRPr="7D91C046">
        <w:rPr>
          <w:i/>
          <w:iCs/>
          <w:color w:val="000000"/>
        </w:rPr>
        <w:t xml:space="preserve">Fi Certified </w:t>
      </w:r>
      <w:r w:rsidRPr="7D91C046">
        <w:rPr>
          <w:i/>
          <w:iCs/>
          <w:color w:val="000000"/>
        </w:rPr>
        <w:t>WiGig</w:t>
      </w:r>
      <w:r>
        <w:rPr>
          <w:i/>
          <w:iCs/>
          <w:color w:val="000000"/>
        </w:rPr>
        <w:t xml:space="preserve">, </w:t>
      </w:r>
      <w:hyperlink r:id="rId1" w:history="1">
        <w:r w:rsidRPr="0046477B">
          <w:rPr>
            <w:rStyle w:val="Hyperlink"/>
            <w:shd w:val="clear" w:color="auto" w:fill="FFFFFF"/>
          </w:rPr>
          <w:t>https://www.wi-fi.org/discover-wi-fi/wi-fi-certified-wigig</w:t>
        </w:r>
      </w:hyperlink>
      <w:r>
        <w:rPr>
          <w:shd w:val="clear" w:color="auto" w:fill="FFFFFF"/>
        </w:rPr>
        <w:t>.</w:t>
      </w:r>
    </w:p>
  </w:footnote>
  <w:footnote w:id="11">
    <w:p w:rsidR="00846233" w:rsidP="00846233" w14:paraId="07D83FE1" w14:textId="31A3265E">
      <w:pPr>
        <w:pStyle w:val="FootnoteText"/>
      </w:pPr>
      <w:r>
        <w:rPr>
          <w:rStyle w:val="FootnoteReference"/>
        </w:rPr>
        <w:footnoteRef/>
      </w:r>
      <w:r>
        <w:t xml:space="preserve"> As discussed </w:t>
      </w:r>
      <w:r>
        <w:rPr>
          <w:i/>
          <w:iCs/>
        </w:rPr>
        <w:t>infra</w:t>
      </w:r>
      <w:r w:rsidRPr="7D91C046">
        <w:rPr>
          <w:i/>
          <w:iCs/>
        </w:rPr>
        <w:t xml:space="preserve">, </w:t>
      </w:r>
      <w:r>
        <w:t xml:space="preserve">the Commission has a long history of considering radar devices in Part 15 of the rules as a subset of FDS.  </w:t>
      </w:r>
      <w:r w:rsidRPr="7D91C046">
        <w:rPr>
          <w:i/>
          <w:iCs/>
        </w:rPr>
        <w:t>See, e.g</w:t>
      </w:r>
      <w:r>
        <w:t xml:space="preserve">., 47 CFR </w:t>
      </w:r>
      <w:r w:rsidRPr="007A6CDA">
        <w:t>§§</w:t>
      </w:r>
      <w:r>
        <w:t xml:space="preserve"> 15.503, 15.515.  Unless specifically noted, we use the terms “FDS” and “radar” </w:t>
      </w:r>
      <w:r w:rsidR="00321351">
        <w:t>herein</w:t>
      </w:r>
      <w:r>
        <w:t xml:space="preserve"> interchangeably. </w:t>
      </w:r>
    </w:p>
  </w:footnote>
  <w:footnote w:id="12">
    <w:p w:rsidR="00846233" w:rsidP="00846233" w14:paraId="0E174168" w14:textId="700045D4">
      <w:pPr>
        <w:pStyle w:val="FootnoteText"/>
      </w:pPr>
      <w:r>
        <w:rPr>
          <w:rStyle w:val="FootnoteReference"/>
        </w:rPr>
        <w:footnoteRef/>
      </w:r>
      <w:r>
        <w:t xml:space="preserve"> </w:t>
      </w:r>
      <w:r w:rsidRPr="00E76A3D">
        <w:t>47 CFR § 2.106</w:t>
      </w:r>
      <w:r>
        <w:t>.  Industrial, scientific and medical (ISM) equipment may also operate in the band at 61.00</w:t>
      </w:r>
      <w:r w:rsidR="007702E7">
        <w:noBreakHyphen/>
      </w:r>
      <w:r>
        <w:t>61.50 GHz, pursuant to 47 CFR § 18.301.</w:t>
      </w:r>
    </w:p>
  </w:footnote>
  <w:footnote w:id="13">
    <w:p w:rsidR="00DA6217" w:rsidP="00DA6217" w14:paraId="6AFCE65D" w14:textId="28B5691B">
      <w:pPr>
        <w:pStyle w:val="FootnoteText"/>
      </w:pPr>
      <w:r>
        <w:rPr>
          <w:rStyle w:val="FootnoteReference"/>
        </w:rPr>
        <w:footnoteRef/>
      </w:r>
      <w:r>
        <w:t xml:space="preserve"> </w:t>
      </w:r>
      <w:r>
        <w:rPr>
          <w:i/>
        </w:rPr>
        <w:t xml:space="preserve">Amendment of Parts 2, 15 and 97 of the Commission’s Rules to Permit Use of Radio Frequencies Above 40 GHz for New Radio Applications, </w:t>
      </w:r>
      <w:r>
        <w:t xml:space="preserve">ET Docket No. 94-124, First Report and Order and Second Notice of Proposed Rule Making, 11 FCC </w:t>
      </w:r>
      <w:r>
        <w:t>Rcd 4481, 4488, para. 14 (1995).</w:t>
      </w:r>
    </w:p>
  </w:footnote>
  <w:footnote w:id="14">
    <w:p w:rsidR="00DA6217" w:rsidP="00DA6217" w14:paraId="031E76A6" w14:textId="77777777">
      <w:pPr>
        <w:pStyle w:val="FootnoteText"/>
      </w:pPr>
      <w:r>
        <w:rPr>
          <w:rStyle w:val="FootnoteReference"/>
        </w:rPr>
        <w:footnoteRef/>
      </w:r>
      <w:r>
        <w:t xml:space="preserve"> A spectrum etiquette is a set of rules to facilitate accessing and sharing of the same spectrum among all authorized users.</w:t>
      </w:r>
    </w:p>
  </w:footnote>
  <w:footnote w:id="15">
    <w:p w:rsidR="00DA6217" w:rsidP="00DA6217" w14:paraId="42BA7155" w14:textId="559C4419">
      <w:pPr>
        <w:pStyle w:val="FootnoteText"/>
      </w:pPr>
      <w:r>
        <w:rPr>
          <w:rStyle w:val="FootnoteReference"/>
        </w:rPr>
        <w:footnoteRef/>
      </w:r>
      <w:r>
        <w:t xml:space="preserve"> The provisions for fixed FDS operations </w:t>
      </w:r>
      <w:r w:rsidRPr="007A6CDA" w:rsidR="00D0000F">
        <w:t>were</w:t>
      </w:r>
      <w:r w:rsidRPr="007A6CDA">
        <w:t xml:space="preserve"> part of the spectrum etiquette developed by the Millimeter Wave Communications Working Group (MWCWG) at the behest of the Commission to facilitate </w:t>
      </w:r>
      <w:r>
        <w:t xml:space="preserve">coexistence </w:t>
      </w:r>
      <w:r w:rsidRPr="007A6CDA">
        <w:t>of all 60 GHz devices in the 57</w:t>
      </w:r>
      <w:r w:rsidRPr="007A6CDA">
        <w:noBreakHyphen/>
        <w:t xml:space="preserve">64 GHz band and adopted into the rules in 1998.  </w:t>
      </w:r>
      <w:r w:rsidRPr="7D91C046">
        <w:rPr>
          <w:i/>
          <w:iCs/>
        </w:rPr>
        <w:t>See</w:t>
      </w:r>
      <w:r w:rsidRPr="007A6CDA">
        <w:t xml:space="preserve"> </w:t>
      </w:r>
      <w:r w:rsidRPr="0049228A">
        <w:rPr>
          <w:i/>
          <w:iCs/>
        </w:rPr>
        <w:t>Amendment of Parts 2, 15 and 97 of the Commission‘s Rules to Permit Use of Radio Frequencies Above 40 GHz for New Radio Applications</w:t>
      </w:r>
      <w:r w:rsidRPr="7D91C046">
        <w:rPr>
          <w:i/>
          <w:iCs/>
        </w:rPr>
        <w:t xml:space="preserve">, </w:t>
      </w:r>
      <w:r w:rsidRPr="7D91C046">
        <w:t>ET Docket No. 19-124,</w:t>
      </w:r>
      <w:r w:rsidRPr="7D91C046">
        <w:rPr>
          <w:i/>
          <w:iCs/>
        </w:rPr>
        <w:t xml:space="preserve"> </w:t>
      </w:r>
      <w:r w:rsidRPr="00545460">
        <w:t>Third Report and Order</w:t>
      </w:r>
      <w:r w:rsidRPr="007A6CDA">
        <w:t xml:space="preserve">, 13 FCC </w:t>
      </w:r>
      <w:r w:rsidRPr="007A6CDA">
        <w:t xml:space="preserve">Rcd 15074 (1998).  </w:t>
      </w:r>
    </w:p>
  </w:footnote>
  <w:footnote w:id="16">
    <w:p w:rsidR="00DA6217" w:rsidP="00DA6217" w14:paraId="059A981C" w14:textId="786FA09D">
      <w:pPr>
        <w:pStyle w:val="FootnoteText"/>
      </w:pPr>
      <w:r>
        <w:rPr>
          <w:rStyle w:val="FootnoteReference"/>
        </w:rPr>
        <w:footnoteRef/>
      </w:r>
      <w:r>
        <w:t xml:space="preserve"> </w:t>
      </w:r>
      <w:r w:rsidRPr="00C4163B">
        <w:t xml:space="preserve">31 FCC </w:t>
      </w:r>
      <w:r w:rsidRPr="00C4163B">
        <w:t xml:space="preserve">Rcd </w:t>
      </w:r>
      <w:r>
        <w:t>at 8133-8134,</w:t>
      </w:r>
      <w:r w:rsidRPr="00C4163B">
        <w:t xml:space="preserve"> para. 337</w:t>
      </w:r>
      <w:r w:rsidR="00174157">
        <w:t xml:space="preserve"> (2016)</w:t>
      </w:r>
      <w:r w:rsidRPr="00C4163B">
        <w:t>.</w:t>
      </w:r>
      <w:r>
        <w:t xml:space="preserve">  </w:t>
      </w:r>
    </w:p>
  </w:footnote>
  <w:footnote w:id="17">
    <w:p w:rsidR="00DA6217" w:rsidP="00DA6217" w14:paraId="16CA2691" w14:textId="77777777">
      <w:pPr>
        <w:pStyle w:val="FootnoteText"/>
      </w:pPr>
      <w:r>
        <w:rPr>
          <w:rStyle w:val="FootnoteReference"/>
        </w:rPr>
        <w:footnoteRef/>
      </w:r>
      <w:r>
        <w:t xml:space="preserve"> </w:t>
      </w:r>
      <w:r>
        <w:rPr>
          <w:i/>
          <w:iCs/>
        </w:rPr>
        <w:t xml:space="preserve">Id.  </w:t>
      </w:r>
      <w:r w:rsidRPr="006E7D80">
        <w:rPr>
          <w:color w:val="000000"/>
        </w:rPr>
        <w:t>Google developed the Soli sensor to capture motion in a three-dimensional space using a radar beam, which enable</w:t>
      </w:r>
      <w:r>
        <w:rPr>
          <w:color w:val="000000"/>
        </w:rPr>
        <w:t>s</w:t>
      </w:r>
      <w:r w:rsidRPr="006E7D80">
        <w:rPr>
          <w:color w:val="000000"/>
        </w:rPr>
        <w:t xml:space="preserve"> persons to use gestures and motions to control a smartphone’s functions or features.  </w:t>
      </w:r>
      <w:r w:rsidRPr="73A53DD1">
        <w:rPr>
          <w:i/>
          <w:iCs/>
          <w:color w:val="000000"/>
        </w:rPr>
        <w:t xml:space="preserve">See </w:t>
      </w:r>
      <w:hyperlink r:id="rId2" w:history="1">
        <w:hyperlink r:id="rId2" w:history="1">
          <w:r w:rsidRPr="328A3735">
            <w:t>https://atap.google.com/soli</w:t>
          </w:r>
        </w:hyperlink>
      </w:hyperlink>
      <w:r>
        <w:t>.</w:t>
      </w:r>
      <w:r w:rsidRPr="00F13E1B">
        <w:rPr>
          <w:color w:val="000000"/>
        </w:rPr>
        <w:t xml:space="preserve">   </w:t>
      </w:r>
    </w:p>
  </w:footnote>
  <w:footnote w:id="18">
    <w:p w:rsidR="00DA6217" w:rsidP="00DA6217" w14:paraId="64364B96" w14:textId="2ADC9FA8">
      <w:pPr>
        <w:pStyle w:val="FootnoteText"/>
      </w:pPr>
      <w:r>
        <w:rPr>
          <w:rStyle w:val="FootnoteReference"/>
        </w:rPr>
        <w:footnoteRef/>
      </w:r>
      <w:r>
        <w:t xml:space="preserve"> </w:t>
      </w:r>
      <w:r w:rsidRPr="006E7D80">
        <w:rPr>
          <w:i/>
          <w:color w:val="000000"/>
        </w:rPr>
        <w:t>Google LLC Request for Waiver of Section 15.255(c)(3) of the Commission's Rules Applicable to Radars used for Short Range Interactive Motion Sensing in the 57</w:t>
      </w:r>
      <w:r>
        <w:rPr>
          <w:i/>
          <w:color w:val="000000"/>
        </w:rPr>
        <w:t>-</w:t>
      </w:r>
      <w:r w:rsidRPr="006E7D80">
        <w:rPr>
          <w:i/>
          <w:color w:val="000000"/>
        </w:rPr>
        <w:t>64 GHz Frequency Band</w:t>
      </w:r>
      <w:r w:rsidRPr="006E7D80">
        <w:rPr>
          <w:color w:val="000000"/>
        </w:rPr>
        <w:t xml:space="preserve">, DA 18-1308, Order, 33 FCC </w:t>
      </w:r>
      <w:r w:rsidRPr="006E7D80">
        <w:rPr>
          <w:color w:val="000000"/>
        </w:rPr>
        <w:t>Rcd 12542 (</w:t>
      </w:r>
      <w:r w:rsidR="0026083D">
        <w:rPr>
          <w:color w:val="000000"/>
        </w:rPr>
        <w:t xml:space="preserve">OET </w:t>
      </w:r>
      <w:r w:rsidRPr="006E7D80">
        <w:rPr>
          <w:color w:val="000000"/>
        </w:rPr>
        <w:t xml:space="preserve">2018) </w:t>
      </w:r>
      <w:r w:rsidRPr="00361AD6">
        <w:rPr>
          <w:color w:val="000000"/>
        </w:rPr>
        <w:t>(</w:t>
      </w:r>
      <w:r w:rsidRPr="49EF6ECC">
        <w:rPr>
          <w:i/>
          <w:iCs/>
          <w:color w:val="000000"/>
        </w:rPr>
        <w:t>Google Waiver</w:t>
      </w:r>
      <w:r w:rsidRPr="00361AD6">
        <w:rPr>
          <w:color w:val="000000"/>
        </w:rPr>
        <w:t>)</w:t>
      </w:r>
      <w:r w:rsidRPr="49EF6ECC">
        <w:rPr>
          <w:i/>
          <w:iCs/>
          <w:color w:val="000000"/>
        </w:rPr>
        <w:t>.</w:t>
      </w:r>
      <w:r w:rsidRPr="006E7D80">
        <w:rPr>
          <w:color w:val="000000"/>
        </w:rPr>
        <w:t xml:space="preserve">  </w:t>
      </w:r>
    </w:p>
  </w:footnote>
  <w:footnote w:id="19">
    <w:p w:rsidR="00DA6217" w:rsidP="00DA6217" w14:paraId="11FE9B34" w14:textId="77777777">
      <w:pPr>
        <w:pStyle w:val="FootnoteText"/>
      </w:pPr>
      <w:r>
        <w:rPr>
          <w:rStyle w:val="FootnoteReference"/>
        </w:rPr>
        <w:footnoteRef/>
      </w:r>
      <w:r>
        <w:t xml:space="preserve"> The waiver permitted a 20 dB increase in the conducted power and a 3 dB increase in the EIRP over what the rules currently permit.  </w:t>
      </w:r>
    </w:p>
  </w:footnote>
  <w:footnote w:id="20">
    <w:p w:rsidR="00DA6217" w:rsidP="00DA6217" w14:paraId="6F94C7F8" w14:textId="6595D8CB">
      <w:pPr>
        <w:pStyle w:val="FootnoteText"/>
      </w:pPr>
      <w:r>
        <w:rPr>
          <w:rStyle w:val="FootnoteReference"/>
        </w:rPr>
        <w:footnoteRef/>
      </w:r>
      <w:r>
        <w:t xml:space="preserve"> </w:t>
      </w:r>
      <w:r w:rsidRPr="00BF340E">
        <w:rPr>
          <w:i/>
          <w:iCs/>
          <w:color w:val="000000" w:themeColor="text1"/>
        </w:rPr>
        <w:t>Vayyar Imaging Ltd. Request for Waiver of Section 15.255(c)(3) of the Commission’s Rules for Radars used for Interactive Motion Sensing in the frequency band 57-64 GHz</w:t>
      </w:r>
      <w:r w:rsidRPr="00BF340E">
        <w:rPr>
          <w:color w:val="000000" w:themeColor="text1"/>
        </w:rPr>
        <w:t xml:space="preserve">, </w:t>
      </w:r>
      <w:r>
        <w:rPr>
          <w:color w:val="000000" w:themeColor="text1"/>
        </w:rPr>
        <w:t>ET Docket Nos. 20-15, 20-121, 20-263, 20-264, 20-435, and 20-434</w:t>
      </w:r>
      <w:r w:rsidRPr="00BF340E">
        <w:rPr>
          <w:color w:val="000000" w:themeColor="text1"/>
        </w:rPr>
        <w:t>, Order</w:t>
      </w:r>
      <w:r>
        <w:rPr>
          <w:color w:val="000000" w:themeColor="text1"/>
        </w:rPr>
        <w:t>, DA 21-407</w:t>
      </w:r>
      <w:r w:rsidRPr="00BF340E">
        <w:rPr>
          <w:color w:val="000000" w:themeColor="text1"/>
        </w:rPr>
        <w:t xml:space="preserve"> (</w:t>
      </w:r>
      <w:r>
        <w:rPr>
          <w:color w:val="000000" w:themeColor="text1"/>
        </w:rPr>
        <w:t xml:space="preserve">OET </w:t>
      </w:r>
      <w:r w:rsidRPr="00BF340E">
        <w:rPr>
          <w:color w:val="000000" w:themeColor="text1"/>
        </w:rPr>
        <w:t xml:space="preserve">2021).  </w:t>
      </w:r>
      <w:r w:rsidRPr="00BF340E">
        <w:rPr>
          <w:i/>
          <w:iCs/>
          <w:color w:val="000000" w:themeColor="text1"/>
        </w:rPr>
        <w:t>See also</w:t>
      </w:r>
      <w:r w:rsidRPr="00BF340E">
        <w:rPr>
          <w:color w:val="000000" w:themeColor="text1"/>
        </w:rPr>
        <w:t xml:space="preserve">, </w:t>
      </w:r>
      <w:r w:rsidRPr="00BF340E">
        <w:rPr>
          <w:i/>
          <w:iCs/>
        </w:rPr>
        <w:t>Petition of Faurecia Clarion Electronics North America regarding 47 CFR § 15.255</w:t>
      </w:r>
      <w:r w:rsidRPr="00BF340E">
        <w:t xml:space="preserve">, </w:t>
      </w:r>
      <w:r>
        <w:t xml:space="preserve">Order, </w:t>
      </w:r>
      <w:r w:rsidRPr="00BF340E">
        <w:t>DA 21-811 (</w:t>
      </w:r>
      <w:r>
        <w:t xml:space="preserve">OET Jul. 9, </w:t>
      </w:r>
      <w:r w:rsidRPr="00BF340E">
        <w:t xml:space="preserve">2021); </w:t>
      </w:r>
      <w:r w:rsidRPr="0005604C">
        <w:rPr>
          <w:i/>
          <w:iCs/>
        </w:rPr>
        <w:t>Request by Texas Instruments Incorporated for Waiver of 47 CFR § 15.255(c)(3)</w:t>
      </w:r>
      <w:r w:rsidRPr="00BF340E">
        <w:t xml:space="preserve">, </w:t>
      </w:r>
      <w:r>
        <w:t xml:space="preserve">Order, </w:t>
      </w:r>
      <w:r w:rsidRPr="00BF340E">
        <w:t>DA 21-812 (</w:t>
      </w:r>
      <w:r>
        <w:t xml:space="preserve">OET Jul. 9, </w:t>
      </w:r>
      <w:r w:rsidRPr="00BF340E">
        <w:t xml:space="preserve">2021); </w:t>
      </w:r>
      <w:r w:rsidRPr="0005604C">
        <w:rPr>
          <w:i/>
          <w:iCs/>
        </w:rPr>
        <w:t>Request by Amazon.com Services LLC for Waiver of 47 CFR § 15.255(c)(3)</w:t>
      </w:r>
      <w:r w:rsidRPr="00BF340E">
        <w:t xml:space="preserve">, </w:t>
      </w:r>
      <w:r>
        <w:t xml:space="preserve">Order, </w:t>
      </w:r>
      <w:r w:rsidRPr="00BF340E">
        <w:t>DA 21-813 (</w:t>
      </w:r>
      <w:r>
        <w:t xml:space="preserve">OET Jul. 9, </w:t>
      </w:r>
      <w:r w:rsidRPr="00BF340E">
        <w:t xml:space="preserve">2021); </w:t>
      </w:r>
      <w:r w:rsidRPr="0005604C">
        <w:rPr>
          <w:i/>
          <w:iCs/>
        </w:rPr>
        <w:t>Request by Acconeer AB for Waiver of 47 CFR § 15.255(c)(3) rules</w:t>
      </w:r>
      <w:r w:rsidRPr="00BF340E">
        <w:t xml:space="preserve">, </w:t>
      </w:r>
      <w:r>
        <w:t xml:space="preserve">Order, </w:t>
      </w:r>
      <w:r w:rsidRPr="00BF340E">
        <w:t>DA 21-814 (</w:t>
      </w:r>
      <w:r>
        <w:t xml:space="preserve">OET Jul. 9, </w:t>
      </w:r>
      <w:r w:rsidRPr="00BF340E">
        <w:t xml:space="preserve">2021); </w:t>
      </w:r>
      <w:r w:rsidRPr="0005604C">
        <w:rPr>
          <w:i/>
          <w:iCs/>
        </w:rPr>
        <w:t>Request by Vayyar Imaging Ltd. for Waiver of 47 CFR § 15.255 rules</w:t>
      </w:r>
      <w:r w:rsidRPr="00BF340E">
        <w:t xml:space="preserve">, </w:t>
      </w:r>
      <w:r>
        <w:t xml:space="preserve">Order, </w:t>
      </w:r>
      <w:r w:rsidRPr="00BF340E">
        <w:t>DA 21-815 (</w:t>
      </w:r>
      <w:r>
        <w:t xml:space="preserve">OET Jul. 9, </w:t>
      </w:r>
      <w:r w:rsidRPr="00BF340E">
        <w:t xml:space="preserve">2021); </w:t>
      </w:r>
      <w:r w:rsidRPr="0005604C">
        <w:rPr>
          <w:i/>
          <w:iCs/>
        </w:rPr>
        <w:t>Request by Huyndai Mobis Co., Ltd. for Waiver of 47 CFR §§ 15.255(a)(2) &amp; (c)(3)</w:t>
      </w:r>
      <w:r w:rsidRPr="00BF340E">
        <w:t xml:space="preserve">, </w:t>
      </w:r>
      <w:r>
        <w:t xml:space="preserve">Order, </w:t>
      </w:r>
      <w:r w:rsidRPr="00BF340E">
        <w:t>DA 21-816 (</w:t>
      </w:r>
      <w:r>
        <w:t xml:space="preserve">OET Jul. 9, </w:t>
      </w:r>
      <w:r w:rsidRPr="00BF340E">
        <w:t>2021).</w:t>
      </w:r>
    </w:p>
  </w:footnote>
  <w:footnote w:id="21">
    <w:p w:rsidR="00DA6217" w:rsidP="00DA6217" w14:paraId="39C86A22" w14:textId="77777777">
      <w:pPr>
        <w:pStyle w:val="FootnoteText"/>
      </w:pPr>
      <w:r>
        <w:rPr>
          <w:rStyle w:val="FootnoteReference"/>
        </w:rPr>
        <w:footnoteRef/>
      </w:r>
      <w:r>
        <w:t xml:space="preserve"> </w:t>
      </w:r>
      <w:r w:rsidRPr="00242D14">
        <w:rPr>
          <w:i/>
        </w:rPr>
        <w:t>FCC Permits Hot-Car Sensors to Save Children</w:t>
      </w:r>
      <w:r>
        <w:t xml:space="preserve">, Press Release (April 14, 2021) </w:t>
      </w:r>
      <w:r w:rsidRPr="00635C42">
        <w:t>https://www.fcc.gov/document/fcc-permits-hot-car-sensors-save-children</w:t>
      </w:r>
      <w:r w:rsidRPr="00205A0A">
        <w:t>.</w:t>
      </w:r>
    </w:p>
  </w:footnote>
  <w:footnote w:id="22">
    <w:p w:rsidR="00DA6217" w:rsidP="00DA6217" w14:paraId="589C69B3" w14:textId="5CE162F7">
      <w:pPr>
        <w:pStyle w:val="FootnoteText"/>
      </w:pPr>
      <w:r>
        <w:rPr>
          <w:rStyle w:val="FootnoteReference"/>
        </w:rPr>
        <w:footnoteRef/>
      </w:r>
      <w:r>
        <w:t xml:space="preserve"> </w:t>
      </w:r>
      <w:r w:rsidRPr="005C737F">
        <w:rPr>
          <w:i/>
        </w:rPr>
        <w:t>In the Matter of Leica Geosystems AG Request for Waiver of Section 15.255 of the Commission's Rules Applicable to Radars used on Unmanned Aerial Vehicles in the 60-64 GHz Frequency Band</w:t>
      </w:r>
      <w:r w:rsidRPr="005C737F">
        <w:t xml:space="preserve">, ET Docket No. 19-350, DA 20-795, Order, </w:t>
      </w:r>
      <w:r w:rsidR="00DE1CCA">
        <w:t xml:space="preserve">35 </w:t>
      </w:r>
      <w:r w:rsidRPr="005C737F">
        <w:t xml:space="preserve">FCC </w:t>
      </w:r>
      <w:r w:rsidRPr="005C737F">
        <w:t>Rcd 7929 (</w:t>
      </w:r>
      <w:r w:rsidR="00917CA4">
        <w:t xml:space="preserve">OET </w:t>
      </w:r>
      <w:r w:rsidRPr="005C737F">
        <w:t>2020</w:t>
      </w:r>
      <w:r w:rsidRPr="005C737F" w:rsidR="6AD549E2">
        <w:t xml:space="preserve">) </w:t>
      </w:r>
      <w:r w:rsidRPr="6AD549E2" w:rsidR="6AD549E2">
        <w:t>(</w:t>
      </w:r>
      <w:r w:rsidRPr="6AD549E2" w:rsidR="6AD549E2">
        <w:rPr>
          <w:i/>
          <w:iCs/>
        </w:rPr>
        <w:t>Leica Waiver Order</w:t>
      </w:r>
      <w:r w:rsidRPr="005C737F">
        <w:t>)</w:t>
      </w:r>
      <w:r>
        <w:t>.</w:t>
      </w:r>
    </w:p>
  </w:footnote>
  <w:footnote w:id="23">
    <w:p w:rsidR="00FB20A5" w:rsidP="00FB20A5" w14:paraId="2F09E1D3" w14:textId="77777777">
      <w:pPr>
        <w:pStyle w:val="FootnoteText"/>
      </w:pPr>
      <w:r>
        <w:rPr>
          <w:rStyle w:val="FootnoteReference"/>
        </w:rPr>
        <w:footnoteRef/>
      </w:r>
      <w:r>
        <w:t xml:space="preserve"> </w:t>
      </w:r>
      <w:r w:rsidRPr="006E7D80">
        <w:rPr>
          <w:color w:val="000000"/>
        </w:rPr>
        <w:t>47 CFR § 15.255</w:t>
      </w:r>
      <w:r>
        <w:rPr>
          <w:color w:val="000000"/>
        </w:rPr>
        <w:t>(a)(2).</w:t>
      </w:r>
    </w:p>
  </w:footnote>
  <w:footnote w:id="24">
    <w:p w:rsidR="00FB20A5" w:rsidP="00FB20A5" w14:paraId="292922E9" w14:textId="77777777">
      <w:pPr>
        <w:pStyle w:val="FootnoteText"/>
      </w:pPr>
      <w:r>
        <w:rPr>
          <w:rStyle w:val="FootnoteReference"/>
        </w:rPr>
        <w:footnoteRef/>
      </w:r>
      <w:r>
        <w:t xml:space="preserve"> </w:t>
      </w:r>
      <w:r w:rsidRPr="006E7D80">
        <w:rPr>
          <w:color w:val="000000"/>
        </w:rPr>
        <w:t>47 CFR § 15.255(c)(</w:t>
      </w:r>
      <w:r>
        <w:rPr>
          <w:color w:val="000000"/>
        </w:rPr>
        <w:t>2), (c)(</w:t>
      </w:r>
      <w:r w:rsidRPr="006E7D80">
        <w:rPr>
          <w:color w:val="000000"/>
        </w:rPr>
        <w:t>3)</w:t>
      </w:r>
      <w:r>
        <w:rPr>
          <w:color w:val="000000"/>
        </w:rPr>
        <w:t>, respectively</w:t>
      </w:r>
      <w:r w:rsidRPr="006E7D80">
        <w:rPr>
          <w:color w:val="000000"/>
        </w:rPr>
        <w:t>.</w:t>
      </w:r>
    </w:p>
  </w:footnote>
  <w:footnote w:id="25">
    <w:p w:rsidR="00155EF6" w:rsidP="00155EF6" w14:paraId="45D6B039" w14:textId="76761797">
      <w:pPr>
        <w:pStyle w:val="FootnoteText"/>
      </w:pPr>
      <w:r>
        <w:rPr>
          <w:rStyle w:val="FootnoteReference"/>
        </w:rPr>
        <w:footnoteRef/>
      </w:r>
      <w:r>
        <w:t xml:space="preserve"> This refers to entertainment systems that deliver movies and music to </w:t>
      </w:r>
      <w:bookmarkStart w:id="46" w:name="_Int_gIipcEav"/>
      <w:r>
        <w:t>passengers</w:t>
      </w:r>
      <w:bookmarkEnd w:id="46"/>
      <w:r>
        <w:t xml:space="preserve"> on-board commercial aircraft. 47 CFR § 15.255(b).</w:t>
      </w:r>
      <w:r w:rsidR="00E15792">
        <w:t xml:space="preserve">  </w:t>
      </w:r>
      <w:r w:rsidRPr="25F2152B" w:rsidR="00E15792">
        <w:rPr>
          <w:color w:val="000000" w:themeColor="text1"/>
        </w:rPr>
        <w:t>The rule</w:t>
      </w:r>
      <w:r w:rsidR="00E15792">
        <w:rPr>
          <w:color w:val="000000" w:themeColor="text1"/>
        </w:rPr>
        <w:t>,</w:t>
      </w:r>
      <w:r w:rsidRPr="25F2152B" w:rsidR="00E15792">
        <w:rPr>
          <w:color w:val="000000" w:themeColor="text1"/>
        </w:rPr>
        <w:t xml:space="preserve"> </w:t>
      </w:r>
      <w:r w:rsidR="00E15792">
        <w:rPr>
          <w:color w:val="000000" w:themeColor="text1"/>
        </w:rPr>
        <w:t xml:space="preserve">which </w:t>
      </w:r>
      <w:r w:rsidRPr="25F2152B" w:rsidR="00E15792">
        <w:rPr>
          <w:color w:val="000000" w:themeColor="text1"/>
        </w:rPr>
        <w:t xml:space="preserve">specifically prohibits operation of </w:t>
      </w:r>
      <w:r w:rsidR="00E15792">
        <w:t>60 GHz</w:t>
      </w:r>
      <w:r w:rsidRPr="25F2152B" w:rsidR="00E15792">
        <w:rPr>
          <w:color w:val="000000" w:themeColor="text1"/>
        </w:rPr>
        <w:t xml:space="preserve"> transmitters on-board </w:t>
      </w:r>
      <w:r w:rsidR="00E15792">
        <w:rPr>
          <w:color w:val="000000" w:themeColor="text1"/>
        </w:rPr>
        <w:t>unmanned aircraft (</w:t>
      </w:r>
      <w:r w:rsidRPr="25F2152B" w:rsidR="00E15792">
        <w:rPr>
          <w:color w:val="000000" w:themeColor="text1"/>
        </w:rPr>
        <w:t>UA</w:t>
      </w:r>
      <w:r w:rsidR="00E15792">
        <w:rPr>
          <w:color w:val="000000" w:themeColor="text1"/>
        </w:rPr>
        <w:t>)</w:t>
      </w:r>
      <w:r w:rsidRPr="25F2152B" w:rsidR="00E15792">
        <w:rPr>
          <w:color w:val="000000" w:themeColor="text1"/>
        </w:rPr>
        <w:t xml:space="preserve"> because these types of aircraft do not provide substantial RF shielding</w:t>
      </w:r>
      <w:r w:rsidR="00B03728">
        <w:rPr>
          <w:color w:val="000000" w:themeColor="text1"/>
        </w:rPr>
        <w:t>,</w:t>
      </w:r>
      <w:r w:rsidRPr="25F2152B" w:rsidR="00E15792">
        <w:rPr>
          <w:color w:val="000000" w:themeColor="text1"/>
        </w:rPr>
        <w:t xml:space="preserve"> serves to protect EESS </w:t>
      </w:r>
      <w:r w:rsidR="00E15792">
        <w:rPr>
          <w:color w:val="000000" w:themeColor="text1"/>
        </w:rPr>
        <w:t>passive sensors</w:t>
      </w:r>
      <w:r w:rsidRPr="25F2152B" w:rsidR="00E15792">
        <w:rPr>
          <w:color w:val="000000" w:themeColor="text1"/>
        </w:rPr>
        <w:t xml:space="preserve"> as well as Radio Astronomy Service (RAS) operations</w:t>
      </w:r>
      <w:r w:rsidR="00B03728">
        <w:rPr>
          <w:color w:val="000000" w:themeColor="text1"/>
        </w:rPr>
        <w:t xml:space="preserve">.  </w:t>
      </w:r>
      <w:r w:rsidRPr="007A6CDA" w:rsidR="00B03728">
        <w:rPr>
          <w:i/>
        </w:rPr>
        <w:t>See</w:t>
      </w:r>
      <w:r w:rsidRPr="008A1339" w:rsidR="00B03728">
        <w:rPr>
          <w:i/>
          <w:snapToGrid w:val="0"/>
          <w:kern w:val="28"/>
          <w:sz w:val="22"/>
        </w:rPr>
        <w:t xml:space="preserve"> </w:t>
      </w:r>
      <w:r w:rsidRPr="00545460" w:rsidR="00B03728">
        <w:rPr>
          <w:i/>
        </w:rPr>
        <w:t>Amendment of Parts 2, 15, and 97 of the Commission's Rules to Permit Use of Frequencies Above 40 GHz for New Radio Applications</w:t>
      </w:r>
      <w:r w:rsidRPr="007A3D66" w:rsidR="00B03728">
        <w:rPr>
          <w:iCs/>
        </w:rPr>
        <w:t>,</w:t>
      </w:r>
      <w:r w:rsidRPr="008A1339" w:rsidR="00B03728">
        <w:rPr>
          <w:i/>
        </w:rPr>
        <w:t xml:space="preserve"> </w:t>
      </w:r>
      <w:r w:rsidR="00B03728">
        <w:rPr>
          <w:iCs/>
        </w:rPr>
        <w:t>ET Docket No. 94</w:t>
      </w:r>
      <w:r w:rsidR="00B03728">
        <w:rPr>
          <w:iCs/>
        </w:rPr>
        <w:noBreakHyphen/>
        <w:t xml:space="preserve">124, FCC 95-499, </w:t>
      </w:r>
      <w:r w:rsidRPr="007A3D66" w:rsidR="00B03728">
        <w:rPr>
          <w:iCs/>
        </w:rPr>
        <w:t>First Report and Order and Second</w:t>
      </w:r>
      <w:r w:rsidR="00B03728">
        <w:rPr>
          <w:iCs/>
        </w:rPr>
        <w:t xml:space="preserve"> </w:t>
      </w:r>
      <w:r w:rsidR="00B03728">
        <w:t>Notice of Proposed Rule Making</w:t>
      </w:r>
      <w:r w:rsidRPr="007A6CDA" w:rsidR="00B03728">
        <w:t xml:space="preserve">, 11 FCC </w:t>
      </w:r>
      <w:r w:rsidRPr="007A6CDA" w:rsidR="00B03728">
        <w:t xml:space="preserve">Rcd </w:t>
      </w:r>
      <w:r w:rsidR="00B03728">
        <w:t xml:space="preserve">4481, </w:t>
      </w:r>
      <w:r w:rsidRPr="007A6CDA" w:rsidR="00B03728">
        <w:t>4496</w:t>
      </w:r>
      <w:r w:rsidRPr="007A6CDA" w:rsidR="00B03728">
        <w:noBreakHyphen/>
        <w:t>97</w:t>
      </w:r>
      <w:r w:rsidR="00B03728">
        <w:t>,</w:t>
      </w:r>
      <w:r w:rsidRPr="007A6CDA" w:rsidR="00B03728">
        <w:t xml:space="preserve"> </w:t>
      </w:r>
      <w:r w:rsidR="00B03728">
        <w:t>para.</w:t>
      </w:r>
      <w:r w:rsidRPr="007A6CDA" w:rsidR="00B03728">
        <w:t xml:space="preserve"> 35</w:t>
      </w:r>
      <w:r w:rsidR="00B03728">
        <w:t xml:space="preserve"> (1995)</w:t>
      </w:r>
      <w:r w:rsidRPr="007A6CDA" w:rsidR="00B03728">
        <w:t>.</w:t>
      </w:r>
    </w:p>
  </w:footnote>
  <w:footnote w:id="26">
    <w:p w:rsidR="001F1407" w14:paraId="741A7B00" w14:textId="3C1B2FC3">
      <w:pPr>
        <w:pStyle w:val="FootnoteText"/>
      </w:pPr>
      <w:r>
        <w:rPr>
          <w:rStyle w:val="FootnoteReference"/>
        </w:rPr>
        <w:footnoteRef/>
      </w:r>
      <w:r>
        <w:t xml:space="preserve"> </w:t>
      </w:r>
      <w:r w:rsidRPr="00A752F0">
        <w:rPr>
          <w:i/>
          <w:iCs/>
        </w:rPr>
        <w:t>NPRM</w:t>
      </w:r>
      <w:r w:rsidR="6B0BC10B">
        <w:t xml:space="preserve">, 36 FCC </w:t>
      </w:r>
      <w:r w:rsidR="6B0BC10B">
        <w:t>Rcd</w:t>
      </w:r>
      <w:r>
        <w:t xml:space="preserve"> at </w:t>
      </w:r>
      <w:r w:rsidR="6B0BC10B">
        <w:t>11909</w:t>
      </w:r>
      <w:r w:rsidR="0052218C">
        <w:t>,</w:t>
      </w:r>
      <w:r w:rsidR="6B0BC10B">
        <w:t xml:space="preserve"> </w:t>
      </w:r>
      <w:r>
        <w:t>para. 19</w:t>
      </w:r>
      <w:r w:rsidR="1FA6E7B0">
        <w:t>.</w:t>
      </w:r>
    </w:p>
  </w:footnote>
  <w:footnote w:id="27">
    <w:p w:rsidR="00986217" w:rsidP="00986217" w14:paraId="2A7F0AC5" w14:textId="6674D30E">
      <w:pPr>
        <w:pStyle w:val="FootnoteText"/>
      </w:pPr>
      <w:r>
        <w:rPr>
          <w:rStyle w:val="FootnoteReference"/>
        </w:rPr>
        <w:footnoteRef/>
      </w:r>
      <w:r>
        <w:t xml:space="preserve"> </w:t>
      </w:r>
      <w:r w:rsidRPr="00A50E17">
        <w:rPr>
          <w:i/>
        </w:rPr>
        <w:t>NPRM</w:t>
      </w:r>
      <w:r w:rsidR="447B19D6">
        <w:t xml:space="preserve">, 36 FCC </w:t>
      </w:r>
      <w:r w:rsidR="447B19D6">
        <w:t>Rcd at 11901, para. 2.</w:t>
      </w:r>
    </w:p>
  </w:footnote>
  <w:footnote w:id="28">
    <w:p w:rsidR="001A20AB" w:rsidP="001A20AB" w14:paraId="71024AC3" w14:textId="276EC98A">
      <w:pPr>
        <w:pStyle w:val="FootnoteText"/>
      </w:pPr>
      <w:r>
        <w:rPr>
          <w:rStyle w:val="FootnoteReference"/>
        </w:rPr>
        <w:footnoteRef/>
      </w:r>
      <w:r>
        <w:t xml:space="preserve"> </w:t>
      </w:r>
      <w:r w:rsidRPr="00A752F0" w:rsidR="00F43D67">
        <w:rPr>
          <w:iCs/>
        </w:rPr>
        <w:t xml:space="preserve">Example </w:t>
      </w:r>
      <w:r w:rsidR="00677647">
        <w:rPr>
          <w:iCs/>
        </w:rPr>
        <w:t xml:space="preserve">of such devices </w:t>
      </w:r>
      <w:r w:rsidR="00BD550F">
        <w:rPr>
          <w:iCs/>
        </w:rPr>
        <w:t>can be found at</w:t>
      </w:r>
      <w:r w:rsidR="00F43D67">
        <w:t xml:space="preserve"> </w:t>
      </w:r>
      <w:r w:rsidR="00667D79">
        <w:rPr>
          <w:iCs/>
        </w:rPr>
        <w:t xml:space="preserve">manufacturers’ </w:t>
      </w:r>
      <w:r w:rsidR="008B06D6">
        <w:rPr>
          <w:iCs/>
        </w:rPr>
        <w:t xml:space="preserve">websites </w:t>
      </w:r>
      <w:r w:rsidR="006841FD">
        <w:rPr>
          <w:iCs/>
        </w:rPr>
        <w:t>such as</w:t>
      </w:r>
      <w:r w:rsidR="00F43D67">
        <w:rPr>
          <w:i/>
        </w:rPr>
        <w:t xml:space="preserve"> </w:t>
      </w:r>
      <w:hyperlink r:id="rId3" w:history="1">
        <w:r w:rsidRPr="00667D79" w:rsidR="00667D79">
          <w:rPr>
            <w:rStyle w:val="Hyperlink"/>
          </w:rPr>
          <w:t>http://www.airlinx.com</w:t>
        </w:r>
      </w:hyperlink>
      <w:r w:rsidR="00613AF7">
        <w:t xml:space="preserve"> and</w:t>
      </w:r>
      <w:r w:rsidRPr="00C65B70">
        <w:t xml:space="preserve"> </w:t>
      </w:r>
      <w:hyperlink r:id="rId4" w:history="1">
        <w:r w:rsidRPr="00F63EBC">
          <w:rPr>
            <w:color w:val="0000FF"/>
            <w:u w:val="single"/>
          </w:rPr>
          <w:t>https://www.ignitenet.com/technology/metrolinq/</w:t>
        </w:r>
      </w:hyperlink>
      <w:r w:rsidRPr="00C65B70">
        <w:t xml:space="preserve">. </w:t>
      </w:r>
    </w:p>
  </w:footnote>
  <w:footnote w:id="29">
    <w:p w:rsidR="00343935" w:rsidRPr="00F13E1B" w:rsidP="009A5562" w14:paraId="3D2170D9" w14:textId="60368374">
      <w:pPr>
        <w:pStyle w:val="FootnoteText"/>
        <w:rPr>
          <w:color w:val="000000"/>
        </w:rPr>
      </w:pPr>
      <w:r>
        <w:rPr>
          <w:rStyle w:val="FootnoteReference"/>
        </w:rPr>
        <w:footnoteRef/>
      </w:r>
      <w:r>
        <w:t xml:space="preserve"> </w:t>
      </w:r>
      <w:r w:rsidRPr="00612B22" w:rsidR="00612B22">
        <w:rPr>
          <w:i/>
          <w:iCs/>
        </w:rPr>
        <w:t>NPRM</w:t>
      </w:r>
      <w:r w:rsidR="00612B22">
        <w:t xml:space="preserve">, 36 </w:t>
      </w:r>
      <w:r w:rsidR="00537C36">
        <w:t xml:space="preserve">FCC </w:t>
      </w:r>
      <w:r w:rsidR="00537C36">
        <w:t>Rcd at</w:t>
      </w:r>
      <w:r w:rsidR="00097757">
        <w:t xml:space="preserve"> 11905</w:t>
      </w:r>
      <w:r w:rsidR="00F4233A">
        <w:t xml:space="preserve">, para. 10. </w:t>
      </w:r>
      <w:r w:rsidR="00612B22">
        <w:t xml:space="preserve"> </w:t>
      </w:r>
      <w:r>
        <w:t>The European Telecommunications Standards Institute (ETSI) describes s</w:t>
      </w:r>
      <w:r w:rsidRPr="00DA43FA">
        <w:t>hort</w:t>
      </w:r>
      <w:r>
        <w:t>-r</w:t>
      </w:r>
      <w:r w:rsidRPr="00DA43FA">
        <w:t xml:space="preserve">ange </w:t>
      </w:r>
      <w:r>
        <w:t>d</w:t>
      </w:r>
      <w:r w:rsidRPr="00DA43FA">
        <w:t xml:space="preserve">evices (SRD) </w:t>
      </w:r>
      <w:r>
        <w:t xml:space="preserve">as </w:t>
      </w:r>
      <w:r w:rsidRPr="00DA43FA">
        <w:t xml:space="preserve">radio </w:t>
      </w:r>
      <w:r>
        <w:t>transmitters</w:t>
      </w:r>
      <w:r w:rsidRPr="00DA43FA">
        <w:t xml:space="preserve"> that offer a low risk of interference with other radio services, usually because their transmitted power, and hence their range, is low. </w:t>
      </w:r>
      <w:r>
        <w:t xml:space="preserve"> </w:t>
      </w:r>
      <w:r w:rsidRPr="00DA43FA">
        <w:t>Th</w:t>
      </w:r>
      <w:r>
        <w:t>is</w:t>
      </w:r>
      <w:r w:rsidRPr="00DA43FA">
        <w:t xml:space="preserve"> definition </w:t>
      </w:r>
      <w:r>
        <w:t>“</w:t>
      </w:r>
      <w:r w:rsidRPr="00DA43FA">
        <w:t>Short Range Device</w:t>
      </w:r>
      <w:r>
        <w:t>”</w:t>
      </w:r>
      <w:r w:rsidRPr="00DA43FA">
        <w:t xml:space="preserve"> </w:t>
      </w:r>
      <w:r>
        <w:t>can encompass</w:t>
      </w:r>
      <w:r w:rsidRPr="00DA43FA">
        <w:t xml:space="preserve"> many different types of wireless equipment, </w:t>
      </w:r>
      <w:r>
        <w:t xml:space="preserve">including but not limited to </w:t>
      </w:r>
      <w:r w:rsidRPr="00896438">
        <w:t>d</w:t>
      </w:r>
      <w:r w:rsidRPr="00DA43FA">
        <w:t xml:space="preserve">oor and </w:t>
      </w:r>
      <w:r w:rsidRPr="00896438">
        <w:t>g</w:t>
      </w:r>
      <w:r w:rsidRPr="00DA43FA">
        <w:t>ate openers</w:t>
      </w:r>
      <w:r w:rsidRPr="00896438">
        <w:t>, a</w:t>
      </w:r>
      <w:r w:rsidRPr="00DA43FA">
        <w:t xml:space="preserve">larms and </w:t>
      </w:r>
      <w:r w:rsidRPr="00896438">
        <w:t>m</w:t>
      </w:r>
      <w:r w:rsidRPr="00DA43FA">
        <w:t>ovement detectors</w:t>
      </w:r>
      <w:r w:rsidRPr="00896438">
        <w:t>, m</w:t>
      </w:r>
      <w:r w:rsidRPr="00DA43FA">
        <w:t xml:space="preserve">edical </w:t>
      </w:r>
      <w:r w:rsidRPr="00896438">
        <w:t>i</w:t>
      </w:r>
      <w:r w:rsidRPr="00DA43FA">
        <w:t>mplants</w:t>
      </w:r>
      <w:r w:rsidR="00F45167">
        <w:t xml:space="preserve"> and</w:t>
      </w:r>
      <w:r w:rsidRPr="00896438">
        <w:t xml:space="preserve"> r</w:t>
      </w:r>
      <w:r w:rsidRPr="00DA43FA">
        <w:t xml:space="preserve">emote </w:t>
      </w:r>
      <w:r w:rsidRPr="00896438">
        <w:t>c</w:t>
      </w:r>
      <w:r w:rsidRPr="00DA43FA">
        <w:t>ontrol</w:t>
      </w:r>
      <w:r w:rsidRPr="00896438">
        <w:t xml:space="preserve"> devices.  </w:t>
      </w:r>
      <w:r w:rsidRPr="3468BD4B">
        <w:rPr>
          <w:i/>
          <w:iCs/>
        </w:rPr>
        <w:t>See</w:t>
      </w:r>
      <w:r w:rsidRPr="00896438">
        <w:t xml:space="preserve"> </w:t>
      </w:r>
      <w:hyperlink r:id="rId5" w:anchor=":~:text=Standards-,Introduction,hence%20their%20range%2C%20is%20low" w:history="1">
        <w:r w:rsidRPr="00CC40B3">
          <w:rPr>
            <w:rStyle w:val="Hyperlink"/>
          </w:rPr>
          <w:t>https://www.etsi.org/technologies/short-range-devices#:~:text=Standards-,Introduction,hence%20their%20range%2C%20is%20low</w:t>
        </w:r>
      </w:hyperlink>
      <w:r w:rsidRPr="00CE3B47">
        <w:t xml:space="preserve">.  ETSI regulations for SRD operating in the 57-64 GHz band are found in </w:t>
      </w:r>
      <w:r w:rsidRPr="008C3D8B">
        <w:t xml:space="preserve">ETSI EN 305 550-1 </w:t>
      </w:r>
      <w:r w:rsidRPr="00694C5B">
        <w:t>V1.2.1 (2014-10</w:t>
      </w:r>
      <w:r>
        <w:t xml:space="preserve">), Clause 7.2.2, </w:t>
      </w:r>
      <w:hyperlink r:id="rId6" w:history="1">
        <w:r w:rsidRPr="00E602F0">
          <w:rPr>
            <w:rStyle w:val="Hyperlink"/>
          </w:rPr>
          <w:t>https://www.etsi.org/deliver/etsi_en/305500_305599/30555001/01.02.01_60/en_30555001v010201p.pdf</w:t>
        </w:r>
      </w:hyperlink>
      <w:r>
        <w:t xml:space="preserve">; 47 CFR § 15.255(c)(3).  ETSI released an updated draft version of this standard in 2017 which has the same EIRP and PSD limits in the 57-64 GHz band as the 2014 version.  </w:t>
      </w:r>
      <w:r>
        <w:rPr>
          <w:i/>
          <w:iCs/>
        </w:rPr>
        <w:t>See</w:t>
      </w:r>
      <w:r>
        <w:t xml:space="preserve"> ETSI EN 305 550 </w:t>
      </w:r>
      <w:r w:rsidRPr="007B4E61">
        <w:t>V2.1.0 (2017-10)</w:t>
      </w:r>
      <w:r>
        <w:t xml:space="preserve">, Clauses 4.3.3.3 and 4.3.4.3, </w:t>
      </w:r>
      <w:hyperlink r:id="rId7" w:history="1">
        <w:r w:rsidRPr="00AD5310">
          <w:rPr>
            <w:rStyle w:val="Hyperlink"/>
          </w:rPr>
          <w:t>https://www.etsi.org/deliver/etsi_en/305500_305599/305550/02.01.00_20/en_305550v020100a.pdf</w:t>
        </w:r>
      </w:hyperlink>
      <w:r>
        <w:rPr>
          <w:rStyle w:val="Hyperlink"/>
        </w:rPr>
        <w:t xml:space="preserve">.  </w:t>
      </w:r>
    </w:p>
  </w:footnote>
  <w:footnote w:id="30">
    <w:p w:rsidR="000A59D9" w14:paraId="7801681E" w14:textId="47D9B5F3">
      <w:pPr>
        <w:pStyle w:val="FootnoteText"/>
      </w:pPr>
      <w:r>
        <w:rPr>
          <w:rStyle w:val="FootnoteReference"/>
        </w:rPr>
        <w:footnoteRef/>
      </w:r>
      <w:r>
        <w:t xml:space="preserve"> </w:t>
      </w:r>
      <w:r w:rsidRPr="00A50E17" w:rsidR="00554C36">
        <w:rPr>
          <w:i/>
        </w:rPr>
        <w:t>NPRM</w:t>
      </w:r>
      <w:r w:rsidRPr="32774A03" w:rsidR="32774A03">
        <w:t xml:space="preserve">, 36 FCC </w:t>
      </w:r>
      <w:r w:rsidRPr="32774A03" w:rsidR="32774A03">
        <w:t>Rcd</w:t>
      </w:r>
      <w:r w:rsidR="00554C36">
        <w:t xml:space="preserve"> at </w:t>
      </w:r>
      <w:r w:rsidR="3EB4B009">
        <w:t xml:space="preserve">11915, </w:t>
      </w:r>
      <w:r w:rsidR="00554C36">
        <w:t>para. 33</w:t>
      </w:r>
      <w:r w:rsidR="3EB4B009">
        <w:t>.</w:t>
      </w:r>
    </w:p>
  </w:footnote>
  <w:footnote w:id="31">
    <w:p w:rsidR="0046706E" w:rsidRPr="00DD787E" w14:paraId="78CCFF01" w14:textId="265DEE8E">
      <w:pPr>
        <w:pStyle w:val="FootnoteText"/>
      </w:pPr>
      <w:r>
        <w:rPr>
          <w:rStyle w:val="FootnoteReference"/>
        </w:rPr>
        <w:footnoteRef/>
      </w:r>
      <w:r>
        <w:t xml:space="preserve"> </w:t>
      </w:r>
      <w:r w:rsidR="00354ACE">
        <w:rPr>
          <w:i/>
          <w:iCs/>
        </w:rPr>
        <w:t xml:space="preserve">See </w:t>
      </w:r>
      <w:r w:rsidRPr="0064364D" w:rsidR="00354ACE">
        <w:rPr>
          <w:i/>
          <w:iCs/>
        </w:rPr>
        <w:t>e.g</w:t>
      </w:r>
      <w:r w:rsidR="00354ACE">
        <w:t xml:space="preserve">., </w:t>
      </w:r>
      <w:r w:rsidR="00A705A7">
        <w:t xml:space="preserve">Robert Bosch LLC </w:t>
      </w:r>
      <w:r w:rsidR="00A705A7">
        <w:rPr>
          <w:i/>
          <w:iCs/>
        </w:rPr>
        <w:t xml:space="preserve">ex </w:t>
      </w:r>
      <w:r w:rsidR="00A705A7">
        <w:rPr>
          <w:i/>
          <w:iCs/>
        </w:rPr>
        <w:t>parte</w:t>
      </w:r>
      <w:r w:rsidR="00A705A7">
        <w:t xml:space="preserve"> (filed Jan. 30, 2023); </w:t>
      </w:r>
      <w:r w:rsidR="008A1BE4">
        <w:t xml:space="preserve">Joint </w:t>
      </w:r>
      <w:r w:rsidR="008A1BE4">
        <w:rPr>
          <w:i/>
          <w:iCs/>
        </w:rPr>
        <w:t>ex</w:t>
      </w:r>
      <w:r w:rsidR="00DD787E">
        <w:rPr>
          <w:i/>
          <w:iCs/>
        </w:rPr>
        <w:t xml:space="preserve"> parte</w:t>
      </w:r>
      <w:r w:rsidR="00DD787E">
        <w:t xml:space="preserve"> from Acconeer</w:t>
      </w:r>
      <w:r w:rsidR="00A204C9">
        <w:t xml:space="preserve"> AB</w:t>
      </w:r>
      <w:r w:rsidR="00DD787E">
        <w:t>, Intel Corporation</w:t>
      </w:r>
      <w:r w:rsidR="009F74D6">
        <w:t>, Meta Platforms Inc.</w:t>
      </w:r>
      <w:r w:rsidR="00644364">
        <w:t>,</w:t>
      </w:r>
      <w:r w:rsidR="009F74D6">
        <w:t xml:space="preserve"> </w:t>
      </w:r>
      <w:r w:rsidR="00644364">
        <w:t>and</w:t>
      </w:r>
      <w:r w:rsidR="009F74D6">
        <w:t xml:space="preserve"> Qualcomm Incorporat</w:t>
      </w:r>
      <w:r w:rsidR="0064364D">
        <w:t xml:space="preserve">ed (filed </w:t>
      </w:r>
      <w:r w:rsidR="002E5A78">
        <w:t>Nov. 10, 2022)</w:t>
      </w:r>
      <w:r w:rsidR="0064364D">
        <w:t>.</w:t>
      </w:r>
    </w:p>
  </w:footnote>
  <w:footnote w:id="32">
    <w:p w:rsidR="00985443" w:rsidRPr="008A5BF2" w14:paraId="28DD4F60" w14:textId="0FBFBAB7">
      <w:pPr>
        <w:pStyle w:val="FootnoteText"/>
      </w:pPr>
      <w:r>
        <w:rPr>
          <w:rStyle w:val="FootnoteReference"/>
        </w:rPr>
        <w:footnoteRef/>
      </w:r>
      <w:r>
        <w:t xml:space="preserve"> </w:t>
      </w:r>
      <w:r w:rsidR="00D0397F">
        <w:t xml:space="preserve">Joint </w:t>
      </w:r>
      <w:r w:rsidR="00E7374C">
        <w:rPr>
          <w:i/>
          <w:iCs/>
        </w:rPr>
        <w:t xml:space="preserve">ex </w:t>
      </w:r>
      <w:r w:rsidR="00E7374C">
        <w:rPr>
          <w:i/>
          <w:iCs/>
        </w:rPr>
        <w:t xml:space="preserve">parte </w:t>
      </w:r>
      <w:r w:rsidR="0040349B">
        <w:t>from radar proponents (represented by Amazon.com Services LLC, Continental Corporation, Garmin International, Inc., Google LLC, IEE Sensing Inc., Infineon Technologies Americas Corp., Texas Instruments Incorporated</w:t>
      </w:r>
      <w:r w:rsidR="00644364">
        <w:t>,</w:t>
      </w:r>
      <w:r w:rsidR="0040349B">
        <w:t xml:space="preserve"> </w:t>
      </w:r>
      <w:r w:rsidR="00644364">
        <w:t>and</w:t>
      </w:r>
      <w:r w:rsidR="0040349B">
        <w:t xml:space="preserve"> Vayyar Imaging Ltd.) and communications proponents (represented by Intel Corporation, Meta Platforms Inc.</w:t>
      </w:r>
      <w:r w:rsidR="00644364">
        <w:t>,</w:t>
      </w:r>
      <w:r w:rsidR="0040349B">
        <w:t xml:space="preserve"> </w:t>
      </w:r>
      <w:r w:rsidR="00644364">
        <w:t>and</w:t>
      </w:r>
      <w:r w:rsidR="0040349B">
        <w:t xml:space="preserve"> Qualcomm Incorporated)</w:t>
      </w:r>
      <w:r w:rsidR="00DB4A76">
        <w:t xml:space="preserve"> </w:t>
      </w:r>
      <w:r w:rsidR="008A5BF2">
        <w:t>(filed Feb</w:t>
      </w:r>
      <w:r w:rsidR="002E5A78">
        <w:t>.</w:t>
      </w:r>
      <w:r w:rsidR="008A5BF2">
        <w:t xml:space="preserve"> 27, 2023)</w:t>
      </w:r>
      <w:r w:rsidR="00C9453F">
        <w:t xml:space="preserve"> (</w:t>
      </w:r>
      <w:r w:rsidR="00335DB3">
        <w:t>Industry Consensus Agreement</w:t>
      </w:r>
      <w:r w:rsidR="00F167C3">
        <w:t>).</w:t>
      </w:r>
    </w:p>
  </w:footnote>
  <w:footnote w:id="33">
    <w:p w:rsidR="00352090" w:rsidRPr="00D14B7D" w:rsidP="00352090" w14:paraId="596837D0" w14:textId="053E8EAC">
      <w:pPr>
        <w:pStyle w:val="FootnoteText"/>
      </w:pPr>
      <w:r>
        <w:rPr>
          <w:rStyle w:val="FootnoteReference"/>
        </w:rPr>
        <w:footnoteRef/>
      </w:r>
      <w:r>
        <w:t xml:space="preserve"> Joint </w:t>
      </w:r>
      <w:r>
        <w:rPr>
          <w:i/>
          <w:iCs/>
        </w:rPr>
        <w:t xml:space="preserve">ex </w:t>
      </w:r>
      <w:r>
        <w:rPr>
          <w:i/>
          <w:iCs/>
        </w:rPr>
        <w:t>parte</w:t>
      </w:r>
      <w:r>
        <w:t xml:space="preserve"> from Acconeer, Intel, Meta Platforms</w:t>
      </w:r>
      <w:r w:rsidR="00644364">
        <w:t>,</w:t>
      </w:r>
      <w:r>
        <w:t xml:space="preserve"> and Qualcomm (filed Nov. 10, 2022) (Pulse Radar Joint Agreement).</w:t>
      </w:r>
    </w:p>
  </w:footnote>
  <w:footnote w:id="34">
    <w:p w:rsidR="009A3874" w14:paraId="7B0ED883" w14:textId="235A6261">
      <w:pPr>
        <w:pStyle w:val="FootnoteText"/>
      </w:pPr>
      <w:r>
        <w:rPr>
          <w:rStyle w:val="FootnoteReference"/>
        </w:rPr>
        <w:footnoteRef/>
      </w:r>
      <w:r>
        <w:t xml:space="preserve"> </w:t>
      </w:r>
      <w:r w:rsidRPr="00CE2F61">
        <w:rPr>
          <w:i/>
          <w:iCs/>
        </w:rPr>
        <w:t>Duty cycle</w:t>
      </w:r>
      <w:r>
        <w:t xml:space="preserve"> is defined as </w:t>
      </w:r>
      <w:r w:rsidRPr="006A5D67">
        <w:t>the ratio of the t</w:t>
      </w:r>
      <w:r>
        <w:t>ime</w:t>
      </w:r>
      <w:r w:rsidRPr="006A5D67">
        <w:t xml:space="preserve">-on time of a </w:t>
      </w:r>
      <w:r>
        <w:t>transmitter</w:t>
      </w:r>
      <w:r w:rsidRPr="006A5D67">
        <w:t xml:space="preserve"> to the sum of the t</w:t>
      </w:r>
      <w:r>
        <w:t>ime</w:t>
      </w:r>
      <w:r w:rsidRPr="006A5D67">
        <w:t>-on and t</w:t>
      </w:r>
      <w:r>
        <w:t>ime</w:t>
      </w:r>
      <w:r w:rsidRPr="006A5D67">
        <w:t>-off times; T</w:t>
      </w:r>
      <w:r>
        <w:t>ime</w:t>
      </w:r>
      <w:r w:rsidRPr="006A5D67">
        <w:t>-on / (T</w:t>
      </w:r>
      <w:r>
        <w:t>ime</w:t>
      </w:r>
      <w:r w:rsidRPr="006A5D67">
        <w:t>-on + T</w:t>
      </w:r>
      <w:r>
        <w:t>ime</w:t>
      </w:r>
      <w:r w:rsidRPr="006A5D67">
        <w:t>-off)</w:t>
      </w:r>
      <w:r>
        <w:t>.</w:t>
      </w:r>
      <w:r w:rsidR="00E0195D">
        <w:t xml:space="preserve">  </w:t>
      </w:r>
      <w:r w:rsidRPr="00484171" w:rsidR="00E0195D">
        <w:rPr>
          <w:i/>
          <w:iCs/>
        </w:rPr>
        <w:t>See</w:t>
      </w:r>
      <w:r w:rsidR="00E0195D">
        <w:rPr>
          <w:i/>
          <w:iCs/>
        </w:rPr>
        <w:t xml:space="preserve"> </w:t>
      </w:r>
      <w:r w:rsidRPr="00705038" w:rsidR="00E0195D">
        <w:rPr>
          <w:i/>
          <w:iCs/>
          <w:color w:val="000000"/>
        </w:rPr>
        <w:t>Book/Definitions Electrical Engineering Dictionary</w:t>
      </w:r>
      <w:r w:rsidR="00E0195D">
        <w:rPr>
          <w:i/>
          <w:iCs/>
          <w:color w:val="000000"/>
        </w:rPr>
        <w:t>,</w:t>
      </w:r>
      <w:r w:rsidRPr="00F2392C" w:rsidR="00E0195D">
        <w:rPr>
          <w:color w:val="000000"/>
        </w:rPr>
        <w:t xml:space="preserve"> Ed. Phillip A. </w:t>
      </w:r>
      <w:r w:rsidRPr="00F2392C" w:rsidR="00E0195D">
        <w:rPr>
          <w:color w:val="000000"/>
        </w:rPr>
        <w:t>Laplante Boca Raton: CRC Press LLC</w:t>
      </w:r>
      <w:r w:rsidR="00E0195D">
        <w:rPr>
          <w:color w:val="000000"/>
        </w:rPr>
        <w:t xml:space="preserve"> (2000).</w:t>
      </w:r>
    </w:p>
  </w:footnote>
  <w:footnote w:id="35">
    <w:p w:rsidR="00343935" w:rsidP="00F13E1B" w14:paraId="539FF3F4" w14:textId="496ABD32">
      <w:pPr>
        <w:pStyle w:val="FootnoteText"/>
      </w:pPr>
      <w:r>
        <w:rPr>
          <w:rStyle w:val="FootnoteReference"/>
        </w:rPr>
        <w:footnoteRef/>
      </w:r>
      <w:r w:rsidR="68E62851">
        <w:t xml:space="preserve"> 47 CFR </w:t>
      </w:r>
      <w:r w:rsidRPr="0068065B" w:rsidR="68E62851">
        <w:t>§</w:t>
      </w:r>
      <w:r w:rsidR="68E62851">
        <w:t xml:space="preserve"> 15.3(l) defines a field disturbance sensor as “a</w:t>
      </w:r>
      <w:r w:rsidRPr="00803DB4" w:rsidR="68E62851">
        <w:rPr>
          <w:color w:val="000000"/>
        </w:rPr>
        <w:t xml:space="preserve"> device that establishes a radio frequency field in its vicinity and detects changes in that field resulting from the movement of persons or objects within its range.</w:t>
      </w:r>
      <w:r w:rsidR="68E62851">
        <w:rPr>
          <w:color w:val="000000"/>
        </w:rPr>
        <w:t xml:space="preserve">”  </w:t>
      </w:r>
      <w:r w:rsidR="68E62851">
        <w:t xml:space="preserve">The part 15 definition for FDS sensors was adopted in 1971, in </w:t>
      </w:r>
      <w:r w:rsidRPr="68E62851" w:rsidR="68E62851">
        <w:rPr>
          <w:i/>
          <w:iCs/>
        </w:rPr>
        <w:t>Amendment of Part 15 of the Commission's Rules to Add Regulations Governing the Use of Field Disturbance Sensors (Formerly Designated as Radio Frequency Operated Intruder Alarms)</w:t>
      </w:r>
      <w:r w:rsidR="68E62851">
        <w:t xml:space="preserve">, Docket No. 13863, FCC 71873, Report and Order, </w:t>
      </w:r>
      <w:r w:rsidRPr="00A50793" w:rsidR="68E62851">
        <w:t>3</w:t>
      </w:r>
      <w:r w:rsidR="68E62851">
        <w:t>1</w:t>
      </w:r>
      <w:r w:rsidRPr="00A50793" w:rsidR="68E62851">
        <w:t xml:space="preserve"> FCC </w:t>
      </w:r>
      <w:r w:rsidR="68E62851">
        <w:t>2</w:t>
      </w:r>
      <w:r w:rsidRPr="00772C24" w:rsidR="68E62851">
        <w:rPr>
          <w:vertAlign w:val="superscript"/>
        </w:rPr>
        <w:t>nd</w:t>
      </w:r>
      <w:r w:rsidR="68E62851">
        <w:t xml:space="preserve"> 210</w:t>
      </w:r>
      <w:r w:rsidRPr="00A50793" w:rsidR="68E62851">
        <w:t xml:space="preserve"> </w:t>
      </w:r>
      <w:r w:rsidR="68E62851">
        <w:t>(1971).  The Commission did express that it “</w:t>
      </w:r>
      <w:r w:rsidRPr="00F427A4" w:rsidR="68E62851">
        <w:t>will interpose no objection to the operation of speed measuring equipment (or other radiolocation</w:t>
      </w:r>
      <w:r w:rsidR="68E62851">
        <w:t xml:space="preserve"> </w:t>
      </w:r>
      <w:r w:rsidRPr="00F427A4" w:rsidR="68E62851">
        <w:t>devices) under the regulations for field disturbance sensors…”</w:t>
      </w:r>
      <w:r w:rsidR="68E62851">
        <w:t xml:space="preserve"> while discussing radars in this context.  </w:t>
      </w:r>
      <w:r w:rsidRPr="68E62851" w:rsidR="68E62851">
        <w:rPr>
          <w:i/>
          <w:iCs/>
        </w:rPr>
        <w:t>Id</w:t>
      </w:r>
      <w:r w:rsidR="68E62851">
        <w:t xml:space="preserve">., at para. 21.  In 1995, the Commission adopted the rules prohibiting FDS, specifically mobile FDS in 47 CFR </w:t>
      </w:r>
      <w:r w:rsidRPr="007A6CDA" w:rsidR="68E62851">
        <w:t>§</w:t>
      </w:r>
      <w:r w:rsidR="68E62851">
        <w:t xml:space="preserve"> 15.255 in </w:t>
      </w:r>
      <w:r w:rsidRPr="68E62851" w:rsidR="68E62851">
        <w:rPr>
          <w:i/>
          <w:iCs/>
        </w:rPr>
        <w:t>Amendment of Parts 2, 15 and 97 of the Commission's Rules to Permit Use of Radio Frequencies Above 40 GHz for New Radio Applications</w:t>
      </w:r>
      <w:r w:rsidR="68E62851">
        <w:t xml:space="preserve">, ET Docket No. 94-124, FCC 95-499, First Report and Order, 11 FCC </w:t>
      </w:r>
      <w:r w:rsidR="68E62851">
        <w:t xml:space="preserve">Rcd. 4481, 4496 (1995); in 2002, the Commission adopted rules for UWB radars in 47 CFR </w:t>
      </w:r>
      <w:r w:rsidRPr="007A6CDA" w:rsidR="68E62851">
        <w:t>§§</w:t>
      </w:r>
      <w:r w:rsidR="68E62851">
        <w:t xml:space="preserve"> 15.503, 15.515, specifically defining radars as FDS in </w:t>
      </w:r>
      <w:r w:rsidRPr="68E62851" w:rsidR="68E62851">
        <w:rPr>
          <w:i/>
          <w:iCs/>
        </w:rPr>
        <w:t>Revision of Part 15 of the Commission’s Rules Regarding Ultra-Wideband Transmission Systems</w:t>
      </w:r>
      <w:r w:rsidR="68E62851">
        <w:t xml:space="preserve">, ET Docket No. 98153, FCC 02-48, First Report and Order, </w:t>
      </w:r>
      <w:r w:rsidRPr="00297C0A" w:rsidR="68E62851">
        <w:rPr>
          <w:color w:val="1D2B3E"/>
        </w:rPr>
        <w:t xml:space="preserve">17 </w:t>
      </w:r>
      <w:r w:rsidRPr="00E30D3F" w:rsidR="68E62851">
        <w:t>FCC Rcd 7435</w:t>
      </w:r>
      <w:r w:rsidR="68E62851">
        <w:t xml:space="preserve"> (2002); in 2003, the Commission adopted rules for vehicular radars in 47 CFR </w:t>
      </w:r>
      <w:r w:rsidRPr="007A6CDA" w:rsidR="68E62851">
        <w:t>§</w:t>
      </w:r>
      <w:r w:rsidR="68E62851">
        <w:t xml:space="preserve"> 15.252, specifically labeling vehicular radars as FDS in </w:t>
      </w:r>
      <w:r w:rsidRPr="68E62851" w:rsidR="68E62851">
        <w:rPr>
          <w:i/>
          <w:iCs/>
        </w:rPr>
        <w:t>Revision of Part 15 of the Commission’s Rules Regarding Ultra-Wideband Transmission Systems</w:t>
      </w:r>
      <w:r w:rsidR="68E62851">
        <w:t>, ET Docket No. 98-153, FCC 04-285, Second Report and Order, 19 FCC Rcd 24558 (2003).</w:t>
      </w:r>
    </w:p>
  </w:footnote>
  <w:footnote w:id="36">
    <w:p w:rsidR="00343935" w:rsidP="00F13E1B" w14:paraId="3A5EA6FE" w14:textId="4E75E84F">
      <w:pPr>
        <w:pStyle w:val="FootnoteText"/>
      </w:pPr>
      <w:r>
        <w:rPr>
          <w:rStyle w:val="FootnoteReference"/>
        </w:rPr>
        <w:footnoteRef/>
      </w:r>
      <w:r>
        <w:t xml:space="preserve"> 47 CFR </w:t>
      </w:r>
      <w:r w:rsidRPr="0068065B">
        <w:t>§</w:t>
      </w:r>
      <w:r>
        <w:t xml:space="preserve"> 2.1 defines a radar as “a</w:t>
      </w:r>
      <w:r w:rsidRPr="00803DB4">
        <w:rPr>
          <w:color w:val="000000"/>
        </w:rPr>
        <w:t xml:space="preserve"> radiodetermination system based on the comparison of reference signals with radio signals reflected, or retransmitted, from the position to be determined</w:t>
      </w:r>
      <w:r>
        <w:rPr>
          <w:color w:val="000000"/>
        </w:rPr>
        <w:t>”.  This radar definition is taken from the International Telecommunication Union (ITU) Radio Regulations (RR).</w:t>
      </w:r>
    </w:p>
  </w:footnote>
  <w:footnote w:id="37">
    <w:p w:rsidR="006709B8" w14:paraId="5C5A1BFD" w14:textId="4C4CA881">
      <w:pPr>
        <w:pStyle w:val="FootnoteText"/>
      </w:pPr>
      <w:r>
        <w:rPr>
          <w:rStyle w:val="FootnoteReference"/>
        </w:rPr>
        <w:footnoteRef/>
      </w:r>
      <w:r>
        <w:t xml:space="preserve"> </w:t>
      </w:r>
      <w:r w:rsidR="00927EFC">
        <w:rPr>
          <w:i/>
          <w:iCs/>
        </w:rPr>
        <w:t>NPRM</w:t>
      </w:r>
      <w:r w:rsidR="00927EFC">
        <w:t xml:space="preserve">, </w:t>
      </w:r>
      <w:r w:rsidR="00927EFC">
        <w:rPr>
          <w:iCs/>
        </w:rPr>
        <w:t xml:space="preserve">36 FCC </w:t>
      </w:r>
      <w:r w:rsidR="00927EFC">
        <w:rPr>
          <w:iCs/>
        </w:rPr>
        <w:t xml:space="preserve">Rcd </w:t>
      </w:r>
      <w:r w:rsidRPr="6AD549E2" w:rsidR="6AD549E2">
        <w:t xml:space="preserve">at </w:t>
      </w:r>
      <w:r w:rsidR="00927EFC">
        <w:rPr>
          <w:iCs/>
        </w:rPr>
        <w:t>119</w:t>
      </w:r>
      <w:r w:rsidR="00E443D2">
        <w:rPr>
          <w:iCs/>
        </w:rPr>
        <w:t>08</w:t>
      </w:r>
      <w:r w:rsidR="00927EFC">
        <w:rPr>
          <w:iCs/>
        </w:rPr>
        <w:t xml:space="preserve">, para. </w:t>
      </w:r>
      <w:r w:rsidR="00E443D2">
        <w:rPr>
          <w:iCs/>
        </w:rPr>
        <w:t>17</w:t>
      </w:r>
      <w:r w:rsidR="00927EFC">
        <w:rPr>
          <w:iCs/>
        </w:rPr>
        <w:t>.</w:t>
      </w:r>
    </w:p>
  </w:footnote>
  <w:footnote w:id="38">
    <w:p w:rsidR="00061166" w:rsidP="00061166" w14:paraId="5E306116" w14:textId="77777777">
      <w:pPr>
        <w:pStyle w:val="FootnoteText"/>
      </w:pPr>
      <w:r>
        <w:rPr>
          <w:rStyle w:val="FootnoteReference"/>
        </w:rPr>
        <w:footnoteRef/>
      </w:r>
      <w:r>
        <w:t xml:space="preserve"> 47 CFR §§ 15.3(l) and 2.1.</w:t>
      </w:r>
    </w:p>
  </w:footnote>
  <w:footnote w:id="39">
    <w:p w:rsidR="0045140D" w:rsidP="0045140D" w14:paraId="43891056" w14:textId="6C0932D6">
      <w:pPr>
        <w:pStyle w:val="FootnoteText"/>
      </w:pPr>
      <w:r>
        <w:rPr>
          <w:rStyle w:val="FootnoteReference"/>
        </w:rPr>
        <w:footnoteRef/>
      </w:r>
      <w:r w:rsidR="68E62851">
        <w:t xml:space="preserve"> TI Comments at 5; IEE Sensing Comments at 3.</w:t>
      </w:r>
    </w:p>
  </w:footnote>
  <w:footnote w:id="40">
    <w:p w:rsidR="00446FD7" w:rsidP="00446FD7" w14:paraId="1D8B33E4" w14:textId="37F01BCD">
      <w:pPr>
        <w:pStyle w:val="FootnoteText"/>
      </w:pPr>
      <w:r>
        <w:rPr>
          <w:rStyle w:val="FootnoteReference"/>
        </w:rPr>
        <w:footnoteRef/>
      </w:r>
      <w:r w:rsidR="68E62851">
        <w:t xml:space="preserve"> The general definitions in part 2 of our rules provide no guidance.  Section 2.1 defines “Fixed Service” as “</w:t>
      </w:r>
      <w:r w:rsidRPr="00F13E1B" w:rsidR="68E62851">
        <w:rPr>
          <w:color w:val="000000"/>
        </w:rPr>
        <w:t>A radiocommunication service between specified fixed points,” which is not relevant to FDS operations.</w:t>
      </w:r>
    </w:p>
  </w:footnote>
  <w:footnote w:id="41">
    <w:p w:rsidR="00446FD7" w:rsidP="00446FD7" w14:paraId="783E0261" w14:textId="77777777">
      <w:pPr>
        <w:pStyle w:val="FootnoteText"/>
      </w:pPr>
      <w:r>
        <w:rPr>
          <w:rStyle w:val="FootnoteReference"/>
        </w:rPr>
        <w:footnoteRef/>
      </w:r>
      <w:r>
        <w:t xml:space="preserve"> </w:t>
      </w:r>
      <w:r w:rsidRPr="007A6CDA">
        <w:rPr>
          <w:i/>
        </w:rPr>
        <w:t xml:space="preserve">See </w:t>
      </w:r>
      <w:r w:rsidRPr="00545460">
        <w:rPr>
          <w:i/>
        </w:rPr>
        <w:t>Revision of Part 15 of the Commission’s Rules Regarding Operation in the 57-64 GHz Band</w:t>
      </w:r>
      <w:r w:rsidRPr="007A6CDA">
        <w:t xml:space="preserve">, </w:t>
      </w:r>
      <w:r w:rsidRPr="00545460">
        <w:t>Third Report and Order</w:t>
      </w:r>
      <w:r w:rsidRPr="007A6CDA">
        <w:t xml:space="preserve">, 13 FCC </w:t>
      </w:r>
      <w:r w:rsidRPr="007A6CDA">
        <w:t>Rcd 15074 (1998)</w:t>
      </w:r>
      <w:r>
        <w:t>.  The current rule’s provision allowing the FDS</w:t>
      </w:r>
      <w:r>
        <w:rPr>
          <w:color w:val="000000"/>
          <w:szCs w:val="22"/>
        </w:rPr>
        <w:t xml:space="preserve"> move within the fixed equipment would support, for example a piece of large-scale industrial machinery located on a factory floor.  </w:t>
      </w:r>
      <w:r>
        <w:rPr>
          <w:i/>
          <w:iCs/>
          <w:color w:val="000000"/>
          <w:szCs w:val="22"/>
        </w:rPr>
        <w:t xml:space="preserve">See </w:t>
      </w:r>
      <w:r>
        <w:t xml:space="preserve">47 CFR </w:t>
      </w:r>
      <w:r w:rsidRPr="00F13E1B">
        <w:rPr>
          <w:color w:val="000000"/>
        </w:rPr>
        <w:t>§ 15.</w:t>
      </w:r>
      <w:r>
        <w:t>255(a)(2).</w:t>
      </w:r>
    </w:p>
  </w:footnote>
  <w:footnote w:id="42">
    <w:p w:rsidR="00446FD7" w:rsidP="00446FD7" w14:paraId="7DEE3401" w14:textId="724B4170">
      <w:pPr>
        <w:pStyle w:val="FootnoteText"/>
      </w:pPr>
      <w:r>
        <w:rPr>
          <w:rStyle w:val="FootnoteReference"/>
        </w:rPr>
        <w:footnoteRef/>
      </w:r>
      <w:r>
        <w:t xml:space="preserve"> </w:t>
      </w:r>
      <w:r>
        <w:rPr>
          <w:i/>
          <w:iCs/>
        </w:rPr>
        <w:t>NPRM</w:t>
      </w:r>
      <w:r>
        <w:t xml:space="preserve">, </w:t>
      </w:r>
      <w:r>
        <w:rPr>
          <w:iCs/>
        </w:rPr>
        <w:t xml:space="preserve">36 FCC </w:t>
      </w:r>
      <w:r>
        <w:rPr>
          <w:iCs/>
        </w:rPr>
        <w:t xml:space="preserve">Rcd </w:t>
      </w:r>
      <w:r w:rsidRPr="6AD549E2" w:rsidR="6AD549E2">
        <w:t xml:space="preserve">at </w:t>
      </w:r>
      <w:r>
        <w:rPr>
          <w:iCs/>
        </w:rPr>
        <w:t>1197-18, para. 37</w:t>
      </w:r>
      <w:r w:rsidR="00FE76C6">
        <w:rPr>
          <w:iCs/>
        </w:rPr>
        <w:t xml:space="preserve"> (</w:t>
      </w:r>
      <w:r w:rsidR="00FE76C6">
        <w:t xml:space="preserve">proposing to retain </w:t>
      </w:r>
      <w:r w:rsidRPr="00FC3029" w:rsidR="00FE76C6">
        <w:t xml:space="preserve">Section 15.255(c)(2) </w:t>
      </w:r>
      <w:r w:rsidR="00FE76C6">
        <w:t>but also seeking comment on whether this provision should be expanded to apply to both fixed and mobile FDS applications).</w:t>
      </w:r>
    </w:p>
  </w:footnote>
  <w:footnote w:id="43">
    <w:p w:rsidR="00C252DC" w:rsidP="00C252DC" w14:paraId="2DAB01CA" w14:textId="05E35461">
      <w:pPr>
        <w:pStyle w:val="FootnoteText"/>
      </w:pPr>
      <w:r>
        <w:rPr>
          <w:rStyle w:val="FootnoteReference"/>
        </w:rPr>
        <w:footnoteRef/>
      </w:r>
      <w:r w:rsidR="68E62851">
        <w:t xml:space="preserve"> Amazon Comments at 11; </w:t>
      </w:r>
      <w:r w:rsidRPr="68E62851" w:rsidR="68E62851">
        <w:rPr>
          <w:i/>
          <w:iCs/>
        </w:rPr>
        <w:t>See also, e.g.</w:t>
      </w:r>
      <w:r w:rsidR="68E62851">
        <w:t>, Auto Innovators Comments at 5; TI Reply Comments at 3.</w:t>
      </w:r>
    </w:p>
  </w:footnote>
  <w:footnote w:id="44">
    <w:p w:rsidR="00040D1F" w:rsidP="00040D1F" w14:paraId="7D831A4A" w14:textId="7D28BBEA">
      <w:pPr>
        <w:pStyle w:val="FootnoteText"/>
      </w:pPr>
      <w:r>
        <w:rPr>
          <w:rStyle w:val="FootnoteReference"/>
        </w:rPr>
        <w:footnoteRef/>
      </w:r>
      <w:r w:rsidR="68E62851">
        <w:t xml:space="preserve"> </w:t>
      </w:r>
      <w:r w:rsidR="68E62851">
        <w:t>Vayyar Comments at 6-7.</w:t>
      </w:r>
    </w:p>
  </w:footnote>
  <w:footnote w:id="45">
    <w:p w:rsidR="00C252DC" w:rsidP="00C252DC" w14:paraId="3A8F1AC2" w14:textId="1EBE066E">
      <w:pPr>
        <w:pStyle w:val="FootnoteText"/>
      </w:pPr>
      <w:r>
        <w:rPr>
          <w:rStyle w:val="FootnoteReference"/>
        </w:rPr>
        <w:footnoteRef/>
      </w:r>
      <w:r w:rsidR="68E62851">
        <w:t xml:space="preserve"> Google Comments at 23-24.</w:t>
      </w:r>
    </w:p>
  </w:footnote>
  <w:footnote w:id="46">
    <w:p w:rsidR="00AF4873" w:rsidP="00AF4873" w14:paraId="61A36865" w14:textId="7B097EB4">
      <w:pPr>
        <w:pStyle w:val="FootnoteText"/>
      </w:pPr>
      <w:r>
        <w:rPr>
          <w:rStyle w:val="FootnoteReference"/>
        </w:rPr>
        <w:footnoteRef/>
      </w:r>
      <w:r w:rsidR="68E62851">
        <w:t xml:space="preserve"> Bosch Comments at 8.</w:t>
      </w:r>
    </w:p>
  </w:footnote>
  <w:footnote w:id="47">
    <w:p w:rsidR="00B84E73" w:rsidRPr="00770867" w:rsidP="00B84E73" w14:paraId="41CAA046" w14:textId="4AAAF68F">
      <w:pPr>
        <w:pStyle w:val="FootnoteText"/>
      </w:pPr>
      <w:r w:rsidRPr="00C2738D">
        <w:rPr>
          <w:rStyle w:val="FootnoteReference"/>
        </w:rPr>
        <w:footnoteRef/>
      </w:r>
      <w:r w:rsidRPr="00C2738D">
        <w:t xml:space="preserve"> As described </w:t>
      </w:r>
      <w:r w:rsidRPr="00C2738D">
        <w:rPr>
          <w:i/>
          <w:iCs/>
        </w:rPr>
        <w:t>infra</w:t>
      </w:r>
      <w:r w:rsidRPr="00C2738D">
        <w:t>, we provide an option for</w:t>
      </w:r>
      <w:r w:rsidRPr="00C2738D">
        <w:t xml:space="preserve"> </w:t>
      </w:r>
      <w:r w:rsidRPr="00C2738D">
        <w:t>use of the 57-64 GHz band under specified technical criteria, limited to fixed outdoor operations or vehicular applications</w:t>
      </w:r>
      <w:r w:rsidR="00D27E58">
        <w:t>.  We</w:t>
      </w:r>
      <w:r w:rsidRPr="00C2738D">
        <w:t xml:space="preserve"> believe that th</w:t>
      </w:r>
      <w:r>
        <w:t>e</w:t>
      </w:r>
      <w:r w:rsidRPr="00C2738D">
        <w:t xml:space="preserve"> use case</w:t>
      </w:r>
      <w:r>
        <w:t>s</w:t>
      </w:r>
      <w:r w:rsidRPr="00C2738D">
        <w:t xml:space="preserve"> </w:t>
      </w:r>
      <w:r>
        <w:t>are</w:t>
      </w:r>
      <w:r w:rsidRPr="00C2738D">
        <w:t xml:space="preserve"> sufficiently discrete and clear in </w:t>
      </w:r>
      <w:r>
        <w:t xml:space="preserve">their </w:t>
      </w:r>
      <w:r w:rsidRPr="00C2738D">
        <w:t xml:space="preserve">application that </w:t>
      </w:r>
      <w:r>
        <w:t>they</w:t>
      </w:r>
      <w:r w:rsidRPr="00C2738D">
        <w:t xml:space="preserve"> can be codified within Section 15.255(c)(2)(</w:t>
      </w:r>
      <w:r>
        <w:t>iii</w:t>
      </w:r>
      <w:r w:rsidRPr="00C2738D">
        <w:t>) without further de</w:t>
      </w:r>
      <w:r>
        <w:t>fining the difference between “mobile” and “fixed”.</w:t>
      </w:r>
    </w:p>
  </w:footnote>
  <w:footnote w:id="48">
    <w:p w:rsidR="002F72D1" w:rsidP="002F72D1" w14:paraId="186B4E63" w14:textId="77777777">
      <w:pPr>
        <w:pStyle w:val="FootnoteText"/>
      </w:pPr>
      <w:r>
        <w:rPr>
          <w:rStyle w:val="FootnoteReference"/>
        </w:rPr>
        <w:footnoteRef/>
      </w:r>
      <w:r>
        <w:t xml:space="preserve"> This band is also an Industrial, Scientific and Medical (ISM) frequency band.  47 CFR § 18.301.</w:t>
      </w:r>
    </w:p>
  </w:footnote>
  <w:footnote w:id="49">
    <w:p w:rsidR="002F72D1" w:rsidP="002F72D1" w14:paraId="67AAF7CA" w14:textId="77777777">
      <w:pPr>
        <w:pStyle w:val="FootnoteText"/>
      </w:pPr>
      <w:r>
        <w:rPr>
          <w:rStyle w:val="FootnoteReference"/>
        </w:rPr>
        <w:footnoteRef/>
      </w:r>
      <w:r>
        <w:t xml:space="preserve"> 47 CFR </w:t>
      </w:r>
      <w:r>
        <w:rPr>
          <w:color w:val="000000"/>
        </w:rPr>
        <w:t xml:space="preserve">§ 15.255(c)(2).  </w:t>
      </w:r>
      <w:r>
        <w:t xml:space="preserve">This special provision was added in 1997 in </w:t>
      </w:r>
      <w:r w:rsidRPr="004432E0">
        <w:rPr>
          <w:i/>
          <w:iCs/>
        </w:rPr>
        <w:t>Amendment of Parts 2, 15, and 97 of the Commission's Rules to Permit Use of Radio Frequencies Above 40 GHz for New Radio Applications</w:t>
      </w:r>
      <w:r w:rsidRPr="004432E0">
        <w:t xml:space="preserve">, ET Docket No. 94-124, FCC 87-267, Memorandum Opinion and Order and Fourth Notice of Proposed Rulemaking, </w:t>
      </w:r>
      <w:r w:rsidRPr="00A50E17">
        <w:t xml:space="preserve">12 FCC </w:t>
      </w:r>
      <w:r w:rsidRPr="00A50E17">
        <w:t>Rcd 12212 (1997).</w:t>
      </w:r>
    </w:p>
  </w:footnote>
  <w:footnote w:id="50">
    <w:p w:rsidR="00166D42" w:rsidP="00166D42" w14:paraId="6034E88B" w14:textId="5C431ADA">
      <w:pPr>
        <w:pStyle w:val="FootnoteText"/>
      </w:pPr>
      <w:r>
        <w:rPr>
          <w:rStyle w:val="FootnoteReference"/>
        </w:rPr>
        <w:footnoteRef/>
      </w:r>
      <w:r>
        <w:t xml:space="preserve"> Many of the waiver requests filed with the Commission for higher power operation in section 15.255 argued that their devices are SRIMS to avoid asking for waiver of the definitional scope in 47 CFR § 15.255(a)(2), which prohibits mobile radars that do not qualify as SRIMS.  </w:t>
      </w:r>
      <w:r w:rsidRPr="00DE5939">
        <w:rPr>
          <w:i/>
          <w:iCs/>
        </w:rPr>
        <w:t>See</w:t>
      </w:r>
      <w:r w:rsidRPr="7C3260CA">
        <w:rPr>
          <w:i/>
          <w:iCs/>
        </w:rPr>
        <w:t>,</w:t>
      </w:r>
      <w:r>
        <w:t xml:space="preserve"> </w:t>
      </w:r>
      <w:r w:rsidRPr="00085EEA">
        <w:rPr>
          <w:i/>
          <w:iCs/>
        </w:rPr>
        <w:t>e.g.</w:t>
      </w:r>
      <w:r>
        <w:t xml:space="preserve">, </w:t>
      </w:r>
      <w:r w:rsidRPr="00F13E1B">
        <w:rPr>
          <w:i/>
          <w:color w:val="000000"/>
        </w:rPr>
        <w:t>Valeo North America, Inc. Waiver Request</w:t>
      </w:r>
      <w:r w:rsidRPr="00F13E1B">
        <w:rPr>
          <w:color w:val="000000"/>
        </w:rPr>
        <w:t>, ET Docket No. 20-121 (filed Mar. 31, 2020).</w:t>
      </w:r>
      <w:r w:rsidR="002E4C39">
        <w:rPr>
          <w:color w:val="000000"/>
        </w:rPr>
        <w:t xml:space="preserve">  </w:t>
      </w:r>
      <w:r w:rsidR="00C1221D">
        <w:t xml:space="preserve">We note that while the </w:t>
      </w:r>
      <w:r w:rsidRPr="22D8BA30" w:rsidR="002E4C39">
        <w:t xml:space="preserve">waivers focused on in-vehicle radar applications, the rules adopted herein will </w:t>
      </w:r>
      <w:r w:rsidR="002E4C39">
        <w:t>enable various</w:t>
      </w:r>
      <w:r w:rsidRPr="22D8BA30" w:rsidR="002E4C39">
        <w:t xml:space="preserve"> radar applications</w:t>
      </w:r>
      <w:r w:rsidR="002E4C39">
        <w:t>,</w:t>
      </w:r>
      <w:r w:rsidRPr="22D8BA30" w:rsidR="002E4C39">
        <w:t xml:space="preserve"> </w:t>
      </w:r>
      <w:r w:rsidR="002E4C39">
        <w:t xml:space="preserve">including other vehicular applications, </w:t>
      </w:r>
      <w:r w:rsidRPr="22D8BA30" w:rsidR="002E4C39">
        <w:t xml:space="preserve">such as </w:t>
      </w:r>
      <w:r w:rsidR="002E4C39">
        <w:t xml:space="preserve">the </w:t>
      </w:r>
      <w:r w:rsidRPr="22D8BA30" w:rsidR="002E4C39">
        <w:t xml:space="preserve">Garmin’s bicycle radar intended to detect objects in the rear </w:t>
      </w:r>
      <w:r w:rsidR="002E4C39">
        <w:t xml:space="preserve">of the bicycle to </w:t>
      </w:r>
      <w:r w:rsidRPr="22D8BA30" w:rsidR="002E4C39">
        <w:t xml:space="preserve">improve bicyclist safety.  </w:t>
      </w:r>
      <w:r w:rsidRPr="22D8BA30" w:rsidR="002E4C39">
        <w:rPr>
          <w:i/>
          <w:iCs/>
        </w:rPr>
        <w:t xml:space="preserve">See </w:t>
      </w:r>
      <w:r w:rsidRPr="22D8BA30" w:rsidR="00A34668">
        <w:t xml:space="preserve">Garmin </w:t>
      </w:r>
      <w:r w:rsidR="00B54EEA">
        <w:rPr>
          <w:i/>
          <w:iCs/>
        </w:rPr>
        <w:t>e</w:t>
      </w:r>
      <w:r w:rsidRPr="22D8BA30" w:rsidR="00A34668">
        <w:rPr>
          <w:i/>
          <w:iCs/>
        </w:rPr>
        <w:t xml:space="preserve">x </w:t>
      </w:r>
      <w:r w:rsidR="00B54EEA">
        <w:rPr>
          <w:i/>
          <w:iCs/>
        </w:rPr>
        <w:t>p</w:t>
      </w:r>
      <w:r w:rsidRPr="22D8BA30" w:rsidR="00A34668">
        <w:rPr>
          <w:i/>
          <w:iCs/>
        </w:rPr>
        <w:t>arte</w:t>
      </w:r>
      <w:r w:rsidRPr="22D8BA30" w:rsidR="002E4C39">
        <w:t xml:space="preserve"> (filed Sept. 26, 2022).</w:t>
      </w:r>
    </w:p>
  </w:footnote>
  <w:footnote w:id="51">
    <w:p w:rsidR="004C6391" w:rsidP="004C6391" w14:paraId="016F5091" w14:textId="0E2B4030">
      <w:pPr>
        <w:pStyle w:val="FootnoteText"/>
      </w:pPr>
      <w:r>
        <w:rPr>
          <w:rStyle w:val="FootnoteReference"/>
        </w:rPr>
        <w:footnoteRef/>
      </w:r>
      <w:r w:rsidR="4A1C0502">
        <w:t xml:space="preserve"> </w:t>
      </w:r>
      <w:r w:rsidR="4A1C0502">
        <w:t>Vayyar Comments at 6, TI Comments at 5, Infineon Comments at 11, Google Comments at 10-12, Amazon Comments at 11.</w:t>
      </w:r>
    </w:p>
  </w:footnote>
  <w:footnote w:id="52">
    <w:p w:rsidR="008F712F" w14:paraId="35BF5F9C" w14:textId="3D8FBF09">
      <w:pPr>
        <w:pStyle w:val="FootnoteText"/>
      </w:pPr>
      <w:r>
        <w:rPr>
          <w:rStyle w:val="FootnoteReference"/>
        </w:rPr>
        <w:footnoteRef/>
      </w:r>
      <w:r w:rsidR="68E62851">
        <w:t xml:space="preserve"> </w:t>
      </w:r>
      <w:r w:rsidRPr="00877425" w:rsidR="68E62851">
        <w:rPr>
          <w:color w:val="202124"/>
          <w:lang w:val="en"/>
        </w:rPr>
        <w:t>Immersive technologies create distinct experiences by merging the physical world with a digital or simulated reality. </w:t>
      </w:r>
      <w:r w:rsidR="68E62851">
        <w:rPr>
          <w:color w:val="202124"/>
          <w:lang w:val="en"/>
        </w:rPr>
        <w:t xml:space="preserve"> </w:t>
      </w:r>
      <w:r w:rsidRPr="003E7385" w:rsidR="68E62851">
        <w:rPr>
          <w:shd w:val="clear" w:color="auto" w:fill="FFFFFF"/>
        </w:rPr>
        <w:t xml:space="preserve">This is achieved by either using the technologies of  </w:t>
      </w:r>
      <w:r w:rsidRPr="00E36C30" w:rsidR="68E62851">
        <w:rPr>
          <w:shd w:val="clear" w:color="auto" w:fill="FFFFFF"/>
        </w:rPr>
        <w:t>Head-Mounted Display (HMD)</w:t>
      </w:r>
      <w:r w:rsidRPr="003E7385" w:rsidR="68E62851">
        <w:rPr>
          <w:shd w:val="clear" w:color="auto" w:fill="FFFFFF"/>
        </w:rPr>
        <w:t> or multiple projections.</w:t>
      </w:r>
    </w:p>
  </w:footnote>
  <w:footnote w:id="53">
    <w:p w:rsidR="00510167" w14:paraId="149151B3" w14:textId="17494177">
      <w:pPr>
        <w:pStyle w:val="FootnoteText"/>
      </w:pPr>
      <w:r>
        <w:rPr>
          <w:rStyle w:val="FootnoteReference"/>
        </w:rPr>
        <w:footnoteRef/>
      </w:r>
      <w:r>
        <w:t xml:space="preserve"> </w:t>
      </w:r>
      <w:r w:rsidR="00A11B90">
        <w:t>Auto Innovators and Robert Bosch LLC</w:t>
      </w:r>
      <w:r w:rsidR="00CE57CC">
        <w:t xml:space="preserve"> are two</w:t>
      </w:r>
      <w:r w:rsidR="00A11B90">
        <w:t xml:space="preserve"> parties outside of the signatories to the Agreement </w:t>
      </w:r>
      <w:r w:rsidR="00DA3C6C">
        <w:t xml:space="preserve">that </w:t>
      </w:r>
      <w:r w:rsidR="00A11B90">
        <w:t>have expressed support for the Industry Consensus Agreement</w:t>
      </w:r>
      <w:r w:rsidR="00CE57CC">
        <w:t xml:space="preserve">.  Auto Innovators </w:t>
      </w:r>
      <w:r w:rsidR="00CE57CC">
        <w:rPr>
          <w:i/>
          <w:iCs/>
        </w:rPr>
        <w:t xml:space="preserve">ex </w:t>
      </w:r>
      <w:r w:rsidR="00CE57CC">
        <w:rPr>
          <w:i/>
          <w:iCs/>
        </w:rPr>
        <w:t>parte</w:t>
      </w:r>
      <w:r w:rsidR="00CE57CC">
        <w:t xml:space="preserve"> at 2 (filed Apr. 3, 2023)</w:t>
      </w:r>
      <w:r w:rsidR="00DA3C6C">
        <w:t>;</w:t>
      </w:r>
      <w:r w:rsidR="00CE57CC">
        <w:t xml:space="preserve"> Robert Bosch LLC </w:t>
      </w:r>
      <w:r w:rsidR="00CE57CC">
        <w:rPr>
          <w:i/>
          <w:iCs/>
        </w:rPr>
        <w:t>ex parte</w:t>
      </w:r>
      <w:r w:rsidR="00CE57CC">
        <w:t xml:space="preserve"> (filed Apr. 13, 2023).</w:t>
      </w:r>
    </w:p>
  </w:footnote>
  <w:footnote w:id="54">
    <w:p w:rsidR="0074305B" w14:paraId="5B22E984" w14:textId="017E2ECC">
      <w:pPr>
        <w:pStyle w:val="FootnoteText"/>
      </w:pPr>
      <w:r>
        <w:rPr>
          <w:rStyle w:val="FootnoteReference"/>
        </w:rPr>
        <w:footnoteRef/>
      </w:r>
      <w:r>
        <w:t xml:space="preserve"> S</w:t>
      </w:r>
      <w:r w:rsidRPr="0074305B">
        <w:t>pecifically, the sum of continuous transmitter off-times of at least two milliseconds (</w:t>
      </w:r>
      <w:r w:rsidRPr="0074305B">
        <w:t>ms) shall equal at least 16.5 ms within any contiguous interval of 33 ms</w:t>
      </w:r>
      <w:r>
        <w:t>.</w:t>
      </w:r>
    </w:p>
  </w:footnote>
  <w:footnote w:id="55">
    <w:p w:rsidR="0074305B" w14:paraId="400D57C7" w14:textId="2F895837">
      <w:pPr>
        <w:pStyle w:val="FootnoteText"/>
      </w:pPr>
      <w:r>
        <w:rPr>
          <w:rStyle w:val="FootnoteReference"/>
        </w:rPr>
        <w:footnoteRef/>
      </w:r>
      <w:r>
        <w:t xml:space="preserve"> </w:t>
      </w:r>
      <w:r w:rsidR="00D74803">
        <w:t>S</w:t>
      </w:r>
      <w:r w:rsidRPr="0074305B">
        <w:t xml:space="preserve">pecifically, the sum of continuous transmitter off-times of at least two </w:t>
      </w:r>
      <w:r w:rsidRPr="0074305B">
        <w:t>ms shall equal at least 25.5 ms within any contiguous interval of 33 ms</w:t>
      </w:r>
      <w:r w:rsidR="00D74803">
        <w:t>.</w:t>
      </w:r>
    </w:p>
  </w:footnote>
  <w:footnote w:id="56">
    <w:p w:rsidR="001F3312" w:rsidRPr="00A56D53" w14:paraId="4B931B59" w14:textId="024C4711">
      <w:pPr>
        <w:pStyle w:val="FootnoteText"/>
      </w:pPr>
      <w:r>
        <w:rPr>
          <w:rStyle w:val="FootnoteReference"/>
        </w:rPr>
        <w:footnoteRef/>
      </w:r>
      <w:r>
        <w:t xml:space="preserve"> </w:t>
      </w:r>
      <w:r w:rsidR="00812C4D">
        <w:t>In t</w:t>
      </w:r>
      <w:r w:rsidR="00D96B5C">
        <w:t>he Industry Consensus Agreement</w:t>
      </w:r>
      <w:r w:rsidR="00812C4D">
        <w:t xml:space="preserve">, the parties </w:t>
      </w:r>
      <w:r w:rsidR="009D118F">
        <w:t>described</w:t>
      </w:r>
      <w:r w:rsidR="00D96B5C">
        <w:t xml:space="preserve"> </w:t>
      </w:r>
      <w:r w:rsidR="00F258AE">
        <w:t>“</w:t>
      </w:r>
      <w:r w:rsidR="00FA1A70">
        <w:t>[f]</w:t>
      </w:r>
      <w:r w:rsidRPr="00D42331" w:rsidR="00CB477B">
        <w:t>ixed operation</w:t>
      </w:r>
      <w:r w:rsidR="00F258AE">
        <w:t>”</w:t>
      </w:r>
      <w:r w:rsidRPr="00D42331" w:rsidR="00CB477B">
        <w:t xml:space="preserve"> </w:t>
      </w:r>
      <w:r w:rsidR="00F258AE">
        <w:t>under</w:t>
      </w:r>
      <w:r w:rsidR="00E35318">
        <w:t xml:space="preserve"> this use case</w:t>
      </w:r>
      <w:r w:rsidRPr="00D42331" w:rsidR="00CB477B">
        <w:t xml:space="preserve"> </w:t>
      </w:r>
      <w:r w:rsidR="009D118F">
        <w:t xml:space="preserve">as </w:t>
      </w:r>
      <w:r w:rsidR="00F258AE">
        <w:t>appl</w:t>
      </w:r>
      <w:r w:rsidR="009D118F">
        <w:t>ying</w:t>
      </w:r>
      <w:r w:rsidR="00F258AE">
        <w:t xml:space="preserve"> to</w:t>
      </w:r>
      <w:r w:rsidRPr="00D42331" w:rsidR="00CB477B">
        <w:t xml:space="preserve"> temporarily or permanently fixed operations. Vehicular uses include operations where the device is installed within or on the exterior of a vehicle intended for outdoor use (such</w:t>
      </w:r>
      <w:r w:rsidRPr="00D42331" w:rsidR="00CB477B">
        <w:rPr>
          <w:spacing w:val="-2"/>
        </w:rPr>
        <w:t xml:space="preserve"> </w:t>
      </w:r>
      <w:r w:rsidRPr="00D42331" w:rsidR="00CB477B">
        <w:t>that</w:t>
      </w:r>
      <w:r w:rsidRPr="00D42331" w:rsidR="00CB477B">
        <w:rPr>
          <w:spacing w:val="-2"/>
        </w:rPr>
        <w:t xml:space="preserve"> </w:t>
      </w:r>
      <w:r w:rsidRPr="00D42331" w:rsidR="00CB477B">
        <w:t>any</w:t>
      </w:r>
      <w:r w:rsidRPr="00D42331" w:rsidR="00CB477B">
        <w:rPr>
          <w:spacing w:val="-2"/>
        </w:rPr>
        <w:t xml:space="preserve"> </w:t>
      </w:r>
      <w:r w:rsidRPr="00D42331" w:rsidR="00CB477B">
        <w:t>indoor</w:t>
      </w:r>
      <w:r w:rsidRPr="00D42331" w:rsidR="00CB477B">
        <w:rPr>
          <w:spacing w:val="-2"/>
        </w:rPr>
        <w:t xml:space="preserve"> </w:t>
      </w:r>
      <w:r w:rsidRPr="00D42331" w:rsidR="00CB477B">
        <w:t>use</w:t>
      </w:r>
      <w:r w:rsidRPr="00D42331" w:rsidR="00CB477B">
        <w:rPr>
          <w:spacing w:val="-2"/>
        </w:rPr>
        <w:t xml:space="preserve"> </w:t>
      </w:r>
      <w:r w:rsidRPr="00D42331" w:rsidR="00CB477B">
        <w:t>is</w:t>
      </w:r>
      <w:r w:rsidRPr="00D42331" w:rsidR="00CB477B">
        <w:rPr>
          <w:spacing w:val="-2"/>
        </w:rPr>
        <w:t xml:space="preserve"> </w:t>
      </w:r>
      <w:r w:rsidRPr="00D42331" w:rsidR="00CB477B">
        <w:t>incidental</w:t>
      </w:r>
      <w:r w:rsidRPr="00D42331" w:rsidR="00CB477B">
        <w:rPr>
          <w:spacing w:val="-2"/>
        </w:rPr>
        <w:t xml:space="preserve"> </w:t>
      </w:r>
      <w:r w:rsidRPr="00D42331" w:rsidR="00CB477B">
        <w:t>–</w:t>
      </w:r>
      <w:r w:rsidRPr="00D42331" w:rsidR="00CB477B">
        <w:rPr>
          <w:spacing w:val="-2"/>
        </w:rPr>
        <w:t xml:space="preserve"> </w:t>
      </w:r>
      <w:r w:rsidRPr="00D42331" w:rsidR="00CB477B">
        <w:t>for</w:t>
      </w:r>
      <w:r w:rsidRPr="00D42331" w:rsidR="00CB477B">
        <w:rPr>
          <w:spacing w:val="-2"/>
        </w:rPr>
        <w:t xml:space="preserve"> </w:t>
      </w:r>
      <w:r w:rsidRPr="00D42331" w:rsidR="00CB477B">
        <w:t>example,</w:t>
      </w:r>
      <w:r w:rsidRPr="00D42331" w:rsidR="00CB477B">
        <w:rPr>
          <w:spacing w:val="-2"/>
        </w:rPr>
        <w:t xml:space="preserve"> </w:t>
      </w:r>
      <w:r w:rsidRPr="00D42331" w:rsidR="00CB477B">
        <w:t>an</w:t>
      </w:r>
      <w:r w:rsidRPr="00D42331" w:rsidR="00CB477B">
        <w:rPr>
          <w:spacing w:val="-2"/>
        </w:rPr>
        <w:t xml:space="preserve"> </w:t>
      </w:r>
      <w:r w:rsidRPr="00D42331" w:rsidR="00CB477B">
        <w:t>automobile</w:t>
      </w:r>
      <w:r w:rsidRPr="00D42331" w:rsidR="00CB477B">
        <w:rPr>
          <w:spacing w:val="-2"/>
        </w:rPr>
        <w:t xml:space="preserve"> </w:t>
      </w:r>
      <w:r w:rsidRPr="00D42331" w:rsidR="00CB477B">
        <w:t>in</w:t>
      </w:r>
      <w:r w:rsidRPr="00D42331" w:rsidR="00CB477B">
        <w:rPr>
          <w:spacing w:val="-2"/>
        </w:rPr>
        <w:t xml:space="preserve"> </w:t>
      </w:r>
      <w:r w:rsidRPr="00D42331" w:rsidR="00CB477B">
        <w:t>a</w:t>
      </w:r>
      <w:r w:rsidRPr="00D42331" w:rsidR="00CB477B">
        <w:rPr>
          <w:spacing w:val="-2"/>
        </w:rPr>
        <w:t xml:space="preserve"> </w:t>
      </w:r>
      <w:r w:rsidRPr="00D42331" w:rsidR="00CB477B">
        <w:t>parking</w:t>
      </w:r>
      <w:r w:rsidRPr="00D42331" w:rsidR="00CB477B">
        <w:rPr>
          <w:spacing w:val="-2"/>
        </w:rPr>
        <w:t xml:space="preserve"> </w:t>
      </w:r>
      <w:r w:rsidRPr="00D42331" w:rsidR="00CB477B">
        <w:t>garage)</w:t>
      </w:r>
      <w:r w:rsidRPr="00D42331" w:rsidR="00CB477B">
        <w:rPr>
          <w:spacing w:val="-2"/>
        </w:rPr>
        <w:t xml:space="preserve"> </w:t>
      </w:r>
      <w:r w:rsidRPr="00D42331" w:rsidR="00CB477B">
        <w:t>but</w:t>
      </w:r>
      <w:r w:rsidRPr="00D42331" w:rsidR="00CB477B">
        <w:rPr>
          <w:spacing w:val="-2"/>
        </w:rPr>
        <w:t xml:space="preserve"> </w:t>
      </w:r>
      <w:r w:rsidRPr="00D42331" w:rsidR="00CB477B">
        <w:t>excludes</w:t>
      </w:r>
      <w:r w:rsidRPr="00D42331" w:rsidR="00CB477B">
        <w:rPr>
          <w:spacing w:val="-2"/>
        </w:rPr>
        <w:t xml:space="preserve"> </w:t>
      </w:r>
      <w:r w:rsidRPr="00D42331" w:rsidR="00CB477B">
        <w:t>all in-cabin applications or operations.</w:t>
      </w:r>
      <w:r w:rsidR="000064BD">
        <w:t xml:space="preserve">  </w:t>
      </w:r>
      <w:r w:rsidRPr="00D02DC0" w:rsidR="008A0CED">
        <w:t>Indu</w:t>
      </w:r>
      <w:r w:rsidRPr="00D02DC0" w:rsidR="00684FD1">
        <w:t>stry Consensus</w:t>
      </w:r>
      <w:r w:rsidRPr="00D02DC0" w:rsidR="00BA2FF7">
        <w:t xml:space="preserve"> Agreement</w:t>
      </w:r>
      <w:r w:rsidR="00903AA4">
        <w:t xml:space="preserve"> at fn. 4.</w:t>
      </w:r>
      <w:r w:rsidR="00E13D69">
        <w:t xml:space="preserve">  We note that in a subsequent </w:t>
      </w:r>
      <w:r w:rsidR="00F4742C">
        <w:rPr>
          <w:i/>
          <w:iCs/>
        </w:rPr>
        <w:t xml:space="preserve">ex parte </w:t>
      </w:r>
      <w:r w:rsidR="00F4742C">
        <w:t>filing</w:t>
      </w:r>
      <w:r w:rsidR="00033F7D">
        <w:t xml:space="preserve">, </w:t>
      </w:r>
      <w:r w:rsidR="00B64CBC">
        <w:t>the</w:t>
      </w:r>
      <w:r w:rsidR="00AC652B">
        <w:t>se partie</w:t>
      </w:r>
      <w:r w:rsidR="00601182">
        <w:t>s</w:t>
      </w:r>
      <w:r w:rsidR="001D0A25">
        <w:t xml:space="preserve"> </w:t>
      </w:r>
      <w:r w:rsidR="00D619EA">
        <w:t>advocated for a</w:t>
      </w:r>
      <w:r w:rsidR="00A101B8">
        <w:t xml:space="preserve">n expansive </w:t>
      </w:r>
      <w:r w:rsidR="00D619EA">
        <w:t xml:space="preserve">interpretation of </w:t>
      </w:r>
      <w:r w:rsidR="00EC43EE">
        <w:t xml:space="preserve">the “vehicular” concept </w:t>
      </w:r>
      <w:r w:rsidR="00847A52">
        <w:t xml:space="preserve">that would </w:t>
      </w:r>
      <w:r w:rsidR="00D61B62">
        <w:t xml:space="preserve">apply to a </w:t>
      </w:r>
      <w:r w:rsidR="00A101B8">
        <w:t>broad rang</w:t>
      </w:r>
      <w:r w:rsidR="006C5D53">
        <w:t xml:space="preserve">e of vehicles </w:t>
      </w:r>
      <w:r w:rsidR="005F250B">
        <w:t>intended for outdoor use</w:t>
      </w:r>
      <w:r w:rsidR="00D61B62">
        <w:t xml:space="preserve"> </w:t>
      </w:r>
      <w:r w:rsidR="00BA3CB7">
        <w:t xml:space="preserve">to </w:t>
      </w:r>
      <w:r w:rsidR="00786366">
        <w:t>encompass “</w:t>
      </w:r>
      <w:r w:rsidR="00570C3B">
        <w:t>…</w:t>
      </w:r>
      <w:r w:rsidR="00B00BFE">
        <w:t xml:space="preserve">any platform </w:t>
      </w:r>
      <w:r w:rsidR="00570C3B">
        <w:t>that is used to perform specific tasks of moving something or someone….”</w:t>
      </w:r>
      <w:r w:rsidR="00780C32">
        <w:t xml:space="preserve"> </w:t>
      </w:r>
      <w:r w:rsidR="000C6C45">
        <w:t xml:space="preserve"> </w:t>
      </w:r>
      <w:r w:rsidR="00D1635B">
        <w:t xml:space="preserve"> </w:t>
      </w:r>
      <w:r w:rsidR="007927DC">
        <w:t xml:space="preserve">Joint </w:t>
      </w:r>
      <w:r w:rsidR="007927DC">
        <w:rPr>
          <w:i/>
          <w:iCs/>
        </w:rPr>
        <w:t xml:space="preserve">ex parte </w:t>
      </w:r>
      <w:r w:rsidR="007927DC">
        <w:t>from Amazon.com Services LLC, Continental Corporation, Garmin International, Inc., Google LLC, IEE Sensing Inc., Infineon Technologies Americas Corp., Texas Instruments Incorporated, Vayyar Imaging Ltd.</w:t>
      </w:r>
      <w:r w:rsidR="00D17CAC">
        <w:t>,</w:t>
      </w:r>
      <w:r w:rsidR="007927DC">
        <w:t xml:space="preserve"> Intel Corporation, Meta Platforms Inc., and Qualcomm Incorporated) (filed </w:t>
      </w:r>
      <w:r w:rsidR="00D17CAC">
        <w:t>May 10</w:t>
      </w:r>
      <w:r w:rsidR="007927DC">
        <w:t>, 2023)</w:t>
      </w:r>
      <w:r w:rsidR="00D17CAC">
        <w:t xml:space="preserve">.  </w:t>
      </w:r>
      <w:r w:rsidR="002A5465">
        <w:t>W</w:t>
      </w:r>
      <w:r w:rsidR="00820889">
        <w:t xml:space="preserve">e agree that a broad interpretation of “vehicle” consistent with this filing </w:t>
      </w:r>
      <w:r w:rsidR="00CC632A">
        <w:t xml:space="preserve">is </w:t>
      </w:r>
      <w:r w:rsidR="00C5003E">
        <w:t>warranted</w:t>
      </w:r>
      <w:r w:rsidR="002505E5">
        <w:t xml:space="preserve"> as it will help</w:t>
      </w:r>
      <w:r w:rsidR="009D41B6">
        <w:t xml:space="preserve"> promote </w:t>
      </w:r>
      <w:r w:rsidR="004754C6">
        <w:t xml:space="preserve">the development of a wide range of beneficial </w:t>
      </w:r>
      <w:r w:rsidR="006743A6">
        <w:t xml:space="preserve">applications, </w:t>
      </w:r>
      <w:r w:rsidR="000677A9">
        <w:t xml:space="preserve">and </w:t>
      </w:r>
      <w:r w:rsidR="00B1416D">
        <w:t xml:space="preserve">direct </w:t>
      </w:r>
      <w:r w:rsidR="007163B7">
        <w:t xml:space="preserve">staff to </w:t>
      </w:r>
      <w:r w:rsidR="002505E5">
        <w:t>provide appropriate guidance</w:t>
      </w:r>
      <w:r w:rsidR="00647A8D">
        <w:t xml:space="preserve"> in this regar</w:t>
      </w:r>
      <w:r w:rsidR="00DE7950">
        <w:t>d (s</w:t>
      </w:r>
      <w:r w:rsidR="00DF04D3">
        <w:t xml:space="preserve">uch as it has done in the </w:t>
      </w:r>
      <w:r w:rsidR="000678BC">
        <w:t>context of the Part 95 rules</w:t>
      </w:r>
      <w:r w:rsidR="00DE7950">
        <w:t>, as cited by the parties)</w:t>
      </w:r>
      <w:r w:rsidR="0015218D">
        <w:t>.</w:t>
      </w:r>
      <w:r w:rsidR="00AB7821">
        <w:t xml:space="preserve">  </w:t>
      </w:r>
      <w:r w:rsidR="0014429B">
        <w:t>However</w:t>
      </w:r>
      <w:r w:rsidR="00DD2FDE">
        <w:t>, b</w:t>
      </w:r>
      <w:r w:rsidR="00435C6C">
        <w:t xml:space="preserve">ecause </w:t>
      </w:r>
      <w:r w:rsidR="00462226">
        <w:t>many o</w:t>
      </w:r>
      <w:r w:rsidR="00B2353A">
        <w:t xml:space="preserve">f </w:t>
      </w:r>
      <w:r w:rsidR="00462226">
        <w:t xml:space="preserve">the </w:t>
      </w:r>
      <w:r w:rsidR="00B2353A">
        <w:t>“vehicles”</w:t>
      </w:r>
      <w:r w:rsidR="00453C42">
        <w:t xml:space="preserve"> </w:t>
      </w:r>
      <w:r w:rsidR="00767C23">
        <w:t>the parties</w:t>
      </w:r>
      <w:r w:rsidR="00453C42">
        <w:t xml:space="preserve"> cite in their letter </w:t>
      </w:r>
      <w:r w:rsidR="00F94BB5">
        <w:t>could</w:t>
      </w:r>
      <w:r w:rsidR="00E50920">
        <w:t xml:space="preserve"> be designed to </w:t>
      </w:r>
      <w:r w:rsidR="009A662E">
        <w:t>operate indoors</w:t>
      </w:r>
      <w:r w:rsidR="00F94BB5">
        <w:t xml:space="preserve"> in </w:t>
      </w:r>
      <w:r w:rsidR="00B2353A">
        <w:t xml:space="preserve">a more-than-incidental manner in </w:t>
      </w:r>
      <w:r w:rsidR="00F94BB5">
        <w:t xml:space="preserve">some </w:t>
      </w:r>
      <w:r w:rsidR="006B64B9">
        <w:t>configurations</w:t>
      </w:r>
      <w:r w:rsidR="004A0499">
        <w:t>,</w:t>
      </w:r>
      <w:r w:rsidR="00611C1A">
        <w:t xml:space="preserve"> we decline t</w:t>
      </w:r>
      <w:r w:rsidR="00C3539C">
        <w:t xml:space="preserve">o list them as </w:t>
      </w:r>
      <w:r w:rsidR="00462226">
        <w:t xml:space="preserve">specific examples in </w:t>
      </w:r>
      <w:r w:rsidR="00327D38">
        <w:t>our rules or text</w:t>
      </w:r>
      <w:r w:rsidR="000C0671">
        <w:t xml:space="preserve"> </w:t>
      </w:r>
      <w:r w:rsidR="00794BB8">
        <w:t>as suggested by the parties</w:t>
      </w:r>
      <w:r w:rsidR="00960216">
        <w:t>.</w:t>
      </w:r>
      <w:r w:rsidR="00CA3CE3">
        <w:t xml:space="preserve"> </w:t>
      </w:r>
      <w:r w:rsidR="00BB3FE9">
        <w:t xml:space="preserve"> </w:t>
      </w:r>
      <w:r w:rsidR="002C2069">
        <w:t xml:space="preserve"> </w:t>
      </w:r>
    </w:p>
  </w:footnote>
  <w:footnote w:id="57">
    <w:p w:rsidR="00A21708" w14:paraId="278BE664" w14:textId="3554F411">
      <w:pPr>
        <w:pStyle w:val="FootnoteText"/>
      </w:pPr>
      <w:r>
        <w:rPr>
          <w:rStyle w:val="FootnoteReference"/>
        </w:rPr>
        <w:footnoteRef/>
      </w:r>
      <w:r>
        <w:t xml:space="preserve"> </w:t>
      </w:r>
      <w:r w:rsidR="00E04F78">
        <w:t>S</w:t>
      </w:r>
      <w:r w:rsidRPr="00E04F78" w:rsidR="00E04F78">
        <w:t xml:space="preserve">pecifically, the sum of continuous transmitter off-times of at least two </w:t>
      </w:r>
      <w:r w:rsidRPr="00E04F78" w:rsidR="00E04F78">
        <w:t>ms shall equal at least 16.5 ms within any contiguous interval of 33 ms</w:t>
      </w:r>
      <w:r w:rsidR="00E04F78">
        <w:t>.</w:t>
      </w:r>
    </w:p>
  </w:footnote>
  <w:footnote w:id="58">
    <w:p w:rsidR="00B67D10" w:rsidRPr="00644825" w14:paraId="61E1B87A" w14:textId="60D6ED79">
      <w:pPr>
        <w:pStyle w:val="FootnoteText"/>
      </w:pPr>
      <w:r>
        <w:rPr>
          <w:rStyle w:val="FootnoteReference"/>
        </w:rPr>
        <w:footnoteRef/>
      </w:r>
      <w:r>
        <w:t xml:space="preserve"> </w:t>
      </w:r>
      <w:r w:rsidR="009135D0">
        <w:t>Communication devices in the 57-71 GHz band are allowed up to 8</w:t>
      </w:r>
      <w:r w:rsidR="00A6555D">
        <w:t xml:space="preserve">5 dBm peak EIRP in fixed point-to-point applications and up to 43 dBm peak EIRP in </w:t>
      </w:r>
      <w:r w:rsidR="00644825">
        <w:t xml:space="preserve">general multi-point networking applications.  </w:t>
      </w:r>
      <w:r w:rsidR="00644825">
        <w:rPr>
          <w:i/>
          <w:iCs/>
        </w:rPr>
        <w:t>See</w:t>
      </w:r>
      <w:r w:rsidR="00644825">
        <w:t xml:space="preserve"> </w:t>
      </w:r>
      <w:r w:rsidR="00791323">
        <w:t>47 CFR §</w:t>
      </w:r>
      <w:r w:rsidR="000311A4">
        <w:t xml:space="preserve">§ </w:t>
      </w:r>
      <w:r w:rsidR="00791323">
        <w:t>15.255</w:t>
      </w:r>
      <w:r w:rsidR="00E73A97">
        <w:t>(c)(</w:t>
      </w:r>
      <w:r w:rsidR="000311A4">
        <w:t>1)-(c)(2).</w:t>
      </w:r>
    </w:p>
  </w:footnote>
  <w:footnote w:id="59">
    <w:p w:rsidR="00100BB8" w14:paraId="40B4902A" w14:textId="4599F304">
      <w:pPr>
        <w:pStyle w:val="FootnoteText"/>
      </w:pPr>
      <w:r>
        <w:rPr>
          <w:rStyle w:val="FootnoteReference"/>
        </w:rPr>
        <w:footnoteRef/>
      </w:r>
      <w:r>
        <w:t xml:space="preserve"> </w:t>
      </w:r>
      <w:r w:rsidRPr="00A010D5">
        <w:t>The</w:t>
      </w:r>
      <w:r>
        <w:t xml:space="preserve"> agreement is summarized in Appendix D, Table 1, Industry Consensus Agreement, </w:t>
      </w:r>
      <w:r w:rsidRPr="00A841A7">
        <w:rPr>
          <w:i/>
          <w:iCs/>
        </w:rPr>
        <w:t>infra</w:t>
      </w:r>
      <w:r>
        <w:t>.</w:t>
      </w:r>
    </w:p>
  </w:footnote>
  <w:footnote w:id="60">
    <w:p w:rsidR="00497539" w14:paraId="5CD83D79" w14:textId="7FCA39D9">
      <w:pPr>
        <w:pStyle w:val="FootnoteText"/>
      </w:pPr>
      <w:r>
        <w:rPr>
          <w:rStyle w:val="FootnoteReference"/>
        </w:rPr>
        <w:footnoteRef/>
      </w:r>
      <w:r>
        <w:t xml:space="preserve"> </w:t>
      </w:r>
      <w:r w:rsidR="003778B9">
        <w:t>Meta is the new name for</w:t>
      </w:r>
      <w:r w:rsidR="00E60585">
        <w:t xml:space="preserve"> Facebook</w:t>
      </w:r>
      <w:r w:rsidR="00923F60">
        <w:t>, effective Dec. 1, 2021.</w:t>
      </w:r>
      <w:r w:rsidR="00117A23">
        <w:t xml:space="preserve">  Facebook submitted comments in this proceeding under the name Facebook</w:t>
      </w:r>
      <w:r w:rsidR="000E5B95">
        <w:t xml:space="preserve"> </w:t>
      </w:r>
      <w:r w:rsidR="007B2212">
        <w:t xml:space="preserve">Inc. </w:t>
      </w:r>
      <w:r w:rsidR="000E5B95">
        <w:t>up</w:t>
      </w:r>
      <w:r w:rsidR="00D5263D">
        <w:t xml:space="preserve"> to and including </w:t>
      </w:r>
      <w:r w:rsidR="00177BD1">
        <w:t xml:space="preserve">the year 2021.  </w:t>
      </w:r>
      <w:r w:rsidR="00423B51">
        <w:t>All</w:t>
      </w:r>
      <w:r w:rsidR="008C3B54">
        <w:t xml:space="preserve"> Facebook comments</w:t>
      </w:r>
      <w:r w:rsidR="004C4F39">
        <w:t xml:space="preserve"> </w:t>
      </w:r>
      <w:r w:rsidR="00B11100">
        <w:t xml:space="preserve">were </w:t>
      </w:r>
      <w:r w:rsidR="002148D3">
        <w:t>submitted</w:t>
      </w:r>
      <w:r w:rsidR="00087618">
        <w:t xml:space="preserve"> </w:t>
      </w:r>
      <w:r w:rsidR="00B11100">
        <w:t>subsequently</w:t>
      </w:r>
      <w:r w:rsidR="00E75CCA">
        <w:t xml:space="preserve"> under the </w:t>
      </w:r>
      <w:r w:rsidR="008A0B25">
        <w:t xml:space="preserve">new </w:t>
      </w:r>
      <w:r w:rsidR="00E75CCA">
        <w:t xml:space="preserve">name </w:t>
      </w:r>
      <w:r w:rsidR="007B2212">
        <w:t>Meta Platforms Inc.</w:t>
      </w:r>
    </w:p>
  </w:footnote>
  <w:footnote w:id="61">
    <w:p w:rsidR="00364070" w:rsidRPr="008A5BF2" w:rsidP="00364070" w14:paraId="5D2D9A9D" w14:textId="1569FAA2">
      <w:pPr>
        <w:pStyle w:val="FootnoteText"/>
      </w:pPr>
      <w:r>
        <w:rPr>
          <w:rStyle w:val="FootnoteReference"/>
        </w:rPr>
        <w:footnoteRef/>
      </w:r>
      <w:r>
        <w:t xml:space="preserve"> Industry Consensus Agreement</w:t>
      </w:r>
      <w:r>
        <w:rPr>
          <w:i/>
          <w:iCs/>
        </w:rPr>
        <w:t xml:space="preserve"> </w:t>
      </w:r>
      <w:r>
        <w:t>from Amazon.com Services LLC, Continental Corporation, Garmin International, Inc., Google LLC, IEE Sensing Inc., Infineon Technologies Americas Corp., Intel Corporation, Meta Platforms Inc., Qualcomm Incorporated, Texas Instruments Incorporated</w:t>
      </w:r>
      <w:r w:rsidR="00644364">
        <w:t>,</w:t>
      </w:r>
      <w:r>
        <w:t xml:space="preserve"> </w:t>
      </w:r>
      <w:r w:rsidR="00644364">
        <w:t>and</w:t>
      </w:r>
      <w:r>
        <w:t xml:space="preserve"> </w:t>
      </w:r>
      <w:r>
        <w:t>Vayyar Imaging Ltd. (filed Feb. 27, 2023).</w:t>
      </w:r>
    </w:p>
  </w:footnote>
  <w:footnote w:id="62">
    <w:p w:rsidR="00364070" w:rsidRPr="00E30D3F" w:rsidP="00364070" w14:paraId="39916682" w14:textId="5DD7E380">
      <w:pPr>
        <w:pStyle w:val="FootnoteText"/>
        <w:rPr>
          <w:i/>
          <w:iCs/>
        </w:rPr>
      </w:pPr>
      <w:r>
        <w:rPr>
          <w:rStyle w:val="FootnoteReference"/>
        </w:rPr>
        <w:footnoteRef/>
      </w:r>
      <w:r>
        <w:t xml:space="preserve"> The 60-64 GHz band partitioning for UA is discussed separately in Section </w:t>
      </w:r>
      <w:r w:rsidR="002669CC">
        <w:t xml:space="preserve">III </w:t>
      </w:r>
      <w:r w:rsidR="003E0146">
        <w:t>C</w:t>
      </w:r>
      <w:r>
        <w:t xml:space="preserve">.1, </w:t>
      </w:r>
      <w:r>
        <w:rPr>
          <w:i/>
          <w:iCs/>
        </w:rPr>
        <w:t>infra.</w:t>
      </w:r>
    </w:p>
  </w:footnote>
  <w:footnote w:id="63">
    <w:p w:rsidR="00364070" w:rsidP="00364070" w14:paraId="1A164B2B" w14:textId="7E50537B">
      <w:pPr>
        <w:pStyle w:val="FootnoteText"/>
      </w:pPr>
      <w:r>
        <w:rPr>
          <w:rStyle w:val="FootnoteReference"/>
        </w:rPr>
        <w:footnoteRef/>
      </w:r>
      <w:r>
        <w:t xml:space="preserve"> </w:t>
      </w:r>
      <w:r w:rsidRPr="00BF340E">
        <w:rPr>
          <w:i/>
          <w:iCs/>
          <w:color w:val="000000" w:themeColor="text1"/>
        </w:rPr>
        <w:t xml:space="preserve">See </w:t>
      </w:r>
      <w:r w:rsidR="006E4AF0">
        <w:rPr>
          <w:i/>
          <w:iCs/>
        </w:rPr>
        <w:t xml:space="preserve">supra </w:t>
      </w:r>
      <w:r w:rsidR="006E4AF0">
        <w:t>n.18 (describing these waivers)</w:t>
      </w:r>
      <w:r w:rsidRPr="00BF340E">
        <w:t>.</w:t>
      </w:r>
    </w:p>
  </w:footnote>
  <w:footnote w:id="64">
    <w:p w:rsidR="00364070" w:rsidRPr="0070468E" w:rsidP="00364070" w14:paraId="644E5E1A" w14:textId="6A9F8EEA">
      <w:pPr>
        <w:pStyle w:val="FootnoteText"/>
      </w:pPr>
      <w:r>
        <w:rPr>
          <w:rStyle w:val="FootnoteReference"/>
        </w:rPr>
        <w:footnoteRef/>
      </w:r>
      <w:r>
        <w:t xml:space="preserve"> </w:t>
      </w:r>
      <w:r>
        <w:rPr>
          <w:i/>
          <w:iCs/>
        </w:rPr>
        <w:t xml:space="preserve">See ex </w:t>
      </w:r>
      <w:r>
        <w:rPr>
          <w:i/>
          <w:iCs/>
        </w:rPr>
        <w:t xml:space="preserve">parte </w:t>
      </w:r>
      <w:r>
        <w:t>from Intel Corporation, Meta Platforms Inc.</w:t>
      </w:r>
      <w:r w:rsidR="00644364">
        <w:t>,</w:t>
      </w:r>
      <w:r>
        <w:t xml:space="preserve"> </w:t>
      </w:r>
      <w:r w:rsidR="00644364">
        <w:t>and</w:t>
      </w:r>
      <w:r>
        <w:t xml:space="preserve"> Qualcomm Incorporated (filed May 31, 2022 and Aug. 19, 2022).</w:t>
      </w:r>
    </w:p>
  </w:footnote>
  <w:footnote w:id="65">
    <w:p w:rsidR="00A02706" w:rsidRPr="00D14B7D" w:rsidP="00B123D6" w14:paraId="1988C271" w14:textId="1CF3C05C">
      <w:pPr>
        <w:pStyle w:val="FootnoteText"/>
      </w:pPr>
      <w:r>
        <w:rPr>
          <w:rStyle w:val="FootnoteReference"/>
        </w:rPr>
        <w:footnoteRef/>
      </w:r>
      <w:r>
        <w:t xml:space="preserve"> Joint </w:t>
      </w:r>
      <w:r>
        <w:rPr>
          <w:i/>
          <w:iCs/>
        </w:rPr>
        <w:t xml:space="preserve">ex </w:t>
      </w:r>
      <w:r>
        <w:rPr>
          <w:i/>
          <w:iCs/>
        </w:rPr>
        <w:t>parte</w:t>
      </w:r>
      <w:r>
        <w:t xml:space="preserve"> from Acconeer, Intel, Meta Platforms and Qualcomm (filed Nov. 10, 2022) (Pulse Radar Joint Agreement).  The Industry Consensus Agreement states that its proposed regulatory </w:t>
      </w:r>
      <w:r w:rsidR="00ED6601">
        <w:t xml:space="preserve">framework </w:t>
      </w:r>
      <w:r>
        <w:t>is</w:t>
      </w:r>
      <w:r>
        <w:rPr>
          <w:spacing w:val="-2"/>
        </w:rPr>
        <w:t xml:space="preserve"> </w:t>
      </w:r>
      <w:r>
        <w:t>independent</w:t>
      </w:r>
      <w:r>
        <w:rPr>
          <w:spacing w:val="-2"/>
        </w:rPr>
        <w:t xml:space="preserve"> </w:t>
      </w:r>
      <w:r>
        <w:t>of</w:t>
      </w:r>
      <w:r>
        <w:rPr>
          <w:spacing w:val="-2"/>
        </w:rPr>
        <w:t xml:space="preserve"> </w:t>
      </w:r>
      <w:r>
        <w:t>the</w:t>
      </w:r>
      <w:r>
        <w:rPr>
          <w:spacing w:val="-3"/>
        </w:rPr>
        <w:t xml:space="preserve"> </w:t>
      </w:r>
      <w:r>
        <w:t>technology</w:t>
      </w:r>
      <w:r>
        <w:rPr>
          <w:spacing w:val="-2"/>
        </w:rPr>
        <w:t xml:space="preserve"> </w:t>
      </w:r>
      <w:r>
        <w:t>used</w:t>
      </w:r>
      <w:r>
        <w:rPr>
          <w:spacing w:val="-2"/>
        </w:rPr>
        <w:t xml:space="preserve"> </w:t>
      </w:r>
      <w:r>
        <w:t>by</w:t>
      </w:r>
      <w:r>
        <w:rPr>
          <w:spacing w:val="-2"/>
        </w:rPr>
        <w:t xml:space="preserve"> </w:t>
      </w:r>
      <w:r>
        <w:t>a</w:t>
      </w:r>
      <w:r>
        <w:rPr>
          <w:spacing w:val="-2"/>
        </w:rPr>
        <w:t xml:space="preserve"> </w:t>
      </w:r>
      <w:r>
        <w:t>radar</w:t>
      </w:r>
      <w:r>
        <w:rPr>
          <w:spacing w:val="-2"/>
        </w:rPr>
        <w:t xml:space="preserve"> </w:t>
      </w:r>
      <w:r>
        <w:t>system</w:t>
      </w:r>
      <w:r>
        <w:rPr>
          <w:spacing w:val="-2"/>
        </w:rPr>
        <w:t xml:space="preserve"> </w:t>
      </w:r>
      <w:r>
        <w:t>and</w:t>
      </w:r>
      <w:r>
        <w:rPr>
          <w:spacing w:val="-2"/>
        </w:rPr>
        <w:t xml:space="preserve"> </w:t>
      </w:r>
      <w:r>
        <w:t>is</w:t>
      </w:r>
      <w:r>
        <w:rPr>
          <w:spacing w:val="-2"/>
        </w:rPr>
        <w:t xml:space="preserve"> </w:t>
      </w:r>
      <w:r>
        <w:t>meant</w:t>
      </w:r>
      <w:r>
        <w:rPr>
          <w:spacing w:val="-2"/>
        </w:rPr>
        <w:t xml:space="preserve"> </w:t>
      </w:r>
      <w:r>
        <w:t>to</w:t>
      </w:r>
      <w:r>
        <w:rPr>
          <w:spacing w:val="-2"/>
        </w:rPr>
        <w:t xml:space="preserve"> </w:t>
      </w:r>
      <w:r>
        <w:t>be</w:t>
      </w:r>
      <w:r>
        <w:rPr>
          <w:spacing w:val="-2"/>
        </w:rPr>
        <w:t xml:space="preserve"> </w:t>
      </w:r>
      <w:r>
        <w:t>complementary</w:t>
      </w:r>
      <w:r>
        <w:rPr>
          <w:spacing w:val="-2"/>
        </w:rPr>
        <w:t xml:space="preserve"> </w:t>
      </w:r>
      <w:r>
        <w:t>to</w:t>
      </w:r>
      <w:r>
        <w:rPr>
          <w:spacing w:val="-2"/>
        </w:rPr>
        <w:t xml:space="preserve"> </w:t>
      </w:r>
      <w:r>
        <w:t>the Pulse Radar Joint Agreement and not an alternative to it.  Industry Consensus Agreement at fn. 3.</w:t>
      </w:r>
      <w:r w:rsidR="00773A26">
        <w:t xml:space="preserve">  </w:t>
      </w:r>
      <w:r w:rsidRPr="00A010D5">
        <w:t>The</w:t>
      </w:r>
      <w:r>
        <w:t xml:space="preserve"> agreement is summarized in </w:t>
      </w:r>
      <w:r w:rsidR="00E77A92">
        <w:t xml:space="preserve">Appendix D, </w:t>
      </w:r>
      <w:r w:rsidR="00705717">
        <w:t>T</w:t>
      </w:r>
      <w:r>
        <w:t>able</w:t>
      </w:r>
      <w:r w:rsidR="00705717">
        <w:t xml:space="preserve"> </w:t>
      </w:r>
      <w:r w:rsidR="006148AF">
        <w:t>2</w:t>
      </w:r>
      <w:r w:rsidR="00705717">
        <w:t xml:space="preserve">, </w:t>
      </w:r>
      <w:r w:rsidR="00F0267C">
        <w:t xml:space="preserve">Pulse </w:t>
      </w:r>
      <w:r w:rsidR="006148AF">
        <w:t>Radar</w:t>
      </w:r>
      <w:r w:rsidR="00E77A92">
        <w:t xml:space="preserve"> </w:t>
      </w:r>
      <w:r w:rsidR="006148AF">
        <w:t xml:space="preserve">Joint </w:t>
      </w:r>
      <w:r w:rsidR="00E77A92">
        <w:t xml:space="preserve">Agreement, </w:t>
      </w:r>
      <w:r w:rsidRPr="00897D70" w:rsidR="00E77A92">
        <w:rPr>
          <w:i/>
          <w:iCs/>
        </w:rPr>
        <w:t>infra</w:t>
      </w:r>
      <w:r w:rsidR="00E77A92">
        <w:t>.</w:t>
      </w:r>
    </w:p>
  </w:footnote>
  <w:footnote w:id="66">
    <w:p w:rsidR="00B4294A" w:rsidP="00B4294A" w14:paraId="1FD926E1" w14:textId="063AA351">
      <w:pPr>
        <w:pStyle w:val="FootnoteText"/>
      </w:pPr>
      <w:r>
        <w:rPr>
          <w:rStyle w:val="FootnoteReference"/>
        </w:rPr>
        <w:footnoteRef/>
      </w:r>
      <w:r w:rsidR="68E62851">
        <w:t xml:space="preserve"> </w:t>
      </w:r>
      <w:r w:rsidR="68E62851">
        <w:t>Acconeer Comments at 12.</w:t>
      </w:r>
    </w:p>
  </w:footnote>
  <w:footnote w:id="67">
    <w:p w:rsidR="00B4294A" w:rsidP="00B4294A" w14:paraId="68B558C2" w14:textId="12981B04">
      <w:pPr>
        <w:pStyle w:val="FootnoteText"/>
      </w:pPr>
      <w:r>
        <w:rPr>
          <w:rStyle w:val="FootnoteReference"/>
        </w:rPr>
        <w:footnoteRef/>
      </w:r>
      <w:r w:rsidR="68E62851">
        <w:t xml:space="preserve"> </w:t>
      </w:r>
      <w:r w:rsidR="68E62851">
        <w:t>Acconeer Comments at 14.</w:t>
      </w:r>
    </w:p>
  </w:footnote>
  <w:footnote w:id="68">
    <w:p w:rsidR="00B4294A" w:rsidP="00B4294A" w14:paraId="101AEE36" w14:textId="75F6651C">
      <w:pPr>
        <w:pStyle w:val="FootnoteText"/>
      </w:pPr>
      <w:r>
        <w:rPr>
          <w:rStyle w:val="FootnoteReference"/>
        </w:rPr>
        <w:footnoteRef/>
      </w:r>
      <w:r w:rsidR="68E62851">
        <w:t xml:space="preserve"> </w:t>
      </w:r>
      <w:r w:rsidR="68E62851">
        <w:t>Acconeer Reply Comments at 8.</w:t>
      </w:r>
    </w:p>
  </w:footnote>
  <w:footnote w:id="69">
    <w:p w:rsidR="00E17E8D" w:rsidRPr="0022272E" w14:paraId="355F1DF6" w14:textId="009004C3">
      <w:pPr>
        <w:pStyle w:val="FootnoteText"/>
      </w:pPr>
      <w:r>
        <w:rPr>
          <w:rStyle w:val="FootnoteReference"/>
        </w:rPr>
        <w:footnoteRef/>
      </w:r>
      <w:r>
        <w:t xml:space="preserve"> Auto Innovators </w:t>
      </w:r>
      <w:r w:rsidR="00005677">
        <w:rPr>
          <w:i/>
          <w:iCs/>
        </w:rPr>
        <w:t xml:space="preserve">ex </w:t>
      </w:r>
      <w:r w:rsidR="00005677">
        <w:rPr>
          <w:i/>
          <w:iCs/>
        </w:rPr>
        <w:t>parte</w:t>
      </w:r>
      <w:r w:rsidR="00005677">
        <w:t xml:space="preserve"> </w:t>
      </w:r>
      <w:r w:rsidR="007744DD">
        <w:t>at 2</w:t>
      </w:r>
      <w:r w:rsidR="00613314">
        <w:t xml:space="preserve"> (“</w:t>
      </w:r>
      <w:r w:rsidRPr="00034B7A" w:rsidR="00E07EC7">
        <w:t xml:space="preserve">the </w:t>
      </w:r>
      <w:r w:rsidR="00E07EC7">
        <w:t>[Industry Consensus Agreement]</w:t>
      </w:r>
      <w:r w:rsidRPr="00034B7A" w:rsidR="00E07EC7">
        <w:t xml:space="preserve"> will help the auto industry to meet its commitment to make rear seat reminder systems standard equipment on almost all passenger vehicles sol</w:t>
      </w:r>
      <w:r w:rsidR="00210B4D">
        <w:t>d</w:t>
      </w:r>
      <w:r w:rsidRPr="00034B7A" w:rsidR="00E07EC7">
        <w:t xml:space="preserve"> in the United States by the 2025 model year</w:t>
      </w:r>
      <w:r w:rsidR="00D25F1C">
        <w:t>”</w:t>
      </w:r>
      <w:r w:rsidR="00D368DD">
        <w:t>)</w:t>
      </w:r>
      <w:r w:rsidR="00D25F1C">
        <w:t xml:space="preserve"> (filed Apr. 3, 2023</w:t>
      </w:r>
      <w:r w:rsidR="00210B4D">
        <w:t>).</w:t>
      </w:r>
      <w:r w:rsidR="003F3DA4">
        <w:t xml:space="preserve">  </w:t>
      </w:r>
      <w:r w:rsidR="00A57A74">
        <w:t>Robert Bosch LLC</w:t>
      </w:r>
      <w:r w:rsidR="0022272E">
        <w:t xml:space="preserve"> </w:t>
      </w:r>
      <w:r w:rsidR="0022272E">
        <w:rPr>
          <w:i/>
          <w:iCs/>
        </w:rPr>
        <w:t>ex parte</w:t>
      </w:r>
      <w:r w:rsidR="0022272E">
        <w:t xml:space="preserve"> </w:t>
      </w:r>
      <w:r w:rsidR="000D14B4">
        <w:t>(“</w:t>
      </w:r>
      <w:r w:rsidRPr="00E31568" w:rsidR="000D14B4">
        <w:t>believes that the proposed rules in the 60 GHz band without timing constraints will enable the deployment of in-vehicle sensing functions which will coexist with other unlicensed users</w:t>
      </w:r>
      <w:r w:rsidR="000D14B4">
        <w:t>…”)</w:t>
      </w:r>
      <w:r w:rsidR="0010408F">
        <w:t xml:space="preserve"> (filed Apr. 13, 2023)</w:t>
      </w:r>
      <w:r w:rsidR="000D14B4">
        <w:t>.</w:t>
      </w:r>
    </w:p>
  </w:footnote>
  <w:footnote w:id="70">
    <w:p w:rsidR="00EC6A9A" w14:paraId="088E1660" w14:textId="5643145B">
      <w:pPr>
        <w:pStyle w:val="FootnoteText"/>
      </w:pPr>
      <w:r>
        <w:rPr>
          <w:rStyle w:val="FootnoteReference"/>
        </w:rPr>
        <w:footnoteRef/>
      </w:r>
      <w:r>
        <w:t xml:space="preserve"> </w:t>
      </w:r>
      <w:r w:rsidRPr="00A752F0" w:rsidR="00FF0371">
        <w:rPr>
          <w:i/>
          <w:iCs/>
        </w:rPr>
        <w:t>NPRM</w:t>
      </w:r>
      <w:r w:rsidR="00FF0371">
        <w:t xml:space="preserve">, 36 FCC </w:t>
      </w:r>
      <w:r w:rsidR="00FF0371">
        <w:t>Rcd at 11909</w:t>
      </w:r>
      <w:r w:rsidR="00B41175">
        <w:t>,</w:t>
      </w:r>
      <w:r w:rsidR="00FF0371">
        <w:t xml:space="preserve"> para. </w:t>
      </w:r>
      <w:r w:rsidR="00086728">
        <w:t>19</w:t>
      </w:r>
      <w:r w:rsidR="005904FC">
        <w:t xml:space="preserve">; </w:t>
      </w:r>
      <w:r w:rsidRPr="00A752F0" w:rsidR="00851A75">
        <w:rPr>
          <w:i/>
          <w:iCs/>
        </w:rPr>
        <w:t>id</w:t>
      </w:r>
      <w:r w:rsidR="00851A75">
        <w:t xml:space="preserve">., </w:t>
      </w:r>
      <w:r w:rsidR="00D743B4">
        <w:t xml:space="preserve">at </w:t>
      </w:r>
      <w:r w:rsidR="002D070D">
        <w:t xml:space="preserve">11909-10, para. </w:t>
      </w:r>
      <w:r w:rsidR="00236393">
        <w:t>22</w:t>
      </w:r>
      <w:r w:rsidR="00270260">
        <w:t>.</w:t>
      </w:r>
    </w:p>
  </w:footnote>
  <w:footnote w:id="71">
    <w:p w:rsidR="00CE0159" w:rsidRPr="00E3272D" w14:paraId="525B15DF" w14:textId="67D758B0">
      <w:pPr>
        <w:pStyle w:val="FootnoteText"/>
      </w:pPr>
      <w:r>
        <w:rPr>
          <w:rStyle w:val="FootnoteReference"/>
        </w:rPr>
        <w:footnoteRef/>
      </w:r>
      <w:r>
        <w:t xml:space="preserve"> </w:t>
      </w:r>
      <w:r w:rsidRPr="00A752F0" w:rsidR="00094E99">
        <w:rPr>
          <w:i/>
          <w:iCs/>
        </w:rPr>
        <w:t>NPRM</w:t>
      </w:r>
      <w:r w:rsidR="00094E99">
        <w:t xml:space="preserve">, 36 FCC </w:t>
      </w:r>
      <w:r w:rsidR="00094E99">
        <w:t xml:space="preserve">Rcd at </w:t>
      </w:r>
      <w:r w:rsidRPr="00E3272D" w:rsidR="00094E99">
        <w:t>119</w:t>
      </w:r>
      <w:r w:rsidRPr="00E3272D" w:rsidR="00077EE7">
        <w:t>10</w:t>
      </w:r>
      <w:r w:rsidRPr="00AB04E0" w:rsidR="00094E99">
        <w:t>,</w:t>
      </w:r>
      <w:r w:rsidRPr="00E3272D" w:rsidR="00094E99">
        <w:t xml:space="preserve"> para.</w:t>
      </w:r>
      <w:r w:rsidRPr="00E3272D" w:rsidR="00327297">
        <w:t xml:space="preserve"> </w:t>
      </w:r>
      <w:r w:rsidRPr="00E3272D" w:rsidR="00EA46BA">
        <w:t>24</w:t>
      </w:r>
      <w:r w:rsidRPr="00E3272D" w:rsidR="00077EE7">
        <w:t xml:space="preserve">; </w:t>
      </w:r>
      <w:r w:rsidRPr="00E3272D" w:rsidR="00077EE7">
        <w:rPr>
          <w:i/>
          <w:iCs/>
        </w:rPr>
        <w:t>id</w:t>
      </w:r>
      <w:r w:rsidRPr="00E3272D" w:rsidR="00077EE7">
        <w:t>.</w:t>
      </w:r>
      <w:r w:rsidRPr="00E3272D" w:rsidR="00670359">
        <w:t>, at 11913, para.</w:t>
      </w:r>
      <w:r w:rsidRPr="00E3272D" w:rsidR="00A24C7C">
        <w:t xml:space="preserve"> </w:t>
      </w:r>
      <w:r w:rsidRPr="00E3272D" w:rsidR="0064437D">
        <w:t>29</w:t>
      </w:r>
      <w:r w:rsidRPr="00E3272D" w:rsidR="00670359">
        <w:t>;</w:t>
      </w:r>
      <w:r w:rsidRPr="00E3272D" w:rsidR="0064437D">
        <w:t xml:space="preserve"> </w:t>
      </w:r>
      <w:r w:rsidRPr="00E3272D" w:rsidR="00670359">
        <w:rPr>
          <w:i/>
          <w:iCs/>
        </w:rPr>
        <w:t>id</w:t>
      </w:r>
      <w:r w:rsidRPr="00E3272D" w:rsidR="00CA451B">
        <w:rPr>
          <w:i/>
          <w:iCs/>
        </w:rPr>
        <w:t>.</w:t>
      </w:r>
      <w:r w:rsidRPr="00E3272D" w:rsidR="00CA451B">
        <w:t>,</w:t>
      </w:r>
      <w:r w:rsidRPr="00E3272D" w:rsidR="00670359">
        <w:t xml:space="preserve"> </w:t>
      </w:r>
      <w:r w:rsidRPr="00E3272D" w:rsidR="00CA451B">
        <w:t xml:space="preserve">at </w:t>
      </w:r>
      <w:r w:rsidRPr="00E3272D" w:rsidR="00D53E40">
        <w:t xml:space="preserve">11918-19, para. </w:t>
      </w:r>
      <w:r w:rsidRPr="00E3272D" w:rsidR="00A24C7C">
        <w:t>38</w:t>
      </w:r>
      <w:r w:rsidRPr="00E3272D" w:rsidR="00D53E40">
        <w:t>.</w:t>
      </w:r>
      <w:r w:rsidRPr="00E3272D" w:rsidR="00A24C7C">
        <w:t xml:space="preserve"> </w:t>
      </w:r>
    </w:p>
  </w:footnote>
  <w:footnote w:id="72">
    <w:p w:rsidR="00024F36" w:rsidRPr="00E3272D" w14:paraId="03B6E541" w14:textId="4B725092">
      <w:pPr>
        <w:pStyle w:val="FootnoteText"/>
      </w:pPr>
      <w:r w:rsidRPr="00E3272D">
        <w:rPr>
          <w:rStyle w:val="FootnoteReference"/>
        </w:rPr>
        <w:footnoteRef/>
      </w:r>
      <w:r w:rsidRPr="00E3272D">
        <w:t xml:space="preserve"> </w:t>
      </w:r>
      <w:r w:rsidRPr="00E3272D" w:rsidR="006768F9">
        <w:rPr>
          <w:i/>
          <w:iCs/>
        </w:rPr>
        <w:t>NPRM</w:t>
      </w:r>
      <w:r w:rsidRPr="00E3272D" w:rsidR="006768F9">
        <w:t xml:space="preserve">, 36 FCC </w:t>
      </w:r>
      <w:r w:rsidRPr="00E3272D" w:rsidR="006768F9">
        <w:t>Rcd at 119</w:t>
      </w:r>
      <w:r w:rsidRPr="00E3272D" w:rsidR="0086106F">
        <w:t>13-14</w:t>
      </w:r>
      <w:r w:rsidRPr="00AB04E0" w:rsidR="006768F9">
        <w:t>,</w:t>
      </w:r>
      <w:r w:rsidRPr="00E3272D" w:rsidR="006768F9">
        <w:t xml:space="preserve"> para</w:t>
      </w:r>
      <w:r w:rsidRPr="00E3272D" w:rsidR="0086106F">
        <w:t>s</w:t>
      </w:r>
      <w:r w:rsidRPr="00E3272D" w:rsidR="006768F9">
        <w:t>.</w:t>
      </w:r>
      <w:r w:rsidRPr="00E3272D" w:rsidR="00CE7214">
        <w:t xml:space="preserve"> 30-31</w:t>
      </w:r>
      <w:r w:rsidRPr="00E3272D" w:rsidR="000A572A">
        <w:t>.</w:t>
      </w:r>
    </w:p>
  </w:footnote>
  <w:footnote w:id="73">
    <w:p w:rsidR="00012F10" w14:paraId="55EEE5DF" w14:textId="7B89DBCF">
      <w:pPr>
        <w:pStyle w:val="FootnoteText"/>
      </w:pPr>
      <w:r w:rsidRPr="00E3272D">
        <w:rPr>
          <w:rStyle w:val="FootnoteReference"/>
        </w:rPr>
        <w:footnoteRef/>
      </w:r>
      <w:r w:rsidRPr="00E3272D">
        <w:t xml:space="preserve"> </w:t>
      </w:r>
      <w:r w:rsidRPr="00E3272D">
        <w:rPr>
          <w:i/>
          <w:iCs/>
        </w:rPr>
        <w:t>NPRM</w:t>
      </w:r>
      <w:r w:rsidRPr="00E3272D">
        <w:t xml:space="preserve">, 36 FCC </w:t>
      </w:r>
      <w:r w:rsidRPr="00E3272D">
        <w:t>Rcd at 119</w:t>
      </w:r>
      <w:r w:rsidRPr="00E3272D" w:rsidR="00AD4F7C">
        <w:t>15-16</w:t>
      </w:r>
      <w:r w:rsidRPr="00AB04E0">
        <w:t>,</w:t>
      </w:r>
      <w:r w:rsidRPr="00E3272D">
        <w:t xml:space="preserve"> para.</w:t>
      </w:r>
      <w:r w:rsidRPr="00E3272D" w:rsidR="0086106F">
        <w:t xml:space="preserve"> </w:t>
      </w:r>
      <w:r w:rsidRPr="00E3272D" w:rsidR="00CB03FA">
        <w:t>33.</w:t>
      </w:r>
    </w:p>
  </w:footnote>
  <w:footnote w:id="74">
    <w:p w:rsidR="009446ED" w:rsidP="009446ED" w14:paraId="53E27EC5" w14:textId="4B01DE98">
      <w:pPr>
        <w:pStyle w:val="FootnoteText"/>
      </w:pPr>
      <w:r>
        <w:rPr>
          <w:rStyle w:val="FootnoteReference"/>
        </w:rPr>
        <w:footnoteRef/>
      </w:r>
      <w:r w:rsidR="4A1C0502">
        <w:t xml:space="preserve"> </w:t>
      </w:r>
      <w:r w:rsidRPr="4A1C0502" w:rsidR="4A1C0502">
        <w:rPr>
          <w:i/>
          <w:iCs/>
        </w:rPr>
        <w:t>See e.g.</w:t>
      </w:r>
      <w:r w:rsidR="4A1C0502">
        <w:t xml:space="preserve">,  ITEM Inc. Comments, </w:t>
      </w:r>
      <w:r w:rsidR="4A1C0502">
        <w:t xml:space="preserve">BrainLit AB Comments, RelyQ LLC Comments, NEXTY Electronics Corporation Comments, </w:t>
      </w:r>
      <w:r w:rsidRPr="00E14537" w:rsidR="4A1C0502">
        <w:t>Väderstad</w:t>
      </w:r>
      <w:r w:rsidR="4A1C0502">
        <w:t xml:space="preserve"> AB Comments, Restar Electronics Americas Inc. Comments, Trickle Star Inc. Comments.</w:t>
      </w:r>
    </w:p>
  </w:footnote>
  <w:footnote w:id="75">
    <w:p w:rsidR="00343935" w:rsidP="00F13E1B" w14:paraId="3353EE9E" w14:textId="52305F10">
      <w:pPr>
        <w:pStyle w:val="FootnoteText"/>
      </w:pPr>
      <w:r>
        <w:rPr>
          <w:rStyle w:val="FootnoteReference"/>
        </w:rPr>
        <w:footnoteRef/>
      </w:r>
      <w:r>
        <w:t xml:space="preserve"> Under ETSI, s</w:t>
      </w:r>
      <w:r w:rsidRPr="00DA43FA">
        <w:t>hort</w:t>
      </w:r>
      <w:r>
        <w:t>-r</w:t>
      </w:r>
      <w:r w:rsidRPr="00DA43FA">
        <w:t xml:space="preserve">ange </w:t>
      </w:r>
      <w:r>
        <w:t>d</w:t>
      </w:r>
      <w:r w:rsidRPr="00DA43FA">
        <w:t xml:space="preserve">evices (SRD) </w:t>
      </w:r>
      <w:r>
        <w:t xml:space="preserve">have </w:t>
      </w:r>
      <w:r w:rsidRPr="00DA43FA">
        <w:t xml:space="preserve">a low risk of </w:t>
      </w:r>
      <w:r>
        <w:t xml:space="preserve">causing harmful </w:t>
      </w:r>
      <w:r w:rsidRPr="00DA43FA">
        <w:t xml:space="preserve">interference </w:t>
      </w:r>
      <w:r>
        <w:t xml:space="preserve">to </w:t>
      </w:r>
      <w:r w:rsidRPr="00DA43FA">
        <w:t xml:space="preserve">other radio services, usually because their transmitted power, and hence their range, is low. </w:t>
      </w:r>
      <w:r>
        <w:t xml:space="preserve"> </w:t>
      </w:r>
    </w:p>
  </w:footnote>
  <w:footnote w:id="76">
    <w:p w:rsidR="00C6267D" w14:paraId="300E3458" w14:textId="2EE9F8E2">
      <w:pPr>
        <w:pStyle w:val="FootnoteText"/>
      </w:pPr>
      <w:r>
        <w:rPr>
          <w:rStyle w:val="FootnoteReference"/>
        </w:rPr>
        <w:footnoteRef/>
      </w:r>
      <w:r>
        <w:t xml:space="preserve"> </w:t>
      </w:r>
      <w:r>
        <w:rPr>
          <w:i/>
          <w:iCs/>
        </w:rPr>
        <w:t>NPRM</w:t>
      </w:r>
      <w:r>
        <w:t xml:space="preserve">, </w:t>
      </w:r>
      <w:r>
        <w:rPr>
          <w:iCs/>
        </w:rPr>
        <w:t xml:space="preserve">36 FCC </w:t>
      </w:r>
      <w:r>
        <w:rPr>
          <w:iCs/>
        </w:rPr>
        <w:t xml:space="preserve">Rcd </w:t>
      </w:r>
      <w:r w:rsidRPr="6AD549E2" w:rsidR="6AD549E2">
        <w:t xml:space="preserve">at </w:t>
      </w:r>
      <w:r>
        <w:rPr>
          <w:iCs/>
        </w:rPr>
        <w:t>11909-10, para</w:t>
      </w:r>
      <w:r w:rsidR="00CF3C55">
        <w:rPr>
          <w:iCs/>
        </w:rPr>
        <w:t>s</w:t>
      </w:r>
      <w:r>
        <w:rPr>
          <w:iCs/>
        </w:rPr>
        <w:t>. 2</w:t>
      </w:r>
      <w:r w:rsidR="00CF3C55">
        <w:rPr>
          <w:iCs/>
        </w:rPr>
        <w:t>1-22</w:t>
      </w:r>
      <w:r>
        <w:rPr>
          <w:iCs/>
        </w:rPr>
        <w:t>.</w:t>
      </w:r>
    </w:p>
  </w:footnote>
  <w:footnote w:id="77">
    <w:p w:rsidR="00F92EB4" w14:paraId="674BA0A0" w14:textId="5BCF7044">
      <w:pPr>
        <w:pStyle w:val="FootnoteText"/>
      </w:pPr>
      <w:r>
        <w:rPr>
          <w:rStyle w:val="FootnoteReference"/>
        </w:rPr>
        <w:footnoteRef/>
      </w:r>
      <w:r>
        <w:t xml:space="preserve"> </w:t>
      </w:r>
      <w:r>
        <w:rPr>
          <w:i/>
          <w:iCs/>
        </w:rPr>
        <w:t>NPRM</w:t>
      </w:r>
      <w:r>
        <w:t xml:space="preserve">, </w:t>
      </w:r>
      <w:r>
        <w:rPr>
          <w:iCs/>
        </w:rPr>
        <w:t xml:space="preserve">36 FCC </w:t>
      </w:r>
      <w:r>
        <w:rPr>
          <w:iCs/>
        </w:rPr>
        <w:t xml:space="preserve">Rcd </w:t>
      </w:r>
      <w:r w:rsidRPr="6AD549E2">
        <w:t xml:space="preserve">at </w:t>
      </w:r>
      <w:r>
        <w:rPr>
          <w:iCs/>
        </w:rPr>
        <w:t>119</w:t>
      </w:r>
      <w:r w:rsidR="001757C6">
        <w:rPr>
          <w:iCs/>
        </w:rPr>
        <w:t>15</w:t>
      </w:r>
      <w:r>
        <w:rPr>
          <w:iCs/>
        </w:rPr>
        <w:t>-1</w:t>
      </w:r>
      <w:r w:rsidR="001757C6">
        <w:rPr>
          <w:iCs/>
        </w:rPr>
        <w:t>6</w:t>
      </w:r>
      <w:r>
        <w:rPr>
          <w:iCs/>
        </w:rPr>
        <w:t xml:space="preserve">, para. </w:t>
      </w:r>
      <w:r w:rsidR="001757C6">
        <w:rPr>
          <w:iCs/>
        </w:rPr>
        <w:t>33.</w:t>
      </w:r>
    </w:p>
  </w:footnote>
  <w:footnote w:id="78">
    <w:p w:rsidR="00343935" w14:paraId="2EDA05BD" w14:textId="132FC7E6">
      <w:pPr>
        <w:pStyle w:val="FootnoteText"/>
      </w:pPr>
      <w:r>
        <w:rPr>
          <w:rStyle w:val="FootnoteReference"/>
        </w:rPr>
        <w:footnoteRef/>
      </w:r>
      <w:r w:rsidR="68E62851">
        <w:t xml:space="preserve"> Google Comments at 14.</w:t>
      </w:r>
    </w:p>
  </w:footnote>
  <w:footnote w:id="79">
    <w:p w:rsidR="00493A4F" w:rsidRPr="00E44231" w:rsidP="00493A4F" w14:paraId="1B72F013" w14:textId="457AB186">
      <w:pPr>
        <w:pStyle w:val="FootnoteText"/>
      </w:pPr>
      <w:r>
        <w:rPr>
          <w:rStyle w:val="FootnoteReference"/>
        </w:rPr>
        <w:footnoteRef/>
      </w:r>
      <w:r>
        <w:t xml:space="preserve"> Comments of </w:t>
      </w:r>
      <w:r>
        <w:t>Acconeer at 20, Amazon at 3-4.</w:t>
      </w:r>
    </w:p>
  </w:footnote>
  <w:footnote w:id="80">
    <w:p w:rsidR="00343935" w14:paraId="66824982" w14:textId="2B1478A8">
      <w:pPr>
        <w:pStyle w:val="FootnoteText"/>
      </w:pPr>
      <w:r>
        <w:rPr>
          <w:rStyle w:val="FootnoteReference"/>
        </w:rPr>
        <w:footnoteRef/>
      </w:r>
      <w:r w:rsidR="68E62851">
        <w:t xml:space="preserve"> </w:t>
      </w:r>
      <w:r w:rsidR="68E62851">
        <w:t>Valeo Comments at 6.</w:t>
      </w:r>
    </w:p>
  </w:footnote>
  <w:footnote w:id="81">
    <w:p w:rsidR="00343935" w14:paraId="480406F9" w14:textId="4B657E0D">
      <w:pPr>
        <w:pStyle w:val="FootnoteText"/>
      </w:pPr>
      <w:r>
        <w:rPr>
          <w:rStyle w:val="FootnoteReference"/>
        </w:rPr>
        <w:footnoteRef/>
      </w:r>
      <w:r w:rsidR="68E62851">
        <w:t xml:space="preserve"> WISPA Comments at 10.</w:t>
      </w:r>
    </w:p>
  </w:footnote>
  <w:footnote w:id="82">
    <w:p w:rsidR="00237B46" w:rsidRPr="00E30D3F" w14:paraId="28A091F3" w14:textId="45D0C0DA">
      <w:pPr>
        <w:pStyle w:val="FootnoteText"/>
        <w:rPr>
          <w:i/>
          <w:iCs/>
        </w:rPr>
      </w:pPr>
      <w:r>
        <w:rPr>
          <w:rStyle w:val="FootnoteReference"/>
        </w:rPr>
        <w:footnoteRef/>
      </w:r>
      <w:r>
        <w:t xml:space="preserve"> </w:t>
      </w:r>
      <w:r>
        <w:rPr>
          <w:i/>
          <w:iCs/>
        </w:rPr>
        <w:t>See</w:t>
      </w:r>
      <w:r>
        <w:t xml:space="preserve"> </w:t>
      </w:r>
      <w:r>
        <w:rPr>
          <w:i/>
          <w:iCs/>
        </w:rPr>
        <w:t xml:space="preserve">ex </w:t>
      </w:r>
      <w:r>
        <w:rPr>
          <w:i/>
          <w:iCs/>
        </w:rPr>
        <w:t>parte</w:t>
      </w:r>
      <w:r>
        <w:t xml:space="preserve"> from Intel Corporation, Meta</w:t>
      </w:r>
      <w:r w:rsidR="00CB79E2">
        <w:t xml:space="preserve"> P</w:t>
      </w:r>
      <w:r>
        <w:t>latforms Inc.</w:t>
      </w:r>
      <w:r w:rsidR="00644364">
        <w:t>,</w:t>
      </w:r>
      <w:r>
        <w:t xml:space="preserve"> and Qualcomm Incorporated (filed </w:t>
      </w:r>
      <w:r w:rsidR="00CB79E2">
        <w:t>Aug. 19, 2022)</w:t>
      </w:r>
      <w:r>
        <w:t xml:space="preserve"> (“proposing </w:t>
      </w:r>
      <w:r w:rsidR="00A5706E">
        <w:t xml:space="preserve">the following 3 operating modes: </w:t>
      </w:r>
      <w:r>
        <w:t xml:space="preserve">(a) </w:t>
      </w:r>
      <w:r w:rsidR="00A5706E">
        <w:t>a</w:t>
      </w:r>
      <w:r w:rsidRPr="002261E0">
        <w:t xml:space="preserve"> radar operating within the 57.0-59.0 GHz band may use up to 20 dBm peak EIRP, 13 dBm/MHz peak EIRP PSD, and without any duty cycle restriction</w:t>
      </w:r>
      <w:r w:rsidR="00A5706E">
        <w:t>; (b) a</w:t>
      </w:r>
      <w:r w:rsidRPr="002261E0" w:rsidR="00A5706E">
        <w:t xml:space="preserve"> radar operating within the 57.0-61.5 GHz band may use up to 13 dBm peak EIRP, 13 dBm/MHz peak EIRP PSD, and a 10% duty cycle in every 33 </w:t>
      </w:r>
      <w:r w:rsidR="00231C1A">
        <w:t>ms</w:t>
      </w:r>
      <w:r w:rsidRPr="002261E0" w:rsidR="00A5706E">
        <w:t xml:space="preserve"> interval</w:t>
      </w:r>
      <w:r w:rsidR="00A5706E">
        <w:t>; a</w:t>
      </w:r>
      <w:r w:rsidRPr="002261E0" w:rsidR="00A5706E">
        <w:t xml:space="preserve">dditionally, the radar operating with the 57.0-61.5 GHz band must include at least X </w:t>
      </w:r>
      <w:r w:rsidR="00231C1A">
        <w:t>ms</w:t>
      </w:r>
      <w:r w:rsidRPr="002261E0" w:rsidR="00A5706E">
        <w:t xml:space="preserve"> of continuous silent time in every 2X </w:t>
      </w:r>
      <w:r w:rsidR="00231C1A">
        <w:t>ms</w:t>
      </w:r>
      <w:r w:rsidRPr="002261E0" w:rsidR="00A5706E">
        <w:t xml:space="preserve"> interval, where X is between 2 and 10 </w:t>
      </w:r>
      <w:r w:rsidR="00BB1F76">
        <w:t>ms</w:t>
      </w:r>
      <w:r w:rsidR="00A5706E">
        <w:t>; and (c) a</w:t>
      </w:r>
      <w:r w:rsidRPr="002261E0" w:rsidR="00A5706E">
        <w:t xml:space="preserve"> radar operating within the 57-64 GHz band may use up to 13 dBm peak EIRP, 13 dBm/MHz peak EIRP PSD and a 10% duty cycle with at least 26.4 </w:t>
      </w:r>
      <w:r w:rsidR="00231C1A">
        <w:t>ms</w:t>
      </w:r>
      <w:r w:rsidRPr="002261E0" w:rsidR="00A5706E">
        <w:t xml:space="preserve"> of continuous silence time in every 33 </w:t>
      </w:r>
      <w:r w:rsidR="00231C1A">
        <w:t>ms</w:t>
      </w:r>
      <w:r w:rsidRPr="002261E0" w:rsidR="00A5706E">
        <w:t xml:space="preserve"> interval.</w:t>
      </w:r>
      <w:r w:rsidR="00A5706E">
        <w:t>”)</w:t>
      </w:r>
      <w:r w:rsidR="00CB79E2">
        <w:t xml:space="preserve">.  </w:t>
      </w:r>
    </w:p>
  </w:footnote>
  <w:footnote w:id="83">
    <w:p w:rsidR="004D6DC4" w:rsidRPr="001B12E6" w14:paraId="1D047A8A" w14:textId="5C45C613">
      <w:pPr>
        <w:pStyle w:val="FootnoteText"/>
      </w:pPr>
      <w:r>
        <w:rPr>
          <w:rStyle w:val="FootnoteReference"/>
        </w:rPr>
        <w:footnoteRef/>
      </w:r>
      <w:r>
        <w:t xml:space="preserve"> </w:t>
      </w:r>
      <w:r w:rsidRPr="003038F2" w:rsidR="005E667F">
        <w:rPr>
          <w:i/>
          <w:iCs/>
        </w:rPr>
        <w:t>See</w:t>
      </w:r>
      <w:r w:rsidR="005E667F">
        <w:t xml:space="preserve"> </w:t>
      </w:r>
      <w:r w:rsidR="005E667F">
        <w:rPr>
          <w:i/>
          <w:iCs/>
        </w:rPr>
        <w:t xml:space="preserve">ex </w:t>
      </w:r>
      <w:r w:rsidR="005E667F">
        <w:rPr>
          <w:i/>
          <w:iCs/>
        </w:rPr>
        <w:t xml:space="preserve">parte </w:t>
      </w:r>
      <w:r w:rsidR="005E667F">
        <w:t xml:space="preserve">from radar companies represented by </w:t>
      </w:r>
      <w:r w:rsidRPr="003038F2" w:rsidR="005E667F">
        <w:t>Amazon.com Services LLC, Continental Corporation, Google LLC, IEE Sensing Inc., Infineon Technologies Americas Corp., and Texas Instruments Incorporated</w:t>
      </w:r>
      <w:r w:rsidR="005E667F">
        <w:t xml:space="preserve"> (filed Aug. 3, 2023)</w:t>
      </w:r>
      <w:r w:rsidR="001B12E6">
        <w:t xml:space="preserve">.  </w:t>
      </w:r>
      <w:r w:rsidR="001B12E6">
        <w:rPr>
          <w:i/>
          <w:iCs/>
        </w:rPr>
        <w:t xml:space="preserve">But see </w:t>
      </w:r>
      <w:r w:rsidR="00BC39F3">
        <w:t xml:space="preserve">Robert Bosch LLC </w:t>
      </w:r>
      <w:r w:rsidR="00BC39F3">
        <w:rPr>
          <w:i/>
          <w:iCs/>
        </w:rPr>
        <w:t>ex parte</w:t>
      </w:r>
      <w:r w:rsidR="00BC39F3">
        <w:t xml:space="preserve"> (filed Jan. 30, 2023) </w:t>
      </w:r>
      <w:r w:rsidR="001B12E6">
        <w:t>(</w:t>
      </w:r>
      <w:r w:rsidR="00BC39F3">
        <w:t>proposing that we</w:t>
      </w:r>
      <w:r w:rsidR="001B12E6">
        <w:t xml:space="preserve"> allow FDS to operate without any duty cycle restriction in </w:t>
      </w:r>
      <w:r w:rsidR="00BC39F3">
        <w:t xml:space="preserve">the 57.24-61.56 GHz </w:t>
      </w:r>
      <w:r w:rsidR="005921C3">
        <w:t xml:space="preserve">portion of the band, representing </w:t>
      </w:r>
      <w:r w:rsidR="001B12E6">
        <w:t>the first two WiGig channels)</w:t>
      </w:r>
      <w:r w:rsidR="005921C3">
        <w:t>.</w:t>
      </w:r>
    </w:p>
  </w:footnote>
  <w:footnote w:id="84">
    <w:p w:rsidR="00623467" w14:paraId="1A92CB45" w14:textId="74835524">
      <w:pPr>
        <w:pStyle w:val="FootnoteText"/>
      </w:pPr>
      <w:r>
        <w:rPr>
          <w:rStyle w:val="FootnoteReference"/>
        </w:rPr>
        <w:footnoteRef/>
      </w:r>
      <w:r>
        <w:t xml:space="preserve"> </w:t>
      </w:r>
      <w:r w:rsidR="003F35C0">
        <w:t xml:space="preserve">A fourth partitioning </w:t>
      </w:r>
      <w:r w:rsidR="007B6E0B">
        <w:t xml:space="preserve">(60-64 GHz) </w:t>
      </w:r>
      <w:r w:rsidR="003F35C0">
        <w:t xml:space="preserve">is also proposed specifically for operation on-board unmanned </w:t>
      </w:r>
      <w:r w:rsidR="0007368E">
        <w:t>aircraft</w:t>
      </w:r>
      <w:r w:rsidR="007B6E0B">
        <w:t>.</w:t>
      </w:r>
      <w:r w:rsidR="008428E4">
        <w:t xml:space="preserve">  This is further discussed in Section </w:t>
      </w:r>
      <w:r w:rsidR="00F56EDE">
        <w:t>III C</w:t>
      </w:r>
      <w:r w:rsidR="00CB2805">
        <w:t xml:space="preserve">.1 On-board Aircraft Operation, </w:t>
      </w:r>
      <w:r w:rsidRPr="00E30D3F" w:rsidR="00CB2805">
        <w:rPr>
          <w:i/>
          <w:iCs/>
        </w:rPr>
        <w:t>infra</w:t>
      </w:r>
      <w:r w:rsidR="00CB2805">
        <w:t>.</w:t>
      </w:r>
    </w:p>
  </w:footnote>
  <w:footnote w:id="85">
    <w:p w:rsidR="002A0140" w:rsidRPr="002A0140" w14:paraId="1A4704D3" w14:textId="3D0CCC6F">
      <w:pPr>
        <w:pStyle w:val="FootnoteText"/>
      </w:pPr>
      <w:r>
        <w:rPr>
          <w:rStyle w:val="FootnoteReference"/>
        </w:rPr>
        <w:footnoteRef/>
      </w:r>
      <w:r>
        <w:t xml:space="preserve"> </w:t>
      </w:r>
      <w:r>
        <w:rPr>
          <w:i/>
          <w:iCs/>
        </w:rPr>
        <w:t xml:space="preserve">See </w:t>
      </w:r>
      <w:r>
        <w:t xml:space="preserve">discussion in para. 33, </w:t>
      </w:r>
      <w:r w:rsidRPr="00EB286B">
        <w:rPr>
          <w:i/>
          <w:iCs/>
        </w:rPr>
        <w:t>supra</w:t>
      </w:r>
      <w:r>
        <w:t>.</w:t>
      </w:r>
    </w:p>
  </w:footnote>
  <w:footnote w:id="86">
    <w:p w:rsidR="00633F42" w:rsidRPr="00DE1108" w:rsidP="00633F42" w14:paraId="40A48A09" w14:textId="21C55299">
      <w:pPr>
        <w:pStyle w:val="FootnoteText"/>
      </w:pPr>
      <w:r>
        <w:rPr>
          <w:rStyle w:val="FootnoteReference"/>
        </w:rPr>
        <w:footnoteRef/>
      </w:r>
      <w:r>
        <w:t xml:space="preserve"> The soft band segmentation framework is derived from the work started by </w:t>
      </w:r>
      <w:r w:rsidRPr="00F13E1B">
        <w:rPr>
          <w:color w:val="000000"/>
        </w:rPr>
        <w:t>the 60 GHz Co-existence Study Group</w:t>
      </w:r>
      <w:r>
        <w:rPr>
          <w:color w:val="000000"/>
        </w:rPr>
        <w:t xml:space="preserve">.  </w:t>
      </w:r>
      <w:r>
        <w:rPr>
          <w:i/>
          <w:iCs/>
          <w:color w:val="000000"/>
        </w:rPr>
        <w:t>See</w:t>
      </w:r>
      <w:r>
        <w:rPr>
          <w:color w:val="000000"/>
        </w:rPr>
        <w:t xml:space="preserve"> </w:t>
      </w:r>
      <w:r>
        <w:rPr>
          <w:i/>
          <w:iCs/>
        </w:rPr>
        <w:t>NPRM</w:t>
      </w:r>
      <w:r>
        <w:t xml:space="preserve">, </w:t>
      </w:r>
      <w:r>
        <w:rPr>
          <w:iCs/>
        </w:rPr>
        <w:t xml:space="preserve">36 FCC </w:t>
      </w:r>
      <w:r>
        <w:rPr>
          <w:iCs/>
        </w:rPr>
        <w:t>Rcd at 11915-16, para. 33.</w:t>
      </w:r>
    </w:p>
  </w:footnote>
  <w:footnote w:id="87">
    <w:p w:rsidR="00434F40" w14:paraId="097681A6" w14:textId="7CA0422E">
      <w:pPr>
        <w:pStyle w:val="FootnoteText"/>
      </w:pPr>
      <w:r>
        <w:rPr>
          <w:rStyle w:val="FootnoteReference"/>
        </w:rPr>
        <w:footnoteRef/>
      </w:r>
      <w:r>
        <w:t xml:space="preserve"> </w:t>
      </w:r>
      <w:r w:rsidR="00CA342E">
        <w:rPr>
          <w:i/>
          <w:iCs/>
        </w:rPr>
        <w:t>NPRM</w:t>
      </w:r>
      <w:r w:rsidR="00CA342E">
        <w:t xml:space="preserve">, </w:t>
      </w:r>
      <w:r>
        <w:rPr>
          <w:iCs/>
        </w:rPr>
        <w:t xml:space="preserve">36 FCC </w:t>
      </w:r>
      <w:r>
        <w:rPr>
          <w:iCs/>
        </w:rPr>
        <w:t>Rcd</w:t>
      </w:r>
      <w:r w:rsidR="00CA342E">
        <w:rPr>
          <w:iCs/>
        </w:rPr>
        <w:t xml:space="preserve"> </w:t>
      </w:r>
      <w:r w:rsidR="6AD549E2">
        <w:rPr>
          <w:iCs/>
        </w:rPr>
        <w:t xml:space="preserve">at </w:t>
      </w:r>
      <w:r w:rsidR="00E92721">
        <w:rPr>
          <w:iCs/>
        </w:rPr>
        <w:t xml:space="preserve">11910, para. </w:t>
      </w:r>
      <w:r w:rsidRPr="317EBF55" w:rsidR="317EBF55">
        <w:t>24</w:t>
      </w:r>
      <w:r w:rsidR="00E92721">
        <w:rPr>
          <w:iCs/>
        </w:rPr>
        <w:t>.</w:t>
      </w:r>
    </w:p>
  </w:footnote>
  <w:footnote w:id="88">
    <w:p w:rsidR="00343935" w:rsidP="00810641" w14:paraId="1DC11146" w14:textId="77777777">
      <w:pPr>
        <w:pStyle w:val="FootnoteText"/>
      </w:pPr>
      <w:r>
        <w:rPr>
          <w:rStyle w:val="FootnoteReference"/>
        </w:rPr>
        <w:footnoteRef/>
      </w:r>
      <w:r>
        <w:t xml:space="preserve"> All the 60 GHz waiver requests asked for 13 dBm EIRP, which is the same level we granted in the </w:t>
      </w:r>
      <w:r w:rsidRPr="00E275C4">
        <w:rPr>
          <w:i/>
          <w:iCs/>
        </w:rPr>
        <w:t>Google</w:t>
      </w:r>
      <w:r>
        <w:t xml:space="preserve"> </w:t>
      </w:r>
      <w:r w:rsidRPr="00E275C4">
        <w:rPr>
          <w:i/>
          <w:iCs/>
        </w:rPr>
        <w:t>Waiver</w:t>
      </w:r>
      <w:r>
        <w:t>.</w:t>
      </w:r>
    </w:p>
  </w:footnote>
  <w:footnote w:id="89">
    <w:p w:rsidR="00405B3D" w:rsidP="00405B3D" w14:paraId="019551D2" w14:textId="77777777">
      <w:pPr>
        <w:pStyle w:val="FootnoteText"/>
      </w:pPr>
      <w:r>
        <w:rPr>
          <w:rStyle w:val="FootnoteReference"/>
        </w:rPr>
        <w:footnoteRef/>
      </w:r>
      <w:r>
        <w:t xml:space="preserve"> </w:t>
      </w:r>
      <w:r w:rsidRPr="00434F40">
        <w:rPr>
          <w:i/>
        </w:rPr>
        <w:t>NPRM</w:t>
      </w:r>
      <w:r w:rsidRPr="00434F40">
        <w:rPr>
          <w:iCs/>
        </w:rPr>
        <w:t xml:space="preserve">, 36 FCC </w:t>
      </w:r>
      <w:r w:rsidRPr="00434F40">
        <w:rPr>
          <w:iCs/>
        </w:rPr>
        <w:t xml:space="preserve">Rcd </w:t>
      </w:r>
      <w:r w:rsidRPr="6AD549E2">
        <w:t xml:space="preserve">at </w:t>
      </w:r>
      <w:r w:rsidRPr="00434F40">
        <w:rPr>
          <w:iCs/>
        </w:rPr>
        <w:t>11910,</w:t>
      </w:r>
      <w:r w:rsidRPr="6AD549E2">
        <w:rPr>
          <w:sz w:val="22"/>
          <w:szCs w:val="22"/>
        </w:rPr>
        <w:t xml:space="preserve"> </w:t>
      </w:r>
      <w:r>
        <w:t>para. 23.</w:t>
      </w:r>
    </w:p>
  </w:footnote>
  <w:footnote w:id="90">
    <w:p w:rsidR="00343935" w:rsidP="000D5CDF" w14:paraId="0B52D8A4" w14:textId="06B75483">
      <w:pPr>
        <w:pStyle w:val="FootnoteText"/>
      </w:pPr>
      <w:r>
        <w:rPr>
          <w:rStyle w:val="FootnoteReference"/>
        </w:rPr>
        <w:footnoteRef/>
      </w:r>
      <w:r>
        <w:t xml:space="preserve"> </w:t>
      </w:r>
      <w:r w:rsidRPr="009A40C4">
        <w:rPr>
          <w:i/>
          <w:iCs/>
        </w:rPr>
        <w:t>See</w:t>
      </w:r>
      <w:r w:rsidRPr="1D370D4E">
        <w:rPr>
          <w:i/>
          <w:iCs/>
        </w:rPr>
        <w:t>,</w:t>
      </w:r>
      <w:r w:rsidRPr="00E73752">
        <w:rPr>
          <w:i/>
        </w:rPr>
        <w:t xml:space="preserve"> e.g.</w:t>
      </w:r>
      <w:r>
        <w:t xml:space="preserve">, </w:t>
      </w:r>
      <w:r w:rsidRPr="00656E14">
        <w:rPr>
          <w:i/>
          <w:iCs/>
        </w:rPr>
        <w:t>Vayyar Imaging Ltd. Modification of Request for Limited Waiver</w:t>
      </w:r>
      <w:r>
        <w:rPr>
          <w:i/>
          <w:iCs/>
        </w:rPr>
        <w:t xml:space="preserve"> of 47 CFR 15.255</w:t>
      </w:r>
      <w:r>
        <w:t>, ET Docket 20-15 at 4</w:t>
      </w:r>
      <w:r w:rsidR="005A3430">
        <w:t xml:space="preserve"> (filed May 5, 2020)</w:t>
      </w:r>
      <w:r>
        <w:t>.</w:t>
      </w:r>
    </w:p>
  </w:footnote>
  <w:footnote w:id="91">
    <w:p w:rsidR="00343935" w:rsidP="000D5CDF" w14:paraId="044DC6C7" w14:textId="1553904F">
      <w:pPr>
        <w:pStyle w:val="FootnoteText"/>
      </w:pPr>
      <w:r>
        <w:rPr>
          <w:rStyle w:val="FootnoteReference"/>
        </w:rPr>
        <w:footnoteRef/>
      </w:r>
      <w:r w:rsidR="2866BE03">
        <w:t xml:space="preserve"> </w:t>
      </w:r>
      <w:r w:rsidRPr="6AD549E2" w:rsidR="6AD549E2">
        <w:rPr>
          <w:i/>
          <w:iCs/>
        </w:rPr>
        <w:t xml:space="preserve"> Leica Waiver Order </w:t>
      </w:r>
      <w:r w:rsidRPr="6AD549E2" w:rsidR="6AD549E2">
        <w:t xml:space="preserve">FCC </w:t>
      </w:r>
      <w:r w:rsidRPr="6AD549E2" w:rsidR="6AD549E2">
        <w:t>Rcd at 7933-7934, para. 9</w:t>
      </w:r>
      <w:r w:rsidRPr="00901E5A" w:rsidR="6AD549E2">
        <w:t>.</w:t>
      </w:r>
      <w:r w:rsidR="2866BE03">
        <w:t xml:space="preserve">  </w:t>
      </w:r>
      <w:r w:rsidRPr="2866BE03" w:rsidR="2866BE03">
        <w:rPr>
          <w:i/>
          <w:iCs/>
        </w:rPr>
        <w:t>See also</w:t>
      </w:r>
      <w:r w:rsidR="2866BE03">
        <w:t xml:space="preserve"> </w:t>
      </w:r>
      <w:r w:rsidRPr="2866BE03" w:rsidR="2866BE03">
        <w:rPr>
          <w:i/>
          <w:iCs/>
        </w:rPr>
        <w:t>supra</w:t>
      </w:r>
      <w:r w:rsidR="2866BE03">
        <w:t xml:space="preserve"> para </w:t>
      </w:r>
      <w:r>
        <w:fldChar w:fldCharType="begin"/>
      </w:r>
      <w:r>
        <w:instrText xml:space="preserve"> REF _Ref74687598 \r \h </w:instrText>
      </w:r>
      <w:r>
        <w:fldChar w:fldCharType="separate"/>
      </w:r>
      <w:r w:rsidR="00511D87">
        <w:t>8</w:t>
      </w:r>
      <w:r>
        <w:fldChar w:fldCharType="end"/>
      </w:r>
      <w:r w:rsidR="2866BE03">
        <w:t xml:space="preserve"> (discussing this waiver). </w:t>
      </w:r>
    </w:p>
  </w:footnote>
  <w:footnote w:id="92">
    <w:p w:rsidR="00343935" w14:paraId="61BCCEBD" w14:textId="5FD0961E">
      <w:pPr>
        <w:pStyle w:val="FootnoteText"/>
      </w:pPr>
      <w:r>
        <w:rPr>
          <w:rStyle w:val="FootnoteReference"/>
        </w:rPr>
        <w:footnoteRef/>
      </w:r>
      <w:r w:rsidRPr="4A1C0502" w:rsidR="4A1C0502">
        <w:rPr>
          <w:i/>
          <w:iCs/>
        </w:rPr>
        <w:t xml:space="preserve"> See, e.g.,</w:t>
      </w:r>
      <w:r w:rsidR="4A1C0502">
        <w:t xml:space="preserve"> </w:t>
      </w:r>
      <w:r w:rsidR="4A1C0502">
        <w:t>Acconeer Comments at 2; Amazon Comments at 2; Infineon Comments at 7.</w:t>
      </w:r>
    </w:p>
  </w:footnote>
  <w:footnote w:id="93">
    <w:p w:rsidR="003154F5" w:rsidRPr="00027F8C" w14:paraId="5663874A" w14:textId="15FAA8CC">
      <w:pPr>
        <w:pStyle w:val="FootnoteText"/>
      </w:pPr>
      <w:r>
        <w:rPr>
          <w:rStyle w:val="FootnoteReference"/>
        </w:rPr>
        <w:footnoteRef/>
      </w:r>
      <w:r w:rsidR="4A1C0502">
        <w:t xml:space="preserve"> </w:t>
      </w:r>
      <w:r w:rsidRPr="4A1C0502" w:rsidR="4A1C0502">
        <w:rPr>
          <w:i/>
          <w:iCs/>
        </w:rPr>
        <w:t>See, e.g.</w:t>
      </w:r>
      <w:r w:rsidR="4A1C0502">
        <w:rPr>
          <w:szCs w:val="22"/>
        </w:rPr>
        <w:t xml:space="preserve">, </w:t>
      </w:r>
      <w:r w:rsidRPr="68E62851" w:rsidR="4A1C0502">
        <w:t>Acconeer Comments at Appendix A;</w:t>
      </w:r>
      <w:r w:rsidRPr="00706F9C" w:rsidR="4A1C0502">
        <w:t xml:space="preserve"> </w:t>
      </w:r>
      <w:r w:rsidR="4A1C0502">
        <w:t>Infineon Reply Comments at Appendix A and Enclosure; Google Comments at Appendices A-G;</w:t>
      </w:r>
      <w:r w:rsidR="00AB135E">
        <w:t xml:space="preserve"> </w:t>
      </w:r>
      <w:r w:rsidR="4A1C0502">
        <w:t>Peraso Reply Comments.</w:t>
      </w:r>
    </w:p>
  </w:footnote>
  <w:footnote w:id="94">
    <w:p w:rsidR="00343935" w14:paraId="3208ADFF" w14:textId="7CE67991">
      <w:pPr>
        <w:pStyle w:val="FootnoteText"/>
      </w:pPr>
      <w:r>
        <w:rPr>
          <w:rStyle w:val="FootnoteReference"/>
        </w:rPr>
        <w:footnoteRef/>
      </w:r>
      <w:r>
        <w:t xml:space="preserve"> FB</w:t>
      </w:r>
      <w:r w:rsidR="002352B2">
        <w:t xml:space="preserve"> </w:t>
      </w:r>
      <w:r w:rsidR="002352B2">
        <w:rPr>
          <w:i/>
          <w:iCs/>
        </w:rPr>
        <w:t xml:space="preserve">et al </w:t>
      </w:r>
      <w:r>
        <w:t>at 15.</w:t>
      </w:r>
      <w:r w:rsidRPr="00440D42" w:rsidR="00440D42">
        <w:t xml:space="preserve"> </w:t>
      </w:r>
      <w:r w:rsidR="00440D42">
        <w:t xml:space="preserve"> </w:t>
      </w:r>
      <w:r w:rsidRPr="00440D42" w:rsidR="00440D42">
        <w:rPr>
          <w:i/>
          <w:iCs/>
        </w:rPr>
        <w:t>See also</w:t>
      </w:r>
      <w:r w:rsidR="00440D42">
        <w:t xml:space="preserve"> Intel/Meta Platforms/Qualcomm (Intel </w:t>
      </w:r>
      <w:r w:rsidRPr="00547540" w:rsidR="00440D42">
        <w:rPr>
          <w:i/>
          <w:iCs/>
        </w:rPr>
        <w:t>et al</w:t>
      </w:r>
      <w:r w:rsidR="00440D42">
        <w:t xml:space="preserve">) </w:t>
      </w:r>
      <w:r w:rsidRPr="00312D16" w:rsidR="00440D42">
        <w:rPr>
          <w:i/>
          <w:iCs/>
        </w:rPr>
        <w:t xml:space="preserve">ex </w:t>
      </w:r>
      <w:r w:rsidRPr="00312D16" w:rsidR="00440D42">
        <w:rPr>
          <w:i/>
          <w:iCs/>
        </w:rPr>
        <w:t>parte</w:t>
      </w:r>
      <w:r w:rsidR="00440D42">
        <w:t xml:space="preserve"> (filed Feb 16, 2022).</w:t>
      </w:r>
    </w:p>
  </w:footnote>
  <w:footnote w:id="95">
    <w:p w:rsidR="00343935" w:rsidRPr="00A50E17" w14:paraId="283CD6F1" w14:textId="1C3C6D4D">
      <w:pPr>
        <w:pStyle w:val="FootnoteText"/>
        <w:rPr>
          <w:i/>
        </w:rPr>
      </w:pPr>
      <w:r>
        <w:rPr>
          <w:rStyle w:val="FootnoteReference"/>
        </w:rPr>
        <w:footnoteRef/>
      </w:r>
      <w:r>
        <w:t xml:space="preserve"> Blu Wireless comments at 4-5.</w:t>
      </w:r>
      <w:r w:rsidR="00AC63A2">
        <w:t xml:space="preserve">  </w:t>
      </w:r>
      <w:r w:rsidR="00AC63A2">
        <w:rPr>
          <w:i/>
          <w:iCs/>
        </w:rPr>
        <w:t>See also</w:t>
      </w:r>
      <w:r w:rsidR="00AC63A2">
        <w:rPr>
          <w:i/>
        </w:rPr>
        <w:t xml:space="preserve"> </w:t>
      </w:r>
      <w:r w:rsidR="00AC63A2">
        <w:t>“</w:t>
      </w:r>
      <w:r w:rsidRPr="00422189" w:rsidR="00AC63A2">
        <w:t>IEEE Draft Standard for Information Technology-Telecommunications and Information Exchange Between Systems - Local and Metropolitan Area Networks-Specific Requirements Part 11: Wireless LAN Medium Access Control (MAC) and Physical Layer (PHY) Specifications-Amendment 2: Enhanced Throughput for Operation in License-Exempt Bands Above 45 GHz,</w:t>
      </w:r>
      <w:r w:rsidR="00AC63A2">
        <w:t>”</w:t>
      </w:r>
      <w:r w:rsidRPr="00422189" w:rsidR="00AC63A2">
        <w:t xml:space="preserve"> </w:t>
      </w:r>
      <w:r w:rsidRPr="6910C03C" w:rsidR="00AC63A2">
        <w:rPr>
          <w:i/>
          <w:iCs/>
        </w:rPr>
        <w:t>in IEEE P802.11ay/D7.0</w:t>
      </w:r>
      <w:r w:rsidRPr="00422189" w:rsidR="00AC63A2">
        <w:t xml:space="preserve">, pp.1-784, Dec. </w:t>
      </w:r>
      <w:r w:rsidR="00CA4B4B">
        <w:t xml:space="preserve">11, </w:t>
      </w:r>
      <w:r w:rsidRPr="00422189" w:rsidR="00AC63A2">
        <w:t>2020</w:t>
      </w:r>
      <w:r w:rsidR="00573A62">
        <w:t>.</w:t>
      </w:r>
    </w:p>
  </w:footnote>
  <w:footnote w:id="96">
    <w:p w:rsidR="00AD57EA" w:rsidP="00AD57EA" w14:paraId="53D660E5" w14:textId="27AB2287">
      <w:pPr>
        <w:pStyle w:val="FootnoteText"/>
      </w:pPr>
      <w:r>
        <w:rPr>
          <w:rStyle w:val="FootnoteReference"/>
        </w:rPr>
        <w:footnoteRef/>
      </w:r>
      <w:r w:rsidR="68E62851">
        <w:t xml:space="preserve"> Google Reply Comments at 7-8.</w:t>
      </w:r>
    </w:p>
  </w:footnote>
  <w:footnote w:id="97">
    <w:p w:rsidR="00E62EF8" w14:paraId="113679C2" w14:textId="370CD9A4">
      <w:pPr>
        <w:pStyle w:val="FootnoteText"/>
      </w:pPr>
      <w:r>
        <w:rPr>
          <w:rStyle w:val="FootnoteReference"/>
        </w:rPr>
        <w:footnoteRef/>
      </w:r>
      <w:r>
        <w:t xml:space="preserve"> </w:t>
      </w:r>
      <w:r w:rsidRPr="00BB67D9">
        <w:rPr>
          <w:i/>
          <w:iCs/>
        </w:rPr>
        <w:t>See</w:t>
      </w:r>
      <w:r>
        <w:t xml:space="preserve"> discussion in para. 25, </w:t>
      </w:r>
      <w:r w:rsidRPr="00BB67D9">
        <w:rPr>
          <w:i/>
          <w:iCs/>
        </w:rPr>
        <w:t>supra</w:t>
      </w:r>
      <w:r>
        <w:t xml:space="preserve">. </w:t>
      </w:r>
    </w:p>
  </w:footnote>
  <w:footnote w:id="98">
    <w:p w:rsidR="009C2607" w:rsidP="009C2607" w14:paraId="15B0C3F4" w14:textId="6B585E9F">
      <w:pPr>
        <w:pStyle w:val="FootnoteText"/>
      </w:pPr>
      <w:r>
        <w:rPr>
          <w:rStyle w:val="FootnoteReference"/>
        </w:rPr>
        <w:footnoteRef/>
      </w:r>
      <w:r>
        <w:t xml:space="preserve"> NTIA </w:t>
      </w:r>
      <w:r w:rsidRPr="007206DC">
        <w:rPr>
          <w:i/>
          <w:iCs/>
        </w:rPr>
        <w:t xml:space="preserve">ex </w:t>
      </w:r>
      <w:r w:rsidRPr="007206DC">
        <w:rPr>
          <w:i/>
          <w:iCs/>
        </w:rPr>
        <w:t>parte</w:t>
      </w:r>
      <w:r>
        <w:t xml:space="preserve"> at 1-2</w:t>
      </w:r>
      <w:r w:rsidR="00BB1761">
        <w:t xml:space="preserve"> (filed June 21, 2022)</w:t>
      </w:r>
      <w:r>
        <w:t>.</w:t>
      </w:r>
    </w:p>
  </w:footnote>
  <w:footnote w:id="99">
    <w:p w:rsidR="00E42E89" w:rsidP="00E42E89" w14:paraId="0B94B9CE" w14:textId="5CFF7B1E">
      <w:pPr>
        <w:pStyle w:val="FootnoteText"/>
      </w:pPr>
      <w:r>
        <w:rPr>
          <w:rStyle w:val="FootnoteReference"/>
        </w:rPr>
        <w:footnoteRef/>
      </w:r>
      <w:r>
        <w:t xml:space="preserve"> </w:t>
      </w:r>
      <w:r w:rsidRPr="00F527E5">
        <w:rPr>
          <w:i/>
          <w:iCs/>
        </w:rPr>
        <w:t>NPRM</w:t>
      </w:r>
      <w:r w:rsidR="00D5443D">
        <w:t xml:space="preserve">, </w:t>
      </w:r>
      <w:r w:rsidRPr="00D5443D" w:rsidR="00D5443D">
        <w:t>36</w:t>
      </w:r>
      <w:r w:rsidR="00D5443D">
        <w:rPr>
          <w:iCs/>
        </w:rPr>
        <w:t xml:space="preserve"> FCC </w:t>
      </w:r>
      <w:r w:rsidR="00D5443D">
        <w:rPr>
          <w:iCs/>
        </w:rPr>
        <w:t>Rcd at 1191</w:t>
      </w:r>
      <w:r w:rsidR="00F527E5">
        <w:rPr>
          <w:iCs/>
        </w:rPr>
        <w:t>3</w:t>
      </w:r>
      <w:r w:rsidR="00D5443D">
        <w:rPr>
          <w:iCs/>
        </w:rPr>
        <w:t>,</w:t>
      </w:r>
      <w:r>
        <w:t xml:space="preserve"> para. 29.</w:t>
      </w:r>
    </w:p>
  </w:footnote>
  <w:footnote w:id="100">
    <w:p w:rsidR="007A1221" w:rsidRPr="00705038" w:rsidP="007A1221" w14:paraId="4DD97BA3" w14:textId="77777777">
      <w:pPr>
        <w:pStyle w:val="FootnoteText"/>
      </w:pPr>
      <w:r>
        <w:rPr>
          <w:rStyle w:val="FootnoteReference"/>
        </w:rPr>
        <w:footnoteRef/>
      </w:r>
      <w:r>
        <w:t xml:space="preserve"> </w:t>
      </w:r>
      <w:r w:rsidRPr="00CE2F61">
        <w:rPr>
          <w:i/>
          <w:iCs/>
        </w:rPr>
        <w:t>Duty cycle</w:t>
      </w:r>
      <w:r>
        <w:t xml:space="preserve"> is defined as </w:t>
      </w:r>
      <w:r w:rsidRPr="006A5D67">
        <w:t>the ratio of the t</w:t>
      </w:r>
      <w:r>
        <w:t>ime</w:t>
      </w:r>
      <w:r w:rsidRPr="006A5D67">
        <w:t xml:space="preserve">-on time of a </w:t>
      </w:r>
      <w:r>
        <w:t>transmitter</w:t>
      </w:r>
      <w:r w:rsidRPr="006A5D67">
        <w:t xml:space="preserve"> to the sum of the t</w:t>
      </w:r>
      <w:r>
        <w:t>ime</w:t>
      </w:r>
      <w:r w:rsidRPr="006A5D67">
        <w:t>-on and t</w:t>
      </w:r>
      <w:r>
        <w:t>ime</w:t>
      </w:r>
      <w:r w:rsidRPr="006A5D67">
        <w:t>-off times; T</w:t>
      </w:r>
      <w:r>
        <w:t>ime</w:t>
      </w:r>
      <w:r w:rsidRPr="006A5D67">
        <w:t>-on / (T</w:t>
      </w:r>
      <w:r>
        <w:t>ime</w:t>
      </w:r>
      <w:r w:rsidRPr="006A5D67">
        <w:t>-on + T</w:t>
      </w:r>
      <w:r>
        <w:t>ime</w:t>
      </w:r>
      <w:r w:rsidRPr="006A5D67">
        <w:t>-off)</w:t>
      </w:r>
      <w:r>
        <w:t xml:space="preserve">.  </w:t>
      </w:r>
      <w:r w:rsidRPr="00484171">
        <w:rPr>
          <w:i/>
          <w:iCs/>
        </w:rPr>
        <w:t>See</w:t>
      </w:r>
      <w:r>
        <w:rPr>
          <w:i/>
          <w:iCs/>
        </w:rPr>
        <w:t xml:space="preserve"> </w:t>
      </w:r>
      <w:r w:rsidRPr="00705038">
        <w:rPr>
          <w:i/>
          <w:iCs/>
          <w:color w:val="000000"/>
        </w:rPr>
        <w:t>Book/Definitions Electrical Engineering Dictionary</w:t>
      </w:r>
      <w:r>
        <w:rPr>
          <w:i/>
          <w:iCs/>
          <w:color w:val="000000"/>
        </w:rPr>
        <w:t>,</w:t>
      </w:r>
      <w:r w:rsidRPr="00F2392C">
        <w:rPr>
          <w:color w:val="000000"/>
        </w:rPr>
        <w:t xml:space="preserve"> Ed. Phillip A. </w:t>
      </w:r>
      <w:r w:rsidRPr="00F2392C">
        <w:rPr>
          <w:color w:val="000000"/>
        </w:rPr>
        <w:t>Laplante Boca Raton: CRC Press LLC</w:t>
      </w:r>
      <w:r>
        <w:rPr>
          <w:color w:val="000000"/>
        </w:rPr>
        <w:t xml:space="preserve"> (2000).</w:t>
      </w:r>
    </w:p>
  </w:footnote>
  <w:footnote w:id="101">
    <w:p w:rsidR="00343935" w14:paraId="1E30D261" w14:textId="03C5819A">
      <w:pPr>
        <w:pStyle w:val="FootnoteText"/>
      </w:pPr>
      <w:r>
        <w:rPr>
          <w:rStyle w:val="FootnoteReference"/>
        </w:rPr>
        <w:footnoteRef/>
      </w:r>
      <w:r>
        <w:t xml:space="preserve"> </w:t>
      </w:r>
      <w:r w:rsidRPr="004612ED" w:rsidR="00EE214C">
        <w:rPr>
          <w:i/>
        </w:rPr>
        <w:t>NPRM</w:t>
      </w:r>
      <w:r w:rsidR="004612ED">
        <w:rPr>
          <w:iCs/>
        </w:rPr>
        <w:t xml:space="preserve">, 36 FCC </w:t>
      </w:r>
      <w:r w:rsidR="004612ED">
        <w:rPr>
          <w:iCs/>
        </w:rPr>
        <w:t>Rcd</w:t>
      </w:r>
      <w:r w:rsidR="00496AAA">
        <w:rPr>
          <w:iCs/>
        </w:rPr>
        <w:t xml:space="preserve"> </w:t>
      </w:r>
      <w:r w:rsidR="6AD549E2">
        <w:rPr>
          <w:iCs/>
        </w:rPr>
        <w:t xml:space="preserve">at </w:t>
      </w:r>
      <w:r w:rsidR="000F31D5">
        <w:rPr>
          <w:iCs/>
        </w:rPr>
        <w:t>11913-</w:t>
      </w:r>
      <w:r w:rsidR="004A4EE6">
        <w:rPr>
          <w:iCs/>
        </w:rPr>
        <w:t>15,</w:t>
      </w:r>
      <w:r>
        <w:t xml:space="preserve"> paras. 30-32.</w:t>
      </w:r>
    </w:p>
  </w:footnote>
  <w:footnote w:id="102">
    <w:p w:rsidR="00343935" w:rsidRPr="00183339" w:rsidP="00F13E1B" w14:paraId="535AF74A" w14:textId="3D85B28A">
      <w:pPr>
        <w:pStyle w:val="FootnoteText"/>
      </w:pPr>
      <w:r>
        <w:rPr>
          <w:rStyle w:val="FootnoteReference"/>
        </w:rPr>
        <w:footnoteRef/>
      </w:r>
      <w:r>
        <w:t xml:space="preserve"> </w:t>
      </w:r>
      <w:r w:rsidRPr="00BB3358">
        <w:rPr>
          <w:i/>
        </w:rPr>
        <w:t>See</w:t>
      </w:r>
      <w:r>
        <w:t xml:space="preserve"> </w:t>
      </w:r>
      <w:r w:rsidRPr="0088528F" w:rsidR="001C0F83">
        <w:rPr>
          <w:i/>
          <w:iCs/>
        </w:rPr>
        <w:t xml:space="preserve">ex </w:t>
      </w:r>
      <w:r w:rsidRPr="0088528F" w:rsidR="001C0F83">
        <w:rPr>
          <w:i/>
          <w:iCs/>
        </w:rPr>
        <w:t>parte</w:t>
      </w:r>
      <w:r w:rsidR="001C0F83">
        <w:t xml:space="preserve"> </w:t>
      </w:r>
      <w:r w:rsidRPr="004C43A4">
        <w:rPr>
          <w:color w:val="000000"/>
        </w:rPr>
        <w:t xml:space="preserve">from </w:t>
      </w:r>
      <w:r>
        <w:t>Google LLC and Facebook, Inc.</w:t>
      </w:r>
      <w:r w:rsidR="001C0F83">
        <w:t>,</w:t>
      </w:r>
      <w:r>
        <w:t xml:space="preserve"> ET Docket No. 18-70 (filed Sept. 7, 2018).  Google agreed to the 3.3 ms duty cycle restriction after extensive consultation with Facebook and other stakeholders, as outlined in the above filing.</w:t>
      </w:r>
      <w:r w:rsidR="00705080">
        <w:t xml:space="preserve">  </w:t>
      </w:r>
      <w:r w:rsidR="003212A9">
        <w:t>H</w:t>
      </w:r>
      <w:r w:rsidR="00705080">
        <w:t>owever</w:t>
      </w:r>
      <w:r w:rsidR="6AD549E2">
        <w:t>,</w:t>
      </w:r>
      <w:r w:rsidR="00705080">
        <w:t xml:space="preserve"> </w:t>
      </w:r>
      <w:r w:rsidRPr="00FC3029" w:rsidR="00705080">
        <w:t xml:space="preserve">in some of the waiver requests, parties </w:t>
      </w:r>
      <w:r w:rsidR="003212A9">
        <w:t xml:space="preserve">had </w:t>
      </w:r>
      <w:r w:rsidRPr="00FC3029" w:rsidR="00705080">
        <w:t xml:space="preserve">asked for </w:t>
      </w:r>
      <w:r w:rsidR="00705080">
        <w:t xml:space="preserve">a </w:t>
      </w:r>
      <w:r w:rsidRPr="00FC3029" w:rsidR="00705080">
        <w:t>longer transmission time fram</w:t>
      </w:r>
      <w:r w:rsidR="00705080">
        <w:t>e</w:t>
      </w:r>
      <w:r w:rsidR="00183339">
        <w:t xml:space="preserve">.  </w:t>
      </w:r>
      <w:r w:rsidR="00183339">
        <w:rPr>
          <w:i/>
          <w:iCs/>
        </w:rPr>
        <w:t>See, e.g.</w:t>
      </w:r>
      <w:r w:rsidR="00183339">
        <w:t xml:space="preserve">, Valeo Reply Comments, ET Docket No. 20-121 at 5 (rec. June 23, 2020); </w:t>
      </w:r>
      <w:r w:rsidRPr="007D5471" w:rsidR="00183339">
        <w:rPr>
          <w:i/>
          <w:iCs/>
        </w:rPr>
        <w:t xml:space="preserve">Leica Geosystems AG’s Request for Waiver of </w:t>
      </w:r>
      <w:r w:rsidR="00735009">
        <w:rPr>
          <w:i/>
          <w:iCs/>
        </w:rPr>
        <w:t>P</w:t>
      </w:r>
      <w:r w:rsidRPr="007D5471" w:rsidR="00183339">
        <w:rPr>
          <w:i/>
          <w:iCs/>
        </w:rPr>
        <w:t>art 15 of the Commission’s Rules to Market a UAV Collision Avoidance Radar</w:t>
      </w:r>
      <w:r w:rsidR="00183339">
        <w:rPr>
          <w:color w:val="000000"/>
        </w:rPr>
        <w:t xml:space="preserve">, ET Docket No. 19-350 </w:t>
      </w:r>
      <w:r w:rsidRPr="007D5471" w:rsidR="00183339">
        <w:rPr>
          <w:color w:val="000000"/>
        </w:rPr>
        <w:t>(filed Sept</w:t>
      </w:r>
      <w:r w:rsidRPr="00F13E1B" w:rsidR="00183339">
        <w:rPr>
          <w:color w:val="000000"/>
        </w:rPr>
        <w:t>.</w:t>
      </w:r>
      <w:r w:rsidRPr="007D5471" w:rsidR="00183339">
        <w:rPr>
          <w:color w:val="000000"/>
        </w:rPr>
        <w:t xml:space="preserve"> 5, 2019)</w:t>
      </w:r>
      <w:r w:rsidR="00183339">
        <w:rPr>
          <w:color w:val="000000"/>
        </w:rPr>
        <w:t xml:space="preserve"> at 5.</w:t>
      </w:r>
    </w:p>
  </w:footnote>
  <w:footnote w:id="103">
    <w:p w:rsidR="00343935" w:rsidRPr="00884A7C" w14:paraId="091BB19C" w14:textId="139D4A17">
      <w:pPr>
        <w:pStyle w:val="FootnoteText"/>
      </w:pPr>
      <w:r>
        <w:rPr>
          <w:rStyle w:val="FootnoteReference"/>
        </w:rPr>
        <w:footnoteRef/>
      </w:r>
      <w:r w:rsidR="4A1C0502">
        <w:t xml:space="preserve"> </w:t>
      </w:r>
      <w:r w:rsidRPr="4A1C0502" w:rsidR="4A1C0502">
        <w:rPr>
          <w:i/>
          <w:iCs/>
        </w:rPr>
        <w:t>See e.g.,</w:t>
      </w:r>
      <w:r w:rsidRPr="00A56D53" w:rsidR="4A1C0502">
        <w:t xml:space="preserve"> </w:t>
      </w:r>
      <w:r w:rsidR="4A1C0502">
        <w:t xml:space="preserve">Acconeer Comments at 19; Amazon Comments at 8-9; IEE Sensing Comments at 6; Google Comments at 17; Husqvarna  Comments at 2.  </w:t>
      </w:r>
      <w:r w:rsidRPr="4A1C0502" w:rsidR="4A1C0502">
        <w:rPr>
          <w:i/>
          <w:iCs/>
        </w:rPr>
        <w:t xml:space="preserve">See also </w:t>
      </w:r>
      <w:r w:rsidR="4A1C0502">
        <w:t>Bosch Comments at 6-7 (suggesting</w:t>
      </w:r>
      <w:r w:rsidRPr="695573F5" w:rsidR="4A1C0502">
        <w:t xml:space="preserve"> that we increase the duty cycle limit to 50% along with average power limit specified during the transmission cycle</w:t>
      </w:r>
      <w:r w:rsidR="4A1C0502">
        <w:t>).</w:t>
      </w:r>
    </w:p>
  </w:footnote>
  <w:footnote w:id="104">
    <w:p w:rsidR="00343935" w14:paraId="6A57514C" w14:textId="172FBF00">
      <w:pPr>
        <w:pStyle w:val="FootnoteText"/>
      </w:pPr>
      <w:r>
        <w:rPr>
          <w:rStyle w:val="FootnoteReference"/>
        </w:rPr>
        <w:footnoteRef/>
      </w:r>
      <w:r w:rsidR="68E62851">
        <w:t xml:space="preserve"> IEE Sensing Comments at 6.  </w:t>
      </w:r>
      <w:r w:rsidRPr="00363BD6" w:rsidR="68E62851">
        <w:t>In an isochronous transmission, the sender and the receiver are synchronized in such a way that they send/receive during the same time slots</w:t>
      </w:r>
      <w:r w:rsidR="68E62851">
        <w:t>.</w:t>
      </w:r>
    </w:p>
  </w:footnote>
  <w:footnote w:id="105">
    <w:p w:rsidR="00343935" w:rsidRPr="00F55317" w14:paraId="73A810B7" w14:textId="480769E5">
      <w:pPr>
        <w:pStyle w:val="FootnoteText"/>
      </w:pPr>
      <w:r>
        <w:rPr>
          <w:rStyle w:val="FootnoteReference"/>
        </w:rPr>
        <w:footnoteRef/>
      </w:r>
      <w:r w:rsidR="68E62851">
        <w:t xml:space="preserve"> Infineon Comments at 6. </w:t>
      </w:r>
      <w:r w:rsidRPr="68E62851" w:rsidR="68E62851">
        <w:rPr>
          <w:i/>
          <w:iCs/>
        </w:rPr>
        <w:t xml:space="preserve">See also </w:t>
      </w:r>
      <w:r w:rsidR="68E62851">
        <w:t xml:space="preserve">Rivieh Comments (stating that </w:t>
      </w:r>
      <w:r w:rsidRPr="00963654" w:rsidR="68E62851">
        <w:rPr>
          <w:rFonts w:eastAsia="ArialMT"/>
        </w:rPr>
        <w:t>a lower duty cycle (e.g., 10% at 33ms intervals) may be adequate for short-range motion detection use cases, but it is insufficient for building automation</w:t>
      </w:r>
      <w:r w:rsidR="68E62851">
        <w:rPr>
          <w:rFonts w:eastAsia="ArialMT"/>
        </w:rPr>
        <w:t>).</w:t>
      </w:r>
    </w:p>
  </w:footnote>
  <w:footnote w:id="106">
    <w:p w:rsidR="0004691C" w:rsidRPr="0004691C" w14:paraId="79E35A31" w14:textId="5F765ABE">
      <w:pPr>
        <w:pStyle w:val="FootnoteText"/>
      </w:pPr>
      <w:r>
        <w:rPr>
          <w:rStyle w:val="FootnoteReference"/>
        </w:rPr>
        <w:footnoteRef/>
      </w:r>
      <w:r w:rsidR="68E62851">
        <w:t xml:space="preserve"> FB </w:t>
      </w:r>
      <w:r w:rsidRPr="68E62851" w:rsidR="68E62851">
        <w:rPr>
          <w:i/>
          <w:iCs/>
        </w:rPr>
        <w:t>et al</w:t>
      </w:r>
      <w:r w:rsidR="68E62851">
        <w:t xml:space="preserve"> Comments at 13.</w:t>
      </w:r>
    </w:p>
  </w:footnote>
  <w:footnote w:id="107">
    <w:p w:rsidR="00DE132F" w14:paraId="732F39A4" w14:textId="2F8744DD">
      <w:pPr>
        <w:pStyle w:val="FootnoteText"/>
      </w:pPr>
      <w:r>
        <w:rPr>
          <w:rStyle w:val="FootnoteReference"/>
        </w:rPr>
        <w:footnoteRef/>
      </w:r>
      <w:r>
        <w:t xml:space="preserve"> </w:t>
      </w:r>
      <w:r w:rsidRPr="6AD549E2" w:rsidR="6AD549E2">
        <w:rPr>
          <w:i/>
          <w:iCs/>
        </w:rPr>
        <w:t>Id.</w:t>
      </w:r>
      <w:r>
        <w:t xml:space="preserve"> at 12-13.</w:t>
      </w:r>
    </w:p>
  </w:footnote>
  <w:footnote w:id="108">
    <w:p w:rsidR="00343935" w:rsidRPr="00EC47A7" w:rsidP="00F13E1B" w14:paraId="6735A7DD" w14:textId="4529AD00">
      <w:pPr>
        <w:pStyle w:val="FootnoteText"/>
      </w:pPr>
      <w:r>
        <w:rPr>
          <w:rStyle w:val="FootnoteReference"/>
        </w:rPr>
        <w:footnoteRef/>
      </w:r>
      <w:r>
        <w:t xml:space="preserve"> </w:t>
      </w:r>
      <w:r w:rsidRPr="004A4EE6" w:rsidR="00EE214C">
        <w:rPr>
          <w:i/>
        </w:rPr>
        <w:t>NPRM</w:t>
      </w:r>
      <w:r w:rsidR="004A4EE6">
        <w:rPr>
          <w:iCs/>
        </w:rPr>
        <w:t xml:space="preserve">, 36 FCC </w:t>
      </w:r>
      <w:r w:rsidR="004A4EE6">
        <w:rPr>
          <w:iCs/>
        </w:rPr>
        <w:t>Rcd</w:t>
      </w:r>
      <w:r w:rsidR="00F23480">
        <w:rPr>
          <w:iCs/>
        </w:rPr>
        <w:t xml:space="preserve"> </w:t>
      </w:r>
      <w:r w:rsidR="6AD549E2">
        <w:rPr>
          <w:iCs/>
        </w:rPr>
        <w:t xml:space="preserve">at </w:t>
      </w:r>
      <w:r w:rsidR="003C4C74">
        <w:rPr>
          <w:iCs/>
        </w:rPr>
        <w:t xml:space="preserve">11914, para. </w:t>
      </w:r>
      <w:r>
        <w:t>3</w:t>
      </w:r>
      <w:r w:rsidR="003B4B53">
        <w:t>1</w:t>
      </w:r>
      <w:r>
        <w:t xml:space="preserve">. </w:t>
      </w:r>
    </w:p>
  </w:footnote>
  <w:footnote w:id="109">
    <w:p w:rsidR="00AE0A74" w:rsidP="00AE0A74" w14:paraId="0C978A87" w14:textId="5A842215">
      <w:pPr>
        <w:pStyle w:val="FootnoteText"/>
      </w:pPr>
      <w:r>
        <w:rPr>
          <w:rStyle w:val="FootnoteReference"/>
        </w:rPr>
        <w:footnoteRef/>
      </w:r>
      <w:r>
        <w:t xml:space="preserve"> </w:t>
      </w:r>
      <w:r w:rsidRPr="006B18E6">
        <w:rPr>
          <w:i/>
          <w:iCs/>
        </w:rPr>
        <w:t>Augmented Reality</w:t>
      </w:r>
      <w:r>
        <w:t xml:space="preserve"> (AR) is t</w:t>
      </w:r>
      <w:r w:rsidRPr="00D33BBE">
        <w:t>he digital creation of a fabricated set of objects that can be interspersed with real world elements, usually through a headset that overlays the objects on the lens, as the user also views their real surroundings.</w:t>
      </w:r>
      <w:r>
        <w:t xml:space="preserve">  </w:t>
      </w:r>
      <w:r w:rsidRPr="006B18E6">
        <w:rPr>
          <w:i/>
          <w:iCs/>
        </w:rPr>
        <w:t>Virtual Reality</w:t>
      </w:r>
      <w:r>
        <w:t xml:space="preserve"> (</w:t>
      </w:r>
      <w:r w:rsidRPr="00A66F90">
        <w:t xml:space="preserve">VR) is the digital creation of a fabricated immersive world, typically via a headset technology, that generates all the photons that the eye sees.  </w:t>
      </w:r>
      <w:r w:rsidRPr="006B18E6">
        <w:rPr>
          <w:i/>
          <w:iCs/>
          <w:color w:val="292929"/>
          <w:spacing w:val="-1"/>
          <w:shd w:val="clear" w:color="auto" w:fill="FFFFFF"/>
        </w:rPr>
        <w:t>Extended Reality</w:t>
      </w:r>
      <w:r w:rsidRPr="004A0DDC">
        <w:rPr>
          <w:color w:val="292929"/>
          <w:spacing w:val="-1"/>
          <w:shd w:val="clear" w:color="auto" w:fill="FFFFFF"/>
        </w:rPr>
        <w:t xml:space="preserve"> </w:t>
      </w:r>
      <w:r>
        <w:rPr>
          <w:color w:val="292929"/>
          <w:spacing w:val="-1"/>
          <w:shd w:val="clear" w:color="auto" w:fill="FFFFFF"/>
        </w:rPr>
        <w:t xml:space="preserve">(XR) </w:t>
      </w:r>
      <w:r w:rsidRPr="004A0DDC">
        <w:rPr>
          <w:color w:val="292929"/>
          <w:spacing w:val="-1"/>
          <w:shd w:val="clear" w:color="auto" w:fill="FFFFFF"/>
        </w:rPr>
        <w:t>refers to all real-and-virtual combined environments and human-machine interactions generated by computer technology and wearables.</w:t>
      </w:r>
      <w:r>
        <w:rPr>
          <w:color w:val="292929"/>
          <w:spacing w:val="-1"/>
          <w:shd w:val="clear" w:color="auto" w:fill="FFFFFF"/>
        </w:rPr>
        <w:t xml:space="preserve">  </w:t>
      </w:r>
      <w:r w:rsidRPr="00A66F90">
        <w:rPr>
          <w:i/>
          <w:iCs/>
        </w:rPr>
        <w:t>See</w:t>
      </w:r>
      <w:r>
        <w:rPr>
          <w:i/>
          <w:iCs/>
        </w:rPr>
        <w:t>, e.g.,</w:t>
      </w:r>
      <w:r w:rsidRPr="00A66F90">
        <w:t xml:space="preserve"> </w:t>
      </w:r>
      <w:r w:rsidRPr="00A66F90">
        <w:rPr>
          <w:shd w:val="clear" w:color="auto" w:fill="FFFFFF"/>
        </w:rPr>
        <w:t xml:space="preserve">Y. </w:t>
      </w:r>
      <w:r w:rsidRPr="00A66F90">
        <w:rPr>
          <w:shd w:val="clear" w:color="auto" w:fill="FFFFFF"/>
        </w:rPr>
        <w:t>Ghasempour, C. R. C. M. da Silva, C. Cordeiro and E. W. Knightly, "IEEE 802.11ay: Next-Generation 60 GHz Communication for 100 Gb/s Wi-Fi," in </w:t>
      </w:r>
      <w:r w:rsidRPr="00A66F90">
        <w:rPr>
          <w:rStyle w:val="Emphasis"/>
          <w:shd w:val="clear" w:color="auto" w:fill="FFFFFF"/>
        </w:rPr>
        <w:t>IEEE Communications Magazine</w:t>
      </w:r>
      <w:r w:rsidRPr="00A66F90">
        <w:rPr>
          <w:shd w:val="clear" w:color="auto" w:fill="FFFFFF"/>
        </w:rPr>
        <w:t>, vol. 55, no. 12, pp. 186-192, Dec. 2017.</w:t>
      </w:r>
    </w:p>
  </w:footnote>
  <w:footnote w:id="110">
    <w:p w:rsidR="00343935" w:rsidRPr="00836BC5" w:rsidP="00F13E1B" w14:paraId="1075BF60" w14:textId="77777777">
      <w:pPr>
        <w:pStyle w:val="FootnoteText"/>
      </w:pPr>
      <w:r>
        <w:rPr>
          <w:rStyle w:val="FootnoteReference"/>
        </w:rPr>
        <w:footnoteRef/>
      </w:r>
      <w:r>
        <w:t xml:space="preserve"> </w:t>
      </w:r>
      <w:r w:rsidRPr="0038577D">
        <w:rPr>
          <w:rStyle w:val="Emphasis"/>
          <w:shd w:val="clear" w:color="auto" w:fill="FFFFFF"/>
        </w:rPr>
        <w:t>Throughput</w:t>
      </w:r>
      <w:r w:rsidRPr="0038577D">
        <w:rPr>
          <w:rStyle w:val="Emphasis"/>
          <w:i w:val="0"/>
          <w:shd w:val="clear" w:color="auto" w:fill="FFFFFF"/>
        </w:rPr>
        <w:t xml:space="preserve"> </w:t>
      </w:r>
      <w:r w:rsidRPr="0038577D">
        <w:rPr>
          <w:shd w:val="clear" w:color="auto" w:fill="FFFFFF"/>
        </w:rPr>
        <w:t>is the rate of successful message delivery over a communication channel.</w:t>
      </w:r>
      <w:r w:rsidRPr="0038577D">
        <w:rPr>
          <w:rStyle w:val="Emphasis"/>
          <w:i w:val="0"/>
          <w:shd w:val="clear" w:color="auto" w:fill="FFFFFF"/>
        </w:rPr>
        <w:t xml:space="preserve">  </w:t>
      </w:r>
      <w:r w:rsidRPr="0038577D">
        <w:rPr>
          <w:rStyle w:val="Emphasis"/>
          <w:shd w:val="clear" w:color="auto" w:fill="FFFFFF"/>
        </w:rPr>
        <w:t>Latency</w:t>
      </w:r>
      <w:r w:rsidRPr="0038577D">
        <w:rPr>
          <w:shd w:val="clear" w:color="auto" w:fill="FFFFFF"/>
        </w:rPr>
        <w:t> refers to how much time it takes for a signal to travel to its destination and back.</w:t>
      </w:r>
    </w:p>
  </w:footnote>
  <w:footnote w:id="111">
    <w:p w:rsidR="00343935" w14:paraId="23F8E144" w14:textId="249989F4">
      <w:pPr>
        <w:pStyle w:val="FootnoteText"/>
      </w:pPr>
      <w:r>
        <w:rPr>
          <w:rStyle w:val="FootnoteReference"/>
        </w:rPr>
        <w:footnoteRef/>
      </w:r>
      <w:r w:rsidR="4A1C0502">
        <w:t xml:space="preserve"> </w:t>
      </w:r>
      <w:r w:rsidRPr="4A1C0502" w:rsidR="4A1C0502">
        <w:rPr>
          <w:i/>
          <w:iCs/>
        </w:rPr>
        <w:t>See, e.g.</w:t>
      </w:r>
      <w:r w:rsidR="4A1C0502">
        <w:t xml:space="preserve">, Google Comments at 17; Husqvarna Comments at 2; </w:t>
      </w:r>
      <w:r w:rsidR="4A1C0502">
        <w:t>Valeo Comments at 8-9;</w:t>
      </w:r>
      <w:r w:rsidRPr="00BB15FB" w:rsidR="4A1C0502">
        <w:t xml:space="preserve"> </w:t>
      </w:r>
      <w:r w:rsidR="4A1C0502">
        <w:t>Vayyar Comments at 6; TI Comments at 11.</w:t>
      </w:r>
    </w:p>
  </w:footnote>
  <w:footnote w:id="112">
    <w:p w:rsidR="006A777E" w:rsidRPr="001A3DC1" w:rsidP="006A777E" w14:paraId="2C99B2BF" w14:textId="31A6368C">
      <w:pPr>
        <w:pStyle w:val="FootnoteText"/>
      </w:pPr>
      <w:r>
        <w:rPr>
          <w:rStyle w:val="FootnoteReference"/>
        </w:rPr>
        <w:footnoteRef/>
      </w:r>
      <w:r w:rsidR="68E62851">
        <w:t xml:space="preserve"> FB </w:t>
      </w:r>
      <w:r w:rsidRPr="68E62851" w:rsidR="68E62851">
        <w:rPr>
          <w:i/>
          <w:iCs/>
        </w:rPr>
        <w:t xml:space="preserve">et al </w:t>
      </w:r>
      <w:r w:rsidR="68E62851">
        <w:t xml:space="preserve">Comments at 12-13.  </w:t>
      </w:r>
      <w:r w:rsidRPr="003E7385" w:rsidR="68E62851">
        <w:rPr>
          <w:shd w:val="clear" w:color="auto" w:fill="FFFFFF"/>
        </w:rPr>
        <w:t>Immersive virtual reality is a technology that aims to completely immerse the user inside the computer-generated world, giving the impression to the user that they have "stepped inside" the synthetic world.</w:t>
      </w:r>
      <w:r w:rsidR="68E62851">
        <w:rPr>
          <w:shd w:val="clear" w:color="auto" w:fill="FFFFFF"/>
        </w:rPr>
        <w:t xml:space="preserve"> </w:t>
      </w:r>
      <w:r w:rsidRPr="003E7385" w:rsidR="68E62851">
        <w:rPr>
          <w:shd w:val="clear" w:color="auto" w:fill="FFFFFF"/>
        </w:rPr>
        <w:t> This is achieved by either using the technologies of </w:t>
      </w:r>
      <w:r w:rsidRPr="00E36C30" w:rsidR="68E62851">
        <w:rPr>
          <w:shd w:val="clear" w:color="auto" w:fill="FFFFFF"/>
        </w:rPr>
        <w:t>Head-Mounted Display (HMD)</w:t>
      </w:r>
      <w:r w:rsidRPr="003E7385" w:rsidR="68E62851">
        <w:rPr>
          <w:shd w:val="clear" w:color="auto" w:fill="FFFFFF"/>
        </w:rPr>
        <w:t> or multiple projections. HMD allows VR to be projected right in front of the eyes and allows users to focus on it without any distraction</w:t>
      </w:r>
      <w:r w:rsidR="68E62851">
        <w:rPr>
          <w:shd w:val="clear" w:color="auto" w:fill="FFFFFF"/>
        </w:rPr>
        <w:t>.</w:t>
      </w:r>
    </w:p>
  </w:footnote>
  <w:footnote w:id="113">
    <w:p w:rsidR="00AA4B72" w:rsidRPr="006F6BC4" w:rsidP="00AA4B72" w14:paraId="50CB9D7C" w14:textId="5A8AC280">
      <w:pPr>
        <w:pStyle w:val="FootnoteText"/>
      </w:pPr>
      <w:r>
        <w:rPr>
          <w:rStyle w:val="FootnoteReference"/>
        </w:rPr>
        <w:footnoteRef/>
      </w:r>
      <w:r w:rsidR="68E62851">
        <w:t xml:space="preserve"> </w:t>
      </w:r>
      <w:r w:rsidRPr="00D03605" w:rsidR="68E62851">
        <w:rPr>
          <w:i/>
          <w:iCs/>
        </w:rPr>
        <w:t xml:space="preserve">Ex </w:t>
      </w:r>
      <w:r w:rsidRPr="00D03605" w:rsidR="68E62851">
        <w:rPr>
          <w:i/>
          <w:iCs/>
        </w:rPr>
        <w:t>parte</w:t>
      </w:r>
      <w:r w:rsidRPr="00F13E1B" w:rsidR="68E62851">
        <w:rPr>
          <w:color w:val="000000"/>
        </w:rPr>
        <w:t xml:space="preserve"> from Facebook, Inc.</w:t>
      </w:r>
      <w:r w:rsidRPr="68E62851" w:rsidR="68E62851">
        <w:rPr>
          <w:color w:val="000000" w:themeColor="text1"/>
        </w:rPr>
        <w:t>,</w:t>
      </w:r>
      <w:r w:rsidRPr="00583B61" w:rsidR="68E62851">
        <w:t xml:space="preserve"> Intel Corporation</w:t>
      </w:r>
      <w:r w:rsidR="68E62851">
        <w:t>,</w:t>
      </w:r>
      <w:r w:rsidRPr="00583B61" w:rsidR="68E62851">
        <w:t xml:space="preserve"> and Qualcomm Inc.</w:t>
      </w:r>
      <w:r w:rsidR="68E62851">
        <w:t xml:space="preserve"> in</w:t>
      </w:r>
      <w:r w:rsidRPr="00583B61" w:rsidR="68E62851">
        <w:t xml:space="preserve"> ET Docket No. 21-48 </w:t>
      </w:r>
      <w:r w:rsidR="68E62851">
        <w:t xml:space="preserve">at 2 </w:t>
      </w:r>
      <w:r w:rsidRPr="00583B61" w:rsidR="68E62851">
        <w:t xml:space="preserve">(filed </w:t>
      </w:r>
      <w:r w:rsidR="68E62851">
        <w:t>May 10</w:t>
      </w:r>
      <w:r w:rsidRPr="00583B61" w:rsidR="68E62851">
        <w:t>, 2021</w:t>
      </w:r>
      <w:r w:rsidR="68E62851">
        <w:t xml:space="preserve">).  </w:t>
      </w:r>
      <w:r w:rsidRPr="68E62851" w:rsidR="68E62851">
        <w:rPr>
          <w:i/>
          <w:iCs/>
        </w:rPr>
        <w:t>See also</w:t>
      </w:r>
      <w:r w:rsidR="68E62851">
        <w:t xml:space="preserve">, FB </w:t>
      </w:r>
      <w:r w:rsidRPr="68E62851" w:rsidR="68E62851">
        <w:rPr>
          <w:i/>
          <w:iCs/>
        </w:rPr>
        <w:t>et al</w:t>
      </w:r>
      <w:r w:rsidR="68E62851">
        <w:t xml:space="preserve"> Comments at 13.</w:t>
      </w:r>
    </w:p>
  </w:footnote>
  <w:footnote w:id="114">
    <w:p w:rsidR="00A02B8F" w:rsidRPr="007415E5" w:rsidP="00A02B8F" w14:paraId="0A799C9D" w14:textId="19C09593">
      <w:pPr>
        <w:pStyle w:val="FootnoteText"/>
      </w:pPr>
      <w:r>
        <w:rPr>
          <w:rStyle w:val="FootnoteReference"/>
        </w:rPr>
        <w:footnoteRef/>
      </w:r>
      <w:r w:rsidR="4A1C0502">
        <w:t xml:space="preserve"> Intel </w:t>
      </w:r>
      <w:r w:rsidRPr="4A1C0502" w:rsidR="4A1C0502">
        <w:rPr>
          <w:i/>
          <w:iCs/>
        </w:rPr>
        <w:t>et al</w:t>
      </w:r>
      <w:r w:rsidR="4A1C0502">
        <w:t xml:space="preserve"> </w:t>
      </w:r>
      <w:r w:rsidRPr="4A1C0502" w:rsidR="4A1C0502">
        <w:rPr>
          <w:i/>
          <w:iCs/>
        </w:rPr>
        <w:t xml:space="preserve">ex </w:t>
      </w:r>
      <w:r w:rsidRPr="4A1C0502" w:rsidR="4A1C0502">
        <w:rPr>
          <w:i/>
          <w:iCs/>
        </w:rPr>
        <w:t>parte</w:t>
      </w:r>
      <w:r w:rsidR="4A1C0502">
        <w:t xml:space="preserve"> at 3 (filed Aug. 19, 2022). </w:t>
      </w:r>
      <w:r w:rsidRPr="00E9778B" w:rsidR="4A1C0502">
        <w:rPr>
          <w:i/>
          <w:iCs/>
        </w:rPr>
        <w:t>S</w:t>
      </w:r>
      <w:r w:rsidRPr="4A1C0502" w:rsidR="4A1C0502">
        <w:rPr>
          <w:i/>
          <w:iCs/>
        </w:rPr>
        <w:t>ee</w:t>
      </w:r>
      <w:r w:rsidRPr="00A56D53" w:rsidR="4A1C0502">
        <w:rPr>
          <w:i/>
        </w:rPr>
        <w:t xml:space="preserve"> </w:t>
      </w:r>
      <w:r w:rsidR="4A1C0502">
        <w:t xml:space="preserve">Intel </w:t>
      </w:r>
      <w:r w:rsidRPr="4A1C0502" w:rsidR="4A1C0502">
        <w:rPr>
          <w:i/>
          <w:iCs/>
        </w:rPr>
        <w:t>et al</w:t>
      </w:r>
      <w:r w:rsidR="4A1C0502">
        <w:t xml:space="preserve"> </w:t>
      </w:r>
      <w:r w:rsidRPr="4A1C0502" w:rsidR="4A1C0502">
        <w:rPr>
          <w:i/>
          <w:iCs/>
        </w:rPr>
        <w:t>ex parte</w:t>
      </w:r>
      <w:r w:rsidR="4A1C0502">
        <w:t xml:space="preserve"> filings (filed Feb. 18, 2022 and May 2, 2022) (documenting testing purporting to show how a radar transmission can affect the latency of a virtual reality communications receiver).</w:t>
      </w:r>
    </w:p>
  </w:footnote>
  <w:footnote w:id="115">
    <w:p w:rsidR="00F24EE0" w:rsidRPr="00BA5874" w14:paraId="5DA85DFF" w14:textId="7AC41B38">
      <w:pPr>
        <w:pStyle w:val="FootnoteText"/>
      </w:pPr>
      <w:r>
        <w:rPr>
          <w:rStyle w:val="FootnoteReference"/>
        </w:rPr>
        <w:footnoteRef/>
      </w:r>
      <w:r>
        <w:t xml:space="preserve"> </w:t>
      </w:r>
      <w:r w:rsidR="00BA5874">
        <w:rPr>
          <w:i/>
          <w:iCs/>
        </w:rPr>
        <w:t>See</w:t>
      </w:r>
      <w:r w:rsidR="00BA5874">
        <w:t xml:space="preserve"> para. </w:t>
      </w:r>
      <w:r w:rsidR="00BA5874">
        <w:fldChar w:fldCharType="begin"/>
      </w:r>
      <w:r w:rsidR="00BA5874">
        <w:instrText xml:space="preserve"> REF _Ref130310400 \r \h </w:instrText>
      </w:r>
      <w:r w:rsidR="00BA5874">
        <w:fldChar w:fldCharType="separate"/>
      </w:r>
      <w:r w:rsidR="00511D87">
        <w:t>25</w:t>
      </w:r>
      <w:r w:rsidR="00BA5874">
        <w:fldChar w:fldCharType="end"/>
      </w:r>
      <w:r w:rsidR="00BA5874">
        <w:t xml:space="preserve">, </w:t>
      </w:r>
      <w:r w:rsidR="00BA5874">
        <w:rPr>
          <w:i/>
          <w:iCs/>
        </w:rPr>
        <w:t>supra</w:t>
      </w:r>
      <w:r w:rsidR="00BA5874">
        <w:t xml:space="preserve"> for a description of the duty cycle requirements for each band segment.</w:t>
      </w:r>
    </w:p>
  </w:footnote>
  <w:footnote w:id="116">
    <w:p w:rsidR="00D909E0" w:rsidRPr="00D926B4" w:rsidP="00D909E0" w14:paraId="1DBDBA12" w14:textId="1D627B06">
      <w:pPr>
        <w:pStyle w:val="FootnoteText"/>
      </w:pPr>
      <w:r>
        <w:rPr>
          <w:rStyle w:val="FootnoteReference"/>
        </w:rPr>
        <w:footnoteRef/>
      </w:r>
      <w:r>
        <w:t xml:space="preserve"> </w:t>
      </w:r>
      <w:r>
        <w:rPr>
          <w:i/>
          <w:iCs/>
        </w:rPr>
        <w:t>NPRM</w:t>
      </w:r>
      <w:r>
        <w:t xml:space="preserve">, </w:t>
      </w:r>
      <w:r>
        <w:rPr>
          <w:iCs/>
        </w:rPr>
        <w:t xml:space="preserve">36 FCC </w:t>
      </w:r>
      <w:r>
        <w:rPr>
          <w:iCs/>
        </w:rPr>
        <w:t xml:space="preserve">Rcd </w:t>
      </w:r>
      <w:r w:rsidRPr="6AD549E2" w:rsidR="6AD549E2">
        <w:t xml:space="preserve">at </w:t>
      </w:r>
      <w:r>
        <w:rPr>
          <w:iCs/>
        </w:rPr>
        <w:t>11911-12, para. 26.</w:t>
      </w:r>
    </w:p>
  </w:footnote>
  <w:footnote w:id="117">
    <w:p w:rsidR="00154323" w14:paraId="1FE3EE4B" w14:textId="0C36DB6F">
      <w:pPr>
        <w:pStyle w:val="FootnoteText"/>
      </w:pPr>
      <w:r>
        <w:rPr>
          <w:rStyle w:val="FootnoteReference"/>
        </w:rPr>
        <w:footnoteRef/>
      </w:r>
      <w:r w:rsidR="4A1C0502">
        <w:t xml:space="preserve"> </w:t>
      </w:r>
      <w:r w:rsidRPr="4A1C0502" w:rsidR="4A1C0502">
        <w:rPr>
          <w:i/>
          <w:iCs/>
        </w:rPr>
        <w:t>See</w:t>
      </w:r>
      <w:r w:rsidR="4A1C0502">
        <w:t xml:space="preserve"> </w:t>
      </w:r>
      <w:r w:rsidRPr="4A1C0502" w:rsidR="4A1C0502">
        <w:rPr>
          <w:i/>
          <w:iCs/>
        </w:rPr>
        <w:t>e.g.</w:t>
      </w:r>
      <w:r w:rsidR="4A1C0502">
        <w:t xml:space="preserve">, </w:t>
      </w:r>
      <w:r w:rsidRPr="4A1C0502" w:rsidR="4A1C0502">
        <w:rPr>
          <w:i/>
          <w:iCs/>
        </w:rPr>
        <w:t xml:space="preserve">FMCW Radar Interference with </w:t>
      </w:r>
      <w:r w:rsidRPr="4A1C0502" w:rsidR="4A1C0502">
        <w:rPr>
          <w:i/>
          <w:iCs/>
        </w:rPr>
        <w:t>WiGig Communication Devices</w:t>
      </w:r>
      <w:r w:rsidR="4A1C0502">
        <w:t xml:space="preserve"> from Peraso/Texas Instruments (filed Oct 15, 2021); Google Comments at Attachment A; Acconeer Comments at 30-39; Texas Instruments Comments at 6-8; </w:t>
      </w:r>
      <w:r w:rsidRPr="4A1C0502" w:rsidR="4A1C0502">
        <w:rPr>
          <w:i/>
          <w:iCs/>
        </w:rPr>
        <w:t>ex parte</w:t>
      </w:r>
      <w:r w:rsidR="4A1C0502">
        <w:t xml:space="preserve"> from Qualcomm, Meta and Intel at 21-30 (filed Feb. 18, 2022).</w:t>
      </w:r>
    </w:p>
  </w:footnote>
  <w:footnote w:id="118">
    <w:p w:rsidR="00615A99" w:rsidRPr="00F95B52" w:rsidP="00615A99" w14:paraId="41B8F995" w14:textId="041D79BD">
      <w:pPr>
        <w:pStyle w:val="FootnoteText"/>
      </w:pPr>
      <w:r>
        <w:rPr>
          <w:rStyle w:val="FootnoteReference"/>
        </w:rPr>
        <w:footnoteRef/>
      </w:r>
      <w:r>
        <w:t xml:space="preserve"> Typically, this is 6 </w:t>
      </w:r>
      <w:r>
        <w:t xml:space="preserve">dBi or less, according to the radar technical </w:t>
      </w:r>
      <w:r w:rsidR="007E2CDF">
        <w:t xml:space="preserve">analyses </w:t>
      </w:r>
      <w:r>
        <w:t xml:space="preserve">submitted into the record.  In contrast, 60 GHz communications devices use up to 13-52 dBi antenna beamwidths.  </w:t>
      </w:r>
      <w:r w:rsidRPr="00F95B52">
        <w:rPr>
          <w:i/>
          <w:iCs/>
        </w:rPr>
        <w:t>See</w:t>
      </w:r>
      <w:r>
        <w:t xml:space="preserve"> 47 CFR </w:t>
      </w:r>
      <w:r w:rsidRPr="00901E5A">
        <w:t>§ 15.255(</w:t>
      </w:r>
      <w:r>
        <w:t>c</w:t>
      </w:r>
      <w:r w:rsidRPr="00901E5A">
        <w:t>)</w:t>
      </w:r>
      <w:r>
        <w:t>(1</w:t>
      </w:r>
      <w:r w:rsidRPr="00901E5A">
        <w:t>)</w:t>
      </w:r>
      <w:r>
        <w:t>.</w:t>
      </w:r>
    </w:p>
  </w:footnote>
  <w:footnote w:id="119">
    <w:p w:rsidR="00CC5A46" w:rsidP="00CC5A46" w14:paraId="205C546C" w14:textId="79D3F690">
      <w:pPr>
        <w:pStyle w:val="FootnoteText"/>
      </w:pPr>
      <w:r>
        <w:rPr>
          <w:rStyle w:val="FootnoteReference"/>
        </w:rPr>
        <w:footnoteRef/>
      </w:r>
      <w:r w:rsidR="68E62851">
        <w:t xml:space="preserve"> </w:t>
      </w:r>
      <w:r w:rsidR="68E62851">
        <w:t>Valeo Comments at 7.</w:t>
      </w:r>
    </w:p>
  </w:footnote>
  <w:footnote w:id="120">
    <w:p w:rsidR="00CC5A46" w:rsidP="00CC5A46" w14:paraId="75851FCD" w14:textId="53A6E746">
      <w:pPr>
        <w:pStyle w:val="FootnoteText"/>
      </w:pPr>
      <w:r>
        <w:rPr>
          <w:rStyle w:val="FootnoteReference"/>
        </w:rPr>
        <w:footnoteRef/>
      </w:r>
      <w:r w:rsidR="68E62851">
        <w:t xml:space="preserve"> </w:t>
      </w:r>
      <w:r w:rsidR="68E62851">
        <w:t>Vayyar Comments at 8.</w:t>
      </w:r>
    </w:p>
  </w:footnote>
  <w:footnote w:id="121">
    <w:p w:rsidR="00CC47A0" w:rsidRPr="006E6477" w14:paraId="2DF82D71" w14:textId="4CD06B56">
      <w:pPr>
        <w:pStyle w:val="FootnoteText"/>
      </w:pPr>
      <w:r>
        <w:rPr>
          <w:rStyle w:val="FootnoteReference"/>
        </w:rPr>
        <w:footnoteRef/>
      </w:r>
      <w:r>
        <w:t xml:space="preserve"> However, the Industry Consensus Agreement </w:t>
      </w:r>
      <w:r w:rsidR="003740D2">
        <w:t xml:space="preserve">would maintain </w:t>
      </w:r>
      <w:r w:rsidR="00C33395">
        <w:t xml:space="preserve">the existing rules for FDS devices operating </w:t>
      </w:r>
      <w:r w:rsidR="008A173E">
        <w:t>across the entire 57-71 GHz band</w:t>
      </w:r>
      <w:r w:rsidR="004B487D">
        <w:t xml:space="preserve"> (i.e., -10 dBm peak conducted output power and 10 dBm peak EIRP)</w:t>
      </w:r>
      <w:r w:rsidR="008A173E">
        <w:t xml:space="preserve">.  </w:t>
      </w:r>
      <w:r w:rsidR="008A173E">
        <w:rPr>
          <w:i/>
          <w:iCs/>
        </w:rPr>
        <w:t xml:space="preserve">See </w:t>
      </w:r>
      <w:r w:rsidR="006E6477">
        <w:rPr>
          <w:i/>
          <w:iCs/>
        </w:rPr>
        <w:t xml:space="preserve">ex </w:t>
      </w:r>
      <w:r w:rsidR="006E6477">
        <w:rPr>
          <w:i/>
          <w:iCs/>
        </w:rPr>
        <w:t xml:space="preserve">parte </w:t>
      </w:r>
      <w:r w:rsidR="006E6477">
        <w:t xml:space="preserve">from Intel, Qualcomm and Meta </w:t>
      </w:r>
      <w:r w:rsidR="00884A39">
        <w:t>at 1</w:t>
      </w:r>
      <w:r w:rsidR="00DC6F99">
        <w:t xml:space="preserve"> </w:t>
      </w:r>
      <w:r w:rsidR="006E6477">
        <w:t>(filed May 2, 2023)</w:t>
      </w:r>
      <w:r w:rsidR="00884A39">
        <w:t>.</w:t>
      </w:r>
    </w:p>
  </w:footnote>
  <w:footnote w:id="122">
    <w:p w:rsidR="00233767" w:rsidP="00233767" w14:paraId="42FC35E8" w14:textId="2501A5E3">
      <w:pPr>
        <w:pStyle w:val="FootnoteText"/>
      </w:pPr>
      <w:r>
        <w:rPr>
          <w:rStyle w:val="FootnoteReference"/>
        </w:rPr>
        <w:footnoteRef/>
      </w:r>
      <w:r>
        <w:t xml:space="preserve"> </w:t>
      </w:r>
      <w:r w:rsidR="009414D7">
        <w:t>The p</w:t>
      </w:r>
      <w:r w:rsidRPr="2C41120B">
        <w:t xml:space="preserve">otential </w:t>
      </w:r>
      <w:r w:rsidR="009414D7">
        <w:t xml:space="preserve">for causing harmful </w:t>
      </w:r>
      <w:r w:rsidRPr="2C41120B">
        <w:t>interference is essentially driven by the maximum EIRP in the direction of the victim</w:t>
      </w:r>
      <w:r>
        <w:t xml:space="preserve"> receiver</w:t>
      </w:r>
      <w:r w:rsidR="007261E7">
        <w:t>.</w:t>
      </w:r>
      <w:r w:rsidR="00C03605">
        <w:t xml:space="preserve">  Because</w:t>
      </w:r>
      <w:r w:rsidR="00DF5036">
        <w:t xml:space="preserve"> radars</w:t>
      </w:r>
      <w:r w:rsidR="00E06716">
        <w:t xml:space="preserve"> </w:t>
      </w:r>
      <w:r w:rsidR="0067252F">
        <w:t xml:space="preserve">generally use </w:t>
      </w:r>
      <w:r w:rsidRPr="2C41120B">
        <w:t xml:space="preserve">highly directional </w:t>
      </w:r>
      <w:r w:rsidR="00820FD1">
        <w:t>antennas</w:t>
      </w:r>
      <w:r w:rsidRPr="2C41120B">
        <w:t xml:space="preserve">, </w:t>
      </w:r>
      <w:r w:rsidR="003F423F">
        <w:t>basing rule</w:t>
      </w:r>
      <w:r w:rsidR="004D004A">
        <w:t xml:space="preserve"> compliance</w:t>
      </w:r>
      <w:r w:rsidR="003F423F">
        <w:t xml:space="preserve"> </w:t>
      </w:r>
      <w:r w:rsidR="006C574B">
        <w:t xml:space="preserve">on </w:t>
      </w:r>
      <w:r w:rsidR="0081144A">
        <w:t xml:space="preserve">an </w:t>
      </w:r>
      <w:r w:rsidRPr="2C41120B">
        <w:t>EIRP measurement is  more appropriate and efficient</w:t>
      </w:r>
      <w:r w:rsidR="00EB3D22">
        <w:t xml:space="preserve"> than a conduced power measurement</w:t>
      </w:r>
      <w:r>
        <w:t xml:space="preserve">. </w:t>
      </w:r>
    </w:p>
  </w:footnote>
  <w:footnote w:id="123">
    <w:p w:rsidR="00615A99" w:rsidP="00615A99" w14:paraId="1DA71913" w14:textId="21DE6EEE">
      <w:pPr>
        <w:pStyle w:val="FootnoteText"/>
      </w:pPr>
      <w:r>
        <w:rPr>
          <w:rStyle w:val="FootnoteReference"/>
        </w:rPr>
        <w:footnoteRef/>
      </w:r>
      <w:r>
        <w:t xml:space="preserve"> </w:t>
      </w:r>
      <w:r>
        <w:rPr>
          <w:i/>
          <w:iCs/>
        </w:rPr>
        <w:t>NPRM</w:t>
      </w:r>
      <w:r>
        <w:t xml:space="preserve">, </w:t>
      </w:r>
      <w:r>
        <w:rPr>
          <w:iCs/>
        </w:rPr>
        <w:t xml:space="preserve">36 FCC </w:t>
      </w:r>
      <w:r>
        <w:rPr>
          <w:iCs/>
        </w:rPr>
        <w:t xml:space="preserve">Rcd </w:t>
      </w:r>
      <w:r w:rsidRPr="6AD549E2" w:rsidR="6AD549E2">
        <w:t xml:space="preserve">at </w:t>
      </w:r>
      <w:r>
        <w:rPr>
          <w:iCs/>
        </w:rPr>
        <w:t>11912, para. 27.</w:t>
      </w:r>
    </w:p>
  </w:footnote>
  <w:footnote w:id="124">
    <w:p w:rsidR="00765954" w:rsidP="00765954" w14:paraId="040A1CB4" w14:textId="784283A7">
      <w:pPr>
        <w:pStyle w:val="FootnoteText"/>
      </w:pPr>
      <w:r>
        <w:rPr>
          <w:rStyle w:val="FootnoteReference"/>
        </w:rPr>
        <w:footnoteRef/>
      </w:r>
      <w:r w:rsidR="68E62851">
        <w:t xml:space="preserve"> </w:t>
      </w:r>
      <w:r w:rsidRPr="68E62851" w:rsidR="68E62851">
        <w:rPr>
          <w:i/>
          <w:iCs/>
        </w:rPr>
        <w:t xml:space="preserve">See </w:t>
      </w:r>
      <w:r w:rsidR="68E62851">
        <w:t xml:space="preserve">Bosch Comments at 6, referencing </w:t>
      </w:r>
      <w:r w:rsidRPr="68E62851" w:rsidR="68E62851">
        <w:t xml:space="preserve">EC Decision 2019/1345, available at </w:t>
      </w:r>
      <w:hyperlink r:id="rId8" w:history="1">
        <w:r w:rsidRPr="009418AE" w:rsidR="68E62851">
          <w:rPr>
            <w:rStyle w:val="Hyperlink"/>
          </w:rPr>
          <w:t>https://eur-lex.europa.eu/legal-content/EN/TXT/PDF/?uri=CELEX:32019D1345</w:t>
        </w:r>
      </w:hyperlink>
      <w:r w:rsidR="68E62851">
        <w:t xml:space="preserve">; </w:t>
      </w:r>
      <w:r w:rsidRPr="68E62851" w:rsidR="68E62851">
        <w:rPr>
          <w:i/>
          <w:iCs/>
        </w:rPr>
        <w:t>See also</w:t>
      </w:r>
      <w:r w:rsidR="68E62851">
        <w:t xml:space="preserve"> IEE Sensing Comments at 8, Infineon Comments at 6.</w:t>
      </w:r>
    </w:p>
  </w:footnote>
  <w:footnote w:id="125">
    <w:p w:rsidR="00B37AEE" w:rsidP="00B37AEE" w14:paraId="67AF6132" w14:textId="2AC18752">
      <w:pPr>
        <w:pStyle w:val="FootnoteText"/>
      </w:pPr>
      <w:r>
        <w:rPr>
          <w:rStyle w:val="FootnoteReference"/>
        </w:rPr>
        <w:footnoteRef/>
      </w:r>
      <w:r w:rsidR="68E62851">
        <w:t xml:space="preserve"> Google Comments at 16.</w:t>
      </w:r>
    </w:p>
  </w:footnote>
  <w:footnote w:id="126">
    <w:p w:rsidR="00343935" w:rsidRPr="00BE7629" w:rsidP="00F13E1B" w14:paraId="035401E5" w14:textId="2980D597">
      <w:pPr>
        <w:pStyle w:val="FootnoteText"/>
      </w:pPr>
      <w:r>
        <w:rPr>
          <w:rStyle w:val="FootnoteReference"/>
        </w:rPr>
        <w:footnoteRef/>
      </w:r>
      <w:r>
        <w:t xml:space="preserve"> </w:t>
      </w:r>
      <w:r w:rsidRPr="3328A101">
        <w:rPr>
          <w:i/>
          <w:iCs/>
        </w:rPr>
        <w:t xml:space="preserve">See </w:t>
      </w:r>
      <w:r w:rsidRPr="00F13E1B">
        <w:rPr>
          <w:i/>
          <w:iCs/>
          <w:color w:val="000000"/>
        </w:rPr>
        <w:t>2021</w:t>
      </w:r>
      <w:r w:rsidRPr="00F13E1B">
        <w:rPr>
          <w:color w:val="000000"/>
        </w:rPr>
        <w:t xml:space="preserve"> </w:t>
      </w:r>
      <w:r w:rsidRPr="00F13E1B">
        <w:rPr>
          <w:i/>
          <w:iCs/>
          <w:color w:val="000000"/>
        </w:rPr>
        <w:t>TAC Recommendation</w:t>
      </w:r>
      <w:r w:rsidRPr="5454F8C9">
        <w:t xml:space="preserve">. </w:t>
      </w:r>
      <w:r>
        <w:t xml:space="preserve"> </w:t>
      </w:r>
      <w:r w:rsidR="00BE7629">
        <w:rPr>
          <w:i/>
          <w:iCs/>
        </w:rPr>
        <w:t>See also, NPRM</w:t>
      </w:r>
      <w:r w:rsidR="00BE7629">
        <w:t xml:space="preserve">, 36 FCC </w:t>
      </w:r>
      <w:r w:rsidR="00BE7629">
        <w:t xml:space="preserve">Rcd </w:t>
      </w:r>
      <w:r w:rsidR="6AD549E2">
        <w:t xml:space="preserve">at </w:t>
      </w:r>
      <w:r w:rsidR="00D34B09">
        <w:t>11918-19, para. 38.</w:t>
      </w:r>
    </w:p>
  </w:footnote>
  <w:footnote w:id="127">
    <w:p w:rsidR="006446C4" w:rsidRPr="002A1838" w14:paraId="4033AC1A" w14:textId="7DEB0FB3">
      <w:pPr>
        <w:pStyle w:val="FootnoteText"/>
      </w:pPr>
      <w:r>
        <w:rPr>
          <w:rStyle w:val="FootnoteReference"/>
        </w:rPr>
        <w:footnoteRef/>
      </w:r>
      <w:r w:rsidR="68E62851">
        <w:t xml:space="preserve"> </w:t>
      </w:r>
      <w:r w:rsidR="68E62851">
        <w:t xml:space="preserve">Acconeer Comments at 24.  </w:t>
      </w:r>
      <w:r w:rsidRPr="68E62851" w:rsidR="68E62851">
        <w:rPr>
          <w:i/>
          <w:iCs/>
        </w:rPr>
        <w:t>See also</w:t>
      </w:r>
      <w:r w:rsidR="68E62851">
        <w:t xml:space="preserve"> Valeo Comments at 6 and Vayyar Comments at 7 (identifying other potential disadvantages).</w:t>
      </w:r>
    </w:p>
  </w:footnote>
  <w:footnote w:id="128">
    <w:p w:rsidR="00AE6741" w:rsidRPr="00C2270F" w:rsidP="00AE6741" w14:paraId="6DAD3080" w14:textId="3B423A58">
      <w:pPr>
        <w:pStyle w:val="FootnoteText"/>
      </w:pPr>
      <w:r>
        <w:rPr>
          <w:rStyle w:val="FootnoteReference"/>
        </w:rPr>
        <w:footnoteRef/>
      </w:r>
      <w:r w:rsidR="68E62851">
        <w:t xml:space="preserve"> WISPA Reply Comments at 7. </w:t>
      </w:r>
      <w:r w:rsidRPr="68E62851" w:rsidR="68E62851">
        <w:rPr>
          <w:i/>
          <w:iCs/>
        </w:rPr>
        <w:t>See also</w:t>
      </w:r>
      <w:r w:rsidR="68E62851">
        <w:t xml:space="preserve"> Wi-Fi Alliance Comments at 13 (agreeing that using spectrum sensing technologies in the band could create </w:t>
      </w:r>
      <w:r w:rsidRPr="695573F5" w:rsidR="68E62851">
        <w:t>co-existence problems</w:t>
      </w:r>
      <w:r w:rsidR="68E62851">
        <w:t>).</w:t>
      </w:r>
    </w:p>
  </w:footnote>
  <w:footnote w:id="129">
    <w:p w:rsidR="006B69A7" w14:paraId="0B34D5F0" w14:textId="2F8CD930">
      <w:pPr>
        <w:pStyle w:val="FootnoteText"/>
      </w:pPr>
      <w:r>
        <w:rPr>
          <w:rStyle w:val="FootnoteReference"/>
        </w:rPr>
        <w:footnoteRef/>
      </w:r>
      <w:r w:rsidR="4A1C0502">
        <w:t xml:space="preserve"> Google Comments at 18; TI Comments at 14.  </w:t>
      </w:r>
      <w:r w:rsidRPr="4A1C0502" w:rsidR="4A1C0502">
        <w:rPr>
          <w:i/>
          <w:iCs/>
        </w:rPr>
        <w:t>See also</w:t>
      </w:r>
      <w:r w:rsidR="4A1C0502">
        <w:t xml:space="preserve"> Bosch Reply Comments at 9 (endorsing similar provisions, but </w:t>
      </w:r>
      <w:r w:rsidRPr="695573F5" w:rsidR="4A1C0502">
        <w:t>only if compatibility studies yet to be conducted would produce results that indicate that LBT mitigation would be necessary</w:t>
      </w:r>
      <w:r w:rsidR="4A1C0502">
        <w:t>).</w:t>
      </w:r>
    </w:p>
  </w:footnote>
  <w:footnote w:id="130">
    <w:p w:rsidR="00516787" w:rsidRPr="00C81EFD" w:rsidP="00516787" w14:paraId="1B77C250" w14:textId="3D954F74">
      <w:pPr>
        <w:pStyle w:val="FootnoteText"/>
      </w:pPr>
      <w:r>
        <w:rPr>
          <w:rStyle w:val="FootnoteReference"/>
        </w:rPr>
        <w:footnoteRef/>
      </w:r>
      <w:r>
        <w:t xml:space="preserve"> </w:t>
      </w:r>
      <w:r>
        <w:rPr>
          <w:i/>
          <w:iCs/>
        </w:rPr>
        <w:t>NPRM</w:t>
      </w:r>
      <w:r>
        <w:t xml:space="preserve">, 36 FCC </w:t>
      </w:r>
      <w:r>
        <w:t xml:space="preserve">Rcd </w:t>
      </w:r>
      <w:r w:rsidR="6AD549E2">
        <w:t xml:space="preserve">at </w:t>
      </w:r>
      <w:r>
        <w:t>11920, paras 42-43.</w:t>
      </w:r>
    </w:p>
  </w:footnote>
  <w:footnote w:id="131">
    <w:p w:rsidR="00516787" w:rsidP="00516787" w14:paraId="5C6633E7" w14:textId="77777777">
      <w:pPr>
        <w:pStyle w:val="FootnoteText"/>
      </w:pPr>
      <w:r>
        <w:rPr>
          <w:rStyle w:val="FootnoteReference"/>
        </w:rPr>
        <w:footnoteRef/>
      </w:r>
      <w:r>
        <w:t xml:space="preserve"> </w:t>
      </w:r>
      <w:r w:rsidRPr="00E76A3D">
        <w:t>47 CFR § </w:t>
      </w:r>
      <w:r>
        <w:t>15.255(b)(2).</w:t>
      </w:r>
    </w:p>
  </w:footnote>
  <w:footnote w:id="132">
    <w:p w:rsidR="00516787" w:rsidP="00516787" w14:paraId="57E211A3" w14:textId="037F539C">
      <w:pPr>
        <w:pStyle w:val="FootnoteText"/>
      </w:pPr>
      <w:r>
        <w:rPr>
          <w:rStyle w:val="FootnoteReference"/>
        </w:rPr>
        <w:footnoteRef/>
      </w:r>
      <w:r>
        <w:t xml:space="preserve"> The two types of use cases thus far authorized are: 1) Leica Geosystems AG 60-64 GHz radar on an unmanned aircraft, but with very restrictive conditions on the number of deployed devices.  </w:t>
      </w:r>
      <w:r w:rsidRPr="00F652E6">
        <w:rPr>
          <w:i/>
          <w:iCs/>
        </w:rPr>
        <w:t>See</w:t>
      </w:r>
      <w:r>
        <w:t xml:space="preserve"> </w:t>
      </w:r>
      <w:r w:rsidRPr="3DD796D0" w:rsidR="3DD796D0">
        <w:rPr>
          <w:i/>
          <w:iCs/>
        </w:rPr>
        <w:t>Leica Waiver Order</w:t>
      </w:r>
      <w:r w:rsidRPr="005C737F" w:rsidR="3DD796D0">
        <w:t xml:space="preserve"> </w:t>
      </w:r>
      <w:r w:rsidRPr="3DD796D0" w:rsidR="3DD796D0">
        <w:t xml:space="preserve">FCC </w:t>
      </w:r>
      <w:r w:rsidRPr="3DD796D0" w:rsidR="3DD796D0">
        <w:t xml:space="preserve">Rcd </w:t>
      </w:r>
      <w:r w:rsidRPr="005C737F">
        <w:t>7929</w:t>
      </w:r>
      <w:r>
        <w:t xml:space="preserve">; 2) </w:t>
      </w:r>
      <w:r w:rsidRPr="00FC3029">
        <w:t>Google Soli radar incorporated into a smartphone (e.g., the Google Pixel) allow</w:t>
      </w:r>
      <w:r>
        <w:t>s</w:t>
      </w:r>
      <w:r w:rsidRPr="00FC3029">
        <w:t xml:space="preserve"> control </w:t>
      </w:r>
      <w:r>
        <w:t xml:space="preserve">of a </w:t>
      </w:r>
      <w:r w:rsidRPr="00FC3029">
        <w:t>smartphone via gestures w</w:t>
      </w:r>
      <w:r>
        <w:t>ithout</w:t>
      </w:r>
      <w:r w:rsidRPr="00FC3029">
        <w:t xml:space="preserve"> touching the phone, and is not intended to be part of the aircraft communication network.</w:t>
      </w:r>
      <w:r w:rsidRPr="00426CCD">
        <w:rPr>
          <w:i/>
        </w:rPr>
        <w:t xml:space="preserve">  </w:t>
      </w:r>
      <w:r w:rsidRPr="00426CCD">
        <w:rPr>
          <w:i/>
          <w:iCs/>
        </w:rPr>
        <w:t>See</w:t>
      </w:r>
      <w:r>
        <w:rPr>
          <w:i/>
          <w:iCs/>
        </w:rPr>
        <w:t xml:space="preserve"> </w:t>
      </w:r>
      <w:r w:rsidRPr="006E7D80">
        <w:rPr>
          <w:i/>
          <w:color w:val="000000"/>
        </w:rPr>
        <w:t>Google LLC Request for Waiver of Section 15.255(c)(3) of the Commission's Rules Applicable to Radars used for Short Range Interactive Motion Sensing in the 57</w:t>
      </w:r>
      <w:r>
        <w:rPr>
          <w:i/>
          <w:color w:val="000000"/>
        </w:rPr>
        <w:t>-</w:t>
      </w:r>
      <w:r w:rsidRPr="006E7D80">
        <w:rPr>
          <w:i/>
          <w:color w:val="000000"/>
        </w:rPr>
        <w:t>64 GHz Frequency Band</w:t>
      </w:r>
      <w:r w:rsidRPr="006E7D80">
        <w:rPr>
          <w:color w:val="000000"/>
        </w:rPr>
        <w:t>, DA 18-1308, Order, 33 FCC Rcd</w:t>
      </w:r>
      <w:r w:rsidRPr="3DD796D0">
        <w:rPr>
          <w:color w:val="000000" w:themeColor="text1"/>
        </w:rPr>
        <w:t xml:space="preserve"> 12542 (</w:t>
      </w:r>
      <w:r w:rsidR="00245FD9">
        <w:rPr>
          <w:color w:val="000000" w:themeColor="text1"/>
        </w:rPr>
        <w:t xml:space="preserve">OET </w:t>
      </w:r>
      <w:r w:rsidRPr="3DD796D0">
        <w:rPr>
          <w:color w:val="000000" w:themeColor="text1"/>
        </w:rPr>
        <w:t>2018)</w:t>
      </w:r>
      <w:r>
        <w:t>.</w:t>
      </w:r>
    </w:p>
  </w:footnote>
  <w:footnote w:id="133">
    <w:p w:rsidR="00624A46" w14:paraId="2DC03897" w14:textId="190F999E">
      <w:pPr>
        <w:pStyle w:val="FootnoteText"/>
      </w:pPr>
      <w:r>
        <w:rPr>
          <w:rStyle w:val="FootnoteReference"/>
        </w:rPr>
        <w:footnoteRef/>
      </w:r>
      <w:r w:rsidR="68E62851">
        <w:t xml:space="preserve"> Amazon Comments at 12.</w:t>
      </w:r>
    </w:p>
  </w:footnote>
  <w:footnote w:id="134">
    <w:p w:rsidR="00A31DC2" w14:paraId="791D4032" w14:textId="06850670">
      <w:pPr>
        <w:pStyle w:val="FootnoteText"/>
      </w:pPr>
      <w:r>
        <w:rPr>
          <w:rStyle w:val="FootnoteReference"/>
        </w:rPr>
        <w:footnoteRef/>
      </w:r>
      <w:r>
        <w:t xml:space="preserve"> </w:t>
      </w:r>
      <w:r w:rsidRPr="005C737F" w:rsidR="003F1542">
        <w:rPr>
          <w:i/>
        </w:rPr>
        <w:t>In the Matter of Leica Geosystems AG Request for Waiver of Section 15.255 of the Commission</w:t>
      </w:r>
      <w:r w:rsidR="00245FD9">
        <w:rPr>
          <w:i/>
        </w:rPr>
        <w:t>’</w:t>
      </w:r>
      <w:r w:rsidRPr="005C737F" w:rsidR="003F1542">
        <w:rPr>
          <w:i/>
        </w:rPr>
        <w:t>s Rules Applicable to Radars used on Unmanned Aerial Vehicles in the 60-64 GHz Frequency Band</w:t>
      </w:r>
      <w:r w:rsidRPr="005C737F" w:rsidR="003F1542">
        <w:t xml:space="preserve">, ET Docket No. 19-350, DA 20-795, Order, FCC </w:t>
      </w:r>
      <w:r w:rsidRPr="005C737F" w:rsidR="003F1542">
        <w:t>Rcd 7929 (</w:t>
      </w:r>
      <w:r w:rsidR="00245FD9">
        <w:t xml:space="preserve">OET </w:t>
      </w:r>
      <w:r w:rsidRPr="005C737F" w:rsidR="003F1542">
        <w:t>2020)</w:t>
      </w:r>
      <w:r w:rsidR="003F1542">
        <w:t>.</w:t>
      </w:r>
    </w:p>
  </w:footnote>
  <w:footnote w:id="135">
    <w:p w:rsidR="00103C01" w:rsidP="00103C01" w14:paraId="6B3B3D8E" w14:textId="575E45C9">
      <w:pPr>
        <w:pStyle w:val="FootnoteText"/>
      </w:pPr>
      <w:r>
        <w:rPr>
          <w:rStyle w:val="FootnoteReference"/>
        </w:rPr>
        <w:footnoteRef/>
      </w:r>
      <w:r>
        <w:t xml:space="preserve"> Amazon </w:t>
      </w:r>
      <w:r w:rsidRPr="007206DC">
        <w:rPr>
          <w:i/>
          <w:iCs/>
        </w:rPr>
        <w:t xml:space="preserve">ex </w:t>
      </w:r>
      <w:r w:rsidRPr="007206DC">
        <w:rPr>
          <w:i/>
          <w:iCs/>
        </w:rPr>
        <w:t>parte</w:t>
      </w:r>
      <w:r>
        <w:t xml:space="preserve"> </w:t>
      </w:r>
      <w:r w:rsidR="00C34A7F">
        <w:t xml:space="preserve">at 1 </w:t>
      </w:r>
      <w:r>
        <w:t xml:space="preserve">(filed Sep. 13, 2022); </w:t>
      </w:r>
      <w:r w:rsidRPr="00DE19F4">
        <w:rPr>
          <w:i/>
          <w:iCs/>
        </w:rPr>
        <w:t>id</w:t>
      </w:r>
      <w:r>
        <w:rPr>
          <w:i/>
          <w:iCs/>
        </w:rPr>
        <w:t>.</w:t>
      </w:r>
      <w:r w:rsidR="008F658F">
        <w:t>,</w:t>
      </w:r>
      <w:r>
        <w:t xml:space="preserve"> </w:t>
      </w:r>
      <w:r w:rsidR="00C34A7F">
        <w:t xml:space="preserve">at 1 </w:t>
      </w:r>
      <w:r>
        <w:t xml:space="preserve">(filed Nov. 1, 2022); </w:t>
      </w:r>
      <w:r w:rsidRPr="00DE19F4">
        <w:rPr>
          <w:i/>
          <w:iCs/>
        </w:rPr>
        <w:t>id</w:t>
      </w:r>
      <w:r>
        <w:t>.</w:t>
      </w:r>
      <w:r w:rsidR="008F658F">
        <w:t>,</w:t>
      </w:r>
      <w:r>
        <w:t xml:space="preserve"> </w:t>
      </w:r>
      <w:r w:rsidR="008F658F">
        <w:t xml:space="preserve">at 1 </w:t>
      </w:r>
      <w:r>
        <w:t>(filed Dec. 19, 2022)</w:t>
      </w:r>
      <w:r w:rsidR="00DD4DCE">
        <w:t xml:space="preserve">; </w:t>
      </w:r>
      <w:r w:rsidR="00DD4DCE">
        <w:rPr>
          <w:i/>
          <w:iCs/>
        </w:rPr>
        <w:t>id.</w:t>
      </w:r>
      <w:r w:rsidR="00DD4DCE">
        <w:t>, at 2 (filed Mar. 20, 2023)</w:t>
      </w:r>
      <w:r>
        <w:t>.</w:t>
      </w:r>
    </w:p>
  </w:footnote>
  <w:footnote w:id="136">
    <w:p w:rsidR="00BB460E" w:rsidP="00BB460E" w14:paraId="0858AC5F" w14:textId="56A8171F">
      <w:pPr>
        <w:pStyle w:val="FootnoteText"/>
      </w:pPr>
      <w:r>
        <w:rPr>
          <w:rStyle w:val="FootnoteReference"/>
        </w:rPr>
        <w:footnoteRef/>
      </w:r>
      <w:r>
        <w:t xml:space="preserve"> GAMA </w:t>
      </w:r>
      <w:r w:rsidRPr="007206DC">
        <w:rPr>
          <w:i/>
          <w:iCs/>
        </w:rPr>
        <w:t xml:space="preserve">ex </w:t>
      </w:r>
      <w:r w:rsidRPr="007206DC">
        <w:rPr>
          <w:i/>
          <w:iCs/>
        </w:rPr>
        <w:t>parte</w:t>
      </w:r>
      <w:r>
        <w:t xml:space="preserve"> </w:t>
      </w:r>
      <w:r w:rsidR="0002107F">
        <w:t xml:space="preserve">at 1 </w:t>
      </w:r>
      <w:r>
        <w:t>(filed Nov. 14, 2022).</w:t>
      </w:r>
    </w:p>
  </w:footnote>
  <w:footnote w:id="137">
    <w:p w:rsidR="00BB460E" w:rsidP="00BB460E" w14:paraId="4CD971AE" w14:textId="4974D231">
      <w:pPr>
        <w:pStyle w:val="FootnoteText"/>
      </w:pPr>
      <w:r>
        <w:rPr>
          <w:rStyle w:val="FootnoteReference"/>
        </w:rPr>
        <w:footnoteRef/>
      </w:r>
      <w:r w:rsidR="4A1C0502">
        <w:t xml:space="preserve"> Joint </w:t>
      </w:r>
      <w:r w:rsidRPr="4A1C0502" w:rsidR="4A1C0502">
        <w:rPr>
          <w:i/>
          <w:iCs/>
        </w:rPr>
        <w:t xml:space="preserve">ex </w:t>
      </w:r>
      <w:r w:rsidRPr="4A1C0502" w:rsidR="4A1C0502">
        <w:rPr>
          <w:i/>
          <w:iCs/>
        </w:rPr>
        <w:t>parte</w:t>
      </w:r>
      <w:r w:rsidR="4A1C0502">
        <w:t xml:space="preserve"> from </w:t>
      </w:r>
      <w:r w:rsidRPr="00614450" w:rsidR="4A1C0502">
        <w:rPr>
          <w:color w:val="000000"/>
        </w:rPr>
        <w:t xml:space="preserve">the </w:t>
      </w:r>
      <w:r w:rsidRPr="00031998" w:rsidR="4A1C0502">
        <w:rPr>
          <w:color w:val="000000"/>
        </w:rPr>
        <w:t>Consumer Technology Association</w:t>
      </w:r>
      <w:r w:rsidRPr="00614450" w:rsidR="4A1C0502">
        <w:rPr>
          <w:color w:val="000000"/>
        </w:rPr>
        <w:t>,</w:t>
      </w:r>
      <w:r w:rsidRPr="00031998" w:rsidR="4A1C0502">
        <w:rPr>
          <w:color w:val="000000"/>
        </w:rPr>
        <w:t xml:space="preserve"> CTIA</w:t>
      </w:r>
      <w:r w:rsidRPr="00614450" w:rsidR="4A1C0502">
        <w:rPr>
          <w:color w:val="000000"/>
        </w:rPr>
        <w:t xml:space="preserve">, </w:t>
      </w:r>
      <w:r w:rsidRPr="00031998" w:rsidR="4A1C0502">
        <w:rPr>
          <w:color w:val="000000"/>
        </w:rPr>
        <w:t>Information Technology Industry Council (ITI)</w:t>
      </w:r>
      <w:r w:rsidRPr="00614450" w:rsidR="4A1C0502">
        <w:rPr>
          <w:color w:val="000000"/>
        </w:rPr>
        <w:t xml:space="preserve">, </w:t>
      </w:r>
      <w:r w:rsidRPr="00031998" w:rsidR="4A1C0502">
        <w:rPr>
          <w:color w:val="000000"/>
        </w:rPr>
        <w:t>NetChoice</w:t>
      </w:r>
      <w:r w:rsidRPr="00614450" w:rsidR="4A1C0502">
        <w:rPr>
          <w:color w:val="000000"/>
        </w:rPr>
        <w:t xml:space="preserve">, </w:t>
      </w:r>
      <w:r w:rsidRPr="00031998" w:rsidR="4A1C0502">
        <w:rPr>
          <w:color w:val="000000"/>
        </w:rPr>
        <w:t>TechNet</w:t>
      </w:r>
      <w:r w:rsidR="4A1C0502">
        <w:rPr>
          <w:color w:val="000000"/>
        </w:rPr>
        <w:t>,</w:t>
      </w:r>
      <w:r w:rsidRPr="00031998" w:rsidR="4A1C0502">
        <w:rPr>
          <w:color w:val="000000"/>
        </w:rPr>
        <w:t xml:space="preserve"> </w:t>
      </w:r>
      <w:r w:rsidR="4A1C0502">
        <w:rPr>
          <w:color w:val="000000"/>
        </w:rPr>
        <w:t>and</w:t>
      </w:r>
      <w:r w:rsidRPr="00614450" w:rsidR="4A1C0502">
        <w:rPr>
          <w:color w:val="000000"/>
        </w:rPr>
        <w:t xml:space="preserve"> </w:t>
      </w:r>
      <w:r w:rsidRPr="00614450" w:rsidR="4A1C0502">
        <w:t>U.S. Chamber of Commerce</w:t>
      </w:r>
      <w:r w:rsidR="4A1C0502">
        <w:t xml:space="preserve"> (filed Dec. 16, 2022).</w:t>
      </w:r>
    </w:p>
  </w:footnote>
  <w:footnote w:id="138">
    <w:p w:rsidR="5D7DEC95" w:rsidP="00A50E17" w14:paraId="7CAFFB2A" w14:textId="60FAC30A">
      <w:pPr>
        <w:pStyle w:val="FootnoteText"/>
      </w:pPr>
      <w:r w:rsidRPr="2F7BC899">
        <w:rPr>
          <w:vertAlign w:val="superscript"/>
        </w:rPr>
        <w:footnoteRef/>
      </w:r>
      <w:r w:rsidR="2F7BC899">
        <w:t xml:space="preserve"> </w:t>
      </w:r>
      <w:r w:rsidRPr="2F7BC899" w:rsidR="2F7BC899">
        <w:rPr>
          <w:i/>
          <w:iCs/>
        </w:rPr>
        <w:t>Leica Waiver Order</w:t>
      </w:r>
      <w:r w:rsidR="008640C5">
        <w:t>,</w:t>
      </w:r>
      <w:r w:rsidRPr="2F7BC899" w:rsidR="2F7BC899">
        <w:rPr>
          <w:i/>
          <w:iCs/>
        </w:rPr>
        <w:t xml:space="preserve"> </w:t>
      </w:r>
      <w:r w:rsidR="008640C5">
        <w:t xml:space="preserve">35 </w:t>
      </w:r>
      <w:r w:rsidRPr="2F7BC899" w:rsidR="2F7BC899">
        <w:t xml:space="preserve">FCC </w:t>
      </w:r>
      <w:r w:rsidRPr="2F7BC899" w:rsidR="2F7BC899">
        <w:t xml:space="preserve">Rcd at 7933, para. </w:t>
      </w:r>
      <w:r w:rsidRPr="5631E56C" w:rsidR="5631E56C">
        <w:t>7</w:t>
      </w:r>
      <w:r w:rsidRPr="2F7BC899" w:rsidR="2F7BC899">
        <w:t>.</w:t>
      </w:r>
    </w:p>
  </w:footnote>
  <w:footnote w:id="139">
    <w:p w:rsidR="5631E56C" w:rsidP="00A50E17" w14:paraId="26CFDBA3" w14:textId="5C24943F">
      <w:pPr>
        <w:pStyle w:val="FootnoteText"/>
      </w:pPr>
      <w:r w:rsidRPr="5631E56C">
        <w:rPr>
          <w:vertAlign w:val="superscript"/>
        </w:rPr>
        <w:footnoteRef/>
      </w:r>
      <w:r w:rsidR="6F623735">
        <w:t xml:space="preserve"> </w:t>
      </w:r>
      <w:r w:rsidRPr="6F623735" w:rsidR="6F623735">
        <w:rPr>
          <w:i/>
          <w:iCs/>
        </w:rPr>
        <w:t>Leica Waiver Order</w:t>
      </w:r>
      <w:r w:rsidR="006F3BA1">
        <w:t>,</w:t>
      </w:r>
      <w:r w:rsidR="008640C5">
        <w:t xml:space="preserve"> 35</w:t>
      </w:r>
      <w:r w:rsidRPr="6F623735" w:rsidR="6F623735">
        <w:rPr>
          <w:i/>
          <w:iCs/>
        </w:rPr>
        <w:t xml:space="preserve"> </w:t>
      </w:r>
      <w:r w:rsidR="6F623735">
        <w:t xml:space="preserve">FCC </w:t>
      </w:r>
      <w:r w:rsidR="6F623735">
        <w:t>Rcd at 7933, para. 8.</w:t>
      </w:r>
    </w:p>
  </w:footnote>
  <w:footnote w:id="140">
    <w:p w:rsidR="00CC53AC" w14:paraId="62F86B2F" w14:textId="0740C0CA">
      <w:pPr>
        <w:pStyle w:val="FootnoteText"/>
      </w:pPr>
      <w:r>
        <w:rPr>
          <w:rStyle w:val="FootnoteReference"/>
        </w:rPr>
        <w:footnoteRef/>
      </w:r>
      <w:r w:rsidR="00114F77">
        <w:t xml:space="preserve"> </w:t>
      </w:r>
      <w:r w:rsidRPr="7141D472" w:rsidR="7141D472">
        <w:rPr>
          <w:i/>
          <w:iCs/>
        </w:rPr>
        <w:t>Leica Waiver Order</w:t>
      </w:r>
      <w:r w:rsidR="006F3BA1">
        <w:t>, 35</w:t>
      </w:r>
      <w:r w:rsidRPr="151815E1" w:rsidR="151815E1">
        <w:t xml:space="preserve"> </w:t>
      </w:r>
      <w:r w:rsidRPr="34FBCAA8" w:rsidR="34FBCAA8">
        <w:t xml:space="preserve">FCC </w:t>
      </w:r>
      <w:r w:rsidRPr="34FBCAA8" w:rsidR="34FBCAA8">
        <w:t xml:space="preserve">Rcd </w:t>
      </w:r>
      <w:r w:rsidR="3EB6C4ED">
        <w:t xml:space="preserve">at </w:t>
      </w:r>
      <w:r w:rsidRPr="151815E1" w:rsidR="151815E1">
        <w:t>7932</w:t>
      </w:r>
      <w:r w:rsidRPr="16305158" w:rsidR="16305158">
        <w:t>,</w:t>
      </w:r>
      <w:r w:rsidRPr="34FBCAA8" w:rsidR="34FBCAA8">
        <w:t xml:space="preserve"> </w:t>
      </w:r>
      <w:r w:rsidRPr="30A571B8" w:rsidR="30A571B8">
        <w:t xml:space="preserve">para. </w:t>
      </w:r>
      <w:r w:rsidRPr="16305158" w:rsidR="16305158">
        <w:t>6</w:t>
      </w:r>
      <w:r w:rsidRPr="30A571B8" w:rsidR="30A571B8">
        <w:t>.</w:t>
      </w:r>
      <w:r w:rsidR="00456933">
        <w:t xml:space="preserve">  We note that m</w:t>
      </w:r>
      <w:r w:rsidRPr="00FE5B6D" w:rsidR="00456933">
        <w:rPr>
          <w:rStyle w:val="cf01"/>
          <w:rFonts w:ascii="Times New Roman" w:hAnsi="Times New Roman" w:cs="Times New Roman"/>
          <w:sz w:val="20"/>
          <w:szCs w:val="20"/>
        </w:rPr>
        <w:t>obile</w:t>
      </w:r>
      <w:r w:rsidRPr="00FE5B6D" w:rsidR="00114F77">
        <w:rPr>
          <w:rStyle w:val="cf01"/>
          <w:rFonts w:ascii="Times New Roman" w:hAnsi="Times New Roman" w:cs="Times New Roman"/>
          <w:sz w:val="20"/>
          <w:szCs w:val="20"/>
        </w:rPr>
        <w:t xml:space="preserve"> use </w:t>
      </w:r>
      <w:r w:rsidR="00456933">
        <w:rPr>
          <w:rStyle w:val="cf01"/>
          <w:rFonts w:ascii="Times New Roman" w:hAnsi="Times New Roman" w:cs="Times New Roman"/>
          <w:sz w:val="20"/>
          <w:szCs w:val="20"/>
        </w:rPr>
        <w:t>minimizes the potential for</w:t>
      </w:r>
      <w:r w:rsidRPr="00FE5B6D" w:rsidR="00114F77">
        <w:rPr>
          <w:rStyle w:val="cf01"/>
          <w:rFonts w:ascii="Times New Roman" w:hAnsi="Times New Roman" w:cs="Times New Roman"/>
          <w:sz w:val="20"/>
          <w:szCs w:val="20"/>
        </w:rPr>
        <w:t xml:space="preserve"> harmful interference by its very nature of moving about, whereas fixed use is more susceptible if an interferer signal is located in its antenna beam.</w:t>
      </w:r>
      <w:r>
        <w:t xml:space="preserve"> </w:t>
      </w:r>
      <w:r w:rsidRPr="30A571B8" w:rsidR="30A571B8">
        <w:rPr>
          <w:i/>
          <w:iCs/>
        </w:rPr>
        <w:t xml:space="preserve"> </w:t>
      </w:r>
    </w:p>
  </w:footnote>
  <w:footnote w:id="141">
    <w:p w:rsidR="00056FAD" w14:paraId="40CDD89D" w14:textId="2011C271">
      <w:pPr>
        <w:pStyle w:val="FootnoteText"/>
      </w:pPr>
      <w:r>
        <w:rPr>
          <w:rStyle w:val="FootnoteReference"/>
        </w:rPr>
        <w:footnoteRef/>
      </w:r>
      <w:r>
        <w:t xml:space="preserve"> </w:t>
      </w:r>
      <w:r w:rsidR="00946321">
        <w:t>14 CFR</w:t>
      </w:r>
      <w:r w:rsidR="00F415C1">
        <w:t xml:space="preserve"> </w:t>
      </w:r>
      <w:r w:rsidR="008766C0">
        <w:t>§</w:t>
      </w:r>
      <w:r w:rsidR="007D26EC">
        <w:t xml:space="preserve"> </w:t>
      </w:r>
      <w:r w:rsidR="00594EDE">
        <w:t>107</w:t>
      </w:r>
      <w:r w:rsidR="00B234C0">
        <w:t>.51</w:t>
      </w:r>
      <w:r w:rsidR="007D26EC">
        <w:t xml:space="preserve">. </w:t>
      </w:r>
      <w:r w:rsidR="008A4638">
        <w:t xml:space="preserve"> </w:t>
      </w:r>
    </w:p>
  </w:footnote>
  <w:footnote w:id="142">
    <w:p w:rsidR="00A348F7" w14:paraId="158A6F34" w14:textId="777D15BC">
      <w:pPr>
        <w:pStyle w:val="FootnoteText"/>
      </w:pPr>
      <w:r>
        <w:rPr>
          <w:rStyle w:val="FootnoteReference"/>
        </w:rPr>
        <w:footnoteRef/>
      </w:r>
      <w:r>
        <w:t xml:space="preserve"> </w:t>
      </w:r>
      <w:r w:rsidR="00C018E8">
        <w:t xml:space="preserve">Specifically, the sum of continuous transmitter off-times of at least two </w:t>
      </w:r>
      <w:r w:rsidR="00C018E8">
        <w:t>ms shall equal at least 16.5 ms within any contiguous interval of 33 ms.</w:t>
      </w:r>
    </w:p>
  </w:footnote>
  <w:footnote w:id="143">
    <w:p w:rsidR="00F9661D" w14:paraId="4B7D9E19" w14:textId="498E3BE1">
      <w:pPr>
        <w:pStyle w:val="FootnoteText"/>
      </w:pPr>
      <w:r>
        <w:rPr>
          <w:rStyle w:val="FootnoteReference"/>
        </w:rPr>
        <w:footnoteRef/>
      </w:r>
      <w:r>
        <w:t xml:space="preserve"> </w:t>
      </w:r>
      <w:r w:rsidR="00E408D6">
        <w:t xml:space="preserve">NTIA </w:t>
      </w:r>
      <w:r w:rsidRPr="007206DC" w:rsidR="00E408D6">
        <w:rPr>
          <w:i/>
          <w:iCs/>
        </w:rPr>
        <w:t xml:space="preserve">ex </w:t>
      </w:r>
      <w:r w:rsidRPr="007206DC" w:rsidR="00E408D6">
        <w:rPr>
          <w:i/>
          <w:iCs/>
        </w:rPr>
        <w:t>parte</w:t>
      </w:r>
      <w:r w:rsidR="00E408D6">
        <w:t xml:space="preserve"> (filed June 21, 2022).</w:t>
      </w:r>
    </w:p>
  </w:footnote>
  <w:footnote w:id="144">
    <w:p w:rsidR="001B2572" w14:paraId="45A143EB" w14:textId="6FD56634">
      <w:pPr>
        <w:pStyle w:val="FootnoteText"/>
      </w:pPr>
      <w:r>
        <w:rPr>
          <w:rStyle w:val="FootnoteReference"/>
        </w:rPr>
        <w:footnoteRef/>
      </w:r>
      <w:r>
        <w:t xml:space="preserve"> This refers to entertainment systems that deliver movies and music to passengers on-board commercial aircraft. 47 CFR § 15.255(b).</w:t>
      </w:r>
    </w:p>
  </w:footnote>
  <w:footnote w:id="145">
    <w:p w:rsidR="001B2572" w14:paraId="623551DD" w14:textId="28F183FC">
      <w:pPr>
        <w:pStyle w:val="FootnoteText"/>
      </w:pPr>
      <w:r>
        <w:rPr>
          <w:rStyle w:val="FootnoteReference"/>
        </w:rPr>
        <w:footnoteRef/>
      </w:r>
      <w:r>
        <w:t xml:space="preserve"> </w:t>
      </w:r>
      <w:r w:rsidRPr="00426CCD">
        <w:rPr>
          <w:i/>
          <w:iCs/>
        </w:rPr>
        <w:t>See</w:t>
      </w:r>
      <w:r>
        <w:rPr>
          <w:i/>
          <w:iCs/>
        </w:rPr>
        <w:t xml:space="preserve"> </w:t>
      </w:r>
      <w:r w:rsidRPr="006E7D80">
        <w:rPr>
          <w:i/>
          <w:color w:val="000000"/>
        </w:rPr>
        <w:t>Google LLC Request for Waiver of Section 15.255(c)(3) of the Commission's Rules Applicable to Radars used for Short Range Interactive Motion Sensing in the 57</w:t>
      </w:r>
      <w:r>
        <w:rPr>
          <w:i/>
          <w:color w:val="000000"/>
        </w:rPr>
        <w:t>-</w:t>
      </w:r>
      <w:r w:rsidRPr="006E7D80">
        <w:rPr>
          <w:i/>
          <w:color w:val="000000"/>
        </w:rPr>
        <w:t>64 GHz Frequency Band</w:t>
      </w:r>
      <w:r w:rsidRPr="006E7D80">
        <w:rPr>
          <w:color w:val="000000"/>
        </w:rPr>
        <w:t xml:space="preserve">, DA 18-1308, Order, 33 FCC </w:t>
      </w:r>
      <w:r w:rsidRPr="006E7D80">
        <w:rPr>
          <w:color w:val="000000"/>
        </w:rPr>
        <w:t>Rcd 12542 (2018)</w:t>
      </w:r>
      <w:r>
        <w:t>.</w:t>
      </w:r>
    </w:p>
  </w:footnote>
  <w:footnote w:id="146">
    <w:p w:rsidR="00233D18" w:rsidRPr="00852143" w:rsidP="00766249" w14:paraId="370DAF74" w14:textId="07594A11">
      <w:pPr>
        <w:pStyle w:val="FootnoteText"/>
      </w:pPr>
      <w:r w:rsidRPr="49CA81D4">
        <w:rPr>
          <w:vertAlign w:val="superscript"/>
        </w:rPr>
        <w:footnoteRef/>
      </w:r>
      <w:r>
        <w:t xml:space="preserve"> </w:t>
      </w:r>
      <w:r w:rsidRPr="47772E9B">
        <w:rPr>
          <w:i/>
          <w:iCs/>
        </w:rPr>
        <w:t xml:space="preserve">NPRM, </w:t>
      </w:r>
      <w:r>
        <w:t>36</w:t>
      </w:r>
      <w:r w:rsidRPr="47772E9B">
        <w:rPr>
          <w:i/>
          <w:iCs/>
        </w:rPr>
        <w:t xml:space="preserve"> </w:t>
      </w:r>
      <w:r>
        <w:t xml:space="preserve">FCC </w:t>
      </w:r>
      <w:r>
        <w:t>Rcd at 11919.</w:t>
      </w:r>
    </w:p>
  </w:footnote>
  <w:footnote w:id="147">
    <w:p w:rsidR="001E5450" w:rsidP="001E5450" w14:paraId="661EC477" w14:textId="5A30C79E">
      <w:pPr>
        <w:pStyle w:val="FootnoteText"/>
      </w:pPr>
      <w:r>
        <w:rPr>
          <w:rStyle w:val="FootnoteReference"/>
        </w:rPr>
        <w:footnoteRef/>
      </w:r>
      <w:r w:rsidR="68E62851">
        <w:t xml:space="preserve"> CORF Comments at 13.</w:t>
      </w:r>
    </w:p>
  </w:footnote>
  <w:footnote w:id="148">
    <w:p w:rsidR="00E12E22" w14:paraId="26AAAF98" w14:textId="1C66E81E">
      <w:pPr>
        <w:pStyle w:val="FootnoteText"/>
      </w:pPr>
      <w:r>
        <w:rPr>
          <w:rStyle w:val="FootnoteReference"/>
        </w:rPr>
        <w:footnoteRef/>
      </w:r>
      <w:r w:rsidR="68E62851">
        <w:t xml:space="preserve"> CORF Comments at 15-16.</w:t>
      </w:r>
    </w:p>
  </w:footnote>
  <w:footnote w:id="149">
    <w:p w:rsidR="001E5450" w:rsidP="001E5450" w14:paraId="4563F79A" w14:textId="609A6FD7">
      <w:pPr>
        <w:pStyle w:val="FootnoteText"/>
      </w:pPr>
      <w:r>
        <w:rPr>
          <w:rStyle w:val="FootnoteReference"/>
        </w:rPr>
        <w:footnoteRef/>
      </w:r>
      <w:r w:rsidR="68E62851">
        <w:t xml:space="preserve"> FARS Reply Comments at 1-2.</w:t>
      </w:r>
    </w:p>
  </w:footnote>
  <w:footnote w:id="150">
    <w:p w:rsidR="00F14819" w:rsidP="00F14819" w14:paraId="7DCA8DE3" w14:textId="5C72253E">
      <w:pPr>
        <w:pStyle w:val="FootnoteText"/>
      </w:pPr>
      <w:r>
        <w:rPr>
          <w:rStyle w:val="FootnoteReference"/>
        </w:rPr>
        <w:footnoteRef/>
      </w:r>
      <w:r w:rsidR="68E62851">
        <w:t xml:space="preserve"> Google Reply Comments at 10.  The Google Soli Radar operates under waiver in the 57-64 GHz band, which includes the EESS passive 57-59.3 GHz band. </w:t>
      </w:r>
    </w:p>
  </w:footnote>
  <w:footnote w:id="151">
    <w:p w:rsidR="005374E7" w14:paraId="45284B92" w14:textId="220BB429">
      <w:pPr>
        <w:pStyle w:val="FootnoteText"/>
      </w:pPr>
      <w:r>
        <w:rPr>
          <w:rStyle w:val="FootnoteReference"/>
        </w:rPr>
        <w:footnoteRef/>
      </w:r>
      <w:r>
        <w:t xml:space="preserve"> </w:t>
      </w:r>
      <w:r w:rsidR="00E66656">
        <w:t xml:space="preserve">NTIA </w:t>
      </w:r>
      <w:r w:rsidRPr="007206DC" w:rsidR="00E66656">
        <w:rPr>
          <w:i/>
          <w:iCs/>
        </w:rPr>
        <w:t xml:space="preserve">ex </w:t>
      </w:r>
      <w:r w:rsidRPr="007206DC" w:rsidR="00E66656">
        <w:rPr>
          <w:i/>
          <w:iCs/>
        </w:rPr>
        <w:t>parte</w:t>
      </w:r>
      <w:r w:rsidR="00E66656">
        <w:t xml:space="preserve"> </w:t>
      </w:r>
      <w:r w:rsidR="00B07324">
        <w:t xml:space="preserve">at 1-2 </w:t>
      </w:r>
      <w:r w:rsidR="00E66656">
        <w:t>(filed June 21, 2022).</w:t>
      </w:r>
    </w:p>
  </w:footnote>
  <w:footnote w:id="152">
    <w:p w:rsidR="001B0C24" w14:paraId="01B40155" w14:textId="64D56EDE">
      <w:pPr>
        <w:pStyle w:val="FootnoteText"/>
      </w:pPr>
      <w:r>
        <w:rPr>
          <w:rStyle w:val="FootnoteReference"/>
        </w:rPr>
        <w:footnoteRef/>
      </w:r>
      <w:r>
        <w:t xml:space="preserve"> 47 CFR § 15.255(b)(2)</w:t>
      </w:r>
      <w:r w:rsidR="00F95BDE">
        <w:t xml:space="preserve"> (operation on aircraft is </w:t>
      </w:r>
      <w:r w:rsidR="00BD1976">
        <w:t>permitted while airborne only in closed exclusive</w:t>
      </w:r>
      <w:r w:rsidR="006D4105">
        <w:t xml:space="preserve"> communication</w:t>
      </w:r>
      <w:r w:rsidR="00445EC3">
        <w:t xml:space="preserve"> networks within the aircraft</w:t>
      </w:r>
      <w:r w:rsidR="00C55AC1">
        <w:t>).</w:t>
      </w:r>
    </w:p>
  </w:footnote>
  <w:footnote w:id="153">
    <w:p w:rsidR="00343935" w:rsidP="00F13E1B" w14:paraId="0CD5D426" w14:textId="77777777">
      <w:pPr>
        <w:pStyle w:val="FootnoteText"/>
      </w:pPr>
      <w:r>
        <w:rPr>
          <w:rStyle w:val="FootnoteReference"/>
        </w:rPr>
        <w:footnoteRef/>
      </w:r>
      <w:r>
        <w:t xml:space="preserve"> 47 CFR § 15.31(c).</w:t>
      </w:r>
    </w:p>
  </w:footnote>
  <w:footnote w:id="154">
    <w:p w:rsidR="00343935" w:rsidP="00F13E1B" w14:paraId="02386C0F" w14:textId="77777777">
      <w:pPr>
        <w:pStyle w:val="FootnoteText"/>
      </w:pPr>
      <w:r>
        <w:rPr>
          <w:rStyle w:val="FootnoteReference"/>
        </w:rPr>
        <w:footnoteRef/>
      </w:r>
      <w:r>
        <w:t xml:space="preserve"> </w:t>
      </w:r>
      <w:r w:rsidRPr="00FF14D5">
        <w:t xml:space="preserve">An FMCW radar works by sweeping a </w:t>
      </w:r>
      <w:r>
        <w:t>continuous wave (</w:t>
      </w:r>
      <w:r w:rsidRPr="00FF14D5">
        <w:t>CW</w:t>
      </w:r>
      <w:r>
        <w:t>)</w:t>
      </w:r>
      <w:r w:rsidRPr="00FF14D5">
        <w:t xml:space="preserve"> signal over a defined frequency range.  If the sweep is stopped </w:t>
      </w:r>
      <w:r>
        <w:t>for a bandwidth measurement</w:t>
      </w:r>
      <w:r w:rsidRPr="00FF14D5">
        <w:t xml:space="preserve">, the </w:t>
      </w:r>
      <w:r>
        <w:t xml:space="preserve">measured </w:t>
      </w:r>
      <w:r w:rsidRPr="00FF14D5">
        <w:t xml:space="preserve">bandwidth </w:t>
      </w:r>
      <w:r>
        <w:t xml:space="preserve">will be that </w:t>
      </w:r>
      <w:r w:rsidRPr="00FF14D5">
        <w:t xml:space="preserve">of a CW signal, which is zero.  </w:t>
      </w:r>
    </w:p>
  </w:footnote>
  <w:footnote w:id="155">
    <w:p w:rsidR="00343935" w:rsidP="00F13E1B" w14:paraId="49961C0B" w14:textId="052BA5B9">
      <w:pPr>
        <w:pStyle w:val="FootnoteText"/>
      </w:pPr>
      <w:r>
        <w:rPr>
          <w:rStyle w:val="FootnoteReference"/>
        </w:rPr>
        <w:footnoteRef/>
      </w:r>
      <w:r>
        <w:t xml:space="preserve"> 47 CFR § 15.255(i) states “</w:t>
      </w:r>
      <w:r w:rsidRPr="00DF2D03">
        <w:rPr>
          <w:color w:val="000000"/>
          <w:szCs w:val="22"/>
        </w:rPr>
        <w:t>Measurement procedures that have been found to be acceptable to the Commission in accordance with §</w:t>
      </w:r>
      <w:r w:rsidR="008E056E">
        <w:rPr>
          <w:color w:val="000000"/>
          <w:szCs w:val="22"/>
        </w:rPr>
        <w:t xml:space="preserve"> </w:t>
      </w:r>
      <w:r w:rsidRPr="00DF2D03">
        <w:rPr>
          <w:color w:val="000000"/>
          <w:szCs w:val="22"/>
        </w:rPr>
        <w:t>2.947 of this chapter may be used to demonstrate compliance.</w:t>
      </w:r>
      <w:r>
        <w:rPr>
          <w:color w:val="000000"/>
          <w:szCs w:val="22"/>
        </w:rPr>
        <w:t>”</w:t>
      </w:r>
    </w:p>
  </w:footnote>
  <w:footnote w:id="156">
    <w:p w:rsidR="00343935" w:rsidP="00F13E1B" w14:paraId="1EBEAC5D" w14:textId="77777777">
      <w:pPr>
        <w:pStyle w:val="FootnoteText"/>
      </w:pPr>
      <w:r>
        <w:rPr>
          <w:rStyle w:val="FootnoteReference"/>
        </w:rPr>
        <w:footnoteRef/>
      </w:r>
      <w:r>
        <w:t xml:space="preserve"> 47 CFR § 15.35(c).</w:t>
      </w:r>
    </w:p>
  </w:footnote>
  <w:footnote w:id="157">
    <w:p w:rsidR="00343935" w:rsidP="00F13E1B" w14:paraId="13E73884" w14:textId="77777777">
      <w:pPr>
        <w:pStyle w:val="FootnoteText"/>
      </w:pPr>
      <w:r>
        <w:rPr>
          <w:rStyle w:val="FootnoteReference"/>
        </w:rPr>
        <w:footnoteRef/>
      </w:r>
      <w:r>
        <w:t xml:space="preserve"> Garage door openers typically operate in the 300-390 MHz frequency range.</w:t>
      </w:r>
    </w:p>
  </w:footnote>
  <w:footnote w:id="158">
    <w:p w:rsidR="00E90440" w14:paraId="6202085D" w14:textId="21193026">
      <w:pPr>
        <w:pStyle w:val="FootnoteText"/>
      </w:pPr>
      <w:r>
        <w:rPr>
          <w:rStyle w:val="FootnoteReference"/>
        </w:rPr>
        <w:footnoteRef/>
      </w:r>
      <w:r>
        <w:t xml:space="preserve"> </w:t>
      </w:r>
      <w:r w:rsidR="00D74259">
        <w:rPr>
          <w:szCs w:val="22"/>
        </w:rPr>
        <w:t>Bosch suggests that the t</w:t>
      </w:r>
      <w:r w:rsidRPr="00A8196A" w:rsidR="00D74259">
        <w:rPr>
          <w:szCs w:val="22"/>
        </w:rPr>
        <w:t>otal radiated power may be measured and assessed as described in ETSI EN 303 883-1 Version 1.2.1 clause 5.6 equation 20 and figure 10.</w:t>
      </w:r>
      <w:r w:rsidR="00225B1B">
        <w:rPr>
          <w:szCs w:val="22"/>
        </w:rPr>
        <w:t xml:space="preserve">  </w:t>
      </w:r>
      <w:r w:rsidR="003A27F4">
        <w:rPr>
          <w:szCs w:val="22"/>
        </w:rPr>
        <w:t>Bosch comments at</w:t>
      </w:r>
      <w:r w:rsidR="002664D4">
        <w:rPr>
          <w:szCs w:val="22"/>
        </w:rPr>
        <w:t xml:space="preserve"> 6.  </w:t>
      </w:r>
      <w:r w:rsidR="00225B1B">
        <w:rPr>
          <w:i/>
          <w:iCs/>
          <w:szCs w:val="22"/>
        </w:rPr>
        <w:t xml:space="preserve">See </w:t>
      </w:r>
      <w:r w:rsidRPr="00214997" w:rsidR="00A176E8">
        <w:rPr>
          <w:i/>
          <w:iCs/>
        </w:rPr>
        <w:t>Short Range Devices (SRD) and Ultra-Wide Band (UWB); Part 1: Measurement techniques for transmitter requirements</w:t>
      </w:r>
      <w:r w:rsidRPr="00214997" w:rsidR="00A176E8">
        <w:t xml:space="preserve">, ETSI EN 303 883-1 V1.2.1 (2021-02), at </w:t>
      </w:r>
      <w:hyperlink r:id="rId9" w:history="1">
        <w:r w:rsidRPr="00214997" w:rsidR="00A176E8">
          <w:rPr>
            <w:rStyle w:val="Hyperlink"/>
          </w:rPr>
          <w:t>https://www.etsi.org/deliver/etsi_en/303800_303899/30388301/01.02.01_60/en_30388301v010201p.pdf</w:t>
        </w:r>
      </w:hyperlink>
      <w:r w:rsidRPr="00214997" w:rsidR="00A176E8">
        <w:t>.</w:t>
      </w:r>
    </w:p>
  </w:footnote>
  <w:footnote w:id="159">
    <w:p w:rsidR="00A176E8" w14:paraId="293DADD6" w14:textId="360B4D4E">
      <w:pPr>
        <w:pStyle w:val="FootnoteText"/>
      </w:pPr>
      <w:r>
        <w:rPr>
          <w:rStyle w:val="FootnoteReference"/>
        </w:rPr>
        <w:footnoteRef/>
      </w:r>
      <w:r w:rsidR="68E62851">
        <w:t xml:space="preserve"> Bosch Comments at 6.</w:t>
      </w:r>
    </w:p>
  </w:footnote>
  <w:footnote w:id="160">
    <w:p w:rsidR="00615803" w14:paraId="50FF682D" w14:textId="6AA17CF4">
      <w:pPr>
        <w:pStyle w:val="FootnoteText"/>
      </w:pPr>
      <w:r>
        <w:rPr>
          <w:rStyle w:val="FootnoteReference"/>
        </w:rPr>
        <w:footnoteRef/>
      </w:r>
      <w:r w:rsidR="68E62851">
        <w:t xml:space="preserve"> </w:t>
      </w:r>
      <w:r w:rsidRPr="51E8EA35" w:rsidR="68E62851">
        <w:t>Acconeer Comments at 20</w:t>
      </w:r>
      <w:r w:rsidRPr="6C808ADB" w:rsidR="68E62851">
        <w:t>.</w:t>
      </w:r>
    </w:p>
  </w:footnote>
  <w:footnote w:id="161">
    <w:p w:rsidR="003B2430" w14:paraId="541AB256" w14:textId="4B3B6F48">
      <w:pPr>
        <w:pStyle w:val="FootnoteText"/>
      </w:pPr>
      <w:r>
        <w:rPr>
          <w:rStyle w:val="FootnoteReference"/>
        </w:rPr>
        <w:footnoteRef/>
      </w:r>
      <w:r w:rsidR="68E62851">
        <w:t xml:space="preserve"> Infineon Reply Comments at 10.</w:t>
      </w:r>
    </w:p>
  </w:footnote>
  <w:footnote w:id="162">
    <w:p w:rsidR="00A5417B" w14:paraId="66897320" w14:textId="4228F2A6">
      <w:pPr>
        <w:pStyle w:val="FootnoteText"/>
      </w:pPr>
      <w:r>
        <w:rPr>
          <w:rStyle w:val="FootnoteReference"/>
        </w:rPr>
        <w:footnoteRef/>
      </w:r>
      <w:r w:rsidR="68E62851">
        <w:t xml:space="preserve"> </w:t>
      </w:r>
      <w:r w:rsidR="68E62851">
        <w:t>Valeo Comments at 9.</w:t>
      </w:r>
    </w:p>
  </w:footnote>
  <w:footnote w:id="163">
    <w:p w:rsidR="004D57E8" w14:paraId="6886E483" w14:textId="37F1ADCF">
      <w:pPr>
        <w:pStyle w:val="FootnoteText"/>
      </w:pPr>
      <w:r>
        <w:rPr>
          <w:rStyle w:val="FootnoteReference"/>
        </w:rPr>
        <w:footnoteRef/>
      </w:r>
      <w:r w:rsidR="68E62851">
        <w:t xml:space="preserve"> </w:t>
      </w:r>
      <w:r w:rsidR="68E62851">
        <w:t>Vayyar Comments at 8.</w:t>
      </w:r>
    </w:p>
  </w:footnote>
  <w:footnote w:id="164">
    <w:p w:rsidR="005927B1" w14:paraId="47D057F0" w14:textId="4DA5C06E">
      <w:pPr>
        <w:pStyle w:val="FootnoteText"/>
      </w:pPr>
      <w:r>
        <w:rPr>
          <w:rStyle w:val="FootnoteReference"/>
        </w:rPr>
        <w:footnoteRef/>
      </w:r>
      <w:r w:rsidR="68E62851">
        <w:t xml:space="preserve"> Auto Innovators Comments at 3.</w:t>
      </w:r>
    </w:p>
  </w:footnote>
  <w:footnote w:id="165">
    <w:p w:rsidR="008C61B9" w:rsidP="008C61B9" w14:paraId="7EF1D9A6" w14:textId="77777777">
      <w:pPr>
        <w:pStyle w:val="FootnoteText"/>
      </w:pPr>
      <w:r>
        <w:rPr>
          <w:rStyle w:val="FootnoteReference"/>
        </w:rPr>
        <w:footnoteRef/>
      </w:r>
      <w:r>
        <w:t xml:space="preserve"> </w:t>
      </w:r>
      <w:r w:rsidRPr="3FC463A6">
        <w:t>An FMCW radar transmitter develops its emission bandwidth by sweeping over a defined set of frequencies. In order to measure the associated bandwidth, the device must sweep normally. If the sweep is stopped, then the measured bandwidth will be that of the continuous wave (CW) signal, which is theoretically zero.</w:t>
      </w:r>
    </w:p>
  </w:footnote>
  <w:footnote w:id="166">
    <w:p w:rsidR="008C61B9" w:rsidP="008C61B9" w14:paraId="1F37A134" w14:textId="77777777">
      <w:pPr>
        <w:pStyle w:val="FootnoteText"/>
      </w:pPr>
      <w:r>
        <w:rPr>
          <w:rStyle w:val="FootnoteReference"/>
        </w:rPr>
        <w:footnoteRef/>
      </w:r>
      <w:r>
        <w:t xml:space="preserve"> </w:t>
      </w:r>
      <w:r w:rsidRPr="7A771109">
        <w:t>Section 15.255(c)(4) requires that the RF detector used for compliance measurements have a video bandwidth of at least 10 megahertz.</w:t>
      </w:r>
    </w:p>
  </w:footnote>
  <w:footnote w:id="167">
    <w:p w:rsidR="0077154C" w14:paraId="03CC3283" w14:textId="63EAA894">
      <w:pPr>
        <w:pStyle w:val="FootnoteText"/>
      </w:pPr>
      <w:r>
        <w:rPr>
          <w:rStyle w:val="FootnoteReference"/>
        </w:rPr>
        <w:footnoteRef/>
      </w:r>
      <w:r>
        <w:t xml:space="preserve"> </w:t>
      </w:r>
      <w:r w:rsidRPr="008245BB" w:rsidR="00983563">
        <w:rPr>
          <w:color w:val="333333"/>
        </w:rPr>
        <w:t xml:space="preserve">A steradian is </w:t>
      </w:r>
      <w:r w:rsidRPr="008245BB" w:rsidR="00983563">
        <w:rPr>
          <w:color w:val="4D5156"/>
          <w:shd w:val="clear" w:color="auto" w:fill="FFFFFF"/>
        </w:rPr>
        <w:t>a unit of solid-angle measure in the International System of Units (SI),</w:t>
      </w:r>
      <w:r w:rsidRPr="008245BB" w:rsidR="00983563">
        <w:rPr>
          <w:color w:val="333333"/>
        </w:rPr>
        <w:t xml:space="preserve"> and is related to the surface area of a sphere in the same way a </w:t>
      </w:r>
      <w:r w:rsidRPr="008245BB" w:rsidR="00983563">
        <w:t>radian</w:t>
      </w:r>
      <w:r w:rsidRPr="008245BB" w:rsidR="00983563">
        <w:rPr>
          <w:color w:val="333333"/>
        </w:rPr>
        <w:t> is related to the circumference of a circle.</w:t>
      </w:r>
    </w:p>
  </w:footnote>
  <w:footnote w:id="168">
    <w:p w:rsidR="00375905" w14:paraId="519FDED9" w14:textId="21B06DC8">
      <w:pPr>
        <w:pStyle w:val="FootnoteText"/>
      </w:pPr>
      <w:r>
        <w:rPr>
          <w:rStyle w:val="FootnoteReference"/>
        </w:rPr>
        <w:footnoteRef/>
      </w:r>
      <w:r>
        <w:t xml:space="preserve"> </w:t>
      </w:r>
      <w:r w:rsidRPr="00300347">
        <w:rPr>
          <w:color w:val="000000"/>
        </w:rPr>
        <w:t>This methodology was first proposed to accommodate multi-element array antennas (i.e., massive multiple-input, multiple output (MIMO)) that can form multiple beams and employ electronic beam steering.  It is a technology typically used to support point-to-multipoint operations (e.g., 5G cellular)</w:t>
      </w:r>
      <w:r>
        <w:rPr>
          <w:color w:val="000000"/>
        </w:rPr>
        <w:t>;</w:t>
      </w:r>
      <w:r w:rsidRPr="00300347">
        <w:rPr>
          <w:color w:val="000000"/>
        </w:rPr>
        <w:t xml:space="preserve"> however, the short-range radars under consideration in this rulemaking </w:t>
      </w:r>
      <w:r w:rsidR="00AA7DD7">
        <w:rPr>
          <w:color w:val="000000"/>
        </w:rPr>
        <w:t>are</w:t>
      </w:r>
      <w:r w:rsidR="00CF7EF9">
        <w:rPr>
          <w:color w:val="000000"/>
        </w:rPr>
        <w:t xml:space="preserve"> </w:t>
      </w:r>
      <w:r w:rsidR="00F27CBA">
        <w:rPr>
          <w:color w:val="000000"/>
        </w:rPr>
        <w:t>unlikely to</w:t>
      </w:r>
      <w:r w:rsidRPr="00300347">
        <w:rPr>
          <w:color w:val="000000"/>
        </w:rPr>
        <w:t xml:space="preserve"> be using such antenna technology due to size and expense.</w:t>
      </w:r>
    </w:p>
  </w:footnote>
  <w:footnote w:id="169">
    <w:p w:rsidR="00090721" w14:paraId="0996408A" w14:textId="3E3FD2EE">
      <w:pPr>
        <w:pStyle w:val="FootnoteText"/>
      </w:pPr>
      <w:r>
        <w:rPr>
          <w:rStyle w:val="FootnoteReference"/>
        </w:rPr>
        <w:footnoteRef/>
      </w:r>
      <w:r>
        <w:t xml:space="preserve"> 47 CFR §§ 2.1049</w:t>
      </w:r>
      <w:r w:rsidR="00AF0B6A">
        <w:t xml:space="preserve"> and </w:t>
      </w:r>
      <w:r w:rsidR="000D0FE1">
        <w:t>15.201(b).</w:t>
      </w:r>
    </w:p>
  </w:footnote>
  <w:footnote w:id="170">
    <w:p w:rsidR="00343935" w:rsidRPr="00C32936" w:rsidP="00E1397A" w14:paraId="6272029F" w14:textId="6E48A362">
      <w:pPr>
        <w:pStyle w:val="FootnoteText"/>
      </w:pPr>
      <w:r>
        <w:rPr>
          <w:rStyle w:val="FootnoteReference"/>
        </w:rPr>
        <w:footnoteRef/>
      </w:r>
      <w:r>
        <w:t xml:space="preserve"> </w:t>
      </w:r>
      <w:r>
        <w:rPr>
          <w:i/>
          <w:iCs/>
        </w:rPr>
        <w:t>See supra</w:t>
      </w:r>
      <w:r>
        <w:t xml:space="preserve"> para. </w:t>
      </w:r>
      <w:r>
        <w:fldChar w:fldCharType="begin"/>
      </w:r>
      <w:r>
        <w:instrText xml:space="preserve"> REF _Ref74687598 \r \h </w:instrText>
      </w:r>
      <w:r>
        <w:fldChar w:fldCharType="separate"/>
      </w:r>
      <w:r w:rsidR="00511D87">
        <w:t>8</w:t>
      </w:r>
      <w:r>
        <w:fldChar w:fldCharType="end"/>
      </w:r>
      <w:r>
        <w:t>.</w:t>
      </w:r>
    </w:p>
  </w:footnote>
  <w:footnote w:id="171">
    <w:p w:rsidR="00343935" w:rsidP="00E1397A" w14:paraId="4ADB6C8C" w14:textId="527B56F5">
      <w:pPr>
        <w:pStyle w:val="FootnoteText"/>
      </w:pPr>
      <w:r>
        <w:rPr>
          <w:rStyle w:val="FootnoteReference"/>
        </w:rPr>
        <w:footnoteRef/>
      </w:r>
      <w:r w:rsidR="2866BE03">
        <w:t xml:space="preserve"> </w:t>
      </w:r>
      <w:r w:rsidRPr="2866BE03" w:rsidR="2866BE03">
        <w:rPr>
          <w:i/>
          <w:iCs/>
        </w:rPr>
        <w:t>See, e.g., 60 GHz Vehicle Radar Waiver, supra</w:t>
      </w:r>
      <w:r w:rsidR="2866BE03">
        <w:t xml:space="preserve"> n.131 at para. 52 (“</w:t>
      </w:r>
      <w:r w:rsidRPr="0055181F" w:rsidR="2866BE03">
        <w:t>We note that operations pursuant to the waivers we grant today are expressly conditioned on compliance with the Commission’s rules except as waived, and where rules are modified as a result of any future Commission rulemaking these operations will be subject to those modified rules</w:t>
      </w:r>
      <w:r w:rsidR="2866BE03">
        <w:t xml:space="preserve">”); </w:t>
      </w:r>
      <w:r w:rsidR="00F25A98">
        <w:rPr>
          <w:color w:val="000000"/>
        </w:rPr>
        <w:t xml:space="preserve">Vayyar </w:t>
      </w:r>
      <w:r w:rsidRPr="00F63568" w:rsidR="000269EE">
        <w:rPr>
          <w:i/>
          <w:iCs/>
          <w:color w:val="000000"/>
        </w:rPr>
        <w:t>ex parte</w:t>
      </w:r>
      <w:r w:rsidRPr="00583B61" w:rsidR="2866BE03">
        <w:t>, ET Docket No. 21-</w:t>
      </w:r>
      <w:r w:rsidR="2866BE03">
        <w:t>15</w:t>
      </w:r>
      <w:r w:rsidRPr="00583B61" w:rsidR="2866BE03">
        <w:t xml:space="preserve"> </w:t>
      </w:r>
      <w:r w:rsidR="00B07324">
        <w:t xml:space="preserve">at 1 </w:t>
      </w:r>
      <w:r w:rsidR="2866BE03">
        <w:t>(noting that Vayyar “was fully aware of the anticipated 60 GHz rulemaking proceeding and fully understood and agreed that any waiver granted to Vayyar would be subject to future alignment with the outcome of such rulemaking”)</w:t>
      </w:r>
      <w:r w:rsidR="000269EE">
        <w:t xml:space="preserve"> </w:t>
      </w:r>
      <w:r w:rsidRPr="00583B61" w:rsidR="000269EE">
        <w:t xml:space="preserve">(filed </w:t>
      </w:r>
      <w:r w:rsidR="000269EE">
        <w:t>June 1</w:t>
      </w:r>
      <w:r w:rsidRPr="00583B61" w:rsidR="000269EE">
        <w:t>, 2021)</w:t>
      </w:r>
      <w:r w:rsidR="2866BE03">
        <w:t>.</w:t>
      </w:r>
    </w:p>
  </w:footnote>
  <w:footnote w:id="172">
    <w:p w:rsidR="00DE7D80" w:rsidRPr="00DE7D80" w14:paraId="6F110EBC" w14:textId="1E9E237F">
      <w:pPr>
        <w:pStyle w:val="FootnoteText"/>
      </w:pPr>
      <w:r>
        <w:rPr>
          <w:rStyle w:val="FootnoteReference"/>
        </w:rPr>
        <w:footnoteRef/>
      </w:r>
      <w:r>
        <w:t xml:space="preserve"> </w:t>
      </w:r>
      <w:r>
        <w:rPr>
          <w:i/>
          <w:iCs/>
        </w:rPr>
        <w:t>NPRM</w:t>
      </w:r>
      <w:r w:rsidR="00121E0C">
        <w:t xml:space="preserve">, </w:t>
      </w:r>
      <w:r w:rsidR="00121E0C">
        <w:rPr>
          <w:iCs/>
        </w:rPr>
        <w:t xml:space="preserve">36 FCC </w:t>
      </w:r>
      <w:r w:rsidR="00121E0C">
        <w:rPr>
          <w:iCs/>
        </w:rPr>
        <w:t xml:space="preserve">Rcd </w:t>
      </w:r>
      <w:r w:rsidRPr="6AD549E2" w:rsidR="00121E0C">
        <w:t xml:space="preserve">at </w:t>
      </w:r>
      <w:r w:rsidR="00121E0C">
        <w:rPr>
          <w:iCs/>
        </w:rPr>
        <w:t>1190</w:t>
      </w:r>
      <w:r w:rsidR="00F51FD6">
        <w:rPr>
          <w:iCs/>
        </w:rPr>
        <w:t>8</w:t>
      </w:r>
      <w:r w:rsidR="00121E0C">
        <w:rPr>
          <w:iCs/>
        </w:rPr>
        <w:t>-</w:t>
      </w:r>
      <w:r w:rsidR="00F51FD6">
        <w:rPr>
          <w:iCs/>
        </w:rPr>
        <w:t>09</w:t>
      </w:r>
      <w:r w:rsidR="00121E0C">
        <w:rPr>
          <w:iCs/>
        </w:rPr>
        <w:t xml:space="preserve">, </w:t>
      </w:r>
      <w:r w:rsidR="00BB1E32">
        <w:t>para. 18.</w:t>
      </w:r>
    </w:p>
  </w:footnote>
  <w:footnote w:id="173">
    <w:p w:rsidR="00A97FDC" w14:paraId="314EE7F9" w14:textId="53862B8C">
      <w:pPr>
        <w:pStyle w:val="FootnoteText"/>
      </w:pPr>
      <w:r>
        <w:rPr>
          <w:rStyle w:val="FootnoteReference"/>
        </w:rPr>
        <w:footnoteRef/>
      </w:r>
      <w:r w:rsidR="68E62851">
        <w:t xml:space="preserve"> Comments from Auto Innovators at 6, Amazon at 4, Google at 24, and IEE Sensing at 12.</w:t>
      </w:r>
    </w:p>
  </w:footnote>
  <w:footnote w:id="174">
    <w:p w:rsidR="006611E3" w14:paraId="1BFB0D4C" w14:textId="5D087FF7">
      <w:pPr>
        <w:pStyle w:val="FootnoteText"/>
      </w:pPr>
      <w:r>
        <w:rPr>
          <w:rStyle w:val="FootnoteReference"/>
        </w:rPr>
        <w:footnoteRef/>
      </w:r>
      <w:r>
        <w:t xml:space="preserve"> </w:t>
      </w:r>
      <w:r w:rsidR="00335DB3">
        <w:t>Industry Consensus Agreement</w:t>
      </w:r>
      <w:r>
        <w:t xml:space="preserve"> at </w:t>
      </w:r>
      <w:r w:rsidR="009D1B6B">
        <w:t>3.</w:t>
      </w:r>
    </w:p>
  </w:footnote>
  <w:footnote w:id="175">
    <w:p w:rsidR="009C2417" w:rsidRPr="00363BD6" w14:paraId="14FF3BC8" w14:textId="539C519E">
      <w:pPr>
        <w:pStyle w:val="FootnoteText"/>
        <w:rPr>
          <w:i/>
          <w:iCs/>
        </w:rPr>
      </w:pPr>
      <w:r>
        <w:rPr>
          <w:rStyle w:val="FootnoteReference"/>
        </w:rPr>
        <w:footnoteRef/>
      </w:r>
      <w:r>
        <w:t xml:space="preserve"> </w:t>
      </w:r>
      <w:r w:rsidRPr="00B123D6">
        <w:t>Pulse Radar Joint Agreement</w:t>
      </w:r>
      <w:r>
        <w:t xml:space="preserve"> at 1-2.</w:t>
      </w:r>
      <w:r w:rsidR="00EA71B1">
        <w:t xml:space="preserve">  </w:t>
      </w:r>
      <w:r w:rsidR="005B6C70">
        <w:t>In asking for</w:t>
      </w:r>
      <w:r w:rsidR="00602A38">
        <w:t xml:space="preserve"> extended period</w:t>
      </w:r>
      <w:r w:rsidR="005B6C70">
        <w:t xml:space="preserve">, </w:t>
      </w:r>
      <w:r w:rsidR="007413E2">
        <w:t>the parties</w:t>
      </w:r>
      <w:r w:rsidR="005B6C70">
        <w:t xml:space="preserve"> stated that </w:t>
      </w:r>
      <w:r w:rsidR="007413E2">
        <w:t>Accone</w:t>
      </w:r>
      <w:r w:rsidR="00D9475C">
        <w:t>e</w:t>
      </w:r>
      <w:r w:rsidR="007413E2">
        <w:t xml:space="preserve">r’s </w:t>
      </w:r>
      <w:r w:rsidR="00865FB5">
        <w:t xml:space="preserve">waiver </w:t>
      </w:r>
      <w:r w:rsidR="005B6C70">
        <w:t>“</w:t>
      </w:r>
      <w:r w:rsidR="00865FB5">
        <w:t>provides for more restrictive operations than the technical parameters</w:t>
      </w:r>
      <w:r w:rsidR="00005F87">
        <w:t xml:space="preserve"> proposed [</w:t>
      </w:r>
      <w:r w:rsidR="00195871">
        <w:t xml:space="preserve">in the </w:t>
      </w:r>
      <w:r w:rsidRPr="00B123D6" w:rsidR="00195871">
        <w:t>Pulse Radar Joint Agreement</w:t>
      </w:r>
      <w:r w:rsidR="00FE6B6E">
        <w:t>]</w:t>
      </w:r>
      <w:r w:rsidR="005D6F26">
        <w:t xml:space="preserve"> and is limited to certain </w:t>
      </w:r>
      <w:r w:rsidR="00AC6F14">
        <w:t>vehicular</w:t>
      </w:r>
      <w:r w:rsidR="005D6F26">
        <w:t xml:space="preserve"> use cases.”  </w:t>
      </w:r>
      <w:r w:rsidR="005D6F26">
        <w:rPr>
          <w:i/>
          <w:iCs/>
        </w:rPr>
        <w:t>Id.</w:t>
      </w:r>
    </w:p>
  </w:footnote>
  <w:footnote w:id="176">
    <w:p w:rsidR="002706AB" w:rsidRPr="007831C4" w14:paraId="7AF9CB12" w14:textId="67D74DCE">
      <w:pPr>
        <w:pStyle w:val="FootnoteText"/>
      </w:pPr>
      <w:r>
        <w:rPr>
          <w:rStyle w:val="FootnoteReference"/>
        </w:rPr>
        <w:footnoteRef/>
      </w:r>
      <w:r>
        <w:t xml:space="preserve"> </w:t>
      </w:r>
      <w:r w:rsidR="00371D39">
        <w:rPr>
          <w:i/>
          <w:iCs/>
        </w:rPr>
        <w:t>See also</w:t>
      </w:r>
      <w:r w:rsidR="007831C4">
        <w:rPr>
          <w:i/>
          <w:iCs/>
        </w:rPr>
        <w:t xml:space="preserve"> </w:t>
      </w:r>
      <w:r w:rsidR="00C766BD">
        <w:t xml:space="preserve">Joint </w:t>
      </w:r>
      <w:r w:rsidR="00C766BD">
        <w:rPr>
          <w:i/>
          <w:iCs/>
        </w:rPr>
        <w:t xml:space="preserve">ex </w:t>
      </w:r>
      <w:r w:rsidR="00C766BD">
        <w:rPr>
          <w:i/>
          <w:iCs/>
        </w:rPr>
        <w:t xml:space="preserve">parte </w:t>
      </w:r>
      <w:r w:rsidR="00C766BD">
        <w:t>from Amazon.com Services LLC, Continental Corporation, Garmin International, Inc., Google LLC, IEE Sensing Inc., Infineon Technologies Americas Corp., Texas Instruments Incorporated, Vayyar Imaging Ltd., Intel Corporation, Meta Platforms Inc., and Qualcomm Incorporated) (filed May 10, 2023).</w:t>
      </w:r>
      <w:r w:rsidR="00371D39">
        <w:t xml:space="preserve">  </w:t>
      </w:r>
      <w:r w:rsidR="005B4B6D">
        <w:t>The parties</w:t>
      </w:r>
      <w:r w:rsidR="00D4167D">
        <w:t xml:space="preserve">, in </w:t>
      </w:r>
      <w:r w:rsidR="00C37076">
        <w:t xml:space="preserve">implicitly agreeing with the Commission’s </w:t>
      </w:r>
      <w:r w:rsidR="00FD3D28">
        <w:t xml:space="preserve">assessment, suggested additional clarifications to </w:t>
      </w:r>
      <w:r w:rsidR="00496394">
        <w:t>the</w:t>
      </w:r>
      <w:r w:rsidR="00A57B4B">
        <w:t xml:space="preserve"> ordering clauses and rules appendix that we </w:t>
      </w:r>
      <w:r w:rsidR="0049507E">
        <w:t>a</w:t>
      </w:r>
      <w:r w:rsidR="00852339">
        <w:t>gree provide useful clarification of our intent and</w:t>
      </w:r>
      <w:r w:rsidR="00705A6D">
        <w:t xml:space="preserve"> are therefore implementing herein</w:t>
      </w:r>
      <w:r w:rsidR="00A57B4B">
        <w:t>.</w:t>
      </w:r>
    </w:p>
  </w:footnote>
  <w:footnote w:id="177">
    <w:p w:rsidR="009D1E0A" w:rsidP="009D1E0A" w14:paraId="7BAF401C" w14:textId="7F732F98">
      <w:pPr>
        <w:pStyle w:val="FootnoteText"/>
      </w:pPr>
      <w:r>
        <w:rPr>
          <w:rStyle w:val="FootnoteReference"/>
        </w:rPr>
        <w:footnoteRef/>
      </w:r>
      <w:r>
        <w:t xml:space="preserve"> All </w:t>
      </w:r>
      <w:r w:rsidR="00433893">
        <w:t xml:space="preserve">60 GHz </w:t>
      </w:r>
      <w:r>
        <w:t>devices are approved by TCBs rather than the Commission.  When a TCB approves a device, the Commission is notified only after the approval rather than when the applicant files an application for certification.  Accordingly, we are specifying transition dates based on when a TCB approves a device rather than on when a party files an application for certification.</w:t>
      </w:r>
      <w:r w:rsidR="00546AE5">
        <w:t xml:space="preserve"> During the transition period, TCBs may continue to approve devices </w:t>
      </w:r>
      <w:r w:rsidR="00090355">
        <w:t xml:space="preserve">that </w:t>
      </w:r>
      <w:r w:rsidR="00017EA2">
        <w:t xml:space="preserve">comply with the terms of </w:t>
      </w:r>
      <w:r w:rsidR="00BA30D7">
        <w:t>the existing waivers even if they do not meet the terms of the new rule</w:t>
      </w:r>
      <w:r w:rsidR="00641018">
        <w:t>s.</w:t>
      </w:r>
    </w:p>
  </w:footnote>
  <w:footnote w:id="178">
    <w:p w:rsidR="004114BE" w:rsidP="004114BE" w14:paraId="0AFB0AC0" w14:textId="77777777">
      <w:pPr>
        <w:pStyle w:val="FootnoteText"/>
      </w:pPr>
      <w:r>
        <w:rPr>
          <w:rStyle w:val="FootnoteReference"/>
        </w:rPr>
        <w:footnoteRef/>
      </w:r>
      <w:r>
        <w:t xml:space="preserve"> </w:t>
      </w:r>
      <w:r w:rsidRPr="00435605">
        <w:t>5 U.S.C. §§ 601–612. The RFA has been amended by the Small Business Regulatory Enforcement Fairness Act</w:t>
      </w:r>
      <w:r>
        <w:t xml:space="preserve"> </w:t>
      </w:r>
      <w:r w:rsidRPr="00435605">
        <w:t>of 1996 (SBREFA), Pub. L. No. 104-121, Title II, 110 Stat. 857 (1996).</w:t>
      </w:r>
    </w:p>
  </w:footnote>
  <w:footnote w:id="179">
    <w:p w:rsidR="004114BE" w:rsidP="004114BE" w14:paraId="5BD82D82" w14:textId="77777777">
      <w:pPr>
        <w:pStyle w:val="FootnoteText"/>
      </w:pPr>
      <w:r>
        <w:rPr>
          <w:rStyle w:val="FootnoteReference"/>
        </w:rPr>
        <w:footnoteRef/>
      </w:r>
      <w:r>
        <w:t xml:space="preserve"> 5 U.S.C. </w:t>
      </w:r>
      <w:r w:rsidRPr="008A089C">
        <w:t>§</w:t>
      </w:r>
      <w:r>
        <w:t xml:space="preserve"> 605(b). </w:t>
      </w:r>
    </w:p>
  </w:footnote>
  <w:footnote w:id="180">
    <w:p w:rsidR="00BF06A1" w:rsidP="00BF06A1" w14:paraId="2483CD82" w14:textId="77777777">
      <w:pPr>
        <w:pStyle w:val="FootnoteText"/>
      </w:pPr>
      <w:r>
        <w:rPr>
          <w:rStyle w:val="FootnoteReference"/>
          <w:color w:val="000000"/>
        </w:rPr>
        <w:footnoteRef/>
      </w:r>
      <w:r>
        <w:t xml:space="preserve"> </w:t>
      </w:r>
      <w:r>
        <w:rPr>
          <w:i/>
        </w:rPr>
        <w:t xml:space="preserve">See </w:t>
      </w:r>
      <w:r>
        <w:t xml:space="preserve">5 U.S.C. § 603.  The RFA, </w:t>
      </w:r>
      <w:r w:rsidRPr="002E7A53">
        <w:rPr>
          <w:i/>
          <w:iCs/>
        </w:rPr>
        <w:t>see</w:t>
      </w:r>
      <w:r>
        <w:t xml:space="preserve"> 5 U.S.C. §§ 601-612, has been amended by the Small Business Regulatory Enforcement Fairness Act of 1996, (SBREFA) Pub. L. No. 104-121, Title II, 110 Stat. 857 (1996).</w:t>
      </w:r>
    </w:p>
  </w:footnote>
  <w:footnote w:id="181">
    <w:p w:rsidR="00BF06A1" w:rsidP="00BF06A1" w14:paraId="6F6FB231" w14:textId="08704C2E">
      <w:pPr>
        <w:pStyle w:val="FootnoteText"/>
        <w:rPr>
          <w:iCs/>
        </w:rPr>
      </w:pPr>
      <w:r>
        <w:rPr>
          <w:rStyle w:val="FootnoteReference"/>
          <w:color w:val="000000"/>
        </w:rPr>
        <w:footnoteRef/>
      </w:r>
      <w:r>
        <w:t xml:space="preserve"> </w:t>
      </w:r>
      <w:r w:rsidRPr="007458E4">
        <w:rPr>
          <w:i/>
          <w:iCs/>
        </w:rPr>
        <w:t xml:space="preserve">Amendment of Section 15.255 of the Commission’s </w:t>
      </w:r>
      <w:r w:rsidRPr="0094296A">
        <w:rPr>
          <w:i/>
          <w:iCs/>
        </w:rPr>
        <w:t>R</w:t>
      </w:r>
      <w:r w:rsidRPr="007458E4">
        <w:rPr>
          <w:i/>
          <w:iCs/>
        </w:rPr>
        <w:t>ules</w:t>
      </w:r>
      <w:r w:rsidRPr="007458E4">
        <w:t xml:space="preserve">, ET Docket Nos. 21-264, Notice of Proposed Rulemaking, </w:t>
      </w:r>
      <w:r w:rsidRPr="0094296A">
        <w:t xml:space="preserve">36 FCC </w:t>
      </w:r>
      <w:r w:rsidRPr="0094296A">
        <w:t xml:space="preserve">Rcd 11901 </w:t>
      </w:r>
      <w:r w:rsidRPr="007458E4">
        <w:t>(July 14, 2021) (</w:t>
      </w:r>
      <w:r w:rsidRPr="007458E4">
        <w:rPr>
          <w:i/>
          <w:iCs/>
        </w:rPr>
        <w:t>NPRM</w:t>
      </w:r>
      <w:r w:rsidRPr="007458E4">
        <w:t xml:space="preserve">). </w:t>
      </w:r>
    </w:p>
  </w:footnote>
  <w:footnote w:id="182">
    <w:p w:rsidR="00BF06A1" w:rsidP="00BF06A1" w14:paraId="2B13E3F5" w14:textId="77777777">
      <w:pPr>
        <w:pStyle w:val="FootnoteText"/>
      </w:pPr>
      <w:r>
        <w:rPr>
          <w:rStyle w:val="FootnoteReference"/>
        </w:rPr>
        <w:footnoteRef/>
      </w:r>
      <w:r>
        <w:t xml:space="preserve"> </w:t>
      </w:r>
      <w:r w:rsidRPr="0068065B">
        <w:rPr>
          <w:i/>
          <w:iCs/>
        </w:rPr>
        <w:t xml:space="preserve">See </w:t>
      </w:r>
      <w:r w:rsidRPr="0068065B">
        <w:t>5 U.S.C. § 604</w:t>
      </w:r>
      <w:r>
        <w:t>.</w:t>
      </w:r>
    </w:p>
  </w:footnote>
  <w:footnote w:id="183">
    <w:p w:rsidR="00BF06A1" w:rsidP="00BF06A1" w14:paraId="351D060C" w14:textId="57272EDE">
      <w:pPr>
        <w:pStyle w:val="FootnoteText"/>
      </w:pPr>
      <w:r>
        <w:rPr>
          <w:rStyle w:val="FootnoteReference"/>
        </w:rPr>
        <w:footnoteRef/>
      </w:r>
      <w:r>
        <w:t xml:space="preserve"> </w:t>
      </w:r>
      <w:r w:rsidRPr="00D40AF5">
        <w:rPr>
          <w:i/>
        </w:rPr>
        <w:t>Id.</w:t>
      </w:r>
      <w:r>
        <w:rPr>
          <w:i/>
        </w:rPr>
        <w:t xml:space="preserve"> </w:t>
      </w:r>
      <w:r>
        <w:t>§</w:t>
      </w:r>
      <w:r w:rsidRPr="00162332">
        <w:t xml:space="preserve"> 604(a)(3)</w:t>
      </w:r>
      <w:r>
        <w:t>.</w:t>
      </w:r>
    </w:p>
  </w:footnote>
  <w:footnote w:id="184">
    <w:p w:rsidR="00BF06A1" w:rsidRPr="00342E7A" w:rsidP="00BF06A1" w14:paraId="357DBE3F" w14:textId="77777777">
      <w:pPr>
        <w:pStyle w:val="FootnoteText"/>
        <w:rPr>
          <w:iCs/>
        </w:rPr>
      </w:pPr>
      <w:r w:rsidRPr="005327B9">
        <w:rPr>
          <w:rStyle w:val="Footnote"/>
          <w:vertAlign w:val="superscript"/>
        </w:rPr>
        <w:footnoteRef/>
      </w:r>
      <w:r w:rsidRPr="005327B9">
        <w:rPr>
          <w:rStyle w:val="Footnote"/>
        </w:rPr>
        <w:t xml:space="preserve"> </w:t>
      </w:r>
      <w:r w:rsidRPr="00D40AF5">
        <w:rPr>
          <w:i/>
        </w:rPr>
        <w:t>Id.</w:t>
      </w:r>
      <w:r>
        <w:rPr>
          <w:i/>
        </w:rPr>
        <w:t xml:space="preserve"> </w:t>
      </w:r>
      <w:r w:rsidRPr="002E7A53">
        <w:rPr>
          <w:iCs/>
        </w:rPr>
        <w:t>§ 604(a)(4).</w:t>
      </w:r>
    </w:p>
  </w:footnote>
  <w:footnote w:id="185">
    <w:p w:rsidR="00BF06A1" w:rsidRPr="005327B9" w:rsidP="00BF06A1" w14:paraId="33F84018" w14:textId="77777777">
      <w:pPr>
        <w:pStyle w:val="FootnoteText"/>
      </w:pPr>
      <w:r w:rsidRPr="005327B9">
        <w:rPr>
          <w:rStyle w:val="Footnote"/>
          <w:vertAlign w:val="superscript"/>
        </w:rPr>
        <w:footnoteRef/>
      </w:r>
      <w:r>
        <w:rPr>
          <w:rStyle w:val="Footnote"/>
        </w:rPr>
        <w:t xml:space="preserve"> </w:t>
      </w:r>
      <w:r w:rsidRPr="0013223E">
        <w:rPr>
          <w:rStyle w:val="Footnote"/>
          <w:i/>
          <w:iCs/>
        </w:rPr>
        <w:t>Id.</w:t>
      </w:r>
      <w:r w:rsidRPr="005327B9">
        <w:rPr>
          <w:rStyle w:val="Footnote"/>
        </w:rPr>
        <w:t xml:space="preserve"> § 601(6).</w:t>
      </w:r>
    </w:p>
  </w:footnote>
  <w:footnote w:id="186">
    <w:p w:rsidR="00BF06A1" w:rsidRPr="005327B9" w:rsidP="00BF06A1" w14:paraId="55BF9DF4" w14:textId="77777777">
      <w:pPr>
        <w:pStyle w:val="FootnoteText"/>
      </w:pPr>
      <w:r w:rsidRPr="005327B9">
        <w:rPr>
          <w:rStyle w:val="Footnote"/>
          <w:vertAlign w:val="superscript"/>
        </w:rPr>
        <w:footnoteRef/>
      </w:r>
      <w:r w:rsidRPr="005327B9">
        <w:rPr>
          <w:rStyle w:val="Footnote"/>
        </w:rPr>
        <w:t xml:space="preserve"> </w:t>
      </w:r>
      <w:r w:rsidRPr="002E7A53">
        <w:rPr>
          <w:rStyle w:val="Footnote"/>
          <w:i/>
          <w:iCs/>
        </w:rPr>
        <w:t>Id.</w:t>
      </w:r>
      <w:r>
        <w:rPr>
          <w:rStyle w:val="Footnote"/>
        </w:rPr>
        <w:t xml:space="preserve"> </w:t>
      </w:r>
      <w:r w:rsidRPr="005327B9">
        <w:rPr>
          <w:rStyle w:val="Footnote"/>
        </w:rPr>
        <w:t>§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87">
    <w:p w:rsidR="00BF06A1" w:rsidRPr="005327B9" w:rsidP="00BF06A1" w14:paraId="331B6D30" w14:textId="77777777">
      <w:pPr>
        <w:pStyle w:val="FootnoteText"/>
      </w:pPr>
      <w:r w:rsidRPr="005327B9">
        <w:rPr>
          <w:rStyle w:val="Footnote"/>
          <w:vertAlign w:val="superscript"/>
        </w:rPr>
        <w:footnoteRef/>
      </w:r>
      <w:r w:rsidRPr="005327B9">
        <w:rPr>
          <w:rStyle w:val="Footnote"/>
        </w:rPr>
        <w:t xml:space="preserve"> 15 U.S.C. § 632.</w:t>
      </w:r>
    </w:p>
  </w:footnote>
  <w:footnote w:id="188">
    <w:p w:rsidR="00BF06A1" w:rsidP="00BF06A1" w14:paraId="3E389238" w14:textId="77777777">
      <w:pPr>
        <w:pStyle w:val="FootnoteText"/>
      </w:pPr>
      <w:r>
        <w:rPr>
          <w:rStyle w:val="FootnoteReference"/>
        </w:rPr>
        <w:footnoteRef/>
      </w:r>
      <w:r>
        <w:t xml:space="preserve"> </w:t>
      </w:r>
      <w:r w:rsidRPr="00C72D2B">
        <w:rPr>
          <w:i/>
        </w:rPr>
        <w:t xml:space="preserve">See </w:t>
      </w:r>
      <w:r w:rsidRPr="00C72D2B">
        <w:t xml:space="preserve">U.S. Census Bureau, </w:t>
      </w:r>
      <w:r w:rsidRPr="00C40526">
        <w:rPr>
          <w:i/>
          <w:iCs/>
        </w:rPr>
        <w:t>2017 NAICS Definition</w:t>
      </w:r>
      <w:r w:rsidRPr="00C72D2B">
        <w:t>, “</w:t>
      </w:r>
      <w:r w:rsidRPr="00C40526">
        <w:rPr>
          <w:bCs/>
          <w:i/>
          <w:iCs/>
        </w:rPr>
        <w:t>334220 Radio and Television Broadcasting and Wireless Communications Equipment Manufacturing</w:t>
      </w:r>
      <w:r>
        <w:rPr>
          <w:bCs/>
          <w:i/>
          <w:iCs/>
        </w:rPr>
        <w:t>,</w:t>
      </w:r>
      <w:r w:rsidRPr="00C72D2B">
        <w:rPr>
          <w:bCs/>
        </w:rPr>
        <w:t>”</w:t>
      </w:r>
      <w:r>
        <w:t xml:space="preserve"> </w:t>
      </w:r>
      <w:hyperlink r:id="rId10" w:history="1">
        <w:r w:rsidRPr="00C763E0">
          <w:rPr>
            <w:rStyle w:val="Hyperlink"/>
          </w:rPr>
          <w:t>https://www.census.gov/naics/?input=334220&amp;year=2017&amp;details=334220</w:t>
        </w:r>
      </w:hyperlink>
      <w:r w:rsidRPr="001137FD">
        <w:t>.</w:t>
      </w:r>
    </w:p>
  </w:footnote>
  <w:footnote w:id="189">
    <w:p w:rsidR="00BF06A1" w:rsidRPr="00F32D76" w:rsidP="00BF06A1" w14:paraId="1B4E48A3" w14:textId="77777777">
      <w:pPr>
        <w:pStyle w:val="FootnoteText"/>
      </w:pPr>
      <w:r>
        <w:rPr>
          <w:rStyle w:val="FootnoteReference"/>
        </w:rPr>
        <w:footnoteRef/>
      </w:r>
      <w:r>
        <w:t xml:space="preserve"> </w:t>
      </w:r>
      <w:r w:rsidRPr="00C72D2B">
        <w:rPr>
          <w:i/>
        </w:rPr>
        <w:t>Id.</w:t>
      </w:r>
    </w:p>
  </w:footnote>
  <w:footnote w:id="190">
    <w:p w:rsidR="00BF06A1" w:rsidP="00BF06A1" w14:paraId="254543F9" w14:textId="77777777">
      <w:pPr>
        <w:pStyle w:val="FootnoteText"/>
      </w:pPr>
      <w:r>
        <w:rPr>
          <w:rStyle w:val="FootnoteReference"/>
        </w:rPr>
        <w:footnoteRef/>
      </w:r>
      <w:r>
        <w:t xml:space="preserve"> </w:t>
      </w:r>
      <w:r>
        <w:rPr>
          <w:i/>
          <w:iCs/>
        </w:rPr>
        <w:t xml:space="preserve">See </w:t>
      </w:r>
      <w:r>
        <w:t xml:space="preserve">13 CFR </w:t>
      </w:r>
      <w:r w:rsidRPr="00411336">
        <w:t>§</w:t>
      </w:r>
      <w:r>
        <w:t xml:space="preserve"> 121.201, NAICS Code 334220.</w:t>
      </w:r>
    </w:p>
  </w:footnote>
  <w:footnote w:id="191">
    <w:p w:rsidR="00BF06A1" w:rsidP="00BF06A1" w14:paraId="6D4D681E" w14:textId="77777777">
      <w:pPr>
        <w:pStyle w:val="FootnoteText"/>
      </w:pPr>
      <w:r>
        <w:rPr>
          <w:rStyle w:val="FootnoteReference"/>
        </w:rPr>
        <w:footnoteRef/>
      </w:r>
      <w:r>
        <w:t xml:space="preserve"> </w:t>
      </w:r>
      <w:r>
        <w:rPr>
          <w:i/>
          <w:iCs/>
        </w:rPr>
        <w:t>See</w:t>
      </w:r>
      <w:r w:rsidRPr="00C43F7F">
        <w:t xml:space="preserve"> U.S. Census Bureau,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 xml:space="preserve">NAICS Code </w:t>
      </w:r>
      <w:r>
        <w:t xml:space="preserve">334220, </w:t>
      </w:r>
      <w:hyperlink r:id="rId11" w:history="1">
        <w:r w:rsidRPr="00D92342">
          <w:rPr>
            <w:rStyle w:val="Hyperlink"/>
          </w:rPr>
          <w:t>https://data.census.gov/cedsci/table?y=2017&amp;n=334220&amp;tid=ECNSIZE2017.EC1700SIZEEMPFIRM&amp;hidePreview=false</w:t>
        </w:r>
      </w:hyperlink>
      <w:r>
        <w:t xml:space="preserve">. </w:t>
      </w:r>
      <w:r w:rsidRPr="00BF598B">
        <w:t xml:space="preserve"> </w:t>
      </w:r>
    </w:p>
  </w:footnote>
  <w:footnote w:id="192">
    <w:p w:rsidR="00BF06A1" w:rsidRPr="00BA4C31" w:rsidP="00BF06A1" w14:paraId="4DA03DBC" w14:textId="77777777">
      <w:pPr>
        <w:pStyle w:val="FootnoteText"/>
      </w:pPr>
      <w:r>
        <w:rPr>
          <w:rStyle w:val="FootnoteReference"/>
        </w:rPr>
        <w:footnoteRef/>
      </w:r>
      <w:r w:rsidRPr="00EC43FE">
        <w:rPr>
          <w:rStyle w:val="Hyperlink"/>
          <w:u w:val="none"/>
        </w:rPr>
        <w:t xml:space="preserve"> </w:t>
      </w:r>
      <w:r w:rsidRPr="003D51E9">
        <w:rPr>
          <w:i/>
        </w:rPr>
        <w:t>Id</w:t>
      </w:r>
      <w:r>
        <w:t xml:space="preserve">.  </w:t>
      </w:r>
      <w:r w:rsidRPr="00686D2E">
        <w:t>The available U.S. Census Bureau data does not provide a more precise estimate of the number of firms that meet the SBA size standard.</w:t>
      </w:r>
    </w:p>
  </w:footnote>
  <w:footnote w:id="193">
    <w:p w:rsidR="00BF06A1" w:rsidRPr="00927EC0" w:rsidP="00BF06A1" w14:paraId="176D326F" w14:textId="77777777">
      <w:pPr>
        <w:pStyle w:val="FootnoteText"/>
      </w:pPr>
      <w:r w:rsidRPr="00927EC0">
        <w:rPr>
          <w:rStyle w:val="FootnoteReference"/>
        </w:rPr>
        <w:footnoteRef/>
      </w:r>
      <w:r w:rsidRPr="00927EC0">
        <w:t xml:space="preserve"> 5 U.S.C. § 604(a)(6).</w:t>
      </w:r>
    </w:p>
  </w:footnote>
  <w:footnote w:id="194">
    <w:p w:rsidR="00BF06A1" w:rsidRPr="008A5BF2" w:rsidP="00BF06A1" w14:paraId="53349DB2" w14:textId="7D5EC8C5">
      <w:pPr>
        <w:pStyle w:val="FootnoteText"/>
      </w:pPr>
      <w:r>
        <w:rPr>
          <w:rStyle w:val="FootnoteReference"/>
        </w:rPr>
        <w:footnoteRef/>
      </w:r>
      <w:r>
        <w:t xml:space="preserve"> Joint </w:t>
      </w:r>
      <w:r>
        <w:rPr>
          <w:i/>
          <w:iCs/>
        </w:rPr>
        <w:t xml:space="preserve">ex </w:t>
      </w:r>
      <w:r>
        <w:rPr>
          <w:i/>
          <w:iCs/>
        </w:rPr>
        <w:t xml:space="preserve">parte </w:t>
      </w:r>
      <w:r>
        <w:t>from radar proponents (represented by Amazon.com Services LLC, Continental Corporation, Garmin International, Inc., Google LLC, IEE Sensing Inc., Infineon Technologies Americas Corp., Texas Instruments Incorporated</w:t>
      </w:r>
      <w:r w:rsidR="00644364">
        <w:t>,</w:t>
      </w:r>
      <w:r>
        <w:t xml:space="preserve"> </w:t>
      </w:r>
      <w:r w:rsidR="00644364">
        <w:t>and</w:t>
      </w:r>
      <w:r>
        <w:t xml:space="preserve"> Vayyar Imaging Ltd.) and communications proponents (represented by Intel Corporation, Meta Platforms Inc.</w:t>
      </w:r>
      <w:r w:rsidR="00644364">
        <w:t>,</w:t>
      </w:r>
      <w:r>
        <w:t xml:space="preserve"> </w:t>
      </w:r>
      <w:r w:rsidR="00644364">
        <w:t>and</w:t>
      </w:r>
      <w:r>
        <w:t xml:space="preserve"> Qualcomm Incorporated) (filed Feb. 27, 2023) (Industry Consensus Agreement).</w:t>
      </w:r>
    </w:p>
  </w:footnote>
  <w:footnote w:id="195">
    <w:p w:rsidR="00BF06A1" w:rsidRPr="00D14B7D" w:rsidP="00BF06A1" w14:paraId="2492998C" w14:textId="7D5B3172">
      <w:pPr>
        <w:pStyle w:val="FootnoteText"/>
      </w:pPr>
      <w:r>
        <w:rPr>
          <w:rStyle w:val="FootnoteReference"/>
        </w:rPr>
        <w:footnoteRef/>
      </w:r>
      <w:r>
        <w:t xml:space="preserve"> Joint </w:t>
      </w:r>
      <w:r>
        <w:rPr>
          <w:i/>
          <w:iCs/>
        </w:rPr>
        <w:t xml:space="preserve">ex </w:t>
      </w:r>
      <w:r>
        <w:rPr>
          <w:i/>
          <w:iCs/>
        </w:rPr>
        <w:t>parte</w:t>
      </w:r>
      <w:r>
        <w:t xml:space="preserve"> from Acconeer, Intel, Meta Platforms</w:t>
      </w:r>
      <w:r w:rsidR="00644364">
        <w:t>,</w:t>
      </w:r>
      <w:r>
        <w:t xml:space="preserve"> and Qualcomm (filed Nov. 10, 2022) (Pulse Radar Joint Agreement).</w:t>
      </w:r>
    </w:p>
  </w:footnote>
  <w:footnote w:id="196">
    <w:p w:rsidR="00BF06A1" w:rsidRPr="00CF5AE3" w:rsidP="00BF06A1" w14:paraId="27194835" w14:textId="77777777">
      <w:pPr>
        <w:pStyle w:val="FootnoteText"/>
        <w:rPr>
          <w:color w:val="000000"/>
        </w:rPr>
      </w:pPr>
      <w:r w:rsidRPr="00CF5AE3">
        <w:rPr>
          <w:rStyle w:val="FootnoteReference"/>
          <w:color w:val="000000"/>
        </w:rPr>
        <w:footnoteRef/>
      </w:r>
      <w:r w:rsidRPr="00CF5AE3">
        <w:rPr>
          <w:color w:val="000000"/>
        </w:rPr>
        <w:t xml:space="preserve"> 5 U.S.C. § </w:t>
      </w:r>
      <w:r>
        <w:rPr>
          <w:color w:val="000000"/>
        </w:rPr>
        <w:t>801(a)(1)(A)</w:t>
      </w:r>
      <w:r w:rsidRPr="00CF5AE3">
        <w:rPr>
          <w:color w:val="000000"/>
        </w:rPr>
        <w:t>.</w:t>
      </w:r>
    </w:p>
  </w:footnote>
  <w:footnote w:id="197">
    <w:p w:rsidR="00BF06A1" w:rsidP="00BF06A1" w14:paraId="0FF3E383" w14:textId="77777777">
      <w:pPr>
        <w:pStyle w:val="FootnoteText"/>
      </w:pPr>
      <w:r>
        <w:rPr>
          <w:rStyle w:val="FootnoteReference"/>
        </w:rPr>
        <w:footnoteRef/>
      </w:r>
      <w:r>
        <w:t xml:space="preserve"> </w:t>
      </w:r>
      <w:r>
        <w:rPr>
          <w:i/>
        </w:rPr>
        <w:t>See</w:t>
      </w:r>
      <w:r>
        <w:t xml:space="preserve"> 5 U.S.C. § 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3935" w:rsidP="00810B6F" w14:paraId="0E7E2E94" w14:textId="683D638D">
    <w:pPr>
      <w:pStyle w:val="Header"/>
      <w:rPr>
        <w:b w:val="0"/>
      </w:rPr>
    </w:pPr>
    <w:r>
      <w:tab/>
      <w:t>Federal Communications Commission</w:t>
    </w:r>
    <w:r>
      <w:tab/>
    </w:r>
    <w:r w:rsidR="00304DD4">
      <w:t>FCC</w:t>
    </w:r>
    <w:r>
      <w:t xml:space="preserve"> </w:t>
    </w:r>
    <w:r w:rsidR="000C60D8">
      <w:t>2</w:t>
    </w:r>
    <w:r w:rsidR="000E5FD1">
      <w:t>3</w:t>
    </w:r>
    <w:r w:rsidR="000C60D8">
      <w:t>-</w:t>
    </w:r>
    <w:r w:rsidR="00735946">
      <w:t>35</w:t>
    </w:r>
  </w:p>
  <w:p w:rsidR="00343935" w14:paraId="19CDA39B" w14:textId="1437B9C4">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343935" w14:paraId="010A41D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3935" w:rsidP="00810B6F" w14:paraId="4DFB3F16" w14:textId="33E7AF6D">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5B4115">
      <w:rPr>
        <w:spacing w:val="-2"/>
      </w:rPr>
      <w:t>FCC 23-35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420F39"/>
    <w:multiLevelType w:val="hybridMultilevel"/>
    <w:tmpl w:val="C6F6649A"/>
    <w:lvl w:ilvl="0">
      <w:start w:val="1"/>
      <w:numFmt w:val="decimal"/>
      <w:lvlText w:val="(%1)"/>
      <w:lvlJc w:val="left"/>
      <w:pPr>
        <w:ind w:left="1080" w:hanging="360"/>
      </w:pPr>
      <w:rPr>
        <w:rFonts w:ascii="Times New Roman" w:eastAsia="Calibri" w:hAnsi="Times New Roman"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2FF33DA"/>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B67433"/>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9AB1B3A"/>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3054CA"/>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3D676D"/>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D6BB4C7"/>
    <w:multiLevelType w:val="hybridMultilevel"/>
    <w:tmpl w:val="424827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D6F057D"/>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E602626"/>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F8E6E55"/>
    <w:multiLevelType w:val="hybridMultilevel"/>
    <w:tmpl w:val="054C90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C0054CB"/>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EB840A2"/>
    <w:multiLevelType w:val="hybridMultilevel"/>
    <w:tmpl w:val="617C6E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F45642A"/>
    <w:multiLevelType w:val="hybridMultilevel"/>
    <w:tmpl w:val="8416C5D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0371177"/>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06C0E66"/>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1811AC1"/>
    <w:multiLevelType w:val="hybridMultilevel"/>
    <w:tmpl w:val="61C06B8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8">
    <w:nsid w:val="24422210"/>
    <w:multiLevelType w:val="hybridMultilevel"/>
    <w:tmpl w:val="D0FAA7D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248246F3"/>
    <w:multiLevelType w:val="singleLevel"/>
    <w:tmpl w:val="B1F45678"/>
    <w:lvl w:ilvl="0">
      <w:start w:val="1"/>
      <w:numFmt w:val="decimal"/>
      <w:lvlText w:val="%1."/>
      <w:lvlJc w:val="left"/>
      <w:pPr>
        <w:tabs>
          <w:tab w:val="num" w:pos="1080"/>
        </w:tabs>
        <w:ind w:left="0" w:firstLine="720"/>
      </w:pPr>
    </w:lvl>
  </w:abstractNum>
  <w:abstractNum w:abstractNumId="20">
    <w:nsid w:val="268915AF"/>
    <w:multiLevelType w:val="hybridMultilevel"/>
    <w:tmpl w:val="7BD046F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6F41394"/>
    <w:multiLevelType w:val="hybridMultilevel"/>
    <w:tmpl w:val="CB56290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nsid w:val="3434AB57"/>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8AE1A3A"/>
    <w:multiLevelType w:val="hybridMultilevel"/>
    <w:tmpl w:val="425A03A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3B641B85"/>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B932C43"/>
    <w:multiLevelType w:val="hybridMultilevel"/>
    <w:tmpl w:val="03007D7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3E227052"/>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0670158"/>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8011627"/>
    <w:multiLevelType w:val="hybridMultilevel"/>
    <w:tmpl w:val="38B01B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D2F3D3E"/>
    <w:multiLevelType w:val="hybridMultilevel"/>
    <w:tmpl w:val="D674A14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DAE4DA6"/>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4DF74F8D"/>
    <w:multiLevelType w:val="hybridMultilevel"/>
    <w:tmpl w:val="2A2A0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58E7C4A"/>
    <w:multiLevelType w:val="hybridMultilevel"/>
    <w:tmpl w:val="9D2899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5DB756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66815D2"/>
    <w:multiLevelType w:val="hybridMultilevel"/>
    <w:tmpl w:val="7C9046E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7">
    <w:nsid w:val="57F51312"/>
    <w:multiLevelType w:val="hybridMultilevel"/>
    <w:tmpl w:val="BC26A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9EC6E9D"/>
    <w:multiLevelType w:val="hybridMultilevel"/>
    <w:tmpl w:val="73D64E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AA70BC4"/>
    <w:multiLevelType w:val="hybridMultilevel"/>
    <w:tmpl w:val="8F78915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5AD1528F"/>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42">
    <w:nsid w:val="61E02B94"/>
    <w:multiLevelType w:val="hybridMultilevel"/>
    <w:tmpl w:val="04D473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5721A72"/>
    <w:multiLevelType w:val="hybridMultilevel"/>
    <w:tmpl w:val="6D32A2A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4">
    <w:nsid w:val="69C87241"/>
    <w:multiLevelType w:val="hybridMultilevel"/>
    <w:tmpl w:val="2570AA50"/>
    <w:lvl w:ilvl="0">
      <w:start w:val="1"/>
      <w:numFmt w:val="decimal"/>
      <w:lvlText w:val="(%1)"/>
      <w:lvlJc w:val="left"/>
      <w:pPr>
        <w:ind w:left="1080" w:hanging="360"/>
      </w:pPr>
      <w:rPr>
        <w:rFonts w:ascii="Times New Roman" w:eastAsia="Calibri" w:hAnsi="Times New Roman"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5">
    <w:nsid w:val="718C46E9"/>
    <w:multiLevelType w:val="hybridMultilevel"/>
    <w:tmpl w:val="51F6C8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2AD37DF"/>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8D0121B"/>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C435892"/>
    <w:multiLevelType w:val="hybridMultilevel"/>
    <w:tmpl w:val="725A8AF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7D131575"/>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EB833C9"/>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8"/>
  </w:num>
  <w:num w:numId="3">
    <w:abstractNumId w:val="17"/>
  </w:num>
  <w:num w:numId="4">
    <w:abstractNumId w:val="41"/>
  </w:num>
  <w:num w:numId="5">
    <w:abstractNumId w:val="22"/>
  </w:num>
  <w:num w:numId="6">
    <w:abstractNumId w:val="32"/>
  </w:num>
  <w:num w:numId="7">
    <w:abstractNumId w:val="19"/>
  </w:num>
  <w:num w:numId="8">
    <w:abstractNumId w:val="3"/>
  </w:num>
  <w:num w:numId="9">
    <w:abstractNumId w:val="18"/>
  </w:num>
  <w:num w:numId="10">
    <w:abstractNumId w:val="43"/>
  </w:num>
  <w:num w:numId="11">
    <w:abstractNumId w:val="41"/>
    <w:lvlOverride w:ilvl="0">
      <w:startOverride w:val="1"/>
    </w:lvlOverride>
  </w:num>
  <w:num w:numId="12">
    <w:abstractNumId w:val="50"/>
  </w:num>
  <w:num w:numId="13">
    <w:abstractNumId w:val="4"/>
  </w:num>
  <w:num w:numId="14">
    <w:abstractNumId w:val="35"/>
  </w:num>
  <w:num w:numId="15">
    <w:abstractNumId w:val="46"/>
  </w:num>
  <w:num w:numId="16">
    <w:abstractNumId w:val="5"/>
  </w:num>
  <w:num w:numId="17">
    <w:abstractNumId w:val="15"/>
  </w:num>
  <w:num w:numId="18">
    <w:abstractNumId w:val="40"/>
  </w:num>
  <w:num w:numId="19">
    <w:abstractNumId w:val="25"/>
  </w:num>
  <w:num w:numId="20">
    <w:abstractNumId w:val="6"/>
  </w:num>
  <w:num w:numId="21">
    <w:abstractNumId w:val="14"/>
  </w:num>
  <w:num w:numId="22">
    <w:abstractNumId w:val="49"/>
  </w:num>
  <w:num w:numId="23">
    <w:abstractNumId w:val="27"/>
  </w:num>
  <w:num w:numId="24">
    <w:abstractNumId w:val="2"/>
  </w:num>
  <w:num w:numId="25">
    <w:abstractNumId w:val="11"/>
  </w:num>
  <w:num w:numId="26">
    <w:abstractNumId w:val="47"/>
  </w:num>
  <w:num w:numId="27">
    <w:abstractNumId w:val="28"/>
  </w:num>
  <w:num w:numId="28">
    <w:abstractNumId w:val="31"/>
  </w:num>
  <w:num w:numId="29">
    <w:abstractNumId w:val="9"/>
  </w:num>
  <w:num w:numId="30">
    <w:abstractNumId w:val="38"/>
  </w:num>
  <w:num w:numId="31">
    <w:abstractNumId w:val="42"/>
  </w:num>
  <w:num w:numId="32">
    <w:abstractNumId w:val="10"/>
  </w:num>
  <w:num w:numId="33">
    <w:abstractNumId w:val="33"/>
  </w:num>
  <w:num w:numId="34">
    <w:abstractNumId w:val="37"/>
  </w:num>
  <w:num w:numId="35">
    <w:abstractNumId w:val="45"/>
  </w:num>
  <w:num w:numId="36">
    <w:abstractNumId w:val="44"/>
  </w:num>
  <w:num w:numId="37">
    <w:abstractNumId w:val="24"/>
  </w:num>
  <w:num w:numId="38">
    <w:abstractNumId w:val="29"/>
  </w:num>
  <w:num w:numId="39">
    <w:abstractNumId w:val="0"/>
  </w:num>
  <w:num w:numId="40">
    <w:abstractNumId w:val="41"/>
    <w:lvlOverride w:ilvl="0">
      <w:startOverride w:val="1"/>
    </w:lvlOverride>
  </w:num>
  <w:num w:numId="41">
    <w:abstractNumId w:val="41"/>
    <w:lvlOverride w:ilvl="0">
      <w:startOverride w:val="1"/>
    </w:lvlOverride>
  </w:num>
  <w:num w:numId="42">
    <w:abstractNumId w:val="41"/>
    <w:lvlOverride w:ilvl="0">
      <w:startOverride w:val="1"/>
    </w:lvlOverride>
  </w:num>
  <w:num w:numId="43">
    <w:abstractNumId w:val="1"/>
  </w:num>
  <w:num w:numId="44">
    <w:abstractNumId w:val="23"/>
  </w:num>
  <w:num w:numId="45">
    <w:abstractNumId w:val="48"/>
  </w:num>
  <w:num w:numId="46">
    <w:abstractNumId w:val="39"/>
  </w:num>
  <w:num w:numId="47">
    <w:abstractNumId w:val="21"/>
  </w:num>
  <w:num w:numId="48">
    <w:abstractNumId w:val="13"/>
  </w:num>
  <w:num w:numId="49">
    <w:abstractNumId w:val="30"/>
  </w:num>
  <w:num w:numId="50">
    <w:abstractNumId w:val="16"/>
  </w:num>
  <w:num w:numId="51">
    <w:abstractNumId w:val="12"/>
  </w:num>
  <w:num w:numId="52">
    <w:abstractNumId w:val="20"/>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E1B"/>
    <w:rsid w:val="000003DF"/>
    <w:rsid w:val="00000CC2"/>
    <w:rsid w:val="0000105E"/>
    <w:rsid w:val="00001305"/>
    <w:rsid w:val="00001463"/>
    <w:rsid w:val="00001538"/>
    <w:rsid w:val="00001735"/>
    <w:rsid w:val="00001BCB"/>
    <w:rsid w:val="00001CD2"/>
    <w:rsid w:val="00001E77"/>
    <w:rsid w:val="00001FB2"/>
    <w:rsid w:val="00001FEC"/>
    <w:rsid w:val="0000220C"/>
    <w:rsid w:val="0000222E"/>
    <w:rsid w:val="00002377"/>
    <w:rsid w:val="00002878"/>
    <w:rsid w:val="000029F9"/>
    <w:rsid w:val="00002DE0"/>
    <w:rsid w:val="00002E1B"/>
    <w:rsid w:val="0000320C"/>
    <w:rsid w:val="00003336"/>
    <w:rsid w:val="000035F2"/>
    <w:rsid w:val="00004378"/>
    <w:rsid w:val="000044F0"/>
    <w:rsid w:val="0000460E"/>
    <w:rsid w:val="00004636"/>
    <w:rsid w:val="000049B8"/>
    <w:rsid w:val="00004C0F"/>
    <w:rsid w:val="00004C1C"/>
    <w:rsid w:val="00004F0D"/>
    <w:rsid w:val="00005031"/>
    <w:rsid w:val="00005375"/>
    <w:rsid w:val="00005677"/>
    <w:rsid w:val="0000575A"/>
    <w:rsid w:val="00005F87"/>
    <w:rsid w:val="00006171"/>
    <w:rsid w:val="00006354"/>
    <w:rsid w:val="00006365"/>
    <w:rsid w:val="000064BD"/>
    <w:rsid w:val="00006603"/>
    <w:rsid w:val="000067A7"/>
    <w:rsid w:val="00007202"/>
    <w:rsid w:val="000075AD"/>
    <w:rsid w:val="0000770B"/>
    <w:rsid w:val="000079F0"/>
    <w:rsid w:val="00007B90"/>
    <w:rsid w:val="00007EC9"/>
    <w:rsid w:val="000102C5"/>
    <w:rsid w:val="00010331"/>
    <w:rsid w:val="00010350"/>
    <w:rsid w:val="000103EC"/>
    <w:rsid w:val="00010404"/>
    <w:rsid w:val="0001091F"/>
    <w:rsid w:val="0001096E"/>
    <w:rsid w:val="000109CC"/>
    <w:rsid w:val="000109ED"/>
    <w:rsid w:val="00010F13"/>
    <w:rsid w:val="00011249"/>
    <w:rsid w:val="00011549"/>
    <w:rsid w:val="000115D4"/>
    <w:rsid w:val="00011760"/>
    <w:rsid w:val="00011ACF"/>
    <w:rsid w:val="00011D37"/>
    <w:rsid w:val="00011DB6"/>
    <w:rsid w:val="00011F0C"/>
    <w:rsid w:val="00011F8B"/>
    <w:rsid w:val="00011FAF"/>
    <w:rsid w:val="00012248"/>
    <w:rsid w:val="00012254"/>
    <w:rsid w:val="00012608"/>
    <w:rsid w:val="00012610"/>
    <w:rsid w:val="0001276F"/>
    <w:rsid w:val="000127AC"/>
    <w:rsid w:val="00012B4E"/>
    <w:rsid w:val="00012F10"/>
    <w:rsid w:val="000131AD"/>
    <w:rsid w:val="000135C8"/>
    <w:rsid w:val="000136A4"/>
    <w:rsid w:val="00013A5D"/>
    <w:rsid w:val="00014134"/>
    <w:rsid w:val="000141D3"/>
    <w:rsid w:val="0001443C"/>
    <w:rsid w:val="0001444B"/>
    <w:rsid w:val="0001477A"/>
    <w:rsid w:val="000148B1"/>
    <w:rsid w:val="00014ADF"/>
    <w:rsid w:val="00014D26"/>
    <w:rsid w:val="00014E2A"/>
    <w:rsid w:val="00015322"/>
    <w:rsid w:val="000153CE"/>
    <w:rsid w:val="00015649"/>
    <w:rsid w:val="00015912"/>
    <w:rsid w:val="00015A0C"/>
    <w:rsid w:val="00015AA4"/>
    <w:rsid w:val="00015AB7"/>
    <w:rsid w:val="00015BF4"/>
    <w:rsid w:val="0001669E"/>
    <w:rsid w:val="00016743"/>
    <w:rsid w:val="00016814"/>
    <w:rsid w:val="0001686B"/>
    <w:rsid w:val="00016A9A"/>
    <w:rsid w:val="00016CF0"/>
    <w:rsid w:val="00017020"/>
    <w:rsid w:val="00017285"/>
    <w:rsid w:val="00017306"/>
    <w:rsid w:val="000173C7"/>
    <w:rsid w:val="0001745F"/>
    <w:rsid w:val="00017490"/>
    <w:rsid w:val="0001754E"/>
    <w:rsid w:val="0001794D"/>
    <w:rsid w:val="00017C3F"/>
    <w:rsid w:val="00017EA2"/>
    <w:rsid w:val="00017EB9"/>
    <w:rsid w:val="00017F66"/>
    <w:rsid w:val="0001A901"/>
    <w:rsid w:val="00020198"/>
    <w:rsid w:val="0002033C"/>
    <w:rsid w:val="0002074C"/>
    <w:rsid w:val="000209A3"/>
    <w:rsid w:val="00020DD8"/>
    <w:rsid w:val="00020E61"/>
    <w:rsid w:val="0002107F"/>
    <w:rsid w:val="00021251"/>
    <w:rsid w:val="000215D7"/>
    <w:rsid w:val="00021A21"/>
    <w:rsid w:val="00021C42"/>
    <w:rsid w:val="00021C5F"/>
    <w:rsid w:val="00021CE9"/>
    <w:rsid w:val="00021E22"/>
    <w:rsid w:val="00021E69"/>
    <w:rsid w:val="00022221"/>
    <w:rsid w:val="000222D1"/>
    <w:rsid w:val="00022609"/>
    <w:rsid w:val="00022927"/>
    <w:rsid w:val="00022ABD"/>
    <w:rsid w:val="00022B1C"/>
    <w:rsid w:val="00022CC5"/>
    <w:rsid w:val="00022DC1"/>
    <w:rsid w:val="000230D6"/>
    <w:rsid w:val="00023261"/>
    <w:rsid w:val="0002336C"/>
    <w:rsid w:val="00023AAE"/>
    <w:rsid w:val="00023D38"/>
    <w:rsid w:val="00023E59"/>
    <w:rsid w:val="0002405B"/>
    <w:rsid w:val="00024388"/>
    <w:rsid w:val="000244E8"/>
    <w:rsid w:val="00024761"/>
    <w:rsid w:val="000248C6"/>
    <w:rsid w:val="00024A7D"/>
    <w:rsid w:val="00024DA8"/>
    <w:rsid w:val="00024F36"/>
    <w:rsid w:val="000254D8"/>
    <w:rsid w:val="00025651"/>
    <w:rsid w:val="00025762"/>
    <w:rsid w:val="00026185"/>
    <w:rsid w:val="00026380"/>
    <w:rsid w:val="0002664D"/>
    <w:rsid w:val="000267BF"/>
    <w:rsid w:val="000267D6"/>
    <w:rsid w:val="000269EE"/>
    <w:rsid w:val="00026C55"/>
    <w:rsid w:val="00026FD6"/>
    <w:rsid w:val="0002718E"/>
    <w:rsid w:val="000275CA"/>
    <w:rsid w:val="000278AC"/>
    <w:rsid w:val="00027977"/>
    <w:rsid w:val="00027E10"/>
    <w:rsid w:val="00027F8C"/>
    <w:rsid w:val="00028F17"/>
    <w:rsid w:val="0002DB24"/>
    <w:rsid w:val="00030082"/>
    <w:rsid w:val="00030445"/>
    <w:rsid w:val="000304A9"/>
    <w:rsid w:val="0003058E"/>
    <w:rsid w:val="00030708"/>
    <w:rsid w:val="00030AF5"/>
    <w:rsid w:val="00030FD9"/>
    <w:rsid w:val="000311A4"/>
    <w:rsid w:val="0003164D"/>
    <w:rsid w:val="000316D7"/>
    <w:rsid w:val="00031998"/>
    <w:rsid w:val="00031ACB"/>
    <w:rsid w:val="00031E47"/>
    <w:rsid w:val="000321A6"/>
    <w:rsid w:val="000321B3"/>
    <w:rsid w:val="0003224A"/>
    <w:rsid w:val="0003252E"/>
    <w:rsid w:val="000325CA"/>
    <w:rsid w:val="00032891"/>
    <w:rsid w:val="00032A56"/>
    <w:rsid w:val="00032E63"/>
    <w:rsid w:val="00033471"/>
    <w:rsid w:val="00033955"/>
    <w:rsid w:val="00033F01"/>
    <w:rsid w:val="00033F67"/>
    <w:rsid w:val="00033F7D"/>
    <w:rsid w:val="00033FEE"/>
    <w:rsid w:val="00034744"/>
    <w:rsid w:val="00034A0C"/>
    <w:rsid w:val="00034B7A"/>
    <w:rsid w:val="00034FF8"/>
    <w:rsid w:val="0003503B"/>
    <w:rsid w:val="00035363"/>
    <w:rsid w:val="000359C9"/>
    <w:rsid w:val="000359E3"/>
    <w:rsid w:val="00035A1E"/>
    <w:rsid w:val="00035B2D"/>
    <w:rsid w:val="00035CF6"/>
    <w:rsid w:val="00035E1C"/>
    <w:rsid w:val="00035F68"/>
    <w:rsid w:val="00035FA5"/>
    <w:rsid w:val="00036039"/>
    <w:rsid w:val="000362B0"/>
    <w:rsid w:val="000363F7"/>
    <w:rsid w:val="00036545"/>
    <w:rsid w:val="000365B1"/>
    <w:rsid w:val="00036648"/>
    <w:rsid w:val="000369C9"/>
    <w:rsid w:val="000369E9"/>
    <w:rsid w:val="00036ABD"/>
    <w:rsid w:val="00036AC8"/>
    <w:rsid w:val="00036CB0"/>
    <w:rsid w:val="00036FF8"/>
    <w:rsid w:val="00037132"/>
    <w:rsid w:val="0003745D"/>
    <w:rsid w:val="000374FE"/>
    <w:rsid w:val="000376C9"/>
    <w:rsid w:val="000377E0"/>
    <w:rsid w:val="00037899"/>
    <w:rsid w:val="000378BD"/>
    <w:rsid w:val="00037F90"/>
    <w:rsid w:val="00040025"/>
    <w:rsid w:val="00040050"/>
    <w:rsid w:val="0004009F"/>
    <w:rsid w:val="000400BE"/>
    <w:rsid w:val="000405FC"/>
    <w:rsid w:val="0004097E"/>
    <w:rsid w:val="00040D1F"/>
    <w:rsid w:val="00040F78"/>
    <w:rsid w:val="00041000"/>
    <w:rsid w:val="00041173"/>
    <w:rsid w:val="00041210"/>
    <w:rsid w:val="0004134C"/>
    <w:rsid w:val="000415E6"/>
    <w:rsid w:val="000419DF"/>
    <w:rsid w:val="00041CCD"/>
    <w:rsid w:val="00041E9F"/>
    <w:rsid w:val="00041EBA"/>
    <w:rsid w:val="00042061"/>
    <w:rsid w:val="00042070"/>
    <w:rsid w:val="0004209C"/>
    <w:rsid w:val="000423EB"/>
    <w:rsid w:val="0004248F"/>
    <w:rsid w:val="000424D9"/>
    <w:rsid w:val="000425E2"/>
    <w:rsid w:val="0004282B"/>
    <w:rsid w:val="00043099"/>
    <w:rsid w:val="000431D9"/>
    <w:rsid w:val="00043256"/>
    <w:rsid w:val="00043303"/>
    <w:rsid w:val="00043981"/>
    <w:rsid w:val="00043F8F"/>
    <w:rsid w:val="00043FF2"/>
    <w:rsid w:val="00044441"/>
    <w:rsid w:val="0004481E"/>
    <w:rsid w:val="00044959"/>
    <w:rsid w:val="00045367"/>
    <w:rsid w:val="000453E6"/>
    <w:rsid w:val="0004543A"/>
    <w:rsid w:val="000454C0"/>
    <w:rsid w:val="00045791"/>
    <w:rsid w:val="00045997"/>
    <w:rsid w:val="00045A34"/>
    <w:rsid w:val="00045E54"/>
    <w:rsid w:val="000461AD"/>
    <w:rsid w:val="0004662E"/>
    <w:rsid w:val="000467C9"/>
    <w:rsid w:val="000468A5"/>
    <w:rsid w:val="0004691C"/>
    <w:rsid w:val="00046E60"/>
    <w:rsid w:val="0004718B"/>
    <w:rsid w:val="0004721F"/>
    <w:rsid w:val="0004756D"/>
    <w:rsid w:val="00047A3A"/>
    <w:rsid w:val="00047F6F"/>
    <w:rsid w:val="0005006C"/>
    <w:rsid w:val="000500D6"/>
    <w:rsid w:val="00050EE9"/>
    <w:rsid w:val="000514DB"/>
    <w:rsid w:val="00051A6C"/>
    <w:rsid w:val="00052317"/>
    <w:rsid w:val="00052C45"/>
    <w:rsid w:val="00052ECE"/>
    <w:rsid w:val="000535DB"/>
    <w:rsid w:val="0005387C"/>
    <w:rsid w:val="00053A53"/>
    <w:rsid w:val="00053B1A"/>
    <w:rsid w:val="00053DDC"/>
    <w:rsid w:val="00054275"/>
    <w:rsid w:val="00054294"/>
    <w:rsid w:val="00054732"/>
    <w:rsid w:val="0005475C"/>
    <w:rsid w:val="00054838"/>
    <w:rsid w:val="00054929"/>
    <w:rsid w:val="00054AA2"/>
    <w:rsid w:val="000550B7"/>
    <w:rsid w:val="00055143"/>
    <w:rsid w:val="000554BC"/>
    <w:rsid w:val="000554BF"/>
    <w:rsid w:val="0005570F"/>
    <w:rsid w:val="00055B54"/>
    <w:rsid w:val="00055E44"/>
    <w:rsid w:val="0005604C"/>
    <w:rsid w:val="00056190"/>
    <w:rsid w:val="000565E3"/>
    <w:rsid w:val="000567A5"/>
    <w:rsid w:val="00056B15"/>
    <w:rsid w:val="00056B60"/>
    <w:rsid w:val="00056CDE"/>
    <w:rsid w:val="00056D2A"/>
    <w:rsid w:val="00056FAD"/>
    <w:rsid w:val="0005738E"/>
    <w:rsid w:val="00057500"/>
    <w:rsid w:val="000575F6"/>
    <w:rsid w:val="00057B16"/>
    <w:rsid w:val="0006000D"/>
    <w:rsid w:val="00060094"/>
    <w:rsid w:val="000601B1"/>
    <w:rsid w:val="000602B6"/>
    <w:rsid w:val="000603A9"/>
    <w:rsid w:val="000604A4"/>
    <w:rsid w:val="00060683"/>
    <w:rsid w:val="000609DD"/>
    <w:rsid w:val="00060F07"/>
    <w:rsid w:val="00060F76"/>
    <w:rsid w:val="00061166"/>
    <w:rsid w:val="000612C5"/>
    <w:rsid w:val="00061420"/>
    <w:rsid w:val="000615D3"/>
    <w:rsid w:val="00061743"/>
    <w:rsid w:val="00061915"/>
    <w:rsid w:val="00061D57"/>
    <w:rsid w:val="00061DB8"/>
    <w:rsid w:val="00061EF6"/>
    <w:rsid w:val="00062864"/>
    <w:rsid w:val="0006298A"/>
    <w:rsid w:val="000629E2"/>
    <w:rsid w:val="0006350B"/>
    <w:rsid w:val="00063669"/>
    <w:rsid w:val="000636C9"/>
    <w:rsid w:val="000638BD"/>
    <w:rsid w:val="000638D2"/>
    <w:rsid w:val="00063A48"/>
    <w:rsid w:val="00063ED7"/>
    <w:rsid w:val="0006416F"/>
    <w:rsid w:val="00064173"/>
    <w:rsid w:val="000641CB"/>
    <w:rsid w:val="00064239"/>
    <w:rsid w:val="0006484F"/>
    <w:rsid w:val="00064A82"/>
    <w:rsid w:val="00064FA1"/>
    <w:rsid w:val="0006513C"/>
    <w:rsid w:val="00065274"/>
    <w:rsid w:val="00065466"/>
    <w:rsid w:val="0006564B"/>
    <w:rsid w:val="000658D4"/>
    <w:rsid w:val="00065A6D"/>
    <w:rsid w:val="00065C0A"/>
    <w:rsid w:val="00065C5C"/>
    <w:rsid w:val="00065E5D"/>
    <w:rsid w:val="00066084"/>
    <w:rsid w:val="00066097"/>
    <w:rsid w:val="000662B0"/>
    <w:rsid w:val="00066863"/>
    <w:rsid w:val="000668F9"/>
    <w:rsid w:val="00066AE4"/>
    <w:rsid w:val="00066B1C"/>
    <w:rsid w:val="00066CDD"/>
    <w:rsid w:val="00066F06"/>
    <w:rsid w:val="00066FBC"/>
    <w:rsid w:val="000671AE"/>
    <w:rsid w:val="000673F6"/>
    <w:rsid w:val="0006758A"/>
    <w:rsid w:val="000677A9"/>
    <w:rsid w:val="000678BC"/>
    <w:rsid w:val="00067CCE"/>
    <w:rsid w:val="00067D28"/>
    <w:rsid w:val="00067D4C"/>
    <w:rsid w:val="00067E7A"/>
    <w:rsid w:val="000701E8"/>
    <w:rsid w:val="000704CB"/>
    <w:rsid w:val="00070AD5"/>
    <w:rsid w:val="00070B2B"/>
    <w:rsid w:val="00070F8E"/>
    <w:rsid w:val="00070FEE"/>
    <w:rsid w:val="0007113D"/>
    <w:rsid w:val="00071385"/>
    <w:rsid w:val="000717AB"/>
    <w:rsid w:val="0007189D"/>
    <w:rsid w:val="00071D4E"/>
    <w:rsid w:val="00071F90"/>
    <w:rsid w:val="00072076"/>
    <w:rsid w:val="00072091"/>
    <w:rsid w:val="00072344"/>
    <w:rsid w:val="000723EF"/>
    <w:rsid w:val="000727AA"/>
    <w:rsid w:val="00072808"/>
    <w:rsid w:val="00072D2C"/>
    <w:rsid w:val="00073167"/>
    <w:rsid w:val="00073189"/>
    <w:rsid w:val="00073273"/>
    <w:rsid w:val="0007368E"/>
    <w:rsid w:val="000739AC"/>
    <w:rsid w:val="000739C9"/>
    <w:rsid w:val="00073C4F"/>
    <w:rsid w:val="00074219"/>
    <w:rsid w:val="000746A0"/>
    <w:rsid w:val="000746F1"/>
    <w:rsid w:val="000757B2"/>
    <w:rsid w:val="00075900"/>
    <w:rsid w:val="00075991"/>
    <w:rsid w:val="00075C06"/>
    <w:rsid w:val="0007602F"/>
    <w:rsid w:val="00076054"/>
    <w:rsid w:val="000760AC"/>
    <w:rsid w:val="0007631C"/>
    <w:rsid w:val="00076528"/>
    <w:rsid w:val="0007685F"/>
    <w:rsid w:val="000769C7"/>
    <w:rsid w:val="00076D08"/>
    <w:rsid w:val="00077160"/>
    <w:rsid w:val="000775DE"/>
    <w:rsid w:val="000779E2"/>
    <w:rsid w:val="00077BC5"/>
    <w:rsid w:val="00077DCE"/>
    <w:rsid w:val="00077EE7"/>
    <w:rsid w:val="0008035C"/>
    <w:rsid w:val="000803AA"/>
    <w:rsid w:val="00080561"/>
    <w:rsid w:val="000807B5"/>
    <w:rsid w:val="000808F2"/>
    <w:rsid w:val="00080934"/>
    <w:rsid w:val="00080A45"/>
    <w:rsid w:val="00080FF6"/>
    <w:rsid w:val="00081027"/>
    <w:rsid w:val="0008176E"/>
    <w:rsid w:val="000818E3"/>
    <w:rsid w:val="00081AEE"/>
    <w:rsid w:val="00081E01"/>
    <w:rsid w:val="00081E89"/>
    <w:rsid w:val="00081EDE"/>
    <w:rsid w:val="00082071"/>
    <w:rsid w:val="00082B59"/>
    <w:rsid w:val="0008363B"/>
    <w:rsid w:val="00083868"/>
    <w:rsid w:val="00083997"/>
    <w:rsid w:val="00083F28"/>
    <w:rsid w:val="00084412"/>
    <w:rsid w:val="0008475D"/>
    <w:rsid w:val="00084974"/>
    <w:rsid w:val="0008498A"/>
    <w:rsid w:val="00084CDE"/>
    <w:rsid w:val="00084CF3"/>
    <w:rsid w:val="00084D25"/>
    <w:rsid w:val="00085363"/>
    <w:rsid w:val="0008536E"/>
    <w:rsid w:val="000855FA"/>
    <w:rsid w:val="00085782"/>
    <w:rsid w:val="00085D87"/>
    <w:rsid w:val="00085E06"/>
    <w:rsid w:val="00085EEA"/>
    <w:rsid w:val="000862A1"/>
    <w:rsid w:val="000862D9"/>
    <w:rsid w:val="000864FA"/>
    <w:rsid w:val="00086728"/>
    <w:rsid w:val="0008679F"/>
    <w:rsid w:val="0008684B"/>
    <w:rsid w:val="00086B41"/>
    <w:rsid w:val="00086BDD"/>
    <w:rsid w:val="00086D7F"/>
    <w:rsid w:val="000870B6"/>
    <w:rsid w:val="000873BE"/>
    <w:rsid w:val="000875BF"/>
    <w:rsid w:val="00087618"/>
    <w:rsid w:val="000877A3"/>
    <w:rsid w:val="00090325"/>
    <w:rsid w:val="00090355"/>
    <w:rsid w:val="0009063A"/>
    <w:rsid w:val="00090721"/>
    <w:rsid w:val="00090734"/>
    <w:rsid w:val="00090BD8"/>
    <w:rsid w:val="00090D51"/>
    <w:rsid w:val="00090E49"/>
    <w:rsid w:val="00090F69"/>
    <w:rsid w:val="000912D7"/>
    <w:rsid w:val="000912DB"/>
    <w:rsid w:val="0009162F"/>
    <w:rsid w:val="00091768"/>
    <w:rsid w:val="000918D1"/>
    <w:rsid w:val="00091B37"/>
    <w:rsid w:val="00091BC6"/>
    <w:rsid w:val="00092203"/>
    <w:rsid w:val="00092402"/>
    <w:rsid w:val="0009242F"/>
    <w:rsid w:val="000925D1"/>
    <w:rsid w:val="00092661"/>
    <w:rsid w:val="00092A05"/>
    <w:rsid w:val="00092A1B"/>
    <w:rsid w:val="00092C04"/>
    <w:rsid w:val="00092CE9"/>
    <w:rsid w:val="000931A7"/>
    <w:rsid w:val="00093276"/>
    <w:rsid w:val="000933D4"/>
    <w:rsid w:val="000936AF"/>
    <w:rsid w:val="000936D2"/>
    <w:rsid w:val="00093712"/>
    <w:rsid w:val="00093AC3"/>
    <w:rsid w:val="00093B14"/>
    <w:rsid w:val="00093B93"/>
    <w:rsid w:val="00093D48"/>
    <w:rsid w:val="00094434"/>
    <w:rsid w:val="00094753"/>
    <w:rsid w:val="000947A1"/>
    <w:rsid w:val="00094992"/>
    <w:rsid w:val="00094ADC"/>
    <w:rsid w:val="00094C28"/>
    <w:rsid w:val="00094E99"/>
    <w:rsid w:val="0009525C"/>
    <w:rsid w:val="0009543D"/>
    <w:rsid w:val="0009549C"/>
    <w:rsid w:val="000954C9"/>
    <w:rsid w:val="000955FF"/>
    <w:rsid w:val="0009569D"/>
    <w:rsid w:val="0009589A"/>
    <w:rsid w:val="0009592D"/>
    <w:rsid w:val="00095A0B"/>
    <w:rsid w:val="00095A63"/>
    <w:rsid w:val="000962BF"/>
    <w:rsid w:val="000964ED"/>
    <w:rsid w:val="00096ABD"/>
    <w:rsid w:val="00096B9E"/>
    <w:rsid w:val="00096D8C"/>
    <w:rsid w:val="00097403"/>
    <w:rsid w:val="000974F3"/>
    <w:rsid w:val="000975B9"/>
    <w:rsid w:val="00097757"/>
    <w:rsid w:val="00097C40"/>
    <w:rsid w:val="00097D2A"/>
    <w:rsid w:val="00097E82"/>
    <w:rsid w:val="000A0135"/>
    <w:rsid w:val="000A04C9"/>
    <w:rsid w:val="000A066A"/>
    <w:rsid w:val="000A10E5"/>
    <w:rsid w:val="000A11FF"/>
    <w:rsid w:val="000A1537"/>
    <w:rsid w:val="000A1602"/>
    <w:rsid w:val="000A189B"/>
    <w:rsid w:val="000A18C7"/>
    <w:rsid w:val="000A1B19"/>
    <w:rsid w:val="000A1D83"/>
    <w:rsid w:val="000A1F1F"/>
    <w:rsid w:val="000A2896"/>
    <w:rsid w:val="000A3085"/>
    <w:rsid w:val="000A31C5"/>
    <w:rsid w:val="000A3356"/>
    <w:rsid w:val="000A3537"/>
    <w:rsid w:val="000A4180"/>
    <w:rsid w:val="000A41C3"/>
    <w:rsid w:val="000A43D4"/>
    <w:rsid w:val="000A4670"/>
    <w:rsid w:val="000A4870"/>
    <w:rsid w:val="000A490B"/>
    <w:rsid w:val="000A4CCB"/>
    <w:rsid w:val="000A5213"/>
    <w:rsid w:val="000A561D"/>
    <w:rsid w:val="000A572A"/>
    <w:rsid w:val="000A59D9"/>
    <w:rsid w:val="000A5B77"/>
    <w:rsid w:val="000A5CA0"/>
    <w:rsid w:val="000A5D26"/>
    <w:rsid w:val="000A62D0"/>
    <w:rsid w:val="000A6899"/>
    <w:rsid w:val="000A69A3"/>
    <w:rsid w:val="000A6AE2"/>
    <w:rsid w:val="000A6C17"/>
    <w:rsid w:val="000A6DDA"/>
    <w:rsid w:val="000A6DF2"/>
    <w:rsid w:val="000A6E5D"/>
    <w:rsid w:val="000A712C"/>
    <w:rsid w:val="000A72D6"/>
    <w:rsid w:val="000A7563"/>
    <w:rsid w:val="000A7857"/>
    <w:rsid w:val="000A79B3"/>
    <w:rsid w:val="000A7B6A"/>
    <w:rsid w:val="000A7DAB"/>
    <w:rsid w:val="000A7DBB"/>
    <w:rsid w:val="000A7FA7"/>
    <w:rsid w:val="000B0329"/>
    <w:rsid w:val="000B0593"/>
    <w:rsid w:val="000B0613"/>
    <w:rsid w:val="000B0947"/>
    <w:rsid w:val="000B09D2"/>
    <w:rsid w:val="000B0A12"/>
    <w:rsid w:val="000B0CE8"/>
    <w:rsid w:val="000B11BF"/>
    <w:rsid w:val="000B122F"/>
    <w:rsid w:val="000B160A"/>
    <w:rsid w:val="000B1692"/>
    <w:rsid w:val="000B18F3"/>
    <w:rsid w:val="000B1B13"/>
    <w:rsid w:val="000B1F31"/>
    <w:rsid w:val="000B2160"/>
    <w:rsid w:val="000B21D4"/>
    <w:rsid w:val="000B2288"/>
    <w:rsid w:val="000B2A25"/>
    <w:rsid w:val="000B2A3B"/>
    <w:rsid w:val="000B2BBC"/>
    <w:rsid w:val="000B2DB1"/>
    <w:rsid w:val="000B2F03"/>
    <w:rsid w:val="000B34B4"/>
    <w:rsid w:val="000B35F0"/>
    <w:rsid w:val="000B3AB1"/>
    <w:rsid w:val="000B3DE0"/>
    <w:rsid w:val="000B4117"/>
    <w:rsid w:val="000B417A"/>
    <w:rsid w:val="000B4380"/>
    <w:rsid w:val="000B4557"/>
    <w:rsid w:val="000B45F3"/>
    <w:rsid w:val="000B4B78"/>
    <w:rsid w:val="000B4ED3"/>
    <w:rsid w:val="000B4F0E"/>
    <w:rsid w:val="000B51F2"/>
    <w:rsid w:val="000B5215"/>
    <w:rsid w:val="000B52A4"/>
    <w:rsid w:val="000B573E"/>
    <w:rsid w:val="000B59CC"/>
    <w:rsid w:val="000B5D13"/>
    <w:rsid w:val="000B5E52"/>
    <w:rsid w:val="000B65A1"/>
    <w:rsid w:val="000B6724"/>
    <w:rsid w:val="000B6987"/>
    <w:rsid w:val="000B6A21"/>
    <w:rsid w:val="000B6B60"/>
    <w:rsid w:val="000B6CC9"/>
    <w:rsid w:val="000B6D31"/>
    <w:rsid w:val="000B6E97"/>
    <w:rsid w:val="000B6F71"/>
    <w:rsid w:val="000B7EC4"/>
    <w:rsid w:val="000B7F52"/>
    <w:rsid w:val="000C02B3"/>
    <w:rsid w:val="000C0303"/>
    <w:rsid w:val="000C0671"/>
    <w:rsid w:val="000C075A"/>
    <w:rsid w:val="000C083D"/>
    <w:rsid w:val="000C09A1"/>
    <w:rsid w:val="000C0B65"/>
    <w:rsid w:val="000C0FEA"/>
    <w:rsid w:val="000C1170"/>
    <w:rsid w:val="000C1551"/>
    <w:rsid w:val="000C160D"/>
    <w:rsid w:val="000C1867"/>
    <w:rsid w:val="000C1A48"/>
    <w:rsid w:val="000C1F6C"/>
    <w:rsid w:val="000C2014"/>
    <w:rsid w:val="000C22D7"/>
    <w:rsid w:val="000C2780"/>
    <w:rsid w:val="000C29FD"/>
    <w:rsid w:val="000C2AA8"/>
    <w:rsid w:val="000C3362"/>
    <w:rsid w:val="000C393B"/>
    <w:rsid w:val="000C39A5"/>
    <w:rsid w:val="000C3D9F"/>
    <w:rsid w:val="000C3E34"/>
    <w:rsid w:val="000C4143"/>
    <w:rsid w:val="000C416D"/>
    <w:rsid w:val="000C42E2"/>
    <w:rsid w:val="000C436E"/>
    <w:rsid w:val="000C4876"/>
    <w:rsid w:val="000C4928"/>
    <w:rsid w:val="000C49AC"/>
    <w:rsid w:val="000C4AAE"/>
    <w:rsid w:val="000C4D5F"/>
    <w:rsid w:val="000C4E1F"/>
    <w:rsid w:val="000C4EB3"/>
    <w:rsid w:val="000C5002"/>
    <w:rsid w:val="000C54C6"/>
    <w:rsid w:val="000C565C"/>
    <w:rsid w:val="000C56FF"/>
    <w:rsid w:val="000C57BB"/>
    <w:rsid w:val="000C5998"/>
    <w:rsid w:val="000C59CF"/>
    <w:rsid w:val="000C60D8"/>
    <w:rsid w:val="000C62B1"/>
    <w:rsid w:val="000C6719"/>
    <w:rsid w:val="000C6755"/>
    <w:rsid w:val="000C6BDE"/>
    <w:rsid w:val="000C6C45"/>
    <w:rsid w:val="000C6F1E"/>
    <w:rsid w:val="000C709B"/>
    <w:rsid w:val="000C74F1"/>
    <w:rsid w:val="000C7506"/>
    <w:rsid w:val="000C763E"/>
    <w:rsid w:val="000C76A8"/>
    <w:rsid w:val="000C7913"/>
    <w:rsid w:val="000C79AD"/>
    <w:rsid w:val="000C7A78"/>
    <w:rsid w:val="000C7F9F"/>
    <w:rsid w:val="000D0229"/>
    <w:rsid w:val="000D0428"/>
    <w:rsid w:val="000D0ACE"/>
    <w:rsid w:val="000D0E90"/>
    <w:rsid w:val="000D0FE1"/>
    <w:rsid w:val="000D113D"/>
    <w:rsid w:val="000D1175"/>
    <w:rsid w:val="000D117A"/>
    <w:rsid w:val="000D11AD"/>
    <w:rsid w:val="000D11DA"/>
    <w:rsid w:val="000D1389"/>
    <w:rsid w:val="000D14B4"/>
    <w:rsid w:val="000D1579"/>
    <w:rsid w:val="000D1627"/>
    <w:rsid w:val="000D1719"/>
    <w:rsid w:val="000D174C"/>
    <w:rsid w:val="000D18DC"/>
    <w:rsid w:val="000D1A45"/>
    <w:rsid w:val="000D202B"/>
    <w:rsid w:val="000D2034"/>
    <w:rsid w:val="000D2438"/>
    <w:rsid w:val="000D2F01"/>
    <w:rsid w:val="000D3667"/>
    <w:rsid w:val="000D375A"/>
    <w:rsid w:val="000D3CD6"/>
    <w:rsid w:val="000D3E85"/>
    <w:rsid w:val="000D4502"/>
    <w:rsid w:val="000D4617"/>
    <w:rsid w:val="000D4836"/>
    <w:rsid w:val="000D4AAA"/>
    <w:rsid w:val="000D5585"/>
    <w:rsid w:val="000D575A"/>
    <w:rsid w:val="000D5B22"/>
    <w:rsid w:val="000D5C00"/>
    <w:rsid w:val="000D5CDF"/>
    <w:rsid w:val="000D60D6"/>
    <w:rsid w:val="000D647C"/>
    <w:rsid w:val="000D64E6"/>
    <w:rsid w:val="000D6570"/>
    <w:rsid w:val="000D6703"/>
    <w:rsid w:val="000D6B36"/>
    <w:rsid w:val="000D6D41"/>
    <w:rsid w:val="000D7392"/>
    <w:rsid w:val="000D784D"/>
    <w:rsid w:val="000D79E4"/>
    <w:rsid w:val="000D7EA1"/>
    <w:rsid w:val="000E049E"/>
    <w:rsid w:val="000E05FE"/>
    <w:rsid w:val="000E064C"/>
    <w:rsid w:val="000E086E"/>
    <w:rsid w:val="000E0C56"/>
    <w:rsid w:val="000E0CD3"/>
    <w:rsid w:val="000E0F78"/>
    <w:rsid w:val="000E0FDE"/>
    <w:rsid w:val="000E14D0"/>
    <w:rsid w:val="000E1666"/>
    <w:rsid w:val="000E1897"/>
    <w:rsid w:val="000E1F6C"/>
    <w:rsid w:val="000E1F8B"/>
    <w:rsid w:val="000E20D2"/>
    <w:rsid w:val="000E220A"/>
    <w:rsid w:val="000E27B6"/>
    <w:rsid w:val="000E2850"/>
    <w:rsid w:val="000E2A82"/>
    <w:rsid w:val="000E2BE5"/>
    <w:rsid w:val="000E2E96"/>
    <w:rsid w:val="000E2F52"/>
    <w:rsid w:val="000E32AE"/>
    <w:rsid w:val="000E32B3"/>
    <w:rsid w:val="000E3580"/>
    <w:rsid w:val="000E3AD6"/>
    <w:rsid w:val="000E3B10"/>
    <w:rsid w:val="000E3CF7"/>
    <w:rsid w:val="000E3D42"/>
    <w:rsid w:val="000E3D63"/>
    <w:rsid w:val="000E3DA4"/>
    <w:rsid w:val="000E3F47"/>
    <w:rsid w:val="000E4428"/>
    <w:rsid w:val="000E481B"/>
    <w:rsid w:val="000E495E"/>
    <w:rsid w:val="000E496A"/>
    <w:rsid w:val="000E4EE8"/>
    <w:rsid w:val="000E4F52"/>
    <w:rsid w:val="000E50B5"/>
    <w:rsid w:val="000E51A1"/>
    <w:rsid w:val="000E52C1"/>
    <w:rsid w:val="000E539B"/>
    <w:rsid w:val="000E54AF"/>
    <w:rsid w:val="000E5577"/>
    <w:rsid w:val="000E55DA"/>
    <w:rsid w:val="000E5B95"/>
    <w:rsid w:val="000E5FD1"/>
    <w:rsid w:val="000E637D"/>
    <w:rsid w:val="000E6530"/>
    <w:rsid w:val="000E6AE0"/>
    <w:rsid w:val="000E6B30"/>
    <w:rsid w:val="000E6CA1"/>
    <w:rsid w:val="000E6E2C"/>
    <w:rsid w:val="000E714E"/>
    <w:rsid w:val="000E7690"/>
    <w:rsid w:val="000E79B2"/>
    <w:rsid w:val="000E7A20"/>
    <w:rsid w:val="000E7AED"/>
    <w:rsid w:val="000F00B1"/>
    <w:rsid w:val="000F0520"/>
    <w:rsid w:val="000F07CA"/>
    <w:rsid w:val="000F086C"/>
    <w:rsid w:val="000F0907"/>
    <w:rsid w:val="000F0961"/>
    <w:rsid w:val="000F1075"/>
    <w:rsid w:val="000F1147"/>
    <w:rsid w:val="000F1209"/>
    <w:rsid w:val="000F1522"/>
    <w:rsid w:val="000F15A9"/>
    <w:rsid w:val="000F15D0"/>
    <w:rsid w:val="000F16FD"/>
    <w:rsid w:val="000F1E08"/>
    <w:rsid w:val="000F1ED6"/>
    <w:rsid w:val="000F218C"/>
    <w:rsid w:val="000F27F2"/>
    <w:rsid w:val="000F2A2F"/>
    <w:rsid w:val="000F2A68"/>
    <w:rsid w:val="000F2E84"/>
    <w:rsid w:val="000F2EA2"/>
    <w:rsid w:val="000F2EE8"/>
    <w:rsid w:val="000F314F"/>
    <w:rsid w:val="000F31D5"/>
    <w:rsid w:val="000F31EC"/>
    <w:rsid w:val="000F3289"/>
    <w:rsid w:val="000F3318"/>
    <w:rsid w:val="000F3482"/>
    <w:rsid w:val="000F3D6E"/>
    <w:rsid w:val="000F40F6"/>
    <w:rsid w:val="000F414D"/>
    <w:rsid w:val="000F42D8"/>
    <w:rsid w:val="000F4376"/>
    <w:rsid w:val="000F44AD"/>
    <w:rsid w:val="000F4503"/>
    <w:rsid w:val="000F46F3"/>
    <w:rsid w:val="000F4955"/>
    <w:rsid w:val="000F4AC6"/>
    <w:rsid w:val="000F4CCA"/>
    <w:rsid w:val="000F4DCD"/>
    <w:rsid w:val="000F4EAF"/>
    <w:rsid w:val="000F4F6E"/>
    <w:rsid w:val="000F50D4"/>
    <w:rsid w:val="000F5153"/>
    <w:rsid w:val="000F5367"/>
    <w:rsid w:val="000F55D3"/>
    <w:rsid w:val="000F56A0"/>
    <w:rsid w:val="000F5791"/>
    <w:rsid w:val="000F612C"/>
    <w:rsid w:val="000F63D6"/>
    <w:rsid w:val="000F6526"/>
    <w:rsid w:val="000F669A"/>
    <w:rsid w:val="000F7121"/>
    <w:rsid w:val="000F76AE"/>
    <w:rsid w:val="000F76C3"/>
    <w:rsid w:val="000F7CB4"/>
    <w:rsid w:val="000F7D1C"/>
    <w:rsid w:val="000F7F4E"/>
    <w:rsid w:val="00100064"/>
    <w:rsid w:val="0010012B"/>
    <w:rsid w:val="0010028F"/>
    <w:rsid w:val="0010058A"/>
    <w:rsid w:val="0010066F"/>
    <w:rsid w:val="00100848"/>
    <w:rsid w:val="00100893"/>
    <w:rsid w:val="00100BB8"/>
    <w:rsid w:val="00101143"/>
    <w:rsid w:val="00101499"/>
    <w:rsid w:val="00101CB4"/>
    <w:rsid w:val="00101D8C"/>
    <w:rsid w:val="00102413"/>
    <w:rsid w:val="001025A2"/>
    <w:rsid w:val="001029D2"/>
    <w:rsid w:val="00103126"/>
    <w:rsid w:val="001037F9"/>
    <w:rsid w:val="0010389F"/>
    <w:rsid w:val="00103C01"/>
    <w:rsid w:val="00103C05"/>
    <w:rsid w:val="0010408F"/>
    <w:rsid w:val="0010418A"/>
    <w:rsid w:val="001045B8"/>
    <w:rsid w:val="001047B0"/>
    <w:rsid w:val="0010495E"/>
    <w:rsid w:val="001049FE"/>
    <w:rsid w:val="00104CAF"/>
    <w:rsid w:val="00104E91"/>
    <w:rsid w:val="0010546E"/>
    <w:rsid w:val="00105507"/>
    <w:rsid w:val="00105650"/>
    <w:rsid w:val="00105869"/>
    <w:rsid w:val="00105E39"/>
    <w:rsid w:val="00106380"/>
    <w:rsid w:val="00106390"/>
    <w:rsid w:val="00106484"/>
    <w:rsid w:val="001064D5"/>
    <w:rsid w:val="001067E9"/>
    <w:rsid w:val="00106D0A"/>
    <w:rsid w:val="00106E2C"/>
    <w:rsid w:val="00106FDD"/>
    <w:rsid w:val="001070F2"/>
    <w:rsid w:val="001075C2"/>
    <w:rsid w:val="00107AAE"/>
    <w:rsid w:val="00107AC3"/>
    <w:rsid w:val="00107BAD"/>
    <w:rsid w:val="00107C41"/>
    <w:rsid w:val="00107D3F"/>
    <w:rsid w:val="0011071B"/>
    <w:rsid w:val="001107B9"/>
    <w:rsid w:val="00110887"/>
    <w:rsid w:val="00110928"/>
    <w:rsid w:val="00110B64"/>
    <w:rsid w:val="00110C32"/>
    <w:rsid w:val="00110CD2"/>
    <w:rsid w:val="00110E34"/>
    <w:rsid w:val="00110EC9"/>
    <w:rsid w:val="00110F7C"/>
    <w:rsid w:val="00111144"/>
    <w:rsid w:val="00111303"/>
    <w:rsid w:val="0011173B"/>
    <w:rsid w:val="00111B00"/>
    <w:rsid w:val="00111E2E"/>
    <w:rsid w:val="001123C1"/>
    <w:rsid w:val="00112470"/>
    <w:rsid w:val="00112480"/>
    <w:rsid w:val="00112528"/>
    <w:rsid w:val="00112543"/>
    <w:rsid w:val="00112AEC"/>
    <w:rsid w:val="00112D6D"/>
    <w:rsid w:val="00112FBF"/>
    <w:rsid w:val="00113258"/>
    <w:rsid w:val="00113343"/>
    <w:rsid w:val="001133FC"/>
    <w:rsid w:val="001134C6"/>
    <w:rsid w:val="00113679"/>
    <w:rsid w:val="001137FD"/>
    <w:rsid w:val="00113874"/>
    <w:rsid w:val="00113E00"/>
    <w:rsid w:val="00114354"/>
    <w:rsid w:val="00114374"/>
    <w:rsid w:val="0011451D"/>
    <w:rsid w:val="001146B7"/>
    <w:rsid w:val="00114816"/>
    <w:rsid w:val="00114ACD"/>
    <w:rsid w:val="00114E1A"/>
    <w:rsid w:val="00114F77"/>
    <w:rsid w:val="00114FBB"/>
    <w:rsid w:val="00115001"/>
    <w:rsid w:val="0011571F"/>
    <w:rsid w:val="0011585C"/>
    <w:rsid w:val="0011594B"/>
    <w:rsid w:val="00115B61"/>
    <w:rsid w:val="00115DAE"/>
    <w:rsid w:val="00116580"/>
    <w:rsid w:val="00116702"/>
    <w:rsid w:val="0011677C"/>
    <w:rsid w:val="00116F8F"/>
    <w:rsid w:val="001177C5"/>
    <w:rsid w:val="00117A23"/>
    <w:rsid w:val="00119A5F"/>
    <w:rsid w:val="001201EB"/>
    <w:rsid w:val="00120244"/>
    <w:rsid w:val="001202C9"/>
    <w:rsid w:val="0012033A"/>
    <w:rsid w:val="0012069D"/>
    <w:rsid w:val="00120809"/>
    <w:rsid w:val="00120A74"/>
    <w:rsid w:val="00120CA9"/>
    <w:rsid w:val="00120E3B"/>
    <w:rsid w:val="00121478"/>
    <w:rsid w:val="00121A2D"/>
    <w:rsid w:val="00121B38"/>
    <w:rsid w:val="00121E0C"/>
    <w:rsid w:val="0012222E"/>
    <w:rsid w:val="001224AA"/>
    <w:rsid w:val="00122546"/>
    <w:rsid w:val="001227B9"/>
    <w:rsid w:val="001229DA"/>
    <w:rsid w:val="00122BD5"/>
    <w:rsid w:val="00122EF7"/>
    <w:rsid w:val="001230D5"/>
    <w:rsid w:val="001234BB"/>
    <w:rsid w:val="001239AC"/>
    <w:rsid w:val="00123B39"/>
    <w:rsid w:val="00123BD8"/>
    <w:rsid w:val="001240C6"/>
    <w:rsid w:val="0012449D"/>
    <w:rsid w:val="00124864"/>
    <w:rsid w:val="00124EE7"/>
    <w:rsid w:val="00125156"/>
    <w:rsid w:val="001251B2"/>
    <w:rsid w:val="00125465"/>
    <w:rsid w:val="0012573A"/>
    <w:rsid w:val="001257C8"/>
    <w:rsid w:val="0012589E"/>
    <w:rsid w:val="00125A0B"/>
    <w:rsid w:val="00125BA5"/>
    <w:rsid w:val="001260B6"/>
    <w:rsid w:val="0012614F"/>
    <w:rsid w:val="001262FF"/>
    <w:rsid w:val="001263BC"/>
    <w:rsid w:val="001264D1"/>
    <w:rsid w:val="00126824"/>
    <w:rsid w:val="001268EC"/>
    <w:rsid w:val="00126DD8"/>
    <w:rsid w:val="001271F7"/>
    <w:rsid w:val="0012735D"/>
    <w:rsid w:val="001274A2"/>
    <w:rsid w:val="0012B0D7"/>
    <w:rsid w:val="0012F24E"/>
    <w:rsid w:val="001301E1"/>
    <w:rsid w:val="00130286"/>
    <w:rsid w:val="00130509"/>
    <w:rsid w:val="0013050C"/>
    <w:rsid w:val="0013087C"/>
    <w:rsid w:val="00130DA8"/>
    <w:rsid w:val="001311CF"/>
    <w:rsid w:val="001316C2"/>
    <w:rsid w:val="001318D3"/>
    <w:rsid w:val="00131BF4"/>
    <w:rsid w:val="00131EA6"/>
    <w:rsid w:val="0013223E"/>
    <w:rsid w:val="00132487"/>
    <w:rsid w:val="00132492"/>
    <w:rsid w:val="0013249E"/>
    <w:rsid w:val="00132D8F"/>
    <w:rsid w:val="00133024"/>
    <w:rsid w:val="0013312B"/>
    <w:rsid w:val="001331C0"/>
    <w:rsid w:val="00133323"/>
    <w:rsid w:val="001337C0"/>
    <w:rsid w:val="00133B50"/>
    <w:rsid w:val="00133DBE"/>
    <w:rsid w:val="00133DC9"/>
    <w:rsid w:val="00133F79"/>
    <w:rsid w:val="00134151"/>
    <w:rsid w:val="0013429E"/>
    <w:rsid w:val="001342E7"/>
    <w:rsid w:val="0013467E"/>
    <w:rsid w:val="001348DF"/>
    <w:rsid w:val="00134BA3"/>
    <w:rsid w:val="00134C6C"/>
    <w:rsid w:val="0013500D"/>
    <w:rsid w:val="00135417"/>
    <w:rsid w:val="00135466"/>
    <w:rsid w:val="00135475"/>
    <w:rsid w:val="001354A7"/>
    <w:rsid w:val="001354D6"/>
    <w:rsid w:val="001354F1"/>
    <w:rsid w:val="00135528"/>
    <w:rsid w:val="00135BD8"/>
    <w:rsid w:val="0013608D"/>
    <w:rsid w:val="00136162"/>
    <w:rsid w:val="001361FB"/>
    <w:rsid w:val="00136234"/>
    <w:rsid w:val="001367D2"/>
    <w:rsid w:val="00136918"/>
    <w:rsid w:val="0013695E"/>
    <w:rsid w:val="00136BE7"/>
    <w:rsid w:val="00136CE4"/>
    <w:rsid w:val="00136DE2"/>
    <w:rsid w:val="0013700C"/>
    <w:rsid w:val="0013731F"/>
    <w:rsid w:val="00137322"/>
    <w:rsid w:val="0013742E"/>
    <w:rsid w:val="00137C36"/>
    <w:rsid w:val="00137C88"/>
    <w:rsid w:val="00137CDC"/>
    <w:rsid w:val="001400DC"/>
    <w:rsid w:val="00140202"/>
    <w:rsid w:val="0014043F"/>
    <w:rsid w:val="001404B9"/>
    <w:rsid w:val="0014051F"/>
    <w:rsid w:val="00140756"/>
    <w:rsid w:val="001409F2"/>
    <w:rsid w:val="00140B14"/>
    <w:rsid w:val="00140BB6"/>
    <w:rsid w:val="00141178"/>
    <w:rsid w:val="001411DA"/>
    <w:rsid w:val="00141352"/>
    <w:rsid w:val="0014142D"/>
    <w:rsid w:val="00141430"/>
    <w:rsid w:val="00141571"/>
    <w:rsid w:val="00141600"/>
    <w:rsid w:val="001416FE"/>
    <w:rsid w:val="00141A69"/>
    <w:rsid w:val="00142146"/>
    <w:rsid w:val="0014240B"/>
    <w:rsid w:val="00142658"/>
    <w:rsid w:val="0014266C"/>
    <w:rsid w:val="0014269B"/>
    <w:rsid w:val="00142839"/>
    <w:rsid w:val="00142943"/>
    <w:rsid w:val="00142990"/>
    <w:rsid w:val="00142A8B"/>
    <w:rsid w:val="00142CF4"/>
    <w:rsid w:val="001432A0"/>
    <w:rsid w:val="001432BA"/>
    <w:rsid w:val="001435A1"/>
    <w:rsid w:val="00143681"/>
    <w:rsid w:val="00143A32"/>
    <w:rsid w:val="00143C9D"/>
    <w:rsid w:val="00143CB3"/>
    <w:rsid w:val="00144101"/>
    <w:rsid w:val="00144162"/>
    <w:rsid w:val="0014429B"/>
    <w:rsid w:val="0014429D"/>
    <w:rsid w:val="00144488"/>
    <w:rsid w:val="00144AE4"/>
    <w:rsid w:val="00144C6E"/>
    <w:rsid w:val="00144EDE"/>
    <w:rsid w:val="00144F41"/>
    <w:rsid w:val="00144FDA"/>
    <w:rsid w:val="0014518F"/>
    <w:rsid w:val="0014538A"/>
    <w:rsid w:val="00145749"/>
    <w:rsid w:val="00145788"/>
    <w:rsid w:val="001459FC"/>
    <w:rsid w:val="00145BEB"/>
    <w:rsid w:val="00145C64"/>
    <w:rsid w:val="00145EA5"/>
    <w:rsid w:val="001462EC"/>
    <w:rsid w:val="00146708"/>
    <w:rsid w:val="0014677D"/>
    <w:rsid w:val="00146820"/>
    <w:rsid w:val="00147174"/>
    <w:rsid w:val="00147449"/>
    <w:rsid w:val="0014747D"/>
    <w:rsid w:val="001474C2"/>
    <w:rsid w:val="0014763A"/>
    <w:rsid w:val="00147C3A"/>
    <w:rsid w:val="00147C9F"/>
    <w:rsid w:val="00147DD3"/>
    <w:rsid w:val="00147F8C"/>
    <w:rsid w:val="00147FCA"/>
    <w:rsid w:val="00150142"/>
    <w:rsid w:val="00150148"/>
    <w:rsid w:val="001502B4"/>
    <w:rsid w:val="00150362"/>
    <w:rsid w:val="00150553"/>
    <w:rsid w:val="0015056C"/>
    <w:rsid w:val="001507F3"/>
    <w:rsid w:val="00150C28"/>
    <w:rsid w:val="00150CD7"/>
    <w:rsid w:val="00150CF7"/>
    <w:rsid w:val="00151472"/>
    <w:rsid w:val="001516B9"/>
    <w:rsid w:val="00151A94"/>
    <w:rsid w:val="00151EDE"/>
    <w:rsid w:val="00151F4D"/>
    <w:rsid w:val="00151FD7"/>
    <w:rsid w:val="0015218D"/>
    <w:rsid w:val="001522AE"/>
    <w:rsid w:val="00152365"/>
    <w:rsid w:val="00152409"/>
    <w:rsid w:val="00152628"/>
    <w:rsid w:val="0015269C"/>
    <w:rsid w:val="001527E0"/>
    <w:rsid w:val="001528C6"/>
    <w:rsid w:val="00152B44"/>
    <w:rsid w:val="00152D63"/>
    <w:rsid w:val="001537E7"/>
    <w:rsid w:val="00153942"/>
    <w:rsid w:val="00154323"/>
    <w:rsid w:val="0015453D"/>
    <w:rsid w:val="0015465A"/>
    <w:rsid w:val="00154716"/>
    <w:rsid w:val="00154958"/>
    <w:rsid w:val="00154AEE"/>
    <w:rsid w:val="00154EC3"/>
    <w:rsid w:val="001554EE"/>
    <w:rsid w:val="00155622"/>
    <w:rsid w:val="00155C9B"/>
    <w:rsid w:val="00155EF6"/>
    <w:rsid w:val="001560D5"/>
    <w:rsid w:val="0015618D"/>
    <w:rsid w:val="00156804"/>
    <w:rsid w:val="001569A7"/>
    <w:rsid w:val="001569B1"/>
    <w:rsid w:val="00156D5A"/>
    <w:rsid w:val="00156FB7"/>
    <w:rsid w:val="00157131"/>
    <w:rsid w:val="00157200"/>
    <w:rsid w:val="0015728F"/>
    <w:rsid w:val="00157891"/>
    <w:rsid w:val="0015794C"/>
    <w:rsid w:val="00157DCC"/>
    <w:rsid w:val="00157ED7"/>
    <w:rsid w:val="00160137"/>
    <w:rsid w:val="001604DA"/>
    <w:rsid w:val="0016057E"/>
    <w:rsid w:val="0016062C"/>
    <w:rsid w:val="001606EC"/>
    <w:rsid w:val="00160743"/>
    <w:rsid w:val="00160B19"/>
    <w:rsid w:val="00160C38"/>
    <w:rsid w:val="001612BD"/>
    <w:rsid w:val="0016151F"/>
    <w:rsid w:val="0016165D"/>
    <w:rsid w:val="00161C0B"/>
    <w:rsid w:val="00161EA4"/>
    <w:rsid w:val="001620AC"/>
    <w:rsid w:val="00162283"/>
    <w:rsid w:val="00162332"/>
    <w:rsid w:val="00162336"/>
    <w:rsid w:val="001625D4"/>
    <w:rsid w:val="00162E6E"/>
    <w:rsid w:val="001631FF"/>
    <w:rsid w:val="00163319"/>
    <w:rsid w:val="0016366A"/>
    <w:rsid w:val="00163826"/>
    <w:rsid w:val="0016387B"/>
    <w:rsid w:val="00163C01"/>
    <w:rsid w:val="00163DE4"/>
    <w:rsid w:val="001641ED"/>
    <w:rsid w:val="001649B0"/>
    <w:rsid w:val="00164D73"/>
    <w:rsid w:val="0016539D"/>
    <w:rsid w:val="001654AD"/>
    <w:rsid w:val="001654EB"/>
    <w:rsid w:val="001655D0"/>
    <w:rsid w:val="00165695"/>
    <w:rsid w:val="00165773"/>
    <w:rsid w:val="001658D0"/>
    <w:rsid w:val="00165907"/>
    <w:rsid w:val="00165A61"/>
    <w:rsid w:val="00165B56"/>
    <w:rsid w:val="00165B5E"/>
    <w:rsid w:val="00165B9D"/>
    <w:rsid w:val="001661EE"/>
    <w:rsid w:val="00166528"/>
    <w:rsid w:val="00166D37"/>
    <w:rsid w:val="00166D42"/>
    <w:rsid w:val="00166FD1"/>
    <w:rsid w:val="00167004"/>
    <w:rsid w:val="00167167"/>
    <w:rsid w:val="00167200"/>
    <w:rsid w:val="0016758D"/>
    <w:rsid w:val="001675B7"/>
    <w:rsid w:val="0016795B"/>
    <w:rsid w:val="00167A7F"/>
    <w:rsid w:val="00167ACF"/>
    <w:rsid w:val="00167DA1"/>
    <w:rsid w:val="00167FDE"/>
    <w:rsid w:val="00170875"/>
    <w:rsid w:val="0017087B"/>
    <w:rsid w:val="00170981"/>
    <w:rsid w:val="001709D9"/>
    <w:rsid w:val="001709DE"/>
    <w:rsid w:val="00170B92"/>
    <w:rsid w:val="00170C36"/>
    <w:rsid w:val="00170C66"/>
    <w:rsid w:val="00170E98"/>
    <w:rsid w:val="00170F66"/>
    <w:rsid w:val="00170FD6"/>
    <w:rsid w:val="001714FC"/>
    <w:rsid w:val="0017155E"/>
    <w:rsid w:val="001715BB"/>
    <w:rsid w:val="0017183F"/>
    <w:rsid w:val="00171886"/>
    <w:rsid w:val="001718F5"/>
    <w:rsid w:val="001721AF"/>
    <w:rsid w:val="0017232A"/>
    <w:rsid w:val="0017296A"/>
    <w:rsid w:val="0017296B"/>
    <w:rsid w:val="00172A4F"/>
    <w:rsid w:val="00172AC9"/>
    <w:rsid w:val="00172C13"/>
    <w:rsid w:val="00173101"/>
    <w:rsid w:val="0017333A"/>
    <w:rsid w:val="00173551"/>
    <w:rsid w:val="00174157"/>
    <w:rsid w:val="001747A3"/>
    <w:rsid w:val="001747C4"/>
    <w:rsid w:val="00174A20"/>
    <w:rsid w:val="00174E1B"/>
    <w:rsid w:val="00174E2A"/>
    <w:rsid w:val="00175186"/>
    <w:rsid w:val="00175366"/>
    <w:rsid w:val="0017544A"/>
    <w:rsid w:val="00175496"/>
    <w:rsid w:val="001755C3"/>
    <w:rsid w:val="001757C6"/>
    <w:rsid w:val="001758F5"/>
    <w:rsid w:val="00175B24"/>
    <w:rsid w:val="00175D6B"/>
    <w:rsid w:val="0017624C"/>
    <w:rsid w:val="001762B3"/>
    <w:rsid w:val="00176496"/>
    <w:rsid w:val="00176630"/>
    <w:rsid w:val="00176671"/>
    <w:rsid w:val="001766FE"/>
    <w:rsid w:val="0017677F"/>
    <w:rsid w:val="00176836"/>
    <w:rsid w:val="00176988"/>
    <w:rsid w:val="0017699C"/>
    <w:rsid w:val="00176E7F"/>
    <w:rsid w:val="00176F2F"/>
    <w:rsid w:val="00177085"/>
    <w:rsid w:val="001771A5"/>
    <w:rsid w:val="001771A7"/>
    <w:rsid w:val="00177331"/>
    <w:rsid w:val="001777CF"/>
    <w:rsid w:val="00177922"/>
    <w:rsid w:val="00177AA1"/>
    <w:rsid w:val="00177BD1"/>
    <w:rsid w:val="00177C90"/>
    <w:rsid w:val="00177D62"/>
    <w:rsid w:val="0018017F"/>
    <w:rsid w:val="001801C7"/>
    <w:rsid w:val="00180631"/>
    <w:rsid w:val="001806A2"/>
    <w:rsid w:val="0018076D"/>
    <w:rsid w:val="00180992"/>
    <w:rsid w:val="00180A02"/>
    <w:rsid w:val="00180BA1"/>
    <w:rsid w:val="00180EA6"/>
    <w:rsid w:val="00180F91"/>
    <w:rsid w:val="00180FB4"/>
    <w:rsid w:val="00181164"/>
    <w:rsid w:val="001812DB"/>
    <w:rsid w:val="001814D9"/>
    <w:rsid w:val="0018153E"/>
    <w:rsid w:val="00181875"/>
    <w:rsid w:val="0018191A"/>
    <w:rsid w:val="00181925"/>
    <w:rsid w:val="00181C45"/>
    <w:rsid w:val="00181F91"/>
    <w:rsid w:val="001821C7"/>
    <w:rsid w:val="001822D6"/>
    <w:rsid w:val="0018253A"/>
    <w:rsid w:val="0018264A"/>
    <w:rsid w:val="00182A28"/>
    <w:rsid w:val="00182AEB"/>
    <w:rsid w:val="00182AF0"/>
    <w:rsid w:val="00182E8E"/>
    <w:rsid w:val="0018312F"/>
    <w:rsid w:val="001831BF"/>
    <w:rsid w:val="001832AE"/>
    <w:rsid w:val="00183304"/>
    <w:rsid w:val="00183339"/>
    <w:rsid w:val="001834D1"/>
    <w:rsid w:val="001835FB"/>
    <w:rsid w:val="0018362F"/>
    <w:rsid w:val="00183700"/>
    <w:rsid w:val="00183BA5"/>
    <w:rsid w:val="00183C9D"/>
    <w:rsid w:val="00183CA4"/>
    <w:rsid w:val="00183D81"/>
    <w:rsid w:val="00183E1A"/>
    <w:rsid w:val="00184153"/>
    <w:rsid w:val="0018450B"/>
    <w:rsid w:val="00184AD5"/>
    <w:rsid w:val="00184FCE"/>
    <w:rsid w:val="00185010"/>
    <w:rsid w:val="00185376"/>
    <w:rsid w:val="001855F1"/>
    <w:rsid w:val="0018578F"/>
    <w:rsid w:val="00185CF8"/>
    <w:rsid w:val="001860EF"/>
    <w:rsid w:val="00186132"/>
    <w:rsid w:val="001863E1"/>
    <w:rsid w:val="0018660D"/>
    <w:rsid w:val="00186644"/>
    <w:rsid w:val="001866FF"/>
    <w:rsid w:val="00186847"/>
    <w:rsid w:val="00186985"/>
    <w:rsid w:val="00186B68"/>
    <w:rsid w:val="00186B76"/>
    <w:rsid w:val="00186E68"/>
    <w:rsid w:val="00186E76"/>
    <w:rsid w:val="0018701F"/>
    <w:rsid w:val="001874A3"/>
    <w:rsid w:val="0019073B"/>
    <w:rsid w:val="00190B79"/>
    <w:rsid w:val="00190D45"/>
    <w:rsid w:val="00190E41"/>
    <w:rsid w:val="00190EF0"/>
    <w:rsid w:val="00190F5B"/>
    <w:rsid w:val="001910D6"/>
    <w:rsid w:val="001914BB"/>
    <w:rsid w:val="00191B24"/>
    <w:rsid w:val="00191F6F"/>
    <w:rsid w:val="001921E0"/>
    <w:rsid w:val="00192383"/>
    <w:rsid w:val="00192542"/>
    <w:rsid w:val="001928A5"/>
    <w:rsid w:val="001929A3"/>
    <w:rsid w:val="00192DF5"/>
    <w:rsid w:val="00192F9A"/>
    <w:rsid w:val="0019328D"/>
    <w:rsid w:val="0019393C"/>
    <w:rsid w:val="00193A09"/>
    <w:rsid w:val="00193B1D"/>
    <w:rsid w:val="00193B2F"/>
    <w:rsid w:val="001943C3"/>
    <w:rsid w:val="001943CA"/>
    <w:rsid w:val="001946C7"/>
    <w:rsid w:val="00194916"/>
    <w:rsid w:val="00194A66"/>
    <w:rsid w:val="00194CB3"/>
    <w:rsid w:val="00194DFF"/>
    <w:rsid w:val="00194F13"/>
    <w:rsid w:val="00194F51"/>
    <w:rsid w:val="00195388"/>
    <w:rsid w:val="001957A5"/>
    <w:rsid w:val="00195871"/>
    <w:rsid w:val="00195D4E"/>
    <w:rsid w:val="00195E25"/>
    <w:rsid w:val="00196423"/>
    <w:rsid w:val="00196817"/>
    <w:rsid w:val="00196CDE"/>
    <w:rsid w:val="00196E6F"/>
    <w:rsid w:val="00197462"/>
    <w:rsid w:val="0019758D"/>
    <w:rsid w:val="00197714"/>
    <w:rsid w:val="00197ED2"/>
    <w:rsid w:val="001A03B9"/>
    <w:rsid w:val="001A0643"/>
    <w:rsid w:val="001A0711"/>
    <w:rsid w:val="001A0807"/>
    <w:rsid w:val="001A08F6"/>
    <w:rsid w:val="001A0A72"/>
    <w:rsid w:val="001A0CB3"/>
    <w:rsid w:val="001A0CB5"/>
    <w:rsid w:val="001A1126"/>
    <w:rsid w:val="001A124B"/>
    <w:rsid w:val="001A1264"/>
    <w:rsid w:val="001A16A1"/>
    <w:rsid w:val="001A16BD"/>
    <w:rsid w:val="001A16BE"/>
    <w:rsid w:val="001A193C"/>
    <w:rsid w:val="001A1AB2"/>
    <w:rsid w:val="001A1DB5"/>
    <w:rsid w:val="001A1F75"/>
    <w:rsid w:val="001A20AB"/>
    <w:rsid w:val="001A2154"/>
    <w:rsid w:val="001A21C7"/>
    <w:rsid w:val="001A2633"/>
    <w:rsid w:val="001A2862"/>
    <w:rsid w:val="001A2CA2"/>
    <w:rsid w:val="001A2CE2"/>
    <w:rsid w:val="001A30D5"/>
    <w:rsid w:val="001A3220"/>
    <w:rsid w:val="001A3849"/>
    <w:rsid w:val="001A38ED"/>
    <w:rsid w:val="001A3A3D"/>
    <w:rsid w:val="001A3B1A"/>
    <w:rsid w:val="001A3DC1"/>
    <w:rsid w:val="001A3E0B"/>
    <w:rsid w:val="001A3FB2"/>
    <w:rsid w:val="001A3FFA"/>
    <w:rsid w:val="001A4324"/>
    <w:rsid w:val="001A461D"/>
    <w:rsid w:val="001A4770"/>
    <w:rsid w:val="001A4968"/>
    <w:rsid w:val="001A55F3"/>
    <w:rsid w:val="001A561E"/>
    <w:rsid w:val="001A5934"/>
    <w:rsid w:val="001A5BC7"/>
    <w:rsid w:val="001A5D0F"/>
    <w:rsid w:val="001A5FA7"/>
    <w:rsid w:val="001A6124"/>
    <w:rsid w:val="001A63AF"/>
    <w:rsid w:val="001A6497"/>
    <w:rsid w:val="001A678D"/>
    <w:rsid w:val="001A6926"/>
    <w:rsid w:val="001A72D5"/>
    <w:rsid w:val="001A73E7"/>
    <w:rsid w:val="001A7603"/>
    <w:rsid w:val="001A77EF"/>
    <w:rsid w:val="001A7B3D"/>
    <w:rsid w:val="001A7C67"/>
    <w:rsid w:val="001B030B"/>
    <w:rsid w:val="001B0449"/>
    <w:rsid w:val="001B049B"/>
    <w:rsid w:val="001B0C24"/>
    <w:rsid w:val="001B0D98"/>
    <w:rsid w:val="001B1101"/>
    <w:rsid w:val="001B1230"/>
    <w:rsid w:val="001B12E6"/>
    <w:rsid w:val="001B16B2"/>
    <w:rsid w:val="001B17F5"/>
    <w:rsid w:val="001B197F"/>
    <w:rsid w:val="001B1B9D"/>
    <w:rsid w:val="001B1D58"/>
    <w:rsid w:val="001B1EDE"/>
    <w:rsid w:val="001B1F42"/>
    <w:rsid w:val="001B1F69"/>
    <w:rsid w:val="001B22EE"/>
    <w:rsid w:val="001B23E1"/>
    <w:rsid w:val="001B2572"/>
    <w:rsid w:val="001B2816"/>
    <w:rsid w:val="001B2880"/>
    <w:rsid w:val="001B2D6B"/>
    <w:rsid w:val="001B2EA9"/>
    <w:rsid w:val="001B30E4"/>
    <w:rsid w:val="001B348D"/>
    <w:rsid w:val="001B350E"/>
    <w:rsid w:val="001B3704"/>
    <w:rsid w:val="001B38B3"/>
    <w:rsid w:val="001B3A11"/>
    <w:rsid w:val="001B416E"/>
    <w:rsid w:val="001B41AA"/>
    <w:rsid w:val="001B430F"/>
    <w:rsid w:val="001B43BA"/>
    <w:rsid w:val="001B46E1"/>
    <w:rsid w:val="001B4E14"/>
    <w:rsid w:val="001B53A1"/>
    <w:rsid w:val="001B5448"/>
    <w:rsid w:val="001B5582"/>
    <w:rsid w:val="001B5801"/>
    <w:rsid w:val="001B5BE0"/>
    <w:rsid w:val="001B5DD6"/>
    <w:rsid w:val="001B60E4"/>
    <w:rsid w:val="001B61F2"/>
    <w:rsid w:val="001B6266"/>
    <w:rsid w:val="001B6406"/>
    <w:rsid w:val="001B6AC6"/>
    <w:rsid w:val="001B6BC0"/>
    <w:rsid w:val="001B6F66"/>
    <w:rsid w:val="001B7076"/>
    <w:rsid w:val="001B75A1"/>
    <w:rsid w:val="001B75C3"/>
    <w:rsid w:val="001B78F6"/>
    <w:rsid w:val="001B79EE"/>
    <w:rsid w:val="001B7ECE"/>
    <w:rsid w:val="001C084E"/>
    <w:rsid w:val="001C0C0D"/>
    <w:rsid w:val="001C0DA3"/>
    <w:rsid w:val="001C0DDE"/>
    <w:rsid w:val="001C0F83"/>
    <w:rsid w:val="001C16E8"/>
    <w:rsid w:val="001C17BE"/>
    <w:rsid w:val="001C1845"/>
    <w:rsid w:val="001C1EDE"/>
    <w:rsid w:val="001C1F1D"/>
    <w:rsid w:val="001C2116"/>
    <w:rsid w:val="001C21AA"/>
    <w:rsid w:val="001C2294"/>
    <w:rsid w:val="001C2374"/>
    <w:rsid w:val="001C27A2"/>
    <w:rsid w:val="001C29F5"/>
    <w:rsid w:val="001C2A35"/>
    <w:rsid w:val="001C2AAB"/>
    <w:rsid w:val="001C3083"/>
    <w:rsid w:val="001C3222"/>
    <w:rsid w:val="001C3577"/>
    <w:rsid w:val="001C35F6"/>
    <w:rsid w:val="001C3682"/>
    <w:rsid w:val="001C382A"/>
    <w:rsid w:val="001C39AC"/>
    <w:rsid w:val="001C3CF2"/>
    <w:rsid w:val="001C404E"/>
    <w:rsid w:val="001C41E7"/>
    <w:rsid w:val="001C4221"/>
    <w:rsid w:val="001C432B"/>
    <w:rsid w:val="001C45F4"/>
    <w:rsid w:val="001C4655"/>
    <w:rsid w:val="001C49B8"/>
    <w:rsid w:val="001C4A9E"/>
    <w:rsid w:val="001C4B49"/>
    <w:rsid w:val="001C4EC5"/>
    <w:rsid w:val="001C4EDF"/>
    <w:rsid w:val="001C4FD7"/>
    <w:rsid w:val="001C56F8"/>
    <w:rsid w:val="001C5797"/>
    <w:rsid w:val="001C59C4"/>
    <w:rsid w:val="001C5DC7"/>
    <w:rsid w:val="001C6199"/>
    <w:rsid w:val="001C62E2"/>
    <w:rsid w:val="001C675D"/>
    <w:rsid w:val="001C67AF"/>
    <w:rsid w:val="001C67F7"/>
    <w:rsid w:val="001C69A8"/>
    <w:rsid w:val="001C6CE3"/>
    <w:rsid w:val="001C6F05"/>
    <w:rsid w:val="001C73EF"/>
    <w:rsid w:val="001C74C7"/>
    <w:rsid w:val="001C7574"/>
    <w:rsid w:val="001C75C7"/>
    <w:rsid w:val="001C75F3"/>
    <w:rsid w:val="001C77E7"/>
    <w:rsid w:val="001C786B"/>
    <w:rsid w:val="001C7C3F"/>
    <w:rsid w:val="001C7C89"/>
    <w:rsid w:val="001C7F9D"/>
    <w:rsid w:val="001D0020"/>
    <w:rsid w:val="001D013E"/>
    <w:rsid w:val="001D037A"/>
    <w:rsid w:val="001D03C7"/>
    <w:rsid w:val="001D0485"/>
    <w:rsid w:val="001D0A25"/>
    <w:rsid w:val="001D106D"/>
    <w:rsid w:val="001D1437"/>
    <w:rsid w:val="001D149E"/>
    <w:rsid w:val="001D1533"/>
    <w:rsid w:val="001D18E8"/>
    <w:rsid w:val="001D1C57"/>
    <w:rsid w:val="001D1E5C"/>
    <w:rsid w:val="001D1FC3"/>
    <w:rsid w:val="001D1FF7"/>
    <w:rsid w:val="001D2123"/>
    <w:rsid w:val="001D279F"/>
    <w:rsid w:val="001D2B2E"/>
    <w:rsid w:val="001D2C0A"/>
    <w:rsid w:val="001D2D79"/>
    <w:rsid w:val="001D333D"/>
    <w:rsid w:val="001D335E"/>
    <w:rsid w:val="001D33CE"/>
    <w:rsid w:val="001D38C7"/>
    <w:rsid w:val="001D3D28"/>
    <w:rsid w:val="001D3F97"/>
    <w:rsid w:val="001D3FFA"/>
    <w:rsid w:val="001D41A6"/>
    <w:rsid w:val="001D428C"/>
    <w:rsid w:val="001D43F6"/>
    <w:rsid w:val="001D4607"/>
    <w:rsid w:val="001D481D"/>
    <w:rsid w:val="001D4A0B"/>
    <w:rsid w:val="001D4BFA"/>
    <w:rsid w:val="001D4C54"/>
    <w:rsid w:val="001D4FF4"/>
    <w:rsid w:val="001D5005"/>
    <w:rsid w:val="001D5049"/>
    <w:rsid w:val="001D5134"/>
    <w:rsid w:val="001D519B"/>
    <w:rsid w:val="001D521B"/>
    <w:rsid w:val="001D528C"/>
    <w:rsid w:val="001D54A8"/>
    <w:rsid w:val="001D5ACF"/>
    <w:rsid w:val="001D5B86"/>
    <w:rsid w:val="001D5C34"/>
    <w:rsid w:val="001D5CF7"/>
    <w:rsid w:val="001D6032"/>
    <w:rsid w:val="001D6158"/>
    <w:rsid w:val="001D6345"/>
    <w:rsid w:val="001D6612"/>
    <w:rsid w:val="001D6699"/>
    <w:rsid w:val="001D6AC7"/>
    <w:rsid w:val="001D6B35"/>
    <w:rsid w:val="001D6BCF"/>
    <w:rsid w:val="001D6CE9"/>
    <w:rsid w:val="001D6DE9"/>
    <w:rsid w:val="001D6F81"/>
    <w:rsid w:val="001D708E"/>
    <w:rsid w:val="001D750E"/>
    <w:rsid w:val="001D7530"/>
    <w:rsid w:val="001D7754"/>
    <w:rsid w:val="001D7B56"/>
    <w:rsid w:val="001D7D88"/>
    <w:rsid w:val="001D7EFF"/>
    <w:rsid w:val="001E0006"/>
    <w:rsid w:val="001E001B"/>
    <w:rsid w:val="001E01CA"/>
    <w:rsid w:val="001E02EC"/>
    <w:rsid w:val="001E0314"/>
    <w:rsid w:val="001E04BA"/>
    <w:rsid w:val="001E09C5"/>
    <w:rsid w:val="001E16B0"/>
    <w:rsid w:val="001E1A6F"/>
    <w:rsid w:val="001E1B9D"/>
    <w:rsid w:val="001E1C5A"/>
    <w:rsid w:val="001E1CB8"/>
    <w:rsid w:val="001E23E9"/>
    <w:rsid w:val="001E243F"/>
    <w:rsid w:val="001E26F6"/>
    <w:rsid w:val="001E27E4"/>
    <w:rsid w:val="001E2857"/>
    <w:rsid w:val="001E2B49"/>
    <w:rsid w:val="001E2DB4"/>
    <w:rsid w:val="001E2FA9"/>
    <w:rsid w:val="001E335D"/>
    <w:rsid w:val="001E3779"/>
    <w:rsid w:val="001E3A16"/>
    <w:rsid w:val="001E3BFF"/>
    <w:rsid w:val="001E3FAB"/>
    <w:rsid w:val="001E3FCC"/>
    <w:rsid w:val="001E4158"/>
    <w:rsid w:val="001E418A"/>
    <w:rsid w:val="001E4415"/>
    <w:rsid w:val="001E443B"/>
    <w:rsid w:val="001E4831"/>
    <w:rsid w:val="001E4895"/>
    <w:rsid w:val="001E48E3"/>
    <w:rsid w:val="001E4CDB"/>
    <w:rsid w:val="001E542E"/>
    <w:rsid w:val="001E5450"/>
    <w:rsid w:val="001E5554"/>
    <w:rsid w:val="001E5672"/>
    <w:rsid w:val="001E5D61"/>
    <w:rsid w:val="001E64DB"/>
    <w:rsid w:val="001E6B2C"/>
    <w:rsid w:val="001E6FAF"/>
    <w:rsid w:val="001E72E5"/>
    <w:rsid w:val="001E7554"/>
    <w:rsid w:val="001E75B9"/>
    <w:rsid w:val="001E7723"/>
    <w:rsid w:val="001E7926"/>
    <w:rsid w:val="001E7B55"/>
    <w:rsid w:val="001E7C9C"/>
    <w:rsid w:val="001E7FC9"/>
    <w:rsid w:val="001EAF65"/>
    <w:rsid w:val="001F0220"/>
    <w:rsid w:val="001F0342"/>
    <w:rsid w:val="001F045C"/>
    <w:rsid w:val="001F07F2"/>
    <w:rsid w:val="001F084F"/>
    <w:rsid w:val="001F0B4E"/>
    <w:rsid w:val="001F1407"/>
    <w:rsid w:val="001F1ABC"/>
    <w:rsid w:val="001F1CE2"/>
    <w:rsid w:val="001F1F39"/>
    <w:rsid w:val="001F2107"/>
    <w:rsid w:val="001F29F8"/>
    <w:rsid w:val="001F2C92"/>
    <w:rsid w:val="001F3312"/>
    <w:rsid w:val="001F343C"/>
    <w:rsid w:val="001F34AE"/>
    <w:rsid w:val="001F34AF"/>
    <w:rsid w:val="001F3BAA"/>
    <w:rsid w:val="001F3BC9"/>
    <w:rsid w:val="001F3C5F"/>
    <w:rsid w:val="001F3C6C"/>
    <w:rsid w:val="001F3FBE"/>
    <w:rsid w:val="001F418E"/>
    <w:rsid w:val="001F419F"/>
    <w:rsid w:val="001F41B6"/>
    <w:rsid w:val="001F4255"/>
    <w:rsid w:val="001F4274"/>
    <w:rsid w:val="001F44E8"/>
    <w:rsid w:val="001F4612"/>
    <w:rsid w:val="001F46AD"/>
    <w:rsid w:val="001F4C95"/>
    <w:rsid w:val="001F4FB8"/>
    <w:rsid w:val="001F5018"/>
    <w:rsid w:val="001F54A2"/>
    <w:rsid w:val="001F55A3"/>
    <w:rsid w:val="001F5686"/>
    <w:rsid w:val="001F5B77"/>
    <w:rsid w:val="001F5C9F"/>
    <w:rsid w:val="001F5CF6"/>
    <w:rsid w:val="001F6C61"/>
    <w:rsid w:val="001F6E28"/>
    <w:rsid w:val="001F6E54"/>
    <w:rsid w:val="001F76A2"/>
    <w:rsid w:val="001F76CC"/>
    <w:rsid w:val="001F7802"/>
    <w:rsid w:val="001F7944"/>
    <w:rsid w:val="001F7A12"/>
    <w:rsid w:val="001F7C51"/>
    <w:rsid w:val="001F7D83"/>
    <w:rsid w:val="001F7FB7"/>
    <w:rsid w:val="002005D5"/>
    <w:rsid w:val="00200936"/>
    <w:rsid w:val="00200D3D"/>
    <w:rsid w:val="00200D65"/>
    <w:rsid w:val="00200EFA"/>
    <w:rsid w:val="00200FF2"/>
    <w:rsid w:val="0020111B"/>
    <w:rsid w:val="002016A7"/>
    <w:rsid w:val="002016AE"/>
    <w:rsid w:val="0020194B"/>
    <w:rsid w:val="00201BBD"/>
    <w:rsid w:val="00201DD9"/>
    <w:rsid w:val="00202206"/>
    <w:rsid w:val="00202594"/>
    <w:rsid w:val="00202A1A"/>
    <w:rsid w:val="00202C5F"/>
    <w:rsid w:val="00202E42"/>
    <w:rsid w:val="00203346"/>
    <w:rsid w:val="002033BB"/>
    <w:rsid w:val="00204030"/>
    <w:rsid w:val="00204034"/>
    <w:rsid w:val="00204055"/>
    <w:rsid w:val="00204150"/>
    <w:rsid w:val="002043F8"/>
    <w:rsid w:val="0020452C"/>
    <w:rsid w:val="00204AE9"/>
    <w:rsid w:val="00204B30"/>
    <w:rsid w:val="00205046"/>
    <w:rsid w:val="002059D9"/>
    <w:rsid w:val="00205A0A"/>
    <w:rsid w:val="00205D44"/>
    <w:rsid w:val="00205E0D"/>
    <w:rsid w:val="00205EDE"/>
    <w:rsid w:val="00205EE0"/>
    <w:rsid w:val="00206480"/>
    <w:rsid w:val="002064BC"/>
    <w:rsid w:val="00206746"/>
    <w:rsid w:val="00206904"/>
    <w:rsid w:val="00206ECE"/>
    <w:rsid w:val="0020702F"/>
    <w:rsid w:val="00207150"/>
    <w:rsid w:val="0020721A"/>
    <w:rsid w:val="00207264"/>
    <w:rsid w:val="0020752F"/>
    <w:rsid w:val="0020756D"/>
    <w:rsid w:val="002076D4"/>
    <w:rsid w:val="002076F0"/>
    <w:rsid w:val="0020777E"/>
    <w:rsid w:val="00207952"/>
    <w:rsid w:val="00207AD8"/>
    <w:rsid w:val="00207B63"/>
    <w:rsid w:val="00207CF5"/>
    <w:rsid w:val="00207FB0"/>
    <w:rsid w:val="002102F9"/>
    <w:rsid w:val="0021037F"/>
    <w:rsid w:val="0021038F"/>
    <w:rsid w:val="002104DD"/>
    <w:rsid w:val="002106C7"/>
    <w:rsid w:val="00210A06"/>
    <w:rsid w:val="00210B4D"/>
    <w:rsid w:val="00210F30"/>
    <w:rsid w:val="0021105E"/>
    <w:rsid w:val="002113EF"/>
    <w:rsid w:val="0021151B"/>
    <w:rsid w:val="00211994"/>
    <w:rsid w:val="002119F6"/>
    <w:rsid w:val="00211C15"/>
    <w:rsid w:val="002120CD"/>
    <w:rsid w:val="00213258"/>
    <w:rsid w:val="00213550"/>
    <w:rsid w:val="0021362A"/>
    <w:rsid w:val="00213910"/>
    <w:rsid w:val="00213A4F"/>
    <w:rsid w:val="00213AE2"/>
    <w:rsid w:val="00213EE3"/>
    <w:rsid w:val="00213F00"/>
    <w:rsid w:val="00214067"/>
    <w:rsid w:val="002140B0"/>
    <w:rsid w:val="0021455D"/>
    <w:rsid w:val="0021458B"/>
    <w:rsid w:val="002148D3"/>
    <w:rsid w:val="00214997"/>
    <w:rsid w:val="00214CB1"/>
    <w:rsid w:val="00214FA4"/>
    <w:rsid w:val="002151B5"/>
    <w:rsid w:val="002154B2"/>
    <w:rsid w:val="002154CA"/>
    <w:rsid w:val="002156FE"/>
    <w:rsid w:val="00215E01"/>
    <w:rsid w:val="002160E9"/>
    <w:rsid w:val="00216190"/>
    <w:rsid w:val="002165F3"/>
    <w:rsid w:val="002165FF"/>
    <w:rsid w:val="00216673"/>
    <w:rsid w:val="002168E7"/>
    <w:rsid w:val="00216E73"/>
    <w:rsid w:val="00216F30"/>
    <w:rsid w:val="00216FCE"/>
    <w:rsid w:val="00216FCF"/>
    <w:rsid w:val="002170D0"/>
    <w:rsid w:val="002170D5"/>
    <w:rsid w:val="0021740A"/>
    <w:rsid w:val="002175D7"/>
    <w:rsid w:val="00217630"/>
    <w:rsid w:val="002176A8"/>
    <w:rsid w:val="002176DB"/>
    <w:rsid w:val="00217EAD"/>
    <w:rsid w:val="00217F62"/>
    <w:rsid w:val="00220011"/>
    <w:rsid w:val="002200E5"/>
    <w:rsid w:val="002203D6"/>
    <w:rsid w:val="00220419"/>
    <w:rsid w:val="00220581"/>
    <w:rsid w:val="00220636"/>
    <w:rsid w:val="00220A5E"/>
    <w:rsid w:val="00220A66"/>
    <w:rsid w:val="0022128D"/>
    <w:rsid w:val="0022131C"/>
    <w:rsid w:val="002213DE"/>
    <w:rsid w:val="00221E31"/>
    <w:rsid w:val="00221E72"/>
    <w:rsid w:val="00221F03"/>
    <w:rsid w:val="002221BF"/>
    <w:rsid w:val="002221D3"/>
    <w:rsid w:val="002221F2"/>
    <w:rsid w:val="00222556"/>
    <w:rsid w:val="0022272E"/>
    <w:rsid w:val="00222799"/>
    <w:rsid w:val="0022283B"/>
    <w:rsid w:val="0022297C"/>
    <w:rsid w:val="00222CB6"/>
    <w:rsid w:val="00222CFF"/>
    <w:rsid w:val="00222E24"/>
    <w:rsid w:val="00223431"/>
    <w:rsid w:val="002234FB"/>
    <w:rsid w:val="00223B00"/>
    <w:rsid w:val="00223BFD"/>
    <w:rsid w:val="00223E97"/>
    <w:rsid w:val="002240C8"/>
    <w:rsid w:val="0022415B"/>
    <w:rsid w:val="002246CC"/>
    <w:rsid w:val="002247DA"/>
    <w:rsid w:val="002249AB"/>
    <w:rsid w:val="00224DAB"/>
    <w:rsid w:val="00224DCC"/>
    <w:rsid w:val="00225662"/>
    <w:rsid w:val="002257DA"/>
    <w:rsid w:val="00225B1B"/>
    <w:rsid w:val="00225BAA"/>
    <w:rsid w:val="00225C33"/>
    <w:rsid w:val="00225CEC"/>
    <w:rsid w:val="00225F76"/>
    <w:rsid w:val="00226010"/>
    <w:rsid w:val="0022608B"/>
    <w:rsid w:val="002261E0"/>
    <w:rsid w:val="0022656B"/>
    <w:rsid w:val="0022679C"/>
    <w:rsid w:val="00226824"/>
    <w:rsid w:val="002269A7"/>
    <w:rsid w:val="00226D34"/>
    <w:rsid w:val="00226DBC"/>
    <w:rsid w:val="0022733C"/>
    <w:rsid w:val="0022786F"/>
    <w:rsid w:val="00227F5E"/>
    <w:rsid w:val="0022C43C"/>
    <w:rsid w:val="00230007"/>
    <w:rsid w:val="002300AD"/>
    <w:rsid w:val="002300FB"/>
    <w:rsid w:val="0023036F"/>
    <w:rsid w:val="002303AF"/>
    <w:rsid w:val="002308A9"/>
    <w:rsid w:val="0023097C"/>
    <w:rsid w:val="002310DA"/>
    <w:rsid w:val="002311ED"/>
    <w:rsid w:val="00231508"/>
    <w:rsid w:val="00231AB5"/>
    <w:rsid w:val="00231BDA"/>
    <w:rsid w:val="00231BE2"/>
    <w:rsid w:val="00231C1A"/>
    <w:rsid w:val="00231D0B"/>
    <w:rsid w:val="00231DAF"/>
    <w:rsid w:val="00231F6D"/>
    <w:rsid w:val="0023270D"/>
    <w:rsid w:val="00232A63"/>
    <w:rsid w:val="00232CEB"/>
    <w:rsid w:val="00232CF7"/>
    <w:rsid w:val="00232E99"/>
    <w:rsid w:val="00233095"/>
    <w:rsid w:val="002334D8"/>
    <w:rsid w:val="00233767"/>
    <w:rsid w:val="00233D18"/>
    <w:rsid w:val="00233DC6"/>
    <w:rsid w:val="00233DD0"/>
    <w:rsid w:val="00233E4B"/>
    <w:rsid w:val="00234408"/>
    <w:rsid w:val="0023457B"/>
    <w:rsid w:val="00234857"/>
    <w:rsid w:val="00234BFF"/>
    <w:rsid w:val="00234C90"/>
    <w:rsid w:val="00234EB7"/>
    <w:rsid w:val="00234F15"/>
    <w:rsid w:val="00234F84"/>
    <w:rsid w:val="002352B2"/>
    <w:rsid w:val="00235409"/>
    <w:rsid w:val="00235464"/>
    <w:rsid w:val="00235861"/>
    <w:rsid w:val="002358ED"/>
    <w:rsid w:val="00235DB2"/>
    <w:rsid w:val="00235DB9"/>
    <w:rsid w:val="00235FF5"/>
    <w:rsid w:val="00236393"/>
    <w:rsid w:val="002363FB"/>
    <w:rsid w:val="00236831"/>
    <w:rsid w:val="002369AE"/>
    <w:rsid w:val="00236A4B"/>
    <w:rsid w:val="00236BC3"/>
    <w:rsid w:val="00236D3D"/>
    <w:rsid w:val="0023700C"/>
    <w:rsid w:val="00237620"/>
    <w:rsid w:val="00237884"/>
    <w:rsid w:val="00237AFF"/>
    <w:rsid w:val="00237B46"/>
    <w:rsid w:val="00237B4A"/>
    <w:rsid w:val="00237BF0"/>
    <w:rsid w:val="00237CB7"/>
    <w:rsid w:val="0023A0E1"/>
    <w:rsid w:val="002402B6"/>
    <w:rsid w:val="002402C2"/>
    <w:rsid w:val="00240549"/>
    <w:rsid w:val="0024058D"/>
    <w:rsid w:val="00240932"/>
    <w:rsid w:val="00240B72"/>
    <w:rsid w:val="00240D9B"/>
    <w:rsid w:val="00240F7C"/>
    <w:rsid w:val="00241331"/>
    <w:rsid w:val="0024194E"/>
    <w:rsid w:val="00241E1C"/>
    <w:rsid w:val="00242020"/>
    <w:rsid w:val="002425FD"/>
    <w:rsid w:val="00242937"/>
    <w:rsid w:val="00242A3E"/>
    <w:rsid w:val="00242D14"/>
    <w:rsid w:val="0024306D"/>
    <w:rsid w:val="00243087"/>
    <w:rsid w:val="0024321D"/>
    <w:rsid w:val="00243717"/>
    <w:rsid w:val="00243DF8"/>
    <w:rsid w:val="002441CB"/>
    <w:rsid w:val="00244B08"/>
    <w:rsid w:val="0024512F"/>
    <w:rsid w:val="00245372"/>
    <w:rsid w:val="00245494"/>
    <w:rsid w:val="00245735"/>
    <w:rsid w:val="00245D54"/>
    <w:rsid w:val="00245FD9"/>
    <w:rsid w:val="00246479"/>
    <w:rsid w:val="0024648D"/>
    <w:rsid w:val="002466A6"/>
    <w:rsid w:val="0024672D"/>
    <w:rsid w:val="00246A5B"/>
    <w:rsid w:val="00246C39"/>
    <w:rsid w:val="00246D21"/>
    <w:rsid w:val="00246FA9"/>
    <w:rsid w:val="00247926"/>
    <w:rsid w:val="0025018F"/>
    <w:rsid w:val="002505E5"/>
    <w:rsid w:val="002505EB"/>
    <w:rsid w:val="0025068B"/>
    <w:rsid w:val="00250A0D"/>
    <w:rsid w:val="00250A93"/>
    <w:rsid w:val="00250C5B"/>
    <w:rsid w:val="00250F62"/>
    <w:rsid w:val="00251720"/>
    <w:rsid w:val="00251A21"/>
    <w:rsid w:val="00251D1C"/>
    <w:rsid w:val="00251DB4"/>
    <w:rsid w:val="00251DEB"/>
    <w:rsid w:val="00251F2B"/>
    <w:rsid w:val="0025249B"/>
    <w:rsid w:val="002527CF"/>
    <w:rsid w:val="0025285D"/>
    <w:rsid w:val="00252B88"/>
    <w:rsid w:val="00252BB9"/>
    <w:rsid w:val="00252C92"/>
    <w:rsid w:val="00252DBF"/>
    <w:rsid w:val="00252E78"/>
    <w:rsid w:val="00252F90"/>
    <w:rsid w:val="002530B3"/>
    <w:rsid w:val="00253171"/>
    <w:rsid w:val="002532F8"/>
    <w:rsid w:val="002533EA"/>
    <w:rsid w:val="00253621"/>
    <w:rsid w:val="002537C9"/>
    <w:rsid w:val="00253805"/>
    <w:rsid w:val="00253A13"/>
    <w:rsid w:val="00253AAD"/>
    <w:rsid w:val="00253FF6"/>
    <w:rsid w:val="002540AA"/>
    <w:rsid w:val="002540CE"/>
    <w:rsid w:val="00254213"/>
    <w:rsid w:val="00254222"/>
    <w:rsid w:val="00254346"/>
    <w:rsid w:val="002547B5"/>
    <w:rsid w:val="00254892"/>
    <w:rsid w:val="00254DBF"/>
    <w:rsid w:val="0025518A"/>
    <w:rsid w:val="00255211"/>
    <w:rsid w:val="002553D3"/>
    <w:rsid w:val="00255577"/>
    <w:rsid w:val="002555BB"/>
    <w:rsid w:val="002558E2"/>
    <w:rsid w:val="00255933"/>
    <w:rsid w:val="00255E1A"/>
    <w:rsid w:val="00255E4C"/>
    <w:rsid w:val="0025606D"/>
    <w:rsid w:val="002560E1"/>
    <w:rsid w:val="002561F4"/>
    <w:rsid w:val="00256998"/>
    <w:rsid w:val="00256B18"/>
    <w:rsid w:val="00256CB5"/>
    <w:rsid w:val="0025714B"/>
    <w:rsid w:val="002572CB"/>
    <w:rsid w:val="0025757C"/>
    <w:rsid w:val="00257B24"/>
    <w:rsid w:val="00257B8C"/>
    <w:rsid w:val="00257EDC"/>
    <w:rsid w:val="0026002F"/>
    <w:rsid w:val="0026003A"/>
    <w:rsid w:val="00260065"/>
    <w:rsid w:val="00260181"/>
    <w:rsid w:val="0026022F"/>
    <w:rsid w:val="0026083D"/>
    <w:rsid w:val="0026094E"/>
    <w:rsid w:val="0026095C"/>
    <w:rsid w:val="00260ACD"/>
    <w:rsid w:val="00260B09"/>
    <w:rsid w:val="00260BB5"/>
    <w:rsid w:val="00261065"/>
    <w:rsid w:val="00261E0A"/>
    <w:rsid w:val="00261EEE"/>
    <w:rsid w:val="00261F31"/>
    <w:rsid w:val="002622EF"/>
    <w:rsid w:val="002626EC"/>
    <w:rsid w:val="00262A20"/>
    <w:rsid w:val="00262CAF"/>
    <w:rsid w:val="00262E3E"/>
    <w:rsid w:val="002630EB"/>
    <w:rsid w:val="0026391C"/>
    <w:rsid w:val="00263A0A"/>
    <w:rsid w:val="00264C3B"/>
    <w:rsid w:val="00264D06"/>
    <w:rsid w:val="002652AE"/>
    <w:rsid w:val="00265B1A"/>
    <w:rsid w:val="0026606E"/>
    <w:rsid w:val="0026627A"/>
    <w:rsid w:val="0026636A"/>
    <w:rsid w:val="0026639F"/>
    <w:rsid w:val="0026646F"/>
    <w:rsid w:val="002664B6"/>
    <w:rsid w:val="002664D4"/>
    <w:rsid w:val="0026671E"/>
    <w:rsid w:val="002669CC"/>
    <w:rsid w:val="00267019"/>
    <w:rsid w:val="0026722C"/>
    <w:rsid w:val="00267816"/>
    <w:rsid w:val="00267AAD"/>
    <w:rsid w:val="00267FFB"/>
    <w:rsid w:val="0026A51A"/>
    <w:rsid w:val="00270088"/>
    <w:rsid w:val="002701DC"/>
    <w:rsid w:val="00270260"/>
    <w:rsid w:val="002702DA"/>
    <w:rsid w:val="00270456"/>
    <w:rsid w:val="00270623"/>
    <w:rsid w:val="002706AB"/>
    <w:rsid w:val="002706B0"/>
    <w:rsid w:val="002707CF"/>
    <w:rsid w:val="002708DB"/>
    <w:rsid w:val="00270906"/>
    <w:rsid w:val="0027094E"/>
    <w:rsid w:val="00270951"/>
    <w:rsid w:val="002709FB"/>
    <w:rsid w:val="00270A45"/>
    <w:rsid w:val="00271212"/>
    <w:rsid w:val="0027124A"/>
    <w:rsid w:val="00271273"/>
    <w:rsid w:val="0027156E"/>
    <w:rsid w:val="00271903"/>
    <w:rsid w:val="00271A4E"/>
    <w:rsid w:val="00271AA3"/>
    <w:rsid w:val="00271B9C"/>
    <w:rsid w:val="00271C62"/>
    <w:rsid w:val="00271E60"/>
    <w:rsid w:val="00272605"/>
    <w:rsid w:val="0027271A"/>
    <w:rsid w:val="002728DF"/>
    <w:rsid w:val="002728E5"/>
    <w:rsid w:val="00272F3A"/>
    <w:rsid w:val="00273099"/>
    <w:rsid w:val="002731F1"/>
    <w:rsid w:val="002732A5"/>
    <w:rsid w:val="002736C4"/>
    <w:rsid w:val="0027386A"/>
    <w:rsid w:val="0027387F"/>
    <w:rsid w:val="00273B03"/>
    <w:rsid w:val="00273D45"/>
    <w:rsid w:val="00273E04"/>
    <w:rsid w:val="00273E4F"/>
    <w:rsid w:val="00273EB4"/>
    <w:rsid w:val="002742CF"/>
    <w:rsid w:val="002746CD"/>
    <w:rsid w:val="0027480D"/>
    <w:rsid w:val="00275192"/>
    <w:rsid w:val="00275862"/>
    <w:rsid w:val="00275A07"/>
    <w:rsid w:val="00275B59"/>
    <w:rsid w:val="00275B96"/>
    <w:rsid w:val="00275CF5"/>
    <w:rsid w:val="002761CB"/>
    <w:rsid w:val="00276342"/>
    <w:rsid w:val="002769E8"/>
    <w:rsid w:val="00276C6E"/>
    <w:rsid w:val="00276D63"/>
    <w:rsid w:val="00276F35"/>
    <w:rsid w:val="002773DF"/>
    <w:rsid w:val="00277706"/>
    <w:rsid w:val="002779E6"/>
    <w:rsid w:val="00277BBC"/>
    <w:rsid w:val="00280069"/>
    <w:rsid w:val="002803DE"/>
    <w:rsid w:val="002803EE"/>
    <w:rsid w:val="0028089A"/>
    <w:rsid w:val="00280972"/>
    <w:rsid w:val="00280B63"/>
    <w:rsid w:val="00280F64"/>
    <w:rsid w:val="0028137E"/>
    <w:rsid w:val="002813F5"/>
    <w:rsid w:val="002815A7"/>
    <w:rsid w:val="00281684"/>
    <w:rsid w:val="00281872"/>
    <w:rsid w:val="00281F20"/>
    <w:rsid w:val="00282064"/>
    <w:rsid w:val="0028280D"/>
    <w:rsid w:val="00282BFA"/>
    <w:rsid w:val="00282E4A"/>
    <w:rsid w:val="00282EFA"/>
    <w:rsid w:val="0028301F"/>
    <w:rsid w:val="00283484"/>
    <w:rsid w:val="00283582"/>
    <w:rsid w:val="0028393C"/>
    <w:rsid w:val="00284247"/>
    <w:rsid w:val="00284EE5"/>
    <w:rsid w:val="00285017"/>
    <w:rsid w:val="002850B1"/>
    <w:rsid w:val="002855D6"/>
    <w:rsid w:val="0028582B"/>
    <w:rsid w:val="00285E71"/>
    <w:rsid w:val="00285F71"/>
    <w:rsid w:val="0028610D"/>
    <w:rsid w:val="002862CA"/>
    <w:rsid w:val="002863FF"/>
    <w:rsid w:val="00286423"/>
    <w:rsid w:val="0028682E"/>
    <w:rsid w:val="00286CA4"/>
    <w:rsid w:val="00286D86"/>
    <w:rsid w:val="002873EC"/>
    <w:rsid w:val="00287635"/>
    <w:rsid w:val="002877AD"/>
    <w:rsid w:val="00287CA0"/>
    <w:rsid w:val="00287E3D"/>
    <w:rsid w:val="00287F10"/>
    <w:rsid w:val="00290132"/>
    <w:rsid w:val="002903F1"/>
    <w:rsid w:val="002903FD"/>
    <w:rsid w:val="0029096F"/>
    <w:rsid w:val="00290A9C"/>
    <w:rsid w:val="00290BF7"/>
    <w:rsid w:val="00290F81"/>
    <w:rsid w:val="002910A2"/>
    <w:rsid w:val="00291684"/>
    <w:rsid w:val="00291746"/>
    <w:rsid w:val="002917EC"/>
    <w:rsid w:val="00291E86"/>
    <w:rsid w:val="00292269"/>
    <w:rsid w:val="00292DFF"/>
    <w:rsid w:val="00292F17"/>
    <w:rsid w:val="0029316A"/>
    <w:rsid w:val="002935F4"/>
    <w:rsid w:val="002936A2"/>
    <w:rsid w:val="00293810"/>
    <w:rsid w:val="00293B5E"/>
    <w:rsid w:val="00293BD1"/>
    <w:rsid w:val="00294359"/>
    <w:rsid w:val="00294409"/>
    <w:rsid w:val="00294605"/>
    <w:rsid w:val="0029480B"/>
    <w:rsid w:val="00294AF0"/>
    <w:rsid w:val="00294C02"/>
    <w:rsid w:val="00294FEA"/>
    <w:rsid w:val="00295025"/>
    <w:rsid w:val="00295383"/>
    <w:rsid w:val="0029550F"/>
    <w:rsid w:val="0029555D"/>
    <w:rsid w:val="002959D8"/>
    <w:rsid w:val="00295ABB"/>
    <w:rsid w:val="00295BF6"/>
    <w:rsid w:val="0029607D"/>
    <w:rsid w:val="00296450"/>
    <w:rsid w:val="00297404"/>
    <w:rsid w:val="002978DE"/>
    <w:rsid w:val="00297999"/>
    <w:rsid w:val="00297C0A"/>
    <w:rsid w:val="00297C0D"/>
    <w:rsid w:val="00297C6E"/>
    <w:rsid w:val="00297DA6"/>
    <w:rsid w:val="0029C618"/>
    <w:rsid w:val="002A00FA"/>
    <w:rsid w:val="002A0140"/>
    <w:rsid w:val="002A03D1"/>
    <w:rsid w:val="002A03EE"/>
    <w:rsid w:val="002A07B9"/>
    <w:rsid w:val="002A084F"/>
    <w:rsid w:val="002A0894"/>
    <w:rsid w:val="002A0AE7"/>
    <w:rsid w:val="002A0BA9"/>
    <w:rsid w:val="002A12BD"/>
    <w:rsid w:val="002A1838"/>
    <w:rsid w:val="002A1A5F"/>
    <w:rsid w:val="002A1C03"/>
    <w:rsid w:val="002A2235"/>
    <w:rsid w:val="002A242E"/>
    <w:rsid w:val="002A284A"/>
    <w:rsid w:val="002A2AE3"/>
    <w:rsid w:val="002A2D2E"/>
    <w:rsid w:val="002A368A"/>
    <w:rsid w:val="002A36B0"/>
    <w:rsid w:val="002A37B3"/>
    <w:rsid w:val="002A3BE3"/>
    <w:rsid w:val="002A3EFB"/>
    <w:rsid w:val="002A41EC"/>
    <w:rsid w:val="002A430B"/>
    <w:rsid w:val="002A44ED"/>
    <w:rsid w:val="002A4856"/>
    <w:rsid w:val="002A49D8"/>
    <w:rsid w:val="002A4A66"/>
    <w:rsid w:val="002A4B39"/>
    <w:rsid w:val="002A4BEE"/>
    <w:rsid w:val="002A4DAB"/>
    <w:rsid w:val="002A503C"/>
    <w:rsid w:val="002A50EB"/>
    <w:rsid w:val="002A528E"/>
    <w:rsid w:val="002A5465"/>
    <w:rsid w:val="002A55F6"/>
    <w:rsid w:val="002A586C"/>
    <w:rsid w:val="002A5A55"/>
    <w:rsid w:val="002A5D30"/>
    <w:rsid w:val="002A5D94"/>
    <w:rsid w:val="002A6125"/>
    <w:rsid w:val="002A627C"/>
    <w:rsid w:val="002A6808"/>
    <w:rsid w:val="002A6CD5"/>
    <w:rsid w:val="002A6E04"/>
    <w:rsid w:val="002A6F75"/>
    <w:rsid w:val="002A7103"/>
    <w:rsid w:val="002A7270"/>
    <w:rsid w:val="002A76A6"/>
    <w:rsid w:val="002A76C7"/>
    <w:rsid w:val="002A777D"/>
    <w:rsid w:val="002A77BD"/>
    <w:rsid w:val="002A77CB"/>
    <w:rsid w:val="002A7AA5"/>
    <w:rsid w:val="002A7C18"/>
    <w:rsid w:val="002B00F3"/>
    <w:rsid w:val="002B05BA"/>
    <w:rsid w:val="002B066B"/>
    <w:rsid w:val="002B098F"/>
    <w:rsid w:val="002B0AC6"/>
    <w:rsid w:val="002B0AF4"/>
    <w:rsid w:val="002B0C39"/>
    <w:rsid w:val="002B0D77"/>
    <w:rsid w:val="002B0E14"/>
    <w:rsid w:val="002B10AC"/>
    <w:rsid w:val="002B111A"/>
    <w:rsid w:val="002B1608"/>
    <w:rsid w:val="002B1741"/>
    <w:rsid w:val="002B1756"/>
    <w:rsid w:val="002B17B6"/>
    <w:rsid w:val="002B1875"/>
    <w:rsid w:val="002B194E"/>
    <w:rsid w:val="002B1951"/>
    <w:rsid w:val="002B1D61"/>
    <w:rsid w:val="002B1EB3"/>
    <w:rsid w:val="002B1F0A"/>
    <w:rsid w:val="002B2735"/>
    <w:rsid w:val="002B2876"/>
    <w:rsid w:val="002B28F9"/>
    <w:rsid w:val="002B2B23"/>
    <w:rsid w:val="002B2E22"/>
    <w:rsid w:val="002B2EC5"/>
    <w:rsid w:val="002B2FE0"/>
    <w:rsid w:val="002B305A"/>
    <w:rsid w:val="002B36E3"/>
    <w:rsid w:val="002B3B37"/>
    <w:rsid w:val="002B3FF8"/>
    <w:rsid w:val="002B4477"/>
    <w:rsid w:val="002B4495"/>
    <w:rsid w:val="002B4842"/>
    <w:rsid w:val="002B4BDE"/>
    <w:rsid w:val="002B4CC8"/>
    <w:rsid w:val="002B4E1B"/>
    <w:rsid w:val="002B4F95"/>
    <w:rsid w:val="002B54AB"/>
    <w:rsid w:val="002B584A"/>
    <w:rsid w:val="002B5A8D"/>
    <w:rsid w:val="002B5B4A"/>
    <w:rsid w:val="002B6200"/>
    <w:rsid w:val="002B67C6"/>
    <w:rsid w:val="002B6898"/>
    <w:rsid w:val="002B6CA0"/>
    <w:rsid w:val="002B733B"/>
    <w:rsid w:val="002B73AF"/>
    <w:rsid w:val="002B75B2"/>
    <w:rsid w:val="002B7FFE"/>
    <w:rsid w:val="002C00E8"/>
    <w:rsid w:val="002C022B"/>
    <w:rsid w:val="002C050B"/>
    <w:rsid w:val="002C06D5"/>
    <w:rsid w:val="002C0834"/>
    <w:rsid w:val="002C085F"/>
    <w:rsid w:val="002C0B0C"/>
    <w:rsid w:val="002C0EDA"/>
    <w:rsid w:val="002C0F75"/>
    <w:rsid w:val="002C115A"/>
    <w:rsid w:val="002C17A4"/>
    <w:rsid w:val="002C17ED"/>
    <w:rsid w:val="002C189E"/>
    <w:rsid w:val="002C1E55"/>
    <w:rsid w:val="002C1F3C"/>
    <w:rsid w:val="002C1F62"/>
    <w:rsid w:val="002C2069"/>
    <w:rsid w:val="002C2120"/>
    <w:rsid w:val="002C25B7"/>
    <w:rsid w:val="002C264C"/>
    <w:rsid w:val="002C2BF7"/>
    <w:rsid w:val="002C3243"/>
    <w:rsid w:val="002C34E0"/>
    <w:rsid w:val="002C365F"/>
    <w:rsid w:val="002C3913"/>
    <w:rsid w:val="002C3B20"/>
    <w:rsid w:val="002C3DDF"/>
    <w:rsid w:val="002C42F6"/>
    <w:rsid w:val="002C431A"/>
    <w:rsid w:val="002C47BC"/>
    <w:rsid w:val="002C4870"/>
    <w:rsid w:val="002C4B99"/>
    <w:rsid w:val="002C4BB8"/>
    <w:rsid w:val="002C4EC1"/>
    <w:rsid w:val="002C5009"/>
    <w:rsid w:val="002C5073"/>
    <w:rsid w:val="002C50F2"/>
    <w:rsid w:val="002C56D5"/>
    <w:rsid w:val="002C58DB"/>
    <w:rsid w:val="002C5A50"/>
    <w:rsid w:val="002C5A7E"/>
    <w:rsid w:val="002C605D"/>
    <w:rsid w:val="002C6772"/>
    <w:rsid w:val="002C6A13"/>
    <w:rsid w:val="002C6AEB"/>
    <w:rsid w:val="002C6B05"/>
    <w:rsid w:val="002C6F37"/>
    <w:rsid w:val="002C6FB0"/>
    <w:rsid w:val="002C7127"/>
    <w:rsid w:val="002C71F1"/>
    <w:rsid w:val="002C73B1"/>
    <w:rsid w:val="002C744E"/>
    <w:rsid w:val="002C7473"/>
    <w:rsid w:val="002C752E"/>
    <w:rsid w:val="002C7936"/>
    <w:rsid w:val="002C7A09"/>
    <w:rsid w:val="002C7B34"/>
    <w:rsid w:val="002C7CEE"/>
    <w:rsid w:val="002C7FBF"/>
    <w:rsid w:val="002D0308"/>
    <w:rsid w:val="002D05EF"/>
    <w:rsid w:val="002D070D"/>
    <w:rsid w:val="002D0EF3"/>
    <w:rsid w:val="002D0EF8"/>
    <w:rsid w:val="002D120A"/>
    <w:rsid w:val="002D1432"/>
    <w:rsid w:val="002D178F"/>
    <w:rsid w:val="002D17E3"/>
    <w:rsid w:val="002D188D"/>
    <w:rsid w:val="002D1968"/>
    <w:rsid w:val="002D1DA0"/>
    <w:rsid w:val="002D1DFE"/>
    <w:rsid w:val="002D1E0E"/>
    <w:rsid w:val="002D1EB2"/>
    <w:rsid w:val="002D247B"/>
    <w:rsid w:val="002D2837"/>
    <w:rsid w:val="002D2AF7"/>
    <w:rsid w:val="002D2F3B"/>
    <w:rsid w:val="002D2F82"/>
    <w:rsid w:val="002D3304"/>
    <w:rsid w:val="002D35F6"/>
    <w:rsid w:val="002D37DD"/>
    <w:rsid w:val="002D3905"/>
    <w:rsid w:val="002D3949"/>
    <w:rsid w:val="002D3C8F"/>
    <w:rsid w:val="002D41E2"/>
    <w:rsid w:val="002D452F"/>
    <w:rsid w:val="002D463E"/>
    <w:rsid w:val="002D471F"/>
    <w:rsid w:val="002D4ACB"/>
    <w:rsid w:val="002D4C18"/>
    <w:rsid w:val="002D4C39"/>
    <w:rsid w:val="002D4C73"/>
    <w:rsid w:val="002D4CD0"/>
    <w:rsid w:val="002D54E0"/>
    <w:rsid w:val="002D55B1"/>
    <w:rsid w:val="002D5656"/>
    <w:rsid w:val="002D57DC"/>
    <w:rsid w:val="002D57E7"/>
    <w:rsid w:val="002D5945"/>
    <w:rsid w:val="002D5CBA"/>
    <w:rsid w:val="002D5F23"/>
    <w:rsid w:val="002D6704"/>
    <w:rsid w:val="002D6874"/>
    <w:rsid w:val="002D6D40"/>
    <w:rsid w:val="002D6F95"/>
    <w:rsid w:val="002D73C6"/>
    <w:rsid w:val="002D7495"/>
    <w:rsid w:val="002D7764"/>
    <w:rsid w:val="002D798E"/>
    <w:rsid w:val="002D79E2"/>
    <w:rsid w:val="002D7B66"/>
    <w:rsid w:val="002D7EEB"/>
    <w:rsid w:val="002E025A"/>
    <w:rsid w:val="002E04D7"/>
    <w:rsid w:val="002E0617"/>
    <w:rsid w:val="002E0AF1"/>
    <w:rsid w:val="002E0C4A"/>
    <w:rsid w:val="002E0C9A"/>
    <w:rsid w:val="002E0CD2"/>
    <w:rsid w:val="002E1364"/>
    <w:rsid w:val="002E1748"/>
    <w:rsid w:val="002E1B4C"/>
    <w:rsid w:val="002E1B55"/>
    <w:rsid w:val="002E1DA6"/>
    <w:rsid w:val="002E27C1"/>
    <w:rsid w:val="002E28AA"/>
    <w:rsid w:val="002E2BFA"/>
    <w:rsid w:val="002E2DF2"/>
    <w:rsid w:val="002E2DF5"/>
    <w:rsid w:val="002E2EBF"/>
    <w:rsid w:val="002E3206"/>
    <w:rsid w:val="002E338B"/>
    <w:rsid w:val="002E35D3"/>
    <w:rsid w:val="002E37C3"/>
    <w:rsid w:val="002E390B"/>
    <w:rsid w:val="002E3934"/>
    <w:rsid w:val="002E409A"/>
    <w:rsid w:val="002E4770"/>
    <w:rsid w:val="002E4858"/>
    <w:rsid w:val="002E4938"/>
    <w:rsid w:val="002E4A1D"/>
    <w:rsid w:val="002E4C39"/>
    <w:rsid w:val="002E50D6"/>
    <w:rsid w:val="002E51AE"/>
    <w:rsid w:val="002E522C"/>
    <w:rsid w:val="002E58B4"/>
    <w:rsid w:val="002E5955"/>
    <w:rsid w:val="002E5A78"/>
    <w:rsid w:val="002E5ECF"/>
    <w:rsid w:val="002E5F1D"/>
    <w:rsid w:val="002E5F72"/>
    <w:rsid w:val="002E6071"/>
    <w:rsid w:val="002E6170"/>
    <w:rsid w:val="002E628A"/>
    <w:rsid w:val="002E62C4"/>
    <w:rsid w:val="002E6BF4"/>
    <w:rsid w:val="002E6CD4"/>
    <w:rsid w:val="002E6E9C"/>
    <w:rsid w:val="002E7186"/>
    <w:rsid w:val="002E71A5"/>
    <w:rsid w:val="002E7447"/>
    <w:rsid w:val="002E75A3"/>
    <w:rsid w:val="002E7A44"/>
    <w:rsid w:val="002E7A53"/>
    <w:rsid w:val="002E7B46"/>
    <w:rsid w:val="002E7BBE"/>
    <w:rsid w:val="002E7C79"/>
    <w:rsid w:val="002E7C97"/>
    <w:rsid w:val="002E7FCA"/>
    <w:rsid w:val="002F014B"/>
    <w:rsid w:val="002F0368"/>
    <w:rsid w:val="002F06A2"/>
    <w:rsid w:val="002F07BA"/>
    <w:rsid w:val="002F0873"/>
    <w:rsid w:val="002F0880"/>
    <w:rsid w:val="002F0A0A"/>
    <w:rsid w:val="002F0DAE"/>
    <w:rsid w:val="002F0E65"/>
    <w:rsid w:val="002F0E84"/>
    <w:rsid w:val="002F0F64"/>
    <w:rsid w:val="002F0FF4"/>
    <w:rsid w:val="002F1177"/>
    <w:rsid w:val="002F119B"/>
    <w:rsid w:val="002F1490"/>
    <w:rsid w:val="002F2354"/>
    <w:rsid w:val="002F2455"/>
    <w:rsid w:val="002F27DE"/>
    <w:rsid w:val="002F2AAF"/>
    <w:rsid w:val="002F2AB4"/>
    <w:rsid w:val="002F2E6D"/>
    <w:rsid w:val="002F2F8C"/>
    <w:rsid w:val="002F3567"/>
    <w:rsid w:val="002F35B1"/>
    <w:rsid w:val="002F38CE"/>
    <w:rsid w:val="002F3BA7"/>
    <w:rsid w:val="002F4280"/>
    <w:rsid w:val="002F4788"/>
    <w:rsid w:val="002F48CA"/>
    <w:rsid w:val="002F4A87"/>
    <w:rsid w:val="002F4B25"/>
    <w:rsid w:val="002F4D60"/>
    <w:rsid w:val="002F4F96"/>
    <w:rsid w:val="002F51F3"/>
    <w:rsid w:val="002F567D"/>
    <w:rsid w:val="002F56AC"/>
    <w:rsid w:val="002F573C"/>
    <w:rsid w:val="002F5A42"/>
    <w:rsid w:val="002F5AF6"/>
    <w:rsid w:val="002F5FDE"/>
    <w:rsid w:val="002F61AD"/>
    <w:rsid w:val="002F6C05"/>
    <w:rsid w:val="002F6CAC"/>
    <w:rsid w:val="002F6DF2"/>
    <w:rsid w:val="002F6FEC"/>
    <w:rsid w:val="002F7169"/>
    <w:rsid w:val="002F72D1"/>
    <w:rsid w:val="002F75E6"/>
    <w:rsid w:val="002F7B4B"/>
    <w:rsid w:val="002F7B6F"/>
    <w:rsid w:val="002FC0F3"/>
    <w:rsid w:val="00300347"/>
    <w:rsid w:val="00300370"/>
    <w:rsid w:val="00300406"/>
    <w:rsid w:val="003005F4"/>
    <w:rsid w:val="00300A5F"/>
    <w:rsid w:val="00300F43"/>
    <w:rsid w:val="0030143F"/>
    <w:rsid w:val="0030151C"/>
    <w:rsid w:val="003017A7"/>
    <w:rsid w:val="0030184B"/>
    <w:rsid w:val="00301B81"/>
    <w:rsid w:val="00301C02"/>
    <w:rsid w:val="0030230D"/>
    <w:rsid w:val="00302386"/>
    <w:rsid w:val="003025BB"/>
    <w:rsid w:val="00302A8E"/>
    <w:rsid w:val="00302D36"/>
    <w:rsid w:val="00302E9C"/>
    <w:rsid w:val="003031C2"/>
    <w:rsid w:val="0030367C"/>
    <w:rsid w:val="003036A4"/>
    <w:rsid w:val="003038F2"/>
    <w:rsid w:val="00303C5F"/>
    <w:rsid w:val="00303D1B"/>
    <w:rsid w:val="00304052"/>
    <w:rsid w:val="003041FC"/>
    <w:rsid w:val="00304616"/>
    <w:rsid w:val="00304DD4"/>
    <w:rsid w:val="00305067"/>
    <w:rsid w:val="0030527C"/>
    <w:rsid w:val="0030562C"/>
    <w:rsid w:val="00305721"/>
    <w:rsid w:val="003059C2"/>
    <w:rsid w:val="00305B55"/>
    <w:rsid w:val="00305D51"/>
    <w:rsid w:val="00305D7C"/>
    <w:rsid w:val="00305D8C"/>
    <w:rsid w:val="00305E50"/>
    <w:rsid w:val="00306112"/>
    <w:rsid w:val="00306487"/>
    <w:rsid w:val="00306555"/>
    <w:rsid w:val="00306577"/>
    <w:rsid w:val="003067CE"/>
    <w:rsid w:val="003068A5"/>
    <w:rsid w:val="003068EF"/>
    <w:rsid w:val="00306977"/>
    <w:rsid w:val="003069A0"/>
    <w:rsid w:val="00306BF2"/>
    <w:rsid w:val="00307297"/>
    <w:rsid w:val="00307559"/>
    <w:rsid w:val="00307B72"/>
    <w:rsid w:val="00307DBE"/>
    <w:rsid w:val="00310049"/>
    <w:rsid w:val="00310050"/>
    <w:rsid w:val="003101E5"/>
    <w:rsid w:val="003106CE"/>
    <w:rsid w:val="00310904"/>
    <w:rsid w:val="0031095B"/>
    <w:rsid w:val="00310D8A"/>
    <w:rsid w:val="00310F09"/>
    <w:rsid w:val="0031103F"/>
    <w:rsid w:val="0031114D"/>
    <w:rsid w:val="003113C7"/>
    <w:rsid w:val="003121A8"/>
    <w:rsid w:val="003124CB"/>
    <w:rsid w:val="00312D16"/>
    <w:rsid w:val="00312DA4"/>
    <w:rsid w:val="00312F76"/>
    <w:rsid w:val="00313738"/>
    <w:rsid w:val="003138E5"/>
    <w:rsid w:val="00313921"/>
    <w:rsid w:val="00313D10"/>
    <w:rsid w:val="00313E5D"/>
    <w:rsid w:val="003141D0"/>
    <w:rsid w:val="00314393"/>
    <w:rsid w:val="003145F7"/>
    <w:rsid w:val="00314878"/>
    <w:rsid w:val="00314933"/>
    <w:rsid w:val="00314AB4"/>
    <w:rsid w:val="00314B5F"/>
    <w:rsid w:val="00314D7D"/>
    <w:rsid w:val="00314DF5"/>
    <w:rsid w:val="00314EE9"/>
    <w:rsid w:val="003152A6"/>
    <w:rsid w:val="003152AE"/>
    <w:rsid w:val="0031534A"/>
    <w:rsid w:val="003154F5"/>
    <w:rsid w:val="003159F9"/>
    <w:rsid w:val="00315A11"/>
    <w:rsid w:val="00315C3A"/>
    <w:rsid w:val="00316579"/>
    <w:rsid w:val="00316663"/>
    <w:rsid w:val="00316829"/>
    <w:rsid w:val="003168C8"/>
    <w:rsid w:val="00316D2E"/>
    <w:rsid w:val="00316EB3"/>
    <w:rsid w:val="00317293"/>
    <w:rsid w:val="00317437"/>
    <w:rsid w:val="0031748F"/>
    <w:rsid w:val="003177FC"/>
    <w:rsid w:val="00317A85"/>
    <w:rsid w:val="00317FAC"/>
    <w:rsid w:val="00320007"/>
    <w:rsid w:val="0032045F"/>
    <w:rsid w:val="003204D3"/>
    <w:rsid w:val="00320B48"/>
    <w:rsid w:val="00320D2E"/>
    <w:rsid w:val="0032100E"/>
    <w:rsid w:val="003212A9"/>
    <w:rsid w:val="00321351"/>
    <w:rsid w:val="00321499"/>
    <w:rsid w:val="00321795"/>
    <w:rsid w:val="00321B0B"/>
    <w:rsid w:val="00321E67"/>
    <w:rsid w:val="00321EA7"/>
    <w:rsid w:val="003223E1"/>
    <w:rsid w:val="003235E7"/>
    <w:rsid w:val="0032371F"/>
    <w:rsid w:val="00323721"/>
    <w:rsid w:val="0032390F"/>
    <w:rsid w:val="00323A69"/>
    <w:rsid w:val="00323B31"/>
    <w:rsid w:val="00323EAB"/>
    <w:rsid w:val="00323F3B"/>
    <w:rsid w:val="00324286"/>
    <w:rsid w:val="00324B63"/>
    <w:rsid w:val="00324C51"/>
    <w:rsid w:val="00324E6A"/>
    <w:rsid w:val="003250BD"/>
    <w:rsid w:val="00325366"/>
    <w:rsid w:val="003253C2"/>
    <w:rsid w:val="003254F8"/>
    <w:rsid w:val="00325533"/>
    <w:rsid w:val="003256EE"/>
    <w:rsid w:val="00325945"/>
    <w:rsid w:val="0032595B"/>
    <w:rsid w:val="003259F9"/>
    <w:rsid w:val="00326154"/>
    <w:rsid w:val="0032673F"/>
    <w:rsid w:val="00326C59"/>
    <w:rsid w:val="00326C5F"/>
    <w:rsid w:val="00327047"/>
    <w:rsid w:val="003270D8"/>
    <w:rsid w:val="003271F1"/>
    <w:rsid w:val="00327201"/>
    <w:rsid w:val="00327297"/>
    <w:rsid w:val="003272CB"/>
    <w:rsid w:val="0032761F"/>
    <w:rsid w:val="00327D38"/>
    <w:rsid w:val="00327EA5"/>
    <w:rsid w:val="00327EF6"/>
    <w:rsid w:val="0033079E"/>
    <w:rsid w:val="003307AE"/>
    <w:rsid w:val="00330D9D"/>
    <w:rsid w:val="00330DBD"/>
    <w:rsid w:val="00330E6A"/>
    <w:rsid w:val="0033105A"/>
    <w:rsid w:val="00331360"/>
    <w:rsid w:val="003315C0"/>
    <w:rsid w:val="003316B8"/>
    <w:rsid w:val="00331770"/>
    <w:rsid w:val="00331881"/>
    <w:rsid w:val="00331A23"/>
    <w:rsid w:val="00331A9F"/>
    <w:rsid w:val="00331B6F"/>
    <w:rsid w:val="00331C2F"/>
    <w:rsid w:val="00332685"/>
    <w:rsid w:val="00332C96"/>
    <w:rsid w:val="00332E4D"/>
    <w:rsid w:val="00333C0B"/>
    <w:rsid w:val="00333C14"/>
    <w:rsid w:val="0033413D"/>
    <w:rsid w:val="003341A4"/>
    <w:rsid w:val="003341B4"/>
    <w:rsid w:val="003344C3"/>
    <w:rsid w:val="0033465B"/>
    <w:rsid w:val="0033470A"/>
    <w:rsid w:val="003347D2"/>
    <w:rsid w:val="00335432"/>
    <w:rsid w:val="00335441"/>
    <w:rsid w:val="0033548D"/>
    <w:rsid w:val="003358A6"/>
    <w:rsid w:val="00335CC6"/>
    <w:rsid w:val="00335DB3"/>
    <w:rsid w:val="00335FE4"/>
    <w:rsid w:val="0033632D"/>
    <w:rsid w:val="003369C3"/>
    <w:rsid w:val="00336A05"/>
    <w:rsid w:val="00336A12"/>
    <w:rsid w:val="00336A5A"/>
    <w:rsid w:val="00336B9E"/>
    <w:rsid w:val="00336E03"/>
    <w:rsid w:val="00336E29"/>
    <w:rsid w:val="003373A5"/>
    <w:rsid w:val="003373B5"/>
    <w:rsid w:val="003373E2"/>
    <w:rsid w:val="003375F0"/>
    <w:rsid w:val="003377D2"/>
    <w:rsid w:val="0033795C"/>
    <w:rsid w:val="00340077"/>
    <w:rsid w:val="0034009A"/>
    <w:rsid w:val="00340105"/>
    <w:rsid w:val="00340501"/>
    <w:rsid w:val="003406B3"/>
    <w:rsid w:val="00340981"/>
    <w:rsid w:val="00340A58"/>
    <w:rsid w:val="00340CE0"/>
    <w:rsid w:val="00340DC3"/>
    <w:rsid w:val="003410F2"/>
    <w:rsid w:val="00341167"/>
    <w:rsid w:val="003412C8"/>
    <w:rsid w:val="00341469"/>
    <w:rsid w:val="0034154A"/>
    <w:rsid w:val="003416E2"/>
    <w:rsid w:val="0034178A"/>
    <w:rsid w:val="003418D3"/>
    <w:rsid w:val="00341A0A"/>
    <w:rsid w:val="00341B98"/>
    <w:rsid w:val="00341CDF"/>
    <w:rsid w:val="00341EEA"/>
    <w:rsid w:val="00341FA6"/>
    <w:rsid w:val="00342563"/>
    <w:rsid w:val="00342581"/>
    <w:rsid w:val="003425BE"/>
    <w:rsid w:val="003425E5"/>
    <w:rsid w:val="0034265C"/>
    <w:rsid w:val="003427C7"/>
    <w:rsid w:val="0034284A"/>
    <w:rsid w:val="003428A0"/>
    <w:rsid w:val="003428E1"/>
    <w:rsid w:val="00342D3B"/>
    <w:rsid w:val="00342E3C"/>
    <w:rsid w:val="00342E7A"/>
    <w:rsid w:val="00343109"/>
    <w:rsid w:val="0034364A"/>
    <w:rsid w:val="00343749"/>
    <w:rsid w:val="003437A1"/>
    <w:rsid w:val="003437F1"/>
    <w:rsid w:val="00343935"/>
    <w:rsid w:val="00343A74"/>
    <w:rsid w:val="00343C7F"/>
    <w:rsid w:val="00343DB7"/>
    <w:rsid w:val="0034426D"/>
    <w:rsid w:val="003442B8"/>
    <w:rsid w:val="003445D0"/>
    <w:rsid w:val="00344637"/>
    <w:rsid w:val="00344698"/>
    <w:rsid w:val="00344823"/>
    <w:rsid w:val="00344C01"/>
    <w:rsid w:val="00344C47"/>
    <w:rsid w:val="003450B1"/>
    <w:rsid w:val="00345137"/>
    <w:rsid w:val="003452C2"/>
    <w:rsid w:val="00345702"/>
    <w:rsid w:val="00345717"/>
    <w:rsid w:val="0034595F"/>
    <w:rsid w:val="00345BE5"/>
    <w:rsid w:val="00345DFC"/>
    <w:rsid w:val="00345F20"/>
    <w:rsid w:val="00345F44"/>
    <w:rsid w:val="00346228"/>
    <w:rsid w:val="0034661E"/>
    <w:rsid w:val="00346891"/>
    <w:rsid w:val="00346911"/>
    <w:rsid w:val="00346A04"/>
    <w:rsid w:val="00346A18"/>
    <w:rsid w:val="00346B2A"/>
    <w:rsid w:val="00346EAA"/>
    <w:rsid w:val="00346F5E"/>
    <w:rsid w:val="00347094"/>
    <w:rsid w:val="003471B7"/>
    <w:rsid w:val="00347A1E"/>
    <w:rsid w:val="00347A7D"/>
    <w:rsid w:val="00347BA4"/>
    <w:rsid w:val="00350121"/>
    <w:rsid w:val="003505B9"/>
    <w:rsid w:val="00350AA6"/>
    <w:rsid w:val="00350B41"/>
    <w:rsid w:val="00350BFB"/>
    <w:rsid w:val="00350D91"/>
    <w:rsid w:val="00350E84"/>
    <w:rsid w:val="00351031"/>
    <w:rsid w:val="00351522"/>
    <w:rsid w:val="00351A5E"/>
    <w:rsid w:val="00352090"/>
    <w:rsid w:val="00352342"/>
    <w:rsid w:val="003524B5"/>
    <w:rsid w:val="00352AAD"/>
    <w:rsid w:val="00352BC6"/>
    <w:rsid w:val="00352C27"/>
    <w:rsid w:val="003530B9"/>
    <w:rsid w:val="003532BE"/>
    <w:rsid w:val="0035379C"/>
    <w:rsid w:val="003537D6"/>
    <w:rsid w:val="00353A1C"/>
    <w:rsid w:val="00353E28"/>
    <w:rsid w:val="00354197"/>
    <w:rsid w:val="00354630"/>
    <w:rsid w:val="00354744"/>
    <w:rsid w:val="00354ACE"/>
    <w:rsid w:val="00354B58"/>
    <w:rsid w:val="00354BAF"/>
    <w:rsid w:val="00354C16"/>
    <w:rsid w:val="00354C4A"/>
    <w:rsid w:val="00354DEE"/>
    <w:rsid w:val="00354E8F"/>
    <w:rsid w:val="00355261"/>
    <w:rsid w:val="00355437"/>
    <w:rsid w:val="00355891"/>
    <w:rsid w:val="00355FA0"/>
    <w:rsid w:val="00356075"/>
    <w:rsid w:val="00356212"/>
    <w:rsid w:val="003562E9"/>
    <w:rsid w:val="003565D5"/>
    <w:rsid w:val="003567B5"/>
    <w:rsid w:val="00356DF7"/>
    <w:rsid w:val="00356E4A"/>
    <w:rsid w:val="0035702A"/>
    <w:rsid w:val="0035724D"/>
    <w:rsid w:val="00357376"/>
    <w:rsid w:val="00357597"/>
    <w:rsid w:val="00357AAC"/>
    <w:rsid w:val="00357C3E"/>
    <w:rsid w:val="00357CC3"/>
    <w:rsid w:val="0036060E"/>
    <w:rsid w:val="003609E7"/>
    <w:rsid w:val="00360CC8"/>
    <w:rsid w:val="0036106C"/>
    <w:rsid w:val="00361086"/>
    <w:rsid w:val="00361241"/>
    <w:rsid w:val="00361245"/>
    <w:rsid w:val="0036133C"/>
    <w:rsid w:val="00361AD6"/>
    <w:rsid w:val="00361AF6"/>
    <w:rsid w:val="00361B82"/>
    <w:rsid w:val="00361DB2"/>
    <w:rsid w:val="00361E93"/>
    <w:rsid w:val="00362440"/>
    <w:rsid w:val="003625CD"/>
    <w:rsid w:val="00362743"/>
    <w:rsid w:val="00362766"/>
    <w:rsid w:val="00362D44"/>
    <w:rsid w:val="00362D4C"/>
    <w:rsid w:val="00363001"/>
    <w:rsid w:val="00363480"/>
    <w:rsid w:val="00363615"/>
    <w:rsid w:val="00363719"/>
    <w:rsid w:val="003638AC"/>
    <w:rsid w:val="00363BD6"/>
    <w:rsid w:val="00363DD8"/>
    <w:rsid w:val="0036405C"/>
    <w:rsid w:val="00364070"/>
    <w:rsid w:val="00364081"/>
    <w:rsid w:val="0036433E"/>
    <w:rsid w:val="0036439F"/>
    <w:rsid w:val="00364815"/>
    <w:rsid w:val="00364A9A"/>
    <w:rsid w:val="00364E28"/>
    <w:rsid w:val="00365178"/>
    <w:rsid w:val="0036525C"/>
    <w:rsid w:val="00365485"/>
    <w:rsid w:val="00365E76"/>
    <w:rsid w:val="00365F8E"/>
    <w:rsid w:val="00365FDE"/>
    <w:rsid w:val="0036609D"/>
    <w:rsid w:val="003660ED"/>
    <w:rsid w:val="00366111"/>
    <w:rsid w:val="0036611D"/>
    <w:rsid w:val="00366192"/>
    <w:rsid w:val="00366308"/>
    <w:rsid w:val="00366864"/>
    <w:rsid w:val="003668AE"/>
    <w:rsid w:val="00366A98"/>
    <w:rsid w:val="00366B42"/>
    <w:rsid w:val="00366D6C"/>
    <w:rsid w:val="00366F47"/>
    <w:rsid w:val="00366FBF"/>
    <w:rsid w:val="00367079"/>
    <w:rsid w:val="0036709A"/>
    <w:rsid w:val="0036739F"/>
    <w:rsid w:val="0036760E"/>
    <w:rsid w:val="00367798"/>
    <w:rsid w:val="00367A5A"/>
    <w:rsid w:val="00367CB0"/>
    <w:rsid w:val="00367D15"/>
    <w:rsid w:val="00367E72"/>
    <w:rsid w:val="00367F62"/>
    <w:rsid w:val="0037018F"/>
    <w:rsid w:val="00370408"/>
    <w:rsid w:val="003708FD"/>
    <w:rsid w:val="00370A7B"/>
    <w:rsid w:val="00370F40"/>
    <w:rsid w:val="00371169"/>
    <w:rsid w:val="0037173B"/>
    <w:rsid w:val="003717B7"/>
    <w:rsid w:val="0037183B"/>
    <w:rsid w:val="00371D39"/>
    <w:rsid w:val="00371F20"/>
    <w:rsid w:val="003721C6"/>
    <w:rsid w:val="0037290B"/>
    <w:rsid w:val="00372B3A"/>
    <w:rsid w:val="00372BD1"/>
    <w:rsid w:val="00372D5F"/>
    <w:rsid w:val="00372FB4"/>
    <w:rsid w:val="003730CB"/>
    <w:rsid w:val="00373159"/>
    <w:rsid w:val="003732E4"/>
    <w:rsid w:val="00373364"/>
    <w:rsid w:val="0037355D"/>
    <w:rsid w:val="00373696"/>
    <w:rsid w:val="00373B13"/>
    <w:rsid w:val="00373BA9"/>
    <w:rsid w:val="00373C2F"/>
    <w:rsid w:val="00373D7F"/>
    <w:rsid w:val="00373D9A"/>
    <w:rsid w:val="003740D2"/>
    <w:rsid w:val="003742BB"/>
    <w:rsid w:val="003748C8"/>
    <w:rsid w:val="00374B94"/>
    <w:rsid w:val="003750DE"/>
    <w:rsid w:val="003753AF"/>
    <w:rsid w:val="003755E5"/>
    <w:rsid w:val="00375881"/>
    <w:rsid w:val="00375905"/>
    <w:rsid w:val="00375924"/>
    <w:rsid w:val="00375B07"/>
    <w:rsid w:val="00375B3C"/>
    <w:rsid w:val="00375D7C"/>
    <w:rsid w:val="00375DAF"/>
    <w:rsid w:val="0037698C"/>
    <w:rsid w:val="00377142"/>
    <w:rsid w:val="00377189"/>
    <w:rsid w:val="003776D0"/>
    <w:rsid w:val="003777D8"/>
    <w:rsid w:val="003778B9"/>
    <w:rsid w:val="00377A79"/>
    <w:rsid w:val="00377E33"/>
    <w:rsid w:val="00377EFE"/>
    <w:rsid w:val="00377F4C"/>
    <w:rsid w:val="0038018A"/>
    <w:rsid w:val="003801DA"/>
    <w:rsid w:val="0038046F"/>
    <w:rsid w:val="00380638"/>
    <w:rsid w:val="003807D6"/>
    <w:rsid w:val="00380B7D"/>
    <w:rsid w:val="00380E31"/>
    <w:rsid w:val="003811D3"/>
    <w:rsid w:val="003815FD"/>
    <w:rsid w:val="0038168E"/>
    <w:rsid w:val="0038187C"/>
    <w:rsid w:val="0038191D"/>
    <w:rsid w:val="00381C7A"/>
    <w:rsid w:val="00382051"/>
    <w:rsid w:val="003821B0"/>
    <w:rsid w:val="00382216"/>
    <w:rsid w:val="003825A8"/>
    <w:rsid w:val="003826BA"/>
    <w:rsid w:val="00382879"/>
    <w:rsid w:val="00382D07"/>
    <w:rsid w:val="00382F39"/>
    <w:rsid w:val="0038313F"/>
    <w:rsid w:val="0038325D"/>
    <w:rsid w:val="00383688"/>
    <w:rsid w:val="003836B8"/>
    <w:rsid w:val="003838F8"/>
    <w:rsid w:val="00383961"/>
    <w:rsid w:val="00383D83"/>
    <w:rsid w:val="0038426C"/>
    <w:rsid w:val="0038440E"/>
    <w:rsid w:val="003846F4"/>
    <w:rsid w:val="00384BCD"/>
    <w:rsid w:val="00384C6E"/>
    <w:rsid w:val="00384DBC"/>
    <w:rsid w:val="003850F6"/>
    <w:rsid w:val="003852E4"/>
    <w:rsid w:val="00385352"/>
    <w:rsid w:val="00385554"/>
    <w:rsid w:val="00385597"/>
    <w:rsid w:val="0038577D"/>
    <w:rsid w:val="0038593E"/>
    <w:rsid w:val="00385F1F"/>
    <w:rsid w:val="0038607A"/>
    <w:rsid w:val="00386328"/>
    <w:rsid w:val="003864D9"/>
    <w:rsid w:val="003864FB"/>
    <w:rsid w:val="0038668A"/>
    <w:rsid w:val="0038692A"/>
    <w:rsid w:val="00386A9E"/>
    <w:rsid w:val="00386ACE"/>
    <w:rsid w:val="00386B1D"/>
    <w:rsid w:val="00386B8B"/>
    <w:rsid w:val="00386B99"/>
    <w:rsid w:val="00386C3D"/>
    <w:rsid w:val="00386CAA"/>
    <w:rsid w:val="00386CD1"/>
    <w:rsid w:val="00386DF6"/>
    <w:rsid w:val="00386FC3"/>
    <w:rsid w:val="00387284"/>
    <w:rsid w:val="003872FD"/>
    <w:rsid w:val="00387399"/>
    <w:rsid w:val="00387B0B"/>
    <w:rsid w:val="00387B82"/>
    <w:rsid w:val="00387E08"/>
    <w:rsid w:val="0039010C"/>
    <w:rsid w:val="003905C3"/>
    <w:rsid w:val="003906B9"/>
    <w:rsid w:val="00390718"/>
    <w:rsid w:val="003907EC"/>
    <w:rsid w:val="00390A59"/>
    <w:rsid w:val="00390CB9"/>
    <w:rsid w:val="003910CD"/>
    <w:rsid w:val="00391143"/>
    <w:rsid w:val="00391B2C"/>
    <w:rsid w:val="00391BF7"/>
    <w:rsid w:val="00391F6E"/>
    <w:rsid w:val="0039293D"/>
    <w:rsid w:val="00392AAF"/>
    <w:rsid w:val="00392F7F"/>
    <w:rsid w:val="00392FB7"/>
    <w:rsid w:val="00393020"/>
    <w:rsid w:val="00393814"/>
    <w:rsid w:val="00393890"/>
    <w:rsid w:val="00393891"/>
    <w:rsid w:val="00393976"/>
    <w:rsid w:val="00393C20"/>
    <w:rsid w:val="00393C54"/>
    <w:rsid w:val="00393CCB"/>
    <w:rsid w:val="00393E32"/>
    <w:rsid w:val="0039401B"/>
    <w:rsid w:val="00394412"/>
    <w:rsid w:val="003947F3"/>
    <w:rsid w:val="00394929"/>
    <w:rsid w:val="00394F31"/>
    <w:rsid w:val="0039510D"/>
    <w:rsid w:val="00395169"/>
    <w:rsid w:val="003951A5"/>
    <w:rsid w:val="00395327"/>
    <w:rsid w:val="003954F3"/>
    <w:rsid w:val="003956CB"/>
    <w:rsid w:val="00395776"/>
    <w:rsid w:val="0039579E"/>
    <w:rsid w:val="0039587D"/>
    <w:rsid w:val="00395F53"/>
    <w:rsid w:val="00395FE3"/>
    <w:rsid w:val="00395FFE"/>
    <w:rsid w:val="00396212"/>
    <w:rsid w:val="00396475"/>
    <w:rsid w:val="00396503"/>
    <w:rsid w:val="00396B22"/>
    <w:rsid w:val="00396B7A"/>
    <w:rsid w:val="00396BB5"/>
    <w:rsid w:val="00396C69"/>
    <w:rsid w:val="00396D00"/>
    <w:rsid w:val="00396F4E"/>
    <w:rsid w:val="00396FAE"/>
    <w:rsid w:val="00397143"/>
    <w:rsid w:val="003972EE"/>
    <w:rsid w:val="00397BF7"/>
    <w:rsid w:val="00397DF4"/>
    <w:rsid w:val="003A00AD"/>
    <w:rsid w:val="003A0788"/>
    <w:rsid w:val="003A0C16"/>
    <w:rsid w:val="003A0C25"/>
    <w:rsid w:val="003A0C92"/>
    <w:rsid w:val="003A0DB0"/>
    <w:rsid w:val="003A0DBC"/>
    <w:rsid w:val="003A0E8C"/>
    <w:rsid w:val="003A0F22"/>
    <w:rsid w:val="003A104A"/>
    <w:rsid w:val="003A1064"/>
    <w:rsid w:val="003A15AD"/>
    <w:rsid w:val="003A1B84"/>
    <w:rsid w:val="003A1C5C"/>
    <w:rsid w:val="003A2139"/>
    <w:rsid w:val="003A2472"/>
    <w:rsid w:val="003A25AA"/>
    <w:rsid w:val="003A26E0"/>
    <w:rsid w:val="003A273E"/>
    <w:rsid w:val="003A2788"/>
    <w:rsid w:val="003A27F4"/>
    <w:rsid w:val="003A2C9F"/>
    <w:rsid w:val="003A2D6C"/>
    <w:rsid w:val="003A2DF5"/>
    <w:rsid w:val="003A2F1B"/>
    <w:rsid w:val="003A2F35"/>
    <w:rsid w:val="003A2F53"/>
    <w:rsid w:val="003A3199"/>
    <w:rsid w:val="003A393A"/>
    <w:rsid w:val="003A3AC6"/>
    <w:rsid w:val="003A3BB9"/>
    <w:rsid w:val="003A3CC3"/>
    <w:rsid w:val="003A3EB0"/>
    <w:rsid w:val="003A43DA"/>
    <w:rsid w:val="003A44AE"/>
    <w:rsid w:val="003A4706"/>
    <w:rsid w:val="003A48D5"/>
    <w:rsid w:val="003A497E"/>
    <w:rsid w:val="003A4CDA"/>
    <w:rsid w:val="003A4FA6"/>
    <w:rsid w:val="003A5126"/>
    <w:rsid w:val="003A51BB"/>
    <w:rsid w:val="003A5352"/>
    <w:rsid w:val="003A5689"/>
    <w:rsid w:val="003A56BA"/>
    <w:rsid w:val="003A56EC"/>
    <w:rsid w:val="003A5944"/>
    <w:rsid w:val="003A59E0"/>
    <w:rsid w:val="003A5A01"/>
    <w:rsid w:val="003A5A95"/>
    <w:rsid w:val="003A6368"/>
    <w:rsid w:val="003A6517"/>
    <w:rsid w:val="003A65E1"/>
    <w:rsid w:val="003A66BD"/>
    <w:rsid w:val="003A68CF"/>
    <w:rsid w:val="003A6B35"/>
    <w:rsid w:val="003A6B7B"/>
    <w:rsid w:val="003A6D3E"/>
    <w:rsid w:val="003A6DD7"/>
    <w:rsid w:val="003A706C"/>
    <w:rsid w:val="003A71E4"/>
    <w:rsid w:val="003A764D"/>
    <w:rsid w:val="003A79F6"/>
    <w:rsid w:val="003A7A88"/>
    <w:rsid w:val="003A7B33"/>
    <w:rsid w:val="003A7C69"/>
    <w:rsid w:val="003B0002"/>
    <w:rsid w:val="003B011C"/>
    <w:rsid w:val="003B01B3"/>
    <w:rsid w:val="003B052A"/>
    <w:rsid w:val="003B0550"/>
    <w:rsid w:val="003B0776"/>
    <w:rsid w:val="003B0A93"/>
    <w:rsid w:val="003B0B39"/>
    <w:rsid w:val="003B0C10"/>
    <w:rsid w:val="003B0E07"/>
    <w:rsid w:val="003B132C"/>
    <w:rsid w:val="003B1830"/>
    <w:rsid w:val="003B1C48"/>
    <w:rsid w:val="003B1F37"/>
    <w:rsid w:val="003B22C3"/>
    <w:rsid w:val="003B23C6"/>
    <w:rsid w:val="003B2430"/>
    <w:rsid w:val="003B28E9"/>
    <w:rsid w:val="003B2976"/>
    <w:rsid w:val="003B31F8"/>
    <w:rsid w:val="003B3463"/>
    <w:rsid w:val="003B36AC"/>
    <w:rsid w:val="003B3A42"/>
    <w:rsid w:val="003B3A5E"/>
    <w:rsid w:val="003B3B80"/>
    <w:rsid w:val="003B3BB5"/>
    <w:rsid w:val="003B3C0F"/>
    <w:rsid w:val="003B3C97"/>
    <w:rsid w:val="003B41A6"/>
    <w:rsid w:val="003B41B8"/>
    <w:rsid w:val="003B4555"/>
    <w:rsid w:val="003B4632"/>
    <w:rsid w:val="003B484D"/>
    <w:rsid w:val="003B48CA"/>
    <w:rsid w:val="003B496F"/>
    <w:rsid w:val="003B4B53"/>
    <w:rsid w:val="003B4E5B"/>
    <w:rsid w:val="003B57DD"/>
    <w:rsid w:val="003B5A62"/>
    <w:rsid w:val="003B5ADB"/>
    <w:rsid w:val="003B5DAD"/>
    <w:rsid w:val="003B5DC3"/>
    <w:rsid w:val="003B5FD5"/>
    <w:rsid w:val="003B5FFD"/>
    <w:rsid w:val="003B612A"/>
    <w:rsid w:val="003B62CC"/>
    <w:rsid w:val="003B62ED"/>
    <w:rsid w:val="003B6615"/>
    <w:rsid w:val="003B6629"/>
    <w:rsid w:val="003B6697"/>
    <w:rsid w:val="003B67E7"/>
    <w:rsid w:val="003B68DE"/>
    <w:rsid w:val="003B6944"/>
    <w:rsid w:val="003B694F"/>
    <w:rsid w:val="003B697F"/>
    <w:rsid w:val="003B6E5E"/>
    <w:rsid w:val="003B6F17"/>
    <w:rsid w:val="003B73D7"/>
    <w:rsid w:val="003B745C"/>
    <w:rsid w:val="003B77F3"/>
    <w:rsid w:val="003B7AAF"/>
    <w:rsid w:val="003B7E59"/>
    <w:rsid w:val="003B7FC5"/>
    <w:rsid w:val="003BD11A"/>
    <w:rsid w:val="003C0593"/>
    <w:rsid w:val="003C0918"/>
    <w:rsid w:val="003C096F"/>
    <w:rsid w:val="003C0A3C"/>
    <w:rsid w:val="003C0B13"/>
    <w:rsid w:val="003C0EC9"/>
    <w:rsid w:val="003C1283"/>
    <w:rsid w:val="003C13CC"/>
    <w:rsid w:val="003C17C3"/>
    <w:rsid w:val="003C18C3"/>
    <w:rsid w:val="003C191B"/>
    <w:rsid w:val="003C1AF9"/>
    <w:rsid w:val="003C1D75"/>
    <w:rsid w:val="003C1DE3"/>
    <w:rsid w:val="003C1F7C"/>
    <w:rsid w:val="003C2252"/>
    <w:rsid w:val="003C2256"/>
    <w:rsid w:val="003C2417"/>
    <w:rsid w:val="003C249F"/>
    <w:rsid w:val="003C24A2"/>
    <w:rsid w:val="003C277C"/>
    <w:rsid w:val="003C2D66"/>
    <w:rsid w:val="003C2E81"/>
    <w:rsid w:val="003C2FB8"/>
    <w:rsid w:val="003C30AA"/>
    <w:rsid w:val="003C30E9"/>
    <w:rsid w:val="003C3317"/>
    <w:rsid w:val="003C34AC"/>
    <w:rsid w:val="003C35A4"/>
    <w:rsid w:val="003C3909"/>
    <w:rsid w:val="003C3DB8"/>
    <w:rsid w:val="003C3F56"/>
    <w:rsid w:val="003C43F4"/>
    <w:rsid w:val="003C44E7"/>
    <w:rsid w:val="003C4581"/>
    <w:rsid w:val="003C4B30"/>
    <w:rsid w:val="003C4C54"/>
    <w:rsid w:val="003C4C74"/>
    <w:rsid w:val="003C4D74"/>
    <w:rsid w:val="003C4F28"/>
    <w:rsid w:val="003C4FBA"/>
    <w:rsid w:val="003C5333"/>
    <w:rsid w:val="003C54D1"/>
    <w:rsid w:val="003C55F6"/>
    <w:rsid w:val="003C5989"/>
    <w:rsid w:val="003C5C17"/>
    <w:rsid w:val="003C5C95"/>
    <w:rsid w:val="003C5D87"/>
    <w:rsid w:val="003C5F14"/>
    <w:rsid w:val="003C6010"/>
    <w:rsid w:val="003C6038"/>
    <w:rsid w:val="003C61ED"/>
    <w:rsid w:val="003C64AF"/>
    <w:rsid w:val="003C6C52"/>
    <w:rsid w:val="003C6FAE"/>
    <w:rsid w:val="003C6FF1"/>
    <w:rsid w:val="003C7461"/>
    <w:rsid w:val="003C76CB"/>
    <w:rsid w:val="003C7818"/>
    <w:rsid w:val="003C7A93"/>
    <w:rsid w:val="003C7BA2"/>
    <w:rsid w:val="003C7E6B"/>
    <w:rsid w:val="003C7FEF"/>
    <w:rsid w:val="003D02DF"/>
    <w:rsid w:val="003D0427"/>
    <w:rsid w:val="003D04B0"/>
    <w:rsid w:val="003D04C3"/>
    <w:rsid w:val="003D06F5"/>
    <w:rsid w:val="003D097A"/>
    <w:rsid w:val="003D0B4D"/>
    <w:rsid w:val="003D0BF5"/>
    <w:rsid w:val="003D0E61"/>
    <w:rsid w:val="003D11DA"/>
    <w:rsid w:val="003D16C1"/>
    <w:rsid w:val="003D1C51"/>
    <w:rsid w:val="003D1F92"/>
    <w:rsid w:val="003D2C9B"/>
    <w:rsid w:val="003D2E63"/>
    <w:rsid w:val="003D317D"/>
    <w:rsid w:val="003D32B9"/>
    <w:rsid w:val="003D34FB"/>
    <w:rsid w:val="003D3A0A"/>
    <w:rsid w:val="003D3B15"/>
    <w:rsid w:val="003D40DC"/>
    <w:rsid w:val="003D41B1"/>
    <w:rsid w:val="003D48DE"/>
    <w:rsid w:val="003D51E9"/>
    <w:rsid w:val="003D5645"/>
    <w:rsid w:val="003D5C43"/>
    <w:rsid w:val="003D5FC6"/>
    <w:rsid w:val="003D63F5"/>
    <w:rsid w:val="003D6446"/>
    <w:rsid w:val="003D651C"/>
    <w:rsid w:val="003D67DA"/>
    <w:rsid w:val="003D6893"/>
    <w:rsid w:val="003D6A5F"/>
    <w:rsid w:val="003D71AA"/>
    <w:rsid w:val="003D75E1"/>
    <w:rsid w:val="003D768C"/>
    <w:rsid w:val="003D77A6"/>
    <w:rsid w:val="003D78FD"/>
    <w:rsid w:val="003D7B6F"/>
    <w:rsid w:val="003E00ED"/>
    <w:rsid w:val="003E0146"/>
    <w:rsid w:val="003E05FD"/>
    <w:rsid w:val="003E0782"/>
    <w:rsid w:val="003E0880"/>
    <w:rsid w:val="003E0B00"/>
    <w:rsid w:val="003E1002"/>
    <w:rsid w:val="003E110D"/>
    <w:rsid w:val="003E13B2"/>
    <w:rsid w:val="003E13BB"/>
    <w:rsid w:val="003E151C"/>
    <w:rsid w:val="003E15DC"/>
    <w:rsid w:val="003E18B4"/>
    <w:rsid w:val="003E1943"/>
    <w:rsid w:val="003E1953"/>
    <w:rsid w:val="003E1DC7"/>
    <w:rsid w:val="003E1E62"/>
    <w:rsid w:val="003E1FCC"/>
    <w:rsid w:val="003E2418"/>
    <w:rsid w:val="003E2539"/>
    <w:rsid w:val="003E269B"/>
    <w:rsid w:val="003E26A5"/>
    <w:rsid w:val="003E27CA"/>
    <w:rsid w:val="003E28EB"/>
    <w:rsid w:val="003E290C"/>
    <w:rsid w:val="003E2AA6"/>
    <w:rsid w:val="003E2B0C"/>
    <w:rsid w:val="003E2D51"/>
    <w:rsid w:val="003E2DCE"/>
    <w:rsid w:val="003E2FD4"/>
    <w:rsid w:val="003E3045"/>
    <w:rsid w:val="003E30D4"/>
    <w:rsid w:val="003E33F9"/>
    <w:rsid w:val="003E356B"/>
    <w:rsid w:val="003E37CA"/>
    <w:rsid w:val="003E3932"/>
    <w:rsid w:val="003E3983"/>
    <w:rsid w:val="003E3B71"/>
    <w:rsid w:val="003E3C6F"/>
    <w:rsid w:val="003E3C9E"/>
    <w:rsid w:val="003E405D"/>
    <w:rsid w:val="003E471D"/>
    <w:rsid w:val="003E475D"/>
    <w:rsid w:val="003E4AED"/>
    <w:rsid w:val="003E52D3"/>
    <w:rsid w:val="003E5377"/>
    <w:rsid w:val="003E5492"/>
    <w:rsid w:val="003E5678"/>
    <w:rsid w:val="003E56E2"/>
    <w:rsid w:val="003E580D"/>
    <w:rsid w:val="003E5CBB"/>
    <w:rsid w:val="003E5E18"/>
    <w:rsid w:val="003E5E89"/>
    <w:rsid w:val="003E6197"/>
    <w:rsid w:val="003E6973"/>
    <w:rsid w:val="003E70EB"/>
    <w:rsid w:val="003E711C"/>
    <w:rsid w:val="003E7121"/>
    <w:rsid w:val="003E7385"/>
    <w:rsid w:val="003E76F4"/>
    <w:rsid w:val="003E7B36"/>
    <w:rsid w:val="003E7FB1"/>
    <w:rsid w:val="003F00D5"/>
    <w:rsid w:val="003F0464"/>
    <w:rsid w:val="003F04F1"/>
    <w:rsid w:val="003F0984"/>
    <w:rsid w:val="003F0995"/>
    <w:rsid w:val="003F09EF"/>
    <w:rsid w:val="003F0B8C"/>
    <w:rsid w:val="003F0E70"/>
    <w:rsid w:val="003F1387"/>
    <w:rsid w:val="003F13F8"/>
    <w:rsid w:val="003F1528"/>
    <w:rsid w:val="003F1542"/>
    <w:rsid w:val="003F171C"/>
    <w:rsid w:val="003F1838"/>
    <w:rsid w:val="003F1F17"/>
    <w:rsid w:val="003F1FDF"/>
    <w:rsid w:val="003F2808"/>
    <w:rsid w:val="003F2CE6"/>
    <w:rsid w:val="003F2E9C"/>
    <w:rsid w:val="003F2F8B"/>
    <w:rsid w:val="003F3254"/>
    <w:rsid w:val="003F3375"/>
    <w:rsid w:val="003F35C0"/>
    <w:rsid w:val="003F383D"/>
    <w:rsid w:val="003F3AF1"/>
    <w:rsid w:val="003F3DA4"/>
    <w:rsid w:val="003F3E9C"/>
    <w:rsid w:val="003F4067"/>
    <w:rsid w:val="003F41B9"/>
    <w:rsid w:val="003F423F"/>
    <w:rsid w:val="003F47BD"/>
    <w:rsid w:val="003F49CF"/>
    <w:rsid w:val="003F49D0"/>
    <w:rsid w:val="003F4ADA"/>
    <w:rsid w:val="003F51C8"/>
    <w:rsid w:val="003F546F"/>
    <w:rsid w:val="003F548C"/>
    <w:rsid w:val="003F565D"/>
    <w:rsid w:val="003F57E6"/>
    <w:rsid w:val="003F5993"/>
    <w:rsid w:val="003F5EDF"/>
    <w:rsid w:val="003F6081"/>
    <w:rsid w:val="003F61E4"/>
    <w:rsid w:val="003F634D"/>
    <w:rsid w:val="003F6528"/>
    <w:rsid w:val="003F68CA"/>
    <w:rsid w:val="003F6A6D"/>
    <w:rsid w:val="003F6C1B"/>
    <w:rsid w:val="003F6CB5"/>
    <w:rsid w:val="003F6E27"/>
    <w:rsid w:val="003F7178"/>
    <w:rsid w:val="003F75B5"/>
    <w:rsid w:val="003F7B40"/>
    <w:rsid w:val="003F7B5F"/>
    <w:rsid w:val="003F7BB5"/>
    <w:rsid w:val="0040052C"/>
    <w:rsid w:val="00400536"/>
    <w:rsid w:val="00400537"/>
    <w:rsid w:val="0040062F"/>
    <w:rsid w:val="00400703"/>
    <w:rsid w:val="0040075E"/>
    <w:rsid w:val="00401293"/>
    <w:rsid w:val="004016FA"/>
    <w:rsid w:val="00401E94"/>
    <w:rsid w:val="00402239"/>
    <w:rsid w:val="00402774"/>
    <w:rsid w:val="004028B3"/>
    <w:rsid w:val="00402911"/>
    <w:rsid w:val="00402ED4"/>
    <w:rsid w:val="0040349B"/>
    <w:rsid w:val="0040395A"/>
    <w:rsid w:val="00403DAA"/>
    <w:rsid w:val="00403FA0"/>
    <w:rsid w:val="0040409B"/>
    <w:rsid w:val="0040414C"/>
    <w:rsid w:val="00404407"/>
    <w:rsid w:val="004049E5"/>
    <w:rsid w:val="00404A15"/>
    <w:rsid w:val="00404D95"/>
    <w:rsid w:val="00404E07"/>
    <w:rsid w:val="00404E6B"/>
    <w:rsid w:val="00404F07"/>
    <w:rsid w:val="00404FCA"/>
    <w:rsid w:val="00405010"/>
    <w:rsid w:val="0040538A"/>
    <w:rsid w:val="0040565A"/>
    <w:rsid w:val="00405B3D"/>
    <w:rsid w:val="00405E70"/>
    <w:rsid w:val="00406027"/>
    <w:rsid w:val="00406337"/>
    <w:rsid w:val="0040636A"/>
    <w:rsid w:val="00406772"/>
    <w:rsid w:val="00406995"/>
    <w:rsid w:val="00406C71"/>
    <w:rsid w:val="004072A0"/>
    <w:rsid w:val="00407523"/>
    <w:rsid w:val="00407C8D"/>
    <w:rsid w:val="00407DAD"/>
    <w:rsid w:val="00410025"/>
    <w:rsid w:val="004101BA"/>
    <w:rsid w:val="00411206"/>
    <w:rsid w:val="00411287"/>
    <w:rsid w:val="004112C2"/>
    <w:rsid w:val="0041130B"/>
    <w:rsid w:val="00411336"/>
    <w:rsid w:val="004113DC"/>
    <w:rsid w:val="004113FD"/>
    <w:rsid w:val="00411427"/>
    <w:rsid w:val="004114BE"/>
    <w:rsid w:val="00411633"/>
    <w:rsid w:val="0041164F"/>
    <w:rsid w:val="00411B45"/>
    <w:rsid w:val="00411DC0"/>
    <w:rsid w:val="004121CD"/>
    <w:rsid w:val="00412244"/>
    <w:rsid w:val="0041257E"/>
    <w:rsid w:val="00412854"/>
    <w:rsid w:val="00412999"/>
    <w:rsid w:val="00412FC5"/>
    <w:rsid w:val="00413100"/>
    <w:rsid w:val="004132D4"/>
    <w:rsid w:val="004133FA"/>
    <w:rsid w:val="00413466"/>
    <w:rsid w:val="00413653"/>
    <w:rsid w:val="00413B69"/>
    <w:rsid w:val="00414056"/>
    <w:rsid w:val="004140B2"/>
    <w:rsid w:val="004142F9"/>
    <w:rsid w:val="00414455"/>
    <w:rsid w:val="004144AF"/>
    <w:rsid w:val="00414639"/>
    <w:rsid w:val="00414B00"/>
    <w:rsid w:val="00414DB9"/>
    <w:rsid w:val="00414E9E"/>
    <w:rsid w:val="00414EDA"/>
    <w:rsid w:val="0041502B"/>
    <w:rsid w:val="00415702"/>
    <w:rsid w:val="004158F9"/>
    <w:rsid w:val="0041596E"/>
    <w:rsid w:val="00415B2C"/>
    <w:rsid w:val="00415D54"/>
    <w:rsid w:val="004165BB"/>
    <w:rsid w:val="004167D6"/>
    <w:rsid w:val="004167E1"/>
    <w:rsid w:val="00416B23"/>
    <w:rsid w:val="00416E51"/>
    <w:rsid w:val="00416F93"/>
    <w:rsid w:val="004173F2"/>
    <w:rsid w:val="00417A22"/>
    <w:rsid w:val="00417BAD"/>
    <w:rsid w:val="00417E21"/>
    <w:rsid w:val="00417F0C"/>
    <w:rsid w:val="00420030"/>
    <w:rsid w:val="00420320"/>
    <w:rsid w:val="004203E1"/>
    <w:rsid w:val="004204F0"/>
    <w:rsid w:val="0042105B"/>
    <w:rsid w:val="0042106E"/>
    <w:rsid w:val="004212CD"/>
    <w:rsid w:val="0042144C"/>
    <w:rsid w:val="00421543"/>
    <w:rsid w:val="00421A91"/>
    <w:rsid w:val="00421C2A"/>
    <w:rsid w:val="00421E78"/>
    <w:rsid w:val="00422189"/>
    <w:rsid w:val="004221ED"/>
    <w:rsid w:val="00422276"/>
    <w:rsid w:val="0042277F"/>
    <w:rsid w:val="00422798"/>
    <w:rsid w:val="00422803"/>
    <w:rsid w:val="004228D8"/>
    <w:rsid w:val="00422BBF"/>
    <w:rsid w:val="00422F9F"/>
    <w:rsid w:val="00423128"/>
    <w:rsid w:val="004231C4"/>
    <w:rsid w:val="00423236"/>
    <w:rsid w:val="00423546"/>
    <w:rsid w:val="004239C0"/>
    <w:rsid w:val="00423A63"/>
    <w:rsid w:val="00423AFC"/>
    <w:rsid w:val="00423B51"/>
    <w:rsid w:val="00423C0B"/>
    <w:rsid w:val="00423D4A"/>
    <w:rsid w:val="00424254"/>
    <w:rsid w:val="004242F1"/>
    <w:rsid w:val="004242FF"/>
    <w:rsid w:val="004243A2"/>
    <w:rsid w:val="004244D3"/>
    <w:rsid w:val="00424986"/>
    <w:rsid w:val="00424FA3"/>
    <w:rsid w:val="004255D8"/>
    <w:rsid w:val="00425794"/>
    <w:rsid w:val="0042602D"/>
    <w:rsid w:val="00426334"/>
    <w:rsid w:val="0042634F"/>
    <w:rsid w:val="004264D3"/>
    <w:rsid w:val="0042687B"/>
    <w:rsid w:val="004269D7"/>
    <w:rsid w:val="00426CCD"/>
    <w:rsid w:val="00426FC5"/>
    <w:rsid w:val="00427018"/>
    <w:rsid w:val="004273A4"/>
    <w:rsid w:val="00427A37"/>
    <w:rsid w:val="00427A6C"/>
    <w:rsid w:val="00427F90"/>
    <w:rsid w:val="0043034B"/>
    <w:rsid w:val="004304AA"/>
    <w:rsid w:val="00430559"/>
    <w:rsid w:val="004306EA"/>
    <w:rsid w:val="0043072D"/>
    <w:rsid w:val="004307B5"/>
    <w:rsid w:val="00430980"/>
    <w:rsid w:val="00430A3E"/>
    <w:rsid w:val="00430DD5"/>
    <w:rsid w:val="00430E0D"/>
    <w:rsid w:val="00431675"/>
    <w:rsid w:val="004319B1"/>
    <w:rsid w:val="004319C0"/>
    <w:rsid w:val="00431C7E"/>
    <w:rsid w:val="00431EA0"/>
    <w:rsid w:val="00431F46"/>
    <w:rsid w:val="0043276E"/>
    <w:rsid w:val="00432804"/>
    <w:rsid w:val="00432CF5"/>
    <w:rsid w:val="00432D6B"/>
    <w:rsid w:val="00432EEA"/>
    <w:rsid w:val="004330FF"/>
    <w:rsid w:val="0043326B"/>
    <w:rsid w:val="00433382"/>
    <w:rsid w:val="00433557"/>
    <w:rsid w:val="004337D5"/>
    <w:rsid w:val="00433893"/>
    <w:rsid w:val="004339AC"/>
    <w:rsid w:val="00433DFF"/>
    <w:rsid w:val="00433E3D"/>
    <w:rsid w:val="00433FFC"/>
    <w:rsid w:val="0043463E"/>
    <w:rsid w:val="00434845"/>
    <w:rsid w:val="00434851"/>
    <w:rsid w:val="00434886"/>
    <w:rsid w:val="00434B1B"/>
    <w:rsid w:val="00434EF8"/>
    <w:rsid w:val="00434F40"/>
    <w:rsid w:val="00435002"/>
    <w:rsid w:val="00435321"/>
    <w:rsid w:val="00435605"/>
    <w:rsid w:val="004358E0"/>
    <w:rsid w:val="00435947"/>
    <w:rsid w:val="00435C6C"/>
    <w:rsid w:val="0043621E"/>
    <w:rsid w:val="0043656F"/>
    <w:rsid w:val="00436635"/>
    <w:rsid w:val="00436919"/>
    <w:rsid w:val="00436960"/>
    <w:rsid w:val="004369AB"/>
    <w:rsid w:val="00436F5D"/>
    <w:rsid w:val="004371F9"/>
    <w:rsid w:val="00437639"/>
    <w:rsid w:val="004377A8"/>
    <w:rsid w:val="004377D3"/>
    <w:rsid w:val="00437BBA"/>
    <w:rsid w:val="00437F16"/>
    <w:rsid w:val="00440060"/>
    <w:rsid w:val="00440147"/>
    <w:rsid w:val="004401E8"/>
    <w:rsid w:val="00440207"/>
    <w:rsid w:val="0044023C"/>
    <w:rsid w:val="0044043B"/>
    <w:rsid w:val="00440703"/>
    <w:rsid w:val="00440711"/>
    <w:rsid w:val="004408AA"/>
    <w:rsid w:val="00440B8F"/>
    <w:rsid w:val="00440CF0"/>
    <w:rsid w:val="00440D42"/>
    <w:rsid w:val="004410C3"/>
    <w:rsid w:val="00441195"/>
    <w:rsid w:val="004412E8"/>
    <w:rsid w:val="0044151B"/>
    <w:rsid w:val="004416FD"/>
    <w:rsid w:val="00441B99"/>
    <w:rsid w:val="00441CDE"/>
    <w:rsid w:val="00441DB3"/>
    <w:rsid w:val="00441EAB"/>
    <w:rsid w:val="004420F2"/>
    <w:rsid w:val="004425F5"/>
    <w:rsid w:val="00442643"/>
    <w:rsid w:val="004427B1"/>
    <w:rsid w:val="00442962"/>
    <w:rsid w:val="004429D5"/>
    <w:rsid w:val="00442A02"/>
    <w:rsid w:val="00442AEF"/>
    <w:rsid w:val="00442E03"/>
    <w:rsid w:val="004432E0"/>
    <w:rsid w:val="004435BB"/>
    <w:rsid w:val="00443751"/>
    <w:rsid w:val="004438EA"/>
    <w:rsid w:val="00443CF3"/>
    <w:rsid w:val="004447B3"/>
    <w:rsid w:val="00444E8F"/>
    <w:rsid w:val="00444F66"/>
    <w:rsid w:val="004454A1"/>
    <w:rsid w:val="00445686"/>
    <w:rsid w:val="00445779"/>
    <w:rsid w:val="004459EE"/>
    <w:rsid w:val="00445A00"/>
    <w:rsid w:val="00445C1A"/>
    <w:rsid w:val="00445C4D"/>
    <w:rsid w:val="00445EC3"/>
    <w:rsid w:val="00446458"/>
    <w:rsid w:val="004466FC"/>
    <w:rsid w:val="00446A1C"/>
    <w:rsid w:val="00446D5D"/>
    <w:rsid w:val="00446F30"/>
    <w:rsid w:val="00446FD7"/>
    <w:rsid w:val="00447196"/>
    <w:rsid w:val="00447386"/>
    <w:rsid w:val="0044753C"/>
    <w:rsid w:val="00447553"/>
    <w:rsid w:val="00447710"/>
    <w:rsid w:val="00447F1E"/>
    <w:rsid w:val="004502EF"/>
    <w:rsid w:val="00450348"/>
    <w:rsid w:val="00450419"/>
    <w:rsid w:val="004505D7"/>
    <w:rsid w:val="00450BCC"/>
    <w:rsid w:val="00450E12"/>
    <w:rsid w:val="00450EBB"/>
    <w:rsid w:val="00451121"/>
    <w:rsid w:val="004511CF"/>
    <w:rsid w:val="0045140D"/>
    <w:rsid w:val="00451801"/>
    <w:rsid w:val="00451B0F"/>
    <w:rsid w:val="00452E02"/>
    <w:rsid w:val="004533C6"/>
    <w:rsid w:val="0045340A"/>
    <w:rsid w:val="00453553"/>
    <w:rsid w:val="004537FF"/>
    <w:rsid w:val="0045382F"/>
    <w:rsid w:val="00453A7F"/>
    <w:rsid w:val="00453C42"/>
    <w:rsid w:val="00453C64"/>
    <w:rsid w:val="004546FD"/>
    <w:rsid w:val="00454723"/>
    <w:rsid w:val="0045533F"/>
    <w:rsid w:val="00455361"/>
    <w:rsid w:val="00455570"/>
    <w:rsid w:val="0045568F"/>
    <w:rsid w:val="0045592B"/>
    <w:rsid w:val="00455A2C"/>
    <w:rsid w:val="00455DE3"/>
    <w:rsid w:val="00455F6F"/>
    <w:rsid w:val="004566C5"/>
    <w:rsid w:val="0045678E"/>
    <w:rsid w:val="00456933"/>
    <w:rsid w:val="00456941"/>
    <w:rsid w:val="00456B0B"/>
    <w:rsid w:val="00456C73"/>
    <w:rsid w:val="00457281"/>
    <w:rsid w:val="004574C8"/>
    <w:rsid w:val="0045785F"/>
    <w:rsid w:val="0045C9BF"/>
    <w:rsid w:val="0046008A"/>
    <w:rsid w:val="004605B3"/>
    <w:rsid w:val="00460764"/>
    <w:rsid w:val="0046090E"/>
    <w:rsid w:val="00460E5B"/>
    <w:rsid w:val="004612ED"/>
    <w:rsid w:val="004613C0"/>
    <w:rsid w:val="004615FB"/>
    <w:rsid w:val="00461973"/>
    <w:rsid w:val="00461B6A"/>
    <w:rsid w:val="00461C79"/>
    <w:rsid w:val="00461CC1"/>
    <w:rsid w:val="004620A0"/>
    <w:rsid w:val="00462226"/>
    <w:rsid w:val="0046265C"/>
    <w:rsid w:val="004627B7"/>
    <w:rsid w:val="004627E4"/>
    <w:rsid w:val="00462C58"/>
    <w:rsid w:val="00462ED5"/>
    <w:rsid w:val="00462FA1"/>
    <w:rsid w:val="0046319B"/>
    <w:rsid w:val="0046324B"/>
    <w:rsid w:val="0046368A"/>
    <w:rsid w:val="00463D08"/>
    <w:rsid w:val="00463D94"/>
    <w:rsid w:val="00463E17"/>
    <w:rsid w:val="00464423"/>
    <w:rsid w:val="0046477B"/>
    <w:rsid w:val="00464989"/>
    <w:rsid w:val="00464B0E"/>
    <w:rsid w:val="00464EDC"/>
    <w:rsid w:val="004654BC"/>
    <w:rsid w:val="0046590E"/>
    <w:rsid w:val="00465958"/>
    <w:rsid w:val="00465C10"/>
    <w:rsid w:val="00465E41"/>
    <w:rsid w:val="00465E9A"/>
    <w:rsid w:val="0046639E"/>
    <w:rsid w:val="0046642B"/>
    <w:rsid w:val="004666A7"/>
    <w:rsid w:val="004666CB"/>
    <w:rsid w:val="004667CE"/>
    <w:rsid w:val="00466D42"/>
    <w:rsid w:val="00466EA2"/>
    <w:rsid w:val="00466F23"/>
    <w:rsid w:val="00466F91"/>
    <w:rsid w:val="0046706E"/>
    <w:rsid w:val="004670FB"/>
    <w:rsid w:val="004672D7"/>
    <w:rsid w:val="00467585"/>
    <w:rsid w:val="004675C9"/>
    <w:rsid w:val="00467847"/>
    <w:rsid w:val="00467860"/>
    <w:rsid w:val="0046798B"/>
    <w:rsid w:val="004679B5"/>
    <w:rsid w:val="00467B5E"/>
    <w:rsid w:val="00470063"/>
    <w:rsid w:val="0047075D"/>
    <w:rsid w:val="00470DA8"/>
    <w:rsid w:val="00470DFA"/>
    <w:rsid w:val="00470DFD"/>
    <w:rsid w:val="0047134A"/>
    <w:rsid w:val="004713F4"/>
    <w:rsid w:val="0047149C"/>
    <w:rsid w:val="004715B9"/>
    <w:rsid w:val="0047161A"/>
    <w:rsid w:val="004718C0"/>
    <w:rsid w:val="00471CB2"/>
    <w:rsid w:val="00472001"/>
    <w:rsid w:val="00472190"/>
    <w:rsid w:val="00472271"/>
    <w:rsid w:val="004726CC"/>
    <w:rsid w:val="004726E9"/>
    <w:rsid w:val="0047289D"/>
    <w:rsid w:val="00472A9A"/>
    <w:rsid w:val="00472D6F"/>
    <w:rsid w:val="00473181"/>
    <w:rsid w:val="004731C4"/>
    <w:rsid w:val="00473305"/>
    <w:rsid w:val="0047339C"/>
    <w:rsid w:val="00473B3D"/>
    <w:rsid w:val="00473FAC"/>
    <w:rsid w:val="0047415E"/>
    <w:rsid w:val="00474507"/>
    <w:rsid w:val="00474B2C"/>
    <w:rsid w:val="00474BE3"/>
    <w:rsid w:val="00474D04"/>
    <w:rsid w:val="00474E83"/>
    <w:rsid w:val="00474F02"/>
    <w:rsid w:val="00475193"/>
    <w:rsid w:val="004754C6"/>
    <w:rsid w:val="0047557F"/>
    <w:rsid w:val="0047590F"/>
    <w:rsid w:val="004759CD"/>
    <w:rsid w:val="00475A2B"/>
    <w:rsid w:val="00475A8B"/>
    <w:rsid w:val="00475AEA"/>
    <w:rsid w:val="00475B24"/>
    <w:rsid w:val="00475F8E"/>
    <w:rsid w:val="00476049"/>
    <w:rsid w:val="00476377"/>
    <w:rsid w:val="00476465"/>
    <w:rsid w:val="004766A3"/>
    <w:rsid w:val="004766B4"/>
    <w:rsid w:val="00476D3B"/>
    <w:rsid w:val="004771DE"/>
    <w:rsid w:val="004774CA"/>
    <w:rsid w:val="00477813"/>
    <w:rsid w:val="0047782B"/>
    <w:rsid w:val="004778CB"/>
    <w:rsid w:val="00477FAE"/>
    <w:rsid w:val="00477FDF"/>
    <w:rsid w:val="00480477"/>
    <w:rsid w:val="00480641"/>
    <w:rsid w:val="004806CD"/>
    <w:rsid w:val="00480F5A"/>
    <w:rsid w:val="004812EA"/>
    <w:rsid w:val="0048144B"/>
    <w:rsid w:val="00481713"/>
    <w:rsid w:val="00481E46"/>
    <w:rsid w:val="004820AE"/>
    <w:rsid w:val="004820CB"/>
    <w:rsid w:val="004822BB"/>
    <w:rsid w:val="00482571"/>
    <w:rsid w:val="00482D2D"/>
    <w:rsid w:val="00482EE5"/>
    <w:rsid w:val="00482F30"/>
    <w:rsid w:val="004830EF"/>
    <w:rsid w:val="0048334E"/>
    <w:rsid w:val="00483EE4"/>
    <w:rsid w:val="00484171"/>
    <w:rsid w:val="00484343"/>
    <w:rsid w:val="004843C1"/>
    <w:rsid w:val="004847D4"/>
    <w:rsid w:val="00484A42"/>
    <w:rsid w:val="00484D2C"/>
    <w:rsid w:val="00484FFA"/>
    <w:rsid w:val="00485299"/>
    <w:rsid w:val="004852C9"/>
    <w:rsid w:val="00485A88"/>
    <w:rsid w:val="00485E40"/>
    <w:rsid w:val="00485ECE"/>
    <w:rsid w:val="0048614C"/>
    <w:rsid w:val="004864CE"/>
    <w:rsid w:val="00486575"/>
    <w:rsid w:val="0048683B"/>
    <w:rsid w:val="00486879"/>
    <w:rsid w:val="00486A63"/>
    <w:rsid w:val="00486A9C"/>
    <w:rsid w:val="00486C0B"/>
    <w:rsid w:val="00487C16"/>
    <w:rsid w:val="00487F11"/>
    <w:rsid w:val="00487F6B"/>
    <w:rsid w:val="00490335"/>
    <w:rsid w:val="0049063C"/>
    <w:rsid w:val="00490B9D"/>
    <w:rsid w:val="00490BD3"/>
    <w:rsid w:val="00490E6E"/>
    <w:rsid w:val="00491366"/>
    <w:rsid w:val="00491CBD"/>
    <w:rsid w:val="004921B1"/>
    <w:rsid w:val="0049228A"/>
    <w:rsid w:val="00492509"/>
    <w:rsid w:val="00492717"/>
    <w:rsid w:val="004928E4"/>
    <w:rsid w:val="00492969"/>
    <w:rsid w:val="00492C5A"/>
    <w:rsid w:val="00492FFD"/>
    <w:rsid w:val="00493219"/>
    <w:rsid w:val="004934ED"/>
    <w:rsid w:val="00493768"/>
    <w:rsid w:val="00493A4F"/>
    <w:rsid w:val="00493F07"/>
    <w:rsid w:val="00494528"/>
    <w:rsid w:val="00494549"/>
    <w:rsid w:val="00494978"/>
    <w:rsid w:val="00494C8B"/>
    <w:rsid w:val="00494CFC"/>
    <w:rsid w:val="00494D1F"/>
    <w:rsid w:val="00494E93"/>
    <w:rsid w:val="00494EB7"/>
    <w:rsid w:val="0049507E"/>
    <w:rsid w:val="00495131"/>
    <w:rsid w:val="0049535A"/>
    <w:rsid w:val="00495527"/>
    <w:rsid w:val="00495B40"/>
    <w:rsid w:val="00495C75"/>
    <w:rsid w:val="00495D7E"/>
    <w:rsid w:val="00495DFD"/>
    <w:rsid w:val="00495ED9"/>
    <w:rsid w:val="00495EDF"/>
    <w:rsid w:val="004962DA"/>
    <w:rsid w:val="00496394"/>
    <w:rsid w:val="004963E1"/>
    <w:rsid w:val="00496965"/>
    <w:rsid w:val="00496AAA"/>
    <w:rsid w:val="00497539"/>
    <w:rsid w:val="0049757F"/>
    <w:rsid w:val="00497870"/>
    <w:rsid w:val="004979A0"/>
    <w:rsid w:val="004979CB"/>
    <w:rsid w:val="00497C6B"/>
    <w:rsid w:val="00497CFE"/>
    <w:rsid w:val="00497E87"/>
    <w:rsid w:val="00497F30"/>
    <w:rsid w:val="00497F51"/>
    <w:rsid w:val="0049D9C9"/>
    <w:rsid w:val="004A00D3"/>
    <w:rsid w:val="004A01DA"/>
    <w:rsid w:val="004A01E9"/>
    <w:rsid w:val="004A031E"/>
    <w:rsid w:val="004A0499"/>
    <w:rsid w:val="004A0556"/>
    <w:rsid w:val="004A0617"/>
    <w:rsid w:val="004A0AE4"/>
    <w:rsid w:val="004A0DDC"/>
    <w:rsid w:val="004A0E86"/>
    <w:rsid w:val="004A1032"/>
    <w:rsid w:val="004A1265"/>
    <w:rsid w:val="004A142A"/>
    <w:rsid w:val="004A1541"/>
    <w:rsid w:val="004A1795"/>
    <w:rsid w:val="004A17A1"/>
    <w:rsid w:val="004A17A5"/>
    <w:rsid w:val="004A1B04"/>
    <w:rsid w:val="004A1C03"/>
    <w:rsid w:val="004A1F0C"/>
    <w:rsid w:val="004A2087"/>
    <w:rsid w:val="004A24F1"/>
    <w:rsid w:val="004A2A62"/>
    <w:rsid w:val="004A2A85"/>
    <w:rsid w:val="004A2C11"/>
    <w:rsid w:val="004A2D6C"/>
    <w:rsid w:val="004A2F1E"/>
    <w:rsid w:val="004A32D8"/>
    <w:rsid w:val="004A3305"/>
    <w:rsid w:val="004A341A"/>
    <w:rsid w:val="004A34DE"/>
    <w:rsid w:val="004A3980"/>
    <w:rsid w:val="004A3A1D"/>
    <w:rsid w:val="004A3BB9"/>
    <w:rsid w:val="004A3F17"/>
    <w:rsid w:val="004A3F1F"/>
    <w:rsid w:val="004A41E5"/>
    <w:rsid w:val="004A430D"/>
    <w:rsid w:val="004A4517"/>
    <w:rsid w:val="004A4687"/>
    <w:rsid w:val="004A46EF"/>
    <w:rsid w:val="004A487F"/>
    <w:rsid w:val="004A4A85"/>
    <w:rsid w:val="004A4C1F"/>
    <w:rsid w:val="004A4D99"/>
    <w:rsid w:val="004A4EE6"/>
    <w:rsid w:val="004A4F6E"/>
    <w:rsid w:val="004A505A"/>
    <w:rsid w:val="004A53C5"/>
    <w:rsid w:val="004A58DD"/>
    <w:rsid w:val="004A5CDC"/>
    <w:rsid w:val="004A5DA6"/>
    <w:rsid w:val="004A61E2"/>
    <w:rsid w:val="004A62DA"/>
    <w:rsid w:val="004A6A8E"/>
    <w:rsid w:val="004A6F33"/>
    <w:rsid w:val="004A6FDA"/>
    <w:rsid w:val="004A7112"/>
    <w:rsid w:val="004A7358"/>
    <w:rsid w:val="004A735F"/>
    <w:rsid w:val="004A7476"/>
    <w:rsid w:val="004A750C"/>
    <w:rsid w:val="004A7606"/>
    <w:rsid w:val="004A7D49"/>
    <w:rsid w:val="004A7D50"/>
    <w:rsid w:val="004A7D58"/>
    <w:rsid w:val="004A7DCC"/>
    <w:rsid w:val="004A7E99"/>
    <w:rsid w:val="004B0016"/>
    <w:rsid w:val="004B01CB"/>
    <w:rsid w:val="004B0513"/>
    <w:rsid w:val="004B075D"/>
    <w:rsid w:val="004B0C97"/>
    <w:rsid w:val="004B0D36"/>
    <w:rsid w:val="004B11AC"/>
    <w:rsid w:val="004B126D"/>
    <w:rsid w:val="004B12BA"/>
    <w:rsid w:val="004B1348"/>
    <w:rsid w:val="004B1433"/>
    <w:rsid w:val="004B155C"/>
    <w:rsid w:val="004B1682"/>
    <w:rsid w:val="004B1BCD"/>
    <w:rsid w:val="004B1FD9"/>
    <w:rsid w:val="004B232E"/>
    <w:rsid w:val="004B2A4D"/>
    <w:rsid w:val="004B2D62"/>
    <w:rsid w:val="004B2E63"/>
    <w:rsid w:val="004B2F34"/>
    <w:rsid w:val="004B3278"/>
    <w:rsid w:val="004B329D"/>
    <w:rsid w:val="004B3301"/>
    <w:rsid w:val="004B38FC"/>
    <w:rsid w:val="004B3A32"/>
    <w:rsid w:val="004B3A86"/>
    <w:rsid w:val="004B3AF8"/>
    <w:rsid w:val="004B3C97"/>
    <w:rsid w:val="004B3CEB"/>
    <w:rsid w:val="004B3D2F"/>
    <w:rsid w:val="004B3EB9"/>
    <w:rsid w:val="004B3F23"/>
    <w:rsid w:val="004B44E8"/>
    <w:rsid w:val="004B4515"/>
    <w:rsid w:val="004B487D"/>
    <w:rsid w:val="004B4F7A"/>
    <w:rsid w:val="004B4FD5"/>
    <w:rsid w:val="004B5897"/>
    <w:rsid w:val="004B5B6A"/>
    <w:rsid w:val="004B5C3D"/>
    <w:rsid w:val="004B5CC5"/>
    <w:rsid w:val="004B5E4D"/>
    <w:rsid w:val="004B5EA3"/>
    <w:rsid w:val="004B5F8F"/>
    <w:rsid w:val="004B650D"/>
    <w:rsid w:val="004B653C"/>
    <w:rsid w:val="004B6774"/>
    <w:rsid w:val="004B693F"/>
    <w:rsid w:val="004B6BCC"/>
    <w:rsid w:val="004B7046"/>
    <w:rsid w:val="004B7215"/>
    <w:rsid w:val="004B7490"/>
    <w:rsid w:val="004B7874"/>
    <w:rsid w:val="004B798C"/>
    <w:rsid w:val="004B7A4A"/>
    <w:rsid w:val="004B7A5C"/>
    <w:rsid w:val="004B7B9B"/>
    <w:rsid w:val="004B7C45"/>
    <w:rsid w:val="004C0062"/>
    <w:rsid w:val="004C00B3"/>
    <w:rsid w:val="004C0190"/>
    <w:rsid w:val="004C07DB"/>
    <w:rsid w:val="004C0A2A"/>
    <w:rsid w:val="004C0AB6"/>
    <w:rsid w:val="004C0B21"/>
    <w:rsid w:val="004C0C86"/>
    <w:rsid w:val="004C14F6"/>
    <w:rsid w:val="004C1506"/>
    <w:rsid w:val="004C1968"/>
    <w:rsid w:val="004C1AB0"/>
    <w:rsid w:val="004C1DA0"/>
    <w:rsid w:val="004C1EC4"/>
    <w:rsid w:val="004C2095"/>
    <w:rsid w:val="004C2181"/>
    <w:rsid w:val="004C2228"/>
    <w:rsid w:val="004C25A6"/>
    <w:rsid w:val="004C25AC"/>
    <w:rsid w:val="004C2794"/>
    <w:rsid w:val="004C2B6A"/>
    <w:rsid w:val="004C2EE3"/>
    <w:rsid w:val="004C2EFB"/>
    <w:rsid w:val="004C3875"/>
    <w:rsid w:val="004C43A4"/>
    <w:rsid w:val="004C453C"/>
    <w:rsid w:val="004C4634"/>
    <w:rsid w:val="004C4E8D"/>
    <w:rsid w:val="004C4F39"/>
    <w:rsid w:val="004C502A"/>
    <w:rsid w:val="004C5041"/>
    <w:rsid w:val="004C548E"/>
    <w:rsid w:val="004C54B8"/>
    <w:rsid w:val="004C580C"/>
    <w:rsid w:val="004C5887"/>
    <w:rsid w:val="004C5896"/>
    <w:rsid w:val="004C58A4"/>
    <w:rsid w:val="004C5945"/>
    <w:rsid w:val="004C5954"/>
    <w:rsid w:val="004C5A43"/>
    <w:rsid w:val="004C5A4C"/>
    <w:rsid w:val="004C5EEA"/>
    <w:rsid w:val="004C6322"/>
    <w:rsid w:val="004C634D"/>
    <w:rsid w:val="004C6391"/>
    <w:rsid w:val="004C66B4"/>
    <w:rsid w:val="004C6765"/>
    <w:rsid w:val="004C68D1"/>
    <w:rsid w:val="004C69B9"/>
    <w:rsid w:val="004C69E6"/>
    <w:rsid w:val="004C6A0C"/>
    <w:rsid w:val="004C6AE8"/>
    <w:rsid w:val="004C6C29"/>
    <w:rsid w:val="004C6D99"/>
    <w:rsid w:val="004C6DC1"/>
    <w:rsid w:val="004C718F"/>
    <w:rsid w:val="004C733B"/>
    <w:rsid w:val="004C73AF"/>
    <w:rsid w:val="004C73F0"/>
    <w:rsid w:val="004C78B1"/>
    <w:rsid w:val="004C78CD"/>
    <w:rsid w:val="004C793E"/>
    <w:rsid w:val="004C7AE5"/>
    <w:rsid w:val="004C7B4A"/>
    <w:rsid w:val="004CF8AA"/>
    <w:rsid w:val="004D003B"/>
    <w:rsid w:val="004D004A"/>
    <w:rsid w:val="004D0067"/>
    <w:rsid w:val="004D007F"/>
    <w:rsid w:val="004D043F"/>
    <w:rsid w:val="004D049D"/>
    <w:rsid w:val="004D0679"/>
    <w:rsid w:val="004D08B3"/>
    <w:rsid w:val="004D0AB2"/>
    <w:rsid w:val="004D0BE6"/>
    <w:rsid w:val="004D1036"/>
    <w:rsid w:val="004D1239"/>
    <w:rsid w:val="004D1296"/>
    <w:rsid w:val="004D12B9"/>
    <w:rsid w:val="004D1768"/>
    <w:rsid w:val="004D186B"/>
    <w:rsid w:val="004D1B7E"/>
    <w:rsid w:val="004D1E51"/>
    <w:rsid w:val="004D22A6"/>
    <w:rsid w:val="004D2A13"/>
    <w:rsid w:val="004D2A26"/>
    <w:rsid w:val="004D2A57"/>
    <w:rsid w:val="004D2A97"/>
    <w:rsid w:val="004D2B39"/>
    <w:rsid w:val="004D2B48"/>
    <w:rsid w:val="004D2DE0"/>
    <w:rsid w:val="004D30E8"/>
    <w:rsid w:val="004D340B"/>
    <w:rsid w:val="004D348B"/>
    <w:rsid w:val="004D34C9"/>
    <w:rsid w:val="004D361D"/>
    <w:rsid w:val="004D377A"/>
    <w:rsid w:val="004D37A3"/>
    <w:rsid w:val="004D39E7"/>
    <w:rsid w:val="004D3CE7"/>
    <w:rsid w:val="004D3CEE"/>
    <w:rsid w:val="004D3D7B"/>
    <w:rsid w:val="004D3F4C"/>
    <w:rsid w:val="004D4139"/>
    <w:rsid w:val="004D468F"/>
    <w:rsid w:val="004D4ADB"/>
    <w:rsid w:val="004D4B13"/>
    <w:rsid w:val="004D4CFC"/>
    <w:rsid w:val="004D4E0E"/>
    <w:rsid w:val="004D4E19"/>
    <w:rsid w:val="004D5170"/>
    <w:rsid w:val="004D5215"/>
    <w:rsid w:val="004D5571"/>
    <w:rsid w:val="004D56CD"/>
    <w:rsid w:val="004D57E8"/>
    <w:rsid w:val="004D5DAC"/>
    <w:rsid w:val="004D6070"/>
    <w:rsid w:val="004D66E1"/>
    <w:rsid w:val="004D66E8"/>
    <w:rsid w:val="004D67F3"/>
    <w:rsid w:val="004D6854"/>
    <w:rsid w:val="004D6DB5"/>
    <w:rsid w:val="004D6DC4"/>
    <w:rsid w:val="004D7052"/>
    <w:rsid w:val="004D74C3"/>
    <w:rsid w:val="004D784B"/>
    <w:rsid w:val="004D79B4"/>
    <w:rsid w:val="004D7B30"/>
    <w:rsid w:val="004D7EB8"/>
    <w:rsid w:val="004E042E"/>
    <w:rsid w:val="004E04D0"/>
    <w:rsid w:val="004E0805"/>
    <w:rsid w:val="004E1035"/>
    <w:rsid w:val="004E1075"/>
    <w:rsid w:val="004E109F"/>
    <w:rsid w:val="004E1541"/>
    <w:rsid w:val="004E15BC"/>
    <w:rsid w:val="004E1922"/>
    <w:rsid w:val="004E1B03"/>
    <w:rsid w:val="004E1B3C"/>
    <w:rsid w:val="004E1CCE"/>
    <w:rsid w:val="004E1D64"/>
    <w:rsid w:val="004E1E88"/>
    <w:rsid w:val="004E1FB1"/>
    <w:rsid w:val="004E2043"/>
    <w:rsid w:val="004E221F"/>
    <w:rsid w:val="004E2506"/>
    <w:rsid w:val="004E258B"/>
    <w:rsid w:val="004E2822"/>
    <w:rsid w:val="004E2BCC"/>
    <w:rsid w:val="004E3060"/>
    <w:rsid w:val="004E3140"/>
    <w:rsid w:val="004E3207"/>
    <w:rsid w:val="004E339C"/>
    <w:rsid w:val="004E3987"/>
    <w:rsid w:val="004E39A4"/>
    <w:rsid w:val="004E3D07"/>
    <w:rsid w:val="004E40AC"/>
    <w:rsid w:val="004E4100"/>
    <w:rsid w:val="004E42EB"/>
    <w:rsid w:val="004E4332"/>
    <w:rsid w:val="004E43A9"/>
    <w:rsid w:val="004E493F"/>
    <w:rsid w:val="004E4A22"/>
    <w:rsid w:val="004E4C2D"/>
    <w:rsid w:val="004E5182"/>
    <w:rsid w:val="004E51CD"/>
    <w:rsid w:val="004E537B"/>
    <w:rsid w:val="004E57A8"/>
    <w:rsid w:val="004E5841"/>
    <w:rsid w:val="004E5FD5"/>
    <w:rsid w:val="004E64E2"/>
    <w:rsid w:val="004E65EC"/>
    <w:rsid w:val="004E66E4"/>
    <w:rsid w:val="004E70ED"/>
    <w:rsid w:val="004E74B0"/>
    <w:rsid w:val="004E77DF"/>
    <w:rsid w:val="004E78B5"/>
    <w:rsid w:val="004E78C6"/>
    <w:rsid w:val="004E7A76"/>
    <w:rsid w:val="004F00D1"/>
    <w:rsid w:val="004F0A32"/>
    <w:rsid w:val="004F0A69"/>
    <w:rsid w:val="004F0AA5"/>
    <w:rsid w:val="004F0B73"/>
    <w:rsid w:val="004F0B9D"/>
    <w:rsid w:val="004F0F48"/>
    <w:rsid w:val="004F0FEE"/>
    <w:rsid w:val="004F166C"/>
    <w:rsid w:val="004F1699"/>
    <w:rsid w:val="004F1844"/>
    <w:rsid w:val="004F1A21"/>
    <w:rsid w:val="004F1BD2"/>
    <w:rsid w:val="004F1C47"/>
    <w:rsid w:val="004F1FF4"/>
    <w:rsid w:val="004F22AD"/>
    <w:rsid w:val="004F2458"/>
    <w:rsid w:val="004F25DB"/>
    <w:rsid w:val="004F2744"/>
    <w:rsid w:val="004F2B43"/>
    <w:rsid w:val="004F2B45"/>
    <w:rsid w:val="004F2E67"/>
    <w:rsid w:val="004F2FC5"/>
    <w:rsid w:val="004F3274"/>
    <w:rsid w:val="004F3295"/>
    <w:rsid w:val="004F3856"/>
    <w:rsid w:val="004F394A"/>
    <w:rsid w:val="004F3C0C"/>
    <w:rsid w:val="004F3EA9"/>
    <w:rsid w:val="004F3EAB"/>
    <w:rsid w:val="004F40BD"/>
    <w:rsid w:val="004F41D0"/>
    <w:rsid w:val="004F45F4"/>
    <w:rsid w:val="004F4785"/>
    <w:rsid w:val="004F4F6D"/>
    <w:rsid w:val="004F5036"/>
    <w:rsid w:val="004F5182"/>
    <w:rsid w:val="004F57B9"/>
    <w:rsid w:val="004F5852"/>
    <w:rsid w:val="004F5C85"/>
    <w:rsid w:val="004F5F8E"/>
    <w:rsid w:val="004F5F90"/>
    <w:rsid w:val="004F6341"/>
    <w:rsid w:val="004F68D0"/>
    <w:rsid w:val="004F6BAB"/>
    <w:rsid w:val="004F6BC2"/>
    <w:rsid w:val="004F6BFA"/>
    <w:rsid w:val="004F6D53"/>
    <w:rsid w:val="004F6E91"/>
    <w:rsid w:val="004F7076"/>
    <w:rsid w:val="004F7088"/>
    <w:rsid w:val="004F752B"/>
    <w:rsid w:val="004F773E"/>
    <w:rsid w:val="004F79DA"/>
    <w:rsid w:val="004F7A47"/>
    <w:rsid w:val="005000B0"/>
    <w:rsid w:val="00500152"/>
    <w:rsid w:val="005007B7"/>
    <w:rsid w:val="00500846"/>
    <w:rsid w:val="005009A9"/>
    <w:rsid w:val="00500B86"/>
    <w:rsid w:val="00500EFD"/>
    <w:rsid w:val="0050149C"/>
    <w:rsid w:val="00501874"/>
    <w:rsid w:val="00501BB5"/>
    <w:rsid w:val="00501DC0"/>
    <w:rsid w:val="00501E00"/>
    <w:rsid w:val="00501EEF"/>
    <w:rsid w:val="005021B7"/>
    <w:rsid w:val="0050237F"/>
    <w:rsid w:val="0050265D"/>
    <w:rsid w:val="0050298A"/>
    <w:rsid w:val="00502A4E"/>
    <w:rsid w:val="00503402"/>
    <w:rsid w:val="00503407"/>
    <w:rsid w:val="0050346D"/>
    <w:rsid w:val="00503581"/>
    <w:rsid w:val="005037B8"/>
    <w:rsid w:val="00503B7D"/>
    <w:rsid w:val="00503D8E"/>
    <w:rsid w:val="00503DB4"/>
    <w:rsid w:val="00503FF2"/>
    <w:rsid w:val="0050444C"/>
    <w:rsid w:val="00504450"/>
    <w:rsid w:val="005046AC"/>
    <w:rsid w:val="005048F1"/>
    <w:rsid w:val="0050492E"/>
    <w:rsid w:val="00504B14"/>
    <w:rsid w:val="00504EF0"/>
    <w:rsid w:val="00505004"/>
    <w:rsid w:val="00505109"/>
    <w:rsid w:val="0050545F"/>
    <w:rsid w:val="00505494"/>
    <w:rsid w:val="00505A1A"/>
    <w:rsid w:val="00505AE3"/>
    <w:rsid w:val="00505BEC"/>
    <w:rsid w:val="00506166"/>
    <w:rsid w:val="00506422"/>
    <w:rsid w:val="00506616"/>
    <w:rsid w:val="005066D7"/>
    <w:rsid w:val="00506A16"/>
    <w:rsid w:val="00506CAC"/>
    <w:rsid w:val="00506E05"/>
    <w:rsid w:val="0050730F"/>
    <w:rsid w:val="00507492"/>
    <w:rsid w:val="00507825"/>
    <w:rsid w:val="00507BC7"/>
    <w:rsid w:val="00507FE3"/>
    <w:rsid w:val="00510113"/>
    <w:rsid w:val="00510167"/>
    <w:rsid w:val="005102BD"/>
    <w:rsid w:val="0051075A"/>
    <w:rsid w:val="005109F1"/>
    <w:rsid w:val="005109FD"/>
    <w:rsid w:val="00510B67"/>
    <w:rsid w:val="00510F99"/>
    <w:rsid w:val="005110D3"/>
    <w:rsid w:val="005111F3"/>
    <w:rsid w:val="00511858"/>
    <w:rsid w:val="00511968"/>
    <w:rsid w:val="00511B82"/>
    <w:rsid w:val="00511D44"/>
    <w:rsid w:val="00511D87"/>
    <w:rsid w:val="00511EB2"/>
    <w:rsid w:val="00512213"/>
    <w:rsid w:val="00512327"/>
    <w:rsid w:val="00512A05"/>
    <w:rsid w:val="0051330C"/>
    <w:rsid w:val="00513405"/>
    <w:rsid w:val="00513646"/>
    <w:rsid w:val="005137AA"/>
    <w:rsid w:val="00513ADE"/>
    <w:rsid w:val="00513BB5"/>
    <w:rsid w:val="00513DB5"/>
    <w:rsid w:val="00513DC1"/>
    <w:rsid w:val="00514018"/>
    <w:rsid w:val="00514093"/>
    <w:rsid w:val="00514140"/>
    <w:rsid w:val="00514141"/>
    <w:rsid w:val="005141CF"/>
    <w:rsid w:val="005142BA"/>
    <w:rsid w:val="005143A5"/>
    <w:rsid w:val="00514513"/>
    <w:rsid w:val="00514CB1"/>
    <w:rsid w:val="005151FD"/>
    <w:rsid w:val="005154B9"/>
    <w:rsid w:val="005155D8"/>
    <w:rsid w:val="005155F0"/>
    <w:rsid w:val="0051598B"/>
    <w:rsid w:val="00515A92"/>
    <w:rsid w:val="00515E26"/>
    <w:rsid w:val="00515FF0"/>
    <w:rsid w:val="005160FD"/>
    <w:rsid w:val="0051627F"/>
    <w:rsid w:val="005162FB"/>
    <w:rsid w:val="005165CF"/>
    <w:rsid w:val="00516787"/>
    <w:rsid w:val="00516A22"/>
    <w:rsid w:val="00516C9A"/>
    <w:rsid w:val="00516EC6"/>
    <w:rsid w:val="0051700D"/>
    <w:rsid w:val="00517108"/>
    <w:rsid w:val="00517405"/>
    <w:rsid w:val="005174C7"/>
    <w:rsid w:val="00517515"/>
    <w:rsid w:val="0051758D"/>
    <w:rsid w:val="00517B1F"/>
    <w:rsid w:val="00517E37"/>
    <w:rsid w:val="00517F41"/>
    <w:rsid w:val="0051997C"/>
    <w:rsid w:val="0051E496"/>
    <w:rsid w:val="005200BF"/>
    <w:rsid w:val="005200DF"/>
    <w:rsid w:val="00520400"/>
    <w:rsid w:val="005204DE"/>
    <w:rsid w:val="00520E00"/>
    <w:rsid w:val="00520E0F"/>
    <w:rsid w:val="00520FF6"/>
    <w:rsid w:val="0052100A"/>
    <w:rsid w:val="005212C8"/>
    <w:rsid w:val="0052169A"/>
    <w:rsid w:val="005216C9"/>
    <w:rsid w:val="00521A4E"/>
    <w:rsid w:val="0052218C"/>
    <w:rsid w:val="0052221A"/>
    <w:rsid w:val="0052279C"/>
    <w:rsid w:val="00523026"/>
    <w:rsid w:val="0052303C"/>
    <w:rsid w:val="0052336D"/>
    <w:rsid w:val="005233DE"/>
    <w:rsid w:val="005236A1"/>
    <w:rsid w:val="00523824"/>
    <w:rsid w:val="0052382E"/>
    <w:rsid w:val="00523AC3"/>
    <w:rsid w:val="00523B5F"/>
    <w:rsid w:val="00523EF7"/>
    <w:rsid w:val="00524B9E"/>
    <w:rsid w:val="00524CF4"/>
    <w:rsid w:val="00524F30"/>
    <w:rsid w:val="00524F44"/>
    <w:rsid w:val="00524F58"/>
    <w:rsid w:val="00524F91"/>
    <w:rsid w:val="00524FF6"/>
    <w:rsid w:val="0052510E"/>
    <w:rsid w:val="0052520C"/>
    <w:rsid w:val="0052531C"/>
    <w:rsid w:val="00525811"/>
    <w:rsid w:val="00525DC4"/>
    <w:rsid w:val="00525E57"/>
    <w:rsid w:val="00525E9E"/>
    <w:rsid w:val="00525F99"/>
    <w:rsid w:val="00526064"/>
    <w:rsid w:val="00526181"/>
    <w:rsid w:val="00526449"/>
    <w:rsid w:val="00526459"/>
    <w:rsid w:val="005268E1"/>
    <w:rsid w:val="00526CE5"/>
    <w:rsid w:val="00527507"/>
    <w:rsid w:val="005276A4"/>
    <w:rsid w:val="0052799C"/>
    <w:rsid w:val="00527D9F"/>
    <w:rsid w:val="00527E11"/>
    <w:rsid w:val="0053089B"/>
    <w:rsid w:val="00530C57"/>
    <w:rsid w:val="00530DE8"/>
    <w:rsid w:val="005310AB"/>
    <w:rsid w:val="005310B7"/>
    <w:rsid w:val="0053124F"/>
    <w:rsid w:val="00531456"/>
    <w:rsid w:val="0053171A"/>
    <w:rsid w:val="005318DC"/>
    <w:rsid w:val="005319DB"/>
    <w:rsid w:val="00531A6B"/>
    <w:rsid w:val="00531CF4"/>
    <w:rsid w:val="00532012"/>
    <w:rsid w:val="0053235F"/>
    <w:rsid w:val="005324B2"/>
    <w:rsid w:val="005324C4"/>
    <w:rsid w:val="005327A0"/>
    <w:rsid w:val="005327B9"/>
    <w:rsid w:val="00532966"/>
    <w:rsid w:val="00532D7E"/>
    <w:rsid w:val="00533016"/>
    <w:rsid w:val="00533081"/>
    <w:rsid w:val="00533403"/>
    <w:rsid w:val="005336CF"/>
    <w:rsid w:val="005338B6"/>
    <w:rsid w:val="00533978"/>
    <w:rsid w:val="00533A89"/>
    <w:rsid w:val="00533D44"/>
    <w:rsid w:val="005342D2"/>
    <w:rsid w:val="005344AD"/>
    <w:rsid w:val="00535035"/>
    <w:rsid w:val="005357D6"/>
    <w:rsid w:val="00535804"/>
    <w:rsid w:val="0053588B"/>
    <w:rsid w:val="00535B56"/>
    <w:rsid w:val="00536201"/>
    <w:rsid w:val="005362E4"/>
    <w:rsid w:val="00536707"/>
    <w:rsid w:val="0053681D"/>
    <w:rsid w:val="005368AF"/>
    <w:rsid w:val="00536A29"/>
    <w:rsid w:val="00536BDB"/>
    <w:rsid w:val="00536C07"/>
    <w:rsid w:val="00536C2C"/>
    <w:rsid w:val="005370BB"/>
    <w:rsid w:val="00537394"/>
    <w:rsid w:val="005374E7"/>
    <w:rsid w:val="005378EA"/>
    <w:rsid w:val="005379C9"/>
    <w:rsid w:val="00537C36"/>
    <w:rsid w:val="00537DBB"/>
    <w:rsid w:val="00537F32"/>
    <w:rsid w:val="005404BD"/>
    <w:rsid w:val="005406DE"/>
    <w:rsid w:val="00540A15"/>
    <w:rsid w:val="00540DF1"/>
    <w:rsid w:val="00541000"/>
    <w:rsid w:val="00541220"/>
    <w:rsid w:val="005413FD"/>
    <w:rsid w:val="005414B1"/>
    <w:rsid w:val="00541682"/>
    <w:rsid w:val="005417FB"/>
    <w:rsid w:val="00541B22"/>
    <w:rsid w:val="00541D50"/>
    <w:rsid w:val="00541DEE"/>
    <w:rsid w:val="005420AC"/>
    <w:rsid w:val="00542351"/>
    <w:rsid w:val="00542616"/>
    <w:rsid w:val="0054278D"/>
    <w:rsid w:val="00542821"/>
    <w:rsid w:val="00542A64"/>
    <w:rsid w:val="00542B31"/>
    <w:rsid w:val="00542F40"/>
    <w:rsid w:val="0054317B"/>
    <w:rsid w:val="005438FC"/>
    <w:rsid w:val="005439BA"/>
    <w:rsid w:val="005440D8"/>
    <w:rsid w:val="00544145"/>
    <w:rsid w:val="0054418C"/>
    <w:rsid w:val="005442A8"/>
    <w:rsid w:val="00544C28"/>
    <w:rsid w:val="00544C48"/>
    <w:rsid w:val="00544CB7"/>
    <w:rsid w:val="00545460"/>
    <w:rsid w:val="0054552A"/>
    <w:rsid w:val="00545E21"/>
    <w:rsid w:val="00545FB2"/>
    <w:rsid w:val="0054618D"/>
    <w:rsid w:val="005461B5"/>
    <w:rsid w:val="005461CB"/>
    <w:rsid w:val="00546714"/>
    <w:rsid w:val="005467D1"/>
    <w:rsid w:val="00546AE5"/>
    <w:rsid w:val="00546B0E"/>
    <w:rsid w:val="00546FB9"/>
    <w:rsid w:val="0054714A"/>
    <w:rsid w:val="00547540"/>
    <w:rsid w:val="00547550"/>
    <w:rsid w:val="00547A1C"/>
    <w:rsid w:val="00547AAB"/>
    <w:rsid w:val="00547C29"/>
    <w:rsid w:val="00547CC4"/>
    <w:rsid w:val="00547D90"/>
    <w:rsid w:val="00547F4C"/>
    <w:rsid w:val="00547F64"/>
    <w:rsid w:val="00547F9B"/>
    <w:rsid w:val="005501F4"/>
    <w:rsid w:val="005502FD"/>
    <w:rsid w:val="005506C1"/>
    <w:rsid w:val="00550C68"/>
    <w:rsid w:val="00550D11"/>
    <w:rsid w:val="00550F06"/>
    <w:rsid w:val="005511EE"/>
    <w:rsid w:val="0055181F"/>
    <w:rsid w:val="00551846"/>
    <w:rsid w:val="00551A10"/>
    <w:rsid w:val="00551A7D"/>
    <w:rsid w:val="00551AB6"/>
    <w:rsid w:val="00551AEE"/>
    <w:rsid w:val="00551BA7"/>
    <w:rsid w:val="00551CB2"/>
    <w:rsid w:val="00551D37"/>
    <w:rsid w:val="00552262"/>
    <w:rsid w:val="005523B8"/>
    <w:rsid w:val="00552947"/>
    <w:rsid w:val="00552987"/>
    <w:rsid w:val="00552A32"/>
    <w:rsid w:val="00552A9B"/>
    <w:rsid w:val="00552BCF"/>
    <w:rsid w:val="00552CFC"/>
    <w:rsid w:val="00552CFD"/>
    <w:rsid w:val="00552E1A"/>
    <w:rsid w:val="00553424"/>
    <w:rsid w:val="005536A4"/>
    <w:rsid w:val="005537EE"/>
    <w:rsid w:val="005537F8"/>
    <w:rsid w:val="00553C91"/>
    <w:rsid w:val="00553CDA"/>
    <w:rsid w:val="00553D21"/>
    <w:rsid w:val="0055401C"/>
    <w:rsid w:val="005541AD"/>
    <w:rsid w:val="00554248"/>
    <w:rsid w:val="00554311"/>
    <w:rsid w:val="00554410"/>
    <w:rsid w:val="005545BC"/>
    <w:rsid w:val="00554650"/>
    <w:rsid w:val="00554674"/>
    <w:rsid w:val="005548B7"/>
    <w:rsid w:val="00554C36"/>
    <w:rsid w:val="00554F9D"/>
    <w:rsid w:val="00555009"/>
    <w:rsid w:val="0055504F"/>
    <w:rsid w:val="005552AC"/>
    <w:rsid w:val="005552B2"/>
    <w:rsid w:val="00555346"/>
    <w:rsid w:val="0055535C"/>
    <w:rsid w:val="005554BB"/>
    <w:rsid w:val="00555759"/>
    <w:rsid w:val="00555BA6"/>
    <w:rsid w:val="0055614C"/>
    <w:rsid w:val="00556400"/>
    <w:rsid w:val="00556C7B"/>
    <w:rsid w:val="00556D1A"/>
    <w:rsid w:val="0055709A"/>
    <w:rsid w:val="005572F6"/>
    <w:rsid w:val="005574D7"/>
    <w:rsid w:val="00557584"/>
    <w:rsid w:val="0055776F"/>
    <w:rsid w:val="0055789E"/>
    <w:rsid w:val="00557D50"/>
    <w:rsid w:val="00557F1C"/>
    <w:rsid w:val="005607F6"/>
    <w:rsid w:val="00560981"/>
    <w:rsid w:val="005609B4"/>
    <w:rsid w:val="00560BB1"/>
    <w:rsid w:val="00560BBE"/>
    <w:rsid w:val="00560C17"/>
    <w:rsid w:val="00560EF1"/>
    <w:rsid w:val="00561352"/>
    <w:rsid w:val="00561400"/>
    <w:rsid w:val="00561448"/>
    <w:rsid w:val="005617F7"/>
    <w:rsid w:val="005619A1"/>
    <w:rsid w:val="00561B25"/>
    <w:rsid w:val="00561FE6"/>
    <w:rsid w:val="0056276E"/>
    <w:rsid w:val="00562E30"/>
    <w:rsid w:val="005631F4"/>
    <w:rsid w:val="00563882"/>
    <w:rsid w:val="005639AE"/>
    <w:rsid w:val="00563E17"/>
    <w:rsid w:val="00563FD5"/>
    <w:rsid w:val="00564280"/>
    <w:rsid w:val="00564294"/>
    <w:rsid w:val="005646FC"/>
    <w:rsid w:val="0056487C"/>
    <w:rsid w:val="00564F7A"/>
    <w:rsid w:val="00564FD0"/>
    <w:rsid w:val="00565031"/>
    <w:rsid w:val="00565077"/>
    <w:rsid w:val="005650E2"/>
    <w:rsid w:val="0056519E"/>
    <w:rsid w:val="00565469"/>
    <w:rsid w:val="00565960"/>
    <w:rsid w:val="00565A24"/>
    <w:rsid w:val="00565A30"/>
    <w:rsid w:val="00565BB0"/>
    <w:rsid w:val="00565BDC"/>
    <w:rsid w:val="00565C84"/>
    <w:rsid w:val="00565C86"/>
    <w:rsid w:val="00565D60"/>
    <w:rsid w:val="00565DEC"/>
    <w:rsid w:val="00565E68"/>
    <w:rsid w:val="00565EF1"/>
    <w:rsid w:val="0056623D"/>
    <w:rsid w:val="005664C6"/>
    <w:rsid w:val="00566607"/>
    <w:rsid w:val="00566648"/>
    <w:rsid w:val="00566B2D"/>
    <w:rsid w:val="00566D06"/>
    <w:rsid w:val="00567051"/>
    <w:rsid w:val="00567470"/>
    <w:rsid w:val="005674BC"/>
    <w:rsid w:val="00567576"/>
    <w:rsid w:val="00567693"/>
    <w:rsid w:val="005678EB"/>
    <w:rsid w:val="00567BAD"/>
    <w:rsid w:val="00567C4A"/>
    <w:rsid w:val="0056A76C"/>
    <w:rsid w:val="00570090"/>
    <w:rsid w:val="00570152"/>
    <w:rsid w:val="005701B0"/>
    <w:rsid w:val="00570449"/>
    <w:rsid w:val="0057053A"/>
    <w:rsid w:val="005706C2"/>
    <w:rsid w:val="00570C3B"/>
    <w:rsid w:val="00570CA6"/>
    <w:rsid w:val="005714C9"/>
    <w:rsid w:val="0057164D"/>
    <w:rsid w:val="005716D1"/>
    <w:rsid w:val="005718C4"/>
    <w:rsid w:val="00571B0F"/>
    <w:rsid w:val="00571B99"/>
    <w:rsid w:val="00571C86"/>
    <w:rsid w:val="00572055"/>
    <w:rsid w:val="005720BD"/>
    <w:rsid w:val="005723A1"/>
    <w:rsid w:val="005726F5"/>
    <w:rsid w:val="00572CF3"/>
    <w:rsid w:val="005730BB"/>
    <w:rsid w:val="005731D0"/>
    <w:rsid w:val="005732FE"/>
    <w:rsid w:val="005737C0"/>
    <w:rsid w:val="00573A62"/>
    <w:rsid w:val="00573B22"/>
    <w:rsid w:val="00574087"/>
    <w:rsid w:val="00574ABA"/>
    <w:rsid w:val="0057501A"/>
    <w:rsid w:val="005751F3"/>
    <w:rsid w:val="005754A8"/>
    <w:rsid w:val="005755B1"/>
    <w:rsid w:val="00575964"/>
    <w:rsid w:val="00575A26"/>
    <w:rsid w:val="00575A68"/>
    <w:rsid w:val="00575CCF"/>
    <w:rsid w:val="00575EE4"/>
    <w:rsid w:val="00576542"/>
    <w:rsid w:val="00576646"/>
    <w:rsid w:val="00576658"/>
    <w:rsid w:val="0057669A"/>
    <w:rsid w:val="00576730"/>
    <w:rsid w:val="00576A84"/>
    <w:rsid w:val="00576E4F"/>
    <w:rsid w:val="005772C2"/>
    <w:rsid w:val="00577C61"/>
    <w:rsid w:val="00577EAD"/>
    <w:rsid w:val="00577F41"/>
    <w:rsid w:val="005800CF"/>
    <w:rsid w:val="0058069A"/>
    <w:rsid w:val="005806AF"/>
    <w:rsid w:val="00580D89"/>
    <w:rsid w:val="00581050"/>
    <w:rsid w:val="00581293"/>
    <w:rsid w:val="005814CE"/>
    <w:rsid w:val="005817D3"/>
    <w:rsid w:val="00581AEE"/>
    <w:rsid w:val="0058212F"/>
    <w:rsid w:val="005821E3"/>
    <w:rsid w:val="00582340"/>
    <w:rsid w:val="00582ABA"/>
    <w:rsid w:val="00582CDB"/>
    <w:rsid w:val="005833E8"/>
    <w:rsid w:val="00583B49"/>
    <w:rsid w:val="00583B61"/>
    <w:rsid w:val="00583EF2"/>
    <w:rsid w:val="00584007"/>
    <w:rsid w:val="00584052"/>
    <w:rsid w:val="00584160"/>
    <w:rsid w:val="0058473D"/>
    <w:rsid w:val="005847E1"/>
    <w:rsid w:val="00584908"/>
    <w:rsid w:val="00584B17"/>
    <w:rsid w:val="00584B27"/>
    <w:rsid w:val="00584C04"/>
    <w:rsid w:val="00584C36"/>
    <w:rsid w:val="00584F7E"/>
    <w:rsid w:val="00585146"/>
    <w:rsid w:val="005852E9"/>
    <w:rsid w:val="0058537E"/>
    <w:rsid w:val="005853FC"/>
    <w:rsid w:val="00585404"/>
    <w:rsid w:val="005855B4"/>
    <w:rsid w:val="00585687"/>
    <w:rsid w:val="00585894"/>
    <w:rsid w:val="005859E8"/>
    <w:rsid w:val="00585DE3"/>
    <w:rsid w:val="005860D3"/>
    <w:rsid w:val="00586106"/>
    <w:rsid w:val="00586381"/>
    <w:rsid w:val="00586982"/>
    <w:rsid w:val="00586EF9"/>
    <w:rsid w:val="005872E9"/>
    <w:rsid w:val="00587355"/>
    <w:rsid w:val="00587451"/>
    <w:rsid w:val="0058753B"/>
    <w:rsid w:val="005875BC"/>
    <w:rsid w:val="0058772F"/>
    <w:rsid w:val="005879E2"/>
    <w:rsid w:val="00587A0D"/>
    <w:rsid w:val="00587A6B"/>
    <w:rsid w:val="00587F06"/>
    <w:rsid w:val="005903A0"/>
    <w:rsid w:val="005904FC"/>
    <w:rsid w:val="00590A75"/>
    <w:rsid w:val="00590C67"/>
    <w:rsid w:val="00590D2A"/>
    <w:rsid w:val="00590F30"/>
    <w:rsid w:val="00590F59"/>
    <w:rsid w:val="005910D8"/>
    <w:rsid w:val="00591166"/>
    <w:rsid w:val="0059120A"/>
    <w:rsid w:val="005912A5"/>
    <w:rsid w:val="005913F6"/>
    <w:rsid w:val="0059190F"/>
    <w:rsid w:val="005919FE"/>
    <w:rsid w:val="00591A54"/>
    <w:rsid w:val="005920B7"/>
    <w:rsid w:val="005921C3"/>
    <w:rsid w:val="00592218"/>
    <w:rsid w:val="00592584"/>
    <w:rsid w:val="005927B1"/>
    <w:rsid w:val="005928B0"/>
    <w:rsid w:val="00592CC4"/>
    <w:rsid w:val="00592EE8"/>
    <w:rsid w:val="00592EFB"/>
    <w:rsid w:val="005931DA"/>
    <w:rsid w:val="005936A6"/>
    <w:rsid w:val="005937B3"/>
    <w:rsid w:val="00593808"/>
    <w:rsid w:val="00593832"/>
    <w:rsid w:val="00593A34"/>
    <w:rsid w:val="00593D96"/>
    <w:rsid w:val="00593F09"/>
    <w:rsid w:val="00594339"/>
    <w:rsid w:val="00594375"/>
    <w:rsid w:val="00594686"/>
    <w:rsid w:val="005946B5"/>
    <w:rsid w:val="005949E6"/>
    <w:rsid w:val="00594E5A"/>
    <w:rsid w:val="00594EDC"/>
    <w:rsid w:val="00594EDE"/>
    <w:rsid w:val="00594FC0"/>
    <w:rsid w:val="005950F1"/>
    <w:rsid w:val="0059543D"/>
    <w:rsid w:val="00595493"/>
    <w:rsid w:val="005954EC"/>
    <w:rsid w:val="0059556F"/>
    <w:rsid w:val="0059564E"/>
    <w:rsid w:val="005956BB"/>
    <w:rsid w:val="0059570C"/>
    <w:rsid w:val="00595717"/>
    <w:rsid w:val="00595F7A"/>
    <w:rsid w:val="00596104"/>
    <w:rsid w:val="00596DE4"/>
    <w:rsid w:val="00596E6F"/>
    <w:rsid w:val="00596EC0"/>
    <w:rsid w:val="00597046"/>
    <w:rsid w:val="005972E5"/>
    <w:rsid w:val="00597735"/>
    <w:rsid w:val="00597A76"/>
    <w:rsid w:val="00597B85"/>
    <w:rsid w:val="00597E74"/>
    <w:rsid w:val="00597F1D"/>
    <w:rsid w:val="005A0020"/>
    <w:rsid w:val="005A007B"/>
    <w:rsid w:val="005A02C1"/>
    <w:rsid w:val="005A0582"/>
    <w:rsid w:val="005A073D"/>
    <w:rsid w:val="005A0922"/>
    <w:rsid w:val="005A0B38"/>
    <w:rsid w:val="005A0C90"/>
    <w:rsid w:val="005A0D8A"/>
    <w:rsid w:val="005A0FC0"/>
    <w:rsid w:val="005A1082"/>
    <w:rsid w:val="005A15D3"/>
    <w:rsid w:val="005A17AE"/>
    <w:rsid w:val="005A1D60"/>
    <w:rsid w:val="005A1EB5"/>
    <w:rsid w:val="005A2238"/>
    <w:rsid w:val="005A25D5"/>
    <w:rsid w:val="005A2EAA"/>
    <w:rsid w:val="005A31C6"/>
    <w:rsid w:val="005A32AF"/>
    <w:rsid w:val="005A3430"/>
    <w:rsid w:val="005A35FA"/>
    <w:rsid w:val="005A37D5"/>
    <w:rsid w:val="005A3A19"/>
    <w:rsid w:val="005A3DA6"/>
    <w:rsid w:val="005A3F34"/>
    <w:rsid w:val="005A3F37"/>
    <w:rsid w:val="005A4084"/>
    <w:rsid w:val="005A4415"/>
    <w:rsid w:val="005A4675"/>
    <w:rsid w:val="005A4949"/>
    <w:rsid w:val="005A4CB0"/>
    <w:rsid w:val="005A4E6A"/>
    <w:rsid w:val="005A4FBA"/>
    <w:rsid w:val="005A60EC"/>
    <w:rsid w:val="005A640A"/>
    <w:rsid w:val="005A6512"/>
    <w:rsid w:val="005A68FA"/>
    <w:rsid w:val="005A691C"/>
    <w:rsid w:val="005A6922"/>
    <w:rsid w:val="005A698D"/>
    <w:rsid w:val="005A6B36"/>
    <w:rsid w:val="005A6BBC"/>
    <w:rsid w:val="005A6E11"/>
    <w:rsid w:val="005A6EB1"/>
    <w:rsid w:val="005A6F84"/>
    <w:rsid w:val="005A7268"/>
    <w:rsid w:val="005A7389"/>
    <w:rsid w:val="005A73AD"/>
    <w:rsid w:val="005A7CAE"/>
    <w:rsid w:val="005A7D30"/>
    <w:rsid w:val="005A7D6D"/>
    <w:rsid w:val="005A7D8F"/>
    <w:rsid w:val="005A7D96"/>
    <w:rsid w:val="005B0254"/>
    <w:rsid w:val="005B02BC"/>
    <w:rsid w:val="005B038D"/>
    <w:rsid w:val="005B0973"/>
    <w:rsid w:val="005B0A27"/>
    <w:rsid w:val="005B0AD0"/>
    <w:rsid w:val="005B0B10"/>
    <w:rsid w:val="005B0DB9"/>
    <w:rsid w:val="005B0EA0"/>
    <w:rsid w:val="005B0F73"/>
    <w:rsid w:val="005B1391"/>
    <w:rsid w:val="005B145A"/>
    <w:rsid w:val="005B1483"/>
    <w:rsid w:val="005B1EF7"/>
    <w:rsid w:val="005B2021"/>
    <w:rsid w:val="005B2746"/>
    <w:rsid w:val="005B2BA4"/>
    <w:rsid w:val="005B2CE8"/>
    <w:rsid w:val="005B3156"/>
    <w:rsid w:val="005B31BF"/>
    <w:rsid w:val="005B32CA"/>
    <w:rsid w:val="005B37E8"/>
    <w:rsid w:val="005B3895"/>
    <w:rsid w:val="005B39B8"/>
    <w:rsid w:val="005B3B44"/>
    <w:rsid w:val="005B3C8F"/>
    <w:rsid w:val="005B3FFD"/>
    <w:rsid w:val="005B4115"/>
    <w:rsid w:val="005B4230"/>
    <w:rsid w:val="005B4306"/>
    <w:rsid w:val="005B45B1"/>
    <w:rsid w:val="005B493B"/>
    <w:rsid w:val="005B4B6D"/>
    <w:rsid w:val="005B4E14"/>
    <w:rsid w:val="005B53A2"/>
    <w:rsid w:val="005B5665"/>
    <w:rsid w:val="005B590A"/>
    <w:rsid w:val="005B59A0"/>
    <w:rsid w:val="005B5D1F"/>
    <w:rsid w:val="005B6373"/>
    <w:rsid w:val="005B6992"/>
    <w:rsid w:val="005B69C2"/>
    <w:rsid w:val="005B6C70"/>
    <w:rsid w:val="005B7078"/>
    <w:rsid w:val="005B713A"/>
    <w:rsid w:val="005B741F"/>
    <w:rsid w:val="005B773B"/>
    <w:rsid w:val="005B77C5"/>
    <w:rsid w:val="005B7ABB"/>
    <w:rsid w:val="005B7C59"/>
    <w:rsid w:val="005B7E54"/>
    <w:rsid w:val="005C0DA4"/>
    <w:rsid w:val="005C11A3"/>
    <w:rsid w:val="005C1222"/>
    <w:rsid w:val="005C13DD"/>
    <w:rsid w:val="005C14E9"/>
    <w:rsid w:val="005C1590"/>
    <w:rsid w:val="005C171D"/>
    <w:rsid w:val="005C1A18"/>
    <w:rsid w:val="005C1B13"/>
    <w:rsid w:val="005C1F93"/>
    <w:rsid w:val="005C1FD1"/>
    <w:rsid w:val="005C2077"/>
    <w:rsid w:val="005C20D0"/>
    <w:rsid w:val="005C221B"/>
    <w:rsid w:val="005C22C7"/>
    <w:rsid w:val="005C244F"/>
    <w:rsid w:val="005C2781"/>
    <w:rsid w:val="005C2C7E"/>
    <w:rsid w:val="005C2D8F"/>
    <w:rsid w:val="005C2DB1"/>
    <w:rsid w:val="005C2DF8"/>
    <w:rsid w:val="005C3498"/>
    <w:rsid w:val="005C3652"/>
    <w:rsid w:val="005C3859"/>
    <w:rsid w:val="005C3BE0"/>
    <w:rsid w:val="005C3C94"/>
    <w:rsid w:val="005C3FA7"/>
    <w:rsid w:val="005C4205"/>
    <w:rsid w:val="005C4386"/>
    <w:rsid w:val="005C4548"/>
    <w:rsid w:val="005C4560"/>
    <w:rsid w:val="005C48DC"/>
    <w:rsid w:val="005C4B11"/>
    <w:rsid w:val="005C4BC8"/>
    <w:rsid w:val="005C4C03"/>
    <w:rsid w:val="005C4F20"/>
    <w:rsid w:val="005C5101"/>
    <w:rsid w:val="005C5618"/>
    <w:rsid w:val="005C5676"/>
    <w:rsid w:val="005C5F54"/>
    <w:rsid w:val="005C6243"/>
    <w:rsid w:val="005C62EA"/>
    <w:rsid w:val="005C632D"/>
    <w:rsid w:val="005C6634"/>
    <w:rsid w:val="005C66D9"/>
    <w:rsid w:val="005C7084"/>
    <w:rsid w:val="005C7297"/>
    <w:rsid w:val="005C72D7"/>
    <w:rsid w:val="005C737F"/>
    <w:rsid w:val="005C74A0"/>
    <w:rsid w:val="005C74A2"/>
    <w:rsid w:val="005C76D9"/>
    <w:rsid w:val="005C7889"/>
    <w:rsid w:val="005C7D4A"/>
    <w:rsid w:val="005C7DED"/>
    <w:rsid w:val="005D045F"/>
    <w:rsid w:val="005D089B"/>
    <w:rsid w:val="005D0A78"/>
    <w:rsid w:val="005D0B0D"/>
    <w:rsid w:val="005D117B"/>
    <w:rsid w:val="005D143B"/>
    <w:rsid w:val="005D1529"/>
    <w:rsid w:val="005D1551"/>
    <w:rsid w:val="005D188A"/>
    <w:rsid w:val="005D1C03"/>
    <w:rsid w:val="005D1DF2"/>
    <w:rsid w:val="005D1DF3"/>
    <w:rsid w:val="005D1F94"/>
    <w:rsid w:val="005D24FB"/>
    <w:rsid w:val="005D29D7"/>
    <w:rsid w:val="005D2CFA"/>
    <w:rsid w:val="005D2F8D"/>
    <w:rsid w:val="005D39A0"/>
    <w:rsid w:val="005D3FC1"/>
    <w:rsid w:val="005D41EC"/>
    <w:rsid w:val="005D4224"/>
    <w:rsid w:val="005D4252"/>
    <w:rsid w:val="005D42AF"/>
    <w:rsid w:val="005D4A25"/>
    <w:rsid w:val="005D4AC0"/>
    <w:rsid w:val="005D4BD8"/>
    <w:rsid w:val="005D4D01"/>
    <w:rsid w:val="005D4E9F"/>
    <w:rsid w:val="005D53C9"/>
    <w:rsid w:val="005D540C"/>
    <w:rsid w:val="005D550C"/>
    <w:rsid w:val="005D5583"/>
    <w:rsid w:val="005D5611"/>
    <w:rsid w:val="005D5698"/>
    <w:rsid w:val="005D5C5A"/>
    <w:rsid w:val="005D5E0A"/>
    <w:rsid w:val="005D60BC"/>
    <w:rsid w:val="005D6218"/>
    <w:rsid w:val="005D6247"/>
    <w:rsid w:val="005D64B3"/>
    <w:rsid w:val="005D65CE"/>
    <w:rsid w:val="005D65F8"/>
    <w:rsid w:val="005D6848"/>
    <w:rsid w:val="005D6880"/>
    <w:rsid w:val="005D6900"/>
    <w:rsid w:val="005D6F26"/>
    <w:rsid w:val="005D71BD"/>
    <w:rsid w:val="005D733D"/>
    <w:rsid w:val="005D7840"/>
    <w:rsid w:val="005D7A9E"/>
    <w:rsid w:val="005D7B13"/>
    <w:rsid w:val="005D7C86"/>
    <w:rsid w:val="005D7D32"/>
    <w:rsid w:val="005D7D41"/>
    <w:rsid w:val="005D7ED8"/>
    <w:rsid w:val="005E001C"/>
    <w:rsid w:val="005E002A"/>
    <w:rsid w:val="005E02F8"/>
    <w:rsid w:val="005E0869"/>
    <w:rsid w:val="005E08BD"/>
    <w:rsid w:val="005E0A63"/>
    <w:rsid w:val="005E0CA4"/>
    <w:rsid w:val="005E0DF4"/>
    <w:rsid w:val="005E0FC5"/>
    <w:rsid w:val="005E10CF"/>
    <w:rsid w:val="005E11FE"/>
    <w:rsid w:val="005E140D"/>
    <w:rsid w:val="005E1448"/>
    <w:rsid w:val="005E14C2"/>
    <w:rsid w:val="005E14F9"/>
    <w:rsid w:val="005E18E9"/>
    <w:rsid w:val="005E1C20"/>
    <w:rsid w:val="005E20EF"/>
    <w:rsid w:val="005E2372"/>
    <w:rsid w:val="005E2995"/>
    <w:rsid w:val="005E29CE"/>
    <w:rsid w:val="005E2D5B"/>
    <w:rsid w:val="005E2D82"/>
    <w:rsid w:val="005E303E"/>
    <w:rsid w:val="005E330F"/>
    <w:rsid w:val="005E34AB"/>
    <w:rsid w:val="005E3890"/>
    <w:rsid w:val="005E3AC1"/>
    <w:rsid w:val="005E3B8C"/>
    <w:rsid w:val="005E3DDE"/>
    <w:rsid w:val="005E4031"/>
    <w:rsid w:val="005E41D1"/>
    <w:rsid w:val="005E4D66"/>
    <w:rsid w:val="005E4F17"/>
    <w:rsid w:val="005E50E7"/>
    <w:rsid w:val="005E53C8"/>
    <w:rsid w:val="005E542D"/>
    <w:rsid w:val="005E546F"/>
    <w:rsid w:val="005E5681"/>
    <w:rsid w:val="005E5733"/>
    <w:rsid w:val="005E58B8"/>
    <w:rsid w:val="005E58FC"/>
    <w:rsid w:val="005E5DE3"/>
    <w:rsid w:val="005E617A"/>
    <w:rsid w:val="005E61B5"/>
    <w:rsid w:val="005E667F"/>
    <w:rsid w:val="005E6A11"/>
    <w:rsid w:val="005E6BC5"/>
    <w:rsid w:val="005E6F83"/>
    <w:rsid w:val="005E7A6A"/>
    <w:rsid w:val="005E7B3A"/>
    <w:rsid w:val="005E7BE1"/>
    <w:rsid w:val="005F026D"/>
    <w:rsid w:val="005F0270"/>
    <w:rsid w:val="005F02F8"/>
    <w:rsid w:val="005F050E"/>
    <w:rsid w:val="005F0859"/>
    <w:rsid w:val="005F098B"/>
    <w:rsid w:val="005F0AEB"/>
    <w:rsid w:val="005F0B00"/>
    <w:rsid w:val="005F0FB1"/>
    <w:rsid w:val="005F126B"/>
    <w:rsid w:val="005F133D"/>
    <w:rsid w:val="005F15BC"/>
    <w:rsid w:val="005F169D"/>
    <w:rsid w:val="005F18F3"/>
    <w:rsid w:val="005F191F"/>
    <w:rsid w:val="005F1A75"/>
    <w:rsid w:val="005F1B06"/>
    <w:rsid w:val="005F1E2A"/>
    <w:rsid w:val="005F1FA1"/>
    <w:rsid w:val="005F2313"/>
    <w:rsid w:val="005F2388"/>
    <w:rsid w:val="005F2478"/>
    <w:rsid w:val="005F250B"/>
    <w:rsid w:val="005F257C"/>
    <w:rsid w:val="005F28AD"/>
    <w:rsid w:val="005F2B4B"/>
    <w:rsid w:val="005F2B72"/>
    <w:rsid w:val="005F2BCE"/>
    <w:rsid w:val="005F2C40"/>
    <w:rsid w:val="005F2DD3"/>
    <w:rsid w:val="005F2EE6"/>
    <w:rsid w:val="005F2F7E"/>
    <w:rsid w:val="005F303E"/>
    <w:rsid w:val="005F34A7"/>
    <w:rsid w:val="005F38F0"/>
    <w:rsid w:val="005F38F6"/>
    <w:rsid w:val="005F3926"/>
    <w:rsid w:val="005F3A0F"/>
    <w:rsid w:val="005F3CAE"/>
    <w:rsid w:val="005F3E56"/>
    <w:rsid w:val="005F3EC3"/>
    <w:rsid w:val="005F4059"/>
    <w:rsid w:val="005F4394"/>
    <w:rsid w:val="005F4483"/>
    <w:rsid w:val="005F44BC"/>
    <w:rsid w:val="005F45BE"/>
    <w:rsid w:val="005F4752"/>
    <w:rsid w:val="005F4D1F"/>
    <w:rsid w:val="005F4F70"/>
    <w:rsid w:val="005F580A"/>
    <w:rsid w:val="005F5F1F"/>
    <w:rsid w:val="005F5FB4"/>
    <w:rsid w:val="005F64CD"/>
    <w:rsid w:val="005F686A"/>
    <w:rsid w:val="005F69ED"/>
    <w:rsid w:val="005F6B1D"/>
    <w:rsid w:val="005F6D7E"/>
    <w:rsid w:val="005F7056"/>
    <w:rsid w:val="005F7753"/>
    <w:rsid w:val="005F7A65"/>
    <w:rsid w:val="0060001D"/>
    <w:rsid w:val="00600157"/>
    <w:rsid w:val="00600191"/>
    <w:rsid w:val="00600328"/>
    <w:rsid w:val="0060039B"/>
    <w:rsid w:val="00600609"/>
    <w:rsid w:val="00600D19"/>
    <w:rsid w:val="00600E82"/>
    <w:rsid w:val="00601182"/>
    <w:rsid w:val="006012FA"/>
    <w:rsid w:val="00601367"/>
    <w:rsid w:val="006013A0"/>
    <w:rsid w:val="006013D4"/>
    <w:rsid w:val="0060140F"/>
    <w:rsid w:val="006014C9"/>
    <w:rsid w:val="00601803"/>
    <w:rsid w:val="006019DC"/>
    <w:rsid w:val="00601C94"/>
    <w:rsid w:val="0060226C"/>
    <w:rsid w:val="0060251E"/>
    <w:rsid w:val="00602A38"/>
    <w:rsid w:val="00602B43"/>
    <w:rsid w:val="00602B5C"/>
    <w:rsid w:val="00602D6B"/>
    <w:rsid w:val="00602D98"/>
    <w:rsid w:val="00602DAE"/>
    <w:rsid w:val="00602EB5"/>
    <w:rsid w:val="006030E0"/>
    <w:rsid w:val="0060333B"/>
    <w:rsid w:val="00603410"/>
    <w:rsid w:val="006036E7"/>
    <w:rsid w:val="00603BA4"/>
    <w:rsid w:val="00604128"/>
    <w:rsid w:val="00604130"/>
    <w:rsid w:val="0060462C"/>
    <w:rsid w:val="00604BEA"/>
    <w:rsid w:val="00604DAF"/>
    <w:rsid w:val="006050D9"/>
    <w:rsid w:val="00605274"/>
    <w:rsid w:val="00605421"/>
    <w:rsid w:val="00605580"/>
    <w:rsid w:val="00605758"/>
    <w:rsid w:val="006059DD"/>
    <w:rsid w:val="00605A7D"/>
    <w:rsid w:val="00605BB2"/>
    <w:rsid w:val="00605C38"/>
    <w:rsid w:val="006060DE"/>
    <w:rsid w:val="00606548"/>
    <w:rsid w:val="006065A4"/>
    <w:rsid w:val="006067AF"/>
    <w:rsid w:val="00606BA8"/>
    <w:rsid w:val="00606DFD"/>
    <w:rsid w:val="00606EB2"/>
    <w:rsid w:val="00606FD9"/>
    <w:rsid w:val="00607049"/>
    <w:rsid w:val="006070B4"/>
    <w:rsid w:val="00607575"/>
    <w:rsid w:val="00607BA5"/>
    <w:rsid w:val="00607C58"/>
    <w:rsid w:val="00607FE0"/>
    <w:rsid w:val="0061019D"/>
    <w:rsid w:val="006101BA"/>
    <w:rsid w:val="00610371"/>
    <w:rsid w:val="00610373"/>
    <w:rsid w:val="00610525"/>
    <w:rsid w:val="00610606"/>
    <w:rsid w:val="006107C4"/>
    <w:rsid w:val="006107C5"/>
    <w:rsid w:val="006109BD"/>
    <w:rsid w:val="00610AED"/>
    <w:rsid w:val="00610CF2"/>
    <w:rsid w:val="00611069"/>
    <w:rsid w:val="0061148B"/>
    <w:rsid w:val="006115B0"/>
    <w:rsid w:val="006115BE"/>
    <w:rsid w:val="0061160D"/>
    <w:rsid w:val="0061180A"/>
    <w:rsid w:val="0061183F"/>
    <w:rsid w:val="00611C1A"/>
    <w:rsid w:val="00611C91"/>
    <w:rsid w:val="00611E9B"/>
    <w:rsid w:val="006122E9"/>
    <w:rsid w:val="00612621"/>
    <w:rsid w:val="0061275A"/>
    <w:rsid w:val="0061278B"/>
    <w:rsid w:val="006128F9"/>
    <w:rsid w:val="00612B22"/>
    <w:rsid w:val="00612B29"/>
    <w:rsid w:val="00612E08"/>
    <w:rsid w:val="006130BD"/>
    <w:rsid w:val="006131A4"/>
    <w:rsid w:val="00613314"/>
    <w:rsid w:val="0061343C"/>
    <w:rsid w:val="00613487"/>
    <w:rsid w:val="0061355E"/>
    <w:rsid w:val="00613A48"/>
    <w:rsid w:val="00613AF7"/>
    <w:rsid w:val="006140E8"/>
    <w:rsid w:val="00614148"/>
    <w:rsid w:val="00614270"/>
    <w:rsid w:val="00614450"/>
    <w:rsid w:val="0061452C"/>
    <w:rsid w:val="006146BF"/>
    <w:rsid w:val="006148AF"/>
    <w:rsid w:val="00614943"/>
    <w:rsid w:val="00614A7F"/>
    <w:rsid w:val="00614BD4"/>
    <w:rsid w:val="00614E94"/>
    <w:rsid w:val="0061503B"/>
    <w:rsid w:val="00615337"/>
    <w:rsid w:val="006155D3"/>
    <w:rsid w:val="00615803"/>
    <w:rsid w:val="0061590D"/>
    <w:rsid w:val="00615A99"/>
    <w:rsid w:val="006166B0"/>
    <w:rsid w:val="00616865"/>
    <w:rsid w:val="00616892"/>
    <w:rsid w:val="00616D2B"/>
    <w:rsid w:val="00616EFA"/>
    <w:rsid w:val="00617050"/>
    <w:rsid w:val="006171C9"/>
    <w:rsid w:val="006171F4"/>
    <w:rsid w:val="00617202"/>
    <w:rsid w:val="006173E9"/>
    <w:rsid w:val="0061795B"/>
    <w:rsid w:val="0061798B"/>
    <w:rsid w:val="00617DDE"/>
    <w:rsid w:val="00617F99"/>
    <w:rsid w:val="0062011E"/>
    <w:rsid w:val="00620455"/>
    <w:rsid w:val="00620B7C"/>
    <w:rsid w:val="00620E04"/>
    <w:rsid w:val="006214C5"/>
    <w:rsid w:val="006219D3"/>
    <w:rsid w:val="00621C69"/>
    <w:rsid w:val="00621EA8"/>
    <w:rsid w:val="00622034"/>
    <w:rsid w:val="006225BF"/>
    <w:rsid w:val="00622616"/>
    <w:rsid w:val="0062267C"/>
    <w:rsid w:val="00622683"/>
    <w:rsid w:val="006227DC"/>
    <w:rsid w:val="00622883"/>
    <w:rsid w:val="00622983"/>
    <w:rsid w:val="006229F5"/>
    <w:rsid w:val="00622CDC"/>
    <w:rsid w:val="00622D6E"/>
    <w:rsid w:val="00622E2F"/>
    <w:rsid w:val="00623089"/>
    <w:rsid w:val="006230AB"/>
    <w:rsid w:val="006230C2"/>
    <w:rsid w:val="006231B3"/>
    <w:rsid w:val="00623288"/>
    <w:rsid w:val="00623467"/>
    <w:rsid w:val="00623503"/>
    <w:rsid w:val="00623D00"/>
    <w:rsid w:val="00623E12"/>
    <w:rsid w:val="006241DD"/>
    <w:rsid w:val="0062428B"/>
    <w:rsid w:val="00624319"/>
    <w:rsid w:val="00624533"/>
    <w:rsid w:val="00624A46"/>
    <w:rsid w:val="00624D53"/>
    <w:rsid w:val="00624E74"/>
    <w:rsid w:val="00625158"/>
    <w:rsid w:val="00625478"/>
    <w:rsid w:val="00625983"/>
    <w:rsid w:val="00625A8D"/>
    <w:rsid w:val="00625C24"/>
    <w:rsid w:val="00626419"/>
    <w:rsid w:val="00626461"/>
    <w:rsid w:val="0062694D"/>
    <w:rsid w:val="00626CE7"/>
    <w:rsid w:val="00626D90"/>
    <w:rsid w:val="00626EB6"/>
    <w:rsid w:val="0062730A"/>
    <w:rsid w:val="006275A9"/>
    <w:rsid w:val="006276C3"/>
    <w:rsid w:val="006277E4"/>
    <w:rsid w:val="00627BB2"/>
    <w:rsid w:val="006305CE"/>
    <w:rsid w:val="00630AB8"/>
    <w:rsid w:val="0063128D"/>
    <w:rsid w:val="00631D67"/>
    <w:rsid w:val="00631EF6"/>
    <w:rsid w:val="00632084"/>
    <w:rsid w:val="00632104"/>
    <w:rsid w:val="0063210B"/>
    <w:rsid w:val="0063216E"/>
    <w:rsid w:val="0063224B"/>
    <w:rsid w:val="006322A6"/>
    <w:rsid w:val="00632427"/>
    <w:rsid w:val="006326E0"/>
    <w:rsid w:val="0063318F"/>
    <w:rsid w:val="00633345"/>
    <w:rsid w:val="00633513"/>
    <w:rsid w:val="0063378A"/>
    <w:rsid w:val="00633856"/>
    <w:rsid w:val="006338ED"/>
    <w:rsid w:val="00633F21"/>
    <w:rsid w:val="00633F42"/>
    <w:rsid w:val="0063446F"/>
    <w:rsid w:val="0063454D"/>
    <w:rsid w:val="00634AB4"/>
    <w:rsid w:val="00634AEA"/>
    <w:rsid w:val="00634BF7"/>
    <w:rsid w:val="00634E37"/>
    <w:rsid w:val="00635193"/>
    <w:rsid w:val="006352FE"/>
    <w:rsid w:val="0063590B"/>
    <w:rsid w:val="00635996"/>
    <w:rsid w:val="00635C42"/>
    <w:rsid w:val="00635DAD"/>
    <w:rsid w:val="00636479"/>
    <w:rsid w:val="0063649E"/>
    <w:rsid w:val="00636507"/>
    <w:rsid w:val="00636528"/>
    <w:rsid w:val="0063659D"/>
    <w:rsid w:val="006365DD"/>
    <w:rsid w:val="00636935"/>
    <w:rsid w:val="00636A55"/>
    <w:rsid w:val="0063709B"/>
    <w:rsid w:val="00637336"/>
    <w:rsid w:val="00637482"/>
    <w:rsid w:val="006375D4"/>
    <w:rsid w:val="00637685"/>
    <w:rsid w:val="00637787"/>
    <w:rsid w:val="006392D0"/>
    <w:rsid w:val="00640095"/>
    <w:rsid w:val="0064073B"/>
    <w:rsid w:val="00640C46"/>
    <w:rsid w:val="00640C55"/>
    <w:rsid w:val="00640F0A"/>
    <w:rsid w:val="00641018"/>
    <w:rsid w:val="006411A1"/>
    <w:rsid w:val="00641360"/>
    <w:rsid w:val="006415F6"/>
    <w:rsid w:val="00641683"/>
    <w:rsid w:val="00641806"/>
    <w:rsid w:val="00641830"/>
    <w:rsid w:val="00641AED"/>
    <w:rsid w:val="00641B39"/>
    <w:rsid w:val="00641CD2"/>
    <w:rsid w:val="00641CD7"/>
    <w:rsid w:val="00641E18"/>
    <w:rsid w:val="00641E2A"/>
    <w:rsid w:val="0064230F"/>
    <w:rsid w:val="0064237F"/>
    <w:rsid w:val="00642737"/>
    <w:rsid w:val="00642A0C"/>
    <w:rsid w:val="00642A63"/>
    <w:rsid w:val="00642B72"/>
    <w:rsid w:val="00642FD1"/>
    <w:rsid w:val="00643309"/>
    <w:rsid w:val="006435E2"/>
    <w:rsid w:val="00643636"/>
    <w:rsid w:val="0064364D"/>
    <w:rsid w:val="00643928"/>
    <w:rsid w:val="00643D31"/>
    <w:rsid w:val="00643E95"/>
    <w:rsid w:val="006441E5"/>
    <w:rsid w:val="00644228"/>
    <w:rsid w:val="0064428E"/>
    <w:rsid w:val="00644364"/>
    <w:rsid w:val="0064437D"/>
    <w:rsid w:val="006446C4"/>
    <w:rsid w:val="00644825"/>
    <w:rsid w:val="00644883"/>
    <w:rsid w:val="00644E2F"/>
    <w:rsid w:val="00644EA9"/>
    <w:rsid w:val="00645016"/>
    <w:rsid w:val="00645185"/>
    <w:rsid w:val="00645A82"/>
    <w:rsid w:val="00645BDE"/>
    <w:rsid w:val="00645C09"/>
    <w:rsid w:val="00645C17"/>
    <w:rsid w:val="00645CE9"/>
    <w:rsid w:val="00645CF9"/>
    <w:rsid w:val="00645F84"/>
    <w:rsid w:val="00646068"/>
    <w:rsid w:val="006460A8"/>
    <w:rsid w:val="00646427"/>
    <w:rsid w:val="006466C3"/>
    <w:rsid w:val="00646BF2"/>
    <w:rsid w:val="00646BFF"/>
    <w:rsid w:val="00646D5C"/>
    <w:rsid w:val="00646E32"/>
    <w:rsid w:val="00646E74"/>
    <w:rsid w:val="00646F34"/>
    <w:rsid w:val="00646F5E"/>
    <w:rsid w:val="00646FCD"/>
    <w:rsid w:val="00647219"/>
    <w:rsid w:val="006476F9"/>
    <w:rsid w:val="00647824"/>
    <w:rsid w:val="006479F9"/>
    <w:rsid w:val="00647A8D"/>
    <w:rsid w:val="00647B53"/>
    <w:rsid w:val="00647B69"/>
    <w:rsid w:val="00647D1E"/>
    <w:rsid w:val="00647FF6"/>
    <w:rsid w:val="006501C7"/>
    <w:rsid w:val="00650404"/>
    <w:rsid w:val="0065058D"/>
    <w:rsid w:val="006508AA"/>
    <w:rsid w:val="00650A23"/>
    <w:rsid w:val="00650F92"/>
    <w:rsid w:val="006510A7"/>
    <w:rsid w:val="006514DE"/>
    <w:rsid w:val="00651AB0"/>
    <w:rsid w:val="00652035"/>
    <w:rsid w:val="00652BD7"/>
    <w:rsid w:val="00652F50"/>
    <w:rsid w:val="00653227"/>
    <w:rsid w:val="006533F9"/>
    <w:rsid w:val="0065347C"/>
    <w:rsid w:val="006538CA"/>
    <w:rsid w:val="00653B1A"/>
    <w:rsid w:val="00653D4F"/>
    <w:rsid w:val="00654128"/>
    <w:rsid w:val="00654250"/>
    <w:rsid w:val="006544B7"/>
    <w:rsid w:val="00654585"/>
    <w:rsid w:val="00654659"/>
    <w:rsid w:val="00654904"/>
    <w:rsid w:val="00654998"/>
    <w:rsid w:val="006551C0"/>
    <w:rsid w:val="0065536F"/>
    <w:rsid w:val="006553D4"/>
    <w:rsid w:val="0065550F"/>
    <w:rsid w:val="0065565C"/>
    <w:rsid w:val="0065587F"/>
    <w:rsid w:val="006558C8"/>
    <w:rsid w:val="00655BAF"/>
    <w:rsid w:val="00655D03"/>
    <w:rsid w:val="00655E45"/>
    <w:rsid w:val="006561BF"/>
    <w:rsid w:val="00656545"/>
    <w:rsid w:val="00656648"/>
    <w:rsid w:val="0065684C"/>
    <w:rsid w:val="00656A54"/>
    <w:rsid w:val="00656AF2"/>
    <w:rsid w:val="00656B16"/>
    <w:rsid w:val="00656CF6"/>
    <w:rsid w:val="00656E14"/>
    <w:rsid w:val="00656F50"/>
    <w:rsid w:val="006570D1"/>
    <w:rsid w:val="00657181"/>
    <w:rsid w:val="006572F7"/>
    <w:rsid w:val="006574F4"/>
    <w:rsid w:val="00657513"/>
    <w:rsid w:val="00657C40"/>
    <w:rsid w:val="00657ECD"/>
    <w:rsid w:val="0065922E"/>
    <w:rsid w:val="006602A0"/>
    <w:rsid w:val="00660385"/>
    <w:rsid w:val="00660ABA"/>
    <w:rsid w:val="00660E1D"/>
    <w:rsid w:val="00660EB1"/>
    <w:rsid w:val="00661150"/>
    <w:rsid w:val="006611E3"/>
    <w:rsid w:val="0066134F"/>
    <w:rsid w:val="006615DC"/>
    <w:rsid w:val="00661DA4"/>
    <w:rsid w:val="00661F6A"/>
    <w:rsid w:val="006621CB"/>
    <w:rsid w:val="00662262"/>
    <w:rsid w:val="006627D1"/>
    <w:rsid w:val="00662EE5"/>
    <w:rsid w:val="00663157"/>
    <w:rsid w:val="006636AE"/>
    <w:rsid w:val="0066380B"/>
    <w:rsid w:val="00663869"/>
    <w:rsid w:val="00663AA3"/>
    <w:rsid w:val="00663AAE"/>
    <w:rsid w:val="00663D99"/>
    <w:rsid w:val="00663F39"/>
    <w:rsid w:val="006641AD"/>
    <w:rsid w:val="0066425F"/>
    <w:rsid w:val="006644CD"/>
    <w:rsid w:val="0066481D"/>
    <w:rsid w:val="0066484F"/>
    <w:rsid w:val="00664F64"/>
    <w:rsid w:val="00665166"/>
    <w:rsid w:val="00665E2A"/>
    <w:rsid w:val="00666074"/>
    <w:rsid w:val="00666474"/>
    <w:rsid w:val="0066663E"/>
    <w:rsid w:val="006669A0"/>
    <w:rsid w:val="00666A92"/>
    <w:rsid w:val="00666AB7"/>
    <w:rsid w:val="00666B05"/>
    <w:rsid w:val="00666B30"/>
    <w:rsid w:val="00666B55"/>
    <w:rsid w:val="00666DE6"/>
    <w:rsid w:val="00667148"/>
    <w:rsid w:val="0066737F"/>
    <w:rsid w:val="006673F1"/>
    <w:rsid w:val="006675DD"/>
    <w:rsid w:val="00667729"/>
    <w:rsid w:val="00667763"/>
    <w:rsid w:val="0066779A"/>
    <w:rsid w:val="00667ABA"/>
    <w:rsid w:val="00667D79"/>
    <w:rsid w:val="00667E1F"/>
    <w:rsid w:val="0066B358"/>
    <w:rsid w:val="006702BD"/>
    <w:rsid w:val="00670359"/>
    <w:rsid w:val="0067046C"/>
    <w:rsid w:val="006709B8"/>
    <w:rsid w:val="00670A3F"/>
    <w:rsid w:val="00670B7B"/>
    <w:rsid w:val="00670C04"/>
    <w:rsid w:val="00670CC9"/>
    <w:rsid w:val="00670D22"/>
    <w:rsid w:val="006718E2"/>
    <w:rsid w:val="00671BDF"/>
    <w:rsid w:val="00671E44"/>
    <w:rsid w:val="00672071"/>
    <w:rsid w:val="006721A2"/>
    <w:rsid w:val="0067252F"/>
    <w:rsid w:val="006726E2"/>
    <w:rsid w:val="00672724"/>
    <w:rsid w:val="0067286F"/>
    <w:rsid w:val="006728D4"/>
    <w:rsid w:val="00672DD1"/>
    <w:rsid w:val="00673301"/>
    <w:rsid w:val="00673915"/>
    <w:rsid w:val="00674030"/>
    <w:rsid w:val="00674082"/>
    <w:rsid w:val="0067433C"/>
    <w:rsid w:val="006743A6"/>
    <w:rsid w:val="006749A4"/>
    <w:rsid w:val="00674B4B"/>
    <w:rsid w:val="00674CAA"/>
    <w:rsid w:val="00674DE6"/>
    <w:rsid w:val="00674E22"/>
    <w:rsid w:val="00675015"/>
    <w:rsid w:val="006750A8"/>
    <w:rsid w:val="00675607"/>
    <w:rsid w:val="006756D0"/>
    <w:rsid w:val="0067589F"/>
    <w:rsid w:val="006759BF"/>
    <w:rsid w:val="00675A93"/>
    <w:rsid w:val="00675B49"/>
    <w:rsid w:val="00675E20"/>
    <w:rsid w:val="00676349"/>
    <w:rsid w:val="006768F9"/>
    <w:rsid w:val="00676936"/>
    <w:rsid w:val="00676F1A"/>
    <w:rsid w:val="006772AE"/>
    <w:rsid w:val="006775E5"/>
    <w:rsid w:val="00677647"/>
    <w:rsid w:val="00677C95"/>
    <w:rsid w:val="00677D22"/>
    <w:rsid w:val="00677E91"/>
    <w:rsid w:val="00677F35"/>
    <w:rsid w:val="00680047"/>
    <w:rsid w:val="006802BB"/>
    <w:rsid w:val="006803C8"/>
    <w:rsid w:val="00680598"/>
    <w:rsid w:val="0068065B"/>
    <w:rsid w:val="00680748"/>
    <w:rsid w:val="006807FA"/>
    <w:rsid w:val="0068090C"/>
    <w:rsid w:val="00680F50"/>
    <w:rsid w:val="00681019"/>
    <w:rsid w:val="006810B7"/>
    <w:rsid w:val="006811E3"/>
    <w:rsid w:val="006813CF"/>
    <w:rsid w:val="0068165C"/>
    <w:rsid w:val="00681A3C"/>
    <w:rsid w:val="00681BF8"/>
    <w:rsid w:val="00681D84"/>
    <w:rsid w:val="00681F03"/>
    <w:rsid w:val="00681F17"/>
    <w:rsid w:val="00681F5E"/>
    <w:rsid w:val="00682376"/>
    <w:rsid w:val="00682898"/>
    <w:rsid w:val="006828F7"/>
    <w:rsid w:val="00682957"/>
    <w:rsid w:val="0068296B"/>
    <w:rsid w:val="00682B80"/>
    <w:rsid w:val="00682CC1"/>
    <w:rsid w:val="00682D1E"/>
    <w:rsid w:val="00683388"/>
    <w:rsid w:val="006833EC"/>
    <w:rsid w:val="00683595"/>
    <w:rsid w:val="0068372C"/>
    <w:rsid w:val="00683905"/>
    <w:rsid w:val="00683AA5"/>
    <w:rsid w:val="00683BB7"/>
    <w:rsid w:val="00683D92"/>
    <w:rsid w:val="00683F07"/>
    <w:rsid w:val="00683F84"/>
    <w:rsid w:val="00683FB4"/>
    <w:rsid w:val="006840F8"/>
    <w:rsid w:val="006841FD"/>
    <w:rsid w:val="0068468B"/>
    <w:rsid w:val="00684697"/>
    <w:rsid w:val="00684BA7"/>
    <w:rsid w:val="00684D49"/>
    <w:rsid w:val="00684FD1"/>
    <w:rsid w:val="006850EA"/>
    <w:rsid w:val="0068515B"/>
    <w:rsid w:val="006851EB"/>
    <w:rsid w:val="006854D2"/>
    <w:rsid w:val="00685B53"/>
    <w:rsid w:val="00685BC1"/>
    <w:rsid w:val="006860B9"/>
    <w:rsid w:val="006868CC"/>
    <w:rsid w:val="00686D2E"/>
    <w:rsid w:val="00686D42"/>
    <w:rsid w:val="00686DC2"/>
    <w:rsid w:val="0068715D"/>
    <w:rsid w:val="0068734D"/>
    <w:rsid w:val="006876F9"/>
    <w:rsid w:val="00687B31"/>
    <w:rsid w:val="00687B5C"/>
    <w:rsid w:val="00687E08"/>
    <w:rsid w:val="00690097"/>
    <w:rsid w:val="006901A1"/>
    <w:rsid w:val="006902DA"/>
    <w:rsid w:val="00690471"/>
    <w:rsid w:val="0069058F"/>
    <w:rsid w:val="0069083C"/>
    <w:rsid w:val="0069095F"/>
    <w:rsid w:val="00690983"/>
    <w:rsid w:val="006909F4"/>
    <w:rsid w:val="00690CD6"/>
    <w:rsid w:val="00690E69"/>
    <w:rsid w:val="0069100C"/>
    <w:rsid w:val="0069118D"/>
    <w:rsid w:val="00691897"/>
    <w:rsid w:val="006918F4"/>
    <w:rsid w:val="00691A3E"/>
    <w:rsid w:val="00691A52"/>
    <w:rsid w:val="00691F39"/>
    <w:rsid w:val="006923DF"/>
    <w:rsid w:val="00692455"/>
    <w:rsid w:val="006926A1"/>
    <w:rsid w:val="00692723"/>
    <w:rsid w:val="0069296F"/>
    <w:rsid w:val="00692D11"/>
    <w:rsid w:val="00692DC5"/>
    <w:rsid w:val="00692F1D"/>
    <w:rsid w:val="0069334B"/>
    <w:rsid w:val="00693943"/>
    <w:rsid w:val="006939C5"/>
    <w:rsid w:val="00693CF0"/>
    <w:rsid w:val="006941B5"/>
    <w:rsid w:val="006941CC"/>
    <w:rsid w:val="0069429B"/>
    <w:rsid w:val="00694566"/>
    <w:rsid w:val="0069472B"/>
    <w:rsid w:val="00694870"/>
    <w:rsid w:val="00694911"/>
    <w:rsid w:val="00694B53"/>
    <w:rsid w:val="00694C5B"/>
    <w:rsid w:val="00694CE6"/>
    <w:rsid w:val="00694D8D"/>
    <w:rsid w:val="00694E1D"/>
    <w:rsid w:val="00694FF0"/>
    <w:rsid w:val="00695294"/>
    <w:rsid w:val="0069556F"/>
    <w:rsid w:val="00695AC6"/>
    <w:rsid w:val="00695F11"/>
    <w:rsid w:val="00696170"/>
    <w:rsid w:val="00696355"/>
    <w:rsid w:val="006965E0"/>
    <w:rsid w:val="00696B39"/>
    <w:rsid w:val="00696BB6"/>
    <w:rsid w:val="00696D7D"/>
    <w:rsid w:val="00696F3F"/>
    <w:rsid w:val="006978E0"/>
    <w:rsid w:val="006A01B1"/>
    <w:rsid w:val="006A01FD"/>
    <w:rsid w:val="006A034E"/>
    <w:rsid w:val="006A0766"/>
    <w:rsid w:val="006A0A3C"/>
    <w:rsid w:val="006A0B06"/>
    <w:rsid w:val="006A0C9C"/>
    <w:rsid w:val="006A0DB0"/>
    <w:rsid w:val="006A0DFA"/>
    <w:rsid w:val="006A1171"/>
    <w:rsid w:val="006A1689"/>
    <w:rsid w:val="006A18D8"/>
    <w:rsid w:val="006A1EDC"/>
    <w:rsid w:val="006A2252"/>
    <w:rsid w:val="006A243F"/>
    <w:rsid w:val="006A25BA"/>
    <w:rsid w:val="006A27A9"/>
    <w:rsid w:val="006A2921"/>
    <w:rsid w:val="006A2931"/>
    <w:rsid w:val="006A2A20"/>
    <w:rsid w:val="006A2F69"/>
    <w:rsid w:val="006A342A"/>
    <w:rsid w:val="006A3B55"/>
    <w:rsid w:val="006A3B9A"/>
    <w:rsid w:val="006A3D8D"/>
    <w:rsid w:val="006A40D3"/>
    <w:rsid w:val="006A45AC"/>
    <w:rsid w:val="006A467C"/>
    <w:rsid w:val="006A4AA5"/>
    <w:rsid w:val="006A4F13"/>
    <w:rsid w:val="006A552A"/>
    <w:rsid w:val="006A5610"/>
    <w:rsid w:val="006A5661"/>
    <w:rsid w:val="006A5702"/>
    <w:rsid w:val="006A5D67"/>
    <w:rsid w:val="006A6283"/>
    <w:rsid w:val="006A6582"/>
    <w:rsid w:val="006A6A81"/>
    <w:rsid w:val="006A6AF4"/>
    <w:rsid w:val="006A6F36"/>
    <w:rsid w:val="006A6F6E"/>
    <w:rsid w:val="006A7262"/>
    <w:rsid w:val="006A758B"/>
    <w:rsid w:val="006A75AC"/>
    <w:rsid w:val="006A7633"/>
    <w:rsid w:val="006A777E"/>
    <w:rsid w:val="006A7B88"/>
    <w:rsid w:val="006AA8BD"/>
    <w:rsid w:val="006B0290"/>
    <w:rsid w:val="006B04DA"/>
    <w:rsid w:val="006B06D4"/>
    <w:rsid w:val="006B076E"/>
    <w:rsid w:val="006B098F"/>
    <w:rsid w:val="006B0A4D"/>
    <w:rsid w:val="006B0F55"/>
    <w:rsid w:val="006B0FC6"/>
    <w:rsid w:val="006B18E6"/>
    <w:rsid w:val="006B19C6"/>
    <w:rsid w:val="006B1A0D"/>
    <w:rsid w:val="006B1E3C"/>
    <w:rsid w:val="006B2092"/>
    <w:rsid w:val="006B214A"/>
    <w:rsid w:val="006B21AB"/>
    <w:rsid w:val="006B21CB"/>
    <w:rsid w:val="006B2317"/>
    <w:rsid w:val="006B26EA"/>
    <w:rsid w:val="006B2D60"/>
    <w:rsid w:val="006B30A1"/>
    <w:rsid w:val="006B33BB"/>
    <w:rsid w:val="006B3ED6"/>
    <w:rsid w:val="006B3F56"/>
    <w:rsid w:val="006B45F7"/>
    <w:rsid w:val="006B48C6"/>
    <w:rsid w:val="006B4D6B"/>
    <w:rsid w:val="006B4DD5"/>
    <w:rsid w:val="006B51EC"/>
    <w:rsid w:val="006B5586"/>
    <w:rsid w:val="006B560F"/>
    <w:rsid w:val="006B5699"/>
    <w:rsid w:val="006B5AF2"/>
    <w:rsid w:val="006B5C0B"/>
    <w:rsid w:val="006B5C4F"/>
    <w:rsid w:val="006B6230"/>
    <w:rsid w:val="006B64B9"/>
    <w:rsid w:val="006B69A7"/>
    <w:rsid w:val="006B6C56"/>
    <w:rsid w:val="006B6F63"/>
    <w:rsid w:val="006B73B6"/>
    <w:rsid w:val="006B7A7C"/>
    <w:rsid w:val="006B7C11"/>
    <w:rsid w:val="006B7E82"/>
    <w:rsid w:val="006B7FBF"/>
    <w:rsid w:val="006C039B"/>
    <w:rsid w:val="006C0524"/>
    <w:rsid w:val="006C0BE3"/>
    <w:rsid w:val="006C0DFA"/>
    <w:rsid w:val="006C0E1F"/>
    <w:rsid w:val="006C1422"/>
    <w:rsid w:val="006C1507"/>
    <w:rsid w:val="006C1526"/>
    <w:rsid w:val="006C1635"/>
    <w:rsid w:val="006C164D"/>
    <w:rsid w:val="006C18DE"/>
    <w:rsid w:val="006C193A"/>
    <w:rsid w:val="006C194F"/>
    <w:rsid w:val="006C1A99"/>
    <w:rsid w:val="006C1AE9"/>
    <w:rsid w:val="006C1BC6"/>
    <w:rsid w:val="006C2086"/>
    <w:rsid w:val="006C2240"/>
    <w:rsid w:val="006C23A8"/>
    <w:rsid w:val="006C2540"/>
    <w:rsid w:val="006C2543"/>
    <w:rsid w:val="006C2623"/>
    <w:rsid w:val="006C2778"/>
    <w:rsid w:val="006C27AE"/>
    <w:rsid w:val="006C2A50"/>
    <w:rsid w:val="006C2E72"/>
    <w:rsid w:val="006C2FB0"/>
    <w:rsid w:val="006C346A"/>
    <w:rsid w:val="006C3513"/>
    <w:rsid w:val="006C3B3E"/>
    <w:rsid w:val="006C3CD5"/>
    <w:rsid w:val="006C4014"/>
    <w:rsid w:val="006C4194"/>
    <w:rsid w:val="006C41EF"/>
    <w:rsid w:val="006C447D"/>
    <w:rsid w:val="006C44A1"/>
    <w:rsid w:val="006C4628"/>
    <w:rsid w:val="006C4C18"/>
    <w:rsid w:val="006C4CD7"/>
    <w:rsid w:val="006C4DBD"/>
    <w:rsid w:val="006C4E66"/>
    <w:rsid w:val="006C5724"/>
    <w:rsid w:val="006C574B"/>
    <w:rsid w:val="006C57F9"/>
    <w:rsid w:val="006C5983"/>
    <w:rsid w:val="006C59E0"/>
    <w:rsid w:val="006C5B5D"/>
    <w:rsid w:val="006C5BF6"/>
    <w:rsid w:val="006C5CCB"/>
    <w:rsid w:val="006C5D53"/>
    <w:rsid w:val="006C5DBB"/>
    <w:rsid w:val="006C5E07"/>
    <w:rsid w:val="006C60D0"/>
    <w:rsid w:val="006C62BA"/>
    <w:rsid w:val="006C6654"/>
    <w:rsid w:val="006C678C"/>
    <w:rsid w:val="006C69B9"/>
    <w:rsid w:val="006C6AE1"/>
    <w:rsid w:val="006C6BDC"/>
    <w:rsid w:val="006C6CDB"/>
    <w:rsid w:val="006C6EC1"/>
    <w:rsid w:val="006C73B9"/>
    <w:rsid w:val="006C74D6"/>
    <w:rsid w:val="006C7635"/>
    <w:rsid w:val="006C7933"/>
    <w:rsid w:val="006C7AAD"/>
    <w:rsid w:val="006D01A1"/>
    <w:rsid w:val="006D02DC"/>
    <w:rsid w:val="006D03DE"/>
    <w:rsid w:val="006D0450"/>
    <w:rsid w:val="006D06A7"/>
    <w:rsid w:val="006D09B7"/>
    <w:rsid w:val="006D0A48"/>
    <w:rsid w:val="006D0B9E"/>
    <w:rsid w:val="006D0D51"/>
    <w:rsid w:val="006D0F9E"/>
    <w:rsid w:val="006D1381"/>
    <w:rsid w:val="006D1729"/>
    <w:rsid w:val="006D1E9E"/>
    <w:rsid w:val="006D1F1C"/>
    <w:rsid w:val="006D2325"/>
    <w:rsid w:val="006D2757"/>
    <w:rsid w:val="006D2ABE"/>
    <w:rsid w:val="006D2DC7"/>
    <w:rsid w:val="006D2F2A"/>
    <w:rsid w:val="006D2FEC"/>
    <w:rsid w:val="006D302D"/>
    <w:rsid w:val="006D345F"/>
    <w:rsid w:val="006D35D9"/>
    <w:rsid w:val="006D3714"/>
    <w:rsid w:val="006D3A63"/>
    <w:rsid w:val="006D3EEC"/>
    <w:rsid w:val="006D4105"/>
    <w:rsid w:val="006D418B"/>
    <w:rsid w:val="006D4649"/>
    <w:rsid w:val="006D4C0C"/>
    <w:rsid w:val="006D4D25"/>
    <w:rsid w:val="006D4F16"/>
    <w:rsid w:val="006D5088"/>
    <w:rsid w:val="006D5993"/>
    <w:rsid w:val="006D59A1"/>
    <w:rsid w:val="006D5B4C"/>
    <w:rsid w:val="006D5C28"/>
    <w:rsid w:val="006D629D"/>
    <w:rsid w:val="006D6D24"/>
    <w:rsid w:val="006D6E5B"/>
    <w:rsid w:val="006D712C"/>
    <w:rsid w:val="006D725E"/>
    <w:rsid w:val="006D732F"/>
    <w:rsid w:val="006D73E5"/>
    <w:rsid w:val="006D7765"/>
    <w:rsid w:val="006D7E92"/>
    <w:rsid w:val="006E035A"/>
    <w:rsid w:val="006E03BB"/>
    <w:rsid w:val="006E08B1"/>
    <w:rsid w:val="006E097A"/>
    <w:rsid w:val="006E0E94"/>
    <w:rsid w:val="006E165E"/>
    <w:rsid w:val="006E1CE8"/>
    <w:rsid w:val="006E1D1C"/>
    <w:rsid w:val="006E1DE7"/>
    <w:rsid w:val="006E1E11"/>
    <w:rsid w:val="006E2099"/>
    <w:rsid w:val="006E2136"/>
    <w:rsid w:val="006E25B5"/>
    <w:rsid w:val="006E271A"/>
    <w:rsid w:val="006E2816"/>
    <w:rsid w:val="006E28CE"/>
    <w:rsid w:val="006E350B"/>
    <w:rsid w:val="006E35B6"/>
    <w:rsid w:val="006E3FD6"/>
    <w:rsid w:val="006E41A2"/>
    <w:rsid w:val="006E4230"/>
    <w:rsid w:val="006E4385"/>
    <w:rsid w:val="006E440B"/>
    <w:rsid w:val="006E456D"/>
    <w:rsid w:val="006E4770"/>
    <w:rsid w:val="006E4A87"/>
    <w:rsid w:val="006E4AF0"/>
    <w:rsid w:val="006E4CAD"/>
    <w:rsid w:val="006E4DE4"/>
    <w:rsid w:val="006E532A"/>
    <w:rsid w:val="006E540E"/>
    <w:rsid w:val="006E541A"/>
    <w:rsid w:val="006E55FC"/>
    <w:rsid w:val="006E5944"/>
    <w:rsid w:val="006E5A02"/>
    <w:rsid w:val="006E5CC6"/>
    <w:rsid w:val="006E62ED"/>
    <w:rsid w:val="006E6477"/>
    <w:rsid w:val="006E6516"/>
    <w:rsid w:val="006E664B"/>
    <w:rsid w:val="006E6B93"/>
    <w:rsid w:val="006E6D1E"/>
    <w:rsid w:val="006E6FB3"/>
    <w:rsid w:val="006E7221"/>
    <w:rsid w:val="006E7481"/>
    <w:rsid w:val="006E79F5"/>
    <w:rsid w:val="006E7A11"/>
    <w:rsid w:val="006E7D80"/>
    <w:rsid w:val="006F0036"/>
    <w:rsid w:val="006F007A"/>
    <w:rsid w:val="006F04D5"/>
    <w:rsid w:val="006F05AD"/>
    <w:rsid w:val="006F078E"/>
    <w:rsid w:val="006F087A"/>
    <w:rsid w:val="006F0941"/>
    <w:rsid w:val="006F0A82"/>
    <w:rsid w:val="006F0D31"/>
    <w:rsid w:val="006F0F4C"/>
    <w:rsid w:val="006F1147"/>
    <w:rsid w:val="006F11BD"/>
    <w:rsid w:val="006F1289"/>
    <w:rsid w:val="006F12F1"/>
    <w:rsid w:val="006F13FC"/>
    <w:rsid w:val="006F1AA4"/>
    <w:rsid w:val="006F1B75"/>
    <w:rsid w:val="006F1C37"/>
    <w:rsid w:val="006F1CFA"/>
    <w:rsid w:val="006F1E67"/>
    <w:rsid w:val="006F1F4C"/>
    <w:rsid w:val="006F211D"/>
    <w:rsid w:val="006F2363"/>
    <w:rsid w:val="006F238B"/>
    <w:rsid w:val="006F27A1"/>
    <w:rsid w:val="006F28F7"/>
    <w:rsid w:val="006F2946"/>
    <w:rsid w:val="006F2B42"/>
    <w:rsid w:val="006F2E76"/>
    <w:rsid w:val="006F3113"/>
    <w:rsid w:val="006F32F3"/>
    <w:rsid w:val="006F3527"/>
    <w:rsid w:val="006F35C2"/>
    <w:rsid w:val="006F378D"/>
    <w:rsid w:val="006F385C"/>
    <w:rsid w:val="006F3A51"/>
    <w:rsid w:val="006F3BA1"/>
    <w:rsid w:val="006F3CB4"/>
    <w:rsid w:val="006F3D77"/>
    <w:rsid w:val="006F3FE0"/>
    <w:rsid w:val="006F4105"/>
    <w:rsid w:val="006F4275"/>
    <w:rsid w:val="006F473E"/>
    <w:rsid w:val="006F498E"/>
    <w:rsid w:val="006F50FA"/>
    <w:rsid w:val="006F517B"/>
    <w:rsid w:val="006F529D"/>
    <w:rsid w:val="006F5642"/>
    <w:rsid w:val="006F58DD"/>
    <w:rsid w:val="006F5BDB"/>
    <w:rsid w:val="006F5F2A"/>
    <w:rsid w:val="006F619A"/>
    <w:rsid w:val="006F62DC"/>
    <w:rsid w:val="006F636E"/>
    <w:rsid w:val="006F65C1"/>
    <w:rsid w:val="006F6643"/>
    <w:rsid w:val="006F6795"/>
    <w:rsid w:val="006F689B"/>
    <w:rsid w:val="006F69F1"/>
    <w:rsid w:val="006F6A7E"/>
    <w:rsid w:val="006F6B6D"/>
    <w:rsid w:val="006F6BC4"/>
    <w:rsid w:val="006F6D96"/>
    <w:rsid w:val="006F6F9A"/>
    <w:rsid w:val="006F7223"/>
    <w:rsid w:val="006F7393"/>
    <w:rsid w:val="006F73E9"/>
    <w:rsid w:val="006F74B7"/>
    <w:rsid w:val="006F74F8"/>
    <w:rsid w:val="006F78B2"/>
    <w:rsid w:val="006F78CD"/>
    <w:rsid w:val="006F7D2A"/>
    <w:rsid w:val="007002DF"/>
    <w:rsid w:val="007002F2"/>
    <w:rsid w:val="0070063D"/>
    <w:rsid w:val="00700A25"/>
    <w:rsid w:val="00700CCD"/>
    <w:rsid w:val="00700DF1"/>
    <w:rsid w:val="00700E25"/>
    <w:rsid w:val="007010D5"/>
    <w:rsid w:val="00701126"/>
    <w:rsid w:val="007014D8"/>
    <w:rsid w:val="00701758"/>
    <w:rsid w:val="00701B90"/>
    <w:rsid w:val="00701F07"/>
    <w:rsid w:val="007020A8"/>
    <w:rsid w:val="0070224F"/>
    <w:rsid w:val="00702981"/>
    <w:rsid w:val="00702A18"/>
    <w:rsid w:val="00702B66"/>
    <w:rsid w:val="007034E3"/>
    <w:rsid w:val="007037BF"/>
    <w:rsid w:val="00703B3C"/>
    <w:rsid w:val="00703E46"/>
    <w:rsid w:val="00704017"/>
    <w:rsid w:val="00704079"/>
    <w:rsid w:val="0070468E"/>
    <w:rsid w:val="00704784"/>
    <w:rsid w:val="00704A1D"/>
    <w:rsid w:val="00704B8B"/>
    <w:rsid w:val="00704F46"/>
    <w:rsid w:val="00704FB2"/>
    <w:rsid w:val="00705038"/>
    <w:rsid w:val="00705080"/>
    <w:rsid w:val="00705312"/>
    <w:rsid w:val="00705717"/>
    <w:rsid w:val="0070589D"/>
    <w:rsid w:val="00705A6D"/>
    <w:rsid w:val="00705A9E"/>
    <w:rsid w:val="00705C72"/>
    <w:rsid w:val="00705F94"/>
    <w:rsid w:val="00706008"/>
    <w:rsid w:val="00706313"/>
    <w:rsid w:val="00706394"/>
    <w:rsid w:val="00706903"/>
    <w:rsid w:val="00706EFC"/>
    <w:rsid w:val="00706F9C"/>
    <w:rsid w:val="00707168"/>
    <w:rsid w:val="0070718B"/>
    <w:rsid w:val="0070739A"/>
    <w:rsid w:val="007077EE"/>
    <w:rsid w:val="007079E5"/>
    <w:rsid w:val="00707A84"/>
    <w:rsid w:val="00707BB7"/>
    <w:rsid w:val="00707D96"/>
    <w:rsid w:val="00710138"/>
    <w:rsid w:val="00710758"/>
    <w:rsid w:val="0071078C"/>
    <w:rsid w:val="00710A5D"/>
    <w:rsid w:val="00710A75"/>
    <w:rsid w:val="00710B69"/>
    <w:rsid w:val="007112C9"/>
    <w:rsid w:val="00711395"/>
    <w:rsid w:val="007115F7"/>
    <w:rsid w:val="00711739"/>
    <w:rsid w:val="00711C9C"/>
    <w:rsid w:val="007120B7"/>
    <w:rsid w:val="0071224B"/>
    <w:rsid w:val="007124FF"/>
    <w:rsid w:val="00712575"/>
    <w:rsid w:val="007125D0"/>
    <w:rsid w:val="0071277D"/>
    <w:rsid w:val="0071294A"/>
    <w:rsid w:val="00712BED"/>
    <w:rsid w:val="0071331B"/>
    <w:rsid w:val="00713861"/>
    <w:rsid w:val="00713E36"/>
    <w:rsid w:val="00713F8B"/>
    <w:rsid w:val="00713FF3"/>
    <w:rsid w:val="00714252"/>
    <w:rsid w:val="0071469C"/>
    <w:rsid w:val="007146B5"/>
    <w:rsid w:val="0071472E"/>
    <w:rsid w:val="0071477A"/>
    <w:rsid w:val="007147B3"/>
    <w:rsid w:val="00714A8E"/>
    <w:rsid w:val="00714D48"/>
    <w:rsid w:val="00715520"/>
    <w:rsid w:val="0071579A"/>
    <w:rsid w:val="00715A86"/>
    <w:rsid w:val="00715EEE"/>
    <w:rsid w:val="0071614A"/>
    <w:rsid w:val="007162B1"/>
    <w:rsid w:val="007163B7"/>
    <w:rsid w:val="007164F8"/>
    <w:rsid w:val="0071673D"/>
    <w:rsid w:val="00716C7E"/>
    <w:rsid w:val="00716F37"/>
    <w:rsid w:val="0071718E"/>
    <w:rsid w:val="007178DD"/>
    <w:rsid w:val="00717C5B"/>
    <w:rsid w:val="00717FE4"/>
    <w:rsid w:val="00720023"/>
    <w:rsid w:val="00720417"/>
    <w:rsid w:val="007205DB"/>
    <w:rsid w:val="007206DC"/>
    <w:rsid w:val="00720926"/>
    <w:rsid w:val="0072094F"/>
    <w:rsid w:val="00720B54"/>
    <w:rsid w:val="00720BF5"/>
    <w:rsid w:val="00720D04"/>
    <w:rsid w:val="007214F7"/>
    <w:rsid w:val="00721819"/>
    <w:rsid w:val="0072185E"/>
    <w:rsid w:val="0072193C"/>
    <w:rsid w:val="00721A0C"/>
    <w:rsid w:val="00722143"/>
    <w:rsid w:val="00722171"/>
    <w:rsid w:val="007223D7"/>
    <w:rsid w:val="00722918"/>
    <w:rsid w:val="0072344D"/>
    <w:rsid w:val="007234C3"/>
    <w:rsid w:val="007234CF"/>
    <w:rsid w:val="007239EE"/>
    <w:rsid w:val="00723BC0"/>
    <w:rsid w:val="00723E80"/>
    <w:rsid w:val="0072446D"/>
    <w:rsid w:val="0072471F"/>
    <w:rsid w:val="00724865"/>
    <w:rsid w:val="00724899"/>
    <w:rsid w:val="00724DF8"/>
    <w:rsid w:val="00724E35"/>
    <w:rsid w:val="00725289"/>
    <w:rsid w:val="007254DA"/>
    <w:rsid w:val="007255C6"/>
    <w:rsid w:val="007258D1"/>
    <w:rsid w:val="00725967"/>
    <w:rsid w:val="00725DB8"/>
    <w:rsid w:val="00725E9E"/>
    <w:rsid w:val="00726178"/>
    <w:rsid w:val="007261E7"/>
    <w:rsid w:val="0072649F"/>
    <w:rsid w:val="00726C61"/>
    <w:rsid w:val="00727164"/>
    <w:rsid w:val="007276CB"/>
    <w:rsid w:val="007278C1"/>
    <w:rsid w:val="0072796C"/>
    <w:rsid w:val="00727C96"/>
    <w:rsid w:val="00727D82"/>
    <w:rsid w:val="00727E29"/>
    <w:rsid w:val="00730092"/>
    <w:rsid w:val="007301E6"/>
    <w:rsid w:val="007304A2"/>
    <w:rsid w:val="0073153B"/>
    <w:rsid w:val="0073171B"/>
    <w:rsid w:val="00731CD3"/>
    <w:rsid w:val="00732093"/>
    <w:rsid w:val="00732612"/>
    <w:rsid w:val="0073264D"/>
    <w:rsid w:val="00732A52"/>
    <w:rsid w:val="0073325D"/>
    <w:rsid w:val="00733666"/>
    <w:rsid w:val="0073366E"/>
    <w:rsid w:val="007336EE"/>
    <w:rsid w:val="00733A83"/>
    <w:rsid w:val="0073410F"/>
    <w:rsid w:val="00734384"/>
    <w:rsid w:val="00734468"/>
    <w:rsid w:val="0073447F"/>
    <w:rsid w:val="007345E4"/>
    <w:rsid w:val="00734646"/>
    <w:rsid w:val="007347E9"/>
    <w:rsid w:val="00734A27"/>
    <w:rsid w:val="00734CFB"/>
    <w:rsid w:val="00734EDC"/>
    <w:rsid w:val="00735009"/>
    <w:rsid w:val="00735056"/>
    <w:rsid w:val="007354DE"/>
    <w:rsid w:val="0073562F"/>
    <w:rsid w:val="00735946"/>
    <w:rsid w:val="00735CE9"/>
    <w:rsid w:val="00735FE6"/>
    <w:rsid w:val="00736068"/>
    <w:rsid w:val="007360BF"/>
    <w:rsid w:val="007361C9"/>
    <w:rsid w:val="00736799"/>
    <w:rsid w:val="00736C7B"/>
    <w:rsid w:val="0073729E"/>
    <w:rsid w:val="007372EB"/>
    <w:rsid w:val="00737563"/>
    <w:rsid w:val="007375C5"/>
    <w:rsid w:val="0073775C"/>
    <w:rsid w:val="0073791F"/>
    <w:rsid w:val="00737BE1"/>
    <w:rsid w:val="00737D86"/>
    <w:rsid w:val="00737E31"/>
    <w:rsid w:val="00737E93"/>
    <w:rsid w:val="00740049"/>
    <w:rsid w:val="007401D9"/>
    <w:rsid w:val="0074029A"/>
    <w:rsid w:val="0074063D"/>
    <w:rsid w:val="00740AC0"/>
    <w:rsid w:val="00740B47"/>
    <w:rsid w:val="007411F3"/>
    <w:rsid w:val="00741296"/>
    <w:rsid w:val="007412F7"/>
    <w:rsid w:val="007413E2"/>
    <w:rsid w:val="007414FE"/>
    <w:rsid w:val="0074152B"/>
    <w:rsid w:val="007415E5"/>
    <w:rsid w:val="00741970"/>
    <w:rsid w:val="00741A05"/>
    <w:rsid w:val="00741DC9"/>
    <w:rsid w:val="0074216A"/>
    <w:rsid w:val="007425BB"/>
    <w:rsid w:val="0074267C"/>
    <w:rsid w:val="00742715"/>
    <w:rsid w:val="00742767"/>
    <w:rsid w:val="00742915"/>
    <w:rsid w:val="00742928"/>
    <w:rsid w:val="00742A20"/>
    <w:rsid w:val="00742DC1"/>
    <w:rsid w:val="0074300D"/>
    <w:rsid w:val="0074305B"/>
    <w:rsid w:val="0074309B"/>
    <w:rsid w:val="007432A2"/>
    <w:rsid w:val="00743817"/>
    <w:rsid w:val="00743A0C"/>
    <w:rsid w:val="00743B16"/>
    <w:rsid w:val="00743B4E"/>
    <w:rsid w:val="00743E7A"/>
    <w:rsid w:val="00743F9A"/>
    <w:rsid w:val="0074443F"/>
    <w:rsid w:val="00744D7A"/>
    <w:rsid w:val="00744FA1"/>
    <w:rsid w:val="0074529D"/>
    <w:rsid w:val="0074530A"/>
    <w:rsid w:val="007458E4"/>
    <w:rsid w:val="00745A61"/>
    <w:rsid w:val="00745C73"/>
    <w:rsid w:val="00745DEE"/>
    <w:rsid w:val="00745DF9"/>
    <w:rsid w:val="00745F7A"/>
    <w:rsid w:val="00746260"/>
    <w:rsid w:val="00746704"/>
    <w:rsid w:val="0074676C"/>
    <w:rsid w:val="0074680E"/>
    <w:rsid w:val="00746921"/>
    <w:rsid w:val="007469DD"/>
    <w:rsid w:val="00746CFD"/>
    <w:rsid w:val="0074712A"/>
    <w:rsid w:val="0074772C"/>
    <w:rsid w:val="00747871"/>
    <w:rsid w:val="00747B3A"/>
    <w:rsid w:val="00747C4F"/>
    <w:rsid w:val="00747C69"/>
    <w:rsid w:val="00747CE0"/>
    <w:rsid w:val="00747EE1"/>
    <w:rsid w:val="0075089D"/>
    <w:rsid w:val="00750A9A"/>
    <w:rsid w:val="00750C86"/>
    <w:rsid w:val="00751124"/>
    <w:rsid w:val="0075129C"/>
    <w:rsid w:val="00751363"/>
    <w:rsid w:val="007515B8"/>
    <w:rsid w:val="0075187C"/>
    <w:rsid w:val="007518C8"/>
    <w:rsid w:val="00751B2F"/>
    <w:rsid w:val="00751D2D"/>
    <w:rsid w:val="00752435"/>
    <w:rsid w:val="007524CD"/>
    <w:rsid w:val="007526D8"/>
    <w:rsid w:val="00752A4C"/>
    <w:rsid w:val="00752B4E"/>
    <w:rsid w:val="00752B5B"/>
    <w:rsid w:val="00752DEE"/>
    <w:rsid w:val="007532F7"/>
    <w:rsid w:val="007536B0"/>
    <w:rsid w:val="0075376C"/>
    <w:rsid w:val="0075392D"/>
    <w:rsid w:val="0075421A"/>
    <w:rsid w:val="0075472F"/>
    <w:rsid w:val="00754750"/>
    <w:rsid w:val="00754A87"/>
    <w:rsid w:val="00754C3B"/>
    <w:rsid w:val="00754DA9"/>
    <w:rsid w:val="0075515B"/>
    <w:rsid w:val="0075522B"/>
    <w:rsid w:val="007553FF"/>
    <w:rsid w:val="007555E3"/>
    <w:rsid w:val="007556FE"/>
    <w:rsid w:val="00755BDA"/>
    <w:rsid w:val="00755E9E"/>
    <w:rsid w:val="007560D5"/>
    <w:rsid w:val="007562B4"/>
    <w:rsid w:val="00756382"/>
    <w:rsid w:val="0075673A"/>
    <w:rsid w:val="007569F3"/>
    <w:rsid w:val="00756CA7"/>
    <w:rsid w:val="00757011"/>
    <w:rsid w:val="0075726E"/>
    <w:rsid w:val="007572B6"/>
    <w:rsid w:val="0075754C"/>
    <w:rsid w:val="007575AE"/>
    <w:rsid w:val="00757614"/>
    <w:rsid w:val="007576E2"/>
    <w:rsid w:val="00757825"/>
    <w:rsid w:val="00757A15"/>
    <w:rsid w:val="00757A40"/>
    <w:rsid w:val="007605B0"/>
    <w:rsid w:val="00760675"/>
    <w:rsid w:val="00760720"/>
    <w:rsid w:val="007609C3"/>
    <w:rsid w:val="00760B72"/>
    <w:rsid w:val="00761029"/>
    <w:rsid w:val="00761034"/>
    <w:rsid w:val="007610A1"/>
    <w:rsid w:val="00761645"/>
    <w:rsid w:val="007616F7"/>
    <w:rsid w:val="007618D7"/>
    <w:rsid w:val="00761A95"/>
    <w:rsid w:val="007620A7"/>
    <w:rsid w:val="007623BE"/>
    <w:rsid w:val="0076250B"/>
    <w:rsid w:val="00762887"/>
    <w:rsid w:val="00762938"/>
    <w:rsid w:val="0076319C"/>
    <w:rsid w:val="0076374C"/>
    <w:rsid w:val="007638E2"/>
    <w:rsid w:val="007639AB"/>
    <w:rsid w:val="00763B41"/>
    <w:rsid w:val="00763CAF"/>
    <w:rsid w:val="00763DC9"/>
    <w:rsid w:val="007641D5"/>
    <w:rsid w:val="007646CE"/>
    <w:rsid w:val="007647A4"/>
    <w:rsid w:val="0076483B"/>
    <w:rsid w:val="007648ED"/>
    <w:rsid w:val="00764DB9"/>
    <w:rsid w:val="0076505E"/>
    <w:rsid w:val="00765261"/>
    <w:rsid w:val="007654C1"/>
    <w:rsid w:val="00765954"/>
    <w:rsid w:val="0076598D"/>
    <w:rsid w:val="00765D46"/>
    <w:rsid w:val="00765FFD"/>
    <w:rsid w:val="0076616F"/>
    <w:rsid w:val="007661C2"/>
    <w:rsid w:val="00766249"/>
    <w:rsid w:val="0076635B"/>
    <w:rsid w:val="00766569"/>
    <w:rsid w:val="007665FB"/>
    <w:rsid w:val="00766615"/>
    <w:rsid w:val="007666A9"/>
    <w:rsid w:val="0076687F"/>
    <w:rsid w:val="00766AF9"/>
    <w:rsid w:val="00766CD4"/>
    <w:rsid w:val="007673E2"/>
    <w:rsid w:val="0076751C"/>
    <w:rsid w:val="007678CD"/>
    <w:rsid w:val="00767939"/>
    <w:rsid w:val="0076793F"/>
    <w:rsid w:val="00767C23"/>
    <w:rsid w:val="00767E78"/>
    <w:rsid w:val="00767EC1"/>
    <w:rsid w:val="0077009B"/>
    <w:rsid w:val="0077018D"/>
    <w:rsid w:val="007702E0"/>
    <w:rsid w:val="007702E7"/>
    <w:rsid w:val="0077046E"/>
    <w:rsid w:val="007705AD"/>
    <w:rsid w:val="0077070C"/>
    <w:rsid w:val="00770867"/>
    <w:rsid w:val="00770AA7"/>
    <w:rsid w:val="00770EA3"/>
    <w:rsid w:val="00770F71"/>
    <w:rsid w:val="00771272"/>
    <w:rsid w:val="00771440"/>
    <w:rsid w:val="00771538"/>
    <w:rsid w:val="0077154C"/>
    <w:rsid w:val="007715E5"/>
    <w:rsid w:val="0077176D"/>
    <w:rsid w:val="00771A6D"/>
    <w:rsid w:val="00771AB6"/>
    <w:rsid w:val="00771BB8"/>
    <w:rsid w:val="00771BBE"/>
    <w:rsid w:val="00771E7B"/>
    <w:rsid w:val="00771EED"/>
    <w:rsid w:val="007723DE"/>
    <w:rsid w:val="00772404"/>
    <w:rsid w:val="00772710"/>
    <w:rsid w:val="00772B57"/>
    <w:rsid w:val="00772BD9"/>
    <w:rsid w:val="00772C24"/>
    <w:rsid w:val="00772CA8"/>
    <w:rsid w:val="00772D0C"/>
    <w:rsid w:val="00772DFD"/>
    <w:rsid w:val="00772EBF"/>
    <w:rsid w:val="00772EC1"/>
    <w:rsid w:val="00772F53"/>
    <w:rsid w:val="00772FE9"/>
    <w:rsid w:val="00773A26"/>
    <w:rsid w:val="00773AD3"/>
    <w:rsid w:val="00773C5D"/>
    <w:rsid w:val="00773D44"/>
    <w:rsid w:val="007740CE"/>
    <w:rsid w:val="00774313"/>
    <w:rsid w:val="0077439D"/>
    <w:rsid w:val="007743C4"/>
    <w:rsid w:val="0077449E"/>
    <w:rsid w:val="007744DD"/>
    <w:rsid w:val="0077477B"/>
    <w:rsid w:val="00774829"/>
    <w:rsid w:val="007748A7"/>
    <w:rsid w:val="007749DF"/>
    <w:rsid w:val="00774AB7"/>
    <w:rsid w:val="00774B08"/>
    <w:rsid w:val="00774B2A"/>
    <w:rsid w:val="00774C38"/>
    <w:rsid w:val="00774F3F"/>
    <w:rsid w:val="00775484"/>
    <w:rsid w:val="007755B7"/>
    <w:rsid w:val="00775762"/>
    <w:rsid w:val="00775A5D"/>
    <w:rsid w:val="00775C54"/>
    <w:rsid w:val="00775CA2"/>
    <w:rsid w:val="00775E9C"/>
    <w:rsid w:val="0077603B"/>
    <w:rsid w:val="007764DB"/>
    <w:rsid w:val="00776C40"/>
    <w:rsid w:val="00776FDB"/>
    <w:rsid w:val="00777063"/>
    <w:rsid w:val="00777097"/>
    <w:rsid w:val="007770E3"/>
    <w:rsid w:val="00777713"/>
    <w:rsid w:val="00777772"/>
    <w:rsid w:val="00777B4F"/>
    <w:rsid w:val="0078004C"/>
    <w:rsid w:val="00780417"/>
    <w:rsid w:val="0078081B"/>
    <w:rsid w:val="0078085F"/>
    <w:rsid w:val="00780952"/>
    <w:rsid w:val="00780C32"/>
    <w:rsid w:val="00781202"/>
    <w:rsid w:val="007814C3"/>
    <w:rsid w:val="007815F4"/>
    <w:rsid w:val="00781962"/>
    <w:rsid w:val="00781C31"/>
    <w:rsid w:val="00781CF1"/>
    <w:rsid w:val="00781FCB"/>
    <w:rsid w:val="007821A7"/>
    <w:rsid w:val="00782815"/>
    <w:rsid w:val="00782A7E"/>
    <w:rsid w:val="00782B3C"/>
    <w:rsid w:val="00782F10"/>
    <w:rsid w:val="00783013"/>
    <w:rsid w:val="0078316C"/>
    <w:rsid w:val="007831C4"/>
    <w:rsid w:val="00783212"/>
    <w:rsid w:val="0078328B"/>
    <w:rsid w:val="0078337C"/>
    <w:rsid w:val="00783514"/>
    <w:rsid w:val="00783734"/>
    <w:rsid w:val="00783C08"/>
    <w:rsid w:val="00783C34"/>
    <w:rsid w:val="00783DFF"/>
    <w:rsid w:val="00784058"/>
    <w:rsid w:val="007843E2"/>
    <w:rsid w:val="0078471F"/>
    <w:rsid w:val="0078477A"/>
    <w:rsid w:val="00784ED4"/>
    <w:rsid w:val="007853E2"/>
    <w:rsid w:val="00785593"/>
    <w:rsid w:val="00785689"/>
    <w:rsid w:val="007857EE"/>
    <w:rsid w:val="00785B33"/>
    <w:rsid w:val="00785BFD"/>
    <w:rsid w:val="00786366"/>
    <w:rsid w:val="007869A2"/>
    <w:rsid w:val="007869FB"/>
    <w:rsid w:val="00786D51"/>
    <w:rsid w:val="00786F4B"/>
    <w:rsid w:val="007870EE"/>
    <w:rsid w:val="00787421"/>
    <w:rsid w:val="00787428"/>
    <w:rsid w:val="00787572"/>
    <w:rsid w:val="0078773E"/>
    <w:rsid w:val="007878A7"/>
    <w:rsid w:val="00787B1A"/>
    <w:rsid w:val="00787E98"/>
    <w:rsid w:val="00787EF7"/>
    <w:rsid w:val="00790434"/>
    <w:rsid w:val="00790595"/>
    <w:rsid w:val="007907EC"/>
    <w:rsid w:val="00790934"/>
    <w:rsid w:val="0079098E"/>
    <w:rsid w:val="00790A14"/>
    <w:rsid w:val="00790B40"/>
    <w:rsid w:val="00790BAE"/>
    <w:rsid w:val="00790CFC"/>
    <w:rsid w:val="007910F5"/>
    <w:rsid w:val="00791323"/>
    <w:rsid w:val="007916AB"/>
    <w:rsid w:val="007916AF"/>
    <w:rsid w:val="007918DA"/>
    <w:rsid w:val="00791B59"/>
    <w:rsid w:val="00792011"/>
    <w:rsid w:val="007920F1"/>
    <w:rsid w:val="00792225"/>
    <w:rsid w:val="0079237C"/>
    <w:rsid w:val="0079252C"/>
    <w:rsid w:val="0079269C"/>
    <w:rsid w:val="007926F8"/>
    <w:rsid w:val="007927DC"/>
    <w:rsid w:val="007928AC"/>
    <w:rsid w:val="00792C3B"/>
    <w:rsid w:val="00792F5B"/>
    <w:rsid w:val="00792FB5"/>
    <w:rsid w:val="00793717"/>
    <w:rsid w:val="00793726"/>
    <w:rsid w:val="00793A3D"/>
    <w:rsid w:val="00793CC1"/>
    <w:rsid w:val="00793DE6"/>
    <w:rsid w:val="0079412A"/>
    <w:rsid w:val="00794457"/>
    <w:rsid w:val="0079475A"/>
    <w:rsid w:val="0079485D"/>
    <w:rsid w:val="00794B88"/>
    <w:rsid w:val="00794BB8"/>
    <w:rsid w:val="00794C18"/>
    <w:rsid w:val="00794D5A"/>
    <w:rsid w:val="00794E6E"/>
    <w:rsid w:val="00795483"/>
    <w:rsid w:val="0079549A"/>
    <w:rsid w:val="007954E8"/>
    <w:rsid w:val="007956D5"/>
    <w:rsid w:val="00795F1B"/>
    <w:rsid w:val="00796146"/>
    <w:rsid w:val="00796211"/>
    <w:rsid w:val="007964A1"/>
    <w:rsid w:val="007964E7"/>
    <w:rsid w:val="007969AC"/>
    <w:rsid w:val="00796CB3"/>
    <w:rsid w:val="00796FF7"/>
    <w:rsid w:val="0079730F"/>
    <w:rsid w:val="00797355"/>
    <w:rsid w:val="007974DE"/>
    <w:rsid w:val="0079754B"/>
    <w:rsid w:val="00797828"/>
    <w:rsid w:val="00797E08"/>
    <w:rsid w:val="00797F32"/>
    <w:rsid w:val="0079EF33"/>
    <w:rsid w:val="0079F027"/>
    <w:rsid w:val="007A01AA"/>
    <w:rsid w:val="007A04E3"/>
    <w:rsid w:val="007A0659"/>
    <w:rsid w:val="007A0753"/>
    <w:rsid w:val="007A0AF6"/>
    <w:rsid w:val="007A0B77"/>
    <w:rsid w:val="007A0BA9"/>
    <w:rsid w:val="007A0E2B"/>
    <w:rsid w:val="007A11D7"/>
    <w:rsid w:val="007A1221"/>
    <w:rsid w:val="007A13EA"/>
    <w:rsid w:val="007A1847"/>
    <w:rsid w:val="007A1E6D"/>
    <w:rsid w:val="007A1F99"/>
    <w:rsid w:val="007A214C"/>
    <w:rsid w:val="007A2263"/>
    <w:rsid w:val="007A2408"/>
    <w:rsid w:val="007A27D4"/>
    <w:rsid w:val="007A28CC"/>
    <w:rsid w:val="007A2984"/>
    <w:rsid w:val="007A29DC"/>
    <w:rsid w:val="007A2BA6"/>
    <w:rsid w:val="007A2DA9"/>
    <w:rsid w:val="007A35B0"/>
    <w:rsid w:val="007A3904"/>
    <w:rsid w:val="007A3912"/>
    <w:rsid w:val="007A3AFE"/>
    <w:rsid w:val="007A3B04"/>
    <w:rsid w:val="007A3C9B"/>
    <w:rsid w:val="007A3D66"/>
    <w:rsid w:val="007A3EC8"/>
    <w:rsid w:val="007A4447"/>
    <w:rsid w:val="007A4A01"/>
    <w:rsid w:val="007A4D35"/>
    <w:rsid w:val="007A4FCF"/>
    <w:rsid w:val="007A4FDF"/>
    <w:rsid w:val="007A504B"/>
    <w:rsid w:val="007A5339"/>
    <w:rsid w:val="007A5378"/>
    <w:rsid w:val="007A574C"/>
    <w:rsid w:val="007A584F"/>
    <w:rsid w:val="007A5B74"/>
    <w:rsid w:val="007A6824"/>
    <w:rsid w:val="007A68CC"/>
    <w:rsid w:val="007A6B76"/>
    <w:rsid w:val="007A6CDA"/>
    <w:rsid w:val="007A6DE7"/>
    <w:rsid w:val="007A6E22"/>
    <w:rsid w:val="007A726F"/>
    <w:rsid w:val="007A75F8"/>
    <w:rsid w:val="007A7992"/>
    <w:rsid w:val="007A7B9E"/>
    <w:rsid w:val="007A7C88"/>
    <w:rsid w:val="007A7D48"/>
    <w:rsid w:val="007A7F9D"/>
    <w:rsid w:val="007B00FE"/>
    <w:rsid w:val="007B0107"/>
    <w:rsid w:val="007B01CA"/>
    <w:rsid w:val="007B0952"/>
    <w:rsid w:val="007B09C9"/>
    <w:rsid w:val="007B0A16"/>
    <w:rsid w:val="007B0C66"/>
    <w:rsid w:val="007B0EB2"/>
    <w:rsid w:val="007B0F36"/>
    <w:rsid w:val="007B1021"/>
    <w:rsid w:val="007B11C9"/>
    <w:rsid w:val="007B12AE"/>
    <w:rsid w:val="007B1560"/>
    <w:rsid w:val="007B15AA"/>
    <w:rsid w:val="007B1876"/>
    <w:rsid w:val="007B1934"/>
    <w:rsid w:val="007B1C8C"/>
    <w:rsid w:val="007B1CF7"/>
    <w:rsid w:val="007B1CFC"/>
    <w:rsid w:val="007B1D90"/>
    <w:rsid w:val="007B1F9D"/>
    <w:rsid w:val="007B216A"/>
    <w:rsid w:val="007B2212"/>
    <w:rsid w:val="007B2216"/>
    <w:rsid w:val="007B2349"/>
    <w:rsid w:val="007B2BEA"/>
    <w:rsid w:val="007B32F2"/>
    <w:rsid w:val="007B3373"/>
    <w:rsid w:val="007B34B4"/>
    <w:rsid w:val="007B37C3"/>
    <w:rsid w:val="007B3F87"/>
    <w:rsid w:val="007B4134"/>
    <w:rsid w:val="007B441B"/>
    <w:rsid w:val="007B48CB"/>
    <w:rsid w:val="007B4D54"/>
    <w:rsid w:val="007B4E61"/>
    <w:rsid w:val="007B4EB2"/>
    <w:rsid w:val="007B4F21"/>
    <w:rsid w:val="007B5103"/>
    <w:rsid w:val="007B5110"/>
    <w:rsid w:val="007B54FA"/>
    <w:rsid w:val="007B566F"/>
    <w:rsid w:val="007B5E60"/>
    <w:rsid w:val="007B6024"/>
    <w:rsid w:val="007B619C"/>
    <w:rsid w:val="007B6981"/>
    <w:rsid w:val="007B6C81"/>
    <w:rsid w:val="007B6E0B"/>
    <w:rsid w:val="007B708A"/>
    <w:rsid w:val="007B72C3"/>
    <w:rsid w:val="007B7370"/>
    <w:rsid w:val="007B73F4"/>
    <w:rsid w:val="007B79C2"/>
    <w:rsid w:val="007C0565"/>
    <w:rsid w:val="007C070C"/>
    <w:rsid w:val="007C0774"/>
    <w:rsid w:val="007C0924"/>
    <w:rsid w:val="007C09C1"/>
    <w:rsid w:val="007C0AAD"/>
    <w:rsid w:val="007C0C1A"/>
    <w:rsid w:val="007C0D20"/>
    <w:rsid w:val="007C0DB7"/>
    <w:rsid w:val="007C0F05"/>
    <w:rsid w:val="007C0F0B"/>
    <w:rsid w:val="007C0F24"/>
    <w:rsid w:val="007C0F72"/>
    <w:rsid w:val="007C1035"/>
    <w:rsid w:val="007C136A"/>
    <w:rsid w:val="007C1409"/>
    <w:rsid w:val="007C190F"/>
    <w:rsid w:val="007C1932"/>
    <w:rsid w:val="007C19F6"/>
    <w:rsid w:val="007C1C7A"/>
    <w:rsid w:val="007C1EE1"/>
    <w:rsid w:val="007C2251"/>
    <w:rsid w:val="007C2575"/>
    <w:rsid w:val="007C25A3"/>
    <w:rsid w:val="007C27D4"/>
    <w:rsid w:val="007C2B69"/>
    <w:rsid w:val="007C2CE0"/>
    <w:rsid w:val="007C2D01"/>
    <w:rsid w:val="007C3B64"/>
    <w:rsid w:val="007C3C98"/>
    <w:rsid w:val="007C3D37"/>
    <w:rsid w:val="007C3D93"/>
    <w:rsid w:val="007C3FFB"/>
    <w:rsid w:val="007C41C7"/>
    <w:rsid w:val="007C4419"/>
    <w:rsid w:val="007C4567"/>
    <w:rsid w:val="007C45D5"/>
    <w:rsid w:val="007C4677"/>
    <w:rsid w:val="007C4AC8"/>
    <w:rsid w:val="007C4ADC"/>
    <w:rsid w:val="007C504E"/>
    <w:rsid w:val="007C5497"/>
    <w:rsid w:val="007C59DE"/>
    <w:rsid w:val="007C5CAF"/>
    <w:rsid w:val="007C5D63"/>
    <w:rsid w:val="007C5D9E"/>
    <w:rsid w:val="007C5F2E"/>
    <w:rsid w:val="007C65AB"/>
    <w:rsid w:val="007C6712"/>
    <w:rsid w:val="007C679E"/>
    <w:rsid w:val="007C67E4"/>
    <w:rsid w:val="007C6942"/>
    <w:rsid w:val="007C6DEC"/>
    <w:rsid w:val="007C703F"/>
    <w:rsid w:val="007C7229"/>
    <w:rsid w:val="007C72E8"/>
    <w:rsid w:val="007C74D1"/>
    <w:rsid w:val="007C778D"/>
    <w:rsid w:val="007C7C52"/>
    <w:rsid w:val="007C7DB0"/>
    <w:rsid w:val="007C7EA5"/>
    <w:rsid w:val="007D0123"/>
    <w:rsid w:val="007D0985"/>
    <w:rsid w:val="007D0A6D"/>
    <w:rsid w:val="007D0CCD"/>
    <w:rsid w:val="007D0E7A"/>
    <w:rsid w:val="007D10E4"/>
    <w:rsid w:val="007D1123"/>
    <w:rsid w:val="007D134E"/>
    <w:rsid w:val="007D1552"/>
    <w:rsid w:val="007D156E"/>
    <w:rsid w:val="007D1D58"/>
    <w:rsid w:val="007D1ED1"/>
    <w:rsid w:val="007D1F58"/>
    <w:rsid w:val="007D1FDC"/>
    <w:rsid w:val="007D23B3"/>
    <w:rsid w:val="007D2591"/>
    <w:rsid w:val="007D266B"/>
    <w:rsid w:val="007D26EC"/>
    <w:rsid w:val="007D29B4"/>
    <w:rsid w:val="007D29F4"/>
    <w:rsid w:val="007D3437"/>
    <w:rsid w:val="007D3825"/>
    <w:rsid w:val="007D3AA3"/>
    <w:rsid w:val="007D3CF9"/>
    <w:rsid w:val="007D4316"/>
    <w:rsid w:val="007D48E2"/>
    <w:rsid w:val="007D4920"/>
    <w:rsid w:val="007D4939"/>
    <w:rsid w:val="007D4CB3"/>
    <w:rsid w:val="007D5016"/>
    <w:rsid w:val="007D5065"/>
    <w:rsid w:val="007D5350"/>
    <w:rsid w:val="007D5471"/>
    <w:rsid w:val="007D5B2D"/>
    <w:rsid w:val="007D6559"/>
    <w:rsid w:val="007D6595"/>
    <w:rsid w:val="007D6612"/>
    <w:rsid w:val="007D6B09"/>
    <w:rsid w:val="007D6C07"/>
    <w:rsid w:val="007D6CEC"/>
    <w:rsid w:val="007D6FB3"/>
    <w:rsid w:val="007D72EC"/>
    <w:rsid w:val="007D7319"/>
    <w:rsid w:val="007D773F"/>
    <w:rsid w:val="007D77F8"/>
    <w:rsid w:val="007D7C59"/>
    <w:rsid w:val="007D7CCB"/>
    <w:rsid w:val="007E0015"/>
    <w:rsid w:val="007E00AF"/>
    <w:rsid w:val="007E024D"/>
    <w:rsid w:val="007E04DE"/>
    <w:rsid w:val="007E06E5"/>
    <w:rsid w:val="007E0DC5"/>
    <w:rsid w:val="007E137D"/>
    <w:rsid w:val="007E1967"/>
    <w:rsid w:val="007E1B07"/>
    <w:rsid w:val="007E1E62"/>
    <w:rsid w:val="007E2210"/>
    <w:rsid w:val="007E228D"/>
    <w:rsid w:val="007E2461"/>
    <w:rsid w:val="007E283F"/>
    <w:rsid w:val="007E2CDF"/>
    <w:rsid w:val="007E2D45"/>
    <w:rsid w:val="007E32D6"/>
    <w:rsid w:val="007E392A"/>
    <w:rsid w:val="007E3B39"/>
    <w:rsid w:val="007E3C2B"/>
    <w:rsid w:val="007E3C73"/>
    <w:rsid w:val="007E3F8B"/>
    <w:rsid w:val="007E4594"/>
    <w:rsid w:val="007E45FE"/>
    <w:rsid w:val="007E46FE"/>
    <w:rsid w:val="007E478C"/>
    <w:rsid w:val="007E47FD"/>
    <w:rsid w:val="007E4845"/>
    <w:rsid w:val="007E5192"/>
    <w:rsid w:val="007E56DE"/>
    <w:rsid w:val="007E59F9"/>
    <w:rsid w:val="007E5AA3"/>
    <w:rsid w:val="007E5B45"/>
    <w:rsid w:val="007E5BA3"/>
    <w:rsid w:val="007E5D42"/>
    <w:rsid w:val="007E614F"/>
    <w:rsid w:val="007E6802"/>
    <w:rsid w:val="007E69AB"/>
    <w:rsid w:val="007E6A4F"/>
    <w:rsid w:val="007E6B7D"/>
    <w:rsid w:val="007E6CCD"/>
    <w:rsid w:val="007E709A"/>
    <w:rsid w:val="007E717E"/>
    <w:rsid w:val="007E7317"/>
    <w:rsid w:val="007E7557"/>
    <w:rsid w:val="007E7913"/>
    <w:rsid w:val="007E7ABC"/>
    <w:rsid w:val="007E7CE5"/>
    <w:rsid w:val="007E7E77"/>
    <w:rsid w:val="007F0C63"/>
    <w:rsid w:val="007F16B3"/>
    <w:rsid w:val="007F1ABA"/>
    <w:rsid w:val="007F1BE5"/>
    <w:rsid w:val="007F1D8B"/>
    <w:rsid w:val="007F22A3"/>
    <w:rsid w:val="007F22BF"/>
    <w:rsid w:val="007F25A0"/>
    <w:rsid w:val="007F25A5"/>
    <w:rsid w:val="007F2D47"/>
    <w:rsid w:val="007F308A"/>
    <w:rsid w:val="007F30F1"/>
    <w:rsid w:val="007F32F3"/>
    <w:rsid w:val="007F34D2"/>
    <w:rsid w:val="007F375A"/>
    <w:rsid w:val="007F3BFA"/>
    <w:rsid w:val="007F3CA8"/>
    <w:rsid w:val="007F3CF2"/>
    <w:rsid w:val="007F3D2B"/>
    <w:rsid w:val="007F43D6"/>
    <w:rsid w:val="007F443E"/>
    <w:rsid w:val="007F48EA"/>
    <w:rsid w:val="007F4B3B"/>
    <w:rsid w:val="007F4C3A"/>
    <w:rsid w:val="007F4FDE"/>
    <w:rsid w:val="007F50BF"/>
    <w:rsid w:val="007F54B5"/>
    <w:rsid w:val="007F5560"/>
    <w:rsid w:val="007F5628"/>
    <w:rsid w:val="007F5EA8"/>
    <w:rsid w:val="007F658B"/>
    <w:rsid w:val="007F6696"/>
    <w:rsid w:val="007F6CA9"/>
    <w:rsid w:val="007F6F4A"/>
    <w:rsid w:val="007F78EE"/>
    <w:rsid w:val="007F7F76"/>
    <w:rsid w:val="008001F1"/>
    <w:rsid w:val="008003D6"/>
    <w:rsid w:val="008004AA"/>
    <w:rsid w:val="008007F5"/>
    <w:rsid w:val="00800AFA"/>
    <w:rsid w:val="00800C12"/>
    <w:rsid w:val="00800EBF"/>
    <w:rsid w:val="00800FA9"/>
    <w:rsid w:val="008010E3"/>
    <w:rsid w:val="00801288"/>
    <w:rsid w:val="008012B8"/>
    <w:rsid w:val="008014C0"/>
    <w:rsid w:val="00801656"/>
    <w:rsid w:val="00801910"/>
    <w:rsid w:val="008019D7"/>
    <w:rsid w:val="00801D14"/>
    <w:rsid w:val="0080211C"/>
    <w:rsid w:val="00802457"/>
    <w:rsid w:val="008029E4"/>
    <w:rsid w:val="00802C75"/>
    <w:rsid w:val="00802E48"/>
    <w:rsid w:val="00802FC9"/>
    <w:rsid w:val="008030A6"/>
    <w:rsid w:val="008037F1"/>
    <w:rsid w:val="00803ACD"/>
    <w:rsid w:val="00803B21"/>
    <w:rsid w:val="00803DB4"/>
    <w:rsid w:val="00803F1C"/>
    <w:rsid w:val="008041B3"/>
    <w:rsid w:val="00804533"/>
    <w:rsid w:val="0080467E"/>
    <w:rsid w:val="00804AFA"/>
    <w:rsid w:val="00804C12"/>
    <w:rsid w:val="00804C9C"/>
    <w:rsid w:val="00805073"/>
    <w:rsid w:val="00805770"/>
    <w:rsid w:val="008057E1"/>
    <w:rsid w:val="00805A30"/>
    <w:rsid w:val="00805D64"/>
    <w:rsid w:val="00806665"/>
    <w:rsid w:val="008071E1"/>
    <w:rsid w:val="0080720E"/>
    <w:rsid w:val="0080778A"/>
    <w:rsid w:val="008077E4"/>
    <w:rsid w:val="00807C21"/>
    <w:rsid w:val="00807D4E"/>
    <w:rsid w:val="00807E48"/>
    <w:rsid w:val="008101EB"/>
    <w:rsid w:val="008102AF"/>
    <w:rsid w:val="0081034D"/>
    <w:rsid w:val="00810375"/>
    <w:rsid w:val="00810641"/>
    <w:rsid w:val="008107A0"/>
    <w:rsid w:val="008108B9"/>
    <w:rsid w:val="00810914"/>
    <w:rsid w:val="00810AA7"/>
    <w:rsid w:val="00810B6D"/>
    <w:rsid w:val="00810B6F"/>
    <w:rsid w:val="00810E4B"/>
    <w:rsid w:val="008111A8"/>
    <w:rsid w:val="008113B4"/>
    <w:rsid w:val="0081144A"/>
    <w:rsid w:val="00811782"/>
    <w:rsid w:val="0081213D"/>
    <w:rsid w:val="00812B74"/>
    <w:rsid w:val="00812C4D"/>
    <w:rsid w:val="00812E00"/>
    <w:rsid w:val="00812EA2"/>
    <w:rsid w:val="0081336A"/>
    <w:rsid w:val="00813580"/>
    <w:rsid w:val="008138BC"/>
    <w:rsid w:val="0081418A"/>
    <w:rsid w:val="0081434D"/>
    <w:rsid w:val="008144B0"/>
    <w:rsid w:val="0081451B"/>
    <w:rsid w:val="00814930"/>
    <w:rsid w:val="00814B99"/>
    <w:rsid w:val="00814BA9"/>
    <w:rsid w:val="00814D48"/>
    <w:rsid w:val="00814D99"/>
    <w:rsid w:val="00814E05"/>
    <w:rsid w:val="00814E59"/>
    <w:rsid w:val="00814FC1"/>
    <w:rsid w:val="0081518B"/>
    <w:rsid w:val="0081559A"/>
    <w:rsid w:val="00815718"/>
    <w:rsid w:val="00815A21"/>
    <w:rsid w:val="00815B6F"/>
    <w:rsid w:val="00815BCD"/>
    <w:rsid w:val="00815D00"/>
    <w:rsid w:val="00815D68"/>
    <w:rsid w:val="008160E1"/>
    <w:rsid w:val="00816279"/>
    <w:rsid w:val="008162DF"/>
    <w:rsid w:val="00816533"/>
    <w:rsid w:val="00816ADC"/>
    <w:rsid w:val="00816C5E"/>
    <w:rsid w:val="00816EB2"/>
    <w:rsid w:val="0081713A"/>
    <w:rsid w:val="0081721E"/>
    <w:rsid w:val="0081744E"/>
    <w:rsid w:val="00817784"/>
    <w:rsid w:val="00817B51"/>
    <w:rsid w:val="00817C39"/>
    <w:rsid w:val="00817DC4"/>
    <w:rsid w:val="00817EBB"/>
    <w:rsid w:val="008201BD"/>
    <w:rsid w:val="008204C1"/>
    <w:rsid w:val="0082055D"/>
    <w:rsid w:val="00820611"/>
    <w:rsid w:val="0082077F"/>
    <w:rsid w:val="00820889"/>
    <w:rsid w:val="00820940"/>
    <w:rsid w:val="00820976"/>
    <w:rsid w:val="00820DA8"/>
    <w:rsid w:val="00820E3A"/>
    <w:rsid w:val="00820E43"/>
    <w:rsid w:val="00820E71"/>
    <w:rsid w:val="00820FD1"/>
    <w:rsid w:val="00821206"/>
    <w:rsid w:val="00821224"/>
    <w:rsid w:val="0082126D"/>
    <w:rsid w:val="00821583"/>
    <w:rsid w:val="008217E3"/>
    <w:rsid w:val="00822541"/>
    <w:rsid w:val="008228BB"/>
    <w:rsid w:val="00822C40"/>
    <w:rsid w:val="00822CE0"/>
    <w:rsid w:val="00822FFD"/>
    <w:rsid w:val="00823028"/>
    <w:rsid w:val="00823077"/>
    <w:rsid w:val="00823786"/>
    <w:rsid w:val="008238C1"/>
    <w:rsid w:val="008238D7"/>
    <w:rsid w:val="00823C79"/>
    <w:rsid w:val="00823E00"/>
    <w:rsid w:val="00823F9E"/>
    <w:rsid w:val="00824066"/>
    <w:rsid w:val="00824339"/>
    <w:rsid w:val="008245BB"/>
    <w:rsid w:val="00824747"/>
    <w:rsid w:val="0082513A"/>
    <w:rsid w:val="00825168"/>
    <w:rsid w:val="008251F5"/>
    <w:rsid w:val="00825403"/>
    <w:rsid w:val="008257AF"/>
    <w:rsid w:val="008258DC"/>
    <w:rsid w:val="008259FA"/>
    <w:rsid w:val="00825B2D"/>
    <w:rsid w:val="00825C2B"/>
    <w:rsid w:val="00825E82"/>
    <w:rsid w:val="00825F1E"/>
    <w:rsid w:val="00826209"/>
    <w:rsid w:val="0082620F"/>
    <w:rsid w:val="0082647F"/>
    <w:rsid w:val="008266B4"/>
    <w:rsid w:val="008266FA"/>
    <w:rsid w:val="00826A74"/>
    <w:rsid w:val="00827291"/>
    <w:rsid w:val="0082733A"/>
    <w:rsid w:val="00827399"/>
    <w:rsid w:val="0082742A"/>
    <w:rsid w:val="00827B8E"/>
    <w:rsid w:val="00827BEE"/>
    <w:rsid w:val="00827D6F"/>
    <w:rsid w:val="0082978B"/>
    <w:rsid w:val="0083022F"/>
    <w:rsid w:val="00830ABC"/>
    <w:rsid w:val="00830B62"/>
    <w:rsid w:val="00830CCC"/>
    <w:rsid w:val="00830CE7"/>
    <w:rsid w:val="008311BA"/>
    <w:rsid w:val="008315DB"/>
    <w:rsid w:val="00831933"/>
    <w:rsid w:val="00831BFB"/>
    <w:rsid w:val="00831DAE"/>
    <w:rsid w:val="00832540"/>
    <w:rsid w:val="00832862"/>
    <w:rsid w:val="00832BDA"/>
    <w:rsid w:val="00832DE9"/>
    <w:rsid w:val="00832ECB"/>
    <w:rsid w:val="00832F86"/>
    <w:rsid w:val="0083301A"/>
    <w:rsid w:val="00833314"/>
    <w:rsid w:val="00833417"/>
    <w:rsid w:val="00833481"/>
    <w:rsid w:val="00833518"/>
    <w:rsid w:val="008338F0"/>
    <w:rsid w:val="00833CC9"/>
    <w:rsid w:val="00833F0E"/>
    <w:rsid w:val="00834080"/>
    <w:rsid w:val="00834134"/>
    <w:rsid w:val="008341E1"/>
    <w:rsid w:val="0083420A"/>
    <w:rsid w:val="00834322"/>
    <w:rsid w:val="00834423"/>
    <w:rsid w:val="0083469B"/>
    <w:rsid w:val="0083474C"/>
    <w:rsid w:val="00834A34"/>
    <w:rsid w:val="00834A4A"/>
    <w:rsid w:val="00834A83"/>
    <w:rsid w:val="00834AE8"/>
    <w:rsid w:val="00834BD5"/>
    <w:rsid w:val="00834CBA"/>
    <w:rsid w:val="00834E6A"/>
    <w:rsid w:val="00834F8C"/>
    <w:rsid w:val="00835508"/>
    <w:rsid w:val="008357CC"/>
    <w:rsid w:val="00835C1F"/>
    <w:rsid w:val="0083604D"/>
    <w:rsid w:val="00836064"/>
    <w:rsid w:val="00836098"/>
    <w:rsid w:val="008361AF"/>
    <w:rsid w:val="00836478"/>
    <w:rsid w:val="00836BC5"/>
    <w:rsid w:val="00836C56"/>
    <w:rsid w:val="00836F10"/>
    <w:rsid w:val="00836F9B"/>
    <w:rsid w:val="00837381"/>
    <w:rsid w:val="0083740C"/>
    <w:rsid w:val="00837706"/>
    <w:rsid w:val="008377F4"/>
    <w:rsid w:val="00837B95"/>
    <w:rsid w:val="00837DB6"/>
    <w:rsid w:val="00837FC0"/>
    <w:rsid w:val="008400F4"/>
    <w:rsid w:val="00840116"/>
    <w:rsid w:val="00840246"/>
    <w:rsid w:val="008402E9"/>
    <w:rsid w:val="0084043E"/>
    <w:rsid w:val="008405A5"/>
    <w:rsid w:val="008405B7"/>
    <w:rsid w:val="00840714"/>
    <w:rsid w:val="00840A27"/>
    <w:rsid w:val="00840E7C"/>
    <w:rsid w:val="00840F1A"/>
    <w:rsid w:val="008413C1"/>
    <w:rsid w:val="00841837"/>
    <w:rsid w:val="00841935"/>
    <w:rsid w:val="008419F3"/>
    <w:rsid w:val="00841A68"/>
    <w:rsid w:val="00841AB1"/>
    <w:rsid w:val="00841BD2"/>
    <w:rsid w:val="00841F7E"/>
    <w:rsid w:val="008428E4"/>
    <w:rsid w:val="00842B33"/>
    <w:rsid w:val="00842DF3"/>
    <w:rsid w:val="00842EA3"/>
    <w:rsid w:val="00843014"/>
    <w:rsid w:val="008431FA"/>
    <w:rsid w:val="00843262"/>
    <w:rsid w:val="008432CD"/>
    <w:rsid w:val="008435CF"/>
    <w:rsid w:val="00843828"/>
    <w:rsid w:val="00843D2C"/>
    <w:rsid w:val="00843F0E"/>
    <w:rsid w:val="008441CB"/>
    <w:rsid w:val="008445F0"/>
    <w:rsid w:val="00844821"/>
    <w:rsid w:val="0084487C"/>
    <w:rsid w:val="00844935"/>
    <w:rsid w:val="00844BA9"/>
    <w:rsid w:val="00844CF9"/>
    <w:rsid w:val="00845532"/>
    <w:rsid w:val="00845BDB"/>
    <w:rsid w:val="00845CF2"/>
    <w:rsid w:val="00845DA8"/>
    <w:rsid w:val="00846233"/>
    <w:rsid w:val="00846467"/>
    <w:rsid w:val="00846621"/>
    <w:rsid w:val="008466E6"/>
    <w:rsid w:val="0084676D"/>
    <w:rsid w:val="00846FEB"/>
    <w:rsid w:val="00847522"/>
    <w:rsid w:val="0084754B"/>
    <w:rsid w:val="008476A7"/>
    <w:rsid w:val="00847A52"/>
    <w:rsid w:val="00847BD4"/>
    <w:rsid w:val="00847E39"/>
    <w:rsid w:val="00847E78"/>
    <w:rsid w:val="00847F03"/>
    <w:rsid w:val="0084A352"/>
    <w:rsid w:val="00850359"/>
    <w:rsid w:val="008504AA"/>
    <w:rsid w:val="00850788"/>
    <w:rsid w:val="008508B9"/>
    <w:rsid w:val="00850A07"/>
    <w:rsid w:val="00850AF7"/>
    <w:rsid w:val="00850D7D"/>
    <w:rsid w:val="0085108A"/>
    <w:rsid w:val="0085124B"/>
    <w:rsid w:val="008512B2"/>
    <w:rsid w:val="00851618"/>
    <w:rsid w:val="00851929"/>
    <w:rsid w:val="00851A75"/>
    <w:rsid w:val="00851C30"/>
    <w:rsid w:val="00851CDB"/>
    <w:rsid w:val="00851DFF"/>
    <w:rsid w:val="00851E63"/>
    <w:rsid w:val="00851F3C"/>
    <w:rsid w:val="00852143"/>
    <w:rsid w:val="00852339"/>
    <w:rsid w:val="00852381"/>
    <w:rsid w:val="008527C4"/>
    <w:rsid w:val="0085298E"/>
    <w:rsid w:val="008529A2"/>
    <w:rsid w:val="00853049"/>
    <w:rsid w:val="008539E7"/>
    <w:rsid w:val="00853A6B"/>
    <w:rsid w:val="00853A9F"/>
    <w:rsid w:val="00853C01"/>
    <w:rsid w:val="00853D5F"/>
    <w:rsid w:val="00853D64"/>
    <w:rsid w:val="00854193"/>
    <w:rsid w:val="008542A2"/>
    <w:rsid w:val="008543E0"/>
    <w:rsid w:val="008548B4"/>
    <w:rsid w:val="0085492F"/>
    <w:rsid w:val="008549E0"/>
    <w:rsid w:val="00854A1F"/>
    <w:rsid w:val="00854AE5"/>
    <w:rsid w:val="00854F9D"/>
    <w:rsid w:val="008551D7"/>
    <w:rsid w:val="008554D8"/>
    <w:rsid w:val="00855501"/>
    <w:rsid w:val="0085581C"/>
    <w:rsid w:val="008558E9"/>
    <w:rsid w:val="00855989"/>
    <w:rsid w:val="00855A55"/>
    <w:rsid w:val="00855A58"/>
    <w:rsid w:val="00855A98"/>
    <w:rsid w:val="00855CAE"/>
    <w:rsid w:val="00855E33"/>
    <w:rsid w:val="00855EBC"/>
    <w:rsid w:val="00855EC0"/>
    <w:rsid w:val="0085642C"/>
    <w:rsid w:val="008564BA"/>
    <w:rsid w:val="008564CB"/>
    <w:rsid w:val="0085666B"/>
    <w:rsid w:val="00856699"/>
    <w:rsid w:val="00856960"/>
    <w:rsid w:val="00856D05"/>
    <w:rsid w:val="00856D51"/>
    <w:rsid w:val="0085718D"/>
    <w:rsid w:val="00857478"/>
    <w:rsid w:val="008574CC"/>
    <w:rsid w:val="00857530"/>
    <w:rsid w:val="008576AA"/>
    <w:rsid w:val="00857709"/>
    <w:rsid w:val="00857A05"/>
    <w:rsid w:val="00857B3D"/>
    <w:rsid w:val="00857C06"/>
    <w:rsid w:val="00857C82"/>
    <w:rsid w:val="00860192"/>
    <w:rsid w:val="00860228"/>
    <w:rsid w:val="00860300"/>
    <w:rsid w:val="0086060F"/>
    <w:rsid w:val="00860A49"/>
    <w:rsid w:val="0086106F"/>
    <w:rsid w:val="00861AE7"/>
    <w:rsid w:val="00861C28"/>
    <w:rsid w:val="008624F2"/>
    <w:rsid w:val="00862D13"/>
    <w:rsid w:val="008630CC"/>
    <w:rsid w:val="00863670"/>
    <w:rsid w:val="0086381E"/>
    <w:rsid w:val="0086390A"/>
    <w:rsid w:val="00863A0A"/>
    <w:rsid w:val="00863A79"/>
    <w:rsid w:val="00863A83"/>
    <w:rsid w:val="00863BB8"/>
    <w:rsid w:val="00863C06"/>
    <w:rsid w:val="00863DC2"/>
    <w:rsid w:val="008640C5"/>
    <w:rsid w:val="0086413C"/>
    <w:rsid w:val="00864725"/>
    <w:rsid w:val="00865BCE"/>
    <w:rsid w:val="00865C59"/>
    <w:rsid w:val="00865D58"/>
    <w:rsid w:val="00865E05"/>
    <w:rsid w:val="00865EB7"/>
    <w:rsid w:val="00865F3C"/>
    <w:rsid w:val="00865F94"/>
    <w:rsid w:val="00865FB5"/>
    <w:rsid w:val="008665C0"/>
    <w:rsid w:val="0086684E"/>
    <w:rsid w:val="00866A0C"/>
    <w:rsid w:val="00866D13"/>
    <w:rsid w:val="0086706E"/>
    <w:rsid w:val="008674D6"/>
    <w:rsid w:val="0086794B"/>
    <w:rsid w:val="00867CE3"/>
    <w:rsid w:val="00867D22"/>
    <w:rsid w:val="00870057"/>
    <w:rsid w:val="008704AD"/>
    <w:rsid w:val="0087059B"/>
    <w:rsid w:val="0087069D"/>
    <w:rsid w:val="0087090F"/>
    <w:rsid w:val="00870A41"/>
    <w:rsid w:val="00871111"/>
    <w:rsid w:val="0087118F"/>
    <w:rsid w:val="008711D5"/>
    <w:rsid w:val="008715A7"/>
    <w:rsid w:val="008719CB"/>
    <w:rsid w:val="00871A22"/>
    <w:rsid w:val="00871B7D"/>
    <w:rsid w:val="00871C5F"/>
    <w:rsid w:val="00871DEB"/>
    <w:rsid w:val="00872754"/>
    <w:rsid w:val="008727AE"/>
    <w:rsid w:val="0087283E"/>
    <w:rsid w:val="00872B06"/>
    <w:rsid w:val="00872FBF"/>
    <w:rsid w:val="00873376"/>
    <w:rsid w:val="00873406"/>
    <w:rsid w:val="00873935"/>
    <w:rsid w:val="00873A09"/>
    <w:rsid w:val="00873A72"/>
    <w:rsid w:val="00873B62"/>
    <w:rsid w:val="00873C45"/>
    <w:rsid w:val="00874A4C"/>
    <w:rsid w:val="00874AB6"/>
    <w:rsid w:val="00874B27"/>
    <w:rsid w:val="00874B9B"/>
    <w:rsid w:val="00874C57"/>
    <w:rsid w:val="00874DD0"/>
    <w:rsid w:val="00874E58"/>
    <w:rsid w:val="00874FD4"/>
    <w:rsid w:val="00875388"/>
    <w:rsid w:val="00875618"/>
    <w:rsid w:val="00875C69"/>
    <w:rsid w:val="00875D9A"/>
    <w:rsid w:val="00876039"/>
    <w:rsid w:val="008761FF"/>
    <w:rsid w:val="0087627C"/>
    <w:rsid w:val="008762D6"/>
    <w:rsid w:val="0087651A"/>
    <w:rsid w:val="00876597"/>
    <w:rsid w:val="008766C0"/>
    <w:rsid w:val="00876B3D"/>
    <w:rsid w:val="00876FD2"/>
    <w:rsid w:val="008773D8"/>
    <w:rsid w:val="00877425"/>
    <w:rsid w:val="0087746C"/>
    <w:rsid w:val="00877AA2"/>
    <w:rsid w:val="00880049"/>
    <w:rsid w:val="00880597"/>
    <w:rsid w:val="008805DB"/>
    <w:rsid w:val="0088072E"/>
    <w:rsid w:val="00880747"/>
    <w:rsid w:val="00880969"/>
    <w:rsid w:val="00880C33"/>
    <w:rsid w:val="00881424"/>
    <w:rsid w:val="0088162B"/>
    <w:rsid w:val="00881639"/>
    <w:rsid w:val="00881803"/>
    <w:rsid w:val="0088180F"/>
    <w:rsid w:val="00881A3A"/>
    <w:rsid w:val="00881C11"/>
    <w:rsid w:val="00881C77"/>
    <w:rsid w:val="00881D03"/>
    <w:rsid w:val="00882297"/>
    <w:rsid w:val="0088230C"/>
    <w:rsid w:val="008823E2"/>
    <w:rsid w:val="008826BA"/>
    <w:rsid w:val="00882713"/>
    <w:rsid w:val="008828C8"/>
    <w:rsid w:val="00882D1D"/>
    <w:rsid w:val="00882F5D"/>
    <w:rsid w:val="008832C9"/>
    <w:rsid w:val="00883A39"/>
    <w:rsid w:val="00883AEE"/>
    <w:rsid w:val="00883B3C"/>
    <w:rsid w:val="00883F57"/>
    <w:rsid w:val="0088433D"/>
    <w:rsid w:val="008843D8"/>
    <w:rsid w:val="00884426"/>
    <w:rsid w:val="0088457D"/>
    <w:rsid w:val="00884743"/>
    <w:rsid w:val="0088491A"/>
    <w:rsid w:val="008849C5"/>
    <w:rsid w:val="00884A39"/>
    <w:rsid w:val="00884A7C"/>
    <w:rsid w:val="00884C7A"/>
    <w:rsid w:val="0088528F"/>
    <w:rsid w:val="00885D32"/>
    <w:rsid w:val="008860FC"/>
    <w:rsid w:val="0088610F"/>
    <w:rsid w:val="00886243"/>
    <w:rsid w:val="008863F2"/>
    <w:rsid w:val="00886437"/>
    <w:rsid w:val="00886708"/>
    <w:rsid w:val="00887026"/>
    <w:rsid w:val="00887125"/>
    <w:rsid w:val="008872B6"/>
    <w:rsid w:val="00887405"/>
    <w:rsid w:val="00887580"/>
    <w:rsid w:val="0088790C"/>
    <w:rsid w:val="0088791E"/>
    <w:rsid w:val="00890290"/>
    <w:rsid w:val="008902D8"/>
    <w:rsid w:val="0089035D"/>
    <w:rsid w:val="0089051D"/>
    <w:rsid w:val="00890570"/>
    <w:rsid w:val="008908D2"/>
    <w:rsid w:val="00890980"/>
    <w:rsid w:val="00890AD2"/>
    <w:rsid w:val="00890D3D"/>
    <w:rsid w:val="00890FBA"/>
    <w:rsid w:val="00891369"/>
    <w:rsid w:val="0089137C"/>
    <w:rsid w:val="0089161E"/>
    <w:rsid w:val="008917AF"/>
    <w:rsid w:val="00891CE0"/>
    <w:rsid w:val="00891F62"/>
    <w:rsid w:val="008924EA"/>
    <w:rsid w:val="00892518"/>
    <w:rsid w:val="00892703"/>
    <w:rsid w:val="00892729"/>
    <w:rsid w:val="0089302D"/>
    <w:rsid w:val="0089333B"/>
    <w:rsid w:val="00893BFB"/>
    <w:rsid w:val="00893D06"/>
    <w:rsid w:val="008942A5"/>
    <w:rsid w:val="00894628"/>
    <w:rsid w:val="00894C93"/>
    <w:rsid w:val="00894CBB"/>
    <w:rsid w:val="00894E8B"/>
    <w:rsid w:val="00894EAA"/>
    <w:rsid w:val="008950D9"/>
    <w:rsid w:val="0089550E"/>
    <w:rsid w:val="00895EE1"/>
    <w:rsid w:val="00896149"/>
    <w:rsid w:val="0089623C"/>
    <w:rsid w:val="00896303"/>
    <w:rsid w:val="00896438"/>
    <w:rsid w:val="008965E6"/>
    <w:rsid w:val="00896ACD"/>
    <w:rsid w:val="00896B14"/>
    <w:rsid w:val="00896D82"/>
    <w:rsid w:val="00896EA4"/>
    <w:rsid w:val="00896EA6"/>
    <w:rsid w:val="00897215"/>
    <w:rsid w:val="00897D00"/>
    <w:rsid w:val="00897D70"/>
    <w:rsid w:val="0089A9D8"/>
    <w:rsid w:val="008A06A1"/>
    <w:rsid w:val="008A089C"/>
    <w:rsid w:val="008A0B25"/>
    <w:rsid w:val="008A0C54"/>
    <w:rsid w:val="008A0CED"/>
    <w:rsid w:val="008A0D8C"/>
    <w:rsid w:val="008A1339"/>
    <w:rsid w:val="008A1341"/>
    <w:rsid w:val="008A173E"/>
    <w:rsid w:val="008A1799"/>
    <w:rsid w:val="008A1A30"/>
    <w:rsid w:val="008A1BE4"/>
    <w:rsid w:val="008A1CDC"/>
    <w:rsid w:val="008A1EA7"/>
    <w:rsid w:val="008A20F1"/>
    <w:rsid w:val="008A211C"/>
    <w:rsid w:val="008A28CA"/>
    <w:rsid w:val="008A2DDA"/>
    <w:rsid w:val="008A2E07"/>
    <w:rsid w:val="008A3176"/>
    <w:rsid w:val="008A3229"/>
    <w:rsid w:val="008A330D"/>
    <w:rsid w:val="008A33BF"/>
    <w:rsid w:val="008A3626"/>
    <w:rsid w:val="008A3BB0"/>
    <w:rsid w:val="008A3D4A"/>
    <w:rsid w:val="008A3DE1"/>
    <w:rsid w:val="008A4583"/>
    <w:rsid w:val="008A4638"/>
    <w:rsid w:val="008A4750"/>
    <w:rsid w:val="008A4759"/>
    <w:rsid w:val="008A4B4F"/>
    <w:rsid w:val="008A4EFB"/>
    <w:rsid w:val="008A5043"/>
    <w:rsid w:val="008A50C1"/>
    <w:rsid w:val="008A5262"/>
    <w:rsid w:val="008A572B"/>
    <w:rsid w:val="008A5B41"/>
    <w:rsid w:val="008A5BF2"/>
    <w:rsid w:val="008A5C36"/>
    <w:rsid w:val="008A60A8"/>
    <w:rsid w:val="008A61CF"/>
    <w:rsid w:val="008A629B"/>
    <w:rsid w:val="008A6351"/>
    <w:rsid w:val="008A6615"/>
    <w:rsid w:val="008A668B"/>
    <w:rsid w:val="008A689E"/>
    <w:rsid w:val="008A6960"/>
    <w:rsid w:val="008A69B1"/>
    <w:rsid w:val="008A6B6A"/>
    <w:rsid w:val="008A6DB2"/>
    <w:rsid w:val="008A7096"/>
    <w:rsid w:val="008A736A"/>
    <w:rsid w:val="008A74B4"/>
    <w:rsid w:val="008A7610"/>
    <w:rsid w:val="008A7A18"/>
    <w:rsid w:val="008A7CFF"/>
    <w:rsid w:val="008A7E51"/>
    <w:rsid w:val="008A90B2"/>
    <w:rsid w:val="008B0269"/>
    <w:rsid w:val="008B06D6"/>
    <w:rsid w:val="008B082E"/>
    <w:rsid w:val="008B08B9"/>
    <w:rsid w:val="008B0B2E"/>
    <w:rsid w:val="008B0B5A"/>
    <w:rsid w:val="008B0D5E"/>
    <w:rsid w:val="008B0E22"/>
    <w:rsid w:val="008B113D"/>
    <w:rsid w:val="008B11FA"/>
    <w:rsid w:val="008B1889"/>
    <w:rsid w:val="008B18D7"/>
    <w:rsid w:val="008B1E2D"/>
    <w:rsid w:val="008B1E6F"/>
    <w:rsid w:val="008B20BC"/>
    <w:rsid w:val="008B2289"/>
    <w:rsid w:val="008B23F8"/>
    <w:rsid w:val="008B281A"/>
    <w:rsid w:val="008B2C63"/>
    <w:rsid w:val="008B2D85"/>
    <w:rsid w:val="008B2F07"/>
    <w:rsid w:val="008B3792"/>
    <w:rsid w:val="008B3C92"/>
    <w:rsid w:val="008B437C"/>
    <w:rsid w:val="008B4677"/>
    <w:rsid w:val="008B4CAD"/>
    <w:rsid w:val="008B4CAF"/>
    <w:rsid w:val="008B4D03"/>
    <w:rsid w:val="008B4F37"/>
    <w:rsid w:val="008B4FAE"/>
    <w:rsid w:val="008B51FE"/>
    <w:rsid w:val="008B5D31"/>
    <w:rsid w:val="008B5FF5"/>
    <w:rsid w:val="008B6018"/>
    <w:rsid w:val="008B607A"/>
    <w:rsid w:val="008B62A6"/>
    <w:rsid w:val="008B62B3"/>
    <w:rsid w:val="008B7354"/>
    <w:rsid w:val="008B73C8"/>
    <w:rsid w:val="008B76FD"/>
    <w:rsid w:val="008B7867"/>
    <w:rsid w:val="008B7929"/>
    <w:rsid w:val="008B7A83"/>
    <w:rsid w:val="008B7AA4"/>
    <w:rsid w:val="008B7ACF"/>
    <w:rsid w:val="008B7B14"/>
    <w:rsid w:val="008C005F"/>
    <w:rsid w:val="008C0162"/>
    <w:rsid w:val="008C01A0"/>
    <w:rsid w:val="008C01D6"/>
    <w:rsid w:val="008C0283"/>
    <w:rsid w:val="008C03B3"/>
    <w:rsid w:val="008C03FF"/>
    <w:rsid w:val="008C05D1"/>
    <w:rsid w:val="008C0603"/>
    <w:rsid w:val="008C06C0"/>
    <w:rsid w:val="008C0916"/>
    <w:rsid w:val="008C0A24"/>
    <w:rsid w:val="008C0B9B"/>
    <w:rsid w:val="008C0CFD"/>
    <w:rsid w:val="008C0FD8"/>
    <w:rsid w:val="008C11D8"/>
    <w:rsid w:val="008C1437"/>
    <w:rsid w:val="008C18AC"/>
    <w:rsid w:val="008C18BD"/>
    <w:rsid w:val="008C20B1"/>
    <w:rsid w:val="008C20ED"/>
    <w:rsid w:val="008C23F7"/>
    <w:rsid w:val="008C24B5"/>
    <w:rsid w:val="008C26B0"/>
    <w:rsid w:val="008C2830"/>
    <w:rsid w:val="008C28FE"/>
    <w:rsid w:val="008C2C12"/>
    <w:rsid w:val="008C2C92"/>
    <w:rsid w:val="008C2D71"/>
    <w:rsid w:val="008C2F9C"/>
    <w:rsid w:val="008C3207"/>
    <w:rsid w:val="008C36B4"/>
    <w:rsid w:val="008C37B6"/>
    <w:rsid w:val="008C383B"/>
    <w:rsid w:val="008C3A11"/>
    <w:rsid w:val="008C3A2C"/>
    <w:rsid w:val="008C3B54"/>
    <w:rsid w:val="008C3D8B"/>
    <w:rsid w:val="008C3DC7"/>
    <w:rsid w:val="008C46A0"/>
    <w:rsid w:val="008C4736"/>
    <w:rsid w:val="008C47F4"/>
    <w:rsid w:val="008C48CE"/>
    <w:rsid w:val="008C497B"/>
    <w:rsid w:val="008C4B8E"/>
    <w:rsid w:val="008C52C7"/>
    <w:rsid w:val="008C55CB"/>
    <w:rsid w:val="008C584A"/>
    <w:rsid w:val="008C5927"/>
    <w:rsid w:val="008C599C"/>
    <w:rsid w:val="008C5D7A"/>
    <w:rsid w:val="008C5FB3"/>
    <w:rsid w:val="008C61B9"/>
    <w:rsid w:val="008C688F"/>
    <w:rsid w:val="008C68F1"/>
    <w:rsid w:val="008C6BCD"/>
    <w:rsid w:val="008C6EC6"/>
    <w:rsid w:val="008C70A8"/>
    <w:rsid w:val="008C76BF"/>
    <w:rsid w:val="008C76DE"/>
    <w:rsid w:val="008C79BA"/>
    <w:rsid w:val="008C7B8C"/>
    <w:rsid w:val="008C7D6C"/>
    <w:rsid w:val="008C7F8C"/>
    <w:rsid w:val="008D008B"/>
    <w:rsid w:val="008D0349"/>
    <w:rsid w:val="008D040B"/>
    <w:rsid w:val="008D046F"/>
    <w:rsid w:val="008D0C6F"/>
    <w:rsid w:val="008D0C7B"/>
    <w:rsid w:val="008D0E50"/>
    <w:rsid w:val="008D0EF7"/>
    <w:rsid w:val="008D0F6D"/>
    <w:rsid w:val="008D1401"/>
    <w:rsid w:val="008D1849"/>
    <w:rsid w:val="008D1B71"/>
    <w:rsid w:val="008D2143"/>
    <w:rsid w:val="008D2168"/>
    <w:rsid w:val="008D2498"/>
    <w:rsid w:val="008D285C"/>
    <w:rsid w:val="008D2ABC"/>
    <w:rsid w:val="008D2D3D"/>
    <w:rsid w:val="008D3064"/>
    <w:rsid w:val="008D3191"/>
    <w:rsid w:val="008D31FD"/>
    <w:rsid w:val="008D320E"/>
    <w:rsid w:val="008D3560"/>
    <w:rsid w:val="008D39CE"/>
    <w:rsid w:val="008D3BB1"/>
    <w:rsid w:val="008D3BD4"/>
    <w:rsid w:val="008D3C33"/>
    <w:rsid w:val="008D42F1"/>
    <w:rsid w:val="008D44C3"/>
    <w:rsid w:val="008D46F5"/>
    <w:rsid w:val="008D4A94"/>
    <w:rsid w:val="008D4CF3"/>
    <w:rsid w:val="008D4EBE"/>
    <w:rsid w:val="008D5184"/>
    <w:rsid w:val="008D586B"/>
    <w:rsid w:val="008D596D"/>
    <w:rsid w:val="008D66AF"/>
    <w:rsid w:val="008D68C2"/>
    <w:rsid w:val="008D6A51"/>
    <w:rsid w:val="008D6AF2"/>
    <w:rsid w:val="008D6FB2"/>
    <w:rsid w:val="008D735B"/>
    <w:rsid w:val="008D76E4"/>
    <w:rsid w:val="008D795C"/>
    <w:rsid w:val="008D7973"/>
    <w:rsid w:val="008D79E1"/>
    <w:rsid w:val="008D7CF0"/>
    <w:rsid w:val="008D7E24"/>
    <w:rsid w:val="008D7F50"/>
    <w:rsid w:val="008D7FE1"/>
    <w:rsid w:val="008E00AE"/>
    <w:rsid w:val="008E056E"/>
    <w:rsid w:val="008E08A6"/>
    <w:rsid w:val="008E0AB8"/>
    <w:rsid w:val="008E0C5B"/>
    <w:rsid w:val="008E0DA4"/>
    <w:rsid w:val="008E0DAC"/>
    <w:rsid w:val="008E113A"/>
    <w:rsid w:val="008E11CC"/>
    <w:rsid w:val="008E1348"/>
    <w:rsid w:val="008E155B"/>
    <w:rsid w:val="008E177F"/>
    <w:rsid w:val="008E19A7"/>
    <w:rsid w:val="008E1E36"/>
    <w:rsid w:val="008E1E43"/>
    <w:rsid w:val="008E21BC"/>
    <w:rsid w:val="008E22DC"/>
    <w:rsid w:val="008E2B35"/>
    <w:rsid w:val="008E2F23"/>
    <w:rsid w:val="008E3579"/>
    <w:rsid w:val="008E3D96"/>
    <w:rsid w:val="008E40E0"/>
    <w:rsid w:val="008E4139"/>
    <w:rsid w:val="008E45F0"/>
    <w:rsid w:val="008E4CEB"/>
    <w:rsid w:val="008E4D43"/>
    <w:rsid w:val="008E4D51"/>
    <w:rsid w:val="008E4DE9"/>
    <w:rsid w:val="008E4DFA"/>
    <w:rsid w:val="008E5763"/>
    <w:rsid w:val="008E591A"/>
    <w:rsid w:val="008E5EA0"/>
    <w:rsid w:val="008E62A1"/>
    <w:rsid w:val="008E62B6"/>
    <w:rsid w:val="008E63FA"/>
    <w:rsid w:val="008E65C3"/>
    <w:rsid w:val="008E6685"/>
    <w:rsid w:val="008E6AB7"/>
    <w:rsid w:val="008E6C28"/>
    <w:rsid w:val="008E707D"/>
    <w:rsid w:val="008E76BD"/>
    <w:rsid w:val="008E7B37"/>
    <w:rsid w:val="008E7B48"/>
    <w:rsid w:val="008E7C2D"/>
    <w:rsid w:val="008F08E6"/>
    <w:rsid w:val="008F10CC"/>
    <w:rsid w:val="008F112F"/>
    <w:rsid w:val="008F13D6"/>
    <w:rsid w:val="008F1578"/>
    <w:rsid w:val="008F1822"/>
    <w:rsid w:val="008F1861"/>
    <w:rsid w:val="008F2579"/>
    <w:rsid w:val="008F29A9"/>
    <w:rsid w:val="008F2BF2"/>
    <w:rsid w:val="008F338C"/>
    <w:rsid w:val="008F367B"/>
    <w:rsid w:val="008F3B3C"/>
    <w:rsid w:val="008F3FF9"/>
    <w:rsid w:val="008F4297"/>
    <w:rsid w:val="008F43F1"/>
    <w:rsid w:val="008F44A9"/>
    <w:rsid w:val="008F494E"/>
    <w:rsid w:val="008F4F2D"/>
    <w:rsid w:val="008F4FF5"/>
    <w:rsid w:val="008F50C7"/>
    <w:rsid w:val="008F5178"/>
    <w:rsid w:val="008F52E4"/>
    <w:rsid w:val="008F53C9"/>
    <w:rsid w:val="008F55BD"/>
    <w:rsid w:val="008F6173"/>
    <w:rsid w:val="008F658F"/>
    <w:rsid w:val="008F66BD"/>
    <w:rsid w:val="008F6D1E"/>
    <w:rsid w:val="008F712F"/>
    <w:rsid w:val="008F71CC"/>
    <w:rsid w:val="008F722C"/>
    <w:rsid w:val="008F7497"/>
    <w:rsid w:val="008F79AD"/>
    <w:rsid w:val="009001B4"/>
    <w:rsid w:val="009002C5"/>
    <w:rsid w:val="009005A8"/>
    <w:rsid w:val="00900728"/>
    <w:rsid w:val="009008D4"/>
    <w:rsid w:val="00900B42"/>
    <w:rsid w:val="00900DF0"/>
    <w:rsid w:val="00900F17"/>
    <w:rsid w:val="00900FA8"/>
    <w:rsid w:val="009011D9"/>
    <w:rsid w:val="009011EC"/>
    <w:rsid w:val="00901C11"/>
    <w:rsid w:val="00901D47"/>
    <w:rsid w:val="00901E5A"/>
    <w:rsid w:val="00902045"/>
    <w:rsid w:val="00902203"/>
    <w:rsid w:val="0090230E"/>
    <w:rsid w:val="0090248C"/>
    <w:rsid w:val="009027B4"/>
    <w:rsid w:val="00902A54"/>
    <w:rsid w:val="00902D12"/>
    <w:rsid w:val="00902FAA"/>
    <w:rsid w:val="00903372"/>
    <w:rsid w:val="009033C1"/>
    <w:rsid w:val="009034CB"/>
    <w:rsid w:val="00903562"/>
    <w:rsid w:val="00903AA4"/>
    <w:rsid w:val="00903C5E"/>
    <w:rsid w:val="00903FF4"/>
    <w:rsid w:val="00904110"/>
    <w:rsid w:val="00904321"/>
    <w:rsid w:val="00904356"/>
    <w:rsid w:val="009044DA"/>
    <w:rsid w:val="009044F3"/>
    <w:rsid w:val="0090465E"/>
    <w:rsid w:val="0090479A"/>
    <w:rsid w:val="009047D2"/>
    <w:rsid w:val="009049AD"/>
    <w:rsid w:val="009049C1"/>
    <w:rsid w:val="00904D72"/>
    <w:rsid w:val="00904FA6"/>
    <w:rsid w:val="00905051"/>
    <w:rsid w:val="00905395"/>
    <w:rsid w:val="00905520"/>
    <w:rsid w:val="00905ACC"/>
    <w:rsid w:val="00905CE8"/>
    <w:rsid w:val="00905D39"/>
    <w:rsid w:val="00906347"/>
    <w:rsid w:val="00906504"/>
    <w:rsid w:val="00906D0E"/>
    <w:rsid w:val="00907049"/>
    <w:rsid w:val="0090715E"/>
    <w:rsid w:val="009072D6"/>
    <w:rsid w:val="009077C1"/>
    <w:rsid w:val="00907A05"/>
    <w:rsid w:val="00907A41"/>
    <w:rsid w:val="00907B28"/>
    <w:rsid w:val="00907CF2"/>
    <w:rsid w:val="0090DEB6"/>
    <w:rsid w:val="00910572"/>
    <w:rsid w:val="0091082A"/>
    <w:rsid w:val="0091093F"/>
    <w:rsid w:val="0091101D"/>
    <w:rsid w:val="0091117A"/>
    <w:rsid w:val="00911211"/>
    <w:rsid w:val="0091143D"/>
    <w:rsid w:val="00911545"/>
    <w:rsid w:val="009118A8"/>
    <w:rsid w:val="00911BD4"/>
    <w:rsid w:val="00911EB4"/>
    <w:rsid w:val="00912070"/>
    <w:rsid w:val="00912293"/>
    <w:rsid w:val="0091229B"/>
    <w:rsid w:val="0091242E"/>
    <w:rsid w:val="00912A1B"/>
    <w:rsid w:val="00912BC9"/>
    <w:rsid w:val="00912C5F"/>
    <w:rsid w:val="00912E92"/>
    <w:rsid w:val="009130B2"/>
    <w:rsid w:val="00913133"/>
    <w:rsid w:val="009135D0"/>
    <w:rsid w:val="00913892"/>
    <w:rsid w:val="0091395E"/>
    <w:rsid w:val="00913D7D"/>
    <w:rsid w:val="00913FD9"/>
    <w:rsid w:val="00914094"/>
    <w:rsid w:val="00914142"/>
    <w:rsid w:val="00914592"/>
    <w:rsid w:val="009149DD"/>
    <w:rsid w:val="00914A64"/>
    <w:rsid w:val="00914FE2"/>
    <w:rsid w:val="0091507D"/>
    <w:rsid w:val="0091558E"/>
    <w:rsid w:val="00915A15"/>
    <w:rsid w:val="00915CD9"/>
    <w:rsid w:val="00916211"/>
    <w:rsid w:val="00916543"/>
    <w:rsid w:val="00916772"/>
    <w:rsid w:val="009169E6"/>
    <w:rsid w:val="00916BA5"/>
    <w:rsid w:val="009170E4"/>
    <w:rsid w:val="009176E3"/>
    <w:rsid w:val="00917CA4"/>
    <w:rsid w:val="0091F404"/>
    <w:rsid w:val="0092003A"/>
    <w:rsid w:val="00920249"/>
    <w:rsid w:val="0092025D"/>
    <w:rsid w:val="00920696"/>
    <w:rsid w:val="00920859"/>
    <w:rsid w:val="00920ACD"/>
    <w:rsid w:val="00920C92"/>
    <w:rsid w:val="00920F19"/>
    <w:rsid w:val="00921280"/>
    <w:rsid w:val="009215DA"/>
    <w:rsid w:val="00921803"/>
    <w:rsid w:val="00921E18"/>
    <w:rsid w:val="00922127"/>
    <w:rsid w:val="00922418"/>
    <w:rsid w:val="0092248E"/>
    <w:rsid w:val="00922956"/>
    <w:rsid w:val="0092297D"/>
    <w:rsid w:val="00922C33"/>
    <w:rsid w:val="00922C74"/>
    <w:rsid w:val="00922DD2"/>
    <w:rsid w:val="00922F31"/>
    <w:rsid w:val="00922F7B"/>
    <w:rsid w:val="00922FCF"/>
    <w:rsid w:val="0092307E"/>
    <w:rsid w:val="0092313C"/>
    <w:rsid w:val="00923742"/>
    <w:rsid w:val="00923F60"/>
    <w:rsid w:val="009245E9"/>
    <w:rsid w:val="009249FA"/>
    <w:rsid w:val="00924CCB"/>
    <w:rsid w:val="009254DA"/>
    <w:rsid w:val="00925752"/>
    <w:rsid w:val="00925798"/>
    <w:rsid w:val="009259AD"/>
    <w:rsid w:val="00925ADC"/>
    <w:rsid w:val="00925B7C"/>
    <w:rsid w:val="00925D26"/>
    <w:rsid w:val="00925D3D"/>
    <w:rsid w:val="009262AC"/>
    <w:rsid w:val="00926503"/>
    <w:rsid w:val="0092660E"/>
    <w:rsid w:val="00926CE0"/>
    <w:rsid w:val="00926FBC"/>
    <w:rsid w:val="009270DF"/>
    <w:rsid w:val="009271A1"/>
    <w:rsid w:val="009271FC"/>
    <w:rsid w:val="00927355"/>
    <w:rsid w:val="00927600"/>
    <w:rsid w:val="00927892"/>
    <w:rsid w:val="00927BAF"/>
    <w:rsid w:val="00927EC0"/>
    <w:rsid w:val="00927EF6"/>
    <w:rsid w:val="00927EFC"/>
    <w:rsid w:val="00927F25"/>
    <w:rsid w:val="0092DF96"/>
    <w:rsid w:val="009302A6"/>
    <w:rsid w:val="0093061A"/>
    <w:rsid w:val="0093099A"/>
    <w:rsid w:val="00930B6F"/>
    <w:rsid w:val="00930C0F"/>
    <w:rsid w:val="00930D5A"/>
    <w:rsid w:val="009315FA"/>
    <w:rsid w:val="00931852"/>
    <w:rsid w:val="009318A5"/>
    <w:rsid w:val="009318F1"/>
    <w:rsid w:val="00931A96"/>
    <w:rsid w:val="00931D35"/>
    <w:rsid w:val="00931EC4"/>
    <w:rsid w:val="00931F3E"/>
    <w:rsid w:val="0093222F"/>
    <w:rsid w:val="00932330"/>
    <w:rsid w:val="009324A2"/>
    <w:rsid w:val="0093253C"/>
    <w:rsid w:val="0093273B"/>
    <w:rsid w:val="009328D5"/>
    <w:rsid w:val="00932AB3"/>
    <w:rsid w:val="00932B0E"/>
    <w:rsid w:val="00932BA1"/>
    <w:rsid w:val="00932C16"/>
    <w:rsid w:val="00932DD5"/>
    <w:rsid w:val="00932F7E"/>
    <w:rsid w:val="0093316A"/>
    <w:rsid w:val="009331E2"/>
    <w:rsid w:val="00933382"/>
    <w:rsid w:val="00933562"/>
    <w:rsid w:val="009335FF"/>
    <w:rsid w:val="009336FE"/>
    <w:rsid w:val="00933863"/>
    <w:rsid w:val="00933870"/>
    <w:rsid w:val="0093391C"/>
    <w:rsid w:val="00933A84"/>
    <w:rsid w:val="00933B56"/>
    <w:rsid w:val="00933C62"/>
    <w:rsid w:val="009345E2"/>
    <w:rsid w:val="009347E5"/>
    <w:rsid w:val="00934AF6"/>
    <w:rsid w:val="00935256"/>
    <w:rsid w:val="009352F7"/>
    <w:rsid w:val="00935712"/>
    <w:rsid w:val="009358F6"/>
    <w:rsid w:val="00935F3E"/>
    <w:rsid w:val="00936623"/>
    <w:rsid w:val="00936705"/>
    <w:rsid w:val="0093691A"/>
    <w:rsid w:val="00936A3D"/>
    <w:rsid w:val="00936A48"/>
    <w:rsid w:val="00936B9E"/>
    <w:rsid w:val="00936FD4"/>
    <w:rsid w:val="00936FDE"/>
    <w:rsid w:val="0093711B"/>
    <w:rsid w:val="009371EA"/>
    <w:rsid w:val="0093745F"/>
    <w:rsid w:val="009375B5"/>
    <w:rsid w:val="00937869"/>
    <w:rsid w:val="00937BAE"/>
    <w:rsid w:val="00937E74"/>
    <w:rsid w:val="009400EB"/>
    <w:rsid w:val="00940535"/>
    <w:rsid w:val="00940548"/>
    <w:rsid w:val="009406D3"/>
    <w:rsid w:val="009409ED"/>
    <w:rsid w:val="00940A65"/>
    <w:rsid w:val="00940AAD"/>
    <w:rsid w:val="00940B04"/>
    <w:rsid w:val="00940CBD"/>
    <w:rsid w:val="00940DB0"/>
    <w:rsid w:val="00940E4D"/>
    <w:rsid w:val="00941061"/>
    <w:rsid w:val="009414D7"/>
    <w:rsid w:val="009418AE"/>
    <w:rsid w:val="0094193F"/>
    <w:rsid w:val="00941989"/>
    <w:rsid w:val="00941D6C"/>
    <w:rsid w:val="00941E4A"/>
    <w:rsid w:val="00941FB6"/>
    <w:rsid w:val="009420EB"/>
    <w:rsid w:val="009423C5"/>
    <w:rsid w:val="00942638"/>
    <w:rsid w:val="00942654"/>
    <w:rsid w:val="0094289C"/>
    <w:rsid w:val="0094296A"/>
    <w:rsid w:val="00942F6C"/>
    <w:rsid w:val="009431CC"/>
    <w:rsid w:val="0094352F"/>
    <w:rsid w:val="009435B3"/>
    <w:rsid w:val="009439A8"/>
    <w:rsid w:val="009439DA"/>
    <w:rsid w:val="00943C77"/>
    <w:rsid w:val="00943FF4"/>
    <w:rsid w:val="009443FD"/>
    <w:rsid w:val="009446E8"/>
    <w:rsid w:val="009446ED"/>
    <w:rsid w:val="009446F3"/>
    <w:rsid w:val="00944C8F"/>
    <w:rsid w:val="00944CBA"/>
    <w:rsid w:val="00944D56"/>
    <w:rsid w:val="0094505D"/>
    <w:rsid w:val="009450CC"/>
    <w:rsid w:val="00945734"/>
    <w:rsid w:val="00945849"/>
    <w:rsid w:val="00945917"/>
    <w:rsid w:val="0094598D"/>
    <w:rsid w:val="00945A03"/>
    <w:rsid w:val="00945B5F"/>
    <w:rsid w:val="00945B9E"/>
    <w:rsid w:val="00945C73"/>
    <w:rsid w:val="00945DD2"/>
    <w:rsid w:val="00946042"/>
    <w:rsid w:val="00946180"/>
    <w:rsid w:val="00946321"/>
    <w:rsid w:val="00946382"/>
    <w:rsid w:val="009463BC"/>
    <w:rsid w:val="00946413"/>
    <w:rsid w:val="00946AA8"/>
    <w:rsid w:val="00946C77"/>
    <w:rsid w:val="00946EA4"/>
    <w:rsid w:val="00947459"/>
    <w:rsid w:val="009478C3"/>
    <w:rsid w:val="00947B84"/>
    <w:rsid w:val="00947C8B"/>
    <w:rsid w:val="0095019A"/>
    <w:rsid w:val="00950756"/>
    <w:rsid w:val="0095077F"/>
    <w:rsid w:val="00950FC8"/>
    <w:rsid w:val="009514B7"/>
    <w:rsid w:val="00952366"/>
    <w:rsid w:val="00952595"/>
    <w:rsid w:val="009527EA"/>
    <w:rsid w:val="009535E8"/>
    <w:rsid w:val="00953603"/>
    <w:rsid w:val="0095369B"/>
    <w:rsid w:val="00953D49"/>
    <w:rsid w:val="00953FA5"/>
    <w:rsid w:val="00953FBF"/>
    <w:rsid w:val="00954158"/>
    <w:rsid w:val="00954286"/>
    <w:rsid w:val="0095446F"/>
    <w:rsid w:val="00954606"/>
    <w:rsid w:val="00954C64"/>
    <w:rsid w:val="00954F39"/>
    <w:rsid w:val="0095502C"/>
    <w:rsid w:val="00955609"/>
    <w:rsid w:val="009556F0"/>
    <w:rsid w:val="0095596E"/>
    <w:rsid w:val="00955AE0"/>
    <w:rsid w:val="00955F20"/>
    <w:rsid w:val="00956378"/>
    <w:rsid w:val="00956518"/>
    <w:rsid w:val="0095652F"/>
    <w:rsid w:val="009568EA"/>
    <w:rsid w:val="00956A75"/>
    <w:rsid w:val="00956A8A"/>
    <w:rsid w:val="00956F5C"/>
    <w:rsid w:val="0095704A"/>
    <w:rsid w:val="009572A7"/>
    <w:rsid w:val="00957440"/>
    <w:rsid w:val="009578B8"/>
    <w:rsid w:val="00957BA7"/>
    <w:rsid w:val="0096003B"/>
    <w:rsid w:val="00960204"/>
    <w:rsid w:val="00960216"/>
    <w:rsid w:val="00960397"/>
    <w:rsid w:val="009604D2"/>
    <w:rsid w:val="009605C0"/>
    <w:rsid w:val="0096094E"/>
    <w:rsid w:val="00960DD8"/>
    <w:rsid w:val="00960E21"/>
    <w:rsid w:val="00960E82"/>
    <w:rsid w:val="00960EAE"/>
    <w:rsid w:val="00960EE1"/>
    <w:rsid w:val="00960EF4"/>
    <w:rsid w:val="0096100F"/>
    <w:rsid w:val="0096117F"/>
    <w:rsid w:val="009614C0"/>
    <w:rsid w:val="009614F0"/>
    <w:rsid w:val="009614F5"/>
    <w:rsid w:val="0096180C"/>
    <w:rsid w:val="00961B43"/>
    <w:rsid w:val="00961EDA"/>
    <w:rsid w:val="00961F1A"/>
    <w:rsid w:val="009625D3"/>
    <w:rsid w:val="00962A37"/>
    <w:rsid w:val="00962D2B"/>
    <w:rsid w:val="00963157"/>
    <w:rsid w:val="009632C5"/>
    <w:rsid w:val="00963654"/>
    <w:rsid w:val="00963E0B"/>
    <w:rsid w:val="00963EAA"/>
    <w:rsid w:val="00963F82"/>
    <w:rsid w:val="009640CA"/>
    <w:rsid w:val="00964134"/>
    <w:rsid w:val="009642C8"/>
    <w:rsid w:val="00964316"/>
    <w:rsid w:val="0096435E"/>
    <w:rsid w:val="00964491"/>
    <w:rsid w:val="00964549"/>
    <w:rsid w:val="0096465C"/>
    <w:rsid w:val="00964665"/>
    <w:rsid w:val="00964AA3"/>
    <w:rsid w:val="00964C74"/>
    <w:rsid w:val="00964FF9"/>
    <w:rsid w:val="009651A1"/>
    <w:rsid w:val="00965802"/>
    <w:rsid w:val="00965971"/>
    <w:rsid w:val="00965BAF"/>
    <w:rsid w:val="00965C44"/>
    <w:rsid w:val="00965D7D"/>
    <w:rsid w:val="00965FD4"/>
    <w:rsid w:val="0096649D"/>
    <w:rsid w:val="00966683"/>
    <w:rsid w:val="00966977"/>
    <w:rsid w:val="00966CCD"/>
    <w:rsid w:val="00967201"/>
    <w:rsid w:val="00967405"/>
    <w:rsid w:val="009674EA"/>
    <w:rsid w:val="009679BE"/>
    <w:rsid w:val="00967CE2"/>
    <w:rsid w:val="00967D06"/>
    <w:rsid w:val="00967EA7"/>
    <w:rsid w:val="00967ED2"/>
    <w:rsid w:val="00967F0F"/>
    <w:rsid w:val="00967F22"/>
    <w:rsid w:val="00970163"/>
    <w:rsid w:val="00970633"/>
    <w:rsid w:val="009706D5"/>
    <w:rsid w:val="009706F1"/>
    <w:rsid w:val="00970B18"/>
    <w:rsid w:val="00970BA1"/>
    <w:rsid w:val="00970D1D"/>
    <w:rsid w:val="0097104F"/>
    <w:rsid w:val="0097134B"/>
    <w:rsid w:val="0097161A"/>
    <w:rsid w:val="009716DE"/>
    <w:rsid w:val="00971914"/>
    <w:rsid w:val="00971919"/>
    <w:rsid w:val="009719F4"/>
    <w:rsid w:val="00971A33"/>
    <w:rsid w:val="00972285"/>
    <w:rsid w:val="0097228E"/>
    <w:rsid w:val="009722C1"/>
    <w:rsid w:val="009726D8"/>
    <w:rsid w:val="00972A25"/>
    <w:rsid w:val="00972BC7"/>
    <w:rsid w:val="00972D3B"/>
    <w:rsid w:val="009730CE"/>
    <w:rsid w:val="00973371"/>
    <w:rsid w:val="00973397"/>
    <w:rsid w:val="009733A2"/>
    <w:rsid w:val="0097340E"/>
    <w:rsid w:val="00973823"/>
    <w:rsid w:val="00973837"/>
    <w:rsid w:val="00973944"/>
    <w:rsid w:val="00973DDE"/>
    <w:rsid w:val="00973F33"/>
    <w:rsid w:val="00974322"/>
    <w:rsid w:val="0097434B"/>
    <w:rsid w:val="009748C4"/>
    <w:rsid w:val="0097497F"/>
    <w:rsid w:val="00975018"/>
    <w:rsid w:val="00975467"/>
    <w:rsid w:val="00975796"/>
    <w:rsid w:val="0097586A"/>
    <w:rsid w:val="009759B0"/>
    <w:rsid w:val="00975A14"/>
    <w:rsid w:val="00975BF3"/>
    <w:rsid w:val="00975C5D"/>
    <w:rsid w:val="00975F69"/>
    <w:rsid w:val="0097617E"/>
    <w:rsid w:val="00976284"/>
    <w:rsid w:val="0097643B"/>
    <w:rsid w:val="0097676B"/>
    <w:rsid w:val="009769EB"/>
    <w:rsid w:val="00976A46"/>
    <w:rsid w:val="00976B78"/>
    <w:rsid w:val="009770C3"/>
    <w:rsid w:val="00977298"/>
    <w:rsid w:val="0097735F"/>
    <w:rsid w:val="0097747D"/>
    <w:rsid w:val="00977579"/>
    <w:rsid w:val="009775D7"/>
    <w:rsid w:val="009776FC"/>
    <w:rsid w:val="009778CF"/>
    <w:rsid w:val="00977B51"/>
    <w:rsid w:val="00977B70"/>
    <w:rsid w:val="00977D17"/>
    <w:rsid w:val="00977E4A"/>
    <w:rsid w:val="00980852"/>
    <w:rsid w:val="00980938"/>
    <w:rsid w:val="00980ABF"/>
    <w:rsid w:val="00981475"/>
    <w:rsid w:val="00981BF1"/>
    <w:rsid w:val="00981C59"/>
    <w:rsid w:val="00981DBD"/>
    <w:rsid w:val="00982399"/>
    <w:rsid w:val="009827B6"/>
    <w:rsid w:val="00982BA0"/>
    <w:rsid w:val="00982CF6"/>
    <w:rsid w:val="00982D2B"/>
    <w:rsid w:val="00982E9A"/>
    <w:rsid w:val="00982FA1"/>
    <w:rsid w:val="00982FD2"/>
    <w:rsid w:val="00982FF2"/>
    <w:rsid w:val="00983069"/>
    <w:rsid w:val="00983563"/>
    <w:rsid w:val="0098359C"/>
    <w:rsid w:val="0098381C"/>
    <w:rsid w:val="00983838"/>
    <w:rsid w:val="00983F84"/>
    <w:rsid w:val="00984932"/>
    <w:rsid w:val="00984C92"/>
    <w:rsid w:val="00984CFF"/>
    <w:rsid w:val="00984EC5"/>
    <w:rsid w:val="0098541A"/>
    <w:rsid w:val="00985443"/>
    <w:rsid w:val="00985546"/>
    <w:rsid w:val="00985764"/>
    <w:rsid w:val="00985765"/>
    <w:rsid w:val="00985E19"/>
    <w:rsid w:val="00985EC2"/>
    <w:rsid w:val="00985F71"/>
    <w:rsid w:val="00985F8F"/>
    <w:rsid w:val="00986217"/>
    <w:rsid w:val="009862FA"/>
    <w:rsid w:val="009867D9"/>
    <w:rsid w:val="00986A9E"/>
    <w:rsid w:val="0098704B"/>
    <w:rsid w:val="009870C8"/>
    <w:rsid w:val="00987196"/>
    <w:rsid w:val="009872C2"/>
    <w:rsid w:val="009874A8"/>
    <w:rsid w:val="00987501"/>
    <w:rsid w:val="0098752E"/>
    <w:rsid w:val="0098784A"/>
    <w:rsid w:val="00987EC2"/>
    <w:rsid w:val="00987EC8"/>
    <w:rsid w:val="00987F60"/>
    <w:rsid w:val="00990138"/>
    <w:rsid w:val="009904A9"/>
    <w:rsid w:val="009904C3"/>
    <w:rsid w:val="0099051D"/>
    <w:rsid w:val="009907AE"/>
    <w:rsid w:val="009909A4"/>
    <w:rsid w:val="00990A0A"/>
    <w:rsid w:val="0099150B"/>
    <w:rsid w:val="009916CA"/>
    <w:rsid w:val="00991797"/>
    <w:rsid w:val="00991D2B"/>
    <w:rsid w:val="00991DA5"/>
    <w:rsid w:val="00991EBA"/>
    <w:rsid w:val="00991F7D"/>
    <w:rsid w:val="00992248"/>
    <w:rsid w:val="00992269"/>
    <w:rsid w:val="009922B6"/>
    <w:rsid w:val="0099238D"/>
    <w:rsid w:val="0099288C"/>
    <w:rsid w:val="00992B37"/>
    <w:rsid w:val="00992CDF"/>
    <w:rsid w:val="00992D01"/>
    <w:rsid w:val="00992F66"/>
    <w:rsid w:val="00992F76"/>
    <w:rsid w:val="009934F7"/>
    <w:rsid w:val="009938B7"/>
    <w:rsid w:val="00993990"/>
    <w:rsid w:val="00993A96"/>
    <w:rsid w:val="00994496"/>
    <w:rsid w:val="00994665"/>
    <w:rsid w:val="00994A16"/>
    <w:rsid w:val="00994C49"/>
    <w:rsid w:val="00994EDD"/>
    <w:rsid w:val="009953E5"/>
    <w:rsid w:val="00995BD5"/>
    <w:rsid w:val="00995C43"/>
    <w:rsid w:val="00995D37"/>
    <w:rsid w:val="009960F4"/>
    <w:rsid w:val="00996584"/>
    <w:rsid w:val="0099670C"/>
    <w:rsid w:val="00996AC1"/>
    <w:rsid w:val="00996D30"/>
    <w:rsid w:val="00996E10"/>
    <w:rsid w:val="00996F82"/>
    <w:rsid w:val="009970FA"/>
    <w:rsid w:val="0099754B"/>
    <w:rsid w:val="009975D6"/>
    <w:rsid w:val="00997777"/>
    <w:rsid w:val="00997C05"/>
    <w:rsid w:val="009A03F7"/>
    <w:rsid w:val="009A0439"/>
    <w:rsid w:val="009A05E7"/>
    <w:rsid w:val="009A0997"/>
    <w:rsid w:val="009A0BDA"/>
    <w:rsid w:val="009A0F26"/>
    <w:rsid w:val="009A1017"/>
    <w:rsid w:val="009A1107"/>
    <w:rsid w:val="009A1126"/>
    <w:rsid w:val="009A1205"/>
    <w:rsid w:val="009A122F"/>
    <w:rsid w:val="009A13A1"/>
    <w:rsid w:val="009A1738"/>
    <w:rsid w:val="009A181C"/>
    <w:rsid w:val="009A19C3"/>
    <w:rsid w:val="009A1A36"/>
    <w:rsid w:val="009A1A66"/>
    <w:rsid w:val="009A1BD8"/>
    <w:rsid w:val="009A1ED8"/>
    <w:rsid w:val="009A222A"/>
    <w:rsid w:val="009A24FA"/>
    <w:rsid w:val="009A25E3"/>
    <w:rsid w:val="009A29E4"/>
    <w:rsid w:val="009A2B97"/>
    <w:rsid w:val="009A2CF9"/>
    <w:rsid w:val="009A30F3"/>
    <w:rsid w:val="009A311C"/>
    <w:rsid w:val="009A34D0"/>
    <w:rsid w:val="009A36D0"/>
    <w:rsid w:val="009A3874"/>
    <w:rsid w:val="009A39C1"/>
    <w:rsid w:val="009A3E24"/>
    <w:rsid w:val="009A40C4"/>
    <w:rsid w:val="009A41D1"/>
    <w:rsid w:val="009A441C"/>
    <w:rsid w:val="009A49AE"/>
    <w:rsid w:val="009A49EC"/>
    <w:rsid w:val="009A4A82"/>
    <w:rsid w:val="009A4A96"/>
    <w:rsid w:val="009A4E62"/>
    <w:rsid w:val="009A4E71"/>
    <w:rsid w:val="009A4F0C"/>
    <w:rsid w:val="009A5379"/>
    <w:rsid w:val="009A5467"/>
    <w:rsid w:val="009A54C5"/>
    <w:rsid w:val="009A5562"/>
    <w:rsid w:val="009A57FA"/>
    <w:rsid w:val="009A58A1"/>
    <w:rsid w:val="009A58D9"/>
    <w:rsid w:val="009A61CE"/>
    <w:rsid w:val="009A662E"/>
    <w:rsid w:val="009A66B5"/>
    <w:rsid w:val="009A6BFA"/>
    <w:rsid w:val="009A6D50"/>
    <w:rsid w:val="009A6DEE"/>
    <w:rsid w:val="009A7C6F"/>
    <w:rsid w:val="009A7D3A"/>
    <w:rsid w:val="009B0452"/>
    <w:rsid w:val="009B04B0"/>
    <w:rsid w:val="009B0617"/>
    <w:rsid w:val="009B0876"/>
    <w:rsid w:val="009B0E94"/>
    <w:rsid w:val="009B1479"/>
    <w:rsid w:val="009B1578"/>
    <w:rsid w:val="009B1893"/>
    <w:rsid w:val="009B1DC4"/>
    <w:rsid w:val="009B2097"/>
    <w:rsid w:val="009B2268"/>
    <w:rsid w:val="009B2346"/>
    <w:rsid w:val="009B234A"/>
    <w:rsid w:val="009B2820"/>
    <w:rsid w:val="009B29B2"/>
    <w:rsid w:val="009B2BC3"/>
    <w:rsid w:val="009B2C4B"/>
    <w:rsid w:val="009B2D5A"/>
    <w:rsid w:val="009B319C"/>
    <w:rsid w:val="009B3205"/>
    <w:rsid w:val="009B35D9"/>
    <w:rsid w:val="009B3841"/>
    <w:rsid w:val="009B38FA"/>
    <w:rsid w:val="009B3A8D"/>
    <w:rsid w:val="009B3D2E"/>
    <w:rsid w:val="009B3F01"/>
    <w:rsid w:val="009B3F0E"/>
    <w:rsid w:val="009B4492"/>
    <w:rsid w:val="009B466A"/>
    <w:rsid w:val="009B4799"/>
    <w:rsid w:val="009B47C3"/>
    <w:rsid w:val="009B4ABA"/>
    <w:rsid w:val="009B4CA6"/>
    <w:rsid w:val="009B4F94"/>
    <w:rsid w:val="009B5091"/>
    <w:rsid w:val="009B5290"/>
    <w:rsid w:val="009B53DA"/>
    <w:rsid w:val="009B5609"/>
    <w:rsid w:val="009B5712"/>
    <w:rsid w:val="009B581E"/>
    <w:rsid w:val="009B5A49"/>
    <w:rsid w:val="009B5D86"/>
    <w:rsid w:val="009B608F"/>
    <w:rsid w:val="009B60F9"/>
    <w:rsid w:val="009B6139"/>
    <w:rsid w:val="009B62C9"/>
    <w:rsid w:val="009B6355"/>
    <w:rsid w:val="009B6464"/>
    <w:rsid w:val="009B6518"/>
    <w:rsid w:val="009B6570"/>
    <w:rsid w:val="009B657C"/>
    <w:rsid w:val="009B6924"/>
    <w:rsid w:val="009B6B40"/>
    <w:rsid w:val="009B6DFC"/>
    <w:rsid w:val="009B706B"/>
    <w:rsid w:val="009B70EA"/>
    <w:rsid w:val="009B7107"/>
    <w:rsid w:val="009B757D"/>
    <w:rsid w:val="009B775F"/>
    <w:rsid w:val="009B7A32"/>
    <w:rsid w:val="009B7CAE"/>
    <w:rsid w:val="009B7CE9"/>
    <w:rsid w:val="009B7F04"/>
    <w:rsid w:val="009B7F23"/>
    <w:rsid w:val="009C0208"/>
    <w:rsid w:val="009C105B"/>
    <w:rsid w:val="009C11A3"/>
    <w:rsid w:val="009C12C5"/>
    <w:rsid w:val="009C1546"/>
    <w:rsid w:val="009C1714"/>
    <w:rsid w:val="009C2221"/>
    <w:rsid w:val="009C227B"/>
    <w:rsid w:val="009C2417"/>
    <w:rsid w:val="009C2607"/>
    <w:rsid w:val="009C28B0"/>
    <w:rsid w:val="009C2B70"/>
    <w:rsid w:val="009C2F51"/>
    <w:rsid w:val="009C3147"/>
    <w:rsid w:val="009C34E7"/>
    <w:rsid w:val="009C38E2"/>
    <w:rsid w:val="009C38F9"/>
    <w:rsid w:val="009C3BF3"/>
    <w:rsid w:val="009C3F58"/>
    <w:rsid w:val="009C42F5"/>
    <w:rsid w:val="009C4397"/>
    <w:rsid w:val="009C482B"/>
    <w:rsid w:val="009C50C9"/>
    <w:rsid w:val="009C513B"/>
    <w:rsid w:val="009C520E"/>
    <w:rsid w:val="009C52DC"/>
    <w:rsid w:val="009C533A"/>
    <w:rsid w:val="009C5833"/>
    <w:rsid w:val="009C5847"/>
    <w:rsid w:val="009C590A"/>
    <w:rsid w:val="009C5A9C"/>
    <w:rsid w:val="009C5DDB"/>
    <w:rsid w:val="009C617D"/>
    <w:rsid w:val="009C6224"/>
    <w:rsid w:val="009C6E7C"/>
    <w:rsid w:val="009C6EB7"/>
    <w:rsid w:val="009C70FA"/>
    <w:rsid w:val="009C7139"/>
    <w:rsid w:val="009C76B7"/>
    <w:rsid w:val="009C7D24"/>
    <w:rsid w:val="009C7E56"/>
    <w:rsid w:val="009C7F2F"/>
    <w:rsid w:val="009C7F7D"/>
    <w:rsid w:val="009D0019"/>
    <w:rsid w:val="009D02B6"/>
    <w:rsid w:val="009D0662"/>
    <w:rsid w:val="009D0669"/>
    <w:rsid w:val="009D06DC"/>
    <w:rsid w:val="009D0AA3"/>
    <w:rsid w:val="009D0B87"/>
    <w:rsid w:val="009D1037"/>
    <w:rsid w:val="009D10BC"/>
    <w:rsid w:val="009D118F"/>
    <w:rsid w:val="009D1391"/>
    <w:rsid w:val="009D19A8"/>
    <w:rsid w:val="009D1AF3"/>
    <w:rsid w:val="009D1B6B"/>
    <w:rsid w:val="009D1D20"/>
    <w:rsid w:val="009D1E0A"/>
    <w:rsid w:val="009D23DC"/>
    <w:rsid w:val="009D2808"/>
    <w:rsid w:val="009D28C5"/>
    <w:rsid w:val="009D29F8"/>
    <w:rsid w:val="009D2C69"/>
    <w:rsid w:val="009D31F4"/>
    <w:rsid w:val="009D3238"/>
    <w:rsid w:val="009D3278"/>
    <w:rsid w:val="009D37B4"/>
    <w:rsid w:val="009D3A35"/>
    <w:rsid w:val="009D3E7E"/>
    <w:rsid w:val="009D3FEE"/>
    <w:rsid w:val="009D41B6"/>
    <w:rsid w:val="009D4A40"/>
    <w:rsid w:val="009D4DE7"/>
    <w:rsid w:val="009D4F52"/>
    <w:rsid w:val="009D4FA2"/>
    <w:rsid w:val="009D5160"/>
    <w:rsid w:val="009D52E4"/>
    <w:rsid w:val="009D54B8"/>
    <w:rsid w:val="009D56CC"/>
    <w:rsid w:val="009D59D8"/>
    <w:rsid w:val="009D5B2D"/>
    <w:rsid w:val="009D5D24"/>
    <w:rsid w:val="009D5DD4"/>
    <w:rsid w:val="009D6221"/>
    <w:rsid w:val="009D7308"/>
    <w:rsid w:val="009D7440"/>
    <w:rsid w:val="009D7586"/>
    <w:rsid w:val="009D787E"/>
    <w:rsid w:val="009D78CE"/>
    <w:rsid w:val="009D7B98"/>
    <w:rsid w:val="009DF2A1"/>
    <w:rsid w:val="009E07BC"/>
    <w:rsid w:val="009E07FB"/>
    <w:rsid w:val="009E0874"/>
    <w:rsid w:val="009E08F8"/>
    <w:rsid w:val="009E091F"/>
    <w:rsid w:val="009E0B2C"/>
    <w:rsid w:val="009E0E45"/>
    <w:rsid w:val="009E140D"/>
    <w:rsid w:val="009E1A9A"/>
    <w:rsid w:val="009E2088"/>
    <w:rsid w:val="009E239B"/>
    <w:rsid w:val="009E258D"/>
    <w:rsid w:val="009E26D0"/>
    <w:rsid w:val="009E2967"/>
    <w:rsid w:val="009E2D85"/>
    <w:rsid w:val="009E35DD"/>
    <w:rsid w:val="009E38BC"/>
    <w:rsid w:val="009E3C08"/>
    <w:rsid w:val="009E3D83"/>
    <w:rsid w:val="009E3EE8"/>
    <w:rsid w:val="009E3F34"/>
    <w:rsid w:val="009E4198"/>
    <w:rsid w:val="009E45BE"/>
    <w:rsid w:val="009E45C7"/>
    <w:rsid w:val="009E4659"/>
    <w:rsid w:val="009E4713"/>
    <w:rsid w:val="009E47B1"/>
    <w:rsid w:val="009E493B"/>
    <w:rsid w:val="009E4AF2"/>
    <w:rsid w:val="009E4D00"/>
    <w:rsid w:val="009E4F0D"/>
    <w:rsid w:val="009E53C6"/>
    <w:rsid w:val="009E55E4"/>
    <w:rsid w:val="009E5697"/>
    <w:rsid w:val="009E580E"/>
    <w:rsid w:val="009E59DB"/>
    <w:rsid w:val="009E5C13"/>
    <w:rsid w:val="009E5DA9"/>
    <w:rsid w:val="009E5FCF"/>
    <w:rsid w:val="009E61BC"/>
    <w:rsid w:val="009E6866"/>
    <w:rsid w:val="009E6B81"/>
    <w:rsid w:val="009E6CD4"/>
    <w:rsid w:val="009E6E6C"/>
    <w:rsid w:val="009E6F47"/>
    <w:rsid w:val="009E6FA7"/>
    <w:rsid w:val="009E7014"/>
    <w:rsid w:val="009E72B4"/>
    <w:rsid w:val="009E78DB"/>
    <w:rsid w:val="009E7C4E"/>
    <w:rsid w:val="009F00BE"/>
    <w:rsid w:val="009F047F"/>
    <w:rsid w:val="009F06DB"/>
    <w:rsid w:val="009F07F7"/>
    <w:rsid w:val="009F081D"/>
    <w:rsid w:val="009F0CC6"/>
    <w:rsid w:val="009F0D40"/>
    <w:rsid w:val="009F0EAE"/>
    <w:rsid w:val="009F11CA"/>
    <w:rsid w:val="009F11F1"/>
    <w:rsid w:val="009F1313"/>
    <w:rsid w:val="009F1366"/>
    <w:rsid w:val="009F1584"/>
    <w:rsid w:val="009F193A"/>
    <w:rsid w:val="009F23B7"/>
    <w:rsid w:val="009F24C5"/>
    <w:rsid w:val="009F2610"/>
    <w:rsid w:val="009F2818"/>
    <w:rsid w:val="009F2996"/>
    <w:rsid w:val="009F2BA0"/>
    <w:rsid w:val="009F2C3F"/>
    <w:rsid w:val="009F2EB4"/>
    <w:rsid w:val="009F31D1"/>
    <w:rsid w:val="009F3591"/>
    <w:rsid w:val="009F3911"/>
    <w:rsid w:val="009F39C8"/>
    <w:rsid w:val="009F3B0B"/>
    <w:rsid w:val="009F3EA3"/>
    <w:rsid w:val="009F3EA5"/>
    <w:rsid w:val="009F3ECA"/>
    <w:rsid w:val="009F3F22"/>
    <w:rsid w:val="009F4340"/>
    <w:rsid w:val="009F4362"/>
    <w:rsid w:val="009F437D"/>
    <w:rsid w:val="009F4419"/>
    <w:rsid w:val="009F4883"/>
    <w:rsid w:val="009F4B92"/>
    <w:rsid w:val="009F4BE6"/>
    <w:rsid w:val="009F558A"/>
    <w:rsid w:val="009F5685"/>
    <w:rsid w:val="009F582E"/>
    <w:rsid w:val="009F5FF6"/>
    <w:rsid w:val="009F612B"/>
    <w:rsid w:val="009F6171"/>
    <w:rsid w:val="009F6820"/>
    <w:rsid w:val="009F6842"/>
    <w:rsid w:val="009F6A72"/>
    <w:rsid w:val="009F6AA7"/>
    <w:rsid w:val="009F6D85"/>
    <w:rsid w:val="009F7202"/>
    <w:rsid w:val="009F723D"/>
    <w:rsid w:val="009F72B9"/>
    <w:rsid w:val="009F72F8"/>
    <w:rsid w:val="009F7369"/>
    <w:rsid w:val="009F74D6"/>
    <w:rsid w:val="009F7505"/>
    <w:rsid w:val="009F76DB"/>
    <w:rsid w:val="009F7BD3"/>
    <w:rsid w:val="009F7FBB"/>
    <w:rsid w:val="00A00140"/>
    <w:rsid w:val="00A00751"/>
    <w:rsid w:val="00A00B61"/>
    <w:rsid w:val="00A00EEA"/>
    <w:rsid w:val="00A00F79"/>
    <w:rsid w:val="00A0103F"/>
    <w:rsid w:val="00A010D5"/>
    <w:rsid w:val="00A01A6A"/>
    <w:rsid w:val="00A01DAA"/>
    <w:rsid w:val="00A01E3F"/>
    <w:rsid w:val="00A02097"/>
    <w:rsid w:val="00A020F5"/>
    <w:rsid w:val="00A02142"/>
    <w:rsid w:val="00A0234C"/>
    <w:rsid w:val="00A0239E"/>
    <w:rsid w:val="00A025B7"/>
    <w:rsid w:val="00A02706"/>
    <w:rsid w:val="00A02849"/>
    <w:rsid w:val="00A02860"/>
    <w:rsid w:val="00A028A3"/>
    <w:rsid w:val="00A029F2"/>
    <w:rsid w:val="00A029F3"/>
    <w:rsid w:val="00A02B8F"/>
    <w:rsid w:val="00A02BBF"/>
    <w:rsid w:val="00A02E36"/>
    <w:rsid w:val="00A02E6C"/>
    <w:rsid w:val="00A02FB9"/>
    <w:rsid w:val="00A0331D"/>
    <w:rsid w:val="00A034E6"/>
    <w:rsid w:val="00A035EB"/>
    <w:rsid w:val="00A03695"/>
    <w:rsid w:val="00A0369A"/>
    <w:rsid w:val="00A036AD"/>
    <w:rsid w:val="00A037E0"/>
    <w:rsid w:val="00A03BB3"/>
    <w:rsid w:val="00A03E52"/>
    <w:rsid w:val="00A04180"/>
    <w:rsid w:val="00A0434B"/>
    <w:rsid w:val="00A043A9"/>
    <w:rsid w:val="00A04771"/>
    <w:rsid w:val="00A04776"/>
    <w:rsid w:val="00A0491D"/>
    <w:rsid w:val="00A04AD1"/>
    <w:rsid w:val="00A04DBE"/>
    <w:rsid w:val="00A04FA3"/>
    <w:rsid w:val="00A05099"/>
    <w:rsid w:val="00A050FE"/>
    <w:rsid w:val="00A05230"/>
    <w:rsid w:val="00A05267"/>
    <w:rsid w:val="00A052C4"/>
    <w:rsid w:val="00A0559B"/>
    <w:rsid w:val="00A055BA"/>
    <w:rsid w:val="00A055F4"/>
    <w:rsid w:val="00A0588F"/>
    <w:rsid w:val="00A0592B"/>
    <w:rsid w:val="00A05937"/>
    <w:rsid w:val="00A05B4B"/>
    <w:rsid w:val="00A05BE6"/>
    <w:rsid w:val="00A064D2"/>
    <w:rsid w:val="00A06DE9"/>
    <w:rsid w:val="00A06EB3"/>
    <w:rsid w:val="00A073FD"/>
    <w:rsid w:val="00A074C2"/>
    <w:rsid w:val="00A074CE"/>
    <w:rsid w:val="00A074EC"/>
    <w:rsid w:val="00A0769E"/>
    <w:rsid w:val="00A0772A"/>
    <w:rsid w:val="00A07937"/>
    <w:rsid w:val="00A079AE"/>
    <w:rsid w:val="00A07B88"/>
    <w:rsid w:val="00A101A4"/>
    <w:rsid w:val="00A101B8"/>
    <w:rsid w:val="00A1026D"/>
    <w:rsid w:val="00A102FB"/>
    <w:rsid w:val="00A103AC"/>
    <w:rsid w:val="00A10514"/>
    <w:rsid w:val="00A10672"/>
    <w:rsid w:val="00A106D0"/>
    <w:rsid w:val="00A10A5B"/>
    <w:rsid w:val="00A10EA7"/>
    <w:rsid w:val="00A10F5C"/>
    <w:rsid w:val="00A11868"/>
    <w:rsid w:val="00A11911"/>
    <w:rsid w:val="00A119EB"/>
    <w:rsid w:val="00A11B90"/>
    <w:rsid w:val="00A11BE4"/>
    <w:rsid w:val="00A12A33"/>
    <w:rsid w:val="00A12A3E"/>
    <w:rsid w:val="00A12B5A"/>
    <w:rsid w:val="00A12B9A"/>
    <w:rsid w:val="00A12E1C"/>
    <w:rsid w:val="00A13694"/>
    <w:rsid w:val="00A13775"/>
    <w:rsid w:val="00A139F2"/>
    <w:rsid w:val="00A13A65"/>
    <w:rsid w:val="00A13A89"/>
    <w:rsid w:val="00A13EA7"/>
    <w:rsid w:val="00A1462A"/>
    <w:rsid w:val="00A14686"/>
    <w:rsid w:val="00A14687"/>
    <w:rsid w:val="00A1491A"/>
    <w:rsid w:val="00A1495F"/>
    <w:rsid w:val="00A149C7"/>
    <w:rsid w:val="00A14ABE"/>
    <w:rsid w:val="00A14B0A"/>
    <w:rsid w:val="00A14C15"/>
    <w:rsid w:val="00A14D9B"/>
    <w:rsid w:val="00A1572C"/>
    <w:rsid w:val="00A15732"/>
    <w:rsid w:val="00A15D2C"/>
    <w:rsid w:val="00A15E39"/>
    <w:rsid w:val="00A15F89"/>
    <w:rsid w:val="00A1611F"/>
    <w:rsid w:val="00A1613F"/>
    <w:rsid w:val="00A1633A"/>
    <w:rsid w:val="00A16577"/>
    <w:rsid w:val="00A16598"/>
    <w:rsid w:val="00A165E9"/>
    <w:rsid w:val="00A16A3F"/>
    <w:rsid w:val="00A16CFC"/>
    <w:rsid w:val="00A1726D"/>
    <w:rsid w:val="00A1743E"/>
    <w:rsid w:val="00A174E1"/>
    <w:rsid w:val="00A17508"/>
    <w:rsid w:val="00A176E8"/>
    <w:rsid w:val="00A17B3D"/>
    <w:rsid w:val="00A17C66"/>
    <w:rsid w:val="00A17F93"/>
    <w:rsid w:val="00A201BB"/>
    <w:rsid w:val="00A202C8"/>
    <w:rsid w:val="00A203FD"/>
    <w:rsid w:val="00A2044A"/>
    <w:rsid w:val="00A20472"/>
    <w:rsid w:val="00A204C9"/>
    <w:rsid w:val="00A20AB8"/>
    <w:rsid w:val="00A20B2D"/>
    <w:rsid w:val="00A20E8F"/>
    <w:rsid w:val="00A2121A"/>
    <w:rsid w:val="00A212C3"/>
    <w:rsid w:val="00A21696"/>
    <w:rsid w:val="00A21708"/>
    <w:rsid w:val="00A21797"/>
    <w:rsid w:val="00A2181B"/>
    <w:rsid w:val="00A21BB7"/>
    <w:rsid w:val="00A221C8"/>
    <w:rsid w:val="00A223F7"/>
    <w:rsid w:val="00A22571"/>
    <w:rsid w:val="00A22E14"/>
    <w:rsid w:val="00A22F38"/>
    <w:rsid w:val="00A22FF0"/>
    <w:rsid w:val="00A23578"/>
    <w:rsid w:val="00A2367D"/>
    <w:rsid w:val="00A23689"/>
    <w:rsid w:val="00A23746"/>
    <w:rsid w:val="00A2389F"/>
    <w:rsid w:val="00A23A99"/>
    <w:rsid w:val="00A23CF6"/>
    <w:rsid w:val="00A23DD6"/>
    <w:rsid w:val="00A2412F"/>
    <w:rsid w:val="00A2446C"/>
    <w:rsid w:val="00A248F4"/>
    <w:rsid w:val="00A24C7C"/>
    <w:rsid w:val="00A24C96"/>
    <w:rsid w:val="00A24F01"/>
    <w:rsid w:val="00A250E1"/>
    <w:rsid w:val="00A25118"/>
    <w:rsid w:val="00A2538A"/>
    <w:rsid w:val="00A2543D"/>
    <w:rsid w:val="00A25487"/>
    <w:rsid w:val="00A2550D"/>
    <w:rsid w:val="00A25574"/>
    <w:rsid w:val="00A25686"/>
    <w:rsid w:val="00A2581E"/>
    <w:rsid w:val="00A25837"/>
    <w:rsid w:val="00A25907"/>
    <w:rsid w:val="00A2599A"/>
    <w:rsid w:val="00A25BF7"/>
    <w:rsid w:val="00A25D4E"/>
    <w:rsid w:val="00A25E31"/>
    <w:rsid w:val="00A25FA5"/>
    <w:rsid w:val="00A26217"/>
    <w:rsid w:val="00A2629C"/>
    <w:rsid w:val="00A26A62"/>
    <w:rsid w:val="00A26AB9"/>
    <w:rsid w:val="00A270DB"/>
    <w:rsid w:val="00A2713E"/>
    <w:rsid w:val="00A27265"/>
    <w:rsid w:val="00A272AB"/>
    <w:rsid w:val="00A27766"/>
    <w:rsid w:val="00A27ACE"/>
    <w:rsid w:val="00A27AF6"/>
    <w:rsid w:val="00A27E03"/>
    <w:rsid w:val="00A2DFB5"/>
    <w:rsid w:val="00A3014F"/>
    <w:rsid w:val="00A305BF"/>
    <w:rsid w:val="00A3074C"/>
    <w:rsid w:val="00A30857"/>
    <w:rsid w:val="00A30A1E"/>
    <w:rsid w:val="00A30E4F"/>
    <w:rsid w:val="00A31B7E"/>
    <w:rsid w:val="00A31DC2"/>
    <w:rsid w:val="00A31DEC"/>
    <w:rsid w:val="00A32187"/>
    <w:rsid w:val="00A3223D"/>
    <w:rsid w:val="00A3283F"/>
    <w:rsid w:val="00A3288C"/>
    <w:rsid w:val="00A32C23"/>
    <w:rsid w:val="00A32C3B"/>
    <w:rsid w:val="00A32D23"/>
    <w:rsid w:val="00A33501"/>
    <w:rsid w:val="00A33A0A"/>
    <w:rsid w:val="00A33DBB"/>
    <w:rsid w:val="00A33F1B"/>
    <w:rsid w:val="00A3424A"/>
    <w:rsid w:val="00A34668"/>
    <w:rsid w:val="00A348F7"/>
    <w:rsid w:val="00A34A62"/>
    <w:rsid w:val="00A34CC9"/>
    <w:rsid w:val="00A34DA7"/>
    <w:rsid w:val="00A35225"/>
    <w:rsid w:val="00A35307"/>
    <w:rsid w:val="00A35516"/>
    <w:rsid w:val="00A3577F"/>
    <w:rsid w:val="00A3584C"/>
    <w:rsid w:val="00A35EDF"/>
    <w:rsid w:val="00A361C4"/>
    <w:rsid w:val="00A36629"/>
    <w:rsid w:val="00A366B3"/>
    <w:rsid w:val="00A36B76"/>
    <w:rsid w:val="00A36BBE"/>
    <w:rsid w:val="00A36E3C"/>
    <w:rsid w:val="00A36E5F"/>
    <w:rsid w:val="00A36EA0"/>
    <w:rsid w:val="00A36EA2"/>
    <w:rsid w:val="00A37230"/>
    <w:rsid w:val="00A3724B"/>
    <w:rsid w:val="00A37371"/>
    <w:rsid w:val="00A37411"/>
    <w:rsid w:val="00A377E7"/>
    <w:rsid w:val="00A37E4B"/>
    <w:rsid w:val="00A37EC9"/>
    <w:rsid w:val="00A37FD9"/>
    <w:rsid w:val="00A37FEE"/>
    <w:rsid w:val="00A404B5"/>
    <w:rsid w:val="00A40C01"/>
    <w:rsid w:val="00A40C06"/>
    <w:rsid w:val="00A40DA6"/>
    <w:rsid w:val="00A410A8"/>
    <w:rsid w:val="00A41170"/>
    <w:rsid w:val="00A41276"/>
    <w:rsid w:val="00A41365"/>
    <w:rsid w:val="00A4143C"/>
    <w:rsid w:val="00A41690"/>
    <w:rsid w:val="00A41876"/>
    <w:rsid w:val="00A418C0"/>
    <w:rsid w:val="00A41942"/>
    <w:rsid w:val="00A419B8"/>
    <w:rsid w:val="00A419FE"/>
    <w:rsid w:val="00A41A7B"/>
    <w:rsid w:val="00A41C0F"/>
    <w:rsid w:val="00A4246B"/>
    <w:rsid w:val="00A42549"/>
    <w:rsid w:val="00A428B5"/>
    <w:rsid w:val="00A428DF"/>
    <w:rsid w:val="00A42BCF"/>
    <w:rsid w:val="00A42D21"/>
    <w:rsid w:val="00A42FC4"/>
    <w:rsid w:val="00A430AB"/>
    <w:rsid w:val="00A4344D"/>
    <w:rsid w:val="00A43804"/>
    <w:rsid w:val="00A4380F"/>
    <w:rsid w:val="00A43DA6"/>
    <w:rsid w:val="00A43DFC"/>
    <w:rsid w:val="00A43F04"/>
    <w:rsid w:val="00A440AA"/>
    <w:rsid w:val="00A44A3B"/>
    <w:rsid w:val="00A44B0B"/>
    <w:rsid w:val="00A44CF3"/>
    <w:rsid w:val="00A44E5E"/>
    <w:rsid w:val="00A44FA1"/>
    <w:rsid w:val="00A45174"/>
    <w:rsid w:val="00A454AE"/>
    <w:rsid w:val="00A4558E"/>
    <w:rsid w:val="00A45C50"/>
    <w:rsid w:val="00A45F4F"/>
    <w:rsid w:val="00A46538"/>
    <w:rsid w:val="00A469A8"/>
    <w:rsid w:val="00A46B1C"/>
    <w:rsid w:val="00A47190"/>
    <w:rsid w:val="00A47460"/>
    <w:rsid w:val="00A47640"/>
    <w:rsid w:val="00A47ADB"/>
    <w:rsid w:val="00A47BBA"/>
    <w:rsid w:val="00A47E63"/>
    <w:rsid w:val="00A502B3"/>
    <w:rsid w:val="00A504FE"/>
    <w:rsid w:val="00A50793"/>
    <w:rsid w:val="00A50928"/>
    <w:rsid w:val="00A50937"/>
    <w:rsid w:val="00A50A08"/>
    <w:rsid w:val="00A50DAA"/>
    <w:rsid w:val="00A50E17"/>
    <w:rsid w:val="00A50FC5"/>
    <w:rsid w:val="00A510A6"/>
    <w:rsid w:val="00A5118F"/>
    <w:rsid w:val="00A51751"/>
    <w:rsid w:val="00A517FD"/>
    <w:rsid w:val="00A51A57"/>
    <w:rsid w:val="00A51A89"/>
    <w:rsid w:val="00A51C33"/>
    <w:rsid w:val="00A51D17"/>
    <w:rsid w:val="00A51D2C"/>
    <w:rsid w:val="00A51EC3"/>
    <w:rsid w:val="00A528D4"/>
    <w:rsid w:val="00A52965"/>
    <w:rsid w:val="00A529B7"/>
    <w:rsid w:val="00A52A15"/>
    <w:rsid w:val="00A52B85"/>
    <w:rsid w:val="00A52B9B"/>
    <w:rsid w:val="00A535A9"/>
    <w:rsid w:val="00A53915"/>
    <w:rsid w:val="00A53B34"/>
    <w:rsid w:val="00A53B4F"/>
    <w:rsid w:val="00A53C59"/>
    <w:rsid w:val="00A53E11"/>
    <w:rsid w:val="00A540FD"/>
    <w:rsid w:val="00A5417B"/>
    <w:rsid w:val="00A54208"/>
    <w:rsid w:val="00A5434F"/>
    <w:rsid w:val="00A544AC"/>
    <w:rsid w:val="00A5456A"/>
    <w:rsid w:val="00A54C06"/>
    <w:rsid w:val="00A54C37"/>
    <w:rsid w:val="00A54CE9"/>
    <w:rsid w:val="00A54F8D"/>
    <w:rsid w:val="00A550CC"/>
    <w:rsid w:val="00A556D9"/>
    <w:rsid w:val="00A563E4"/>
    <w:rsid w:val="00A56447"/>
    <w:rsid w:val="00A56471"/>
    <w:rsid w:val="00A564D7"/>
    <w:rsid w:val="00A56538"/>
    <w:rsid w:val="00A56969"/>
    <w:rsid w:val="00A56A98"/>
    <w:rsid w:val="00A56C08"/>
    <w:rsid w:val="00A56C20"/>
    <w:rsid w:val="00A56D53"/>
    <w:rsid w:val="00A56F83"/>
    <w:rsid w:val="00A5706E"/>
    <w:rsid w:val="00A5727F"/>
    <w:rsid w:val="00A573E2"/>
    <w:rsid w:val="00A577D9"/>
    <w:rsid w:val="00A5784E"/>
    <w:rsid w:val="00A578BD"/>
    <w:rsid w:val="00A57A74"/>
    <w:rsid w:val="00A57B4B"/>
    <w:rsid w:val="00A57B5A"/>
    <w:rsid w:val="00A57C22"/>
    <w:rsid w:val="00A600A9"/>
    <w:rsid w:val="00A60137"/>
    <w:rsid w:val="00A6018A"/>
    <w:rsid w:val="00A604EA"/>
    <w:rsid w:val="00A6057D"/>
    <w:rsid w:val="00A6069F"/>
    <w:rsid w:val="00A60729"/>
    <w:rsid w:val="00A60791"/>
    <w:rsid w:val="00A60AB6"/>
    <w:rsid w:val="00A60ADE"/>
    <w:rsid w:val="00A60D60"/>
    <w:rsid w:val="00A610BE"/>
    <w:rsid w:val="00A612AB"/>
    <w:rsid w:val="00A6158B"/>
    <w:rsid w:val="00A61D86"/>
    <w:rsid w:val="00A61E17"/>
    <w:rsid w:val="00A61F5C"/>
    <w:rsid w:val="00A62AA1"/>
    <w:rsid w:val="00A62AA9"/>
    <w:rsid w:val="00A62D83"/>
    <w:rsid w:val="00A630CB"/>
    <w:rsid w:val="00A632C5"/>
    <w:rsid w:val="00A63353"/>
    <w:rsid w:val="00A63550"/>
    <w:rsid w:val="00A63816"/>
    <w:rsid w:val="00A63BD4"/>
    <w:rsid w:val="00A63E35"/>
    <w:rsid w:val="00A6422F"/>
    <w:rsid w:val="00A647B2"/>
    <w:rsid w:val="00A649B9"/>
    <w:rsid w:val="00A64BF3"/>
    <w:rsid w:val="00A64CC8"/>
    <w:rsid w:val="00A65090"/>
    <w:rsid w:val="00A653A4"/>
    <w:rsid w:val="00A6555D"/>
    <w:rsid w:val="00A65791"/>
    <w:rsid w:val="00A65A11"/>
    <w:rsid w:val="00A65A84"/>
    <w:rsid w:val="00A65A87"/>
    <w:rsid w:val="00A65E23"/>
    <w:rsid w:val="00A65E43"/>
    <w:rsid w:val="00A65FD8"/>
    <w:rsid w:val="00A65FF2"/>
    <w:rsid w:val="00A66249"/>
    <w:rsid w:val="00A666CE"/>
    <w:rsid w:val="00A667B5"/>
    <w:rsid w:val="00A66A4A"/>
    <w:rsid w:val="00A66C40"/>
    <w:rsid w:val="00A66F90"/>
    <w:rsid w:val="00A66FE3"/>
    <w:rsid w:val="00A67716"/>
    <w:rsid w:val="00A67845"/>
    <w:rsid w:val="00A678AD"/>
    <w:rsid w:val="00A67D73"/>
    <w:rsid w:val="00A67E4F"/>
    <w:rsid w:val="00A67F0A"/>
    <w:rsid w:val="00A702A4"/>
    <w:rsid w:val="00A705A7"/>
    <w:rsid w:val="00A70648"/>
    <w:rsid w:val="00A70759"/>
    <w:rsid w:val="00A707D3"/>
    <w:rsid w:val="00A70EEB"/>
    <w:rsid w:val="00A710C6"/>
    <w:rsid w:val="00A71180"/>
    <w:rsid w:val="00A713BF"/>
    <w:rsid w:val="00A7154B"/>
    <w:rsid w:val="00A715F6"/>
    <w:rsid w:val="00A71C50"/>
    <w:rsid w:val="00A71C68"/>
    <w:rsid w:val="00A71CA3"/>
    <w:rsid w:val="00A71CE0"/>
    <w:rsid w:val="00A71E64"/>
    <w:rsid w:val="00A71E71"/>
    <w:rsid w:val="00A72200"/>
    <w:rsid w:val="00A72503"/>
    <w:rsid w:val="00A72669"/>
    <w:rsid w:val="00A72770"/>
    <w:rsid w:val="00A72787"/>
    <w:rsid w:val="00A727C2"/>
    <w:rsid w:val="00A727DA"/>
    <w:rsid w:val="00A727F2"/>
    <w:rsid w:val="00A728CD"/>
    <w:rsid w:val="00A72C18"/>
    <w:rsid w:val="00A73119"/>
    <w:rsid w:val="00A73308"/>
    <w:rsid w:val="00A73369"/>
    <w:rsid w:val="00A7372E"/>
    <w:rsid w:val="00A73886"/>
    <w:rsid w:val="00A73971"/>
    <w:rsid w:val="00A73B57"/>
    <w:rsid w:val="00A73C99"/>
    <w:rsid w:val="00A73DFD"/>
    <w:rsid w:val="00A74209"/>
    <w:rsid w:val="00A74224"/>
    <w:rsid w:val="00A74A24"/>
    <w:rsid w:val="00A74C4B"/>
    <w:rsid w:val="00A74CE9"/>
    <w:rsid w:val="00A74FD0"/>
    <w:rsid w:val="00A75250"/>
    <w:rsid w:val="00A75297"/>
    <w:rsid w:val="00A752F0"/>
    <w:rsid w:val="00A758DC"/>
    <w:rsid w:val="00A75A73"/>
    <w:rsid w:val="00A75B3C"/>
    <w:rsid w:val="00A761B5"/>
    <w:rsid w:val="00A76631"/>
    <w:rsid w:val="00A7695D"/>
    <w:rsid w:val="00A76A7B"/>
    <w:rsid w:val="00A76ECF"/>
    <w:rsid w:val="00A76F0A"/>
    <w:rsid w:val="00A77042"/>
    <w:rsid w:val="00A771A9"/>
    <w:rsid w:val="00A7770E"/>
    <w:rsid w:val="00A77764"/>
    <w:rsid w:val="00A77B1F"/>
    <w:rsid w:val="00A77CDF"/>
    <w:rsid w:val="00A77E11"/>
    <w:rsid w:val="00A77E15"/>
    <w:rsid w:val="00A77F87"/>
    <w:rsid w:val="00A80265"/>
    <w:rsid w:val="00A80860"/>
    <w:rsid w:val="00A808B9"/>
    <w:rsid w:val="00A80D0F"/>
    <w:rsid w:val="00A80DA1"/>
    <w:rsid w:val="00A811B6"/>
    <w:rsid w:val="00A8196A"/>
    <w:rsid w:val="00A81F4A"/>
    <w:rsid w:val="00A82962"/>
    <w:rsid w:val="00A8299F"/>
    <w:rsid w:val="00A82C17"/>
    <w:rsid w:val="00A82E7E"/>
    <w:rsid w:val="00A82EB2"/>
    <w:rsid w:val="00A82F9C"/>
    <w:rsid w:val="00A833A4"/>
    <w:rsid w:val="00A837FA"/>
    <w:rsid w:val="00A83888"/>
    <w:rsid w:val="00A838CC"/>
    <w:rsid w:val="00A83DFF"/>
    <w:rsid w:val="00A841A7"/>
    <w:rsid w:val="00A84428"/>
    <w:rsid w:val="00A8483D"/>
    <w:rsid w:val="00A84EB2"/>
    <w:rsid w:val="00A85186"/>
    <w:rsid w:val="00A85DC2"/>
    <w:rsid w:val="00A86575"/>
    <w:rsid w:val="00A86C31"/>
    <w:rsid w:val="00A874B5"/>
    <w:rsid w:val="00A874D9"/>
    <w:rsid w:val="00A875E8"/>
    <w:rsid w:val="00A875F6"/>
    <w:rsid w:val="00A8780E"/>
    <w:rsid w:val="00A878FC"/>
    <w:rsid w:val="00A879DB"/>
    <w:rsid w:val="00A87D78"/>
    <w:rsid w:val="00A87EC2"/>
    <w:rsid w:val="00A87F0C"/>
    <w:rsid w:val="00A90022"/>
    <w:rsid w:val="00A90060"/>
    <w:rsid w:val="00A9040D"/>
    <w:rsid w:val="00A904FB"/>
    <w:rsid w:val="00A9074D"/>
    <w:rsid w:val="00A907C2"/>
    <w:rsid w:val="00A90806"/>
    <w:rsid w:val="00A90DE3"/>
    <w:rsid w:val="00A90F3A"/>
    <w:rsid w:val="00A910D0"/>
    <w:rsid w:val="00A91280"/>
    <w:rsid w:val="00A9129A"/>
    <w:rsid w:val="00A9177B"/>
    <w:rsid w:val="00A9188A"/>
    <w:rsid w:val="00A9190B"/>
    <w:rsid w:val="00A91D67"/>
    <w:rsid w:val="00A925A6"/>
    <w:rsid w:val="00A92B04"/>
    <w:rsid w:val="00A93461"/>
    <w:rsid w:val="00A93501"/>
    <w:rsid w:val="00A9382D"/>
    <w:rsid w:val="00A93920"/>
    <w:rsid w:val="00A93DF4"/>
    <w:rsid w:val="00A93FA6"/>
    <w:rsid w:val="00A940C2"/>
    <w:rsid w:val="00A94393"/>
    <w:rsid w:val="00A94B68"/>
    <w:rsid w:val="00A94C99"/>
    <w:rsid w:val="00A952B2"/>
    <w:rsid w:val="00A9560E"/>
    <w:rsid w:val="00A96147"/>
    <w:rsid w:val="00A961BB"/>
    <w:rsid w:val="00A9638A"/>
    <w:rsid w:val="00A9655B"/>
    <w:rsid w:val="00A9685F"/>
    <w:rsid w:val="00A96973"/>
    <w:rsid w:val="00A96AF6"/>
    <w:rsid w:val="00A9710B"/>
    <w:rsid w:val="00A97528"/>
    <w:rsid w:val="00A97600"/>
    <w:rsid w:val="00A976E7"/>
    <w:rsid w:val="00A9792F"/>
    <w:rsid w:val="00A97CB6"/>
    <w:rsid w:val="00A97D15"/>
    <w:rsid w:val="00A97FDC"/>
    <w:rsid w:val="00AA0285"/>
    <w:rsid w:val="00AA0321"/>
    <w:rsid w:val="00AA04AB"/>
    <w:rsid w:val="00AA0FA3"/>
    <w:rsid w:val="00AA10FE"/>
    <w:rsid w:val="00AA110B"/>
    <w:rsid w:val="00AA1174"/>
    <w:rsid w:val="00AA118B"/>
    <w:rsid w:val="00AA11C1"/>
    <w:rsid w:val="00AA1243"/>
    <w:rsid w:val="00AA1669"/>
    <w:rsid w:val="00AA19C3"/>
    <w:rsid w:val="00AA1CB1"/>
    <w:rsid w:val="00AA1D51"/>
    <w:rsid w:val="00AA20F5"/>
    <w:rsid w:val="00AA21B1"/>
    <w:rsid w:val="00AA23F3"/>
    <w:rsid w:val="00AA2439"/>
    <w:rsid w:val="00AA246A"/>
    <w:rsid w:val="00AA2648"/>
    <w:rsid w:val="00AA266F"/>
    <w:rsid w:val="00AA289A"/>
    <w:rsid w:val="00AA2B38"/>
    <w:rsid w:val="00AA2D79"/>
    <w:rsid w:val="00AA2EA2"/>
    <w:rsid w:val="00AA2F5D"/>
    <w:rsid w:val="00AA30A9"/>
    <w:rsid w:val="00AA33D6"/>
    <w:rsid w:val="00AA37C9"/>
    <w:rsid w:val="00AA3A90"/>
    <w:rsid w:val="00AA3B35"/>
    <w:rsid w:val="00AA42CC"/>
    <w:rsid w:val="00AA4522"/>
    <w:rsid w:val="00AA4548"/>
    <w:rsid w:val="00AA48B8"/>
    <w:rsid w:val="00AA4B3E"/>
    <w:rsid w:val="00AA4B72"/>
    <w:rsid w:val="00AA4CCA"/>
    <w:rsid w:val="00AA4F17"/>
    <w:rsid w:val="00AA4FB5"/>
    <w:rsid w:val="00AA539E"/>
    <w:rsid w:val="00AA53ED"/>
    <w:rsid w:val="00AA55B7"/>
    <w:rsid w:val="00AA5636"/>
    <w:rsid w:val="00AA565C"/>
    <w:rsid w:val="00AA56D5"/>
    <w:rsid w:val="00AA56FA"/>
    <w:rsid w:val="00AA5937"/>
    <w:rsid w:val="00AA5B9E"/>
    <w:rsid w:val="00AA5CA7"/>
    <w:rsid w:val="00AA6678"/>
    <w:rsid w:val="00AA67E0"/>
    <w:rsid w:val="00AA6ADF"/>
    <w:rsid w:val="00AA6DFD"/>
    <w:rsid w:val="00AA6ED9"/>
    <w:rsid w:val="00AA73E8"/>
    <w:rsid w:val="00AA7AE5"/>
    <w:rsid w:val="00AA7AE9"/>
    <w:rsid w:val="00AA7BAB"/>
    <w:rsid w:val="00AA7C28"/>
    <w:rsid w:val="00AA7DD7"/>
    <w:rsid w:val="00AA7E07"/>
    <w:rsid w:val="00AA7FE0"/>
    <w:rsid w:val="00AAAFB8"/>
    <w:rsid w:val="00AB006E"/>
    <w:rsid w:val="00AB04E0"/>
    <w:rsid w:val="00AB070F"/>
    <w:rsid w:val="00AB0928"/>
    <w:rsid w:val="00AB09E4"/>
    <w:rsid w:val="00AB0A13"/>
    <w:rsid w:val="00AB0C2F"/>
    <w:rsid w:val="00AB100B"/>
    <w:rsid w:val="00AB135E"/>
    <w:rsid w:val="00AB13BC"/>
    <w:rsid w:val="00AB1585"/>
    <w:rsid w:val="00AB1764"/>
    <w:rsid w:val="00AB18B0"/>
    <w:rsid w:val="00AB1E3B"/>
    <w:rsid w:val="00AB1F6D"/>
    <w:rsid w:val="00AB1F7B"/>
    <w:rsid w:val="00AB20EE"/>
    <w:rsid w:val="00AB227E"/>
    <w:rsid w:val="00AB23CE"/>
    <w:rsid w:val="00AB2407"/>
    <w:rsid w:val="00AB2528"/>
    <w:rsid w:val="00AB2536"/>
    <w:rsid w:val="00AB2808"/>
    <w:rsid w:val="00AB2AFC"/>
    <w:rsid w:val="00AB2B0C"/>
    <w:rsid w:val="00AB2B5A"/>
    <w:rsid w:val="00AB2C5B"/>
    <w:rsid w:val="00AB2CE1"/>
    <w:rsid w:val="00AB2F2F"/>
    <w:rsid w:val="00AB2FD3"/>
    <w:rsid w:val="00AB3038"/>
    <w:rsid w:val="00AB31F0"/>
    <w:rsid w:val="00AB3679"/>
    <w:rsid w:val="00AB36FB"/>
    <w:rsid w:val="00AB3956"/>
    <w:rsid w:val="00AB3BC6"/>
    <w:rsid w:val="00AB3F5F"/>
    <w:rsid w:val="00AB3FCC"/>
    <w:rsid w:val="00AB4084"/>
    <w:rsid w:val="00AB468C"/>
    <w:rsid w:val="00AB4A49"/>
    <w:rsid w:val="00AB4B3F"/>
    <w:rsid w:val="00AB4D59"/>
    <w:rsid w:val="00AB4FA0"/>
    <w:rsid w:val="00AB53DF"/>
    <w:rsid w:val="00AB53F8"/>
    <w:rsid w:val="00AB5C7C"/>
    <w:rsid w:val="00AB5CF0"/>
    <w:rsid w:val="00AB5EAB"/>
    <w:rsid w:val="00AB5EE6"/>
    <w:rsid w:val="00AB5F44"/>
    <w:rsid w:val="00AB5FD0"/>
    <w:rsid w:val="00AB60F9"/>
    <w:rsid w:val="00AB62B6"/>
    <w:rsid w:val="00AB63F5"/>
    <w:rsid w:val="00AB6529"/>
    <w:rsid w:val="00AB6A91"/>
    <w:rsid w:val="00AB6C77"/>
    <w:rsid w:val="00AB6DD0"/>
    <w:rsid w:val="00AB7234"/>
    <w:rsid w:val="00AB76F8"/>
    <w:rsid w:val="00AB777B"/>
    <w:rsid w:val="00AB7821"/>
    <w:rsid w:val="00AB78BA"/>
    <w:rsid w:val="00AB793E"/>
    <w:rsid w:val="00AB7FBB"/>
    <w:rsid w:val="00AC0294"/>
    <w:rsid w:val="00AC029E"/>
    <w:rsid w:val="00AC0387"/>
    <w:rsid w:val="00AC0429"/>
    <w:rsid w:val="00AC04C3"/>
    <w:rsid w:val="00AC09C0"/>
    <w:rsid w:val="00AC0BC8"/>
    <w:rsid w:val="00AC0C16"/>
    <w:rsid w:val="00AC0C4E"/>
    <w:rsid w:val="00AC0CB4"/>
    <w:rsid w:val="00AC0CED"/>
    <w:rsid w:val="00AC0E47"/>
    <w:rsid w:val="00AC1363"/>
    <w:rsid w:val="00AC17B8"/>
    <w:rsid w:val="00AC1EA2"/>
    <w:rsid w:val="00AC2036"/>
    <w:rsid w:val="00AC22CD"/>
    <w:rsid w:val="00AC22E0"/>
    <w:rsid w:val="00AC2A57"/>
    <w:rsid w:val="00AC2CA3"/>
    <w:rsid w:val="00AC2D0A"/>
    <w:rsid w:val="00AC2D40"/>
    <w:rsid w:val="00AC2E15"/>
    <w:rsid w:val="00AC2EAE"/>
    <w:rsid w:val="00AC32F4"/>
    <w:rsid w:val="00AC3478"/>
    <w:rsid w:val="00AC3530"/>
    <w:rsid w:val="00AC3C89"/>
    <w:rsid w:val="00AC3D1B"/>
    <w:rsid w:val="00AC3D91"/>
    <w:rsid w:val="00AC3EFB"/>
    <w:rsid w:val="00AC40A1"/>
    <w:rsid w:val="00AC4580"/>
    <w:rsid w:val="00AC459A"/>
    <w:rsid w:val="00AC46FC"/>
    <w:rsid w:val="00AC50A2"/>
    <w:rsid w:val="00AC5393"/>
    <w:rsid w:val="00AC582A"/>
    <w:rsid w:val="00AC59F0"/>
    <w:rsid w:val="00AC5B6C"/>
    <w:rsid w:val="00AC5FE5"/>
    <w:rsid w:val="00AC6294"/>
    <w:rsid w:val="00AC6300"/>
    <w:rsid w:val="00AC63A2"/>
    <w:rsid w:val="00AC641B"/>
    <w:rsid w:val="00AC6466"/>
    <w:rsid w:val="00AC652B"/>
    <w:rsid w:val="00AC67EA"/>
    <w:rsid w:val="00AC6A12"/>
    <w:rsid w:val="00AC6B40"/>
    <w:rsid w:val="00AC6C20"/>
    <w:rsid w:val="00AC6C5C"/>
    <w:rsid w:val="00AC6EC7"/>
    <w:rsid w:val="00AC6ECC"/>
    <w:rsid w:val="00AC6F14"/>
    <w:rsid w:val="00AC715C"/>
    <w:rsid w:val="00AC7269"/>
    <w:rsid w:val="00AC7670"/>
    <w:rsid w:val="00AC7908"/>
    <w:rsid w:val="00AC7A80"/>
    <w:rsid w:val="00AC7F3C"/>
    <w:rsid w:val="00AC7F3F"/>
    <w:rsid w:val="00AD0040"/>
    <w:rsid w:val="00AD0049"/>
    <w:rsid w:val="00AD015F"/>
    <w:rsid w:val="00AD01E5"/>
    <w:rsid w:val="00AD057D"/>
    <w:rsid w:val="00AD0667"/>
    <w:rsid w:val="00AD0B55"/>
    <w:rsid w:val="00AD0BC1"/>
    <w:rsid w:val="00AD0DEE"/>
    <w:rsid w:val="00AD1193"/>
    <w:rsid w:val="00AD1258"/>
    <w:rsid w:val="00AD1B8D"/>
    <w:rsid w:val="00AD1E37"/>
    <w:rsid w:val="00AD1F90"/>
    <w:rsid w:val="00AD26A6"/>
    <w:rsid w:val="00AD26A8"/>
    <w:rsid w:val="00AD26B3"/>
    <w:rsid w:val="00AD2791"/>
    <w:rsid w:val="00AD2795"/>
    <w:rsid w:val="00AD2C28"/>
    <w:rsid w:val="00AD303A"/>
    <w:rsid w:val="00AD3340"/>
    <w:rsid w:val="00AD3416"/>
    <w:rsid w:val="00AD3CD3"/>
    <w:rsid w:val="00AD3D3D"/>
    <w:rsid w:val="00AD3DC0"/>
    <w:rsid w:val="00AD3FDF"/>
    <w:rsid w:val="00AD4188"/>
    <w:rsid w:val="00AD4230"/>
    <w:rsid w:val="00AD449C"/>
    <w:rsid w:val="00AD48DC"/>
    <w:rsid w:val="00AD49BA"/>
    <w:rsid w:val="00AD49F8"/>
    <w:rsid w:val="00AD4E14"/>
    <w:rsid w:val="00AD4F64"/>
    <w:rsid w:val="00AD4F7C"/>
    <w:rsid w:val="00AD5310"/>
    <w:rsid w:val="00AD53C1"/>
    <w:rsid w:val="00AD5434"/>
    <w:rsid w:val="00AD5598"/>
    <w:rsid w:val="00AD565F"/>
    <w:rsid w:val="00AD57EA"/>
    <w:rsid w:val="00AD581A"/>
    <w:rsid w:val="00AD5A7D"/>
    <w:rsid w:val="00AD5D30"/>
    <w:rsid w:val="00AD5D72"/>
    <w:rsid w:val="00AD5DAA"/>
    <w:rsid w:val="00AD611E"/>
    <w:rsid w:val="00AD6144"/>
    <w:rsid w:val="00AD634F"/>
    <w:rsid w:val="00AD68C9"/>
    <w:rsid w:val="00AD6E03"/>
    <w:rsid w:val="00AD6E87"/>
    <w:rsid w:val="00AD6F78"/>
    <w:rsid w:val="00AD6FEA"/>
    <w:rsid w:val="00AD7360"/>
    <w:rsid w:val="00AD742A"/>
    <w:rsid w:val="00AD7721"/>
    <w:rsid w:val="00AD773F"/>
    <w:rsid w:val="00AD7757"/>
    <w:rsid w:val="00AD97E2"/>
    <w:rsid w:val="00AE0022"/>
    <w:rsid w:val="00AE0118"/>
    <w:rsid w:val="00AE03AF"/>
    <w:rsid w:val="00AE0478"/>
    <w:rsid w:val="00AE05BA"/>
    <w:rsid w:val="00AE09BE"/>
    <w:rsid w:val="00AE0A74"/>
    <w:rsid w:val="00AE0BAC"/>
    <w:rsid w:val="00AE0D05"/>
    <w:rsid w:val="00AE0D40"/>
    <w:rsid w:val="00AE0EE1"/>
    <w:rsid w:val="00AE10CA"/>
    <w:rsid w:val="00AE128D"/>
    <w:rsid w:val="00AE15D7"/>
    <w:rsid w:val="00AE16C5"/>
    <w:rsid w:val="00AE17FF"/>
    <w:rsid w:val="00AE193F"/>
    <w:rsid w:val="00AE1994"/>
    <w:rsid w:val="00AE1B17"/>
    <w:rsid w:val="00AE1BEB"/>
    <w:rsid w:val="00AE1FA2"/>
    <w:rsid w:val="00AE2093"/>
    <w:rsid w:val="00AE225C"/>
    <w:rsid w:val="00AE256E"/>
    <w:rsid w:val="00AE328D"/>
    <w:rsid w:val="00AE37D5"/>
    <w:rsid w:val="00AE3C8F"/>
    <w:rsid w:val="00AE3CC9"/>
    <w:rsid w:val="00AE4542"/>
    <w:rsid w:val="00AE47C5"/>
    <w:rsid w:val="00AE4CC5"/>
    <w:rsid w:val="00AE51DF"/>
    <w:rsid w:val="00AE51EF"/>
    <w:rsid w:val="00AE5235"/>
    <w:rsid w:val="00AE5494"/>
    <w:rsid w:val="00AE549F"/>
    <w:rsid w:val="00AE54ED"/>
    <w:rsid w:val="00AE573A"/>
    <w:rsid w:val="00AE5964"/>
    <w:rsid w:val="00AE5CA0"/>
    <w:rsid w:val="00AE5D85"/>
    <w:rsid w:val="00AE627C"/>
    <w:rsid w:val="00AE62DA"/>
    <w:rsid w:val="00AE6741"/>
    <w:rsid w:val="00AE6967"/>
    <w:rsid w:val="00AE6C2D"/>
    <w:rsid w:val="00AE6F95"/>
    <w:rsid w:val="00AE7338"/>
    <w:rsid w:val="00AE7978"/>
    <w:rsid w:val="00AE79C1"/>
    <w:rsid w:val="00AE7D12"/>
    <w:rsid w:val="00AE7FA1"/>
    <w:rsid w:val="00AF0153"/>
    <w:rsid w:val="00AF01D0"/>
    <w:rsid w:val="00AF082D"/>
    <w:rsid w:val="00AF0B6A"/>
    <w:rsid w:val="00AF1168"/>
    <w:rsid w:val="00AF1287"/>
    <w:rsid w:val="00AF14CA"/>
    <w:rsid w:val="00AF1F80"/>
    <w:rsid w:val="00AF1FC7"/>
    <w:rsid w:val="00AF244E"/>
    <w:rsid w:val="00AF288B"/>
    <w:rsid w:val="00AF29A3"/>
    <w:rsid w:val="00AF2A6D"/>
    <w:rsid w:val="00AF302A"/>
    <w:rsid w:val="00AF3038"/>
    <w:rsid w:val="00AF3259"/>
    <w:rsid w:val="00AF33B7"/>
    <w:rsid w:val="00AF372F"/>
    <w:rsid w:val="00AF43DF"/>
    <w:rsid w:val="00AF45B9"/>
    <w:rsid w:val="00AF4760"/>
    <w:rsid w:val="00AF4873"/>
    <w:rsid w:val="00AF4A2D"/>
    <w:rsid w:val="00AF4D22"/>
    <w:rsid w:val="00AF4DB0"/>
    <w:rsid w:val="00AF4E0F"/>
    <w:rsid w:val="00AF4E44"/>
    <w:rsid w:val="00AF53F6"/>
    <w:rsid w:val="00AF55CD"/>
    <w:rsid w:val="00AF583A"/>
    <w:rsid w:val="00AF583E"/>
    <w:rsid w:val="00AF5B03"/>
    <w:rsid w:val="00AF5CF2"/>
    <w:rsid w:val="00AF60C4"/>
    <w:rsid w:val="00AF64F9"/>
    <w:rsid w:val="00AF6941"/>
    <w:rsid w:val="00AF6B04"/>
    <w:rsid w:val="00AF6EF0"/>
    <w:rsid w:val="00AF72D7"/>
    <w:rsid w:val="00AF797D"/>
    <w:rsid w:val="00AF7D8D"/>
    <w:rsid w:val="00AF7DD9"/>
    <w:rsid w:val="00B000C2"/>
    <w:rsid w:val="00B0033C"/>
    <w:rsid w:val="00B0061D"/>
    <w:rsid w:val="00B00BFE"/>
    <w:rsid w:val="00B00F66"/>
    <w:rsid w:val="00B01383"/>
    <w:rsid w:val="00B0149E"/>
    <w:rsid w:val="00B01702"/>
    <w:rsid w:val="00B01783"/>
    <w:rsid w:val="00B01A8D"/>
    <w:rsid w:val="00B020C4"/>
    <w:rsid w:val="00B0234D"/>
    <w:rsid w:val="00B025B5"/>
    <w:rsid w:val="00B025DA"/>
    <w:rsid w:val="00B02918"/>
    <w:rsid w:val="00B0298C"/>
    <w:rsid w:val="00B029B9"/>
    <w:rsid w:val="00B02BF4"/>
    <w:rsid w:val="00B02C6F"/>
    <w:rsid w:val="00B02D9F"/>
    <w:rsid w:val="00B02E37"/>
    <w:rsid w:val="00B02FF9"/>
    <w:rsid w:val="00B03008"/>
    <w:rsid w:val="00B036D0"/>
    <w:rsid w:val="00B03728"/>
    <w:rsid w:val="00B03A48"/>
    <w:rsid w:val="00B03B07"/>
    <w:rsid w:val="00B03C00"/>
    <w:rsid w:val="00B044B5"/>
    <w:rsid w:val="00B04801"/>
    <w:rsid w:val="00B049D8"/>
    <w:rsid w:val="00B04AD1"/>
    <w:rsid w:val="00B04B19"/>
    <w:rsid w:val="00B04B1F"/>
    <w:rsid w:val="00B04B94"/>
    <w:rsid w:val="00B04C14"/>
    <w:rsid w:val="00B05130"/>
    <w:rsid w:val="00B0516E"/>
    <w:rsid w:val="00B0517D"/>
    <w:rsid w:val="00B05222"/>
    <w:rsid w:val="00B05594"/>
    <w:rsid w:val="00B05651"/>
    <w:rsid w:val="00B0574C"/>
    <w:rsid w:val="00B05872"/>
    <w:rsid w:val="00B059B7"/>
    <w:rsid w:val="00B05B6A"/>
    <w:rsid w:val="00B05D0D"/>
    <w:rsid w:val="00B05D23"/>
    <w:rsid w:val="00B0609E"/>
    <w:rsid w:val="00B0694A"/>
    <w:rsid w:val="00B069AF"/>
    <w:rsid w:val="00B07012"/>
    <w:rsid w:val="00B070A4"/>
    <w:rsid w:val="00B07324"/>
    <w:rsid w:val="00B07734"/>
    <w:rsid w:val="00B077A9"/>
    <w:rsid w:val="00B07E5C"/>
    <w:rsid w:val="00B07E87"/>
    <w:rsid w:val="00B07F93"/>
    <w:rsid w:val="00B10404"/>
    <w:rsid w:val="00B104D2"/>
    <w:rsid w:val="00B10599"/>
    <w:rsid w:val="00B105CF"/>
    <w:rsid w:val="00B1097C"/>
    <w:rsid w:val="00B10B92"/>
    <w:rsid w:val="00B10D74"/>
    <w:rsid w:val="00B10F2C"/>
    <w:rsid w:val="00B11100"/>
    <w:rsid w:val="00B1133E"/>
    <w:rsid w:val="00B113DC"/>
    <w:rsid w:val="00B116C8"/>
    <w:rsid w:val="00B11B3F"/>
    <w:rsid w:val="00B11BBE"/>
    <w:rsid w:val="00B1216C"/>
    <w:rsid w:val="00B12247"/>
    <w:rsid w:val="00B12399"/>
    <w:rsid w:val="00B123D6"/>
    <w:rsid w:val="00B1250B"/>
    <w:rsid w:val="00B12811"/>
    <w:rsid w:val="00B12948"/>
    <w:rsid w:val="00B12B0E"/>
    <w:rsid w:val="00B13195"/>
    <w:rsid w:val="00B1351A"/>
    <w:rsid w:val="00B13785"/>
    <w:rsid w:val="00B1386A"/>
    <w:rsid w:val="00B13B56"/>
    <w:rsid w:val="00B13D7B"/>
    <w:rsid w:val="00B13DC3"/>
    <w:rsid w:val="00B13F03"/>
    <w:rsid w:val="00B14013"/>
    <w:rsid w:val="00B1416D"/>
    <w:rsid w:val="00B145B3"/>
    <w:rsid w:val="00B14698"/>
    <w:rsid w:val="00B146D9"/>
    <w:rsid w:val="00B14769"/>
    <w:rsid w:val="00B14D04"/>
    <w:rsid w:val="00B14DF5"/>
    <w:rsid w:val="00B14E72"/>
    <w:rsid w:val="00B14EA2"/>
    <w:rsid w:val="00B151C4"/>
    <w:rsid w:val="00B1579E"/>
    <w:rsid w:val="00B15D2B"/>
    <w:rsid w:val="00B15D76"/>
    <w:rsid w:val="00B15E83"/>
    <w:rsid w:val="00B15F8E"/>
    <w:rsid w:val="00B16067"/>
    <w:rsid w:val="00B16848"/>
    <w:rsid w:val="00B17600"/>
    <w:rsid w:val="00B178B9"/>
    <w:rsid w:val="00B17910"/>
    <w:rsid w:val="00B17B4C"/>
    <w:rsid w:val="00B17D60"/>
    <w:rsid w:val="00B17F5C"/>
    <w:rsid w:val="00B17F75"/>
    <w:rsid w:val="00B19BFC"/>
    <w:rsid w:val="00B200EC"/>
    <w:rsid w:val="00B20267"/>
    <w:rsid w:val="00B205C2"/>
    <w:rsid w:val="00B2069A"/>
    <w:rsid w:val="00B207A8"/>
    <w:rsid w:val="00B20BC9"/>
    <w:rsid w:val="00B20BE4"/>
    <w:rsid w:val="00B20C2E"/>
    <w:rsid w:val="00B20FD7"/>
    <w:rsid w:val="00B21190"/>
    <w:rsid w:val="00B21350"/>
    <w:rsid w:val="00B21793"/>
    <w:rsid w:val="00B2187F"/>
    <w:rsid w:val="00B2195E"/>
    <w:rsid w:val="00B21976"/>
    <w:rsid w:val="00B21A6F"/>
    <w:rsid w:val="00B22325"/>
    <w:rsid w:val="00B2252E"/>
    <w:rsid w:val="00B22C43"/>
    <w:rsid w:val="00B22DCE"/>
    <w:rsid w:val="00B22E14"/>
    <w:rsid w:val="00B22F8A"/>
    <w:rsid w:val="00B234C0"/>
    <w:rsid w:val="00B2353A"/>
    <w:rsid w:val="00B2356C"/>
    <w:rsid w:val="00B2359B"/>
    <w:rsid w:val="00B2363E"/>
    <w:rsid w:val="00B2382F"/>
    <w:rsid w:val="00B23AA3"/>
    <w:rsid w:val="00B23BCB"/>
    <w:rsid w:val="00B24192"/>
    <w:rsid w:val="00B242D6"/>
    <w:rsid w:val="00B24303"/>
    <w:rsid w:val="00B24406"/>
    <w:rsid w:val="00B2444A"/>
    <w:rsid w:val="00B245D5"/>
    <w:rsid w:val="00B24D36"/>
    <w:rsid w:val="00B24F03"/>
    <w:rsid w:val="00B25371"/>
    <w:rsid w:val="00B2546D"/>
    <w:rsid w:val="00B255A9"/>
    <w:rsid w:val="00B2571E"/>
    <w:rsid w:val="00B257C0"/>
    <w:rsid w:val="00B2592A"/>
    <w:rsid w:val="00B259FC"/>
    <w:rsid w:val="00B26835"/>
    <w:rsid w:val="00B2690D"/>
    <w:rsid w:val="00B2714C"/>
    <w:rsid w:val="00B2730D"/>
    <w:rsid w:val="00B277B0"/>
    <w:rsid w:val="00B2794A"/>
    <w:rsid w:val="00B27998"/>
    <w:rsid w:val="00B27C5C"/>
    <w:rsid w:val="00B27F0F"/>
    <w:rsid w:val="00B27FE8"/>
    <w:rsid w:val="00B30556"/>
    <w:rsid w:val="00B305DC"/>
    <w:rsid w:val="00B30629"/>
    <w:rsid w:val="00B306AC"/>
    <w:rsid w:val="00B30777"/>
    <w:rsid w:val="00B30839"/>
    <w:rsid w:val="00B308D7"/>
    <w:rsid w:val="00B30AAB"/>
    <w:rsid w:val="00B30DE1"/>
    <w:rsid w:val="00B30DED"/>
    <w:rsid w:val="00B31287"/>
    <w:rsid w:val="00B312B6"/>
    <w:rsid w:val="00B31789"/>
    <w:rsid w:val="00B31792"/>
    <w:rsid w:val="00B31E19"/>
    <w:rsid w:val="00B32034"/>
    <w:rsid w:val="00B32DF2"/>
    <w:rsid w:val="00B33029"/>
    <w:rsid w:val="00B33065"/>
    <w:rsid w:val="00B33161"/>
    <w:rsid w:val="00B331C5"/>
    <w:rsid w:val="00B33709"/>
    <w:rsid w:val="00B33793"/>
    <w:rsid w:val="00B339C8"/>
    <w:rsid w:val="00B33A00"/>
    <w:rsid w:val="00B34179"/>
    <w:rsid w:val="00B34405"/>
    <w:rsid w:val="00B3448B"/>
    <w:rsid w:val="00B34533"/>
    <w:rsid w:val="00B346E1"/>
    <w:rsid w:val="00B34B4F"/>
    <w:rsid w:val="00B34C7F"/>
    <w:rsid w:val="00B34E69"/>
    <w:rsid w:val="00B350D6"/>
    <w:rsid w:val="00B355DB"/>
    <w:rsid w:val="00B35933"/>
    <w:rsid w:val="00B35A54"/>
    <w:rsid w:val="00B36436"/>
    <w:rsid w:val="00B364D6"/>
    <w:rsid w:val="00B36855"/>
    <w:rsid w:val="00B3687A"/>
    <w:rsid w:val="00B370A2"/>
    <w:rsid w:val="00B374C3"/>
    <w:rsid w:val="00B3753F"/>
    <w:rsid w:val="00B377B2"/>
    <w:rsid w:val="00B37AEE"/>
    <w:rsid w:val="00B37D8A"/>
    <w:rsid w:val="00B37FED"/>
    <w:rsid w:val="00B40058"/>
    <w:rsid w:val="00B401CD"/>
    <w:rsid w:val="00B40225"/>
    <w:rsid w:val="00B402DB"/>
    <w:rsid w:val="00B40AB0"/>
    <w:rsid w:val="00B41109"/>
    <w:rsid w:val="00B4111D"/>
    <w:rsid w:val="00B41175"/>
    <w:rsid w:val="00B413D9"/>
    <w:rsid w:val="00B4147C"/>
    <w:rsid w:val="00B414DA"/>
    <w:rsid w:val="00B41550"/>
    <w:rsid w:val="00B415A6"/>
    <w:rsid w:val="00B415B6"/>
    <w:rsid w:val="00B41916"/>
    <w:rsid w:val="00B41ABA"/>
    <w:rsid w:val="00B41FA6"/>
    <w:rsid w:val="00B4294A"/>
    <w:rsid w:val="00B42AE2"/>
    <w:rsid w:val="00B42B85"/>
    <w:rsid w:val="00B42D35"/>
    <w:rsid w:val="00B42EE7"/>
    <w:rsid w:val="00B4302D"/>
    <w:rsid w:val="00B43120"/>
    <w:rsid w:val="00B432FD"/>
    <w:rsid w:val="00B43A5B"/>
    <w:rsid w:val="00B43B8F"/>
    <w:rsid w:val="00B43CE3"/>
    <w:rsid w:val="00B43EBD"/>
    <w:rsid w:val="00B4433C"/>
    <w:rsid w:val="00B4459B"/>
    <w:rsid w:val="00B445D2"/>
    <w:rsid w:val="00B4471C"/>
    <w:rsid w:val="00B44D80"/>
    <w:rsid w:val="00B45087"/>
    <w:rsid w:val="00B45645"/>
    <w:rsid w:val="00B45714"/>
    <w:rsid w:val="00B45B63"/>
    <w:rsid w:val="00B45BE9"/>
    <w:rsid w:val="00B45F72"/>
    <w:rsid w:val="00B45FDE"/>
    <w:rsid w:val="00B460CF"/>
    <w:rsid w:val="00B46336"/>
    <w:rsid w:val="00B46487"/>
    <w:rsid w:val="00B464AA"/>
    <w:rsid w:val="00B46BAD"/>
    <w:rsid w:val="00B46BF4"/>
    <w:rsid w:val="00B474A9"/>
    <w:rsid w:val="00B47724"/>
    <w:rsid w:val="00B47C37"/>
    <w:rsid w:val="00B47C45"/>
    <w:rsid w:val="00B47E96"/>
    <w:rsid w:val="00B50031"/>
    <w:rsid w:val="00B5027C"/>
    <w:rsid w:val="00B505F3"/>
    <w:rsid w:val="00B50A64"/>
    <w:rsid w:val="00B50A90"/>
    <w:rsid w:val="00B50C6E"/>
    <w:rsid w:val="00B50D49"/>
    <w:rsid w:val="00B510AC"/>
    <w:rsid w:val="00B510DE"/>
    <w:rsid w:val="00B51131"/>
    <w:rsid w:val="00B51274"/>
    <w:rsid w:val="00B51A7B"/>
    <w:rsid w:val="00B51ACD"/>
    <w:rsid w:val="00B51B7C"/>
    <w:rsid w:val="00B51DC7"/>
    <w:rsid w:val="00B51F77"/>
    <w:rsid w:val="00B530FC"/>
    <w:rsid w:val="00B53336"/>
    <w:rsid w:val="00B5348F"/>
    <w:rsid w:val="00B53A8D"/>
    <w:rsid w:val="00B53F89"/>
    <w:rsid w:val="00B5476F"/>
    <w:rsid w:val="00B5492B"/>
    <w:rsid w:val="00B54B9E"/>
    <w:rsid w:val="00B54EB5"/>
    <w:rsid w:val="00B54EDE"/>
    <w:rsid w:val="00B54EEA"/>
    <w:rsid w:val="00B550DD"/>
    <w:rsid w:val="00B55343"/>
    <w:rsid w:val="00B554E9"/>
    <w:rsid w:val="00B55568"/>
    <w:rsid w:val="00B557D8"/>
    <w:rsid w:val="00B55B3F"/>
    <w:rsid w:val="00B55B7E"/>
    <w:rsid w:val="00B55C14"/>
    <w:rsid w:val="00B5640C"/>
    <w:rsid w:val="00B56C2C"/>
    <w:rsid w:val="00B56D32"/>
    <w:rsid w:val="00B56D42"/>
    <w:rsid w:val="00B56DFB"/>
    <w:rsid w:val="00B56ED9"/>
    <w:rsid w:val="00B56EEA"/>
    <w:rsid w:val="00B56FA6"/>
    <w:rsid w:val="00B570D2"/>
    <w:rsid w:val="00B57A24"/>
    <w:rsid w:val="00B57A4C"/>
    <w:rsid w:val="00B57AC4"/>
    <w:rsid w:val="00B57B2E"/>
    <w:rsid w:val="00B57B3F"/>
    <w:rsid w:val="00B57DD7"/>
    <w:rsid w:val="00B57E39"/>
    <w:rsid w:val="00B600A4"/>
    <w:rsid w:val="00B60158"/>
    <w:rsid w:val="00B601BD"/>
    <w:rsid w:val="00B6034D"/>
    <w:rsid w:val="00B60765"/>
    <w:rsid w:val="00B60F5D"/>
    <w:rsid w:val="00B61610"/>
    <w:rsid w:val="00B619C7"/>
    <w:rsid w:val="00B61A50"/>
    <w:rsid w:val="00B61BFC"/>
    <w:rsid w:val="00B61C79"/>
    <w:rsid w:val="00B6200D"/>
    <w:rsid w:val="00B624BC"/>
    <w:rsid w:val="00B62692"/>
    <w:rsid w:val="00B6277E"/>
    <w:rsid w:val="00B629ED"/>
    <w:rsid w:val="00B62C42"/>
    <w:rsid w:val="00B62E68"/>
    <w:rsid w:val="00B62EA3"/>
    <w:rsid w:val="00B62F9F"/>
    <w:rsid w:val="00B63081"/>
    <w:rsid w:val="00B631BC"/>
    <w:rsid w:val="00B63245"/>
    <w:rsid w:val="00B633BF"/>
    <w:rsid w:val="00B633DD"/>
    <w:rsid w:val="00B636C5"/>
    <w:rsid w:val="00B637FC"/>
    <w:rsid w:val="00B6380E"/>
    <w:rsid w:val="00B63B54"/>
    <w:rsid w:val="00B63DF4"/>
    <w:rsid w:val="00B63F7F"/>
    <w:rsid w:val="00B63FA1"/>
    <w:rsid w:val="00B64489"/>
    <w:rsid w:val="00B6467D"/>
    <w:rsid w:val="00B6481D"/>
    <w:rsid w:val="00B64B7A"/>
    <w:rsid w:val="00B64CBC"/>
    <w:rsid w:val="00B64CC2"/>
    <w:rsid w:val="00B64D50"/>
    <w:rsid w:val="00B65011"/>
    <w:rsid w:val="00B6511C"/>
    <w:rsid w:val="00B6560C"/>
    <w:rsid w:val="00B656E5"/>
    <w:rsid w:val="00B6585C"/>
    <w:rsid w:val="00B65906"/>
    <w:rsid w:val="00B6598E"/>
    <w:rsid w:val="00B65AC2"/>
    <w:rsid w:val="00B666C1"/>
    <w:rsid w:val="00B66B3B"/>
    <w:rsid w:val="00B66BCB"/>
    <w:rsid w:val="00B671CB"/>
    <w:rsid w:val="00B67752"/>
    <w:rsid w:val="00B67A9E"/>
    <w:rsid w:val="00B67D10"/>
    <w:rsid w:val="00B67D45"/>
    <w:rsid w:val="00B67E2D"/>
    <w:rsid w:val="00B67E4C"/>
    <w:rsid w:val="00B67F4D"/>
    <w:rsid w:val="00B6C08B"/>
    <w:rsid w:val="00B70103"/>
    <w:rsid w:val="00B705F0"/>
    <w:rsid w:val="00B7062C"/>
    <w:rsid w:val="00B7079D"/>
    <w:rsid w:val="00B709D4"/>
    <w:rsid w:val="00B70B12"/>
    <w:rsid w:val="00B70E21"/>
    <w:rsid w:val="00B70EBF"/>
    <w:rsid w:val="00B71115"/>
    <w:rsid w:val="00B71150"/>
    <w:rsid w:val="00B7118C"/>
    <w:rsid w:val="00B71349"/>
    <w:rsid w:val="00B717C7"/>
    <w:rsid w:val="00B71A1A"/>
    <w:rsid w:val="00B71A90"/>
    <w:rsid w:val="00B72231"/>
    <w:rsid w:val="00B7250D"/>
    <w:rsid w:val="00B7278A"/>
    <w:rsid w:val="00B72A2F"/>
    <w:rsid w:val="00B730E1"/>
    <w:rsid w:val="00B731A2"/>
    <w:rsid w:val="00B7339A"/>
    <w:rsid w:val="00B73425"/>
    <w:rsid w:val="00B73899"/>
    <w:rsid w:val="00B739CD"/>
    <w:rsid w:val="00B739EE"/>
    <w:rsid w:val="00B73C7E"/>
    <w:rsid w:val="00B73D00"/>
    <w:rsid w:val="00B73E08"/>
    <w:rsid w:val="00B73EF0"/>
    <w:rsid w:val="00B7407B"/>
    <w:rsid w:val="00B74180"/>
    <w:rsid w:val="00B7462B"/>
    <w:rsid w:val="00B749BE"/>
    <w:rsid w:val="00B74B8C"/>
    <w:rsid w:val="00B74D3C"/>
    <w:rsid w:val="00B74EF4"/>
    <w:rsid w:val="00B754BA"/>
    <w:rsid w:val="00B75989"/>
    <w:rsid w:val="00B75A0B"/>
    <w:rsid w:val="00B75A8D"/>
    <w:rsid w:val="00B75C37"/>
    <w:rsid w:val="00B75D3D"/>
    <w:rsid w:val="00B75EB6"/>
    <w:rsid w:val="00B760A5"/>
    <w:rsid w:val="00B764E0"/>
    <w:rsid w:val="00B76508"/>
    <w:rsid w:val="00B765BD"/>
    <w:rsid w:val="00B7676E"/>
    <w:rsid w:val="00B76860"/>
    <w:rsid w:val="00B76E10"/>
    <w:rsid w:val="00B76E5A"/>
    <w:rsid w:val="00B77029"/>
    <w:rsid w:val="00B77086"/>
    <w:rsid w:val="00B7721D"/>
    <w:rsid w:val="00B77397"/>
    <w:rsid w:val="00B7740E"/>
    <w:rsid w:val="00B77684"/>
    <w:rsid w:val="00B77C71"/>
    <w:rsid w:val="00B77DDC"/>
    <w:rsid w:val="00B77E70"/>
    <w:rsid w:val="00B80177"/>
    <w:rsid w:val="00B805B3"/>
    <w:rsid w:val="00B80A0B"/>
    <w:rsid w:val="00B80B99"/>
    <w:rsid w:val="00B80BC3"/>
    <w:rsid w:val="00B80C3B"/>
    <w:rsid w:val="00B80DF0"/>
    <w:rsid w:val="00B80F15"/>
    <w:rsid w:val="00B80F65"/>
    <w:rsid w:val="00B810B7"/>
    <w:rsid w:val="00B811F7"/>
    <w:rsid w:val="00B81296"/>
    <w:rsid w:val="00B812D6"/>
    <w:rsid w:val="00B815BF"/>
    <w:rsid w:val="00B81715"/>
    <w:rsid w:val="00B81925"/>
    <w:rsid w:val="00B81A23"/>
    <w:rsid w:val="00B81F1E"/>
    <w:rsid w:val="00B8229E"/>
    <w:rsid w:val="00B825B0"/>
    <w:rsid w:val="00B82838"/>
    <w:rsid w:val="00B82872"/>
    <w:rsid w:val="00B82B11"/>
    <w:rsid w:val="00B82E6B"/>
    <w:rsid w:val="00B83615"/>
    <w:rsid w:val="00B83895"/>
    <w:rsid w:val="00B842AF"/>
    <w:rsid w:val="00B8440F"/>
    <w:rsid w:val="00B84557"/>
    <w:rsid w:val="00B845D6"/>
    <w:rsid w:val="00B84888"/>
    <w:rsid w:val="00B8488F"/>
    <w:rsid w:val="00B84B85"/>
    <w:rsid w:val="00B84DE5"/>
    <w:rsid w:val="00B84DFE"/>
    <w:rsid w:val="00B84E73"/>
    <w:rsid w:val="00B84F0B"/>
    <w:rsid w:val="00B850DD"/>
    <w:rsid w:val="00B853CA"/>
    <w:rsid w:val="00B85618"/>
    <w:rsid w:val="00B85C0C"/>
    <w:rsid w:val="00B862E2"/>
    <w:rsid w:val="00B86474"/>
    <w:rsid w:val="00B865F1"/>
    <w:rsid w:val="00B86607"/>
    <w:rsid w:val="00B8661C"/>
    <w:rsid w:val="00B86631"/>
    <w:rsid w:val="00B869D1"/>
    <w:rsid w:val="00B86DE1"/>
    <w:rsid w:val="00B87238"/>
    <w:rsid w:val="00B87255"/>
    <w:rsid w:val="00B87567"/>
    <w:rsid w:val="00B87698"/>
    <w:rsid w:val="00B876F4"/>
    <w:rsid w:val="00B87766"/>
    <w:rsid w:val="00B87797"/>
    <w:rsid w:val="00B87AE7"/>
    <w:rsid w:val="00B87DE1"/>
    <w:rsid w:val="00B90031"/>
    <w:rsid w:val="00B90048"/>
    <w:rsid w:val="00B904BA"/>
    <w:rsid w:val="00B9054A"/>
    <w:rsid w:val="00B907E0"/>
    <w:rsid w:val="00B90E29"/>
    <w:rsid w:val="00B913B2"/>
    <w:rsid w:val="00B9145A"/>
    <w:rsid w:val="00B91938"/>
    <w:rsid w:val="00B91ACE"/>
    <w:rsid w:val="00B91E90"/>
    <w:rsid w:val="00B92743"/>
    <w:rsid w:val="00B927D4"/>
    <w:rsid w:val="00B92953"/>
    <w:rsid w:val="00B932F5"/>
    <w:rsid w:val="00B937A5"/>
    <w:rsid w:val="00B93AE7"/>
    <w:rsid w:val="00B9435B"/>
    <w:rsid w:val="00B9440E"/>
    <w:rsid w:val="00B94491"/>
    <w:rsid w:val="00B94589"/>
    <w:rsid w:val="00B94A81"/>
    <w:rsid w:val="00B94E2C"/>
    <w:rsid w:val="00B95534"/>
    <w:rsid w:val="00B95640"/>
    <w:rsid w:val="00B95876"/>
    <w:rsid w:val="00B95E08"/>
    <w:rsid w:val="00B95E27"/>
    <w:rsid w:val="00B95F6E"/>
    <w:rsid w:val="00B961DC"/>
    <w:rsid w:val="00B96448"/>
    <w:rsid w:val="00B96BC6"/>
    <w:rsid w:val="00B96C95"/>
    <w:rsid w:val="00B96F3A"/>
    <w:rsid w:val="00B97219"/>
    <w:rsid w:val="00B972C8"/>
    <w:rsid w:val="00B97658"/>
    <w:rsid w:val="00B97774"/>
    <w:rsid w:val="00B977CA"/>
    <w:rsid w:val="00B97852"/>
    <w:rsid w:val="00B9790A"/>
    <w:rsid w:val="00B97CCB"/>
    <w:rsid w:val="00B97E15"/>
    <w:rsid w:val="00B97E36"/>
    <w:rsid w:val="00B9D4B3"/>
    <w:rsid w:val="00BA0093"/>
    <w:rsid w:val="00BA017C"/>
    <w:rsid w:val="00BA02A6"/>
    <w:rsid w:val="00BA06E3"/>
    <w:rsid w:val="00BA0A8D"/>
    <w:rsid w:val="00BA0C95"/>
    <w:rsid w:val="00BA0E2F"/>
    <w:rsid w:val="00BA0F65"/>
    <w:rsid w:val="00BA11BB"/>
    <w:rsid w:val="00BA1737"/>
    <w:rsid w:val="00BA181B"/>
    <w:rsid w:val="00BA1969"/>
    <w:rsid w:val="00BA1A57"/>
    <w:rsid w:val="00BA1F23"/>
    <w:rsid w:val="00BA1FBF"/>
    <w:rsid w:val="00BA22A6"/>
    <w:rsid w:val="00BA2325"/>
    <w:rsid w:val="00BA26E4"/>
    <w:rsid w:val="00BA2FF7"/>
    <w:rsid w:val="00BA305D"/>
    <w:rsid w:val="00BA30D7"/>
    <w:rsid w:val="00BA3129"/>
    <w:rsid w:val="00BA3434"/>
    <w:rsid w:val="00BA3483"/>
    <w:rsid w:val="00BA374C"/>
    <w:rsid w:val="00BA376B"/>
    <w:rsid w:val="00BA3B50"/>
    <w:rsid w:val="00BA3B77"/>
    <w:rsid w:val="00BA3BB8"/>
    <w:rsid w:val="00BA3CB7"/>
    <w:rsid w:val="00BA438B"/>
    <w:rsid w:val="00BA4478"/>
    <w:rsid w:val="00BA44A0"/>
    <w:rsid w:val="00BA45C5"/>
    <w:rsid w:val="00BA464F"/>
    <w:rsid w:val="00BA4759"/>
    <w:rsid w:val="00BA4856"/>
    <w:rsid w:val="00BA485B"/>
    <w:rsid w:val="00BA4B6E"/>
    <w:rsid w:val="00BA4C31"/>
    <w:rsid w:val="00BA511B"/>
    <w:rsid w:val="00BA5489"/>
    <w:rsid w:val="00BA5584"/>
    <w:rsid w:val="00BA55E5"/>
    <w:rsid w:val="00BA56CD"/>
    <w:rsid w:val="00BA5874"/>
    <w:rsid w:val="00BA5D91"/>
    <w:rsid w:val="00BA5DC6"/>
    <w:rsid w:val="00BA6068"/>
    <w:rsid w:val="00BA609D"/>
    <w:rsid w:val="00BA6196"/>
    <w:rsid w:val="00BA6268"/>
    <w:rsid w:val="00BA6288"/>
    <w:rsid w:val="00BA63D8"/>
    <w:rsid w:val="00BA6754"/>
    <w:rsid w:val="00BA690F"/>
    <w:rsid w:val="00BA6977"/>
    <w:rsid w:val="00BA6A9E"/>
    <w:rsid w:val="00BA6C63"/>
    <w:rsid w:val="00BA6D28"/>
    <w:rsid w:val="00BA6E24"/>
    <w:rsid w:val="00BA6FA9"/>
    <w:rsid w:val="00BA720B"/>
    <w:rsid w:val="00BA74DD"/>
    <w:rsid w:val="00BA79AD"/>
    <w:rsid w:val="00BA7D1D"/>
    <w:rsid w:val="00BA7FE5"/>
    <w:rsid w:val="00BB08DA"/>
    <w:rsid w:val="00BB09F7"/>
    <w:rsid w:val="00BB0CCF"/>
    <w:rsid w:val="00BB0E20"/>
    <w:rsid w:val="00BB1339"/>
    <w:rsid w:val="00BB14A9"/>
    <w:rsid w:val="00BB14B0"/>
    <w:rsid w:val="00BB15FB"/>
    <w:rsid w:val="00BB171D"/>
    <w:rsid w:val="00BB1761"/>
    <w:rsid w:val="00BB19F6"/>
    <w:rsid w:val="00BB1D2E"/>
    <w:rsid w:val="00BB1E32"/>
    <w:rsid w:val="00BB1E47"/>
    <w:rsid w:val="00BB1E84"/>
    <w:rsid w:val="00BB1F76"/>
    <w:rsid w:val="00BB22FD"/>
    <w:rsid w:val="00BB2772"/>
    <w:rsid w:val="00BB28E8"/>
    <w:rsid w:val="00BB2BD7"/>
    <w:rsid w:val="00BB2CCC"/>
    <w:rsid w:val="00BB2D2E"/>
    <w:rsid w:val="00BB2F54"/>
    <w:rsid w:val="00BB303C"/>
    <w:rsid w:val="00BB322C"/>
    <w:rsid w:val="00BB3313"/>
    <w:rsid w:val="00BB3358"/>
    <w:rsid w:val="00BB35C9"/>
    <w:rsid w:val="00BB37DE"/>
    <w:rsid w:val="00BB3A98"/>
    <w:rsid w:val="00BB3B7A"/>
    <w:rsid w:val="00BB3EF6"/>
    <w:rsid w:val="00BB3FE9"/>
    <w:rsid w:val="00BB4315"/>
    <w:rsid w:val="00BB45AD"/>
    <w:rsid w:val="00BB460E"/>
    <w:rsid w:val="00BB4989"/>
    <w:rsid w:val="00BB49D9"/>
    <w:rsid w:val="00BB4B9F"/>
    <w:rsid w:val="00BB4D9A"/>
    <w:rsid w:val="00BB5165"/>
    <w:rsid w:val="00BB5D18"/>
    <w:rsid w:val="00BB5D8D"/>
    <w:rsid w:val="00BB5ECD"/>
    <w:rsid w:val="00BB6505"/>
    <w:rsid w:val="00BB6689"/>
    <w:rsid w:val="00BB66D5"/>
    <w:rsid w:val="00BB67D9"/>
    <w:rsid w:val="00BB67E4"/>
    <w:rsid w:val="00BB6931"/>
    <w:rsid w:val="00BB694C"/>
    <w:rsid w:val="00BB6B29"/>
    <w:rsid w:val="00BB6E79"/>
    <w:rsid w:val="00BB706B"/>
    <w:rsid w:val="00BB725E"/>
    <w:rsid w:val="00BB7401"/>
    <w:rsid w:val="00BB74DC"/>
    <w:rsid w:val="00BB7CF0"/>
    <w:rsid w:val="00BBD13B"/>
    <w:rsid w:val="00BC0245"/>
    <w:rsid w:val="00BC0357"/>
    <w:rsid w:val="00BC04D8"/>
    <w:rsid w:val="00BC053A"/>
    <w:rsid w:val="00BC0950"/>
    <w:rsid w:val="00BC0D88"/>
    <w:rsid w:val="00BC0DBB"/>
    <w:rsid w:val="00BC0ED7"/>
    <w:rsid w:val="00BC0ED9"/>
    <w:rsid w:val="00BC1095"/>
    <w:rsid w:val="00BC16AB"/>
    <w:rsid w:val="00BC17D1"/>
    <w:rsid w:val="00BC1B39"/>
    <w:rsid w:val="00BC2093"/>
    <w:rsid w:val="00BC212A"/>
    <w:rsid w:val="00BC2261"/>
    <w:rsid w:val="00BC284F"/>
    <w:rsid w:val="00BC2FF7"/>
    <w:rsid w:val="00BC3070"/>
    <w:rsid w:val="00BC343D"/>
    <w:rsid w:val="00BC37A5"/>
    <w:rsid w:val="00BC3829"/>
    <w:rsid w:val="00BC398A"/>
    <w:rsid w:val="00BC39D6"/>
    <w:rsid w:val="00BC39E6"/>
    <w:rsid w:val="00BC39F3"/>
    <w:rsid w:val="00BC4722"/>
    <w:rsid w:val="00BC48EA"/>
    <w:rsid w:val="00BC4955"/>
    <w:rsid w:val="00BC4997"/>
    <w:rsid w:val="00BC4AD1"/>
    <w:rsid w:val="00BC4BFC"/>
    <w:rsid w:val="00BC4D65"/>
    <w:rsid w:val="00BC510B"/>
    <w:rsid w:val="00BC5A1D"/>
    <w:rsid w:val="00BC5A4D"/>
    <w:rsid w:val="00BC5D2F"/>
    <w:rsid w:val="00BC5F37"/>
    <w:rsid w:val="00BC60D1"/>
    <w:rsid w:val="00BC625E"/>
    <w:rsid w:val="00BC6340"/>
    <w:rsid w:val="00BC6394"/>
    <w:rsid w:val="00BC6677"/>
    <w:rsid w:val="00BC6CA9"/>
    <w:rsid w:val="00BC6D8C"/>
    <w:rsid w:val="00BC7B8C"/>
    <w:rsid w:val="00BC7BCD"/>
    <w:rsid w:val="00BC7DF3"/>
    <w:rsid w:val="00BD00E1"/>
    <w:rsid w:val="00BD03AE"/>
    <w:rsid w:val="00BD03D0"/>
    <w:rsid w:val="00BD0450"/>
    <w:rsid w:val="00BD0601"/>
    <w:rsid w:val="00BD0C8E"/>
    <w:rsid w:val="00BD0FC6"/>
    <w:rsid w:val="00BD114F"/>
    <w:rsid w:val="00BD1244"/>
    <w:rsid w:val="00BD129F"/>
    <w:rsid w:val="00BD13AF"/>
    <w:rsid w:val="00BD1590"/>
    <w:rsid w:val="00BD15A4"/>
    <w:rsid w:val="00BD15D1"/>
    <w:rsid w:val="00BD17B6"/>
    <w:rsid w:val="00BD1976"/>
    <w:rsid w:val="00BD19DE"/>
    <w:rsid w:val="00BD1AFD"/>
    <w:rsid w:val="00BD1B7A"/>
    <w:rsid w:val="00BD1BC6"/>
    <w:rsid w:val="00BD1C60"/>
    <w:rsid w:val="00BD1CA8"/>
    <w:rsid w:val="00BD1CE8"/>
    <w:rsid w:val="00BD1F26"/>
    <w:rsid w:val="00BD1F52"/>
    <w:rsid w:val="00BD1FDD"/>
    <w:rsid w:val="00BD2155"/>
    <w:rsid w:val="00BD26FB"/>
    <w:rsid w:val="00BD2B47"/>
    <w:rsid w:val="00BD2BBB"/>
    <w:rsid w:val="00BD2BEE"/>
    <w:rsid w:val="00BD2E61"/>
    <w:rsid w:val="00BD2F83"/>
    <w:rsid w:val="00BD2F98"/>
    <w:rsid w:val="00BD3127"/>
    <w:rsid w:val="00BD31FA"/>
    <w:rsid w:val="00BD33C2"/>
    <w:rsid w:val="00BD37B2"/>
    <w:rsid w:val="00BD3A3A"/>
    <w:rsid w:val="00BD3FD3"/>
    <w:rsid w:val="00BD40BE"/>
    <w:rsid w:val="00BD45D1"/>
    <w:rsid w:val="00BD496A"/>
    <w:rsid w:val="00BD4A45"/>
    <w:rsid w:val="00BD4FF9"/>
    <w:rsid w:val="00BD550F"/>
    <w:rsid w:val="00BD552B"/>
    <w:rsid w:val="00BD554D"/>
    <w:rsid w:val="00BD577B"/>
    <w:rsid w:val="00BD5933"/>
    <w:rsid w:val="00BD5988"/>
    <w:rsid w:val="00BD6278"/>
    <w:rsid w:val="00BD62AE"/>
    <w:rsid w:val="00BD6397"/>
    <w:rsid w:val="00BD63C0"/>
    <w:rsid w:val="00BD650D"/>
    <w:rsid w:val="00BD65DC"/>
    <w:rsid w:val="00BD684B"/>
    <w:rsid w:val="00BD694A"/>
    <w:rsid w:val="00BD6BAA"/>
    <w:rsid w:val="00BD6C77"/>
    <w:rsid w:val="00BD6D57"/>
    <w:rsid w:val="00BD7029"/>
    <w:rsid w:val="00BD7440"/>
    <w:rsid w:val="00BD7536"/>
    <w:rsid w:val="00BD7600"/>
    <w:rsid w:val="00BD7752"/>
    <w:rsid w:val="00BD7ADE"/>
    <w:rsid w:val="00BE0300"/>
    <w:rsid w:val="00BE05ED"/>
    <w:rsid w:val="00BE0792"/>
    <w:rsid w:val="00BE08B8"/>
    <w:rsid w:val="00BE0A23"/>
    <w:rsid w:val="00BE0A6A"/>
    <w:rsid w:val="00BE0CDF"/>
    <w:rsid w:val="00BE0DCD"/>
    <w:rsid w:val="00BE0E4F"/>
    <w:rsid w:val="00BE11C4"/>
    <w:rsid w:val="00BE14CC"/>
    <w:rsid w:val="00BE1630"/>
    <w:rsid w:val="00BE1A5A"/>
    <w:rsid w:val="00BE1AEC"/>
    <w:rsid w:val="00BE1B43"/>
    <w:rsid w:val="00BE25B4"/>
    <w:rsid w:val="00BE27C2"/>
    <w:rsid w:val="00BE2850"/>
    <w:rsid w:val="00BE2CC6"/>
    <w:rsid w:val="00BE2D27"/>
    <w:rsid w:val="00BE32C3"/>
    <w:rsid w:val="00BE32C8"/>
    <w:rsid w:val="00BE3365"/>
    <w:rsid w:val="00BE38D6"/>
    <w:rsid w:val="00BE3A44"/>
    <w:rsid w:val="00BE3CF2"/>
    <w:rsid w:val="00BE3DED"/>
    <w:rsid w:val="00BE3E42"/>
    <w:rsid w:val="00BE3E75"/>
    <w:rsid w:val="00BE3F88"/>
    <w:rsid w:val="00BE4083"/>
    <w:rsid w:val="00BE4260"/>
    <w:rsid w:val="00BE4292"/>
    <w:rsid w:val="00BE43FD"/>
    <w:rsid w:val="00BE45E9"/>
    <w:rsid w:val="00BE489B"/>
    <w:rsid w:val="00BE4C16"/>
    <w:rsid w:val="00BE4F46"/>
    <w:rsid w:val="00BE5080"/>
    <w:rsid w:val="00BE508A"/>
    <w:rsid w:val="00BE50FB"/>
    <w:rsid w:val="00BE51D8"/>
    <w:rsid w:val="00BE5326"/>
    <w:rsid w:val="00BE5423"/>
    <w:rsid w:val="00BE5560"/>
    <w:rsid w:val="00BE55D8"/>
    <w:rsid w:val="00BE56C6"/>
    <w:rsid w:val="00BE573E"/>
    <w:rsid w:val="00BE57CF"/>
    <w:rsid w:val="00BE5AC7"/>
    <w:rsid w:val="00BE5B6D"/>
    <w:rsid w:val="00BE5C56"/>
    <w:rsid w:val="00BE6307"/>
    <w:rsid w:val="00BE64EE"/>
    <w:rsid w:val="00BE695D"/>
    <w:rsid w:val="00BE6B91"/>
    <w:rsid w:val="00BE723B"/>
    <w:rsid w:val="00BE7629"/>
    <w:rsid w:val="00BE7718"/>
    <w:rsid w:val="00BE78E8"/>
    <w:rsid w:val="00BE7C2A"/>
    <w:rsid w:val="00BEF249"/>
    <w:rsid w:val="00BF0379"/>
    <w:rsid w:val="00BF03D1"/>
    <w:rsid w:val="00BF05F1"/>
    <w:rsid w:val="00BF06A1"/>
    <w:rsid w:val="00BF0735"/>
    <w:rsid w:val="00BF0CBB"/>
    <w:rsid w:val="00BF0E96"/>
    <w:rsid w:val="00BF1788"/>
    <w:rsid w:val="00BF18EC"/>
    <w:rsid w:val="00BF198E"/>
    <w:rsid w:val="00BF1ADF"/>
    <w:rsid w:val="00BF21BE"/>
    <w:rsid w:val="00BF224F"/>
    <w:rsid w:val="00BF2625"/>
    <w:rsid w:val="00BF2820"/>
    <w:rsid w:val="00BF289F"/>
    <w:rsid w:val="00BF2995"/>
    <w:rsid w:val="00BF2A95"/>
    <w:rsid w:val="00BF2D49"/>
    <w:rsid w:val="00BF2EC3"/>
    <w:rsid w:val="00BF2FA3"/>
    <w:rsid w:val="00BF30FE"/>
    <w:rsid w:val="00BF3316"/>
    <w:rsid w:val="00BF340E"/>
    <w:rsid w:val="00BF36F1"/>
    <w:rsid w:val="00BF4083"/>
    <w:rsid w:val="00BF40F9"/>
    <w:rsid w:val="00BF4188"/>
    <w:rsid w:val="00BF457A"/>
    <w:rsid w:val="00BF4E0D"/>
    <w:rsid w:val="00BF4E61"/>
    <w:rsid w:val="00BF4E6D"/>
    <w:rsid w:val="00BF504C"/>
    <w:rsid w:val="00BF5091"/>
    <w:rsid w:val="00BF50A7"/>
    <w:rsid w:val="00BF5138"/>
    <w:rsid w:val="00BF5524"/>
    <w:rsid w:val="00BF5942"/>
    <w:rsid w:val="00BF598B"/>
    <w:rsid w:val="00BF5AFE"/>
    <w:rsid w:val="00BF5D58"/>
    <w:rsid w:val="00BF5E97"/>
    <w:rsid w:val="00BF622E"/>
    <w:rsid w:val="00BF6568"/>
    <w:rsid w:val="00BF6686"/>
    <w:rsid w:val="00BF66C0"/>
    <w:rsid w:val="00BF6A0C"/>
    <w:rsid w:val="00BF6CA8"/>
    <w:rsid w:val="00BF6E51"/>
    <w:rsid w:val="00BF7077"/>
    <w:rsid w:val="00BF7098"/>
    <w:rsid w:val="00BF770F"/>
    <w:rsid w:val="00BF7A31"/>
    <w:rsid w:val="00BF7D58"/>
    <w:rsid w:val="00BF7D64"/>
    <w:rsid w:val="00C00471"/>
    <w:rsid w:val="00C0089A"/>
    <w:rsid w:val="00C01273"/>
    <w:rsid w:val="00C01388"/>
    <w:rsid w:val="00C013CD"/>
    <w:rsid w:val="00C01547"/>
    <w:rsid w:val="00C0171E"/>
    <w:rsid w:val="00C018E8"/>
    <w:rsid w:val="00C01C97"/>
    <w:rsid w:val="00C01D99"/>
    <w:rsid w:val="00C01E63"/>
    <w:rsid w:val="00C01EE9"/>
    <w:rsid w:val="00C02391"/>
    <w:rsid w:val="00C02403"/>
    <w:rsid w:val="00C0247F"/>
    <w:rsid w:val="00C0263C"/>
    <w:rsid w:val="00C028EE"/>
    <w:rsid w:val="00C0293F"/>
    <w:rsid w:val="00C02C41"/>
    <w:rsid w:val="00C02C93"/>
    <w:rsid w:val="00C02DEC"/>
    <w:rsid w:val="00C03394"/>
    <w:rsid w:val="00C03605"/>
    <w:rsid w:val="00C03622"/>
    <w:rsid w:val="00C0398E"/>
    <w:rsid w:val="00C039B7"/>
    <w:rsid w:val="00C03F75"/>
    <w:rsid w:val="00C0452A"/>
    <w:rsid w:val="00C04A3E"/>
    <w:rsid w:val="00C04B66"/>
    <w:rsid w:val="00C04C02"/>
    <w:rsid w:val="00C04D0D"/>
    <w:rsid w:val="00C04DBC"/>
    <w:rsid w:val="00C050E6"/>
    <w:rsid w:val="00C0536F"/>
    <w:rsid w:val="00C053BE"/>
    <w:rsid w:val="00C059E4"/>
    <w:rsid w:val="00C05ABB"/>
    <w:rsid w:val="00C0601D"/>
    <w:rsid w:val="00C0670D"/>
    <w:rsid w:val="00C06A3B"/>
    <w:rsid w:val="00C06AC4"/>
    <w:rsid w:val="00C0707C"/>
    <w:rsid w:val="00C07098"/>
    <w:rsid w:val="00C070DF"/>
    <w:rsid w:val="00C07114"/>
    <w:rsid w:val="00C07208"/>
    <w:rsid w:val="00C07276"/>
    <w:rsid w:val="00C07538"/>
    <w:rsid w:val="00C07A54"/>
    <w:rsid w:val="00C07D50"/>
    <w:rsid w:val="00C07EF0"/>
    <w:rsid w:val="00C101C9"/>
    <w:rsid w:val="00C109AD"/>
    <w:rsid w:val="00C10CD5"/>
    <w:rsid w:val="00C10EC3"/>
    <w:rsid w:val="00C11754"/>
    <w:rsid w:val="00C117F8"/>
    <w:rsid w:val="00C11C29"/>
    <w:rsid w:val="00C11CFF"/>
    <w:rsid w:val="00C11F07"/>
    <w:rsid w:val="00C121B6"/>
    <w:rsid w:val="00C1221D"/>
    <w:rsid w:val="00C12802"/>
    <w:rsid w:val="00C12CFE"/>
    <w:rsid w:val="00C12EAD"/>
    <w:rsid w:val="00C12FFD"/>
    <w:rsid w:val="00C130E1"/>
    <w:rsid w:val="00C13326"/>
    <w:rsid w:val="00C133BF"/>
    <w:rsid w:val="00C13585"/>
    <w:rsid w:val="00C13644"/>
    <w:rsid w:val="00C139ED"/>
    <w:rsid w:val="00C13A69"/>
    <w:rsid w:val="00C13C34"/>
    <w:rsid w:val="00C13D44"/>
    <w:rsid w:val="00C1419B"/>
    <w:rsid w:val="00C14321"/>
    <w:rsid w:val="00C14B7A"/>
    <w:rsid w:val="00C150CE"/>
    <w:rsid w:val="00C15662"/>
    <w:rsid w:val="00C156D0"/>
    <w:rsid w:val="00C15BD5"/>
    <w:rsid w:val="00C15D38"/>
    <w:rsid w:val="00C15D9A"/>
    <w:rsid w:val="00C15E12"/>
    <w:rsid w:val="00C16114"/>
    <w:rsid w:val="00C16192"/>
    <w:rsid w:val="00C16409"/>
    <w:rsid w:val="00C16427"/>
    <w:rsid w:val="00C16679"/>
    <w:rsid w:val="00C16C01"/>
    <w:rsid w:val="00C17422"/>
    <w:rsid w:val="00C17753"/>
    <w:rsid w:val="00C17972"/>
    <w:rsid w:val="00C17AC0"/>
    <w:rsid w:val="00C1D75D"/>
    <w:rsid w:val="00C20091"/>
    <w:rsid w:val="00C200B4"/>
    <w:rsid w:val="00C2072A"/>
    <w:rsid w:val="00C211FE"/>
    <w:rsid w:val="00C2123A"/>
    <w:rsid w:val="00C2142D"/>
    <w:rsid w:val="00C216F5"/>
    <w:rsid w:val="00C21C01"/>
    <w:rsid w:val="00C21D5A"/>
    <w:rsid w:val="00C21D5D"/>
    <w:rsid w:val="00C22523"/>
    <w:rsid w:val="00C2270F"/>
    <w:rsid w:val="00C22A30"/>
    <w:rsid w:val="00C22AA5"/>
    <w:rsid w:val="00C22B62"/>
    <w:rsid w:val="00C22B6F"/>
    <w:rsid w:val="00C22C48"/>
    <w:rsid w:val="00C22E8D"/>
    <w:rsid w:val="00C2321E"/>
    <w:rsid w:val="00C234D9"/>
    <w:rsid w:val="00C237DB"/>
    <w:rsid w:val="00C23918"/>
    <w:rsid w:val="00C23BE4"/>
    <w:rsid w:val="00C23EF3"/>
    <w:rsid w:val="00C24025"/>
    <w:rsid w:val="00C24386"/>
    <w:rsid w:val="00C243CB"/>
    <w:rsid w:val="00C24560"/>
    <w:rsid w:val="00C24686"/>
    <w:rsid w:val="00C247CF"/>
    <w:rsid w:val="00C24984"/>
    <w:rsid w:val="00C24B1F"/>
    <w:rsid w:val="00C24CC0"/>
    <w:rsid w:val="00C25003"/>
    <w:rsid w:val="00C25058"/>
    <w:rsid w:val="00C251DE"/>
    <w:rsid w:val="00C252DC"/>
    <w:rsid w:val="00C2563E"/>
    <w:rsid w:val="00C2567B"/>
    <w:rsid w:val="00C259A5"/>
    <w:rsid w:val="00C25BA6"/>
    <w:rsid w:val="00C25BC9"/>
    <w:rsid w:val="00C25F47"/>
    <w:rsid w:val="00C25FCD"/>
    <w:rsid w:val="00C2605C"/>
    <w:rsid w:val="00C266A0"/>
    <w:rsid w:val="00C267AB"/>
    <w:rsid w:val="00C27097"/>
    <w:rsid w:val="00C2738D"/>
    <w:rsid w:val="00C27448"/>
    <w:rsid w:val="00C2750B"/>
    <w:rsid w:val="00C27F24"/>
    <w:rsid w:val="00C30267"/>
    <w:rsid w:val="00C30284"/>
    <w:rsid w:val="00C303C1"/>
    <w:rsid w:val="00C305AF"/>
    <w:rsid w:val="00C30888"/>
    <w:rsid w:val="00C3099E"/>
    <w:rsid w:val="00C30A5B"/>
    <w:rsid w:val="00C30A77"/>
    <w:rsid w:val="00C30B33"/>
    <w:rsid w:val="00C30DD8"/>
    <w:rsid w:val="00C30E65"/>
    <w:rsid w:val="00C30FA4"/>
    <w:rsid w:val="00C3156A"/>
    <w:rsid w:val="00C31952"/>
    <w:rsid w:val="00C31BED"/>
    <w:rsid w:val="00C31EDF"/>
    <w:rsid w:val="00C32108"/>
    <w:rsid w:val="00C32551"/>
    <w:rsid w:val="00C32936"/>
    <w:rsid w:val="00C3298D"/>
    <w:rsid w:val="00C32999"/>
    <w:rsid w:val="00C32F6C"/>
    <w:rsid w:val="00C33395"/>
    <w:rsid w:val="00C334DD"/>
    <w:rsid w:val="00C335D0"/>
    <w:rsid w:val="00C33707"/>
    <w:rsid w:val="00C33ADC"/>
    <w:rsid w:val="00C33BC6"/>
    <w:rsid w:val="00C33F8F"/>
    <w:rsid w:val="00C34006"/>
    <w:rsid w:val="00C34181"/>
    <w:rsid w:val="00C34239"/>
    <w:rsid w:val="00C3485D"/>
    <w:rsid w:val="00C34A7F"/>
    <w:rsid w:val="00C34F54"/>
    <w:rsid w:val="00C3539C"/>
    <w:rsid w:val="00C35556"/>
    <w:rsid w:val="00C35597"/>
    <w:rsid w:val="00C357F9"/>
    <w:rsid w:val="00C3597A"/>
    <w:rsid w:val="00C35AA8"/>
    <w:rsid w:val="00C35C51"/>
    <w:rsid w:val="00C36162"/>
    <w:rsid w:val="00C361BB"/>
    <w:rsid w:val="00C361FA"/>
    <w:rsid w:val="00C362A8"/>
    <w:rsid w:val="00C3638E"/>
    <w:rsid w:val="00C3688C"/>
    <w:rsid w:val="00C36B4C"/>
    <w:rsid w:val="00C36DF0"/>
    <w:rsid w:val="00C37024"/>
    <w:rsid w:val="00C37057"/>
    <w:rsid w:val="00C37076"/>
    <w:rsid w:val="00C372ED"/>
    <w:rsid w:val="00C37386"/>
    <w:rsid w:val="00C37471"/>
    <w:rsid w:val="00C37592"/>
    <w:rsid w:val="00C376CA"/>
    <w:rsid w:val="00C378D8"/>
    <w:rsid w:val="00C37C84"/>
    <w:rsid w:val="00C37D2B"/>
    <w:rsid w:val="00C402C4"/>
    <w:rsid w:val="00C40526"/>
    <w:rsid w:val="00C407BF"/>
    <w:rsid w:val="00C40B1F"/>
    <w:rsid w:val="00C40D33"/>
    <w:rsid w:val="00C40F48"/>
    <w:rsid w:val="00C40F74"/>
    <w:rsid w:val="00C412D0"/>
    <w:rsid w:val="00C41347"/>
    <w:rsid w:val="00C413A0"/>
    <w:rsid w:val="00C413EC"/>
    <w:rsid w:val="00C414B2"/>
    <w:rsid w:val="00C4163B"/>
    <w:rsid w:val="00C41649"/>
    <w:rsid w:val="00C42222"/>
    <w:rsid w:val="00C422D6"/>
    <w:rsid w:val="00C426B1"/>
    <w:rsid w:val="00C4355C"/>
    <w:rsid w:val="00C43628"/>
    <w:rsid w:val="00C43815"/>
    <w:rsid w:val="00C4383B"/>
    <w:rsid w:val="00C43C8D"/>
    <w:rsid w:val="00C43E91"/>
    <w:rsid w:val="00C43F7F"/>
    <w:rsid w:val="00C44562"/>
    <w:rsid w:val="00C44ADC"/>
    <w:rsid w:val="00C44F18"/>
    <w:rsid w:val="00C4508F"/>
    <w:rsid w:val="00C451C0"/>
    <w:rsid w:val="00C45718"/>
    <w:rsid w:val="00C458D7"/>
    <w:rsid w:val="00C45DE0"/>
    <w:rsid w:val="00C45E5B"/>
    <w:rsid w:val="00C45FE1"/>
    <w:rsid w:val="00C461FC"/>
    <w:rsid w:val="00C46414"/>
    <w:rsid w:val="00C4658E"/>
    <w:rsid w:val="00C46594"/>
    <w:rsid w:val="00C46875"/>
    <w:rsid w:val="00C46E4A"/>
    <w:rsid w:val="00C47207"/>
    <w:rsid w:val="00C47619"/>
    <w:rsid w:val="00C47B61"/>
    <w:rsid w:val="00C47E01"/>
    <w:rsid w:val="00C47FA0"/>
    <w:rsid w:val="00C5003E"/>
    <w:rsid w:val="00C50859"/>
    <w:rsid w:val="00C50AD3"/>
    <w:rsid w:val="00C50CF2"/>
    <w:rsid w:val="00C512C9"/>
    <w:rsid w:val="00C51497"/>
    <w:rsid w:val="00C514C7"/>
    <w:rsid w:val="00C51804"/>
    <w:rsid w:val="00C51952"/>
    <w:rsid w:val="00C51975"/>
    <w:rsid w:val="00C51BC9"/>
    <w:rsid w:val="00C51CA2"/>
    <w:rsid w:val="00C51D43"/>
    <w:rsid w:val="00C51E38"/>
    <w:rsid w:val="00C521D4"/>
    <w:rsid w:val="00C52220"/>
    <w:rsid w:val="00C5261C"/>
    <w:rsid w:val="00C52833"/>
    <w:rsid w:val="00C52B8A"/>
    <w:rsid w:val="00C52D25"/>
    <w:rsid w:val="00C52FAF"/>
    <w:rsid w:val="00C5303A"/>
    <w:rsid w:val="00C53581"/>
    <w:rsid w:val="00C5366D"/>
    <w:rsid w:val="00C537DD"/>
    <w:rsid w:val="00C53B83"/>
    <w:rsid w:val="00C54313"/>
    <w:rsid w:val="00C54964"/>
    <w:rsid w:val="00C555ED"/>
    <w:rsid w:val="00C55666"/>
    <w:rsid w:val="00C55AC1"/>
    <w:rsid w:val="00C55BD9"/>
    <w:rsid w:val="00C55CBB"/>
    <w:rsid w:val="00C55E01"/>
    <w:rsid w:val="00C55E85"/>
    <w:rsid w:val="00C5616C"/>
    <w:rsid w:val="00C561BA"/>
    <w:rsid w:val="00C56211"/>
    <w:rsid w:val="00C5658D"/>
    <w:rsid w:val="00C567CA"/>
    <w:rsid w:val="00C568A0"/>
    <w:rsid w:val="00C56BF8"/>
    <w:rsid w:val="00C56C22"/>
    <w:rsid w:val="00C57069"/>
    <w:rsid w:val="00C57477"/>
    <w:rsid w:val="00C5754E"/>
    <w:rsid w:val="00C575D1"/>
    <w:rsid w:val="00C57B69"/>
    <w:rsid w:val="00C57C5C"/>
    <w:rsid w:val="00C57CB1"/>
    <w:rsid w:val="00C57D7B"/>
    <w:rsid w:val="00C57E39"/>
    <w:rsid w:val="00C57FF6"/>
    <w:rsid w:val="00C60452"/>
    <w:rsid w:val="00C60607"/>
    <w:rsid w:val="00C60812"/>
    <w:rsid w:val="00C6096C"/>
    <w:rsid w:val="00C60C1E"/>
    <w:rsid w:val="00C60C94"/>
    <w:rsid w:val="00C60FD1"/>
    <w:rsid w:val="00C6179B"/>
    <w:rsid w:val="00C61AD7"/>
    <w:rsid w:val="00C62372"/>
    <w:rsid w:val="00C6267D"/>
    <w:rsid w:val="00C628CB"/>
    <w:rsid w:val="00C62B68"/>
    <w:rsid w:val="00C62C64"/>
    <w:rsid w:val="00C62D18"/>
    <w:rsid w:val="00C62E3E"/>
    <w:rsid w:val="00C62F9B"/>
    <w:rsid w:val="00C63291"/>
    <w:rsid w:val="00C63385"/>
    <w:rsid w:val="00C634D9"/>
    <w:rsid w:val="00C63A7F"/>
    <w:rsid w:val="00C63BC1"/>
    <w:rsid w:val="00C63D7B"/>
    <w:rsid w:val="00C63E19"/>
    <w:rsid w:val="00C63ECC"/>
    <w:rsid w:val="00C63F38"/>
    <w:rsid w:val="00C6435A"/>
    <w:rsid w:val="00C6489C"/>
    <w:rsid w:val="00C64AA0"/>
    <w:rsid w:val="00C64BA4"/>
    <w:rsid w:val="00C64C20"/>
    <w:rsid w:val="00C64EAE"/>
    <w:rsid w:val="00C65005"/>
    <w:rsid w:val="00C6515E"/>
    <w:rsid w:val="00C65225"/>
    <w:rsid w:val="00C6554E"/>
    <w:rsid w:val="00C657F7"/>
    <w:rsid w:val="00C65B05"/>
    <w:rsid w:val="00C65B06"/>
    <w:rsid w:val="00C65B70"/>
    <w:rsid w:val="00C65C23"/>
    <w:rsid w:val="00C66160"/>
    <w:rsid w:val="00C66223"/>
    <w:rsid w:val="00C665B7"/>
    <w:rsid w:val="00C66763"/>
    <w:rsid w:val="00C66867"/>
    <w:rsid w:val="00C6697E"/>
    <w:rsid w:val="00C66BEE"/>
    <w:rsid w:val="00C66D23"/>
    <w:rsid w:val="00C66D57"/>
    <w:rsid w:val="00C66ED6"/>
    <w:rsid w:val="00C6733A"/>
    <w:rsid w:val="00C67787"/>
    <w:rsid w:val="00C67805"/>
    <w:rsid w:val="00C67D7A"/>
    <w:rsid w:val="00C706D5"/>
    <w:rsid w:val="00C708D5"/>
    <w:rsid w:val="00C70BFA"/>
    <w:rsid w:val="00C70D66"/>
    <w:rsid w:val="00C71ADC"/>
    <w:rsid w:val="00C71D40"/>
    <w:rsid w:val="00C71EA9"/>
    <w:rsid w:val="00C720B6"/>
    <w:rsid w:val="00C721AC"/>
    <w:rsid w:val="00C72626"/>
    <w:rsid w:val="00C72685"/>
    <w:rsid w:val="00C7273D"/>
    <w:rsid w:val="00C729B4"/>
    <w:rsid w:val="00C72B04"/>
    <w:rsid w:val="00C72C27"/>
    <w:rsid w:val="00C72C42"/>
    <w:rsid w:val="00C72D2B"/>
    <w:rsid w:val="00C7344E"/>
    <w:rsid w:val="00C7358B"/>
    <w:rsid w:val="00C73675"/>
    <w:rsid w:val="00C73725"/>
    <w:rsid w:val="00C73805"/>
    <w:rsid w:val="00C73E09"/>
    <w:rsid w:val="00C73EC4"/>
    <w:rsid w:val="00C749E3"/>
    <w:rsid w:val="00C74BD6"/>
    <w:rsid w:val="00C75039"/>
    <w:rsid w:val="00C75604"/>
    <w:rsid w:val="00C75873"/>
    <w:rsid w:val="00C75BAD"/>
    <w:rsid w:val="00C75C64"/>
    <w:rsid w:val="00C75F67"/>
    <w:rsid w:val="00C763E0"/>
    <w:rsid w:val="00C76519"/>
    <w:rsid w:val="00C766BD"/>
    <w:rsid w:val="00C76798"/>
    <w:rsid w:val="00C76950"/>
    <w:rsid w:val="00C76A6C"/>
    <w:rsid w:val="00C76A96"/>
    <w:rsid w:val="00C76B5A"/>
    <w:rsid w:val="00C76F42"/>
    <w:rsid w:val="00C7751B"/>
    <w:rsid w:val="00C77576"/>
    <w:rsid w:val="00C775B9"/>
    <w:rsid w:val="00C777C9"/>
    <w:rsid w:val="00C77C48"/>
    <w:rsid w:val="00C8012C"/>
    <w:rsid w:val="00C802CB"/>
    <w:rsid w:val="00C804E7"/>
    <w:rsid w:val="00C80832"/>
    <w:rsid w:val="00C80842"/>
    <w:rsid w:val="00C808D6"/>
    <w:rsid w:val="00C80B52"/>
    <w:rsid w:val="00C80D60"/>
    <w:rsid w:val="00C81097"/>
    <w:rsid w:val="00C8125A"/>
    <w:rsid w:val="00C812FC"/>
    <w:rsid w:val="00C8145A"/>
    <w:rsid w:val="00C81770"/>
    <w:rsid w:val="00C819A4"/>
    <w:rsid w:val="00C81B2A"/>
    <w:rsid w:val="00C81DC5"/>
    <w:rsid w:val="00C81EFD"/>
    <w:rsid w:val="00C81F7D"/>
    <w:rsid w:val="00C8256D"/>
    <w:rsid w:val="00C82853"/>
    <w:rsid w:val="00C82BED"/>
    <w:rsid w:val="00C83072"/>
    <w:rsid w:val="00C8332F"/>
    <w:rsid w:val="00C83A69"/>
    <w:rsid w:val="00C83AF8"/>
    <w:rsid w:val="00C83C06"/>
    <w:rsid w:val="00C83FDB"/>
    <w:rsid w:val="00C841A0"/>
    <w:rsid w:val="00C845E0"/>
    <w:rsid w:val="00C84B9B"/>
    <w:rsid w:val="00C84C4F"/>
    <w:rsid w:val="00C84E34"/>
    <w:rsid w:val="00C84E55"/>
    <w:rsid w:val="00C84EFA"/>
    <w:rsid w:val="00C85060"/>
    <w:rsid w:val="00C856FC"/>
    <w:rsid w:val="00C85D84"/>
    <w:rsid w:val="00C867AE"/>
    <w:rsid w:val="00C868B0"/>
    <w:rsid w:val="00C86C0E"/>
    <w:rsid w:val="00C87268"/>
    <w:rsid w:val="00C87604"/>
    <w:rsid w:val="00C8784A"/>
    <w:rsid w:val="00C87886"/>
    <w:rsid w:val="00C87920"/>
    <w:rsid w:val="00C87D7C"/>
    <w:rsid w:val="00C87DA9"/>
    <w:rsid w:val="00C87ED6"/>
    <w:rsid w:val="00C87FEE"/>
    <w:rsid w:val="00C9012B"/>
    <w:rsid w:val="00C901A2"/>
    <w:rsid w:val="00C9030B"/>
    <w:rsid w:val="00C9032A"/>
    <w:rsid w:val="00C9096F"/>
    <w:rsid w:val="00C90A44"/>
    <w:rsid w:val="00C90D6A"/>
    <w:rsid w:val="00C90FA4"/>
    <w:rsid w:val="00C913BC"/>
    <w:rsid w:val="00C9144B"/>
    <w:rsid w:val="00C91561"/>
    <w:rsid w:val="00C916B2"/>
    <w:rsid w:val="00C918E8"/>
    <w:rsid w:val="00C91906"/>
    <w:rsid w:val="00C91B3D"/>
    <w:rsid w:val="00C921DC"/>
    <w:rsid w:val="00C925DB"/>
    <w:rsid w:val="00C92AC3"/>
    <w:rsid w:val="00C92DD8"/>
    <w:rsid w:val="00C9307E"/>
    <w:rsid w:val="00C935F7"/>
    <w:rsid w:val="00C93A87"/>
    <w:rsid w:val="00C93C7B"/>
    <w:rsid w:val="00C93CF7"/>
    <w:rsid w:val="00C942C2"/>
    <w:rsid w:val="00C9450E"/>
    <w:rsid w:val="00C9453F"/>
    <w:rsid w:val="00C94FB3"/>
    <w:rsid w:val="00C950F5"/>
    <w:rsid w:val="00C9515E"/>
    <w:rsid w:val="00C9517C"/>
    <w:rsid w:val="00C952CD"/>
    <w:rsid w:val="00C952EE"/>
    <w:rsid w:val="00C9548C"/>
    <w:rsid w:val="00C95684"/>
    <w:rsid w:val="00C957A6"/>
    <w:rsid w:val="00C957CC"/>
    <w:rsid w:val="00C95C8E"/>
    <w:rsid w:val="00C95F29"/>
    <w:rsid w:val="00C95F2B"/>
    <w:rsid w:val="00C9648A"/>
    <w:rsid w:val="00C966F8"/>
    <w:rsid w:val="00C96803"/>
    <w:rsid w:val="00C969EA"/>
    <w:rsid w:val="00C97067"/>
    <w:rsid w:val="00C971E2"/>
    <w:rsid w:val="00C97223"/>
    <w:rsid w:val="00C9741B"/>
    <w:rsid w:val="00C975F6"/>
    <w:rsid w:val="00C9784E"/>
    <w:rsid w:val="00C97A11"/>
    <w:rsid w:val="00C97BF6"/>
    <w:rsid w:val="00C97CC9"/>
    <w:rsid w:val="00CA059B"/>
    <w:rsid w:val="00CA065F"/>
    <w:rsid w:val="00CA09A4"/>
    <w:rsid w:val="00CA1109"/>
    <w:rsid w:val="00CA111E"/>
    <w:rsid w:val="00CA1185"/>
    <w:rsid w:val="00CA16C1"/>
    <w:rsid w:val="00CA1AA9"/>
    <w:rsid w:val="00CA1EB6"/>
    <w:rsid w:val="00CA1F3C"/>
    <w:rsid w:val="00CA217F"/>
    <w:rsid w:val="00CA21F7"/>
    <w:rsid w:val="00CA247E"/>
    <w:rsid w:val="00CA2A06"/>
    <w:rsid w:val="00CA2A7E"/>
    <w:rsid w:val="00CA2BC3"/>
    <w:rsid w:val="00CA2C46"/>
    <w:rsid w:val="00CA2C5C"/>
    <w:rsid w:val="00CA3086"/>
    <w:rsid w:val="00CA30B4"/>
    <w:rsid w:val="00CA342E"/>
    <w:rsid w:val="00CA3477"/>
    <w:rsid w:val="00CA37BD"/>
    <w:rsid w:val="00CA3840"/>
    <w:rsid w:val="00CA38E8"/>
    <w:rsid w:val="00CA3CE3"/>
    <w:rsid w:val="00CA3E3D"/>
    <w:rsid w:val="00CA4319"/>
    <w:rsid w:val="00CA451B"/>
    <w:rsid w:val="00CA4533"/>
    <w:rsid w:val="00CA467C"/>
    <w:rsid w:val="00CA4818"/>
    <w:rsid w:val="00CA48A0"/>
    <w:rsid w:val="00CA49D4"/>
    <w:rsid w:val="00CA4B4B"/>
    <w:rsid w:val="00CA4CBC"/>
    <w:rsid w:val="00CA4D9A"/>
    <w:rsid w:val="00CA4FF1"/>
    <w:rsid w:val="00CA56BF"/>
    <w:rsid w:val="00CA5787"/>
    <w:rsid w:val="00CA64B2"/>
    <w:rsid w:val="00CA6AAA"/>
    <w:rsid w:val="00CA6BDD"/>
    <w:rsid w:val="00CA6D21"/>
    <w:rsid w:val="00CA6DE3"/>
    <w:rsid w:val="00CA6E5C"/>
    <w:rsid w:val="00CA6ED4"/>
    <w:rsid w:val="00CA6FB6"/>
    <w:rsid w:val="00CA6FDC"/>
    <w:rsid w:val="00CA730C"/>
    <w:rsid w:val="00CA7313"/>
    <w:rsid w:val="00CA7318"/>
    <w:rsid w:val="00CA79F6"/>
    <w:rsid w:val="00CA79FE"/>
    <w:rsid w:val="00CA7C39"/>
    <w:rsid w:val="00CA9BB7"/>
    <w:rsid w:val="00CB004B"/>
    <w:rsid w:val="00CB026B"/>
    <w:rsid w:val="00CB03FA"/>
    <w:rsid w:val="00CB0980"/>
    <w:rsid w:val="00CB0C11"/>
    <w:rsid w:val="00CB17B1"/>
    <w:rsid w:val="00CB17E1"/>
    <w:rsid w:val="00CB1931"/>
    <w:rsid w:val="00CB1B18"/>
    <w:rsid w:val="00CB1B5D"/>
    <w:rsid w:val="00CB1BA7"/>
    <w:rsid w:val="00CB1CEB"/>
    <w:rsid w:val="00CB1DE2"/>
    <w:rsid w:val="00CB2497"/>
    <w:rsid w:val="00CB2595"/>
    <w:rsid w:val="00CB2805"/>
    <w:rsid w:val="00CB2A88"/>
    <w:rsid w:val="00CB2BF5"/>
    <w:rsid w:val="00CB2C17"/>
    <w:rsid w:val="00CB2E58"/>
    <w:rsid w:val="00CB2FBD"/>
    <w:rsid w:val="00CB3409"/>
    <w:rsid w:val="00CB378D"/>
    <w:rsid w:val="00CB3A25"/>
    <w:rsid w:val="00CB3B2B"/>
    <w:rsid w:val="00CB3C67"/>
    <w:rsid w:val="00CB3C6C"/>
    <w:rsid w:val="00CB3C8C"/>
    <w:rsid w:val="00CB4095"/>
    <w:rsid w:val="00CB4099"/>
    <w:rsid w:val="00CB41C4"/>
    <w:rsid w:val="00CB462F"/>
    <w:rsid w:val="00CB477B"/>
    <w:rsid w:val="00CB485D"/>
    <w:rsid w:val="00CB4A9A"/>
    <w:rsid w:val="00CB4EF7"/>
    <w:rsid w:val="00CB5335"/>
    <w:rsid w:val="00CB546D"/>
    <w:rsid w:val="00CB5653"/>
    <w:rsid w:val="00CB56A1"/>
    <w:rsid w:val="00CB56E3"/>
    <w:rsid w:val="00CB5A03"/>
    <w:rsid w:val="00CB5E10"/>
    <w:rsid w:val="00CB5E72"/>
    <w:rsid w:val="00CB5F47"/>
    <w:rsid w:val="00CB60B4"/>
    <w:rsid w:val="00CB61B4"/>
    <w:rsid w:val="00CB637E"/>
    <w:rsid w:val="00CB64E5"/>
    <w:rsid w:val="00CB655A"/>
    <w:rsid w:val="00CB6817"/>
    <w:rsid w:val="00CB6FD2"/>
    <w:rsid w:val="00CB700E"/>
    <w:rsid w:val="00CB7072"/>
    <w:rsid w:val="00CB71D2"/>
    <w:rsid w:val="00CB79E2"/>
    <w:rsid w:val="00CB7A43"/>
    <w:rsid w:val="00CB7B34"/>
    <w:rsid w:val="00CC051F"/>
    <w:rsid w:val="00CC0869"/>
    <w:rsid w:val="00CC0917"/>
    <w:rsid w:val="00CC0AD8"/>
    <w:rsid w:val="00CC0C1C"/>
    <w:rsid w:val="00CC0D35"/>
    <w:rsid w:val="00CC0DCB"/>
    <w:rsid w:val="00CC0E21"/>
    <w:rsid w:val="00CC1070"/>
    <w:rsid w:val="00CC1476"/>
    <w:rsid w:val="00CC14FA"/>
    <w:rsid w:val="00CC1760"/>
    <w:rsid w:val="00CC1863"/>
    <w:rsid w:val="00CC18AB"/>
    <w:rsid w:val="00CC1B64"/>
    <w:rsid w:val="00CC1C1E"/>
    <w:rsid w:val="00CC1DC3"/>
    <w:rsid w:val="00CC1EE3"/>
    <w:rsid w:val="00CC1FA9"/>
    <w:rsid w:val="00CC25F3"/>
    <w:rsid w:val="00CC30FF"/>
    <w:rsid w:val="00CC316A"/>
    <w:rsid w:val="00CC3195"/>
    <w:rsid w:val="00CC327B"/>
    <w:rsid w:val="00CC37E7"/>
    <w:rsid w:val="00CC3A66"/>
    <w:rsid w:val="00CC3A7D"/>
    <w:rsid w:val="00CC3AFD"/>
    <w:rsid w:val="00CC40B3"/>
    <w:rsid w:val="00CC413B"/>
    <w:rsid w:val="00CC4452"/>
    <w:rsid w:val="00CC4590"/>
    <w:rsid w:val="00CC47A0"/>
    <w:rsid w:val="00CC48B2"/>
    <w:rsid w:val="00CC49B7"/>
    <w:rsid w:val="00CC50AF"/>
    <w:rsid w:val="00CC50CC"/>
    <w:rsid w:val="00CC53AC"/>
    <w:rsid w:val="00CC5A46"/>
    <w:rsid w:val="00CC5B50"/>
    <w:rsid w:val="00CC5D0C"/>
    <w:rsid w:val="00CC5D7A"/>
    <w:rsid w:val="00CC60C4"/>
    <w:rsid w:val="00CC632A"/>
    <w:rsid w:val="00CC659E"/>
    <w:rsid w:val="00CC6C31"/>
    <w:rsid w:val="00CC6F90"/>
    <w:rsid w:val="00CC6FF0"/>
    <w:rsid w:val="00CC71BF"/>
    <w:rsid w:val="00CC72B6"/>
    <w:rsid w:val="00CC737E"/>
    <w:rsid w:val="00CC7A5C"/>
    <w:rsid w:val="00CC7BC0"/>
    <w:rsid w:val="00CC7C71"/>
    <w:rsid w:val="00CD0048"/>
    <w:rsid w:val="00CD00AE"/>
    <w:rsid w:val="00CD00CB"/>
    <w:rsid w:val="00CD1052"/>
    <w:rsid w:val="00CD1138"/>
    <w:rsid w:val="00CD1266"/>
    <w:rsid w:val="00CD1295"/>
    <w:rsid w:val="00CD1E06"/>
    <w:rsid w:val="00CD1F53"/>
    <w:rsid w:val="00CD2016"/>
    <w:rsid w:val="00CD239A"/>
    <w:rsid w:val="00CD23EC"/>
    <w:rsid w:val="00CD2489"/>
    <w:rsid w:val="00CD2531"/>
    <w:rsid w:val="00CD259D"/>
    <w:rsid w:val="00CD266E"/>
    <w:rsid w:val="00CD26E9"/>
    <w:rsid w:val="00CD2A05"/>
    <w:rsid w:val="00CD2CD6"/>
    <w:rsid w:val="00CD385C"/>
    <w:rsid w:val="00CD3A4F"/>
    <w:rsid w:val="00CD41B5"/>
    <w:rsid w:val="00CD442F"/>
    <w:rsid w:val="00CD44F9"/>
    <w:rsid w:val="00CD4A9F"/>
    <w:rsid w:val="00CD4BDC"/>
    <w:rsid w:val="00CD4C5D"/>
    <w:rsid w:val="00CD4CDE"/>
    <w:rsid w:val="00CD4DA1"/>
    <w:rsid w:val="00CD4E18"/>
    <w:rsid w:val="00CD5141"/>
    <w:rsid w:val="00CD5168"/>
    <w:rsid w:val="00CD52A6"/>
    <w:rsid w:val="00CD5498"/>
    <w:rsid w:val="00CD5513"/>
    <w:rsid w:val="00CD55E0"/>
    <w:rsid w:val="00CD58A1"/>
    <w:rsid w:val="00CD6757"/>
    <w:rsid w:val="00CD6767"/>
    <w:rsid w:val="00CD68C3"/>
    <w:rsid w:val="00CD6B53"/>
    <w:rsid w:val="00CD70A4"/>
    <w:rsid w:val="00CD76FA"/>
    <w:rsid w:val="00CD772A"/>
    <w:rsid w:val="00CD77B1"/>
    <w:rsid w:val="00CD77CC"/>
    <w:rsid w:val="00CD7A54"/>
    <w:rsid w:val="00CD7F2C"/>
    <w:rsid w:val="00CE00BD"/>
    <w:rsid w:val="00CE0159"/>
    <w:rsid w:val="00CE01C1"/>
    <w:rsid w:val="00CE037E"/>
    <w:rsid w:val="00CE04D6"/>
    <w:rsid w:val="00CE08C3"/>
    <w:rsid w:val="00CE0990"/>
    <w:rsid w:val="00CE1143"/>
    <w:rsid w:val="00CE123C"/>
    <w:rsid w:val="00CE129A"/>
    <w:rsid w:val="00CE14F6"/>
    <w:rsid w:val="00CE16FD"/>
    <w:rsid w:val="00CE18A2"/>
    <w:rsid w:val="00CE18E1"/>
    <w:rsid w:val="00CE191E"/>
    <w:rsid w:val="00CE1BC6"/>
    <w:rsid w:val="00CE1F76"/>
    <w:rsid w:val="00CE249F"/>
    <w:rsid w:val="00CE24AD"/>
    <w:rsid w:val="00CE264B"/>
    <w:rsid w:val="00CE28BD"/>
    <w:rsid w:val="00CE2F61"/>
    <w:rsid w:val="00CE3049"/>
    <w:rsid w:val="00CE3603"/>
    <w:rsid w:val="00CE3825"/>
    <w:rsid w:val="00CE393E"/>
    <w:rsid w:val="00CE3B47"/>
    <w:rsid w:val="00CE3C1E"/>
    <w:rsid w:val="00CE3D68"/>
    <w:rsid w:val="00CE3E2B"/>
    <w:rsid w:val="00CE46C0"/>
    <w:rsid w:val="00CE4819"/>
    <w:rsid w:val="00CE4AB3"/>
    <w:rsid w:val="00CE4BDE"/>
    <w:rsid w:val="00CE57CC"/>
    <w:rsid w:val="00CE5BE9"/>
    <w:rsid w:val="00CE6033"/>
    <w:rsid w:val="00CE61EE"/>
    <w:rsid w:val="00CE6893"/>
    <w:rsid w:val="00CE68C5"/>
    <w:rsid w:val="00CE6963"/>
    <w:rsid w:val="00CE6A28"/>
    <w:rsid w:val="00CE7214"/>
    <w:rsid w:val="00CE7392"/>
    <w:rsid w:val="00CE743E"/>
    <w:rsid w:val="00CE7560"/>
    <w:rsid w:val="00CE7584"/>
    <w:rsid w:val="00CE76AF"/>
    <w:rsid w:val="00CE77BD"/>
    <w:rsid w:val="00CE7940"/>
    <w:rsid w:val="00CE7B16"/>
    <w:rsid w:val="00CE7C0E"/>
    <w:rsid w:val="00CE7C6A"/>
    <w:rsid w:val="00CF0242"/>
    <w:rsid w:val="00CF0400"/>
    <w:rsid w:val="00CF051A"/>
    <w:rsid w:val="00CF0624"/>
    <w:rsid w:val="00CF087A"/>
    <w:rsid w:val="00CF0AB5"/>
    <w:rsid w:val="00CF0B71"/>
    <w:rsid w:val="00CF0D63"/>
    <w:rsid w:val="00CF1290"/>
    <w:rsid w:val="00CF1293"/>
    <w:rsid w:val="00CF142D"/>
    <w:rsid w:val="00CF153D"/>
    <w:rsid w:val="00CF15DF"/>
    <w:rsid w:val="00CF163D"/>
    <w:rsid w:val="00CF1830"/>
    <w:rsid w:val="00CF1AAB"/>
    <w:rsid w:val="00CF1B8D"/>
    <w:rsid w:val="00CF1CBB"/>
    <w:rsid w:val="00CF2234"/>
    <w:rsid w:val="00CF243B"/>
    <w:rsid w:val="00CF2486"/>
    <w:rsid w:val="00CF2774"/>
    <w:rsid w:val="00CF2F40"/>
    <w:rsid w:val="00CF3406"/>
    <w:rsid w:val="00CF343D"/>
    <w:rsid w:val="00CF3602"/>
    <w:rsid w:val="00CF3A14"/>
    <w:rsid w:val="00CF3C55"/>
    <w:rsid w:val="00CF4438"/>
    <w:rsid w:val="00CF4550"/>
    <w:rsid w:val="00CF4685"/>
    <w:rsid w:val="00CF51DC"/>
    <w:rsid w:val="00CF51E0"/>
    <w:rsid w:val="00CF5318"/>
    <w:rsid w:val="00CF53A0"/>
    <w:rsid w:val="00CF5452"/>
    <w:rsid w:val="00CF5578"/>
    <w:rsid w:val="00CF55D6"/>
    <w:rsid w:val="00CF56BD"/>
    <w:rsid w:val="00CF57F2"/>
    <w:rsid w:val="00CF5992"/>
    <w:rsid w:val="00CF5AE3"/>
    <w:rsid w:val="00CF5B26"/>
    <w:rsid w:val="00CF5BED"/>
    <w:rsid w:val="00CF5C06"/>
    <w:rsid w:val="00CF5EA2"/>
    <w:rsid w:val="00CF63A0"/>
    <w:rsid w:val="00CF66C4"/>
    <w:rsid w:val="00CF685E"/>
    <w:rsid w:val="00CF6D14"/>
    <w:rsid w:val="00CF6D5C"/>
    <w:rsid w:val="00CF746C"/>
    <w:rsid w:val="00CF75AB"/>
    <w:rsid w:val="00CF784C"/>
    <w:rsid w:val="00CF7883"/>
    <w:rsid w:val="00CF79E8"/>
    <w:rsid w:val="00CF7BCC"/>
    <w:rsid w:val="00CF7EF9"/>
    <w:rsid w:val="00D0000F"/>
    <w:rsid w:val="00D004C5"/>
    <w:rsid w:val="00D00E93"/>
    <w:rsid w:val="00D00F86"/>
    <w:rsid w:val="00D00FF3"/>
    <w:rsid w:val="00D011D8"/>
    <w:rsid w:val="00D01213"/>
    <w:rsid w:val="00D013BA"/>
    <w:rsid w:val="00D0181E"/>
    <w:rsid w:val="00D01B97"/>
    <w:rsid w:val="00D01CE9"/>
    <w:rsid w:val="00D01D06"/>
    <w:rsid w:val="00D01E65"/>
    <w:rsid w:val="00D01F86"/>
    <w:rsid w:val="00D02169"/>
    <w:rsid w:val="00D0218D"/>
    <w:rsid w:val="00D02545"/>
    <w:rsid w:val="00D025E7"/>
    <w:rsid w:val="00D02606"/>
    <w:rsid w:val="00D02AAF"/>
    <w:rsid w:val="00D02CA7"/>
    <w:rsid w:val="00D02DC0"/>
    <w:rsid w:val="00D03093"/>
    <w:rsid w:val="00D03605"/>
    <w:rsid w:val="00D036CC"/>
    <w:rsid w:val="00D0377D"/>
    <w:rsid w:val="00D0397F"/>
    <w:rsid w:val="00D03A62"/>
    <w:rsid w:val="00D03D27"/>
    <w:rsid w:val="00D04495"/>
    <w:rsid w:val="00D045FD"/>
    <w:rsid w:val="00D046C5"/>
    <w:rsid w:val="00D04F39"/>
    <w:rsid w:val="00D05206"/>
    <w:rsid w:val="00D0529C"/>
    <w:rsid w:val="00D0561D"/>
    <w:rsid w:val="00D056CE"/>
    <w:rsid w:val="00D056FC"/>
    <w:rsid w:val="00D057A0"/>
    <w:rsid w:val="00D057A8"/>
    <w:rsid w:val="00D05953"/>
    <w:rsid w:val="00D0597F"/>
    <w:rsid w:val="00D05D5E"/>
    <w:rsid w:val="00D05F50"/>
    <w:rsid w:val="00D0608D"/>
    <w:rsid w:val="00D0619C"/>
    <w:rsid w:val="00D061D1"/>
    <w:rsid w:val="00D06302"/>
    <w:rsid w:val="00D06527"/>
    <w:rsid w:val="00D069FD"/>
    <w:rsid w:val="00D06CED"/>
    <w:rsid w:val="00D06D74"/>
    <w:rsid w:val="00D06F78"/>
    <w:rsid w:val="00D06FE5"/>
    <w:rsid w:val="00D0770E"/>
    <w:rsid w:val="00D077D7"/>
    <w:rsid w:val="00D0794B"/>
    <w:rsid w:val="00D07B38"/>
    <w:rsid w:val="00D07C02"/>
    <w:rsid w:val="00D07C6C"/>
    <w:rsid w:val="00D07D91"/>
    <w:rsid w:val="00D07EB2"/>
    <w:rsid w:val="00D07FFB"/>
    <w:rsid w:val="00D08807"/>
    <w:rsid w:val="00D10034"/>
    <w:rsid w:val="00D10258"/>
    <w:rsid w:val="00D10315"/>
    <w:rsid w:val="00D1049A"/>
    <w:rsid w:val="00D106D3"/>
    <w:rsid w:val="00D107B6"/>
    <w:rsid w:val="00D10819"/>
    <w:rsid w:val="00D10E88"/>
    <w:rsid w:val="00D1110B"/>
    <w:rsid w:val="00D11182"/>
    <w:rsid w:val="00D112A3"/>
    <w:rsid w:val="00D11463"/>
    <w:rsid w:val="00D11481"/>
    <w:rsid w:val="00D117A7"/>
    <w:rsid w:val="00D118FE"/>
    <w:rsid w:val="00D11C9F"/>
    <w:rsid w:val="00D11CA0"/>
    <w:rsid w:val="00D12268"/>
    <w:rsid w:val="00D1232E"/>
    <w:rsid w:val="00D12341"/>
    <w:rsid w:val="00D123C9"/>
    <w:rsid w:val="00D130B8"/>
    <w:rsid w:val="00D13221"/>
    <w:rsid w:val="00D132E8"/>
    <w:rsid w:val="00D13718"/>
    <w:rsid w:val="00D1374B"/>
    <w:rsid w:val="00D13804"/>
    <w:rsid w:val="00D13AC5"/>
    <w:rsid w:val="00D13DCE"/>
    <w:rsid w:val="00D141A0"/>
    <w:rsid w:val="00D143B9"/>
    <w:rsid w:val="00D14667"/>
    <w:rsid w:val="00D1474C"/>
    <w:rsid w:val="00D147E4"/>
    <w:rsid w:val="00D14A21"/>
    <w:rsid w:val="00D14B7D"/>
    <w:rsid w:val="00D14CB2"/>
    <w:rsid w:val="00D14DE8"/>
    <w:rsid w:val="00D15177"/>
    <w:rsid w:val="00D15230"/>
    <w:rsid w:val="00D15542"/>
    <w:rsid w:val="00D156D5"/>
    <w:rsid w:val="00D15787"/>
    <w:rsid w:val="00D157BF"/>
    <w:rsid w:val="00D15B64"/>
    <w:rsid w:val="00D15E42"/>
    <w:rsid w:val="00D160C9"/>
    <w:rsid w:val="00D1617F"/>
    <w:rsid w:val="00D1635B"/>
    <w:rsid w:val="00D16C39"/>
    <w:rsid w:val="00D16F09"/>
    <w:rsid w:val="00D1743A"/>
    <w:rsid w:val="00D174D2"/>
    <w:rsid w:val="00D174EA"/>
    <w:rsid w:val="00D175DF"/>
    <w:rsid w:val="00D176FD"/>
    <w:rsid w:val="00D17CAC"/>
    <w:rsid w:val="00D20186"/>
    <w:rsid w:val="00D201AA"/>
    <w:rsid w:val="00D2020F"/>
    <w:rsid w:val="00D20503"/>
    <w:rsid w:val="00D208DF"/>
    <w:rsid w:val="00D20F79"/>
    <w:rsid w:val="00D210D6"/>
    <w:rsid w:val="00D210DD"/>
    <w:rsid w:val="00D210E7"/>
    <w:rsid w:val="00D211CA"/>
    <w:rsid w:val="00D21407"/>
    <w:rsid w:val="00D217F4"/>
    <w:rsid w:val="00D21A0A"/>
    <w:rsid w:val="00D21DD7"/>
    <w:rsid w:val="00D22147"/>
    <w:rsid w:val="00D22250"/>
    <w:rsid w:val="00D22566"/>
    <w:rsid w:val="00D22C26"/>
    <w:rsid w:val="00D22F6B"/>
    <w:rsid w:val="00D233CC"/>
    <w:rsid w:val="00D237CD"/>
    <w:rsid w:val="00D24031"/>
    <w:rsid w:val="00D2446A"/>
    <w:rsid w:val="00D245FE"/>
    <w:rsid w:val="00D246E0"/>
    <w:rsid w:val="00D246F7"/>
    <w:rsid w:val="00D24895"/>
    <w:rsid w:val="00D24B05"/>
    <w:rsid w:val="00D2520E"/>
    <w:rsid w:val="00D25213"/>
    <w:rsid w:val="00D2526C"/>
    <w:rsid w:val="00D256EE"/>
    <w:rsid w:val="00D25E54"/>
    <w:rsid w:val="00D25F1C"/>
    <w:rsid w:val="00D25FB5"/>
    <w:rsid w:val="00D269BB"/>
    <w:rsid w:val="00D26B46"/>
    <w:rsid w:val="00D26C52"/>
    <w:rsid w:val="00D270C4"/>
    <w:rsid w:val="00D272A9"/>
    <w:rsid w:val="00D2793F"/>
    <w:rsid w:val="00D27B77"/>
    <w:rsid w:val="00D27E58"/>
    <w:rsid w:val="00D27F7F"/>
    <w:rsid w:val="00D27FDE"/>
    <w:rsid w:val="00D30079"/>
    <w:rsid w:val="00D302E5"/>
    <w:rsid w:val="00D308CE"/>
    <w:rsid w:val="00D308EE"/>
    <w:rsid w:val="00D3090F"/>
    <w:rsid w:val="00D3099D"/>
    <w:rsid w:val="00D30E0D"/>
    <w:rsid w:val="00D311AF"/>
    <w:rsid w:val="00D314F8"/>
    <w:rsid w:val="00D315AA"/>
    <w:rsid w:val="00D31967"/>
    <w:rsid w:val="00D31A85"/>
    <w:rsid w:val="00D31CCC"/>
    <w:rsid w:val="00D31D6F"/>
    <w:rsid w:val="00D31DCE"/>
    <w:rsid w:val="00D31F93"/>
    <w:rsid w:val="00D3205D"/>
    <w:rsid w:val="00D327BA"/>
    <w:rsid w:val="00D329C3"/>
    <w:rsid w:val="00D329E9"/>
    <w:rsid w:val="00D32C89"/>
    <w:rsid w:val="00D33073"/>
    <w:rsid w:val="00D3326F"/>
    <w:rsid w:val="00D33444"/>
    <w:rsid w:val="00D33666"/>
    <w:rsid w:val="00D336AE"/>
    <w:rsid w:val="00D3398A"/>
    <w:rsid w:val="00D33A20"/>
    <w:rsid w:val="00D33A94"/>
    <w:rsid w:val="00D33BBE"/>
    <w:rsid w:val="00D33CA7"/>
    <w:rsid w:val="00D33DB2"/>
    <w:rsid w:val="00D33F13"/>
    <w:rsid w:val="00D33FFF"/>
    <w:rsid w:val="00D345EC"/>
    <w:rsid w:val="00D34AE9"/>
    <w:rsid w:val="00D34B09"/>
    <w:rsid w:val="00D34F3A"/>
    <w:rsid w:val="00D3509A"/>
    <w:rsid w:val="00D3543A"/>
    <w:rsid w:val="00D35461"/>
    <w:rsid w:val="00D35776"/>
    <w:rsid w:val="00D357D2"/>
    <w:rsid w:val="00D35B63"/>
    <w:rsid w:val="00D35C7E"/>
    <w:rsid w:val="00D368DD"/>
    <w:rsid w:val="00D37242"/>
    <w:rsid w:val="00D37524"/>
    <w:rsid w:val="00D375DA"/>
    <w:rsid w:val="00D40190"/>
    <w:rsid w:val="00D40232"/>
    <w:rsid w:val="00D40352"/>
    <w:rsid w:val="00D405E4"/>
    <w:rsid w:val="00D40AF5"/>
    <w:rsid w:val="00D40F03"/>
    <w:rsid w:val="00D40FA3"/>
    <w:rsid w:val="00D41460"/>
    <w:rsid w:val="00D41549"/>
    <w:rsid w:val="00D415EB"/>
    <w:rsid w:val="00D41635"/>
    <w:rsid w:val="00D4165F"/>
    <w:rsid w:val="00D4167D"/>
    <w:rsid w:val="00D41DC0"/>
    <w:rsid w:val="00D4209A"/>
    <w:rsid w:val="00D42331"/>
    <w:rsid w:val="00D424CC"/>
    <w:rsid w:val="00D424D1"/>
    <w:rsid w:val="00D4277E"/>
    <w:rsid w:val="00D4282E"/>
    <w:rsid w:val="00D42B37"/>
    <w:rsid w:val="00D42B91"/>
    <w:rsid w:val="00D42DE8"/>
    <w:rsid w:val="00D42F27"/>
    <w:rsid w:val="00D42F59"/>
    <w:rsid w:val="00D430D4"/>
    <w:rsid w:val="00D4358D"/>
    <w:rsid w:val="00D435DF"/>
    <w:rsid w:val="00D438F8"/>
    <w:rsid w:val="00D44223"/>
    <w:rsid w:val="00D443F2"/>
    <w:rsid w:val="00D44614"/>
    <w:rsid w:val="00D44674"/>
    <w:rsid w:val="00D44D05"/>
    <w:rsid w:val="00D45548"/>
    <w:rsid w:val="00D45599"/>
    <w:rsid w:val="00D455C7"/>
    <w:rsid w:val="00D457FD"/>
    <w:rsid w:val="00D458FF"/>
    <w:rsid w:val="00D45C67"/>
    <w:rsid w:val="00D45E0B"/>
    <w:rsid w:val="00D45EBD"/>
    <w:rsid w:val="00D46137"/>
    <w:rsid w:val="00D46147"/>
    <w:rsid w:val="00D46234"/>
    <w:rsid w:val="00D464E7"/>
    <w:rsid w:val="00D46843"/>
    <w:rsid w:val="00D4691F"/>
    <w:rsid w:val="00D46C57"/>
    <w:rsid w:val="00D46C8A"/>
    <w:rsid w:val="00D46FDD"/>
    <w:rsid w:val="00D470F3"/>
    <w:rsid w:val="00D470FA"/>
    <w:rsid w:val="00D4719E"/>
    <w:rsid w:val="00D474DA"/>
    <w:rsid w:val="00D47617"/>
    <w:rsid w:val="00D47A33"/>
    <w:rsid w:val="00D47A3A"/>
    <w:rsid w:val="00D47B93"/>
    <w:rsid w:val="00D47E75"/>
    <w:rsid w:val="00D4B8CD"/>
    <w:rsid w:val="00D506A3"/>
    <w:rsid w:val="00D50984"/>
    <w:rsid w:val="00D50AF6"/>
    <w:rsid w:val="00D50CE0"/>
    <w:rsid w:val="00D50E4D"/>
    <w:rsid w:val="00D50FB3"/>
    <w:rsid w:val="00D513C5"/>
    <w:rsid w:val="00D517CB"/>
    <w:rsid w:val="00D519BF"/>
    <w:rsid w:val="00D51C0C"/>
    <w:rsid w:val="00D51DAE"/>
    <w:rsid w:val="00D51F54"/>
    <w:rsid w:val="00D52116"/>
    <w:rsid w:val="00D52120"/>
    <w:rsid w:val="00D52415"/>
    <w:rsid w:val="00D52482"/>
    <w:rsid w:val="00D5263D"/>
    <w:rsid w:val="00D52E95"/>
    <w:rsid w:val="00D53619"/>
    <w:rsid w:val="00D5363E"/>
    <w:rsid w:val="00D536B7"/>
    <w:rsid w:val="00D53918"/>
    <w:rsid w:val="00D53B9E"/>
    <w:rsid w:val="00D53E40"/>
    <w:rsid w:val="00D53F95"/>
    <w:rsid w:val="00D5443C"/>
    <w:rsid w:val="00D5443D"/>
    <w:rsid w:val="00D54569"/>
    <w:rsid w:val="00D546ED"/>
    <w:rsid w:val="00D54978"/>
    <w:rsid w:val="00D54ECD"/>
    <w:rsid w:val="00D54FB4"/>
    <w:rsid w:val="00D5518B"/>
    <w:rsid w:val="00D551E2"/>
    <w:rsid w:val="00D557D6"/>
    <w:rsid w:val="00D558BA"/>
    <w:rsid w:val="00D55949"/>
    <w:rsid w:val="00D55F55"/>
    <w:rsid w:val="00D5605C"/>
    <w:rsid w:val="00D56532"/>
    <w:rsid w:val="00D56E66"/>
    <w:rsid w:val="00D56FBB"/>
    <w:rsid w:val="00D5735E"/>
    <w:rsid w:val="00D573D9"/>
    <w:rsid w:val="00D574E8"/>
    <w:rsid w:val="00D57865"/>
    <w:rsid w:val="00D57F68"/>
    <w:rsid w:val="00D601D3"/>
    <w:rsid w:val="00D604A6"/>
    <w:rsid w:val="00D60723"/>
    <w:rsid w:val="00D608C7"/>
    <w:rsid w:val="00D60D10"/>
    <w:rsid w:val="00D60DE5"/>
    <w:rsid w:val="00D61084"/>
    <w:rsid w:val="00D612AD"/>
    <w:rsid w:val="00D6139B"/>
    <w:rsid w:val="00D6158F"/>
    <w:rsid w:val="00D61605"/>
    <w:rsid w:val="00D61789"/>
    <w:rsid w:val="00D6181F"/>
    <w:rsid w:val="00D618A0"/>
    <w:rsid w:val="00D61944"/>
    <w:rsid w:val="00D619A8"/>
    <w:rsid w:val="00D619EA"/>
    <w:rsid w:val="00D61B62"/>
    <w:rsid w:val="00D61B70"/>
    <w:rsid w:val="00D61B84"/>
    <w:rsid w:val="00D61C55"/>
    <w:rsid w:val="00D61E14"/>
    <w:rsid w:val="00D61E16"/>
    <w:rsid w:val="00D622A1"/>
    <w:rsid w:val="00D62335"/>
    <w:rsid w:val="00D62479"/>
    <w:rsid w:val="00D62AC5"/>
    <w:rsid w:val="00D62E02"/>
    <w:rsid w:val="00D62F48"/>
    <w:rsid w:val="00D631A6"/>
    <w:rsid w:val="00D6381D"/>
    <w:rsid w:val="00D63993"/>
    <w:rsid w:val="00D640E6"/>
    <w:rsid w:val="00D641F2"/>
    <w:rsid w:val="00D643C5"/>
    <w:rsid w:val="00D647A2"/>
    <w:rsid w:val="00D647F4"/>
    <w:rsid w:val="00D64C3C"/>
    <w:rsid w:val="00D64C91"/>
    <w:rsid w:val="00D65335"/>
    <w:rsid w:val="00D657A3"/>
    <w:rsid w:val="00D65A03"/>
    <w:rsid w:val="00D65AA4"/>
    <w:rsid w:val="00D65B63"/>
    <w:rsid w:val="00D65F73"/>
    <w:rsid w:val="00D660FD"/>
    <w:rsid w:val="00D66B9A"/>
    <w:rsid w:val="00D6703B"/>
    <w:rsid w:val="00D67551"/>
    <w:rsid w:val="00D676E0"/>
    <w:rsid w:val="00D67786"/>
    <w:rsid w:val="00D678AA"/>
    <w:rsid w:val="00D678B0"/>
    <w:rsid w:val="00D67A49"/>
    <w:rsid w:val="00D67B5E"/>
    <w:rsid w:val="00D67F45"/>
    <w:rsid w:val="00D7028B"/>
    <w:rsid w:val="00D7062E"/>
    <w:rsid w:val="00D7073F"/>
    <w:rsid w:val="00D70ACA"/>
    <w:rsid w:val="00D70C72"/>
    <w:rsid w:val="00D70F1F"/>
    <w:rsid w:val="00D710E1"/>
    <w:rsid w:val="00D712AC"/>
    <w:rsid w:val="00D71494"/>
    <w:rsid w:val="00D715D9"/>
    <w:rsid w:val="00D71622"/>
    <w:rsid w:val="00D7172C"/>
    <w:rsid w:val="00D71A83"/>
    <w:rsid w:val="00D71AF3"/>
    <w:rsid w:val="00D71E32"/>
    <w:rsid w:val="00D7210B"/>
    <w:rsid w:val="00D72389"/>
    <w:rsid w:val="00D72597"/>
    <w:rsid w:val="00D72A0E"/>
    <w:rsid w:val="00D72ADB"/>
    <w:rsid w:val="00D7319D"/>
    <w:rsid w:val="00D73E33"/>
    <w:rsid w:val="00D73EED"/>
    <w:rsid w:val="00D74259"/>
    <w:rsid w:val="00D742F9"/>
    <w:rsid w:val="00D743B4"/>
    <w:rsid w:val="00D74447"/>
    <w:rsid w:val="00D744C6"/>
    <w:rsid w:val="00D745E5"/>
    <w:rsid w:val="00D74803"/>
    <w:rsid w:val="00D749FF"/>
    <w:rsid w:val="00D74D73"/>
    <w:rsid w:val="00D7521F"/>
    <w:rsid w:val="00D75590"/>
    <w:rsid w:val="00D75633"/>
    <w:rsid w:val="00D759C0"/>
    <w:rsid w:val="00D75F79"/>
    <w:rsid w:val="00D761CD"/>
    <w:rsid w:val="00D76357"/>
    <w:rsid w:val="00D7693F"/>
    <w:rsid w:val="00D76A70"/>
    <w:rsid w:val="00D76B84"/>
    <w:rsid w:val="00D76D04"/>
    <w:rsid w:val="00D77377"/>
    <w:rsid w:val="00D776AB"/>
    <w:rsid w:val="00D77BA1"/>
    <w:rsid w:val="00D77C0C"/>
    <w:rsid w:val="00D77FB8"/>
    <w:rsid w:val="00D800AC"/>
    <w:rsid w:val="00D80253"/>
    <w:rsid w:val="00D80331"/>
    <w:rsid w:val="00D804AE"/>
    <w:rsid w:val="00D80C5A"/>
    <w:rsid w:val="00D81161"/>
    <w:rsid w:val="00D816E7"/>
    <w:rsid w:val="00D8193B"/>
    <w:rsid w:val="00D81A4A"/>
    <w:rsid w:val="00D81C27"/>
    <w:rsid w:val="00D81E84"/>
    <w:rsid w:val="00D81FB3"/>
    <w:rsid w:val="00D820AB"/>
    <w:rsid w:val="00D824E4"/>
    <w:rsid w:val="00D826A0"/>
    <w:rsid w:val="00D828FD"/>
    <w:rsid w:val="00D82949"/>
    <w:rsid w:val="00D82BA5"/>
    <w:rsid w:val="00D82F7C"/>
    <w:rsid w:val="00D83239"/>
    <w:rsid w:val="00D83959"/>
    <w:rsid w:val="00D83BA8"/>
    <w:rsid w:val="00D83E76"/>
    <w:rsid w:val="00D8405B"/>
    <w:rsid w:val="00D840DD"/>
    <w:rsid w:val="00D841FC"/>
    <w:rsid w:val="00D84403"/>
    <w:rsid w:val="00D8450F"/>
    <w:rsid w:val="00D84549"/>
    <w:rsid w:val="00D845C5"/>
    <w:rsid w:val="00D84954"/>
    <w:rsid w:val="00D85073"/>
    <w:rsid w:val="00D851F2"/>
    <w:rsid w:val="00D85682"/>
    <w:rsid w:val="00D858C2"/>
    <w:rsid w:val="00D85D7A"/>
    <w:rsid w:val="00D8625A"/>
    <w:rsid w:val="00D86285"/>
    <w:rsid w:val="00D865AC"/>
    <w:rsid w:val="00D868F4"/>
    <w:rsid w:val="00D86AFF"/>
    <w:rsid w:val="00D86E3E"/>
    <w:rsid w:val="00D86E61"/>
    <w:rsid w:val="00D86EF1"/>
    <w:rsid w:val="00D87028"/>
    <w:rsid w:val="00D87294"/>
    <w:rsid w:val="00D876E1"/>
    <w:rsid w:val="00D8775E"/>
    <w:rsid w:val="00D87B5E"/>
    <w:rsid w:val="00D87DB9"/>
    <w:rsid w:val="00D90229"/>
    <w:rsid w:val="00D90588"/>
    <w:rsid w:val="00D90690"/>
    <w:rsid w:val="00D90794"/>
    <w:rsid w:val="00D907BD"/>
    <w:rsid w:val="00D9084E"/>
    <w:rsid w:val="00D909E0"/>
    <w:rsid w:val="00D90A0E"/>
    <w:rsid w:val="00D90B65"/>
    <w:rsid w:val="00D90CF6"/>
    <w:rsid w:val="00D91023"/>
    <w:rsid w:val="00D910A3"/>
    <w:rsid w:val="00D91345"/>
    <w:rsid w:val="00D91400"/>
    <w:rsid w:val="00D914DD"/>
    <w:rsid w:val="00D9153E"/>
    <w:rsid w:val="00D916D0"/>
    <w:rsid w:val="00D9170E"/>
    <w:rsid w:val="00D91788"/>
    <w:rsid w:val="00D91B20"/>
    <w:rsid w:val="00D91F8D"/>
    <w:rsid w:val="00D92318"/>
    <w:rsid w:val="00D92342"/>
    <w:rsid w:val="00D926B4"/>
    <w:rsid w:val="00D927A7"/>
    <w:rsid w:val="00D92927"/>
    <w:rsid w:val="00D92B0B"/>
    <w:rsid w:val="00D92E34"/>
    <w:rsid w:val="00D92F48"/>
    <w:rsid w:val="00D9305B"/>
    <w:rsid w:val="00D932CD"/>
    <w:rsid w:val="00D93905"/>
    <w:rsid w:val="00D93B0D"/>
    <w:rsid w:val="00D93DAC"/>
    <w:rsid w:val="00D93E56"/>
    <w:rsid w:val="00D93EDC"/>
    <w:rsid w:val="00D9445D"/>
    <w:rsid w:val="00D9475C"/>
    <w:rsid w:val="00D947A6"/>
    <w:rsid w:val="00D949EC"/>
    <w:rsid w:val="00D94D3B"/>
    <w:rsid w:val="00D94FA0"/>
    <w:rsid w:val="00D951BA"/>
    <w:rsid w:val="00D95822"/>
    <w:rsid w:val="00D958F8"/>
    <w:rsid w:val="00D95D46"/>
    <w:rsid w:val="00D95E24"/>
    <w:rsid w:val="00D95EF4"/>
    <w:rsid w:val="00D964D5"/>
    <w:rsid w:val="00D96693"/>
    <w:rsid w:val="00D966DD"/>
    <w:rsid w:val="00D96794"/>
    <w:rsid w:val="00D968D7"/>
    <w:rsid w:val="00D96B5C"/>
    <w:rsid w:val="00D96B71"/>
    <w:rsid w:val="00D96C90"/>
    <w:rsid w:val="00D96D02"/>
    <w:rsid w:val="00D96F62"/>
    <w:rsid w:val="00D9712D"/>
    <w:rsid w:val="00D9720B"/>
    <w:rsid w:val="00D97718"/>
    <w:rsid w:val="00D9B016"/>
    <w:rsid w:val="00DA01AC"/>
    <w:rsid w:val="00DA063F"/>
    <w:rsid w:val="00DA0967"/>
    <w:rsid w:val="00DA0C72"/>
    <w:rsid w:val="00DA0C92"/>
    <w:rsid w:val="00DA18FC"/>
    <w:rsid w:val="00DA19EA"/>
    <w:rsid w:val="00DA1A38"/>
    <w:rsid w:val="00DA1C74"/>
    <w:rsid w:val="00DA1C8A"/>
    <w:rsid w:val="00DA212B"/>
    <w:rsid w:val="00DA2284"/>
    <w:rsid w:val="00DA2529"/>
    <w:rsid w:val="00DA26CA"/>
    <w:rsid w:val="00DA2C1C"/>
    <w:rsid w:val="00DA2DDF"/>
    <w:rsid w:val="00DA2E5E"/>
    <w:rsid w:val="00DA32F1"/>
    <w:rsid w:val="00DA3639"/>
    <w:rsid w:val="00DA3C6C"/>
    <w:rsid w:val="00DA3E21"/>
    <w:rsid w:val="00DA4220"/>
    <w:rsid w:val="00DA423D"/>
    <w:rsid w:val="00DA43FA"/>
    <w:rsid w:val="00DA4949"/>
    <w:rsid w:val="00DA4D6B"/>
    <w:rsid w:val="00DA55DC"/>
    <w:rsid w:val="00DA5835"/>
    <w:rsid w:val="00DA5C76"/>
    <w:rsid w:val="00DA5FE8"/>
    <w:rsid w:val="00DA6217"/>
    <w:rsid w:val="00DA62A4"/>
    <w:rsid w:val="00DA68AB"/>
    <w:rsid w:val="00DA6BB7"/>
    <w:rsid w:val="00DA6D3A"/>
    <w:rsid w:val="00DA742D"/>
    <w:rsid w:val="00DA74E5"/>
    <w:rsid w:val="00DA752D"/>
    <w:rsid w:val="00DA75C5"/>
    <w:rsid w:val="00DA7725"/>
    <w:rsid w:val="00DA7B16"/>
    <w:rsid w:val="00DA7E4B"/>
    <w:rsid w:val="00DA7EE4"/>
    <w:rsid w:val="00DB0220"/>
    <w:rsid w:val="00DB0502"/>
    <w:rsid w:val="00DB0626"/>
    <w:rsid w:val="00DB06E7"/>
    <w:rsid w:val="00DB0B04"/>
    <w:rsid w:val="00DB0C46"/>
    <w:rsid w:val="00DB0D23"/>
    <w:rsid w:val="00DB0DD0"/>
    <w:rsid w:val="00DB1063"/>
    <w:rsid w:val="00DB1147"/>
    <w:rsid w:val="00DB130A"/>
    <w:rsid w:val="00DB17B4"/>
    <w:rsid w:val="00DB1A03"/>
    <w:rsid w:val="00DB1AA7"/>
    <w:rsid w:val="00DB1B43"/>
    <w:rsid w:val="00DB218C"/>
    <w:rsid w:val="00DB2227"/>
    <w:rsid w:val="00DB2696"/>
    <w:rsid w:val="00DB2CA3"/>
    <w:rsid w:val="00DB2E7A"/>
    <w:rsid w:val="00DB2EBB"/>
    <w:rsid w:val="00DB32E4"/>
    <w:rsid w:val="00DB3541"/>
    <w:rsid w:val="00DB37D6"/>
    <w:rsid w:val="00DB3877"/>
    <w:rsid w:val="00DB3B3E"/>
    <w:rsid w:val="00DB4063"/>
    <w:rsid w:val="00DB4298"/>
    <w:rsid w:val="00DB43B8"/>
    <w:rsid w:val="00DB44A8"/>
    <w:rsid w:val="00DB467F"/>
    <w:rsid w:val="00DB4996"/>
    <w:rsid w:val="00DB4A50"/>
    <w:rsid w:val="00DB4A76"/>
    <w:rsid w:val="00DB5236"/>
    <w:rsid w:val="00DB546B"/>
    <w:rsid w:val="00DB5776"/>
    <w:rsid w:val="00DB5CB8"/>
    <w:rsid w:val="00DB60C4"/>
    <w:rsid w:val="00DB62AF"/>
    <w:rsid w:val="00DB633B"/>
    <w:rsid w:val="00DB67E6"/>
    <w:rsid w:val="00DB6958"/>
    <w:rsid w:val="00DB6C0E"/>
    <w:rsid w:val="00DB6CBD"/>
    <w:rsid w:val="00DB709B"/>
    <w:rsid w:val="00DB71B3"/>
    <w:rsid w:val="00DB7B58"/>
    <w:rsid w:val="00DB7C40"/>
    <w:rsid w:val="00DB7F1B"/>
    <w:rsid w:val="00DB7F42"/>
    <w:rsid w:val="00DC0086"/>
    <w:rsid w:val="00DC014B"/>
    <w:rsid w:val="00DC082C"/>
    <w:rsid w:val="00DC08BC"/>
    <w:rsid w:val="00DC09D5"/>
    <w:rsid w:val="00DC0C6E"/>
    <w:rsid w:val="00DC0D6B"/>
    <w:rsid w:val="00DC0DF4"/>
    <w:rsid w:val="00DC10A1"/>
    <w:rsid w:val="00DC1520"/>
    <w:rsid w:val="00DC15A7"/>
    <w:rsid w:val="00DC19ED"/>
    <w:rsid w:val="00DC230D"/>
    <w:rsid w:val="00DC2961"/>
    <w:rsid w:val="00DC2A09"/>
    <w:rsid w:val="00DC2CD7"/>
    <w:rsid w:val="00DC2F77"/>
    <w:rsid w:val="00DC3132"/>
    <w:rsid w:val="00DC31B2"/>
    <w:rsid w:val="00DC34E0"/>
    <w:rsid w:val="00DC3640"/>
    <w:rsid w:val="00DC370B"/>
    <w:rsid w:val="00DC3BA0"/>
    <w:rsid w:val="00DC3DAC"/>
    <w:rsid w:val="00DC418D"/>
    <w:rsid w:val="00DC44D5"/>
    <w:rsid w:val="00DC4685"/>
    <w:rsid w:val="00DC4712"/>
    <w:rsid w:val="00DC49A6"/>
    <w:rsid w:val="00DC4BA4"/>
    <w:rsid w:val="00DC4CBF"/>
    <w:rsid w:val="00DC4E93"/>
    <w:rsid w:val="00DC500B"/>
    <w:rsid w:val="00DC509A"/>
    <w:rsid w:val="00DC563E"/>
    <w:rsid w:val="00DC58AA"/>
    <w:rsid w:val="00DC5FE8"/>
    <w:rsid w:val="00DC627E"/>
    <w:rsid w:val="00DC6288"/>
    <w:rsid w:val="00DC655F"/>
    <w:rsid w:val="00DC65EE"/>
    <w:rsid w:val="00DC65F5"/>
    <w:rsid w:val="00DC667C"/>
    <w:rsid w:val="00DC6685"/>
    <w:rsid w:val="00DC6B0C"/>
    <w:rsid w:val="00DC6D51"/>
    <w:rsid w:val="00DC6F99"/>
    <w:rsid w:val="00DC6FDF"/>
    <w:rsid w:val="00DC74AB"/>
    <w:rsid w:val="00DC7529"/>
    <w:rsid w:val="00DC76C6"/>
    <w:rsid w:val="00DC7978"/>
    <w:rsid w:val="00DC79DE"/>
    <w:rsid w:val="00DC7B99"/>
    <w:rsid w:val="00DC7C85"/>
    <w:rsid w:val="00DC7D6F"/>
    <w:rsid w:val="00DC7DE3"/>
    <w:rsid w:val="00DC7E77"/>
    <w:rsid w:val="00DC7FBF"/>
    <w:rsid w:val="00DD0397"/>
    <w:rsid w:val="00DD05F2"/>
    <w:rsid w:val="00DD0B59"/>
    <w:rsid w:val="00DD0D64"/>
    <w:rsid w:val="00DD0FFD"/>
    <w:rsid w:val="00DD1100"/>
    <w:rsid w:val="00DD12E7"/>
    <w:rsid w:val="00DD1351"/>
    <w:rsid w:val="00DD15EC"/>
    <w:rsid w:val="00DD17E0"/>
    <w:rsid w:val="00DD1B03"/>
    <w:rsid w:val="00DD1C98"/>
    <w:rsid w:val="00DD1E6B"/>
    <w:rsid w:val="00DD1E80"/>
    <w:rsid w:val="00DD1EF5"/>
    <w:rsid w:val="00DD2A37"/>
    <w:rsid w:val="00DD2BAD"/>
    <w:rsid w:val="00DD2E34"/>
    <w:rsid w:val="00DD2F2B"/>
    <w:rsid w:val="00DD2FDE"/>
    <w:rsid w:val="00DD3205"/>
    <w:rsid w:val="00DD336A"/>
    <w:rsid w:val="00DD37DB"/>
    <w:rsid w:val="00DD3C84"/>
    <w:rsid w:val="00DD3D35"/>
    <w:rsid w:val="00DD3F2E"/>
    <w:rsid w:val="00DD3F9A"/>
    <w:rsid w:val="00DD4573"/>
    <w:rsid w:val="00DD4608"/>
    <w:rsid w:val="00DD47C1"/>
    <w:rsid w:val="00DD4AD0"/>
    <w:rsid w:val="00DD4B4B"/>
    <w:rsid w:val="00DD4DCE"/>
    <w:rsid w:val="00DD53C5"/>
    <w:rsid w:val="00DD544F"/>
    <w:rsid w:val="00DD54DF"/>
    <w:rsid w:val="00DD5780"/>
    <w:rsid w:val="00DD57D8"/>
    <w:rsid w:val="00DD587B"/>
    <w:rsid w:val="00DD5B43"/>
    <w:rsid w:val="00DD5B80"/>
    <w:rsid w:val="00DD5F0C"/>
    <w:rsid w:val="00DD60C3"/>
    <w:rsid w:val="00DD68C0"/>
    <w:rsid w:val="00DD696C"/>
    <w:rsid w:val="00DD6B57"/>
    <w:rsid w:val="00DD6B7D"/>
    <w:rsid w:val="00DD6F50"/>
    <w:rsid w:val="00DD7084"/>
    <w:rsid w:val="00DD70CA"/>
    <w:rsid w:val="00DD7203"/>
    <w:rsid w:val="00DD74A6"/>
    <w:rsid w:val="00DD7532"/>
    <w:rsid w:val="00DD75B4"/>
    <w:rsid w:val="00DD787E"/>
    <w:rsid w:val="00DD7939"/>
    <w:rsid w:val="00DD7989"/>
    <w:rsid w:val="00DD7CC6"/>
    <w:rsid w:val="00DD7E63"/>
    <w:rsid w:val="00DD7EBD"/>
    <w:rsid w:val="00DDD428"/>
    <w:rsid w:val="00DE040E"/>
    <w:rsid w:val="00DE0496"/>
    <w:rsid w:val="00DE06ED"/>
    <w:rsid w:val="00DE0DFC"/>
    <w:rsid w:val="00DE0F25"/>
    <w:rsid w:val="00DE1059"/>
    <w:rsid w:val="00DE1108"/>
    <w:rsid w:val="00DE1176"/>
    <w:rsid w:val="00DE11EB"/>
    <w:rsid w:val="00DE132F"/>
    <w:rsid w:val="00DE1391"/>
    <w:rsid w:val="00DE1693"/>
    <w:rsid w:val="00DE1901"/>
    <w:rsid w:val="00DE19F4"/>
    <w:rsid w:val="00DE1A22"/>
    <w:rsid w:val="00DE1A2F"/>
    <w:rsid w:val="00DE1C6F"/>
    <w:rsid w:val="00DE1CCA"/>
    <w:rsid w:val="00DE1D90"/>
    <w:rsid w:val="00DE1FFE"/>
    <w:rsid w:val="00DE22C0"/>
    <w:rsid w:val="00DE2868"/>
    <w:rsid w:val="00DE2AC1"/>
    <w:rsid w:val="00DE2B60"/>
    <w:rsid w:val="00DE2E6B"/>
    <w:rsid w:val="00DE3216"/>
    <w:rsid w:val="00DE3289"/>
    <w:rsid w:val="00DE3482"/>
    <w:rsid w:val="00DE348D"/>
    <w:rsid w:val="00DE35B2"/>
    <w:rsid w:val="00DE35D2"/>
    <w:rsid w:val="00DE3C56"/>
    <w:rsid w:val="00DE3ED6"/>
    <w:rsid w:val="00DE418C"/>
    <w:rsid w:val="00DE4C3B"/>
    <w:rsid w:val="00DE4D31"/>
    <w:rsid w:val="00DE4F63"/>
    <w:rsid w:val="00DE5052"/>
    <w:rsid w:val="00DE5339"/>
    <w:rsid w:val="00DE54F7"/>
    <w:rsid w:val="00DE5682"/>
    <w:rsid w:val="00DE5939"/>
    <w:rsid w:val="00DE594A"/>
    <w:rsid w:val="00DE5962"/>
    <w:rsid w:val="00DE5981"/>
    <w:rsid w:val="00DE5A3F"/>
    <w:rsid w:val="00DE5AF9"/>
    <w:rsid w:val="00DE5AFA"/>
    <w:rsid w:val="00DE5AFE"/>
    <w:rsid w:val="00DE5B19"/>
    <w:rsid w:val="00DE5B72"/>
    <w:rsid w:val="00DE5EB9"/>
    <w:rsid w:val="00DE6175"/>
    <w:rsid w:val="00DE6368"/>
    <w:rsid w:val="00DE63A9"/>
    <w:rsid w:val="00DE6854"/>
    <w:rsid w:val="00DE69C2"/>
    <w:rsid w:val="00DE6B82"/>
    <w:rsid w:val="00DE6BD0"/>
    <w:rsid w:val="00DE6E7F"/>
    <w:rsid w:val="00DE7089"/>
    <w:rsid w:val="00DE7950"/>
    <w:rsid w:val="00DE79E7"/>
    <w:rsid w:val="00DE79EB"/>
    <w:rsid w:val="00DE7A20"/>
    <w:rsid w:val="00DE7BB5"/>
    <w:rsid w:val="00DE7D80"/>
    <w:rsid w:val="00DF04D3"/>
    <w:rsid w:val="00DF104D"/>
    <w:rsid w:val="00DF11E5"/>
    <w:rsid w:val="00DF1497"/>
    <w:rsid w:val="00DF15B6"/>
    <w:rsid w:val="00DF174B"/>
    <w:rsid w:val="00DF1838"/>
    <w:rsid w:val="00DF1BA6"/>
    <w:rsid w:val="00DF1DA1"/>
    <w:rsid w:val="00DF207C"/>
    <w:rsid w:val="00DF20DF"/>
    <w:rsid w:val="00DF24B9"/>
    <w:rsid w:val="00DF2AB9"/>
    <w:rsid w:val="00DF2AFF"/>
    <w:rsid w:val="00DF2BD0"/>
    <w:rsid w:val="00DF2D03"/>
    <w:rsid w:val="00DF2DD9"/>
    <w:rsid w:val="00DF3670"/>
    <w:rsid w:val="00DF392C"/>
    <w:rsid w:val="00DF3B99"/>
    <w:rsid w:val="00DF3C33"/>
    <w:rsid w:val="00DF3D9B"/>
    <w:rsid w:val="00DF3E39"/>
    <w:rsid w:val="00DF4098"/>
    <w:rsid w:val="00DF4686"/>
    <w:rsid w:val="00DF4714"/>
    <w:rsid w:val="00DF48CE"/>
    <w:rsid w:val="00DF491D"/>
    <w:rsid w:val="00DF4928"/>
    <w:rsid w:val="00DF5036"/>
    <w:rsid w:val="00DF50CF"/>
    <w:rsid w:val="00DF52A2"/>
    <w:rsid w:val="00DF570B"/>
    <w:rsid w:val="00DF5B24"/>
    <w:rsid w:val="00DF5B4A"/>
    <w:rsid w:val="00DF62B6"/>
    <w:rsid w:val="00DF643C"/>
    <w:rsid w:val="00DF686E"/>
    <w:rsid w:val="00DF6A13"/>
    <w:rsid w:val="00DF6AA2"/>
    <w:rsid w:val="00DF6E25"/>
    <w:rsid w:val="00DF723B"/>
    <w:rsid w:val="00DF72C1"/>
    <w:rsid w:val="00DF773F"/>
    <w:rsid w:val="00DF7A55"/>
    <w:rsid w:val="00DF7CB7"/>
    <w:rsid w:val="00DF7CD4"/>
    <w:rsid w:val="00DF7D81"/>
    <w:rsid w:val="00E0091C"/>
    <w:rsid w:val="00E00BC0"/>
    <w:rsid w:val="00E00C5F"/>
    <w:rsid w:val="00E00CEC"/>
    <w:rsid w:val="00E00CFB"/>
    <w:rsid w:val="00E00E23"/>
    <w:rsid w:val="00E01149"/>
    <w:rsid w:val="00E01513"/>
    <w:rsid w:val="00E0168C"/>
    <w:rsid w:val="00E01718"/>
    <w:rsid w:val="00E0195D"/>
    <w:rsid w:val="00E01FF7"/>
    <w:rsid w:val="00E02405"/>
    <w:rsid w:val="00E024DF"/>
    <w:rsid w:val="00E026C8"/>
    <w:rsid w:val="00E02E5E"/>
    <w:rsid w:val="00E03096"/>
    <w:rsid w:val="00E032AA"/>
    <w:rsid w:val="00E0339A"/>
    <w:rsid w:val="00E034C4"/>
    <w:rsid w:val="00E036E4"/>
    <w:rsid w:val="00E03C35"/>
    <w:rsid w:val="00E03D9A"/>
    <w:rsid w:val="00E0405F"/>
    <w:rsid w:val="00E04306"/>
    <w:rsid w:val="00E0433D"/>
    <w:rsid w:val="00E04869"/>
    <w:rsid w:val="00E04930"/>
    <w:rsid w:val="00E04F78"/>
    <w:rsid w:val="00E04FC6"/>
    <w:rsid w:val="00E05149"/>
    <w:rsid w:val="00E05424"/>
    <w:rsid w:val="00E055BE"/>
    <w:rsid w:val="00E05B9A"/>
    <w:rsid w:val="00E05D27"/>
    <w:rsid w:val="00E06267"/>
    <w:rsid w:val="00E062B1"/>
    <w:rsid w:val="00E06716"/>
    <w:rsid w:val="00E0699E"/>
    <w:rsid w:val="00E069BF"/>
    <w:rsid w:val="00E06BE3"/>
    <w:rsid w:val="00E06E97"/>
    <w:rsid w:val="00E071C7"/>
    <w:rsid w:val="00E07225"/>
    <w:rsid w:val="00E0752B"/>
    <w:rsid w:val="00E07578"/>
    <w:rsid w:val="00E075F6"/>
    <w:rsid w:val="00E0770A"/>
    <w:rsid w:val="00E07823"/>
    <w:rsid w:val="00E07A17"/>
    <w:rsid w:val="00E07B7A"/>
    <w:rsid w:val="00E07C0D"/>
    <w:rsid w:val="00E07EC7"/>
    <w:rsid w:val="00E10117"/>
    <w:rsid w:val="00E10376"/>
    <w:rsid w:val="00E10561"/>
    <w:rsid w:val="00E106D8"/>
    <w:rsid w:val="00E10759"/>
    <w:rsid w:val="00E109DC"/>
    <w:rsid w:val="00E10A0A"/>
    <w:rsid w:val="00E10B8E"/>
    <w:rsid w:val="00E10C3A"/>
    <w:rsid w:val="00E10CD5"/>
    <w:rsid w:val="00E10D1B"/>
    <w:rsid w:val="00E10ED9"/>
    <w:rsid w:val="00E10F8A"/>
    <w:rsid w:val="00E11094"/>
    <w:rsid w:val="00E11A95"/>
    <w:rsid w:val="00E12008"/>
    <w:rsid w:val="00E120F7"/>
    <w:rsid w:val="00E12181"/>
    <w:rsid w:val="00E1218D"/>
    <w:rsid w:val="00E126A3"/>
    <w:rsid w:val="00E129F2"/>
    <w:rsid w:val="00E12B23"/>
    <w:rsid w:val="00E12BF7"/>
    <w:rsid w:val="00E12E22"/>
    <w:rsid w:val="00E130DB"/>
    <w:rsid w:val="00E131AE"/>
    <w:rsid w:val="00E13204"/>
    <w:rsid w:val="00E134F0"/>
    <w:rsid w:val="00E1397A"/>
    <w:rsid w:val="00E13BA9"/>
    <w:rsid w:val="00E13BC5"/>
    <w:rsid w:val="00E13D1F"/>
    <w:rsid w:val="00E13D2F"/>
    <w:rsid w:val="00E13D69"/>
    <w:rsid w:val="00E13DEB"/>
    <w:rsid w:val="00E14537"/>
    <w:rsid w:val="00E145A4"/>
    <w:rsid w:val="00E147BC"/>
    <w:rsid w:val="00E14BAB"/>
    <w:rsid w:val="00E14C7A"/>
    <w:rsid w:val="00E15172"/>
    <w:rsid w:val="00E1535B"/>
    <w:rsid w:val="00E154C5"/>
    <w:rsid w:val="00E154D2"/>
    <w:rsid w:val="00E15792"/>
    <w:rsid w:val="00E157DC"/>
    <w:rsid w:val="00E15991"/>
    <w:rsid w:val="00E159CA"/>
    <w:rsid w:val="00E15A62"/>
    <w:rsid w:val="00E15AA3"/>
    <w:rsid w:val="00E15B33"/>
    <w:rsid w:val="00E15C4B"/>
    <w:rsid w:val="00E15D93"/>
    <w:rsid w:val="00E15D9C"/>
    <w:rsid w:val="00E15E53"/>
    <w:rsid w:val="00E15EA1"/>
    <w:rsid w:val="00E15F7B"/>
    <w:rsid w:val="00E16019"/>
    <w:rsid w:val="00E16095"/>
    <w:rsid w:val="00E162C9"/>
    <w:rsid w:val="00E16324"/>
    <w:rsid w:val="00E1649C"/>
    <w:rsid w:val="00E165BE"/>
    <w:rsid w:val="00E168D7"/>
    <w:rsid w:val="00E16A00"/>
    <w:rsid w:val="00E16AD8"/>
    <w:rsid w:val="00E16DD6"/>
    <w:rsid w:val="00E174F4"/>
    <w:rsid w:val="00E17BF0"/>
    <w:rsid w:val="00E17C90"/>
    <w:rsid w:val="00E17D05"/>
    <w:rsid w:val="00E17E8D"/>
    <w:rsid w:val="00E17EEB"/>
    <w:rsid w:val="00E2010F"/>
    <w:rsid w:val="00E20620"/>
    <w:rsid w:val="00E20688"/>
    <w:rsid w:val="00E208F3"/>
    <w:rsid w:val="00E209EB"/>
    <w:rsid w:val="00E20CDB"/>
    <w:rsid w:val="00E20CF7"/>
    <w:rsid w:val="00E20D1F"/>
    <w:rsid w:val="00E20E34"/>
    <w:rsid w:val="00E20E73"/>
    <w:rsid w:val="00E20F81"/>
    <w:rsid w:val="00E212DC"/>
    <w:rsid w:val="00E214CF"/>
    <w:rsid w:val="00E215F2"/>
    <w:rsid w:val="00E21685"/>
    <w:rsid w:val="00E2185D"/>
    <w:rsid w:val="00E21E68"/>
    <w:rsid w:val="00E220D5"/>
    <w:rsid w:val="00E22163"/>
    <w:rsid w:val="00E225BC"/>
    <w:rsid w:val="00E2270F"/>
    <w:rsid w:val="00E22727"/>
    <w:rsid w:val="00E22D6C"/>
    <w:rsid w:val="00E22EDE"/>
    <w:rsid w:val="00E23015"/>
    <w:rsid w:val="00E2344D"/>
    <w:rsid w:val="00E2346E"/>
    <w:rsid w:val="00E239C2"/>
    <w:rsid w:val="00E23F38"/>
    <w:rsid w:val="00E242A3"/>
    <w:rsid w:val="00E24386"/>
    <w:rsid w:val="00E2456D"/>
    <w:rsid w:val="00E24A6E"/>
    <w:rsid w:val="00E24C1B"/>
    <w:rsid w:val="00E24DAE"/>
    <w:rsid w:val="00E25216"/>
    <w:rsid w:val="00E2565D"/>
    <w:rsid w:val="00E256C6"/>
    <w:rsid w:val="00E258CD"/>
    <w:rsid w:val="00E25C4E"/>
    <w:rsid w:val="00E25E11"/>
    <w:rsid w:val="00E25E19"/>
    <w:rsid w:val="00E25FE2"/>
    <w:rsid w:val="00E261E9"/>
    <w:rsid w:val="00E262A6"/>
    <w:rsid w:val="00E269DF"/>
    <w:rsid w:val="00E2749A"/>
    <w:rsid w:val="00E2755A"/>
    <w:rsid w:val="00E275C4"/>
    <w:rsid w:val="00E27760"/>
    <w:rsid w:val="00E28E3A"/>
    <w:rsid w:val="00E302EF"/>
    <w:rsid w:val="00E302F5"/>
    <w:rsid w:val="00E30D3F"/>
    <w:rsid w:val="00E30EA7"/>
    <w:rsid w:val="00E310CB"/>
    <w:rsid w:val="00E31568"/>
    <w:rsid w:val="00E31613"/>
    <w:rsid w:val="00E31653"/>
    <w:rsid w:val="00E31AC1"/>
    <w:rsid w:val="00E32092"/>
    <w:rsid w:val="00E322A0"/>
    <w:rsid w:val="00E3272D"/>
    <w:rsid w:val="00E32D94"/>
    <w:rsid w:val="00E32EA3"/>
    <w:rsid w:val="00E331CD"/>
    <w:rsid w:val="00E332DC"/>
    <w:rsid w:val="00E333B8"/>
    <w:rsid w:val="00E33582"/>
    <w:rsid w:val="00E336A8"/>
    <w:rsid w:val="00E33CE3"/>
    <w:rsid w:val="00E33E05"/>
    <w:rsid w:val="00E340D1"/>
    <w:rsid w:val="00E34328"/>
    <w:rsid w:val="00E3432F"/>
    <w:rsid w:val="00E3436F"/>
    <w:rsid w:val="00E344A8"/>
    <w:rsid w:val="00E34996"/>
    <w:rsid w:val="00E34A4D"/>
    <w:rsid w:val="00E35021"/>
    <w:rsid w:val="00E3523C"/>
    <w:rsid w:val="00E35318"/>
    <w:rsid w:val="00E3555D"/>
    <w:rsid w:val="00E362E3"/>
    <w:rsid w:val="00E3659C"/>
    <w:rsid w:val="00E367DB"/>
    <w:rsid w:val="00E36C30"/>
    <w:rsid w:val="00E36D8D"/>
    <w:rsid w:val="00E36DBE"/>
    <w:rsid w:val="00E36F21"/>
    <w:rsid w:val="00E37040"/>
    <w:rsid w:val="00E37208"/>
    <w:rsid w:val="00E3736F"/>
    <w:rsid w:val="00E3742C"/>
    <w:rsid w:val="00E375BD"/>
    <w:rsid w:val="00E377C1"/>
    <w:rsid w:val="00E37A9F"/>
    <w:rsid w:val="00E40147"/>
    <w:rsid w:val="00E40428"/>
    <w:rsid w:val="00E40789"/>
    <w:rsid w:val="00E407EB"/>
    <w:rsid w:val="00E408D6"/>
    <w:rsid w:val="00E40DCB"/>
    <w:rsid w:val="00E40DE3"/>
    <w:rsid w:val="00E40EA6"/>
    <w:rsid w:val="00E41117"/>
    <w:rsid w:val="00E411C8"/>
    <w:rsid w:val="00E415A4"/>
    <w:rsid w:val="00E4177E"/>
    <w:rsid w:val="00E421BC"/>
    <w:rsid w:val="00E4220E"/>
    <w:rsid w:val="00E42499"/>
    <w:rsid w:val="00E424F5"/>
    <w:rsid w:val="00E42586"/>
    <w:rsid w:val="00E426EC"/>
    <w:rsid w:val="00E42A71"/>
    <w:rsid w:val="00E42B6B"/>
    <w:rsid w:val="00E42E89"/>
    <w:rsid w:val="00E42FF7"/>
    <w:rsid w:val="00E43098"/>
    <w:rsid w:val="00E4318E"/>
    <w:rsid w:val="00E43345"/>
    <w:rsid w:val="00E434B7"/>
    <w:rsid w:val="00E4363B"/>
    <w:rsid w:val="00E43C06"/>
    <w:rsid w:val="00E43C42"/>
    <w:rsid w:val="00E43D10"/>
    <w:rsid w:val="00E43D84"/>
    <w:rsid w:val="00E43EAD"/>
    <w:rsid w:val="00E44231"/>
    <w:rsid w:val="00E443D2"/>
    <w:rsid w:val="00E4466C"/>
    <w:rsid w:val="00E449C9"/>
    <w:rsid w:val="00E449FA"/>
    <w:rsid w:val="00E44B1C"/>
    <w:rsid w:val="00E44E06"/>
    <w:rsid w:val="00E454CC"/>
    <w:rsid w:val="00E45878"/>
    <w:rsid w:val="00E45BAE"/>
    <w:rsid w:val="00E45DCD"/>
    <w:rsid w:val="00E45F45"/>
    <w:rsid w:val="00E4629E"/>
    <w:rsid w:val="00E4641B"/>
    <w:rsid w:val="00E466A6"/>
    <w:rsid w:val="00E4683E"/>
    <w:rsid w:val="00E46CD2"/>
    <w:rsid w:val="00E470B0"/>
    <w:rsid w:val="00E4759F"/>
    <w:rsid w:val="00E476C0"/>
    <w:rsid w:val="00E477FD"/>
    <w:rsid w:val="00E47B47"/>
    <w:rsid w:val="00E47C1D"/>
    <w:rsid w:val="00E5008E"/>
    <w:rsid w:val="00E50132"/>
    <w:rsid w:val="00E50218"/>
    <w:rsid w:val="00E50248"/>
    <w:rsid w:val="00E5047E"/>
    <w:rsid w:val="00E50787"/>
    <w:rsid w:val="00E50842"/>
    <w:rsid w:val="00E508D4"/>
    <w:rsid w:val="00E50920"/>
    <w:rsid w:val="00E509F6"/>
    <w:rsid w:val="00E50C3D"/>
    <w:rsid w:val="00E50DBB"/>
    <w:rsid w:val="00E50EBF"/>
    <w:rsid w:val="00E510EF"/>
    <w:rsid w:val="00E51309"/>
    <w:rsid w:val="00E51347"/>
    <w:rsid w:val="00E51F47"/>
    <w:rsid w:val="00E52104"/>
    <w:rsid w:val="00E52324"/>
    <w:rsid w:val="00E52B64"/>
    <w:rsid w:val="00E52C10"/>
    <w:rsid w:val="00E53088"/>
    <w:rsid w:val="00E533A5"/>
    <w:rsid w:val="00E53BD0"/>
    <w:rsid w:val="00E53C91"/>
    <w:rsid w:val="00E5409F"/>
    <w:rsid w:val="00E543B1"/>
    <w:rsid w:val="00E54502"/>
    <w:rsid w:val="00E5477F"/>
    <w:rsid w:val="00E54FBF"/>
    <w:rsid w:val="00E54FCA"/>
    <w:rsid w:val="00E557C3"/>
    <w:rsid w:val="00E55BDD"/>
    <w:rsid w:val="00E55FB1"/>
    <w:rsid w:val="00E5602B"/>
    <w:rsid w:val="00E563A2"/>
    <w:rsid w:val="00E568C5"/>
    <w:rsid w:val="00E56F15"/>
    <w:rsid w:val="00E5748B"/>
    <w:rsid w:val="00E5756D"/>
    <w:rsid w:val="00E57BAF"/>
    <w:rsid w:val="00E6024C"/>
    <w:rsid w:val="00E602F0"/>
    <w:rsid w:val="00E60514"/>
    <w:rsid w:val="00E60585"/>
    <w:rsid w:val="00E60698"/>
    <w:rsid w:val="00E606CF"/>
    <w:rsid w:val="00E60904"/>
    <w:rsid w:val="00E60A79"/>
    <w:rsid w:val="00E60C47"/>
    <w:rsid w:val="00E6109C"/>
    <w:rsid w:val="00E616E0"/>
    <w:rsid w:val="00E6174D"/>
    <w:rsid w:val="00E6184A"/>
    <w:rsid w:val="00E61940"/>
    <w:rsid w:val="00E61A7E"/>
    <w:rsid w:val="00E61F32"/>
    <w:rsid w:val="00E62020"/>
    <w:rsid w:val="00E62175"/>
    <w:rsid w:val="00E621F3"/>
    <w:rsid w:val="00E626C9"/>
    <w:rsid w:val="00E62734"/>
    <w:rsid w:val="00E62ABA"/>
    <w:rsid w:val="00E62E16"/>
    <w:rsid w:val="00E62EF8"/>
    <w:rsid w:val="00E642E9"/>
    <w:rsid w:val="00E6480E"/>
    <w:rsid w:val="00E64A0A"/>
    <w:rsid w:val="00E64E9A"/>
    <w:rsid w:val="00E64FC9"/>
    <w:rsid w:val="00E6502C"/>
    <w:rsid w:val="00E651F7"/>
    <w:rsid w:val="00E652CF"/>
    <w:rsid w:val="00E65407"/>
    <w:rsid w:val="00E65449"/>
    <w:rsid w:val="00E65CC0"/>
    <w:rsid w:val="00E65CDC"/>
    <w:rsid w:val="00E66115"/>
    <w:rsid w:val="00E6617E"/>
    <w:rsid w:val="00E66468"/>
    <w:rsid w:val="00E66656"/>
    <w:rsid w:val="00E668A3"/>
    <w:rsid w:val="00E669AE"/>
    <w:rsid w:val="00E66C4D"/>
    <w:rsid w:val="00E66F35"/>
    <w:rsid w:val="00E67432"/>
    <w:rsid w:val="00E674BB"/>
    <w:rsid w:val="00E675B2"/>
    <w:rsid w:val="00E676CE"/>
    <w:rsid w:val="00E67702"/>
    <w:rsid w:val="00E67AD1"/>
    <w:rsid w:val="00E67AE7"/>
    <w:rsid w:val="00E67CC0"/>
    <w:rsid w:val="00E67CF8"/>
    <w:rsid w:val="00E67D2E"/>
    <w:rsid w:val="00E67E0A"/>
    <w:rsid w:val="00E70120"/>
    <w:rsid w:val="00E701E6"/>
    <w:rsid w:val="00E70514"/>
    <w:rsid w:val="00E705AC"/>
    <w:rsid w:val="00E70B3E"/>
    <w:rsid w:val="00E70F36"/>
    <w:rsid w:val="00E70FCA"/>
    <w:rsid w:val="00E71094"/>
    <w:rsid w:val="00E71293"/>
    <w:rsid w:val="00E713EC"/>
    <w:rsid w:val="00E71406"/>
    <w:rsid w:val="00E715C8"/>
    <w:rsid w:val="00E71AD2"/>
    <w:rsid w:val="00E71EDC"/>
    <w:rsid w:val="00E71F54"/>
    <w:rsid w:val="00E71FE6"/>
    <w:rsid w:val="00E72092"/>
    <w:rsid w:val="00E72392"/>
    <w:rsid w:val="00E723B1"/>
    <w:rsid w:val="00E723EF"/>
    <w:rsid w:val="00E7240D"/>
    <w:rsid w:val="00E725AC"/>
    <w:rsid w:val="00E727A7"/>
    <w:rsid w:val="00E736C6"/>
    <w:rsid w:val="00E7374C"/>
    <w:rsid w:val="00E73752"/>
    <w:rsid w:val="00E73A97"/>
    <w:rsid w:val="00E73C76"/>
    <w:rsid w:val="00E73DC7"/>
    <w:rsid w:val="00E74116"/>
    <w:rsid w:val="00E743E1"/>
    <w:rsid w:val="00E745A5"/>
    <w:rsid w:val="00E749FF"/>
    <w:rsid w:val="00E74B3B"/>
    <w:rsid w:val="00E74FBD"/>
    <w:rsid w:val="00E752FE"/>
    <w:rsid w:val="00E75418"/>
    <w:rsid w:val="00E756F8"/>
    <w:rsid w:val="00E757A6"/>
    <w:rsid w:val="00E75B65"/>
    <w:rsid w:val="00E75CCA"/>
    <w:rsid w:val="00E75D74"/>
    <w:rsid w:val="00E75E7B"/>
    <w:rsid w:val="00E76308"/>
    <w:rsid w:val="00E763C2"/>
    <w:rsid w:val="00E764D5"/>
    <w:rsid w:val="00E76542"/>
    <w:rsid w:val="00E76768"/>
    <w:rsid w:val="00E76775"/>
    <w:rsid w:val="00E76865"/>
    <w:rsid w:val="00E769C8"/>
    <w:rsid w:val="00E76A3D"/>
    <w:rsid w:val="00E76AF4"/>
    <w:rsid w:val="00E76BBD"/>
    <w:rsid w:val="00E76CC1"/>
    <w:rsid w:val="00E77366"/>
    <w:rsid w:val="00E77553"/>
    <w:rsid w:val="00E77813"/>
    <w:rsid w:val="00E77A2C"/>
    <w:rsid w:val="00E77A92"/>
    <w:rsid w:val="00E77C03"/>
    <w:rsid w:val="00E77C9C"/>
    <w:rsid w:val="00E77DC8"/>
    <w:rsid w:val="00E8004B"/>
    <w:rsid w:val="00E80109"/>
    <w:rsid w:val="00E8019B"/>
    <w:rsid w:val="00E801C7"/>
    <w:rsid w:val="00E8021B"/>
    <w:rsid w:val="00E80470"/>
    <w:rsid w:val="00E80866"/>
    <w:rsid w:val="00E809AC"/>
    <w:rsid w:val="00E80A24"/>
    <w:rsid w:val="00E80C05"/>
    <w:rsid w:val="00E80E17"/>
    <w:rsid w:val="00E80E59"/>
    <w:rsid w:val="00E80F91"/>
    <w:rsid w:val="00E81181"/>
    <w:rsid w:val="00E81889"/>
    <w:rsid w:val="00E81F17"/>
    <w:rsid w:val="00E821E0"/>
    <w:rsid w:val="00E8226F"/>
    <w:rsid w:val="00E82415"/>
    <w:rsid w:val="00E8257A"/>
    <w:rsid w:val="00E82A64"/>
    <w:rsid w:val="00E82B9E"/>
    <w:rsid w:val="00E83419"/>
    <w:rsid w:val="00E83443"/>
    <w:rsid w:val="00E83F6E"/>
    <w:rsid w:val="00E8412A"/>
    <w:rsid w:val="00E84177"/>
    <w:rsid w:val="00E8419C"/>
    <w:rsid w:val="00E84261"/>
    <w:rsid w:val="00E84C20"/>
    <w:rsid w:val="00E84D3F"/>
    <w:rsid w:val="00E85094"/>
    <w:rsid w:val="00E8515B"/>
    <w:rsid w:val="00E85487"/>
    <w:rsid w:val="00E85562"/>
    <w:rsid w:val="00E856A3"/>
    <w:rsid w:val="00E856A6"/>
    <w:rsid w:val="00E856C6"/>
    <w:rsid w:val="00E859B4"/>
    <w:rsid w:val="00E85D38"/>
    <w:rsid w:val="00E86003"/>
    <w:rsid w:val="00E861A0"/>
    <w:rsid w:val="00E862D9"/>
    <w:rsid w:val="00E8630B"/>
    <w:rsid w:val="00E8644B"/>
    <w:rsid w:val="00E86463"/>
    <w:rsid w:val="00E86666"/>
    <w:rsid w:val="00E866C7"/>
    <w:rsid w:val="00E8685E"/>
    <w:rsid w:val="00E868F6"/>
    <w:rsid w:val="00E86AFA"/>
    <w:rsid w:val="00E86C9A"/>
    <w:rsid w:val="00E86DC2"/>
    <w:rsid w:val="00E8721E"/>
    <w:rsid w:val="00E87329"/>
    <w:rsid w:val="00E87355"/>
    <w:rsid w:val="00E8737B"/>
    <w:rsid w:val="00E873E2"/>
    <w:rsid w:val="00E875B4"/>
    <w:rsid w:val="00E875D3"/>
    <w:rsid w:val="00E87902"/>
    <w:rsid w:val="00E90146"/>
    <w:rsid w:val="00E9021B"/>
    <w:rsid w:val="00E90440"/>
    <w:rsid w:val="00E90444"/>
    <w:rsid w:val="00E90455"/>
    <w:rsid w:val="00E90830"/>
    <w:rsid w:val="00E91265"/>
    <w:rsid w:val="00E9171F"/>
    <w:rsid w:val="00E918CE"/>
    <w:rsid w:val="00E9193C"/>
    <w:rsid w:val="00E91CBC"/>
    <w:rsid w:val="00E91FE4"/>
    <w:rsid w:val="00E922CD"/>
    <w:rsid w:val="00E923D2"/>
    <w:rsid w:val="00E925C1"/>
    <w:rsid w:val="00E925FC"/>
    <w:rsid w:val="00E9264C"/>
    <w:rsid w:val="00E926DA"/>
    <w:rsid w:val="00E92721"/>
    <w:rsid w:val="00E9291B"/>
    <w:rsid w:val="00E92BA5"/>
    <w:rsid w:val="00E92BCE"/>
    <w:rsid w:val="00E92E82"/>
    <w:rsid w:val="00E931AE"/>
    <w:rsid w:val="00E9354D"/>
    <w:rsid w:val="00E93686"/>
    <w:rsid w:val="00E9378E"/>
    <w:rsid w:val="00E93D7A"/>
    <w:rsid w:val="00E9409D"/>
    <w:rsid w:val="00E940EA"/>
    <w:rsid w:val="00E94C6C"/>
    <w:rsid w:val="00E94E9A"/>
    <w:rsid w:val="00E950AE"/>
    <w:rsid w:val="00E951C0"/>
    <w:rsid w:val="00E95444"/>
    <w:rsid w:val="00E9563C"/>
    <w:rsid w:val="00E9569C"/>
    <w:rsid w:val="00E956DD"/>
    <w:rsid w:val="00E95881"/>
    <w:rsid w:val="00E958E6"/>
    <w:rsid w:val="00E95A45"/>
    <w:rsid w:val="00E95ECF"/>
    <w:rsid w:val="00E95F40"/>
    <w:rsid w:val="00E95F5E"/>
    <w:rsid w:val="00E9602B"/>
    <w:rsid w:val="00E9609D"/>
    <w:rsid w:val="00E96189"/>
    <w:rsid w:val="00E965E6"/>
    <w:rsid w:val="00E9668D"/>
    <w:rsid w:val="00E96BD7"/>
    <w:rsid w:val="00E972E7"/>
    <w:rsid w:val="00E97493"/>
    <w:rsid w:val="00E9778B"/>
    <w:rsid w:val="00E97D03"/>
    <w:rsid w:val="00E97D0D"/>
    <w:rsid w:val="00E97D0F"/>
    <w:rsid w:val="00E97F13"/>
    <w:rsid w:val="00E995CC"/>
    <w:rsid w:val="00EA0370"/>
    <w:rsid w:val="00EA0688"/>
    <w:rsid w:val="00EA0874"/>
    <w:rsid w:val="00EA0AFB"/>
    <w:rsid w:val="00EA100F"/>
    <w:rsid w:val="00EA11A4"/>
    <w:rsid w:val="00EA1607"/>
    <w:rsid w:val="00EA182D"/>
    <w:rsid w:val="00EA1B09"/>
    <w:rsid w:val="00EA1B91"/>
    <w:rsid w:val="00EA1D3F"/>
    <w:rsid w:val="00EA1DE1"/>
    <w:rsid w:val="00EA1E94"/>
    <w:rsid w:val="00EA1FB0"/>
    <w:rsid w:val="00EA2161"/>
    <w:rsid w:val="00EA23CA"/>
    <w:rsid w:val="00EA2A3A"/>
    <w:rsid w:val="00EA2B76"/>
    <w:rsid w:val="00EA2E00"/>
    <w:rsid w:val="00EA2E8A"/>
    <w:rsid w:val="00EA2F4A"/>
    <w:rsid w:val="00EA30A7"/>
    <w:rsid w:val="00EA30F3"/>
    <w:rsid w:val="00EA31FC"/>
    <w:rsid w:val="00EA3590"/>
    <w:rsid w:val="00EA35FA"/>
    <w:rsid w:val="00EA3629"/>
    <w:rsid w:val="00EA3AC8"/>
    <w:rsid w:val="00EA3AC9"/>
    <w:rsid w:val="00EA3C94"/>
    <w:rsid w:val="00EA3F90"/>
    <w:rsid w:val="00EA452C"/>
    <w:rsid w:val="00EA46BA"/>
    <w:rsid w:val="00EA4F6D"/>
    <w:rsid w:val="00EA539C"/>
    <w:rsid w:val="00EA53B4"/>
    <w:rsid w:val="00EA555B"/>
    <w:rsid w:val="00EA59E4"/>
    <w:rsid w:val="00EA5A8A"/>
    <w:rsid w:val="00EA5DE6"/>
    <w:rsid w:val="00EA5E55"/>
    <w:rsid w:val="00EA6142"/>
    <w:rsid w:val="00EA6191"/>
    <w:rsid w:val="00EA636A"/>
    <w:rsid w:val="00EA702B"/>
    <w:rsid w:val="00EA70D0"/>
    <w:rsid w:val="00EA71B1"/>
    <w:rsid w:val="00EA71F3"/>
    <w:rsid w:val="00EA7436"/>
    <w:rsid w:val="00EA7569"/>
    <w:rsid w:val="00EA75A1"/>
    <w:rsid w:val="00EA7649"/>
    <w:rsid w:val="00EA7748"/>
    <w:rsid w:val="00EA79CF"/>
    <w:rsid w:val="00EA7BED"/>
    <w:rsid w:val="00EA7E0D"/>
    <w:rsid w:val="00EA7EF9"/>
    <w:rsid w:val="00EB054E"/>
    <w:rsid w:val="00EB066C"/>
    <w:rsid w:val="00EB0D82"/>
    <w:rsid w:val="00EB0DF5"/>
    <w:rsid w:val="00EB1452"/>
    <w:rsid w:val="00EB14B4"/>
    <w:rsid w:val="00EB1509"/>
    <w:rsid w:val="00EB174C"/>
    <w:rsid w:val="00EB1C99"/>
    <w:rsid w:val="00EB2039"/>
    <w:rsid w:val="00EB23E4"/>
    <w:rsid w:val="00EB2430"/>
    <w:rsid w:val="00EB26BB"/>
    <w:rsid w:val="00EB286B"/>
    <w:rsid w:val="00EB2A09"/>
    <w:rsid w:val="00EB2CC5"/>
    <w:rsid w:val="00EB32FD"/>
    <w:rsid w:val="00EB33FC"/>
    <w:rsid w:val="00EB3595"/>
    <w:rsid w:val="00EB39C2"/>
    <w:rsid w:val="00EB3C02"/>
    <w:rsid w:val="00EB3D22"/>
    <w:rsid w:val="00EB3ECE"/>
    <w:rsid w:val="00EB3EF5"/>
    <w:rsid w:val="00EB3FDD"/>
    <w:rsid w:val="00EB4518"/>
    <w:rsid w:val="00EB4AD9"/>
    <w:rsid w:val="00EB4B47"/>
    <w:rsid w:val="00EB4B6A"/>
    <w:rsid w:val="00EB4D24"/>
    <w:rsid w:val="00EB5679"/>
    <w:rsid w:val="00EB588F"/>
    <w:rsid w:val="00EB5914"/>
    <w:rsid w:val="00EB5E38"/>
    <w:rsid w:val="00EB63DC"/>
    <w:rsid w:val="00EB65C9"/>
    <w:rsid w:val="00EB6639"/>
    <w:rsid w:val="00EB68AF"/>
    <w:rsid w:val="00EB68B6"/>
    <w:rsid w:val="00EB6B06"/>
    <w:rsid w:val="00EB7205"/>
    <w:rsid w:val="00EB738C"/>
    <w:rsid w:val="00EB73BD"/>
    <w:rsid w:val="00EB7486"/>
    <w:rsid w:val="00EB7746"/>
    <w:rsid w:val="00EB7D49"/>
    <w:rsid w:val="00EBED56"/>
    <w:rsid w:val="00EC0250"/>
    <w:rsid w:val="00EC02E0"/>
    <w:rsid w:val="00EC0353"/>
    <w:rsid w:val="00EC0376"/>
    <w:rsid w:val="00EC0511"/>
    <w:rsid w:val="00EC0ABC"/>
    <w:rsid w:val="00EC0C69"/>
    <w:rsid w:val="00EC0DE4"/>
    <w:rsid w:val="00EC11DC"/>
    <w:rsid w:val="00EC1395"/>
    <w:rsid w:val="00EC170A"/>
    <w:rsid w:val="00EC1B33"/>
    <w:rsid w:val="00EC1BC3"/>
    <w:rsid w:val="00EC1D68"/>
    <w:rsid w:val="00EC1E39"/>
    <w:rsid w:val="00EC21A9"/>
    <w:rsid w:val="00EC2260"/>
    <w:rsid w:val="00EC236F"/>
    <w:rsid w:val="00EC27C1"/>
    <w:rsid w:val="00EC2988"/>
    <w:rsid w:val="00EC2A85"/>
    <w:rsid w:val="00EC2B50"/>
    <w:rsid w:val="00EC2D2D"/>
    <w:rsid w:val="00EC2D42"/>
    <w:rsid w:val="00EC3110"/>
    <w:rsid w:val="00EC345F"/>
    <w:rsid w:val="00EC3A6B"/>
    <w:rsid w:val="00EC4025"/>
    <w:rsid w:val="00EC43CC"/>
    <w:rsid w:val="00EC43EE"/>
    <w:rsid w:val="00EC43FE"/>
    <w:rsid w:val="00EC4516"/>
    <w:rsid w:val="00EC4641"/>
    <w:rsid w:val="00EC47A7"/>
    <w:rsid w:val="00EC50D4"/>
    <w:rsid w:val="00EC53BE"/>
    <w:rsid w:val="00EC542E"/>
    <w:rsid w:val="00EC564D"/>
    <w:rsid w:val="00EC58F5"/>
    <w:rsid w:val="00EC5AA0"/>
    <w:rsid w:val="00EC5B53"/>
    <w:rsid w:val="00EC5C7A"/>
    <w:rsid w:val="00EC6676"/>
    <w:rsid w:val="00EC6A9A"/>
    <w:rsid w:val="00EC6D55"/>
    <w:rsid w:val="00EC6DF8"/>
    <w:rsid w:val="00EC6E9A"/>
    <w:rsid w:val="00EC6FB0"/>
    <w:rsid w:val="00EC7074"/>
    <w:rsid w:val="00EC7344"/>
    <w:rsid w:val="00EC7533"/>
    <w:rsid w:val="00EC788A"/>
    <w:rsid w:val="00EC7A08"/>
    <w:rsid w:val="00EC7FD1"/>
    <w:rsid w:val="00ED031D"/>
    <w:rsid w:val="00ED063F"/>
    <w:rsid w:val="00ED08E1"/>
    <w:rsid w:val="00ED09EB"/>
    <w:rsid w:val="00ED0CE5"/>
    <w:rsid w:val="00ED1388"/>
    <w:rsid w:val="00ED139A"/>
    <w:rsid w:val="00ED14E8"/>
    <w:rsid w:val="00ED15C4"/>
    <w:rsid w:val="00ED181F"/>
    <w:rsid w:val="00ED191A"/>
    <w:rsid w:val="00ED1DFA"/>
    <w:rsid w:val="00ED1E2A"/>
    <w:rsid w:val="00ED1E65"/>
    <w:rsid w:val="00ED248A"/>
    <w:rsid w:val="00ED26FD"/>
    <w:rsid w:val="00ED27E8"/>
    <w:rsid w:val="00ED28A6"/>
    <w:rsid w:val="00ED298C"/>
    <w:rsid w:val="00ED29AA"/>
    <w:rsid w:val="00ED2BF0"/>
    <w:rsid w:val="00ED2C6D"/>
    <w:rsid w:val="00ED2FB2"/>
    <w:rsid w:val="00ED30E4"/>
    <w:rsid w:val="00ED3802"/>
    <w:rsid w:val="00ED3A2B"/>
    <w:rsid w:val="00ED3DFF"/>
    <w:rsid w:val="00ED45B5"/>
    <w:rsid w:val="00ED462A"/>
    <w:rsid w:val="00ED4703"/>
    <w:rsid w:val="00ED5163"/>
    <w:rsid w:val="00ED5503"/>
    <w:rsid w:val="00ED5795"/>
    <w:rsid w:val="00ED5855"/>
    <w:rsid w:val="00ED5B61"/>
    <w:rsid w:val="00ED5CE2"/>
    <w:rsid w:val="00ED5CFF"/>
    <w:rsid w:val="00ED5D02"/>
    <w:rsid w:val="00ED5DE4"/>
    <w:rsid w:val="00ED5FE4"/>
    <w:rsid w:val="00ED6295"/>
    <w:rsid w:val="00ED62DC"/>
    <w:rsid w:val="00ED65FD"/>
    <w:rsid w:val="00ED6601"/>
    <w:rsid w:val="00ED67A5"/>
    <w:rsid w:val="00ED6B8F"/>
    <w:rsid w:val="00ED6BCC"/>
    <w:rsid w:val="00ED6D94"/>
    <w:rsid w:val="00ED6EB6"/>
    <w:rsid w:val="00ED7080"/>
    <w:rsid w:val="00ED712E"/>
    <w:rsid w:val="00ED7449"/>
    <w:rsid w:val="00ED74B0"/>
    <w:rsid w:val="00ED7895"/>
    <w:rsid w:val="00ED7C94"/>
    <w:rsid w:val="00ED7F5C"/>
    <w:rsid w:val="00EE004A"/>
    <w:rsid w:val="00EE004D"/>
    <w:rsid w:val="00EE0088"/>
    <w:rsid w:val="00EE0146"/>
    <w:rsid w:val="00EE0423"/>
    <w:rsid w:val="00EE0483"/>
    <w:rsid w:val="00EE068D"/>
    <w:rsid w:val="00EE0CE6"/>
    <w:rsid w:val="00EE0D8C"/>
    <w:rsid w:val="00EE0D96"/>
    <w:rsid w:val="00EE0E10"/>
    <w:rsid w:val="00EE11E2"/>
    <w:rsid w:val="00EE1A60"/>
    <w:rsid w:val="00EE1C7E"/>
    <w:rsid w:val="00EE1E4D"/>
    <w:rsid w:val="00EE1F79"/>
    <w:rsid w:val="00EE1F7E"/>
    <w:rsid w:val="00EE1FA5"/>
    <w:rsid w:val="00EE1FE3"/>
    <w:rsid w:val="00EE2065"/>
    <w:rsid w:val="00EE2091"/>
    <w:rsid w:val="00EE214C"/>
    <w:rsid w:val="00EE2166"/>
    <w:rsid w:val="00EE21DD"/>
    <w:rsid w:val="00EE27C6"/>
    <w:rsid w:val="00EE2B1C"/>
    <w:rsid w:val="00EE2E65"/>
    <w:rsid w:val="00EE3016"/>
    <w:rsid w:val="00EE315B"/>
    <w:rsid w:val="00EE3537"/>
    <w:rsid w:val="00EE3B6E"/>
    <w:rsid w:val="00EE3CE5"/>
    <w:rsid w:val="00EE3EE1"/>
    <w:rsid w:val="00EE435C"/>
    <w:rsid w:val="00EE4439"/>
    <w:rsid w:val="00EE454B"/>
    <w:rsid w:val="00EE49FA"/>
    <w:rsid w:val="00EE4B2F"/>
    <w:rsid w:val="00EE4C6B"/>
    <w:rsid w:val="00EE5130"/>
    <w:rsid w:val="00EE5254"/>
    <w:rsid w:val="00EE5551"/>
    <w:rsid w:val="00EE5718"/>
    <w:rsid w:val="00EE57AB"/>
    <w:rsid w:val="00EE5B3D"/>
    <w:rsid w:val="00EE6258"/>
    <w:rsid w:val="00EE62E1"/>
    <w:rsid w:val="00EE6488"/>
    <w:rsid w:val="00EE665C"/>
    <w:rsid w:val="00EE6E55"/>
    <w:rsid w:val="00EE7361"/>
    <w:rsid w:val="00EE74A2"/>
    <w:rsid w:val="00EE7533"/>
    <w:rsid w:val="00EE778D"/>
    <w:rsid w:val="00EE7B8A"/>
    <w:rsid w:val="00EE7C9B"/>
    <w:rsid w:val="00EE7DB1"/>
    <w:rsid w:val="00EE7E6C"/>
    <w:rsid w:val="00EF0045"/>
    <w:rsid w:val="00EF025B"/>
    <w:rsid w:val="00EF09D2"/>
    <w:rsid w:val="00EF0AAA"/>
    <w:rsid w:val="00EF0B7F"/>
    <w:rsid w:val="00EF0BE5"/>
    <w:rsid w:val="00EF0CEB"/>
    <w:rsid w:val="00EF0E6F"/>
    <w:rsid w:val="00EF112D"/>
    <w:rsid w:val="00EF12F7"/>
    <w:rsid w:val="00EF1612"/>
    <w:rsid w:val="00EF1755"/>
    <w:rsid w:val="00EF17EB"/>
    <w:rsid w:val="00EF1C2A"/>
    <w:rsid w:val="00EF1CFD"/>
    <w:rsid w:val="00EF2399"/>
    <w:rsid w:val="00EF2538"/>
    <w:rsid w:val="00EF25E8"/>
    <w:rsid w:val="00EF2845"/>
    <w:rsid w:val="00EF29CA"/>
    <w:rsid w:val="00EF2BE8"/>
    <w:rsid w:val="00EF2CD4"/>
    <w:rsid w:val="00EF33E7"/>
    <w:rsid w:val="00EF3480"/>
    <w:rsid w:val="00EF3A42"/>
    <w:rsid w:val="00EF3B9B"/>
    <w:rsid w:val="00EF3F26"/>
    <w:rsid w:val="00EF4AD7"/>
    <w:rsid w:val="00EF4CA5"/>
    <w:rsid w:val="00EF4E36"/>
    <w:rsid w:val="00EF505A"/>
    <w:rsid w:val="00EF5578"/>
    <w:rsid w:val="00EF564D"/>
    <w:rsid w:val="00EF577D"/>
    <w:rsid w:val="00EF5781"/>
    <w:rsid w:val="00EF5D90"/>
    <w:rsid w:val="00EF6260"/>
    <w:rsid w:val="00EF6A45"/>
    <w:rsid w:val="00EF6DED"/>
    <w:rsid w:val="00EF7007"/>
    <w:rsid w:val="00EF7246"/>
    <w:rsid w:val="00EF735C"/>
    <w:rsid w:val="00EF76EE"/>
    <w:rsid w:val="00EF7779"/>
    <w:rsid w:val="00EF77A6"/>
    <w:rsid w:val="00EF7852"/>
    <w:rsid w:val="00EF785E"/>
    <w:rsid w:val="00EF7BA0"/>
    <w:rsid w:val="00F00300"/>
    <w:rsid w:val="00F007F4"/>
    <w:rsid w:val="00F00B19"/>
    <w:rsid w:val="00F00CA1"/>
    <w:rsid w:val="00F00DA6"/>
    <w:rsid w:val="00F00F43"/>
    <w:rsid w:val="00F00FB5"/>
    <w:rsid w:val="00F0108F"/>
    <w:rsid w:val="00F0149C"/>
    <w:rsid w:val="00F017E9"/>
    <w:rsid w:val="00F01957"/>
    <w:rsid w:val="00F01A53"/>
    <w:rsid w:val="00F02105"/>
    <w:rsid w:val="00F021BC"/>
    <w:rsid w:val="00F021FA"/>
    <w:rsid w:val="00F02338"/>
    <w:rsid w:val="00F0267C"/>
    <w:rsid w:val="00F029F1"/>
    <w:rsid w:val="00F02D15"/>
    <w:rsid w:val="00F030CC"/>
    <w:rsid w:val="00F030DA"/>
    <w:rsid w:val="00F03123"/>
    <w:rsid w:val="00F032F6"/>
    <w:rsid w:val="00F036DF"/>
    <w:rsid w:val="00F037F7"/>
    <w:rsid w:val="00F03894"/>
    <w:rsid w:val="00F038C9"/>
    <w:rsid w:val="00F03CCF"/>
    <w:rsid w:val="00F03F83"/>
    <w:rsid w:val="00F03FB3"/>
    <w:rsid w:val="00F04323"/>
    <w:rsid w:val="00F053BE"/>
    <w:rsid w:val="00F05557"/>
    <w:rsid w:val="00F0566E"/>
    <w:rsid w:val="00F058DE"/>
    <w:rsid w:val="00F05E40"/>
    <w:rsid w:val="00F0615A"/>
    <w:rsid w:val="00F06181"/>
    <w:rsid w:val="00F0659F"/>
    <w:rsid w:val="00F0662F"/>
    <w:rsid w:val="00F066A2"/>
    <w:rsid w:val="00F066B6"/>
    <w:rsid w:val="00F0671A"/>
    <w:rsid w:val="00F06A61"/>
    <w:rsid w:val="00F06C2D"/>
    <w:rsid w:val="00F072CE"/>
    <w:rsid w:val="00F07706"/>
    <w:rsid w:val="00F078AF"/>
    <w:rsid w:val="00F07A38"/>
    <w:rsid w:val="00F07CCB"/>
    <w:rsid w:val="00F07F36"/>
    <w:rsid w:val="00F088A2"/>
    <w:rsid w:val="00F10043"/>
    <w:rsid w:val="00F102B5"/>
    <w:rsid w:val="00F109C7"/>
    <w:rsid w:val="00F10AD6"/>
    <w:rsid w:val="00F10AE1"/>
    <w:rsid w:val="00F10C49"/>
    <w:rsid w:val="00F10E1D"/>
    <w:rsid w:val="00F10EB3"/>
    <w:rsid w:val="00F11493"/>
    <w:rsid w:val="00F1166D"/>
    <w:rsid w:val="00F118F8"/>
    <w:rsid w:val="00F119D2"/>
    <w:rsid w:val="00F11F0E"/>
    <w:rsid w:val="00F121EE"/>
    <w:rsid w:val="00F12521"/>
    <w:rsid w:val="00F12737"/>
    <w:rsid w:val="00F12838"/>
    <w:rsid w:val="00F12AF8"/>
    <w:rsid w:val="00F12B7E"/>
    <w:rsid w:val="00F12D34"/>
    <w:rsid w:val="00F12F08"/>
    <w:rsid w:val="00F13892"/>
    <w:rsid w:val="00F13E1B"/>
    <w:rsid w:val="00F14506"/>
    <w:rsid w:val="00F14819"/>
    <w:rsid w:val="00F14BDC"/>
    <w:rsid w:val="00F14D91"/>
    <w:rsid w:val="00F15055"/>
    <w:rsid w:val="00F15179"/>
    <w:rsid w:val="00F1530A"/>
    <w:rsid w:val="00F15438"/>
    <w:rsid w:val="00F15674"/>
    <w:rsid w:val="00F15A74"/>
    <w:rsid w:val="00F15D52"/>
    <w:rsid w:val="00F15D80"/>
    <w:rsid w:val="00F15F9D"/>
    <w:rsid w:val="00F16393"/>
    <w:rsid w:val="00F167C3"/>
    <w:rsid w:val="00F16865"/>
    <w:rsid w:val="00F16F0A"/>
    <w:rsid w:val="00F17316"/>
    <w:rsid w:val="00F17616"/>
    <w:rsid w:val="00F176EE"/>
    <w:rsid w:val="00F1789C"/>
    <w:rsid w:val="00F178E3"/>
    <w:rsid w:val="00F178EF"/>
    <w:rsid w:val="00F17912"/>
    <w:rsid w:val="00F17C04"/>
    <w:rsid w:val="00F17F75"/>
    <w:rsid w:val="00F17FBC"/>
    <w:rsid w:val="00F2007E"/>
    <w:rsid w:val="00F204E1"/>
    <w:rsid w:val="00F204E8"/>
    <w:rsid w:val="00F206E8"/>
    <w:rsid w:val="00F2094D"/>
    <w:rsid w:val="00F20A31"/>
    <w:rsid w:val="00F20A4E"/>
    <w:rsid w:val="00F20AFB"/>
    <w:rsid w:val="00F20B4F"/>
    <w:rsid w:val="00F20C38"/>
    <w:rsid w:val="00F20DC5"/>
    <w:rsid w:val="00F20EAC"/>
    <w:rsid w:val="00F210EB"/>
    <w:rsid w:val="00F2129E"/>
    <w:rsid w:val="00F214A7"/>
    <w:rsid w:val="00F216BA"/>
    <w:rsid w:val="00F21C13"/>
    <w:rsid w:val="00F21CFA"/>
    <w:rsid w:val="00F223EF"/>
    <w:rsid w:val="00F2254C"/>
    <w:rsid w:val="00F22588"/>
    <w:rsid w:val="00F230EA"/>
    <w:rsid w:val="00F23114"/>
    <w:rsid w:val="00F23370"/>
    <w:rsid w:val="00F23480"/>
    <w:rsid w:val="00F23634"/>
    <w:rsid w:val="00F23866"/>
    <w:rsid w:val="00F2392C"/>
    <w:rsid w:val="00F23B93"/>
    <w:rsid w:val="00F23B94"/>
    <w:rsid w:val="00F23DA3"/>
    <w:rsid w:val="00F23E12"/>
    <w:rsid w:val="00F241BF"/>
    <w:rsid w:val="00F2469A"/>
    <w:rsid w:val="00F24B31"/>
    <w:rsid w:val="00F24BB3"/>
    <w:rsid w:val="00F24EE0"/>
    <w:rsid w:val="00F24F4B"/>
    <w:rsid w:val="00F2556F"/>
    <w:rsid w:val="00F258AE"/>
    <w:rsid w:val="00F25951"/>
    <w:rsid w:val="00F25A98"/>
    <w:rsid w:val="00F25C66"/>
    <w:rsid w:val="00F25D23"/>
    <w:rsid w:val="00F26020"/>
    <w:rsid w:val="00F26625"/>
    <w:rsid w:val="00F26828"/>
    <w:rsid w:val="00F2736E"/>
    <w:rsid w:val="00F274A3"/>
    <w:rsid w:val="00F274E0"/>
    <w:rsid w:val="00F27CBA"/>
    <w:rsid w:val="00F27CCC"/>
    <w:rsid w:val="00F27E34"/>
    <w:rsid w:val="00F27F58"/>
    <w:rsid w:val="00F2B691"/>
    <w:rsid w:val="00F2CF73"/>
    <w:rsid w:val="00F3015D"/>
    <w:rsid w:val="00F30417"/>
    <w:rsid w:val="00F30868"/>
    <w:rsid w:val="00F3089A"/>
    <w:rsid w:val="00F3097D"/>
    <w:rsid w:val="00F30AB5"/>
    <w:rsid w:val="00F30B15"/>
    <w:rsid w:val="00F30DAA"/>
    <w:rsid w:val="00F311D0"/>
    <w:rsid w:val="00F3147E"/>
    <w:rsid w:val="00F31A27"/>
    <w:rsid w:val="00F31A78"/>
    <w:rsid w:val="00F32015"/>
    <w:rsid w:val="00F323B5"/>
    <w:rsid w:val="00F32746"/>
    <w:rsid w:val="00F32C3D"/>
    <w:rsid w:val="00F32D76"/>
    <w:rsid w:val="00F32D90"/>
    <w:rsid w:val="00F32DD7"/>
    <w:rsid w:val="00F3312E"/>
    <w:rsid w:val="00F331E1"/>
    <w:rsid w:val="00F336D7"/>
    <w:rsid w:val="00F33D2E"/>
    <w:rsid w:val="00F33E20"/>
    <w:rsid w:val="00F342B7"/>
    <w:rsid w:val="00F342F8"/>
    <w:rsid w:val="00F345AE"/>
    <w:rsid w:val="00F348FF"/>
    <w:rsid w:val="00F3495E"/>
    <w:rsid w:val="00F34A35"/>
    <w:rsid w:val="00F34C80"/>
    <w:rsid w:val="00F35201"/>
    <w:rsid w:val="00F3531F"/>
    <w:rsid w:val="00F354D9"/>
    <w:rsid w:val="00F35670"/>
    <w:rsid w:val="00F35702"/>
    <w:rsid w:val="00F35C31"/>
    <w:rsid w:val="00F35E38"/>
    <w:rsid w:val="00F35F6A"/>
    <w:rsid w:val="00F360A8"/>
    <w:rsid w:val="00F360E0"/>
    <w:rsid w:val="00F36528"/>
    <w:rsid w:val="00F36B69"/>
    <w:rsid w:val="00F36F89"/>
    <w:rsid w:val="00F3717D"/>
    <w:rsid w:val="00F3724B"/>
    <w:rsid w:val="00F37336"/>
    <w:rsid w:val="00F3744F"/>
    <w:rsid w:val="00F37E91"/>
    <w:rsid w:val="00F37F17"/>
    <w:rsid w:val="00F4017C"/>
    <w:rsid w:val="00F403A1"/>
    <w:rsid w:val="00F408C1"/>
    <w:rsid w:val="00F40921"/>
    <w:rsid w:val="00F410FD"/>
    <w:rsid w:val="00F411B5"/>
    <w:rsid w:val="00F41356"/>
    <w:rsid w:val="00F4136F"/>
    <w:rsid w:val="00F41408"/>
    <w:rsid w:val="00F41489"/>
    <w:rsid w:val="00F414B7"/>
    <w:rsid w:val="00F415C1"/>
    <w:rsid w:val="00F41DDA"/>
    <w:rsid w:val="00F42158"/>
    <w:rsid w:val="00F4233A"/>
    <w:rsid w:val="00F42731"/>
    <w:rsid w:val="00F427A4"/>
    <w:rsid w:val="00F42A4B"/>
    <w:rsid w:val="00F42A59"/>
    <w:rsid w:val="00F42B25"/>
    <w:rsid w:val="00F42B4A"/>
    <w:rsid w:val="00F42BB1"/>
    <w:rsid w:val="00F42BCF"/>
    <w:rsid w:val="00F4366B"/>
    <w:rsid w:val="00F43740"/>
    <w:rsid w:val="00F439BF"/>
    <w:rsid w:val="00F43BE6"/>
    <w:rsid w:val="00F43D67"/>
    <w:rsid w:val="00F43E63"/>
    <w:rsid w:val="00F440C3"/>
    <w:rsid w:val="00F44261"/>
    <w:rsid w:val="00F44276"/>
    <w:rsid w:val="00F445CD"/>
    <w:rsid w:val="00F44986"/>
    <w:rsid w:val="00F44BE5"/>
    <w:rsid w:val="00F45087"/>
    <w:rsid w:val="00F45167"/>
    <w:rsid w:val="00F45679"/>
    <w:rsid w:val="00F45705"/>
    <w:rsid w:val="00F45725"/>
    <w:rsid w:val="00F459B3"/>
    <w:rsid w:val="00F459C4"/>
    <w:rsid w:val="00F45C54"/>
    <w:rsid w:val="00F45C64"/>
    <w:rsid w:val="00F4682D"/>
    <w:rsid w:val="00F469A2"/>
    <w:rsid w:val="00F46B0F"/>
    <w:rsid w:val="00F46B5B"/>
    <w:rsid w:val="00F46EFB"/>
    <w:rsid w:val="00F46F2F"/>
    <w:rsid w:val="00F471F5"/>
    <w:rsid w:val="00F4733C"/>
    <w:rsid w:val="00F4742C"/>
    <w:rsid w:val="00F47542"/>
    <w:rsid w:val="00F476AB"/>
    <w:rsid w:val="00F47863"/>
    <w:rsid w:val="00F478C0"/>
    <w:rsid w:val="00F479B5"/>
    <w:rsid w:val="00F4CA98"/>
    <w:rsid w:val="00F50244"/>
    <w:rsid w:val="00F502DB"/>
    <w:rsid w:val="00F50393"/>
    <w:rsid w:val="00F50769"/>
    <w:rsid w:val="00F509BA"/>
    <w:rsid w:val="00F50D84"/>
    <w:rsid w:val="00F510F1"/>
    <w:rsid w:val="00F5115E"/>
    <w:rsid w:val="00F512E0"/>
    <w:rsid w:val="00F515BA"/>
    <w:rsid w:val="00F51663"/>
    <w:rsid w:val="00F51755"/>
    <w:rsid w:val="00F5175E"/>
    <w:rsid w:val="00F51822"/>
    <w:rsid w:val="00F51937"/>
    <w:rsid w:val="00F519F0"/>
    <w:rsid w:val="00F51BF5"/>
    <w:rsid w:val="00F51C70"/>
    <w:rsid w:val="00F51D08"/>
    <w:rsid w:val="00F51D3C"/>
    <w:rsid w:val="00F51FD6"/>
    <w:rsid w:val="00F52029"/>
    <w:rsid w:val="00F52177"/>
    <w:rsid w:val="00F52537"/>
    <w:rsid w:val="00F52553"/>
    <w:rsid w:val="00F52645"/>
    <w:rsid w:val="00F52742"/>
    <w:rsid w:val="00F527E5"/>
    <w:rsid w:val="00F527FB"/>
    <w:rsid w:val="00F52BED"/>
    <w:rsid w:val="00F52CBF"/>
    <w:rsid w:val="00F52D6A"/>
    <w:rsid w:val="00F52E46"/>
    <w:rsid w:val="00F52E6F"/>
    <w:rsid w:val="00F5300F"/>
    <w:rsid w:val="00F53222"/>
    <w:rsid w:val="00F537BB"/>
    <w:rsid w:val="00F53971"/>
    <w:rsid w:val="00F53998"/>
    <w:rsid w:val="00F53A68"/>
    <w:rsid w:val="00F53BA3"/>
    <w:rsid w:val="00F53D6D"/>
    <w:rsid w:val="00F53F83"/>
    <w:rsid w:val="00F54781"/>
    <w:rsid w:val="00F54C64"/>
    <w:rsid w:val="00F54D10"/>
    <w:rsid w:val="00F54DE6"/>
    <w:rsid w:val="00F55317"/>
    <w:rsid w:val="00F5563C"/>
    <w:rsid w:val="00F55800"/>
    <w:rsid w:val="00F55B49"/>
    <w:rsid w:val="00F55CAE"/>
    <w:rsid w:val="00F56B69"/>
    <w:rsid w:val="00F56DC2"/>
    <w:rsid w:val="00F56EDE"/>
    <w:rsid w:val="00F5705D"/>
    <w:rsid w:val="00F5719A"/>
    <w:rsid w:val="00F5742F"/>
    <w:rsid w:val="00F5747A"/>
    <w:rsid w:val="00F57497"/>
    <w:rsid w:val="00F576C7"/>
    <w:rsid w:val="00F576E0"/>
    <w:rsid w:val="00F578C4"/>
    <w:rsid w:val="00F579E0"/>
    <w:rsid w:val="00F57F35"/>
    <w:rsid w:val="00F6006F"/>
    <w:rsid w:val="00F60474"/>
    <w:rsid w:val="00F60502"/>
    <w:rsid w:val="00F60780"/>
    <w:rsid w:val="00F60928"/>
    <w:rsid w:val="00F60A52"/>
    <w:rsid w:val="00F60AB6"/>
    <w:rsid w:val="00F60C05"/>
    <w:rsid w:val="00F60C82"/>
    <w:rsid w:val="00F60CED"/>
    <w:rsid w:val="00F60FB1"/>
    <w:rsid w:val="00F6145B"/>
    <w:rsid w:val="00F61C25"/>
    <w:rsid w:val="00F61C75"/>
    <w:rsid w:val="00F61CC8"/>
    <w:rsid w:val="00F61DCA"/>
    <w:rsid w:val="00F6200B"/>
    <w:rsid w:val="00F621C9"/>
    <w:rsid w:val="00F6228E"/>
    <w:rsid w:val="00F62485"/>
    <w:rsid w:val="00F62652"/>
    <w:rsid w:val="00F629A1"/>
    <w:rsid w:val="00F62E97"/>
    <w:rsid w:val="00F63019"/>
    <w:rsid w:val="00F63098"/>
    <w:rsid w:val="00F6327D"/>
    <w:rsid w:val="00F632EA"/>
    <w:rsid w:val="00F634E1"/>
    <w:rsid w:val="00F63568"/>
    <w:rsid w:val="00F638DB"/>
    <w:rsid w:val="00F63A21"/>
    <w:rsid w:val="00F63C80"/>
    <w:rsid w:val="00F63CF5"/>
    <w:rsid w:val="00F63EBC"/>
    <w:rsid w:val="00F64209"/>
    <w:rsid w:val="00F647E0"/>
    <w:rsid w:val="00F64935"/>
    <w:rsid w:val="00F649C0"/>
    <w:rsid w:val="00F64B9F"/>
    <w:rsid w:val="00F64E17"/>
    <w:rsid w:val="00F64EB3"/>
    <w:rsid w:val="00F64F5B"/>
    <w:rsid w:val="00F650AF"/>
    <w:rsid w:val="00F65103"/>
    <w:rsid w:val="00F652E6"/>
    <w:rsid w:val="00F6577C"/>
    <w:rsid w:val="00F65CAE"/>
    <w:rsid w:val="00F662CB"/>
    <w:rsid w:val="00F66312"/>
    <w:rsid w:val="00F6633B"/>
    <w:rsid w:val="00F663EA"/>
    <w:rsid w:val="00F66A02"/>
    <w:rsid w:val="00F6712F"/>
    <w:rsid w:val="00F672DB"/>
    <w:rsid w:val="00F6764A"/>
    <w:rsid w:val="00F676F8"/>
    <w:rsid w:val="00F67A36"/>
    <w:rsid w:val="00F67C48"/>
    <w:rsid w:val="00F67C8C"/>
    <w:rsid w:val="00F67CAA"/>
    <w:rsid w:val="00F6A733"/>
    <w:rsid w:val="00F70013"/>
    <w:rsid w:val="00F70053"/>
    <w:rsid w:val="00F702EB"/>
    <w:rsid w:val="00F7047A"/>
    <w:rsid w:val="00F70BD5"/>
    <w:rsid w:val="00F70CC6"/>
    <w:rsid w:val="00F70D08"/>
    <w:rsid w:val="00F70D6F"/>
    <w:rsid w:val="00F71430"/>
    <w:rsid w:val="00F71554"/>
    <w:rsid w:val="00F715BB"/>
    <w:rsid w:val="00F715BF"/>
    <w:rsid w:val="00F716D6"/>
    <w:rsid w:val="00F71830"/>
    <w:rsid w:val="00F71BC2"/>
    <w:rsid w:val="00F71DB1"/>
    <w:rsid w:val="00F71E03"/>
    <w:rsid w:val="00F7217C"/>
    <w:rsid w:val="00F72535"/>
    <w:rsid w:val="00F726FA"/>
    <w:rsid w:val="00F728D9"/>
    <w:rsid w:val="00F728F8"/>
    <w:rsid w:val="00F72923"/>
    <w:rsid w:val="00F72953"/>
    <w:rsid w:val="00F72B4C"/>
    <w:rsid w:val="00F72B5D"/>
    <w:rsid w:val="00F72E15"/>
    <w:rsid w:val="00F72FD6"/>
    <w:rsid w:val="00F7341D"/>
    <w:rsid w:val="00F739DE"/>
    <w:rsid w:val="00F73B37"/>
    <w:rsid w:val="00F7427E"/>
    <w:rsid w:val="00F742E3"/>
    <w:rsid w:val="00F743F8"/>
    <w:rsid w:val="00F7454D"/>
    <w:rsid w:val="00F74AA0"/>
    <w:rsid w:val="00F74BA5"/>
    <w:rsid w:val="00F74FA3"/>
    <w:rsid w:val="00F75034"/>
    <w:rsid w:val="00F756C2"/>
    <w:rsid w:val="00F75A04"/>
    <w:rsid w:val="00F75B6B"/>
    <w:rsid w:val="00F75B92"/>
    <w:rsid w:val="00F75D06"/>
    <w:rsid w:val="00F76192"/>
    <w:rsid w:val="00F764B8"/>
    <w:rsid w:val="00F767D9"/>
    <w:rsid w:val="00F767F6"/>
    <w:rsid w:val="00F76A17"/>
    <w:rsid w:val="00F76C4B"/>
    <w:rsid w:val="00F76E46"/>
    <w:rsid w:val="00F77563"/>
    <w:rsid w:val="00F77826"/>
    <w:rsid w:val="00F7783A"/>
    <w:rsid w:val="00F778C0"/>
    <w:rsid w:val="00F77DA6"/>
    <w:rsid w:val="00F77E27"/>
    <w:rsid w:val="00F78248"/>
    <w:rsid w:val="00F8015E"/>
    <w:rsid w:val="00F802E2"/>
    <w:rsid w:val="00F804D7"/>
    <w:rsid w:val="00F806E5"/>
    <w:rsid w:val="00F8093A"/>
    <w:rsid w:val="00F80CD7"/>
    <w:rsid w:val="00F811E2"/>
    <w:rsid w:val="00F81504"/>
    <w:rsid w:val="00F81A41"/>
    <w:rsid w:val="00F81DE2"/>
    <w:rsid w:val="00F81F1C"/>
    <w:rsid w:val="00F82845"/>
    <w:rsid w:val="00F82AB3"/>
    <w:rsid w:val="00F830B9"/>
    <w:rsid w:val="00F83116"/>
    <w:rsid w:val="00F83175"/>
    <w:rsid w:val="00F833C3"/>
    <w:rsid w:val="00F834DB"/>
    <w:rsid w:val="00F834E3"/>
    <w:rsid w:val="00F8356D"/>
    <w:rsid w:val="00F83826"/>
    <w:rsid w:val="00F83C83"/>
    <w:rsid w:val="00F83DBE"/>
    <w:rsid w:val="00F83F7F"/>
    <w:rsid w:val="00F84035"/>
    <w:rsid w:val="00F840F7"/>
    <w:rsid w:val="00F843D5"/>
    <w:rsid w:val="00F843FA"/>
    <w:rsid w:val="00F844D7"/>
    <w:rsid w:val="00F84654"/>
    <w:rsid w:val="00F8471D"/>
    <w:rsid w:val="00F84B64"/>
    <w:rsid w:val="00F84D38"/>
    <w:rsid w:val="00F855F1"/>
    <w:rsid w:val="00F85798"/>
    <w:rsid w:val="00F857E6"/>
    <w:rsid w:val="00F8588A"/>
    <w:rsid w:val="00F85893"/>
    <w:rsid w:val="00F85A63"/>
    <w:rsid w:val="00F85BAD"/>
    <w:rsid w:val="00F85EA4"/>
    <w:rsid w:val="00F85F27"/>
    <w:rsid w:val="00F85F75"/>
    <w:rsid w:val="00F863E3"/>
    <w:rsid w:val="00F867A5"/>
    <w:rsid w:val="00F868D9"/>
    <w:rsid w:val="00F8692F"/>
    <w:rsid w:val="00F869BF"/>
    <w:rsid w:val="00F86C68"/>
    <w:rsid w:val="00F86E5F"/>
    <w:rsid w:val="00F87014"/>
    <w:rsid w:val="00F874FB"/>
    <w:rsid w:val="00F8752A"/>
    <w:rsid w:val="00F87A64"/>
    <w:rsid w:val="00F87F65"/>
    <w:rsid w:val="00F90528"/>
    <w:rsid w:val="00F90695"/>
    <w:rsid w:val="00F908B7"/>
    <w:rsid w:val="00F90B53"/>
    <w:rsid w:val="00F90B99"/>
    <w:rsid w:val="00F910F7"/>
    <w:rsid w:val="00F91289"/>
    <w:rsid w:val="00F91579"/>
    <w:rsid w:val="00F924BF"/>
    <w:rsid w:val="00F92732"/>
    <w:rsid w:val="00F92A2B"/>
    <w:rsid w:val="00F92BD7"/>
    <w:rsid w:val="00F92C48"/>
    <w:rsid w:val="00F92DAB"/>
    <w:rsid w:val="00F92EB4"/>
    <w:rsid w:val="00F939F6"/>
    <w:rsid w:val="00F93BF5"/>
    <w:rsid w:val="00F93C16"/>
    <w:rsid w:val="00F93C22"/>
    <w:rsid w:val="00F93CCE"/>
    <w:rsid w:val="00F93DF5"/>
    <w:rsid w:val="00F93F7D"/>
    <w:rsid w:val="00F9479B"/>
    <w:rsid w:val="00F94829"/>
    <w:rsid w:val="00F94BB5"/>
    <w:rsid w:val="00F94DA7"/>
    <w:rsid w:val="00F94EE7"/>
    <w:rsid w:val="00F94F73"/>
    <w:rsid w:val="00F95212"/>
    <w:rsid w:val="00F957C3"/>
    <w:rsid w:val="00F957E8"/>
    <w:rsid w:val="00F9582C"/>
    <w:rsid w:val="00F95921"/>
    <w:rsid w:val="00F95ABF"/>
    <w:rsid w:val="00F95B52"/>
    <w:rsid w:val="00F95BDE"/>
    <w:rsid w:val="00F960E7"/>
    <w:rsid w:val="00F9644B"/>
    <w:rsid w:val="00F9661D"/>
    <w:rsid w:val="00F96D79"/>
    <w:rsid w:val="00F973A1"/>
    <w:rsid w:val="00F97688"/>
    <w:rsid w:val="00F978AA"/>
    <w:rsid w:val="00F978CA"/>
    <w:rsid w:val="00F97A0B"/>
    <w:rsid w:val="00F97A57"/>
    <w:rsid w:val="00F97DE4"/>
    <w:rsid w:val="00F97EFD"/>
    <w:rsid w:val="00F97FB0"/>
    <w:rsid w:val="00FA01B9"/>
    <w:rsid w:val="00FA05D9"/>
    <w:rsid w:val="00FA0617"/>
    <w:rsid w:val="00FA0D1F"/>
    <w:rsid w:val="00FA0D2D"/>
    <w:rsid w:val="00FA0D2F"/>
    <w:rsid w:val="00FA0F71"/>
    <w:rsid w:val="00FA1007"/>
    <w:rsid w:val="00FA13A5"/>
    <w:rsid w:val="00FA16FC"/>
    <w:rsid w:val="00FA173B"/>
    <w:rsid w:val="00FA1A70"/>
    <w:rsid w:val="00FA1DB1"/>
    <w:rsid w:val="00FA2029"/>
    <w:rsid w:val="00FA2035"/>
    <w:rsid w:val="00FA2461"/>
    <w:rsid w:val="00FA25E8"/>
    <w:rsid w:val="00FA2811"/>
    <w:rsid w:val="00FA28E2"/>
    <w:rsid w:val="00FA28FA"/>
    <w:rsid w:val="00FA296B"/>
    <w:rsid w:val="00FA29D7"/>
    <w:rsid w:val="00FA2B73"/>
    <w:rsid w:val="00FA2C59"/>
    <w:rsid w:val="00FA2C5A"/>
    <w:rsid w:val="00FA2CDB"/>
    <w:rsid w:val="00FA30AA"/>
    <w:rsid w:val="00FA312B"/>
    <w:rsid w:val="00FA35F6"/>
    <w:rsid w:val="00FA3620"/>
    <w:rsid w:val="00FA3D3D"/>
    <w:rsid w:val="00FA4077"/>
    <w:rsid w:val="00FA4242"/>
    <w:rsid w:val="00FA429E"/>
    <w:rsid w:val="00FA4555"/>
    <w:rsid w:val="00FA465A"/>
    <w:rsid w:val="00FA46CA"/>
    <w:rsid w:val="00FA48E9"/>
    <w:rsid w:val="00FA4C11"/>
    <w:rsid w:val="00FA4DCE"/>
    <w:rsid w:val="00FA5421"/>
    <w:rsid w:val="00FA5731"/>
    <w:rsid w:val="00FA5B28"/>
    <w:rsid w:val="00FA60FB"/>
    <w:rsid w:val="00FA61D9"/>
    <w:rsid w:val="00FA6309"/>
    <w:rsid w:val="00FA6378"/>
    <w:rsid w:val="00FA6503"/>
    <w:rsid w:val="00FA656D"/>
    <w:rsid w:val="00FA67AA"/>
    <w:rsid w:val="00FA683A"/>
    <w:rsid w:val="00FA6AAE"/>
    <w:rsid w:val="00FA6C59"/>
    <w:rsid w:val="00FA706E"/>
    <w:rsid w:val="00FA7150"/>
    <w:rsid w:val="00FA7156"/>
    <w:rsid w:val="00FA73F5"/>
    <w:rsid w:val="00FA78E7"/>
    <w:rsid w:val="00FA7AAC"/>
    <w:rsid w:val="00FA7D93"/>
    <w:rsid w:val="00FA7E1C"/>
    <w:rsid w:val="00FA7F78"/>
    <w:rsid w:val="00FB032B"/>
    <w:rsid w:val="00FB048E"/>
    <w:rsid w:val="00FB07DA"/>
    <w:rsid w:val="00FB08A5"/>
    <w:rsid w:val="00FB08AA"/>
    <w:rsid w:val="00FB091E"/>
    <w:rsid w:val="00FB0A60"/>
    <w:rsid w:val="00FB0F9D"/>
    <w:rsid w:val="00FB1093"/>
    <w:rsid w:val="00FB1395"/>
    <w:rsid w:val="00FB1415"/>
    <w:rsid w:val="00FB17F7"/>
    <w:rsid w:val="00FB18D5"/>
    <w:rsid w:val="00FB18F8"/>
    <w:rsid w:val="00FB1C77"/>
    <w:rsid w:val="00FB207A"/>
    <w:rsid w:val="00FB20A5"/>
    <w:rsid w:val="00FB22D4"/>
    <w:rsid w:val="00FB2314"/>
    <w:rsid w:val="00FB241B"/>
    <w:rsid w:val="00FB26C0"/>
    <w:rsid w:val="00FB2853"/>
    <w:rsid w:val="00FB2914"/>
    <w:rsid w:val="00FB2DEE"/>
    <w:rsid w:val="00FB2FBB"/>
    <w:rsid w:val="00FB300F"/>
    <w:rsid w:val="00FB332F"/>
    <w:rsid w:val="00FB337E"/>
    <w:rsid w:val="00FB3632"/>
    <w:rsid w:val="00FB3898"/>
    <w:rsid w:val="00FB3DCF"/>
    <w:rsid w:val="00FB40B5"/>
    <w:rsid w:val="00FB40F9"/>
    <w:rsid w:val="00FB465F"/>
    <w:rsid w:val="00FB4785"/>
    <w:rsid w:val="00FB4927"/>
    <w:rsid w:val="00FB498E"/>
    <w:rsid w:val="00FB5035"/>
    <w:rsid w:val="00FB5486"/>
    <w:rsid w:val="00FB5510"/>
    <w:rsid w:val="00FB58CA"/>
    <w:rsid w:val="00FB5E6D"/>
    <w:rsid w:val="00FB5F69"/>
    <w:rsid w:val="00FB607D"/>
    <w:rsid w:val="00FB6D00"/>
    <w:rsid w:val="00FB6F73"/>
    <w:rsid w:val="00FB71BB"/>
    <w:rsid w:val="00FB74FF"/>
    <w:rsid w:val="00FB75B4"/>
    <w:rsid w:val="00FB7857"/>
    <w:rsid w:val="00FB7AD6"/>
    <w:rsid w:val="00FB7D7F"/>
    <w:rsid w:val="00FB7EED"/>
    <w:rsid w:val="00FC06D7"/>
    <w:rsid w:val="00FC073F"/>
    <w:rsid w:val="00FC136D"/>
    <w:rsid w:val="00FC1442"/>
    <w:rsid w:val="00FC171D"/>
    <w:rsid w:val="00FC1726"/>
    <w:rsid w:val="00FC1A34"/>
    <w:rsid w:val="00FC21DD"/>
    <w:rsid w:val="00FC2376"/>
    <w:rsid w:val="00FC25A4"/>
    <w:rsid w:val="00FC292E"/>
    <w:rsid w:val="00FC2A83"/>
    <w:rsid w:val="00FC3029"/>
    <w:rsid w:val="00FC3168"/>
    <w:rsid w:val="00FC3566"/>
    <w:rsid w:val="00FC373E"/>
    <w:rsid w:val="00FC3B9E"/>
    <w:rsid w:val="00FC3BAD"/>
    <w:rsid w:val="00FC3F5A"/>
    <w:rsid w:val="00FC42C7"/>
    <w:rsid w:val="00FC451C"/>
    <w:rsid w:val="00FC46F0"/>
    <w:rsid w:val="00FC4969"/>
    <w:rsid w:val="00FC4EFC"/>
    <w:rsid w:val="00FC500E"/>
    <w:rsid w:val="00FC52DE"/>
    <w:rsid w:val="00FC53D3"/>
    <w:rsid w:val="00FC5569"/>
    <w:rsid w:val="00FC55F1"/>
    <w:rsid w:val="00FC5736"/>
    <w:rsid w:val="00FC575A"/>
    <w:rsid w:val="00FC5A06"/>
    <w:rsid w:val="00FC5B2F"/>
    <w:rsid w:val="00FC5CB9"/>
    <w:rsid w:val="00FC5D09"/>
    <w:rsid w:val="00FC5EC2"/>
    <w:rsid w:val="00FC6178"/>
    <w:rsid w:val="00FC61AA"/>
    <w:rsid w:val="00FC61BD"/>
    <w:rsid w:val="00FC6711"/>
    <w:rsid w:val="00FC6875"/>
    <w:rsid w:val="00FC6BF9"/>
    <w:rsid w:val="00FC6ED4"/>
    <w:rsid w:val="00FC71B6"/>
    <w:rsid w:val="00FC76F4"/>
    <w:rsid w:val="00FC79BE"/>
    <w:rsid w:val="00FC79F7"/>
    <w:rsid w:val="00FD0088"/>
    <w:rsid w:val="00FD021C"/>
    <w:rsid w:val="00FD0727"/>
    <w:rsid w:val="00FD07A9"/>
    <w:rsid w:val="00FD07FD"/>
    <w:rsid w:val="00FD0943"/>
    <w:rsid w:val="00FD0A8B"/>
    <w:rsid w:val="00FD132C"/>
    <w:rsid w:val="00FD173F"/>
    <w:rsid w:val="00FD19EA"/>
    <w:rsid w:val="00FD1A32"/>
    <w:rsid w:val="00FD1A83"/>
    <w:rsid w:val="00FD1C69"/>
    <w:rsid w:val="00FD1CCC"/>
    <w:rsid w:val="00FD1D4D"/>
    <w:rsid w:val="00FD1DEE"/>
    <w:rsid w:val="00FD1F2D"/>
    <w:rsid w:val="00FD20B0"/>
    <w:rsid w:val="00FD245B"/>
    <w:rsid w:val="00FD2474"/>
    <w:rsid w:val="00FD26C0"/>
    <w:rsid w:val="00FD26D3"/>
    <w:rsid w:val="00FD2A37"/>
    <w:rsid w:val="00FD2B33"/>
    <w:rsid w:val="00FD2C98"/>
    <w:rsid w:val="00FD2EB0"/>
    <w:rsid w:val="00FD307E"/>
    <w:rsid w:val="00FD32AD"/>
    <w:rsid w:val="00FD3866"/>
    <w:rsid w:val="00FD3ABF"/>
    <w:rsid w:val="00FD3D28"/>
    <w:rsid w:val="00FD4840"/>
    <w:rsid w:val="00FD4841"/>
    <w:rsid w:val="00FD4F30"/>
    <w:rsid w:val="00FD4FC2"/>
    <w:rsid w:val="00FD505C"/>
    <w:rsid w:val="00FD50C4"/>
    <w:rsid w:val="00FD549E"/>
    <w:rsid w:val="00FD59D7"/>
    <w:rsid w:val="00FD5B4F"/>
    <w:rsid w:val="00FD5BEB"/>
    <w:rsid w:val="00FD6252"/>
    <w:rsid w:val="00FD634A"/>
    <w:rsid w:val="00FD671B"/>
    <w:rsid w:val="00FD695A"/>
    <w:rsid w:val="00FD6B37"/>
    <w:rsid w:val="00FD6B88"/>
    <w:rsid w:val="00FD6C68"/>
    <w:rsid w:val="00FD6E03"/>
    <w:rsid w:val="00FD6E0A"/>
    <w:rsid w:val="00FD6F41"/>
    <w:rsid w:val="00FD6FDE"/>
    <w:rsid w:val="00FD7503"/>
    <w:rsid w:val="00FD7558"/>
    <w:rsid w:val="00FD7898"/>
    <w:rsid w:val="00FD7BE9"/>
    <w:rsid w:val="00FD7C30"/>
    <w:rsid w:val="00FD7CE6"/>
    <w:rsid w:val="00FD7CF5"/>
    <w:rsid w:val="00FE042A"/>
    <w:rsid w:val="00FE0501"/>
    <w:rsid w:val="00FE05BF"/>
    <w:rsid w:val="00FE08ED"/>
    <w:rsid w:val="00FE0A77"/>
    <w:rsid w:val="00FE0AF8"/>
    <w:rsid w:val="00FE0F23"/>
    <w:rsid w:val="00FE10A7"/>
    <w:rsid w:val="00FE161B"/>
    <w:rsid w:val="00FE18A0"/>
    <w:rsid w:val="00FE192F"/>
    <w:rsid w:val="00FE1CB7"/>
    <w:rsid w:val="00FE1F39"/>
    <w:rsid w:val="00FE215B"/>
    <w:rsid w:val="00FE21AA"/>
    <w:rsid w:val="00FE225A"/>
    <w:rsid w:val="00FE2268"/>
    <w:rsid w:val="00FE229E"/>
    <w:rsid w:val="00FE24A4"/>
    <w:rsid w:val="00FE24A7"/>
    <w:rsid w:val="00FE24C1"/>
    <w:rsid w:val="00FE24C3"/>
    <w:rsid w:val="00FE2738"/>
    <w:rsid w:val="00FE27F7"/>
    <w:rsid w:val="00FE2BBB"/>
    <w:rsid w:val="00FE2DDF"/>
    <w:rsid w:val="00FE2E0C"/>
    <w:rsid w:val="00FE306B"/>
    <w:rsid w:val="00FE3270"/>
    <w:rsid w:val="00FE36A1"/>
    <w:rsid w:val="00FE3C70"/>
    <w:rsid w:val="00FE3C89"/>
    <w:rsid w:val="00FE4142"/>
    <w:rsid w:val="00FE414E"/>
    <w:rsid w:val="00FE451D"/>
    <w:rsid w:val="00FE4689"/>
    <w:rsid w:val="00FE468B"/>
    <w:rsid w:val="00FE4746"/>
    <w:rsid w:val="00FE4820"/>
    <w:rsid w:val="00FE489A"/>
    <w:rsid w:val="00FE4EE0"/>
    <w:rsid w:val="00FE5133"/>
    <w:rsid w:val="00FE55B4"/>
    <w:rsid w:val="00FE55CB"/>
    <w:rsid w:val="00FE5B08"/>
    <w:rsid w:val="00FE5B6D"/>
    <w:rsid w:val="00FE5BCD"/>
    <w:rsid w:val="00FE5BF7"/>
    <w:rsid w:val="00FE5D73"/>
    <w:rsid w:val="00FE5D85"/>
    <w:rsid w:val="00FE5E29"/>
    <w:rsid w:val="00FE5E98"/>
    <w:rsid w:val="00FE5F18"/>
    <w:rsid w:val="00FE6360"/>
    <w:rsid w:val="00FE65AF"/>
    <w:rsid w:val="00FE6701"/>
    <w:rsid w:val="00FE6A49"/>
    <w:rsid w:val="00FE6A4D"/>
    <w:rsid w:val="00FE6B6E"/>
    <w:rsid w:val="00FE6D58"/>
    <w:rsid w:val="00FE6F5A"/>
    <w:rsid w:val="00FE7166"/>
    <w:rsid w:val="00FE74AD"/>
    <w:rsid w:val="00FE76C6"/>
    <w:rsid w:val="00FE7732"/>
    <w:rsid w:val="00FF0051"/>
    <w:rsid w:val="00FF0151"/>
    <w:rsid w:val="00FF0345"/>
    <w:rsid w:val="00FF0371"/>
    <w:rsid w:val="00FF0400"/>
    <w:rsid w:val="00FF08CD"/>
    <w:rsid w:val="00FF08F2"/>
    <w:rsid w:val="00FF0BD4"/>
    <w:rsid w:val="00FF0F08"/>
    <w:rsid w:val="00FF14D5"/>
    <w:rsid w:val="00FF1D68"/>
    <w:rsid w:val="00FF1DCF"/>
    <w:rsid w:val="00FF1DE1"/>
    <w:rsid w:val="00FF1EA4"/>
    <w:rsid w:val="00FF2016"/>
    <w:rsid w:val="00FF228B"/>
    <w:rsid w:val="00FF2362"/>
    <w:rsid w:val="00FF273E"/>
    <w:rsid w:val="00FF27BE"/>
    <w:rsid w:val="00FF2875"/>
    <w:rsid w:val="00FF352F"/>
    <w:rsid w:val="00FF3530"/>
    <w:rsid w:val="00FF356E"/>
    <w:rsid w:val="00FF3990"/>
    <w:rsid w:val="00FF3BEC"/>
    <w:rsid w:val="00FF3CD6"/>
    <w:rsid w:val="00FF457B"/>
    <w:rsid w:val="00FF469A"/>
    <w:rsid w:val="00FF491C"/>
    <w:rsid w:val="00FF4940"/>
    <w:rsid w:val="00FF4971"/>
    <w:rsid w:val="00FF4995"/>
    <w:rsid w:val="00FF49CA"/>
    <w:rsid w:val="00FF4B26"/>
    <w:rsid w:val="00FF4FF7"/>
    <w:rsid w:val="00FF50D4"/>
    <w:rsid w:val="00FF5934"/>
    <w:rsid w:val="00FF5A1C"/>
    <w:rsid w:val="00FF5B36"/>
    <w:rsid w:val="00FF5E43"/>
    <w:rsid w:val="00FF6021"/>
    <w:rsid w:val="00FF6844"/>
    <w:rsid w:val="00FF6A3C"/>
    <w:rsid w:val="00FF6C59"/>
    <w:rsid w:val="00FF721B"/>
    <w:rsid w:val="00FF759B"/>
    <w:rsid w:val="00FF76C0"/>
    <w:rsid w:val="00FF78B6"/>
    <w:rsid w:val="00FF7BB7"/>
    <w:rsid w:val="00FF7DC2"/>
    <w:rsid w:val="00FF7FA5"/>
    <w:rsid w:val="01058D66"/>
    <w:rsid w:val="0105C331"/>
    <w:rsid w:val="01083D46"/>
    <w:rsid w:val="010E00D7"/>
    <w:rsid w:val="0115B26D"/>
    <w:rsid w:val="01184780"/>
    <w:rsid w:val="0119B753"/>
    <w:rsid w:val="0121A337"/>
    <w:rsid w:val="0126EAD7"/>
    <w:rsid w:val="01278C54"/>
    <w:rsid w:val="0129CD65"/>
    <w:rsid w:val="012A3C27"/>
    <w:rsid w:val="0132B63D"/>
    <w:rsid w:val="0133D238"/>
    <w:rsid w:val="013602B7"/>
    <w:rsid w:val="0136F65F"/>
    <w:rsid w:val="01374CC0"/>
    <w:rsid w:val="0139B4A4"/>
    <w:rsid w:val="013A5129"/>
    <w:rsid w:val="013BD00C"/>
    <w:rsid w:val="013EEC8E"/>
    <w:rsid w:val="013FC915"/>
    <w:rsid w:val="01408B3A"/>
    <w:rsid w:val="0140A23C"/>
    <w:rsid w:val="0140BA74"/>
    <w:rsid w:val="0141E7DB"/>
    <w:rsid w:val="014A80C4"/>
    <w:rsid w:val="014A8476"/>
    <w:rsid w:val="014C31F8"/>
    <w:rsid w:val="015183C3"/>
    <w:rsid w:val="0153D577"/>
    <w:rsid w:val="0153FD43"/>
    <w:rsid w:val="0159D431"/>
    <w:rsid w:val="015AA63B"/>
    <w:rsid w:val="015D17AD"/>
    <w:rsid w:val="016048C2"/>
    <w:rsid w:val="01657AE9"/>
    <w:rsid w:val="0165A188"/>
    <w:rsid w:val="01671FBB"/>
    <w:rsid w:val="0168ACF3"/>
    <w:rsid w:val="016A3E87"/>
    <w:rsid w:val="016D17D3"/>
    <w:rsid w:val="0170BFB4"/>
    <w:rsid w:val="0173AA76"/>
    <w:rsid w:val="01741F9B"/>
    <w:rsid w:val="0175CB0A"/>
    <w:rsid w:val="017AAA21"/>
    <w:rsid w:val="017D9AC7"/>
    <w:rsid w:val="017F70D8"/>
    <w:rsid w:val="017F96DF"/>
    <w:rsid w:val="0180A67E"/>
    <w:rsid w:val="0181B879"/>
    <w:rsid w:val="01854ECA"/>
    <w:rsid w:val="01884968"/>
    <w:rsid w:val="018CC079"/>
    <w:rsid w:val="018D35F5"/>
    <w:rsid w:val="018D418E"/>
    <w:rsid w:val="018DE3CE"/>
    <w:rsid w:val="018F4894"/>
    <w:rsid w:val="01900B16"/>
    <w:rsid w:val="0193E450"/>
    <w:rsid w:val="019765DB"/>
    <w:rsid w:val="019899AC"/>
    <w:rsid w:val="019B0BD4"/>
    <w:rsid w:val="019D333D"/>
    <w:rsid w:val="019DDC03"/>
    <w:rsid w:val="01A11268"/>
    <w:rsid w:val="01A122BA"/>
    <w:rsid w:val="01A5B5F0"/>
    <w:rsid w:val="01ACCA19"/>
    <w:rsid w:val="01AD3F1C"/>
    <w:rsid w:val="01AF4971"/>
    <w:rsid w:val="01B222C4"/>
    <w:rsid w:val="01B5E74A"/>
    <w:rsid w:val="01B60CFD"/>
    <w:rsid w:val="01BCC16D"/>
    <w:rsid w:val="01BD8E20"/>
    <w:rsid w:val="01BF75ED"/>
    <w:rsid w:val="01C08301"/>
    <w:rsid w:val="01C099E9"/>
    <w:rsid w:val="01C144F8"/>
    <w:rsid w:val="01C3ACCF"/>
    <w:rsid w:val="01C6949C"/>
    <w:rsid w:val="01C806B1"/>
    <w:rsid w:val="01CDB3D0"/>
    <w:rsid w:val="01D1F6A6"/>
    <w:rsid w:val="01D43F83"/>
    <w:rsid w:val="01D5AAC7"/>
    <w:rsid w:val="01D5F53C"/>
    <w:rsid w:val="01D5F87E"/>
    <w:rsid w:val="01D95992"/>
    <w:rsid w:val="01DC327D"/>
    <w:rsid w:val="01DEEB8A"/>
    <w:rsid w:val="01E45D3F"/>
    <w:rsid w:val="01E59A85"/>
    <w:rsid w:val="01E7025F"/>
    <w:rsid w:val="01E9E6F5"/>
    <w:rsid w:val="01EB3593"/>
    <w:rsid w:val="01ECB859"/>
    <w:rsid w:val="01F1B0FC"/>
    <w:rsid w:val="01F46AF7"/>
    <w:rsid w:val="01F90A63"/>
    <w:rsid w:val="01FF2241"/>
    <w:rsid w:val="02009415"/>
    <w:rsid w:val="020242DF"/>
    <w:rsid w:val="020355DB"/>
    <w:rsid w:val="0203C817"/>
    <w:rsid w:val="0205EBB0"/>
    <w:rsid w:val="02064D76"/>
    <w:rsid w:val="02091E82"/>
    <w:rsid w:val="020BF33C"/>
    <w:rsid w:val="020C3EA3"/>
    <w:rsid w:val="020E0DAF"/>
    <w:rsid w:val="02176A59"/>
    <w:rsid w:val="02285BDF"/>
    <w:rsid w:val="022A68F6"/>
    <w:rsid w:val="022CEA66"/>
    <w:rsid w:val="022FAC38"/>
    <w:rsid w:val="023037A2"/>
    <w:rsid w:val="0231BBEA"/>
    <w:rsid w:val="023794F9"/>
    <w:rsid w:val="02381197"/>
    <w:rsid w:val="0238400E"/>
    <w:rsid w:val="0239D085"/>
    <w:rsid w:val="023CAFF4"/>
    <w:rsid w:val="023F0C8D"/>
    <w:rsid w:val="02426DB8"/>
    <w:rsid w:val="02474560"/>
    <w:rsid w:val="0249C5B9"/>
    <w:rsid w:val="024A1C9C"/>
    <w:rsid w:val="024C2B7B"/>
    <w:rsid w:val="024DEB18"/>
    <w:rsid w:val="024F6BE3"/>
    <w:rsid w:val="025023DC"/>
    <w:rsid w:val="02519392"/>
    <w:rsid w:val="02551F68"/>
    <w:rsid w:val="0257AEE6"/>
    <w:rsid w:val="02582CDD"/>
    <w:rsid w:val="025EE312"/>
    <w:rsid w:val="0263E2D3"/>
    <w:rsid w:val="02648F60"/>
    <w:rsid w:val="026737F1"/>
    <w:rsid w:val="02681ABD"/>
    <w:rsid w:val="02687DBB"/>
    <w:rsid w:val="026A276A"/>
    <w:rsid w:val="026A90F9"/>
    <w:rsid w:val="026CB4BE"/>
    <w:rsid w:val="026E3FA6"/>
    <w:rsid w:val="02706B41"/>
    <w:rsid w:val="0272611E"/>
    <w:rsid w:val="02727DF1"/>
    <w:rsid w:val="027380B3"/>
    <w:rsid w:val="02747E15"/>
    <w:rsid w:val="027569A7"/>
    <w:rsid w:val="0275D87E"/>
    <w:rsid w:val="0276A914"/>
    <w:rsid w:val="02779945"/>
    <w:rsid w:val="02797F74"/>
    <w:rsid w:val="027B0791"/>
    <w:rsid w:val="027CEBA8"/>
    <w:rsid w:val="028046F5"/>
    <w:rsid w:val="028171DB"/>
    <w:rsid w:val="0284375E"/>
    <w:rsid w:val="0284EF9E"/>
    <w:rsid w:val="028824D0"/>
    <w:rsid w:val="02882D31"/>
    <w:rsid w:val="028B49FC"/>
    <w:rsid w:val="028EAD5F"/>
    <w:rsid w:val="0290CD55"/>
    <w:rsid w:val="02929432"/>
    <w:rsid w:val="02970F4E"/>
    <w:rsid w:val="029741F7"/>
    <w:rsid w:val="02974276"/>
    <w:rsid w:val="029BEA7B"/>
    <w:rsid w:val="029EF22A"/>
    <w:rsid w:val="02A06633"/>
    <w:rsid w:val="02A1276F"/>
    <w:rsid w:val="02A36603"/>
    <w:rsid w:val="02A38A40"/>
    <w:rsid w:val="02AB3A50"/>
    <w:rsid w:val="02B0D9C1"/>
    <w:rsid w:val="02B43CE4"/>
    <w:rsid w:val="02BB059C"/>
    <w:rsid w:val="02C26546"/>
    <w:rsid w:val="02C489A7"/>
    <w:rsid w:val="02C618A7"/>
    <w:rsid w:val="02C78436"/>
    <w:rsid w:val="02C8655B"/>
    <w:rsid w:val="02CA1348"/>
    <w:rsid w:val="02CBC1E4"/>
    <w:rsid w:val="02CF1245"/>
    <w:rsid w:val="02D163E5"/>
    <w:rsid w:val="02D28E5A"/>
    <w:rsid w:val="02DA0355"/>
    <w:rsid w:val="02DCE47C"/>
    <w:rsid w:val="02DDFC37"/>
    <w:rsid w:val="02E10D53"/>
    <w:rsid w:val="02E1EB88"/>
    <w:rsid w:val="02ED9A5F"/>
    <w:rsid w:val="02EDF9F3"/>
    <w:rsid w:val="02EE0D80"/>
    <w:rsid w:val="02EE798D"/>
    <w:rsid w:val="02EFAC53"/>
    <w:rsid w:val="02F5087F"/>
    <w:rsid w:val="02F5A444"/>
    <w:rsid w:val="02FA0B3D"/>
    <w:rsid w:val="02FD89F8"/>
    <w:rsid w:val="02FD9FD4"/>
    <w:rsid w:val="030326F7"/>
    <w:rsid w:val="0305197E"/>
    <w:rsid w:val="03077718"/>
    <w:rsid w:val="0308D19E"/>
    <w:rsid w:val="0309165D"/>
    <w:rsid w:val="030A81F0"/>
    <w:rsid w:val="030AEA6B"/>
    <w:rsid w:val="0312F97A"/>
    <w:rsid w:val="031461BB"/>
    <w:rsid w:val="0315AEC8"/>
    <w:rsid w:val="0317B719"/>
    <w:rsid w:val="0318C146"/>
    <w:rsid w:val="031CA0A5"/>
    <w:rsid w:val="031CE9AB"/>
    <w:rsid w:val="03278A5A"/>
    <w:rsid w:val="0327903D"/>
    <w:rsid w:val="0328DE38"/>
    <w:rsid w:val="0329BE1A"/>
    <w:rsid w:val="0329ED6D"/>
    <w:rsid w:val="032ADA44"/>
    <w:rsid w:val="032D0F7C"/>
    <w:rsid w:val="032FB0AD"/>
    <w:rsid w:val="0330C791"/>
    <w:rsid w:val="03322A3F"/>
    <w:rsid w:val="0333F205"/>
    <w:rsid w:val="03344CC9"/>
    <w:rsid w:val="03350F9F"/>
    <w:rsid w:val="03352F04"/>
    <w:rsid w:val="033C6C23"/>
    <w:rsid w:val="033C755A"/>
    <w:rsid w:val="033F1DF7"/>
    <w:rsid w:val="033F36DA"/>
    <w:rsid w:val="03437260"/>
    <w:rsid w:val="0344ABDA"/>
    <w:rsid w:val="0344DC7A"/>
    <w:rsid w:val="034CCBFF"/>
    <w:rsid w:val="034DD405"/>
    <w:rsid w:val="0354BD87"/>
    <w:rsid w:val="03560092"/>
    <w:rsid w:val="03565EB3"/>
    <w:rsid w:val="035B1D65"/>
    <w:rsid w:val="035B7CFF"/>
    <w:rsid w:val="035CD6BA"/>
    <w:rsid w:val="035DC2BF"/>
    <w:rsid w:val="035F36FF"/>
    <w:rsid w:val="0364BAD6"/>
    <w:rsid w:val="0368E214"/>
    <w:rsid w:val="03693D7D"/>
    <w:rsid w:val="036D3E4A"/>
    <w:rsid w:val="036D6CC7"/>
    <w:rsid w:val="036FC8BE"/>
    <w:rsid w:val="0377DF9E"/>
    <w:rsid w:val="037C2B78"/>
    <w:rsid w:val="037D34DB"/>
    <w:rsid w:val="0381314D"/>
    <w:rsid w:val="03820EEB"/>
    <w:rsid w:val="0384237F"/>
    <w:rsid w:val="0385D283"/>
    <w:rsid w:val="0388A6B8"/>
    <w:rsid w:val="0389134C"/>
    <w:rsid w:val="038B29B6"/>
    <w:rsid w:val="039023AC"/>
    <w:rsid w:val="03916AED"/>
    <w:rsid w:val="03977835"/>
    <w:rsid w:val="039BA729"/>
    <w:rsid w:val="039C2129"/>
    <w:rsid w:val="039EB70D"/>
    <w:rsid w:val="03A3D218"/>
    <w:rsid w:val="03A57471"/>
    <w:rsid w:val="03A7D2D0"/>
    <w:rsid w:val="03A92602"/>
    <w:rsid w:val="03A958A5"/>
    <w:rsid w:val="03B0B587"/>
    <w:rsid w:val="03B225D7"/>
    <w:rsid w:val="03B87AE0"/>
    <w:rsid w:val="03B971C5"/>
    <w:rsid w:val="03B9CCE1"/>
    <w:rsid w:val="03BAA48A"/>
    <w:rsid w:val="03C02DEB"/>
    <w:rsid w:val="03C28B04"/>
    <w:rsid w:val="03C2CDC6"/>
    <w:rsid w:val="03C3581B"/>
    <w:rsid w:val="03C8F22D"/>
    <w:rsid w:val="03CCA0FF"/>
    <w:rsid w:val="03D05C10"/>
    <w:rsid w:val="03D3B2FE"/>
    <w:rsid w:val="03D4AD23"/>
    <w:rsid w:val="03D9B47F"/>
    <w:rsid w:val="03DD90DB"/>
    <w:rsid w:val="03DE3A6E"/>
    <w:rsid w:val="03DF2B98"/>
    <w:rsid w:val="03E235C4"/>
    <w:rsid w:val="03E47C1D"/>
    <w:rsid w:val="03E9B97B"/>
    <w:rsid w:val="03F36AF0"/>
    <w:rsid w:val="03FA4D2A"/>
    <w:rsid w:val="03FCCEF7"/>
    <w:rsid w:val="03FD7096"/>
    <w:rsid w:val="04022851"/>
    <w:rsid w:val="0405E8A1"/>
    <w:rsid w:val="0406835E"/>
    <w:rsid w:val="04097406"/>
    <w:rsid w:val="040C63B4"/>
    <w:rsid w:val="040CA480"/>
    <w:rsid w:val="040DD07E"/>
    <w:rsid w:val="04130AA6"/>
    <w:rsid w:val="041C6EAE"/>
    <w:rsid w:val="041F227C"/>
    <w:rsid w:val="0420CFC1"/>
    <w:rsid w:val="042170B1"/>
    <w:rsid w:val="04220BDA"/>
    <w:rsid w:val="04235FFB"/>
    <w:rsid w:val="0428A91F"/>
    <w:rsid w:val="0429E503"/>
    <w:rsid w:val="042DF4BD"/>
    <w:rsid w:val="042EB67F"/>
    <w:rsid w:val="042EFAED"/>
    <w:rsid w:val="042F0DF8"/>
    <w:rsid w:val="042F7669"/>
    <w:rsid w:val="04303042"/>
    <w:rsid w:val="0431D732"/>
    <w:rsid w:val="0432BCA3"/>
    <w:rsid w:val="04357018"/>
    <w:rsid w:val="0436400B"/>
    <w:rsid w:val="04395450"/>
    <w:rsid w:val="043EF1DD"/>
    <w:rsid w:val="04418634"/>
    <w:rsid w:val="0441B3E7"/>
    <w:rsid w:val="0441C9C5"/>
    <w:rsid w:val="0441DB1D"/>
    <w:rsid w:val="04431C52"/>
    <w:rsid w:val="0444B63F"/>
    <w:rsid w:val="0449680E"/>
    <w:rsid w:val="0449DA71"/>
    <w:rsid w:val="044F8FC9"/>
    <w:rsid w:val="044FC955"/>
    <w:rsid w:val="045C50E2"/>
    <w:rsid w:val="045E1505"/>
    <w:rsid w:val="045F516F"/>
    <w:rsid w:val="0460008A"/>
    <w:rsid w:val="0460310F"/>
    <w:rsid w:val="04627670"/>
    <w:rsid w:val="0464BB53"/>
    <w:rsid w:val="046A0F16"/>
    <w:rsid w:val="046A3EE2"/>
    <w:rsid w:val="046FB982"/>
    <w:rsid w:val="047149EA"/>
    <w:rsid w:val="0473FD10"/>
    <w:rsid w:val="0478D3E6"/>
    <w:rsid w:val="047DBE7D"/>
    <w:rsid w:val="0480F0CF"/>
    <w:rsid w:val="0482B4FB"/>
    <w:rsid w:val="0482EEFC"/>
    <w:rsid w:val="0483BE19"/>
    <w:rsid w:val="0488F4A6"/>
    <w:rsid w:val="048D2A31"/>
    <w:rsid w:val="048D7FE4"/>
    <w:rsid w:val="049079D5"/>
    <w:rsid w:val="04924E9B"/>
    <w:rsid w:val="0493844A"/>
    <w:rsid w:val="04943CEE"/>
    <w:rsid w:val="04962AD0"/>
    <w:rsid w:val="0499545D"/>
    <w:rsid w:val="04997DC8"/>
    <w:rsid w:val="04A07A11"/>
    <w:rsid w:val="04A2B06A"/>
    <w:rsid w:val="04A3C766"/>
    <w:rsid w:val="04A3CCEF"/>
    <w:rsid w:val="04A4211D"/>
    <w:rsid w:val="04A4A9F6"/>
    <w:rsid w:val="04A52CD3"/>
    <w:rsid w:val="04A7DCFE"/>
    <w:rsid w:val="04AB772B"/>
    <w:rsid w:val="04ACB675"/>
    <w:rsid w:val="04AF83BD"/>
    <w:rsid w:val="04AFCADB"/>
    <w:rsid w:val="04B1A340"/>
    <w:rsid w:val="04B710FD"/>
    <w:rsid w:val="04B8C62C"/>
    <w:rsid w:val="04BC2B73"/>
    <w:rsid w:val="04BE5C08"/>
    <w:rsid w:val="04C16C4A"/>
    <w:rsid w:val="04C378F5"/>
    <w:rsid w:val="04C68BED"/>
    <w:rsid w:val="04C939E5"/>
    <w:rsid w:val="04C95427"/>
    <w:rsid w:val="04C9C864"/>
    <w:rsid w:val="04CE96C5"/>
    <w:rsid w:val="04CFE08E"/>
    <w:rsid w:val="04D28D8C"/>
    <w:rsid w:val="04D66912"/>
    <w:rsid w:val="04D7437F"/>
    <w:rsid w:val="04D8F829"/>
    <w:rsid w:val="04DE573B"/>
    <w:rsid w:val="04DE97F1"/>
    <w:rsid w:val="04E12383"/>
    <w:rsid w:val="04E24531"/>
    <w:rsid w:val="04E305F9"/>
    <w:rsid w:val="04E45444"/>
    <w:rsid w:val="04E4BBC3"/>
    <w:rsid w:val="04E4E03C"/>
    <w:rsid w:val="04E50A9F"/>
    <w:rsid w:val="04E7A67F"/>
    <w:rsid w:val="04EAB5F8"/>
    <w:rsid w:val="04EDBFD1"/>
    <w:rsid w:val="04EDD4F1"/>
    <w:rsid w:val="04EEA84B"/>
    <w:rsid w:val="04F16137"/>
    <w:rsid w:val="04F2C60B"/>
    <w:rsid w:val="04F4DC21"/>
    <w:rsid w:val="04F77205"/>
    <w:rsid w:val="04F93FFF"/>
    <w:rsid w:val="04F986E3"/>
    <w:rsid w:val="04FCD413"/>
    <w:rsid w:val="05003E7C"/>
    <w:rsid w:val="05005608"/>
    <w:rsid w:val="05028B9A"/>
    <w:rsid w:val="0502A3B7"/>
    <w:rsid w:val="05045F71"/>
    <w:rsid w:val="05094ECF"/>
    <w:rsid w:val="050B1D15"/>
    <w:rsid w:val="050B3638"/>
    <w:rsid w:val="050FF093"/>
    <w:rsid w:val="0510DAC7"/>
    <w:rsid w:val="0514D713"/>
    <w:rsid w:val="051795A3"/>
    <w:rsid w:val="051A2F7F"/>
    <w:rsid w:val="051BD382"/>
    <w:rsid w:val="051C222D"/>
    <w:rsid w:val="0520546C"/>
    <w:rsid w:val="052084B2"/>
    <w:rsid w:val="05227717"/>
    <w:rsid w:val="0525695C"/>
    <w:rsid w:val="05258A7F"/>
    <w:rsid w:val="05268014"/>
    <w:rsid w:val="0528A583"/>
    <w:rsid w:val="052A3624"/>
    <w:rsid w:val="052ACF84"/>
    <w:rsid w:val="052C67DC"/>
    <w:rsid w:val="052D8B9C"/>
    <w:rsid w:val="052F466B"/>
    <w:rsid w:val="052F8A3A"/>
    <w:rsid w:val="05341532"/>
    <w:rsid w:val="0534C1D8"/>
    <w:rsid w:val="0534C6BD"/>
    <w:rsid w:val="05388A6E"/>
    <w:rsid w:val="053C7187"/>
    <w:rsid w:val="0541AFA2"/>
    <w:rsid w:val="0541D719"/>
    <w:rsid w:val="0542CAB7"/>
    <w:rsid w:val="054325DA"/>
    <w:rsid w:val="05439068"/>
    <w:rsid w:val="054576B7"/>
    <w:rsid w:val="0545DE0A"/>
    <w:rsid w:val="0545E9B3"/>
    <w:rsid w:val="05472DBE"/>
    <w:rsid w:val="05475461"/>
    <w:rsid w:val="0548554E"/>
    <w:rsid w:val="054A5766"/>
    <w:rsid w:val="054D86F0"/>
    <w:rsid w:val="054E47ED"/>
    <w:rsid w:val="055B3AC7"/>
    <w:rsid w:val="055D63B1"/>
    <w:rsid w:val="055EEC9B"/>
    <w:rsid w:val="055FF5E1"/>
    <w:rsid w:val="05644429"/>
    <w:rsid w:val="05658DE6"/>
    <w:rsid w:val="056798CC"/>
    <w:rsid w:val="056D8B89"/>
    <w:rsid w:val="05749A2F"/>
    <w:rsid w:val="057C1881"/>
    <w:rsid w:val="057C2165"/>
    <w:rsid w:val="0581DCE3"/>
    <w:rsid w:val="05821E25"/>
    <w:rsid w:val="0582389C"/>
    <w:rsid w:val="0582CFF6"/>
    <w:rsid w:val="0585EFDE"/>
    <w:rsid w:val="05873425"/>
    <w:rsid w:val="0588B2B3"/>
    <w:rsid w:val="0588FA21"/>
    <w:rsid w:val="058B5A95"/>
    <w:rsid w:val="0591EE82"/>
    <w:rsid w:val="05939FA9"/>
    <w:rsid w:val="059B0C9A"/>
    <w:rsid w:val="059D34E6"/>
    <w:rsid w:val="059E4643"/>
    <w:rsid w:val="05A3C75A"/>
    <w:rsid w:val="05A6E2C8"/>
    <w:rsid w:val="05A79C39"/>
    <w:rsid w:val="05AD3879"/>
    <w:rsid w:val="05AEEAE4"/>
    <w:rsid w:val="05B257EE"/>
    <w:rsid w:val="05B3A54F"/>
    <w:rsid w:val="05B53083"/>
    <w:rsid w:val="05B60583"/>
    <w:rsid w:val="05BB54A2"/>
    <w:rsid w:val="05BB6D6D"/>
    <w:rsid w:val="05BC5749"/>
    <w:rsid w:val="05BE7292"/>
    <w:rsid w:val="05BE84A7"/>
    <w:rsid w:val="05BE8767"/>
    <w:rsid w:val="05BFEF97"/>
    <w:rsid w:val="05C06D95"/>
    <w:rsid w:val="05C48C04"/>
    <w:rsid w:val="05C7168B"/>
    <w:rsid w:val="05CA940F"/>
    <w:rsid w:val="05CDC214"/>
    <w:rsid w:val="05CE466F"/>
    <w:rsid w:val="05D19681"/>
    <w:rsid w:val="05D6B3E1"/>
    <w:rsid w:val="05D94460"/>
    <w:rsid w:val="05D94B7D"/>
    <w:rsid w:val="05DC522E"/>
    <w:rsid w:val="05DD7DEB"/>
    <w:rsid w:val="05DD9D85"/>
    <w:rsid w:val="05DE8E34"/>
    <w:rsid w:val="05E2D9EB"/>
    <w:rsid w:val="05E2E8B9"/>
    <w:rsid w:val="05E348E3"/>
    <w:rsid w:val="05E5AB1B"/>
    <w:rsid w:val="05E724FC"/>
    <w:rsid w:val="05EC9328"/>
    <w:rsid w:val="05F0E36C"/>
    <w:rsid w:val="05F16988"/>
    <w:rsid w:val="05F37D4A"/>
    <w:rsid w:val="05F537D2"/>
    <w:rsid w:val="05F59E7B"/>
    <w:rsid w:val="05F9A399"/>
    <w:rsid w:val="05FB029A"/>
    <w:rsid w:val="05FD99C8"/>
    <w:rsid w:val="05FFC1D8"/>
    <w:rsid w:val="06014BCF"/>
    <w:rsid w:val="06020224"/>
    <w:rsid w:val="0603D954"/>
    <w:rsid w:val="06048BD1"/>
    <w:rsid w:val="06061271"/>
    <w:rsid w:val="06068427"/>
    <w:rsid w:val="06084395"/>
    <w:rsid w:val="06127C03"/>
    <w:rsid w:val="06138C10"/>
    <w:rsid w:val="06177C60"/>
    <w:rsid w:val="06183681"/>
    <w:rsid w:val="06191AE0"/>
    <w:rsid w:val="06195EA5"/>
    <w:rsid w:val="061A0284"/>
    <w:rsid w:val="061CB4E0"/>
    <w:rsid w:val="061CFFA2"/>
    <w:rsid w:val="061D2ADE"/>
    <w:rsid w:val="061E4B99"/>
    <w:rsid w:val="061E89BD"/>
    <w:rsid w:val="06240008"/>
    <w:rsid w:val="062558F1"/>
    <w:rsid w:val="0626DF3E"/>
    <w:rsid w:val="062DEEA6"/>
    <w:rsid w:val="062F07A2"/>
    <w:rsid w:val="06310D1E"/>
    <w:rsid w:val="0633B63E"/>
    <w:rsid w:val="063627C6"/>
    <w:rsid w:val="06389C6B"/>
    <w:rsid w:val="063A597D"/>
    <w:rsid w:val="063D33EF"/>
    <w:rsid w:val="063E7276"/>
    <w:rsid w:val="0640467D"/>
    <w:rsid w:val="064313FC"/>
    <w:rsid w:val="0643932B"/>
    <w:rsid w:val="0645B954"/>
    <w:rsid w:val="064701DC"/>
    <w:rsid w:val="064BEB50"/>
    <w:rsid w:val="064C58F9"/>
    <w:rsid w:val="064D338A"/>
    <w:rsid w:val="0652012C"/>
    <w:rsid w:val="06526FF3"/>
    <w:rsid w:val="06559C38"/>
    <w:rsid w:val="06597E82"/>
    <w:rsid w:val="065D36C3"/>
    <w:rsid w:val="06605C79"/>
    <w:rsid w:val="0660F3A3"/>
    <w:rsid w:val="0665E7CF"/>
    <w:rsid w:val="0666FAB3"/>
    <w:rsid w:val="0669FAA3"/>
    <w:rsid w:val="066BC4AD"/>
    <w:rsid w:val="0670AC35"/>
    <w:rsid w:val="0677D6B8"/>
    <w:rsid w:val="067A65F3"/>
    <w:rsid w:val="067B8B89"/>
    <w:rsid w:val="067CD39C"/>
    <w:rsid w:val="067ED2B0"/>
    <w:rsid w:val="0681F87B"/>
    <w:rsid w:val="06834B24"/>
    <w:rsid w:val="0685EBEB"/>
    <w:rsid w:val="068A704C"/>
    <w:rsid w:val="068AD918"/>
    <w:rsid w:val="068BE63A"/>
    <w:rsid w:val="068CB24F"/>
    <w:rsid w:val="068CE2BC"/>
    <w:rsid w:val="068E992C"/>
    <w:rsid w:val="069CF5F5"/>
    <w:rsid w:val="069DB0B8"/>
    <w:rsid w:val="069FF5F1"/>
    <w:rsid w:val="06A03240"/>
    <w:rsid w:val="06A548A8"/>
    <w:rsid w:val="06A68C11"/>
    <w:rsid w:val="06A76306"/>
    <w:rsid w:val="06A95DEB"/>
    <w:rsid w:val="06A96E0B"/>
    <w:rsid w:val="06ABF756"/>
    <w:rsid w:val="06AC37F0"/>
    <w:rsid w:val="06AE3C99"/>
    <w:rsid w:val="06AF504F"/>
    <w:rsid w:val="06B3A04E"/>
    <w:rsid w:val="06B43B4B"/>
    <w:rsid w:val="06B62A81"/>
    <w:rsid w:val="06B773F1"/>
    <w:rsid w:val="06BAE7CA"/>
    <w:rsid w:val="06C895DD"/>
    <w:rsid w:val="06CA2CB1"/>
    <w:rsid w:val="06CFCC87"/>
    <w:rsid w:val="06D43428"/>
    <w:rsid w:val="06D744E6"/>
    <w:rsid w:val="06D89E23"/>
    <w:rsid w:val="06DCC852"/>
    <w:rsid w:val="06DCDE58"/>
    <w:rsid w:val="06DEA823"/>
    <w:rsid w:val="06E24389"/>
    <w:rsid w:val="06E261A9"/>
    <w:rsid w:val="06E61FB7"/>
    <w:rsid w:val="06E94CF5"/>
    <w:rsid w:val="06EA02A7"/>
    <w:rsid w:val="06EA5974"/>
    <w:rsid w:val="06EABCEF"/>
    <w:rsid w:val="06EB37FE"/>
    <w:rsid w:val="06EF4AD4"/>
    <w:rsid w:val="06F06317"/>
    <w:rsid w:val="06F0BE8F"/>
    <w:rsid w:val="06F181D3"/>
    <w:rsid w:val="06F1846C"/>
    <w:rsid w:val="06F20F3A"/>
    <w:rsid w:val="06F913DF"/>
    <w:rsid w:val="06FA72CE"/>
    <w:rsid w:val="06FB09C8"/>
    <w:rsid w:val="07038DD9"/>
    <w:rsid w:val="07087F95"/>
    <w:rsid w:val="070A5F86"/>
    <w:rsid w:val="070BCDF1"/>
    <w:rsid w:val="070BD4EE"/>
    <w:rsid w:val="070C1C67"/>
    <w:rsid w:val="070D7BC2"/>
    <w:rsid w:val="07114A80"/>
    <w:rsid w:val="07124EC4"/>
    <w:rsid w:val="07126A41"/>
    <w:rsid w:val="0713B382"/>
    <w:rsid w:val="07160BCB"/>
    <w:rsid w:val="07174D54"/>
    <w:rsid w:val="07186D81"/>
    <w:rsid w:val="071A0B31"/>
    <w:rsid w:val="071B3BE4"/>
    <w:rsid w:val="071B4F37"/>
    <w:rsid w:val="071FA710"/>
    <w:rsid w:val="07207CB6"/>
    <w:rsid w:val="0724411E"/>
    <w:rsid w:val="0724FDB1"/>
    <w:rsid w:val="0726D3CC"/>
    <w:rsid w:val="072AABEA"/>
    <w:rsid w:val="072AFB81"/>
    <w:rsid w:val="072B5297"/>
    <w:rsid w:val="07300F7F"/>
    <w:rsid w:val="07309228"/>
    <w:rsid w:val="0730A742"/>
    <w:rsid w:val="0732A0D3"/>
    <w:rsid w:val="0732E385"/>
    <w:rsid w:val="07336914"/>
    <w:rsid w:val="073392D2"/>
    <w:rsid w:val="0734A93A"/>
    <w:rsid w:val="0735BB36"/>
    <w:rsid w:val="0735DF80"/>
    <w:rsid w:val="0736F1F5"/>
    <w:rsid w:val="073AE7FE"/>
    <w:rsid w:val="073CC178"/>
    <w:rsid w:val="0742D39C"/>
    <w:rsid w:val="07448671"/>
    <w:rsid w:val="07480CF4"/>
    <w:rsid w:val="07481DE4"/>
    <w:rsid w:val="074BF99B"/>
    <w:rsid w:val="074D474C"/>
    <w:rsid w:val="075075F2"/>
    <w:rsid w:val="0753F5F1"/>
    <w:rsid w:val="07558B44"/>
    <w:rsid w:val="0757EC9A"/>
    <w:rsid w:val="075B4CB2"/>
    <w:rsid w:val="075B832F"/>
    <w:rsid w:val="075E4794"/>
    <w:rsid w:val="07617E8E"/>
    <w:rsid w:val="07618D18"/>
    <w:rsid w:val="0763BB95"/>
    <w:rsid w:val="0765229D"/>
    <w:rsid w:val="076A737C"/>
    <w:rsid w:val="076AFB8B"/>
    <w:rsid w:val="07713CBF"/>
    <w:rsid w:val="0775E1E0"/>
    <w:rsid w:val="077C43A9"/>
    <w:rsid w:val="077DB354"/>
    <w:rsid w:val="077E854D"/>
    <w:rsid w:val="077ED27E"/>
    <w:rsid w:val="0782442D"/>
    <w:rsid w:val="0782B7E0"/>
    <w:rsid w:val="0782E474"/>
    <w:rsid w:val="0787617B"/>
    <w:rsid w:val="07889F9D"/>
    <w:rsid w:val="078D375C"/>
    <w:rsid w:val="07915B9F"/>
    <w:rsid w:val="07921E18"/>
    <w:rsid w:val="0794FB08"/>
    <w:rsid w:val="07959EEC"/>
    <w:rsid w:val="0796DD57"/>
    <w:rsid w:val="079FB5BA"/>
    <w:rsid w:val="07A286A5"/>
    <w:rsid w:val="07A53E2D"/>
    <w:rsid w:val="07A68EC8"/>
    <w:rsid w:val="07A6C2CC"/>
    <w:rsid w:val="07A6C7D8"/>
    <w:rsid w:val="07AD0538"/>
    <w:rsid w:val="07AD8A49"/>
    <w:rsid w:val="07AF2D64"/>
    <w:rsid w:val="07AF4250"/>
    <w:rsid w:val="07AFF4B7"/>
    <w:rsid w:val="07B19BC3"/>
    <w:rsid w:val="07B7FC92"/>
    <w:rsid w:val="07BE1098"/>
    <w:rsid w:val="07C0BA8B"/>
    <w:rsid w:val="07C15BB3"/>
    <w:rsid w:val="07C60F8D"/>
    <w:rsid w:val="07C872AA"/>
    <w:rsid w:val="07CA571B"/>
    <w:rsid w:val="07CDEFEF"/>
    <w:rsid w:val="07D13999"/>
    <w:rsid w:val="07D6954B"/>
    <w:rsid w:val="07D70628"/>
    <w:rsid w:val="07D71C61"/>
    <w:rsid w:val="07D7591F"/>
    <w:rsid w:val="07DBE1ED"/>
    <w:rsid w:val="07DF167F"/>
    <w:rsid w:val="07DFF441"/>
    <w:rsid w:val="07E20DB6"/>
    <w:rsid w:val="07E5A9B4"/>
    <w:rsid w:val="07E6A91E"/>
    <w:rsid w:val="07E8E82E"/>
    <w:rsid w:val="07EA9B59"/>
    <w:rsid w:val="07EB44F5"/>
    <w:rsid w:val="07EB4637"/>
    <w:rsid w:val="07EC740E"/>
    <w:rsid w:val="07EE2955"/>
    <w:rsid w:val="07EFDE42"/>
    <w:rsid w:val="07F9B50B"/>
    <w:rsid w:val="07FB0A85"/>
    <w:rsid w:val="07FB23C1"/>
    <w:rsid w:val="07FE53E2"/>
    <w:rsid w:val="07FF6A08"/>
    <w:rsid w:val="08014316"/>
    <w:rsid w:val="080701B7"/>
    <w:rsid w:val="080851BC"/>
    <w:rsid w:val="08088B13"/>
    <w:rsid w:val="080926F0"/>
    <w:rsid w:val="0809FD8A"/>
    <w:rsid w:val="080F5B9F"/>
    <w:rsid w:val="08142E15"/>
    <w:rsid w:val="08143F7F"/>
    <w:rsid w:val="0816040A"/>
    <w:rsid w:val="0816D0E8"/>
    <w:rsid w:val="08184C0F"/>
    <w:rsid w:val="081D7F1A"/>
    <w:rsid w:val="0823D160"/>
    <w:rsid w:val="08258894"/>
    <w:rsid w:val="08290CB9"/>
    <w:rsid w:val="08297A1E"/>
    <w:rsid w:val="082A7547"/>
    <w:rsid w:val="082E27AC"/>
    <w:rsid w:val="08347C4B"/>
    <w:rsid w:val="0839CEBA"/>
    <w:rsid w:val="083CAAE3"/>
    <w:rsid w:val="08480194"/>
    <w:rsid w:val="084DE8EE"/>
    <w:rsid w:val="084F0D47"/>
    <w:rsid w:val="0854860B"/>
    <w:rsid w:val="0855F3F3"/>
    <w:rsid w:val="0859AFB2"/>
    <w:rsid w:val="086234E9"/>
    <w:rsid w:val="08683C4E"/>
    <w:rsid w:val="08693422"/>
    <w:rsid w:val="086DFDA6"/>
    <w:rsid w:val="08755106"/>
    <w:rsid w:val="087A8F3E"/>
    <w:rsid w:val="087B89FA"/>
    <w:rsid w:val="087C89B9"/>
    <w:rsid w:val="087F184F"/>
    <w:rsid w:val="08838A8C"/>
    <w:rsid w:val="088474D9"/>
    <w:rsid w:val="0884E25F"/>
    <w:rsid w:val="0886176C"/>
    <w:rsid w:val="08870EA9"/>
    <w:rsid w:val="08886048"/>
    <w:rsid w:val="088AFECD"/>
    <w:rsid w:val="088D9423"/>
    <w:rsid w:val="089563BD"/>
    <w:rsid w:val="08970436"/>
    <w:rsid w:val="08991D09"/>
    <w:rsid w:val="089A788E"/>
    <w:rsid w:val="089B167F"/>
    <w:rsid w:val="089BB4E7"/>
    <w:rsid w:val="08A0F3B9"/>
    <w:rsid w:val="08A21012"/>
    <w:rsid w:val="08A428F1"/>
    <w:rsid w:val="08A6DAB2"/>
    <w:rsid w:val="08A940ED"/>
    <w:rsid w:val="08AA6F45"/>
    <w:rsid w:val="08AA826B"/>
    <w:rsid w:val="08ABD0D8"/>
    <w:rsid w:val="08AC71E5"/>
    <w:rsid w:val="08ACA296"/>
    <w:rsid w:val="08AF3A45"/>
    <w:rsid w:val="08B17BF4"/>
    <w:rsid w:val="08B2C1DF"/>
    <w:rsid w:val="08B56778"/>
    <w:rsid w:val="08B60E98"/>
    <w:rsid w:val="08B95D1A"/>
    <w:rsid w:val="08B9A957"/>
    <w:rsid w:val="08BAEC43"/>
    <w:rsid w:val="08BB9EE4"/>
    <w:rsid w:val="08BEF8B1"/>
    <w:rsid w:val="08C194A0"/>
    <w:rsid w:val="08C7319A"/>
    <w:rsid w:val="08CA1C97"/>
    <w:rsid w:val="08CD0418"/>
    <w:rsid w:val="08CE0171"/>
    <w:rsid w:val="08D04943"/>
    <w:rsid w:val="08D1126F"/>
    <w:rsid w:val="08D2EE2A"/>
    <w:rsid w:val="08D53E78"/>
    <w:rsid w:val="08D5F7DB"/>
    <w:rsid w:val="08D838FF"/>
    <w:rsid w:val="08D8CFDF"/>
    <w:rsid w:val="08D926AB"/>
    <w:rsid w:val="08D9F901"/>
    <w:rsid w:val="08DD98F3"/>
    <w:rsid w:val="08DDF4F5"/>
    <w:rsid w:val="08E1C0D8"/>
    <w:rsid w:val="08E22E5A"/>
    <w:rsid w:val="08E3C7FA"/>
    <w:rsid w:val="08E61066"/>
    <w:rsid w:val="08E923FC"/>
    <w:rsid w:val="08EC4E49"/>
    <w:rsid w:val="08F34C01"/>
    <w:rsid w:val="08F40BE6"/>
    <w:rsid w:val="08FA0413"/>
    <w:rsid w:val="08FC534E"/>
    <w:rsid w:val="08FC7842"/>
    <w:rsid w:val="08FE47AA"/>
    <w:rsid w:val="090024BE"/>
    <w:rsid w:val="09003AC7"/>
    <w:rsid w:val="090072D1"/>
    <w:rsid w:val="0905CDEC"/>
    <w:rsid w:val="0907E628"/>
    <w:rsid w:val="09088ED2"/>
    <w:rsid w:val="090B0DBB"/>
    <w:rsid w:val="090C2062"/>
    <w:rsid w:val="090D88C7"/>
    <w:rsid w:val="090E39C3"/>
    <w:rsid w:val="0910CF5E"/>
    <w:rsid w:val="0911B4EF"/>
    <w:rsid w:val="0912C5D2"/>
    <w:rsid w:val="09142A71"/>
    <w:rsid w:val="0914A841"/>
    <w:rsid w:val="09190D62"/>
    <w:rsid w:val="09192676"/>
    <w:rsid w:val="09198DD6"/>
    <w:rsid w:val="091B9E4F"/>
    <w:rsid w:val="091F5E53"/>
    <w:rsid w:val="0922D847"/>
    <w:rsid w:val="09235E28"/>
    <w:rsid w:val="0923820E"/>
    <w:rsid w:val="09260208"/>
    <w:rsid w:val="092B37A8"/>
    <w:rsid w:val="092C5C64"/>
    <w:rsid w:val="092D2C60"/>
    <w:rsid w:val="092D4DC3"/>
    <w:rsid w:val="092F2552"/>
    <w:rsid w:val="0932964F"/>
    <w:rsid w:val="0933B77D"/>
    <w:rsid w:val="093872EA"/>
    <w:rsid w:val="0938B975"/>
    <w:rsid w:val="093A2D06"/>
    <w:rsid w:val="09408D79"/>
    <w:rsid w:val="094364B2"/>
    <w:rsid w:val="0948EBA5"/>
    <w:rsid w:val="094A9A3F"/>
    <w:rsid w:val="094C10A5"/>
    <w:rsid w:val="094D07FD"/>
    <w:rsid w:val="094E1FE4"/>
    <w:rsid w:val="094FBE9A"/>
    <w:rsid w:val="0953E837"/>
    <w:rsid w:val="0958CF59"/>
    <w:rsid w:val="09591CB0"/>
    <w:rsid w:val="0959A44E"/>
    <w:rsid w:val="0964B6E3"/>
    <w:rsid w:val="09650E82"/>
    <w:rsid w:val="09687B1C"/>
    <w:rsid w:val="0969C5A4"/>
    <w:rsid w:val="0969CC03"/>
    <w:rsid w:val="096AF1B2"/>
    <w:rsid w:val="096C5810"/>
    <w:rsid w:val="096C6267"/>
    <w:rsid w:val="0971EC7D"/>
    <w:rsid w:val="09721848"/>
    <w:rsid w:val="09732235"/>
    <w:rsid w:val="0979F640"/>
    <w:rsid w:val="097AA345"/>
    <w:rsid w:val="097D06E8"/>
    <w:rsid w:val="0983AA4C"/>
    <w:rsid w:val="098856CE"/>
    <w:rsid w:val="098A4A96"/>
    <w:rsid w:val="098D3D3F"/>
    <w:rsid w:val="098E2496"/>
    <w:rsid w:val="09936118"/>
    <w:rsid w:val="09956AF4"/>
    <w:rsid w:val="09966E78"/>
    <w:rsid w:val="09973499"/>
    <w:rsid w:val="0998536A"/>
    <w:rsid w:val="09988EBE"/>
    <w:rsid w:val="099B48BA"/>
    <w:rsid w:val="099FA7CB"/>
    <w:rsid w:val="09A7DCBB"/>
    <w:rsid w:val="09AABEAA"/>
    <w:rsid w:val="09AD1157"/>
    <w:rsid w:val="09AD64D3"/>
    <w:rsid w:val="09AFA703"/>
    <w:rsid w:val="09B27DAE"/>
    <w:rsid w:val="09B49CA4"/>
    <w:rsid w:val="09B624E4"/>
    <w:rsid w:val="09B64433"/>
    <w:rsid w:val="09B84C29"/>
    <w:rsid w:val="09B93AB3"/>
    <w:rsid w:val="09B97D12"/>
    <w:rsid w:val="09BB0D46"/>
    <w:rsid w:val="09BB6F27"/>
    <w:rsid w:val="09BB76EF"/>
    <w:rsid w:val="09BDD7A9"/>
    <w:rsid w:val="09BE65EC"/>
    <w:rsid w:val="09C1017A"/>
    <w:rsid w:val="09C1693A"/>
    <w:rsid w:val="09C583BD"/>
    <w:rsid w:val="09C5F04A"/>
    <w:rsid w:val="09C61EE9"/>
    <w:rsid w:val="09C64CA1"/>
    <w:rsid w:val="09C6F354"/>
    <w:rsid w:val="09C9779A"/>
    <w:rsid w:val="09CA02CC"/>
    <w:rsid w:val="09CC262E"/>
    <w:rsid w:val="09D12EFD"/>
    <w:rsid w:val="09D43B81"/>
    <w:rsid w:val="09D6A17E"/>
    <w:rsid w:val="09D903E1"/>
    <w:rsid w:val="09D95008"/>
    <w:rsid w:val="09DD39E0"/>
    <w:rsid w:val="09DE2D50"/>
    <w:rsid w:val="09E42F7C"/>
    <w:rsid w:val="09E5BE2C"/>
    <w:rsid w:val="09E84DAF"/>
    <w:rsid w:val="09E900E3"/>
    <w:rsid w:val="09EC26DF"/>
    <w:rsid w:val="09ECA585"/>
    <w:rsid w:val="09EE5D30"/>
    <w:rsid w:val="09F72A0F"/>
    <w:rsid w:val="09F7501A"/>
    <w:rsid w:val="09FCA1C3"/>
    <w:rsid w:val="09FECB33"/>
    <w:rsid w:val="0A01259A"/>
    <w:rsid w:val="0A050329"/>
    <w:rsid w:val="0A0A959C"/>
    <w:rsid w:val="0A0D10D1"/>
    <w:rsid w:val="0A13C494"/>
    <w:rsid w:val="0A1761C3"/>
    <w:rsid w:val="0A23A130"/>
    <w:rsid w:val="0A26008A"/>
    <w:rsid w:val="0A2676E1"/>
    <w:rsid w:val="0A26A929"/>
    <w:rsid w:val="0A282E33"/>
    <w:rsid w:val="0A28B240"/>
    <w:rsid w:val="0A29124F"/>
    <w:rsid w:val="0A2AE080"/>
    <w:rsid w:val="0A2B0D4F"/>
    <w:rsid w:val="0A2B9130"/>
    <w:rsid w:val="0A2C9DC4"/>
    <w:rsid w:val="0A2CE03A"/>
    <w:rsid w:val="0A2F1163"/>
    <w:rsid w:val="0A347345"/>
    <w:rsid w:val="0A34AFC5"/>
    <w:rsid w:val="0A34C9AA"/>
    <w:rsid w:val="0A380432"/>
    <w:rsid w:val="0A39772A"/>
    <w:rsid w:val="0A3BE4CB"/>
    <w:rsid w:val="0A3C5B48"/>
    <w:rsid w:val="0A41401D"/>
    <w:rsid w:val="0A415D48"/>
    <w:rsid w:val="0A46E8F6"/>
    <w:rsid w:val="0A4E0D86"/>
    <w:rsid w:val="0A514345"/>
    <w:rsid w:val="0A5366A4"/>
    <w:rsid w:val="0A53DE38"/>
    <w:rsid w:val="0A58BB17"/>
    <w:rsid w:val="0A5AB0BB"/>
    <w:rsid w:val="0A5DFCC8"/>
    <w:rsid w:val="0A6585E4"/>
    <w:rsid w:val="0A6A267D"/>
    <w:rsid w:val="0A6A510A"/>
    <w:rsid w:val="0A6A5914"/>
    <w:rsid w:val="0A6C158F"/>
    <w:rsid w:val="0A6E9BA0"/>
    <w:rsid w:val="0A702D36"/>
    <w:rsid w:val="0A71D999"/>
    <w:rsid w:val="0A745202"/>
    <w:rsid w:val="0A7543EC"/>
    <w:rsid w:val="0A77BED3"/>
    <w:rsid w:val="0A7C2B63"/>
    <w:rsid w:val="0A7C2C49"/>
    <w:rsid w:val="0A83768C"/>
    <w:rsid w:val="0A83A721"/>
    <w:rsid w:val="0A861B42"/>
    <w:rsid w:val="0A875B94"/>
    <w:rsid w:val="0A88DDB1"/>
    <w:rsid w:val="0A8AA319"/>
    <w:rsid w:val="0A8B69F9"/>
    <w:rsid w:val="0A8CCF5A"/>
    <w:rsid w:val="0A8DF287"/>
    <w:rsid w:val="0A902223"/>
    <w:rsid w:val="0A94662F"/>
    <w:rsid w:val="0A97AA66"/>
    <w:rsid w:val="0A9821E3"/>
    <w:rsid w:val="0A99EAE8"/>
    <w:rsid w:val="0A9E5EC7"/>
    <w:rsid w:val="0AA207C5"/>
    <w:rsid w:val="0AA362E8"/>
    <w:rsid w:val="0AAD3C20"/>
    <w:rsid w:val="0AB08FEB"/>
    <w:rsid w:val="0AB77664"/>
    <w:rsid w:val="0ABF5F48"/>
    <w:rsid w:val="0AC044B8"/>
    <w:rsid w:val="0AC10D4C"/>
    <w:rsid w:val="0AC4643F"/>
    <w:rsid w:val="0AC5236F"/>
    <w:rsid w:val="0AC55E8B"/>
    <w:rsid w:val="0AC769F1"/>
    <w:rsid w:val="0AC8BD67"/>
    <w:rsid w:val="0ACB4560"/>
    <w:rsid w:val="0ACB5D0F"/>
    <w:rsid w:val="0AD1E36B"/>
    <w:rsid w:val="0AD24920"/>
    <w:rsid w:val="0AD58B78"/>
    <w:rsid w:val="0AD7D510"/>
    <w:rsid w:val="0AD900A1"/>
    <w:rsid w:val="0AD9C39E"/>
    <w:rsid w:val="0ADF78E1"/>
    <w:rsid w:val="0ADFCC4F"/>
    <w:rsid w:val="0AE184EA"/>
    <w:rsid w:val="0AE1E886"/>
    <w:rsid w:val="0AE256F4"/>
    <w:rsid w:val="0AE342AF"/>
    <w:rsid w:val="0AE3E1B1"/>
    <w:rsid w:val="0AE44BA9"/>
    <w:rsid w:val="0AE4EC99"/>
    <w:rsid w:val="0AE81E58"/>
    <w:rsid w:val="0AF2E8CE"/>
    <w:rsid w:val="0AF367ED"/>
    <w:rsid w:val="0AF3D4CB"/>
    <w:rsid w:val="0AF6F2A0"/>
    <w:rsid w:val="0AF854A5"/>
    <w:rsid w:val="0AFB963B"/>
    <w:rsid w:val="0AFD0FD4"/>
    <w:rsid w:val="0B0056E3"/>
    <w:rsid w:val="0B006D13"/>
    <w:rsid w:val="0B04A7BE"/>
    <w:rsid w:val="0B04F9FB"/>
    <w:rsid w:val="0B07710B"/>
    <w:rsid w:val="0B0D32AD"/>
    <w:rsid w:val="0B0E73A5"/>
    <w:rsid w:val="0B10054C"/>
    <w:rsid w:val="0B103BC6"/>
    <w:rsid w:val="0B12F31E"/>
    <w:rsid w:val="0B16EFE7"/>
    <w:rsid w:val="0B1D29F6"/>
    <w:rsid w:val="0B1D6376"/>
    <w:rsid w:val="0B2001DD"/>
    <w:rsid w:val="0B212A48"/>
    <w:rsid w:val="0B26C59B"/>
    <w:rsid w:val="0B2736F9"/>
    <w:rsid w:val="0B27A56B"/>
    <w:rsid w:val="0B2B1207"/>
    <w:rsid w:val="0B2B4169"/>
    <w:rsid w:val="0B2D165D"/>
    <w:rsid w:val="0B2E7FD4"/>
    <w:rsid w:val="0B31832C"/>
    <w:rsid w:val="0B32C82F"/>
    <w:rsid w:val="0B35CB11"/>
    <w:rsid w:val="0B3D561F"/>
    <w:rsid w:val="0B422E31"/>
    <w:rsid w:val="0B42C44C"/>
    <w:rsid w:val="0B42E018"/>
    <w:rsid w:val="0B45CB5C"/>
    <w:rsid w:val="0B462683"/>
    <w:rsid w:val="0B468A4D"/>
    <w:rsid w:val="0B4A02F7"/>
    <w:rsid w:val="0B4D5229"/>
    <w:rsid w:val="0B50AC05"/>
    <w:rsid w:val="0B50DBE8"/>
    <w:rsid w:val="0B53C704"/>
    <w:rsid w:val="0B541894"/>
    <w:rsid w:val="0B543689"/>
    <w:rsid w:val="0B545E4A"/>
    <w:rsid w:val="0B557977"/>
    <w:rsid w:val="0B5ED563"/>
    <w:rsid w:val="0B6218B5"/>
    <w:rsid w:val="0B65956E"/>
    <w:rsid w:val="0B67F243"/>
    <w:rsid w:val="0B6CA290"/>
    <w:rsid w:val="0B71D512"/>
    <w:rsid w:val="0B71F237"/>
    <w:rsid w:val="0B791B42"/>
    <w:rsid w:val="0B7BB1D6"/>
    <w:rsid w:val="0B7FE0FC"/>
    <w:rsid w:val="0B84BCD0"/>
    <w:rsid w:val="0B876134"/>
    <w:rsid w:val="0B88A792"/>
    <w:rsid w:val="0B8AB0A9"/>
    <w:rsid w:val="0B8FDEC8"/>
    <w:rsid w:val="0B924AF8"/>
    <w:rsid w:val="0B92C720"/>
    <w:rsid w:val="0B94913C"/>
    <w:rsid w:val="0B95C273"/>
    <w:rsid w:val="0B971C7E"/>
    <w:rsid w:val="0B97E0DF"/>
    <w:rsid w:val="0B996016"/>
    <w:rsid w:val="0B9B896F"/>
    <w:rsid w:val="0B9FF2A1"/>
    <w:rsid w:val="0B9FFB9A"/>
    <w:rsid w:val="0BA0CC26"/>
    <w:rsid w:val="0BA63323"/>
    <w:rsid w:val="0BA8FBB8"/>
    <w:rsid w:val="0BAB5D32"/>
    <w:rsid w:val="0BB47E10"/>
    <w:rsid w:val="0BBFD1C0"/>
    <w:rsid w:val="0BC251FA"/>
    <w:rsid w:val="0BCA7DF9"/>
    <w:rsid w:val="0BCDA79C"/>
    <w:rsid w:val="0BD3305C"/>
    <w:rsid w:val="0BD45F75"/>
    <w:rsid w:val="0BD4F4DC"/>
    <w:rsid w:val="0BD591CF"/>
    <w:rsid w:val="0BD5DB53"/>
    <w:rsid w:val="0BDB5FF7"/>
    <w:rsid w:val="0BE10844"/>
    <w:rsid w:val="0BE13360"/>
    <w:rsid w:val="0BE2A4B8"/>
    <w:rsid w:val="0BE2DEF6"/>
    <w:rsid w:val="0BE45A08"/>
    <w:rsid w:val="0BE4BBA3"/>
    <w:rsid w:val="0BE54FBA"/>
    <w:rsid w:val="0BE5CE75"/>
    <w:rsid w:val="0BE69C1C"/>
    <w:rsid w:val="0BEAA74A"/>
    <w:rsid w:val="0BEF166F"/>
    <w:rsid w:val="0BEFF670"/>
    <w:rsid w:val="0BFBE20D"/>
    <w:rsid w:val="0C00A4B6"/>
    <w:rsid w:val="0C04C109"/>
    <w:rsid w:val="0C04D82D"/>
    <w:rsid w:val="0C062217"/>
    <w:rsid w:val="0C07F29F"/>
    <w:rsid w:val="0C0E505B"/>
    <w:rsid w:val="0C0E742B"/>
    <w:rsid w:val="0C0E9DD5"/>
    <w:rsid w:val="0C123A48"/>
    <w:rsid w:val="0C16B846"/>
    <w:rsid w:val="0C182975"/>
    <w:rsid w:val="0C194B18"/>
    <w:rsid w:val="0C1AF31E"/>
    <w:rsid w:val="0C249CE8"/>
    <w:rsid w:val="0C24FA73"/>
    <w:rsid w:val="0C26B670"/>
    <w:rsid w:val="0C28534A"/>
    <w:rsid w:val="0C289160"/>
    <w:rsid w:val="0C2B01BD"/>
    <w:rsid w:val="0C2EE1BB"/>
    <w:rsid w:val="0C312B5C"/>
    <w:rsid w:val="0C318991"/>
    <w:rsid w:val="0C36EA2C"/>
    <w:rsid w:val="0C3B6259"/>
    <w:rsid w:val="0C3B9C57"/>
    <w:rsid w:val="0C3BD15F"/>
    <w:rsid w:val="0C3C6514"/>
    <w:rsid w:val="0C3E84BD"/>
    <w:rsid w:val="0C3F7EBD"/>
    <w:rsid w:val="0C4292EF"/>
    <w:rsid w:val="0C442FF8"/>
    <w:rsid w:val="0C448D4A"/>
    <w:rsid w:val="0C46CBEA"/>
    <w:rsid w:val="0C499AA7"/>
    <w:rsid w:val="0C4DB6AB"/>
    <w:rsid w:val="0C525FEF"/>
    <w:rsid w:val="0C53707D"/>
    <w:rsid w:val="0C5A5D67"/>
    <w:rsid w:val="0C5AB29E"/>
    <w:rsid w:val="0C71CCE6"/>
    <w:rsid w:val="0C725F7B"/>
    <w:rsid w:val="0C7560DC"/>
    <w:rsid w:val="0C75888F"/>
    <w:rsid w:val="0C77AEC7"/>
    <w:rsid w:val="0C789B12"/>
    <w:rsid w:val="0C7EB9EF"/>
    <w:rsid w:val="0C803BA0"/>
    <w:rsid w:val="0C8245F9"/>
    <w:rsid w:val="0C82A8CE"/>
    <w:rsid w:val="0C830DC3"/>
    <w:rsid w:val="0C83DE81"/>
    <w:rsid w:val="0C842E99"/>
    <w:rsid w:val="0C848A04"/>
    <w:rsid w:val="0C86C9D0"/>
    <w:rsid w:val="0C8FC2D8"/>
    <w:rsid w:val="0C94DDD5"/>
    <w:rsid w:val="0C9A44E5"/>
    <w:rsid w:val="0CA0440E"/>
    <w:rsid w:val="0CA09AD4"/>
    <w:rsid w:val="0CA19987"/>
    <w:rsid w:val="0CA648EF"/>
    <w:rsid w:val="0CA7530A"/>
    <w:rsid w:val="0CA83153"/>
    <w:rsid w:val="0CAB5C17"/>
    <w:rsid w:val="0CABAE69"/>
    <w:rsid w:val="0CAE4738"/>
    <w:rsid w:val="0CB178AA"/>
    <w:rsid w:val="0CB36455"/>
    <w:rsid w:val="0CB7CCF6"/>
    <w:rsid w:val="0CB905AF"/>
    <w:rsid w:val="0CBC0AF6"/>
    <w:rsid w:val="0CBE9726"/>
    <w:rsid w:val="0CC317E8"/>
    <w:rsid w:val="0CC52DE0"/>
    <w:rsid w:val="0CC5DABB"/>
    <w:rsid w:val="0CC87778"/>
    <w:rsid w:val="0CC87B44"/>
    <w:rsid w:val="0CCE4C3E"/>
    <w:rsid w:val="0CCF10D1"/>
    <w:rsid w:val="0CCF7E9C"/>
    <w:rsid w:val="0CCFC8D1"/>
    <w:rsid w:val="0CD3F550"/>
    <w:rsid w:val="0CD60B56"/>
    <w:rsid w:val="0CD6FBA9"/>
    <w:rsid w:val="0CD82486"/>
    <w:rsid w:val="0CD8A1E1"/>
    <w:rsid w:val="0CD97E2C"/>
    <w:rsid w:val="0CD9D4C4"/>
    <w:rsid w:val="0CDADB8C"/>
    <w:rsid w:val="0CDEB480"/>
    <w:rsid w:val="0CE013C0"/>
    <w:rsid w:val="0CE0A265"/>
    <w:rsid w:val="0CE1BA66"/>
    <w:rsid w:val="0CE32D04"/>
    <w:rsid w:val="0CE7776B"/>
    <w:rsid w:val="0CE83551"/>
    <w:rsid w:val="0CEB793B"/>
    <w:rsid w:val="0CEED6F3"/>
    <w:rsid w:val="0CEFF9D2"/>
    <w:rsid w:val="0CF08F35"/>
    <w:rsid w:val="0CF1856E"/>
    <w:rsid w:val="0CF549AB"/>
    <w:rsid w:val="0CFC494D"/>
    <w:rsid w:val="0CFC7256"/>
    <w:rsid w:val="0D01D623"/>
    <w:rsid w:val="0D07A277"/>
    <w:rsid w:val="0D0A4DBF"/>
    <w:rsid w:val="0D0BCB5B"/>
    <w:rsid w:val="0D0FB4A6"/>
    <w:rsid w:val="0D190B8E"/>
    <w:rsid w:val="0D1949A4"/>
    <w:rsid w:val="0D20AB52"/>
    <w:rsid w:val="0D2127E9"/>
    <w:rsid w:val="0D27C8A1"/>
    <w:rsid w:val="0D28AC10"/>
    <w:rsid w:val="0D296F8A"/>
    <w:rsid w:val="0D2DEF78"/>
    <w:rsid w:val="0D2EFB9D"/>
    <w:rsid w:val="0D310FF7"/>
    <w:rsid w:val="0D311F4F"/>
    <w:rsid w:val="0D3164CF"/>
    <w:rsid w:val="0D335E40"/>
    <w:rsid w:val="0D393810"/>
    <w:rsid w:val="0D4392F3"/>
    <w:rsid w:val="0D4A0D4B"/>
    <w:rsid w:val="0D4BD966"/>
    <w:rsid w:val="0D4C985F"/>
    <w:rsid w:val="0D501AED"/>
    <w:rsid w:val="0D50C901"/>
    <w:rsid w:val="0D523934"/>
    <w:rsid w:val="0D529FAD"/>
    <w:rsid w:val="0D54DEE8"/>
    <w:rsid w:val="0D55EC07"/>
    <w:rsid w:val="0D59B27A"/>
    <w:rsid w:val="0D5B1E7C"/>
    <w:rsid w:val="0D5E2808"/>
    <w:rsid w:val="0D5FB1B5"/>
    <w:rsid w:val="0D66EB87"/>
    <w:rsid w:val="0D6BA191"/>
    <w:rsid w:val="0D709034"/>
    <w:rsid w:val="0D72991E"/>
    <w:rsid w:val="0D72B70A"/>
    <w:rsid w:val="0D76322F"/>
    <w:rsid w:val="0D7A0BD4"/>
    <w:rsid w:val="0D7A4E46"/>
    <w:rsid w:val="0D7F1EF8"/>
    <w:rsid w:val="0D858BA0"/>
    <w:rsid w:val="0D8AE782"/>
    <w:rsid w:val="0D8CE146"/>
    <w:rsid w:val="0D9000B3"/>
    <w:rsid w:val="0D9021E4"/>
    <w:rsid w:val="0D9EEAA7"/>
    <w:rsid w:val="0D9F11DA"/>
    <w:rsid w:val="0D9FE6B9"/>
    <w:rsid w:val="0DA232CE"/>
    <w:rsid w:val="0DA4911B"/>
    <w:rsid w:val="0DA5203D"/>
    <w:rsid w:val="0DA627D4"/>
    <w:rsid w:val="0DA69738"/>
    <w:rsid w:val="0DAD1A20"/>
    <w:rsid w:val="0DAE1228"/>
    <w:rsid w:val="0DAE6FCA"/>
    <w:rsid w:val="0DAEBC68"/>
    <w:rsid w:val="0DB08DE3"/>
    <w:rsid w:val="0DB18377"/>
    <w:rsid w:val="0DB41B7A"/>
    <w:rsid w:val="0DB5068D"/>
    <w:rsid w:val="0DB9440F"/>
    <w:rsid w:val="0DBA6A34"/>
    <w:rsid w:val="0DC2644C"/>
    <w:rsid w:val="0DC2E60F"/>
    <w:rsid w:val="0DC5B03E"/>
    <w:rsid w:val="0DC70C3E"/>
    <w:rsid w:val="0DC7A245"/>
    <w:rsid w:val="0DC8DE75"/>
    <w:rsid w:val="0DC91E99"/>
    <w:rsid w:val="0DC9FC5D"/>
    <w:rsid w:val="0DCA57B7"/>
    <w:rsid w:val="0DCB0F39"/>
    <w:rsid w:val="0DCDA46E"/>
    <w:rsid w:val="0DD12CB2"/>
    <w:rsid w:val="0DD2EC25"/>
    <w:rsid w:val="0DD47432"/>
    <w:rsid w:val="0DD6F743"/>
    <w:rsid w:val="0DD7306D"/>
    <w:rsid w:val="0DD8F400"/>
    <w:rsid w:val="0DD9A66A"/>
    <w:rsid w:val="0DDA3E7B"/>
    <w:rsid w:val="0DDE44B3"/>
    <w:rsid w:val="0DE0380E"/>
    <w:rsid w:val="0DE083B4"/>
    <w:rsid w:val="0DE11FB3"/>
    <w:rsid w:val="0DE45D62"/>
    <w:rsid w:val="0DE7D7DE"/>
    <w:rsid w:val="0DE8769C"/>
    <w:rsid w:val="0DEA0E85"/>
    <w:rsid w:val="0DEA628A"/>
    <w:rsid w:val="0DECD96A"/>
    <w:rsid w:val="0DED30C9"/>
    <w:rsid w:val="0DEEBE37"/>
    <w:rsid w:val="0DF23539"/>
    <w:rsid w:val="0DF4CC47"/>
    <w:rsid w:val="0DF58AC9"/>
    <w:rsid w:val="0DF63F61"/>
    <w:rsid w:val="0DF6A87E"/>
    <w:rsid w:val="0DF70D95"/>
    <w:rsid w:val="0DF80112"/>
    <w:rsid w:val="0DF809F8"/>
    <w:rsid w:val="0DFAF7A3"/>
    <w:rsid w:val="0DFECFAF"/>
    <w:rsid w:val="0DFFBED3"/>
    <w:rsid w:val="0E00039D"/>
    <w:rsid w:val="0E01E119"/>
    <w:rsid w:val="0E02D11B"/>
    <w:rsid w:val="0E035592"/>
    <w:rsid w:val="0E04F22C"/>
    <w:rsid w:val="0E050C43"/>
    <w:rsid w:val="0E076224"/>
    <w:rsid w:val="0E0C30EC"/>
    <w:rsid w:val="0E0E5F68"/>
    <w:rsid w:val="0E151BB9"/>
    <w:rsid w:val="0E162B62"/>
    <w:rsid w:val="0E17625F"/>
    <w:rsid w:val="0E1BC10C"/>
    <w:rsid w:val="0E1DDD48"/>
    <w:rsid w:val="0E1E7E1C"/>
    <w:rsid w:val="0E1F0359"/>
    <w:rsid w:val="0E238FE0"/>
    <w:rsid w:val="0E250E8E"/>
    <w:rsid w:val="0E261189"/>
    <w:rsid w:val="0E26A8A0"/>
    <w:rsid w:val="0E2B3605"/>
    <w:rsid w:val="0E2BE3B4"/>
    <w:rsid w:val="0E2CDE82"/>
    <w:rsid w:val="0E2DAD76"/>
    <w:rsid w:val="0E30EA54"/>
    <w:rsid w:val="0E35B8CA"/>
    <w:rsid w:val="0E361844"/>
    <w:rsid w:val="0E3B0856"/>
    <w:rsid w:val="0E3B9F6D"/>
    <w:rsid w:val="0E3BC0BF"/>
    <w:rsid w:val="0E3BC13C"/>
    <w:rsid w:val="0E3C2E22"/>
    <w:rsid w:val="0E3D9BE7"/>
    <w:rsid w:val="0E3E908B"/>
    <w:rsid w:val="0E44B320"/>
    <w:rsid w:val="0E4943EE"/>
    <w:rsid w:val="0E4A0869"/>
    <w:rsid w:val="0E4A1AB0"/>
    <w:rsid w:val="0E4B9585"/>
    <w:rsid w:val="0E530D09"/>
    <w:rsid w:val="0E5B0D40"/>
    <w:rsid w:val="0E5C8C98"/>
    <w:rsid w:val="0E5F4928"/>
    <w:rsid w:val="0E5F8598"/>
    <w:rsid w:val="0E614942"/>
    <w:rsid w:val="0E6CED2C"/>
    <w:rsid w:val="0E6F91B6"/>
    <w:rsid w:val="0E70145A"/>
    <w:rsid w:val="0E791669"/>
    <w:rsid w:val="0E791680"/>
    <w:rsid w:val="0E793567"/>
    <w:rsid w:val="0E7CFD77"/>
    <w:rsid w:val="0E7F09F6"/>
    <w:rsid w:val="0E803FF9"/>
    <w:rsid w:val="0E81AC9F"/>
    <w:rsid w:val="0E83AA87"/>
    <w:rsid w:val="0E882D62"/>
    <w:rsid w:val="0E8AF320"/>
    <w:rsid w:val="0E8C1472"/>
    <w:rsid w:val="0E8DC4A3"/>
    <w:rsid w:val="0E9202E0"/>
    <w:rsid w:val="0E952030"/>
    <w:rsid w:val="0E979F74"/>
    <w:rsid w:val="0E9C8C9D"/>
    <w:rsid w:val="0EA6492B"/>
    <w:rsid w:val="0EA6F91D"/>
    <w:rsid w:val="0EA9343A"/>
    <w:rsid w:val="0EB12740"/>
    <w:rsid w:val="0EB40B28"/>
    <w:rsid w:val="0EBE3BB9"/>
    <w:rsid w:val="0EBEE3CA"/>
    <w:rsid w:val="0EBEE5F7"/>
    <w:rsid w:val="0EC3B78F"/>
    <w:rsid w:val="0EC5765C"/>
    <w:rsid w:val="0ECA9D7F"/>
    <w:rsid w:val="0ECEDA12"/>
    <w:rsid w:val="0ECF53B9"/>
    <w:rsid w:val="0ED06FBF"/>
    <w:rsid w:val="0ED3DE41"/>
    <w:rsid w:val="0ED7D382"/>
    <w:rsid w:val="0ED8E1CD"/>
    <w:rsid w:val="0EDF7DEA"/>
    <w:rsid w:val="0EE797CD"/>
    <w:rsid w:val="0EECECCC"/>
    <w:rsid w:val="0EEFCB22"/>
    <w:rsid w:val="0EF79782"/>
    <w:rsid w:val="0EF9FC94"/>
    <w:rsid w:val="0EFA66DF"/>
    <w:rsid w:val="0F070EE3"/>
    <w:rsid w:val="0F0C7415"/>
    <w:rsid w:val="0F0F1BD4"/>
    <w:rsid w:val="0F1083DE"/>
    <w:rsid w:val="0F11B0F8"/>
    <w:rsid w:val="0F12B8FB"/>
    <w:rsid w:val="0F136833"/>
    <w:rsid w:val="0F17D48D"/>
    <w:rsid w:val="0F1B0037"/>
    <w:rsid w:val="0F1CFE49"/>
    <w:rsid w:val="0F1DA59F"/>
    <w:rsid w:val="0F1DD54F"/>
    <w:rsid w:val="0F1F492E"/>
    <w:rsid w:val="0F23003E"/>
    <w:rsid w:val="0F2374CC"/>
    <w:rsid w:val="0F2884D4"/>
    <w:rsid w:val="0F2C33E1"/>
    <w:rsid w:val="0F2CA15B"/>
    <w:rsid w:val="0F2FC43A"/>
    <w:rsid w:val="0F32C694"/>
    <w:rsid w:val="0F33324D"/>
    <w:rsid w:val="0F3702E3"/>
    <w:rsid w:val="0F3976AF"/>
    <w:rsid w:val="0F3D7F37"/>
    <w:rsid w:val="0F40D691"/>
    <w:rsid w:val="0F44B6FD"/>
    <w:rsid w:val="0F475240"/>
    <w:rsid w:val="0F490782"/>
    <w:rsid w:val="0F4A9E64"/>
    <w:rsid w:val="0F5092EF"/>
    <w:rsid w:val="0F5148DE"/>
    <w:rsid w:val="0F555398"/>
    <w:rsid w:val="0F5610B1"/>
    <w:rsid w:val="0F56FC99"/>
    <w:rsid w:val="0F570F4B"/>
    <w:rsid w:val="0F58DB19"/>
    <w:rsid w:val="0F5AD68D"/>
    <w:rsid w:val="0F5E188B"/>
    <w:rsid w:val="0F60729D"/>
    <w:rsid w:val="0F61D6CD"/>
    <w:rsid w:val="0F638EDB"/>
    <w:rsid w:val="0F64BE66"/>
    <w:rsid w:val="0F69B142"/>
    <w:rsid w:val="0F6C8E39"/>
    <w:rsid w:val="0F6FF26A"/>
    <w:rsid w:val="0F729219"/>
    <w:rsid w:val="0F72B963"/>
    <w:rsid w:val="0F7312D5"/>
    <w:rsid w:val="0F75BA28"/>
    <w:rsid w:val="0F7631CB"/>
    <w:rsid w:val="0F764436"/>
    <w:rsid w:val="0F79F4B1"/>
    <w:rsid w:val="0F7E73F8"/>
    <w:rsid w:val="0F818A2C"/>
    <w:rsid w:val="0F833A3F"/>
    <w:rsid w:val="0F83BD45"/>
    <w:rsid w:val="0F872BE9"/>
    <w:rsid w:val="0F8741C2"/>
    <w:rsid w:val="0F87A917"/>
    <w:rsid w:val="0F87D96B"/>
    <w:rsid w:val="0F882FE5"/>
    <w:rsid w:val="0F8A50EA"/>
    <w:rsid w:val="0F8BA900"/>
    <w:rsid w:val="0F8BDE8D"/>
    <w:rsid w:val="0F8C18D3"/>
    <w:rsid w:val="0F8D3650"/>
    <w:rsid w:val="0F9007CE"/>
    <w:rsid w:val="0F915C83"/>
    <w:rsid w:val="0F917681"/>
    <w:rsid w:val="0F938C8C"/>
    <w:rsid w:val="0F93BF5D"/>
    <w:rsid w:val="0F9D017A"/>
    <w:rsid w:val="0FA016D7"/>
    <w:rsid w:val="0FA11834"/>
    <w:rsid w:val="0FA23B31"/>
    <w:rsid w:val="0FA3FBE0"/>
    <w:rsid w:val="0FA799E6"/>
    <w:rsid w:val="0FA8AA5F"/>
    <w:rsid w:val="0FAAAFE4"/>
    <w:rsid w:val="0FACB8FB"/>
    <w:rsid w:val="0FAE39F8"/>
    <w:rsid w:val="0FB4AE92"/>
    <w:rsid w:val="0FB69022"/>
    <w:rsid w:val="0FBB9EDC"/>
    <w:rsid w:val="0FBBB4C5"/>
    <w:rsid w:val="0FBD1D85"/>
    <w:rsid w:val="0FBF23B9"/>
    <w:rsid w:val="0FC0479D"/>
    <w:rsid w:val="0FC6656D"/>
    <w:rsid w:val="0FCBA727"/>
    <w:rsid w:val="0FCD47BB"/>
    <w:rsid w:val="0FD44515"/>
    <w:rsid w:val="0FD4EDCE"/>
    <w:rsid w:val="0FD782F9"/>
    <w:rsid w:val="0FD7860F"/>
    <w:rsid w:val="0FD7EF4E"/>
    <w:rsid w:val="0FD85635"/>
    <w:rsid w:val="0FD94E37"/>
    <w:rsid w:val="0FDB883E"/>
    <w:rsid w:val="0FDD3390"/>
    <w:rsid w:val="0FE2870F"/>
    <w:rsid w:val="0FE3CBF5"/>
    <w:rsid w:val="0FE551C5"/>
    <w:rsid w:val="0FE5DC63"/>
    <w:rsid w:val="0FE6ED9E"/>
    <w:rsid w:val="0FE96BB8"/>
    <w:rsid w:val="0FEA2D77"/>
    <w:rsid w:val="0FEDBDF4"/>
    <w:rsid w:val="0FEEAE08"/>
    <w:rsid w:val="0FF053C4"/>
    <w:rsid w:val="0FF3EC73"/>
    <w:rsid w:val="0FF543AC"/>
    <w:rsid w:val="0FF571E8"/>
    <w:rsid w:val="0FF7285A"/>
    <w:rsid w:val="0FFED667"/>
    <w:rsid w:val="100FB3F6"/>
    <w:rsid w:val="1010CA6C"/>
    <w:rsid w:val="1010F97E"/>
    <w:rsid w:val="10111AF0"/>
    <w:rsid w:val="10146F1E"/>
    <w:rsid w:val="10153DBE"/>
    <w:rsid w:val="1016D533"/>
    <w:rsid w:val="101759D2"/>
    <w:rsid w:val="10181E71"/>
    <w:rsid w:val="10188B18"/>
    <w:rsid w:val="101BC3D6"/>
    <w:rsid w:val="101C1145"/>
    <w:rsid w:val="101F4516"/>
    <w:rsid w:val="102331AA"/>
    <w:rsid w:val="10239577"/>
    <w:rsid w:val="102784C9"/>
    <w:rsid w:val="102833AA"/>
    <w:rsid w:val="102D4779"/>
    <w:rsid w:val="1031F1D1"/>
    <w:rsid w:val="10384317"/>
    <w:rsid w:val="103C9094"/>
    <w:rsid w:val="103E9EFB"/>
    <w:rsid w:val="1041A9CC"/>
    <w:rsid w:val="104BD503"/>
    <w:rsid w:val="104D3B6F"/>
    <w:rsid w:val="104E1119"/>
    <w:rsid w:val="105006C7"/>
    <w:rsid w:val="1053736F"/>
    <w:rsid w:val="1053B486"/>
    <w:rsid w:val="1054375D"/>
    <w:rsid w:val="105A0541"/>
    <w:rsid w:val="10636391"/>
    <w:rsid w:val="10675BD8"/>
    <w:rsid w:val="10678A6D"/>
    <w:rsid w:val="106987E8"/>
    <w:rsid w:val="106DB489"/>
    <w:rsid w:val="107644B4"/>
    <w:rsid w:val="107B8730"/>
    <w:rsid w:val="107F69D5"/>
    <w:rsid w:val="108111A7"/>
    <w:rsid w:val="1081B67F"/>
    <w:rsid w:val="1084B492"/>
    <w:rsid w:val="1085A961"/>
    <w:rsid w:val="1085D0FB"/>
    <w:rsid w:val="108D8012"/>
    <w:rsid w:val="108DA96E"/>
    <w:rsid w:val="108F2E67"/>
    <w:rsid w:val="10903C42"/>
    <w:rsid w:val="10905538"/>
    <w:rsid w:val="1092408F"/>
    <w:rsid w:val="109374B9"/>
    <w:rsid w:val="10949A9E"/>
    <w:rsid w:val="109831E7"/>
    <w:rsid w:val="109DB6D9"/>
    <w:rsid w:val="10A1B61C"/>
    <w:rsid w:val="10A39F31"/>
    <w:rsid w:val="10A54231"/>
    <w:rsid w:val="10A74F44"/>
    <w:rsid w:val="10B61E5D"/>
    <w:rsid w:val="10B78B7D"/>
    <w:rsid w:val="10B8FC74"/>
    <w:rsid w:val="10B9C3A2"/>
    <w:rsid w:val="10BBBF88"/>
    <w:rsid w:val="10BBFAC0"/>
    <w:rsid w:val="10BCC331"/>
    <w:rsid w:val="10BD133E"/>
    <w:rsid w:val="10C04065"/>
    <w:rsid w:val="10C272B1"/>
    <w:rsid w:val="10C2D410"/>
    <w:rsid w:val="10C307B3"/>
    <w:rsid w:val="10C65F9E"/>
    <w:rsid w:val="10C97110"/>
    <w:rsid w:val="10CA2882"/>
    <w:rsid w:val="10CE5DAA"/>
    <w:rsid w:val="10D29285"/>
    <w:rsid w:val="10D3E2AE"/>
    <w:rsid w:val="10D58F8C"/>
    <w:rsid w:val="10D74F47"/>
    <w:rsid w:val="10D8B182"/>
    <w:rsid w:val="10D9021B"/>
    <w:rsid w:val="10DA2841"/>
    <w:rsid w:val="10DC876E"/>
    <w:rsid w:val="10E250A3"/>
    <w:rsid w:val="10E4414F"/>
    <w:rsid w:val="10E4EDDC"/>
    <w:rsid w:val="10EABD4B"/>
    <w:rsid w:val="10EB9732"/>
    <w:rsid w:val="10EBC09B"/>
    <w:rsid w:val="10EC0ABF"/>
    <w:rsid w:val="10F111F3"/>
    <w:rsid w:val="10F32C8B"/>
    <w:rsid w:val="10F3353D"/>
    <w:rsid w:val="10F5617D"/>
    <w:rsid w:val="10F5DB36"/>
    <w:rsid w:val="10F851FD"/>
    <w:rsid w:val="10FDA18D"/>
    <w:rsid w:val="10FE3669"/>
    <w:rsid w:val="11017A54"/>
    <w:rsid w:val="11053754"/>
    <w:rsid w:val="11061B2C"/>
    <w:rsid w:val="11061E50"/>
    <w:rsid w:val="11064F06"/>
    <w:rsid w:val="11088630"/>
    <w:rsid w:val="110D97A6"/>
    <w:rsid w:val="110DEE3A"/>
    <w:rsid w:val="11138337"/>
    <w:rsid w:val="11172875"/>
    <w:rsid w:val="111D1AAE"/>
    <w:rsid w:val="111D955B"/>
    <w:rsid w:val="112150F4"/>
    <w:rsid w:val="11240D3F"/>
    <w:rsid w:val="1125C0D7"/>
    <w:rsid w:val="11285E55"/>
    <w:rsid w:val="1128E51B"/>
    <w:rsid w:val="112BC5F3"/>
    <w:rsid w:val="112BD9D1"/>
    <w:rsid w:val="112BF9AB"/>
    <w:rsid w:val="112C1D8A"/>
    <w:rsid w:val="112D097D"/>
    <w:rsid w:val="112D8BF6"/>
    <w:rsid w:val="1138178F"/>
    <w:rsid w:val="113970DB"/>
    <w:rsid w:val="113E48B7"/>
    <w:rsid w:val="11428CFF"/>
    <w:rsid w:val="11441442"/>
    <w:rsid w:val="114D17D7"/>
    <w:rsid w:val="1152DA1D"/>
    <w:rsid w:val="11534B20"/>
    <w:rsid w:val="1153CEA7"/>
    <w:rsid w:val="11547AAC"/>
    <w:rsid w:val="1157C93E"/>
    <w:rsid w:val="115E419B"/>
    <w:rsid w:val="115F6048"/>
    <w:rsid w:val="11614092"/>
    <w:rsid w:val="116224F9"/>
    <w:rsid w:val="1163A546"/>
    <w:rsid w:val="1163A85A"/>
    <w:rsid w:val="116467AA"/>
    <w:rsid w:val="116551AC"/>
    <w:rsid w:val="116B3AE2"/>
    <w:rsid w:val="116C6FE6"/>
    <w:rsid w:val="116CF0D2"/>
    <w:rsid w:val="1171D77C"/>
    <w:rsid w:val="1172B34F"/>
    <w:rsid w:val="1172BE40"/>
    <w:rsid w:val="11761D9B"/>
    <w:rsid w:val="1178DC02"/>
    <w:rsid w:val="11792916"/>
    <w:rsid w:val="117EC140"/>
    <w:rsid w:val="1180E4DC"/>
    <w:rsid w:val="1187F699"/>
    <w:rsid w:val="118C191B"/>
    <w:rsid w:val="11920895"/>
    <w:rsid w:val="1194E05D"/>
    <w:rsid w:val="11974538"/>
    <w:rsid w:val="1197F053"/>
    <w:rsid w:val="119CB92E"/>
    <w:rsid w:val="119CEE9D"/>
    <w:rsid w:val="119DFE8E"/>
    <w:rsid w:val="11A1C73A"/>
    <w:rsid w:val="11A29039"/>
    <w:rsid w:val="11A69FB8"/>
    <w:rsid w:val="11A76DEF"/>
    <w:rsid w:val="11A84D77"/>
    <w:rsid w:val="11A9F930"/>
    <w:rsid w:val="11AC96A3"/>
    <w:rsid w:val="11ADDB63"/>
    <w:rsid w:val="11B1B87B"/>
    <w:rsid w:val="11B29B11"/>
    <w:rsid w:val="11B42B5F"/>
    <w:rsid w:val="11B4766C"/>
    <w:rsid w:val="11B4AA00"/>
    <w:rsid w:val="11B5C9EA"/>
    <w:rsid w:val="11B97A46"/>
    <w:rsid w:val="11B9F7EE"/>
    <w:rsid w:val="11BDC876"/>
    <w:rsid w:val="11BF86FC"/>
    <w:rsid w:val="11C80FD9"/>
    <w:rsid w:val="11CA1BFF"/>
    <w:rsid w:val="11CED7F5"/>
    <w:rsid w:val="11CEE3C8"/>
    <w:rsid w:val="11D27FB6"/>
    <w:rsid w:val="11D54EAD"/>
    <w:rsid w:val="11D7F4DD"/>
    <w:rsid w:val="11DA2148"/>
    <w:rsid w:val="11DBEC66"/>
    <w:rsid w:val="11DF2C9B"/>
    <w:rsid w:val="11E085C7"/>
    <w:rsid w:val="11E13155"/>
    <w:rsid w:val="11E21CF2"/>
    <w:rsid w:val="11E5ED75"/>
    <w:rsid w:val="11E6EF9E"/>
    <w:rsid w:val="11E7D58C"/>
    <w:rsid w:val="11EB7F15"/>
    <w:rsid w:val="11F0D25D"/>
    <w:rsid w:val="11F1DCC7"/>
    <w:rsid w:val="11F21E6D"/>
    <w:rsid w:val="11F44D73"/>
    <w:rsid w:val="11F4E23A"/>
    <w:rsid w:val="11F5054D"/>
    <w:rsid w:val="11F6E2CA"/>
    <w:rsid w:val="11F8E7A2"/>
    <w:rsid w:val="11F9E065"/>
    <w:rsid w:val="11FBB089"/>
    <w:rsid w:val="1201D922"/>
    <w:rsid w:val="120B41D0"/>
    <w:rsid w:val="12111BBB"/>
    <w:rsid w:val="12116ED7"/>
    <w:rsid w:val="12126139"/>
    <w:rsid w:val="12148CE0"/>
    <w:rsid w:val="121628BA"/>
    <w:rsid w:val="1218225E"/>
    <w:rsid w:val="121A6330"/>
    <w:rsid w:val="121DBBA7"/>
    <w:rsid w:val="121EAE6C"/>
    <w:rsid w:val="121F516A"/>
    <w:rsid w:val="121FA865"/>
    <w:rsid w:val="12207323"/>
    <w:rsid w:val="122178EC"/>
    <w:rsid w:val="1222C2FF"/>
    <w:rsid w:val="1222C673"/>
    <w:rsid w:val="12230DAA"/>
    <w:rsid w:val="12236EC8"/>
    <w:rsid w:val="12260ECC"/>
    <w:rsid w:val="122A86AB"/>
    <w:rsid w:val="122A912E"/>
    <w:rsid w:val="122AE464"/>
    <w:rsid w:val="122C673C"/>
    <w:rsid w:val="12306093"/>
    <w:rsid w:val="1233B50F"/>
    <w:rsid w:val="1233B89F"/>
    <w:rsid w:val="1239880A"/>
    <w:rsid w:val="1240D3EA"/>
    <w:rsid w:val="12471E0A"/>
    <w:rsid w:val="1249A352"/>
    <w:rsid w:val="1249C6A5"/>
    <w:rsid w:val="124C47E8"/>
    <w:rsid w:val="124D9CBE"/>
    <w:rsid w:val="124FA9F3"/>
    <w:rsid w:val="12555817"/>
    <w:rsid w:val="125D2218"/>
    <w:rsid w:val="125DB6E9"/>
    <w:rsid w:val="125E29A7"/>
    <w:rsid w:val="126032AE"/>
    <w:rsid w:val="126173EC"/>
    <w:rsid w:val="12618021"/>
    <w:rsid w:val="1261BE43"/>
    <w:rsid w:val="1261BF97"/>
    <w:rsid w:val="1262CBAF"/>
    <w:rsid w:val="126367C7"/>
    <w:rsid w:val="1264B20E"/>
    <w:rsid w:val="1264E909"/>
    <w:rsid w:val="12656999"/>
    <w:rsid w:val="1266CD9D"/>
    <w:rsid w:val="12688D4D"/>
    <w:rsid w:val="126E7D7F"/>
    <w:rsid w:val="126EE4B6"/>
    <w:rsid w:val="126FF701"/>
    <w:rsid w:val="1273B04B"/>
    <w:rsid w:val="12754B36"/>
    <w:rsid w:val="127646C3"/>
    <w:rsid w:val="127B9154"/>
    <w:rsid w:val="127BCAFE"/>
    <w:rsid w:val="127C5444"/>
    <w:rsid w:val="12827834"/>
    <w:rsid w:val="12840C4B"/>
    <w:rsid w:val="1286E49F"/>
    <w:rsid w:val="12879F26"/>
    <w:rsid w:val="1288B846"/>
    <w:rsid w:val="128982E4"/>
    <w:rsid w:val="12898BE2"/>
    <w:rsid w:val="128A9CA5"/>
    <w:rsid w:val="128C6672"/>
    <w:rsid w:val="1290EEB7"/>
    <w:rsid w:val="12929B7A"/>
    <w:rsid w:val="12962420"/>
    <w:rsid w:val="1296688B"/>
    <w:rsid w:val="129A2C73"/>
    <w:rsid w:val="129B871F"/>
    <w:rsid w:val="129BA8FC"/>
    <w:rsid w:val="129E4F9C"/>
    <w:rsid w:val="129EBE90"/>
    <w:rsid w:val="12A08EDD"/>
    <w:rsid w:val="12A3CB4F"/>
    <w:rsid w:val="12A4081E"/>
    <w:rsid w:val="12A70AEE"/>
    <w:rsid w:val="12A74C72"/>
    <w:rsid w:val="12A87F33"/>
    <w:rsid w:val="12AA8FD3"/>
    <w:rsid w:val="12AB33FD"/>
    <w:rsid w:val="12ABB9B0"/>
    <w:rsid w:val="12AD22D5"/>
    <w:rsid w:val="12B15C52"/>
    <w:rsid w:val="12B5B0CA"/>
    <w:rsid w:val="12B63DEC"/>
    <w:rsid w:val="12B975DD"/>
    <w:rsid w:val="12BB8F7F"/>
    <w:rsid w:val="12C227F3"/>
    <w:rsid w:val="12C2615C"/>
    <w:rsid w:val="12C508FD"/>
    <w:rsid w:val="12CB4E9B"/>
    <w:rsid w:val="12CB909D"/>
    <w:rsid w:val="12CC4A8C"/>
    <w:rsid w:val="12CD0584"/>
    <w:rsid w:val="12D5799F"/>
    <w:rsid w:val="12D7032C"/>
    <w:rsid w:val="12DB247B"/>
    <w:rsid w:val="12DD3D65"/>
    <w:rsid w:val="12E19503"/>
    <w:rsid w:val="12E37434"/>
    <w:rsid w:val="12E8DA9F"/>
    <w:rsid w:val="12EBA2AA"/>
    <w:rsid w:val="12EDF86B"/>
    <w:rsid w:val="12EE309D"/>
    <w:rsid w:val="12EF1BE0"/>
    <w:rsid w:val="12EFAD97"/>
    <w:rsid w:val="12F573F1"/>
    <w:rsid w:val="13000D1F"/>
    <w:rsid w:val="1300E0AD"/>
    <w:rsid w:val="130239FF"/>
    <w:rsid w:val="1302E116"/>
    <w:rsid w:val="13043880"/>
    <w:rsid w:val="1304C4C7"/>
    <w:rsid w:val="13066913"/>
    <w:rsid w:val="130834E1"/>
    <w:rsid w:val="130C6438"/>
    <w:rsid w:val="130D1C13"/>
    <w:rsid w:val="130D6366"/>
    <w:rsid w:val="130E7AFD"/>
    <w:rsid w:val="130EF057"/>
    <w:rsid w:val="13104108"/>
    <w:rsid w:val="131826AF"/>
    <w:rsid w:val="13183812"/>
    <w:rsid w:val="13184BD1"/>
    <w:rsid w:val="1319A0AD"/>
    <w:rsid w:val="131E601D"/>
    <w:rsid w:val="1321AFCA"/>
    <w:rsid w:val="13298017"/>
    <w:rsid w:val="132DB21F"/>
    <w:rsid w:val="132E68CA"/>
    <w:rsid w:val="1335496A"/>
    <w:rsid w:val="1335638F"/>
    <w:rsid w:val="133842C6"/>
    <w:rsid w:val="133B17B6"/>
    <w:rsid w:val="133C8123"/>
    <w:rsid w:val="133D166A"/>
    <w:rsid w:val="133D5DDB"/>
    <w:rsid w:val="133DB173"/>
    <w:rsid w:val="133FF0EF"/>
    <w:rsid w:val="1341F104"/>
    <w:rsid w:val="1343949E"/>
    <w:rsid w:val="13495FC3"/>
    <w:rsid w:val="134BF6AE"/>
    <w:rsid w:val="134ED42C"/>
    <w:rsid w:val="135072A4"/>
    <w:rsid w:val="1355BF5C"/>
    <w:rsid w:val="135A623A"/>
    <w:rsid w:val="135C63E9"/>
    <w:rsid w:val="135F51A6"/>
    <w:rsid w:val="135FC78D"/>
    <w:rsid w:val="1360AF11"/>
    <w:rsid w:val="1363E1AA"/>
    <w:rsid w:val="136574F5"/>
    <w:rsid w:val="136CF5F0"/>
    <w:rsid w:val="136EE944"/>
    <w:rsid w:val="13720A12"/>
    <w:rsid w:val="1373028A"/>
    <w:rsid w:val="1373C1DB"/>
    <w:rsid w:val="13757316"/>
    <w:rsid w:val="13788A9A"/>
    <w:rsid w:val="137DCD5A"/>
    <w:rsid w:val="137DED9C"/>
    <w:rsid w:val="1386CFF2"/>
    <w:rsid w:val="1387841E"/>
    <w:rsid w:val="1389B575"/>
    <w:rsid w:val="1390B264"/>
    <w:rsid w:val="1391E45A"/>
    <w:rsid w:val="139713EF"/>
    <w:rsid w:val="1399200A"/>
    <w:rsid w:val="13A042FC"/>
    <w:rsid w:val="13A47212"/>
    <w:rsid w:val="13A656A0"/>
    <w:rsid w:val="13A6AD94"/>
    <w:rsid w:val="13A76939"/>
    <w:rsid w:val="13AB7800"/>
    <w:rsid w:val="13AC4564"/>
    <w:rsid w:val="13B1D3A0"/>
    <w:rsid w:val="13B58039"/>
    <w:rsid w:val="13B60156"/>
    <w:rsid w:val="13B6F5D6"/>
    <w:rsid w:val="13BA1060"/>
    <w:rsid w:val="13BB8E69"/>
    <w:rsid w:val="13BCA707"/>
    <w:rsid w:val="13C027F2"/>
    <w:rsid w:val="13C0C787"/>
    <w:rsid w:val="13C0C81D"/>
    <w:rsid w:val="13C40053"/>
    <w:rsid w:val="13C8EE12"/>
    <w:rsid w:val="13CC384F"/>
    <w:rsid w:val="13CC5E70"/>
    <w:rsid w:val="13CEEBC2"/>
    <w:rsid w:val="13D53216"/>
    <w:rsid w:val="13D59D9F"/>
    <w:rsid w:val="13D6D65E"/>
    <w:rsid w:val="13D7983B"/>
    <w:rsid w:val="13DA1952"/>
    <w:rsid w:val="13DB3D6E"/>
    <w:rsid w:val="13DDFCAD"/>
    <w:rsid w:val="13DE1AAE"/>
    <w:rsid w:val="13DF4BC2"/>
    <w:rsid w:val="13E2D737"/>
    <w:rsid w:val="13E459FF"/>
    <w:rsid w:val="13E6F286"/>
    <w:rsid w:val="13E8B3B0"/>
    <w:rsid w:val="13EA267D"/>
    <w:rsid w:val="13EE02C8"/>
    <w:rsid w:val="13EE5800"/>
    <w:rsid w:val="13F2277B"/>
    <w:rsid w:val="13F22FF6"/>
    <w:rsid w:val="13F23584"/>
    <w:rsid w:val="13FC6886"/>
    <w:rsid w:val="13FE45B5"/>
    <w:rsid w:val="14014E05"/>
    <w:rsid w:val="14044DC4"/>
    <w:rsid w:val="14047B67"/>
    <w:rsid w:val="14050498"/>
    <w:rsid w:val="1405DC13"/>
    <w:rsid w:val="140811AC"/>
    <w:rsid w:val="1408169B"/>
    <w:rsid w:val="14098103"/>
    <w:rsid w:val="1409D90B"/>
    <w:rsid w:val="140D79B8"/>
    <w:rsid w:val="140F393F"/>
    <w:rsid w:val="1412776B"/>
    <w:rsid w:val="1418E0E0"/>
    <w:rsid w:val="1419E5E3"/>
    <w:rsid w:val="141B5946"/>
    <w:rsid w:val="141DAF92"/>
    <w:rsid w:val="141E16B5"/>
    <w:rsid w:val="1425815D"/>
    <w:rsid w:val="1425B591"/>
    <w:rsid w:val="14286C1D"/>
    <w:rsid w:val="142AA418"/>
    <w:rsid w:val="142D4C58"/>
    <w:rsid w:val="142FF0C7"/>
    <w:rsid w:val="14301299"/>
    <w:rsid w:val="14307A48"/>
    <w:rsid w:val="14316FEB"/>
    <w:rsid w:val="14355DA6"/>
    <w:rsid w:val="143A488A"/>
    <w:rsid w:val="143AC653"/>
    <w:rsid w:val="143C30F6"/>
    <w:rsid w:val="143D0E39"/>
    <w:rsid w:val="143D49C0"/>
    <w:rsid w:val="14406BBB"/>
    <w:rsid w:val="14426A36"/>
    <w:rsid w:val="14438EF9"/>
    <w:rsid w:val="1448BCF0"/>
    <w:rsid w:val="144934C1"/>
    <w:rsid w:val="144A9C90"/>
    <w:rsid w:val="144AF748"/>
    <w:rsid w:val="14506510"/>
    <w:rsid w:val="1452D6D5"/>
    <w:rsid w:val="145BFCE3"/>
    <w:rsid w:val="145F842E"/>
    <w:rsid w:val="1460E3D1"/>
    <w:rsid w:val="1461BB02"/>
    <w:rsid w:val="14627F8A"/>
    <w:rsid w:val="146527E5"/>
    <w:rsid w:val="14654FA1"/>
    <w:rsid w:val="1465D0FE"/>
    <w:rsid w:val="1466CC66"/>
    <w:rsid w:val="1467C39A"/>
    <w:rsid w:val="1467E24C"/>
    <w:rsid w:val="146EF504"/>
    <w:rsid w:val="14704580"/>
    <w:rsid w:val="1471D8AC"/>
    <w:rsid w:val="14728FEE"/>
    <w:rsid w:val="14762142"/>
    <w:rsid w:val="1477B49B"/>
    <w:rsid w:val="147895DD"/>
    <w:rsid w:val="147B5CC4"/>
    <w:rsid w:val="1484A84B"/>
    <w:rsid w:val="148C79CF"/>
    <w:rsid w:val="148D1100"/>
    <w:rsid w:val="14922A8D"/>
    <w:rsid w:val="14933162"/>
    <w:rsid w:val="1493CC2C"/>
    <w:rsid w:val="1495517B"/>
    <w:rsid w:val="14996A6B"/>
    <w:rsid w:val="1499BA95"/>
    <w:rsid w:val="149C723D"/>
    <w:rsid w:val="149E031A"/>
    <w:rsid w:val="149ED2C6"/>
    <w:rsid w:val="149EF147"/>
    <w:rsid w:val="14A186CA"/>
    <w:rsid w:val="14A56DCC"/>
    <w:rsid w:val="14A7094E"/>
    <w:rsid w:val="14A78ABB"/>
    <w:rsid w:val="14A7FA93"/>
    <w:rsid w:val="14A8640E"/>
    <w:rsid w:val="14A9856A"/>
    <w:rsid w:val="14AAA699"/>
    <w:rsid w:val="14B3E9B9"/>
    <w:rsid w:val="14B58053"/>
    <w:rsid w:val="14B77DA9"/>
    <w:rsid w:val="14BA15CF"/>
    <w:rsid w:val="14C63976"/>
    <w:rsid w:val="14C924FD"/>
    <w:rsid w:val="14CC04D6"/>
    <w:rsid w:val="14D0D53E"/>
    <w:rsid w:val="14D0FC9A"/>
    <w:rsid w:val="14D15B71"/>
    <w:rsid w:val="14D505B2"/>
    <w:rsid w:val="14D8FB19"/>
    <w:rsid w:val="14DB77DA"/>
    <w:rsid w:val="14DCE8D3"/>
    <w:rsid w:val="14E6D345"/>
    <w:rsid w:val="14E87520"/>
    <w:rsid w:val="14EA20B8"/>
    <w:rsid w:val="14EACD9F"/>
    <w:rsid w:val="14EBEB12"/>
    <w:rsid w:val="14EBFEAF"/>
    <w:rsid w:val="14EDE005"/>
    <w:rsid w:val="14EF0052"/>
    <w:rsid w:val="14F1560D"/>
    <w:rsid w:val="14F19F12"/>
    <w:rsid w:val="14F1AC67"/>
    <w:rsid w:val="14F2035F"/>
    <w:rsid w:val="14F96E05"/>
    <w:rsid w:val="15077D8F"/>
    <w:rsid w:val="150B1B14"/>
    <w:rsid w:val="15112A7D"/>
    <w:rsid w:val="15142AE5"/>
    <w:rsid w:val="1516EA68"/>
    <w:rsid w:val="151815E1"/>
    <w:rsid w:val="15208B32"/>
    <w:rsid w:val="1520F5B2"/>
    <w:rsid w:val="1521F462"/>
    <w:rsid w:val="1526B3F1"/>
    <w:rsid w:val="1526B707"/>
    <w:rsid w:val="152A83DC"/>
    <w:rsid w:val="152CF02E"/>
    <w:rsid w:val="152DA947"/>
    <w:rsid w:val="152DACF3"/>
    <w:rsid w:val="152FC3BA"/>
    <w:rsid w:val="15340234"/>
    <w:rsid w:val="1534E65E"/>
    <w:rsid w:val="15386FD4"/>
    <w:rsid w:val="153914E4"/>
    <w:rsid w:val="153A82A5"/>
    <w:rsid w:val="153BAF5D"/>
    <w:rsid w:val="153ECBE3"/>
    <w:rsid w:val="15402FEE"/>
    <w:rsid w:val="154140B5"/>
    <w:rsid w:val="1541FB96"/>
    <w:rsid w:val="1542E2A8"/>
    <w:rsid w:val="1545C30C"/>
    <w:rsid w:val="1545D7A8"/>
    <w:rsid w:val="15475AB8"/>
    <w:rsid w:val="15480A29"/>
    <w:rsid w:val="15484F25"/>
    <w:rsid w:val="154D1242"/>
    <w:rsid w:val="154F8AB3"/>
    <w:rsid w:val="15524102"/>
    <w:rsid w:val="1553AE95"/>
    <w:rsid w:val="1559A97B"/>
    <w:rsid w:val="155DE7EC"/>
    <w:rsid w:val="155F5065"/>
    <w:rsid w:val="15605F08"/>
    <w:rsid w:val="15606275"/>
    <w:rsid w:val="15696FE8"/>
    <w:rsid w:val="156C9E9F"/>
    <w:rsid w:val="1571952C"/>
    <w:rsid w:val="1571DE14"/>
    <w:rsid w:val="15722B3E"/>
    <w:rsid w:val="15774534"/>
    <w:rsid w:val="157A2B03"/>
    <w:rsid w:val="157A8D36"/>
    <w:rsid w:val="157B9D05"/>
    <w:rsid w:val="157CF53D"/>
    <w:rsid w:val="15800E39"/>
    <w:rsid w:val="15847102"/>
    <w:rsid w:val="15859DDF"/>
    <w:rsid w:val="1588714F"/>
    <w:rsid w:val="1589ED78"/>
    <w:rsid w:val="158A1172"/>
    <w:rsid w:val="158BBCE3"/>
    <w:rsid w:val="158CA1D4"/>
    <w:rsid w:val="158D0501"/>
    <w:rsid w:val="158E3DCD"/>
    <w:rsid w:val="158F6E07"/>
    <w:rsid w:val="1590E481"/>
    <w:rsid w:val="15915920"/>
    <w:rsid w:val="15929E5D"/>
    <w:rsid w:val="1592C1CB"/>
    <w:rsid w:val="15941331"/>
    <w:rsid w:val="1596C10A"/>
    <w:rsid w:val="1597595F"/>
    <w:rsid w:val="15985A58"/>
    <w:rsid w:val="159C1F92"/>
    <w:rsid w:val="159C8F3B"/>
    <w:rsid w:val="159C9A32"/>
    <w:rsid w:val="159DF2E0"/>
    <w:rsid w:val="15A36E58"/>
    <w:rsid w:val="15AA38D1"/>
    <w:rsid w:val="15AB9D77"/>
    <w:rsid w:val="15B26BC6"/>
    <w:rsid w:val="15BABA18"/>
    <w:rsid w:val="15BB1595"/>
    <w:rsid w:val="15BC4E54"/>
    <w:rsid w:val="15BD769B"/>
    <w:rsid w:val="15BE9768"/>
    <w:rsid w:val="15BED8DB"/>
    <w:rsid w:val="15C17CA9"/>
    <w:rsid w:val="15C469E5"/>
    <w:rsid w:val="15C4B7D4"/>
    <w:rsid w:val="15CCFE63"/>
    <w:rsid w:val="15CD48FB"/>
    <w:rsid w:val="15D93A1F"/>
    <w:rsid w:val="15DA3303"/>
    <w:rsid w:val="15DA405D"/>
    <w:rsid w:val="15E05206"/>
    <w:rsid w:val="15E25203"/>
    <w:rsid w:val="15E3CE97"/>
    <w:rsid w:val="15E952D6"/>
    <w:rsid w:val="15EA0602"/>
    <w:rsid w:val="15EBFCCB"/>
    <w:rsid w:val="15EEBC00"/>
    <w:rsid w:val="15F18472"/>
    <w:rsid w:val="15FA001E"/>
    <w:rsid w:val="15FB5785"/>
    <w:rsid w:val="15FC74A7"/>
    <w:rsid w:val="15FD9716"/>
    <w:rsid w:val="15FED09E"/>
    <w:rsid w:val="16026325"/>
    <w:rsid w:val="1606F4BF"/>
    <w:rsid w:val="1607D015"/>
    <w:rsid w:val="1607F2AB"/>
    <w:rsid w:val="1607F62C"/>
    <w:rsid w:val="160FBD3A"/>
    <w:rsid w:val="1610673E"/>
    <w:rsid w:val="1610AC6B"/>
    <w:rsid w:val="16110A8F"/>
    <w:rsid w:val="16124739"/>
    <w:rsid w:val="16136E65"/>
    <w:rsid w:val="16163876"/>
    <w:rsid w:val="16164B53"/>
    <w:rsid w:val="1616E9D9"/>
    <w:rsid w:val="16188476"/>
    <w:rsid w:val="1619A845"/>
    <w:rsid w:val="161D0537"/>
    <w:rsid w:val="161F2A4E"/>
    <w:rsid w:val="1620594D"/>
    <w:rsid w:val="16226114"/>
    <w:rsid w:val="16269EC2"/>
    <w:rsid w:val="16281689"/>
    <w:rsid w:val="16305158"/>
    <w:rsid w:val="163AF4D0"/>
    <w:rsid w:val="163F4C8E"/>
    <w:rsid w:val="1640A06A"/>
    <w:rsid w:val="164333F7"/>
    <w:rsid w:val="1643B061"/>
    <w:rsid w:val="1643EC50"/>
    <w:rsid w:val="1643F4E9"/>
    <w:rsid w:val="16517EE1"/>
    <w:rsid w:val="16569310"/>
    <w:rsid w:val="165B31C5"/>
    <w:rsid w:val="166026D0"/>
    <w:rsid w:val="16617CC0"/>
    <w:rsid w:val="16618675"/>
    <w:rsid w:val="16657F94"/>
    <w:rsid w:val="166A1541"/>
    <w:rsid w:val="166A1C38"/>
    <w:rsid w:val="166D9387"/>
    <w:rsid w:val="166FDFB5"/>
    <w:rsid w:val="16716C8E"/>
    <w:rsid w:val="1671EBB8"/>
    <w:rsid w:val="16733B85"/>
    <w:rsid w:val="1673BB1B"/>
    <w:rsid w:val="1674A335"/>
    <w:rsid w:val="1678F161"/>
    <w:rsid w:val="167C94DB"/>
    <w:rsid w:val="167CBDCF"/>
    <w:rsid w:val="16808485"/>
    <w:rsid w:val="1686E5EA"/>
    <w:rsid w:val="1687414B"/>
    <w:rsid w:val="168A3647"/>
    <w:rsid w:val="168B9D53"/>
    <w:rsid w:val="168D31E3"/>
    <w:rsid w:val="168F1EF4"/>
    <w:rsid w:val="16910AD1"/>
    <w:rsid w:val="16949B1A"/>
    <w:rsid w:val="16955449"/>
    <w:rsid w:val="16965713"/>
    <w:rsid w:val="169CAF68"/>
    <w:rsid w:val="169DE678"/>
    <w:rsid w:val="169F4511"/>
    <w:rsid w:val="16A15E27"/>
    <w:rsid w:val="16A1EDA4"/>
    <w:rsid w:val="16A8B61F"/>
    <w:rsid w:val="16A9CC4A"/>
    <w:rsid w:val="16AA7694"/>
    <w:rsid w:val="16ADA34B"/>
    <w:rsid w:val="16ADDB65"/>
    <w:rsid w:val="16AE946A"/>
    <w:rsid w:val="16B24283"/>
    <w:rsid w:val="16B26F97"/>
    <w:rsid w:val="16B38971"/>
    <w:rsid w:val="16B4694B"/>
    <w:rsid w:val="16B53313"/>
    <w:rsid w:val="16B5BC42"/>
    <w:rsid w:val="16B66EE0"/>
    <w:rsid w:val="16B6C300"/>
    <w:rsid w:val="16B7D117"/>
    <w:rsid w:val="16B892DE"/>
    <w:rsid w:val="16B94D5B"/>
    <w:rsid w:val="16B9BBA3"/>
    <w:rsid w:val="16C3600D"/>
    <w:rsid w:val="16C886C7"/>
    <w:rsid w:val="16D19265"/>
    <w:rsid w:val="16D27A6B"/>
    <w:rsid w:val="16D3C5F7"/>
    <w:rsid w:val="16D562A1"/>
    <w:rsid w:val="16D6B18E"/>
    <w:rsid w:val="16D6D10D"/>
    <w:rsid w:val="16E22493"/>
    <w:rsid w:val="16E2B57F"/>
    <w:rsid w:val="16E3886D"/>
    <w:rsid w:val="16E981F8"/>
    <w:rsid w:val="16EA0171"/>
    <w:rsid w:val="16EFEEB1"/>
    <w:rsid w:val="16F02E68"/>
    <w:rsid w:val="16F1194A"/>
    <w:rsid w:val="16F29FA0"/>
    <w:rsid w:val="16F66C5B"/>
    <w:rsid w:val="16FB9C51"/>
    <w:rsid w:val="16FBCA3B"/>
    <w:rsid w:val="16FC9887"/>
    <w:rsid w:val="16FD0FD2"/>
    <w:rsid w:val="1700D8A8"/>
    <w:rsid w:val="1703E2A4"/>
    <w:rsid w:val="17045C85"/>
    <w:rsid w:val="17053A94"/>
    <w:rsid w:val="170AC093"/>
    <w:rsid w:val="170BFED5"/>
    <w:rsid w:val="170F7C85"/>
    <w:rsid w:val="171059D1"/>
    <w:rsid w:val="17118B08"/>
    <w:rsid w:val="171563BE"/>
    <w:rsid w:val="1715D28D"/>
    <w:rsid w:val="17181804"/>
    <w:rsid w:val="1718C43B"/>
    <w:rsid w:val="1719503E"/>
    <w:rsid w:val="1719CEC3"/>
    <w:rsid w:val="171A9AF1"/>
    <w:rsid w:val="171C2AEF"/>
    <w:rsid w:val="171E13D7"/>
    <w:rsid w:val="171F59D2"/>
    <w:rsid w:val="1722BA00"/>
    <w:rsid w:val="17248CFB"/>
    <w:rsid w:val="172492A0"/>
    <w:rsid w:val="17250D87"/>
    <w:rsid w:val="1725C5CD"/>
    <w:rsid w:val="17262668"/>
    <w:rsid w:val="1726A0DA"/>
    <w:rsid w:val="1729D94D"/>
    <w:rsid w:val="172D5BC0"/>
    <w:rsid w:val="17311E6A"/>
    <w:rsid w:val="17336DA8"/>
    <w:rsid w:val="17349C82"/>
    <w:rsid w:val="1734B6CB"/>
    <w:rsid w:val="173574E6"/>
    <w:rsid w:val="173759AA"/>
    <w:rsid w:val="173807DE"/>
    <w:rsid w:val="173A1210"/>
    <w:rsid w:val="173C2C2F"/>
    <w:rsid w:val="173E5870"/>
    <w:rsid w:val="174031D3"/>
    <w:rsid w:val="1742F540"/>
    <w:rsid w:val="17444909"/>
    <w:rsid w:val="17497F58"/>
    <w:rsid w:val="174F64C3"/>
    <w:rsid w:val="175366D5"/>
    <w:rsid w:val="17544A28"/>
    <w:rsid w:val="1755C368"/>
    <w:rsid w:val="1755F0C7"/>
    <w:rsid w:val="17568787"/>
    <w:rsid w:val="175907BD"/>
    <w:rsid w:val="175CAD43"/>
    <w:rsid w:val="175CCEF4"/>
    <w:rsid w:val="175E1E71"/>
    <w:rsid w:val="175E93AA"/>
    <w:rsid w:val="175EEBFB"/>
    <w:rsid w:val="1764AB9A"/>
    <w:rsid w:val="1765C7A4"/>
    <w:rsid w:val="1768C9FA"/>
    <w:rsid w:val="176A698A"/>
    <w:rsid w:val="176ABF3A"/>
    <w:rsid w:val="176AE9AA"/>
    <w:rsid w:val="176CAE26"/>
    <w:rsid w:val="176D0E9D"/>
    <w:rsid w:val="176E57A5"/>
    <w:rsid w:val="177075D0"/>
    <w:rsid w:val="17714758"/>
    <w:rsid w:val="1773E1D0"/>
    <w:rsid w:val="17764D08"/>
    <w:rsid w:val="17769C19"/>
    <w:rsid w:val="177719C4"/>
    <w:rsid w:val="177A6362"/>
    <w:rsid w:val="177C03E9"/>
    <w:rsid w:val="177D0512"/>
    <w:rsid w:val="177DF925"/>
    <w:rsid w:val="1780F5B9"/>
    <w:rsid w:val="1781405D"/>
    <w:rsid w:val="17845A62"/>
    <w:rsid w:val="1785DCB9"/>
    <w:rsid w:val="1787083A"/>
    <w:rsid w:val="1788F4AC"/>
    <w:rsid w:val="178E8982"/>
    <w:rsid w:val="178EC37B"/>
    <w:rsid w:val="178FE914"/>
    <w:rsid w:val="178FEE98"/>
    <w:rsid w:val="179749D1"/>
    <w:rsid w:val="17975D2D"/>
    <w:rsid w:val="17980DD3"/>
    <w:rsid w:val="17984686"/>
    <w:rsid w:val="179A2FBE"/>
    <w:rsid w:val="179A4677"/>
    <w:rsid w:val="179A729C"/>
    <w:rsid w:val="179C3655"/>
    <w:rsid w:val="179E17ED"/>
    <w:rsid w:val="179F3957"/>
    <w:rsid w:val="179FFE14"/>
    <w:rsid w:val="17A2726B"/>
    <w:rsid w:val="17A73340"/>
    <w:rsid w:val="17A77664"/>
    <w:rsid w:val="17A8FA9C"/>
    <w:rsid w:val="17ACB5E7"/>
    <w:rsid w:val="17AEC8E3"/>
    <w:rsid w:val="17B0B2A2"/>
    <w:rsid w:val="17B24092"/>
    <w:rsid w:val="17B8CE5D"/>
    <w:rsid w:val="17BA1FB6"/>
    <w:rsid w:val="17BF20A3"/>
    <w:rsid w:val="17C95346"/>
    <w:rsid w:val="17CA257B"/>
    <w:rsid w:val="17CB72F1"/>
    <w:rsid w:val="17CCD73D"/>
    <w:rsid w:val="17CE8F74"/>
    <w:rsid w:val="17CEEDF2"/>
    <w:rsid w:val="17D003C7"/>
    <w:rsid w:val="17D376F1"/>
    <w:rsid w:val="17D3A7BD"/>
    <w:rsid w:val="17D44083"/>
    <w:rsid w:val="17D4F1D3"/>
    <w:rsid w:val="17D5FCE5"/>
    <w:rsid w:val="17D67C7F"/>
    <w:rsid w:val="17DC58C3"/>
    <w:rsid w:val="17DF3820"/>
    <w:rsid w:val="17E81B15"/>
    <w:rsid w:val="17E95652"/>
    <w:rsid w:val="17E9584F"/>
    <w:rsid w:val="17E9C3C9"/>
    <w:rsid w:val="17EC899D"/>
    <w:rsid w:val="17F1C9D8"/>
    <w:rsid w:val="17F7B91D"/>
    <w:rsid w:val="17FB3560"/>
    <w:rsid w:val="17FF0696"/>
    <w:rsid w:val="17FF45C3"/>
    <w:rsid w:val="18005B9C"/>
    <w:rsid w:val="18026FAE"/>
    <w:rsid w:val="1802999A"/>
    <w:rsid w:val="1804AEC1"/>
    <w:rsid w:val="180B5C1A"/>
    <w:rsid w:val="180C2AA6"/>
    <w:rsid w:val="1810ED4D"/>
    <w:rsid w:val="18117CA8"/>
    <w:rsid w:val="1811FB28"/>
    <w:rsid w:val="1813082D"/>
    <w:rsid w:val="18164CC5"/>
    <w:rsid w:val="181ABC8D"/>
    <w:rsid w:val="181CDD9F"/>
    <w:rsid w:val="181F3DA7"/>
    <w:rsid w:val="18233CB1"/>
    <w:rsid w:val="18242339"/>
    <w:rsid w:val="1828FEFD"/>
    <w:rsid w:val="18309C20"/>
    <w:rsid w:val="1831576E"/>
    <w:rsid w:val="1833AB9B"/>
    <w:rsid w:val="18390775"/>
    <w:rsid w:val="183921D2"/>
    <w:rsid w:val="183A55CF"/>
    <w:rsid w:val="183B31D0"/>
    <w:rsid w:val="183D3B9C"/>
    <w:rsid w:val="183D8190"/>
    <w:rsid w:val="183F9573"/>
    <w:rsid w:val="1843AFCC"/>
    <w:rsid w:val="1844BD9B"/>
    <w:rsid w:val="1849BBFC"/>
    <w:rsid w:val="184D64B5"/>
    <w:rsid w:val="184D984C"/>
    <w:rsid w:val="184FA04E"/>
    <w:rsid w:val="184FCA8B"/>
    <w:rsid w:val="184FF189"/>
    <w:rsid w:val="185201AD"/>
    <w:rsid w:val="185228EE"/>
    <w:rsid w:val="18569EF1"/>
    <w:rsid w:val="185AB041"/>
    <w:rsid w:val="185C6743"/>
    <w:rsid w:val="185E8457"/>
    <w:rsid w:val="185FBDBD"/>
    <w:rsid w:val="1862576C"/>
    <w:rsid w:val="18646062"/>
    <w:rsid w:val="18685453"/>
    <w:rsid w:val="186A12B2"/>
    <w:rsid w:val="186A82E5"/>
    <w:rsid w:val="186AEEAE"/>
    <w:rsid w:val="186B0A1E"/>
    <w:rsid w:val="18700066"/>
    <w:rsid w:val="187153E1"/>
    <w:rsid w:val="18748ECA"/>
    <w:rsid w:val="18752A80"/>
    <w:rsid w:val="18763713"/>
    <w:rsid w:val="18765AB9"/>
    <w:rsid w:val="187A90DB"/>
    <w:rsid w:val="187BCE31"/>
    <w:rsid w:val="187DA5AC"/>
    <w:rsid w:val="187DAD7B"/>
    <w:rsid w:val="187F299C"/>
    <w:rsid w:val="1881574B"/>
    <w:rsid w:val="18827928"/>
    <w:rsid w:val="188CC997"/>
    <w:rsid w:val="188E5F0F"/>
    <w:rsid w:val="1890C54A"/>
    <w:rsid w:val="1890D8F8"/>
    <w:rsid w:val="1892037B"/>
    <w:rsid w:val="1894513E"/>
    <w:rsid w:val="18945775"/>
    <w:rsid w:val="18966742"/>
    <w:rsid w:val="18986636"/>
    <w:rsid w:val="189A8B8A"/>
    <w:rsid w:val="189BD8E6"/>
    <w:rsid w:val="189CEAFD"/>
    <w:rsid w:val="18A1DBB9"/>
    <w:rsid w:val="18A5D792"/>
    <w:rsid w:val="18A5E350"/>
    <w:rsid w:val="18A8D575"/>
    <w:rsid w:val="18AB0F62"/>
    <w:rsid w:val="18B29CE2"/>
    <w:rsid w:val="18B97618"/>
    <w:rsid w:val="18C29857"/>
    <w:rsid w:val="18C332EE"/>
    <w:rsid w:val="18C3BB32"/>
    <w:rsid w:val="18C7D7B9"/>
    <w:rsid w:val="18CB4D4E"/>
    <w:rsid w:val="18CE699F"/>
    <w:rsid w:val="18CFCB69"/>
    <w:rsid w:val="18D2F543"/>
    <w:rsid w:val="18D30B8E"/>
    <w:rsid w:val="18D33E49"/>
    <w:rsid w:val="18D45323"/>
    <w:rsid w:val="18D45BF1"/>
    <w:rsid w:val="18D5CC8B"/>
    <w:rsid w:val="18DA70A0"/>
    <w:rsid w:val="18DEEB01"/>
    <w:rsid w:val="18E2170C"/>
    <w:rsid w:val="18E335A1"/>
    <w:rsid w:val="18E49777"/>
    <w:rsid w:val="18E6856C"/>
    <w:rsid w:val="18E85987"/>
    <w:rsid w:val="18EE3C5F"/>
    <w:rsid w:val="18EF8DAC"/>
    <w:rsid w:val="18F0D2BE"/>
    <w:rsid w:val="18F42E2D"/>
    <w:rsid w:val="18F539C1"/>
    <w:rsid w:val="18F77F18"/>
    <w:rsid w:val="18F832FF"/>
    <w:rsid w:val="18F8C3C6"/>
    <w:rsid w:val="18FBE940"/>
    <w:rsid w:val="18FFF9AF"/>
    <w:rsid w:val="19030D0A"/>
    <w:rsid w:val="19050FF3"/>
    <w:rsid w:val="19058BCF"/>
    <w:rsid w:val="190A5D4F"/>
    <w:rsid w:val="190B5456"/>
    <w:rsid w:val="190FB231"/>
    <w:rsid w:val="191075E6"/>
    <w:rsid w:val="191561A5"/>
    <w:rsid w:val="1915A49F"/>
    <w:rsid w:val="19164254"/>
    <w:rsid w:val="1918C9C3"/>
    <w:rsid w:val="1918FAA1"/>
    <w:rsid w:val="191C273B"/>
    <w:rsid w:val="191C61BE"/>
    <w:rsid w:val="191EF4D3"/>
    <w:rsid w:val="191FBF99"/>
    <w:rsid w:val="1921A0E0"/>
    <w:rsid w:val="1921E8B7"/>
    <w:rsid w:val="1921EBC7"/>
    <w:rsid w:val="19226911"/>
    <w:rsid w:val="1926EE87"/>
    <w:rsid w:val="1927779C"/>
    <w:rsid w:val="192840A0"/>
    <w:rsid w:val="192B1662"/>
    <w:rsid w:val="192FC52E"/>
    <w:rsid w:val="1934CFCF"/>
    <w:rsid w:val="19387A86"/>
    <w:rsid w:val="1939FC11"/>
    <w:rsid w:val="193C65F2"/>
    <w:rsid w:val="193C9B0C"/>
    <w:rsid w:val="193CACAA"/>
    <w:rsid w:val="19427CF6"/>
    <w:rsid w:val="1947E42B"/>
    <w:rsid w:val="194AD801"/>
    <w:rsid w:val="194F4322"/>
    <w:rsid w:val="19549BAA"/>
    <w:rsid w:val="1958C058"/>
    <w:rsid w:val="195D404D"/>
    <w:rsid w:val="1960B19A"/>
    <w:rsid w:val="1960FE55"/>
    <w:rsid w:val="196227D5"/>
    <w:rsid w:val="19629B70"/>
    <w:rsid w:val="1962E863"/>
    <w:rsid w:val="1963732F"/>
    <w:rsid w:val="1965A4C7"/>
    <w:rsid w:val="1967C585"/>
    <w:rsid w:val="1969C2B0"/>
    <w:rsid w:val="196FA7B6"/>
    <w:rsid w:val="1970F4B2"/>
    <w:rsid w:val="197297EA"/>
    <w:rsid w:val="19748D00"/>
    <w:rsid w:val="19760D39"/>
    <w:rsid w:val="19763A24"/>
    <w:rsid w:val="197FCBAE"/>
    <w:rsid w:val="198077B5"/>
    <w:rsid w:val="198574D4"/>
    <w:rsid w:val="1985CAD3"/>
    <w:rsid w:val="1985FE08"/>
    <w:rsid w:val="19891637"/>
    <w:rsid w:val="19894542"/>
    <w:rsid w:val="198A5AE6"/>
    <w:rsid w:val="198DE7A6"/>
    <w:rsid w:val="198F17CB"/>
    <w:rsid w:val="1992F34B"/>
    <w:rsid w:val="19945C37"/>
    <w:rsid w:val="1995634F"/>
    <w:rsid w:val="1995AD1C"/>
    <w:rsid w:val="19971806"/>
    <w:rsid w:val="19991461"/>
    <w:rsid w:val="1999C63D"/>
    <w:rsid w:val="199CD0BD"/>
    <w:rsid w:val="199E04D6"/>
    <w:rsid w:val="199E8CC1"/>
    <w:rsid w:val="19A6AC5F"/>
    <w:rsid w:val="19AC6E7C"/>
    <w:rsid w:val="19AD4420"/>
    <w:rsid w:val="19B44B7C"/>
    <w:rsid w:val="19BF5766"/>
    <w:rsid w:val="19C37FE5"/>
    <w:rsid w:val="19C58DA0"/>
    <w:rsid w:val="19CC2700"/>
    <w:rsid w:val="19CDF5F2"/>
    <w:rsid w:val="19CEB2E6"/>
    <w:rsid w:val="19CF9AED"/>
    <w:rsid w:val="19D19ADC"/>
    <w:rsid w:val="19D448BD"/>
    <w:rsid w:val="19DAB2F3"/>
    <w:rsid w:val="19DF9FE9"/>
    <w:rsid w:val="19E2BF63"/>
    <w:rsid w:val="19E59DA3"/>
    <w:rsid w:val="19E6CA1E"/>
    <w:rsid w:val="19E9D24E"/>
    <w:rsid w:val="19EB42FA"/>
    <w:rsid w:val="19EBBF21"/>
    <w:rsid w:val="19ED287B"/>
    <w:rsid w:val="19EF222D"/>
    <w:rsid w:val="19EF9F8D"/>
    <w:rsid w:val="19EFCB72"/>
    <w:rsid w:val="19F1550C"/>
    <w:rsid w:val="19F3785A"/>
    <w:rsid w:val="19FB1F90"/>
    <w:rsid w:val="19FC72F0"/>
    <w:rsid w:val="1A028359"/>
    <w:rsid w:val="1A02ED93"/>
    <w:rsid w:val="1A045AB2"/>
    <w:rsid w:val="1A064945"/>
    <w:rsid w:val="1A076D4B"/>
    <w:rsid w:val="1A0ACD84"/>
    <w:rsid w:val="1A0BF259"/>
    <w:rsid w:val="1A13E24A"/>
    <w:rsid w:val="1A1432F9"/>
    <w:rsid w:val="1A1C5908"/>
    <w:rsid w:val="1A1CCFB5"/>
    <w:rsid w:val="1A1D37F7"/>
    <w:rsid w:val="1A290940"/>
    <w:rsid w:val="1A2A1365"/>
    <w:rsid w:val="1A2EA178"/>
    <w:rsid w:val="1A309A3D"/>
    <w:rsid w:val="1A30E18C"/>
    <w:rsid w:val="1A37EAF6"/>
    <w:rsid w:val="1A37F3C9"/>
    <w:rsid w:val="1A3ADDE5"/>
    <w:rsid w:val="1A3B7160"/>
    <w:rsid w:val="1A3F37F2"/>
    <w:rsid w:val="1A3F712A"/>
    <w:rsid w:val="1A3F9277"/>
    <w:rsid w:val="1A4168FB"/>
    <w:rsid w:val="1A430826"/>
    <w:rsid w:val="1A43576F"/>
    <w:rsid w:val="1A45DEC8"/>
    <w:rsid w:val="1A4687AF"/>
    <w:rsid w:val="1A4B024B"/>
    <w:rsid w:val="1A4B1CD9"/>
    <w:rsid w:val="1A4BF68F"/>
    <w:rsid w:val="1A4E155F"/>
    <w:rsid w:val="1A4F3DBB"/>
    <w:rsid w:val="1A55332B"/>
    <w:rsid w:val="1A57EF23"/>
    <w:rsid w:val="1A59D0AE"/>
    <w:rsid w:val="1A5BB0D9"/>
    <w:rsid w:val="1A5C4AFD"/>
    <w:rsid w:val="1A5F5F9F"/>
    <w:rsid w:val="1A60B61D"/>
    <w:rsid w:val="1A6373AA"/>
    <w:rsid w:val="1A649496"/>
    <w:rsid w:val="1A6499BC"/>
    <w:rsid w:val="1A676B46"/>
    <w:rsid w:val="1A688371"/>
    <w:rsid w:val="1A68CF68"/>
    <w:rsid w:val="1A6AD50E"/>
    <w:rsid w:val="1A6BFDFC"/>
    <w:rsid w:val="1A6D0E1B"/>
    <w:rsid w:val="1A6F386E"/>
    <w:rsid w:val="1A709A52"/>
    <w:rsid w:val="1A73080D"/>
    <w:rsid w:val="1A735151"/>
    <w:rsid w:val="1A822F85"/>
    <w:rsid w:val="1A83E4F6"/>
    <w:rsid w:val="1A84B46B"/>
    <w:rsid w:val="1A85CAF5"/>
    <w:rsid w:val="1A86F2FC"/>
    <w:rsid w:val="1A8D8DF2"/>
    <w:rsid w:val="1A8F26FF"/>
    <w:rsid w:val="1A90D0F7"/>
    <w:rsid w:val="1A92FD5E"/>
    <w:rsid w:val="1A9313C6"/>
    <w:rsid w:val="1A95C06C"/>
    <w:rsid w:val="1A98613F"/>
    <w:rsid w:val="1A9D3F7D"/>
    <w:rsid w:val="1A9E5E86"/>
    <w:rsid w:val="1AA1372E"/>
    <w:rsid w:val="1AA175EC"/>
    <w:rsid w:val="1AA34365"/>
    <w:rsid w:val="1AA6BAB1"/>
    <w:rsid w:val="1AA7A6A4"/>
    <w:rsid w:val="1AAB9877"/>
    <w:rsid w:val="1AAC92C9"/>
    <w:rsid w:val="1AB35A7B"/>
    <w:rsid w:val="1AB57AB3"/>
    <w:rsid w:val="1AB5B14A"/>
    <w:rsid w:val="1AB5EB96"/>
    <w:rsid w:val="1ABE8B91"/>
    <w:rsid w:val="1ABFD110"/>
    <w:rsid w:val="1AC01E6E"/>
    <w:rsid w:val="1AC33EC8"/>
    <w:rsid w:val="1AC5E95D"/>
    <w:rsid w:val="1AC70DDA"/>
    <w:rsid w:val="1AC75189"/>
    <w:rsid w:val="1AC7BA22"/>
    <w:rsid w:val="1AC8B29F"/>
    <w:rsid w:val="1ACF0BF7"/>
    <w:rsid w:val="1AD1C0D4"/>
    <w:rsid w:val="1AD29F7A"/>
    <w:rsid w:val="1AD30520"/>
    <w:rsid w:val="1AD41B41"/>
    <w:rsid w:val="1ADB8E17"/>
    <w:rsid w:val="1AE033A6"/>
    <w:rsid w:val="1AE516B2"/>
    <w:rsid w:val="1AEEDB4D"/>
    <w:rsid w:val="1AEEF6E8"/>
    <w:rsid w:val="1AF08F26"/>
    <w:rsid w:val="1AF32796"/>
    <w:rsid w:val="1AF665AC"/>
    <w:rsid w:val="1AF7C775"/>
    <w:rsid w:val="1AF985A2"/>
    <w:rsid w:val="1AFB7AB4"/>
    <w:rsid w:val="1AFC25FF"/>
    <w:rsid w:val="1AFE06D7"/>
    <w:rsid w:val="1B04C7FF"/>
    <w:rsid w:val="1B069B6E"/>
    <w:rsid w:val="1B06A8EE"/>
    <w:rsid w:val="1B079AE3"/>
    <w:rsid w:val="1B0C60FA"/>
    <w:rsid w:val="1B146377"/>
    <w:rsid w:val="1B169ED9"/>
    <w:rsid w:val="1B19206E"/>
    <w:rsid w:val="1B1AA139"/>
    <w:rsid w:val="1B25FE5B"/>
    <w:rsid w:val="1B261660"/>
    <w:rsid w:val="1B261DF0"/>
    <w:rsid w:val="1B2BF7DC"/>
    <w:rsid w:val="1B2D320B"/>
    <w:rsid w:val="1B307956"/>
    <w:rsid w:val="1B338091"/>
    <w:rsid w:val="1B36F9D7"/>
    <w:rsid w:val="1B370A17"/>
    <w:rsid w:val="1B37C307"/>
    <w:rsid w:val="1B39AE7D"/>
    <w:rsid w:val="1B39B666"/>
    <w:rsid w:val="1B3A6858"/>
    <w:rsid w:val="1B3BC8F4"/>
    <w:rsid w:val="1B3C5468"/>
    <w:rsid w:val="1B430F9F"/>
    <w:rsid w:val="1B43598A"/>
    <w:rsid w:val="1B46D64B"/>
    <w:rsid w:val="1B4A0145"/>
    <w:rsid w:val="1B4E8B5F"/>
    <w:rsid w:val="1B50230D"/>
    <w:rsid w:val="1B52726E"/>
    <w:rsid w:val="1B5437CC"/>
    <w:rsid w:val="1B563302"/>
    <w:rsid w:val="1B5810DF"/>
    <w:rsid w:val="1B5879A6"/>
    <w:rsid w:val="1B5C7CC3"/>
    <w:rsid w:val="1B6352CC"/>
    <w:rsid w:val="1B636559"/>
    <w:rsid w:val="1B64F643"/>
    <w:rsid w:val="1B65FB9E"/>
    <w:rsid w:val="1B67626E"/>
    <w:rsid w:val="1B68F5FD"/>
    <w:rsid w:val="1B6C7C4D"/>
    <w:rsid w:val="1B6CB07B"/>
    <w:rsid w:val="1B735C6B"/>
    <w:rsid w:val="1B74979B"/>
    <w:rsid w:val="1B75470E"/>
    <w:rsid w:val="1B7941EF"/>
    <w:rsid w:val="1B7B301D"/>
    <w:rsid w:val="1B7BC631"/>
    <w:rsid w:val="1B7E33BD"/>
    <w:rsid w:val="1B7FC10E"/>
    <w:rsid w:val="1B80CECE"/>
    <w:rsid w:val="1B83542C"/>
    <w:rsid w:val="1B84CB70"/>
    <w:rsid w:val="1B8829E3"/>
    <w:rsid w:val="1B8B9327"/>
    <w:rsid w:val="1B8BA487"/>
    <w:rsid w:val="1B8DA171"/>
    <w:rsid w:val="1B94FF8F"/>
    <w:rsid w:val="1B973858"/>
    <w:rsid w:val="1B9AF2A9"/>
    <w:rsid w:val="1B9BE2E6"/>
    <w:rsid w:val="1BA89374"/>
    <w:rsid w:val="1BAA7D75"/>
    <w:rsid w:val="1BAD454E"/>
    <w:rsid w:val="1BAF8FE0"/>
    <w:rsid w:val="1BB0E5EE"/>
    <w:rsid w:val="1BB80CD4"/>
    <w:rsid w:val="1BB82C7F"/>
    <w:rsid w:val="1BB96F9B"/>
    <w:rsid w:val="1BBA4068"/>
    <w:rsid w:val="1BBBA930"/>
    <w:rsid w:val="1BC06615"/>
    <w:rsid w:val="1BC37B12"/>
    <w:rsid w:val="1BC422AF"/>
    <w:rsid w:val="1BC468D0"/>
    <w:rsid w:val="1BC5C650"/>
    <w:rsid w:val="1BC7DDFE"/>
    <w:rsid w:val="1BCA1173"/>
    <w:rsid w:val="1BCA272F"/>
    <w:rsid w:val="1BCCFEB4"/>
    <w:rsid w:val="1BD3EFF0"/>
    <w:rsid w:val="1BD4CD18"/>
    <w:rsid w:val="1BD53395"/>
    <w:rsid w:val="1BD8C55A"/>
    <w:rsid w:val="1BDC99F8"/>
    <w:rsid w:val="1BDD1B01"/>
    <w:rsid w:val="1BDF2D61"/>
    <w:rsid w:val="1BDFAF09"/>
    <w:rsid w:val="1BE0D76D"/>
    <w:rsid w:val="1BE114E3"/>
    <w:rsid w:val="1BE5659B"/>
    <w:rsid w:val="1BEE624E"/>
    <w:rsid w:val="1BEE8987"/>
    <w:rsid w:val="1BF08598"/>
    <w:rsid w:val="1BF37EE3"/>
    <w:rsid w:val="1BF6B23C"/>
    <w:rsid w:val="1BF8777D"/>
    <w:rsid w:val="1BFBD026"/>
    <w:rsid w:val="1BFDEBC9"/>
    <w:rsid w:val="1BFEE614"/>
    <w:rsid w:val="1BFFCA4C"/>
    <w:rsid w:val="1C02A70A"/>
    <w:rsid w:val="1C02DE2F"/>
    <w:rsid w:val="1C0B9F22"/>
    <w:rsid w:val="1C0C34F5"/>
    <w:rsid w:val="1C11DEE4"/>
    <w:rsid w:val="1C1545DA"/>
    <w:rsid w:val="1C15C6AB"/>
    <w:rsid w:val="1C16BE92"/>
    <w:rsid w:val="1C19ED0E"/>
    <w:rsid w:val="1C1BDA5F"/>
    <w:rsid w:val="1C202B9F"/>
    <w:rsid w:val="1C22A6A5"/>
    <w:rsid w:val="1C22B55C"/>
    <w:rsid w:val="1C251DEB"/>
    <w:rsid w:val="1C29E7D1"/>
    <w:rsid w:val="1C2A5B97"/>
    <w:rsid w:val="1C2BA32F"/>
    <w:rsid w:val="1C2DB782"/>
    <w:rsid w:val="1C2F17FE"/>
    <w:rsid w:val="1C32B68D"/>
    <w:rsid w:val="1C3852CF"/>
    <w:rsid w:val="1C386DCE"/>
    <w:rsid w:val="1C4175BA"/>
    <w:rsid w:val="1C48A284"/>
    <w:rsid w:val="1C490582"/>
    <w:rsid w:val="1C49EAF6"/>
    <w:rsid w:val="1C4F3EFF"/>
    <w:rsid w:val="1C4FAE34"/>
    <w:rsid w:val="1C51BE73"/>
    <w:rsid w:val="1C52BEA1"/>
    <w:rsid w:val="1C53F064"/>
    <w:rsid w:val="1C553217"/>
    <w:rsid w:val="1C566BFB"/>
    <w:rsid w:val="1C56B8D1"/>
    <w:rsid w:val="1C58FF5F"/>
    <w:rsid w:val="1C598F2F"/>
    <w:rsid w:val="1C5BF7F2"/>
    <w:rsid w:val="1C5F48F9"/>
    <w:rsid w:val="1C634ED6"/>
    <w:rsid w:val="1C641D0A"/>
    <w:rsid w:val="1C65100A"/>
    <w:rsid w:val="1C6AE564"/>
    <w:rsid w:val="1C6BC499"/>
    <w:rsid w:val="1C6D02E7"/>
    <w:rsid w:val="1C6E0954"/>
    <w:rsid w:val="1C6F799E"/>
    <w:rsid w:val="1C70F9CE"/>
    <w:rsid w:val="1C76569C"/>
    <w:rsid w:val="1C7734C3"/>
    <w:rsid w:val="1C77A7F8"/>
    <w:rsid w:val="1C787352"/>
    <w:rsid w:val="1C7BC074"/>
    <w:rsid w:val="1C7C60E1"/>
    <w:rsid w:val="1C817638"/>
    <w:rsid w:val="1C823F49"/>
    <w:rsid w:val="1C857210"/>
    <w:rsid w:val="1C85732F"/>
    <w:rsid w:val="1C8B058B"/>
    <w:rsid w:val="1C8FC0E8"/>
    <w:rsid w:val="1C904FA1"/>
    <w:rsid w:val="1C925A57"/>
    <w:rsid w:val="1C93E0FB"/>
    <w:rsid w:val="1C96A589"/>
    <w:rsid w:val="1C96ECF1"/>
    <w:rsid w:val="1C9A56CA"/>
    <w:rsid w:val="1C9ACBE9"/>
    <w:rsid w:val="1C9C6644"/>
    <w:rsid w:val="1C9E4B9A"/>
    <w:rsid w:val="1C9FC041"/>
    <w:rsid w:val="1CA2DED2"/>
    <w:rsid w:val="1CAC3E89"/>
    <w:rsid w:val="1CAFFEF9"/>
    <w:rsid w:val="1CB153EC"/>
    <w:rsid w:val="1CB65796"/>
    <w:rsid w:val="1CB6B768"/>
    <w:rsid w:val="1CB7995F"/>
    <w:rsid w:val="1CB8C1BE"/>
    <w:rsid w:val="1CBA0C06"/>
    <w:rsid w:val="1CBC661C"/>
    <w:rsid w:val="1CBDC1F2"/>
    <w:rsid w:val="1CC9BC19"/>
    <w:rsid w:val="1CCA5E45"/>
    <w:rsid w:val="1CCE0766"/>
    <w:rsid w:val="1CCE49D5"/>
    <w:rsid w:val="1CD659E4"/>
    <w:rsid w:val="1CD702A7"/>
    <w:rsid w:val="1CD7C9DD"/>
    <w:rsid w:val="1CD8BBD0"/>
    <w:rsid w:val="1CDD8B4E"/>
    <w:rsid w:val="1CDDE139"/>
    <w:rsid w:val="1CE2149A"/>
    <w:rsid w:val="1CE28C2B"/>
    <w:rsid w:val="1CE350AD"/>
    <w:rsid w:val="1CE60F1B"/>
    <w:rsid w:val="1CEC27E3"/>
    <w:rsid w:val="1CEC39C6"/>
    <w:rsid w:val="1CEFEDD2"/>
    <w:rsid w:val="1CF057D2"/>
    <w:rsid w:val="1CF2AE94"/>
    <w:rsid w:val="1CF7A2A5"/>
    <w:rsid w:val="1CFB4B1D"/>
    <w:rsid w:val="1D0129F9"/>
    <w:rsid w:val="1D01E8A3"/>
    <w:rsid w:val="1D0342D7"/>
    <w:rsid w:val="1D038E09"/>
    <w:rsid w:val="1D038FCA"/>
    <w:rsid w:val="1D051143"/>
    <w:rsid w:val="1D0655C5"/>
    <w:rsid w:val="1D0736F6"/>
    <w:rsid w:val="1D09ADE6"/>
    <w:rsid w:val="1D0C6078"/>
    <w:rsid w:val="1D0C7903"/>
    <w:rsid w:val="1D0D5DD7"/>
    <w:rsid w:val="1D0F1C92"/>
    <w:rsid w:val="1D1287B4"/>
    <w:rsid w:val="1D129FDA"/>
    <w:rsid w:val="1D12B20E"/>
    <w:rsid w:val="1D132746"/>
    <w:rsid w:val="1D13725C"/>
    <w:rsid w:val="1D1843F8"/>
    <w:rsid w:val="1D21F817"/>
    <w:rsid w:val="1D238228"/>
    <w:rsid w:val="1D240E13"/>
    <w:rsid w:val="1D288CF4"/>
    <w:rsid w:val="1D2ADA17"/>
    <w:rsid w:val="1D2B0EA7"/>
    <w:rsid w:val="1D2B564B"/>
    <w:rsid w:val="1D2C6210"/>
    <w:rsid w:val="1D2E0465"/>
    <w:rsid w:val="1D2E4996"/>
    <w:rsid w:val="1D346155"/>
    <w:rsid w:val="1D346357"/>
    <w:rsid w:val="1D34B422"/>
    <w:rsid w:val="1D36FD93"/>
    <w:rsid w:val="1D370D4E"/>
    <w:rsid w:val="1D37256B"/>
    <w:rsid w:val="1D3AD9DC"/>
    <w:rsid w:val="1D3B622F"/>
    <w:rsid w:val="1D3C4490"/>
    <w:rsid w:val="1D3FD8E7"/>
    <w:rsid w:val="1D40FAF4"/>
    <w:rsid w:val="1D431585"/>
    <w:rsid w:val="1D45D0D0"/>
    <w:rsid w:val="1D4705C7"/>
    <w:rsid w:val="1D4C06E1"/>
    <w:rsid w:val="1D4E5298"/>
    <w:rsid w:val="1D532F75"/>
    <w:rsid w:val="1D54D5D9"/>
    <w:rsid w:val="1D579905"/>
    <w:rsid w:val="1D5992F0"/>
    <w:rsid w:val="1D5A4CED"/>
    <w:rsid w:val="1D5A96C7"/>
    <w:rsid w:val="1D5D2343"/>
    <w:rsid w:val="1D5E3672"/>
    <w:rsid w:val="1D5EA254"/>
    <w:rsid w:val="1D627AD0"/>
    <w:rsid w:val="1D62CDB5"/>
    <w:rsid w:val="1D640F63"/>
    <w:rsid w:val="1D665D12"/>
    <w:rsid w:val="1D6779D9"/>
    <w:rsid w:val="1D685EA2"/>
    <w:rsid w:val="1D68849E"/>
    <w:rsid w:val="1D6B7C28"/>
    <w:rsid w:val="1D6F9B34"/>
    <w:rsid w:val="1D703954"/>
    <w:rsid w:val="1D730A8F"/>
    <w:rsid w:val="1D73D4AC"/>
    <w:rsid w:val="1D74E4C9"/>
    <w:rsid w:val="1D7CCBDA"/>
    <w:rsid w:val="1D7E5A6A"/>
    <w:rsid w:val="1D81DDB7"/>
    <w:rsid w:val="1D820240"/>
    <w:rsid w:val="1D82DEF2"/>
    <w:rsid w:val="1D835EAF"/>
    <w:rsid w:val="1D848FC5"/>
    <w:rsid w:val="1D851F5B"/>
    <w:rsid w:val="1D85F344"/>
    <w:rsid w:val="1D87E130"/>
    <w:rsid w:val="1D8856B7"/>
    <w:rsid w:val="1D8A9F13"/>
    <w:rsid w:val="1D8CC2CE"/>
    <w:rsid w:val="1D90C6D0"/>
    <w:rsid w:val="1D9291DD"/>
    <w:rsid w:val="1D9C5CB3"/>
    <w:rsid w:val="1D9EFAA0"/>
    <w:rsid w:val="1DA93CC4"/>
    <w:rsid w:val="1DAA9BCA"/>
    <w:rsid w:val="1DAD7917"/>
    <w:rsid w:val="1DB5BD51"/>
    <w:rsid w:val="1DB6AA68"/>
    <w:rsid w:val="1DBA23F4"/>
    <w:rsid w:val="1DBC1690"/>
    <w:rsid w:val="1DBE6120"/>
    <w:rsid w:val="1DC2C120"/>
    <w:rsid w:val="1DC7A049"/>
    <w:rsid w:val="1DC899FB"/>
    <w:rsid w:val="1DCDE5AD"/>
    <w:rsid w:val="1DD0318D"/>
    <w:rsid w:val="1DD0D75B"/>
    <w:rsid w:val="1DD30BC3"/>
    <w:rsid w:val="1DD69AA0"/>
    <w:rsid w:val="1DD93288"/>
    <w:rsid w:val="1DDAF960"/>
    <w:rsid w:val="1DDBEA4E"/>
    <w:rsid w:val="1DDD9E0D"/>
    <w:rsid w:val="1DDDA2A5"/>
    <w:rsid w:val="1DDE5A1F"/>
    <w:rsid w:val="1DDEBF5E"/>
    <w:rsid w:val="1DE4BB9E"/>
    <w:rsid w:val="1DE576A2"/>
    <w:rsid w:val="1DEC5F27"/>
    <w:rsid w:val="1DEE492F"/>
    <w:rsid w:val="1DEFF034"/>
    <w:rsid w:val="1DF00F8C"/>
    <w:rsid w:val="1DF62EE7"/>
    <w:rsid w:val="1DF9D5A1"/>
    <w:rsid w:val="1DFABEAF"/>
    <w:rsid w:val="1DFD264D"/>
    <w:rsid w:val="1E0367E3"/>
    <w:rsid w:val="1E04079E"/>
    <w:rsid w:val="1E06BE43"/>
    <w:rsid w:val="1E0E0F86"/>
    <w:rsid w:val="1E1024FC"/>
    <w:rsid w:val="1E1207BB"/>
    <w:rsid w:val="1E132CB7"/>
    <w:rsid w:val="1E161EC4"/>
    <w:rsid w:val="1E16DACA"/>
    <w:rsid w:val="1E19091A"/>
    <w:rsid w:val="1E1964B4"/>
    <w:rsid w:val="1E1DFF5E"/>
    <w:rsid w:val="1E1E2F88"/>
    <w:rsid w:val="1E21380D"/>
    <w:rsid w:val="1E22EF1A"/>
    <w:rsid w:val="1E234324"/>
    <w:rsid w:val="1E298981"/>
    <w:rsid w:val="1E2A7CCB"/>
    <w:rsid w:val="1E2C2064"/>
    <w:rsid w:val="1E2CE0E3"/>
    <w:rsid w:val="1E2F82AF"/>
    <w:rsid w:val="1E301A42"/>
    <w:rsid w:val="1E3336F4"/>
    <w:rsid w:val="1E34FCEB"/>
    <w:rsid w:val="1E358941"/>
    <w:rsid w:val="1E39DC88"/>
    <w:rsid w:val="1E3F3E28"/>
    <w:rsid w:val="1E50C968"/>
    <w:rsid w:val="1E51DC47"/>
    <w:rsid w:val="1E524A36"/>
    <w:rsid w:val="1E52A386"/>
    <w:rsid w:val="1E57172B"/>
    <w:rsid w:val="1E58B537"/>
    <w:rsid w:val="1E5C164C"/>
    <w:rsid w:val="1E5C51DF"/>
    <w:rsid w:val="1E5FDCA5"/>
    <w:rsid w:val="1E6E09C5"/>
    <w:rsid w:val="1E71D9B2"/>
    <w:rsid w:val="1E76C864"/>
    <w:rsid w:val="1E77BFD4"/>
    <w:rsid w:val="1E791F54"/>
    <w:rsid w:val="1E7CE15C"/>
    <w:rsid w:val="1E7E7E54"/>
    <w:rsid w:val="1E8018EC"/>
    <w:rsid w:val="1E81345A"/>
    <w:rsid w:val="1E830688"/>
    <w:rsid w:val="1E8489E4"/>
    <w:rsid w:val="1E86FBED"/>
    <w:rsid w:val="1E87B986"/>
    <w:rsid w:val="1E8F9B63"/>
    <w:rsid w:val="1E9336B5"/>
    <w:rsid w:val="1E965838"/>
    <w:rsid w:val="1E9694F5"/>
    <w:rsid w:val="1E986A50"/>
    <w:rsid w:val="1E9CE878"/>
    <w:rsid w:val="1E9FECF2"/>
    <w:rsid w:val="1EA0D26F"/>
    <w:rsid w:val="1EA31CBC"/>
    <w:rsid w:val="1EA72074"/>
    <w:rsid w:val="1EB0EEC6"/>
    <w:rsid w:val="1EB1E441"/>
    <w:rsid w:val="1EB24E48"/>
    <w:rsid w:val="1EB49AD3"/>
    <w:rsid w:val="1EB4CAF6"/>
    <w:rsid w:val="1EB560E5"/>
    <w:rsid w:val="1EB85990"/>
    <w:rsid w:val="1EB92A64"/>
    <w:rsid w:val="1EB93444"/>
    <w:rsid w:val="1EC30EE3"/>
    <w:rsid w:val="1ECC766D"/>
    <w:rsid w:val="1ECE308F"/>
    <w:rsid w:val="1ECFF99B"/>
    <w:rsid w:val="1ED05A50"/>
    <w:rsid w:val="1ED39003"/>
    <w:rsid w:val="1ED3F220"/>
    <w:rsid w:val="1ED44230"/>
    <w:rsid w:val="1ED6963F"/>
    <w:rsid w:val="1EDA6FA5"/>
    <w:rsid w:val="1EDBDF1D"/>
    <w:rsid w:val="1EE06C61"/>
    <w:rsid w:val="1EE35160"/>
    <w:rsid w:val="1EE4C0EB"/>
    <w:rsid w:val="1EE8F835"/>
    <w:rsid w:val="1EE93DB7"/>
    <w:rsid w:val="1EEAD5A5"/>
    <w:rsid w:val="1EF3ECA1"/>
    <w:rsid w:val="1EF408F0"/>
    <w:rsid w:val="1EF53F3E"/>
    <w:rsid w:val="1EF74034"/>
    <w:rsid w:val="1EFD05F1"/>
    <w:rsid w:val="1F03FF83"/>
    <w:rsid w:val="1F081F17"/>
    <w:rsid w:val="1F097CD3"/>
    <w:rsid w:val="1F0A99F0"/>
    <w:rsid w:val="1F0B8A84"/>
    <w:rsid w:val="1F0D6F04"/>
    <w:rsid w:val="1F0FC565"/>
    <w:rsid w:val="1F10654A"/>
    <w:rsid w:val="1F141F6F"/>
    <w:rsid w:val="1F142DCE"/>
    <w:rsid w:val="1F190F75"/>
    <w:rsid w:val="1F1BB728"/>
    <w:rsid w:val="1F1C8B30"/>
    <w:rsid w:val="1F1C8E54"/>
    <w:rsid w:val="1F1D0842"/>
    <w:rsid w:val="1F1D98F8"/>
    <w:rsid w:val="1F20C92B"/>
    <w:rsid w:val="1F23320D"/>
    <w:rsid w:val="1F27664D"/>
    <w:rsid w:val="1F290B01"/>
    <w:rsid w:val="1F337CBB"/>
    <w:rsid w:val="1F33C7CD"/>
    <w:rsid w:val="1F3988F2"/>
    <w:rsid w:val="1F3BD6D0"/>
    <w:rsid w:val="1F3DDC50"/>
    <w:rsid w:val="1F3E0129"/>
    <w:rsid w:val="1F3E8224"/>
    <w:rsid w:val="1F3ED1DB"/>
    <w:rsid w:val="1F3FA96B"/>
    <w:rsid w:val="1F40AC1F"/>
    <w:rsid w:val="1F42849D"/>
    <w:rsid w:val="1F4574E0"/>
    <w:rsid w:val="1F48268B"/>
    <w:rsid w:val="1F4B615C"/>
    <w:rsid w:val="1F4BCF8E"/>
    <w:rsid w:val="1F4CC3A0"/>
    <w:rsid w:val="1F4DDD3B"/>
    <w:rsid w:val="1F4EC611"/>
    <w:rsid w:val="1F4EDDD2"/>
    <w:rsid w:val="1F531610"/>
    <w:rsid w:val="1F53B21D"/>
    <w:rsid w:val="1F566A77"/>
    <w:rsid w:val="1F588797"/>
    <w:rsid w:val="1F58E1D1"/>
    <w:rsid w:val="1F5ACAB9"/>
    <w:rsid w:val="1F5C7465"/>
    <w:rsid w:val="1F5D21A2"/>
    <w:rsid w:val="1F5E0664"/>
    <w:rsid w:val="1F5F3DDB"/>
    <w:rsid w:val="1F5FDC42"/>
    <w:rsid w:val="1F64111F"/>
    <w:rsid w:val="1F676007"/>
    <w:rsid w:val="1F680AD2"/>
    <w:rsid w:val="1F6FAAFD"/>
    <w:rsid w:val="1F701EDC"/>
    <w:rsid w:val="1F704E79"/>
    <w:rsid w:val="1F714665"/>
    <w:rsid w:val="1F743D3D"/>
    <w:rsid w:val="1F77D20F"/>
    <w:rsid w:val="1F7E3F69"/>
    <w:rsid w:val="1F7EE500"/>
    <w:rsid w:val="1F804315"/>
    <w:rsid w:val="1F80CE17"/>
    <w:rsid w:val="1F81F9C9"/>
    <w:rsid w:val="1F82EC76"/>
    <w:rsid w:val="1F8727C3"/>
    <w:rsid w:val="1F872F71"/>
    <w:rsid w:val="1F8E877B"/>
    <w:rsid w:val="1F8EB596"/>
    <w:rsid w:val="1F910CC2"/>
    <w:rsid w:val="1F975687"/>
    <w:rsid w:val="1F9A3B51"/>
    <w:rsid w:val="1F9A8562"/>
    <w:rsid w:val="1FA0ACB5"/>
    <w:rsid w:val="1FA1C15F"/>
    <w:rsid w:val="1FA1EFBE"/>
    <w:rsid w:val="1FA31BF5"/>
    <w:rsid w:val="1FA472A0"/>
    <w:rsid w:val="1FA6E7B0"/>
    <w:rsid w:val="1FA7F571"/>
    <w:rsid w:val="1FACB046"/>
    <w:rsid w:val="1FAD4490"/>
    <w:rsid w:val="1FADBF72"/>
    <w:rsid w:val="1FAF67C7"/>
    <w:rsid w:val="1FB13FD0"/>
    <w:rsid w:val="1FB96828"/>
    <w:rsid w:val="1FBAF408"/>
    <w:rsid w:val="1FBCFC21"/>
    <w:rsid w:val="1FBE005D"/>
    <w:rsid w:val="1FBE3017"/>
    <w:rsid w:val="1FBE695C"/>
    <w:rsid w:val="1FC3827C"/>
    <w:rsid w:val="1FC823D6"/>
    <w:rsid w:val="1FC9B766"/>
    <w:rsid w:val="1FCFFE04"/>
    <w:rsid w:val="1FD16745"/>
    <w:rsid w:val="1FD18779"/>
    <w:rsid w:val="1FD51324"/>
    <w:rsid w:val="1FD653FB"/>
    <w:rsid w:val="1FD6FC00"/>
    <w:rsid w:val="1FD71EE3"/>
    <w:rsid w:val="1FE09AB3"/>
    <w:rsid w:val="1FE19A02"/>
    <w:rsid w:val="1FE391DF"/>
    <w:rsid w:val="1FE598E3"/>
    <w:rsid w:val="1FE9B1AA"/>
    <w:rsid w:val="1FEA61F2"/>
    <w:rsid w:val="1FEC1931"/>
    <w:rsid w:val="1FF33A51"/>
    <w:rsid w:val="1FF69069"/>
    <w:rsid w:val="1FF6EC7C"/>
    <w:rsid w:val="1FF753C7"/>
    <w:rsid w:val="1FFCAB1D"/>
    <w:rsid w:val="1FFE5E80"/>
    <w:rsid w:val="20006F9E"/>
    <w:rsid w:val="200817A1"/>
    <w:rsid w:val="20084ABC"/>
    <w:rsid w:val="200A45F2"/>
    <w:rsid w:val="200A50F0"/>
    <w:rsid w:val="201051C7"/>
    <w:rsid w:val="2011D70A"/>
    <w:rsid w:val="2014329E"/>
    <w:rsid w:val="2014F082"/>
    <w:rsid w:val="20159424"/>
    <w:rsid w:val="201B569C"/>
    <w:rsid w:val="202074DB"/>
    <w:rsid w:val="202211CA"/>
    <w:rsid w:val="2023D266"/>
    <w:rsid w:val="202486A5"/>
    <w:rsid w:val="202501CF"/>
    <w:rsid w:val="202BE8A4"/>
    <w:rsid w:val="202F624B"/>
    <w:rsid w:val="20374E74"/>
    <w:rsid w:val="20384C73"/>
    <w:rsid w:val="203E0F08"/>
    <w:rsid w:val="2040CD32"/>
    <w:rsid w:val="20445DE4"/>
    <w:rsid w:val="2044E202"/>
    <w:rsid w:val="2045ADE8"/>
    <w:rsid w:val="20495878"/>
    <w:rsid w:val="204A6E12"/>
    <w:rsid w:val="204B5FDB"/>
    <w:rsid w:val="204E672A"/>
    <w:rsid w:val="204F4488"/>
    <w:rsid w:val="2055347A"/>
    <w:rsid w:val="205655C4"/>
    <w:rsid w:val="20572A76"/>
    <w:rsid w:val="20579144"/>
    <w:rsid w:val="205904BB"/>
    <w:rsid w:val="205AE660"/>
    <w:rsid w:val="20619FE5"/>
    <w:rsid w:val="2062F52E"/>
    <w:rsid w:val="20687398"/>
    <w:rsid w:val="20703405"/>
    <w:rsid w:val="2070AE7D"/>
    <w:rsid w:val="2076A6B4"/>
    <w:rsid w:val="207AF55F"/>
    <w:rsid w:val="207B5C36"/>
    <w:rsid w:val="207C6F8F"/>
    <w:rsid w:val="207D2EFC"/>
    <w:rsid w:val="207E50E6"/>
    <w:rsid w:val="207F02AD"/>
    <w:rsid w:val="208146DC"/>
    <w:rsid w:val="2081D06F"/>
    <w:rsid w:val="20828874"/>
    <w:rsid w:val="2087BB95"/>
    <w:rsid w:val="20892599"/>
    <w:rsid w:val="208B881F"/>
    <w:rsid w:val="208C5BF8"/>
    <w:rsid w:val="2094CA25"/>
    <w:rsid w:val="209A6BCD"/>
    <w:rsid w:val="209ED8C8"/>
    <w:rsid w:val="20A0A58A"/>
    <w:rsid w:val="20A13091"/>
    <w:rsid w:val="20A31D51"/>
    <w:rsid w:val="20A952D4"/>
    <w:rsid w:val="20A97E34"/>
    <w:rsid w:val="20A9B60D"/>
    <w:rsid w:val="20AEABC2"/>
    <w:rsid w:val="20B163B1"/>
    <w:rsid w:val="20B489AE"/>
    <w:rsid w:val="20B953DA"/>
    <w:rsid w:val="20B97397"/>
    <w:rsid w:val="20B9BD28"/>
    <w:rsid w:val="20BA5177"/>
    <w:rsid w:val="20BC71D0"/>
    <w:rsid w:val="20BC7E6D"/>
    <w:rsid w:val="20C56542"/>
    <w:rsid w:val="20C69A4B"/>
    <w:rsid w:val="20C80609"/>
    <w:rsid w:val="20CA6255"/>
    <w:rsid w:val="20CC1D40"/>
    <w:rsid w:val="20CC80DF"/>
    <w:rsid w:val="20CF5DC2"/>
    <w:rsid w:val="20CF846D"/>
    <w:rsid w:val="20D51E2E"/>
    <w:rsid w:val="20D55F43"/>
    <w:rsid w:val="20D65A60"/>
    <w:rsid w:val="20D8ACD5"/>
    <w:rsid w:val="20DB263C"/>
    <w:rsid w:val="20DBA18D"/>
    <w:rsid w:val="20DBE619"/>
    <w:rsid w:val="20DE9430"/>
    <w:rsid w:val="20E2223A"/>
    <w:rsid w:val="20E40352"/>
    <w:rsid w:val="20E4E96B"/>
    <w:rsid w:val="20E60874"/>
    <w:rsid w:val="20E7CA51"/>
    <w:rsid w:val="20EDA665"/>
    <w:rsid w:val="20EE59EF"/>
    <w:rsid w:val="20EF4380"/>
    <w:rsid w:val="20F14792"/>
    <w:rsid w:val="20F14F44"/>
    <w:rsid w:val="20F43EBF"/>
    <w:rsid w:val="20F6EE5B"/>
    <w:rsid w:val="20F847D1"/>
    <w:rsid w:val="20F95264"/>
    <w:rsid w:val="20FCAD0B"/>
    <w:rsid w:val="20FE5B86"/>
    <w:rsid w:val="20FF7BDE"/>
    <w:rsid w:val="2100CD45"/>
    <w:rsid w:val="2106DBCC"/>
    <w:rsid w:val="2109898C"/>
    <w:rsid w:val="210D2BF6"/>
    <w:rsid w:val="210D5650"/>
    <w:rsid w:val="210FAC40"/>
    <w:rsid w:val="21151116"/>
    <w:rsid w:val="21159FD3"/>
    <w:rsid w:val="2115A92B"/>
    <w:rsid w:val="21181AE7"/>
    <w:rsid w:val="21197B5A"/>
    <w:rsid w:val="211CB240"/>
    <w:rsid w:val="211D464D"/>
    <w:rsid w:val="2120483C"/>
    <w:rsid w:val="21205E12"/>
    <w:rsid w:val="21269561"/>
    <w:rsid w:val="2127322F"/>
    <w:rsid w:val="212BFEED"/>
    <w:rsid w:val="212EA524"/>
    <w:rsid w:val="212F94C0"/>
    <w:rsid w:val="212FF49C"/>
    <w:rsid w:val="2131C019"/>
    <w:rsid w:val="2136E979"/>
    <w:rsid w:val="2137BD6B"/>
    <w:rsid w:val="213806A7"/>
    <w:rsid w:val="2138F7FF"/>
    <w:rsid w:val="21391607"/>
    <w:rsid w:val="213A0AF9"/>
    <w:rsid w:val="213C2EF0"/>
    <w:rsid w:val="2140CCCB"/>
    <w:rsid w:val="2144B19F"/>
    <w:rsid w:val="21460F56"/>
    <w:rsid w:val="214727A1"/>
    <w:rsid w:val="21478D64"/>
    <w:rsid w:val="214AA489"/>
    <w:rsid w:val="214DAB7F"/>
    <w:rsid w:val="214DDAA1"/>
    <w:rsid w:val="214ECB8A"/>
    <w:rsid w:val="214F0CD0"/>
    <w:rsid w:val="21544A54"/>
    <w:rsid w:val="2154711C"/>
    <w:rsid w:val="2154D437"/>
    <w:rsid w:val="2155112E"/>
    <w:rsid w:val="21564535"/>
    <w:rsid w:val="2157F7D6"/>
    <w:rsid w:val="21586E2B"/>
    <w:rsid w:val="21610655"/>
    <w:rsid w:val="216157CD"/>
    <w:rsid w:val="2167BD5F"/>
    <w:rsid w:val="21681C40"/>
    <w:rsid w:val="21688C7A"/>
    <w:rsid w:val="216C171D"/>
    <w:rsid w:val="216C184F"/>
    <w:rsid w:val="216F203E"/>
    <w:rsid w:val="216FD83E"/>
    <w:rsid w:val="21714E5B"/>
    <w:rsid w:val="21719593"/>
    <w:rsid w:val="217243A3"/>
    <w:rsid w:val="2175A0DD"/>
    <w:rsid w:val="217606CB"/>
    <w:rsid w:val="2178BEF2"/>
    <w:rsid w:val="2179F244"/>
    <w:rsid w:val="218B80CB"/>
    <w:rsid w:val="218C8307"/>
    <w:rsid w:val="218D52E5"/>
    <w:rsid w:val="2194A40F"/>
    <w:rsid w:val="2194EF7A"/>
    <w:rsid w:val="2199114F"/>
    <w:rsid w:val="219DAFF1"/>
    <w:rsid w:val="219E097A"/>
    <w:rsid w:val="219FEFE7"/>
    <w:rsid w:val="21A16B56"/>
    <w:rsid w:val="21A3A0D0"/>
    <w:rsid w:val="21A3AF4F"/>
    <w:rsid w:val="21A52251"/>
    <w:rsid w:val="21A66C0E"/>
    <w:rsid w:val="21A99FB5"/>
    <w:rsid w:val="21AAE574"/>
    <w:rsid w:val="21AD132F"/>
    <w:rsid w:val="21AD1467"/>
    <w:rsid w:val="21AF8488"/>
    <w:rsid w:val="21B0A06F"/>
    <w:rsid w:val="21B93A12"/>
    <w:rsid w:val="21BAB024"/>
    <w:rsid w:val="21BBCF6B"/>
    <w:rsid w:val="21BD2E6C"/>
    <w:rsid w:val="21BDCDA6"/>
    <w:rsid w:val="21BDD95F"/>
    <w:rsid w:val="21BF566D"/>
    <w:rsid w:val="21C066A0"/>
    <w:rsid w:val="21C08106"/>
    <w:rsid w:val="21C89871"/>
    <w:rsid w:val="21CA5B2D"/>
    <w:rsid w:val="21CA845D"/>
    <w:rsid w:val="21CAF869"/>
    <w:rsid w:val="21CB2CBC"/>
    <w:rsid w:val="21CF01E7"/>
    <w:rsid w:val="21D65726"/>
    <w:rsid w:val="21D79A37"/>
    <w:rsid w:val="21D8B97D"/>
    <w:rsid w:val="21D8D2D8"/>
    <w:rsid w:val="21E2F28D"/>
    <w:rsid w:val="21E44BCF"/>
    <w:rsid w:val="21EA7AC4"/>
    <w:rsid w:val="21EB7233"/>
    <w:rsid w:val="21F2D699"/>
    <w:rsid w:val="21F59020"/>
    <w:rsid w:val="21F8CD9F"/>
    <w:rsid w:val="21F8EFE2"/>
    <w:rsid w:val="21FC78D2"/>
    <w:rsid w:val="21FD2EAA"/>
    <w:rsid w:val="21FDDE99"/>
    <w:rsid w:val="2201A9D5"/>
    <w:rsid w:val="22031D82"/>
    <w:rsid w:val="2206D745"/>
    <w:rsid w:val="220B8D0D"/>
    <w:rsid w:val="220BAA79"/>
    <w:rsid w:val="220BD79D"/>
    <w:rsid w:val="220CDE6A"/>
    <w:rsid w:val="220FF86C"/>
    <w:rsid w:val="22104B66"/>
    <w:rsid w:val="2210BFE9"/>
    <w:rsid w:val="22122357"/>
    <w:rsid w:val="221344BE"/>
    <w:rsid w:val="22149404"/>
    <w:rsid w:val="2214D245"/>
    <w:rsid w:val="2217EFA4"/>
    <w:rsid w:val="221ABB39"/>
    <w:rsid w:val="221DADA8"/>
    <w:rsid w:val="221E47CD"/>
    <w:rsid w:val="221E9E83"/>
    <w:rsid w:val="2220326C"/>
    <w:rsid w:val="222315B1"/>
    <w:rsid w:val="22231B3D"/>
    <w:rsid w:val="22259AD4"/>
    <w:rsid w:val="2225E798"/>
    <w:rsid w:val="22289B27"/>
    <w:rsid w:val="223013C8"/>
    <w:rsid w:val="22327574"/>
    <w:rsid w:val="22349A0D"/>
    <w:rsid w:val="223689B6"/>
    <w:rsid w:val="22377306"/>
    <w:rsid w:val="2239544C"/>
    <w:rsid w:val="223A5B7C"/>
    <w:rsid w:val="223AB6DB"/>
    <w:rsid w:val="223B5ACF"/>
    <w:rsid w:val="223DC836"/>
    <w:rsid w:val="2241FFAA"/>
    <w:rsid w:val="224DDD4A"/>
    <w:rsid w:val="224E8C45"/>
    <w:rsid w:val="22508D34"/>
    <w:rsid w:val="2250E364"/>
    <w:rsid w:val="22520337"/>
    <w:rsid w:val="2253E1E6"/>
    <w:rsid w:val="22546F1C"/>
    <w:rsid w:val="2257095D"/>
    <w:rsid w:val="225953D2"/>
    <w:rsid w:val="225A7F83"/>
    <w:rsid w:val="225B5BF4"/>
    <w:rsid w:val="225B6CAB"/>
    <w:rsid w:val="225C5ABF"/>
    <w:rsid w:val="225D9800"/>
    <w:rsid w:val="225E1CF8"/>
    <w:rsid w:val="2262E8DB"/>
    <w:rsid w:val="2263AFF8"/>
    <w:rsid w:val="22650807"/>
    <w:rsid w:val="2267F8E5"/>
    <w:rsid w:val="2268122C"/>
    <w:rsid w:val="226A95CC"/>
    <w:rsid w:val="226B5008"/>
    <w:rsid w:val="226C3664"/>
    <w:rsid w:val="226D9252"/>
    <w:rsid w:val="226DC003"/>
    <w:rsid w:val="226F4CCA"/>
    <w:rsid w:val="22758BB1"/>
    <w:rsid w:val="2277827E"/>
    <w:rsid w:val="2278512A"/>
    <w:rsid w:val="227868B3"/>
    <w:rsid w:val="2278D4FB"/>
    <w:rsid w:val="227C4C2A"/>
    <w:rsid w:val="227F6F4B"/>
    <w:rsid w:val="22806281"/>
    <w:rsid w:val="228B3287"/>
    <w:rsid w:val="228E6A28"/>
    <w:rsid w:val="229098C3"/>
    <w:rsid w:val="22945BE2"/>
    <w:rsid w:val="22946B94"/>
    <w:rsid w:val="22966951"/>
    <w:rsid w:val="2296A953"/>
    <w:rsid w:val="2298FA0B"/>
    <w:rsid w:val="229B5DC0"/>
    <w:rsid w:val="229CB72B"/>
    <w:rsid w:val="229CE6A1"/>
    <w:rsid w:val="22A36508"/>
    <w:rsid w:val="22A3D0E2"/>
    <w:rsid w:val="22A480F8"/>
    <w:rsid w:val="22AAEA6B"/>
    <w:rsid w:val="22AECA64"/>
    <w:rsid w:val="22AF32AF"/>
    <w:rsid w:val="22B11AFD"/>
    <w:rsid w:val="22B1D109"/>
    <w:rsid w:val="22B65808"/>
    <w:rsid w:val="22B679D3"/>
    <w:rsid w:val="22C1D38A"/>
    <w:rsid w:val="22C2F66A"/>
    <w:rsid w:val="22C7576A"/>
    <w:rsid w:val="22C78407"/>
    <w:rsid w:val="22CBF022"/>
    <w:rsid w:val="22CCBD3D"/>
    <w:rsid w:val="22D75C05"/>
    <w:rsid w:val="22D8BA30"/>
    <w:rsid w:val="22DDCAFD"/>
    <w:rsid w:val="22DF2508"/>
    <w:rsid w:val="22E2E408"/>
    <w:rsid w:val="22E5A3B0"/>
    <w:rsid w:val="22E9AF47"/>
    <w:rsid w:val="22EA15DE"/>
    <w:rsid w:val="22EA6F8E"/>
    <w:rsid w:val="22F47B76"/>
    <w:rsid w:val="22F5845C"/>
    <w:rsid w:val="22FB81F0"/>
    <w:rsid w:val="22FEBF2E"/>
    <w:rsid w:val="2303D4B4"/>
    <w:rsid w:val="23042B64"/>
    <w:rsid w:val="230479FE"/>
    <w:rsid w:val="2307423F"/>
    <w:rsid w:val="230AB78E"/>
    <w:rsid w:val="230CF334"/>
    <w:rsid w:val="230D2C20"/>
    <w:rsid w:val="230D7C7A"/>
    <w:rsid w:val="23112851"/>
    <w:rsid w:val="2311BB36"/>
    <w:rsid w:val="23161ECB"/>
    <w:rsid w:val="231B6386"/>
    <w:rsid w:val="231E0DB9"/>
    <w:rsid w:val="231E981C"/>
    <w:rsid w:val="23226BCA"/>
    <w:rsid w:val="232284BE"/>
    <w:rsid w:val="23239832"/>
    <w:rsid w:val="232916B5"/>
    <w:rsid w:val="232B1BB7"/>
    <w:rsid w:val="232D9345"/>
    <w:rsid w:val="2330FF60"/>
    <w:rsid w:val="23312D3F"/>
    <w:rsid w:val="23315A09"/>
    <w:rsid w:val="2339B387"/>
    <w:rsid w:val="233AB1BA"/>
    <w:rsid w:val="233BC279"/>
    <w:rsid w:val="234014BE"/>
    <w:rsid w:val="23420C09"/>
    <w:rsid w:val="23448BDA"/>
    <w:rsid w:val="234579B2"/>
    <w:rsid w:val="2346C816"/>
    <w:rsid w:val="2349AC29"/>
    <w:rsid w:val="234D31BA"/>
    <w:rsid w:val="234D58E4"/>
    <w:rsid w:val="234ED8F5"/>
    <w:rsid w:val="234F52BC"/>
    <w:rsid w:val="235605F4"/>
    <w:rsid w:val="23567601"/>
    <w:rsid w:val="235B5520"/>
    <w:rsid w:val="235E7B10"/>
    <w:rsid w:val="23615AB4"/>
    <w:rsid w:val="23651EDA"/>
    <w:rsid w:val="23666640"/>
    <w:rsid w:val="2367A7EA"/>
    <w:rsid w:val="236856C6"/>
    <w:rsid w:val="236A1650"/>
    <w:rsid w:val="236BC159"/>
    <w:rsid w:val="236C04C7"/>
    <w:rsid w:val="236F94BF"/>
    <w:rsid w:val="2370A1E3"/>
    <w:rsid w:val="237529F9"/>
    <w:rsid w:val="2376E1B0"/>
    <w:rsid w:val="23797492"/>
    <w:rsid w:val="238127C0"/>
    <w:rsid w:val="23840CAF"/>
    <w:rsid w:val="23868182"/>
    <w:rsid w:val="238A39BB"/>
    <w:rsid w:val="23907E15"/>
    <w:rsid w:val="2392C80B"/>
    <w:rsid w:val="2394E883"/>
    <w:rsid w:val="2397F402"/>
    <w:rsid w:val="23986DD6"/>
    <w:rsid w:val="23989B77"/>
    <w:rsid w:val="2399D8B1"/>
    <w:rsid w:val="239A610B"/>
    <w:rsid w:val="239D6E0C"/>
    <w:rsid w:val="23A08427"/>
    <w:rsid w:val="23AEAD72"/>
    <w:rsid w:val="23B16246"/>
    <w:rsid w:val="23B2A7D0"/>
    <w:rsid w:val="23B51383"/>
    <w:rsid w:val="23B671FA"/>
    <w:rsid w:val="23B6A1BD"/>
    <w:rsid w:val="23B7BF62"/>
    <w:rsid w:val="23BD2D77"/>
    <w:rsid w:val="23BEA184"/>
    <w:rsid w:val="23C001DB"/>
    <w:rsid w:val="23C1C501"/>
    <w:rsid w:val="23C465BA"/>
    <w:rsid w:val="23C4E7E0"/>
    <w:rsid w:val="23C52848"/>
    <w:rsid w:val="23C78FD3"/>
    <w:rsid w:val="23C885F5"/>
    <w:rsid w:val="23C96011"/>
    <w:rsid w:val="23CBE599"/>
    <w:rsid w:val="23CE5670"/>
    <w:rsid w:val="23CED6D9"/>
    <w:rsid w:val="23D143EE"/>
    <w:rsid w:val="23D3E037"/>
    <w:rsid w:val="23D40BBA"/>
    <w:rsid w:val="23D43CCC"/>
    <w:rsid w:val="23D9B01D"/>
    <w:rsid w:val="23DAE2AF"/>
    <w:rsid w:val="23DB8973"/>
    <w:rsid w:val="23E5FFD7"/>
    <w:rsid w:val="23E7086B"/>
    <w:rsid w:val="23E9066F"/>
    <w:rsid w:val="23E9DA47"/>
    <w:rsid w:val="23ECBD6D"/>
    <w:rsid w:val="23EE9705"/>
    <w:rsid w:val="23EFF44C"/>
    <w:rsid w:val="23F04BA6"/>
    <w:rsid w:val="23F91B67"/>
    <w:rsid w:val="23F94FBE"/>
    <w:rsid w:val="24009F84"/>
    <w:rsid w:val="2401AF11"/>
    <w:rsid w:val="2409680E"/>
    <w:rsid w:val="240BE8F0"/>
    <w:rsid w:val="240E5038"/>
    <w:rsid w:val="240FF671"/>
    <w:rsid w:val="2410627E"/>
    <w:rsid w:val="2418ED0D"/>
    <w:rsid w:val="24221B52"/>
    <w:rsid w:val="24241103"/>
    <w:rsid w:val="24270C92"/>
    <w:rsid w:val="2427F64A"/>
    <w:rsid w:val="2428D25F"/>
    <w:rsid w:val="242B2862"/>
    <w:rsid w:val="242B729B"/>
    <w:rsid w:val="242ECDD9"/>
    <w:rsid w:val="24365E49"/>
    <w:rsid w:val="2438972F"/>
    <w:rsid w:val="243A9127"/>
    <w:rsid w:val="243B5D4B"/>
    <w:rsid w:val="243B723E"/>
    <w:rsid w:val="24461C02"/>
    <w:rsid w:val="2447AA45"/>
    <w:rsid w:val="244876D2"/>
    <w:rsid w:val="24493096"/>
    <w:rsid w:val="244969AC"/>
    <w:rsid w:val="244A2AB0"/>
    <w:rsid w:val="244DA782"/>
    <w:rsid w:val="245318B0"/>
    <w:rsid w:val="24561074"/>
    <w:rsid w:val="24578129"/>
    <w:rsid w:val="245EBDB7"/>
    <w:rsid w:val="245F33D8"/>
    <w:rsid w:val="245F6432"/>
    <w:rsid w:val="246224F7"/>
    <w:rsid w:val="2462485F"/>
    <w:rsid w:val="2462F488"/>
    <w:rsid w:val="246451DC"/>
    <w:rsid w:val="2467E03E"/>
    <w:rsid w:val="246CCA79"/>
    <w:rsid w:val="246EFADB"/>
    <w:rsid w:val="24727D0C"/>
    <w:rsid w:val="2476031A"/>
    <w:rsid w:val="24771725"/>
    <w:rsid w:val="247806E7"/>
    <w:rsid w:val="2479296F"/>
    <w:rsid w:val="2479E2BD"/>
    <w:rsid w:val="247E7156"/>
    <w:rsid w:val="24839719"/>
    <w:rsid w:val="2483DD47"/>
    <w:rsid w:val="24852A18"/>
    <w:rsid w:val="24860194"/>
    <w:rsid w:val="248B43E7"/>
    <w:rsid w:val="248BD78E"/>
    <w:rsid w:val="248C782F"/>
    <w:rsid w:val="248E2F24"/>
    <w:rsid w:val="248F243B"/>
    <w:rsid w:val="249153DF"/>
    <w:rsid w:val="2494EB69"/>
    <w:rsid w:val="24975D64"/>
    <w:rsid w:val="249BF2A3"/>
    <w:rsid w:val="249DC970"/>
    <w:rsid w:val="249E83ED"/>
    <w:rsid w:val="249F28B1"/>
    <w:rsid w:val="249FEBE2"/>
    <w:rsid w:val="24A17522"/>
    <w:rsid w:val="24A2760A"/>
    <w:rsid w:val="24A314D5"/>
    <w:rsid w:val="24A3ADB7"/>
    <w:rsid w:val="24A4DB25"/>
    <w:rsid w:val="24A8778D"/>
    <w:rsid w:val="24AC8F13"/>
    <w:rsid w:val="24ACACA8"/>
    <w:rsid w:val="24B0CE7E"/>
    <w:rsid w:val="24B14329"/>
    <w:rsid w:val="24B386B4"/>
    <w:rsid w:val="24B56FBB"/>
    <w:rsid w:val="24B5CBDC"/>
    <w:rsid w:val="24B7DBCF"/>
    <w:rsid w:val="24BB271B"/>
    <w:rsid w:val="24C2D034"/>
    <w:rsid w:val="24C43DA8"/>
    <w:rsid w:val="24C550E6"/>
    <w:rsid w:val="24C62616"/>
    <w:rsid w:val="24CA2E04"/>
    <w:rsid w:val="24CC41CA"/>
    <w:rsid w:val="24D1EEB9"/>
    <w:rsid w:val="24D2A931"/>
    <w:rsid w:val="24D77C57"/>
    <w:rsid w:val="24E015DC"/>
    <w:rsid w:val="24E15E9B"/>
    <w:rsid w:val="24E21F0A"/>
    <w:rsid w:val="24E4EAA2"/>
    <w:rsid w:val="24E60B5F"/>
    <w:rsid w:val="24E93559"/>
    <w:rsid w:val="24E9DF76"/>
    <w:rsid w:val="24EB5E67"/>
    <w:rsid w:val="24EF855B"/>
    <w:rsid w:val="24F20D99"/>
    <w:rsid w:val="24F27E9E"/>
    <w:rsid w:val="24F5D056"/>
    <w:rsid w:val="24F62142"/>
    <w:rsid w:val="24FB6CE6"/>
    <w:rsid w:val="24FC7A53"/>
    <w:rsid w:val="250112AD"/>
    <w:rsid w:val="2503BF13"/>
    <w:rsid w:val="2503D09B"/>
    <w:rsid w:val="250510CE"/>
    <w:rsid w:val="2506C353"/>
    <w:rsid w:val="250AC4DD"/>
    <w:rsid w:val="250B4BBA"/>
    <w:rsid w:val="250DBDB6"/>
    <w:rsid w:val="251366E5"/>
    <w:rsid w:val="2518984F"/>
    <w:rsid w:val="251A2B70"/>
    <w:rsid w:val="251C2F1F"/>
    <w:rsid w:val="251DD131"/>
    <w:rsid w:val="251FA21E"/>
    <w:rsid w:val="25201538"/>
    <w:rsid w:val="25223E0C"/>
    <w:rsid w:val="25253468"/>
    <w:rsid w:val="252A1335"/>
    <w:rsid w:val="252DC1E6"/>
    <w:rsid w:val="252FB4B9"/>
    <w:rsid w:val="25300BA1"/>
    <w:rsid w:val="2531D7E6"/>
    <w:rsid w:val="253454FA"/>
    <w:rsid w:val="253E0339"/>
    <w:rsid w:val="253E1C26"/>
    <w:rsid w:val="254072D8"/>
    <w:rsid w:val="2542F4AF"/>
    <w:rsid w:val="2544DD74"/>
    <w:rsid w:val="254B8D73"/>
    <w:rsid w:val="2550180D"/>
    <w:rsid w:val="2550FF8F"/>
    <w:rsid w:val="25541CBF"/>
    <w:rsid w:val="255599BE"/>
    <w:rsid w:val="2555FFEF"/>
    <w:rsid w:val="255606E7"/>
    <w:rsid w:val="25563E94"/>
    <w:rsid w:val="2558857C"/>
    <w:rsid w:val="255BC35F"/>
    <w:rsid w:val="255C652D"/>
    <w:rsid w:val="255DFAF4"/>
    <w:rsid w:val="255E3393"/>
    <w:rsid w:val="255EF4AD"/>
    <w:rsid w:val="255FD6EA"/>
    <w:rsid w:val="25645080"/>
    <w:rsid w:val="2565A8D8"/>
    <w:rsid w:val="25679CD8"/>
    <w:rsid w:val="256827BF"/>
    <w:rsid w:val="256B4C79"/>
    <w:rsid w:val="256C3A44"/>
    <w:rsid w:val="257974AE"/>
    <w:rsid w:val="257C8831"/>
    <w:rsid w:val="257F17B2"/>
    <w:rsid w:val="25844BC5"/>
    <w:rsid w:val="25849A63"/>
    <w:rsid w:val="25861B1A"/>
    <w:rsid w:val="258836A5"/>
    <w:rsid w:val="2593FD25"/>
    <w:rsid w:val="25A1719F"/>
    <w:rsid w:val="25A92EBA"/>
    <w:rsid w:val="25B01DF7"/>
    <w:rsid w:val="25B53029"/>
    <w:rsid w:val="25B96497"/>
    <w:rsid w:val="25BBC997"/>
    <w:rsid w:val="25C00D0C"/>
    <w:rsid w:val="25C8E545"/>
    <w:rsid w:val="25CC2C5D"/>
    <w:rsid w:val="25D1BE0B"/>
    <w:rsid w:val="25D2707C"/>
    <w:rsid w:val="25D512D0"/>
    <w:rsid w:val="25D5562B"/>
    <w:rsid w:val="25D56BF6"/>
    <w:rsid w:val="25D7B5AD"/>
    <w:rsid w:val="25DA14A4"/>
    <w:rsid w:val="25DE8911"/>
    <w:rsid w:val="25E18EED"/>
    <w:rsid w:val="25E4D316"/>
    <w:rsid w:val="25E72F75"/>
    <w:rsid w:val="25E7C872"/>
    <w:rsid w:val="25EB7022"/>
    <w:rsid w:val="25F19425"/>
    <w:rsid w:val="25F2152B"/>
    <w:rsid w:val="25FDAA5D"/>
    <w:rsid w:val="2600BF7D"/>
    <w:rsid w:val="26011589"/>
    <w:rsid w:val="26044314"/>
    <w:rsid w:val="2604C4C0"/>
    <w:rsid w:val="2604F353"/>
    <w:rsid w:val="26062D1E"/>
    <w:rsid w:val="260A4E84"/>
    <w:rsid w:val="260E8C9E"/>
    <w:rsid w:val="26101F2F"/>
    <w:rsid w:val="26105FC4"/>
    <w:rsid w:val="2612B7F4"/>
    <w:rsid w:val="261999F9"/>
    <w:rsid w:val="261B1E5D"/>
    <w:rsid w:val="261C45EC"/>
    <w:rsid w:val="261E9E5F"/>
    <w:rsid w:val="262327A0"/>
    <w:rsid w:val="2625DA0D"/>
    <w:rsid w:val="262927A4"/>
    <w:rsid w:val="262C198C"/>
    <w:rsid w:val="262C92EF"/>
    <w:rsid w:val="262EA363"/>
    <w:rsid w:val="262ECBAE"/>
    <w:rsid w:val="263278DE"/>
    <w:rsid w:val="2636090D"/>
    <w:rsid w:val="2638375E"/>
    <w:rsid w:val="26398576"/>
    <w:rsid w:val="263FBE7C"/>
    <w:rsid w:val="26418659"/>
    <w:rsid w:val="2649AA54"/>
    <w:rsid w:val="264E4DA2"/>
    <w:rsid w:val="264E924B"/>
    <w:rsid w:val="26507540"/>
    <w:rsid w:val="26533620"/>
    <w:rsid w:val="265536CF"/>
    <w:rsid w:val="265B1E71"/>
    <w:rsid w:val="265BDF25"/>
    <w:rsid w:val="265D6E4F"/>
    <w:rsid w:val="265EBD1D"/>
    <w:rsid w:val="26610D99"/>
    <w:rsid w:val="26628636"/>
    <w:rsid w:val="2669417C"/>
    <w:rsid w:val="266961F7"/>
    <w:rsid w:val="266A202D"/>
    <w:rsid w:val="266EFC62"/>
    <w:rsid w:val="266F332A"/>
    <w:rsid w:val="266F3939"/>
    <w:rsid w:val="266FD386"/>
    <w:rsid w:val="267092D4"/>
    <w:rsid w:val="2671D3DB"/>
    <w:rsid w:val="2671D855"/>
    <w:rsid w:val="26723C49"/>
    <w:rsid w:val="267401A6"/>
    <w:rsid w:val="267A976A"/>
    <w:rsid w:val="267AFB99"/>
    <w:rsid w:val="267CD273"/>
    <w:rsid w:val="267D3AF7"/>
    <w:rsid w:val="26826A27"/>
    <w:rsid w:val="268731FB"/>
    <w:rsid w:val="26885291"/>
    <w:rsid w:val="268964D0"/>
    <w:rsid w:val="268ABFCC"/>
    <w:rsid w:val="268B2069"/>
    <w:rsid w:val="2691B2F1"/>
    <w:rsid w:val="2692432D"/>
    <w:rsid w:val="269305C4"/>
    <w:rsid w:val="2694821C"/>
    <w:rsid w:val="269A9863"/>
    <w:rsid w:val="269C3A76"/>
    <w:rsid w:val="269D1695"/>
    <w:rsid w:val="269DE53F"/>
    <w:rsid w:val="26A071A4"/>
    <w:rsid w:val="26A072E6"/>
    <w:rsid w:val="26A1FC76"/>
    <w:rsid w:val="26A48218"/>
    <w:rsid w:val="26AE3B13"/>
    <w:rsid w:val="26AEC1C9"/>
    <w:rsid w:val="26AED43D"/>
    <w:rsid w:val="26AFEEF5"/>
    <w:rsid w:val="26B01331"/>
    <w:rsid w:val="26B29400"/>
    <w:rsid w:val="26C1B29D"/>
    <w:rsid w:val="26C328A9"/>
    <w:rsid w:val="26C34D3A"/>
    <w:rsid w:val="26CC90B7"/>
    <w:rsid w:val="26CFB533"/>
    <w:rsid w:val="26D3DB7B"/>
    <w:rsid w:val="26D4956A"/>
    <w:rsid w:val="26D5D449"/>
    <w:rsid w:val="26D7EDD5"/>
    <w:rsid w:val="26D9FC0F"/>
    <w:rsid w:val="26DC7B1B"/>
    <w:rsid w:val="26DDF77F"/>
    <w:rsid w:val="26E6FE64"/>
    <w:rsid w:val="26F372A0"/>
    <w:rsid w:val="26F3AF52"/>
    <w:rsid w:val="26F7F649"/>
    <w:rsid w:val="26FA375B"/>
    <w:rsid w:val="26FA87A6"/>
    <w:rsid w:val="26FCE5B0"/>
    <w:rsid w:val="270048C1"/>
    <w:rsid w:val="27019F3F"/>
    <w:rsid w:val="2702C3AD"/>
    <w:rsid w:val="27035DAA"/>
    <w:rsid w:val="270668B5"/>
    <w:rsid w:val="2707891F"/>
    <w:rsid w:val="270AA573"/>
    <w:rsid w:val="270C7AF4"/>
    <w:rsid w:val="271031D0"/>
    <w:rsid w:val="27107A99"/>
    <w:rsid w:val="27114F62"/>
    <w:rsid w:val="2714CB5B"/>
    <w:rsid w:val="2716D37C"/>
    <w:rsid w:val="2719F3D3"/>
    <w:rsid w:val="271A4F80"/>
    <w:rsid w:val="271F9DE4"/>
    <w:rsid w:val="27207589"/>
    <w:rsid w:val="272183A1"/>
    <w:rsid w:val="2723A7FA"/>
    <w:rsid w:val="2724BC1B"/>
    <w:rsid w:val="2726DA9D"/>
    <w:rsid w:val="27276E63"/>
    <w:rsid w:val="272A8FEA"/>
    <w:rsid w:val="272EAF18"/>
    <w:rsid w:val="2730D4EB"/>
    <w:rsid w:val="2731BAE4"/>
    <w:rsid w:val="27346BD8"/>
    <w:rsid w:val="273B547A"/>
    <w:rsid w:val="2742285A"/>
    <w:rsid w:val="27449856"/>
    <w:rsid w:val="2744BE8C"/>
    <w:rsid w:val="27469E1B"/>
    <w:rsid w:val="2749C53F"/>
    <w:rsid w:val="274CCF36"/>
    <w:rsid w:val="274EC4B6"/>
    <w:rsid w:val="274F3C46"/>
    <w:rsid w:val="274F9AFC"/>
    <w:rsid w:val="2751F419"/>
    <w:rsid w:val="27531C5F"/>
    <w:rsid w:val="27538257"/>
    <w:rsid w:val="27539961"/>
    <w:rsid w:val="275CE9F9"/>
    <w:rsid w:val="275F84C7"/>
    <w:rsid w:val="2762E633"/>
    <w:rsid w:val="2765716A"/>
    <w:rsid w:val="27664C17"/>
    <w:rsid w:val="27685C3E"/>
    <w:rsid w:val="27696FFA"/>
    <w:rsid w:val="27701DAA"/>
    <w:rsid w:val="277057A9"/>
    <w:rsid w:val="27719BF3"/>
    <w:rsid w:val="2775D248"/>
    <w:rsid w:val="27772BC0"/>
    <w:rsid w:val="277A9E00"/>
    <w:rsid w:val="277B8A25"/>
    <w:rsid w:val="277BCCBA"/>
    <w:rsid w:val="2786FEEC"/>
    <w:rsid w:val="2788D273"/>
    <w:rsid w:val="278A96AA"/>
    <w:rsid w:val="278E611C"/>
    <w:rsid w:val="278EDBA7"/>
    <w:rsid w:val="278F85A9"/>
    <w:rsid w:val="27921AB7"/>
    <w:rsid w:val="27961666"/>
    <w:rsid w:val="2796B94E"/>
    <w:rsid w:val="27982A35"/>
    <w:rsid w:val="279F2321"/>
    <w:rsid w:val="27A05F0E"/>
    <w:rsid w:val="27A21D26"/>
    <w:rsid w:val="27A923C5"/>
    <w:rsid w:val="27A9E3F1"/>
    <w:rsid w:val="27ABBB7D"/>
    <w:rsid w:val="27ACD79F"/>
    <w:rsid w:val="27AD873E"/>
    <w:rsid w:val="27AEA85C"/>
    <w:rsid w:val="27AF032B"/>
    <w:rsid w:val="27B0EC07"/>
    <w:rsid w:val="27B55B3D"/>
    <w:rsid w:val="27B65E42"/>
    <w:rsid w:val="27B73F6E"/>
    <w:rsid w:val="27B95F67"/>
    <w:rsid w:val="27BCEC84"/>
    <w:rsid w:val="27BF4E89"/>
    <w:rsid w:val="27C23E7D"/>
    <w:rsid w:val="27C5C552"/>
    <w:rsid w:val="27C6A01D"/>
    <w:rsid w:val="27C75707"/>
    <w:rsid w:val="27C77D2C"/>
    <w:rsid w:val="27C7EC9C"/>
    <w:rsid w:val="27C922DD"/>
    <w:rsid w:val="27CAF06E"/>
    <w:rsid w:val="27CBFB30"/>
    <w:rsid w:val="27D61F56"/>
    <w:rsid w:val="27D9AF2E"/>
    <w:rsid w:val="27DF05A2"/>
    <w:rsid w:val="27E34143"/>
    <w:rsid w:val="27E3A1B8"/>
    <w:rsid w:val="27E8B4F1"/>
    <w:rsid w:val="27EF5887"/>
    <w:rsid w:val="27EFBEBE"/>
    <w:rsid w:val="27F46657"/>
    <w:rsid w:val="27F804CA"/>
    <w:rsid w:val="27F8F07C"/>
    <w:rsid w:val="27F92121"/>
    <w:rsid w:val="27FAB894"/>
    <w:rsid w:val="27FADE02"/>
    <w:rsid w:val="27FC6378"/>
    <w:rsid w:val="27FC8448"/>
    <w:rsid w:val="27FDEC5A"/>
    <w:rsid w:val="27FE1936"/>
    <w:rsid w:val="28001720"/>
    <w:rsid w:val="2800D8D4"/>
    <w:rsid w:val="2805B7FF"/>
    <w:rsid w:val="2808D601"/>
    <w:rsid w:val="28096BA4"/>
    <w:rsid w:val="280FFAD5"/>
    <w:rsid w:val="281522D8"/>
    <w:rsid w:val="281669A3"/>
    <w:rsid w:val="281713DC"/>
    <w:rsid w:val="281781AF"/>
    <w:rsid w:val="281789A1"/>
    <w:rsid w:val="281A8661"/>
    <w:rsid w:val="281EFA4D"/>
    <w:rsid w:val="2824E7F6"/>
    <w:rsid w:val="2825FE29"/>
    <w:rsid w:val="28266DB8"/>
    <w:rsid w:val="2827BA86"/>
    <w:rsid w:val="2828014C"/>
    <w:rsid w:val="2829A141"/>
    <w:rsid w:val="282AA838"/>
    <w:rsid w:val="28307151"/>
    <w:rsid w:val="283397D1"/>
    <w:rsid w:val="2834E6FC"/>
    <w:rsid w:val="28388C47"/>
    <w:rsid w:val="28399512"/>
    <w:rsid w:val="28461FDB"/>
    <w:rsid w:val="284660E4"/>
    <w:rsid w:val="284937A2"/>
    <w:rsid w:val="284A7895"/>
    <w:rsid w:val="284AE44C"/>
    <w:rsid w:val="284B48A1"/>
    <w:rsid w:val="284DCEA7"/>
    <w:rsid w:val="285366B5"/>
    <w:rsid w:val="28546FC4"/>
    <w:rsid w:val="2854C10C"/>
    <w:rsid w:val="2857AA5D"/>
    <w:rsid w:val="2859B9B2"/>
    <w:rsid w:val="285A8E52"/>
    <w:rsid w:val="2866BE03"/>
    <w:rsid w:val="2867D8A6"/>
    <w:rsid w:val="286AC331"/>
    <w:rsid w:val="286C74E5"/>
    <w:rsid w:val="286D8EAB"/>
    <w:rsid w:val="286DB25B"/>
    <w:rsid w:val="28700F08"/>
    <w:rsid w:val="2870D180"/>
    <w:rsid w:val="2875CFFC"/>
    <w:rsid w:val="287607B6"/>
    <w:rsid w:val="28770E87"/>
    <w:rsid w:val="287AF3E7"/>
    <w:rsid w:val="287C4043"/>
    <w:rsid w:val="287D6EF6"/>
    <w:rsid w:val="288075E2"/>
    <w:rsid w:val="2880B242"/>
    <w:rsid w:val="2880CC26"/>
    <w:rsid w:val="288253F9"/>
    <w:rsid w:val="2882C075"/>
    <w:rsid w:val="2884A892"/>
    <w:rsid w:val="28851361"/>
    <w:rsid w:val="28884898"/>
    <w:rsid w:val="2888ABB0"/>
    <w:rsid w:val="288A4CCB"/>
    <w:rsid w:val="288A8D17"/>
    <w:rsid w:val="288E748A"/>
    <w:rsid w:val="289320C1"/>
    <w:rsid w:val="2893413A"/>
    <w:rsid w:val="2896CDF6"/>
    <w:rsid w:val="28990040"/>
    <w:rsid w:val="2899DFD2"/>
    <w:rsid w:val="289AE307"/>
    <w:rsid w:val="289E110F"/>
    <w:rsid w:val="28A2583A"/>
    <w:rsid w:val="28A4AFD3"/>
    <w:rsid w:val="28A5896C"/>
    <w:rsid w:val="28A5F030"/>
    <w:rsid w:val="28A781EE"/>
    <w:rsid w:val="28A88FF8"/>
    <w:rsid w:val="28A9BC01"/>
    <w:rsid w:val="28AB2155"/>
    <w:rsid w:val="28AC8B0C"/>
    <w:rsid w:val="28AEB946"/>
    <w:rsid w:val="28B1E5A4"/>
    <w:rsid w:val="28B3DC78"/>
    <w:rsid w:val="28B4109B"/>
    <w:rsid w:val="28B68075"/>
    <w:rsid w:val="28B73FB4"/>
    <w:rsid w:val="28B765CE"/>
    <w:rsid w:val="28B840B3"/>
    <w:rsid w:val="28B9D87F"/>
    <w:rsid w:val="28BB8CAF"/>
    <w:rsid w:val="28BB92F0"/>
    <w:rsid w:val="28BF3E70"/>
    <w:rsid w:val="28C11894"/>
    <w:rsid w:val="28C1892B"/>
    <w:rsid w:val="28C1A425"/>
    <w:rsid w:val="28C21AE4"/>
    <w:rsid w:val="28C2987B"/>
    <w:rsid w:val="28C2D5C3"/>
    <w:rsid w:val="28CF06E9"/>
    <w:rsid w:val="28D4183A"/>
    <w:rsid w:val="28D6DB29"/>
    <w:rsid w:val="28D7B3D2"/>
    <w:rsid w:val="28DDD8C7"/>
    <w:rsid w:val="28DE0816"/>
    <w:rsid w:val="28DE8434"/>
    <w:rsid w:val="28E28FCC"/>
    <w:rsid w:val="28E39762"/>
    <w:rsid w:val="28E44C4A"/>
    <w:rsid w:val="28E50B15"/>
    <w:rsid w:val="28E5B628"/>
    <w:rsid w:val="28E6BA18"/>
    <w:rsid w:val="28E94A15"/>
    <w:rsid w:val="28EC1D4D"/>
    <w:rsid w:val="28EE2465"/>
    <w:rsid w:val="28F1B57F"/>
    <w:rsid w:val="28F3C818"/>
    <w:rsid w:val="28F6710F"/>
    <w:rsid w:val="28FA59E9"/>
    <w:rsid w:val="28FDC7DA"/>
    <w:rsid w:val="29009993"/>
    <w:rsid w:val="29069F0B"/>
    <w:rsid w:val="2907C841"/>
    <w:rsid w:val="29090640"/>
    <w:rsid w:val="2912C9C0"/>
    <w:rsid w:val="291537BF"/>
    <w:rsid w:val="29181532"/>
    <w:rsid w:val="291B71AD"/>
    <w:rsid w:val="291E4339"/>
    <w:rsid w:val="291E9C1F"/>
    <w:rsid w:val="2921D91C"/>
    <w:rsid w:val="29246D1D"/>
    <w:rsid w:val="2924CEA2"/>
    <w:rsid w:val="29254CDC"/>
    <w:rsid w:val="29272B1E"/>
    <w:rsid w:val="2927E042"/>
    <w:rsid w:val="292D5565"/>
    <w:rsid w:val="292EA775"/>
    <w:rsid w:val="2931ECFC"/>
    <w:rsid w:val="29325F3D"/>
    <w:rsid w:val="2932A4A8"/>
    <w:rsid w:val="29343DE5"/>
    <w:rsid w:val="29358776"/>
    <w:rsid w:val="294376C4"/>
    <w:rsid w:val="2943B236"/>
    <w:rsid w:val="29467AAC"/>
    <w:rsid w:val="29473943"/>
    <w:rsid w:val="2947E51E"/>
    <w:rsid w:val="294A39F6"/>
    <w:rsid w:val="2950FEF8"/>
    <w:rsid w:val="29531C4B"/>
    <w:rsid w:val="29549438"/>
    <w:rsid w:val="295691B3"/>
    <w:rsid w:val="295A6FE5"/>
    <w:rsid w:val="295D05DB"/>
    <w:rsid w:val="2960DCB9"/>
    <w:rsid w:val="2965B480"/>
    <w:rsid w:val="29695EFB"/>
    <w:rsid w:val="296A1775"/>
    <w:rsid w:val="296A7620"/>
    <w:rsid w:val="296C13AC"/>
    <w:rsid w:val="296C81E7"/>
    <w:rsid w:val="296D24E2"/>
    <w:rsid w:val="296F379F"/>
    <w:rsid w:val="296F593A"/>
    <w:rsid w:val="297700E8"/>
    <w:rsid w:val="2978243E"/>
    <w:rsid w:val="29799DF9"/>
    <w:rsid w:val="2979DEFC"/>
    <w:rsid w:val="297B93BA"/>
    <w:rsid w:val="297D1A1C"/>
    <w:rsid w:val="297E0DE6"/>
    <w:rsid w:val="2980268A"/>
    <w:rsid w:val="2981DB41"/>
    <w:rsid w:val="29830A7C"/>
    <w:rsid w:val="29831CD3"/>
    <w:rsid w:val="2985C697"/>
    <w:rsid w:val="298747A5"/>
    <w:rsid w:val="298C363F"/>
    <w:rsid w:val="298C6B4E"/>
    <w:rsid w:val="298D44DE"/>
    <w:rsid w:val="299071DB"/>
    <w:rsid w:val="2991616D"/>
    <w:rsid w:val="299B9ADC"/>
    <w:rsid w:val="299DE042"/>
    <w:rsid w:val="299E0043"/>
    <w:rsid w:val="29A08136"/>
    <w:rsid w:val="29A302F3"/>
    <w:rsid w:val="29A4B6BC"/>
    <w:rsid w:val="29A9FCC7"/>
    <w:rsid w:val="29B1B850"/>
    <w:rsid w:val="29B283B9"/>
    <w:rsid w:val="29B7A593"/>
    <w:rsid w:val="29B8149B"/>
    <w:rsid w:val="29BA0CAC"/>
    <w:rsid w:val="29C0711D"/>
    <w:rsid w:val="29C246B8"/>
    <w:rsid w:val="29C4443B"/>
    <w:rsid w:val="29C4624E"/>
    <w:rsid w:val="29C5347D"/>
    <w:rsid w:val="29C61E8F"/>
    <w:rsid w:val="29C8D5F6"/>
    <w:rsid w:val="29CD10A1"/>
    <w:rsid w:val="29D897A3"/>
    <w:rsid w:val="29D8A5E3"/>
    <w:rsid w:val="29DB2883"/>
    <w:rsid w:val="29E1F67A"/>
    <w:rsid w:val="29E49BB0"/>
    <w:rsid w:val="29E8773B"/>
    <w:rsid w:val="29E8BB79"/>
    <w:rsid w:val="29EA9E4D"/>
    <w:rsid w:val="29EBF45B"/>
    <w:rsid w:val="29EF6A31"/>
    <w:rsid w:val="29F112EB"/>
    <w:rsid w:val="29F20BF8"/>
    <w:rsid w:val="29F2D734"/>
    <w:rsid w:val="29F7FEFE"/>
    <w:rsid w:val="29F91498"/>
    <w:rsid w:val="29FAA54A"/>
    <w:rsid w:val="2A013540"/>
    <w:rsid w:val="2A0360FD"/>
    <w:rsid w:val="2A087902"/>
    <w:rsid w:val="2A087CE1"/>
    <w:rsid w:val="2A0AB0BD"/>
    <w:rsid w:val="2A1490B0"/>
    <w:rsid w:val="2A1980BE"/>
    <w:rsid w:val="2A1CD399"/>
    <w:rsid w:val="2A24B35E"/>
    <w:rsid w:val="2A255CC3"/>
    <w:rsid w:val="2A25725F"/>
    <w:rsid w:val="2A27E37F"/>
    <w:rsid w:val="2A2A62C9"/>
    <w:rsid w:val="2A2CE25F"/>
    <w:rsid w:val="2A2D326F"/>
    <w:rsid w:val="2A319E52"/>
    <w:rsid w:val="2A31FFF1"/>
    <w:rsid w:val="2A327AA5"/>
    <w:rsid w:val="2A32C14B"/>
    <w:rsid w:val="2A332862"/>
    <w:rsid w:val="2A34AD1C"/>
    <w:rsid w:val="2A36681E"/>
    <w:rsid w:val="2A368673"/>
    <w:rsid w:val="2A3702E7"/>
    <w:rsid w:val="2A37D215"/>
    <w:rsid w:val="2A3B1549"/>
    <w:rsid w:val="2A3C0D3A"/>
    <w:rsid w:val="2A3E180D"/>
    <w:rsid w:val="2A3F772E"/>
    <w:rsid w:val="2A403F5A"/>
    <w:rsid w:val="2A458970"/>
    <w:rsid w:val="2A477447"/>
    <w:rsid w:val="2A4A9F12"/>
    <w:rsid w:val="2A4AA864"/>
    <w:rsid w:val="2A4D9CA7"/>
    <w:rsid w:val="2A500E7B"/>
    <w:rsid w:val="2A522D96"/>
    <w:rsid w:val="2A529516"/>
    <w:rsid w:val="2A57D8FA"/>
    <w:rsid w:val="2A591639"/>
    <w:rsid w:val="2A59FBE6"/>
    <w:rsid w:val="2A5C28F7"/>
    <w:rsid w:val="2A5D6B85"/>
    <w:rsid w:val="2A6064BF"/>
    <w:rsid w:val="2A649307"/>
    <w:rsid w:val="2A6888A1"/>
    <w:rsid w:val="2A6A53DB"/>
    <w:rsid w:val="2A6F9DFE"/>
    <w:rsid w:val="2A6FF1E5"/>
    <w:rsid w:val="2A70449E"/>
    <w:rsid w:val="2A71F9E3"/>
    <w:rsid w:val="2A737E50"/>
    <w:rsid w:val="2A7A1271"/>
    <w:rsid w:val="2A7D54E3"/>
    <w:rsid w:val="2A7DF3A9"/>
    <w:rsid w:val="2A7EB322"/>
    <w:rsid w:val="2A7EE750"/>
    <w:rsid w:val="2A8721F8"/>
    <w:rsid w:val="2A87489D"/>
    <w:rsid w:val="2A87A549"/>
    <w:rsid w:val="2A8867F1"/>
    <w:rsid w:val="2A8ADB8C"/>
    <w:rsid w:val="2A8AF841"/>
    <w:rsid w:val="2A8DD35A"/>
    <w:rsid w:val="2A8FB8D2"/>
    <w:rsid w:val="2A8FD79A"/>
    <w:rsid w:val="2A909E95"/>
    <w:rsid w:val="2A90A3EE"/>
    <w:rsid w:val="2A9401F3"/>
    <w:rsid w:val="2A94F8DB"/>
    <w:rsid w:val="2A9A4E43"/>
    <w:rsid w:val="2A9AC64A"/>
    <w:rsid w:val="2A9C11F2"/>
    <w:rsid w:val="2A9E0001"/>
    <w:rsid w:val="2A9F5E2C"/>
    <w:rsid w:val="2AA18E48"/>
    <w:rsid w:val="2AA2C77D"/>
    <w:rsid w:val="2AAA3B72"/>
    <w:rsid w:val="2AAAA89E"/>
    <w:rsid w:val="2AB063B9"/>
    <w:rsid w:val="2AB1525F"/>
    <w:rsid w:val="2AB49F28"/>
    <w:rsid w:val="2AB5B591"/>
    <w:rsid w:val="2ABC9C46"/>
    <w:rsid w:val="2ABD7F98"/>
    <w:rsid w:val="2ABE73F6"/>
    <w:rsid w:val="2ABEE231"/>
    <w:rsid w:val="2AC011E2"/>
    <w:rsid w:val="2AC1744B"/>
    <w:rsid w:val="2AC44E96"/>
    <w:rsid w:val="2AC464E3"/>
    <w:rsid w:val="2ACD1689"/>
    <w:rsid w:val="2ACDAE28"/>
    <w:rsid w:val="2ACE1B66"/>
    <w:rsid w:val="2ACF5F8F"/>
    <w:rsid w:val="2ACF8994"/>
    <w:rsid w:val="2AD2E2B0"/>
    <w:rsid w:val="2AD37DBD"/>
    <w:rsid w:val="2AD38924"/>
    <w:rsid w:val="2AD435A1"/>
    <w:rsid w:val="2AD8D305"/>
    <w:rsid w:val="2ADA3648"/>
    <w:rsid w:val="2ADF60FE"/>
    <w:rsid w:val="2AE0468F"/>
    <w:rsid w:val="2AE18D09"/>
    <w:rsid w:val="2AEC17FE"/>
    <w:rsid w:val="2AECE594"/>
    <w:rsid w:val="2AED8740"/>
    <w:rsid w:val="2AF51782"/>
    <w:rsid w:val="2AF68C17"/>
    <w:rsid w:val="2AF72250"/>
    <w:rsid w:val="2AFE6EB9"/>
    <w:rsid w:val="2B02612A"/>
    <w:rsid w:val="2B04FC5F"/>
    <w:rsid w:val="2B052400"/>
    <w:rsid w:val="2B0542E8"/>
    <w:rsid w:val="2B062883"/>
    <w:rsid w:val="2B08351C"/>
    <w:rsid w:val="2B0913CF"/>
    <w:rsid w:val="2B0AC3B8"/>
    <w:rsid w:val="2B0B3B1D"/>
    <w:rsid w:val="2B0B8AE1"/>
    <w:rsid w:val="2B0F812B"/>
    <w:rsid w:val="2B156CA2"/>
    <w:rsid w:val="2B1899AA"/>
    <w:rsid w:val="2B18D23C"/>
    <w:rsid w:val="2B1F2D40"/>
    <w:rsid w:val="2B203A1E"/>
    <w:rsid w:val="2B2089B1"/>
    <w:rsid w:val="2B2091DF"/>
    <w:rsid w:val="2B215F1F"/>
    <w:rsid w:val="2B234F9E"/>
    <w:rsid w:val="2B24B51C"/>
    <w:rsid w:val="2B28EA26"/>
    <w:rsid w:val="2B29BC37"/>
    <w:rsid w:val="2B2D1EA4"/>
    <w:rsid w:val="2B2E6D1D"/>
    <w:rsid w:val="2B336B61"/>
    <w:rsid w:val="2B33C3B6"/>
    <w:rsid w:val="2B36D52C"/>
    <w:rsid w:val="2B3C88E9"/>
    <w:rsid w:val="2B3D22E9"/>
    <w:rsid w:val="2B40CA9E"/>
    <w:rsid w:val="2B40E2C0"/>
    <w:rsid w:val="2B439B9A"/>
    <w:rsid w:val="2B43A91F"/>
    <w:rsid w:val="2B4519A2"/>
    <w:rsid w:val="2B4D6383"/>
    <w:rsid w:val="2B504932"/>
    <w:rsid w:val="2B53E76D"/>
    <w:rsid w:val="2B546DDB"/>
    <w:rsid w:val="2B5A46F1"/>
    <w:rsid w:val="2B5D2DA0"/>
    <w:rsid w:val="2B5D47ED"/>
    <w:rsid w:val="2B680E53"/>
    <w:rsid w:val="2B681F0B"/>
    <w:rsid w:val="2B6D98F0"/>
    <w:rsid w:val="2B739E3B"/>
    <w:rsid w:val="2B7512D3"/>
    <w:rsid w:val="2B79956E"/>
    <w:rsid w:val="2B79EFFD"/>
    <w:rsid w:val="2B7ACC42"/>
    <w:rsid w:val="2B7ACE2F"/>
    <w:rsid w:val="2B7BDF74"/>
    <w:rsid w:val="2B7FF519"/>
    <w:rsid w:val="2B801F08"/>
    <w:rsid w:val="2B821613"/>
    <w:rsid w:val="2B848DB4"/>
    <w:rsid w:val="2B855092"/>
    <w:rsid w:val="2B8679C7"/>
    <w:rsid w:val="2B87AF76"/>
    <w:rsid w:val="2B887279"/>
    <w:rsid w:val="2B88E864"/>
    <w:rsid w:val="2B8A88B7"/>
    <w:rsid w:val="2B8D2348"/>
    <w:rsid w:val="2B8EDB09"/>
    <w:rsid w:val="2B8F5BC9"/>
    <w:rsid w:val="2B9104D9"/>
    <w:rsid w:val="2B9306C8"/>
    <w:rsid w:val="2B931897"/>
    <w:rsid w:val="2B94F6FF"/>
    <w:rsid w:val="2B959E46"/>
    <w:rsid w:val="2B9794B1"/>
    <w:rsid w:val="2B9C1BB8"/>
    <w:rsid w:val="2B9CC4C1"/>
    <w:rsid w:val="2BA008FA"/>
    <w:rsid w:val="2BA15FEE"/>
    <w:rsid w:val="2BA16995"/>
    <w:rsid w:val="2BA1DACC"/>
    <w:rsid w:val="2BA2A5C2"/>
    <w:rsid w:val="2BA33DCA"/>
    <w:rsid w:val="2BA66895"/>
    <w:rsid w:val="2BAB2D7A"/>
    <w:rsid w:val="2BAC34D8"/>
    <w:rsid w:val="2BADDE67"/>
    <w:rsid w:val="2BB812D3"/>
    <w:rsid w:val="2BB95DE0"/>
    <w:rsid w:val="2BBBD898"/>
    <w:rsid w:val="2BBE185D"/>
    <w:rsid w:val="2BC38A0D"/>
    <w:rsid w:val="2BC462F3"/>
    <w:rsid w:val="2BC90DEA"/>
    <w:rsid w:val="2BCE6D54"/>
    <w:rsid w:val="2BCEA6D5"/>
    <w:rsid w:val="2BD343C8"/>
    <w:rsid w:val="2BD5AA38"/>
    <w:rsid w:val="2BD7580A"/>
    <w:rsid w:val="2BD838A1"/>
    <w:rsid w:val="2BDAB783"/>
    <w:rsid w:val="2BDCD744"/>
    <w:rsid w:val="2BDFB1C0"/>
    <w:rsid w:val="2BE24A8A"/>
    <w:rsid w:val="2BE8724D"/>
    <w:rsid w:val="2BF26C48"/>
    <w:rsid w:val="2BF2A5C9"/>
    <w:rsid w:val="2BF30D5D"/>
    <w:rsid w:val="2BF75544"/>
    <w:rsid w:val="2BF7AB96"/>
    <w:rsid w:val="2BFA3A37"/>
    <w:rsid w:val="2BFB89F0"/>
    <w:rsid w:val="2BFD81C2"/>
    <w:rsid w:val="2BFE5C65"/>
    <w:rsid w:val="2BFEB5DE"/>
    <w:rsid w:val="2C022547"/>
    <w:rsid w:val="2C0358F1"/>
    <w:rsid w:val="2C07A50E"/>
    <w:rsid w:val="2C0B7F23"/>
    <w:rsid w:val="2C1367F1"/>
    <w:rsid w:val="2C1462B6"/>
    <w:rsid w:val="2C17F363"/>
    <w:rsid w:val="2C183D16"/>
    <w:rsid w:val="2C1D6555"/>
    <w:rsid w:val="2C1F44C7"/>
    <w:rsid w:val="2C207CD2"/>
    <w:rsid w:val="2C215669"/>
    <w:rsid w:val="2C21CC51"/>
    <w:rsid w:val="2C2BC333"/>
    <w:rsid w:val="2C2F13ED"/>
    <w:rsid w:val="2C3097D6"/>
    <w:rsid w:val="2C3105D0"/>
    <w:rsid w:val="2C310C6E"/>
    <w:rsid w:val="2C31543F"/>
    <w:rsid w:val="2C32F29D"/>
    <w:rsid w:val="2C358AB3"/>
    <w:rsid w:val="2C3C17C8"/>
    <w:rsid w:val="2C3D440C"/>
    <w:rsid w:val="2C3E1018"/>
    <w:rsid w:val="2C41120B"/>
    <w:rsid w:val="2C411A32"/>
    <w:rsid w:val="2C41B90C"/>
    <w:rsid w:val="2C442966"/>
    <w:rsid w:val="2C469517"/>
    <w:rsid w:val="2C4B8622"/>
    <w:rsid w:val="2C4BFD31"/>
    <w:rsid w:val="2C5038C0"/>
    <w:rsid w:val="2C5A9617"/>
    <w:rsid w:val="2C5B1548"/>
    <w:rsid w:val="2C5D76BD"/>
    <w:rsid w:val="2C5DB579"/>
    <w:rsid w:val="2C5F7004"/>
    <w:rsid w:val="2C606D65"/>
    <w:rsid w:val="2C61C223"/>
    <w:rsid w:val="2C622E90"/>
    <w:rsid w:val="2C6357EF"/>
    <w:rsid w:val="2C66BE48"/>
    <w:rsid w:val="2C67D56D"/>
    <w:rsid w:val="2C69E77D"/>
    <w:rsid w:val="2C722C24"/>
    <w:rsid w:val="2C7260C4"/>
    <w:rsid w:val="2C764D70"/>
    <w:rsid w:val="2C7A02FD"/>
    <w:rsid w:val="2C7A5F7B"/>
    <w:rsid w:val="2C81805B"/>
    <w:rsid w:val="2C82A741"/>
    <w:rsid w:val="2C8312DF"/>
    <w:rsid w:val="2C86E97C"/>
    <w:rsid w:val="2C87889B"/>
    <w:rsid w:val="2C8AAD85"/>
    <w:rsid w:val="2C8CD4D7"/>
    <w:rsid w:val="2C8D93A5"/>
    <w:rsid w:val="2C8E1929"/>
    <w:rsid w:val="2C94F633"/>
    <w:rsid w:val="2C9650CD"/>
    <w:rsid w:val="2C999DC4"/>
    <w:rsid w:val="2C9AAA01"/>
    <w:rsid w:val="2C9CFE47"/>
    <w:rsid w:val="2CA02504"/>
    <w:rsid w:val="2CA3A80E"/>
    <w:rsid w:val="2CA5374C"/>
    <w:rsid w:val="2CA808EF"/>
    <w:rsid w:val="2CA9B37E"/>
    <w:rsid w:val="2CAA3140"/>
    <w:rsid w:val="2CAACF5B"/>
    <w:rsid w:val="2CABD5E6"/>
    <w:rsid w:val="2CAD6008"/>
    <w:rsid w:val="2CB4AE71"/>
    <w:rsid w:val="2CBAB64A"/>
    <w:rsid w:val="2CBB2D91"/>
    <w:rsid w:val="2CBE57EE"/>
    <w:rsid w:val="2CBFBE2D"/>
    <w:rsid w:val="2CC1BCB2"/>
    <w:rsid w:val="2CCA673C"/>
    <w:rsid w:val="2CCB0BE4"/>
    <w:rsid w:val="2CCE234C"/>
    <w:rsid w:val="2CCF878E"/>
    <w:rsid w:val="2CD272F4"/>
    <w:rsid w:val="2CD391B4"/>
    <w:rsid w:val="2CD3B389"/>
    <w:rsid w:val="2CD44F7A"/>
    <w:rsid w:val="2CD8B94B"/>
    <w:rsid w:val="2CD93459"/>
    <w:rsid w:val="2CD9B529"/>
    <w:rsid w:val="2CDA2A59"/>
    <w:rsid w:val="2CDAE345"/>
    <w:rsid w:val="2CDE26BE"/>
    <w:rsid w:val="2CDE2FB8"/>
    <w:rsid w:val="2CE37C71"/>
    <w:rsid w:val="2CE3B270"/>
    <w:rsid w:val="2CEA1AF8"/>
    <w:rsid w:val="2CEB37DD"/>
    <w:rsid w:val="2CF02C08"/>
    <w:rsid w:val="2CF04A1E"/>
    <w:rsid w:val="2CF0B0D6"/>
    <w:rsid w:val="2CF2F77E"/>
    <w:rsid w:val="2CF6A8FC"/>
    <w:rsid w:val="2CF8F8F0"/>
    <w:rsid w:val="2CFA4E84"/>
    <w:rsid w:val="2CFAA66D"/>
    <w:rsid w:val="2CFC17C0"/>
    <w:rsid w:val="2CFC4AB4"/>
    <w:rsid w:val="2CFF32D7"/>
    <w:rsid w:val="2CFFD960"/>
    <w:rsid w:val="2D012C13"/>
    <w:rsid w:val="2D03CCA0"/>
    <w:rsid w:val="2D05907C"/>
    <w:rsid w:val="2D05CF02"/>
    <w:rsid w:val="2D06DDA8"/>
    <w:rsid w:val="2D088877"/>
    <w:rsid w:val="2D08E7E8"/>
    <w:rsid w:val="2D0AB8AB"/>
    <w:rsid w:val="2D0B06D1"/>
    <w:rsid w:val="2D0B9319"/>
    <w:rsid w:val="2D0C294F"/>
    <w:rsid w:val="2D0C2C09"/>
    <w:rsid w:val="2D0C4F30"/>
    <w:rsid w:val="2D0F2680"/>
    <w:rsid w:val="2D10A213"/>
    <w:rsid w:val="2D116DB6"/>
    <w:rsid w:val="2D130016"/>
    <w:rsid w:val="2D15E312"/>
    <w:rsid w:val="2D17DF92"/>
    <w:rsid w:val="2D1BCE6C"/>
    <w:rsid w:val="2D1CB7A0"/>
    <w:rsid w:val="2D24CEDD"/>
    <w:rsid w:val="2D281BE1"/>
    <w:rsid w:val="2D2C46B6"/>
    <w:rsid w:val="2D2C77EA"/>
    <w:rsid w:val="2D2C7E9D"/>
    <w:rsid w:val="2D2F10CC"/>
    <w:rsid w:val="2D33A915"/>
    <w:rsid w:val="2D35E3A0"/>
    <w:rsid w:val="2D399C27"/>
    <w:rsid w:val="2D427F3C"/>
    <w:rsid w:val="2D43CE8C"/>
    <w:rsid w:val="2D4EE38E"/>
    <w:rsid w:val="2D4F1EDF"/>
    <w:rsid w:val="2D50E58B"/>
    <w:rsid w:val="2D51F8BF"/>
    <w:rsid w:val="2D5342CA"/>
    <w:rsid w:val="2D53D7AC"/>
    <w:rsid w:val="2D5C7A0B"/>
    <w:rsid w:val="2D5EC8A4"/>
    <w:rsid w:val="2D5F8552"/>
    <w:rsid w:val="2D618970"/>
    <w:rsid w:val="2D65762B"/>
    <w:rsid w:val="2D68CEC0"/>
    <w:rsid w:val="2D6B0033"/>
    <w:rsid w:val="2D6F0ADA"/>
    <w:rsid w:val="2D702C88"/>
    <w:rsid w:val="2D7273CD"/>
    <w:rsid w:val="2D750078"/>
    <w:rsid w:val="2D789478"/>
    <w:rsid w:val="2D792D35"/>
    <w:rsid w:val="2D7AC87B"/>
    <w:rsid w:val="2D7CE73D"/>
    <w:rsid w:val="2D7DA8CE"/>
    <w:rsid w:val="2D81F635"/>
    <w:rsid w:val="2D82EE45"/>
    <w:rsid w:val="2D871357"/>
    <w:rsid w:val="2D88AF8F"/>
    <w:rsid w:val="2D8E2D61"/>
    <w:rsid w:val="2D9079CB"/>
    <w:rsid w:val="2D924015"/>
    <w:rsid w:val="2D926FAA"/>
    <w:rsid w:val="2D94C69F"/>
    <w:rsid w:val="2D95CBEF"/>
    <w:rsid w:val="2D9745F5"/>
    <w:rsid w:val="2D980738"/>
    <w:rsid w:val="2D988227"/>
    <w:rsid w:val="2D9D292A"/>
    <w:rsid w:val="2DA219C8"/>
    <w:rsid w:val="2DA2B960"/>
    <w:rsid w:val="2DA5FFDA"/>
    <w:rsid w:val="2DA8DF16"/>
    <w:rsid w:val="2DAA4520"/>
    <w:rsid w:val="2DAEF020"/>
    <w:rsid w:val="2DAF9E3C"/>
    <w:rsid w:val="2DAFA2A8"/>
    <w:rsid w:val="2DB1E26C"/>
    <w:rsid w:val="2DB25A62"/>
    <w:rsid w:val="2DB30A88"/>
    <w:rsid w:val="2DB67CBD"/>
    <w:rsid w:val="2DB9D4CD"/>
    <w:rsid w:val="2DBE9D9C"/>
    <w:rsid w:val="2DC1778C"/>
    <w:rsid w:val="2DC88668"/>
    <w:rsid w:val="2DCC967E"/>
    <w:rsid w:val="2DCE00AC"/>
    <w:rsid w:val="2DD2A7B5"/>
    <w:rsid w:val="2DDB5E51"/>
    <w:rsid w:val="2DDBB152"/>
    <w:rsid w:val="2DDE03BB"/>
    <w:rsid w:val="2DE03758"/>
    <w:rsid w:val="2DE21A83"/>
    <w:rsid w:val="2DE90777"/>
    <w:rsid w:val="2DEC3E17"/>
    <w:rsid w:val="2DECF108"/>
    <w:rsid w:val="2DF5BE22"/>
    <w:rsid w:val="2DF6BAC1"/>
    <w:rsid w:val="2DF7E7E1"/>
    <w:rsid w:val="2DF7FBD7"/>
    <w:rsid w:val="2DFB80BD"/>
    <w:rsid w:val="2DFF2058"/>
    <w:rsid w:val="2DFF4FB6"/>
    <w:rsid w:val="2E035702"/>
    <w:rsid w:val="2E036AD7"/>
    <w:rsid w:val="2E0658D9"/>
    <w:rsid w:val="2E0A81F5"/>
    <w:rsid w:val="2E0AB4E1"/>
    <w:rsid w:val="2E0FE1E2"/>
    <w:rsid w:val="2E123FA8"/>
    <w:rsid w:val="2E13CA4A"/>
    <w:rsid w:val="2E176492"/>
    <w:rsid w:val="2E192619"/>
    <w:rsid w:val="2E192C24"/>
    <w:rsid w:val="2E1A3F30"/>
    <w:rsid w:val="2E1AAB37"/>
    <w:rsid w:val="2E1B6DD7"/>
    <w:rsid w:val="2E1E71DF"/>
    <w:rsid w:val="2E207BB7"/>
    <w:rsid w:val="2E21E03F"/>
    <w:rsid w:val="2E22194B"/>
    <w:rsid w:val="2E233D96"/>
    <w:rsid w:val="2E262CB4"/>
    <w:rsid w:val="2E26F8D2"/>
    <w:rsid w:val="2E293621"/>
    <w:rsid w:val="2E29388D"/>
    <w:rsid w:val="2E2D2625"/>
    <w:rsid w:val="2E2ED4A6"/>
    <w:rsid w:val="2E313891"/>
    <w:rsid w:val="2E3A52BD"/>
    <w:rsid w:val="2E3EF026"/>
    <w:rsid w:val="2E403026"/>
    <w:rsid w:val="2E41ABFB"/>
    <w:rsid w:val="2E4302FA"/>
    <w:rsid w:val="2E45519A"/>
    <w:rsid w:val="2E45F129"/>
    <w:rsid w:val="2E46C7CD"/>
    <w:rsid w:val="2E491DF8"/>
    <w:rsid w:val="2E4932DB"/>
    <w:rsid w:val="2E53E926"/>
    <w:rsid w:val="2E582F48"/>
    <w:rsid w:val="2E5A4072"/>
    <w:rsid w:val="2E5BDBA3"/>
    <w:rsid w:val="2E5E5015"/>
    <w:rsid w:val="2E60A779"/>
    <w:rsid w:val="2E60ED6B"/>
    <w:rsid w:val="2E630CD7"/>
    <w:rsid w:val="2E672B29"/>
    <w:rsid w:val="2E69E980"/>
    <w:rsid w:val="2E6AE59D"/>
    <w:rsid w:val="2E6DBB7A"/>
    <w:rsid w:val="2E77F8C5"/>
    <w:rsid w:val="2E79F562"/>
    <w:rsid w:val="2E7AAEBF"/>
    <w:rsid w:val="2E7C9A73"/>
    <w:rsid w:val="2E7D6287"/>
    <w:rsid w:val="2E8173A1"/>
    <w:rsid w:val="2E81FAC7"/>
    <w:rsid w:val="2E821BA8"/>
    <w:rsid w:val="2E834F44"/>
    <w:rsid w:val="2E839933"/>
    <w:rsid w:val="2E854E77"/>
    <w:rsid w:val="2E85523B"/>
    <w:rsid w:val="2E8F3899"/>
    <w:rsid w:val="2E90566B"/>
    <w:rsid w:val="2E948CFB"/>
    <w:rsid w:val="2E985938"/>
    <w:rsid w:val="2E9C28A4"/>
    <w:rsid w:val="2EA28753"/>
    <w:rsid w:val="2EA2AF14"/>
    <w:rsid w:val="2EA562F2"/>
    <w:rsid w:val="2EA790BA"/>
    <w:rsid w:val="2EA7A919"/>
    <w:rsid w:val="2EA95E72"/>
    <w:rsid w:val="2EAAF7DC"/>
    <w:rsid w:val="2EAB985B"/>
    <w:rsid w:val="2EAEF123"/>
    <w:rsid w:val="2EAF440D"/>
    <w:rsid w:val="2EB09F5B"/>
    <w:rsid w:val="2EB383BB"/>
    <w:rsid w:val="2EB3C8B2"/>
    <w:rsid w:val="2EB3CA33"/>
    <w:rsid w:val="2EB4706C"/>
    <w:rsid w:val="2EB4C1D6"/>
    <w:rsid w:val="2EB55317"/>
    <w:rsid w:val="2EB69854"/>
    <w:rsid w:val="2EBAC731"/>
    <w:rsid w:val="2EC0F895"/>
    <w:rsid w:val="2EC18EFD"/>
    <w:rsid w:val="2EC6AA1E"/>
    <w:rsid w:val="2EC7D99A"/>
    <w:rsid w:val="2EC946CC"/>
    <w:rsid w:val="2ECB64A1"/>
    <w:rsid w:val="2ECF7A74"/>
    <w:rsid w:val="2ED01806"/>
    <w:rsid w:val="2ED0612D"/>
    <w:rsid w:val="2ED143BC"/>
    <w:rsid w:val="2ED1F69C"/>
    <w:rsid w:val="2ED4B4EE"/>
    <w:rsid w:val="2ED4C35E"/>
    <w:rsid w:val="2ED5DB35"/>
    <w:rsid w:val="2ED73B58"/>
    <w:rsid w:val="2EDC8506"/>
    <w:rsid w:val="2EDE9862"/>
    <w:rsid w:val="2EE1992E"/>
    <w:rsid w:val="2EE53598"/>
    <w:rsid w:val="2EE640F0"/>
    <w:rsid w:val="2EE8A8EB"/>
    <w:rsid w:val="2EE8E630"/>
    <w:rsid w:val="2EEA37CD"/>
    <w:rsid w:val="2EEFA437"/>
    <w:rsid w:val="2EF6D394"/>
    <w:rsid w:val="2EF734D8"/>
    <w:rsid w:val="2EFBA036"/>
    <w:rsid w:val="2EFBFA72"/>
    <w:rsid w:val="2F010573"/>
    <w:rsid w:val="2F09CD25"/>
    <w:rsid w:val="2F0B8AB5"/>
    <w:rsid w:val="2F0D867A"/>
    <w:rsid w:val="2F0ECECC"/>
    <w:rsid w:val="2F12FF71"/>
    <w:rsid w:val="2F15F17B"/>
    <w:rsid w:val="2F185777"/>
    <w:rsid w:val="2F1B2012"/>
    <w:rsid w:val="2F1CB5A1"/>
    <w:rsid w:val="2F209476"/>
    <w:rsid w:val="2F25478A"/>
    <w:rsid w:val="2F263751"/>
    <w:rsid w:val="2F276B94"/>
    <w:rsid w:val="2F28B8BF"/>
    <w:rsid w:val="2F2A2653"/>
    <w:rsid w:val="2F2A3495"/>
    <w:rsid w:val="2F30A8FB"/>
    <w:rsid w:val="2F332BA1"/>
    <w:rsid w:val="2F3576A7"/>
    <w:rsid w:val="2F38CFD4"/>
    <w:rsid w:val="2F398FEF"/>
    <w:rsid w:val="2F3C4629"/>
    <w:rsid w:val="2F3C6F8E"/>
    <w:rsid w:val="2F3FCCD0"/>
    <w:rsid w:val="2F411788"/>
    <w:rsid w:val="2F4770EA"/>
    <w:rsid w:val="2F4C75B4"/>
    <w:rsid w:val="2F4D2ACD"/>
    <w:rsid w:val="2F4EA6AE"/>
    <w:rsid w:val="2F560185"/>
    <w:rsid w:val="2F577DD7"/>
    <w:rsid w:val="2F629582"/>
    <w:rsid w:val="2F634296"/>
    <w:rsid w:val="2F647360"/>
    <w:rsid w:val="2F6B3769"/>
    <w:rsid w:val="2F6B5C20"/>
    <w:rsid w:val="2F6E72E3"/>
    <w:rsid w:val="2F6ED77D"/>
    <w:rsid w:val="2F6F57DB"/>
    <w:rsid w:val="2F7005D2"/>
    <w:rsid w:val="2F72D804"/>
    <w:rsid w:val="2F73F7DA"/>
    <w:rsid w:val="2F7481B1"/>
    <w:rsid w:val="2F79548E"/>
    <w:rsid w:val="2F7B50A0"/>
    <w:rsid w:val="2F7BC899"/>
    <w:rsid w:val="2F7C40D6"/>
    <w:rsid w:val="2F7EAF12"/>
    <w:rsid w:val="2F82EAF1"/>
    <w:rsid w:val="2F83703F"/>
    <w:rsid w:val="2F83CEB8"/>
    <w:rsid w:val="2F8632EB"/>
    <w:rsid w:val="2F8A5912"/>
    <w:rsid w:val="2F8A76FF"/>
    <w:rsid w:val="2F8BCF34"/>
    <w:rsid w:val="2F916F4D"/>
    <w:rsid w:val="2F927DBF"/>
    <w:rsid w:val="2F96D8E5"/>
    <w:rsid w:val="2F980EDE"/>
    <w:rsid w:val="2F9B7412"/>
    <w:rsid w:val="2F9CA5DC"/>
    <w:rsid w:val="2F9DCC54"/>
    <w:rsid w:val="2FA1CADF"/>
    <w:rsid w:val="2FA4FC13"/>
    <w:rsid w:val="2FA65691"/>
    <w:rsid w:val="2FA73AA0"/>
    <w:rsid w:val="2FA96579"/>
    <w:rsid w:val="2FAE48F2"/>
    <w:rsid w:val="2FB39177"/>
    <w:rsid w:val="2FB4CD60"/>
    <w:rsid w:val="2FBC42DD"/>
    <w:rsid w:val="2FBD0CFF"/>
    <w:rsid w:val="2FBD906E"/>
    <w:rsid w:val="2FBEAE66"/>
    <w:rsid w:val="2FC052E2"/>
    <w:rsid w:val="2FC9837F"/>
    <w:rsid w:val="2FC9B17B"/>
    <w:rsid w:val="2FD61786"/>
    <w:rsid w:val="2FD809DF"/>
    <w:rsid w:val="2FD84F8D"/>
    <w:rsid w:val="2FD9F6F5"/>
    <w:rsid w:val="2FDE7D84"/>
    <w:rsid w:val="2FE1623C"/>
    <w:rsid w:val="2FE30415"/>
    <w:rsid w:val="2FE31302"/>
    <w:rsid w:val="2FE49222"/>
    <w:rsid w:val="2FE563FA"/>
    <w:rsid w:val="2FE839C7"/>
    <w:rsid w:val="2FEBC990"/>
    <w:rsid w:val="2FEE8814"/>
    <w:rsid w:val="2FF02B9F"/>
    <w:rsid w:val="2FF1222E"/>
    <w:rsid w:val="2FF5C210"/>
    <w:rsid w:val="2FF5C956"/>
    <w:rsid w:val="2FF5C9B6"/>
    <w:rsid w:val="3001A8D3"/>
    <w:rsid w:val="3003970C"/>
    <w:rsid w:val="30050878"/>
    <w:rsid w:val="300A9755"/>
    <w:rsid w:val="300B1BB6"/>
    <w:rsid w:val="300B713B"/>
    <w:rsid w:val="300BB051"/>
    <w:rsid w:val="300EA049"/>
    <w:rsid w:val="30120FD2"/>
    <w:rsid w:val="30139E44"/>
    <w:rsid w:val="3013A57D"/>
    <w:rsid w:val="30154A83"/>
    <w:rsid w:val="3018B5FB"/>
    <w:rsid w:val="301B2E4F"/>
    <w:rsid w:val="301C3F38"/>
    <w:rsid w:val="30221F4E"/>
    <w:rsid w:val="3026CE9A"/>
    <w:rsid w:val="302AD5C7"/>
    <w:rsid w:val="302BD66C"/>
    <w:rsid w:val="302F411E"/>
    <w:rsid w:val="3036979C"/>
    <w:rsid w:val="30393128"/>
    <w:rsid w:val="303B4161"/>
    <w:rsid w:val="303B8ABB"/>
    <w:rsid w:val="303D95F2"/>
    <w:rsid w:val="3042E5AE"/>
    <w:rsid w:val="3044C3B1"/>
    <w:rsid w:val="30489225"/>
    <w:rsid w:val="304F420B"/>
    <w:rsid w:val="305090B5"/>
    <w:rsid w:val="30530FAB"/>
    <w:rsid w:val="3056A428"/>
    <w:rsid w:val="30575687"/>
    <w:rsid w:val="3058AB52"/>
    <w:rsid w:val="3058FC6F"/>
    <w:rsid w:val="305B8700"/>
    <w:rsid w:val="3060812F"/>
    <w:rsid w:val="30629083"/>
    <w:rsid w:val="30658071"/>
    <w:rsid w:val="306750A4"/>
    <w:rsid w:val="306A7C94"/>
    <w:rsid w:val="306CB5BF"/>
    <w:rsid w:val="306DBF0B"/>
    <w:rsid w:val="3070F3CF"/>
    <w:rsid w:val="307513E4"/>
    <w:rsid w:val="3077E03F"/>
    <w:rsid w:val="3077EBC8"/>
    <w:rsid w:val="307AC79B"/>
    <w:rsid w:val="307FC98F"/>
    <w:rsid w:val="30877734"/>
    <w:rsid w:val="3088DA72"/>
    <w:rsid w:val="30899323"/>
    <w:rsid w:val="3089D0AB"/>
    <w:rsid w:val="308BABC5"/>
    <w:rsid w:val="308D73EA"/>
    <w:rsid w:val="3093F0EE"/>
    <w:rsid w:val="3096D776"/>
    <w:rsid w:val="3096FFC6"/>
    <w:rsid w:val="30983C72"/>
    <w:rsid w:val="309CDD41"/>
    <w:rsid w:val="309D00D2"/>
    <w:rsid w:val="30A571B8"/>
    <w:rsid w:val="30A5C3D3"/>
    <w:rsid w:val="30A85B5B"/>
    <w:rsid w:val="30ACE3AB"/>
    <w:rsid w:val="30ADFDF3"/>
    <w:rsid w:val="30AFD329"/>
    <w:rsid w:val="30B0FF0B"/>
    <w:rsid w:val="30B2182E"/>
    <w:rsid w:val="30B2BC30"/>
    <w:rsid w:val="30B4F0C6"/>
    <w:rsid w:val="30B7535B"/>
    <w:rsid w:val="30BD3CF4"/>
    <w:rsid w:val="30BD4327"/>
    <w:rsid w:val="30BD73EC"/>
    <w:rsid w:val="30BD7D24"/>
    <w:rsid w:val="30BD894F"/>
    <w:rsid w:val="30BDB6CF"/>
    <w:rsid w:val="30C21333"/>
    <w:rsid w:val="30CB60EA"/>
    <w:rsid w:val="30CF2FEA"/>
    <w:rsid w:val="30D189AA"/>
    <w:rsid w:val="30D6CB75"/>
    <w:rsid w:val="30D6FF95"/>
    <w:rsid w:val="30D77AA0"/>
    <w:rsid w:val="30D81085"/>
    <w:rsid w:val="30DB6CDC"/>
    <w:rsid w:val="30DCC30A"/>
    <w:rsid w:val="30E12B9B"/>
    <w:rsid w:val="30E1B1F8"/>
    <w:rsid w:val="30E2D69F"/>
    <w:rsid w:val="30E5CED8"/>
    <w:rsid w:val="30E6EBD0"/>
    <w:rsid w:val="30E8ED48"/>
    <w:rsid w:val="30EC0B92"/>
    <w:rsid w:val="30ECAD00"/>
    <w:rsid w:val="30EF005B"/>
    <w:rsid w:val="30EF35CD"/>
    <w:rsid w:val="30EF533B"/>
    <w:rsid w:val="30EFB433"/>
    <w:rsid w:val="30F01C5C"/>
    <w:rsid w:val="30F0AFBA"/>
    <w:rsid w:val="30F79024"/>
    <w:rsid w:val="30FA362C"/>
    <w:rsid w:val="30FA6D5E"/>
    <w:rsid w:val="30FD0F9A"/>
    <w:rsid w:val="30FE8E7C"/>
    <w:rsid w:val="31008FEF"/>
    <w:rsid w:val="3104F3BA"/>
    <w:rsid w:val="310679A4"/>
    <w:rsid w:val="310C72D8"/>
    <w:rsid w:val="310E59AE"/>
    <w:rsid w:val="310E85E9"/>
    <w:rsid w:val="3112A52E"/>
    <w:rsid w:val="3113826C"/>
    <w:rsid w:val="31170884"/>
    <w:rsid w:val="3117A803"/>
    <w:rsid w:val="3117D234"/>
    <w:rsid w:val="311CCA27"/>
    <w:rsid w:val="311DF1E1"/>
    <w:rsid w:val="31259A1F"/>
    <w:rsid w:val="31260D50"/>
    <w:rsid w:val="3127CA2A"/>
    <w:rsid w:val="3128EBA5"/>
    <w:rsid w:val="312E0812"/>
    <w:rsid w:val="3137503F"/>
    <w:rsid w:val="313A473E"/>
    <w:rsid w:val="313B448D"/>
    <w:rsid w:val="3140FB35"/>
    <w:rsid w:val="31422D36"/>
    <w:rsid w:val="3143C19B"/>
    <w:rsid w:val="3146BAF7"/>
    <w:rsid w:val="314912B3"/>
    <w:rsid w:val="31496BCC"/>
    <w:rsid w:val="314AAEB2"/>
    <w:rsid w:val="314D255B"/>
    <w:rsid w:val="31557B42"/>
    <w:rsid w:val="3158DADA"/>
    <w:rsid w:val="315A9BB1"/>
    <w:rsid w:val="315ABD32"/>
    <w:rsid w:val="315B36FC"/>
    <w:rsid w:val="315C42FB"/>
    <w:rsid w:val="315C7F39"/>
    <w:rsid w:val="31636B07"/>
    <w:rsid w:val="3163B7BA"/>
    <w:rsid w:val="316588E3"/>
    <w:rsid w:val="3165A313"/>
    <w:rsid w:val="3169B3A1"/>
    <w:rsid w:val="316AAB6A"/>
    <w:rsid w:val="316F3CF8"/>
    <w:rsid w:val="3174F615"/>
    <w:rsid w:val="317872EF"/>
    <w:rsid w:val="317A2938"/>
    <w:rsid w:val="317B53A6"/>
    <w:rsid w:val="317E5708"/>
    <w:rsid w:val="317EBF55"/>
    <w:rsid w:val="318078FE"/>
    <w:rsid w:val="3184C87F"/>
    <w:rsid w:val="31850FBD"/>
    <w:rsid w:val="31868BB8"/>
    <w:rsid w:val="318A946F"/>
    <w:rsid w:val="318E433E"/>
    <w:rsid w:val="3192183A"/>
    <w:rsid w:val="31938051"/>
    <w:rsid w:val="3193E093"/>
    <w:rsid w:val="31965131"/>
    <w:rsid w:val="319840F6"/>
    <w:rsid w:val="319DE2F1"/>
    <w:rsid w:val="31A3C378"/>
    <w:rsid w:val="31A45CFB"/>
    <w:rsid w:val="31A732FB"/>
    <w:rsid w:val="31A96E2C"/>
    <w:rsid w:val="31A9BDB9"/>
    <w:rsid w:val="31AEF591"/>
    <w:rsid w:val="31B6E948"/>
    <w:rsid w:val="31B9C786"/>
    <w:rsid w:val="31C092C9"/>
    <w:rsid w:val="31C24903"/>
    <w:rsid w:val="31C39F22"/>
    <w:rsid w:val="31C83C3F"/>
    <w:rsid w:val="31C86B15"/>
    <w:rsid w:val="31CDBB27"/>
    <w:rsid w:val="31CE879A"/>
    <w:rsid w:val="31D3C3D8"/>
    <w:rsid w:val="31D602A3"/>
    <w:rsid w:val="31D6AC14"/>
    <w:rsid w:val="31DB7FAE"/>
    <w:rsid w:val="31E582AA"/>
    <w:rsid w:val="31E67DEC"/>
    <w:rsid w:val="31E7B480"/>
    <w:rsid w:val="31E80E55"/>
    <w:rsid w:val="31EE0BCA"/>
    <w:rsid w:val="31EF27E3"/>
    <w:rsid w:val="31EFB501"/>
    <w:rsid w:val="31F3A5F9"/>
    <w:rsid w:val="31F468B5"/>
    <w:rsid w:val="31F553BF"/>
    <w:rsid w:val="31F7BBF5"/>
    <w:rsid w:val="31F7C1B0"/>
    <w:rsid w:val="31FAE2D9"/>
    <w:rsid w:val="31FCE2EF"/>
    <w:rsid w:val="320041E5"/>
    <w:rsid w:val="32034EB5"/>
    <w:rsid w:val="320444B6"/>
    <w:rsid w:val="32061A0B"/>
    <w:rsid w:val="3206E114"/>
    <w:rsid w:val="320AD27B"/>
    <w:rsid w:val="320BF5E1"/>
    <w:rsid w:val="320D0C2F"/>
    <w:rsid w:val="32103285"/>
    <w:rsid w:val="3211471B"/>
    <w:rsid w:val="32152F40"/>
    <w:rsid w:val="3216A276"/>
    <w:rsid w:val="32174FFD"/>
    <w:rsid w:val="3218E84E"/>
    <w:rsid w:val="321C7347"/>
    <w:rsid w:val="321D0EFA"/>
    <w:rsid w:val="321DE1FE"/>
    <w:rsid w:val="321EFAD2"/>
    <w:rsid w:val="32259C51"/>
    <w:rsid w:val="32266155"/>
    <w:rsid w:val="3228E405"/>
    <w:rsid w:val="3228FDB2"/>
    <w:rsid w:val="322CE68F"/>
    <w:rsid w:val="322F4D51"/>
    <w:rsid w:val="322FB088"/>
    <w:rsid w:val="3230BAD6"/>
    <w:rsid w:val="3231601F"/>
    <w:rsid w:val="3231ED8C"/>
    <w:rsid w:val="3233009F"/>
    <w:rsid w:val="32388D84"/>
    <w:rsid w:val="3238CD20"/>
    <w:rsid w:val="32390C6F"/>
    <w:rsid w:val="323D162D"/>
    <w:rsid w:val="3240FF57"/>
    <w:rsid w:val="3241DEEE"/>
    <w:rsid w:val="32461B43"/>
    <w:rsid w:val="32480E3E"/>
    <w:rsid w:val="324E029D"/>
    <w:rsid w:val="3250A8AE"/>
    <w:rsid w:val="3251E974"/>
    <w:rsid w:val="3252295C"/>
    <w:rsid w:val="32527C86"/>
    <w:rsid w:val="32578A3F"/>
    <w:rsid w:val="3259316D"/>
    <w:rsid w:val="325A0EFE"/>
    <w:rsid w:val="325A313D"/>
    <w:rsid w:val="325A8071"/>
    <w:rsid w:val="325CCE1C"/>
    <w:rsid w:val="325D12A3"/>
    <w:rsid w:val="325E8A11"/>
    <w:rsid w:val="325EC558"/>
    <w:rsid w:val="326110C6"/>
    <w:rsid w:val="3262D8ED"/>
    <w:rsid w:val="3264CD35"/>
    <w:rsid w:val="326760CD"/>
    <w:rsid w:val="3270F35A"/>
    <w:rsid w:val="3273C2DC"/>
    <w:rsid w:val="32774A03"/>
    <w:rsid w:val="32791C9B"/>
    <w:rsid w:val="32799ADC"/>
    <w:rsid w:val="3280C5FC"/>
    <w:rsid w:val="32819374"/>
    <w:rsid w:val="32859A95"/>
    <w:rsid w:val="328A3735"/>
    <w:rsid w:val="32910F2E"/>
    <w:rsid w:val="3294D2E2"/>
    <w:rsid w:val="3295036F"/>
    <w:rsid w:val="3295BB22"/>
    <w:rsid w:val="3295E78F"/>
    <w:rsid w:val="32985923"/>
    <w:rsid w:val="32993436"/>
    <w:rsid w:val="329E3E98"/>
    <w:rsid w:val="329EDB00"/>
    <w:rsid w:val="329FE42A"/>
    <w:rsid w:val="32A07CF1"/>
    <w:rsid w:val="32A07F75"/>
    <w:rsid w:val="32A1D188"/>
    <w:rsid w:val="32A30BC1"/>
    <w:rsid w:val="32AD44CA"/>
    <w:rsid w:val="32B015EB"/>
    <w:rsid w:val="32B09605"/>
    <w:rsid w:val="32B1931C"/>
    <w:rsid w:val="32B6D46D"/>
    <w:rsid w:val="32B7ECCD"/>
    <w:rsid w:val="32B85D7F"/>
    <w:rsid w:val="32B8984E"/>
    <w:rsid w:val="32B92A17"/>
    <w:rsid w:val="32B9BACA"/>
    <w:rsid w:val="32BB9A7A"/>
    <w:rsid w:val="32BFA4CA"/>
    <w:rsid w:val="32C1AD48"/>
    <w:rsid w:val="32C42CFF"/>
    <w:rsid w:val="32C45487"/>
    <w:rsid w:val="32C5EF54"/>
    <w:rsid w:val="32CCE570"/>
    <w:rsid w:val="32CF7E7E"/>
    <w:rsid w:val="32CFB5D5"/>
    <w:rsid w:val="32D22112"/>
    <w:rsid w:val="32D23803"/>
    <w:rsid w:val="32D67BAD"/>
    <w:rsid w:val="32D6EE3E"/>
    <w:rsid w:val="32D7F725"/>
    <w:rsid w:val="32DB2869"/>
    <w:rsid w:val="32DD5012"/>
    <w:rsid w:val="32DDBE38"/>
    <w:rsid w:val="32DDE8A3"/>
    <w:rsid w:val="32E77393"/>
    <w:rsid w:val="32E8E689"/>
    <w:rsid w:val="32EE53A8"/>
    <w:rsid w:val="32EFB576"/>
    <w:rsid w:val="32F0CC18"/>
    <w:rsid w:val="32F33DC0"/>
    <w:rsid w:val="32F68FB9"/>
    <w:rsid w:val="32F75165"/>
    <w:rsid w:val="32F7BC0C"/>
    <w:rsid w:val="32F9E0C2"/>
    <w:rsid w:val="32FAAD32"/>
    <w:rsid w:val="32FEB2AF"/>
    <w:rsid w:val="32FF921B"/>
    <w:rsid w:val="330771FF"/>
    <w:rsid w:val="33077DF2"/>
    <w:rsid w:val="3309D2A3"/>
    <w:rsid w:val="33115632"/>
    <w:rsid w:val="3311E103"/>
    <w:rsid w:val="3311FA36"/>
    <w:rsid w:val="3314822C"/>
    <w:rsid w:val="33148F14"/>
    <w:rsid w:val="33153239"/>
    <w:rsid w:val="33170D8F"/>
    <w:rsid w:val="33177B79"/>
    <w:rsid w:val="331C6555"/>
    <w:rsid w:val="331DEB24"/>
    <w:rsid w:val="331E3579"/>
    <w:rsid w:val="33240B19"/>
    <w:rsid w:val="33246824"/>
    <w:rsid w:val="3324CE3B"/>
    <w:rsid w:val="3327E461"/>
    <w:rsid w:val="33283BBB"/>
    <w:rsid w:val="3328A101"/>
    <w:rsid w:val="332992A9"/>
    <w:rsid w:val="333050C2"/>
    <w:rsid w:val="3330CB93"/>
    <w:rsid w:val="33313AF9"/>
    <w:rsid w:val="3334514D"/>
    <w:rsid w:val="3337E778"/>
    <w:rsid w:val="333EADDF"/>
    <w:rsid w:val="333F5E26"/>
    <w:rsid w:val="333FEA9A"/>
    <w:rsid w:val="333FEB4E"/>
    <w:rsid w:val="3344EDDC"/>
    <w:rsid w:val="3346027A"/>
    <w:rsid w:val="334A29A5"/>
    <w:rsid w:val="334B8037"/>
    <w:rsid w:val="33547B67"/>
    <w:rsid w:val="335C18D9"/>
    <w:rsid w:val="335EF76F"/>
    <w:rsid w:val="335FFAC9"/>
    <w:rsid w:val="33620A54"/>
    <w:rsid w:val="336399E2"/>
    <w:rsid w:val="33648CF6"/>
    <w:rsid w:val="3367A403"/>
    <w:rsid w:val="336B2F22"/>
    <w:rsid w:val="336B6471"/>
    <w:rsid w:val="336E348B"/>
    <w:rsid w:val="336F0806"/>
    <w:rsid w:val="33700B77"/>
    <w:rsid w:val="33728309"/>
    <w:rsid w:val="337726B6"/>
    <w:rsid w:val="3377D70C"/>
    <w:rsid w:val="3377E304"/>
    <w:rsid w:val="337BC4F7"/>
    <w:rsid w:val="337EA5A6"/>
    <w:rsid w:val="337EFB67"/>
    <w:rsid w:val="337F1972"/>
    <w:rsid w:val="3381E9A0"/>
    <w:rsid w:val="33857953"/>
    <w:rsid w:val="338736F0"/>
    <w:rsid w:val="33881AC9"/>
    <w:rsid w:val="3388E7D8"/>
    <w:rsid w:val="33895ADE"/>
    <w:rsid w:val="338E62E0"/>
    <w:rsid w:val="339087C0"/>
    <w:rsid w:val="3390F1FA"/>
    <w:rsid w:val="33942C9B"/>
    <w:rsid w:val="3398FCA2"/>
    <w:rsid w:val="3399D5BA"/>
    <w:rsid w:val="339F75B6"/>
    <w:rsid w:val="33AC08A4"/>
    <w:rsid w:val="33AC0E9C"/>
    <w:rsid w:val="33ACBA92"/>
    <w:rsid w:val="33B02EE1"/>
    <w:rsid w:val="33B04AFD"/>
    <w:rsid w:val="33B1055A"/>
    <w:rsid w:val="33B276E7"/>
    <w:rsid w:val="33B3ADD5"/>
    <w:rsid w:val="33B48CDE"/>
    <w:rsid w:val="33B53102"/>
    <w:rsid w:val="33B6A736"/>
    <w:rsid w:val="33B710EF"/>
    <w:rsid w:val="33B81474"/>
    <w:rsid w:val="33B97FEA"/>
    <w:rsid w:val="33BB2629"/>
    <w:rsid w:val="33BB33AB"/>
    <w:rsid w:val="33BBB54D"/>
    <w:rsid w:val="33BCAF6F"/>
    <w:rsid w:val="33BFE40F"/>
    <w:rsid w:val="33C7C608"/>
    <w:rsid w:val="33CDA6AA"/>
    <w:rsid w:val="33D16186"/>
    <w:rsid w:val="33D58B13"/>
    <w:rsid w:val="33DB54F6"/>
    <w:rsid w:val="33E06309"/>
    <w:rsid w:val="33E1188C"/>
    <w:rsid w:val="33E467CB"/>
    <w:rsid w:val="33E75CFA"/>
    <w:rsid w:val="33E94B99"/>
    <w:rsid w:val="33E9EC75"/>
    <w:rsid w:val="33EEC48D"/>
    <w:rsid w:val="33F076D7"/>
    <w:rsid w:val="33F2252E"/>
    <w:rsid w:val="33F389D6"/>
    <w:rsid w:val="33F4D17C"/>
    <w:rsid w:val="33FA4BDA"/>
    <w:rsid w:val="3401C85F"/>
    <w:rsid w:val="3401DA4B"/>
    <w:rsid w:val="3405629F"/>
    <w:rsid w:val="34082D8D"/>
    <w:rsid w:val="340931CF"/>
    <w:rsid w:val="340A2C78"/>
    <w:rsid w:val="340B7101"/>
    <w:rsid w:val="340CA5E3"/>
    <w:rsid w:val="340D19A4"/>
    <w:rsid w:val="340DDEBB"/>
    <w:rsid w:val="34104B85"/>
    <w:rsid w:val="341182B7"/>
    <w:rsid w:val="341183EB"/>
    <w:rsid w:val="3411B643"/>
    <w:rsid w:val="34143B45"/>
    <w:rsid w:val="34145A57"/>
    <w:rsid w:val="3415EA6A"/>
    <w:rsid w:val="34163883"/>
    <w:rsid w:val="3421C2BC"/>
    <w:rsid w:val="3423E204"/>
    <w:rsid w:val="3425D194"/>
    <w:rsid w:val="3428DB76"/>
    <w:rsid w:val="342994E8"/>
    <w:rsid w:val="342C6499"/>
    <w:rsid w:val="342D5CE7"/>
    <w:rsid w:val="342E2CC7"/>
    <w:rsid w:val="342E8BBB"/>
    <w:rsid w:val="34329D2F"/>
    <w:rsid w:val="343624CB"/>
    <w:rsid w:val="343F0908"/>
    <w:rsid w:val="34428B67"/>
    <w:rsid w:val="34444C4C"/>
    <w:rsid w:val="34447253"/>
    <w:rsid w:val="3445F0D5"/>
    <w:rsid w:val="344A3794"/>
    <w:rsid w:val="344AB19A"/>
    <w:rsid w:val="344B5E43"/>
    <w:rsid w:val="344FE53A"/>
    <w:rsid w:val="345001BF"/>
    <w:rsid w:val="34522691"/>
    <w:rsid w:val="3452ECA5"/>
    <w:rsid w:val="34590D28"/>
    <w:rsid w:val="345A31AE"/>
    <w:rsid w:val="345CF38B"/>
    <w:rsid w:val="3468BD4B"/>
    <w:rsid w:val="346A5F92"/>
    <w:rsid w:val="346D5500"/>
    <w:rsid w:val="346D5CFF"/>
    <w:rsid w:val="3470FF97"/>
    <w:rsid w:val="3473272A"/>
    <w:rsid w:val="3475ACDC"/>
    <w:rsid w:val="347EFA89"/>
    <w:rsid w:val="3480C08C"/>
    <w:rsid w:val="3480E3D1"/>
    <w:rsid w:val="34813DA6"/>
    <w:rsid w:val="34846CB9"/>
    <w:rsid w:val="34864B0B"/>
    <w:rsid w:val="3487F437"/>
    <w:rsid w:val="3488A350"/>
    <w:rsid w:val="348BEC18"/>
    <w:rsid w:val="348D1F70"/>
    <w:rsid w:val="348D8328"/>
    <w:rsid w:val="34902ECF"/>
    <w:rsid w:val="3495B75F"/>
    <w:rsid w:val="3497960E"/>
    <w:rsid w:val="3497E612"/>
    <w:rsid w:val="34987384"/>
    <w:rsid w:val="3499D27C"/>
    <w:rsid w:val="349A1AB4"/>
    <w:rsid w:val="349CA813"/>
    <w:rsid w:val="349E1C57"/>
    <w:rsid w:val="34A3F2E4"/>
    <w:rsid w:val="34A6CB08"/>
    <w:rsid w:val="34AB162E"/>
    <w:rsid w:val="34AB2D44"/>
    <w:rsid w:val="34AC50A1"/>
    <w:rsid w:val="34AEAB9E"/>
    <w:rsid w:val="34B37D80"/>
    <w:rsid w:val="34B3F906"/>
    <w:rsid w:val="34B595BF"/>
    <w:rsid w:val="34B63BD7"/>
    <w:rsid w:val="34B97656"/>
    <w:rsid w:val="34BAB51A"/>
    <w:rsid w:val="34BB8F0D"/>
    <w:rsid w:val="34BE4BF0"/>
    <w:rsid w:val="34C109FA"/>
    <w:rsid w:val="34C2AB29"/>
    <w:rsid w:val="34C498B1"/>
    <w:rsid w:val="34C500BF"/>
    <w:rsid w:val="34C5F19C"/>
    <w:rsid w:val="34C9A5C5"/>
    <w:rsid w:val="34CD5DAB"/>
    <w:rsid w:val="34CDD96F"/>
    <w:rsid w:val="34CF0279"/>
    <w:rsid w:val="34D00FB8"/>
    <w:rsid w:val="34D0A195"/>
    <w:rsid w:val="34D3A13C"/>
    <w:rsid w:val="34D7291D"/>
    <w:rsid w:val="34D87368"/>
    <w:rsid w:val="34D9F075"/>
    <w:rsid w:val="34DD4B2B"/>
    <w:rsid w:val="34E38B8D"/>
    <w:rsid w:val="34E4AC37"/>
    <w:rsid w:val="34E6B435"/>
    <w:rsid w:val="34E98407"/>
    <w:rsid w:val="34EAD744"/>
    <w:rsid w:val="34EEA13B"/>
    <w:rsid w:val="34EFBBC5"/>
    <w:rsid w:val="34F0F520"/>
    <w:rsid w:val="34F3CAE2"/>
    <w:rsid w:val="34FBCAA8"/>
    <w:rsid w:val="34FEB754"/>
    <w:rsid w:val="35009AAA"/>
    <w:rsid w:val="35015590"/>
    <w:rsid w:val="3504CBE9"/>
    <w:rsid w:val="350632D4"/>
    <w:rsid w:val="350D608F"/>
    <w:rsid w:val="350F32CC"/>
    <w:rsid w:val="350FA692"/>
    <w:rsid w:val="3510B2C1"/>
    <w:rsid w:val="351239CF"/>
    <w:rsid w:val="3512D3BD"/>
    <w:rsid w:val="351CC586"/>
    <w:rsid w:val="3529F8E7"/>
    <w:rsid w:val="352E1E12"/>
    <w:rsid w:val="35300E19"/>
    <w:rsid w:val="353317C6"/>
    <w:rsid w:val="3533AB27"/>
    <w:rsid w:val="3534CB84"/>
    <w:rsid w:val="353597D8"/>
    <w:rsid w:val="35361537"/>
    <w:rsid w:val="35380D38"/>
    <w:rsid w:val="353A4930"/>
    <w:rsid w:val="353B281E"/>
    <w:rsid w:val="353C0CCF"/>
    <w:rsid w:val="3540489E"/>
    <w:rsid w:val="3540B99C"/>
    <w:rsid w:val="354274F5"/>
    <w:rsid w:val="35431483"/>
    <w:rsid w:val="3543CCC1"/>
    <w:rsid w:val="3545A473"/>
    <w:rsid w:val="354BF66C"/>
    <w:rsid w:val="354E1505"/>
    <w:rsid w:val="354F2E19"/>
    <w:rsid w:val="35531DBE"/>
    <w:rsid w:val="3553EF29"/>
    <w:rsid w:val="3556944E"/>
    <w:rsid w:val="355702FE"/>
    <w:rsid w:val="3558E68E"/>
    <w:rsid w:val="355940D3"/>
    <w:rsid w:val="355989FD"/>
    <w:rsid w:val="355A0EC8"/>
    <w:rsid w:val="355E1EE1"/>
    <w:rsid w:val="355F2B69"/>
    <w:rsid w:val="3562A093"/>
    <w:rsid w:val="35631159"/>
    <w:rsid w:val="35635965"/>
    <w:rsid w:val="3566D84F"/>
    <w:rsid w:val="3567124C"/>
    <w:rsid w:val="3568604A"/>
    <w:rsid w:val="35691BA7"/>
    <w:rsid w:val="356BFFF7"/>
    <w:rsid w:val="356CC78A"/>
    <w:rsid w:val="357A4959"/>
    <w:rsid w:val="357E741E"/>
    <w:rsid w:val="357FB062"/>
    <w:rsid w:val="358DEED6"/>
    <w:rsid w:val="3595987C"/>
    <w:rsid w:val="359AD2D8"/>
    <w:rsid w:val="35A41247"/>
    <w:rsid w:val="35A6923C"/>
    <w:rsid w:val="35A86BC2"/>
    <w:rsid w:val="35A8E6C8"/>
    <w:rsid w:val="35ABDFBA"/>
    <w:rsid w:val="35AD8BA8"/>
    <w:rsid w:val="35ADCD21"/>
    <w:rsid w:val="35B16A95"/>
    <w:rsid w:val="35B2E0D3"/>
    <w:rsid w:val="35B363D7"/>
    <w:rsid w:val="35B57E9C"/>
    <w:rsid w:val="35B5A168"/>
    <w:rsid w:val="35B5FC55"/>
    <w:rsid w:val="35BC8E30"/>
    <w:rsid w:val="35BD1BD4"/>
    <w:rsid w:val="35BD6BE9"/>
    <w:rsid w:val="35C09A89"/>
    <w:rsid w:val="35C48B18"/>
    <w:rsid w:val="35C7BF09"/>
    <w:rsid w:val="35C95B86"/>
    <w:rsid w:val="35CD0621"/>
    <w:rsid w:val="35CF57C7"/>
    <w:rsid w:val="35D6A3A8"/>
    <w:rsid w:val="35D96963"/>
    <w:rsid w:val="35D9A0C3"/>
    <w:rsid w:val="35D9CB9F"/>
    <w:rsid w:val="35DCFC68"/>
    <w:rsid w:val="35DD6570"/>
    <w:rsid w:val="35E1BDED"/>
    <w:rsid w:val="35E1D71A"/>
    <w:rsid w:val="35E515C3"/>
    <w:rsid w:val="35E63013"/>
    <w:rsid w:val="35E6B166"/>
    <w:rsid w:val="35E95FE0"/>
    <w:rsid w:val="35ED1F5D"/>
    <w:rsid w:val="35EFC0F5"/>
    <w:rsid w:val="35F17B84"/>
    <w:rsid w:val="35F3DF02"/>
    <w:rsid w:val="35F62158"/>
    <w:rsid w:val="35F97629"/>
    <w:rsid w:val="35FBABCD"/>
    <w:rsid w:val="35FC09E7"/>
    <w:rsid w:val="35FD3C99"/>
    <w:rsid w:val="35FE4636"/>
    <w:rsid w:val="35FF1C12"/>
    <w:rsid w:val="36004A4A"/>
    <w:rsid w:val="3600AA66"/>
    <w:rsid w:val="36023445"/>
    <w:rsid w:val="3608B998"/>
    <w:rsid w:val="360AD816"/>
    <w:rsid w:val="360C1549"/>
    <w:rsid w:val="360E4497"/>
    <w:rsid w:val="36162620"/>
    <w:rsid w:val="361B66EE"/>
    <w:rsid w:val="361C0DBA"/>
    <w:rsid w:val="361F3346"/>
    <w:rsid w:val="362267D4"/>
    <w:rsid w:val="36229B01"/>
    <w:rsid w:val="3623D56A"/>
    <w:rsid w:val="362EF677"/>
    <w:rsid w:val="362F64B7"/>
    <w:rsid w:val="3631C447"/>
    <w:rsid w:val="3636F95F"/>
    <w:rsid w:val="36382ABD"/>
    <w:rsid w:val="3638F1FB"/>
    <w:rsid w:val="3639D13B"/>
    <w:rsid w:val="3639DED2"/>
    <w:rsid w:val="363B6D12"/>
    <w:rsid w:val="3640A146"/>
    <w:rsid w:val="36420A5D"/>
    <w:rsid w:val="3643CD9A"/>
    <w:rsid w:val="36476414"/>
    <w:rsid w:val="364BA37E"/>
    <w:rsid w:val="364DC567"/>
    <w:rsid w:val="364FD043"/>
    <w:rsid w:val="36514DCC"/>
    <w:rsid w:val="3653CC57"/>
    <w:rsid w:val="3656A566"/>
    <w:rsid w:val="365A03CA"/>
    <w:rsid w:val="365A0EB6"/>
    <w:rsid w:val="365B018C"/>
    <w:rsid w:val="365D06C0"/>
    <w:rsid w:val="3660F3A8"/>
    <w:rsid w:val="36614FB1"/>
    <w:rsid w:val="36617164"/>
    <w:rsid w:val="3661EEF8"/>
    <w:rsid w:val="3662FEF6"/>
    <w:rsid w:val="36642A35"/>
    <w:rsid w:val="36667A71"/>
    <w:rsid w:val="3668DFF0"/>
    <w:rsid w:val="3677B154"/>
    <w:rsid w:val="3678D4F9"/>
    <w:rsid w:val="367B6D39"/>
    <w:rsid w:val="367D0EFD"/>
    <w:rsid w:val="36837496"/>
    <w:rsid w:val="3683F375"/>
    <w:rsid w:val="3686F154"/>
    <w:rsid w:val="3687F6DB"/>
    <w:rsid w:val="36891133"/>
    <w:rsid w:val="36893F94"/>
    <w:rsid w:val="368AC280"/>
    <w:rsid w:val="368BEAEF"/>
    <w:rsid w:val="368FACF6"/>
    <w:rsid w:val="36914FF6"/>
    <w:rsid w:val="36946D99"/>
    <w:rsid w:val="3696D35F"/>
    <w:rsid w:val="36998A2F"/>
    <w:rsid w:val="369BB522"/>
    <w:rsid w:val="36A0C698"/>
    <w:rsid w:val="36A2D2B1"/>
    <w:rsid w:val="36A433B1"/>
    <w:rsid w:val="36A7DDBA"/>
    <w:rsid w:val="36A82134"/>
    <w:rsid w:val="36A8E69E"/>
    <w:rsid w:val="36AD03AD"/>
    <w:rsid w:val="36B4C2A7"/>
    <w:rsid w:val="36B686E1"/>
    <w:rsid w:val="36B72B6B"/>
    <w:rsid w:val="36B87A51"/>
    <w:rsid w:val="36BAC4EC"/>
    <w:rsid w:val="36BC9674"/>
    <w:rsid w:val="36C299E9"/>
    <w:rsid w:val="36C3A70F"/>
    <w:rsid w:val="36C4B2FE"/>
    <w:rsid w:val="36CB76C8"/>
    <w:rsid w:val="36CDA3FD"/>
    <w:rsid w:val="36CF624E"/>
    <w:rsid w:val="36D294C0"/>
    <w:rsid w:val="36D99D94"/>
    <w:rsid w:val="36DC3302"/>
    <w:rsid w:val="36DE731E"/>
    <w:rsid w:val="36DFFDB7"/>
    <w:rsid w:val="36E18404"/>
    <w:rsid w:val="36E26224"/>
    <w:rsid w:val="36E290D3"/>
    <w:rsid w:val="36E5D4CE"/>
    <w:rsid w:val="36EA41EC"/>
    <w:rsid w:val="36EF0DDC"/>
    <w:rsid w:val="36F204C7"/>
    <w:rsid w:val="36F87780"/>
    <w:rsid w:val="36F89720"/>
    <w:rsid w:val="36FB834C"/>
    <w:rsid w:val="36FBD51A"/>
    <w:rsid w:val="36FD5746"/>
    <w:rsid w:val="36FF9E07"/>
    <w:rsid w:val="3703F62B"/>
    <w:rsid w:val="3704239D"/>
    <w:rsid w:val="37057972"/>
    <w:rsid w:val="370596BD"/>
    <w:rsid w:val="3707AFF1"/>
    <w:rsid w:val="37082AC6"/>
    <w:rsid w:val="37086A9D"/>
    <w:rsid w:val="3709FC62"/>
    <w:rsid w:val="370C84D3"/>
    <w:rsid w:val="370DBFDD"/>
    <w:rsid w:val="370E444E"/>
    <w:rsid w:val="3713235D"/>
    <w:rsid w:val="37142D5C"/>
    <w:rsid w:val="3715674C"/>
    <w:rsid w:val="37160DDD"/>
    <w:rsid w:val="3716F77A"/>
    <w:rsid w:val="37172964"/>
    <w:rsid w:val="371AE69D"/>
    <w:rsid w:val="372222E2"/>
    <w:rsid w:val="3723982B"/>
    <w:rsid w:val="3724D172"/>
    <w:rsid w:val="37289BC1"/>
    <w:rsid w:val="372ADDC0"/>
    <w:rsid w:val="372C1E37"/>
    <w:rsid w:val="372C9937"/>
    <w:rsid w:val="372CCDF4"/>
    <w:rsid w:val="372F2EC9"/>
    <w:rsid w:val="372FA2F5"/>
    <w:rsid w:val="372FEF8B"/>
    <w:rsid w:val="373177E4"/>
    <w:rsid w:val="3733D3B0"/>
    <w:rsid w:val="37348F59"/>
    <w:rsid w:val="37378D21"/>
    <w:rsid w:val="373DBCEE"/>
    <w:rsid w:val="373EE56A"/>
    <w:rsid w:val="373FBC64"/>
    <w:rsid w:val="3743AA7D"/>
    <w:rsid w:val="37448551"/>
    <w:rsid w:val="374C1782"/>
    <w:rsid w:val="37510CAD"/>
    <w:rsid w:val="3751856A"/>
    <w:rsid w:val="3751F408"/>
    <w:rsid w:val="375264AB"/>
    <w:rsid w:val="3753229C"/>
    <w:rsid w:val="37540D0E"/>
    <w:rsid w:val="3754F8C7"/>
    <w:rsid w:val="3756DD52"/>
    <w:rsid w:val="37593358"/>
    <w:rsid w:val="375A7F6F"/>
    <w:rsid w:val="375B0289"/>
    <w:rsid w:val="375CF86D"/>
    <w:rsid w:val="37613854"/>
    <w:rsid w:val="3761F8D7"/>
    <w:rsid w:val="376621A8"/>
    <w:rsid w:val="37672B21"/>
    <w:rsid w:val="376C0724"/>
    <w:rsid w:val="376CC7B4"/>
    <w:rsid w:val="376D2B0E"/>
    <w:rsid w:val="3771143A"/>
    <w:rsid w:val="37763319"/>
    <w:rsid w:val="3776C047"/>
    <w:rsid w:val="3776C571"/>
    <w:rsid w:val="3777B315"/>
    <w:rsid w:val="3778038F"/>
    <w:rsid w:val="37789643"/>
    <w:rsid w:val="377A200F"/>
    <w:rsid w:val="377B56BC"/>
    <w:rsid w:val="3782662F"/>
    <w:rsid w:val="3783F1DD"/>
    <w:rsid w:val="378615AC"/>
    <w:rsid w:val="378694D9"/>
    <w:rsid w:val="378B730D"/>
    <w:rsid w:val="378C686A"/>
    <w:rsid w:val="378DBC74"/>
    <w:rsid w:val="3790E27E"/>
    <w:rsid w:val="37910C7C"/>
    <w:rsid w:val="37975471"/>
    <w:rsid w:val="379C5A3F"/>
    <w:rsid w:val="37A324AA"/>
    <w:rsid w:val="37A4E8B4"/>
    <w:rsid w:val="37A826E9"/>
    <w:rsid w:val="37ADCABC"/>
    <w:rsid w:val="37B0F742"/>
    <w:rsid w:val="37B1000D"/>
    <w:rsid w:val="37B34F9E"/>
    <w:rsid w:val="37B4D307"/>
    <w:rsid w:val="37B4FB5D"/>
    <w:rsid w:val="37B54CF6"/>
    <w:rsid w:val="37B592AB"/>
    <w:rsid w:val="37BAB8EC"/>
    <w:rsid w:val="37BF205D"/>
    <w:rsid w:val="37C01362"/>
    <w:rsid w:val="37C070D7"/>
    <w:rsid w:val="37C1697E"/>
    <w:rsid w:val="37C49CC1"/>
    <w:rsid w:val="37C4AE62"/>
    <w:rsid w:val="37C84A4D"/>
    <w:rsid w:val="37D3FE10"/>
    <w:rsid w:val="37D43632"/>
    <w:rsid w:val="37D53F81"/>
    <w:rsid w:val="37D6F353"/>
    <w:rsid w:val="37D893D7"/>
    <w:rsid w:val="37D931E0"/>
    <w:rsid w:val="37DC8D4B"/>
    <w:rsid w:val="37DCDAA1"/>
    <w:rsid w:val="37DD4E0D"/>
    <w:rsid w:val="37DDCCCD"/>
    <w:rsid w:val="37DE10B6"/>
    <w:rsid w:val="37DE7EF3"/>
    <w:rsid w:val="37E1E40C"/>
    <w:rsid w:val="37E3F64A"/>
    <w:rsid w:val="37E80061"/>
    <w:rsid w:val="37EA0D47"/>
    <w:rsid w:val="37EFBE33"/>
    <w:rsid w:val="37F095F5"/>
    <w:rsid w:val="37F424D8"/>
    <w:rsid w:val="37F654C0"/>
    <w:rsid w:val="37F7A3C4"/>
    <w:rsid w:val="37F7A7EA"/>
    <w:rsid w:val="37F853C1"/>
    <w:rsid w:val="37F95AA3"/>
    <w:rsid w:val="37FC096C"/>
    <w:rsid w:val="37FC67AC"/>
    <w:rsid w:val="37FE25C3"/>
    <w:rsid w:val="37FF8362"/>
    <w:rsid w:val="38000E76"/>
    <w:rsid w:val="3803D822"/>
    <w:rsid w:val="38071122"/>
    <w:rsid w:val="3808703C"/>
    <w:rsid w:val="380A46CB"/>
    <w:rsid w:val="380D1BB7"/>
    <w:rsid w:val="3810D740"/>
    <w:rsid w:val="3813041D"/>
    <w:rsid w:val="381375A9"/>
    <w:rsid w:val="38165B6A"/>
    <w:rsid w:val="3816CA17"/>
    <w:rsid w:val="38180AB9"/>
    <w:rsid w:val="381A5E06"/>
    <w:rsid w:val="381BE141"/>
    <w:rsid w:val="382050A1"/>
    <w:rsid w:val="38214671"/>
    <w:rsid w:val="3821DD66"/>
    <w:rsid w:val="38221694"/>
    <w:rsid w:val="3823F69F"/>
    <w:rsid w:val="382AC590"/>
    <w:rsid w:val="382B7E72"/>
    <w:rsid w:val="382DAC7E"/>
    <w:rsid w:val="382DB6BE"/>
    <w:rsid w:val="3830C564"/>
    <w:rsid w:val="3836FFC1"/>
    <w:rsid w:val="383BBA4E"/>
    <w:rsid w:val="383C4DC8"/>
    <w:rsid w:val="383D057D"/>
    <w:rsid w:val="383D2E9C"/>
    <w:rsid w:val="38464096"/>
    <w:rsid w:val="38471622"/>
    <w:rsid w:val="38484140"/>
    <w:rsid w:val="3849F802"/>
    <w:rsid w:val="384A97C3"/>
    <w:rsid w:val="384E59D3"/>
    <w:rsid w:val="385175BD"/>
    <w:rsid w:val="3857CA18"/>
    <w:rsid w:val="385A57B5"/>
    <w:rsid w:val="385C70FF"/>
    <w:rsid w:val="385C9526"/>
    <w:rsid w:val="3862EBC0"/>
    <w:rsid w:val="3865FC8C"/>
    <w:rsid w:val="38669D4D"/>
    <w:rsid w:val="3867CD57"/>
    <w:rsid w:val="386B2DB8"/>
    <w:rsid w:val="386B4451"/>
    <w:rsid w:val="386B7B9B"/>
    <w:rsid w:val="386DC740"/>
    <w:rsid w:val="3872004B"/>
    <w:rsid w:val="3872F819"/>
    <w:rsid w:val="3875BEB2"/>
    <w:rsid w:val="3876D29A"/>
    <w:rsid w:val="387974C9"/>
    <w:rsid w:val="387C7DD9"/>
    <w:rsid w:val="387DFF95"/>
    <w:rsid w:val="387E3A59"/>
    <w:rsid w:val="3880FF46"/>
    <w:rsid w:val="38898604"/>
    <w:rsid w:val="388B2D23"/>
    <w:rsid w:val="388BC263"/>
    <w:rsid w:val="388D2D51"/>
    <w:rsid w:val="38933820"/>
    <w:rsid w:val="3893EC57"/>
    <w:rsid w:val="38944C93"/>
    <w:rsid w:val="3894E806"/>
    <w:rsid w:val="38996C20"/>
    <w:rsid w:val="3899F2F7"/>
    <w:rsid w:val="389D379D"/>
    <w:rsid w:val="389DE199"/>
    <w:rsid w:val="38A219A1"/>
    <w:rsid w:val="38A32D78"/>
    <w:rsid w:val="38A4176E"/>
    <w:rsid w:val="38A50410"/>
    <w:rsid w:val="38A5E965"/>
    <w:rsid w:val="38A74AAC"/>
    <w:rsid w:val="38AB716D"/>
    <w:rsid w:val="38ABFF70"/>
    <w:rsid w:val="38ADD52F"/>
    <w:rsid w:val="38B1B676"/>
    <w:rsid w:val="38B323E1"/>
    <w:rsid w:val="38B58BAA"/>
    <w:rsid w:val="38B62327"/>
    <w:rsid w:val="38B6DC0B"/>
    <w:rsid w:val="38B6EFCE"/>
    <w:rsid w:val="38B7C1BE"/>
    <w:rsid w:val="38B9E406"/>
    <w:rsid w:val="38BB3D14"/>
    <w:rsid w:val="38BF5278"/>
    <w:rsid w:val="38C00A03"/>
    <w:rsid w:val="38C01A89"/>
    <w:rsid w:val="38C079F8"/>
    <w:rsid w:val="38C43051"/>
    <w:rsid w:val="38CD0E4C"/>
    <w:rsid w:val="38D520FB"/>
    <w:rsid w:val="38D544F6"/>
    <w:rsid w:val="38DA7004"/>
    <w:rsid w:val="38E2781A"/>
    <w:rsid w:val="38E77637"/>
    <w:rsid w:val="38E7F445"/>
    <w:rsid w:val="38EA097A"/>
    <w:rsid w:val="38EBA925"/>
    <w:rsid w:val="38EC6E7A"/>
    <w:rsid w:val="38F1B060"/>
    <w:rsid w:val="38F4493E"/>
    <w:rsid w:val="38F74273"/>
    <w:rsid w:val="38F8C134"/>
    <w:rsid w:val="38F95ADB"/>
    <w:rsid w:val="38F97F8E"/>
    <w:rsid w:val="38F98ACB"/>
    <w:rsid w:val="390173C7"/>
    <w:rsid w:val="390221DC"/>
    <w:rsid w:val="39027807"/>
    <w:rsid w:val="390395B5"/>
    <w:rsid w:val="3903EDB9"/>
    <w:rsid w:val="39040B47"/>
    <w:rsid w:val="39074C5D"/>
    <w:rsid w:val="3907A6AD"/>
    <w:rsid w:val="3911B4CB"/>
    <w:rsid w:val="39134EE4"/>
    <w:rsid w:val="3917E931"/>
    <w:rsid w:val="39184E3C"/>
    <w:rsid w:val="391B4A1F"/>
    <w:rsid w:val="391D5523"/>
    <w:rsid w:val="391E19F7"/>
    <w:rsid w:val="391FE287"/>
    <w:rsid w:val="39204C05"/>
    <w:rsid w:val="39212F40"/>
    <w:rsid w:val="3922A6BD"/>
    <w:rsid w:val="3924AA61"/>
    <w:rsid w:val="39260FB5"/>
    <w:rsid w:val="3926ECEA"/>
    <w:rsid w:val="39278FEC"/>
    <w:rsid w:val="392BB8D2"/>
    <w:rsid w:val="392D5E3A"/>
    <w:rsid w:val="3936A9B1"/>
    <w:rsid w:val="393ACE3D"/>
    <w:rsid w:val="393BF9C5"/>
    <w:rsid w:val="393D78B4"/>
    <w:rsid w:val="39471150"/>
    <w:rsid w:val="39485FF2"/>
    <w:rsid w:val="39496582"/>
    <w:rsid w:val="394A55D9"/>
    <w:rsid w:val="395F85C3"/>
    <w:rsid w:val="39623316"/>
    <w:rsid w:val="3963FE82"/>
    <w:rsid w:val="39670827"/>
    <w:rsid w:val="39683D07"/>
    <w:rsid w:val="3972A033"/>
    <w:rsid w:val="39741254"/>
    <w:rsid w:val="397561E4"/>
    <w:rsid w:val="3979B87F"/>
    <w:rsid w:val="397A9B2F"/>
    <w:rsid w:val="397AFD8D"/>
    <w:rsid w:val="39830AE2"/>
    <w:rsid w:val="3983A1BD"/>
    <w:rsid w:val="3986CA71"/>
    <w:rsid w:val="39892C70"/>
    <w:rsid w:val="39892FC8"/>
    <w:rsid w:val="3989381A"/>
    <w:rsid w:val="39893BD8"/>
    <w:rsid w:val="398A17E7"/>
    <w:rsid w:val="398B0003"/>
    <w:rsid w:val="398D663F"/>
    <w:rsid w:val="398E7393"/>
    <w:rsid w:val="398E7CB5"/>
    <w:rsid w:val="39930FE6"/>
    <w:rsid w:val="3994B502"/>
    <w:rsid w:val="3996F3C1"/>
    <w:rsid w:val="39974E0B"/>
    <w:rsid w:val="39995E0A"/>
    <w:rsid w:val="399CA8AC"/>
    <w:rsid w:val="399F35B4"/>
    <w:rsid w:val="39A04E1D"/>
    <w:rsid w:val="39A4EC77"/>
    <w:rsid w:val="39A7EEAF"/>
    <w:rsid w:val="39AA665E"/>
    <w:rsid w:val="39B35976"/>
    <w:rsid w:val="39B5BCA2"/>
    <w:rsid w:val="39B6851F"/>
    <w:rsid w:val="39BCDC46"/>
    <w:rsid w:val="39BD6EF5"/>
    <w:rsid w:val="39C2051C"/>
    <w:rsid w:val="39C26043"/>
    <w:rsid w:val="39C6CEBD"/>
    <w:rsid w:val="39C8408B"/>
    <w:rsid w:val="39C86A91"/>
    <w:rsid w:val="39C9BF8D"/>
    <w:rsid w:val="39CC009B"/>
    <w:rsid w:val="39CD624F"/>
    <w:rsid w:val="39D8EF5D"/>
    <w:rsid w:val="39DB5FCD"/>
    <w:rsid w:val="39DBCB31"/>
    <w:rsid w:val="39DBD596"/>
    <w:rsid w:val="39E61240"/>
    <w:rsid w:val="39E68207"/>
    <w:rsid w:val="39E7EEC9"/>
    <w:rsid w:val="39E80686"/>
    <w:rsid w:val="39E89A74"/>
    <w:rsid w:val="39E9B6FC"/>
    <w:rsid w:val="39E9DF8F"/>
    <w:rsid w:val="39F0ADFA"/>
    <w:rsid w:val="39F21A6C"/>
    <w:rsid w:val="39F38D6D"/>
    <w:rsid w:val="39FAEC5B"/>
    <w:rsid w:val="39FBADBA"/>
    <w:rsid w:val="39FF14B9"/>
    <w:rsid w:val="3A08FB19"/>
    <w:rsid w:val="3A0A855C"/>
    <w:rsid w:val="3A0D6035"/>
    <w:rsid w:val="3A17DFAB"/>
    <w:rsid w:val="3A1AEA09"/>
    <w:rsid w:val="3A1B437A"/>
    <w:rsid w:val="3A1EE790"/>
    <w:rsid w:val="3A1F36D7"/>
    <w:rsid w:val="3A22FCA6"/>
    <w:rsid w:val="3A24706C"/>
    <w:rsid w:val="3A2492B7"/>
    <w:rsid w:val="3A252E83"/>
    <w:rsid w:val="3A2667A2"/>
    <w:rsid w:val="3A279C45"/>
    <w:rsid w:val="3A2B0497"/>
    <w:rsid w:val="3A2B3E0C"/>
    <w:rsid w:val="3A2BAEFD"/>
    <w:rsid w:val="3A2DCACA"/>
    <w:rsid w:val="3A3059E1"/>
    <w:rsid w:val="3A31363B"/>
    <w:rsid w:val="3A31CAD2"/>
    <w:rsid w:val="3A33AD8D"/>
    <w:rsid w:val="3A33B7E8"/>
    <w:rsid w:val="3A34B587"/>
    <w:rsid w:val="3A35E213"/>
    <w:rsid w:val="3A378AC7"/>
    <w:rsid w:val="3A3C4BE7"/>
    <w:rsid w:val="3A409286"/>
    <w:rsid w:val="3A4877D2"/>
    <w:rsid w:val="3A4A0069"/>
    <w:rsid w:val="3A4F25D9"/>
    <w:rsid w:val="3A50FF91"/>
    <w:rsid w:val="3A515975"/>
    <w:rsid w:val="3A527DFA"/>
    <w:rsid w:val="3A54CEDF"/>
    <w:rsid w:val="3A55F604"/>
    <w:rsid w:val="3A576E40"/>
    <w:rsid w:val="3A5B1F20"/>
    <w:rsid w:val="3A5D36A5"/>
    <w:rsid w:val="3A61472B"/>
    <w:rsid w:val="3A646EDA"/>
    <w:rsid w:val="3A64E2A4"/>
    <w:rsid w:val="3A670435"/>
    <w:rsid w:val="3A696573"/>
    <w:rsid w:val="3A6A5738"/>
    <w:rsid w:val="3A6BDAAD"/>
    <w:rsid w:val="3A6BF586"/>
    <w:rsid w:val="3A6CA9E9"/>
    <w:rsid w:val="3A6D44EE"/>
    <w:rsid w:val="3A6EC4F1"/>
    <w:rsid w:val="3A703E5D"/>
    <w:rsid w:val="3A7295A7"/>
    <w:rsid w:val="3A72DA17"/>
    <w:rsid w:val="3A72DFF4"/>
    <w:rsid w:val="3A7431E5"/>
    <w:rsid w:val="3A747ACB"/>
    <w:rsid w:val="3A758610"/>
    <w:rsid w:val="3A7659D7"/>
    <w:rsid w:val="3A76A606"/>
    <w:rsid w:val="3A7B7563"/>
    <w:rsid w:val="3A7CE0EE"/>
    <w:rsid w:val="3A7E81B9"/>
    <w:rsid w:val="3A7F2AEE"/>
    <w:rsid w:val="3A823A46"/>
    <w:rsid w:val="3A83E02D"/>
    <w:rsid w:val="3A84FEB2"/>
    <w:rsid w:val="3A888418"/>
    <w:rsid w:val="3A8D2475"/>
    <w:rsid w:val="3A91E55E"/>
    <w:rsid w:val="3A9276F0"/>
    <w:rsid w:val="3A940348"/>
    <w:rsid w:val="3A976F9C"/>
    <w:rsid w:val="3A9B990E"/>
    <w:rsid w:val="3A9D6198"/>
    <w:rsid w:val="3A9DA4E5"/>
    <w:rsid w:val="3A9DB223"/>
    <w:rsid w:val="3A9FC255"/>
    <w:rsid w:val="3AA22F61"/>
    <w:rsid w:val="3AA57A42"/>
    <w:rsid w:val="3AABEBED"/>
    <w:rsid w:val="3AB149DA"/>
    <w:rsid w:val="3AB1DF59"/>
    <w:rsid w:val="3ABC3808"/>
    <w:rsid w:val="3AC00F11"/>
    <w:rsid w:val="3AC1F306"/>
    <w:rsid w:val="3AC1F622"/>
    <w:rsid w:val="3ACC59D9"/>
    <w:rsid w:val="3ACDAC50"/>
    <w:rsid w:val="3ACF4A97"/>
    <w:rsid w:val="3AD3C3D8"/>
    <w:rsid w:val="3AD615BF"/>
    <w:rsid w:val="3ADB8A5E"/>
    <w:rsid w:val="3ADE5FC6"/>
    <w:rsid w:val="3AE10D6B"/>
    <w:rsid w:val="3AE33A76"/>
    <w:rsid w:val="3AE5BF20"/>
    <w:rsid w:val="3AE73A1D"/>
    <w:rsid w:val="3AE7941B"/>
    <w:rsid w:val="3AE95FD8"/>
    <w:rsid w:val="3AEBC7A5"/>
    <w:rsid w:val="3AEE4C5C"/>
    <w:rsid w:val="3AF16FC8"/>
    <w:rsid w:val="3AF495BD"/>
    <w:rsid w:val="3AF72DE0"/>
    <w:rsid w:val="3AF95E56"/>
    <w:rsid w:val="3AFDA7E1"/>
    <w:rsid w:val="3B095149"/>
    <w:rsid w:val="3B095F7D"/>
    <w:rsid w:val="3B0BE649"/>
    <w:rsid w:val="3B1473D8"/>
    <w:rsid w:val="3B15B46F"/>
    <w:rsid w:val="3B15FA0A"/>
    <w:rsid w:val="3B170E98"/>
    <w:rsid w:val="3B19A55C"/>
    <w:rsid w:val="3B1AE683"/>
    <w:rsid w:val="3B1DC3A2"/>
    <w:rsid w:val="3B1EC96A"/>
    <w:rsid w:val="3B1F9EB1"/>
    <w:rsid w:val="3B25721E"/>
    <w:rsid w:val="3B335C10"/>
    <w:rsid w:val="3B3509F7"/>
    <w:rsid w:val="3B35DCD1"/>
    <w:rsid w:val="3B39F905"/>
    <w:rsid w:val="3B3B60E3"/>
    <w:rsid w:val="3B3C6904"/>
    <w:rsid w:val="3B3D3192"/>
    <w:rsid w:val="3B3FD3EE"/>
    <w:rsid w:val="3B4108AE"/>
    <w:rsid w:val="3B41D978"/>
    <w:rsid w:val="3B489DF0"/>
    <w:rsid w:val="3B4CC0F1"/>
    <w:rsid w:val="3B4F2F4C"/>
    <w:rsid w:val="3B5017B2"/>
    <w:rsid w:val="3B568E13"/>
    <w:rsid w:val="3B5AA513"/>
    <w:rsid w:val="3B5B3778"/>
    <w:rsid w:val="3B5BF80A"/>
    <w:rsid w:val="3B5E0F84"/>
    <w:rsid w:val="3B5F1FFA"/>
    <w:rsid w:val="3B61FA7C"/>
    <w:rsid w:val="3B6C5511"/>
    <w:rsid w:val="3B6E129A"/>
    <w:rsid w:val="3B6F4A60"/>
    <w:rsid w:val="3B6F8E48"/>
    <w:rsid w:val="3B7019FB"/>
    <w:rsid w:val="3B71BD4B"/>
    <w:rsid w:val="3B76582C"/>
    <w:rsid w:val="3B7C9FF7"/>
    <w:rsid w:val="3B7D7A6D"/>
    <w:rsid w:val="3B814113"/>
    <w:rsid w:val="3B846634"/>
    <w:rsid w:val="3B853723"/>
    <w:rsid w:val="3B86D15A"/>
    <w:rsid w:val="3B873E73"/>
    <w:rsid w:val="3B8D9AC2"/>
    <w:rsid w:val="3B9015DC"/>
    <w:rsid w:val="3B94AA92"/>
    <w:rsid w:val="3B97CEC2"/>
    <w:rsid w:val="3B98A1FF"/>
    <w:rsid w:val="3B9BDC1E"/>
    <w:rsid w:val="3B9CFF04"/>
    <w:rsid w:val="3B9E4C07"/>
    <w:rsid w:val="3B9E5A8A"/>
    <w:rsid w:val="3BA37CFE"/>
    <w:rsid w:val="3BA3BCC5"/>
    <w:rsid w:val="3BA47578"/>
    <w:rsid w:val="3BA691E2"/>
    <w:rsid w:val="3BA77F36"/>
    <w:rsid w:val="3BA8F812"/>
    <w:rsid w:val="3BA93D8A"/>
    <w:rsid w:val="3BAB13D8"/>
    <w:rsid w:val="3BAB1E4A"/>
    <w:rsid w:val="3BAB8E86"/>
    <w:rsid w:val="3BADEA8E"/>
    <w:rsid w:val="3BADF900"/>
    <w:rsid w:val="3BAE05E3"/>
    <w:rsid w:val="3BAF91AB"/>
    <w:rsid w:val="3BBB8C19"/>
    <w:rsid w:val="3BBC2C3C"/>
    <w:rsid w:val="3BC24757"/>
    <w:rsid w:val="3BC6DD7E"/>
    <w:rsid w:val="3BC9DA64"/>
    <w:rsid w:val="3BCB528D"/>
    <w:rsid w:val="3BCD67C7"/>
    <w:rsid w:val="3BCE975B"/>
    <w:rsid w:val="3BD2C381"/>
    <w:rsid w:val="3BD2CFC8"/>
    <w:rsid w:val="3BD7D1C9"/>
    <w:rsid w:val="3BDA5BBC"/>
    <w:rsid w:val="3BDC7DEA"/>
    <w:rsid w:val="3BDE7134"/>
    <w:rsid w:val="3BE596B0"/>
    <w:rsid w:val="3BE83D74"/>
    <w:rsid w:val="3BE9F5A1"/>
    <w:rsid w:val="3BF573BF"/>
    <w:rsid w:val="3BF594D3"/>
    <w:rsid w:val="3BF78342"/>
    <w:rsid w:val="3BF7DD63"/>
    <w:rsid w:val="3BF97BF7"/>
    <w:rsid w:val="3BFB2311"/>
    <w:rsid w:val="3BFBAA43"/>
    <w:rsid w:val="3BFD2569"/>
    <w:rsid w:val="3BFD38A1"/>
    <w:rsid w:val="3C034191"/>
    <w:rsid w:val="3C03B062"/>
    <w:rsid w:val="3C05D5E4"/>
    <w:rsid w:val="3C074448"/>
    <w:rsid w:val="3C0757D9"/>
    <w:rsid w:val="3C0A8F1D"/>
    <w:rsid w:val="3C0BF1D8"/>
    <w:rsid w:val="3C0CD333"/>
    <w:rsid w:val="3C0D5993"/>
    <w:rsid w:val="3C0DCAF3"/>
    <w:rsid w:val="3C0F5EA4"/>
    <w:rsid w:val="3C1042F7"/>
    <w:rsid w:val="3C114A0B"/>
    <w:rsid w:val="3C12DFD4"/>
    <w:rsid w:val="3C131689"/>
    <w:rsid w:val="3C139811"/>
    <w:rsid w:val="3C14B2A2"/>
    <w:rsid w:val="3C198164"/>
    <w:rsid w:val="3C24140E"/>
    <w:rsid w:val="3C250AD0"/>
    <w:rsid w:val="3C281763"/>
    <w:rsid w:val="3C2C02E0"/>
    <w:rsid w:val="3C2DD942"/>
    <w:rsid w:val="3C36AD7E"/>
    <w:rsid w:val="3C3B2F5D"/>
    <w:rsid w:val="3C416CC5"/>
    <w:rsid w:val="3C425C20"/>
    <w:rsid w:val="3C4365B0"/>
    <w:rsid w:val="3C4874E1"/>
    <w:rsid w:val="3C4D7209"/>
    <w:rsid w:val="3C4F5A54"/>
    <w:rsid w:val="3C4F7DB0"/>
    <w:rsid w:val="3C510F5E"/>
    <w:rsid w:val="3C511C59"/>
    <w:rsid w:val="3C514293"/>
    <w:rsid w:val="3C52196F"/>
    <w:rsid w:val="3C544EFA"/>
    <w:rsid w:val="3C59C6E0"/>
    <w:rsid w:val="3C5A9E75"/>
    <w:rsid w:val="3C5D2E88"/>
    <w:rsid w:val="3C5DB383"/>
    <w:rsid w:val="3C61121B"/>
    <w:rsid w:val="3C617A24"/>
    <w:rsid w:val="3C66E734"/>
    <w:rsid w:val="3C6A34A3"/>
    <w:rsid w:val="3C6C7473"/>
    <w:rsid w:val="3C713012"/>
    <w:rsid w:val="3C765EFC"/>
    <w:rsid w:val="3C774E0E"/>
    <w:rsid w:val="3C7DF350"/>
    <w:rsid w:val="3C7F254A"/>
    <w:rsid w:val="3C804943"/>
    <w:rsid w:val="3C826EB8"/>
    <w:rsid w:val="3C8501A0"/>
    <w:rsid w:val="3C894C71"/>
    <w:rsid w:val="3C8A2E84"/>
    <w:rsid w:val="3C9075E9"/>
    <w:rsid w:val="3C90C3E1"/>
    <w:rsid w:val="3C922E91"/>
    <w:rsid w:val="3C9477BA"/>
    <w:rsid w:val="3C964C88"/>
    <w:rsid w:val="3C97F6B0"/>
    <w:rsid w:val="3C986868"/>
    <w:rsid w:val="3C9B191C"/>
    <w:rsid w:val="3C9C9BA1"/>
    <w:rsid w:val="3C9CADE6"/>
    <w:rsid w:val="3C9E3F9A"/>
    <w:rsid w:val="3CA268CF"/>
    <w:rsid w:val="3CA37325"/>
    <w:rsid w:val="3CA4E5AA"/>
    <w:rsid w:val="3CA9016E"/>
    <w:rsid w:val="3CA965DB"/>
    <w:rsid w:val="3CAA7FD0"/>
    <w:rsid w:val="3CAD2AE0"/>
    <w:rsid w:val="3CB3613B"/>
    <w:rsid w:val="3CB6206C"/>
    <w:rsid w:val="3CB73FBE"/>
    <w:rsid w:val="3CB8A91A"/>
    <w:rsid w:val="3CB8D236"/>
    <w:rsid w:val="3CBA345B"/>
    <w:rsid w:val="3CBBD3C3"/>
    <w:rsid w:val="3CBE474C"/>
    <w:rsid w:val="3CC38B11"/>
    <w:rsid w:val="3CC4EB5E"/>
    <w:rsid w:val="3CC530F8"/>
    <w:rsid w:val="3CC64595"/>
    <w:rsid w:val="3CCA5B99"/>
    <w:rsid w:val="3CCC690D"/>
    <w:rsid w:val="3CCEB352"/>
    <w:rsid w:val="3CCF1029"/>
    <w:rsid w:val="3CD4DB87"/>
    <w:rsid w:val="3CD62DEA"/>
    <w:rsid w:val="3CD8B5DD"/>
    <w:rsid w:val="3CDB69FA"/>
    <w:rsid w:val="3CDD64BE"/>
    <w:rsid w:val="3CDD670B"/>
    <w:rsid w:val="3CDDF77A"/>
    <w:rsid w:val="3CDE10CB"/>
    <w:rsid w:val="3CE20FB1"/>
    <w:rsid w:val="3CE39AA6"/>
    <w:rsid w:val="3CE5F66F"/>
    <w:rsid w:val="3CE87ACA"/>
    <w:rsid w:val="3CEB8D47"/>
    <w:rsid w:val="3CED374A"/>
    <w:rsid w:val="3CF0B5F6"/>
    <w:rsid w:val="3CF40562"/>
    <w:rsid w:val="3CF519B6"/>
    <w:rsid w:val="3CF80375"/>
    <w:rsid w:val="3CFB26E5"/>
    <w:rsid w:val="3D013899"/>
    <w:rsid w:val="3D02B7F4"/>
    <w:rsid w:val="3D03CCA1"/>
    <w:rsid w:val="3D0447B2"/>
    <w:rsid w:val="3D0EEDD7"/>
    <w:rsid w:val="3D0F02AB"/>
    <w:rsid w:val="3D1A1515"/>
    <w:rsid w:val="3D1B0630"/>
    <w:rsid w:val="3D1C556D"/>
    <w:rsid w:val="3D1E4EC3"/>
    <w:rsid w:val="3D215F4D"/>
    <w:rsid w:val="3D21B0F4"/>
    <w:rsid w:val="3D226D21"/>
    <w:rsid w:val="3D2297F1"/>
    <w:rsid w:val="3D2361B4"/>
    <w:rsid w:val="3D28F55C"/>
    <w:rsid w:val="3D29077F"/>
    <w:rsid w:val="3D29CA67"/>
    <w:rsid w:val="3D29E0F0"/>
    <w:rsid w:val="3D2B4FD1"/>
    <w:rsid w:val="3D2BC932"/>
    <w:rsid w:val="3D2CA326"/>
    <w:rsid w:val="3D2D8C87"/>
    <w:rsid w:val="3D2DD7F9"/>
    <w:rsid w:val="3D2E5DC2"/>
    <w:rsid w:val="3D2EBDCF"/>
    <w:rsid w:val="3D31AEE1"/>
    <w:rsid w:val="3D31EF96"/>
    <w:rsid w:val="3D3551EF"/>
    <w:rsid w:val="3D356596"/>
    <w:rsid w:val="3D35CE03"/>
    <w:rsid w:val="3D3879BB"/>
    <w:rsid w:val="3D3C43E8"/>
    <w:rsid w:val="3D3DB955"/>
    <w:rsid w:val="3D42725B"/>
    <w:rsid w:val="3D440E27"/>
    <w:rsid w:val="3D47EB9F"/>
    <w:rsid w:val="3D49A771"/>
    <w:rsid w:val="3D4BB9B7"/>
    <w:rsid w:val="3D4BC005"/>
    <w:rsid w:val="3D4EDE7A"/>
    <w:rsid w:val="3D57D3D2"/>
    <w:rsid w:val="3D5DB176"/>
    <w:rsid w:val="3D63B752"/>
    <w:rsid w:val="3D64E47A"/>
    <w:rsid w:val="3D657448"/>
    <w:rsid w:val="3D657779"/>
    <w:rsid w:val="3D6EFD81"/>
    <w:rsid w:val="3D706228"/>
    <w:rsid w:val="3D713BC0"/>
    <w:rsid w:val="3D71B85E"/>
    <w:rsid w:val="3D72C100"/>
    <w:rsid w:val="3D730237"/>
    <w:rsid w:val="3D74F5AF"/>
    <w:rsid w:val="3D758DB0"/>
    <w:rsid w:val="3D7E0ED9"/>
    <w:rsid w:val="3D7E41E6"/>
    <w:rsid w:val="3D844ECF"/>
    <w:rsid w:val="3D8C9784"/>
    <w:rsid w:val="3D8D6FF2"/>
    <w:rsid w:val="3D8E5BFD"/>
    <w:rsid w:val="3D913E84"/>
    <w:rsid w:val="3D91727F"/>
    <w:rsid w:val="3D925937"/>
    <w:rsid w:val="3D92D100"/>
    <w:rsid w:val="3D93DF13"/>
    <w:rsid w:val="3D93FCD0"/>
    <w:rsid w:val="3D970CE3"/>
    <w:rsid w:val="3D986524"/>
    <w:rsid w:val="3D9BB421"/>
    <w:rsid w:val="3DA354FE"/>
    <w:rsid w:val="3DA6FC4E"/>
    <w:rsid w:val="3DAAEA84"/>
    <w:rsid w:val="3DABB9E8"/>
    <w:rsid w:val="3DAC7055"/>
    <w:rsid w:val="3DAE4148"/>
    <w:rsid w:val="3DB123F2"/>
    <w:rsid w:val="3DB44187"/>
    <w:rsid w:val="3DB62DD3"/>
    <w:rsid w:val="3DB6A39D"/>
    <w:rsid w:val="3DBAF700"/>
    <w:rsid w:val="3DBB1C1F"/>
    <w:rsid w:val="3DBB20C5"/>
    <w:rsid w:val="3DBEA600"/>
    <w:rsid w:val="3DC010F7"/>
    <w:rsid w:val="3DC0C974"/>
    <w:rsid w:val="3DC2D89A"/>
    <w:rsid w:val="3DC3EDC4"/>
    <w:rsid w:val="3DC61C79"/>
    <w:rsid w:val="3DC6E3E5"/>
    <w:rsid w:val="3DCA6CA8"/>
    <w:rsid w:val="3DCBE06D"/>
    <w:rsid w:val="3DD19A6A"/>
    <w:rsid w:val="3DD64EFD"/>
    <w:rsid w:val="3DD796D0"/>
    <w:rsid w:val="3DDAFD6F"/>
    <w:rsid w:val="3DE1DAFF"/>
    <w:rsid w:val="3DE3E5AE"/>
    <w:rsid w:val="3DE5A5A7"/>
    <w:rsid w:val="3DE9ED7E"/>
    <w:rsid w:val="3DEAEE5A"/>
    <w:rsid w:val="3DEC4E4D"/>
    <w:rsid w:val="3DEE95FF"/>
    <w:rsid w:val="3DF2C095"/>
    <w:rsid w:val="3DF49336"/>
    <w:rsid w:val="3DF4D991"/>
    <w:rsid w:val="3DF718FA"/>
    <w:rsid w:val="3DF87A4F"/>
    <w:rsid w:val="3DFA5C0B"/>
    <w:rsid w:val="3DFADDCA"/>
    <w:rsid w:val="3DFDA7EB"/>
    <w:rsid w:val="3DFDC1F5"/>
    <w:rsid w:val="3DFEA569"/>
    <w:rsid w:val="3E030792"/>
    <w:rsid w:val="3E04060F"/>
    <w:rsid w:val="3E04E36D"/>
    <w:rsid w:val="3E0581F3"/>
    <w:rsid w:val="3E0693D3"/>
    <w:rsid w:val="3E075F7B"/>
    <w:rsid w:val="3E0E443D"/>
    <w:rsid w:val="3E102B18"/>
    <w:rsid w:val="3E11C083"/>
    <w:rsid w:val="3E13381D"/>
    <w:rsid w:val="3E139C7D"/>
    <w:rsid w:val="3E13E70A"/>
    <w:rsid w:val="3E16C538"/>
    <w:rsid w:val="3E1B270F"/>
    <w:rsid w:val="3E1C2B20"/>
    <w:rsid w:val="3E1E4766"/>
    <w:rsid w:val="3E200AAC"/>
    <w:rsid w:val="3E20A4CE"/>
    <w:rsid w:val="3E2126CB"/>
    <w:rsid w:val="3E2428BA"/>
    <w:rsid w:val="3E24A5E2"/>
    <w:rsid w:val="3E2A408D"/>
    <w:rsid w:val="3E2A8D98"/>
    <w:rsid w:val="3E324B49"/>
    <w:rsid w:val="3E3537CF"/>
    <w:rsid w:val="3E3691D7"/>
    <w:rsid w:val="3E3C16E9"/>
    <w:rsid w:val="3E3C22F8"/>
    <w:rsid w:val="3E3C3B35"/>
    <w:rsid w:val="3E3D89E6"/>
    <w:rsid w:val="3E40F758"/>
    <w:rsid w:val="3E43A02F"/>
    <w:rsid w:val="3E44557B"/>
    <w:rsid w:val="3E48FCFE"/>
    <w:rsid w:val="3E4A3237"/>
    <w:rsid w:val="3E4A690D"/>
    <w:rsid w:val="3E4A8E87"/>
    <w:rsid w:val="3E4EB25D"/>
    <w:rsid w:val="3E5078A2"/>
    <w:rsid w:val="3E51B131"/>
    <w:rsid w:val="3E52CAA9"/>
    <w:rsid w:val="3E56B70A"/>
    <w:rsid w:val="3E5B4306"/>
    <w:rsid w:val="3E5C34D8"/>
    <w:rsid w:val="3E5CC366"/>
    <w:rsid w:val="3E5F894A"/>
    <w:rsid w:val="3E628142"/>
    <w:rsid w:val="3E630333"/>
    <w:rsid w:val="3E677C27"/>
    <w:rsid w:val="3E678693"/>
    <w:rsid w:val="3E6A1216"/>
    <w:rsid w:val="3E6D88D2"/>
    <w:rsid w:val="3E6D995A"/>
    <w:rsid w:val="3E6E1B70"/>
    <w:rsid w:val="3E6EB88E"/>
    <w:rsid w:val="3E7618A1"/>
    <w:rsid w:val="3E76CBC8"/>
    <w:rsid w:val="3E78F941"/>
    <w:rsid w:val="3E7A1768"/>
    <w:rsid w:val="3E7D50E8"/>
    <w:rsid w:val="3E7FC5A0"/>
    <w:rsid w:val="3E7FED9B"/>
    <w:rsid w:val="3E841895"/>
    <w:rsid w:val="3E8501D9"/>
    <w:rsid w:val="3E852DE6"/>
    <w:rsid w:val="3E853E48"/>
    <w:rsid w:val="3E8F7089"/>
    <w:rsid w:val="3E901681"/>
    <w:rsid w:val="3E908026"/>
    <w:rsid w:val="3E9299C0"/>
    <w:rsid w:val="3E9A138C"/>
    <w:rsid w:val="3E9DCC4B"/>
    <w:rsid w:val="3E9ED28E"/>
    <w:rsid w:val="3E9FB26F"/>
    <w:rsid w:val="3EA0A177"/>
    <w:rsid w:val="3EA1264F"/>
    <w:rsid w:val="3EA28AE9"/>
    <w:rsid w:val="3EA58D2A"/>
    <w:rsid w:val="3EA70083"/>
    <w:rsid w:val="3EB20112"/>
    <w:rsid w:val="3EB483B3"/>
    <w:rsid w:val="3EB4B009"/>
    <w:rsid w:val="3EB6C4ED"/>
    <w:rsid w:val="3EB7D267"/>
    <w:rsid w:val="3EB8563F"/>
    <w:rsid w:val="3EB9BD8C"/>
    <w:rsid w:val="3EBA3374"/>
    <w:rsid w:val="3EBA9FC1"/>
    <w:rsid w:val="3EBCA6AC"/>
    <w:rsid w:val="3EBD36DC"/>
    <w:rsid w:val="3EBD4B00"/>
    <w:rsid w:val="3EBDA6C6"/>
    <w:rsid w:val="3EC1C702"/>
    <w:rsid w:val="3EC5DAA2"/>
    <w:rsid w:val="3EC78918"/>
    <w:rsid w:val="3EC7AE61"/>
    <w:rsid w:val="3ECADCFE"/>
    <w:rsid w:val="3ECB5512"/>
    <w:rsid w:val="3ECE1880"/>
    <w:rsid w:val="3ECFE610"/>
    <w:rsid w:val="3ED15929"/>
    <w:rsid w:val="3ED1EC93"/>
    <w:rsid w:val="3ED38655"/>
    <w:rsid w:val="3ED7FBFB"/>
    <w:rsid w:val="3ED8272B"/>
    <w:rsid w:val="3ED89B30"/>
    <w:rsid w:val="3ED9DC22"/>
    <w:rsid w:val="3EDBA523"/>
    <w:rsid w:val="3EDD7180"/>
    <w:rsid w:val="3EE34D1B"/>
    <w:rsid w:val="3EE6112D"/>
    <w:rsid w:val="3EE76CCF"/>
    <w:rsid w:val="3EF02087"/>
    <w:rsid w:val="3EF02C0B"/>
    <w:rsid w:val="3EF13E59"/>
    <w:rsid w:val="3EF2AD1C"/>
    <w:rsid w:val="3EF6BE10"/>
    <w:rsid w:val="3F0707DD"/>
    <w:rsid w:val="3F07E853"/>
    <w:rsid w:val="3F0BF993"/>
    <w:rsid w:val="3F0C1A09"/>
    <w:rsid w:val="3F0C7ABC"/>
    <w:rsid w:val="3F1086F1"/>
    <w:rsid w:val="3F10D73F"/>
    <w:rsid w:val="3F12FF8B"/>
    <w:rsid w:val="3F134DBA"/>
    <w:rsid w:val="3F16E27A"/>
    <w:rsid w:val="3F17517D"/>
    <w:rsid w:val="3F1896E8"/>
    <w:rsid w:val="3F195F82"/>
    <w:rsid w:val="3F1A1AF8"/>
    <w:rsid w:val="3F1C4186"/>
    <w:rsid w:val="3F1E8BB7"/>
    <w:rsid w:val="3F261F84"/>
    <w:rsid w:val="3F28729E"/>
    <w:rsid w:val="3F2BAFBC"/>
    <w:rsid w:val="3F2CF0DD"/>
    <w:rsid w:val="3F2F6AEA"/>
    <w:rsid w:val="3F3208B1"/>
    <w:rsid w:val="3F330683"/>
    <w:rsid w:val="3F39511C"/>
    <w:rsid w:val="3F3B5D8E"/>
    <w:rsid w:val="3F3B8FD1"/>
    <w:rsid w:val="3F3CDCC8"/>
    <w:rsid w:val="3F3D0FEA"/>
    <w:rsid w:val="3F444390"/>
    <w:rsid w:val="3F45C0D7"/>
    <w:rsid w:val="3F4809E7"/>
    <w:rsid w:val="3F4C523F"/>
    <w:rsid w:val="3F4D6029"/>
    <w:rsid w:val="3F515A55"/>
    <w:rsid w:val="3F518C66"/>
    <w:rsid w:val="3F51948D"/>
    <w:rsid w:val="3F576D63"/>
    <w:rsid w:val="3F57D6D8"/>
    <w:rsid w:val="3F58F86B"/>
    <w:rsid w:val="3F5A357E"/>
    <w:rsid w:val="3F5E2AF9"/>
    <w:rsid w:val="3F62D858"/>
    <w:rsid w:val="3F62ED84"/>
    <w:rsid w:val="3F690229"/>
    <w:rsid w:val="3F6919FA"/>
    <w:rsid w:val="3F6B62A6"/>
    <w:rsid w:val="3F6DFC69"/>
    <w:rsid w:val="3F7035A8"/>
    <w:rsid w:val="3F704256"/>
    <w:rsid w:val="3F734B4A"/>
    <w:rsid w:val="3F75D02F"/>
    <w:rsid w:val="3F773B15"/>
    <w:rsid w:val="3F78AD4C"/>
    <w:rsid w:val="3F7ACF3B"/>
    <w:rsid w:val="3F7E6B96"/>
    <w:rsid w:val="3F8C219E"/>
    <w:rsid w:val="3F8C67B8"/>
    <w:rsid w:val="3F8D4DA4"/>
    <w:rsid w:val="3F8E9439"/>
    <w:rsid w:val="3F8EC4D0"/>
    <w:rsid w:val="3F8F3D32"/>
    <w:rsid w:val="3F8FE665"/>
    <w:rsid w:val="3F921BFB"/>
    <w:rsid w:val="3F924DA6"/>
    <w:rsid w:val="3F9480D5"/>
    <w:rsid w:val="3F956CCF"/>
    <w:rsid w:val="3F984C25"/>
    <w:rsid w:val="3F985B23"/>
    <w:rsid w:val="3F99E550"/>
    <w:rsid w:val="3F9EED5A"/>
    <w:rsid w:val="3FA1B2EA"/>
    <w:rsid w:val="3FA413C6"/>
    <w:rsid w:val="3FA58D4E"/>
    <w:rsid w:val="3FA99EAD"/>
    <w:rsid w:val="3FAA89BC"/>
    <w:rsid w:val="3FAEA7BC"/>
    <w:rsid w:val="3FB24D5D"/>
    <w:rsid w:val="3FB3BE48"/>
    <w:rsid w:val="3FB47CD3"/>
    <w:rsid w:val="3FBE21B2"/>
    <w:rsid w:val="3FBEE1CF"/>
    <w:rsid w:val="3FC0CCE0"/>
    <w:rsid w:val="3FC2D10C"/>
    <w:rsid w:val="3FC463A6"/>
    <w:rsid w:val="3FCCD415"/>
    <w:rsid w:val="3FCE039F"/>
    <w:rsid w:val="3FCF6866"/>
    <w:rsid w:val="3FD080C2"/>
    <w:rsid w:val="3FD1D4EA"/>
    <w:rsid w:val="3FD3AD12"/>
    <w:rsid w:val="3FD8F7BD"/>
    <w:rsid w:val="3FDD8A5E"/>
    <w:rsid w:val="3FDE079A"/>
    <w:rsid w:val="3FE0300C"/>
    <w:rsid w:val="3FE44FEE"/>
    <w:rsid w:val="3FE56EA9"/>
    <w:rsid w:val="3FE92F43"/>
    <w:rsid w:val="3FEA36F6"/>
    <w:rsid w:val="3FEB6A6D"/>
    <w:rsid w:val="3FECC751"/>
    <w:rsid w:val="3FEF211A"/>
    <w:rsid w:val="3FF1D648"/>
    <w:rsid w:val="3FF59E71"/>
    <w:rsid w:val="3FF60019"/>
    <w:rsid w:val="3FFB82C4"/>
    <w:rsid w:val="3FFCE716"/>
    <w:rsid w:val="3FFE3F20"/>
    <w:rsid w:val="3FFF5270"/>
    <w:rsid w:val="3FFF9688"/>
    <w:rsid w:val="4002F217"/>
    <w:rsid w:val="4009CE4A"/>
    <w:rsid w:val="400BA015"/>
    <w:rsid w:val="400E246B"/>
    <w:rsid w:val="40106183"/>
    <w:rsid w:val="4011F8D6"/>
    <w:rsid w:val="40135F89"/>
    <w:rsid w:val="4013A8D7"/>
    <w:rsid w:val="40154811"/>
    <w:rsid w:val="40161E45"/>
    <w:rsid w:val="401725F7"/>
    <w:rsid w:val="401B01AE"/>
    <w:rsid w:val="40234870"/>
    <w:rsid w:val="4024EA59"/>
    <w:rsid w:val="40289990"/>
    <w:rsid w:val="4028E47F"/>
    <w:rsid w:val="402D894D"/>
    <w:rsid w:val="402F6207"/>
    <w:rsid w:val="40321091"/>
    <w:rsid w:val="4033E5BC"/>
    <w:rsid w:val="403439D4"/>
    <w:rsid w:val="4036CD37"/>
    <w:rsid w:val="4036CE13"/>
    <w:rsid w:val="4039F5B4"/>
    <w:rsid w:val="403CD124"/>
    <w:rsid w:val="403F9D98"/>
    <w:rsid w:val="40409151"/>
    <w:rsid w:val="40413C07"/>
    <w:rsid w:val="40413C38"/>
    <w:rsid w:val="4043C45F"/>
    <w:rsid w:val="4048F40D"/>
    <w:rsid w:val="4049C1C2"/>
    <w:rsid w:val="404CCDB5"/>
    <w:rsid w:val="404EF1D0"/>
    <w:rsid w:val="404F6885"/>
    <w:rsid w:val="404F7FD2"/>
    <w:rsid w:val="4050A22F"/>
    <w:rsid w:val="405257C0"/>
    <w:rsid w:val="40553B27"/>
    <w:rsid w:val="4055B137"/>
    <w:rsid w:val="4056465C"/>
    <w:rsid w:val="405650D2"/>
    <w:rsid w:val="405DABF8"/>
    <w:rsid w:val="405EB39A"/>
    <w:rsid w:val="405FC9CF"/>
    <w:rsid w:val="40604563"/>
    <w:rsid w:val="4066D68B"/>
    <w:rsid w:val="4067C55D"/>
    <w:rsid w:val="406D1E71"/>
    <w:rsid w:val="406FF175"/>
    <w:rsid w:val="4072C284"/>
    <w:rsid w:val="4072D53E"/>
    <w:rsid w:val="4072E067"/>
    <w:rsid w:val="40766759"/>
    <w:rsid w:val="4078BA9D"/>
    <w:rsid w:val="4079EB2C"/>
    <w:rsid w:val="407A3C44"/>
    <w:rsid w:val="407B62D1"/>
    <w:rsid w:val="4082B5D8"/>
    <w:rsid w:val="4084C42A"/>
    <w:rsid w:val="4087721F"/>
    <w:rsid w:val="4089F1DD"/>
    <w:rsid w:val="408B1098"/>
    <w:rsid w:val="408FA7FD"/>
    <w:rsid w:val="40909BEC"/>
    <w:rsid w:val="40940D6F"/>
    <w:rsid w:val="40954F74"/>
    <w:rsid w:val="409C0E8D"/>
    <w:rsid w:val="409C4ED0"/>
    <w:rsid w:val="409C81D7"/>
    <w:rsid w:val="409F62BB"/>
    <w:rsid w:val="40A0534A"/>
    <w:rsid w:val="40A0E133"/>
    <w:rsid w:val="40A63C5A"/>
    <w:rsid w:val="40A82088"/>
    <w:rsid w:val="40A8B2E9"/>
    <w:rsid w:val="40AD2662"/>
    <w:rsid w:val="40AEBBA2"/>
    <w:rsid w:val="40AFFDBB"/>
    <w:rsid w:val="40B18C9F"/>
    <w:rsid w:val="40B22C62"/>
    <w:rsid w:val="40B2364E"/>
    <w:rsid w:val="40B63789"/>
    <w:rsid w:val="40B8B34A"/>
    <w:rsid w:val="40BA6FF7"/>
    <w:rsid w:val="40BB80B7"/>
    <w:rsid w:val="40C362B0"/>
    <w:rsid w:val="40C8230D"/>
    <w:rsid w:val="40CCEC3C"/>
    <w:rsid w:val="40CF6F3A"/>
    <w:rsid w:val="40D2AA05"/>
    <w:rsid w:val="40D35186"/>
    <w:rsid w:val="40D891A1"/>
    <w:rsid w:val="40DA280A"/>
    <w:rsid w:val="40DA8E32"/>
    <w:rsid w:val="40E293BB"/>
    <w:rsid w:val="40E41CB6"/>
    <w:rsid w:val="40E52974"/>
    <w:rsid w:val="40E5B2ED"/>
    <w:rsid w:val="40E673F9"/>
    <w:rsid w:val="40E7AADF"/>
    <w:rsid w:val="40EA3F78"/>
    <w:rsid w:val="40EA4D2B"/>
    <w:rsid w:val="40EAA001"/>
    <w:rsid w:val="40EC7AAA"/>
    <w:rsid w:val="40ECE23A"/>
    <w:rsid w:val="40EDB319"/>
    <w:rsid w:val="40F15589"/>
    <w:rsid w:val="40F3AF91"/>
    <w:rsid w:val="40F44176"/>
    <w:rsid w:val="40F74DFE"/>
    <w:rsid w:val="40F87C14"/>
    <w:rsid w:val="40FB89AB"/>
    <w:rsid w:val="40FCA1E6"/>
    <w:rsid w:val="40FDAA39"/>
    <w:rsid w:val="4100728A"/>
    <w:rsid w:val="4101A610"/>
    <w:rsid w:val="4105FE87"/>
    <w:rsid w:val="41077E5C"/>
    <w:rsid w:val="4107ACDD"/>
    <w:rsid w:val="41085BFC"/>
    <w:rsid w:val="4109B740"/>
    <w:rsid w:val="4110464B"/>
    <w:rsid w:val="41121651"/>
    <w:rsid w:val="4113F418"/>
    <w:rsid w:val="41156BE4"/>
    <w:rsid w:val="41172D82"/>
    <w:rsid w:val="41176801"/>
    <w:rsid w:val="41195892"/>
    <w:rsid w:val="411E18DD"/>
    <w:rsid w:val="411E89F1"/>
    <w:rsid w:val="411EA57C"/>
    <w:rsid w:val="411FF24B"/>
    <w:rsid w:val="41211C88"/>
    <w:rsid w:val="41234700"/>
    <w:rsid w:val="41246A89"/>
    <w:rsid w:val="412A11BB"/>
    <w:rsid w:val="412ADEB0"/>
    <w:rsid w:val="412BC098"/>
    <w:rsid w:val="412F4796"/>
    <w:rsid w:val="41301F81"/>
    <w:rsid w:val="41326413"/>
    <w:rsid w:val="4132EA34"/>
    <w:rsid w:val="4139448E"/>
    <w:rsid w:val="413A877A"/>
    <w:rsid w:val="413C43E1"/>
    <w:rsid w:val="413CFCDB"/>
    <w:rsid w:val="413E8075"/>
    <w:rsid w:val="4146B1F2"/>
    <w:rsid w:val="414952C1"/>
    <w:rsid w:val="414B883D"/>
    <w:rsid w:val="414D797A"/>
    <w:rsid w:val="414D9FD8"/>
    <w:rsid w:val="41511905"/>
    <w:rsid w:val="41517E61"/>
    <w:rsid w:val="4153DB0D"/>
    <w:rsid w:val="415902FB"/>
    <w:rsid w:val="415E9C21"/>
    <w:rsid w:val="4166D2EE"/>
    <w:rsid w:val="4167892D"/>
    <w:rsid w:val="4169AF66"/>
    <w:rsid w:val="416F651A"/>
    <w:rsid w:val="4170B46B"/>
    <w:rsid w:val="41742EB6"/>
    <w:rsid w:val="4176D70C"/>
    <w:rsid w:val="417BAA2F"/>
    <w:rsid w:val="417E12A4"/>
    <w:rsid w:val="4183E869"/>
    <w:rsid w:val="418A74EC"/>
    <w:rsid w:val="418C6312"/>
    <w:rsid w:val="418CBC5B"/>
    <w:rsid w:val="418D510B"/>
    <w:rsid w:val="418E7F8B"/>
    <w:rsid w:val="418EA203"/>
    <w:rsid w:val="41921D86"/>
    <w:rsid w:val="419387E1"/>
    <w:rsid w:val="419773AC"/>
    <w:rsid w:val="419B3405"/>
    <w:rsid w:val="419B98C6"/>
    <w:rsid w:val="419BBA52"/>
    <w:rsid w:val="419C61CE"/>
    <w:rsid w:val="41A07718"/>
    <w:rsid w:val="41A09D0F"/>
    <w:rsid w:val="41A3C2F1"/>
    <w:rsid w:val="41A3D276"/>
    <w:rsid w:val="41A3D53E"/>
    <w:rsid w:val="41A7BEB0"/>
    <w:rsid w:val="41A89E6F"/>
    <w:rsid w:val="41AB9BFD"/>
    <w:rsid w:val="41ADB705"/>
    <w:rsid w:val="41AF48A0"/>
    <w:rsid w:val="41B52945"/>
    <w:rsid w:val="41B5BD53"/>
    <w:rsid w:val="41B6A3B6"/>
    <w:rsid w:val="41B6DF18"/>
    <w:rsid w:val="41BB4DBD"/>
    <w:rsid w:val="41BB6488"/>
    <w:rsid w:val="41BC6CD4"/>
    <w:rsid w:val="41BD0777"/>
    <w:rsid w:val="41C1A91F"/>
    <w:rsid w:val="41C2EE03"/>
    <w:rsid w:val="41CA07B1"/>
    <w:rsid w:val="41CAD8E5"/>
    <w:rsid w:val="41CCCC86"/>
    <w:rsid w:val="41CFC954"/>
    <w:rsid w:val="41D244DB"/>
    <w:rsid w:val="41D4BB01"/>
    <w:rsid w:val="41D5B6CC"/>
    <w:rsid w:val="41D6B738"/>
    <w:rsid w:val="41D70EDB"/>
    <w:rsid w:val="41D9AF5A"/>
    <w:rsid w:val="41DD0DBA"/>
    <w:rsid w:val="41DF82C7"/>
    <w:rsid w:val="41E19CA9"/>
    <w:rsid w:val="41E459E3"/>
    <w:rsid w:val="41E47021"/>
    <w:rsid w:val="41E49C67"/>
    <w:rsid w:val="41E56306"/>
    <w:rsid w:val="41E6CF1E"/>
    <w:rsid w:val="41E7F8BC"/>
    <w:rsid w:val="41ECCA29"/>
    <w:rsid w:val="41EDB376"/>
    <w:rsid w:val="41F0FC05"/>
    <w:rsid w:val="41F65157"/>
    <w:rsid w:val="41F67BC9"/>
    <w:rsid w:val="41F73023"/>
    <w:rsid w:val="41F96DAB"/>
    <w:rsid w:val="41F9FB11"/>
    <w:rsid w:val="41FC93C4"/>
    <w:rsid w:val="41FD7E72"/>
    <w:rsid w:val="42006D26"/>
    <w:rsid w:val="4203177F"/>
    <w:rsid w:val="420A9BB2"/>
    <w:rsid w:val="420CA39E"/>
    <w:rsid w:val="420E15CA"/>
    <w:rsid w:val="420F1EF6"/>
    <w:rsid w:val="421023C1"/>
    <w:rsid w:val="42124961"/>
    <w:rsid w:val="421649BE"/>
    <w:rsid w:val="4216D77F"/>
    <w:rsid w:val="42177D9F"/>
    <w:rsid w:val="421B2236"/>
    <w:rsid w:val="421E9955"/>
    <w:rsid w:val="421EAE36"/>
    <w:rsid w:val="42205A50"/>
    <w:rsid w:val="4226112E"/>
    <w:rsid w:val="4228599C"/>
    <w:rsid w:val="422E59F7"/>
    <w:rsid w:val="4230A4C1"/>
    <w:rsid w:val="4239F88B"/>
    <w:rsid w:val="423C0DD6"/>
    <w:rsid w:val="423C17D1"/>
    <w:rsid w:val="423D4C03"/>
    <w:rsid w:val="423DDB7C"/>
    <w:rsid w:val="423F9110"/>
    <w:rsid w:val="42402E7E"/>
    <w:rsid w:val="4244C634"/>
    <w:rsid w:val="42467DED"/>
    <w:rsid w:val="42479AD5"/>
    <w:rsid w:val="424D8DF8"/>
    <w:rsid w:val="424E1DE8"/>
    <w:rsid w:val="42503223"/>
    <w:rsid w:val="4252A2DD"/>
    <w:rsid w:val="42532390"/>
    <w:rsid w:val="42537E7D"/>
    <w:rsid w:val="4253F8BA"/>
    <w:rsid w:val="4256BDB8"/>
    <w:rsid w:val="4256DDBF"/>
    <w:rsid w:val="4258DF15"/>
    <w:rsid w:val="425CAA18"/>
    <w:rsid w:val="425E1B23"/>
    <w:rsid w:val="425F92CA"/>
    <w:rsid w:val="42602189"/>
    <w:rsid w:val="4261C19C"/>
    <w:rsid w:val="4261DF1D"/>
    <w:rsid w:val="4262C33A"/>
    <w:rsid w:val="42637717"/>
    <w:rsid w:val="426ADBEF"/>
    <w:rsid w:val="426B8A55"/>
    <w:rsid w:val="426D930C"/>
    <w:rsid w:val="426F32C3"/>
    <w:rsid w:val="4276B48B"/>
    <w:rsid w:val="427BA872"/>
    <w:rsid w:val="427D2862"/>
    <w:rsid w:val="42819789"/>
    <w:rsid w:val="42867516"/>
    <w:rsid w:val="4287AEAE"/>
    <w:rsid w:val="428A8F3F"/>
    <w:rsid w:val="428C8666"/>
    <w:rsid w:val="428D4B9D"/>
    <w:rsid w:val="4290ABBF"/>
    <w:rsid w:val="4291BD84"/>
    <w:rsid w:val="42967587"/>
    <w:rsid w:val="42986817"/>
    <w:rsid w:val="429ABDBE"/>
    <w:rsid w:val="429AFEBC"/>
    <w:rsid w:val="429B23CA"/>
    <w:rsid w:val="429DBF80"/>
    <w:rsid w:val="429E9D2E"/>
    <w:rsid w:val="42A0C8DF"/>
    <w:rsid w:val="42A40F1E"/>
    <w:rsid w:val="42A6DF41"/>
    <w:rsid w:val="42A800A6"/>
    <w:rsid w:val="42A803CA"/>
    <w:rsid w:val="42AAE09F"/>
    <w:rsid w:val="42AB2F73"/>
    <w:rsid w:val="42AE4F81"/>
    <w:rsid w:val="42B0943D"/>
    <w:rsid w:val="42B3DE70"/>
    <w:rsid w:val="42B4C27C"/>
    <w:rsid w:val="42B641C8"/>
    <w:rsid w:val="42B6902E"/>
    <w:rsid w:val="42B7FB26"/>
    <w:rsid w:val="42B9D9BD"/>
    <w:rsid w:val="42C413EC"/>
    <w:rsid w:val="42C42BF2"/>
    <w:rsid w:val="42C8A130"/>
    <w:rsid w:val="42CFEA04"/>
    <w:rsid w:val="42DBA9B5"/>
    <w:rsid w:val="42DC1082"/>
    <w:rsid w:val="42DE5BEC"/>
    <w:rsid w:val="42DEA70A"/>
    <w:rsid w:val="42DF2E12"/>
    <w:rsid w:val="42DF6A44"/>
    <w:rsid w:val="42E13E35"/>
    <w:rsid w:val="42E563C1"/>
    <w:rsid w:val="42E5AE74"/>
    <w:rsid w:val="42E60081"/>
    <w:rsid w:val="42E78524"/>
    <w:rsid w:val="42E8812B"/>
    <w:rsid w:val="42EE8E71"/>
    <w:rsid w:val="42F34E84"/>
    <w:rsid w:val="42F37E2C"/>
    <w:rsid w:val="42F4AF95"/>
    <w:rsid w:val="42F9B366"/>
    <w:rsid w:val="42FBD45E"/>
    <w:rsid w:val="42FDAD85"/>
    <w:rsid w:val="42FDFC42"/>
    <w:rsid w:val="430490FB"/>
    <w:rsid w:val="4306C275"/>
    <w:rsid w:val="4308419B"/>
    <w:rsid w:val="4308EE14"/>
    <w:rsid w:val="431016F2"/>
    <w:rsid w:val="43194311"/>
    <w:rsid w:val="431A47F3"/>
    <w:rsid w:val="431BF39A"/>
    <w:rsid w:val="4324A8F3"/>
    <w:rsid w:val="43267E28"/>
    <w:rsid w:val="43285BE2"/>
    <w:rsid w:val="43286A02"/>
    <w:rsid w:val="4329E846"/>
    <w:rsid w:val="432A8A41"/>
    <w:rsid w:val="432F2F14"/>
    <w:rsid w:val="4337BAD6"/>
    <w:rsid w:val="4339163C"/>
    <w:rsid w:val="433A37AD"/>
    <w:rsid w:val="433AD49B"/>
    <w:rsid w:val="433D0B0D"/>
    <w:rsid w:val="433D6DED"/>
    <w:rsid w:val="433F3300"/>
    <w:rsid w:val="43450674"/>
    <w:rsid w:val="43460C9E"/>
    <w:rsid w:val="43464F86"/>
    <w:rsid w:val="434A3246"/>
    <w:rsid w:val="434AC8E5"/>
    <w:rsid w:val="434B1BD9"/>
    <w:rsid w:val="434D09D0"/>
    <w:rsid w:val="43578FEF"/>
    <w:rsid w:val="4357BEC6"/>
    <w:rsid w:val="43599378"/>
    <w:rsid w:val="4359B29E"/>
    <w:rsid w:val="435AFE63"/>
    <w:rsid w:val="43613843"/>
    <w:rsid w:val="436141F6"/>
    <w:rsid w:val="4364E4DD"/>
    <w:rsid w:val="4366B193"/>
    <w:rsid w:val="4366D5CF"/>
    <w:rsid w:val="436C6B8E"/>
    <w:rsid w:val="436C6C10"/>
    <w:rsid w:val="436E6657"/>
    <w:rsid w:val="436F0E71"/>
    <w:rsid w:val="436F6F00"/>
    <w:rsid w:val="43753887"/>
    <w:rsid w:val="437A0F90"/>
    <w:rsid w:val="437BE94B"/>
    <w:rsid w:val="437E6B7E"/>
    <w:rsid w:val="43806CF2"/>
    <w:rsid w:val="4380EB20"/>
    <w:rsid w:val="43817B9E"/>
    <w:rsid w:val="4382A7FF"/>
    <w:rsid w:val="4385E212"/>
    <w:rsid w:val="4387706B"/>
    <w:rsid w:val="4387BFF5"/>
    <w:rsid w:val="438CDF0F"/>
    <w:rsid w:val="4390B125"/>
    <w:rsid w:val="4392656A"/>
    <w:rsid w:val="43948A16"/>
    <w:rsid w:val="4397B8BC"/>
    <w:rsid w:val="439BABF4"/>
    <w:rsid w:val="439BBD37"/>
    <w:rsid w:val="439C0FF1"/>
    <w:rsid w:val="439CA764"/>
    <w:rsid w:val="43A48A4A"/>
    <w:rsid w:val="43A86BCB"/>
    <w:rsid w:val="43A98417"/>
    <w:rsid w:val="43AB5C2A"/>
    <w:rsid w:val="43ACD92C"/>
    <w:rsid w:val="43AD3ED7"/>
    <w:rsid w:val="43AFA8A6"/>
    <w:rsid w:val="43B1EB45"/>
    <w:rsid w:val="43B29A9F"/>
    <w:rsid w:val="43B559A2"/>
    <w:rsid w:val="43B6173F"/>
    <w:rsid w:val="43B9B87C"/>
    <w:rsid w:val="43BAC423"/>
    <w:rsid w:val="43BB6A09"/>
    <w:rsid w:val="43BC1B8F"/>
    <w:rsid w:val="43BCDDA7"/>
    <w:rsid w:val="43BDB807"/>
    <w:rsid w:val="43BE4E63"/>
    <w:rsid w:val="43C1A473"/>
    <w:rsid w:val="43C30184"/>
    <w:rsid w:val="43CA5DDF"/>
    <w:rsid w:val="43CAC4D1"/>
    <w:rsid w:val="43CC50C5"/>
    <w:rsid w:val="43CE2D7B"/>
    <w:rsid w:val="43CF59D5"/>
    <w:rsid w:val="43D0048D"/>
    <w:rsid w:val="43D382DD"/>
    <w:rsid w:val="43D557A3"/>
    <w:rsid w:val="43D6A99C"/>
    <w:rsid w:val="43E46456"/>
    <w:rsid w:val="43E5C258"/>
    <w:rsid w:val="43EC03DA"/>
    <w:rsid w:val="43EC1ABA"/>
    <w:rsid w:val="43F006D0"/>
    <w:rsid w:val="43F0B16C"/>
    <w:rsid w:val="43F2AB28"/>
    <w:rsid w:val="43F93FFB"/>
    <w:rsid w:val="43FADC84"/>
    <w:rsid w:val="43FDB6DF"/>
    <w:rsid w:val="43FF8C09"/>
    <w:rsid w:val="44065226"/>
    <w:rsid w:val="440AB2CC"/>
    <w:rsid w:val="440AD552"/>
    <w:rsid w:val="440ADBC7"/>
    <w:rsid w:val="440BA4D1"/>
    <w:rsid w:val="440C7C8E"/>
    <w:rsid w:val="440F6989"/>
    <w:rsid w:val="44109DDB"/>
    <w:rsid w:val="44125DA0"/>
    <w:rsid w:val="4415D269"/>
    <w:rsid w:val="4417BC9C"/>
    <w:rsid w:val="4417E337"/>
    <w:rsid w:val="441996EE"/>
    <w:rsid w:val="441B8052"/>
    <w:rsid w:val="441BFAEB"/>
    <w:rsid w:val="441F3BB6"/>
    <w:rsid w:val="4421BD56"/>
    <w:rsid w:val="44299F4A"/>
    <w:rsid w:val="4429A144"/>
    <w:rsid w:val="4429B75D"/>
    <w:rsid w:val="442AEA6C"/>
    <w:rsid w:val="44337125"/>
    <w:rsid w:val="44345B08"/>
    <w:rsid w:val="443C0479"/>
    <w:rsid w:val="443E38FE"/>
    <w:rsid w:val="4440E313"/>
    <w:rsid w:val="44418624"/>
    <w:rsid w:val="4445E0E5"/>
    <w:rsid w:val="44470F7B"/>
    <w:rsid w:val="44471D9F"/>
    <w:rsid w:val="44472B50"/>
    <w:rsid w:val="4447E2A1"/>
    <w:rsid w:val="444969D6"/>
    <w:rsid w:val="444A1D58"/>
    <w:rsid w:val="444CEA93"/>
    <w:rsid w:val="44501D0F"/>
    <w:rsid w:val="44521EED"/>
    <w:rsid w:val="44535F8D"/>
    <w:rsid w:val="4454DF85"/>
    <w:rsid w:val="4457F692"/>
    <w:rsid w:val="4458E0CF"/>
    <w:rsid w:val="44590F6B"/>
    <w:rsid w:val="445AB497"/>
    <w:rsid w:val="445BA4DF"/>
    <w:rsid w:val="445E80B8"/>
    <w:rsid w:val="4467E9BA"/>
    <w:rsid w:val="446BFE0C"/>
    <w:rsid w:val="446C6931"/>
    <w:rsid w:val="446C69AD"/>
    <w:rsid w:val="446D5C48"/>
    <w:rsid w:val="44702297"/>
    <w:rsid w:val="44716EAB"/>
    <w:rsid w:val="44717C12"/>
    <w:rsid w:val="4472EA8D"/>
    <w:rsid w:val="44759A97"/>
    <w:rsid w:val="447885CC"/>
    <w:rsid w:val="44789DA9"/>
    <w:rsid w:val="447B19D6"/>
    <w:rsid w:val="447E3349"/>
    <w:rsid w:val="44809E1B"/>
    <w:rsid w:val="4481AAC7"/>
    <w:rsid w:val="4483D725"/>
    <w:rsid w:val="4484C696"/>
    <w:rsid w:val="448A219A"/>
    <w:rsid w:val="44929EAF"/>
    <w:rsid w:val="4494D668"/>
    <w:rsid w:val="4494F0EA"/>
    <w:rsid w:val="4496FFB5"/>
    <w:rsid w:val="449AC778"/>
    <w:rsid w:val="449B8CE4"/>
    <w:rsid w:val="449DB52C"/>
    <w:rsid w:val="449E1F08"/>
    <w:rsid w:val="44A63104"/>
    <w:rsid w:val="44A6AAD7"/>
    <w:rsid w:val="44A6D0A2"/>
    <w:rsid w:val="44A7190D"/>
    <w:rsid w:val="44A9C1E2"/>
    <w:rsid w:val="44A9E316"/>
    <w:rsid w:val="44AB74EF"/>
    <w:rsid w:val="44ACDA5A"/>
    <w:rsid w:val="44AFCDF0"/>
    <w:rsid w:val="44B1B3F7"/>
    <w:rsid w:val="44B1C337"/>
    <w:rsid w:val="44B286A6"/>
    <w:rsid w:val="44B43E9D"/>
    <w:rsid w:val="44BE0F64"/>
    <w:rsid w:val="44BE65E3"/>
    <w:rsid w:val="44BEF350"/>
    <w:rsid w:val="44C12490"/>
    <w:rsid w:val="44C2E58D"/>
    <w:rsid w:val="44CA9BFD"/>
    <w:rsid w:val="44CC5806"/>
    <w:rsid w:val="44CEEA3E"/>
    <w:rsid w:val="44D337C7"/>
    <w:rsid w:val="44D6C869"/>
    <w:rsid w:val="44D6E854"/>
    <w:rsid w:val="44D6F669"/>
    <w:rsid w:val="44D9F24C"/>
    <w:rsid w:val="44DA138F"/>
    <w:rsid w:val="44DAFA16"/>
    <w:rsid w:val="44DD4FB1"/>
    <w:rsid w:val="44DE11AD"/>
    <w:rsid w:val="44DFE70D"/>
    <w:rsid w:val="44E620F0"/>
    <w:rsid w:val="44E64AAC"/>
    <w:rsid w:val="44E877B4"/>
    <w:rsid w:val="44E97D55"/>
    <w:rsid w:val="44EB82C4"/>
    <w:rsid w:val="44EC2861"/>
    <w:rsid w:val="44EC699B"/>
    <w:rsid w:val="44EDEB88"/>
    <w:rsid w:val="44F1AE45"/>
    <w:rsid w:val="44F2DF0A"/>
    <w:rsid w:val="44F8A5A6"/>
    <w:rsid w:val="4501218F"/>
    <w:rsid w:val="45016AC2"/>
    <w:rsid w:val="4502A489"/>
    <w:rsid w:val="45045ECD"/>
    <w:rsid w:val="4504DAB2"/>
    <w:rsid w:val="4509C1B0"/>
    <w:rsid w:val="450A4CDB"/>
    <w:rsid w:val="45107798"/>
    <w:rsid w:val="45108255"/>
    <w:rsid w:val="4510A330"/>
    <w:rsid w:val="45126A2A"/>
    <w:rsid w:val="4514F395"/>
    <w:rsid w:val="45159974"/>
    <w:rsid w:val="4515D3F6"/>
    <w:rsid w:val="45170F00"/>
    <w:rsid w:val="451D9036"/>
    <w:rsid w:val="451F8D77"/>
    <w:rsid w:val="45200BAA"/>
    <w:rsid w:val="45202924"/>
    <w:rsid w:val="452335B8"/>
    <w:rsid w:val="45233966"/>
    <w:rsid w:val="4524DDFC"/>
    <w:rsid w:val="45275F19"/>
    <w:rsid w:val="452CE008"/>
    <w:rsid w:val="452D1A88"/>
    <w:rsid w:val="45302945"/>
    <w:rsid w:val="453083F7"/>
    <w:rsid w:val="45321450"/>
    <w:rsid w:val="453380C4"/>
    <w:rsid w:val="453476CF"/>
    <w:rsid w:val="4537898D"/>
    <w:rsid w:val="4540D688"/>
    <w:rsid w:val="45424A69"/>
    <w:rsid w:val="4546595F"/>
    <w:rsid w:val="454AFD1C"/>
    <w:rsid w:val="454C993A"/>
    <w:rsid w:val="454D27BF"/>
    <w:rsid w:val="454FD206"/>
    <w:rsid w:val="455271F9"/>
    <w:rsid w:val="45529FB8"/>
    <w:rsid w:val="4555BBC6"/>
    <w:rsid w:val="4555C773"/>
    <w:rsid w:val="4557C608"/>
    <w:rsid w:val="45590C7D"/>
    <w:rsid w:val="455B8E72"/>
    <w:rsid w:val="455C6A68"/>
    <w:rsid w:val="456357DB"/>
    <w:rsid w:val="456647E1"/>
    <w:rsid w:val="4567F763"/>
    <w:rsid w:val="456B6A2A"/>
    <w:rsid w:val="456C7ED7"/>
    <w:rsid w:val="4571ABAC"/>
    <w:rsid w:val="457273EB"/>
    <w:rsid w:val="457BC8B7"/>
    <w:rsid w:val="457C33FF"/>
    <w:rsid w:val="457D7AB9"/>
    <w:rsid w:val="457E2348"/>
    <w:rsid w:val="4580BEFF"/>
    <w:rsid w:val="4586F9ED"/>
    <w:rsid w:val="45896B3B"/>
    <w:rsid w:val="4589A2A4"/>
    <w:rsid w:val="458B97BC"/>
    <w:rsid w:val="458D8962"/>
    <w:rsid w:val="458E2069"/>
    <w:rsid w:val="4591FE1C"/>
    <w:rsid w:val="4593A27F"/>
    <w:rsid w:val="45943F01"/>
    <w:rsid w:val="4594FFF4"/>
    <w:rsid w:val="45967008"/>
    <w:rsid w:val="459CAB86"/>
    <w:rsid w:val="459E079C"/>
    <w:rsid w:val="459F39E9"/>
    <w:rsid w:val="459FB97E"/>
    <w:rsid w:val="45A00048"/>
    <w:rsid w:val="45A26529"/>
    <w:rsid w:val="45A4F019"/>
    <w:rsid w:val="45A88BEF"/>
    <w:rsid w:val="45AD18DE"/>
    <w:rsid w:val="45AE58BF"/>
    <w:rsid w:val="45AEDC33"/>
    <w:rsid w:val="45AF1A21"/>
    <w:rsid w:val="45B05497"/>
    <w:rsid w:val="45B57BEA"/>
    <w:rsid w:val="45BADAEA"/>
    <w:rsid w:val="45BCDEA2"/>
    <w:rsid w:val="45BDA712"/>
    <w:rsid w:val="45C19889"/>
    <w:rsid w:val="45C1D8C8"/>
    <w:rsid w:val="45C2DBF8"/>
    <w:rsid w:val="45C44C01"/>
    <w:rsid w:val="45C4D386"/>
    <w:rsid w:val="45C9228C"/>
    <w:rsid w:val="45C98BEB"/>
    <w:rsid w:val="45CC1A75"/>
    <w:rsid w:val="45CE0F69"/>
    <w:rsid w:val="45D18242"/>
    <w:rsid w:val="45D36043"/>
    <w:rsid w:val="45D77DAC"/>
    <w:rsid w:val="45D85B99"/>
    <w:rsid w:val="45D9CEEB"/>
    <w:rsid w:val="45DB7AD4"/>
    <w:rsid w:val="45DE6CF5"/>
    <w:rsid w:val="45DE9F13"/>
    <w:rsid w:val="45DF04A0"/>
    <w:rsid w:val="45E4DB65"/>
    <w:rsid w:val="45E7DF25"/>
    <w:rsid w:val="45E810A8"/>
    <w:rsid w:val="45E8991E"/>
    <w:rsid w:val="45EA4BD7"/>
    <w:rsid w:val="45ED5994"/>
    <w:rsid w:val="45EF5C51"/>
    <w:rsid w:val="45F35B08"/>
    <w:rsid w:val="45F4E574"/>
    <w:rsid w:val="45F59E37"/>
    <w:rsid w:val="45F68219"/>
    <w:rsid w:val="45F8E9BA"/>
    <w:rsid w:val="45FB27E2"/>
    <w:rsid w:val="4602AF70"/>
    <w:rsid w:val="46078007"/>
    <w:rsid w:val="460920C2"/>
    <w:rsid w:val="460AB335"/>
    <w:rsid w:val="460B9041"/>
    <w:rsid w:val="460DD365"/>
    <w:rsid w:val="460E4DA8"/>
    <w:rsid w:val="460EB606"/>
    <w:rsid w:val="4612A391"/>
    <w:rsid w:val="46141FF3"/>
    <w:rsid w:val="4615C160"/>
    <w:rsid w:val="4616986E"/>
    <w:rsid w:val="4616A4E2"/>
    <w:rsid w:val="46170ACE"/>
    <w:rsid w:val="46196DDB"/>
    <w:rsid w:val="4619EBCA"/>
    <w:rsid w:val="461CC46E"/>
    <w:rsid w:val="4620EE08"/>
    <w:rsid w:val="462305BD"/>
    <w:rsid w:val="4628C1F4"/>
    <w:rsid w:val="462913B6"/>
    <w:rsid w:val="462D18C3"/>
    <w:rsid w:val="4635CF97"/>
    <w:rsid w:val="46366437"/>
    <w:rsid w:val="463BA3A7"/>
    <w:rsid w:val="464188A3"/>
    <w:rsid w:val="4642A1BB"/>
    <w:rsid w:val="46476ACA"/>
    <w:rsid w:val="46478AA4"/>
    <w:rsid w:val="464E8A43"/>
    <w:rsid w:val="464F58B9"/>
    <w:rsid w:val="46519D36"/>
    <w:rsid w:val="4653BCEB"/>
    <w:rsid w:val="4657536C"/>
    <w:rsid w:val="465A15D6"/>
    <w:rsid w:val="465ABBF1"/>
    <w:rsid w:val="465CB071"/>
    <w:rsid w:val="4660A089"/>
    <w:rsid w:val="46649234"/>
    <w:rsid w:val="4667B428"/>
    <w:rsid w:val="4668AAAD"/>
    <w:rsid w:val="466A7EBB"/>
    <w:rsid w:val="466F987B"/>
    <w:rsid w:val="4671FCCD"/>
    <w:rsid w:val="4672A4A9"/>
    <w:rsid w:val="4672CF96"/>
    <w:rsid w:val="4674359B"/>
    <w:rsid w:val="4676DF76"/>
    <w:rsid w:val="46782200"/>
    <w:rsid w:val="46784805"/>
    <w:rsid w:val="4679D436"/>
    <w:rsid w:val="467C0FBE"/>
    <w:rsid w:val="467F972A"/>
    <w:rsid w:val="4681FA40"/>
    <w:rsid w:val="468281C1"/>
    <w:rsid w:val="4685CA94"/>
    <w:rsid w:val="468627D7"/>
    <w:rsid w:val="46875356"/>
    <w:rsid w:val="468CBC17"/>
    <w:rsid w:val="468CF340"/>
    <w:rsid w:val="468FE1C7"/>
    <w:rsid w:val="46909A6D"/>
    <w:rsid w:val="469335E1"/>
    <w:rsid w:val="46944566"/>
    <w:rsid w:val="4695F0F0"/>
    <w:rsid w:val="4697CB2D"/>
    <w:rsid w:val="46982A41"/>
    <w:rsid w:val="469E4A08"/>
    <w:rsid w:val="469F9036"/>
    <w:rsid w:val="46A1821A"/>
    <w:rsid w:val="46A38630"/>
    <w:rsid w:val="46A52550"/>
    <w:rsid w:val="46A63A2E"/>
    <w:rsid w:val="46AAA414"/>
    <w:rsid w:val="46AAD318"/>
    <w:rsid w:val="46ADF929"/>
    <w:rsid w:val="46B0D644"/>
    <w:rsid w:val="46BB34E2"/>
    <w:rsid w:val="46BB37B6"/>
    <w:rsid w:val="46BC65D0"/>
    <w:rsid w:val="46C893A4"/>
    <w:rsid w:val="46C9FCA9"/>
    <w:rsid w:val="46CCD8FB"/>
    <w:rsid w:val="46CCDA11"/>
    <w:rsid w:val="46CF000E"/>
    <w:rsid w:val="46CF293E"/>
    <w:rsid w:val="46DF65B4"/>
    <w:rsid w:val="46E0AF2D"/>
    <w:rsid w:val="46E535BC"/>
    <w:rsid w:val="46E722DD"/>
    <w:rsid w:val="46E97DE7"/>
    <w:rsid w:val="46EA61B1"/>
    <w:rsid w:val="46EB63F3"/>
    <w:rsid w:val="46EBC7E2"/>
    <w:rsid w:val="46EC10F4"/>
    <w:rsid w:val="46EC99A1"/>
    <w:rsid w:val="46ECF89C"/>
    <w:rsid w:val="46EFE760"/>
    <w:rsid w:val="46F4001D"/>
    <w:rsid w:val="46F40511"/>
    <w:rsid w:val="46F4D5A0"/>
    <w:rsid w:val="46F5C97C"/>
    <w:rsid w:val="46F810C7"/>
    <w:rsid w:val="46F96F82"/>
    <w:rsid w:val="46FF5949"/>
    <w:rsid w:val="4701C7D6"/>
    <w:rsid w:val="4705325C"/>
    <w:rsid w:val="47054D2A"/>
    <w:rsid w:val="4705D705"/>
    <w:rsid w:val="47060D73"/>
    <w:rsid w:val="47083F3D"/>
    <w:rsid w:val="470D2BE9"/>
    <w:rsid w:val="470D6BBF"/>
    <w:rsid w:val="470E5FA4"/>
    <w:rsid w:val="470F7871"/>
    <w:rsid w:val="4710D341"/>
    <w:rsid w:val="47112855"/>
    <w:rsid w:val="4712032D"/>
    <w:rsid w:val="47137153"/>
    <w:rsid w:val="471377A3"/>
    <w:rsid w:val="471466CA"/>
    <w:rsid w:val="471493FC"/>
    <w:rsid w:val="47154835"/>
    <w:rsid w:val="471A0128"/>
    <w:rsid w:val="471B6AB6"/>
    <w:rsid w:val="471E4EB5"/>
    <w:rsid w:val="471F053A"/>
    <w:rsid w:val="47206FEC"/>
    <w:rsid w:val="4724DA05"/>
    <w:rsid w:val="4727681D"/>
    <w:rsid w:val="47281673"/>
    <w:rsid w:val="4728D6BC"/>
    <w:rsid w:val="472E157D"/>
    <w:rsid w:val="472E1E6F"/>
    <w:rsid w:val="472E8347"/>
    <w:rsid w:val="472FE87D"/>
    <w:rsid w:val="473209F8"/>
    <w:rsid w:val="4735DB55"/>
    <w:rsid w:val="473608E2"/>
    <w:rsid w:val="47397BB5"/>
    <w:rsid w:val="473ED712"/>
    <w:rsid w:val="4742E81A"/>
    <w:rsid w:val="47453066"/>
    <w:rsid w:val="47468B95"/>
    <w:rsid w:val="4747088F"/>
    <w:rsid w:val="4748081B"/>
    <w:rsid w:val="47493A5C"/>
    <w:rsid w:val="474A8DC3"/>
    <w:rsid w:val="474B6684"/>
    <w:rsid w:val="474C856C"/>
    <w:rsid w:val="4750AD74"/>
    <w:rsid w:val="47539BD0"/>
    <w:rsid w:val="475456D1"/>
    <w:rsid w:val="4756BF7F"/>
    <w:rsid w:val="475B0ADC"/>
    <w:rsid w:val="4762A506"/>
    <w:rsid w:val="4763530F"/>
    <w:rsid w:val="4763D76A"/>
    <w:rsid w:val="476483B8"/>
    <w:rsid w:val="476A3816"/>
    <w:rsid w:val="476F8214"/>
    <w:rsid w:val="476FFB89"/>
    <w:rsid w:val="4775882E"/>
    <w:rsid w:val="47772E9B"/>
    <w:rsid w:val="477E646B"/>
    <w:rsid w:val="4783C77E"/>
    <w:rsid w:val="47849AAB"/>
    <w:rsid w:val="4786B673"/>
    <w:rsid w:val="4786FE30"/>
    <w:rsid w:val="47875CAC"/>
    <w:rsid w:val="4789C69D"/>
    <w:rsid w:val="478D3522"/>
    <w:rsid w:val="478D43D0"/>
    <w:rsid w:val="478E88B0"/>
    <w:rsid w:val="4790522D"/>
    <w:rsid w:val="47912006"/>
    <w:rsid w:val="479265F9"/>
    <w:rsid w:val="479358E1"/>
    <w:rsid w:val="47983E02"/>
    <w:rsid w:val="479F4297"/>
    <w:rsid w:val="47A3347B"/>
    <w:rsid w:val="47A3A363"/>
    <w:rsid w:val="47A5A59B"/>
    <w:rsid w:val="47A7FCE8"/>
    <w:rsid w:val="47A8D0F4"/>
    <w:rsid w:val="47A9E3F9"/>
    <w:rsid w:val="47ABA20A"/>
    <w:rsid w:val="47AE3F95"/>
    <w:rsid w:val="47AF7E4E"/>
    <w:rsid w:val="47AFA07C"/>
    <w:rsid w:val="47B16671"/>
    <w:rsid w:val="47B58E27"/>
    <w:rsid w:val="47B65210"/>
    <w:rsid w:val="47B6535D"/>
    <w:rsid w:val="47BBFB87"/>
    <w:rsid w:val="47BE8A50"/>
    <w:rsid w:val="47BEE06C"/>
    <w:rsid w:val="47BEF376"/>
    <w:rsid w:val="47BFAC06"/>
    <w:rsid w:val="47C4F1ED"/>
    <w:rsid w:val="47C5A69F"/>
    <w:rsid w:val="47C5D9C3"/>
    <w:rsid w:val="47C5F354"/>
    <w:rsid w:val="47CDA16A"/>
    <w:rsid w:val="47CE66AA"/>
    <w:rsid w:val="47CF91B9"/>
    <w:rsid w:val="47D4A8D4"/>
    <w:rsid w:val="47D5E85D"/>
    <w:rsid w:val="47D67516"/>
    <w:rsid w:val="47D83249"/>
    <w:rsid w:val="47D9E2AC"/>
    <w:rsid w:val="47DB9CF8"/>
    <w:rsid w:val="47DBC675"/>
    <w:rsid w:val="47DC0A23"/>
    <w:rsid w:val="47DCBE7B"/>
    <w:rsid w:val="47E21D37"/>
    <w:rsid w:val="47E63B1A"/>
    <w:rsid w:val="47E94027"/>
    <w:rsid w:val="47EA4F83"/>
    <w:rsid w:val="47EA64A5"/>
    <w:rsid w:val="47ED9043"/>
    <w:rsid w:val="47EDBF9A"/>
    <w:rsid w:val="47EDFB86"/>
    <w:rsid w:val="47F56F4B"/>
    <w:rsid w:val="47F8ADA9"/>
    <w:rsid w:val="47FC9CDF"/>
    <w:rsid w:val="47FDE8A3"/>
    <w:rsid w:val="47FFEC08"/>
    <w:rsid w:val="4801DBCE"/>
    <w:rsid w:val="48021F13"/>
    <w:rsid w:val="4803A036"/>
    <w:rsid w:val="480416A5"/>
    <w:rsid w:val="48074D66"/>
    <w:rsid w:val="480B3786"/>
    <w:rsid w:val="48101FAC"/>
    <w:rsid w:val="48137E2C"/>
    <w:rsid w:val="4813B7C1"/>
    <w:rsid w:val="4814733C"/>
    <w:rsid w:val="48167EF5"/>
    <w:rsid w:val="481A1880"/>
    <w:rsid w:val="48209405"/>
    <w:rsid w:val="48216187"/>
    <w:rsid w:val="48243803"/>
    <w:rsid w:val="4824937A"/>
    <w:rsid w:val="48262EA2"/>
    <w:rsid w:val="48279359"/>
    <w:rsid w:val="48280E1A"/>
    <w:rsid w:val="4828B447"/>
    <w:rsid w:val="482A56D7"/>
    <w:rsid w:val="482B2C90"/>
    <w:rsid w:val="482B7AD6"/>
    <w:rsid w:val="482B9571"/>
    <w:rsid w:val="482BF33F"/>
    <w:rsid w:val="4830A235"/>
    <w:rsid w:val="4836389C"/>
    <w:rsid w:val="4837CF68"/>
    <w:rsid w:val="4838C3B0"/>
    <w:rsid w:val="483985A3"/>
    <w:rsid w:val="483C8B05"/>
    <w:rsid w:val="483D2386"/>
    <w:rsid w:val="483F26BD"/>
    <w:rsid w:val="484362CE"/>
    <w:rsid w:val="48447BC2"/>
    <w:rsid w:val="4846F837"/>
    <w:rsid w:val="484F236D"/>
    <w:rsid w:val="48532B0A"/>
    <w:rsid w:val="4853D0EB"/>
    <w:rsid w:val="4856DC67"/>
    <w:rsid w:val="48588E65"/>
    <w:rsid w:val="485B9950"/>
    <w:rsid w:val="485C0654"/>
    <w:rsid w:val="485C71E3"/>
    <w:rsid w:val="4860AB8E"/>
    <w:rsid w:val="4861EFA7"/>
    <w:rsid w:val="486584A5"/>
    <w:rsid w:val="4869212C"/>
    <w:rsid w:val="486E4FF8"/>
    <w:rsid w:val="487371A9"/>
    <w:rsid w:val="487388C2"/>
    <w:rsid w:val="487795FD"/>
    <w:rsid w:val="4878EC8F"/>
    <w:rsid w:val="48798D77"/>
    <w:rsid w:val="487D7A07"/>
    <w:rsid w:val="487DED21"/>
    <w:rsid w:val="488290B9"/>
    <w:rsid w:val="48843471"/>
    <w:rsid w:val="4884D418"/>
    <w:rsid w:val="4886AD62"/>
    <w:rsid w:val="4887E744"/>
    <w:rsid w:val="488C9FFE"/>
    <w:rsid w:val="488D171E"/>
    <w:rsid w:val="488D4E78"/>
    <w:rsid w:val="488EECD0"/>
    <w:rsid w:val="488F15E7"/>
    <w:rsid w:val="488FC467"/>
    <w:rsid w:val="488FCF8A"/>
    <w:rsid w:val="48959C3B"/>
    <w:rsid w:val="4898D518"/>
    <w:rsid w:val="489B9231"/>
    <w:rsid w:val="48A6F7A0"/>
    <w:rsid w:val="48AB36BA"/>
    <w:rsid w:val="48AC3702"/>
    <w:rsid w:val="48AC83D8"/>
    <w:rsid w:val="48AECD72"/>
    <w:rsid w:val="48B43841"/>
    <w:rsid w:val="48B4A213"/>
    <w:rsid w:val="48B5F6C6"/>
    <w:rsid w:val="48BBB322"/>
    <w:rsid w:val="48C30618"/>
    <w:rsid w:val="48C4665C"/>
    <w:rsid w:val="48C6FE47"/>
    <w:rsid w:val="48CAEF21"/>
    <w:rsid w:val="48CEBAD8"/>
    <w:rsid w:val="48D20D7C"/>
    <w:rsid w:val="48D3AFE7"/>
    <w:rsid w:val="48D494C7"/>
    <w:rsid w:val="48D6D7BA"/>
    <w:rsid w:val="48D8D42F"/>
    <w:rsid w:val="48DFE920"/>
    <w:rsid w:val="48E0F508"/>
    <w:rsid w:val="48E539AC"/>
    <w:rsid w:val="48E77841"/>
    <w:rsid w:val="48EB4044"/>
    <w:rsid w:val="48EB7D3E"/>
    <w:rsid w:val="48EE8B9F"/>
    <w:rsid w:val="48F1D8AE"/>
    <w:rsid w:val="48F24172"/>
    <w:rsid w:val="48F30C59"/>
    <w:rsid w:val="48F55733"/>
    <w:rsid w:val="48F5A138"/>
    <w:rsid w:val="48F69230"/>
    <w:rsid w:val="48F7A355"/>
    <w:rsid w:val="48F9ADB0"/>
    <w:rsid w:val="48F9B63B"/>
    <w:rsid w:val="48FAA6E2"/>
    <w:rsid w:val="49001A63"/>
    <w:rsid w:val="4900D8EF"/>
    <w:rsid w:val="4901D3C9"/>
    <w:rsid w:val="49048298"/>
    <w:rsid w:val="4905CC40"/>
    <w:rsid w:val="49072FBA"/>
    <w:rsid w:val="49073AE7"/>
    <w:rsid w:val="49078095"/>
    <w:rsid w:val="49087ABF"/>
    <w:rsid w:val="490BED12"/>
    <w:rsid w:val="490C8EB8"/>
    <w:rsid w:val="490E28FA"/>
    <w:rsid w:val="490EB100"/>
    <w:rsid w:val="490EF050"/>
    <w:rsid w:val="4910E59F"/>
    <w:rsid w:val="49183B54"/>
    <w:rsid w:val="491A826A"/>
    <w:rsid w:val="491D5F00"/>
    <w:rsid w:val="491E96A5"/>
    <w:rsid w:val="491F9533"/>
    <w:rsid w:val="491FF308"/>
    <w:rsid w:val="492318CF"/>
    <w:rsid w:val="4924CAE4"/>
    <w:rsid w:val="4925772F"/>
    <w:rsid w:val="4926AB19"/>
    <w:rsid w:val="4926C40E"/>
    <w:rsid w:val="49330BE6"/>
    <w:rsid w:val="493BA3D1"/>
    <w:rsid w:val="493D8050"/>
    <w:rsid w:val="493E8951"/>
    <w:rsid w:val="4943601F"/>
    <w:rsid w:val="49437C98"/>
    <w:rsid w:val="49468F47"/>
    <w:rsid w:val="49484B4A"/>
    <w:rsid w:val="4948CB48"/>
    <w:rsid w:val="49511C19"/>
    <w:rsid w:val="4951292D"/>
    <w:rsid w:val="49526924"/>
    <w:rsid w:val="49565366"/>
    <w:rsid w:val="495AA8B2"/>
    <w:rsid w:val="495B3944"/>
    <w:rsid w:val="4960671C"/>
    <w:rsid w:val="49686377"/>
    <w:rsid w:val="49690614"/>
    <w:rsid w:val="4969B477"/>
    <w:rsid w:val="496A35FB"/>
    <w:rsid w:val="496A49F7"/>
    <w:rsid w:val="496D294B"/>
    <w:rsid w:val="496DD5FB"/>
    <w:rsid w:val="496F9E0F"/>
    <w:rsid w:val="4971A3EF"/>
    <w:rsid w:val="4973B166"/>
    <w:rsid w:val="49756B4E"/>
    <w:rsid w:val="49760C62"/>
    <w:rsid w:val="4979FEA8"/>
    <w:rsid w:val="497C991D"/>
    <w:rsid w:val="497D068E"/>
    <w:rsid w:val="4983D8AC"/>
    <w:rsid w:val="4985BF95"/>
    <w:rsid w:val="49892B16"/>
    <w:rsid w:val="498B084F"/>
    <w:rsid w:val="498E92D9"/>
    <w:rsid w:val="498F5BF4"/>
    <w:rsid w:val="498FA96D"/>
    <w:rsid w:val="49919EA0"/>
    <w:rsid w:val="4991FB00"/>
    <w:rsid w:val="499AD3E6"/>
    <w:rsid w:val="499B04BD"/>
    <w:rsid w:val="49A0480D"/>
    <w:rsid w:val="49A0FC68"/>
    <w:rsid w:val="49A1D7DE"/>
    <w:rsid w:val="49A2B190"/>
    <w:rsid w:val="49A7778D"/>
    <w:rsid w:val="49A9E82F"/>
    <w:rsid w:val="49ACAFE1"/>
    <w:rsid w:val="49AF16EE"/>
    <w:rsid w:val="49B3E77D"/>
    <w:rsid w:val="49B47AD7"/>
    <w:rsid w:val="49B743EA"/>
    <w:rsid w:val="49B9D1B4"/>
    <w:rsid w:val="49B9FF54"/>
    <w:rsid w:val="49BA67EC"/>
    <w:rsid w:val="49BC7A4B"/>
    <w:rsid w:val="49BD5756"/>
    <w:rsid w:val="49BEB987"/>
    <w:rsid w:val="49C15477"/>
    <w:rsid w:val="49C17226"/>
    <w:rsid w:val="49C1CFE3"/>
    <w:rsid w:val="49C25E25"/>
    <w:rsid w:val="49C27F6E"/>
    <w:rsid w:val="49C3BD71"/>
    <w:rsid w:val="49C3D014"/>
    <w:rsid w:val="49C5204A"/>
    <w:rsid w:val="49CA81D4"/>
    <w:rsid w:val="49CB2501"/>
    <w:rsid w:val="49CD8C67"/>
    <w:rsid w:val="49D14411"/>
    <w:rsid w:val="49D49723"/>
    <w:rsid w:val="49D75CAE"/>
    <w:rsid w:val="49D878D7"/>
    <w:rsid w:val="49DB2867"/>
    <w:rsid w:val="49DEDCAA"/>
    <w:rsid w:val="49DFC354"/>
    <w:rsid w:val="49E252EA"/>
    <w:rsid w:val="49E40F90"/>
    <w:rsid w:val="49EA3078"/>
    <w:rsid w:val="49EBDF8F"/>
    <w:rsid w:val="49ECC642"/>
    <w:rsid w:val="49ED0AF9"/>
    <w:rsid w:val="49EF6ECC"/>
    <w:rsid w:val="49F193E2"/>
    <w:rsid w:val="49F29951"/>
    <w:rsid w:val="49F45ACE"/>
    <w:rsid w:val="49F62B1B"/>
    <w:rsid w:val="49F7E6DB"/>
    <w:rsid w:val="49F80459"/>
    <w:rsid w:val="49F869BA"/>
    <w:rsid w:val="49FB6A67"/>
    <w:rsid w:val="49FD12BD"/>
    <w:rsid w:val="4A011AF9"/>
    <w:rsid w:val="4A03F1DB"/>
    <w:rsid w:val="4A04FB25"/>
    <w:rsid w:val="4A057659"/>
    <w:rsid w:val="4A08A53B"/>
    <w:rsid w:val="4A0C78D3"/>
    <w:rsid w:val="4A0F1209"/>
    <w:rsid w:val="4A116AEF"/>
    <w:rsid w:val="4A17CEB1"/>
    <w:rsid w:val="4A1A5F8E"/>
    <w:rsid w:val="4A1C0502"/>
    <w:rsid w:val="4A20EEA5"/>
    <w:rsid w:val="4A2598FE"/>
    <w:rsid w:val="4A290595"/>
    <w:rsid w:val="4A2B94C8"/>
    <w:rsid w:val="4A2BA489"/>
    <w:rsid w:val="4A2D7A2E"/>
    <w:rsid w:val="4A30044B"/>
    <w:rsid w:val="4A3363F4"/>
    <w:rsid w:val="4A35419A"/>
    <w:rsid w:val="4A383A12"/>
    <w:rsid w:val="4A3ED622"/>
    <w:rsid w:val="4A407843"/>
    <w:rsid w:val="4A410A39"/>
    <w:rsid w:val="4A427215"/>
    <w:rsid w:val="4A44769B"/>
    <w:rsid w:val="4A4FAF08"/>
    <w:rsid w:val="4A57A9E2"/>
    <w:rsid w:val="4A57E8C6"/>
    <w:rsid w:val="4A5AD07D"/>
    <w:rsid w:val="4A5C3613"/>
    <w:rsid w:val="4A5C4A15"/>
    <w:rsid w:val="4A646802"/>
    <w:rsid w:val="4A688F99"/>
    <w:rsid w:val="4A69F57D"/>
    <w:rsid w:val="4A6BD763"/>
    <w:rsid w:val="4A6C1144"/>
    <w:rsid w:val="4A6F2CAA"/>
    <w:rsid w:val="4A72FB36"/>
    <w:rsid w:val="4A74670F"/>
    <w:rsid w:val="4A77FB29"/>
    <w:rsid w:val="4A7B3357"/>
    <w:rsid w:val="4A7E6FDC"/>
    <w:rsid w:val="4A83222E"/>
    <w:rsid w:val="4A878DF9"/>
    <w:rsid w:val="4A89EAD0"/>
    <w:rsid w:val="4A8BE5EB"/>
    <w:rsid w:val="4A8D6979"/>
    <w:rsid w:val="4A8FC6E6"/>
    <w:rsid w:val="4A956A2A"/>
    <w:rsid w:val="4A98A3F7"/>
    <w:rsid w:val="4A9A0A20"/>
    <w:rsid w:val="4A9B17CD"/>
    <w:rsid w:val="4A9C93EF"/>
    <w:rsid w:val="4A9CF99F"/>
    <w:rsid w:val="4A9F42B7"/>
    <w:rsid w:val="4A9F5F41"/>
    <w:rsid w:val="4AA1A1BD"/>
    <w:rsid w:val="4AA5CF0D"/>
    <w:rsid w:val="4AA75191"/>
    <w:rsid w:val="4AAE4784"/>
    <w:rsid w:val="4AB05E75"/>
    <w:rsid w:val="4AB10E1E"/>
    <w:rsid w:val="4AB2D28D"/>
    <w:rsid w:val="4AB586D3"/>
    <w:rsid w:val="4AB5F41E"/>
    <w:rsid w:val="4AB64886"/>
    <w:rsid w:val="4ABAB043"/>
    <w:rsid w:val="4ABBC42A"/>
    <w:rsid w:val="4ABC027B"/>
    <w:rsid w:val="4ABDECA1"/>
    <w:rsid w:val="4ABE8D2B"/>
    <w:rsid w:val="4AC0E3AB"/>
    <w:rsid w:val="4AC36433"/>
    <w:rsid w:val="4AC5F968"/>
    <w:rsid w:val="4AC8E6BC"/>
    <w:rsid w:val="4ACBE263"/>
    <w:rsid w:val="4ACDA43B"/>
    <w:rsid w:val="4AD00F09"/>
    <w:rsid w:val="4AD11B8D"/>
    <w:rsid w:val="4AD2592E"/>
    <w:rsid w:val="4AD3BF35"/>
    <w:rsid w:val="4AD83CD0"/>
    <w:rsid w:val="4AD85184"/>
    <w:rsid w:val="4ADB6CD0"/>
    <w:rsid w:val="4ADC4DDE"/>
    <w:rsid w:val="4ADD2DC2"/>
    <w:rsid w:val="4AE021C8"/>
    <w:rsid w:val="4AE202AA"/>
    <w:rsid w:val="4AE44663"/>
    <w:rsid w:val="4AE697CE"/>
    <w:rsid w:val="4AE7ABBA"/>
    <w:rsid w:val="4AED96EB"/>
    <w:rsid w:val="4AF2A3F2"/>
    <w:rsid w:val="4AF7D6A7"/>
    <w:rsid w:val="4AF981D8"/>
    <w:rsid w:val="4AFBEC23"/>
    <w:rsid w:val="4B0099E0"/>
    <w:rsid w:val="4B02BB07"/>
    <w:rsid w:val="4B071366"/>
    <w:rsid w:val="4B074E8C"/>
    <w:rsid w:val="4B07D15B"/>
    <w:rsid w:val="4B089A66"/>
    <w:rsid w:val="4B0DE43D"/>
    <w:rsid w:val="4B0E2C62"/>
    <w:rsid w:val="4B12C023"/>
    <w:rsid w:val="4B14EB71"/>
    <w:rsid w:val="4B198EA3"/>
    <w:rsid w:val="4B19D1E9"/>
    <w:rsid w:val="4B1BA254"/>
    <w:rsid w:val="4B1CD5B3"/>
    <w:rsid w:val="4B23FD83"/>
    <w:rsid w:val="4B2B7BDA"/>
    <w:rsid w:val="4B2CD07C"/>
    <w:rsid w:val="4B2CF11D"/>
    <w:rsid w:val="4B345284"/>
    <w:rsid w:val="4B38002E"/>
    <w:rsid w:val="4B3927BE"/>
    <w:rsid w:val="4B3AA9AC"/>
    <w:rsid w:val="4B418D43"/>
    <w:rsid w:val="4B4289FB"/>
    <w:rsid w:val="4B42B7DB"/>
    <w:rsid w:val="4B43A2F3"/>
    <w:rsid w:val="4B484026"/>
    <w:rsid w:val="4B5056F8"/>
    <w:rsid w:val="4B5110F0"/>
    <w:rsid w:val="4B53B758"/>
    <w:rsid w:val="4B561E32"/>
    <w:rsid w:val="4B57617D"/>
    <w:rsid w:val="4B59183D"/>
    <w:rsid w:val="4B5D3D5F"/>
    <w:rsid w:val="4B5D7553"/>
    <w:rsid w:val="4B5E1177"/>
    <w:rsid w:val="4B5E96D5"/>
    <w:rsid w:val="4B63FCC1"/>
    <w:rsid w:val="4B68D942"/>
    <w:rsid w:val="4B6B2FCE"/>
    <w:rsid w:val="4B6C8EB4"/>
    <w:rsid w:val="4B6D08C9"/>
    <w:rsid w:val="4B6D7344"/>
    <w:rsid w:val="4B7157A4"/>
    <w:rsid w:val="4B727161"/>
    <w:rsid w:val="4B751FDC"/>
    <w:rsid w:val="4B76C512"/>
    <w:rsid w:val="4B794BF0"/>
    <w:rsid w:val="4B8373EA"/>
    <w:rsid w:val="4B85A8A2"/>
    <w:rsid w:val="4B8871A8"/>
    <w:rsid w:val="4B895C45"/>
    <w:rsid w:val="4B8C6703"/>
    <w:rsid w:val="4B8D27D9"/>
    <w:rsid w:val="4B8D4EFF"/>
    <w:rsid w:val="4B905C98"/>
    <w:rsid w:val="4B92034C"/>
    <w:rsid w:val="4B94842F"/>
    <w:rsid w:val="4B980912"/>
    <w:rsid w:val="4B9A41C1"/>
    <w:rsid w:val="4B9B047F"/>
    <w:rsid w:val="4B9BFA2F"/>
    <w:rsid w:val="4B9D5EA8"/>
    <w:rsid w:val="4B9D85EA"/>
    <w:rsid w:val="4B9E6EA1"/>
    <w:rsid w:val="4B9F1E17"/>
    <w:rsid w:val="4BA01AD9"/>
    <w:rsid w:val="4BA12360"/>
    <w:rsid w:val="4BA3D979"/>
    <w:rsid w:val="4BA48454"/>
    <w:rsid w:val="4BA48C18"/>
    <w:rsid w:val="4BA91DBC"/>
    <w:rsid w:val="4BAB846D"/>
    <w:rsid w:val="4BAC9395"/>
    <w:rsid w:val="4BB48020"/>
    <w:rsid w:val="4BB76A01"/>
    <w:rsid w:val="4BBB9502"/>
    <w:rsid w:val="4BBDDA7F"/>
    <w:rsid w:val="4BBFEDEF"/>
    <w:rsid w:val="4BC2739C"/>
    <w:rsid w:val="4BC6FBE2"/>
    <w:rsid w:val="4BC7A198"/>
    <w:rsid w:val="4BC81DBD"/>
    <w:rsid w:val="4BC8828A"/>
    <w:rsid w:val="4BC96715"/>
    <w:rsid w:val="4BC9A407"/>
    <w:rsid w:val="4BCEB374"/>
    <w:rsid w:val="4BCF1FB6"/>
    <w:rsid w:val="4BD23853"/>
    <w:rsid w:val="4BD30AC9"/>
    <w:rsid w:val="4BD32160"/>
    <w:rsid w:val="4BD38F12"/>
    <w:rsid w:val="4BD93085"/>
    <w:rsid w:val="4BDA2F2B"/>
    <w:rsid w:val="4BDAD97F"/>
    <w:rsid w:val="4BDAF426"/>
    <w:rsid w:val="4BDD4EB6"/>
    <w:rsid w:val="4BDDC7AE"/>
    <w:rsid w:val="4BE44539"/>
    <w:rsid w:val="4BE4DC33"/>
    <w:rsid w:val="4BE83D1A"/>
    <w:rsid w:val="4BEA7830"/>
    <w:rsid w:val="4BF5E2D2"/>
    <w:rsid w:val="4BF68CA9"/>
    <w:rsid w:val="4BF8011E"/>
    <w:rsid w:val="4BFA6EC8"/>
    <w:rsid w:val="4BFC1012"/>
    <w:rsid w:val="4BFC3ACD"/>
    <w:rsid w:val="4C0206AB"/>
    <w:rsid w:val="4C02AD9B"/>
    <w:rsid w:val="4C0574FE"/>
    <w:rsid w:val="4C061EE4"/>
    <w:rsid w:val="4C063DCC"/>
    <w:rsid w:val="4C07113D"/>
    <w:rsid w:val="4C0804BD"/>
    <w:rsid w:val="4C0D1104"/>
    <w:rsid w:val="4C0D2117"/>
    <w:rsid w:val="4C0E29E4"/>
    <w:rsid w:val="4C13E0AC"/>
    <w:rsid w:val="4C162BC7"/>
    <w:rsid w:val="4C17D6C7"/>
    <w:rsid w:val="4C1B2DC5"/>
    <w:rsid w:val="4C21AE49"/>
    <w:rsid w:val="4C21D595"/>
    <w:rsid w:val="4C22F426"/>
    <w:rsid w:val="4C241010"/>
    <w:rsid w:val="4C25A2DA"/>
    <w:rsid w:val="4C27FE89"/>
    <w:rsid w:val="4C28233E"/>
    <w:rsid w:val="4C2AAD6C"/>
    <w:rsid w:val="4C2CAB46"/>
    <w:rsid w:val="4C2F6A59"/>
    <w:rsid w:val="4C30DE02"/>
    <w:rsid w:val="4C330582"/>
    <w:rsid w:val="4C33359C"/>
    <w:rsid w:val="4C361947"/>
    <w:rsid w:val="4C3651B0"/>
    <w:rsid w:val="4C377511"/>
    <w:rsid w:val="4C389297"/>
    <w:rsid w:val="4C38EA84"/>
    <w:rsid w:val="4C3A0DA4"/>
    <w:rsid w:val="4C3A68AC"/>
    <w:rsid w:val="4C4614BE"/>
    <w:rsid w:val="4C4685F8"/>
    <w:rsid w:val="4C480529"/>
    <w:rsid w:val="4C492203"/>
    <w:rsid w:val="4C4B6DC8"/>
    <w:rsid w:val="4C4FCFD5"/>
    <w:rsid w:val="4C54CEA5"/>
    <w:rsid w:val="4C5638E0"/>
    <w:rsid w:val="4C56562B"/>
    <w:rsid w:val="4C5841B1"/>
    <w:rsid w:val="4C5BEB9E"/>
    <w:rsid w:val="4C5F6C35"/>
    <w:rsid w:val="4C655486"/>
    <w:rsid w:val="4C6D9207"/>
    <w:rsid w:val="4C6DBF1B"/>
    <w:rsid w:val="4C6DDB0A"/>
    <w:rsid w:val="4C6E6FFB"/>
    <w:rsid w:val="4C71FCFC"/>
    <w:rsid w:val="4C77A572"/>
    <w:rsid w:val="4C8002E4"/>
    <w:rsid w:val="4C85164A"/>
    <w:rsid w:val="4C864E0E"/>
    <w:rsid w:val="4C8706E0"/>
    <w:rsid w:val="4C87C81D"/>
    <w:rsid w:val="4C890A01"/>
    <w:rsid w:val="4C8A462A"/>
    <w:rsid w:val="4C8D0828"/>
    <w:rsid w:val="4C8D9436"/>
    <w:rsid w:val="4C8F3576"/>
    <w:rsid w:val="4C91400A"/>
    <w:rsid w:val="4C9191CE"/>
    <w:rsid w:val="4C9205B5"/>
    <w:rsid w:val="4C95B2A6"/>
    <w:rsid w:val="4C96FCC2"/>
    <w:rsid w:val="4C999CEB"/>
    <w:rsid w:val="4C9CD551"/>
    <w:rsid w:val="4CA3D494"/>
    <w:rsid w:val="4CA4AF26"/>
    <w:rsid w:val="4CA4DF45"/>
    <w:rsid w:val="4CA7EAFD"/>
    <w:rsid w:val="4CA9E44E"/>
    <w:rsid w:val="4CAB16B5"/>
    <w:rsid w:val="4CAEF686"/>
    <w:rsid w:val="4CB1AB7C"/>
    <w:rsid w:val="4CB2936C"/>
    <w:rsid w:val="4CB2CF4E"/>
    <w:rsid w:val="4CB2E02A"/>
    <w:rsid w:val="4CB699A2"/>
    <w:rsid w:val="4CB998FB"/>
    <w:rsid w:val="4CBA5C72"/>
    <w:rsid w:val="4CBC292E"/>
    <w:rsid w:val="4CBD7BBF"/>
    <w:rsid w:val="4CC69C0D"/>
    <w:rsid w:val="4CC73DEC"/>
    <w:rsid w:val="4CCAAA3B"/>
    <w:rsid w:val="4CCC4A6A"/>
    <w:rsid w:val="4CCFD89B"/>
    <w:rsid w:val="4CD00722"/>
    <w:rsid w:val="4CD191FD"/>
    <w:rsid w:val="4CD47814"/>
    <w:rsid w:val="4CD86F3C"/>
    <w:rsid w:val="4CD8E607"/>
    <w:rsid w:val="4CDC51B6"/>
    <w:rsid w:val="4CDD6328"/>
    <w:rsid w:val="4CDF56E3"/>
    <w:rsid w:val="4CE42AA0"/>
    <w:rsid w:val="4CE71202"/>
    <w:rsid w:val="4CED5E29"/>
    <w:rsid w:val="4CF23302"/>
    <w:rsid w:val="4CFBFF65"/>
    <w:rsid w:val="4CFE22FD"/>
    <w:rsid w:val="4CFE8C7A"/>
    <w:rsid w:val="4CFEAF35"/>
    <w:rsid w:val="4D0277CD"/>
    <w:rsid w:val="4D083508"/>
    <w:rsid w:val="4D09AD36"/>
    <w:rsid w:val="4D0C4E22"/>
    <w:rsid w:val="4D0D66DC"/>
    <w:rsid w:val="4D120713"/>
    <w:rsid w:val="4D161C95"/>
    <w:rsid w:val="4D1D7B98"/>
    <w:rsid w:val="4D1E42F1"/>
    <w:rsid w:val="4D207E0B"/>
    <w:rsid w:val="4D22343E"/>
    <w:rsid w:val="4D22E0D4"/>
    <w:rsid w:val="4D22E570"/>
    <w:rsid w:val="4D246C50"/>
    <w:rsid w:val="4D248D1E"/>
    <w:rsid w:val="4D26722A"/>
    <w:rsid w:val="4D28F3E7"/>
    <w:rsid w:val="4D2CFFEA"/>
    <w:rsid w:val="4D2ED634"/>
    <w:rsid w:val="4D2F699A"/>
    <w:rsid w:val="4D35BFF3"/>
    <w:rsid w:val="4D37115F"/>
    <w:rsid w:val="4D382D66"/>
    <w:rsid w:val="4D3ACBF6"/>
    <w:rsid w:val="4D3AD0DB"/>
    <w:rsid w:val="4D406812"/>
    <w:rsid w:val="4D4212B0"/>
    <w:rsid w:val="4D44F8D8"/>
    <w:rsid w:val="4D4606DA"/>
    <w:rsid w:val="4D49554F"/>
    <w:rsid w:val="4D4A6740"/>
    <w:rsid w:val="4D4CDCF6"/>
    <w:rsid w:val="4D4EEED3"/>
    <w:rsid w:val="4D4F856A"/>
    <w:rsid w:val="4D54E74A"/>
    <w:rsid w:val="4D5877EF"/>
    <w:rsid w:val="4D5A8A36"/>
    <w:rsid w:val="4D5AD444"/>
    <w:rsid w:val="4D617B00"/>
    <w:rsid w:val="4D61BBE1"/>
    <w:rsid w:val="4D66B657"/>
    <w:rsid w:val="4D67F666"/>
    <w:rsid w:val="4D6D5D04"/>
    <w:rsid w:val="4D703F3D"/>
    <w:rsid w:val="4D7274A8"/>
    <w:rsid w:val="4D74FBFC"/>
    <w:rsid w:val="4D77963F"/>
    <w:rsid w:val="4D7BDC16"/>
    <w:rsid w:val="4D8288B1"/>
    <w:rsid w:val="4D833CC3"/>
    <w:rsid w:val="4D87B5DD"/>
    <w:rsid w:val="4D8AA1B9"/>
    <w:rsid w:val="4D8E873F"/>
    <w:rsid w:val="4D8FF120"/>
    <w:rsid w:val="4D944429"/>
    <w:rsid w:val="4D951893"/>
    <w:rsid w:val="4D961C7B"/>
    <w:rsid w:val="4D970E27"/>
    <w:rsid w:val="4D980996"/>
    <w:rsid w:val="4D9CFC29"/>
    <w:rsid w:val="4DA28C6B"/>
    <w:rsid w:val="4DA884F3"/>
    <w:rsid w:val="4DAB0BB9"/>
    <w:rsid w:val="4DB18B92"/>
    <w:rsid w:val="4DB289C0"/>
    <w:rsid w:val="4DB38804"/>
    <w:rsid w:val="4DB49997"/>
    <w:rsid w:val="4DB4DA9A"/>
    <w:rsid w:val="4DB5AC0D"/>
    <w:rsid w:val="4DBADE28"/>
    <w:rsid w:val="4DBF1C94"/>
    <w:rsid w:val="4DC3770A"/>
    <w:rsid w:val="4DC3A35C"/>
    <w:rsid w:val="4DC45170"/>
    <w:rsid w:val="4DC49C62"/>
    <w:rsid w:val="4DC8312D"/>
    <w:rsid w:val="4DC8D0F7"/>
    <w:rsid w:val="4DCB87F2"/>
    <w:rsid w:val="4DD19A4E"/>
    <w:rsid w:val="4DD1C10E"/>
    <w:rsid w:val="4DD2C1AA"/>
    <w:rsid w:val="4DD45711"/>
    <w:rsid w:val="4DD48321"/>
    <w:rsid w:val="4DD4DF78"/>
    <w:rsid w:val="4DD6B2B4"/>
    <w:rsid w:val="4DD796AD"/>
    <w:rsid w:val="4DD7D7D7"/>
    <w:rsid w:val="4DDA0B8E"/>
    <w:rsid w:val="4DDCE93E"/>
    <w:rsid w:val="4DDDBE0B"/>
    <w:rsid w:val="4DDEF9ED"/>
    <w:rsid w:val="4DDFA625"/>
    <w:rsid w:val="4DE14739"/>
    <w:rsid w:val="4DE250C8"/>
    <w:rsid w:val="4DE4FA9D"/>
    <w:rsid w:val="4DE68BA6"/>
    <w:rsid w:val="4DEB4BE3"/>
    <w:rsid w:val="4DEE2FF0"/>
    <w:rsid w:val="4DF0A833"/>
    <w:rsid w:val="4DF0C88B"/>
    <w:rsid w:val="4DF3C491"/>
    <w:rsid w:val="4DF4A810"/>
    <w:rsid w:val="4DF7F397"/>
    <w:rsid w:val="4DFFDC18"/>
    <w:rsid w:val="4E00186C"/>
    <w:rsid w:val="4E012358"/>
    <w:rsid w:val="4E01B001"/>
    <w:rsid w:val="4E039874"/>
    <w:rsid w:val="4E040648"/>
    <w:rsid w:val="4E0B59F8"/>
    <w:rsid w:val="4E0B9314"/>
    <w:rsid w:val="4E0D824C"/>
    <w:rsid w:val="4E116C12"/>
    <w:rsid w:val="4E173571"/>
    <w:rsid w:val="4E18C48D"/>
    <w:rsid w:val="4E19B101"/>
    <w:rsid w:val="4E1E4E81"/>
    <w:rsid w:val="4E249D48"/>
    <w:rsid w:val="4E2A47F6"/>
    <w:rsid w:val="4E2C3C5D"/>
    <w:rsid w:val="4E2D90D1"/>
    <w:rsid w:val="4E307FF2"/>
    <w:rsid w:val="4E325DED"/>
    <w:rsid w:val="4E372A3B"/>
    <w:rsid w:val="4E3AA880"/>
    <w:rsid w:val="4E419BB6"/>
    <w:rsid w:val="4E442592"/>
    <w:rsid w:val="4E4536CB"/>
    <w:rsid w:val="4E455CD1"/>
    <w:rsid w:val="4E4AEEDA"/>
    <w:rsid w:val="4E4CBE53"/>
    <w:rsid w:val="4E4D1EF5"/>
    <w:rsid w:val="4E4D8FAA"/>
    <w:rsid w:val="4E4FBF21"/>
    <w:rsid w:val="4E512CE8"/>
    <w:rsid w:val="4E515E07"/>
    <w:rsid w:val="4E51ACFF"/>
    <w:rsid w:val="4E566C52"/>
    <w:rsid w:val="4E5A7863"/>
    <w:rsid w:val="4E5F0207"/>
    <w:rsid w:val="4E622710"/>
    <w:rsid w:val="4E634F26"/>
    <w:rsid w:val="4E69B846"/>
    <w:rsid w:val="4E69F2C4"/>
    <w:rsid w:val="4E75B7F6"/>
    <w:rsid w:val="4E7636D4"/>
    <w:rsid w:val="4E77914B"/>
    <w:rsid w:val="4E799C7A"/>
    <w:rsid w:val="4E7A075F"/>
    <w:rsid w:val="4E7DE676"/>
    <w:rsid w:val="4E85624D"/>
    <w:rsid w:val="4E8607BB"/>
    <w:rsid w:val="4E87AA2B"/>
    <w:rsid w:val="4E89DB00"/>
    <w:rsid w:val="4E8BF252"/>
    <w:rsid w:val="4E8CAC12"/>
    <w:rsid w:val="4E8D2139"/>
    <w:rsid w:val="4E8DD357"/>
    <w:rsid w:val="4E8EFE27"/>
    <w:rsid w:val="4E946365"/>
    <w:rsid w:val="4E952C89"/>
    <w:rsid w:val="4E954EDD"/>
    <w:rsid w:val="4E95704E"/>
    <w:rsid w:val="4E97064C"/>
    <w:rsid w:val="4E97A1A8"/>
    <w:rsid w:val="4E99FAD7"/>
    <w:rsid w:val="4E9D2DB5"/>
    <w:rsid w:val="4E9F4828"/>
    <w:rsid w:val="4E9FEC50"/>
    <w:rsid w:val="4EA07A04"/>
    <w:rsid w:val="4EA206C0"/>
    <w:rsid w:val="4EA82612"/>
    <w:rsid w:val="4EA8306F"/>
    <w:rsid w:val="4EB23D70"/>
    <w:rsid w:val="4EB5BAF3"/>
    <w:rsid w:val="4EB836A8"/>
    <w:rsid w:val="4EBAF545"/>
    <w:rsid w:val="4EBBF545"/>
    <w:rsid w:val="4EBDD30A"/>
    <w:rsid w:val="4EBEFE05"/>
    <w:rsid w:val="4EC0805E"/>
    <w:rsid w:val="4EC2B9C5"/>
    <w:rsid w:val="4EC42F5B"/>
    <w:rsid w:val="4EC46858"/>
    <w:rsid w:val="4ED08FF8"/>
    <w:rsid w:val="4ED44822"/>
    <w:rsid w:val="4ED50F94"/>
    <w:rsid w:val="4EDFF938"/>
    <w:rsid w:val="4EE03911"/>
    <w:rsid w:val="4EE1F9A4"/>
    <w:rsid w:val="4EE26656"/>
    <w:rsid w:val="4EE480B5"/>
    <w:rsid w:val="4EE7B31F"/>
    <w:rsid w:val="4EEB6876"/>
    <w:rsid w:val="4EF1A1C0"/>
    <w:rsid w:val="4EF8DBE9"/>
    <w:rsid w:val="4EFA93FF"/>
    <w:rsid w:val="4EFC86F5"/>
    <w:rsid w:val="4EFCAB91"/>
    <w:rsid w:val="4EFD740A"/>
    <w:rsid w:val="4F01005D"/>
    <w:rsid w:val="4F01381B"/>
    <w:rsid w:val="4F0357DB"/>
    <w:rsid w:val="4F047557"/>
    <w:rsid w:val="4F052B6B"/>
    <w:rsid w:val="4F099D41"/>
    <w:rsid w:val="4F0DC83E"/>
    <w:rsid w:val="4F0EFE5C"/>
    <w:rsid w:val="4F102497"/>
    <w:rsid w:val="4F11CA97"/>
    <w:rsid w:val="4F142444"/>
    <w:rsid w:val="4F148215"/>
    <w:rsid w:val="4F151C72"/>
    <w:rsid w:val="4F152B02"/>
    <w:rsid w:val="4F198096"/>
    <w:rsid w:val="4F19C2F7"/>
    <w:rsid w:val="4F1A2B12"/>
    <w:rsid w:val="4F1A7D0F"/>
    <w:rsid w:val="4F1DDC3A"/>
    <w:rsid w:val="4F1EA249"/>
    <w:rsid w:val="4F24C7C3"/>
    <w:rsid w:val="4F2A4DB7"/>
    <w:rsid w:val="4F2C774B"/>
    <w:rsid w:val="4F2F949D"/>
    <w:rsid w:val="4F2FBD1C"/>
    <w:rsid w:val="4F3521D0"/>
    <w:rsid w:val="4F38D6CE"/>
    <w:rsid w:val="4F392DD1"/>
    <w:rsid w:val="4F398CAE"/>
    <w:rsid w:val="4F3CCE36"/>
    <w:rsid w:val="4F3F0116"/>
    <w:rsid w:val="4F3F66C8"/>
    <w:rsid w:val="4F41FC87"/>
    <w:rsid w:val="4F42B482"/>
    <w:rsid w:val="4F47AC29"/>
    <w:rsid w:val="4F4AFCA7"/>
    <w:rsid w:val="4F4CC656"/>
    <w:rsid w:val="4F4DC20F"/>
    <w:rsid w:val="4F4F36C4"/>
    <w:rsid w:val="4F52644F"/>
    <w:rsid w:val="4F52D2F9"/>
    <w:rsid w:val="4F53DE1B"/>
    <w:rsid w:val="4F5687FB"/>
    <w:rsid w:val="4F59D785"/>
    <w:rsid w:val="4F674F70"/>
    <w:rsid w:val="4F6C8D87"/>
    <w:rsid w:val="4F7067DF"/>
    <w:rsid w:val="4F7097AD"/>
    <w:rsid w:val="4F76930E"/>
    <w:rsid w:val="4F7701A5"/>
    <w:rsid w:val="4F7A30BC"/>
    <w:rsid w:val="4F7B4585"/>
    <w:rsid w:val="4F7B7CE1"/>
    <w:rsid w:val="4F7CBDCC"/>
    <w:rsid w:val="4F7E8657"/>
    <w:rsid w:val="4F808E2C"/>
    <w:rsid w:val="4F809A12"/>
    <w:rsid w:val="4F827712"/>
    <w:rsid w:val="4F82D191"/>
    <w:rsid w:val="4F852279"/>
    <w:rsid w:val="4F852D51"/>
    <w:rsid w:val="4F85C0E7"/>
    <w:rsid w:val="4F8AB403"/>
    <w:rsid w:val="4F8BE409"/>
    <w:rsid w:val="4F8E06E1"/>
    <w:rsid w:val="4F8EA12D"/>
    <w:rsid w:val="4F8FCE76"/>
    <w:rsid w:val="4F90500D"/>
    <w:rsid w:val="4F908D43"/>
    <w:rsid w:val="4F93EA05"/>
    <w:rsid w:val="4F966122"/>
    <w:rsid w:val="4F9862A0"/>
    <w:rsid w:val="4F9B0C2E"/>
    <w:rsid w:val="4F9F12B8"/>
    <w:rsid w:val="4FA32407"/>
    <w:rsid w:val="4FA437F4"/>
    <w:rsid w:val="4FA49FD9"/>
    <w:rsid w:val="4FA6DBB5"/>
    <w:rsid w:val="4FA84FA8"/>
    <w:rsid w:val="4FAA1E23"/>
    <w:rsid w:val="4FAB897F"/>
    <w:rsid w:val="4FAFDF9F"/>
    <w:rsid w:val="4FB096B9"/>
    <w:rsid w:val="4FB0EBE3"/>
    <w:rsid w:val="4FB2ABF8"/>
    <w:rsid w:val="4FB67182"/>
    <w:rsid w:val="4FBA240E"/>
    <w:rsid w:val="4FBAB624"/>
    <w:rsid w:val="4FBC7414"/>
    <w:rsid w:val="4FBC838A"/>
    <w:rsid w:val="4FBE6620"/>
    <w:rsid w:val="4FC42A51"/>
    <w:rsid w:val="4FC843FC"/>
    <w:rsid w:val="4FC86614"/>
    <w:rsid w:val="4FC911CB"/>
    <w:rsid w:val="4FC93259"/>
    <w:rsid w:val="4FCB0FB3"/>
    <w:rsid w:val="4FCB82E2"/>
    <w:rsid w:val="4FCBB834"/>
    <w:rsid w:val="4FCCB9DE"/>
    <w:rsid w:val="4FCF311B"/>
    <w:rsid w:val="4FCFEA73"/>
    <w:rsid w:val="4FD1DC6D"/>
    <w:rsid w:val="4FD6E348"/>
    <w:rsid w:val="4FD6F4F5"/>
    <w:rsid w:val="4FD73B80"/>
    <w:rsid w:val="4FD82B7E"/>
    <w:rsid w:val="4FDB456D"/>
    <w:rsid w:val="4FDD40F8"/>
    <w:rsid w:val="4FDF8D8E"/>
    <w:rsid w:val="4FE030BC"/>
    <w:rsid w:val="4FE2C195"/>
    <w:rsid w:val="4FE2E060"/>
    <w:rsid w:val="4FE6EC50"/>
    <w:rsid w:val="4FED4E1D"/>
    <w:rsid w:val="4FEE4047"/>
    <w:rsid w:val="4FF040EF"/>
    <w:rsid w:val="4FF1A30D"/>
    <w:rsid w:val="4FF2585E"/>
    <w:rsid w:val="4FF40201"/>
    <w:rsid w:val="4FF7018B"/>
    <w:rsid w:val="4FFB0241"/>
    <w:rsid w:val="5003D106"/>
    <w:rsid w:val="5007F7D9"/>
    <w:rsid w:val="500A708C"/>
    <w:rsid w:val="500A80DD"/>
    <w:rsid w:val="500D3AA8"/>
    <w:rsid w:val="500F0DFA"/>
    <w:rsid w:val="50127761"/>
    <w:rsid w:val="50140E4A"/>
    <w:rsid w:val="50183279"/>
    <w:rsid w:val="5018C807"/>
    <w:rsid w:val="501A9CE2"/>
    <w:rsid w:val="501B3EFF"/>
    <w:rsid w:val="501BC0B4"/>
    <w:rsid w:val="501CC5AF"/>
    <w:rsid w:val="501D0CC8"/>
    <w:rsid w:val="501E2388"/>
    <w:rsid w:val="502147E6"/>
    <w:rsid w:val="50218B99"/>
    <w:rsid w:val="5027A70D"/>
    <w:rsid w:val="5029D8AD"/>
    <w:rsid w:val="502AB318"/>
    <w:rsid w:val="502D0EF8"/>
    <w:rsid w:val="502E55A4"/>
    <w:rsid w:val="502F6427"/>
    <w:rsid w:val="502F83F8"/>
    <w:rsid w:val="5034D6ED"/>
    <w:rsid w:val="5036FB5F"/>
    <w:rsid w:val="50379DB9"/>
    <w:rsid w:val="50384009"/>
    <w:rsid w:val="5039DED4"/>
    <w:rsid w:val="50460DFE"/>
    <w:rsid w:val="504877B3"/>
    <w:rsid w:val="504CE93F"/>
    <w:rsid w:val="504D75DF"/>
    <w:rsid w:val="504EF4D9"/>
    <w:rsid w:val="505011DE"/>
    <w:rsid w:val="5055828C"/>
    <w:rsid w:val="5058FCB5"/>
    <w:rsid w:val="5062D67D"/>
    <w:rsid w:val="5063F2F7"/>
    <w:rsid w:val="50650321"/>
    <w:rsid w:val="50659F7D"/>
    <w:rsid w:val="50666B11"/>
    <w:rsid w:val="50680BB4"/>
    <w:rsid w:val="5069DADE"/>
    <w:rsid w:val="506A52AA"/>
    <w:rsid w:val="506A7F91"/>
    <w:rsid w:val="506B1F62"/>
    <w:rsid w:val="506BEBA6"/>
    <w:rsid w:val="506CFED6"/>
    <w:rsid w:val="506DC16B"/>
    <w:rsid w:val="506FAF32"/>
    <w:rsid w:val="5071D63F"/>
    <w:rsid w:val="507747AF"/>
    <w:rsid w:val="507774D9"/>
    <w:rsid w:val="507B48B4"/>
    <w:rsid w:val="507F33B4"/>
    <w:rsid w:val="50800432"/>
    <w:rsid w:val="50835E85"/>
    <w:rsid w:val="508C407A"/>
    <w:rsid w:val="50907175"/>
    <w:rsid w:val="5090BA78"/>
    <w:rsid w:val="5091D828"/>
    <w:rsid w:val="50998038"/>
    <w:rsid w:val="509C1996"/>
    <w:rsid w:val="50A58C06"/>
    <w:rsid w:val="50A5EFE6"/>
    <w:rsid w:val="50A75293"/>
    <w:rsid w:val="50A80A0C"/>
    <w:rsid w:val="50AA6159"/>
    <w:rsid w:val="50AC52E4"/>
    <w:rsid w:val="50AD727A"/>
    <w:rsid w:val="50AE6A26"/>
    <w:rsid w:val="50B054D0"/>
    <w:rsid w:val="50B2A15E"/>
    <w:rsid w:val="50B34191"/>
    <w:rsid w:val="50B82BCB"/>
    <w:rsid w:val="50B8329A"/>
    <w:rsid w:val="50BE84F2"/>
    <w:rsid w:val="50C62E7D"/>
    <w:rsid w:val="50C9E9E4"/>
    <w:rsid w:val="50CA708A"/>
    <w:rsid w:val="50D7958A"/>
    <w:rsid w:val="50D8D0F9"/>
    <w:rsid w:val="50DB33EA"/>
    <w:rsid w:val="50DD7BEE"/>
    <w:rsid w:val="50DE8692"/>
    <w:rsid w:val="50E32129"/>
    <w:rsid w:val="50E77D7D"/>
    <w:rsid w:val="50E79CDC"/>
    <w:rsid w:val="50E8B1BD"/>
    <w:rsid w:val="50EF235D"/>
    <w:rsid w:val="50F2BBAB"/>
    <w:rsid w:val="50F36D99"/>
    <w:rsid w:val="50F48D26"/>
    <w:rsid w:val="50F4DA6F"/>
    <w:rsid w:val="50F6163A"/>
    <w:rsid w:val="50F8E6BC"/>
    <w:rsid w:val="50FC10E8"/>
    <w:rsid w:val="5100C7DA"/>
    <w:rsid w:val="510124EE"/>
    <w:rsid w:val="5103921E"/>
    <w:rsid w:val="510887BE"/>
    <w:rsid w:val="510B30C4"/>
    <w:rsid w:val="510CC8DA"/>
    <w:rsid w:val="51127A98"/>
    <w:rsid w:val="5114D89F"/>
    <w:rsid w:val="5117FADC"/>
    <w:rsid w:val="5118787D"/>
    <w:rsid w:val="5118F2A2"/>
    <w:rsid w:val="511AD600"/>
    <w:rsid w:val="511C476E"/>
    <w:rsid w:val="511CD556"/>
    <w:rsid w:val="511D7612"/>
    <w:rsid w:val="511EA08E"/>
    <w:rsid w:val="511EF6AB"/>
    <w:rsid w:val="511F8002"/>
    <w:rsid w:val="512229A9"/>
    <w:rsid w:val="51262A2E"/>
    <w:rsid w:val="51271525"/>
    <w:rsid w:val="512881A3"/>
    <w:rsid w:val="512C050E"/>
    <w:rsid w:val="512D7F69"/>
    <w:rsid w:val="512E1C27"/>
    <w:rsid w:val="512F7D7D"/>
    <w:rsid w:val="51306D22"/>
    <w:rsid w:val="5130FBB3"/>
    <w:rsid w:val="5130FC41"/>
    <w:rsid w:val="5133C7EF"/>
    <w:rsid w:val="5135E0AD"/>
    <w:rsid w:val="513850DE"/>
    <w:rsid w:val="513875C6"/>
    <w:rsid w:val="51398EB7"/>
    <w:rsid w:val="5140F29E"/>
    <w:rsid w:val="514180CB"/>
    <w:rsid w:val="5141D1C9"/>
    <w:rsid w:val="5146643B"/>
    <w:rsid w:val="51494EBF"/>
    <w:rsid w:val="514B88E5"/>
    <w:rsid w:val="514B9C52"/>
    <w:rsid w:val="51515FA7"/>
    <w:rsid w:val="51527C95"/>
    <w:rsid w:val="515AAB6B"/>
    <w:rsid w:val="515ADDB9"/>
    <w:rsid w:val="515C4DF6"/>
    <w:rsid w:val="515CE446"/>
    <w:rsid w:val="515D4D2C"/>
    <w:rsid w:val="51620585"/>
    <w:rsid w:val="5163206A"/>
    <w:rsid w:val="516502A0"/>
    <w:rsid w:val="5165FC2D"/>
    <w:rsid w:val="5169D6A7"/>
    <w:rsid w:val="516CC13E"/>
    <w:rsid w:val="516DD53A"/>
    <w:rsid w:val="51705A92"/>
    <w:rsid w:val="517093DB"/>
    <w:rsid w:val="5170B674"/>
    <w:rsid w:val="51743ECC"/>
    <w:rsid w:val="51749158"/>
    <w:rsid w:val="51772F5A"/>
    <w:rsid w:val="517D037F"/>
    <w:rsid w:val="517E6D30"/>
    <w:rsid w:val="51829C54"/>
    <w:rsid w:val="51834F8E"/>
    <w:rsid w:val="51840D36"/>
    <w:rsid w:val="51851D11"/>
    <w:rsid w:val="518950A0"/>
    <w:rsid w:val="518B775F"/>
    <w:rsid w:val="5190676E"/>
    <w:rsid w:val="5190D84F"/>
    <w:rsid w:val="51910C45"/>
    <w:rsid w:val="5191FF18"/>
    <w:rsid w:val="5197DEAB"/>
    <w:rsid w:val="5198CCCC"/>
    <w:rsid w:val="519D24C8"/>
    <w:rsid w:val="51A06447"/>
    <w:rsid w:val="51A146FD"/>
    <w:rsid w:val="51A2BCA9"/>
    <w:rsid w:val="51A48535"/>
    <w:rsid w:val="51A65CCD"/>
    <w:rsid w:val="51A7AC78"/>
    <w:rsid w:val="51AFA236"/>
    <w:rsid w:val="51B001BB"/>
    <w:rsid w:val="51B181E6"/>
    <w:rsid w:val="51B1C3D7"/>
    <w:rsid w:val="51B24C68"/>
    <w:rsid w:val="51B98EC6"/>
    <w:rsid w:val="51B99F86"/>
    <w:rsid w:val="51BE6BF4"/>
    <w:rsid w:val="51C04583"/>
    <w:rsid w:val="51C76EEE"/>
    <w:rsid w:val="51CB36D0"/>
    <w:rsid w:val="51CD745D"/>
    <w:rsid w:val="51CDCB36"/>
    <w:rsid w:val="51CF4A50"/>
    <w:rsid w:val="51D12A8F"/>
    <w:rsid w:val="51D167A1"/>
    <w:rsid w:val="51D262EE"/>
    <w:rsid w:val="51D33FBB"/>
    <w:rsid w:val="51D38A5F"/>
    <w:rsid w:val="51D613E1"/>
    <w:rsid w:val="51D7CE12"/>
    <w:rsid w:val="51DC5162"/>
    <w:rsid w:val="51DCFE51"/>
    <w:rsid w:val="51DF5276"/>
    <w:rsid w:val="51E2B176"/>
    <w:rsid w:val="51E62507"/>
    <w:rsid w:val="51E73EA3"/>
    <w:rsid w:val="51E8EA35"/>
    <w:rsid w:val="51E93E44"/>
    <w:rsid w:val="51ED7094"/>
    <w:rsid w:val="51F01736"/>
    <w:rsid w:val="51F3C31A"/>
    <w:rsid w:val="51F4331E"/>
    <w:rsid w:val="51F4CBC7"/>
    <w:rsid w:val="51F52D9C"/>
    <w:rsid w:val="51F627B7"/>
    <w:rsid w:val="51F6EC33"/>
    <w:rsid w:val="51FA5D01"/>
    <w:rsid w:val="51FB39FA"/>
    <w:rsid w:val="51FDA291"/>
    <w:rsid w:val="520A50FA"/>
    <w:rsid w:val="520D229A"/>
    <w:rsid w:val="52116A41"/>
    <w:rsid w:val="52122126"/>
    <w:rsid w:val="5212DCB2"/>
    <w:rsid w:val="52154602"/>
    <w:rsid w:val="5216C3DE"/>
    <w:rsid w:val="5219B5A0"/>
    <w:rsid w:val="521BBDB2"/>
    <w:rsid w:val="521CDDB8"/>
    <w:rsid w:val="521DD780"/>
    <w:rsid w:val="521F3455"/>
    <w:rsid w:val="521F4E56"/>
    <w:rsid w:val="5222C82F"/>
    <w:rsid w:val="5223E9D7"/>
    <w:rsid w:val="5227E0FF"/>
    <w:rsid w:val="522C432F"/>
    <w:rsid w:val="522F55E4"/>
    <w:rsid w:val="522F69BE"/>
    <w:rsid w:val="5230C66E"/>
    <w:rsid w:val="5231D004"/>
    <w:rsid w:val="5231F0D4"/>
    <w:rsid w:val="523C5F84"/>
    <w:rsid w:val="523FB790"/>
    <w:rsid w:val="52434E01"/>
    <w:rsid w:val="524DFC49"/>
    <w:rsid w:val="524E3E73"/>
    <w:rsid w:val="524F655B"/>
    <w:rsid w:val="52519EC7"/>
    <w:rsid w:val="52521336"/>
    <w:rsid w:val="525381AD"/>
    <w:rsid w:val="525386F6"/>
    <w:rsid w:val="5254F475"/>
    <w:rsid w:val="5255072E"/>
    <w:rsid w:val="525677BB"/>
    <w:rsid w:val="5258AECB"/>
    <w:rsid w:val="52593E45"/>
    <w:rsid w:val="525C1E67"/>
    <w:rsid w:val="52633082"/>
    <w:rsid w:val="52646ADE"/>
    <w:rsid w:val="52650134"/>
    <w:rsid w:val="5269E8D5"/>
    <w:rsid w:val="526AEEEF"/>
    <w:rsid w:val="526B7F35"/>
    <w:rsid w:val="526BBE29"/>
    <w:rsid w:val="526E8A35"/>
    <w:rsid w:val="526FB3DF"/>
    <w:rsid w:val="527221E7"/>
    <w:rsid w:val="52761911"/>
    <w:rsid w:val="5276556C"/>
    <w:rsid w:val="52765838"/>
    <w:rsid w:val="527742F5"/>
    <w:rsid w:val="52791312"/>
    <w:rsid w:val="52793992"/>
    <w:rsid w:val="527BFACB"/>
    <w:rsid w:val="527C6BFA"/>
    <w:rsid w:val="527C8568"/>
    <w:rsid w:val="527D9FFF"/>
    <w:rsid w:val="527EDD6C"/>
    <w:rsid w:val="528072D1"/>
    <w:rsid w:val="5283A3B4"/>
    <w:rsid w:val="5287CCAE"/>
    <w:rsid w:val="5288EDDF"/>
    <w:rsid w:val="528927C7"/>
    <w:rsid w:val="5289ED35"/>
    <w:rsid w:val="528C6CF8"/>
    <w:rsid w:val="52932BA2"/>
    <w:rsid w:val="529591F2"/>
    <w:rsid w:val="5298CF53"/>
    <w:rsid w:val="529B007A"/>
    <w:rsid w:val="529E7F5D"/>
    <w:rsid w:val="529EBE79"/>
    <w:rsid w:val="52A5923F"/>
    <w:rsid w:val="52A6A96A"/>
    <w:rsid w:val="52A7259D"/>
    <w:rsid w:val="52A99E78"/>
    <w:rsid w:val="52AAB7B4"/>
    <w:rsid w:val="52AB93CA"/>
    <w:rsid w:val="52ABB49E"/>
    <w:rsid w:val="52ABBE82"/>
    <w:rsid w:val="52AC0DBD"/>
    <w:rsid w:val="52ADFB24"/>
    <w:rsid w:val="52AE5123"/>
    <w:rsid w:val="52B068AC"/>
    <w:rsid w:val="52B88031"/>
    <w:rsid w:val="52B99C1A"/>
    <w:rsid w:val="52BBB98A"/>
    <w:rsid w:val="52BF1F2C"/>
    <w:rsid w:val="52BFFD94"/>
    <w:rsid w:val="52C0A8B2"/>
    <w:rsid w:val="52C16DE2"/>
    <w:rsid w:val="52C26812"/>
    <w:rsid w:val="52C2913F"/>
    <w:rsid w:val="52C6CD5C"/>
    <w:rsid w:val="52C849C0"/>
    <w:rsid w:val="52CC647C"/>
    <w:rsid w:val="52CF0D3D"/>
    <w:rsid w:val="52DE6CD7"/>
    <w:rsid w:val="52DF62CC"/>
    <w:rsid w:val="52E01319"/>
    <w:rsid w:val="52E0C8E5"/>
    <w:rsid w:val="52E4A14F"/>
    <w:rsid w:val="52E716EF"/>
    <w:rsid w:val="52E80187"/>
    <w:rsid w:val="52E8E72E"/>
    <w:rsid w:val="52E924FB"/>
    <w:rsid w:val="52E985BF"/>
    <w:rsid w:val="52EEFB78"/>
    <w:rsid w:val="52F666AB"/>
    <w:rsid w:val="52F8446A"/>
    <w:rsid w:val="52FD959E"/>
    <w:rsid w:val="52FE4A30"/>
    <w:rsid w:val="52FF9269"/>
    <w:rsid w:val="530552E8"/>
    <w:rsid w:val="5307DBF5"/>
    <w:rsid w:val="530AECDF"/>
    <w:rsid w:val="5313F8C2"/>
    <w:rsid w:val="53160D5D"/>
    <w:rsid w:val="53163AFD"/>
    <w:rsid w:val="531A7EDC"/>
    <w:rsid w:val="531F9A9B"/>
    <w:rsid w:val="5320977C"/>
    <w:rsid w:val="53233A82"/>
    <w:rsid w:val="53242D71"/>
    <w:rsid w:val="5324D2CC"/>
    <w:rsid w:val="53250A8C"/>
    <w:rsid w:val="5331A52D"/>
    <w:rsid w:val="53341A55"/>
    <w:rsid w:val="53345FD3"/>
    <w:rsid w:val="5335538C"/>
    <w:rsid w:val="533645D3"/>
    <w:rsid w:val="533993EE"/>
    <w:rsid w:val="533D5D9A"/>
    <w:rsid w:val="533E214E"/>
    <w:rsid w:val="5341AB9E"/>
    <w:rsid w:val="5342D190"/>
    <w:rsid w:val="53441ED5"/>
    <w:rsid w:val="5345AAEB"/>
    <w:rsid w:val="53486079"/>
    <w:rsid w:val="534B43DB"/>
    <w:rsid w:val="534D9C0D"/>
    <w:rsid w:val="534EB700"/>
    <w:rsid w:val="534EF88C"/>
    <w:rsid w:val="534FA5E4"/>
    <w:rsid w:val="5353CA72"/>
    <w:rsid w:val="53552578"/>
    <w:rsid w:val="5355AD2A"/>
    <w:rsid w:val="5358699F"/>
    <w:rsid w:val="535AAF89"/>
    <w:rsid w:val="535BFC71"/>
    <w:rsid w:val="535C2627"/>
    <w:rsid w:val="535CF2B2"/>
    <w:rsid w:val="535E8370"/>
    <w:rsid w:val="535FD3C9"/>
    <w:rsid w:val="5360564E"/>
    <w:rsid w:val="53639DC8"/>
    <w:rsid w:val="536587B4"/>
    <w:rsid w:val="5368E545"/>
    <w:rsid w:val="536C6094"/>
    <w:rsid w:val="536C856C"/>
    <w:rsid w:val="5371EDA6"/>
    <w:rsid w:val="5375A347"/>
    <w:rsid w:val="5377ADAA"/>
    <w:rsid w:val="5378026F"/>
    <w:rsid w:val="537BC1D1"/>
    <w:rsid w:val="5380A388"/>
    <w:rsid w:val="5383B975"/>
    <w:rsid w:val="5384C802"/>
    <w:rsid w:val="5384EC7D"/>
    <w:rsid w:val="53857AC5"/>
    <w:rsid w:val="538886E3"/>
    <w:rsid w:val="538921BC"/>
    <w:rsid w:val="538C6961"/>
    <w:rsid w:val="538D16E1"/>
    <w:rsid w:val="538F3AAF"/>
    <w:rsid w:val="538FAF02"/>
    <w:rsid w:val="538FEE2A"/>
    <w:rsid w:val="53901DCB"/>
    <w:rsid w:val="5391FD2F"/>
    <w:rsid w:val="5393B5E4"/>
    <w:rsid w:val="539880E0"/>
    <w:rsid w:val="539AA3FD"/>
    <w:rsid w:val="539C2D0A"/>
    <w:rsid w:val="539D6905"/>
    <w:rsid w:val="539FE0F1"/>
    <w:rsid w:val="53A0D89C"/>
    <w:rsid w:val="53A188B7"/>
    <w:rsid w:val="53A43959"/>
    <w:rsid w:val="53A8B944"/>
    <w:rsid w:val="53AB2AB9"/>
    <w:rsid w:val="53AEA446"/>
    <w:rsid w:val="53B01633"/>
    <w:rsid w:val="53B13A70"/>
    <w:rsid w:val="53B1683B"/>
    <w:rsid w:val="53B4FB0C"/>
    <w:rsid w:val="53B8C040"/>
    <w:rsid w:val="53BA838F"/>
    <w:rsid w:val="53BAABAB"/>
    <w:rsid w:val="53BAB17E"/>
    <w:rsid w:val="53BB3EC5"/>
    <w:rsid w:val="53BD02B4"/>
    <w:rsid w:val="53C09EE5"/>
    <w:rsid w:val="53C1E2BD"/>
    <w:rsid w:val="53C342DF"/>
    <w:rsid w:val="53C7F342"/>
    <w:rsid w:val="53CADC86"/>
    <w:rsid w:val="53CE5E6C"/>
    <w:rsid w:val="53D21B86"/>
    <w:rsid w:val="53D31D29"/>
    <w:rsid w:val="53D679E3"/>
    <w:rsid w:val="53D6EE8C"/>
    <w:rsid w:val="53D8266F"/>
    <w:rsid w:val="53D8B16A"/>
    <w:rsid w:val="53DBA34B"/>
    <w:rsid w:val="53DBDD45"/>
    <w:rsid w:val="53DF88F1"/>
    <w:rsid w:val="53E0E625"/>
    <w:rsid w:val="53E15F9E"/>
    <w:rsid w:val="53E8EC82"/>
    <w:rsid w:val="53E9775C"/>
    <w:rsid w:val="53EA1DD4"/>
    <w:rsid w:val="53EB6D4E"/>
    <w:rsid w:val="53EF0CFF"/>
    <w:rsid w:val="53F198AC"/>
    <w:rsid w:val="53FB9162"/>
    <w:rsid w:val="53FCEF53"/>
    <w:rsid w:val="53FF4BD9"/>
    <w:rsid w:val="5403970D"/>
    <w:rsid w:val="5404C9DB"/>
    <w:rsid w:val="5406AC41"/>
    <w:rsid w:val="540A9D90"/>
    <w:rsid w:val="540AC8BC"/>
    <w:rsid w:val="540AF29C"/>
    <w:rsid w:val="540E07A5"/>
    <w:rsid w:val="540EF029"/>
    <w:rsid w:val="541071AD"/>
    <w:rsid w:val="5412C29C"/>
    <w:rsid w:val="54152CA9"/>
    <w:rsid w:val="54167954"/>
    <w:rsid w:val="54193E90"/>
    <w:rsid w:val="5419D63C"/>
    <w:rsid w:val="541AB4E2"/>
    <w:rsid w:val="541AC8F3"/>
    <w:rsid w:val="541C3A80"/>
    <w:rsid w:val="54217736"/>
    <w:rsid w:val="542253CE"/>
    <w:rsid w:val="54227821"/>
    <w:rsid w:val="5422D734"/>
    <w:rsid w:val="5424AA8B"/>
    <w:rsid w:val="5424F127"/>
    <w:rsid w:val="5427B174"/>
    <w:rsid w:val="5427C9B4"/>
    <w:rsid w:val="5427CE00"/>
    <w:rsid w:val="5428E09F"/>
    <w:rsid w:val="54290273"/>
    <w:rsid w:val="542B17C7"/>
    <w:rsid w:val="542B9010"/>
    <w:rsid w:val="542C1B42"/>
    <w:rsid w:val="542DA508"/>
    <w:rsid w:val="5431FAC3"/>
    <w:rsid w:val="5432EBC8"/>
    <w:rsid w:val="5433D45C"/>
    <w:rsid w:val="54344A90"/>
    <w:rsid w:val="54344CAD"/>
    <w:rsid w:val="54349D06"/>
    <w:rsid w:val="5435143F"/>
    <w:rsid w:val="5437DB2F"/>
    <w:rsid w:val="543CAACF"/>
    <w:rsid w:val="543D5AFD"/>
    <w:rsid w:val="5440B69C"/>
    <w:rsid w:val="54444BC2"/>
    <w:rsid w:val="54458C06"/>
    <w:rsid w:val="54508731"/>
    <w:rsid w:val="5454D1E3"/>
    <w:rsid w:val="5454F8C9"/>
    <w:rsid w:val="545A53AB"/>
    <w:rsid w:val="545ABBB2"/>
    <w:rsid w:val="545F6708"/>
    <w:rsid w:val="545F966D"/>
    <w:rsid w:val="546051FC"/>
    <w:rsid w:val="5464D9D6"/>
    <w:rsid w:val="5466466F"/>
    <w:rsid w:val="54687013"/>
    <w:rsid w:val="546A40DF"/>
    <w:rsid w:val="546E5E09"/>
    <w:rsid w:val="546F166E"/>
    <w:rsid w:val="5470D9D3"/>
    <w:rsid w:val="5476B768"/>
    <w:rsid w:val="5478DB13"/>
    <w:rsid w:val="547978AB"/>
    <w:rsid w:val="547F0341"/>
    <w:rsid w:val="5480C868"/>
    <w:rsid w:val="5485EAAA"/>
    <w:rsid w:val="5486A2C3"/>
    <w:rsid w:val="54874518"/>
    <w:rsid w:val="5487E904"/>
    <w:rsid w:val="5487F8C9"/>
    <w:rsid w:val="54881020"/>
    <w:rsid w:val="5489196E"/>
    <w:rsid w:val="548D37C3"/>
    <w:rsid w:val="5491D9C1"/>
    <w:rsid w:val="5494BC44"/>
    <w:rsid w:val="54966A12"/>
    <w:rsid w:val="549B3E2F"/>
    <w:rsid w:val="549D6FFB"/>
    <w:rsid w:val="549F5330"/>
    <w:rsid w:val="54A13F51"/>
    <w:rsid w:val="54A342D3"/>
    <w:rsid w:val="54A49ABC"/>
    <w:rsid w:val="54A4FD2D"/>
    <w:rsid w:val="54A56CE4"/>
    <w:rsid w:val="54A849F4"/>
    <w:rsid w:val="54A8D3E7"/>
    <w:rsid w:val="54AB0C00"/>
    <w:rsid w:val="54AF5D4F"/>
    <w:rsid w:val="54AFE889"/>
    <w:rsid w:val="54B3270A"/>
    <w:rsid w:val="54B34691"/>
    <w:rsid w:val="54B40D5D"/>
    <w:rsid w:val="54B56219"/>
    <w:rsid w:val="54B75107"/>
    <w:rsid w:val="54B8FA10"/>
    <w:rsid w:val="54B90861"/>
    <w:rsid w:val="54B9774E"/>
    <w:rsid w:val="54C18BD0"/>
    <w:rsid w:val="54C23718"/>
    <w:rsid w:val="54C4D025"/>
    <w:rsid w:val="54CB35DD"/>
    <w:rsid w:val="54CC5C50"/>
    <w:rsid w:val="54CF402B"/>
    <w:rsid w:val="54D26DCE"/>
    <w:rsid w:val="54D5D7D1"/>
    <w:rsid w:val="54D6389E"/>
    <w:rsid w:val="54D99561"/>
    <w:rsid w:val="54DC3BDF"/>
    <w:rsid w:val="54E1D190"/>
    <w:rsid w:val="54E5D313"/>
    <w:rsid w:val="54E6F6E9"/>
    <w:rsid w:val="54E835CE"/>
    <w:rsid w:val="54EA31F0"/>
    <w:rsid w:val="54EA6DB3"/>
    <w:rsid w:val="54EB45BA"/>
    <w:rsid w:val="54EB89BA"/>
    <w:rsid w:val="54EE2ECE"/>
    <w:rsid w:val="54F4F5C1"/>
    <w:rsid w:val="54F781A1"/>
    <w:rsid w:val="54FE24B5"/>
    <w:rsid w:val="54FE28C1"/>
    <w:rsid w:val="54FF3180"/>
    <w:rsid w:val="55008DA3"/>
    <w:rsid w:val="55047FE2"/>
    <w:rsid w:val="550C6B5E"/>
    <w:rsid w:val="550CA67C"/>
    <w:rsid w:val="550DAE89"/>
    <w:rsid w:val="550DBF07"/>
    <w:rsid w:val="551241D0"/>
    <w:rsid w:val="55125F02"/>
    <w:rsid w:val="5513ACCF"/>
    <w:rsid w:val="55149138"/>
    <w:rsid w:val="5515BEF9"/>
    <w:rsid w:val="5515D3FF"/>
    <w:rsid w:val="551E0A73"/>
    <w:rsid w:val="551F3961"/>
    <w:rsid w:val="5521EFA0"/>
    <w:rsid w:val="5522315A"/>
    <w:rsid w:val="55228094"/>
    <w:rsid w:val="5522ECAE"/>
    <w:rsid w:val="5529673C"/>
    <w:rsid w:val="552AD799"/>
    <w:rsid w:val="552B8401"/>
    <w:rsid w:val="5531A009"/>
    <w:rsid w:val="55324344"/>
    <w:rsid w:val="5533C193"/>
    <w:rsid w:val="55392D5B"/>
    <w:rsid w:val="5539CE54"/>
    <w:rsid w:val="553B692A"/>
    <w:rsid w:val="553E4CD2"/>
    <w:rsid w:val="55416BC8"/>
    <w:rsid w:val="55454440"/>
    <w:rsid w:val="554DBD2F"/>
    <w:rsid w:val="554E449F"/>
    <w:rsid w:val="55525349"/>
    <w:rsid w:val="555D2A67"/>
    <w:rsid w:val="555E0A3D"/>
    <w:rsid w:val="555F490B"/>
    <w:rsid w:val="5561F75D"/>
    <w:rsid w:val="5565E6A4"/>
    <w:rsid w:val="556879F0"/>
    <w:rsid w:val="556E86F0"/>
    <w:rsid w:val="55719C91"/>
    <w:rsid w:val="55725FB4"/>
    <w:rsid w:val="557444DB"/>
    <w:rsid w:val="55753578"/>
    <w:rsid w:val="557693D4"/>
    <w:rsid w:val="557958E2"/>
    <w:rsid w:val="557B223C"/>
    <w:rsid w:val="55842D1A"/>
    <w:rsid w:val="55864FEA"/>
    <w:rsid w:val="55885534"/>
    <w:rsid w:val="558C81B1"/>
    <w:rsid w:val="558CE24E"/>
    <w:rsid w:val="5590DA03"/>
    <w:rsid w:val="55915CB7"/>
    <w:rsid w:val="5592EA50"/>
    <w:rsid w:val="559BB20B"/>
    <w:rsid w:val="559C2DB2"/>
    <w:rsid w:val="559DDA68"/>
    <w:rsid w:val="559E3669"/>
    <w:rsid w:val="559F0B3F"/>
    <w:rsid w:val="55A43CBF"/>
    <w:rsid w:val="55B0B54C"/>
    <w:rsid w:val="55B426ED"/>
    <w:rsid w:val="55B8BA02"/>
    <w:rsid w:val="55BA17F7"/>
    <w:rsid w:val="55BB5E20"/>
    <w:rsid w:val="55BDF2E2"/>
    <w:rsid w:val="55BEBC39"/>
    <w:rsid w:val="55BFC13F"/>
    <w:rsid w:val="55C3AEDD"/>
    <w:rsid w:val="55C896A6"/>
    <w:rsid w:val="55CB79AA"/>
    <w:rsid w:val="55D7181E"/>
    <w:rsid w:val="55D731A8"/>
    <w:rsid w:val="55DD424B"/>
    <w:rsid w:val="55DE2202"/>
    <w:rsid w:val="55DE9588"/>
    <w:rsid w:val="55E758F6"/>
    <w:rsid w:val="55E8D2AC"/>
    <w:rsid w:val="55EA97FD"/>
    <w:rsid w:val="55EAD2E0"/>
    <w:rsid w:val="55F24933"/>
    <w:rsid w:val="55F566D4"/>
    <w:rsid w:val="55F97FAC"/>
    <w:rsid w:val="55FAF499"/>
    <w:rsid w:val="55FD0A49"/>
    <w:rsid w:val="55FD38D3"/>
    <w:rsid w:val="55FD7AAA"/>
    <w:rsid w:val="55FF881A"/>
    <w:rsid w:val="56048F5D"/>
    <w:rsid w:val="56056BBC"/>
    <w:rsid w:val="560782ED"/>
    <w:rsid w:val="560A5575"/>
    <w:rsid w:val="560C94DB"/>
    <w:rsid w:val="56101D36"/>
    <w:rsid w:val="5612C7CA"/>
    <w:rsid w:val="561864B2"/>
    <w:rsid w:val="561A0F54"/>
    <w:rsid w:val="561AB2B4"/>
    <w:rsid w:val="561B4079"/>
    <w:rsid w:val="561D3A67"/>
    <w:rsid w:val="561D8574"/>
    <w:rsid w:val="561DFB4D"/>
    <w:rsid w:val="56209DEB"/>
    <w:rsid w:val="56210DF0"/>
    <w:rsid w:val="5624B0C6"/>
    <w:rsid w:val="5624D8D6"/>
    <w:rsid w:val="56270FF2"/>
    <w:rsid w:val="5631E56C"/>
    <w:rsid w:val="5633A892"/>
    <w:rsid w:val="563C585F"/>
    <w:rsid w:val="563D6FDA"/>
    <w:rsid w:val="563FFA5B"/>
    <w:rsid w:val="564078C4"/>
    <w:rsid w:val="5641CFE2"/>
    <w:rsid w:val="56461204"/>
    <w:rsid w:val="564FEA61"/>
    <w:rsid w:val="56528FEE"/>
    <w:rsid w:val="5654BE90"/>
    <w:rsid w:val="5656D0F6"/>
    <w:rsid w:val="565F27A1"/>
    <w:rsid w:val="566A59B5"/>
    <w:rsid w:val="566E06CE"/>
    <w:rsid w:val="567444D7"/>
    <w:rsid w:val="5675B1D4"/>
    <w:rsid w:val="5675CF7E"/>
    <w:rsid w:val="5676195D"/>
    <w:rsid w:val="567B41C7"/>
    <w:rsid w:val="567C79C3"/>
    <w:rsid w:val="567D19A4"/>
    <w:rsid w:val="567F4442"/>
    <w:rsid w:val="56813BC4"/>
    <w:rsid w:val="56827EAE"/>
    <w:rsid w:val="5682AE3F"/>
    <w:rsid w:val="5685E401"/>
    <w:rsid w:val="56862B57"/>
    <w:rsid w:val="568731B1"/>
    <w:rsid w:val="5687375D"/>
    <w:rsid w:val="568C80EF"/>
    <w:rsid w:val="568D8646"/>
    <w:rsid w:val="568DCA79"/>
    <w:rsid w:val="568EA3E0"/>
    <w:rsid w:val="56907680"/>
    <w:rsid w:val="5692CB79"/>
    <w:rsid w:val="5693AD46"/>
    <w:rsid w:val="5694420B"/>
    <w:rsid w:val="569A81AC"/>
    <w:rsid w:val="569CFC2B"/>
    <w:rsid w:val="56A36C5F"/>
    <w:rsid w:val="56AA17B5"/>
    <w:rsid w:val="56AFABA7"/>
    <w:rsid w:val="56B00D97"/>
    <w:rsid w:val="56B0A271"/>
    <w:rsid w:val="56B46DD2"/>
    <w:rsid w:val="56B6091C"/>
    <w:rsid w:val="56B69F5D"/>
    <w:rsid w:val="56B920A7"/>
    <w:rsid w:val="56B95959"/>
    <w:rsid w:val="56BC3324"/>
    <w:rsid w:val="56C02803"/>
    <w:rsid w:val="56C0CA2C"/>
    <w:rsid w:val="56C32C78"/>
    <w:rsid w:val="56C35CE2"/>
    <w:rsid w:val="56C5A634"/>
    <w:rsid w:val="56CABBC8"/>
    <w:rsid w:val="56D07AA5"/>
    <w:rsid w:val="56D5806C"/>
    <w:rsid w:val="56D59EC4"/>
    <w:rsid w:val="56D62E58"/>
    <w:rsid w:val="56D7AE0B"/>
    <w:rsid w:val="56D84720"/>
    <w:rsid w:val="56DA04C0"/>
    <w:rsid w:val="56DADC09"/>
    <w:rsid w:val="56DB9E06"/>
    <w:rsid w:val="56DE6CCF"/>
    <w:rsid w:val="56E41932"/>
    <w:rsid w:val="56E9D400"/>
    <w:rsid w:val="56EDC851"/>
    <w:rsid w:val="56EEB44A"/>
    <w:rsid w:val="56EFBE6B"/>
    <w:rsid w:val="56F2272C"/>
    <w:rsid w:val="56F29EFF"/>
    <w:rsid w:val="56F2DA4C"/>
    <w:rsid w:val="56F2FE14"/>
    <w:rsid w:val="56F5F4A1"/>
    <w:rsid w:val="56F6C7F4"/>
    <w:rsid w:val="56F7E094"/>
    <w:rsid w:val="56F9CBEF"/>
    <w:rsid w:val="56FA209E"/>
    <w:rsid w:val="56FB7A8C"/>
    <w:rsid w:val="56FBB462"/>
    <w:rsid w:val="56FC081B"/>
    <w:rsid w:val="56FFF807"/>
    <w:rsid w:val="57000385"/>
    <w:rsid w:val="570108A2"/>
    <w:rsid w:val="570205D6"/>
    <w:rsid w:val="570229FE"/>
    <w:rsid w:val="5702BA87"/>
    <w:rsid w:val="5702BD28"/>
    <w:rsid w:val="5702C5C9"/>
    <w:rsid w:val="5703C626"/>
    <w:rsid w:val="570590E8"/>
    <w:rsid w:val="570F8FC8"/>
    <w:rsid w:val="57132BA2"/>
    <w:rsid w:val="571596C2"/>
    <w:rsid w:val="57161CA0"/>
    <w:rsid w:val="57190D80"/>
    <w:rsid w:val="571EDED7"/>
    <w:rsid w:val="57208942"/>
    <w:rsid w:val="5722EADE"/>
    <w:rsid w:val="5726CF0A"/>
    <w:rsid w:val="5728A4C9"/>
    <w:rsid w:val="57296A77"/>
    <w:rsid w:val="57298748"/>
    <w:rsid w:val="572A2654"/>
    <w:rsid w:val="572E412B"/>
    <w:rsid w:val="57314FAE"/>
    <w:rsid w:val="5731653E"/>
    <w:rsid w:val="5734BF8E"/>
    <w:rsid w:val="5736D97D"/>
    <w:rsid w:val="57388313"/>
    <w:rsid w:val="57392563"/>
    <w:rsid w:val="57395BC1"/>
    <w:rsid w:val="573BE64B"/>
    <w:rsid w:val="573CD7F8"/>
    <w:rsid w:val="5743DD6F"/>
    <w:rsid w:val="5744C6A5"/>
    <w:rsid w:val="5746C14D"/>
    <w:rsid w:val="574A3B33"/>
    <w:rsid w:val="574ACCCE"/>
    <w:rsid w:val="575012C8"/>
    <w:rsid w:val="5753CE9B"/>
    <w:rsid w:val="5755D674"/>
    <w:rsid w:val="575882B0"/>
    <w:rsid w:val="576012A0"/>
    <w:rsid w:val="5761C009"/>
    <w:rsid w:val="576C2251"/>
    <w:rsid w:val="576C807C"/>
    <w:rsid w:val="5770E770"/>
    <w:rsid w:val="57712898"/>
    <w:rsid w:val="57724F7B"/>
    <w:rsid w:val="57759C29"/>
    <w:rsid w:val="5776E9EC"/>
    <w:rsid w:val="5777C2D7"/>
    <w:rsid w:val="5778E1B1"/>
    <w:rsid w:val="57790BD8"/>
    <w:rsid w:val="5779FD68"/>
    <w:rsid w:val="577DC201"/>
    <w:rsid w:val="577DF97D"/>
    <w:rsid w:val="577F8269"/>
    <w:rsid w:val="577FF9D2"/>
    <w:rsid w:val="5781E8A9"/>
    <w:rsid w:val="5782170A"/>
    <w:rsid w:val="5782BE1A"/>
    <w:rsid w:val="57836CAB"/>
    <w:rsid w:val="578A61C9"/>
    <w:rsid w:val="578B76CF"/>
    <w:rsid w:val="578C845F"/>
    <w:rsid w:val="578CE6E7"/>
    <w:rsid w:val="578D67B7"/>
    <w:rsid w:val="578EB27B"/>
    <w:rsid w:val="57906A19"/>
    <w:rsid w:val="579A637E"/>
    <w:rsid w:val="579B65EA"/>
    <w:rsid w:val="579CF326"/>
    <w:rsid w:val="579DEE38"/>
    <w:rsid w:val="57A025E2"/>
    <w:rsid w:val="57A357DD"/>
    <w:rsid w:val="57A3FCFB"/>
    <w:rsid w:val="57A4DBFA"/>
    <w:rsid w:val="57A9BED4"/>
    <w:rsid w:val="57AAF8C1"/>
    <w:rsid w:val="57ABFAFF"/>
    <w:rsid w:val="57AC2E11"/>
    <w:rsid w:val="57AD25E6"/>
    <w:rsid w:val="57B1923E"/>
    <w:rsid w:val="57B3138A"/>
    <w:rsid w:val="57B59551"/>
    <w:rsid w:val="57B608D6"/>
    <w:rsid w:val="57BB6159"/>
    <w:rsid w:val="57BB9274"/>
    <w:rsid w:val="57BF981F"/>
    <w:rsid w:val="57C1914F"/>
    <w:rsid w:val="57C424F3"/>
    <w:rsid w:val="57CA608A"/>
    <w:rsid w:val="57CBADB7"/>
    <w:rsid w:val="57CD86C3"/>
    <w:rsid w:val="57CE1D1A"/>
    <w:rsid w:val="57D56EF6"/>
    <w:rsid w:val="57D682AD"/>
    <w:rsid w:val="57D69AB5"/>
    <w:rsid w:val="57D80E02"/>
    <w:rsid w:val="57D81650"/>
    <w:rsid w:val="57D8528D"/>
    <w:rsid w:val="57D9053B"/>
    <w:rsid w:val="57D9FF37"/>
    <w:rsid w:val="57DDABCF"/>
    <w:rsid w:val="57DF992F"/>
    <w:rsid w:val="57E01629"/>
    <w:rsid w:val="57E1FE31"/>
    <w:rsid w:val="57E44ED3"/>
    <w:rsid w:val="57E61E79"/>
    <w:rsid w:val="57E6C2A5"/>
    <w:rsid w:val="57E7CE60"/>
    <w:rsid w:val="57E965A9"/>
    <w:rsid w:val="57EA24AA"/>
    <w:rsid w:val="57EAE083"/>
    <w:rsid w:val="57F24FFD"/>
    <w:rsid w:val="57F2ABEA"/>
    <w:rsid w:val="57F43BAC"/>
    <w:rsid w:val="57F6D8F1"/>
    <w:rsid w:val="57F736F5"/>
    <w:rsid w:val="57F9203B"/>
    <w:rsid w:val="57FCA816"/>
    <w:rsid w:val="57FCFB1D"/>
    <w:rsid w:val="57FEE355"/>
    <w:rsid w:val="5800855C"/>
    <w:rsid w:val="5800E2B5"/>
    <w:rsid w:val="5800FD44"/>
    <w:rsid w:val="5802A0F3"/>
    <w:rsid w:val="58032B95"/>
    <w:rsid w:val="580489F0"/>
    <w:rsid w:val="5804EF78"/>
    <w:rsid w:val="5807E65A"/>
    <w:rsid w:val="58099CA8"/>
    <w:rsid w:val="5809B61D"/>
    <w:rsid w:val="580AC074"/>
    <w:rsid w:val="580BD757"/>
    <w:rsid w:val="58100382"/>
    <w:rsid w:val="58142771"/>
    <w:rsid w:val="58158DEC"/>
    <w:rsid w:val="5816C44C"/>
    <w:rsid w:val="581C024D"/>
    <w:rsid w:val="581C0F95"/>
    <w:rsid w:val="581DC024"/>
    <w:rsid w:val="581E12F0"/>
    <w:rsid w:val="58220DF4"/>
    <w:rsid w:val="5825E930"/>
    <w:rsid w:val="582933DE"/>
    <w:rsid w:val="582A5836"/>
    <w:rsid w:val="582BD96B"/>
    <w:rsid w:val="582D2F08"/>
    <w:rsid w:val="582EF4CF"/>
    <w:rsid w:val="58312328"/>
    <w:rsid w:val="58321057"/>
    <w:rsid w:val="58363450"/>
    <w:rsid w:val="5836E56F"/>
    <w:rsid w:val="58388D05"/>
    <w:rsid w:val="58394289"/>
    <w:rsid w:val="58399442"/>
    <w:rsid w:val="5839BC88"/>
    <w:rsid w:val="5839D8A7"/>
    <w:rsid w:val="583AE62B"/>
    <w:rsid w:val="583B0EFD"/>
    <w:rsid w:val="583C5452"/>
    <w:rsid w:val="583D73D7"/>
    <w:rsid w:val="583FB5F4"/>
    <w:rsid w:val="58414CB6"/>
    <w:rsid w:val="5841D4C9"/>
    <w:rsid w:val="58428F95"/>
    <w:rsid w:val="5844283A"/>
    <w:rsid w:val="58451D1E"/>
    <w:rsid w:val="58470889"/>
    <w:rsid w:val="584B2BEF"/>
    <w:rsid w:val="584CFE4F"/>
    <w:rsid w:val="584E15A8"/>
    <w:rsid w:val="584F0DDD"/>
    <w:rsid w:val="58503265"/>
    <w:rsid w:val="58513255"/>
    <w:rsid w:val="58529AFE"/>
    <w:rsid w:val="58533927"/>
    <w:rsid w:val="5853FF2F"/>
    <w:rsid w:val="58548FD6"/>
    <w:rsid w:val="585557CD"/>
    <w:rsid w:val="58568796"/>
    <w:rsid w:val="585B6486"/>
    <w:rsid w:val="585F3435"/>
    <w:rsid w:val="586107A7"/>
    <w:rsid w:val="5863457D"/>
    <w:rsid w:val="5864635A"/>
    <w:rsid w:val="58661BB8"/>
    <w:rsid w:val="586698A4"/>
    <w:rsid w:val="58709A56"/>
    <w:rsid w:val="5876091C"/>
    <w:rsid w:val="58769381"/>
    <w:rsid w:val="587781EE"/>
    <w:rsid w:val="58792DC8"/>
    <w:rsid w:val="5879DF5B"/>
    <w:rsid w:val="587E4485"/>
    <w:rsid w:val="58832DF0"/>
    <w:rsid w:val="58868E5B"/>
    <w:rsid w:val="588C315F"/>
    <w:rsid w:val="5891530D"/>
    <w:rsid w:val="5893E27D"/>
    <w:rsid w:val="5894B26F"/>
    <w:rsid w:val="58998DDA"/>
    <w:rsid w:val="5899F4BB"/>
    <w:rsid w:val="589BDAB2"/>
    <w:rsid w:val="589CBD8E"/>
    <w:rsid w:val="589D524D"/>
    <w:rsid w:val="58A6A922"/>
    <w:rsid w:val="58A6F415"/>
    <w:rsid w:val="58A78832"/>
    <w:rsid w:val="58A8EBE6"/>
    <w:rsid w:val="58A968A9"/>
    <w:rsid w:val="58AEC70E"/>
    <w:rsid w:val="58B2D801"/>
    <w:rsid w:val="58B7EB42"/>
    <w:rsid w:val="58B85FF2"/>
    <w:rsid w:val="58B8D8A8"/>
    <w:rsid w:val="58BA33C6"/>
    <w:rsid w:val="58BA3F2E"/>
    <w:rsid w:val="58BC304F"/>
    <w:rsid w:val="58BEE8E9"/>
    <w:rsid w:val="58BFF953"/>
    <w:rsid w:val="58C04886"/>
    <w:rsid w:val="58C13D58"/>
    <w:rsid w:val="58C180DC"/>
    <w:rsid w:val="58C47635"/>
    <w:rsid w:val="58C54652"/>
    <w:rsid w:val="58C6599E"/>
    <w:rsid w:val="58C69223"/>
    <w:rsid w:val="58CC35E4"/>
    <w:rsid w:val="58CE33B5"/>
    <w:rsid w:val="58CE9B56"/>
    <w:rsid w:val="58D53790"/>
    <w:rsid w:val="58D6C5CE"/>
    <w:rsid w:val="58D7B28A"/>
    <w:rsid w:val="58D9734C"/>
    <w:rsid w:val="58DA17FE"/>
    <w:rsid w:val="58DC249E"/>
    <w:rsid w:val="58DC6791"/>
    <w:rsid w:val="58E0BF2F"/>
    <w:rsid w:val="58E9B2DF"/>
    <w:rsid w:val="58EB54E7"/>
    <w:rsid w:val="58EC09E4"/>
    <w:rsid w:val="58EEDEFA"/>
    <w:rsid w:val="58F25A55"/>
    <w:rsid w:val="58F3F141"/>
    <w:rsid w:val="58F8E915"/>
    <w:rsid w:val="58FAC4C4"/>
    <w:rsid w:val="58FB202F"/>
    <w:rsid w:val="58FD9900"/>
    <w:rsid w:val="58FF5DB5"/>
    <w:rsid w:val="58FFCD63"/>
    <w:rsid w:val="5904DF67"/>
    <w:rsid w:val="590B01B1"/>
    <w:rsid w:val="590B779F"/>
    <w:rsid w:val="590D8EFE"/>
    <w:rsid w:val="590FFC1C"/>
    <w:rsid w:val="59147136"/>
    <w:rsid w:val="591820F5"/>
    <w:rsid w:val="5919F57E"/>
    <w:rsid w:val="591AE0D8"/>
    <w:rsid w:val="591D3C19"/>
    <w:rsid w:val="591D44C4"/>
    <w:rsid w:val="591F2299"/>
    <w:rsid w:val="592B3AAD"/>
    <w:rsid w:val="592C8734"/>
    <w:rsid w:val="59309F52"/>
    <w:rsid w:val="5931DB70"/>
    <w:rsid w:val="5931DC47"/>
    <w:rsid w:val="593227EC"/>
    <w:rsid w:val="59324C04"/>
    <w:rsid w:val="59327A96"/>
    <w:rsid w:val="5939CBDF"/>
    <w:rsid w:val="5941E369"/>
    <w:rsid w:val="5941F0EB"/>
    <w:rsid w:val="594362C3"/>
    <w:rsid w:val="59449871"/>
    <w:rsid w:val="59455D8F"/>
    <w:rsid w:val="594C7C0B"/>
    <w:rsid w:val="594D7B26"/>
    <w:rsid w:val="59522BC4"/>
    <w:rsid w:val="59525F10"/>
    <w:rsid w:val="5952C06D"/>
    <w:rsid w:val="5953872F"/>
    <w:rsid w:val="595794C8"/>
    <w:rsid w:val="595B3538"/>
    <w:rsid w:val="596040FA"/>
    <w:rsid w:val="5960AF4A"/>
    <w:rsid w:val="5961366C"/>
    <w:rsid w:val="59635695"/>
    <w:rsid w:val="5963F12A"/>
    <w:rsid w:val="59647874"/>
    <w:rsid w:val="5967B69F"/>
    <w:rsid w:val="59698DAE"/>
    <w:rsid w:val="596AFEFC"/>
    <w:rsid w:val="596C83B0"/>
    <w:rsid w:val="5973831E"/>
    <w:rsid w:val="5973BB0D"/>
    <w:rsid w:val="5975A49F"/>
    <w:rsid w:val="5975A819"/>
    <w:rsid w:val="597A0E6B"/>
    <w:rsid w:val="59808F46"/>
    <w:rsid w:val="59823008"/>
    <w:rsid w:val="59878070"/>
    <w:rsid w:val="59908FB7"/>
    <w:rsid w:val="5990D630"/>
    <w:rsid w:val="5992B088"/>
    <w:rsid w:val="59942064"/>
    <w:rsid w:val="5997ACAD"/>
    <w:rsid w:val="59990946"/>
    <w:rsid w:val="59992106"/>
    <w:rsid w:val="59994F56"/>
    <w:rsid w:val="5999AB24"/>
    <w:rsid w:val="599BDE6D"/>
    <w:rsid w:val="59A1B4AE"/>
    <w:rsid w:val="59A22449"/>
    <w:rsid w:val="59A25C75"/>
    <w:rsid w:val="59A2E4C2"/>
    <w:rsid w:val="59A9A831"/>
    <w:rsid w:val="59AA96EA"/>
    <w:rsid w:val="59B02F4A"/>
    <w:rsid w:val="59B24781"/>
    <w:rsid w:val="59B778E7"/>
    <w:rsid w:val="59B90E93"/>
    <w:rsid w:val="59BA259A"/>
    <w:rsid w:val="59BB0006"/>
    <w:rsid w:val="59BEE401"/>
    <w:rsid w:val="59BF65FD"/>
    <w:rsid w:val="59C0775D"/>
    <w:rsid w:val="59C0B335"/>
    <w:rsid w:val="59C4ED8B"/>
    <w:rsid w:val="59CA3244"/>
    <w:rsid w:val="59CADAC9"/>
    <w:rsid w:val="59CB47AA"/>
    <w:rsid w:val="59CEB5F3"/>
    <w:rsid w:val="59D23423"/>
    <w:rsid w:val="59D4998F"/>
    <w:rsid w:val="59D61E34"/>
    <w:rsid w:val="59D6EE62"/>
    <w:rsid w:val="59D928AD"/>
    <w:rsid w:val="59DE946F"/>
    <w:rsid w:val="59E19F2A"/>
    <w:rsid w:val="59E27B66"/>
    <w:rsid w:val="59E8E592"/>
    <w:rsid w:val="59E9F285"/>
    <w:rsid w:val="59ECA04B"/>
    <w:rsid w:val="59EE7520"/>
    <w:rsid w:val="59F0232F"/>
    <w:rsid w:val="59F17F8F"/>
    <w:rsid w:val="59F20C73"/>
    <w:rsid w:val="59F549ED"/>
    <w:rsid w:val="59F679EF"/>
    <w:rsid w:val="59F72A76"/>
    <w:rsid w:val="59F7EC5D"/>
    <w:rsid w:val="59FBC14F"/>
    <w:rsid w:val="59FC309D"/>
    <w:rsid w:val="59FC82FB"/>
    <w:rsid w:val="59FCB5AF"/>
    <w:rsid w:val="59FD5D20"/>
    <w:rsid w:val="59FF7B5E"/>
    <w:rsid w:val="5A03EA81"/>
    <w:rsid w:val="5A069AB2"/>
    <w:rsid w:val="5A074D68"/>
    <w:rsid w:val="5A0916F1"/>
    <w:rsid w:val="5A0A32B7"/>
    <w:rsid w:val="5A0C897C"/>
    <w:rsid w:val="5A122670"/>
    <w:rsid w:val="5A148BA5"/>
    <w:rsid w:val="5A150CFE"/>
    <w:rsid w:val="5A1C70C3"/>
    <w:rsid w:val="5A1CC106"/>
    <w:rsid w:val="5A1E535E"/>
    <w:rsid w:val="5A1E6CA5"/>
    <w:rsid w:val="5A1EC5F0"/>
    <w:rsid w:val="5A1F60D9"/>
    <w:rsid w:val="5A212FE6"/>
    <w:rsid w:val="5A22B137"/>
    <w:rsid w:val="5A233C4F"/>
    <w:rsid w:val="5A248866"/>
    <w:rsid w:val="5A269359"/>
    <w:rsid w:val="5A269992"/>
    <w:rsid w:val="5A29A537"/>
    <w:rsid w:val="5A2B4D15"/>
    <w:rsid w:val="5A2C3D53"/>
    <w:rsid w:val="5A2E234E"/>
    <w:rsid w:val="5A2EE9DE"/>
    <w:rsid w:val="5A330C2E"/>
    <w:rsid w:val="5A36545F"/>
    <w:rsid w:val="5A37F395"/>
    <w:rsid w:val="5A3AD5DB"/>
    <w:rsid w:val="5A3EDF7C"/>
    <w:rsid w:val="5A3FE846"/>
    <w:rsid w:val="5A424B83"/>
    <w:rsid w:val="5A42931D"/>
    <w:rsid w:val="5A462C22"/>
    <w:rsid w:val="5A47A123"/>
    <w:rsid w:val="5A4B379A"/>
    <w:rsid w:val="5A4F41D8"/>
    <w:rsid w:val="5A531226"/>
    <w:rsid w:val="5A531931"/>
    <w:rsid w:val="5A53AEBF"/>
    <w:rsid w:val="5A551016"/>
    <w:rsid w:val="5A55A229"/>
    <w:rsid w:val="5A575481"/>
    <w:rsid w:val="5A58318B"/>
    <w:rsid w:val="5A59917A"/>
    <w:rsid w:val="5A5CAE00"/>
    <w:rsid w:val="5A60F32A"/>
    <w:rsid w:val="5A6528D2"/>
    <w:rsid w:val="5A66364C"/>
    <w:rsid w:val="5A6AFBE4"/>
    <w:rsid w:val="5A6B2A56"/>
    <w:rsid w:val="5A6B40D1"/>
    <w:rsid w:val="5A6B7C3F"/>
    <w:rsid w:val="5A6C790D"/>
    <w:rsid w:val="5A719C70"/>
    <w:rsid w:val="5A7316A1"/>
    <w:rsid w:val="5A79D7F9"/>
    <w:rsid w:val="5A7ACBD7"/>
    <w:rsid w:val="5A82C43B"/>
    <w:rsid w:val="5A835231"/>
    <w:rsid w:val="5A8422DE"/>
    <w:rsid w:val="5A8ABD6F"/>
    <w:rsid w:val="5A8E27A9"/>
    <w:rsid w:val="5A8FD4D5"/>
    <w:rsid w:val="5A924182"/>
    <w:rsid w:val="5A929C35"/>
    <w:rsid w:val="5A94979D"/>
    <w:rsid w:val="5A954949"/>
    <w:rsid w:val="5A9AFF0C"/>
    <w:rsid w:val="5A9ED8D6"/>
    <w:rsid w:val="5A9F4B14"/>
    <w:rsid w:val="5A9FC4C4"/>
    <w:rsid w:val="5AA42866"/>
    <w:rsid w:val="5AA4E0D9"/>
    <w:rsid w:val="5AA5E208"/>
    <w:rsid w:val="5AA7C92D"/>
    <w:rsid w:val="5AAB36BF"/>
    <w:rsid w:val="5AAE609B"/>
    <w:rsid w:val="5AB5458A"/>
    <w:rsid w:val="5AB6562F"/>
    <w:rsid w:val="5AB832B4"/>
    <w:rsid w:val="5AB958DF"/>
    <w:rsid w:val="5AB9E2EE"/>
    <w:rsid w:val="5ABA4A03"/>
    <w:rsid w:val="5ABA8A37"/>
    <w:rsid w:val="5ABB672A"/>
    <w:rsid w:val="5AC33AB0"/>
    <w:rsid w:val="5AC54A6D"/>
    <w:rsid w:val="5AC8369F"/>
    <w:rsid w:val="5AD18F27"/>
    <w:rsid w:val="5AD5B64B"/>
    <w:rsid w:val="5AD8872D"/>
    <w:rsid w:val="5AE2072B"/>
    <w:rsid w:val="5AE57E60"/>
    <w:rsid w:val="5AE71863"/>
    <w:rsid w:val="5AE7EDB3"/>
    <w:rsid w:val="5AE8F591"/>
    <w:rsid w:val="5AEB196F"/>
    <w:rsid w:val="5AEB5A5B"/>
    <w:rsid w:val="5AEDB7A3"/>
    <w:rsid w:val="5AEDD36E"/>
    <w:rsid w:val="5AF35139"/>
    <w:rsid w:val="5AF3892E"/>
    <w:rsid w:val="5AF5F30C"/>
    <w:rsid w:val="5AF6C30A"/>
    <w:rsid w:val="5AF7A147"/>
    <w:rsid w:val="5AF7E97D"/>
    <w:rsid w:val="5AF7EEBF"/>
    <w:rsid w:val="5AFF3465"/>
    <w:rsid w:val="5AFF6BB6"/>
    <w:rsid w:val="5AFFC865"/>
    <w:rsid w:val="5B004782"/>
    <w:rsid w:val="5B06AE17"/>
    <w:rsid w:val="5B078907"/>
    <w:rsid w:val="5B09BBD8"/>
    <w:rsid w:val="5B0D2FB8"/>
    <w:rsid w:val="5B0F82C0"/>
    <w:rsid w:val="5B109CEC"/>
    <w:rsid w:val="5B10D2F6"/>
    <w:rsid w:val="5B148406"/>
    <w:rsid w:val="5B16B2C8"/>
    <w:rsid w:val="5B16B7D6"/>
    <w:rsid w:val="5B16D9E9"/>
    <w:rsid w:val="5B17B049"/>
    <w:rsid w:val="5B17D043"/>
    <w:rsid w:val="5B189545"/>
    <w:rsid w:val="5B1D146A"/>
    <w:rsid w:val="5B1DAF62"/>
    <w:rsid w:val="5B1FCFC0"/>
    <w:rsid w:val="5B2238B2"/>
    <w:rsid w:val="5B2252A2"/>
    <w:rsid w:val="5B246D9B"/>
    <w:rsid w:val="5B24E546"/>
    <w:rsid w:val="5B24FD71"/>
    <w:rsid w:val="5B255556"/>
    <w:rsid w:val="5B28EF70"/>
    <w:rsid w:val="5B31A89A"/>
    <w:rsid w:val="5B336CAC"/>
    <w:rsid w:val="5B389832"/>
    <w:rsid w:val="5B3B763B"/>
    <w:rsid w:val="5B3CAC0F"/>
    <w:rsid w:val="5B3DD9E0"/>
    <w:rsid w:val="5B40A531"/>
    <w:rsid w:val="5B453009"/>
    <w:rsid w:val="5B492967"/>
    <w:rsid w:val="5B49A8AA"/>
    <w:rsid w:val="5B4A9E23"/>
    <w:rsid w:val="5B4B25E4"/>
    <w:rsid w:val="5B4D9311"/>
    <w:rsid w:val="5B4DC8CD"/>
    <w:rsid w:val="5B4FE15E"/>
    <w:rsid w:val="5B516337"/>
    <w:rsid w:val="5B546E79"/>
    <w:rsid w:val="5B562A86"/>
    <w:rsid w:val="5B57C2B3"/>
    <w:rsid w:val="5B5991C2"/>
    <w:rsid w:val="5B5B0CE4"/>
    <w:rsid w:val="5B5BA9B7"/>
    <w:rsid w:val="5B5D313A"/>
    <w:rsid w:val="5B5F83EE"/>
    <w:rsid w:val="5B6401C0"/>
    <w:rsid w:val="5B643852"/>
    <w:rsid w:val="5B65A851"/>
    <w:rsid w:val="5B6878A4"/>
    <w:rsid w:val="5B6C6573"/>
    <w:rsid w:val="5B701C4F"/>
    <w:rsid w:val="5B73DBDE"/>
    <w:rsid w:val="5B801ACB"/>
    <w:rsid w:val="5B826375"/>
    <w:rsid w:val="5B82A84E"/>
    <w:rsid w:val="5B83F045"/>
    <w:rsid w:val="5B8599E4"/>
    <w:rsid w:val="5B85F0B5"/>
    <w:rsid w:val="5B875712"/>
    <w:rsid w:val="5B8948AB"/>
    <w:rsid w:val="5B8B0FFA"/>
    <w:rsid w:val="5B8C5B95"/>
    <w:rsid w:val="5B927B8C"/>
    <w:rsid w:val="5B93CACA"/>
    <w:rsid w:val="5B96BD92"/>
    <w:rsid w:val="5B98DA16"/>
    <w:rsid w:val="5B9B1A0B"/>
    <w:rsid w:val="5B9E5C53"/>
    <w:rsid w:val="5BA177CA"/>
    <w:rsid w:val="5BA2651A"/>
    <w:rsid w:val="5BA3701F"/>
    <w:rsid w:val="5BA6114A"/>
    <w:rsid w:val="5BA699A7"/>
    <w:rsid w:val="5BA7DDBC"/>
    <w:rsid w:val="5BA7EF63"/>
    <w:rsid w:val="5BA934B8"/>
    <w:rsid w:val="5BADEA15"/>
    <w:rsid w:val="5BB23D77"/>
    <w:rsid w:val="5BBAFB3F"/>
    <w:rsid w:val="5BBF4B72"/>
    <w:rsid w:val="5BC1EC21"/>
    <w:rsid w:val="5BC742B6"/>
    <w:rsid w:val="5BC775E2"/>
    <w:rsid w:val="5BC783A9"/>
    <w:rsid w:val="5BC78808"/>
    <w:rsid w:val="5BC96377"/>
    <w:rsid w:val="5BCD4E4C"/>
    <w:rsid w:val="5BCDF60F"/>
    <w:rsid w:val="5BD7B056"/>
    <w:rsid w:val="5BD7B082"/>
    <w:rsid w:val="5BD83DE6"/>
    <w:rsid w:val="5BD89BE4"/>
    <w:rsid w:val="5BDA416C"/>
    <w:rsid w:val="5BDB7685"/>
    <w:rsid w:val="5BDC1C9A"/>
    <w:rsid w:val="5BDD80AE"/>
    <w:rsid w:val="5BE431E5"/>
    <w:rsid w:val="5BEA66F6"/>
    <w:rsid w:val="5BEE60EB"/>
    <w:rsid w:val="5BF339CD"/>
    <w:rsid w:val="5BF9D9F1"/>
    <w:rsid w:val="5BFC23F5"/>
    <w:rsid w:val="5BFF8F11"/>
    <w:rsid w:val="5C02F639"/>
    <w:rsid w:val="5C06BD89"/>
    <w:rsid w:val="5C083A24"/>
    <w:rsid w:val="5C11E525"/>
    <w:rsid w:val="5C12E96B"/>
    <w:rsid w:val="5C138A7A"/>
    <w:rsid w:val="5C16FA9B"/>
    <w:rsid w:val="5C1A4AB4"/>
    <w:rsid w:val="5C1BDBDA"/>
    <w:rsid w:val="5C1C9DA1"/>
    <w:rsid w:val="5C1D6EDE"/>
    <w:rsid w:val="5C20CDA6"/>
    <w:rsid w:val="5C219C26"/>
    <w:rsid w:val="5C2827D5"/>
    <w:rsid w:val="5C2D72B3"/>
    <w:rsid w:val="5C2DEF97"/>
    <w:rsid w:val="5C2DF56F"/>
    <w:rsid w:val="5C3078BA"/>
    <w:rsid w:val="5C365B29"/>
    <w:rsid w:val="5C36DF71"/>
    <w:rsid w:val="5C377859"/>
    <w:rsid w:val="5C3AF3C1"/>
    <w:rsid w:val="5C3DE038"/>
    <w:rsid w:val="5C3E40CF"/>
    <w:rsid w:val="5C3EA638"/>
    <w:rsid w:val="5C40043F"/>
    <w:rsid w:val="5C438B51"/>
    <w:rsid w:val="5C4692F5"/>
    <w:rsid w:val="5C4DB100"/>
    <w:rsid w:val="5C4DB7B1"/>
    <w:rsid w:val="5C4ED1C6"/>
    <w:rsid w:val="5C520CC1"/>
    <w:rsid w:val="5C541529"/>
    <w:rsid w:val="5C55D920"/>
    <w:rsid w:val="5C566BEB"/>
    <w:rsid w:val="5C5C4824"/>
    <w:rsid w:val="5C6274B5"/>
    <w:rsid w:val="5C6436A4"/>
    <w:rsid w:val="5C66E397"/>
    <w:rsid w:val="5C69400C"/>
    <w:rsid w:val="5C6973F5"/>
    <w:rsid w:val="5C6AA797"/>
    <w:rsid w:val="5C6E5CAB"/>
    <w:rsid w:val="5C73E17B"/>
    <w:rsid w:val="5C7BFB28"/>
    <w:rsid w:val="5C7C6299"/>
    <w:rsid w:val="5C828380"/>
    <w:rsid w:val="5C84BB2D"/>
    <w:rsid w:val="5C8A777C"/>
    <w:rsid w:val="5C8BE7DB"/>
    <w:rsid w:val="5C8DFFAC"/>
    <w:rsid w:val="5C8F20D1"/>
    <w:rsid w:val="5C91466A"/>
    <w:rsid w:val="5C91B0F9"/>
    <w:rsid w:val="5C961B74"/>
    <w:rsid w:val="5C99F8A8"/>
    <w:rsid w:val="5C9B0F26"/>
    <w:rsid w:val="5C9C11DB"/>
    <w:rsid w:val="5CA13362"/>
    <w:rsid w:val="5CA1BBB5"/>
    <w:rsid w:val="5CA29718"/>
    <w:rsid w:val="5CA2D68E"/>
    <w:rsid w:val="5CA84EE1"/>
    <w:rsid w:val="5CAAF656"/>
    <w:rsid w:val="5CAB6C4E"/>
    <w:rsid w:val="5CAB826E"/>
    <w:rsid w:val="5CAF77EE"/>
    <w:rsid w:val="5CB197D6"/>
    <w:rsid w:val="5CB78464"/>
    <w:rsid w:val="5CBAC2FC"/>
    <w:rsid w:val="5CBBFDF7"/>
    <w:rsid w:val="5CBD5216"/>
    <w:rsid w:val="5CBD962C"/>
    <w:rsid w:val="5CBDE577"/>
    <w:rsid w:val="5CC05916"/>
    <w:rsid w:val="5CC0C35A"/>
    <w:rsid w:val="5CC1D984"/>
    <w:rsid w:val="5CC20E74"/>
    <w:rsid w:val="5CC7B51D"/>
    <w:rsid w:val="5CCED6CD"/>
    <w:rsid w:val="5CD0413F"/>
    <w:rsid w:val="5CD28EC3"/>
    <w:rsid w:val="5CD2E22F"/>
    <w:rsid w:val="5CD47D66"/>
    <w:rsid w:val="5CD56BEA"/>
    <w:rsid w:val="5CD74DA7"/>
    <w:rsid w:val="5CDA108E"/>
    <w:rsid w:val="5CDE0827"/>
    <w:rsid w:val="5CE04371"/>
    <w:rsid w:val="5CE13F24"/>
    <w:rsid w:val="5CE1FB3A"/>
    <w:rsid w:val="5CE303E3"/>
    <w:rsid w:val="5CE5A0ED"/>
    <w:rsid w:val="5CE5C22B"/>
    <w:rsid w:val="5CE610BF"/>
    <w:rsid w:val="5CF13859"/>
    <w:rsid w:val="5CF26F6B"/>
    <w:rsid w:val="5CF50110"/>
    <w:rsid w:val="5CF68334"/>
    <w:rsid w:val="5CF6B16F"/>
    <w:rsid w:val="5CF89ABC"/>
    <w:rsid w:val="5CFFABB5"/>
    <w:rsid w:val="5CFFE1E5"/>
    <w:rsid w:val="5D000CEA"/>
    <w:rsid w:val="5D002886"/>
    <w:rsid w:val="5D012C6C"/>
    <w:rsid w:val="5D02871B"/>
    <w:rsid w:val="5D08C9C6"/>
    <w:rsid w:val="5D0C2B66"/>
    <w:rsid w:val="5D0DF2E8"/>
    <w:rsid w:val="5D116331"/>
    <w:rsid w:val="5D1F9E43"/>
    <w:rsid w:val="5D21606E"/>
    <w:rsid w:val="5D27A12D"/>
    <w:rsid w:val="5D283343"/>
    <w:rsid w:val="5D28DCEA"/>
    <w:rsid w:val="5D2B6DE1"/>
    <w:rsid w:val="5D2BC2FC"/>
    <w:rsid w:val="5D2CC9C9"/>
    <w:rsid w:val="5D320A98"/>
    <w:rsid w:val="5D33CBC9"/>
    <w:rsid w:val="5D342E6C"/>
    <w:rsid w:val="5D346785"/>
    <w:rsid w:val="5D354D19"/>
    <w:rsid w:val="5D3C8504"/>
    <w:rsid w:val="5D3D7AF6"/>
    <w:rsid w:val="5D3FDBDA"/>
    <w:rsid w:val="5D44C3C0"/>
    <w:rsid w:val="5D4B317B"/>
    <w:rsid w:val="5D4C863A"/>
    <w:rsid w:val="5D4F3013"/>
    <w:rsid w:val="5D4FDA37"/>
    <w:rsid w:val="5D4FE80E"/>
    <w:rsid w:val="5D52A9E8"/>
    <w:rsid w:val="5D570BEF"/>
    <w:rsid w:val="5D5A319B"/>
    <w:rsid w:val="5D5E4BA7"/>
    <w:rsid w:val="5D61CDAA"/>
    <w:rsid w:val="5D61F0FE"/>
    <w:rsid w:val="5D633FAD"/>
    <w:rsid w:val="5D639796"/>
    <w:rsid w:val="5D64139B"/>
    <w:rsid w:val="5D6481AA"/>
    <w:rsid w:val="5D64AD2A"/>
    <w:rsid w:val="5D64C340"/>
    <w:rsid w:val="5D667009"/>
    <w:rsid w:val="5D67B911"/>
    <w:rsid w:val="5D6D9554"/>
    <w:rsid w:val="5D6F7651"/>
    <w:rsid w:val="5D70A884"/>
    <w:rsid w:val="5D77C0FC"/>
    <w:rsid w:val="5D7897BE"/>
    <w:rsid w:val="5D7AF22B"/>
    <w:rsid w:val="5D7DEC95"/>
    <w:rsid w:val="5D822253"/>
    <w:rsid w:val="5D838CFC"/>
    <w:rsid w:val="5D886707"/>
    <w:rsid w:val="5D8CCAFE"/>
    <w:rsid w:val="5D8EA25B"/>
    <w:rsid w:val="5D8EE633"/>
    <w:rsid w:val="5D9187A7"/>
    <w:rsid w:val="5D9430A6"/>
    <w:rsid w:val="5D95A927"/>
    <w:rsid w:val="5D96ABB7"/>
    <w:rsid w:val="5D990D73"/>
    <w:rsid w:val="5D9C850D"/>
    <w:rsid w:val="5DA1E04C"/>
    <w:rsid w:val="5DA2A24C"/>
    <w:rsid w:val="5DA34A3F"/>
    <w:rsid w:val="5DA73D55"/>
    <w:rsid w:val="5DAB739C"/>
    <w:rsid w:val="5DABB880"/>
    <w:rsid w:val="5DABE0B1"/>
    <w:rsid w:val="5DAC58BF"/>
    <w:rsid w:val="5DB0BAE4"/>
    <w:rsid w:val="5DB1F584"/>
    <w:rsid w:val="5DB750F9"/>
    <w:rsid w:val="5DB8CC78"/>
    <w:rsid w:val="5DBC8A59"/>
    <w:rsid w:val="5DBD365C"/>
    <w:rsid w:val="5DC23D3C"/>
    <w:rsid w:val="5DC4B3DA"/>
    <w:rsid w:val="5DC4C078"/>
    <w:rsid w:val="5DC5E3B1"/>
    <w:rsid w:val="5DC62166"/>
    <w:rsid w:val="5DCC7D5E"/>
    <w:rsid w:val="5DCE41A2"/>
    <w:rsid w:val="5DCF1862"/>
    <w:rsid w:val="5DD187CE"/>
    <w:rsid w:val="5DD25403"/>
    <w:rsid w:val="5DD70299"/>
    <w:rsid w:val="5DD739CC"/>
    <w:rsid w:val="5DD8A8EE"/>
    <w:rsid w:val="5DD94FA5"/>
    <w:rsid w:val="5DDB6E3B"/>
    <w:rsid w:val="5DDF8617"/>
    <w:rsid w:val="5DE2F6B5"/>
    <w:rsid w:val="5DE3B827"/>
    <w:rsid w:val="5DE5D738"/>
    <w:rsid w:val="5DEF785C"/>
    <w:rsid w:val="5DF1271A"/>
    <w:rsid w:val="5DF26722"/>
    <w:rsid w:val="5DF47C41"/>
    <w:rsid w:val="5DF56BAD"/>
    <w:rsid w:val="5DF6C50F"/>
    <w:rsid w:val="5DF79274"/>
    <w:rsid w:val="5DF9241A"/>
    <w:rsid w:val="5DFC1624"/>
    <w:rsid w:val="5DFE7EE2"/>
    <w:rsid w:val="5E0294CA"/>
    <w:rsid w:val="5E04E15E"/>
    <w:rsid w:val="5E0641E1"/>
    <w:rsid w:val="5E072E77"/>
    <w:rsid w:val="5E07BF57"/>
    <w:rsid w:val="5E0F7C7E"/>
    <w:rsid w:val="5E12F935"/>
    <w:rsid w:val="5E136DFD"/>
    <w:rsid w:val="5E142719"/>
    <w:rsid w:val="5E177249"/>
    <w:rsid w:val="5E17FBD8"/>
    <w:rsid w:val="5E1862E4"/>
    <w:rsid w:val="5E1A4226"/>
    <w:rsid w:val="5E258EAD"/>
    <w:rsid w:val="5E285163"/>
    <w:rsid w:val="5E2BFE6E"/>
    <w:rsid w:val="5E2C6B18"/>
    <w:rsid w:val="5E2F9C96"/>
    <w:rsid w:val="5E2F9DF1"/>
    <w:rsid w:val="5E320906"/>
    <w:rsid w:val="5E3560E3"/>
    <w:rsid w:val="5E35791C"/>
    <w:rsid w:val="5E35EEFB"/>
    <w:rsid w:val="5E375BCE"/>
    <w:rsid w:val="5E3B4F9B"/>
    <w:rsid w:val="5E42AAAB"/>
    <w:rsid w:val="5E433626"/>
    <w:rsid w:val="5E443185"/>
    <w:rsid w:val="5E489923"/>
    <w:rsid w:val="5E4F95B5"/>
    <w:rsid w:val="5E55A396"/>
    <w:rsid w:val="5E590AE1"/>
    <w:rsid w:val="5E5C7D1E"/>
    <w:rsid w:val="5E5CE4E1"/>
    <w:rsid w:val="5E5D8C2B"/>
    <w:rsid w:val="5E65E5E9"/>
    <w:rsid w:val="5E661824"/>
    <w:rsid w:val="5E67F233"/>
    <w:rsid w:val="5E6B3042"/>
    <w:rsid w:val="5E6CD265"/>
    <w:rsid w:val="5E709E09"/>
    <w:rsid w:val="5E70F84A"/>
    <w:rsid w:val="5E76BCD3"/>
    <w:rsid w:val="5E7AA5D5"/>
    <w:rsid w:val="5E7D6186"/>
    <w:rsid w:val="5E7FC0ED"/>
    <w:rsid w:val="5E803CE3"/>
    <w:rsid w:val="5E833117"/>
    <w:rsid w:val="5E845C65"/>
    <w:rsid w:val="5E88DD5B"/>
    <w:rsid w:val="5E8ACD03"/>
    <w:rsid w:val="5E8C0AFA"/>
    <w:rsid w:val="5E8D8DB4"/>
    <w:rsid w:val="5E956602"/>
    <w:rsid w:val="5E988FF3"/>
    <w:rsid w:val="5E9D5C03"/>
    <w:rsid w:val="5EA07210"/>
    <w:rsid w:val="5EA103E7"/>
    <w:rsid w:val="5EA18CDE"/>
    <w:rsid w:val="5EA8EBB8"/>
    <w:rsid w:val="5EAA67BC"/>
    <w:rsid w:val="5EAB0C53"/>
    <w:rsid w:val="5EABCB1A"/>
    <w:rsid w:val="5EAD52EC"/>
    <w:rsid w:val="5EAEDD0A"/>
    <w:rsid w:val="5EB41E56"/>
    <w:rsid w:val="5EB55D27"/>
    <w:rsid w:val="5EB6E1B2"/>
    <w:rsid w:val="5EBB5357"/>
    <w:rsid w:val="5EBC660C"/>
    <w:rsid w:val="5EBCD77D"/>
    <w:rsid w:val="5EBCEA4E"/>
    <w:rsid w:val="5EBD4FB4"/>
    <w:rsid w:val="5EC49691"/>
    <w:rsid w:val="5EC963AD"/>
    <w:rsid w:val="5ECC5C6E"/>
    <w:rsid w:val="5ED0E5FC"/>
    <w:rsid w:val="5ED92407"/>
    <w:rsid w:val="5EDCD183"/>
    <w:rsid w:val="5EDF3BC7"/>
    <w:rsid w:val="5EE0D208"/>
    <w:rsid w:val="5EE30C2B"/>
    <w:rsid w:val="5EE46C53"/>
    <w:rsid w:val="5EE5AD7D"/>
    <w:rsid w:val="5EE8E3DB"/>
    <w:rsid w:val="5EED8E3B"/>
    <w:rsid w:val="5EEF83D8"/>
    <w:rsid w:val="5EF03DDC"/>
    <w:rsid w:val="5EF17558"/>
    <w:rsid w:val="5EF333CB"/>
    <w:rsid w:val="5EF51BCA"/>
    <w:rsid w:val="5EF81FF4"/>
    <w:rsid w:val="5EFC1C37"/>
    <w:rsid w:val="5EFC9FA5"/>
    <w:rsid w:val="5EFE2964"/>
    <w:rsid w:val="5F003A47"/>
    <w:rsid w:val="5F01E88B"/>
    <w:rsid w:val="5F03153E"/>
    <w:rsid w:val="5F05A9B0"/>
    <w:rsid w:val="5F07FF90"/>
    <w:rsid w:val="5F0A7DA7"/>
    <w:rsid w:val="5F0D8D3D"/>
    <w:rsid w:val="5F10AB4A"/>
    <w:rsid w:val="5F121821"/>
    <w:rsid w:val="5F137C04"/>
    <w:rsid w:val="5F1B53E7"/>
    <w:rsid w:val="5F1D03A7"/>
    <w:rsid w:val="5F2247CA"/>
    <w:rsid w:val="5F2478C9"/>
    <w:rsid w:val="5F2503D2"/>
    <w:rsid w:val="5F272CB0"/>
    <w:rsid w:val="5F29DCA7"/>
    <w:rsid w:val="5F301705"/>
    <w:rsid w:val="5F365F3C"/>
    <w:rsid w:val="5F36A091"/>
    <w:rsid w:val="5F3A9350"/>
    <w:rsid w:val="5F3BAD42"/>
    <w:rsid w:val="5F3DCD09"/>
    <w:rsid w:val="5F4200F4"/>
    <w:rsid w:val="5F485E6E"/>
    <w:rsid w:val="5F4B8679"/>
    <w:rsid w:val="5F4C417A"/>
    <w:rsid w:val="5F4CF026"/>
    <w:rsid w:val="5F5262A5"/>
    <w:rsid w:val="5F52D0EB"/>
    <w:rsid w:val="5F53B19B"/>
    <w:rsid w:val="5F54032E"/>
    <w:rsid w:val="5F5508D7"/>
    <w:rsid w:val="5F6190A7"/>
    <w:rsid w:val="5F623BA8"/>
    <w:rsid w:val="5F667246"/>
    <w:rsid w:val="5F68B6D9"/>
    <w:rsid w:val="5F6BA040"/>
    <w:rsid w:val="5F6BBC5C"/>
    <w:rsid w:val="5F6F9BFA"/>
    <w:rsid w:val="5F711897"/>
    <w:rsid w:val="5F71D988"/>
    <w:rsid w:val="5F721170"/>
    <w:rsid w:val="5F72F045"/>
    <w:rsid w:val="5F74979C"/>
    <w:rsid w:val="5F7BDD8F"/>
    <w:rsid w:val="5F7CA638"/>
    <w:rsid w:val="5F819040"/>
    <w:rsid w:val="5F82A30D"/>
    <w:rsid w:val="5F896034"/>
    <w:rsid w:val="5F9000AC"/>
    <w:rsid w:val="5F90D408"/>
    <w:rsid w:val="5F92BB6A"/>
    <w:rsid w:val="5F93604E"/>
    <w:rsid w:val="5F942381"/>
    <w:rsid w:val="5F943AE2"/>
    <w:rsid w:val="5F9443F9"/>
    <w:rsid w:val="5F97BE65"/>
    <w:rsid w:val="5F9A46A6"/>
    <w:rsid w:val="5F9A4770"/>
    <w:rsid w:val="5FA4C20B"/>
    <w:rsid w:val="5FAC2014"/>
    <w:rsid w:val="5FACC3FC"/>
    <w:rsid w:val="5FAD5B1A"/>
    <w:rsid w:val="5FADA355"/>
    <w:rsid w:val="5FAEF60A"/>
    <w:rsid w:val="5FB0FFC7"/>
    <w:rsid w:val="5FB3BE6B"/>
    <w:rsid w:val="5FB49ED5"/>
    <w:rsid w:val="5FB620D6"/>
    <w:rsid w:val="5FB768C8"/>
    <w:rsid w:val="5FBB2630"/>
    <w:rsid w:val="5FBE2E37"/>
    <w:rsid w:val="5FBF94C6"/>
    <w:rsid w:val="5FBFDD9A"/>
    <w:rsid w:val="5FC3FC07"/>
    <w:rsid w:val="5FC46714"/>
    <w:rsid w:val="5FC73D1A"/>
    <w:rsid w:val="5FC743DF"/>
    <w:rsid w:val="5FC8B808"/>
    <w:rsid w:val="5FCA3629"/>
    <w:rsid w:val="5FCA8A9D"/>
    <w:rsid w:val="5FD316ED"/>
    <w:rsid w:val="5FD41407"/>
    <w:rsid w:val="5FDC95AC"/>
    <w:rsid w:val="5FDFA301"/>
    <w:rsid w:val="5FE18A91"/>
    <w:rsid w:val="5FE1CF2A"/>
    <w:rsid w:val="5FE402C8"/>
    <w:rsid w:val="5FE778C5"/>
    <w:rsid w:val="5FE7B0D1"/>
    <w:rsid w:val="5FE8700E"/>
    <w:rsid w:val="5FE93FE3"/>
    <w:rsid w:val="5FE9D142"/>
    <w:rsid w:val="5FECA0FD"/>
    <w:rsid w:val="5FEDE98A"/>
    <w:rsid w:val="5FEE6807"/>
    <w:rsid w:val="5FF1BF47"/>
    <w:rsid w:val="5FF3ABC3"/>
    <w:rsid w:val="5FF8EE0C"/>
    <w:rsid w:val="5FFD0CD4"/>
    <w:rsid w:val="5FFE4047"/>
    <w:rsid w:val="600098A3"/>
    <w:rsid w:val="600AD8E3"/>
    <w:rsid w:val="6018DA49"/>
    <w:rsid w:val="60195DDE"/>
    <w:rsid w:val="601B5C14"/>
    <w:rsid w:val="601D8D88"/>
    <w:rsid w:val="60201115"/>
    <w:rsid w:val="6020CE23"/>
    <w:rsid w:val="602204D2"/>
    <w:rsid w:val="60222074"/>
    <w:rsid w:val="60235CE3"/>
    <w:rsid w:val="6026B755"/>
    <w:rsid w:val="6028A5CA"/>
    <w:rsid w:val="6029559A"/>
    <w:rsid w:val="6029A8F2"/>
    <w:rsid w:val="602C7299"/>
    <w:rsid w:val="602F71A7"/>
    <w:rsid w:val="6038ADC7"/>
    <w:rsid w:val="60397ACD"/>
    <w:rsid w:val="603BA5C5"/>
    <w:rsid w:val="603DE6FA"/>
    <w:rsid w:val="603E9394"/>
    <w:rsid w:val="603EE43F"/>
    <w:rsid w:val="604239CA"/>
    <w:rsid w:val="604473D4"/>
    <w:rsid w:val="604C7D2C"/>
    <w:rsid w:val="60527352"/>
    <w:rsid w:val="60545B5C"/>
    <w:rsid w:val="60563936"/>
    <w:rsid w:val="60565B97"/>
    <w:rsid w:val="6057621C"/>
    <w:rsid w:val="605B610C"/>
    <w:rsid w:val="605D927D"/>
    <w:rsid w:val="605E43C9"/>
    <w:rsid w:val="60607522"/>
    <w:rsid w:val="6063F19B"/>
    <w:rsid w:val="6065CC26"/>
    <w:rsid w:val="6066DB95"/>
    <w:rsid w:val="60691E31"/>
    <w:rsid w:val="6069BF41"/>
    <w:rsid w:val="6069E968"/>
    <w:rsid w:val="606A9046"/>
    <w:rsid w:val="606D85E2"/>
    <w:rsid w:val="606DD05F"/>
    <w:rsid w:val="606DD30B"/>
    <w:rsid w:val="60723F87"/>
    <w:rsid w:val="6072ABAE"/>
    <w:rsid w:val="6074017A"/>
    <w:rsid w:val="60750F8D"/>
    <w:rsid w:val="607528CC"/>
    <w:rsid w:val="60760F40"/>
    <w:rsid w:val="608913D6"/>
    <w:rsid w:val="6089B332"/>
    <w:rsid w:val="6091D0B2"/>
    <w:rsid w:val="60928761"/>
    <w:rsid w:val="609BA786"/>
    <w:rsid w:val="609C44F0"/>
    <w:rsid w:val="609E80F7"/>
    <w:rsid w:val="609F799C"/>
    <w:rsid w:val="60A2690A"/>
    <w:rsid w:val="60A30436"/>
    <w:rsid w:val="60A31D41"/>
    <w:rsid w:val="60A3A2F6"/>
    <w:rsid w:val="60A3FD21"/>
    <w:rsid w:val="60A5C2E2"/>
    <w:rsid w:val="60A9C522"/>
    <w:rsid w:val="60AC6646"/>
    <w:rsid w:val="60AC6B9B"/>
    <w:rsid w:val="60AC7B1C"/>
    <w:rsid w:val="60AE13B2"/>
    <w:rsid w:val="60B4288B"/>
    <w:rsid w:val="60B4451A"/>
    <w:rsid w:val="60B46BFE"/>
    <w:rsid w:val="60BC2637"/>
    <w:rsid w:val="60C4ECF9"/>
    <w:rsid w:val="60C5706F"/>
    <w:rsid w:val="60C6183A"/>
    <w:rsid w:val="60C6EA08"/>
    <w:rsid w:val="60C80660"/>
    <w:rsid w:val="60C80A10"/>
    <w:rsid w:val="60C8206F"/>
    <w:rsid w:val="60D2C68F"/>
    <w:rsid w:val="60D75A29"/>
    <w:rsid w:val="60DA0691"/>
    <w:rsid w:val="60DA815B"/>
    <w:rsid w:val="60DD0A87"/>
    <w:rsid w:val="60DD4543"/>
    <w:rsid w:val="60DD6A5C"/>
    <w:rsid w:val="60E070C3"/>
    <w:rsid w:val="60E0EE28"/>
    <w:rsid w:val="60E15FC3"/>
    <w:rsid w:val="60E5E77A"/>
    <w:rsid w:val="60E7D20C"/>
    <w:rsid w:val="60E94D20"/>
    <w:rsid w:val="60EBC2D0"/>
    <w:rsid w:val="60EF43E1"/>
    <w:rsid w:val="60F183B7"/>
    <w:rsid w:val="60F2E60D"/>
    <w:rsid w:val="60F4526A"/>
    <w:rsid w:val="60F5B32C"/>
    <w:rsid w:val="60F76966"/>
    <w:rsid w:val="60F85D51"/>
    <w:rsid w:val="60FFF33E"/>
    <w:rsid w:val="6101EAF5"/>
    <w:rsid w:val="6104516B"/>
    <w:rsid w:val="61089118"/>
    <w:rsid w:val="610905A5"/>
    <w:rsid w:val="61092260"/>
    <w:rsid w:val="610BBE29"/>
    <w:rsid w:val="610DD517"/>
    <w:rsid w:val="610F850A"/>
    <w:rsid w:val="61103524"/>
    <w:rsid w:val="61108125"/>
    <w:rsid w:val="6111D11A"/>
    <w:rsid w:val="6114AD34"/>
    <w:rsid w:val="6115E720"/>
    <w:rsid w:val="6117A0DD"/>
    <w:rsid w:val="61184B9B"/>
    <w:rsid w:val="6119A0F0"/>
    <w:rsid w:val="611A73A3"/>
    <w:rsid w:val="611DDD5F"/>
    <w:rsid w:val="611EAB21"/>
    <w:rsid w:val="61206D61"/>
    <w:rsid w:val="61215DD1"/>
    <w:rsid w:val="612177EF"/>
    <w:rsid w:val="61239E6D"/>
    <w:rsid w:val="612863E5"/>
    <w:rsid w:val="6128F3DD"/>
    <w:rsid w:val="612AAFD8"/>
    <w:rsid w:val="612B5B4B"/>
    <w:rsid w:val="612BBB07"/>
    <w:rsid w:val="612E6DF5"/>
    <w:rsid w:val="612E6E7A"/>
    <w:rsid w:val="61321DD2"/>
    <w:rsid w:val="61323E4E"/>
    <w:rsid w:val="6138E0AC"/>
    <w:rsid w:val="613D86B8"/>
    <w:rsid w:val="613F027A"/>
    <w:rsid w:val="6140D2FF"/>
    <w:rsid w:val="61411FAC"/>
    <w:rsid w:val="61421FE5"/>
    <w:rsid w:val="61446A9E"/>
    <w:rsid w:val="6144C7C4"/>
    <w:rsid w:val="61456168"/>
    <w:rsid w:val="6145A571"/>
    <w:rsid w:val="61496B9B"/>
    <w:rsid w:val="614F3D83"/>
    <w:rsid w:val="61513D04"/>
    <w:rsid w:val="615185C6"/>
    <w:rsid w:val="6153552D"/>
    <w:rsid w:val="6153CCB3"/>
    <w:rsid w:val="6157A23F"/>
    <w:rsid w:val="6158B7BE"/>
    <w:rsid w:val="6158E7EE"/>
    <w:rsid w:val="615DB17C"/>
    <w:rsid w:val="615F6A92"/>
    <w:rsid w:val="615F7240"/>
    <w:rsid w:val="61693D1A"/>
    <w:rsid w:val="616A156B"/>
    <w:rsid w:val="616EA9F3"/>
    <w:rsid w:val="61708745"/>
    <w:rsid w:val="6171FD45"/>
    <w:rsid w:val="6173533E"/>
    <w:rsid w:val="61751EB4"/>
    <w:rsid w:val="6177514C"/>
    <w:rsid w:val="617B36EF"/>
    <w:rsid w:val="617E4EAD"/>
    <w:rsid w:val="6180F0BD"/>
    <w:rsid w:val="6180F612"/>
    <w:rsid w:val="6183CC6A"/>
    <w:rsid w:val="6185B10C"/>
    <w:rsid w:val="6186CB49"/>
    <w:rsid w:val="61891EF9"/>
    <w:rsid w:val="618A75C2"/>
    <w:rsid w:val="618CE347"/>
    <w:rsid w:val="618DB5C0"/>
    <w:rsid w:val="618E94D1"/>
    <w:rsid w:val="6192572B"/>
    <w:rsid w:val="6194CC73"/>
    <w:rsid w:val="61953966"/>
    <w:rsid w:val="61964053"/>
    <w:rsid w:val="6198B698"/>
    <w:rsid w:val="619B3659"/>
    <w:rsid w:val="619C3343"/>
    <w:rsid w:val="619F7F55"/>
    <w:rsid w:val="61A64679"/>
    <w:rsid w:val="61ABD406"/>
    <w:rsid w:val="61AFB2F5"/>
    <w:rsid w:val="61B7F7B5"/>
    <w:rsid w:val="61BB263D"/>
    <w:rsid w:val="61C155B2"/>
    <w:rsid w:val="61C25FFF"/>
    <w:rsid w:val="61C5C0F1"/>
    <w:rsid w:val="61CD3DBA"/>
    <w:rsid w:val="61D0FE3C"/>
    <w:rsid w:val="61D10E56"/>
    <w:rsid w:val="61D2BC90"/>
    <w:rsid w:val="61D44DC0"/>
    <w:rsid w:val="61D69F8B"/>
    <w:rsid w:val="61D6B097"/>
    <w:rsid w:val="61DE9466"/>
    <w:rsid w:val="61DFAA09"/>
    <w:rsid w:val="61E269CD"/>
    <w:rsid w:val="61E50FFA"/>
    <w:rsid w:val="61E5F135"/>
    <w:rsid w:val="61E5FF9F"/>
    <w:rsid w:val="61EB8B4D"/>
    <w:rsid w:val="61EF9A10"/>
    <w:rsid w:val="61F0AECB"/>
    <w:rsid w:val="61F0E802"/>
    <w:rsid w:val="61F1E1CC"/>
    <w:rsid w:val="61F90CAE"/>
    <w:rsid w:val="61FAC2DD"/>
    <w:rsid w:val="61FAEF10"/>
    <w:rsid w:val="61FC9CB7"/>
    <w:rsid w:val="61FDD9D1"/>
    <w:rsid w:val="61FF0A63"/>
    <w:rsid w:val="6201CF44"/>
    <w:rsid w:val="6209FB0E"/>
    <w:rsid w:val="620D9FAE"/>
    <w:rsid w:val="620F75F4"/>
    <w:rsid w:val="620F86E0"/>
    <w:rsid w:val="6211449F"/>
    <w:rsid w:val="62116E34"/>
    <w:rsid w:val="62149D01"/>
    <w:rsid w:val="6215C826"/>
    <w:rsid w:val="6215FDAA"/>
    <w:rsid w:val="6216C391"/>
    <w:rsid w:val="621C3A5F"/>
    <w:rsid w:val="621CFDE7"/>
    <w:rsid w:val="6221AED4"/>
    <w:rsid w:val="62225309"/>
    <w:rsid w:val="6224518C"/>
    <w:rsid w:val="6224D750"/>
    <w:rsid w:val="62259E7A"/>
    <w:rsid w:val="6225B2C6"/>
    <w:rsid w:val="6226EDBF"/>
    <w:rsid w:val="62278BAA"/>
    <w:rsid w:val="62288B99"/>
    <w:rsid w:val="6229FDD9"/>
    <w:rsid w:val="622A1CDD"/>
    <w:rsid w:val="622C6F29"/>
    <w:rsid w:val="622C732D"/>
    <w:rsid w:val="6232AF1A"/>
    <w:rsid w:val="62366CD7"/>
    <w:rsid w:val="623924A9"/>
    <w:rsid w:val="62393357"/>
    <w:rsid w:val="623DB6DC"/>
    <w:rsid w:val="623E7C25"/>
    <w:rsid w:val="62409709"/>
    <w:rsid w:val="6240E46F"/>
    <w:rsid w:val="62432B9E"/>
    <w:rsid w:val="6244491A"/>
    <w:rsid w:val="624AD3ED"/>
    <w:rsid w:val="62506073"/>
    <w:rsid w:val="6255DD8A"/>
    <w:rsid w:val="62572F2C"/>
    <w:rsid w:val="6259D580"/>
    <w:rsid w:val="625B07ED"/>
    <w:rsid w:val="625BA705"/>
    <w:rsid w:val="625D6D90"/>
    <w:rsid w:val="625D9001"/>
    <w:rsid w:val="625E816F"/>
    <w:rsid w:val="625EDB7D"/>
    <w:rsid w:val="625F92F3"/>
    <w:rsid w:val="6262011C"/>
    <w:rsid w:val="62624A6D"/>
    <w:rsid w:val="6262973F"/>
    <w:rsid w:val="62655A62"/>
    <w:rsid w:val="6265A468"/>
    <w:rsid w:val="62673C4A"/>
    <w:rsid w:val="62697FF7"/>
    <w:rsid w:val="626D4409"/>
    <w:rsid w:val="626E80F2"/>
    <w:rsid w:val="626E9DCF"/>
    <w:rsid w:val="62710798"/>
    <w:rsid w:val="62730F14"/>
    <w:rsid w:val="627417EA"/>
    <w:rsid w:val="62742C8A"/>
    <w:rsid w:val="62749F10"/>
    <w:rsid w:val="62752232"/>
    <w:rsid w:val="6277016B"/>
    <w:rsid w:val="62771C06"/>
    <w:rsid w:val="6279F36F"/>
    <w:rsid w:val="627C82A2"/>
    <w:rsid w:val="627FF7AC"/>
    <w:rsid w:val="628009B5"/>
    <w:rsid w:val="628047F3"/>
    <w:rsid w:val="6282A5FC"/>
    <w:rsid w:val="6283EF80"/>
    <w:rsid w:val="628565E9"/>
    <w:rsid w:val="6287B0D0"/>
    <w:rsid w:val="62892CCF"/>
    <w:rsid w:val="628C8B7D"/>
    <w:rsid w:val="6292EC5B"/>
    <w:rsid w:val="6296A998"/>
    <w:rsid w:val="6296D5CA"/>
    <w:rsid w:val="629C7C17"/>
    <w:rsid w:val="629DC2B3"/>
    <w:rsid w:val="629F1B3D"/>
    <w:rsid w:val="62A04147"/>
    <w:rsid w:val="62A1BBF4"/>
    <w:rsid w:val="62A31222"/>
    <w:rsid w:val="62A5E7A5"/>
    <w:rsid w:val="62A5F88D"/>
    <w:rsid w:val="62A64BDE"/>
    <w:rsid w:val="62A70135"/>
    <w:rsid w:val="62A9CA25"/>
    <w:rsid w:val="62A9FC85"/>
    <w:rsid w:val="62AA5877"/>
    <w:rsid w:val="62AAD063"/>
    <w:rsid w:val="62ADB7BC"/>
    <w:rsid w:val="62B0405C"/>
    <w:rsid w:val="62B300E2"/>
    <w:rsid w:val="62B647DF"/>
    <w:rsid w:val="62B66E62"/>
    <w:rsid w:val="62BD1028"/>
    <w:rsid w:val="62BFBF8D"/>
    <w:rsid w:val="62C0E602"/>
    <w:rsid w:val="62C1DA13"/>
    <w:rsid w:val="62C277FD"/>
    <w:rsid w:val="62C4EC58"/>
    <w:rsid w:val="62C76D3E"/>
    <w:rsid w:val="62C95CF6"/>
    <w:rsid w:val="62CC7569"/>
    <w:rsid w:val="62D63230"/>
    <w:rsid w:val="62D69A59"/>
    <w:rsid w:val="62D6F6A3"/>
    <w:rsid w:val="62D7238C"/>
    <w:rsid w:val="62D7CE5B"/>
    <w:rsid w:val="62D91076"/>
    <w:rsid w:val="62DDB635"/>
    <w:rsid w:val="62DDE550"/>
    <w:rsid w:val="62DFE209"/>
    <w:rsid w:val="62E26061"/>
    <w:rsid w:val="62E341A0"/>
    <w:rsid w:val="62E5755C"/>
    <w:rsid w:val="62E62D40"/>
    <w:rsid w:val="62E7C596"/>
    <w:rsid w:val="62E9010D"/>
    <w:rsid w:val="62EC806D"/>
    <w:rsid w:val="62EED13A"/>
    <w:rsid w:val="62F0F9A5"/>
    <w:rsid w:val="62F1B6F1"/>
    <w:rsid w:val="62F596FC"/>
    <w:rsid w:val="62FB6C6A"/>
    <w:rsid w:val="62FE1AD9"/>
    <w:rsid w:val="63059DCF"/>
    <w:rsid w:val="6306DE3D"/>
    <w:rsid w:val="630F0F20"/>
    <w:rsid w:val="63111B81"/>
    <w:rsid w:val="6312D787"/>
    <w:rsid w:val="63162448"/>
    <w:rsid w:val="631768AA"/>
    <w:rsid w:val="631831E1"/>
    <w:rsid w:val="631FBD6F"/>
    <w:rsid w:val="632193E5"/>
    <w:rsid w:val="6324972E"/>
    <w:rsid w:val="6325B342"/>
    <w:rsid w:val="6325F8C6"/>
    <w:rsid w:val="632BBCAA"/>
    <w:rsid w:val="632BE71D"/>
    <w:rsid w:val="632DE3EB"/>
    <w:rsid w:val="632EC59C"/>
    <w:rsid w:val="63345FF7"/>
    <w:rsid w:val="63375B56"/>
    <w:rsid w:val="633B05A2"/>
    <w:rsid w:val="633B6521"/>
    <w:rsid w:val="633E06D3"/>
    <w:rsid w:val="633F0E78"/>
    <w:rsid w:val="6342B850"/>
    <w:rsid w:val="6344DDAB"/>
    <w:rsid w:val="6348339A"/>
    <w:rsid w:val="63502073"/>
    <w:rsid w:val="63514291"/>
    <w:rsid w:val="635186A1"/>
    <w:rsid w:val="6351CC64"/>
    <w:rsid w:val="6353D1C8"/>
    <w:rsid w:val="63551408"/>
    <w:rsid w:val="63553EC9"/>
    <w:rsid w:val="635FD286"/>
    <w:rsid w:val="63614C96"/>
    <w:rsid w:val="63633ECD"/>
    <w:rsid w:val="63677719"/>
    <w:rsid w:val="6369021A"/>
    <w:rsid w:val="63697A6F"/>
    <w:rsid w:val="6369C721"/>
    <w:rsid w:val="636C801D"/>
    <w:rsid w:val="636CE8D0"/>
    <w:rsid w:val="636DFF9C"/>
    <w:rsid w:val="636FF1E3"/>
    <w:rsid w:val="637554AF"/>
    <w:rsid w:val="63756AE1"/>
    <w:rsid w:val="637885B6"/>
    <w:rsid w:val="637A0952"/>
    <w:rsid w:val="637A224F"/>
    <w:rsid w:val="63844EB9"/>
    <w:rsid w:val="638504EE"/>
    <w:rsid w:val="638821AA"/>
    <w:rsid w:val="6388B126"/>
    <w:rsid w:val="638A70D0"/>
    <w:rsid w:val="638B7E81"/>
    <w:rsid w:val="639003FB"/>
    <w:rsid w:val="63934C8F"/>
    <w:rsid w:val="63944F9C"/>
    <w:rsid w:val="6396AFAB"/>
    <w:rsid w:val="63981CC7"/>
    <w:rsid w:val="6398587D"/>
    <w:rsid w:val="6398BBD8"/>
    <w:rsid w:val="63995891"/>
    <w:rsid w:val="639A6873"/>
    <w:rsid w:val="639C2132"/>
    <w:rsid w:val="639CCEC3"/>
    <w:rsid w:val="639D3EF2"/>
    <w:rsid w:val="639EE0F8"/>
    <w:rsid w:val="63A0F547"/>
    <w:rsid w:val="63A5C116"/>
    <w:rsid w:val="63A84C86"/>
    <w:rsid w:val="63A9587E"/>
    <w:rsid w:val="63AACA58"/>
    <w:rsid w:val="63AEFE67"/>
    <w:rsid w:val="63B18201"/>
    <w:rsid w:val="63B8D403"/>
    <w:rsid w:val="63C08493"/>
    <w:rsid w:val="63C0C7A8"/>
    <w:rsid w:val="63C2272D"/>
    <w:rsid w:val="63C2F5FB"/>
    <w:rsid w:val="63C3896D"/>
    <w:rsid w:val="63C6F58C"/>
    <w:rsid w:val="63C742B0"/>
    <w:rsid w:val="63C85F18"/>
    <w:rsid w:val="63C9A934"/>
    <w:rsid w:val="63CC7E28"/>
    <w:rsid w:val="63D08D94"/>
    <w:rsid w:val="63D5C18C"/>
    <w:rsid w:val="63D6BCDE"/>
    <w:rsid w:val="63D771A9"/>
    <w:rsid w:val="63D8806F"/>
    <w:rsid w:val="63D98D76"/>
    <w:rsid w:val="63DDA7DA"/>
    <w:rsid w:val="63DEF2AF"/>
    <w:rsid w:val="63E139C2"/>
    <w:rsid w:val="63E2A88B"/>
    <w:rsid w:val="63E30225"/>
    <w:rsid w:val="63E588C6"/>
    <w:rsid w:val="63E7B89E"/>
    <w:rsid w:val="63E83A15"/>
    <w:rsid w:val="63E90C59"/>
    <w:rsid w:val="63EA2850"/>
    <w:rsid w:val="63EAEDF6"/>
    <w:rsid w:val="63EBF686"/>
    <w:rsid w:val="63EC4924"/>
    <w:rsid w:val="63F0E7A4"/>
    <w:rsid w:val="63F10C5F"/>
    <w:rsid w:val="63F28507"/>
    <w:rsid w:val="63F30C11"/>
    <w:rsid w:val="63F3F121"/>
    <w:rsid w:val="63F55C88"/>
    <w:rsid w:val="63F57B30"/>
    <w:rsid w:val="63FB0AAE"/>
    <w:rsid w:val="63FC27B0"/>
    <w:rsid w:val="63FD6239"/>
    <w:rsid w:val="63FEC598"/>
    <w:rsid w:val="6401D158"/>
    <w:rsid w:val="64058043"/>
    <w:rsid w:val="64058E36"/>
    <w:rsid w:val="6405A741"/>
    <w:rsid w:val="640AC951"/>
    <w:rsid w:val="640B19E5"/>
    <w:rsid w:val="640CFB6B"/>
    <w:rsid w:val="640EF7F1"/>
    <w:rsid w:val="640F36FE"/>
    <w:rsid w:val="640FCCC1"/>
    <w:rsid w:val="641273D7"/>
    <w:rsid w:val="6414D18B"/>
    <w:rsid w:val="64165A23"/>
    <w:rsid w:val="6416B2D0"/>
    <w:rsid w:val="6419412E"/>
    <w:rsid w:val="641F6F7B"/>
    <w:rsid w:val="64270EBE"/>
    <w:rsid w:val="642F0D4E"/>
    <w:rsid w:val="643600C7"/>
    <w:rsid w:val="643A458B"/>
    <w:rsid w:val="643BD6A1"/>
    <w:rsid w:val="643F4385"/>
    <w:rsid w:val="643FCAED"/>
    <w:rsid w:val="644154C5"/>
    <w:rsid w:val="6442440C"/>
    <w:rsid w:val="644582E3"/>
    <w:rsid w:val="64467620"/>
    <w:rsid w:val="6449441E"/>
    <w:rsid w:val="6449732B"/>
    <w:rsid w:val="644BB30E"/>
    <w:rsid w:val="645049C5"/>
    <w:rsid w:val="645723DF"/>
    <w:rsid w:val="645DD38E"/>
    <w:rsid w:val="64604493"/>
    <w:rsid w:val="646055B6"/>
    <w:rsid w:val="6460DD35"/>
    <w:rsid w:val="646758A7"/>
    <w:rsid w:val="646850CC"/>
    <w:rsid w:val="646CAF24"/>
    <w:rsid w:val="646D9333"/>
    <w:rsid w:val="6471D068"/>
    <w:rsid w:val="6475E7D6"/>
    <w:rsid w:val="6475FC02"/>
    <w:rsid w:val="64763ED3"/>
    <w:rsid w:val="6476A708"/>
    <w:rsid w:val="64772905"/>
    <w:rsid w:val="6478E717"/>
    <w:rsid w:val="647A17C7"/>
    <w:rsid w:val="647AD98A"/>
    <w:rsid w:val="647AE892"/>
    <w:rsid w:val="647E33CE"/>
    <w:rsid w:val="6480CED3"/>
    <w:rsid w:val="648371B6"/>
    <w:rsid w:val="6484A3E2"/>
    <w:rsid w:val="64869863"/>
    <w:rsid w:val="648C94E2"/>
    <w:rsid w:val="648CA756"/>
    <w:rsid w:val="648D02C3"/>
    <w:rsid w:val="648E5057"/>
    <w:rsid w:val="64910D70"/>
    <w:rsid w:val="649273C5"/>
    <w:rsid w:val="6494D0E3"/>
    <w:rsid w:val="649980CB"/>
    <w:rsid w:val="649A6247"/>
    <w:rsid w:val="649ACDBF"/>
    <w:rsid w:val="649D45E4"/>
    <w:rsid w:val="64A2E0E6"/>
    <w:rsid w:val="64A36BAC"/>
    <w:rsid w:val="64A63F11"/>
    <w:rsid w:val="64A6C590"/>
    <w:rsid w:val="64ACC3EE"/>
    <w:rsid w:val="64AD9DAA"/>
    <w:rsid w:val="64AEE843"/>
    <w:rsid w:val="64AFC2AB"/>
    <w:rsid w:val="64AFFCD7"/>
    <w:rsid w:val="64B0A4A2"/>
    <w:rsid w:val="64B2E961"/>
    <w:rsid w:val="64C0A91B"/>
    <w:rsid w:val="64C2C443"/>
    <w:rsid w:val="64C35F56"/>
    <w:rsid w:val="64C4C20D"/>
    <w:rsid w:val="64CAE0A0"/>
    <w:rsid w:val="64CC3478"/>
    <w:rsid w:val="64CC3D35"/>
    <w:rsid w:val="64CC8F42"/>
    <w:rsid w:val="64CF0AC8"/>
    <w:rsid w:val="64CFD694"/>
    <w:rsid w:val="64D02EBB"/>
    <w:rsid w:val="64D0A6C1"/>
    <w:rsid w:val="64D21C55"/>
    <w:rsid w:val="64D78EC9"/>
    <w:rsid w:val="64D93B13"/>
    <w:rsid w:val="64DA88B4"/>
    <w:rsid w:val="64DBE60F"/>
    <w:rsid w:val="64E3CB67"/>
    <w:rsid w:val="64E8FCF1"/>
    <w:rsid w:val="64EAFC5D"/>
    <w:rsid w:val="64EB2FBA"/>
    <w:rsid w:val="64ED35B4"/>
    <w:rsid w:val="64EEC83D"/>
    <w:rsid w:val="64EF8334"/>
    <w:rsid w:val="64F6A985"/>
    <w:rsid w:val="64FAD62E"/>
    <w:rsid w:val="64FE335C"/>
    <w:rsid w:val="6500C9BA"/>
    <w:rsid w:val="6506FA43"/>
    <w:rsid w:val="6507978C"/>
    <w:rsid w:val="6508D080"/>
    <w:rsid w:val="650BE418"/>
    <w:rsid w:val="65180E1D"/>
    <w:rsid w:val="651986D2"/>
    <w:rsid w:val="651AB50F"/>
    <w:rsid w:val="651B0A5A"/>
    <w:rsid w:val="651B83D9"/>
    <w:rsid w:val="6522ABA8"/>
    <w:rsid w:val="65230F9F"/>
    <w:rsid w:val="6526BE85"/>
    <w:rsid w:val="65276667"/>
    <w:rsid w:val="6527B920"/>
    <w:rsid w:val="6528C24C"/>
    <w:rsid w:val="6529B403"/>
    <w:rsid w:val="652AA9AA"/>
    <w:rsid w:val="652B6485"/>
    <w:rsid w:val="652D7B52"/>
    <w:rsid w:val="652FEA09"/>
    <w:rsid w:val="653036EF"/>
    <w:rsid w:val="65304C1A"/>
    <w:rsid w:val="6530F5A0"/>
    <w:rsid w:val="65327258"/>
    <w:rsid w:val="6533AAC0"/>
    <w:rsid w:val="6533B27E"/>
    <w:rsid w:val="653A7558"/>
    <w:rsid w:val="653AA933"/>
    <w:rsid w:val="653B1258"/>
    <w:rsid w:val="653BCF1B"/>
    <w:rsid w:val="653C974B"/>
    <w:rsid w:val="6542BE88"/>
    <w:rsid w:val="654722E3"/>
    <w:rsid w:val="65479151"/>
    <w:rsid w:val="6547B35B"/>
    <w:rsid w:val="654AE25B"/>
    <w:rsid w:val="654B3323"/>
    <w:rsid w:val="65503071"/>
    <w:rsid w:val="65506C3D"/>
    <w:rsid w:val="655189C9"/>
    <w:rsid w:val="6552790C"/>
    <w:rsid w:val="6555D808"/>
    <w:rsid w:val="65590E5A"/>
    <w:rsid w:val="655B796E"/>
    <w:rsid w:val="656076CA"/>
    <w:rsid w:val="65621FC8"/>
    <w:rsid w:val="6562C5AF"/>
    <w:rsid w:val="65632D52"/>
    <w:rsid w:val="6563335D"/>
    <w:rsid w:val="6566E459"/>
    <w:rsid w:val="6567C3D1"/>
    <w:rsid w:val="656DC95F"/>
    <w:rsid w:val="65700382"/>
    <w:rsid w:val="6570860C"/>
    <w:rsid w:val="6575419E"/>
    <w:rsid w:val="657624FB"/>
    <w:rsid w:val="65779DF4"/>
    <w:rsid w:val="657A6FA3"/>
    <w:rsid w:val="6580886D"/>
    <w:rsid w:val="6584796D"/>
    <w:rsid w:val="6586E998"/>
    <w:rsid w:val="658A246F"/>
    <w:rsid w:val="6596C4ED"/>
    <w:rsid w:val="65989A53"/>
    <w:rsid w:val="659B69AB"/>
    <w:rsid w:val="659C80EC"/>
    <w:rsid w:val="659D1CC2"/>
    <w:rsid w:val="659EF779"/>
    <w:rsid w:val="659EFE3A"/>
    <w:rsid w:val="65AB42B1"/>
    <w:rsid w:val="65ADDF5A"/>
    <w:rsid w:val="65B0E0F6"/>
    <w:rsid w:val="65B66A08"/>
    <w:rsid w:val="65B8A9D5"/>
    <w:rsid w:val="65C42C21"/>
    <w:rsid w:val="65C441E5"/>
    <w:rsid w:val="65CAEB3B"/>
    <w:rsid w:val="65CC6612"/>
    <w:rsid w:val="65CD2920"/>
    <w:rsid w:val="65CD386E"/>
    <w:rsid w:val="65D24F5F"/>
    <w:rsid w:val="65D7AA4B"/>
    <w:rsid w:val="65DB7618"/>
    <w:rsid w:val="65E010D1"/>
    <w:rsid w:val="65E0B60F"/>
    <w:rsid w:val="65E354D0"/>
    <w:rsid w:val="65E4A991"/>
    <w:rsid w:val="65E6567F"/>
    <w:rsid w:val="65E90A77"/>
    <w:rsid w:val="65E91E72"/>
    <w:rsid w:val="65EE8EA0"/>
    <w:rsid w:val="65F4DA40"/>
    <w:rsid w:val="65F84A92"/>
    <w:rsid w:val="65FB06CB"/>
    <w:rsid w:val="65FB1AD3"/>
    <w:rsid w:val="65FB6D4B"/>
    <w:rsid w:val="65FC35A1"/>
    <w:rsid w:val="65FC8888"/>
    <w:rsid w:val="65FF9495"/>
    <w:rsid w:val="660060F9"/>
    <w:rsid w:val="66028D07"/>
    <w:rsid w:val="6602A6AE"/>
    <w:rsid w:val="660C1431"/>
    <w:rsid w:val="661012E3"/>
    <w:rsid w:val="66102A83"/>
    <w:rsid w:val="66112474"/>
    <w:rsid w:val="66135882"/>
    <w:rsid w:val="6613BC3F"/>
    <w:rsid w:val="6613D212"/>
    <w:rsid w:val="66166EF4"/>
    <w:rsid w:val="661AD703"/>
    <w:rsid w:val="661B03BC"/>
    <w:rsid w:val="661BFE11"/>
    <w:rsid w:val="661CF704"/>
    <w:rsid w:val="661DAC9A"/>
    <w:rsid w:val="661FC35F"/>
    <w:rsid w:val="6621E31F"/>
    <w:rsid w:val="6624B7A0"/>
    <w:rsid w:val="66251F7E"/>
    <w:rsid w:val="66289AA6"/>
    <w:rsid w:val="662BD520"/>
    <w:rsid w:val="662CA0BB"/>
    <w:rsid w:val="662E680C"/>
    <w:rsid w:val="66302A2B"/>
    <w:rsid w:val="6632114F"/>
    <w:rsid w:val="6633ABD5"/>
    <w:rsid w:val="66342B30"/>
    <w:rsid w:val="6635A410"/>
    <w:rsid w:val="66373910"/>
    <w:rsid w:val="6637962F"/>
    <w:rsid w:val="66384071"/>
    <w:rsid w:val="6639AFF9"/>
    <w:rsid w:val="6639E001"/>
    <w:rsid w:val="663CA3E8"/>
    <w:rsid w:val="663FE80A"/>
    <w:rsid w:val="664650F0"/>
    <w:rsid w:val="664AB512"/>
    <w:rsid w:val="664D3EF2"/>
    <w:rsid w:val="6651341C"/>
    <w:rsid w:val="66518B28"/>
    <w:rsid w:val="665286B5"/>
    <w:rsid w:val="66539D55"/>
    <w:rsid w:val="66584AC4"/>
    <w:rsid w:val="665971DE"/>
    <w:rsid w:val="665A3D46"/>
    <w:rsid w:val="665E866E"/>
    <w:rsid w:val="665E8EFC"/>
    <w:rsid w:val="66625967"/>
    <w:rsid w:val="66671BA2"/>
    <w:rsid w:val="66695692"/>
    <w:rsid w:val="666A19C7"/>
    <w:rsid w:val="6673474D"/>
    <w:rsid w:val="667426E1"/>
    <w:rsid w:val="6674B85A"/>
    <w:rsid w:val="6678645E"/>
    <w:rsid w:val="6678BAC6"/>
    <w:rsid w:val="667A6702"/>
    <w:rsid w:val="668978AE"/>
    <w:rsid w:val="668FDF7C"/>
    <w:rsid w:val="668FFFD5"/>
    <w:rsid w:val="6692532A"/>
    <w:rsid w:val="6695FDEA"/>
    <w:rsid w:val="66973878"/>
    <w:rsid w:val="66983B3B"/>
    <w:rsid w:val="669964A2"/>
    <w:rsid w:val="66A3D0CA"/>
    <w:rsid w:val="66A5055B"/>
    <w:rsid w:val="66AA4C38"/>
    <w:rsid w:val="66ABB77C"/>
    <w:rsid w:val="66AC4154"/>
    <w:rsid w:val="66AF72B8"/>
    <w:rsid w:val="66B09CEA"/>
    <w:rsid w:val="66BAEEA4"/>
    <w:rsid w:val="66BFD08A"/>
    <w:rsid w:val="66C402EC"/>
    <w:rsid w:val="66C56B2B"/>
    <w:rsid w:val="66C61611"/>
    <w:rsid w:val="66C80C47"/>
    <w:rsid w:val="66C82869"/>
    <w:rsid w:val="66C84B8B"/>
    <w:rsid w:val="66CAAB12"/>
    <w:rsid w:val="66CC90DC"/>
    <w:rsid w:val="66D4225C"/>
    <w:rsid w:val="66D60C17"/>
    <w:rsid w:val="66E61592"/>
    <w:rsid w:val="66EB896C"/>
    <w:rsid w:val="66EE5D8A"/>
    <w:rsid w:val="66F0EA01"/>
    <w:rsid w:val="66F3099E"/>
    <w:rsid w:val="66F5BC64"/>
    <w:rsid w:val="66F7B2DF"/>
    <w:rsid w:val="66F7B457"/>
    <w:rsid w:val="66FB86E0"/>
    <w:rsid w:val="66FCACDA"/>
    <w:rsid w:val="66FEA705"/>
    <w:rsid w:val="67016BD1"/>
    <w:rsid w:val="67043D69"/>
    <w:rsid w:val="67045B55"/>
    <w:rsid w:val="6706CD0D"/>
    <w:rsid w:val="6707E6F1"/>
    <w:rsid w:val="670C403A"/>
    <w:rsid w:val="670C5D86"/>
    <w:rsid w:val="6710058E"/>
    <w:rsid w:val="67156767"/>
    <w:rsid w:val="6717B2AB"/>
    <w:rsid w:val="671936DD"/>
    <w:rsid w:val="6719FA25"/>
    <w:rsid w:val="671A73E5"/>
    <w:rsid w:val="672091EA"/>
    <w:rsid w:val="6721320D"/>
    <w:rsid w:val="67221508"/>
    <w:rsid w:val="6723AE6A"/>
    <w:rsid w:val="67245251"/>
    <w:rsid w:val="6728A527"/>
    <w:rsid w:val="672B7C19"/>
    <w:rsid w:val="672F5099"/>
    <w:rsid w:val="673ACFA2"/>
    <w:rsid w:val="673DFB8C"/>
    <w:rsid w:val="673EED14"/>
    <w:rsid w:val="67428AC4"/>
    <w:rsid w:val="67454CFC"/>
    <w:rsid w:val="67473693"/>
    <w:rsid w:val="67499888"/>
    <w:rsid w:val="674C2D4A"/>
    <w:rsid w:val="674C56F3"/>
    <w:rsid w:val="674DE5BC"/>
    <w:rsid w:val="674E5C07"/>
    <w:rsid w:val="67500458"/>
    <w:rsid w:val="675023B6"/>
    <w:rsid w:val="675581D7"/>
    <w:rsid w:val="67574F86"/>
    <w:rsid w:val="67617D2F"/>
    <w:rsid w:val="6766C175"/>
    <w:rsid w:val="6769E35B"/>
    <w:rsid w:val="676D3AC4"/>
    <w:rsid w:val="676FBA17"/>
    <w:rsid w:val="67710F52"/>
    <w:rsid w:val="677389D0"/>
    <w:rsid w:val="67746409"/>
    <w:rsid w:val="67755555"/>
    <w:rsid w:val="67797627"/>
    <w:rsid w:val="677CD7D3"/>
    <w:rsid w:val="677D46DC"/>
    <w:rsid w:val="677DDBBA"/>
    <w:rsid w:val="6783E95A"/>
    <w:rsid w:val="678800C8"/>
    <w:rsid w:val="6788D39B"/>
    <w:rsid w:val="678976EF"/>
    <w:rsid w:val="678AA23E"/>
    <w:rsid w:val="678F1470"/>
    <w:rsid w:val="679ACC1D"/>
    <w:rsid w:val="679B5390"/>
    <w:rsid w:val="679C691D"/>
    <w:rsid w:val="679D7FC1"/>
    <w:rsid w:val="679F73BD"/>
    <w:rsid w:val="67A1368D"/>
    <w:rsid w:val="67A264D8"/>
    <w:rsid w:val="67A4449E"/>
    <w:rsid w:val="67A4FE56"/>
    <w:rsid w:val="67AB5DAA"/>
    <w:rsid w:val="67ACF315"/>
    <w:rsid w:val="67AD19B8"/>
    <w:rsid w:val="67ADD6FB"/>
    <w:rsid w:val="67AECFC1"/>
    <w:rsid w:val="67B17C20"/>
    <w:rsid w:val="67B31DC1"/>
    <w:rsid w:val="67B52270"/>
    <w:rsid w:val="67B7FE7A"/>
    <w:rsid w:val="67B854A2"/>
    <w:rsid w:val="67B911AF"/>
    <w:rsid w:val="67BF8DFC"/>
    <w:rsid w:val="67C08611"/>
    <w:rsid w:val="67C4CE0F"/>
    <w:rsid w:val="67C58AF0"/>
    <w:rsid w:val="67D0F742"/>
    <w:rsid w:val="67D1F2F6"/>
    <w:rsid w:val="67D55B2A"/>
    <w:rsid w:val="67D61BC7"/>
    <w:rsid w:val="67D767A6"/>
    <w:rsid w:val="67D7CA69"/>
    <w:rsid w:val="67DD4215"/>
    <w:rsid w:val="67DEBAD6"/>
    <w:rsid w:val="67DF5074"/>
    <w:rsid w:val="67E3C10B"/>
    <w:rsid w:val="67E5C87D"/>
    <w:rsid w:val="67E5F7EB"/>
    <w:rsid w:val="67E757C6"/>
    <w:rsid w:val="67E77F60"/>
    <w:rsid w:val="67E793A2"/>
    <w:rsid w:val="67E796D8"/>
    <w:rsid w:val="67EC058F"/>
    <w:rsid w:val="67EC1658"/>
    <w:rsid w:val="67EDA4D1"/>
    <w:rsid w:val="67EE0CDB"/>
    <w:rsid w:val="67EF4782"/>
    <w:rsid w:val="67EFEAE1"/>
    <w:rsid w:val="67EFF6A9"/>
    <w:rsid w:val="67F52594"/>
    <w:rsid w:val="67F5B518"/>
    <w:rsid w:val="6802028C"/>
    <w:rsid w:val="68068FC9"/>
    <w:rsid w:val="6806CAF2"/>
    <w:rsid w:val="6808BEEB"/>
    <w:rsid w:val="6808D205"/>
    <w:rsid w:val="680B0F98"/>
    <w:rsid w:val="681199A4"/>
    <w:rsid w:val="6813D54B"/>
    <w:rsid w:val="6816B7D8"/>
    <w:rsid w:val="68192A78"/>
    <w:rsid w:val="68196685"/>
    <w:rsid w:val="6820B4F7"/>
    <w:rsid w:val="68210F8B"/>
    <w:rsid w:val="682423A8"/>
    <w:rsid w:val="68291699"/>
    <w:rsid w:val="68297752"/>
    <w:rsid w:val="682BD0F1"/>
    <w:rsid w:val="683308E3"/>
    <w:rsid w:val="68336693"/>
    <w:rsid w:val="68358376"/>
    <w:rsid w:val="683C51DC"/>
    <w:rsid w:val="683CC227"/>
    <w:rsid w:val="683F7AE7"/>
    <w:rsid w:val="684100DB"/>
    <w:rsid w:val="6841BED0"/>
    <w:rsid w:val="684D36C5"/>
    <w:rsid w:val="68532827"/>
    <w:rsid w:val="6857808A"/>
    <w:rsid w:val="6857D043"/>
    <w:rsid w:val="685AB8C7"/>
    <w:rsid w:val="685B02A0"/>
    <w:rsid w:val="68605D03"/>
    <w:rsid w:val="68618034"/>
    <w:rsid w:val="686222BF"/>
    <w:rsid w:val="68626A1A"/>
    <w:rsid w:val="68693B01"/>
    <w:rsid w:val="68697184"/>
    <w:rsid w:val="6869C207"/>
    <w:rsid w:val="686C73FE"/>
    <w:rsid w:val="6871FBD5"/>
    <w:rsid w:val="687473A1"/>
    <w:rsid w:val="687625D3"/>
    <w:rsid w:val="68768522"/>
    <w:rsid w:val="6877170F"/>
    <w:rsid w:val="687976DA"/>
    <w:rsid w:val="687B465C"/>
    <w:rsid w:val="687B6A28"/>
    <w:rsid w:val="687BC06D"/>
    <w:rsid w:val="687E0C42"/>
    <w:rsid w:val="687E6785"/>
    <w:rsid w:val="68805840"/>
    <w:rsid w:val="6881AC80"/>
    <w:rsid w:val="68895281"/>
    <w:rsid w:val="688F2C72"/>
    <w:rsid w:val="68901704"/>
    <w:rsid w:val="6891D3A4"/>
    <w:rsid w:val="68956076"/>
    <w:rsid w:val="6896DCC5"/>
    <w:rsid w:val="689AB9E6"/>
    <w:rsid w:val="689B4676"/>
    <w:rsid w:val="689CDF2B"/>
    <w:rsid w:val="689EAC34"/>
    <w:rsid w:val="689F47CB"/>
    <w:rsid w:val="68A0031F"/>
    <w:rsid w:val="68A4452C"/>
    <w:rsid w:val="68A45FEB"/>
    <w:rsid w:val="68A6EF0B"/>
    <w:rsid w:val="68A87C92"/>
    <w:rsid w:val="68AFBDAB"/>
    <w:rsid w:val="68B3D413"/>
    <w:rsid w:val="68B4745D"/>
    <w:rsid w:val="68B4A116"/>
    <w:rsid w:val="68B7B111"/>
    <w:rsid w:val="68BEB855"/>
    <w:rsid w:val="68BED521"/>
    <w:rsid w:val="68BF17EA"/>
    <w:rsid w:val="68C1F15E"/>
    <w:rsid w:val="68C7C5F4"/>
    <w:rsid w:val="68C97837"/>
    <w:rsid w:val="68CE48C5"/>
    <w:rsid w:val="68D1440C"/>
    <w:rsid w:val="68D3D53C"/>
    <w:rsid w:val="68D44DCD"/>
    <w:rsid w:val="68D677C5"/>
    <w:rsid w:val="68DC4135"/>
    <w:rsid w:val="68E068F9"/>
    <w:rsid w:val="68E34543"/>
    <w:rsid w:val="68E55C5B"/>
    <w:rsid w:val="68E62851"/>
    <w:rsid w:val="68EA8572"/>
    <w:rsid w:val="68EBAC4B"/>
    <w:rsid w:val="68F17C01"/>
    <w:rsid w:val="68F1E230"/>
    <w:rsid w:val="68F55A7B"/>
    <w:rsid w:val="68F561B0"/>
    <w:rsid w:val="68F6BCCC"/>
    <w:rsid w:val="68F6CA52"/>
    <w:rsid w:val="68F8636F"/>
    <w:rsid w:val="68F997FD"/>
    <w:rsid w:val="68FE0DE2"/>
    <w:rsid w:val="690390E2"/>
    <w:rsid w:val="6903B813"/>
    <w:rsid w:val="69048DA3"/>
    <w:rsid w:val="6904E8A2"/>
    <w:rsid w:val="69075E47"/>
    <w:rsid w:val="6908C6D2"/>
    <w:rsid w:val="690F4372"/>
    <w:rsid w:val="6910C03C"/>
    <w:rsid w:val="6911CC2F"/>
    <w:rsid w:val="69133340"/>
    <w:rsid w:val="6915D373"/>
    <w:rsid w:val="69164102"/>
    <w:rsid w:val="6916FBA6"/>
    <w:rsid w:val="691ACCB1"/>
    <w:rsid w:val="691CCAD6"/>
    <w:rsid w:val="69215671"/>
    <w:rsid w:val="69218F8C"/>
    <w:rsid w:val="6924C8BC"/>
    <w:rsid w:val="692B5B65"/>
    <w:rsid w:val="693092C6"/>
    <w:rsid w:val="69325F1F"/>
    <w:rsid w:val="6939CF00"/>
    <w:rsid w:val="693A60F5"/>
    <w:rsid w:val="6940EAB1"/>
    <w:rsid w:val="69451118"/>
    <w:rsid w:val="69472DCF"/>
    <w:rsid w:val="69473B3B"/>
    <w:rsid w:val="6949D90D"/>
    <w:rsid w:val="694FD260"/>
    <w:rsid w:val="69508811"/>
    <w:rsid w:val="6953183A"/>
    <w:rsid w:val="69552531"/>
    <w:rsid w:val="695534C3"/>
    <w:rsid w:val="695573F5"/>
    <w:rsid w:val="69568D07"/>
    <w:rsid w:val="6958FEEC"/>
    <w:rsid w:val="69590549"/>
    <w:rsid w:val="695E623F"/>
    <w:rsid w:val="69606742"/>
    <w:rsid w:val="69610C45"/>
    <w:rsid w:val="6962AC60"/>
    <w:rsid w:val="69687B16"/>
    <w:rsid w:val="696AD699"/>
    <w:rsid w:val="6972409C"/>
    <w:rsid w:val="6972D7EE"/>
    <w:rsid w:val="69744775"/>
    <w:rsid w:val="69744F88"/>
    <w:rsid w:val="6974A34E"/>
    <w:rsid w:val="6975179A"/>
    <w:rsid w:val="6975C7C3"/>
    <w:rsid w:val="697704DD"/>
    <w:rsid w:val="697BC25D"/>
    <w:rsid w:val="697C9558"/>
    <w:rsid w:val="697D6F6E"/>
    <w:rsid w:val="697D8C25"/>
    <w:rsid w:val="69850045"/>
    <w:rsid w:val="6987E59E"/>
    <w:rsid w:val="698822B7"/>
    <w:rsid w:val="698C0445"/>
    <w:rsid w:val="698F02E0"/>
    <w:rsid w:val="6990D912"/>
    <w:rsid w:val="69926297"/>
    <w:rsid w:val="69949B34"/>
    <w:rsid w:val="69951A2A"/>
    <w:rsid w:val="699DA09F"/>
    <w:rsid w:val="699E003F"/>
    <w:rsid w:val="699FF38A"/>
    <w:rsid w:val="69A0F330"/>
    <w:rsid w:val="69A26876"/>
    <w:rsid w:val="69A668D9"/>
    <w:rsid w:val="69A7911B"/>
    <w:rsid w:val="69A870F9"/>
    <w:rsid w:val="69B441B6"/>
    <w:rsid w:val="69BA93BF"/>
    <w:rsid w:val="69C04CC5"/>
    <w:rsid w:val="69C2C9E3"/>
    <w:rsid w:val="69C49554"/>
    <w:rsid w:val="69CB9BF3"/>
    <w:rsid w:val="69CBADF8"/>
    <w:rsid w:val="69CF7770"/>
    <w:rsid w:val="69D1B558"/>
    <w:rsid w:val="69D20265"/>
    <w:rsid w:val="69D8215E"/>
    <w:rsid w:val="69D9BE45"/>
    <w:rsid w:val="69DB4927"/>
    <w:rsid w:val="69DEC1C4"/>
    <w:rsid w:val="69DF0947"/>
    <w:rsid w:val="69E06138"/>
    <w:rsid w:val="69E60438"/>
    <w:rsid w:val="69E7AC3E"/>
    <w:rsid w:val="69EA73D8"/>
    <w:rsid w:val="69EB49BD"/>
    <w:rsid w:val="69F6C301"/>
    <w:rsid w:val="69F6E3A0"/>
    <w:rsid w:val="69F77ADD"/>
    <w:rsid w:val="6A014E73"/>
    <w:rsid w:val="6A02A5AB"/>
    <w:rsid w:val="6A03925D"/>
    <w:rsid w:val="6A0637BA"/>
    <w:rsid w:val="6A08AECF"/>
    <w:rsid w:val="6A0BAFE6"/>
    <w:rsid w:val="6A0C0BB8"/>
    <w:rsid w:val="6A0CE51D"/>
    <w:rsid w:val="6A0DC566"/>
    <w:rsid w:val="6A0EEDD4"/>
    <w:rsid w:val="6A125EC4"/>
    <w:rsid w:val="6A13CF47"/>
    <w:rsid w:val="6A14FF9F"/>
    <w:rsid w:val="6A152E48"/>
    <w:rsid w:val="6A162F3D"/>
    <w:rsid w:val="6A17CBF4"/>
    <w:rsid w:val="6A17F325"/>
    <w:rsid w:val="6A211615"/>
    <w:rsid w:val="6A21D32A"/>
    <w:rsid w:val="6A2312AE"/>
    <w:rsid w:val="6A24C04D"/>
    <w:rsid w:val="6A2763BF"/>
    <w:rsid w:val="6A27A8B9"/>
    <w:rsid w:val="6A29352E"/>
    <w:rsid w:val="6A2EF2D5"/>
    <w:rsid w:val="6A3423C5"/>
    <w:rsid w:val="6A36D0D6"/>
    <w:rsid w:val="6A36F7E9"/>
    <w:rsid w:val="6A38463B"/>
    <w:rsid w:val="6A3F7756"/>
    <w:rsid w:val="6A3FDD6F"/>
    <w:rsid w:val="6A405ABE"/>
    <w:rsid w:val="6A43B5CB"/>
    <w:rsid w:val="6A4B521F"/>
    <w:rsid w:val="6A4BB6BA"/>
    <w:rsid w:val="6A5544BA"/>
    <w:rsid w:val="6A5F6400"/>
    <w:rsid w:val="6A60FC8D"/>
    <w:rsid w:val="6A631700"/>
    <w:rsid w:val="6A67AA90"/>
    <w:rsid w:val="6A6A0874"/>
    <w:rsid w:val="6A6E217A"/>
    <w:rsid w:val="6A74BF1B"/>
    <w:rsid w:val="6A75617C"/>
    <w:rsid w:val="6A75C276"/>
    <w:rsid w:val="6A773A55"/>
    <w:rsid w:val="6A78AEC2"/>
    <w:rsid w:val="6A8072B8"/>
    <w:rsid w:val="6A8744D8"/>
    <w:rsid w:val="6A88BF52"/>
    <w:rsid w:val="6A8C86B1"/>
    <w:rsid w:val="6A8CF141"/>
    <w:rsid w:val="6A8EAFD0"/>
    <w:rsid w:val="6A8F8353"/>
    <w:rsid w:val="6A930ABD"/>
    <w:rsid w:val="6A979339"/>
    <w:rsid w:val="6A9F2107"/>
    <w:rsid w:val="6AA29663"/>
    <w:rsid w:val="6AA391E1"/>
    <w:rsid w:val="6AA42FE8"/>
    <w:rsid w:val="6AA4F499"/>
    <w:rsid w:val="6AA93CBC"/>
    <w:rsid w:val="6AAAC299"/>
    <w:rsid w:val="6AAE7AB6"/>
    <w:rsid w:val="6AAFD9A3"/>
    <w:rsid w:val="6AB15F84"/>
    <w:rsid w:val="6AB4A12E"/>
    <w:rsid w:val="6AB56BBA"/>
    <w:rsid w:val="6AB5B9FF"/>
    <w:rsid w:val="6AB730E7"/>
    <w:rsid w:val="6AB78328"/>
    <w:rsid w:val="6AB954E6"/>
    <w:rsid w:val="6ABC124C"/>
    <w:rsid w:val="6ABE0F01"/>
    <w:rsid w:val="6ABECBB2"/>
    <w:rsid w:val="6ABFD537"/>
    <w:rsid w:val="6AC2F92B"/>
    <w:rsid w:val="6AC93B22"/>
    <w:rsid w:val="6AD23627"/>
    <w:rsid w:val="6AD26FCA"/>
    <w:rsid w:val="6AD2E986"/>
    <w:rsid w:val="6AD51CDE"/>
    <w:rsid w:val="6AD549E2"/>
    <w:rsid w:val="6AD80402"/>
    <w:rsid w:val="6ADB4CBB"/>
    <w:rsid w:val="6AE12794"/>
    <w:rsid w:val="6AE1B20E"/>
    <w:rsid w:val="6AE2F05A"/>
    <w:rsid w:val="6AE36B09"/>
    <w:rsid w:val="6AE4C422"/>
    <w:rsid w:val="6AE4FA6B"/>
    <w:rsid w:val="6AE7F095"/>
    <w:rsid w:val="6AE9EE7C"/>
    <w:rsid w:val="6AEF84F3"/>
    <w:rsid w:val="6AEFFCED"/>
    <w:rsid w:val="6AF54771"/>
    <w:rsid w:val="6AF564C8"/>
    <w:rsid w:val="6AF66CF2"/>
    <w:rsid w:val="6AF71B49"/>
    <w:rsid w:val="6AFF3F40"/>
    <w:rsid w:val="6AFF55C7"/>
    <w:rsid w:val="6B0367CD"/>
    <w:rsid w:val="6B03E789"/>
    <w:rsid w:val="6B055FAF"/>
    <w:rsid w:val="6B0A3A1D"/>
    <w:rsid w:val="6B0BC10B"/>
    <w:rsid w:val="6B0E7E24"/>
    <w:rsid w:val="6B0F493A"/>
    <w:rsid w:val="6B101531"/>
    <w:rsid w:val="6B107978"/>
    <w:rsid w:val="6B15CF61"/>
    <w:rsid w:val="6B1747A2"/>
    <w:rsid w:val="6B1C4094"/>
    <w:rsid w:val="6B2497B7"/>
    <w:rsid w:val="6B26FAA7"/>
    <w:rsid w:val="6B27DDB2"/>
    <w:rsid w:val="6B28DAEE"/>
    <w:rsid w:val="6B2A3354"/>
    <w:rsid w:val="6B2BFAF5"/>
    <w:rsid w:val="6B2C2DEC"/>
    <w:rsid w:val="6B3807B5"/>
    <w:rsid w:val="6B3AD79A"/>
    <w:rsid w:val="6B3AE369"/>
    <w:rsid w:val="6B3AFA4F"/>
    <w:rsid w:val="6B3C9A07"/>
    <w:rsid w:val="6B3D3E1A"/>
    <w:rsid w:val="6B3E88ED"/>
    <w:rsid w:val="6B3F810E"/>
    <w:rsid w:val="6B417914"/>
    <w:rsid w:val="6B431DEA"/>
    <w:rsid w:val="6B480576"/>
    <w:rsid w:val="6B4B2404"/>
    <w:rsid w:val="6B4EBCF4"/>
    <w:rsid w:val="6B506E76"/>
    <w:rsid w:val="6B50A32F"/>
    <w:rsid w:val="6B54351A"/>
    <w:rsid w:val="6B566BFB"/>
    <w:rsid w:val="6B5DC367"/>
    <w:rsid w:val="6B5E9397"/>
    <w:rsid w:val="6B5ED6DA"/>
    <w:rsid w:val="6B674B90"/>
    <w:rsid w:val="6B6A0423"/>
    <w:rsid w:val="6B714B4F"/>
    <w:rsid w:val="6B71508F"/>
    <w:rsid w:val="6B75BF65"/>
    <w:rsid w:val="6B75F301"/>
    <w:rsid w:val="6B771CD7"/>
    <w:rsid w:val="6B7AE015"/>
    <w:rsid w:val="6B7AF8C0"/>
    <w:rsid w:val="6B7B50AB"/>
    <w:rsid w:val="6B7F9429"/>
    <w:rsid w:val="6B8077F1"/>
    <w:rsid w:val="6B80C1E3"/>
    <w:rsid w:val="6B872FE1"/>
    <w:rsid w:val="6B89E1BE"/>
    <w:rsid w:val="6B8C1BC5"/>
    <w:rsid w:val="6B8E1FFA"/>
    <w:rsid w:val="6B921BEE"/>
    <w:rsid w:val="6B923EC7"/>
    <w:rsid w:val="6B947C52"/>
    <w:rsid w:val="6B9A24D9"/>
    <w:rsid w:val="6B9C80F6"/>
    <w:rsid w:val="6B9CB4F8"/>
    <w:rsid w:val="6B9D4E1A"/>
    <w:rsid w:val="6B9EB818"/>
    <w:rsid w:val="6BA0DA76"/>
    <w:rsid w:val="6BA1790F"/>
    <w:rsid w:val="6BA539BD"/>
    <w:rsid w:val="6BAD9D50"/>
    <w:rsid w:val="6BAE4797"/>
    <w:rsid w:val="6BAE5594"/>
    <w:rsid w:val="6BAEF4C1"/>
    <w:rsid w:val="6BAFDEB4"/>
    <w:rsid w:val="6BB3A805"/>
    <w:rsid w:val="6BB42725"/>
    <w:rsid w:val="6BB5180E"/>
    <w:rsid w:val="6BB6F43B"/>
    <w:rsid w:val="6BB6F9DD"/>
    <w:rsid w:val="6BBA0BB0"/>
    <w:rsid w:val="6BBA75B1"/>
    <w:rsid w:val="6BBBEA14"/>
    <w:rsid w:val="6BBDA5D7"/>
    <w:rsid w:val="6BC0F9FB"/>
    <w:rsid w:val="6BC30BDB"/>
    <w:rsid w:val="6BC6434F"/>
    <w:rsid w:val="6BC69A3B"/>
    <w:rsid w:val="6BC71514"/>
    <w:rsid w:val="6BD01133"/>
    <w:rsid w:val="6BD27883"/>
    <w:rsid w:val="6BD5B953"/>
    <w:rsid w:val="6BD8C369"/>
    <w:rsid w:val="6BDA28AF"/>
    <w:rsid w:val="6BDB1FD3"/>
    <w:rsid w:val="6BDDACB4"/>
    <w:rsid w:val="6BDDAE32"/>
    <w:rsid w:val="6BDE7DA7"/>
    <w:rsid w:val="6BDF5D13"/>
    <w:rsid w:val="6BE18317"/>
    <w:rsid w:val="6BE3923C"/>
    <w:rsid w:val="6BEB1F10"/>
    <w:rsid w:val="6BF183E3"/>
    <w:rsid w:val="6BF22659"/>
    <w:rsid w:val="6BF46E59"/>
    <w:rsid w:val="6BF5048F"/>
    <w:rsid w:val="6BF6CA4B"/>
    <w:rsid w:val="6BF83DE2"/>
    <w:rsid w:val="6BFAAEF1"/>
    <w:rsid w:val="6BFE71C7"/>
    <w:rsid w:val="6BFF39CF"/>
    <w:rsid w:val="6C0058D3"/>
    <w:rsid w:val="6C01B5AD"/>
    <w:rsid w:val="6C03BFF2"/>
    <w:rsid w:val="6C05DE0F"/>
    <w:rsid w:val="6C07D16F"/>
    <w:rsid w:val="6C0BF90A"/>
    <w:rsid w:val="6C0D4F2D"/>
    <w:rsid w:val="6C0DDD2C"/>
    <w:rsid w:val="6C0F1B65"/>
    <w:rsid w:val="6C149AD5"/>
    <w:rsid w:val="6C158132"/>
    <w:rsid w:val="6C184736"/>
    <w:rsid w:val="6C1F8165"/>
    <w:rsid w:val="6C1FEB2A"/>
    <w:rsid w:val="6C204230"/>
    <w:rsid w:val="6C255266"/>
    <w:rsid w:val="6C2720D4"/>
    <w:rsid w:val="6C28DC95"/>
    <w:rsid w:val="6C2911D5"/>
    <w:rsid w:val="6C2C32D2"/>
    <w:rsid w:val="6C359E8F"/>
    <w:rsid w:val="6C38C5A2"/>
    <w:rsid w:val="6C3C3296"/>
    <w:rsid w:val="6C3C49DE"/>
    <w:rsid w:val="6C3D3BB9"/>
    <w:rsid w:val="6C40DA23"/>
    <w:rsid w:val="6C4335EF"/>
    <w:rsid w:val="6C453155"/>
    <w:rsid w:val="6C464A57"/>
    <w:rsid w:val="6C482690"/>
    <w:rsid w:val="6C48CF4D"/>
    <w:rsid w:val="6C4DF6E6"/>
    <w:rsid w:val="6C4F1F77"/>
    <w:rsid w:val="6C4F8F92"/>
    <w:rsid w:val="6C4FE06E"/>
    <w:rsid w:val="6C5757F9"/>
    <w:rsid w:val="6C596121"/>
    <w:rsid w:val="6C5C38B8"/>
    <w:rsid w:val="6C5DDDB0"/>
    <w:rsid w:val="6C5E5A24"/>
    <w:rsid w:val="6C5F0DF8"/>
    <w:rsid w:val="6C6498E8"/>
    <w:rsid w:val="6C64BB22"/>
    <w:rsid w:val="6C6531E7"/>
    <w:rsid w:val="6C67A0B3"/>
    <w:rsid w:val="6C67B6A7"/>
    <w:rsid w:val="6C6E6DD9"/>
    <w:rsid w:val="6C711544"/>
    <w:rsid w:val="6C71B473"/>
    <w:rsid w:val="6C739E48"/>
    <w:rsid w:val="6C797A9C"/>
    <w:rsid w:val="6C808ADB"/>
    <w:rsid w:val="6C80B82A"/>
    <w:rsid w:val="6C81B41E"/>
    <w:rsid w:val="6C835651"/>
    <w:rsid w:val="6C858B6B"/>
    <w:rsid w:val="6C8980EC"/>
    <w:rsid w:val="6C8E0627"/>
    <w:rsid w:val="6C8E4C35"/>
    <w:rsid w:val="6C909FDF"/>
    <w:rsid w:val="6C93C42D"/>
    <w:rsid w:val="6C951A7B"/>
    <w:rsid w:val="6C96147B"/>
    <w:rsid w:val="6C96B74E"/>
    <w:rsid w:val="6C994E1D"/>
    <w:rsid w:val="6C9A6DDF"/>
    <w:rsid w:val="6C9AD97D"/>
    <w:rsid w:val="6C9BDE6E"/>
    <w:rsid w:val="6C9E2BFA"/>
    <w:rsid w:val="6C9EAEFC"/>
    <w:rsid w:val="6C9F5225"/>
    <w:rsid w:val="6CA306C1"/>
    <w:rsid w:val="6CA40C90"/>
    <w:rsid w:val="6CA43D45"/>
    <w:rsid w:val="6CA4447B"/>
    <w:rsid w:val="6CA4C934"/>
    <w:rsid w:val="6CA62195"/>
    <w:rsid w:val="6CA6AA34"/>
    <w:rsid w:val="6CAC802F"/>
    <w:rsid w:val="6CAFA8DC"/>
    <w:rsid w:val="6CB12C54"/>
    <w:rsid w:val="6CB36F62"/>
    <w:rsid w:val="6CC16854"/>
    <w:rsid w:val="6CC21B48"/>
    <w:rsid w:val="6CCC4EDF"/>
    <w:rsid w:val="6CCCA5B4"/>
    <w:rsid w:val="6CCDCD36"/>
    <w:rsid w:val="6CCE4753"/>
    <w:rsid w:val="6CCE61D8"/>
    <w:rsid w:val="6CCFD85C"/>
    <w:rsid w:val="6CD0020E"/>
    <w:rsid w:val="6CD085EC"/>
    <w:rsid w:val="6CD349BD"/>
    <w:rsid w:val="6CD35AD2"/>
    <w:rsid w:val="6CD6E1B5"/>
    <w:rsid w:val="6CD6FB70"/>
    <w:rsid w:val="6CD75836"/>
    <w:rsid w:val="6CD8FDE3"/>
    <w:rsid w:val="6CDB0BED"/>
    <w:rsid w:val="6CDC77FB"/>
    <w:rsid w:val="6CDECB07"/>
    <w:rsid w:val="6CDF5573"/>
    <w:rsid w:val="6CE02FBF"/>
    <w:rsid w:val="6CE294F4"/>
    <w:rsid w:val="6CE47A7B"/>
    <w:rsid w:val="6CE8930D"/>
    <w:rsid w:val="6CE8ADAE"/>
    <w:rsid w:val="6CEACE65"/>
    <w:rsid w:val="6CECF565"/>
    <w:rsid w:val="6CEF096D"/>
    <w:rsid w:val="6CF07417"/>
    <w:rsid w:val="6CF13074"/>
    <w:rsid w:val="6CF4124B"/>
    <w:rsid w:val="6CF6C325"/>
    <w:rsid w:val="6CF92CE8"/>
    <w:rsid w:val="6CF991B8"/>
    <w:rsid w:val="6CFB6090"/>
    <w:rsid w:val="6CFF5B2C"/>
    <w:rsid w:val="6D026BE3"/>
    <w:rsid w:val="6D0296D2"/>
    <w:rsid w:val="6D03C659"/>
    <w:rsid w:val="6D04380A"/>
    <w:rsid w:val="6D05A06B"/>
    <w:rsid w:val="6D0874E7"/>
    <w:rsid w:val="6D0BA568"/>
    <w:rsid w:val="6D0F4C87"/>
    <w:rsid w:val="6D11CBDD"/>
    <w:rsid w:val="6D152924"/>
    <w:rsid w:val="6D15FA4D"/>
    <w:rsid w:val="6D1BB276"/>
    <w:rsid w:val="6D1C58B0"/>
    <w:rsid w:val="6D1CE55C"/>
    <w:rsid w:val="6D211D33"/>
    <w:rsid w:val="6D234F25"/>
    <w:rsid w:val="6D251E7F"/>
    <w:rsid w:val="6D254A0B"/>
    <w:rsid w:val="6D259827"/>
    <w:rsid w:val="6D298944"/>
    <w:rsid w:val="6D2A0815"/>
    <w:rsid w:val="6D2A8EDE"/>
    <w:rsid w:val="6D2AD20D"/>
    <w:rsid w:val="6D2B1CB1"/>
    <w:rsid w:val="6D303FC7"/>
    <w:rsid w:val="6D33CEDF"/>
    <w:rsid w:val="6D39AE5D"/>
    <w:rsid w:val="6D39C4E6"/>
    <w:rsid w:val="6D3C74BC"/>
    <w:rsid w:val="6D3D06B1"/>
    <w:rsid w:val="6D3DDFA2"/>
    <w:rsid w:val="6D3E4ED3"/>
    <w:rsid w:val="6D3F98F7"/>
    <w:rsid w:val="6D437F29"/>
    <w:rsid w:val="6D4383A1"/>
    <w:rsid w:val="6D455757"/>
    <w:rsid w:val="6D470D4C"/>
    <w:rsid w:val="6D477568"/>
    <w:rsid w:val="6D4A0AC5"/>
    <w:rsid w:val="6D4A18A2"/>
    <w:rsid w:val="6D4B0FBE"/>
    <w:rsid w:val="6D508E9F"/>
    <w:rsid w:val="6D5476F1"/>
    <w:rsid w:val="6D5626C7"/>
    <w:rsid w:val="6D5AA3DE"/>
    <w:rsid w:val="6D5CE6C1"/>
    <w:rsid w:val="6D60DD04"/>
    <w:rsid w:val="6D60F25F"/>
    <w:rsid w:val="6D613326"/>
    <w:rsid w:val="6D63C0DC"/>
    <w:rsid w:val="6D656FE7"/>
    <w:rsid w:val="6D68E6A5"/>
    <w:rsid w:val="6D69E4B8"/>
    <w:rsid w:val="6D728652"/>
    <w:rsid w:val="6D73F76B"/>
    <w:rsid w:val="6D742265"/>
    <w:rsid w:val="6D7DA6AB"/>
    <w:rsid w:val="6D808BD4"/>
    <w:rsid w:val="6D87D431"/>
    <w:rsid w:val="6D8A85DA"/>
    <w:rsid w:val="6D934D0C"/>
    <w:rsid w:val="6D942EB2"/>
    <w:rsid w:val="6D99C94E"/>
    <w:rsid w:val="6D9CA50F"/>
    <w:rsid w:val="6D9D6466"/>
    <w:rsid w:val="6DA0599D"/>
    <w:rsid w:val="6DA08211"/>
    <w:rsid w:val="6DA385C9"/>
    <w:rsid w:val="6DA3AA31"/>
    <w:rsid w:val="6DA46C13"/>
    <w:rsid w:val="6DA502B5"/>
    <w:rsid w:val="6DA7CCCF"/>
    <w:rsid w:val="6DAA4CC9"/>
    <w:rsid w:val="6DAC58E7"/>
    <w:rsid w:val="6DB8AFDF"/>
    <w:rsid w:val="6DB99756"/>
    <w:rsid w:val="6DBB16B2"/>
    <w:rsid w:val="6DBB43AE"/>
    <w:rsid w:val="6DBC74C3"/>
    <w:rsid w:val="6DBD10B5"/>
    <w:rsid w:val="6DBFB958"/>
    <w:rsid w:val="6DC03BCD"/>
    <w:rsid w:val="6DC2F135"/>
    <w:rsid w:val="6DC3B226"/>
    <w:rsid w:val="6DC652C8"/>
    <w:rsid w:val="6DD2C5F6"/>
    <w:rsid w:val="6DD3422F"/>
    <w:rsid w:val="6DD3AE1D"/>
    <w:rsid w:val="6DD3E759"/>
    <w:rsid w:val="6DD66ABF"/>
    <w:rsid w:val="6DD66D89"/>
    <w:rsid w:val="6DD928B9"/>
    <w:rsid w:val="6DDCA536"/>
    <w:rsid w:val="6DDEB07F"/>
    <w:rsid w:val="6DE10435"/>
    <w:rsid w:val="6DE1349F"/>
    <w:rsid w:val="6DE5EF8B"/>
    <w:rsid w:val="6DE67645"/>
    <w:rsid w:val="6DE915D9"/>
    <w:rsid w:val="6DEE68E4"/>
    <w:rsid w:val="6DEFC53C"/>
    <w:rsid w:val="6DF14408"/>
    <w:rsid w:val="6DF1FECC"/>
    <w:rsid w:val="6DF31B7B"/>
    <w:rsid w:val="6DF3D429"/>
    <w:rsid w:val="6DF64345"/>
    <w:rsid w:val="6DF739D8"/>
    <w:rsid w:val="6DF91D1B"/>
    <w:rsid w:val="6DFB8971"/>
    <w:rsid w:val="6DFD96B6"/>
    <w:rsid w:val="6DFED8EC"/>
    <w:rsid w:val="6DFF1330"/>
    <w:rsid w:val="6DFFF9A9"/>
    <w:rsid w:val="6E020B95"/>
    <w:rsid w:val="6E0C1173"/>
    <w:rsid w:val="6E0C901F"/>
    <w:rsid w:val="6E0D542F"/>
    <w:rsid w:val="6E0D9C08"/>
    <w:rsid w:val="6E0E9691"/>
    <w:rsid w:val="6E0F6EF9"/>
    <w:rsid w:val="6E0FC9BC"/>
    <w:rsid w:val="6E135795"/>
    <w:rsid w:val="6E167F4D"/>
    <w:rsid w:val="6E185F0D"/>
    <w:rsid w:val="6E1A3ADD"/>
    <w:rsid w:val="6E1ADBF5"/>
    <w:rsid w:val="6E201C13"/>
    <w:rsid w:val="6E259BB3"/>
    <w:rsid w:val="6E29987B"/>
    <w:rsid w:val="6E3167D2"/>
    <w:rsid w:val="6E33564E"/>
    <w:rsid w:val="6E354A5A"/>
    <w:rsid w:val="6E3657BB"/>
    <w:rsid w:val="6E36DC8C"/>
    <w:rsid w:val="6E36E544"/>
    <w:rsid w:val="6E36F562"/>
    <w:rsid w:val="6E381B3E"/>
    <w:rsid w:val="6E3BC312"/>
    <w:rsid w:val="6E3C0B12"/>
    <w:rsid w:val="6E3C55D8"/>
    <w:rsid w:val="6E4112AF"/>
    <w:rsid w:val="6E411EC5"/>
    <w:rsid w:val="6E46C380"/>
    <w:rsid w:val="6E493AB8"/>
    <w:rsid w:val="6E495943"/>
    <w:rsid w:val="6E4AC8F2"/>
    <w:rsid w:val="6E4B3CBD"/>
    <w:rsid w:val="6E4D757B"/>
    <w:rsid w:val="6E4F7ADF"/>
    <w:rsid w:val="6E510353"/>
    <w:rsid w:val="6E52652E"/>
    <w:rsid w:val="6E536EEA"/>
    <w:rsid w:val="6E5BB1DF"/>
    <w:rsid w:val="6E5EA343"/>
    <w:rsid w:val="6E5EFC29"/>
    <w:rsid w:val="6E5F2D5F"/>
    <w:rsid w:val="6E6421A7"/>
    <w:rsid w:val="6E65DDAD"/>
    <w:rsid w:val="6E693CDF"/>
    <w:rsid w:val="6E6BC84A"/>
    <w:rsid w:val="6E70FFC8"/>
    <w:rsid w:val="6E73D267"/>
    <w:rsid w:val="6E75D999"/>
    <w:rsid w:val="6E787082"/>
    <w:rsid w:val="6E78CBF5"/>
    <w:rsid w:val="6E793D58"/>
    <w:rsid w:val="6E7C950F"/>
    <w:rsid w:val="6E7D75AE"/>
    <w:rsid w:val="6E85057E"/>
    <w:rsid w:val="6E8610E7"/>
    <w:rsid w:val="6E89A69B"/>
    <w:rsid w:val="6E8ADBF9"/>
    <w:rsid w:val="6E8F5484"/>
    <w:rsid w:val="6E978AF3"/>
    <w:rsid w:val="6E982220"/>
    <w:rsid w:val="6EA04DB0"/>
    <w:rsid w:val="6EA09411"/>
    <w:rsid w:val="6EA1CBB0"/>
    <w:rsid w:val="6EA2C502"/>
    <w:rsid w:val="6EA2F451"/>
    <w:rsid w:val="6EA49617"/>
    <w:rsid w:val="6EA7CA5D"/>
    <w:rsid w:val="6EA97B2D"/>
    <w:rsid w:val="6EAA5951"/>
    <w:rsid w:val="6EAB9976"/>
    <w:rsid w:val="6EAC1033"/>
    <w:rsid w:val="6EAC880C"/>
    <w:rsid w:val="6EACEF89"/>
    <w:rsid w:val="6EAFC6FF"/>
    <w:rsid w:val="6EB4D2FD"/>
    <w:rsid w:val="6EB83573"/>
    <w:rsid w:val="6EBD88EB"/>
    <w:rsid w:val="6EC237AF"/>
    <w:rsid w:val="6EC3FD18"/>
    <w:rsid w:val="6EC4BA08"/>
    <w:rsid w:val="6EC686CE"/>
    <w:rsid w:val="6EC6FBE3"/>
    <w:rsid w:val="6ECBCA58"/>
    <w:rsid w:val="6ED0A987"/>
    <w:rsid w:val="6ED24CB8"/>
    <w:rsid w:val="6ED2B744"/>
    <w:rsid w:val="6ED5B259"/>
    <w:rsid w:val="6ED6CC03"/>
    <w:rsid w:val="6ED76113"/>
    <w:rsid w:val="6EDA5870"/>
    <w:rsid w:val="6EE0CD78"/>
    <w:rsid w:val="6EE48051"/>
    <w:rsid w:val="6EEDA104"/>
    <w:rsid w:val="6EEED59B"/>
    <w:rsid w:val="6EF1B3E2"/>
    <w:rsid w:val="6EF21799"/>
    <w:rsid w:val="6EF4A0A2"/>
    <w:rsid w:val="6EF9BB95"/>
    <w:rsid w:val="6EFB1572"/>
    <w:rsid w:val="6F00B040"/>
    <w:rsid w:val="6F023FBD"/>
    <w:rsid w:val="6F02C6B4"/>
    <w:rsid w:val="6F02D1A9"/>
    <w:rsid w:val="6F0414B1"/>
    <w:rsid w:val="6F0420CD"/>
    <w:rsid w:val="6F088D69"/>
    <w:rsid w:val="6F098B4D"/>
    <w:rsid w:val="6F0DCF3B"/>
    <w:rsid w:val="6F0F2D0D"/>
    <w:rsid w:val="6F0F4CFE"/>
    <w:rsid w:val="6F10149D"/>
    <w:rsid w:val="6F101712"/>
    <w:rsid w:val="6F104E70"/>
    <w:rsid w:val="6F11DDA9"/>
    <w:rsid w:val="6F13F281"/>
    <w:rsid w:val="6F16FE83"/>
    <w:rsid w:val="6F199079"/>
    <w:rsid w:val="6F19D7A3"/>
    <w:rsid w:val="6F1B8D01"/>
    <w:rsid w:val="6F20310E"/>
    <w:rsid w:val="6F204649"/>
    <w:rsid w:val="6F21B3CB"/>
    <w:rsid w:val="6F236BBA"/>
    <w:rsid w:val="6F24C25F"/>
    <w:rsid w:val="6F280A5E"/>
    <w:rsid w:val="6F2E2784"/>
    <w:rsid w:val="6F31A2A9"/>
    <w:rsid w:val="6F31EF46"/>
    <w:rsid w:val="6F31FA20"/>
    <w:rsid w:val="6F374CA3"/>
    <w:rsid w:val="6F41E1E2"/>
    <w:rsid w:val="6F442B8C"/>
    <w:rsid w:val="6F472D3E"/>
    <w:rsid w:val="6F48AE04"/>
    <w:rsid w:val="6F49F3F8"/>
    <w:rsid w:val="6F4B4780"/>
    <w:rsid w:val="6F4B77D3"/>
    <w:rsid w:val="6F4CB26D"/>
    <w:rsid w:val="6F4DF38E"/>
    <w:rsid w:val="6F5205AC"/>
    <w:rsid w:val="6F527264"/>
    <w:rsid w:val="6F558B98"/>
    <w:rsid w:val="6F561A67"/>
    <w:rsid w:val="6F5635EC"/>
    <w:rsid w:val="6F56B17A"/>
    <w:rsid w:val="6F58E208"/>
    <w:rsid w:val="6F59ED8F"/>
    <w:rsid w:val="6F5D2D9D"/>
    <w:rsid w:val="6F61AB15"/>
    <w:rsid w:val="6F623735"/>
    <w:rsid w:val="6F62D1C3"/>
    <w:rsid w:val="6F67927E"/>
    <w:rsid w:val="6F6D9132"/>
    <w:rsid w:val="6F6F327D"/>
    <w:rsid w:val="6F70BBDE"/>
    <w:rsid w:val="6F711F0D"/>
    <w:rsid w:val="6F785708"/>
    <w:rsid w:val="6F78BE5C"/>
    <w:rsid w:val="6F79246A"/>
    <w:rsid w:val="6F794A8A"/>
    <w:rsid w:val="6F79AF75"/>
    <w:rsid w:val="6F7A3484"/>
    <w:rsid w:val="6F7A5395"/>
    <w:rsid w:val="6F7B619F"/>
    <w:rsid w:val="6F7F8115"/>
    <w:rsid w:val="6F81913C"/>
    <w:rsid w:val="6F83BB4B"/>
    <w:rsid w:val="6F858131"/>
    <w:rsid w:val="6F86BA22"/>
    <w:rsid w:val="6F8886D8"/>
    <w:rsid w:val="6F89C837"/>
    <w:rsid w:val="6F8AC765"/>
    <w:rsid w:val="6F8BBF47"/>
    <w:rsid w:val="6F8C1F25"/>
    <w:rsid w:val="6F8CF50A"/>
    <w:rsid w:val="6F931C26"/>
    <w:rsid w:val="6F93E8C6"/>
    <w:rsid w:val="6F954B0C"/>
    <w:rsid w:val="6F959548"/>
    <w:rsid w:val="6F9859F4"/>
    <w:rsid w:val="6F9A531E"/>
    <w:rsid w:val="6F9B4DA2"/>
    <w:rsid w:val="6F9F520E"/>
    <w:rsid w:val="6FA538E5"/>
    <w:rsid w:val="6FA87C12"/>
    <w:rsid w:val="6FA900D7"/>
    <w:rsid w:val="6FA9C429"/>
    <w:rsid w:val="6FAB52E8"/>
    <w:rsid w:val="6FABA328"/>
    <w:rsid w:val="6FACCF51"/>
    <w:rsid w:val="6FB98229"/>
    <w:rsid w:val="6FBCF06C"/>
    <w:rsid w:val="6FBE7979"/>
    <w:rsid w:val="6FBFD45D"/>
    <w:rsid w:val="6FBFE9A6"/>
    <w:rsid w:val="6FC8FAB0"/>
    <w:rsid w:val="6FCCCB88"/>
    <w:rsid w:val="6FCF7D31"/>
    <w:rsid w:val="6FD153FA"/>
    <w:rsid w:val="6FD28A9B"/>
    <w:rsid w:val="6FD7239E"/>
    <w:rsid w:val="6FD7C4C2"/>
    <w:rsid w:val="6FDDAD22"/>
    <w:rsid w:val="6FDE715B"/>
    <w:rsid w:val="6FE94F80"/>
    <w:rsid w:val="6FEB8473"/>
    <w:rsid w:val="6FED388D"/>
    <w:rsid w:val="6FEDA2C7"/>
    <w:rsid w:val="6FEE9F44"/>
    <w:rsid w:val="6FF3077B"/>
    <w:rsid w:val="6FF4A6B1"/>
    <w:rsid w:val="6FF4A6DD"/>
    <w:rsid w:val="6FF881DD"/>
    <w:rsid w:val="6FF987A0"/>
    <w:rsid w:val="6FFB7331"/>
    <w:rsid w:val="6FFC45E9"/>
    <w:rsid w:val="6FFFCCF4"/>
    <w:rsid w:val="7004D680"/>
    <w:rsid w:val="70065EC6"/>
    <w:rsid w:val="7006BCB0"/>
    <w:rsid w:val="7006FCBD"/>
    <w:rsid w:val="70073CB6"/>
    <w:rsid w:val="7007F2BB"/>
    <w:rsid w:val="700AE773"/>
    <w:rsid w:val="700AF31D"/>
    <w:rsid w:val="700B147D"/>
    <w:rsid w:val="700CE343"/>
    <w:rsid w:val="700D5A4D"/>
    <w:rsid w:val="7010B3C0"/>
    <w:rsid w:val="70119760"/>
    <w:rsid w:val="7011B55C"/>
    <w:rsid w:val="701225B4"/>
    <w:rsid w:val="70125EA2"/>
    <w:rsid w:val="70147D64"/>
    <w:rsid w:val="7015BA3C"/>
    <w:rsid w:val="701796AB"/>
    <w:rsid w:val="701D8889"/>
    <w:rsid w:val="7025CF1B"/>
    <w:rsid w:val="7026991C"/>
    <w:rsid w:val="70291782"/>
    <w:rsid w:val="70317CA4"/>
    <w:rsid w:val="70320E32"/>
    <w:rsid w:val="70331BE6"/>
    <w:rsid w:val="70392422"/>
    <w:rsid w:val="703B07BF"/>
    <w:rsid w:val="703E0104"/>
    <w:rsid w:val="7040C7FD"/>
    <w:rsid w:val="7043B606"/>
    <w:rsid w:val="7047A677"/>
    <w:rsid w:val="704893E0"/>
    <w:rsid w:val="704A37E2"/>
    <w:rsid w:val="704FD708"/>
    <w:rsid w:val="705005A8"/>
    <w:rsid w:val="70506EB3"/>
    <w:rsid w:val="7050B25E"/>
    <w:rsid w:val="70537AFD"/>
    <w:rsid w:val="705649C3"/>
    <w:rsid w:val="70568312"/>
    <w:rsid w:val="70577008"/>
    <w:rsid w:val="7057763E"/>
    <w:rsid w:val="7058864F"/>
    <w:rsid w:val="7058DF23"/>
    <w:rsid w:val="70593BF3"/>
    <w:rsid w:val="705E092A"/>
    <w:rsid w:val="705ECDEE"/>
    <w:rsid w:val="705F6E76"/>
    <w:rsid w:val="70612EDC"/>
    <w:rsid w:val="7067736C"/>
    <w:rsid w:val="706925D3"/>
    <w:rsid w:val="70702A9D"/>
    <w:rsid w:val="707166EF"/>
    <w:rsid w:val="7074ECFE"/>
    <w:rsid w:val="70790877"/>
    <w:rsid w:val="707ACB74"/>
    <w:rsid w:val="70800588"/>
    <w:rsid w:val="7088BA01"/>
    <w:rsid w:val="7088EEEB"/>
    <w:rsid w:val="70892766"/>
    <w:rsid w:val="708C9E25"/>
    <w:rsid w:val="709319AF"/>
    <w:rsid w:val="70932E02"/>
    <w:rsid w:val="7094EFD6"/>
    <w:rsid w:val="7095E942"/>
    <w:rsid w:val="70961E30"/>
    <w:rsid w:val="709876B2"/>
    <w:rsid w:val="7099353E"/>
    <w:rsid w:val="709AE752"/>
    <w:rsid w:val="709E3370"/>
    <w:rsid w:val="709FFF9A"/>
    <w:rsid w:val="70A02AE7"/>
    <w:rsid w:val="70A08A4A"/>
    <w:rsid w:val="70A4573F"/>
    <w:rsid w:val="70A6CB63"/>
    <w:rsid w:val="70A72A8D"/>
    <w:rsid w:val="70AE8A1E"/>
    <w:rsid w:val="70B92E8D"/>
    <w:rsid w:val="70B9E34F"/>
    <w:rsid w:val="70BA0B81"/>
    <w:rsid w:val="70BA71FA"/>
    <w:rsid w:val="70BDD5A6"/>
    <w:rsid w:val="70BE61AF"/>
    <w:rsid w:val="70BFCF47"/>
    <w:rsid w:val="70C6F6D6"/>
    <w:rsid w:val="70C774D0"/>
    <w:rsid w:val="70CA0097"/>
    <w:rsid w:val="70CB4FF3"/>
    <w:rsid w:val="70CD43BA"/>
    <w:rsid w:val="70CF6668"/>
    <w:rsid w:val="70D716B1"/>
    <w:rsid w:val="70DC395F"/>
    <w:rsid w:val="70E1C327"/>
    <w:rsid w:val="70E36231"/>
    <w:rsid w:val="70E4085E"/>
    <w:rsid w:val="70F1F5CA"/>
    <w:rsid w:val="70F6EE8A"/>
    <w:rsid w:val="70F876B7"/>
    <w:rsid w:val="70F9CDA9"/>
    <w:rsid w:val="70FBFACE"/>
    <w:rsid w:val="70FC10D4"/>
    <w:rsid w:val="7102B599"/>
    <w:rsid w:val="7105A00D"/>
    <w:rsid w:val="71064EB8"/>
    <w:rsid w:val="710772A8"/>
    <w:rsid w:val="7107FE58"/>
    <w:rsid w:val="71092255"/>
    <w:rsid w:val="71092264"/>
    <w:rsid w:val="710D17FD"/>
    <w:rsid w:val="710E7460"/>
    <w:rsid w:val="7112217E"/>
    <w:rsid w:val="7112743E"/>
    <w:rsid w:val="7113E34F"/>
    <w:rsid w:val="711656F3"/>
    <w:rsid w:val="7119A8D2"/>
    <w:rsid w:val="711A1107"/>
    <w:rsid w:val="711B9A68"/>
    <w:rsid w:val="711C6155"/>
    <w:rsid w:val="711D44F4"/>
    <w:rsid w:val="711D6634"/>
    <w:rsid w:val="711E08FE"/>
    <w:rsid w:val="712070B2"/>
    <w:rsid w:val="7121B093"/>
    <w:rsid w:val="7121C610"/>
    <w:rsid w:val="7123F5F9"/>
    <w:rsid w:val="712E3D84"/>
    <w:rsid w:val="712F7B0D"/>
    <w:rsid w:val="7136BB37"/>
    <w:rsid w:val="7137C384"/>
    <w:rsid w:val="71387FB9"/>
    <w:rsid w:val="713D513C"/>
    <w:rsid w:val="713D6766"/>
    <w:rsid w:val="713EB9C5"/>
    <w:rsid w:val="713ECD3C"/>
    <w:rsid w:val="7141D472"/>
    <w:rsid w:val="71423C13"/>
    <w:rsid w:val="7145E138"/>
    <w:rsid w:val="714BA628"/>
    <w:rsid w:val="714C3A5E"/>
    <w:rsid w:val="715368BB"/>
    <w:rsid w:val="7154DE1B"/>
    <w:rsid w:val="715B575F"/>
    <w:rsid w:val="715C5539"/>
    <w:rsid w:val="715E270A"/>
    <w:rsid w:val="715EE860"/>
    <w:rsid w:val="71653FC9"/>
    <w:rsid w:val="7169E230"/>
    <w:rsid w:val="716D1C94"/>
    <w:rsid w:val="7171A75A"/>
    <w:rsid w:val="7174785D"/>
    <w:rsid w:val="7174D8D4"/>
    <w:rsid w:val="7177B532"/>
    <w:rsid w:val="717B3153"/>
    <w:rsid w:val="717C8C47"/>
    <w:rsid w:val="717C8D7A"/>
    <w:rsid w:val="717FA84A"/>
    <w:rsid w:val="7183B99B"/>
    <w:rsid w:val="71884860"/>
    <w:rsid w:val="718A3E82"/>
    <w:rsid w:val="718B3F21"/>
    <w:rsid w:val="7191B831"/>
    <w:rsid w:val="7192345F"/>
    <w:rsid w:val="7197AB01"/>
    <w:rsid w:val="719AC408"/>
    <w:rsid w:val="719CDE40"/>
    <w:rsid w:val="719D76FE"/>
    <w:rsid w:val="719DC7B8"/>
    <w:rsid w:val="719E9A67"/>
    <w:rsid w:val="719FEDB1"/>
    <w:rsid w:val="71A0A206"/>
    <w:rsid w:val="71A0E40C"/>
    <w:rsid w:val="71A52B41"/>
    <w:rsid w:val="71A53160"/>
    <w:rsid w:val="71A5E52F"/>
    <w:rsid w:val="71A7EAD5"/>
    <w:rsid w:val="71AC6124"/>
    <w:rsid w:val="71AD7705"/>
    <w:rsid w:val="71AEAB23"/>
    <w:rsid w:val="71B1D625"/>
    <w:rsid w:val="71BB768F"/>
    <w:rsid w:val="71BDA12A"/>
    <w:rsid w:val="71C0CE06"/>
    <w:rsid w:val="71C6DBBA"/>
    <w:rsid w:val="71C75C5F"/>
    <w:rsid w:val="71C7BBE1"/>
    <w:rsid w:val="71C8B451"/>
    <w:rsid w:val="71C91A2E"/>
    <w:rsid w:val="71C9477F"/>
    <w:rsid w:val="71CBD84F"/>
    <w:rsid w:val="71CC8DC5"/>
    <w:rsid w:val="71CC9AFE"/>
    <w:rsid w:val="71CEC22F"/>
    <w:rsid w:val="71CFDD5B"/>
    <w:rsid w:val="71D9C06F"/>
    <w:rsid w:val="71DA7233"/>
    <w:rsid w:val="71DB1FCC"/>
    <w:rsid w:val="71DC3153"/>
    <w:rsid w:val="71DD1DB8"/>
    <w:rsid w:val="71DD7FC2"/>
    <w:rsid w:val="71E07015"/>
    <w:rsid w:val="71E14B5C"/>
    <w:rsid w:val="71E3332A"/>
    <w:rsid w:val="71E5477D"/>
    <w:rsid w:val="71E89243"/>
    <w:rsid w:val="71E9FB65"/>
    <w:rsid w:val="71EAA9F8"/>
    <w:rsid w:val="71ED0DCA"/>
    <w:rsid w:val="71F5BB50"/>
    <w:rsid w:val="71F609D2"/>
    <w:rsid w:val="71F61C22"/>
    <w:rsid w:val="71F652EA"/>
    <w:rsid w:val="71F8B94C"/>
    <w:rsid w:val="71FF4271"/>
    <w:rsid w:val="71FF4BE7"/>
    <w:rsid w:val="72044E08"/>
    <w:rsid w:val="72058E36"/>
    <w:rsid w:val="7207933C"/>
    <w:rsid w:val="7207DDE5"/>
    <w:rsid w:val="7209C978"/>
    <w:rsid w:val="720A48FB"/>
    <w:rsid w:val="7213BEBE"/>
    <w:rsid w:val="72141F35"/>
    <w:rsid w:val="72150C46"/>
    <w:rsid w:val="7215A73F"/>
    <w:rsid w:val="72181F5C"/>
    <w:rsid w:val="722196C2"/>
    <w:rsid w:val="7225D6B7"/>
    <w:rsid w:val="72299E61"/>
    <w:rsid w:val="7229ECA2"/>
    <w:rsid w:val="722A44F0"/>
    <w:rsid w:val="722ACBB1"/>
    <w:rsid w:val="722BFDEB"/>
    <w:rsid w:val="722D358F"/>
    <w:rsid w:val="722FC374"/>
    <w:rsid w:val="7242416D"/>
    <w:rsid w:val="72448A1E"/>
    <w:rsid w:val="72460127"/>
    <w:rsid w:val="7247AC0A"/>
    <w:rsid w:val="72480F3E"/>
    <w:rsid w:val="72485581"/>
    <w:rsid w:val="724945DB"/>
    <w:rsid w:val="72497248"/>
    <w:rsid w:val="7249A42A"/>
    <w:rsid w:val="724BD655"/>
    <w:rsid w:val="724EA0AA"/>
    <w:rsid w:val="72503EF5"/>
    <w:rsid w:val="72510006"/>
    <w:rsid w:val="7253ED91"/>
    <w:rsid w:val="7254A301"/>
    <w:rsid w:val="7256FE5D"/>
    <w:rsid w:val="7259B497"/>
    <w:rsid w:val="725B7112"/>
    <w:rsid w:val="725DF5CD"/>
    <w:rsid w:val="725F6FFE"/>
    <w:rsid w:val="72620EFB"/>
    <w:rsid w:val="7262D714"/>
    <w:rsid w:val="726380DB"/>
    <w:rsid w:val="726C6BAD"/>
    <w:rsid w:val="7270D390"/>
    <w:rsid w:val="727624CE"/>
    <w:rsid w:val="727E6836"/>
    <w:rsid w:val="7286ACEB"/>
    <w:rsid w:val="728A464B"/>
    <w:rsid w:val="728B11E9"/>
    <w:rsid w:val="728CD0B3"/>
    <w:rsid w:val="728D23A8"/>
    <w:rsid w:val="728FDCF7"/>
    <w:rsid w:val="7291203B"/>
    <w:rsid w:val="72912AA3"/>
    <w:rsid w:val="72916FC3"/>
    <w:rsid w:val="7291E4CC"/>
    <w:rsid w:val="72924BCE"/>
    <w:rsid w:val="72957863"/>
    <w:rsid w:val="7297C7BF"/>
    <w:rsid w:val="729DDA05"/>
    <w:rsid w:val="729FAAD1"/>
    <w:rsid w:val="729FB9D1"/>
    <w:rsid w:val="729FBFEB"/>
    <w:rsid w:val="72A06F14"/>
    <w:rsid w:val="72AB14E5"/>
    <w:rsid w:val="72AF447A"/>
    <w:rsid w:val="72B0778F"/>
    <w:rsid w:val="72B429F3"/>
    <w:rsid w:val="72B450EB"/>
    <w:rsid w:val="72B6A30E"/>
    <w:rsid w:val="72B76B42"/>
    <w:rsid w:val="72B79B37"/>
    <w:rsid w:val="72B8A796"/>
    <w:rsid w:val="72B8E6E8"/>
    <w:rsid w:val="72BD5926"/>
    <w:rsid w:val="72BED0F4"/>
    <w:rsid w:val="72C01654"/>
    <w:rsid w:val="72C13F4E"/>
    <w:rsid w:val="72C5692B"/>
    <w:rsid w:val="72C9DBFA"/>
    <w:rsid w:val="72D17AF7"/>
    <w:rsid w:val="72D2ED2A"/>
    <w:rsid w:val="72D32709"/>
    <w:rsid w:val="72D77A79"/>
    <w:rsid w:val="72D80F7F"/>
    <w:rsid w:val="72D98547"/>
    <w:rsid w:val="72DA15A5"/>
    <w:rsid w:val="72DA2CED"/>
    <w:rsid w:val="72DD863A"/>
    <w:rsid w:val="72DF5CE0"/>
    <w:rsid w:val="72E19A81"/>
    <w:rsid w:val="72E365CF"/>
    <w:rsid w:val="72EC2763"/>
    <w:rsid w:val="72EE3E35"/>
    <w:rsid w:val="72F0FE43"/>
    <w:rsid w:val="72F5605C"/>
    <w:rsid w:val="72F8A49D"/>
    <w:rsid w:val="72FCAA77"/>
    <w:rsid w:val="72FE7B58"/>
    <w:rsid w:val="72FEFAE5"/>
    <w:rsid w:val="7300208F"/>
    <w:rsid w:val="730D2DCA"/>
    <w:rsid w:val="730DBBA0"/>
    <w:rsid w:val="730EC226"/>
    <w:rsid w:val="7310E175"/>
    <w:rsid w:val="73119093"/>
    <w:rsid w:val="73148159"/>
    <w:rsid w:val="731831BE"/>
    <w:rsid w:val="731A3FB1"/>
    <w:rsid w:val="731A73E6"/>
    <w:rsid w:val="731C3D1D"/>
    <w:rsid w:val="731DD24C"/>
    <w:rsid w:val="7322BDFB"/>
    <w:rsid w:val="732371E0"/>
    <w:rsid w:val="73241973"/>
    <w:rsid w:val="73244DFA"/>
    <w:rsid w:val="7325E5B4"/>
    <w:rsid w:val="7327B7EB"/>
    <w:rsid w:val="73293EAA"/>
    <w:rsid w:val="732CF852"/>
    <w:rsid w:val="732E4C35"/>
    <w:rsid w:val="732E7DEF"/>
    <w:rsid w:val="7331CFCE"/>
    <w:rsid w:val="73339A04"/>
    <w:rsid w:val="7337932D"/>
    <w:rsid w:val="73415B73"/>
    <w:rsid w:val="73482FA7"/>
    <w:rsid w:val="734A2F9D"/>
    <w:rsid w:val="734C6B92"/>
    <w:rsid w:val="734F7F1E"/>
    <w:rsid w:val="73511BCD"/>
    <w:rsid w:val="73517B2D"/>
    <w:rsid w:val="73518C16"/>
    <w:rsid w:val="73520EE8"/>
    <w:rsid w:val="7352B6AF"/>
    <w:rsid w:val="735BB397"/>
    <w:rsid w:val="735C2AF7"/>
    <w:rsid w:val="735CBD4F"/>
    <w:rsid w:val="73622719"/>
    <w:rsid w:val="73642BEE"/>
    <w:rsid w:val="736A6397"/>
    <w:rsid w:val="736AD601"/>
    <w:rsid w:val="736E3F2A"/>
    <w:rsid w:val="736F7E0D"/>
    <w:rsid w:val="7370E9CE"/>
    <w:rsid w:val="737131F3"/>
    <w:rsid w:val="7373FF42"/>
    <w:rsid w:val="7374807A"/>
    <w:rsid w:val="7376C47F"/>
    <w:rsid w:val="73770C97"/>
    <w:rsid w:val="737D85E0"/>
    <w:rsid w:val="73818C22"/>
    <w:rsid w:val="73848DA8"/>
    <w:rsid w:val="73887E42"/>
    <w:rsid w:val="738BF586"/>
    <w:rsid w:val="738E4A8F"/>
    <w:rsid w:val="738F9FBD"/>
    <w:rsid w:val="73905863"/>
    <w:rsid w:val="739521F1"/>
    <w:rsid w:val="7398D01B"/>
    <w:rsid w:val="73A33A21"/>
    <w:rsid w:val="73A53DD1"/>
    <w:rsid w:val="73A564BD"/>
    <w:rsid w:val="73A9D4E5"/>
    <w:rsid w:val="73AE57EA"/>
    <w:rsid w:val="73AEF59E"/>
    <w:rsid w:val="73AF2EBA"/>
    <w:rsid w:val="73B107C5"/>
    <w:rsid w:val="73B1AD9E"/>
    <w:rsid w:val="73B2BFB3"/>
    <w:rsid w:val="73B6320B"/>
    <w:rsid w:val="73B8770D"/>
    <w:rsid w:val="73BA85F9"/>
    <w:rsid w:val="73BC7439"/>
    <w:rsid w:val="73BE9F00"/>
    <w:rsid w:val="73BFFF70"/>
    <w:rsid w:val="73C03FEC"/>
    <w:rsid w:val="73C2E1B3"/>
    <w:rsid w:val="73C4E36C"/>
    <w:rsid w:val="73C87E8E"/>
    <w:rsid w:val="73C90B68"/>
    <w:rsid w:val="73CB3AD9"/>
    <w:rsid w:val="73CD0DF5"/>
    <w:rsid w:val="73CD4C67"/>
    <w:rsid w:val="73CDBFFF"/>
    <w:rsid w:val="73D0A3F8"/>
    <w:rsid w:val="73D71927"/>
    <w:rsid w:val="73DB0A7D"/>
    <w:rsid w:val="73DD8F7B"/>
    <w:rsid w:val="73DDD70E"/>
    <w:rsid w:val="73E084F8"/>
    <w:rsid w:val="73E291CB"/>
    <w:rsid w:val="73E2A81D"/>
    <w:rsid w:val="73E318B2"/>
    <w:rsid w:val="73E3F7B2"/>
    <w:rsid w:val="73E54754"/>
    <w:rsid w:val="73E54CF0"/>
    <w:rsid w:val="73EA1FFA"/>
    <w:rsid w:val="73EFD489"/>
    <w:rsid w:val="73EFF9C9"/>
    <w:rsid w:val="73F0663D"/>
    <w:rsid w:val="73F2F408"/>
    <w:rsid w:val="73F41856"/>
    <w:rsid w:val="73F5AA25"/>
    <w:rsid w:val="73F82650"/>
    <w:rsid w:val="73FD168C"/>
    <w:rsid w:val="73FF1841"/>
    <w:rsid w:val="73FF1E05"/>
    <w:rsid w:val="74010EA9"/>
    <w:rsid w:val="740176E5"/>
    <w:rsid w:val="74022C58"/>
    <w:rsid w:val="74041817"/>
    <w:rsid w:val="74067657"/>
    <w:rsid w:val="7408359F"/>
    <w:rsid w:val="7408E6C0"/>
    <w:rsid w:val="7408FDD3"/>
    <w:rsid w:val="74092CDA"/>
    <w:rsid w:val="740969F5"/>
    <w:rsid w:val="74099FF3"/>
    <w:rsid w:val="740ABF9A"/>
    <w:rsid w:val="740E5489"/>
    <w:rsid w:val="74137756"/>
    <w:rsid w:val="7414A925"/>
    <w:rsid w:val="741513CB"/>
    <w:rsid w:val="741815C4"/>
    <w:rsid w:val="741D59B9"/>
    <w:rsid w:val="74203CA7"/>
    <w:rsid w:val="74261C64"/>
    <w:rsid w:val="74353EE9"/>
    <w:rsid w:val="74375E4F"/>
    <w:rsid w:val="7438E9E4"/>
    <w:rsid w:val="74395515"/>
    <w:rsid w:val="743D6578"/>
    <w:rsid w:val="743D8158"/>
    <w:rsid w:val="743F1702"/>
    <w:rsid w:val="743FF16E"/>
    <w:rsid w:val="7440AA99"/>
    <w:rsid w:val="7442869D"/>
    <w:rsid w:val="7445C937"/>
    <w:rsid w:val="74460843"/>
    <w:rsid w:val="74494636"/>
    <w:rsid w:val="744B1E5E"/>
    <w:rsid w:val="744E3435"/>
    <w:rsid w:val="744E3F19"/>
    <w:rsid w:val="744F1008"/>
    <w:rsid w:val="74527F3C"/>
    <w:rsid w:val="7458BD4A"/>
    <w:rsid w:val="745A01C8"/>
    <w:rsid w:val="745A6C69"/>
    <w:rsid w:val="745BE524"/>
    <w:rsid w:val="745D6C7D"/>
    <w:rsid w:val="745F8316"/>
    <w:rsid w:val="7467B597"/>
    <w:rsid w:val="7468B0BE"/>
    <w:rsid w:val="746D6BE0"/>
    <w:rsid w:val="746FB3DA"/>
    <w:rsid w:val="74706EDF"/>
    <w:rsid w:val="747124C8"/>
    <w:rsid w:val="7472FAB5"/>
    <w:rsid w:val="747450AE"/>
    <w:rsid w:val="7475C38E"/>
    <w:rsid w:val="747B7362"/>
    <w:rsid w:val="747C534A"/>
    <w:rsid w:val="747CB815"/>
    <w:rsid w:val="747DA98D"/>
    <w:rsid w:val="747FC89B"/>
    <w:rsid w:val="74803733"/>
    <w:rsid w:val="748207BF"/>
    <w:rsid w:val="748855C0"/>
    <w:rsid w:val="748A7972"/>
    <w:rsid w:val="748F4787"/>
    <w:rsid w:val="748F761F"/>
    <w:rsid w:val="7499493A"/>
    <w:rsid w:val="749F1C10"/>
    <w:rsid w:val="74A410F9"/>
    <w:rsid w:val="74A4398A"/>
    <w:rsid w:val="74A47674"/>
    <w:rsid w:val="74A48685"/>
    <w:rsid w:val="74A5002B"/>
    <w:rsid w:val="74A6A6B9"/>
    <w:rsid w:val="74A851CF"/>
    <w:rsid w:val="74A86B2B"/>
    <w:rsid w:val="74A97F20"/>
    <w:rsid w:val="74AB831C"/>
    <w:rsid w:val="74AF3CC5"/>
    <w:rsid w:val="74B4EACD"/>
    <w:rsid w:val="74B6E017"/>
    <w:rsid w:val="74B92C3A"/>
    <w:rsid w:val="74B97B34"/>
    <w:rsid w:val="74BAE442"/>
    <w:rsid w:val="74BCD113"/>
    <w:rsid w:val="74BED3BD"/>
    <w:rsid w:val="74C09F9C"/>
    <w:rsid w:val="74C6A773"/>
    <w:rsid w:val="74C82616"/>
    <w:rsid w:val="74CB1FDE"/>
    <w:rsid w:val="74D28593"/>
    <w:rsid w:val="74D62450"/>
    <w:rsid w:val="74DA9C86"/>
    <w:rsid w:val="74DC8E88"/>
    <w:rsid w:val="74E05701"/>
    <w:rsid w:val="74E2CE52"/>
    <w:rsid w:val="74E74367"/>
    <w:rsid w:val="74EDE898"/>
    <w:rsid w:val="74EE282A"/>
    <w:rsid w:val="74EF73E0"/>
    <w:rsid w:val="74EF8DCB"/>
    <w:rsid w:val="74EFB9B0"/>
    <w:rsid w:val="74F342E9"/>
    <w:rsid w:val="74F429BB"/>
    <w:rsid w:val="74F43094"/>
    <w:rsid w:val="74F5FD8A"/>
    <w:rsid w:val="74F62A74"/>
    <w:rsid w:val="74F9FA66"/>
    <w:rsid w:val="74FB47E2"/>
    <w:rsid w:val="74FC4CE9"/>
    <w:rsid w:val="74FCBFFD"/>
    <w:rsid w:val="74FDB7E2"/>
    <w:rsid w:val="74FE0AFD"/>
    <w:rsid w:val="74FE569C"/>
    <w:rsid w:val="75004F87"/>
    <w:rsid w:val="7502DEFD"/>
    <w:rsid w:val="7504DC1C"/>
    <w:rsid w:val="75057E50"/>
    <w:rsid w:val="750B68B7"/>
    <w:rsid w:val="750BE585"/>
    <w:rsid w:val="750C7A48"/>
    <w:rsid w:val="750F4311"/>
    <w:rsid w:val="7513A58B"/>
    <w:rsid w:val="7513EFEA"/>
    <w:rsid w:val="75142339"/>
    <w:rsid w:val="751ADA02"/>
    <w:rsid w:val="751C2B42"/>
    <w:rsid w:val="751D8FF8"/>
    <w:rsid w:val="75263688"/>
    <w:rsid w:val="75293129"/>
    <w:rsid w:val="752971F9"/>
    <w:rsid w:val="7529B829"/>
    <w:rsid w:val="752D4FA7"/>
    <w:rsid w:val="752F69B8"/>
    <w:rsid w:val="75310205"/>
    <w:rsid w:val="7533F35A"/>
    <w:rsid w:val="753609DD"/>
    <w:rsid w:val="75367F98"/>
    <w:rsid w:val="75370696"/>
    <w:rsid w:val="75376D36"/>
    <w:rsid w:val="753B97B4"/>
    <w:rsid w:val="753E3272"/>
    <w:rsid w:val="75458842"/>
    <w:rsid w:val="754C36AB"/>
    <w:rsid w:val="754C5879"/>
    <w:rsid w:val="7550EB4B"/>
    <w:rsid w:val="75510200"/>
    <w:rsid w:val="75522CBC"/>
    <w:rsid w:val="755402B9"/>
    <w:rsid w:val="7557BF75"/>
    <w:rsid w:val="75589C7A"/>
    <w:rsid w:val="755BF2D6"/>
    <w:rsid w:val="755C037A"/>
    <w:rsid w:val="755D00DF"/>
    <w:rsid w:val="755ED53A"/>
    <w:rsid w:val="755F8A60"/>
    <w:rsid w:val="7561CCAC"/>
    <w:rsid w:val="7562CC5A"/>
    <w:rsid w:val="75630175"/>
    <w:rsid w:val="75652F64"/>
    <w:rsid w:val="7569B572"/>
    <w:rsid w:val="756C650E"/>
    <w:rsid w:val="756E9FA2"/>
    <w:rsid w:val="756FD3A9"/>
    <w:rsid w:val="7570D5AA"/>
    <w:rsid w:val="757273DB"/>
    <w:rsid w:val="757412F9"/>
    <w:rsid w:val="757661D5"/>
    <w:rsid w:val="7577F7E5"/>
    <w:rsid w:val="757BD98C"/>
    <w:rsid w:val="757DACF8"/>
    <w:rsid w:val="7582488D"/>
    <w:rsid w:val="75853463"/>
    <w:rsid w:val="75854251"/>
    <w:rsid w:val="7585E3FC"/>
    <w:rsid w:val="758A1FAE"/>
    <w:rsid w:val="758F974E"/>
    <w:rsid w:val="75922BA7"/>
    <w:rsid w:val="7595B595"/>
    <w:rsid w:val="7597E3A1"/>
    <w:rsid w:val="759C0CC8"/>
    <w:rsid w:val="759E3A03"/>
    <w:rsid w:val="759FC31F"/>
    <w:rsid w:val="75A17B4C"/>
    <w:rsid w:val="75A33C17"/>
    <w:rsid w:val="75A53BAF"/>
    <w:rsid w:val="75A78884"/>
    <w:rsid w:val="75A88345"/>
    <w:rsid w:val="75AF0F63"/>
    <w:rsid w:val="75AF27E2"/>
    <w:rsid w:val="75B389FB"/>
    <w:rsid w:val="75B3C632"/>
    <w:rsid w:val="75B9566A"/>
    <w:rsid w:val="75BB66DA"/>
    <w:rsid w:val="75BF4C20"/>
    <w:rsid w:val="75C24653"/>
    <w:rsid w:val="75C75B8B"/>
    <w:rsid w:val="75C7AD70"/>
    <w:rsid w:val="75CA5D62"/>
    <w:rsid w:val="75CEBC3C"/>
    <w:rsid w:val="75CF8DB1"/>
    <w:rsid w:val="75D5FAF9"/>
    <w:rsid w:val="75D7C2EA"/>
    <w:rsid w:val="75D90981"/>
    <w:rsid w:val="75D9A56A"/>
    <w:rsid w:val="75DEE980"/>
    <w:rsid w:val="75E3EA7C"/>
    <w:rsid w:val="75E51D9A"/>
    <w:rsid w:val="75EBF814"/>
    <w:rsid w:val="75EC7E7A"/>
    <w:rsid w:val="75EEB74C"/>
    <w:rsid w:val="75F1F3AB"/>
    <w:rsid w:val="75F3A9CA"/>
    <w:rsid w:val="75F4A81A"/>
    <w:rsid w:val="75F69196"/>
    <w:rsid w:val="75FA7D7E"/>
    <w:rsid w:val="75FE4BDD"/>
    <w:rsid w:val="76008FEF"/>
    <w:rsid w:val="76036565"/>
    <w:rsid w:val="76051055"/>
    <w:rsid w:val="7605DF8A"/>
    <w:rsid w:val="760AD809"/>
    <w:rsid w:val="760BA338"/>
    <w:rsid w:val="760CA3E6"/>
    <w:rsid w:val="760D39B3"/>
    <w:rsid w:val="760E22DB"/>
    <w:rsid w:val="761117FA"/>
    <w:rsid w:val="76113FA4"/>
    <w:rsid w:val="761383E9"/>
    <w:rsid w:val="7615CEAB"/>
    <w:rsid w:val="7616CB73"/>
    <w:rsid w:val="761E9D6F"/>
    <w:rsid w:val="761F3351"/>
    <w:rsid w:val="761FCE88"/>
    <w:rsid w:val="7620C75A"/>
    <w:rsid w:val="7621F969"/>
    <w:rsid w:val="76284F77"/>
    <w:rsid w:val="762C92EA"/>
    <w:rsid w:val="762F2463"/>
    <w:rsid w:val="762FF6A0"/>
    <w:rsid w:val="76369D9B"/>
    <w:rsid w:val="763711E3"/>
    <w:rsid w:val="76452758"/>
    <w:rsid w:val="7646578E"/>
    <w:rsid w:val="7647FBB9"/>
    <w:rsid w:val="764856D2"/>
    <w:rsid w:val="764A45CD"/>
    <w:rsid w:val="764CF41B"/>
    <w:rsid w:val="764DA592"/>
    <w:rsid w:val="764E9F77"/>
    <w:rsid w:val="764EEE06"/>
    <w:rsid w:val="764F02BF"/>
    <w:rsid w:val="76528219"/>
    <w:rsid w:val="765378B6"/>
    <w:rsid w:val="765575B4"/>
    <w:rsid w:val="7658A819"/>
    <w:rsid w:val="76594345"/>
    <w:rsid w:val="765A1F10"/>
    <w:rsid w:val="765D07FE"/>
    <w:rsid w:val="765D4491"/>
    <w:rsid w:val="7667F0A2"/>
    <w:rsid w:val="7669AE4C"/>
    <w:rsid w:val="766F30F7"/>
    <w:rsid w:val="76710571"/>
    <w:rsid w:val="7673AB4A"/>
    <w:rsid w:val="767765AC"/>
    <w:rsid w:val="76781013"/>
    <w:rsid w:val="767A9C80"/>
    <w:rsid w:val="767D29F5"/>
    <w:rsid w:val="767D84E5"/>
    <w:rsid w:val="767DAAB7"/>
    <w:rsid w:val="767F0EB6"/>
    <w:rsid w:val="768692D7"/>
    <w:rsid w:val="76894683"/>
    <w:rsid w:val="768A51A3"/>
    <w:rsid w:val="768B77CD"/>
    <w:rsid w:val="768C86E1"/>
    <w:rsid w:val="768DFB9F"/>
    <w:rsid w:val="768FDF6A"/>
    <w:rsid w:val="76908BE5"/>
    <w:rsid w:val="76918A45"/>
    <w:rsid w:val="76928984"/>
    <w:rsid w:val="7692B3CE"/>
    <w:rsid w:val="76954F7C"/>
    <w:rsid w:val="76960E6A"/>
    <w:rsid w:val="76967D95"/>
    <w:rsid w:val="7697B3D1"/>
    <w:rsid w:val="7699A67E"/>
    <w:rsid w:val="769A61CB"/>
    <w:rsid w:val="769D5200"/>
    <w:rsid w:val="769D55BB"/>
    <w:rsid w:val="76A3699D"/>
    <w:rsid w:val="76A5AFE7"/>
    <w:rsid w:val="76A8CB69"/>
    <w:rsid w:val="76A9CE0B"/>
    <w:rsid w:val="76ADC744"/>
    <w:rsid w:val="76AEE8A1"/>
    <w:rsid w:val="76AF4DFA"/>
    <w:rsid w:val="76B30695"/>
    <w:rsid w:val="76B4C70E"/>
    <w:rsid w:val="76B964BF"/>
    <w:rsid w:val="76B9D991"/>
    <w:rsid w:val="76BAC05A"/>
    <w:rsid w:val="76BCECD1"/>
    <w:rsid w:val="76BCF984"/>
    <w:rsid w:val="76BD329D"/>
    <w:rsid w:val="76BE9A87"/>
    <w:rsid w:val="76BFB066"/>
    <w:rsid w:val="76C3CC7C"/>
    <w:rsid w:val="76C65ED0"/>
    <w:rsid w:val="76C9F072"/>
    <w:rsid w:val="76CEBE9B"/>
    <w:rsid w:val="76D3D2E7"/>
    <w:rsid w:val="76D528EA"/>
    <w:rsid w:val="76D78E76"/>
    <w:rsid w:val="76D8C994"/>
    <w:rsid w:val="76DAB93A"/>
    <w:rsid w:val="76DB01A8"/>
    <w:rsid w:val="76DC4DC2"/>
    <w:rsid w:val="76DE9846"/>
    <w:rsid w:val="76DF1A5B"/>
    <w:rsid w:val="76E3A2F3"/>
    <w:rsid w:val="76E46F56"/>
    <w:rsid w:val="76E91FC5"/>
    <w:rsid w:val="76E962AD"/>
    <w:rsid w:val="76EA7FE0"/>
    <w:rsid w:val="76F2F2A8"/>
    <w:rsid w:val="76F577CB"/>
    <w:rsid w:val="76F64B71"/>
    <w:rsid w:val="76FA1293"/>
    <w:rsid w:val="76FBF1AB"/>
    <w:rsid w:val="76FBF3E2"/>
    <w:rsid w:val="76FE53B2"/>
    <w:rsid w:val="76FEC1DE"/>
    <w:rsid w:val="76FF4225"/>
    <w:rsid w:val="7701C2C6"/>
    <w:rsid w:val="77058899"/>
    <w:rsid w:val="7706E481"/>
    <w:rsid w:val="7709020E"/>
    <w:rsid w:val="77096567"/>
    <w:rsid w:val="77099A7C"/>
    <w:rsid w:val="770A3CAC"/>
    <w:rsid w:val="770D19C7"/>
    <w:rsid w:val="770EDDF8"/>
    <w:rsid w:val="77100EB4"/>
    <w:rsid w:val="77165628"/>
    <w:rsid w:val="7719889D"/>
    <w:rsid w:val="771B20D4"/>
    <w:rsid w:val="771CC8B8"/>
    <w:rsid w:val="7720CF5C"/>
    <w:rsid w:val="7723B323"/>
    <w:rsid w:val="77245D6A"/>
    <w:rsid w:val="7727DA11"/>
    <w:rsid w:val="7729115D"/>
    <w:rsid w:val="7729F872"/>
    <w:rsid w:val="7733A3A9"/>
    <w:rsid w:val="77360BA2"/>
    <w:rsid w:val="773806C4"/>
    <w:rsid w:val="77391D8E"/>
    <w:rsid w:val="773A66B3"/>
    <w:rsid w:val="773B8B4B"/>
    <w:rsid w:val="773D9CF1"/>
    <w:rsid w:val="773E0F71"/>
    <w:rsid w:val="7740283C"/>
    <w:rsid w:val="774245A8"/>
    <w:rsid w:val="7742B838"/>
    <w:rsid w:val="77431601"/>
    <w:rsid w:val="774327FD"/>
    <w:rsid w:val="774708A4"/>
    <w:rsid w:val="77484D6F"/>
    <w:rsid w:val="7749F2CD"/>
    <w:rsid w:val="7753A3B3"/>
    <w:rsid w:val="775418DC"/>
    <w:rsid w:val="7754C6AF"/>
    <w:rsid w:val="7757B19C"/>
    <w:rsid w:val="77593BD6"/>
    <w:rsid w:val="7766ADD3"/>
    <w:rsid w:val="77683991"/>
    <w:rsid w:val="7769AC58"/>
    <w:rsid w:val="776D0013"/>
    <w:rsid w:val="7771ABA6"/>
    <w:rsid w:val="777202A8"/>
    <w:rsid w:val="7772EAC4"/>
    <w:rsid w:val="7773D355"/>
    <w:rsid w:val="7774994E"/>
    <w:rsid w:val="77793E0F"/>
    <w:rsid w:val="77844AB2"/>
    <w:rsid w:val="7785E3CB"/>
    <w:rsid w:val="778A3E76"/>
    <w:rsid w:val="778C364D"/>
    <w:rsid w:val="778ED176"/>
    <w:rsid w:val="778F2630"/>
    <w:rsid w:val="77920542"/>
    <w:rsid w:val="77933FF3"/>
    <w:rsid w:val="7795881A"/>
    <w:rsid w:val="7796285B"/>
    <w:rsid w:val="7797AD0C"/>
    <w:rsid w:val="779A1D3D"/>
    <w:rsid w:val="779C955D"/>
    <w:rsid w:val="779EE2BA"/>
    <w:rsid w:val="77A00F85"/>
    <w:rsid w:val="77A3C058"/>
    <w:rsid w:val="77A8C650"/>
    <w:rsid w:val="77AAEE3C"/>
    <w:rsid w:val="77AEB9E2"/>
    <w:rsid w:val="77AF93CE"/>
    <w:rsid w:val="77B5821E"/>
    <w:rsid w:val="77B8B517"/>
    <w:rsid w:val="77C11E32"/>
    <w:rsid w:val="77C29368"/>
    <w:rsid w:val="77C34D09"/>
    <w:rsid w:val="77C371CE"/>
    <w:rsid w:val="77C4BD3F"/>
    <w:rsid w:val="77C5253C"/>
    <w:rsid w:val="77C87299"/>
    <w:rsid w:val="77CA422A"/>
    <w:rsid w:val="77CAF78C"/>
    <w:rsid w:val="77CCFC75"/>
    <w:rsid w:val="77DB9991"/>
    <w:rsid w:val="77DE37A7"/>
    <w:rsid w:val="77DE3A20"/>
    <w:rsid w:val="77DED4AD"/>
    <w:rsid w:val="77DF96B8"/>
    <w:rsid w:val="77DFA3B8"/>
    <w:rsid w:val="77E0C92C"/>
    <w:rsid w:val="77E20609"/>
    <w:rsid w:val="77E28A25"/>
    <w:rsid w:val="77E32105"/>
    <w:rsid w:val="77E6B0A7"/>
    <w:rsid w:val="77EA96D7"/>
    <w:rsid w:val="77ECB168"/>
    <w:rsid w:val="77F0F107"/>
    <w:rsid w:val="77F2FC6A"/>
    <w:rsid w:val="77F3005C"/>
    <w:rsid w:val="77F42E0F"/>
    <w:rsid w:val="77F4E876"/>
    <w:rsid w:val="77F82AC4"/>
    <w:rsid w:val="77FAD1CE"/>
    <w:rsid w:val="77FBB65D"/>
    <w:rsid w:val="77FBD331"/>
    <w:rsid w:val="77FE96B2"/>
    <w:rsid w:val="77FF50DA"/>
    <w:rsid w:val="7803AB55"/>
    <w:rsid w:val="780431EA"/>
    <w:rsid w:val="780D5D72"/>
    <w:rsid w:val="780EAC94"/>
    <w:rsid w:val="78109881"/>
    <w:rsid w:val="7816C295"/>
    <w:rsid w:val="781717A2"/>
    <w:rsid w:val="78173F9E"/>
    <w:rsid w:val="78184DAF"/>
    <w:rsid w:val="7818656B"/>
    <w:rsid w:val="781B402D"/>
    <w:rsid w:val="781EB2F7"/>
    <w:rsid w:val="782029F0"/>
    <w:rsid w:val="78207AC7"/>
    <w:rsid w:val="7822C8D6"/>
    <w:rsid w:val="7825E0D6"/>
    <w:rsid w:val="78263579"/>
    <w:rsid w:val="782846CF"/>
    <w:rsid w:val="7831E182"/>
    <w:rsid w:val="7839969F"/>
    <w:rsid w:val="7839F35A"/>
    <w:rsid w:val="783B3043"/>
    <w:rsid w:val="783BB2C8"/>
    <w:rsid w:val="783CA5C4"/>
    <w:rsid w:val="783D934F"/>
    <w:rsid w:val="783E1168"/>
    <w:rsid w:val="78404A7E"/>
    <w:rsid w:val="7852C183"/>
    <w:rsid w:val="785380D3"/>
    <w:rsid w:val="7856F329"/>
    <w:rsid w:val="7858B671"/>
    <w:rsid w:val="78594A42"/>
    <w:rsid w:val="785EABE1"/>
    <w:rsid w:val="785F2F23"/>
    <w:rsid w:val="78627AA0"/>
    <w:rsid w:val="7866644E"/>
    <w:rsid w:val="78699F17"/>
    <w:rsid w:val="786B6EFC"/>
    <w:rsid w:val="786FA7C3"/>
    <w:rsid w:val="7873CD2E"/>
    <w:rsid w:val="7874698D"/>
    <w:rsid w:val="787A1B9F"/>
    <w:rsid w:val="787CAFA5"/>
    <w:rsid w:val="788001CC"/>
    <w:rsid w:val="7881B588"/>
    <w:rsid w:val="788784FA"/>
    <w:rsid w:val="78881C67"/>
    <w:rsid w:val="788AA0A4"/>
    <w:rsid w:val="788C007E"/>
    <w:rsid w:val="788C4446"/>
    <w:rsid w:val="788E0CFE"/>
    <w:rsid w:val="78908FC1"/>
    <w:rsid w:val="7890C924"/>
    <w:rsid w:val="7893FB05"/>
    <w:rsid w:val="789C36B2"/>
    <w:rsid w:val="78A11DD9"/>
    <w:rsid w:val="78A23C14"/>
    <w:rsid w:val="78A93474"/>
    <w:rsid w:val="78AACE28"/>
    <w:rsid w:val="78ACEBF0"/>
    <w:rsid w:val="78B40B79"/>
    <w:rsid w:val="78B93A9B"/>
    <w:rsid w:val="78BAE5DB"/>
    <w:rsid w:val="78BE2502"/>
    <w:rsid w:val="78BE5BC5"/>
    <w:rsid w:val="78BE77F2"/>
    <w:rsid w:val="78BEACEC"/>
    <w:rsid w:val="78C672F0"/>
    <w:rsid w:val="78C6F3B8"/>
    <w:rsid w:val="78C8878B"/>
    <w:rsid w:val="78CCC326"/>
    <w:rsid w:val="78CE1597"/>
    <w:rsid w:val="78CF0286"/>
    <w:rsid w:val="78D31612"/>
    <w:rsid w:val="78D3DFA6"/>
    <w:rsid w:val="78D898C2"/>
    <w:rsid w:val="78D8E148"/>
    <w:rsid w:val="78D945FB"/>
    <w:rsid w:val="78D97DB4"/>
    <w:rsid w:val="78DA8604"/>
    <w:rsid w:val="78DB286B"/>
    <w:rsid w:val="78DBE43D"/>
    <w:rsid w:val="78DC9B7E"/>
    <w:rsid w:val="78DCBAAD"/>
    <w:rsid w:val="78DED771"/>
    <w:rsid w:val="78E1C993"/>
    <w:rsid w:val="78E61C65"/>
    <w:rsid w:val="78E8AB79"/>
    <w:rsid w:val="78ED095A"/>
    <w:rsid w:val="78EDF6F7"/>
    <w:rsid w:val="78EE011F"/>
    <w:rsid w:val="78EFDCA4"/>
    <w:rsid w:val="78EFE2A5"/>
    <w:rsid w:val="78F2F98F"/>
    <w:rsid w:val="78F930C9"/>
    <w:rsid w:val="78FA3969"/>
    <w:rsid w:val="78FEEF3A"/>
    <w:rsid w:val="78FEF4F8"/>
    <w:rsid w:val="7901D068"/>
    <w:rsid w:val="79046AF2"/>
    <w:rsid w:val="7909A9C6"/>
    <w:rsid w:val="790DFC53"/>
    <w:rsid w:val="7914768E"/>
    <w:rsid w:val="79174C97"/>
    <w:rsid w:val="791A8862"/>
    <w:rsid w:val="791AA981"/>
    <w:rsid w:val="791C3028"/>
    <w:rsid w:val="791C8693"/>
    <w:rsid w:val="7921A285"/>
    <w:rsid w:val="79238C29"/>
    <w:rsid w:val="7924842A"/>
    <w:rsid w:val="79252808"/>
    <w:rsid w:val="7925A58B"/>
    <w:rsid w:val="79267532"/>
    <w:rsid w:val="7928DE46"/>
    <w:rsid w:val="79343C2D"/>
    <w:rsid w:val="793C3AE3"/>
    <w:rsid w:val="793CD2E4"/>
    <w:rsid w:val="793CF5F1"/>
    <w:rsid w:val="793D5BA9"/>
    <w:rsid w:val="793E68BA"/>
    <w:rsid w:val="79424B16"/>
    <w:rsid w:val="7944E445"/>
    <w:rsid w:val="79451DF1"/>
    <w:rsid w:val="7946008F"/>
    <w:rsid w:val="794B0A26"/>
    <w:rsid w:val="79518C52"/>
    <w:rsid w:val="79536AEE"/>
    <w:rsid w:val="7954F159"/>
    <w:rsid w:val="79565A09"/>
    <w:rsid w:val="795884B4"/>
    <w:rsid w:val="795DE8F1"/>
    <w:rsid w:val="795E8D57"/>
    <w:rsid w:val="79615640"/>
    <w:rsid w:val="796ABE2C"/>
    <w:rsid w:val="796C7C1D"/>
    <w:rsid w:val="797099BA"/>
    <w:rsid w:val="7971E3AF"/>
    <w:rsid w:val="7974C885"/>
    <w:rsid w:val="7976EE8C"/>
    <w:rsid w:val="7978F74F"/>
    <w:rsid w:val="797A35CE"/>
    <w:rsid w:val="797D7DD5"/>
    <w:rsid w:val="797DC8AD"/>
    <w:rsid w:val="797DD38A"/>
    <w:rsid w:val="797F4BE2"/>
    <w:rsid w:val="79863C17"/>
    <w:rsid w:val="7987A730"/>
    <w:rsid w:val="798D1912"/>
    <w:rsid w:val="798F3083"/>
    <w:rsid w:val="798F7ED5"/>
    <w:rsid w:val="7993AED0"/>
    <w:rsid w:val="799A8887"/>
    <w:rsid w:val="799D0D34"/>
    <w:rsid w:val="799D3C9D"/>
    <w:rsid w:val="79A09E84"/>
    <w:rsid w:val="79A289CA"/>
    <w:rsid w:val="79A88F5C"/>
    <w:rsid w:val="79A9F826"/>
    <w:rsid w:val="79AF0C31"/>
    <w:rsid w:val="79AFE95C"/>
    <w:rsid w:val="79B07DEC"/>
    <w:rsid w:val="79BD89A6"/>
    <w:rsid w:val="79BF73FF"/>
    <w:rsid w:val="79C1AEA8"/>
    <w:rsid w:val="79C38ACB"/>
    <w:rsid w:val="79C48B7F"/>
    <w:rsid w:val="79C5812E"/>
    <w:rsid w:val="79C7909B"/>
    <w:rsid w:val="79C97F5F"/>
    <w:rsid w:val="79C9BAC2"/>
    <w:rsid w:val="79C9E2C4"/>
    <w:rsid w:val="79CAF8CB"/>
    <w:rsid w:val="79CF45C2"/>
    <w:rsid w:val="79D12B16"/>
    <w:rsid w:val="79D34600"/>
    <w:rsid w:val="79D598F1"/>
    <w:rsid w:val="79D6A5E7"/>
    <w:rsid w:val="79D85145"/>
    <w:rsid w:val="79DA4983"/>
    <w:rsid w:val="79DA9FDC"/>
    <w:rsid w:val="79DB5771"/>
    <w:rsid w:val="79DD514B"/>
    <w:rsid w:val="79DF8ECA"/>
    <w:rsid w:val="79E12E3B"/>
    <w:rsid w:val="79E384E4"/>
    <w:rsid w:val="79E3A254"/>
    <w:rsid w:val="79E40CEE"/>
    <w:rsid w:val="79E6FB9D"/>
    <w:rsid w:val="79E7C5E6"/>
    <w:rsid w:val="79E8A36C"/>
    <w:rsid w:val="79E962C3"/>
    <w:rsid w:val="79EAF7AC"/>
    <w:rsid w:val="79EED201"/>
    <w:rsid w:val="79F04C43"/>
    <w:rsid w:val="79F43C16"/>
    <w:rsid w:val="79F59440"/>
    <w:rsid w:val="79FC2117"/>
    <w:rsid w:val="79FD1D8E"/>
    <w:rsid w:val="7A03EBCC"/>
    <w:rsid w:val="7A05C0E4"/>
    <w:rsid w:val="7A087AD6"/>
    <w:rsid w:val="7A0A8356"/>
    <w:rsid w:val="7A0B5C8B"/>
    <w:rsid w:val="7A106CDA"/>
    <w:rsid w:val="7A10DCCA"/>
    <w:rsid w:val="7A10E492"/>
    <w:rsid w:val="7A1BCAAF"/>
    <w:rsid w:val="7A22B2BB"/>
    <w:rsid w:val="7A231FE8"/>
    <w:rsid w:val="7A23FF4B"/>
    <w:rsid w:val="7A258AC2"/>
    <w:rsid w:val="7A25925B"/>
    <w:rsid w:val="7A25D152"/>
    <w:rsid w:val="7A2864F4"/>
    <w:rsid w:val="7A2A541A"/>
    <w:rsid w:val="7A2DB2FA"/>
    <w:rsid w:val="7A358E61"/>
    <w:rsid w:val="7A3C17E8"/>
    <w:rsid w:val="7A3D9F2E"/>
    <w:rsid w:val="7A4097F6"/>
    <w:rsid w:val="7A422591"/>
    <w:rsid w:val="7A44BE1A"/>
    <w:rsid w:val="7A4E52FA"/>
    <w:rsid w:val="7A4EB4E4"/>
    <w:rsid w:val="7A50FFC1"/>
    <w:rsid w:val="7A564BE0"/>
    <w:rsid w:val="7A57063F"/>
    <w:rsid w:val="7A583EF2"/>
    <w:rsid w:val="7A5DBD7B"/>
    <w:rsid w:val="7A5E6AAE"/>
    <w:rsid w:val="7A5EBACC"/>
    <w:rsid w:val="7A61AE9D"/>
    <w:rsid w:val="7A64ED6B"/>
    <w:rsid w:val="7A66D321"/>
    <w:rsid w:val="7A6C39D6"/>
    <w:rsid w:val="7A75D8A6"/>
    <w:rsid w:val="7A771109"/>
    <w:rsid w:val="7A773EC2"/>
    <w:rsid w:val="7A79E0F5"/>
    <w:rsid w:val="7A7FA187"/>
    <w:rsid w:val="7A7FD835"/>
    <w:rsid w:val="7A84F6EC"/>
    <w:rsid w:val="7A88839D"/>
    <w:rsid w:val="7A89B2D3"/>
    <w:rsid w:val="7A8D01ED"/>
    <w:rsid w:val="7A8E8208"/>
    <w:rsid w:val="7A8EA3A7"/>
    <w:rsid w:val="7A92729F"/>
    <w:rsid w:val="7A92C36F"/>
    <w:rsid w:val="7A9455E2"/>
    <w:rsid w:val="7A9A84BD"/>
    <w:rsid w:val="7A9D832A"/>
    <w:rsid w:val="7AA00A02"/>
    <w:rsid w:val="7AA60A8C"/>
    <w:rsid w:val="7AA74B8D"/>
    <w:rsid w:val="7AA99926"/>
    <w:rsid w:val="7AAACA1B"/>
    <w:rsid w:val="7AAADDF2"/>
    <w:rsid w:val="7AB45DC8"/>
    <w:rsid w:val="7AB8D2BF"/>
    <w:rsid w:val="7AB9356E"/>
    <w:rsid w:val="7ABB84A8"/>
    <w:rsid w:val="7ABBC949"/>
    <w:rsid w:val="7ABEDC1A"/>
    <w:rsid w:val="7AC01072"/>
    <w:rsid w:val="7AC01418"/>
    <w:rsid w:val="7AC0C2E6"/>
    <w:rsid w:val="7AC24CD7"/>
    <w:rsid w:val="7AC4E4DC"/>
    <w:rsid w:val="7AC72AC2"/>
    <w:rsid w:val="7ACACFFF"/>
    <w:rsid w:val="7AD4F383"/>
    <w:rsid w:val="7AD5A2D7"/>
    <w:rsid w:val="7AD5D8FA"/>
    <w:rsid w:val="7AD78610"/>
    <w:rsid w:val="7ADA16E6"/>
    <w:rsid w:val="7ADD39B9"/>
    <w:rsid w:val="7AE0DA51"/>
    <w:rsid w:val="7AE14F3D"/>
    <w:rsid w:val="7AE23B3E"/>
    <w:rsid w:val="7AE355DD"/>
    <w:rsid w:val="7AEAFDD4"/>
    <w:rsid w:val="7AF94D7B"/>
    <w:rsid w:val="7AFA5B40"/>
    <w:rsid w:val="7AFA82A7"/>
    <w:rsid w:val="7AFABB3D"/>
    <w:rsid w:val="7AFCDDC4"/>
    <w:rsid w:val="7B02804C"/>
    <w:rsid w:val="7B04F04B"/>
    <w:rsid w:val="7B05ED3B"/>
    <w:rsid w:val="7B05F0D4"/>
    <w:rsid w:val="7B096BB6"/>
    <w:rsid w:val="7B0AA0F0"/>
    <w:rsid w:val="7B0C9AA4"/>
    <w:rsid w:val="7B0CD076"/>
    <w:rsid w:val="7B0FD3D5"/>
    <w:rsid w:val="7B1245F3"/>
    <w:rsid w:val="7B12FC6D"/>
    <w:rsid w:val="7B13F65F"/>
    <w:rsid w:val="7B1406A1"/>
    <w:rsid w:val="7B188F91"/>
    <w:rsid w:val="7B18CC24"/>
    <w:rsid w:val="7B212955"/>
    <w:rsid w:val="7B22590C"/>
    <w:rsid w:val="7B23F3DD"/>
    <w:rsid w:val="7B2666B5"/>
    <w:rsid w:val="7B2C6E9D"/>
    <w:rsid w:val="7B30BC1A"/>
    <w:rsid w:val="7B30D9CE"/>
    <w:rsid w:val="7B3174B7"/>
    <w:rsid w:val="7B364D43"/>
    <w:rsid w:val="7B365000"/>
    <w:rsid w:val="7B36819E"/>
    <w:rsid w:val="7B3698C9"/>
    <w:rsid w:val="7B369F6E"/>
    <w:rsid w:val="7B373EBC"/>
    <w:rsid w:val="7B375279"/>
    <w:rsid w:val="7B3A2712"/>
    <w:rsid w:val="7B3A92C3"/>
    <w:rsid w:val="7B3B7CF4"/>
    <w:rsid w:val="7B3E2EE6"/>
    <w:rsid w:val="7B3EC835"/>
    <w:rsid w:val="7B3F76D0"/>
    <w:rsid w:val="7B3F8BBA"/>
    <w:rsid w:val="7B44D91A"/>
    <w:rsid w:val="7B458100"/>
    <w:rsid w:val="7B471A1F"/>
    <w:rsid w:val="7B489851"/>
    <w:rsid w:val="7B4EFF59"/>
    <w:rsid w:val="7B527D0F"/>
    <w:rsid w:val="7B52CB2E"/>
    <w:rsid w:val="7B530805"/>
    <w:rsid w:val="7B54109F"/>
    <w:rsid w:val="7B58133C"/>
    <w:rsid w:val="7B58E929"/>
    <w:rsid w:val="7B5CEFB5"/>
    <w:rsid w:val="7B5D7F09"/>
    <w:rsid w:val="7B614593"/>
    <w:rsid w:val="7B61F4D8"/>
    <w:rsid w:val="7B620D78"/>
    <w:rsid w:val="7B669990"/>
    <w:rsid w:val="7B68FFEC"/>
    <w:rsid w:val="7B6B17BF"/>
    <w:rsid w:val="7B6B4FB3"/>
    <w:rsid w:val="7B6C643F"/>
    <w:rsid w:val="7B6CCA2E"/>
    <w:rsid w:val="7B6D6DE8"/>
    <w:rsid w:val="7B6DA5B1"/>
    <w:rsid w:val="7B6FD4B4"/>
    <w:rsid w:val="7B709508"/>
    <w:rsid w:val="7B74749F"/>
    <w:rsid w:val="7B785B33"/>
    <w:rsid w:val="7B788A90"/>
    <w:rsid w:val="7B7B3C43"/>
    <w:rsid w:val="7B7DC38B"/>
    <w:rsid w:val="7B7FBB63"/>
    <w:rsid w:val="7B8017B0"/>
    <w:rsid w:val="7B817401"/>
    <w:rsid w:val="7B842D8D"/>
    <w:rsid w:val="7B8A8362"/>
    <w:rsid w:val="7B8B2272"/>
    <w:rsid w:val="7B8CDEB2"/>
    <w:rsid w:val="7B8F25FF"/>
    <w:rsid w:val="7B9371D5"/>
    <w:rsid w:val="7B94E60F"/>
    <w:rsid w:val="7B9733DA"/>
    <w:rsid w:val="7B998400"/>
    <w:rsid w:val="7B9AB534"/>
    <w:rsid w:val="7B9E5DD7"/>
    <w:rsid w:val="7BA16C68"/>
    <w:rsid w:val="7BA286A1"/>
    <w:rsid w:val="7BAA567C"/>
    <w:rsid w:val="7BAA6D74"/>
    <w:rsid w:val="7BADEC53"/>
    <w:rsid w:val="7BAF4C4E"/>
    <w:rsid w:val="7BB4227B"/>
    <w:rsid w:val="7BB4B4D7"/>
    <w:rsid w:val="7BB5B4BB"/>
    <w:rsid w:val="7BC73980"/>
    <w:rsid w:val="7BC78499"/>
    <w:rsid w:val="7BC887A9"/>
    <w:rsid w:val="7BCBA1A7"/>
    <w:rsid w:val="7BCBA249"/>
    <w:rsid w:val="7BCBB222"/>
    <w:rsid w:val="7BD2C836"/>
    <w:rsid w:val="7BD60AB2"/>
    <w:rsid w:val="7BD8348B"/>
    <w:rsid w:val="7BD9CC0F"/>
    <w:rsid w:val="7BDA0804"/>
    <w:rsid w:val="7BDB821C"/>
    <w:rsid w:val="7BDEBDC2"/>
    <w:rsid w:val="7BE0AAB8"/>
    <w:rsid w:val="7BE30620"/>
    <w:rsid w:val="7BE6B3B1"/>
    <w:rsid w:val="7BE6E311"/>
    <w:rsid w:val="7BE6FF68"/>
    <w:rsid w:val="7BEC6F10"/>
    <w:rsid w:val="7BEF5808"/>
    <w:rsid w:val="7BF4DC8F"/>
    <w:rsid w:val="7BF91FD9"/>
    <w:rsid w:val="7BFAF876"/>
    <w:rsid w:val="7BFB2B63"/>
    <w:rsid w:val="7BFBBA3A"/>
    <w:rsid w:val="7BFE41EA"/>
    <w:rsid w:val="7BFE9B76"/>
    <w:rsid w:val="7C06D8C8"/>
    <w:rsid w:val="7C08EF6D"/>
    <w:rsid w:val="7C0B045D"/>
    <w:rsid w:val="7C0BB912"/>
    <w:rsid w:val="7C0E6A33"/>
    <w:rsid w:val="7C0EB0AF"/>
    <w:rsid w:val="7C0F542A"/>
    <w:rsid w:val="7C0FA1C3"/>
    <w:rsid w:val="7C1B7FDA"/>
    <w:rsid w:val="7C1B9E3C"/>
    <w:rsid w:val="7C1E08AD"/>
    <w:rsid w:val="7C204825"/>
    <w:rsid w:val="7C210E80"/>
    <w:rsid w:val="7C224F59"/>
    <w:rsid w:val="7C24DE63"/>
    <w:rsid w:val="7C25CE56"/>
    <w:rsid w:val="7C261F81"/>
    <w:rsid w:val="7C26B745"/>
    <w:rsid w:val="7C2785DD"/>
    <w:rsid w:val="7C2F084C"/>
    <w:rsid w:val="7C309646"/>
    <w:rsid w:val="7C3260CA"/>
    <w:rsid w:val="7C3511BB"/>
    <w:rsid w:val="7C359292"/>
    <w:rsid w:val="7C3784F7"/>
    <w:rsid w:val="7C37A830"/>
    <w:rsid w:val="7C381665"/>
    <w:rsid w:val="7C385E56"/>
    <w:rsid w:val="7C3FC1F8"/>
    <w:rsid w:val="7C483E55"/>
    <w:rsid w:val="7C4BEBEB"/>
    <w:rsid w:val="7C50C995"/>
    <w:rsid w:val="7C513FA6"/>
    <w:rsid w:val="7C5CB2A9"/>
    <w:rsid w:val="7C5D74FD"/>
    <w:rsid w:val="7C60846E"/>
    <w:rsid w:val="7C616C02"/>
    <w:rsid w:val="7C617540"/>
    <w:rsid w:val="7C61FB82"/>
    <w:rsid w:val="7C6358AB"/>
    <w:rsid w:val="7C667DC0"/>
    <w:rsid w:val="7C6754EC"/>
    <w:rsid w:val="7C6925B6"/>
    <w:rsid w:val="7C6CA3B9"/>
    <w:rsid w:val="7C70CD9F"/>
    <w:rsid w:val="7C75CF38"/>
    <w:rsid w:val="7C7636BC"/>
    <w:rsid w:val="7C768EF1"/>
    <w:rsid w:val="7C79A747"/>
    <w:rsid w:val="7C7AA2EB"/>
    <w:rsid w:val="7C7E40EA"/>
    <w:rsid w:val="7C80F73C"/>
    <w:rsid w:val="7C85136C"/>
    <w:rsid w:val="7C853BEC"/>
    <w:rsid w:val="7C88E91C"/>
    <w:rsid w:val="7C8A67D7"/>
    <w:rsid w:val="7C8EF1EB"/>
    <w:rsid w:val="7C959C14"/>
    <w:rsid w:val="7C99A003"/>
    <w:rsid w:val="7C9AB80F"/>
    <w:rsid w:val="7C9C22F7"/>
    <w:rsid w:val="7C9D1FE3"/>
    <w:rsid w:val="7CA03B4F"/>
    <w:rsid w:val="7CA0DA65"/>
    <w:rsid w:val="7CA27963"/>
    <w:rsid w:val="7CAC4866"/>
    <w:rsid w:val="7CAD27DC"/>
    <w:rsid w:val="7CAD28ED"/>
    <w:rsid w:val="7CAE1CF3"/>
    <w:rsid w:val="7CB2B13B"/>
    <w:rsid w:val="7CB2BF0B"/>
    <w:rsid w:val="7CB33DB8"/>
    <w:rsid w:val="7CB45D98"/>
    <w:rsid w:val="7CB99128"/>
    <w:rsid w:val="7CBAA008"/>
    <w:rsid w:val="7CBF351E"/>
    <w:rsid w:val="7CC2A3AD"/>
    <w:rsid w:val="7CC553C7"/>
    <w:rsid w:val="7CC7D8D0"/>
    <w:rsid w:val="7CD09923"/>
    <w:rsid w:val="7CD63A5C"/>
    <w:rsid w:val="7CD88AE2"/>
    <w:rsid w:val="7CD90BB9"/>
    <w:rsid w:val="7CDA3382"/>
    <w:rsid w:val="7CDC40E3"/>
    <w:rsid w:val="7CDCDAD9"/>
    <w:rsid w:val="7CDE86D9"/>
    <w:rsid w:val="7CE01D2C"/>
    <w:rsid w:val="7CEA756A"/>
    <w:rsid w:val="7CEECC8D"/>
    <w:rsid w:val="7CF00095"/>
    <w:rsid w:val="7CF4B73F"/>
    <w:rsid w:val="7CF56986"/>
    <w:rsid w:val="7CF7932A"/>
    <w:rsid w:val="7CFB856A"/>
    <w:rsid w:val="7CFD753E"/>
    <w:rsid w:val="7D0531A8"/>
    <w:rsid w:val="7D081272"/>
    <w:rsid w:val="7D09357D"/>
    <w:rsid w:val="7D09CAA6"/>
    <w:rsid w:val="7D17A3EB"/>
    <w:rsid w:val="7D17B5F3"/>
    <w:rsid w:val="7D19798E"/>
    <w:rsid w:val="7D1A6C1E"/>
    <w:rsid w:val="7D1C5B9C"/>
    <w:rsid w:val="7D1DF672"/>
    <w:rsid w:val="7D226F16"/>
    <w:rsid w:val="7D22C1F8"/>
    <w:rsid w:val="7D269B7F"/>
    <w:rsid w:val="7D26EF48"/>
    <w:rsid w:val="7D278F77"/>
    <w:rsid w:val="7D2A9778"/>
    <w:rsid w:val="7D2C47D4"/>
    <w:rsid w:val="7D2FFD50"/>
    <w:rsid w:val="7D344816"/>
    <w:rsid w:val="7D353530"/>
    <w:rsid w:val="7D3B4623"/>
    <w:rsid w:val="7D3C08F6"/>
    <w:rsid w:val="7D3DE09B"/>
    <w:rsid w:val="7D3F157A"/>
    <w:rsid w:val="7D465FA4"/>
    <w:rsid w:val="7D4755D8"/>
    <w:rsid w:val="7D4A00AF"/>
    <w:rsid w:val="7D4EA136"/>
    <w:rsid w:val="7D5015A8"/>
    <w:rsid w:val="7D5176E4"/>
    <w:rsid w:val="7D521A17"/>
    <w:rsid w:val="7D524B34"/>
    <w:rsid w:val="7D538855"/>
    <w:rsid w:val="7D5513F6"/>
    <w:rsid w:val="7D5DD9FC"/>
    <w:rsid w:val="7D5EDCAA"/>
    <w:rsid w:val="7D5FBED8"/>
    <w:rsid w:val="7D62B662"/>
    <w:rsid w:val="7D64F969"/>
    <w:rsid w:val="7D6920BB"/>
    <w:rsid w:val="7D69EB29"/>
    <w:rsid w:val="7D6BDE27"/>
    <w:rsid w:val="7D6FEBC5"/>
    <w:rsid w:val="7D70E199"/>
    <w:rsid w:val="7D77E4DE"/>
    <w:rsid w:val="7D78F909"/>
    <w:rsid w:val="7D792EDB"/>
    <w:rsid w:val="7D79EFD0"/>
    <w:rsid w:val="7D7CB9C7"/>
    <w:rsid w:val="7D807BE4"/>
    <w:rsid w:val="7D80C74D"/>
    <w:rsid w:val="7D888A09"/>
    <w:rsid w:val="7D88D4EB"/>
    <w:rsid w:val="7D8ABF94"/>
    <w:rsid w:val="7D8E472E"/>
    <w:rsid w:val="7D907149"/>
    <w:rsid w:val="7D91A7CE"/>
    <w:rsid w:val="7D91C046"/>
    <w:rsid w:val="7D9A5B54"/>
    <w:rsid w:val="7D9E0749"/>
    <w:rsid w:val="7D9FD99B"/>
    <w:rsid w:val="7DA62707"/>
    <w:rsid w:val="7DA7DD70"/>
    <w:rsid w:val="7DA9ECB7"/>
    <w:rsid w:val="7DA9F045"/>
    <w:rsid w:val="7DAAC874"/>
    <w:rsid w:val="7DAB8F18"/>
    <w:rsid w:val="7DAEDF84"/>
    <w:rsid w:val="7DB19768"/>
    <w:rsid w:val="7DB35BEB"/>
    <w:rsid w:val="7DB6C227"/>
    <w:rsid w:val="7DB77F68"/>
    <w:rsid w:val="7DBB6447"/>
    <w:rsid w:val="7DBD11EB"/>
    <w:rsid w:val="7DBFDD8D"/>
    <w:rsid w:val="7DC05B5E"/>
    <w:rsid w:val="7DC2159D"/>
    <w:rsid w:val="7DC82AD8"/>
    <w:rsid w:val="7DCA3298"/>
    <w:rsid w:val="7DD02DA6"/>
    <w:rsid w:val="7DD1EA85"/>
    <w:rsid w:val="7DD2057A"/>
    <w:rsid w:val="7DD20B8D"/>
    <w:rsid w:val="7DD3F105"/>
    <w:rsid w:val="7DD4136E"/>
    <w:rsid w:val="7DD42016"/>
    <w:rsid w:val="7DD6220C"/>
    <w:rsid w:val="7DD6F999"/>
    <w:rsid w:val="7DD90F75"/>
    <w:rsid w:val="7DD9A573"/>
    <w:rsid w:val="7DDC3AA8"/>
    <w:rsid w:val="7DDD0EEE"/>
    <w:rsid w:val="7DDE57C0"/>
    <w:rsid w:val="7DE2E060"/>
    <w:rsid w:val="7DE8CC66"/>
    <w:rsid w:val="7DEF255E"/>
    <w:rsid w:val="7DF15B1C"/>
    <w:rsid w:val="7DF18729"/>
    <w:rsid w:val="7DF257C7"/>
    <w:rsid w:val="7DF2DEE7"/>
    <w:rsid w:val="7DF78DEA"/>
    <w:rsid w:val="7DFC9ADA"/>
    <w:rsid w:val="7DFE323E"/>
    <w:rsid w:val="7DFE5BA8"/>
    <w:rsid w:val="7E0244E3"/>
    <w:rsid w:val="7E031ED9"/>
    <w:rsid w:val="7E03C85A"/>
    <w:rsid w:val="7E06C36F"/>
    <w:rsid w:val="7E07E33B"/>
    <w:rsid w:val="7E0C070D"/>
    <w:rsid w:val="7E0C75E6"/>
    <w:rsid w:val="7E0D92BE"/>
    <w:rsid w:val="7E0DD364"/>
    <w:rsid w:val="7E0E24E0"/>
    <w:rsid w:val="7E0E962B"/>
    <w:rsid w:val="7E124320"/>
    <w:rsid w:val="7E16FEAB"/>
    <w:rsid w:val="7E19BF55"/>
    <w:rsid w:val="7E1BC113"/>
    <w:rsid w:val="7E1C7F49"/>
    <w:rsid w:val="7E1DC647"/>
    <w:rsid w:val="7E20D189"/>
    <w:rsid w:val="7E2311BB"/>
    <w:rsid w:val="7E240BE0"/>
    <w:rsid w:val="7E244377"/>
    <w:rsid w:val="7E2628DB"/>
    <w:rsid w:val="7E29D230"/>
    <w:rsid w:val="7E29E232"/>
    <w:rsid w:val="7E2BDF45"/>
    <w:rsid w:val="7E2C28A2"/>
    <w:rsid w:val="7E2FF348"/>
    <w:rsid w:val="7E301F96"/>
    <w:rsid w:val="7E32FBFE"/>
    <w:rsid w:val="7E3C480E"/>
    <w:rsid w:val="7E3F9A0B"/>
    <w:rsid w:val="7E42004C"/>
    <w:rsid w:val="7E44D5C4"/>
    <w:rsid w:val="7E471146"/>
    <w:rsid w:val="7E4793A4"/>
    <w:rsid w:val="7E47BC48"/>
    <w:rsid w:val="7E4C2D8E"/>
    <w:rsid w:val="7E4D9319"/>
    <w:rsid w:val="7E4E433C"/>
    <w:rsid w:val="7E5009FB"/>
    <w:rsid w:val="7E5231EC"/>
    <w:rsid w:val="7E535BDB"/>
    <w:rsid w:val="7E565C0A"/>
    <w:rsid w:val="7E57E444"/>
    <w:rsid w:val="7E58BCBE"/>
    <w:rsid w:val="7E5F3854"/>
    <w:rsid w:val="7E5F9914"/>
    <w:rsid w:val="7E630B26"/>
    <w:rsid w:val="7E64DB27"/>
    <w:rsid w:val="7E674120"/>
    <w:rsid w:val="7E67A833"/>
    <w:rsid w:val="7E684B23"/>
    <w:rsid w:val="7E685EC5"/>
    <w:rsid w:val="7E6B1217"/>
    <w:rsid w:val="7E6DA28C"/>
    <w:rsid w:val="7E6F0535"/>
    <w:rsid w:val="7E71810B"/>
    <w:rsid w:val="7E760E08"/>
    <w:rsid w:val="7E79040A"/>
    <w:rsid w:val="7E79F9DA"/>
    <w:rsid w:val="7E7B249B"/>
    <w:rsid w:val="7E7CCE35"/>
    <w:rsid w:val="7E80623F"/>
    <w:rsid w:val="7E80E052"/>
    <w:rsid w:val="7E827399"/>
    <w:rsid w:val="7E8957B1"/>
    <w:rsid w:val="7E89B6EB"/>
    <w:rsid w:val="7E8C993A"/>
    <w:rsid w:val="7E93A5CB"/>
    <w:rsid w:val="7E9977DE"/>
    <w:rsid w:val="7E9DE204"/>
    <w:rsid w:val="7EA2574F"/>
    <w:rsid w:val="7EA388F2"/>
    <w:rsid w:val="7EA527BA"/>
    <w:rsid w:val="7EAA7D91"/>
    <w:rsid w:val="7EAAC0F4"/>
    <w:rsid w:val="7EAB9B3A"/>
    <w:rsid w:val="7EB11FA1"/>
    <w:rsid w:val="7EB18269"/>
    <w:rsid w:val="7EBC13B5"/>
    <w:rsid w:val="7EBF64EE"/>
    <w:rsid w:val="7EC0D3DF"/>
    <w:rsid w:val="7EC11598"/>
    <w:rsid w:val="7EC1825C"/>
    <w:rsid w:val="7EC32A9E"/>
    <w:rsid w:val="7EC4F96B"/>
    <w:rsid w:val="7ECDB366"/>
    <w:rsid w:val="7ED373C6"/>
    <w:rsid w:val="7ED75BFB"/>
    <w:rsid w:val="7ED8346A"/>
    <w:rsid w:val="7ED97426"/>
    <w:rsid w:val="7EDB8382"/>
    <w:rsid w:val="7EDF22A4"/>
    <w:rsid w:val="7EDFEF37"/>
    <w:rsid w:val="7EE212ED"/>
    <w:rsid w:val="7EE2F407"/>
    <w:rsid w:val="7EE51EA5"/>
    <w:rsid w:val="7EE866E7"/>
    <w:rsid w:val="7EE97148"/>
    <w:rsid w:val="7EEA068A"/>
    <w:rsid w:val="7EEE7157"/>
    <w:rsid w:val="7EF29B27"/>
    <w:rsid w:val="7EF97C11"/>
    <w:rsid w:val="7EFD16B8"/>
    <w:rsid w:val="7EFECD5C"/>
    <w:rsid w:val="7F028B26"/>
    <w:rsid w:val="7F02C32E"/>
    <w:rsid w:val="7F044110"/>
    <w:rsid w:val="7F04ED9E"/>
    <w:rsid w:val="7F066DB8"/>
    <w:rsid w:val="7F071E64"/>
    <w:rsid w:val="7F084B20"/>
    <w:rsid w:val="7F08F264"/>
    <w:rsid w:val="7F129C06"/>
    <w:rsid w:val="7F1386B4"/>
    <w:rsid w:val="7F1528B1"/>
    <w:rsid w:val="7F1745D8"/>
    <w:rsid w:val="7F1B27EB"/>
    <w:rsid w:val="7F1B5AC7"/>
    <w:rsid w:val="7F1E83EC"/>
    <w:rsid w:val="7F1FD2F6"/>
    <w:rsid w:val="7F20EAF0"/>
    <w:rsid w:val="7F22CFFA"/>
    <w:rsid w:val="7F281A9A"/>
    <w:rsid w:val="7F2E20BB"/>
    <w:rsid w:val="7F2EC7D5"/>
    <w:rsid w:val="7F32A15D"/>
    <w:rsid w:val="7F35630F"/>
    <w:rsid w:val="7F3664B3"/>
    <w:rsid w:val="7F36A68B"/>
    <w:rsid w:val="7F38D129"/>
    <w:rsid w:val="7F3DE93D"/>
    <w:rsid w:val="7F3DEDE6"/>
    <w:rsid w:val="7F4393F5"/>
    <w:rsid w:val="7F460747"/>
    <w:rsid w:val="7F46DAE2"/>
    <w:rsid w:val="7F480C93"/>
    <w:rsid w:val="7F494829"/>
    <w:rsid w:val="7F4BE61D"/>
    <w:rsid w:val="7F4CB7B6"/>
    <w:rsid w:val="7F4EDEEE"/>
    <w:rsid w:val="7F526AED"/>
    <w:rsid w:val="7F54FFCD"/>
    <w:rsid w:val="7F5542AF"/>
    <w:rsid w:val="7F55CE5B"/>
    <w:rsid w:val="7F5A1967"/>
    <w:rsid w:val="7F5F7642"/>
    <w:rsid w:val="7F6148EB"/>
    <w:rsid w:val="7F63437D"/>
    <w:rsid w:val="7F652D89"/>
    <w:rsid w:val="7F66392B"/>
    <w:rsid w:val="7F665FB9"/>
    <w:rsid w:val="7F682029"/>
    <w:rsid w:val="7F69CBB1"/>
    <w:rsid w:val="7F69D3D7"/>
    <w:rsid w:val="7F6C2D8F"/>
    <w:rsid w:val="7F6E8D13"/>
    <w:rsid w:val="7F6FA0C3"/>
    <w:rsid w:val="7F7AEFD9"/>
    <w:rsid w:val="7F7B12D0"/>
    <w:rsid w:val="7F7B1CD6"/>
    <w:rsid w:val="7F7C0386"/>
    <w:rsid w:val="7F7D9143"/>
    <w:rsid w:val="7F805B73"/>
    <w:rsid w:val="7F80C422"/>
    <w:rsid w:val="7F81186D"/>
    <w:rsid w:val="7F835E09"/>
    <w:rsid w:val="7F8596E3"/>
    <w:rsid w:val="7F8B6A51"/>
    <w:rsid w:val="7F8C27E7"/>
    <w:rsid w:val="7F8F8D52"/>
    <w:rsid w:val="7F92D029"/>
    <w:rsid w:val="7F963491"/>
    <w:rsid w:val="7F971D6E"/>
    <w:rsid w:val="7F991847"/>
    <w:rsid w:val="7F9C4E0B"/>
    <w:rsid w:val="7F9D9D5E"/>
    <w:rsid w:val="7F9DFC24"/>
    <w:rsid w:val="7F9FA744"/>
    <w:rsid w:val="7FA2C1D7"/>
    <w:rsid w:val="7FA4D8E8"/>
    <w:rsid w:val="7FA5E420"/>
    <w:rsid w:val="7FA7EA8D"/>
    <w:rsid w:val="7FA9C069"/>
    <w:rsid w:val="7FB1F9A0"/>
    <w:rsid w:val="7FB25803"/>
    <w:rsid w:val="7FB35F4C"/>
    <w:rsid w:val="7FB89DBC"/>
    <w:rsid w:val="7FBB89FC"/>
    <w:rsid w:val="7FBC936C"/>
    <w:rsid w:val="7FBDDC1B"/>
    <w:rsid w:val="7FC2AB7B"/>
    <w:rsid w:val="7FC472C6"/>
    <w:rsid w:val="7FCA4D01"/>
    <w:rsid w:val="7FCA5CEC"/>
    <w:rsid w:val="7FCDD972"/>
    <w:rsid w:val="7FCF950D"/>
    <w:rsid w:val="7FD2FD5C"/>
    <w:rsid w:val="7FD3FF3F"/>
    <w:rsid w:val="7FD7EE47"/>
    <w:rsid w:val="7FD92A24"/>
    <w:rsid w:val="7FDD6A9E"/>
    <w:rsid w:val="7FDE5C0C"/>
    <w:rsid w:val="7FE03D89"/>
    <w:rsid w:val="7FE33D85"/>
    <w:rsid w:val="7FE3DFB9"/>
    <w:rsid w:val="7FE970B2"/>
    <w:rsid w:val="7FEA599E"/>
    <w:rsid w:val="7FEB80B8"/>
    <w:rsid w:val="7FECFA59"/>
    <w:rsid w:val="7FEF005B"/>
    <w:rsid w:val="7FF21F2E"/>
    <w:rsid w:val="7FF55EDA"/>
    <w:rsid w:val="7FF6C109"/>
    <w:rsid w:val="7FF720E3"/>
    <w:rsid w:val="7FF894B6"/>
    <w:rsid w:val="7FF8EA7C"/>
    <w:rsid w:val="7FF90081"/>
    <w:rsid w:val="7FF9A48F"/>
    <w:rsid w:val="7FFA7637"/>
    <w:rsid w:val="7FFAB0E0"/>
    <w:rsid w:val="7FFCDED6"/>
    <w:rsid w:val="7FFEE53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6A4D1DF"/>
  <w15:chartTrackingRefBased/>
  <w15:docId w15:val="{611C843C-49A9-4C42-9C3F-455CE88B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Default Paragraph Font" w:uiPriority="1"/>
    <w:lsdException w:name="Body Text" w:uiPriority="1" w:qFormat="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45F72"/>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B45F72"/>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3 Char Char Char Char,Heading 2 Char1,Heading 2 Char1 Char Char Char Char1 Char Char,Heading 2 Char1 Char Char1 Char Char,UNDERRUBRIK 1-2,UNDERRUBRIK 1-2 Char,h2,h2 Char"/>
    <w:basedOn w:val="Normal"/>
    <w:next w:val="ParaNum"/>
    <w:link w:val="Heading2Char"/>
    <w:autoRedefine/>
    <w:qFormat/>
    <w:rsid w:val="00B45F72"/>
    <w:pPr>
      <w:keepNext/>
      <w:numPr>
        <w:ilvl w:val="1"/>
        <w:numId w:val="5"/>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qFormat/>
    <w:rsid w:val="00B45F72"/>
    <w:pPr>
      <w:keepNext/>
      <w:numPr>
        <w:ilvl w:val="2"/>
        <w:numId w:val="5"/>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link w:val="Heading4Char"/>
    <w:qFormat/>
    <w:rsid w:val="00B45F72"/>
    <w:pPr>
      <w:keepNext/>
      <w:numPr>
        <w:ilvl w:val="3"/>
        <w:numId w:val="5"/>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B45F72"/>
    <w:pPr>
      <w:keepNext/>
      <w:numPr>
        <w:ilvl w:val="4"/>
        <w:numId w:val="5"/>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B45F72"/>
    <w:pPr>
      <w:numPr>
        <w:ilvl w:val="5"/>
        <w:numId w:val="5"/>
      </w:numPr>
      <w:tabs>
        <w:tab w:val="left" w:pos="4320"/>
      </w:tabs>
      <w:spacing w:after="120"/>
      <w:outlineLvl w:val="5"/>
    </w:pPr>
    <w:rPr>
      <w:b/>
    </w:rPr>
  </w:style>
  <w:style w:type="paragraph" w:styleId="Heading7">
    <w:name w:val="heading 7"/>
    <w:basedOn w:val="Normal"/>
    <w:next w:val="ParaNum"/>
    <w:qFormat/>
    <w:rsid w:val="00B45F72"/>
    <w:pPr>
      <w:numPr>
        <w:ilvl w:val="6"/>
        <w:numId w:val="5"/>
      </w:numPr>
      <w:tabs>
        <w:tab w:val="left" w:pos="5040"/>
      </w:tabs>
      <w:spacing w:after="120"/>
      <w:ind w:left="5040" w:hanging="720"/>
      <w:outlineLvl w:val="6"/>
    </w:pPr>
    <w:rPr>
      <w:b/>
    </w:rPr>
  </w:style>
  <w:style w:type="paragraph" w:styleId="Heading8">
    <w:name w:val="heading 8"/>
    <w:basedOn w:val="Normal"/>
    <w:next w:val="ParaNum"/>
    <w:qFormat/>
    <w:rsid w:val="00B45F72"/>
    <w:pPr>
      <w:numPr>
        <w:ilvl w:val="7"/>
        <w:numId w:val="5"/>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B45F72"/>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45F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5F72"/>
  </w:style>
  <w:style w:type="paragraph" w:customStyle="1" w:styleId="ParaNum">
    <w:name w:val="ParaNum"/>
    <w:basedOn w:val="Normal"/>
    <w:link w:val="ParaNumChar"/>
    <w:rsid w:val="00B45F72"/>
    <w:pPr>
      <w:numPr>
        <w:numId w:val="4"/>
      </w:numPr>
      <w:tabs>
        <w:tab w:val="clear" w:pos="1080"/>
        <w:tab w:val="num" w:pos="1440"/>
      </w:tabs>
      <w:spacing w:after="120"/>
    </w:pPr>
  </w:style>
  <w:style w:type="paragraph" w:styleId="EndnoteText">
    <w:name w:val="endnote text"/>
    <w:basedOn w:val="Normal"/>
    <w:semiHidden/>
    <w:rsid w:val="00B45F72"/>
    <w:rPr>
      <w:sz w:val="20"/>
    </w:rPr>
  </w:style>
  <w:style w:type="character" w:styleId="EndnoteReference">
    <w:name w:val="endnote reference"/>
    <w:semiHidden/>
    <w:rsid w:val="00B45F72"/>
    <w:rPr>
      <w:vertAlign w:val="superscript"/>
    </w:rPr>
  </w:style>
  <w:style w:type="paragraph" w:styleId="FootnoteText">
    <w:name w:val="footnote text"/>
    <w:aliases w:val="Char Char Char,Footnote Text Char Char Char Char Char1 Char,Footnote Text Char Char1 Char1 Char,Footnote Text Char1,Footnote Text Char1 Char,Footnote Text Char1 Char Char Char1 Char,Footnote Text Char2,Footnote Text Char2 Char1 Char,f,fn"/>
    <w:link w:val="FootnoteTextChar"/>
    <w:rsid w:val="00B45F7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B45F72"/>
    <w:rPr>
      <w:rFonts w:ascii="Times New Roman" w:hAnsi="Times New Roman"/>
      <w:dstrike w:val="0"/>
      <w:color w:val="auto"/>
      <w:sz w:val="20"/>
      <w:vertAlign w:val="superscript"/>
    </w:rPr>
  </w:style>
  <w:style w:type="paragraph" w:styleId="TOC1">
    <w:name w:val="toc 1"/>
    <w:basedOn w:val="Normal"/>
    <w:next w:val="Normal"/>
    <w:rsid w:val="00B45F72"/>
    <w:pPr>
      <w:tabs>
        <w:tab w:val="left" w:pos="360"/>
        <w:tab w:val="right" w:leader="dot" w:pos="9360"/>
      </w:tabs>
      <w:suppressAutoHyphens/>
      <w:ind w:left="360" w:right="720" w:hanging="360"/>
    </w:pPr>
    <w:rPr>
      <w:caps/>
      <w:noProof/>
    </w:rPr>
  </w:style>
  <w:style w:type="paragraph" w:styleId="TOC2">
    <w:name w:val="toc 2"/>
    <w:basedOn w:val="Normal"/>
    <w:next w:val="Normal"/>
    <w:rsid w:val="00B45F72"/>
    <w:pPr>
      <w:tabs>
        <w:tab w:val="left" w:pos="720"/>
        <w:tab w:val="right" w:leader="dot" w:pos="9360"/>
      </w:tabs>
      <w:suppressAutoHyphens/>
      <w:ind w:left="720" w:right="720" w:hanging="360"/>
    </w:pPr>
    <w:rPr>
      <w:noProof/>
    </w:rPr>
  </w:style>
  <w:style w:type="paragraph" w:styleId="TOC3">
    <w:name w:val="toc 3"/>
    <w:basedOn w:val="Normal"/>
    <w:next w:val="Normal"/>
    <w:rsid w:val="00B45F7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45F7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45F7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45F7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45F7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45F7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45F7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45F72"/>
    <w:pPr>
      <w:tabs>
        <w:tab w:val="right" w:pos="9360"/>
      </w:tabs>
      <w:suppressAutoHyphens/>
    </w:pPr>
  </w:style>
  <w:style w:type="character" w:customStyle="1" w:styleId="EquationCaption">
    <w:name w:val="_Equation Caption"/>
    <w:rsid w:val="00B45F72"/>
  </w:style>
  <w:style w:type="paragraph" w:styleId="Header">
    <w:name w:val="header"/>
    <w:basedOn w:val="Normal"/>
    <w:link w:val="HeaderChar"/>
    <w:autoRedefine/>
    <w:rsid w:val="00B45F72"/>
    <w:pPr>
      <w:tabs>
        <w:tab w:val="center" w:pos="4680"/>
        <w:tab w:val="right" w:pos="9360"/>
      </w:tabs>
    </w:pPr>
    <w:rPr>
      <w:b/>
    </w:rPr>
  </w:style>
  <w:style w:type="paragraph" w:styleId="Footer">
    <w:name w:val="footer"/>
    <w:basedOn w:val="Normal"/>
    <w:link w:val="FooterChar"/>
    <w:uiPriority w:val="99"/>
    <w:rsid w:val="00B45F72"/>
    <w:pPr>
      <w:tabs>
        <w:tab w:val="center" w:pos="4320"/>
        <w:tab w:val="right" w:pos="8640"/>
      </w:tabs>
    </w:pPr>
  </w:style>
  <w:style w:type="character" w:styleId="PageNumber">
    <w:name w:val="page number"/>
    <w:basedOn w:val="DefaultParagraphFont"/>
    <w:rsid w:val="00B45F72"/>
  </w:style>
  <w:style w:type="paragraph" w:styleId="BlockText">
    <w:name w:val="Block Text"/>
    <w:basedOn w:val="Normal"/>
    <w:rsid w:val="00B45F72"/>
    <w:pPr>
      <w:spacing w:after="240"/>
      <w:ind w:left="1440" w:right="1440"/>
    </w:pPr>
  </w:style>
  <w:style w:type="paragraph" w:customStyle="1" w:styleId="Paratitle">
    <w:name w:val="Para title"/>
    <w:basedOn w:val="Normal"/>
    <w:rsid w:val="00B45F72"/>
    <w:pPr>
      <w:tabs>
        <w:tab w:val="center" w:pos="9270"/>
      </w:tabs>
      <w:spacing w:after="240"/>
    </w:pPr>
    <w:rPr>
      <w:spacing w:val="-2"/>
    </w:rPr>
  </w:style>
  <w:style w:type="paragraph" w:customStyle="1" w:styleId="Bullet">
    <w:name w:val="Bullet"/>
    <w:basedOn w:val="Normal"/>
    <w:rsid w:val="00B45F72"/>
    <w:pPr>
      <w:tabs>
        <w:tab w:val="left" w:pos="2160"/>
      </w:tabs>
      <w:spacing w:after="220"/>
      <w:ind w:left="2160" w:hanging="720"/>
    </w:pPr>
  </w:style>
  <w:style w:type="paragraph" w:customStyle="1" w:styleId="TableFormat">
    <w:name w:val="TableFormat"/>
    <w:basedOn w:val="Bullet"/>
    <w:rsid w:val="00B45F72"/>
    <w:pPr>
      <w:tabs>
        <w:tab w:val="clear" w:pos="2160"/>
        <w:tab w:val="left" w:pos="5040"/>
      </w:tabs>
      <w:ind w:left="5040" w:hanging="3600"/>
    </w:pPr>
  </w:style>
  <w:style w:type="paragraph" w:customStyle="1" w:styleId="TOCTitle">
    <w:name w:val="TOC Title"/>
    <w:basedOn w:val="Normal"/>
    <w:rsid w:val="00B45F7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45F72"/>
    <w:pPr>
      <w:jc w:val="center"/>
    </w:pPr>
    <w:rPr>
      <w:rFonts w:ascii="Times New Roman Bold" w:hAnsi="Times New Roman Bold"/>
      <w:b/>
      <w:bCs/>
      <w:caps/>
      <w:szCs w:val="22"/>
    </w:rPr>
  </w:style>
  <w:style w:type="character" w:styleId="Hyperlink">
    <w:name w:val="Hyperlink"/>
    <w:rsid w:val="00B45F72"/>
    <w:rPr>
      <w:color w:val="0000FF"/>
      <w:u w:val="single"/>
    </w:rPr>
  </w:style>
  <w:style w:type="character" w:customStyle="1" w:styleId="FooterChar">
    <w:name w:val="Footer Char"/>
    <w:link w:val="Footer"/>
    <w:uiPriority w:val="99"/>
    <w:rsid w:val="00B45F72"/>
    <w:rPr>
      <w:snapToGrid w:val="0"/>
      <w:kern w:val="28"/>
      <w:sz w:val="22"/>
    </w:rPr>
  </w:style>
  <w:style w:type="paragraph" w:styleId="ListParagraph">
    <w:name w:val="List Paragraph"/>
    <w:basedOn w:val="Normal"/>
    <w:uiPriority w:val="1"/>
    <w:qFormat/>
    <w:rsid w:val="00F13E1B"/>
    <w:pPr>
      <w:ind w:left="720"/>
      <w:contextualSpacing/>
    </w:pPr>
    <w:rPr>
      <w:rFonts w:eastAsia="Calibri"/>
      <w:snapToGrid/>
    </w:rPr>
  </w:style>
  <w:style w:type="character" w:customStyle="1" w:styleId="FootnoteTextChar">
    <w:name w:val="Footnote Text Char"/>
    <w:aliases w:val="Char Char Char Char1,Footnote Text Char Char Char Char Char1 Char Char1,Footnote Text Char Char1 Char1 Char Char1,Footnote Text Char1 Char Char Char1 Char Char1,Footnote Text Char1 Char Char2,Footnote Text Char1 Char2,f Char1,fn Char"/>
    <w:link w:val="FootnoteText"/>
    <w:rsid w:val="00F13E1B"/>
  </w:style>
  <w:style w:type="character" w:customStyle="1" w:styleId="ParaNumChar">
    <w:name w:val="ParaNum Char"/>
    <w:link w:val="ParaNum"/>
    <w:rsid w:val="00F13E1B"/>
    <w:rPr>
      <w:snapToGrid w:val="0"/>
      <w:kern w:val="28"/>
      <w:sz w:val="22"/>
    </w:rPr>
  </w:style>
  <w:style w:type="character" w:customStyle="1" w:styleId="UnresolvedMention1">
    <w:name w:val="Unresolved Mention1"/>
    <w:uiPriority w:val="99"/>
    <w:semiHidden/>
    <w:unhideWhenUsed/>
    <w:rsid w:val="00F13E1B"/>
    <w:rPr>
      <w:color w:val="605E5C"/>
      <w:shd w:val="clear" w:color="auto" w:fill="E1DFDD"/>
    </w:rPr>
  </w:style>
  <w:style w:type="character" w:customStyle="1" w:styleId="Heading1Char">
    <w:name w:val="Heading 1 Char"/>
    <w:aliases w:val="Heading 1 Char Char Char Char,Heading 1 Char Char Char Char Char Char,Heading 1 Char Char Char1 Char,Heading 1 Char Char1 Char Char,Heading 1 Char Char1 Char1,Heading 1 Char Char2 Char,Heading 1 Char1 Char Char,Heading 1 Char1 Char1 Char"/>
    <w:link w:val="Heading1"/>
    <w:rsid w:val="00F13E1B"/>
    <w:rPr>
      <w:rFonts w:ascii="Times New Roman Bold" w:hAnsi="Times New Roman Bold"/>
      <w:b/>
      <w:caps/>
      <w:snapToGrid w:val="0"/>
      <w:kern w:val="28"/>
      <w:sz w:val="22"/>
    </w:rPr>
  </w:style>
  <w:style w:type="character" w:customStyle="1" w:styleId="ParaNumChar1">
    <w:name w:val="ParaNum Char1"/>
    <w:rsid w:val="00F13E1B"/>
    <w:rPr>
      <w:snapToGrid w:val="0"/>
      <w:kern w:val="28"/>
      <w:sz w:val="22"/>
    </w:rPr>
  </w:style>
  <w:style w:type="character" w:customStyle="1" w:styleId="CharCharCharChar">
    <w:name w:val="Char Char Char Char"/>
    <w:aliases w:val="ALTS FOOTNOT Char,Footnote Text Char Char Char Char Char,Footnote Text Char1 Char Char Char,Footnote Text Char1 Char Char1,Footnote Text Char1 Char1 Char Char Char Char Char,Footnote Text Char2 Char Char,Footnote Text Char2 Char1"/>
    <w:rsid w:val="00F13E1B"/>
  </w:style>
  <w:style w:type="paragraph" w:styleId="BalloonText">
    <w:name w:val="Balloon Text"/>
    <w:basedOn w:val="Normal"/>
    <w:link w:val="BalloonTextChar"/>
    <w:rsid w:val="00F13E1B"/>
    <w:rPr>
      <w:rFonts w:ascii="Segoe UI" w:hAnsi="Segoe UI" w:cs="Segoe UI"/>
      <w:sz w:val="18"/>
      <w:szCs w:val="18"/>
    </w:rPr>
  </w:style>
  <w:style w:type="character" w:customStyle="1" w:styleId="BalloonTextChar">
    <w:name w:val="Balloon Text Char"/>
    <w:basedOn w:val="DefaultParagraphFont"/>
    <w:link w:val="BalloonText"/>
    <w:rsid w:val="00F13E1B"/>
    <w:rPr>
      <w:rFonts w:ascii="Segoe UI" w:hAnsi="Segoe UI" w:cs="Segoe UI"/>
      <w:snapToGrid w:val="0"/>
      <w:kern w:val="28"/>
      <w:sz w:val="18"/>
      <w:szCs w:val="18"/>
    </w:rPr>
  </w:style>
  <w:style w:type="character" w:styleId="CommentReference">
    <w:name w:val="annotation reference"/>
    <w:uiPriority w:val="99"/>
    <w:rsid w:val="00F13E1B"/>
    <w:rPr>
      <w:sz w:val="16"/>
      <w:szCs w:val="16"/>
    </w:rPr>
  </w:style>
  <w:style w:type="paragraph" w:styleId="CommentText">
    <w:name w:val="annotation text"/>
    <w:basedOn w:val="Normal"/>
    <w:link w:val="CommentTextChar"/>
    <w:uiPriority w:val="99"/>
    <w:rsid w:val="00F13E1B"/>
    <w:rPr>
      <w:sz w:val="20"/>
    </w:rPr>
  </w:style>
  <w:style w:type="character" w:customStyle="1" w:styleId="CommentTextChar">
    <w:name w:val="Comment Text Char"/>
    <w:basedOn w:val="DefaultParagraphFont"/>
    <w:link w:val="CommentText"/>
    <w:uiPriority w:val="99"/>
    <w:rsid w:val="00F13E1B"/>
    <w:rPr>
      <w:snapToGrid w:val="0"/>
      <w:kern w:val="28"/>
    </w:rPr>
  </w:style>
  <w:style w:type="paragraph" w:styleId="CommentSubject">
    <w:name w:val="annotation subject"/>
    <w:basedOn w:val="CommentText"/>
    <w:next w:val="CommentText"/>
    <w:link w:val="CommentSubjectChar"/>
    <w:rsid w:val="00F13E1B"/>
    <w:rPr>
      <w:b/>
      <w:bCs/>
    </w:rPr>
  </w:style>
  <w:style w:type="character" w:customStyle="1" w:styleId="CommentSubjectChar">
    <w:name w:val="Comment Subject Char"/>
    <w:basedOn w:val="CommentTextChar"/>
    <w:link w:val="CommentSubject"/>
    <w:rsid w:val="00F13E1B"/>
    <w:rPr>
      <w:b/>
      <w:bCs/>
      <w:snapToGrid w:val="0"/>
      <w:kern w:val="28"/>
    </w:rPr>
  </w:style>
  <w:style w:type="paragraph" w:styleId="Revision">
    <w:name w:val="Revision"/>
    <w:hidden/>
    <w:uiPriority w:val="99"/>
    <w:semiHidden/>
    <w:rsid w:val="00F13E1B"/>
    <w:rPr>
      <w:snapToGrid w:val="0"/>
      <w:kern w:val="28"/>
      <w:sz w:val="22"/>
    </w:rPr>
  </w:style>
  <w:style w:type="paragraph" w:styleId="NormalWeb">
    <w:name w:val="Normal (Web)"/>
    <w:basedOn w:val="Normal"/>
    <w:uiPriority w:val="99"/>
    <w:unhideWhenUsed/>
    <w:rsid w:val="00F13E1B"/>
    <w:pPr>
      <w:spacing w:before="100" w:beforeAutospacing="1" w:after="100" w:afterAutospacing="1"/>
    </w:pPr>
    <w:rPr>
      <w:snapToGrid/>
      <w:sz w:val="24"/>
      <w:szCs w:val="24"/>
    </w:rPr>
  </w:style>
  <w:style w:type="character" w:customStyle="1" w:styleId="FootnoteTextCharChar1">
    <w:name w:val="Footnote Text Char Char1"/>
    <w:aliases w:val="Footnote Text Char Char2 Char Char,Footnote Text Char Char2 Char Char Char Char,Footnote Text Char1 Char2 Char,Footnote Text Char1 Char2 Char Char Char,Footnote Text Char1 Char2 Char Char Char Char Char"/>
    <w:locked/>
    <w:rsid w:val="00F13E1B"/>
    <w:rPr>
      <w:lang w:val="en-US" w:eastAsia="en-US"/>
    </w:rPr>
  </w:style>
  <w:style w:type="character" w:styleId="Emphasis">
    <w:name w:val="Emphasis"/>
    <w:uiPriority w:val="20"/>
    <w:qFormat/>
    <w:rsid w:val="00F13E1B"/>
    <w:rPr>
      <w:i/>
      <w:iCs/>
    </w:rPr>
  </w:style>
  <w:style w:type="character" w:customStyle="1" w:styleId="Heading4Char">
    <w:name w:val="Heading 4 Char"/>
    <w:aliases w:val="Heading 4 Char Char Char Char,Heading 4 Char Char Char1,Heading 4 Char Char Char1 Char Char Char,Heading 4 Char Char1 Char,Heading 4 Char Char1 Char Char Char,Heading 4 Char1 Char Char,Heading 4 Char1 Char1,Heading 4 Char2 Char"/>
    <w:link w:val="Heading4"/>
    <w:rsid w:val="00F13E1B"/>
    <w:rPr>
      <w:b/>
      <w:snapToGrid w:val="0"/>
      <w:kern w:val="28"/>
      <w:sz w:val="22"/>
    </w:rPr>
  </w:style>
  <w:style w:type="character" w:customStyle="1" w:styleId="Heading2Char">
    <w:name w:val="Heading 2 Char"/>
    <w:aliases w:val="Heading 2 Char Char Char Char Char,Heading 2 Char Char1 Char,Heading 2 Char Char3 Char Char Char Char Char,Heading 2 Char1 Char,Heading 2 Char1 Char Char Char Char1 Char Char Char,Heading 2 Char1 Char Char1 Char Char Char,h2 Char1"/>
    <w:link w:val="Heading2"/>
    <w:rsid w:val="00373159"/>
    <w:rPr>
      <w:b/>
      <w:snapToGrid w:val="0"/>
      <w:kern w:val="28"/>
      <w:sz w:val="22"/>
    </w:rPr>
  </w:style>
  <w:style w:type="character" w:customStyle="1" w:styleId="UnresolvedMention2">
    <w:name w:val="Unresolved Mention2"/>
    <w:rsid w:val="00F13E1B"/>
    <w:rPr>
      <w:color w:val="605E5C"/>
      <w:shd w:val="clear" w:color="auto" w:fill="E1DFDD"/>
    </w:rPr>
  </w:style>
  <w:style w:type="character" w:customStyle="1" w:styleId="FootnoteTextChar3">
    <w:name w:val="Footnote Text Char3"/>
    <w:aliases w:val="Footnote Text Char Char,Footnote Text Char Char Char Char Char1 Char Char,Footnote Text Char Char1 Char1 Char Char,Footnote Text Char1 Char Char,Footnote Text Char1 Char Char Char1 Char Char,Footnote Text Char1 Char1,f Char"/>
    <w:rsid w:val="00F13E1B"/>
  </w:style>
  <w:style w:type="character" w:styleId="FollowedHyperlink">
    <w:name w:val="FollowedHyperlink"/>
    <w:rsid w:val="00F13E1B"/>
    <w:rPr>
      <w:color w:val="954F72"/>
      <w:u w:val="single"/>
    </w:rPr>
  </w:style>
  <w:style w:type="character" w:customStyle="1" w:styleId="UnresolvedMention3">
    <w:name w:val="Unresolved Mention3"/>
    <w:rsid w:val="00F13E1B"/>
    <w:rPr>
      <w:color w:val="605E5C"/>
      <w:shd w:val="clear" w:color="auto" w:fill="E1DFDD"/>
    </w:rPr>
  </w:style>
  <w:style w:type="paragraph" w:customStyle="1" w:styleId="Default">
    <w:name w:val="Default"/>
    <w:rsid w:val="00F13E1B"/>
    <w:pPr>
      <w:autoSpaceDE w:val="0"/>
      <w:autoSpaceDN w:val="0"/>
      <w:adjustRightInd w:val="0"/>
    </w:pPr>
    <w:rPr>
      <w:rFonts w:ascii="Arial" w:eastAsia="Calibri" w:hAnsi="Arial" w:cs="Arial"/>
      <w:color w:val="000000"/>
      <w:sz w:val="24"/>
      <w:szCs w:val="24"/>
    </w:rPr>
  </w:style>
  <w:style w:type="character" w:customStyle="1" w:styleId="Mention1">
    <w:name w:val="Mention1"/>
    <w:rsid w:val="00F13E1B"/>
    <w:rPr>
      <w:color w:val="2B579A"/>
      <w:shd w:val="clear" w:color="auto" w:fill="E1DFDD"/>
    </w:rPr>
  </w:style>
  <w:style w:type="character" w:customStyle="1" w:styleId="normaltextrun1">
    <w:name w:val="normaltextrun1"/>
    <w:rsid w:val="00F13E1B"/>
  </w:style>
  <w:style w:type="character" w:customStyle="1" w:styleId="superscript">
    <w:name w:val="superscript"/>
    <w:rsid w:val="00F13E1B"/>
  </w:style>
  <w:style w:type="character" w:customStyle="1" w:styleId="HeaderChar">
    <w:name w:val="Header Char"/>
    <w:link w:val="Header"/>
    <w:rsid w:val="00CB026B"/>
    <w:rPr>
      <w:b/>
      <w:snapToGrid w:val="0"/>
      <w:kern w:val="28"/>
      <w:sz w:val="22"/>
    </w:rPr>
  </w:style>
  <w:style w:type="character" w:styleId="UnresolvedMention">
    <w:name w:val="Unresolved Mention"/>
    <w:basedOn w:val="DefaultParagraphFont"/>
    <w:rsid w:val="00304616"/>
    <w:rPr>
      <w:color w:val="605E5C"/>
      <w:shd w:val="clear" w:color="auto" w:fill="E1DFDD"/>
    </w:rPr>
  </w:style>
  <w:style w:type="paragraph" w:customStyle="1" w:styleId="TableParagraph">
    <w:name w:val="Table Paragraph"/>
    <w:basedOn w:val="Normal"/>
    <w:uiPriority w:val="1"/>
    <w:qFormat/>
    <w:rsid w:val="004D4ADB"/>
    <w:pPr>
      <w:autoSpaceDE w:val="0"/>
      <w:autoSpaceDN w:val="0"/>
    </w:pPr>
    <w:rPr>
      <w:rFonts w:ascii="Calibri" w:eastAsia="Calibri" w:hAnsi="Calibri" w:cs="Calibri"/>
      <w:snapToGrid/>
      <w:kern w:val="0"/>
      <w:szCs w:val="22"/>
    </w:rPr>
  </w:style>
  <w:style w:type="paragraph" w:styleId="BodyText">
    <w:name w:val="Body Text"/>
    <w:basedOn w:val="Normal"/>
    <w:link w:val="BodyTextChar"/>
    <w:uiPriority w:val="1"/>
    <w:qFormat/>
    <w:rsid w:val="00E67E0A"/>
    <w:pPr>
      <w:autoSpaceDE w:val="0"/>
      <w:autoSpaceDN w:val="0"/>
    </w:pPr>
    <w:rPr>
      <w:snapToGrid/>
      <w:kern w:val="0"/>
      <w:szCs w:val="22"/>
    </w:rPr>
  </w:style>
  <w:style w:type="character" w:customStyle="1" w:styleId="BodyTextChar">
    <w:name w:val="Body Text Char"/>
    <w:basedOn w:val="DefaultParagraphFont"/>
    <w:link w:val="BodyText"/>
    <w:uiPriority w:val="1"/>
    <w:rsid w:val="00E67E0A"/>
    <w:rPr>
      <w:sz w:val="22"/>
      <w:szCs w:val="22"/>
    </w:rPr>
  </w:style>
  <w:style w:type="character" w:customStyle="1" w:styleId="Footnote">
    <w:name w:val="Footnote"/>
    <w:rsid w:val="00BF06A1"/>
    <w:rPr>
      <w:rFonts w:ascii="Times New Roman" w:hAnsi="Times New Roman"/>
      <w:noProof w:val="0"/>
      <w:sz w:val="20"/>
      <w:lang w:val="en-US"/>
    </w:rPr>
  </w:style>
  <w:style w:type="character" w:styleId="PlaceholderText">
    <w:name w:val="Placeholder Text"/>
    <w:basedOn w:val="DefaultParagraphFont"/>
    <w:uiPriority w:val="99"/>
    <w:semiHidden/>
    <w:rsid w:val="000B2160"/>
    <w:rPr>
      <w:color w:val="808080"/>
    </w:rPr>
  </w:style>
  <w:style w:type="character" w:customStyle="1" w:styleId="cf01">
    <w:name w:val="cf01"/>
    <w:basedOn w:val="DefaultParagraphFont"/>
    <w:rsid w:val="00CB0C11"/>
    <w:rPr>
      <w:rFonts w:ascii="Segoe UI" w:hAnsi="Segoe UI" w:cs="Segoe UI" w:hint="default"/>
      <w:sz w:val="18"/>
      <w:szCs w:val="18"/>
    </w:rPr>
  </w:style>
  <w:style w:type="paragraph" w:customStyle="1" w:styleId="StyleListParagraph">
    <w:name w:val="Style List Paragraph"/>
    <w:basedOn w:val="ListParagraph"/>
    <w:rsid w:val="00252BB9"/>
    <w:pPr>
      <w:ind w:right="763"/>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wi-fi.org/discover-wi-fi/wi-fi-certified-wigig" TargetMode="External" /><Relationship Id="rId10" Type="http://schemas.openxmlformats.org/officeDocument/2006/relationships/hyperlink" Target="https://www.census.gov/naics/?input=334220&amp;year=2017&amp;details=334220" TargetMode="External" /><Relationship Id="rId11" Type="http://schemas.openxmlformats.org/officeDocument/2006/relationships/hyperlink" Target="https://data.census.gov/cedsci/table?y=2017&amp;n=334220&amp;tid=ECNSIZE2017.EC1700SIZEEMPFIRM&amp;hidePreview=false" TargetMode="External" /><Relationship Id="rId2" Type="http://schemas.openxmlformats.org/officeDocument/2006/relationships/hyperlink" Target="https://atap.google.com/soli" TargetMode="External" /><Relationship Id="rId3" Type="http://schemas.openxmlformats.org/officeDocument/2006/relationships/hyperlink" Target="http://www.airlinx.com" TargetMode="External" /><Relationship Id="rId4" Type="http://schemas.openxmlformats.org/officeDocument/2006/relationships/hyperlink" Target="https://www.ignitenet.com/technology/metrolinq/" TargetMode="External" /><Relationship Id="rId5" Type="http://schemas.openxmlformats.org/officeDocument/2006/relationships/hyperlink" Target="https://www.etsi.org/technologies/short-range-devices" TargetMode="External" /><Relationship Id="rId6" Type="http://schemas.openxmlformats.org/officeDocument/2006/relationships/hyperlink" Target="https://www.etsi.org/deliver/etsi_en/305500_305599/30555001/01.02.01_60/en_30555001v010201p.pdf" TargetMode="External" /><Relationship Id="rId7" Type="http://schemas.openxmlformats.org/officeDocument/2006/relationships/hyperlink" Target="https://www.etsi.org/deliver/etsi_en/305500_305599/305550/02.01.00_20/en_305550v020100a.pdf" TargetMode="External" /><Relationship Id="rId8" Type="http://schemas.openxmlformats.org/officeDocument/2006/relationships/hyperlink" Target="https://eur-lex.europa.eu/legal-content/EN/TXT/PDF/?uri=CELEX:32019D1345" TargetMode="External" /><Relationship Id="rId9" Type="http://schemas.openxmlformats.org/officeDocument/2006/relationships/hyperlink" Target="https://www.etsi.org/deliver/etsi_en/303800_303899/30388301/01.02.01_60/en_30388301v010201p.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