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C108D" w:rsidP="003C108D" w14:paraId="4A2C718D" w14:textId="77EE3595">
      <w:pPr>
        <w:jc w:val="center"/>
        <w:rPr>
          <w:b/>
        </w:rPr>
      </w:pPr>
      <w:r w:rsidRPr="0070224F">
        <w:rPr>
          <w:rFonts w:ascii="Times New Roman Bold" w:hAnsi="Times New Roman Bold"/>
          <w:b/>
          <w:kern w:val="0"/>
          <w:szCs w:val="22"/>
        </w:rPr>
        <w:t>Before</w:t>
      </w:r>
      <w:r>
        <w:rPr>
          <w:b/>
        </w:rPr>
        <w:t xml:space="preserve"> the</w:t>
      </w:r>
    </w:p>
    <w:p w:rsidR="003C108D" w:rsidP="003C108D" w14:paraId="260D0A3D" w14:textId="77777777">
      <w:pPr>
        <w:pStyle w:val="StyleBoldCentered"/>
      </w:pPr>
      <w:r>
        <w:t>F</w:t>
      </w:r>
      <w:r>
        <w:rPr>
          <w:caps w:val="0"/>
        </w:rPr>
        <w:t>ederal Communications Commission</w:t>
      </w:r>
    </w:p>
    <w:p w:rsidR="003C108D" w:rsidP="003C108D" w14:paraId="5D4E7BBC" w14:textId="77777777">
      <w:pPr>
        <w:pStyle w:val="StyleBoldCentered"/>
      </w:pPr>
      <w:r>
        <w:rPr>
          <w:caps w:val="0"/>
        </w:rPr>
        <w:t>Washington, D.C. 20554</w:t>
      </w:r>
    </w:p>
    <w:p w:rsidR="003C108D" w:rsidP="003C108D" w14:paraId="26EDB044" w14:textId="77777777"/>
    <w:p w:rsidR="003C108D" w:rsidP="003C108D" w14:paraId="078FF9CC" w14:textId="77777777"/>
    <w:tbl>
      <w:tblPr>
        <w:tblW w:w="9508" w:type="dxa"/>
        <w:tblInd w:w="-90" w:type="dxa"/>
        <w:tblLayout w:type="fixed"/>
        <w:tblLook w:val="0000"/>
      </w:tblPr>
      <w:tblGrid>
        <w:gridCol w:w="4665"/>
        <w:gridCol w:w="625"/>
        <w:gridCol w:w="4218"/>
      </w:tblGrid>
      <w:tr w14:paraId="180C6628" w14:textId="77777777" w:rsidTr="00CB2E97">
        <w:tblPrEx>
          <w:tblW w:w="9508" w:type="dxa"/>
          <w:tblInd w:w="-90" w:type="dxa"/>
          <w:tblLayout w:type="fixed"/>
          <w:tblLook w:val="0000"/>
        </w:tblPrEx>
        <w:trPr>
          <w:trHeight w:val="1378"/>
        </w:trPr>
        <w:tc>
          <w:tcPr>
            <w:tcW w:w="4665" w:type="dxa"/>
          </w:tcPr>
          <w:p w:rsidR="003C108D" w:rsidRPr="001376F0" w:rsidP="00CB2E97" w14:paraId="396EB976" w14:textId="77777777">
            <w:pPr>
              <w:tabs>
                <w:tab w:val="center" w:pos="4680"/>
              </w:tabs>
              <w:suppressAutoHyphens/>
              <w:rPr>
                <w:spacing w:val="-2"/>
              </w:rPr>
            </w:pPr>
            <w:r w:rsidRPr="001376F0">
              <w:rPr>
                <w:spacing w:val="-2"/>
              </w:rPr>
              <w:t>In the Matter of</w:t>
            </w:r>
          </w:p>
          <w:p w:rsidR="003C108D" w:rsidRPr="001376F0" w:rsidP="00CB2E97" w14:paraId="67CDC01A" w14:textId="77777777">
            <w:pPr>
              <w:tabs>
                <w:tab w:val="center" w:pos="4680"/>
              </w:tabs>
              <w:suppressAutoHyphens/>
              <w:rPr>
                <w:spacing w:val="-2"/>
              </w:rPr>
            </w:pPr>
          </w:p>
          <w:p w:rsidR="003C108D" w:rsidP="00CB2E97" w14:paraId="5B4F9649" w14:textId="77777777">
            <w:pPr>
              <w:tabs>
                <w:tab w:val="center" w:pos="4680"/>
              </w:tabs>
              <w:suppressAutoHyphens/>
            </w:pPr>
            <w:r>
              <w:t>Rules and Regulations Implementing the Telephone Consumer Protection Act of 1991</w:t>
            </w:r>
          </w:p>
          <w:p w:rsidR="003C108D" w:rsidRPr="000A7D48" w:rsidP="00CB2E97" w14:paraId="17455D7E" w14:textId="77777777">
            <w:pPr>
              <w:tabs>
                <w:tab w:val="center" w:pos="4680"/>
              </w:tabs>
              <w:suppressAutoHyphens/>
              <w:rPr>
                <w:spacing w:val="-2"/>
              </w:rPr>
            </w:pPr>
          </w:p>
        </w:tc>
        <w:tc>
          <w:tcPr>
            <w:tcW w:w="625" w:type="dxa"/>
          </w:tcPr>
          <w:p w:rsidR="003C108D" w:rsidP="00CB2E97" w14:paraId="5B205E9F" w14:textId="77777777">
            <w:pPr>
              <w:tabs>
                <w:tab w:val="center" w:pos="4680"/>
              </w:tabs>
              <w:suppressAutoHyphens/>
              <w:rPr>
                <w:b/>
                <w:spacing w:val="-2"/>
              </w:rPr>
            </w:pPr>
            <w:r>
              <w:rPr>
                <w:b/>
                <w:spacing w:val="-2"/>
              </w:rPr>
              <w:t>)</w:t>
            </w:r>
          </w:p>
          <w:p w:rsidR="003C108D" w:rsidP="00CB2E97" w14:paraId="03DAEE47" w14:textId="77777777">
            <w:pPr>
              <w:tabs>
                <w:tab w:val="center" w:pos="4680"/>
              </w:tabs>
              <w:suppressAutoHyphens/>
              <w:rPr>
                <w:b/>
                <w:spacing w:val="-2"/>
              </w:rPr>
            </w:pPr>
            <w:r>
              <w:rPr>
                <w:b/>
                <w:spacing w:val="-2"/>
              </w:rPr>
              <w:t>)</w:t>
            </w:r>
          </w:p>
          <w:p w:rsidR="003C108D" w:rsidP="00CB2E97" w14:paraId="00F3DE95" w14:textId="77777777">
            <w:pPr>
              <w:tabs>
                <w:tab w:val="center" w:pos="4680"/>
              </w:tabs>
              <w:suppressAutoHyphens/>
              <w:rPr>
                <w:b/>
                <w:spacing w:val="-2"/>
              </w:rPr>
            </w:pPr>
            <w:r>
              <w:rPr>
                <w:b/>
                <w:spacing w:val="-2"/>
              </w:rPr>
              <w:t>)</w:t>
            </w:r>
          </w:p>
          <w:p w:rsidR="003C108D" w:rsidP="00CB2E97" w14:paraId="26AEA3DE" w14:textId="77777777">
            <w:pPr>
              <w:tabs>
                <w:tab w:val="center" w:pos="4680"/>
              </w:tabs>
              <w:suppressAutoHyphens/>
              <w:rPr>
                <w:b/>
                <w:spacing w:val="-2"/>
              </w:rPr>
            </w:pPr>
            <w:r>
              <w:rPr>
                <w:b/>
                <w:spacing w:val="-2"/>
              </w:rPr>
              <w:t>)</w:t>
            </w:r>
          </w:p>
          <w:p w:rsidR="003C108D" w:rsidRPr="006D4164" w:rsidP="00CB2E97" w14:paraId="14D135CC" w14:textId="77777777">
            <w:pPr>
              <w:tabs>
                <w:tab w:val="center" w:pos="4680"/>
              </w:tabs>
              <w:suppressAutoHyphens/>
              <w:rPr>
                <w:b/>
                <w:spacing w:val="-2"/>
              </w:rPr>
            </w:pPr>
          </w:p>
        </w:tc>
        <w:tc>
          <w:tcPr>
            <w:tcW w:w="4218" w:type="dxa"/>
          </w:tcPr>
          <w:p w:rsidR="003C108D" w:rsidP="00CB2E97" w14:paraId="3909904A" w14:textId="77777777">
            <w:pPr>
              <w:tabs>
                <w:tab w:val="center" w:pos="4680"/>
              </w:tabs>
              <w:suppressAutoHyphens/>
              <w:rPr>
                <w:spacing w:val="-2"/>
              </w:rPr>
            </w:pPr>
          </w:p>
          <w:p w:rsidR="003C108D" w:rsidP="00CB2E97" w14:paraId="3EF1396B" w14:textId="77777777">
            <w:pPr>
              <w:pStyle w:val="TOAHeading"/>
              <w:tabs>
                <w:tab w:val="center" w:pos="4680"/>
                <w:tab w:val="clear" w:pos="9360"/>
              </w:tabs>
              <w:rPr>
                <w:spacing w:val="-2"/>
              </w:rPr>
            </w:pPr>
          </w:p>
          <w:p w:rsidR="003C108D" w:rsidRPr="001376F0" w:rsidP="00CB2E97" w14:paraId="47348773" w14:textId="77777777">
            <w:r w:rsidRPr="001376F0">
              <w:t xml:space="preserve">CG Docket No. </w:t>
            </w:r>
            <w:r>
              <w:t>02-278</w:t>
            </w:r>
          </w:p>
          <w:p w:rsidR="003C108D" w:rsidP="00CB2E97" w14:paraId="453D2EDA" w14:textId="77777777">
            <w:pPr>
              <w:tabs>
                <w:tab w:val="center" w:pos="4680"/>
              </w:tabs>
              <w:suppressAutoHyphens/>
              <w:rPr>
                <w:spacing w:val="-2"/>
              </w:rPr>
            </w:pPr>
          </w:p>
          <w:p w:rsidR="003C108D" w:rsidP="00CB2E97" w14:paraId="573B467F" w14:textId="77777777">
            <w:pPr>
              <w:tabs>
                <w:tab w:val="center" w:pos="4680"/>
              </w:tabs>
              <w:suppressAutoHyphens/>
              <w:rPr>
                <w:spacing w:val="-2"/>
              </w:rPr>
            </w:pPr>
          </w:p>
        </w:tc>
      </w:tr>
    </w:tbl>
    <w:p w:rsidR="003C108D" w:rsidP="003C108D" w14:paraId="2EB7D537" w14:textId="77777777">
      <w:pPr>
        <w:pStyle w:val="StyleBoldCentered"/>
      </w:pPr>
    </w:p>
    <w:p w:rsidR="003C108D" w:rsidP="003C108D" w14:paraId="5D7B59CC" w14:textId="77777777">
      <w:pPr>
        <w:pStyle w:val="StyleBoldCentered"/>
      </w:pPr>
      <w:r>
        <w:t>Notice of proposed rulemaking</w:t>
      </w:r>
    </w:p>
    <w:p w:rsidR="003C108D" w:rsidP="003C108D" w14:paraId="6030D780" w14:textId="77777777">
      <w:pPr>
        <w:tabs>
          <w:tab w:val="left" w:pos="-720"/>
        </w:tabs>
        <w:suppressAutoHyphens/>
        <w:spacing w:line="227" w:lineRule="auto"/>
        <w:rPr>
          <w:spacing w:val="-2"/>
        </w:rPr>
      </w:pPr>
    </w:p>
    <w:p w:rsidR="003C108D" w:rsidP="003C108D" w14:paraId="4CC83506" w14:textId="466294C3">
      <w:pPr>
        <w:tabs>
          <w:tab w:val="left" w:pos="720"/>
          <w:tab w:val="right" w:pos="9360"/>
        </w:tabs>
        <w:suppressAutoHyphens/>
        <w:spacing w:line="227" w:lineRule="auto"/>
        <w:rPr>
          <w:spacing w:val="-2"/>
        </w:rPr>
      </w:pPr>
      <w:r>
        <w:rPr>
          <w:b/>
          <w:spacing w:val="-2"/>
        </w:rPr>
        <w:t xml:space="preserve">Adopted:  </w:t>
      </w:r>
      <w:r w:rsidR="00A361E1">
        <w:rPr>
          <w:b/>
          <w:spacing w:val="-2"/>
        </w:rPr>
        <w:t>June 8</w:t>
      </w:r>
      <w:r>
        <w:rPr>
          <w:b/>
          <w:spacing w:val="-2"/>
        </w:rPr>
        <w:t>, 202</w:t>
      </w:r>
      <w:r w:rsidR="00A040C1">
        <w:rPr>
          <w:b/>
          <w:spacing w:val="-2"/>
        </w:rPr>
        <w:t>3</w:t>
      </w:r>
      <w:r>
        <w:rPr>
          <w:b/>
          <w:spacing w:val="-2"/>
        </w:rPr>
        <w:tab/>
        <w:t xml:space="preserve">Released:  </w:t>
      </w:r>
      <w:r w:rsidR="00A361E1">
        <w:rPr>
          <w:b/>
          <w:spacing w:val="-2"/>
        </w:rPr>
        <w:t xml:space="preserve">June </w:t>
      </w:r>
      <w:r w:rsidR="00BE47F3">
        <w:rPr>
          <w:b/>
          <w:spacing w:val="-2"/>
        </w:rPr>
        <w:t>9,</w:t>
      </w:r>
      <w:r w:rsidRPr="007226C0">
        <w:rPr>
          <w:b/>
          <w:spacing w:val="-2"/>
        </w:rPr>
        <w:t xml:space="preserve"> 202</w:t>
      </w:r>
      <w:r w:rsidR="00A040C1">
        <w:rPr>
          <w:b/>
          <w:spacing w:val="-2"/>
        </w:rPr>
        <w:t>3</w:t>
      </w:r>
    </w:p>
    <w:p w:rsidR="003C108D" w:rsidP="003C108D" w14:paraId="37A6F3C2" w14:textId="77777777">
      <w:bookmarkStart w:id="0" w:name="_Hlk52455694"/>
    </w:p>
    <w:p w:rsidR="003C108D" w:rsidRPr="001376F0" w:rsidP="003C108D" w14:paraId="1AE22562" w14:textId="5D6BC456">
      <w:pPr>
        <w:rPr>
          <w:b/>
        </w:rPr>
      </w:pPr>
      <w:r w:rsidRPr="001376F0">
        <w:rPr>
          <w:b/>
        </w:rPr>
        <w:t>Comment Date:  (</w:t>
      </w:r>
      <w:r w:rsidR="00A040C1">
        <w:rPr>
          <w:b/>
        </w:rPr>
        <w:t>30</w:t>
      </w:r>
      <w:r w:rsidRPr="001376F0">
        <w:rPr>
          <w:b/>
        </w:rPr>
        <w:t xml:space="preserve"> days after date of publication in the</w:t>
      </w:r>
      <w:r>
        <w:rPr>
          <w:b/>
        </w:rPr>
        <w:t xml:space="preserve"> Federal </w:t>
      </w:r>
      <w:r w:rsidRPr="001376F0">
        <w:rPr>
          <w:b/>
        </w:rPr>
        <w:t>Register)</w:t>
      </w:r>
    </w:p>
    <w:p w:rsidR="003C108D" w:rsidP="003C108D" w14:paraId="70C0D426" w14:textId="6DA2A373">
      <w:pPr>
        <w:rPr>
          <w:b/>
        </w:rPr>
      </w:pPr>
      <w:r w:rsidRPr="001376F0">
        <w:rPr>
          <w:b/>
        </w:rPr>
        <w:t>Reply Comment Date:  (</w:t>
      </w:r>
      <w:r w:rsidR="00A040C1">
        <w:rPr>
          <w:b/>
        </w:rPr>
        <w:t>4</w:t>
      </w:r>
      <w:r>
        <w:rPr>
          <w:b/>
        </w:rPr>
        <w:t>5</w:t>
      </w:r>
      <w:r w:rsidRPr="001376F0">
        <w:rPr>
          <w:b/>
        </w:rPr>
        <w:t xml:space="preserve"> days after date of publication in the Federal Register)</w:t>
      </w:r>
    </w:p>
    <w:p w:rsidR="003C108D" w:rsidRPr="00BF7B15" w:rsidP="003C108D" w14:paraId="3097B4CF" w14:textId="77777777">
      <w:pPr>
        <w:rPr>
          <w:b/>
        </w:rPr>
      </w:pPr>
    </w:p>
    <w:p w:rsidR="003C108D" w:rsidP="003C108D" w14:paraId="47003E8B" w14:textId="1219F017">
      <w:pPr>
        <w:rPr>
          <w:spacing w:val="-2"/>
        </w:rPr>
      </w:pPr>
      <w:r>
        <w:t xml:space="preserve">By the </w:t>
      </w:r>
      <w:r>
        <w:rPr>
          <w:spacing w:val="-2"/>
        </w:rPr>
        <w:t xml:space="preserve">Commission: </w:t>
      </w:r>
      <w:r w:rsidR="000D2EA4">
        <w:rPr>
          <w:spacing w:val="-2"/>
        </w:rPr>
        <w:t xml:space="preserve">Chairwoman </w:t>
      </w:r>
      <w:r w:rsidR="000D2EA4">
        <w:rPr>
          <w:spacing w:val="-2"/>
        </w:rPr>
        <w:t>Rosenworcel</w:t>
      </w:r>
      <w:r w:rsidR="000D2EA4">
        <w:rPr>
          <w:spacing w:val="-2"/>
        </w:rPr>
        <w:t xml:space="preserve"> issuing a statement.</w:t>
      </w:r>
    </w:p>
    <w:p w:rsidR="003C108D" w:rsidP="003C108D" w14:paraId="6F6C3010" w14:textId="77777777">
      <w:pPr>
        <w:rPr>
          <w:spacing w:val="-2"/>
        </w:rPr>
      </w:pPr>
    </w:p>
    <w:p w:rsidR="003C108D" w:rsidP="003C108D" w14:paraId="247CC04A" w14:textId="77777777">
      <w:pPr>
        <w:pStyle w:val="Heading1"/>
      </w:pPr>
      <w:bookmarkStart w:id="1" w:name="_Toc40348073"/>
      <w:bookmarkStart w:id="2" w:name="_Toc40348314"/>
      <w:bookmarkStart w:id="3" w:name="_Toc41931902"/>
      <w:bookmarkStart w:id="4" w:name="_Toc43637488"/>
      <w:bookmarkStart w:id="5" w:name="_Toc43820726"/>
      <w:bookmarkStart w:id="6" w:name="_Toc45638034"/>
      <w:bookmarkStart w:id="7" w:name="_Toc45638223"/>
      <w:bookmarkStart w:id="8" w:name="_Toc45638283"/>
      <w:bookmarkStart w:id="9" w:name="_Toc45710394"/>
      <w:bookmarkStart w:id="10" w:name="_Toc45713526"/>
      <w:bookmarkStart w:id="11" w:name="_Toc45716350"/>
      <w:bookmarkStart w:id="12" w:name="_Toc45723342"/>
      <w:bookmarkStart w:id="13" w:name="_Toc45728488"/>
      <w:r>
        <w:t>introduction</w:t>
      </w:r>
      <w:bookmarkEnd w:id="1"/>
      <w:bookmarkEnd w:id="2"/>
      <w:bookmarkEnd w:id="3"/>
      <w:bookmarkEnd w:id="4"/>
      <w:bookmarkEnd w:id="5"/>
      <w:bookmarkEnd w:id="6"/>
      <w:bookmarkEnd w:id="7"/>
      <w:bookmarkEnd w:id="8"/>
      <w:bookmarkEnd w:id="9"/>
      <w:bookmarkEnd w:id="10"/>
      <w:bookmarkEnd w:id="11"/>
      <w:bookmarkEnd w:id="12"/>
      <w:bookmarkEnd w:id="13"/>
    </w:p>
    <w:p w:rsidR="00BE25BF" w:rsidP="008B2C94" w14:paraId="6B42BDAF" w14:textId="443DBF96">
      <w:pPr>
        <w:pStyle w:val="ParaNum"/>
        <w:widowControl/>
      </w:pPr>
      <w:r w:rsidRPr="00D13F5D">
        <w:t xml:space="preserve">The </w:t>
      </w:r>
      <w:r>
        <w:t>Telephone Consumer Protection Act (</w:t>
      </w:r>
      <w:r w:rsidRPr="00D13F5D">
        <w:t>TCPA</w:t>
      </w:r>
      <w:r>
        <w:t>)</w:t>
      </w:r>
      <w:r w:rsidRPr="00D13F5D">
        <w:t xml:space="preserve"> restricts robocalls and </w:t>
      </w:r>
      <w:r w:rsidRPr="00D13F5D">
        <w:t>robotexts</w:t>
      </w:r>
      <w:r>
        <w:t>,</w:t>
      </w:r>
      <w:r w:rsidRPr="00D13F5D">
        <w:t xml:space="preserve"> absent the prior express consent of the called party or a recognized exemption.</w:t>
      </w:r>
      <w:r>
        <w:rPr>
          <w:vertAlign w:val="superscript"/>
        </w:rPr>
        <w:footnoteReference w:id="3"/>
      </w:r>
      <w:r>
        <w:t xml:space="preserve">  Over many years, the Commission has made clear that consumers have a right to decide which robocalls they wish to receive by exercising their ability to grant or revoke consent to receive such calls and texts.  </w:t>
      </w:r>
      <w:r w:rsidR="00EA2C0D">
        <w:t xml:space="preserve">We initiate this proceeding to clarify and strengthen consumers’ </w:t>
      </w:r>
      <w:r w:rsidR="00757B1E">
        <w:t xml:space="preserve">ability to revoke consent to </w:t>
      </w:r>
      <w:r w:rsidR="00902D19">
        <w:t xml:space="preserve">receive </w:t>
      </w:r>
      <w:r w:rsidR="00757B1E">
        <w:t xml:space="preserve">both </w:t>
      </w:r>
      <w:r w:rsidRPr="000D574F" w:rsidR="007A77E4">
        <w:t>robocalls</w:t>
      </w:r>
      <w:r w:rsidR="00757B1E">
        <w:t xml:space="preserve"> and </w:t>
      </w:r>
      <w:r w:rsidR="00757B1E">
        <w:t>robotexts</w:t>
      </w:r>
      <w:r w:rsidR="00366B36">
        <w:t>.</w:t>
      </w:r>
      <w:r>
        <w:rPr>
          <w:rStyle w:val="FootnoteReference"/>
        </w:rPr>
        <w:footnoteReference w:id="4"/>
      </w:r>
      <w:r w:rsidR="00366B36">
        <w:t xml:space="preserve">  </w:t>
      </w:r>
      <w:r w:rsidR="00685B74">
        <w:t>Doing so will also</w:t>
      </w:r>
      <w:r w:rsidR="007A77E4">
        <w:t xml:space="preserve"> clarify</w:t>
      </w:r>
      <w:r w:rsidR="0081119B">
        <w:t xml:space="preserve"> callers</w:t>
      </w:r>
      <w:r w:rsidR="007A77E4">
        <w:t>’</w:t>
      </w:r>
      <w:r w:rsidR="0081119B">
        <w:t xml:space="preserve"> obligation</w:t>
      </w:r>
      <w:r w:rsidR="007A77E4">
        <w:t>s</w:t>
      </w:r>
      <w:r w:rsidR="00AC6CE3">
        <w:t xml:space="preserve"> under the Commission’s rules</w:t>
      </w:r>
      <w:r w:rsidR="0081119B">
        <w:t xml:space="preserve"> to honor such requests in a timely manner.</w:t>
      </w:r>
      <w:r w:rsidRPr="007A77E4" w:rsidR="007A77E4">
        <w:t xml:space="preserve"> </w:t>
      </w:r>
      <w:r w:rsidR="007A77E4">
        <w:t xml:space="preserve"> </w:t>
      </w:r>
    </w:p>
    <w:p w:rsidR="003C108D" w:rsidP="007F303F" w14:paraId="5AF018C4" w14:textId="33888D2A">
      <w:pPr>
        <w:pStyle w:val="ParaNum"/>
        <w:widowControl/>
      </w:pPr>
      <w:r>
        <w:t>The TCPA does not</w:t>
      </w:r>
      <w:r w:rsidR="00C94806">
        <w:t xml:space="preserve"> </w:t>
      </w:r>
      <w:r>
        <w:t xml:space="preserve">define prior express consent or otherwise provide guidance relating to how consumers may provide or revoke consent to receive robocalls.  As a result, </w:t>
      </w:r>
      <w:r w:rsidR="00F96ADB">
        <w:t xml:space="preserve">the Commission </w:t>
      </w:r>
      <w:r w:rsidR="00DB22C2">
        <w:t xml:space="preserve">has </w:t>
      </w:r>
      <w:r w:rsidR="00853211">
        <w:t>clarified</w:t>
      </w:r>
      <w:r w:rsidR="00F96ADB">
        <w:t xml:space="preserve"> </w:t>
      </w:r>
      <w:r>
        <w:t xml:space="preserve">various issues </w:t>
      </w:r>
      <w:r w:rsidR="007262F2">
        <w:t>surrounding</w:t>
      </w:r>
      <w:r>
        <w:t xml:space="preserve"> </w:t>
      </w:r>
      <w:r w:rsidR="00F96ADB">
        <w:t xml:space="preserve">consent to receive robocalls.  In some instances, these </w:t>
      </w:r>
      <w:r w:rsidR="00EC11AD">
        <w:t xml:space="preserve">clarifications </w:t>
      </w:r>
      <w:r w:rsidR="00F96ADB">
        <w:t xml:space="preserve">are not </w:t>
      </w:r>
      <w:r w:rsidR="00EC11AD">
        <w:t xml:space="preserve">explicitly </w:t>
      </w:r>
      <w:r w:rsidR="00F96ADB">
        <w:t xml:space="preserve">reflected in the Commission’s rules. </w:t>
      </w:r>
      <w:r w:rsidR="00F80181">
        <w:t xml:space="preserve"> W</w:t>
      </w:r>
      <w:r w:rsidRPr="00F80181" w:rsidR="00F80181">
        <w:t xml:space="preserve">e propose to codify the Commission’s </w:t>
      </w:r>
      <w:r w:rsidR="00673C18">
        <w:t>past</w:t>
      </w:r>
      <w:r w:rsidRPr="00F80181" w:rsidR="00673C18">
        <w:t xml:space="preserve"> </w:t>
      </w:r>
      <w:r w:rsidRPr="00F80181" w:rsidR="00F80181">
        <w:t xml:space="preserve">guidance on prior express consent to make these requirements more apparent to callers and consumers. </w:t>
      </w:r>
      <w:r w:rsidR="00F80181">
        <w:t xml:space="preserve"> </w:t>
      </w:r>
      <w:r w:rsidRPr="00F80181" w:rsidR="00F80181">
        <w:t xml:space="preserve">In addition, we propose to amend our rules to strengthen the ability of consumers to decide which robocalls and </w:t>
      </w:r>
      <w:r w:rsidRPr="00F80181" w:rsidR="00F80181">
        <w:t>robotexts</w:t>
      </w:r>
      <w:r w:rsidRPr="00F80181" w:rsidR="00F80181">
        <w:t xml:space="preserve"> they wish to receive by exercising their right to grant and revoke consent to individual callers.</w:t>
      </w:r>
      <w:r w:rsidRPr="00F80181" w:rsidR="004D69CF">
        <w:rPr>
          <w:vertAlign w:val="superscript"/>
        </w:rPr>
        <w:t xml:space="preserve"> </w:t>
      </w:r>
      <w:r w:rsidRPr="00F80181" w:rsidR="00F80181">
        <w:t xml:space="preserve"> </w:t>
      </w:r>
    </w:p>
    <w:p w:rsidR="000203B2" w:rsidRPr="000203B2" w:rsidP="00A71EFD" w14:paraId="05892A06" w14:textId="20317DD8">
      <w:pPr>
        <w:pStyle w:val="Heading1"/>
        <w:widowControl/>
        <w:spacing w:line="259" w:lineRule="auto"/>
      </w:pPr>
      <w:bookmarkStart w:id="14" w:name="_Toc40348074"/>
      <w:bookmarkStart w:id="15" w:name="_Toc40348315"/>
      <w:bookmarkStart w:id="16" w:name="_Toc41931903"/>
      <w:bookmarkStart w:id="17" w:name="_Toc43637489"/>
      <w:bookmarkStart w:id="18" w:name="_Toc43820727"/>
      <w:bookmarkStart w:id="19" w:name="_Toc45638035"/>
      <w:bookmarkStart w:id="20" w:name="_Toc45638224"/>
      <w:bookmarkStart w:id="21" w:name="_Toc45638284"/>
      <w:bookmarkStart w:id="22" w:name="_Toc45710395"/>
      <w:bookmarkStart w:id="23" w:name="_Toc45713527"/>
      <w:bookmarkStart w:id="24" w:name="_Toc45716351"/>
      <w:bookmarkStart w:id="25" w:name="_Toc45723343"/>
      <w:bookmarkStart w:id="26" w:name="_Toc45728489"/>
      <w:r>
        <w:t>Background</w:t>
      </w:r>
      <w:bookmarkEnd w:id="14"/>
      <w:bookmarkEnd w:id="15"/>
      <w:bookmarkEnd w:id="16"/>
      <w:bookmarkEnd w:id="17"/>
      <w:bookmarkEnd w:id="18"/>
      <w:bookmarkEnd w:id="19"/>
      <w:bookmarkEnd w:id="20"/>
      <w:bookmarkEnd w:id="21"/>
      <w:bookmarkEnd w:id="22"/>
      <w:bookmarkEnd w:id="23"/>
      <w:bookmarkEnd w:id="24"/>
      <w:bookmarkEnd w:id="25"/>
      <w:bookmarkEnd w:id="26"/>
    </w:p>
    <w:p w:rsidR="003C108D" w:rsidRPr="00570802" w:rsidP="004854DE" w14:paraId="4F9CF314" w14:textId="6F900DDE">
      <w:pPr>
        <w:pStyle w:val="ParaNum"/>
        <w:widowControl/>
        <w:rPr>
          <w:szCs w:val="22"/>
        </w:rPr>
      </w:pPr>
      <w:bookmarkStart w:id="27" w:name="_Hlk46815690"/>
      <w:r>
        <w:t>T</w:t>
      </w:r>
      <w:r w:rsidRPr="00E37622">
        <w:t>he TCPA prohibit</w:t>
      </w:r>
      <w:r>
        <w:t>s initiating “</w:t>
      </w:r>
      <w:r w:rsidRPr="00475BE0">
        <w:t>any</w:t>
      </w:r>
      <w:r>
        <w:t xml:space="preserve"> telephone call to any residential telephone line using an artificial or prerecorded voice to deliver a message without the prior express consent of the called party” unless a statutory exception applies or the call is “exempted by rule or order by the Commission </w:t>
      </w:r>
      <w:r>
        <w:t>under [section 227(b)(2)(B)]</w:t>
      </w:r>
      <w:r w:rsidRPr="00E37622">
        <w:t>.</w:t>
      </w:r>
      <w:r>
        <w:t>”</w:t>
      </w:r>
      <w:r>
        <w:rPr>
          <w:vertAlign w:val="superscript"/>
        </w:rPr>
        <w:footnoteReference w:id="5"/>
      </w:r>
      <w:r w:rsidRPr="00E37622">
        <w:t xml:space="preserve">  </w:t>
      </w:r>
      <w:r w:rsidRPr="00570802">
        <w:rPr>
          <w:color w:val="000000"/>
          <w:szCs w:val="22"/>
        </w:rPr>
        <w:t xml:space="preserve">The TCPA also prohibits, without the prior express consent of the called party, any call </w:t>
      </w:r>
      <w:r w:rsidR="007D1B83">
        <w:rPr>
          <w:color w:val="000000"/>
          <w:szCs w:val="22"/>
        </w:rPr>
        <w:t xml:space="preserve">made </w:t>
      </w:r>
      <w:r w:rsidRPr="00570802">
        <w:rPr>
          <w:color w:val="000000"/>
          <w:szCs w:val="22"/>
        </w:rPr>
        <w:t>using an automatic telephone dialing system or an artificial or prerecorded</w:t>
      </w:r>
      <w:r>
        <w:rPr>
          <w:color w:val="000000"/>
          <w:szCs w:val="22"/>
        </w:rPr>
        <w:t xml:space="preserve"> </w:t>
      </w:r>
      <w:r w:rsidRPr="00570802">
        <w:rPr>
          <w:color w:val="000000"/>
          <w:szCs w:val="22"/>
        </w:rPr>
        <w:t>voice to any telephone number “assigned to a paging service, cellular telephone service, specialized mobile radio service, or other radio common carrier service, or any service for which the called party is charged for the call” unless a statutory exception applies.</w:t>
      </w:r>
      <w:r>
        <w:rPr>
          <w:rStyle w:val="FootnoteReference"/>
          <w:sz w:val="22"/>
          <w:szCs w:val="22"/>
        </w:rPr>
        <w:footnoteReference w:id="6"/>
      </w:r>
      <w:r w:rsidRPr="00570802">
        <w:rPr>
          <w:color w:val="000000"/>
          <w:szCs w:val="22"/>
        </w:rPr>
        <w:t xml:space="preserve">  </w:t>
      </w:r>
      <w:r w:rsidRPr="00570802">
        <w:rPr>
          <w:szCs w:val="22"/>
        </w:rPr>
        <w:t xml:space="preserve">  </w:t>
      </w:r>
    </w:p>
    <w:bookmarkEnd w:id="27"/>
    <w:p w:rsidR="003C108D" w:rsidP="004854DE" w14:paraId="7AD82463" w14:textId="795FB063">
      <w:pPr>
        <w:pStyle w:val="ParaNum"/>
        <w:widowControl/>
      </w:pPr>
      <w:r>
        <w:rPr>
          <w:i/>
          <w:iCs/>
        </w:rPr>
        <w:t>Consent</w:t>
      </w:r>
      <w:r w:rsidR="00F5732C">
        <w:rPr>
          <w:i/>
          <w:iCs/>
        </w:rPr>
        <w:t xml:space="preserve"> to Calls</w:t>
      </w:r>
      <w:r>
        <w:rPr>
          <w:i/>
          <w:iCs/>
        </w:rPr>
        <w:t xml:space="preserve"> from Wireless Carriers.  </w:t>
      </w:r>
      <w:r w:rsidRPr="00C46FAA" w:rsidR="00FC2AED">
        <w:t xml:space="preserve">In 1992, </w:t>
      </w:r>
      <w:r w:rsidRPr="002A60CE" w:rsidR="002A60CE">
        <w:t xml:space="preserve">the Commission concluded that </w:t>
      </w:r>
      <w:r w:rsidR="002A60CE">
        <w:t>wireless</w:t>
      </w:r>
      <w:r w:rsidRPr="002A60CE" w:rsidR="002A60CE">
        <w:t xml:space="preserve"> carriers need not obtain “additional consent” from their </w:t>
      </w:r>
      <w:r w:rsidR="00B53C35">
        <w:t xml:space="preserve">own </w:t>
      </w:r>
      <w:r w:rsidRPr="002A60CE" w:rsidR="002A60CE">
        <w:t>subscribers prior to initiating autodialed or artificial or prerecorded</w:t>
      </w:r>
      <w:r w:rsidR="00336BC4">
        <w:t xml:space="preserve"> </w:t>
      </w:r>
      <w:r w:rsidRPr="002A60CE" w:rsidR="002A60CE">
        <w:t>voice calls</w:t>
      </w:r>
      <w:r w:rsidR="00F73A3D">
        <w:t xml:space="preserve"> to those subscribers</w:t>
      </w:r>
      <w:r w:rsidRPr="002A60CE" w:rsidR="002A60CE">
        <w:t xml:space="preserve"> </w:t>
      </w:r>
      <w:r w:rsidR="00B53C35">
        <w:t xml:space="preserve">because such calls are not charged to the called </w:t>
      </w:r>
      <w:r w:rsidR="00E654EE">
        <w:t>party</w:t>
      </w:r>
      <w:r w:rsidRPr="002A60CE" w:rsidR="002A60CE">
        <w:t>.</w:t>
      </w:r>
      <w:r>
        <w:rPr>
          <w:rStyle w:val="FootnoteReference"/>
        </w:rPr>
        <w:footnoteReference w:id="7"/>
      </w:r>
      <w:r w:rsidR="00B53C35">
        <w:t xml:space="preserve">  In 2019, two </w:t>
      </w:r>
      <w:r w:rsidR="00A36D45">
        <w:t>petitioners sought</w:t>
      </w:r>
      <w:r w:rsidR="00B53C35">
        <w:t xml:space="preserve"> a ruling that wireless subscriber</w:t>
      </w:r>
      <w:r w:rsidR="00EC3283">
        <w:t>s</w:t>
      </w:r>
      <w:r w:rsidR="00B53C35">
        <w:t xml:space="preserve"> can stop robocalls </w:t>
      </w:r>
      <w:r w:rsidR="00F73A3D">
        <w:t>and</w:t>
      </w:r>
      <w:r w:rsidR="00B53C35">
        <w:t xml:space="preserve"> </w:t>
      </w:r>
      <w:r w:rsidR="00F73A3D">
        <w:t>robo</w:t>
      </w:r>
      <w:r w:rsidR="00B53C35">
        <w:t>texts</w:t>
      </w:r>
      <w:r w:rsidR="00B53C35">
        <w:t xml:space="preserve"> from their wireless service provider by</w:t>
      </w:r>
      <w:r w:rsidR="00D03DEF">
        <w:t xml:space="preserve"> making a request to revok</w:t>
      </w:r>
      <w:r w:rsidR="00B52A2B">
        <w:t>e</w:t>
      </w:r>
      <w:r w:rsidR="00D03DEF">
        <w:t xml:space="preserve"> consent </w:t>
      </w:r>
      <w:r w:rsidR="00B53C35">
        <w:t>to their service provider.</w:t>
      </w:r>
      <w:r>
        <w:rPr>
          <w:rStyle w:val="FootnoteReference"/>
        </w:rPr>
        <w:footnoteReference w:id="8"/>
      </w:r>
      <w:r w:rsidR="004754D3">
        <w:t xml:space="preserve">  These petitions are still pending before the Commission.</w:t>
      </w:r>
      <w:r w:rsidR="00D03DEF">
        <w:t xml:space="preserve">  </w:t>
      </w:r>
    </w:p>
    <w:p w:rsidR="00436C78" w:rsidP="004854DE" w14:paraId="59F5EA8D" w14:textId="557E42F5">
      <w:pPr>
        <w:pStyle w:val="ParaNum"/>
        <w:widowControl/>
      </w:pPr>
      <w:r w:rsidRPr="00E67240">
        <w:rPr>
          <w:i/>
          <w:iCs/>
        </w:rPr>
        <w:t>Opt-out Confirmation Texts.</w:t>
      </w:r>
      <w:r>
        <w:t xml:space="preserve">  </w:t>
      </w:r>
      <w:r w:rsidR="00B52A2B">
        <w:t>In 2012, the Commission ruled that sending a one-time text message confirming a consumer’s request that no further text messages be sent from that sender does not violate the TCPA if the confirmation text complie</w:t>
      </w:r>
      <w:r w:rsidR="00286BB9">
        <w:t>s</w:t>
      </w:r>
      <w:r w:rsidR="00B52A2B">
        <w:t xml:space="preserve"> with certain specific limitations</w:t>
      </w:r>
      <w:r w:rsidR="00C35D35">
        <w:t>,</w:t>
      </w:r>
      <w:r w:rsidR="00B52A2B">
        <w:t xml:space="preserve"> including </w:t>
      </w:r>
      <w:r w:rsidR="00286BB9">
        <w:t xml:space="preserve">that it </w:t>
      </w:r>
      <w:r w:rsidR="00B52A2B">
        <w:t>not contain any marketing.</w:t>
      </w:r>
      <w:r>
        <w:rPr>
          <w:rStyle w:val="FootnoteReference"/>
        </w:rPr>
        <w:footnoteReference w:id="9"/>
      </w:r>
      <w:r w:rsidR="001013D3">
        <w:t xml:space="preserve"> </w:t>
      </w:r>
      <w:r w:rsidR="00286BB9">
        <w:t xml:space="preserve"> </w:t>
      </w:r>
      <w:r w:rsidR="001013D3">
        <w:t xml:space="preserve">In 2019, Capital One </w:t>
      </w:r>
      <w:r w:rsidRPr="001013D3" w:rsidR="001013D3">
        <w:t xml:space="preserve">filed a petition requesting </w:t>
      </w:r>
      <w:r w:rsidR="004C79D5">
        <w:t>a declaratory ruling</w:t>
      </w:r>
      <w:r w:rsidRPr="001013D3" w:rsidR="004C79D5">
        <w:t xml:space="preserve"> </w:t>
      </w:r>
      <w:r w:rsidRPr="001013D3" w:rsidR="001013D3">
        <w:t>tha</w:t>
      </w:r>
      <w:r w:rsidR="00350507">
        <w:t>t</w:t>
      </w:r>
      <w:r w:rsidR="008641AF">
        <w:t>,</w:t>
      </w:r>
      <w:r w:rsidR="00350507">
        <w:t xml:space="preserve"> if a sender </w:t>
      </w:r>
      <w:r w:rsidRPr="00350507" w:rsidR="00350507">
        <w:t>receives a</w:t>
      </w:r>
      <w:r w:rsidR="0059529D">
        <w:t xml:space="preserve">n </w:t>
      </w:r>
      <w:r w:rsidRPr="00350507" w:rsidR="00350507">
        <w:t xml:space="preserve">opt-out request from </w:t>
      </w:r>
      <w:r w:rsidR="00350507">
        <w:t xml:space="preserve">a text </w:t>
      </w:r>
      <w:r w:rsidRPr="00350507" w:rsidR="00350507">
        <w:t>message</w:t>
      </w:r>
      <w:r w:rsidR="0059529D">
        <w:t xml:space="preserve"> recipient</w:t>
      </w:r>
      <w:r w:rsidRPr="00350507" w:rsidR="00350507">
        <w:t xml:space="preserve"> and th</w:t>
      </w:r>
      <w:r w:rsidR="00286BB9">
        <w:t>e sender’s</w:t>
      </w:r>
      <w:r w:rsidRPr="00350507" w:rsidR="00350507">
        <w:t xml:space="preserve"> informational message was part of a program</w:t>
      </w:r>
      <w:r w:rsidR="00286BB9">
        <w:t xml:space="preserve"> of several categories of informational messages</w:t>
      </w:r>
      <w:r w:rsidRPr="00350507" w:rsidR="00350507">
        <w:t xml:space="preserve"> in which the recipient had previously enrolled, then, pursuant to the </w:t>
      </w:r>
      <w:r w:rsidRPr="00350507" w:rsidR="007615D9">
        <w:t>Commission</w:t>
      </w:r>
      <w:r w:rsidR="007615D9">
        <w:t>’</w:t>
      </w:r>
      <w:r w:rsidRPr="00350507" w:rsidR="007615D9">
        <w:t xml:space="preserve">s </w:t>
      </w:r>
      <w:r w:rsidRPr="00350507" w:rsidR="00350507">
        <w:t>ruling in </w:t>
      </w:r>
      <w:r w:rsidRPr="00350507" w:rsidR="00350507">
        <w:rPr>
          <w:i/>
          <w:iCs/>
        </w:rPr>
        <w:t>Soundbite</w:t>
      </w:r>
      <w:r w:rsidRPr="00350507" w:rsidR="00350507">
        <w:t xml:space="preserve">, </w:t>
      </w:r>
      <w:bookmarkStart w:id="29" w:name="_Hlk129942694"/>
      <w:r w:rsidRPr="00350507" w:rsidR="00350507">
        <w:t>the sender may</w:t>
      </w:r>
      <w:r w:rsidR="0059529D">
        <w:t xml:space="preserve"> seek</w:t>
      </w:r>
      <w:r w:rsidRPr="00350507" w:rsidR="00350507">
        <w:t xml:space="preserve"> clarif</w:t>
      </w:r>
      <w:r w:rsidR="0059529D">
        <w:t>ication</w:t>
      </w:r>
      <w:r w:rsidRPr="00350507" w:rsidR="00350507">
        <w:t xml:space="preserve"> in an opt-out confirmation message to the recipient </w:t>
      </w:r>
      <w:r w:rsidR="004756D8">
        <w:t xml:space="preserve">regarding </w:t>
      </w:r>
      <w:r w:rsidRPr="00350507" w:rsidR="00350507">
        <w:t xml:space="preserve">the scope of the </w:t>
      </w:r>
      <w:r w:rsidRPr="00350507" w:rsidR="007615D9">
        <w:t>recipient</w:t>
      </w:r>
      <w:r w:rsidR="007615D9">
        <w:t>’</w:t>
      </w:r>
      <w:r w:rsidRPr="00350507" w:rsidR="007615D9">
        <w:t xml:space="preserve">s </w:t>
      </w:r>
      <w:r w:rsidRPr="00350507" w:rsidR="00350507">
        <w:t xml:space="preserve">opt-out request </w:t>
      </w:r>
      <w:bookmarkEnd w:id="29"/>
      <w:r w:rsidRPr="00350507" w:rsidR="00350507">
        <w:t>without violating the TCPA</w:t>
      </w:r>
      <w:r w:rsidR="001013D3">
        <w:t>.</w:t>
      </w:r>
      <w:r>
        <w:rPr>
          <w:rStyle w:val="FootnoteReference"/>
        </w:rPr>
        <w:footnoteReference w:id="10"/>
      </w:r>
      <w:r w:rsidR="00350507">
        <w:t xml:space="preserve">  </w:t>
      </w:r>
      <w:r w:rsidR="0081260B">
        <w:t xml:space="preserve">Capital One notes that it sends customers a variety of different </w:t>
      </w:r>
      <w:r w:rsidR="0081260B">
        <w:t>categories of informational text messages</w:t>
      </w:r>
      <w:r w:rsidR="000179C5">
        <w:t>,</w:t>
      </w:r>
      <w:r w:rsidR="0081260B">
        <w:t xml:space="preserve"> including fraud alerts, payment response, low balance</w:t>
      </w:r>
      <w:r w:rsidR="00E138E3">
        <w:t xml:space="preserve"> alerts,</w:t>
      </w:r>
      <w:r w:rsidR="0081260B">
        <w:t xml:space="preserve"> and overseas transaction alerts.</w:t>
      </w:r>
      <w:r>
        <w:rPr>
          <w:rStyle w:val="FootnoteReference"/>
        </w:rPr>
        <w:footnoteReference w:id="11"/>
      </w:r>
      <w:r w:rsidR="0081260B">
        <w:t xml:space="preserve">  </w:t>
      </w:r>
      <w:r w:rsidR="004754D3">
        <w:t>Capital One’s petition is still pending.</w:t>
      </w:r>
    </w:p>
    <w:p w:rsidR="002E310C" w:rsidP="004854DE" w14:paraId="7B5944AB" w14:textId="7F99CA57">
      <w:pPr>
        <w:pStyle w:val="ParaNum"/>
        <w:widowControl/>
      </w:pPr>
      <w:r w:rsidRPr="000B7917">
        <w:rPr>
          <w:i/>
          <w:iCs/>
        </w:rPr>
        <w:t xml:space="preserve">Revocation of Consent.  </w:t>
      </w:r>
      <w:r w:rsidRPr="006E0063" w:rsidR="006E0063">
        <w:t>In 2015, the Commission clarified that consumers who have provided prior express consent to receive autodialed or prerecorded calls may revoke such consent through any reasonable means.</w:t>
      </w:r>
      <w:r>
        <w:rPr>
          <w:sz w:val="20"/>
          <w:vertAlign w:val="superscript"/>
        </w:rPr>
        <w:footnoteReference w:id="12"/>
      </w:r>
      <w:r w:rsidRPr="006E0063" w:rsidR="006E0063">
        <w:t xml:space="preserve">  Citing prior Commission rulings and the “well-established common law right to revoke prior consent,” the Commission concluded that the most reasonable interpretation of “prior express consent” in light of the TCPA’s consumer protection goals is “to permit a right of revocation.”</w:t>
      </w:r>
      <w:r>
        <w:rPr>
          <w:sz w:val="20"/>
          <w:vertAlign w:val="superscript"/>
        </w:rPr>
        <w:footnoteReference w:id="13"/>
      </w:r>
      <w:r w:rsidRPr="006E0063" w:rsidR="006E0063">
        <w:t xml:space="preserve">  In so doing, the Commission indicated that “to allow callers to designate the exclusive means of revocation would, at least in some circumstances, materially impair that right.”</w:t>
      </w:r>
      <w:r>
        <w:rPr>
          <w:sz w:val="20"/>
          <w:vertAlign w:val="superscript"/>
        </w:rPr>
        <w:footnoteReference w:id="14"/>
      </w:r>
      <w:r w:rsidRPr="006E0063" w:rsidR="006E0063">
        <w:t xml:space="preserve">  The Commission noted, for example, that if a caller receives a consumer’s valid oral consent for certain messages but requires the consumer to fax his or her revocation to the caller, perhaps with additional conditions, such conditions may materially diminish the consumer’s ability to revoke consent</w:t>
      </w:r>
      <w:r w:rsidR="00D72C2E">
        <w:t>,</w:t>
      </w:r>
      <w:r w:rsidRPr="006E0063" w:rsidR="006E0063">
        <w:t xml:space="preserve"> “especially if disclosure of such conditions is not clear and conspicuous, and not repeated to the consumer with each message.”</w:t>
      </w:r>
      <w:r>
        <w:rPr>
          <w:sz w:val="20"/>
          <w:vertAlign w:val="superscript"/>
        </w:rPr>
        <w:footnoteReference w:id="15"/>
      </w:r>
      <w:r w:rsidRPr="006E0063" w:rsidR="006E0063">
        <w:t xml:space="preserve">  As a result, the Commission concluded that a consumer “may revoke his or her consent in any reasonable manner that clearly expresses his or her desire not to receive further calls, and that the consumer is not limited to using only a revocation method that the caller has established as one that it will accept.”</w:t>
      </w:r>
      <w:r>
        <w:rPr>
          <w:sz w:val="20"/>
          <w:vertAlign w:val="superscript"/>
        </w:rPr>
        <w:footnoteReference w:id="16"/>
      </w:r>
      <w:r w:rsidR="007D5745">
        <w:t xml:space="preserve"> </w:t>
      </w:r>
      <w:r w:rsidR="006E0063">
        <w:t xml:space="preserve"> </w:t>
      </w:r>
    </w:p>
    <w:p w:rsidR="009062D6" w:rsidRPr="005746EF" w:rsidP="004854DE" w14:paraId="0C12FDE4" w14:textId="4A9E3D79">
      <w:pPr>
        <w:pStyle w:val="ParaNum"/>
        <w:widowControl/>
      </w:pPr>
      <w:r>
        <w:t xml:space="preserve">In 2016, Mobile Media Technologies (Mobile Media) filed a petition asking the Commission to clarify that the TCPA does </w:t>
      </w:r>
      <w:r w:rsidR="00815B6C">
        <w:t xml:space="preserve">not </w:t>
      </w:r>
      <w:r>
        <w:t>require a party transmitting a text message to create or make available to consumers a specific or particular method</w:t>
      </w:r>
      <w:r w:rsidR="00687C5A">
        <w:t xml:space="preserve"> (such as bilateral text messaging, </w:t>
      </w:r>
      <w:r w:rsidR="00BB48F5">
        <w:t>in which the consumer may revoke consent by replying “STOP”)</w:t>
      </w:r>
      <w:r>
        <w:t xml:space="preserve"> by which a consumer may revoke prior express consent to be texted.</w:t>
      </w:r>
      <w:r>
        <w:rPr>
          <w:rStyle w:val="FootnoteReference"/>
        </w:rPr>
        <w:footnoteReference w:id="17"/>
      </w:r>
      <w:r w:rsidRPr="006E0063" w:rsidR="006E0063">
        <w:rPr>
          <w:szCs w:val="22"/>
        </w:rPr>
        <w:t xml:space="preserve"> </w:t>
      </w:r>
      <w:r w:rsidR="006E0063">
        <w:rPr>
          <w:szCs w:val="22"/>
        </w:rPr>
        <w:t xml:space="preserve"> </w:t>
      </w:r>
      <w:r w:rsidR="007C4B04">
        <w:rPr>
          <w:szCs w:val="22"/>
        </w:rPr>
        <w:t>The Commission has not yet acted on this petition.</w:t>
      </w:r>
    </w:p>
    <w:p w:rsidR="003C108D" w:rsidP="003C108D" w14:paraId="78257732" w14:textId="77777777">
      <w:pPr>
        <w:pStyle w:val="Heading1"/>
      </w:pPr>
      <w:bookmarkStart w:id="30" w:name="co_tablefootnote_457_1"/>
      <w:bookmarkStart w:id="31" w:name="co_tablefootnote_461_1"/>
      <w:bookmarkEnd w:id="30"/>
      <w:bookmarkEnd w:id="31"/>
      <w:r>
        <w:t>DISCUSSION</w:t>
      </w:r>
    </w:p>
    <w:p w:rsidR="003C108D" w:rsidP="004854DE" w14:paraId="505A9FE4" w14:textId="67DB8260">
      <w:pPr>
        <w:pStyle w:val="ParaNum"/>
        <w:widowControl/>
      </w:pPr>
      <w:bookmarkStart w:id="32" w:name="_Hlk129938229"/>
      <w:bookmarkStart w:id="33" w:name="_Hlk48558276"/>
      <w:r>
        <w:t>We initiate this proceeding to</w:t>
      </w:r>
      <w:r w:rsidR="00B52A2B">
        <w:t xml:space="preserve"> c</w:t>
      </w:r>
      <w:r w:rsidR="000D7E0E">
        <w:t>larify</w:t>
      </w:r>
      <w:r w:rsidR="00B52A2B">
        <w:t xml:space="preserve"> and strengthen </w:t>
      </w:r>
      <w:r w:rsidR="00FE09D7">
        <w:t xml:space="preserve">consumers’ </w:t>
      </w:r>
      <w:r w:rsidR="00425B62">
        <w:t>right</w:t>
      </w:r>
      <w:r w:rsidR="00FE09D7">
        <w:t>s under the TCPA</w:t>
      </w:r>
      <w:r w:rsidR="00B52A2B">
        <w:t xml:space="preserve"> to grant </w:t>
      </w:r>
      <w:r w:rsidR="00FE09D7">
        <w:t xml:space="preserve">and </w:t>
      </w:r>
      <w:r w:rsidR="00B52A2B">
        <w:t xml:space="preserve">revoke consent to receive robocalls and </w:t>
      </w:r>
      <w:r w:rsidR="00B52A2B">
        <w:t>robotexts</w:t>
      </w:r>
      <w:bookmarkEnd w:id="32"/>
      <w:r>
        <w:t xml:space="preserve">.  </w:t>
      </w:r>
      <w:r w:rsidRPr="00F96ADB" w:rsidR="00F96ADB">
        <w:t>Specifically,</w:t>
      </w:r>
      <w:bookmarkStart w:id="34" w:name="_Hlk48558220"/>
      <w:r w:rsidRPr="00F96ADB" w:rsidR="00F96ADB">
        <w:t xml:space="preserve"> we propose to: </w:t>
      </w:r>
      <w:bookmarkEnd w:id="34"/>
      <w:r w:rsidR="00C33E36">
        <w:t>1</w:t>
      </w:r>
      <w:r w:rsidRPr="00F96ADB" w:rsidR="00F96ADB">
        <w:t>) ensure that revocation</w:t>
      </w:r>
      <w:r w:rsidR="006E5825">
        <w:t xml:space="preserve"> of consent</w:t>
      </w:r>
      <w:r w:rsidRPr="00F96ADB" w:rsidR="00F96ADB">
        <w:t xml:space="preserve"> does not require </w:t>
      </w:r>
      <w:r w:rsidR="00982D82">
        <w:t xml:space="preserve">the </w:t>
      </w:r>
      <w:r w:rsidRPr="00F96ADB" w:rsidR="00F96ADB">
        <w:t xml:space="preserve">use of specific words or </w:t>
      </w:r>
      <w:r w:rsidR="006E5825">
        <w:t xml:space="preserve">burdensome </w:t>
      </w:r>
      <w:r w:rsidRPr="00F96ADB" w:rsidR="00F96ADB">
        <w:t>method</w:t>
      </w:r>
      <w:r w:rsidR="00636DA9">
        <w:t>s</w:t>
      </w:r>
      <w:r w:rsidRPr="00F96ADB" w:rsidR="00F96ADB">
        <w:t xml:space="preserve">; </w:t>
      </w:r>
      <w:r w:rsidR="00C33E36">
        <w:t>2</w:t>
      </w:r>
      <w:r w:rsidRPr="00F96ADB" w:rsidR="00F96ADB">
        <w:t xml:space="preserve">) require that callers honor </w:t>
      </w:r>
      <w:r w:rsidR="002C3AFF">
        <w:t xml:space="preserve">do-not-call and </w:t>
      </w:r>
      <w:r w:rsidR="00A033DC">
        <w:t xml:space="preserve">consent </w:t>
      </w:r>
      <w:r w:rsidRPr="00F96ADB" w:rsidR="00F96ADB">
        <w:t>revocation</w:t>
      </w:r>
      <w:r w:rsidR="002C3AFF">
        <w:t xml:space="preserve"> requests</w:t>
      </w:r>
      <w:r w:rsidRPr="00F96ADB" w:rsidR="00F96ADB">
        <w:t xml:space="preserve"> within </w:t>
      </w:r>
      <w:r w:rsidR="00F4032C">
        <w:t>a reasonable time</w:t>
      </w:r>
      <w:r w:rsidR="00E90649">
        <w:t>,</w:t>
      </w:r>
      <w:r w:rsidR="00F4032C">
        <w:t xml:space="preserve"> not to exceed </w:t>
      </w:r>
      <w:r w:rsidRPr="00F96ADB" w:rsidR="00F96ADB">
        <w:t xml:space="preserve">24 hours of receipt; </w:t>
      </w:r>
      <w:r w:rsidRPr="00C33E36" w:rsidR="00C33E36">
        <w:t xml:space="preserve">3) </w:t>
      </w:r>
      <w:r w:rsidR="009E1057">
        <w:t xml:space="preserve">codify our </w:t>
      </w:r>
      <w:r w:rsidR="009A4E46">
        <w:t>previous decision</w:t>
      </w:r>
      <w:r w:rsidRPr="00C33E36" w:rsidR="009E1057">
        <w:t xml:space="preserve"> </w:t>
      </w:r>
      <w:r w:rsidRPr="00C33E36" w:rsidR="00C33E36">
        <w:t xml:space="preserve">that consumers only need to revoke consent once to stop getting all </w:t>
      </w:r>
      <w:r w:rsidR="00E90649">
        <w:t xml:space="preserve">robocalls and </w:t>
      </w:r>
      <w:r w:rsidRPr="00C33E36" w:rsidR="00C33E36">
        <w:t>robotexts</w:t>
      </w:r>
      <w:r w:rsidRPr="00C33E36" w:rsidR="00C33E36">
        <w:t xml:space="preserve"> from a specific entity; </w:t>
      </w:r>
      <w:r w:rsidRPr="00F96ADB" w:rsidR="00F96ADB">
        <w:t xml:space="preserve">and 4) allow wireless consumers the option to stop robocalls and </w:t>
      </w:r>
      <w:r w:rsidRPr="00F96ADB" w:rsidR="00F96ADB">
        <w:t>robotexts</w:t>
      </w:r>
      <w:r w:rsidRPr="00F96ADB" w:rsidR="00F96ADB">
        <w:t xml:space="preserve"> from their own </w:t>
      </w:r>
      <w:r w:rsidR="002C3AFF">
        <w:t xml:space="preserve">wireless </w:t>
      </w:r>
      <w:r w:rsidRPr="00F96ADB" w:rsidR="00F96ADB">
        <w:t xml:space="preserve">service provider.  </w:t>
      </w:r>
      <w:r w:rsidR="00636DA9">
        <w:t>As discussed below, w</w:t>
      </w:r>
      <w:r w:rsidRPr="00FC3ADE">
        <w:t xml:space="preserve">e seek </w:t>
      </w:r>
      <w:r w:rsidRPr="00FC3ADE">
        <w:t xml:space="preserve">comment on these </w:t>
      </w:r>
      <w:r w:rsidR="00636DA9">
        <w:t xml:space="preserve">proposals </w:t>
      </w:r>
      <w:r w:rsidR="00982D82">
        <w:t>and on</w:t>
      </w:r>
      <w:r w:rsidR="00AC2C40">
        <w:t xml:space="preserve"> the costs and benefits of the proposals</w:t>
      </w:r>
      <w:r w:rsidR="00C44AF4">
        <w:t>, includi</w:t>
      </w:r>
      <w:r w:rsidR="00AF35CF">
        <w:t>ng</w:t>
      </w:r>
      <w:r w:rsidR="00AC2C40">
        <w:t xml:space="preserve"> for smaller businesses and consumers</w:t>
      </w:r>
      <w:r w:rsidRPr="00FC3ADE">
        <w:t>.</w:t>
      </w:r>
      <w:r>
        <w:rPr>
          <w:rStyle w:val="FootnoteReference"/>
        </w:rPr>
        <w:footnoteReference w:id="18"/>
      </w:r>
    </w:p>
    <w:p w:rsidR="000D7E0E" w:rsidP="002B1284" w14:paraId="14644DD3" w14:textId="5BDDD898">
      <w:pPr>
        <w:pStyle w:val="Heading2"/>
      </w:pPr>
      <w:r>
        <w:t>Revoking Consent in Any Reasonable Way</w:t>
      </w:r>
    </w:p>
    <w:p w:rsidR="00A277EA" w:rsidP="004062B4" w14:paraId="10169B94" w14:textId="18C94AD3">
      <w:pPr>
        <w:pStyle w:val="ParaNum"/>
      </w:pPr>
      <w:r>
        <w:t xml:space="preserve">We propose to codify the </w:t>
      </w:r>
      <w:r w:rsidRPr="00ED09A4" w:rsidR="00ED09A4">
        <w:t>Commission</w:t>
      </w:r>
      <w:r>
        <w:t xml:space="preserve">’s 2015 ruling confirming </w:t>
      </w:r>
      <w:r w:rsidRPr="00ED09A4" w:rsidR="00ED09A4">
        <w:t xml:space="preserve">that consumers who have provided prior express consent to receive autodialed or prerecorded </w:t>
      </w:r>
      <w:r w:rsidR="00193E93">
        <w:t xml:space="preserve">voice </w:t>
      </w:r>
      <w:r w:rsidRPr="00ED09A4" w:rsidR="00ED09A4">
        <w:t>calls may revoke such consent through any reasonable means.</w:t>
      </w:r>
      <w:r>
        <w:rPr>
          <w:vertAlign w:val="superscript"/>
        </w:rPr>
        <w:footnoteReference w:id="19"/>
      </w:r>
      <w:r w:rsidR="00ED09A4">
        <w:t xml:space="preserve">  We </w:t>
      </w:r>
      <w:r>
        <w:t>believe this will</w:t>
      </w:r>
      <w:r w:rsidR="00ED09A4">
        <w:t xml:space="preserve"> make clearer to callers and consumers that a consumer has a right to revoke consent under the TCPA.  Specifically, </w:t>
      </w:r>
      <w:bookmarkStart w:id="35" w:name="_Hlk130540712"/>
      <w:r w:rsidR="00ED09A4">
        <w:t>we propose codifying a rule that would make clear that consumer</w:t>
      </w:r>
      <w:r w:rsidR="007919FC">
        <w:t>s</w:t>
      </w:r>
      <w:r w:rsidR="00ED09A4">
        <w:t xml:space="preserve"> may revoke </w:t>
      </w:r>
      <w:r w:rsidR="00A865F2">
        <w:t xml:space="preserve">prior express </w:t>
      </w:r>
      <w:r w:rsidR="00ED09A4">
        <w:t xml:space="preserve">consent in any </w:t>
      </w:r>
      <w:r>
        <w:t>reasonable</w:t>
      </w:r>
      <w:r w:rsidR="00ED09A4">
        <w:t xml:space="preserve"> manner that clearly expresses a desire not to receive further calls or text messages, </w:t>
      </w:r>
      <w:r w:rsidR="001E5864">
        <w:t xml:space="preserve">including </w:t>
      </w:r>
      <w:r w:rsidR="00ED09A4">
        <w:t>using words such as “stop,</w:t>
      </w:r>
      <w:r w:rsidR="00623ACE">
        <w:t>”</w:t>
      </w:r>
      <w:r w:rsidR="00ED09A4">
        <w:t xml:space="preserve"> </w:t>
      </w:r>
      <w:r w:rsidR="00623ACE">
        <w:t>“</w:t>
      </w:r>
      <w:r w:rsidR="00ED09A4">
        <w:t>revoke,</w:t>
      </w:r>
      <w:r w:rsidR="00623ACE">
        <w:t>”</w:t>
      </w:r>
      <w:r w:rsidR="00ED09A4">
        <w:t xml:space="preserve"> </w:t>
      </w:r>
      <w:r w:rsidR="00623ACE">
        <w:t>“</w:t>
      </w:r>
      <w:r w:rsidR="00ED09A4">
        <w:t>end,</w:t>
      </w:r>
      <w:r w:rsidR="00623ACE">
        <w:t>”</w:t>
      </w:r>
      <w:r w:rsidR="00ED09A4">
        <w:t xml:space="preserve"> or </w:t>
      </w:r>
      <w:r w:rsidR="00623ACE">
        <w:t>“</w:t>
      </w:r>
      <w:r w:rsidR="00ED09A4">
        <w:t>opt out,” and</w:t>
      </w:r>
      <w:r>
        <w:t xml:space="preserve"> that callers may not infringe on that </w:t>
      </w:r>
      <w:r w:rsidR="007F4D79">
        <w:t xml:space="preserve">right </w:t>
      </w:r>
      <w:r>
        <w:t>by designating an exclusive means to revoke consent</w:t>
      </w:r>
      <w:r w:rsidR="00F4032C">
        <w:t xml:space="preserve"> that precludes the use of any other reasonable method</w:t>
      </w:r>
      <w:bookmarkEnd w:id="35"/>
      <w:r w:rsidR="00F4032C">
        <w:t>.</w:t>
      </w:r>
      <w:r w:rsidR="002F2CD9">
        <w:t xml:space="preserve">  We seek comment on this proposal.  </w:t>
      </w:r>
    </w:p>
    <w:p w:rsidR="00253BA7" w:rsidP="00866F56" w14:paraId="5318A54B" w14:textId="19F4C226">
      <w:pPr>
        <w:pStyle w:val="ParaNum"/>
      </w:pPr>
      <w:r>
        <w:t xml:space="preserve">Additionally, we </w:t>
      </w:r>
      <w:r w:rsidR="00A277EA">
        <w:t xml:space="preserve">propose to </w:t>
      </w:r>
      <w:r w:rsidR="006C74DD">
        <w:t xml:space="preserve">codify </w:t>
      </w:r>
      <w:r w:rsidR="00A277EA">
        <w:t xml:space="preserve">that </w:t>
      </w:r>
      <w:r w:rsidR="00F4032C">
        <w:t xml:space="preserve">reasonable </w:t>
      </w:r>
      <w:r w:rsidR="00A277EA">
        <w:t>methods</w:t>
      </w:r>
      <w:r w:rsidR="00F4032C">
        <w:t xml:space="preserve"> to revoke consent</w:t>
      </w:r>
      <w:r w:rsidR="00A277EA">
        <w:t xml:space="preserve"> </w:t>
      </w:r>
      <w:r w:rsidR="002624A2">
        <w:t xml:space="preserve">typically </w:t>
      </w:r>
      <w:r w:rsidR="00360DD2">
        <w:t>include revocation request</w:t>
      </w:r>
      <w:r w:rsidR="00F857D1">
        <w:t>s</w:t>
      </w:r>
      <w:r w:rsidR="00360DD2">
        <w:t xml:space="preserve"> </w:t>
      </w:r>
      <w:r w:rsidR="00193E93">
        <w:t>made</w:t>
      </w:r>
      <w:r w:rsidR="00360DD2">
        <w:t xml:space="preserve"> by text message, voicemail, or email to any </w:t>
      </w:r>
      <w:r>
        <w:t xml:space="preserve">telephone </w:t>
      </w:r>
      <w:r w:rsidR="00866F56">
        <w:t xml:space="preserve">number or </w:t>
      </w:r>
      <w:r>
        <w:t xml:space="preserve">email </w:t>
      </w:r>
      <w:r w:rsidR="00360DD2">
        <w:t xml:space="preserve">address </w:t>
      </w:r>
      <w:r>
        <w:t xml:space="preserve">at which </w:t>
      </w:r>
      <w:r w:rsidR="00360DD2">
        <w:t>the cons</w:t>
      </w:r>
      <w:r w:rsidR="00D53FCC">
        <w:t xml:space="preserve">umer </w:t>
      </w:r>
      <w:r w:rsidR="007919FC">
        <w:t>can</w:t>
      </w:r>
      <w:r w:rsidR="00360DD2">
        <w:t xml:space="preserve"> reasonably expect to reach the caller.  </w:t>
      </w:r>
      <w:r w:rsidR="00D53FCC">
        <w:t xml:space="preserve">We propose to </w:t>
      </w:r>
      <w:r w:rsidR="006B0A39">
        <w:t xml:space="preserve">codify </w:t>
      </w:r>
      <w:r w:rsidR="00F4032C">
        <w:t>that</w:t>
      </w:r>
      <w:r w:rsidR="009F75FA">
        <w:t>,</w:t>
      </w:r>
      <w:r w:rsidR="00F4032C">
        <w:t xml:space="preserve"> </w:t>
      </w:r>
      <w:r w:rsidR="00F27149">
        <w:t xml:space="preserve">when a consumer uses any such method to revoke consent, doing so </w:t>
      </w:r>
      <w:r w:rsidR="00D53FCC">
        <w:t>creates a presumption that the consumer has revoked consent</w:t>
      </w:r>
      <w:r w:rsidR="009F75FA">
        <w:t>,</w:t>
      </w:r>
      <w:r w:rsidR="00D53FCC">
        <w:t xml:space="preserve"> </w:t>
      </w:r>
      <w:r w:rsidR="0059529D">
        <w:t>absent evidence to the contrary</w:t>
      </w:r>
      <w:r w:rsidR="00D53FCC">
        <w:t xml:space="preserve">.  </w:t>
      </w:r>
      <w:r w:rsidR="001B3BC9">
        <w:t>For example, t</w:t>
      </w:r>
      <w:r w:rsidRPr="00253BA7">
        <w:t xml:space="preserve">he use of reply text messages is a reasonable and widely recognized means for text recipients to revoke prior consent to text messages.  </w:t>
      </w:r>
      <w:r w:rsidR="001B3BC9">
        <w:t>T</w:t>
      </w:r>
      <w:r w:rsidRPr="00253BA7">
        <w:t xml:space="preserve">he sending of a “STOP” message in reply to an incoming text message is the standard recommended by industry groups </w:t>
      </w:r>
      <w:r w:rsidR="00F5732C">
        <w:t>such as</w:t>
      </w:r>
      <w:r w:rsidRPr="00253BA7" w:rsidR="00F5732C">
        <w:t xml:space="preserve"> </w:t>
      </w:r>
      <w:r w:rsidRPr="00253BA7">
        <w:t>the Mobile Marketing Association.</w:t>
      </w:r>
      <w:r>
        <w:rPr>
          <w:vertAlign w:val="superscript"/>
        </w:rPr>
        <w:footnoteReference w:id="20"/>
      </w:r>
      <w:r w:rsidRPr="00253BA7">
        <w:t xml:space="preserve">  </w:t>
      </w:r>
      <w:r w:rsidR="00FA1FE9">
        <w:t>In addition, text messages may</w:t>
      </w:r>
      <w:r w:rsidR="00623ACE">
        <w:t>,</w:t>
      </w:r>
      <w:r w:rsidR="00FA1FE9">
        <w:t xml:space="preserve"> on occasion</w:t>
      </w:r>
      <w:r w:rsidR="00623ACE">
        <w:t>,</w:t>
      </w:r>
      <w:r w:rsidR="00FA1FE9">
        <w:t xml:space="preserve"> inadvertently be directed to reassigned or wrong numbers.  </w:t>
      </w:r>
      <w:r w:rsidRPr="00FA1FE9" w:rsidR="00FA1FE9">
        <w:t xml:space="preserve">In these instances, the text recipient </w:t>
      </w:r>
      <w:r w:rsidR="00FA1FE9">
        <w:t>may have</w:t>
      </w:r>
      <w:r w:rsidRPr="00FA1FE9" w:rsidR="00FA1FE9">
        <w:t xml:space="preserve"> no contact information other than the text itself</w:t>
      </w:r>
      <w:r w:rsidR="00C33C95">
        <w:t>,</w:t>
      </w:r>
      <w:r w:rsidRPr="00FA1FE9" w:rsidR="00FA1FE9">
        <w:t xml:space="preserve"> since </w:t>
      </w:r>
      <w:r w:rsidR="00C33C95">
        <w:t>the recipient is</w:t>
      </w:r>
      <w:r w:rsidRPr="00FA1FE9" w:rsidR="00FA1FE9">
        <w:t xml:space="preserve"> not the </w:t>
      </w:r>
      <w:r w:rsidR="00DA1705">
        <w:t>party</w:t>
      </w:r>
      <w:r w:rsidRPr="00FA1FE9" w:rsidR="00FA1FE9">
        <w:t xml:space="preserve"> that provided prior consent </w:t>
      </w:r>
      <w:r w:rsidR="002624A2">
        <w:t>to the sender</w:t>
      </w:r>
      <w:r w:rsidR="006E731C">
        <w:t>,</w:t>
      </w:r>
      <w:r w:rsidR="002624A2">
        <w:t xml:space="preserve"> </w:t>
      </w:r>
      <w:r w:rsidRPr="00FA1FE9" w:rsidR="00FA1FE9">
        <w:t>and the only method they may have to contact the sender is with a reply text message</w:t>
      </w:r>
      <w:r w:rsidR="00FA1FE9">
        <w:t>.</w:t>
      </w:r>
      <w:r>
        <w:rPr>
          <w:rStyle w:val="FootnoteReference"/>
        </w:rPr>
        <w:footnoteReference w:id="21"/>
      </w:r>
      <w:r w:rsidR="00FA1FE9">
        <w:t xml:space="preserve"> </w:t>
      </w:r>
      <w:r w:rsidR="00ED0CD0">
        <w:t xml:space="preserve"> </w:t>
      </w:r>
      <w:r w:rsidR="003E0D7E">
        <w:t xml:space="preserve">Thus, </w:t>
      </w:r>
      <w:r w:rsidR="00E67B9C">
        <w:t>we propose to codify that the sending of “STOP</w:t>
      </w:r>
      <w:r w:rsidR="00464B49">
        <w:t>”</w:t>
      </w:r>
      <w:r w:rsidR="001773FB">
        <w:t xml:space="preserve"> or </w:t>
      </w:r>
      <w:r w:rsidR="00464B49">
        <w:t xml:space="preserve">a </w:t>
      </w:r>
      <w:r w:rsidR="001773FB">
        <w:t xml:space="preserve">similar </w:t>
      </w:r>
      <w:r w:rsidR="00E67B9C">
        <w:t>message</w:t>
      </w:r>
      <w:r w:rsidR="001773FB">
        <w:t xml:space="preserve"> that </w:t>
      </w:r>
      <w:r w:rsidR="009A194C">
        <w:t>reasonably conveys</w:t>
      </w:r>
      <w:r w:rsidR="00E67B9C">
        <w:t xml:space="preserve"> </w:t>
      </w:r>
      <w:r w:rsidR="001773FB">
        <w:t xml:space="preserve">a desire to not receive further messages </w:t>
      </w:r>
      <w:r w:rsidR="00E67B9C">
        <w:t xml:space="preserve">in reply to an incoming text message </w:t>
      </w:r>
      <w:r w:rsidR="008B5D0E">
        <w:t>creates a presumption that the consumer has revoked consent</w:t>
      </w:r>
      <w:r w:rsidR="003E0D7E">
        <w:t xml:space="preserve"> in a reasonable way</w:t>
      </w:r>
      <w:r w:rsidRPr="00253BA7" w:rsidR="00FE6BAB">
        <w:t>.</w:t>
      </w:r>
      <w:r>
        <w:rPr>
          <w:rStyle w:val="FootnoteReference"/>
        </w:rPr>
        <w:footnoteReference w:id="22"/>
      </w:r>
      <w:r w:rsidRPr="00253BA7" w:rsidR="00FE6BAB">
        <w:t xml:space="preserve">  </w:t>
      </w:r>
      <w:bookmarkStart w:id="36" w:name="_Hlk134609423"/>
      <w:r w:rsidRPr="00253BA7">
        <w:t>Should the text initiator choose to use a texting protocol that does not allow reply texts,</w:t>
      </w:r>
      <w:r w:rsidR="004760F4">
        <w:t xml:space="preserve"> we propose that</w:t>
      </w:r>
      <w:r w:rsidRPr="00253BA7">
        <w:t xml:space="preserve"> it </w:t>
      </w:r>
      <w:r w:rsidR="00E0014D">
        <w:t>would bear</w:t>
      </w:r>
      <w:r w:rsidRPr="00253BA7" w:rsidR="00E0014D">
        <w:t xml:space="preserve"> </w:t>
      </w:r>
      <w:r w:rsidRPr="00253BA7">
        <w:t xml:space="preserve">the risk of potential liability under the TCPA </w:t>
      </w:r>
      <w:r w:rsidR="00AC4AFF">
        <w:t>unless it both</w:t>
      </w:r>
      <w:r w:rsidR="00F73A9A">
        <w:t xml:space="preserve"> </w:t>
      </w:r>
      <w:r w:rsidRPr="00600F2C" w:rsidR="00600F2C">
        <w:t>provide</w:t>
      </w:r>
      <w:r w:rsidR="00AC4AFF">
        <w:t>s</w:t>
      </w:r>
      <w:r w:rsidRPr="00600F2C" w:rsidR="00600F2C">
        <w:t xml:space="preserve"> a clear and conspicuous disclosure </w:t>
      </w:r>
      <w:r w:rsidR="009A654C">
        <w:t xml:space="preserve">on each text </w:t>
      </w:r>
      <w:r w:rsidRPr="00600F2C" w:rsidR="00600F2C">
        <w:t>to the consumer that two-way texting is not available due to technical limitations of the texting protocol</w:t>
      </w:r>
      <w:r w:rsidR="009F6A96">
        <w:t xml:space="preserve"> and </w:t>
      </w:r>
      <w:r w:rsidR="00AC4AFF">
        <w:t xml:space="preserve">clearly and conspicuously </w:t>
      </w:r>
      <w:r w:rsidR="009F6A96">
        <w:t>provide</w:t>
      </w:r>
      <w:r w:rsidR="00AC4AFF">
        <w:t>s</w:t>
      </w:r>
      <w:r w:rsidR="009F6A96">
        <w:t xml:space="preserve"> alternative ways</w:t>
      </w:r>
      <w:r w:rsidR="009C292E">
        <w:t xml:space="preserve"> for a consumer to revoke consent,</w:t>
      </w:r>
      <w:r w:rsidR="009F6A96">
        <w:t xml:space="preserve"> </w:t>
      </w:r>
      <w:bookmarkEnd w:id="36"/>
      <w:r w:rsidR="00B75904">
        <w:t>such as a link or instructions to text a different number</w:t>
      </w:r>
      <w:r w:rsidRPr="00253BA7">
        <w:t>.</w:t>
      </w:r>
      <w:r w:rsidR="000609AB">
        <w:t xml:space="preserve">  We seek comment on these proposed </w:t>
      </w:r>
      <w:r w:rsidR="006B0A39">
        <w:t>rules</w:t>
      </w:r>
      <w:r w:rsidR="000609AB">
        <w:t xml:space="preserve">.  </w:t>
      </w:r>
    </w:p>
    <w:p w:rsidR="005F28B1" w:rsidP="004062B4" w14:paraId="22D46FF6" w14:textId="3B8876FA">
      <w:pPr>
        <w:pStyle w:val="ParaNum"/>
      </w:pPr>
      <w:r>
        <w:t xml:space="preserve">We believe that </w:t>
      </w:r>
      <w:r w:rsidR="00214F6E">
        <w:t>these proposed rules</w:t>
      </w:r>
      <w:r>
        <w:t xml:space="preserve"> </w:t>
      </w:r>
      <w:r w:rsidR="00214F6E">
        <w:t>are</w:t>
      </w:r>
      <w:r>
        <w:t xml:space="preserve"> consistent with the Commission’s prior </w:t>
      </w:r>
      <w:r w:rsidR="00253BA7">
        <w:t>finding</w:t>
      </w:r>
      <w:r w:rsidRPr="00360DD2">
        <w:t xml:space="preserve"> that placing significant burdens on the called party who no longer wishes to receive such calls</w:t>
      </w:r>
      <w:r w:rsidR="00866F56">
        <w:t xml:space="preserve"> or texts</w:t>
      </w:r>
      <w:r w:rsidRPr="00360DD2">
        <w:t xml:space="preserve"> is inconsistent with the TCPA</w:t>
      </w:r>
      <w:r>
        <w:rPr>
          <w:vertAlign w:val="superscript"/>
        </w:rPr>
        <w:footnoteReference w:id="23"/>
      </w:r>
      <w:r w:rsidRPr="00253BA7" w:rsidR="00253BA7">
        <w:t xml:space="preserve"> </w:t>
      </w:r>
      <w:r w:rsidR="00ED0CD0">
        <w:t>a</w:t>
      </w:r>
      <w:r w:rsidRPr="00253BA7" w:rsidR="00253BA7">
        <w:t>nd</w:t>
      </w:r>
      <w:r w:rsidR="006E731C">
        <w:t xml:space="preserve"> with our finding</w:t>
      </w:r>
      <w:r w:rsidRPr="00253BA7" w:rsidR="00253BA7">
        <w:t xml:space="preserve"> that the TCPA requires “only that the called party </w:t>
      </w:r>
      <w:r w:rsidRPr="00253BA7" w:rsidR="00253BA7">
        <w:t>clearly express his or her desire not to receive further calls” to invoke this right</w:t>
      </w:r>
      <w:r w:rsidR="00253BA7">
        <w:t xml:space="preserve"> to revoke consent</w:t>
      </w:r>
      <w:r w:rsidRPr="00253BA7" w:rsidR="00253BA7">
        <w:t>.</w:t>
      </w:r>
      <w:r>
        <w:rPr>
          <w:vertAlign w:val="superscript"/>
        </w:rPr>
        <w:footnoteReference w:id="24"/>
      </w:r>
      <w:r w:rsidR="00253BA7">
        <w:t xml:space="preserve"> </w:t>
      </w:r>
      <w:r>
        <w:t xml:space="preserve"> We seek comment on whether callers have encountered any difficulties in complying with this longstanding precedent </w:t>
      </w:r>
      <w:r w:rsidR="00100B36">
        <w:t>that consumer</w:t>
      </w:r>
      <w:r w:rsidR="00EE103B">
        <w:t>s</w:t>
      </w:r>
      <w:r w:rsidR="00100B36">
        <w:t xml:space="preserve"> can revoke consent via any reasonable method.  </w:t>
      </w:r>
      <w:r w:rsidR="00EE103B">
        <w:t>Based on this experience, a</w:t>
      </w:r>
      <w:r>
        <w:t xml:space="preserve">re </w:t>
      </w:r>
      <w:r w:rsidR="00EE103B">
        <w:t xml:space="preserve">there </w:t>
      </w:r>
      <w:r>
        <w:t>specific issues or circumstances that have arisen</w:t>
      </w:r>
      <w:r w:rsidR="00253BA7">
        <w:t xml:space="preserve"> </w:t>
      </w:r>
      <w:r>
        <w:t xml:space="preserve">that we </w:t>
      </w:r>
      <w:r w:rsidR="00EE103B">
        <w:t>sh</w:t>
      </w:r>
      <w:r>
        <w:t xml:space="preserve">ould address in the context of this proceeding to provide clarity as to the factors that make </w:t>
      </w:r>
      <w:r w:rsidR="00BC53BB">
        <w:t xml:space="preserve">the means of </w:t>
      </w:r>
      <w:r>
        <w:t xml:space="preserve">revocation </w:t>
      </w:r>
      <w:r w:rsidR="00100B36">
        <w:t>“</w:t>
      </w:r>
      <w:r>
        <w:t>reason</w:t>
      </w:r>
      <w:r w:rsidR="00100B36">
        <w:t>able”</w:t>
      </w:r>
      <w:r>
        <w:t xml:space="preserve"> both from a consumer’s perspective and that of a caller</w:t>
      </w:r>
      <w:r w:rsidR="00100B36">
        <w:t>?</w:t>
      </w:r>
      <w:r>
        <w:t xml:space="preserve">  Have we struck an appropriate balance here between protecting the consumer’s privacy interests and</w:t>
      </w:r>
      <w:r w:rsidR="00E45DF9">
        <w:t xml:space="preserve"> facilitating</w:t>
      </w:r>
      <w:r>
        <w:t xml:space="preserve"> the caller’s ability to process opt-out requests?  </w:t>
      </w:r>
    </w:p>
    <w:p w:rsidR="004062B4" w:rsidP="004062B4" w14:paraId="0E2DEBF9" w14:textId="3FE42FFC">
      <w:pPr>
        <w:pStyle w:val="ParaNum"/>
      </w:pPr>
      <w:r>
        <w:t xml:space="preserve">We </w:t>
      </w:r>
      <w:r w:rsidR="00943CDE">
        <w:t xml:space="preserve">also </w:t>
      </w:r>
      <w:r>
        <w:t xml:space="preserve">recognize that the scope of a “reasonable” means to revoke consent is not </w:t>
      </w:r>
      <w:r w:rsidR="008075D7">
        <w:t>un</w:t>
      </w:r>
      <w:r>
        <w:t>limit</w:t>
      </w:r>
      <w:r w:rsidR="008075D7">
        <w:t>ed</w:t>
      </w:r>
      <w:r>
        <w:t xml:space="preserve">.  </w:t>
      </w:r>
      <w:r w:rsidR="00DA1705">
        <w:t>We seek comment on any such limitations</w:t>
      </w:r>
      <w:r w:rsidR="00D904E9">
        <w:t xml:space="preserve"> we should codify</w:t>
      </w:r>
      <w:r w:rsidR="00DA1705">
        <w:t xml:space="preserve">.  </w:t>
      </w:r>
      <w:r w:rsidR="00A75957">
        <w:t xml:space="preserve">What are the most common situations in which callers are unable to process opt-out requests from consumers? </w:t>
      </w:r>
      <w:r w:rsidR="00313F40">
        <w:t xml:space="preserve"> </w:t>
      </w:r>
      <w:r w:rsidR="00A75957">
        <w:t>Are there ways that the Commission could address these situations in th</w:t>
      </w:r>
      <w:r w:rsidR="00EE103B">
        <w:t>is</w:t>
      </w:r>
      <w:r w:rsidR="00A75957">
        <w:t xml:space="preserve"> proceeding consistent with our goal not</w:t>
      </w:r>
      <w:r w:rsidR="00694867">
        <w:t xml:space="preserve"> to</w:t>
      </w:r>
      <w:r w:rsidR="00A75957">
        <w:t xml:space="preserve"> place </w:t>
      </w:r>
      <w:r w:rsidR="00694867">
        <w:t>a</w:t>
      </w:r>
      <w:r w:rsidR="00C7721D">
        <w:t>n unreasonable</w:t>
      </w:r>
      <w:r w:rsidR="00694867">
        <w:t xml:space="preserve"> </w:t>
      </w:r>
      <w:r w:rsidR="00A75957">
        <w:t>burden on consumers to opt</w:t>
      </w:r>
      <w:r w:rsidR="00DE3AA1">
        <w:t xml:space="preserve"> </w:t>
      </w:r>
      <w:r w:rsidR="00A75957">
        <w:t>out of robocalls?  W</w:t>
      </w:r>
      <w:r w:rsidR="003975F7">
        <w:t xml:space="preserve">e propose </w:t>
      </w:r>
      <w:r w:rsidR="00A75957">
        <w:t xml:space="preserve">to </w:t>
      </w:r>
      <w:r w:rsidR="00C7721D">
        <w:t xml:space="preserve">codify </w:t>
      </w:r>
      <w:r w:rsidR="00A75957">
        <w:t>that c</w:t>
      </w:r>
      <w:r>
        <w:t xml:space="preserve">allers that do not believe that consumers have used a reasonable method to convey a request to revoke consent will be afforded an opportunity to rebut </w:t>
      </w:r>
      <w:r w:rsidR="00F76729">
        <w:t xml:space="preserve">the </w:t>
      </w:r>
      <w:r>
        <w:t>presumption on a case-by-case basis</w:t>
      </w:r>
      <w:r w:rsidR="00CC3A48">
        <w:t>,</w:t>
      </w:r>
      <w:r w:rsidR="00B75904">
        <w:t xml:space="preserve"> should a complaint be filed with the Commission or finder of fact</w:t>
      </w:r>
      <w:r w:rsidR="004029C9">
        <w:t>.</w:t>
      </w:r>
      <w:r w:rsidR="000E26F8">
        <w:t xml:space="preserve">  We seek comment </w:t>
      </w:r>
      <w:r w:rsidR="00CC3A48">
        <w:t xml:space="preserve">on </w:t>
      </w:r>
      <w:r w:rsidR="000E26F8">
        <w:t>the types of evidence that would suffice to rebut the presumption.</w:t>
      </w:r>
      <w:r>
        <w:t xml:space="preserve">  </w:t>
      </w:r>
      <w:r w:rsidR="00F4032C">
        <w:t>For example, if the consumer directs the request to a telephone number or email address</w:t>
      </w:r>
      <w:r w:rsidR="00823371">
        <w:t xml:space="preserve">, and the caller </w:t>
      </w:r>
      <w:r w:rsidR="00FC7653">
        <w:t>presents evidence</w:t>
      </w:r>
      <w:r w:rsidR="00DC4C23">
        <w:t xml:space="preserve"> that</w:t>
      </w:r>
      <w:r w:rsidR="00823371">
        <w:t xml:space="preserve"> the consumer lacks a reasonable basis to expect that the request will be received by it, </w:t>
      </w:r>
      <w:r w:rsidR="00DC4C23">
        <w:t xml:space="preserve">should we </w:t>
      </w:r>
      <w:r w:rsidR="00FC7653">
        <w:t xml:space="preserve">hold that such a method to revoke consent is not in fact reasonable?  </w:t>
      </w:r>
      <w:r>
        <w:t xml:space="preserve">We believe </w:t>
      </w:r>
      <w:r w:rsidR="00D74F02">
        <w:t>such a rule would</w:t>
      </w:r>
      <w:r>
        <w:t xml:space="preserve"> balance the </w:t>
      </w:r>
      <w:r w:rsidR="005A52B8">
        <w:t xml:space="preserve">consumer’s right to revoke consent in an easy and reasonable manner with the caller’s </w:t>
      </w:r>
      <w:r w:rsidR="00FA1FE9">
        <w:t>ability</w:t>
      </w:r>
      <w:r w:rsidR="005A52B8">
        <w:t xml:space="preserve"> to process such revocation requests.  </w:t>
      </w:r>
      <w:r w:rsidR="004946E8">
        <w:t>We seek comment on this proposal</w:t>
      </w:r>
      <w:r w:rsidR="00ED0CD0">
        <w:t>,</w:t>
      </w:r>
      <w:r w:rsidR="004946E8">
        <w:t xml:space="preserve"> including any </w:t>
      </w:r>
      <w:r w:rsidR="00526A45">
        <w:t>impact on small entities</w:t>
      </w:r>
      <w:r w:rsidR="004946E8">
        <w:t>.</w:t>
      </w:r>
    </w:p>
    <w:p w:rsidR="004062B4" w:rsidP="002B1284" w14:paraId="125F3B71" w14:textId="2457B61E">
      <w:pPr>
        <w:pStyle w:val="Heading2"/>
      </w:pPr>
      <w:r>
        <w:t>Timeframe for Honoring a</w:t>
      </w:r>
      <w:r w:rsidR="0059529D">
        <w:t xml:space="preserve"> Do-Not-Call</w:t>
      </w:r>
      <w:r>
        <w:t xml:space="preserve"> or Revocation Request</w:t>
      </w:r>
    </w:p>
    <w:p w:rsidR="004062B4" w:rsidP="004062B4" w14:paraId="215CA891" w14:textId="3011A107">
      <w:pPr>
        <w:pStyle w:val="ParaNum"/>
      </w:pPr>
      <w:r>
        <w:t xml:space="preserve">We propose to </w:t>
      </w:r>
      <w:r w:rsidR="006F367D">
        <w:t xml:space="preserve">require that, within 24 hours of receipt, callers must honor </w:t>
      </w:r>
      <w:r w:rsidR="00313F40">
        <w:t xml:space="preserve">company-specific </w:t>
      </w:r>
      <w:r>
        <w:t xml:space="preserve">do-not-call and </w:t>
      </w:r>
      <w:r w:rsidR="00A17A54">
        <w:t>revocation-of-</w:t>
      </w:r>
      <w:r>
        <w:t>consent re</w:t>
      </w:r>
      <w:r w:rsidR="004A52E5">
        <w:t>quests</w:t>
      </w:r>
      <w:r>
        <w:t xml:space="preserve"> for robocalls and </w:t>
      </w:r>
      <w:r>
        <w:t>robotexts</w:t>
      </w:r>
      <w:r w:rsidR="0059529D">
        <w:t xml:space="preserve"> that are </w:t>
      </w:r>
      <w:r w:rsidR="00BB6C21">
        <w:t>subject to</w:t>
      </w:r>
      <w:r>
        <w:t xml:space="preserve"> the TCPA.  </w:t>
      </w:r>
      <w:r w:rsidR="00047FF1">
        <w:t>The</w:t>
      </w:r>
      <w:r>
        <w:t xml:space="preserve"> Commission’s rules</w:t>
      </w:r>
      <w:r w:rsidR="00047FF1">
        <w:t xml:space="preserve"> currently </w:t>
      </w:r>
      <w:r>
        <w:t xml:space="preserve">provide </w:t>
      </w:r>
      <w:r w:rsidR="00047FF1">
        <w:t xml:space="preserve">no specific timeframes for honoring </w:t>
      </w:r>
      <w:r w:rsidR="00A17A54">
        <w:t>revocation-of-</w:t>
      </w:r>
      <w:r w:rsidR="00047FF1">
        <w:t xml:space="preserve">consent requests for robocalls and </w:t>
      </w:r>
      <w:r w:rsidR="00344D0C">
        <w:t>robo</w:t>
      </w:r>
      <w:r w:rsidR="00047FF1">
        <w:t>texts</w:t>
      </w:r>
      <w:r w:rsidR="00047FF1">
        <w:t xml:space="preserve"> made to residential </w:t>
      </w:r>
      <w:r w:rsidR="00344D0C">
        <w:t>or</w:t>
      </w:r>
      <w:r w:rsidR="00047FF1">
        <w:t xml:space="preserve"> wireless telephone numbers. </w:t>
      </w:r>
      <w:r w:rsidR="00194834">
        <w:t xml:space="preserve"> </w:t>
      </w:r>
      <w:r w:rsidR="00D61E8F">
        <w:t xml:space="preserve">The Commission’s rules currently </w:t>
      </w:r>
      <w:r w:rsidR="00DB3816">
        <w:t>require</w:t>
      </w:r>
      <w:r w:rsidR="00D61E8F">
        <w:t xml:space="preserve"> callers making telemarketing calls or exempted </w:t>
      </w:r>
      <w:r w:rsidR="00686230">
        <w:t xml:space="preserve">artificial and </w:t>
      </w:r>
      <w:r w:rsidR="00D61E8F">
        <w:t xml:space="preserve">prerecorded </w:t>
      </w:r>
      <w:r w:rsidR="00686230">
        <w:t xml:space="preserve">voice </w:t>
      </w:r>
      <w:r w:rsidR="00D61E8F">
        <w:t xml:space="preserve">calls to residential telephone numbers and exempted package delivery calls and texts to wireless consumers </w:t>
      </w:r>
      <w:r w:rsidR="00DB3816">
        <w:t>to honor do-not-call requests within a reasonable time not to exceed</w:t>
      </w:r>
      <w:r w:rsidR="00D61E8F">
        <w:t xml:space="preserve"> 30 days</w:t>
      </w:r>
      <w:r w:rsidR="00DB3816">
        <w:t xml:space="preserve"> from the date of </w:t>
      </w:r>
      <w:r w:rsidR="009111AF">
        <w:t xml:space="preserve">any </w:t>
      </w:r>
      <w:r w:rsidR="00047FF1">
        <w:t>such request</w:t>
      </w:r>
      <w:r w:rsidR="00D61E8F">
        <w:t>.</w:t>
      </w:r>
      <w:r>
        <w:rPr>
          <w:rStyle w:val="FootnoteReference"/>
        </w:rPr>
        <w:footnoteReference w:id="25"/>
      </w:r>
      <w:r w:rsidR="00A52760">
        <w:t xml:space="preserve">  This proposal will require amending </w:t>
      </w:r>
      <w:r w:rsidR="008A38F8">
        <w:t>those</w:t>
      </w:r>
      <w:r w:rsidR="00A52760">
        <w:t xml:space="preserve"> existing rules</w:t>
      </w:r>
      <w:r>
        <w:rPr>
          <w:rStyle w:val="FootnoteReference"/>
        </w:rPr>
        <w:footnoteReference w:id="26"/>
      </w:r>
      <w:r w:rsidR="00A52760">
        <w:t xml:space="preserve"> and establishing new rules where no specific timeframe for honoring such requests currently exists.</w:t>
      </w:r>
      <w:r>
        <w:rPr>
          <w:rStyle w:val="FootnoteReference"/>
        </w:rPr>
        <w:footnoteReference w:id="27"/>
      </w:r>
      <w:r w:rsidR="00A52760">
        <w:t xml:space="preserve">  We seek comment on this proposal, including on the 24-hour period.  Is this period reasonable?  Should we, rather, require that revocations be </w:t>
      </w:r>
      <w:r w:rsidR="00164354">
        <w:t>honored immediately upon receipt</w:t>
      </w:r>
      <w:r w:rsidR="00AE3F30">
        <w:t xml:space="preserve"> or consider some other timeframe</w:t>
      </w:r>
      <w:r w:rsidR="00164354">
        <w:t xml:space="preserve">?  </w:t>
      </w:r>
    </w:p>
    <w:p w:rsidR="00C94307" w:rsidP="00D24386" w14:paraId="783452D4" w14:textId="4D909F53">
      <w:pPr>
        <w:pStyle w:val="ParaNum"/>
        <w:widowControl/>
      </w:pPr>
      <w:r>
        <w:t xml:space="preserve">Consumers are understandably frustrated when they receive </w:t>
      </w:r>
      <w:r w:rsidRPr="00C94307" w:rsidR="002F18F0">
        <w:t xml:space="preserve">robocalls and </w:t>
      </w:r>
      <w:r w:rsidRPr="00C94307" w:rsidR="002F18F0">
        <w:t>robotext</w:t>
      </w:r>
      <w:r w:rsidRPr="00C94307" w:rsidR="002F18F0">
        <w:t xml:space="preserve"> messages days or even weeks following a request to stop such communications</w:t>
      </w:r>
      <w:r w:rsidR="002F18F0">
        <w:t xml:space="preserve">.  Such delays also </w:t>
      </w:r>
      <w:r w:rsidRPr="00C94307" w:rsidR="002F18F0">
        <w:t xml:space="preserve">undermine </w:t>
      </w:r>
      <w:r w:rsidR="002F18F0">
        <w:t>a consumer’s</w:t>
      </w:r>
      <w:r w:rsidRPr="00C94307" w:rsidR="002F18F0">
        <w:t xml:space="preserve"> right to determine which robocalls and </w:t>
      </w:r>
      <w:r w:rsidRPr="00C94307" w:rsidR="002F18F0">
        <w:t>robotexts</w:t>
      </w:r>
      <w:r w:rsidRPr="00C94307" w:rsidR="002F18F0">
        <w:t xml:space="preserve"> they wish to receive under the privacy protections afforded by the TCPA.  In addition, we believe that advances in technology over the years, including automated and interactive technologies, have made the processing of do-not-call and consent revocation requests more efficient and timely than in the past.</w:t>
      </w:r>
      <w:r>
        <w:rPr>
          <w:rStyle w:val="FootnoteReference"/>
        </w:rPr>
        <w:footnoteReference w:id="28"/>
      </w:r>
      <w:r w:rsidRPr="00C94307" w:rsidR="002F18F0">
        <w:t xml:space="preserve">  We believe that such </w:t>
      </w:r>
      <w:r w:rsidRPr="00C94307" w:rsidR="002F18F0">
        <w:t xml:space="preserve">technological advances provide callers and senders of text messages with the tools they need to process all do-not-call and consent revocation requests in near real time.  </w:t>
      </w:r>
      <w:r w:rsidR="00F5732C">
        <w:t>We seek comment on these beliefs.</w:t>
      </w:r>
    </w:p>
    <w:p w:rsidR="00047FF1" w:rsidP="00C94307" w14:paraId="2A8D7A1D" w14:textId="33D0ADE1">
      <w:pPr>
        <w:pStyle w:val="ParaNum"/>
      </w:pPr>
      <w:r>
        <w:t xml:space="preserve">Consistent with the conditions imposed on </w:t>
      </w:r>
      <w:r w:rsidR="004B5CCB">
        <w:t xml:space="preserve">other </w:t>
      </w:r>
      <w:r>
        <w:t>calls to wireless telephone numbers</w:t>
      </w:r>
      <w:r w:rsidR="004B5CCB">
        <w:t xml:space="preserve"> </w:t>
      </w:r>
      <w:r w:rsidR="0065495C">
        <w:t xml:space="preserve">that are exempt from the </w:t>
      </w:r>
      <w:r w:rsidR="004B5CCB">
        <w:t xml:space="preserve">prior </w:t>
      </w:r>
      <w:r w:rsidR="00DE3911">
        <w:t>-express-</w:t>
      </w:r>
      <w:r w:rsidR="004B5CCB">
        <w:t>consent</w:t>
      </w:r>
      <w:r w:rsidR="0065495C">
        <w:t xml:space="preserve"> requirement</w:t>
      </w:r>
      <w:r w:rsidR="004B5CCB">
        <w:t xml:space="preserve">, we </w:t>
      </w:r>
      <w:r w:rsidR="00344D0C">
        <w:t xml:space="preserve">also </w:t>
      </w:r>
      <w:r w:rsidR="004B5CCB">
        <w:t xml:space="preserve">propose to amend our rules for exempted package delivery </w:t>
      </w:r>
      <w:r w:rsidR="007C2445">
        <w:t xml:space="preserve">calls </w:t>
      </w:r>
      <w:r w:rsidR="004B5CCB">
        <w:t>to require that such callers honor an opt-out request immediately.</w:t>
      </w:r>
      <w:r>
        <w:rPr>
          <w:rStyle w:val="FootnoteReference"/>
        </w:rPr>
        <w:footnoteReference w:id="29"/>
      </w:r>
      <w:r w:rsidR="004B5CCB">
        <w:t xml:space="preserve">  </w:t>
      </w:r>
      <w:r w:rsidR="007522B4">
        <w:t>This proposal will place such callers on an equal footing with other categories of callers that have been gra</w:t>
      </w:r>
      <w:r w:rsidR="00E925DC">
        <w:t>n</w:t>
      </w:r>
      <w:r w:rsidR="007522B4">
        <w:t>t</w:t>
      </w:r>
      <w:r w:rsidR="00E925DC">
        <w:t>ed</w:t>
      </w:r>
      <w:r w:rsidR="007522B4">
        <w:t xml:space="preserve"> an exemption to call wireless telephone numbers without prior express consent.</w:t>
      </w:r>
      <w:r>
        <w:rPr>
          <w:rStyle w:val="FootnoteReference"/>
        </w:rPr>
        <w:footnoteReference w:id="30"/>
      </w:r>
      <w:r w:rsidR="007522B4">
        <w:t xml:space="preserve"> </w:t>
      </w:r>
      <w:r w:rsidR="004C36A0">
        <w:t xml:space="preserve"> </w:t>
      </w:r>
      <w:r w:rsidR="00DA2A31">
        <w:t>Alternatively, i</w:t>
      </w:r>
      <w:r w:rsidR="004C36A0">
        <w:t>s there any reason that package delivery calls should continue to be treated differently from other exempted callers</w:t>
      </w:r>
      <w:r w:rsidR="008A38F8">
        <w:t xml:space="preserve"> to allow for up to 30 days to honor an opt-out request</w:t>
      </w:r>
      <w:r w:rsidR="004C36A0">
        <w:t xml:space="preserve">? </w:t>
      </w:r>
      <w:r w:rsidR="007522B4">
        <w:t xml:space="preserve"> </w:t>
      </w:r>
      <w:r w:rsidR="00BB6C21">
        <w:t>We believe th</w:t>
      </w:r>
      <w:r w:rsidR="00344D0C">
        <w:t>ese</w:t>
      </w:r>
      <w:r w:rsidR="00BB6C21">
        <w:t xml:space="preserve"> proposal</w:t>
      </w:r>
      <w:r w:rsidR="00344D0C">
        <w:t>s</w:t>
      </w:r>
      <w:r w:rsidR="00BB6C21">
        <w:t xml:space="preserve"> will provide consumers with certainty that their do-not-call and consent revocation requests </w:t>
      </w:r>
      <w:r w:rsidR="000B0FB1">
        <w:t>are</w:t>
      </w:r>
      <w:r w:rsidR="00BB6C21">
        <w:t xml:space="preserve"> honored in a timely manner, enhancing the ability of consumers to stop unwanted </w:t>
      </w:r>
      <w:r w:rsidR="00344D0C">
        <w:t>robo</w:t>
      </w:r>
      <w:r w:rsidR="00BB6C21">
        <w:t>calls</w:t>
      </w:r>
      <w:r w:rsidR="00344D0C">
        <w:t xml:space="preserve"> and </w:t>
      </w:r>
      <w:r w:rsidR="00344D0C">
        <w:t>robotexts</w:t>
      </w:r>
      <w:r w:rsidR="00BB6C21">
        <w:t xml:space="preserve">. </w:t>
      </w:r>
      <w:r w:rsidR="002F18F0">
        <w:t xml:space="preserve"> </w:t>
      </w:r>
      <w:r w:rsidR="00BB6C21">
        <w:t>We seek comment on th</w:t>
      </w:r>
      <w:r w:rsidR="00C94307">
        <w:t>ese</w:t>
      </w:r>
      <w:r w:rsidR="00BB6C21">
        <w:t xml:space="preserve"> proposal</w:t>
      </w:r>
      <w:bookmarkStart w:id="39" w:name="_Hlk131059299"/>
      <w:r w:rsidR="00C94307">
        <w:t>s</w:t>
      </w:r>
      <w:r w:rsidR="0065495C">
        <w:t>,</w:t>
      </w:r>
      <w:r w:rsidR="00C94307">
        <w:t xml:space="preserve"> </w:t>
      </w:r>
      <w:r w:rsidR="002C3AFF">
        <w:t>including any burdens this may impose on callers</w:t>
      </w:r>
      <w:r w:rsidR="00ED0CD0">
        <w:t>,</w:t>
      </w:r>
      <w:r w:rsidR="002C3AFF">
        <w:t xml:space="preserve"> including small </w:t>
      </w:r>
      <w:r w:rsidR="004C36A0">
        <w:t>entities</w:t>
      </w:r>
      <w:r w:rsidR="00BB6C21">
        <w:t>.</w:t>
      </w:r>
      <w:bookmarkEnd w:id="39"/>
      <w:r w:rsidR="00BB6C21">
        <w:t xml:space="preserve"> </w:t>
      </w:r>
    </w:p>
    <w:p w:rsidR="006A6530" w:rsidRPr="006A6530" w:rsidP="002B1284" w14:paraId="233F5481" w14:textId="77777777">
      <w:pPr>
        <w:pStyle w:val="Heading2"/>
      </w:pPr>
      <w:r w:rsidRPr="006A6530">
        <w:t>Revocation Confirmation Text Message</w:t>
      </w:r>
    </w:p>
    <w:p w:rsidR="006A6530" w:rsidRPr="006A6530" w:rsidP="006A6530" w14:paraId="4F99A0A5" w14:textId="0E518D13">
      <w:pPr>
        <w:pStyle w:val="ParaNum"/>
      </w:pPr>
      <w:r w:rsidRPr="006A6530">
        <w:t xml:space="preserve">We propose to codify the Commission’s </w:t>
      </w:r>
      <w:r w:rsidRPr="006A6530">
        <w:rPr>
          <w:i/>
          <w:iCs/>
        </w:rPr>
        <w:t xml:space="preserve">Soundbite Declaratory Ruling </w:t>
      </w:r>
      <w:r w:rsidRPr="006A6530">
        <w:t>clarifying that a one-time text message confirming a consumer’s request that no further text messages be sent does not violate the TCPA or the Commission’s rules as long as the confirmation text merely confirms the called party’s opt-out request and does not include any marketing or promotional information, and the text is the only additional message sent to the called party after receipt of the opt-out request.</w:t>
      </w:r>
      <w:r>
        <w:rPr>
          <w:vertAlign w:val="superscript"/>
        </w:rPr>
        <w:footnoteReference w:id="31"/>
      </w:r>
      <w:r w:rsidRPr="006A6530">
        <w:t xml:space="preserve">  In the </w:t>
      </w:r>
      <w:r w:rsidRPr="006A6530">
        <w:rPr>
          <w:i/>
          <w:iCs/>
        </w:rPr>
        <w:t>Soundbite Declaratory Ruling</w:t>
      </w:r>
      <w:r w:rsidRPr="006A6530">
        <w:t>, the Commission noted that “confirmation messages ultimately benefit and protect consumers by helping to ensure, via such confirmation, that the consumer who ostensibly opted out in fact no longer wishes to receive text messages from entities from whom the consumer previously expressed an affirmative desire to receive such messages.”</w:t>
      </w:r>
      <w:r>
        <w:rPr>
          <w:vertAlign w:val="superscript"/>
        </w:rPr>
        <w:footnoteReference w:id="32"/>
      </w:r>
      <w:r w:rsidRPr="006A6530">
        <w:t xml:space="preserve">  We believe that codifying this ruling will better ensure that both text senders and recipients are aware of </w:t>
      </w:r>
      <w:r w:rsidR="002F2D12">
        <w:t>it</w:t>
      </w:r>
      <w:r w:rsidRPr="006A6530">
        <w:t xml:space="preserve">, including the limitations imposed on such one-time confirmation text messages.  We seek comment on our proposal.  In the time since it went into effect, have callers or consumers encountered any issues not addressed in the </w:t>
      </w:r>
      <w:r w:rsidRPr="006A6530">
        <w:rPr>
          <w:i/>
          <w:iCs/>
        </w:rPr>
        <w:t>Soundbite Declaratory Ruling</w:t>
      </w:r>
      <w:r w:rsidRPr="006A6530">
        <w:t>?</w:t>
      </w:r>
    </w:p>
    <w:p w:rsidR="006A6530" w:rsidRPr="006A6530" w:rsidP="006A6530" w14:paraId="53B4B43B" w14:textId="124FFCC2">
      <w:pPr>
        <w:pStyle w:val="ParaNum"/>
      </w:pPr>
      <w:r w:rsidRPr="006A6530">
        <w:t xml:space="preserve">We also propose to </w:t>
      </w:r>
      <w:r w:rsidR="004E5E4A">
        <w:t>codify</w:t>
      </w:r>
      <w:r w:rsidRPr="006A6530" w:rsidR="004E5E4A">
        <w:t xml:space="preserve"> </w:t>
      </w:r>
      <w:r w:rsidRPr="006A6530">
        <w:t xml:space="preserve">that senders can include a request for clarification in the one-time confirmation text, provided the sender ceases all further robocalls and </w:t>
      </w:r>
      <w:r w:rsidRPr="006A6530">
        <w:t>robotexts</w:t>
      </w:r>
      <w:r w:rsidRPr="006A6530">
        <w:t xml:space="preserve"> absent an affirmative response from the consumer that they wish to receive further communications from the sender.  We further propose that a lack of any response to the confirmation call or text must be treated by the sender as a revocation of consent for all robocalls and </w:t>
      </w:r>
      <w:r w:rsidRPr="006A6530">
        <w:t>robotexts</w:t>
      </w:r>
      <w:r w:rsidRPr="006A6530">
        <w:t xml:space="preserve"> </w:t>
      </w:r>
      <w:r w:rsidR="002B18DB">
        <w:t>from</w:t>
      </w:r>
      <w:r w:rsidRPr="006A6530">
        <w:t xml:space="preserve"> the </w:t>
      </w:r>
      <w:r w:rsidR="002B18DB">
        <w:t>sender</w:t>
      </w:r>
      <w:r w:rsidRPr="006A6530">
        <w:t>.  We do so in response to Capital One’s petition seeking confirmation that the text sender may request clarification in its one-time confirmation message of the scope of the recipient’s revocation request when that recipient has consented to receiving multiple categories of informational messages from the sender.</w:t>
      </w:r>
      <w:r>
        <w:rPr>
          <w:vertAlign w:val="superscript"/>
        </w:rPr>
        <w:footnoteReference w:id="33"/>
      </w:r>
      <w:r w:rsidRPr="006A6530">
        <w:t xml:space="preserve">  We note that banks and financial institutions support Capital One’s request, indicating that consumers often consent to receive multiple categories of informational messages and that opt-out requests in these situations can be ambiguous as to whether the request applies to all or just certain types of those messages.</w:t>
      </w:r>
      <w:r>
        <w:rPr>
          <w:vertAlign w:val="superscript"/>
        </w:rPr>
        <w:footnoteReference w:id="34"/>
      </w:r>
      <w:r w:rsidRPr="006A6530">
        <w:t xml:space="preserve">  Consumer </w:t>
      </w:r>
      <w:r w:rsidRPr="006A6530">
        <w:t xml:space="preserve">groups have also expressed support for Capital One’s request, provided that a lack of any response to the confirmation text message </w:t>
      </w:r>
      <w:r w:rsidR="0048687D">
        <w:t xml:space="preserve">must </w:t>
      </w:r>
      <w:r w:rsidRPr="006A6530">
        <w:t xml:space="preserve">be interpreted by the sender to mean that the consumer’s revocation request was intended to encompass all robocalls and </w:t>
      </w:r>
      <w:r w:rsidRPr="006A6530">
        <w:t>robotexts</w:t>
      </w:r>
      <w:r w:rsidRPr="006A6530">
        <w:t xml:space="preserve"> and the sender must therefore cease all further robocalls and </w:t>
      </w:r>
      <w:r w:rsidRPr="006A6530">
        <w:t>robotexts</w:t>
      </w:r>
      <w:r w:rsidRPr="006A6530">
        <w:t xml:space="preserve"> to that consumer absent further clarification from the consumer.</w:t>
      </w:r>
      <w:r>
        <w:rPr>
          <w:vertAlign w:val="superscript"/>
        </w:rPr>
        <w:footnoteReference w:id="35"/>
      </w:r>
      <w:r w:rsidRPr="006A6530">
        <w:t xml:space="preserve">  We seek further comment on any </w:t>
      </w:r>
      <w:r w:rsidR="00E506DF">
        <w:t xml:space="preserve">additional </w:t>
      </w:r>
      <w:r w:rsidRPr="006A6530">
        <w:t>issues not fully addressed in the record.</w:t>
      </w:r>
    </w:p>
    <w:p w:rsidR="006A6530" w:rsidRPr="006A6530" w:rsidP="006A6530" w14:paraId="5673108D" w14:textId="1DE235E9">
      <w:pPr>
        <w:pStyle w:val="ParaNum"/>
      </w:pPr>
      <w:r w:rsidRPr="006A6530">
        <w:t xml:space="preserve">Consistent with the </w:t>
      </w:r>
      <w:r w:rsidRPr="006A6530">
        <w:rPr>
          <w:i/>
          <w:iCs/>
        </w:rPr>
        <w:t>Soundbite Declaratory Ruling</w:t>
      </w:r>
      <w:r w:rsidRPr="006A6530">
        <w:t xml:space="preserve"> and Capital One’s request, we propose to </w:t>
      </w:r>
      <w:r w:rsidR="005D719B">
        <w:t>codify</w:t>
      </w:r>
      <w:r w:rsidRPr="006A6530" w:rsidR="005D719B">
        <w:t xml:space="preserve"> </w:t>
      </w:r>
      <w:r w:rsidRPr="006A6530">
        <w:t>that any such clarification message must not contain any marketing or advertising content or seek to persuade the recipient to reconsider their opt-o</w:t>
      </w:r>
      <w:r w:rsidR="00924499">
        <w:t>ut</w:t>
      </w:r>
      <w:r w:rsidRPr="006A6530">
        <w:t xml:space="preserve"> decision.</w:t>
      </w:r>
      <w:r>
        <w:rPr>
          <w:vertAlign w:val="superscript"/>
        </w:rPr>
        <w:footnoteReference w:id="36"/>
      </w:r>
      <w:r w:rsidRPr="006A6530">
        <w:t xml:space="preserve">  Rather, this proposed clarification is strictly limited to informing the recipient of the scope of the opt-out request absent some further confirmation from the consumer that they wish to continue receiving certain categories of text messages from the sender.  We seek comment on this limitation.</w:t>
      </w:r>
    </w:p>
    <w:p w:rsidR="006A6530" w:rsidRPr="006A6530" w:rsidP="006A6530" w14:paraId="174ED840" w14:textId="77777777">
      <w:pPr>
        <w:pStyle w:val="ParaNum"/>
      </w:pPr>
      <w:r w:rsidRPr="006A6530">
        <w:t xml:space="preserve">We propose to emphasize that this confirmation text message is limited to a final </w:t>
      </w:r>
      <w:r w:rsidRPr="006A6530">
        <w:rPr>
          <w:i/>
          <w:iCs/>
        </w:rPr>
        <w:t>one-time</w:t>
      </w:r>
      <w:r w:rsidRPr="006A6530">
        <w:t xml:space="preserve"> text message absent an affirmative response from the consumer that they wish to continue to receive certain categories of informational calls or text messages from the sender.  We propose that, in the absence of any such affirmative response, no further robocalls or </w:t>
      </w:r>
      <w:r w:rsidRPr="006A6530">
        <w:t>robotexts</w:t>
      </w:r>
      <w:r w:rsidRPr="006A6530">
        <w:t xml:space="preserve"> can be made to this consumer.  In addition, we propose that a “STOP” text sent in response to the one-time request for confirmation does not then allow the text sender to send another request for further clarification.  As noted above, both industry and consumer groups support this proposal.</w:t>
      </w:r>
      <w:r>
        <w:rPr>
          <w:vertAlign w:val="superscript"/>
        </w:rPr>
        <w:footnoteReference w:id="37"/>
      </w:r>
      <w:r w:rsidRPr="006A6530">
        <w:t xml:space="preserve">  Does the record fully address the views of all parties?</w:t>
      </w:r>
    </w:p>
    <w:p w:rsidR="006A6530" w:rsidP="006A6530" w14:paraId="519D9204" w14:textId="70DC3D68">
      <w:pPr>
        <w:pStyle w:val="ParaNum"/>
      </w:pPr>
      <w:r w:rsidRPr="006A6530">
        <w:t xml:space="preserve">We seek comment on these proposals and any other related issues, such as any impact on smaller entities.  Is this the appropriate limit to put on the clarification from the </w:t>
      </w:r>
      <w:r w:rsidRPr="006A6530">
        <w:rPr>
          <w:i/>
          <w:iCs/>
        </w:rPr>
        <w:t>Soundbite Declaratory Ruling</w:t>
      </w:r>
      <w:r w:rsidRPr="006A6530">
        <w:t>?  Are there other limitations the Commission should impose to protect consumers’ rights to opt out of text messages yet ensure callers’ ability to correctly interpret consumers’ intent in revoking consent?  Should we instead decline to offer the clarification Capital One seeks?</w:t>
      </w:r>
    </w:p>
    <w:p w:rsidR="004062B4" w:rsidP="002B1284" w14:paraId="73856A86" w14:textId="2922EC08">
      <w:pPr>
        <w:pStyle w:val="Heading2"/>
      </w:pPr>
      <w:r>
        <w:t>Wireless Carrier Calls to Subscribers</w:t>
      </w:r>
    </w:p>
    <w:p w:rsidR="00311085" w:rsidP="008071B8" w14:paraId="36976FC9" w14:textId="123D7B07">
      <w:pPr>
        <w:pStyle w:val="ParaNum"/>
      </w:pPr>
      <w:r>
        <w:t xml:space="preserve">We propose </w:t>
      </w:r>
      <w:r w:rsidR="00312009">
        <w:t xml:space="preserve">to </w:t>
      </w:r>
      <w:r w:rsidR="00A21618">
        <w:t xml:space="preserve">require wireless providers to honor </w:t>
      </w:r>
      <w:r w:rsidR="00076570">
        <w:t xml:space="preserve">their </w:t>
      </w:r>
      <w:r w:rsidR="00A21618">
        <w:t>customers</w:t>
      </w:r>
      <w:r w:rsidR="00766898">
        <w:t>’</w:t>
      </w:r>
      <w:r w:rsidR="00A21618">
        <w:t xml:space="preserve"> request</w:t>
      </w:r>
      <w:r w:rsidR="00766898">
        <w:t>s</w:t>
      </w:r>
      <w:r w:rsidR="00A21618">
        <w:t xml:space="preserve"> to cease autodialed, </w:t>
      </w:r>
      <w:r w:rsidR="00780596">
        <w:t>prerecorded</w:t>
      </w:r>
      <w:r w:rsidR="00A21618">
        <w:t xml:space="preserve"> voice, and artificial voice calls, and autodialed texts.  </w:t>
      </w:r>
      <w:r w:rsidR="00BA2825">
        <w:t>To effectuate this change</w:t>
      </w:r>
      <w:r w:rsidR="00A21618">
        <w:t xml:space="preserve">, we </w:t>
      </w:r>
      <w:r w:rsidR="008071B8">
        <w:t xml:space="preserve">propose to </w:t>
      </w:r>
      <w:r w:rsidR="00324746">
        <w:t>alter</w:t>
      </w:r>
      <w:r w:rsidR="008071B8">
        <w:t xml:space="preserve"> our</w:t>
      </w:r>
      <w:r w:rsidR="00AC2092">
        <w:t xml:space="preserve"> prior ruling to require</w:t>
      </w:r>
      <w:r w:rsidR="008071B8">
        <w:t xml:space="preserve"> wireless providers to </w:t>
      </w:r>
      <w:r w:rsidR="000261CC">
        <w:t xml:space="preserve">subject such calls to </w:t>
      </w:r>
      <w:r w:rsidR="008071B8">
        <w:t>certain conditions that protect the privacy interests of subscribers</w:t>
      </w:r>
      <w:r>
        <w:t>.</w:t>
      </w:r>
      <w:r>
        <w:rPr>
          <w:rStyle w:val="FootnoteReference"/>
        </w:rPr>
        <w:footnoteReference w:id="38"/>
      </w:r>
    </w:p>
    <w:p w:rsidR="00156FC7" w:rsidP="004062B4" w14:paraId="67BAC2B5" w14:textId="512C9B1E">
      <w:pPr>
        <w:pStyle w:val="ParaNum"/>
      </w:pPr>
      <w:r>
        <w:t>I</w:t>
      </w:r>
      <w:r w:rsidRPr="001F3A78">
        <w:t xml:space="preserve">n 1992, the Commission concluded that </w:t>
      </w:r>
      <w:r w:rsidR="00185B0A">
        <w:t>wireless</w:t>
      </w:r>
      <w:r w:rsidRPr="001F3A78">
        <w:t xml:space="preserve"> carriers need not obtain</w:t>
      </w:r>
      <w:r w:rsidR="00185B0A">
        <w:t xml:space="preserve"> </w:t>
      </w:r>
      <w:r w:rsidRPr="001F3A78">
        <w:t xml:space="preserve">consent prior to initiating autodialed, artificial voice, or prerecorded voice calls </w:t>
      </w:r>
      <w:r w:rsidR="007919FC">
        <w:t xml:space="preserve">to their own </w:t>
      </w:r>
      <w:r w:rsidRPr="001F3A78">
        <w:t>subscriber</w:t>
      </w:r>
      <w:r w:rsidR="007919FC">
        <w:t>s</w:t>
      </w:r>
      <w:r w:rsidRPr="001F3A78">
        <w:t xml:space="preserve"> </w:t>
      </w:r>
      <w:r w:rsidR="00160330">
        <w:t>because such communications were not charged to the called party</w:t>
      </w:r>
      <w:r w:rsidRPr="001F3A78">
        <w:t>.</w:t>
      </w:r>
      <w:r>
        <w:rPr>
          <w:sz w:val="20"/>
          <w:vertAlign w:val="superscript"/>
        </w:rPr>
        <w:footnoteReference w:id="39"/>
      </w:r>
      <w:r>
        <w:t xml:space="preserve">  </w:t>
      </w:r>
      <w:r w:rsidR="00185B0A">
        <w:t>Following th</w:t>
      </w:r>
      <w:r w:rsidR="007919FC">
        <w:t>is</w:t>
      </w:r>
      <w:r w:rsidR="00185B0A">
        <w:t xml:space="preserve"> ruling, </w:t>
      </w:r>
      <w:r w:rsidRPr="00156FC7">
        <w:t xml:space="preserve">Congress </w:t>
      </w:r>
      <w:r w:rsidR="00C67574">
        <w:t xml:space="preserve">amended the TCPA to grant the Commission </w:t>
      </w:r>
      <w:r w:rsidR="00185B0A">
        <w:t xml:space="preserve">express statutory </w:t>
      </w:r>
      <w:r>
        <w:t>authority</w:t>
      </w:r>
      <w:r w:rsidRPr="00156FC7">
        <w:t xml:space="preserve"> </w:t>
      </w:r>
      <w:r w:rsidR="00160330">
        <w:t xml:space="preserve">to exempt from the </w:t>
      </w:r>
      <w:r w:rsidR="003B49D5">
        <w:t>prior-express-</w:t>
      </w:r>
      <w:r w:rsidR="00160330">
        <w:t xml:space="preserve">consent </w:t>
      </w:r>
      <w:r w:rsidR="00160330">
        <w:t xml:space="preserve">requirement calls to wireless numbers that are not charged to the called party </w:t>
      </w:r>
      <w:r w:rsidRPr="00C66117" w:rsidR="00C67574">
        <w:rPr>
          <w:i/>
          <w:iCs/>
        </w:rPr>
        <w:t>subject</w:t>
      </w:r>
      <w:r w:rsidR="00C67574">
        <w:t xml:space="preserve"> </w:t>
      </w:r>
      <w:r w:rsidRPr="00377517" w:rsidR="00C67574">
        <w:rPr>
          <w:i/>
          <w:iCs/>
        </w:rPr>
        <w:t>to</w:t>
      </w:r>
      <w:r w:rsidR="00C67574">
        <w:t xml:space="preserve"> such conditions as the Commission deem</w:t>
      </w:r>
      <w:r w:rsidR="00C66117">
        <w:t>s</w:t>
      </w:r>
      <w:r w:rsidR="00C67574">
        <w:t xml:space="preserve"> necessary to protect the privacy rights afforded under the TCPA</w:t>
      </w:r>
      <w:r w:rsidRPr="00156FC7">
        <w:t>.</w:t>
      </w:r>
      <w:r>
        <w:rPr>
          <w:sz w:val="20"/>
          <w:szCs w:val="18"/>
          <w:vertAlign w:val="superscript"/>
        </w:rPr>
        <w:footnoteReference w:id="40"/>
      </w:r>
      <w:r w:rsidRPr="00156FC7">
        <w:t xml:space="preserve"> </w:t>
      </w:r>
      <w:r w:rsidR="00185B0A">
        <w:t xml:space="preserve"> </w:t>
      </w:r>
      <w:r w:rsidRPr="00156FC7">
        <w:t xml:space="preserve">As a result, the ability of wireless carriers to call their own </w:t>
      </w:r>
      <w:r w:rsidR="00160330">
        <w:t>subscribers</w:t>
      </w:r>
      <w:r w:rsidRPr="00156FC7">
        <w:t xml:space="preserve"> without</w:t>
      </w:r>
      <w:r>
        <w:t xml:space="preserve"> prior express </w:t>
      </w:r>
      <w:r w:rsidRPr="00156FC7">
        <w:t xml:space="preserve">consent, where the consumer is not charged for the call, </w:t>
      </w:r>
      <w:r w:rsidR="00B568D4">
        <w:t xml:space="preserve">was </w:t>
      </w:r>
      <w:r w:rsidR="00DD05A2">
        <w:t>based on the language of section 227(b)(1)</w:t>
      </w:r>
      <w:r w:rsidR="00C26B6C">
        <w:t>(A)</w:t>
      </w:r>
      <w:r w:rsidR="00DD05A2">
        <w:t xml:space="preserve">(iii) and </w:t>
      </w:r>
      <w:r w:rsidR="00580A63">
        <w:t>was</w:t>
      </w:r>
      <w:r w:rsidRPr="00156FC7">
        <w:t xml:space="preserve"> not a creation of a section 227(b)(2)(C) exemption</w:t>
      </w:r>
      <w:r w:rsidR="00A36BCA">
        <w:t xml:space="preserve">; </w:t>
      </w:r>
      <w:r w:rsidR="00633817">
        <w:t xml:space="preserve">therefore, </w:t>
      </w:r>
      <w:r w:rsidR="00AA3841">
        <w:t>the Commission has not subjected this ability</w:t>
      </w:r>
      <w:r>
        <w:t xml:space="preserve"> to conditions </w:t>
      </w:r>
      <w:r w:rsidR="002E310C">
        <w:t xml:space="preserve">to protect the privacy rights of wireless subscribers </w:t>
      </w:r>
      <w:r>
        <w:t xml:space="preserve">that </w:t>
      </w:r>
      <w:r w:rsidR="0097097D">
        <w:t>the Commission has imposed</w:t>
      </w:r>
      <w:r w:rsidR="00C67574">
        <w:t xml:space="preserve"> </w:t>
      </w:r>
      <w:r w:rsidR="00154802">
        <w:t>i</w:t>
      </w:r>
      <w:r w:rsidR="00C67574">
        <w:t>n</w:t>
      </w:r>
      <w:r>
        <w:t xml:space="preserve"> other </w:t>
      </w:r>
      <w:r w:rsidR="00185B0A">
        <w:t xml:space="preserve">analogous </w:t>
      </w:r>
      <w:r w:rsidR="0010418B">
        <w:t xml:space="preserve">situations </w:t>
      </w:r>
      <w:r w:rsidR="002E310C">
        <w:t>where</w:t>
      </w:r>
      <w:r w:rsidR="0010418B">
        <w:t xml:space="preserve"> </w:t>
      </w:r>
      <w:r>
        <w:t>callers</w:t>
      </w:r>
      <w:r w:rsidR="00C67574">
        <w:t xml:space="preserve"> </w:t>
      </w:r>
      <w:r w:rsidR="0002422E">
        <w:t xml:space="preserve">have been granted an exemption to </w:t>
      </w:r>
      <w:r w:rsidR="00C67574">
        <w:t>make robocalls</w:t>
      </w:r>
      <w:r w:rsidR="00E149C8">
        <w:t xml:space="preserve"> or send </w:t>
      </w:r>
      <w:r w:rsidR="00E149C8">
        <w:t>robotex</w:t>
      </w:r>
      <w:r w:rsidR="00CE324A">
        <w:t>t</w:t>
      </w:r>
      <w:r w:rsidR="00E149C8">
        <w:t>s</w:t>
      </w:r>
      <w:r w:rsidR="00C67574">
        <w:t xml:space="preserve"> to wireless numbers </w:t>
      </w:r>
      <w:r w:rsidR="00160330">
        <w:t xml:space="preserve">without </w:t>
      </w:r>
      <w:r w:rsidR="0002422E">
        <w:t>prior express consent</w:t>
      </w:r>
      <w:r w:rsidRPr="00156FC7">
        <w:t>.</w:t>
      </w:r>
    </w:p>
    <w:p w:rsidR="00AC6CE3" w:rsidP="0010418B" w14:paraId="31FFD9E5" w14:textId="6A288C2D">
      <w:pPr>
        <w:pStyle w:val="ParaNum"/>
      </w:pPr>
      <w:r>
        <w:t xml:space="preserve">This situation has created </w:t>
      </w:r>
      <w:r w:rsidR="00696728">
        <w:t xml:space="preserve">disagreements </w:t>
      </w:r>
      <w:r>
        <w:t>as to whether</w:t>
      </w:r>
      <w:r w:rsidR="00E951E2">
        <w:t xml:space="preserve"> the Commission </w:t>
      </w:r>
      <w:r w:rsidR="00635459">
        <w:t xml:space="preserve">has authority to impose an opt-out requirement on communications from wireless service providers to their customers.  </w:t>
      </w:r>
      <w:r w:rsidR="005558EE">
        <w:t>T</w:t>
      </w:r>
      <w:r>
        <w:t xml:space="preserve">wo wireless subscribers filed petitions seeking clarification that they can revoke consent to receive calls and messages from their wireless provider after such a request </w:t>
      </w:r>
      <w:r w:rsidR="00502375">
        <w:t xml:space="preserve">to stop such communications </w:t>
      </w:r>
      <w:r>
        <w:t>was denied by their wireless provider</w:t>
      </w:r>
      <w:r w:rsidR="00810CBB">
        <w:t>s</w:t>
      </w:r>
      <w:r>
        <w:t>.</w:t>
      </w:r>
      <w:r>
        <w:rPr>
          <w:rStyle w:val="FootnoteReference"/>
        </w:rPr>
        <w:footnoteReference w:id="41"/>
      </w:r>
      <w:r>
        <w:t xml:space="preserve">  </w:t>
      </w:r>
      <w:r>
        <w:t>In response to requests for comments on these petitions, w</w:t>
      </w:r>
      <w:r w:rsidRPr="00AC6CE3">
        <w:t xml:space="preserve">ireless providers and organizations opposed the </w:t>
      </w:r>
      <w:r>
        <w:t>relief sought</w:t>
      </w:r>
      <w:r w:rsidRPr="00AC6CE3">
        <w:t xml:space="preserve">, arguing that the TCPA’s </w:t>
      </w:r>
      <w:r w:rsidR="00D03B68">
        <w:t>prohibitions</w:t>
      </w:r>
      <w:r w:rsidR="00142E3E">
        <w:t xml:space="preserve"> do not apply to </w:t>
      </w:r>
      <w:r w:rsidR="00941A20">
        <w:t xml:space="preserve">communications from wireless providers to their customers </w:t>
      </w:r>
      <w:r w:rsidRPr="00AC6CE3">
        <w:t>because there is no charge to the subscribers for calls and messages to them.</w:t>
      </w:r>
      <w:r>
        <w:rPr>
          <w:vertAlign w:val="superscript"/>
        </w:rPr>
        <w:footnoteReference w:id="42"/>
      </w:r>
      <w:r w:rsidRPr="00AC6CE3">
        <w:t xml:space="preserve">  As a result, these commenters contend, there is no prior consent to be revoked because prior express consent is not required to make such calls under the TCPA. </w:t>
      </w:r>
      <w:r w:rsidR="00502375">
        <w:t xml:space="preserve"> We seek comment on these considerations in the context of our proposed exemption.</w:t>
      </w:r>
    </w:p>
    <w:p w:rsidR="0010418B" w:rsidP="00D24386" w14:paraId="10557929" w14:textId="714914E1">
      <w:pPr>
        <w:pStyle w:val="ParaNum"/>
        <w:widowControl/>
      </w:pPr>
      <w:r>
        <w:t>We propose to re</w:t>
      </w:r>
      <w:r w:rsidR="00DF0261">
        <w:t>visit</w:t>
      </w:r>
      <w:r>
        <w:t xml:space="preserve"> the 1992 ruling </w:t>
      </w:r>
      <w:r w:rsidR="009A6A8F">
        <w:t>that “</w:t>
      </w:r>
      <w:r w:rsidRPr="001E41ED" w:rsidR="009A6A8F">
        <w:t xml:space="preserve">cellular carriers need not obtain additional consent from their cellular subscribers prior to initiating </w:t>
      </w:r>
      <w:r w:rsidRPr="001E41ED" w:rsidR="009A6A8F">
        <w:t>autodialer</w:t>
      </w:r>
      <w:r w:rsidRPr="001E41ED" w:rsidR="009A6A8F">
        <w:t xml:space="preserve"> and artificial and prerecorded message calls for which the cellular subscriber is not charged.</w:t>
      </w:r>
      <w:r w:rsidR="001E41ED">
        <w:t>”</w:t>
      </w:r>
      <w:r>
        <w:rPr>
          <w:rStyle w:val="FootnoteReference"/>
        </w:rPr>
        <w:footnoteReference w:id="43"/>
      </w:r>
      <w:r w:rsidR="007A287B">
        <w:t xml:space="preserve">  Instead of that blanket exemption for all wireless calls for which the subscriber is not charged, w</w:t>
      </w:r>
      <w:r w:rsidR="005E0B3C">
        <w:t xml:space="preserve">e propose to </w:t>
      </w:r>
      <w:r w:rsidR="00EB0D9E">
        <w:t xml:space="preserve">create </w:t>
      </w:r>
      <w:r w:rsidR="001D7605">
        <w:t xml:space="preserve">and codify </w:t>
      </w:r>
      <w:r w:rsidR="007A287B">
        <w:t>a qualified</w:t>
      </w:r>
      <w:r w:rsidR="00EB0D9E">
        <w:t xml:space="preserve"> </w:t>
      </w:r>
      <w:r w:rsidR="005E0B3C">
        <w:t>exempt</w:t>
      </w:r>
      <w:r w:rsidR="00EB0D9E">
        <w:t>ion</w:t>
      </w:r>
      <w:r w:rsidR="008E1CE6">
        <w:t>—based on our a</w:t>
      </w:r>
      <w:r w:rsidR="009D71A8">
        <w:t>uthority under section 227(b)(2)(C)</w:t>
      </w:r>
      <w:r w:rsidR="00BD106C">
        <w:t>—</w:t>
      </w:r>
      <w:r w:rsidR="00EB0D9E">
        <w:t>for</w:t>
      </w:r>
      <w:r w:rsidR="005E0B3C">
        <w:t xml:space="preserve"> informational robocalls and </w:t>
      </w:r>
      <w:r w:rsidR="005E0B3C">
        <w:t>robotexts</w:t>
      </w:r>
      <w:r w:rsidR="005E0B3C">
        <w:t xml:space="preserve"> from wireless providers to their subscribers</w:t>
      </w:r>
      <w:r w:rsidR="005968E5">
        <w:t xml:space="preserve">.  </w:t>
      </w:r>
      <w:r w:rsidR="00E71042">
        <w:t>More specifically, those calls would be</w:t>
      </w:r>
      <w:r w:rsidR="00035737">
        <w:t xml:space="preserve"> </w:t>
      </w:r>
      <w:r w:rsidR="00E752F7">
        <w:t>exem</w:t>
      </w:r>
      <w:r w:rsidR="00D861C8">
        <w:t xml:space="preserve">pt </w:t>
      </w:r>
      <w:r w:rsidR="00D624AB">
        <w:t xml:space="preserve">from </w:t>
      </w:r>
      <w:r w:rsidR="0016380C">
        <w:t>the</w:t>
      </w:r>
      <w:r w:rsidRPr="000C4E72" w:rsidR="000C4E72">
        <w:t xml:space="preserve"> </w:t>
      </w:r>
      <w:r w:rsidR="000C4E72">
        <w:t>prior</w:t>
      </w:r>
      <w:r w:rsidR="00542E76">
        <w:t>-</w:t>
      </w:r>
      <w:r w:rsidR="000C4E72">
        <w:t>express</w:t>
      </w:r>
      <w:r w:rsidR="00542E76">
        <w:t>-</w:t>
      </w:r>
      <w:r w:rsidR="000C4E72">
        <w:t>consent</w:t>
      </w:r>
      <w:r w:rsidR="0016380C">
        <w:t xml:space="preserve"> requirement </w:t>
      </w:r>
      <w:r w:rsidR="00F7069B">
        <w:t>if</w:t>
      </w:r>
      <w:r w:rsidR="00542E76">
        <w:t>,</w:t>
      </w:r>
      <w:r w:rsidR="00F7069B">
        <w:t xml:space="preserve"> and only if</w:t>
      </w:r>
      <w:r w:rsidR="00542E76">
        <w:t>,</w:t>
      </w:r>
      <w:r w:rsidR="00F7069B">
        <w:t xml:space="preserve"> </w:t>
      </w:r>
      <w:r w:rsidR="00FE02A1">
        <w:t>certain conditions are satisfied</w:t>
      </w:r>
      <w:r w:rsidR="005E0B3C">
        <w:t>.</w:t>
      </w:r>
      <w:r>
        <w:rPr>
          <w:rStyle w:val="FootnoteReference"/>
        </w:rPr>
        <w:footnoteReference w:id="44"/>
      </w:r>
      <w:r w:rsidR="005E0B3C">
        <w:t xml:space="preserve">  </w:t>
      </w:r>
      <w:r w:rsidR="00C67574">
        <w:t>As noted, t</w:t>
      </w:r>
      <w:r w:rsidR="001F3A78">
        <w:t>he Commission has exercised this statutory authority to recognize certain limited exemption</w:t>
      </w:r>
      <w:r w:rsidR="00E149C8">
        <w:t>s</w:t>
      </w:r>
      <w:r w:rsidR="001F3A78">
        <w:t xml:space="preserve"> in other analogous situations</w:t>
      </w:r>
      <w:r w:rsidR="0002422E">
        <w:t xml:space="preserve"> where such calls </w:t>
      </w:r>
      <w:r w:rsidR="00560112">
        <w:t>also are</w:t>
      </w:r>
      <w:r w:rsidR="0002422E">
        <w:t xml:space="preserve"> made without a charge to the called party</w:t>
      </w:r>
      <w:r w:rsidR="001F3A78">
        <w:t>.</w:t>
      </w:r>
      <w:r>
        <w:rPr>
          <w:rStyle w:val="FootnoteReference"/>
        </w:rPr>
        <w:footnoteReference w:id="45"/>
      </w:r>
      <w:r w:rsidR="001F3A78">
        <w:t xml:space="preserve"> </w:t>
      </w:r>
      <w:r w:rsidR="00EC501C">
        <w:t xml:space="preserve"> We </w:t>
      </w:r>
      <w:r w:rsidR="00387301">
        <w:t>note that section 227(b)(2)(C)’s authority</w:t>
      </w:r>
      <w:r w:rsidR="00EE6FD3">
        <w:t xml:space="preserve"> to grant exemptions from the prior</w:t>
      </w:r>
      <w:r w:rsidR="00444575">
        <w:t>-</w:t>
      </w:r>
      <w:r w:rsidR="00EE6FD3">
        <w:t>express</w:t>
      </w:r>
      <w:r w:rsidR="00444575">
        <w:t>-</w:t>
      </w:r>
      <w:r w:rsidR="00EE6FD3">
        <w:t>consent requirement</w:t>
      </w:r>
      <w:r w:rsidR="00387301">
        <w:t xml:space="preserve"> is predicated on the ability of callers to make such calls with no charge to the consumer.</w:t>
      </w:r>
      <w:r>
        <w:rPr>
          <w:rStyle w:val="FootnoteReference"/>
        </w:rPr>
        <w:footnoteReference w:id="46"/>
      </w:r>
      <w:r w:rsidR="0002422E">
        <w:t xml:space="preserve"> </w:t>
      </w:r>
      <w:r w:rsidR="00EE6FD3">
        <w:t xml:space="preserve"> </w:t>
      </w:r>
      <w:r w:rsidR="0026400F">
        <w:t>We believe t</w:t>
      </w:r>
      <w:r w:rsidR="00387301">
        <w:t>hat requirement would be meaningless if all such call</w:t>
      </w:r>
      <w:r w:rsidR="00514AD9">
        <w:t>s or texts</w:t>
      </w:r>
      <w:r w:rsidR="00387301">
        <w:t xml:space="preserve"> were deemed to be </w:t>
      </w:r>
      <w:r w:rsidR="00EE6FD3">
        <w:t xml:space="preserve">wholly </w:t>
      </w:r>
      <w:r w:rsidR="00387301">
        <w:t>outside the prior express consent requirement merely because they were free to the end user</w:t>
      </w:r>
      <w:r w:rsidR="00444575">
        <w:t>,</w:t>
      </w:r>
      <w:r w:rsidR="00EE6FD3">
        <w:t xml:space="preserve"> as some wireless providers have argued</w:t>
      </w:r>
      <w:r w:rsidR="00387301">
        <w:t>.</w:t>
      </w:r>
      <w:r>
        <w:rPr>
          <w:rStyle w:val="FootnoteReference"/>
        </w:rPr>
        <w:footnoteReference w:id="47"/>
      </w:r>
      <w:r w:rsidR="00387301">
        <w:t xml:space="preserve">  </w:t>
      </w:r>
      <w:r w:rsidR="00566AFF">
        <w:t xml:space="preserve">Consistent with section 227(b)(2)(C), which permits </w:t>
      </w:r>
      <w:r w:rsidR="001F3A78">
        <w:t>the Commission to impose such condition</w:t>
      </w:r>
      <w:r w:rsidR="00B815E2">
        <w:t>s</w:t>
      </w:r>
      <w:r w:rsidR="001F3A78">
        <w:t xml:space="preserve"> </w:t>
      </w:r>
      <w:r w:rsidR="00753E98">
        <w:t>it deems</w:t>
      </w:r>
      <w:r w:rsidR="001F3A78">
        <w:t xml:space="preserve"> necessary </w:t>
      </w:r>
      <w:r w:rsidR="00902051">
        <w:t xml:space="preserve">in the interest of </w:t>
      </w:r>
      <w:r w:rsidR="001F3A78">
        <w:t>privacy</w:t>
      </w:r>
      <w:r w:rsidR="00CC2E12">
        <w:t>,</w:t>
      </w:r>
      <w:r>
        <w:rPr>
          <w:rStyle w:val="FootnoteReference"/>
        </w:rPr>
        <w:footnoteReference w:id="48"/>
      </w:r>
      <w:r w:rsidR="00CC2E12">
        <w:t xml:space="preserve"> </w:t>
      </w:r>
      <w:r w:rsidR="00C67574">
        <w:t xml:space="preserve">we </w:t>
      </w:r>
      <w:r w:rsidR="002E310C">
        <w:t xml:space="preserve">propose </w:t>
      </w:r>
      <w:r w:rsidR="00C67574">
        <w:t>conditions that are</w:t>
      </w:r>
      <w:r w:rsidR="002E310C">
        <w:t xml:space="preserve"> similar</w:t>
      </w:r>
      <w:r w:rsidR="00C67574">
        <w:t xml:space="preserve"> to those </w:t>
      </w:r>
      <w:r w:rsidR="009953C7">
        <w:t xml:space="preserve">the Commission </w:t>
      </w:r>
      <w:r w:rsidR="00C67574">
        <w:t xml:space="preserve">imposed </w:t>
      </w:r>
      <w:r w:rsidR="006D20D1">
        <w:t xml:space="preserve">to protect the privacy interests of consumers </w:t>
      </w:r>
      <w:r w:rsidR="00444575">
        <w:t xml:space="preserve">in other situations </w:t>
      </w:r>
      <w:r w:rsidR="00C67574">
        <w:t xml:space="preserve">where </w:t>
      </w:r>
      <w:r w:rsidR="009953C7">
        <w:t>it</w:t>
      </w:r>
      <w:r w:rsidR="00C67574">
        <w:t xml:space="preserve"> has recognized an </w:t>
      </w:r>
      <w:r w:rsidR="00C67574">
        <w:t xml:space="preserve">exemption from the </w:t>
      </w:r>
      <w:r w:rsidR="009953C7">
        <w:t>prior-express-</w:t>
      </w:r>
      <w:r w:rsidR="00C67574">
        <w:t>consent requirement for robocalls to wireless telephone numbers.</w:t>
      </w:r>
      <w:r>
        <w:t xml:space="preserve"> </w:t>
      </w:r>
      <w:r w:rsidR="00EB375A">
        <w:t xml:space="preserve"> </w:t>
      </w:r>
      <w:r>
        <w:t xml:space="preserve">The </w:t>
      </w:r>
      <w:r w:rsidR="002E310C">
        <w:t xml:space="preserve">proposed </w:t>
      </w:r>
      <w:r>
        <w:t xml:space="preserve">conditions </w:t>
      </w:r>
      <w:r w:rsidR="002E310C">
        <w:t>are</w:t>
      </w:r>
      <w:r>
        <w:t xml:space="preserve"> as follows:  </w:t>
      </w:r>
    </w:p>
    <w:p w:rsidR="0010418B" w:rsidRPr="0010418B" w:rsidP="0010418B" w14:paraId="4EE44A30" w14:textId="6F51816C">
      <w:pPr>
        <w:pStyle w:val="ParaNum"/>
        <w:numPr>
          <w:ilvl w:val="0"/>
          <w:numId w:val="0"/>
        </w:numPr>
        <w:ind w:left="720"/>
      </w:pPr>
      <w:r w:rsidRPr="0010418B">
        <w:t xml:space="preserve">(A) voice calls and text messages </w:t>
      </w:r>
      <w:r w:rsidR="00295781">
        <w:t>are initiated by a wireless service provider only to an</w:t>
      </w:r>
      <w:r w:rsidRPr="0010418B">
        <w:t xml:space="preserve"> </w:t>
      </w:r>
      <w:r>
        <w:t>existing subscriber of th</w:t>
      </w:r>
      <w:r w:rsidR="00295781">
        <w:t>at</w:t>
      </w:r>
      <w:r>
        <w:t xml:space="preserve"> wireless service provider</w:t>
      </w:r>
      <w:r w:rsidR="00201B93">
        <w:t xml:space="preserve"> at a number maintained by the wireless service provider</w:t>
      </w:r>
      <w:r w:rsidRPr="0010418B">
        <w:t>;</w:t>
      </w:r>
    </w:p>
    <w:p w:rsidR="0010418B" w:rsidRPr="0010418B" w:rsidP="0010418B" w14:paraId="26FEF3CC" w14:textId="678EAE8F">
      <w:pPr>
        <w:pStyle w:val="ParaNum"/>
        <w:numPr>
          <w:ilvl w:val="0"/>
          <w:numId w:val="0"/>
        </w:numPr>
        <w:ind w:left="720"/>
      </w:pPr>
      <w:r w:rsidRPr="0010418B">
        <w:t xml:space="preserve">(B) voice calls and text messages must state the name and contact information of the </w:t>
      </w:r>
      <w:r>
        <w:t>wireless</w:t>
      </w:r>
      <w:r w:rsidRPr="0010418B">
        <w:t xml:space="preserve"> provider (for voice calls, these disclosures </w:t>
      </w:r>
      <w:r w:rsidR="00702929">
        <w:t>must</w:t>
      </w:r>
      <w:r w:rsidRPr="0010418B">
        <w:t xml:space="preserve"> be made at the beginning of the call);</w:t>
      </w:r>
    </w:p>
    <w:p w:rsidR="0010418B" w:rsidRPr="0010418B" w:rsidP="0010418B" w14:paraId="0E11411C" w14:textId="21F8FA2D">
      <w:pPr>
        <w:pStyle w:val="ParaNum"/>
        <w:numPr>
          <w:ilvl w:val="0"/>
          <w:numId w:val="0"/>
        </w:numPr>
        <w:ind w:left="720"/>
      </w:pPr>
      <w:r w:rsidRPr="0010418B">
        <w:t>(</w:t>
      </w:r>
      <w:r>
        <w:t>C</w:t>
      </w:r>
      <w:r w:rsidRPr="0010418B">
        <w:t>) voice calls and text messages must not include any telemarketing, solicitation, or advertising;</w:t>
      </w:r>
    </w:p>
    <w:p w:rsidR="0010418B" w:rsidRPr="0010418B" w:rsidP="0010418B" w14:paraId="46FB97A1" w14:textId="58FF3114">
      <w:pPr>
        <w:pStyle w:val="ParaNum"/>
        <w:numPr>
          <w:ilvl w:val="0"/>
          <w:numId w:val="0"/>
        </w:numPr>
        <w:ind w:left="720"/>
      </w:pPr>
      <w:r w:rsidRPr="0010418B">
        <w:t>(</w:t>
      </w:r>
      <w:r>
        <w:t>D</w:t>
      </w:r>
      <w:r w:rsidRPr="0010418B">
        <w:t>) voice calls and text messages must be concise, generally one minute or less in length for voice calls or 160 characters or less in length for text messages;</w:t>
      </w:r>
    </w:p>
    <w:p w:rsidR="0010418B" w:rsidRPr="0010418B" w:rsidP="0010418B" w14:paraId="3CF4C7C4" w14:textId="7C70C482">
      <w:pPr>
        <w:pStyle w:val="ParaNum"/>
        <w:numPr>
          <w:ilvl w:val="0"/>
          <w:numId w:val="0"/>
        </w:numPr>
        <w:ind w:left="720"/>
      </w:pPr>
      <w:r w:rsidRPr="0010418B">
        <w:t>(</w:t>
      </w:r>
      <w:r>
        <w:t>E</w:t>
      </w:r>
      <w:r w:rsidRPr="0010418B">
        <w:t xml:space="preserve">) </w:t>
      </w:r>
      <w:bookmarkStart w:id="40" w:name="_Hlk56424451"/>
      <w:r w:rsidRPr="0010418B">
        <w:t xml:space="preserve">a </w:t>
      </w:r>
      <w:r>
        <w:t>wireless service</w:t>
      </w:r>
      <w:r w:rsidRPr="0010418B">
        <w:t xml:space="preserve"> provider may initiate a maximum of three voice calls or text messages </w:t>
      </w:r>
      <w:r>
        <w:t>during any 30-day period</w:t>
      </w:r>
      <w:r w:rsidRPr="0010418B">
        <w:t>;</w:t>
      </w:r>
    </w:p>
    <w:bookmarkEnd w:id="40"/>
    <w:p w:rsidR="0010418B" w:rsidRPr="0010418B" w:rsidP="0010418B" w14:paraId="15A08099" w14:textId="1BB2FC18">
      <w:pPr>
        <w:pStyle w:val="ParaNum"/>
        <w:numPr>
          <w:ilvl w:val="0"/>
          <w:numId w:val="0"/>
        </w:numPr>
        <w:ind w:left="720"/>
      </w:pPr>
      <w:r w:rsidRPr="0010418B">
        <w:t>(</w:t>
      </w:r>
      <w:r>
        <w:t>F</w:t>
      </w:r>
      <w:r w:rsidRPr="0010418B">
        <w:t xml:space="preserve">) a </w:t>
      </w:r>
      <w:r>
        <w:t xml:space="preserve">wireless </w:t>
      </w:r>
      <w:r w:rsidR="0002422E">
        <w:t xml:space="preserve">service </w:t>
      </w:r>
      <w:r w:rsidRPr="0010418B">
        <w:t>provider must offer recipients within each message an easy means to opt out of future such messages; voice calls that could be answered by a live person must include an automated, interactive voice- and/or key press-activated opt-out mechanism that enables the call recipient to make an opt-out request prior to terminating the call; voice calls that could be answered by an answering machine or voice mail service must include a toll-free number that the consumer can call to opt out of future calls; text messages must inform recipients of the ability to opt out by replying “STOP”; and,</w:t>
      </w:r>
    </w:p>
    <w:p w:rsidR="0010418B" w:rsidRPr="0010418B" w:rsidP="0010418B" w14:paraId="4972319E" w14:textId="0666D5AC">
      <w:pPr>
        <w:pStyle w:val="ParaNum"/>
        <w:numPr>
          <w:ilvl w:val="0"/>
          <w:numId w:val="0"/>
        </w:numPr>
        <w:ind w:left="720"/>
      </w:pPr>
      <w:r w:rsidRPr="0010418B">
        <w:t>(</w:t>
      </w:r>
      <w:r>
        <w:t>G</w:t>
      </w:r>
      <w:r w:rsidRPr="0010418B">
        <w:t xml:space="preserve">) a </w:t>
      </w:r>
      <w:r>
        <w:t>wireless service</w:t>
      </w:r>
      <w:r w:rsidRPr="0010418B">
        <w:t xml:space="preserve"> provider must honor opt-out requests immediately. </w:t>
      </w:r>
    </w:p>
    <w:p w:rsidR="00CC314E" w:rsidP="00EA38F2" w14:paraId="47695591" w14:textId="5C655480">
      <w:pPr>
        <w:pStyle w:val="ParaNum"/>
      </w:pPr>
      <w:r>
        <w:t xml:space="preserve">We believe such an exemption, subject to the conditions imposed above, balances the privacy interests </w:t>
      </w:r>
      <w:r w:rsidR="00E8199E">
        <w:t>of the</w:t>
      </w:r>
      <w:r>
        <w:t xml:space="preserve"> TCPA with the legitimate interests of wireless providers in communicating with their </w:t>
      </w:r>
      <w:r w:rsidR="007871AD">
        <w:t xml:space="preserve">own </w:t>
      </w:r>
      <w:r>
        <w:t xml:space="preserve">subscribers. </w:t>
      </w:r>
      <w:r w:rsidR="00C66117">
        <w:t xml:space="preserve"> </w:t>
      </w:r>
      <w:r w:rsidRPr="009C6757">
        <w:t xml:space="preserve">And because the TCPA only restricts calls initiated with an </w:t>
      </w:r>
      <w:r>
        <w:t>autodialer</w:t>
      </w:r>
      <w:r>
        <w:t xml:space="preserve"> or using an </w:t>
      </w:r>
      <w:r w:rsidRPr="009C6757">
        <w:t xml:space="preserve">artificial or prerecorded voice to a </w:t>
      </w:r>
      <w:r>
        <w:t>wireless telephone</w:t>
      </w:r>
      <w:r w:rsidR="0002422E">
        <w:t xml:space="preserve"> number</w:t>
      </w:r>
      <w:r w:rsidRPr="009C6757">
        <w:t xml:space="preserve">, </w:t>
      </w:r>
      <w:r>
        <w:t>wireless providers</w:t>
      </w:r>
      <w:r w:rsidRPr="009C6757">
        <w:t xml:space="preserve"> can use </w:t>
      </w:r>
      <w:r w:rsidR="001A2097">
        <w:t xml:space="preserve">a live agent or </w:t>
      </w:r>
      <w:r>
        <w:t xml:space="preserve">equipment that does not </w:t>
      </w:r>
      <w:r w:rsidR="007871AD">
        <w:t>constitute</w:t>
      </w:r>
      <w:r>
        <w:t xml:space="preserve"> an </w:t>
      </w:r>
      <w:r>
        <w:t>autodialer</w:t>
      </w:r>
      <w:r>
        <w:t xml:space="preserve"> </w:t>
      </w:r>
      <w:r w:rsidRPr="009C6757">
        <w:t xml:space="preserve">to make such calls </w:t>
      </w:r>
      <w:r w:rsidR="00E953FC">
        <w:t xml:space="preserve">or send texts </w:t>
      </w:r>
      <w:r w:rsidRPr="009C6757">
        <w:t>without running afoul of the TCPA.</w:t>
      </w:r>
      <w:r>
        <w:rPr>
          <w:vertAlign w:val="superscript"/>
        </w:rPr>
        <w:footnoteReference w:id="49"/>
      </w:r>
      <w:r w:rsidRPr="009C6757">
        <w:t xml:space="preserve">  </w:t>
      </w:r>
      <w:r w:rsidR="007871AD">
        <w:t xml:space="preserve">In addition, </w:t>
      </w:r>
      <w:r w:rsidR="009B0E4F">
        <w:t xml:space="preserve">we propose that </w:t>
      </w:r>
      <w:r w:rsidR="007871AD">
        <w:t>wireless provider</w:t>
      </w:r>
      <w:r w:rsidR="00E149C8">
        <w:t>s</w:t>
      </w:r>
      <w:r w:rsidR="007871AD">
        <w:t xml:space="preserve"> have the option to obtain the prior express consent of their subscribers to avoid </w:t>
      </w:r>
      <w:r w:rsidR="00350A79">
        <w:t>the need to</w:t>
      </w:r>
      <w:r w:rsidR="003A6A1F">
        <w:t xml:space="preserve"> rely on</w:t>
      </w:r>
      <w:r w:rsidR="00350A79">
        <w:t xml:space="preserve"> this exemption and its accompanying </w:t>
      </w:r>
      <w:r w:rsidR="007871AD">
        <w:t>conditions</w:t>
      </w:r>
      <w:r w:rsidR="00EB375A">
        <w:t>,</w:t>
      </w:r>
      <w:r w:rsidR="007871AD">
        <w:t xml:space="preserve"> including the numerical limits imposed on such exempted calls.</w:t>
      </w:r>
      <w:r>
        <w:rPr>
          <w:rStyle w:val="FootnoteReference"/>
        </w:rPr>
        <w:footnoteReference w:id="50"/>
      </w:r>
      <w:r w:rsidR="007871AD">
        <w:t xml:space="preserve">  </w:t>
      </w:r>
      <w:r w:rsidR="00E925DC">
        <w:t xml:space="preserve">We seek comment on these conditions.  Are further conditions needed for calls from a wireless service provider to its subscribers? </w:t>
      </w:r>
      <w:r w:rsidR="00875BEC">
        <w:t xml:space="preserve"> </w:t>
      </w:r>
      <w:r>
        <w:t xml:space="preserve">Alternatively, </w:t>
      </w:r>
      <w:r w:rsidR="00E97507">
        <w:t xml:space="preserve">we seek comment on any </w:t>
      </w:r>
      <w:r w:rsidRPr="00E97507" w:rsidR="00E97507">
        <w:t xml:space="preserve">benefits </w:t>
      </w:r>
      <w:r w:rsidR="00E97507">
        <w:t>c</w:t>
      </w:r>
      <w:r w:rsidRPr="00E97507" w:rsidR="00E97507">
        <w:t>onsumers receive from calls or messages that may be lost as a consequence of an opt-out or limit on the number of calls or messages sent</w:t>
      </w:r>
      <w:r w:rsidR="00E97507">
        <w:t>.  A</w:t>
      </w:r>
      <w:r>
        <w:t xml:space="preserve">re there any </w:t>
      </w:r>
      <w:r w:rsidR="002435F8">
        <w:t xml:space="preserve">potential </w:t>
      </w:r>
      <w:r>
        <w:t>drawbacks for consumers to the conditions we have proposed?</w:t>
      </w:r>
      <w:r>
        <w:rPr>
          <w:rStyle w:val="FootnoteReference"/>
        </w:rPr>
        <w:footnoteReference w:id="51"/>
      </w:r>
      <w:r>
        <w:t xml:space="preserve">  If so, should we modify our proposed conditions to account for</w:t>
      </w:r>
      <w:r w:rsidR="00B17053">
        <w:t xml:space="preserve"> any</w:t>
      </w:r>
      <w:r>
        <w:t xml:space="preserve"> such drawbacks?</w:t>
      </w:r>
    </w:p>
    <w:p w:rsidR="004062B4" w:rsidP="004062B4" w14:paraId="3BC5BF3B" w14:textId="794F8C4C">
      <w:pPr>
        <w:pStyle w:val="ParaNum"/>
      </w:pPr>
      <w:r>
        <w:t>Lastly</w:t>
      </w:r>
      <w:r w:rsidR="009C6757">
        <w:t>, we believe such an exemption satisfies the obligations of section 8 of the TRACED Act.</w:t>
      </w:r>
      <w:r>
        <w:rPr>
          <w:rStyle w:val="FootnoteReference"/>
        </w:rPr>
        <w:footnoteReference w:id="52"/>
      </w:r>
      <w:r w:rsidR="009C6757">
        <w:t xml:space="preserve">  Specifically, the class of parties that may make such exempted calls in th</w:t>
      </w:r>
      <w:r w:rsidR="007C061C">
        <w:t>ese</w:t>
      </w:r>
      <w:r w:rsidR="009C6757">
        <w:t xml:space="preserve"> situations is </w:t>
      </w:r>
      <w:r w:rsidR="009C6757">
        <w:t>strictly limited to the wireless service provider.  The class of parties that may be called is limited to an existing subscriber of a wireless service provider</w:t>
      </w:r>
      <w:r w:rsidR="00E149C8">
        <w:t>,</w:t>
      </w:r>
      <w:r w:rsidR="009C6757">
        <w:t xml:space="preserve"> and the number of such calls and messages is limited to three </w:t>
      </w:r>
      <w:r w:rsidR="00154802">
        <w:t xml:space="preserve">calls </w:t>
      </w:r>
      <w:r w:rsidR="009C6757">
        <w:t xml:space="preserve">within any 30-day period.  </w:t>
      </w:r>
      <w:r w:rsidR="005947E9">
        <w:t xml:space="preserve">To the extent that there are any calls or texts that wireless service providers are mandated to make to their subscribers pursuant to any federal or state law, we </w:t>
      </w:r>
      <w:r w:rsidR="0073535E">
        <w:t>seek comment on whether</w:t>
      </w:r>
      <w:r w:rsidR="005947E9">
        <w:t xml:space="preserve"> such calls </w:t>
      </w:r>
      <w:r w:rsidR="0002422E">
        <w:t xml:space="preserve">or texts </w:t>
      </w:r>
      <w:r w:rsidR="005947E9">
        <w:t xml:space="preserve">should not be counted toward the </w:t>
      </w:r>
      <w:r>
        <w:t xml:space="preserve">numerical </w:t>
      </w:r>
      <w:r w:rsidR="005947E9">
        <w:t>limit of</w:t>
      </w:r>
      <w:r w:rsidR="0002422E">
        <w:t xml:space="preserve"> </w:t>
      </w:r>
      <w:r w:rsidR="005947E9">
        <w:t>such communications that are imposed in the 30-day timeframe.</w:t>
      </w:r>
      <w:r>
        <w:rPr>
          <w:rStyle w:val="FootnoteReference"/>
        </w:rPr>
        <w:footnoteReference w:id="53"/>
      </w:r>
      <w:r w:rsidR="005947E9">
        <w:t xml:space="preserve">  We seek comment on this proposal</w:t>
      </w:r>
      <w:r w:rsidR="008778A9">
        <w:t>,</w:t>
      </w:r>
      <w:r w:rsidR="005947E9">
        <w:t xml:space="preserve"> including</w:t>
      </w:r>
      <w:r w:rsidRPr="00DF00DA" w:rsidR="00DF00DA">
        <w:t xml:space="preserve"> any burdens this proposal may impose on </w:t>
      </w:r>
      <w:r w:rsidR="00DF00DA">
        <w:t>wireless providers</w:t>
      </w:r>
      <w:r w:rsidR="00EB375A">
        <w:t>,</w:t>
      </w:r>
      <w:r w:rsidRPr="00DF00DA" w:rsidR="00DF00DA">
        <w:t xml:space="preserve"> including small </w:t>
      </w:r>
      <w:r w:rsidR="003F2FE9">
        <w:t>entities</w:t>
      </w:r>
      <w:r w:rsidRPr="00DF00DA" w:rsidR="00DF00DA">
        <w:t>.</w:t>
      </w:r>
    </w:p>
    <w:p w:rsidR="009624FC" w:rsidP="002B1284" w14:paraId="08FAF0EC" w14:textId="024AE2ED">
      <w:pPr>
        <w:pStyle w:val="Heading2"/>
      </w:pPr>
      <w:r>
        <w:t>Legal Authority</w:t>
      </w:r>
    </w:p>
    <w:p w:rsidR="009624FC" w:rsidP="00E925DC" w14:paraId="30EA7E47" w14:textId="4B4CD00C">
      <w:pPr>
        <w:pStyle w:val="ParaNum"/>
      </w:pPr>
      <w:r w:rsidRPr="00DE09FE">
        <w:t xml:space="preserve">We </w:t>
      </w:r>
      <w:r w:rsidR="00140014">
        <w:t xml:space="preserve">tentatively conclude that </w:t>
      </w:r>
      <w:r w:rsidRPr="00DE09FE">
        <w:t>our legal authority for the proposed rules co</w:t>
      </w:r>
      <w:r>
        <w:t>ntained herein derives from</w:t>
      </w:r>
      <w:r w:rsidRPr="00DE09FE">
        <w:t xml:space="preserve"> sections </w:t>
      </w:r>
      <w:r>
        <w:t>154</w:t>
      </w:r>
      <w:r w:rsidRPr="00DE09FE">
        <w:t xml:space="preserve"> and 2</w:t>
      </w:r>
      <w:r>
        <w:t>27</w:t>
      </w:r>
      <w:r w:rsidRPr="00DE09FE">
        <w:t xml:space="preserve"> of the Communications Act of 1934, as amended (the Act).</w:t>
      </w:r>
      <w:r>
        <w:rPr>
          <w:rStyle w:val="FootnoteReference"/>
        </w:rPr>
        <w:footnoteReference w:id="54"/>
      </w:r>
      <w:r w:rsidRPr="00DE09FE">
        <w:t xml:space="preserve">  We further propose to rely on our authority under </w:t>
      </w:r>
      <w:r w:rsidR="00140014">
        <w:t xml:space="preserve">section 8 of </w:t>
      </w:r>
      <w:r w:rsidRPr="00DE09FE">
        <w:t xml:space="preserve">the TRACED Act </w:t>
      </w:r>
      <w:r w:rsidR="00140014">
        <w:t>to</w:t>
      </w:r>
      <w:r w:rsidRPr="00DE09FE">
        <w:t xml:space="preserve"> establish</w:t>
      </w:r>
      <w:r>
        <w:t xml:space="preserve"> limitations</w:t>
      </w:r>
      <w:r w:rsidR="00140014">
        <w:t xml:space="preserve"> </w:t>
      </w:r>
      <w:r>
        <w:t>on</w:t>
      </w:r>
      <w:r w:rsidR="00A13E1F">
        <w:t xml:space="preserve"> the proposed exemption for wireless providers </w:t>
      </w:r>
      <w:r>
        <w:t xml:space="preserve">from the TCPA’s </w:t>
      </w:r>
      <w:r w:rsidR="00E0039D">
        <w:t>prior-express-</w:t>
      </w:r>
      <w:r>
        <w:t>consent requirement</w:t>
      </w:r>
      <w:r w:rsidRPr="00DE09FE">
        <w:t xml:space="preserve">.  </w:t>
      </w:r>
      <w:r w:rsidR="00140014">
        <w:t xml:space="preserve">As discussed above, the Commission </w:t>
      </w:r>
      <w:r w:rsidR="00A13E1F">
        <w:t xml:space="preserve">as the expert agency on the TCPA </w:t>
      </w:r>
      <w:r w:rsidR="00140014">
        <w:t xml:space="preserve">has addressed issues relating to prior express consent </w:t>
      </w:r>
      <w:r w:rsidR="00631BCE">
        <w:t xml:space="preserve">by </w:t>
      </w:r>
      <w:r w:rsidR="00140014">
        <w:t>robocall consumers on numerous occasions</w:t>
      </w:r>
      <w:r w:rsidRPr="00DE09FE">
        <w:t>.  We believe that these source</w:t>
      </w:r>
      <w:r w:rsidR="00685B74">
        <w:t>s</w:t>
      </w:r>
      <w:r w:rsidRPr="00DE09FE">
        <w:t xml:space="preserve"> grant us sufficient authority to adopt the proposed rules</w:t>
      </w:r>
      <w:r w:rsidR="00911181">
        <w:t xml:space="preserve"> contained herein</w:t>
      </w:r>
      <w:r w:rsidRPr="00DE09FE">
        <w:t>, and we seek comment on this</w:t>
      </w:r>
      <w:r w:rsidR="00140014">
        <w:t xml:space="preserve"> conclusion</w:t>
      </w:r>
      <w:r w:rsidRPr="00DE09FE">
        <w:t xml:space="preserve">.  </w:t>
      </w:r>
      <w:r w:rsidRPr="00B03010" w:rsidR="00B03010">
        <w:t xml:space="preserve">Are there any other sources of </w:t>
      </w:r>
      <w:r w:rsidR="00B03010">
        <w:t xml:space="preserve">legal </w:t>
      </w:r>
      <w:r w:rsidRPr="00B03010" w:rsidR="00B03010">
        <w:t>authority we should rely on?  Do any of these sources of authority not apply to the rules we propose?</w:t>
      </w:r>
    </w:p>
    <w:p w:rsidR="002B1284" w:rsidP="002B1284" w14:paraId="5D0E0543" w14:textId="09E4868E">
      <w:pPr>
        <w:pStyle w:val="Heading2"/>
      </w:pPr>
      <w:r>
        <w:t>Proposed Effective Date</w:t>
      </w:r>
    </w:p>
    <w:p w:rsidR="006C4BD1" w:rsidRPr="006C4BD1" w:rsidP="006C4BD1" w14:paraId="4D82914C" w14:textId="5D6B309C">
      <w:pPr>
        <w:pStyle w:val="ParaNum"/>
      </w:pPr>
      <w:r>
        <w:t xml:space="preserve">We propose that the rule changes set forth herein go into effect upon publication of an Order in the Federal Register, or for those rules that require OMB review under the Paperwork Reduction Act, upon OMB approval and publication of the notice of approval in the Federal Register.  </w:t>
      </w:r>
      <w:r w:rsidR="00E74807">
        <w:t>We seek comment on whether this</w:t>
      </w:r>
      <w:r w:rsidR="00982021">
        <w:t xml:space="preserve"> proposed timeline</w:t>
      </w:r>
      <w:r w:rsidR="00E74807">
        <w:t xml:space="preserve"> provides a sufficient opportunity for affected parties to comply with any new requirements imposed by the proposed rules or whether a longer implementation </w:t>
      </w:r>
      <w:r w:rsidR="00615A3E">
        <w:t xml:space="preserve">period </w:t>
      </w:r>
      <w:r w:rsidR="00E74807">
        <w:t>is warranted.</w:t>
      </w:r>
      <w:r>
        <w:t xml:space="preserve">  We also seek comment on whether these effective dates should be the same for all affected parties, or whether we should provide more time for small entities to comply.</w:t>
      </w:r>
    </w:p>
    <w:bookmarkEnd w:id="33"/>
    <w:p w:rsidR="003C108D" w:rsidRPr="00031E19" w:rsidP="003C108D" w14:paraId="58AFB7FD" w14:textId="77777777">
      <w:pPr>
        <w:pStyle w:val="Heading1"/>
      </w:pPr>
      <w:r>
        <w:t>procedural matters</w:t>
      </w:r>
      <w:bookmarkStart w:id="41" w:name="_Hlk31009236"/>
    </w:p>
    <w:p w:rsidR="003C108D" w:rsidRPr="00F8485A" w:rsidP="004854DE" w14:paraId="68324BEF" w14:textId="007245DE">
      <w:pPr>
        <w:pStyle w:val="ParaNum"/>
        <w:widowControl/>
        <w:rPr>
          <w:snapToGrid/>
        </w:rPr>
      </w:pPr>
      <w:r w:rsidRPr="00264100">
        <w:rPr>
          <w:i/>
          <w:iCs/>
        </w:rPr>
        <w:t>Paperwork Reduction Act</w:t>
      </w:r>
      <w:r>
        <w:t>.  This Notice of Proposed Rulemaking may contain new or modified information collection(s) subject to the Paperwork Reduction Act of 1995.</w:t>
      </w:r>
      <w:r>
        <w:rPr>
          <w:rStyle w:val="FootnoteReference"/>
        </w:rPr>
        <w:footnoteReference w:id="55"/>
      </w:r>
      <w:r>
        <w:t xml:space="preserve">  </w:t>
      </w:r>
      <w:r w:rsidRPr="00264100">
        <w:rPr>
          <w:snapToGrid/>
        </w:rPr>
        <w:t xml:space="preserve">If the Commission adopts any new or modified information collection requirements, </w:t>
      </w:r>
      <w:r w:rsidR="00CD6827">
        <w:rPr>
          <w:snapToGrid/>
        </w:rPr>
        <w:t>they</w:t>
      </w:r>
      <w:r w:rsidRPr="00264100">
        <w:rPr>
          <w:snapToGrid/>
        </w:rPr>
        <w:t xml:space="preserve"> will be submitted</w:t>
      </w:r>
      <w:r>
        <w:rPr>
          <w:snapToGrid/>
        </w:rPr>
        <w:t xml:space="preserve"> </w:t>
      </w:r>
      <w:r w:rsidRPr="00264100">
        <w:rPr>
          <w:snapToGrid/>
        </w:rPr>
        <w:t xml:space="preserve">to the Office of Management and Budget (OMB) for review under </w:t>
      </w:r>
      <w:r>
        <w:rPr>
          <w:snapToGrid/>
        </w:rPr>
        <w:t>s</w:t>
      </w:r>
      <w:r w:rsidRPr="00264100">
        <w:rPr>
          <w:snapToGrid/>
        </w:rPr>
        <w:t xml:space="preserve">ection 3507(d) of the PRA. </w:t>
      </w:r>
      <w:r>
        <w:rPr>
          <w:snapToGrid/>
        </w:rPr>
        <w:t xml:space="preserve"> </w:t>
      </w:r>
      <w:r w:rsidRPr="00264100">
        <w:rPr>
          <w:snapToGrid/>
        </w:rPr>
        <w:t>OMB, the general public, and</w:t>
      </w:r>
      <w:r>
        <w:rPr>
          <w:snapToGrid/>
        </w:rPr>
        <w:t xml:space="preserve"> </w:t>
      </w:r>
      <w:r w:rsidRPr="00264100">
        <w:rPr>
          <w:snapToGrid/>
        </w:rPr>
        <w:t>other federal agencies are invited to comment on the new or modified information collection requirements contained</w:t>
      </w:r>
      <w:r>
        <w:rPr>
          <w:snapToGrid/>
        </w:rPr>
        <w:t xml:space="preserve"> </w:t>
      </w:r>
      <w:r w:rsidRPr="00264100">
        <w:rPr>
          <w:snapToGrid/>
        </w:rPr>
        <w:t xml:space="preserve">in this proceeding. </w:t>
      </w:r>
      <w:r>
        <w:rPr>
          <w:snapToGrid/>
        </w:rPr>
        <w:t xml:space="preserve"> </w:t>
      </w:r>
      <w:r w:rsidRPr="00264100">
        <w:rPr>
          <w:snapToGrid/>
        </w:rPr>
        <w:t>In addition, pursuant to the Small Business Paperwork Relief Act of 2002,</w:t>
      </w:r>
      <w:r>
        <w:rPr>
          <w:rStyle w:val="FootnoteReference"/>
          <w:snapToGrid/>
        </w:rPr>
        <w:footnoteReference w:id="56"/>
      </w:r>
      <w:r w:rsidRPr="00F8485A">
        <w:rPr>
          <w:snapToGrid/>
        </w:rPr>
        <w:t xml:space="preserve"> </w:t>
      </w:r>
      <w:r>
        <w:rPr>
          <w:snapToGrid/>
        </w:rPr>
        <w:t xml:space="preserve">we seek specific comment on </w:t>
      </w:r>
      <w:r w:rsidRPr="00F8485A">
        <w:rPr>
          <w:snapToGrid/>
        </w:rPr>
        <w:t>how we might “further reduce the information collection burden for small business concerns with fewer than 25 employees.”</w:t>
      </w:r>
      <w:r>
        <w:rPr>
          <w:rStyle w:val="FootnoteReference"/>
          <w:snapToGrid/>
        </w:rPr>
        <w:footnoteReference w:id="57"/>
      </w:r>
    </w:p>
    <w:p w:rsidR="00EA641D" w:rsidRPr="0020131D" w:rsidP="00D24386" w14:paraId="72AF9C6D" w14:textId="77C9A6DE">
      <w:pPr>
        <w:pStyle w:val="ParaNum"/>
        <w:widowControl/>
      </w:pPr>
      <w:r w:rsidRPr="00EF0939">
        <w:rPr>
          <w:i/>
        </w:rPr>
        <w:t xml:space="preserve">Regulatory Flexibility Act. </w:t>
      </w:r>
      <w:r w:rsidRPr="00C32695">
        <w:t xml:space="preserve"> The Regulatory Flexibility Act of 1980, as amended (RFA),</w:t>
      </w:r>
      <w:r>
        <w:rPr>
          <w:rStyle w:val="FootnoteReference"/>
        </w:rPr>
        <w:footnoteReference w:id="58"/>
      </w:r>
      <w:r w:rsidRPr="00C32695">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59"/>
      </w:r>
      <w:r w:rsidRPr="00C32695">
        <w:t xml:space="preserve">  </w:t>
      </w:r>
      <w:r>
        <w:t xml:space="preserve">Accordingly, we have prepared </w:t>
      </w:r>
      <w:r w:rsidRPr="00C6787A">
        <w:t>an Initial Regulatory Flexibility Analysis (IRFA) concerning the potential impact of</w:t>
      </w:r>
      <w:r>
        <w:t xml:space="preserve"> </w:t>
      </w:r>
      <w:r w:rsidRPr="00FE63AC">
        <w:t xml:space="preserve">the rule and policy changes contained in </w:t>
      </w:r>
      <w:r>
        <w:t xml:space="preserve">the </w:t>
      </w:r>
      <w:r w:rsidRPr="007C7C93">
        <w:rPr>
          <w:i/>
          <w:iCs/>
        </w:rPr>
        <w:t>Further</w:t>
      </w:r>
      <w:r w:rsidRPr="00FE63AC">
        <w:t xml:space="preserve"> </w:t>
      </w:r>
      <w:r w:rsidRPr="00FE63AC">
        <w:rPr>
          <w:i/>
        </w:rPr>
        <w:t>Notice</w:t>
      </w:r>
      <w:r w:rsidRPr="00FE63AC">
        <w:t xml:space="preserve">.  The IRFA is set forth in Appendix </w:t>
      </w:r>
      <w:r>
        <w:t xml:space="preserve">B.  </w:t>
      </w:r>
      <w:r w:rsidRPr="6C3D5083">
        <w:t xml:space="preserve">Written public comments are requested on the IRFA.  Comments must be filed by the deadlines for comments on the </w:t>
      </w:r>
      <w:r w:rsidRPr="00182C16">
        <w:rPr>
          <w:i/>
        </w:rPr>
        <w:t>Further</w:t>
      </w:r>
      <w:r w:rsidRPr="009040F0">
        <w:rPr>
          <w:i/>
          <w:iCs/>
        </w:rPr>
        <w:t xml:space="preserve"> </w:t>
      </w:r>
      <w:r w:rsidRPr="00182C16">
        <w:rPr>
          <w:i/>
        </w:rPr>
        <w:t>Notice</w:t>
      </w:r>
      <w:r w:rsidRPr="6C3D5083">
        <w:rPr>
          <w:i/>
        </w:rPr>
        <w:t xml:space="preserve"> </w:t>
      </w:r>
      <w:r w:rsidRPr="6C3D5083">
        <w:t xml:space="preserve">indicated on the first page of this document and must have a separate and distinct heading designating them as responses to the IRFA.  </w:t>
      </w:r>
    </w:p>
    <w:bookmarkEnd w:id="41"/>
    <w:p w:rsidR="003C108D" w:rsidRPr="00FC3846" w:rsidP="004854DE" w14:paraId="1F445E62" w14:textId="77777777">
      <w:pPr>
        <w:pStyle w:val="ParaNum"/>
        <w:widowControl/>
      </w:pPr>
      <w:r>
        <w:rPr>
          <w:i/>
          <w:iCs/>
        </w:rPr>
        <w:t xml:space="preserve">Ex </w:t>
      </w:r>
      <w:r>
        <w:rPr>
          <w:i/>
          <w:iCs/>
        </w:rPr>
        <w:t>Parte</w:t>
      </w:r>
      <w:r>
        <w:rPr>
          <w:i/>
          <w:iCs/>
        </w:rPr>
        <w:t xml:space="preserve"> Presentations—Permit-But-Disclose</w:t>
      </w:r>
      <w:r>
        <w:t xml:space="preserve">.  This proceeding shall be treated as a “permit-but-disclose” proceeding in accordance with the Commission’s </w:t>
      </w:r>
      <w:r w:rsidRPr="00505929">
        <w:rPr>
          <w:i/>
          <w:iCs/>
        </w:rPr>
        <w:t xml:space="preserve">ex </w:t>
      </w:r>
      <w:r w:rsidRPr="00505929">
        <w:rPr>
          <w:i/>
          <w:iCs/>
        </w:rPr>
        <w:t>parte</w:t>
      </w:r>
      <w:r>
        <w:t xml:space="preserve"> rules.</w:t>
      </w:r>
      <w:r>
        <w:rPr>
          <w:rStyle w:val="FootnoteReference"/>
        </w:rPr>
        <w:footnoteReference w:id="60"/>
      </w:r>
      <w:r>
        <w:t xml:space="preserve">  Persons making </w:t>
      </w:r>
      <w:r>
        <w:rPr>
          <w:i/>
          <w:iCs/>
        </w:rPr>
        <w:t xml:space="preserve">ex </w:t>
      </w:r>
      <w:r>
        <w:rPr>
          <w:i/>
          <w:iCs/>
        </w:rPr>
        <w:t>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t xml:space="preserve"> presentations are reminded that memoranda summarizing the presentation must (1) list all persons attending or otherwise participating in the meeting at which the </w:t>
      </w:r>
      <w:r>
        <w:rPr>
          <w:i/>
          <w:iCs/>
        </w:rPr>
        <w:t xml:space="preserve">ex </w:t>
      </w:r>
      <w:r>
        <w:rPr>
          <w:i/>
          <w:iCs/>
        </w:rPr>
        <w:t>parte</w:t>
      </w:r>
      <w:r>
        <w:t xml:space="preserve"> was made, and (2) summarize all data presented and arguments made during the 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t xml:space="preserve"> meeting</w:t>
      </w:r>
      <w:r w:rsidR="00571E18">
        <w:t>s</w:t>
      </w:r>
      <w:r>
        <w:t xml:space="preserve"> are deemed to </w:t>
      </w:r>
      <w:r w:rsidR="00571E18">
        <w:t xml:space="preserve">be </w:t>
      </w:r>
      <w:r>
        <w:t xml:space="preserve">written </w:t>
      </w:r>
      <w:r>
        <w:rPr>
          <w:i/>
          <w:iCs/>
        </w:rPr>
        <w:t xml:space="preserve">ex </w:t>
      </w:r>
      <w:r>
        <w:rPr>
          <w:i/>
          <w:iCs/>
        </w:rPr>
        <w:t>parte</w:t>
      </w:r>
      <w:r>
        <w:t xml:space="preserve"> presentations and must be filed consistent with section 1.1206(b) of the Commission’s rules.  In proceeding</w:t>
      </w:r>
      <w:r w:rsidR="00571E18">
        <w:t>s</w:t>
      </w:r>
      <w:r>
        <w:t xml:space="preserve"> governed by section 1.49(f) of the Commission’s rules or for which the Commission has made available a method of electronic filing, written </w:t>
      </w:r>
      <w:r>
        <w:rPr>
          <w:i/>
          <w:iCs/>
        </w:rPr>
        <w:t xml:space="preserve">ex </w:t>
      </w:r>
      <w:r>
        <w:rPr>
          <w:i/>
          <w:iCs/>
        </w:rPr>
        <w:t>parte</w:t>
      </w:r>
      <w:r>
        <w:t xml:space="preserve"> presentations and memoranda summarizing oral </w:t>
      </w:r>
      <w:r>
        <w:rPr>
          <w:i/>
          <w:iCs/>
        </w:rPr>
        <w:t xml:space="preserve">ex </w:t>
      </w:r>
      <w:r>
        <w:rPr>
          <w:i/>
          <w:iCs/>
        </w:rPr>
        <w:t>parte</w:t>
      </w:r>
      <w: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Pr>
          <w:i/>
          <w:iCs/>
        </w:rPr>
        <w:t xml:space="preserve">ex </w:t>
      </w:r>
      <w:r>
        <w:rPr>
          <w:i/>
          <w:iCs/>
        </w:rPr>
        <w:t>parte</w:t>
      </w:r>
      <w:r>
        <w:t xml:space="preserve"> rules. </w:t>
      </w:r>
    </w:p>
    <w:p w:rsidR="00EA641D" w:rsidRPr="00547154" w:rsidP="00EA641D" w14:paraId="57D20D7A" w14:textId="77777777">
      <w:pPr>
        <w:pStyle w:val="ParaNum"/>
      </w:pPr>
      <w:r w:rsidRPr="5BF4F379">
        <w:rPr>
          <w:i/>
          <w:iCs/>
        </w:rPr>
        <w:t xml:space="preserve">Filing of Comments and Reply Comments.  </w:t>
      </w: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5BF4F379">
        <w:rPr>
          <w:i/>
          <w:iCs/>
        </w:rPr>
        <w:t>See Electronic Filing of Documents in Rulemaking Proceedings</w:t>
      </w:r>
      <w:r>
        <w:t>, 63 FR 24121 (1998).</w:t>
      </w:r>
    </w:p>
    <w:p w:rsidR="003C108D" w:rsidRPr="00C337F5" w:rsidP="004854DE" w14:paraId="2F2FBA43" w14:textId="509E57BD">
      <w:pPr>
        <w:widowControl/>
        <w:numPr>
          <w:ilvl w:val="0"/>
          <w:numId w:val="10"/>
        </w:numPr>
        <w:rPr>
          <w:szCs w:val="22"/>
        </w:rPr>
      </w:pPr>
      <w:r>
        <w:rPr>
          <w:i/>
          <w:iCs/>
        </w:rPr>
        <w:t xml:space="preserve"> </w:t>
      </w:r>
      <w:r w:rsidRPr="00C337F5" w:rsidR="00FC2AED">
        <w:rPr>
          <w:szCs w:val="22"/>
        </w:rPr>
        <w:t xml:space="preserve">Electronic Filers:  Comments may be filed electronically using the Internet by accessing the ECFS: </w:t>
      </w:r>
      <w:hyperlink r:id="rId5" w:history="1">
        <w:r w:rsidRPr="00C337F5" w:rsidR="00FC2AED">
          <w:rPr>
            <w:color w:val="0000FF"/>
            <w:szCs w:val="22"/>
            <w:u w:val="single"/>
          </w:rPr>
          <w:t>http://apps.fcc.gov/ecfs/</w:t>
        </w:r>
      </w:hyperlink>
      <w:r w:rsidRPr="00C337F5" w:rsidR="00FC2AED">
        <w:rPr>
          <w:szCs w:val="22"/>
        </w:rPr>
        <w:t xml:space="preserve">.  </w:t>
      </w:r>
    </w:p>
    <w:p w:rsidR="003C108D" w:rsidRPr="00C337F5" w:rsidP="004854DE" w14:paraId="5509762E" w14:textId="77777777">
      <w:pPr>
        <w:widowControl/>
        <w:rPr>
          <w:szCs w:val="22"/>
        </w:rPr>
      </w:pPr>
    </w:p>
    <w:p w:rsidR="003C108D" w:rsidRPr="00C337F5" w:rsidP="004854DE" w14:paraId="67079461" w14:textId="77777777">
      <w:pPr>
        <w:widowControl/>
        <w:numPr>
          <w:ilvl w:val="0"/>
          <w:numId w:val="8"/>
        </w:numPr>
        <w:rPr>
          <w:szCs w:val="22"/>
        </w:rPr>
      </w:pPr>
      <w:r w:rsidRPr="00C337F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C108D" w:rsidRPr="00C337F5" w:rsidP="004854DE" w14:paraId="28D44CFE" w14:textId="77777777">
      <w:pPr>
        <w:widowControl/>
        <w:rPr>
          <w:szCs w:val="22"/>
        </w:rPr>
      </w:pPr>
    </w:p>
    <w:p w:rsidR="003C108D" w:rsidRPr="00C337F5" w:rsidP="004854DE" w14:paraId="739A7A7F" w14:textId="77777777">
      <w:pPr>
        <w:widowControl/>
        <w:numPr>
          <w:ilvl w:val="0"/>
          <w:numId w:val="9"/>
        </w:numPr>
        <w:rPr>
          <w:szCs w:val="22"/>
        </w:rPr>
      </w:pPr>
      <w:r w:rsidRPr="00C337F5">
        <w:rPr>
          <w:szCs w:val="22"/>
        </w:rPr>
        <w:t>Filings can be sent by commercial overnight courier, or by first-class or overnight U.S. Postal Service mail.  All filings must be addressed to the Commission’s Secretary, Office of the Secretary, Federal Communications Commission.</w:t>
      </w:r>
    </w:p>
    <w:p w:rsidR="003C108D" w:rsidRPr="00C337F5" w:rsidP="004854DE" w14:paraId="085A4C42" w14:textId="77777777">
      <w:pPr>
        <w:widowControl/>
        <w:rPr>
          <w:szCs w:val="22"/>
        </w:rPr>
      </w:pPr>
    </w:p>
    <w:p w:rsidR="003C108D" w:rsidRPr="00C337F5" w:rsidP="004854DE" w14:paraId="0B2C25AB" w14:textId="77777777">
      <w:pPr>
        <w:widowControl/>
        <w:numPr>
          <w:ilvl w:val="0"/>
          <w:numId w:val="9"/>
        </w:numPr>
        <w:rPr>
          <w:szCs w:val="22"/>
        </w:rPr>
      </w:pPr>
      <w:r w:rsidRPr="00C337F5">
        <w:rPr>
          <w:szCs w:val="22"/>
        </w:rPr>
        <w:t>Commercial overnight mail (other than U.S. Postal Service Express Mail and Priority Mail) must be sent to 9050 Junction Drive, Annapolis Junction, MD 20701.</w:t>
      </w:r>
    </w:p>
    <w:p w:rsidR="003C108D" w:rsidRPr="00C337F5" w:rsidP="004854DE" w14:paraId="37ADD29C" w14:textId="77777777">
      <w:pPr>
        <w:widowControl/>
        <w:rPr>
          <w:szCs w:val="22"/>
        </w:rPr>
      </w:pPr>
    </w:p>
    <w:p w:rsidR="003C108D" w:rsidP="004854DE" w14:paraId="22757B12" w14:textId="7AF55D98">
      <w:pPr>
        <w:widowControl/>
        <w:numPr>
          <w:ilvl w:val="0"/>
          <w:numId w:val="9"/>
        </w:numPr>
        <w:rPr>
          <w:szCs w:val="22"/>
        </w:rPr>
      </w:pPr>
      <w:r w:rsidRPr="00C337F5">
        <w:rPr>
          <w:szCs w:val="22"/>
        </w:rPr>
        <w:t xml:space="preserve">U.S. Postal Service first-class, Express, and Priority mail must be addressed to </w:t>
      </w:r>
      <w:r w:rsidRPr="009844D2" w:rsidR="009844D2">
        <w:rPr>
          <w:szCs w:val="22"/>
        </w:rPr>
        <w:t>45 L Street NE, Washington, D.C. 20554</w:t>
      </w:r>
      <w:r w:rsidRPr="00C337F5">
        <w:rPr>
          <w:szCs w:val="22"/>
        </w:rPr>
        <w:t>.</w:t>
      </w:r>
    </w:p>
    <w:p w:rsidR="003C108D" w:rsidRPr="00BE7000" w:rsidP="004854DE" w14:paraId="0FFF378F" w14:textId="77777777">
      <w:pPr>
        <w:widowControl/>
        <w:ind w:left="1440"/>
        <w:rPr>
          <w:szCs w:val="22"/>
        </w:rPr>
      </w:pPr>
    </w:p>
    <w:p w:rsidR="003C108D" w:rsidRPr="00BE7000" w:rsidP="004854DE" w14:paraId="4D033081" w14:textId="77777777">
      <w:pPr>
        <w:widowControl/>
        <w:numPr>
          <w:ilvl w:val="0"/>
          <w:numId w:val="9"/>
        </w:numPr>
        <w:rPr>
          <w:szCs w:val="22"/>
        </w:rPr>
      </w:pPr>
      <w:r w:rsidRPr="00545A68">
        <w:rPr>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545A68">
        <w:rPr>
          <w:bCs/>
          <w:i/>
          <w:iCs/>
        </w:rPr>
        <w:t>FCC Announces Closure of FCC Headquarters Open Window and Change in Hand-Delivery Policy</w:t>
      </w:r>
      <w:r w:rsidRPr="00545A68">
        <w:rPr>
          <w:bCs/>
        </w:rPr>
        <w:t xml:space="preserve">, Public Notice, DA 20-304 (March 19, 2020), </w:t>
      </w:r>
      <w:hyperlink r:id="rId6" w:history="1">
        <w:r w:rsidRPr="00545A68">
          <w:rPr>
            <w:rStyle w:val="Hyperlink"/>
            <w:bCs/>
          </w:rPr>
          <w:t>https://www.fcc.gov/document/fcc-closes-headquarters-open-window-and-changes-hand-delivery-policy</w:t>
        </w:r>
      </w:hyperlink>
      <w:r w:rsidRPr="00545A68">
        <w:rPr>
          <w:rStyle w:val="Hyperlink"/>
          <w:bCs/>
        </w:rPr>
        <w:t>.</w:t>
      </w:r>
    </w:p>
    <w:p w:rsidR="003C108D" w:rsidRPr="00C337F5" w:rsidP="004854DE" w14:paraId="0E68B09D" w14:textId="77777777">
      <w:pPr>
        <w:widowControl/>
        <w:ind w:left="1440"/>
        <w:rPr>
          <w:szCs w:val="22"/>
        </w:rPr>
      </w:pPr>
    </w:p>
    <w:p w:rsidR="003C108D" w:rsidP="004854DE" w14:paraId="614C3227" w14:textId="77777777">
      <w:pPr>
        <w:pStyle w:val="ParaNum"/>
        <w:widowControl/>
      </w:pPr>
      <w:r w:rsidRPr="00A40914">
        <w:rPr>
          <w:i/>
          <w:iCs/>
        </w:rPr>
        <w:t>People with Disabilities</w:t>
      </w:r>
      <w:r>
        <w:t>.  To request material</w:t>
      </w:r>
      <w:r w:rsidR="00671C27">
        <w:t>s</w:t>
      </w:r>
      <w:r>
        <w:t xml:space="preserve"> in accessible formats for people with disabilities (Braille, large print, electronic files, audio format), send an e-mail to </w:t>
      </w:r>
      <w:hyperlink r:id="rId7" w:history="1">
        <w:r w:rsidRPr="003A5F5B">
          <w:rPr>
            <w:rStyle w:val="Hyperlink"/>
          </w:rPr>
          <w:t>fcc504@fcc.gov</w:t>
        </w:r>
      </w:hyperlink>
      <w:r>
        <w:t xml:space="preserve"> or call the Consumer and Governmental Affairs Bureau at 202-418-0530 (voice).</w:t>
      </w:r>
    </w:p>
    <w:p w:rsidR="003C108D" w:rsidRPr="001376F0" w:rsidP="004854DE" w14:paraId="432CE812" w14:textId="3C55FC43">
      <w:pPr>
        <w:pStyle w:val="ParaNum"/>
        <w:widowControl/>
      </w:pPr>
      <w:r w:rsidRPr="00F35C70">
        <w:rPr>
          <w:i/>
          <w:iCs/>
        </w:rPr>
        <w:t>Availability of Documents</w:t>
      </w:r>
      <w:r>
        <w:rPr>
          <w:i/>
          <w:iCs/>
        </w:rPr>
        <w:t>.</w:t>
      </w:r>
      <w:r w:rsidRPr="00E51EFA">
        <w:t xml:space="preserve">  </w:t>
      </w:r>
      <w:r w:rsidRPr="001376F0">
        <w:t xml:space="preserve">Comments, reply comments, and </w:t>
      </w:r>
      <w:r w:rsidRPr="001376F0">
        <w:rPr>
          <w:i/>
        </w:rPr>
        <w:t xml:space="preserve">ex </w:t>
      </w:r>
      <w:r w:rsidRPr="001376F0">
        <w:rPr>
          <w:i/>
        </w:rPr>
        <w:t>parte</w:t>
      </w:r>
      <w:r w:rsidRPr="001376F0">
        <w:t xml:space="preserve"> submissions will be available via ECFS.  Documents will be available electronically in ASCII, Microsoft Word, and/or Adobe Acrobat.</w:t>
      </w:r>
      <w:r>
        <w:t xml:space="preserve">  When </w:t>
      </w:r>
      <w:r w:rsidRPr="008E36B6">
        <w:t>the FCC Headquarters reopens to the public</w:t>
      </w:r>
      <w:r w:rsidRPr="001A5A58">
        <w:t xml:space="preserve">, </w:t>
      </w:r>
      <w:r>
        <w:t xml:space="preserve">these documents will also be available </w:t>
      </w:r>
      <w:r w:rsidRPr="001376F0">
        <w:t>for public inspection during regular business hours in the FCC Reference Center, Federal Communications Commission,</w:t>
      </w:r>
      <w:r w:rsidRPr="00AC7E1A" w:rsidR="00AC7E1A">
        <w:t xml:space="preserve"> 45 L Street NE, Washington, D.C. 20554</w:t>
      </w:r>
      <w:r w:rsidRPr="001376F0">
        <w:t>.</w:t>
      </w:r>
    </w:p>
    <w:p w:rsidR="003C108D" w:rsidRPr="00F41E18" w:rsidP="004854DE" w14:paraId="2CCFD594" w14:textId="4B225BE6">
      <w:pPr>
        <w:pStyle w:val="ParaNum"/>
        <w:widowControl/>
      </w:pPr>
      <w:r w:rsidRPr="00F35C70">
        <w:rPr>
          <w:i/>
          <w:iCs/>
        </w:rPr>
        <w:t>Additional Information</w:t>
      </w:r>
      <w:r>
        <w:rPr>
          <w:i/>
          <w:iCs/>
        </w:rPr>
        <w:t>.</w:t>
      </w:r>
      <w:r w:rsidRPr="001376F0">
        <w:t xml:space="preserve">  For additional information on this proceeding, contact </w:t>
      </w:r>
      <w:r>
        <w:t>Richard D. Smith</w:t>
      </w:r>
      <w:r w:rsidRPr="001376F0">
        <w:t xml:space="preserve">, </w:t>
      </w:r>
      <w:hyperlink r:id="rId8" w:history="1">
        <w:r w:rsidRPr="00F06441">
          <w:rPr>
            <w:rStyle w:val="Hyperlink"/>
          </w:rPr>
          <w:t>Richard.Smith@fcc.gov</w:t>
        </w:r>
      </w:hyperlink>
      <w:r w:rsidRPr="001376F0">
        <w:t xml:space="preserve"> or (</w:t>
      </w:r>
      <w:r>
        <w:t>717</w:t>
      </w:r>
      <w:r w:rsidRPr="001376F0">
        <w:t xml:space="preserve">) </w:t>
      </w:r>
      <w:r>
        <w:t>338-2797</w:t>
      </w:r>
      <w:r w:rsidRPr="001376F0">
        <w:t>, Consumer and Governmental Affairs Bureau, Consumer Policy Division.</w:t>
      </w:r>
    </w:p>
    <w:p w:rsidR="003C108D" w:rsidP="004854DE" w14:paraId="3C415CD7" w14:textId="77777777">
      <w:pPr>
        <w:pStyle w:val="Heading1"/>
        <w:widowControl/>
      </w:pPr>
      <w:r>
        <w:t>Ordering clauses</w:t>
      </w:r>
    </w:p>
    <w:p w:rsidR="003C108D" w:rsidP="004854DE" w14:paraId="32938849" w14:textId="6598DDE7">
      <w:pPr>
        <w:pStyle w:val="ParaNum"/>
        <w:widowControl/>
      </w:pPr>
      <w:r>
        <w:t xml:space="preserve">Accordingly, </w:t>
      </w:r>
      <w:r w:rsidRPr="00FD7FDD">
        <w:rPr>
          <w:b/>
          <w:bCs/>
        </w:rPr>
        <w:t>IT IS ORDERED</w:t>
      </w:r>
      <w:r>
        <w:t>, pursuant to sections 4(</w:t>
      </w:r>
      <w:r>
        <w:t>i</w:t>
      </w:r>
      <w:r>
        <w:t>), 4(j), and 227 of the Communications Act of 1934, as amended, 47 U.S.C. §§ 154(</w:t>
      </w:r>
      <w:r>
        <w:t>i</w:t>
      </w:r>
      <w:r>
        <w:t xml:space="preserve">), 154(j), </w:t>
      </w:r>
      <w:r w:rsidR="00A040C1">
        <w:t xml:space="preserve">and </w:t>
      </w:r>
      <w:r>
        <w:t>227,</w:t>
      </w:r>
      <w:r w:rsidRPr="00EA641D" w:rsidR="00EA641D">
        <w:t xml:space="preserve"> </w:t>
      </w:r>
      <w:r w:rsidR="00EA641D">
        <w:t>and section 8 of the Telephone Robocall Abuse Criminal Enforcement and Deterrence Act</w:t>
      </w:r>
      <w:r w:rsidRPr="005577AD" w:rsidR="00EA641D">
        <w:t xml:space="preserve">, </w:t>
      </w:r>
      <w:r w:rsidR="00EA641D">
        <w:t xml:space="preserve">Pub. L. No. 116-105, 133 Stat. 3274, </w:t>
      </w:r>
      <w:r>
        <w:t xml:space="preserve">that this </w:t>
      </w:r>
      <w:r w:rsidRPr="00545A68">
        <w:rPr>
          <w:i/>
          <w:iCs/>
        </w:rPr>
        <w:t>Notice of Proposed Rulemaking</w:t>
      </w:r>
      <w:r>
        <w:t xml:space="preserve"> is hereby </w:t>
      </w:r>
      <w:r w:rsidRPr="00FD7FDD">
        <w:rPr>
          <w:b/>
          <w:bCs/>
        </w:rPr>
        <w:t>ADOPTED</w:t>
      </w:r>
      <w:r>
        <w:t>.</w:t>
      </w:r>
    </w:p>
    <w:p w:rsidR="003C108D" w:rsidP="004854DE" w14:paraId="60E02CBD" w14:textId="557D39DA">
      <w:pPr>
        <w:pStyle w:val="ParaNum"/>
        <w:widowControl/>
      </w:pPr>
      <w:r w:rsidRPr="001F2E7E">
        <w:rPr>
          <w:b/>
          <w:bCs/>
        </w:rPr>
        <w:t>IT IS FURTHER ORDERED</w:t>
      </w:r>
      <w:r>
        <w:t xml:space="preserve"> that</w:t>
      </w:r>
      <w:r w:rsidR="00B07D0C">
        <w:t>,</w:t>
      </w:r>
      <w:r>
        <w:t xml:space="preserve"> pursuant to applicable procedures set forth in section</w:t>
      </w:r>
      <w:r w:rsidR="00B07D0C">
        <w:t>s</w:t>
      </w:r>
      <w:r>
        <w:t xml:space="preserve"> 1.415 and 1.419 of the Commission’s Rules, 47 CFR §§ 1.415, 1.419, interested parties may file comments on the </w:t>
      </w:r>
      <w:r w:rsidRPr="00001426">
        <w:rPr>
          <w:i/>
          <w:iCs/>
        </w:rPr>
        <w:t>Notice of Proposed Rulemaking</w:t>
      </w:r>
      <w:r>
        <w:t xml:space="preserve"> on or before </w:t>
      </w:r>
      <w:r w:rsidR="00A040C1">
        <w:t>30</w:t>
      </w:r>
      <w:r>
        <w:t xml:space="preserve"> days after publication in the Federal Register, and reply comments on or before </w:t>
      </w:r>
      <w:r w:rsidR="00A040C1">
        <w:t>4</w:t>
      </w:r>
      <w:r>
        <w:t xml:space="preserve">5 days after publication in the Federal Register. </w:t>
      </w:r>
    </w:p>
    <w:p w:rsidR="003C108D" w:rsidP="004854DE" w14:paraId="13212ECC" w14:textId="02AA80EA">
      <w:pPr>
        <w:pStyle w:val="ParaNum"/>
        <w:widowControl/>
      </w:pPr>
      <w:r w:rsidRPr="00FD7FDD">
        <w:rPr>
          <w:b/>
          <w:bCs/>
        </w:rPr>
        <w:t>IT IS FURTHER ORDERED</w:t>
      </w:r>
      <w:r>
        <w:t xml:space="preserve"> that the Commission’s </w:t>
      </w:r>
      <w:r w:rsidR="004A52E5">
        <w:t>Office of Managing Director</w:t>
      </w:r>
      <w:r>
        <w:t xml:space="preserve">, </w:t>
      </w:r>
      <w:r w:rsidR="001338BE">
        <w:t xml:space="preserve">Reference Information Center </w:t>
      </w:r>
      <w:r w:rsidRPr="00FD7FDD">
        <w:rPr>
          <w:b/>
          <w:bCs/>
        </w:rPr>
        <w:t>SHALL SEND</w:t>
      </w:r>
      <w:r>
        <w:t xml:space="preserve"> a copy of this </w:t>
      </w:r>
      <w:r>
        <w:rPr>
          <w:i/>
          <w:iCs/>
        </w:rPr>
        <w:t>Notice of Proposed Rulemaking</w:t>
      </w:r>
      <w:r>
        <w:t>, including the Initial Regulatory Flexibility Certification</w:t>
      </w:r>
      <w:r w:rsidR="00B07D0C">
        <w:t>,</w:t>
      </w:r>
      <w:r>
        <w:t xml:space="preserve"> to the Chief Counsel for Advocacy of the Small Business Administration.</w:t>
      </w:r>
    </w:p>
    <w:p w:rsidR="003C108D" w:rsidP="004854DE" w14:paraId="7B0CFD4E" w14:textId="77777777">
      <w:pPr>
        <w:pStyle w:val="ParaNum"/>
        <w:widowControl/>
        <w:numPr>
          <w:ilvl w:val="0"/>
          <w:numId w:val="0"/>
        </w:numPr>
        <w:ind w:left="3600"/>
      </w:pPr>
    </w:p>
    <w:p w:rsidR="003C108D" w:rsidP="004854DE" w14:paraId="3C5E9831" w14:textId="77777777">
      <w:pPr>
        <w:widowControl/>
        <w:ind w:firstLine="4320"/>
      </w:pPr>
      <w:r>
        <w:t>FEDERAL COMMUNICATIONS COMMISSION</w:t>
      </w:r>
    </w:p>
    <w:p w:rsidR="003C108D" w:rsidP="004854DE" w14:paraId="14015736" w14:textId="77777777">
      <w:pPr>
        <w:widowControl/>
      </w:pPr>
    </w:p>
    <w:p w:rsidR="003C108D" w:rsidP="004854DE" w14:paraId="127B6A11" w14:textId="77777777">
      <w:pPr>
        <w:widowControl/>
      </w:pPr>
    </w:p>
    <w:p w:rsidR="003C108D" w:rsidP="004854DE" w14:paraId="23A0D18A" w14:textId="77777777">
      <w:pPr>
        <w:widowControl/>
      </w:pPr>
    </w:p>
    <w:p w:rsidR="003C108D" w:rsidP="004854DE" w14:paraId="6B9359EC" w14:textId="77777777">
      <w:pPr>
        <w:widowControl/>
      </w:pPr>
    </w:p>
    <w:p w:rsidR="003C108D" w:rsidP="004854DE" w14:paraId="0EED94D2" w14:textId="77777777">
      <w:pPr>
        <w:widowControl/>
      </w:pPr>
      <w:r>
        <w:tab/>
      </w:r>
      <w:r>
        <w:tab/>
      </w:r>
      <w:r>
        <w:tab/>
      </w:r>
      <w:r>
        <w:tab/>
      </w:r>
      <w:r>
        <w:tab/>
      </w:r>
      <w:r>
        <w:tab/>
        <w:t>Marlene H. Dortch</w:t>
      </w:r>
    </w:p>
    <w:p w:rsidR="008441A3" w:rsidP="004854DE" w14:paraId="4B72E6EC" w14:textId="77777777">
      <w:pPr>
        <w:widowControl/>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3C108D" w:rsidP="003C108D" w14:paraId="1211D323" w14:textId="77777777"/>
    <w:p w:rsidR="003C108D" w:rsidRPr="00E04191" w:rsidP="008441A3" w14:paraId="50DDB2AA" w14:textId="77777777">
      <w:pPr>
        <w:jc w:val="center"/>
        <w:rPr>
          <w:b/>
          <w:bCs/>
          <w:szCs w:val="22"/>
        </w:rPr>
      </w:pPr>
      <w:r w:rsidRPr="00E04191">
        <w:rPr>
          <w:b/>
          <w:szCs w:val="22"/>
        </w:rPr>
        <w:t>APPENDIX</w:t>
      </w:r>
      <w:r w:rsidRPr="00E04191">
        <w:rPr>
          <w:b/>
          <w:bCs/>
          <w:szCs w:val="22"/>
        </w:rPr>
        <w:t xml:space="preserve"> A</w:t>
      </w:r>
    </w:p>
    <w:p w:rsidR="003C108D" w:rsidRPr="00E04191" w:rsidP="003C108D" w14:paraId="641C1280" w14:textId="77777777">
      <w:pPr>
        <w:rPr>
          <w:b/>
          <w:bCs/>
          <w:szCs w:val="22"/>
        </w:rPr>
      </w:pPr>
    </w:p>
    <w:p w:rsidR="003C108D" w:rsidRPr="00E04191" w:rsidP="003C108D" w14:paraId="23FEA42D" w14:textId="3629BB0C">
      <w:pPr>
        <w:jc w:val="center"/>
        <w:rPr>
          <w:b/>
          <w:bCs/>
          <w:szCs w:val="22"/>
        </w:rPr>
      </w:pPr>
      <w:r>
        <w:rPr>
          <w:b/>
          <w:bCs/>
          <w:szCs w:val="22"/>
        </w:rPr>
        <w:t xml:space="preserve">Draft </w:t>
      </w:r>
      <w:r w:rsidRPr="00E04191">
        <w:rPr>
          <w:b/>
          <w:bCs/>
          <w:szCs w:val="22"/>
        </w:rPr>
        <w:t>Proposed Rules</w:t>
      </w:r>
      <w:r>
        <w:rPr>
          <w:b/>
          <w:bCs/>
          <w:szCs w:val="22"/>
        </w:rPr>
        <w:t xml:space="preserve"> for Public Comment</w:t>
      </w:r>
    </w:p>
    <w:p w:rsidR="003C108D" w:rsidRPr="00E04191" w:rsidP="003C108D" w14:paraId="7AED067F" w14:textId="77777777">
      <w:pPr>
        <w:jc w:val="center"/>
        <w:rPr>
          <w:bCs/>
          <w:szCs w:val="22"/>
        </w:rPr>
      </w:pPr>
    </w:p>
    <w:p w:rsidR="003C108D" w:rsidRPr="00A5243F" w:rsidP="003C108D" w14:paraId="721F2028" w14:textId="4A63D5E8">
      <w:pPr>
        <w:rPr>
          <w:szCs w:val="22"/>
        </w:rPr>
      </w:pPr>
      <w:r w:rsidRPr="00A5243F">
        <w:rPr>
          <w:szCs w:val="22"/>
        </w:rPr>
        <w:t xml:space="preserve">The Federal Communications Commission proposes to amend </w:t>
      </w:r>
      <w:r w:rsidR="00814C51">
        <w:rPr>
          <w:szCs w:val="22"/>
        </w:rPr>
        <w:t>p</w:t>
      </w:r>
      <w:r w:rsidRPr="00A5243F">
        <w:rPr>
          <w:szCs w:val="22"/>
        </w:rPr>
        <w:t>art 64 of Title 47 of the Code of Federal Regulations as follows:</w:t>
      </w:r>
    </w:p>
    <w:p w:rsidR="003C108D" w:rsidRPr="00A5243F" w:rsidP="003C108D" w14:paraId="2F219FA2" w14:textId="77777777">
      <w:pPr>
        <w:rPr>
          <w:szCs w:val="22"/>
        </w:rPr>
      </w:pPr>
    </w:p>
    <w:p w:rsidR="00814C51" w:rsidP="003C108D" w14:paraId="1757D8B3" w14:textId="20210D31">
      <w:pPr>
        <w:rPr>
          <w:szCs w:val="22"/>
        </w:rPr>
      </w:pPr>
      <w:r w:rsidRPr="00A5243F">
        <w:rPr>
          <w:szCs w:val="22"/>
        </w:rPr>
        <w:t>PART 64 – MISCELLANEOUS RULES RELATING TO COMMON CARRIERS</w:t>
      </w:r>
    </w:p>
    <w:p w:rsidR="00814C51" w:rsidP="003C108D" w14:paraId="40C9AFBB" w14:textId="77777777">
      <w:pPr>
        <w:rPr>
          <w:szCs w:val="22"/>
        </w:rPr>
      </w:pPr>
    </w:p>
    <w:p w:rsidR="00814C51" w:rsidRPr="003F6053" w:rsidP="003F6053" w14:paraId="5D6EE156" w14:textId="1991C748">
      <w:pPr>
        <w:pStyle w:val="Heading3"/>
        <w:ind w:left="720"/>
        <w:rPr>
          <w:b w:val="0"/>
          <w:bCs/>
        </w:rPr>
      </w:pPr>
      <w:r w:rsidRPr="003F6053">
        <w:rPr>
          <w:b w:val="0"/>
          <w:bCs/>
        </w:rPr>
        <w:t xml:space="preserve">The </w:t>
      </w:r>
      <w:r w:rsidR="00172095">
        <w:rPr>
          <w:b w:val="0"/>
          <w:bCs/>
        </w:rPr>
        <w:t>a</w:t>
      </w:r>
      <w:r w:rsidRPr="003F6053">
        <w:rPr>
          <w:b w:val="0"/>
          <w:bCs/>
        </w:rPr>
        <w:t>uthority citation for part 64 continues to read as follows:</w:t>
      </w:r>
    </w:p>
    <w:p w:rsidR="00814C51" w:rsidRPr="00A5243F" w:rsidP="003F6053" w14:paraId="23AA3DD4" w14:textId="34E195E5">
      <w:pPr>
        <w:ind w:left="1440"/>
        <w:rPr>
          <w:szCs w:val="22"/>
        </w:rPr>
      </w:pPr>
      <w:r w:rsidRPr="005C55DD">
        <w:rPr>
          <w:szCs w:val="22"/>
        </w:rPr>
        <w:t>Authority:</w:t>
      </w:r>
      <w:r w:rsidRPr="00814C51">
        <w:rPr>
          <w:szCs w:val="22"/>
        </w:rPr>
        <w:t xml:space="preserve"> 47 U.S.C. </w:t>
      </w:r>
      <w:r w:rsidR="00430577">
        <w:rPr>
          <w:szCs w:val="22"/>
        </w:rPr>
        <w:t xml:space="preserve">151, 152, </w:t>
      </w:r>
      <w:r w:rsidRPr="00814C51">
        <w:rPr>
          <w:szCs w:val="22"/>
        </w:rPr>
        <w:t xml:space="preserve">154, 201, 202, 217, 218, 220, 222, 225, 226, 227, 227b, 228, 251(a), 251(e), 254(k), </w:t>
      </w:r>
      <w:r w:rsidR="00430577">
        <w:rPr>
          <w:szCs w:val="22"/>
        </w:rPr>
        <w:t xml:space="preserve">255, </w:t>
      </w:r>
      <w:r w:rsidRPr="00814C51">
        <w:rPr>
          <w:szCs w:val="22"/>
        </w:rPr>
        <w:t xml:space="preserve">262, </w:t>
      </w:r>
      <w:r w:rsidR="00430577">
        <w:rPr>
          <w:szCs w:val="22"/>
        </w:rPr>
        <w:t xml:space="preserve">276, </w:t>
      </w:r>
      <w:r w:rsidRPr="00814C51">
        <w:rPr>
          <w:szCs w:val="22"/>
        </w:rPr>
        <w:t xml:space="preserve">403(b)(2)(B), (c), 616, </w:t>
      </w:r>
      <w:r w:rsidR="00430577">
        <w:rPr>
          <w:szCs w:val="22"/>
        </w:rPr>
        <w:t xml:space="preserve">617, </w:t>
      </w:r>
      <w:r w:rsidRPr="00814C51">
        <w:rPr>
          <w:szCs w:val="22"/>
        </w:rPr>
        <w:t>620, 1401-1473, unless otherwise noted; Pub. L. 115-141, Div. P, sec. 503, 132 Stat. 348, 1091.</w:t>
      </w:r>
    </w:p>
    <w:p w:rsidR="003C108D" w:rsidRPr="00A5243F" w:rsidP="003C108D" w14:paraId="6EFED10A" w14:textId="77777777">
      <w:pPr>
        <w:rPr>
          <w:szCs w:val="22"/>
        </w:rPr>
      </w:pPr>
    </w:p>
    <w:p w:rsidR="003C108D" w:rsidP="003C108D" w14:paraId="40A66199" w14:textId="77777777">
      <w:pPr>
        <w:rPr>
          <w:szCs w:val="22"/>
        </w:rPr>
      </w:pPr>
      <w:r w:rsidRPr="00A5243F">
        <w:rPr>
          <w:szCs w:val="22"/>
        </w:rPr>
        <w:t xml:space="preserve">Subpart </w:t>
      </w:r>
      <w:r>
        <w:rPr>
          <w:szCs w:val="22"/>
        </w:rPr>
        <w:t>L</w:t>
      </w:r>
      <w:r w:rsidRPr="00A5243F">
        <w:rPr>
          <w:szCs w:val="22"/>
        </w:rPr>
        <w:t xml:space="preserve"> – </w:t>
      </w:r>
      <w:r>
        <w:rPr>
          <w:szCs w:val="22"/>
        </w:rPr>
        <w:t>Restrictions on Telemarketing, Telephone Solicitation, and Facsimile Advertising</w:t>
      </w:r>
    </w:p>
    <w:p w:rsidR="003C108D" w:rsidP="003C108D" w14:paraId="49FAF2E3" w14:textId="77777777">
      <w:pPr>
        <w:rPr>
          <w:szCs w:val="22"/>
        </w:rPr>
      </w:pPr>
    </w:p>
    <w:p w:rsidR="003C108D" w:rsidRPr="003F6053" w:rsidP="003F6053" w14:paraId="3B44D32B" w14:textId="62860D37">
      <w:pPr>
        <w:pStyle w:val="Heading3"/>
        <w:ind w:left="720"/>
        <w:rPr>
          <w:b w:val="0"/>
          <w:bCs/>
        </w:rPr>
      </w:pPr>
      <w:r w:rsidRPr="003F6053">
        <w:rPr>
          <w:b w:val="0"/>
          <w:bCs/>
        </w:rPr>
        <w:t>Section 64.1200 is amended by revising paragraph (a)(9)(</w:t>
      </w:r>
      <w:r w:rsidRPr="003F6053">
        <w:rPr>
          <w:b w:val="0"/>
          <w:bCs/>
        </w:rPr>
        <w:t>i</w:t>
      </w:r>
      <w:r w:rsidRPr="003F6053">
        <w:rPr>
          <w:b w:val="0"/>
          <w:bCs/>
        </w:rPr>
        <w:t>)(F) and adding</w:t>
      </w:r>
      <w:r w:rsidRPr="003F6053" w:rsidR="00730032">
        <w:rPr>
          <w:b w:val="0"/>
          <w:bCs/>
        </w:rPr>
        <w:t xml:space="preserve"> </w:t>
      </w:r>
      <w:r w:rsidRPr="003F6053">
        <w:rPr>
          <w:b w:val="0"/>
          <w:bCs/>
        </w:rPr>
        <w:t>paragraphs (a)(9)(v), (10), and (11) and revising paragraph (d)(3) to read as follows:</w:t>
      </w:r>
    </w:p>
    <w:p w:rsidR="003C108D" w:rsidRPr="00814C51" w:rsidP="003C108D" w14:paraId="5A65F741" w14:textId="77777777">
      <w:pPr>
        <w:rPr>
          <w:bCs/>
          <w:szCs w:val="22"/>
        </w:rPr>
      </w:pPr>
    </w:p>
    <w:p w:rsidR="003C108D" w:rsidP="003C108D" w14:paraId="14CB6244" w14:textId="77777777">
      <w:pPr>
        <w:rPr>
          <w:b/>
          <w:bCs/>
          <w:szCs w:val="22"/>
        </w:rPr>
      </w:pPr>
      <w:r w:rsidRPr="00A5243F">
        <w:rPr>
          <w:b/>
          <w:bCs/>
          <w:szCs w:val="22"/>
        </w:rPr>
        <w:t>§ 64.</w:t>
      </w:r>
      <w:r>
        <w:rPr>
          <w:b/>
          <w:bCs/>
          <w:szCs w:val="22"/>
        </w:rPr>
        <w:t>1200</w:t>
      </w:r>
      <w:r w:rsidRPr="00A5243F">
        <w:rPr>
          <w:b/>
          <w:bCs/>
          <w:szCs w:val="22"/>
        </w:rPr>
        <w:t>   </w:t>
      </w:r>
      <w:r>
        <w:rPr>
          <w:b/>
          <w:bCs/>
          <w:szCs w:val="22"/>
        </w:rPr>
        <w:t>Delivery Restrictions.</w:t>
      </w:r>
    </w:p>
    <w:p w:rsidR="003C108D" w:rsidP="003C108D" w14:paraId="59858286" w14:textId="77777777">
      <w:pPr>
        <w:rPr>
          <w:b/>
          <w:bCs/>
          <w:szCs w:val="22"/>
        </w:rPr>
      </w:pPr>
    </w:p>
    <w:p w:rsidR="003C108D" w:rsidRPr="00B61608" w:rsidP="00B61608" w14:paraId="3618BC67" w14:textId="7F2F825C">
      <w:pPr>
        <w:rPr>
          <w:b/>
          <w:bCs/>
          <w:szCs w:val="22"/>
        </w:rPr>
      </w:pPr>
      <w:r w:rsidRPr="00052316">
        <w:rPr>
          <w:b/>
          <w:bCs/>
          <w:szCs w:val="22"/>
        </w:rPr>
        <w:t>*</w:t>
      </w:r>
      <w:r>
        <w:rPr>
          <w:b/>
          <w:bCs/>
          <w:szCs w:val="22"/>
        </w:rPr>
        <w:t xml:space="preserve"> * * * *</w:t>
      </w:r>
    </w:p>
    <w:p w:rsidR="003C108D" w:rsidRPr="001C6837" w:rsidP="003C108D" w14:paraId="6E008AC4" w14:textId="77777777">
      <w:pPr>
        <w:shd w:val="clear" w:color="auto" w:fill="FFFFFF"/>
        <w:textAlignment w:val="baseline"/>
        <w:rPr>
          <w:szCs w:val="22"/>
        </w:rPr>
      </w:pPr>
    </w:p>
    <w:p w:rsidR="003C108D" w:rsidP="003C108D" w14:paraId="25D868C2" w14:textId="5F4E2BD5">
      <w:pPr>
        <w:shd w:val="clear" w:color="auto" w:fill="FFFFFF"/>
        <w:textAlignment w:val="baseline"/>
        <w:rPr>
          <w:snapToGrid/>
          <w:kern w:val="0"/>
          <w:szCs w:val="22"/>
        </w:rPr>
      </w:pPr>
      <w:r>
        <w:rPr>
          <w:szCs w:val="22"/>
        </w:rPr>
        <w:t>* * *</w:t>
      </w:r>
    </w:p>
    <w:p w:rsidR="004B5CCB" w:rsidP="003C108D" w14:paraId="403FC170" w14:textId="68ECAC0B">
      <w:pPr>
        <w:shd w:val="clear" w:color="auto" w:fill="FFFFFF"/>
        <w:textAlignment w:val="baseline"/>
        <w:rPr>
          <w:snapToGrid/>
          <w:kern w:val="0"/>
          <w:szCs w:val="22"/>
        </w:rPr>
      </w:pPr>
    </w:p>
    <w:p w:rsidR="00814C51" w:rsidP="006660F0" w14:paraId="0369450C" w14:textId="422D1424">
      <w:pPr>
        <w:pStyle w:val="Heading5"/>
        <w:numPr>
          <w:ilvl w:val="0"/>
          <w:numId w:val="0"/>
        </w:numPr>
        <w:rPr>
          <w:b w:val="0"/>
          <w:bCs/>
        </w:rPr>
      </w:pPr>
      <w:r>
        <w:rPr>
          <w:b w:val="0"/>
          <w:bCs/>
        </w:rPr>
        <w:t>(</w:t>
      </w:r>
      <w:r>
        <w:rPr>
          <w:b w:val="0"/>
          <w:bCs/>
        </w:rPr>
        <w:t>9</w:t>
      </w:r>
      <w:r>
        <w:rPr>
          <w:b w:val="0"/>
          <w:bCs/>
        </w:rPr>
        <w:t>)</w:t>
      </w:r>
      <w:r w:rsidR="00551D2F">
        <w:rPr>
          <w:b w:val="0"/>
          <w:bCs/>
        </w:rPr>
        <w:t xml:space="preserve"> </w:t>
      </w:r>
      <w:r>
        <w:rPr>
          <w:b w:val="0"/>
          <w:bCs/>
        </w:rPr>
        <w:t>* * *</w:t>
      </w:r>
    </w:p>
    <w:p w:rsidR="00551D2F" w:rsidRPr="00551D2F" w:rsidP="00551D2F" w14:paraId="15C2A0A4" w14:textId="77777777">
      <w:pPr>
        <w:pStyle w:val="ParaNum"/>
        <w:numPr>
          <w:ilvl w:val="0"/>
          <w:numId w:val="0"/>
        </w:numPr>
        <w:ind w:left="720"/>
      </w:pPr>
    </w:p>
    <w:p w:rsidR="00814C51" w:rsidRPr="00814C51" w:rsidP="00814C51" w14:paraId="797295ED" w14:textId="484829C6">
      <w:pPr>
        <w:pStyle w:val="ParaNum"/>
        <w:numPr>
          <w:ilvl w:val="0"/>
          <w:numId w:val="0"/>
        </w:numPr>
      </w:pPr>
      <w:r>
        <w:t>(</w:t>
      </w:r>
      <w:r>
        <w:t>i</w:t>
      </w:r>
      <w:r>
        <w:t>)*</w:t>
      </w:r>
      <w:r w:rsidR="00730032">
        <w:t xml:space="preserve"> </w:t>
      </w:r>
      <w:r>
        <w:t>*</w:t>
      </w:r>
      <w:r w:rsidR="00730032">
        <w:t xml:space="preserve"> </w:t>
      </w:r>
      <w:r>
        <w:t>*</w:t>
      </w:r>
    </w:p>
    <w:p w:rsidR="00551D2F" w:rsidP="00551D2F" w14:paraId="24C5E4C3" w14:textId="56E5D18C">
      <w:pPr>
        <w:pStyle w:val="ParaNum"/>
        <w:numPr>
          <w:ilvl w:val="0"/>
          <w:numId w:val="0"/>
        </w:numPr>
      </w:pPr>
      <w:r>
        <w:t xml:space="preserve">(F) </w:t>
      </w:r>
      <w:r w:rsidRPr="004B5CCB">
        <w:t>The package delivery company must offer package recipients the ability to opt out of receiving future delivery notification calls and messages and must honor an opt-out request</w:t>
      </w:r>
      <w:r>
        <w:t xml:space="preserve"> </w:t>
      </w:r>
      <w:r w:rsidRPr="00053A5D">
        <w:rPr>
          <w:b/>
          <w:bCs/>
        </w:rPr>
        <w:t>immediately</w:t>
      </w:r>
      <w:r>
        <w:t>; and,</w:t>
      </w:r>
    </w:p>
    <w:p w:rsidR="00551D2F" w:rsidP="00551D2F" w14:paraId="53E67C53" w14:textId="77777777">
      <w:pPr>
        <w:pStyle w:val="ParaNum"/>
        <w:numPr>
          <w:ilvl w:val="0"/>
          <w:numId w:val="0"/>
        </w:numPr>
      </w:pPr>
    </w:p>
    <w:p w:rsidR="003C108D" w:rsidRPr="004B5CCB" w:rsidP="004B5CCB" w14:paraId="7A378F26" w14:textId="0CED3550">
      <w:pPr>
        <w:pStyle w:val="ParaNum"/>
        <w:numPr>
          <w:ilvl w:val="0"/>
          <w:numId w:val="0"/>
        </w:numPr>
      </w:pPr>
      <w:r>
        <w:t>* * *</w:t>
      </w:r>
      <w:r w:rsidR="00814C51">
        <w:t xml:space="preserve"> * *</w:t>
      </w:r>
    </w:p>
    <w:p w:rsidR="003C108D" w:rsidRPr="00F71D26" w:rsidP="000D7EDA" w14:paraId="407B993E" w14:textId="058FC889">
      <w:pPr>
        <w:shd w:val="clear" w:color="auto" w:fill="FFFFFF"/>
        <w:textAlignment w:val="baseline"/>
        <w:rPr>
          <w:szCs w:val="22"/>
        </w:rPr>
      </w:pPr>
      <w:r w:rsidRPr="00F71D26">
        <w:rPr>
          <w:szCs w:val="22"/>
        </w:rPr>
        <w:t>(</w:t>
      </w:r>
      <w:r w:rsidR="008A490E">
        <w:rPr>
          <w:szCs w:val="22"/>
        </w:rPr>
        <w:t>v</w:t>
      </w:r>
      <w:r>
        <w:rPr>
          <w:szCs w:val="22"/>
        </w:rPr>
        <w:t xml:space="preserve">)  </w:t>
      </w:r>
      <w:r w:rsidRPr="00F71D26">
        <w:rPr>
          <w:szCs w:val="22"/>
        </w:rPr>
        <w:t xml:space="preserve">Calls </w:t>
      </w:r>
      <w:r>
        <w:rPr>
          <w:szCs w:val="22"/>
        </w:rPr>
        <w:t>made by</w:t>
      </w:r>
      <w:r w:rsidRPr="00F71D26">
        <w:rPr>
          <w:szCs w:val="22"/>
        </w:rPr>
        <w:t xml:space="preserve"> </w:t>
      </w:r>
      <w:r>
        <w:rPr>
          <w:szCs w:val="22"/>
        </w:rPr>
        <w:t xml:space="preserve">a </w:t>
      </w:r>
      <w:r w:rsidR="008A490E">
        <w:rPr>
          <w:szCs w:val="22"/>
        </w:rPr>
        <w:t>wireless service provider to an existing subscriber</w:t>
      </w:r>
      <w:r>
        <w:rPr>
          <w:szCs w:val="22"/>
        </w:rPr>
        <w:t>, provided that</w:t>
      </w:r>
      <w:r w:rsidRPr="00F71D26">
        <w:rPr>
          <w:szCs w:val="22"/>
        </w:rPr>
        <w:t xml:space="preserve"> </w:t>
      </w:r>
      <w:r>
        <w:rPr>
          <w:szCs w:val="22"/>
        </w:rPr>
        <w:t>all of</w:t>
      </w:r>
      <w:r w:rsidRPr="00F71D26">
        <w:rPr>
          <w:szCs w:val="22"/>
        </w:rPr>
        <w:t xml:space="preserve"> the following</w:t>
      </w:r>
      <w:r w:rsidR="008A490E">
        <w:rPr>
          <w:szCs w:val="22"/>
        </w:rPr>
        <w:t xml:space="preserve"> </w:t>
      </w:r>
      <w:r>
        <w:rPr>
          <w:szCs w:val="22"/>
        </w:rPr>
        <w:t>conditions are met</w:t>
      </w:r>
      <w:r w:rsidRPr="00F71D26">
        <w:rPr>
          <w:szCs w:val="22"/>
        </w:rPr>
        <w:t xml:space="preserve">: </w:t>
      </w:r>
    </w:p>
    <w:p w:rsidR="003C108D" w:rsidRPr="00F71D26" w:rsidP="003C108D" w14:paraId="60B2C3DA" w14:textId="77777777"/>
    <w:p w:rsidR="008A490E" w:rsidRPr="008A490E" w:rsidP="008A490E" w14:paraId="13616049" w14:textId="782F3986">
      <w:pPr>
        <w:pStyle w:val="ParaNum"/>
        <w:numPr>
          <w:ilvl w:val="0"/>
          <w:numId w:val="0"/>
        </w:numPr>
        <w:ind w:left="720"/>
      </w:pPr>
      <w:r w:rsidRPr="008A490E">
        <w:t xml:space="preserve">(A) voice calls and text messages </w:t>
      </w:r>
      <w:r w:rsidR="00295781">
        <w:t xml:space="preserve">are initiated by a wireless service provider </w:t>
      </w:r>
      <w:r w:rsidRPr="008A490E">
        <w:t xml:space="preserve">only to </w:t>
      </w:r>
      <w:r w:rsidR="00295781">
        <w:t xml:space="preserve">an </w:t>
      </w:r>
      <w:r w:rsidRPr="008A490E">
        <w:t>existing subscriber of th</w:t>
      </w:r>
      <w:r w:rsidR="00295781">
        <w:t>at</w:t>
      </w:r>
      <w:r w:rsidRPr="008A490E">
        <w:t xml:space="preserve"> wireless service provider</w:t>
      </w:r>
      <w:r w:rsidR="00201B93">
        <w:t xml:space="preserve"> at a number maintained by the wireless service provider</w:t>
      </w:r>
      <w:r w:rsidRPr="008A490E">
        <w:t>;</w:t>
      </w:r>
    </w:p>
    <w:p w:rsidR="008A490E" w:rsidRPr="008A490E" w:rsidP="008A490E" w14:paraId="19B787BF" w14:textId="67998D60">
      <w:pPr>
        <w:pStyle w:val="ParaNum"/>
        <w:numPr>
          <w:ilvl w:val="0"/>
          <w:numId w:val="0"/>
        </w:numPr>
        <w:ind w:left="720"/>
      </w:pPr>
      <w:r w:rsidRPr="008A490E">
        <w:t xml:space="preserve">(B) voice calls and text messages must state the name and contact information of the wireless provider (for voice calls, these disclosures </w:t>
      </w:r>
      <w:r w:rsidR="00702929">
        <w:t>must</w:t>
      </w:r>
      <w:r w:rsidRPr="008A490E">
        <w:t xml:space="preserve"> be made at the beginning of the call);</w:t>
      </w:r>
    </w:p>
    <w:p w:rsidR="008A490E" w:rsidRPr="008A490E" w:rsidP="008A490E" w14:paraId="30DF58D8" w14:textId="77777777">
      <w:pPr>
        <w:pStyle w:val="ParaNum"/>
        <w:numPr>
          <w:ilvl w:val="0"/>
          <w:numId w:val="0"/>
        </w:numPr>
        <w:ind w:left="720"/>
      </w:pPr>
      <w:r w:rsidRPr="008A490E">
        <w:t>(C) voice calls and text messages must not include any telemarketing, solicitation, or advertising;</w:t>
      </w:r>
    </w:p>
    <w:p w:rsidR="008A490E" w:rsidRPr="008A490E" w:rsidP="008A490E" w14:paraId="036021A0" w14:textId="77777777">
      <w:pPr>
        <w:pStyle w:val="ParaNum"/>
        <w:numPr>
          <w:ilvl w:val="0"/>
          <w:numId w:val="0"/>
        </w:numPr>
        <w:ind w:left="720"/>
      </w:pPr>
      <w:r w:rsidRPr="008A490E">
        <w:t>(D) voice calls and text messages must be concise, generally one minute or less in length for voice calls or 160 characters or less in length for text messages;</w:t>
      </w:r>
    </w:p>
    <w:p w:rsidR="008A490E" w:rsidRPr="008A490E" w:rsidP="008A490E" w14:paraId="19F6B1B9" w14:textId="55A41DD5">
      <w:pPr>
        <w:pStyle w:val="ParaNum"/>
        <w:numPr>
          <w:ilvl w:val="0"/>
          <w:numId w:val="0"/>
        </w:numPr>
        <w:ind w:left="720"/>
      </w:pPr>
      <w:r w:rsidRPr="008A490E">
        <w:t>(E) a wireless service provider may initiate a maximum of three voice calls or text messages during any 30-day period;</w:t>
      </w:r>
    </w:p>
    <w:p w:rsidR="008A490E" w:rsidRPr="008A490E" w:rsidP="008A490E" w14:paraId="280CBB55" w14:textId="15F2EE87">
      <w:pPr>
        <w:pStyle w:val="ParaNum"/>
        <w:numPr>
          <w:ilvl w:val="0"/>
          <w:numId w:val="0"/>
        </w:numPr>
        <w:ind w:left="720"/>
      </w:pPr>
      <w:r w:rsidRPr="008A490E">
        <w:t>(F) a wireless service provider must offer recipients within each message an easy means to opt out of future such messages; voice calls that could be answered by a live person must include an automated, interactive voice- and/or key press-activated opt-out mechanism that enables the call recipient to make an opt-out request prior to terminating the call; voice calls that could be answered by an answering machine or voice mail service must include a toll-free number that the consumer can call to opt out of future calls; text messages must inform recipients of the ability to opt out by replying “STOP</w:t>
      </w:r>
      <w:r>
        <w:t>”</w:t>
      </w:r>
      <w:r w:rsidRPr="008A490E">
        <w:t>; and,</w:t>
      </w:r>
    </w:p>
    <w:p w:rsidR="008A490E" w:rsidRPr="008A490E" w:rsidP="008A490E" w14:paraId="0B7B7D68" w14:textId="77777777">
      <w:pPr>
        <w:pStyle w:val="ParaNum"/>
        <w:numPr>
          <w:ilvl w:val="0"/>
          <w:numId w:val="0"/>
        </w:numPr>
        <w:ind w:left="720"/>
      </w:pPr>
      <w:r w:rsidRPr="008A490E">
        <w:t xml:space="preserve">(G) a wireless service provider must honor opt-out requests immediately. </w:t>
      </w:r>
    </w:p>
    <w:p w:rsidR="003C108D" w:rsidP="003C108D" w14:paraId="541C8616" w14:textId="1B86A3E0">
      <w:pPr>
        <w:pStyle w:val="ParaNum"/>
        <w:numPr>
          <w:ilvl w:val="0"/>
          <w:numId w:val="0"/>
        </w:numPr>
        <w:ind w:left="720"/>
      </w:pPr>
    </w:p>
    <w:p w:rsidR="00B61608" w:rsidP="00730032" w14:paraId="1C86DFF2" w14:textId="690476BC">
      <w:pPr>
        <w:pStyle w:val="ParaNum"/>
        <w:numPr>
          <w:ilvl w:val="0"/>
          <w:numId w:val="0"/>
        </w:numPr>
        <w:ind w:left="720" w:hanging="720"/>
      </w:pPr>
      <w:r>
        <w:t>* * * * *</w:t>
      </w:r>
    </w:p>
    <w:p w:rsidR="00B61608" w:rsidRPr="00B61608" w:rsidP="726E0F65" w14:paraId="0CF4C18C" w14:textId="5E290B9C">
      <w:pPr>
        <w:pStyle w:val="ParaNum"/>
        <w:numPr>
          <w:ilvl w:val="0"/>
          <w:numId w:val="0"/>
        </w:numPr>
      </w:pPr>
      <w:r>
        <w:t>(10) A called party may revoke prior express consent, including prior express written consent, to receive calls or text messages made pursuant to paragraphs (a)(1)</w:t>
      </w:r>
      <w:r w:rsidR="00730032">
        <w:t xml:space="preserve"> through </w:t>
      </w:r>
      <w:r>
        <w:t>(3) of this section by using any reasonable</w:t>
      </w:r>
      <w:r w:rsidR="00DF00DA">
        <w:t xml:space="preserve"> method</w:t>
      </w:r>
      <w:r>
        <w:t xml:space="preserve"> to clearly express a desire not to receive further calls or text messages from the caller</w:t>
      </w:r>
      <w:r w:rsidR="00344D0C">
        <w:t xml:space="preserve"> or sender</w:t>
      </w:r>
      <w:r>
        <w:t>.</w:t>
      </w:r>
      <w:r w:rsidR="00755581">
        <w:t xml:space="preserve"> </w:t>
      </w:r>
      <w:r w:rsidR="00BD106C">
        <w:t xml:space="preserve"> </w:t>
      </w:r>
      <w:r w:rsidR="009A194C">
        <w:t xml:space="preserve">The use of text message, voicemail, or email to any telephone number or email address at which the consumer can reasonably expect to reach the caller </w:t>
      </w:r>
      <w:r w:rsidR="008F3ADC">
        <w:t>to revoke consent</w:t>
      </w:r>
      <w:r w:rsidR="009A194C">
        <w:t xml:space="preserve"> </w:t>
      </w:r>
      <w:r w:rsidR="008F3ADC">
        <w:t xml:space="preserve">creates a </w:t>
      </w:r>
      <w:r w:rsidR="0085138B">
        <w:t xml:space="preserve">rebuttable </w:t>
      </w:r>
      <w:r w:rsidR="008F3ADC">
        <w:t>presumption that the consumer has revoked consent absent evidence to the contrary</w:t>
      </w:r>
      <w:r w:rsidR="009A194C">
        <w:t xml:space="preserve">. </w:t>
      </w:r>
      <w:r>
        <w:t xml:space="preserve"> </w:t>
      </w:r>
      <w:bookmarkStart w:id="42" w:name="_Hlk134629181"/>
      <w:r w:rsidR="001F274C">
        <w:t>T</w:t>
      </w:r>
      <w:r w:rsidRPr="00DC5152" w:rsidR="00DC5152">
        <w:t xml:space="preserve">he sending of “STOP” or a similar </w:t>
      </w:r>
      <w:r w:rsidR="00B20BA4">
        <w:t xml:space="preserve">text </w:t>
      </w:r>
      <w:r w:rsidRPr="00DC5152" w:rsidR="00DC5152">
        <w:t>message that reasonably conveys a desire to not receive further messages in reply to an incoming text message creates a presumption that the consumer has revoked consent in a reasonable way</w:t>
      </w:r>
      <w:r w:rsidR="00DC5152">
        <w:t xml:space="preserve">. </w:t>
      </w:r>
      <w:bookmarkEnd w:id="42"/>
      <w:r w:rsidR="00DC5152">
        <w:t xml:space="preserve"> </w:t>
      </w:r>
      <w:r>
        <w:t>Callers or senders of text messages covered by paragraphs (a)(1)</w:t>
      </w:r>
      <w:r w:rsidR="00730032">
        <w:t xml:space="preserve"> through </w:t>
      </w:r>
      <w:r>
        <w:t xml:space="preserve">(3) of this section may not designate an exclusive means to request revocation of consent.  </w:t>
      </w:r>
      <w:r w:rsidR="009A194C">
        <w:t>Should the text initiator choose to use a texting protocol that does not allow reply texts, it must provide a clear and conspicuous disclosure on each text to the consumer that two-way texting is not available due to technical limitations of the texting protocol</w:t>
      </w:r>
      <w:r w:rsidR="00CF430A">
        <w:t>,</w:t>
      </w:r>
      <w:r w:rsidR="009A194C">
        <w:t xml:space="preserve"> and clearly and conspicuously provide</w:t>
      </w:r>
      <w:r w:rsidR="007F2476">
        <w:t xml:space="preserve"> reasonable</w:t>
      </w:r>
      <w:r w:rsidR="009A194C">
        <w:t xml:space="preserve"> alternative ways to revoke consent.  </w:t>
      </w:r>
      <w:r>
        <w:t>All requests to revoke prior express consent or prior express written consent made in any reasonable manner must be honored in a reasonable time not to exceed 24 hours from receipt of such request.</w:t>
      </w:r>
    </w:p>
    <w:p w:rsidR="009F175A" w:rsidRPr="00B61608" w:rsidP="00B61608" w14:paraId="14E1F5CE" w14:textId="00747703">
      <w:pPr>
        <w:pStyle w:val="ParaNum"/>
        <w:numPr>
          <w:ilvl w:val="0"/>
          <w:numId w:val="0"/>
        </w:numPr>
      </w:pPr>
      <w:r w:rsidRPr="00B61608">
        <w:t xml:space="preserve">(11) A one-time text message confirming a request </w:t>
      </w:r>
      <w:r>
        <w:t xml:space="preserve">to revoke consent from receiving any </w:t>
      </w:r>
      <w:r w:rsidRPr="00B61608">
        <w:t>further text messages does not violate paragraph</w:t>
      </w:r>
      <w:r w:rsidR="00C90828">
        <w:t>s</w:t>
      </w:r>
      <w:r w:rsidRPr="00B61608">
        <w:t xml:space="preserve"> (a)(1</w:t>
      </w:r>
      <w:r w:rsidR="00D072CD">
        <w:t>)</w:t>
      </w:r>
      <w:r w:rsidR="00730032">
        <w:t xml:space="preserve"> through </w:t>
      </w:r>
      <w:r w:rsidR="00D072CD">
        <w:t>(2)</w:t>
      </w:r>
      <w:r w:rsidRPr="00B61608">
        <w:t xml:space="preserve"> of this section as long as the confirmation text merely confirms the </w:t>
      </w:r>
      <w:r>
        <w:t>text recipient’s</w:t>
      </w:r>
      <w:r w:rsidR="00D072CD">
        <w:t xml:space="preserve"> revocation</w:t>
      </w:r>
      <w:r w:rsidRPr="00B61608">
        <w:t xml:space="preserve"> request and does not include any marketing or promotional information</w:t>
      </w:r>
      <w:r w:rsidR="000D25C0">
        <w:t>,</w:t>
      </w:r>
      <w:r w:rsidRPr="00B61608">
        <w:t xml:space="preserve"> and is the only additional message sent to the called party after receipt of the </w:t>
      </w:r>
      <w:r w:rsidR="00D072CD">
        <w:t>revocation</w:t>
      </w:r>
      <w:r w:rsidRPr="00B61608">
        <w:t xml:space="preserve"> request.</w:t>
      </w:r>
      <w:r>
        <w:t xml:space="preserve"> </w:t>
      </w:r>
      <w:r w:rsidR="000D25C0">
        <w:t xml:space="preserve"> </w:t>
      </w:r>
      <w:r>
        <w:t xml:space="preserve">To the extent that the text recipient has consented to several categories of text messages from </w:t>
      </w:r>
      <w:r w:rsidR="001E5018">
        <w:t xml:space="preserve">the </w:t>
      </w:r>
      <w:r>
        <w:t>text send</w:t>
      </w:r>
      <w:r w:rsidR="00344D0C">
        <w:t>er</w:t>
      </w:r>
      <w:r>
        <w:t>, the confirmation message may request clarification as to whether the revocation request was meant to encompass all such messages</w:t>
      </w:r>
      <w:r w:rsidR="00EE7531">
        <w:t>;</w:t>
      </w:r>
      <w:r>
        <w:t xml:space="preserve"> </w:t>
      </w:r>
      <w:r w:rsidRPr="009F175A">
        <w:t xml:space="preserve">the sender must cease all further texts absent further clarification </w:t>
      </w:r>
      <w:r>
        <w:t>that the</w:t>
      </w:r>
      <w:r w:rsidR="005E1ED3">
        <w:t xml:space="preserve"> </w:t>
      </w:r>
      <w:r>
        <w:t xml:space="preserve">recipient wishes to continue to receive certain text messages. </w:t>
      </w:r>
    </w:p>
    <w:p w:rsidR="003C108D" w:rsidRPr="00730032" w:rsidP="00730032" w14:paraId="1437BB3C" w14:textId="74262C0A">
      <w:pPr>
        <w:pStyle w:val="ParaNum"/>
        <w:numPr>
          <w:ilvl w:val="0"/>
          <w:numId w:val="0"/>
        </w:numPr>
        <w:ind w:left="720" w:hanging="720"/>
      </w:pPr>
      <w:r>
        <w:t xml:space="preserve">* * * * * </w:t>
      </w:r>
    </w:p>
    <w:p w:rsidR="003C108D" w:rsidP="003C108D" w14:paraId="3916B52E" w14:textId="77777777">
      <w:pPr>
        <w:widowControl/>
        <w:shd w:val="clear" w:color="auto" w:fill="FFFFFF"/>
        <w:textAlignment w:val="baseline"/>
        <w:rPr>
          <w:snapToGrid/>
          <w:kern w:val="0"/>
          <w:szCs w:val="22"/>
          <w:bdr w:val="none" w:sz="0" w:space="0" w:color="auto" w:frame="1"/>
        </w:rPr>
      </w:pPr>
    </w:p>
    <w:p w:rsidR="003C108D" w:rsidP="003C108D" w14:paraId="37316B05" w14:textId="710E4A80">
      <w:pPr>
        <w:widowControl/>
        <w:shd w:val="clear" w:color="auto" w:fill="FFFFFF"/>
        <w:textAlignment w:val="baseline"/>
        <w:rPr>
          <w:snapToGrid/>
          <w:kern w:val="0"/>
          <w:szCs w:val="22"/>
        </w:rPr>
      </w:pPr>
      <w:r w:rsidRPr="00B96E50">
        <w:rPr>
          <w:snapToGrid/>
          <w:kern w:val="0"/>
          <w:szCs w:val="22"/>
          <w:bdr w:val="none" w:sz="0" w:space="0" w:color="auto" w:frame="1"/>
        </w:rPr>
        <w:t>(d)</w:t>
      </w:r>
      <w:r w:rsidRPr="00B96E50">
        <w:rPr>
          <w:snapToGrid/>
          <w:kern w:val="0"/>
          <w:szCs w:val="22"/>
        </w:rPr>
        <w:t> </w:t>
      </w:r>
      <w:r w:rsidR="000B3549">
        <w:rPr>
          <w:snapToGrid/>
          <w:kern w:val="0"/>
          <w:szCs w:val="22"/>
        </w:rPr>
        <w:t>* * *</w:t>
      </w:r>
    </w:p>
    <w:p w:rsidR="003C108D" w:rsidRPr="00B96E50" w:rsidP="003C108D" w14:paraId="3F836411" w14:textId="77777777">
      <w:pPr>
        <w:widowControl/>
        <w:shd w:val="clear" w:color="auto" w:fill="FFFFFF"/>
        <w:textAlignment w:val="baseline"/>
        <w:rPr>
          <w:snapToGrid/>
          <w:kern w:val="0"/>
          <w:szCs w:val="22"/>
        </w:rPr>
      </w:pPr>
    </w:p>
    <w:p w:rsidR="003C108D" w:rsidP="003C108D" w14:paraId="2EA2B2F9" w14:textId="5FEBF1DF">
      <w:pPr>
        <w:widowControl/>
        <w:shd w:val="clear" w:color="auto" w:fill="FFFFFF"/>
        <w:textAlignment w:val="baseline"/>
        <w:rPr>
          <w:snapToGrid/>
          <w:kern w:val="0"/>
          <w:szCs w:val="22"/>
        </w:rPr>
      </w:pPr>
      <w:r w:rsidRPr="00B96E50">
        <w:rPr>
          <w:snapToGrid/>
          <w:kern w:val="0"/>
          <w:szCs w:val="22"/>
          <w:bdr w:val="none" w:sz="0" w:space="0" w:color="auto" w:frame="1"/>
        </w:rPr>
        <w:t>(3)</w:t>
      </w:r>
      <w:r w:rsidRPr="00B96E50">
        <w:rPr>
          <w:snapToGrid/>
          <w:kern w:val="0"/>
          <w:szCs w:val="22"/>
        </w:rPr>
        <w:t> </w:t>
      </w:r>
      <w:r w:rsidRPr="00897BC2">
        <w:rPr>
          <w:i/>
          <w:iCs/>
          <w:snapToGrid/>
          <w:kern w:val="0"/>
          <w:szCs w:val="22"/>
        </w:rPr>
        <w:t>Recording, disclosure of do-not-call requests</w:t>
      </w:r>
      <w:r w:rsidRPr="00B96E50">
        <w:rPr>
          <w:snapToGrid/>
          <w:kern w:val="0"/>
          <w:szCs w:val="22"/>
        </w:rPr>
        <w:t xml:space="preserve">. </w:t>
      </w:r>
      <w:r w:rsidR="00B53D6D">
        <w:rPr>
          <w:snapToGrid/>
          <w:kern w:val="0"/>
          <w:szCs w:val="22"/>
        </w:rPr>
        <w:t xml:space="preserve"> </w:t>
      </w:r>
      <w:r w:rsidRPr="00B96E50">
        <w:rPr>
          <w:snapToGrid/>
          <w:kern w:val="0"/>
          <w:szCs w:val="22"/>
        </w:rPr>
        <w:t xml:space="preserve">If a person or entity making </w:t>
      </w:r>
      <w:r>
        <w:rPr>
          <w:snapToGrid/>
          <w:kern w:val="0"/>
          <w:szCs w:val="22"/>
        </w:rPr>
        <w:t xml:space="preserve">an artificial or prerecorded-voice telephone call </w:t>
      </w:r>
      <w:r w:rsidRPr="002F3BFB">
        <w:rPr>
          <w:snapToGrid/>
          <w:kern w:val="0"/>
          <w:szCs w:val="22"/>
        </w:rPr>
        <w:t>pursuant to an exemption under §</w:t>
      </w:r>
      <w:r>
        <w:rPr>
          <w:snapToGrid/>
          <w:kern w:val="0"/>
          <w:szCs w:val="22"/>
        </w:rPr>
        <w:t xml:space="preserve"> 64.1200(a)(3)(ii)</w:t>
      </w:r>
      <w:r w:rsidR="00730032">
        <w:rPr>
          <w:snapToGrid/>
          <w:kern w:val="0"/>
          <w:szCs w:val="22"/>
        </w:rPr>
        <w:t xml:space="preserve"> through </w:t>
      </w:r>
      <w:r>
        <w:rPr>
          <w:snapToGrid/>
          <w:kern w:val="0"/>
          <w:szCs w:val="22"/>
        </w:rPr>
        <w:t xml:space="preserve">(v) or any call </w:t>
      </w:r>
      <w:r w:rsidRPr="00B96E50">
        <w:rPr>
          <w:snapToGrid/>
          <w:kern w:val="0"/>
          <w:szCs w:val="22"/>
        </w:rPr>
        <w:t>for telemarketing purposes</w:t>
      </w:r>
      <w:r>
        <w:rPr>
          <w:snapToGrid/>
          <w:kern w:val="0"/>
          <w:szCs w:val="22"/>
        </w:rPr>
        <w:t xml:space="preserve"> </w:t>
      </w:r>
      <w:r w:rsidRPr="00B96E50">
        <w:rPr>
          <w:snapToGrid/>
          <w:kern w:val="0"/>
          <w:szCs w:val="22"/>
        </w:rPr>
        <w:t>(or on whose behalf such a call is made) receives a request from a residential telephone subscriber not to receive calls from that person or entity, the person or entity must record the request and place the subscriber's name, if provided, and telephone number on the do-not-call list at the time the request is made. Persons or entities making</w:t>
      </w:r>
      <w:r>
        <w:rPr>
          <w:snapToGrid/>
          <w:kern w:val="0"/>
          <w:szCs w:val="22"/>
        </w:rPr>
        <w:t xml:space="preserve"> such </w:t>
      </w:r>
      <w:r w:rsidRPr="00B96E50">
        <w:rPr>
          <w:snapToGrid/>
          <w:kern w:val="0"/>
          <w:szCs w:val="22"/>
        </w:rPr>
        <w:t>calls</w:t>
      </w:r>
      <w:r>
        <w:rPr>
          <w:snapToGrid/>
          <w:kern w:val="0"/>
          <w:szCs w:val="22"/>
        </w:rPr>
        <w:t xml:space="preserve"> </w:t>
      </w:r>
      <w:r w:rsidRPr="00B96E50">
        <w:rPr>
          <w:snapToGrid/>
          <w:kern w:val="0"/>
          <w:szCs w:val="22"/>
        </w:rPr>
        <w:t xml:space="preserve">(or on whose behalf such calls are made) must honor a residential </w:t>
      </w:r>
      <w:r w:rsidRPr="00B96E50" w:rsidR="00B53D6D">
        <w:rPr>
          <w:snapToGrid/>
          <w:kern w:val="0"/>
          <w:szCs w:val="22"/>
        </w:rPr>
        <w:t>subscriber</w:t>
      </w:r>
      <w:r w:rsidR="00B53D6D">
        <w:rPr>
          <w:snapToGrid/>
          <w:kern w:val="0"/>
          <w:szCs w:val="22"/>
        </w:rPr>
        <w:t>’</w:t>
      </w:r>
      <w:r w:rsidRPr="00B96E50" w:rsidR="00B53D6D">
        <w:rPr>
          <w:snapToGrid/>
          <w:kern w:val="0"/>
          <w:szCs w:val="22"/>
        </w:rPr>
        <w:t xml:space="preserve">s </w:t>
      </w:r>
      <w:r w:rsidRPr="00B96E50">
        <w:rPr>
          <w:snapToGrid/>
          <w:kern w:val="0"/>
          <w:szCs w:val="22"/>
        </w:rPr>
        <w:t xml:space="preserve">do-not-call request within a reasonable time from the date such request is made. </w:t>
      </w:r>
      <w:r w:rsidR="00B53D6D">
        <w:rPr>
          <w:snapToGrid/>
          <w:kern w:val="0"/>
          <w:szCs w:val="22"/>
        </w:rPr>
        <w:t xml:space="preserve"> </w:t>
      </w:r>
      <w:r w:rsidRPr="00B96E50">
        <w:rPr>
          <w:snapToGrid/>
          <w:kern w:val="0"/>
          <w:szCs w:val="22"/>
        </w:rPr>
        <w:t>This period may not excee</w:t>
      </w:r>
      <w:r w:rsidR="000B3549">
        <w:rPr>
          <w:snapToGrid/>
          <w:kern w:val="0"/>
          <w:szCs w:val="22"/>
        </w:rPr>
        <w:t xml:space="preserve">d </w:t>
      </w:r>
      <w:r w:rsidR="000B3549">
        <w:rPr>
          <w:b/>
          <w:bCs/>
          <w:snapToGrid/>
          <w:kern w:val="0"/>
          <w:szCs w:val="22"/>
        </w:rPr>
        <w:t>24 hours</w:t>
      </w:r>
      <w:r w:rsidRPr="00B96E50">
        <w:rPr>
          <w:snapToGrid/>
          <w:kern w:val="0"/>
          <w:szCs w:val="22"/>
        </w:rPr>
        <w:t xml:space="preserve"> from the </w:t>
      </w:r>
      <w:r w:rsidR="000B3549">
        <w:rPr>
          <w:b/>
          <w:bCs/>
          <w:snapToGrid/>
          <w:kern w:val="0"/>
          <w:szCs w:val="22"/>
        </w:rPr>
        <w:t>receipt</w:t>
      </w:r>
      <w:r w:rsidRPr="00B96E50">
        <w:rPr>
          <w:snapToGrid/>
          <w:kern w:val="0"/>
          <w:szCs w:val="22"/>
        </w:rPr>
        <w:t xml:space="preserve"> of such request. </w:t>
      </w:r>
      <w:r w:rsidR="001156EB">
        <w:rPr>
          <w:snapToGrid/>
          <w:kern w:val="0"/>
          <w:szCs w:val="22"/>
        </w:rPr>
        <w:t xml:space="preserve"> </w:t>
      </w:r>
      <w:r w:rsidRPr="00B96E50">
        <w:rPr>
          <w:snapToGrid/>
          <w:kern w:val="0"/>
          <w:szCs w:val="22"/>
        </w:rPr>
        <w:t xml:space="preserve">If such requests are recorded or maintained by a party other than the person or entity on whose behalf the call is made, the person or entity on whose behalf the call is made will be liable for any failures to honor the do-not-call request. </w:t>
      </w:r>
      <w:r w:rsidR="00C53827">
        <w:rPr>
          <w:snapToGrid/>
          <w:kern w:val="0"/>
          <w:szCs w:val="22"/>
        </w:rPr>
        <w:t xml:space="preserve"> </w:t>
      </w:r>
      <w:r w:rsidRPr="00B96E50">
        <w:rPr>
          <w:snapToGrid/>
          <w:kern w:val="0"/>
          <w:szCs w:val="22"/>
        </w:rPr>
        <w:t>A person or entity making a</w:t>
      </w:r>
      <w:r>
        <w:rPr>
          <w:snapToGrid/>
          <w:kern w:val="0"/>
          <w:szCs w:val="22"/>
        </w:rPr>
        <w:t xml:space="preserve">n artificial or prerecorded-voice telephone </w:t>
      </w:r>
      <w:r w:rsidRPr="00B96E50">
        <w:rPr>
          <w:snapToGrid/>
          <w:kern w:val="0"/>
          <w:szCs w:val="22"/>
        </w:rPr>
        <w:t>call</w:t>
      </w:r>
      <w:r>
        <w:rPr>
          <w:snapToGrid/>
          <w:kern w:val="0"/>
          <w:szCs w:val="22"/>
        </w:rPr>
        <w:t xml:space="preserve"> </w:t>
      </w:r>
      <w:r w:rsidRPr="002F3BFB">
        <w:rPr>
          <w:snapToGrid/>
          <w:kern w:val="0"/>
          <w:szCs w:val="22"/>
        </w:rPr>
        <w:t xml:space="preserve">pursuant to </w:t>
      </w:r>
      <w:r w:rsidRPr="002F3BFB">
        <w:rPr>
          <w:snapToGrid/>
          <w:kern w:val="0"/>
          <w:szCs w:val="22"/>
        </w:rPr>
        <w:t>an exemption under §</w:t>
      </w:r>
      <w:r>
        <w:rPr>
          <w:snapToGrid/>
          <w:kern w:val="0"/>
          <w:szCs w:val="22"/>
        </w:rPr>
        <w:t xml:space="preserve"> 64.1200(a)(3)(ii)</w:t>
      </w:r>
      <w:r w:rsidR="00730032">
        <w:rPr>
          <w:snapToGrid/>
          <w:kern w:val="0"/>
          <w:szCs w:val="22"/>
        </w:rPr>
        <w:t xml:space="preserve"> through </w:t>
      </w:r>
      <w:r>
        <w:rPr>
          <w:snapToGrid/>
          <w:kern w:val="0"/>
          <w:szCs w:val="22"/>
        </w:rPr>
        <w:t xml:space="preserve">(v) or any call </w:t>
      </w:r>
      <w:r w:rsidRPr="00B96E50">
        <w:rPr>
          <w:snapToGrid/>
          <w:kern w:val="0"/>
          <w:szCs w:val="22"/>
        </w:rPr>
        <w:t xml:space="preserve">for telemarketing purposes must obtain a </w:t>
      </w:r>
      <w:r w:rsidRPr="00B96E50" w:rsidR="00C53827">
        <w:rPr>
          <w:snapToGrid/>
          <w:kern w:val="0"/>
          <w:szCs w:val="22"/>
        </w:rPr>
        <w:t>consumer</w:t>
      </w:r>
      <w:r w:rsidR="00C53827">
        <w:rPr>
          <w:snapToGrid/>
          <w:kern w:val="0"/>
          <w:szCs w:val="22"/>
        </w:rPr>
        <w:t>’</w:t>
      </w:r>
      <w:r w:rsidRPr="00B96E50" w:rsidR="00C53827">
        <w:rPr>
          <w:snapToGrid/>
          <w:kern w:val="0"/>
          <w:szCs w:val="22"/>
        </w:rPr>
        <w:t xml:space="preserve">s </w:t>
      </w:r>
      <w:r w:rsidRPr="00B96E50">
        <w:rPr>
          <w:snapToGrid/>
          <w:kern w:val="0"/>
          <w:szCs w:val="22"/>
        </w:rPr>
        <w:t xml:space="preserve">prior express permission to share or forward the </w:t>
      </w:r>
      <w:r w:rsidRPr="00B96E50" w:rsidR="00C53827">
        <w:rPr>
          <w:snapToGrid/>
          <w:kern w:val="0"/>
          <w:szCs w:val="22"/>
        </w:rPr>
        <w:t>consumer</w:t>
      </w:r>
      <w:r w:rsidR="00C53827">
        <w:rPr>
          <w:snapToGrid/>
          <w:kern w:val="0"/>
          <w:szCs w:val="22"/>
        </w:rPr>
        <w:t>’</w:t>
      </w:r>
      <w:r w:rsidRPr="00B96E50" w:rsidR="00C53827">
        <w:rPr>
          <w:snapToGrid/>
          <w:kern w:val="0"/>
          <w:szCs w:val="22"/>
        </w:rPr>
        <w:t xml:space="preserve">s </w:t>
      </w:r>
      <w:r w:rsidRPr="00B96E50">
        <w:rPr>
          <w:snapToGrid/>
          <w:kern w:val="0"/>
          <w:szCs w:val="22"/>
        </w:rPr>
        <w:t>request not to be called to a party other than the person or entity on whose behalf a</w:t>
      </w:r>
      <w:r>
        <w:rPr>
          <w:snapToGrid/>
          <w:kern w:val="0"/>
          <w:szCs w:val="22"/>
        </w:rPr>
        <w:t xml:space="preserve"> </w:t>
      </w:r>
      <w:r w:rsidRPr="00B96E50">
        <w:rPr>
          <w:snapToGrid/>
          <w:kern w:val="0"/>
          <w:szCs w:val="22"/>
        </w:rPr>
        <w:t>call is made or an affiliated entity.</w:t>
      </w:r>
    </w:p>
    <w:p w:rsidR="003C108D" w:rsidP="003C108D" w14:paraId="5D48F9C1" w14:textId="54591464">
      <w:pPr>
        <w:widowControl/>
        <w:shd w:val="clear" w:color="auto" w:fill="FFFFFF"/>
        <w:textAlignment w:val="baseline"/>
        <w:rPr>
          <w:snapToGrid/>
          <w:kern w:val="0"/>
          <w:szCs w:val="22"/>
        </w:rPr>
      </w:pPr>
    </w:p>
    <w:p w:rsidR="003C108D" w:rsidP="003C108D" w14:paraId="53A23FAC" w14:textId="77777777">
      <w:pPr>
        <w:widowControl/>
        <w:shd w:val="clear" w:color="auto" w:fill="FFFFFF"/>
        <w:textAlignment w:val="baseline"/>
        <w:rPr>
          <w:snapToGrid/>
          <w:kern w:val="0"/>
          <w:szCs w:val="22"/>
        </w:rPr>
      </w:pPr>
    </w:p>
    <w:p w:rsidR="008441A3" w:rsidP="003C108D" w14:paraId="12718C2B" w14:textId="77777777">
      <w:pPr>
        <w:rPr>
          <w:snapToGrid/>
          <w:kern w:val="0"/>
          <w:szCs w:val="22"/>
        </w:rPr>
        <w:sectPr w:rsidSect="00EB0CF7">
          <w:footerReference w:type="default" r:id="rId14"/>
          <w:endnotePr>
            <w:numFmt w:val="decimal"/>
          </w:endnotePr>
          <w:pgSz w:w="12240" w:h="15840"/>
          <w:pgMar w:top="1440" w:right="1440" w:bottom="720" w:left="1440" w:header="720" w:footer="720" w:gutter="0"/>
          <w:cols w:space="720"/>
          <w:noEndnote/>
          <w:docGrid w:linePitch="299"/>
        </w:sectPr>
      </w:pPr>
      <w:r w:rsidRPr="004E100A">
        <w:rPr>
          <w:snapToGrid/>
          <w:kern w:val="0"/>
          <w:szCs w:val="22"/>
        </w:rPr>
        <w:t>*</w:t>
      </w:r>
      <w:r>
        <w:rPr>
          <w:snapToGrid/>
          <w:kern w:val="0"/>
          <w:szCs w:val="22"/>
        </w:rPr>
        <w:t xml:space="preserve"> * * * *</w:t>
      </w:r>
    </w:p>
    <w:p w:rsidR="003C108D" w:rsidP="003C108D" w14:paraId="291B0991" w14:textId="77777777"/>
    <w:p w:rsidR="003C108D" w:rsidP="008441A3" w14:paraId="0D4ABF25" w14:textId="77777777">
      <w:pPr>
        <w:widowControl/>
        <w:jc w:val="center"/>
        <w:rPr>
          <w:b/>
          <w:bCs/>
        </w:rPr>
      </w:pPr>
      <w:r>
        <w:rPr>
          <w:b/>
          <w:bCs/>
        </w:rPr>
        <w:t>APPENDIX B</w:t>
      </w:r>
    </w:p>
    <w:p w:rsidR="008441A3" w:rsidP="008441A3" w14:paraId="07939C27" w14:textId="77777777">
      <w:pPr>
        <w:widowControl/>
        <w:jc w:val="center"/>
        <w:rPr>
          <w:snapToGrid/>
          <w:kern w:val="0"/>
          <w:szCs w:val="22"/>
        </w:rPr>
      </w:pPr>
    </w:p>
    <w:p w:rsidR="003C108D" w:rsidRPr="001169DC" w:rsidP="003C108D" w14:paraId="44DA3000" w14:textId="77777777">
      <w:pPr>
        <w:spacing w:after="120"/>
        <w:jc w:val="center"/>
        <w:rPr>
          <w:b/>
        </w:rPr>
      </w:pPr>
      <w:r w:rsidRPr="001169DC">
        <w:rPr>
          <w:b/>
        </w:rPr>
        <w:t>Initial Regulatory Flexibility Analysis</w:t>
      </w:r>
    </w:p>
    <w:p w:rsidR="003C108D" w:rsidP="004E7194" w14:paraId="017053CF" w14:textId="77777777">
      <w:pPr>
        <w:pStyle w:val="ParaNum"/>
        <w:numPr>
          <w:ilvl w:val="0"/>
          <w:numId w:val="29"/>
        </w:numPr>
        <w:tabs>
          <w:tab w:val="clear" w:pos="1080"/>
          <w:tab w:val="num" w:pos="1440"/>
        </w:tabs>
      </w:pPr>
      <w:r>
        <w:t>As required by the Regulatory Flexibility Act of 1980, as amended (RFA),</w:t>
      </w:r>
      <w:r>
        <w:rPr>
          <w:vertAlign w:val="superscript"/>
        </w:rPr>
        <w:footnoteReference w:id="61"/>
      </w:r>
      <w:r>
        <w:t xml:space="preserve"> the Commission has prepared this Initial Regulatory Flexibility Analysis (IRFA) of the possible significant economic impact on a substantial number of small entities by the policies and rules proposed in this </w:t>
      </w:r>
      <w:r w:rsidRPr="00562F82">
        <w:rPr>
          <w:i/>
        </w:rPr>
        <w:t xml:space="preserve">Notice of Proposed Rulemaking </w:t>
      </w:r>
      <w:r>
        <w:t>(</w:t>
      </w:r>
      <w:r w:rsidRPr="00562F82">
        <w:rPr>
          <w:iCs/>
        </w:rPr>
        <w:t>NPRM</w:t>
      </w:r>
      <w:r>
        <w:t xml:space="preserve">).  Written public comments are requested on this IRFA.  Comments must be identified as responses to the IRFA and must be filed by the deadlines for comments on the </w:t>
      </w:r>
      <w:r w:rsidRPr="00562F82">
        <w:rPr>
          <w:iCs/>
        </w:rPr>
        <w:t xml:space="preserve">NPRM </w:t>
      </w:r>
      <w:r>
        <w:t xml:space="preserve">provided on the first page of this document.  The Commission will send a copy of the </w:t>
      </w:r>
      <w:r w:rsidRPr="00562F82">
        <w:rPr>
          <w:iCs/>
        </w:rPr>
        <w:t>NPRM</w:t>
      </w:r>
      <w:r>
        <w:t>, including this IRFA, to the Chief Counsel for Advocacy of the Small Business Administration.</w:t>
      </w:r>
      <w:r>
        <w:rPr>
          <w:vertAlign w:val="superscript"/>
        </w:rPr>
        <w:footnoteReference w:id="62"/>
      </w:r>
      <w:r>
        <w:t xml:space="preserve">  In addition, the </w:t>
      </w:r>
      <w:r w:rsidRPr="00562F82">
        <w:rPr>
          <w:iCs/>
        </w:rPr>
        <w:t xml:space="preserve">NPRM </w:t>
      </w:r>
      <w:r>
        <w:t>and IRFA (or summaries thereof) will be published in the Federal Register.</w:t>
      </w:r>
      <w:r>
        <w:rPr>
          <w:vertAlign w:val="superscript"/>
        </w:rPr>
        <w:footnoteReference w:id="63"/>
      </w:r>
    </w:p>
    <w:p w:rsidR="003C108D" w:rsidRPr="000B1051" w:rsidP="002B1284" w14:paraId="4D4BDD94" w14:textId="77777777">
      <w:pPr>
        <w:pStyle w:val="Heading2"/>
      </w:pPr>
      <w:bookmarkStart w:id="43" w:name="_Toc10643951"/>
      <w:bookmarkStart w:id="44" w:name="_Toc10725992"/>
      <w:r w:rsidRPr="000B1051">
        <w:t>Need for, and Objectives of, the Proposed Rules</w:t>
      </w:r>
      <w:bookmarkEnd w:id="43"/>
      <w:bookmarkEnd w:id="44"/>
    </w:p>
    <w:p w:rsidR="003C108D" w:rsidP="004E7194" w14:paraId="72804524" w14:textId="720829E4">
      <w:pPr>
        <w:pStyle w:val="ParaNum"/>
      </w:pPr>
      <w:r>
        <w:t xml:space="preserve">The </w:t>
      </w:r>
      <w:r>
        <w:rPr>
          <w:iCs/>
        </w:rPr>
        <w:t>NPRM</w:t>
      </w:r>
      <w:r>
        <w:t xml:space="preserve"> seeks comment on </w:t>
      </w:r>
      <w:r w:rsidR="00B3017B">
        <w:t xml:space="preserve">proposals </w:t>
      </w:r>
      <w:r w:rsidRPr="00533228" w:rsidR="00533228">
        <w:t xml:space="preserve">to clarify and strengthen the right of consumers to grant or revoke consent to receive robocalls and </w:t>
      </w:r>
      <w:r w:rsidRPr="00533228" w:rsidR="00533228">
        <w:t>robotexts</w:t>
      </w:r>
      <w:r w:rsidRPr="00533228" w:rsidR="00533228">
        <w:t xml:space="preserve"> under the TCPA</w:t>
      </w:r>
      <w:r>
        <w:t>.</w:t>
      </w:r>
      <w:r>
        <w:rPr>
          <w:rStyle w:val="FootnoteReference"/>
        </w:rPr>
        <w:footnoteReference w:id="64"/>
      </w:r>
      <w:r>
        <w:t xml:space="preserve">  </w:t>
      </w:r>
      <w:r w:rsidR="00533228">
        <w:t xml:space="preserve">Under the </w:t>
      </w:r>
      <w:r w:rsidR="00FC4576">
        <w:t>Telephone Consumer Protection Act of 1991 (</w:t>
      </w:r>
      <w:r w:rsidR="00533228">
        <w:t>TCPA</w:t>
      </w:r>
      <w:r w:rsidR="00FC4576">
        <w:t>)</w:t>
      </w:r>
      <w:r w:rsidR="00B3017B">
        <w:t>,</w:t>
      </w:r>
      <w:r w:rsidR="007135EE">
        <w:t xml:space="preserve"> certain types of calls and texts may only be sent with the prior express consent of the called party.</w:t>
      </w:r>
      <w:r>
        <w:rPr>
          <w:rStyle w:val="FootnoteReference"/>
        </w:rPr>
        <w:footnoteReference w:id="65"/>
      </w:r>
      <w:r w:rsidR="007135EE">
        <w:t xml:space="preserve">  The ability of consumers to exercise this right </w:t>
      </w:r>
      <w:r w:rsidR="00B61608">
        <w:t xml:space="preserve">to provide or revoke consent </w:t>
      </w:r>
      <w:r w:rsidR="007135EE">
        <w:t>is essential to protecting the privacy rights of consumer</w:t>
      </w:r>
      <w:r w:rsidR="00B3017B">
        <w:t>s</w:t>
      </w:r>
      <w:r w:rsidR="007135EE">
        <w:t xml:space="preserve"> by allowing them to decide which callers may communicate with them via robocalls and </w:t>
      </w:r>
      <w:r w:rsidR="007135EE">
        <w:t>robotexts</w:t>
      </w:r>
      <w:r w:rsidR="007135EE">
        <w:t xml:space="preserve">. </w:t>
      </w:r>
    </w:p>
    <w:p w:rsidR="003C108D" w:rsidP="00105F6B" w14:paraId="3C5DC8AA" w14:textId="050E7A84">
      <w:pPr>
        <w:pStyle w:val="ParaNum"/>
      </w:pPr>
      <w:r>
        <w:t xml:space="preserve">The </w:t>
      </w:r>
      <w:r>
        <w:rPr>
          <w:iCs/>
        </w:rPr>
        <w:t xml:space="preserve">NPRM </w:t>
      </w:r>
      <w:r w:rsidR="004A5791">
        <w:t>proposes to</w:t>
      </w:r>
      <w:r>
        <w:t xml:space="preserve"> </w:t>
      </w:r>
      <w:r w:rsidR="007135EE">
        <w:t>codify prior Commission rulings and adop</w:t>
      </w:r>
      <w:r w:rsidR="004A5791">
        <w:t>t</w:t>
      </w:r>
      <w:r w:rsidR="007135EE">
        <w:t xml:space="preserve"> new requirements to ensure that the requirement</w:t>
      </w:r>
      <w:r w:rsidR="004A5791">
        <w:t>s</w:t>
      </w:r>
      <w:r w:rsidR="007135EE">
        <w:t xml:space="preserve"> relating to providing or revoking consent under the TCPA are clear to both callers and consumers</w:t>
      </w:r>
      <w:r w:rsidR="00390850">
        <w:t xml:space="preserve">.  </w:t>
      </w:r>
      <w:r w:rsidRPr="00390850" w:rsidR="00390850">
        <w:t xml:space="preserve">Specifically, </w:t>
      </w:r>
      <w:r w:rsidR="00FC4576">
        <w:t xml:space="preserve">the </w:t>
      </w:r>
      <w:r w:rsidR="00FC4576">
        <w:rPr>
          <w:i/>
          <w:iCs/>
        </w:rPr>
        <w:t xml:space="preserve">NPRM </w:t>
      </w:r>
      <w:r w:rsidRPr="00390850" w:rsidR="00390850">
        <w:t>propose</w:t>
      </w:r>
      <w:r w:rsidR="00FC4576">
        <w:t>s</w:t>
      </w:r>
      <w:r w:rsidRPr="00390850" w:rsidR="00390850">
        <w:t xml:space="preserve"> to</w:t>
      </w:r>
      <w:r w:rsidR="0094095A">
        <w:t xml:space="preserve"> make</w:t>
      </w:r>
      <w:r w:rsidRPr="0094095A" w:rsidR="0094095A">
        <w:t xml:space="preserve"> clear that consumers may revoke prior express consent in any reasonable manner that clearly expresses a desire not to receive further calls or text messages, including using words such as “stop,” “revoke,” “end,” or “opt out,” and that callers may not infringe on that right by designating an exclusive means to revoke consent that precludes the use of any other reasonable method. </w:t>
      </w:r>
      <w:r w:rsidR="00FC4576">
        <w:t xml:space="preserve"> The </w:t>
      </w:r>
      <w:r w:rsidR="00FC4576">
        <w:rPr>
          <w:i/>
          <w:iCs/>
        </w:rPr>
        <w:t>NPRM</w:t>
      </w:r>
      <w:r w:rsidR="00FC4576">
        <w:t xml:space="preserve"> also proposes to </w:t>
      </w:r>
      <w:r w:rsidRPr="00390850" w:rsidR="00390850">
        <w:t>require that callers honor do-not-call and revocation requests within a reasonable time not to exceed 24 hours of receipt</w:t>
      </w:r>
      <w:r w:rsidR="00FA0C56">
        <w:t>.</w:t>
      </w:r>
      <w:r w:rsidR="00BD106C">
        <w:t xml:space="preserve"> </w:t>
      </w:r>
      <w:r w:rsidR="00FA0C56">
        <w:t xml:space="preserve"> Further, the </w:t>
      </w:r>
      <w:r w:rsidR="00FA0C56">
        <w:rPr>
          <w:i/>
          <w:iCs/>
        </w:rPr>
        <w:t>NPRM</w:t>
      </w:r>
      <w:r w:rsidR="00FA0C56">
        <w:t xml:space="preserve"> reiterates</w:t>
      </w:r>
      <w:r w:rsidRPr="00E23F3A" w:rsidR="00E23F3A">
        <w:t xml:space="preserve"> that consumers only need to revoke consent once to stop getting all calls and texts from a specific entity</w:t>
      </w:r>
      <w:r w:rsidR="00FA0C56">
        <w:t>.</w:t>
      </w:r>
      <w:r w:rsidR="00C74CF7">
        <w:t xml:space="preserve">  It also proposes to codify that a one-time text message confirming a consumer’s request that no further text messages be sent does not violate the TCPA or the Commission’s rules as long as the confirmation text merely confirms the called party’s opt-out request, does not include any marketing or promotional information, and the text is the only additional message sent to the called party after receipt of the opt-out request.</w:t>
      </w:r>
      <w:r>
        <w:rPr>
          <w:rStyle w:val="FootnoteReference"/>
        </w:rPr>
        <w:footnoteReference w:id="66"/>
      </w:r>
      <w:r w:rsidR="00C74CF7">
        <w:t xml:space="preserve">  Finally, the </w:t>
      </w:r>
      <w:r w:rsidR="00C74CF7">
        <w:rPr>
          <w:i/>
          <w:iCs/>
        </w:rPr>
        <w:t>NPRM</w:t>
      </w:r>
      <w:r w:rsidR="00C74CF7">
        <w:t xml:space="preserve"> proposes to require wireless providers to honor a customer’s request to cease autodialed, prerecorded voice, and artificial voice calls, and automated texts.</w:t>
      </w:r>
      <w:r w:rsidRPr="00390850" w:rsidR="00390850">
        <w:t>.</w:t>
      </w:r>
    </w:p>
    <w:p w:rsidR="003C108D" w:rsidP="002B1284" w14:paraId="74E8009D" w14:textId="77777777">
      <w:pPr>
        <w:pStyle w:val="Heading2"/>
      </w:pPr>
      <w:bookmarkStart w:id="45" w:name="_Toc10643952"/>
      <w:bookmarkStart w:id="46" w:name="_Toc10725993"/>
      <w:r>
        <w:t>Legal Basis</w:t>
      </w:r>
      <w:bookmarkEnd w:id="45"/>
      <w:bookmarkEnd w:id="46"/>
    </w:p>
    <w:p w:rsidR="003C108D" w:rsidP="00D24386" w14:paraId="036C8598" w14:textId="2098B1BF">
      <w:pPr>
        <w:pStyle w:val="ParaNum"/>
        <w:widowControl/>
      </w:pPr>
      <w:r>
        <w:t xml:space="preserve">The proposed rules are authorized under sections </w:t>
      </w:r>
      <w:r>
        <w:rPr>
          <w:bCs/>
        </w:rPr>
        <w:t>4(</w:t>
      </w:r>
      <w:r>
        <w:rPr>
          <w:bCs/>
        </w:rPr>
        <w:t>i</w:t>
      </w:r>
      <w:r>
        <w:rPr>
          <w:bCs/>
        </w:rPr>
        <w:t>), 4(j), and 227</w:t>
      </w:r>
      <w:r>
        <w:t xml:space="preserve"> of the Communications Act of 1934, as amended, 47 U.S.C. §§ 154(</w:t>
      </w:r>
      <w:r>
        <w:t>i</w:t>
      </w:r>
      <w:r>
        <w:t>), 154(j), 227</w:t>
      </w:r>
      <w:r w:rsidR="00685B74">
        <w:t xml:space="preserve">, and </w:t>
      </w:r>
      <w:r w:rsidR="00DB11D4">
        <w:t>s</w:t>
      </w:r>
      <w:r w:rsidR="00685B74">
        <w:t>ection 8 of the TRACED Act</w:t>
      </w:r>
      <w:r>
        <w:t>.</w:t>
      </w:r>
      <w:r w:rsidR="00685B74">
        <w:t xml:space="preserve">  </w:t>
      </w:r>
    </w:p>
    <w:p w:rsidR="003C108D" w:rsidP="002B1284" w14:paraId="754DC3C0" w14:textId="77777777">
      <w:pPr>
        <w:pStyle w:val="Heading2"/>
      </w:pPr>
      <w:bookmarkStart w:id="47" w:name="_Toc10643953"/>
      <w:bookmarkStart w:id="48" w:name="_Toc10725994"/>
      <w:r>
        <w:t>Description and Estimate of the Number of Small Entities to Which the Proposed Rules Will Apply</w:t>
      </w:r>
      <w:bookmarkEnd w:id="47"/>
      <w:bookmarkEnd w:id="48"/>
    </w:p>
    <w:p w:rsidR="003C108D" w:rsidP="00105F6B" w14:paraId="435B8B0B" w14:textId="5EAEF997">
      <w:pPr>
        <w:pStyle w:val="ParaNum"/>
      </w:pPr>
      <w:r>
        <w:t>The RFA directs agencies to provide a description of and, where feasible, an estimate of the number of small entities that may be affected by the rules adopted herein.</w:t>
      </w:r>
      <w:r>
        <w:rPr>
          <w:vertAlign w:val="superscript"/>
        </w:rPr>
        <w:footnoteReference w:id="67"/>
      </w:r>
      <w:r>
        <w:t xml:space="preserve">  The RFA generally defines the term “small entity” as having the same meaning as the terms “small business,” “small organization,” and “small governmental jurisdiction.”</w:t>
      </w:r>
      <w:r>
        <w:rPr>
          <w:vertAlign w:val="superscript"/>
        </w:rPr>
        <w:footnoteReference w:id="68"/>
      </w:r>
      <w:r>
        <w:t xml:space="preserve">  In addition, the term “small business” has the same meaning as the term “small-business concern” under the Small Business Act.</w:t>
      </w:r>
      <w:r>
        <w:rPr>
          <w:vertAlign w:val="superscript"/>
        </w:rPr>
        <w:footnoteReference w:id="69"/>
      </w:r>
      <w:r>
        <w:t xml:space="preserve">  A “small-business concern” is one which: (1) is independently owned and operated; (2) is not dominant in its field of operation; and (3) satisfies any additional criteria established by the SBA.</w:t>
      </w:r>
      <w:r>
        <w:rPr>
          <w:vertAlign w:val="superscript"/>
        </w:rPr>
        <w:footnoteReference w:id="70"/>
      </w:r>
    </w:p>
    <w:p w:rsidR="0004262B" w:rsidP="0004262B" w14:paraId="33D6DEB3" w14:textId="77777777">
      <w:pPr>
        <w:pStyle w:val="ParaNum"/>
      </w:pPr>
      <w:bookmarkStart w:id="49" w:name="_Hlk52979113"/>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rPr>
        <w:footnoteReference w:id="71"/>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72"/>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73"/>
      </w:r>
    </w:p>
    <w:p w:rsidR="0004262B" w:rsidP="00D24386" w14:paraId="552A3FFC" w14:textId="77777777">
      <w:pPr>
        <w:pStyle w:val="ParaNum"/>
        <w:widowControl/>
      </w:pPr>
      <w:r w:rsidRPr="00931930">
        <w:t>Next, the type of small entity described as a “small organization” is generally “any not-for-profit enterprise which is independently owned and operated and is not dominant in its field.”</w:t>
      </w:r>
      <w:r>
        <w:rPr>
          <w:rStyle w:val="FootnoteReference"/>
        </w:rPr>
        <w:footnoteReference w:id="74"/>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75"/>
      </w:r>
      <w:r w:rsidRPr="00931930">
        <w:t xml:space="preserve">  Nationwide, for tax year 20</w:t>
      </w:r>
      <w:r>
        <w:t>20</w:t>
      </w:r>
      <w:r w:rsidRPr="00931930">
        <w:t xml:space="preserve">, there </w:t>
      </w:r>
      <w:r w:rsidRPr="00931930">
        <w:t xml:space="preserve">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76"/>
      </w:r>
      <w:r w:rsidRPr="00931930">
        <w:t xml:space="preserve"> </w:t>
      </w:r>
    </w:p>
    <w:p w:rsidR="0004262B" w:rsidP="0004262B" w14:paraId="79A9EEDE" w14:textId="50E580E9">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77"/>
      </w:r>
      <w:r w:rsidRPr="00495F27">
        <w:t xml:space="preserve">  U.S. Census Bureau data from the 201</w:t>
      </w:r>
      <w:r>
        <w:t>7</w:t>
      </w:r>
      <w:r w:rsidRPr="00495F27">
        <w:t xml:space="preserve"> Census of Governments</w:t>
      </w:r>
      <w:r>
        <w:rPr>
          <w:rStyle w:val="FootnoteReference"/>
        </w:rPr>
        <w:footnoteReference w:id="78"/>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79"/>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rPr>
        <w:footnoteReference w:id="80"/>
      </w:r>
      <w:r w:rsidRPr="00BD4AD6">
        <w:t xml:space="preserve"> municipal</w:t>
      </w:r>
      <w:r>
        <w:t>,</w:t>
      </w:r>
      <w:r w:rsidRPr="00BD4AD6">
        <w:t xml:space="preserve"> and town or township</w:t>
      </w:r>
      <w:r>
        <w:rPr>
          <w:rStyle w:val="FootnoteReference"/>
        </w:rPr>
        <w:footnoteReference w:id="81"/>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rPr>
        <w:footnoteReference w:id="82"/>
      </w:r>
      <w:r>
        <w:t xml:space="preserve"> </w:t>
      </w:r>
      <w:r w:rsidRPr="00495F27">
        <w:t xml:space="preserve">with </w:t>
      </w:r>
      <w:r>
        <w:t xml:space="preserve">enrollment </w:t>
      </w:r>
      <w:r w:rsidRPr="00495F27">
        <w:t>populations of less than 50,000</w:t>
      </w:r>
      <w:r w:rsidRPr="001C5437">
        <w:t>.</w:t>
      </w:r>
      <w:r>
        <w:rPr>
          <w:rStyle w:val="FootnoteReference"/>
        </w:rPr>
        <w:footnoteReference w:id="83"/>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84"/>
      </w:r>
      <w:bookmarkEnd w:id="49"/>
    </w:p>
    <w:p w:rsidR="003C108D" w:rsidP="00105F6B" w14:paraId="429C8CB6" w14:textId="3C660164">
      <w:pPr>
        <w:pStyle w:val="ParaNum"/>
        <w:rPr>
          <w:szCs w:val="22"/>
        </w:rPr>
      </w:pPr>
      <w:r>
        <w:rPr>
          <w:i/>
          <w:iCs/>
        </w:rPr>
        <w:t>Telemarketing Bureaus and Other Contact Centers</w:t>
      </w:r>
      <w:r>
        <w:rPr>
          <w:i/>
          <w:iCs/>
          <w:szCs w:val="22"/>
        </w:rPr>
        <w:t>.</w:t>
      </w:r>
      <w:r>
        <w:rPr>
          <w:szCs w:val="22"/>
        </w:rPr>
        <w:t xml:space="preserve">  </w:t>
      </w:r>
      <w:r w:rsidRPr="006A0614" w:rsidR="006A0614">
        <w:rPr>
          <w:szCs w:val="22"/>
        </w:rPr>
        <w:t xml:space="preserve">This industry comprises establishments primarily engaged in operating call centers that initiate or receive communications for </w:t>
      </w:r>
      <w:r w:rsidRPr="006A0614" w:rsidR="006A0614">
        <w:rPr>
          <w:szCs w:val="22"/>
        </w:rPr>
        <w:t>others-via telephone, facsimile, email, or other communication modes-for purposes such as (1) promoting clients products or services, (2) taking orders for clients, (3) soliciting contributions for a client, and (4) providing information or assistance regarding a client's products or services.</w:t>
      </w:r>
      <w:r>
        <w:rPr>
          <w:szCs w:val="22"/>
          <w:vertAlign w:val="superscript"/>
        </w:rPr>
        <w:footnoteReference w:id="85"/>
      </w:r>
      <w:r w:rsidRPr="006A0614" w:rsidR="006A0614">
        <w:rPr>
          <w:szCs w:val="22"/>
        </w:rPr>
        <w:t xml:space="preserve">  These establishments do not own the product or provide the services they are representing on behalf of clients.</w:t>
      </w:r>
      <w:r>
        <w:rPr>
          <w:szCs w:val="22"/>
          <w:vertAlign w:val="superscript"/>
        </w:rPr>
        <w:footnoteReference w:id="86"/>
      </w:r>
      <w:r w:rsidRPr="006A0614" w:rsidR="006A0614">
        <w:rPr>
          <w:szCs w:val="22"/>
        </w:rPr>
        <w:t xml:space="preserve">  The SBA small business size standard for this industry classifies firms having $16.5 million or less in annual receipts as small.</w:t>
      </w:r>
      <w:r>
        <w:rPr>
          <w:szCs w:val="22"/>
          <w:vertAlign w:val="superscript"/>
        </w:rPr>
        <w:footnoteReference w:id="87"/>
      </w:r>
      <w:r w:rsidRPr="006A0614" w:rsidR="006A0614">
        <w:rPr>
          <w:szCs w:val="22"/>
        </w:rPr>
        <w:t xml:space="preserve">  According to U.S. Census Bureau data for 2017, there were 2,250 firms in this industry that operated for the entire year.</w:t>
      </w:r>
      <w:r>
        <w:rPr>
          <w:szCs w:val="22"/>
          <w:vertAlign w:val="superscript"/>
        </w:rPr>
        <w:footnoteReference w:id="88"/>
      </w:r>
      <w:r w:rsidRPr="006A0614" w:rsidR="006A0614">
        <w:rPr>
          <w:szCs w:val="22"/>
        </w:rPr>
        <w:t xml:space="preserve">  Of this number 1,435 firms had revenue of less than $10 million.</w:t>
      </w:r>
      <w:r>
        <w:rPr>
          <w:szCs w:val="22"/>
          <w:vertAlign w:val="superscript"/>
        </w:rPr>
        <w:footnoteReference w:id="89"/>
      </w:r>
      <w:r w:rsidRPr="006A0614" w:rsidR="006A0614">
        <w:rPr>
          <w:szCs w:val="22"/>
        </w:rPr>
        <w:t xml:space="preserve">  Based on this information, the majority of firms in this industry can be considered small under the SBA small business size standard</w:t>
      </w:r>
      <w:r w:rsidR="006A0614">
        <w:rPr>
          <w:szCs w:val="22"/>
        </w:rPr>
        <w:t>.</w:t>
      </w:r>
    </w:p>
    <w:p w:rsidR="003C108D" w:rsidRPr="0004262B" w:rsidP="00D24386" w14:paraId="41B03729" w14:textId="7A118D4B">
      <w:pPr>
        <w:pStyle w:val="ParaNum"/>
        <w:widowControl/>
        <w:rPr>
          <w:szCs w:val="22"/>
        </w:rPr>
      </w:pPr>
      <w:r>
        <w:rPr>
          <w:i/>
          <w:szCs w:val="22"/>
        </w:rPr>
        <w:t>Wireless Telecommunications Carriers (except Satellite).</w:t>
      </w:r>
      <w:r>
        <w:rPr>
          <w:i/>
        </w:rPr>
        <w:t xml:space="preserve"> </w:t>
      </w:r>
      <w:r>
        <w:t xml:space="preserve"> </w:t>
      </w:r>
      <w:r w:rsidRPr="006A0614" w:rsidR="006A0614">
        <w:t>This industry comprises establishments engaged in operating and maintaining switching and transmission facilities to provide communications via the airwaves.</w:t>
      </w:r>
      <w:r>
        <w:rPr>
          <w:vertAlign w:val="superscript"/>
        </w:rPr>
        <w:footnoteReference w:id="90"/>
      </w:r>
      <w:r w:rsidRPr="006A0614" w:rsidR="006A0614">
        <w:t xml:space="preserve">  Establishments in this industry have spectrum licenses and provide services using that spectrum, such as cellular services, paging services, wireless Internet access, and wireless video services.</w:t>
      </w:r>
      <w:r>
        <w:rPr>
          <w:vertAlign w:val="superscript"/>
        </w:rPr>
        <w:footnoteReference w:id="91"/>
      </w:r>
      <w:r w:rsidRPr="006A0614" w:rsidR="006A0614">
        <w:t xml:space="preserve">  The SBA size standard for this industry classifies a business as small if it has 1,500 or fewer employees.</w:t>
      </w:r>
      <w:r>
        <w:rPr>
          <w:vertAlign w:val="superscript"/>
        </w:rPr>
        <w:footnoteReference w:id="92"/>
      </w:r>
      <w:r w:rsidRPr="006A0614" w:rsidR="006A0614">
        <w:rPr>
          <w:vertAlign w:val="superscript"/>
        </w:rPr>
        <w:t xml:space="preserve"> </w:t>
      </w:r>
      <w:r w:rsidRPr="006A0614" w:rsidR="006A0614">
        <w:t xml:space="preserve"> U.S. Census Bureau data for 2017 show that there were 2,893 firms in this industry that operated for the entire year.</w:t>
      </w:r>
      <w:r>
        <w:rPr>
          <w:vertAlign w:val="superscript"/>
        </w:rPr>
        <w:footnoteReference w:id="93"/>
      </w:r>
      <w:r w:rsidRPr="006A0614" w:rsidR="006A0614">
        <w:t xml:space="preserve">  Of that number, 2,837 firms employed fewer than 250 employees.</w:t>
      </w:r>
      <w:r>
        <w:rPr>
          <w:vertAlign w:val="superscript"/>
        </w:rPr>
        <w:footnoteReference w:id="94"/>
      </w:r>
      <w:r w:rsidRPr="006A0614" w:rsidR="006A0614">
        <w:t xml:space="preserve">  Additionally, based on Commission data in the 2022 Universal Service Monitoring Report, as of December 31, 2021, there were 594 providers that reported they were engaged in the provision of wireless services.</w:t>
      </w:r>
      <w:r>
        <w:rPr>
          <w:vertAlign w:val="superscript"/>
        </w:rPr>
        <w:footnoteReference w:id="95"/>
      </w:r>
      <w:r w:rsidRPr="006A0614" w:rsidR="006A0614">
        <w:t xml:space="preserve">  Of these providers, the Commission estimates that 511 providers have 1,500 or fewer </w:t>
      </w:r>
      <w:r w:rsidRPr="006A0614" w:rsidR="006A0614">
        <w:t>employees.</w:t>
      </w:r>
      <w:r>
        <w:rPr>
          <w:vertAlign w:val="superscript"/>
        </w:rPr>
        <w:footnoteReference w:id="96"/>
      </w:r>
      <w:r w:rsidRPr="006A0614" w:rsidR="006A0614">
        <w:t xml:space="preserve">  Consequently, using the SBA’s small business size standard, most of these providers can be considered small entities. </w:t>
      </w:r>
      <w:r>
        <w:t xml:space="preserve">  </w:t>
      </w:r>
    </w:p>
    <w:p w:rsidR="003C108D" w:rsidP="002B1284" w14:paraId="2040E8CD" w14:textId="77777777">
      <w:pPr>
        <w:pStyle w:val="Heading2"/>
      </w:pPr>
      <w:bookmarkStart w:id="65" w:name="_Toc10643957"/>
      <w:bookmarkStart w:id="66" w:name="_Toc10725995"/>
      <w:r>
        <w:t>Description of Projected Reporting, Recordkeeping, and Other Compliance Requirements</w:t>
      </w:r>
      <w:bookmarkEnd w:id="65"/>
      <w:bookmarkEnd w:id="66"/>
    </w:p>
    <w:p w:rsidR="003C108D" w:rsidP="00105F6B" w14:paraId="752FD032" w14:textId="12BE2973">
      <w:pPr>
        <w:pStyle w:val="ParaNum"/>
      </w:pPr>
      <w:r w:rsidRPr="00D549EB">
        <w:t xml:space="preserve">In cases where consumers invoke their right to grant or revoke consent to small entity callers to receive robocalls and </w:t>
      </w:r>
      <w:r w:rsidRPr="00D549EB">
        <w:t>robotexts</w:t>
      </w:r>
      <w:r w:rsidRPr="00D549EB">
        <w:t xml:space="preserve"> under the TCPA, these callers may need to implement new methods to record and track such requests to honor them within the specified timeframes.  At this time however, the Commission is not in a position to determine whether, if adopted, our proposals and the matters upon which we seek comment will require small entities to hire professionals to comply, and cannot quantify the cost of compliance with the potential rule changes discussed herein.  We anticipate the information we receive in comments including where requested, cost and benefit analyses, will help the Commission identify and evaluate additional relevant compliance matters for small entities, including compliance costs and other burdens that may result from the proposals and inquiries we make in the</w:t>
      </w:r>
      <w:r w:rsidRPr="00D549EB">
        <w:rPr>
          <w:i/>
          <w:iCs/>
        </w:rPr>
        <w:t xml:space="preserve"> NPRM</w:t>
      </w:r>
      <w:r w:rsidRPr="00D549EB">
        <w:t>.</w:t>
      </w:r>
      <w:r w:rsidR="00FC2AED">
        <w:t xml:space="preserve">  </w:t>
      </w:r>
    </w:p>
    <w:p w:rsidR="003C108D" w:rsidP="002B1284" w14:paraId="4652F231" w14:textId="77777777">
      <w:pPr>
        <w:pStyle w:val="Heading2"/>
      </w:pPr>
      <w:bookmarkStart w:id="67" w:name="_Toc10643958"/>
      <w:bookmarkStart w:id="68" w:name="_Toc10725996"/>
      <w:r>
        <w:t>Steps Taken to Minimize Significant Economic Impact on Small Entities, and Significant Alternatives Considered</w:t>
      </w:r>
      <w:bookmarkEnd w:id="67"/>
      <w:bookmarkEnd w:id="68"/>
    </w:p>
    <w:p w:rsidR="003C108D" w:rsidP="00105F6B" w14:paraId="77222E85" w14:textId="5895F7AF">
      <w:pPr>
        <w:pStyle w:val="ParaNum"/>
      </w:pPr>
      <w:r>
        <w:t>The RFA requires an agency to describe any significant alternatives</w:t>
      </w:r>
      <w:r w:rsidR="00D549EB">
        <w:t>, specifically small business alternatives,</w:t>
      </w:r>
      <w:r>
        <w:t xml:space="preserve"> that it has considered in reaching its proposed approach, which may include the following four alternatives (among others): </w:t>
      </w:r>
      <w:r w:rsidR="00D549EB">
        <w:t>“</w:t>
      </w:r>
      <w:r>
        <w:t xml:space="preserve">(1) the establishment of differing compliance or reporting requirements or timetables that take into account the resources available to small entities; (2) the clarification, consolidation, or simplification of compliance or reporting requirements under the rule for </w:t>
      </w:r>
      <w:r w:rsidR="00D549EB">
        <w:t>such</w:t>
      </w:r>
      <w:r w:rsidR="00BD106C">
        <w:t xml:space="preserve"> </w:t>
      </w:r>
      <w:r>
        <w:t xml:space="preserve">small entities; (3) the use of performance, rather than design, standards; and (4) an exemption from coverage of the rule, or any part thereof, for </w:t>
      </w:r>
      <w:r w:rsidR="00D549EB">
        <w:t xml:space="preserve">such </w:t>
      </w:r>
      <w:r>
        <w:t>small entities.</w:t>
      </w:r>
      <w:r w:rsidR="00D549EB">
        <w:t>”</w:t>
      </w:r>
      <w:r>
        <w:rPr>
          <w:vertAlign w:val="superscript"/>
        </w:rPr>
        <w:footnoteReference w:id="97"/>
      </w:r>
    </w:p>
    <w:p w:rsidR="003C108D" w:rsidP="00105F6B" w14:paraId="755F93A8" w14:textId="264DA977">
      <w:pPr>
        <w:pStyle w:val="ParaNum"/>
      </w:pPr>
      <w:r>
        <w:t xml:space="preserve">The </w:t>
      </w:r>
      <w:r w:rsidRPr="00377517">
        <w:rPr>
          <w:i/>
        </w:rPr>
        <w:t>NPRM</w:t>
      </w:r>
      <w:r>
        <w:rPr>
          <w:iCs/>
        </w:rPr>
        <w:t xml:space="preserve"> </w:t>
      </w:r>
      <w:r>
        <w:t xml:space="preserve">specifically seeks comment on </w:t>
      </w:r>
      <w:r w:rsidR="00393349">
        <w:t xml:space="preserve">any costs or burdens imposed on callers to implement any of the proposals set forth in the </w:t>
      </w:r>
      <w:r w:rsidRPr="00377517" w:rsidR="00393349">
        <w:rPr>
          <w:i/>
          <w:iCs/>
        </w:rPr>
        <w:t>NPRM</w:t>
      </w:r>
      <w:r w:rsidR="00F53DCE">
        <w:t xml:space="preserve"> which could help the Commission identify burdens for small entities and other actions that can be taken to minimize impact on small entities</w:t>
      </w:r>
      <w:r w:rsidR="00393349">
        <w:t>.</w:t>
      </w:r>
      <w:r>
        <w:t xml:space="preserve"> </w:t>
      </w:r>
      <w:r w:rsidR="00393349">
        <w:t xml:space="preserve"> For example, the </w:t>
      </w:r>
      <w:r w:rsidRPr="00377517" w:rsidR="00393349">
        <w:rPr>
          <w:i/>
          <w:iCs/>
        </w:rPr>
        <w:t>NPRM</w:t>
      </w:r>
      <w:r w:rsidR="00393349">
        <w:t xml:space="preserve"> proposes and seeks comment on what constitutes a “reasonable” manner to revoke </w:t>
      </w:r>
      <w:r w:rsidR="001156EB">
        <w:t>consent,</w:t>
      </w:r>
      <w:r w:rsidR="00393349">
        <w:t xml:space="preserve"> noting that it is not without limitation.  </w:t>
      </w:r>
      <w:r w:rsidR="00F53DCE">
        <w:t>An alternative consideration is whether c</w:t>
      </w:r>
      <w:r w:rsidR="00393349">
        <w:t xml:space="preserve">allers will have an opportunity to demonstrate that a consumer has not used a </w:t>
      </w:r>
      <w:r w:rsidR="001156EB">
        <w:t>reasonable</w:t>
      </w:r>
      <w:r w:rsidR="00393349">
        <w:t xml:space="preserve"> means to convey their revocation of consent request.  </w:t>
      </w:r>
      <w:r w:rsidR="00F53DCE">
        <w:t xml:space="preserve">Allowing this flexibility may reduce the burden on small entities’ ability to respond to process revocation requests.  </w:t>
      </w:r>
      <w:r>
        <w:t xml:space="preserve">The </w:t>
      </w:r>
      <w:r w:rsidRPr="00377517">
        <w:rPr>
          <w:i/>
        </w:rPr>
        <w:t>NPRM</w:t>
      </w:r>
      <w:r>
        <w:t xml:space="preserve"> considers any compliance costs for small businesses if the proposed rules are adopted</w:t>
      </w:r>
      <w:r w:rsidR="00393349">
        <w:t xml:space="preserve"> and seeks comment on ways to minimize any such burdens</w:t>
      </w:r>
      <w:r>
        <w:t>.</w:t>
      </w:r>
      <w:r w:rsidR="00393349">
        <w:t xml:space="preserve"> </w:t>
      </w:r>
      <w:r w:rsidR="00F53DCE">
        <w:t xml:space="preserve"> The </w:t>
      </w:r>
      <w:r w:rsidR="00F53DCE">
        <w:rPr>
          <w:i/>
          <w:iCs/>
        </w:rPr>
        <w:t>NPRM</w:t>
      </w:r>
      <w:r w:rsidR="00F53DCE">
        <w:t xml:space="preserve"> also proposes that callers must honor do-not-call and revocation requests within 24-hours, and seeks comment on whether other timeframes should be considered, including whether small entities may benefit from longer timeframes to implement these requests. </w:t>
      </w:r>
      <w:r w:rsidR="00393349">
        <w:t xml:space="preserve"> Many of the requirements noted in the </w:t>
      </w:r>
      <w:r w:rsidRPr="00377517" w:rsidR="00393349">
        <w:rPr>
          <w:i/>
          <w:iCs/>
        </w:rPr>
        <w:t>NPRM</w:t>
      </w:r>
      <w:r w:rsidR="00393349">
        <w:t xml:space="preserve"> have been adopted by the Commission in rulings that date back many years.  As a result, we anticipate that many callers have already made efforts to comply with these obligations and </w:t>
      </w:r>
      <w:r w:rsidR="00F53DCE">
        <w:t>may</w:t>
      </w:r>
      <w:r w:rsidR="00393349">
        <w:t xml:space="preserve"> have no new burdens. </w:t>
      </w:r>
      <w:r>
        <w:t xml:space="preserve">  </w:t>
      </w:r>
    </w:p>
    <w:p w:rsidR="003C108D" w:rsidP="00105F6B" w14:paraId="6EB0913C" w14:textId="77777777">
      <w:pPr>
        <w:pStyle w:val="ParaNum"/>
      </w:pPr>
      <w:r>
        <w:t xml:space="preserve">The Commission expects to consider the economic impact on small entities, as identified in comments filed in response to the </w:t>
      </w:r>
      <w:r w:rsidRPr="00377517">
        <w:rPr>
          <w:i/>
        </w:rPr>
        <w:t>NPRM</w:t>
      </w:r>
      <w:r>
        <w:t xml:space="preserve"> and this IRFA, in reaching its final conclusions and taking action in this proceeding.</w:t>
      </w:r>
    </w:p>
    <w:p w:rsidR="003C108D" w:rsidP="002B1284" w14:paraId="06C098B8" w14:textId="77777777">
      <w:pPr>
        <w:pStyle w:val="Heading2"/>
      </w:pPr>
      <w:bookmarkStart w:id="69" w:name="_Toc10643959"/>
      <w:bookmarkStart w:id="70" w:name="_Toc10725997"/>
      <w:r>
        <w:t>Federal Rules that May Duplicate, Overlap, or Conflict with the Proposed Rules</w:t>
      </w:r>
      <w:bookmarkEnd w:id="69"/>
      <w:bookmarkEnd w:id="70"/>
    </w:p>
    <w:p w:rsidR="003C108D" w:rsidP="00105F6B" w14:paraId="25AF904E" w14:textId="77777777">
      <w:pPr>
        <w:pStyle w:val="ParaNum"/>
      </w:pPr>
      <w:r>
        <w:t>None.</w:t>
      </w:r>
      <w:bookmarkEnd w:id="0"/>
    </w:p>
    <w:p w:rsidR="00131BDC" w:rsidP="00CA0B8E" w14:paraId="70D0C2F6" w14:textId="77777777">
      <w:pPr>
        <w:pStyle w:val="ParaNum"/>
        <w:numPr>
          <w:ilvl w:val="0"/>
          <w:numId w:val="0"/>
        </w:numPr>
        <w:ind w:firstLine="720"/>
        <w:sectPr w:rsidSect="00EB0CF7">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131BDC" w:rsidRPr="008C31B8" w:rsidP="00131BDC" w14:paraId="13D43E06" w14:textId="77777777">
      <w:pPr>
        <w:jc w:val="center"/>
        <w:rPr>
          <w:b/>
          <w:bCs/>
          <w:color w:val="000000"/>
          <w:szCs w:val="22"/>
        </w:rPr>
      </w:pPr>
      <w:r w:rsidRPr="008C31B8">
        <w:rPr>
          <w:b/>
          <w:bCs/>
          <w:color w:val="000000"/>
          <w:szCs w:val="22"/>
        </w:rPr>
        <w:t>STATEMENT OF</w:t>
      </w:r>
    </w:p>
    <w:p w:rsidR="00131BDC" w:rsidRPr="008C31B8" w:rsidP="00131BDC" w14:paraId="505C19F6" w14:textId="77777777">
      <w:pPr>
        <w:jc w:val="center"/>
        <w:rPr>
          <w:b/>
          <w:bCs/>
          <w:color w:val="000000"/>
          <w:szCs w:val="22"/>
        </w:rPr>
      </w:pPr>
      <w:r w:rsidRPr="008C31B8">
        <w:rPr>
          <w:b/>
          <w:bCs/>
          <w:color w:val="000000"/>
          <w:szCs w:val="22"/>
        </w:rPr>
        <w:t>CHAIRWOMAN JESSICA ROSENWORCEL</w:t>
      </w:r>
    </w:p>
    <w:p w:rsidR="00131BDC" w:rsidRPr="008C31B8" w:rsidP="00131BDC" w14:paraId="785CCB87" w14:textId="77777777">
      <w:pPr>
        <w:pStyle w:val="NormalWeb"/>
        <w:ind w:left="720" w:hanging="720"/>
        <w:rPr>
          <w:color w:val="000000"/>
          <w:sz w:val="22"/>
          <w:szCs w:val="22"/>
        </w:rPr>
      </w:pPr>
      <w:r w:rsidRPr="008C31B8">
        <w:rPr>
          <w:color w:val="000000"/>
          <w:sz w:val="22"/>
          <w:szCs w:val="22"/>
        </w:rPr>
        <w:t>Re:</w:t>
      </w:r>
      <w:r w:rsidRPr="008C31B8">
        <w:rPr>
          <w:color w:val="000000"/>
          <w:sz w:val="22"/>
          <w:szCs w:val="22"/>
        </w:rPr>
        <w:tab/>
      </w:r>
      <w:r w:rsidRPr="008C31B8">
        <w:rPr>
          <w:i/>
          <w:iCs/>
          <w:color w:val="000000"/>
          <w:sz w:val="22"/>
          <w:szCs w:val="22"/>
        </w:rPr>
        <w:t>Rules and Regulations Implementing the Telephone Consumer Protection Act of 1991</w:t>
      </w:r>
      <w:r w:rsidRPr="008C31B8">
        <w:rPr>
          <w:color w:val="000000"/>
          <w:sz w:val="22"/>
          <w:szCs w:val="22"/>
        </w:rPr>
        <w:t>, CG Docket No. 02-278, Notice of Proposed Rulemaking (June 8, 2023)</w:t>
      </w:r>
    </w:p>
    <w:p w:rsidR="00131BDC" w:rsidRPr="008C31B8" w:rsidP="00131BDC" w14:paraId="1AF90018" w14:textId="77777777">
      <w:pPr>
        <w:pStyle w:val="NormalWeb"/>
        <w:rPr>
          <w:color w:val="000000"/>
          <w:sz w:val="22"/>
          <w:szCs w:val="22"/>
        </w:rPr>
      </w:pPr>
      <w:r w:rsidRPr="008C31B8">
        <w:rPr>
          <w:color w:val="000000"/>
          <w:sz w:val="22"/>
          <w:szCs w:val="22"/>
        </w:rPr>
        <w:tab/>
        <w:t xml:space="preserve">Consumers across the country want fewer junk robocalls and </w:t>
      </w:r>
      <w:r w:rsidRPr="008C31B8">
        <w:rPr>
          <w:color w:val="000000"/>
          <w:sz w:val="22"/>
          <w:szCs w:val="22"/>
        </w:rPr>
        <w:t>robotexts</w:t>
      </w:r>
      <w:r w:rsidRPr="008C31B8">
        <w:rPr>
          <w:color w:val="000000"/>
          <w:sz w:val="22"/>
          <w:szCs w:val="22"/>
        </w:rPr>
        <w:t xml:space="preserve">.  I don’t blame them.  Because I’m a consumer myself.  When my phone rings or buzzes with a call or text, I am just like everyone else and as Pavlov would predict, I instinctively reach for my device.  But when that call or text is from someone I do not know reaching out to me with something I did not ask for and do not need, that instinct goes from interest to irritation in no time flat.    </w:t>
      </w:r>
    </w:p>
    <w:p w:rsidR="00131BDC" w:rsidRPr="008C31B8" w:rsidP="00131BDC" w14:paraId="5D854A8B" w14:textId="77777777">
      <w:pPr>
        <w:pStyle w:val="NormalWeb"/>
        <w:rPr>
          <w:color w:val="000000"/>
          <w:sz w:val="22"/>
          <w:szCs w:val="22"/>
        </w:rPr>
      </w:pPr>
      <w:r w:rsidRPr="008C31B8">
        <w:rPr>
          <w:color w:val="000000"/>
          <w:sz w:val="22"/>
          <w:szCs w:val="22"/>
        </w:rPr>
        <w:tab/>
        <w:t xml:space="preserve">That is why at the Federal Communications Commission we are constantly looking for new ways to stop to illegal robocalls and </w:t>
      </w:r>
      <w:r w:rsidRPr="008C31B8">
        <w:rPr>
          <w:color w:val="000000"/>
          <w:sz w:val="22"/>
          <w:szCs w:val="22"/>
        </w:rPr>
        <w:t>robotexts</w:t>
      </w:r>
      <w:r w:rsidRPr="008C31B8">
        <w:rPr>
          <w:color w:val="000000"/>
          <w:sz w:val="22"/>
          <w:szCs w:val="22"/>
        </w:rPr>
        <w:t xml:space="preserve">.  It is why today we are updating our policies under the Telephone Consumer Protection Act.  This means we propose new rules that strengthen the ability of consumers to decide which robocalls and </w:t>
      </w:r>
      <w:r w:rsidRPr="008C31B8">
        <w:rPr>
          <w:color w:val="000000"/>
          <w:sz w:val="22"/>
          <w:szCs w:val="22"/>
        </w:rPr>
        <w:t>robotexts</w:t>
      </w:r>
      <w:r w:rsidRPr="008C31B8">
        <w:rPr>
          <w:color w:val="000000"/>
          <w:sz w:val="22"/>
          <w:szCs w:val="22"/>
        </w:rPr>
        <w:t xml:space="preserve"> they receive.  We want to make it clear that if you opt-out of this junk you shouldn’t be forced to jump through hoops or say magic words.  Then we want to make clear that those behind these calls and texts have 24 hours to honor your request.  </w:t>
      </w:r>
    </w:p>
    <w:p w:rsidR="00131BDC" w:rsidRPr="008C31B8" w:rsidP="00131BDC" w14:paraId="5D89AEAE" w14:textId="77777777">
      <w:pPr>
        <w:pStyle w:val="NormalWeb"/>
        <w:rPr>
          <w:color w:val="000000"/>
          <w:sz w:val="22"/>
          <w:szCs w:val="22"/>
        </w:rPr>
      </w:pPr>
      <w:r w:rsidRPr="008C31B8">
        <w:rPr>
          <w:color w:val="000000"/>
          <w:sz w:val="22"/>
          <w:szCs w:val="22"/>
        </w:rPr>
        <w:tab/>
        <w:t>This is progress.  But the truth is we need new tools to curb these calls and texts.  The Telephone Consumer Protection Act is more than three decades old.  Stretching its language to capture millions of mobile devices that are always ringing and buzzing is not easy.  But there are at least three ways additional authority from Congress could fix that.</w:t>
      </w:r>
    </w:p>
    <w:p w:rsidR="00131BDC" w:rsidRPr="008C31B8" w:rsidP="00131BDC" w14:paraId="05FF308A" w14:textId="77777777">
      <w:pPr>
        <w:pStyle w:val="NormalWeb"/>
        <w:rPr>
          <w:color w:val="000000"/>
          <w:sz w:val="22"/>
          <w:szCs w:val="22"/>
        </w:rPr>
      </w:pPr>
      <w:r w:rsidRPr="008C31B8">
        <w:rPr>
          <w:color w:val="000000"/>
          <w:sz w:val="22"/>
          <w:szCs w:val="22"/>
        </w:rPr>
        <w:tab/>
        <w:t xml:space="preserve">First, the Supreme Court’s recent decision in Facebook v. Duguid narrowed the definition of </w:t>
      </w:r>
      <w:r w:rsidRPr="008C31B8">
        <w:rPr>
          <w:color w:val="000000"/>
          <w:sz w:val="22"/>
          <w:szCs w:val="22"/>
        </w:rPr>
        <w:t>autodialer</w:t>
      </w:r>
      <w:r w:rsidRPr="008C31B8">
        <w:rPr>
          <w:color w:val="000000"/>
          <w:sz w:val="22"/>
          <w:szCs w:val="22"/>
        </w:rPr>
        <w:t xml:space="preserve"> under the Telephone Consumer Protection Act.  This decision makes it a harder for this agency to ensure the protections in this law cover the way so many scam artists now use technology to reach us with junk calls and texts.</w:t>
      </w:r>
    </w:p>
    <w:p w:rsidR="00131BDC" w:rsidRPr="008C31B8" w:rsidP="00131BDC" w14:paraId="29F5E41E" w14:textId="77777777">
      <w:pPr>
        <w:pStyle w:val="NormalWeb"/>
        <w:rPr>
          <w:color w:val="000000"/>
          <w:sz w:val="22"/>
          <w:szCs w:val="22"/>
        </w:rPr>
      </w:pPr>
      <w:r w:rsidRPr="008C31B8">
        <w:rPr>
          <w:color w:val="000000"/>
          <w:sz w:val="22"/>
          <w:szCs w:val="22"/>
        </w:rPr>
        <w:tab/>
        <w:t xml:space="preserve">Second, the agency needs clear authority to access Bank Secrecy Act information in order to help identify more quickly the financial records of our calling targets without giving those targets suspected of scams a heads up that we are coming for them.  </w:t>
      </w:r>
    </w:p>
    <w:p w:rsidR="00131BDC" w:rsidRPr="008C31B8" w:rsidP="00131BDC" w14:paraId="593D1F66" w14:textId="77777777">
      <w:pPr>
        <w:pStyle w:val="NormalWeb"/>
        <w:rPr>
          <w:color w:val="000000"/>
          <w:sz w:val="22"/>
          <w:szCs w:val="22"/>
        </w:rPr>
      </w:pPr>
      <w:r w:rsidRPr="008C31B8">
        <w:rPr>
          <w:color w:val="000000"/>
          <w:sz w:val="22"/>
          <w:szCs w:val="22"/>
        </w:rPr>
        <w:tab/>
        <w:t xml:space="preserve">Third, I believe it would be beneficial if the agency could try to collect the fines we impose against the bad actors responsible for </w:t>
      </w:r>
      <w:r w:rsidRPr="008C31B8">
        <w:rPr>
          <w:color w:val="000000"/>
          <w:sz w:val="22"/>
          <w:szCs w:val="22"/>
        </w:rPr>
        <w:t>robotexts</w:t>
      </w:r>
      <w:r w:rsidRPr="008C31B8">
        <w:rPr>
          <w:color w:val="000000"/>
          <w:sz w:val="22"/>
          <w:szCs w:val="22"/>
        </w:rPr>
        <w:t xml:space="preserve"> and robocalls.  Right now, our enforcement work ends when we issue a forfeiture order because we lack the authority to pursue collection in court without the Department of Justice.  I’d like to change that.  </w:t>
      </w:r>
    </w:p>
    <w:p w:rsidR="00CA0B8E" w:rsidRPr="008C31B8" w:rsidP="00131BDC" w14:paraId="2A9DA96C" w14:textId="5DF59C4B">
      <w:pPr>
        <w:pStyle w:val="NormalWeb"/>
        <w:rPr>
          <w:sz w:val="22"/>
          <w:szCs w:val="22"/>
        </w:rPr>
      </w:pPr>
      <w:r w:rsidRPr="008C31B8">
        <w:rPr>
          <w:color w:val="000000"/>
          <w:sz w:val="22"/>
          <w:szCs w:val="22"/>
        </w:rPr>
        <w:tab/>
        <w:t xml:space="preserve"> For now, though, I want to thank the Robocall Response Team and staff responsible for our efforts today, including </w:t>
      </w:r>
      <w:r w:rsidRPr="008C31B8">
        <w:rPr>
          <w:sz w:val="22"/>
          <w:szCs w:val="22"/>
        </w:rPr>
        <w:t xml:space="preserve">Alejandro Roark, Edyael Casaperalta, Mark Stone, Aaron Garza, Kristi Thornton, Karen Schroeder, and Richard Smith of the Consumer and Governmental Affairs Bureau; Kristi Thompson, Rakesh Patel, Daniel Stepanicich, Mary Romano, and Jane Van </w:t>
      </w:r>
      <w:r w:rsidRPr="008C31B8">
        <w:rPr>
          <w:sz w:val="22"/>
          <w:szCs w:val="22"/>
        </w:rPr>
        <w:t>Benten</w:t>
      </w:r>
      <w:r w:rsidRPr="008C31B8">
        <w:rPr>
          <w:sz w:val="22"/>
          <w:szCs w:val="22"/>
        </w:rPr>
        <w:t xml:space="preserve"> of the Enforcement Bureau; Richard Mallen, Malena Barzilai, and Bill Richardson of the Office of General Counsel; Michelle Schaefer and Virginia Metallo of the Office of Economics and Analytics; and Joycelyn James of the Office of Communications Business Opportunities.</w:t>
      </w:r>
    </w:p>
    <w:sectPr w:rsidSect="0055614C">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4728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FF3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864D8" w14:paraId="59248B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CF7" w14:paraId="7BDADBFE" w14:textId="77777777">
    <w:pPr>
      <w:pStyle w:val="Footer"/>
      <w:jc w:val="center"/>
    </w:pPr>
  </w:p>
  <w:p w:rsidR="00D25FB5" w14:paraId="16369CA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CF7" w:rsidP="00A864D8" w14:paraId="1A09FD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CF7" w14:paraId="60C2EF7B" w14:textId="77777777">
    <w:pPr>
      <w:pStyle w:val="Footer"/>
      <w:jc w:val="center"/>
    </w:pPr>
  </w:p>
  <w:p w:rsidR="00EB0CF7" w14:paraId="316A19E0"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762E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5F59015"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AB280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B2BF8C6"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2B1F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752B" w14:paraId="36A5807A" w14:textId="77777777">
      <w:r>
        <w:separator/>
      </w:r>
    </w:p>
  </w:footnote>
  <w:footnote w:type="continuationSeparator" w:id="1">
    <w:p w:rsidR="005B752B" w:rsidP="00C721AC" w14:paraId="2CC5C639" w14:textId="77777777">
      <w:pPr>
        <w:spacing w:before="120"/>
        <w:rPr>
          <w:sz w:val="20"/>
        </w:rPr>
      </w:pPr>
      <w:r>
        <w:rPr>
          <w:sz w:val="20"/>
        </w:rPr>
        <w:t xml:space="preserve">(Continued from previous page)  </w:t>
      </w:r>
      <w:r>
        <w:rPr>
          <w:sz w:val="20"/>
        </w:rPr>
        <w:separator/>
      </w:r>
    </w:p>
  </w:footnote>
  <w:footnote w:type="continuationNotice" w:id="2">
    <w:p w:rsidR="005B752B" w:rsidP="00C721AC" w14:paraId="7FBA7E9E" w14:textId="77777777">
      <w:pPr>
        <w:jc w:val="right"/>
        <w:rPr>
          <w:sz w:val="20"/>
        </w:rPr>
      </w:pPr>
      <w:r>
        <w:rPr>
          <w:sz w:val="20"/>
        </w:rPr>
        <w:t>(continued….)</w:t>
      </w:r>
    </w:p>
  </w:footnote>
  <w:footnote w:id="3">
    <w:p w:rsidR="00831526" w:rsidRPr="00FA04E6" w:rsidP="00831526" w14:paraId="79208E36" w14:textId="77777777">
      <w:pPr>
        <w:pStyle w:val="FootnoteText"/>
      </w:pPr>
      <w:r>
        <w:rPr>
          <w:rStyle w:val="FootnoteReference"/>
        </w:rPr>
        <w:footnoteRef/>
      </w:r>
      <w:r>
        <w:t xml:space="preserve"> Telephone Consumer Protection Act of 1991, Pub. L. No. 102-243, 105 Stat. 2394 (1991), </w:t>
      </w:r>
      <w:r w:rsidRPr="0027789B">
        <w:rPr>
          <w:i/>
          <w:iCs/>
        </w:rPr>
        <w:t>codified at</w:t>
      </w:r>
      <w:r>
        <w:t xml:space="preserve"> </w:t>
      </w:r>
      <w:r w:rsidRPr="00B56F66">
        <w:t>47 U.S.C. §</w:t>
      </w:r>
      <w:r>
        <w:t> </w:t>
      </w:r>
      <w:r w:rsidRPr="00B56F66">
        <w:t>227.</w:t>
      </w:r>
      <w:r>
        <w:t xml:space="preserve">  </w:t>
      </w:r>
      <w:r w:rsidRPr="0042374A">
        <w:t xml:space="preserve">The TCPA exempts from this prohibition calls </w:t>
      </w:r>
      <w:r>
        <w:t xml:space="preserve">made </w:t>
      </w:r>
      <w:r w:rsidRPr="0042374A">
        <w:t>for emergency purposes.</w:t>
      </w:r>
      <w:r>
        <w:t xml:space="preserve">  The Commission has also exercised its statutory authority to adopt certain exemptions from this prohibition.  </w:t>
      </w:r>
      <w:r>
        <w:rPr>
          <w:i/>
          <w:iCs/>
        </w:rPr>
        <w:t xml:space="preserve">See </w:t>
      </w:r>
      <w:r>
        <w:t xml:space="preserve">47 CFR </w:t>
      </w:r>
      <w:r w:rsidRPr="00FA04E6">
        <w:t>§</w:t>
      </w:r>
      <w:r>
        <w:t xml:space="preserve"> 64.1200(a)(3), (9).</w:t>
      </w:r>
    </w:p>
  </w:footnote>
  <w:footnote w:id="4">
    <w:p w:rsidR="004D69CF" w:rsidRPr="004D69CF" w14:paraId="6E4E9A36" w14:textId="6AA4F526">
      <w:pPr>
        <w:pStyle w:val="FootnoteText"/>
      </w:pPr>
      <w:r>
        <w:rPr>
          <w:rStyle w:val="FootnoteReference"/>
        </w:rPr>
        <w:footnoteRef/>
      </w:r>
      <w:r>
        <w:t xml:space="preserve"> As discussed in more detail below, the Telephone Consu</w:t>
      </w:r>
      <w:r w:rsidR="009A194C">
        <w:t>m</w:t>
      </w:r>
      <w:r>
        <w:t>er Protection Act regulates any call made using an “automatic telephone dialing system” or an artificial or prerecorded voice.  Any such call is considered a “robocall” or “</w:t>
      </w:r>
      <w:r>
        <w:t>robotext</w:t>
      </w:r>
      <w:r>
        <w:t xml:space="preserve">” for purposes of this proceeding.  </w:t>
      </w:r>
      <w:r>
        <w:rPr>
          <w:i/>
          <w:iCs/>
        </w:rPr>
        <w:t xml:space="preserve">See </w:t>
      </w:r>
      <w:r>
        <w:t xml:space="preserve">47 U.S.C. </w:t>
      </w:r>
      <w:r w:rsidRPr="004D69CF">
        <w:t>§ 227</w:t>
      </w:r>
      <w:r>
        <w:t>(b)(1).</w:t>
      </w:r>
    </w:p>
  </w:footnote>
  <w:footnote w:id="5">
    <w:p w:rsidR="003C108D" w:rsidRPr="008F01CE" w:rsidP="003C108D" w14:paraId="1C720089" w14:textId="3D8F9F0D">
      <w:pPr>
        <w:pStyle w:val="FootnoteText"/>
        <w:rPr>
          <w:iCs/>
        </w:rPr>
      </w:pPr>
      <w:r>
        <w:rPr>
          <w:rStyle w:val="FootnoteReference"/>
        </w:rPr>
        <w:footnoteRef/>
      </w:r>
      <w:r w:rsidR="00853211">
        <w:rPr>
          <w:iCs/>
        </w:rPr>
        <w:t xml:space="preserve"> </w:t>
      </w:r>
      <w:r w:rsidRPr="00A71EFD" w:rsidR="00A71EFD">
        <w:rPr>
          <w:iCs/>
        </w:rPr>
        <w:t>47 U.S.C. § 227</w:t>
      </w:r>
      <w:r w:rsidR="00A71EFD">
        <w:rPr>
          <w:iCs/>
        </w:rPr>
        <w:t>(b)(1)(B)</w:t>
      </w:r>
      <w:r w:rsidRPr="00A71EFD">
        <w:rPr>
          <w:iCs/>
        </w:rPr>
        <w:t>.</w:t>
      </w:r>
      <w:r w:rsidR="008F01CE">
        <w:rPr>
          <w:iCs/>
        </w:rPr>
        <w:t xml:space="preserve"> </w:t>
      </w:r>
      <w:r w:rsidR="00ED5863">
        <w:rPr>
          <w:iCs/>
        </w:rPr>
        <w:t xml:space="preserve"> </w:t>
      </w:r>
      <w:r w:rsidR="008F01CE">
        <w:rPr>
          <w:iCs/>
        </w:rPr>
        <w:t xml:space="preserve">In the case of robocalls that introduce an advertisement or contain telemarketing, the Commission’s rules require that the caller obtain the prior express </w:t>
      </w:r>
      <w:r w:rsidRPr="00C1378A" w:rsidR="008F01CE">
        <w:rPr>
          <w:i/>
        </w:rPr>
        <w:t>written</w:t>
      </w:r>
      <w:r w:rsidR="008F01CE">
        <w:rPr>
          <w:iCs/>
        </w:rPr>
        <w:t xml:space="preserve"> consent of the called party.  </w:t>
      </w:r>
      <w:r w:rsidR="008F01CE">
        <w:rPr>
          <w:i/>
        </w:rPr>
        <w:t xml:space="preserve">See </w:t>
      </w:r>
      <w:r w:rsidR="008F01CE">
        <w:rPr>
          <w:iCs/>
        </w:rPr>
        <w:t xml:space="preserve">47 CFR </w:t>
      </w:r>
      <w:r w:rsidRPr="008F01CE" w:rsidR="008F01CE">
        <w:rPr>
          <w:iCs/>
        </w:rPr>
        <w:t>§</w:t>
      </w:r>
      <w:r w:rsidR="00132BFA">
        <w:rPr>
          <w:iCs/>
        </w:rPr>
        <w:t> </w:t>
      </w:r>
      <w:r w:rsidR="008F01CE">
        <w:rPr>
          <w:iCs/>
        </w:rPr>
        <w:t xml:space="preserve">64.1200(a)(2), (3). </w:t>
      </w:r>
    </w:p>
  </w:footnote>
  <w:footnote w:id="6">
    <w:p w:rsidR="003C108D" w:rsidRPr="00E327ED" w:rsidP="003C108D" w14:paraId="5C8B4CA1" w14:textId="6EDDBA70">
      <w:pPr>
        <w:pStyle w:val="FootnoteText"/>
      </w:pPr>
      <w:r>
        <w:rPr>
          <w:rStyle w:val="FootnoteReference"/>
        </w:rPr>
        <w:footnoteRef/>
      </w:r>
      <w:r>
        <w:t xml:space="preserve"> </w:t>
      </w:r>
      <w:r w:rsidRPr="001B459A">
        <w:rPr>
          <w:i/>
          <w:iCs/>
        </w:rPr>
        <w:t xml:space="preserve">See </w:t>
      </w:r>
      <w:r w:rsidR="00BF0C66">
        <w:t>47 U.S.C.</w:t>
      </w:r>
      <w:r>
        <w:t xml:space="preserve"> </w:t>
      </w:r>
      <w:r w:rsidRPr="00E327ED">
        <w:t>§ 227(b)(</w:t>
      </w:r>
      <w:r>
        <w:t>1)(A)(iii).</w:t>
      </w:r>
      <w:r w:rsidR="002A60CE">
        <w:t xml:space="preserve">  The Commission has confirmed that a text message is a </w:t>
      </w:r>
      <w:r w:rsidR="00BF0C66">
        <w:t xml:space="preserve">“call” subject to the TCPA.  </w:t>
      </w:r>
      <w:r w:rsidRPr="00BF0C66" w:rsidR="00BF0C66">
        <w:rPr>
          <w:i/>
          <w:iCs/>
        </w:rPr>
        <w:t>See Rules and Regulations Implementing the Telephone Consumer Protection Act of 1991</w:t>
      </w:r>
      <w:r w:rsidRPr="00BF0C66" w:rsidR="00BF0C66">
        <w:t>,</w:t>
      </w:r>
      <w:r w:rsidRPr="00BF0C66" w:rsidR="00BF0C66">
        <w:rPr>
          <w:i/>
          <w:iCs/>
        </w:rPr>
        <w:t xml:space="preserve"> </w:t>
      </w:r>
      <w:r w:rsidRPr="00BF0C66" w:rsidR="00BF0C66">
        <w:t xml:space="preserve">CG Docket No. 02-278, Report and Order, 18 FCC </w:t>
      </w:r>
      <w:r w:rsidRPr="00BF0C66" w:rsidR="00BF0C66">
        <w:t>Rcd</w:t>
      </w:r>
      <w:r w:rsidRPr="00BF0C66" w:rsidR="00BF0C66">
        <w:t xml:space="preserve"> 14014, 14115, para. 165 (2003) (</w:t>
      </w:r>
      <w:r w:rsidRPr="00BF0C66" w:rsidR="00BF0C66">
        <w:rPr>
          <w:i/>
          <w:iCs/>
        </w:rPr>
        <w:t>2003 TCPA Order</w:t>
      </w:r>
      <w:r w:rsidRPr="00BF0C66" w:rsidR="00BF0C66">
        <w:t xml:space="preserve">); </w:t>
      </w:r>
      <w:r w:rsidRPr="00BF0C66" w:rsidR="00BF0C66">
        <w:rPr>
          <w:i/>
          <w:iCs/>
        </w:rPr>
        <w:t>see also Satterfield v. Simon &amp; Schuster, Inc.</w:t>
      </w:r>
      <w:r w:rsidRPr="00BF0C66" w:rsidR="00BF0C66">
        <w:t>, 569 F.3d 946 (9th Cir. 2009) (noting that text messaging is a form of communication used primarily between telephones and is therefore consistent with the definition of a “call”).</w:t>
      </w:r>
    </w:p>
  </w:footnote>
  <w:footnote w:id="7">
    <w:p w:rsidR="002A60CE" w:rsidRPr="002A60CE" w14:paraId="22710260" w14:textId="4B465D96">
      <w:pPr>
        <w:pStyle w:val="FootnoteText"/>
      </w:pPr>
      <w:r>
        <w:rPr>
          <w:rStyle w:val="FootnoteReference"/>
        </w:rPr>
        <w:footnoteRef/>
      </w:r>
      <w:r>
        <w:t xml:space="preserve"> </w:t>
      </w:r>
      <w:r>
        <w:rPr>
          <w:i/>
          <w:iCs/>
        </w:rPr>
        <w:t>See Rules and Regulations Implementing the Telephone Consumer Protect Act of 1991</w:t>
      </w:r>
      <w:r>
        <w:t xml:space="preserve">, CC Docket </w:t>
      </w:r>
      <w:r w:rsidR="00D059E3">
        <w:t xml:space="preserve">No. </w:t>
      </w:r>
      <w:r>
        <w:t xml:space="preserve">92-90, Report and Order, 7 FCC </w:t>
      </w:r>
      <w:r>
        <w:t>Rcd</w:t>
      </w:r>
      <w:r>
        <w:t xml:space="preserve"> 8752</w:t>
      </w:r>
      <w:r w:rsidR="003904D5">
        <w:t>,</w:t>
      </w:r>
      <w:r>
        <w:t xml:space="preserve"> 8774, para. 45 (1992) (</w:t>
      </w:r>
      <w:r>
        <w:rPr>
          <w:i/>
          <w:iCs/>
        </w:rPr>
        <w:t>1992 TCPA Order</w:t>
      </w:r>
      <w:r>
        <w:t>).</w:t>
      </w:r>
    </w:p>
  </w:footnote>
  <w:footnote w:id="8">
    <w:p w:rsidR="00B53C35" w:rsidRPr="0067711F" w14:paraId="1160E43B" w14:textId="658129EB">
      <w:pPr>
        <w:pStyle w:val="FootnoteText"/>
        <w:rPr>
          <w:i/>
          <w:iCs/>
        </w:rPr>
      </w:pPr>
      <w:r>
        <w:rPr>
          <w:rStyle w:val="FootnoteReference"/>
        </w:rPr>
        <w:footnoteRef/>
      </w:r>
      <w:r>
        <w:t xml:space="preserve"> </w:t>
      </w:r>
      <w:r>
        <w:rPr>
          <w:i/>
          <w:iCs/>
        </w:rPr>
        <w:t>See</w:t>
      </w:r>
      <w:r>
        <w:t xml:space="preserve"> </w:t>
      </w:r>
      <w:r w:rsidR="0067711F">
        <w:rPr>
          <w:i/>
          <w:iCs/>
        </w:rPr>
        <w:t xml:space="preserve">Lucas </w:t>
      </w:r>
      <w:r w:rsidR="0067711F">
        <w:rPr>
          <w:i/>
          <w:iCs/>
        </w:rPr>
        <w:t>Cranor</w:t>
      </w:r>
      <w:r w:rsidR="0067711F">
        <w:rPr>
          <w:i/>
          <w:iCs/>
        </w:rPr>
        <w:t xml:space="preserve"> Petition for Declaratory Ruling </w:t>
      </w:r>
      <w:r w:rsidRPr="0067711F" w:rsidR="0067711F">
        <w:rPr>
          <w:i/>
          <w:iCs/>
        </w:rPr>
        <w:t>Requesting Order Granting That Consumers have the Right to Revoke Consent Under the Telephone Consumer Protection Act</w:t>
      </w:r>
      <w:r w:rsidRPr="00E67240" w:rsidR="0067711F">
        <w:t>,</w:t>
      </w:r>
      <w:r w:rsidRPr="0067711F" w:rsidR="0067711F">
        <w:rPr>
          <w:i/>
          <w:iCs/>
        </w:rPr>
        <w:t xml:space="preserve"> </w:t>
      </w:r>
      <w:r w:rsidRPr="0067711F" w:rsidR="0067711F">
        <w:t xml:space="preserve">CG Docket No. 02-278 (filed Dec. 17, 2019) </w:t>
      </w:r>
      <w:r w:rsidR="0067711F">
        <w:t>(arguing that “</w:t>
      </w:r>
      <w:r w:rsidRPr="0067711F" w:rsidR="0067711F">
        <w:t>consumers have the right to revoke consent from receiving unwanted marketing text messages from their wireless providers at any time by any reasonable means; and that wireless providers must honor these revocation requests immediately”</w:t>
      </w:r>
      <w:r w:rsidR="0067711F">
        <w:t>)</w:t>
      </w:r>
      <w:r w:rsidRPr="0067711F" w:rsidR="0067711F">
        <w:t xml:space="preserve"> (</w:t>
      </w:r>
      <w:r w:rsidRPr="001013D3" w:rsidR="0067711F">
        <w:rPr>
          <w:i/>
          <w:iCs/>
        </w:rPr>
        <w:t>Cranor</w:t>
      </w:r>
      <w:r w:rsidRPr="001013D3" w:rsidR="0067711F">
        <w:rPr>
          <w:i/>
          <w:iCs/>
        </w:rPr>
        <w:t xml:space="preserve"> Petition</w:t>
      </w:r>
      <w:r w:rsidRPr="0067711F" w:rsidR="0067711F">
        <w:t>)</w:t>
      </w:r>
      <w:r w:rsidR="0067711F">
        <w:t xml:space="preserve">; </w:t>
      </w:r>
      <w:r w:rsidRPr="0067711F" w:rsidR="0067711F">
        <w:rPr>
          <w:i/>
          <w:iCs/>
        </w:rPr>
        <w:t xml:space="preserve">Petition of Paul Armbruster for Declaratory Ruling Or Alternatively A Rulemaking Regarding A </w:t>
      </w:r>
      <w:r w:rsidRPr="0067711F" w:rsidR="00495061">
        <w:rPr>
          <w:i/>
          <w:iCs/>
        </w:rPr>
        <w:t>Consumer</w:t>
      </w:r>
      <w:r w:rsidR="00495061">
        <w:rPr>
          <w:i/>
          <w:iCs/>
        </w:rPr>
        <w:t>’</w:t>
      </w:r>
      <w:r w:rsidRPr="0067711F" w:rsidR="00495061">
        <w:rPr>
          <w:i/>
          <w:iCs/>
        </w:rPr>
        <w:t xml:space="preserve">s </w:t>
      </w:r>
      <w:r w:rsidRPr="0067711F" w:rsidR="0067711F">
        <w:rPr>
          <w:i/>
          <w:iCs/>
        </w:rPr>
        <w:t>Absolute Right to Revoke Consent to Receive Unwanted Text Messages From Common Carriers</w:t>
      </w:r>
      <w:r w:rsidRPr="0067711F" w:rsidR="0067711F">
        <w:t xml:space="preserve">, CG Docket No. 02-278 (filed July 9, 2019) </w:t>
      </w:r>
      <w:r w:rsidR="0067711F">
        <w:t xml:space="preserve">(requesting </w:t>
      </w:r>
      <w:r w:rsidRPr="0067711F" w:rsidR="0067711F">
        <w:t>confirm</w:t>
      </w:r>
      <w:r w:rsidR="0067711F">
        <w:t>ation</w:t>
      </w:r>
      <w:r w:rsidRPr="0067711F" w:rsidR="0067711F">
        <w:t xml:space="preserve"> that a cellular phone customer can revoke consent to receive any and all unwanted text messages from their cell service provider</w:t>
      </w:r>
      <w:r w:rsidR="0067711F">
        <w:t>)</w:t>
      </w:r>
      <w:r w:rsidRPr="0067711F" w:rsidR="0067711F">
        <w:t xml:space="preserve"> (</w:t>
      </w:r>
      <w:r w:rsidRPr="001013D3" w:rsidR="0067711F">
        <w:rPr>
          <w:i/>
          <w:iCs/>
        </w:rPr>
        <w:t>Armbruster Petition</w:t>
      </w:r>
      <w:r w:rsidRPr="0067711F" w:rsidR="0067711F">
        <w:t>).</w:t>
      </w:r>
    </w:p>
  </w:footnote>
  <w:footnote w:id="9">
    <w:p w:rsidR="00B52A2B" w:rsidRPr="00B52A2B" w14:paraId="1A4B51AA" w14:textId="273201D3">
      <w:pPr>
        <w:pStyle w:val="FootnoteText"/>
      </w:pPr>
      <w:r>
        <w:rPr>
          <w:rStyle w:val="FootnoteReference"/>
        </w:rPr>
        <w:footnoteRef/>
      </w:r>
      <w:r>
        <w:t xml:space="preserve"> </w:t>
      </w:r>
      <w:r>
        <w:rPr>
          <w:i/>
          <w:iCs/>
        </w:rPr>
        <w:t>See Rules and Regulations Implementing the Telephone Consumer Protection Act of 1991</w:t>
      </w:r>
      <w:r>
        <w:t xml:space="preserve">, </w:t>
      </w:r>
      <w:r>
        <w:rPr>
          <w:i/>
          <w:iCs/>
        </w:rPr>
        <w:t>Soundbite Communications, Inc.</w:t>
      </w:r>
      <w:r>
        <w:t>,</w:t>
      </w:r>
      <w:r>
        <w:rPr>
          <w:i/>
          <w:iCs/>
        </w:rPr>
        <w:t xml:space="preserve"> </w:t>
      </w:r>
      <w:r>
        <w:t xml:space="preserve">CG Docket No. 02-278, Declaratory Ruling, </w:t>
      </w:r>
      <w:bookmarkStart w:id="28" w:name="_Hlk129941828"/>
      <w:r>
        <w:t xml:space="preserve">27 FCC </w:t>
      </w:r>
      <w:r>
        <w:t>Rcd</w:t>
      </w:r>
      <w:r>
        <w:t xml:space="preserve"> 15391</w:t>
      </w:r>
      <w:r w:rsidR="003904D5">
        <w:t>,</w:t>
      </w:r>
      <w:r>
        <w:t xml:space="preserve"> </w:t>
      </w:r>
      <w:r w:rsidR="001013D3">
        <w:t xml:space="preserve">15394, para. 7 </w:t>
      </w:r>
      <w:bookmarkEnd w:id="28"/>
      <w:r w:rsidR="001013D3">
        <w:t>(2012) (</w:t>
      </w:r>
      <w:r w:rsidRPr="001013D3" w:rsidR="001013D3">
        <w:rPr>
          <w:i/>
          <w:iCs/>
        </w:rPr>
        <w:t>Soundbite Declaratory Ruling</w:t>
      </w:r>
      <w:r w:rsidR="007615D9">
        <w:rPr>
          <w:i/>
          <w:iCs/>
        </w:rPr>
        <w:t xml:space="preserve"> </w:t>
      </w:r>
      <w:r w:rsidR="007615D9">
        <w:t xml:space="preserve">or </w:t>
      </w:r>
      <w:r w:rsidR="007615D9">
        <w:rPr>
          <w:i/>
          <w:iCs/>
        </w:rPr>
        <w:t>Soundbite</w:t>
      </w:r>
      <w:r w:rsidR="001013D3">
        <w:t>).</w:t>
      </w:r>
    </w:p>
  </w:footnote>
  <w:footnote w:id="10">
    <w:p w:rsidR="001013D3" w:rsidRPr="001013D3" w14:paraId="41209D70" w14:textId="1F394F0D">
      <w:pPr>
        <w:pStyle w:val="FootnoteText"/>
      </w:pPr>
      <w:r>
        <w:rPr>
          <w:rStyle w:val="FootnoteReference"/>
        </w:rPr>
        <w:footnoteRef/>
      </w:r>
      <w:r>
        <w:t xml:space="preserve"> </w:t>
      </w:r>
      <w:r>
        <w:rPr>
          <w:i/>
          <w:iCs/>
        </w:rPr>
        <w:t>See Capit</w:t>
      </w:r>
      <w:r w:rsidR="004D5514">
        <w:rPr>
          <w:i/>
          <w:iCs/>
        </w:rPr>
        <w:t>a</w:t>
      </w:r>
      <w:r>
        <w:rPr>
          <w:i/>
          <w:iCs/>
        </w:rPr>
        <w:t xml:space="preserve">l One </w:t>
      </w:r>
      <w:r w:rsidRPr="001013D3">
        <w:rPr>
          <w:i/>
          <w:iCs/>
        </w:rPr>
        <w:t xml:space="preserve">Services, LLC, Petition for Declaratory Ruling, </w:t>
      </w:r>
      <w:r w:rsidRPr="001013D3">
        <w:t>CG Docket Nos. 18-152 and 02-278 (filed Nov. 1, 2019)</w:t>
      </w:r>
      <w:r>
        <w:t xml:space="preserve"> (</w:t>
      </w:r>
      <w:r w:rsidR="00286BB9">
        <w:t>arguing that</w:t>
      </w:r>
      <w:r w:rsidR="006D1670">
        <w:t>,</w:t>
      </w:r>
      <w:r w:rsidR="00286BB9">
        <w:t xml:space="preserve"> </w:t>
      </w:r>
      <w:r>
        <w:t>“</w:t>
      </w:r>
      <w:r w:rsidRPr="001013D3">
        <w:t>if the sender of a lawful informational text message transmitted through an automatic telephone dialing system (‘</w:t>
      </w:r>
      <w:r w:rsidRPr="001013D3" w:rsidR="00132BFA">
        <w:t>ATDS</w:t>
      </w:r>
      <w:r w:rsidR="00132BFA">
        <w:t>’</w:t>
      </w:r>
      <w:r w:rsidRPr="001013D3">
        <w:t xml:space="preserve">) receives a valid opt-out request from the recipient in response to that message, and that informational message was part of a program in which the recipient had previously enrolled that transmits several categories of informational messages, then, pursuant to the </w:t>
      </w:r>
      <w:r w:rsidRPr="001013D3" w:rsidR="007615D9">
        <w:t>Commission</w:t>
      </w:r>
      <w:r w:rsidR="007615D9">
        <w:t>’</w:t>
      </w:r>
      <w:r w:rsidRPr="001013D3" w:rsidR="007615D9">
        <w:t xml:space="preserve">s </w:t>
      </w:r>
      <w:r w:rsidRPr="001013D3">
        <w:t>ruling in </w:t>
      </w:r>
      <w:r w:rsidRPr="001013D3">
        <w:rPr>
          <w:i/>
          <w:iCs/>
        </w:rPr>
        <w:t>Soundbite</w:t>
      </w:r>
      <w:r w:rsidRPr="001013D3">
        <w:t xml:space="preserve">, the sender may clarify in an opt-out confirmation message to the recipient the scope of the </w:t>
      </w:r>
      <w:r w:rsidRPr="001013D3" w:rsidR="004E46BE">
        <w:t>recipient</w:t>
      </w:r>
      <w:r w:rsidR="004E46BE">
        <w:t>’</w:t>
      </w:r>
      <w:r w:rsidRPr="001013D3" w:rsidR="004E46BE">
        <w:t xml:space="preserve">s </w:t>
      </w:r>
      <w:r w:rsidRPr="001013D3">
        <w:t xml:space="preserve">opt-out request without violating the </w:t>
      </w:r>
      <w:r w:rsidR="004E46BE">
        <w:t>[TCPA]</w:t>
      </w:r>
      <w:r w:rsidRPr="001013D3">
        <w:t xml:space="preserve"> or related Commission rules”</w:t>
      </w:r>
      <w:r>
        <w:t>) (</w:t>
      </w:r>
      <w:r>
        <w:rPr>
          <w:i/>
          <w:iCs/>
        </w:rPr>
        <w:t>Capit</w:t>
      </w:r>
      <w:r w:rsidR="00636C41">
        <w:rPr>
          <w:i/>
          <w:iCs/>
        </w:rPr>
        <w:t>a</w:t>
      </w:r>
      <w:r>
        <w:rPr>
          <w:i/>
          <w:iCs/>
        </w:rPr>
        <w:t>l One Petition</w:t>
      </w:r>
      <w:r>
        <w:t xml:space="preserve">). </w:t>
      </w:r>
    </w:p>
  </w:footnote>
  <w:footnote w:id="11">
    <w:p w:rsidR="0081260B" w:rsidRPr="0081260B" w14:paraId="49A359CB" w14:textId="7F4F2D6C">
      <w:pPr>
        <w:pStyle w:val="FootnoteText"/>
      </w:pPr>
      <w:r>
        <w:rPr>
          <w:rStyle w:val="FootnoteReference"/>
        </w:rPr>
        <w:footnoteRef/>
      </w:r>
      <w:r>
        <w:t xml:space="preserve"> </w:t>
      </w:r>
      <w:r>
        <w:rPr>
          <w:i/>
          <w:iCs/>
        </w:rPr>
        <w:t>Id</w:t>
      </w:r>
      <w:r>
        <w:t>. at 4.</w:t>
      </w:r>
    </w:p>
  </w:footnote>
  <w:footnote w:id="12">
    <w:p w:rsidR="006E0063" w:rsidRPr="00673E86" w:rsidP="006E0063" w14:paraId="27AEEA90" w14:textId="749A6ABB">
      <w:pPr>
        <w:pStyle w:val="FootnoteText"/>
      </w:pPr>
      <w:r>
        <w:rPr>
          <w:rStyle w:val="FootnoteReference"/>
        </w:rPr>
        <w:footnoteRef/>
      </w:r>
      <w:r>
        <w:t xml:space="preserve"> </w:t>
      </w:r>
      <w:r>
        <w:rPr>
          <w:i/>
        </w:rPr>
        <w:t>See</w:t>
      </w:r>
      <w:r w:rsidRPr="006E0063">
        <w:rPr>
          <w:i/>
          <w:iCs/>
          <w:snapToGrid w:val="0"/>
          <w:kern w:val="28"/>
          <w:sz w:val="22"/>
        </w:rPr>
        <w:t xml:space="preserve"> </w:t>
      </w:r>
      <w:r w:rsidRPr="006E0063">
        <w:rPr>
          <w:i/>
          <w:iCs/>
        </w:rPr>
        <w:t>Rules and Regulations Implementing the Telephone Consumer Protection Act of 1991</w:t>
      </w:r>
      <w:r w:rsidRPr="006E0063">
        <w:t xml:space="preserve">, CG Docket No. 02-278, WC Docket No. 07-135, Report and Order, 30 FCC </w:t>
      </w:r>
      <w:r w:rsidRPr="006E0063">
        <w:t>Rcd</w:t>
      </w:r>
      <w:r w:rsidRPr="006E0063">
        <w:t xml:space="preserve"> 7961</w:t>
      </w:r>
      <w:r w:rsidR="00984C85">
        <w:t>,</w:t>
      </w:r>
      <w:r w:rsidRPr="006E0063">
        <w:t xml:space="preserve"> 7993-99, paras. 55-70 (2015) (</w:t>
      </w:r>
      <w:r w:rsidRPr="006E0063">
        <w:rPr>
          <w:i/>
          <w:iCs/>
        </w:rPr>
        <w:t>2015 TCPA Order</w:t>
      </w:r>
      <w:r w:rsidRPr="006E0063">
        <w:t>).</w:t>
      </w:r>
    </w:p>
  </w:footnote>
  <w:footnote w:id="13">
    <w:p w:rsidR="006E0063" w:rsidRPr="002809F9" w:rsidP="006E0063" w14:paraId="7C696FB3" w14:textId="75F57DC1">
      <w:pPr>
        <w:pStyle w:val="FootnoteText"/>
      </w:pPr>
      <w:r>
        <w:rPr>
          <w:rStyle w:val="FootnoteReference"/>
        </w:rPr>
        <w:footnoteRef/>
      </w:r>
      <w:r>
        <w:t xml:space="preserve"> </w:t>
      </w:r>
      <w:r>
        <w:rPr>
          <w:i/>
        </w:rPr>
        <w:t xml:space="preserve">Id. </w:t>
      </w:r>
      <w:r w:rsidR="00C7205C">
        <w:t xml:space="preserve">at </w:t>
      </w:r>
      <w:r>
        <w:t xml:space="preserve">7994, 7997, paras. 57-58, 66 (citing </w:t>
      </w:r>
      <w:r>
        <w:rPr>
          <w:i/>
        </w:rPr>
        <w:t>Rules and Regulations Implementing the Telephone Consumer Protection Act of 1991; Junk Fax Prevention Act of 2005; Application for Review filed by Anda, Inc.; Petitions for Declaratory Ruling, Waiver, and/or Rulemaking Regarding the Commission’s Opt-Out Requirement for Faxes Sent with the Recipient’s Prior Express Permission</w:t>
      </w:r>
      <w:r>
        <w:t xml:space="preserve">, CG Docket No. 02-278, 05-338, Order, 29 FCC </w:t>
      </w:r>
      <w:r>
        <w:t>Rcd</w:t>
      </w:r>
      <w:r>
        <w:t xml:space="preserve"> 13998 (2014) (</w:t>
      </w:r>
      <w:r>
        <w:rPr>
          <w:i/>
        </w:rPr>
        <w:t>Anda Order</w:t>
      </w:r>
      <w:r>
        <w:t xml:space="preserve">); Restatement (Second) of Torts </w:t>
      </w:r>
      <w:r w:rsidRPr="00051417">
        <w:t>§</w:t>
      </w:r>
      <w:r>
        <w:t xml:space="preserve"> 892A, </w:t>
      </w:r>
      <w:r>
        <w:t>cmt</w:t>
      </w:r>
      <w:r>
        <w:t xml:space="preserve">. </w:t>
      </w:r>
      <w:r>
        <w:t>i</w:t>
      </w:r>
      <w:r>
        <w:t>. (1979) (“</w:t>
      </w:r>
      <w:r w:rsidR="00396398">
        <w:t>c</w:t>
      </w:r>
      <w:r>
        <w:t>onsent is terminated when the actor knows or has reason to know that the other is no longer willing for him to continue the particular conduct”).</w:t>
      </w:r>
    </w:p>
  </w:footnote>
  <w:footnote w:id="14">
    <w:p w:rsidR="006E0063" w:rsidRPr="002D2F43" w:rsidP="006E0063" w14:paraId="73EF1A9D" w14:textId="77777777">
      <w:pPr>
        <w:pStyle w:val="FootnoteText"/>
      </w:pPr>
      <w:r>
        <w:rPr>
          <w:rStyle w:val="FootnoteReference"/>
        </w:rPr>
        <w:footnoteRef/>
      </w:r>
      <w:r>
        <w:t xml:space="preserve"> </w:t>
      </w:r>
      <w:r>
        <w:rPr>
          <w:i/>
        </w:rPr>
        <w:t>2015 TCPA Declaratory Ruling</w:t>
      </w:r>
      <w:r>
        <w:t xml:space="preserve">, 30 FCC </w:t>
      </w:r>
      <w:r>
        <w:t>Rcd</w:t>
      </w:r>
      <w:r>
        <w:t xml:space="preserve"> at 7997, para. 66.</w:t>
      </w:r>
    </w:p>
  </w:footnote>
  <w:footnote w:id="15">
    <w:p w:rsidR="006E0063" w:rsidRPr="00DC3D79" w:rsidP="006E0063" w14:paraId="36DCEB27" w14:textId="243487F5">
      <w:pPr>
        <w:pStyle w:val="FootnoteText"/>
      </w:pPr>
      <w:r>
        <w:rPr>
          <w:rStyle w:val="FootnoteReference"/>
        </w:rPr>
        <w:footnoteRef/>
      </w:r>
      <w:r>
        <w:t xml:space="preserve"> </w:t>
      </w:r>
      <w:r>
        <w:rPr>
          <w:i/>
        </w:rPr>
        <w:t>Id</w:t>
      </w:r>
      <w:r>
        <w:t>.</w:t>
      </w:r>
    </w:p>
  </w:footnote>
  <w:footnote w:id="16">
    <w:p w:rsidR="006E0063" w:rsidRPr="00F16793" w:rsidP="006E0063" w14:paraId="54360338" w14:textId="77777777">
      <w:pPr>
        <w:pStyle w:val="FootnoteText"/>
      </w:pPr>
      <w:r>
        <w:rPr>
          <w:rStyle w:val="FootnoteReference"/>
        </w:rPr>
        <w:footnoteRef/>
      </w:r>
      <w:r>
        <w:t xml:space="preserve"> </w:t>
      </w:r>
      <w:r>
        <w:rPr>
          <w:i/>
        </w:rPr>
        <w:t>Id.</w:t>
      </w:r>
      <w:r>
        <w:t xml:space="preserve"> at 7998-99, para. 70.</w:t>
      </w:r>
    </w:p>
  </w:footnote>
  <w:footnote w:id="17">
    <w:p w:rsidR="007D5745" w:rsidRPr="007D5745" w14:paraId="19A12AD1" w14:textId="59BC0F00">
      <w:pPr>
        <w:pStyle w:val="FootnoteText"/>
        <w:rPr>
          <w:i/>
          <w:iCs/>
        </w:rPr>
      </w:pPr>
      <w:r>
        <w:rPr>
          <w:rStyle w:val="FootnoteReference"/>
        </w:rPr>
        <w:footnoteRef/>
      </w:r>
      <w:r>
        <w:t xml:space="preserve"> </w:t>
      </w:r>
      <w:r>
        <w:rPr>
          <w:i/>
          <w:iCs/>
        </w:rPr>
        <w:t xml:space="preserve">See </w:t>
      </w:r>
      <w:r w:rsidRPr="007D5745">
        <w:rPr>
          <w:i/>
          <w:iCs/>
        </w:rPr>
        <w:t xml:space="preserve">Petition of Mobile Media Technologies for Declaratory Ruling or, In the Alternative Retroactive Waiver, </w:t>
      </w:r>
      <w:r w:rsidRPr="007D5745">
        <w:t>CG Docket No. 02-278, WC Docket No. 07-135 (filed April 5, 2016</w:t>
      </w:r>
      <w:r>
        <w:t>).</w:t>
      </w:r>
    </w:p>
  </w:footnote>
  <w:footnote w:id="18">
    <w:p w:rsidR="00636DA9" w14:paraId="42D9FBF4" w14:textId="296CEC2A">
      <w:pPr>
        <w:pStyle w:val="FootnoteText"/>
      </w:pPr>
      <w:r>
        <w:rPr>
          <w:rStyle w:val="FootnoteReference"/>
        </w:rPr>
        <w:footnoteRef/>
      </w:r>
      <w:r>
        <w:t xml:space="preserve"> To the extent that the Commission has previously sought comment on any of these issues, we incorporate by reference any comments that have been filed in response to such requests.  Given the passage of time, however, we encourage commenters to update and refresh their prior comments as necessary. </w:t>
      </w:r>
    </w:p>
  </w:footnote>
  <w:footnote w:id="19">
    <w:p w:rsidR="00ED09A4" w:rsidRPr="00673E86" w:rsidP="00ED09A4" w14:paraId="0FFCFE93" w14:textId="6AE52553">
      <w:pPr>
        <w:pStyle w:val="FootnoteText"/>
      </w:pPr>
      <w:r>
        <w:rPr>
          <w:rStyle w:val="FootnoteReference"/>
        </w:rPr>
        <w:footnoteRef/>
      </w:r>
      <w:r>
        <w:t xml:space="preserve"> </w:t>
      </w:r>
      <w:r>
        <w:rPr>
          <w:i/>
        </w:rPr>
        <w:t>See</w:t>
      </w:r>
      <w:r w:rsidR="00686230">
        <w:rPr>
          <w:i/>
        </w:rPr>
        <w:t xml:space="preserve"> </w:t>
      </w:r>
      <w:r>
        <w:rPr>
          <w:i/>
        </w:rPr>
        <w:t>2015 TCPA Order</w:t>
      </w:r>
      <w:r>
        <w:rPr>
          <w:iCs/>
        </w:rPr>
        <w:t>,</w:t>
      </w:r>
      <w:r w:rsidRPr="006E0063">
        <w:t xml:space="preserve"> 30 FCC </w:t>
      </w:r>
      <w:r w:rsidRPr="006E0063">
        <w:t>Rcd</w:t>
      </w:r>
      <w:r w:rsidRPr="006E0063">
        <w:t xml:space="preserve"> at 7993-99, paras. 55-70</w:t>
      </w:r>
      <w:r w:rsidR="00BC7773">
        <w:t xml:space="preserve"> (noting that</w:t>
      </w:r>
      <w:r w:rsidR="00794494">
        <w:t>,</w:t>
      </w:r>
      <w:r w:rsidR="00BC7773">
        <w:t xml:space="preserve"> “b</w:t>
      </w:r>
      <w:r w:rsidRPr="00BC7773" w:rsidR="00BC7773">
        <w:t>ecause the TCPA does not speak directly to the issue of revocation, the Commission can provide a reasonable construction of its terms</w:t>
      </w:r>
      <w:r w:rsidR="00BC7773">
        <w:t>”).</w:t>
      </w:r>
    </w:p>
  </w:footnote>
  <w:footnote w:id="20">
    <w:p w:rsidR="00253BA7" w:rsidRPr="002C5BB7" w:rsidP="00253BA7" w14:paraId="159AF851" w14:textId="32607072">
      <w:pPr>
        <w:pStyle w:val="FootnoteText"/>
      </w:pPr>
      <w:r>
        <w:rPr>
          <w:rStyle w:val="FootnoteReference"/>
        </w:rPr>
        <w:footnoteRef/>
      </w:r>
      <w:r>
        <w:t xml:space="preserve"> </w:t>
      </w:r>
      <w:r>
        <w:rPr>
          <w:i/>
        </w:rPr>
        <w:t>See</w:t>
      </w:r>
      <w:r>
        <w:t xml:space="preserve"> M</w:t>
      </w:r>
      <w:r w:rsidR="00F857D1">
        <w:t>obile Marketing Association</w:t>
      </w:r>
      <w:r>
        <w:t xml:space="preserve"> Best Practices</w:t>
      </w:r>
      <w:r w:rsidR="00F857D1">
        <w:t xml:space="preserve"> </w:t>
      </w:r>
      <w:r>
        <w:t xml:space="preserve">at </w:t>
      </w:r>
      <w:r w:rsidRPr="00593ACA">
        <w:t>section 1.5-2</w:t>
      </w:r>
      <w:r>
        <w:t>; Biggerstaff Comments at 1-2.</w:t>
      </w:r>
    </w:p>
  </w:footnote>
  <w:footnote w:id="21">
    <w:p w:rsidR="00FA1FE9" w:rsidRPr="00FA1FE9" w14:paraId="6907DD24" w14:textId="7918CA77">
      <w:pPr>
        <w:pStyle w:val="FootnoteText"/>
      </w:pPr>
      <w:r>
        <w:rPr>
          <w:rStyle w:val="FootnoteReference"/>
        </w:rPr>
        <w:footnoteRef/>
      </w:r>
      <w:r>
        <w:t xml:space="preserve"> </w:t>
      </w:r>
      <w:r>
        <w:rPr>
          <w:i/>
          <w:iCs/>
        </w:rPr>
        <w:t>See, e.g.</w:t>
      </w:r>
      <w:r>
        <w:t>, Biggerstaff Mobile Media Comments at 3-4.</w:t>
      </w:r>
    </w:p>
  </w:footnote>
  <w:footnote w:id="22">
    <w:p w:rsidR="00FE6BAB" w:rsidRPr="00266851" w:rsidP="00FE6BAB" w14:paraId="695A4903" w14:textId="77777777">
      <w:pPr>
        <w:pStyle w:val="FootnoteText"/>
      </w:pPr>
      <w:r>
        <w:rPr>
          <w:rStyle w:val="FootnoteReference"/>
        </w:rPr>
        <w:footnoteRef/>
      </w:r>
      <w:r>
        <w:t xml:space="preserve"> We note that, in response to the </w:t>
      </w:r>
      <w:r>
        <w:rPr>
          <w:i/>
          <w:iCs/>
        </w:rPr>
        <w:t>Mobile Media Petition</w:t>
      </w:r>
      <w:r>
        <w:t>, o</w:t>
      </w:r>
      <w:r w:rsidRPr="00266851">
        <w:t>ne co</w:t>
      </w:r>
      <w:r>
        <w:t>mmenter</w:t>
      </w:r>
      <w:r w:rsidRPr="00266851">
        <w:t xml:space="preserve"> argu</w:t>
      </w:r>
      <w:r>
        <w:t>ed</w:t>
      </w:r>
      <w:r w:rsidRPr="00266851">
        <w:t xml:space="preserve"> that the sending of a “STOP” message in reply to an incoming text is “the epitome of a ‘reasonable method’ of communicating to a sender to stop such messages and of revoking consent for future messages.” </w:t>
      </w:r>
      <w:r>
        <w:t xml:space="preserve"> </w:t>
      </w:r>
      <w:r>
        <w:rPr>
          <w:i/>
          <w:iCs/>
        </w:rPr>
        <w:t xml:space="preserve">See </w:t>
      </w:r>
      <w:r w:rsidRPr="00266851">
        <w:t>Biggerstaff Mobile Media Comments at 1-3 (arguing that granting Mobile Media’s request would encourage text initiators to have unreliable response mechanisms for opt-out requests so that they can claim such requests were never received).</w:t>
      </w:r>
    </w:p>
  </w:footnote>
  <w:footnote w:id="23">
    <w:p w:rsidR="00360DD2" w:rsidRPr="00360DD2" w:rsidP="00360DD2" w14:paraId="0960AA4D" w14:textId="081719CC">
      <w:pPr>
        <w:pStyle w:val="FootnoteText"/>
        <w:rPr>
          <w:iCs/>
        </w:rPr>
      </w:pPr>
      <w:r>
        <w:rPr>
          <w:rStyle w:val="FootnoteReference"/>
        </w:rPr>
        <w:footnoteRef/>
      </w:r>
      <w:r>
        <w:t xml:space="preserve"> </w:t>
      </w:r>
      <w:r w:rsidR="00686230">
        <w:rPr>
          <w:i/>
        </w:rPr>
        <w:t>See 2015 TCPA Order</w:t>
      </w:r>
      <w:r w:rsidR="00686230">
        <w:rPr>
          <w:iCs/>
        </w:rPr>
        <w:t xml:space="preserve">, 30 FCC </w:t>
      </w:r>
      <w:r w:rsidR="00686230">
        <w:rPr>
          <w:iCs/>
        </w:rPr>
        <w:t>Rcd</w:t>
      </w:r>
      <w:r w:rsidRPr="00360DD2">
        <w:rPr>
          <w:snapToGrid w:val="0"/>
          <w:kern w:val="28"/>
          <w:sz w:val="22"/>
        </w:rPr>
        <w:t xml:space="preserve"> </w:t>
      </w:r>
      <w:r w:rsidRPr="00360DD2">
        <w:rPr>
          <w:iCs/>
        </w:rPr>
        <w:t>at 7997, para. 67.</w:t>
      </w:r>
    </w:p>
  </w:footnote>
  <w:footnote w:id="24">
    <w:p w:rsidR="00253BA7" w:rsidRPr="00755D97" w:rsidP="00253BA7" w14:paraId="068E82E4" w14:textId="0CDAEA74">
      <w:pPr>
        <w:pStyle w:val="FootnoteText"/>
      </w:pPr>
      <w:r>
        <w:rPr>
          <w:rStyle w:val="FootnoteReference"/>
        </w:rPr>
        <w:footnoteRef/>
      </w:r>
      <w:r>
        <w:t xml:space="preserve"> </w:t>
      </w:r>
      <w:r>
        <w:rPr>
          <w:i/>
        </w:rPr>
        <w:t>Id</w:t>
      </w:r>
      <w:r>
        <w:t>.</w:t>
      </w:r>
    </w:p>
  </w:footnote>
  <w:footnote w:id="25">
    <w:p w:rsidR="00D61E8F" w:rsidRPr="00D61E8F" w14:paraId="0AAA0063" w14:textId="1B5E0D79">
      <w:pPr>
        <w:pStyle w:val="FootnoteText"/>
      </w:pPr>
      <w:r>
        <w:rPr>
          <w:rStyle w:val="FootnoteReference"/>
        </w:rPr>
        <w:footnoteRef/>
      </w:r>
      <w:r>
        <w:t xml:space="preserve"> </w:t>
      </w:r>
      <w:r>
        <w:rPr>
          <w:i/>
          <w:iCs/>
        </w:rPr>
        <w:t>See</w:t>
      </w:r>
      <w:r>
        <w:t xml:space="preserve"> </w:t>
      </w:r>
      <w:bookmarkStart w:id="37" w:name="_Hlk129936298"/>
      <w:r>
        <w:t xml:space="preserve">47 CFR </w:t>
      </w:r>
      <w:bookmarkStart w:id="38" w:name="_Hlk129780332"/>
      <w:r w:rsidRPr="00D61E8F">
        <w:t>§</w:t>
      </w:r>
      <w:bookmarkEnd w:id="38"/>
      <w:r w:rsidRPr="00D61E8F">
        <w:t> </w:t>
      </w:r>
      <w:r>
        <w:t>64.1200(a)(9)(</w:t>
      </w:r>
      <w:r>
        <w:t>i</w:t>
      </w:r>
      <w:r>
        <w:t xml:space="preserve">), </w:t>
      </w:r>
      <w:bookmarkEnd w:id="37"/>
      <w:r>
        <w:t>(d)(3).</w:t>
      </w:r>
    </w:p>
  </w:footnote>
  <w:footnote w:id="26">
    <w:p w:rsidR="008A38F8" w:rsidRPr="00377517" w14:paraId="314DE307" w14:textId="607ADB48">
      <w:pPr>
        <w:pStyle w:val="FootnoteText"/>
        <w:rPr>
          <w:i/>
          <w:iCs/>
        </w:rPr>
      </w:pPr>
      <w:r>
        <w:rPr>
          <w:rStyle w:val="FootnoteReference"/>
        </w:rPr>
        <w:footnoteRef/>
      </w:r>
      <w:r>
        <w:t xml:space="preserve"> </w:t>
      </w:r>
      <w:r>
        <w:rPr>
          <w:i/>
          <w:iCs/>
        </w:rPr>
        <w:t>Id.</w:t>
      </w:r>
    </w:p>
  </w:footnote>
  <w:footnote w:id="27">
    <w:p w:rsidR="0026400F" w:rsidRPr="0026400F" w14:paraId="2F0B0985" w14:textId="6C21295F">
      <w:pPr>
        <w:pStyle w:val="FootnoteText"/>
      </w:pPr>
      <w:r>
        <w:rPr>
          <w:rStyle w:val="FootnoteReference"/>
        </w:rPr>
        <w:footnoteRef/>
      </w:r>
      <w:r>
        <w:t xml:space="preserve"> </w:t>
      </w:r>
      <w:r>
        <w:rPr>
          <w:i/>
          <w:iCs/>
        </w:rPr>
        <w:t xml:space="preserve">See </w:t>
      </w:r>
      <w:r>
        <w:t xml:space="preserve">47 </w:t>
      </w:r>
      <w:r w:rsidRPr="0026400F">
        <w:t>CFR § 64.1200(a)(</w:t>
      </w:r>
      <w:r>
        <w:t>1)-(3).</w:t>
      </w:r>
    </w:p>
  </w:footnote>
  <w:footnote w:id="28">
    <w:p w:rsidR="004C36A0" w14:paraId="403D10BD" w14:textId="284746D1">
      <w:pPr>
        <w:pStyle w:val="FootnoteText"/>
      </w:pPr>
      <w:r>
        <w:rPr>
          <w:rStyle w:val="FootnoteReference"/>
        </w:rPr>
        <w:footnoteRef/>
      </w:r>
      <w:r>
        <w:t xml:space="preserve"> As discussed in more detail below, the Commission has </w:t>
      </w:r>
      <w:r w:rsidR="00831395">
        <w:t xml:space="preserve">in most instances </w:t>
      </w:r>
      <w:r>
        <w:t xml:space="preserve">conditioned the use of </w:t>
      </w:r>
      <w:r w:rsidR="008A38F8">
        <w:t>an</w:t>
      </w:r>
      <w:r>
        <w:t xml:space="preserve"> exemption on honoring opt-out requests “immediately.”  Although thi</w:t>
      </w:r>
      <w:r w:rsidR="00831395">
        <w:t>s</w:t>
      </w:r>
      <w:r>
        <w:t xml:space="preserve"> condition has been imposed for many years, there is no indication that compliance </w:t>
      </w:r>
      <w:r w:rsidR="008A38F8">
        <w:t xml:space="preserve">in that timeframe </w:t>
      </w:r>
      <w:r w:rsidR="00DF32C9">
        <w:t>has</w:t>
      </w:r>
      <w:r>
        <w:t xml:space="preserve"> not </w:t>
      </w:r>
      <w:r w:rsidR="00DF32C9">
        <w:t xml:space="preserve">been </w:t>
      </w:r>
      <w:r>
        <w:t xml:space="preserve">possible using current technology. </w:t>
      </w:r>
    </w:p>
  </w:footnote>
  <w:footnote w:id="29">
    <w:p w:rsidR="004B5CCB" w:rsidRPr="0083484B" w14:paraId="740D5E4B" w14:textId="19AFC1E9">
      <w:pPr>
        <w:pStyle w:val="FootnoteText"/>
      </w:pPr>
      <w:r>
        <w:rPr>
          <w:rStyle w:val="FootnoteReference"/>
        </w:rPr>
        <w:footnoteRef/>
      </w:r>
      <w:r>
        <w:t xml:space="preserve"> </w:t>
      </w:r>
      <w:r>
        <w:rPr>
          <w:i/>
          <w:iCs/>
        </w:rPr>
        <w:t>See</w:t>
      </w:r>
      <w:r>
        <w:t xml:space="preserve"> 47 </w:t>
      </w:r>
      <w:r w:rsidRPr="004B5CCB">
        <w:t>CFR § 64.1200(a)(9)</w:t>
      </w:r>
      <w:r>
        <w:t>(</w:t>
      </w:r>
      <w:r>
        <w:t>i</w:t>
      </w:r>
      <w:r>
        <w:t>).</w:t>
      </w:r>
      <w:r w:rsidR="007C75EF">
        <w:t xml:space="preserve"> </w:t>
      </w:r>
      <w:r w:rsidR="0083484B">
        <w:t xml:space="preserve"> </w:t>
      </w:r>
      <w:r w:rsidR="007C75EF">
        <w:t xml:space="preserve">As noted, </w:t>
      </w:r>
      <w:r w:rsidR="0083484B">
        <w:t xml:space="preserve">the Commission has conditioned </w:t>
      </w:r>
      <w:r w:rsidR="007C75EF">
        <w:t xml:space="preserve">all other </w:t>
      </w:r>
      <w:r w:rsidR="0083484B">
        <w:t xml:space="preserve">categories of </w:t>
      </w:r>
      <w:r w:rsidR="007C75EF">
        <w:t xml:space="preserve">exempted calls to wireless telephone numbers </w:t>
      </w:r>
      <w:r w:rsidR="0083484B">
        <w:t xml:space="preserve">on honoring opt-out requests “immediately.”  </w:t>
      </w:r>
      <w:r w:rsidR="0083484B">
        <w:rPr>
          <w:i/>
          <w:iCs/>
        </w:rPr>
        <w:t xml:space="preserve">See </w:t>
      </w:r>
      <w:r w:rsidRPr="0083484B" w:rsidR="0083484B">
        <w:t>47 CFR § 64.1200(a)(9)(</w:t>
      </w:r>
      <w:r w:rsidR="0083484B">
        <w:t>ii)-(iv).</w:t>
      </w:r>
    </w:p>
  </w:footnote>
  <w:footnote w:id="30">
    <w:p w:rsidR="007522B4" w14:paraId="37A994F8" w14:textId="26E9039A">
      <w:pPr>
        <w:pStyle w:val="FootnoteText"/>
      </w:pPr>
      <w:r>
        <w:rPr>
          <w:rStyle w:val="FootnoteReference"/>
        </w:rPr>
        <w:footnoteRef/>
      </w:r>
      <w:r>
        <w:t xml:space="preserve"> </w:t>
      </w:r>
      <w:r w:rsidRPr="007522B4">
        <w:rPr>
          <w:i/>
          <w:iCs/>
        </w:rPr>
        <w:t xml:space="preserve">See </w:t>
      </w:r>
      <w:r w:rsidRPr="007522B4">
        <w:t>47 CFR § 64.1200(a)(9)(ii)-(iv).</w:t>
      </w:r>
    </w:p>
  </w:footnote>
  <w:footnote w:id="31">
    <w:p w:rsidR="006A6530" w:rsidRPr="004D5514" w:rsidP="006A6530" w14:paraId="6FF59931" w14:textId="77777777">
      <w:pPr>
        <w:pStyle w:val="FootnoteText"/>
      </w:pPr>
      <w:r>
        <w:rPr>
          <w:rStyle w:val="FootnoteReference"/>
        </w:rPr>
        <w:footnoteRef/>
      </w:r>
      <w:r>
        <w:t xml:space="preserve"> </w:t>
      </w:r>
      <w:r>
        <w:rPr>
          <w:i/>
          <w:iCs/>
        </w:rPr>
        <w:t>See Soundbite Declaratory Ruling</w:t>
      </w:r>
      <w:r w:rsidRPr="00E67240">
        <w:t>,</w:t>
      </w:r>
      <w:r>
        <w:rPr>
          <w:i/>
          <w:iCs/>
        </w:rPr>
        <w:t xml:space="preserve"> </w:t>
      </w:r>
      <w:r w:rsidRPr="004D5514">
        <w:t xml:space="preserve">27 FCC </w:t>
      </w:r>
      <w:r w:rsidRPr="004D5514">
        <w:t>Rcd</w:t>
      </w:r>
      <w:r w:rsidRPr="004D5514">
        <w:t xml:space="preserve"> at 15394</w:t>
      </w:r>
      <w:r>
        <w:t>-98</w:t>
      </w:r>
      <w:r w:rsidRPr="004D5514">
        <w:t>, para</w:t>
      </w:r>
      <w:r>
        <w:t>s</w:t>
      </w:r>
      <w:r w:rsidRPr="004D5514">
        <w:t>. 7</w:t>
      </w:r>
      <w:r>
        <w:t>-12 (noting that the sending of such confirmation text messages is a widespread practice that often benefits consumers).</w:t>
      </w:r>
    </w:p>
  </w:footnote>
  <w:footnote w:id="32">
    <w:p w:rsidR="006A6530" w:rsidRPr="004F6304" w:rsidP="006A6530" w14:paraId="3C02D69A" w14:textId="77777777">
      <w:pPr>
        <w:pStyle w:val="FootnoteText"/>
      </w:pPr>
      <w:r>
        <w:rPr>
          <w:rStyle w:val="FootnoteReference"/>
        </w:rPr>
        <w:footnoteRef/>
      </w:r>
      <w:r>
        <w:t xml:space="preserve"> </w:t>
      </w:r>
      <w:r>
        <w:rPr>
          <w:i/>
          <w:iCs/>
        </w:rPr>
        <w:t>Id</w:t>
      </w:r>
      <w:r>
        <w:t>. at 15396, para. 10.</w:t>
      </w:r>
    </w:p>
  </w:footnote>
  <w:footnote w:id="33">
    <w:p w:rsidR="006A6530" w:rsidRPr="006775F4" w:rsidP="006A6530" w14:paraId="53EF97B4" w14:textId="77777777">
      <w:pPr>
        <w:pStyle w:val="FootnoteText"/>
      </w:pPr>
      <w:r>
        <w:rPr>
          <w:rStyle w:val="FootnoteReference"/>
        </w:rPr>
        <w:footnoteRef/>
      </w:r>
      <w:r>
        <w:t xml:space="preserve"> As an example, Capital One notes that, if it were to send a text message about a declined card transaction to which the recipient responded with “stop,” it would be unclear whether the customer is requesting to opt out of all messages including payment due notices and suspected fraud alerts, or only card decline notices.  </w:t>
      </w:r>
      <w:r>
        <w:rPr>
          <w:i/>
          <w:iCs/>
        </w:rPr>
        <w:t>See Capital One Petition</w:t>
      </w:r>
      <w:r>
        <w:t xml:space="preserve"> at 3.</w:t>
      </w:r>
    </w:p>
  </w:footnote>
  <w:footnote w:id="34">
    <w:p w:rsidR="006A6530" w:rsidRPr="00AE383B" w:rsidP="006A6530" w14:paraId="299BB25A" w14:textId="77777777">
      <w:pPr>
        <w:pStyle w:val="FootnoteText"/>
      </w:pPr>
      <w:r>
        <w:rPr>
          <w:rStyle w:val="FootnoteReference"/>
        </w:rPr>
        <w:footnoteRef/>
      </w:r>
      <w:r>
        <w:t xml:space="preserve"> </w:t>
      </w:r>
      <w:r>
        <w:rPr>
          <w:i/>
          <w:iCs/>
        </w:rPr>
        <w:t>See, e.g.</w:t>
      </w:r>
      <w:r>
        <w:t xml:space="preserve">, ACA Comments at 1-2; </w:t>
      </w:r>
      <w:r w:rsidRPr="00AE383B">
        <w:rPr>
          <w:bCs/>
        </w:rPr>
        <w:t>National Association of Federally-Insured Credit Unions</w:t>
      </w:r>
      <w:r>
        <w:rPr>
          <w:bCs/>
        </w:rPr>
        <w:t xml:space="preserve"> at 1-2. </w:t>
      </w:r>
    </w:p>
  </w:footnote>
  <w:footnote w:id="35">
    <w:p w:rsidR="006A6530" w:rsidRPr="00C23FCC" w:rsidP="006A6530" w14:paraId="5515F7FE" w14:textId="77777777">
      <w:pPr>
        <w:pStyle w:val="FootnoteText"/>
      </w:pPr>
      <w:r>
        <w:rPr>
          <w:rStyle w:val="FootnoteReference"/>
        </w:rPr>
        <w:footnoteRef/>
      </w:r>
      <w:r>
        <w:t xml:space="preserve"> </w:t>
      </w:r>
      <w:r>
        <w:rPr>
          <w:i/>
          <w:iCs/>
        </w:rPr>
        <w:t xml:space="preserve">See </w:t>
      </w:r>
      <w:r>
        <w:t>Consumer Reports Comments at 2; NCLC et al. Comments at 2.</w:t>
      </w:r>
    </w:p>
  </w:footnote>
  <w:footnote w:id="36">
    <w:p w:rsidR="006A6530" w:rsidRPr="006775F4" w:rsidP="006A6530" w14:paraId="46D7A82F" w14:textId="77777777">
      <w:pPr>
        <w:pStyle w:val="FootnoteText"/>
      </w:pPr>
      <w:r>
        <w:rPr>
          <w:rStyle w:val="FootnoteReference"/>
        </w:rPr>
        <w:footnoteRef/>
      </w:r>
      <w:r>
        <w:t xml:space="preserve"> </w:t>
      </w:r>
      <w:r>
        <w:rPr>
          <w:i/>
          <w:iCs/>
        </w:rPr>
        <w:t>Soundbite Declaratory Ruling</w:t>
      </w:r>
      <w:r w:rsidRPr="00D338C7">
        <w:t>,</w:t>
      </w:r>
      <w:r>
        <w:rPr>
          <w:i/>
          <w:iCs/>
        </w:rPr>
        <w:t xml:space="preserve"> </w:t>
      </w:r>
      <w:r w:rsidRPr="004D5514">
        <w:t xml:space="preserve">27 FCC </w:t>
      </w:r>
      <w:r w:rsidRPr="004D5514">
        <w:t>Rcd</w:t>
      </w:r>
      <w:r>
        <w:rPr>
          <w:i/>
          <w:iCs/>
        </w:rPr>
        <w:t xml:space="preserve"> </w:t>
      </w:r>
      <w:r>
        <w:t xml:space="preserve">at 15397, paras. 11-12; </w:t>
      </w:r>
      <w:r>
        <w:rPr>
          <w:i/>
          <w:iCs/>
        </w:rPr>
        <w:t>Capital One Petition</w:t>
      </w:r>
      <w:r>
        <w:t xml:space="preserve"> at 2.</w:t>
      </w:r>
    </w:p>
  </w:footnote>
  <w:footnote w:id="37">
    <w:p w:rsidR="006A6530" w:rsidRPr="0066260B" w:rsidP="006A6530" w14:paraId="5A5BF5E7" w14:textId="4F588246">
      <w:pPr>
        <w:pStyle w:val="FootnoteText"/>
      </w:pPr>
      <w:r>
        <w:rPr>
          <w:rStyle w:val="FootnoteReference"/>
        </w:rPr>
        <w:footnoteRef/>
      </w:r>
      <w:r>
        <w:t xml:space="preserve"> </w:t>
      </w:r>
      <w:r>
        <w:rPr>
          <w:i/>
          <w:iCs/>
        </w:rPr>
        <w:t>See</w:t>
      </w:r>
      <w:r>
        <w:t xml:space="preserve">, </w:t>
      </w:r>
      <w:r>
        <w:rPr>
          <w:i/>
          <w:iCs/>
        </w:rPr>
        <w:t>e.g.</w:t>
      </w:r>
      <w:r>
        <w:t xml:space="preserve">, </w:t>
      </w:r>
      <w:r w:rsidRPr="003A048C">
        <w:t>ACA Comments at 1-2</w:t>
      </w:r>
      <w:r w:rsidR="00DD6B98">
        <w:t xml:space="preserve"> (</w:t>
      </w:r>
      <w:r w:rsidRPr="00DD6B98" w:rsidR="00DD6B98">
        <w:t>consumers can suffer harm if they inadvertently opt-out of legitimate business communications they may nee</w:t>
      </w:r>
      <w:r w:rsidR="00DD6B98">
        <w:t>d)</w:t>
      </w:r>
      <w:r w:rsidRPr="003A048C">
        <w:t xml:space="preserve">; </w:t>
      </w:r>
      <w:r>
        <w:t xml:space="preserve">Consumer Reports Comments at 1 (agreeing </w:t>
      </w:r>
      <w:r w:rsidRPr="002D50C6">
        <w:t>that a follow-up message can be helpful for the consumer, who may not have intended to opt out of all categories of informational messages</w:t>
      </w:r>
      <w:r>
        <w:t>);</w:t>
      </w:r>
      <w:r w:rsidRPr="002D50C6">
        <w:rPr>
          <w:bCs/>
        </w:rPr>
        <w:t xml:space="preserve"> </w:t>
      </w:r>
      <w:r w:rsidRPr="003A048C">
        <w:rPr>
          <w:bCs/>
        </w:rPr>
        <w:t>National Association of Federally-Insured Credit Unions at 1-2</w:t>
      </w:r>
      <w:r w:rsidR="00DD6B98">
        <w:rPr>
          <w:bCs/>
        </w:rPr>
        <w:t xml:space="preserve"> (s</w:t>
      </w:r>
      <w:r w:rsidRPr="00DD6B98" w:rsidR="00DD6B98">
        <w:rPr>
          <w:bCs/>
        </w:rPr>
        <w:t>uch messages are not only common practice across industries, but they also offer a much</w:t>
      </w:r>
      <w:r w:rsidR="00D076B1">
        <w:rPr>
          <w:bCs/>
        </w:rPr>
        <w:t>-</w:t>
      </w:r>
      <w:r w:rsidRPr="00DD6B98" w:rsidR="00DD6B98">
        <w:rPr>
          <w:bCs/>
        </w:rPr>
        <w:t>needed clarification for consumers who inadvertently submit an opt-out request or who want to opt</w:t>
      </w:r>
      <w:r w:rsidR="00D076B1">
        <w:rPr>
          <w:bCs/>
        </w:rPr>
        <w:t xml:space="preserve"> </w:t>
      </w:r>
      <w:r w:rsidRPr="00DD6B98" w:rsidR="00DD6B98">
        <w:rPr>
          <w:bCs/>
        </w:rPr>
        <w:t>out of specific messages but want to continue to receive other important, time-sensitive information</w:t>
      </w:r>
      <w:r w:rsidR="00DD6B98">
        <w:rPr>
          <w:bCs/>
        </w:rPr>
        <w:t>)</w:t>
      </w:r>
      <w:r>
        <w:rPr>
          <w:bCs/>
        </w:rPr>
        <w:t>; NCLC et al. Comments at 2</w:t>
      </w:r>
      <w:r w:rsidRPr="003A048C">
        <w:rPr>
          <w:bCs/>
        </w:rPr>
        <w:t>.</w:t>
      </w:r>
    </w:p>
  </w:footnote>
  <w:footnote w:id="38">
    <w:p w:rsidR="00C1378A" w14:paraId="3ADA8198" w14:textId="0E39DCFD">
      <w:pPr>
        <w:pStyle w:val="FootnoteText"/>
      </w:pPr>
      <w:r>
        <w:rPr>
          <w:rStyle w:val="FootnoteReference"/>
        </w:rPr>
        <w:footnoteRef/>
      </w:r>
      <w:r>
        <w:t xml:space="preserve"> </w:t>
      </w:r>
      <w:r w:rsidR="00C33E36">
        <w:t>As discussed in further detail below, we propose to create an exemption for wireless</w:t>
      </w:r>
      <w:r w:rsidR="00FD09E5">
        <w:t xml:space="preserve"> providers</w:t>
      </w:r>
      <w:r w:rsidR="00C33E36">
        <w:t xml:space="preserve"> pursuant to our authority under section 227(b)(2)(C).</w:t>
      </w:r>
      <w:r w:rsidR="00EA1CA1">
        <w:t xml:space="preserve"> </w:t>
      </w:r>
      <w:r w:rsidR="00F75553">
        <w:t xml:space="preserve"> </w:t>
      </w:r>
      <w:r w:rsidRPr="00C1378A">
        <w:rPr>
          <w:i/>
          <w:iCs/>
        </w:rPr>
        <w:t>See</w:t>
      </w:r>
      <w:r w:rsidRPr="00C1378A">
        <w:t xml:space="preserve"> 47 </w:t>
      </w:r>
      <w:r>
        <w:t>U.S.C.</w:t>
      </w:r>
      <w:r w:rsidRPr="00C1378A">
        <w:t xml:space="preserve"> § </w:t>
      </w:r>
      <w:r>
        <w:t>227(b)(2)(C).</w:t>
      </w:r>
      <w:r w:rsidR="00313F40">
        <w:t xml:space="preserve">  We note that any such exemption would strictly </w:t>
      </w:r>
      <w:r w:rsidR="00A13E1F">
        <w:t xml:space="preserve">be </w:t>
      </w:r>
      <w:r w:rsidR="00313F40">
        <w:t xml:space="preserve">limited to wireless providers that call or text their own subscribers and not extend to communicating with the subscribers of other wireless providers. </w:t>
      </w:r>
    </w:p>
  </w:footnote>
  <w:footnote w:id="39">
    <w:p w:rsidR="001F3A78" w:rsidP="001F3A78" w14:paraId="04078294" w14:textId="77777777">
      <w:pPr>
        <w:pStyle w:val="FootnoteText"/>
      </w:pPr>
      <w:r>
        <w:rPr>
          <w:rStyle w:val="FootnoteReference"/>
        </w:rPr>
        <w:footnoteRef/>
      </w:r>
      <w:r>
        <w:t xml:space="preserve"> </w:t>
      </w:r>
      <w:r>
        <w:rPr>
          <w:i/>
          <w:iCs/>
        </w:rPr>
        <w:t xml:space="preserve">See </w:t>
      </w:r>
      <w:r w:rsidRPr="0098441D">
        <w:rPr>
          <w:i/>
          <w:iCs/>
        </w:rPr>
        <w:t>1992 TCPA Order</w:t>
      </w:r>
      <w:r w:rsidRPr="0098441D">
        <w:t xml:space="preserve">, 7 FCC </w:t>
      </w:r>
      <w:r w:rsidRPr="0098441D">
        <w:t>Rcd</w:t>
      </w:r>
      <w:r w:rsidRPr="0098441D">
        <w:t xml:space="preserve"> at 8774, para. 45.</w:t>
      </w:r>
    </w:p>
  </w:footnote>
  <w:footnote w:id="40">
    <w:p w:rsidR="00156FC7" w:rsidP="00156FC7" w14:paraId="57E539EA" w14:textId="1E4817A3">
      <w:pPr>
        <w:pStyle w:val="FootnoteText"/>
      </w:pPr>
      <w:r>
        <w:rPr>
          <w:rStyle w:val="FootnoteReference"/>
        </w:rPr>
        <w:footnoteRef/>
      </w:r>
      <w:r>
        <w:t xml:space="preserve"> </w:t>
      </w:r>
      <w:r w:rsidRPr="00857DE4">
        <w:rPr>
          <w:i/>
          <w:iCs/>
        </w:rPr>
        <w:t>See</w:t>
      </w:r>
      <w:r w:rsidRPr="00857DE4">
        <w:t xml:space="preserve"> Telephone Disclosure and Dispute Resolution Act, Pub. L. No. 102-556, 106 Stat 4181 (1992)</w:t>
      </w:r>
      <w:r w:rsidR="00160330">
        <w:t xml:space="preserve">; </w:t>
      </w:r>
      <w:r w:rsidRPr="00857DE4">
        <w:t> </w:t>
      </w:r>
      <w:r w:rsidRPr="00160330" w:rsidR="00160330">
        <w:t xml:space="preserve">47 U.S.C. </w:t>
      </w:r>
      <w:r w:rsidRPr="00160330" w:rsidR="00EB375A">
        <w:t>§</w:t>
      </w:r>
      <w:r w:rsidR="00EB375A">
        <w:t> </w:t>
      </w:r>
      <w:r w:rsidRPr="00160330" w:rsidR="00160330">
        <w:t>227(b)(2)(C).</w:t>
      </w:r>
    </w:p>
  </w:footnote>
  <w:footnote w:id="41">
    <w:p w:rsidR="00156FC7" w:rsidRPr="00156FC7" w14:paraId="0DD102D0" w14:textId="54AD08A7">
      <w:pPr>
        <w:pStyle w:val="FootnoteText"/>
      </w:pPr>
      <w:r>
        <w:rPr>
          <w:rStyle w:val="FootnoteReference"/>
        </w:rPr>
        <w:footnoteRef/>
      </w:r>
      <w:r>
        <w:t xml:space="preserve"> </w:t>
      </w:r>
      <w:r>
        <w:rPr>
          <w:i/>
          <w:iCs/>
        </w:rPr>
        <w:t>See, e.g.</w:t>
      </w:r>
      <w:r>
        <w:t xml:space="preserve">, </w:t>
      </w:r>
      <w:r w:rsidRPr="00156FC7">
        <w:rPr>
          <w:i/>
          <w:iCs/>
        </w:rPr>
        <w:t>Armbruster Petition</w:t>
      </w:r>
      <w:r w:rsidRPr="00E67240">
        <w:t>;</w:t>
      </w:r>
      <w:r w:rsidRPr="00156FC7">
        <w:rPr>
          <w:i/>
          <w:iCs/>
        </w:rPr>
        <w:t xml:space="preserve"> </w:t>
      </w:r>
      <w:r w:rsidRPr="00156FC7">
        <w:rPr>
          <w:i/>
          <w:iCs/>
        </w:rPr>
        <w:t>Cranor</w:t>
      </w:r>
      <w:r w:rsidRPr="00156FC7">
        <w:rPr>
          <w:i/>
          <w:iCs/>
        </w:rPr>
        <w:t xml:space="preserve"> Petition</w:t>
      </w:r>
      <w:r>
        <w:t>.</w:t>
      </w:r>
    </w:p>
  </w:footnote>
  <w:footnote w:id="42">
    <w:p w:rsidR="00AC6CE3" w:rsidRPr="00D03DEF" w:rsidP="00AC6CE3" w14:paraId="2D16F11C" w14:textId="77777777">
      <w:pPr>
        <w:pStyle w:val="FootnoteText"/>
      </w:pPr>
      <w:r>
        <w:rPr>
          <w:rStyle w:val="FootnoteReference"/>
        </w:rPr>
        <w:footnoteRef/>
      </w:r>
      <w:r>
        <w:t xml:space="preserve"> </w:t>
      </w:r>
      <w:r>
        <w:rPr>
          <w:i/>
          <w:iCs/>
        </w:rPr>
        <w:t>See, e.g</w:t>
      </w:r>
      <w:r>
        <w:t>., AT&amp;T Armbruster Comments at 1-2; CTIA Armbruster Comments at 7-8.</w:t>
      </w:r>
    </w:p>
  </w:footnote>
  <w:footnote w:id="43">
    <w:p w:rsidR="00DF0261" w:rsidRPr="00DF0261" w14:paraId="57FA8763" w14:textId="0730EDFA">
      <w:pPr>
        <w:pStyle w:val="FootnoteText"/>
      </w:pPr>
      <w:r>
        <w:rPr>
          <w:rStyle w:val="FootnoteReference"/>
        </w:rPr>
        <w:footnoteRef/>
      </w:r>
      <w:r>
        <w:t xml:space="preserve"> </w:t>
      </w:r>
      <w:r>
        <w:rPr>
          <w:i/>
          <w:iCs/>
        </w:rPr>
        <w:t>See</w:t>
      </w:r>
      <w:r>
        <w:t xml:space="preserve"> </w:t>
      </w:r>
      <w:r>
        <w:rPr>
          <w:i/>
          <w:iCs/>
        </w:rPr>
        <w:t>1992 TCPA Order</w:t>
      </w:r>
      <w:r>
        <w:t xml:space="preserve">, 7 FCC </w:t>
      </w:r>
      <w:r>
        <w:t>Rcd</w:t>
      </w:r>
      <w:r>
        <w:t xml:space="preserve"> at 8774, para. 45.</w:t>
      </w:r>
    </w:p>
  </w:footnote>
  <w:footnote w:id="44">
    <w:p w:rsidR="001F3A78" w:rsidRPr="001F3A78" w14:paraId="4EEEFDBE" w14:textId="6D4DDE14">
      <w:pPr>
        <w:pStyle w:val="FootnoteText"/>
      </w:pPr>
      <w:r>
        <w:rPr>
          <w:rStyle w:val="FootnoteReference"/>
        </w:rPr>
        <w:footnoteRef/>
      </w:r>
      <w:r>
        <w:t xml:space="preserve"> </w:t>
      </w:r>
      <w:r>
        <w:rPr>
          <w:i/>
          <w:iCs/>
        </w:rPr>
        <w:t xml:space="preserve">See </w:t>
      </w:r>
      <w:r>
        <w:t xml:space="preserve">47 U.S.C. </w:t>
      </w:r>
      <w:r w:rsidRPr="001F3A78">
        <w:t>§</w:t>
      </w:r>
      <w:r>
        <w:t xml:space="preserve"> 227(b)(2)(C). </w:t>
      </w:r>
    </w:p>
  </w:footnote>
  <w:footnote w:id="45">
    <w:p w:rsidR="001F3A78" w:rsidRPr="001F3A78" w14:paraId="4D5B50CC" w14:textId="73D5D25E">
      <w:pPr>
        <w:pStyle w:val="FootnoteText"/>
      </w:pPr>
      <w:r>
        <w:rPr>
          <w:rStyle w:val="FootnoteReference"/>
        </w:rPr>
        <w:footnoteRef/>
      </w:r>
      <w:r>
        <w:t xml:space="preserve"> </w:t>
      </w:r>
      <w:r>
        <w:rPr>
          <w:i/>
          <w:iCs/>
        </w:rPr>
        <w:t xml:space="preserve">See </w:t>
      </w:r>
      <w:r w:rsidRPr="001F3A78">
        <w:t>47 CFR § 64.1200(a)(9)</w:t>
      </w:r>
      <w:r w:rsidR="0002422E">
        <w:t xml:space="preserve"> (</w:t>
      </w:r>
      <w:r w:rsidRPr="0002422E" w:rsidR="0002422E">
        <w:t>creat</w:t>
      </w:r>
      <w:r w:rsidR="0002422E">
        <w:t>ing</w:t>
      </w:r>
      <w:r w:rsidRPr="0002422E" w:rsidR="0002422E">
        <w:t xml:space="preserve"> exemptions for </w:t>
      </w:r>
      <w:r w:rsidR="0002422E">
        <w:t xml:space="preserve">package delivery, </w:t>
      </w:r>
      <w:r w:rsidRPr="0002422E" w:rsidR="0002422E">
        <w:t>financial services, inmate phone service providers, and certain healthcare callers subject to specific conditions</w:t>
      </w:r>
      <w:r w:rsidR="00812A29">
        <w:t xml:space="preserve"> including the ability of consumers to opt</w:t>
      </w:r>
      <w:r w:rsidR="00397624">
        <w:t xml:space="preserve"> </w:t>
      </w:r>
      <w:r w:rsidR="00812A29">
        <w:t xml:space="preserve">out from such </w:t>
      </w:r>
      <w:r w:rsidR="00C327ED">
        <w:t>robo</w:t>
      </w:r>
      <w:r w:rsidR="00812A29">
        <w:t xml:space="preserve">calls or </w:t>
      </w:r>
      <w:r w:rsidR="00C327ED">
        <w:t>robo</w:t>
      </w:r>
      <w:r w:rsidR="00812A29">
        <w:t>texts</w:t>
      </w:r>
      <w:r w:rsidR="0002422E">
        <w:t>).</w:t>
      </w:r>
    </w:p>
  </w:footnote>
  <w:footnote w:id="46">
    <w:p w:rsidR="00EE6FD3" w:rsidRPr="00EE6FD3" w14:paraId="117C08A6" w14:textId="2FA3826D">
      <w:pPr>
        <w:pStyle w:val="FootnoteText"/>
      </w:pPr>
      <w:r>
        <w:rPr>
          <w:rStyle w:val="FootnoteReference"/>
        </w:rPr>
        <w:footnoteRef/>
      </w:r>
      <w:r>
        <w:t xml:space="preserve"> </w:t>
      </w:r>
      <w:r>
        <w:rPr>
          <w:i/>
          <w:iCs/>
        </w:rPr>
        <w:t xml:space="preserve">See </w:t>
      </w:r>
      <w:r>
        <w:t xml:space="preserve">47 </w:t>
      </w:r>
      <w:r w:rsidRPr="00EE6FD3">
        <w:t>U.S.C. § 227(b)(2)(C).</w:t>
      </w:r>
    </w:p>
  </w:footnote>
  <w:footnote w:id="47">
    <w:p w:rsidR="00CC662C" w14:paraId="31F858F9" w14:textId="02076E01">
      <w:pPr>
        <w:pStyle w:val="FootnoteText"/>
      </w:pPr>
      <w:r>
        <w:rPr>
          <w:rStyle w:val="FootnoteReference"/>
        </w:rPr>
        <w:footnoteRef/>
      </w:r>
      <w:r>
        <w:t xml:space="preserve"> </w:t>
      </w:r>
      <w:r w:rsidRPr="00CC662C">
        <w:rPr>
          <w:i/>
          <w:iCs/>
        </w:rPr>
        <w:t>See, e.g</w:t>
      </w:r>
      <w:r w:rsidRPr="00CC662C">
        <w:t>., AT&amp;T Armbruster Comments at 1-2; CTIA Armbruster Comments at 7-8.</w:t>
      </w:r>
    </w:p>
  </w:footnote>
  <w:footnote w:id="48">
    <w:p w:rsidR="005E0B3C" w:rsidRPr="005E0B3C" w14:paraId="5E4D7C6C" w14:textId="0DEADF1C">
      <w:pPr>
        <w:pStyle w:val="FootnoteText"/>
      </w:pPr>
      <w:r>
        <w:rPr>
          <w:rStyle w:val="FootnoteReference"/>
        </w:rPr>
        <w:footnoteRef/>
      </w:r>
      <w:r>
        <w:t xml:space="preserve"> </w:t>
      </w:r>
      <w:r w:rsidRPr="00CC662C" w:rsidR="00CC662C">
        <w:rPr>
          <w:i/>
          <w:iCs/>
        </w:rPr>
        <w:t xml:space="preserve">See </w:t>
      </w:r>
      <w:r w:rsidRPr="00CC662C" w:rsidR="00CC662C">
        <w:t xml:space="preserve">47 U.S.C. § 227(b)(2)(C). </w:t>
      </w:r>
    </w:p>
  </w:footnote>
  <w:footnote w:id="49">
    <w:p w:rsidR="009C6757" w:rsidRPr="00094BF5" w:rsidP="009C6757" w14:paraId="6BB95DE3" w14:textId="77777777">
      <w:pPr>
        <w:pStyle w:val="FootnoteText"/>
      </w:pPr>
      <w:r>
        <w:rPr>
          <w:rStyle w:val="FootnoteReference"/>
        </w:rPr>
        <w:footnoteRef/>
      </w:r>
      <w:r>
        <w:t xml:space="preserve"> </w:t>
      </w:r>
      <w:r>
        <w:rPr>
          <w:i/>
          <w:iCs/>
        </w:rPr>
        <w:t>See</w:t>
      </w:r>
      <w:r>
        <w:t xml:space="preserve"> 47 U.S.C. </w:t>
      </w:r>
      <w:r w:rsidRPr="00F8627F">
        <w:t xml:space="preserve">§ 227(b)(1)(B); 47 CFR § 64.1200(a)(3).  </w:t>
      </w:r>
    </w:p>
  </w:footnote>
  <w:footnote w:id="50">
    <w:p w:rsidR="00DD5FD8" w14:paraId="141DC3E3" w14:textId="179BF524">
      <w:pPr>
        <w:pStyle w:val="FootnoteText"/>
      </w:pPr>
      <w:r>
        <w:rPr>
          <w:rStyle w:val="FootnoteReference"/>
        </w:rPr>
        <w:footnoteRef/>
      </w:r>
      <w:r>
        <w:t xml:space="preserve"> </w:t>
      </w:r>
      <w:r w:rsidR="00C66117">
        <w:t xml:space="preserve">We note that the Commission has confirmed that callers can obtain prior express consent to make informational calls either orally or in writing.  </w:t>
      </w:r>
      <w:r w:rsidR="00C66117">
        <w:rPr>
          <w:i/>
          <w:iCs/>
        </w:rPr>
        <w:t>See</w:t>
      </w:r>
      <w:r w:rsidR="00053A5D">
        <w:rPr>
          <w:i/>
          <w:iCs/>
        </w:rPr>
        <w:t>, e.g.</w:t>
      </w:r>
      <w:r w:rsidR="00053A5D">
        <w:t>,</w:t>
      </w:r>
      <w:r w:rsidR="00C66117">
        <w:rPr>
          <w:i/>
          <w:iCs/>
        </w:rPr>
        <w:t xml:space="preserve"> Rules and Regulations Implementing the Telephone Consumer Protection Act </w:t>
      </w:r>
      <w:r w:rsidR="008F5E2A">
        <w:rPr>
          <w:i/>
          <w:iCs/>
        </w:rPr>
        <w:t xml:space="preserve">of </w:t>
      </w:r>
      <w:r w:rsidR="00C66117">
        <w:rPr>
          <w:i/>
          <w:iCs/>
        </w:rPr>
        <w:t>1991</w:t>
      </w:r>
      <w:r w:rsidR="00C66117">
        <w:t xml:space="preserve">, CG Docket No. 02-278, Order on Reconsideration and Declaratory Ruling, </w:t>
      </w:r>
      <w:r w:rsidR="001B232D">
        <w:t>FCC 22-100</w:t>
      </w:r>
      <w:r w:rsidR="009844D2">
        <w:t xml:space="preserve">, </w:t>
      </w:r>
      <w:r w:rsidR="001B232D">
        <w:t xml:space="preserve">2022 WL 18023141, at 4, </w:t>
      </w:r>
      <w:r w:rsidR="00C66117">
        <w:t>para. 12 (2022).</w:t>
      </w:r>
    </w:p>
  </w:footnote>
  <w:footnote w:id="51">
    <w:p w:rsidR="00CC314E" w:rsidRPr="00D813FF" w:rsidP="00CC314E" w14:paraId="3E5CB7B6" w14:textId="77777777">
      <w:pPr>
        <w:pStyle w:val="FootnoteText"/>
      </w:pPr>
      <w:r>
        <w:rPr>
          <w:rStyle w:val="FootnoteReference"/>
        </w:rPr>
        <w:footnoteRef/>
      </w:r>
      <w:r>
        <w:t xml:space="preserve"> </w:t>
      </w:r>
      <w:r>
        <w:rPr>
          <w:i/>
          <w:iCs/>
        </w:rPr>
        <w:t>See, e.g.</w:t>
      </w:r>
      <w:r>
        <w:t xml:space="preserve">, Letter from Sarah </w:t>
      </w:r>
      <w:r>
        <w:t>Leggin</w:t>
      </w:r>
      <w:r>
        <w:t xml:space="preserve">, Assistant Vice President, CTIA, to Marlene H. Dortch, Secretary, FCC, CG Docket No. 02-278 (filed June 2, 2023) (contending that the </w:t>
      </w:r>
      <w:r w:rsidRPr="00662D12">
        <w:t xml:space="preserve">NPRM’s proposals </w:t>
      </w:r>
      <w:r>
        <w:t>with respect to calls and texts from wireless providers to their customers “</w:t>
      </w:r>
      <w:r w:rsidRPr="00662D12">
        <w:t xml:space="preserve">would limit the ability of </w:t>
      </w:r>
      <w:r>
        <w:t xml:space="preserve">[wireless] </w:t>
      </w:r>
      <w:r w:rsidRPr="00662D12">
        <w:t>consumers to receive important, time-sensitive information about their wireless service</w:t>
      </w:r>
      <w:r>
        <w:t>”).</w:t>
      </w:r>
    </w:p>
  </w:footnote>
  <w:footnote w:id="52">
    <w:p w:rsidR="009C6757" w14:paraId="349C0B49" w14:textId="7E1621D9">
      <w:pPr>
        <w:pStyle w:val="FootnoteText"/>
      </w:pPr>
      <w:r>
        <w:rPr>
          <w:rStyle w:val="FootnoteReference"/>
        </w:rPr>
        <w:footnoteRef/>
      </w:r>
      <w:r>
        <w:t xml:space="preserve"> </w:t>
      </w:r>
      <w:r>
        <w:rPr>
          <w:i/>
          <w:iCs/>
        </w:rPr>
        <w:t>See</w:t>
      </w:r>
      <w:r>
        <w:t xml:space="preserve"> </w:t>
      </w:r>
      <w:r w:rsidRPr="009C6757">
        <w:t xml:space="preserve">Pallone-Thune Telephone Robocall Abuse Criminal Enforcement and Deterrence Act, Pub. L. No. 116-105, 133 Stat. 3274, § 8 </w:t>
      </w:r>
      <w:r w:rsidRPr="00B92B8C" w:rsidR="00B92B8C">
        <w:t>(codified at 47 U.S.C. § 227(b)(2)(I))</w:t>
      </w:r>
      <w:r w:rsidR="00B92B8C">
        <w:t xml:space="preserve"> </w:t>
      </w:r>
      <w:r w:rsidRPr="009C6757">
        <w:t xml:space="preserve">(2019) (TRACED Act).  </w:t>
      </w:r>
      <w:r>
        <w:t>A</w:t>
      </w:r>
      <w:r w:rsidRPr="009C6757">
        <w:t xml:space="preserve">s directed by the TRACED Act, any exemption adopted pursuant to sections 227(b)(2)(B) or (C) </w:t>
      </w:r>
      <w:r>
        <w:t xml:space="preserve">must </w:t>
      </w:r>
      <w:r w:rsidRPr="009C6757">
        <w:t>include requirements with respect to: (1) the classes of parties that may make such calls; (2) the classes of parties that may be called; and (3) the number of such calls that may be made to a particular called party</w:t>
      </w:r>
      <w:r>
        <w:t>.</w:t>
      </w:r>
    </w:p>
  </w:footnote>
  <w:footnote w:id="53">
    <w:p w:rsidR="003B7A60" w:rsidRPr="003B7A60" w14:paraId="4FD7E794" w14:textId="675D33BF">
      <w:pPr>
        <w:pStyle w:val="FootnoteText"/>
      </w:pPr>
      <w:r>
        <w:rPr>
          <w:rStyle w:val="FootnoteReference"/>
        </w:rPr>
        <w:footnoteRef/>
      </w:r>
      <w:r>
        <w:t xml:space="preserve"> </w:t>
      </w:r>
      <w:r>
        <w:rPr>
          <w:i/>
          <w:iCs/>
        </w:rPr>
        <w:t>See, e.g.</w:t>
      </w:r>
      <w:r>
        <w:t>, AT&amp;T Armbruster Comments at 12 (noting that</w:t>
      </w:r>
      <w:r w:rsidR="00587552">
        <w:t>,</w:t>
      </w:r>
      <w:r>
        <w:t xml:space="preserve"> in certain circumstances</w:t>
      </w:r>
      <w:r w:rsidR="00587552">
        <w:t>,</w:t>
      </w:r>
      <w:r>
        <w:t xml:space="preserve"> wireless providers may be legally required to communicate certain information to their subscribers).</w:t>
      </w:r>
    </w:p>
  </w:footnote>
  <w:footnote w:id="54">
    <w:p w:rsidR="00DE09FE" w:rsidRPr="00DE09FE" w14:paraId="5B917467" w14:textId="34CBC024">
      <w:pPr>
        <w:pStyle w:val="FootnoteText"/>
      </w:pPr>
      <w:r>
        <w:rPr>
          <w:rStyle w:val="FootnoteReference"/>
        </w:rPr>
        <w:footnoteRef/>
      </w:r>
      <w:r>
        <w:t xml:space="preserve"> </w:t>
      </w:r>
      <w:r>
        <w:rPr>
          <w:i/>
          <w:iCs/>
        </w:rPr>
        <w:t xml:space="preserve">See </w:t>
      </w:r>
      <w:r>
        <w:t xml:space="preserve">47 U.S.C. </w:t>
      </w:r>
      <w:r w:rsidRPr="00DE09FE">
        <w:t>§§</w:t>
      </w:r>
      <w:r>
        <w:t xml:space="preserve"> 154(</w:t>
      </w:r>
      <w:r>
        <w:t>i</w:t>
      </w:r>
      <w:r>
        <w:t>), (j) and 227</w:t>
      </w:r>
      <w:r w:rsidR="00140014">
        <w:t>.</w:t>
      </w:r>
    </w:p>
  </w:footnote>
  <w:footnote w:id="55">
    <w:p w:rsidR="003C108D" w:rsidP="003C108D" w14:paraId="25D08FC7" w14:textId="258B495C">
      <w:pPr>
        <w:pStyle w:val="FootnoteText"/>
      </w:pPr>
      <w:r>
        <w:rPr>
          <w:rStyle w:val="FootnoteReference"/>
        </w:rPr>
        <w:footnoteRef/>
      </w:r>
      <w:r>
        <w:t xml:space="preserve"> Pub</w:t>
      </w:r>
      <w:r w:rsidR="00702929">
        <w:t>.</w:t>
      </w:r>
      <w:r>
        <w:t xml:space="preserve"> L</w:t>
      </w:r>
      <w:r w:rsidR="00702929">
        <w:t>.</w:t>
      </w:r>
      <w:r>
        <w:t xml:space="preserve"> 104-13.</w:t>
      </w:r>
    </w:p>
  </w:footnote>
  <w:footnote w:id="56">
    <w:p w:rsidR="003C108D" w:rsidP="003C108D" w14:paraId="4D288A3A" w14:textId="2AB3AC7E">
      <w:pPr>
        <w:pStyle w:val="FootnoteText"/>
      </w:pPr>
      <w:r>
        <w:rPr>
          <w:rStyle w:val="FootnoteReference"/>
        </w:rPr>
        <w:footnoteRef/>
      </w:r>
      <w:r>
        <w:t xml:space="preserve"> Pub</w:t>
      </w:r>
      <w:r w:rsidR="00702929">
        <w:t>.</w:t>
      </w:r>
      <w:r>
        <w:t xml:space="preserve"> L</w:t>
      </w:r>
      <w:r w:rsidR="00702929">
        <w:t>.</w:t>
      </w:r>
      <w:r>
        <w:t xml:space="preserve"> 107-198.</w:t>
      </w:r>
    </w:p>
  </w:footnote>
  <w:footnote w:id="57">
    <w:p w:rsidR="003C108D" w:rsidP="003C108D" w14:paraId="274BB11B" w14:textId="77777777">
      <w:pPr>
        <w:pStyle w:val="FootnoteText"/>
      </w:pPr>
      <w:r>
        <w:rPr>
          <w:rStyle w:val="FootnoteReference"/>
        </w:rPr>
        <w:footnoteRef/>
      </w:r>
      <w:r>
        <w:t xml:space="preserve"> </w:t>
      </w:r>
      <w:r w:rsidRPr="00DC0864">
        <w:t>44</w:t>
      </w:r>
      <w:r>
        <w:t xml:space="preserve"> U.S.C. § 3506(c)(4).</w:t>
      </w:r>
    </w:p>
  </w:footnote>
  <w:footnote w:id="58">
    <w:p w:rsidR="00EA641D" w:rsidRPr="00263EAC" w:rsidP="00EA641D" w14:paraId="56110027" w14:textId="2869CD6F">
      <w:pPr>
        <w:pStyle w:val="FootnoteText"/>
      </w:pPr>
      <w:r w:rsidRPr="00263EAC">
        <w:rPr>
          <w:rStyle w:val="FootnoteReference"/>
        </w:rPr>
        <w:footnoteRef/>
      </w:r>
      <w:r w:rsidRPr="00263EAC">
        <w:t xml:space="preserve"> 5 U.S.C. §§ 601</w:t>
      </w:r>
      <w:r w:rsidR="00BD106C">
        <w:t>-</w:t>
      </w:r>
      <w:r w:rsidRPr="00263EAC">
        <w:t xml:space="preserve">612. </w:t>
      </w:r>
      <w:r w:rsidR="00554ACA">
        <w:t xml:space="preserve"> </w:t>
      </w:r>
      <w:r w:rsidRPr="00263EAC">
        <w:t>The RFA has been amended by the Small Business Regulatory Enforcement Fairness Act of 1996 (SBREFA), Pub. L. No. 104-121, Title II, 110 Stat. 857 (1996).</w:t>
      </w:r>
    </w:p>
  </w:footnote>
  <w:footnote w:id="59">
    <w:p w:rsidR="00EA641D" w:rsidRPr="00263EAC" w:rsidP="00EA641D" w14:paraId="653FAA10" w14:textId="77777777">
      <w:pPr>
        <w:pStyle w:val="FootnoteText"/>
      </w:pPr>
      <w:r w:rsidRPr="00263EAC">
        <w:rPr>
          <w:rStyle w:val="FootnoteReference"/>
        </w:rPr>
        <w:footnoteRef/>
      </w:r>
      <w:r w:rsidRPr="00263EAC">
        <w:t xml:space="preserve"> 5 U.S.C. § 605(b).</w:t>
      </w:r>
    </w:p>
  </w:footnote>
  <w:footnote w:id="60">
    <w:p w:rsidR="003C108D" w:rsidRPr="00505929" w:rsidP="003C108D" w14:paraId="3D257EB1" w14:textId="77777777">
      <w:pPr>
        <w:pStyle w:val="FootnoteText"/>
      </w:pPr>
      <w:r>
        <w:rPr>
          <w:rStyle w:val="FootnoteReference"/>
        </w:rPr>
        <w:footnoteRef/>
      </w:r>
      <w:r>
        <w:t xml:space="preserve"> 47 CFR §§ 1.1200 </w:t>
      </w:r>
      <w:r>
        <w:rPr>
          <w:i/>
          <w:iCs/>
        </w:rPr>
        <w:t>et seq.</w:t>
      </w:r>
    </w:p>
  </w:footnote>
  <w:footnote w:id="61">
    <w:p w:rsidR="003C108D" w:rsidP="003C108D" w14:paraId="047D5497" w14:textId="77777777">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62">
    <w:p w:rsidR="003C108D" w:rsidP="003C108D" w14:paraId="5722C779" w14:textId="77777777">
      <w:pPr>
        <w:pStyle w:val="FootnoteText"/>
      </w:pPr>
      <w:r>
        <w:rPr>
          <w:rStyle w:val="FootnoteReference"/>
        </w:rPr>
        <w:footnoteRef/>
      </w:r>
      <w:r>
        <w:t xml:space="preserve"> 5 U.S.C. § 603(a).</w:t>
      </w:r>
    </w:p>
  </w:footnote>
  <w:footnote w:id="63">
    <w:p w:rsidR="003C108D" w:rsidP="003C108D" w14:paraId="6C4B43A6" w14:textId="77777777">
      <w:pPr>
        <w:pStyle w:val="FootnoteText"/>
      </w:pPr>
      <w:r>
        <w:rPr>
          <w:rStyle w:val="FootnoteReference"/>
        </w:rPr>
        <w:footnoteRef/>
      </w:r>
      <w:r>
        <w:t xml:space="preserve"> </w:t>
      </w:r>
      <w:r>
        <w:rPr>
          <w:i/>
        </w:rPr>
        <w:t>Id.</w:t>
      </w:r>
    </w:p>
  </w:footnote>
  <w:footnote w:id="64">
    <w:p w:rsidR="003C108D" w:rsidP="003C108D" w14:paraId="1E6F1737" w14:textId="77777777">
      <w:pPr>
        <w:pStyle w:val="FootnoteText"/>
      </w:pPr>
      <w:r>
        <w:rPr>
          <w:rStyle w:val="FootnoteReference"/>
        </w:rPr>
        <w:footnoteRef/>
      </w:r>
      <w:r>
        <w:t xml:space="preserve"> NPRM at paras. 9-26; </w:t>
      </w:r>
      <w:r>
        <w:rPr>
          <w:i/>
          <w:iCs/>
        </w:rPr>
        <w:t>see also</w:t>
      </w:r>
      <w:r>
        <w:t xml:space="preserve"> Pallone-Thune Telephone Robocall Abuse Criminal Enforcement and Deterrence Act, Pub. L. No. 116-105, 133 Stat. 3274 (2019) (TRACED Act); TRACED Act § 8; Telephone Consumer Protection Act of 1991, Pub. L. No. 102-243, 105 Stat. 2394 (1991) (codified at 47 U.S.C. § 227) (TCPA).</w:t>
      </w:r>
    </w:p>
  </w:footnote>
  <w:footnote w:id="65">
    <w:p w:rsidR="007135EE" w:rsidRPr="007135EE" w14:paraId="6FAF9A1E" w14:textId="59DA0E4E">
      <w:pPr>
        <w:pStyle w:val="FootnoteText"/>
      </w:pPr>
      <w:r>
        <w:rPr>
          <w:rStyle w:val="FootnoteReference"/>
        </w:rPr>
        <w:footnoteRef/>
      </w:r>
      <w:r>
        <w:t xml:space="preserve"> </w:t>
      </w:r>
      <w:r>
        <w:rPr>
          <w:i/>
          <w:iCs/>
        </w:rPr>
        <w:t>See</w:t>
      </w:r>
      <w:r>
        <w:t xml:space="preserve"> 47 </w:t>
      </w:r>
      <w:r w:rsidRPr="007135EE">
        <w:t>U.S.C. §</w:t>
      </w:r>
      <w:r>
        <w:t xml:space="preserve"> 227(b).</w:t>
      </w:r>
    </w:p>
  </w:footnote>
  <w:footnote w:id="66">
    <w:p w:rsidR="003F2CC9" w:rsidRPr="003F2CC9" w14:paraId="55C953DB" w14:textId="279A9FD0">
      <w:pPr>
        <w:pStyle w:val="FootnoteText"/>
      </w:pPr>
      <w:r>
        <w:rPr>
          <w:rStyle w:val="FootnoteReference"/>
        </w:rPr>
        <w:footnoteRef/>
      </w:r>
      <w:r>
        <w:t xml:space="preserve"> </w:t>
      </w:r>
      <w:r>
        <w:rPr>
          <w:i/>
          <w:iCs/>
        </w:rPr>
        <w:t>See Rules and Regulations Implementing the Telephone Consumer Protection Act of 1991, Soundbite Communications, Inc.</w:t>
      </w:r>
      <w:r>
        <w:t xml:space="preserve">, CG Docket No. 02-278, Declaratory Ruling, 27 FCC </w:t>
      </w:r>
      <w:r>
        <w:t>Rcd</w:t>
      </w:r>
      <w:r>
        <w:t xml:space="preserve"> at 15394-98, paras. 7-12</w:t>
      </w:r>
      <w:r w:rsidR="0094095A">
        <w:t>.</w:t>
      </w:r>
    </w:p>
  </w:footnote>
  <w:footnote w:id="67">
    <w:p w:rsidR="003C108D" w:rsidP="003C108D" w14:paraId="1C61D9C0" w14:textId="1D20DA83">
      <w:pPr>
        <w:pStyle w:val="FootnoteText"/>
      </w:pPr>
      <w:r>
        <w:rPr>
          <w:rStyle w:val="FootnoteReference"/>
        </w:rPr>
        <w:footnoteRef/>
      </w:r>
      <w:r>
        <w:t xml:space="preserve"> 5 U.S.C. § 603(b)(3).</w:t>
      </w:r>
    </w:p>
  </w:footnote>
  <w:footnote w:id="68">
    <w:p w:rsidR="003C108D" w:rsidP="003C108D" w14:paraId="70EB55CA" w14:textId="5286D954">
      <w:pPr>
        <w:pStyle w:val="FootnoteText"/>
      </w:pPr>
      <w:r>
        <w:rPr>
          <w:rStyle w:val="FootnoteReference"/>
        </w:rPr>
        <w:footnoteRef/>
      </w:r>
      <w:r>
        <w:t xml:space="preserve"> </w:t>
      </w:r>
      <w:r w:rsidR="003F2CC9">
        <w:rPr>
          <w:i/>
          <w:iCs/>
        </w:rPr>
        <w:t>I</w:t>
      </w:r>
      <w:r>
        <w:rPr>
          <w:i/>
          <w:iCs/>
        </w:rPr>
        <w:t>d</w:t>
      </w:r>
      <w:r>
        <w:t>. § 601(6).</w:t>
      </w:r>
    </w:p>
  </w:footnote>
  <w:footnote w:id="69">
    <w:p w:rsidR="003C108D" w:rsidP="003C108D" w14:paraId="0F472BAF" w14:textId="6C0C3AC0">
      <w:pPr>
        <w:pStyle w:val="FootnoteText"/>
      </w:pPr>
      <w:r>
        <w:rPr>
          <w:rStyle w:val="FootnoteReference"/>
        </w:rPr>
        <w:footnoteRef/>
      </w:r>
      <w:r>
        <w:t xml:space="preserve"> </w:t>
      </w:r>
      <w:r w:rsidR="003F2CC9">
        <w:rPr>
          <w:i/>
          <w:iCs/>
        </w:rPr>
        <w:t>I</w:t>
      </w:r>
      <w:r>
        <w:rPr>
          <w:i/>
          <w:iCs/>
        </w:rPr>
        <w:t>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0">
    <w:p w:rsidR="003C108D" w:rsidP="003C108D" w14:paraId="38639172" w14:textId="4BD7221E">
      <w:pPr>
        <w:pStyle w:val="FootnoteText"/>
      </w:pPr>
      <w:r>
        <w:rPr>
          <w:rStyle w:val="FootnoteReference"/>
        </w:rPr>
        <w:footnoteRef/>
      </w:r>
      <w:r>
        <w:t xml:space="preserve"> 15 U.S.C. § 632.</w:t>
      </w:r>
    </w:p>
  </w:footnote>
  <w:footnote w:id="71">
    <w:p w:rsidR="0004262B" w:rsidP="0004262B" w14:paraId="0F8F46BC" w14:textId="4B5B2C4F">
      <w:pPr>
        <w:pStyle w:val="FootnoteText"/>
      </w:pPr>
      <w:r w:rsidRPr="00363480">
        <w:rPr>
          <w:rStyle w:val="FootnoteReference"/>
          <w:rFonts w:eastAsia="Calibri"/>
        </w:rPr>
        <w:footnoteRef/>
      </w:r>
      <w:r>
        <w:t xml:space="preserve"> 5 U.S.C. </w:t>
      </w:r>
      <w:r w:rsidRPr="006B076E">
        <w:t>§</w:t>
      </w:r>
      <w:r>
        <w:t xml:space="preserve"> 601(3)-(6).</w:t>
      </w:r>
    </w:p>
  </w:footnote>
  <w:footnote w:id="72">
    <w:p w:rsidR="0004262B" w:rsidP="0004262B" w14:paraId="069956D8"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1" w:history="1">
        <w:r w:rsidRPr="00FE1A85">
          <w:rPr>
            <w:rStyle w:val="Hyperlink"/>
          </w:rPr>
          <w:t>https://cdn.advocacy.sba.gov/wp-content/uploads/2021/11/03093005/Small-Business-FAQ-2021.pdf</w:t>
        </w:r>
      </w:hyperlink>
      <w:r>
        <w:rPr>
          <w:rStyle w:val="Hyperlink"/>
        </w:rPr>
        <w:t>.</w:t>
      </w:r>
      <w:r>
        <w:t xml:space="preserve"> (Nov 2021).</w:t>
      </w:r>
    </w:p>
  </w:footnote>
  <w:footnote w:id="73">
    <w:p w:rsidR="0004262B" w:rsidP="0004262B" w14:paraId="43A546F4" w14:textId="77777777">
      <w:pPr>
        <w:pStyle w:val="FootnoteText"/>
      </w:pPr>
      <w:r>
        <w:rPr>
          <w:rStyle w:val="FootnoteReference"/>
        </w:rPr>
        <w:footnoteRef/>
      </w:r>
      <w:r>
        <w:t xml:space="preserve"> </w:t>
      </w:r>
      <w:r w:rsidRPr="0011527D">
        <w:rPr>
          <w:i/>
          <w:iCs/>
        </w:rPr>
        <w:t>Id</w:t>
      </w:r>
      <w:r>
        <w:t>.</w:t>
      </w:r>
    </w:p>
  </w:footnote>
  <w:footnote w:id="74">
    <w:p w:rsidR="0004262B" w:rsidRPr="00363480" w:rsidP="0004262B" w14:paraId="369FD81B" w14:textId="6BC9761D">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75">
    <w:p w:rsidR="0004262B" w:rsidP="0004262B" w14:paraId="2D325901"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2" w:history="1">
        <w:r w:rsidRPr="00AB3231">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76">
    <w:p w:rsidR="0004262B" w:rsidRPr="007B60A8" w:rsidP="0004262B" w14:paraId="7F8D42FE"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3"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77">
    <w:p w:rsidR="0004262B" w:rsidRPr="00363480" w:rsidP="0004262B" w14:paraId="694FFCFD"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78">
    <w:p w:rsidR="0004262B" w:rsidRPr="00363480" w:rsidP="0004262B" w14:paraId="3CA95359"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4" w:history="1">
        <w:r>
          <w:rPr>
            <w:rStyle w:val="Hyperlink"/>
          </w:rPr>
          <w:t>https://www.census.gov/programs-surveys/cog/about.html</w:t>
        </w:r>
      </w:hyperlink>
      <w:r>
        <w:t xml:space="preserve">. </w:t>
      </w:r>
    </w:p>
  </w:footnote>
  <w:footnote w:id="79">
    <w:p w:rsidR="0004262B" w:rsidRPr="0059359B" w:rsidP="0004262B" w14:paraId="46EF4437"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5"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w:t>
      </w:r>
      <w:r>
        <w:t xml:space="preserve"> </w:t>
      </w:r>
      <w:r w:rsidRPr="007B60A8">
        <w:t>Local Governments by Type and State_2017</w:t>
      </w:r>
      <w:r>
        <w:t>.</w:t>
      </w:r>
      <w:r w:rsidRPr="007917BC">
        <w:rPr>
          <w:i/>
        </w:rPr>
        <w:t xml:space="preserve"> </w:t>
      </w:r>
    </w:p>
  </w:footnote>
  <w:footnote w:id="80">
    <w:p w:rsidR="0004262B" w:rsidRPr="0059359B" w:rsidP="0004262B" w14:paraId="6418C560"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50" w:name="_Hlk105492773"/>
      <w:r>
        <w:t>tbl.</w:t>
      </w:r>
      <w:bookmarkEnd w:id="50"/>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5"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81">
    <w:p w:rsidR="0004262B" w:rsidRPr="0059359B" w:rsidP="0004262B" w14:paraId="2558D416"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5"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82">
    <w:p w:rsidR="0004262B" w:rsidRPr="00236169" w:rsidP="0004262B" w14:paraId="5BCD0C29"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5"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83">
    <w:p w:rsidR="0004262B" w:rsidP="0004262B" w14:paraId="64585543"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84">
    <w:p w:rsidR="0004262B" w:rsidRPr="007B60A8" w:rsidP="0004262B" w14:paraId="2BCBD969"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85">
    <w:p w:rsidR="006A0614" w:rsidRPr="002A6B44" w:rsidP="006A0614" w14:paraId="12B04C84" w14:textId="77777777">
      <w:pPr>
        <w:pStyle w:val="FootnoteText"/>
        <w:rPr>
          <w:color w:val="0000FF"/>
          <w:u w:val="single"/>
        </w:rPr>
      </w:pPr>
      <w:r>
        <w:rPr>
          <w:rStyle w:val="FootnoteReference"/>
        </w:rPr>
        <w:footnoteRef/>
      </w:r>
      <w:r>
        <w:t xml:space="preserve"> </w:t>
      </w:r>
      <w:r w:rsidRPr="00585A06">
        <w:rPr>
          <w:i/>
          <w:iCs/>
        </w:rPr>
        <w:t>See</w:t>
      </w:r>
      <w:r>
        <w:t xml:space="preserve"> U.S. Census Bureau, </w:t>
      </w:r>
      <w:r w:rsidRPr="00585A06">
        <w:rPr>
          <w:i/>
          <w:iCs/>
        </w:rPr>
        <w:t>2017 NAICS Definition,“</w:t>
      </w:r>
      <w:r w:rsidRPr="00585A06">
        <w:rPr>
          <w:i/>
          <w:iCs/>
          <w:color w:val="000000"/>
        </w:rPr>
        <w:t>561422 Telemarketing Bureaus and Other Contact Centers</w:t>
      </w:r>
      <w:r>
        <w:rPr>
          <w:i/>
          <w:iCs/>
          <w:color w:val="000000"/>
        </w:rPr>
        <w:t>,</w:t>
      </w:r>
      <w:r w:rsidRPr="00585A06">
        <w:rPr>
          <w:i/>
          <w:iCs/>
        </w:rPr>
        <w:t>”</w:t>
      </w:r>
      <w:r>
        <w:rPr>
          <w:i/>
          <w:iCs/>
        </w:rPr>
        <w:t xml:space="preserve"> </w:t>
      </w:r>
      <w:bookmarkStart w:id="51" w:name="_Hlk68605129"/>
      <w:hyperlink r:id="rId6" w:history="1">
        <w:r w:rsidRPr="000B1272">
          <w:rPr>
            <w:rStyle w:val="Hyperlink"/>
          </w:rPr>
          <w:t>https://www.census.gov/naics/?input=561422&amp;year=2017&amp;details=561</w:t>
        </w:r>
        <w:bookmarkEnd w:id="51"/>
      </w:hyperlink>
      <w:r>
        <w:rPr>
          <w:rStyle w:val="Hyperlink"/>
        </w:rPr>
        <w:t>422</w:t>
      </w:r>
      <w:r w:rsidRPr="00054BD3">
        <w:rPr>
          <w:rStyle w:val="Hyperlink"/>
        </w:rPr>
        <w:t>.</w:t>
      </w:r>
    </w:p>
  </w:footnote>
  <w:footnote w:id="86">
    <w:p w:rsidR="006A0614" w:rsidRPr="00305F23" w:rsidP="006A0614" w14:paraId="10741D34" w14:textId="77777777">
      <w:pPr>
        <w:pStyle w:val="FootnoteText"/>
        <w:rPr>
          <w:i/>
          <w:iCs/>
        </w:rPr>
      </w:pPr>
      <w:r>
        <w:rPr>
          <w:rStyle w:val="FootnoteReference"/>
        </w:rPr>
        <w:footnoteRef/>
      </w:r>
      <w:r>
        <w:t xml:space="preserve"> </w:t>
      </w:r>
      <w:r w:rsidRPr="00305F23">
        <w:rPr>
          <w:i/>
          <w:iCs/>
        </w:rPr>
        <w:t>Id.</w:t>
      </w:r>
    </w:p>
  </w:footnote>
  <w:footnote w:id="87">
    <w:p w:rsidR="006A0614" w:rsidP="006A0614" w14:paraId="5190FEAD" w14:textId="77777777">
      <w:pPr>
        <w:pStyle w:val="FootnoteText"/>
      </w:pPr>
      <w:r>
        <w:rPr>
          <w:rStyle w:val="FootnoteReference"/>
        </w:rPr>
        <w:footnoteRef/>
      </w:r>
      <w:r>
        <w:t xml:space="preserve"> 13 CFR § 121.201, NAICS Code 561422</w:t>
      </w:r>
      <w:bookmarkStart w:id="52" w:name="_Hlk69918890"/>
      <w:bookmarkStart w:id="53" w:name="_Hlk68605461"/>
      <w:r w:rsidRPr="00B25FFD">
        <w:t>.</w:t>
      </w:r>
      <w:bookmarkEnd w:id="52"/>
      <w:bookmarkEnd w:id="53"/>
    </w:p>
  </w:footnote>
  <w:footnote w:id="88">
    <w:p w:rsidR="006A0614" w:rsidRPr="00131C0A" w:rsidP="006A0614" w14:paraId="428701D2" w14:textId="77777777">
      <w:pPr>
        <w:pStyle w:val="FootnoteText"/>
      </w:pPr>
      <w:r>
        <w:rPr>
          <w:rStyle w:val="FootnoteReference"/>
        </w:rPr>
        <w:footnoteRef/>
      </w:r>
      <w:r>
        <w:t xml:space="preserve"> </w:t>
      </w:r>
      <w:bookmarkStart w:id="54" w:name="_Hlk60222499"/>
      <w:r w:rsidRPr="00131C0A">
        <w:rPr>
          <w:i/>
          <w:iCs/>
        </w:rPr>
        <w:t>See</w:t>
      </w:r>
      <w:r w:rsidRPr="00131C0A">
        <w:t xml:space="preserve"> U.S. Census Bureau, </w:t>
      </w:r>
      <w:bookmarkStart w:id="55" w:name="_Hlk68605478"/>
      <w:bookmarkStart w:id="56" w:name="_Hlk68608127"/>
      <w:r w:rsidRPr="00131C0A">
        <w:rPr>
          <w:i/>
          <w:iCs/>
        </w:rPr>
        <w:t xml:space="preserve">2017 </w:t>
      </w:r>
      <w:r w:rsidRPr="00131C0A">
        <w:rPr>
          <w:i/>
        </w:rPr>
        <w:t>Economic Census</w:t>
      </w:r>
      <w:r w:rsidRPr="00131C0A">
        <w:rPr>
          <w:bCs/>
          <w:i/>
        </w:rPr>
        <w:t xml:space="preserve"> of the United States</w:t>
      </w:r>
      <w:r w:rsidRPr="00131C0A">
        <w:t xml:space="preserve">, </w:t>
      </w:r>
      <w:bookmarkStart w:id="57" w:name="_Hlk69140771"/>
      <w:r w:rsidRPr="00131C0A">
        <w:rPr>
          <w:i/>
          <w:iCs/>
        </w:rPr>
        <w:t xml:space="preserve">Selected Sectors: Sales, Value of Shipments, or Revenue Size of Firms for the U.S.: 2017, </w:t>
      </w:r>
      <w:r w:rsidRPr="00131C0A">
        <w:t xml:space="preserve">Table ID: EC1700SIZEREVFIRM, NAICS Code 561422, </w:t>
      </w:r>
      <w:hyperlink r:id="rId7" w:history="1">
        <w:r w:rsidRPr="00131C0A">
          <w:rPr>
            <w:rStyle w:val="Hyperlink"/>
          </w:rPr>
          <w:t>https://data.census.gov/cedsci/table?y=2017&amp;n=561422&amp;tid=ECNSIZE2017.EC1700SIZEREVFIRM&amp;hidePreview=false</w:t>
        </w:r>
      </w:hyperlink>
      <w:bookmarkEnd w:id="55"/>
      <w:bookmarkEnd w:id="57"/>
      <w:r w:rsidRPr="00131C0A">
        <w:t>.</w:t>
      </w:r>
      <w:bookmarkEnd w:id="54"/>
      <w:bookmarkEnd w:id="56"/>
    </w:p>
  </w:footnote>
  <w:footnote w:id="89">
    <w:p w:rsidR="006A0614" w:rsidRPr="00BE15D1" w:rsidP="006A0614" w14:paraId="505DC05C" w14:textId="77777777">
      <w:pPr>
        <w:spacing w:after="120"/>
      </w:pPr>
      <w:r w:rsidRPr="00131C0A">
        <w:rPr>
          <w:rStyle w:val="FootnoteReference"/>
        </w:rPr>
        <w:footnoteRef/>
      </w:r>
      <w:r w:rsidRPr="00131C0A">
        <w:rPr>
          <w:sz w:val="20"/>
        </w:rPr>
        <w:t xml:space="preserve"> </w:t>
      </w:r>
      <w:r w:rsidRPr="00131C0A">
        <w:rPr>
          <w:i/>
          <w:iCs/>
          <w:sz w:val="20"/>
        </w:rPr>
        <w:t xml:space="preserve">Id.  </w:t>
      </w:r>
      <w:bookmarkStart w:id="58" w:name="_Hlk48654583"/>
      <w:bookmarkStart w:id="59" w:name="_Hlk48653616"/>
      <w:r w:rsidRPr="00131C0A">
        <w:rPr>
          <w:sz w:val="20"/>
        </w:rPr>
        <w:t>The available U.S. Census Bureau data does not provide a more precise estimate of the number of firms that meet the SBA size standard.</w:t>
      </w:r>
      <w:bookmarkEnd w:id="58"/>
      <w:r w:rsidRPr="00131C0A">
        <w:rPr>
          <w:sz w:val="20"/>
        </w:rPr>
        <w:t xml:space="preserve">  </w:t>
      </w:r>
      <w:bookmarkStart w:id="60" w:name="_Hlk68609461"/>
      <w:r w:rsidRPr="00131C0A">
        <w:rPr>
          <w:sz w:val="20"/>
        </w:rPr>
        <w:t xml:space="preserve">We note that the U.S. Census Bureau withheld publication of the number of firms that operated with sales/value </w:t>
      </w:r>
      <w:bookmarkStart w:id="61" w:name="_Hlk68607430"/>
      <w:r w:rsidRPr="00131C0A">
        <w:rPr>
          <w:sz w:val="20"/>
        </w:rPr>
        <w:t>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than noted herein</w:t>
      </w:r>
      <w:bookmarkStart w:id="62" w:name="_Hlk69918758"/>
      <w:bookmarkEnd w:id="61"/>
      <w:r w:rsidRPr="00131C0A">
        <w:rPr>
          <w:sz w:val="20"/>
        </w:rPr>
        <w:t xml:space="preserve">.  We also note that according to the U.S. Census Bureau glossary, the terms receipts and revenues are used interchangeably, </w:t>
      </w:r>
      <w:r w:rsidRPr="00131C0A">
        <w:rPr>
          <w:i/>
          <w:iCs/>
          <w:sz w:val="20"/>
        </w:rPr>
        <w:t>see</w:t>
      </w:r>
      <w:r w:rsidRPr="00131C0A">
        <w:rPr>
          <w:sz w:val="20"/>
        </w:rPr>
        <w:t xml:space="preserve"> </w:t>
      </w:r>
      <w:hyperlink r:id="rId8" w:anchor="term_ReceiptsRevenueServices" w:history="1">
        <w:r w:rsidRPr="00131C0A">
          <w:rPr>
            <w:rStyle w:val="Hyperlink"/>
            <w:sz w:val="20"/>
          </w:rPr>
          <w:t>https://www.census.gov/glossary/#term_ReceiptsRevenueServices</w:t>
        </w:r>
      </w:hyperlink>
      <w:r w:rsidRPr="00131C0A">
        <w:rPr>
          <w:sz w:val="20"/>
        </w:rPr>
        <w:t>.</w:t>
      </w:r>
      <w:bookmarkEnd w:id="59"/>
      <w:bookmarkEnd w:id="60"/>
      <w:bookmarkEnd w:id="62"/>
    </w:p>
  </w:footnote>
  <w:footnote w:id="90">
    <w:p w:rsidR="006A0614" w:rsidP="006A0614" w14:paraId="48D138A8"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63" w:name="_Hlk38031331"/>
      <w:r w:rsidRPr="005F1A3C">
        <w:rPr>
          <w:i/>
          <w:iCs/>
        </w:rPr>
        <w:t>“</w:t>
      </w:r>
      <w:r w:rsidRPr="005F1A3C">
        <w:rPr>
          <w:bCs/>
          <w:i/>
          <w:iCs/>
        </w:rPr>
        <w:t xml:space="preserve">517312 </w:t>
      </w:r>
      <w:bookmarkEnd w:id="63"/>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9" w:history="1">
        <w:r w:rsidRPr="00240E60">
          <w:rPr>
            <w:rStyle w:val="Hyperlink"/>
          </w:rPr>
          <w:t>https://www.census.gov/naics/?input=517312&amp;year=2017&amp;details=517312</w:t>
        </w:r>
      </w:hyperlink>
      <w:r>
        <w:rPr>
          <w:iCs/>
        </w:rPr>
        <w:t>.</w:t>
      </w:r>
    </w:p>
  </w:footnote>
  <w:footnote w:id="91">
    <w:p w:rsidR="006A0614" w:rsidRPr="00E362B7" w:rsidP="006A0614" w14:paraId="1D775AAD" w14:textId="77777777">
      <w:pPr>
        <w:pStyle w:val="FootnoteText"/>
        <w:rPr>
          <w:i/>
          <w:iCs/>
        </w:rPr>
      </w:pPr>
      <w:r>
        <w:rPr>
          <w:rStyle w:val="FootnoteReference"/>
        </w:rPr>
        <w:footnoteRef/>
      </w:r>
      <w:r>
        <w:t xml:space="preserve"> </w:t>
      </w:r>
      <w:r>
        <w:rPr>
          <w:i/>
          <w:iCs/>
        </w:rPr>
        <w:t>Id.</w:t>
      </w:r>
    </w:p>
  </w:footnote>
  <w:footnote w:id="92">
    <w:p w:rsidR="006A0614" w:rsidRPr="006B076E" w:rsidP="006A0614" w14:paraId="06DE69EE" w14:textId="77777777">
      <w:pPr>
        <w:pStyle w:val="FootnoteText"/>
      </w:pPr>
      <w:r w:rsidRPr="006B076E">
        <w:rPr>
          <w:rStyle w:val="FootnoteReference"/>
        </w:rPr>
        <w:footnoteRef/>
      </w:r>
      <w:r w:rsidRPr="006B076E">
        <w:rPr>
          <w:lang w:val="fr-FR"/>
        </w:rPr>
        <w:t xml:space="preserve"> 13 CFR § 121.201, </w:t>
      </w:r>
      <w:bookmarkStart w:id="64" w:name="_Hlk31782287"/>
      <w:r w:rsidRPr="006B076E">
        <w:rPr>
          <w:lang w:val="fr-FR"/>
        </w:rPr>
        <w:t xml:space="preserve">NAICS </w:t>
      </w:r>
      <w:r>
        <w:rPr>
          <w:lang w:val="fr-FR"/>
        </w:rPr>
        <w:t>C</w:t>
      </w:r>
      <w:r w:rsidRPr="006B076E">
        <w:rPr>
          <w:lang w:val="fr-FR"/>
        </w:rPr>
        <w:t>ode 517</w:t>
      </w:r>
      <w:r>
        <w:rPr>
          <w:lang w:val="fr-FR"/>
        </w:rPr>
        <w:t>312</w:t>
      </w:r>
      <w:bookmarkEnd w:id="64"/>
      <w:r>
        <w:rPr>
          <w:lang w:val="fr-FR"/>
        </w:rPr>
        <w:t xml:space="preserve"> </w:t>
      </w:r>
      <w:r w:rsidRPr="009F14A8">
        <w:rPr>
          <w:lang w:val="fr-FR"/>
        </w:rPr>
        <w:t>(as of 10/1/22, NAICS Code 517112)</w:t>
      </w:r>
      <w:r w:rsidRPr="006B076E">
        <w:rPr>
          <w:lang w:val="fr-FR"/>
        </w:rPr>
        <w:t>.</w:t>
      </w:r>
    </w:p>
  </w:footnote>
  <w:footnote w:id="93">
    <w:p w:rsidR="006A0614" w:rsidP="006A0614" w14:paraId="1D928317"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10" w:history="1">
        <w:r w:rsidRPr="3BD0DF9C">
          <w:rPr>
            <w:rStyle w:val="Hyperlink"/>
          </w:rPr>
          <w:t>https://data.census.gov/cedsci/table?y=2017&amp;n=517312&amp;tid=ECNSIZE2017.EC1700SIZEEMPFIRM&amp;hidePreview=false</w:t>
        </w:r>
      </w:hyperlink>
      <w:r>
        <w:t xml:space="preserve">.  </w:t>
      </w:r>
    </w:p>
  </w:footnote>
  <w:footnote w:id="94">
    <w:p w:rsidR="006A0614" w:rsidP="006A0614" w14:paraId="18BBC29A"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95">
    <w:p w:rsidR="006A0614" w:rsidP="006A0614" w14:paraId="76255F17"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(2022),</w:t>
      </w:r>
    </w:p>
    <w:p w:rsidR="006A0614" w:rsidP="006A0614" w14:paraId="12BDEAB2" w14:textId="77777777">
      <w:pPr>
        <w:pStyle w:val="FootnoteText"/>
      </w:pPr>
      <w:hyperlink r:id="rId11" w:history="1">
        <w:r w:rsidRPr="00B73EF2">
          <w:rPr>
            <w:rStyle w:val="Hyperlink"/>
          </w:rPr>
          <w:t>https://docs.fcc.gov/public/attachments/DOC-391070A1.pdf</w:t>
        </w:r>
      </w:hyperlink>
      <w:r>
        <w:t>.</w:t>
      </w:r>
    </w:p>
  </w:footnote>
  <w:footnote w:id="96">
    <w:p w:rsidR="006A0614" w:rsidP="006A0614" w14:paraId="1AE17387" w14:textId="77777777">
      <w:pPr>
        <w:pStyle w:val="FootnoteText"/>
        <w:rPr>
          <w:i/>
          <w:iCs/>
        </w:rPr>
      </w:pPr>
      <w:r w:rsidRPr="3BD0DF9C">
        <w:rPr>
          <w:rStyle w:val="FootnoteReference"/>
        </w:rPr>
        <w:footnoteRef/>
      </w:r>
      <w:r>
        <w:t xml:space="preserve"> </w:t>
      </w:r>
      <w:r w:rsidRPr="3BD0DF9C">
        <w:rPr>
          <w:i/>
          <w:iCs/>
        </w:rPr>
        <w:t>Id.</w:t>
      </w:r>
    </w:p>
  </w:footnote>
  <w:footnote w:id="97">
    <w:p w:rsidR="003C108D" w:rsidP="003C108D" w14:paraId="00281AD7" w14:textId="38414B57">
      <w:pPr>
        <w:pStyle w:val="FootnoteText"/>
      </w:pPr>
      <w:r>
        <w:rPr>
          <w:rStyle w:val="FootnoteReference"/>
        </w:rPr>
        <w:footnoteRef/>
      </w:r>
      <w:r>
        <w:rPr>
          <w:lang w:val="es-ES"/>
        </w:rPr>
        <w:t xml:space="preserve"> 5 U.S.C. § 603(c)</w:t>
      </w:r>
      <w:r w:rsidR="00F53DCE">
        <w:rPr>
          <w:lang w:val="es-ES"/>
        </w:rPr>
        <w:t>(1)-(4)</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0F475A" w14:textId="755CA271">
    <w:pPr>
      <w:pStyle w:val="Header"/>
      <w:rPr>
        <w:b w:val="0"/>
      </w:rPr>
    </w:pPr>
    <w:r>
      <w:tab/>
      <w:t>Federal Communications Commission</w:t>
    </w:r>
    <w:r>
      <w:tab/>
    </w:r>
    <w:r w:rsidR="00587CFB">
      <w:t>FCC 2</w:t>
    </w:r>
    <w:r w:rsidR="00A040C1">
      <w:t>3</w:t>
    </w:r>
    <w:r w:rsidR="00587CFB">
      <w:t>-</w:t>
    </w:r>
    <w:r w:rsidR="00EE5102">
      <w:t>49</w:t>
    </w:r>
  </w:p>
  <w:p w:rsidR="00D25FB5" w14:paraId="1230F1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AA529B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91A0B1" w14:textId="5274B76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87CFB">
      <w:rPr>
        <w:spacing w:val="-2"/>
      </w:rPr>
      <w:t>FCC 2</w:t>
    </w:r>
    <w:r w:rsidR="00A040C1">
      <w:rPr>
        <w:spacing w:val="-2"/>
      </w:rPr>
      <w:t>3</w:t>
    </w:r>
    <w:r w:rsidR="00587CFB">
      <w:rPr>
        <w:spacing w:val="-2"/>
      </w:rPr>
      <w:t>-</w:t>
    </w:r>
    <w:r w:rsidR="00EE5102">
      <w:rPr>
        <w:spacing w:val="-2"/>
      </w:rPr>
      <w:t>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C56F2" w14:paraId="75F195BA"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009FF3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4288669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25FB5" w14:paraId="2A902078"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C56F2" w:rsidP="00DC56F2" w14:paraId="6E908DF2" w14:textId="77777777">
    <w:pPr>
      <w:pStyle w:val="Header"/>
    </w:pPr>
    <w:r w:rsidRPr="00DC56F2">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18191486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DC56F2">
      <w:tab/>
      <w:t>Federal Communications Commission</w:t>
    </w:r>
    <w:r w:rsidRPr="00DC56F2">
      <w:tab/>
    </w:r>
    <w:r w:rsidRPr="00DC56F2">
      <w:rPr>
        <w:spacing w:val="-2"/>
      </w:rPr>
      <w:t>FCC 23-49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8D82B9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852C80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DE4EBD"/>
    <w:multiLevelType w:val="hybridMultilevel"/>
    <w:tmpl w:val="50A648BE"/>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2207DD"/>
    <w:multiLevelType w:val="hybridMultilevel"/>
    <w:tmpl w:val="417C8C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4425E85"/>
    <w:multiLevelType w:val="hybridMultilevel"/>
    <w:tmpl w:val="AB30DAA4"/>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F3158E"/>
    <w:multiLevelType w:val="hybridMultilevel"/>
    <w:tmpl w:val="A9106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BC03B51"/>
    <w:multiLevelType w:val="hybridMultilevel"/>
    <w:tmpl w:val="A6B61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40816E9"/>
    <w:multiLevelType w:val="hybridMultilevel"/>
    <w:tmpl w:val="70E8E0E8"/>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6085029"/>
    <w:multiLevelType w:val="hybridMultilevel"/>
    <w:tmpl w:val="23DC383C"/>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8"/>
  </w:num>
  <w:num w:numId="3">
    <w:abstractNumId w:val="15"/>
  </w:num>
  <w:num w:numId="4">
    <w:abstractNumId w:val="10"/>
  </w:num>
  <w:num w:numId="5">
    <w:abstractNumId w:val="13"/>
  </w:num>
  <w:num w:numId="6">
    <w:abstractNumId w:val="9"/>
  </w:num>
  <w:num w:numId="7">
    <w:abstractNumId w:val="3"/>
  </w:num>
  <w:num w:numId="8">
    <w:abstractNumId w:val="2"/>
  </w:num>
  <w:num w:numId="9">
    <w:abstractNumId w:val="18"/>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2"/>
  </w:num>
  <w:num w:numId="19">
    <w:abstractNumId w:val="1"/>
  </w:num>
  <w:num w:numId="20">
    <w:abstractNumId w:val="5"/>
  </w:num>
  <w:num w:numId="21">
    <w:abstractNumId w:val="14"/>
    <w:lvlOverride w:ilvl="0">
      <w:startOverride w:val="1"/>
    </w:lvlOverride>
  </w:num>
  <w:num w:numId="22">
    <w:abstractNumId w:val="17"/>
  </w:num>
  <w:num w:numId="23">
    <w:abstractNumId w:val="16"/>
  </w:num>
  <w:num w:numId="24">
    <w:abstractNumId w:val="4"/>
  </w:num>
  <w:num w:numId="25">
    <w:abstractNumId w:val="0"/>
  </w:num>
  <w:num w:numId="26">
    <w:abstractNumId w:val="15"/>
    <w:lvlOverride w:ilvl="0">
      <w:startOverride w:val="1"/>
    </w:lvlOverride>
  </w:num>
  <w:num w:numId="27">
    <w:abstractNumId w:val="6"/>
  </w:num>
  <w:num w:numId="28">
    <w:abstractNumId w:val="6"/>
    <w:lvlOverride w:ilvl="0">
      <w:startOverride w:val="1"/>
    </w:lvlOverride>
  </w:num>
  <w:num w:numId="29">
    <w:abstractNumId w:val="15"/>
    <w:lvlOverride w:ilvl="0">
      <w:startOverride w:val="1"/>
    </w:lvlOverride>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8D"/>
    <w:rsid w:val="00001426"/>
    <w:rsid w:val="00004E05"/>
    <w:rsid w:val="000068EC"/>
    <w:rsid w:val="000119B0"/>
    <w:rsid w:val="0001365C"/>
    <w:rsid w:val="00014053"/>
    <w:rsid w:val="000146EF"/>
    <w:rsid w:val="000179C5"/>
    <w:rsid w:val="000203B2"/>
    <w:rsid w:val="0002422E"/>
    <w:rsid w:val="000261CC"/>
    <w:rsid w:val="000263F9"/>
    <w:rsid w:val="00031E19"/>
    <w:rsid w:val="00034209"/>
    <w:rsid w:val="0003444F"/>
    <w:rsid w:val="00035737"/>
    <w:rsid w:val="00036039"/>
    <w:rsid w:val="00037F90"/>
    <w:rsid w:val="00041741"/>
    <w:rsid w:val="00041FDB"/>
    <w:rsid w:val="0004262B"/>
    <w:rsid w:val="00043E06"/>
    <w:rsid w:val="000459C6"/>
    <w:rsid w:val="00045A79"/>
    <w:rsid w:val="00047C3C"/>
    <w:rsid w:val="00047FF1"/>
    <w:rsid w:val="00050B6B"/>
    <w:rsid w:val="00051417"/>
    <w:rsid w:val="00051FD6"/>
    <w:rsid w:val="00052316"/>
    <w:rsid w:val="00053A5D"/>
    <w:rsid w:val="00054BD3"/>
    <w:rsid w:val="000559F8"/>
    <w:rsid w:val="00060423"/>
    <w:rsid w:val="000609AB"/>
    <w:rsid w:val="00060C99"/>
    <w:rsid w:val="00070CF9"/>
    <w:rsid w:val="00073F92"/>
    <w:rsid w:val="0007627E"/>
    <w:rsid w:val="00076570"/>
    <w:rsid w:val="00076FCC"/>
    <w:rsid w:val="00082C94"/>
    <w:rsid w:val="0008562D"/>
    <w:rsid w:val="00086068"/>
    <w:rsid w:val="000875BF"/>
    <w:rsid w:val="000910EA"/>
    <w:rsid w:val="00093607"/>
    <w:rsid w:val="00094BF5"/>
    <w:rsid w:val="00096D8C"/>
    <w:rsid w:val="00097C09"/>
    <w:rsid w:val="000A0914"/>
    <w:rsid w:val="000A2B41"/>
    <w:rsid w:val="000A3C67"/>
    <w:rsid w:val="000A3F72"/>
    <w:rsid w:val="000A7D48"/>
    <w:rsid w:val="000A7FBC"/>
    <w:rsid w:val="000B0176"/>
    <w:rsid w:val="000B0FB1"/>
    <w:rsid w:val="000B1051"/>
    <w:rsid w:val="000B1272"/>
    <w:rsid w:val="000B2131"/>
    <w:rsid w:val="000B3549"/>
    <w:rsid w:val="000B53D5"/>
    <w:rsid w:val="000B6EFD"/>
    <w:rsid w:val="000B7917"/>
    <w:rsid w:val="000C0B65"/>
    <w:rsid w:val="000C3315"/>
    <w:rsid w:val="000C3BD5"/>
    <w:rsid w:val="000C407C"/>
    <w:rsid w:val="000C44C0"/>
    <w:rsid w:val="000C4E72"/>
    <w:rsid w:val="000C5AB4"/>
    <w:rsid w:val="000C6216"/>
    <w:rsid w:val="000D0B7E"/>
    <w:rsid w:val="000D22BF"/>
    <w:rsid w:val="000D25C0"/>
    <w:rsid w:val="000D2EA4"/>
    <w:rsid w:val="000D5268"/>
    <w:rsid w:val="000D574F"/>
    <w:rsid w:val="000D5B46"/>
    <w:rsid w:val="000D6A4E"/>
    <w:rsid w:val="000D76C7"/>
    <w:rsid w:val="000D7E0E"/>
    <w:rsid w:val="000D7EDA"/>
    <w:rsid w:val="000E05FE"/>
    <w:rsid w:val="000E26F8"/>
    <w:rsid w:val="000E3D42"/>
    <w:rsid w:val="000E46A5"/>
    <w:rsid w:val="000E4EDF"/>
    <w:rsid w:val="000E7BD3"/>
    <w:rsid w:val="000F44FF"/>
    <w:rsid w:val="000F6543"/>
    <w:rsid w:val="000F74C3"/>
    <w:rsid w:val="00100B36"/>
    <w:rsid w:val="00100DCC"/>
    <w:rsid w:val="001013D3"/>
    <w:rsid w:val="00101B30"/>
    <w:rsid w:val="0010316F"/>
    <w:rsid w:val="0010418B"/>
    <w:rsid w:val="00104D4C"/>
    <w:rsid w:val="00105F6B"/>
    <w:rsid w:val="00106F78"/>
    <w:rsid w:val="00107AD3"/>
    <w:rsid w:val="0011527D"/>
    <w:rsid w:val="001156EB"/>
    <w:rsid w:val="001169DC"/>
    <w:rsid w:val="00122468"/>
    <w:rsid w:val="00122BD5"/>
    <w:rsid w:val="001241A4"/>
    <w:rsid w:val="00124F85"/>
    <w:rsid w:val="00125C3A"/>
    <w:rsid w:val="00131BDC"/>
    <w:rsid w:val="00131C0A"/>
    <w:rsid w:val="00132BFA"/>
    <w:rsid w:val="0013336C"/>
    <w:rsid w:val="001338BE"/>
    <w:rsid w:val="00133F79"/>
    <w:rsid w:val="001376F0"/>
    <w:rsid w:val="00140014"/>
    <w:rsid w:val="00140221"/>
    <w:rsid w:val="00141243"/>
    <w:rsid w:val="00142E3E"/>
    <w:rsid w:val="00144B7A"/>
    <w:rsid w:val="00146B69"/>
    <w:rsid w:val="00146FE9"/>
    <w:rsid w:val="001475F1"/>
    <w:rsid w:val="001478F9"/>
    <w:rsid w:val="00154802"/>
    <w:rsid w:val="00154D7D"/>
    <w:rsid w:val="00156FC7"/>
    <w:rsid w:val="00160132"/>
    <w:rsid w:val="001602CA"/>
    <w:rsid w:val="00160330"/>
    <w:rsid w:val="0016380C"/>
    <w:rsid w:val="00164354"/>
    <w:rsid w:val="00164E09"/>
    <w:rsid w:val="00170640"/>
    <w:rsid w:val="00170D0B"/>
    <w:rsid w:val="00172095"/>
    <w:rsid w:val="001743DC"/>
    <w:rsid w:val="00175F04"/>
    <w:rsid w:val="00176689"/>
    <w:rsid w:val="00176CBA"/>
    <w:rsid w:val="001773FB"/>
    <w:rsid w:val="00177939"/>
    <w:rsid w:val="0018006D"/>
    <w:rsid w:val="00180AA0"/>
    <w:rsid w:val="00180C82"/>
    <w:rsid w:val="00182C16"/>
    <w:rsid w:val="00185B0A"/>
    <w:rsid w:val="00187515"/>
    <w:rsid w:val="001879CE"/>
    <w:rsid w:val="0019142B"/>
    <w:rsid w:val="0019206C"/>
    <w:rsid w:val="00192972"/>
    <w:rsid w:val="001936C2"/>
    <w:rsid w:val="00193E93"/>
    <w:rsid w:val="00194104"/>
    <w:rsid w:val="00194834"/>
    <w:rsid w:val="00194A66"/>
    <w:rsid w:val="00197071"/>
    <w:rsid w:val="00197820"/>
    <w:rsid w:val="001A2097"/>
    <w:rsid w:val="001A2CA5"/>
    <w:rsid w:val="001A2F21"/>
    <w:rsid w:val="001A5A58"/>
    <w:rsid w:val="001A68EA"/>
    <w:rsid w:val="001A7E36"/>
    <w:rsid w:val="001B20B2"/>
    <w:rsid w:val="001B232D"/>
    <w:rsid w:val="001B3BC9"/>
    <w:rsid w:val="001B459A"/>
    <w:rsid w:val="001B4C56"/>
    <w:rsid w:val="001B4F72"/>
    <w:rsid w:val="001B5C77"/>
    <w:rsid w:val="001C19C7"/>
    <w:rsid w:val="001C2300"/>
    <w:rsid w:val="001C5437"/>
    <w:rsid w:val="001C5A2C"/>
    <w:rsid w:val="001C61AD"/>
    <w:rsid w:val="001C6837"/>
    <w:rsid w:val="001C704A"/>
    <w:rsid w:val="001C70ED"/>
    <w:rsid w:val="001C7B0F"/>
    <w:rsid w:val="001D1C0C"/>
    <w:rsid w:val="001D3EE3"/>
    <w:rsid w:val="001D5576"/>
    <w:rsid w:val="001D6BCF"/>
    <w:rsid w:val="001D6F26"/>
    <w:rsid w:val="001D7605"/>
    <w:rsid w:val="001E01CA"/>
    <w:rsid w:val="001E3E40"/>
    <w:rsid w:val="001E41ED"/>
    <w:rsid w:val="001E5018"/>
    <w:rsid w:val="001E5864"/>
    <w:rsid w:val="001E5B5B"/>
    <w:rsid w:val="001F274C"/>
    <w:rsid w:val="001F2E7E"/>
    <w:rsid w:val="001F3A78"/>
    <w:rsid w:val="001F55DE"/>
    <w:rsid w:val="001F7160"/>
    <w:rsid w:val="00200CCB"/>
    <w:rsid w:val="0020131D"/>
    <w:rsid w:val="00201B93"/>
    <w:rsid w:val="002025C9"/>
    <w:rsid w:val="0020480D"/>
    <w:rsid w:val="00206715"/>
    <w:rsid w:val="00210E66"/>
    <w:rsid w:val="00214F6E"/>
    <w:rsid w:val="00216D07"/>
    <w:rsid w:val="002172F8"/>
    <w:rsid w:val="0021764F"/>
    <w:rsid w:val="00220C1C"/>
    <w:rsid w:val="0022105B"/>
    <w:rsid w:val="00223B32"/>
    <w:rsid w:val="00223D5E"/>
    <w:rsid w:val="00224061"/>
    <w:rsid w:val="00226381"/>
    <w:rsid w:val="002272BF"/>
    <w:rsid w:val="0023218C"/>
    <w:rsid w:val="00234669"/>
    <w:rsid w:val="00236169"/>
    <w:rsid w:val="002406C8"/>
    <w:rsid w:val="00240E60"/>
    <w:rsid w:val="002435F8"/>
    <w:rsid w:val="00243F8F"/>
    <w:rsid w:val="00247DC5"/>
    <w:rsid w:val="00251910"/>
    <w:rsid w:val="00253BA7"/>
    <w:rsid w:val="00253C72"/>
    <w:rsid w:val="0026007D"/>
    <w:rsid w:val="002624A2"/>
    <w:rsid w:val="00263EAC"/>
    <w:rsid w:val="0026400F"/>
    <w:rsid w:val="00264100"/>
    <w:rsid w:val="00265936"/>
    <w:rsid w:val="00266851"/>
    <w:rsid w:val="00275CF5"/>
    <w:rsid w:val="00276CFA"/>
    <w:rsid w:val="0027789B"/>
    <w:rsid w:val="002809F9"/>
    <w:rsid w:val="002810CB"/>
    <w:rsid w:val="0028301F"/>
    <w:rsid w:val="002839BD"/>
    <w:rsid w:val="00283A79"/>
    <w:rsid w:val="00285017"/>
    <w:rsid w:val="00285DA3"/>
    <w:rsid w:val="00286BB9"/>
    <w:rsid w:val="00291563"/>
    <w:rsid w:val="00294CA7"/>
    <w:rsid w:val="0029564C"/>
    <w:rsid w:val="00295781"/>
    <w:rsid w:val="002A0704"/>
    <w:rsid w:val="002A2D2E"/>
    <w:rsid w:val="002A5E1D"/>
    <w:rsid w:val="002A60CE"/>
    <w:rsid w:val="002A6B44"/>
    <w:rsid w:val="002A6B75"/>
    <w:rsid w:val="002A70E1"/>
    <w:rsid w:val="002B1284"/>
    <w:rsid w:val="002B18DB"/>
    <w:rsid w:val="002B376D"/>
    <w:rsid w:val="002B4030"/>
    <w:rsid w:val="002B54D9"/>
    <w:rsid w:val="002B5FAB"/>
    <w:rsid w:val="002B6D2D"/>
    <w:rsid w:val="002C00E8"/>
    <w:rsid w:val="002C3848"/>
    <w:rsid w:val="002C3AFF"/>
    <w:rsid w:val="002C3B1D"/>
    <w:rsid w:val="002C446D"/>
    <w:rsid w:val="002C5345"/>
    <w:rsid w:val="002C5BB7"/>
    <w:rsid w:val="002C74DE"/>
    <w:rsid w:val="002D04EE"/>
    <w:rsid w:val="002D1F57"/>
    <w:rsid w:val="002D2F43"/>
    <w:rsid w:val="002D50C6"/>
    <w:rsid w:val="002D5C46"/>
    <w:rsid w:val="002D61AF"/>
    <w:rsid w:val="002D70A1"/>
    <w:rsid w:val="002E300E"/>
    <w:rsid w:val="002E310C"/>
    <w:rsid w:val="002F18F0"/>
    <w:rsid w:val="002F2CD9"/>
    <w:rsid w:val="002F2D12"/>
    <w:rsid w:val="002F3BFB"/>
    <w:rsid w:val="002F401E"/>
    <w:rsid w:val="002F7FB1"/>
    <w:rsid w:val="00305F23"/>
    <w:rsid w:val="00307986"/>
    <w:rsid w:val="00311085"/>
    <w:rsid w:val="00312009"/>
    <w:rsid w:val="00313F40"/>
    <w:rsid w:val="0031429F"/>
    <w:rsid w:val="00314924"/>
    <w:rsid w:val="00317562"/>
    <w:rsid w:val="00317A39"/>
    <w:rsid w:val="00324746"/>
    <w:rsid w:val="00325C9B"/>
    <w:rsid w:val="003309E5"/>
    <w:rsid w:val="00332E43"/>
    <w:rsid w:val="00333710"/>
    <w:rsid w:val="00334AF3"/>
    <w:rsid w:val="0033688C"/>
    <w:rsid w:val="00336BC4"/>
    <w:rsid w:val="0034122E"/>
    <w:rsid w:val="003426C0"/>
    <w:rsid w:val="00342D10"/>
    <w:rsid w:val="00343749"/>
    <w:rsid w:val="00344D0C"/>
    <w:rsid w:val="0034645C"/>
    <w:rsid w:val="00350507"/>
    <w:rsid w:val="00350A79"/>
    <w:rsid w:val="00350F87"/>
    <w:rsid w:val="00350F91"/>
    <w:rsid w:val="00354A31"/>
    <w:rsid w:val="00354FCE"/>
    <w:rsid w:val="003604C6"/>
    <w:rsid w:val="00360DD2"/>
    <w:rsid w:val="00363480"/>
    <w:rsid w:val="00364681"/>
    <w:rsid w:val="00365591"/>
    <w:rsid w:val="003660ED"/>
    <w:rsid w:val="00366B36"/>
    <w:rsid w:val="00370D67"/>
    <w:rsid w:val="00372960"/>
    <w:rsid w:val="00377517"/>
    <w:rsid w:val="003819FF"/>
    <w:rsid w:val="00387301"/>
    <w:rsid w:val="003904D5"/>
    <w:rsid w:val="00390850"/>
    <w:rsid w:val="00392F84"/>
    <w:rsid w:val="00393349"/>
    <w:rsid w:val="00394EF9"/>
    <w:rsid w:val="00395978"/>
    <w:rsid w:val="00395C59"/>
    <w:rsid w:val="00396398"/>
    <w:rsid w:val="0039652B"/>
    <w:rsid w:val="0039725B"/>
    <w:rsid w:val="003975F7"/>
    <w:rsid w:val="00397624"/>
    <w:rsid w:val="003A048C"/>
    <w:rsid w:val="003A1C8D"/>
    <w:rsid w:val="003A27DC"/>
    <w:rsid w:val="003A5F5B"/>
    <w:rsid w:val="003A65B2"/>
    <w:rsid w:val="003A6A1F"/>
    <w:rsid w:val="003A7739"/>
    <w:rsid w:val="003B0550"/>
    <w:rsid w:val="003B1043"/>
    <w:rsid w:val="003B1D4A"/>
    <w:rsid w:val="003B45B6"/>
    <w:rsid w:val="003B49D5"/>
    <w:rsid w:val="003B6469"/>
    <w:rsid w:val="003B694F"/>
    <w:rsid w:val="003B7A60"/>
    <w:rsid w:val="003C108D"/>
    <w:rsid w:val="003C2114"/>
    <w:rsid w:val="003C378E"/>
    <w:rsid w:val="003C7376"/>
    <w:rsid w:val="003C7FEF"/>
    <w:rsid w:val="003D032A"/>
    <w:rsid w:val="003D193C"/>
    <w:rsid w:val="003D5AA2"/>
    <w:rsid w:val="003D6490"/>
    <w:rsid w:val="003E0D7E"/>
    <w:rsid w:val="003E282A"/>
    <w:rsid w:val="003E4C05"/>
    <w:rsid w:val="003E5E01"/>
    <w:rsid w:val="003F171C"/>
    <w:rsid w:val="003F2CC9"/>
    <w:rsid w:val="003F2FE9"/>
    <w:rsid w:val="003F45A8"/>
    <w:rsid w:val="003F6053"/>
    <w:rsid w:val="004029C9"/>
    <w:rsid w:val="004062B4"/>
    <w:rsid w:val="004128F8"/>
    <w:rsid w:val="00412FC5"/>
    <w:rsid w:val="00413341"/>
    <w:rsid w:val="00416DBD"/>
    <w:rsid w:val="00422276"/>
    <w:rsid w:val="0042374A"/>
    <w:rsid w:val="004237B8"/>
    <w:rsid w:val="004242F1"/>
    <w:rsid w:val="00425B62"/>
    <w:rsid w:val="00430577"/>
    <w:rsid w:val="00430D21"/>
    <w:rsid w:val="00432B9A"/>
    <w:rsid w:val="004343CF"/>
    <w:rsid w:val="004364E9"/>
    <w:rsid w:val="00436C78"/>
    <w:rsid w:val="00443400"/>
    <w:rsid w:val="00444575"/>
    <w:rsid w:val="00445A00"/>
    <w:rsid w:val="00447F5C"/>
    <w:rsid w:val="00451B0F"/>
    <w:rsid w:val="00454008"/>
    <w:rsid w:val="00455825"/>
    <w:rsid w:val="00455D68"/>
    <w:rsid w:val="00463987"/>
    <w:rsid w:val="00464B49"/>
    <w:rsid w:val="00466056"/>
    <w:rsid w:val="004663D9"/>
    <w:rsid w:val="00473D40"/>
    <w:rsid w:val="00474CE3"/>
    <w:rsid w:val="004754D3"/>
    <w:rsid w:val="004756D8"/>
    <w:rsid w:val="00475BE0"/>
    <w:rsid w:val="004760F4"/>
    <w:rsid w:val="00477C87"/>
    <w:rsid w:val="00483409"/>
    <w:rsid w:val="004834BA"/>
    <w:rsid w:val="00483A71"/>
    <w:rsid w:val="00484023"/>
    <w:rsid w:val="00484637"/>
    <w:rsid w:val="004854DE"/>
    <w:rsid w:val="0048687D"/>
    <w:rsid w:val="00490D4C"/>
    <w:rsid w:val="00491A57"/>
    <w:rsid w:val="00492536"/>
    <w:rsid w:val="00493926"/>
    <w:rsid w:val="004946E8"/>
    <w:rsid w:val="00495061"/>
    <w:rsid w:val="00495CAF"/>
    <w:rsid w:val="00495F27"/>
    <w:rsid w:val="004977B1"/>
    <w:rsid w:val="00497E4E"/>
    <w:rsid w:val="004A4F6E"/>
    <w:rsid w:val="004A52E5"/>
    <w:rsid w:val="004A5791"/>
    <w:rsid w:val="004A61C8"/>
    <w:rsid w:val="004A79C5"/>
    <w:rsid w:val="004B03E0"/>
    <w:rsid w:val="004B2019"/>
    <w:rsid w:val="004B5CCB"/>
    <w:rsid w:val="004B7964"/>
    <w:rsid w:val="004C2EE3"/>
    <w:rsid w:val="004C36A0"/>
    <w:rsid w:val="004C75C8"/>
    <w:rsid w:val="004C79D5"/>
    <w:rsid w:val="004D21A8"/>
    <w:rsid w:val="004D5514"/>
    <w:rsid w:val="004D61EB"/>
    <w:rsid w:val="004D69CF"/>
    <w:rsid w:val="004D756B"/>
    <w:rsid w:val="004D796C"/>
    <w:rsid w:val="004E100A"/>
    <w:rsid w:val="004E46BE"/>
    <w:rsid w:val="004E4A22"/>
    <w:rsid w:val="004E5313"/>
    <w:rsid w:val="004E5E4A"/>
    <w:rsid w:val="004E7194"/>
    <w:rsid w:val="004E794F"/>
    <w:rsid w:val="004F0B70"/>
    <w:rsid w:val="004F1009"/>
    <w:rsid w:val="004F4279"/>
    <w:rsid w:val="004F5D6B"/>
    <w:rsid w:val="004F6304"/>
    <w:rsid w:val="004F7DDB"/>
    <w:rsid w:val="00501A3C"/>
    <w:rsid w:val="00502375"/>
    <w:rsid w:val="00503B7E"/>
    <w:rsid w:val="00505129"/>
    <w:rsid w:val="005055E1"/>
    <w:rsid w:val="00505929"/>
    <w:rsid w:val="00506B5E"/>
    <w:rsid w:val="00506E40"/>
    <w:rsid w:val="0050757C"/>
    <w:rsid w:val="00507818"/>
    <w:rsid w:val="00511968"/>
    <w:rsid w:val="005126F2"/>
    <w:rsid w:val="00514AD9"/>
    <w:rsid w:val="00516E68"/>
    <w:rsid w:val="00517A49"/>
    <w:rsid w:val="0052229B"/>
    <w:rsid w:val="005231B6"/>
    <w:rsid w:val="005238BC"/>
    <w:rsid w:val="00525898"/>
    <w:rsid w:val="00525EA8"/>
    <w:rsid w:val="00526A45"/>
    <w:rsid w:val="00533228"/>
    <w:rsid w:val="005402F2"/>
    <w:rsid w:val="0054057E"/>
    <w:rsid w:val="00540BFE"/>
    <w:rsid w:val="00540CF9"/>
    <w:rsid w:val="0054156E"/>
    <w:rsid w:val="00542E76"/>
    <w:rsid w:val="005451E2"/>
    <w:rsid w:val="00545A68"/>
    <w:rsid w:val="005464E7"/>
    <w:rsid w:val="00547154"/>
    <w:rsid w:val="0055033F"/>
    <w:rsid w:val="00551D2F"/>
    <w:rsid w:val="00554177"/>
    <w:rsid w:val="00554ACA"/>
    <w:rsid w:val="005558EE"/>
    <w:rsid w:val="00555D3E"/>
    <w:rsid w:val="0055614C"/>
    <w:rsid w:val="005563D6"/>
    <w:rsid w:val="005577AD"/>
    <w:rsid w:val="00560112"/>
    <w:rsid w:val="00562715"/>
    <w:rsid w:val="00562A0B"/>
    <w:rsid w:val="00562F82"/>
    <w:rsid w:val="005645BF"/>
    <w:rsid w:val="00566AFF"/>
    <w:rsid w:val="00566D06"/>
    <w:rsid w:val="00570802"/>
    <w:rsid w:val="00571E18"/>
    <w:rsid w:val="005746EF"/>
    <w:rsid w:val="005749DB"/>
    <w:rsid w:val="00577DDC"/>
    <w:rsid w:val="00580A63"/>
    <w:rsid w:val="005826E8"/>
    <w:rsid w:val="00585A06"/>
    <w:rsid w:val="00586F01"/>
    <w:rsid w:val="00587552"/>
    <w:rsid w:val="00587CFB"/>
    <w:rsid w:val="0059359B"/>
    <w:rsid w:val="00593ACA"/>
    <w:rsid w:val="005947E9"/>
    <w:rsid w:val="0059529D"/>
    <w:rsid w:val="005968E5"/>
    <w:rsid w:val="00596F48"/>
    <w:rsid w:val="005A52B8"/>
    <w:rsid w:val="005A5847"/>
    <w:rsid w:val="005A608A"/>
    <w:rsid w:val="005A683C"/>
    <w:rsid w:val="005A68A9"/>
    <w:rsid w:val="005A7261"/>
    <w:rsid w:val="005B752B"/>
    <w:rsid w:val="005B78CC"/>
    <w:rsid w:val="005C2E49"/>
    <w:rsid w:val="005C55DD"/>
    <w:rsid w:val="005D6451"/>
    <w:rsid w:val="005D719B"/>
    <w:rsid w:val="005D7641"/>
    <w:rsid w:val="005E0774"/>
    <w:rsid w:val="005E0B3C"/>
    <w:rsid w:val="005E14C2"/>
    <w:rsid w:val="005E1ED3"/>
    <w:rsid w:val="005E2ABC"/>
    <w:rsid w:val="005E3EC5"/>
    <w:rsid w:val="005E3FC8"/>
    <w:rsid w:val="005E4DD9"/>
    <w:rsid w:val="005E6A27"/>
    <w:rsid w:val="005F076F"/>
    <w:rsid w:val="005F1A3C"/>
    <w:rsid w:val="005F28B1"/>
    <w:rsid w:val="005F62A4"/>
    <w:rsid w:val="00600F2C"/>
    <w:rsid w:val="006033E2"/>
    <w:rsid w:val="00606052"/>
    <w:rsid w:val="00607BA5"/>
    <w:rsid w:val="0061180A"/>
    <w:rsid w:val="0061201B"/>
    <w:rsid w:val="0061300B"/>
    <w:rsid w:val="00615A3E"/>
    <w:rsid w:val="0061648C"/>
    <w:rsid w:val="00623293"/>
    <w:rsid w:val="00623ACE"/>
    <w:rsid w:val="00623F45"/>
    <w:rsid w:val="00625E4F"/>
    <w:rsid w:val="00626EB6"/>
    <w:rsid w:val="00630461"/>
    <w:rsid w:val="006309AE"/>
    <w:rsid w:val="00631825"/>
    <w:rsid w:val="00631BCE"/>
    <w:rsid w:val="00633817"/>
    <w:rsid w:val="0063484F"/>
    <w:rsid w:val="00634CD4"/>
    <w:rsid w:val="00635459"/>
    <w:rsid w:val="00636C41"/>
    <w:rsid w:val="00636DA9"/>
    <w:rsid w:val="00637606"/>
    <w:rsid w:val="00637812"/>
    <w:rsid w:val="006419D3"/>
    <w:rsid w:val="00643C02"/>
    <w:rsid w:val="00650A8E"/>
    <w:rsid w:val="0065495C"/>
    <w:rsid w:val="00655D03"/>
    <w:rsid w:val="00657A51"/>
    <w:rsid w:val="00657F7D"/>
    <w:rsid w:val="006623E2"/>
    <w:rsid w:val="0066260B"/>
    <w:rsid w:val="00662D12"/>
    <w:rsid w:val="00662F2E"/>
    <w:rsid w:val="0066437B"/>
    <w:rsid w:val="0066550F"/>
    <w:rsid w:val="006660F0"/>
    <w:rsid w:val="00667468"/>
    <w:rsid w:val="006679EC"/>
    <w:rsid w:val="00667E44"/>
    <w:rsid w:val="00671C27"/>
    <w:rsid w:val="00671E40"/>
    <w:rsid w:val="00671FD2"/>
    <w:rsid w:val="00673C18"/>
    <w:rsid w:val="00673E86"/>
    <w:rsid w:val="0067711F"/>
    <w:rsid w:val="006775F4"/>
    <w:rsid w:val="00683388"/>
    <w:rsid w:val="00683F84"/>
    <w:rsid w:val="006849D7"/>
    <w:rsid w:val="00684BB3"/>
    <w:rsid w:val="00685B74"/>
    <w:rsid w:val="00686230"/>
    <w:rsid w:val="0068651B"/>
    <w:rsid w:val="00686887"/>
    <w:rsid w:val="00687C5A"/>
    <w:rsid w:val="00694867"/>
    <w:rsid w:val="00696728"/>
    <w:rsid w:val="00696F56"/>
    <w:rsid w:val="006975A7"/>
    <w:rsid w:val="006A0614"/>
    <w:rsid w:val="006A0C58"/>
    <w:rsid w:val="006A6530"/>
    <w:rsid w:val="006A6A81"/>
    <w:rsid w:val="006B076E"/>
    <w:rsid w:val="006B0A39"/>
    <w:rsid w:val="006B3A2B"/>
    <w:rsid w:val="006B7F1C"/>
    <w:rsid w:val="006C21E1"/>
    <w:rsid w:val="006C36FB"/>
    <w:rsid w:val="006C4BD1"/>
    <w:rsid w:val="006C58BA"/>
    <w:rsid w:val="006C69AF"/>
    <w:rsid w:val="006C6A0F"/>
    <w:rsid w:val="006C74DD"/>
    <w:rsid w:val="006D0067"/>
    <w:rsid w:val="006D0C19"/>
    <w:rsid w:val="006D1670"/>
    <w:rsid w:val="006D20D1"/>
    <w:rsid w:val="006D31A8"/>
    <w:rsid w:val="006D4164"/>
    <w:rsid w:val="006D4C8B"/>
    <w:rsid w:val="006D4CF4"/>
    <w:rsid w:val="006E0063"/>
    <w:rsid w:val="006E2837"/>
    <w:rsid w:val="006E3F61"/>
    <w:rsid w:val="006E42CA"/>
    <w:rsid w:val="006E487A"/>
    <w:rsid w:val="006E5825"/>
    <w:rsid w:val="006E5B9F"/>
    <w:rsid w:val="006E6843"/>
    <w:rsid w:val="006E731C"/>
    <w:rsid w:val="006F367D"/>
    <w:rsid w:val="006F42F5"/>
    <w:rsid w:val="006F7393"/>
    <w:rsid w:val="0070224F"/>
    <w:rsid w:val="00702929"/>
    <w:rsid w:val="0070315B"/>
    <w:rsid w:val="00707D24"/>
    <w:rsid w:val="0071035F"/>
    <w:rsid w:val="00711524"/>
    <w:rsid w:val="007115F7"/>
    <w:rsid w:val="00711FEC"/>
    <w:rsid w:val="007135EE"/>
    <w:rsid w:val="00713940"/>
    <w:rsid w:val="007145AF"/>
    <w:rsid w:val="007155D5"/>
    <w:rsid w:val="007217FE"/>
    <w:rsid w:val="007226C0"/>
    <w:rsid w:val="00722DD9"/>
    <w:rsid w:val="0072453A"/>
    <w:rsid w:val="007262F2"/>
    <w:rsid w:val="00730032"/>
    <w:rsid w:val="00730105"/>
    <w:rsid w:val="007330FB"/>
    <w:rsid w:val="00734567"/>
    <w:rsid w:val="0073535E"/>
    <w:rsid w:val="007364B2"/>
    <w:rsid w:val="00736B85"/>
    <w:rsid w:val="00741B15"/>
    <w:rsid w:val="0074325D"/>
    <w:rsid w:val="007437FC"/>
    <w:rsid w:val="00745191"/>
    <w:rsid w:val="00745A33"/>
    <w:rsid w:val="00745BDA"/>
    <w:rsid w:val="00746BD6"/>
    <w:rsid w:val="00747098"/>
    <w:rsid w:val="00747332"/>
    <w:rsid w:val="0074759B"/>
    <w:rsid w:val="0075035F"/>
    <w:rsid w:val="007512D8"/>
    <w:rsid w:val="007522B4"/>
    <w:rsid w:val="00753E98"/>
    <w:rsid w:val="0075416F"/>
    <w:rsid w:val="00755581"/>
    <w:rsid w:val="00755D97"/>
    <w:rsid w:val="00757B1E"/>
    <w:rsid w:val="007615D9"/>
    <w:rsid w:val="00763711"/>
    <w:rsid w:val="0076579E"/>
    <w:rsid w:val="00766898"/>
    <w:rsid w:val="00774A3D"/>
    <w:rsid w:val="00774BF4"/>
    <w:rsid w:val="00776189"/>
    <w:rsid w:val="00780596"/>
    <w:rsid w:val="00781BF2"/>
    <w:rsid w:val="00785689"/>
    <w:rsid w:val="007858A3"/>
    <w:rsid w:val="00786652"/>
    <w:rsid w:val="007871AD"/>
    <w:rsid w:val="007917BC"/>
    <w:rsid w:val="007918DA"/>
    <w:rsid w:val="007919FC"/>
    <w:rsid w:val="00794494"/>
    <w:rsid w:val="00795E3B"/>
    <w:rsid w:val="0079754B"/>
    <w:rsid w:val="007A0144"/>
    <w:rsid w:val="007A1E6D"/>
    <w:rsid w:val="007A287B"/>
    <w:rsid w:val="007A3CA1"/>
    <w:rsid w:val="007A45CB"/>
    <w:rsid w:val="007A5333"/>
    <w:rsid w:val="007A77E4"/>
    <w:rsid w:val="007A78DF"/>
    <w:rsid w:val="007B0EB2"/>
    <w:rsid w:val="007B60A8"/>
    <w:rsid w:val="007C061C"/>
    <w:rsid w:val="007C2445"/>
    <w:rsid w:val="007C30C5"/>
    <w:rsid w:val="007C4B04"/>
    <w:rsid w:val="007C6CA5"/>
    <w:rsid w:val="007C75EF"/>
    <w:rsid w:val="007C7C93"/>
    <w:rsid w:val="007D1B83"/>
    <w:rsid w:val="007D2A9A"/>
    <w:rsid w:val="007D5745"/>
    <w:rsid w:val="007D6985"/>
    <w:rsid w:val="007D7165"/>
    <w:rsid w:val="007E2E67"/>
    <w:rsid w:val="007E45A6"/>
    <w:rsid w:val="007E7728"/>
    <w:rsid w:val="007F2476"/>
    <w:rsid w:val="007F303F"/>
    <w:rsid w:val="007F3638"/>
    <w:rsid w:val="007F4842"/>
    <w:rsid w:val="007F4B1D"/>
    <w:rsid w:val="007F4D79"/>
    <w:rsid w:val="007F7E5F"/>
    <w:rsid w:val="00802D54"/>
    <w:rsid w:val="0080428C"/>
    <w:rsid w:val="008071B8"/>
    <w:rsid w:val="008075D7"/>
    <w:rsid w:val="00807DBD"/>
    <w:rsid w:val="00810B6F"/>
    <w:rsid w:val="00810CBB"/>
    <w:rsid w:val="0081119B"/>
    <w:rsid w:val="00812281"/>
    <w:rsid w:val="0081260B"/>
    <w:rsid w:val="00812A29"/>
    <w:rsid w:val="00814411"/>
    <w:rsid w:val="00814C51"/>
    <w:rsid w:val="00815B6C"/>
    <w:rsid w:val="00822CE0"/>
    <w:rsid w:val="00823371"/>
    <w:rsid w:val="00823400"/>
    <w:rsid w:val="008254F8"/>
    <w:rsid w:val="008255AD"/>
    <w:rsid w:val="00831395"/>
    <w:rsid w:val="00831526"/>
    <w:rsid w:val="0083194E"/>
    <w:rsid w:val="0083363B"/>
    <w:rsid w:val="0083484B"/>
    <w:rsid w:val="00837A1C"/>
    <w:rsid w:val="00841AB1"/>
    <w:rsid w:val="00843EE0"/>
    <w:rsid w:val="008441A3"/>
    <w:rsid w:val="00850089"/>
    <w:rsid w:val="0085024D"/>
    <w:rsid w:val="0085138B"/>
    <w:rsid w:val="008530CB"/>
    <w:rsid w:val="00853211"/>
    <w:rsid w:val="00853993"/>
    <w:rsid w:val="00857DE4"/>
    <w:rsid w:val="008601CC"/>
    <w:rsid w:val="00860EE8"/>
    <w:rsid w:val="008641AF"/>
    <w:rsid w:val="00866975"/>
    <w:rsid w:val="00866AF0"/>
    <w:rsid w:val="00866F56"/>
    <w:rsid w:val="00867998"/>
    <w:rsid w:val="0087022E"/>
    <w:rsid w:val="00871F2D"/>
    <w:rsid w:val="008724E3"/>
    <w:rsid w:val="00875296"/>
    <w:rsid w:val="00875BEC"/>
    <w:rsid w:val="00877309"/>
    <w:rsid w:val="008778A9"/>
    <w:rsid w:val="008800B9"/>
    <w:rsid w:val="00887762"/>
    <w:rsid w:val="00897BC2"/>
    <w:rsid w:val="008A0D48"/>
    <w:rsid w:val="008A19A1"/>
    <w:rsid w:val="008A1F9D"/>
    <w:rsid w:val="008A214E"/>
    <w:rsid w:val="008A21A9"/>
    <w:rsid w:val="008A2CFC"/>
    <w:rsid w:val="008A38F8"/>
    <w:rsid w:val="008A490E"/>
    <w:rsid w:val="008A5311"/>
    <w:rsid w:val="008A68CC"/>
    <w:rsid w:val="008A754E"/>
    <w:rsid w:val="008B13AF"/>
    <w:rsid w:val="008B2C94"/>
    <w:rsid w:val="008B3AAD"/>
    <w:rsid w:val="008B5D0E"/>
    <w:rsid w:val="008B6E01"/>
    <w:rsid w:val="008C31B8"/>
    <w:rsid w:val="008C6725"/>
    <w:rsid w:val="008C6740"/>
    <w:rsid w:val="008C68F1"/>
    <w:rsid w:val="008D10EC"/>
    <w:rsid w:val="008D231A"/>
    <w:rsid w:val="008D52BC"/>
    <w:rsid w:val="008D76A1"/>
    <w:rsid w:val="008E0CE9"/>
    <w:rsid w:val="008E1CE6"/>
    <w:rsid w:val="008E3242"/>
    <w:rsid w:val="008E36B6"/>
    <w:rsid w:val="008E39AE"/>
    <w:rsid w:val="008E6411"/>
    <w:rsid w:val="008F01CE"/>
    <w:rsid w:val="008F3ADC"/>
    <w:rsid w:val="008F5E2A"/>
    <w:rsid w:val="008F6AF7"/>
    <w:rsid w:val="00902051"/>
    <w:rsid w:val="00902D19"/>
    <w:rsid w:val="009040F0"/>
    <w:rsid w:val="009062D6"/>
    <w:rsid w:val="00907182"/>
    <w:rsid w:val="00911181"/>
    <w:rsid w:val="009111AF"/>
    <w:rsid w:val="0091121B"/>
    <w:rsid w:val="0091527D"/>
    <w:rsid w:val="00916F9D"/>
    <w:rsid w:val="009179C8"/>
    <w:rsid w:val="00921803"/>
    <w:rsid w:val="00924499"/>
    <w:rsid w:val="009249D6"/>
    <w:rsid w:val="00926503"/>
    <w:rsid w:val="00927A76"/>
    <w:rsid w:val="00931930"/>
    <w:rsid w:val="00931F84"/>
    <w:rsid w:val="009339A2"/>
    <w:rsid w:val="00934DE5"/>
    <w:rsid w:val="00935CC5"/>
    <w:rsid w:val="0093737A"/>
    <w:rsid w:val="009375F5"/>
    <w:rsid w:val="0094095A"/>
    <w:rsid w:val="00940FFA"/>
    <w:rsid w:val="00941A20"/>
    <w:rsid w:val="009420DC"/>
    <w:rsid w:val="009439EA"/>
    <w:rsid w:val="00943CDE"/>
    <w:rsid w:val="0094620A"/>
    <w:rsid w:val="009473A5"/>
    <w:rsid w:val="00953E0D"/>
    <w:rsid w:val="00954C5B"/>
    <w:rsid w:val="009624FC"/>
    <w:rsid w:val="00962544"/>
    <w:rsid w:val="00964F53"/>
    <w:rsid w:val="009676BC"/>
    <w:rsid w:val="00967720"/>
    <w:rsid w:val="0097097D"/>
    <w:rsid w:val="009725EC"/>
    <w:rsid w:val="009726D8"/>
    <w:rsid w:val="00982021"/>
    <w:rsid w:val="00982D82"/>
    <w:rsid w:val="00983149"/>
    <w:rsid w:val="0098441D"/>
    <w:rsid w:val="009844D2"/>
    <w:rsid w:val="00984C85"/>
    <w:rsid w:val="0098554E"/>
    <w:rsid w:val="00985EA9"/>
    <w:rsid w:val="00992289"/>
    <w:rsid w:val="009931D0"/>
    <w:rsid w:val="00993315"/>
    <w:rsid w:val="009944AC"/>
    <w:rsid w:val="009953C7"/>
    <w:rsid w:val="00997D5E"/>
    <w:rsid w:val="009A194C"/>
    <w:rsid w:val="009A1F5E"/>
    <w:rsid w:val="009A498A"/>
    <w:rsid w:val="009A4E46"/>
    <w:rsid w:val="009A4FCC"/>
    <w:rsid w:val="009A5430"/>
    <w:rsid w:val="009A654C"/>
    <w:rsid w:val="009A6A8F"/>
    <w:rsid w:val="009B0E4F"/>
    <w:rsid w:val="009B7600"/>
    <w:rsid w:val="009C292E"/>
    <w:rsid w:val="009C31C3"/>
    <w:rsid w:val="009C3C95"/>
    <w:rsid w:val="009C50DD"/>
    <w:rsid w:val="009C6757"/>
    <w:rsid w:val="009C6C9A"/>
    <w:rsid w:val="009D319C"/>
    <w:rsid w:val="009D3E71"/>
    <w:rsid w:val="009D71A8"/>
    <w:rsid w:val="009D7308"/>
    <w:rsid w:val="009D765B"/>
    <w:rsid w:val="009E0DD8"/>
    <w:rsid w:val="009E1057"/>
    <w:rsid w:val="009F14A8"/>
    <w:rsid w:val="009F175A"/>
    <w:rsid w:val="009F2EFE"/>
    <w:rsid w:val="009F6A96"/>
    <w:rsid w:val="009F75FA"/>
    <w:rsid w:val="009F76DB"/>
    <w:rsid w:val="00A033DC"/>
    <w:rsid w:val="00A03A9E"/>
    <w:rsid w:val="00A03D1D"/>
    <w:rsid w:val="00A040C1"/>
    <w:rsid w:val="00A04AF8"/>
    <w:rsid w:val="00A06246"/>
    <w:rsid w:val="00A07CD3"/>
    <w:rsid w:val="00A13287"/>
    <w:rsid w:val="00A13292"/>
    <w:rsid w:val="00A13E1F"/>
    <w:rsid w:val="00A16C46"/>
    <w:rsid w:val="00A17A54"/>
    <w:rsid w:val="00A17BA2"/>
    <w:rsid w:val="00A20ECA"/>
    <w:rsid w:val="00A21618"/>
    <w:rsid w:val="00A266C5"/>
    <w:rsid w:val="00A277EA"/>
    <w:rsid w:val="00A32546"/>
    <w:rsid w:val="00A32C3B"/>
    <w:rsid w:val="00A33212"/>
    <w:rsid w:val="00A33DB0"/>
    <w:rsid w:val="00A33EC2"/>
    <w:rsid w:val="00A35418"/>
    <w:rsid w:val="00A361E1"/>
    <w:rsid w:val="00A36BCA"/>
    <w:rsid w:val="00A36D45"/>
    <w:rsid w:val="00A37002"/>
    <w:rsid w:val="00A40914"/>
    <w:rsid w:val="00A41237"/>
    <w:rsid w:val="00A41B1E"/>
    <w:rsid w:val="00A45F4F"/>
    <w:rsid w:val="00A46425"/>
    <w:rsid w:val="00A50F54"/>
    <w:rsid w:val="00A516C7"/>
    <w:rsid w:val="00A523E5"/>
    <w:rsid w:val="00A5243F"/>
    <w:rsid w:val="00A52760"/>
    <w:rsid w:val="00A600A9"/>
    <w:rsid w:val="00A61582"/>
    <w:rsid w:val="00A66742"/>
    <w:rsid w:val="00A671EF"/>
    <w:rsid w:val="00A71937"/>
    <w:rsid w:val="00A71EFD"/>
    <w:rsid w:val="00A75957"/>
    <w:rsid w:val="00A77C09"/>
    <w:rsid w:val="00A800DB"/>
    <w:rsid w:val="00A83C24"/>
    <w:rsid w:val="00A85CA9"/>
    <w:rsid w:val="00A864D8"/>
    <w:rsid w:val="00A865F2"/>
    <w:rsid w:val="00A955D2"/>
    <w:rsid w:val="00A978CB"/>
    <w:rsid w:val="00AA0245"/>
    <w:rsid w:val="00AA0246"/>
    <w:rsid w:val="00AA08F7"/>
    <w:rsid w:val="00AA1243"/>
    <w:rsid w:val="00AA3841"/>
    <w:rsid w:val="00AA55B7"/>
    <w:rsid w:val="00AA5B9E"/>
    <w:rsid w:val="00AA7CB2"/>
    <w:rsid w:val="00AB0DF6"/>
    <w:rsid w:val="00AB2407"/>
    <w:rsid w:val="00AB3231"/>
    <w:rsid w:val="00AB53DF"/>
    <w:rsid w:val="00AC2092"/>
    <w:rsid w:val="00AC2395"/>
    <w:rsid w:val="00AC2C40"/>
    <w:rsid w:val="00AC4AFF"/>
    <w:rsid w:val="00AC5DE2"/>
    <w:rsid w:val="00AC6695"/>
    <w:rsid w:val="00AC6CE3"/>
    <w:rsid w:val="00AC711B"/>
    <w:rsid w:val="00AC7721"/>
    <w:rsid w:val="00AC7E1A"/>
    <w:rsid w:val="00AE383B"/>
    <w:rsid w:val="00AE3F30"/>
    <w:rsid w:val="00AF2E47"/>
    <w:rsid w:val="00AF2EC3"/>
    <w:rsid w:val="00AF35CF"/>
    <w:rsid w:val="00AF702A"/>
    <w:rsid w:val="00AF7FFC"/>
    <w:rsid w:val="00B00BFA"/>
    <w:rsid w:val="00B01BC9"/>
    <w:rsid w:val="00B03010"/>
    <w:rsid w:val="00B059DA"/>
    <w:rsid w:val="00B0601C"/>
    <w:rsid w:val="00B07D0C"/>
    <w:rsid w:val="00B07E5C"/>
    <w:rsid w:val="00B1071D"/>
    <w:rsid w:val="00B16C94"/>
    <w:rsid w:val="00B16D2F"/>
    <w:rsid w:val="00B17053"/>
    <w:rsid w:val="00B20BA4"/>
    <w:rsid w:val="00B21BE8"/>
    <w:rsid w:val="00B23E03"/>
    <w:rsid w:val="00B25FFD"/>
    <w:rsid w:val="00B26AEC"/>
    <w:rsid w:val="00B27333"/>
    <w:rsid w:val="00B27662"/>
    <w:rsid w:val="00B3017B"/>
    <w:rsid w:val="00B302B3"/>
    <w:rsid w:val="00B34C66"/>
    <w:rsid w:val="00B358D7"/>
    <w:rsid w:val="00B36609"/>
    <w:rsid w:val="00B40DAF"/>
    <w:rsid w:val="00B45DFC"/>
    <w:rsid w:val="00B470CF"/>
    <w:rsid w:val="00B5099E"/>
    <w:rsid w:val="00B515FB"/>
    <w:rsid w:val="00B51C90"/>
    <w:rsid w:val="00B522CA"/>
    <w:rsid w:val="00B52A2B"/>
    <w:rsid w:val="00B52B04"/>
    <w:rsid w:val="00B53C35"/>
    <w:rsid w:val="00B53D6D"/>
    <w:rsid w:val="00B53DAC"/>
    <w:rsid w:val="00B5537D"/>
    <w:rsid w:val="00B555AF"/>
    <w:rsid w:val="00B568D4"/>
    <w:rsid w:val="00B56F66"/>
    <w:rsid w:val="00B57280"/>
    <w:rsid w:val="00B573CF"/>
    <w:rsid w:val="00B61608"/>
    <w:rsid w:val="00B61D97"/>
    <w:rsid w:val="00B67B6D"/>
    <w:rsid w:val="00B71A27"/>
    <w:rsid w:val="00B71E5A"/>
    <w:rsid w:val="00B71FEC"/>
    <w:rsid w:val="00B73146"/>
    <w:rsid w:val="00B73EF2"/>
    <w:rsid w:val="00B75904"/>
    <w:rsid w:val="00B76286"/>
    <w:rsid w:val="00B765C4"/>
    <w:rsid w:val="00B77F68"/>
    <w:rsid w:val="00B811F7"/>
    <w:rsid w:val="00B815E2"/>
    <w:rsid w:val="00B84FBD"/>
    <w:rsid w:val="00B86A9B"/>
    <w:rsid w:val="00B86E3D"/>
    <w:rsid w:val="00B871A5"/>
    <w:rsid w:val="00B87325"/>
    <w:rsid w:val="00B92B8C"/>
    <w:rsid w:val="00B94D6F"/>
    <w:rsid w:val="00B95A4E"/>
    <w:rsid w:val="00B96E50"/>
    <w:rsid w:val="00BA2825"/>
    <w:rsid w:val="00BA37F5"/>
    <w:rsid w:val="00BA3AF1"/>
    <w:rsid w:val="00BA43F7"/>
    <w:rsid w:val="00BA45C1"/>
    <w:rsid w:val="00BA5DC6"/>
    <w:rsid w:val="00BA6196"/>
    <w:rsid w:val="00BB1A13"/>
    <w:rsid w:val="00BB2651"/>
    <w:rsid w:val="00BB48F5"/>
    <w:rsid w:val="00BB6C21"/>
    <w:rsid w:val="00BC41FE"/>
    <w:rsid w:val="00BC53BB"/>
    <w:rsid w:val="00BC6779"/>
    <w:rsid w:val="00BC6D8C"/>
    <w:rsid w:val="00BC7773"/>
    <w:rsid w:val="00BC7E9B"/>
    <w:rsid w:val="00BD05EE"/>
    <w:rsid w:val="00BD106C"/>
    <w:rsid w:val="00BD4AD6"/>
    <w:rsid w:val="00BE058F"/>
    <w:rsid w:val="00BE15D1"/>
    <w:rsid w:val="00BE25BF"/>
    <w:rsid w:val="00BE47F3"/>
    <w:rsid w:val="00BE5988"/>
    <w:rsid w:val="00BE7000"/>
    <w:rsid w:val="00BF0C66"/>
    <w:rsid w:val="00BF1743"/>
    <w:rsid w:val="00BF1ECE"/>
    <w:rsid w:val="00BF2A24"/>
    <w:rsid w:val="00BF3267"/>
    <w:rsid w:val="00BF56AB"/>
    <w:rsid w:val="00BF696F"/>
    <w:rsid w:val="00BF705B"/>
    <w:rsid w:val="00BF7B15"/>
    <w:rsid w:val="00C027DB"/>
    <w:rsid w:val="00C03AA2"/>
    <w:rsid w:val="00C130D3"/>
    <w:rsid w:val="00C1378A"/>
    <w:rsid w:val="00C20DA6"/>
    <w:rsid w:val="00C2295D"/>
    <w:rsid w:val="00C235A4"/>
    <w:rsid w:val="00C23FCC"/>
    <w:rsid w:val="00C247EB"/>
    <w:rsid w:val="00C26B6C"/>
    <w:rsid w:val="00C27375"/>
    <w:rsid w:val="00C278E3"/>
    <w:rsid w:val="00C31D28"/>
    <w:rsid w:val="00C32695"/>
    <w:rsid w:val="00C327ED"/>
    <w:rsid w:val="00C337F5"/>
    <w:rsid w:val="00C33A46"/>
    <w:rsid w:val="00C33C95"/>
    <w:rsid w:val="00C33E36"/>
    <w:rsid w:val="00C34006"/>
    <w:rsid w:val="00C35D35"/>
    <w:rsid w:val="00C36B4C"/>
    <w:rsid w:val="00C40503"/>
    <w:rsid w:val="00C40F93"/>
    <w:rsid w:val="00C411EE"/>
    <w:rsid w:val="00C426B1"/>
    <w:rsid w:val="00C44AF4"/>
    <w:rsid w:val="00C46FAA"/>
    <w:rsid w:val="00C529E4"/>
    <w:rsid w:val="00C53827"/>
    <w:rsid w:val="00C541D2"/>
    <w:rsid w:val="00C569EC"/>
    <w:rsid w:val="00C61D58"/>
    <w:rsid w:val="00C66117"/>
    <w:rsid w:val="00C66160"/>
    <w:rsid w:val="00C66375"/>
    <w:rsid w:val="00C66A52"/>
    <w:rsid w:val="00C67574"/>
    <w:rsid w:val="00C6787A"/>
    <w:rsid w:val="00C7205C"/>
    <w:rsid w:val="00C721AC"/>
    <w:rsid w:val="00C74CF7"/>
    <w:rsid w:val="00C76624"/>
    <w:rsid w:val="00C7721D"/>
    <w:rsid w:val="00C773F1"/>
    <w:rsid w:val="00C77680"/>
    <w:rsid w:val="00C80E88"/>
    <w:rsid w:val="00C83360"/>
    <w:rsid w:val="00C834B6"/>
    <w:rsid w:val="00C83C67"/>
    <w:rsid w:val="00C8490F"/>
    <w:rsid w:val="00C84BD0"/>
    <w:rsid w:val="00C85406"/>
    <w:rsid w:val="00C90828"/>
    <w:rsid w:val="00C90D6A"/>
    <w:rsid w:val="00C91D80"/>
    <w:rsid w:val="00C94109"/>
    <w:rsid w:val="00C94307"/>
    <w:rsid w:val="00C94806"/>
    <w:rsid w:val="00CA0B8E"/>
    <w:rsid w:val="00CA247E"/>
    <w:rsid w:val="00CA30A4"/>
    <w:rsid w:val="00CA49C5"/>
    <w:rsid w:val="00CA590C"/>
    <w:rsid w:val="00CA6D21"/>
    <w:rsid w:val="00CB1D72"/>
    <w:rsid w:val="00CB2E97"/>
    <w:rsid w:val="00CB4C92"/>
    <w:rsid w:val="00CC1D3B"/>
    <w:rsid w:val="00CC2E12"/>
    <w:rsid w:val="00CC2EF0"/>
    <w:rsid w:val="00CC314E"/>
    <w:rsid w:val="00CC3A48"/>
    <w:rsid w:val="00CC4767"/>
    <w:rsid w:val="00CC5393"/>
    <w:rsid w:val="00CC662C"/>
    <w:rsid w:val="00CC72B6"/>
    <w:rsid w:val="00CC7F86"/>
    <w:rsid w:val="00CD0FBC"/>
    <w:rsid w:val="00CD4274"/>
    <w:rsid w:val="00CD494F"/>
    <w:rsid w:val="00CD4D13"/>
    <w:rsid w:val="00CD622D"/>
    <w:rsid w:val="00CD6827"/>
    <w:rsid w:val="00CD786C"/>
    <w:rsid w:val="00CE324A"/>
    <w:rsid w:val="00CE5B41"/>
    <w:rsid w:val="00CF09D5"/>
    <w:rsid w:val="00CF1738"/>
    <w:rsid w:val="00CF3A87"/>
    <w:rsid w:val="00CF430A"/>
    <w:rsid w:val="00CF73DB"/>
    <w:rsid w:val="00CF7742"/>
    <w:rsid w:val="00D0049B"/>
    <w:rsid w:val="00D0218D"/>
    <w:rsid w:val="00D03849"/>
    <w:rsid w:val="00D03B68"/>
    <w:rsid w:val="00D03DEF"/>
    <w:rsid w:val="00D059E3"/>
    <w:rsid w:val="00D0721F"/>
    <w:rsid w:val="00D072CD"/>
    <w:rsid w:val="00D076B1"/>
    <w:rsid w:val="00D10ECF"/>
    <w:rsid w:val="00D13F5D"/>
    <w:rsid w:val="00D13F9C"/>
    <w:rsid w:val="00D17FF5"/>
    <w:rsid w:val="00D2100E"/>
    <w:rsid w:val="00D24386"/>
    <w:rsid w:val="00D2528E"/>
    <w:rsid w:val="00D25FB5"/>
    <w:rsid w:val="00D26955"/>
    <w:rsid w:val="00D26A77"/>
    <w:rsid w:val="00D26A81"/>
    <w:rsid w:val="00D33541"/>
    <w:rsid w:val="00D338C7"/>
    <w:rsid w:val="00D34D7F"/>
    <w:rsid w:val="00D429BA"/>
    <w:rsid w:val="00D44223"/>
    <w:rsid w:val="00D53FCC"/>
    <w:rsid w:val="00D549EB"/>
    <w:rsid w:val="00D601FE"/>
    <w:rsid w:val="00D61E8F"/>
    <w:rsid w:val="00D624AB"/>
    <w:rsid w:val="00D652EC"/>
    <w:rsid w:val="00D72C2E"/>
    <w:rsid w:val="00D74F02"/>
    <w:rsid w:val="00D761B2"/>
    <w:rsid w:val="00D77D7F"/>
    <w:rsid w:val="00D77ED4"/>
    <w:rsid w:val="00D813FF"/>
    <w:rsid w:val="00D82540"/>
    <w:rsid w:val="00D854CB"/>
    <w:rsid w:val="00D861C8"/>
    <w:rsid w:val="00D86C00"/>
    <w:rsid w:val="00D904E9"/>
    <w:rsid w:val="00D92546"/>
    <w:rsid w:val="00D93D17"/>
    <w:rsid w:val="00D961AF"/>
    <w:rsid w:val="00D978FD"/>
    <w:rsid w:val="00DA1705"/>
    <w:rsid w:val="00DA22C5"/>
    <w:rsid w:val="00DA2529"/>
    <w:rsid w:val="00DA2A31"/>
    <w:rsid w:val="00DA2CF6"/>
    <w:rsid w:val="00DA6AA6"/>
    <w:rsid w:val="00DA7993"/>
    <w:rsid w:val="00DB11D4"/>
    <w:rsid w:val="00DB130A"/>
    <w:rsid w:val="00DB22C2"/>
    <w:rsid w:val="00DB2EBB"/>
    <w:rsid w:val="00DB3816"/>
    <w:rsid w:val="00DB4F3A"/>
    <w:rsid w:val="00DC0864"/>
    <w:rsid w:val="00DC10A1"/>
    <w:rsid w:val="00DC1D5A"/>
    <w:rsid w:val="00DC2BAE"/>
    <w:rsid w:val="00DC3D79"/>
    <w:rsid w:val="00DC4C23"/>
    <w:rsid w:val="00DC5152"/>
    <w:rsid w:val="00DC56F2"/>
    <w:rsid w:val="00DC655F"/>
    <w:rsid w:val="00DC72FB"/>
    <w:rsid w:val="00DD0347"/>
    <w:rsid w:val="00DD05A2"/>
    <w:rsid w:val="00DD0B59"/>
    <w:rsid w:val="00DD1509"/>
    <w:rsid w:val="00DD4C7A"/>
    <w:rsid w:val="00DD5FD8"/>
    <w:rsid w:val="00DD63E3"/>
    <w:rsid w:val="00DD6B98"/>
    <w:rsid w:val="00DD78AB"/>
    <w:rsid w:val="00DD7EBD"/>
    <w:rsid w:val="00DE09FE"/>
    <w:rsid w:val="00DE29B3"/>
    <w:rsid w:val="00DE3911"/>
    <w:rsid w:val="00DE3AA1"/>
    <w:rsid w:val="00DE4C4D"/>
    <w:rsid w:val="00DE4FD5"/>
    <w:rsid w:val="00DE520A"/>
    <w:rsid w:val="00DE715B"/>
    <w:rsid w:val="00DE752A"/>
    <w:rsid w:val="00DF00DA"/>
    <w:rsid w:val="00DF0261"/>
    <w:rsid w:val="00DF32C9"/>
    <w:rsid w:val="00DF47CB"/>
    <w:rsid w:val="00DF62B6"/>
    <w:rsid w:val="00DF6985"/>
    <w:rsid w:val="00DF6E38"/>
    <w:rsid w:val="00E0014D"/>
    <w:rsid w:val="00E0039D"/>
    <w:rsid w:val="00E02A50"/>
    <w:rsid w:val="00E04191"/>
    <w:rsid w:val="00E04EB0"/>
    <w:rsid w:val="00E0607F"/>
    <w:rsid w:val="00E07225"/>
    <w:rsid w:val="00E138E3"/>
    <w:rsid w:val="00E149C8"/>
    <w:rsid w:val="00E1504E"/>
    <w:rsid w:val="00E21937"/>
    <w:rsid w:val="00E22321"/>
    <w:rsid w:val="00E229D2"/>
    <w:rsid w:val="00E23F3A"/>
    <w:rsid w:val="00E24261"/>
    <w:rsid w:val="00E302C7"/>
    <w:rsid w:val="00E327ED"/>
    <w:rsid w:val="00E3552C"/>
    <w:rsid w:val="00E362B7"/>
    <w:rsid w:val="00E37376"/>
    <w:rsid w:val="00E37622"/>
    <w:rsid w:val="00E37AAC"/>
    <w:rsid w:val="00E45DF9"/>
    <w:rsid w:val="00E47647"/>
    <w:rsid w:val="00E506DF"/>
    <w:rsid w:val="00E5194E"/>
    <w:rsid w:val="00E51EFA"/>
    <w:rsid w:val="00E53222"/>
    <w:rsid w:val="00E53646"/>
    <w:rsid w:val="00E5409F"/>
    <w:rsid w:val="00E574F6"/>
    <w:rsid w:val="00E60180"/>
    <w:rsid w:val="00E61404"/>
    <w:rsid w:val="00E61B04"/>
    <w:rsid w:val="00E621D0"/>
    <w:rsid w:val="00E62928"/>
    <w:rsid w:val="00E654EE"/>
    <w:rsid w:val="00E6563F"/>
    <w:rsid w:val="00E67240"/>
    <w:rsid w:val="00E67B9C"/>
    <w:rsid w:val="00E67DAB"/>
    <w:rsid w:val="00E7016D"/>
    <w:rsid w:val="00E7064C"/>
    <w:rsid w:val="00E71042"/>
    <w:rsid w:val="00E71939"/>
    <w:rsid w:val="00E74807"/>
    <w:rsid w:val="00E74D0D"/>
    <w:rsid w:val="00E752F7"/>
    <w:rsid w:val="00E75A18"/>
    <w:rsid w:val="00E75ECC"/>
    <w:rsid w:val="00E775B4"/>
    <w:rsid w:val="00E80A87"/>
    <w:rsid w:val="00E8199E"/>
    <w:rsid w:val="00E821A4"/>
    <w:rsid w:val="00E85BCC"/>
    <w:rsid w:val="00E90649"/>
    <w:rsid w:val="00E90906"/>
    <w:rsid w:val="00E91EE4"/>
    <w:rsid w:val="00E925DC"/>
    <w:rsid w:val="00E941E2"/>
    <w:rsid w:val="00E951E2"/>
    <w:rsid w:val="00E953FC"/>
    <w:rsid w:val="00E97507"/>
    <w:rsid w:val="00EA1CA1"/>
    <w:rsid w:val="00EA2C0D"/>
    <w:rsid w:val="00EA38F2"/>
    <w:rsid w:val="00EA4F42"/>
    <w:rsid w:val="00EA52DC"/>
    <w:rsid w:val="00EA52F5"/>
    <w:rsid w:val="00EA641D"/>
    <w:rsid w:val="00EA6820"/>
    <w:rsid w:val="00EA6A15"/>
    <w:rsid w:val="00EA6FD9"/>
    <w:rsid w:val="00EA78B3"/>
    <w:rsid w:val="00EB0719"/>
    <w:rsid w:val="00EB0CF7"/>
    <w:rsid w:val="00EB0D9E"/>
    <w:rsid w:val="00EB18D6"/>
    <w:rsid w:val="00EB2474"/>
    <w:rsid w:val="00EB36F8"/>
    <w:rsid w:val="00EB375A"/>
    <w:rsid w:val="00EC0523"/>
    <w:rsid w:val="00EC11AD"/>
    <w:rsid w:val="00EC1E35"/>
    <w:rsid w:val="00EC2A41"/>
    <w:rsid w:val="00EC3283"/>
    <w:rsid w:val="00EC501C"/>
    <w:rsid w:val="00EC5384"/>
    <w:rsid w:val="00EC67AA"/>
    <w:rsid w:val="00EC78FF"/>
    <w:rsid w:val="00ED09A4"/>
    <w:rsid w:val="00ED0CD0"/>
    <w:rsid w:val="00ED5863"/>
    <w:rsid w:val="00ED6E9B"/>
    <w:rsid w:val="00EE103B"/>
    <w:rsid w:val="00EE420F"/>
    <w:rsid w:val="00EE5102"/>
    <w:rsid w:val="00EE5B11"/>
    <w:rsid w:val="00EE6488"/>
    <w:rsid w:val="00EE6FD3"/>
    <w:rsid w:val="00EE7531"/>
    <w:rsid w:val="00EE7E77"/>
    <w:rsid w:val="00EF0939"/>
    <w:rsid w:val="00EF0993"/>
    <w:rsid w:val="00EF5CAF"/>
    <w:rsid w:val="00F0119C"/>
    <w:rsid w:val="00F01CCD"/>
    <w:rsid w:val="00F021DF"/>
    <w:rsid w:val="00F021FA"/>
    <w:rsid w:val="00F05092"/>
    <w:rsid w:val="00F06441"/>
    <w:rsid w:val="00F07A56"/>
    <w:rsid w:val="00F07EE6"/>
    <w:rsid w:val="00F11834"/>
    <w:rsid w:val="00F11C26"/>
    <w:rsid w:val="00F1455C"/>
    <w:rsid w:val="00F15F71"/>
    <w:rsid w:val="00F16793"/>
    <w:rsid w:val="00F16DBA"/>
    <w:rsid w:val="00F16E84"/>
    <w:rsid w:val="00F17758"/>
    <w:rsid w:val="00F21955"/>
    <w:rsid w:val="00F22EAF"/>
    <w:rsid w:val="00F2437F"/>
    <w:rsid w:val="00F244D9"/>
    <w:rsid w:val="00F255DF"/>
    <w:rsid w:val="00F26BD1"/>
    <w:rsid w:val="00F27149"/>
    <w:rsid w:val="00F32E97"/>
    <w:rsid w:val="00F339D9"/>
    <w:rsid w:val="00F33FC4"/>
    <w:rsid w:val="00F3482E"/>
    <w:rsid w:val="00F35300"/>
    <w:rsid w:val="00F35B05"/>
    <w:rsid w:val="00F35C70"/>
    <w:rsid w:val="00F4032C"/>
    <w:rsid w:val="00F40CD6"/>
    <w:rsid w:val="00F40D70"/>
    <w:rsid w:val="00F41E18"/>
    <w:rsid w:val="00F44B06"/>
    <w:rsid w:val="00F44B8B"/>
    <w:rsid w:val="00F50C48"/>
    <w:rsid w:val="00F52269"/>
    <w:rsid w:val="00F53DCE"/>
    <w:rsid w:val="00F55224"/>
    <w:rsid w:val="00F5732C"/>
    <w:rsid w:val="00F57874"/>
    <w:rsid w:val="00F60143"/>
    <w:rsid w:val="00F6177F"/>
    <w:rsid w:val="00F62BE1"/>
    <w:rsid w:val="00F62E97"/>
    <w:rsid w:val="00F64209"/>
    <w:rsid w:val="00F66E19"/>
    <w:rsid w:val="00F701EA"/>
    <w:rsid w:val="00F7069B"/>
    <w:rsid w:val="00F70DBB"/>
    <w:rsid w:val="00F71D26"/>
    <w:rsid w:val="00F73A3D"/>
    <w:rsid w:val="00F73A9A"/>
    <w:rsid w:val="00F7421A"/>
    <w:rsid w:val="00F74852"/>
    <w:rsid w:val="00F75553"/>
    <w:rsid w:val="00F75757"/>
    <w:rsid w:val="00F76729"/>
    <w:rsid w:val="00F7710B"/>
    <w:rsid w:val="00F77465"/>
    <w:rsid w:val="00F80181"/>
    <w:rsid w:val="00F81490"/>
    <w:rsid w:val="00F82598"/>
    <w:rsid w:val="00F84084"/>
    <w:rsid w:val="00F8485A"/>
    <w:rsid w:val="00F857D1"/>
    <w:rsid w:val="00F8627F"/>
    <w:rsid w:val="00F87376"/>
    <w:rsid w:val="00F93BF5"/>
    <w:rsid w:val="00F96ADB"/>
    <w:rsid w:val="00F978AA"/>
    <w:rsid w:val="00FA04E6"/>
    <w:rsid w:val="00FA0C56"/>
    <w:rsid w:val="00FA1FE9"/>
    <w:rsid w:val="00FA439B"/>
    <w:rsid w:val="00FA4CAE"/>
    <w:rsid w:val="00FA6426"/>
    <w:rsid w:val="00FC1396"/>
    <w:rsid w:val="00FC2ACA"/>
    <w:rsid w:val="00FC2AED"/>
    <w:rsid w:val="00FC3846"/>
    <w:rsid w:val="00FC3ADE"/>
    <w:rsid w:val="00FC4576"/>
    <w:rsid w:val="00FC5214"/>
    <w:rsid w:val="00FC697E"/>
    <w:rsid w:val="00FC7653"/>
    <w:rsid w:val="00FD09E5"/>
    <w:rsid w:val="00FD60B0"/>
    <w:rsid w:val="00FD7FDD"/>
    <w:rsid w:val="00FE02A1"/>
    <w:rsid w:val="00FE0680"/>
    <w:rsid w:val="00FE09D7"/>
    <w:rsid w:val="00FE1A85"/>
    <w:rsid w:val="00FE38D8"/>
    <w:rsid w:val="00FE3CDA"/>
    <w:rsid w:val="00FE4E83"/>
    <w:rsid w:val="00FE63AC"/>
    <w:rsid w:val="00FE6BAB"/>
    <w:rsid w:val="00FF108C"/>
    <w:rsid w:val="00FF2FCA"/>
    <w:rsid w:val="00FF6361"/>
    <w:rsid w:val="00FF7408"/>
    <w:rsid w:val="1F5DB967"/>
    <w:rsid w:val="3BD0DF9C"/>
    <w:rsid w:val="5BF4F379"/>
    <w:rsid w:val="6C3D5083"/>
    <w:rsid w:val="726E0F65"/>
    <w:rsid w:val="7A8AAB5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0DF19B6"/>
  <w15:chartTrackingRefBased/>
  <w15:docId w15:val="{D9411946-4F67-42CA-86A6-A44E0475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2E"/>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662F2E"/>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662F2E"/>
    <w:pPr>
      <w:keepNext/>
      <w:numPr>
        <w:ilvl w:val="1"/>
        <w:numId w:val="4"/>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662F2E"/>
    <w:pPr>
      <w:keepNext/>
      <w:numPr>
        <w:ilvl w:val="2"/>
        <w:numId w:val="4"/>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662F2E"/>
    <w:pPr>
      <w:keepNext/>
      <w:numPr>
        <w:ilvl w:val="3"/>
        <w:numId w:val="4"/>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662F2E"/>
    <w:pPr>
      <w:keepNext/>
      <w:numPr>
        <w:ilvl w:val="4"/>
        <w:numId w:val="4"/>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662F2E"/>
    <w:pPr>
      <w:numPr>
        <w:ilvl w:val="5"/>
        <w:numId w:val="4"/>
      </w:numPr>
      <w:tabs>
        <w:tab w:val="left" w:pos="4320"/>
      </w:tabs>
      <w:spacing w:after="120"/>
      <w:outlineLvl w:val="5"/>
    </w:pPr>
    <w:rPr>
      <w:b/>
    </w:rPr>
  </w:style>
  <w:style w:type="paragraph" w:styleId="Heading7">
    <w:name w:val="heading 7"/>
    <w:basedOn w:val="Normal"/>
    <w:next w:val="ParaNum"/>
    <w:qFormat/>
    <w:rsid w:val="00662F2E"/>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662F2E"/>
    <w:pPr>
      <w:numPr>
        <w:ilvl w:val="7"/>
        <w:numId w:val="4"/>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662F2E"/>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2F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F2E"/>
  </w:style>
  <w:style w:type="paragraph" w:customStyle="1" w:styleId="ParaNum">
    <w:name w:val="ParaNum"/>
    <w:basedOn w:val="Normal"/>
    <w:link w:val="ParaNumChar"/>
    <w:rsid w:val="00662F2E"/>
    <w:pPr>
      <w:numPr>
        <w:numId w:val="3"/>
      </w:numPr>
      <w:tabs>
        <w:tab w:val="clear" w:pos="1080"/>
        <w:tab w:val="num" w:pos="1440"/>
      </w:tabs>
      <w:spacing w:after="120"/>
    </w:pPr>
  </w:style>
  <w:style w:type="paragraph" w:styleId="EndnoteText">
    <w:name w:val="endnote text"/>
    <w:basedOn w:val="Normal"/>
    <w:semiHidden/>
    <w:rsid w:val="00662F2E"/>
    <w:rPr>
      <w:sz w:val="20"/>
    </w:rPr>
  </w:style>
  <w:style w:type="character" w:styleId="EndnoteReference">
    <w:name w:val="endnote reference"/>
    <w:semiHidden/>
    <w:rsid w:val="00662F2E"/>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662F2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62F2E"/>
    <w:rPr>
      <w:rFonts w:ascii="Times New Roman" w:hAnsi="Times New Roman"/>
      <w:dstrike w:val="0"/>
      <w:color w:val="auto"/>
      <w:sz w:val="20"/>
      <w:vertAlign w:val="superscript"/>
    </w:rPr>
  </w:style>
  <w:style w:type="paragraph" w:styleId="TOC1">
    <w:name w:val="toc 1"/>
    <w:basedOn w:val="Normal"/>
    <w:next w:val="Normal"/>
    <w:rsid w:val="00662F2E"/>
    <w:pPr>
      <w:tabs>
        <w:tab w:val="left" w:pos="360"/>
        <w:tab w:val="right" w:leader="dot" w:pos="9360"/>
      </w:tabs>
      <w:suppressAutoHyphens/>
      <w:ind w:left="360" w:right="720" w:hanging="360"/>
    </w:pPr>
    <w:rPr>
      <w:caps/>
      <w:noProof/>
    </w:rPr>
  </w:style>
  <w:style w:type="paragraph" w:styleId="TOC2">
    <w:name w:val="toc 2"/>
    <w:basedOn w:val="Normal"/>
    <w:next w:val="Normal"/>
    <w:rsid w:val="00662F2E"/>
    <w:pPr>
      <w:tabs>
        <w:tab w:val="left" w:pos="720"/>
        <w:tab w:val="right" w:leader="dot" w:pos="9360"/>
      </w:tabs>
      <w:suppressAutoHyphens/>
      <w:ind w:left="720" w:right="720" w:hanging="360"/>
    </w:pPr>
    <w:rPr>
      <w:noProof/>
    </w:rPr>
  </w:style>
  <w:style w:type="paragraph" w:styleId="TOC3">
    <w:name w:val="toc 3"/>
    <w:basedOn w:val="Normal"/>
    <w:next w:val="Normal"/>
    <w:rsid w:val="00662F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2F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2F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2F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2F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2F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2F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2F2E"/>
    <w:pPr>
      <w:tabs>
        <w:tab w:val="right" w:pos="9360"/>
      </w:tabs>
      <w:suppressAutoHyphens/>
    </w:pPr>
  </w:style>
  <w:style w:type="character" w:customStyle="1" w:styleId="EquationCaption">
    <w:name w:val="_Equation Caption"/>
    <w:rsid w:val="00662F2E"/>
  </w:style>
  <w:style w:type="paragraph" w:styleId="Header">
    <w:name w:val="header"/>
    <w:basedOn w:val="Normal"/>
    <w:autoRedefine/>
    <w:rsid w:val="00662F2E"/>
    <w:pPr>
      <w:tabs>
        <w:tab w:val="center" w:pos="4680"/>
        <w:tab w:val="right" w:pos="9360"/>
      </w:tabs>
    </w:pPr>
    <w:rPr>
      <w:b/>
    </w:rPr>
  </w:style>
  <w:style w:type="paragraph" w:styleId="Footer">
    <w:name w:val="footer"/>
    <w:basedOn w:val="Normal"/>
    <w:link w:val="FooterChar"/>
    <w:uiPriority w:val="99"/>
    <w:rsid w:val="00662F2E"/>
    <w:pPr>
      <w:tabs>
        <w:tab w:val="center" w:pos="4320"/>
        <w:tab w:val="right" w:pos="8640"/>
      </w:tabs>
    </w:pPr>
  </w:style>
  <w:style w:type="character" w:styleId="PageNumber">
    <w:name w:val="page number"/>
    <w:basedOn w:val="DefaultParagraphFont"/>
    <w:rsid w:val="00662F2E"/>
  </w:style>
  <w:style w:type="paragraph" w:styleId="BlockText">
    <w:name w:val="Block Text"/>
    <w:basedOn w:val="Normal"/>
    <w:rsid w:val="00662F2E"/>
    <w:pPr>
      <w:spacing w:after="240"/>
      <w:ind w:left="1440" w:right="1440"/>
    </w:pPr>
  </w:style>
  <w:style w:type="paragraph" w:customStyle="1" w:styleId="Paratitle">
    <w:name w:val="Para title"/>
    <w:basedOn w:val="Normal"/>
    <w:rsid w:val="00662F2E"/>
    <w:pPr>
      <w:tabs>
        <w:tab w:val="center" w:pos="9270"/>
      </w:tabs>
      <w:spacing w:after="240"/>
    </w:pPr>
    <w:rPr>
      <w:spacing w:val="-2"/>
    </w:rPr>
  </w:style>
  <w:style w:type="paragraph" w:customStyle="1" w:styleId="Bullet">
    <w:name w:val="Bullet"/>
    <w:basedOn w:val="Normal"/>
    <w:rsid w:val="00662F2E"/>
    <w:pPr>
      <w:tabs>
        <w:tab w:val="left" w:pos="2160"/>
      </w:tabs>
      <w:spacing w:after="220"/>
      <w:ind w:left="2160" w:hanging="720"/>
    </w:pPr>
  </w:style>
  <w:style w:type="paragraph" w:customStyle="1" w:styleId="TableFormat">
    <w:name w:val="TableFormat"/>
    <w:basedOn w:val="Bullet"/>
    <w:rsid w:val="00662F2E"/>
    <w:pPr>
      <w:tabs>
        <w:tab w:val="clear" w:pos="2160"/>
        <w:tab w:val="left" w:pos="5040"/>
      </w:tabs>
      <w:ind w:left="5040" w:hanging="3600"/>
    </w:pPr>
  </w:style>
  <w:style w:type="paragraph" w:customStyle="1" w:styleId="TOCTitle">
    <w:name w:val="TOC Title"/>
    <w:basedOn w:val="Normal"/>
    <w:rsid w:val="00662F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2F2E"/>
    <w:pPr>
      <w:jc w:val="center"/>
    </w:pPr>
    <w:rPr>
      <w:rFonts w:ascii="Times New Roman Bold" w:hAnsi="Times New Roman Bold"/>
      <w:b/>
      <w:bCs/>
      <w:caps/>
      <w:szCs w:val="22"/>
    </w:rPr>
  </w:style>
  <w:style w:type="character" w:styleId="Hyperlink">
    <w:name w:val="Hyperlink"/>
    <w:rsid w:val="00662F2E"/>
    <w:rPr>
      <w:color w:val="0000FF"/>
      <w:u w:val="single"/>
    </w:rPr>
  </w:style>
  <w:style w:type="character" w:customStyle="1" w:styleId="FooterChar">
    <w:name w:val="Footer Char"/>
    <w:link w:val="Footer"/>
    <w:uiPriority w:val="99"/>
    <w:rsid w:val="00662F2E"/>
    <w:rPr>
      <w:snapToGrid w:val="0"/>
      <w:kern w:val="28"/>
      <w:sz w:val="22"/>
    </w:rPr>
  </w:style>
  <w:style w:type="paragraph" w:styleId="BalloonText">
    <w:name w:val="Balloon Text"/>
    <w:basedOn w:val="Normal"/>
    <w:link w:val="BalloonTextChar"/>
    <w:rsid w:val="003C108D"/>
    <w:rPr>
      <w:rFonts w:ascii="Segoe UI" w:hAnsi="Segoe UI" w:cs="Segoe UI"/>
      <w:sz w:val="18"/>
      <w:szCs w:val="18"/>
    </w:rPr>
  </w:style>
  <w:style w:type="character" w:customStyle="1" w:styleId="BalloonTextChar">
    <w:name w:val="Balloon Text Char"/>
    <w:link w:val="BalloonText"/>
    <w:rsid w:val="003C108D"/>
    <w:rPr>
      <w:rFonts w:ascii="Segoe UI" w:hAnsi="Segoe UI" w:cs="Segoe UI"/>
      <w:snapToGrid w:val="0"/>
      <w:kern w:val="28"/>
      <w:sz w:val="18"/>
      <w:szCs w:val="18"/>
    </w:rPr>
  </w:style>
  <w:style w:type="character" w:customStyle="1" w:styleId="ParaNumChar">
    <w:name w:val="ParaNum Char"/>
    <w:link w:val="ParaNum"/>
    <w:locked/>
    <w:rsid w:val="003C108D"/>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3C108D"/>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2B1284"/>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3C108D"/>
  </w:style>
  <w:style w:type="paragraph" w:customStyle="1" w:styleId="ColorfulList-Accent11">
    <w:name w:val="Colorful List - Accent 11"/>
    <w:basedOn w:val="Normal"/>
    <w:uiPriority w:val="34"/>
    <w:qFormat/>
    <w:rsid w:val="003C108D"/>
    <w:pPr>
      <w:ind w:left="720"/>
    </w:pPr>
  </w:style>
  <w:style w:type="character" w:styleId="CommentReference">
    <w:name w:val="annotation reference"/>
    <w:uiPriority w:val="99"/>
    <w:rsid w:val="003C108D"/>
    <w:rPr>
      <w:sz w:val="16"/>
      <w:szCs w:val="16"/>
    </w:rPr>
  </w:style>
  <w:style w:type="paragraph" w:styleId="CommentText">
    <w:name w:val="annotation text"/>
    <w:basedOn w:val="Normal"/>
    <w:link w:val="CommentTextChar"/>
    <w:uiPriority w:val="99"/>
    <w:rsid w:val="003C108D"/>
    <w:rPr>
      <w:sz w:val="20"/>
    </w:rPr>
  </w:style>
  <w:style w:type="character" w:customStyle="1" w:styleId="CommentTextChar">
    <w:name w:val="Comment Text Char"/>
    <w:link w:val="CommentText"/>
    <w:uiPriority w:val="99"/>
    <w:rsid w:val="003C108D"/>
    <w:rPr>
      <w:snapToGrid w:val="0"/>
      <w:kern w:val="28"/>
    </w:rPr>
  </w:style>
  <w:style w:type="paragraph" w:styleId="CommentSubject">
    <w:name w:val="annotation subject"/>
    <w:basedOn w:val="CommentText"/>
    <w:next w:val="CommentText"/>
    <w:link w:val="CommentSubjectChar"/>
    <w:rsid w:val="003C108D"/>
    <w:rPr>
      <w:b/>
      <w:bCs/>
    </w:rPr>
  </w:style>
  <w:style w:type="character" w:customStyle="1" w:styleId="CommentSubjectChar">
    <w:name w:val="Comment Subject Char"/>
    <w:link w:val="CommentSubject"/>
    <w:rsid w:val="003C108D"/>
    <w:rPr>
      <w:b/>
      <w:bCs/>
      <w:snapToGrid w:val="0"/>
      <w:kern w:val="28"/>
    </w:rPr>
  </w:style>
  <w:style w:type="character" w:customStyle="1" w:styleId="st">
    <w:name w:val="st"/>
    <w:rsid w:val="003C108D"/>
  </w:style>
  <w:style w:type="character" w:styleId="FollowedHyperlink">
    <w:name w:val="FollowedHyperlink"/>
    <w:rsid w:val="003C108D"/>
    <w:rPr>
      <w:color w:val="954F72"/>
      <w:u w:val="single"/>
    </w:rPr>
  </w:style>
  <w:style w:type="character" w:styleId="Emphasis">
    <w:name w:val="Emphasis"/>
    <w:uiPriority w:val="20"/>
    <w:qFormat/>
    <w:rsid w:val="003C108D"/>
    <w:rPr>
      <w:i/>
      <w:iCs/>
    </w:rPr>
  </w:style>
  <w:style w:type="character" w:customStyle="1" w:styleId="Footnote">
    <w:name w:val="Footnote"/>
    <w:rsid w:val="003C108D"/>
    <w:rPr>
      <w:rFonts w:cs="Times New Roman"/>
    </w:rPr>
  </w:style>
  <w:style w:type="character" w:customStyle="1" w:styleId="Heading2CharChar2">
    <w:name w:val="Heading 2 Char Char2"/>
    <w:rsid w:val="003C108D"/>
    <w:rPr>
      <w:rFonts w:cs="Times New Roman"/>
      <w:b/>
      <w:snapToGrid w:val="0"/>
      <w:kern w:val="28"/>
      <w:sz w:val="24"/>
      <w:lang w:val="en-US" w:eastAsia="en-US" w:bidi="ar-SA"/>
    </w:rPr>
  </w:style>
  <w:style w:type="character" w:customStyle="1" w:styleId="ParaNumChar1">
    <w:name w:val="ParaNum Char1"/>
    <w:locked/>
    <w:rsid w:val="003C108D"/>
    <w:rPr>
      <w:snapToGrid w:val="0"/>
      <w:kern w:val="28"/>
      <w:sz w:val="22"/>
    </w:rPr>
  </w:style>
  <w:style w:type="paragraph" w:customStyle="1" w:styleId="paragraph">
    <w:name w:val="paragraph"/>
    <w:basedOn w:val="Normal"/>
    <w:rsid w:val="003C108D"/>
    <w:pPr>
      <w:widowControl/>
      <w:spacing w:before="100" w:beforeAutospacing="1" w:after="100" w:afterAutospacing="1"/>
    </w:pPr>
    <w:rPr>
      <w:snapToGrid/>
      <w:kern w:val="0"/>
      <w:sz w:val="24"/>
      <w:szCs w:val="24"/>
    </w:rPr>
  </w:style>
  <w:style w:type="character" w:customStyle="1" w:styleId="textrun">
    <w:name w:val="textrun"/>
    <w:rsid w:val="003C108D"/>
  </w:style>
  <w:style w:type="character" w:customStyle="1" w:styleId="normaltextrun">
    <w:name w:val="normaltextrun"/>
    <w:rsid w:val="003C108D"/>
  </w:style>
  <w:style w:type="character" w:customStyle="1" w:styleId="eop">
    <w:name w:val="eop"/>
    <w:rsid w:val="003C108D"/>
  </w:style>
  <w:style w:type="character" w:customStyle="1" w:styleId="spellingerror">
    <w:name w:val="spellingerror"/>
    <w:rsid w:val="003C108D"/>
  </w:style>
  <w:style w:type="character" w:customStyle="1" w:styleId="UnresolvedMention1">
    <w:name w:val="Unresolved Mention1"/>
    <w:uiPriority w:val="99"/>
    <w:rsid w:val="003C108D"/>
    <w:rPr>
      <w:color w:val="605E5C"/>
      <w:shd w:val="clear" w:color="auto" w:fill="E1DFDD"/>
    </w:rPr>
  </w:style>
  <w:style w:type="paragraph" w:customStyle="1" w:styleId="ColorfulShading-Accent11">
    <w:name w:val="Colorful Shading - Accent 11"/>
    <w:hidden/>
    <w:uiPriority w:val="99"/>
    <w:semiHidden/>
    <w:rsid w:val="003C108D"/>
    <w:rPr>
      <w:snapToGrid w:val="0"/>
      <w:kern w:val="28"/>
      <w:sz w:val="22"/>
    </w:rPr>
  </w:style>
  <w:style w:type="character" w:customStyle="1" w:styleId="UnresolvedMention2">
    <w:name w:val="Unresolved Mention2"/>
    <w:uiPriority w:val="99"/>
    <w:semiHidden/>
    <w:unhideWhenUsed/>
    <w:rsid w:val="003C108D"/>
    <w:rPr>
      <w:color w:val="605E5C"/>
      <w:shd w:val="clear" w:color="auto" w:fill="E1DFDD"/>
    </w:rPr>
  </w:style>
  <w:style w:type="character" w:customStyle="1" w:styleId="MediumGrid11">
    <w:name w:val="Medium Grid 11"/>
    <w:uiPriority w:val="99"/>
    <w:semiHidden/>
    <w:rsid w:val="003C108D"/>
    <w:rPr>
      <w:color w:val="808080"/>
    </w:rPr>
  </w:style>
  <w:style w:type="character" w:customStyle="1" w:styleId="UnresolvedMention3">
    <w:name w:val="Unresolved Mention3"/>
    <w:rsid w:val="003C108D"/>
    <w:rPr>
      <w:color w:val="605E5C"/>
      <w:shd w:val="clear" w:color="auto" w:fill="E1DFDD"/>
    </w:rPr>
  </w:style>
  <w:style w:type="paragraph" w:styleId="NormalWeb">
    <w:name w:val="Normal (Web)"/>
    <w:basedOn w:val="Normal"/>
    <w:uiPriority w:val="99"/>
    <w:unhideWhenUsed/>
    <w:rsid w:val="003C108D"/>
    <w:pPr>
      <w:widowControl/>
      <w:spacing w:before="100" w:beforeAutospacing="1" w:after="100" w:afterAutospacing="1"/>
    </w:pPr>
    <w:rPr>
      <w:snapToGrid/>
      <w:kern w:val="0"/>
      <w:sz w:val="24"/>
      <w:szCs w:val="24"/>
    </w:rPr>
  </w:style>
  <w:style w:type="character" w:customStyle="1" w:styleId="apple-tab-span">
    <w:name w:val="apple-tab-span"/>
    <w:rsid w:val="003C108D"/>
  </w:style>
  <w:style w:type="character" w:customStyle="1" w:styleId="UnresolvedMention4">
    <w:name w:val="Unresolved Mention4"/>
    <w:uiPriority w:val="99"/>
    <w:semiHidden/>
    <w:unhideWhenUsed/>
    <w:rsid w:val="003C108D"/>
    <w:rPr>
      <w:color w:val="605E5C"/>
      <w:shd w:val="clear" w:color="auto" w:fill="E1DFDD"/>
    </w:rPr>
  </w:style>
  <w:style w:type="character" w:customStyle="1" w:styleId="FootnoteTextChar3">
    <w:name w:val="Footnote Text Char3"/>
    <w:aliases w:val="Footnote Text Char Char Char Char Char Char Char1,Footnote Text Char Char Char Char1,Footnote Text Char1 Char Char Char Char1,Footnote Text Char1 Char3 Char1,Footnote Text Char2 Char Char Char Char Char1,Footnote Text Char2 Char1"/>
    <w:uiPriority w:val="99"/>
    <w:locked/>
    <w:rsid w:val="003C108D"/>
    <w:rPr>
      <w:lang w:val="en-US" w:eastAsia="en-US"/>
    </w:rPr>
  </w:style>
  <w:style w:type="character" w:customStyle="1" w:styleId="FootnoteTextChar2CharChar">
    <w:name w:val="Footnote Text Char2 Char Char"/>
    <w:aliases w:val="Footnote Text Char Char Char Char Char,Footnote Text Char Char Char Char Char Char1 Char,Footnote Text Char Char2 Char Char Char,Footnote Text Char1 Char Char Char,Footnote Text Char1 Char Char Char Char1 Char"/>
    <w:basedOn w:val="DefaultParagraphFont"/>
    <w:locked/>
    <w:rsid w:val="003C108D"/>
  </w:style>
  <w:style w:type="paragraph" w:styleId="ListBullet3">
    <w:name w:val="List Bullet 3"/>
    <w:basedOn w:val="Normal"/>
    <w:rsid w:val="003C108D"/>
    <w:pPr>
      <w:numPr>
        <w:numId w:val="19"/>
      </w:numPr>
    </w:pPr>
  </w:style>
  <w:style w:type="character" w:customStyle="1" w:styleId="cohovertext">
    <w:name w:val="co_hovertext"/>
    <w:rsid w:val="003C108D"/>
  </w:style>
  <w:style w:type="paragraph" w:customStyle="1" w:styleId="NumberedList">
    <w:name w:val="Numbered List"/>
    <w:basedOn w:val="Normal"/>
    <w:rsid w:val="003C108D"/>
    <w:pPr>
      <w:widowControl/>
      <w:numPr>
        <w:numId w:val="21"/>
      </w:numPr>
      <w:spacing w:after="220"/>
    </w:pPr>
    <w:rPr>
      <w:snapToGrid/>
      <w:kern w:val="0"/>
    </w:rPr>
  </w:style>
  <w:style w:type="character" w:styleId="UnresolvedMention">
    <w:name w:val="Unresolved Mention"/>
    <w:basedOn w:val="DefaultParagraphFont"/>
    <w:rsid w:val="00B61608"/>
    <w:rPr>
      <w:color w:val="605E5C"/>
      <w:shd w:val="clear" w:color="auto" w:fill="E1DFDD"/>
    </w:rPr>
  </w:style>
  <w:style w:type="paragraph" w:styleId="Revision">
    <w:name w:val="Revision"/>
    <w:hidden/>
    <w:uiPriority w:val="99"/>
    <w:semiHidden/>
    <w:rsid w:val="00A85CA9"/>
    <w:rPr>
      <w:snapToGrid w:val="0"/>
      <w:kern w:val="28"/>
      <w:sz w:val="22"/>
    </w:rPr>
  </w:style>
  <w:style w:type="character" w:styleId="Mention">
    <w:name w:val="Mention"/>
    <w:basedOn w:val="DefaultParagraphFont"/>
    <w:rsid w:val="000263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3.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Richard.Smith@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cdn.advocacy.sba.gov/wp-content/uploads/2021/11/03093005/Small-Business-FAQ-2021.pdf" TargetMode="External" /><Relationship Id="rId10" Type="http://schemas.openxmlformats.org/officeDocument/2006/relationships/hyperlink" Target="https://data.census.gov/cedsci/table?y=2017&amp;n=517312&amp;tid=ECNSIZE2017.EC1700SIZEEMPFIRM&amp;hidePreview=false" TargetMode="External" /><Relationship Id="rId11" Type="http://schemas.openxmlformats.org/officeDocument/2006/relationships/hyperlink" Target="https://docs.fcc.gov/public/attachments/DOC-391070A1.pdf" TargetMode="External" /><Relationship Id="rId2" Type="http://schemas.openxmlformats.org/officeDocument/2006/relationships/hyperlink" Target="https://www.irs.gov/charities-non-profits/annual-electronic-filing-requirement-for-small-exempt-organizations-form-990-n-e-postcard" TargetMode="External" /><Relationship Id="rId3" Type="http://schemas.openxmlformats.org/officeDocument/2006/relationships/hyperlink" Target="https://www.irs.gov/charities-non-profits/exempt-organizations-business-master-file-extract-eo-bmf" TargetMode="External" /><Relationship Id="rId4" Type="http://schemas.openxmlformats.org/officeDocument/2006/relationships/hyperlink" Target="https://www.census.gov/programs-surveys/cog/about.html" TargetMode="External" /><Relationship Id="rId5" Type="http://schemas.openxmlformats.org/officeDocument/2006/relationships/hyperlink" Target="https://www.census.gov/data/tables/2017/econ/gus/2017-governments.html" TargetMode="External" /><Relationship Id="rId6" Type="http://schemas.openxmlformats.org/officeDocument/2006/relationships/hyperlink" Target="https://www.census.gov/naics/?input=561422&amp;year=2017&amp;details=561" TargetMode="External" /><Relationship Id="rId7" Type="http://schemas.openxmlformats.org/officeDocument/2006/relationships/hyperlink" Target="https://data.census.gov/cedsci/table?y=2017&amp;n=561422&amp;tid=ECNSIZE2017.EC1700SIZEREVFIRM&amp;hidePreview=false" TargetMode="External" /><Relationship Id="rId8" Type="http://schemas.openxmlformats.org/officeDocument/2006/relationships/hyperlink" Target="https://www.census.gov/glossary/" TargetMode="External" /><Relationship Id="rId9" Type="http://schemas.openxmlformats.org/officeDocument/2006/relationships/hyperlink" Target="https://www.census.gov/naics/?input=517312&amp;year=2017&amp;details=51731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