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62607" w:rsidRPr="002E2121" w:rsidP="00BB6546" w14:paraId="6675A65E" w14:textId="77777777">
      <w:pPr>
        <w:jc w:val="center"/>
        <w:rPr>
          <w:b/>
        </w:rPr>
      </w:pPr>
      <w:r w:rsidRPr="003F0ACE">
        <w:rPr>
          <w:b/>
          <w:bCs/>
        </w:rPr>
        <w:t>Before the</w:t>
      </w:r>
    </w:p>
    <w:p w:rsidR="00A62607" w:rsidRPr="00FB43E6" w:rsidP="00A62607" w14:paraId="4A7C56CA" w14:textId="77777777">
      <w:pPr>
        <w:jc w:val="center"/>
        <w:rPr>
          <w:b/>
        </w:rPr>
      </w:pPr>
      <w:r w:rsidRPr="003F0ACE">
        <w:rPr>
          <w:b/>
          <w:bCs/>
        </w:rPr>
        <w:t>Federal Communications Commission</w:t>
      </w:r>
    </w:p>
    <w:p w:rsidR="00A62607" w:rsidP="00A62607" w14:paraId="1F1A59C7" w14:textId="77777777">
      <w:pPr>
        <w:jc w:val="center"/>
        <w:rPr>
          <w:b/>
          <w:bCs/>
        </w:rPr>
      </w:pPr>
      <w:r w:rsidRPr="003F0ACE">
        <w:rPr>
          <w:b/>
          <w:bCs/>
        </w:rPr>
        <w:t>Washington, D.C. 20554</w:t>
      </w:r>
    </w:p>
    <w:p w:rsidR="00BB6546" w:rsidRPr="00FB43E6" w:rsidP="00A62607" w14:paraId="2FC66AB5" w14:textId="77777777">
      <w:pPr>
        <w:jc w:val="center"/>
        <w:rPr>
          <w:b/>
        </w:rPr>
      </w:pPr>
    </w:p>
    <w:tbl>
      <w:tblPr>
        <w:tblW w:w="9903" w:type="dxa"/>
        <w:tblLayout w:type="fixed"/>
        <w:tblLook w:val="0000"/>
      </w:tblPr>
      <w:tblGrid>
        <w:gridCol w:w="4209"/>
        <w:gridCol w:w="489"/>
        <w:gridCol w:w="809"/>
        <w:gridCol w:w="4396"/>
      </w:tblGrid>
      <w:tr w14:paraId="0274D9EB" w14:textId="77777777" w:rsidTr="0019202B">
        <w:tblPrEx>
          <w:tblW w:w="9903" w:type="dxa"/>
          <w:tblLayout w:type="fixed"/>
          <w:tblLook w:val="0000"/>
        </w:tblPrEx>
        <w:trPr>
          <w:trHeight w:val="479"/>
        </w:trPr>
        <w:tc>
          <w:tcPr>
            <w:tcW w:w="4209" w:type="dxa"/>
          </w:tcPr>
          <w:p w:rsidR="00BB6546" w:rsidRPr="00A47B1A" w:rsidP="002E32B2" w14:paraId="4C57578C" w14:textId="77777777">
            <w:pPr>
              <w:tabs>
                <w:tab w:val="center" w:pos="4680"/>
              </w:tabs>
              <w:suppressAutoHyphens/>
              <w:rPr>
                <w:spacing w:val="-2"/>
              </w:rPr>
            </w:pPr>
            <w:r w:rsidRPr="00A47B1A">
              <w:rPr>
                <w:spacing w:val="-2"/>
              </w:rPr>
              <w:t>In the Matter of</w:t>
            </w:r>
          </w:p>
          <w:p w:rsidR="00BB6546" w:rsidRPr="00A47B1A" w:rsidP="002E32B2" w14:paraId="4DC66D4D" w14:textId="77777777">
            <w:pPr>
              <w:tabs>
                <w:tab w:val="center" w:pos="4680"/>
              </w:tabs>
              <w:suppressAutoHyphens/>
              <w:rPr>
                <w:spacing w:val="-2"/>
              </w:rPr>
            </w:pPr>
          </w:p>
          <w:p w:rsidR="00BB6546" w:rsidRPr="00A47B1A" w:rsidP="002E32B2" w14:paraId="505BFBD6" w14:textId="77777777">
            <w:pPr>
              <w:tabs>
                <w:tab w:val="center" w:pos="4680"/>
              </w:tabs>
              <w:suppressAutoHyphens/>
              <w:rPr>
                <w:spacing w:val="-2"/>
              </w:rPr>
            </w:pPr>
            <w:bookmarkStart w:id="0" w:name="_Hlk92273658"/>
            <w:r w:rsidRPr="00A048FF">
              <w:t>Empowering Broadband Consumers Through Transparency</w:t>
            </w:r>
            <w:bookmarkEnd w:id="0"/>
          </w:p>
        </w:tc>
        <w:tc>
          <w:tcPr>
            <w:tcW w:w="489" w:type="dxa"/>
          </w:tcPr>
          <w:p w:rsidR="00BB6546" w:rsidRPr="00A47B1A" w:rsidP="002E32B2" w14:paraId="73D92AEA" w14:textId="77777777">
            <w:pPr>
              <w:tabs>
                <w:tab w:val="center" w:pos="4680"/>
              </w:tabs>
              <w:suppressAutoHyphens/>
              <w:rPr>
                <w:b/>
                <w:spacing w:val="-2"/>
              </w:rPr>
            </w:pPr>
          </w:p>
        </w:tc>
        <w:tc>
          <w:tcPr>
            <w:tcW w:w="809" w:type="dxa"/>
          </w:tcPr>
          <w:p w:rsidR="00BB6546" w:rsidRPr="00A47B1A" w:rsidP="002E32B2" w14:paraId="6D503B9B" w14:textId="77777777">
            <w:pPr>
              <w:tabs>
                <w:tab w:val="center" w:pos="4680"/>
              </w:tabs>
              <w:suppressAutoHyphens/>
              <w:rPr>
                <w:b/>
                <w:spacing w:val="-2"/>
              </w:rPr>
            </w:pPr>
            <w:r w:rsidRPr="00A47B1A">
              <w:rPr>
                <w:b/>
                <w:bCs/>
                <w:spacing w:val="-2"/>
              </w:rPr>
              <w:t>)</w:t>
            </w:r>
          </w:p>
          <w:p w:rsidR="00BB6546" w:rsidRPr="00A47B1A" w:rsidP="002E32B2" w14:paraId="3A0B9907" w14:textId="77777777">
            <w:pPr>
              <w:tabs>
                <w:tab w:val="center" w:pos="4680"/>
              </w:tabs>
              <w:suppressAutoHyphens/>
              <w:rPr>
                <w:b/>
                <w:spacing w:val="-2"/>
              </w:rPr>
            </w:pPr>
            <w:r w:rsidRPr="00A47B1A">
              <w:rPr>
                <w:b/>
                <w:bCs/>
                <w:spacing w:val="-2"/>
              </w:rPr>
              <w:t>)</w:t>
            </w:r>
          </w:p>
          <w:p w:rsidR="00BB6546" w:rsidRPr="00A47B1A" w:rsidP="002E32B2" w14:paraId="69FA74C9" w14:textId="77777777">
            <w:pPr>
              <w:tabs>
                <w:tab w:val="center" w:pos="4680"/>
              </w:tabs>
              <w:suppressAutoHyphens/>
              <w:rPr>
                <w:b/>
                <w:spacing w:val="-2"/>
              </w:rPr>
            </w:pPr>
            <w:r w:rsidRPr="00A47B1A">
              <w:rPr>
                <w:b/>
                <w:bCs/>
                <w:spacing w:val="-2"/>
              </w:rPr>
              <w:t>)</w:t>
            </w:r>
          </w:p>
          <w:p w:rsidR="00BB6546" w:rsidRPr="00A47B1A" w:rsidP="002E32B2" w14:paraId="485F3BA7" w14:textId="77777777">
            <w:pPr>
              <w:tabs>
                <w:tab w:val="center" w:pos="4680"/>
              </w:tabs>
              <w:suppressAutoHyphens/>
              <w:rPr>
                <w:b/>
                <w:spacing w:val="-2"/>
              </w:rPr>
            </w:pPr>
            <w:r w:rsidRPr="00A47B1A">
              <w:rPr>
                <w:b/>
                <w:bCs/>
                <w:spacing w:val="-2"/>
              </w:rPr>
              <w:t>)</w:t>
            </w:r>
          </w:p>
          <w:p w:rsidR="00BB6546" w:rsidRPr="00EB2189" w:rsidP="002E32B2" w14:paraId="08806072" w14:textId="77777777">
            <w:pPr>
              <w:tabs>
                <w:tab w:val="center" w:pos="4680"/>
              </w:tabs>
              <w:suppressAutoHyphens/>
              <w:rPr>
                <w:b/>
                <w:spacing w:val="-2"/>
              </w:rPr>
            </w:pPr>
          </w:p>
        </w:tc>
        <w:tc>
          <w:tcPr>
            <w:tcW w:w="4396" w:type="dxa"/>
          </w:tcPr>
          <w:p w:rsidR="00BB6546" w:rsidRPr="00A47B1A" w:rsidP="002E32B2" w14:paraId="4000A2AC" w14:textId="77777777">
            <w:pPr>
              <w:tabs>
                <w:tab w:val="center" w:pos="4680"/>
              </w:tabs>
              <w:suppressAutoHyphens/>
              <w:rPr>
                <w:spacing w:val="-2"/>
              </w:rPr>
            </w:pPr>
          </w:p>
          <w:p w:rsidR="00BB6546" w:rsidRPr="00A47B1A" w:rsidP="002E32B2" w14:paraId="736D6F3B" w14:textId="77777777">
            <w:pPr>
              <w:tabs>
                <w:tab w:val="center" w:pos="4680"/>
              </w:tabs>
              <w:suppressAutoHyphens/>
              <w:rPr>
                <w:spacing w:val="-2"/>
              </w:rPr>
            </w:pPr>
          </w:p>
          <w:p w:rsidR="00BB6546" w:rsidRPr="00A47B1A" w:rsidP="002E32B2" w14:paraId="485126F7" w14:textId="77777777">
            <w:pPr>
              <w:tabs>
                <w:tab w:val="center" w:pos="4680"/>
              </w:tabs>
              <w:suppressAutoHyphens/>
              <w:rPr>
                <w:spacing w:val="-2"/>
              </w:rPr>
            </w:pPr>
            <w:r w:rsidRPr="00A47B1A">
              <w:rPr>
                <w:spacing w:val="-2"/>
              </w:rPr>
              <w:t xml:space="preserve">CG Docket No. </w:t>
            </w:r>
            <w:r>
              <w:rPr>
                <w:spacing w:val="-2"/>
              </w:rPr>
              <w:t>22-2</w:t>
            </w:r>
          </w:p>
          <w:p w:rsidR="00BB6546" w:rsidRPr="00A47B1A" w:rsidP="002E32B2" w14:paraId="6C50A75F" w14:textId="77777777">
            <w:pPr>
              <w:tabs>
                <w:tab w:val="center" w:pos="4680"/>
              </w:tabs>
              <w:suppressAutoHyphens/>
              <w:rPr>
                <w:spacing w:val="-2"/>
              </w:rPr>
            </w:pPr>
          </w:p>
          <w:p w:rsidR="00BB6546" w:rsidRPr="00A47B1A" w:rsidP="002E32B2" w14:paraId="6D31D8F3" w14:textId="77777777">
            <w:pPr>
              <w:tabs>
                <w:tab w:val="center" w:pos="4680"/>
              </w:tabs>
              <w:suppressAutoHyphens/>
              <w:rPr>
                <w:spacing w:val="-2"/>
              </w:rPr>
            </w:pPr>
          </w:p>
          <w:p w:rsidR="00BB6546" w:rsidRPr="00A47B1A" w:rsidP="002E32B2" w14:paraId="2C5CE2C8" w14:textId="77777777">
            <w:pPr>
              <w:tabs>
                <w:tab w:val="center" w:pos="4680"/>
              </w:tabs>
              <w:suppressAutoHyphens/>
              <w:rPr>
                <w:spacing w:val="-2"/>
              </w:rPr>
            </w:pPr>
          </w:p>
        </w:tc>
      </w:tr>
    </w:tbl>
    <w:p w:rsidR="00A62607" w:rsidRPr="00BB6546" w:rsidP="00BB6546" w14:paraId="298CF7CC" w14:textId="32BFBC96">
      <w:pPr>
        <w:tabs>
          <w:tab w:val="left" w:pos="6060"/>
        </w:tabs>
        <w:jc w:val="center"/>
        <w:rPr>
          <w:b/>
          <w:bCs/>
        </w:rPr>
      </w:pPr>
      <w:r w:rsidRPr="00BB6546">
        <w:rPr>
          <w:b/>
          <w:bCs/>
        </w:rPr>
        <w:t>ORDER ON RECONSIDERATION</w:t>
      </w:r>
    </w:p>
    <w:p w:rsidR="00A62607" w:rsidRPr="006711A2" w:rsidP="00A62607" w14:paraId="200B1AF6" w14:textId="77777777">
      <w:pPr>
        <w:tabs>
          <w:tab w:val="left" w:pos="-720"/>
        </w:tabs>
        <w:suppressAutoHyphens/>
        <w:spacing w:line="227" w:lineRule="auto"/>
        <w:rPr>
          <w:spacing w:val="-2"/>
        </w:rPr>
      </w:pPr>
    </w:p>
    <w:p w:rsidR="00A62607" w:rsidP="00A62607" w14:paraId="65161EA4" w14:textId="439BF7BD">
      <w:pPr>
        <w:tabs>
          <w:tab w:val="right" w:pos="9360"/>
        </w:tabs>
        <w:suppressAutoHyphens/>
        <w:spacing w:line="227" w:lineRule="auto"/>
        <w:rPr>
          <w:spacing w:val="-2"/>
        </w:rPr>
      </w:pPr>
      <w:r w:rsidRPr="003F0ACE">
        <w:rPr>
          <w:b/>
          <w:bCs/>
          <w:spacing w:val="-2"/>
        </w:rPr>
        <w:t xml:space="preserve">Adopted:  </w:t>
      </w:r>
      <w:r w:rsidR="0008362E">
        <w:rPr>
          <w:b/>
          <w:bCs/>
          <w:spacing w:val="-2"/>
        </w:rPr>
        <w:t>August 25</w:t>
      </w:r>
      <w:r w:rsidRPr="003F0ACE">
        <w:rPr>
          <w:b/>
          <w:bCs/>
          <w:spacing w:val="-2"/>
        </w:rPr>
        <w:t>, 20</w:t>
      </w:r>
      <w:r>
        <w:rPr>
          <w:b/>
          <w:bCs/>
          <w:spacing w:val="-2"/>
        </w:rPr>
        <w:t>2</w:t>
      </w:r>
      <w:r w:rsidR="00EB2189">
        <w:rPr>
          <w:b/>
          <w:bCs/>
          <w:spacing w:val="-2"/>
        </w:rPr>
        <w:t>3</w:t>
      </w:r>
      <w:r>
        <w:rPr>
          <w:b/>
          <w:spacing w:val="-2"/>
        </w:rPr>
        <w:tab/>
      </w:r>
      <w:r w:rsidRPr="003F0ACE">
        <w:rPr>
          <w:b/>
          <w:bCs/>
          <w:spacing w:val="-2"/>
        </w:rPr>
        <w:t xml:space="preserve">Released:  </w:t>
      </w:r>
      <w:r w:rsidR="0008362E">
        <w:rPr>
          <w:b/>
          <w:bCs/>
          <w:spacing w:val="-2"/>
        </w:rPr>
        <w:t xml:space="preserve">August </w:t>
      </w:r>
      <w:r w:rsidR="00D91934">
        <w:rPr>
          <w:b/>
          <w:bCs/>
          <w:spacing w:val="-2"/>
        </w:rPr>
        <w:t>29</w:t>
      </w:r>
      <w:r w:rsidR="00474303">
        <w:rPr>
          <w:b/>
          <w:bCs/>
          <w:spacing w:val="-2"/>
        </w:rPr>
        <w:t>,</w:t>
      </w:r>
      <w:r w:rsidRPr="003F0ACE">
        <w:rPr>
          <w:b/>
          <w:bCs/>
          <w:spacing w:val="-2"/>
        </w:rPr>
        <w:t xml:space="preserve"> 20</w:t>
      </w:r>
      <w:r>
        <w:rPr>
          <w:b/>
          <w:bCs/>
          <w:spacing w:val="-2"/>
        </w:rPr>
        <w:t>2</w:t>
      </w:r>
      <w:r w:rsidR="00EB2189">
        <w:rPr>
          <w:b/>
          <w:bCs/>
          <w:spacing w:val="-2"/>
        </w:rPr>
        <w:t>3</w:t>
      </w:r>
    </w:p>
    <w:p w:rsidR="00A62607" w:rsidRPr="00070540" w:rsidP="00A62607" w14:paraId="1CA25A2A" w14:textId="77777777"/>
    <w:p w:rsidR="00A62607" w:rsidRPr="002B437F" w:rsidP="00A62607" w14:paraId="1B69B5E8" w14:textId="77777777">
      <w:r>
        <w:t xml:space="preserve">By the Commission:  </w:t>
      </w:r>
    </w:p>
    <w:p w:rsidR="00A62607" w:rsidRPr="00DE707F" w:rsidP="00A62607" w14:paraId="4174450C" w14:textId="77777777"/>
    <w:p w:rsidR="00A62607" w:rsidP="00515EDF" w14:paraId="2489A6F1" w14:textId="77777777">
      <w:pPr>
        <w:pStyle w:val="Heading1"/>
      </w:pPr>
      <w:bookmarkStart w:id="1" w:name="_Toc321413765"/>
      <w:bookmarkStart w:id="2" w:name="_Toc323112963"/>
      <w:r w:rsidRPr="00864CFD">
        <w:t>INTRODUCTION</w:t>
      </w:r>
    </w:p>
    <w:p w:rsidR="00525C01" w:rsidP="00515EDF" w14:paraId="343DBD1D" w14:textId="693F8928">
      <w:pPr>
        <w:pStyle w:val="ParaNum"/>
      </w:pPr>
      <w:r>
        <w:t>As required by the Infrastructure Investment and Jobs Act</w:t>
      </w:r>
      <w:r w:rsidR="005228A6">
        <w:t xml:space="preserve"> (Infrastructure Act)</w:t>
      </w:r>
      <w:r w:rsidR="00A62384">
        <w:t>,</w:t>
      </w:r>
      <w:r>
        <w:rPr>
          <w:rStyle w:val="FootnoteReference"/>
        </w:rPr>
        <w:footnoteReference w:id="3"/>
      </w:r>
      <w:r w:rsidRPr="00A048FF">
        <w:t xml:space="preserve"> </w:t>
      </w:r>
      <w:r w:rsidR="00A62384">
        <w:t>the Commission adopted a</w:t>
      </w:r>
      <w:r>
        <w:t xml:space="preserve"> Report and Order requiring </w:t>
      </w:r>
      <w:r>
        <w:t>broadband Internet service providers (</w:t>
      </w:r>
      <w:r>
        <w:t>ISPs</w:t>
      </w:r>
      <w:r>
        <w:t xml:space="preserve"> or providers)</w:t>
      </w:r>
      <w:r>
        <w:t xml:space="preserve"> to display, at the point of sale, labels that disclose certain information about broadband prices, introductory rates, data allowances, and broadband speeds, and to include links to information about their network management practices, privacy policies, and the Commission’s Affordable Connectivity Program (ACP).</w:t>
      </w:r>
      <w:r>
        <w:rPr>
          <w:rStyle w:val="FootnoteReference"/>
        </w:rPr>
        <w:footnoteReference w:id="4"/>
      </w:r>
      <w:r>
        <w:t xml:space="preserve">  </w:t>
      </w:r>
      <w:r w:rsidR="00A62384">
        <w:t>The Commission also</w:t>
      </w:r>
      <w:r>
        <w:t xml:space="preserve"> adopt</w:t>
      </w:r>
      <w:r w:rsidR="00A62384">
        <w:t>ed</w:t>
      </w:r>
      <w:r>
        <w:t xml:space="preserve"> requirements for </w:t>
      </w:r>
      <w:r>
        <w:t xml:space="preserve">the </w:t>
      </w:r>
      <w:r>
        <w:t>label</w:t>
      </w:r>
      <w:r>
        <w:t>’s</w:t>
      </w:r>
      <w:r>
        <w:t xml:space="preserve"> format and display location to ensure consumers can easily compare a provider’s services</w:t>
      </w:r>
      <w:r w:rsidR="000525EA">
        <w:t xml:space="preserve"> as well as</w:t>
      </w:r>
      <w:r>
        <w:t xml:space="preserve"> services </w:t>
      </w:r>
      <w:r w:rsidR="000525EA">
        <w:t>between</w:t>
      </w:r>
      <w:r>
        <w:t xml:space="preserve"> different providers. </w:t>
      </w:r>
      <w:r w:rsidR="00D35B6C">
        <w:t xml:space="preserve"> C</w:t>
      </w:r>
      <w:r w:rsidR="00F650E3">
        <w:t xml:space="preserve">onsumer access to clear, easy-to-understand, and accurate information is central to a well-functioning marketplace that encourages competition, innovation, low prices, and high-quality services.  </w:t>
      </w:r>
    </w:p>
    <w:p w:rsidR="00BB5344" w:rsidP="00515EDF" w14:paraId="1719FBD5" w14:textId="32DEE35C">
      <w:pPr>
        <w:pStyle w:val="ParaNum"/>
      </w:pPr>
      <w:r>
        <w:t>We now address t</w:t>
      </w:r>
      <w:r w:rsidR="00A62384">
        <w:t>hree</w:t>
      </w:r>
      <w:r>
        <w:t xml:space="preserve"> </w:t>
      </w:r>
      <w:r w:rsidR="00A62384">
        <w:t>petitions requesting that the Commission clarify and/or reconsider certain label requirements.</w:t>
      </w:r>
      <w:r>
        <w:rPr>
          <w:vertAlign w:val="superscript"/>
        </w:rPr>
        <w:footnoteReference w:id="5"/>
      </w:r>
      <w:r w:rsidRPr="00F11C52">
        <w:t xml:space="preserve"> </w:t>
      </w:r>
      <w:r>
        <w:t xml:space="preserve"> </w:t>
      </w:r>
      <w:r w:rsidR="00A24499">
        <w:t>In doing so</w:t>
      </w:r>
      <w:r w:rsidR="00D37BA7">
        <w:t xml:space="preserve">, we </w:t>
      </w:r>
      <w:r w:rsidR="00CA3896">
        <w:t>affirm our requirement that providers display all monthly fees</w:t>
      </w:r>
      <w:r w:rsidR="00C17EC1">
        <w:t xml:space="preserve"> </w:t>
      </w:r>
      <w:r w:rsidR="00C74DC1">
        <w:t>w</w:t>
      </w:r>
      <w:r w:rsidR="00D51F4D">
        <w:t xml:space="preserve">ith respect to broadband service </w:t>
      </w:r>
      <w:r w:rsidR="00C17EC1">
        <w:t xml:space="preserve">on the label to provide consumers with clear and accurate information </w:t>
      </w:r>
      <w:r w:rsidR="00A24499">
        <w:t>about</w:t>
      </w:r>
      <w:r w:rsidR="00C17EC1">
        <w:t xml:space="preserve"> the cost of their broadband service.  We thus </w:t>
      </w:r>
      <w:r w:rsidR="00D37BA7">
        <w:t>d</w:t>
      </w:r>
      <w:r>
        <w:t>ecline</w:t>
      </w:r>
      <w:r w:rsidR="00D37BA7">
        <w:t xml:space="preserve"> </w:t>
      </w:r>
      <w:r w:rsidR="00267A09">
        <w:t xml:space="preserve">providers’ request that they </w:t>
      </w:r>
      <w:r w:rsidR="00BA0BE9">
        <w:t>not disclose those fees</w:t>
      </w:r>
      <w:r w:rsidR="00221C38">
        <w:t xml:space="preserve"> or</w:t>
      </w:r>
      <w:r w:rsidR="006D5BD4">
        <w:t xml:space="preserve"> that they</w:t>
      </w:r>
      <w:r w:rsidR="00F458ED">
        <w:t xml:space="preserve"> instead</w:t>
      </w:r>
      <w:r w:rsidR="00221C38">
        <w:t xml:space="preserve"> display an “up to” </w:t>
      </w:r>
      <w:r w:rsidR="00C957EF">
        <w:t xml:space="preserve">price for </w:t>
      </w:r>
      <w:r w:rsidR="00B27E39">
        <w:t xml:space="preserve">certain </w:t>
      </w:r>
      <w:r>
        <w:t xml:space="preserve">fees </w:t>
      </w:r>
      <w:r w:rsidR="00CF6F98">
        <w:t xml:space="preserve">they </w:t>
      </w:r>
      <w:r w:rsidR="00A95585">
        <w:t xml:space="preserve">choose to </w:t>
      </w:r>
      <w:r w:rsidR="00326B09">
        <w:t>pass through to consumers</w:t>
      </w:r>
      <w:r w:rsidR="00A95585">
        <w:t xml:space="preserve">.  </w:t>
      </w:r>
      <w:r>
        <w:t xml:space="preserve">Similarly, we </w:t>
      </w:r>
      <w:r w:rsidR="000C54FC">
        <w:t>preserve the label’s simplicity and eas</w:t>
      </w:r>
      <w:r w:rsidR="00551A37">
        <w:t>e</w:t>
      </w:r>
      <w:r w:rsidR="000C54FC">
        <w:t xml:space="preserve"> of comparison by </w:t>
      </w:r>
      <w:r w:rsidR="00C9332F">
        <w:t xml:space="preserve">declining </w:t>
      </w:r>
      <w:r>
        <w:t>wireless providers</w:t>
      </w:r>
      <w:r w:rsidR="00C9332F">
        <w:t xml:space="preserve">’ request to </w:t>
      </w:r>
      <w:r w:rsidR="00A640E5">
        <w:t xml:space="preserve">include potentially complex and lengthy details about </w:t>
      </w:r>
      <w:r>
        <w:t xml:space="preserve">data allowances </w:t>
      </w:r>
      <w:r w:rsidR="00A640E5">
        <w:t xml:space="preserve">on the label, and instead affirm that </w:t>
      </w:r>
      <w:r w:rsidR="00F458ED">
        <w:t xml:space="preserve">providers can make those details available to </w:t>
      </w:r>
      <w:r w:rsidR="009554E3">
        <w:t xml:space="preserve">consumers </w:t>
      </w:r>
      <w:r w:rsidR="00A9258B">
        <w:t xml:space="preserve">on a linked website.  </w:t>
      </w:r>
      <w:r>
        <w:t xml:space="preserve">  </w:t>
      </w:r>
    </w:p>
    <w:p w:rsidR="000C47FC" w:rsidP="00515EDF" w14:paraId="0973420E" w14:textId="2B7EB6F8">
      <w:pPr>
        <w:pStyle w:val="ParaNum"/>
      </w:pPr>
      <w:r>
        <w:t>Next</w:t>
      </w:r>
      <w:r w:rsidR="00525C01">
        <w:t xml:space="preserve">, we </w:t>
      </w:r>
      <w:r w:rsidRPr="004D7175" w:rsidR="00A430CF">
        <w:t>clarify that a broadband label is only required in E-Rate and R</w:t>
      </w:r>
      <w:r w:rsidR="004352A1">
        <w:t xml:space="preserve">ural </w:t>
      </w:r>
      <w:r w:rsidRPr="004D7175" w:rsidR="00A430CF">
        <w:t>H</w:t>
      </w:r>
      <w:r w:rsidR="004352A1">
        <w:t>ealth</w:t>
      </w:r>
      <w:r w:rsidR="00DD7FEC">
        <w:t xml:space="preserve"> C</w:t>
      </w:r>
      <w:r w:rsidR="004352A1">
        <w:t>are (RHC)</w:t>
      </w:r>
      <w:r w:rsidR="00686FEB">
        <w:t xml:space="preserve"> Program</w:t>
      </w:r>
      <w:r w:rsidRPr="004D7175" w:rsidR="00A430CF">
        <w:t xml:space="preserve"> competitive bids for standard </w:t>
      </w:r>
      <w:r w:rsidRPr="00B41221" w:rsidR="00A430CF">
        <w:rPr>
          <w:i/>
          <w:iCs/>
        </w:rPr>
        <w:t>mass-market</w:t>
      </w:r>
      <w:r w:rsidRPr="004D7175" w:rsidR="00A430CF">
        <w:t xml:space="preserve"> broadband </w:t>
      </w:r>
      <w:r w:rsidR="00933890">
        <w:t>I</w:t>
      </w:r>
      <w:r w:rsidRPr="004D7175" w:rsidR="00A430CF">
        <w:t>nternet services requested by a school, library, or health care provider</w:t>
      </w:r>
      <w:r w:rsidR="00A430CF">
        <w:t>,</w:t>
      </w:r>
      <w:r w:rsidRPr="004D7175" w:rsidR="00A430CF">
        <w:t xml:space="preserve"> and that E-Rate and RHC service providers need </w:t>
      </w:r>
      <w:r w:rsidR="009B3E8E">
        <w:t>not</w:t>
      </w:r>
      <w:r w:rsidRPr="004D7175" w:rsidR="00A430CF">
        <w:t xml:space="preserve"> include a label for enterprise and special access services provided through those programs.</w:t>
      </w:r>
      <w:r w:rsidR="00A430CF">
        <w:t xml:space="preserve">  We also </w:t>
      </w:r>
      <w:r w:rsidR="00FD275A">
        <w:t xml:space="preserve">reconsider </w:t>
      </w:r>
      <w:r w:rsidRPr="00C55857" w:rsidR="00A430CF">
        <w:t>the</w:t>
      </w:r>
      <w:r w:rsidR="009673CE">
        <w:t xml:space="preserve"> </w:t>
      </w:r>
      <w:r w:rsidRPr="00C55857" w:rsidR="00A430CF">
        <w:t>requirement to document each instance when a provider directs a consumer to a label at an alternative sales channel and to retain such documentation for two years</w:t>
      </w:r>
      <w:r w:rsidR="00FD275A">
        <w:t>.</w:t>
      </w:r>
      <w:r w:rsidR="00933890">
        <w:t xml:space="preserve">  In addition, we make clear that wireless providers that opt to include government taxes in their base monthly price </w:t>
      </w:r>
      <w:r w:rsidRPr="00933890" w:rsidR="00933890">
        <w:t xml:space="preserve">may note on the label that government taxes are included.  </w:t>
      </w:r>
      <w:r w:rsidRPr="00933890" w:rsidR="00A430CF">
        <w:t xml:space="preserve"> </w:t>
      </w:r>
    </w:p>
    <w:p w:rsidR="000C47FC" w:rsidP="00515EDF" w14:paraId="6E34BE51" w14:textId="4267C050">
      <w:pPr>
        <w:pStyle w:val="ParaNum"/>
      </w:pPr>
      <w:r>
        <w:t>Our decisions here preserve consumer access to clear, easy-to-understand, and accurate information about the cost for broadband services and will empower consumers to choose services that best meet their needs and match their budgets</w:t>
      </w:r>
      <w:r w:rsidR="00D35B6C">
        <w:t xml:space="preserve"> </w:t>
      </w:r>
      <w:r w:rsidR="007D1463">
        <w:t>and ensures that they are not surprised by unexpected charges or service quality that falls short of their expectations.</w:t>
      </w:r>
    </w:p>
    <w:p w:rsidR="00A62607" w:rsidRPr="001A72F4" w:rsidP="00515EDF" w14:paraId="6C5F4C85" w14:textId="504A9FB3">
      <w:pPr>
        <w:pStyle w:val="Heading1"/>
      </w:pPr>
      <w:bookmarkStart w:id="3" w:name="_Toc321413766"/>
      <w:bookmarkStart w:id="4" w:name="_Toc323112964"/>
      <w:r w:rsidRPr="007D6E0C">
        <w:t>BACKGROUND</w:t>
      </w:r>
      <w:bookmarkEnd w:id="3"/>
      <w:bookmarkEnd w:id="4"/>
    </w:p>
    <w:p w:rsidR="00525C01" w:rsidRPr="00A048FF" w:rsidP="00515EDF" w14:paraId="5AE20471" w14:textId="77777777">
      <w:pPr>
        <w:pStyle w:val="ParaNum"/>
      </w:pPr>
      <w:bookmarkStart w:id="5" w:name="_Hlk46815690"/>
      <w:r w:rsidRPr="00A048FF">
        <w:t>The Infrastructure Act, in relevant part, directs the Commission “[n]</w:t>
      </w:r>
      <w:r w:rsidRPr="00A048FF">
        <w:t>ot</w:t>
      </w:r>
      <w:r w:rsidRPr="00A048FF">
        <w:t xml:space="preserve"> later than 1 year after the date of enactment of </w:t>
      </w:r>
      <w:r w:rsidRPr="00A048FF">
        <w:t>th</w:t>
      </w:r>
      <w:r w:rsidRPr="00A048FF">
        <w:t>[e] Act, to promulgate regulations to require the display of broadband consumer labels, as described in the Public Notice of the Commission issued on April 4, 2016 (DA 16–357), to disclose to consumers information regarding broadband internet access service plans.”</w:t>
      </w:r>
      <w:r>
        <w:rPr>
          <w:rStyle w:val="FootnoteReference"/>
        </w:rPr>
        <w:footnoteReference w:id="6"/>
      </w:r>
      <w:r w:rsidRPr="00A048FF">
        <w:t xml:space="preserve">  Further, the Infrastructure Act requires that </w:t>
      </w:r>
      <w:r>
        <w:t xml:space="preserve">the </w:t>
      </w:r>
      <w:r w:rsidRPr="00A048FF">
        <w:t>label “include information regarding whether the offered price is an introductory rate and, if so, the price the consumer will be required to pay following the introductory period.”</w:t>
      </w:r>
      <w:r>
        <w:rPr>
          <w:rStyle w:val="FootnoteReference"/>
        </w:rPr>
        <w:footnoteReference w:id="7"/>
      </w:r>
      <w:r w:rsidRPr="00A048FF">
        <w:t xml:space="preserve">  </w:t>
      </w:r>
    </w:p>
    <w:p w:rsidR="0085239A" w:rsidRPr="00214784" w:rsidP="00515EDF" w14:paraId="571FDE53" w14:textId="11DF2253">
      <w:pPr>
        <w:pStyle w:val="ParaNum"/>
        <w:rPr>
          <w:rFonts w:eastAsia="Yu Mincho"/>
          <w:kern w:val="0"/>
        </w:rPr>
      </w:pPr>
      <w:r w:rsidRPr="00A048FF">
        <w:t xml:space="preserve">On January 27, 2022, </w:t>
      </w:r>
      <w:r w:rsidR="004C0445">
        <w:t>we</w:t>
      </w:r>
      <w:r w:rsidRPr="00A048FF">
        <w:t xml:space="preserve"> </w:t>
      </w:r>
      <w:r w:rsidRPr="1E003BC0">
        <w:t>released</w:t>
      </w:r>
      <w:r w:rsidRPr="00A048FF">
        <w:t xml:space="preserve"> a Notice of Proposed Rulemaking initiating a proceeding to implement section 60504 of the Infrastructure Act.</w:t>
      </w:r>
      <w:r>
        <w:rPr>
          <w:rStyle w:val="FootnoteReference"/>
        </w:rPr>
        <w:footnoteReference w:id="8"/>
      </w:r>
      <w:r w:rsidRPr="00A048FF">
        <w:t xml:space="preserve">  Consistent with the Infrastructure Act’s </w:t>
      </w:r>
      <w:r w:rsidRPr="1E003BC0">
        <w:t>mandate</w:t>
      </w:r>
      <w:r w:rsidRPr="00A048FF">
        <w:t xml:space="preserve">, </w:t>
      </w:r>
      <w:r w:rsidR="004C0445">
        <w:t>we</w:t>
      </w:r>
      <w:r w:rsidRPr="00A048FF">
        <w:t xml:space="preserve"> proposed </w:t>
      </w:r>
      <w:r w:rsidR="00EB24F3">
        <w:t>a requirement that</w:t>
      </w:r>
      <w:r>
        <w:t xml:space="preserve"> </w:t>
      </w:r>
      <w:r w:rsidR="00A24499">
        <w:t xml:space="preserve">ISPs </w:t>
      </w:r>
      <w:r>
        <w:t xml:space="preserve">display </w:t>
      </w:r>
      <w:r w:rsidR="00A24499">
        <w:t xml:space="preserve">broadband consumer </w:t>
      </w:r>
      <w:r w:rsidRPr="00A048FF">
        <w:t>labels</w:t>
      </w:r>
      <w:r w:rsidR="004C0445">
        <w:t xml:space="preserve"> </w:t>
      </w:r>
      <w:r w:rsidR="00EB24F3">
        <w:t xml:space="preserve">that </w:t>
      </w:r>
      <w:r w:rsidR="0079584B">
        <w:t>the Commission</w:t>
      </w:r>
      <w:r>
        <w:t xml:space="preserve"> </w:t>
      </w:r>
      <w:r w:rsidR="00EA1E2A">
        <w:t>approved</w:t>
      </w:r>
      <w:r w:rsidR="0079584B">
        <w:t xml:space="preserve"> in 2016</w:t>
      </w:r>
      <w:r w:rsidRPr="00A048FF">
        <w:t xml:space="preserve"> as a safe harbor </w:t>
      </w:r>
      <w:r>
        <w:t>from enforcement of the</w:t>
      </w:r>
      <w:r w:rsidRPr="00A048FF">
        <w:t xml:space="preserve"> broadband transparency requirements</w:t>
      </w:r>
      <w:r>
        <w:t>.</w:t>
      </w:r>
      <w:r>
        <w:rPr>
          <w:rStyle w:val="FootnoteReference"/>
        </w:rPr>
        <w:footnoteReference w:id="9"/>
      </w:r>
      <w:r>
        <w:t xml:space="preserve">  </w:t>
      </w:r>
      <w:r w:rsidR="00071E2B">
        <w:rPr>
          <w:color w:val="000000"/>
        </w:rPr>
        <w:t>The Commission also conducted three public hearings, which informed the record.</w:t>
      </w:r>
      <w:r>
        <w:rPr>
          <w:rStyle w:val="FootnoteReference"/>
        </w:rPr>
        <w:footnoteReference w:id="10"/>
      </w:r>
      <w:r w:rsidR="00071E2B">
        <w:rPr>
          <w:color w:val="000000"/>
        </w:rPr>
        <w:t xml:space="preserve">  </w:t>
      </w:r>
      <w:r w:rsidR="008D478A">
        <w:rPr>
          <w:color w:val="000000"/>
        </w:rPr>
        <w:t>C</w:t>
      </w:r>
      <w:r w:rsidRPr="4F07B297">
        <w:rPr>
          <w:color w:val="000000"/>
        </w:rPr>
        <w:t>ommenters</w:t>
      </w:r>
      <w:r w:rsidR="008D478A">
        <w:rPr>
          <w:color w:val="000000"/>
        </w:rPr>
        <w:t xml:space="preserve"> and hearing participants</w:t>
      </w:r>
      <w:r w:rsidRPr="4F07B297">
        <w:rPr>
          <w:color w:val="000000"/>
        </w:rPr>
        <w:t xml:space="preserve"> agree</w:t>
      </w:r>
      <w:r>
        <w:rPr>
          <w:color w:val="000000"/>
        </w:rPr>
        <w:t>d</w:t>
      </w:r>
      <w:r w:rsidRPr="4F07B297">
        <w:rPr>
          <w:color w:val="000000"/>
        </w:rPr>
        <w:t xml:space="preserve"> that </w:t>
      </w:r>
      <w:r w:rsidRPr="4F07B297">
        <w:t>labels are a simple and clear means</w:t>
      </w:r>
      <w:r w:rsidRPr="00A048FF">
        <w:rPr>
          <w:szCs w:val="22"/>
        </w:rPr>
        <w:t xml:space="preserve"> </w:t>
      </w:r>
      <w:r w:rsidRPr="4F07B297">
        <w:t>to disclose</w:t>
      </w:r>
      <w:r w:rsidRPr="00A048FF">
        <w:rPr>
          <w:szCs w:val="22"/>
        </w:rPr>
        <w:t xml:space="preserve"> </w:t>
      </w:r>
      <w:r w:rsidRPr="00A048FF">
        <w:t>information</w:t>
      </w:r>
      <w:r w:rsidRPr="4F07B297">
        <w:t xml:space="preserve"> about broadband services </w:t>
      </w:r>
      <w:r w:rsidR="008D478A">
        <w:t>but</w:t>
      </w:r>
      <w:r w:rsidR="004C0445">
        <w:t xml:space="preserve"> </w:t>
      </w:r>
      <w:r w:rsidR="008D478A">
        <w:t xml:space="preserve">many </w:t>
      </w:r>
      <w:r w:rsidRPr="4F07B297">
        <w:t>urge</w:t>
      </w:r>
      <w:r>
        <w:t>d</w:t>
      </w:r>
      <w:r w:rsidRPr="4F07B297">
        <w:t xml:space="preserve"> </w:t>
      </w:r>
      <w:r w:rsidR="004C0445">
        <w:t>us</w:t>
      </w:r>
      <w:r w:rsidRPr="4F07B297">
        <w:t xml:space="preserve"> to modify the </w:t>
      </w:r>
      <w:r w:rsidR="004C0445">
        <w:t xml:space="preserve">2016 </w:t>
      </w:r>
      <w:r w:rsidRPr="4F07B297">
        <w:t>labels</w:t>
      </w:r>
      <w:r w:rsidRPr="00A048FF">
        <w:rPr>
          <w:szCs w:val="22"/>
        </w:rPr>
        <w:t xml:space="preserve"> </w:t>
      </w:r>
      <w:r w:rsidRPr="4F07B297">
        <w:t>to better assist</w:t>
      </w:r>
      <w:r w:rsidRPr="00A048FF">
        <w:rPr>
          <w:szCs w:val="22"/>
        </w:rPr>
        <w:t xml:space="preserve"> </w:t>
      </w:r>
      <w:r w:rsidRPr="4F07B297">
        <w:t>consumers in their purchasing decisions</w:t>
      </w:r>
      <w:r w:rsidRPr="00A048FF">
        <w:rPr>
          <w:szCs w:val="22"/>
        </w:rPr>
        <w:t>.</w:t>
      </w:r>
      <w:r>
        <w:rPr>
          <w:rStyle w:val="FootnoteReference"/>
        </w:rPr>
        <w:footnoteReference w:id="11"/>
      </w:r>
    </w:p>
    <w:p w:rsidR="003341C9" w:rsidRPr="00A048FF" w:rsidP="00515EDF" w14:paraId="7F81EC5E" w14:textId="18FB1D62">
      <w:pPr>
        <w:pStyle w:val="ParaNum"/>
      </w:pPr>
      <w:r>
        <w:rPr>
          <w:szCs w:val="22"/>
        </w:rPr>
        <w:t>On November 14, 2022,</w:t>
      </w:r>
      <w:r w:rsidR="008D478A">
        <w:rPr>
          <w:szCs w:val="22"/>
        </w:rPr>
        <w:t xml:space="preserve"> </w:t>
      </w:r>
      <w:r w:rsidR="004C0445">
        <w:rPr>
          <w:szCs w:val="22"/>
        </w:rPr>
        <w:t>we</w:t>
      </w:r>
      <w:r w:rsidR="00214784">
        <w:rPr>
          <w:szCs w:val="22"/>
        </w:rPr>
        <w:t xml:space="preserve"> adopted</w:t>
      </w:r>
      <w:r>
        <w:t xml:space="preserve"> a new </w:t>
      </w:r>
      <w:r w:rsidRPr="1E003BC0">
        <w:t>broadband</w:t>
      </w:r>
      <w:r>
        <w:t xml:space="preserve"> label to help consumers comparison shop among broadband service</w:t>
      </w:r>
      <w:r w:rsidR="008D478A">
        <w:t xml:space="preserve"> plans</w:t>
      </w:r>
      <w:r w:rsidRPr="00A048FF">
        <w:t>.</w:t>
      </w:r>
      <w:r>
        <w:rPr>
          <w:rStyle w:val="FootnoteReference"/>
        </w:rPr>
        <w:footnoteReference w:id="12"/>
      </w:r>
      <w:r w:rsidRPr="00A048FF">
        <w:t xml:space="preserve">  </w:t>
      </w:r>
      <w:r>
        <w:t>Specifically, we required</w:t>
      </w:r>
      <w:r w:rsidRPr="00A048FF">
        <w:t xml:space="preserve"> ISPs to display</w:t>
      </w:r>
      <w:r>
        <w:t>, at the point of sale,</w:t>
      </w:r>
      <w:r w:rsidRPr="00A048FF">
        <w:t xml:space="preserve"> </w:t>
      </w:r>
      <w:r>
        <w:t xml:space="preserve">a </w:t>
      </w:r>
      <w:r w:rsidRPr="00A048FF">
        <w:t>broadband consumer label</w:t>
      </w:r>
      <w:r>
        <w:t xml:space="preserve"> containing critical </w:t>
      </w:r>
      <w:r w:rsidRPr="00A048FF">
        <w:t xml:space="preserve">information about </w:t>
      </w:r>
      <w:r>
        <w:t>the provider’s</w:t>
      </w:r>
      <w:r w:rsidRPr="00A048FF">
        <w:t xml:space="preserve"> service offerings, including </w:t>
      </w:r>
      <w:r>
        <w:t xml:space="preserve">information </w:t>
      </w:r>
      <w:r w:rsidRPr="00A048FF">
        <w:t xml:space="preserve">about pricing, introductory rates, data allowances, performance metrics, and </w:t>
      </w:r>
      <w:r>
        <w:t xml:space="preserve">whether the provider participates in </w:t>
      </w:r>
      <w:r w:rsidRPr="00A048FF">
        <w:t>the ACP.</w:t>
      </w:r>
      <w:r>
        <w:rPr>
          <w:rStyle w:val="FootnoteReference"/>
        </w:rPr>
        <w:footnoteReference w:id="13"/>
      </w:r>
      <w:r w:rsidRPr="00A048FF">
        <w:t xml:space="preserve">  </w:t>
      </w:r>
      <w:r>
        <w:t>We required that ISPs display the label f</w:t>
      </w:r>
      <w:r w:rsidRPr="1E003BC0">
        <w:t>or each stand-alone broadband Internet access service they currently offer for purchase</w:t>
      </w:r>
      <w:r w:rsidRPr="00A048FF">
        <w:rPr>
          <w:szCs w:val="22"/>
        </w:rPr>
        <w:t xml:space="preserve">, </w:t>
      </w:r>
      <w:r w:rsidRPr="1E003BC0">
        <w:t>and that the label link to other important information such as network management practices, privacy policies</w:t>
      </w:r>
      <w:r>
        <w:rPr>
          <w:szCs w:val="22"/>
        </w:rPr>
        <w:t>,</w:t>
      </w:r>
      <w:r w:rsidRPr="1E003BC0">
        <w:t xml:space="preserve"> and other educational materials.</w:t>
      </w:r>
      <w:r>
        <w:rPr>
          <w:rStyle w:val="FootnoteReference"/>
        </w:rPr>
        <w:footnoteReference w:id="14"/>
      </w:r>
      <w:r w:rsidRPr="00A048FF">
        <w:rPr>
          <w:szCs w:val="22"/>
        </w:rPr>
        <w:t xml:space="preserve"> </w:t>
      </w:r>
      <w:r w:rsidRPr="00A048FF">
        <w:t xml:space="preserve"> </w:t>
      </w:r>
    </w:p>
    <w:p w:rsidR="00214784" w:rsidRPr="003341C9" w:rsidP="00515EDF" w14:paraId="4101CA0C" w14:textId="27B97464">
      <w:pPr>
        <w:pStyle w:val="ParaNum"/>
      </w:pPr>
      <w:r>
        <w:t xml:space="preserve">In addition to label content, we </w:t>
      </w:r>
      <w:r w:rsidRPr="1E003BC0">
        <w:t>adopt</w:t>
      </w:r>
      <w:r>
        <w:t xml:space="preserve">ed requirements for the label’s format and display location to ensure </w:t>
      </w:r>
      <w:r w:rsidRPr="1E003BC0">
        <w:t>consumers can make side-by-side comparisons of various service offerings from an individual provider or from alternative providers</w:t>
      </w:r>
      <w:r w:rsidRPr="00A048FF">
        <w:rPr>
          <w:szCs w:val="22"/>
        </w:rPr>
        <w:t>—</w:t>
      </w:r>
      <w:r w:rsidRPr="1E003BC0">
        <w:t>something essential for making informed decisions.</w:t>
      </w:r>
      <w:r>
        <w:rPr>
          <w:rStyle w:val="FootnoteReference"/>
        </w:rPr>
        <w:footnoteReference w:id="15"/>
      </w:r>
      <w:r>
        <w:rPr>
          <w:szCs w:val="22"/>
        </w:rPr>
        <w:t xml:space="preserve">  </w:t>
      </w:r>
      <w:r w:rsidRPr="1E003BC0">
        <w:t>In this way, the label resembles the well-known nutrition labels that consumers have come to rely on when shopping for food products</w:t>
      </w:r>
      <w:r>
        <w:rPr>
          <w:szCs w:val="22"/>
        </w:rPr>
        <w:t xml:space="preserve">.  </w:t>
      </w:r>
      <w:r w:rsidRPr="00A048FF">
        <w:t xml:space="preserve">  </w:t>
      </w:r>
      <w:r w:rsidRPr="003341C9">
        <w:rPr>
          <w:szCs w:val="22"/>
        </w:rPr>
        <w:t xml:space="preserve"> </w:t>
      </w:r>
    </w:p>
    <w:p w:rsidR="004C08C3" w:rsidRPr="004C08C3" w:rsidP="00515EDF" w14:paraId="01A87571" w14:textId="6A60A5B9">
      <w:pPr>
        <w:pStyle w:val="ParaNum"/>
        <w:rPr>
          <w:rFonts w:eastAsia="Yu Mincho"/>
          <w:kern w:val="0"/>
        </w:rPr>
      </w:pPr>
      <w:r>
        <w:t xml:space="preserve">Following the adoption of the </w:t>
      </w:r>
      <w:r w:rsidRPr="00F467C4">
        <w:rPr>
          <w:i/>
          <w:iCs/>
        </w:rPr>
        <w:t>Broadband Label Order</w:t>
      </w:r>
      <w:r>
        <w:t>, w</w:t>
      </w:r>
      <w:r w:rsidR="0085239A">
        <w:t xml:space="preserve">e received three petitions asking the Commission to clarify and/or reconsider certain label requirements.  </w:t>
      </w:r>
      <w:r w:rsidR="00214784">
        <w:t>In the first petition</w:t>
      </w:r>
      <w:r w:rsidR="0085239A">
        <w:t xml:space="preserve">, </w:t>
      </w:r>
      <w:r w:rsidR="004C6891">
        <w:t>ACA Connects et al. ask t</w:t>
      </w:r>
      <w:r w:rsidRPr="00C55857" w:rsidR="004C6891">
        <w:t xml:space="preserve">he </w:t>
      </w:r>
      <w:r w:rsidR="004C6891">
        <w:t>Commission</w:t>
      </w:r>
      <w:r w:rsidRPr="00C55857" w:rsidR="004C6891">
        <w:t xml:space="preserve"> </w:t>
      </w:r>
      <w:r w:rsidR="004C6891">
        <w:t>to</w:t>
      </w:r>
      <w:r w:rsidRPr="00C55857" w:rsidR="004C6891">
        <w:t xml:space="preserve"> clarify or reconsider the requirements to: 1) itemize on the label all discretionary monthly fees that the provider passes through to the consumer; and 2) document consumer interactions regarding labels that occur through alternative sales channels (</w:t>
      </w:r>
      <w:r w:rsidR="004C6891">
        <w:t xml:space="preserve">e.g., </w:t>
      </w:r>
      <w:r w:rsidRPr="00C55857" w:rsidR="004C6891">
        <w:t>retail stores, kiosks, on the phone).</w:t>
      </w:r>
      <w:r>
        <w:rPr>
          <w:rStyle w:val="FootnoteReference"/>
        </w:rPr>
        <w:footnoteReference w:id="16"/>
      </w:r>
    </w:p>
    <w:p w:rsidR="004C08C3" w:rsidRPr="004C6891" w:rsidP="00515EDF" w14:paraId="4E8CB68F" w14:textId="0892DB1E">
      <w:pPr>
        <w:pStyle w:val="ParaNum"/>
        <w:rPr>
          <w:rFonts w:eastAsia="Yu Mincho"/>
          <w:kern w:val="0"/>
        </w:rPr>
      </w:pPr>
      <w:r>
        <w:t xml:space="preserve">In a second petition, </w:t>
      </w:r>
      <w:r w:rsidR="004C6891">
        <w:t>a coalition of companies</w:t>
      </w:r>
      <w:r w:rsidRPr="004D7175" w:rsidR="004C6891">
        <w:t xml:space="preserve"> that provide </w:t>
      </w:r>
      <w:r w:rsidR="004C6891">
        <w:t>customized broadband services to schools, libraries, and health</w:t>
      </w:r>
      <w:r w:rsidR="00267110">
        <w:t xml:space="preserve"> </w:t>
      </w:r>
      <w:r w:rsidR="004C6891">
        <w:t xml:space="preserve">care providers through the </w:t>
      </w:r>
      <w:r w:rsidRPr="004D7175" w:rsidR="004C6891">
        <w:t xml:space="preserve">E-Rate and RHC </w:t>
      </w:r>
      <w:r w:rsidR="004C6891">
        <w:t>Universal Fund Service (USF)</w:t>
      </w:r>
      <w:r w:rsidRPr="004D7175" w:rsidR="004C6891">
        <w:t xml:space="preserve"> programs</w:t>
      </w:r>
      <w:r w:rsidR="004C6891">
        <w:t xml:space="preserve"> request</w:t>
      </w:r>
      <w:r w:rsidR="00543AB4">
        <w:t>s</w:t>
      </w:r>
      <w:r w:rsidR="004C6891">
        <w:t xml:space="preserve"> that</w:t>
      </w:r>
      <w:r w:rsidRPr="004D7175" w:rsidR="004C6891">
        <w:t xml:space="preserve"> the Commission clarify that a broadband label is only required in E-Rate and RHC </w:t>
      </w:r>
      <w:r w:rsidR="00267110">
        <w:t xml:space="preserve">Program </w:t>
      </w:r>
      <w:r w:rsidRPr="004D7175" w:rsidR="004C6891">
        <w:t xml:space="preserve">competitive bids for standard </w:t>
      </w:r>
      <w:r w:rsidRPr="0085239A" w:rsidR="004C6891">
        <w:rPr>
          <w:i/>
          <w:iCs/>
        </w:rPr>
        <w:t>mass-market</w:t>
      </w:r>
      <w:r w:rsidRPr="004D7175" w:rsidR="004C6891">
        <w:t xml:space="preserve"> broadband internet services</w:t>
      </w:r>
      <w:r w:rsidR="004C6891">
        <w:t>.</w:t>
      </w:r>
      <w:r>
        <w:rPr>
          <w:rStyle w:val="FootnoteReference"/>
        </w:rPr>
        <w:footnoteReference w:id="17"/>
      </w:r>
      <w:r w:rsidR="004C6891">
        <w:t xml:space="preserve">  They </w:t>
      </w:r>
      <w:r w:rsidRPr="0085239A" w:rsidR="004C6891">
        <w:t xml:space="preserve">urge the </w:t>
      </w:r>
      <w:r w:rsidR="004C6891">
        <w:t>Commission</w:t>
      </w:r>
      <w:r w:rsidRPr="0085239A" w:rsidR="004C6891">
        <w:t xml:space="preserve"> not to apply broadband labeling requirements</w:t>
      </w:r>
      <w:r w:rsidR="004C6891">
        <w:t xml:space="preserve"> </w:t>
      </w:r>
      <w:r w:rsidRPr="0085239A" w:rsidR="004C6891">
        <w:t>to negotiated, non-mass-market services</w:t>
      </w:r>
      <w:r w:rsidR="004C6891">
        <w:t>.</w:t>
      </w:r>
      <w:r>
        <w:rPr>
          <w:rStyle w:val="FootnoteReference"/>
        </w:rPr>
        <w:footnoteReference w:id="18"/>
      </w:r>
      <w:r w:rsidR="004C6891">
        <w:t xml:space="preserve">  The coalition specifically asks us</w:t>
      </w:r>
      <w:r w:rsidRPr="0085239A" w:rsidR="004C6891">
        <w:t xml:space="preserve"> to clarify that footnote 36 in the </w:t>
      </w:r>
      <w:r w:rsidRPr="00A6600F" w:rsidR="004C6891">
        <w:rPr>
          <w:i/>
          <w:iCs/>
        </w:rPr>
        <w:t>Broadband Label Order</w:t>
      </w:r>
      <w:r w:rsidRPr="0085239A" w:rsidR="004C6891">
        <w:t xml:space="preserve"> </w:t>
      </w:r>
      <w:r w:rsidR="004C6891">
        <w:t>was meant to underscore</w:t>
      </w:r>
      <w:r w:rsidRPr="0085239A" w:rsidR="004C6891">
        <w:t xml:space="preserve"> that</w:t>
      </w:r>
      <w:r w:rsidR="004C6891">
        <w:t>,</w:t>
      </w:r>
      <w:r w:rsidRPr="0085239A" w:rsidR="004C6891">
        <w:t xml:space="preserve"> regardless of the</w:t>
      </w:r>
      <w:r w:rsidR="004C6891">
        <w:t xml:space="preserve"> </w:t>
      </w:r>
      <w:r w:rsidRPr="0085239A" w:rsidR="004C6891">
        <w:t>service provider’s “definition” or “name” for its offering, the enterprise/special access exemption</w:t>
      </w:r>
      <w:r w:rsidR="004C6891">
        <w:t xml:space="preserve"> </w:t>
      </w:r>
      <w:r w:rsidRPr="0085239A" w:rsidR="004C6891">
        <w:t>applies when the service offering is customized for the beneficiary</w:t>
      </w:r>
      <w:r w:rsidR="004C6891">
        <w:t>.</w:t>
      </w:r>
    </w:p>
    <w:p w:rsidR="0085239A" w:rsidRPr="0085239A" w:rsidP="00515EDF" w14:paraId="4BCAE35B" w14:textId="5A82F4BB">
      <w:pPr>
        <w:pStyle w:val="ParaNum"/>
        <w:rPr>
          <w:rFonts w:eastAsia="Yu Mincho"/>
          <w:kern w:val="0"/>
        </w:rPr>
      </w:pPr>
      <w:r>
        <w:rPr>
          <w:rFonts w:eastAsia="Yu Mincho"/>
          <w:kern w:val="0"/>
        </w:rPr>
        <w:t>Finally</w:t>
      </w:r>
      <w:r w:rsidR="00181932">
        <w:rPr>
          <w:rFonts w:eastAsia="Yu Mincho"/>
          <w:kern w:val="0"/>
        </w:rPr>
        <w:t>,</w:t>
      </w:r>
      <w:r w:rsidR="00420B64">
        <w:rPr>
          <w:rFonts w:eastAsia="Yu Mincho"/>
          <w:kern w:val="0"/>
        </w:rPr>
        <w:t xml:space="preserve"> in the third petition,</w:t>
      </w:r>
      <w:r w:rsidR="00181932">
        <w:rPr>
          <w:rFonts w:eastAsia="Yu Mincho"/>
          <w:kern w:val="0"/>
        </w:rPr>
        <w:t xml:space="preserve"> </w:t>
      </w:r>
      <w:r w:rsidR="00064CBB">
        <w:rPr>
          <w:rFonts w:eastAsia="Yu Mincho"/>
          <w:kern w:val="0"/>
        </w:rPr>
        <w:t xml:space="preserve">CTIA </w:t>
      </w:r>
      <w:r w:rsidRPr="00F467C4" w:rsidR="00064CBB">
        <w:t>requests</w:t>
      </w:r>
      <w:r w:rsidR="00064CBB">
        <w:rPr>
          <w:rFonts w:eastAsia="Yu Mincho"/>
          <w:kern w:val="0"/>
        </w:rPr>
        <w:t xml:space="preserve"> that the Commission clarify that </w:t>
      </w:r>
      <w:r w:rsidR="00064CBB">
        <w:t xml:space="preserve">the </w:t>
      </w:r>
      <w:r w:rsidRPr="00DB74A7" w:rsidR="00064CBB">
        <w:t xml:space="preserve">labels should accommodate the </w:t>
      </w:r>
      <w:r w:rsidR="0011473F">
        <w:t xml:space="preserve">service </w:t>
      </w:r>
      <w:r w:rsidRPr="00DB74A7" w:rsidR="00064CBB">
        <w:t>options that wireless providers make available to consumers, even if th</w:t>
      </w:r>
      <w:r w:rsidR="003D000E">
        <w:t>ey</w:t>
      </w:r>
      <w:r w:rsidRPr="00DB74A7" w:rsidR="00064CBB">
        <w:t xml:space="preserve"> do not fit into the format of the label</w:t>
      </w:r>
      <w:r w:rsidR="00A9502A">
        <w:t xml:space="preserve"> template</w:t>
      </w:r>
      <w:r w:rsidRPr="00DB74A7" w:rsidR="00064CBB">
        <w:t xml:space="preserve">. </w:t>
      </w:r>
      <w:r w:rsidR="00A9502A">
        <w:t xml:space="preserve"> </w:t>
      </w:r>
      <w:r w:rsidRPr="00DB74A7" w:rsidR="00064CBB">
        <w:t xml:space="preserve">CTIA requests that providers </w:t>
      </w:r>
      <w:r w:rsidR="003D000E">
        <w:t xml:space="preserve">be </w:t>
      </w:r>
      <w:r w:rsidR="00B64CD1">
        <w:t>permitted</w:t>
      </w:r>
      <w:r w:rsidR="003D000E">
        <w:t xml:space="preserve"> to</w:t>
      </w:r>
      <w:r w:rsidRPr="00DB74A7" w:rsidR="00064CBB">
        <w:t xml:space="preserve"> describe their offerings</w:t>
      </w:r>
      <w:r w:rsidR="00A9502A">
        <w:t>—specifically with regard to</w:t>
      </w:r>
      <w:r w:rsidR="006D2393">
        <w:t xml:space="preserve"> government</w:t>
      </w:r>
      <w:r w:rsidR="00A9502A">
        <w:t xml:space="preserve"> taxes and data allowances—in </w:t>
      </w:r>
      <w:r w:rsidR="003D000E">
        <w:t xml:space="preserve">alternative </w:t>
      </w:r>
      <w:r w:rsidRPr="00DB74A7" w:rsidR="00064CBB">
        <w:t>ways</w:t>
      </w:r>
      <w:r w:rsidR="006D2393">
        <w:t>,</w:t>
      </w:r>
      <w:r w:rsidRPr="00DB74A7" w:rsidR="00064CBB">
        <w:t xml:space="preserve"> </w:t>
      </w:r>
      <w:r w:rsidR="00B64CD1">
        <w:t xml:space="preserve">as long as </w:t>
      </w:r>
      <w:r w:rsidR="003D000E">
        <w:t>the</w:t>
      </w:r>
      <w:r w:rsidR="00BD477D">
        <w:t xml:space="preserve"> disclosures</w:t>
      </w:r>
      <w:r w:rsidRPr="00DB74A7" w:rsidR="00064CBB">
        <w:t xml:space="preserve"> are clear and accurate.</w:t>
      </w:r>
      <w:r>
        <w:rPr>
          <w:rStyle w:val="FootnoteReference"/>
        </w:rPr>
        <w:footnoteReference w:id="19"/>
      </w:r>
    </w:p>
    <w:bookmarkEnd w:id="5"/>
    <w:p w:rsidR="00A62607" w:rsidRPr="004F3D3F" w:rsidP="00515EDF" w14:paraId="0E21388B" w14:textId="77777777">
      <w:pPr>
        <w:pStyle w:val="Heading1"/>
      </w:pPr>
      <w:r>
        <w:t>Order on Reconsideration</w:t>
      </w:r>
    </w:p>
    <w:p w:rsidR="004C6891" w:rsidP="00515EDF" w14:paraId="6D44739C" w14:textId="5BDD70BE">
      <w:pPr>
        <w:pStyle w:val="ParaNum"/>
      </w:pPr>
      <w:r>
        <w:t xml:space="preserve">On </w:t>
      </w:r>
      <w:r w:rsidRPr="00FA3194">
        <w:rPr>
          <w:rFonts w:eastAsia="Yu Mincho"/>
          <w:kern w:val="0"/>
        </w:rPr>
        <w:t>reconsideration</w:t>
      </w:r>
      <w:r>
        <w:t xml:space="preserve"> of the</w:t>
      </w:r>
      <w:r w:rsidR="007915C6">
        <w:t xml:space="preserve"> </w:t>
      </w:r>
      <w:r w:rsidRPr="00FA3194" w:rsidR="007915C6">
        <w:rPr>
          <w:i/>
          <w:iCs/>
        </w:rPr>
        <w:t>Broadband Label Order</w:t>
      </w:r>
      <w:r>
        <w:t xml:space="preserve">, </w:t>
      </w:r>
      <w:r w:rsidR="00FA3194">
        <w:t>we affirm our determinations that providers must itemize monthly discretionary fees on the label and state how much data is provided with the service plan, as outlined by the label template.</w:t>
      </w:r>
      <w:r>
        <w:t xml:space="preserve">  </w:t>
      </w:r>
      <w:r w:rsidR="00FA3194">
        <w:t>W</w:t>
      </w:r>
      <w:r>
        <w:t xml:space="preserve">e </w:t>
      </w:r>
      <w:r w:rsidR="00FA3194">
        <w:t xml:space="preserve">also </w:t>
      </w:r>
      <w:r w:rsidRPr="004D7175" w:rsidR="00682FB0">
        <w:t xml:space="preserve">clarify </w:t>
      </w:r>
      <w:r w:rsidRPr="004C6891" w:rsidR="00682FB0">
        <w:rPr>
          <w:rFonts w:eastAsia="Yu Mincho"/>
          <w:kern w:val="0"/>
        </w:rPr>
        <w:t>that</w:t>
      </w:r>
      <w:r w:rsidRPr="004D7175" w:rsidR="00682FB0">
        <w:t xml:space="preserve"> E-Rate and RHC service providers</w:t>
      </w:r>
      <w:r w:rsidR="009B613A">
        <w:t xml:space="preserve"> are not required</w:t>
      </w:r>
      <w:r w:rsidRPr="004D7175" w:rsidR="00682FB0">
        <w:t xml:space="preserve"> to include a broadband label for enterprise and special access services provided through those programs.</w:t>
      </w:r>
      <w:r w:rsidR="00682FB0">
        <w:t xml:space="preserve">  </w:t>
      </w:r>
      <w:r w:rsidR="00FA3194">
        <w:t>In addition, w</w:t>
      </w:r>
      <w:r w:rsidR="00682FB0">
        <w:t xml:space="preserve">e </w:t>
      </w:r>
      <w:r>
        <w:t>revise the Commission’s requir</w:t>
      </w:r>
      <w:r w:rsidR="007915C6">
        <w:t xml:space="preserve">ement to document each instance </w:t>
      </w:r>
      <w:r w:rsidRPr="00C55857" w:rsidR="007915C6">
        <w:t>when a provider directs a consumer to a label at an alternative sales channel and to retain such documentation for two years</w:t>
      </w:r>
      <w:r w:rsidR="007915C6">
        <w:t xml:space="preserve">. </w:t>
      </w:r>
      <w:r w:rsidR="00682FB0">
        <w:t xml:space="preserve"> </w:t>
      </w:r>
      <w:r w:rsidR="00B31F09">
        <w:t xml:space="preserve">And we make clear that providers that </w:t>
      </w:r>
      <w:r w:rsidR="00AF7903">
        <w:t xml:space="preserve">opt to </w:t>
      </w:r>
      <w:r w:rsidR="00B31F09">
        <w:t xml:space="preserve">include government taxes in their monthly </w:t>
      </w:r>
      <w:r w:rsidR="00AF7903">
        <w:t xml:space="preserve">base </w:t>
      </w:r>
      <w:r w:rsidR="00B31F09">
        <w:t xml:space="preserve">price may state on the label that government taxes are included. </w:t>
      </w:r>
    </w:p>
    <w:p w:rsidR="00A6600F" w:rsidP="00013911" w14:paraId="472F83E2" w14:textId="52942A8A">
      <w:pPr>
        <w:pStyle w:val="Heading2"/>
      </w:pPr>
      <w:r>
        <w:t xml:space="preserve">Identifying Additional </w:t>
      </w:r>
      <w:r w:rsidR="002E2DD2">
        <w:t xml:space="preserve">Monthly </w:t>
      </w:r>
      <w:r w:rsidR="000D26F2">
        <w:t xml:space="preserve">Provider </w:t>
      </w:r>
      <w:r>
        <w:t>Fees on Labels</w:t>
      </w:r>
    </w:p>
    <w:p w:rsidR="006D7143" w:rsidRPr="006D7143" w:rsidP="00515EDF" w14:paraId="2E584401" w14:textId="2B467676">
      <w:pPr>
        <w:pStyle w:val="ParaNum"/>
      </w:pPr>
      <w:r>
        <w:t xml:space="preserve">We </w:t>
      </w:r>
      <w:r w:rsidR="0018443B">
        <w:t xml:space="preserve">affirm that </w:t>
      </w:r>
      <w:r w:rsidR="00D50066">
        <w:t xml:space="preserve">providers </w:t>
      </w:r>
      <w:r w:rsidR="0018443B">
        <w:t xml:space="preserve">must itemize the fees they add to base monthly prices, including fees related to government programs they choose to “pass through” to consumers, such as fees related to universal service or regulatory fees.  We thus affirm </w:t>
      </w:r>
      <w:r w:rsidR="00DF2916">
        <w:t xml:space="preserve">that </w:t>
      </w:r>
      <w:r w:rsidR="0018443B">
        <w:t xml:space="preserve">consumers should know </w:t>
      </w:r>
      <w:r w:rsidR="00DF2916">
        <w:t xml:space="preserve">both </w:t>
      </w:r>
      <w:r w:rsidR="0018443B">
        <w:t xml:space="preserve">the total cost </w:t>
      </w:r>
      <w:r w:rsidR="00DF2916">
        <w:t>of service and what goes into that cost to both budget and comparison shop between plans and providers.  Clear i</w:t>
      </w:r>
      <w:r w:rsidRPr="315EF4E1" w:rsidR="00DF2916">
        <w:rPr>
          <w:rFonts w:eastAsia="Bitter-Regular"/>
          <w:snapToGrid/>
          <w:kern w:val="0"/>
        </w:rPr>
        <w:t>temiz</w:t>
      </w:r>
      <w:r w:rsidR="00DF2916">
        <w:rPr>
          <w:rFonts w:eastAsia="Bitter-Regular"/>
          <w:snapToGrid/>
          <w:kern w:val="0"/>
        </w:rPr>
        <w:t xml:space="preserve">ation of all fees – including those related to regulatory programs – is essential to </w:t>
      </w:r>
      <w:r w:rsidR="00B06682">
        <w:rPr>
          <w:rFonts w:eastAsia="Bitter-Regular"/>
          <w:snapToGrid/>
          <w:kern w:val="0"/>
        </w:rPr>
        <w:t>our</w:t>
      </w:r>
      <w:r w:rsidR="00DF2916">
        <w:rPr>
          <w:rFonts w:eastAsia="Bitter-Regular"/>
          <w:snapToGrid/>
          <w:kern w:val="0"/>
        </w:rPr>
        <w:t xml:space="preserve"> goal of empowering consumers to make good purchase decisions.</w:t>
      </w:r>
      <w:r>
        <w:rPr>
          <w:rStyle w:val="FootnoteReference"/>
          <w:rFonts w:eastAsia="Bitter-Regular"/>
          <w:snapToGrid/>
          <w:kern w:val="0"/>
        </w:rPr>
        <w:footnoteReference w:id="20"/>
      </w:r>
      <w:r w:rsidR="00DF2916">
        <w:rPr>
          <w:rFonts w:eastAsia="Bitter-Regular"/>
          <w:snapToGrid/>
          <w:kern w:val="0"/>
        </w:rPr>
        <w:t xml:space="preserve">  </w:t>
      </w:r>
      <w:r w:rsidRPr="00A048FF" w:rsidR="00DF2916">
        <w:rPr>
          <w:szCs w:val="22"/>
        </w:rPr>
        <w:t xml:space="preserve">  </w:t>
      </w:r>
      <w:r>
        <w:t xml:space="preserve">  </w:t>
      </w:r>
    </w:p>
    <w:p w:rsidR="009D2BF5" w:rsidP="00515EDF" w14:paraId="3E23B910" w14:textId="593B1D50">
      <w:pPr>
        <w:pStyle w:val="ParaNum"/>
      </w:pPr>
      <w:r>
        <w:t xml:space="preserve">We therefore reject </w:t>
      </w:r>
      <w:r w:rsidR="00F54D4B">
        <w:t>ACA</w:t>
      </w:r>
      <w:r w:rsidR="002E7F56">
        <w:t xml:space="preserve"> Connects et al.</w:t>
      </w:r>
      <w:r>
        <w:t>’s request that providers simply s</w:t>
      </w:r>
      <w:r w:rsidR="000925F6">
        <w:t>tate</w:t>
      </w:r>
      <w:r>
        <w:t xml:space="preserve"> on the label that </w:t>
      </w:r>
      <w:r w:rsidRPr="00C55857" w:rsidR="00F54D4B">
        <w:t>additional fees may apply and that these fees may vary depending on location</w:t>
      </w:r>
      <w:r w:rsidR="005E46BF">
        <w:t>.</w:t>
      </w:r>
      <w:r>
        <w:rPr>
          <w:rStyle w:val="FootnoteReference"/>
        </w:rPr>
        <w:footnoteReference w:id="21"/>
      </w:r>
      <w:r w:rsidR="005E46BF">
        <w:t xml:space="preserve">  </w:t>
      </w:r>
      <w:r w:rsidR="00DF2916">
        <w:t xml:space="preserve">We also reject their alternative proposal that providers </w:t>
      </w:r>
      <w:r w:rsidRPr="00C55857" w:rsidR="00F54D4B">
        <w:t xml:space="preserve">identify </w:t>
      </w:r>
      <w:r w:rsidR="00C700EE">
        <w:t>“generally the maximum dollar figure that could be passed through to the consumer per month, rather than requiring providers to itemize each and every fee</w:t>
      </w:r>
      <w:r w:rsidRPr="00C55857" w:rsidR="00F54D4B">
        <w:t>.</w:t>
      </w:r>
      <w:r w:rsidR="00E862FD">
        <w:t>”</w:t>
      </w:r>
      <w:r>
        <w:rPr>
          <w:rStyle w:val="FootnoteReference"/>
        </w:rPr>
        <w:footnoteReference w:id="22"/>
      </w:r>
      <w:r w:rsidRPr="00C55857" w:rsidR="00F54D4B">
        <w:t xml:space="preserve"> </w:t>
      </w:r>
      <w:r>
        <w:t>Neither would accomplish the Label goal of empowering good consumer decisions</w:t>
      </w:r>
      <w:r w:rsidR="007301D3">
        <w:t xml:space="preserve"> because they leave consumers unable to reliably predict </w:t>
      </w:r>
      <w:r w:rsidR="00397B1B">
        <w:t>the cost of particular plans for purposes of comparison shoppin</w:t>
      </w:r>
      <w:r w:rsidR="0012478A">
        <w:t>g.</w:t>
      </w:r>
      <w:r w:rsidR="00040B97">
        <w:t xml:space="preserve">  Providing </w:t>
      </w:r>
      <w:r w:rsidR="00353345">
        <w:t xml:space="preserve">specific fee amounts also accords with the approach reflected in </w:t>
      </w:r>
      <w:r w:rsidR="004C604D">
        <w:t xml:space="preserve">the </w:t>
      </w:r>
      <w:r w:rsidR="004C604D">
        <w:rPr>
          <w:i/>
          <w:iCs/>
        </w:rPr>
        <w:t xml:space="preserve">2016 Public Notice </w:t>
      </w:r>
      <w:r w:rsidR="004C604D">
        <w:t>that Congress directed the Commission to</w:t>
      </w:r>
      <w:r w:rsidR="00762C9C">
        <w:t xml:space="preserve"> consider in adopting the Label</w:t>
      </w:r>
      <w:r w:rsidR="00667A74">
        <w:t xml:space="preserve">, and we are not persuaded to depart from </w:t>
      </w:r>
      <w:r w:rsidR="00CC52FD">
        <w:t>that approach in this regard</w:t>
      </w:r>
      <w:r>
        <w:t>.</w:t>
      </w:r>
      <w:r>
        <w:rPr>
          <w:rStyle w:val="FootnoteReference"/>
        </w:rPr>
        <w:footnoteReference w:id="23"/>
      </w:r>
      <w:r>
        <w:t xml:space="preserve">  </w:t>
      </w:r>
    </w:p>
    <w:p w:rsidR="00F54D4B" w:rsidP="00515EDF" w14:paraId="3A7939B2" w14:textId="70BFDA12">
      <w:pPr>
        <w:pStyle w:val="ParaNum"/>
      </w:pPr>
      <w:r>
        <w:t xml:space="preserve">We also disagree that clear disclosure of these fees </w:t>
      </w:r>
      <w:r w:rsidR="008379E8">
        <w:t>“has the potential to cause significant confusion for consumers and add unnecessary complexity for providers”</w:t>
      </w:r>
      <w:r>
        <w:t xml:space="preserve"> due to the “</w:t>
      </w:r>
      <w:r w:rsidR="00C700EE">
        <w:t>huge variety and quantity of fees on broadband providers</w:t>
      </w:r>
      <w:r>
        <w:t>.</w:t>
      </w:r>
      <w:r w:rsidR="00C700EE">
        <w:t>”</w:t>
      </w:r>
      <w:r>
        <w:rPr>
          <w:rStyle w:val="FootnoteReference"/>
        </w:rPr>
        <w:footnoteReference w:id="24"/>
      </w:r>
      <w:r>
        <w:t xml:space="preserve">  Providers must itemize the fees on consumer bills</w:t>
      </w:r>
      <w:r w:rsidR="009E50E6">
        <w:t>,</w:t>
      </w:r>
      <w:r>
        <w:t xml:space="preserve"> and we see no reason why consumers cannot assess the fees at </w:t>
      </w:r>
      <w:r w:rsidR="009E50E6">
        <w:t xml:space="preserve">the </w:t>
      </w:r>
      <w:r>
        <w:t>point-of-sale any less than they can when they receive a bill.  Providers are free, of course, to not pass these fees through to consumers to differentiate their pricing and simplify their Label display if they believe it will make their service more attractive to consumers</w:t>
      </w:r>
      <w:r w:rsidR="000C2E17">
        <w:t xml:space="preserve"> and ensure that consumers are not surprised by unexpected charges.</w:t>
      </w:r>
      <w:r>
        <w:t xml:space="preserve">      </w:t>
      </w:r>
    </w:p>
    <w:p w:rsidR="00631831" w:rsidP="00515EDF" w14:paraId="09EB909D" w14:textId="38F9010D">
      <w:pPr>
        <w:pStyle w:val="ParaNum"/>
      </w:pPr>
      <w:r>
        <w:t>Further, w</w:t>
      </w:r>
      <w:r w:rsidR="007933CB">
        <w:t xml:space="preserve">e are not persuaded that </w:t>
      </w:r>
      <w:r w:rsidR="00160BCA">
        <w:t xml:space="preserve">it will be burdensome for </w:t>
      </w:r>
      <w:r w:rsidR="007F641A">
        <w:t>ISPs</w:t>
      </w:r>
      <w:r w:rsidR="00160BCA">
        <w:t xml:space="preserve"> to</w:t>
      </w:r>
      <w:r w:rsidR="007B69D9">
        <w:t xml:space="preserve"> itemize</w:t>
      </w:r>
      <w:r w:rsidR="001C5174">
        <w:t xml:space="preserve"> on the label those</w:t>
      </w:r>
      <w:r w:rsidR="007B69D9">
        <w:t xml:space="preserve"> fees th</w:t>
      </w:r>
      <w:r w:rsidR="009E50E6">
        <w:t>ey</w:t>
      </w:r>
      <w:r w:rsidRPr="00C26666" w:rsidR="007B69D9">
        <w:t xml:space="preserve"> </w:t>
      </w:r>
      <w:r w:rsidRPr="00C26666" w:rsidR="007B69D9">
        <w:rPr>
          <w:i/>
          <w:iCs/>
        </w:rPr>
        <w:t>opt</w:t>
      </w:r>
      <w:r w:rsidR="007B69D9">
        <w:t xml:space="preserve"> to pass along to consumers</w:t>
      </w:r>
      <w:r w:rsidR="001C5174">
        <w:t xml:space="preserve"> above the monthly price</w:t>
      </w:r>
      <w:r w:rsidR="007B69D9">
        <w:t xml:space="preserve">, particularly since </w:t>
      </w:r>
      <w:r w:rsidR="00160BCA">
        <w:t xml:space="preserve">providers </w:t>
      </w:r>
      <w:r w:rsidR="007B69D9">
        <w:t xml:space="preserve">acknowledge being able to </w:t>
      </w:r>
      <w:r w:rsidR="007933CB">
        <w:t xml:space="preserve">describe such fees to </w:t>
      </w:r>
      <w:r w:rsidR="001C5174">
        <w:t>a</w:t>
      </w:r>
      <w:r w:rsidR="007933CB">
        <w:t xml:space="preserve"> consumer over the phone and on </w:t>
      </w:r>
      <w:r w:rsidR="001C5174">
        <w:t>a</w:t>
      </w:r>
      <w:r w:rsidR="007933CB">
        <w:t xml:space="preserve"> consumer’s bill once </w:t>
      </w:r>
      <w:r w:rsidR="00940176">
        <w:t>the consumer</w:t>
      </w:r>
      <w:r w:rsidR="007933CB">
        <w:t xml:space="preserve"> subscribe</w:t>
      </w:r>
      <w:r w:rsidR="001C5174">
        <w:t>s</w:t>
      </w:r>
      <w:r w:rsidR="007933CB">
        <w:t xml:space="preserve"> to service</w:t>
      </w:r>
      <w:r w:rsidR="007B69D9">
        <w:t>.</w:t>
      </w:r>
      <w:r>
        <w:rPr>
          <w:rStyle w:val="FootnoteReference"/>
        </w:rPr>
        <w:footnoteReference w:id="25"/>
      </w:r>
      <w:r w:rsidR="007B69D9">
        <w:t xml:space="preserve">  </w:t>
      </w:r>
      <w:r w:rsidR="00A17295">
        <w:t xml:space="preserve">We also </w:t>
      </w:r>
      <w:r w:rsidR="001C5174">
        <w:t>find that</w:t>
      </w:r>
      <w:r w:rsidR="00160BCA">
        <w:t xml:space="preserve"> any </w:t>
      </w:r>
      <w:r w:rsidR="001C5174">
        <w:t xml:space="preserve">such </w:t>
      </w:r>
      <w:r w:rsidR="00160BCA">
        <w:t>burdens are far outweighed by the benefits to consumers</w:t>
      </w:r>
      <w:r w:rsidR="00440B3E">
        <w:t xml:space="preserve"> when they are shopping for service</w:t>
      </w:r>
      <w:r w:rsidR="00160BCA">
        <w:t xml:space="preserve">.  </w:t>
      </w:r>
      <w:r>
        <w:t>And, a</w:t>
      </w:r>
      <w:r w:rsidR="009315B4">
        <w:t>s emphasized below</w:t>
      </w:r>
      <w:r w:rsidR="007F641A">
        <w:t xml:space="preserve">, ISPs could </w:t>
      </w:r>
      <w:r w:rsidR="00920D7B">
        <w:t>alternatively</w:t>
      </w:r>
      <w:r w:rsidR="007F641A">
        <w:t xml:space="preserve"> roll such discretionary fees into the base monthly price, thereby eliminating the need to itemize them on the label.</w:t>
      </w:r>
      <w:r>
        <w:rPr>
          <w:rStyle w:val="FootnoteReference"/>
        </w:rPr>
        <w:footnoteReference w:id="26"/>
      </w:r>
      <w:r w:rsidR="007B69D9">
        <w:t xml:space="preserve">  </w:t>
      </w:r>
      <w:r w:rsidR="00075BF4">
        <w:t xml:space="preserve">  </w:t>
      </w:r>
    </w:p>
    <w:p w:rsidR="004660AB" w:rsidP="00515EDF" w14:paraId="3C3A6B05" w14:textId="62A3979D">
      <w:pPr>
        <w:pStyle w:val="ParaNum"/>
      </w:pPr>
      <w:r>
        <w:t xml:space="preserve">Moreover, we </w:t>
      </w:r>
      <w:r w:rsidR="0035275B">
        <w:t>are not persuaded</w:t>
      </w:r>
      <w:r>
        <w:t xml:space="preserve"> that </w:t>
      </w:r>
      <w:r w:rsidR="0035275B">
        <w:t xml:space="preserve">a </w:t>
      </w:r>
      <w:r w:rsidR="001C5174">
        <w:t xml:space="preserve">provider will be forced to </w:t>
      </w:r>
      <w:r>
        <w:t>list</w:t>
      </w:r>
      <w:r w:rsidR="0035275B">
        <w:t xml:space="preserve"> on the label</w:t>
      </w:r>
      <w:r>
        <w:t xml:space="preserve"> “potentially hundreds of fees for all jurisdictions in its footprint</w:t>
      </w:r>
      <w:r w:rsidR="0035275B">
        <w:t>,” when only a subset of fees listed would</w:t>
      </w:r>
      <w:r w:rsidR="00EF4852">
        <w:t xml:space="preserve"> </w:t>
      </w:r>
      <w:r w:rsidR="0035275B">
        <w:t>actually apply to an individual customer.</w:t>
      </w:r>
      <w:r>
        <w:rPr>
          <w:rStyle w:val="FootnoteReference"/>
        </w:rPr>
        <w:footnoteReference w:id="27"/>
      </w:r>
      <w:r w:rsidR="0035275B">
        <w:t xml:space="preserve">  We </w:t>
      </w:r>
      <w:r w:rsidR="00475B5B">
        <w:t xml:space="preserve">do </w:t>
      </w:r>
      <w:r w:rsidR="0035275B">
        <w:t xml:space="preserve">agree, however, that </w:t>
      </w:r>
      <w:r w:rsidR="00475B5B">
        <w:t>such a practice</w:t>
      </w:r>
      <w:r w:rsidR="0035275B">
        <w:t xml:space="preserve"> </w:t>
      </w:r>
      <w:r>
        <w:t>w</w:t>
      </w:r>
      <w:r w:rsidR="0093289C">
        <w:t>ould</w:t>
      </w:r>
      <w:r>
        <w:t xml:space="preserve"> </w:t>
      </w:r>
      <w:r w:rsidR="0093289C">
        <w:t>“</w:t>
      </w:r>
      <w:r>
        <w:t>make the labels very lengthy and unwieldy, diminishing their utility to consumers and undermining their purpose.”</w:t>
      </w:r>
      <w:r>
        <w:rPr>
          <w:rStyle w:val="FootnoteReference"/>
        </w:rPr>
        <w:footnoteReference w:id="28"/>
      </w:r>
      <w:r>
        <w:t xml:space="preserve">  </w:t>
      </w:r>
      <w:r w:rsidR="003050A6">
        <w:t>We</w:t>
      </w:r>
      <w:r w:rsidR="003B005E">
        <w:t xml:space="preserve">, therefore, </w:t>
      </w:r>
      <w:r w:rsidR="003050A6">
        <w:t>reiterate</w:t>
      </w:r>
      <w:r w:rsidR="003B005E">
        <w:t xml:space="preserve"> </w:t>
      </w:r>
      <w:r w:rsidR="003050A6">
        <w:t xml:space="preserve">that </w:t>
      </w:r>
      <w:r w:rsidR="00631831">
        <w:t>labels must be accurate</w:t>
      </w:r>
      <w:r w:rsidR="00FD7DD4">
        <w:t xml:space="preserve"> based on the consumer</w:t>
      </w:r>
      <w:r w:rsidR="00EF4852">
        <w:t>’s location</w:t>
      </w:r>
      <w:r w:rsidR="002D2836">
        <w:t xml:space="preserve">.  </w:t>
      </w:r>
      <w:r w:rsidR="0035275B">
        <w:t>Identifying</w:t>
      </w:r>
      <w:r w:rsidR="00631831">
        <w:t xml:space="preserve"> fees that do not apply to a consumer in a particular geographic location would</w:t>
      </w:r>
      <w:r w:rsidR="002D2836">
        <w:t xml:space="preserve"> effectively render comparison shopping impossibl</w:t>
      </w:r>
      <w:r w:rsidR="00F6521E">
        <w:t>e—a primary purpose of the label</w:t>
      </w:r>
      <w:r w:rsidR="002A18E6">
        <w:t>.  And burying the fees that do apply</w:t>
      </w:r>
      <w:r w:rsidR="009104CB">
        <w:t xml:space="preserve"> on a lengthy list of those that do not risks displaying a label that is simply inaccurate</w:t>
      </w:r>
      <w:r w:rsidR="002D2836">
        <w:t xml:space="preserve">. </w:t>
      </w:r>
      <w:r>
        <w:t xml:space="preserve"> Thus, we find that listing fees on the label that are irrelevant to a particular consumer shopping for broadband service is inconsistent with the goals of the Infrastructure Act. </w:t>
      </w:r>
      <w:r w:rsidR="002D2836">
        <w:t xml:space="preserve"> </w:t>
      </w:r>
    </w:p>
    <w:p w:rsidR="00526C31" w:rsidP="00515EDF" w14:paraId="1349D0E6" w14:textId="67DE6322">
      <w:pPr>
        <w:pStyle w:val="ParaNum"/>
      </w:pPr>
      <w:r>
        <w:t>Finally, we</w:t>
      </w:r>
      <w:r>
        <w:t xml:space="preserve"> disagree</w:t>
      </w:r>
      <w:r w:rsidR="001E499E">
        <w:t>, for the reasons above,</w:t>
      </w:r>
      <w:r>
        <w:t xml:space="preserve"> </w:t>
      </w:r>
      <w:r w:rsidR="00C63ACD">
        <w:t xml:space="preserve">that </w:t>
      </w:r>
      <w:r w:rsidR="004660AB">
        <w:t xml:space="preserve">identifying </w:t>
      </w:r>
      <w:r>
        <w:t xml:space="preserve">the maximum out-of-pocket </w:t>
      </w:r>
      <w:r w:rsidR="00F6521E">
        <w:t>fees</w:t>
      </w:r>
      <w:r>
        <w:t xml:space="preserve"> </w:t>
      </w:r>
      <w:r w:rsidR="004660AB">
        <w:t>a prospective customer</w:t>
      </w:r>
      <w:r>
        <w:t xml:space="preserve"> may be responsible for if </w:t>
      </w:r>
      <w:r w:rsidR="004660AB">
        <w:t>they</w:t>
      </w:r>
      <w:r>
        <w:t xml:space="preserve"> subscribe to the servi</w:t>
      </w:r>
      <w:r w:rsidR="001C5174">
        <w:t>ce</w:t>
      </w:r>
      <w:r w:rsidR="00C63ACD">
        <w:t xml:space="preserve"> </w:t>
      </w:r>
      <w:r w:rsidR="001E499E">
        <w:t>“</w:t>
      </w:r>
      <w:r>
        <w:t>give</w:t>
      </w:r>
      <w:r w:rsidR="00C63ACD">
        <w:t>s</w:t>
      </w:r>
      <w:r>
        <w:t xml:space="preserve"> the customer critical information about the service they are considering in a much more efficient and effective manner than attempting to itemize fees on a jurisdiction-specific basis.”</w:t>
      </w:r>
      <w:r>
        <w:rPr>
          <w:rStyle w:val="FootnoteReference"/>
        </w:rPr>
        <w:footnoteReference w:id="29"/>
      </w:r>
      <w:r>
        <w:t xml:space="preserve">  We believe that identifying a maximum dollar figure that a customer would pay in additional provider fees per month does not sufficiently disclose to consumers what they will be charged for and how those fees compare to another provider’s service offerings.</w:t>
      </w:r>
    </w:p>
    <w:p w:rsidR="00F54D4B" w:rsidP="00515EDF" w14:paraId="06BB66E3" w14:textId="255869E0">
      <w:pPr>
        <w:pStyle w:val="ParaNum"/>
      </w:pPr>
      <w:r>
        <w:t xml:space="preserve">We also </w:t>
      </w:r>
      <w:r w:rsidR="001C5174">
        <w:t>emphasize</w:t>
      </w:r>
      <w:r>
        <w:t xml:space="preserve">, however, that if the provider does not </w:t>
      </w:r>
      <w:r w:rsidR="00D90562">
        <w:t>impose</w:t>
      </w:r>
      <w:r>
        <w:t xml:space="preserve"> </w:t>
      </w:r>
      <w:r w:rsidR="001C5174">
        <w:t>additional</w:t>
      </w:r>
      <w:r>
        <w:t xml:space="preserve"> </w:t>
      </w:r>
      <w:r w:rsidR="001C5174">
        <w:t xml:space="preserve">discretionary </w:t>
      </w:r>
      <w:r>
        <w:t xml:space="preserve">fees </w:t>
      </w:r>
      <w:r w:rsidR="00D90562">
        <w:t>on top of</w:t>
      </w:r>
      <w:r>
        <w:t xml:space="preserve"> the base monthly price, </w:t>
      </w:r>
      <w:r w:rsidR="001C5174">
        <w:t xml:space="preserve">but instead incorporates them into the monthly price, </w:t>
      </w:r>
      <w:r>
        <w:t>t</w:t>
      </w:r>
      <w:r w:rsidR="00CB1623">
        <w:t>he provider</w:t>
      </w:r>
      <w:r>
        <w:t xml:space="preserve"> can state “None” on the label template.</w:t>
      </w:r>
      <w:r>
        <w:rPr>
          <w:rStyle w:val="FootnoteReference"/>
        </w:rPr>
        <w:footnoteReference w:id="30"/>
      </w:r>
    </w:p>
    <w:p w:rsidR="00D878FA" w:rsidP="00013911" w14:paraId="2BEE983A" w14:textId="6DD93CCA">
      <w:pPr>
        <w:pStyle w:val="Heading2"/>
      </w:pPr>
      <w:r>
        <w:t>Describing Data Allowances on Labels</w:t>
      </w:r>
    </w:p>
    <w:p w:rsidR="006103B6" w:rsidP="00515EDF" w14:paraId="3A0A49C8" w14:textId="33530986">
      <w:pPr>
        <w:pStyle w:val="ParaNum"/>
      </w:pPr>
      <w:r>
        <w:t xml:space="preserve">We </w:t>
      </w:r>
      <w:r>
        <w:t>affirm that providers should keep their description</w:t>
      </w:r>
      <w:r w:rsidR="0019157B">
        <w:t>s</w:t>
      </w:r>
      <w:r>
        <w:t xml:space="preserve"> of any data allowances simple on the Label and should only describe </w:t>
      </w:r>
      <w:r w:rsidR="00543AB4">
        <w:t xml:space="preserve">data allowance </w:t>
      </w:r>
      <w:r>
        <w:t>details in their more complete service description</w:t>
      </w:r>
      <w:r w:rsidR="0019157B">
        <w:t>s in their advertising materials and on websites</w:t>
      </w:r>
      <w:r>
        <w:t xml:space="preserve">.  Our conclusion supports a main goal of the Label, to require providers to simply, clearly, and consistently describe their services to enable consumers to comparison shop.  </w:t>
      </w:r>
    </w:p>
    <w:p w:rsidR="00D878FA" w:rsidRPr="00293B44" w:rsidP="00515EDF" w14:paraId="7B52A862" w14:textId="2759C87C">
      <w:pPr>
        <w:pStyle w:val="ParaNum"/>
      </w:pPr>
      <w:r>
        <w:t>We therefor</w:t>
      </w:r>
      <w:r w:rsidR="00403920">
        <w:t>e</w:t>
      </w:r>
      <w:r>
        <w:t xml:space="preserve"> </w:t>
      </w:r>
      <w:r>
        <w:t xml:space="preserve">deny CTIA’s request that wireless providers </w:t>
      </w:r>
      <w:r>
        <w:t xml:space="preserve">be able to use multiple lines of </w:t>
      </w:r>
      <w:r w:rsidR="00461C85">
        <w:t xml:space="preserve">data allowance </w:t>
      </w:r>
      <w:r>
        <w:t>description</w:t>
      </w:r>
      <w:r w:rsidR="0019157B">
        <w:t>s</w:t>
      </w:r>
      <w:r>
        <w:t xml:space="preserve"> on the Label.</w:t>
      </w:r>
      <w:r>
        <w:rPr>
          <w:rStyle w:val="FootnoteReference"/>
        </w:rPr>
        <w:footnoteReference w:id="31"/>
      </w:r>
      <w:r>
        <w:t xml:space="preserve">  CTIA states that wireless providers offer consumers data allowance options that differ from those offered by wireline providers and that </w:t>
      </w:r>
      <w:r w:rsidR="00E62493">
        <w:t xml:space="preserve">such data allowance </w:t>
      </w:r>
      <w:r w:rsidR="00E62493">
        <w:t xml:space="preserve">options </w:t>
      </w:r>
      <w:r>
        <w:t>may vary between handsets and hotspots.</w:t>
      </w:r>
      <w:r>
        <w:rPr>
          <w:rStyle w:val="FootnoteReference"/>
        </w:rPr>
        <w:footnoteReference w:id="32"/>
      </w:r>
      <w:r>
        <w:t xml:space="preserve">  We agree that consumers may want to see these details before purchase, but believe consumers are best serv</w:t>
      </w:r>
      <w:r w:rsidR="000030F0">
        <w:t xml:space="preserve">ed </w:t>
      </w:r>
      <w:r>
        <w:t>by a high-level description of data allowances on the Label, and that allowing providers to clutter the Label wi</w:t>
      </w:r>
      <w:r w:rsidR="000030F0">
        <w:t>th</w:t>
      </w:r>
      <w:r>
        <w:t xml:space="preserve"> detail </w:t>
      </w:r>
      <w:r w:rsidR="006E7EA0">
        <w:t>about</w:t>
      </w:r>
      <w:r>
        <w:t xml:space="preserve"> those allowances would undermine its simplicity and utility.  </w:t>
      </w:r>
    </w:p>
    <w:p w:rsidR="00D878FA" w:rsidP="00515EDF" w14:paraId="2D12A419" w14:textId="623CFB42">
      <w:pPr>
        <w:pStyle w:val="ParaNum"/>
        <w:rPr>
          <w:szCs w:val="22"/>
        </w:rPr>
      </w:pPr>
      <w:r>
        <w:t xml:space="preserve">Our conclusion is consistent with </w:t>
      </w:r>
      <w:r>
        <w:t xml:space="preserve">the </w:t>
      </w:r>
      <w:r w:rsidRPr="00293B44">
        <w:rPr>
          <w:i/>
          <w:iCs/>
        </w:rPr>
        <w:t>Broadband Label Order</w:t>
      </w:r>
      <w:r>
        <w:t xml:space="preserve">, </w:t>
      </w:r>
      <w:r>
        <w:t xml:space="preserve">where </w:t>
      </w:r>
      <w:r w:rsidR="00D830F6">
        <w:t>we</w:t>
      </w:r>
      <w:r>
        <w:t xml:space="preserve"> required providers to identify the amount of data included with the monthly price in the label template.</w:t>
      </w:r>
      <w:r>
        <w:rPr>
          <w:rStyle w:val="FootnoteReference"/>
        </w:rPr>
        <w:footnoteReference w:id="33"/>
      </w:r>
      <w:r>
        <w:t xml:space="preserve">  </w:t>
      </w:r>
      <w:r>
        <w:t>W</w:t>
      </w:r>
      <w:r w:rsidR="00D830F6">
        <w:t>e</w:t>
      </w:r>
      <w:r>
        <w:t xml:space="preserve"> explained that </w:t>
      </w:r>
      <w:r w:rsidRPr="1E003BC0">
        <w:t>providers must disclose</w:t>
      </w:r>
      <w:r w:rsidRPr="00A048FF">
        <w:rPr>
          <w:szCs w:val="22"/>
        </w:rPr>
        <w:t xml:space="preserve"> </w:t>
      </w:r>
      <w:r w:rsidRPr="1E003BC0">
        <w:t>any charges or reductions in service for any data used in excess of the amount included in the plan.</w:t>
      </w:r>
      <w:r>
        <w:rPr>
          <w:rStyle w:val="FootnoteReference"/>
        </w:rPr>
        <w:footnoteReference w:id="34"/>
      </w:r>
      <w:r w:rsidRPr="1E003BC0">
        <w:t xml:space="preserve">  </w:t>
      </w:r>
      <w:r>
        <w:t>We also concluded that providers</w:t>
      </w:r>
      <w:r w:rsidRPr="1E003BC0">
        <w:t xml:space="preserve"> must </w:t>
      </w:r>
      <w:r w:rsidRPr="1E003BC0">
        <w:rPr>
          <w:rFonts w:eastAsia="Calibri"/>
        </w:rPr>
        <w:t>identify the increment of additional data, e.g., “each additional 50GB,”</w:t>
      </w:r>
      <w:r w:rsidRPr="1E003BC0">
        <w:t xml:space="preserve"> if applicable, and disclose</w:t>
      </w:r>
      <w:r w:rsidRPr="00A048FF">
        <w:rPr>
          <w:iCs/>
          <w:szCs w:val="22"/>
        </w:rPr>
        <w:t xml:space="preserve"> </w:t>
      </w:r>
      <w:r w:rsidRPr="1E003BC0">
        <w:t>any additional charges once the consumer exceeds the monthly data allowance.</w:t>
      </w:r>
      <w:r>
        <w:rPr>
          <w:rStyle w:val="FootnoteReference"/>
        </w:rPr>
        <w:footnoteReference w:id="35"/>
      </w:r>
      <w:r w:rsidRPr="00A048FF">
        <w:rPr>
          <w:iCs/>
          <w:szCs w:val="22"/>
        </w:rPr>
        <w:t xml:space="preserve">  </w:t>
      </w:r>
      <w:r w:rsidR="00E62493">
        <w:rPr>
          <w:iCs/>
          <w:szCs w:val="22"/>
        </w:rPr>
        <w:t xml:space="preserve">We clarify </w:t>
      </w:r>
      <w:r w:rsidR="00A3453B">
        <w:rPr>
          <w:iCs/>
          <w:szCs w:val="22"/>
        </w:rPr>
        <w:t xml:space="preserve">here </w:t>
      </w:r>
      <w:r w:rsidR="00E62493">
        <w:rPr>
          <w:iCs/>
          <w:szCs w:val="22"/>
        </w:rPr>
        <w:t xml:space="preserve">that the increment of additional data and the additional charges should be associated with the data tier of the data cap on the label.  </w:t>
      </w:r>
      <w:r w:rsidRPr="00650795">
        <w:t xml:space="preserve">We </w:t>
      </w:r>
      <w:r w:rsidR="00A3453B">
        <w:t xml:space="preserve">further </w:t>
      </w:r>
      <w:r w:rsidR="006E7EA0">
        <w:t>stated that</w:t>
      </w:r>
      <w:r>
        <w:t xml:space="preserve"> </w:t>
      </w:r>
      <w:r w:rsidRPr="1E003BC0">
        <w:rPr>
          <w:rFonts w:eastAsia="ArialMT"/>
          <w:snapToGrid/>
          <w:kern w:val="0"/>
        </w:rPr>
        <w:t xml:space="preserve">limits on data usage </w:t>
      </w:r>
      <w:r>
        <w:rPr>
          <w:rFonts w:eastAsia="ArialMT"/>
          <w:snapToGrid/>
          <w:kern w:val="0"/>
        </w:rPr>
        <w:t>are</w:t>
      </w:r>
      <w:r w:rsidRPr="1E003BC0">
        <w:rPr>
          <w:rFonts w:eastAsia="ArialMT"/>
          <w:snapToGrid/>
          <w:kern w:val="0"/>
        </w:rPr>
        <w:t xml:space="preserve"> critical</w:t>
      </w:r>
      <w:r>
        <w:rPr>
          <w:rFonts w:eastAsia="ArialMT"/>
          <w:snapToGrid/>
          <w:kern w:val="0"/>
        </w:rPr>
        <w:t xml:space="preserve"> pieces of</w:t>
      </w:r>
      <w:r w:rsidRPr="1E003BC0">
        <w:rPr>
          <w:rFonts w:eastAsia="ArialMT"/>
          <w:snapToGrid/>
          <w:kern w:val="0"/>
        </w:rPr>
        <w:t xml:space="preserve"> information for consumers, along with any additional charges the provider may assess once a consumer exceeds such a cap.</w:t>
      </w:r>
      <w:r>
        <w:rPr>
          <w:rStyle w:val="FootnoteReference"/>
          <w:rFonts w:eastAsia="ArialMT"/>
          <w:snapToGrid/>
          <w:kern w:val="0"/>
        </w:rPr>
        <w:footnoteReference w:id="36"/>
      </w:r>
      <w:r w:rsidRPr="1E003BC0">
        <w:rPr>
          <w:rFonts w:eastAsia="ArialMT"/>
          <w:snapToGrid/>
          <w:kern w:val="0"/>
        </w:rPr>
        <w:t xml:space="preserve">  </w:t>
      </w:r>
      <w:r>
        <w:rPr>
          <w:rFonts w:eastAsia="ArialMT"/>
          <w:snapToGrid/>
          <w:kern w:val="0"/>
        </w:rPr>
        <w:t xml:space="preserve">But </w:t>
      </w:r>
      <w:r>
        <w:rPr>
          <w:rFonts w:eastAsia="ArialMT"/>
          <w:snapToGrid/>
          <w:kern w:val="0"/>
          <w:szCs w:val="22"/>
        </w:rPr>
        <w:t xml:space="preserve">we emphasized that </w:t>
      </w:r>
      <w:r w:rsidRPr="00293B44">
        <w:rPr>
          <w:szCs w:val="22"/>
        </w:rPr>
        <w:t>it is important to keep the label information as simple as possible for consumers and to require providers to comply by including links to their websites for more detailed information about data allowances.</w:t>
      </w:r>
      <w:r>
        <w:rPr>
          <w:rStyle w:val="FootnoteReference"/>
          <w:sz w:val="22"/>
          <w:szCs w:val="22"/>
        </w:rPr>
        <w:footnoteReference w:id="37"/>
      </w:r>
      <w:r>
        <w:rPr>
          <w:szCs w:val="22"/>
        </w:rPr>
        <w:t xml:space="preserve">  </w:t>
      </w:r>
    </w:p>
    <w:p w:rsidR="00D878FA" w:rsidP="00515EDF" w14:paraId="0352D076" w14:textId="276CE651">
      <w:pPr>
        <w:pStyle w:val="ParaNum"/>
      </w:pPr>
      <w:r>
        <w:t>Finally, w</w:t>
      </w:r>
      <w:r>
        <w:t xml:space="preserve">e disagree with commenters that suggest </w:t>
      </w:r>
      <w:r w:rsidRPr="00974A8D">
        <w:t xml:space="preserve">that </w:t>
      </w:r>
      <w:r>
        <w:t>w</w:t>
      </w:r>
      <w:r w:rsidRPr="00974A8D">
        <w:t xml:space="preserve">ireless providers </w:t>
      </w:r>
      <w:r>
        <w:t>will have</w:t>
      </w:r>
      <w:r w:rsidRPr="00974A8D">
        <w:t xml:space="preserve"> to modify or otherwise limit their competitive service offerings to fit </w:t>
      </w:r>
      <w:r>
        <w:t>the</w:t>
      </w:r>
      <w:r w:rsidRPr="00974A8D">
        <w:t xml:space="preserve"> label framework</w:t>
      </w:r>
      <w:r>
        <w:t>.</w:t>
      </w:r>
      <w:r>
        <w:rPr>
          <w:rStyle w:val="FootnoteReference"/>
        </w:rPr>
        <w:footnoteReference w:id="38"/>
      </w:r>
      <w:r>
        <w:t xml:space="preserve">  Instead, we reiterate that, if providers wish to provide more detailed information about their data allowances, including different allowances for handsets and hotspots, they may do so through links to their websites.</w:t>
      </w:r>
      <w:r>
        <w:rPr>
          <w:rStyle w:val="FootnoteReference"/>
          <w:szCs w:val="22"/>
        </w:rPr>
        <w:footnoteReference w:id="39"/>
      </w:r>
      <w:r w:rsidR="00B11003">
        <w:t xml:space="preserve"> We also conclude that the link must be included in the “Data Included with Monthly Price” section of the label such that “Data Included” would appear as a hyperlink to more information on the provider’s website regarding its data allowance options.  </w:t>
      </w:r>
    </w:p>
    <w:p w:rsidR="00D878FA" w:rsidP="00013911" w14:paraId="6D07BE7E" w14:textId="3A6D0F9E">
      <w:pPr>
        <w:pStyle w:val="Heading2"/>
      </w:pPr>
      <w:r>
        <w:t>Labels for E-Rate and Rural Health</w:t>
      </w:r>
      <w:r w:rsidR="00267110">
        <w:t xml:space="preserve"> C</w:t>
      </w:r>
      <w:r>
        <w:t>are (RHC) Programs</w:t>
      </w:r>
    </w:p>
    <w:p w:rsidR="00D878FA" w:rsidP="00013911" w14:paraId="5D23E73A" w14:textId="77777777">
      <w:pPr>
        <w:pStyle w:val="ParaNum"/>
        <w:widowControl/>
      </w:pPr>
      <w:r>
        <w:t xml:space="preserve">We grant the Cincinnati Bell Joint Petition and affirm our determination in the </w:t>
      </w:r>
      <w:r w:rsidRPr="001E0402">
        <w:rPr>
          <w:i/>
          <w:iCs/>
        </w:rPr>
        <w:t>Broadband Label Order</w:t>
      </w:r>
      <w:r>
        <w:t xml:space="preserve"> </w:t>
      </w:r>
      <w:r w:rsidRPr="006F7D28">
        <w:t xml:space="preserve">that “enterprise service offerings or special access services are not </w:t>
      </w:r>
      <w:r>
        <w:t>‘</w:t>
      </w:r>
      <w:r w:rsidRPr="006F7D28">
        <w:t>mass-market retail services,</w:t>
      </w:r>
      <w:r>
        <w:t>’</w:t>
      </w:r>
      <w:r w:rsidRPr="006F7D28">
        <w:t xml:space="preserve"> and therefore, not covered by our label requirement</w:t>
      </w:r>
      <w:r>
        <w:t>.</w:t>
      </w:r>
      <w:r w:rsidRPr="006F7D28">
        <w:t>”</w:t>
      </w:r>
      <w:r>
        <w:rPr>
          <w:rStyle w:val="FootnoteReference"/>
        </w:rPr>
        <w:footnoteReference w:id="40"/>
      </w:r>
      <w:r>
        <w:t xml:space="preserve">  As explained in the order, </w:t>
      </w:r>
      <w:r w:rsidRPr="315EF4E1">
        <w:t xml:space="preserve">the </w:t>
      </w:r>
      <w:r w:rsidRPr="00A048FF">
        <w:t>Infrastructure Act</w:t>
      </w:r>
      <w:r>
        <w:t xml:space="preserve"> </w:t>
      </w:r>
      <w:r w:rsidRPr="00A048FF">
        <w:t>require</w:t>
      </w:r>
      <w:r>
        <w:t>s</w:t>
      </w:r>
      <w:r w:rsidRPr="00A048FF">
        <w:t xml:space="preserve"> </w:t>
      </w:r>
      <w:r>
        <w:t xml:space="preserve">the display of labels for </w:t>
      </w:r>
      <w:r w:rsidRPr="315EF4E1">
        <w:t>“broadband Internet access service plans</w:t>
      </w:r>
      <w:r>
        <w:t>.</w:t>
      </w:r>
      <w:r>
        <w:rPr>
          <w:szCs w:val="22"/>
        </w:rPr>
        <w:t>”  B</w:t>
      </w:r>
      <w:r w:rsidRPr="00A048FF">
        <w:t xml:space="preserve">roadband Internet access service </w:t>
      </w:r>
      <w:r>
        <w:t xml:space="preserve">is currently defined in section 8.1(b) of our rules as </w:t>
      </w:r>
      <w:r w:rsidRPr="00A048FF">
        <w:t>“a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Pr>
          <w:rStyle w:val="FootnoteReference"/>
        </w:rPr>
        <w:footnoteReference w:id="41"/>
      </w:r>
      <w:r w:rsidRPr="00A048FF">
        <w:t xml:space="preserve"> </w:t>
      </w:r>
      <w:r>
        <w:t xml:space="preserve"> We confirmed in the order </w:t>
      </w:r>
      <w:r w:rsidRPr="00A048FF">
        <w:t>that “mass</w:t>
      </w:r>
      <w:r>
        <w:t>-</w:t>
      </w:r>
      <w:r w:rsidRPr="00A048FF">
        <w:t>market retail services” do not include enterprise service offerings or special access services, which are typically offered to larger organizations through customized or individually negotiated arrangements</w:t>
      </w:r>
      <w:r>
        <w:t xml:space="preserve">, </w:t>
      </w:r>
      <w:r>
        <w:t>and that such services are not covered by the label disclosure requirements.</w:t>
      </w:r>
      <w:r>
        <w:rPr>
          <w:rStyle w:val="FootnoteReference"/>
        </w:rPr>
        <w:footnoteReference w:id="42"/>
      </w:r>
    </w:p>
    <w:p w:rsidR="00D878FA" w:rsidP="00515EDF" w14:paraId="456A74DC" w14:textId="3B5B1563">
      <w:pPr>
        <w:pStyle w:val="ParaNum"/>
      </w:pPr>
      <w:r>
        <w:t xml:space="preserve">Based on the petition and commenters’ filings, we recognize that footnote 36 of the </w:t>
      </w:r>
      <w:r w:rsidR="00B31BCA">
        <w:t>o</w:t>
      </w:r>
      <w:r>
        <w:t>rder, which stated that “we require E-Rate and RHC providers to provide a label along with any competitive bids submitted pursuant to the E-Rate or RHC competitive bidding processes, whether or not such provider defines their offered service as an ‘enterprise’ service,” may have resulted in some confusion.</w:t>
      </w:r>
      <w:r>
        <w:rPr>
          <w:rStyle w:val="FootnoteReference"/>
        </w:rPr>
        <w:footnoteReference w:id="43"/>
      </w:r>
      <w:r>
        <w:t xml:space="preserve">  </w:t>
      </w:r>
      <w:r w:rsidRPr="003F097D" w:rsidR="00A10B1E">
        <w:t>We agree that, to the extent that broadband label requirements</w:t>
      </w:r>
      <w:r w:rsidRPr="003F097D" w:rsidR="00E7210E">
        <w:t xml:space="preserve"> generally exclude </w:t>
      </w:r>
      <w:r w:rsidRPr="003F097D" w:rsidR="00AB3340">
        <w:t>enterprise</w:t>
      </w:r>
      <w:r w:rsidRPr="003F097D" w:rsidR="0017362A">
        <w:t>/special acce</w:t>
      </w:r>
      <w:r w:rsidRPr="003F097D" w:rsidR="00E43536">
        <w:t>s</w:t>
      </w:r>
      <w:r w:rsidRPr="003F097D" w:rsidR="0017362A">
        <w:t>s</w:t>
      </w:r>
      <w:r w:rsidRPr="003F097D" w:rsidR="00AB3340">
        <w:t xml:space="preserve"> service offerings,</w:t>
      </w:r>
      <w:r w:rsidRPr="003F097D" w:rsidR="009D3A10">
        <w:t xml:space="preserve"> it makes most sense in this context to take a uniform approach, </w:t>
      </w:r>
      <w:r w:rsidRPr="003F097D" w:rsidR="00422BA3">
        <w:t>including with respect to services in the</w:t>
      </w:r>
      <w:r w:rsidRPr="003F097D" w:rsidR="009D3A10">
        <w:t xml:space="preserve"> E-</w:t>
      </w:r>
      <w:r w:rsidR="006274DE">
        <w:t>R</w:t>
      </w:r>
      <w:r w:rsidRPr="003F097D" w:rsidR="009D3A10">
        <w:t xml:space="preserve">ate and RHC </w:t>
      </w:r>
      <w:r w:rsidRPr="003F097D" w:rsidR="00422BA3">
        <w:t>programs</w:t>
      </w:r>
      <w:r w:rsidRPr="003F097D" w:rsidR="009D3A10">
        <w:t>.</w:t>
      </w:r>
      <w:r>
        <w:rPr>
          <w:rStyle w:val="FootnoteReference"/>
        </w:rPr>
        <w:footnoteReference w:id="44"/>
      </w:r>
      <w:r w:rsidR="00AB3340">
        <w:t xml:space="preserve"> </w:t>
      </w:r>
      <w:r w:rsidR="00A10B1E">
        <w:t xml:space="preserve"> </w:t>
      </w:r>
      <w:r>
        <w:t xml:space="preserve">Thus, we clarify </w:t>
      </w:r>
      <w:r w:rsidRPr="006F7D28">
        <w:t xml:space="preserve">that </w:t>
      </w:r>
      <w:r>
        <w:t>footnote</w:t>
      </w:r>
      <w:r w:rsidRPr="006F7D28">
        <w:t xml:space="preserve"> 36 </w:t>
      </w:r>
      <w:r w:rsidRPr="003F097D" w:rsidR="001112F7">
        <w:t xml:space="preserve">does </w:t>
      </w:r>
      <w:r w:rsidRPr="003F097D">
        <w:t xml:space="preserve">not </w:t>
      </w:r>
      <w:r w:rsidRPr="006F7D28">
        <w:t>contradict</w:t>
      </w:r>
      <w:r>
        <w:t xml:space="preserve"> our</w:t>
      </w:r>
      <w:r w:rsidRPr="006F7D28">
        <w:t xml:space="preserve"> determination</w:t>
      </w:r>
      <w:r>
        <w:t xml:space="preserve"> regarding enterprise service offerings or require broadband labels for </w:t>
      </w:r>
      <w:r w:rsidRPr="000262A3">
        <w:rPr>
          <w:i/>
          <w:iCs/>
        </w:rPr>
        <w:t>all</w:t>
      </w:r>
      <w:r>
        <w:t xml:space="preserve"> broadband services in the E-Rate and RHC programs</w:t>
      </w:r>
      <w:r w:rsidRPr="006F7D28">
        <w:t xml:space="preserve">.  </w:t>
      </w:r>
      <w:r>
        <w:t>Rather, we emphasize that</w:t>
      </w:r>
      <w:r w:rsidRPr="003F097D">
        <w:t>, regardless of how the provider names or defines its offering, the manner in which the service is offered is dispositive of whether the labeling requirements apply.</w:t>
      </w:r>
      <w:r>
        <w:rPr>
          <w:rStyle w:val="FootnoteReference"/>
        </w:rPr>
        <w:footnoteReference w:id="45"/>
      </w:r>
      <w:r w:rsidRPr="00DB4022">
        <w:t xml:space="preserve"> </w:t>
      </w:r>
      <w:r>
        <w:t xml:space="preserve"> We therefore affirm here that the enterprise/special access “exemption” discussed in the </w:t>
      </w:r>
      <w:r w:rsidRPr="00E05E9B">
        <w:rPr>
          <w:i/>
          <w:iCs/>
        </w:rPr>
        <w:t>Broadband Label Order</w:t>
      </w:r>
      <w:r>
        <w:t xml:space="preserve"> typically applies when the service offering is customized for the beneficiary through individually negotiated agreements.</w:t>
      </w:r>
      <w:r>
        <w:rPr>
          <w:rStyle w:val="FootnoteReference"/>
        </w:rPr>
        <w:footnoteReference w:id="46"/>
      </w:r>
    </w:p>
    <w:p w:rsidR="00D878FA" w:rsidP="00515EDF" w14:paraId="09A540E4" w14:textId="598DCC02">
      <w:pPr>
        <w:pStyle w:val="ParaNum"/>
      </w:pPr>
      <w:r>
        <w:t xml:space="preserve">We also reiterate, however, that </w:t>
      </w:r>
      <w:r w:rsidRPr="315EF4E1">
        <w:t>the label requirement</w:t>
      </w:r>
      <w:r>
        <w:t>s</w:t>
      </w:r>
      <w:r w:rsidRPr="315EF4E1">
        <w:t xml:space="preserve"> </w:t>
      </w:r>
      <w:r>
        <w:t xml:space="preserve">continue to </w:t>
      </w:r>
      <w:r w:rsidRPr="315EF4E1">
        <w:t>appl</w:t>
      </w:r>
      <w:r>
        <w:t>y</w:t>
      </w:r>
      <w:r w:rsidRPr="315EF4E1">
        <w:t xml:space="preserve"> </w:t>
      </w:r>
      <w:r w:rsidRPr="004F3262">
        <w:t>to mass-market broadband services offered in the E-</w:t>
      </w:r>
      <w:r>
        <w:t>R</w:t>
      </w:r>
      <w:r w:rsidRPr="004F3262">
        <w:t>ate and RHC programs</w:t>
      </w:r>
      <w:r>
        <w:t xml:space="preserve"> and agree with commenters that “</w:t>
      </w:r>
      <w:r w:rsidRPr="004F3262">
        <w:t>such disclosures would especially benefit the smaller and more rural schools, libraries and rural health</w:t>
      </w:r>
      <w:r w:rsidR="00B87868">
        <w:t xml:space="preserve"> </w:t>
      </w:r>
      <w:r w:rsidRPr="004F3262">
        <w:t xml:space="preserve">care providers that often purchase standard </w:t>
      </w:r>
      <w:r>
        <w:t>‘</w:t>
      </w:r>
      <w:r w:rsidRPr="004F3262">
        <w:t>off-the-shelf</w:t>
      </w:r>
      <w:r>
        <w:t>’</w:t>
      </w:r>
      <w:r w:rsidRPr="004F3262">
        <w:t xml:space="preserve"> Internet access service.</w:t>
      </w:r>
      <w:r>
        <w:t>”</w:t>
      </w:r>
      <w:r>
        <w:rPr>
          <w:rStyle w:val="FootnoteReference"/>
        </w:rPr>
        <w:footnoteReference w:id="47"/>
      </w:r>
      <w:r>
        <w:t xml:space="preserve">  We see </w:t>
      </w:r>
      <w:r w:rsidRPr="315EF4E1">
        <w:t>no</w:t>
      </w:r>
      <w:r>
        <w:t xml:space="preserve"> reason why </w:t>
      </w:r>
      <w:r>
        <w:t xml:space="preserve">the E-Rate and RHC bidding processes means that such </w:t>
      </w:r>
      <w:r w:rsidRPr="00A048FF">
        <w:t>co</w:t>
      </w:r>
      <w:r>
        <w:t>nsumers would not benefit from the label</w:t>
      </w:r>
      <w:r w:rsidR="00BF177D">
        <w:t>.</w:t>
      </w:r>
      <w:r>
        <w:t xml:space="preserve">  The definition in section 8.1(b) of the Commission’s rules include</w:t>
      </w:r>
      <w:r w:rsidR="000D53E2">
        <w:t>s</w:t>
      </w:r>
      <w:r w:rsidRPr="1E003BC0">
        <w:t xml:space="preserve"> </w:t>
      </w:r>
      <w:r>
        <w:t xml:space="preserve">ISPs participating in the </w:t>
      </w:r>
      <w:r w:rsidRPr="1E003BC0">
        <w:t>E-Rate and RHC pro</w:t>
      </w:r>
      <w:r>
        <w:t xml:space="preserve">grams and, thus, they must provide labels to prospective customers during </w:t>
      </w:r>
      <w:r w:rsidRPr="1E003BC0">
        <w:t>the competitive bidding process</w:t>
      </w:r>
      <w:r>
        <w:t>,</w:t>
      </w:r>
      <w:r w:rsidRPr="00A048FF">
        <w:t xml:space="preserve"> </w:t>
      </w:r>
      <w:r w:rsidRPr="1E003BC0">
        <w:t>during which time customers define the services that they need and providers put forward bids</w:t>
      </w:r>
      <w:r>
        <w:t>.</w:t>
      </w:r>
      <w:r>
        <w:rPr>
          <w:rStyle w:val="FootnoteReference"/>
        </w:rPr>
        <w:footnoteReference w:id="48"/>
      </w:r>
    </w:p>
    <w:p w:rsidR="00D878FA" w:rsidRPr="00DB4022" w:rsidP="00013911" w14:paraId="7AAD10A7" w14:textId="77777777">
      <w:pPr>
        <w:pStyle w:val="Heading2"/>
      </w:pPr>
      <w:r>
        <w:t>Documenting Interactions with Consumers at Alternate Sales Channels</w:t>
      </w:r>
    </w:p>
    <w:p w:rsidR="00D878FA" w:rsidP="00515EDF" w14:paraId="5C64C87C" w14:textId="718B6902">
      <w:pPr>
        <w:pStyle w:val="ParaNum"/>
      </w:pPr>
      <w:r>
        <w:t xml:space="preserve">In response to the ACA Connects Joint Petition, we reconsider the requirement that a provider must </w:t>
      </w:r>
      <w:r w:rsidRPr="00C55857">
        <w:t xml:space="preserve">document each instance when </w:t>
      </w:r>
      <w:r>
        <w:t>it</w:t>
      </w:r>
      <w:r w:rsidRPr="00C55857">
        <w:t xml:space="preserve"> directs a consumer to a label at an alternative sales channel </w:t>
      </w:r>
      <w:r>
        <w:t xml:space="preserve">(e.g., retail stores, kiosks, and over the phone) </w:t>
      </w:r>
      <w:r w:rsidRPr="00C55857">
        <w:t>and retain such documentation for two years</w:t>
      </w:r>
      <w:r>
        <w:t>.</w:t>
      </w:r>
      <w:r>
        <w:rPr>
          <w:rStyle w:val="FootnoteReference"/>
        </w:rPr>
        <w:footnoteReference w:id="49"/>
      </w:r>
      <w:r w:rsidRPr="00C55857">
        <w:t xml:space="preserve"> </w:t>
      </w:r>
      <w:r>
        <w:t xml:space="preserve"> In doing so, we grant ACA Connects’ request and clarify </w:t>
      </w:r>
      <w:r w:rsidR="00431720">
        <w:t xml:space="preserve">in </w:t>
      </w:r>
      <w:r w:rsidR="00C07146">
        <w:t xml:space="preserve">accordance with such request </w:t>
      </w:r>
      <w:r>
        <w:t>that</w:t>
      </w:r>
      <w:r w:rsidRPr="00C55857">
        <w:t xml:space="preserve"> the requirement </w:t>
      </w:r>
      <w:r>
        <w:t>will be</w:t>
      </w:r>
      <w:r w:rsidRPr="00C55857">
        <w:t xml:space="preserve"> </w:t>
      </w:r>
      <w:r w:rsidR="00024EDF">
        <w:t xml:space="preserve">deemed </w:t>
      </w:r>
      <w:r w:rsidRPr="00C55857">
        <w:t xml:space="preserve">satisfied if:  1) the provider establishes the business practices and processes it will follow in distributing the label through alternative sales channels; 2) retains training materials and related business practice documentation for two years; and 3) provides such information to the </w:t>
      </w:r>
      <w:r>
        <w:t>Commission</w:t>
      </w:r>
      <w:r w:rsidRPr="00C55857">
        <w:t xml:space="preserve"> upon request</w:t>
      </w:r>
      <w:r>
        <w:t>, within 30 days</w:t>
      </w:r>
      <w:r w:rsidRPr="00C55857">
        <w:t>.</w:t>
      </w:r>
      <w:r>
        <w:rPr>
          <w:rStyle w:val="FootnoteReference"/>
        </w:rPr>
        <w:footnoteReference w:id="50"/>
      </w:r>
      <w:r>
        <w:t xml:space="preserve">  </w:t>
      </w:r>
      <w:r w:rsidR="00CF525A">
        <w:t>No commenter opposed Petitioners’ request.</w:t>
      </w:r>
    </w:p>
    <w:p w:rsidR="00D878FA" w:rsidP="00515EDF" w14:paraId="216C1397" w14:textId="77777777">
      <w:pPr>
        <w:pStyle w:val="ParaNum"/>
      </w:pPr>
      <w:r>
        <w:t>We agree with p</w:t>
      </w:r>
      <w:r w:rsidRPr="00C55857">
        <w:t>etitioners that this</w:t>
      </w:r>
      <w:r>
        <w:t xml:space="preserve"> clarification</w:t>
      </w:r>
      <w:r w:rsidRPr="00C55857">
        <w:t xml:space="preserve"> will avoid unnecessary burdens </w:t>
      </w:r>
      <w:r>
        <w:t xml:space="preserve">and costs </w:t>
      </w:r>
      <w:r w:rsidRPr="00C55857">
        <w:t xml:space="preserve">on providers </w:t>
      </w:r>
      <w:r>
        <w:t xml:space="preserve">that may risk </w:t>
      </w:r>
      <w:r w:rsidRPr="00C55857">
        <w:t>diverting resources to</w:t>
      </w:r>
      <w:r>
        <w:t xml:space="preserve"> otherwise</w:t>
      </w:r>
      <w:r w:rsidRPr="00C55857">
        <w:t xml:space="preserve"> assist consumers with making broadband purchases</w:t>
      </w:r>
      <w:r>
        <w:t xml:space="preserve"> at alternative sales channels</w:t>
      </w:r>
      <w:r w:rsidRPr="00C55857">
        <w:t>.</w:t>
      </w:r>
      <w:r>
        <w:rPr>
          <w:rStyle w:val="FootnoteReference"/>
        </w:rPr>
        <w:footnoteReference w:id="51"/>
      </w:r>
      <w:r>
        <w:t xml:space="preserve">  We share their concerns that creating an additional system by which customer-facing employees are required to record the details of when and how they share the label in every customer interaction may impose significant costs on providers.  We are persuaded by petitioners that providers deal with millions of customers and prospective customers by phone, in retail locations, and at “pop-up” sales outlets such as fairs or exhibitions, and that it may be challenging for providers to capture and retain such documentation when consumers are provided with access to the labels at each and every point of sale.</w:t>
      </w:r>
      <w:r>
        <w:rPr>
          <w:rStyle w:val="FootnoteReference"/>
        </w:rPr>
        <w:footnoteReference w:id="52"/>
      </w:r>
    </w:p>
    <w:p w:rsidR="00D878FA" w:rsidP="00515EDF" w14:paraId="32D5CF07" w14:textId="41CE5934">
      <w:pPr>
        <w:pStyle w:val="ParaNum"/>
      </w:pPr>
      <w:r>
        <w:t>We believe that permitting providers to alternatively establish business practices and training materials to ensure labels are distributed consistently and accurately in retail stores and other sales channels will sufficiently protect consumers.</w:t>
      </w:r>
      <w:r>
        <w:rPr>
          <w:rStyle w:val="FootnoteReference"/>
        </w:rPr>
        <w:footnoteReference w:id="53"/>
      </w:r>
      <w:r>
        <w:t xml:space="preserve">  It is also consistent with our online point-of-sale requirements, whereby providers need not document each time a consumer views a label on their websites; they must instead archive </w:t>
      </w:r>
      <w:r w:rsidRPr="1E003BC0">
        <w:rPr>
          <w:snapToGrid/>
          <w:kern w:val="0"/>
        </w:rPr>
        <w:t xml:space="preserve">all labels </w:t>
      </w:r>
      <w:r>
        <w:rPr>
          <w:snapToGrid/>
          <w:kern w:val="0"/>
        </w:rPr>
        <w:t xml:space="preserve">after they are </w:t>
      </w:r>
      <w:r w:rsidRPr="1E003BC0">
        <w:rPr>
          <w:snapToGrid/>
          <w:kern w:val="0"/>
        </w:rPr>
        <w:t xml:space="preserve">removed from their websites </w:t>
      </w:r>
      <w:r>
        <w:t xml:space="preserve">and maintain such archive </w:t>
      </w:r>
      <w:r w:rsidRPr="1E003BC0">
        <w:t xml:space="preserve">for at least two years after the service plan is no longer offered to new customers.  </w:t>
      </w:r>
      <w:r>
        <w:t>As with archived labels, which must be provided to the Commission</w:t>
      </w:r>
      <w:r>
        <w:rPr>
          <w:szCs w:val="22"/>
        </w:rPr>
        <w:t xml:space="preserve">, </w:t>
      </w:r>
      <w:r w:rsidRPr="1E003BC0">
        <w:t>upon request</w:t>
      </w:r>
      <w:r>
        <w:rPr>
          <w:szCs w:val="22"/>
        </w:rPr>
        <w:t>,</w:t>
      </w:r>
      <w:r w:rsidRPr="1E003BC0">
        <w:t xml:space="preserve"> within </w:t>
      </w:r>
      <w:r>
        <w:t>30</w:t>
      </w:r>
      <w:r w:rsidRPr="1E003BC0">
        <w:t xml:space="preserve"> days</w:t>
      </w:r>
      <w:r>
        <w:rPr>
          <w:szCs w:val="22"/>
        </w:rPr>
        <w:t xml:space="preserve">, we also find that, should the Commission request a provider’s training materials and business practice documentation for alternate sales channels, ISPs must provide such information within 30 days. </w:t>
      </w:r>
      <w:r w:rsidRPr="1E003BC0">
        <w:t xml:space="preserve"> </w:t>
      </w:r>
      <w:r>
        <w:t xml:space="preserve">As a result, we amend section 8.1(a)(2) of the Commission’s rules to </w:t>
      </w:r>
      <w:r w:rsidR="00581276">
        <w:t xml:space="preserve">clarify </w:t>
      </w:r>
      <w:r>
        <w:t>that t</w:t>
      </w:r>
      <w:r w:rsidRPr="00881A85">
        <w:t>h</w:t>
      </w:r>
      <w:r>
        <w:t>e</w:t>
      </w:r>
      <w:r w:rsidRPr="00881A85">
        <w:t xml:space="preserve"> requirement to document interactions with consumer</w:t>
      </w:r>
      <w:r>
        <w:t>s</w:t>
      </w:r>
      <w:r w:rsidRPr="00881A85">
        <w:t xml:space="preserve"> at alternate sales channels will be </w:t>
      </w:r>
      <w:r w:rsidR="00450CFD">
        <w:t xml:space="preserve">deemed </w:t>
      </w:r>
      <w:r w:rsidRPr="00881A85">
        <w:t>satisfied if</w:t>
      </w:r>
      <w:r>
        <w:t>,</w:t>
      </w:r>
      <w:r w:rsidRPr="00881A85">
        <w:t xml:space="preserve"> instead</w:t>
      </w:r>
      <w:r>
        <w:t>,</w:t>
      </w:r>
      <w:r w:rsidRPr="00881A85">
        <w:t xml:space="preserve"> the provider: 1) establishes the business practices and processes it will follow in distributing the label through alternative sales channels; 2) retains training materials and related business practice documentation for two years; and 3) provides </w:t>
      </w:r>
      <w:r w:rsidRPr="00881A85">
        <w:t xml:space="preserve">such information to the Commission upon request, within </w:t>
      </w:r>
      <w:r>
        <w:t>30</w:t>
      </w:r>
      <w:r w:rsidRPr="00881A85">
        <w:t xml:space="preserve"> days.  </w:t>
      </w:r>
      <w:r>
        <w:t xml:space="preserve">   </w:t>
      </w:r>
    </w:p>
    <w:p w:rsidR="009F2468" w:rsidP="00013911" w14:paraId="2BEA8386" w14:textId="05D97B10">
      <w:pPr>
        <w:pStyle w:val="Heading2"/>
      </w:pPr>
      <w:r>
        <w:t xml:space="preserve">Identifying </w:t>
      </w:r>
      <w:r w:rsidRPr="009F2468">
        <w:t>Government</w:t>
      </w:r>
      <w:r>
        <w:t xml:space="preserve"> Taxes on Labels </w:t>
      </w:r>
    </w:p>
    <w:p w:rsidR="00450CFD" w:rsidP="00515EDF" w14:paraId="35689A99" w14:textId="77777777">
      <w:pPr>
        <w:pStyle w:val="ParaNum"/>
      </w:pPr>
      <w:r>
        <w:t xml:space="preserve">We </w:t>
      </w:r>
      <w:r w:rsidR="00480B25">
        <w:t>grant</w:t>
      </w:r>
      <w:r>
        <w:t xml:space="preserve"> CTIA’s request to</w:t>
      </w:r>
      <w:r w:rsidR="00E62CC5">
        <w:t xml:space="preserve"> clarify that </w:t>
      </w:r>
      <w:r w:rsidR="00413D6C">
        <w:t xml:space="preserve">wireless providers have the flexibility to </w:t>
      </w:r>
      <w:r w:rsidR="00ED023D">
        <w:t>state</w:t>
      </w:r>
      <w:r w:rsidR="00413D6C">
        <w:t xml:space="preserve"> “taxes included” or </w:t>
      </w:r>
      <w:r w:rsidR="00D31769">
        <w:t xml:space="preserve">add </w:t>
      </w:r>
      <w:r w:rsidR="00413D6C">
        <w:t xml:space="preserve">similar language </w:t>
      </w:r>
      <w:r w:rsidR="00E62CC5">
        <w:t>to the label</w:t>
      </w:r>
      <w:r w:rsidR="00480B25">
        <w:t xml:space="preserve"> template</w:t>
      </w:r>
      <w:r w:rsidR="00ED023D">
        <w:t xml:space="preserve"> when the provider has chosen to include taxes as part of its base price</w:t>
      </w:r>
      <w:r w:rsidR="00E62CC5">
        <w:t>.</w:t>
      </w:r>
      <w:r>
        <w:rPr>
          <w:rStyle w:val="FootnoteReference"/>
        </w:rPr>
        <w:footnoteReference w:id="54"/>
      </w:r>
      <w:r>
        <w:t xml:space="preserve"> </w:t>
      </w:r>
      <w:r w:rsidR="00E62CC5">
        <w:t xml:space="preserve"> CTIA </w:t>
      </w:r>
      <w:r w:rsidR="0096365F">
        <w:t xml:space="preserve">contends that </w:t>
      </w:r>
      <w:r w:rsidR="00E62CC5">
        <w:t>some wireless providers have chosen to build taxes into the monthly prices that they advertise.</w:t>
      </w:r>
      <w:r w:rsidR="0096365F">
        <w:t xml:space="preserve">  </w:t>
      </w:r>
      <w:r w:rsidR="00FB29EA">
        <w:t xml:space="preserve">No </w:t>
      </w:r>
      <w:r w:rsidR="00D3670E">
        <w:t xml:space="preserve">party opposed this request.  </w:t>
      </w:r>
    </w:p>
    <w:p w:rsidR="00A03F65" w:rsidP="00515EDF" w14:paraId="58C5A400" w14:textId="280A7CF5">
      <w:pPr>
        <w:pStyle w:val="ParaNum"/>
      </w:pPr>
      <w:r>
        <w:t xml:space="preserve">We agree with CTIA that </w:t>
      </w:r>
      <w:r w:rsidR="00DD0CAF">
        <w:t xml:space="preserve">the labels </w:t>
      </w:r>
      <w:r w:rsidR="00E62CC5">
        <w:t xml:space="preserve">should accommodate tax-included pricing in keeping with the fundamental purpose of providing consumers with clear and accurate information, and that this was the </w:t>
      </w:r>
      <w:r w:rsidRPr="003C1607" w:rsidR="003C1607">
        <w:rPr>
          <w:i/>
          <w:iCs/>
        </w:rPr>
        <w:t>Broadband Label Order’s</w:t>
      </w:r>
      <w:r w:rsidR="00E62CC5">
        <w:t xml:space="preserve"> intent.</w:t>
      </w:r>
      <w:r>
        <w:rPr>
          <w:rStyle w:val="FootnoteReference"/>
        </w:rPr>
        <w:footnoteReference w:id="55"/>
      </w:r>
      <w:r w:rsidR="00E62CC5">
        <w:t xml:space="preserve"> </w:t>
      </w:r>
      <w:r w:rsidR="003C1607">
        <w:t xml:space="preserve"> </w:t>
      </w:r>
      <w:r>
        <w:t xml:space="preserve">We believe our clarification will benefit consumers by helping them understand the total price for a provider’s service at the point of sale.  </w:t>
      </w:r>
      <w:r w:rsidRPr="00993A1E" w:rsidR="00467A35">
        <w:t xml:space="preserve">And, unlike the </w:t>
      </w:r>
      <w:r w:rsidRPr="00993A1E" w:rsidR="00E952D9">
        <w:t>discretionary provider</w:t>
      </w:r>
      <w:r w:rsidRPr="00993A1E" w:rsidR="00467A35">
        <w:t xml:space="preserve"> fees we address above, providers must assess</w:t>
      </w:r>
      <w:r w:rsidRPr="00993A1E" w:rsidR="00E952D9">
        <w:t xml:space="preserve"> a specif</w:t>
      </w:r>
      <w:r w:rsidRPr="00993A1E" w:rsidR="00993A1E">
        <w:t>ic</w:t>
      </w:r>
      <w:r w:rsidRPr="00993A1E" w:rsidR="00E952D9">
        <w:t xml:space="preserve"> amount of</w:t>
      </w:r>
      <w:r w:rsidRPr="00993A1E" w:rsidR="00467A35">
        <w:t xml:space="preserve"> taxes on consumers</w:t>
      </w:r>
      <w:r w:rsidRPr="00993A1E" w:rsidR="00E952D9">
        <w:t xml:space="preserve">; </w:t>
      </w:r>
      <w:r w:rsidRPr="00993A1E" w:rsidR="00467A35">
        <w:t>thus</w:t>
      </w:r>
      <w:r w:rsidRPr="00993A1E" w:rsidR="00E952D9">
        <w:t>,</w:t>
      </w:r>
      <w:r w:rsidRPr="00993A1E" w:rsidR="00467A35">
        <w:t xml:space="preserve"> consumers </w:t>
      </w:r>
      <w:r w:rsidRPr="00993A1E" w:rsidR="00E952D9">
        <w:t xml:space="preserve">generally are not </w:t>
      </w:r>
      <w:r w:rsidRPr="00993A1E" w:rsidR="00467A35">
        <w:t>comparison shop</w:t>
      </w:r>
      <w:r w:rsidRPr="00993A1E" w:rsidR="00E952D9">
        <w:t>ping</w:t>
      </w:r>
      <w:r w:rsidRPr="00993A1E" w:rsidR="00467A35">
        <w:t xml:space="preserve"> based on</w:t>
      </w:r>
      <w:r w:rsidRPr="00993A1E" w:rsidR="00E952D9">
        <w:t xml:space="preserve"> </w:t>
      </w:r>
      <w:r w:rsidRPr="00993A1E" w:rsidR="00993A1E">
        <w:t xml:space="preserve">such </w:t>
      </w:r>
      <w:r w:rsidRPr="00993A1E" w:rsidR="00E952D9">
        <w:t>taxes and how they are identified on the label</w:t>
      </w:r>
      <w:r w:rsidRPr="00993A1E" w:rsidR="00467A35">
        <w:t>.</w:t>
      </w:r>
      <w:r w:rsidR="00467A35">
        <w:t xml:space="preserve">  </w:t>
      </w:r>
      <w:r>
        <w:t xml:space="preserve">We therefore agree that providers may modify the label template to accommodate this practice.  Specifically, they may include a statement on the label that government taxes are “included” in the monthly rate or some similar language in place of the statement that the amount of government taxes “varies by location.”  </w:t>
      </w:r>
    </w:p>
    <w:p w:rsidR="005B383E" w:rsidRPr="00467A35" w:rsidP="00515EDF" w14:paraId="519D3D96" w14:textId="25A5B83E">
      <w:pPr>
        <w:pStyle w:val="ParaNum"/>
        <w:rPr>
          <w:szCs w:val="22"/>
        </w:rPr>
      </w:pPr>
      <w:r>
        <w:t xml:space="preserve">We also agree </w:t>
      </w:r>
      <w:r w:rsidR="007B5436">
        <w:t xml:space="preserve">with CTIA that </w:t>
      </w:r>
      <w:r w:rsidR="00413D6C">
        <w:t>“[s]</w:t>
      </w:r>
      <w:r w:rsidR="00413D6C">
        <w:t>tating</w:t>
      </w:r>
      <w:r w:rsidR="00413D6C">
        <w:t xml:space="preserve"> that ‘taxes will apply’ or that they ‘vary by location’ where </w:t>
      </w:r>
      <w:r w:rsidR="00480B25">
        <w:t>[taxes]</w:t>
      </w:r>
      <w:r w:rsidR="00413D6C">
        <w:t xml:space="preserve"> have already been factored into the quoted prices would not be accurate and would confuse consumers, not help them, which is a result the Commission surely did not intend.”</w:t>
      </w:r>
      <w:r>
        <w:rPr>
          <w:rStyle w:val="FootnoteReference"/>
        </w:rPr>
        <w:footnoteReference w:id="56"/>
      </w:r>
      <w:r w:rsidR="007B5436">
        <w:t xml:space="preserve">  We therefore make clear that </w:t>
      </w:r>
      <w:r w:rsidR="00D20EBB">
        <w:t xml:space="preserve">providers may only avail themselves of our clarification when they have included all taxes in their monthly base price and may not </w:t>
      </w:r>
      <w:r w:rsidR="00464409">
        <w:t>rely on general statements that taxes may apply if such taxes are not included in the base price.</w:t>
      </w:r>
    </w:p>
    <w:p w:rsidR="0042260A" w:rsidP="00013911" w14:paraId="2701AA19" w14:textId="73E4E0E5">
      <w:pPr>
        <w:pStyle w:val="Heading2"/>
      </w:pPr>
      <w:r>
        <w:t>Effective Date</w:t>
      </w:r>
    </w:p>
    <w:p w:rsidR="0042260A" w:rsidP="00515EDF" w14:paraId="23D5F920" w14:textId="6481FF1E">
      <w:pPr>
        <w:pStyle w:val="ParaNum"/>
      </w:pPr>
      <w:r w:rsidRPr="00881EB1">
        <w:t>We make the revisions to section 8.1(a)(1) and section 8.1(a)(2) of the codified rules effective upon publication in the Federal Register.</w:t>
      </w:r>
      <w:r>
        <w:rPr>
          <w:vertAlign w:val="superscript"/>
        </w:rPr>
        <w:footnoteReference w:id="57"/>
      </w:r>
      <w:r w:rsidRPr="00881EB1">
        <w:t xml:space="preserve">  In addition, because these revisions are interrelated with revisions to section 8.1 adopted in the </w:t>
      </w:r>
      <w:r w:rsidRPr="00881EB1">
        <w:rPr>
          <w:i/>
          <w:iCs/>
        </w:rPr>
        <w:t>Broadband Label Order</w:t>
      </w:r>
      <w:r w:rsidRPr="00881EB1">
        <w:t>,</w:t>
      </w:r>
      <w:r>
        <w:rPr>
          <w:rStyle w:val="FootnoteReference"/>
        </w:rPr>
        <w:footnoteReference w:id="58"/>
      </w:r>
      <w:r w:rsidRPr="00881EB1">
        <w:rPr>
          <w:i/>
          <w:iCs/>
        </w:rPr>
        <w:t xml:space="preserve"> </w:t>
      </w:r>
      <w:r w:rsidRPr="00881EB1">
        <w:t xml:space="preserve">we set consistent compliance dates.  </w:t>
      </w:r>
      <w:r w:rsidRPr="00881EB1">
        <w:t xml:space="preserve">Thus, consistent with the </w:t>
      </w:r>
      <w:r w:rsidRPr="00881EB1">
        <w:rPr>
          <w:i/>
          <w:iCs/>
        </w:rPr>
        <w:t xml:space="preserve">Broadband Label Order, </w:t>
      </w:r>
      <w:r w:rsidRPr="00881EB1">
        <w:t>the compliance dates for the amendments to section 8.1(a)(1) and section 8.1(a)(2) in this Order</w:t>
      </w:r>
      <w:r w:rsidR="00C705CF">
        <w:t xml:space="preserve"> on Reconsideration</w:t>
      </w:r>
      <w:r w:rsidRPr="00881EB1">
        <w:t xml:space="preserve"> will be </w:t>
      </w:r>
      <w:r w:rsidR="002E6740">
        <w:t>one year</w:t>
      </w:r>
      <w:r w:rsidRPr="00881EB1">
        <w:t xml:space="preserve"> following completion of </w:t>
      </w:r>
      <w:r w:rsidR="00C705CF">
        <w:t>the Office of Management and Budget (</w:t>
      </w:r>
      <w:r w:rsidRPr="00881EB1">
        <w:t>OM</w:t>
      </w:r>
      <w:r w:rsidR="00C705CF">
        <w:t>B)</w:t>
      </w:r>
      <w:r w:rsidRPr="00881EB1">
        <w:t xml:space="preserve"> review and modification of section 8.1(a)(7) for providers with 100,000 or fewer subscribers and </w:t>
      </w:r>
      <w:r w:rsidR="002E6740">
        <w:t>six months</w:t>
      </w:r>
      <w:r w:rsidRPr="00881EB1">
        <w:t xml:space="preserve"> following completion of OMB review and modification of section 8.1(a)(7) for all other providers.</w:t>
      </w:r>
      <w:r>
        <w:rPr>
          <w:rStyle w:val="FootnoteReference"/>
        </w:rPr>
        <w:footnoteReference w:id="59"/>
      </w:r>
      <w:r w:rsidRPr="00881EB1">
        <w:t xml:space="preserve">  The forthcoming Public Notice by the Consumer </w:t>
      </w:r>
      <w:r w:rsidR="00C705CF">
        <w:t>and</w:t>
      </w:r>
      <w:r w:rsidRPr="00881EB1">
        <w:t xml:space="preserve"> Governmental Affairs Bureau will announce the compliance dates for the rules </w:t>
      </w:r>
      <w:r w:rsidR="00C705CF">
        <w:t xml:space="preserve">adopted </w:t>
      </w:r>
      <w:r w:rsidRPr="00881EB1">
        <w:t xml:space="preserve">in the </w:t>
      </w:r>
      <w:r w:rsidRPr="00881EB1">
        <w:rPr>
          <w:i/>
          <w:iCs/>
        </w:rPr>
        <w:t>Broadband Label Order</w:t>
      </w:r>
      <w:r w:rsidRPr="00881EB1">
        <w:t xml:space="preserve"> and in this Order on Reconsideration accordingly</w:t>
      </w:r>
      <w:r>
        <w:t>.</w:t>
      </w:r>
      <w:r>
        <w:t xml:space="preserve">  </w:t>
      </w:r>
    </w:p>
    <w:p w:rsidR="00A62607" w:rsidRPr="00C677BE" w:rsidP="00515EDF" w14:paraId="7A51C0E5" w14:textId="77777777">
      <w:pPr>
        <w:pStyle w:val="Heading1"/>
      </w:pPr>
      <w:bookmarkStart w:id="6" w:name="_Toc321413797"/>
      <w:bookmarkStart w:id="7" w:name="_Toc323112997"/>
      <w:r w:rsidRPr="007D6E0C">
        <w:t>PROCEDURAL MATTERS</w:t>
      </w:r>
      <w:bookmarkEnd w:id="6"/>
      <w:bookmarkEnd w:id="7"/>
    </w:p>
    <w:p w:rsidR="00A62607" w:rsidRPr="00F10271" w:rsidP="00515EDF" w14:paraId="2D620B40" w14:textId="6D6F5E9B">
      <w:pPr>
        <w:pStyle w:val="ParaNum"/>
      </w:pPr>
      <w:r w:rsidRPr="00AF252F">
        <w:rPr>
          <w:i/>
          <w:iCs/>
        </w:rPr>
        <w:t>Paperwork Reduction Act of 1995 Analysis</w:t>
      </w:r>
      <w:r>
        <w:t xml:space="preserve">.  </w:t>
      </w:r>
      <w:r w:rsidRPr="00E7555A" w:rsidR="00E7555A">
        <w:rPr>
          <w:snapToGrid/>
        </w:rPr>
        <w:t xml:space="preserve">This document may contain new or modified information collection requirements subject to the Paperwork Reduction Act of 1995 (PRA), Public Law 104-13.  All such new or modified information collection requirements will be submitted to the Office of Management and Budget (OMB) for review under </w:t>
      </w:r>
      <w:r w:rsidR="000D40C1">
        <w:rPr>
          <w:snapToGrid/>
        </w:rPr>
        <w:t>s</w:t>
      </w:r>
      <w:r w:rsidRPr="00E7555A" w:rsidR="00E7555A">
        <w:rPr>
          <w:snapToGrid/>
        </w:rPr>
        <w:t xml:space="preserve">ection 3507(d) of the PRA. OMB, the general public, and other Federal agencies will be invited to comment on any new or modified information collection requirements contained in this proceeding. </w:t>
      </w:r>
      <w:r w:rsidR="000D40C1">
        <w:rPr>
          <w:snapToGrid/>
        </w:rPr>
        <w:t xml:space="preserve"> </w:t>
      </w:r>
      <w:r w:rsidRPr="00E7555A" w:rsidR="00E7555A">
        <w:rPr>
          <w:snapToGrid/>
        </w:rPr>
        <w:t>In addition, we note that pursuant to the Small Business Paperwork Relief Act of 2002, Public Law 107-198, </w:t>
      </w:r>
      <w:r w:rsidRPr="00E7555A" w:rsidR="00E7555A">
        <w:rPr>
          <w:i/>
          <w:iCs/>
          <w:snapToGrid/>
        </w:rPr>
        <w:t>see</w:t>
      </w:r>
      <w:r w:rsidRPr="00E7555A" w:rsidR="00E7555A">
        <w:rPr>
          <w:snapToGrid/>
        </w:rPr>
        <w:t> 44 U.S.C. 3506(c)(4), we previously sought specific comment on how the Commission might further reduce the information collection burden for small business concerns with fewer than 25 employees</w:t>
      </w:r>
      <w:r w:rsidR="00091241">
        <w:rPr>
          <w:snapToGrid/>
        </w:rPr>
        <w:t>, and we received no comment</w:t>
      </w:r>
      <w:r w:rsidRPr="00E7555A" w:rsidR="00E7555A">
        <w:rPr>
          <w:snapToGrid/>
        </w:rPr>
        <w:t>.  In this present document, we have assessed the effects of</w:t>
      </w:r>
      <w:r w:rsidR="00091241">
        <w:rPr>
          <w:snapToGrid/>
        </w:rPr>
        <w:t xml:space="preserve"> permitting providers to </w:t>
      </w:r>
      <w:r w:rsidRPr="00091241" w:rsidR="00091241">
        <w:t>establish the business practices and processes it will follow in distributing the label through alternative sales channels</w:t>
      </w:r>
      <w:r w:rsidR="0075661F">
        <w:t xml:space="preserve"> in lieu of documenting each instance they direct consumers to the label</w:t>
      </w:r>
      <w:r w:rsidR="00091241">
        <w:t xml:space="preserve"> and to note on the label that government taxes are included in the monthly price</w:t>
      </w:r>
      <w:r w:rsidRPr="00E7555A" w:rsidR="00E7555A">
        <w:rPr>
          <w:snapToGrid/>
        </w:rPr>
        <w:t xml:space="preserve">, and find that </w:t>
      </w:r>
      <w:r w:rsidR="00091241">
        <w:rPr>
          <w:snapToGrid/>
        </w:rPr>
        <w:t>there are no additional burdens for small businesses with fewer than 25 employees.</w:t>
      </w:r>
      <w:r w:rsidRPr="00E7555A" w:rsidR="00E7555A">
        <w:rPr>
          <w:snapToGrid/>
        </w:rPr>
        <w:t xml:space="preserve">    </w:t>
      </w:r>
    </w:p>
    <w:p w:rsidR="00A62607" w:rsidRPr="0006723C" w:rsidP="00515EDF" w14:paraId="25566C0B" w14:textId="5ABC8F18">
      <w:pPr>
        <w:pStyle w:val="ParaNum"/>
      </w:pPr>
      <w:r>
        <w:rPr>
          <w:i/>
          <w:iCs/>
        </w:rPr>
        <w:t>Supplemental Final</w:t>
      </w:r>
      <w:r w:rsidRPr="00180AA0">
        <w:rPr>
          <w:i/>
          <w:iCs/>
        </w:rPr>
        <w:t xml:space="preserve"> Regulatory Flexibility </w:t>
      </w:r>
      <w:r>
        <w:rPr>
          <w:i/>
          <w:iCs/>
        </w:rPr>
        <w:t>Analysis</w:t>
      </w:r>
      <w:r>
        <w:t xml:space="preserve">.  </w:t>
      </w:r>
      <w:r w:rsidRPr="00484C5A" w:rsidR="00AD285D">
        <w:t>The Regulatory Flexibility Act of 1980, as amended (RFA),</w:t>
      </w:r>
      <w:r>
        <w:rPr>
          <w:sz w:val="20"/>
          <w:vertAlign w:val="superscript"/>
        </w:rPr>
        <w:footnoteReference w:id="60"/>
      </w:r>
      <w:r w:rsidRPr="00484C5A" w:rsidR="00AD285D">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 w:val="20"/>
          <w:vertAlign w:val="superscript"/>
        </w:rPr>
        <w:footnoteReference w:id="61"/>
      </w:r>
      <w:r w:rsidRPr="00484C5A" w:rsidR="00AD285D">
        <w:t xml:space="preserve">  </w:t>
      </w:r>
      <w:r w:rsidR="00AD285D">
        <w:t xml:space="preserve">This </w:t>
      </w:r>
      <w:r w:rsidRPr="000F00CA" w:rsidR="00AD285D">
        <w:t>Order on Reconsideration</w:t>
      </w:r>
      <w:r w:rsidR="00AD285D">
        <w:t xml:space="preserve"> discusses amendments to the rules adopted in the </w:t>
      </w:r>
      <w:r w:rsidRPr="005E420E" w:rsidR="00AD285D">
        <w:rPr>
          <w:i/>
          <w:iCs/>
        </w:rPr>
        <w:t>Broadband Label Order</w:t>
      </w:r>
      <w:r w:rsidR="00AD285D">
        <w:t xml:space="preserve">.  </w:t>
      </w:r>
      <w:r w:rsidRPr="00484C5A" w:rsidR="00AD285D">
        <w:t xml:space="preserve">Accordingly, </w:t>
      </w:r>
      <w:r w:rsidR="00AD285D">
        <w:t xml:space="preserve">the Commission </w:t>
      </w:r>
      <w:r w:rsidRPr="00484C5A" w:rsidR="00AD285D">
        <w:t xml:space="preserve">prepared a </w:t>
      </w:r>
      <w:r w:rsidRPr="0009786D" w:rsidR="00AD285D">
        <w:t>Supplemental</w:t>
      </w:r>
      <w:r w:rsidR="00AD285D">
        <w:t xml:space="preserve"> </w:t>
      </w:r>
      <w:r w:rsidRPr="00484C5A" w:rsidR="00AD285D">
        <w:t>Final Regulatory Flexibility Analysis (</w:t>
      </w:r>
      <w:r w:rsidR="00AD285D">
        <w:t xml:space="preserve">Supplemental </w:t>
      </w:r>
      <w:r w:rsidRPr="00484C5A" w:rsidR="00AD285D">
        <w:t xml:space="preserve">FRFA) concerning the possible impact of the rule </w:t>
      </w:r>
      <w:r w:rsidR="00AD285D">
        <w:t>amendments</w:t>
      </w:r>
      <w:r w:rsidRPr="00484C5A" w:rsidR="00AD285D">
        <w:t xml:space="preserve"> on small entities.  The </w:t>
      </w:r>
      <w:r w:rsidR="00AD285D">
        <w:t xml:space="preserve">Supplemental </w:t>
      </w:r>
      <w:r w:rsidRPr="00484C5A" w:rsidR="00AD285D">
        <w:t xml:space="preserve">FRFA is set forth in Appendix </w:t>
      </w:r>
      <w:r w:rsidR="00AD285D">
        <w:rPr>
          <w:szCs w:val="22"/>
        </w:rPr>
        <w:t>B.</w:t>
      </w:r>
    </w:p>
    <w:p w:rsidR="00A62607" w:rsidRPr="00AF252F" w:rsidP="00515EDF" w14:paraId="7F7BBB02" w14:textId="25293F08">
      <w:pPr>
        <w:pStyle w:val="ParaNum"/>
      </w:pPr>
      <w:r>
        <w:rPr>
          <w:i/>
          <w:iCs/>
        </w:rPr>
        <w:t>Congressional Review Act</w:t>
      </w:r>
      <w:r>
        <w:t xml:space="preserve">.  </w:t>
      </w:r>
      <w:bookmarkStart w:id="8" w:name="_Hlk52784516"/>
      <w:bookmarkStart w:id="9" w:name="_Hlk38960233"/>
      <w:bookmarkStart w:id="10" w:name="_Hlk47451513"/>
      <w:r w:rsidRPr="00D318A2">
        <w:t xml:space="preserve">The Commission </w:t>
      </w:r>
      <w:r w:rsidRPr="00AF252F">
        <w:t xml:space="preserve">has </w:t>
      </w:r>
      <w:r w:rsidRPr="00D318A2">
        <w:t>determined, and the Administrator of the Office of Information and Regulatory Affairs, Office of Management and Budget concurs, that th</w:t>
      </w:r>
      <w:r>
        <w:t>ese</w:t>
      </w:r>
      <w:r w:rsidRPr="00D318A2">
        <w:t xml:space="preserve"> rule</w:t>
      </w:r>
      <w:r>
        <w:t>s</w:t>
      </w:r>
      <w:r w:rsidRPr="00D318A2">
        <w:t xml:space="preserve"> </w:t>
      </w:r>
      <w:r>
        <w:t>are</w:t>
      </w:r>
      <w:r w:rsidRPr="00D318A2">
        <w:t xml:space="preserve"> “non-major” under the Congressional Review Act, 5 U.S.C. § 804(2).</w:t>
      </w:r>
      <w:r w:rsidRPr="00FE2EF6">
        <w:t xml:space="preserve">  </w:t>
      </w:r>
      <w:bookmarkEnd w:id="8"/>
      <w:r w:rsidRPr="00FE2EF6">
        <w:t>The Commission will send a copy of th</w:t>
      </w:r>
      <w:r>
        <w:t>is</w:t>
      </w:r>
      <w:r w:rsidRPr="00FE2EF6">
        <w:t xml:space="preserve"> </w:t>
      </w:r>
      <w:r w:rsidRPr="000F00CA">
        <w:t>Order on Reconsideration</w:t>
      </w:r>
      <w:r w:rsidRPr="00FE2EF6">
        <w:t xml:space="preserve"> to Congress and the Government Accountability Office pursuant to 5 U.S.C. § 801(a)(1)(A).</w:t>
      </w:r>
      <w:bookmarkEnd w:id="9"/>
      <w:bookmarkEnd w:id="10"/>
      <w:r>
        <w:t xml:space="preserve"> </w:t>
      </w:r>
    </w:p>
    <w:p w:rsidR="00A62607" w:rsidP="00515EDF" w14:paraId="48C233D6" w14:textId="77777777">
      <w:pPr>
        <w:pStyle w:val="ParaNum"/>
      </w:pPr>
      <w:r w:rsidRPr="003F0ACE">
        <w:rPr>
          <w:i/>
          <w:iCs/>
        </w:rPr>
        <w:t xml:space="preserve">Materials in </w:t>
      </w:r>
      <w:r w:rsidRPr="009E26B6">
        <w:rPr>
          <w:i/>
          <w:iCs/>
        </w:rPr>
        <w:t>Accessible Formats</w:t>
      </w:r>
      <w:r>
        <w:t xml:space="preserve">.  </w:t>
      </w:r>
      <w:r w:rsidRPr="00B01158">
        <w:t>To request materials in accessible formats for people with disabilities (</w:t>
      </w:r>
      <w:r>
        <w:t>B</w:t>
      </w:r>
      <w:r w:rsidRPr="00B01158">
        <w:t xml:space="preserve">raille, large print, electronic files, audio format), send an e-mail to </w:t>
      </w:r>
      <w:hyperlink r:id="rId5" w:history="1">
        <w:r w:rsidRPr="00B01158">
          <w:rPr>
            <w:rStyle w:val="Hyperlink"/>
          </w:rPr>
          <w:t>fcc504@fcc.gov</w:t>
        </w:r>
      </w:hyperlink>
      <w:r w:rsidRPr="00B01158">
        <w:t xml:space="preserve"> or call the Consumer and Governmental Affairs Bureau at 202-418-0530 (voice)</w:t>
      </w:r>
      <w:bookmarkStart w:id="11" w:name="_Toc7593356"/>
      <w:bookmarkStart w:id="12" w:name="_Toc14775799"/>
      <w:bookmarkStart w:id="13" w:name="_Toc14851707"/>
      <w:bookmarkStart w:id="14" w:name="_Toc14853193"/>
      <w:bookmarkStart w:id="15" w:name="_Toc14854128"/>
      <w:bookmarkStart w:id="16" w:name="_Toc14854771"/>
      <w:bookmarkStart w:id="17" w:name="_Toc15955789"/>
      <w:bookmarkStart w:id="18" w:name="_Toc15956274"/>
      <w:bookmarkStart w:id="19" w:name="_Toc15958728"/>
      <w:bookmarkStart w:id="20" w:name="_Toc15962935"/>
      <w:bookmarkStart w:id="21" w:name="_Toc16003939"/>
      <w:bookmarkStart w:id="22" w:name="_Toc16004034"/>
      <w:bookmarkStart w:id="23" w:name="_Toc16004203"/>
      <w:bookmarkStart w:id="24" w:name="_Toc16043244"/>
      <w:bookmarkStart w:id="25" w:name="_Toc16262638"/>
      <w:bookmarkStart w:id="26" w:name="_Toc16330297"/>
      <w:bookmarkStart w:id="27" w:name="_Toc16410264"/>
      <w:bookmarkStart w:id="28" w:name="_Toc16410851"/>
      <w:bookmarkStart w:id="29" w:name="_Toc16575678"/>
      <w:bookmarkStart w:id="30" w:name="_Toc16932063"/>
      <w:bookmarkStart w:id="31" w:name="_Toc17735562"/>
      <w:bookmarkStart w:id="32" w:name="_Toc17784136"/>
      <w:bookmarkStart w:id="33" w:name="_Toc44230700"/>
      <w:bookmarkStart w:id="34" w:name="_Toc45435601"/>
      <w:bookmarkStart w:id="35" w:name="_Toc46307195"/>
      <w:bookmarkStart w:id="36" w:name="_Toc62637448"/>
      <w:bookmarkStart w:id="37" w:name="_Toc62884650"/>
      <w:bookmarkStart w:id="38" w:name="_Toc67709100"/>
      <w:bookmarkStart w:id="39" w:name="_Toc84753013"/>
      <w:bookmarkStart w:id="40" w:name="_Toc84753850"/>
      <w:r>
        <w:t>.</w:t>
      </w:r>
    </w:p>
    <w:p w:rsidR="00A62607" w:rsidRPr="001376F0" w:rsidP="00515EDF" w14:paraId="5D4B792C" w14:textId="2935F34A">
      <w:pPr>
        <w:pStyle w:val="ParaNum"/>
      </w:pPr>
      <w:r w:rsidRPr="00F35C70">
        <w:rPr>
          <w:i/>
          <w:iCs/>
        </w:rPr>
        <w:t>Availability of Documents</w:t>
      </w:r>
      <w:r>
        <w:rPr>
          <w:i/>
          <w:iCs/>
        </w:rPr>
        <w:t>.</w:t>
      </w:r>
      <w:r w:rsidRPr="00E51EFA">
        <w:t xml:space="preserve">  </w:t>
      </w:r>
      <w:r>
        <w:t xml:space="preserve">The </w:t>
      </w:r>
      <w:r w:rsidRPr="000F00CA">
        <w:t>Order on Reconsideration</w:t>
      </w:r>
      <w:r w:rsidRPr="001376F0">
        <w:t xml:space="preserve"> will be available via ECFS.  </w:t>
      </w:r>
      <w:r>
        <w:t>This d</w:t>
      </w:r>
      <w:r w:rsidRPr="001376F0">
        <w:t xml:space="preserve">ocument will be available </w:t>
      </w:r>
      <w:r w:rsidRPr="00296697">
        <w:t>electronically i</w:t>
      </w:r>
      <w:r w:rsidRPr="001376F0">
        <w:t>n ASCII, Microsoft Word, and/or Adobe Acrobat.</w:t>
      </w:r>
      <w:r>
        <w:t xml:space="preserve">  </w:t>
      </w:r>
      <w:r w:rsidR="00DC211A">
        <w:t>T</w:t>
      </w:r>
      <w:r>
        <w:t xml:space="preserve">his </w:t>
      </w:r>
      <w:r>
        <w:t xml:space="preserve">document will also be available </w:t>
      </w:r>
      <w:r w:rsidRPr="001376F0">
        <w:t xml:space="preserve">for public inspection during regular business hours in the FCC Reference Center, Federal Communications Commission, </w:t>
      </w:r>
      <w:r>
        <w:t>45 L Street NE</w:t>
      </w:r>
      <w:r w:rsidRPr="001376F0">
        <w:t>, Washington, D.C. 20554.</w:t>
      </w:r>
    </w:p>
    <w:p w:rsidR="00A62607" w:rsidRPr="007D6E0C" w:rsidP="00515EDF" w14:paraId="3374846C" w14:textId="101D5B98">
      <w:pPr>
        <w:pStyle w:val="ParaNum"/>
      </w:pPr>
      <w:r w:rsidRPr="00F35C70">
        <w:rPr>
          <w:i/>
          <w:iCs/>
        </w:rPr>
        <w:t>Additional Information</w:t>
      </w:r>
      <w:r>
        <w:rPr>
          <w:i/>
          <w:iCs/>
        </w:rPr>
        <w:t>.</w:t>
      </w:r>
      <w:r w:rsidRPr="001376F0">
        <w:t xml:space="preserve">  For additional </w:t>
      </w:r>
      <w:r w:rsidRPr="00296697">
        <w:t>information o</w:t>
      </w:r>
      <w:r w:rsidRPr="001376F0">
        <w:t xml:space="preserve">n this proceeding, contact </w:t>
      </w:r>
      <w:r w:rsidR="001B7A59">
        <w:t>Erica H. McMahon</w:t>
      </w:r>
      <w:r w:rsidRPr="001376F0">
        <w:t xml:space="preserve">, </w:t>
      </w:r>
      <w:hyperlink r:id="rId6" w:history="1">
        <w:r w:rsidRPr="00B768A5" w:rsidR="001B7A59">
          <w:rPr>
            <w:rStyle w:val="Hyperlink"/>
          </w:rPr>
          <w:t>Erica.McMahon@fcc.gov</w:t>
        </w:r>
      </w:hyperlink>
      <w:r w:rsidRPr="001376F0">
        <w:t xml:space="preserve"> or (</w:t>
      </w:r>
      <w:r w:rsidR="001B7A59">
        <w:t>202</w:t>
      </w:r>
      <w:r w:rsidRPr="001376F0">
        <w:t xml:space="preserve">) </w:t>
      </w:r>
      <w:r w:rsidR="001B7A59">
        <w:t>418-0346</w:t>
      </w:r>
      <w:r w:rsidRPr="001376F0">
        <w:t>, of the</w:t>
      </w:r>
      <w:hyperlink r:id="rId7" w:history="1"/>
      <w:r w:rsidRPr="001376F0">
        <w:t xml:space="preserve"> Consumer and Governmental Affairs Bureau, Consumer Policy Division.</w:t>
      </w:r>
      <w:hyperlink r:id="rId7" w:history="1"/>
    </w:p>
    <w:p w:rsidR="00A62607" w:rsidRPr="007D6E0C" w:rsidP="00515EDF" w14:paraId="1808EB3E" w14:textId="77777777">
      <w:pPr>
        <w:pStyle w:val="Heading1"/>
      </w:pPr>
      <w:bookmarkStart w:id="41" w:name="_Toc92617359"/>
      <w:bookmarkStart w:id="42" w:name="_Toc92790575"/>
      <w:bookmarkStart w:id="43" w:name="_Toc93202813"/>
      <w:bookmarkStart w:id="44" w:name="_Toc93211428"/>
      <w:bookmarkStart w:id="45" w:name="_Toc93232825"/>
      <w:bookmarkStart w:id="46" w:name="_Toc93234680"/>
      <w:bookmarkStart w:id="47" w:name="_Toc93823535"/>
      <w:bookmarkStart w:id="48" w:name="_Toc93838109"/>
      <w:bookmarkStart w:id="49" w:name="_Toc94410230"/>
      <w:bookmarkStart w:id="50" w:name="_Toc94425726"/>
      <w:bookmarkStart w:id="51" w:name="_Toc94523115"/>
      <w:bookmarkStart w:id="52" w:name="_Toc94529950"/>
      <w:bookmarkStart w:id="53" w:name="_Toc94695355"/>
      <w:bookmarkStart w:id="54" w:name="_Toc95053167"/>
      <w:bookmarkStart w:id="55" w:name="_Toc95185664"/>
      <w:bookmarkStart w:id="56" w:name="_Toc263955112"/>
      <w:bookmarkStart w:id="57" w:name="_Toc264045072"/>
      <w:bookmarkStart w:id="58" w:name="_Toc264358614"/>
      <w:bookmarkStart w:id="59" w:name="_Toc264469653"/>
      <w:bookmarkStart w:id="60" w:name="_Toc264626495"/>
      <w:bookmarkStart w:id="61" w:name="_Toc265149304"/>
      <w:bookmarkStart w:id="62" w:name="_Toc266187830"/>
      <w:bookmarkStart w:id="63" w:name="_Toc266448383"/>
      <w:bookmarkStart w:id="64" w:name="_Toc287607309"/>
      <w:bookmarkStart w:id="65" w:name="_Toc287607354"/>
      <w:bookmarkStart w:id="66" w:name="_Toc287619859"/>
      <w:bookmarkStart w:id="67" w:name="_Toc288826994"/>
      <w:bookmarkStart w:id="68" w:name="_Toc288827028"/>
      <w:bookmarkStart w:id="69" w:name="_Toc288827050"/>
      <w:bookmarkStart w:id="70" w:name="_Toc288835903"/>
      <w:bookmarkStart w:id="71" w:name="_Toc289258221"/>
      <w:bookmarkStart w:id="72" w:name="_Toc289272404"/>
      <w:bookmarkStart w:id="73" w:name="_Toc289710298"/>
      <w:bookmarkStart w:id="74" w:name="_Toc290020770"/>
      <w:bookmarkStart w:id="75" w:name="_Toc290020792"/>
      <w:bookmarkStart w:id="76" w:name="_Toc290020826"/>
      <w:bookmarkStart w:id="77" w:name="_Toc290036639"/>
      <w:bookmarkStart w:id="78" w:name="_Toc291091405"/>
      <w:bookmarkStart w:id="79" w:name="_Toc291091478"/>
      <w:bookmarkStart w:id="80" w:name="_Toc291489016"/>
      <w:bookmarkStart w:id="81" w:name="_Toc291489466"/>
      <w:bookmarkStart w:id="82" w:name="_Toc291843201"/>
      <w:bookmarkStart w:id="83" w:name="_Toc296071938"/>
      <w:bookmarkStart w:id="84" w:name="_Toc296071963"/>
      <w:bookmarkStart w:id="85" w:name="_Toc299702986"/>
      <w:bookmarkStart w:id="86" w:name="_Toc299703011"/>
      <w:bookmarkStart w:id="87" w:name="_Toc321413807"/>
      <w:bookmarkStart w:id="88" w:name="_Toc32311300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D6E0C">
        <w:t>ORDERING CLAUSES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A62607" w:rsidRPr="00F137D6" w:rsidP="00515EDF" w14:paraId="2935725B" w14:textId="5B9C8C7B">
      <w:pPr>
        <w:pStyle w:val="ParaNum"/>
      </w:pPr>
      <w:r w:rsidRPr="001F594E">
        <w:rPr>
          <w:b/>
          <w:bCs/>
        </w:rPr>
        <w:t>IT IS ORDERED</w:t>
      </w:r>
      <w:r w:rsidRPr="00F137D6">
        <w:t xml:space="preserve">, </w:t>
      </w:r>
      <w:r w:rsidRPr="000F00CA" w:rsidR="00960A79">
        <w:t>pursuant</w:t>
      </w:r>
      <w:r w:rsidR="00960A79">
        <w:t xml:space="preserve"> to sections 4(</w:t>
      </w:r>
      <w:r w:rsidR="00960A79">
        <w:t>i</w:t>
      </w:r>
      <w:r w:rsidR="00960A79">
        <w:t>), 4(j), 13, 201(b), 254, 257, 301, 303, 316, and 332 of the Communications Act of 1934, as amended, 47 U.S.C. §§ 154(</w:t>
      </w:r>
      <w:r w:rsidR="00960A79">
        <w:t>i</w:t>
      </w:r>
      <w:r w:rsidR="00960A79">
        <w:t xml:space="preserve">), 154(j), 163, 201(b), 254, 257, 301, 303, 316, 332, section 60504 of the Infrastructure Investment and Jobs Act, Pub. L. 117-58, 135 Stat. 429 (2021), and section 904 of the Consolidated Appropriations Act, 2021, Pub. L. No. 116-260, 134 Stat. 1182 (2020), as amended, </w:t>
      </w:r>
      <w:r w:rsidRPr="00F137D6">
        <w:t xml:space="preserve">that this </w:t>
      </w:r>
      <w:r w:rsidRPr="000F00CA">
        <w:t>Order on Reconsideration</w:t>
      </w:r>
      <w:r w:rsidRPr="001F594E">
        <w:rPr>
          <w:i/>
          <w:iCs/>
        </w:rPr>
        <w:t xml:space="preserve"> </w:t>
      </w:r>
      <w:r w:rsidRPr="001F594E">
        <w:rPr>
          <w:b/>
          <w:bCs/>
        </w:rPr>
        <w:t>IS ADOPTED</w:t>
      </w:r>
      <w:r w:rsidR="001F594E">
        <w:t>, and that Part 8 of the Commission’s rules, 47 CFR Part 8, is amended as set forth in Appendix A.</w:t>
      </w:r>
    </w:p>
    <w:p w:rsidR="00A62607" w:rsidP="00515EDF" w14:paraId="0270D5D1" w14:textId="463905F0">
      <w:pPr>
        <w:pStyle w:val="ParaNum"/>
      </w:pPr>
      <w:r w:rsidRPr="00F137D6">
        <w:rPr>
          <w:b/>
          <w:bCs/>
        </w:rPr>
        <w:t>IT IS FURTHER ORDERED</w:t>
      </w:r>
      <w:r w:rsidRPr="00F137D6">
        <w:t xml:space="preserve"> that th</w:t>
      </w:r>
      <w:r w:rsidR="001E4BBC">
        <w:t xml:space="preserve">is </w:t>
      </w:r>
      <w:r w:rsidRPr="000F00CA">
        <w:rPr>
          <w:iCs/>
        </w:rPr>
        <w:t>Order on Reconsideration</w:t>
      </w:r>
      <w:r w:rsidRPr="00F137D6">
        <w:rPr>
          <w:i/>
        </w:rPr>
        <w:t xml:space="preserve"> </w:t>
      </w:r>
      <w:r w:rsidRPr="00F137D6">
        <w:rPr>
          <w:b/>
          <w:bCs/>
        </w:rPr>
        <w:t>SHALL BE EFFECTIVE</w:t>
      </w:r>
      <w:r w:rsidRPr="00F137D6">
        <w:t xml:space="preserve"> </w:t>
      </w:r>
      <w:r w:rsidRPr="00E64756" w:rsidR="00E64756">
        <w:t>upon publication in the Federal Register.  Compliance with the amendments to section 8.1(a)(1) of the Commission's rules, 47 CFR § 8.1(a)(1), which may contain new or modified information collection requirements, will not be required until the la</w:t>
      </w:r>
      <w:r w:rsidR="000F00CA">
        <w:t>t</w:t>
      </w:r>
      <w:r w:rsidRPr="00E64756" w:rsidR="00E64756">
        <w:t xml:space="preserve">er of: </w:t>
      </w:r>
      <w:r w:rsidR="000F00CA">
        <w:t xml:space="preserve"> </w:t>
      </w:r>
      <w:r w:rsidRPr="00E64756" w:rsidR="00E64756">
        <w:t>i</w:t>
      </w:r>
      <w:r w:rsidRPr="00E64756" w:rsidR="00E64756">
        <w:t xml:space="preserve">) the compliance dates for the amendments to section 8.1(a)(1) effected in FCC 22-86, to be announced by the Consumer </w:t>
      </w:r>
      <w:r w:rsidR="005D70CF">
        <w:t>and</w:t>
      </w:r>
      <w:r w:rsidRPr="00E64756" w:rsidR="00E64756">
        <w:t xml:space="preserve"> Governmental Affairs Bureau, which will be one year after OMB completes its review of requirements the Consumer and Governmental Affairs Bureau has determined are subject to the Paperwork Reduction Act for providers with 100,000 or fewer subscribers and six months after OMB completes its review of the requirements the Consumer and Governmental Affairs Bureau has determined are subject to the Paperwork Reduction Act for all other providers; or ii) completion of OMB review of any information collection requirements in the amendments to section 8.1(a)(1) in this Order on Reconsideration that the Consumer </w:t>
      </w:r>
      <w:r w:rsidR="005D70CF">
        <w:t>and</w:t>
      </w:r>
      <w:r w:rsidRPr="00E64756" w:rsidR="00E64756">
        <w:t xml:space="preserve"> Governmental Affairs Bureau determines is required under the Paperwork Reduction Act.  Compliance with the amendments to section 8.1(a)(2) of the Commission's rules, 47 CFR § 8.1(a)(2), which may contain new or modified information collection requirements, will not be required until the later of</w:t>
      </w:r>
      <w:r w:rsidR="000F00CA">
        <w:t xml:space="preserve">: </w:t>
      </w:r>
      <w:r w:rsidRPr="00E64756" w:rsidR="00E64756">
        <w:t xml:space="preserve"> </w:t>
      </w:r>
      <w:r w:rsidRPr="00E64756" w:rsidR="00E64756">
        <w:t>i</w:t>
      </w:r>
      <w:r w:rsidRPr="00E64756" w:rsidR="00E64756">
        <w:t xml:space="preserve">) the compliance dates for the amendments to section 8.1(a)(2) (other than the requirement to make labels accessible in online account portals) effected in FCC 22-86, to be announced by the Consumer </w:t>
      </w:r>
      <w:r w:rsidR="0075661F">
        <w:t>and</w:t>
      </w:r>
      <w:r w:rsidRPr="00E64756" w:rsidR="00E64756">
        <w:t xml:space="preserve"> Governmental Affairs Bureau, which will be one year after OMB completes its review of the requirements the Consumer and Governmental Affairs Bureau has determined are subject to the Paperwork Reduction Act for providers with 100,000 or fewer subscribers and six months after OMB completes its review of the requirements the Consumer and Governmental Affairs Bureau has determined are subject to the Paperwork Reduction Act for all other providers; or ii) completion of OMB review of any information collection requirements in the amendments to section 8.1(a)(2) in this Order on Reconsideration that the Consumer </w:t>
      </w:r>
      <w:r w:rsidR="0075661F">
        <w:t>and</w:t>
      </w:r>
      <w:r w:rsidRPr="00E64756" w:rsidR="00E64756">
        <w:t xml:space="preserve"> Governmental Affairs Bureau determines is required under the Paperwork Reduction Act.  The Commission directs the Consumer </w:t>
      </w:r>
      <w:r w:rsidR="005D70CF">
        <w:t>and</w:t>
      </w:r>
      <w:r w:rsidRPr="00E64756" w:rsidR="00E64756">
        <w:t xml:space="preserve"> Governmental Affairs Bureau to announce the compliance dates for section 8.1(a)(1) and section 8.1(a)(2) by subsequent Public Notice and to cause section 8.1(a)(1) and section 8.1(a)(2) to be revised accordingly.</w:t>
      </w:r>
    </w:p>
    <w:p w:rsidR="00A62607" w:rsidRPr="00D54B6E" w:rsidP="00515EDF" w14:paraId="3DC774B7" w14:textId="0C1E09A8">
      <w:pPr>
        <w:pStyle w:val="ParaNum"/>
      </w:pPr>
      <w:r>
        <w:rPr>
          <w:b/>
          <w:bCs/>
        </w:rPr>
        <w:t xml:space="preserve">IT IS FURTHER ORDERED </w:t>
      </w:r>
      <w:r w:rsidRPr="007B4D2A">
        <w:t>that, pursuant to 47 CFR § 1.4</w:t>
      </w:r>
      <w:r>
        <w:t xml:space="preserve">(b)(1), the period for filing petitions for reconsideration or petitions for judicial review of any aspect of this </w:t>
      </w:r>
      <w:r w:rsidRPr="000F00CA">
        <w:t xml:space="preserve">Order on Reconsideration </w:t>
      </w:r>
      <w:r>
        <w:t xml:space="preserve">will commence on the date that a summary of this </w:t>
      </w:r>
      <w:r w:rsidRPr="000F00CA">
        <w:t>Order on Reconsideration</w:t>
      </w:r>
      <w:r w:rsidRPr="007B4D2A">
        <w:rPr>
          <w:i/>
          <w:iCs/>
        </w:rPr>
        <w:t xml:space="preserve"> </w:t>
      </w:r>
      <w:r>
        <w:t>is published in the Federal Register.</w:t>
      </w:r>
    </w:p>
    <w:p w:rsidR="00A62607" w:rsidP="00515EDF" w14:paraId="3E6016DD" w14:textId="1F2172D9">
      <w:pPr>
        <w:pStyle w:val="ParaNum"/>
      </w:pPr>
      <w:r w:rsidRPr="003F0ACE">
        <w:rPr>
          <w:b/>
          <w:bCs/>
        </w:rPr>
        <w:t xml:space="preserve">IT IS </w:t>
      </w:r>
      <w:r w:rsidRPr="00C075DA">
        <w:rPr>
          <w:b/>
          <w:bCs/>
        </w:rPr>
        <w:t>FURTHER</w:t>
      </w:r>
      <w:r w:rsidRPr="003F0ACE">
        <w:rPr>
          <w:b/>
          <w:bCs/>
        </w:rPr>
        <w:t xml:space="preserve"> ORDERED </w:t>
      </w:r>
      <w:r>
        <w:t xml:space="preserve">that the </w:t>
      </w:r>
      <w:r w:rsidRPr="00CF428D">
        <w:t>Petition</w:t>
      </w:r>
      <w:r>
        <w:t>s</w:t>
      </w:r>
      <w:r w:rsidRPr="00CF428D">
        <w:t xml:space="preserve"> for Reconsideration filed by </w:t>
      </w:r>
      <w:r>
        <w:t xml:space="preserve">ACA </w:t>
      </w:r>
      <w:r w:rsidR="001E4BBC">
        <w:t>Connects</w:t>
      </w:r>
      <w:r>
        <w:t xml:space="preserve"> et al.</w:t>
      </w:r>
      <w:r w:rsidR="001E4BBC">
        <w:t>, Cincinnati Bell et al.,</w:t>
      </w:r>
      <w:r>
        <w:t xml:space="preserve"> and </w:t>
      </w:r>
      <w:r w:rsidR="001E4BBC">
        <w:rPr>
          <w:spacing w:val="-2"/>
        </w:rPr>
        <w:t>CTIA</w:t>
      </w:r>
      <w:r w:rsidRPr="00CF428D">
        <w:t xml:space="preserve"> in CG Docket </w:t>
      </w:r>
      <w:r>
        <w:t xml:space="preserve">No. </w:t>
      </w:r>
      <w:r w:rsidR="001E4BBC">
        <w:t>22-2</w:t>
      </w:r>
      <w:r w:rsidRPr="00CF428D">
        <w:t xml:space="preserve"> on </w:t>
      </w:r>
      <w:r w:rsidR="00912001">
        <w:t>January 17, 2023</w:t>
      </w:r>
      <w:r>
        <w:t>,</w:t>
      </w:r>
      <w:r w:rsidRPr="00CF428D">
        <w:t xml:space="preserve"> </w:t>
      </w:r>
      <w:r>
        <w:rPr>
          <w:b/>
          <w:bCs/>
        </w:rPr>
        <w:t>ARE</w:t>
      </w:r>
      <w:r w:rsidRPr="003F0ACE">
        <w:rPr>
          <w:b/>
          <w:bCs/>
        </w:rPr>
        <w:t xml:space="preserve"> GRANTED</w:t>
      </w:r>
      <w:r>
        <w:rPr>
          <w:b/>
          <w:bCs/>
        </w:rPr>
        <w:t xml:space="preserve"> IN PART and </w:t>
      </w:r>
      <w:r w:rsidR="004F2248">
        <w:rPr>
          <w:b/>
          <w:bCs/>
        </w:rPr>
        <w:t xml:space="preserve">otherwise </w:t>
      </w:r>
      <w:r>
        <w:rPr>
          <w:b/>
          <w:bCs/>
        </w:rPr>
        <w:t>DENIED</w:t>
      </w:r>
      <w:r>
        <w:t>.</w:t>
      </w:r>
    </w:p>
    <w:p w:rsidR="00171BBD" w:rsidP="00515EDF" w14:paraId="7042F1F1" w14:textId="55DEEDFA">
      <w:pPr>
        <w:pStyle w:val="ParaNum"/>
      </w:pPr>
      <w:r w:rsidRPr="005D7ACE">
        <w:rPr>
          <w:b/>
          <w:bCs/>
        </w:rPr>
        <w:t>IT IS FURTHER ORDERED</w:t>
      </w:r>
      <w:r>
        <w:t xml:space="preserve"> that the Commission’s </w:t>
      </w:r>
      <w:r w:rsidR="00133B4D">
        <w:t>Office of the Managing Director</w:t>
      </w:r>
      <w:r>
        <w:t xml:space="preserve">, Reference Information Center, </w:t>
      </w:r>
      <w:r w:rsidRPr="005D7ACE">
        <w:rPr>
          <w:b/>
          <w:bCs/>
        </w:rPr>
        <w:t>SHALL SEND</w:t>
      </w:r>
      <w:r>
        <w:t xml:space="preserve"> a copy of this </w:t>
      </w:r>
      <w:r w:rsidRPr="000F00CA" w:rsidR="005D7ACE">
        <w:t>Order on Reconsideration</w:t>
      </w:r>
      <w:r>
        <w:t>, including the</w:t>
      </w:r>
      <w:r w:rsidR="005D7ACE">
        <w:t xml:space="preserve"> Supplemental </w:t>
      </w:r>
      <w:r>
        <w:t>Final Regulatory Flexibility Analys</w:t>
      </w:r>
      <w:r w:rsidR="005D7ACE">
        <w:t xml:space="preserve">is, </w:t>
      </w:r>
      <w:r>
        <w:t>to the Chief Counsel for Advocacy of the Small Business Administration.</w:t>
      </w:r>
    </w:p>
    <w:p w:rsidR="00306850" w:rsidRPr="007D6E0C" w:rsidP="00515EDF" w14:paraId="4B074D03" w14:textId="6C98F77F">
      <w:pPr>
        <w:pStyle w:val="ParaNum"/>
      </w:pPr>
      <w:r w:rsidRPr="00306850">
        <w:rPr>
          <w:b/>
          <w:bCs/>
        </w:rPr>
        <w:t>IT IS FURTHER ORDERED</w:t>
      </w:r>
      <w:r>
        <w:t xml:space="preserve"> that the Office of the Managing Director, Performance Evaluation and Records Management, </w:t>
      </w:r>
      <w:r w:rsidRPr="00306850">
        <w:rPr>
          <w:b/>
          <w:bCs/>
        </w:rPr>
        <w:t>SHALL SEND</w:t>
      </w:r>
      <w:r>
        <w:t xml:space="preserve"> a copy of this </w:t>
      </w:r>
      <w:r w:rsidR="000F00CA">
        <w:t>Order on Reconsideration</w:t>
      </w:r>
      <w:r>
        <w:t xml:space="preserve"> in a report to be sent to Congress and to the Governmental Accountability Office pursuant to the Congressional Review Act, see 5 U.S.C. § 801(a)(1)(A).</w:t>
      </w:r>
    </w:p>
    <w:bookmarkEnd w:id="1"/>
    <w:bookmarkEnd w:id="2"/>
    <w:p w:rsidR="00A62607" w:rsidRPr="007D6E0C" w:rsidP="00A62607" w14:paraId="075A02A4" w14:textId="77777777">
      <w:pPr>
        <w:spacing w:after="120"/>
      </w:pPr>
      <w:r w:rsidRPr="007D6E0C">
        <w:tab/>
      </w:r>
      <w:r w:rsidRPr="007D6E0C">
        <w:tab/>
      </w:r>
      <w:r w:rsidRPr="007D6E0C">
        <w:tab/>
      </w:r>
      <w:r w:rsidRPr="007D6E0C">
        <w:tab/>
      </w:r>
      <w:r w:rsidRPr="007D6E0C">
        <w:tab/>
      </w:r>
      <w:r w:rsidRPr="007D6E0C">
        <w:tab/>
        <w:t>FEDERAL COMMUNICATIONS COMMISSION</w:t>
      </w:r>
    </w:p>
    <w:p w:rsidR="00A62607" w:rsidRPr="007D6E0C" w:rsidP="00A62607" w14:paraId="232405B4" w14:textId="77777777"/>
    <w:p w:rsidR="00A62607" w:rsidRPr="007D6E0C" w:rsidP="00A62607" w14:paraId="37FB7FBE" w14:textId="77777777"/>
    <w:p w:rsidR="00A62607" w:rsidRPr="007D6E0C" w:rsidP="00A62607" w14:paraId="46605C16" w14:textId="77777777"/>
    <w:p w:rsidR="00A62607" w:rsidRPr="007D6E0C" w:rsidP="00A62607" w14:paraId="79B99D71" w14:textId="77777777"/>
    <w:p w:rsidR="00A62607" w:rsidRPr="007D6E0C" w:rsidP="00A62607" w14:paraId="60D9F601" w14:textId="77777777">
      <w:r w:rsidRPr="007D6E0C">
        <w:tab/>
      </w:r>
      <w:r w:rsidRPr="007D6E0C">
        <w:tab/>
      </w:r>
      <w:r w:rsidRPr="007D6E0C">
        <w:tab/>
      </w:r>
      <w:r w:rsidRPr="007D6E0C">
        <w:tab/>
      </w:r>
      <w:r w:rsidRPr="007D6E0C">
        <w:tab/>
      </w:r>
      <w:r w:rsidRPr="007D6E0C">
        <w:tab/>
        <w:t>Marlene H. Dortch</w:t>
      </w:r>
    </w:p>
    <w:p w:rsidR="000E34FE" w:rsidP="000E34FE" w14:paraId="2A7A630F" w14:textId="77777777">
      <w:pPr>
        <w:sectPr w:rsidSect="00A6260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cols w:space="720"/>
          <w:noEndnote/>
          <w:titlePg/>
        </w:sectPr>
      </w:pPr>
      <w:r w:rsidRPr="007D6E0C">
        <w:tab/>
      </w:r>
      <w:r w:rsidRPr="007D6E0C">
        <w:tab/>
      </w:r>
      <w:r w:rsidRPr="007D6E0C">
        <w:tab/>
      </w:r>
      <w:r w:rsidRPr="007D6E0C">
        <w:tab/>
      </w:r>
      <w:r w:rsidRPr="007D6E0C">
        <w:tab/>
      </w:r>
      <w:r w:rsidRPr="007D6E0C">
        <w:tab/>
        <w:t>Secretary</w:t>
      </w:r>
    </w:p>
    <w:p w:rsidR="00777156" w:rsidRPr="00A048FF" w:rsidP="000E34FE" w14:paraId="41247439" w14:textId="6346ACEF">
      <w:pPr>
        <w:jc w:val="center"/>
        <w:rPr>
          <w:b/>
        </w:rPr>
      </w:pPr>
      <w:r w:rsidRPr="00A048FF">
        <w:rPr>
          <w:b/>
        </w:rPr>
        <w:t>APPENDIX A</w:t>
      </w:r>
    </w:p>
    <w:p w:rsidR="00777156" w:rsidRPr="00A048FF" w:rsidP="00777156" w14:paraId="2E8B89E5" w14:textId="77777777">
      <w:pPr>
        <w:jc w:val="center"/>
        <w:rPr>
          <w:b/>
        </w:rPr>
      </w:pPr>
      <w:r w:rsidRPr="00A048FF">
        <w:rPr>
          <w:b/>
        </w:rPr>
        <w:t>Final Rules</w:t>
      </w:r>
    </w:p>
    <w:p w:rsidR="00777156" w:rsidRPr="00A048FF" w:rsidP="00777156" w14:paraId="3A35F234" w14:textId="77777777"/>
    <w:p w:rsidR="00777156" w:rsidRPr="00A048FF" w:rsidP="00777156" w14:paraId="429990D4" w14:textId="76C08462">
      <w:r w:rsidRPr="00A048FF">
        <w:t xml:space="preserve">The Federal Communications Commission amends Part 8 of Title 47 of the Code of Federal Regulations </w:t>
      </w:r>
      <w:r w:rsidR="00D72567">
        <w:t xml:space="preserve">to read </w:t>
      </w:r>
      <w:r w:rsidRPr="00A048FF">
        <w:t>as follows:</w:t>
      </w:r>
    </w:p>
    <w:p w:rsidR="00777156" w:rsidRPr="00A048FF" w:rsidP="00777156" w14:paraId="1855E9FD" w14:textId="77777777"/>
    <w:p w:rsidR="00777156" w:rsidRPr="00A048FF" w:rsidP="00777156" w14:paraId="32FE41A3" w14:textId="77777777">
      <w:r w:rsidRPr="00A048FF">
        <w:t>PART 8 – INTERNET FREEDOM</w:t>
      </w:r>
    </w:p>
    <w:p w:rsidR="00777156" w:rsidRPr="00A048FF" w:rsidP="00777156" w14:paraId="5F28E2EE" w14:textId="77777777"/>
    <w:p w:rsidR="00777156" w:rsidRPr="00A048FF" w:rsidP="00777156" w14:paraId="3E96A0B3" w14:textId="0F15059D">
      <w:r w:rsidRPr="00A048FF">
        <w:t xml:space="preserve">1. </w:t>
      </w:r>
      <w:r w:rsidRPr="00A048FF">
        <w:tab/>
        <w:t>The Authority citation for Part 8</w:t>
      </w:r>
      <w:r w:rsidR="0042260A">
        <w:t xml:space="preserve"> continues</w:t>
      </w:r>
      <w:r w:rsidRPr="00A048FF">
        <w:t xml:space="preserve"> to read as follows:</w:t>
      </w:r>
    </w:p>
    <w:p w:rsidR="00777156" w:rsidRPr="00A048FF" w:rsidP="00777156" w14:paraId="339FBD82" w14:textId="77777777"/>
    <w:p w:rsidR="00777156" w:rsidRPr="00A048FF" w:rsidP="00777156" w14:paraId="1235ECD6" w14:textId="74DA5862">
      <w:r w:rsidRPr="00A048FF">
        <w:t xml:space="preserve">AUTHORITY:  47 U.S.C. 154, 201(b), 257, 303(r), and </w:t>
      </w:r>
      <w:r w:rsidR="00D72567">
        <w:t>1753</w:t>
      </w:r>
      <w:r w:rsidRPr="00A048FF">
        <w:t>.</w:t>
      </w:r>
      <w:r w:rsidRPr="00A048FF">
        <w:br/>
      </w:r>
    </w:p>
    <w:p w:rsidR="00777156" w:rsidRPr="00A048FF" w:rsidP="00777156" w14:paraId="39CB8198" w14:textId="117596C7">
      <w:r w:rsidRPr="00A048FF">
        <w:t xml:space="preserve">2. </w:t>
      </w:r>
      <w:r w:rsidRPr="00A048FF">
        <w:tab/>
        <w:t xml:space="preserve">Section 8.1(a) is amended </w:t>
      </w:r>
      <w:r>
        <w:t xml:space="preserve">by </w:t>
      </w:r>
      <w:r w:rsidR="008E1752">
        <w:t>revising</w:t>
      </w:r>
      <w:r>
        <w:t xml:space="preserve"> paragraph</w:t>
      </w:r>
      <w:r w:rsidR="003428E5">
        <w:t>s (a)(1) and</w:t>
      </w:r>
      <w:r>
        <w:t xml:space="preserve"> (a)(</w:t>
      </w:r>
      <w:r w:rsidR="008E1752">
        <w:t>2</w:t>
      </w:r>
      <w:r>
        <w:t>)</w:t>
      </w:r>
      <w:r w:rsidR="003428E5">
        <w:t xml:space="preserve"> to read</w:t>
      </w:r>
      <w:r>
        <w:t xml:space="preserve"> </w:t>
      </w:r>
      <w:r w:rsidRPr="00A048FF">
        <w:t>as follows:</w:t>
      </w:r>
    </w:p>
    <w:p w:rsidR="00777156" w:rsidRPr="00A048FF" w:rsidP="00777156" w14:paraId="4F37725E" w14:textId="77777777"/>
    <w:p w:rsidR="00777156" w:rsidP="00777156" w14:paraId="1D2B6B4C" w14:textId="5D98FC1B">
      <w:pPr>
        <w:ind w:left="720"/>
      </w:pPr>
      <w:r>
        <w:t xml:space="preserve">(a)  </w:t>
      </w:r>
      <w:r w:rsidR="008E1752">
        <w:t>* * *</w:t>
      </w:r>
      <w:r w:rsidRPr="00A048FF">
        <w:t xml:space="preserve"> </w:t>
      </w:r>
    </w:p>
    <w:p w:rsidR="00777156" w:rsidP="00777156" w14:paraId="25C012B6" w14:textId="77777777">
      <w:pPr>
        <w:ind w:left="720"/>
      </w:pPr>
    </w:p>
    <w:p w:rsidR="00777156" w:rsidP="00777156" w14:paraId="549A8A43" w14:textId="2C4250ED">
      <w:pPr>
        <w:ind w:left="720"/>
      </w:pPr>
      <w:r>
        <w:t xml:space="preserve">(1)  </w:t>
      </w:r>
      <w:r w:rsidRPr="00F640E7" w:rsidR="00F640E7">
        <w:t xml:space="preserve">Any person providing broadband internet access service shall create and display an accurate broadband consumer label for each stand-alone broadband internet access service it currently offers for purchase. The label must be prominently displayed, publicly available, and easily accessible to consumers, including consumers with disabilities, at the point of sale with the content and in the format </w:t>
      </w:r>
      <w:r w:rsidRPr="00927E11" w:rsidR="00F640E7">
        <w:t>prescribed by the Federal Communications Commission (Commission) in figure 1 to this paragraph (a)(1).</w:t>
      </w:r>
      <w:r w:rsidRPr="00927E11" w:rsidR="006572D5">
        <w:t xml:space="preserve"> </w:t>
      </w:r>
      <w:r w:rsidRPr="00F06B22" w:rsidR="006572D5">
        <w:t>[include</w:t>
      </w:r>
      <w:r w:rsidRPr="00F06B22" w:rsidR="00CC1A78">
        <w:t xml:space="preserve"> updated</w:t>
      </w:r>
      <w:r w:rsidRPr="00F06B22" w:rsidR="006572D5">
        <w:t xml:space="preserve"> label template in CFR]</w:t>
      </w:r>
    </w:p>
    <w:p w:rsidR="00B37582" w:rsidRPr="00927E11" w:rsidP="00171446" w14:paraId="541BEB0B" w14:textId="11EE3218">
      <w:pPr>
        <w:ind w:left="720"/>
      </w:pPr>
    </w:p>
    <w:p w:rsidR="00762883" w:rsidRPr="00927E11" w:rsidP="008E1752" w14:paraId="6F8D4CF5" w14:textId="175D5F9C">
      <w:pPr>
        <w:widowControl/>
        <w:ind w:left="720"/>
      </w:pPr>
      <w:r w:rsidRPr="00927E11">
        <w:t xml:space="preserve">(2)  Broadband internet access service providers shall display the label required under section 8.1(a)(1) at each point of sale.  “Point of sale” is defined to mean a provider’s website and any alternate sales channels through which the provider’s broadband internet access service is sold, including a provider-owned retail location, third-party retail location, and over the phone.  For labels displayed on provider websites, the label must be displayed in close proximity to the associated advertised service plan.  “Point of sale” also means the time a consumer begins investigating and comparing broadband service offerings available to them at their location. </w:t>
      </w:r>
      <w:r w:rsidRPr="00927E11" w:rsidR="00341DF8">
        <w:t xml:space="preserve"> </w:t>
      </w:r>
      <w:r w:rsidRPr="00171446" w:rsidR="00341DF8">
        <w:t xml:space="preserve">For alternate sales channels, providers must document each instance when it directs a consumer to a label and retain such documentation for two years.  </w:t>
      </w:r>
      <w:r w:rsidRPr="00171446" w:rsidR="000309D4">
        <w:t>T</w:t>
      </w:r>
      <w:r w:rsidRPr="00171446" w:rsidR="00341DF8">
        <w:t>h</w:t>
      </w:r>
      <w:r w:rsidRPr="00171446" w:rsidR="000309D4">
        <w:t>is</w:t>
      </w:r>
      <w:r w:rsidRPr="00171446" w:rsidR="00341DF8">
        <w:t xml:space="preserve"> requirement will be </w:t>
      </w:r>
      <w:r w:rsidRPr="00171446" w:rsidR="009A2A6F">
        <w:t xml:space="preserve">deemed </w:t>
      </w:r>
      <w:r w:rsidRPr="00171446" w:rsidR="00341DF8">
        <w:t>satisfied if</w:t>
      </w:r>
      <w:r w:rsidRPr="00171446" w:rsidR="0070453B">
        <w:t>,</w:t>
      </w:r>
      <w:r w:rsidRPr="00171446" w:rsidR="0042260A">
        <w:t xml:space="preserve"> instead</w:t>
      </w:r>
      <w:r w:rsidRPr="00171446" w:rsidR="0070453B">
        <w:t>,</w:t>
      </w:r>
      <w:r w:rsidRPr="00171446" w:rsidR="0042260A">
        <w:t xml:space="preserve"> </w:t>
      </w:r>
      <w:r w:rsidRPr="00171446" w:rsidR="00341DF8">
        <w:t>the provider</w:t>
      </w:r>
      <w:r w:rsidRPr="00171446" w:rsidR="0042260A">
        <w:t>: 1)</w:t>
      </w:r>
      <w:r w:rsidRPr="00171446" w:rsidR="00341DF8">
        <w:t xml:space="preserve"> establishes the business practices and processes it will follow in distributing the label through alternative sales channels; 2) retains training materials and related business practice documentation for two years; and 3) provides such information to the Commission upon request, within thirty days</w:t>
      </w:r>
      <w:r w:rsidRPr="00171446" w:rsidR="00A72C1B">
        <w:t xml:space="preserve">. </w:t>
      </w:r>
      <w:r w:rsidRPr="00927E11">
        <w:t xml:space="preserve"> “P</w:t>
      </w:r>
      <w:r w:rsidRPr="00927E11">
        <w:rPr>
          <w:szCs w:val="22"/>
        </w:rPr>
        <w:t>oint of sale” for purposes of the E-Rate and Rural Health Care programs is defined as the time a service provider submits its bid to a program participant.  P</w:t>
      </w:r>
      <w:r w:rsidRPr="00927E11">
        <w:t>roviders participating in the E-Rate and Rural Health Care programs must provide their labels to program participants when they submit their bids to participants.  Broadband internet access service providers that offer online account portals to their customers shall also make each customer’s label easily accessible to the customer in such portals.</w:t>
      </w:r>
    </w:p>
    <w:p w:rsidR="0042260A" w:rsidRPr="00927E11" w:rsidP="008E1752" w14:paraId="75F6A59E" w14:textId="77777777">
      <w:pPr>
        <w:widowControl/>
        <w:ind w:left="720"/>
      </w:pPr>
    </w:p>
    <w:p w:rsidR="0042260A" w:rsidRPr="00927E11" w:rsidP="008E1752" w14:paraId="502A89A9" w14:textId="77777777">
      <w:pPr>
        <w:widowControl/>
        <w:ind w:left="720"/>
      </w:pPr>
    </w:p>
    <w:p w:rsidR="0042260A" w:rsidRPr="00927E11" w:rsidP="008E1752" w14:paraId="0C8237E4" w14:textId="77777777">
      <w:pPr>
        <w:widowControl/>
        <w:ind w:left="720"/>
      </w:pPr>
      <w:r w:rsidRPr="00927E11">
        <w:t>(3) * * *</w:t>
      </w:r>
    </w:p>
    <w:p w:rsidR="005C0D83" w:rsidRPr="00927E11" w:rsidP="008E1752" w14:paraId="4ABF4165" w14:textId="77777777">
      <w:pPr>
        <w:widowControl/>
        <w:ind w:left="720"/>
      </w:pPr>
    </w:p>
    <w:p w:rsidR="001A7CCC" w:rsidRPr="00927E11" w:rsidP="001A7CCC" w14:paraId="700AB5E5" w14:textId="77777777">
      <w:pPr>
        <w:tabs>
          <w:tab w:val="left" w:pos="1080"/>
        </w:tabs>
        <w:ind w:left="720"/>
      </w:pPr>
      <w:r w:rsidRPr="00927E11">
        <w:t>* * * * *</w:t>
      </w:r>
    </w:p>
    <w:p w:rsidR="001A7CCC" w:rsidRPr="00927E11" w:rsidP="008E1752" w14:paraId="69375128" w14:textId="3E53FEA1">
      <w:pPr>
        <w:widowControl/>
        <w:ind w:left="720"/>
        <w:rPr>
          <w:kern w:val="0"/>
        </w:rPr>
      </w:pPr>
      <w:r w:rsidRPr="00927E11">
        <w:rPr>
          <w:kern w:val="0"/>
        </w:rPr>
        <w:t xml:space="preserve"> </w:t>
      </w:r>
    </w:p>
    <w:p w:rsidR="00136723" w:rsidRPr="00927E11" w:rsidP="00D72567" w14:paraId="1FC0795E" w14:textId="70ACFEEB">
      <w:pPr>
        <w:widowControl/>
        <w:ind w:left="720" w:hanging="720"/>
      </w:pPr>
      <w:r w:rsidRPr="00927E11">
        <w:rPr>
          <w:kern w:val="0"/>
        </w:rPr>
        <w:t xml:space="preserve">3.  </w:t>
      </w:r>
      <w:r w:rsidRPr="00927E11">
        <w:rPr>
          <w:kern w:val="0"/>
        </w:rPr>
        <w:tab/>
      </w:r>
      <w:r w:rsidRPr="00927E11">
        <w:t>Section 8.1(b) is amended by revising paragraph (b) to read as follows:</w:t>
      </w:r>
    </w:p>
    <w:p w:rsidR="00D72567" w:rsidRPr="00927E11" w:rsidP="007C2916" w14:paraId="65B2CF80" w14:textId="77777777">
      <w:pPr>
        <w:widowControl/>
        <w:rPr>
          <w:kern w:val="0"/>
        </w:rPr>
      </w:pPr>
    </w:p>
    <w:p w:rsidR="00136723" w:rsidRPr="00927E11" w:rsidP="008E1752" w14:paraId="4F827EFB" w14:textId="07D63D43">
      <w:pPr>
        <w:widowControl/>
        <w:ind w:left="720"/>
        <w:rPr>
          <w:kern w:val="0"/>
        </w:rPr>
      </w:pPr>
      <w:r w:rsidRPr="00927E11">
        <w:rPr>
          <w:kern w:val="0"/>
        </w:rPr>
        <w:t xml:space="preserve">(b)    </w:t>
      </w:r>
      <w:r w:rsidRPr="00927E11" w:rsidR="00945B80">
        <w:rPr>
          <w:kern w:val="0"/>
        </w:rPr>
        <w:t xml:space="preserve">Broadband internet access service is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w:t>
      </w:r>
      <w:r w:rsidRPr="00927E11" w:rsidR="00945B80">
        <w:rPr>
          <w:kern w:val="0"/>
        </w:rPr>
        <w:t>encompasses any service that the Commission finds to be providing a functional equivalent of the service described in the previous sentence or that is used to evade the protections set forth in this part.</w:t>
      </w:r>
      <w:r w:rsidRPr="00927E11" w:rsidR="00815276">
        <w:rPr>
          <w:kern w:val="0"/>
        </w:rPr>
        <w:t xml:space="preserve">  </w:t>
      </w:r>
      <w:r w:rsidRPr="00171446" w:rsidR="00815276">
        <w:rPr>
          <w:kern w:val="0"/>
        </w:rPr>
        <w:t>For purposes of paragraphs (a)(1) through (6)</w:t>
      </w:r>
      <w:r w:rsidRPr="00171446" w:rsidR="00DF2444">
        <w:rPr>
          <w:kern w:val="0"/>
        </w:rPr>
        <w:t xml:space="preserve"> of this section,</w:t>
      </w:r>
      <w:r w:rsidRPr="00171446" w:rsidR="00B33B85">
        <w:rPr>
          <w:kern w:val="0"/>
        </w:rPr>
        <w:t xml:space="preserve"> “mass-market” services exclude service</w:t>
      </w:r>
      <w:r w:rsidRPr="00171446" w:rsidR="00B33B85">
        <w:t xml:space="preserve"> offerings customized for the </w:t>
      </w:r>
      <w:r w:rsidRPr="00171446" w:rsidR="005A70A8">
        <w:t>customer</w:t>
      </w:r>
      <w:r w:rsidRPr="00171446" w:rsidR="00B33B85">
        <w:t xml:space="preserve"> through individually negotiated agreements</w:t>
      </w:r>
      <w:r w:rsidRPr="00171446" w:rsidR="00DF2444">
        <w:rPr>
          <w:kern w:val="0"/>
        </w:rPr>
        <w:t xml:space="preserve"> </w:t>
      </w:r>
      <w:r w:rsidRPr="00171446" w:rsidR="00CB3028">
        <w:rPr>
          <w:kern w:val="0"/>
        </w:rPr>
        <w:t>even when</w:t>
      </w:r>
      <w:r w:rsidRPr="00171446" w:rsidR="005A70A8">
        <w:rPr>
          <w:kern w:val="0"/>
        </w:rPr>
        <w:t xml:space="preserve"> the services are </w:t>
      </w:r>
      <w:r w:rsidRPr="00171446" w:rsidR="00307DC7">
        <w:rPr>
          <w:kern w:val="0"/>
        </w:rPr>
        <w:t>supported by federal universal service support</w:t>
      </w:r>
      <w:r w:rsidRPr="00171446" w:rsidR="008D1E0F">
        <w:rPr>
          <w:kern w:val="0"/>
        </w:rPr>
        <w:t>.</w:t>
      </w:r>
    </w:p>
    <w:p w:rsidR="00136723" w:rsidRPr="00927E11" w:rsidP="008E1752" w14:paraId="0291340A" w14:textId="77777777">
      <w:pPr>
        <w:widowControl/>
        <w:ind w:left="720"/>
        <w:rPr>
          <w:kern w:val="0"/>
        </w:rPr>
      </w:pPr>
    </w:p>
    <w:p w:rsidR="00136723" w:rsidP="008E1752" w14:paraId="3AD69D3C" w14:textId="77777777">
      <w:pPr>
        <w:widowControl/>
        <w:ind w:left="720"/>
        <w:rPr>
          <w:kern w:val="0"/>
        </w:rPr>
      </w:pPr>
    </w:p>
    <w:p w:rsidR="00136723" w:rsidRPr="003C08D7" w:rsidP="00136723" w14:paraId="4496EB48" w14:textId="77777777">
      <w:pPr>
        <w:tabs>
          <w:tab w:val="left" w:pos="1080"/>
        </w:tabs>
        <w:ind w:left="720"/>
      </w:pPr>
      <w:r>
        <w:t>* * * * *</w:t>
      </w:r>
    </w:p>
    <w:p w:rsidR="00515EDF" w:rsidP="00515EDF" w14:paraId="2B1D6613" w14:textId="77777777">
      <w:pPr>
        <w:rPr>
          <w:kern w:val="0"/>
        </w:rPr>
        <w:sectPr w:rsidSect="000E34FE">
          <w:footnotePr>
            <w:numRestart w:val="eachSect"/>
          </w:footnotePr>
          <w:endnotePr>
            <w:numFmt w:val="decimal"/>
          </w:endnotePr>
          <w:pgSz w:w="12240" w:h="15840"/>
          <w:pgMar w:top="1440" w:right="1440" w:bottom="720" w:left="1440" w:header="720" w:footer="720" w:gutter="0"/>
          <w:cols w:space="720"/>
          <w:noEndnote/>
          <w:titlePg/>
        </w:sectPr>
      </w:pPr>
    </w:p>
    <w:p w:rsidR="00A62607" w:rsidP="000E34FE" w14:paraId="347444DE" w14:textId="0816D44F">
      <w:pPr>
        <w:jc w:val="center"/>
        <w:rPr>
          <w:b/>
          <w:bCs/>
        </w:rPr>
      </w:pPr>
      <w:r w:rsidRPr="00296697">
        <w:rPr>
          <w:b/>
          <w:bCs/>
        </w:rPr>
        <w:t>APPENDIX B</w:t>
      </w:r>
    </w:p>
    <w:p w:rsidR="00A62607" w:rsidP="00A62607" w14:paraId="6B82CF1D" w14:textId="77777777">
      <w:pPr>
        <w:jc w:val="center"/>
        <w:rPr>
          <w:b/>
          <w:bCs/>
        </w:rPr>
      </w:pPr>
    </w:p>
    <w:p w:rsidR="00A62607" w:rsidP="00A62607" w14:paraId="14507CE8" w14:textId="77777777">
      <w:pPr>
        <w:jc w:val="center"/>
        <w:rPr>
          <w:b/>
          <w:bCs/>
        </w:rPr>
      </w:pPr>
      <w:r>
        <w:rPr>
          <w:b/>
          <w:bCs/>
        </w:rPr>
        <w:t>Supplemental Final Regulatory Flexibility Analysis</w:t>
      </w:r>
    </w:p>
    <w:p w:rsidR="00A62607" w:rsidP="00A62607" w14:paraId="6ED47D03" w14:textId="77777777">
      <w:pPr>
        <w:jc w:val="center"/>
        <w:rPr>
          <w:b/>
          <w:bCs/>
        </w:rPr>
      </w:pPr>
    </w:p>
    <w:p w:rsidR="00A62607" w:rsidRPr="00A62607" w:rsidP="008F6AE8" w14:paraId="68CCC6C9" w14:textId="7DF08C73">
      <w:pPr>
        <w:pStyle w:val="ParaNum"/>
        <w:numPr>
          <w:ilvl w:val="0"/>
          <w:numId w:val="18"/>
        </w:numPr>
        <w:tabs>
          <w:tab w:val="clear" w:pos="1080"/>
          <w:tab w:val="num" w:pos="1440"/>
        </w:tabs>
      </w:pPr>
      <w:r w:rsidRPr="00A62607">
        <w:t>As required by the Regulatory Flexibility Act of 1980, as amended (RFA),</w:t>
      </w:r>
      <w:r>
        <w:rPr>
          <w:vertAlign w:val="superscript"/>
        </w:rPr>
        <w:footnoteReference w:id="62"/>
      </w:r>
      <w:r w:rsidRPr="00A62607">
        <w:t xml:space="preserve"> an Initial Regulatory Flexibility </w:t>
      </w:r>
      <w:r w:rsidRPr="00B65BA6">
        <w:t>Analysis</w:t>
      </w:r>
      <w:r w:rsidRPr="00A62607">
        <w:t xml:space="preserve"> (IRFA) was incorporated in the </w:t>
      </w:r>
      <w:r w:rsidRPr="008F6AE8" w:rsidR="00777156">
        <w:rPr>
          <w:i/>
          <w:iCs/>
        </w:rPr>
        <w:t xml:space="preserve">Broadband Label </w:t>
      </w:r>
      <w:r w:rsidRPr="008F6AE8">
        <w:rPr>
          <w:i/>
          <w:iCs/>
        </w:rPr>
        <w:t>NPRM</w:t>
      </w:r>
      <w:r w:rsidRPr="00A62607">
        <w:t>.</w:t>
      </w:r>
      <w:r>
        <w:rPr>
          <w:rStyle w:val="FootnoteReference"/>
          <w:szCs w:val="22"/>
        </w:rPr>
        <w:footnoteReference w:id="63"/>
      </w:r>
      <w:r w:rsidRPr="00A62607">
        <w:t xml:space="preserve"> </w:t>
      </w:r>
      <w:r w:rsidR="007F4200">
        <w:t xml:space="preserve"> </w:t>
      </w:r>
      <w:r w:rsidRPr="00A62607">
        <w:t xml:space="preserve">The Commission sought written public comment on the proposals in the </w:t>
      </w:r>
      <w:r w:rsidRPr="008F6AE8" w:rsidR="00777156">
        <w:rPr>
          <w:i/>
          <w:iCs/>
        </w:rPr>
        <w:t>Broadband Label</w:t>
      </w:r>
      <w:r w:rsidRPr="008F6AE8">
        <w:rPr>
          <w:i/>
          <w:iCs/>
        </w:rPr>
        <w:t xml:space="preserve"> NPRM</w:t>
      </w:r>
      <w:r w:rsidRPr="00A62607">
        <w:t>, including comment on the IRFA.</w:t>
      </w:r>
      <w:r>
        <w:rPr>
          <w:rStyle w:val="FootnoteReference"/>
          <w:szCs w:val="22"/>
        </w:rPr>
        <w:footnoteReference w:id="64"/>
      </w:r>
      <w:r w:rsidRPr="00A62607">
        <w:t xml:space="preserve">  The Commission subsequently incorporated a Final Regulatory Flexibility Analysis (FRFA) in the </w:t>
      </w:r>
      <w:r w:rsidRPr="008F6AE8" w:rsidR="00777156">
        <w:rPr>
          <w:i/>
          <w:iCs/>
        </w:rPr>
        <w:t>Broadband Label</w:t>
      </w:r>
      <w:r w:rsidRPr="008F6AE8">
        <w:rPr>
          <w:i/>
          <w:iCs/>
        </w:rPr>
        <w:t xml:space="preserve"> Order</w:t>
      </w:r>
      <w:r w:rsidRPr="00A62607">
        <w:t>.</w:t>
      </w:r>
      <w:r>
        <w:rPr>
          <w:rStyle w:val="FootnoteReference"/>
          <w:szCs w:val="22"/>
        </w:rPr>
        <w:footnoteReference w:id="65"/>
      </w:r>
      <w:r w:rsidRPr="00A62607">
        <w:t xml:space="preserve">  This Supplemental </w:t>
      </w:r>
      <w:r w:rsidR="00AD446E">
        <w:t xml:space="preserve">Final Regulatory Flexibility Analysis (Supplemental </w:t>
      </w:r>
      <w:r w:rsidRPr="00A62607">
        <w:t>FRFA</w:t>
      </w:r>
      <w:r w:rsidR="00AD446E">
        <w:t>)</w:t>
      </w:r>
      <w:r w:rsidRPr="00A62607">
        <w:t xml:space="preserve"> incorporates by reference the FRFA in the </w:t>
      </w:r>
      <w:r w:rsidRPr="008F6AE8" w:rsidR="00777156">
        <w:rPr>
          <w:i/>
          <w:iCs/>
        </w:rPr>
        <w:t>Broadband Label</w:t>
      </w:r>
      <w:r w:rsidRPr="008F6AE8">
        <w:rPr>
          <w:i/>
          <w:iCs/>
        </w:rPr>
        <w:t xml:space="preserve"> Order</w:t>
      </w:r>
      <w:r w:rsidR="00AD446E">
        <w:t xml:space="preserve"> and</w:t>
      </w:r>
      <w:r w:rsidRPr="00A62607">
        <w:t xml:space="preserve"> reflects changes to the Commission’s rules arising from </w:t>
      </w:r>
      <w:r w:rsidR="00AD446E">
        <w:t xml:space="preserve">actions taken in </w:t>
      </w:r>
      <w:r w:rsidRPr="00A62607">
        <w:t>th</w:t>
      </w:r>
      <w:r w:rsidR="00AD446E">
        <w:t>e</w:t>
      </w:r>
      <w:r w:rsidRPr="00A62607">
        <w:t xml:space="preserve"> </w:t>
      </w:r>
      <w:r w:rsidRPr="000F00CA">
        <w:t>Order on Reconsideration</w:t>
      </w:r>
      <w:r w:rsidR="00777156">
        <w:t xml:space="preserve"> </w:t>
      </w:r>
      <w:r w:rsidRPr="000D335B" w:rsidR="00777156">
        <w:t>(</w:t>
      </w:r>
      <w:r w:rsidRPr="008F6AE8" w:rsidR="00777156">
        <w:rPr>
          <w:i/>
          <w:iCs/>
        </w:rPr>
        <w:t>Order</w:t>
      </w:r>
      <w:r w:rsidRPr="000D335B" w:rsidR="00777156">
        <w:t>)</w:t>
      </w:r>
      <w:r w:rsidRPr="00A62607">
        <w:t xml:space="preserve"> in response to th</w:t>
      </w:r>
      <w:r w:rsidR="00AD446E">
        <w:t>ree</w:t>
      </w:r>
      <w:r w:rsidRPr="00A62607">
        <w:t xml:space="preserve"> Petitions for Reconsideration</w:t>
      </w:r>
      <w:r w:rsidR="00AD446E">
        <w:t xml:space="preserve"> of the </w:t>
      </w:r>
      <w:r w:rsidRPr="008F6AE8" w:rsidR="00AD446E">
        <w:rPr>
          <w:i/>
          <w:iCs/>
        </w:rPr>
        <w:t>Broadband Label Order</w:t>
      </w:r>
      <w:r w:rsidRPr="00A62607">
        <w:t xml:space="preserve"> filed by </w:t>
      </w:r>
      <w:r w:rsidRPr="001D07B4">
        <w:t xml:space="preserve">ACA </w:t>
      </w:r>
      <w:r w:rsidR="00777156">
        <w:t>Connects</w:t>
      </w:r>
      <w:r w:rsidRPr="001D07B4">
        <w:t xml:space="preserve"> et al</w:t>
      </w:r>
      <w:r>
        <w:t>.</w:t>
      </w:r>
      <w:r w:rsidR="00777156">
        <w:t xml:space="preserve">, Cincinnati Bell et al. </w:t>
      </w:r>
      <w:r>
        <w:t xml:space="preserve">and </w:t>
      </w:r>
      <w:r w:rsidR="00777156">
        <w:t>CTIA</w:t>
      </w:r>
      <w:r>
        <w:rPr>
          <w:rStyle w:val="FootnoteReference"/>
        </w:rPr>
        <w:footnoteReference w:id="66"/>
      </w:r>
      <w:r w:rsidR="00AD446E">
        <w:t xml:space="preserve"> and </w:t>
      </w:r>
      <w:r w:rsidRPr="00A62607" w:rsidR="00AD446E">
        <w:t>conforms to the RFA</w:t>
      </w:r>
      <w:r w:rsidR="00AD446E">
        <w:t>.</w:t>
      </w:r>
      <w:r>
        <w:rPr>
          <w:rStyle w:val="FootnoteReference"/>
        </w:rPr>
        <w:footnoteReference w:id="67"/>
      </w:r>
    </w:p>
    <w:p w:rsidR="003E1A3E" w:rsidRPr="000B1051" w:rsidP="00013911" w14:paraId="64590429" w14:textId="77777777">
      <w:pPr>
        <w:pStyle w:val="Heading2"/>
      </w:pPr>
      <w:bookmarkStart w:id="89" w:name="_Toc10643951"/>
      <w:bookmarkStart w:id="90" w:name="_Toc10725992"/>
      <w:r w:rsidRPr="000B1051">
        <w:t xml:space="preserve">Need for, and Objectives of, the </w:t>
      </w:r>
      <w:r w:rsidRPr="007C2916">
        <w:t>Order on Reconsideration</w:t>
      </w:r>
    </w:p>
    <w:p w:rsidR="003E1A3E" w:rsidP="00C24D28" w14:paraId="46018311" w14:textId="44F519E3">
      <w:pPr>
        <w:pStyle w:val="ParaNum"/>
      </w:pPr>
      <w:r>
        <w:t xml:space="preserve">The </w:t>
      </w:r>
      <w:r w:rsidRPr="00155A8B">
        <w:rPr>
          <w:i/>
          <w:iCs/>
        </w:rPr>
        <w:t>Order</w:t>
      </w:r>
      <w:r>
        <w:t xml:space="preserve"> addresses issues resulting from the Commission’s efforts to implement the Infrastructure Investment and Jobs Act (Infrastructure Act) which </w:t>
      </w:r>
      <w:r w:rsidRPr="00A048FF">
        <w:t>directs the Commission “[n]</w:t>
      </w:r>
      <w:r w:rsidRPr="00A048FF">
        <w:t>ot</w:t>
      </w:r>
      <w:r w:rsidRPr="00A048FF">
        <w:t xml:space="preserve"> later than 1 year after the date of enactment of </w:t>
      </w:r>
      <w:r w:rsidRPr="00A048FF">
        <w:t>th</w:t>
      </w:r>
      <w:r w:rsidRPr="00A048FF">
        <w:t>[e] Act, to promulgate regulations to require the display of broadband consumer labels, as described in the Public Notice of the Commission issued on April 4, 2016 (DA 16–357), to disclose to consumers information regarding broadband internet access service plans.</w:t>
      </w:r>
      <w:r>
        <w:t>”</w:t>
      </w:r>
      <w:r>
        <w:rPr>
          <w:rStyle w:val="FootnoteReference"/>
        </w:rPr>
        <w:footnoteReference w:id="68"/>
      </w:r>
      <w:r>
        <w:t xml:space="preserve">  In response to the Infrastructure Act, the Commission adopted the </w:t>
      </w:r>
      <w:r w:rsidRPr="00CD6FA3">
        <w:rPr>
          <w:i/>
          <w:iCs/>
        </w:rPr>
        <w:t>Broadband Label Order</w:t>
      </w:r>
      <w:r>
        <w:t xml:space="preserve">, requiring broadband labels so that consumers have access to clear, easy-to-understand, and accurate information about broadband services that encourages competition, innovation, low prices, and high-quality services.  The information </w:t>
      </w:r>
      <w:r w:rsidR="00E27759">
        <w:t xml:space="preserve">broadband </w:t>
      </w:r>
      <w:r>
        <w:t>Internet service providers (ISPs) are required to include in the labels empowers consumers to choose services that best meet their needs and match their budgets and ensures that they are not surprised by unexpected charges or service quality that falls short of their expectations.</w:t>
      </w:r>
      <w:r w:rsidR="00E27759">
        <w:t xml:space="preserve">  </w:t>
      </w:r>
      <w:r>
        <w:t xml:space="preserve">The </w:t>
      </w:r>
      <w:r w:rsidRPr="00B562E7">
        <w:rPr>
          <w:i/>
          <w:iCs/>
        </w:rPr>
        <w:t>Order</w:t>
      </w:r>
      <w:r>
        <w:t xml:space="preserve"> grants some of petitioners’ requests and denies other requests to ensure that the </w:t>
      </w:r>
      <w:r w:rsidRPr="4F07B297">
        <w:t>labels</w:t>
      </w:r>
      <w:r>
        <w:t xml:space="preserve"> the Commission</w:t>
      </w:r>
      <w:r w:rsidRPr="4F07B297">
        <w:t xml:space="preserve"> </w:t>
      </w:r>
      <w:r>
        <w:t>adopted remain</w:t>
      </w:r>
      <w:r w:rsidRPr="4F07B297">
        <w:t xml:space="preserve"> a simple and clear means</w:t>
      </w:r>
      <w:r w:rsidRPr="00B562E7">
        <w:rPr>
          <w:szCs w:val="22"/>
        </w:rPr>
        <w:t xml:space="preserve"> </w:t>
      </w:r>
      <w:r w:rsidRPr="4F07B297">
        <w:t>to disclose</w:t>
      </w:r>
      <w:r w:rsidRPr="00B562E7">
        <w:rPr>
          <w:szCs w:val="22"/>
        </w:rPr>
        <w:t xml:space="preserve"> </w:t>
      </w:r>
      <w:r w:rsidRPr="00A048FF">
        <w:t>information</w:t>
      </w:r>
      <w:r w:rsidRPr="4F07B297">
        <w:t xml:space="preserve"> about broadband services and to ensure consumers have the information they need to make educated decisions about purchasing broadband Internet access service</w:t>
      </w:r>
      <w:r>
        <w:t xml:space="preserve">.  The </w:t>
      </w:r>
      <w:r w:rsidRPr="00B562E7">
        <w:rPr>
          <w:i/>
          <w:iCs/>
        </w:rPr>
        <w:t>Order</w:t>
      </w:r>
      <w:r>
        <w:t xml:space="preserve"> therefore affirms some of the Commission’s determinations in the </w:t>
      </w:r>
      <w:r w:rsidRPr="00B562E7">
        <w:rPr>
          <w:i/>
          <w:iCs/>
        </w:rPr>
        <w:t>Broadband Label Order</w:t>
      </w:r>
      <w:r>
        <w:t xml:space="preserve"> and reconsiders some others, so the labels do not </w:t>
      </w:r>
      <w:r>
        <w:t>overwhelm consumers with too much information or overburden providers.</w:t>
      </w:r>
    </w:p>
    <w:p w:rsidR="003E1A3E" w:rsidP="000E34FE" w14:paraId="430E0BC7" w14:textId="77777777">
      <w:pPr>
        <w:pStyle w:val="ParaNum"/>
      </w:pPr>
      <w:r>
        <w:t xml:space="preserve">Specifically, the Commission grants the Cincinnati Bell Joint Petition and affirms the determination in the </w:t>
      </w:r>
      <w:r w:rsidRPr="001E0402">
        <w:rPr>
          <w:i/>
          <w:iCs/>
        </w:rPr>
        <w:t>Broadband Label Order</w:t>
      </w:r>
      <w:r>
        <w:t xml:space="preserve"> </w:t>
      </w:r>
      <w:r w:rsidRPr="006F7D28">
        <w:t xml:space="preserve">that “enterprise service offerings or special access services are not </w:t>
      </w:r>
      <w:r>
        <w:t>‘</w:t>
      </w:r>
      <w:r w:rsidRPr="006F7D28">
        <w:t>mass-market retail services,</w:t>
      </w:r>
      <w:r>
        <w:t>’</w:t>
      </w:r>
      <w:r w:rsidRPr="006F7D28">
        <w:t xml:space="preserve"> and therefore, not covered by our label requirement</w:t>
      </w:r>
      <w:r>
        <w:t>.</w:t>
      </w:r>
      <w:r w:rsidRPr="006F7D28">
        <w:t>”</w:t>
      </w:r>
      <w:r>
        <w:rPr>
          <w:rStyle w:val="FootnoteReference"/>
        </w:rPr>
        <w:footnoteReference w:id="69"/>
      </w:r>
      <w:r>
        <w:t xml:space="preserve">  The </w:t>
      </w:r>
      <w:r w:rsidRPr="00FA3326">
        <w:rPr>
          <w:i/>
          <w:iCs/>
        </w:rPr>
        <w:t>Order</w:t>
      </w:r>
      <w:r>
        <w:t xml:space="preserve"> clarifies </w:t>
      </w:r>
      <w:r w:rsidRPr="006F7D28">
        <w:t xml:space="preserve">that </w:t>
      </w:r>
      <w:r>
        <w:t>footnote</w:t>
      </w:r>
      <w:r w:rsidRPr="006F7D28">
        <w:t xml:space="preserve"> 36 </w:t>
      </w:r>
      <w:r>
        <w:t xml:space="preserve">of the </w:t>
      </w:r>
      <w:r w:rsidRPr="00FA3326">
        <w:rPr>
          <w:i/>
          <w:iCs/>
        </w:rPr>
        <w:t>Broadband Label Order</w:t>
      </w:r>
      <w:r>
        <w:t xml:space="preserve">, which stated that the Commission requires “E-Rate and RHC providers to provide a label along with any competitive bids submitted pursuant to the E-Rate or RHC competitive bidding processes, whether or not such provider defines their offered service as an ‘enterprise’ service,” </w:t>
      </w:r>
      <w:r w:rsidRPr="006F7D28">
        <w:t xml:space="preserve">was not </w:t>
      </w:r>
      <w:r>
        <w:t>intended</w:t>
      </w:r>
      <w:r w:rsidRPr="006F7D28">
        <w:t xml:space="preserve"> to contradict</w:t>
      </w:r>
      <w:r>
        <w:t xml:space="preserve"> the Commission’s</w:t>
      </w:r>
      <w:r w:rsidRPr="006F7D28">
        <w:t xml:space="preserve"> determination</w:t>
      </w:r>
      <w:r>
        <w:t xml:space="preserve"> regarding enterprise service offerings or to require broadband labels for </w:t>
      </w:r>
      <w:r w:rsidRPr="000262A3">
        <w:rPr>
          <w:i/>
          <w:iCs/>
        </w:rPr>
        <w:t>all</w:t>
      </w:r>
      <w:r>
        <w:t xml:space="preserve"> broadband services in the E-Rate and RHC programs</w:t>
      </w:r>
      <w:r w:rsidRPr="006F7D28">
        <w:t xml:space="preserve">.  </w:t>
      </w:r>
      <w:r>
        <w:t xml:space="preserve">Rather, the Commission emphasizes in the </w:t>
      </w:r>
      <w:r w:rsidRPr="00FA3326">
        <w:rPr>
          <w:i/>
          <w:iCs/>
        </w:rPr>
        <w:t>Order</w:t>
      </w:r>
      <w:r>
        <w:t xml:space="preserve"> that </w:t>
      </w:r>
      <w:r w:rsidRPr="006F7D28">
        <w:t xml:space="preserve">regardless of how the provider names or defines its offering, the manner in which </w:t>
      </w:r>
      <w:r>
        <w:t>the service</w:t>
      </w:r>
      <w:r w:rsidRPr="006F7D28">
        <w:t xml:space="preserve"> is offered is dispositive of whether the labeling requirements apply.</w:t>
      </w:r>
      <w:r w:rsidRPr="00DB4022">
        <w:t xml:space="preserve"> </w:t>
      </w:r>
      <w:r>
        <w:t xml:space="preserve"> </w:t>
      </w:r>
    </w:p>
    <w:p w:rsidR="003E1A3E" w:rsidP="000E34FE" w14:paraId="0CE69AA7" w14:textId="311B3218">
      <w:pPr>
        <w:pStyle w:val="ParaNum"/>
      </w:pPr>
      <w:r>
        <w:t xml:space="preserve">The Commission also reconsiders the requirement that a provider must </w:t>
      </w:r>
      <w:r w:rsidRPr="00C55857">
        <w:t xml:space="preserve">document each instance when </w:t>
      </w:r>
      <w:r>
        <w:t>it</w:t>
      </w:r>
      <w:r w:rsidRPr="00C55857">
        <w:t xml:space="preserve"> directs a consumer to a label at an alternative sales channel </w:t>
      </w:r>
      <w:r>
        <w:t xml:space="preserve">(e.g., retail stores, kiosks, and over the phone) </w:t>
      </w:r>
      <w:r w:rsidRPr="00C55857">
        <w:t>and retain such documentation for two years</w:t>
      </w:r>
      <w:r>
        <w:t>.</w:t>
      </w:r>
      <w:r>
        <w:rPr>
          <w:rStyle w:val="FootnoteReference"/>
        </w:rPr>
        <w:footnoteReference w:id="70"/>
      </w:r>
      <w:r w:rsidRPr="00C55857">
        <w:t xml:space="preserve"> </w:t>
      </w:r>
      <w:r>
        <w:t xml:space="preserve"> In doing so, the Commission grants ACA Connect et al.’s request and clarifies that</w:t>
      </w:r>
      <w:r w:rsidRPr="00C55857">
        <w:t xml:space="preserve"> the requirement </w:t>
      </w:r>
      <w:r>
        <w:t>will be</w:t>
      </w:r>
      <w:r w:rsidRPr="00C55857">
        <w:t xml:space="preserve"> satisfied if</w:t>
      </w:r>
      <w:r>
        <w:t xml:space="preserve"> </w:t>
      </w:r>
      <w:r w:rsidRPr="00C55857">
        <w:t>the provider</w:t>
      </w:r>
      <w:r w:rsidR="00420CF1">
        <w:t xml:space="preserve"> instead</w:t>
      </w:r>
      <w:r w:rsidRPr="00C55857">
        <w:t xml:space="preserve">:  1) establishes the business practices and processes it will follow in distributing the label through alternative sales channels; 2) retains training materials and related business practice documentation for two years; and 3) provides such information to the </w:t>
      </w:r>
      <w:r>
        <w:t>Commission</w:t>
      </w:r>
      <w:r w:rsidRPr="00C55857">
        <w:t xml:space="preserve"> upon request</w:t>
      </w:r>
      <w:r>
        <w:t>, within thirty days</w:t>
      </w:r>
      <w:r w:rsidRPr="00C55857">
        <w:t xml:space="preserve">. </w:t>
      </w:r>
      <w:r>
        <w:t xml:space="preserve"> The Commission agrees with p</w:t>
      </w:r>
      <w:r w:rsidRPr="00C55857">
        <w:t>etitioners that this</w:t>
      </w:r>
      <w:r>
        <w:t xml:space="preserve"> clarification</w:t>
      </w:r>
      <w:r w:rsidRPr="00C55857">
        <w:t xml:space="preserve"> will avoid unnecessary burdens </w:t>
      </w:r>
      <w:r>
        <w:t xml:space="preserve">and costs </w:t>
      </w:r>
      <w:r w:rsidRPr="00C55857">
        <w:t xml:space="preserve">on providers </w:t>
      </w:r>
      <w:r>
        <w:t xml:space="preserve">that may risk </w:t>
      </w:r>
      <w:r w:rsidRPr="00C55857">
        <w:t>diverting resources to</w:t>
      </w:r>
      <w:r>
        <w:t xml:space="preserve"> otherwise</w:t>
      </w:r>
      <w:r w:rsidRPr="00C55857">
        <w:t xml:space="preserve"> assist consumers with making broadband purchases</w:t>
      </w:r>
      <w:r>
        <w:t xml:space="preserve"> at alternative sales channels</w:t>
      </w:r>
      <w:r w:rsidRPr="00C55857">
        <w:t>.</w:t>
      </w:r>
      <w:r>
        <w:t xml:space="preserve">      </w:t>
      </w:r>
    </w:p>
    <w:p w:rsidR="003E1A3E" w:rsidP="000E34FE" w14:paraId="05C7A57B" w14:textId="77777777">
      <w:pPr>
        <w:pStyle w:val="ParaNum"/>
      </w:pPr>
      <w:r>
        <w:t xml:space="preserve">Additionally, </w:t>
      </w:r>
      <w:r>
        <w:rPr>
          <w:szCs w:val="22"/>
        </w:rPr>
        <w:t xml:space="preserve">in the </w:t>
      </w:r>
      <w:r w:rsidRPr="00672456">
        <w:rPr>
          <w:i/>
          <w:iCs/>
          <w:szCs w:val="22"/>
        </w:rPr>
        <w:t>Order</w:t>
      </w:r>
      <w:r>
        <w:rPr>
          <w:szCs w:val="22"/>
        </w:rPr>
        <w:t xml:space="preserve"> the Commission clarifies that </w:t>
      </w:r>
      <w:r>
        <w:t>wireless providers have the flexibility to make clear on the labels whether government taxes will be added to the monthly base price by adding “taxes included” or similar language as appropriate to the label template.  The Commission agrees that some providers include government taxes in their monthly base price and that doing so could benefit consumers in helping them understand the total price for a provider’s service at the point of sale.  Therefore we determined that providers may modify the label template to accommodate this practice.</w:t>
      </w:r>
    </w:p>
    <w:p w:rsidR="003E1A3E" w:rsidP="000E34FE" w14:paraId="5724049F" w14:textId="77777777">
      <w:pPr>
        <w:pStyle w:val="ParaNum"/>
      </w:pPr>
      <w:r>
        <w:t xml:space="preserve">The </w:t>
      </w:r>
      <w:r w:rsidRPr="000C5AD0">
        <w:rPr>
          <w:i/>
          <w:iCs/>
        </w:rPr>
        <w:t xml:space="preserve">Order </w:t>
      </w:r>
      <w:r>
        <w:t xml:space="preserve">declines, however, to reconsider the requirement that providers identify and list on the label any additional fees that they charge consumers each month on top of the monthly base price.  As stated in the </w:t>
      </w:r>
      <w:r w:rsidRPr="002E7F56">
        <w:rPr>
          <w:i/>
          <w:iCs/>
        </w:rPr>
        <w:t>Broadband Label Order</w:t>
      </w:r>
      <w:r>
        <w:t xml:space="preserve">, </w:t>
      </w:r>
      <w:r>
        <w:rPr>
          <w:rFonts w:eastAsia="Bitter-Regular"/>
          <w:snapToGrid/>
          <w:kern w:val="0"/>
        </w:rPr>
        <w:t>the Commission</w:t>
      </w:r>
      <w:r w:rsidRPr="315EF4E1">
        <w:rPr>
          <w:rFonts w:eastAsia="Bitter-Regular"/>
          <w:snapToGrid/>
          <w:kern w:val="0"/>
        </w:rPr>
        <w:t xml:space="preserve"> believe</w:t>
      </w:r>
      <w:r>
        <w:rPr>
          <w:rFonts w:eastAsia="Bitter-Regular"/>
          <w:snapToGrid/>
          <w:kern w:val="0"/>
        </w:rPr>
        <w:t>s</w:t>
      </w:r>
      <w:r w:rsidRPr="315EF4E1">
        <w:rPr>
          <w:rFonts w:eastAsia="Bitter-Regular"/>
          <w:snapToGrid/>
          <w:kern w:val="0"/>
        </w:rPr>
        <w:t xml:space="preserve"> requiring that the labels clearly itemize any additional discretionary fees and state that additional government taxes will apply to each plan will provide consumers with a </w:t>
      </w:r>
      <w:r>
        <w:rPr>
          <w:rFonts w:eastAsia="Bitter-Regular"/>
          <w:snapToGrid/>
          <w:kern w:val="0"/>
        </w:rPr>
        <w:t xml:space="preserve">more </w:t>
      </w:r>
      <w:r w:rsidRPr="315EF4E1">
        <w:rPr>
          <w:rFonts w:eastAsia="Bitter-Regular"/>
          <w:snapToGrid/>
          <w:kern w:val="0"/>
        </w:rPr>
        <w:t>complete understanding of the</w:t>
      </w:r>
      <w:r>
        <w:rPr>
          <w:rFonts w:eastAsia="Bitter-Regular"/>
          <w:snapToGrid/>
          <w:kern w:val="0"/>
        </w:rPr>
        <w:t xml:space="preserve"> total cost for broadband service.  </w:t>
      </w:r>
      <w:r w:rsidRPr="1E003BC0">
        <w:t>Further, the requirement will allow consumers to more meaningfully compare providers’ rates and service packages</w:t>
      </w:r>
      <w:r>
        <w:rPr>
          <w:szCs w:val="22"/>
        </w:rPr>
        <w:t>,</w:t>
      </w:r>
      <w:r w:rsidRPr="1E003BC0">
        <w:t xml:space="preserve"> and to make more informed decisions when purchasing broadband services.</w:t>
      </w:r>
      <w:r w:rsidRPr="00A048FF">
        <w:rPr>
          <w:szCs w:val="22"/>
        </w:rPr>
        <w:t xml:space="preserve">  </w:t>
      </w:r>
      <w:r>
        <w:rPr>
          <w:szCs w:val="22"/>
        </w:rPr>
        <w:t xml:space="preserve">The Commission explains that </w:t>
      </w:r>
      <w:r>
        <w:t>p</w:t>
      </w:r>
      <w:r w:rsidRPr="1E003BC0">
        <w:t>roviders must list fees such as</w:t>
      </w:r>
      <w:r>
        <w:rPr>
          <w:szCs w:val="22"/>
        </w:rPr>
        <w:t xml:space="preserve"> </w:t>
      </w:r>
      <w:r w:rsidRPr="1E003BC0">
        <w:t>monthly charges associated with regulatory programs</w:t>
      </w:r>
      <w:r>
        <w:rPr>
          <w:szCs w:val="22"/>
        </w:rPr>
        <w:t xml:space="preserve"> </w:t>
      </w:r>
      <w:r w:rsidRPr="1E003BC0">
        <w:t>and</w:t>
      </w:r>
      <w:r>
        <w:rPr>
          <w:szCs w:val="22"/>
        </w:rPr>
        <w:t xml:space="preserve"> </w:t>
      </w:r>
      <w:r w:rsidRPr="1E003BC0">
        <w:t>fees for the rental or leasing of modem and other network connection equipment.</w:t>
      </w:r>
      <w:r>
        <w:rPr>
          <w:rFonts w:eastAsia="Bitter-Regular"/>
          <w:snapToGrid/>
          <w:kern w:val="0"/>
        </w:rPr>
        <w:t xml:space="preserve">  </w:t>
      </w:r>
    </w:p>
    <w:p w:rsidR="003E1A3E" w:rsidRPr="0069140A" w:rsidP="00013911" w14:paraId="6A879E46" w14:textId="057CE975">
      <w:pPr>
        <w:pStyle w:val="ParaNum"/>
      </w:pPr>
      <w:r>
        <w:t xml:space="preserve">The </w:t>
      </w:r>
      <w:r w:rsidRPr="006813F2">
        <w:rPr>
          <w:i/>
          <w:iCs/>
        </w:rPr>
        <w:t>Order</w:t>
      </w:r>
      <w:r>
        <w:rPr>
          <w:i/>
          <w:iCs/>
        </w:rPr>
        <w:t xml:space="preserve"> </w:t>
      </w:r>
      <w:r w:rsidRPr="00CD6FA3">
        <w:t>also</w:t>
      </w:r>
      <w:r w:rsidRPr="006813F2">
        <w:rPr>
          <w:i/>
          <w:iCs/>
        </w:rPr>
        <w:t xml:space="preserve"> </w:t>
      </w:r>
      <w:r>
        <w:t xml:space="preserve">denies CTIA’s request to clarify that wireless providers have the flexibility to describe their data allowances on the label in ways that may be inconsistent with the adopted label template. </w:t>
      </w:r>
      <w:r>
        <w:rPr>
          <w:szCs w:val="22"/>
        </w:rPr>
        <w:t xml:space="preserve"> The Commission continues to believe that consumers will be best served by simple labels that are comparable across providers.  Permitting wireless providers to independently describe data allowances in various ways may hinder comparison shopping and may lead to an unwieldy or complicated label.  </w:t>
      </w:r>
    </w:p>
    <w:p w:rsidR="003E1A3E" w:rsidRPr="006A0F20" w:rsidP="00013911" w14:paraId="6FCFDC10" w14:textId="77777777">
      <w:pPr>
        <w:pStyle w:val="Heading2"/>
      </w:pPr>
      <w:r>
        <w:t xml:space="preserve">Summary of Significant Issues Raised by Public Comments in Response to the IRFA </w:t>
      </w:r>
      <w:r>
        <w:t>and FRFA</w:t>
      </w:r>
    </w:p>
    <w:p w:rsidR="003E1A3E" w:rsidRPr="006A0F20" w:rsidP="000E34FE" w14:paraId="143A3C97" w14:textId="7CF4DAC0">
      <w:pPr>
        <w:pStyle w:val="ParaNum"/>
      </w:pPr>
      <w:r w:rsidRPr="006A0F20">
        <w:t>In</w:t>
      </w:r>
      <w:r>
        <w:t xml:space="preserve"> the </w:t>
      </w:r>
      <w:r>
        <w:rPr>
          <w:i/>
          <w:iCs/>
        </w:rPr>
        <w:t>Broadband Label</w:t>
      </w:r>
      <w:r w:rsidRPr="007824BC">
        <w:rPr>
          <w:i/>
          <w:iCs/>
        </w:rPr>
        <w:t xml:space="preserve"> </w:t>
      </w:r>
      <w:r>
        <w:rPr>
          <w:i/>
          <w:iCs/>
        </w:rPr>
        <w:t>Order</w:t>
      </w:r>
      <w:r>
        <w:t xml:space="preserve">, the </w:t>
      </w:r>
      <w:r w:rsidRPr="007A5EDA">
        <w:rPr>
          <w:color w:val="000000"/>
          <w:szCs w:val="22"/>
        </w:rPr>
        <w:t>Commission</w:t>
      </w:r>
      <w:r>
        <w:t xml:space="preserve"> solicited comments on how to minimize the economic impact of the new rules on small businesses.</w:t>
      </w:r>
      <w:r>
        <w:rPr>
          <w:rStyle w:val="FootnoteReference"/>
        </w:rPr>
        <w:footnoteReference w:id="71"/>
      </w:r>
      <w:r>
        <w:t xml:space="preserve">  The FRFA addressed the concerns of commenters who argued that smaller entities would face challenges in complying with the proposed label requirements given their small staffs and limited resources.</w:t>
      </w:r>
      <w:r>
        <w:rPr>
          <w:rStyle w:val="FootnoteReference"/>
        </w:rPr>
        <w:footnoteReference w:id="72"/>
      </w:r>
      <w:r>
        <w:t xml:space="preserve">  </w:t>
      </w:r>
      <w:r w:rsidRPr="006A0F20">
        <w:t xml:space="preserve">The Cincinnati Bell Joint Petition, ACA Connects Joint Petition, and the CTIA Petition addressed in </w:t>
      </w:r>
      <w:r>
        <w:t>the</w:t>
      </w:r>
      <w:r w:rsidRPr="006A0F20">
        <w:t xml:space="preserve"> </w:t>
      </w:r>
      <w:r w:rsidRPr="006A0F20">
        <w:rPr>
          <w:i/>
          <w:iCs/>
        </w:rPr>
        <w:t>Order</w:t>
      </w:r>
      <w:r w:rsidRPr="006A0F20">
        <w:t>, and associated comments, did not raise any concerns with the FRFA.</w:t>
      </w:r>
    </w:p>
    <w:p w:rsidR="003E1A3E" w:rsidP="00013911" w14:paraId="19331A31" w14:textId="77777777">
      <w:pPr>
        <w:pStyle w:val="Heading2"/>
      </w:pPr>
      <w:r w:rsidRPr="006D4C43">
        <w:t xml:space="preserve">Response to </w:t>
      </w:r>
      <w:r>
        <w:t>C</w:t>
      </w:r>
      <w:r w:rsidRPr="006D4C43">
        <w:t>omments by the Chief Counsel for Advocacy of the Small Business Administration</w:t>
      </w:r>
    </w:p>
    <w:p w:rsidR="003E1A3E" w:rsidP="000E34FE" w14:paraId="58807927" w14:textId="77777777">
      <w:pPr>
        <w:pStyle w:val="ParaNum"/>
      </w:pPr>
      <w:r>
        <w:t xml:space="preserve">Pursuant to the </w:t>
      </w:r>
      <w:r w:rsidRPr="007A5EDA">
        <w:rPr>
          <w:color w:val="000000"/>
          <w:szCs w:val="22"/>
        </w:rPr>
        <w:t>Small</w:t>
      </w:r>
      <w:r>
        <w:t xml:space="preserve">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73"/>
      </w:r>
      <w:r>
        <w:t xml:space="preserve">  </w:t>
      </w:r>
    </w:p>
    <w:p w:rsidR="003E1A3E" w:rsidP="000E34FE" w14:paraId="53B4C594" w14:textId="77777777">
      <w:pPr>
        <w:pStyle w:val="ParaNum"/>
      </w:pPr>
      <w:r>
        <w:t>The Chief Counsel did not file any comments in response to the rules adopted in this proceeding.</w:t>
      </w:r>
    </w:p>
    <w:p w:rsidR="003E1A3E" w:rsidRPr="00DB4820" w:rsidP="00013911" w14:paraId="590C94A2" w14:textId="77777777">
      <w:pPr>
        <w:pStyle w:val="Heading2"/>
      </w:pPr>
      <w:r>
        <w:t>Description and Estimate of the Number of Small Entities to Which the Rules Will Apply</w:t>
      </w:r>
    </w:p>
    <w:p w:rsidR="003E1A3E" w:rsidRPr="00DB4820" w:rsidP="000E34FE" w14:paraId="52AEEAD5" w14:textId="77777777">
      <w:pPr>
        <w:pStyle w:val="ParaNum"/>
      </w:pPr>
      <w:r w:rsidRPr="00DB4820">
        <w:t xml:space="preserve">The RFA </w:t>
      </w:r>
      <w:r w:rsidRPr="00F72FA4">
        <w:t>directs</w:t>
      </w:r>
      <w:r w:rsidRPr="00DB4820">
        <w:t xml:space="preserve"> the Commission to provide a description of and, where feasible, an estimate of the number of small entities that will be affected by the </w:t>
      </w:r>
      <w:r>
        <w:t>rules adopted herein</w:t>
      </w:r>
      <w:r w:rsidRPr="00DB4820">
        <w:t>.</w:t>
      </w:r>
      <w:r>
        <w:rPr>
          <w:rStyle w:val="FootnoteReference"/>
          <w:szCs w:val="22"/>
        </w:rPr>
        <w:footnoteReference w:id="74"/>
      </w:r>
      <w:r w:rsidRPr="00DB4820">
        <w:t xml:space="preserve"> </w:t>
      </w:r>
      <w:r>
        <w:t xml:space="preserve"> </w:t>
      </w:r>
      <w:r w:rsidRPr="00DB4820">
        <w:t>The RFA generally defines the term “small entity” as having the same meaning as the terms “small business,” small organization,” and “small government jurisdiction.”</w:t>
      </w:r>
      <w:r>
        <w:rPr>
          <w:rStyle w:val="FootnoteReference"/>
          <w:szCs w:val="22"/>
        </w:rPr>
        <w:footnoteReference w:id="75"/>
      </w:r>
      <w:r>
        <w:t xml:space="preserve"> </w:t>
      </w:r>
      <w:r w:rsidRPr="00DB4820">
        <w:t xml:space="preserve"> In addition, the term “small business” has the same meaning as the term “small business concern” under the Small Business Act.</w:t>
      </w:r>
      <w:r>
        <w:rPr>
          <w:rStyle w:val="FootnoteReference"/>
          <w:szCs w:val="22"/>
        </w:rPr>
        <w:footnoteReference w:id="76"/>
      </w:r>
      <w:r w:rsidRPr="00DB4820">
        <w:t xml:space="preserve"> </w:t>
      </w:r>
      <w:r>
        <w:t xml:space="preserve"> </w:t>
      </w:r>
      <w:r w:rsidRPr="00DB4820">
        <w:t>A small business concern is one which: (1) is independently owned and operated; (2) is not dominant in its field of operation; and (3) satisfies any additional criteria established by the SBA.</w:t>
      </w:r>
      <w:r>
        <w:rPr>
          <w:rStyle w:val="FootnoteReference"/>
          <w:szCs w:val="22"/>
        </w:rPr>
        <w:footnoteReference w:id="77"/>
      </w:r>
      <w:r w:rsidRPr="00DB4820">
        <w:t xml:space="preserve"> </w:t>
      </w:r>
    </w:p>
    <w:p w:rsidR="003E1A3E" w:rsidRPr="00F72FA4" w:rsidP="000E34FE" w14:paraId="1B73E15F" w14:textId="77777777">
      <w:pPr>
        <w:pStyle w:val="ParaNum"/>
      </w:pPr>
      <w:r w:rsidRPr="00F72FA4">
        <w:t>As noted</w:t>
      </w:r>
      <w:r>
        <w:t xml:space="preserve"> above</w:t>
      </w:r>
      <w:r w:rsidRPr="00F72FA4">
        <w:t xml:space="preserve">, </w:t>
      </w:r>
      <w:r>
        <w:t>the Commission</w:t>
      </w:r>
      <w:r w:rsidRPr="00F72FA4">
        <w:t xml:space="preserve"> incorporated a FRFA into the </w:t>
      </w:r>
      <w:r>
        <w:rPr>
          <w:i/>
          <w:iCs/>
        </w:rPr>
        <w:t>Broadband Label Order</w:t>
      </w:r>
      <w:r w:rsidRPr="00F72FA4">
        <w:t xml:space="preserve">. </w:t>
      </w:r>
      <w:r>
        <w:t xml:space="preserve"> </w:t>
      </w:r>
      <w:r w:rsidRPr="00F72FA4">
        <w:t>In that analysis, the Commission described in detail the various small business entities that may be affected by the final rules.</w:t>
      </w:r>
      <w:r>
        <w:rPr>
          <w:rStyle w:val="FootnoteReference"/>
          <w:szCs w:val="22"/>
        </w:rPr>
        <w:footnoteReference w:id="78"/>
      </w:r>
      <w:r>
        <w:t xml:space="preserve"> </w:t>
      </w:r>
      <w:r w:rsidRPr="00F72FA4">
        <w:t xml:space="preserve"> </w:t>
      </w:r>
      <w:r>
        <w:t>The</w:t>
      </w:r>
      <w:r w:rsidRPr="00F72FA4">
        <w:t xml:space="preserve"> </w:t>
      </w:r>
      <w:r w:rsidRPr="00155A8B">
        <w:rPr>
          <w:i/>
          <w:iCs/>
        </w:rPr>
        <w:t>Order</w:t>
      </w:r>
      <w:r>
        <w:t xml:space="preserve"> </w:t>
      </w:r>
      <w:r w:rsidRPr="00F72FA4">
        <w:t xml:space="preserve">amends the final rules adopted in the </w:t>
      </w:r>
      <w:r>
        <w:rPr>
          <w:i/>
          <w:iCs/>
        </w:rPr>
        <w:t>Broadband Label Order</w:t>
      </w:r>
      <w:r w:rsidRPr="00F72FA4">
        <w:t xml:space="preserve"> affecting </w:t>
      </w:r>
      <w:r>
        <w:t xml:space="preserve">broadband Internet access service providers.  </w:t>
      </w:r>
      <w:r w:rsidRPr="00963A05">
        <w:t xml:space="preserve">Accordingly, in </w:t>
      </w:r>
      <w:r>
        <w:t xml:space="preserve">this </w:t>
      </w:r>
      <w:r w:rsidRPr="00963A05">
        <w:t xml:space="preserve">Supplemental </w:t>
      </w:r>
      <w:r>
        <w:t>F</w:t>
      </w:r>
      <w:r w:rsidRPr="00963A05">
        <w:t>RFA, we hereby incorporate by reference the descriptions and estimates of the number of small entities</w:t>
      </w:r>
      <w:r>
        <w:t xml:space="preserve"> that might be</w:t>
      </w:r>
      <w:r w:rsidRPr="005B7DE0">
        <w:t xml:space="preserve"> </w:t>
      </w:r>
      <w:r>
        <w:t xml:space="preserve">significantly </w:t>
      </w:r>
      <w:r w:rsidRPr="005B7DE0">
        <w:t>affected</w:t>
      </w:r>
      <w:r w:rsidRPr="00963A05">
        <w:t xml:space="preserve"> </w:t>
      </w:r>
      <w:r>
        <w:t>by the</w:t>
      </w:r>
      <w:r w:rsidRPr="00F72FA4">
        <w:t xml:space="preserve"> </w:t>
      </w:r>
      <w:r w:rsidRPr="00155A8B">
        <w:rPr>
          <w:i/>
          <w:iCs/>
        </w:rPr>
        <w:t>Order</w:t>
      </w:r>
      <w:r w:rsidRPr="00F72FA4">
        <w:t xml:space="preserve"> </w:t>
      </w:r>
      <w:r w:rsidRPr="00963A05">
        <w:t>from the Regulatory Flexibility Analys</w:t>
      </w:r>
      <w:r>
        <w:t>i</w:t>
      </w:r>
      <w:r w:rsidRPr="00963A05">
        <w:t>s</w:t>
      </w:r>
      <w:r>
        <w:t xml:space="preserve"> in the </w:t>
      </w:r>
      <w:r>
        <w:rPr>
          <w:i/>
          <w:iCs/>
        </w:rPr>
        <w:t>Broadband Label</w:t>
      </w:r>
      <w:r w:rsidRPr="003205A9">
        <w:rPr>
          <w:i/>
          <w:iCs/>
        </w:rPr>
        <w:t xml:space="preserve"> Order</w:t>
      </w:r>
      <w:r w:rsidRPr="00F72FA4">
        <w:t xml:space="preserve">. </w:t>
      </w:r>
    </w:p>
    <w:p w:rsidR="003E1A3E" w:rsidP="00013911" w14:paraId="4799B3E1" w14:textId="77777777">
      <w:pPr>
        <w:pStyle w:val="Heading2"/>
      </w:pPr>
      <w:r>
        <w:t xml:space="preserve">Description of Projected Reporting, Recordkeeping, and Other Compliance </w:t>
      </w:r>
      <w:r>
        <w:t>Requirements for Small Entities</w:t>
      </w:r>
    </w:p>
    <w:p w:rsidR="003E1A3E" w:rsidP="000E34FE" w14:paraId="6E96ABAE" w14:textId="0476D93B">
      <w:pPr>
        <w:pStyle w:val="ParaNum"/>
      </w:pPr>
      <w:r w:rsidRPr="000D6EA3">
        <w:rPr>
          <w:color w:val="000000"/>
          <w:szCs w:val="22"/>
        </w:rPr>
        <w:t xml:space="preserve">In </w:t>
      </w:r>
      <w:r>
        <w:rPr>
          <w:color w:val="000000"/>
          <w:szCs w:val="22"/>
        </w:rPr>
        <w:t>the</w:t>
      </w:r>
      <w:r w:rsidRPr="000D6EA3">
        <w:rPr>
          <w:color w:val="000000"/>
          <w:szCs w:val="22"/>
        </w:rPr>
        <w:t xml:space="preserve"> </w:t>
      </w:r>
      <w:r w:rsidRPr="00155A8B">
        <w:rPr>
          <w:i/>
          <w:iCs/>
          <w:color w:val="000000"/>
          <w:szCs w:val="22"/>
        </w:rPr>
        <w:t>Order</w:t>
      </w:r>
      <w:r w:rsidRPr="000D6EA3">
        <w:rPr>
          <w:color w:val="000000"/>
          <w:szCs w:val="22"/>
        </w:rPr>
        <w:t xml:space="preserve">, the Commission modifies rules adopted in the </w:t>
      </w:r>
      <w:r>
        <w:rPr>
          <w:i/>
          <w:iCs/>
          <w:color w:val="000000"/>
          <w:szCs w:val="22"/>
        </w:rPr>
        <w:t>Broadband Label</w:t>
      </w:r>
      <w:r w:rsidRPr="000D6EA3">
        <w:rPr>
          <w:i/>
          <w:iCs/>
          <w:color w:val="000000"/>
          <w:szCs w:val="22"/>
        </w:rPr>
        <w:t xml:space="preserve"> Order</w:t>
      </w:r>
      <w:r w:rsidRPr="000D6EA3">
        <w:rPr>
          <w:color w:val="000000"/>
          <w:szCs w:val="22"/>
        </w:rPr>
        <w:t xml:space="preserve"> </w:t>
      </w:r>
      <w:r>
        <w:rPr>
          <w:color w:val="000000"/>
          <w:szCs w:val="22"/>
        </w:rPr>
        <w:t xml:space="preserve">to reconsider </w:t>
      </w:r>
      <w:r>
        <w:t xml:space="preserve">the requirement that a provider must </w:t>
      </w:r>
      <w:r w:rsidRPr="00C55857">
        <w:t xml:space="preserve">document each instance when </w:t>
      </w:r>
      <w:r>
        <w:t>it</w:t>
      </w:r>
      <w:r w:rsidRPr="00C55857">
        <w:t xml:space="preserve"> directs a consumer to a label at an alternative sales channel </w:t>
      </w:r>
      <w:r>
        <w:t xml:space="preserve">(e.g., retail stores, kiosks, and over the phone) </w:t>
      </w:r>
      <w:r w:rsidRPr="00C55857">
        <w:t>and retain such documentation for two years</w:t>
      </w:r>
      <w:r>
        <w:t>.</w:t>
      </w:r>
      <w:r>
        <w:rPr>
          <w:rStyle w:val="FootnoteReference"/>
        </w:rPr>
        <w:footnoteReference w:id="79"/>
      </w:r>
      <w:r w:rsidRPr="00C55857">
        <w:t xml:space="preserve"> </w:t>
      </w:r>
      <w:r>
        <w:t xml:space="preserve"> In doing so, the Commission clarifies that</w:t>
      </w:r>
      <w:r w:rsidRPr="00C55857">
        <w:t xml:space="preserve"> the requirement </w:t>
      </w:r>
      <w:r>
        <w:t>will be</w:t>
      </w:r>
      <w:r w:rsidRPr="00C55857">
        <w:t xml:space="preserve"> </w:t>
      </w:r>
      <w:r w:rsidR="00C32FE0">
        <w:t xml:space="preserve">deemed </w:t>
      </w:r>
      <w:r w:rsidRPr="00C55857">
        <w:t>satisfied if</w:t>
      </w:r>
      <w:r w:rsidR="00806545">
        <w:t xml:space="preserve"> instead</w:t>
      </w:r>
      <w:r w:rsidRPr="00C55857">
        <w:t xml:space="preserve">:  1) the provider establishes the business practices and processes it will follow in distributing the label through alternative sales channels; 2) retains training materials and related business practice documentation for two years; and 3) provides such information to the </w:t>
      </w:r>
      <w:r>
        <w:t>Commission</w:t>
      </w:r>
      <w:r w:rsidRPr="00C55857">
        <w:t xml:space="preserve"> upon request</w:t>
      </w:r>
      <w:r>
        <w:t xml:space="preserve">, within thirty days.  </w:t>
      </w:r>
    </w:p>
    <w:p w:rsidR="003E1A3E" w:rsidP="000E34FE" w14:paraId="25453676" w14:textId="32EA51EA">
      <w:pPr>
        <w:pStyle w:val="ParaNum"/>
      </w:pPr>
      <w:r w:rsidRPr="00036C58">
        <w:rPr>
          <w:szCs w:val="22"/>
        </w:rPr>
        <w:t>The Commission does not have sufficient information on the record to determine whether small entities will be required to hire professionals to comply with its decisions to or to quantify the cost of compliance for small entities.  The Commission, however</w:t>
      </w:r>
      <w:r>
        <w:rPr>
          <w:szCs w:val="22"/>
        </w:rPr>
        <w:t>,</w:t>
      </w:r>
      <w:r w:rsidRPr="00036C58">
        <w:rPr>
          <w:szCs w:val="22"/>
        </w:rPr>
        <w:t xml:space="preserve"> anticipates the approaches it has taken to implement the requirements will have minimal or de minimis cost implications and</w:t>
      </w:r>
      <w:r>
        <w:t xml:space="preserve"> should significantly reduce compliance requirements for small entities that may have smaller staff and fewer resources.  As the Commission emphasizes in the</w:t>
      </w:r>
      <w:r w:rsidRPr="00036C58">
        <w:rPr>
          <w:i/>
          <w:iCs/>
        </w:rPr>
        <w:t xml:space="preserve"> Order</w:t>
      </w:r>
      <w:r>
        <w:t>, the clarification</w:t>
      </w:r>
      <w:r w:rsidRPr="00C55857">
        <w:t xml:space="preserve"> will avoid unnecessary burdens </w:t>
      </w:r>
      <w:r>
        <w:t xml:space="preserve">and costs </w:t>
      </w:r>
      <w:r w:rsidRPr="00C55857">
        <w:t xml:space="preserve">on providers </w:t>
      </w:r>
      <w:r>
        <w:t xml:space="preserve">that may risk </w:t>
      </w:r>
      <w:r w:rsidRPr="00C55857">
        <w:t>diverting resources to</w:t>
      </w:r>
      <w:r>
        <w:t xml:space="preserve"> otherwise</w:t>
      </w:r>
      <w:r w:rsidRPr="00C55857">
        <w:t xml:space="preserve"> assist consumers with making broadband purchases</w:t>
      </w:r>
      <w:r>
        <w:t xml:space="preserve"> at alternative sales channels</w:t>
      </w:r>
      <w:r w:rsidRPr="00C55857">
        <w:t>.</w:t>
      </w:r>
      <w:r>
        <w:rPr>
          <w:rStyle w:val="FootnoteReference"/>
        </w:rPr>
        <w:footnoteReference w:id="80"/>
      </w:r>
      <w:r>
        <w:t xml:space="preserve">  The Commission agrees that requiring providers to create an additional system by which customer-facing employees are required to record the details of when and how they share the label in every customer interaction may impose significant costs on providers.  </w:t>
      </w:r>
    </w:p>
    <w:p w:rsidR="003E1A3E" w:rsidP="00013911" w14:paraId="6B471745" w14:textId="77777777">
      <w:pPr>
        <w:pStyle w:val="Heading2"/>
      </w:pPr>
      <w:r>
        <w:t>Steps Taken to Minimize the Significant Economic Impact on Small Entities, and Significant Alternatives Considered</w:t>
      </w:r>
    </w:p>
    <w:p w:rsidR="003E1A3E" w:rsidP="000E34FE" w14:paraId="21549A12" w14:textId="77777777">
      <w:pPr>
        <w:pStyle w:val="ParaNum"/>
      </w:pPr>
      <w:r>
        <w:t xml:space="preserve">The RFA </w:t>
      </w:r>
      <w:r w:rsidRPr="00AF0A30">
        <w:rPr>
          <w:color w:val="000000"/>
          <w:szCs w:val="22"/>
        </w:rPr>
        <w:t>requires</w:t>
      </w:r>
      <w:r>
        <w:t xml:space="preserve"> an agency to provide, </w:t>
      </w:r>
      <w:r w:rsidRPr="007C5D63">
        <w:t>“a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sidRPr="003A4C3E">
        <w:t>.”</w:t>
      </w:r>
      <w:r>
        <w:rPr>
          <w:rStyle w:val="FootnoteReference"/>
        </w:rPr>
        <w:footnoteReference w:id="81"/>
      </w:r>
    </w:p>
    <w:p w:rsidR="003E1A3E" w:rsidP="000E34FE" w14:paraId="45A75C83" w14:textId="10490720">
      <w:pPr>
        <w:pStyle w:val="ParaNum"/>
      </w:pPr>
      <w:r>
        <w:t>The Commission considered feedback in response to the Cincinnati Bell Joint Petition, ACA Connects Joint Petition, and CTIA Petition and evaluated it with the goal of giving broadband providers some flexibility in how they document their employees’ interactions with consumers in alternate sales channels and how they ensure the broadband labels are displayed for consumers.  Instead of documenting each instance when a consumer is provided a label at an alternative sales channel in the original rule, the Commission believes requiring providers to develop business practices and training materials for their employees and to retain and make those documents available to the Commission upon request within thirty days is an alternative that will minimize</w:t>
      </w:r>
      <w:r w:rsidR="00806545">
        <w:t xml:space="preserve"> the</w:t>
      </w:r>
      <w:r>
        <w:t xml:space="preserve"> impact </w:t>
      </w:r>
      <w:r w:rsidR="00806545">
        <w:t>on</w:t>
      </w:r>
      <w:r>
        <w:t xml:space="preserve"> small entities and continue to protect the interests of consumers for whom the label provides critical information about broadband services.  This should significantly minimize any compliance costs and burdens on small entities that are subject to the label requirements.  </w:t>
      </w:r>
    </w:p>
    <w:p w:rsidR="003E1A3E" w:rsidP="00013911" w14:paraId="4094DB5E" w14:textId="77777777">
      <w:pPr>
        <w:pStyle w:val="ParaNum"/>
        <w:widowControl/>
      </w:pPr>
      <w:r>
        <w:t xml:space="preserve">The Commission considered the Petitioners’ request but declined to reconsider the requirement that providers identify and list on the label any additional fees that they charge consumers each month on top of the monthly base price.  The Commission was not persuaded that it will be burdensome for providers to itemize on the label those fees that they opt to pass along to consumers above the monthly price, particularly since providers acknowledge being able to describe such fees to a consumer over the phone and on a consumer’s bill once he/she subscribes to service.  Further, the </w:t>
      </w:r>
      <w:r>
        <w:t>Commission found that any such burdens are far outweighed by the benefits to consumers.</w:t>
      </w:r>
    </w:p>
    <w:p w:rsidR="003E1A3E" w:rsidRPr="0026189E" w:rsidP="00013911" w14:paraId="29B06D75" w14:textId="77777777">
      <w:pPr>
        <w:pStyle w:val="Heading2"/>
      </w:pPr>
      <w:r w:rsidRPr="0026189E">
        <w:t>Report to Congress</w:t>
      </w:r>
    </w:p>
    <w:p w:rsidR="00412FC5" w:rsidRPr="003E1A3E" w:rsidP="000E34FE" w14:paraId="2E1F24E3" w14:textId="298C493A">
      <w:pPr>
        <w:pStyle w:val="ParaNum"/>
      </w:pPr>
      <w:r>
        <w:t xml:space="preserve">The Commission will send a copy of the </w:t>
      </w:r>
      <w:r w:rsidRPr="007F17E1">
        <w:rPr>
          <w:i/>
        </w:rPr>
        <w:t>Order</w:t>
      </w:r>
      <w:r w:rsidRPr="00D841A2">
        <w:t>, including</w:t>
      </w:r>
      <w:r>
        <w:t xml:space="preserve"> this Supplemental FRFA, in a report to Congress and the Government Accountability Office pursuant to the Congressional Review Act.</w:t>
      </w:r>
      <w:r>
        <w:rPr>
          <w:rStyle w:val="FootnoteReference"/>
          <w:szCs w:val="22"/>
        </w:rPr>
        <w:footnoteReference w:id="82"/>
      </w:r>
      <w:r>
        <w:t xml:space="preserve">  In addition, the Commission will send a copy of the </w:t>
      </w:r>
      <w:r w:rsidRPr="007F17E1">
        <w:rPr>
          <w:i/>
          <w:iCs/>
        </w:rPr>
        <w:t>Order</w:t>
      </w:r>
      <w:r w:rsidRPr="00D841A2">
        <w:t xml:space="preserve">, </w:t>
      </w:r>
      <w:r>
        <w:t xml:space="preserve">including this Supplemental FRFA, to the Chief Counsel for Advocacy of the Small Business Administration.  A copy of </w:t>
      </w:r>
      <w:r w:rsidRPr="00D841A2">
        <w:t xml:space="preserve">the </w:t>
      </w:r>
      <w:r w:rsidRPr="00CD6FA3">
        <w:rPr>
          <w:i/>
          <w:iCs/>
        </w:rPr>
        <w:t>Order</w:t>
      </w:r>
      <w:r>
        <w:t xml:space="preserve"> and Supplemental FRFA </w:t>
      </w:r>
      <w:r w:rsidRPr="00D841A2">
        <w:t xml:space="preserve">(or </w:t>
      </w:r>
      <w:r>
        <w:t xml:space="preserve">a </w:t>
      </w:r>
      <w:r w:rsidRPr="00D841A2">
        <w:t>summar</w:t>
      </w:r>
      <w:r>
        <w:t>y thereof) will also be published in the Federal Register.</w:t>
      </w:r>
      <w:r>
        <w:rPr>
          <w:rStyle w:val="FootnoteReference"/>
          <w:szCs w:val="22"/>
        </w:rPr>
        <w:footnoteReference w:id="83"/>
      </w:r>
      <w:bookmarkEnd w:id="89"/>
      <w:bookmarkEnd w:id="90"/>
      <w:r w:rsidRPr="003E1A3E" w:rsidR="00525C01">
        <w:rPr>
          <w:szCs w:val="22"/>
        </w:rPr>
        <w:t xml:space="preserve"> </w:t>
      </w:r>
    </w:p>
    <w:sectPr w:rsidSect="00515EDF">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itter-Regular">
    <w:altName w:val="Yu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DB5F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EA49E6" w14:textId="77777777">
    <w:pPr>
      <w:pStyle w:val="Footer"/>
    </w:pPr>
  </w:p>
  <w:p w:rsidR="003660ED" w14:paraId="3B7D7C9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A62607" w14:paraId="67A3B309" w14:textId="5FB427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716E" w14:paraId="48276495" w14:textId="1F9CDD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6CCE" w14:paraId="7B57D8CE" w14:textId="77777777">
      <w:r>
        <w:separator/>
      </w:r>
    </w:p>
  </w:footnote>
  <w:footnote w:type="continuationSeparator" w:id="1">
    <w:p w:rsidR="009B6CCE" w:rsidP="00C721AC" w14:paraId="57217109" w14:textId="77777777">
      <w:pPr>
        <w:spacing w:before="120"/>
        <w:rPr>
          <w:sz w:val="20"/>
        </w:rPr>
      </w:pPr>
      <w:r>
        <w:rPr>
          <w:sz w:val="20"/>
        </w:rPr>
        <w:t xml:space="preserve">(Continued from previous page)  </w:t>
      </w:r>
      <w:r>
        <w:rPr>
          <w:sz w:val="20"/>
        </w:rPr>
        <w:separator/>
      </w:r>
    </w:p>
  </w:footnote>
  <w:footnote w:type="continuationNotice" w:id="2">
    <w:p w:rsidR="009B6CCE" w:rsidP="00C721AC" w14:paraId="73B3C141" w14:textId="77777777">
      <w:pPr>
        <w:jc w:val="right"/>
        <w:rPr>
          <w:sz w:val="20"/>
        </w:rPr>
      </w:pPr>
      <w:r>
        <w:rPr>
          <w:sz w:val="20"/>
        </w:rPr>
        <w:t>(continued….)</w:t>
      </w:r>
    </w:p>
  </w:footnote>
  <w:footnote w:id="3">
    <w:p w:rsidR="004352A1" w:rsidP="004352A1" w14:paraId="411DCF37" w14:textId="77777777">
      <w:pPr>
        <w:pStyle w:val="FootnoteText"/>
      </w:pPr>
      <w:r>
        <w:rPr>
          <w:rStyle w:val="FootnoteReference"/>
        </w:rPr>
        <w:footnoteRef/>
      </w:r>
      <w:r>
        <w:t xml:space="preserve"> The Infrastructure Investment and Jobs Act, Pub. L. No. </w:t>
      </w:r>
      <w:r w:rsidRPr="00DA106B">
        <w:t xml:space="preserve">117-58, </w:t>
      </w:r>
      <w:r w:rsidRPr="004D6EEA">
        <w:t>135</w:t>
      </w:r>
      <w:r w:rsidRPr="00AD24DD">
        <w:t xml:space="preserve"> Stat. </w:t>
      </w:r>
      <w:r w:rsidRPr="004D6EEA">
        <w:t>429</w:t>
      </w:r>
      <w:r>
        <w:t>, § 60504(a) (2021) (Infrastructure Act</w:t>
      </w:r>
      <w:r w:rsidRPr="005466D4">
        <w:t>).</w:t>
      </w:r>
    </w:p>
  </w:footnote>
  <w:footnote w:id="4">
    <w:p w:rsidR="00A430CF" w14:paraId="6D9DB82E" w14:textId="7F81C155">
      <w:pPr>
        <w:pStyle w:val="FootnoteText"/>
      </w:pPr>
      <w:r>
        <w:rPr>
          <w:rStyle w:val="FootnoteReference"/>
        </w:rPr>
        <w:footnoteRef/>
      </w:r>
      <w:r>
        <w:t xml:space="preserve"> </w:t>
      </w:r>
      <w:r>
        <w:rPr>
          <w:i/>
          <w:iCs/>
          <w:snapToGrid w:val="0"/>
        </w:rPr>
        <w:t>See Empowering Broadband Consumers Through Transparency</w:t>
      </w:r>
      <w:r>
        <w:rPr>
          <w:snapToGrid w:val="0"/>
        </w:rPr>
        <w:t xml:space="preserve">, CG Docket No. 22-2, Report and Order and Further Notice of Proposed Rulemaking, FCC 22-86 (2022) </w:t>
      </w:r>
      <w:r>
        <w:t>(</w:t>
      </w:r>
      <w:r>
        <w:rPr>
          <w:i/>
          <w:iCs/>
        </w:rPr>
        <w:t>Broadband Label Order</w:t>
      </w:r>
      <w:r>
        <w:t>)</w:t>
      </w:r>
      <w:r w:rsidR="009B0691">
        <w:t>.</w:t>
      </w:r>
    </w:p>
  </w:footnote>
  <w:footnote w:id="5">
    <w:p w:rsidR="00A62607" w:rsidRPr="00AA3452" w:rsidP="00AA3452" w14:paraId="67F549B1" w14:textId="6D87D760">
      <w:pPr>
        <w:pStyle w:val="xmsolistparagraph"/>
        <w:spacing w:after="120"/>
        <w:ind w:left="0"/>
        <w:rPr>
          <w:rFonts w:ascii="Times New Roman" w:hAnsi="Times New Roman" w:cs="Times New Roman"/>
          <w:sz w:val="20"/>
          <w:szCs w:val="20"/>
        </w:rPr>
      </w:pPr>
      <w:r w:rsidRPr="00F0056C">
        <w:rPr>
          <w:rStyle w:val="FootnoteReference"/>
        </w:rPr>
        <w:footnoteRef/>
      </w:r>
      <w:r w:rsidRPr="00F0056C">
        <w:t xml:space="preserve"> </w:t>
      </w:r>
      <w:r w:rsidRPr="005B7186" w:rsidR="00AA3452">
        <w:rPr>
          <w:rFonts w:ascii="Times New Roman" w:hAnsi="Times New Roman" w:cs="Times New Roman"/>
          <w:i/>
          <w:iCs/>
          <w:sz w:val="20"/>
          <w:szCs w:val="20"/>
        </w:rPr>
        <w:t xml:space="preserve">See </w:t>
      </w:r>
      <w:r w:rsidRPr="005B7186" w:rsidR="00AA3452">
        <w:rPr>
          <w:rFonts w:ascii="Times New Roman" w:eastAsia="Times New Roman" w:hAnsi="Times New Roman" w:cs="Times New Roman"/>
          <w:i/>
          <w:iCs/>
          <w:sz w:val="20"/>
          <w:szCs w:val="20"/>
        </w:rPr>
        <w:t xml:space="preserve">ACA Connects—America’s Communications Association, CTIA, NCTA—The Internet &amp; Television Association, NTCA—The Rural Broadband Association, and </w:t>
      </w:r>
      <w:r w:rsidRPr="005B7186" w:rsidR="00AA3452">
        <w:rPr>
          <w:rFonts w:ascii="Times New Roman" w:eastAsia="Times New Roman" w:hAnsi="Times New Roman" w:cs="Times New Roman"/>
          <w:i/>
          <w:iCs/>
          <w:sz w:val="20"/>
          <w:szCs w:val="20"/>
        </w:rPr>
        <w:t>USTelecom</w:t>
      </w:r>
      <w:r w:rsidRPr="005B7186" w:rsidR="00AA3452">
        <w:rPr>
          <w:rFonts w:ascii="Times New Roman" w:eastAsia="Times New Roman" w:hAnsi="Times New Roman" w:cs="Times New Roman"/>
          <w:i/>
          <w:iCs/>
          <w:sz w:val="20"/>
          <w:szCs w:val="20"/>
        </w:rPr>
        <w:t>—the Broadband Association</w:t>
      </w:r>
      <w:r w:rsidR="00AA3452">
        <w:rPr>
          <w:rFonts w:ascii="Times New Roman" w:eastAsia="Times New Roman" w:hAnsi="Times New Roman" w:cs="Times New Roman"/>
          <w:sz w:val="20"/>
          <w:szCs w:val="20"/>
        </w:rPr>
        <w:t>, Joint Petition for Clarification or, in the Alternative, Reconsideration, CG Docket No. 22-2 (filed Jan. 17, 2023)</w:t>
      </w:r>
      <w:r w:rsidR="007C3F6A">
        <w:rPr>
          <w:rFonts w:ascii="Times New Roman" w:eastAsia="Times New Roman" w:hAnsi="Times New Roman" w:cs="Times New Roman"/>
          <w:sz w:val="20"/>
          <w:szCs w:val="20"/>
        </w:rPr>
        <w:t xml:space="preserve"> (ACA Connects </w:t>
      </w:r>
      <w:r w:rsidR="00EB4E38">
        <w:rPr>
          <w:rFonts w:ascii="Times New Roman" w:eastAsia="Times New Roman" w:hAnsi="Times New Roman" w:cs="Times New Roman"/>
          <w:sz w:val="20"/>
          <w:szCs w:val="20"/>
        </w:rPr>
        <w:t xml:space="preserve">Joint </w:t>
      </w:r>
      <w:r w:rsidR="007C3F6A">
        <w:rPr>
          <w:rFonts w:ascii="Times New Roman" w:eastAsia="Times New Roman" w:hAnsi="Times New Roman" w:cs="Times New Roman"/>
          <w:sz w:val="20"/>
          <w:szCs w:val="20"/>
        </w:rPr>
        <w:t>Petition)</w:t>
      </w:r>
      <w:r w:rsidR="00AA3452">
        <w:rPr>
          <w:rFonts w:ascii="Times New Roman" w:eastAsia="Times New Roman" w:hAnsi="Times New Roman" w:cs="Times New Roman"/>
          <w:sz w:val="20"/>
          <w:szCs w:val="20"/>
        </w:rPr>
        <w:t xml:space="preserve">; </w:t>
      </w:r>
      <w:r w:rsidRPr="005B7186" w:rsidR="00AA3452">
        <w:rPr>
          <w:rFonts w:ascii="Times New Roman" w:hAnsi="Times New Roman" w:cs="Times New Roman"/>
          <w:i/>
          <w:iCs/>
          <w:sz w:val="20"/>
          <w:szCs w:val="20"/>
        </w:rPr>
        <w:t xml:space="preserve">Cincinnati Bell Telephone Company LLC d/b/a </w:t>
      </w:r>
      <w:r w:rsidRPr="005B7186" w:rsidR="00AA3452">
        <w:rPr>
          <w:rFonts w:ascii="Times New Roman" w:hAnsi="Times New Roman" w:cs="Times New Roman"/>
          <w:i/>
          <w:iCs/>
          <w:sz w:val="20"/>
          <w:szCs w:val="20"/>
        </w:rPr>
        <w:t>altafibe</w:t>
      </w:r>
      <w:r w:rsidR="00AA3452">
        <w:rPr>
          <w:rFonts w:ascii="Times New Roman" w:hAnsi="Times New Roman" w:cs="Times New Roman"/>
          <w:i/>
          <w:iCs/>
          <w:sz w:val="20"/>
          <w:szCs w:val="20"/>
        </w:rPr>
        <w:t>r</w:t>
      </w:r>
      <w:r w:rsidR="00AA3452">
        <w:rPr>
          <w:rFonts w:ascii="Times New Roman" w:hAnsi="Times New Roman" w:cs="Times New Roman"/>
          <w:i/>
          <w:iCs/>
          <w:sz w:val="20"/>
          <w:szCs w:val="20"/>
        </w:rPr>
        <w:t xml:space="preserve"> </w:t>
      </w:r>
      <w:r w:rsidRPr="005B7186" w:rsidR="00AA3452">
        <w:rPr>
          <w:rFonts w:ascii="Times New Roman" w:hAnsi="Times New Roman" w:cs="Times New Roman"/>
          <w:i/>
          <w:iCs/>
          <w:sz w:val="20"/>
          <w:szCs w:val="20"/>
        </w:rPr>
        <w:t xml:space="preserve">Network Solutions, Crown Castle, Metro Fibernet, LLC, and </w:t>
      </w:r>
      <w:r w:rsidRPr="005B7186" w:rsidR="00AA3452">
        <w:rPr>
          <w:rFonts w:ascii="Times New Roman" w:hAnsi="Times New Roman" w:cs="Times New Roman"/>
          <w:i/>
          <w:iCs/>
          <w:sz w:val="20"/>
          <w:szCs w:val="20"/>
        </w:rPr>
        <w:t>Uniti</w:t>
      </w:r>
      <w:r w:rsidRPr="005B7186" w:rsidR="00AA3452">
        <w:rPr>
          <w:rFonts w:ascii="Times New Roman" w:hAnsi="Times New Roman" w:cs="Times New Roman"/>
          <w:i/>
          <w:iCs/>
          <w:sz w:val="20"/>
          <w:szCs w:val="20"/>
        </w:rPr>
        <w:t xml:space="preserve"> Fiber LLC</w:t>
      </w:r>
      <w:r w:rsidRPr="005B7186" w:rsidR="00AA3452">
        <w:rPr>
          <w:rFonts w:ascii="Times New Roman" w:hAnsi="Times New Roman" w:cs="Times New Roman"/>
          <w:sz w:val="20"/>
          <w:szCs w:val="20"/>
        </w:rPr>
        <w:t>, Joint Petition for Clarification or Reconsideration, CG Docket No. 22-2 (filed Jan. 17, 2023)</w:t>
      </w:r>
      <w:r w:rsidR="007C3F6A">
        <w:rPr>
          <w:rFonts w:ascii="Times New Roman" w:hAnsi="Times New Roman" w:cs="Times New Roman"/>
          <w:sz w:val="20"/>
          <w:szCs w:val="20"/>
        </w:rPr>
        <w:t xml:space="preserve"> (Cincinnati Bell </w:t>
      </w:r>
      <w:r w:rsidR="00EB4E38">
        <w:rPr>
          <w:rFonts w:ascii="Times New Roman" w:hAnsi="Times New Roman" w:cs="Times New Roman"/>
          <w:sz w:val="20"/>
          <w:szCs w:val="20"/>
        </w:rPr>
        <w:t xml:space="preserve">Joint </w:t>
      </w:r>
      <w:r w:rsidR="007C3F6A">
        <w:rPr>
          <w:rFonts w:ascii="Times New Roman" w:hAnsi="Times New Roman" w:cs="Times New Roman"/>
          <w:sz w:val="20"/>
          <w:szCs w:val="20"/>
        </w:rPr>
        <w:t>Petition)</w:t>
      </w:r>
      <w:r w:rsidRPr="005B7186" w:rsidR="00AA3452">
        <w:rPr>
          <w:rFonts w:ascii="Times New Roman" w:hAnsi="Times New Roman" w:cs="Times New Roman"/>
          <w:sz w:val="20"/>
          <w:szCs w:val="20"/>
        </w:rPr>
        <w:t xml:space="preserve">; </w:t>
      </w:r>
      <w:r w:rsidRPr="00680F14" w:rsidR="00AA3452">
        <w:rPr>
          <w:rFonts w:ascii="Times New Roman" w:hAnsi="Times New Roman" w:cs="Times New Roman"/>
          <w:sz w:val="20"/>
          <w:szCs w:val="20"/>
        </w:rPr>
        <w:t>CTIA</w:t>
      </w:r>
      <w:r w:rsidR="008C7DF4">
        <w:rPr>
          <w:rFonts w:ascii="Times New Roman" w:hAnsi="Times New Roman" w:cs="Times New Roman"/>
          <w:sz w:val="20"/>
          <w:szCs w:val="20"/>
        </w:rPr>
        <w:t>—The Wireless Association</w:t>
      </w:r>
      <w:r w:rsidR="00AA3452">
        <w:rPr>
          <w:rFonts w:ascii="Times New Roman" w:hAnsi="Times New Roman" w:cs="Times New Roman"/>
          <w:sz w:val="20"/>
          <w:szCs w:val="20"/>
        </w:rPr>
        <w:t xml:space="preserve">, </w:t>
      </w:r>
      <w:r w:rsidRPr="005B7186" w:rsidR="00AA3452">
        <w:rPr>
          <w:rFonts w:ascii="Times New Roman" w:hAnsi="Times New Roman" w:cs="Times New Roman"/>
          <w:sz w:val="20"/>
          <w:szCs w:val="20"/>
        </w:rPr>
        <w:t>Petition</w:t>
      </w:r>
      <w:r w:rsidR="00AA3452">
        <w:rPr>
          <w:rFonts w:ascii="Times New Roman" w:hAnsi="Times New Roman" w:cs="Times New Roman"/>
          <w:sz w:val="20"/>
          <w:szCs w:val="20"/>
        </w:rPr>
        <w:t xml:space="preserve"> for Clarification or, in the Alternative,</w:t>
      </w:r>
      <w:r w:rsidRPr="005B7186" w:rsidR="00AA3452">
        <w:rPr>
          <w:rFonts w:ascii="Times New Roman" w:hAnsi="Times New Roman" w:cs="Times New Roman"/>
          <w:sz w:val="20"/>
          <w:szCs w:val="20"/>
        </w:rPr>
        <w:t xml:space="preserve"> Reconsideration, CG Docket No. </w:t>
      </w:r>
      <w:r w:rsidR="00AA3452">
        <w:rPr>
          <w:rFonts w:ascii="Times New Roman" w:hAnsi="Times New Roman" w:cs="Times New Roman"/>
          <w:sz w:val="20"/>
          <w:szCs w:val="20"/>
        </w:rPr>
        <w:t>22-2</w:t>
      </w:r>
      <w:r w:rsidRPr="005B7186" w:rsidR="00AA3452">
        <w:rPr>
          <w:rFonts w:ascii="Times New Roman" w:hAnsi="Times New Roman" w:cs="Times New Roman"/>
          <w:sz w:val="20"/>
          <w:szCs w:val="20"/>
        </w:rPr>
        <w:t xml:space="preserve"> (filed </w:t>
      </w:r>
      <w:r w:rsidR="00AA3452">
        <w:rPr>
          <w:rFonts w:ascii="Times New Roman" w:hAnsi="Times New Roman" w:cs="Times New Roman"/>
          <w:sz w:val="20"/>
          <w:szCs w:val="20"/>
        </w:rPr>
        <w:t>Jan.</w:t>
      </w:r>
      <w:r w:rsidRPr="005B7186" w:rsidR="00AA3452">
        <w:rPr>
          <w:rFonts w:ascii="Times New Roman" w:hAnsi="Times New Roman" w:cs="Times New Roman"/>
          <w:sz w:val="20"/>
          <w:szCs w:val="20"/>
        </w:rPr>
        <w:t xml:space="preserve"> 17, 202</w:t>
      </w:r>
      <w:r w:rsidR="00AA3452">
        <w:rPr>
          <w:rFonts w:ascii="Times New Roman" w:hAnsi="Times New Roman" w:cs="Times New Roman"/>
          <w:sz w:val="20"/>
          <w:szCs w:val="20"/>
        </w:rPr>
        <w:t>3</w:t>
      </w:r>
      <w:r w:rsidRPr="005B7186" w:rsidR="00AA3452">
        <w:rPr>
          <w:rFonts w:ascii="Times New Roman" w:hAnsi="Times New Roman" w:cs="Times New Roman"/>
          <w:sz w:val="20"/>
          <w:szCs w:val="20"/>
        </w:rPr>
        <w:t>)</w:t>
      </w:r>
      <w:r w:rsidR="007C3F6A">
        <w:rPr>
          <w:rFonts w:ascii="Times New Roman" w:hAnsi="Times New Roman" w:cs="Times New Roman"/>
          <w:sz w:val="20"/>
          <w:szCs w:val="20"/>
        </w:rPr>
        <w:t xml:space="preserve"> (CTIA Petition)</w:t>
      </w:r>
      <w:r w:rsidRPr="005B7186" w:rsidR="00AA3452">
        <w:rPr>
          <w:rFonts w:ascii="Times New Roman" w:hAnsi="Times New Roman" w:cs="Times New Roman"/>
          <w:sz w:val="20"/>
          <w:szCs w:val="20"/>
        </w:rPr>
        <w:t>.</w:t>
      </w:r>
    </w:p>
  </w:footnote>
  <w:footnote w:id="6">
    <w:p w:rsidR="00525C01" w:rsidRPr="00F14089" w:rsidP="00525C01" w14:paraId="3E876725" w14:textId="080686F3">
      <w:pPr>
        <w:pStyle w:val="FootnoteText"/>
      </w:pPr>
      <w:r>
        <w:rPr>
          <w:rStyle w:val="FootnoteReference"/>
        </w:rPr>
        <w:footnoteRef/>
      </w:r>
      <w:r>
        <w:t xml:space="preserve"> </w:t>
      </w:r>
      <w:r w:rsidR="00A8693C">
        <w:t>Infrastructure Act</w:t>
      </w:r>
      <w:r>
        <w:t xml:space="preserve"> § 60504(a).  Before enactment of the Infrastructure Act, the President issued </w:t>
      </w:r>
      <w:r w:rsidRPr="00594498">
        <w:t>Executive Order 14036</w:t>
      </w:r>
      <w:r>
        <w:t>, which, in relevant part, encouraged the Commission to consider “initiating a rulemaking that requires broadband service providers to display a broadband consumer label, such as that described in the [</w:t>
      </w:r>
      <w:r>
        <w:rPr>
          <w:i/>
          <w:iCs/>
        </w:rPr>
        <w:t xml:space="preserve">2016 </w:t>
      </w:r>
      <w:r w:rsidRPr="00240B7E">
        <w:rPr>
          <w:i/>
          <w:iCs/>
        </w:rPr>
        <w:t>Public Notice</w:t>
      </w:r>
      <w:r>
        <w:t xml:space="preserve">] so as to give consumers clear, concise, and accurate information regarding provider prices and fees, performance, and network practices.”  </w:t>
      </w:r>
      <w:r w:rsidRPr="00EA1005">
        <w:rPr>
          <w:i/>
          <w:iCs/>
        </w:rPr>
        <w:t>See</w:t>
      </w:r>
      <w:r>
        <w:t xml:space="preserve"> Executive Order No. 14036, Promoting Competition in the American Economy, 86 FR 36987 (July 9, 2021).   </w:t>
      </w:r>
    </w:p>
  </w:footnote>
  <w:footnote w:id="7">
    <w:p w:rsidR="00525C01" w:rsidRPr="002C2F63" w:rsidP="00525C01" w14:paraId="6B8CD1B4" w14:textId="584828A6">
      <w:pPr>
        <w:pStyle w:val="FootnoteText"/>
      </w:pPr>
      <w:r>
        <w:rPr>
          <w:rStyle w:val="FootnoteReference"/>
        </w:rPr>
        <w:footnoteRef/>
      </w:r>
      <w:r>
        <w:t xml:space="preserve"> Infrastructure Act</w:t>
      </w:r>
      <w:r w:rsidRPr="00650795">
        <w:rPr>
          <w:rFonts w:cs="Calibri"/>
        </w:rPr>
        <w:t xml:space="preserve"> § 60504(b)(1).</w:t>
      </w:r>
      <w:r>
        <w:t xml:space="preserve"> </w:t>
      </w:r>
      <w:r w:rsidRPr="00A048FF" w:rsidR="006D5238">
        <w:t xml:space="preserve">The Infrastructure Act also directed the </w:t>
      </w:r>
      <w:r w:rsidRPr="3A2BDA41" w:rsidR="006D5238">
        <w:t>Commission</w:t>
      </w:r>
      <w:r w:rsidRPr="00A048FF" w:rsidR="006D5238">
        <w:t xml:space="preserve"> to conduct a series of public hearings to assess: </w:t>
      </w:r>
      <w:r w:rsidR="006D5238">
        <w:t xml:space="preserve"> </w:t>
      </w:r>
      <w:r w:rsidRPr="00A048FF" w:rsidR="006D5238">
        <w:t>1) how consumers evaluate broadband Internet access service plans; and 2) whether disclosures to consumers of information regarding broadband Internet access service plans, including the disclosures required under 47 CFR § 8.1, are available, effective, and sufficient</w:t>
      </w:r>
      <w:r w:rsidR="006D5238">
        <w:t xml:space="preserve">.  </w:t>
      </w:r>
      <w:r w:rsidRPr="00525EE8" w:rsidR="006D5238">
        <w:rPr>
          <w:i/>
          <w:iCs/>
        </w:rPr>
        <w:t>See</w:t>
      </w:r>
      <w:r w:rsidRPr="00525EE8" w:rsidR="006D5238">
        <w:t xml:space="preserve"> </w:t>
      </w:r>
      <w:r w:rsidRPr="00525EE8" w:rsidR="006D5238">
        <w:rPr>
          <w:i/>
          <w:iCs/>
        </w:rPr>
        <w:t>id.</w:t>
      </w:r>
      <w:r w:rsidRPr="00525EE8" w:rsidR="006D5238">
        <w:t xml:space="preserve"> § 60504(c).</w:t>
      </w:r>
      <w:r w:rsidR="001B3525">
        <w:t xml:space="preserve">  T</w:t>
      </w:r>
      <w:r w:rsidRPr="1E003BC0" w:rsidR="001B3525">
        <w:t xml:space="preserve">he </w:t>
      </w:r>
      <w:r w:rsidRPr="00A048FF" w:rsidR="001B3525">
        <w:t>Commission</w:t>
      </w:r>
      <w:r w:rsidRPr="1E003BC0" w:rsidR="001B3525">
        <w:t xml:space="preserve"> conducted three public hearings to solicit input from various stakeholders on the content, format, and location of the labels.</w:t>
      </w:r>
      <w:r w:rsidR="001B3525">
        <w:t xml:space="preserve">  </w:t>
      </w:r>
      <w:r w:rsidRPr="5DAF1375" w:rsidR="001B3525">
        <w:rPr>
          <w:i/>
          <w:iCs/>
        </w:rPr>
        <w:t>See</w:t>
      </w:r>
      <w:r w:rsidR="001B3525">
        <w:t xml:space="preserve"> FCC, Broadband Consumer Labels, </w:t>
      </w:r>
      <w:r w:rsidRPr="0078389F" w:rsidR="001B3525">
        <w:rPr>
          <w:i/>
          <w:iCs/>
        </w:rPr>
        <w:t>Public Hearings on Broadband Labels</w:t>
      </w:r>
      <w:r w:rsidR="001B3525">
        <w:t xml:space="preserve"> (Mar. 11, 2022, Apr. 7, 2022, and May 25, 2022), </w:t>
      </w:r>
      <w:hyperlink r:id="rId1" w:history="1">
        <w:r w:rsidRPr="00347ECD" w:rsidR="001B3525">
          <w:rPr>
            <w:rStyle w:val="Hyperlink"/>
          </w:rPr>
          <w:t>https://www.fcc.gov/broadbandlabels</w:t>
        </w:r>
      </w:hyperlink>
      <w:r w:rsidR="001B3525">
        <w:t>.</w:t>
      </w:r>
    </w:p>
  </w:footnote>
  <w:footnote w:id="8">
    <w:p w:rsidR="00525C01" w:rsidP="00525C01" w14:paraId="3A1B1967" w14:textId="627C0BB1">
      <w:pPr>
        <w:pStyle w:val="FootnoteText"/>
      </w:pPr>
      <w:r>
        <w:rPr>
          <w:rStyle w:val="FootnoteReference"/>
        </w:rPr>
        <w:footnoteRef/>
      </w:r>
      <w:r>
        <w:t xml:space="preserve"> </w:t>
      </w:r>
      <w:r>
        <w:rPr>
          <w:i/>
          <w:iCs/>
          <w:color w:val="000000"/>
        </w:rPr>
        <w:t>See Empowering Broadband Consumers Through Transparency</w:t>
      </w:r>
      <w:r>
        <w:rPr>
          <w:color w:val="000000"/>
        </w:rPr>
        <w:t xml:space="preserve">, </w:t>
      </w:r>
      <w:r>
        <w:rPr>
          <w:snapToGrid w:val="0"/>
        </w:rPr>
        <w:t>CG Docket No. 22-2, Notice of Proposed Rulemaking, FCC 22-7 (rel. Jan. 27, 2022) (</w:t>
      </w:r>
      <w:r w:rsidRPr="00AB1827">
        <w:rPr>
          <w:i/>
          <w:iCs/>
          <w:snapToGrid w:val="0"/>
        </w:rPr>
        <w:t>Broadband Label NPRM</w:t>
      </w:r>
      <w:r>
        <w:rPr>
          <w:snapToGrid w:val="0"/>
        </w:rPr>
        <w:t>)</w:t>
      </w:r>
      <w:r w:rsidRPr="00F23D08">
        <w:rPr>
          <w:color w:val="000000"/>
        </w:rPr>
        <w:t>.  </w:t>
      </w:r>
    </w:p>
  </w:footnote>
  <w:footnote w:id="9">
    <w:p w:rsidR="0079584B" w14:paraId="02F6C9D6" w14:textId="06467C7C">
      <w:pPr>
        <w:pStyle w:val="FootnoteText"/>
      </w:pPr>
      <w:r>
        <w:rPr>
          <w:rStyle w:val="FootnoteReference"/>
        </w:rPr>
        <w:footnoteRef/>
      </w:r>
      <w:r>
        <w:t xml:space="preserve"> </w:t>
      </w:r>
      <w:r w:rsidR="00EF4852">
        <w:rPr>
          <w:i/>
          <w:iCs/>
        </w:rPr>
        <w:t>Id.</w:t>
      </w:r>
      <w:r>
        <w:t xml:space="preserve">, para. </w:t>
      </w:r>
      <w:r w:rsidR="008D478A">
        <w:t>14.</w:t>
      </w:r>
    </w:p>
  </w:footnote>
  <w:footnote w:id="10">
    <w:p w:rsidR="009F4021" w14:paraId="24F4F1AA" w14:textId="5B199C83">
      <w:pPr>
        <w:pStyle w:val="FootnoteText"/>
      </w:pPr>
      <w:r>
        <w:rPr>
          <w:rStyle w:val="FootnoteReference"/>
        </w:rPr>
        <w:footnoteRef/>
      </w:r>
      <w:r>
        <w:t xml:space="preserve"> </w:t>
      </w:r>
      <w:r w:rsidRPr="008D5201" w:rsidR="00C428D8">
        <w:rPr>
          <w:i/>
          <w:iCs/>
        </w:rPr>
        <w:t>See</w:t>
      </w:r>
      <w:r w:rsidR="00024EDF">
        <w:rPr>
          <w:i/>
          <w:iCs/>
        </w:rPr>
        <w:t xml:space="preserve"> </w:t>
      </w:r>
      <w:r w:rsidRPr="00FE64AA" w:rsidR="00024EDF">
        <w:rPr>
          <w:i/>
        </w:rPr>
        <w:t>supra</w:t>
      </w:r>
      <w:r w:rsidRPr="00FE64AA" w:rsidR="00024EDF">
        <w:t>,</w:t>
      </w:r>
      <w:r w:rsidRPr="00FE64AA" w:rsidR="00C428D8">
        <w:t xml:space="preserve"> n</w:t>
      </w:r>
      <w:r w:rsidRPr="00FE64AA" w:rsidR="00185479">
        <w:t xml:space="preserve">ote </w:t>
      </w:r>
      <w:r w:rsidRPr="00FE64AA" w:rsidR="00C428D8">
        <w:t>5.</w:t>
      </w:r>
    </w:p>
  </w:footnote>
  <w:footnote w:id="11">
    <w:p w:rsidR="00525C01" w:rsidRPr="00A13FA7" w:rsidP="00525C01" w14:paraId="45AF103C" w14:textId="22FBECD0">
      <w:pPr>
        <w:pStyle w:val="FootnoteText"/>
      </w:pPr>
      <w:r>
        <w:rPr>
          <w:rStyle w:val="FootnoteReference"/>
        </w:rPr>
        <w:footnoteRef/>
      </w:r>
      <w:r>
        <w:t xml:space="preserve"> </w:t>
      </w:r>
      <w:r w:rsidR="00A13FA7">
        <w:rPr>
          <w:i/>
          <w:iCs/>
        </w:rPr>
        <w:t>Broadband Label Order</w:t>
      </w:r>
      <w:r w:rsidR="00A13FA7">
        <w:t xml:space="preserve">, para. </w:t>
      </w:r>
      <w:r w:rsidR="009469BE">
        <w:t>11</w:t>
      </w:r>
      <w:r w:rsidR="00A13FA7">
        <w:t xml:space="preserve"> &amp; n</w:t>
      </w:r>
      <w:r w:rsidR="009469BE">
        <w:t>ote 20.</w:t>
      </w:r>
    </w:p>
  </w:footnote>
  <w:footnote w:id="12">
    <w:p w:rsidR="003341C9" w:rsidP="003341C9" w14:paraId="7F1278FD" w14:textId="155F06DD">
      <w:pPr>
        <w:pStyle w:val="FootnoteText"/>
      </w:pPr>
      <w:r>
        <w:rPr>
          <w:rStyle w:val="FootnoteReference"/>
        </w:rPr>
        <w:footnoteRef/>
      </w:r>
      <w:r>
        <w:t xml:space="preserve"> </w:t>
      </w:r>
      <w:r w:rsidR="00EF4852">
        <w:rPr>
          <w:i/>
          <w:iCs/>
        </w:rPr>
        <w:t>Id.</w:t>
      </w:r>
      <w:r w:rsidR="009469BE">
        <w:t>, para. 12.</w:t>
      </w:r>
      <w:r w:rsidRPr="007723D5">
        <w:t xml:space="preserve">  </w:t>
      </w:r>
    </w:p>
  </w:footnote>
  <w:footnote w:id="13">
    <w:p w:rsidR="003341C9" w:rsidP="003341C9" w14:paraId="02B874C8" w14:textId="78524B42">
      <w:pPr>
        <w:pStyle w:val="FootnoteText"/>
      </w:pPr>
      <w:r>
        <w:rPr>
          <w:rStyle w:val="FootnoteReference"/>
        </w:rPr>
        <w:footnoteRef/>
      </w:r>
      <w:r>
        <w:t xml:space="preserve"> In the </w:t>
      </w:r>
      <w:r w:rsidRPr="006F75EA">
        <w:t>Infrastructure Act</w:t>
      </w:r>
      <w:r>
        <w:t>, Congress appropriated $14.2 billion to transform the Emergency Broadband Benefit Program into</w:t>
      </w:r>
      <w:r w:rsidRPr="006F75EA">
        <w:t xml:space="preserve"> </w:t>
      </w:r>
      <w:r>
        <w:t>t</w:t>
      </w:r>
      <w:r w:rsidRPr="00094C26">
        <w:t>he Affordable Connectivity Program</w:t>
      </w:r>
      <w:r>
        <w:t xml:space="preserve"> (ACP)</w:t>
      </w:r>
      <w:r w:rsidRPr="00094C26">
        <w:t xml:space="preserve">, </w:t>
      </w:r>
      <w:r>
        <w:t xml:space="preserve">which </w:t>
      </w:r>
      <w:r w:rsidRPr="00094C26">
        <w:t xml:space="preserve">provides eligible low-income households discounted </w:t>
      </w:r>
      <w:r>
        <w:t>I</w:t>
      </w:r>
      <w:r w:rsidRPr="00094C26">
        <w:t>nternet service and a one-time discount on a connected device</w:t>
      </w:r>
      <w:r w:rsidR="00DD7FEC">
        <w:t xml:space="preserve"> from a participating provider with a co-pay</w:t>
      </w:r>
      <w:r w:rsidRPr="00094C26">
        <w:t xml:space="preserve">.  </w:t>
      </w:r>
      <w:r w:rsidRPr="003B4D89">
        <w:rPr>
          <w:i/>
          <w:iCs/>
        </w:rPr>
        <w:t>See Affordable Connectivity Program, Emergency Broadband Benefit Program</w:t>
      </w:r>
      <w:r w:rsidRPr="003B4D89">
        <w:t>, WC Docket Nos. 21-450 and 20-445, Report and Order and Further Notice of Proposed Rulemaking, FCC 22-2 (Jan. 21, 2022)</w:t>
      </w:r>
      <w:r>
        <w:t xml:space="preserve"> (</w:t>
      </w:r>
      <w:r w:rsidRPr="00A62188">
        <w:rPr>
          <w:i/>
          <w:iCs/>
        </w:rPr>
        <w:t>ACP Order</w:t>
      </w:r>
      <w:r>
        <w:t xml:space="preserve">). </w:t>
      </w:r>
      <w:r w:rsidRPr="003B4D89">
        <w:t xml:space="preserve"> </w:t>
      </w:r>
      <w:r w:rsidRPr="0018540F">
        <w:t>The A</w:t>
      </w:r>
      <w:r>
        <w:t xml:space="preserve">CP </w:t>
      </w:r>
      <w:r w:rsidRPr="0018540F">
        <w:t>provides a monthly discount of up to $30 for broadband service and up to $75 a month for households on qualifying Tribal lands.</w:t>
      </w:r>
      <w:r>
        <w:t xml:space="preserve">  </w:t>
      </w:r>
      <w:r w:rsidRPr="00D67215">
        <w:rPr>
          <w:i/>
          <w:iCs/>
        </w:rPr>
        <w:t xml:space="preserve">See </w:t>
      </w:r>
      <w:r w:rsidRPr="00D67215">
        <w:t>47 CFR § 54.1803(a).</w:t>
      </w:r>
    </w:p>
  </w:footnote>
  <w:footnote w:id="14">
    <w:p w:rsidR="003341C9" w:rsidP="003341C9" w14:paraId="7964BB4C" w14:textId="73B0E9CC">
      <w:pPr>
        <w:pStyle w:val="FootnoteText"/>
      </w:pPr>
      <w:r>
        <w:rPr>
          <w:rStyle w:val="FootnoteReference"/>
        </w:rPr>
        <w:footnoteRef/>
      </w:r>
      <w:r>
        <w:t xml:space="preserve"> As discussed in </w:t>
      </w:r>
      <w:r w:rsidR="007C3F6A">
        <w:t xml:space="preserve">the </w:t>
      </w:r>
      <w:r w:rsidRPr="007C3F6A" w:rsidR="007C3F6A">
        <w:rPr>
          <w:i/>
          <w:iCs/>
        </w:rPr>
        <w:t>Broadband Label Order</w:t>
      </w:r>
      <w:r>
        <w:t>, most providers will have six months</w:t>
      </w:r>
      <w:r w:rsidR="007C3F6A">
        <w:t xml:space="preserve"> from announ</w:t>
      </w:r>
      <w:r w:rsidR="00D979D6">
        <w:t>ce</w:t>
      </w:r>
      <w:r w:rsidR="007C3F6A">
        <w:t>ment of</w:t>
      </w:r>
      <w:r w:rsidR="000A4D18">
        <w:t xml:space="preserve"> the</w:t>
      </w:r>
      <w:r w:rsidR="007C3F6A">
        <w:t xml:space="preserve"> O</w:t>
      </w:r>
      <w:r w:rsidR="00D979D6">
        <w:t>ffice of Management and Budget</w:t>
      </w:r>
      <w:r w:rsidR="000A4D18">
        <w:t>’s</w:t>
      </w:r>
      <w:r w:rsidR="00D979D6">
        <w:t xml:space="preserve"> (OMB</w:t>
      </w:r>
      <w:r w:rsidR="000A4D18">
        <w:t>’s</w:t>
      </w:r>
      <w:r w:rsidR="00D979D6">
        <w:t>)</w:t>
      </w:r>
      <w:r w:rsidR="007C3F6A">
        <w:t xml:space="preserve"> approval o</w:t>
      </w:r>
      <w:r w:rsidR="000A4D18">
        <w:t>f</w:t>
      </w:r>
      <w:r w:rsidR="007C3F6A">
        <w:t xml:space="preserve"> the rules</w:t>
      </w:r>
      <w:r>
        <w:t xml:space="preserve"> to comply with the new label requirements, while smaller providers will have a year to come into compliance.  </w:t>
      </w:r>
      <w:r w:rsidRPr="00183984">
        <w:rPr>
          <w:i/>
          <w:iCs/>
        </w:rPr>
        <w:t xml:space="preserve">See </w:t>
      </w:r>
      <w:r w:rsidR="007C3F6A">
        <w:rPr>
          <w:i/>
          <w:iCs/>
        </w:rPr>
        <w:t>Broadband Label Order</w:t>
      </w:r>
      <w:r>
        <w:t xml:space="preserve">, section </w:t>
      </w:r>
      <w:r w:rsidRPr="00A521F2">
        <w:t>III.G.</w:t>
      </w:r>
      <w:r>
        <w:t xml:space="preserve"> (Implementation Timelines).</w:t>
      </w:r>
    </w:p>
  </w:footnote>
  <w:footnote w:id="15">
    <w:p w:rsidR="009469BE" w14:paraId="10B2F394" w14:textId="175BBA88">
      <w:pPr>
        <w:pStyle w:val="FootnoteText"/>
      </w:pPr>
      <w:r>
        <w:rPr>
          <w:rStyle w:val="FootnoteReference"/>
        </w:rPr>
        <w:footnoteRef/>
      </w:r>
      <w:r>
        <w:t xml:space="preserve"> </w:t>
      </w:r>
      <w:r w:rsidRPr="009469BE">
        <w:rPr>
          <w:i/>
          <w:iCs/>
        </w:rPr>
        <w:t>Broadband Label Order</w:t>
      </w:r>
      <w:r>
        <w:t xml:space="preserve">, paras. 64-74, </w:t>
      </w:r>
      <w:r w:rsidR="009F2C1E">
        <w:t>88-99.</w:t>
      </w:r>
    </w:p>
  </w:footnote>
  <w:footnote w:id="16">
    <w:p w:rsidR="004C6891" w:rsidP="004C6891" w14:paraId="66132A17" w14:textId="77777777">
      <w:pPr>
        <w:pStyle w:val="FootnoteText"/>
      </w:pPr>
      <w:r>
        <w:rPr>
          <w:rStyle w:val="FootnoteReference"/>
        </w:rPr>
        <w:footnoteRef/>
      </w:r>
      <w:r>
        <w:t xml:space="preserve"> </w:t>
      </w:r>
      <w:r w:rsidRPr="009F2C1E">
        <w:rPr>
          <w:i/>
          <w:iCs/>
        </w:rPr>
        <w:t>See</w:t>
      </w:r>
      <w:r>
        <w:t xml:space="preserve"> ACA Connects Joint Petition at 1.</w:t>
      </w:r>
    </w:p>
  </w:footnote>
  <w:footnote w:id="17">
    <w:p w:rsidR="00686FEB" w14:paraId="12E49653" w14:textId="10E079FC">
      <w:pPr>
        <w:pStyle w:val="FootnoteText"/>
      </w:pPr>
      <w:r>
        <w:rPr>
          <w:rStyle w:val="FootnoteReference"/>
        </w:rPr>
        <w:footnoteRef/>
      </w:r>
      <w:r>
        <w:t xml:space="preserve"> </w:t>
      </w:r>
      <w:r w:rsidRPr="00686FEB">
        <w:rPr>
          <w:i/>
          <w:iCs/>
        </w:rPr>
        <w:t>See</w:t>
      </w:r>
      <w:r>
        <w:t xml:space="preserve"> Cincinnati Bell Joint Petition at 1.</w:t>
      </w:r>
    </w:p>
  </w:footnote>
  <w:footnote w:id="18">
    <w:p w:rsidR="004C6891" w:rsidP="004C6891" w14:paraId="6BBE652C" w14:textId="15E8A2CC">
      <w:pPr>
        <w:pStyle w:val="FootnoteText"/>
      </w:pPr>
      <w:r>
        <w:rPr>
          <w:rStyle w:val="FootnoteReference"/>
        </w:rPr>
        <w:footnoteRef/>
      </w:r>
      <w:r>
        <w:t xml:space="preserve"> </w:t>
      </w:r>
      <w:r w:rsidRPr="007C3F6A">
        <w:rPr>
          <w:i/>
          <w:iCs/>
        </w:rPr>
        <w:t>Se</w:t>
      </w:r>
      <w:r w:rsidR="00EF4852">
        <w:rPr>
          <w:i/>
          <w:iCs/>
        </w:rPr>
        <w:t>e</w:t>
      </w:r>
      <w:r w:rsidRPr="007C2916" w:rsidR="00EF4852">
        <w:rPr>
          <w:i/>
        </w:rPr>
        <w:t xml:space="preserve"> </w:t>
      </w:r>
      <w:r w:rsidR="00EF4852">
        <w:rPr>
          <w:i/>
          <w:iCs/>
        </w:rPr>
        <w:t>id.</w:t>
      </w:r>
    </w:p>
  </w:footnote>
  <w:footnote w:id="19">
    <w:p w:rsidR="00F467C4" w14:paraId="4BD0B6A7" w14:textId="61B4DD03">
      <w:pPr>
        <w:pStyle w:val="FootnoteText"/>
      </w:pPr>
      <w:r>
        <w:rPr>
          <w:rStyle w:val="FootnoteReference"/>
        </w:rPr>
        <w:footnoteRef/>
      </w:r>
      <w:r>
        <w:t xml:space="preserve"> </w:t>
      </w:r>
      <w:r w:rsidRPr="004C6891" w:rsidR="006D2393">
        <w:rPr>
          <w:i/>
          <w:iCs/>
        </w:rPr>
        <w:t>See</w:t>
      </w:r>
      <w:r w:rsidR="006D2393">
        <w:t xml:space="preserve"> CTIA Petition at</w:t>
      </w:r>
      <w:r w:rsidR="007A5439">
        <w:t xml:space="preserve"> 2-3. </w:t>
      </w:r>
      <w:r w:rsidR="006D2393">
        <w:t xml:space="preserve"> </w:t>
      </w:r>
      <w:r>
        <w:t xml:space="preserve">On January 31, 2023, the Commission published notice of the petitions for reconsideration in the Federal Register.  </w:t>
      </w:r>
      <w:r w:rsidRPr="00F467C4">
        <w:rPr>
          <w:i/>
          <w:iCs/>
        </w:rPr>
        <w:t>See</w:t>
      </w:r>
      <w:r>
        <w:t xml:space="preserve"> </w:t>
      </w:r>
      <w:r w:rsidRPr="00265E69">
        <w:t xml:space="preserve">Federal Communications Commission, </w:t>
      </w:r>
      <w:r>
        <w:t xml:space="preserve">Empowering Broadband Consumers Through Transparency, Petition for Reconsideration, </w:t>
      </w:r>
      <w:r w:rsidRPr="009003A0">
        <w:t>88 Fed. Reg. 6219 (</w:t>
      </w:r>
      <w:r>
        <w:t>Jan.</w:t>
      </w:r>
      <w:r w:rsidRPr="009675AB">
        <w:t xml:space="preserve"> </w:t>
      </w:r>
      <w:r>
        <w:t>31</w:t>
      </w:r>
      <w:r w:rsidRPr="009675AB">
        <w:t>, 202</w:t>
      </w:r>
      <w:r>
        <w:t>3</w:t>
      </w:r>
      <w:r w:rsidRPr="009675AB">
        <w:t>)</w:t>
      </w:r>
      <w:r>
        <w:t xml:space="preserve"> </w:t>
      </w:r>
      <w:r w:rsidRPr="00F0056C">
        <w:t xml:space="preserve">(setting </w:t>
      </w:r>
      <w:r>
        <w:t>February 15</w:t>
      </w:r>
      <w:r w:rsidRPr="00F0056C">
        <w:t>, 202</w:t>
      </w:r>
      <w:r>
        <w:t>3</w:t>
      </w:r>
      <w:r w:rsidRPr="00F0056C">
        <w:t xml:space="preserve"> as the due date for oppositions and </w:t>
      </w:r>
      <w:r>
        <w:t>February 27, 2023</w:t>
      </w:r>
      <w:r w:rsidRPr="00F0056C">
        <w:t xml:space="preserve"> for replies to oppositions).</w:t>
      </w:r>
    </w:p>
  </w:footnote>
  <w:footnote w:id="20">
    <w:p w:rsidR="00DF2916" w:rsidP="00DF2916" w14:paraId="4A20D47A" w14:textId="7EF39CCE">
      <w:pPr>
        <w:pStyle w:val="FootnoteText"/>
      </w:pPr>
      <w:r>
        <w:rPr>
          <w:rStyle w:val="FootnoteReference"/>
        </w:rPr>
        <w:footnoteRef/>
      </w:r>
      <w:r>
        <w:t xml:space="preserve"> </w:t>
      </w:r>
      <w:r w:rsidRPr="003407A3">
        <w:rPr>
          <w:i/>
          <w:iCs/>
        </w:rPr>
        <w:t>Broadband Label Order</w:t>
      </w:r>
      <w:r>
        <w:t>, paras. 24, 33.  We are referring only to monthly discretionary fees that providers pass through to their customers as a result of certain regulatory or government programs.  Consistent with petitioners’ request, we are not reconsidering the requirement to list all “one-time” fees providers charge when a consumer first signs up for service.</w:t>
      </w:r>
    </w:p>
  </w:footnote>
  <w:footnote w:id="21">
    <w:p w:rsidR="005E46BF" w14:paraId="4AD91C7A" w14:textId="1801B447">
      <w:pPr>
        <w:pStyle w:val="FootnoteText"/>
      </w:pPr>
      <w:r>
        <w:rPr>
          <w:rStyle w:val="FootnoteReference"/>
        </w:rPr>
        <w:footnoteRef/>
      </w:r>
      <w:r>
        <w:t xml:space="preserve"> ACA Connects Joint Petition at 6.</w:t>
      </w:r>
    </w:p>
  </w:footnote>
  <w:footnote w:id="22">
    <w:p w:rsidR="00C700EE" w14:paraId="52B0A607" w14:textId="4C13F122">
      <w:pPr>
        <w:pStyle w:val="FootnoteText"/>
      </w:pPr>
      <w:r>
        <w:rPr>
          <w:rStyle w:val="FootnoteReference"/>
        </w:rPr>
        <w:footnoteRef/>
      </w:r>
      <w:r>
        <w:t xml:space="preserve"> </w:t>
      </w:r>
      <w:r w:rsidR="00EF4852">
        <w:rPr>
          <w:i/>
          <w:iCs/>
        </w:rPr>
        <w:t>Id.</w:t>
      </w:r>
      <w:r>
        <w:t xml:space="preserve"> at 6.</w:t>
      </w:r>
    </w:p>
  </w:footnote>
  <w:footnote w:id="23">
    <w:p w:rsidR="00CC52FD" w:rsidRPr="00351D64" w14:paraId="032C8619" w14:textId="6EC48BCE">
      <w:pPr>
        <w:pStyle w:val="FootnoteText"/>
      </w:pPr>
      <w:r>
        <w:rPr>
          <w:rStyle w:val="FootnoteReference"/>
        </w:rPr>
        <w:footnoteRef/>
      </w:r>
      <w:r>
        <w:t xml:space="preserve"> </w:t>
      </w:r>
      <w:r w:rsidR="00351D64">
        <w:rPr>
          <w:i/>
          <w:iCs/>
        </w:rPr>
        <w:t xml:space="preserve">See </w:t>
      </w:r>
      <w:r w:rsidR="00C97AC8">
        <w:rPr>
          <w:i/>
          <w:iCs/>
        </w:rPr>
        <w:t>Broadband Label NPRM</w:t>
      </w:r>
      <w:r w:rsidR="00C97AC8">
        <w:t>, App</w:t>
      </w:r>
      <w:r w:rsidR="003F097D">
        <w:t>endices</w:t>
      </w:r>
      <w:r w:rsidR="00C97AC8">
        <w:t xml:space="preserve"> </w:t>
      </w:r>
      <w:r w:rsidR="0072526E">
        <w:t>B, C (</w:t>
      </w:r>
      <w:r w:rsidR="00351D64">
        <w:t xml:space="preserve">providing the fixed and mobile broadband labels from the </w:t>
      </w:r>
      <w:r w:rsidR="00351D64">
        <w:rPr>
          <w:i/>
          <w:iCs/>
        </w:rPr>
        <w:t>2016 Public Notice</w:t>
      </w:r>
      <w:r w:rsidR="00351D64">
        <w:t>).</w:t>
      </w:r>
    </w:p>
  </w:footnote>
  <w:footnote w:id="24">
    <w:p w:rsidR="000925F6" w:rsidP="000925F6" w14:paraId="114B8232" w14:textId="77777777">
      <w:pPr>
        <w:pStyle w:val="FootnoteText"/>
      </w:pPr>
      <w:r>
        <w:rPr>
          <w:rStyle w:val="FootnoteReference"/>
        </w:rPr>
        <w:footnoteRef/>
      </w:r>
      <w:r>
        <w:t xml:space="preserve"> ACA Connects Joint Petition at 4.</w:t>
      </w:r>
    </w:p>
  </w:footnote>
  <w:footnote w:id="25">
    <w:p w:rsidR="00475B5B" w14:paraId="51588B8B" w14:textId="34168B68">
      <w:pPr>
        <w:pStyle w:val="FootnoteText"/>
      </w:pPr>
      <w:r>
        <w:rPr>
          <w:rStyle w:val="FootnoteReference"/>
        </w:rPr>
        <w:footnoteRef/>
      </w:r>
      <w:r>
        <w:t xml:space="preserve"> </w:t>
      </w:r>
      <w:r w:rsidRPr="00475B5B">
        <w:rPr>
          <w:i/>
          <w:iCs/>
        </w:rPr>
        <w:t>See</w:t>
      </w:r>
      <w:r>
        <w:t xml:space="preserve"> </w:t>
      </w:r>
      <w:r w:rsidR="00EF4852">
        <w:rPr>
          <w:i/>
          <w:iCs/>
        </w:rPr>
        <w:t>id.</w:t>
      </w:r>
      <w:r>
        <w:t xml:space="preserve"> at 7</w:t>
      </w:r>
      <w:r w:rsidR="00263933">
        <w:t xml:space="preserve">; </w:t>
      </w:r>
      <w:r w:rsidRPr="00263933" w:rsidR="00263933">
        <w:rPr>
          <w:i/>
          <w:iCs/>
        </w:rPr>
        <w:t>see also</w:t>
      </w:r>
      <w:r w:rsidR="00263933">
        <w:t xml:space="preserve"> Letter from Jordan Goldstein, SVP Regulatory Affairs, Comcast Corporation, to Marlene </w:t>
      </w:r>
      <w:r w:rsidR="00057399">
        <w:t xml:space="preserve">H. </w:t>
      </w:r>
      <w:r w:rsidR="00263933">
        <w:t>Dortch, Secretary, FCC, at 2-4 (June 8, 2023)</w:t>
      </w:r>
      <w:r w:rsidR="00057399">
        <w:t xml:space="preserve"> (Comcast </w:t>
      </w:r>
      <w:r w:rsidRPr="00057399" w:rsidR="00057399">
        <w:rPr>
          <w:i/>
          <w:iCs/>
        </w:rPr>
        <w:t xml:space="preserve">ex </w:t>
      </w:r>
      <w:r w:rsidRPr="00057399" w:rsidR="00057399">
        <w:rPr>
          <w:i/>
          <w:iCs/>
        </w:rPr>
        <w:t>parte</w:t>
      </w:r>
      <w:r w:rsidR="00057399">
        <w:t>)</w:t>
      </w:r>
      <w:r w:rsidR="00263933">
        <w:t xml:space="preserve"> (supporting the </w:t>
      </w:r>
      <w:r w:rsidR="00057399">
        <w:t>petitioners’ request</w:t>
      </w:r>
      <w:r w:rsidR="00263933">
        <w:t xml:space="preserve"> and arguing that itemizing discretionary fees would substantially increase the burden on providers to generate and maintain their labels).</w:t>
      </w:r>
    </w:p>
  </w:footnote>
  <w:footnote w:id="26">
    <w:p w:rsidR="007F641A" w:rsidRPr="00082D52" w14:paraId="5D86BC99" w14:textId="5FEED764">
      <w:pPr>
        <w:pStyle w:val="FootnoteText"/>
        <w:rPr>
          <w:i/>
          <w:iCs/>
        </w:rPr>
      </w:pPr>
      <w:r>
        <w:rPr>
          <w:rStyle w:val="FootnoteReference"/>
        </w:rPr>
        <w:footnoteRef/>
      </w:r>
      <w:r>
        <w:t xml:space="preserve"> </w:t>
      </w:r>
      <w:r w:rsidR="009315B4">
        <w:rPr>
          <w:i/>
          <w:iCs/>
        </w:rPr>
        <w:t>Se</w:t>
      </w:r>
      <w:r w:rsidRPr="007F641A">
        <w:rPr>
          <w:i/>
          <w:iCs/>
        </w:rPr>
        <w:t xml:space="preserve">e </w:t>
      </w:r>
      <w:r w:rsidR="009315B4">
        <w:rPr>
          <w:i/>
          <w:iCs/>
        </w:rPr>
        <w:t>infra</w:t>
      </w:r>
      <w:r>
        <w:t xml:space="preserve">, para. </w:t>
      </w:r>
      <w:r w:rsidR="00EF4852">
        <w:t>19</w:t>
      </w:r>
      <w:r w:rsidR="00082D52">
        <w:t>.</w:t>
      </w:r>
    </w:p>
  </w:footnote>
  <w:footnote w:id="27">
    <w:p w:rsidR="0035275B" w14:paraId="774DC840" w14:textId="7A8AFB50">
      <w:pPr>
        <w:pStyle w:val="FootnoteText"/>
      </w:pPr>
      <w:r>
        <w:rPr>
          <w:rStyle w:val="FootnoteReference"/>
        </w:rPr>
        <w:footnoteRef/>
      </w:r>
      <w:r>
        <w:t xml:space="preserve"> </w:t>
      </w:r>
      <w:r w:rsidRPr="0035275B">
        <w:rPr>
          <w:i/>
          <w:iCs/>
        </w:rPr>
        <w:t>See</w:t>
      </w:r>
      <w:r>
        <w:t xml:space="preserve"> ACA Connects Joint Petition at 8.  </w:t>
      </w:r>
    </w:p>
  </w:footnote>
  <w:footnote w:id="28">
    <w:p w:rsidR="00610B85" w14:paraId="5389F7E5" w14:textId="68CA0386">
      <w:pPr>
        <w:pStyle w:val="FootnoteText"/>
      </w:pPr>
      <w:r>
        <w:rPr>
          <w:rStyle w:val="FootnoteReference"/>
        </w:rPr>
        <w:footnoteRef/>
      </w:r>
      <w:r>
        <w:t xml:space="preserve"> </w:t>
      </w:r>
      <w:r w:rsidRPr="001E499E">
        <w:rPr>
          <w:i/>
          <w:iCs/>
        </w:rPr>
        <w:t>See</w:t>
      </w:r>
      <w:r>
        <w:t xml:space="preserve"> </w:t>
      </w:r>
      <w:r w:rsidR="00EF4852">
        <w:rPr>
          <w:i/>
          <w:iCs/>
        </w:rPr>
        <w:t>id.</w:t>
      </w:r>
      <w:r>
        <w:t xml:space="preserve"> at </w:t>
      </w:r>
      <w:r w:rsidR="001E499E">
        <w:t>8.</w:t>
      </w:r>
    </w:p>
  </w:footnote>
  <w:footnote w:id="29">
    <w:p w:rsidR="001E499E" w14:paraId="1BFDA977" w14:textId="28F6109C">
      <w:pPr>
        <w:pStyle w:val="FootnoteText"/>
      </w:pPr>
      <w:r>
        <w:rPr>
          <w:rStyle w:val="FootnoteReference"/>
        </w:rPr>
        <w:footnoteRef/>
      </w:r>
      <w:r>
        <w:t xml:space="preserve"> </w:t>
      </w:r>
      <w:r w:rsidRPr="001E499E">
        <w:rPr>
          <w:i/>
          <w:iCs/>
        </w:rPr>
        <w:t>See</w:t>
      </w:r>
      <w:r>
        <w:t xml:space="preserve"> </w:t>
      </w:r>
      <w:r w:rsidR="00EF4852">
        <w:rPr>
          <w:i/>
          <w:iCs/>
        </w:rPr>
        <w:t>id.</w:t>
      </w:r>
      <w:r>
        <w:t xml:space="preserve"> at 10.</w:t>
      </w:r>
    </w:p>
  </w:footnote>
  <w:footnote w:id="30">
    <w:p w:rsidR="001C5174" w14:paraId="54D59E77" w14:textId="7FC4BEBF">
      <w:pPr>
        <w:pStyle w:val="FootnoteText"/>
      </w:pPr>
      <w:r>
        <w:rPr>
          <w:rStyle w:val="FootnoteReference"/>
        </w:rPr>
        <w:footnoteRef/>
      </w:r>
      <w:r>
        <w:t xml:space="preserve"> </w:t>
      </w:r>
      <w:r w:rsidRPr="00FE48A3">
        <w:rPr>
          <w:i/>
          <w:iCs/>
        </w:rPr>
        <w:t>See Broadband Label Order</w:t>
      </w:r>
      <w:r>
        <w:t xml:space="preserve">, para. </w:t>
      </w:r>
      <w:r w:rsidR="00FE48A3">
        <w:t>24, n</w:t>
      </w:r>
      <w:r w:rsidR="0019157B">
        <w:t>.</w:t>
      </w:r>
      <w:r w:rsidR="00FE48A3">
        <w:t>49 (“A provider that opts to combine all of its monthly discretionary fees with its base monthly price may do so and list that total price.  In that case, the provider need not separately itemize those fees in the label.”)</w:t>
      </w:r>
      <w:r w:rsidR="00393807">
        <w:t>.</w:t>
      </w:r>
      <w:r w:rsidR="00FE48A3">
        <w:t xml:space="preserve">  </w:t>
      </w:r>
    </w:p>
  </w:footnote>
  <w:footnote w:id="31">
    <w:p w:rsidR="00D878FA" w:rsidP="00D878FA" w14:paraId="1A875D4C" w14:textId="77777777">
      <w:pPr>
        <w:pStyle w:val="FootnoteText"/>
      </w:pPr>
      <w:r>
        <w:rPr>
          <w:rStyle w:val="FootnoteReference"/>
        </w:rPr>
        <w:footnoteRef/>
      </w:r>
      <w:r>
        <w:t xml:space="preserve"> CTIA Petition at 7.</w:t>
      </w:r>
    </w:p>
  </w:footnote>
  <w:footnote w:id="32">
    <w:p w:rsidR="00D878FA" w:rsidP="00D878FA" w14:paraId="5612FDD5" w14:textId="02E7FDDA">
      <w:pPr>
        <w:pStyle w:val="FootnoteText"/>
      </w:pPr>
      <w:r>
        <w:rPr>
          <w:rStyle w:val="FootnoteReference"/>
        </w:rPr>
        <w:footnoteRef/>
      </w:r>
      <w:r>
        <w:t xml:space="preserve"> </w:t>
      </w:r>
      <w:r w:rsidR="00FF0ECF">
        <w:rPr>
          <w:i/>
          <w:iCs/>
        </w:rPr>
        <w:t>Id.</w:t>
      </w:r>
      <w:r>
        <w:t xml:space="preserve"> at 2-3.</w:t>
      </w:r>
    </w:p>
  </w:footnote>
  <w:footnote w:id="33">
    <w:p w:rsidR="00D878FA" w:rsidP="00D878FA" w14:paraId="63141839" w14:textId="77777777">
      <w:pPr>
        <w:pStyle w:val="FootnoteText"/>
      </w:pPr>
      <w:r>
        <w:rPr>
          <w:rStyle w:val="FootnoteReference"/>
        </w:rPr>
        <w:footnoteRef/>
      </w:r>
      <w:r>
        <w:t xml:space="preserve"> </w:t>
      </w:r>
      <w:r w:rsidRPr="000E6028">
        <w:rPr>
          <w:i/>
          <w:iCs/>
        </w:rPr>
        <w:t>See Broadband Label Order</w:t>
      </w:r>
      <w:r>
        <w:t>, para. 15 (showing broadband label template).</w:t>
      </w:r>
    </w:p>
  </w:footnote>
  <w:footnote w:id="34">
    <w:p w:rsidR="00D878FA" w:rsidP="00D878FA" w14:paraId="14F2331A" w14:textId="08089D37">
      <w:pPr>
        <w:pStyle w:val="FootnoteText"/>
      </w:pPr>
      <w:r>
        <w:rPr>
          <w:rStyle w:val="FootnoteReference"/>
        </w:rPr>
        <w:footnoteRef/>
      </w:r>
      <w:r>
        <w:t xml:space="preserve"> </w:t>
      </w:r>
      <w:r w:rsidR="00422ABA">
        <w:rPr>
          <w:i/>
          <w:iCs/>
        </w:rPr>
        <w:t>Id.</w:t>
      </w:r>
      <w:r w:rsidR="00E24F1C">
        <w:t>,</w:t>
      </w:r>
      <w:r>
        <w:t xml:space="preserve"> para. 35.</w:t>
      </w:r>
    </w:p>
  </w:footnote>
  <w:footnote w:id="35">
    <w:p w:rsidR="00D878FA" w:rsidP="00D878FA" w14:paraId="2A9F319B" w14:textId="50DEB587">
      <w:pPr>
        <w:pStyle w:val="FootnoteText"/>
      </w:pPr>
      <w:r>
        <w:rPr>
          <w:rStyle w:val="FootnoteReference"/>
        </w:rPr>
        <w:footnoteRef/>
      </w:r>
      <w:r>
        <w:t xml:space="preserve"> </w:t>
      </w:r>
      <w:r w:rsidR="00422ABA">
        <w:rPr>
          <w:i/>
          <w:iCs/>
        </w:rPr>
        <w:t>Id.</w:t>
      </w:r>
    </w:p>
  </w:footnote>
  <w:footnote w:id="36">
    <w:p w:rsidR="00D878FA" w:rsidP="00D878FA" w14:paraId="383ED3E3" w14:textId="4E52B1B7">
      <w:pPr>
        <w:pStyle w:val="FootnoteText"/>
      </w:pPr>
      <w:r>
        <w:rPr>
          <w:rStyle w:val="FootnoteReference"/>
        </w:rPr>
        <w:footnoteRef/>
      </w:r>
      <w:r>
        <w:t xml:space="preserve"> </w:t>
      </w:r>
      <w:r w:rsidR="00422ABA">
        <w:rPr>
          <w:i/>
          <w:iCs/>
        </w:rPr>
        <w:t>Id.</w:t>
      </w:r>
      <w:r>
        <w:t xml:space="preserve">  </w:t>
      </w:r>
    </w:p>
  </w:footnote>
  <w:footnote w:id="37">
    <w:p w:rsidR="00D878FA" w:rsidP="00D878FA" w14:paraId="5D53775E" w14:textId="31A485C2">
      <w:pPr>
        <w:pStyle w:val="FootnoteText"/>
      </w:pPr>
      <w:r>
        <w:rPr>
          <w:rStyle w:val="FootnoteReference"/>
        </w:rPr>
        <w:footnoteRef/>
      </w:r>
      <w:r>
        <w:t xml:space="preserve"> </w:t>
      </w:r>
      <w:r w:rsidR="00422ABA">
        <w:rPr>
          <w:i/>
          <w:iCs/>
        </w:rPr>
        <w:t>Id.</w:t>
      </w:r>
    </w:p>
  </w:footnote>
  <w:footnote w:id="38">
    <w:p w:rsidR="00D878FA" w:rsidP="00D878FA" w14:paraId="21DBDD74" w14:textId="77777777">
      <w:pPr>
        <w:pStyle w:val="FootnoteText"/>
      </w:pPr>
      <w:r>
        <w:rPr>
          <w:rStyle w:val="FootnoteReference"/>
        </w:rPr>
        <w:footnoteRef/>
      </w:r>
      <w:r>
        <w:t xml:space="preserve"> </w:t>
      </w:r>
      <w:r w:rsidRPr="005B383E">
        <w:rPr>
          <w:i/>
          <w:iCs/>
        </w:rPr>
        <w:t>See</w:t>
      </w:r>
      <w:r>
        <w:t xml:space="preserve"> Competitive Carriers Association Comment at 2.</w:t>
      </w:r>
    </w:p>
  </w:footnote>
  <w:footnote w:id="39">
    <w:p w:rsidR="00D878FA" w:rsidP="00D878FA" w14:paraId="0ACB806A" w14:textId="389D97F0">
      <w:pPr>
        <w:pStyle w:val="FootnoteText"/>
      </w:pPr>
      <w:r>
        <w:rPr>
          <w:rStyle w:val="FootnoteReference"/>
        </w:rPr>
        <w:footnoteRef/>
      </w:r>
      <w:r>
        <w:t xml:space="preserve"> </w:t>
      </w:r>
      <w:r w:rsidRPr="007E1805">
        <w:rPr>
          <w:i/>
          <w:iCs/>
        </w:rPr>
        <w:t>Broadband Label Order</w:t>
      </w:r>
      <w:r>
        <w:t>, para. 35.</w:t>
      </w:r>
      <w:r w:rsidR="00F9034E">
        <w:t xml:space="preserve">  Providers may also include more detailed information on data allowances in their promotional and/or educational materials.  </w:t>
      </w:r>
    </w:p>
  </w:footnote>
  <w:footnote w:id="40">
    <w:p w:rsidR="00D878FA" w:rsidP="00D878FA" w14:paraId="6D755B58" w14:textId="5A2FA6D6">
      <w:pPr>
        <w:pStyle w:val="FootnoteText"/>
      </w:pPr>
      <w:r>
        <w:rPr>
          <w:rStyle w:val="FootnoteReference"/>
        </w:rPr>
        <w:footnoteRef/>
      </w:r>
      <w:r>
        <w:t xml:space="preserve"> </w:t>
      </w:r>
      <w:r w:rsidR="00422ABA">
        <w:rPr>
          <w:i/>
          <w:iCs/>
        </w:rPr>
        <w:t>Id.</w:t>
      </w:r>
      <w:r>
        <w:t xml:space="preserve">, para. 17.  </w:t>
      </w:r>
      <w:r w:rsidRPr="00E05E9B">
        <w:rPr>
          <w:i/>
          <w:iCs/>
        </w:rPr>
        <w:t>See also</w:t>
      </w:r>
      <w:r>
        <w:t xml:space="preserve"> Cincinnati Bell Joint Petition at 1. </w:t>
      </w:r>
    </w:p>
  </w:footnote>
  <w:footnote w:id="41">
    <w:p w:rsidR="00D878FA" w:rsidP="00D878FA" w14:paraId="4A3E2E50" w14:textId="77777777">
      <w:pPr>
        <w:pStyle w:val="FootnoteText"/>
      </w:pPr>
      <w:r>
        <w:rPr>
          <w:rStyle w:val="FootnoteReference"/>
        </w:rPr>
        <w:footnoteRef/>
      </w:r>
      <w:r>
        <w:t xml:space="preserve"> 47 CFR </w:t>
      </w:r>
      <w:r w:rsidRPr="0013791B">
        <w:t>§</w:t>
      </w:r>
      <w:r>
        <w:t xml:space="preserve"> 8.1(b).</w:t>
      </w:r>
    </w:p>
  </w:footnote>
  <w:footnote w:id="42">
    <w:p w:rsidR="00D878FA" w:rsidP="00D878FA" w14:paraId="4E8389E7" w14:textId="13960037">
      <w:pPr>
        <w:pStyle w:val="FootnoteText"/>
      </w:pPr>
      <w:r>
        <w:rPr>
          <w:rStyle w:val="FootnoteReference"/>
        </w:rPr>
        <w:footnoteRef/>
      </w:r>
      <w:r>
        <w:t xml:space="preserve"> </w:t>
      </w:r>
      <w:r w:rsidRPr="00542263">
        <w:rPr>
          <w:i/>
          <w:iCs/>
        </w:rPr>
        <w:t>Broadband Label Order</w:t>
      </w:r>
      <w:r>
        <w:t xml:space="preserve">, para. 17; </w:t>
      </w:r>
      <w:r>
        <w:rPr>
          <w:i/>
        </w:rPr>
        <w:t>s</w:t>
      </w:r>
      <w:r w:rsidRPr="0066298F">
        <w:rPr>
          <w:i/>
        </w:rPr>
        <w:t>ee</w:t>
      </w:r>
      <w:r>
        <w:rPr>
          <w:i/>
        </w:rPr>
        <w:t xml:space="preserve"> also</w:t>
      </w:r>
      <w:r w:rsidRPr="0066298F">
        <w:rPr>
          <w:i/>
        </w:rPr>
        <w:t xml:space="preserve"> </w:t>
      </w:r>
      <w:r w:rsidRPr="000D6BF9">
        <w:rPr>
          <w:i/>
        </w:rPr>
        <w:t>Protecting and Promoting the Open Internet</w:t>
      </w:r>
      <w:r w:rsidRPr="000D6BF9">
        <w:t xml:space="preserve">, GN Docket No. 14-28, Report and Order on Remand, Declaratory Ruling, and Order, 30 FCC </w:t>
      </w:r>
      <w:r w:rsidRPr="000D6BF9">
        <w:t>Rcd</w:t>
      </w:r>
      <w:r w:rsidRPr="000D6BF9">
        <w:t xml:space="preserve"> 56</w:t>
      </w:r>
      <w:r>
        <w:t xml:space="preserve">83-84, </w:t>
      </w:r>
      <w:r w:rsidRPr="00655C13">
        <w:t>para</w:t>
      </w:r>
      <w:r>
        <w:t>. 189</w:t>
      </w:r>
      <w:r w:rsidRPr="000D6BF9">
        <w:t xml:space="preserve"> (2015)</w:t>
      </w:r>
      <w:r>
        <w:t xml:space="preserve"> (</w:t>
      </w:r>
      <w:r>
        <w:rPr>
          <w:i/>
        </w:rPr>
        <w:t>2015 Open Internet Order</w:t>
      </w:r>
      <w:r>
        <w:rPr>
          <w:iCs/>
        </w:rPr>
        <w:t>)</w:t>
      </w:r>
      <w:r>
        <w:t xml:space="preserve">; </w:t>
      </w:r>
      <w:r w:rsidRPr="00275EE9">
        <w:rPr>
          <w:i/>
          <w:iCs/>
        </w:rPr>
        <w:t>Restoring Internet Freedom</w:t>
      </w:r>
      <w:r w:rsidRPr="00744B0B">
        <w:t xml:space="preserve">, WC Docket No. 17-108, Declaratory Ruling, Report and Order, and Order, 33 FCC </w:t>
      </w:r>
      <w:r w:rsidRPr="00744B0B">
        <w:t>Rcd</w:t>
      </w:r>
      <w:r w:rsidRPr="00744B0B">
        <w:t xml:space="preserve"> 311, </w:t>
      </w:r>
      <w:r>
        <w:t>318-319</w:t>
      </w:r>
      <w:r w:rsidRPr="00744B0B">
        <w:t>, para</w:t>
      </w:r>
      <w:r>
        <w:t>. 21 n.58</w:t>
      </w:r>
      <w:r w:rsidRPr="00744B0B">
        <w:t xml:space="preserve"> (2017)</w:t>
      </w:r>
      <w:r w:rsidR="00A16E62">
        <w:t>.</w:t>
      </w:r>
      <w:r>
        <w:t xml:space="preserve"> </w:t>
      </w:r>
    </w:p>
  </w:footnote>
  <w:footnote w:id="43">
    <w:p w:rsidR="00D878FA" w:rsidP="00D878FA" w14:paraId="274E50C4" w14:textId="77777777">
      <w:pPr>
        <w:pStyle w:val="FootnoteText"/>
      </w:pPr>
      <w:r>
        <w:rPr>
          <w:rStyle w:val="FootnoteReference"/>
        </w:rPr>
        <w:footnoteRef/>
      </w:r>
      <w:r>
        <w:t xml:space="preserve"> Petitioners also argue that footnote 215 of the </w:t>
      </w:r>
      <w:r w:rsidRPr="008807D1">
        <w:rPr>
          <w:i/>
          <w:iCs/>
        </w:rPr>
        <w:t>Broadband Label Order</w:t>
      </w:r>
      <w:r>
        <w:t>, which states that, “[w]</w:t>
      </w:r>
      <w:r>
        <w:t>hether</w:t>
      </w:r>
      <w:r>
        <w:t xml:space="preserve"> the service actually falls under the standards for enterprise services and special access services addressed in paragraph </w:t>
      </w:r>
      <w:r w:rsidRPr="00095151">
        <w:t>17</w:t>
      </w:r>
      <w:r>
        <w:t xml:space="preserve"> above, and not the service provider’s name for the service, will determine whether the labeling exemption for enterprise services and special access services applies” appears to contradict footnote 36.  </w:t>
      </w:r>
      <w:r w:rsidRPr="00C326B2">
        <w:rPr>
          <w:i/>
          <w:iCs/>
        </w:rPr>
        <w:t>See</w:t>
      </w:r>
      <w:r>
        <w:t xml:space="preserve"> Cincinnati Bell Joint Petition at 4.</w:t>
      </w:r>
    </w:p>
  </w:footnote>
  <w:footnote w:id="44">
    <w:p w:rsidR="00BA00A5" w:rsidRPr="005A4191" w:rsidP="00F86AC9" w14:paraId="27C71269" w14:textId="7FFB3C5E">
      <w:pPr>
        <w:pStyle w:val="FootnoteText"/>
      </w:pPr>
      <w:r w:rsidRPr="00BF177D">
        <w:rPr>
          <w:rStyle w:val="FootnoteReference"/>
        </w:rPr>
        <w:footnoteRef/>
      </w:r>
      <w:r w:rsidRPr="00BF177D">
        <w:t xml:space="preserve"> </w:t>
      </w:r>
      <w:r w:rsidRPr="00BF177D" w:rsidR="00422BA3">
        <w:t xml:space="preserve">As Petitioners point out, </w:t>
      </w:r>
      <w:r w:rsidRPr="00BF177D" w:rsidR="005A4191">
        <w:t xml:space="preserve">paragraph 18 of the </w:t>
      </w:r>
      <w:r w:rsidRPr="00BF177D" w:rsidR="005A4191">
        <w:rPr>
          <w:i/>
          <w:iCs/>
        </w:rPr>
        <w:t>Broadband Label Order</w:t>
      </w:r>
      <w:r w:rsidRPr="00BF177D" w:rsidR="005A4191">
        <w:t xml:space="preserve"> </w:t>
      </w:r>
      <w:r w:rsidRPr="00BF177D" w:rsidR="00F86AC9">
        <w:t>stated that “</w:t>
      </w:r>
      <w:r w:rsidR="00BF177D">
        <w:t xml:space="preserve">[t]he </w:t>
      </w:r>
      <w:r w:rsidRPr="00BF177D" w:rsidR="00F86AC9">
        <w:t>Infrastructure Act expressly defines ‘broadband Internet access service’ by reference to the definition in section 8.1(b) of our rules, and the Commission previously had interpreted that rule to include E-Rate and RHC services.”</w:t>
      </w:r>
      <w:r w:rsidRPr="00BF177D" w:rsidR="00E13CA9">
        <w:t xml:space="preserve">  Cincinnati Bell Joint Petition at </w:t>
      </w:r>
      <w:r w:rsidRPr="00BF177D" w:rsidR="00CE4D75">
        <w:t>3 n.6</w:t>
      </w:r>
      <w:r w:rsidRPr="00BF177D" w:rsidR="00B144E8">
        <w:t xml:space="preserve"> (quoting </w:t>
      </w:r>
      <w:r w:rsidRPr="00BF177D" w:rsidR="00B144E8">
        <w:rPr>
          <w:i/>
          <w:iCs/>
        </w:rPr>
        <w:t>Broadband Label Order</w:t>
      </w:r>
      <w:r w:rsidRPr="00BF177D" w:rsidR="00B144E8">
        <w:t>, para. 18).</w:t>
      </w:r>
      <w:r w:rsidRPr="00BF177D" w:rsidR="000D35FA">
        <w:t xml:space="preserve">  We reconsider the implications of </w:t>
      </w:r>
      <w:r w:rsidRPr="00BF177D" w:rsidR="007E3ED8">
        <w:t>that</w:t>
      </w:r>
      <w:r w:rsidRPr="00BF177D" w:rsidR="000D35FA">
        <w:t xml:space="preserve"> language </w:t>
      </w:r>
      <w:r w:rsidRPr="00BF177D" w:rsidR="007E3ED8">
        <w:t>in this context</w:t>
      </w:r>
      <w:r w:rsidRPr="00BF177D" w:rsidR="00B25780">
        <w:t xml:space="preserve">, making </w:t>
      </w:r>
      <w:r w:rsidRPr="00BF177D" w:rsidR="008E0B1E">
        <w:t xml:space="preserve">clear </w:t>
      </w:r>
      <w:r w:rsidRPr="00BF177D" w:rsidR="00E13CA9">
        <w:t>the uniform treatment of enterprise</w:t>
      </w:r>
      <w:r w:rsidRPr="00BF177D" w:rsidR="0017362A">
        <w:t>/special access</w:t>
      </w:r>
      <w:r w:rsidRPr="00BF177D" w:rsidR="00E13CA9">
        <w:t xml:space="preserve"> service offerings for purposes of our broadband label requirements.</w:t>
      </w:r>
    </w:p>
  </w:footnote>
  <w:footnote w:id="45">
    <w:p w:rsidR="00D878FA" w:rsidP="00D878FA" w14:paraId="027D2D9F" w14:textId="77777777">
      <w:pPr>
        <w:pStyle w:val="FootnoteText"/>
      </w:pPr>
      <w:r>
        <w:rPr>
          <w:rStyle w:val="FootnoteReference"/>
        </w:rPr>
        <w:footnoteRef/>
      </w:r>
      <w:r>
        <w:t xml:space="preserve"> </w:t>
      </w:r>
      <w:r w:rsidRPr="00754908">
        <w:rPr>
          <w:i/>
          <w:iCs/>
        </w:rPr>
        <w:t>See</w:t>
      </w:r>
      <w:r>
        <w:t xml:space="preserve"> Coalition of Concerned Carriers Comment at 3 (arguing that the </w:t>
      </w:r>
      <w:r w:rsidRPr="0058602C">
        <w:t>language in footnote 36 was meant to address the same point raised in footnote 215</w:t>
      </w:r>
      <w:r>
        <w:t xml:space="preserve">—whether </w:t>
      </w:r>
      <w:r w:rsidRPr="0058602C">
        <w:t>a service is a mass</w:t>
      </w:r>
      <w:r>
        <w:t>-</w:t>
      </w:r>
      <w:r w:rsidRPr="0058602C">
        <w:t>market retail service or an enterprise service is determined by the manner in which the service is offered, and not by the service provider’s name for the service</w:t>
      </w:r>
      <w:r>
        <w:t xml:space="preserve">); </w:t>
      </w:r>
      <w:r>
        <w:t>USTelecom</w:t>
      </w:r>
      <w:r>
        <w:t xml:space="preserve"> Reply at 2 (supporting granting the petition and stating that r</w:t>
      </w:r>
      <w:r w:rsidRPr="0012214D">
        <w:t>econciling footnotes 36 and 215 suggests th</w:t>
      </w:r>
      <w:r>
        <w:t>at the</w:t>
      </w:r>
      <w:r w:rsidRPr="0012214D">
        <w:t xml:space="preserve"> Commission intended to make clear that</w:t>
      </w:r>
      <w:r>
        <w:t>,</w:t>
      </w:r>
      <w:r w:rsidRPr="0012214D">
        <w:t xml:space="preserve"> regardless of how the provider names or defines its offering, the manner in which it is offered is dispositive of whether the labeling requirements apply</w:t>
      </w:r>
      <w:r>
        <w:t>)</w:t>
      </w:r>
      <w:r w:rsidRPr="0012214D">
        <w:t>.</w:t>
      </w:r>
      <w:r>
        <w:t xml:space="preserve"> </w:t>
      </w:r>
    </w:p>
  </w:footnote>
  <w:footnote w:id="46">
    <w:p w:rsidR="00D878FA" w:rsidP="00D878FA" w14:paraId="174BEC01" w14:textId="7B4E064F">
      <w:pPr>
        <w:pStyle w:val="FootnoteText"/>
      </w:pPr>
      <w:r>
        <w:rPr>
          <w:rStyle w:val="FootnoteReference"/>
        </w:rPr>
        <w:footnoteRef/>
      </w:r>
      <w:r>
        <w:t xml:space="preserve"> </w:t>
      </w:r>
      <w:r w:rsidRPr="00E05E9B">
        <w:rPr>
          <w:i/>
          <w:iCs/>
        </w:rPr>
        <w:t>See Broadband Label Order</w:t>
      </w:r>
      <w:r>
        <w:t xml:space="preserve">, para. 17.  While we clarify that </w:t>
      </w:r>
      <w:r w:rsidRPr="00A048FF">
        <w:t>service offerings to large customers (or other entities) that are not mass-market retail services</w:t>
      </w:r>
      <w:r>
        <w:t xml:space="preserve"> are</w:t>
      </w:r>
      <w:r w:rsidRPr="00A048FF">
        <w:t xml:space="preserve"> not covered by the disclosure requirements here</w:t>
      </w:r>
      <w:r>
        <w:t xml:space="preserve">, we do not do so for all the reasons petitioners and commenters raise.  For example, we are not persuaded that it would be overly burdensome for wholesalers and resellers to create labels for their larger customers or that the labels would be confusing for the customers themselves.  </w:t>
      </w:r>
      <w:r w:rsidRPr="00F62C65">
        <w:rPr>
          <w:i/>
          <w:iCs/>
        </w:rPr>
        <w:t xml:space="preserve">See </w:t>
      </w:r>
      <w:r w:rsidR="00363399">
        <w:rPr>
          <w:i/>
          <w:iCs/>
        </w:rPr>
        <w:t>id.</w:t>
      </w:r>
      <w:r>
        <w:t xml:space="preserve">; </w:t>
      </w:r>
      <w:r>
        <w:rPr>
          <w:i/>
          <w:iCs/>
        </w:rPr>
        <w:t>s</w:t>
      </w:r>
      <w:r w:rsidRPr="00F140D6">
        <w:rPr>
          <w:i/>
          <w:iCs/>
        </w:rPr>
        <w:t>ee</w:t>
      </w:r>
      <w:r>
        <w:rPr>
          <w:i/>
          <w:iCs/>
        </w:rPr>
        <w:t xml:space="preserve"> also </w:t>
      </w:r>
      <w:r>
        <w:t>Cincinnati Bell Joint Petition at 6; Schools, Health &amp; Libraries Broadband Coalition Comment at 2 (arguing that a</w:t>
      </w:r>
      <w:r w:rsidRPr="00AF1A78">
        <w:t xml:space="preserve"> label would either be unnecessarily duplicative of what is contained in the contract or add confusion for </w:t>
      </w:r>
      <w:r>
        <w:t xml:space="preserve">schools, libraries, and healthcare providers that purchase custom-designed services); Education Networks of America, Inc, ENA Services, LLC, and Zayo Group, LLC Ex </w:t>
      </w:r>
      <w:r>
        <w:t>Parte</w:t>
      </w:r>
      <w:r>
        <w:t xml:space="preserve"> at 1 (arguing that the provision of broadband labels for customized services will not help E-rate or rural health care entities make better informed service selections).</w:t>
      </w:r>
    </w:p>
  </w:footnote>
  <w:footnote w:id="47">
    <w:p w:rsidR="00D878FA" w:rsidP="00D878FA" w14:paraId="56A9A187" w14:textId="77777777">
      <w:pPr>
        <w:pStyle w:val="FootnoteText"/>
      </w:pPr>
      <w:r>
        <w:rPr>
          <w:rStyle w:val="FootnoteReference"/>
        </w:rPr>
        <w:footnoteRef/>
      </w:r>
      <w:r>
        <w:t xml:space="preserve"> </w:t>
      </w:r>
      <w:r>
        <w:rPr>
          <w:i/>
          <w:iCs/>
        </w:rPr>
        <w:t>See</w:t>
      </w:r>
      <w:r>
        <w:t xml:space="preserve"> Schools, Health &amp; Libraries Broadband Coalition Comment at 2.  We note that petitioners support the adoption of broadband labeling requirements for mass-market retail services.  </w:t>
      </w:r>
      <w:r w:rsidRPr="008807D1">
        <w:rPr>
          <w:i/>
          <w:iCs/>
        </w:rPr>
        <w:t>See</w:t>
      </w:r>
      <w:r>
        <w:t xml:space="preserve"> Cincinnati Bell Joint Petition at 1.</w:t>
      </w:r>
    </w:p>
  </w:footnote>
  <w:footnote w:id="48">
    <w:p w:rsidR="00D878FA" w:rsidP="00D878FA" w14:paraId="44A6AD9B" w14:textId="77777777">
      <w:pPr>
        <w:pStyle w:val="FootnoteText"/>
      </w:pPr>
      <w:r>
        <w:rPr>
          <w:rStyle w:val="FootnoteReference"/>
        </w:rPr>
        <w:footnoteRef/>
      </w:r>
      <w:r>
        <w:t xml:space="preserve"> </w:t>
      </w:r>
      <w:r w:rsidRPr="00A1450C">
        <w:rPr>
          <w:i/>
          <w:iCs/>
        </w:rPr>
        <w:t>Broadband Label Order</w:t>
      </w:r>
      <w:r>
        <w:t>, para. 96.</w:t>
      </w:r>
    </w:p>
  </w:footnote>
  <w:footnote w:id="49">
    <w:p w:rsidR="00D878FA" w:rsidP="00D878FA" w14:paraId="6EDAE8EA" w14:textId="0514C16A">
      <w:pPr>
        <w:pStyle w:val="FootnoteText"/>
      </w:pPr>
      <w:r>
        <w:rPr>
          <w:rStyle w:val="FootnoteReference"/>
        </w:rPr>
        <w:footnoteRef/>
      </w:r>
      <w:r>
        <w:t xml:space="preserve"> </w:t>
      </w:r>
      <w:r w:rsidRPr="00FF5940">
        <w:rPr>
          <w:i/>
          <w:iCs/>
        </w:rPr>
        <w:t xml:space="preserve">See </w:t>
      </w:r>
      <w:r w:rsidR="00363399">
        <w:rPr>
          <w:i/>
          <w:iCs/>
        </w:rPr>
        <w:t>id.</w:t>
      </w:r>
      <w:r w:rsidR="00E24F1C">
        <w:t xml:space="preserve">, </w:t>
      </w:r>
      <w:r>
        <w:t>para. 95.</w:t>
      </w:r>
    </w:p>
  </w:footnote>
  <w:footnote w:id="50">
    <w:p w:rsidR="00D878FA" w:rsidP="00D878FA" w14:paraId="5F263D1C" w14:textId="6962C798">
      <w:pPr>
        <w:pStyle w:val="FootnoteText"/>
      </w:pPr>
      <w:r>
        <w:rPr>
          <w:rStyle w:val="FootnoteReference"/>
        </w:rPr>
        <w:footnoteRef/>
      </w:r>
      <w:r>
        <w:t xml:space="preserve"> </w:t>
      </w:r>
      <w:r w:rsidR="005E1FFE">
        <w:t>ACA Connects Joint Petition at 4-5</w:t>
      </w:r>
      <w:r w:rsidR="002D2945">
        <w:t>, 11</w:t>
      </w:r>
      <w:r w:rsidR="005E1FFE">
        <w:t xml:space="preserve">.  </w:t>
      </w:r>
      <w:r>
        <w:t xml:space="preserve">Providers may also comply with the requirement as described in the </w:t>
      </w:r>
      <w:r w:rsidRPr="009F2468">
        <w:rPr>
          <w:i/>
          <w:iCs/>
        </w:rPr>
        <w:t>Broadband Label Order</w:t>
      </w:r>
      <w:r>
        <w:t xml:space="preserve"> </w:t>
      </w:r>
      <w:r w:rsidR="002A2AF8">
        <w:t xml:space="preserve">instead </w:t>
      </w:r>
      <w:r>
        <w:t xml:space="preserve">(i.e., that they document each instance when a consumer is provided a label at an alternative sales channel and retain such documentation for a period of two years).  </w:t>
      </w:r>
    </w:p>
  </w:footnote>
  <w:footnote w:id="51">
    <w:p w:rsidR="00D878FA" w:rsidP="00D878FA" w14:paraId="59034EC9" w14:textId="0DA952FC">
      <w:pPr>
        <w:pStyle w:val="FootnoteText"/>
      </w:pPr>
      <w:r>
        <w:rPr>
          <w:rStyle w:val="FootnoteReference"/>
        </w:rPr>
        <w:footnoteRef/>
      </w:r>
      <w:r>
        <w:t xml:space="preserve"> ACA Connects Joint Petition at 5, 11; </w:t>
      </w:r>
      <w:r>
        <w:rPr>
          <w:i/>
          <w:iCs/>
        </w:rPr>
        <w:t>s</w:t>
      </w:r>
      <w:r w:rsidRPr="00865E75">
        <w:rPr>
          <w:i/>
          <w:iCs/>
        </w:rPr>
        <w:t>ee also</w:t>
      </w:r>
      <w:r>
        <w:t xml:space="preserve"> WISPA – Broadband Without Boundaries Comment at 3; CTIA Reply at 3 (each supporting the petition)</w:t>
      </w:r>
      <w:r w:rsidR="00DC769A">
        <w:t xml:space="preserve">; Comcast </w:t>
      </w:r>
      <w:r w:rsidRPr="00DC769A" w:rsidR="00DC769A">
        <w:rPr>
          <w:i/>
          <w:iCs/>
        </w:rPr>
        <w:t xml:space="preserve">ex </w:t>
      </w:r>
      <w:r w:rsidRPr="00DC769A" w:rsidR="00DC769A">
        <w:rPr>
          <w:i/>
          <w:iCs/>
        </w:rPr>
        <w:t>parte</w:t>
      </w:r>
      <w:r w:rsidR="00DC769A">
        <w:t xml:space="preserve"> at 4 (arguing that creating and maintaining “such an extremely large number of otherwise-unnecessary records imposes substantial additional burdens” on providers). </w:t>
      </w:r>
      <w:r>
        <w:t xml:space="preserve">   </w:t>
      </w:r>
    </w:p>
  </w:footnote>
  <w:footnote w:id="52">
    <w:p w:rsidR="00D878FA" w:rsidP="00D878FA" w14:paraId="6EF25945" w14:textId="77777777">
      <w:pPr>
        <w:pStyle w:val="FootnoteText"/>
      </w:pPr>
      <w:r>
        <w:rPr>
          <w:rStyle w:val="FootnoteReference"/>
        </w:rPr>
        <w:footnoteRef/>
      </w:r>
      <w:r>
        <w:t xml:space="preserve"> ACA Connects Joint Petition at 11-12.</w:t>
      </w:r>
    </w:p>
  </w:footnote>
  <w:footnote w:id="53">
    <w:p w:rsidR="00D878FA" w:rsidP="00D878FA" w14:paraId="6257AD9E" w14:textId="77777777">
      <w:pPr>
        <w:pStyle w:val="FootnoteText"/>
      </w:pPr>
      <w:r>
        <w:rPr>
          <w:rStyle w:val="FootnoteReference"/>
        </w:rPr>
        <w:footnoteRef/>
      </w:r>
      <w:r>
        <w:t xml:space="preserve"> </w:t>
      </w:r>
      <w:r w:rsidRPr="00F35079">
        <w:rPr>
          <w:i/>
          <w:iCs/>
        </w:rPr>
        <w:t>See</w:t>
      </w:r>
      <w:r>
        <w:t xml:space="preserve"> Competitive Carriers Association Comment at 3 (s</w:t>
      </w:r>
      <w:r w:rsidRPr="00855C9B">
        <w:t>upport</w:t>
      </w:r>
      <w:r>
        <w:t>ing</w:t>
      </w:r>
      <w:r w:rsidRPr="00855C9B">
        <w:t xml:space="preserve"> </w:t>
      </w:r>
      <w:r>
        <w:t xml:space="preserve">the petition and arguing that, in the absence of </w:t>
      </w:r>
      <w:r w:rsidRPr="00974A8D">
        <w:t>clear rule language on referring consumers to labels in alternative sales channels, there is an increased risk of inconsistent implementation</w:t>
      </w:r>
      <w:r>
        <w:t>).</w:t>
      </w:r>
    </w:p>
  </w:footnote>
  <w:footnote w:id="54">
    <w:p w:rsidR="00E62CC5" w14:paraId="58AD1F35" w14:textId="1CB9B7E9">
      <w:pPr>
        <w:pStyle w:val="FootnoteText"/>
      </w:pPr>
      <w:r>
        <w:rPr>
          <w:rStyle w:val="FootnoteReference"/>
        </w:rPr>
        <w:footnoteRef/>
      </w:r>
      <w:r>
        <w:t xml:space="preserve"> CTIA Petition at 6.</w:t>
      </w:r>
    </w:p>
  </w:footnote>
  <w:footnote w:id="55">
    <w:p w:rsidR="00F465CB" w14:paraId="39F4565C" w14:textId="084CAE57">
      <w:pPr>
        <w:pStyle w:val="FootnoteText"/>
      </w:pPr>
      <w:r>
        <w:rPr>
          <w:rStyle w:val="FootnoteReference"/>
        </w:rPr>
        <w:footnoteRef/>
      </w:r>
      <w:r>
        <w:t xml:space="preserve"> </w:t>
      </w:r>
      <w:r w:rsidR="00363399">
        <w:rPr>
          <w:i/>
          <w:iCs/>
        </w:rPr>
        <w:t>Id.</w:t>
      </w:r>
      <w:r>
        <w:t xml:space="preserve"> at 5.</w:t>
      </w:r>
    </w:p>
  </w:footnote>
  <w:footnote w:id="56">
    <w:p w:rsidR="00E71980" w14:paraId="080A9757" w14:textId="00C9073E">
      <w:pPr>
        <w:pStyle w:val="FootnoteText"/>
      </w:pPr>
      <w:r>
        <w:rPr>
          <w:rStyle w:val="FootnoteReference"/>
        </w:rPr>
        <w:footnoteRef/>
      </w:r>
      <w:r>
        <w:t xml:space="preserve"> </w:t>
      </w:r>
      <w:r w:rsidRPr="00363399" w:rsidR="00363399">
        <w:rPr>
          <w:i/>
          <w:iCs/>
        </w:rPr>
        <w:t>Id.</w:t>
      </w:r>
      <w:r>
        <w:t xml:space="preserve"> at 6; </w:t>
      </w:r>
      <w:r w:rsidRPr="00E71980">
        <w:rPr>
          <w:i/>
          <w:iCs/>
        </w:rPr>
        <w:t>see also</w:t>
      </w:r>
      <w:r>
        <w:t xml:space="preserve"> Competitive Carriers Association Comment at 2 (a</w:t>
      </w:r>
      <w:r w:rsidRPr="00974A8D">
        <w:t>gree</w:t>
      </w:r>
      <w:r>
        <w:t>ing</w:t>
      </w:r>
      <w:r w:rsidRPr="00974A8D">
        <w:t xml:space="preserve"> with CTIA that </w:t>
      </w:r>
      <w:r>
        <w:t>w</w:t>
      </w:r>
      <w:r w:rsidRPr="00974A8D">
        <w:t>ireless providers should not have to modify or otherwise limit their competitive service offerings to fit a labelling framework so long as their service offerings are depicted clearly, completely, and accurately</w:t>
      </w:r>
      <w:r>
        <w:t>)</w:t>
      </w:r>
      <w:r w:rsidRPr="00974A8D">
        <w:t>.</w:t>
      </w:r>
    </w:p>
  </w:footnote>
  <w:footnote w:id="57">
    <w:p w:rsidR="0066033A" w:rsidP="0066033A" w14:paraId="232A215A" w14:textId="77777777">
      <w:pPr>
        <w:pStyle w:val="FootnoteText"/>
      </w:pPr>
      <w:r>
        <w:rPr>
          <w:rStyle w:val="FootnoteReference"/>
        </w:rPr>
        <w:footnoteRef/>
      </w:r>
      <w:r>
        <w:t xml:space="preserve"> We find good cause to make these changes effective upon Federal Register publication under </w:t>
      </w:r>
      <w:r w:rsidRPr="005144E7">
        <w:t>5 U.S.C. §</w:t>
      </w:r>
      <w:r>
        <w:t> </w:t>
      </w:r>
      <w:r w:rsidRPr="005144E7">
        <w:t>553(d)(3)</w:t>
      </w:r>
      <w:r>
        <w:t xml:space="preserve">.  </w:t>
      </w:r>
      <w:r w:rsidRPr="00987B11">
        <w:rPr>
          <w:i/>
          <w:iCs/>
        </w:rPr>
        <w:t xml:space="preserve">See, e.g., </w:t>
      </w:r>
      <w:r w:rsidRPr="00987B11">
        <w:rPr>
          <w:i/>
          <w:iCs/>
        </w:rPr>
        <w:t>Omnipoint</w:t>
      </w:r>
      <w:r w:rsidRPr="00987B11">
        <w:rPr>
          <w:i/>
          <w:iCs/>
        </w:rPr>
        <w:t xml:space="preserve"> Corp. v. FCC</w:t>
      </w:r>
      <w:r w:rsidRPr="00D54105">
        <w:t>, 78 F.3d 620, 630 (D.C. Cir. 1996)</w:t>
      </w:r>
      <w:r>
        <w:t xml:space="preserve"> (discussing the evaluation of good cause under </w:t>
      </w:r>
      <w:r w:rsidRPr="005144E7">
        <w:t>5 U.S.C. §</w:t>
      </w:r>
      <w:r>
        <w:t> </w:t>
      </w:r>
      <w:r w:rsidRPr="005144E7">
        <w:t>553(d)(3)</w:t>
      </w:r>
      <w:r>
        <w:t>).</w:t>
      </w:r>
      <w:r w:rsidRPr="00D54105">
        <w:t xml:space="preserve"> </w:t>
      </w:r>
      <w:r>
        <w:t xml:space="preserve"> B</w:t>
      </w:r>
      <w:r w:rsidRPr="00D54105">
        <w:t xml:space="preserve">ecause compliance with the label </w:t>
      </w:r>
      <w:r>
        <w:t>rule</w:t>
      </w:r>
      <w:r w:rsidRPr="00D54105">
        <w:t xml:space="preserve"> is not yet required, </w:t>
      </w:r>
      <w:r>
        <w:t>we do not find</w:t>
      </w:r>
      <w:r w:rsidRPr="00D54105">
        <w:t xml:space="preserve"> any unfairness to any party from making the rule change effective upon Federal Register publication at this point</w:t>
      </w:r>
      <w:r>
        <w:t>, since affected parties still will have a significant period of time—</w:t>
      </w:r>
      <w:r w:rsidRPr="00DD51B8">
        <w:t xml:space="preserve">one year after the removal or amendment of </w:t>
      </w:r>
      <w:r>
        <w:t>47 CFR § 8.1(a)(7)</w:t>
      </w:r>
      <w:r w:rsidRPr="00DD51B8">
        <w:t xml:space="preserve"> for providers with 100,000 or fewer subscriber lines and six months after the removal or amendment of </w:t>
      </w:r>
      <w:r>
        <w:t>47 CFR § 8.1(a)(7)</w:t>
      </w:r>
      <w:r w:rsidRPr="00DD51B8">
        <w:t xml:space="preserve"> for all other providers</w:t>
      </w:r>
      <w:r>
        <w:t>—before compliance would be required.  At the same time, taking this approach</w:t>
      </w:r>
      <w:r w:rsidRPr="00D54105">
        <w:t xml:space="preserve"> </w:t>
      </w:r>
      <w:r>
        <w:t xml:space="preserve">enables us to harmonize the timing of compliance with the various rules and requirements for broadband labels.  </w:t>
      </w:r>
    </w:p>
  </w:footnote>
  <w:footnote w:id="58">
    <w:p w:rsidR="0066033A" w:rsidRPr="00C03968" w:rsidP="0066033A" w14:paraId="224E369D" w14:textId="7C0A5076">
      <w:pPr>
        <w:pStyle w:val="FootnoteText"/>
        <w:rPr>
          <w:rStyle w:val="FootnoteReference"/>
        </w:rPr>
      </w:pPr>
      <w:r>
        <w:rPr>
          <w:rStyle w:val="FootnoteReference"/>
        </w:rPr>
        <w:footnoteRef/>
      </w:r>
      <w:r>
        <w:t xml:space="preserve"> </w:t>
      </w:r>
      <w:r w:rsidRPr="00C03968">
        <w:t xml:space="preserve">In the </w:t>
      </w:r>
      <w:r w:rsidRPr="00C03968">
        <w:rPr>
          <w:i/>
          <w:iCs/>
        </w:rPr>
        <w:t>Broadband Label Order</w:t>
      </w:r>
      <w:r w:rsidRPr="00C03968">
        <w:t xml:space="preserve">, </w:t>
      </w:r>
      <w:r w:rsidRPr="005623A7">
        <w:t>t</w:t>
      </w:r>
      <w:r w:rsidRPr="00C03968">
        <w:t xml:space="preserve">he Commission adopted a one-year implementation period </w:t>
      </w:r>
      <w:r w:rsidRPr="005623A7">
        <w:t xml:space="preserve">following completion of OMB review </w:t>
      </w:r>
      <w:r w:rsidRPr="00C03968">
        <w:t>for providers with 100,000 or fewer subscriber lines</w:t>
      </w:r>
      <w:r w:rsidRPr="005623A7">
        <w:t xml:space="preserve"> applicable to the section 8.1 revisions except, as to the revision to section 8.1(a)(2) to make labels accessible in online account portals and the revision to section 8.1(a)(3), it adopted a one-year implementation period for all providers</w:t>
      </w:r>
      <w:r w:rsidRPr="00C03968">
        <w:t xml:space="preserve">.  </w:t>
      </w:r>
      <w:r w:rsidRPr="00C03968">
        <w:rPr>
          <w:i/>
          <w:iCs/>
        </w:rPr>
        <w:t xml:space="preserve">Broadband Label Order, </w:t>
      </w:r>
      <w:r w:rsidRPr="00C03968">
        <w:t xml:space="preserve">para. 118. </w:t>
      </w:r>
      <w:r w:rsidRPr="00C03968">
        <w:rPr>
          <w:rStyle w:val="FootnoteReference"/>
        </w:rPr>
        <w:t xml:space="preserve"> </w:t>
      </w:r>
      <w:r w:rsidRPr="005623A7">
        <w:t xml:space="preserve">The Commission adopted a </w:t>
      </w:r>
      <w:r w:rsidRPr="00C03968">
        <w:t xml:space="preserve">six-month implementation period </w:t>
      </w:r>
      <w:r w:rsidRPr="005623A7">
        <w:t xml:space="preserve">following completion of OMB review </w:t>
      </w:r>
      <w:r w:rsidRPr="00C03968">
        <w:t xml:space="preserve">for </w:t>
      </w:r>
      <w:r w:rsidRPr="005623A7">
        <w:t xml:space="preserve">the revisions to 8.1 for all other providers, concluding that it </w:t>
      </w:r>
      <w:r w:rsidRPr="00C03968">
        <w:t xml:space="preserve">was warranted to ensure that ISPs can implement the necessary changes in a cost-effective way that makes sense for their individual business models and potential customers.  </w:t>
      </w:r>
      <w:r w:rsidRPr="00C03968">
        <w:rPr>
          <w:i/>
          <w:iCs/>
        </w:rPr>
        <w:t>Id.</w:t>
      </w:r>
      <w:r w:rsidR="00E24F1C">
        <w:t xml:space="preserve">, </w:t>
      </w:r>
      <w:r w:rsidRPr="00C03968">
        <w:t>para. 117.</w:t>
      </w:r>
      <w:r w:rsidRPr="005623A7">
        <w:t xml:space="preserve"> </w:t>
      </w:r>
      <w:r w:rsidR="006274DE">
        <w:t xml:space="preserve"> </w:t>
      </w:r>
      <w:r w:rsidRPr="00C03968">
        <w:t>The Commission stated that the respective six-month and one-year implementation periods would commence following OMB review of those rules and modification of section 8.1(a)(7) of the rules.</w:t>
      </w:r>
      <w:r w:rsidRPr="005623A7">
        <w:rPr>
          <w:rFonts w:asciiTheme="minorHAnsi" w:eastAsiaTheme="minorHAnsi" w:hAnsiTheme="minorHAnsi" w:cstheme="minorBidi"/>
          <w:i/>
          <w:iCs/>
          <w:kern w:val="2"/>
          <w:sz w:val="22"/>
          <w:szCs w:val="22"/>
        </w:rPr>
        <w:t xml:space="preserve"> </w:t>
      </w:r>
      <w:r w:rsidR="007939BA">
        <w:rPr>
          <w:rFonts w:asciiTheme="minorHAnsi" w:eastAsiaTheme="minorHAnsi" w:hAnsiTheme="minorHAnsi" w:cstheme="minorBidi"/>
          <w:i/>
          <w:iCs/>
          <w:kern w:val="2"/>
          <w:sz w:val="22"/>
          <w:szCs w:val="22"/>
        </w:rPr>
        <w:t xml:space="preserve"> </w:t>
      </w:r>
      <w:r w:rsidRPr="005623A7">
        <w:rPr>
          <w:i/>
          <w:iCs/>
        </w:rPr>
        <w:t>Id.</w:t>
      </w:r>
      <w:r w:rsidR="00E24F1C">
        <w:t>,</w:t>
      </w:r>
      <w:r w:rsidRPr="005623A7">
        <w:t xml:space="preserve"> paras. 117, 164; 47 CFR § 8.1(a)(7).</w:t>
      </w:r>
    </w:p>
  </w:footnote>
  <w:footnote w:id="59">
    <w:p w:rsidR="0066033A" w:rsidRPr="006902D8" w:rsidP="0066033A" w14:paraId="2D91F25D" w14:textId="34D381CD">
      <w:pPr>
        <w:pStyle w:val="FootnoteText"/>
      </w:pPr>
      <w:r>
        <w:rPr>
          <w:rStyle w:val="FootnoteReference"/>
        </w:rPr>
        <w:footnoteRef/>
      </w:r>
      <w:r>
        <w:t xml:space="preserve"> </w:t>
      </w:r>
      <w:r w:rsidRPr="00FE64AA">
        <w:t xml:space="preserve">The Commission </w:t>
      </w:r>
      <w:r w:rsidRPr="00FE64AA" w:rsidR="007939BA">
        <w:t>has sought</w:t>
      </w:r>
      <w:r w:rsidRPr="00FE64AA">
        <w:t xml:space="preserve"> P</w:t>
      </w:r>
      <w:r w:rsidRPr="00FE64AA" w:rsidR="00A66AA3">
        <w:t>aperwork Reduction Act (PRA)</w:t>
      </w:r>
      <w:r w:rsidRPr="00FE64AA">
        <w:t xml:space="preserve"> review of the information collections in the </w:t>
      </w:r>
      <w:r w:rsidRPr="00FE64AA">
        <w:rPr>
          <w:i/>
          <w:iCs/>
        </w:rPr>
        <w:t xml:space="preserve">Broadband Label Order </w:t>
      </w:r>
      <w:r w:rsidRPr="00FE64AA">
        <w:t>and</w:t>
      </w:r>
      <w:r w:rsidRPr="00FE64AA" w:rsidR="007939BA">
        <w:t xml:space="preserve"> will do so for the information collections</w:t>
      </w:r>
      <w:r w:rsidRPr="00FE64AA">
        <w:t xml:space="preserve"> in this Order</w:t>
      </w:r>
      <w:r w:rsidRPr="00FE64AA" w:rsidR="00A66AA3">
        <w:t xml:space="preserve"> on Reconsideration</w:t>
      </w:r>
      <w:r w:rsidRPr="00FE64AA">
        <w:t xml:space="preserve"> in a s</w:t>
      </w:r>
      <w:r w:rsidRPr="00FE64AA" w:rsidR="007939BA">
        <w:t>eparate</w:t>
      </w:r>
      <w:r w:rsidRPr="00FE64AA">
        <w:t xml:space="preserve"> submission to OMB.</w:t>
      </w:r>
    </w:p>
  </w:footnote>
  <w:footnote w:id="60">
    <w:p w:rsidR="00AD285D" w:rsidP="00AD285D" w14:paraId="2079E98B" w14:textId="77777777">
      <w:pPr>
        <w:pStyle w:val="FootnoteText"/>
      </w:pPr>
      <w:r>
        <w:rPr>
          <w:rStyle w:val="FootnoteReference"/>
        </w:rPr>
        <w:footnoteRef/>
      </w:r>
      <w:r>
        <w:t xml:space="preserve"> </w:t>
      </w:r>
      <w:r w:rsidRPr="00435605">
        <w:t>5 U.S.C. §§ 601–612. The RFA has been amended by the Small Business Regulatory Enforcement Fairness Act</w:t>
      </w:r>
      <w:r>
        <w:t xml:space="preserve"> </w:t>
      </w:r>
      <w:r w:rsidRPr="00435605">
        <w:t>of 1996 (SBREFA), Pub. L. No. 104-121, Title II, 110 Stat. 857 (1996).</w:t>
      </w:r>
    </w:p>
  </w:footnote>
  <w:footnote w:id="61">
    <w:p w:rsidR="00AD285D" w:rsidP="00AD285D" w14:paraId="00013D29" w14:textId="77777777">
      <w:pPr>
        <w:pStyle w:val="FootnoteText"/>
      </w:pPr>
      <w:r>
        <w:rPr>
          <w:rStyle w:val="FootnoteReference"/>
        </w:rPr>
        <w:footnoteRef/>
      </w:r>
      <w:r>
        <w:t xml:space="preserve"> </w:t>
      </w:r>
      <w:r w:rsidRPr="00471E7B">
        <w:t>5 U.S.C. § 605(b).</w:t>
      </w:r>
    </w:p>
  </w:footnote>
  <w:footnote w:id="62">
    <w:p w:rsidR="00A62607" w:rsidRPr="00F0056C" w:rsidP="00A62607" w14:paraId="3D1C84D3" w14:textId="77777777">
      <w:pPr>
        <w:pStyle w:val="FootnoteText"/>
      </w:pPr>
      <w:r w:rsidRPr="00F0056C">
        <w:rPr>
          <w:rStyle w:val="FootnoteReference"/>
        </w:rPr>
        <w:footnoteRef/>
      </w:r>
      <w:r w:rsidRPr="00F0056C">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63">
    <w:p w:rsidR="00A62607" w:rsidRPr="00F0056C" w:rsidP="00A62607" w14:paraId="0A207603" w14:textId="28B7D930">
      <w:pPr>
        <w:pStyle w:val="FootnoteText"/>
      </w:pPr>
      <w:r w:rsidRPr="00F0056C">
        <w:rPr>
          <w:rStyle w:val="FootnoteReference"/>
        </w:rPr>
        <w:footnoteRef/>
      </w:r>
      <w:r w:rsidRPr="00F0056C">
        <w:t xml:space="preserve"> </w:t>
      </w:r>
      <w:r w:rsidRPr="00F0056C">
        <w:rPr>
          <w:i/>
          <w:iCs/>
        </w:rPr>
        <w:t xml:space="preserve">See </w:t>
      </w:r>
      <w:r w:rsidR="007F4200">
        <w:rPr>
          <w:i/>
          <w:iCs/>
        </w:rPr>
        <w:t>Empowering Broadband Consumers Through Transparency</w:t>
      </w:r>
      <w:r w:rsidRPr="00F0056C">
        <w:t xml:space="preserve">, CG Docket No. </w:t>
      </w:r>
      <w:r w:rsidR="007F4200">
        <w:t>22-2</w:t>
      </w:r>
      <w:r w:rsidRPr="00F0056C">
        <w:t xml:space="preserve">, Notice of Proposed Rulemaking, </w:t>
      </w:r>
      <w:r w:rsidR="007F4200">
        <w:rPr>
          <w:snapToGrid w:val="0"/>
        </w:rPr>
        <w:t>FCC 22-7 (rel. Jan. 27, 2022) (</w:t>
      </w:r>
      <w:r w:rsidRPr="00AB1827" w:rsidR="007F4200">
        <w:rPr>
          <w:i/>
          <w:iCs/>
          <w:snapToGrid w:val="0"/>
        </w:rPr>
        <w:t>Broadband Label NPRM</w:t>
      </w:r>
      <w:r w:rsidR="007F4200">
        <w:rPr>
          <w:snapToGrid w:val="0"/>
        </w:rPr>
        <w:t>)</w:t>
      </w:r>
      <w:r w:rsidRPr="00F23D08" w:rsidR="007F4200">
        <w:rPr>
          <w:color w:val="000000"/>
        </w:rPr>
        <w:t>.</w:t>
      </w:r>
    </w:p>
  </w:footnote>
  <w:footnote w:id="64">
    <w:p w:rsidR="00A62607" w:rsidRPr="00F0056C" w:rsidP="00A62607" w14:paraId="1A5BFF06" w14:textId="77777777">
      <w:pPr>
        <w:pStyle w:val="FootnoteText"/>
      </w:pPr>
      <w:r w:rsidRPr="00F0056C">
        <w:rPr>
          <w:rStyle w:val="FootnoteReference"/>
        </w:rPr>
        <w:footnoteRef/>
      </w:r>
      <w:r w:rsidRPr="00F0056C">
        <w:t xml:space="preserve"> </w:t>
      </w:r>
      <w:r w:rsidRPr="00F0056C">
        <w:rPr>
          <w:i/>
          <w:iCs/>
        </w:rPr>
        <w:t>Id.</w:t>
      </w:r>
      <w:r w:rsidRPr="00F0056C">
        <w:t xml:space="preserve"> at Appx. B.</w:t>
      </w:r>
    </w:p>
  </w:footnote>
  <w:footnote w:id="65">
    <w:p w:rsidR="00A62607" w:rsidRPr="00F0056C" w:rsidP="00A62607" w14:paraId="565349EB" w14:textId="2E8D89B3">
      <w:pPr>
        <w:pStyle w:val="FootnoteText"/>
      </w:pPr>
      <w:r w:rsidRPr="00F0056C">
        <w:rPr>
          <w:rStyle w:val="FootnoteReference"/>
        </w:rPr>
        <w:footnoteRef/>
      </w:r>
      <w:r w:rsidRPr="00F0056C">
        <w:t xml:space="preserve"> </w:t>
      </w:r>
      <w:r w:rsidR="009B0691">
        <w:rPr>
          <w:i/>
          <w:iCs/>
          <w:snapToGrid w:val="0"/>
        </w:rPr>
        <w:t>See Empowering Broadband Consumers Through Transparency</w:t>
      </w:r>
      <w:r w:rsidR="009B0691">
        <w:rPr>
          <w:snapToGrid w:val="0"/>
        </w:rPr>
        <w:t xml:space="preserve">, CG Docket No. 22-2, Report and Order and Further Notice of Proposed Rulemaking, FCC 22-86 (2022) </w:t>
      </w:r>
      <w:r w:rsidR="009B0691">
        <w:t>(</w:t>
      </w:r>
      <w:r w:rsidR="009B0691">
        <w:rPr>
          <w:i/>
          <w:iCs/>
        </w:rPr>
        <w:t>Broadband Label Order</w:t>
      </w:r>
      <w:r w:rsidR="009B0691">
        <w:t>).</w:t>
      </w:r>
      <w:r w:rsidRPr="00F0056C">
        <w:t xml:space="preserve"> </w:t>
      </w:r>
    </w:p>
  </w:footnote>
  <w:footnote w:id="66">
    <w:p w:rsidR="00A62607" w:rsidRPr="009B0691" w:rsidP="009B0691" w14:paraId="544793D0" w14:textId="039F6E6C">
      <w:pPr>
        <w:pStyle w:val="xmsolistparagraph"/>
        <w:spacing w:after="120"/>
        <w:ind w:left="0"/>
        <w:rPr>
          <w:rFonts w:ascii="Times New Roman" w:hAnsi="Times New Roman" w:cs="Times New Roman"/>
          <w:sz w:val="20"/>
          <w:szCs w:val="20"/>
        </w:rPr>
      </w:pPr>
      <w:r w:rsidRPr="00F0056C">
        <w:rPr>
          <w:rStyle w:val="FootnoteReference"/>
        </w:rPr>
        <w:footnoteRef/>
      </w:r>
      <w:r w:rsidRPr="00F0056C">
        <w:t xml:space="preserve"> </w:t>
      </w:r>
      <w:r w:rsidRPr="005B7186" w:rsidR="009B0691">
        <w:rPr>
          <w:rFonts w:ascii="Times New Roman" w:hAnsi="Times New Roman" w:cs="Times New Roman"/>
          <w:i/>
          <w:iCs/>
          <w:sz w:val="20"/>
          <w:szCs w:val="20"/>
        </w:rPr>
        <w:t xml:space="preserve">See </w:t>
      </w:r>
      <w:r w:rsidRPr="005B7186" w:rsidR="009B0691">
        <w:rPr>
          <w:rFonts w:ascii="Times New Roman" w:eastAsia="Times New Roman" w:hAnsi="Times New Roman" w:cs="Times New Roman"/>
          <w:i/>
          <w:iCs/>
          <w:sz w:val="20"/>
          <w:szCs w:val="20"/>
        </w:rPr>
        <w:t xml:space="preserve">ACA Connects—America’s Communications Association, CTIA, NCTA—The Internet &amp; Television Association, NTCA—The Rural Broadband Association, and </w:t>
      </w:r>
      <w:r w:rsidRPr="005B7186" w:rsidR="009B0691">
        <w:rPr>
          <w:rFonts w:ascii="Times New Roman" w:eastAsia="Times New Roman" w:hAnsi="Times New Roman" w:cs="Times New Roman"/>
          <w:i/>
          <w:iCs/>
          <w:sz w:val="20"/>
          <w:szCs w:val="20"/>
        </w:rPr>
        <w:t>USTelecom</w:t>
      </w:r>
      <w:r w:rsidRPr="005B7186" w:rsidR="009B0691">
        <w:rPr>
          <w:rFonts w:ascii="Times New Roman" w:eastAsia="Times New Roman" w:hAnsi="Times New Roman" w:cs="Times New Roman"/>
          <w:i/>
          <w:iCs/>
          <w:sz w:val="20"/>
          <w:szCs w:val="20"/>
        </w:rPr>
        <w:t>—the Broadband Association</w:t>
      </w:r>
      <w:r w:rsidR="009B0691">
        <w:rPr>
          <w:rFonts w:ascii="Times New Roman" w:eastAsia="Times New Roman" w:hAnsi="Times New Roman" w:cs="Times New Roman"/>
          <w:sz w:val="20"/>
          <w:szCs w:val="20"/>
        </w:rPr>
        <w:t xml:space="preserve">, Joint Petition for Clarification or, in the Alternative, Reconsideration, CG Docket No. 22-2 (filed Jan. 17, 2023) (ACA Connects Joint Petition); </w:t>
      </w:r>
      <w:r w:rsidRPr="005B7186" w:rsidR="009B0691">
        <w:rPr>
          <w:rFonts w:ascii="Times New Roman" w:hAnsi="Times New Roman" w:cs="Times New Roman"/>
          <w:i/>
          <w:iCs/>
          <w:sz w:val="20"/>
          <w:szCs w:val="20"/>
        </w:rPr>
        <w:t xml:space="preserve">Cincinnati Bell Telephone Company LLC d/b/a </w:t>
      </w:r>
      <w:r w:rsidRPr="005B7186" w:rsidR="009B0691">
        <w:rPr>
          <w:rFonts w:ascii="Times New Roman" w:hAnsi="Times New Roman" w:cs="Times New Roman"/>
          <w:i/>
          <w:iCs/>
          <w:sz w:val="20"/>
          <w:szCs w:val="20"/>
        </w:rPr>
        <w:t>altafibe</w:t>
      </w:r>
      <w:r w:rsidR="009B0691">
        <w:rPr>
          <w:rFonts w:ascii="Times New Roman" w:hAnsi="Times New Roman" w:cs="Times New Roman"/>
          <w:i/>
          <w:iCs/>
          <w:sz w:val="20"/>
          <w:szCs w:val="20"/>
        </w:rPr>
        <w:t>r</w:t>
      </w:r>
      <w:r w:rsidR="009B0691">
        <w:rPr>
          <w:rFonts w:ascii="Times New Roman" w:hAnsi="Times New Roman" w:cs="Times New Roman"/>
          <w:i/>
          <w:iCs/>
          <w:sz w:val="20"/>
          <w:szCs w:val="20"/>
        </w:rPr>
        <w:t xml:space="preserve"> </w:t>
      </w:r>
      <w:r w:rsidRPr="005B7186" w:rsidR="009B0691">
        <w:rPr>
          <w:rFonts w:ascii="Times New Roman" w:hAnsi="Times New Roman" w:cs="Times New Roman"/>
          <w:i/>
          <w:iCs/>
          <w:sz w:val="20"/>
          <w:szCs w:val="20"/>
        </w:rPr>
        <w:t xml:space="preserve">Network Solutions, Crown Castle, Metro Fibernet, LLC, and </w:t>
      </w:r>
      <w:r w:rsidRPr="005B7186" w:rsidR="009B0691">
        <w:rPr>
          <w:rFonts w:ascii="Times New Roman" w:hAnsi="Times New Roman" w:cs="Times New Roman"/>
          <w:i/>
          <w:iCs/>
          <w:sz w:val="20"/>
          <w:szCs w:val="20"/>
        </w:rPr>
        <w:t>Uniti</w:t>
      </w:r>
      <w:r w:rsidRPr="005B7186" w:rsidR="009B0691">
        <w:rPr>
          <w:rFonts w:ascii="Times New Roman" w:hAnsi="Times New Roman" w:cs="Times New Roman"/>
          <w:i/>
          <w:iCs/>
          <w:sz w:val="20"/>
          <w:szCs w:val="20"/>
        </w:rPr>
        <w:t xml:space="preserve"> Fiber LLC</w:t>
      </w:r>
      <w:r w:rsidRPr="005B7186" w:rsidR="009B0691">
        <w:rPr>
          <w:rFonts w:ascii="Times New Roman" w:hAnsi="Times New Roman" w:cs="Times New Roman"/>
          <w:sz w:val="20"/>
          <w:szCs w:val="20"/>
        </w:rPr>
        <w:t>, Joint Petition for Clarification or Reconsideration, CG Docket No. 22-2 (filed Jan. 17, 2023)</w:t>
      </w:r>
      <w:r w:rsidR="009B0691">
        <w:rPr>
          <w:rFonts w:ascii="Times New Roman" w:hAnsi="Times New Roman" w:cs="Times New Roman"/>
          <w:sz w:val="20"/>
          <w:szCs w:val="20"/>
        </w:rPr>
        <w:t xml:space="preserve"> (Cincinnati Bell Joint Petition)</w:t>
      </w:r>
      <w:r w:rsidRPr="005B7186" w:rsidR="009B0691">
        <w:rPr>
          <w:rFonts w:ascii="Times New Roman" w:hAnsi="Times New Roman" w:cs="Times New Roman"/>
          <w:sz w:val="20"/>
          <w:szCs w:val="20"/>
        </w:rPr>
        <w:t xml:space="preserve">; </w:t>
      </w:r>
      <w:r w:rsidRPr="00680F14" w:rsidR="009B0691">
        <w:rPr>
          <w:rFonts w:ascii="Times New Roman" w:hAnsi="Times New Roman" w:cs="Times New Roman"/>
          <w:sz w:val="20"/>
          <w:szCs w:val="20"/>
        </w:rPr>
        <w:t>CTIA</w:t>
      </w:r>
      <w:r w:rsidR="009B0691">
        <w:rPr>
          <w:rFonts w:ascii="Times New Roman" w:hAnsi="Times New Roman" w:cs="Times New Roman"/>
          <w:sz w:val="20"/>
          <w:szCs w:val="20"/>
        </w:rPr>
        <w:t xml:space="preserve">, </w:t>
      </w:r>
      <w:r w:rsidRPr="005B7186" w:rsidR="009B0691">
        <w:rPr>
          <w:rFonts w:ascii="Times New Roman" w:hAnsi="Times New Roman" w:cs="Times New Roman"/>
          <w:sz w:val="20"/>
          <w:szCs w:val="20"/>
        </w:rPr>
        <w:t>Petition</w:t>
      </w:r>
      <w:r w:rsidR="009B0691">
        <w:rPr>
          <w:rFonts w:ascii="Times New Roman" w:hAnsi="Times New Roman" w:cs="Times New Roman"/>
          <w:sz w:val="20"/>
          <w:szCs w:val="20"/>
        </w:rPr>
        <w:t xml:space="preserve"> for Clarification or, in the Alternative,</w:t>
      </w:r>
      <w:r w:rsidRPr="005B7186" w:rsidR="009B0691">
        <w:rPr>
          <w:rFonts w:ascii="Times New Roman" w:hAnsi="Times New Roman" w:cs="Times New Roman"/>
          <w:sz w:val="20"/>
          <w:szCs w:val="20"/>
        </w:rPr>
        <w:t xml:space="preserve"> Reconsideration, CG Docket No. </w:t>
      </w:r>
      <w:r w:rsidR="009B0691">
        <w:rPr>
          <w:rFonts w:ascii="Times New Roman" w:hAnsi="Times New Roman" w:cs="Times New Roman"/>
          <w:sz w:val="20"/>
          <w:szCs w:val="20"/>
        </w:rPr>
        <w:t>22-2</w:t>
      </w:r>
      <w:r w:rsidRPr="005B7186" w:rsidR="009B0691">
        <w:rPr>
          <w:rFonts w:ascii="Times New Roman" w:hAnsi="Times New Roman" w:cs="Times New Roman"/>
          <w:sz w:val="20"/>
          <w:szCs w:val="20"/>
        </w:rPr>
        <w:t xml:space="preserve"> (filed </w:t>
      </w:r>
      <w:r w:rsidR="009B0691">
        <w:rPr>
          <w:rFonts w:ascii="Times New Roman" w:hAnsi="Times New Roman" w:cs="Times New Roman"/>
          <w:sz w:val="20"/>
          <w:szCs w:val="20"/>
        </w:rPr>
        <w:t>Jan.</w:t>
      </w:r>
      <w:r w:rsidRPr="005B7186" w:rsidR="009B0691">
        <w:rPr>
          <w:rFonts w:ascii="Times New Roman" w:hAnsi="Times New Roman" w:cs="Times New Roman"/>
          <w:sz w:val="20"/>
          <w:szCs w:val="20"/>
        </w:rPr>
        <w:t xml:space="preserve"> 17, 202</w:t>
      </w:r>
      <w:r w:rsidR="009B0691">
        <w:rPr>
          <w:rFonts w:ascii="Times New Roman" w:hAnsi="Times New Roman" w:cs="Times New Roman"/>
          <w:sz w:val="20"/>
          <w:szCs w:val="20"/>
        </w:rPr>
        <w:t>3</w:t>
      </w:r>
      <w:r w:rsidRPr="005B7186" w:rsidR="009B0691">
        <w:rPr>
          <w:rFonts w:ascii="Times New Roman" w:hAnsi="Times New Roman" w:cs="Times New Roman"/>
          <w:sz w:val="20"/>
          <w:szCs w:val="20"/>
        </w:rPr>
        <w:t>)</w:t>
      </w:r>
      <w:r w:rsidR="009B0691">
        <w:rPr>
          <w:rFonts w:ascii="Times New Roman" w:hAnsi="Times New Roman" w:cs="Times New Roman"/>
          <w:sz w:val="20"/>
          <w:szCs w:val="20"/>
        </w:rPr>
        <w:t xml:space="preserve"> (CTIA Petition)</w:t>
      </w:r>
      <w:r w:rsidRPr="005B7186" w:rsidR="009B0691">
        <w:rPr>
          <w:rFonts w:ascii="Times New Roman" w:hAnsi="Times New Roman" w:cs="Times New Roman"/>
          <w:sz w:val="20"/>
          <w:szCs w:val="20"/>
        </w:rPr>
        <w:t>.</w:t>
      </w:r>
    </w:p>
  </w:footnote>
  <w:footnote w:id="67">
    <w:p w:rsidR="00AD446E" w:rsidP="00AD446E" w14:paraId="67DF98A3" w14:textId="77777777">
      <w:pPr>
        <w:pStyle w:val="FootnoteText"/>
      </w:pPr>
      <w:r>
        <w:rPr>
          <w:rStyle w:val="FootnoteReference"/>
        </w:rPr>
        <w:footnoteRef/>
      </w:r>
      <w:r>
        <w:t xml:space="preserve"> </w:t>
      </w:r>
      <w:r w:rsidRPr="00054386">
        <w:t xml:space="preserve">5 </w:t>
      </w:r>
      <w:r>
        <w:t>U</w:t>
      </w:r>
      <w:r w:rsidRPr="00054386">
        <w:t>.</w:t>
      </w:r>
      <w:r>
        <w:t>S.C</w:t>
      </w:r>
      <w:r w:rsidRPr="00054386">
        <w:t xml:space="preserve"> § 604.</w:t>
      </w:r>
    </w:p>
  </w:footnote>
  <w:footnote w:id="68">
    <w:p w:rsidR="003E1A3E" w:rsidP="003E1A3E" w14:paraId="3D02AB03" w14:textId="77777777">
      <w:pPr>
        <w:pStyle w:val="FootnoteText"/>
      </w:pPr>
      <w:r>
        <w:rPr>
          <w:rStyle w:val="FootnoteReference"/>
        </w:rPr>
        <w:footnoteRef/>
      </w:r>
      <w:r>
        <w:t xml:space="preserve"> The Infrastructure Investment and Jobs Act, Pub. L. No. </w:t>
      </w:r>
      <w:r w:rsidRPr="00DA106B">
        <w:t xml:space="preserve">117-58, </w:t>
      </w:r>
      <w:r w:rsidRPr="004D6EEA">
        <w:t>135</w:t>
      </w:r>
      <w:r w:rsidRPr="00AD24DD">
        <w:t xml:space="preserve"> Stat. </w:t>
      </w:r>
      <w:r w:rsidRPr="004D6EEA">
        <w:t>429</w:t>
      </w:r>
      <w:r>
        <w:t>, § 60504(a) (2021) (Infrastructure Act) (</w:t>
      </w:r>
      <w:r w:rsidRPr="00EC77E7">
        <w:t>citing</w:t>
      </w:r>
      <w:r w:rsidRPr="00EC77E7">
        <w:rPr>
          <w:rFonts w:ascii="Open Sans" w:hAnsi="Open Sans" w:cs="Open Sans"/>
          <w:snapToGrid w:val="0"/>
          <w:color w:val="212529"/>
          <w:kern w:val="28"/>
          <w:shd w:val="clear" w:color="auto" w:fill="FFFFFF"/>
        </w:rPr>
        <w:t xml:space="preserve"> </w:t>
      </w:r>
      <w:r w:rsidRPr="00CD6FA3">
        <w:rPr>
          <w:i/>
          <w:iCs/>
        </w:rPr>
        <w:t>Consumer And Governmental Affairs, Wireline Competition, And Wireless Telecommunications Bureaus Approve Open Internet Broadband Consumer Labels</w:t>
      </w:r>
      <w:r w:rsidRPr="008B0173">
        <w:t xml:space="preserve">, Public Notice, 31 FCC </w:t>
      </w:r>
      <w:r w:rsidRPr="008B0173">
        <w:t>Rcd</w:t>
      </w:r>
      <w:r w:rsidRPr="008B0173">
        <w:t xml:space="preserve"> 3358 (2016)</w:t>
      </w:r>
      <w:r>
        <w:t>)</w:t>
      </w:r>
      <w:r w:rsidRPr="008B0173">
        <w:t>.</w:t>
      </w:r>
      <w:r>
        <w:t xml:space="preserve">  </w:t>
      </w:r>
    </w:p>
  </w:footnote>
  <w:footnote w:id="69">
    <w:p w:rsidR="003E1A3E" w:rsidP="003E1A3E" w14:paraId="2A677286" w14:textId="77777777">
      <w:pPr>
        <w:pStyle w:val="FootnoteText"/>
      </w:pPr>
      <w:r>
        <w:rPr>
          <w:rStyle w:val="FootnoteReference"/>
        </w:rPr>
        <w:footnoteRef/>
      </w:r>
      <w:r>
        <w:t xml:space="preserve"> </w:t>
      </w:r>
      <w:r w:rsidRPr="00413B67">
        <w:rPr>
          <w:i/>
          <w:iCs/>
        </w:rPr>
        <w:t>Broadband Label Order</w:t>
      </w:r>
      <w:r>
        <w:t xml:space="preserve">, para. 17.  </w:t>
      </w:r>
      <w:r w:rsidRPr="00E05E9B">
        <w:rPr>
          <w:i/>
          <w:iCs/>
        </w:rPr>
        <w:t>See also</w:t>
      </w:r>
      <w:r>
        <w:t xml:space="preserve"> Cincinnati Bell Joint Petition at 1. </w:t>
      </w:r>
    </w:p>
  </w:footnote>
  <w:footnote w:id="70">
    <w:p w:rsidR="003E1A3E" w:rsidP="003E1A3E" w14:paraId="5DA14FC0" w14:textId="77777777">
      <w:pPr>
        <w:pStyle w:val="FootnoteText"/>
      </w:pPr>
      <w:r>
        <w:rPr>
          <w:rStyle w:val="FootnoteReference"/>
        </w:rPr>
        <w:footnoteRef/>
      </w:r>
      <w:r>
        <w:t xml:space="preserve"> </w:t>
      </w:r>
      <w:r w:rsidRPr="00FF5940">
        <w:rPr>
          <w:i/>
          <w:iCs/>
        </w:rPr>
        <w:t>Broadband Label Order</w:t>
      </w:r>
      <w:r>
        <w:t>, para. 95.</w:t>
      </w:r>
    </w:p>
  </w:footnote>
  <w:footnote w:id="71">
    <w:p w:rsidR="003E1A3E" w:rsidRPr="00F0056C" w:rsidP="003E1A3E" w14:paraId="107D671F" w14:textId="77777777">
      <w:pPr>
        <w:pStyle w:val="FootnoteText"/>
      </w:pPr>
      <w:r w:rsidRPr="00F0056C">
        <w:rPr>
          <w:rStyle w:val="FootnoteReference"/>
        </w:rPr>
        <w:footnoteRef/>
      </w:r>
      <w:r w:rsidRPr="00F0056C">
        <w:t xml:space="preserve"> </w:t>
      </w:r>
      <w:r>
        <w:rPr>
          <w:i/>
          <w:iCs/>
        </w:rPr>
        <w:t xml:space="preserve">Broadband </w:t>
      </w:r>
      <w:r w:rsidRPr="00F0056C">
        <w:rPr>
          <w:i/>
          <w:iCs/>
        </w:rPr>
        <w:t>NPRM</w:t>
      </w:r>
      <w:r w:rsidRPr="00F0056C">
        <w:t xml:space="preserve">, Appx. </w:t>
      </w:r>
      <w:r>
        <w:t>D</w:t>
      </w:r>
      <w:r w:rsidRPr="00F0056C">
        <w:t>.</w:t>
      </w:r>
    </w:p>
  </w:footnote>
  <w:footnote w:id="72">
    <w:p w:rsidR="003E1A3E" w:rsidRPr="00855072" w:rsidP="003E1A3E" w14:paraId="35E9D918" w14:textId="72DEC916">
      <w:pPr>
        <w:pStyle w:val="FootnoteText"/>
      </w:pPr>
      <w:r w:rsidRPr="00F0056C">
        <w:rPr>
          <w:rStyle w:val="FootnoteReference"/>
        </w:rPr>
        <w:footnoteRef/>
      </w:r>
      <w:r w:rsidRPr="00F0056C">
        <w:t xml:space="preserve"> </w:t>
      </w:r>
      <w:r>
        <w:rPr>
          <w:i/>
          <w:iCs/>
        </w:rPr>
        <w:t>Broadband Label Order</w:t>
      </w:r>
      <w:r>
        <w:t>, Appx. B</w:t>
      </w:r>
      <w:r w:rsidR="00C32FE0">
        <w:t>,</w:t>
      </w:r>
      <w:r>
        <w:t xml:space="preserve"> paras. 7-9.</w:t>
      </w:r>
    </w:p>
  </w:footnote>
  <w:footnote w:id="73">
    <w:p w:rsidR="003E1A3E" w:rsidRPr="003868E4" w:rsidP="003E1A3E" w14:paraId="673A3679" w14:textId="77777777">
      <w:pPr>
        <w:pStyle w:val="FootnoteText"/>
      </w:pPr>
      <w:r w:rsidRPr="00F0056C">
        <w:rPr>
          <w:rStyle w:val="FootnoteReference"/>
        </w:rPr>
        <w:footnoteRef/>
      </w:r>
      <w:r w:rsidRPr="00F0056C">
        <w:t xml:space="preserve"> 5 U.S.C. § 604(a)(3).</w:t>
      </w:r>
    </w:p>
  </w:footnote>
  <w:footnote w:id="74">
    <w:p w:rsidR="003E1A3E" w:rsidRPr="00F0056C" w:rsidP="003E1A3E" w14:paraId="3F48A81C" w14:textId="77777777">
      <w:pPr>
        <w:pStyle w:val="FootnoteText"/>
      </w:pPr>
      <w:r w:rsidRPr="00F0056C">
        <w:rPr>
          <w:rStyle w:val="FootnoteReference"/>
        </w:rPr>
        <w:footnoteRef/>
      </w:r>
      <w:r w:rsidRPr="00F0056C">
        <w:t xml:space="preserve"> </w:t>
      </w:r>
      <w:r>
        <w:rPr>
          <w:i/>
          <w:iCs/>
        </w:rPr>
        <w:t>I</w:t>
      </w:r>
      <w:r w:rsidRPr="003868E4">
        <w:rPr>
          <w:i/>
          <w:iCs/>
        </w:rPr>
        <w:t>d.</w:t>
      </w:r>
      <w:r w:rsidRPr="003868E4">
        <w:t xml:space="preserve"> § </w:t>
      </w:r>
      <w:r>
        <w:t>604(a)(4</w:t>
      </w:r>
      <w:r w:rsidRPr="003868E4">
        <w:t>).</w:t>
      </w:r>
    </w:p>
  </w:footnote>
  <w:footnote w:id="75">
    <w:p w:rsidR="003E1A3E" w:rsidRPr="00F0056C" w:rsidP="003E1A3E" w14:paraId="61660014" w14:textId="77777777">
      <w:pPr>
        <w:pStyle w:val="FootnoteText"/>
      </w:pPr>
      <w:r w:rsidRPr="00F0056C">
        <w:rPr>
          <w:rStyle w:val="FootnoteReference"/>
        </w:rPr>
        <w:footnoteRef/>
      </w:r>
      <w:r w:rsidRPr="00F0056C">
        <w:t xml:space="preserve"> </w:t>
      </w:r>
      <w:r>
        <w:rPr>
          <w:i/>
          <w:iCs/>
        </w:rPr>
        <w:t>I</w:t>
      </w:r>
      <w:r w:rsidRPr="003868E4">
        <w:rPr>
          <w:i/>
          <w:iCs/>
        </w:rPr>
        <w:t>d</w:t>
      </w:r>
      <w:r w:rsidRPr="003868E4">
        <w:t>. § 601(6).</w:t>
      </w:r>
    </w:p>
  </w:footnote>
  <w:footnote w:id="76">
    <w:p w:rsidR="003E1A3E" w:rsidRPr="00F0056C" w:rsidP="003E1A3E" w14:paraId="211DEB2A" w14:textId="77777777">
      <w:pPr>
        <w:pStyle w:val="FootnoteText"/>
      </w:pPr>
      <w:r w:rsidRPr="00F0056C">
        <w:rPr>
          <w:rStyle w:val="FootnoteReference"/>
        </w:rPr>
        <w:footnoteRef/>
      </w:r>
      <w:r w:rsidRPr="00F0056C">
        <w:t xml:space="preserve"> </w:t>
      </w:r>
      <w:r>
        <w:rPr>
          <w:i/>
          <w:iCs/>
        </w:rPr>
        <w:t>I</w:t>
      </w:r>
      <w:r w:rsidRPr="003868E4">
        <w:rPr>
          <w:i/>
          <w:iCs/>
        </w:rPr>
        <w:t>d</w:t>
      </w:r>
      <w:r w:rsidRPr="003868E4">
        <w:t xml:space="preserve">. § 601(3) (incorporating by </w:t>
      </w:r>
      <w:r w:rsidRPr="00F0056C">
        <w:t>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7">
    <w:p w:rsidR="003E1A3E" w:rsidRPr="003868E4" w:rsidP="003E1A3E" w14:paraId="13D37351" w14:textId="77777777">
      <w:pPr>
        <w:pStyle w:val="FootnoteText"/>
      </w:pPr>
      <w:r w:rsidRPr="00F0056C">
        <w:rPr>
          <w:rStyle w:val="FootnoteReference"/>
        </w:rPr>
        <w:footnoteRef/>
      </w:r>
      <w:r w:rsidRPr="00F0056C">
        <w:t xml:space="preserve"> 15 U.S.C. § 632.</w:t>
      </w:r>
    </w:p>
  </w:footnote>
  <w:footnote w:id="78">
    <w:p w:rsidR="003E1A3E" w:rsidRPr="003868E4" w:rsidP="003E1A3E" w14:paraId="31FBA1B9" w14:textId="77777777">
      <w:pPr>
        <w:pStyle w:val="FootnoteText"/>
      </w:pPr>
      <w:r w:rsidRPr="00F0056C">
        <w:rPr>
          <w:rStyle w:val="FootnoteReference"/>
        </w:rPr>
        <w:footnoteRef/>
      </w:r>
      <w:r w:rsidRPr="00F0056C">
        <w:t xml:space="preserve"> </w:t>
      </w:r>
      <w:r>
        <w:rPr>
          <w:i/>
          <w:iCs/>
        </w:rPr>
        <w:t>Broadband Label</w:t>
      </w:r>
      <w:r w:rsidRPr="00F0056C">
        <w:rPr>
          <w:i/>
          <w:iCs/>
        </w:rPr>
        <w:t xml:space="preserve"> Order</w:t>
      </w:r>
      <w:r w:rsidRPr="00F0056C">
        <w:t>, Appx. B.</w:t>
      </w:r>
    </w:p>
  </w:footnote>
  <w:footnote w:id="79">
    <w:p w:rsidR="003E1A3E" w:rsidP="003E1A3E" w14:paraId="1D7811FF" w14:textId="4F5C5374">
      <w:pPr>
        <w:pStyle w:val="FootnoteText"/>
      </w:pPr>
      <w:r>
        <w:rPr>
          <w:rStyle w:val="FootnoteReference"/>
        </w:rPr>
        <w:footnoteRef/>
      </w:r>
      <w:r>
        <w:t xml:space="preserve"> </w:t>
      </w:r>
      <w:r w:rsidR="00806545">
        <w:rPr>
          <w:i/>
          <w:iCs/>
        </w:rPr>
        <w:t>Id.</w:t>
      </w:r>
      <w:r>
        <w:t>, para. 95.</w:t>
      </w:r>
    </w:p>
  </w:footnote>
  <w:footnote w:id="80">
    <w:p w:rsidR="003E1A3E" w:rsidP="003E1A3E" w14:paraId="22572AAC" w14:textId="77777777">
      <w:pPr>
        <w:pStyle w:val="FootnoteText"/>
      </w:pPr>
      <w:r>
        <w:rPr>
          <w:rStyle w:val="FootnoteReference"/>
        </w:rPr>
        <w:footnoteRef/>
      </w:r>
      <w:r>
        <w:t xml:space="preserve"> </w:t>
      </w:r>
      <w:r w:rsidRPr="00CD6FA3">
        <w:rPr>
          <w:i/>
          <w:iCs/>
        </w:rPr>
        <w:t>Order</w:t>
      </w:r>
      <w:r>
        <w:rPr>
          <w:i/>
          <w:iCs/>
        </w:rPr>
        <w:t xml:space="preserve">, </w:t>
      </w:r>
      <w:r>
        <w:t>paras. 27-29 (</w:t>
      </w:r>
      <w:r w:rsidRPr="00700730">
        <w:t>citing</w:t>
      </w:r>
      <w:r>
        <w:t xml:space="preserve"> ACA Connects Joint Petition at 5; WISPA – Broadband Without Boundaries Comment at 3; and CTIA Reply at 3).   </w:t>
      </w:r>
    </w:p>
  </w:footnote>
  <w:footnote w:id="81">
    <w:p w:rsidR="003E1A3E" w:rsidRPr="00E10B6C" w:rsidP="003E1A3E" w14:paraId="050CC375" w14:textId="77777777">
      <w:pPr>
        <w:pStyle w:val="FootnoteText"/>
      </w:pPr>
      <w:r w:rsidRPr="00E10B6C">
        <w:rPr>
          <w:rStyle w:val="FootnoteReference"/>
        </w:rPr>
        <w:footnoteRef/>
      </w:r>
      <w:r>
        <w:t xml:space="preserve"> </w:t>
      </w:r>
      <w:r w:rsidRPr="00927EC0">
        <w:t>5 U.S.C. § 604(a)(6).</w:t>
      </w:r>
    </w:p>
  </w:footnote>
  <w:footnote w:id="82">
    <w:p w:rsidR="003E1A3E" w:rsidRPr="00F0056C" w:rsidP="003E1A3E" w14:paraId="55B3111B" w14:textId="77777777">
      <w:pPr>
        <w:pStyle w:val="FootnoteText"/>
      </w:pPr>
      <w:r w:rsidRPr="00F0056C">
        <w:rPr>
          <w:rStyle w:val="FootnoteReference"/>
        </w:rPr>
        <w:footnoteRef/>
      </w:r>
      <w:r w:rsidRPr="00F0056C">
        <w:t xml:space="preserve"> 5 U.S.C. § 801(a)(1)(A).</w:t>
      </w:r>
    </w:p>
  </w:footnote>
  <w:footnote w:id="83">
    <w:p w:rsidR="003E1A3E" w:rsidRPr="003868E4" w:rsidP="003E1A3E" w14:paraId="51A41C16" w14:textId="77777777">
      <w:pPr>
        <w:pStyle w:val="FootnoteText"/>
      </w:pPr>
      <w:r w:rsidRPr="00F0056C">
        <w:rPr>
          <w:rStyle w:val="FootnoteReference"/>
        </w:rPr>
        <w:footnoteRef/>
      </w:r>
      <w:r w:rsidRPr="00F0056C">
        <w:t xml:space="preserve"> </w:t>
      </w:r>
      <w:r>
        <w:rPr>
          <w:i/>
        </w:rPr>
        <w:t>I</w:t>
      </w:r>
      <w:r w:rsidRPr="00F0056C">
        <w:rPr>
          <w:i/>
        </w:rPr>
        <w:t>d</w:t>
      </w:r>
      <w:r w:rsidRPr="003868E4">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B79" w14:paraId="6E3B8C73" w14:textId="4E1FD073">
    <w:pPr>
      <w:pStyle w:val="Header"/>
    </w:pPr>
    <w:r>
      <w:tab/>
      <w:t>Federal Communications Commission</w:t>
    </w:r>
    <w:r>
      <w:tab/>
    </w:r>
    <w:r w:rsidR="00E4644A">
      <w:t xml:space="preserve">FCC </w:t>
    </w:r>
    <w:r w:rsidR="00AB1CFA">
      <w:t>23</w:t>
    </w:r>
    <w:r w:rsidR="00E4644A">
      <w:t>-</w:t>
    </w:r>
    <w:r w:rsidR="00AB1CFA">
      <w:t>68</w:t>
    </w:r>
  </w:p>
  <w:p w:rsidR="003660ED" w:rsidRPr="009673CE" w:rsidP="009673CE" w14:paraId="7E8DFEF1" w14:textId="583F544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B79" w14:paraId="24D57B4A" w14:textId="78CAB94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525C01">
      <w:tab/>
      <w:t>Federal Communications Commission</w:t>
    </w:r>
    <w:r w:rsidR="00525C01">
      <w:tab/>
    </w:r>
    <w:r w:rsidR="00F33082">
      <w:t>FCC 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24E60DC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5"/>
  </w:num>
  <w:num w:numId="4">
    <w:abstractNumId w:val="6"/>
    <w:lvlOverride w:ilvl="0">
      <w:startOverride w:val="1"/>
    </w:lvlOverride>
  </w:num>
  <w:num w:numId="5">
    <w:abstractNumId w:val="6"/>
    <w:lvlOverride w:ilvl="0">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
  </w:num>
  <w:num w:numId="14">
    <w:abstractNumId w:val="4"/>
  </w:num>
  <w:num w:numId="15">
    <w:abstractNumId w:val="2"/>
  </w:num>
  <w:num w:numId="16">
    <w:abstractNumId w:val="0"/>
  </w:num>
  <w:num w:numId="17">
    <w:abstractNumId w:val="6"/>
    <w:lvlOverride w:ilvl="0">
      <w:startOverride w:val="1"/>
    </w:lvlOverride>
  </w:num>
  <w:num w:numId="18">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07"/>
    <w:rsid w:val="00000002"/>
    <w:rsid w:val="000030E8"/>
    <w:rsid w:val="000030F0"/>
    <w:rsid w:val="00004EBE"/>
    <w:rsid w:val="00005B8C"/>
    <w:rsid w:val="00006F55"/>
    <w:rsid w:val="00010925"/>
    <w:rsid w:val="0001134E"/>
    <w:rsid w:val="00011670"/>
    <w:rsid w:val="0001365C"/>
    <w:rsid w:val="00013911"/>
    <w:rsid w:val="0001629A"/>
    <w:rsid w:val="000172F8"/>
    <w:rsid w:val="00024EDF"/>
    <w:rsid w:val="00025BD1"/>
    <w:rsid w:val="000262A3"/>
    <w:rsid w:val="00027BC1"/>
    <w:rsid w:val="00030399"/>
    <w:rsid w:val="000309D4"/>
    <w:rsid w:val="00031782"/>
    <w:rsid w:val="0003332E"/>
    <w:rsid w:val="00036039"/>
    <w:rsid w:val="00036C58"/>
    <w:rsid w:val="00037673"/>
    <w:rsid w:val="00037F90"/>
    <w:rsid w:val="00040B97"/>
    <w:rsid w:val="00042061"/>
    <w:rsid w:val="00042FCD"/>
    <w:rsid w:val="00044130"/>
    <w:rsid w:val="00045821"/>
    <w:rsid w:val="000469BB"/>
    <w:rsid w:val="0005012B"/>
    <w:rsid w:val="00051B46"/>
    <w:rsid w:val="00052316"/>
    <w:rsid w:val="000525EA"/>
    <w:rsid w:val="0005296E"/>
    <w:rsid w:val="00052A8F"/>
    <w:rsid w:val="00054386"/>
    <w:rsid w:val="00054C40"/>
    <w:rsid w:val="00054FA3"/>
    <w:rsid w:val="00057399"/>
    <w:rsid w:val="00057F0F"/>
    <w:rsid w:val="000627F2"/>
    <w:rsid w:val="000636D7"/>
    <w:rsid w:val="00064CBB"/>
    <w:rsid w:val="0006723C"/>
    <w:rsid w:val="00070540"/>
    <w:rsid w:val="00071E2B"/>
    <w:rsid w:val="00073BC9"/>
    <w:rsid w:val="00075BF4"/>
    <w:rsid w:val="00081039"/>
    <w:rsid w:val="00082D52"/>
    <w:rsid w:val="0008362E"/>
    <w:rsid w:val="00083C4C"/>
    <w:rsid w:val="000864D2"/>
    <w:rsid w:val="000875BF"/>
    <w:rsid w:val="00087638"/>
    <w:rsid w:val="00087A10"/>
    <w:rsid w:val="00091241"/>
    <w:rsid w:val="000925F6"/>
    <w:rsid w:val="00092B98"/>
    <w:rsid w:val="0009402A"/>
    <w:rsid w:val="00094C26"/>
    <w:rsid w:val="00095151"/>
    <w:rsid w:val="000951BF"/>
    <w:rsid w:val="00096D8C"/>
    <w:rsid w:val="0009786D"/>
    <w:rsid w:val="000A0262"/>
    <w:rsid w:val="000A4D18"/>
    <w:rsid w:val="000B1051"/>
    <w:rsid w:val="000B1FB2"/>
    <w:rsid w:val="000B5E16"/>
    <w:rsid w:val="000C0B65"/>
    <w:rsid w:val="000C112E"/>
    <w:rsid w:val="000C2E17"/>
    <w:rsid w:val="000C3F80"/>
    <w:rsid w:val="000C46BF"/>
    <w:rsid w:val="000C47FC"/>
    <w:rsid w:val="000C54FC"/>
    <w:rsid w:val="000C5AD0"/>
    <w:rsid w:val="000C7AFA"/>
    <w:rsid w:val="000D255C"/>
    <w:rsid w:val="000D26F2"/>
    <w:rsid w:val="000D335B"/>
    <w:rsid w:val="000D35FA"/>
    <w:rsid w:val="000D3635"/>
    <w:rsid w:val="000D40C1"/>
    <w:rsid w:val="000D412B"/>
    <w:rsid w:val="000D46D4"/>
    <w:rsid w:val="000D49BD"/>
    <w:rsid w:val="000D53E2"/>
    <w:rsid w:val="000D54A8"/>
    <w:rsid w:val="000D6BF9"/>
    <w:rsid w:val="000D6EA3"/>
    <w:rsid w:val="000E05FE"/>
    <w:rsid w:val="000E34FE"/>
    <w:rsid w:val="000E3D42"/>
    <w:rsid w:val="000E3F15"/>
    <w:rsid w:val="000E6028"/>
    <w:rsid w:val="000F00CA"/>
    <w:rsid w:val="000F10EB"/>
    <w:rsid w:val="000F5604"/>
    <w:rsid w:val="000F5CFC"/>
    <w:rsid w:val="000F62FD"/>
    <w:rsid w:val="0010125A"/>
    <w:rsid w:val="00101F6B"/>
    <w:rsid w:val="00103C3A"/>
    <w:rsid w:val="00103D41"/>
    <w:rsid w:val="00106531"/>
    <w:rsid w:val="001112F7"/>
    <w:rsid w:val="00113187"/>
    <w:rsid w:val="00113246"/>
    <w:rsid w:val="00114351"/>
    <w:rsid w:val="0011473F"/>
    <w:rsid w:val="00114F94"/>
    <w:rsid w:val="00115675"/>
    <w:rsid w:val="00117DE5"/>
    <w:rsid w:val="00120046"/>
    <w:rsid w:val="00121986"/>
    <w:rsid w:val="0012214D"/>
    <w:rsid w:val="00122BD5"/>
    <w:rsid w:val="0012478A"/>
    <w:rsid w:val="00124868"/>
    <w:rsid w:val="00125A70"/>
    <w:rsid w:val="00126825"/>
    <w:rsid w:val="00126DDA"/>
    <w:rsid w:val="00130C84"/>
    <w:rsid w:val="001332A7"/>
    <w:rsid w:val="00133989"/>
    <w:rsid w:val="00133B4D"/>
    <w:rsid w:val="00133F79"/>
    <w:rsid w:val="001352FC"/>
    <w:rsid w:val="00136723"/>
    <w:rsid w:val="001376F0"/>
    <w:rsid w:val="0013791B"/>
    <w:rsid w:val="001512A4"/>
    <w:rsid w:val="00151360"/>
    <w:rsid w:val="001556E3"/>
    <w:rsid w:val="001559A7"/>
    <w:rsid w:val="00155A8B"/>
    <w:rsid w:val="00160BCA"/>
    <w:rsid w:val="00161BE3"/>
    <w:rsid w:val="00163704"/>
    <w:rsid w:val="00163B58"/>
    <w:rsid w:val="00165E33"/>
    <w:rsid w:val="00167BE1"/>
    <w:rsid w:val="0017006C"/>
    <w:rsid w:val="00171446"/>
    <w:rsid w:val="00171BBD"/>
    <w:rsid w:val="0017362A"/>
    <w:rsid w:val="0017732D"/>
    <w:rsid w:val="00180AA0"/>
    <w:rsid w:val="00180E60"/>
    <w:rsid w:val="00181932"/>
    <w:rsid w:val="001835C6"/>
    <w:rsid w:val="00183984"/>
    <w:rsid w:val="0018443B"/>
    <w:rsid w:val="0018540F"/>
    <w:rsid w:val="00185479"/>
    <w:rsid w:val="0018719B"/>
    <w:rsid w:val="0019157B"/>
    <w:rsid w:val="0019202B"/>
    <w:rsid w:val="00194A66"/>
    <w:rsid w:val="00194BAB"/>
    <w:rsid w:val="00196158"/>
    <w:rsid w:val="001965ED"/>
    <w:rsid w:val="001A04B2"/>
    <w:rsid w:val="001A21FF"/>
    <w:rsid w:val="001A3451"/>
    <w:rsid w:val="001A59F5"/>
    <w:rsid w:val="001A5A58"/>
    <w:rsid w:val="001A72F4"/>
    <w:rsid w:val="001A7CCC"/>
    <w:rsid w:val="001B135B"/>
    <w:rsid w:val="001B3525"/>
    <w:rsid w:val="001B42AD"/>
    <w:rsid w:val="001B6923"/>
    <w:rsid w:val="001B7A59"/>
    <w:rsid w:val="001C1198"/>
    <w:rsid w:val="001C1281"/>
    <w:rsid w:val="001C3617"/>
    <w:rsid w:val="001C3A71"/>
    <w:rsid w:val="001C5155"/>
    <w:rsid w:val="001C5174"/>
    <w:rsid w:val="001D07B4"/>
    <w:rsid w:val="001D48FA"/>
    <w:rsid w:val="001D5CE5"/>
    <w:rsid w:val="001D6369"/>
    <w:rsid w:val="001D6BCF"/>
    <w:rsid w:val="001E01CA"/>
    <w:rsid w:val="001E0402"/>
    <w:rsid w:val="001E0671"/>
    <w:rsid w:val="001E0D8E"/>
    <w:rsid w:val="001E19C4"/>
    <w:rsid w:val="001E2628"/>
    <w:rsid w:val="001E499E"/>
    <w:rsid w:val="001E4BBC"/>
    <w:rsid w:val="001F3664"/>
    <w:rsid w:val="001F4CCE"/>
    <w:rsid w:val="001F594E"/>
    <w:rsid w:val="00202ABC"/>
    <w:rsid w:val="0020462A"/>
    <w:rsid w:val="00205B96"/>
    <w:rsid w:val="00206B9B"/>
    <w:rsid w:val="002077D8"/>
    <w:rsid w:val="00207E39"/>
    <w:rsid w:val="00212BC4"/>
    <w:rsid w:val="00212DDE"/>
    <w:rsid w:val="00213727"/>
    <w:rsid w:val="00213EEB"/>
    <w:rsid w:val="00213FD0"/>
    <w:rsid w:val="00214784"/>
    <w:rsid w:val="0021756E"/>
    <w:rsid w:val="00221870"/>
    <w:rsid w:val="00221C38"/>
    <w:rsid w:val="0022210B"/>
    <w:rsid w:val="0022322E"/>
    <w:rsid w:val="002253E1"/>
    <w:rsid w:val="00225E7D"/>
    <w:rsid w:val="00225F41"/>
    <w:rsid w:val="00234B52"/>
    <w:rsid w:val="00236EFD"/>
    <w:rsid w:val="00237B6F"/>
    <w:rsid w:val="00240B7E"/>
    <w:rsid w:val="00240E92"/>
    <w:rsid w:val="00242D85"/>
    <w:rsid w:val="00243FD7"/>
    <w:rsid w:val="00250BCE"/>
    <w:rsid w:val="0025475D"/>
    <w:rsid w:val="0025735C"/>
    <w:rsid w:val="002578B2"/>
    <w:rsid w:val="0026059F"/>
    <w:rsid w:val="002615CB"/>
    <w:rsid w:val="0026189E"/>
    <w:rsid w:val="00263055"/>
    <w:rsid w:val="00263933"/>
    <w:rsid w:val="00265026"/>
    <w:rsid w:val="00265E69"/>
    <w:rsid w:val="00266B2F"/>
    <w:rsid w:val="00267110"/>
    <w:rsid w:val="00267A09"/>
    <w:rsid w:val="002721E9"/>
    <w:rsid w:val="00272AB4"/>
    <w:rsid w:val="00275CF5"/>
    <w:rsid w:val="00275EE9"/>
    <w:rsid w:val="0027607B"/>
    <w:rsid w:val="00276BBB"/>
    <w:rsid w:val="00280752"/>
    <w:rsid w:val="0028301F"/>
    <w:rsid w:val="00285017"/>
    <w:rsid w:val="0029046B"/>
    <w:rsid w:val="002904C1"/>
    <w:rsid w:val="00292EE6"/>
    <w:rsid w:val="00293B44"/>
    <w:rsid w:val="00293BA7"/>
    <w:rsid w:val="002954D7"/>
    <w:rsid w:val="0029566F"/>
    <w:rsid w:val="00295670"/>
    <w:rsid w:val="00296697"/>
    <w:rsid w:val="00297632"/>
    <w:rsid w:val="002977C9"/>
    <w:rsid w:val="002A18E6"/>
    <w:rsid w:val="002A2AC9"/>
    <w:rsid w:val="002A2AF8"/>
    <w:rsid w:val="002A2D2E"/>
    <w:rsid w:val="002A5102"/>
    <w:rsid w:val="002A5137"/>
    <w:rsid w:val="002A52C6"/>
    <w:rsid w:val="002A6810"/>
    <w:rsid w:val="002B437F"/>
    <w:rsid w:val="002B5544"/>
    <w:rsid w:val="002C00E8"/>
    <w:rsid w:val="002C07A7"/>
    <w:rsid w:val="002C2F63"/>
    <w:rsid w:val="002C5314"/>
    <w:rsid w:val="002C7C80"/>
    <w:rsid w:val="002D2836"/>
    <w:rsid w:val="002D2945"/>
    <w:rsid w:val="002D306D"/>
    <w:rsid w:val="002D3B84"/>
    <w:rsid w:val="002D3CEA"/>
    <w:rsid w:val="002D3F43"/>
    <w:rsid w:val="002D50E6"/>
    <w:rsid w:val="002D62D0"/>
    <w:rsid w:val="002D6A54"/>
    <w:rsid w:val="002D7B17"/>
    <w:rsid w:val="002E1519"/>
    <w:rsid w:val="002E2121"/>
    <w:rsid w:val="002E2569"/>
    <w:rsid w:val="002E2DD2"/>
    <w:rsid w:val="002E32B2"/>
    <w:rsid w:val="002E46EF"/>
    <w:rsid w:val="002E5529"/>
    <w:rsid w:val="002E66C9"/>
    <w:rsid w:val="002E6740"/>
    <w:rsid w:val="002E7F56"/>
    <w:rsid w:val="002F25F6"/>
    <w:rsid w:val="002F2601"/>
    <w:rsid w:val="002F4276"/>
    <w:rsid w:val="002F6A45"/>
    <w:rsid w:val="00304436"/>
    <w:rsid w:val="00304FB3"/>
    <w:rsid w:val="003050A6"/>
    <w:rsid w:val="00306177"/>
    <w:rsid w:val="00306850"/>
    <w:rsid w:val="00306C2C"/>
    <w:rsid w:val="00306D67"/>
    <w:rsid w:val="00307767"/>
    <w:rsid w:val="00307DC7"/>
    <w:rsid w:val="003115AC"/>
    <w:rsid w:val="00312D02"/>
    <w:rsid w:val="00313F2B"/>
    <w:rsid w:val="00316588"/>
    <w:rsid w:val="003205A9"/>
    <w:rsid w:val="00322727"/>
    <w:rsid w:val="00325FFA"/>
    <w:rsid w:val="00326B09"/>
    <w:rsid w:val="00327A0F"/>
    <w:rsid w:val="00332BFD"/>
    <w:rsid w:val="003341C9"/>
    <w:rsid w:val="00334D7B"/>
    <w:rsid w:val="0033552F"/>
    <w:rsid w:val="00337070"/>
    <w:rsid w:val="00337A4C"/>
    <w:rsid w:val="00340682"/>
    <w:rsid w:val="003407A3"/>
    <w:rsid w:val="003412AB"/>
    <w:rsid w:val="00341DF8"/>
    <w:rsid w:val="0034222D"/>
    <w:rsid w:val="003428E5"/>
    <w:rsid w:val="00343749"/>
    <w:rsid w:val="00347AE9"/>
    <w:rsid w:val="00347ECD"/>
    <w:rsid w:val="00350EDC"/>
    <w:rsid w:val="00351613"/>
    <w:rsid w:val="00351D64"/>
    <w:rsid w:val="0035275B"/>
    <w:rsid w:val="00353345"/>
    <w:rsid w:val="00355D82"/>
    <w:rsid w:val="00355EE4"/>
    <w:rsid w:val="00357B84"/>
    <w:rsid w:val="00362ABD"/>
    <w:rsid w:val="00363399"/>
    <w:rsid w:val="0036363C"/>
    <w:rsid w:val="00365F50"/>
    <w:rsid w:val="003660ED"/>
    <w:rsid w:val="00367FC9"/>
    <w:rsid w:val="00370A00"/>
    <w:rsid w:val="00371999"/>
    <w:rsid w:val="003721AC"/>
    <w:rsid w:val="003724FE"/>
    <w:rsid w:val="0037541F"/>
    <w:rsid w:val="003811AC"/>
    <w:rsid w:val="003819FF"/>
    <w:rsid w:val="00381F0C"/>
    <w:rsid w:val="0038221B"/>
    <w:rsid w:val="003849E4"/>
    <w:rsid w:val="00384FC9"/>
    <w:rsid w:val="003864A5"/>
    <w:rsid w:val="003868E4"/>
    <w:rsid w:val="00386D5F"/>
    <w:rsid w:val="00392EF7"/>
    <w:rsid w:val="00393807"/>
    <w:rsid w:val="003939B9"/>
    <w:rsid w:val="003971F2"/>
    <w:rsid w:val="00397B1B"/>
    <w:rsid w:val="00397EED"/>
    <w:rsid w:val="003A31DD"/>
    <w:rsid w:val="003A4C3E"/>
    <w:rsid w:val="003B005E"/>
    <w:rsid w:val="003B0550"/>
    <w:rsid w:val="003B09C5"/>
    <w:rsid w:val="003B3F01"/>
    <w:rsid w:val="003B4D89"/>
    <w:rsid w:val="003B6461"/>
    <w:rsid w:val="003B694F"/>
    <w:rsid w:val="003B6E06"/>
    <w:rsid w:val="003C08D7"/>
    <w:rsid w:val="003C1276"/>
    <w:rsid w:val="003C1607"/>
    <w:rsid w:val="003C31F3"/>
    <w:rsid w:val="003C3699"/>
    <w:rsid w:val="003C545E"/>
    <w:rsid w:val="003D000E"/>
    <w:rsid w:val="003D25A6"/>
    <w:rsid w:val="003E0290"/>
    <w:rsid w:val="003E0CF3"/>
    <w:rsid w:val="003E1A3E"/>
    <w:rsid w:val="003E471B"/>
    <w:rsid w:val="003E5CEC"/>
    <w:rsid w:val="003E6870"/>
    <w:rsid w:val="003F065D"/>
    <w:rsid w:val="003F097D"/>
    <w:rsid w:val="003F09E3"/>
    <w:rsid w:val="003F0ACE"/>
    <w:rsid w:val="003F171C"/>
    <w:rsid w:val="003F2596"/>
    <w:rsid w:val="003F46A5"/>
    <w:rsid w:val="0040370A"/>
    <w:rsid w:val="00403920"/>
    <w:rsid w:val="0040446F"/>
    <w:rsid w:val="00406992"/>
    <w:rsid w:val="00410480"/>
    <w:rsid w:val="00412FC5"/>
    <w:rsid w:val="00413B67"/>
    <w:rsid w:val="00413D6C"/>
    <w:rsid w:val="00414164"/>
    <w:rsid w:val="00417804"/>
    <w:rsid w:val="00420B64"/>
    <w:rsid w:val="00420CF1"/>
    <w:rsid w:val="00422276"/>
    <w:rsid w:val="0042260A"/>
    <w:rsid w:val="00422ABA"/>
    <w:rsid w:val="00422BA3"/>
    <w:rsid w:val="004242F1"/>
    <w:rsid w:val="00427DFA"/>
    <w:rsid w:val="004305D1"/>
    <w:rsid w:val="00431720"/>
    <w:rsid w:val="0043315C"/>
    <w:rsid w:val="004352A1"/>
    <w:rsid w:val="00435605"/>
    <w:rsid w:val="00436311"/>
    <w:rsid w:val="00440B3E"/>
    <w:rsid w:val="00444207"/>
    <w:rsid w:val="0044455A"/>
    <w:rsid w:val="004454A1"/>
    <w:rsid w:val="00445A00"/>
    <w:rsid w:val="00446AD5"/>
    <w:rsid w:val="00447B71"/>
    <w:rsid w:val="00450CFD"/>
    <w:rsid w:val="00451B0F"/>
    <w:rsid w:val="00461C85"/>
    <w:rsid w:val="004626E0"/>
    <w:rsid w:val="0046288F"/>
    <w:rsid w:val="004629DE"/>
    <w:rsid w:val="00464409"/>
    <w:rsid w:val="004660AB"/>
    <w:rsid w:val="00466265"/>
    <w:rsid w:val="00467461"/>
    <w:rsid w:val="00467A35"/>
    <w:rsid w:val="00470B78"/>
    <w:rsid w:val="00471E7B"/>
    <w:rsid w:val="00473963"/>
    <w:rsid w:val="00474041"/>
    <w:rsid w:val="00474303"/>
    <w:rsid w:val="00475B5B"/>
    <w:rsid w:val="00475BE0"/>
    <w:rsid w:val="004760E3"/>
    <w:rsid w:val="00480B25"/>
    <w:rsid w:val="00482B11"/>
    <w:rsid w:val="00483386"/>
    <w:rsid w:val="004841A0"/>
    <w:rsid w:val="00484C5A"/>
    <w:rsid w:val="00486580"/>
    <w:rsid w:val="004879A2"/>
    <w:rsid w:val="00491AEB"/>
    <w:rsid w:val="004A079D"/>
    <w:rsid w:val="004A3336"/>
    <w:rsid w:val="004A7B98"/>
    <w:rsid w:val="004B005B"/>
    <w:rsid w:val="004B03CA"/>
    <w:rsid w:val="004B38BA"/>
    <w:rsid w:val="004B5C5A"/>
    <w:rsid w:val="004B5E98"/>
    <w:rsid w:val="004B7F28"/>
    <w:rsid w:val="004C0054"/>
    <w:rsid w:val="004C0445"/>
    <w:rsid w:val="004C08C3"/>
    <w:rsid w:val="004C2EE3"/>
    <w:rsid w:val="004C604D"/>
    <w:rsid w:val="004C62EC"/>
    <w:rsid w:val="004C65BE"/>
    <w:rsid w:val="004C6891"/>
    <w:rsid w:val="004C6E0B"/>
    <w:rsid w:val="004D1BA0"/>
    <w:rsid w:val="004D1E1A"/>
    <w:rsid w:val="004D1FCA"/>
    <w:rsid w:val="004D3A7A"/>
    <w:rsid w:val="004D58EA"/>
    <w:rsid w:val="004D6EEA"/>
    <w:rsid w:val="004D7175"/>
    <w:rsid w:val="004D7B1D"/>
    <w:rsid w:val="004E3371"/>
    <w:rsid w:val="004E4A22"/>
    <w:rsid w:val="004E7036"/>
    <w:rsid w:val="004F1875"/>
    <w:rsid w:val="004F2248"/>
    <w:rsid w:val="004F3262"/>
    <w:rsid w:val="004F3D3F"/>
    <w:rsid w:val="004F4279"/>
    <w:rsid w:val="004F7E60"/>
    <w:rsid w:val="005002A7"/>
    <w:rsid w:val="00504523"/>
    <w:rsid w:val="00505AFD"/>
    <w:rsid w:val="00507951"/>
    <w:rsid w:val="00507967"/>
    <w:rsid w:val="005113C8"/>
    <w:rsid w:val="00511968"/>
    <w:rsid w:val="00512C74"/>
    <w:rsid w:val="005144E7"/>
    <w:rsid w:val="00515EDF"/>
    <w:rsid w:val="00520A42"/>
    <w:rsid w:val="005228A6"/>
    <w:rsid w:val="00524684"/>
    <w:rsid w:val="00525C01"/>
    <w:rsid w:val="00525EE8"/>
    <w:rsid w:val="00526C31"/>
    <w:rsid w:val="00527AFF"/>
    <w:rsid w:val="00527F9E"/>
    <w:rsid w:val="0053671E"/>
    <w:rsid w:val="00540134"/>
    <w:rsid w:val="0054137D"/>
    <w:rsid w:val="00542263"/>
    <w:rsid w:val="00543AB4"/>
    <w:rsid w:val="005466D4"/>
    <w:rsid w:val="005477A3"/>
    <w:rsid w:val="005518AF"/>
    <w:rsid w:val="00551A37"/>
    <w:rsid w:val="00555750"/>
    <w:rsid w:val="0055614C"/>
    <w:rsid w:val="00560C21"/>
    <w:rsid w:val="00561EE0"/>
    <w:rsid w:val="005623A7"/>
    <w:rsid w:val="00562EF8"/>
    <w:rsid w:val="00565190"/>
    <w:rsid w:val="005660B3"/>
    <w:rsid w:val="00566D06"/>
    <w:rsid w:val="00566E3F"/>
    <w:rsid w:val="0056716E"/>
    <w:rsid w:val="00573009"/>
    <w:rsid w:val="00573326"/>
    <w:rsid w:val="0057381E"/>
    <w:rsid w:val="005746EF"/>
    <w:rsid w:val="00576ACC"/>
    <w:rsid w:val="00577823"/>
    <w:rsid w:val="00580A40"/>
    <w:rsid w:val="00581276"/>
    <w:rsid w:val="005812A8"/>
    <w:rsid w:val="00581F69"/>
    <w:rsid w:val="00584FDC"/>
    <w:rsid w:val="0058602C"/>
    <w:rsid w:val="00586336"/>
    <w:rsid w:val="0058649C"/>
    <w:rsid w:val="0059116E"/>
    <w:rsid w:val="005917B4"/>
    <w:rsid w:val="00594498"/>
    <w:rsid w:val="00597982"/>
    <w:rsid w:val="005A0939"/>
    <w:rsid w:val="005A0F36"/>
    <w:rsid w:val="005A34D7"/>
    <w:rsid w:val="005A4191"/>
    <w:rsid w:val="005A70A8"/>
    <w:rsid w:val="005A7394"/>
    <w:rsid w:val="005A7C8A"/>
    <w:rsid w:val="005B1088"/>
    <w:rsid w:val="005B1F64"/>
    <w:rsid w:val="005B383E"/>
    <w:rsid w:val="005B516C"/>
    <w:rsid w:val="005B5743"/>
    <w:rsid w:val="005B5ABB"/>
    <w:rsid w:val="005B7186"/>
    <w:rsid w:val="005B7DE0"/>
    <w:rsid w:val="005C0D83"/>
    <w:rsid w:val="005C4347"/>
    <w:rsid w:val="005C62A0"/>
    <w:rsid w:val="005D70CF"/>
    <w:rsid w:val="005D73FE"/>
    <w:rsid w:val="005D7ACE"/>
    <w:rsid w:val="005E12FC"/>
    <w:rsid w:val="005E14C2"/>
    <w:rsid w:val="005E1FFE"/>
    <w:rsid w:val="005E290D"/>
    <w:rsid w:val="005E420E"/>
    <w:rsid w:val="005E46BF"/>
    <w:rsid w:val="005E4819"/>
    <w:rsid w:val="005F0AA6"/>
    <w:rsid w:val="005F15EF"/>
    <w:rsid w:val="006008B6"/>
    <w:rsid w:val="00603880"/>
    <w:rsid w:val="00607BA5"/>
    <w:rsid w:val="006103B6"/>
    <w:rsid w:val="00610B41"/>
    <w:rsid w:val="00610B79"/>
    <w:rsid w:val="00610B85"/>
    <w:rsid w:val="0061180A"/>
    <w:rsid w:val="0061193A"/>
    <w:rsid w:val="00613F3F"/>
    <w:rsid w:val="00614F7E"/>
    <w:rsid w:val="00615EC5"/>
    <w:rsid w:val="006172B4"/>
    <w:rsid w:val="00617C8C"/>
    <w:rsid w:val="0062086D"/>
    <w:rsid w:val="00621C5B"/>
    <w:rsid w:val="00624717"/>
    <w:rsid w:val="00624ECB"/>
    <w:rsid w:val="00626EB6"/>
    <w:rsid w:val="006274DE"/>
    <w:rsid w:val="00627EC8"/>
    <w:rsid w:val="00631831"/>
    <w:rsid w:val="00632603"/>
    <w:rsid w:val="00633295"/>
    <w:rsid w:val="0063499B"/>
    <w:rsid w:val="006355D2"/>
    <w:rsid w:val="00640BD1"/>
    <w:rsid w:val="006416AE"/>
    <w:rsid w:val="00641C61"/>
    <w:rsid w:val="00641DB1"/>
    <w:rsid w:val="006429BC"/>
    <w:rsid w:val="00642AA7"/>
    <w:rsid w:val="00642B37"/>
    <w:rsid w:val="00643B1B"/>
    <w:rsid w:val="006450CF"/>
    <w:rsid w:val="00646040"/>
    <w:rsid w:val="00650795"/>
    <w:rsid w:val="00655487"/>
    <w:rsid w:val="00655C13"/>
    <w:rsid w:val="00655C77"/>
    <w:rsid w:val="00655D03"/>
    <w:rsid w:val="0065664D"/>
    <w:rsid w:val="006571AC"/>
    <w:rsid w:val="006572D5"/>
    <w:rsid w:val="00657BF7"/>
    <w:rsid w:val="0066000E"/>
    <w:rsid w:val="0066033A"/>
    <w:rsid w:val="00660A22"/>
    <w:rsid w:val="0066298F"/>
    <w:rsid w:val="0066357F"/>
    <w:rsid w:val="00665A3F"/>
    <w:rsid w:val="00667A74"/>
    <w:rsid w:val="006705E8"/>
    <w:rsid w:val="006711A2"/>
    <w:rsid w:val="00672456"/>
    <w:rsid w:val="00674E82"/>
    <w:rsid w:val="00680F14"/>
    <w:rsid w:val="006813F2"/>
    <w:rsid w:val="00682FB0"/>
    <w:rsid w:val="00683388"/>
    <w:rsid w:val="00683F84"/>
    <w:rsid w:val="00684216"/>
    <w:rsid w:val="006849D7"/>
    <w:rsid w:val="00686FEB"/>
    <w:rsid w:val="006902D8"/>
    <w:rsid w:val="0069140A"/>
    <w:rsid w:val="00693EAE"/>
    <w:rsid w:val="00694115"/>
    <w:rsid w:val="00695DE7"/>
    <w:rsid w:val="006A0F20"/>
    <w:rsid w:val="006A6A81"/>
    <w:rsid w:val="006A76AF"/>
    <w:rsid w:val="006B0520"/>
    <w:rsid w:val="006B33D5"/>
    <w:rsid w:val="006B570D"/>
    <w:rsid w:val="006B70B6"/>
    <w:rsid w:val="006C6F23"/>
    <w:rsid w:val="006D172B"/>
    <w:rsid w:val="006D2393"/>
    <w:rsid w:val="006D29F8"/>
    <w:rsid w:val="006D3975"/>
    <w:rsid w:val="006D4C43"/>
    <w:rsid w:val="006D5238"/>
    <w:rsid w:val="006D5BD4"/>
    <w:rsid w:val="006D5F36"/>
    <w:rsid w:val="006D5F45"/>
    <w:rsid w:val="006D7143"/>
    <w:rsid w:val="006E35A1"/>
    <w:rsid w:val="006E37B6"/>
    <w:rsid w:val="006E426B"/>
    <w:rsid w:val="006E4620"/>
    <w:rsid w:val="006E56E2"/>
    <w:rsid w:val="006E79A5"/>
    <w:rsid w:val="006E7EA0"/>
    <w:rsid w:val="006F0015"/>
    <w:rsid w:val="006F1B1B"/>
    <w:rsid w:val="006F457A"/>
    <w:rsid w:val="006F7393"/>
    <w:rsid w:val="006F75EA"/>
    <w:rsid w:val="006F7D28"/>
    <w:rsid w:val="0070051F"/>
    <w:rsid w:val="00700730"/>
    <w:rsid w:val="007008D3"/>
    <w:rsid w:val="0070224F"/>
    <w:rsid w:val="00704252"/>
    <w:rsid w:val="0070453B"/>
    <w:rsid w:val="00707B9F"/>
    <w:rsid w:val="007115F7"/>
    <w:rsid w:val="00711E18"/>
    <w:rsid w:val="00715209"/>
    <w:rsid w:val="007160E2"/>
    <w:rsid w:val="007168DC"/>
    <w:rsid w:val="00720AA2"/>
    <w:rsid w:val="007212F4"/>
    <w:rsid w:val="007235BB"/>
    <w:rsid w:val="00723DD0"/>
    <w:rsid w:val="00724BD7"/>
    <w:rsid w:val="0072526E"/>
    <w:rsid w:val="0072573B"/>
    <w:rsid w:val="00725EFE"/>
    <w:rsid w:val="007272D7"/>
    <w:rsid w:val="007301D3"/>
    <w:rsid w:val="00731C45"/>
    <w:rsid w:val="007323CD"/>
    <w:rsid w:val="007340A0"/>
    <w:rsid w:val="00744B0B"/>
    <w:rsid w:val="0075196D"/>
    <w:rsid w:val="007519B8"/>
    <w:rsid w:val="00754908"/>
    <w:rsid w:val="0075661E"/>
    <w:rsid w:val="0075661F"/>
    <w:rsid w:val="007622B9"/>
    <w:rsid w:val="0076274F"/>
    <w:rsid w:val="00762883"/>
    <w:rsid w:val="00762C9C"/>
    <w:rsid w:val="00764509"/>
    <w:rsid w:val="00765059"/>
    <w:rsid w:val="0076579E"/>
    <w:rsid w:val="00766FC0"/>
    <w:rsid w:val="007679F2"/>
    <w:rsid w:val="00770DCB"/>
    <w:rsid w:val="007723D5"/>
    <w:rsid w:val="00773221"/>
    <w:rsid w:val="00776827"/>
    <w:rsid w:val="00777156"/>
    <w:rsid w:val="00781DB4"/>
    <w:rsid w:val="007824BC"/>
    <w:rsid w:val="0078389F"/>
    <w:rsid w:val="00784447"/>
    <w:rsid w:val="00784A86"/>
    <w:rsid w:val="00785689"/>
    <w:rsid w:val="007903E0"/>
    <w:rsid w:val="007915C6"/>
    <w:rsid w:val="00793393"/>
    <w:rsid w:val="007933CB"/>
    <w:rsid w:val="007939BA"/>
    <w:rsid w:val="0079572F"/>
    <w:rsid w:val="0079584B"/>
    <w:rsid w:val="0079754B"/>
    <w:rsid w:val="007A19A0"/>
    <w:rsid w:val="007A1E6D"/>
    <w:rsid w:val="007A3D69"/>
    <w:rsid w:val="007A3E26"/>
    <w:rsid w:val="007A40A3"/>
    <w:rsid w:val="007A487F"/>
    <w:rsid w:val="007A49E7"/>
    <w:rsid w:val="007A5439"/>
    <w:rsid w:val="007A5EDA"/>
    <w:rsid w:val="007B0EB2"/>
    <w:rsid w:val="007B18A1"/>
    <w:rsid w:val="007B40F5"/>
    <w:rsid w:val="007B4D2A"/>
    <w:rsid w:val="007B5436"/>
    <w:rsid w:val="007B5DF1"/>
    <w:rsid w:val="007B69D9"/>
    <w:rsid w:val="007B7291"/>
    <w:rsid w:val="007C1A94"/>
    <w:rsid w:val="007C2374"/>
    <w:rsid w:val="007C2916"/>
    <w:rsid w:val="007C2986"/>
    <w:rsid w:val="007C3F6A"/>
    <w:rsid w:val="007C5595"/>
    <w:rsid w:val="007C5D63"/>
    <w:rsid w:val="007C73E2"/>
    <w:rsid w:val="007D02D0"/>
    <w:rsid w:val="007D1463"/>
    <w:rsid w:val="007D1B9A"/>
    <w:rsid w:val="007D2925"/>
    <w:rsid w:val="007D3991"/>
    <w:rsid w:val="007D534A"/>
    <w:rsid w:val="007D5410"/>
    <w:rsid w:val="007D5498"/>
    <w:rsid w:val="007D680C"/>
    <w:rsid w:val="007D6E0C"/>
    <w:rsid w:val="007D7865"/>
    <w:rsid w:val="007D7DD0"/>
    <w:rsid w:val="007E110C"/>
    <w:rsid w:val="007E1805"/>
    <w:rsid w:val="007E1B71"/>
    <w:rsid w:val="007E28BC"/>
    <w:rsid w:val="007E3ED8"/>
    <w:rsid w:val="007E637F"/>
    <w:rsid w:val="007F02A6"/>
    <w:rsid w:val="007F17E1"/>
    <w:rsid w:val="007F36E2"/>
    <w:rsid w:val="007F4200"/>
    <w:rsid w:val="007F641A"/>
    <w:rsid w:val="007F7D51"/>
    <w:rsid w:val="00801184"/>
    <w:rsid w:val="00803884"/>
    <w:rsid w:val="00806545"/>
    <w:rsid w:val="00806CE7"/>
    <w:rsid w:val="00807BB0"/>
    <w:rsid w:val="00810B6F"/>
    <w:rsid w:val="008142E8"/>
    <w:rsid w:val="00815276"/>
    <w:rsid w:val="00816380"/>
    <w:rsid w:val="00820FA7"/>
    <w:rsid w:val="00821417"/>
    <w:rsid w:val="00822CE0"/>
    <w:rsid w:val="0082330D"/>
    <w:rsid w:val="00830006"/>
    <w:rsid w:val="00831622"/>
    <w:rsid w:val="00836E2E"/>
    <w:rsid w:val="008379E8"/>
    <w:rsid w:val="00840908"/>
    <w:rsid w:val="00841AB1"/>
    <w:rsid w:val="00841CA9"/>
    <w:rsid w:val="0084376E"/>
    <w:rsid w:val="00846207"/>
    <w:rsid w:val="008464AE"/>
    <w:rsid w:val="00846E74"/>
    <w:rsid w:val="0085239A"/>
    <w:rsid w:val="00855072"/>
    <w:rsid w:val="00855155"/>
    <w:rsid w:val="00855C9B"/>
    <w:rsid w:val="00856C65"/>
    <w:rsid w:val="00857579"/>
    <w:rsid w:val="008600A6"/>
    <w:rsid w:val="008608EA"/>
    <w:rsid w:val="00863C9F"/>
    <w:rsid w:val="00863E2C"/>
    <w:rsid w:val="00864CFD"/>
    <w:rsid w:val="00865E75"/>
    <w:rsid w:val="0087239E"/>
    <w:rsid w:val="00872D24"/>
    <w:rsid w:val="008759B3"/>
    <w:rsid w:val="00875F0A"/>
    <w:rsid w:val="00876789"/>
    <w:rsid w:val="00876AF5"/>
    <w:rsid w:val="008807D1"/>
    <w:rsid w:val="00880A02"/>
    <w:rsid w:val="00881A85"/>
    <w:rsid w:val="00881EB1"/>
    <w:rsid w:val="0088755F"/>
    <w:rsid w:val="0089194B"/>
    <w:rsid w:val="00894B39"/>
    <w:rsid w:val="008951E3"/>
    <w:rsid w:val="00895E71"/>
    <w:rsid w:val="00896476"/>
    <w:rsid w:val="00896F0D"/>
    <w:rsid w:val="008A1696"/>
    <w:rsid w:val="008A473C"/>
    <w:rsid w:val="008A57A9"/>
    <w:rsid w:val="008B0173"/>
    <w:rsid w:val="008B0288"/>
    <w:rsid w:val="008B1792"/>
    <w:rsid w:val="008B5448"/>
    <w:rsid w:val="008B5FA3"/>
    <w:rsid w:val="008B7A29"/>
    <w:rsid w:val="008C3D5B"/>
    <w:rsid w:val="008C49FF"/>
    <w:rsid w:val="008C5CB5"/>
    <w:rsid w:val="008C68F1"/>
    <w:rsid w:val="008C7DF4"/>
    <w:rsid w:val="008D0502"/>
    <w:rsid w:val="008D1CE8"/>
    <w:rsid w:val="008D1E0F"/>
    <w:rsid w:val="008D315B"/>
    <w:rsid w:val="008D3D3E"/>
    <w:rsid w:val="008D478A"/>
    <w:rsid w:val="008D4FCA"/>
    <w:rsid w:val="008D5201"/>
    <w:rsid w:val="008D5454"/>
    <w:rsid w:val="008D6090"/>
    <w:rsid w:val="008D66E9"/>
    <w:rsid w:val="008D6A88"/>
    <w:rsid w:val="008D7672"/>
    <w:rsid w:val="008E0B1E"/>
    <w:rsid w:val="008E1752"/>
    <w:rsid w:val="008E36B6"/>
    <w:rsid w:val="008E566F"/>
    <w:rsid w:val="008E6606"/>
    <w:rsid w:val="008F0855"/>
    <w:rsid w:val="008F2BF9"/>
    <w:rsid w:val="008F6AE8"/>
    <w:rsid w:val="008F6D29"/>
    <w:rsid w:val="009003A0"/>
    <w:rsid w:val="00902488"/>
    <w:rsid w:val="00904DF0"/>
    <w:rsid w:val="009067B7"/>
    <w:rsid w:val="009104CB"/>
    <w:rsid w:val="00912001"/>
    <w:rsid w:val="009126FD"/>
    <w:rsid w:val="00912CDD"/>
    <w:rsid w:val="00912D29"/>
    <w:rsid w:val="00915764"/>
    <w:rsid w:val="0091728F"/>
    <w:rsid w:val="0092079D"/>
    <w:rsid w:val="00920D7B"/>
    <w:rsid w:val="00921803"/>
    <w:rsid w:val="00921F93"/>
    <w:rsid w:val="0092510D"/>
    <w:rsid w:val="00925985"/>
    <w:rsid w:val="00926503"/>
    <w:rsid w:val="00927E11"/>
    <w:rsid w:val="00927E3E"/>
    <w:rsid w:val="00927EC0"/>
    <w:rsid w:val="0093027E"/>
    <w:rsid w:val="009315B4"/>
    <w:rsid w:val="00931656"/>
    <w:rsid w:val="0093289C"/>
    <w:rsid w:val="00933890"/>
    <w:rsid w:val="00933D7E"/>
    <w:rsid w:val="0093420C"/>
    <w:rsid w:val="00935ABB"/>
    <w:rsid w:val="00935C7C"/>
    <w:rsid w:val="0093645C"/>
    <w:rsid w:val="00936C29"/>
    <w:rsid w:val="00940176"/>
    <w:rsid w:val="009407BA"/>
    <w:rsid w:val="0094256F"/>
    <w:rsid w:val="00945B80"/>
    <w:rsid w:val="009469BE"/>
    <w:rsid w:val="009554E3"/>
    <w:rsid w:val="00956A2A"/>
    <w:rsid w:val="00957A4D"/>
    <w:rsid w:val="00960A79"/>
    <w:rsid w:val="0096365F"/>
    <w:rsid w:val="00963A05"/>
    <w:rsid w:val="00963D56"/>
    <w:rsid w:val="00965526"/>
    <w:rsid w:val="009673CE"/>
    <w:rsid w:val="009675AB"/>
    <w:rsid w:val="009700F9"/>
    <w:rsid w:val="009723F8"/>
    <w:rsid w:val="009726D8"/>
    <w:rsid w:val="00974A8D"/>
    <w:rsid w:val="00977E4B"/>
    <w:rsid w:val="00980885"/>
    <w:rsid w:val="009819F3"/>
    <w:rsid w:val="0098317E"/>
    <w:rsid w:val="00985043"/>
    <w:rsid w:val="00985297"/>
    <w:rsid w:val="00987B11"/>
    <w:rsid w:val="00987B3D"/>
    <w:rsid w:val="00990764"/>
    <w:rsid w:val="00993A1E"/>
    <w:rsid w:val="00997D5E"/>
    <w:rsid w:val="009A162D"/>
    <w:rsid w:val="009A2A6F"/>
    <w:rsid w:val="009A70DB"/>
    <w:rsid w:val="009B062D"/>
    <w:rsid w:val="009B0691"/>
    <w:rsid w:val="009B27CC"/>
    <w:rsid w:val="009B3E8E"/>
    <w:rsid w:val="009B613A"/>
    <w:rsid w:val="009B6CCE"/>
    <w:rsid w:val="009B7C8D"/>
    <w:rsid w:val="009C1BBD"/>
    <w:rsid w:val="009C3921"/>
    <w:rsid w:val="009C44EA"/>
    <w:rsid w:val="009D15A0"/>
    <w:rsid w:val="009D2411"/>
    <w:rsid w:val="009D2BF5"/>
    <w:rsid w:val="009D3A10"/>
    <w:rsid w:val="009D7308"/>
    <w:rsid w:val="009E010A"/>
    <w:rsid w:val="009E26B6"/>
    <w:rsid w:val="009E2BAA"/>
    <w:rsid w:val="009E2FF1"/>
    <w:rsid w:val="009E3551"/>
    <w:rsid w:val="009E50E6"/>
    <w:rsid w:val="009E5571"/>
    <w:rsid w:val="009F2468"/>
    <w:rsid w:val="009F2C1E"/>
    <w:rsid w:val="009F3C3B"/>
    <w:rsid w:val="009F4021"/>
    <w:rsid w:val="009F6DF2"/>
    <w:rsid w:val="009F76DB"/>
    <w:rsid w:val="00A03F65"/>
    <w:rsid w:val="00A048FF"/>
    <w:rsid w:val="00A06405"/>
    <w:rsid w:val="00A06836"/>
    <w:rsid w:val="00A0731B"/>
    <w:rsid w:val="00A10B1E"/>
    <w:rsid w:val="00A116E4"/>
    <w:rsid w:val="00A1281D"/>
    <w:rsid w:val="00A13FA7"/>
    <w:rsid w:val="00A1450C"/>
    <w:rsid w:val="00A14DC6"/>
    <w:rsid w:val="00A1619F"/>
    <w:rsid w:val="00A16E62"/>
    <w:rsid w:val="00A17295"/>
    <w:rsid w:val="00A2087E"/>
    <w:rsid w:val="00A24499"/>
    <w:rsid w:val="00A25BD6"/>
    <w:rsid w:val="00A263D8"/>
    <w:rsid w:val="00A27AD8"/>
    <w:rsid w:val="00A32499"/>
    <w:rsid w:val="00A32C3B"/>
    <w:rsid w:val="00A3305B"/>
    <w:rsid w:val="00A342E2"/>
    <w:rsid w:val="00A3453B"/>
    <w:rsid w:val="00A352E0"/>
    <w:rsid w:val="00A41E6A"/>
    <w:rsid w:val="00A430CF"/>
    <w:rsid w:val="00A45F4F"/>
    <w:rsid w:val="00A4730C"/>
    <w:rsid w:val="00A47A0D"/>
    <w:rsid w:val="00A47B1A"/>
    <w:rsid w:val="00A5030F"/>
    <w:rsid w:val="00A50915"/>
    <w:rsid w:val="00A521F2"/>
    <w:rsid w:val="00A5243F"/>
    <w:rsid w:val="00A52741"/>
    <w:rsid w:val="00A52BDA"/>
    <w:rsid w:val="00A600A9"/>
    <w:rsid w:val="00A62188"/>
    <w:rsid w:val="00A622D1"/>
    <w:rsid w:val="00A62384"/>
    <w:rsid w:val="00A62607"/>
    <w:rsid w:val="00A63EA0"/>
    <w:rsid w:val="00A640E5"/>
    <w:rsid w:val="00A64929"/>
    <w:rsid w:val="00A6600F"/>
    <w:rsid w:val="00A66AA3"/>
    <w:rsid w:val="00A7012C"/>
    <w:rsid w:val="00A72813"/>
    <w:rsid w:val="00A72C1B"/>
    <w:rsid w:val="00A7311A"/>
    <w:rsid w:val="00A8067F"/>
    <w:rsid w:val="00A82660"/>
    <w:rsid w:val="00A84EA3"/>
    <w:rsid w:val="00A8693C"/>
    <w:rsid w:val="00A9258B"/>
    <w:rsid w:val="00A929BF"/>
    <w:rsid w:val="00A94B64"/>
    <w:rsid w:val="00A94F06"/>
    <w:rsid w:val="00A9502A"/>
    <w:rsid w:val="00A953DA"/>
    <w:rsid w:val="00A95585"/>
    <w:rsid w:val="00AA3452"/>
    <w:rsid w:val="00AA55B7"/>
    <w:rsid w:val="00AA5814"/>
    <w:rsid w:val="00AA5B9E"/>
    <w:rsid w:val="00AA6995"/>
    <w:rsid w:val="00AA7567"/>
    <w:rsid w:val="00AB1827"/>
    <w:rsid w:val="00AB1CFA"/>
    <w:rsid w:val="00AB2407"/>
    <w:rsid w:val="00AB3340"/>
    <w:rsid w:val="00AB4BF4"/>
    <w:rsid w:val="00AB53DF"/>
    <w:rsid w:val="00AB5A24"/>
    <w:rsid w:val="00AC0284"/>
    <w:rsid w:val="00AC03C4"/>
    <w:rsid w:val="00AC0C44"/>
    <w:rsid w:val="00AC17C3"/>
    <w:rsid w:val="00AC1B35"/>
    <w:rsid w:val="00AC33D7"/>
    <w:rsid w:val="00AD0784"/>
    <w:rsid w:val="00AD1842"/>
    <w:rsid w:val="00AD24DD"/>
    <w:rsid w:val="00AD285D"/>
    <w:rsid w:val="00AD446E"/>
    <w:rsid w:val="00AD4862"/>
    <w:rsid w:val="00AD4D78"/>
    <w:rsid w:val="00AE36A6"/>
    <w:rsid w:val="00AE5132"/>
    <w:rsid w:val="00AE65A3"/>
    <w:rsid w:val="00AE79B3"/>
    <w:rsid w:val="00AF0A30"/>
    <w:rsid w:val="00AF1A78"/>
    <w:rsid w:val="00AF20E9"/>
    <w:rsid w:val="00AF252F"/>
    <w:rsid w:val="00AF4DAE"/>
    <w:rsid w:val="00AF5A58"/>
    <w:rsid w:val="00AF7233"/>
    <w:rsid w:val="00AF76AC"/>
    <w:rsid w:val="00AF7903"/>
    <w:rsid w:val="00AF7D33"/>
    <w:rsid w:val="00B01158"/>
    <w:rsid w:val="00B01D11"/>
    <w:rsid w:val="00B050FF"/>
    <w:rsid w:val="00B06682"/>
    <w:rsid w:val="00B07E5C"/>
    <w:rsid w:val="00B1054A"/>
    <w:rsid w:val="00B10AE3"/>
    <w:rsid w:val="00B11003"/>
    <w:rsid w:val="00B13532"/>
    <w:rsid w:val="00B13763"/>
    <w:rsid w:val="00B144E8"/>
    <w:rsid w:val="00B1701B"/>
    <w:rsid w:val="00B17BD5"/>
    <w:rsid w:val="00B20B24"/>
    <w:rsid w:val="00B22AB4"/>
    <w:rsid w:val="00B25780"/>
    <w:rsid w:val="00B27E39"/>
    <w:rsid w:val="00B3022E"/>
    <w:rsid w:val="00B307CC"/>
    <w:rsid w:val="00B31BCA"/>
    <w:rsid w:val="00B31F09"/>
    <w:rsid w:val="00B3266C"/>
    <w:rsid w:val="00B33B85"/>
    <w:rsid w:val="00B36194"/>
    <w:rsid w:val="00B37582"/>
    <w:rsid w:val="00B41221"/>
    <w:rsid w:val="00B413DB"/>
    <w:rsid w:val="00B429E8"/>
    <w:rsid w:val="00B506A1"/>
    <w:rsid w:val="00B5180E"/>
    <w:rsid w:val="00B51E6D"/>
    <w:rsid w:val="00B53218"/>
    <w:rsid w:val="00B54254"/>
    <w:rsid w:val="00B562E7"/>
    <w:rsid w:val="00B60A8A"/>
    <w:rsid w:val="00B62425"/>
    <w:rsid w:val="00B625B5"/>
    <w:rsid w:val="00B63C55"/>
    <w:rsid w:val="00B64CD1"/>
    <w:rsid w:val="00B64FEA"/>
    <w:rsid w:val="00B65A37"/>
    <w:rsid w:val="00B65BA6"/>
    <w:rsid w:val="00B65D63"/>
    <w:rsid w:val="00B71283"/>
    <w:rsid w:val="00B748F3"/>
    <w:rsid w:val="00B768A5"/>
    <w:rsid w:val="00B811F7"/>
    <w:rsid w:val="00B843EE"/>
    <w:rsid w:val="00B84BFE"/>
    <w:rsid w:val="00B85DB5"/>
    <w:rsid w:val="00B87868"/>
    <w:rsid w:val="00B92C63"/>
    <w:rsid w:val="00B94145"/>
    <w:rsid w:val="00B96C00"/>
    <w:rsid w:val="00B9763C"/>
    <w:rsid w:val="00B97D7B"/>
    <w:rsid w:val="00BA00A5"/>
    <w:rsid w:val="00BA0BE9"/>
    <w:rsid w:val="00BA1D3B"/>
    <w:rsid w:val="00BA1F7D"/>
    <w:rsid w:val="00BA22FF"/>
    <w:rsid w:val="00BA27A2"/>
    <w:rsid w:val="00BA3DF2"/>
    <w:rsid w:val="00BA5409"/>
    <w:rsid w:val="00BA5DC6"/>
    <w:rsid w:val="00BA6196"/>
    <w:rsid w:val="00BA72C7"/>
    <w:rsid w:val="00BB0BE7"/>
    <w:rsid w:val="00BB27FE"/>
    <w:rsid w:val="00BB2C7C"/>
    <w:rsid w:val="00BB5344"/>
    <w:rsid w:val="00BB5E24"/>
    <w:rsid w:val="00BB6546"/>
    <w:rsid w:val="00BC2929"/>
    <w:rsid w:val="00BC3AC3"/>
    <w:rsid w:val="00BC3B73"/>
    <w:rsid w:val="00BC3F66"/>
    <w:rsid w:val="00BC6D8C"/>
    <w:rsid w:val="00BD0B88"/>
    <w:rsid w:val="00BD2D3E"/>
    <w:rsid w:val="00BD3321"/>
    <w:rsid w:val="00BD45E8"/>
    <w:rsid w:val="00BD477D"/>
    <w:rsid w:val="00BE117F"/>
    <w:rsid w:val="00BE265D"/>
    <w:rsid w:val="00BE59F6"/>
    <w:rsid w:val="00BE5AA7"/>
    <w:rsid w:val="00BE63B5"/>
    <w:rsid w:val="00BE6DAB"/>
    <w:rsid w:val="00BF177D"/>
    <w:rsid w:val="00BF60E8"/>
    <w:rsid w:val="00C00E76"/>
    <w:rsid w:val="00C02D9A"/>
    <w:rsid w:val="00C02EE9"/>
    <w:rsid w:val="00C03968"/>
    <w:rsid w:val="00C06FCB"/>
    <w:rsid w:val="00C07146"/>
    <w:rsid w:val="00C0747F"/>
    <w:rsid w:val="00C075DA"/>
    <w:rsid w:val="00C10D07"/>
    <w:rsid w:val="00C114CC"/>
    <w:rsid w:val="00C12395"/>
    <w:rsid w:val="00C13872"/>
    <w:rsid w:val="00C1645B"/>
    <w:rsid w:val="00C17EC1"/>
    <w:rsid w:val="00C233D6"/>
    <w:rsid w:val="00C24D28"/>
    <w:rsid w:val="00C254B8"/>
    <w:rsid w:val="00C26666"/>
    <w:rsid w:val="00C269C1"/>
    <w:rsid w:val="00C27375"/>
    <w:rsid w:val="00C27E9B"/>
    <w:rsid w:val="00C326B2"/>
    <w:rsid w:val="00C32FE0"/>
    <w:rsid w:val="00C34006"/>
    <w:rsid w:val="00C35CF8"/>
    <w:rsid w:val="00C36812"/>
    <w:rsid w:val="00C36B4C"/>
    <w:rsid w:val="00C36D90"/>
    <w:rsid w:val="00C426B1"/>
    <w:rsid w:val="00C428D8"/>
    <w:rsid w:val="00C46E73"/>
    <w:rsid w:val="00C46FAA"/>
    <w:rsid w:val="00C4762B"/>
    <w:rsid w:val="00C47DFD"/>
    <w:rsid w:val="00C47EF6"/>
    <w:rsid w:val="00C50943"/>
    <w:rsid w:val="00C55857"/>
    <w:rsid w:val="00C561A2"/>
    <w:rsid w:val="00C56561"/>
    <w:rsid w:val="00C56B0A"/>
    <w:rsid w:val="00C57302"/>
    <w:rsid w:val="00C57EF2"/>
    <w:rsid w:val="00C614DA"/>
    <w:rsid w:val="00C63ACD"/>
    <w:rsid w:val="00C6430F"/>
    <w:rsid w:val="00C6592B"/>
    <w:rsid w:val="00C66160"/>
    <w:rsid w:val="00C677BE"/>
    <w:rsid w:val="00C700EE"/>
    <w:rsid w:val="00C705CF"/>
    <w:rsid w:val="00C721AC"/>
    <w:rsid w:val="00C72FF4"/>
    <w:rsid w:val="00C74952"/>
    <w:rsid w:val="00C74DC1"/>
    <w:rsid w:val="00C75A2A"/>
    <w:rsid w:val="00C84B79"/>
    <w:rsid w:val="00C86DBC"/>
    <w:rsid w:val="00C90D6A"/>
    <w:rsid w:val="00C91F22"/>
    <w:rsid w:val="00C92838"/>
    <w:rsid w:val="00C9332F"/>
    <w:rsid w:val="00C950AF"/>
    <w:rsid w:val="00C957EF"/>
    <w:rsid w:val="00C9739E"/>
    <w:rsid w:val="00C97AC8"/>
    <w:rsid w:val="00CA2159"/>
    <w:rsid w:val="00CA247E"/>
    <w:rsid w:val="00CA3896"/>
    <w:rsid w:val="00CA6D21"/>
    <w:rsid w:val="00CB12EE"/>
    <w:rsid w:val="00CB1623"/>
    <w:rsid w:val="00CB3028"/>
    <w:rsid w:val="00CC18B3"/>
    <w:rsid w:val="00CC1A78"/>
    <w:rsid w:val="00CC1BFB"/>
    <w:rsid w:val="00CC3607"/>
    <w:rsid w:val="00CC4473"/>
    <w:rsid w:val="00CC52FD"/>
    <w:rsid w:val="00CC72B6"/>
    <w:rsid w:val="00CC72F1"/>
    <w:rsid w:val="00CC7ECF"/>
    <w:rsid w:val="00CD1679"/>
    <w:rsid w:val="00CD214E"/>
    <w:rsid w:val="00CD21F1"/>
    <w:rsid w:val="00CD444E"/>
    <w:rsid w:val="00CD58A2"/>
    <w:rsid w:val="00CD6630"/>
    <w:rsid w:val="00CD6FA3"/>
    <w:rsid w:val="00CE3B3E"/>
    <w:rsid w:val="00CE4826"/>
    <w:rsid w:val="00CE4D75"/>
    <w:rsid w:val="00CE60EB"/>
    <w:rsid w:val="00CE6FCF"/>
    <w:rsid w:val="00CF031C"/>
    <w:rsid w:val="00CF428D"/>
    <w:rsid w:val="00CF525A"/>
    <w:rsid w:val="00CF55E5"/>
    <w:rsid w:val="00CF687F"/>
    <w:rsid w:val="00CF6F98"/>
    <w:rsid w:val="00CF7D28"/>
    <w:rsid w:val="00D0016C"/>
    <w:rsid w:val="00D020FD"/>
    <w:rsid w:val="00D0218D"/>
    <w:rsid w:val="00D030DC"/>
    <w:rsid w:val="00D10099"/>
    <w:rsid w:val="00D10A98"/>
    <w:rsid w:val="00D1659F"/>
    <w:rsid w:val="00D169B8"/>
    <w:rsid w:val="00D1778F"/>
    <w:rsid w:val="00D20972"/>
    <w:rsid w:val="00D20EBB"/>
    <w:rsid w:val="00D21260"/>
    <w:rsid w:val="00D21A40"/>
    <w:rsid w:val="00D25FB5"/>
    <w:rsid w:val="00D2668E"/>
    <w:rsid w:val="00D30B35"/>
    <w:rsid w:val="00D31769"/>
    <w:rsid w:val="00D318A2"/>
    <w:rsid w:val="00D3479B"/>
    <w:rsid w:val="00D35B6C"/>
    <w:rsid w:val="00D3670E"/>
    <w:rsid w:val="00D37BA7"/>
    <w:rsid w:val="00D401FC"/>
    <w:rsid w:val="00D4304C"/>
    <w:rsid w:val="00D44223"/>
    <w:rsid w:val="00D45053"/>
    <w:rsid w:val="00D46847"/>
    <w:rsid w:val="00D478B3"/>
    <w:rsid w:val="00D50066"/>
    <w:rsid w:val="00D51F4D"/>
    <w:rsid w:val="00D527AA"/>
    <w:rsid w:val="00D52949"/>
    <w:rsid w:val="00D54105"/>
    <w:rsid w:val="00D54A7E"/>
    <w:rsid w:val="00D54B6E"/>
    <w:rsid w:val="00D560B3"/>
    <w:rsid w:val="00D61DFC"/>
    <w:rsid w:val="00D66969"/>
    <w:rsid w:val="00D66AB0"/>
    <w:rsid w:val="00D67215"/>
    <w:rsid w:val="00D72126"/>
    <w:rsid w:val="00D72567"/>
    <w:rsid w:val="00D73426"/>
    <w:rsid w:val="00D76232"/>
    <w:rsid w:val="00D7663F"/>
    <w:rsid w:val="00D7775E"/>
    <w:rsid w:val="00D8023A"/>
    <w:rsid w:val="00D80932"/>
    <w:rsid w:val="00D829AF"/>
    <w:rsid w:val="00D82DFB"/>
    <w:rsid w:val="00D830F6"/>
    <w:rsid w:val="00D83FA9"/>
    <w:rsid w:val="00D841A2"/>
    <w:rsid w:val="00D87158"/>
    <w:rsid w:val="00D878FA"/>
    <w:rsid w:val="00D87C8E"/>
    <w:rsid w:val="00D90562"/>
    <w:rsid w:val="00D90E70"/>
    <w:rsid w:val="00D91934"/>
    <w:rsid w:val="00D93539"/>
    <w:rsid w:val="00D93A3A"/>
    <w:rsid w:val="00D979D6"/>
    <w:rsid w:val="00DA106B"/>
    <w:rsid w:val="00DA2529"/>
    <w:rsid w:val="00DA3B2A"/>
    <w:rsid w:val="00DA455B"/>
    <w:rsid w:val="00DA61DD"/>
    <w:rsid w:val="00DB130A"/>
    <w:rsid w:val="00DB1A20"/>
    <w:rsid w:val="00DB2EBB"/>
    <w:rsid w:val="00DB3E0C"/>
    <w:rsid w:val="00DB4022"/>
    <w:rsid w:val="00DB4820"/>
    <w:rsid w:val="00DB4EFE"/>
    <w:rsid w:val="00DB5818"/>
    <w:rsid w:val="00DB74A7"/>
    <w:rsid w:val="00DC0866"/>
    <w:rsid w:val="00DC10A1"/>
    <w:rsid w:val="00DC211A"/>
    <w:rsid w:val="00DC31B9"/>
    <w:rsid w:val="00DC370C"/>
    <w:rsid w:val="00DC57FF"/>
    <w:rsid w:val="00DC655F"/>
    <w:rsid w:val="00DC769A"/>
    <w:rsid w:val="00DD014F"/>
    <w:rsid w:val="00DD094E"/>
    <w:rsid w:val="00DD0B59"/>
    <w:rsid w:val="00DD0CAF"/>
    <w:rsid w:val="00DD27C5"/>
    <w:rsid w:val="00DD2800"/>
    <w:rsid w:val="00DD2FB7"/>
    <w:rsid w:val="00DD4D14"/>
    <w:rsid w:val="00DD51B8"/>
    <w:rsid w:val="00DD58A2"/>
    <w:rsid w:val="00DD737C"/>
    <w:rsid w:val="00DD7EBD"/>
    <w:rsid w:val="00DD7FEC"/>
    <w:rsid w:val="00DE1539"/>
    <w:rsid w:val="00DE33BD"/>
    <w:rsid w:val="00DE3C37"/>
    <w:rsid w:val="00DE6888"/>
    <w:rsid w:val="00DE6B14"/>
    <w:rsid w:val="00DE707F"/>
    <w:rsid w:val="00DF0CB8"/>
    <w:rsid w:val="00DF1637"/>
    <w:rsid w:val="00DF1999"/>
    <w:rsid w:val="00DF20AF"/>
    <w:rsid w:val="00DF2444"/>
    <w:rsid w:val="00DF2916"/>
    <w:rsid w:val="00DF45DE"/>
    <w:rsid w:val="00DF62B6"/>
    <w:rsid w:val="00DF6F15"/>
    <w:rsid w:val="00E0395B"/>
    <w:rsid w:val="00E04191"/>
    <w:rsid w:val="00E05E9B"/>
    <w:rsid w:val="00E07225"/>
    <w:rsid w:val="00E10B6C"/>
    <w:rsid w:val="00E13CA9"/>
    <w:rsid w:val="00E165DC"/>
    <w:rsid w:val="00E218E0"/>
    <w:rsid w:val="00E231ED"/>
    <w:rsid w:val="00E24F1C"/>
    <w:rsid w:val="00E261EC"/>
    <w:rsid w:val="00E27759"/>
    <w:rsid w:val="00E30560"/>
    <w:rsid w:val="00E3560A"/>
    <w:rsid w:val="00E37622"/>
    <w:rsid w:val="00E40E04"/>
    <w:rsid w:val="00E42144"/>
    <w:rsid w:val="00E43536"/>
    <w:rsid w:val="00E4644A"/>
    <w:rsid w:val="00E515C2"/>
    <w:rsid w:val="00E5175D"/>
    <w:rsid w:val="00E51EFA"/>
    <w:rsid w:val="00E5409F"/>
    <w:rsid w:val="00E54C6E"/>
    <w:rsid w:val="00E62493"/>
    <w:rsid w:val="00E62A38"/>
    <w:rsid w:val="00E62CC5"/>
    <w:rsid w:val="00E64756"/>
    <w:rsid w:val="00E66DCD"/>
    <w:rsid w:val="00E7050D"/>
    <w:rsid w:val="00E71980"/>
    <w:rsid w:val="00E7210E"/>
    <w:rsid w:val="00E72A0D"/>
    <w:rsid w:val="00E7555A"/>
    <w:rsid w:val="00E75E2E"/>
    <w:rsid w:val="00E77E08"/>
    <w:rsid w:val="00E8170F"/>
    <w:rsid w:val="00E82F7E"/>
    <w:rsid w:val="00E830C2"/>
    <w:rsid w:val="00E85BCC"/>
    <w:rsid w:val="00E862FD"/>
    <w:rsid w:val="00E86675"/>
    <w:rsid w:val="00E915E8"/>
    <w:rsid w:val="00E952D9"/>
    <w:rsid w:val="00E95548"/>
    <w:rsid w:val="00E964DE"/>
    <w:rsid w:val="00EA0E63"/>
    <w:rsid w:val="00EA1005"/>
    <w:rsid w:val="00EA11B0"/>
    <w:rsid w:val="00EA1E2A"/>
    <w:rsid w:val="00EA1FDE"/>
    <w:rsid w:val="00EA6054"/>
    <w:rsid w:val="00EA67AA"/>
    <w:rsid w:val="00EB02B8"/>
    <w:rsid w:val="00EB042E"/>
    <w:rsid w:val="00EB09E2"/>
    <w:rsid w:val="00EB0EC9"/>
    <w:rsid w:val="00EB1998"/>
    <w:rsid w:val="00EB2189"/>
    <w:rsid w:val="00EB24F3"/>
    <w:rsid w:val="00EB2D69"/>
    <w:rsid w:val="00EB3989"/>
    <w:rsid w:val="00EB39EE"/>
    <w:rsid w:val="00EB4656"/>
    <w:rsid w:val="00EB4E38"/>
    <w:rsid w:val="00EB6907"/>
    <w:rsid w:val="00EC0ED2"/>
    <w:rsid w:val="00EC28C2"/>
    <w:rsid w:val="00EC3913"/>
    <w:rsid w:val="00EC52F6"/>
    <w:rsid w:val="00EC7258"/>
    <w:rsid w:val="00EC77E7"/>
    <w:rsid w:val="00ED0116"/>
    <w:rsid w:val="00ED023D"/>
    <w:rsid w:val="00ED1A50"/>
    <w:rsid w:val="00ED1BE3"/>
    <w:rsid w:val="00ED4EB4"/>
    <w:rsid w:val="00ED70B0"/>
    <w:rsid w:val="00EE026E"/>
    <w:rsid w:val="00EE6488"/>
    <w:rsid w:val="00EF0981"/>
    <w:rsid w:val="00EF4852"/>
    <w:rsid w:val="00EF5634"/>
    <w:rsid w:val="00EF7888"/>
    <w:rsid w:val="00F002FD"/>
    <w:rsid w:val="00F0056C"/>
    <w:rsid w:val="00F01FFC"/>
    <w:rsid w:val="00F021FA"/>
    <w:rsid w:val="00F023C5"/>
    <w:rsid w:val="00F03903"/>
    <w:rsid w:val="00F03A43"/>
    <w:rsid w:val="00F05585"/>
    <w:rsid w:val="00F06B22"/>
    <w:rsid w:val="00F07826"/>
    <w:rsid w:val="00F10271"/>
    <w:rsid w:val="00F1040E"/>
    <w:rsid w:val="00F11C52"/>
    <w:rsid w:val="00F13025"/>
    <w:rsid w:val="00F137D6"/>
    <w:rsid w:val="00F13B9E"/>
    <w:rsid w:val="00F14089"/>
    <w:rsid w:val="00F140D6"/>
    <w:rsid w:val="00F17D53"/>
    <w:rsid w:val="00F204F9"/>
    <w:rsid w:val="00F22B5F"/>
    <w:rsid w:val="00F23D08"/>
    <w:rsid w:val="00F250A5"/>
    <w:rsid w:val="00F264E3"/>
    <w:rsid w:val="00F30F0F"/>
    <w:rsid w:val="00F33082"/>
    <w:rsid w:val="00F34B74"/>
    <w:rsid w:val="00F34CCA"/>
    <w:rsid w:val="00F35079"/>
    <w:rsid w:val="00F35C70"/>
    <w:rsid w:val="00F36062"/>
    <w:rsid w:val="00F37426"/>
    <w:rsid w:val="00F37644"/>
    <w:rsid w:val="00F40D9B"/>
    <w:rsid w:val="00F432EB"/>
    <w:rsid w:val="00F4378C"/>
    <w:rsid w:val="00F458ED"/>
    <w:rsid w:val="00F465CB"/>
    <w:rsid w:val="00F467C4"/>
    <w:rsid w:val="00F52575"/>
    <w:rsid w:val="00F53D6E"/>
    <w:rsid w:val="00F54D4B"/>
    <w:rsid w:val="00F56558"/>
    <w:rsid w:val="00F57874"/>
    <w:rsid w:val="00F579F6"/>
    <w:rsid w:val="00F62C65"/>
    <w:rsid w:val="00F62E97"/>
    <w:rsid w:val="00F640E7"/>
    <w:rsid w:val="00F64209"/>
    <w:rsid w:val="00F649FA"/>
    <w:rsid w:val="00F650E3"/>
    <w:rsid w:val="00F6521E"/>
    <w:rsid w:val="00F6541A"/>
    <w:rsid w:val="00F65723"/>
    <w:rsid w:val="00F66497"/>
    <w:rsid w:val="00F66B45"/>
    <w:rsid w:val="00F712BC"/>
    <w:rsid w:val="00F72FA4"/>
    <w:rsid w:val="00F7421A"/>
    <w:rsid w:val="00F7444C"/>
    <w:rsid w:val="00F80101"/>
    <w:rsid w:val="00F813E5"/>
    <w:rsid w:val="00F8305F"/>
    <w:rsid w:val="00F845C7"/>
    <w:rsid w:val="00F85F1D"/>
    <w:rsid w:val="00F86AC9"/>
    <w:rsid w:val="00F9034E"/>
    <w:rsid w:val="00F90BC1"/>
    <w:rsid w:val="00F90D54"/>
    <w:rsid w:val="00F9148D"/>
    <w:rsid w:val="00F92360"/>
    <w:rsid w:val="00F93BF5"/>
    <w:rsid w:val="00FA284C"/>
    <w:rsid w:val="00FA3194"/>
    <w:rsid w:val="00FA3326"/>
    <w:rsid w:val="00FA414D"/>
    <w:rsid w:val="00FA483D"/>
    <w:rsid w:val="00FA5E47"/>
    <w:rsid w:val="00FA7D4C"/>
    <w:rsid w:val="00FB29EA"/>
    <w:rsid w:val="00FB43E6"/>
    <w:rsid w:val="00FB5A57"/>
    <w:rsid w:val="00FB5B77"/>
    <w:rsid w:val="00FC0458"/>
    <w:rsid w:val="00FC42FB"/>
    <w:rsid w:val="00FC483E"/>
    <w:rsid w:val="00FC6DB4"/>
    <w:rsid w:val="00FD017D"/>
    <w:rsid w:val="00FD09FF"/>
    <w:rsid w:val="00FD0DBB"/>
    <w:rsid w:val="00FD1EB8"/>
    <w:rsid w:val="00FD275A"/>
    <w:rsid w:val="00FD27D2"/>
    <w:rsid w:val="00FD4529"/>
    <w:rsid w:val="00FD4954"/>
    <w:rsid w:val="00FD7125"/>
    <w:rsid w:val="00FD7DD4"/>
    <w:rsid w:val="00FE0DF6"/>
    <w:rsid w:val="00FE1366"/>
    <w:rsid w:val="00FE2EF6"/>
    <w:rsid w:val="00FE48A3"/>
    <w:rsid w:val="00FE64AA"/>
    <w:rsid w:val="00FF0ECF"/>
    <w:rsid w:val="00FF11CE"/>
    <w:rsid w:val="00FF1A61"/>
    <w:rsid w:val="00FF1A74"/>
    <w:rsid w:val="00FF205B"/>
    <w:rsid w:val="00FF5940"/>
    <w:rsid w:val="1E003BC0"/>
    <w:rsid w:val="315EF4E1"/>
    <w:rsid w:val="3A2BDA41"/>
    <w:rsid w:val="4F07B297"/>
    <w:rsid w:val="5DAF13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D3A441"/>
  <w15:chartTrackingRefBased/>
  <w15:docId w15:val="{2736FDD0-BA57-4F8B-9CD6-8D1AF08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3C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9673C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013911"/>
    <w:pPr>
      <w:keepNext/>
      <w:widowControl/>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9673CE"/>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3"/>
    <w:qFormat/>
    <w:rsid w:val="009673CE"/>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9673CE"/>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673CE"/>
    <w:pPr>
      <w:numPr>
        <w:ilvl w:val="5"/>
        <w:numId w:val="2"/>
      </w:numPr>
      <w:tabs>
        <w:tab w:val="left" w:pos="4320"/>
      </w:tabs>
      <w:spacing w:after="120"/>
      <w:outlineLvl w:val="5"/>
    </w:pPr>
    <w:rPr>
      <w:b/>
    </w:rPr>
  </w:style>
  <w:style w:type="paragraph" w:styleId="Heading7">
    <w:name w:val="heading 7"/>
    <w:basedOn w:val="Normal"/>
    <w:next w:val="ParaNum"/>
    <w:link w:val="Heading7Char1"/>
    <w:qFormat/>
    <w:rsid w:val="009673C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673CE"/>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1"/>
    <w:qFormat/>
    <w:rsid w:val="009673C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7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3CE"/>
  </w:style>
  <w:style w:type="paragraph" w:customStyle="1" w:styleId="ParaNum">
    <w:name w:val="ParaNum"/>
    <w:basedOn w:val="Normal"/>
    <w:link w:val="ParaNumChar1"/>
    <w:rsid w:val="009673CE"/>
    <w:pPr>
      <w:numPr>
        <w:numId w:val="1"/>
      </w:numPr>
      <w:tabs>
        <w:tab w:val="clear" w:pos="1080"/>
        <w:tab w:val="num" w:pos="1440"/>
      </w:tabs>
      <w:spacing w:after="120"/>
    </w:pPr>
  </w:style>
  <w:style w:type="paragraph" w:styleId="EndnoteText">
    <w:name w:val="endnote text"/>
    <w:basedOn w:val="Normal"/>
    <w:link w:val="EndnoteTextChar"/>
    <w:semiHidden/>
    <w:rsid w:val="009673CE"/>
    <w:rPr>
      <w:sz w:val="20"/>
    </w:rPr>
  </w:style>
  <w:style w:type="character" w:styleId="EndnoteReference">
    <w:name w:val="endnote reference"/>
    <w:semiHidden/>
    <w:rsid w:val="009673CE"/>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9673C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673CE"/>
    <w:rPr>
      <w:rFonts w:ascii="Times New Roman" w:hAnsi="Times New Roman"/>
      <w:dstrike w:val="0"/>
      <w:color w:val="auto"/>
      <w:sz w:val="20"/>
      <w:vertAlign w:val="superscript"/>
    </w:rPr>
  </w:style>
  <w:style w:type="paragraph" w:styleId="TOC1">
    <w:name w:val="toc 1"/>
    <w:basedOn w:val="Normal"/>
    <w:next w:val="Normal"/>
    <w:semiHidden/>
    <w:rsid w:val="009673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73CE"/>
    <w:pPr>
      <w:tabs>
        <w:tab w:val="left" w:pos="720"/>
        <w:tab w:val="right" w:leader="dot" w:pos="9360"/>
      </w:tabs>
      <w:suppressAutoHyphens/>
      <w:ind w:left="720" w:right="720" w:hanging="360"/>
    </w:pPr>
    <w:rPr>
      <w:noProof/>
    </w:rPr>
  </w:style>
  <w:style w:type="paragraph" w:styleId="TOC3">
    <w:name w:val="toc 3"/>
    <w:basedOn w:val="Normal"/>
    <w:next w:val="Normal"/>
    <w:semiHidden/>
    <w:rsid w:val="009673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73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73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73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73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73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73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73CE"/>
    <w:pPr>
      <w:tabs>
        <w:tab w:val="right" w:pos="9360"/>
      </w:tabs>
      <w:suppressAutoHyphens/>
    </w:pPr>
  </w:style>
  <w:style w:type="character" w:customStyle="1" w:styleId="EquationCaption">
    <w:name w:val="_Equation Caption"/>
    <w:rsid w:val="009673CE"/>
  </w:style>
  <w:style w:type="paragraph" w:styleId="Header">
    <w:name w:val="header"/>
    <w:basedOn w:val="Normal"/>
    <w:link w:val="HeaderChar"/>
    <w:autoRedefine/>
    <w:rsid w:val="009673CE"/>
    <w:pPr>
      <w:tabs>
        <w:tab w:val="center" w:pos="4680"/>
        <w:tab w:val="right" w:pos="9360"/>
      </w:tabs>
    </w:pPr>
    <w:rPr>
      <w:b/>
    </w:rPr>
  </w:style>
  <w:style w:type="paragraph" w:styleId="Footer">
    <w:name w:val="footer"/>
    <w:basedOn w:val="Normal"/>
    <w:link w:val="FooterChar"/>
    <w:uiPriority w:val="99"/>
    <w:rsid w:val="009673CE"/>
    <w:pPr>
      <w:tabs>
        <w:tab w:val="center" w:pos="4320"/>
        <w:tab w:val="right" w:pos="8640"/>
      </w:tabs>
    </w:pPr>
  </w:style>
  <w:style w:type="character" w:styleId="PageNumber">
    <w:name w:val="page number"/>
    <w:basedOn w:val="DefaultParagraphFont"/>
    <w:rsid w:val="009673CE"/>
  </w:style>
  <w:style w:type="paragraph" w:styleId="BlockText">
    <w:name w:val="Block Text"/>
    <w:basedOn w:val="Normal"/>
    <w:rsid w:val="009673CE"/>
    <w:pPr>
      <w:spacing w:after="240"/>
      <w:ind w:left="1440" w:right="1440"/>
    </w:pPr>
  </w:style>
  <w:style w:type="paragraph" w:customStyle="1" w:styleId="Paratitle">
    <w:name w:val="Para title"/>
    <w:basedOn w:val="Normal"/>
    <w:rsid w:val="009673CE"/>
    <w:pPr>
      <w:tabs>
        <w:tab w:val="center" w:pos="9270"/>
      </w:tabs>
      <w:spacing w:after="240"/>
    </w:pPr>
    <w:rPr>
      <w:spacing w:val="-2"/>
    </w:rPr>
  </w:style>
  <w:style w:type="paragraph" w:customStyle="1" w:styleId="Bullet">
    <w:name w:val="Bullet"/>
    <w:basedOn w:val="Normal"/>
    <w:rsid w:val="009673CE"/>
    <w:pPr>
      <w:tabs>
        <w:tab w:val="left" w:pos="2160"/>
      </w:tabs>
      <w:spacing w:after="220"/>
      <w:ind w:left="2160" w:hanging="720"/>
    </w:pPr>
  </w:style>
  <w:style w:type="paragraph" w:customStyle="1" w:styleId="TableFormat">
    <w:name w:val="TableFormat"/>
    <w:basedOn w:val="Bullet"/>
    <w:rsid w:val="009673CE"/>
    <w:pPr>
      <w:tabs>
        <w:tab w:val="clear" w:pos="2160"/>
        <w:tab w:val="left" w:pos="5040"/>
      </w:tabs>
      <w:ind w:left="5040" w:hanging="3600"/>
    </w:pPr>
  </w:style>
  <w:style w:type="paragraph" w:customStyle="1" w:styleId="TOCTitle">
    <w:name w:val="TOC Title"/>
    <w:basedOn w:val="Normal"/>
    <w:rsid w:val="009673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73CE"/>
    <w:pPr>
      <w:jc w:val="center"/>
    </w:pPr>
    <w:rPr>
      <w:rFonts w:ascii="Times New Roman Bold" w:hAnsi="Times New Roman Bold"/>
      <w:b/>
      <w:bCs/>
      <w:caps/>
      <w:szCs w:val="22"/>
    </w:rPr>
  </w:style>
  <w:style w:type="character" w:styleId="Hyperlink">
    <w:name w:val="Hyperlink"/>
    <w:rsid w:val="009673CE"/>
    <w:rPr>
      <w:color w:val="0000FF"/>
      <w:u w:val="single"/>
    </w:rPr>
  </w:style>
  <w:style w:type="character" w:customStyle="1" w:styleId="FooterChar">
    <w:name w:val="Footer Char"/>
    <w:link w:val="Footer"/>
    <w:uiPriority w:val="99"/>
    <w:rsid w:val="009673CE"/>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A62607"/>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013911"/>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A62607"/>
    <w:rPr>
      <w:b/>
      <w:snapToGrid w:val="0"/>
      <w:kern w:val="28"/>
      <w:sz w:val="22"/>
    </w:rPr>
  </w:style>
  <w:style w:type="character" w:customStyle="1" w:styleId="Heading4Char">
    <w:name w:val="Heading 4 Char"/>
    <w:uiPriority w:val="9"/>
    <w:semiHidden/>
    <w:rsid w:val="00A62607"/>
    <w:rPr>
      <w:rFonts w:ascii="Calibri Light" w:eastAsia="Yu Gothic Light" w:hAnsi="Calibri Light" w:cs="Times New Roman"/>
      <w:i/>
      <w:iCs/>
      <w:snapToGrid w:val="0"/>
      <w:color w:val="2F5496"/>
      <w:kern w:val="28"/>
      <w:sz w:val="22"/>
    </w:rPr>
  </w:style>
  <w:style w:type="character" w:customStyle="1" w:styleId="Heading5Char">
    <w:name w:val="Heading 5 Char"/>
    <w:uiPriority w:val="9"/>
    <w:semiHidden/>
    <w:rsid w:val="00A62607"/>
    <w:rPr>
      <w:rFonts w:ascii="Calibri Light" w:eastAsia="Yu Gothic Light" w:hAnsi="Calibri Light" w:cs="Times New Roman"/>
      <w:snapToGrid w:val="0"/>
      <w:color w:val="2F5496"/>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62607"/>
    <w:rPr>
      <w:b/>
      <w:snapToGrid w:val="0"/>
      <w:kern w:val="28"/>
      <w:sz w:val="22"/>
    </w:rPr>
  </w:style>
  <w:style w:type="character" w:customStyle="1" w:styleId="Heading7Char">
    <w:name w:val="Heading 7 Char"/>
    <w:uiPriority w:val="9"/>
    <w:semiHidden/>
    <w:rsid w:val="00A62607"/>
    <w:rPr>
      <w:rFonts w:ascii="Calibri Light" w:eastAsia="Yu Gothic Light" w:hAnsi="Calibri Light" w:cs="Times New Roman"/>
      <w:i/>
      <w:iCs/>
      <w:snapToGrid w:val="0"/>
      <w:color w:val="1F3763"/>
      <w:kern w:val="28"/>
      <w:sz w:val="22"/>
    </w:rPr>
  </w:style>
  <w:style w:type="character" w:customStyle="1" w:styleId="Heading8Char">
    <w:name w:val="Heading 8 Char"/>
    <w:link w:val="Heading8"/>
    <w:rsid w:val="00A62607"/>
    <w:rPr>
      <w:b/>
      <w:snapToGrid w:val="0"/>
      <w:kern w:val="28"/>
      <w:sz w:val="22"/>
    </w:rPr>
  </w:style>
  <w:style w:type="character" w:customStyle="1" w:styleId="Heading9Char">
    <w:name w:val="Heading 9 Char"/>
    <w:uiPriority w:val="9"/>
    <w:semiHidden/>
    <w:rsid w:val="00A62607"/>
    <w:rPr>
      <w:rFonts w:ascii="Calibri Light" w:eastAsia="Yu Gothic Light" w:hAnsi="Calibri Light" w:cs="Times New Roman"/>
      <w:i/>
      <w:iCs/>
      <w:snapToGrid w:val="0"/>
      <w:color w:val="272727"/>
      <w:kern w:val="28"/>
      <w:sz w:val="21"/>
      <w:szCs w:val="21"/>
    </w:rPr>
  </w:style>
  <w:style w:type="character" w:customStyle="1" w:styleId="EndnoteTextChar">
    <w:name w:val="Endnote Text Char"/>
    <w:link w:val="EndnoteText"/>
    <w:semiHidden/>
    <w:rsid w:val="00A62607"/>
    <w:rPr>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basedOn w:val="DefaultParagraphFont"/>
    <w:link w:val="FootnoteText"/>
    <w:rsid w:val="00A62607"/>
  </w:style>
  <w:style w:type="character" w:customStyle="1" w:styleId="HeaderChar">
    <w:name w:val="Header Char"/>
    <w:link w:val="Header"/>
    <w:rsid w:val="00C84B79"/>
    <w:rPr>
      <w:b/>
      <w:snapToGrid w:val="0"/>
      <w:kern w:val="28"/>
      <w:sz w:val="22"/>
    </w:rPr>
  </w:style>
  <w:style w:type="character" w:customStyle="1" w:styleId="Heading4Char3">
    <w:name w:val="Heading 4 Char3"/>
    <w:aliases w:val="Heading 4 Char Char Char Char,Heading 4 Char Char Char1,Heading 4 Char Char1 Char,Heading 4 Char Char1 Char Ch Char,Heading 4 Char1 Char Char,Heading 4 Char1 Char1 Char,Heading 4 Char1 Char1 Char Char Char,Heading 4 Char1 Char2"/>
    <w:link w:val="Heading4"/>
    <w:locked/>
    <w:rsid w:val="00A62607"/>
    <w:rPr>
      <w:b/>
      <w:snapToGrid w:val="0"/>
      <w:kern w:val="28"/>
      <w:sz w:val="22"/>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link w:val="Heading5"/>
    <w:locked/>
    <w:rsid w:val="00A62607"/>
    <w:rPr>
      <w:b/>
      <w:snapToGrid w:val="0"/>
      <w:kern w:val="28"/>
      <w:sz w:val="22"/>
    </w:rPr>
  </w:style>
  <w:style w:type="character" w:customStyle="1" w:styleId="Heading7Char1">
    <w:name w:val="Heading 7 Char1"/>
    <w:link w:val="Heading7"/>
    <w:locked/>
    <w:rsid w:val="00A62607"/>
    <w:rPr>
      <w:b/>
      <w:snapToGrid w:val="0"/>
      <w:kern w:val="28"/>
      <w:sz w:val="22"/>
    </w:rPr>
  </w:style>
  <w:style w:type="character" w:customStyle="1" w:styleId="Heading9Char1">
    <w:name w:val="Heading 9 Char1"/>
    <w:aliases w:val="9 Char,Heading 9.table Char,Titre 9 Char,Topic Char,t Char,table Char"/>
    <w:link w:val="Heading9"/>
    <w:locked/>
    <w:rsid w:val="00A62607"/>
    <w:rPr>
      <w:b/>
      <w:snapToGrid w:val="0"/>
      <w:kern w:val="28"/>
      <w:sz w:val="22"/>
    </w:rPr>
  </w:style>
  <w:style w:type="character" w:customStyle="1" w:styleId="ParaNumChar1">
    <w:name w:val="ParaNum Char1"/>
    <w:link w:val="ParaNum"/>
    <w:locked/>
    <w:rsid w:val="00A62607"/>
    <w:rPr>
      <w:snapToGrid w:val="0"/>
      <w:kern w:val="28"/>
      <w:sz w:val="22"/>
    </w:rPr>
  </w:style>
  <w:style w:type="character" w:styleId="CommentReference">
    <w:name w:val="annotation reference"/>
    <w:rsid w:val="00A62607"/>
    <w:rPr>
      <w:sz w:val="16"/>
    </w:rPr>
  </w:style>
  <w:style w:type="character" w:customStyle="1" w:styleId="CommentTextChar">
    <w:name w:val="Comment Text Char"/>
    <w:link w:val="CommentText"/>
    <w:locked/>
    <w:rsid w:val="00A62607"/>
    <w:rPr>
      <w:kern w:val="28"/>
    </w:rPr>
  </w:style>
  <w:style w:type="paragraph" w:styleId="CommentText">
    <w:name w:val="annotation text"/>
    <w:basedOn w:val="Normal"/>
    <w:link w:val="CommentTextChar"/>
    <w:rsid w:val="00A62607"/>
    <w:rPr>
      <w:snapToGrid/>
      <w:sz w:val="20"/>
    </w:rPr>
  </w:style>
  <w:style w:type="character" w:customStyle="1" w:styleId="CommentTextChar1">
    <w:name w:val="Comment Text Char1"/>
    <w:uiPriority w:val="99"/>
    <w:rsid w:val="00A62607"/>
    <w:rPr>
      <w:snapToGrid w:val="0"/>
      <w:kern w:val="28"/>
    </w:rPr>
  </w:style>
  <w:style w:type="character" w:customStyle="1" w:styleId="CommentTextChar15">
    <w:name w:val="Comment Text Char15"/>
    <w:uiPriority w:val="99"/>
    <w:semiHidden/>
    <w:rsid w:val="00A62607"/>
    <w:rPr>
      <w:kern w:val="28"/>
    </w:rPr>
  </w:style>
  <w:style w:type="character" w:customStyle="1" w:styleId="CommentTextChar14">
    <w:name w:val="Comment Text Char14"/>
    <w:uiPriority w:val="99"/>
    <w:semiHidden/>
    <w:rsid w:val="00A62607"/>
    <w:rPr>
      <w:kern w:val="28"/>
    </w:rPr>
  </w:style>
  <w:style w:type="character" w:customStyle="1" w:styleId="CommentTextChar13">
    <w:name w:val="Comment Text Char13"/>
    <w:uiPriority w:val="99"/>
    <w:semiHidden/>
    <w:rsid w:val="00A62607"/>
    <w:rPr>
      <w:kern w:val="28"/>
    </w:rPr>
  </w:style>
  <w:style w:type="character" w:customStyle="1" w:styleId="CommentTextChar12">
    <w:name w:val="Comment Text Char12"/>
    <w:uiPriority w:val="99"/>
    <w:semiHidden/>
    <w:rsid w:val="00A62607"/>
    <w:rPr>
      <w:kern w:val="28"/>
    </w:rPr>
  </w:style>
  <w:style w:type="character" w:customStyle="1" w:styleId="CommentTextChar11">
    <w:name w:val="Comment Text Char11"/>
    <w:uiPriority w:val="99"/>
    <w:semiHidden/>
    <w:rsid w:val="00A62607"/>
    <w:rPr>
      <w:kern w:val="28"/>
    </w:rPr>
  </w:style>
  <w:style w:type="character" w:customStyle="1" w:styleId="CommentSubjectChar">
    <w:name w:val="Comment Subject Char"/>
    <w:link w:val="CommentSubject"/>
    <w:locked/>
    <w:rsid w:val="00A62607"/>
    <w:rPr>
      <w:b/>
      <w:kern w:val="28"/>
    </w:rPr>
  </w:style>
  <w:style w:type="paragraph" w:styleId="CommentSubject">
    <w:name w:val="annotation subject"/>
    <w:basedOn w:val="CommentText"/>
    <w:next w:val="CommentText"/>
    <w:link w:val="CommentSubjectChar"/>
    <w:rsid w:val="00A62607"/>
    <w:rPr>
      <w:b/>
    </w:rPr>
  </w:style>
  <w:style w:type="character" w:customStyle="1" w:styleId="CommentSubjectChar1">
    <w:name w:val="Comment Subject Char1"/>
    <w:uiPriority w:val="99"/>
    <w:rsid w:val="00A62607"/>
    <w:rPr>
      <w:b/>
      <w:bCs/>
      <w:snapToGrid w:val="0"/>
      <w:kern w:val="28"/>
    </w:rPr>
  </w:style>
  <w:style w:type="character" w:customStyle="1" w:styleId="CommentSubjectChar15">
    <w:name w:val="Comment Subject Char15"/>
    <w:uiPriority w:val="99"/>
    <w:semiHidden/>
    <w:rsid w:val="00A62607"/>
    <w:rPr>
      <w:b/>
      <w:kern w:val="28"/>
    </w:rPr>
  </w:style>
  <w:style w:type="character" w:customStyle="1" w:styleId="CommentSubjectChar14">
    <w:name w:val="Comment Subject Char14"/>
    <w:uiPriority w:val="99"/>
    <w:semiHidden/>
    <w:rsid w:val="00A62607"/>
    <w:rPr>
      <w:b/>
      <w:kern w:val="28"/>
    </w:rPr>
  </w:style>
  <w:style w:type="character" w:customStyle="1" w:styleId="CommentSubjectChar13">
    <w:name w:val="Comment Subject Char13"/>
    <w:uiPriority w:val="99"/>
    <w:semiHidden/>
    <w:rsid w:val="00A62607"/>
    <w:rPr>
      <w:b/>
      <w:kern w:val="28"/>
    </w:rPr>
  </w:style>
  <w:style w:type="character" w:customStyle="1" w:styleId="CommentSubjectChar12">
    <w:name w:val="Comment Subject Char12"/>
    <w:uiPriority w:val="99"/>
    <w:semiHidden/>
    <w:rsid w:val="00A62607"/>
    <w:rPr>
      <w:b/>
      <w:kern w:val="28"/>
    </w:rPr>
  </w:style>
  <w:style w:type="character" w:customStyle="1" w:styleId="CommentSubjectChar11">
    <w:name w:val="Comment Subject Char11"/>
    <w:uiPriority w:val="99"/>
    <w:semiHidden/>
    <w:rsid w:val="00A62607"/>
    <w:rPr>
      <w:b/>
      <w:kern w:val="28"/>
    </w:rPr>
  </w:style>
  <w:style w:type="character" w:customStyle="1" w:styleId="BalloonTextChar">
    <w:name w:val="Balloon Text Char"/>
    <w:link w:val="BalloonText"/>
    <w:locked/>
    <w:rsid w:val="00A62607"/>
    <w:rPr>
      <w:rFonts w:ascii="Segoe UI" w:hAnsi="Segoe UI"/>
      <w:kern w:val="28"/>
      <w:sz w:val="18"/>
    </w:rPr>
  </w:style>
  <w:style w:type="paragraph" w:styleId="BalloonText">
    <w:name w:val="Balloon Text"/>
    <w:basedOn w:val="Normal"/>
    <w:link w:val="BalloonTextChar"/>
    <w:rsid w:val="00A62607"/>
    <w:rPr>
      <w:rFonts w:ascii="Segoe UI" w:hAnsi="Segoe UI"/>
      <w:snapToGrid/>
      <w:sz w:val="18"/>
    </w:rPr>
  </w:style>
  <w:style w:type="character" w:customStyle="1" w:styleId="BalloonTextChar1">
    <w:name w:val="Balloon Text Char1"/>
    <w:uiPriority w:val="99"/>
    <w:rsid w:val="00A62607"/>
    <w:rPr>
      <w:rFonts w:ascii="Segoe UI" w:hAnsi="Segoe UI" w:cs="Segoe UI"/>
      <w:snapToGrid w:val="0"/>
      <w:kern w:val="28"/>
      <w:sz w:val="18"/>
      <w:szCs w:val="18"/>
    </w:rPr>
  </w:style>
  <w:style w:type="character" w:customStyle="1" w:styleId="BalloonTextChar15">
    <w:name w:val="Balloon Text Char15"/>
    <w:uiPriority w:val="99"/>
    <w:semiHidden/>
    <w:rsid w:val="00A62607"/>
    <w:rPr>
      <w:rFonts w:ascii="Segoe UI" w:hAnsi="Segoe UI"/>
      <w:kern w:val="28"/>
      <w:sz w:val="18"/>
    </w:rPr>
  </w:style>
  <w:style w:type="character" w:customStyle="1" w:styleId="BalloonTextChar14">
    <w:name w:val="Balloon Text Char14"/>
    <w:uiPriority w:val="99"/>
    <w:semiHidden/>
    <w:rsid w:val="00A62607"/>
    <w:rPr>
      <w:rFonts w:ascii="Segoe UI" w:hAnsi="Segoe UI"/>
      <w:kern w:val="28"/>
      <w:sz w:val="18"/>
    </w:rPr>
  </w:style>
  <w:style w:type="character" w:customStyle="1" w:styleId="BalloonTextChar13">
    <w:name w:val="Balloon Text Char13"/>
    <w:uiPriority w:val="99"/>
    <w:semiHidden/>
    <w:rsid w:val="00A62607"/>
    <w:rPr>
      <w:rFonts w:ascii="Segoe UI" w:hAnsi="Segoe UI"/>
      <w:kern w:val="28"/>
      <w:sz w:val="18"/>
    </w:rPr>
  </w:style>
  <w:style w:type="character" w:customStyle="1" w:styleId="BalloonTextChar12">
    <w:name w:val="Balloon Text Char12"/>
    <w:uiPriority w:val="99"/>
    <w:semiHidden/>
    <w:rsid w:val="00A62607"/>
    <w:rPr>
      <w:rFonts w:ascii="Segoe UI" w:hAnsi="Segoe UI"/>
      <w:kern w:val="28"/>
      <w:sz w:val="18"/>
    </w:rPr>
  </w:style>
  <w:style w:type="character" w:customStyle="1" w:styleId="BalloonTextChar11">
    <w:name w:val="Balloon Text Char11"/>
    <w:uiPriority w:val="99"/>
    <w:semiHidden/>
    <w:rsid w:val="00A62607"/>
    <w:rPr>
      <w:rFonts w:ascii="Segoe UI" w:hAnsi="Segoe UI"/>
      <w:kern w:val="28"/>
      <w:sz w:val="18"/>
    </w:rPr>
  </w:style>
  <w:style w:type="character" w:styleId="Emphasis">
    <w:name w:val="Emphasis"/>
    <w:uiPriority w:val="20"/>
    <w:qFormat/>
    <w:rsid w:val="00A62607"/>
    <w:rPr>
      <w:i/>
    </w:rPr>
  </w:style>
  <w:style w:type="paragraph" w:styleId="ListParagraph">
    <w:name w:val="List Paragraph"/>
    <w:basedOn w:val="Normal"/>
    <w:uiPriority w:val="34"/>
    <w:qFormat/>
    <w:rsid w:val="00A62607"/>
    <w:pPr>
      <w:ind w:left="720"/>
      <w:contextualSpacing/>
    </w:pPr>
    <w:rPr>
      <w:rFonts w:eastAsia="Yu Mincho"/>
      <w:snapToGrid/>
    </w:rPr>
  </w:style>
  <w:style w:type="character" w:styleId="FollowedHyperlink">
    <w:name w:val="FollowedHyperlink"/>
    <w:uiPriority w:val="99"/>
    <w:rsid w:val="00A62607"/>
    <w:rPr>
      <w:color w:val="954F72"/>
      <w:u w:val="single"/>
    </w:rPr>
  </w:style>
  <w:style w:type="character" w:customStyle="1" w:styleId="UnresolvedMention1">
    <w:name w:val="Unresolved Mention1"/>
    <w:uiPriority w:val="99"/>
    <w:semiHidden/>
    <w:unhideWhenUsed/>
    <w:rsid w:val="00A62607"/>
    <w:rPr>
      <w:color w:val="605E5C"/>
      <w:shd w:val="clear" w:color="auto" w:fill="E1DFDD"/>
    </w:rPr>
  </w:style>
  <w:style w:type="character" w:customStyle="1" w:styleId="FootnoteTextCharChar">
    <w:name w:val="Footnote Text Char Char"/>
    <w:aliases w:val="Footnote Text Char Char Char Char Char Char Char Char,Footnote Text Char Char1 Char Char Char Char,Footnote Text Char1 Char Char Char Char Char Char Char,Footnote Text Char2 Char Char Char Char Char Char"/>
    <w:uiPriority w:val="99"/>
    <w:locked/>
    <w:rsid w:val="00A62607"/>
    <w:rPr>
      <w:rFonts w:ascii="Times New Roman" w:hAnsi="Times New Roman"/>
      <w:sz w:val="20"/>
    </w:rPr>
  </w:style>
  <w:style w:type="paragraph" w:customStyle="1" w:styleId="Paranum0">
    <w:name w:val="Paranum"/>
    <w:basedOn w:val="Normal"/>
    <w:autoRedefine/>
    <w:rsid w:val="00A62607"/>
    <w:pPr>
      <w:spacing w:after="120"/>
      <w:ind w:firstLine="720"/>
    </w:pPr>
    <w:rPr>
      <w:rFonts w:eastAsia="Yu Mincho"/>
      <w:snapToGrid/>
    </w:rPr>
  </w:style>
  <w:style w:type="paragraph" w:styleId="Revision">
    <w:name w:val="Revision"/>
    <w:hidden/>
    <w:uiPriority w:val="99"/>
    <w:semiHidden/>
    <w:rsid w:val="00A62607"/>
    <w:rPr>
      <w:rFonts w:eastAsia="Yu Mincho"/>
      <w:kern w:val="28"/>
      <w:sz w:val="22"/>
    </w:rPr>
  </w:style>
  <w:style w:type="character" w:styleId="Strong">
    <w:name w:val="Strong"/>
    <w:uiPriority w:val="22"/>
    <w:qFormat/>
    <w:rsid w:val="00A62607"/>
    <w:rPr>
      <w:b/>
    </w:rPr>
  </w:style>
  <w:style w:type="character" w:customStyle="1" w:styleId="cosearchterm">
    <w:name w:val="co_searchterm"/>
    <w:rsid w:val="00A62607"/>
  </w:style>
  <w:style w:type="character" w:customStyle="1" w:styleId="cosmallcaps">
    <w:name w:val="co_smallcaps"/>
    <w:rsid w:val="00A62607"/>
  </w:style>
  <w:style w:type="character" w:customStyle="1" w:styleId="copinpointicon">
    <w:name w:val="co_pinpointicon"/>
    <w:rsid w:val="00A62607"/>
  </w:style>
  <w:style w:type="paragraph" w:customStyle="1" w:styleId="xxmsonormal">
    <w:name w:val="x_xmsonormal"/>
    <w:basedOn w:val="Normal"/>
    <w:rsid w:val="00A62607"/>
    <w:pPr>
      <w:widowControl/>
    </w:pPr>
    <w:rPr>
      <w:rFonts w:ascii="Calibri" w:eastAsia="Yu Mincho" w:hAnsi="Calibri" w:cs="Calibri"/>
      <w:snapToGrid/>
      <w:kern w:val="0"/>
      <w:szCs w:val="22"/>
    </w:rPr>
  </w:style>
  <w:style w:type="character" w:customStyle="1" w:styleId="UnresolvedMention2">
    <w:name w:val="Unresolved Mention2"/>
    <w:uiPriority w:val="99"/>
    <w:semiHidden/>
    <w:unhideWhenUsed/>
    <w:rsid w:val="00A62607"/>
    <w:rPr>
      <w:color w:val="605E5C"/>
      <w:shd w:val="clear" w:color="auto" w:fill="E1DFDD"/>
    </w:rPr>
  </w:style>
  <w:style w:type="character" w:customStyle="1" w:styleId="UnresolvedMention3">
    <w:name w:val="Unresolved Mention3"/>
    <w:uiPriority w:val="99"/>
    <w:semiHidden/>
    <w:unhideWhenUsed/>
    <w:rsid w:val="00A62607"/>
    <w:rPr>
      <w:rFonts w:cs="Times New Roman"/>
      <w:color w:val="605E5C"/>
      <w:shd w:val="clear" w:color="auto" w:fill="E1DFDD"/>
    </w:rPr>
  </w:style>
  <w:style w:type="character" w:customStyle="1" w:styleId="ParaNumChar">
    <w:name w:val="ParaNum Char"/>
    <w:locked/>
    <w:rsid w:val="00A62607"/>
    <w:rPr>
      <w:snapToGrid w:val="0"/>
      <w:kern w:val="28"/>
      <w:sz w:val="22"/>
    </w:rPr>
  </w:style>
  <w:style w:type="character" w:customStyle="1" w:styleId="UnresolvedMention4">
    <w:name w:val="Unresolved Mention4"/>
    <w:rsid w:val="00A62607"/>
    <w:rPr>
      <w:color w:val="605E5C"/>
      <w:shd w:val="clear" w:color="auto" w:fill="E1DFDD"/>
    </w:rPr>
  </w:style>
  <w:style w:type="character" w:customStyle="1" w:styleId="cosearchwithinterm">
    <w:name w:val="co_searchwithinterm"/>
    <w:rsid w:val="00A62607"/>
  </w:style>
  <w:style w:type="paragraph" w:customStyle="1" w:styleId="ColorfulList-Accent11">
    <w:name w:val="Colorful List - Accent 11"/>
    <w:basedOn w:val="Normal"/>
    <w:uiPriority w:val="34"/>
    <w:qFormat/>
    <w:rsid w:val="00A62607"/>
    <w:pPr>
      <w:ind w:left="720"/>
    </w:pPr>
  </w:style>
  <w:style w:type="paragraph" w:customStyle="1" w:styleId="Default">
    <w:name w:val="Default"/>
    <w:rsid w:val="00A62607"/>
    <w:pPr>
      <w:autoSpaceDE w:val="0"/>
      <w:autoSpaceDN w:val="0"/>
      <w:adjustRightInd w:val="0"/>
    </w:pPr>
    <w:rPr>
      <w:rFonts w:ascii="Garamond" w:hAnsi="Garamond" w:cs="Garamond"/>
      <w:color w:val="000000"/>
      <w:sz w:val="24"/>
      <w:szCs w:val="24"/>
    </w:rPr>
  </w:style>
  <w:style w:type="paragraph" w:customStyle="1" w:styleId="NumberedList">
    <w:name w:val="Numbered List"/>
    <w:basedOn w:val="Normal"/>
    <w:rsid w:val="00A62607"/>
    <w:pPr>
      <w:widowControl/>
      <w:numPr>
        <w:numId w:val="3"/>
      </w:numPr>
      <w:spacing w:after="220"/>
    </w:pPr>
    <w:rPr>
      <w:snapToGrid/>
      <w:kern w:val="0"/>
    </w:rPr>
  </w:style>
  <w:style w:type="character" w:customStyle="1" w:styleId="costarpage">
    <w:name w:val="co_starpage"/>
    <w:basedOn w:val="DefaultParagraphFont"/>
    <w:rsid w:val="00A62607"/>
  </w:style>
  <w:style w:type="character" w:styleId="UnresolvedMention">
    <w:name w:val="Unresolved Mention"/>
    <w:uiPriority w:val="99"/>
    <w:unhideWhenUsed/>
    <w:rsid w:val="00EC52F6"/>
    <w:rPr>
      <w:color w:val="605E5C"/>
      <w:shd w:val="clear" w:color="auto" w:fill="E1DFDD"/>
    </w:rPr>
  </w:style>
  <w:style w:type="character" w:customStyle="1" w:styleId="markedcontent">
    <w:name w:val="markedcontent"/>
    <w:basedOn w:val="DefaultParagraphFont"/>
    <w:rsid w:val="00A62607"/>
  </w:style>
  <w:style w:type="paragraph" w:customStyle="1" w:styleId="xmsolistparagraph">
    <w:name w:val="x_msolistparagraph"/>
    <w:basedOn w:val="Normal"/>
    <w:rsid w:val="00AA3452"/>
    <w:pPr>
      <w:widowControl/>
      <w:ind w:left="720"/>
    </w:pPr>
    <w:rPr>
      <w:rFonts w:ascii="Calibri" w:eastAsia="Calibri" w:hAnsi="Calibri" w:cs="Calibri"/>
      <w:snapToGrid/>
      <w:kern w:val="0"/>
      <w:szCs w:val="22"/>
    </w:rPr>
  </w:style>
  <w:style w:type="paragraph" w:customStyle="1" w:styleId="content-paragraph">
    <w:name w:val="content-paragraph"/>
    <w:basedOn w:val="Normal"/>
    <w:uiPriority w:val="99"/>
    <w:semiHidden/>
    <w:rsid w:val="0085239A"/>
    <w:pPr>
      <w:widowControl/>
      <w:spacing w:after="150"/>
    </w:pPr>
    <w:rPr>
      <w:rFonts w:ascii="Calibri" w:eastAsia="Calibri" w:hAnsi="Calibri" w:cs="Calibri"/>
      <w:snapToGrid/>
      <w:kern w:val="0"/>
      <w:szCs w:val="22"/>
    </w:rPr>
  </w:style>
  <w:style w:type="character" w:customStyle="1" w:styleId="cf01">
    <w:name w:val="cf01"/>
    <w:rsid w:val="00293B44"/>
    <w:rPr>
      <w:rFonts w:ascii="Segoe UI" w:hAnsi="Segoe UI" w:cs="Segoe UI" w:hint="default"/>
      <w:sz w:val="18"/>
      <w:szCs w:val="18"/>
    </w:rPr>
  </w:style>
  <w:style w:type="paragraph" w:customStyle="1" w:styleId="pf0">
    <w:name w:val="pf0"/>
    <w:basedOn w:val="Normal"/>
    <w:rsid w:val="00101F6B"/>
    <w:pPr>
      <w:widowControl/>
      <w:spacing w:before="100" w:beforeAutospacing="1" w:after="100" w:afterAutospacing="1"/>
    </w:pPr>
    <w:rPr>
      <w:snapToGrid/>
      <w:kern w:val="0"/>
      <w:sz w:val="24"/>
      <w:szCs w:val="24"/>
    </w:rPr>
  </w:style>
  <w:style w:type="character" w:styleId="Mention">
    <w:name w:val="Mention"/>
    <w:uiPriority w:val="99"/>
    <w:unhideWhenUsed/>
    <w:rsid w:val="002232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Erica.McMahon@fcc.gov"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label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